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22D" w:rsidRDefault="007D19D6" w:rsidP="007D19D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B013EB12-01D0-4DDB-8223-D09304F5B409" style="width:450.6pt;height:459.6pt">
            <v:imagedata r:id="rId8" o:title=""/>
          </v:shape>
        </w:pict>
      </w:r>
    </w:p>
    <w:bookmarkEnd w:id="0"/>
    <w:p w:rsidR="003E022D" w:rsidRDefault="003E022D">
      <w:pPr>
        <w:rPr>
          <w:noProof/>
        </w:rPr>
        <w:sectPr w:rsidR="003E022D" w:rsidSect="007D19D6">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0"/>
          <w:cols w:space="720"/>
          <w:docGrid w:linePitch="299"/>
        </w:sectPr>
      </w:pPr>
    </w:p>
    <w:p w:rsidR="003E022D" w:rsidRDefault="003E022D">
      <w:pPr>
        <w:jc w:val="center"/>
        <w:rPr>
          <w:noProof/>
        </w:rPr>
      </w:pPr>
      <w:bookmarkStart w:id="1" w:name="_GoBack"/>
      <w:bookmarkEnd w:id="1"/>
    </w:p>
    <w:p w:rsidR="003E022D" w:rsidRDefault="003E022D">
      <w:pPr>
        <w:jc w:val="center"/>
        <w:rPr>
          <w:noProof/>
        </w:rPr>
      </w:pPr>
    </w:p>
    <w:p w:rsidR="003E022D" w:rsidRDefault="003E022D">
      <w:pPr>
        <w:jc w:val="center"/>
        <w:rPr>
          <w:noProof/>
        </w:rPr>
      </w:pPr>
    </w:p>
    <w:p w:rsidR="003E022D" w:rsidRDefault="003E022D">
      <w:pPr>
        <w:jc w:val="center"/>
        <w:rPr>
          <w:noProof/>
        </w:rPr>
      </w:pPr>
    </w:p>
    <w:p w:rsidR="003E022D" w:rsidRDefault="003E022D">
      <w:pPr>
        <w:jc w:val="center"/>
        <w:rPr>
          <w:noProof/>
        </w:rPr>
      </w:pPr>
    </w:p>
    <w:p w:rsidR="003E022D" w:rsidRDefault="003E022D">
      <w:pPr>
        <w:jc w:val="center"/>
        <w:rPr>
          <w:noProof/>
        </w:rPr>
      </w:pPr>
    </w:p>
    <w:p w:rsidR="003E022D" w:rsidRDefault="003E022D">
      <w:pPr>
        <w:jc w:val="center"/>
        <w:rPr>
          <w:noProof/>
        </w:rPr>
      </w:pPr>
    </w:p>
    <w:p w:rsidR="003E022D" w:rsidRDefault="003E022D">
      <w:pPr>
        <w:jc w:val="center"/>
        <w:rPr>
          <w:noProof/>
        </w:rPr>
      </w:pPr>
    </w:p>
    <w:p w:rsidR="003E022D" w:rsidRDefault="003E022D">
      <w:pPr>
        <w:jc w:val="center"/>
        <w:rPr>
          <w:noProof/>
        </w:rPr>
      </w:pPr>
    </w:p>
    <w:p w:rsidR="003E022D" w:rsidRDefault="003E022D">
      <w:pPr>
        <w:jc w:val="center"/>
        <w:rPr>
          <w:noProof/>
        </w:rPr>
      </w:pPr>
    </w:p>
    <w:p w:rsidR="003E022D" w:rsidRDefault="007D19D6">
      <w:pPr>
        <w:jc w:val="center"/>
        <w:rPr>
          <w:noProof/>
          <w:sz w:val="24"/>
          <w:szCs w:val="24"/>
        </w:rPr>
      </w:pPr>
      <w:r>
        <w:rPr>
          <w:noProof/>
          <w:sz w:val="24"/>
          <w:szCs w:val="24"/>
        </w:rPr>
        <w:t xml:space="preserve">TIRDZNIECĪBAS UN SADARBĪBAS NOLĪGUMS STARP EIROPAS SAVIENĪBU UN EIROPAS ATOMENERĢIJAS KOPIENU, NO VIENAS PUSES, UN LIELBRITĀNIJAS UN </w:t>
      </w:r>
      <w:r>
        <w:rPr>
          <w:noProof/>
          <w:sz w:val="24"/>
          <w:szCs w:val="24"/>
        </w:rPr>
        <w:t>ZIEMEĻĪRIJAS APVIENOTO KARALISTI, NO OTRAS PUSES</w:t>
      </w:r>
    </w:p>
    <w:p w:rsidR="003E022D" w:rsidRDefault="007D19D6">
      <w:pPr>
        <w:spacing w:after="0" w:line="276" w:lineRule="auto"/>
        <w:jc w:val="left"/>
        <w:rPr>
          <w:noProof/>
          <w:sz w:val="24"/>
          <w:szCs w:val="24"/>
        </w:rPr>
      </w:pPr>
      <w:r>
        <w:rPr>
          <w:noProof/>
        </w:rPr>
        <w:br w:type="page"/>
      </w:r>
    </w:p>
    <w:p w:rsidR="003E022D" w:rsidRDefault="003E022D">
      <w:pPr>
        <w:spacing w:after="0" w:line="276" w:lineRule="auto"/>
        <w:jc w:val="left"/>
        <w:rPr>
          <w:rFonts w:asciiTheme="majorHAnsi" w:hAnsiTheme="majorHAnsi"/>
          <w:noProof/>
        </w:rPr>
      </w:pPr>
    </w:p>
    <w:p w:rsidR="003E022D" w:rsidRDefault="007D19D6">
      <w:pPr>
        <w:pStyle w:val="TOC3"/>
        <w:rPr>
          <w:rFonts w:asciiTheme="minorHAnsi" w:eastAsiaTheme="minorEastAsia" w:hAnsiTheme="minorHAnsi"/>
          <w:lang w:val="en-US"/>
        </w:rPr>
      </w:pPr>
      <w:r>
        <w:fldChar w:fldCharType="begin"/>
      </w:r>
      <w:r>
        <w:instrText xml:space="preserve"> TOC \o "1-3" \h \z \u </w:instrText>
      </w:r>
      <w:r>
        <w:fldChar w:fldCharType="separate"/>
      </w:r>
      <w:hyperlink w:anchor="_Toc59988331" w:history="1">
        <w:r>
          <w:rPr>
            <w:rStyle w:val="Hyperlink"/>
            <w:lang w:val="fr-BE"/>
          </w:rPr>
          <w:t>PREAMBULA</w:t>
        </w:r>
        <w:r>
          <w:rPr>
            <w:webHidden/>
          </w:rPr>
          <w:tab/>
        </w:r>
        <w:r>
          <w:rPr>
            <w:webHidden/>
          </w:rPr>
          <w:fldChar w:fldCharType="begin"/>
        </w:r>
        <w:r>
          <w:rPr>
            <w:webHidden/>
          </w:rPr>
          <w:instrText xml:space="preserve"> PAGEREF _Toc59988331 \h </w:instrText>
        </w:r>
        <w:r>
          <w:rPr>
            <w:webHidden/>
          </w:rPr>
        </w:r>
        <w:r>
          <w:rPr>
            <w:webHidden/>
          </w:rPr>
          <w:fldChar w:fldCharType="separate"/>
        </w:r>
        <w:r>
          <w:rPr>
            <w:webHidden/>
          </w:rPr>
          <w:t>7</w:t>
        </w:r>
        <w:r>
          <w:rPr>
            <w:webHidden/>
          </w:rPr>
          <w:fldChar w:fldCharType="end"/>
        </w:r>
      </w:hyperlink>
    </w:p>
    <w:p w:rsidR="003E022D" w:rsidRDefault="007D19D6">
      <w:pPr>
        <w:pStyle w:val="TOC1"/>
        <w:rPr>
          <w:rFonts w:asciiTheme="minorHAnsi" w:eastAsiaTheme="minorEastAsia" w:hAnsiTheme="minorHAnsi"/>
          <w:b w:val="0"/>
          <w:noProof/>
          <w:lang w:val="en-US"/>
        </w:rPr>
      </w:pPr>
      <w:hyperlink w:anchor="_Toc59988332" w:history="1">
        <w:r>
          <w:rPr>
            <w:rStyle w:val="Hyperlink"/>
            <w:noProof/>
            <w:lang w:val="fr-BE"/>
          </w:rPr>
          <w:t>PIRMĀ DAĻA. KOPĪGIE UN INSTITUCIONĀLIE NOTEIKUMI</w:t>
        </w:r>
        <w:r>
          <w:rPr>
            <w:noProof/>
            <w:webHidden/>
          </w:rPr>
          <w:tab/>
        </w:r>
        <w:r>
          <w:rPr>
            <w:noProof/>
            <w:webHidden/>
          </w:rPr>
          <w:fldChar w:fldCharType="begin"/>
        </w:r>
        <w:r>
          <w:rPr>
            <w:noProof/>
            <w:webHidden/>
          </w:rPr>
          <w:instrText xml:space="preserve"> PAGEREF _Toc59988332 \h </w:instrText>
        </w:r>
        <w:r>
          <w:rPr>
            <w:noProof/>
            <w:webHidden/>
          </w:rPr>
        </w:r>
        <w:r>
          <w:rPr>
            <w:noProof/>
            <w:webHidden/>
          </w:rPr>
          <w:fldChar w:fldCharType="separate"/>
        </w:r>
        <w:r>
          <w:rPr>
            <w:noProof/>
            <w:webHidden/>
          </w:rPr>
          <w:t>10</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333" w:history="1">
        <w:r>
          <w:rPr>
            <w:rStyle w:val="Hyperlink"/>
            <w:lang w:val="fr-BE"/>
          </w:rPr>
          <w:t>I sadaļa. Vispārīgi noteikumi</w:t>
        </w:r>
        <w:r>
          <w:rPr>
            <w:webHidden/>
          </w:rPr>
          <w:tab/>
        </w:r>
        <w:r>
          <w:rPr>
            <w:webHidden/>
          </w:rPr>
          <w:fldChar w:fldCharType="begin"/>
        </w:r>
        <w:r>
          <w:rPr>
            <w:webHidden/>
          </w:rPr>
          <w:instrText xml:space="preserve"> PAGEREF _Toc59988333 \h </w:instrText>
        </w:r>
        <w:r>
          <w:rPr>
            <w:webHidden/>
          </w:rPr>
        </w:r>
        <w:r>
          <w:rPr>
            <w:webHidden/>
          </w:rPr>
          <w:fldChar w:fldCharType="separate"/>
        </w:r>
        <w:r>
          <w:rPr>
            <w:webHidden/>
          </w:rPr>
          <w:t>10</w:t>
        </w:r>
        <w:r>
          <w:rPr>
            <w:webHidden/>
          </w:rPr>
          <w:fldChar w:fldCharType="end"/>
        </w:r>
      </w:hyperlink>
    </w:p>
    <w:p w:rsidR="003E022D" w:rsidRDefault="007D19D6">
      <w:pPr>
        <w:pStyle w:val="TOC3"/>
        <w:rPr>
          <w:rFonts w:asciiTheme="minorHAnsi" w:eastAsiaTheme="minorEastAsia" w:hAnsiTheme="minorHAnsi"/>
          <w:lang w:val="en-US"/>
        </w:rPr>
      </w:pPr>
      <w:hyperlink w:anchor="_Toc59988334" w:history="1">
        <w:r>
          <w:rPr>
            <w:rStyle w:val="Hyperlink"/>
            <w:lang w:val="fr-BE"/>
          </w:rPr>
          <w:t>II sadaļa. Interpretācijas principi un definīcijas</w:t>
        </w:r>
        <w:r>
          <w:rPr>
            <w:webHidden/>
          </w:rPr>
          <w:tab/>
        </w:r>
        <w:r>
          <w:rPr>
            <w:webHidden/>
          </w:rPr>
          <w:fldChar w:fldCharType="begin"/>
        </w:r>
        <w:r>
          <w:rPr>
            <w:webHidden/>
          </w:rPr>
          <w:instrText xml:space="preserve"> PAGEREF _Toc599883</w:instrText>
        </w:r>
        <w:r>
          <w:rPr>
            <w:webHidden/>
          </w:rPr>
          <w:instrText xml:space="preserve">34 \h </w:instrText>
        </w:r>
        <w:r>
          <w:rPr>
            <w:webHidden/>
          </w:rPr>
        </w:r>
        <w:r>
          <w:rPr>
            <w:webHidden/>
          </w:rPr>
          <w:fldChar w:fldCharType="separate"/>
        </w:r>
        <w:r>
          <w:rPr>
            <w:webHidden/>
          </w:rPr>
          <w:t>10</w:t>
        </w:r>
        <w:r>
          <w:rPr>
            <w:webHidden/>
          </w:rPr>
          <w:fldChar w:fldCharType="end"/>
        </w:r>
      </w:hyperlink>
    </w:p>
    <w:p w:rsidR="003E022D" w:rsidRDefault="007D19D6">
      <w:pPr>
        <w:pStyle w:val="TOC3"/>
        <w:rPr>
          <w:rFonts w:asciiTheme="minorHAnsi" w:eastAsiaTheme="minorEastAsia" w:hAnsiTheme="minorHAnsi"/>
          <w:lang w:val="en-US"/>
        </w:rPr>
      </w:pPr>
      <w:hyperlink w:anchor="_Toc59988335" w:history="1">
        <w:r>
          <w:rPr>
            <w:rStyle w:val="Hyperlink"/>
          </w:rPr>
          <w:t>III sadaļa. Iestāžu sistēma</w:t>
        </w:r>
        <w:r>
          <w:rPr>
            <w:webHidden/>
          </w:rPr>
          <w:tab/>
        </w:r>
        <w:r>
          <w:rPr>
            <w:webHidden/>
          </w:rPr>
          <w:fldChar w:fldCharType="begin"/>
        </w:r>
        <w:r>
          <w:rPr>
            <w:webHidden/>
          </w:rPr>
          <w:instrText xml:space="preserve"> PAGEREF _Toc59988335 \h </w:instrText>
        </w:r>
        <w:r>
          <w:rPr>
            <w:webHidden/>
          </w:rPr>
        </w:r>
        <w:r>
          <w:rPr>
            <w:webHidden/>
          </w:rPr>
          <w:fldChar w:fldCharType="separate"/>
        </w:r>
        <w:r>
          <w:rPr>
            <w:webHidden/>
          </w:rPr>
          <w:t>11</w:t>
        </w:r>
        <w:r>
          <w:rPr>
            <w:webHidden/>
          </w:rPr>
          <w:fldChar w:fldCharType="end"/>
        </w:r>
      </w:hyperlink>
    </w:p>
    <w:p w:rsidR="003E022D" w:rsidRDefault="007D19D6">
      <w:pPr>
        <w:pStyle w:val="TOC1"/>
        <w:rPr>
          <w:rFonts w:asciiTheme="minorHAnsi" w:eastAsiaTheme="minorEastAsia" w:hAnsiTheme="minorHAnsi"/>
          <w:b w:val="0"/>
          <w:noProof/>
          <w:lang w:val="en-US"/>
        </w:rPr>
      </w:pPr>
      <w:hyperlink w:anchor="_Toc59988336" w:history="1">
        <w:r>
          <w:rPr>
            <w:rStyle w:val="Hyperlink"/>
            <w:noProof/>
            <w:lang w:val="de-DE"/>
          </w:rPr>
          <w:t>OTRĀ DAĻA. TIRDZNIECĪBA, TRANSPORTS, ZVEJNIECĪBA UN CITI PASĀKUMI</w:t>
        </w:r>
        <w:r>
          <w:rPr>
            <w:noProof/>
            <w:webHidden/>
          </w:rPr>
          <w:tab/>
        </w:r>
        <w:r>
          <w:rPr>
            <w:noProof/>
            <w:webHidden/>
          </w:rPr>
          <w:fldChar w:fldCharType="begin"/>
        </w:r>
        <w:r>
          <w:rPr>
            <w:noProof/>
            <w:webHidden/>
          </w:rPr>
          <w:instrText xml:space="preserve"> PAGEREF _Toc59988336 \h </w:instrText>
        </w:r>
        <w:r>
          <w:rPr>
            <w:noProof/>
            <w:webHidden/>
          </w:rPr>
        </w:r>
        <w:r>
          <w:rPr>
            <w:noProof/>
            <w:webHidden/>
          </w:rPr>
          <w:fldChar w:fldCharType="separate"/>
        </w:r>
        <w:r>
          <w:rPr>
            <w:noProof/>
            <w:webHidden/>
          </w:rPr>
          <w:t>18</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37" w:history="1">
        <w:r>
          <w:rPr>
            <w:rStyle w:val="Hyperlink"/>
            <w:noProof/>
            <w:lang w:val="de-DE"/>
          </w:rPr>
          <w:t>PIRMAIS TEMATS. TIRDZNIECĪBA</w:t>
        </w:r>
        <w:r>
          <w:rPr>
            <w:noProof/>
            <w:webHidden/>
          </w:rPr>
          <w:tab/>
        </w:r>
        <w:r>
          <w:rPr>
            <w:noProof/>
            <w:webHidden/>
          </w:rPr>
          <w:fldChar w:fldCharType="begin"/>
        </w:r>
        <w:r>
          <w:rPr>
            <w:noProof/>
            <w:webHidden/>
          </w:rPr>
          <w:instrText xml:space="preserve"> PAGEREF _Toc59988337 \h </w:instrText>
        </w:r>
        <w:r>
          <w:rPr>
            <w:noProof/>
            <w:webHidden/>
          </w:rPr>
        </w:r>
        <w:r>
          <w:rPr>
            <w:noProof/>
            <w:webHidden/>
          </w:rPr>
          <w:fldChar w:fldCharType="separate"/>
        </w:r>
        <w:r>
          <w:rPr>
            <w:noProof/>
            <w:webHidden/>
          </w:rPr>
          <w:t>18</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338" w:history="1">
        <w:r>
          <w:rPr>
            <w:rStyle w:val="Hyperlink"/>
            <w:lang w:val="de-DE"/>
          </w:rPr>
          <w:t>I sadaļa. Preču tirdzniecība</w:t>
        </w:r>
        <w:r>
          <w:rPr>
            <w:webHidden/>
          </w:rPr>
          <w:tab/>
        </w:r>
        <w:r>
          <w:rPr>
            <w:webHidden/>
          </w:rPr>
          <w:fldChar w:fldCharType="begin"/>
        </w:r>
        <w:r>
          <w:rPr>
            <w:webHidden/>
          </w:rPr>
          <w:instrText xml:space="preserve"> PAGEREF _Toc59988338 \h </w:instrText>
        </w:r>
        <w:r>
          <w:rPr>
            <w:webHidden/>
          </w:rPr>
        </w:r>
        <w:r>
          <w:rPr>
            <w:webHidden/>
          </w:rPr>
          <w:fldChar w:fldCharType="separate"/>
        </w:r>
        <w:r>
          <w:rPr>
            <w:webHidden/>
          </w:rPr>
          <w:t>18</w:t>
        </w:r>
        <w:r>
          <w:rPr>
            <w:webHidden/>
          </w:rPr>
          <w:fldChar w:fldCharType="end"/>
        </w:r>
      </w:hyperlink>
    </w:p>
    <w:p w:rsidR="003E022D" w:rsidRDefault="007D19D6">
      <w:pPr>
        <w:pStyle w:val="TOC3"/>
        <w:rPr>
          <w:rFonts w:asciiTheme="minorHAnsi" w:eastAsiaTheme="minorEastAsia" w:hAnsiTheme="minorHAnsi"/>
          <w:lang w:val="en-US"/>
        </w:rPr>
      </w:pPr>
      <w:hyperlink w:anchor="_Toc59988339" w:history="1">
        <w:r>
          <w:rPr>
            <w:rStyle w:val="Hyperlink"/>
            <w:lang w:val="fr-BE"/>
          </w:rPr>
          <w:t>II</w:t>
        </w:r>
        <w:r>
          <w:rPr>
            <w:rStyle w:val="Hyperlink"/>
            <w:lang w:val="fr-BE"/>
          </w:rPr>
          <w:t xml:space="preserve"> sadaļa. Pakalpojumi un investīcijas</w:t>
        </w:r>
        <w:r>
          <w:rPr>
            <w:webHidden/>
          </w:rPr>
          <w:tab/>
        </w:r>
        <w:r>
          <w:rPr>
            <w:webHidden/>
          </w:rPr>
          <w:fldChar w:fldCharType="begin"/>
        </w:r>
        <w:r>
          <w:rPr>
            <w:webHidden/>
          </w:rPr>
          <w:instrText xml:space="preserve"> PAGEREF _Toc59988339 \h </w:instrText>
        </w:r>
        <w:r>
          <w:rPr>
            <w:webHidden/>
          </w:rPr>
        </w:r>
        <w:r>
          <w:rPr>
            <w:webHidden/>
          </w:rPr>
          <w:fldChar w:fldCharType="separate"/>
        </w:r>
        <w:r>
          <w:rPr>
            <w:webHidden/>
          </w:rPr>
          <w:t>72</w:t>
        </w:r>
        <w:r>
          <w:rPr>
            <w:webHidden/>
          </w:rPr>
          <w:fldChar w:fldCharType="end"/>
        </w:r>
      </w:hyperlink>
    </w:p>
    <w:p w:rsidR="003E022D" w:rsidRDefault="007D19D6">
      <w:pPr>
        <w:pStyle w:val="TOC3"/>
        <w:rPr>
          <w:rFonts w:asciiTheme="minorHAnsi" w:eastAsiaTheme="minorEastAsia" w:hAnsiTheme="minorHAnsi"/>
          <w:lang w:val="en-US"/>
        </w:rPr>
      </w:pPr>
      <w:hyperlink w:anchor="_Toc59988340" w:history="1">
        <w:r>
          <w:rPr>
            <w:rStyle w:val="Hyperlink"/>
          </w:rPr>
          <w:t>III sadaļa. Digitālā tirdzniecība</w:t>
        </w:r>
        <w:r>
          <w:rPr>
            <w:webHidden/>
          </w:rPr>
          <w:tab/>
        </w:r>
        <w:r>
          <w:rPr>
            <w:webHidden/>
          </w:rPr>
          <w:fldChar w:fldCharType="begin"/>
        </w:r>
        <w:r>
          <w:rPr>
            <w:webHidden/>
          </w:rPr>
          <w:instrText xml:space="preserve"> PAGEREF _Toc59988340 \h </w:instrText>
        </w:r>
        <w:r>
          <w:rPr>
            <w:webHidden/>
          </w:rPr>
        </w:r>
        <w:r>
          <w:rPr>
            <w:webHidden/>
          </w:rPr>
          <w:fldChar w:fldCharType="separate"/>
        </w:r>
        <w:r>
          <w:rPr>
            <w:webHidden/>
          </w:rPr>
          <w:t>113</w:t>
        </w:r>
        <w:r>
          <w:rPr>
            <w:webHidden/>
          </w:rPr>
          <w:fldChar w:fldCharType="end"/>
        </w:r>
      </w:hyperlink>
    </w:p>
    <w:p w:rsidR="003E022D" w:rsidRDefault="007D19D6">
      <w:pPr>
        <w:pStyle w:val="TOC3"/>
        <w:rPr>
          <w:rFonts w:asciiTheme="minorHAnsi" w:eastAsiaTheme="minorEastAsia" w:hAnsiTheme="minorHAnsi"/>
          <w:lang w:val="en-US"/>
        </w:rPr>
      </w:pPr>
      <w:hyperlink w:anchor="_Toc59988341" w:history="1">
        <w:r>
          <w:rPr>
            <w:rStyle w:val="Hyperlink"/>
          </w:rPr>
          <w:t>IV sadaļa. Kapitāla aprite, maksājumi, pārvedumi un pagaidu aizsardzības pasākumi</w:t>
        </w:r>
        <w:r>
          <w:rPr>
            <w:webHidden/>
          </w:rPr>
          <w:tab/>
        </w:r>
        <w:r>
          <w:rPr>
            <w:webHidden/>
          </w:rPr>
          <w:fldChar w:fldCharType="begin"/>
        </w:r>
        <w:r>
          <w:rPr>
            <w:webHidden/>
          </w:rPr>
          <w:instrText xml:space="preserve"> PAGEREF _Toc59988341 \h </w:instrText>
        </w:r>
        <w:r>
          <w:rPr>
            <w:webHidden/>
          </w:rPr>
        </w:r>
        <w:r>
          <w:rPr>
            <w:webHidden/>
          </w:rPr>
          <w:fldChar w:fldCharType="separate"/>
        </w:r>
        <w:r>
          <w:rPr>
            <w:webHidden/>
          </w:rPr>
          <w:t>120</w:t>
        </w:r>
        <w:r>
          <w:rPr>
            <w:webHidden/>
          </w:rPr>
          <w:fldChar w:fldCharType="end"/>
        </w:r>
      </w:hyperlink>
    </w:p>
    <w:p w:rsidR="003E022D" w:rsidRDefault="007D19D6">
      <w:pPr>
        <w:pStyle w:val="TOC3"/>
        <w:rPr>
          <w:rFonts w:asciiTheme="minorHAnsi" w:eastAsiaTheme="minorEastAsia" w:hAnsiTheme="minorHAnsi"/>
          <w:lang w:val="en-US"/>
        </w:rPr>
      </w:pPr>
      <w:hyperlink w:anchor="_Toc59988342" w:history="1">
        <w:r>
          <w:rPr>
            <w:rStyle w:val="Hyperlink"/>
          </w:rPr>
          <w:t>V sadaļa. Intelektuālais īpašums</w:t>
        </w:r>
        <w:r>
          <w:rPr>
            <w:webHidden/>
          </w:rPr>
          <w:tab/>
        </w:r>
        <w:r>
          <w:rPr>
            <w:webHidden/>
          </w:rPr>
          <w:fldChar w:fldCharType="begin"/>
        </w:r>
        <w:r>
          <w:rPr>
            <w:webHidden/>
          </w:rPr>
          <w:instrText xml:space="preserve"> PAGEREF _Toc59988342 \h </w:instrText>
        </w:r>
        <w:r>
          <w:rPr>
            <w:webHidden/>
          </w:rPr>
        </w:r>
        <w:r>
          <w:rPr>
            <w:webHidden/>
          </w:rPr>
          <w:fldChar w:fldCharType="separate"/>
        </w:r>
        <w:r>
          <w:rPr>
            <w:webHidden/>
          </w:rPr>
          <w:t>122</w:t>
        </w:r>
        <w:r>
          <w:rPr>
            <w:webHidden/>
          </w:rPr>
          <w:fldChar w:fldCharType="end"/>
        </w:r>
      </w:hyperlink>
    </w:p>
    <w:p w:rsidR="003E022D" w:rsidRDefault="007D19D6">
      <w:pPr>
        <w:pStyle w:val="TOC3"/>
        <w:rPr>
          <w:rFonts w:asciiTheme="minorHAnsi" w:eastAsiaTheme="minorEastAsia" w:hAnsiTheme="minorHAnsi"/>
          <w:lang w:val="en-US"/>
        </w:rPr>
      </w:pPr>
      <w:hyperlink w:anchor="_Toc59988343" w:history="1">
        <w:r>
          <w:rPr>
            <w:rStyle w:val="Hyperlink"/>
          </w:rPr>
          <w:t>VI sadaļa. Publiskais iepirkums</w:t>
        </w:r>
        <w:r>
          <w:rPr>
            <w:webHidden/>
          </w:rPr>
          <w:tab/>
        </w:r>
        <w:r>
          <w:rPr>
            <w:webHidden/>
          </w:rPr>
          <w:fldChar w:fldCharType="begin"/>
        </w:r>
        <w:r>
          <w:rPr>
            <w:webHidden/>
          </w:rPr>
          <w:instrText xml:space="preserve"> PAGEREF _Toc59988343 \h </w:instrText>
        </w:r>
        <w:r>
          <w:rPr>
            <w:webHidden/>
          </w:rPr>
        </w:r>
        <w:r>
          <w:rPr>
            <w:webHidden/>
          </w:rPr>
          <w:fldChar w:fldCharType="separate"/>
        </w:r>
        <w:r>
          <w:rPr>
            <w:webHidden/>
          </w:rPr>
          <w:t>144</w:t>
        </w:r>
        <w:r>
          <w:rPr>
            <w:webHidden/>
          </w:rPr>
          <w:fldChar w:fldCharType="end"/>
        </w:r>
      </w:hyperlink>
    </w:p>
    <w:p w:rsidR="003E022D" w:rsidRDefault="007D19D6">
      <w:pPr>
        <w:pStyle w:val="TOC3"/>
        <w:rPr>
          <w:rFonts w:asciiTheme="minorHAnsi" w:eastAsiaTheme="minorEastAsia" w:hAnsiTheme="minorHAnsi"/>
          <w:lang w:val="en-US"/>
        </w:rPr>
      </w:pPr>
      <w:hyperlink w:anchor="_Toc59988344" w:history="1">
        <w:r>
          <w:rPr>
            <w:rStyle w:val="Hyperlink"/>
          </w:rPr>
          <w:t>VII sadaļa. Mazie un vidējie uzņēmumi</w:t>
        </w:r>
        <w:r>
          <w:rPr>
            <w:webHidden/>
          </w:rPr>
          <w:tab/>
        </w:r>
        <w:r>
          <w:rPr>
            <w:webHidden/>
          </w:rPr>
          <w:fldChar w:fldCharType="begin"/>
        </w:r>
        <w:r>
          <w:rPr>
            <w:webHidden/>
          </w:rPr>
          <w:instrText xml:space="preserve"> PAGEREF _Toc59988344 \h </w:instrText>
        </w:r>
        <w:r>
          <w:rPr>
            <w:webHidden/>
          </w:rPr>
        </w:r>
        <w:r>
          <w:rPr>
            <w:webHidden/>
          </w:rPr>
          <w:fldChar w:fldCharType="separate"/>
        </w:r>
        <w:r>
          <w:rPr>
            <w:webHidden/>
          </w:rPr>
          <w:t>149</w:t>
        </w:r>
        <w:r>
          <w:rPr>
            <w:webHidden/>
          </w:rPr>
          <w:fldChar w:fldCharType="end"/>
        </w:r>
      </w:hyperlink>
    </w:p>
    <w:p w:rsidR="003E022D" w:rsidRDefault="007D19D6">
      <w:pPr>
        <w:pStyle w:val="TOC3"/>
        <w:rPr>
          <w:rFonts w:asciiTheme="minorHAnsi" w:eastAsiaTheme="minorEastAsia" w:hAnsiTheme="minorHAnsi"/>
          <w:lang w:val="en-US"/>
        </w:rPr>
      </w:pPr>
      <w:hyperlink w:anchor="_Toc59988345" w:history="1">
        <w:r>
          <w:rPr>
            <w:rStyle w:val="Hyperlink"/>
          </w:rPr>
          <w:t>VIII sadaļa. Enerģija</w:t>
        </w:r>
        <w:r>
          <w:rPr>
            <w:webHidden/>
          </w:rPr>
          <w:tab/>
        </w:r>
        <w:r>
          <w:rPr>
            <w:webHidden/>
          </w:rPr>
          <w:fldChar w:fldCharType="begin"/>
        </w:r>
        <w:r>
          <w:rPr>
            <w:webHidden/>
          </w:rPr>
          <w:instrText xml:space="preserve"> PAGEREF _Toc59988345 \h </w:instrText>
        </w:r>
        <w:r>
          <w:rPr>
            <w:webHidden/>
          </w:rPr>
        </w:r>
        <w:r>
          <w:rPr>
            <w:webHidden/>
          </w:rPr>
          <w:fldChar w:fldCharType="separate"/>
        </w:r>
        <w:r>
          <w:rPr>
            <w:webHidden/>
          </w:rPr>
          <w:t>152</w:t>
        </w:r>
        <w:r>
          <w:rPr>
            <w:webHidden/>
          </w:rPr>
          <w:fldChar w:fldCharType="end"/>
        </w:r>
      </w:hyperlink>
    </w:p>
    <w:p w:rsidR="003E022D" w:rsidRDefault="007D19D6">
      <w:pPr>
        <w:pStyle w:val="TOC3"/>
        <w:rPr>
          <w:rFonts w:asciiTheme="minorHAnsi" w:eastAsiaTheme="minorEastAsia" w:hAnsiTheme="minorHAnsi"/>
          <w:lang w:val="en-US"/>
        </w:rPr>
      </w:pPr>
      <w:hyperlink w:anchor="_Toc59988346" w:history="1">
        <w:r>
          <w:rPr>
            <w:rStyle w:val="Hyperlink"/>
          </w:rPr>
          <w:t>IX sadaļa. Pārredzamība</w:t>
        </w:r>
        <w:r>
          <w:rPr>
            <w:webHidden/>
          </w:rPr>
          <w:tab/>
        </w:r>
        <w:r>
          <w:rPr>
            <w:webHidden/>
          </w:rPr>
          <w:fldChar w:fldCharType="begin"/>
        </w:r>
        <w:r>
          <w:rPr>
            <w:webHidden/>
          </w:rPr>
          <w:instrText xml:space="preserve"> PAGEREF _Toc59988346 \h </w:instrText>
        </w:r>
        <w:r>
          <w:rPr>
            <w:webHidden/>
          </w:rPr>
        </w:r>
        <w:r>
          <w:rPr>
            <w:webHidden/>
          </w:rPr>
          <w:fldChar w:fldCharType="separate"/>
        </w:r>
        <w:r>
          <w:rPr>
            <w:webHidden/>
          </w:rPr>
          <w:t>168</w:t>
        </w:r>
        <w:r>
          <w:rPr>
            <w:webHidden/>
          </w:rPr>
          <w:fldChar w:fldCharType="end"/>
        </w:r>
      </w:hyperlink>
    </w:p>
    <w:p w:rsidR="003E022D" w:rsidRDefault="007D19D6">
      <w:pPr>
        <w:pStyle w:val="TOC3"/>
        <w:rPr>
          <w:rFonts w:asciiTheme="minorHAnsi" w:eastAsiaTheme="minorEastAsia" w:hAnsiTheme="minorHAnsi"/>
          <w:lang w:val="en-US"/>
        </w:rPr>
      </w:pPr>
      <w:hyperlink w:anchor="_Toc59988347" w:history="1">
        <w:r>
          <w:rPr>
            <w:rStyle w:val="Hyperlink"/>
          </w:rPr>
          <w:t>X sadaļa. Laba regulatīvā prakse un regulatīvā sadarbība</w:t>
        </w:r>
        <w:r>
          <w:rPr>
            <w:webHidden/>
          </w:rPr>
          <w:tab/>
        </w:r>
        <w:r>
          <w:rPr>
            <w:webHidden/>
          </w:rPr>
          <w:fldChar w:fldCharType="begin"/>
        </w:r>
        <w:r>
          <w:rPr>
            <w:webHidden/>
          </w:rPr>
          <w:instrText xml:space="preserve"> PAGEREF _Toc59988347 \h </w:instrText>
        </w:r>
        <w:r>
          <w:rPr>
            <w:webHidden/>
          </w:rPr>
        </w:r>
        <w:r>
          <w:rPr>
            <w:webHidden/>
          </w:rPr>
          <w:fldChar w:fldCharType="separate"/>
        </w:r>
        <w:r>
          <w:rPr>
            <w:webHidden/>
          </w:rPr>
          <w:t>169</w:t>
        </w:r>
        <w:r>
          <w:rPr>
            <w:webHidden/>
          </w:rPr>
          <w:fldChar w:fldCharType="end"/>
        </w:r>
      </w:hyperlink>
    </w:p>
    <w:p w:rsidR="003E022D" w:rsidRDefault="007D19D6">
      <w:pPr>
        <w:pStyle w:val="TOC3"/>
        <w:rPr>
          <w:rFonts w:asciiTheme="minorHAnsi" w:eastAsiaTheme="minorEastAsia" w:hAnsiTheme="minorHAnsi"/>
          <w:lang w:val="en-US"/>
        </w:rPr>
      </w:pPr>
      <w:hyperlink w:anchor="_Toc59988348" w:history="1">
        <w:r>
          <w:rPr>
            <w:rStyle w:val="Hyperlink"/>
          </w:rPr>
          <w:t>XI sadaļa. Vienlīdzī</w:t>
        </w:r>
        <w:r>
          <w:rPr>
            <w:rStyle w:val="Hyperlink"/>
          </w:rPr>
          <w:t>gi apstākļi atvērtai un godīgai konkurencei un ilgtspējīgai attīstībai</w:t>
        </w:r>
        <w:r>
          <w:rPr>
            <w:webHidden/>
          </w:rPr>
          <w:tab/>
        </w:r>
        <w:r>
          <w:rPr>
            <w:webHidden/>
          </w:rPr>
          <w:fldChar w:fldCharType="begin"/>
        </w:r>
        <w:r>
          <w:rPr>
            <w:webHidden/>
          </w:rPr>
          <w:instrText xml:space="preserve"> PAGEREF _Toc59988348 \h </w:instrText>
        </w:r>
        <w:r>
          <w:rPr>
            <w:webHidden/>
          </w:rPr>
        </w:r>
        <w:r>
          <w:rPr>
            <w:webHidden/>
          </w:rPr>
          <w:fldChar w:fldCharType="separate"/>
        </w:r>
        <w:r>
          <w:rPr>
            <w:webHidden/>
          </w:rPr>
          <w:t>175</w:t>
        </w:r>
        <w:r>
          <w:rPr>
            <w:webHidden/>
          </w:rPr>
          <w:fldChar w:fldCharType="end"/>
        </w:r>
      </w:hyperlink>
    </w:p>
    <w:p w:rsidR="003E022D" w:rsidRDefault="007D19D6">
      <w:pPr>
        <w:pStyle w:val="TOC3"/>
        <w:rPr>
          <w:rFonts w:asciiTheme="minorHAnsi" w:eastAsiaTheme="minorEastAsia" w:hAnsiTheme="minorHAnsi"/>
          <w:lang w:val="en-US"/>
        </w:rPr>
      </w:pPr>
      <w:hyperlink w:anchor="_Toc59988349" w:history="1">
        <w:r>
          <w:rPr>
            <w:rStyle w:val="Hyperlink"/>
          </w:rPr>
          <w:t>XII sadaļa. Izņēmumi</w:t>
        </w:r>
        <w:r>
          <w:rPr>
            <w:webHidden/>
          </w:rPr>
          <w:tab/>
        </w:r>
        <w:r>
          <w:rPr>
            <w:webHidden/>
          </w:rPr>
          <w:fldChar w:fldCharType="begin"/>
        </w:r>
        <w:r>
          <w:rPr>
            <w:webHidden/>
          </w:rPr>
          <w:instrText xml:space="preserve"> PAGEREF _Toc59988349 \h </w:instrText>
        </w:r>
        <w:r>
          <w:rPr>
            <w:webHidden/>
          </w:rPr>
        </w:r>
        <w:r>
          <w:rPr>
            <w:webHidden/>
          </w:rPr>
          <w:fldChar w:fldCharType="separate"/>
        </w:r>
        <w:r>
          <w:rPr>
            <w:webHidden/>
          </w:rPr>
          <w:t>211</w:t>
        </w:r>
        <w:r>
          <w:rPr>
            <w:webHidden/>
          </w:rPr>
          <w:fldChar w:fldCharType="end"/>
        </w:r>
      </w:hyperlink>
    </w:p>
    <w:p w:rsidR="003E022D" w:rsidRDefault="007D19D6">
      <w:pPr>
        <w:pStyle w:val="TOC2"/>
        <w:rPr>
          <w:rFonts w:asciiTheme="minorHAnsi" w:eastAsiaTheme="minorEastAsia" w:hAnsiTheme="minorHAnsi"/>
          <w:noProof/>
          <w:lang w:val="en-US"/>
        </w:rPr>
      </w:pPr>
      <w:hyperlink w:anchor="_Toc59988350" w:history="1">
        <w:r>
          <w:rPr>
            <w:rStyle w:val="Hyperlink"/>
            <w:noProof/>
          </w:rPr>
          <w:t>OTRAIS TEMATS. AVIĀCIJA</w:t>
        </w:r>
        <w:r>
          <w:rPr>
            <w:noProof/>
            <w:webHidden/>
          </w:rPr>
          <w:tab/>
        </w:r>
        <w:r>
          <w:rPr>
            <w:noProof/>
            <w:webHidden/>
          </w:rPr>
          <w:fldChar w:fldCharType="begin"/>
        </w:r>
        <w:r>
          <w:rPr>
            <w:noProof/>
            <w:webHidden/>
          </w:rPr>
          <w:instrText xml:space="preserve"> PAGEREF _Toc59988350 \h </w:instrText>
        </w:r>
        <w:r>
          <w:rPr>
            <w:noProof/>
            <w:webHidden/>
          </w:rPr>
        </w:r>
        <w:r>
          <w:rPr>
            <w:noProof/>
            <w:webHidden/>
          </w:rPr>
          <w:fldChar w:fldCharType="separate"/>
        </w:r>
        <w:r>
          <w:rPr>
            <w:noProof/>
            <w:webHidden/>
          </w:rPr>
          <w:t>216</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351" w:history="1">
        <w:r>
          <w:rPr>
            <w:rStyle w:val="Hyperlink"/>
          </w:rPr>
          <w:t>I sadaļa. Gaisa transports</w:t>
        </w:r>
        <w:r>
          <w:rPr>
            <w:webHidden/>
          </w:rPr>
          <w:tab/>
        </w:r>
        <w:r>
          <w:rPr>
            <w:webHidden/>
          </w:rPr>
          <w:fldChar w:fldCharType="begin"/>
        </w:r>
        <w:r>
          <w:rPr>
            <w:webHidden/>
          </w:rPr>
          <w:instrText xml:space="preserve"> PAGEREF _Toc59988351 \h </w:instrText>
        </w:r>
        <w:r>
          <w:rPr>
            <w:webHidden/>
          </w:rPr>
        </w:r>
        <w:r>
          <w:rPr>
            <w:webHidden/>
          </w:rPr>
          <w:fldChar w:fldCharType="separate"/>
        </w:r>
        <w:r>
          <w:rPr>
            <w:webHidden/>
          </w:rPr>
          <w:t>216</w:t>
        </w:r>
        <w:r>
          <w:rPr>
            <w:webHidden/>
          </w:rPr>
          <w:fldChar w:fldCharType="end"/>
        </w:r>
      </w:hyperlink>
    </w:p>
    <w:p w:rsidR="003E022D" w:rsidRDefault="007D19D6">
      <w:pPr>
        <w:pStyle w:val="TOC3"/>
        <w:rPr>
          <w:rFonts w:asciiTheme="minorHAnsi" w:eastAsiaTheme="minorEastAsia" w:hAnsiTheme="minorHAnsi"/>
          <w:lang w:val="en-US"/>
        </w:rPr>
      </w:pPr>
      <w:hyperlink w:anchor="_Toc59988352" w:history="1">
        <w:r>
          <w:rPr>
            <w:rStyle w:val="Hyperlink"/>
          </w:rPr>
          <w:t>II sad</w:t>
        </w:r>
        <w:r>
          <w:rPr>
            <w:rStyle w:val="Hyperlink"/>
          </w:rPr>
          <w:t>aļa. Aviācijas drošums</w:t>
        </w:r>
        <w:r>
          <w:rPr>
            <w:webHidden/>
          </w:rPr>
          <w:tab/>
        </w:r>
        <w:r>
          <w:rPr>
            <w:webHidden/>
          </w:rPr>
          <w:fldChar w:fldCharType="begin"/>
        </w:r>
        <w:r>
          <w:rPr>
            <w:webHidden/>
          </w:rPr>
          <w:instrText xml:space="preserve"> PAGEREF _Toc59988352 \h </w:instrText>
        </w:r>
        <w:r>
          <w:rPr>
            <w:webHidden/>
          </w:rPr>
        </w:r>
        <w:r>
          <w:rPr>
            <w:webHidden/>
          </w:rPr>
          <w:fldChar w:fldCharType="separate"/>
        </w:r>
        <w:r>
          <w:rPr>
            <w:webHidden/>
          </w:rPr>
          <w:t>235</w:t>
        </w:r>
        <w:r>
          <w:rPr>
            <w:webHidden/>
          </w:rPr>
          <w:fldChar w:fldCharType="end"/>
        </w:r>
      </w:hyperlink>
    </w:p>
    <w:p w:rsidR="003E022D" w:rsidRDefault="007D19D6">
      <w:pPr>
        <w:pStyle w:val="TOC2"/>
        <w:rPr>
          <w:rFonts w:asciiTheme="minorHAnsi" w:eastAsiaTheme="minorEastAsia" w:hAnsiTheme="minorHAnsi"/>
          <w:noProof/>
          <w:lang w:val="en-US"/>
        </w:rPr>
      </w:pPr>
      <w:hyperlink w:anchor="_Toc59988353" w:history="1">
        <w:r>
          <w:rPr>
            <w:rStyle w:val="Hyperlink"/>
            <w:noProof/>
          </w:rPr>
          <w:t>TREŠAIS TEMATS. AUTOTRANSPORTS</w:t>
        </w:r>
        <w:r>
          <w:rPr>
            <w:noProof/>
            <w:webHidden/>
          </w:rPr>
          <w:tab/>
        </w:r>
        <w:r>
          <w:rPr>
            <w:noProof/>
            <w:webHidden/>
          </w:rPr>
          <w:fldChar w:fldCharType="begin"/>
        </w:r>
        <w:r>
          <w:rPr>
            <w:noProof/>
            <w:webHidden/>
          </w:rPr>
          <w:instrText xml:space="preserve"> PAGEREF _Toc59988353 \h </w:instrText>
        </w:r>
        <w:r>
          <w:rPr>
            <w:noProof/>
            <w:webHidden/>
          </w:rPr>
        </w:r>
        <w:r>
          <w:rPr>
            <w:noProof/>
            <w:webHidden/>
          </w:rPr>
          <w:fldChar w:fldCharType="separate"/>
        </w:r>
        <w:r>
          <w:rPr>
            <w:noProof/>
            <w:webHidden/>
          </w:rPr>
          <w:t>241</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354" w:history="1">
        <w:r>
          <w:rPr>
            <w:rStyle w:val="Hyperlink"/>
          </w:rPr>
          <w:t>I sadaļa. Kravu autopārvadājumi</w:t>
        </w:r>
        <w:r>
          <w:rPr>
            <w:webHidden/>
          </w:rPr>
          <w:tab/>
        </w:r>
        <w:r>
          <w:rPr>
            <w:webHidden/>
          </w:rPr>
          <w:fldChar w:fldCharType="begin"/>
        </w:r>
        <w:r>
          <w:rPr>
            <w:webHidden/>
          </w:rPr>
          <w:instrText xml:space="preserve"> PAGEREF _Toc59988354 \h </w:instrText>
        </w:r>
        <w:r>
          <w:rPr>
            <w:webHidden/>
          </w:rPr>
        </w:r>
        <w:r>
          <w:rPr>
            <w:webHidden/>
          </w:rPr>
          <w:fldChar w:fldCharType="separate"/>
        </w:r>
        <w:r>
          <w:rPr>
            <w:webHidden/>
          </w:rPr>
          <w:t>241</w:t>
        </w:r>
        <w:r>
          <w:rPr>
            <w:webHidden/>
          </w:rPr>
          <w:fldChar w:fldCharType="end"/>
        </w:r>
      </w:hyperlink>
    </w:p>
    <w:p w:rsidR="003E022D" w:rsidRDefault="007D19D6">
      <w:pPr>
        <w:pStyle w:val="TOC3"/>
        <w:rPr>
          <w:rFonts w:asciiTheme="minorHAnsi" w:eastAsiaTheme="minorEastAsia" w:hAnsiTheme="minorHAnsi"/>
          <w:lang w:val="en-US"/>
        </w:rPr>
      </w:pPr>
      <w:hyperlink w:anchor="_Toc59988355" w:history="1">
        <w:r>
          <w:rPr>
            <w:rStyle w:val="Hyperlink"/>
          </w:rPr>
          <w:t>II sadaļa. Pasažieru autopārvadājumi</w:t>
        </w:r>
        <w:r>
          <w:rPr>
            <w:webHidden/>
          </w:rPr>
          <w:tab/>
        </w:r>
        <w:r>
          <w:rPr>
            <w:webHidden/>
          </w:rPr>
          <w:fldChar w:fldCharType="begin"/>
        </w:r>
        <w:r>
          <w:rPr>
            <w:webHidden/>
          </w:rPr>
          <w:instrText xml:space="preserve"> PAGERE</w:instrText>
        </w:r>
        <w:r>
          <w:rPr>
            <w:webHidden/>
          </w:rPr>
          <w:instrText xml:space="preserve">F _Toc59988355 \h </w:instrText>
        </w:r>
        <w:r>
          <w:rPr>
            <w:webHidden/>
          </w:rPr>
        </w:r>
        <w:r>
          <w:rPr>
            <w:webHidden/>
          </w:rPr>
          <w:fldChar w:fldCharType="separate"/>
        </w:r>
        <w:r>
          <w:rPr>
            <w:webHidden/>
          </w:rPr>
          <w:t>246</w:t>
        </w:r>
        <w:r>
          <w:rPr>
            <w:webHidden/>
          </w:rPr>
          <w:fldChar w:fldCharType="end"/>
        </w:r>
      </w:hyperlink>
    </w:p>
    <w:p w:rsidR="003E022D" w:rsidRDefault="007D19D6">
      <w:pPr>
        <w:pStyle w:val="TOC2"/>
        <w:rPr>
          <w:rFonts w:asciiTheme="minorHAnsi" w:eastAsiaTheme="minorEastAsia" w:hAnsiTheme="minorHAnsi"/>
          <w:noProof/>
          <w:lang w:val="en-US"/>
        </w:rPr>
      </w:pPr>
      <w:hyperlink w:anchor="_Toc59988356" w:history="1">
        <w:r>
          <w:rPr>
            <w:rStyle w:val="Hyperlink"/>
            <w:noProof/>
          </w:rPr>
          <w:t>CETURTAIS TEMATS. SOCIĀLĀ NODROŠINĀJUMA KOORDINĀCIJA UN VĪZAS ĪSTERMIŅA APMEKLĒJUMIEM</w:t>
        </w:r>
        <w:r>
          <w:rPr>
            <w:noProof/>
            <w:webHidden/>
          </w:rPr>
          <w:tab/>
        </w:r>
        <w:r>
          <w:rPr>
            <w:noProof/>
            <w:webHidden/>
          </w:rPr>
          <w:fldChar w:fldCharType="begin"/>
        </w:r>
        <w:r>
          <w:rPr>
            <w:noProof/>
            <w:webHidden/>
          </w:rPr>
          <w:instrText xml:space="preserve"> PAGEREF _Toc59988356 \h </w:instrText>
        </w:r>
        <w:r>
          <w:rPr>
            <w:noProof/>
            <w:webHidden/>
          </w:rPr>
        </w:r>
        <w:r>
          <w:rPr>
            <w:noProof/>
            <w:webHidden/>
          </w:rPr>
          <w:fldChar w:fldCharType="separate"/>
        </w:r>
        <w:r>
          <w:rPr>
            <w:noProof/>
            <w:webHidden/>
          </w:rPr>
          <w:t>254</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357" w:history="1">
        <w:r>
          <w:rPr>
            <w:rStyle w:val="Hyperlink"/>
          </w:rPr>
          <w:t>I sadaļa. Sociālā nodrošinājuma koordinācija</w:t>
        </w:r>
        <w:r>
          <w:rPr>
            <w:webHidden/>
          </w:rPr>
          <w:tab/>
        </w:r>
        <w:r>
          <w:rPr>
            <w:webHidden/>
          </w:rPr>
          <w:fldChar w:fldCharType="begin"/>
        </w:r>
        <w:r>
          <w:rPr>
            <w:webHidden/>
          </w:rPr>
          <w:instrText xml:space="preserve"> PAGEREF _Toc59988357 \h </w:instrText>
        </w:r>
        <w:r>
          <w:rPr>
            <w:webHidden/>
          </w:rPr>
        </w:r>
        <w:r>
          <w:rPr>
            <w:webHidden/>
          </w:rPr>
          <w:fldChar w:fldCharType="separate"/>
        </w:r>
        <w:r>
          <w:rPr>
            <w:webHidden/>
          </w:rPr>
          <w:t>254</w:t>
        </w:r>
        <w:r>
          <w:rPr>
            <w:webHidden/>
          </w:rPr>
          <w:fldChar w:fldCharType="end"/>
        </w:r>
      </w:hyperlink>
    </w:p>
    <w:p w:rsidR="003E022D" w:rsidRDefault="007D19D6">
      <w:pPr>
        <w:pStyle w:val="TOC3"/>
        <w:rPr>
          <w:rFonts w:asciiTheme="minorHAnsi" w:eastAsiaTheme="minorEastAsia" w:hAnsiTheme="minorHAnsi"/>
          <w:lang w:val="en-US"/>
        </w:rPr>
      </w:pPr>
      <w:hyperlink w:anchor="_Toc59988358" w:history="1">
        <w:r>
          <w:rPr>
            <w:rStyle w:val="Hyperlink"/>
          </w:rPr>
          <w:t>II sadaļa. Vīzas īstermiņa apmeklējumiem</w:t>
        </w:r>
        <w:r>
          <w:rPr>
            <w:webHidden/>
          </w:rPr>
          <w:tab/>
        </w:r>
        <w:r>
          <w:rPr>
            <w:webHidden/>
          </w:rPr>
          <w:fldChar w:fldCharType="begin"/>
        </w:r>
        <w:r>
          <w:rPr>
            <w:webHidden/>
          </w:rPr>
          <w:instrText xml:space="preserve"> PAGEREF _Toc59988358 \h </w:instrText>
        </w:r>
        <w:r>
          <w:rPr>
            <w:webHidden/>
          </w:rPr>
        </w:r>
        <w:r>
          <w:rPr>
            <w:webHidden/>
          </w:rPr>
          <w:fldChar w:fldCharType="separate"/>
        </w:r>
        <w:r>
          <w:rPr>
            <w:webHidden/>
          </w:rPr>
          <w:t>254</w:t>
        </w:r>
        <w:r>
          <w:rPr>
            <w:webHidden/>
          </w:rPr>
          <w:fldChar w:fldCharType="end"/>
        </w:r>
      </w:hyperlink>
    </w:p>
    <w:p w:rsidR="003E022D" w:rsidRDefault="007D19D6">
      <w:pPr>
        <w:pStyle w:val="TOC2"/>
        <w:rPr>
          <w:rFonts w:asciiTheme="minorHAnsi" w:eastAsiaTheme="minorEastAsia" w:hAnsiTheme="minorHAnsi"/>
          <w:noProof/>
          <w:lang w:val="en-US"/>
        </w:rPr>
      </w:pPr>
      <w:hyperlink w:anchor="_Toc59988359" w:history="1">
        <w:r>
          <w:rPr>
            <w:rStyle w:val="Hyperlink"/>
            <w:noProof/>
          </w:rPr>
          <w:t>PIEKTAIS TEMATS. ZVEJNIECĪBA</w:t>
        </w:r>
        <w:r>
          <w:rPr>
            <w:noProof/>
            <w:webHidden/>
          </w:rPr>
          <w:tab/>
        </w:r>
        <w:r>
          <w:rPr>
            <w:noProof/>
            <w:webHidden/>
          </w:rPr>
          <w:fldChar w:fldCharType="begin"/>
        </w:r>
        <w:r>
          <w:rPr>
            <w:noProof/>
            <w:webHidden/>
          </w:rPr>
          <w:instrText xml:space="preserve"> PAGEREF _Toc59988359 \h </w:instrText>
        </w:r>
        <w:r>
          <w:rPr>
            <w:noProof/>
            <w:webHidden/>
          </w:rPr>
        </w:r>
        <w:r>
          <w:rPr>
            <w:noProof/>
            <w:webHidden/>
          </w:rPr>
          <w:fldChar w:fldCharType="separate"/>
        </w:r>
        <w:r>
          <w:rPr>
            <w:noProof/>
            <w:webHidden/>
          </w:rPr>
          <w:t>255</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60" w:history="1">
        <w:r>
          <w:rPr>
            <w:rStyle w:val="Hyperlink"/>
            <w:noProof/>
          </w:rPr>
          <w:t>SESTAIS TEMATS CITI NOTEIKUMI</w:t>
        </w:r>
        <w:r>
          <w:rPr>
            <w:noProof/>
            <w:webHidden/>
          </w:rPr>
          <w:tab/>
        </w:r>
        <w:r>
          <w:rPr>
            <w:noProof/>
            <w:webHidden/>
          </w:rPr>
          <w:fldChar w:fldCharType="begin"/>
        </w:r>
        <w:r>
          <w:rPr>
            <w:noProof/>
            <w:webHidden/>
          </w:rPr>
          <w:instrText xml:space="preserve"> PAGEREF _Toc59988360 \h </w:instrText>
        </w:r>
        <w:r>
          <w:rPr>
            <w:noProof/>
            <w:webHidden/>
          </w:rPr>
        </w:r>
        <w:r>
          <w:rPr>
            <w:noProof/>
            <w:webHidden/>
          </w:rPr>
          <w:fldChar w:fldCharType="separate"/>
        </w:r>
        <w:r>
          <w:rPr>
            <w:noProof/>
            <w:webHidden/>
          </w:rPr>
          <w:t>268</w:t>
        </w:r>
        <w:r>
          <w:rPr>
            <w:noProof/>
            <w:webHidden/>
          </w:rPr>
          <w:fldChar w:fldCharType="end"/>
        </w:r>
      </w:hyperlink>
    </w:p>
    <w:p w:rsidR="003E022D" w:rsidRDefault="007D19D6">
      <w:pPr>
        <w:pStyle w:val="TOC1"/>
        <w:rPr>
          <w:rFonts w:asciiTheme="minorHAnsi" w:eastAsiaTheme="minorEastAsia" w:hAnsiTheme="minorHAnsi"/>
          <w:b w:val="0"/>
          <w:noProof/>
          <w:lang w:val="en-US"/>
        </w:rPr>
      </w:pPr>
      <w:hyperlink w:anchor="_Toc59988361" w:history="1">
        <w:r>
          <w:rPr>
            <w:rStyle w:val="Hyperlink"/>
            <w:noProof/>
          </w:rPr>
          <w:t xml:space="preserve">TREŠĀ DAĻA. </w:t>
        </w:r>
        <w:r>
          <w:rPr>
            <w:rStyle w:val="Hyperlink"/>
            <w:noProof/>
          </w:rPr>
          <w:t>TIESĪBAIZSARDZĪBAS IESTĀŽU UN TIESU IESTĀŽU SADARBĪBA KRIMINĀLLIETĀS</w:t>
        </w:r>
        <w:r>
          <w:rPr>
            <w:noProof/>
            <w:webHidden/>
          </w:rPr>
          <w:tab/>
        </w:r>
        <w:r>
          <w:rPr>
            <w:noProof/>
            <w:webHidden/>
          </w:rPr>
          <w:fldChar w:fldCharType="begin"/>
        </w:r>
        <w:r>
          <w:rPr>
            <w:noProof/>
            <w:webHidden/>
          </w:rPr>
          <w:instrText xml:space="preserve"> PAGEREF _Toc59988361 \h </w:instrText>
        </w:r>
        <w:r>
          <w:rPr>
            <w:noProof/>
            <w:webHidden/>
          </w:rPr>
        </w:r>
        <w:r>
          <w:rPr>
            <w:noProof/>
            <w:webHidden/>
          </w:rPr>
          <w:fldChar w:fldCharType="separate"/>
        </w:r>
        <w:r>
          <w:rPr>
            <w:noProof/>
            <w:webHidden/>
          </w:rPr>
          <w:t>275</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362" w:history="1">
        <w:r>
          <w:rPr>
            <w:rStyle w:val="Hyperlink"/>
            <w:lang w:val="fr-BE"/>
          </w:rPr>
          <w:t>I sadaļa. Vispārīgi noteikumi</w:t>
        </w:r>
        <w:r>
          <w:rPr>
            <w:webHidden/>
          </w:rPr>
          <w:tab/>
        </w:r>
        <w:r>
          <w:rPr>
            <w:webHidden/>
          </w:rPr>
          <w:fldChar w:fldCharType="begin"/>
        </w:r>
        <w:r>
          <w:rPr>
            <w:webHidden/>
          </w:rPr>
          <w:instrText xml:space="preserve"> PAGEREF _Toc59988362 \h </w:instrText>
        </w:r>
        <w:r>
          <w:rPr>
            <w:webHidden/>
          </w:rPr>
        </w:r>
        <w:r>
          <w:rPr>
            <w:webHidden/>
          </w:rPr>
          <w:fldChar w:fldCharType="separate"/>
        </w:r>
        <w:r>
          <w:rPr>
            <w:webHidden/>
          </w:rPr>
          <w:t>275</w:t>
        </w:r>
        <w:r>
          <w:rPr>
            <w:webHidden/>
          </w:rPr>
          <w:fldChar w:fldCharType="end"/>
        </w:r>
      </w:hyperlink>
    </w:p>
    <w:p w:rsidR="003E022D" w:rsidRDefault="007D19D6">
      <w:pPr>
        <w:pStyle w:val="TOC3"/>
        <w:rPr>
          <w:rFonts w:asciiTheme="minorHAnsi" w:eastAsiaTheme="minorEastAsia" w:hAnsiTheme="minorHAnsi"/>
          <w:lang w:val="en-US"/>
        </w:rPr>
      </w:pPr>
      <w:hyperlink w:anchor="_Toc59988363" w:history="1">
        <w:r>
          <w:rPr>
            <w:rStyle w:val="Hyperlink"/>
          </w:rPr>
          <w:t>II sadaļa. Apmaiņa ar DNS, pirkstu nospiedumu un transportlīdzekļu reģistrācijas datiem</w:t>
        </w:r>
        <w:r>
          <w:rPr>
            <w:webHidden/>
          </w:rPr>
          <w:tab/>
        </w:r>
        <w:r>
          <w:rPr>
            <w:webHidden/>
          </w:rPr>
          <w:fldChar w:fldCharType="begin"/>
        </w:r>
        <w:r>
          <w:rPr>
            <w:webHidden/>
          </w:rPr>
          <w:instrText xml:space="preserve"> PAGEREF _Toc59988363 \h </w:instrText>
        </w:r>
        <w:r>
          <w:rPr>
            <w:webHidden/>
          </w:rPr>
        </w:r>
        <w:r>
          <w:rPr>
            <w:webHidden/>
          </w:rPr>
          <w:fldChar w:fldCharType="separate"/>
        </w:r>
        <w:r>
          <w:rPr>
            <w:webHidden/>
          </w:rPr>
          <w:t>277</w:t>
        </w:r>
        <w:r>
          <w:rPr>
            <w:webHidden/>
          </w:rPr>
          <w:fldChar w:fldCharType="end"/>
        </w:r>
      </w:hyperlink>
    </w:p>
    <w:p w:rsidR="003E022D" w:rsidRDefault="007D19D6">
      <w:pPr>
        <w:pStyle w:val="TOC3"/>
        <w:rPr>
          <w:rFonts w:asciiTheme="minorHAnsi" w:eastAsiaTheme="minorEastAsia" w:hAnsiTheme="minorHAnsi"/>
          <w:lang w:val="en-US"/>
        </w:rPr>
      </w:pPr>
      <w:hyperlink w:anchor="_Toc59988364" w:history="1">
        <w:r>
          <w:rPr>
            <w:rStyle w:val="Hyperlink"/>
            <w:lang w:val="fr-BE"/>
          </w:rPr>
          <w:t>III sadaļa. Pasažieru datu reģistra datu pārsūtīšana un apstrāde</w:t>
        </w:r>
        <w:r>
          <w:rPr>
            <w:webHidden/>
          </w:rPr>
          <w:tab/>
        </w:r>
        <w:r>
          <w:rPr>
            <w:webHidden/>
          </w:rPr>
          <w:fldChar w:fldCharType="begin"/>
        </w:r>
        <w:r>
          <w:rPr>
            <w:webHidden/>
          </w:rPr>
          <w:instrText xml:space="preserve"> PAGEREF _Toc59988364 \h </w:instrText>
        </w:r>
        <w:r>
          <w:rPr>
            <w:webHidden/>
          </w:rPr>
        </w:r>
        <w:r>
          <w:rPr>
            <w:webHidden/>
          </w:rPr>
          <w:fldChar w:fldCharType="separate"/>
        </w:r>
        <w:r>
          <w:rPr>
            <w:webHidden/>
          </w:rPr>
          <w:t>283</w:t>
        </w:r>
        <w:r>
          <w:rPr>
            <w:webHidden/>
          </w:rPr>
          <w:fldChar w:fldCharType="end"/>
        </w:r>
      </w:hyperlink>
    </w:p>
    <w:p w:rsidR="003E022D" w:rsidRDefault="007D19D6">
      <w:pPr>
        <w:pStyle w:val="TOC3"/>
        <w:rPr>
          <w:rFonts w:asciiTheme="minorHAnsi" w:eastAsiaTheme="minorEastAsia" w:hAnsiTheme="minorHAnsi"/>
          <w:lang w:val="en-US"/>
        </w:rPr>
      </w:pPr>
      <w:hyperlink w:anchor="_Toc59988365" w:history="1">
        <w:r>
          <w:rPr>
            <w:rStyle w:val="Hyperlink"/>
          </w:rPr>
          <w:t>IV sad</w:t>
        </w:r>
        <w:r>
          <w:rPr>
            <w:rStyle w:val="Hyperlink"/>
          </w:rPr>
          <w:t>aļa. Sadarbība operatīvās informācijas jomā</w:t>
        </w:r>
        <w:r>
          <w:rPr>
            <w:webHidden/>
          </w:rPr>
          <w:tab/>
        </w:r>
        <w:r>
          <w:rPr>
            <w:webHidden/>
          </w:rPr>
          <w:fldChar w:fldCharType="begin"/>
        </w:r>
        <w:r>
          <w:rPr>
            <w:webHidden/>
          </w:rPr>
          <w:instrText xml:space="preserve"> PAGEREF _Toc59988365 \h </w:instrText>
        </w:r>
        <w:r>
          <w:rPr>
            <w:webHidden/>
          </w:rPr>
        </w:r>
        <w:r>
          <w:rPr>
            <w:webHidden/>
          </w:rPr>
          <w:fldChar w:fldCharType="separate"/>
        </w:r>
        <w:r>
          <w:rPr>
            <w:webHidden/>
          </w:rPr>
          <w:t>294</w:t>
        </w:r>
        <w:r>
          <w:rPr>
            <w:webHidden/>
          </w:rPr>
          <w:fldChar w:fldCharType="end"/>
        </w:r>
      </w:hyperlink>
    </w:p>
    <w:p w:rsidR="003E022D" w:rsidRDefault="007D19D6">
      <w:pPr>
        <w:pStyle w:val="TOC3"/>
        <w:rPr>
          <w:rFonts w:asciiTheme="minorHAnsi" w:eastAsiaTheme="minorEastAsia" w:hAnsiTheme="minorHAnsi"/>
          <w:lang w:val="en-US"/>
        </w:rPr>
      </w:pPr>
      <w:hyperlink w:anchor="_Toc59988366" w:history="1">
        <w:r>
          <w:rPr>
            <w:rStyle w:val="Hyperlink"/>
          </w:rPr>
          <w:t>V sadaļa. Sadarbība ar Eiropolu</w:t>
        </w:r>
        <w:r>
          <w:rPr>
            <w:webHidden/>
          </w:rPr>
          <w:tab/>
        </w:r>
        <w:r>
          <w:rPr>
            <w:webHidden/>
          </w:rPr>
          <w:fldChar w:fldCharType="begin"/>
        </w:r>
        <w:r>
          <w:rPr>
            <w:webHidden/>
          </w:rPr>
          <w:instrText xml:space="preserve"> PAGEREF _Toc59988366 \h </w:instrText>
        </w:r>
        <w:r>
          <w:rPr>
            <w:webHidden/>
          </w:rPr>
        </w:r>
        <w:r>
          <w:rPr>
            <w:webHidden/>
          </w:rPr>
          <w:fldChar w:fldCharType="separate"/>
        </w:r>
        <w:r>
          <w:rPr>
            <w:webHidden/>
          </w:rPr>
          <w:t>295</w:t>
        </w:r>
        <w:r>
          <w:rPr>
            <w:webHidden/>
          </w:rPr>
          <w:fldChar w:fldCharType="end"/>
        </w:r>
      </w:hyperlink>
    </w:p>
    <w:p w:rsidR="003E022D" w:rsidRDefault="007D19D6">
      <w:pPr>
        <w:pStyle w:val="TOC3"/>
        <w:rPr>
          <w:rFonts w:asciiTheme="minorHAnsi" w:eastAsiaTheme="minorEastAsia" w:hAnsiTheme="minorHAnsi"/>
          <w:lang w:val="en-US"/>
        </w:rPr>
      </w:pPr>
      <w:hyperlink w:anchor="_Toc59988367" w:history="1">
        <w:r>
          <w:rPr>
            <w:rStyle w:val="Hyperlink"/>
          </w:rPr>
          <w:t>VI sadaļa. Sadarbība ar Eurojust</w:t>
        </w:r>
        <w:r>
          <w:rPr>
            <w:webHidden/>
          </w:rPr>
          <w:tab/>
        </w:r>
        <w:r>
          <w:rPr>
            <w:webHidden/>
          </w:rPr>
          <w:fldChar w:fldCharType="begin"/>
        </w:r>
        <w:r>
          <w:rPr>
            <w:webHidden/>
          </w:rPr>
          <w:instrText xml:space="preserve"> PAGEREF _Toc59988367 \h </w:instrText>
        </w:r>
        <w:r>
          <w:rPr>
            <w:webHidden/>
          </w:rPr>
        </w:r>
        <w:r>
          <w:rPr>
            <w:webHidden/>
          </w:rPr>
          <w:fldChar w:fldCharType="separate"/>
        </w:r>
        <w:r>
          <w:rPr>
            <w:webHidden/>
          </w:rPr>
          <w:t>301</w:t>
        </w:r>
        <w:r>
          <w:rPr>
            <w:webHidden/>
          </w:rPr>
          <w:fldChar w:fldCharType="end"/>
        </w:r>
      </w:hyperlink>
    </w:p>
    <w:p w:rsidR="003E022D" w:rsidRDefault="007D19D6">
      <w:pPr>
        <w:pStyle w:val="TOC3"/>
        <w:rPr>
          <w:rFonts w:asciiTheme="minorHAnsi" w:eastAsiaTheme="minorEastAsia" w:hAnsiTheme="minorHAnsi"/>
          <w:lang w:val="en-US"/>
        </w:rPr>
      </w:pPr>
      <w:hyperlink w:anchor="_Toc59988368" w:history="1">
        <w:r>
          <w:rPr>
            <w:rStyle w:val="Hyperlink"/>
          </w:rPr>
          <w:t>VII sadaļa. Nodošana</w:t>
        </w:r>
        <w:r>
          <w:rPr>
            <w:webHidden/>
          </w:rPr>
          <w:tab/>
        </w:r>
        <w:r>
          <w:rPr>
            <w:webHidden/>
          </w:rPr>
          <w:fldChar w:fldCharType="begin"/>
        </w:r>
        <w:r>
          <w:rPr>
            <w:webHidden/>
          </w:rPr>
          <w:instrText xml:space="preserve"> PAGEREF _Toc59988368 \h </w:instrText>
        </w:r>
        <w:r>
          <w:rPr>
            <w:webHidden/>
          </w:rPr>
        </w:r>
        <w:r>
          <w:rPr>
            <w:webHidden/>
          </w:rPr>
          <w:fldChar w:fldCharType="separate"/>
        </w:r>
        <w:r>
          <w:rPr>
            <w:webHidden/>
          </w:rPr>
          <w:t>305</w:t>
        </w:r>
        <w:r>
          <w:rPr>
            <w:webHidden/>
          </w:rPr>
          <w:fldChar w:fldCharType="end"/>
        </w:r>
      </w:hyperlink>
    </w:p>
    <w:p w:rsidR="003E022D" w:rsidRDefault="007D19D6">
      <w:pPr>
        <w:pStyle w:val="TOC3"/>
        <w:rPr>
          <w:rFonts w:asciiTheme="minorHAnsi" w:eastAsiaTheme="minorEastAsia" w:hAnsiTheme="minorHAnsi"/>
          <w:lang w:val="en-US"/>
        </w:rPr>
      </w:pPr>
      <w:hyperlink w:anchor="_Toc59988369" w:history="1">
        <w:r>
          <w:rPr>
            <w:rStyle w:val="Hyperlink"/>
          </w:rPr>
          <w:t>VIII sadaļa.</w:t>
        </w:r>
        <w:r>
          <w:rPr>
            <w:rStyle w:val="Hyperlink"/>
          </w:rPr>
          <w:t xml:space="preserve"> Savstarpējā palīdzība</w:t>
        </w:r>
        <w:r>
          <w:rPr>
            <w:webHidden/>
          </w:rPr>
          <w:tab/>
        </w:r>
        <w:r>
          <w:rPr>
            <w:webHidden/>
          </w:rPr>
          <w:fldChar w:fldCharType="begin"/>
        </w:r>
        <w:r>
          <w:rPr>
            <w:webHidden/>
          </w:rPr>
          <w:instrText xml:space="preserve"> PAGEREF _Toc59988369 \h </w:instrText>
        </w:r>
        <w:r>
          <w:rPr>
            <w:webHidden/>
          </w:rPr>
        </w:r>
        <w:r>
          <w:rPr>
            <w:webHidden/>
          </w:rPr>
          <w:fldChar w:fldCharType="separate"/>
        </w:r>
        <w:r>
          <w:rPr>
            <w:webHidden/>
          </w:rPr>
          <w:t>321</w:t>
        </w:r>
        <w:r>
          <w:rPr>
            <w:webHidden/>
          </w:rPr>
          <w:fldChar w:fldCharType="end"/>
        </w:r>
      </w:hyperlink>
    </w:p>
    <w:p w:rsidR="003E022D" w:rsidRDefault="007D19D6">
      <w:pPr>
        <w:pStyle w:val="TOC3"/>
        <w:rPr>
          <w:rFonts w:asciiTheme="minorHAnsi" w:eastAsiaTheme="minorEastAsia" w:hAnsiTheme="minorHAnsi"/>
          <w:lang w:val="en-US"/>
        </w:rPr>
      </w:pPr>
      <w:hyperlink w:anchor="_Toc59988370" w:history="1">
        <w:r>
          <w:rPr>
            <w:rStyle w:val="Hyperlink"/>
          </w:rPr>
          <w:t>IX sadaļa. Apmaiņa ar informāciju no sodāmības reģistra</w:t>
        </w:r>
        <w:r>
          <w:rPr>
            <w:webHidden/>
          </w:rPr>
          <w:tab/>
        </w:r>
        <w:r>
          <w:rPr>
            <w:webHidden/>
          </w:rPr>
          <w:fldChar w:fldCharType="begin"/>
        </w:r>
        <w:r>
          <w:rPr>
            <w:webHidden/>
          </w:rPr>
          <w:instrText xml:space="preserve"> PAGEREF _Toc59988370 \h </w:instrText>
        </w:r>
        <w:r>
          <w:rPr>
            <w:webHidden/>
          </w:rPr>
        </w:r>
        <w:r>
          <w:rPr>
            <w:webHidden/>
          </w:rPr>
          <w:fldChar w:fldCharType="separate"/>
        </w:r>
        <w:r>
          <w:rPr>
            <w:webHidden/>
          </w:rPr>
          <w:t>325</w:t>
        </w:r>
        <w:r>
          <w:rPr>
            <w:webHidden/>
          </w:rPr>
          <w:fldChar w:fldCharType="end"/>
        </w:r>
      </w:hyperlink>
    </w:p>
    <w:p w:rsidR="003E022D" w:rsidRDefault="007D19D6">
      <w:pPr>
        <w:pStyle w:val="TOC3"/>
        <w:rPr>
          <w:rFonts w:asciiTheme="minorHAnsi" w:eastAsiaTheme="minorEastAsia" w:hAnsiTheme="minorHAnsi"/>
          <w:lang w:val="en-US"/>
        </w:rPr>
      </w:pPr>
      <w:hyperlink w:anchor="_Toc59988371" w:history="1">
        <w:r>
          <w:rPr>
            <w:rStyle w:val="Hyperlink"/>
          </w:rPr>
          <w:t>X sadaļa. Nelikumīgi iegūtu līdzekļu legalizēšanas un terorisma finansēšanas apkarošana</w:t>
        </w:r>
        <w:r>
          <w:rPr>
            <w:webHidden/>
          </w:rPr>
          <w:tab/>
        </w:r>
        <w:r>
          <w:rPr>
            <w:webHidden/>
          </w:rPr>
          <w:fldChar w:fldCharType="begin"/>
        </w:r>
        <w:r>
          <w:rPr>
            <w:webHidden/>
          </w:rPr>
          <w:instrText xml:space="preserve"> PAGEREF _Toc59988371 \h </w:instrText>
        </w:r>
        <w:r>
          <w:rPr>
            <w:webHidden/>
          </w:rPr>
        </w:r>
        <w:r>
          <w:rPr>
            <w:webHidden/>
          </w:rPr>
          <w:fldChar w:fldCharType="separate"/>
        </w:r>
        <w:r>
          <w:rPr>
            <w:webHidden/>
          </w:rPr>
          <w:t>328</w:t>
        </w:r>
        <w:r>
          <w:rPr>
            <w:webHidden/>
          </w:rPr>
          <w:fldChar w:fldCharType="end"/>
        </w:r>
      </w:hyperlink>
    </w:p>
    <w:p w:rsidR="003E022D" w:rsidRDefault="007D19D6">
      <w:pPr>
        <w:pStyle w:val="TOC3"/>
        <w:rPr>
          <w:rFonts w:asciiTheme="minorHAnsi" w:eastAsiaTheme="minorEastAsia" w:hAnsiTheme="minorHAnsi"/>
          <w:lang w:val="en-US"/>
        </w:rPr>
      </w:pPr>
      <w:hyperlink w:anchor="_Toc59988372" w:history="1">
        <w:r>
          <w:rPr>
            <w:rStyle w:val="Hyperlink"/>
          </w:rPr>
          <w:t>XI sadaļa. Iesaldēšana un konfiskācija</w:t>
        </w:r>
        <w:r>
          <w:rPr>
            <w:webHidden/>
          </w:rPr>
          <w:tab/>
        </w:r>
        <w:r>
          <w:rPr>
            <w:webHidden/>
          </w:rPr>
          <w:fldChar w:fldCharType="begin"/>
        </w:r>
        <w:r>
          <w:rPr>
            <w:webHidden/>
          </w:rPr>
          <w:instrText xml:space="preserve"> PAGEREF _Toc59988372 \h </w:instrText>
        </w:r>
        <w:r>
          <w:rPr>
            <w:webHidden/>
          </w:rPr>
        </w:r>
        <w:r>
          <w:rPr>
            <w:webHidden/>
          </w:rPr>
          <w:fldChar w:fldCharType="separate"/>
        </w:r>
        <w:r>
          <w:rPr>
            <w:webHidden/>
          </w:rPr>
          <w:t>331</w:t>
        </w:r>
        <w:r>
          <w:rPr>
            <w:webHidden/>
          </w:rPr>
          <w:fldChar w:fldCharType="end"/>
        </w:r>
      </w:hyperlink>
    </w:p>
    <w:p w:rsidR="003E022D" w:rsidRDefault="007D19D6">
      <w:pPr>
        <w:pStyle w:val="TOC3"/>
        <w:rPr>
          <w:rFonts w:asciiTheme="minorHAnsi" w:eastAsiaTheme="minorEastAsia" w:hAnsiTheme="minorHAnsi"/>
          <w:lang w:val="en-US"/>
        </w:rPr>
      </w:pPr>
      <w:hyperlink w:anchor="_Toc59988373" w:history="1">
        <w:r>
          <w:rPr>
            <w:rStyle w:val="Hyperlink"/>
          </w:rPr>
          <w:t>XII sadaļa. Citi noteikumi</w:t>
        </w:r>
        <w:r>
          <w:rPr>
            <w:webHidden/>
          </w:rPr>
          <w:tab/>
        </w:r>
        <w:r>
          <w:rPr>
            <w:webHidden/>
          </w:rPr>
          <w:fldChar w:fldCharType="begin"/>
        </w:r>
        <w:r>
          <w:rPr>
            <w:webHidden/>
          </w:rPr>
          <w:instrText xml:space="preserve"> PAGEREF _Toc59988373 \h </w:instrText>
        </w:r>
        <w:r>
          <w:rPr>
            <w:webHidden/>
          </w:rPr>
        </w:r>
        <w:r>
          <w:rPr>
            <w:webHidden/>
          </w:rPr>
          <w:fldChar w:fldCharType="separate"/>
        </w:r>
        <w:r>
          <w:rPr>
            <w:webHidden/>
          </w:rPr>
          <w:t>345</w:t>
        </w:r>
        <w:r>
          <w:rPr>
            <w:webHidden/>
          </w:rPr>
          <w:fldChar w:fldCharType="end"/>
        </w:r>
      </w:hyperlink>
    </w:p>
    <w:p w:rsidR="003E022D" w:rsidRDefault="007D19D6">
      <w:pPr>
        <w:pStyle w:val="TOC3"/>
        <w:rPr>
          <w:rFonts w:asciiTheme="minorHAnsi" w:eastAsiaTheme="minorEastAsia" w:hAnsiTheme="minorHAnsi"/>
          <w:lang w:val="en-US"/>
        </w:rPr>
      </w:pPr>
      <w:hyperlink w:anchor="_Toc59988374" w:history="1">
        <w:r>
          <w:rPr>
            <w:rStyle w:val="Hyperlink"/>
          </w:rPr>
          <w:t>XIII sadaļa. Strīdu izšķiršana</w:t>
        </w:r>
        <w:r>
          <w:rPr>
            <w:webHidden/>
          </w:rPr>
          <w:tab/>
        </w:r>
        <w:r>
          <w:rPr>
            <w:webHidden/>
          </w:rPr>
          <w:fldChar w:fldCharType="begin"/>
        </w:r>
        <w:r>
          <w:rPr>
            <w:webHidden/>
          </w:rPr>
          <w:instrText xml:space="preserve"> PAGEREF _Toc59988374 \h </w:instrText>
        </w:r>
        <w:r>
          <w:rPr>
            <w:webHidden/>
          </w:rPr>
        </w:r>
        <w:r>
          <w:rPr>
            <w:webHidden/>
          </w:rPr>
          <w:fldChar w:fldCharType="separate"/>
        </w:r>
        <w:r>
          <w:rPr>
            <w:webHidden/>
          </w:rPr>
          <w:t>350</w:t>
        </w:r>
        <w:r>
          <w:rPr>
            <w:webHidden/>
          </w:rPr>
          <w:fldChar w:fldCharType="end"/>
        </w:r>
      </w:hyperlink>
    </w:p>
    <w:p w:rsidR="003E022D" w:rsidRDefault="007D19D6">
      <w:pPr>
        <w:pStyle w:val="TOC1"/>
        <w:rPr>
          <w:rFonts w:asciiTheme="minorHAnsi" w:eastAsiaTheme="minorEastAsia" w:hAnsiTheme="minorHAnsi"/>
          <w:b w:val="0"/>
          <w:noProof/>
          <w:lang w:val="en-US"/>
        </w:rPr>
      </w:pPr>
      <w:hyperlink w:anchor="_Toc59988375" w:history="1">
        <w:r>
          <w:rPr>
            <w:rStyle w:val="Hyperlink"/>
            <w:noProof/>
          </w:rPr>
          <w:t>CETURTĀ DAĻA. TEMATISKĀ SADARBĪBA</w:t>
        </w:r>
        <w:r>
          <w:rPr>
            <w:noProof/>
            <w:webHidden/>
          </w:rPr>
          <w:tab/>
        </w:r>
        <w:r>
          <w:rPr>
            <w:noProof/>
            <w:webHidden/>
          </w:rPr>
          <w:fldChar w:fldCharType="begin"/>
        </w:r>
        <w:r>
          <w:rPr>
            <w:noProof/>
            <w:webHidden/>
          </w:rPr>
          <w:instrText xml:space="preserve"> PAGEREF _Toc59988375 \h </w:instrText>
        </w:r>
        <w:r>
          <w:rPr>
            <w:noProof/>
            <w:webHidden/>
          </w:rPr>
        </w:r>
        <w:r>
          <w:rPr>
            <w:noProof/>
            <w:webHidden/>
          </w:rPr>
          <w:fldChar w:fldCharType="separate"/>
        </w:r>
        <w:r>
          <w:rPr>
            <w:noProof/>
            <w:webHidden/>
          </w:rPr>
          <w:t>354</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376" w:history="1">
        <w:r>
          <w:rPr>
            <w:rStyle w:val="Hyperlink"/>
          </w:rPr>
          <w:t>I sadaļa. Veselības drošība</w:t>
        </w:r>
        <w:r>
          <w:rPr>
            <w:webHidden/>
          </w:rPr>
          <w:tab/>
        </w:r>
        <w:r>
          <w:rPr>
            <w:webHidden/>
          </w:rPr>
          <w:fldChar w:fldCharType="begin"/>
        </w:r>
        <w:r>
          <w:rPr>
            <w:webHidden/>
          </w:rPr>
          <w:instrText xml:space="preserve"> PAGEREF _Toc59988376 \h </w:instrText>
        </w:r>
        <w:r>
          <w:rPr>
            <w:webHidden/>
          </w:rPr>
        </w:r>
        <w:r>
          <w:rPr>
            <w:webHidden/>
          </w:rPr>
          <w:fldChar w:fldCharType="separate"/>
        </w:r>
        <w:r>
          <w:rPr>
            <w:webHidden/>
          </w:rPr>
          <w:t>354</w:t>
        </w:r>
        <w:r>
          <w:rPr>
            <w:webHidden/>
          </w:rPr>
          <w:fldChar w:fldCharType="end"/>
        </w:r>
      </w:hyperlink>
    </w:p>
    <w:p w:rsidR="003E022D" w:rsidRDefault="007D19D6">
      <w:pPr>
        <w:pStyle w:val="TOC3"/>
        <w:rPr>
          <w:rFonts w:asciiTheme="minorHAnsi" w:eastAsiaTheme="minorEastAsia" w:hAnsiTheme="minorHAnsi"/>
          <w:lang w:val="en-US"/>
        </w:rPr>
      </w:pPr>
      <w:hyperlink w:anchor="_Toc59988377" w:history="1">
        <w:r>
          <w:rPr>
            <w:rStyle w:val="Hyperlink"/>
          </w:rPr>
          <w:t>II sadaļa. Kiberdrošība</w:t>
        </w:r>
        <w:r>
          <w:rPr>
            <w:webHidden/>
          </w:rPr>
          <w:tab/>
        </w:r>
        <w:r>
          <w:rPr>
            <w:webHidden/>
          </w:rPr>
          <w:fldChar w:fldCharType="begin"/>
        </w:r>
        <w:r>
          <w:rPr>
            <w:webHidden/>
          </w:rPr>
          <w:instrText xml:space="preserve"> PAGEREF _Toc59988377 \h </w:instrText>
        </w:r>
        <w:r>
          <w:rPr>
            <w:webHidden/>
          </w:rPr>
        </w:r>
        <w:r>
          <w:rPr>
            <w:webHidden/>
          </w:rPr>
          <w:fldChar w:fldCharType="separate"/>
        </w:r>
        <w:r>
          <w:rPr>
            <w:webHidden/>
          </w:rPr>
          <w:t>355</w:t>
        </w:r>
        <w:r>
          <w:rPr>
            <w:webHidden/>
          </w:rPr>
          <w:fldChar w:fldCharType="end"/>
        </w:r>
      </w:hyperlink>
    </w:p>
    <w:p w:rsidR="003E022D" w:rsidRDefault="007D19D6">
      <w:pPr>
        <w:pStyle w:val="TOC1"/>
        <w:rPr>
          <w:rFonts w:asciiTheme="minorHAnsi" w:eastAsiaTheme="minorEastAsia" w:hAnsiTheme="minorHAnsi"/>
          <w:b w:val="0"/>
          <w:noProof/>
          <w:lang w:val="en-US"/>
        </w:rPr>
      </w:pPr>
      <w:hyperlink w:anchor="_Toc59988378" w:history="1">
        <w:r>
          <w:rPr>
            <w:rStyle w:val="Hyperlink"/>
            <w:noProof/>
          </w:rPr>
          <w:t>PIEKTĀ DAĻA. DALĪBA SAVIENĪBAS PROGRAMMĀS, PAREIZA FINANŠU PĀRVALDĪBA UN FINANŠU NOTEIKUMI</w:t>
        </w:r>
        <w:r>
          <w:rPr>
            <w:noProof/>
            <w:webHidden/>
          </w:rPr>
          <w:tab/>
        </w:r>
        <w:r>
          <w:rPr>
            <w:noProof/>
            <w:webHidden/>
          </w:rPr>
          <w:fldChar w:fldCharType="begin"/>
        </w:r>
        <w:r>
          <w:rPr>
            <w:noProof/>
            <w:webHidden/>
          </w:rPr>
          <w:instrText xml:space="preserve"> PAGEREF _Toc59988378 \h </w:instrText>
        </w:r>
        <w:r>
          <w:rPr>
            <w:noProof/>
            <w:webHidden/>
          </w:rPr>
        </w:r>
        <w:r>
          <w:rPr>
            <w:noProof/>
            <w:webHidden/>
          </w:rPr>
          <w:fldChar w:fldCharType="separate"/>
        </w:r>
        <w:r>
          <w:rPr>
            <w:noProof/>
            <w:webHidden/>
          </w:rPr>
          <w:t>357</w:t>
        </w:r>
        <w:r>
          <w:rPr>
            <w:noProof/>
            <w:webHidden/>
          </w:rPr>
          <w:fldChar w:fldCharType="end"/>
        </w:r>
      </w:hyperlink>
    </w:p>
    <w:p w:rsidR="003E022D" w:rsidRDefault="007D19D6">
      <w:pPr>
        <w:pStyle w:val="TOC1"/>
        <w:rPr>
          <w:rFonts w:asciiTheme="minorHAnsi" w:eastAsiaTheme="minorEastAsia" w:hAnsiTheme="minorHAnsi"/>
          <w:b w:val="0"/>
          <w:noProof/>
          <w:lang w:val="en-US"/>
        </w:rPr>
      </w:pPr>
      <w:hyperlink w:anchor="_Toc59988379" w:history="1">
        <w:r>
          <w:rPr>
            <w:rStyle w:val="Hyperlink"/>
            <w:noProof/>
          </w:rPr>
          <w:t>SESTĀ DAĻA. STRĪDU IZŠĶIRŠANA UN HORIZONTĀLIE NOTEIKUMI</w:t>
        </w:r>
        <w:r>
          <w:rPr>
            <w:noProof/>
            <w:webHidden/>
          </w:rPr>
          <w:tab/>
        </w:r>
        <w:r>
          <w:rPr>
            <w:noProof/>
            <w:webHidden/>
          </w:rPr>
          <w:fldChar w:fldCharType="begin"/>
        </w:r>
        <w:r>
          <w:rPr>
            <w:noProof/>
            <w:webHidden/>
          </w:rPr>
          <w:instrText xml:space="preserve"> PAGEREF _Toc59988379 \h </w:instrText>
        </w:r>
        <w:r>
          <w:rPr>
            <w:noProof/>
            <w:webHidden/>
          </w:rPr>
        </w:r>
        <w:r>
          <w:rPr>
            <w:noProof/>
            <w:webHidden/>
          </w:rPr>
          <w:fldChar w:fldCharType="separate"/>
        </w:r>
        <w:r>
          <w:rPr>
            <w:noProof/>
            <w:webHidden/>
          </w:rPr>
          <w:t>374</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380" w:history="1">
        <w:r>
          <w:rPr>
            <w:rStyle w:val="Hyperlink"/>
          </w:rPr>
          <w:t>I sadaļa. Strīdu izšķiršana</w:t>
        </w:r>
        <w:r>
          <w:rPr>
            <w:webHidden/>
          </w:rPr>
          <w:tab/>
        </w:r>
        <w:r>
          <w:rPr>
            <w:webHidden/>
          </w:rPr>
          <w:fldChar w:fldCharType="begin"/>
        </w:r>
        <w:r>
          <w:rPr>
            <w:webHidden/>
          </w:rPr>
          <w:instrText xml:space="preserve"> PAGEREF _Toc59988380 \h </w:instrText>
        </w:r>
        <w:r>
          <w:rPr>
            <w:webHidden/>
          </w:rPr>
        </w:r>
        <w:r>
          <w:rPr>
            <w:webHidden/>
          </w:rPr>
          <w:fldChar w:fldCharType="separate"/>
        </w:r>
        <w:r>
          <w:rPr>
            <w:webHidden/>
          </w:rPr>
          <w:t>374</w:t>
        </w:r>
        <w:r>
          <w:rPr>
            <w:webHidden/>
          </w:rPr>
          <w:fldChar w:fldCharType="end"/>
        </w:r>
      </w:hyperlink>
    </w:p>
    <w:p w:rsidR="003E022D" w:rsidRDefault="007D19D6">
      <w:pPr>
        <w:pStyle w:val="TOC3"/>
        <w:rPr>
          <w:rFonts w:asciiTheme="minorHAnsi" w:eastAsiaTheme="minorEastAsia" w:hAnsiTheme="minorHAnsi"/>
          <w:lang w:val="en-US"/>
        </w:rPr>
      </w:pPr>
      <w:hyperlink w:anchor="_Toc59988381" w:history="1">
        <w:r>
          <w:rPr>
            <w:rStyle w:val="Hyperlink"/>
          </w:rPr>
          <w:t>II s</w:t>
        </w:r>
        <w:r>
          <w:rPr>
            <w:rStyle w:val="Hyperlink"/>
          </w:rPr>
          <w:t>adaļa. Sadarbības pamats</w:t>
        </w:r>
        <w:r>
          <w:rPr>
            <w:webHidden/>
          </w:rPr>
          <w:tab/>
        </w:r>
        <w:r>
          <w:rPr>
            <w:webHidden/>
          </w:rPr>
          <w:fldChar w:fldCharType="begin"/>
        </w:r>
        <w:r>
          <w:rPr>
            <w:webHidden/>
          </w:rPr>
          <w:instrText xml:space="preserve"> PAGEREF _Toc59988381 \h </w:instrText>
        </w:r>
        <w:r>
          <w:rPr>
            <w:webHidden/>
          </w:rPr>
        </w:r>
        <w:r>
          <w:rPr>
            <w:webHidden/>
          </w:rPr>
          <w:fldChar w:fldCharType="separate"/>
        </w:r>
        <w:r>
          <w:rPr>
            <w:webHidden/>
          </w:rPr>
          <w:t>387</w:t>
        </w:r>
        <w:r>
          <w:rPr>
            <w:webHidden/>
          </w:rPr>
          <w:fldChar w:fldCharType="end"/>
        </w:r>
      </w:hyperlink>
    </w:p>
    <w:p w:rsidR="003E022D" w:rsidRDefault="007D19D6">
      <w:pPr>
        <w:pStyle w:val="TOC3"/>
        <w:rPr>
          <w:rFonts w:asciiTheme="minorHAnsi" w:eastAsiaTheme="minorEastAsia" w:hAnsiTheme="minorHAnsi"/>
          <w:lang w:val="en-US"/>
        </w:rPr>
      </w:pPr>
      <w:hyperlink w:anchor="_Toc59988382" w:history="1">
        <w:r>
          <w:rPr>
            <w:rStyle w:val="Hyperlink"/>
          </w:rPr>
          <w:t>III sadaļa. Saistību un aizsardzības pasākumu izpilde</w:t>
        </w:r>
        <w:r>
          <w:rPr>
            <w:webHidden/>
          </w:rPr>
          <w:tab/>
        </w:r>
        <w:r>
          <w:rPr>
            <w:webHidden/>
          </w:rPr>
          <w:fldChar w:fldCharType="begin"/>
        </w:r>
        <w:r>
          <w:rPr>
            <w:webHidden/>
          </w:rPr>
          <w:instrText xml:space="preserve"> PAGEREF _Toc59988382 \h </w:instrText>
        </w:r>
        <w:r>
          <w:rPr>
            <w:webHidden/>
          </w:rPr>
        </w:r>
        <w:r>
          <w:rPr>
            <w:webHidden/>
          </w:rPr>
          <w:fldChar w:fldCharType="separate"/>
        </w:r>
        <w:r>
          <w:rPr>
            <w:webHidden/>
          </w:rPr>
          <w:t>390</w:t>
        </w:r>
        <w:r>
          <w:rPr>
            <w:webHidden/>
          </w:rPr>
          <w:fldChar w:fldCharType="end"/>
        </w:r>
      </w:hyperlink>
    </w:p>
    <w:p w:rsidR="003E022D" w:rsidRDefault="007D19D6">
      <w:pPr>
        <w:pStyle w:val="TOC1"/>
        <w:rPr>
          <w:rFonts w:asciiTheme="minorHAnsi" w:eastAsiaTheme="minorEastAsia" w:hAnsiTheme="minorHAnsi"/>
          <w:b w:val="0"/>
          <w:noProof/>
          <w:lang w:val="en-US"/>
        </w:rPr>
      </w:pPr>
      <w:hyperlink w:anchor="_Toc59988383" w:history="1">
        <w:r>
          <w:rPr>
            <w:rStyle w:val="Hyperlink"/>
            <w:noProof/>
          </w:rPr>
          <w:t>SEPTĪTĀ DAĻA. NOBEIGUMA NOTEIKUMI</w:t>
        </w:r>
        <w:r>
          <w:rPr>
            <w:noProof/>
            <w:webHidden/>
          </w:rPr>
          <w:tab/>
        </w:r>
        <w:r>
          <w:rPr>
            <w:noProof/>
            <w:webHidden/>
          </w:rPr>
          <w:fldChar w:fldCharType="begin"/>
        </w:r>
        <w:r>
          <w:rPr>
            <w:noProof/>
            <w:webHidden/>
          </w:rPr>
          <w:instrText xml:space="preserve"> PAGEREF _Toc59988383 \h </w:instrText>
        </w:r>
        <w:r>
          <w:rPr>
            <w:noProof/>
            <w:webHidden/>
          </w:rPr>
        </w:r>
        <w:r>
          <w:rPr>
            <w:noProof/>
            <w:webHidden/>
          </w:rPr>
          <w:fldChar w:fldCharType="separate"/>
        </w:r>
        <w:r>
          <w:rPr>
            <w:noProof/>
            <w:webHidden/>
          </w:rPr>
          <w:t>392</w:t>
        </w:r>
        <w:r>
          <w:rPr>
            <w:noProof/>
            <w:webHidden/>
          </w:rPr>
          <w:fldChar w:fldCharType="end"/>
        </w:r>
      </w:hyperlink>
    </w:p>
    <w:p w:rsidR="003E022D" w:rsidRDefault="007D19D6">
      <w:pPr>
        <w:pStyle w:val="TOC1"/>
        <w:rPr>
          <w:rFonts w:asciiTheme="minorHAnsi" w:eastAsiaTheme="minorEastAsia" w:hAnsiTheme="minorHAnsi"/>
          <w:b w:val="0"/>
          <w:noProof/>
          <w:lang w:val="en-US"/>
        </w:rPr>
      </w:pPr>
      <w:hyperlink w:anchor="_Toc59988384" w:history="1">
        <w:r>
          <w:rPr>
            <w:rStyle w:val="Hyperlink"/>
            <w:noProof/>
          </w:rPr>
          <w:t>PIELIKUMI</w:t>
        </w:r>
        <w:r>
          <w:rPr>
            <w:noProof/>
            <w:webHidden/>
          </w:rPr>
          <w:tab/>
        </w:r>
        <w:r>
          <w:rPr>
            <w:noProof/>
            <w:webHidden/>
          </w:rPr>
          <w:fldChar w:fldCharType="begin"/>
        </w:r>
        <w:r>
          <w:rPr>
            <w:noProof/>
            <w:webHidden/>
          </w:rPr>
          <w:instrText xml:space="preserve"> PAGER</w:instrText>
        </w:r>
        <w:r>
          <w:rPr>
            <w:noProof/>
            <w:webHidden/>
          </w:rPr>
          <w:instrText xml:space="preserve">EF _Toc59988384 \h </w:instrText>
        </w:r>
        <w:r>
          <w:rPr>
            <w:noProof/>
            <w:webHidden/>
          </w:rPr>
        </w:r>
        <w:r>
          <w:rPr>
            <w:noProof/>
            <w:webHidden/>
          </w:rPr>
          <w:fldChar w:fldCharType="separate"/>
        </w:r>
        <w:r>
          <w:rPr>
            <w:noProof/>
            <w:webHidden/>
          </w:rPr>
          <w:t>400</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85" w:history="1">
        <w:r>
          <w:rPr>
            <w:rStyle w:val="Hyperlink"/>
            <w:noProof/>
          </w:rPr>
          <w:t>INST.PIELIKUMS. PARTNERĪBAS PADOMES UN KOMITEJU REGLAMENTS</w:t>
        </w:r>
        <w:r>
          <w:rPr>
            <w:noProof/>
            <w:webHidden/>
          </w:rPr>
          <w:tab/>
        </w:r>
        <w:r>
          <w:rPr>
            <w:noProof/>
            <w:webHidden/>
          </w:rPr>
          <w:fldChar w:fldCharType="begin"/>
        </w:r>
        <w:r>
          <w:rPr>
            <w:noProof/>
            <w:webHidden/>
          </w:rPr>
          <w:instrText xml:space="preserve"> PAGEREF _Toc59988385 \h </w:instrText>
        </w:r>
        <w:r>
          <w:rPr>
            <w:noProof/>
            <w:webHidden/>
          </w:rPr>
        </w:r>
        <w:r>
          <w:rPr>
            <w:noProof/>
            <w:webHidden/>
          </w:rPr>
          <w:fldChar w:fldCharType="separate"/>
        </w:r>
        <w:r>
          <w:rPr>
            <w:noProof/>
            <w:webHidden/>
          </w:rPr>
          <w:t>400</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86" w:history="1">
        <w:r>
          <w:rPr>
            <w:rStyle w:val="Hyperlink"/>
            <w:noProof/>
          </w:rPr>
          <w:t>ORIG-1. PIELIKUMS.IEVADPIEZĪMES PAR KONKRĒTIEM RAŽOJUMIEM PIEMĒROJAMAJIEM IZCELSMES NOTEIKUMIEM</w:t>
        </w:r>
        <w:r>
          <w:rPr>
            <w:noProof/>
            <w:webHidden/>
          </w:rPr>
          <w:tab/>
        </w:r>
        <w:r>
          <w:rPr>
            <w:noProof/>
            <w:webHidden/>
          </w:rPr>
          <w:fldChar w:fldCharType="begin"/>
        </w:r>
        <w:r>
          <w:rPr>
            <w:noProof/>
            <w:webHidden/>
          </w:rPr>
          <w:instrText xml:space="preserve"> PAGEREF _Toc59988386 \h </w:instrText>
        </w:r>
        <w:r>
          <w:rPr>
            <w:noProof/>
            <w:webHidden/>
          </w:rPr>
        </w:r>
        <w:r>
          <w:rPr>
            <w:noProof/>
            <w:webHidden/>
          </w:rPr>
          <w:fldChar w:fldCharType="separate"/>
        </w:r>
        <w:r>
          <w:rPr>
            <w:noProof/>
            <w:webHidden/>
          </w:rPr>
          <w:t>405</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87" w:history="1">
        <w:r>
          <w:rPr>
            <w:rStyle w:val="Hyperlink"/>
            <w:noProof/>
          </w:rPr>
          <w:t>ORIG-2. PIELIKUMS.KONKRĒTIEM RAŽOJUMIEM PIEMĒROJAMIE IZCELSMES NOTEIKUMI</w:t>
        </w:r>
        <w:r>
          <w:rPr>
            <w:noProof/>
            <w:webHidden/>
          </w:rPr>
          <w:tab/>
        </w:r>
        <w:r>
          <w:rPr>
            <w:noProof/>
            <w:webHidden/>
          </w:rPr>
          <w:fldChar w:fldCharType="begin"/>
        </w:r>
        <w:r>
          <w:rPr>
            <w:noProof/>
            <w:webHidden/>
          </w:rPr>
          <w:instrText xml:space="preserve"> PAGEREF _Toc59988387 \h </w:instrText>
        </w:r>
        <w:r>
          <w:rPr>
            <w:noProof/>
            <w:webHidden/>
          </w:rPr>
        </w:r>
        <w:r>
          <w:rPr>
            <w:noProof/>
            <w:webHidden/>
          </w:rPr>
          <w:fldChar w:fldCharType="separate"/>
        </w:r>
        <w:r>
          <w:rPr>
            <w:noProof/>
            <w:webHidden/>
          </w:rPr>
          <w:t>413</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88" w:history="1">
        <w:r>
          <w:rPr>
            <w:rStyle w:val="Hyperlink"/>
            <w:noProof/>
          </w:rPr>
          <w:t>ORIG-2A. PIELIKUMS. IZCELSMES KVOTAS UN ALTERNATĪVAS KONKRĒTIEM RAŽOJUMIEM PIEMĒROJAMIEM IZCELSMES NOTEIKUMIEM ORIG-2 PIELIKUMĀ [KONKRĒTIEM PRODUKTIEM PIEMĒROJAMIE IZCELSMES NOTEIKUMI]</w:t>
        </w:r>
        <w:r>
          <w:rPr>
            <w:noProof/>
            <w:webHidden/>
          </w:rPr>
          <w:tab/>
        </w:r>
        <w:r>
          <w:rPr>
            <w:noProof/>
            <w:webHidden/>
          </w:rPr>
          <w:fldChar w:fldCharType="begin"/>
        </w:r>
        <w:r>
          <w:rPr>
            <w:noProof/>
            <w:webHidden/>
          </w:rPr>
          <w:instrText xml:space="preserve"> PAGEREF _Toc59988388 \h </w:instrText>
        </w:r>
        <w:r>
          <w:rPr>
            <w:noProof/>
            <w:webHidden/>
          </w:rPr>
        </w:r>
        <w:r>
          <w:rPr>
            <w:noProof/>
            <w:webHidden/>
          </w:rPr>
          <w:fldChar w:fldCharType="separate"/>
        </w:r>
        <w:r>
          <w:rPr>
            <w:noProof/>
            <w:webHidden/>
          </w:rPr>
          <w:t>460</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89" w:history="1">
        <w:r>
          <w:rPr>
            <w:rStyle w:val="Hyperlink"/>
            <w:noProof/>
          </w:rPr>
          <w:t>ORIG-2B. PIELIKUMS. KONKRĒTIEM RAŽOJUMIEM PIEMĒROJAMI PĀREJAS NOTEIKUMI ELEKTRISKAJIEM AKUMULATORIEM UN ELEKTRIFICĒTIEM TRANSPORTLĪDZEKĻIEM</w:t>
        </w:r>
        <w:r>
          <w:rPr>
            <w:noProof/>
            <w:webHidden/>
          </w:rPr>
          <w:tab/>
        </w:r>
        <w:r>
          <w:rPr>
            <w:noProof/>
            <w:webHidden/>
          </w:rPr>
          <w:fldChar w:fldCharType="begin"/>
        </w:r>
        <w:r>
          <w:rPr>
            <w:noProof/>
            <w:webHidden/>
          </w:rPr>
          <w:instrText xml:space="preserve"> PAGEREF _Toc59988389 \h </w:instrText>
        </w:r>
        <w:r>
          <w:rPr>
            <w:noProof/>
            <w:webHidden/>
          </w:rPr>
        </w:r>
        <w:r>
          <w:rPr>
            <w:noProof/>
            <w:webHidden/>
          </w:rPr>
          <w:fldChar w:fldCharType="separate"/>
        </w:r>
        <w:r>
          <w:rPr>
            <w:noProof/>
            <w:webHidden/>
          </w:rPr>
          <w:t>463</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0" w:history="1">
        <w:r>
          <w:rPr>
            <w:rStyle w:val="Hyperlink"/>
            <w:noProof/>
          </w:rPr>
          <w:t>ORIG-3. PIELIKUMS.PIEGĀDĀTĀJA DEKLARĀCIJA</w:t>
        </w:r>
        <w:r>
          <w:rPr>
            <w:noProof/>
            <w:webHidden/>
          </w:rPr>
          <w:tab/>
        </w:r>
        <w:r>
          <w:rPr>
            <w:noProof/>
            <w:webHidden/>
          </w:rPr>
          <w:fldChar w:fldCharType="begin"/>
        </w:r>
        <w:r>
          <w:rPr>
            <w:noProof/>
            <w:webHidden/>
          </w:rPr>
          <w:instrText xml:space="preserve"> PAGEREF _Toc59988390 \h </w:instrText>
        </w:r>
        <w:r>
          <w:rPr>
            <w:noProof/>
            <w:webHidden/>
          </w:rPr>
        </w:r>
        <w:r>
          <w:rPr>
            <w:noProof/>
            <w:webHidden/>
          </w:rPr>
          <w:fldChar w:fldCharType="separate"/>
        </w:r>
        <w:r>
          <w:rPr>
            <w:noProof/>
            <w:webHidden/>
          </w:rPr>
          <w:t>467</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1" w:history="1">
        <w:r>
          <w:rPr>
            <w:rStyle w:val="Hyperlink"/>
            <w:noProof/>
          </w:rPr>
          <w:t>ORIG-4. PIELIKUMS.PAZIŅOJUMA PAR IZCELSMI TEKSTS</w:t>
        </w:r>
        <w:r>
          <w:rPr>
            <w:noProof/>
            <w:webHidden/>
          </w:rPr>
          <w:tab/>
        </w:r>
        <w:r>
          <w:rPr>
            <w:noProof/>
            <w:webHidden/>
          </w:rPr>
          <w:fldChar w:fldCharType="begin"/>
        </w:r>
        <w:r>
          <w:rPr>
            <w:noProof/>
            <w:webHidden/>
          </w:rPr>
          <w:instrText xml:space="preserve"> PAGEREF _Toc59988391 \h </w:instrText>
        </w:r>
        <w:r>
          <w:rPr>
            <w:noProof/>
            <w:webHidden/>
          </w:rPr>
        </w:r>
        <w:r>
          <w:rPr>
            <w:noProof/>
            <w:webHidden/>
          </w:rPr>
          <w:fldChar w:fldCharType="separate"/>
        </w:r>
        <w:r>
          <w:rPr>
            <w:noProof/>
            <w:webHidden/>
          </w:rPr>
          <w:t>471</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2" w:history="1">
        <w:r>
          <w:rPr>
            <w:rStyle w:val="Hyperlink"/>
            <w:noProof/>
          </w:rPr>
          <w:t>ORIG-5. PIELIKUMS. KOPĪGĀ DEKLARĀCIJA PAR ANDORAS FIRSTISTI</w:t>
        </w:r>
        <w:r>
          <w:rPr>
            <w:noProof/>
            <w:webHidden/>
          </w:rPr>
          <w:tab/>
        </w:r>
        <w:r>
          <w:rPr>
            <w:noProof/>
            <w:webHidden/>
          </w:rPr>
          <w:fldChar w:fldCharType="begin"/>
        </w:r>
        <w:r>
          <w:rPr>
            <w:noProof/>
            <w:webHidden/>
          </w:rPr>
          <w:instrText xml:space="preserve"> PAGEREF _Toc5998839</w:instrText>
        </w:r>
        <w:r>
          <w:rPr>
            <w:noProof/>
            <w:webHidden/>
          </w:rPr>
          <w:instrText xml:space="preserve">2 \h </w:instrText>
        </w:r>
        <w:r>
          <w:rPr>
            <w:noProof/>
            <w:webHidden/>
          </w:rPr>
        </w:r>
        <w:r>
          <w:rPr>
            <w:noProof/>
            <w:webHidden/>
          </w:rPr>
          <w:fldChar w:fldCharType="separate"/>
        </w:r>
        <w:r>
          <w:rPr>
            <w:noProof/>
            <w:webHidden/>
          </w:rPr>
          <w:t>473</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3" w:history="1">
        <w:r>
          <w:rPr>
            <w:rStyle w:val="Hyperlink"/>
            <w:noProof/>
          </w:rPr>
          <w:t>ORIG-6. PIELIKUMS. KOPĪGĀ DEKLARĀCIJA PAR SANMARĪNO REPUBLIKU</w:t>
        </w:r>
        <w:r>
          <w:rPr>
            <w:noProof/>
            <w:webHidden/>
          </w:rPr>
          <w:tab/>
        </w:r>
        <w:r>
          <w:rPr>
            <w:noProof/>
            <w:webHidden/>
          </w:rPr>
          <w:fldChar w:fldCharType="begin"/>
        </w:r>
        <w:r>
          <w:rPr>
            <w:noProof/>
            <w:webHidden/>
          </w:rPr>
          <w:instrText xml:space="preserve"> PAGEREF _Toc59988393 \h </w:instrText>
        </w:r>
        <w:r>
          <w:rPr>
            <w:noProof/>
            <w:webHidden/>
          </w:rPr>
        </w:r>
        <w:r>
          <w:rPr>
            <w:noProof/>
            <w:webHidden/>
          </w:rPr>
          <w:fldChar w:fldCharType="separate"/>
        </w:r>
        <w:r>
          <w:rPr>
            <w:noProof/>
            <w:webHidden/>
          </w:rPr>
          <w:t>474</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4" w:history="1">
        <w:r>
          <w:rPr>
            <w:rStyle w:val="Hyperlink"/>
            <w:noProof/>
          </w:rPr>
          <w:t>SPS-1. PIELIKUMS. SPS.19. PANTA d) PUNKTĀ MINĒTIE KRITĒRIJI</w:t>
        </w:r>
        <w:r>
          <w:rPr>
            <w:noProof/>
            <w:webHidden/>
          </w:rPr>
          <w:tab/>
        </w:r>
        <w:r>
          <w:rPr>
            <w:noProof/>
            <w:webHidden/>
          </w:rPr>
          <w:fldChar w:fldCharType="begin"/>
        </w:r>
        <w:r>
          <w:rPr>
            <w:noProof/>
            <w:webHidden/>
          </w:rPr>
          <w:instrText xml:space="preserve"> PAGEREF _Toc59988394 \h </w:instrText>
        </w:r>
        <w:r>
          <w:rPr>
            <w:noProof/>
            <w:webHidden/>
          </w:rPr>
        </w:r>
        <w:r>
          <w:rPr>
            <w:noProof/>
            <w:webHidden/>
          </w:rPr>
          <w:fldChar w:fldCharType="separate"/>
        </w:r>
        <w:r>
          <w:rPr>
            <w:noProof/>
            <w:webHidden/>
          </w:rPr>
          <w:t>475</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5" w:history="1">
        <w:r>
          <w:rPr>
            <w:rStyle w:val="Hyperlink"/>
            <w:noProof/>
          </w:rPr>
          <w:t>MEHĀNISKIE TRANSPORTLĪDZEK</w:t>
        </w:r>
        <w:r>
          <w:rPr>
            <w:rStyle w:val="Hyperlink"/>
            <w:noProof/>
          </w:rPr>
          <w:t>ĻI UN APRĪKOJUMS UN TO DETAĻAS</w:t>
        </w:r>
        <w:r>
          <w:rPr>
            <w:noProof/>
            <w:webHidden/>
          </w:rPr>
          <w:tab/>
        </w:r>
        <w:r>
          <w:rPr>
            <w:noProof/>
            <w:webHidden/>
          </w:rPr>
          <w:fldChar w:fldCharType="begin"/>
        </w:r>
        <w:r>
          <w:rPr>
            <w:noProof/>
            <w:webHidden/>
          </w:rPr>
          <w:instrText xml:space="preserve"> PAGEREF _Toc59988395 \h </w:instrText>
        </w:r>
        <w:r>
          <w:rPr>
            <w:noProof/>
            <w:webHidden/>
          </w:rPr>
        </w:r>
        <w:r>
          <w:rPr>
            <w:noProof/>
            <w:webHidden/>
          </w:rPr>
          <w:fldChar w:fldCharType="separate"/>
        </w:r>
        <w:r>
          <w:rPr>
            <w:noProof/>
            <w:webHidden/>
          </w:rPr>
          <w:t>476</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6" w:history="1">
        <w:r>
          <w:rPr>
            <w:rStyle w:val="Hyperlink"/>
            <w:noProof/>
          </w:rPr>
          <w:t>TBT-4. PIELIKUMS. BIOLOĢISKIE PRODUKTI</w:t>
        </w:r>
        <w:r>
          <w:rPr>
            <w:noProof/>
            <w:webHidden/>
          </w:rPr>
          <w:tab/>
        </w:r>
        <w:r>
          <w:rPr>
            <w:noProof/>
            <w:webHidden/>
          </w:rPr>
          <w:fldChar w:fldCharType="begin"/>
        </w:r>
        <w:r>
          <w:rPr>
            <w:noProof/>
            <w:webHidden/>
          </w:rPr>
          <w:instrText xml:space="preserve"> PAGEREF _Toc59988396 \h </w:instrText>
        </w:r>
        <w:r>
          <w:rPr>
            <w:noProof/>
            <w:webHidden/>
          </w:rPr>
        </w:r>
        <w:r>
          <w:rPr>
            <w:noProof/>
            <w:webHidden/>
          </w:rPr>
          <w:fldChar w:fldCharType="separate"/>
        </w:r>
        <w:r>
          <w:rPr>
            <w:noProof/>
            <w:webHidden/>
          </w:rPr>
          <w:t>480</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7" w:history="1">
        <w:r>
          <w:rPr>
            <w:rStyle w:val="Hyperlink"/>
            <w:noProof/>
          </w:rPr>
          <w:t>TBT-5. PIELIKUMS. VĪNA TIRDZNIECĪBA</w:t>
        </w:r>
        <w:r>
          <w:rPr>
            <w:noProof/>
            <w:webHidden/>
          </w:rPr>
          <w:tab/>
        </w:r>
        <w:r>
          <w:rPr>
            <w:noProof/>
            <w:webHidden/>
          </w:rPr>
          <w:fldChar w:fldCharType="begin"/>
        </w:r>
        <w:r>
          <w:rPr>
            <w:noProof/>
            <w:webHidden/>
          </w:rPr>
          <w:instrText xml:space="preserve"> PAGEREF _Toc59988397 \h </w:instrText>
        </w:r>
        <w:r>
          <w:rPr>
            <w:noProof/>
            <w:webHidden/>
          </w:rPr>
        </w:r>
        <w:r>
          <w:rPr>
            <w:noProof/>
            <w:webHidden/>
          </w:rPr>
          <w:fldChar w:fldCharType="separate"/>
        </w:r>
        <w:r>
          <w:rPr>
            <w:noProof/>
            <w:webHidden/>
          </w:rPr>
          <w:t>489</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8" w:history="1">
        <w:r>
          <w:rPr>
            <w:rStyle w:val="Hyperlink"/>
            <w:noProof/>
          </w:rPr>
          <w:t>TBT-XX PIELIKUMS – TBT.9. PANTA 4. PUNKTĀ MINĒTĀ KĀRTĪBA REGULĀRAI INFORMĀCIJAS APMAIŅAI SAISTĪBĀ AR NEPĀRTIKAS PREČU DROŠUMU UN SAISTĪTIEM PREVENTĪVIEM, IEROBE</w:t>
        </w:r>
        <w:r>
          <w:rPr>
            <w:rStyle w:val="Hyperlink"/>
            <w:noProof/>
          </w:rPr>
          <w:t>ŽOJOŠIEM UN KOREKTĪVIEM PASĀKUMIEM</w:t>
        </w:r>
        <w:r>
          <w:rPr>
            <w:noProof/>
            <w:webHidden/>
          </w:rPr>
          <w:tab/>
        </w:r>
        <w:r>
          <w:rPr>
            <w:noProof/>
            <w:webHidden/>
          </w:rPr>
          <w:fldChar w:fldCharType="begin"/>
        </w:r>
        <w:r>
          <w:rPr>
            <w:noProof/>
            <w:webHidden/>
          </w:rPr>
          <w:instrText xml:space="preserve"> PAGEREF _Toc59988398 \h </w:instrText>
        </w:r>
        <w:r>
          <w:rPr>
            <w:noProof/>
            <w:webHidden/>
          </w:rPr>
        </w:r>
        <w:r>
          <w:rPr>
            <w:noProof/>
            <w:webHidden/>
          </w:rPr>
          <w:fldChar w:fldCharType="separate"/>
        </w:r>
        <w:r>
          <w:rPr>
            <w:noProof/>
            <w:webHidden/>
          </w:rPr>
          <w:t>497</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399" w:history="1">
        <w:r>
          <w:rPr>
            <w:rStyle w:val="Hyperlink"/>
            <w:noProof/>
          </w:rPr>
          <w:t>TBT-ZZ PIELIKUMS – TBT.9. PANTA 5. PUNKTĀ MINĒTĀ KĀRTĪBA REGULĀRAI INFORMĀCIJAS APMAIŅAI PAR P</w:t>
        </w:r>
        <w:r>
          <w:rPr>
            <w:rStyle w:val="Hyperlink"/>
            <w:noProof/>
          </w:rPr>
          <w:t>ASĀKUMIEM, KAS VEIKTI ATTIECĪBĀ UZ NEATBILSTĪGIEM NEPĀRTIKAS PRODUKTIEM, IZŅEMOT TOS, UZ KURIEM ATTIECAS TBT.9. PANTA 4. PUNKTS</w:t>
        </w:r>
        <w:r>
          <w:rPr>
            <w:noProof/>
            <w:webHidden/>
          </w:rPr>
          <w:tab/>
        </w:r>
        <w:r>
          <w:rPr>
            <w:noProof/>
            <w:webHidden/>
          </w:rPr>
          <w:fldChar w:fldCharType="begin"/>
        </w:r>
        <w:r>
          <w:rPr>
            <w:noProof/>
            <w:webHidden/>
          </w:rPr>
          <w:instrText xml:space="preserve"> PAGEREF _Toc59988399 \h </w:instrText>
        </w:r>
        <w:r>
          <w:rPr>
            <w:noProof/>
            <w:webHidden/>
          </w:rPr>
        </w:r>
        <w:r>
          <w:rPr>
            <w:noProof/>
            <w:webHidden/>
          </w:rPr>
          <w:fldChar w:fldCharType="separate"/>
        </w:r>
        <w:r>
          <w:rPr>
            <w:noProof/>
            <w:webHidden/>
          </w:rPr>
          <w:t>498</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0" w:history="1">
        <w:r>
          <w:rPr>
            <w:rStyle w:val="Hyperlink"/>
            <w:noProof/>
          </w:rPr>
          <w:t>CUSTMS-1. PIELIKUMS. ATZĪTIE UZŅĒMĒJI</w:t>
        </w:r>
        <w:r>
          <w:rPr>
            <w:noProof/>
            <w:webHidden/>
          </w:rPr>
          <w:tab/>
        </w:r>
        <w:r>
          <w:rPr>
            <w:noProof/>
            <w:webHidden/>
          </w:rPr>
          <w:fldChar w:fldCharType="begin"/>
        </w:r>
        <w:r>
          <w:rPr>
            <w:noProof/>
            <w:webHidden/>
          </w:rPr>
          <w:instrText xml:space="preserve"> PAGEREF _Toc59988400 \h </w:instrText>
        </w:r>
        <w:r>
          <w:rPr>
            <w:noProof/>
            <w:webHidden/>
          </w:rPr>
        </w:r>
        <w:r>
          <w:rPr>
            <w:noProof/>
            <w:webHidden/>
          </w:rPr>
          <w:fldChar w:fldCharType="separate"/>
        </w:r>
        <w:r>
          <w:rPr>
            <w:noProof/>
            <w:webHidden/>
          </w:rPr>
          <w:t>499</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1" w:history="1">
        <w:r>
          <w:rPr>
            <w:rStyle w:val="Hyperlink"/>
            <w:noProof/>
          </w:rPr>
          <w:t>SERVIN-1. PIELIKUMS. SPĒKĀ ESOŠIE PASĀKUMI</w:t>
        </w:r>
        <w:r>
          <w:rPr>
            <w:noProof/>
            <w:webHidden/>
          </w:rPr>
          <w:tab/>
        </w:r>
        <w:r>
          <w:rPr>
            <w:noProof/>
            <w:webHidden/>
          </w:rPr>
          <w:fldChar w:fldCharType="begin"/>
        </w:r>
        <w:r>
          <w:rPr>
            <w:noProof/>
            <w:webHidden/>
          </w:rPr>
          <w:instrText xml:space="preserve"> PAGEREF _Toc59988401 \h </w:instrText>
        </w:r>
        <w:r>
          <w:rPr>
            <w:noProof/>
            <w:webHidden/>
          </w:rPr>
        </w:r>
        <w:r>
          <w:rPr>
            <w:noProof/>
            <w:webHidden/>
          </w:rPr>
          <w:fldChar w:fldCharType="separate"/>
        </w:r>
        <w:r>
          <w:rPr>
            <w:noProof/>
            <w:webHidden/>
          </w:rPr>
          <w:t>503</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2" w:history="1">
        <w:r>
          <w:rPr>
            <w:rStyle w:val="Hyperlink"/>
            <w:noProof/>
          </w:rPr>
          <w:t>SERVIN-2. PIELIKUMS. NĀKOTNES PASĀKUMI</w:t>
        </w:r>
        <w:r>
          <w:rPr>
            <w:noProof/>
            <w:webHidden/>
          </w:rPr>
          <w:tab/>
        </w:r>
        <w:r>
          <w:rPr>
            <w:noProof/>
            <w:webHidden/>
          </w:rPr>
          <w:fldChar w:fldCharType="begin"/>
        </w:r>
        <w:r>
          <w:rPr>
            <w:noProof/>
            <w:webHidden/>
          </w:rPr>
          <w:instrText xml:space="preserve"> PAGEREF _Toc59988402 \h </w:instrText>
        </w:r>
        <w:r>
          <w:rPr>
            <w:noProof/>
            <w:webHidden/>
          </w:rPr>
        </w:r>
        <w:r>
          <w:rPr>
            <w:noProof/>
            <w:webHidden/>
          </w:rPr>
          <w:fldChar w:fldCharType="separate"/>
        </w:r>
        <w:r>
          <w:rPr>
            <w:noProof/>
            <w:webHidden/>
          </w:rPr>
          <w:t>618</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3" w:history="1">
        <w:r>
          <w:rPr>
            <w:rStyle w:val="Hyperlink"/>
            <w:noProof/>
          </w:rPr>
          <w:t>SERVIN-3. PIELIKUMS. VIESDARBINIEKI UZŅĒMDARBĪBAS VEIKŠANAS NOLŪKOS, UZŅĒMUMA IETVAROS PĀRCELTI DARBINIEKI UN ĪSTERMIŅA VIESDARBINIEKI</w:t>
        </w:r>
        <w:r>
          <w:rPr>
            <w:noProof/>
            <w:webHidden/>
          </w:rPr>
          <w:tab/>
        </w:r>
        <w:r>
          <w:rPr>
            <w:noProof/>
            <w:webHidden/>
          </w:rPr>
          <w:fldChar w:fldCharType="begin"/>
        </w:r>
        <w:r>
          <w:rPr>
            <w:noProof/>
            <w:webHidden/>
          </w:rPr>
          <w:instrText xml:space="preserve"> PAGEREF _Toc59988403 \h </w:instrText>
        </w:r>
        <w:r>
          <w:rPr>
            <w:noProof/>
            <w:webHidden/>
          </w:rPr>
        </w:r>
        <w:r>
          <w:rPr>
            <w:noProof/>
            <w:webHidden/>
          </w:rPr>
          <w:fldChar w:fldCharType="separate"/>
        </w:r>
        <w:r>
          <w:rPr>
            <w:noProof/>
            <w:webHidden/>
          </w:rPr>
          <w:t>713</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4" w:history="1">
        <w:r>
          <w:rPr>
            <w:rStyle w:val="Hyperlink"/>
            <w:noProof/>
          </w:rPr>
          <w:t>SERVIN-4. PIELIKUMS. LĪGUMPAKALPOJUMU SNIEDZĒJI UN NEATKARĪGIE SPECIĀLISTI</w:t>
        </w:r>
        <w:r>
          <w:rPr>
            <w:noProof/>
            <w:webHidden/>
          </w:rPr>
          <w:tab/>
        </w:r>
        <w:r>
          <w:rPr>
            <w:noProof/>
            <w:webHidden/>
          </w:rPr>
          <w:fldChar w:fldCharType="begin"/>
        </w:r>
        <w:r>
          <w:rPr>
            <w:noProof/>
            <w:webHidden/>
          </w:rPr>
          <w:instrText xml:space="preserve"> PAGEREF _Toc59988404 \h </w:instrText>
        </w:r>
        <w:r>
          <w:rPr>
            <w:noProof/>
            <w:webHidden/>
          </w:rPr>
        </w:r>
        <w:r>
          <w:rPr>
            <w:noProof/>
            <w:webHidden/>
          </w:rPr>
          <w:fldChar w:fldCharType="separate"/>
        </w:r>
        <w:r>
          <w:rPr>
            <w:noProof/>
            <w:webHidden/>
          </w:rPr>
          <w:t>719</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5" w:history="1">
        <w:r>
          <w:rPr>
            <w:rStyle w:val="Hyperlink"/>
            <w:noProof/>
          </w:rPr>
          <w:t>SERVIN-5. PIELIKUMS. FIZISKU PERSONU PĀRVIETOŠAN</w:t>
        </w:r>
        <w:r>
          <w:rPr>
            <w:rStyle w:val="Hyperlink"/>
            <w:noProof/>
          </w:rPr>
          <w:t>ĀS</w:t>
        </w:r>
        <w:r>
          <w:rPr>
            <w:noProof/>
            <w:webHidden/>
          </w:rPr>
          <w:tab/>
        </w:r>
        <w:r>
          <w:rPr>
            <w:noProof/>
            <w:webHidden/>
          </w:rPr>
          <w:fldChar w:fldCharType="begin"/>
        </w:r>
        <w:r>
          <w:rPr>
            <w:noProof/>
            <w:webHidden/>
          </w:rPr>
          <w:instrText xml:space="preserve"> PAGEREF _Toc59988405 \h </w:instrText>
        </w:r>
        <w:r>
          <w:rPr>
            <w:noProof/>
            <w:webHidden/>
          </w:rPr>
        </w:r>
        <w:r>
          <w:rPr>
            <w:noProof/>
            <w:webHidden/>
          </w:rPr>
          <w:fldChar w:fldCharType="separate"/>
        </w:r>
        <w:r>
          <w:rPr>
            <w:noProof/>
            <w:webHidden/>
          </w:rPr>
          <w:t>742</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6" w:history="1">
        <w:r>
          <w:rPr>
            <w:rStyle w:val="Hyperlink"/>
            <w:noProof/>
          </w:rPr>
          <w:t>SERVIN-6. PIELIKUMS. VADLĪNIJAS PAR PROFESIONĀLO KVALIFIKĀCIJU ATZĪŠANAS KĀRTĪBU</w:t>
        </w:r>
        <w:r>
          <w:rPr>
            <w:noProof/>
            <w:webHidden/>
          </w:rPr>
          <w:tab/>
        </w:r>
        <w:r>
          <w:rPr>
            <w:noProof/>
            <w:webHidden/>
          </w:rPr>
          <w:fldChar w:fldCharType="begin"/>
        </w:r>
        <w:r>
          <w:rPr>
            <w:noProof/>
            <w:webHidden/>
          </w:rPr>
          <w:instrText xml:space="preserve"> PAGEREF _Toc59988406 \h </w:instrText>
        </w:r>
        <w:r>
          <w:rPr>
            <w:noProof/>
            <w:webHidden/>
          </w:rPr>
        </w:r>
        <w:r>
          <w:rPr>
            <w:noProof/>
            <w:webHidden/>
          </w:rPr>
          <w:fldChar w:fldCharType="separate"/>
        </w:r>
        <w:r>
          <w:rPr>
            <w:noProof/>
            <w:webHidden/>
          </w:rPr>
          <w:t>744</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7" w:history="1">
        <w:r>
          <w:rPr>
            <w:rStyle w:val="Hyperlink"/>
            <w:noProof/>
          </w:rPr>
          <w:t>PPROC-1. PIELIKUMS. PUBLISKAIS IEPIRKUMS</w:t>
        </w:r>
        <w:r>
          <w:rPr>
            <w:noProof/>
            <w:webHidden/>
          </w:rPr>
          <w:tab/>
        </w:r>
        <w:r>
          <w:rPr>
            <w:noProof/>
            <w:webHidden/>
          </w:rPr>
          <w:fldChar w:fldCharType="begin"/>
        </w:r>
        <w:r>
          <w:rPr>
            <w:noProof/>
            <w:webHidden/>
          </w:rPr>
          <w:instrText xml:space="preserve"> PAGEREF _Toc59988407 \h </w:instrText>
        </w:r>
        <w:r>
          <w:rPr>
            <w:noProof/>
            <w:webHidden/>
          </w:rPr>
        </w:r>
        <w:r>
          <w:rPr>
            <w:noProof/>
            <w:webHidden/>
          </w:rPr>
          <w:fldChar w:fldCharType="separate"/>
        </w:r>
        <w:r>
          <w:rPr>
            <w:noProof/>
            <w:webHidden/>
          </w:rPr>
          <w:t>749</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8" w:history="1">
        <w:r>
          <w:rPr>
            <w:rStyle w:val="Hyperlink"/>
            <w:noProof/>
          </w:rPr>
          <w:t>ENER-1</w:t>
        </w:r>
        <w:r>
          <w:rPr>
            <w:rStyle w:val="Hyperlink"/>
            <w:noProof/>
          </w:rPr>
          <w:t>. PIELIKUMS. ENERGOPRODUKTU, OGĻŪDEŅRAŽU UN IZEJVIELU SARAKSTI</w:t>
        </w:r>
        <w:r>
          <w:rPr>
            <w:noProof/>
            <w:webHidden/>
          </w:rPr>
          <w:tab/>
        </w:r>
        <w:r>
          <w:rPr>
            <w:noProof/>
            <w:webHidden/>
          </w:rPr>
          <w:fldChar w:fldCharType="begin"/>
        </w:r>
        <w:r>
          <w:rPr>
            <w:noProof/>
            <w:webHidden/>
          </w:rPr>
          <w:instrText xml:space="preserve"> PAGEREF _Toc59988408 \h </w:instrText>
        </w:r>
        <w:r>
          <w:rPr>
            <w:noProof/>
            <w:webHidden/>
          </w:rPr>
        </w:r>
        <w:r>
          <w:rPr>
            <w:noProof/>
            <w:webHidden/>
          </w:rPr>
          <w:fldChar w:fldCharType="separate"/>
        </w:r>
        <w:r>
          <w:rPr>
            <w:noProof/>
            <w:webHidden/>
          </w:rPr>
          <w:t>754</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09" w:history="1">
        <w:r>
          <w:rPr>
            <w:rStyle w:val="Hyperlink"/>
            <w:noProof/>
          </w:rPr>
          <w:t>ENER-2. PIELIKUMS. SUBSĪDIJAS ENERĢĒTIKAS UN VIDES JOMĀ</w:t>
        </w:r>
        <w:r>
          <w:rPr>
            <w:noProof/>
            <w:webHidden/>
          </w:rPr>
          <w:tab/>
        </w:r>
        <w:r>
          <w:rPr>
            <w:noProof/>
            <w:webHidden/>
          </w:rPr>
          <w:fldChar w:fldCharType="begin"/>
        </w:r>
        <w:r>
          <w:rPr>
            <w:noProof/>
            <w:webHidden/>
          </w:rPr>
          <w:instrText xml:space="preserve"> PAGEREF _Toc59988409 \h </w:instrText>
        </w:r>
        <w:r>
          <w:rPr>
            <w:noProof/>
            <w:webHidden/>
          </w:rPr>
        </w:r>
        <w:r>
          <w:rPr>
            <w:noProof/>
            <w:webHidden/>
          </w:rPr>
          <w:fldChar w:fldCharType="separate"/>
        </w:r>
        <w:r>
          <w:rPr>
            <w:noProof/>
            <w:webHidden/>
          </w:rPr>
          <w:t>756</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0" w:history="1">
        <w:r>
          <w:rPr>
            <w:rStyle w:val="Hyperlink"/>
            <w:noProof/>
          </w:rPr>
          <w:t>PIELIKUMS ENER-3 TREŠO PERSONU PIEKĻUVES NEPIEMĒROŠANA UN ĪPAŠUMTIESĪBU NODALĪŠANA INFRASTRUKTŪRAI</w:t>
        </w:r>
        <w:r>
          <w:rPr>
            <w:noProof/>
            <w:webHidden/>
          </w:rPr>
          <w:tab/>
        </w:r>
        <w:r>
          <w:rPr>
            <w:noProof/>
            <w:webHidden/>
          </w:rPr>
          <w:fldChar w:fldCharType="begin"/>
        </w:r>
        <w:r>
          <w:rPr>
            <w:noProof/>
            <w:webHidden/>
          </w:rPr>
          <w:instrText xml:space="preserve"> PAGEREF _Toc59988410 \h </w:instrText>
        </w:r>
        <w:r>
          <w:rPr>
            <w:noProof/>
            <w:webHidden/>
          </w:rPr>
        </w:r>
        <w:r>
          <w:rPr>
            <w:noProof/>
            <w:webHidden/>
          </w:rPr>
          <w:fldChar w:fldCharType="separate"/>
        </w:r>
        <w:r>
          <w:rPr>
            <w:noProof/>
            <w:webHidden/>
          </w:rPr>
          <w:t>757</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1" w:history="1">
        <w:r>
          <w:rPr>
            <w:rStyle w:val="Hyperlink"/>
            <w:noProof/>
          </w:rPr>
          <w:t>ENER-4. PIELIKUMS.  ELEKTROENERĢIJAS STARPSAVIENOTĀJU JAUDAS PIEŠĶIRŠANA NĀKAMĀS DIENAS TIRGUS LAIKPOSMĀ</w:t>
        </w:r>
        <w:r>
          <w:rPr>
            <w:noProof/>
            <w:webHidden/>
          </w:rPr>
          <w:tab/>
        </w:r>
        <w:r>
          <w:rPr>
            <w:noProof/>
            <w:webHidden/>
          </w:rPr>
          <w:fldChar w:fldCharType="begin"/>
        </w:r>
        <w:r>
          <w:rPr>
            <w:noProof/>
            <w:webHidden/>
          </w:rPr>
          <w:instrText xml:space="preserve"> PAGEREF _Toc59988411 \h </w:instrText>
        </w:r>
        <w:r>
          <w:rPr>
            <w:noProof/>
            <w:webHidden/>
          </w:rPr>
        </w:r>
        <w:r>
          <w:rPr>
            <w:noProof/>
            <w:webHidden/>
          </w:rPr>
          <w:fldChar w:fldCharType="separate"/>
        </w:r>
        <w:r>
          <w:rPr>
            <w:noProof/>
            <w:webHidden/>
          </w:rPr>
          <w:t>758</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2" w:history="1">
        <w:r>
          <w:rPr>
            <w:rStyle w:val="Hyperlink"/>
            <w:noProof/>
          </w:rPr>
          <w:t>AVSAF-1. PIELIKUMS. SERTIFIKĀCIJA LIDOJUMDERĪGUMA UN VIDES JOMĀ</w:t>
        </w:r>
        <w:r>
          <w:rPr>
            <w:noProof/>
            <w:webHidden/>
          </w:rPr>
          <w:tab/>
        </w:r>
        <w:r>
          <w:rPr>
            <w:noProof/>
            <w:webHidden/>
          </w:rPr>
          <w:fldChar w:fldCharType="begin"/>
        </w:r>
        <w:r>
          <w:rPr>
            <w:noProof/>
            <w:webHidden/>
          </w:rPr>
          <w:instrText xml:space="preserve"> PAGEREF _Toc59988412 \h </w:instrText>
        </w:r>
        <w:r>
          <w:rPr>
            <w:noProof/>
            <w:webHidden/>
          </w:rPr>
        </w:r>
        <w:r>
          <w:rPr>
            <w:noProof/>
            <w:webHidden/>
          </w:rPr>
          <w:fldChar w:fldCharType="separate"/>
        </w:r>
        <w:r>
          <w:rPr>
            <w:noProof/>
            <w:webHidden/>
          </w:rPr>
          <w:t>760</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3" w:history="1">
        <w:r>
          <w:rPr>
            <w:rStyle w:val="Hyperlink"/>
            <w:noProof/>
          </w:rPr>
          <w:t>ROAD-1. PIELIKUMS. KRAVU AUTOPĀRVADĀJUMI</w:t>
        </w:r>
        <w:r>
          <w:rPr>
            <w:noProof/>
            <w:webHidden/>
          </w:rPr>
          <w:tab/>
        </w:r>
        <w:r>
          <w:rPr>
            <w:noProof/>
            <w:webHidden/>
          </w:rPr>
          <w:fldChar w:fldCharType="begin"/>
        </w:r>
        <w:r>
          <w:rPr>
            <w:noProof/>
            <w:webHidden/>
          </w:rPr>
          <w:instrText xml:space="preserve"> PAGEREF _Toc59988413 \h </w:instrText>
        </w:r>
        <w:r>
          <w:rPr>
            <w:noProof/>
            <w:webHidden/>
          </w:rPr>
        </w:r>
        <w:r>
          <w:rPr>
            <w:noProof/>
            <w:webHidden/>
          </w:rPr>
          <w:fldChar w:fldCharType="separate"/>
        </w:r>
        <w:r>
          <w:rPr>
            <w:noProof/>
            <w:webHidden/>
          </w:rPr>
          <w:t>774</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4" w:history="1">
        <w:r>
          <w:rPr>
            <w:rStyle w:val="Hyperlink"/>
            <w:noProof/>
          </w:rPr>
          <w:t xml:space="preserve">ROAD-2. PIELIKUMS. </w:t>
        </w:r>
        <w:r>
          <w:rPr>
            <w:rStyle w:val="Hyperlink"/>
            <w:caps/>
            <w:noProof/>
          </w:rPr>
          <w:t xml:space="preserve">Regulāro un speciālo regulāro starptautisko pārvadājumu </w:t>
        </w:r>
        <w:r>
          <w:rPr>
            <w:rStyle w:val="Hyperlink"/>
            <w:caps/>
            <w:noProof/>
          </w:rPr>
          <w:t>atļaujas paraugs</w:t>
        </w:r>
        <w:r>
          <w:rPr>
            <w:noProof/>
            <w:webHidden/>
          </w:rPr>
          <w:tab/>
        </w:r>
        <w:r>
          <w:rPr>
            <w:noProof/>
            <w:webHidden/>
          </w:rPr>
          <w:fldChar w:fldCharType="begin"/>
        </w:r>
        <w:r>
          <w:rPr>
            <w:noProof/>
            <w:webHidden/>
          </w:rPr>
          <w:instrText xml:space="preserve"> PAGEREF _Toc59988414 \h </w:instrText>
        </w:r>
        <w:r>
          <w:rPr>
            <w:noProof/>
            <w:webHidden/>
          </w:rPr>
        </w:r>
        <w:r>
          <w:rPr>
            <w:noProof/>
            <w:webHidden/>
          </w:rPr>
          <w:fldChar w:fldCharType="separate"/>
        </w:r>
        <w:r>
          <w:rPr>
            <w:noProof/>
            <w:webHidden/>
          </w:rPr>
          <w:t>860</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5" w:history="1">
        <w:r>
          <w:rPr>
            <w:rStyle w:val="Hyperlink"/>
            <w:noProof/>
          </w:rPr>
          <w:t>ROAD-3. PIELIKUMS. REGULĀRO UN SPECIĀLO REGULĀRO STARPTAUTISKO PĀRVADĀJUMU ATĻAUJAS PIETEIKUMA PARAUGS</w:t>
        </w:r>
        <w:r>
          <w:rPr>
            <w:noProof/>
            <w:webHidden/>
          </w:rPr>
          <w:tab/>
        </w:r>
        <w:r>
          <w:rPr>
            <w:noProof/>
            <w:webHidden/>
          </w:rPr>
          <w:fldChar w:fldCharType="begin"/>
        </w:r>
        <w:r>
          <w:rPr>
            <w:noProof/>
            <w:webHidden/>
          </w:rPr>
          <w:instrText xml:space="preserve"> PAGEREF _Toc59988415 \h </w:instrText>
        </w:r>
        <w:r>
          <w:rPr>
            <w:noProof/>
            <w:webHidden/>
          </w:rPr>
        </w:r>
        <w:r>
          <w:rPr>
            <w:noProof/>
            <w:webHidden/>
          </w:rPr>
          <w:fldChar w:fldCharType="separate"/>
        </w:r>
        <w:r>
          <w:rPr>
            <w:noProof/>
            <w:webHidden/>
          </w:rPr>
          <w:t>864</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6" w:history="1">
        <w:r>
          <w:rPr>
            <w:rStyle w:val="Hyperlink"/>
            <w:noProof/>
          </w:rPr>
          <w:t>ROAD-4. PIELIKUMS. NEREGULĀRO PĀRVADĀJUMU BRAUCIENA VEIDLAPAS PARAUGS</w:t>
        </w:r>
        <w:r>
          <w:rPr>
            <w:noProof/>
            <w:webHidden/>
          </w:rPr>
          <w:tab/>
        </w:r>
        <w:r>
          <w:rPr>
            <w:noProof/>
            <w:webHidden/>
          </w:rPr>
          <w:fldChar w:fldCharType="begin"/>
        </w:r>
        <w:r>
          <w:rPr>
            <w:noProof/>
            <w:webHidden/>
          </w:rPr>
          <w:instrText xml:space="preserve"> PAGEREF _Toc59988416 \h </w:instrText>
        </w:r>
        <w:r>
          <w:rPr>
            <w:noProof/>
            <w:webHidden/>
          </w:rPr>
        </w:r>
        <w:r>
          <w:rPr>
            <w:noProof/>
            <w:webHidden/>
          </w:rPr>
          <w:fldChar w:fldCharType="separate"/>
        </w:r>
        <w:r>
          <w:rPr>
            <w:noProof/>
            <w:webHidden/>
          </w:rPr>
          <w:t>866</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7" w:history="1">
        <w:r>
          <w:rPr>
            <w:rStyle w:val="Hyperlink"/>
            <w:noProof/>
          </w:rPr>
          <w:t>FISH.1. PIELIKUMS</w:t>
        </w:r>
        <w:r>
          <w:rPr>
            <w:noProof/>
            <w:webHidden/>
          </w:rPr>
          <w:tab/>
        </w:r>
        <w:r>
          <w:rPr>
            <w:noProof/>
            <w:webHidden/>
          </w:rPr>
          <w:fldChar w:fldCharType="begin"/>
        </w:r>
        <w:r>
          <w:rPr>
            <w:noProof/>
            <w:webHidden/>
          </w:rPr>
          <w:instrText xml:space="preserve"> PAGEREF _Toc59988417 \h </w:instrText>
        </w:r>
        <w:r>
          <w:rPr>
            <w:noProof/>
            <w:webHidden/>
          </w:rPr>
        </w:r>
        <w:r>
          <w:rPr>
            <w:noProof/>
            <w:webHidden/>
          </w:rPr>
          <w:fldChar w:fldCharType="separate"/>
        </w:r>
        <w:r>
          <w:rPr>
            <w:noProof/>
            <w:webHidden/>
          </w:rPr>
          <w:t>867</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8" w:history="1">
        <w:r>
          <w:rPr>
            <w:rStyle w:val="Hyperlink"/>
            <w:noProof/>
          </w:rPr>
          <w:t xml:space="preserve">FISH.2. PIELIKUMS </w:t>
        </w:r>
        <w:r>
          <w:rPr>
            <w:noProof/>
            <w:webHidden/>
          </w:rPr>
          <w:tab/>
        </w:r>
        <w:r>
          <w:rPr>
            <w:noProof/>
            <w:webHidden/>
          </w:rPr>
          <w:fldChar w:fldCharType="begin"/>
        </w:r>
        <w:r>
          <w:rPr>
            <w:noProof/>
            <w:webHidden/>
          </w:rPr>
          <w:instrText xml:space="preserve"> PAGEREF _Toc59988418 \h </w:instrText>
        </w:r>
        <w:r>
          <w:rPr>
            <w:noProof/>
            <w:webHidden/>
          </w:rPr>
        </w:r>
        <w:r>
          <w:rPr>
            <w:noProof/>
            <w:webHidden/>
          </w:rPr>
          <w:fldChar w:fldCharType="separate"/>
        </w:r>
        <w:r>
          <w:rPr>
            <w:noProof/>
            <w:webHidden/>
          </w:rPr>
          <w:t>870</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19" w:history="1">
        <w:r>
          <w:rPr>
            <w:rStyle w:val="Hyperlink"/>
            <w:noProof/>
          </w:rPr>
          <w:t>FISH.3. PIELIKUMS</w:t>
        </w:r>
        <w:r>
          <w:rPr>
            <w:noProof/>
            <w:webHidden/>
          </w:rPr>
          <w:tab/>
        </w:r>
        <w:r>
          <w:rPr>
            <w:noProof/>
            <w:webHidden/>
          </w:rPr>
          <w:fldChar w:fldCharType="begin"/>
        </w:r>
        <w:r>
          <w:rPr>
            <w:noProof/>
            <w:webHidden/>
          </w:rPr>
          <w:instrText xml:space="preserve"> PAGEREF _Toc59988419 \h </w:instrText>
        </w:r>
        <w:r>
          <w:rPr>
            <w:noProof/>
            <w:webHidden/>
          </w:rPr>
        </w:r>
        <w:r>
          <w:rPr>
            <w:noProof/>
            <w:webHidden/>
          </w:rPr>
          <w:fldChar w:fldCharType="separate"/>
        </w:r>
        <w:r>
          <w:rPr>
            <w:noProof/>
            <w:webHidden/>
          </w:rPr>
          <w:t>872</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0" w:history="1">
        <w:r>
          <w:rPr>
            <w:rStyle w:val="Hyperlink"/>
            <w:noProof/>
          </w:rPr>
          <w:t>FISH.4. PIELIKUMS. PROTOKOLS PAR PIEKĻUVI ŪDEŅIEM</w:t>
        </w:r>
        <w:r>
          <w:rPr>
            <w:noProof/>
            <w:webHidden/>
          </w:rPr>
          <w:tab/>
        </w:r>
        <w:r>
          <w:rPr>
            <w:noProof/>
            <w:webHidden/>
          </w:rPr>
          <w:fldChar w:fldCharType="begin"/>
        </w:r>
        <w:r>
          <w:rPr>
            <w:noProof/>
            <w:webHidden/>
          </w:rPr>
          <w:instrText xml:space="preserve"> PAGEREF _Toc59988420 \h </w:instrText>
        </w:r>
        <w:r>
          <w:rPr>
            <w:noProof/>
            <w:webHidden/>
          </w:rPr>
        </w:r>
        <w:r>
          <w:rPr>
            <w:noProof/>
            <w:webHidden/>
          </w:rPr>
          <w:fldChar w:fldCharType="separate"/>
        </w:r>
        <w:r>
          <w:rPr>
            <w:noProof/>
            <w:webHidden/>
          </w:rPr>
          <w:t>874</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1" w:history="1">
        <w:r>
          <w:rPr>
            <w:rStyle w:val="Hyperlink"/>
            <w:noProof/>
          </w:rPr>
          <w:t>LAW-1. PIELIKUMS. APMAIŅA AR DNS, PIRKSTU NOSPIEDUMU UN TRANSPORTLĪDZEKĻU REĢISTRĀCIJAS DATIEM</w:t>
        </w:r>
        <w:r>
          <w:rPr>
            <w:noProof/>
            <w:webHidden/>
          </w:rPr>
          <w:tab/>
        </w:r>
        <w:r>
          <w:rPr>
            <w:noProof/>
            <w:webHidden/>
          </w:rPr>
          <w:fldChar w:fldCharType="begin"/>
        </w:r>
        <w:r>
          <w:rPr>
            <w:noProof/>
            <w:webHidden/>
          </w:rPr>
          <w:instrText xml:space="preserve"> PAGEREF _Toc59988421 \h </w:instrText>
        </w:r>
        <w:r>
          <w:rPr>
            <w:noProof/>
            <w:webHidden/>
          </w:rPr>
        </w:r>
        <w:r>
          <w:rPr>
            <w:noProof/>
            <w:webHidden/>
          </w:rPr>
          <w:fldChar w:fldCharType="separate"/>
        </w:r>
        <w:r>
          <w:rPr>
            <w:noProof/>
            <w:webHidden/>
          </w:rPr>
          <w:t>875</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2" w:history="1">
        <w:r>
          <w:rPr>
            <w:rStyle w:val="Hyperlink"/>
            <w:noProof/>
          </w:rPr>
          <w:t>LAW-2. PIELIKUMS.  PASAŽIERU DATU REĢISTRA DATI</w:t>
        </w:r>
        <w:r>
          <w:rPr>
            <w:noProof/>
            <w:webHidden/>
          </w:rPr>
          <w:tab/>
        </w:r>
        <w:r>
          <w:rPr>
            <w:noProof/>
            <w:webHidden/>
          </w:rPr>
          <w:fldChar w:fldCharType="begin"/>
        </w:r>
        <w:r>
          <w:rPr>
            <w:noProof/>
            <w:webHidden/>
          </w:rPr>
          <w:instrText xml:space="preserve"> PAGEREF _Toc59988422 \h </w:instrText>
        </w:r>
        <w:r>
          <w:rPr>
            <w:noProof/>
            <w:webHidden/>
          </w:rPr>
        </w:r>
        <w:r>
          <w:rPr>
            <w:noProof/>
            <w:webHidden/>
          </w:rPr>
          <w:fldChar w:fldCharType="separate"/>
        </w:r>
        <w:r>
          <w:rPr>
            <w:noProof/>
            <w:webHidden/>
          </w:rPr>
          <w:t>967</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3" w:history="1">
        <w:r>
          <w:rPr>
            <w:rStyle w:val="Hyperlink"/>
            <w:noProof/>
          </w:rPr>
          <w:t>LAW-3. PIELIKUMS. Eiropola kompetencē esošo noziegumu veidi</w:t>
        </w:r>
        <w:r>
          <w:rPr>
            <w:noProof/>
            <w:webHidden/>
          </w:rPr>
          <w:tab/>
        </w:r>
        <w:r>
          <w:rPr>
            <w:noProof/>
            <w:webHidden/>
          </w:rPr>
          <w:fldChar w:fldCharType="begin"/>
        </w:r>
        <w:r>
          <w:rPr>
            <w:noProof/>
            <w:webHidden/>
          </w:rPr>
          <w:instrText xml:space="preserve"> PAGEREF _Toc59988423 \h </w:instrText>
        </w:r>
        <w:r>
          <w:rPr>
            <w:noProof/>
            <w:webHidden/>
          </w:rPr>
        </w:r>
        <w:r>
          <w:rPr>
            <w:noProof/>
            <w:webHidden/>
          </w:rPr>
          <w:fldChar w:fldCharType="separate"/>
        </w:r>
        <w:r>
          <w:rPr>
            <w:noProof/>
            <w:webHidden/>
          </w:rPr>
          <w:t>969</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4" w:history="1">
        <w:r>
          <w:rPr>
            <w:rStyle w:val="Hyperlink"/>
            <w:noProof/>
          </w:rPr>
          <w:t xml:space="preserve">LAW-4. PIELIKUMS. </w:t>
        </w:r>
        <w:r>
          <w:rPr>
            <w:rStyle w:val="Hyperlink"/>
            <w:caps/>
            <w:noProof/>
          </w:rPr>
          <w:t xml:space="preserve">Eurojust kompetencē esošo noziegumu </w:t>
        </w:r>
        <w:r>
          <w:rPr>
            <w:rStyle w:val="Hyperlink"/>
            <w:caps/>
            <w:noProof/>
          </w:rPr>
          <w:t>veidi</w:t>
        </w:r>
        <w:r>
          <w:rPr>
            <w:noProof/>
            <w:webHidden/>
          </w:rPr>
          <w:tab/>
        </w:r>
        <w:r>
          <w:rPr>
            <w:noProof/>
            <w:webHidden/>
          </w:rPr>
          <w:fldChar w:fldCharType="begin"/>
        </w:r>
        <w:r>
          <w:rPr>
            <w:noProof/>
            <w:webHidden/>
          </w:rPr>
          <w:instrText xml:space="preserve"> PAGEREF _Toc59988424 \h </w:instrText>
        </w:r>
        <w:r>
          <w:rPr>
            <w:noProof/>
            <w:webHidden/>
          </w:rPr>
        </w:r>
        <w:r>
          <w:rPr>
            <w:noProof/>
            <w:webHidden/>
          </w:rPr>
          <w:fldChar w:fldCharType="separate"/>
        </w:r>
        <w:r>
          <w:rPr>
            <w:noProof/>
            <w:webHidden/>
          </w:rPr>
          <w:t>971</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5" w:history="1">
        <w:r>
          <w:rPr>
            <w:rStyle w:val="Hyperlink"/>
            <w:noProof/>
          </w:rPr>
          <w:t>LAW-5. PIELIKUMS. APCIETINĀŠANAS ORDERIS</w:t>
        </w:r>
        <w:r>
          <w:rPr>
            <w:noProof/>
            <w:webHidden/>
          </w:rPr>
          <w:tab/>
        </w:r>
        <w:r>
          <w:rPr>
            <w:noProof/>
            <w:webHidden/>
          </w:rPr>
          <w:fldChar w:fldCharType="begin"/>
        </w:r>
        <w:r>
          <w:rPr>
            <w:noProof/>
            <w:webHidden/>
          </w:rPr>
          <w:instrText xml:space="preserve"> PAGEREF _Toc59988425 \h </w:instrText>
        </w:r>
        <w:r>
          <w:rPr>
            <w:noProof/>
            <w:webHidden/>
          </w:rPr>
        </w:r>
        <w:r>
          <w:rPr>
            <w:noProof/>
            <w:webHidden/>
          </w:rPr>
          <w:fldChar w:fldCharType="separate"/>
        </w:r>
        <w:r>
          <w:rPr>
            <w:noProof/>
            <w:webHidden/>
          </w:rPr>
          <w:t>973</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6" w:history="1">
        <w:r>
          <w:rPr>
            <w:rStyle w:val="Hyperlink"/>
            <w:noProof/>
          </w:rPr>
          <w:t xml:space="preserve">LAW-6. PIELIKUMS. </w:t>
        </w:r>
        <w:r>
          <w:rPr>
            <w:rStyle w:val="Hyperlink"/>
            <w:caps/>
            <w:noProof/>
          </w:rPr>
          <w:t>Apmaiņa ar informāciju, kas izgūta no sodāmības reģistra – tehniskās un procesuālās specifikācijas</w:t>
        </w:r>
        <w:r>
          <w:rPr>
            <w:noProof/>
            <w:webHidden/>
          </w:rPr>
          <w:tab/>
        </w:r>
        <w:r>
          <w:rPr>
            <w:noProof/>
            <w:webHidden/>
          </w:rPr>
          <w:fldChar w:fldCharType="begin"/>
        </w:r>
        <w:r>
          <w:rPr>
            <w:noProof/>
            <w:webHidden/>
          </w:rPr>
          <w:instrText xml:space="preserve"> PAGEREF _Toc59988426 \h </w:instrText>
        </w:r>
        <w:r>
          <w:rPr>
            <w:noProof/>
            <w:webHidden/>
          </w:rPr>
        </w:r>
        <w:r>
          <w:rPr>
            <w:noProof/>
            <w:webHidden/>
          </w:rPr>
          <w:fldChar w:fldCharType="separate"/>
        </w:r>
        <w:r>
          <w:rPr>
            <w:noProof/>
            <w:webHidden/>
          </w:rPr>
          <w:t>981</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7" w:history="1">
        <w:r>
          <w:rPr>
            <w:rStyle w:val="Hyperlink"/>
            <w:noProof/>
          </w:rPr>
          <w:t xml:space="preserve">LAW-7. PIELIKUMS. </w:t>
        </w:r>
        <w:r>
          <w:rPr>
            <w:rStyle w:val="Hyperlink"/>
            <w:caps/>
            <w:noProof/>
          </w:rPr>
          <w:t>Terorisma definīcija</w:t>
        </w:r>
        <w:r>
          <w:rPr>
            <w:noProof/>
            <w:webHidden/>
          </w:rPr>
          <w:tab/>
        </w:r>
        <w:r>
          <w:rPr>
            <w:noProof/>
            <w:webHidden/>
          </w:rPr>
          <w:fldChar w:fldCharType="begin"/>
        </w:r>
        <w:r>
          <w:rPr>
            <w:noProof/>
            <w:webHidden/>
          </w:rPr>
          <w:instrText xml:space="preserve"> PAGEREF _Toc59988427 \h </w:instrText>
        </w:r>
        <w:r>
          <w:rPr>
            <w:noProof/>
            <w:webHidden/>
          </w:rPr>
        </w:r>
        <w:r>
          <w:rPr>
            <w:noProof/>
            <w:webHidden/>
          </w:rPr>
          <w:fldChar w:fldCharType="separate"/>
        </w:r>
        <w:r>
          <w:rPr>
            <w:noProof/>
            <w:webHidden/>
          </w:rPr>
          <w:t>1005</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8" w:history="1">
        <w:r>
          <w:rPr>
            <w:rStyle w:val="Hyperlink"/>
            <w:noProof/>
          </w:rPr>
          <w:t xml:space="preserve">LAW-8. PIELIKUMS. </w:t>
        </w:r>
        <w:r>
          <w:rPr>
            <w:rStyle w:val="Hyperlink"/>
            <w:caps/>
            <w:noProof/>
          </w:rPr>
          <w:t>Iesaldēšana un konfiskācija</w:t>
        </w:r>
        <w:r>
          <w:rPr>
            <w:noProof/>
            <w:webHidden/>
          </w:rPr>
          <w:tab/>
        </w:r>
        <w:r>
          <w:rPr>
            <w:noProof/>
            <w:webHidden/>
          </w:rPr>
          <w:fldChar w:fldCharType="begin"/>
        </w:r>
        <w:r>
          <w:rPr>
            <w:noProof/>
            <w:webHidden/>
          </w:rPr>
          <w:instrText xml:space="preserve"> PAGEREF _Toc59988428 \h </w:instrText>
        </w:r>
        <w:r>
          <w:rPr>
            <w:noProof/>
            <w:webHidden/>
          </w:rPr>
        </w:r>
        <w:r>
          <w:rPr>
            <w:noProof/>
            <w:webHidden/>
          </w:rPr>
          <w:fldChar w:fldCharType="separate"/>
        </w:r>
        <w:r>
          <w:rPr>
            <w:noProof/>
            <w:webHidden/>
          </w:rPr>
          <w:t>1009</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29" w:history="1">
        <w:r>
          <w:rPr>
            <w:rStyle w:val="Hyperlink"/>
            <w:noProof/>
          </w:rPr>
          <w:t>UNPRO-1. PIELIKUMS. FINANŠU NOSACĪJUMU ĪSTENOŠANA</w:t>
        </w:r>
        <w:r>
          <w:rPr>
            <w:noProof/>
            <w:webHidden/>
          </w:rPr>
          <w:tab/>
        </w:r>
        <w:r>
          <w:rPr>
            <w:noProof/>
            <w:webHidden/>
          </w:rPr>
          <w:fldChar w:fldCharType="begin"/>
        </w:r>
        <w:r>
          <w:rPr>
            <w:noProof/>
            <w:webHidden/>
          </w:rPr>
          <w:instrText xml:space="preserve"> PAGEREF _Toc59988429 \h</w:instrText>
        </w:r>
        <w:r>
          <w:rPr>
            <w:noProof/>
            <w:webHidden/>
          </w:rPr>
          <w:instrText xml:space="preserve"> </w:instrText>
        </w:r>
        <w:r>
          <w:rPr>
            <w:noProof/>
            <w:webHidden/>
          </w:rPr>
        </w:r>
        <w:r>
          <w:rPr>
            <w:noProof/>
            <w:webHidden/>
          </w:rPr>
          <w:fldChar w:fldCharType="separate"/>
        </w:r>
        <w:r>
          <w:rPr>
            <w:noProof/>
            <w:webHidden/>
          </w:rPr>
          <w:t>1026</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30" w:history="1">
        <w:r>
          <w:rPr>
            <w:rStyle w:val="Hyperlink"/>
            <w:noProof/>
          </w:rPr>
          <w:t>INST PIELIKUMS. STRĪDU IZŠĶIRŠANAS REGLAMENTS</w:t>
        </w:r>
        <w:r>
          <w:rPr>
            <w:noProof/>
            <w:webHidden/>
          </w:rPr>
          <w:tab/>
        </w:r>
        <w:r>
          <w:rPr>
            <w:noProof/>
            <w:webHidden/>
          </w:rPr>
          <w:fldChar w:fldCharType="begin"/>
        </w:r>
        <w:r>
          <w:rPr>
            <w:noProof/>
            <w:webHidden/>
          </w:rPr>
          <w:instrText xml:space="preserve"> PAGEREF _Toc59988430 \h </w:instrText>
        </w:r>
        <w:r>
          <w:rPr>
            <w:noProof/>
            <w:webHidden/>
          </w:rPr>
        </w:r>
        <w:r>
          <w:rPr>
            <w:noProof/>
            <w:webHidden/>
          </w:rPr>
          <w:fldChar w:fldCharType="separate"/>
        </w:r>
        <w:r>
          <w:rPr>
            <w:noProof/>
            <w:webHidden/>
          </w:rPr>
          <w:t>1029</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31" w:history="1">
        <w:r>
          <w:rPr>
            <w:rStyle w:val="Hyperlink"/>
            <w:noProof/>
          </w:rPr>
          <w:t>INST PIELIKUMS. ŠĶĪRĒJTIESNEŠU RĪCĪBAS KODEKSS</w:t>
        </w:r>
        <w:r>
          <w:rPr>
            <w:noProof/>
            <w:webHidden/>
          </w:rPr>
          <w:tab/>
        </w:r>
        <w:r>
          <w:rPr>
            <w:noProof/>
            <w:webHidden/>
          </w:rPr>
          <w:fldChar w:fldCharType="begin"/>
        </w:r>
        <w:r>
          <w:rPr>
            <w:noProof/>
            <w:webHidden/>
          </w:rPr>
          <w:instrText xml:space="preserve"> PAGEREF _Toc59988431 \h </w:instrText>
        </w:r>
        <w:r>
          <w:rPr>
            <w:noProof/>
            <w:webHidden/>
          </w:rPr>
        </w:r>
        <w:r>
          <w:rPr>
            <w:noProof/>
            <w:webHidden/>
          </w:rPr>
          <w:fldChar w:fldCharType="separate"/>
        </w:r>
        <w:r>
          <w:rPr>
            <w:noProof/>
            <w:webHidden/>
          </w:rPr>
          <w:t>1035</w:t>
        </w:r>
        <w:r>
          <w:rPr>
            <w:noProof/>
            <w:webHidden/>
          </w:rPr>
          <w:fldChar w:fldCharType="end"/>
        </w:r>
      </w:hyperlink>
    </w:p>
    <w:p w:rsidR="003E022D" w:rsidRDefault="007D19D6">
      <w:pPr>
        <w:pStyle w:val="TOC1"/>
        <w:rPr>
          <w:rFonts w:asciiTheme="minorHAnsi" w:eastAsiaTheme="minorEastAsia" w:hAnsiTheme="minorHAnsi"/>
          <w:b w:val="0"/>
          <w:noProof/>
          <w:lang w:val="en-US"/>
        </w:rPr>
      </w:pPr>
      <w:hyperlink w:anchor="_Toc59988432" w:history="1">
        <w:r>
          <w:rPr>
            <w:rStyle w:val="Hyperlink"/>
            <w:noProof/>
          </w:rPr>
          <w:t>PROTOKOLS PAR ADMINISTRATĪVO SADARBĪBU UN KRĀPŠANAS APKAROŠANU PIEVIENOTĀS VĒRTĪBAS NODOKĻA JOMĀ UN PAR SAVSTARPĒJU PALĪDZĪBU PRASĪJUMU PIEDZIŅĀ SAISTĪBĀ AR NOD</w:t>
        </w:r>
        <w:r>
          <w:rPr>
            <w:rStyle w:val="Hyperlink"/>
            <w:noProof/>
          </w:rPr>
          <w:t>OKĻIEM UN NODEVĀM</w:t>
        </w:r>
        <w:r>
          <w:rPr>
            <w:noProof/>
            <w:webHidden/>
          </w:rPr>
          <w:tab/>
        </w:r>
        <w:r>
          <w:rPr>
            <w:noProof/>
            <w:webHidden/>
          </w:rPr>
          <w:fldChar w:fldCharType="begin"/>
        </w:r>
        <w:r>
          <w:rPr>
            <w:noProof/>
            <w:webHidden/>
          </w:rPr>
          <w:instrText xml:space="preserve"> PAGEREF _Toc59988432 \h </w:instrText>
        </w:r>
        <w:r>
          <w:rPr>
            <w:noProof/>
            <w:webHidden/>
          </w:rPr>
        </w:r>
        <w:r>
          <w:rPr>
            <w:noProof/>
            <w:webHidden/>
          </w:rPr>
          <w:fldChar w:fldCharType="separate"/>
        </w:r>
        <w:r>
          <w:rPr>
            <w:noProof/>
            <w:webHidden/>
          </w:rPr>
          <w:t>1038</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433" w:history="1">
        <w:r>
          <w:rPr>
            <w:rStyle w:val="Hyperlink"/>
          </w:rPr>
          <w:t>I SADAĻA. VISPĀRĪGI NOTEIKUMI</w:t>
        </w:r>
        <w:r>
          <w:rPr>
            <w:webHidden/>
          </w:rPr>
          <w:tab/>
        </w:r>
        <w:r>
          <w:rPr>
            <w:webHidden/>
          </w:rPr>
          <w:fldChar w:fldCharType="begin"/>
        </w:r>
        <w:r>
          <w:rPr>
            <w:webHidden/>
          </w:rPr>
          <w:instrText xml:space="preserve"> PAGEREF _Toc59988433 \h </w:instrText>
        </w:r>
        <w:r>
          <w:rPr>
            <w:webHidden/>
          </w:rPr>
        </w:r>
        <w:r>
          <w:rPr>
            <w:webHidden/>
          </w:rPr>
          <w:fldChar w:fldCharType="separate"/>
        </w:r>
        <w:r>
          <w:rPr>
            <w:webHidden/>
          </w:rPr>
          <w:t>1038</w:t>
        </w:r>
        <w:r>
          <w:rPr>
            <w:webHidden/>
          </w:rPr>
          <w:fldChar w:fldCharType="end"/>
        </w:r>
      </w:hyperlink>
    </w:p>
    <w:p w:rsidR="003E022D" w:rsidRDefault="007D19D6">
      <w:pPr>
        <w:pStyle w:val="TOC3"/>
        <w:rPr>
          <w:rFonts w:asciiTheme="minorHAnsi" w:eastAsiaTheme="minorEastAsia" w:hAnsiTheme="minorHAnsi"/>
          <w:lang w:val="en-US"/>
        </w:rPr>
      </w:pPr>
      <w:hyperlink w:anchor="_Toc59988434" w:history="1">
        <w:r>
          <w:rPr>
            <w:rStyle w:val="Hyperlink"/>
          </w:rPr>
          <w:t>II SADAĻA. ADMINISTRATĪVĀ SADARBĪBA UN AR PVN SAISTĪTAS KRĀPŠANAS APKAROŠANA</w:t>
        </w:r>
        <w:r>
          <w:rPr>
            <w:webHidden/>
          </w:rPr>
          <w:tab/>
        </w:r>
        <w:r>
          <w:rPr>
            <w:webHidden/>
          </w:rPr>
          <w:fldChar w:fldCharType="begin"/>
        </w:r>
        <w:r>
          <w:rPr>
            <w:webHidden/>
          </w:rPr>
          <w:instrText xml:space="preserve"> PAGEREF _Toc59988434 \h </w:instrText>
        </w:r>
        <w:r>
          <w:rPr>
            <w:webHidden/>
          </w:rPr>
        </w:r>
        <w:r>
          <w:rPr>
            <w:webHidden/>
          </w:rPr>
          <w:fldChar w:fldCharType="separate"/>
        </w:r>
        <w:r>
          <w:rPr>
            <w:webHidden/>
          </w:rPr>
          <w:t>1042</w:t>
        </w:r>
        <w:r>
          <w:rPr>
            <w:webHidden/>
          </w:rPr>
          <w:fldChar w:fldCharType="end"/>
        </w:r>
      </w:hyperlink>
    </w:p>
    <w:p w:rsidR="003E022D" w:rsidRDefault="007D19D6">
      <w:pPr>
        <w:pStyle w:val="TOC3"/>
        <w:rPr>
          <w:rFonts w:asciiTheme="minorHAnsi" w:eastAsiaTheme="minorEastAsia" w:hAnsiTheme="minorHAnsi"/>
          <w:lang w:val="en-US"/>
        </w:rPr>
      </w:pPr>
      <w:hyperlink w:anchor="_Toc59988435" w:history="1">
        <w:r>
          <w:rPr>
            <w:rStyle w:val="Hyperlink"/>
          </w:rPr>
          <w:t>II</w:t>
        </w:r>
        <w:r>
          <w:rPr>
            <w:rStyle w:val="Hyperlink"/>
          </w:rPr>
          <w:t>I SADAĻA. PALĪDZĪBA PIEDZIŅĀ</w:t>
        </w:r>
        <w:r>
          <w:rPr>
            <w:webHidden/>
          </w:rPr>
          <w:tab/>
        </w:r>
        <w:r>
          <w:rPr>
            <w:webHidden/>
          </w:rPr>
          <w:fldChar w:fldCharType="begin"/>
        </w:r>
        <w:r>
          <w:rPr>
            <w:webHidden/>
          </w:rPr>
          <w:instrText xml:space="preserve"> PAGEREF _Toc59988435 \h </w:instrText>
        </w:r>
        <w:r>
          <w:rPr>
            <w:webHidden/>
          </w:rPr>
        </w:r>
        <w:r>
          <w:rPr>
            <w:webHidden/>
          </w:rPr>
          <w:fldChar w:fldCharType="separate"/>
        </w:r>
        <w:r>
          <w:rPr>
            <w:webHidden/>
          </w:rPr>
          <w:t>1047</w:t>
        </w:r>
        <w:r>
          <w:rPr>
            <w:webHidden/>
          </w:rPr>
          <w:fldChar w:fldCharType="end"/>
        </w:r>
      </w:hyperlink>
    </w:p>
    <w:p w:rsidR="003E022D" w:rsidRDefault="007D19D6">
      <w:pPr>
        <w:pStyle w:val="TOC3"/>
        <w:rPr>
          <w:rFonts w:asciiTheme="minorHAnsi" w:eastAsiaTheme="minorEastAsia" w:hAnsiTheme="minorHAnsi"/>
          <w:lang w:val="en-US"/>
        </w:rPr>
      </w:pPr>
      <w:hyperlink w:anchor="_Toc59988436" w:history="1">
        <w:r>
          <w:rPr>
            <w:rStyle w:val="Hyperlink"/>
          </w:rPr>
          <w:t>IV SADAĻA. ĪSTENOŠANA UN PIEMĒROŠANA</w:t>
        </w:r>
        <w:r>
          <w:rPr>
            <w:webHidden/>
          </w:rPr>
          <w:tab/>
        </w:r>
        <w:r>
          <w:rPr>
            <w:webHidden/>
          </w:rPr>
          <w:fldChar w:fldCharType="begin"/>
        </w:r>
        <w:r>
          <w:rPr>
            <w:webHidden/>
          </w:rPr>
          <w:instrText xml:space="preserve"> PAGEREF _Toc59988436 \h </w:instrText>
        </w:r>
        <w:r>
          <w:rPr>
            <w:webHidden/>
          </w:rPr>
        </w:r>
        <w:r>
          <w:rPr>
            <w:webHidden/>
          </w:rPr>
          <w:fldChar w:fldCharType="separate"/>
        </w:r>
        <w:r>
          <w:rPr>
            <w:webHidden/>
          </w:rPr>
          <w:t>1056</w:t>
        </w:r>
        <w:r>
          <w:rPr>
            <w:webHidden/>
          </w:rPr>
          <w:fldChar w:fldCharType="end"/>
        </w:r>
      </w:hyperlink>
    </w:p>
    <w:p w:rsidR="003E022D" w:rsidRDefault="007D19D6">
      <w:pPr>
        <w:pStyle w:val="TOC3"/>
        <w:rPr>
          <w:rFonts w:asciiTheme="minorHAnsi" w:eastAsiaTheme="minorEastAsia" w:hAnsiTheme="minorHAnsi"/>
          <w:lang w:val="en-US"/>
        </w:rPr>
      </w:pPr>
      <w:hyperlink w:anchor="_Toc59988437" w:history="1">
        <w:r>
          <w:rPr>
            <w:rStyle w:val="Hyperlink"/>
          </w:rPr>
          <w:t>V SADAĻA. NOBEIGUMA NOTEIKUMI</w:t>
        </w:r>
        <w:r>
          <w:rPr>
            <w:webHidden/>
          </w:rPr>
          <w:tab/>
        </w:r>
        <w:r>
          <w:rPr>
            <w:webHidden/>
          </w:rPr>
          <w:fldChar w:fldCharType="begin"/>
        </w:r>
        <w:r>
          <w:rPr>
            <w:webHidden/>
          </w:rPr>
          <w:instrText xml:space="preserve"> PAGEREF _Toc59988437 \h </w:instrText>
        </w:r>
        <w:r>
          <w:rPr>
            <w:webHidden/>
          </w:rPr>
        </w:r>
        <w:r>
          <w:rPr>
            <w:webHidden/>
          </w:rPr>
          <w:fldChar w:fldCharType="separate"/>
        </w:r>
        <w:r>
          <w:rPr>
            <w:webHidden/>
          </w:rPr>
          <w:t>1057</w:t>
        </w:r>
        <w:r>
          <w:rPr>
            <w:webHidden/>
          </w:rPr>
          <w:fldChar w:fldCharType="end"/>
        </w:r>
      </w:hyperlink>
    </w:p>
    <w:p w:rsidR="003E022D" w:rsidRDefault="007D19D6">
      <w:pPr>
        <w:pStyle w:val="TOC2"/>
        <w:rPr>
          <w:rFonts w:asciiTheme="minorHAnsi" w:eastAsiaTheme="minorEastAsia" w:hAnsiTheme="minorHAnsi"/>
          <w:noProof/>
          <w:lang w:val="en-US"/>
        </w:rPr>
      </w:pPr>
      <w:hyperlink w:anchor="_Toc59988438" w:history="1">
        <w:r>
          <w:rPr>
            <w:rStyle w:val="Hyperlink"/>
            <w:noProof/>
          </w:rPr>
          <w:t>PIELIKUMS PROTOKOLAM PAR ADMINISTRATĪVO SADARBĪBU UN KRĀPŠANAS APKAROŠANU PIEVIENOTĀS VĒRTĪBAS NODOKĻA JOMĀ UN PAR SAVSTARPĒJU PALĪDZĪBU PRASĪJUMU PIEDZIŅĀ SAIS</w:t>
        </w:r>
        <w:r>
          <w:rPr>
            <w:rStyle w:val="Hyperlink"/>
            <w:noProof/>
          </w:rPr>
          <w:t>TĪBĀ AR NODOKĻIEM UN NODEVĀM</w:t>
        </w:r>
        <w:r>
          <w:rPr>
            <w:noProof/>
            <w:webHidden/>
          </w:rPr>
          <w:tab/>
        </w:r>
        <w:r>
          <w:rPr>
            <w:noProof/>
            <w:webHidden/>
          </w:rPr>
          <w:fldChar w:fldCharType="begin"/>
        </w:r>
        <w:r>
          <w:rPr>
            <w:noProof/>
            <w:webHidden/>
          </w:rPr>
          <w:instrText xml:space="preserve"> PAGEREF _Toc59988438 \h </w:instrText>
        </w:r>
        <w:r>
          <w:rPr>
            <w:noProof/>
            <w:webHidden/>
          </w:rPr>
        </w:r>
        <w:r>
          <w:rPr>
            <w:noProof/>
            <w:webHidden/>
          </w:rPr>
          <w:fldChar w:fldCharType="separate"/>
        </w:r>
        <w:r>
          <w:rPr>
            <w:noProof/>
            <w:webHidden/>
          </w:rPr>
          <w:t>1058</w:t>
        </w:r>
        <w:r>
          <w:rPr>
            <w:noProof/>
            <w:webHidden/>
          </w:rPr>
          <w:fldChar w:fldCharType="end"/>
        </w:r>
      </w:hyperlink>
    </w:p>
    <w:p w:rsidR="003E022D" w:rsidRDefault="007D19D6">
      <w:pPr>
        <w:pStyle w:val="TOC1"/>
        <w:rPr>
          <w:rFonts w:asciiTheme="minorHAnsi" w:eastAsiaTheme="minorEastAsia" w:hAnsiTheme="minorHAnsi"/>
          <w:b w:val="0"/>
          <w:noProof/>
          <w:lang w:val="en-US"/>
        </w:rPr>
      </w:pPr>
      <w:hyperlink w:anchor="_Toc59988439" w:history="1">
        <w:r>
          <w:rPr>
            <w:rStyle w:val="Hyperlink"/>
            <w:noProof/>
          </w:rPr>
          <w:t>PROTOKOLS PAR SAVSTARPĒJU ADMINISTRATĪVO PALĪDZĪBU MUITAS LIETĀS</w:t>
        </w:r>
        <w:r>
          <w:rPr>
            <w:noProof/>
            <w:webHidden/>
          </w:rPr>
          <w:tab/>
        </w:r>
        <w:r>
          <w:rPr>
            <w:noProof/>
            <w:webHidden/>
          </w:rPr>
          <w:fldChar w:fldCharType="begin"/>
        </w:r>
        <w:r>
          <w:rPr>
            <w:noProof/>
            <w:webHidden/>
          </w:rPr>
          <w:instrText xml:space="preserve"> PAGEREF _Toc59988439 \h </w:instrText>
        </w:r>
        <w:r>
          <w:rPr>
            <w:noProof/>
            <w:webHidden/>
          </w:rPr>
        </w:r>
        <w:r>
          <w:rPr>
            <w:noProof/>
            <w:webHidden/>
          </w:rPr>
          <w:fldChar w:fldCharType="separate"/>
        </w:r>
        <w:r>
          <w:rPr>
            <w:noProof/>
            <w:webHidden/>
          </w:rPr>
          <w:t>1103</w:t>
        </w:r>
        <w:r>
          <w:rPr>
            <w:noProof/>
            <w:webHidden/>
          </w:rPr>
          <w:fldChar w:fldCharType="end"/>
        </w:r>
      </w:hyperlink>
    </w:p>
    <w:p w:rsidR="003E022D" w:rsidRDefault="007D19D6">
      <w:pPr>
        <w:pStyle w:val="TOC1"/>
        <w:rPr>
          <w:rFonts w:asciiTheme="minorHAnsi" w:eastAsiaTheme="minorEastAsia" w:hAnsiTheme="minorHAnsi"/>
          <w:b w:val="0"/>
          <w:noProof/>
          <w:lang w:val="en-US"/>
        </w:rPr>
      </w:pPr>
      <w:hyperlink w:anchor="_Toc59988440" w:history="1">
        <w:r>
          <w:rPr>
            <w:rStyle w:val="Hyperlink"/>
            <w:noProof/>
          </w:rPr>
          <w:t>PROTOKOLOS PAR SOCIĀLĀ NODROŠINĀJUMA KOORDINĀCIJU</w:t>
        </w:r>
        <w:r>
          <w:rPr>
            <w:noProof/>
            <w:webHidden/>
          </w:rPr>
          <w:tab/>
        </w:r>
        <w:r>
          <w:rPr>
            <w:noProof/>
            <w:webHidden/>
          </w:rPr>
          <w:fldChar w:fldCharType="begin"/>
        </w:r>
        <w:r>
          <w:rPr>
            <w:noProof/>
            <w:webHidden/>
          </w:rPr>
          <w:instrText xml:space="preserve"> PAGEREF _Toc59988440 \h </w:instrText>
        </w:r>
        <w:r>
          <w:rPr>
            <w:noProof/>
            <w:webHidden/>
          </w:rPr>
        </w:r>
        <w:r>
          <w:rPr>
            <w:noProof/>
            <w:webHidden/>
          </w:rPr>
          <w:fldChar w:fldCharType="separate"/>
        </w:r>
        <w:r>
          <w:rPr>
            <w:noProof/>
            <w:webHidden/>
          </w:rPr>
          <w:t>1109</w:t>
        </w:r>
        <w:r>
          <w:rPr>
            <w:noProof/>
            <w:webHidden/>
          </w:rPr>
          <w:fldChar w:fldCharType="end"/>
        </w:r>
      </w:hyperlink>
    </w:p>
    <w:p w:rsidR="003E022D" w:rsidRDefault="007D19D6">
      <w:pPr>
        <w:pStyle w:val="TOC3"/>
        <w:rPr>
          <w:rFonts w:asciiTheme="minorHAnsi" w:eastAsiaTheme="minorEastAsia" w:hAnsiTheme="minorHAnsi"/>
          <w:lang w:val="en-US"/>
        </w:rPr>
      </w:pPr>
      <w:hyperlink w:anchor="_Toc59988441" w:history="1">
        <w:r>
          <w:rPr>
            <w:rStyle w:val="Hyperlink"/>
          </w:rPr>
          <w:t>I SADAĻA. VISPĀRĪGI NOTEIKUMI</w:t>
        </w:r>
        <w:r>
          <w:rPr>
            <w:webHidden/>
          </w:rPr>
          <w:tab/>
        </w:r>
        <w:r>
          <w:rPr>
            <w:webHidden/>
          </w:rPr>
          <w:fldChar w:fldCharType="begin"/>
        </w:r>
        <w:r>
          <w:rPr>
            <w:webHidden/>
          </w:rPr>
          <w:instrText xml:space="preserve"> PAGEREF _Toc59988441 \h </w:instrText>
        </w:r>
        <w:r>
          <w:rPr>
            <w:webHidden/>
          </w:rPr>
        </w:r>
        <w:r>
          <w:rPr>
            <w:webHidden/>
          </w:rPr>
          <w:fldChar w:fldCharType="separate"/>
        </w:r>
        <w:r>
          <w:rPr>
            <w:webHidden/>
          </w:rPr>
          <w:t>1109</w:t>
        </w:r>
        <w:r>
          <w:rPr>
            <w:webHidden/>
          </w:rPr>
          <w:fldChar w:fldCharType="end"/>
        </w:r>
      </w:hyperlink>
    </w:p>
    <w:p w:rsidR="003E022D" w:rsidRDefault="007D19D6">
      <w:pPr>
        <w:pStyle w:val="TOC3"/>
        <w:rPr>
          <w:rFonts w:asciiTheme="minorHAnsi" w:eastAsiaTheme="minorEastAsia" w:hAnsiTheme="minorHAnsi"/>
          <w:lang w:val="en-US"/>
        </w:rPr>
      </w:pPr>
      <w:hyperlink w:anchor="_Toc59988442" w:history="1">
        <w:r>
          <w:rPr>
            <w:rStyle w:val="Hyperlink"/>
          </w:rPr>
          <w:t>II SADAĻA. PIEMĒROJAMO TIESĪBU AKTU NOTEIKŠANA</w:t>
        </w:r>
        <w:r>
          <w:rPr>
            <w:webHidden/>
          </w:rPr>
          <w:tab/>
        </w:r>
        <w:r>
          <w:rPr>
            <w:webHidden/>
          </w:rPr>
          <w:fldChar w:fldCharType="begin"/>
        </w:r>
        <w:r>
          <w:rPr>
            <w:webHidden/>
          </w:rPr>
          <w:instrText xml:space="preserve"> PAGEREF _Toc59988442 \h </w:instrText>
        </w:r>
        <w:r>
          <w:rPr>
            <w:webHidden/>
          </w:rPr>
        </w:r>
        <w:r>
          <w:rPr>
            <w:webHidden/>
          </w:rPr>
          <w:fldChar w:fldCharType="separate"/>
        </w:r>
        <w:r>
          <w:rPr>
            <w:webHidden/>
          </w:rPr>
          <w:t>1115</w:t>
        </w:r>
        <w:r>
          <w:rPr>
            <w:webHidden/>
          </w:rPr>
          <w:fldChar w:fldCharType="end"/>
        </w:r>
      </w:hyperlink>
    </w:p>
    <w:p w:rsidR="003E022D" w:rsidRDefault="007D19D6">
      <w:pPr>
        <w:pStyle w:val="TOC3"/>
        <w:rPr>
          <w:rFonts w:asciiTheme="minorHAnsi" w:eastAsiaTheme="minorEastAsia" w:hAnsiTheme="minorHAnsi"/>
          <w:lang w:val="en-US"/>
        </w:rPr>
      </w:pPr>
      <w:hyperlink w:anchor="_Toc59988443" w:history="1">
        <w:r>
          <w:rPr>
            <w:rStyle w:val="Hyperlink"/>
          </w:rPr>
          <w:t>III SADAĻA. ĪPAŠI NOTEIKUMI PAR DAŽĀDĀM PABALSTU KATEGORIJĀM</w:t>
        </w:r>
        <w:r>
          <w:rPr>
            <w:webHidden/>
          </w:rPr>
          <w:tab/>
        </w:r>
        <w:r>
          <w:rPr>
            <w:webHidden/>
          </w:rPr>
          <w:fldChar w:fldCharType="begin"/>
        </w:r>
        <w:r>
          <w:rPr>
            <w:webHidden/>
          </w:rPr>
          <w:instrText xml:space="preserve"> PAGEREF _Toc59988443 \h </w:instrText>
        </w:r>
        <w:r>
          <w:rPr>
            <w:webHidden/>
          </w:rPr>
        </w:r>
        <w:r>
          <w:rPr>
            <w:webHidden/>
          </w:rPr>
          <w:fldChar w:fldCharType="separate"/>
        </w:r>
        <w:r>
          <w:rPr>
            <w:webHidden/>
          </w:rPr>
          <w:t>1119</w:t>
        </w:r>
        <w:r>
          <w:rPr>
            <w:webHidden/>
          </w:rPr>
          <w:fldChar w:fldCharType="end"/>
        </w:r>
      </w:hyperlink>
    </w:p>
    <w:p w:rsidR="003E022D" w:rsidRDefault="007D19D6">
      <w:pPr>
        <w:pStyle w:val="TOC3"/>
        <w:rPr>
          <w:rFonts w:asciiTheme="minorHAnsi" w:eastAsiaTheme="minorEastAsia" w:hAnsiTheme="minorHAnsi"/>
          <w:lang w:val="en-US"/>
        </w:rPr>
      </w:pPr>
      <w:hyperlink w:anchor="_Toc59988444" w:history="1">
        <w:r>
          <w:rPr>
            <w:rStyle w:val="Hyperlink"/>
          </w:rPr>
          <w:t>IV SADAĻA. DAŽĀDI NOTEIKUMI</w:t>
        </w:r>
        <w:r>
          <w:rPr>
            <w:webHidden/>
          </w:rPr>
          <w:tab/>
        </w:r>
        <w:r>
          <w:rPr>
            <w:webHidden/>
          </w:rPr>
          <w:fldChar w:fldCharType="begin"/>
        </w:r>
        <w:r>
          <w:rPr>
            <w:webHidden/>
          </w:rPr>
          <w:instrText xml:space="preserve"> PAGEREF _Toc59988444 \h </w:instrText>
        </w:r>
        <w:r>
          <w:rPr>
            <w:webHidden/>
          </w:rPr>
        </w:r>
        <w:r>
          <w:rPr>
            <w:webHidden/>
          </w:rPr>
          <w:fldChar w:fldCharType="separate"/>
        </w:r>
        <w:r>
          <w:rPr>
            <w:webHidden/>
          </w:rPr>
          <w:t>1134</w:t>
        </w:r>
        <w:r>
          <w:rPr>
            <w:webHidden/>
          </w:rPr>
          <w:fldChar w:fldCharType="end"/>
        </w:r>
      </w:hyperlink>
    </w:p>
    <w:p w:rsidR="003E022D" w:rsidRDefault="007D19D6">
      <w:pPr>
        <w:pStyle w:val="TOC3"/>
        <w:rPr>
          <w:rFonts w:asciiTheme="minorHAnsi" w:eastAsiaTheme="minorEastAsia" w:hAnsiTheme="minorHAnsi"/>
          <w:lang w:val="en-US"/>
        </w:rPr>
      </w:pPr>
      <w:hyperlink w:anchor="_Toc59988445" w:history="1">
        <w:r>
          <w:rPr>
            <w:rStyle w:val="Hyperlink"/>
          </w:rPr>
          <w:t>V SA</w:t>
        </w:r>
        <w:r>
          <w:rPr>
            <w:rStyle w:val="Hyperlink"/>
          </w:rPr>
          <w:t>DAĻA. NOBEIGUMA NOTEIKUMI</w:t>
        </w:r>
        <w:r>
          <w:rPr>
            <w:webHidden/>
          </w:rPr>
          <w:tab/>
        </w:r>
        <w:r>
          <w:rPr>
            <w:webHidden/>
          </w:rPr>
          <w:fldChar w:fldCharType="begin"/>
        </w:r>
        <w:r>
          <w:rPr>
            <w:webHidden/>
          </w:rPr>
          <w:instrText xml:space="preserve"> PAGEREF _Toc59988445 \h </w:instrText>
        </w:r>
        <w:r>
          <w:rPr>
            <w:webHidden/>
          </w:rPr>
        </w:r>
        <w:r>
          <w:rPr>
            <w:webHidden/>
          </w:rPr>
          <w:fldChar w:fldCharType="separate"/>
        </w:r>
        <w:r>
          <w:rPr>
            <w:webHidden/>
          </w:rPr>
          <w:t>1138</w:t>
        </w:r>
        <w:r>
          <w:rPr>
            <w:webHidden/>
          </w:rPr>
          <w:fldChar w:fldCharType="end"/>
        </w:r>
      </w:hyperlink>
    </w:p>
    <w:p w:rsidR="003E022D" w:rsidRDefault="007D19D6">
      <w:pPr>
        <w:pStyle w:val="TOC2"/>
        <w:rPr>
          <w:rFonts w:asciiTheme="minorHAnsi" w:eastAsiaTheme="minorEastAsia" w:hAnsiTheme="minorHAnsi"/>
          <w:noProof/>
          <w:lang w:val="en-US"/>
        </w:rPr>
      </w:pPr>
      <w:hyperlink w:anchor="_Toc59988446" w:history="1">
        <w:r>
          <w:rPr>
            <w:rStyle w:val="Hyperlink"/>
            <w:noProof/>
          </w:rPr>
          <w:t>SSC-1. PIELIKUMS. DAŽI NAUDAS PABALSTI, KURIEM NEPIEMĒRO ŠO PROTOKOLU</w:t>
        </w:r>
        <w:r>
          <w:rPr>
            <w:noProof/>
            <w:webHidden/>
          </w:rPr>
          <w:tab/>
        </w:r>
        <w:r>
          <w:rPr>
            <w:noProof/>
            <w:webHidden/>
          </w:rPr>
          <w:fldChar w:fldCharType="begin"/>
        </w:r>
        <w:r>
          <w:rPr>
            <w:noProof/>
            <w:webHidden/>
          </w:rPr>
          <w:instrText xml:space="preserve"> PAGEREF _Toc59988446 \h </w:instrText>
        </w:r>
        <w:r>
          <w:rPr>
            <w:noProof/>
            <w:webHidden/>
          </w:rPr>
        </w:r>
        <w:r>
          <w:rPr>
            <w:noProof/>
            <w:webHidden/>
          </w:rPr>
          <w:fldChar w:fldCharType="separate"/>
        </w:r>
        <w:r>
          <w:rPr>
            <w:noProof/>
            <w:webHidden/>
          </w:rPr>
          <w:t>1139</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47" w:history="1">
        <w:r>
          <w:rPr>
            <w:rStyle w:val="Hyperlink"/>
            <w:noProof/>
          </w:rPr>
          <w:t>SSC-2. PIELIKUMS. IEROBEŽOJUMI ATTIECĪBĀ UZ TIESĪBĀM SAŅEMT PABALSTUS NATŪRĀ PAR PĀRROBEŽU DARBA ŅĒMĒJA ĢIMENES LOCEKĻIEM</w:t>
        </w:r>
        <w:r>
          <w:rPr>
            <w:noProof/>
            <w:webHidden/>
          </w:rPr>
          <w:tab/>
        </w:r>
        <w:r>
          <w:rPr>
            <w:noProof/>
            <w:webHidden/>
          </w:rPr>
          <w:fldChar w:fldCharType="begin"/>
        </w:r>
        <w:r>
          <w:rPr>
            <w:noProof/>
            <w:webHidden/>
          </w:rPr>
          <w:instrText xml:space="preserve"> PAGEREF _Toc59988447 \h </w:instrText>
        </w:r>
        <w:r>
          <w:rPr>
            <w:noProof/>
            <w:webHidden/>
          </w:rPr>
        </w:r>
        <w:r>
          <w:rPr>
            <w:noProof/>
            <w:webHidden/>
          </w:rPr>
          <w:fldChar w:fldCharType="separate"/>
        </w:r>
        <w:r>
          <w:rPr>
            <w:noProof/>
            <w:webHidden/>
          </w:rPr>
          <w:t>1155</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48" w:history="1">
        <w:r>
          <w:rPr>
            <w:rStyle w:val="Hyperlink"/>
            <w:noProof/>
          </w:rPr>
          <w:t>SSC-3. PIELIKUMS. LIELĀKAS TIESĪBAS PENSIONĀRIEM, KAS ATGRIEŽAS KOMPETENTAJĀ VALSTĪ</w:t>
        </w:r>
        <w:r>
          <w:rPr>
            <w:noProof/>
            <w:webHidden/>
          </w:rPr>
          <w:tab/>
        </w:r>
        <w:r>
          <w:rPr>
            <w:noProof/>
            <w:webHidden/>
          </w:rPr>
          <w:fldChar w:fldCharType="begin"/>
        </w:r>
        <w:r>
          <w:rPr>
            <w:noProof/>
            <w:webHidden/>
          </w:rPr>
          <w:instrText xml:space="preserve"> PAGEREF _Toc59988448 \h </w:instrText>
        </w:r>
        <w:r>
          <w:rPr>
            <w:noProof/>
            <w:webHidden/>
          </w:rPr>
        </w:r>
        <w:r>
          <w:rPr>
            <w:noProof/>
            <w:webHidden/>
          </w:rPr>
          <w:fldChar w:fldCharType="separate"/>
        </w:r>
        <w:r>
          <w:rPr>
            <w:noProof/>
            <w:webHidden/>
          </w:rPr>
          <w:t>1156</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49" w:history="1">
        <w:r>
          <w:rPr>
            <w:rStyle w:val="Hyperlink"/>
            <w:noProof/>
          </w:rPr>
          <w:t>SSC-4. PIELIKUMS. GADĪJUMI, KAD PROPORCIONĀLO APRĒĶINU NEIZMANTO VAI TAS NAV PIEMĒROJAMS</w:t>
        </w:r>
        <w:r>
          <w:rPr>
            <w:noProof/>
            <w:webHidden/>
          </w:rPr>
          <w:tab/>
        </w:r>
        <w:r>
          <w:rPr>
            <w:noProof/>
            <w:webHidden/>
          </w:rPr>
          <w:fldChar w:fldCharType="begin"/>
        </w:r>
        <w:r>
          <w:rPr>
            <w:noProof/>
            <w:webHidden/>
          </w:rPr>
          <w:instrText xml:space="preserve"> PAGEREF _Toc59988449 \h </w:instrText>
        </w:r>
        <w:r>
          <w:rPr>
            <w:noProof/>
            <w:webHidden/>
          </w:rPr>
        </w:r>
        <w:r>
          <w:rPr>
            <w:noProof/>
            <w:webHidden/>
          </w:rPr>
          <w:fldChar w:fldCharType="separate"/>
        </w:r>
        <w:r>
          <w:rPr>
            <w:noProof/>
            <w:webHidden/>
          </w:rPr>
          <w:t>1157</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50" w:history="1">
        <w:r>
          <w:rPr>
            <w:rStyle w:val="Hyperlink"/>
            <w:noProof/>
          </w:rPr>
          <w:t>SSC-5. PIELIKUMS. PABALSTI UN NOLĪGUMI, KAS ĻAUJ PIEMĒROT SSC.49. pantu [Viena veida pabalstu pārklāšanās]</w:t>
        </w:r>
        <w:r>
          <w:rPr>
            <w:noProof/>
            <w:webHidden/>
          </w:rPr>
          <w:tab/>
        </w:r>
        <w:r>
          <w:rPr>
            <w:noProof/>
            <w:webHidden/>
          </w:rPr>
          <w:fldChar w:fldCharType="begin"/>
        </w:r>
        <w:r>
          <w:rPr>
            <w:noProof/>
            <w:webHidden/>
          </w:rPr>
          <w:instrText xml:space="preserve"> PAGEREF _Toc59988450 \h </w:instrText>
        </w:r>
        <w:r>
          <w:rPr>
            <w:noProof/>
            <w:webHidden/>
          </w:rPr>
        </w:r>
        <w:r>
          <w:rPr>
            <w:noProof/>
            <w:webHidden/>
          </w:rPr>
          <w:fldChar w:fldCharType="separate"/>
        </w:r>
        <w:r>
          <w:rPr>
            <w:noProof/>
            <w:webHidden/>
          </w:rPr>
          <w:t>1162</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51" w:history="1">
        <w:r>
          <w:rPr>
            <w:rStyle w:val="Hyperlink"/>
            <w:noProof/>
          </w:rPr>
          <w:t>SSC-6. PIELIKUMS. ĪPAŠI DALĪBVALSTU UN APVIENOTĀS KARALISTES TIESĪBU AKTU PIEMĒROŠANAS NOTEIKUMI</w:t>
        </w:r>
        <w:r>
          <w:rPr>
            <w:noProof/>
            <w:webHidden/>
          </w:rPr>
          <w:tab/>
        </w:r>
        <w:r>
          <w:rPr>
            <w:noProof/>
            <w:webHidden/>
          </w:rPr>
          <w:fldChar w:fldCharType="begin"/>
        </w:r>
        <w:r>
          <w:rPr>
            <w:noProof/>
            <w:webHidden/>
          </w:rPr>
          <w:instrText xml:space="preserve"> PAGEREF _Toc59988451 \h </w:instrText>
        </w:r>
        <w:r>
          <w:rPr>
            <w:noProof/>
            <w:webHidden/>
          </w:rPr>
        </w:r>
        <w:r>
          <w:rPr>
            <w:noProof/>
            <w:webHidden/>
          </w:rPr>
          <w:fldChar w:fldCharType="separate"/>
        </w:r>
        <w:r>
          <w:rPr>
            <w:noProof/>
            <w:webHidden/>
          </w:rPr>
          <w:t>1165</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52" w:history="1">
        <w:r>
          <w:rPr>
            <w:rStyle w:val="Hyperlink"/>
            <w:noProof/>
          </w:rPr>
          <w:t>SSC-7. PIELIKUMS. ĪSTENOŠANAS DAĻA</w:t>
        </w:r>
        <w:r>
          <w:rPr>
            <w:noProof/>
            <w:webHidden/>
          </w:rPr>
          <w:tab/>
        </w:r>
        <w:r>
          <w:rPr>
            <w:noProof/>
            <w:webHidden/>
          </w:rPr>
          <w:fldChar w:fldCharType="begin"/>
        </w:r>
        <w:r>
          <w:rPr>
            <w:noProof/>
            <w:webHidden/>
          </w:rPr>
          <w:instrText xml:space="preserve"> PAGEREF _Toc59988452 \h </w:instrText>
        </w:r>
        <w:r>
          <w:rPr>
            <w:noProof/>
            <w:webHidden/>
          </w:rPr>
        </w:r>
        <w:r>
          <w:rPr>
            <w:noProof/>
            <w:webHidden/>
          </w:rPr>
          <w:fldChar w:fldCharType="separate"/>
        </w:r>
        <w:r>
          <w:rPr>
            <w:noProof/>
            <w:webHidden/>
          </w:rPr>
          <w:t>1178</w:t>
        </w:r>
        <w:r>
          <w:rPr>
            <w:noProof/>
            <w:webHidden/>
          </w:rPr>
          <w:fldChar w:fldCharType="end"/>
        </w:r>
      </w:hyperlink>
    </w:p>
    <w:p w:rsidR="003E022D" w:rsidRDefault="007D19D6">
      <w:pPr>
        <w:pStyle w:val="TOC2"/>
        <w:rPr>
          <w:rFonts w:asciiTheme="minorHAnsi" w:eastAsiaTheme="minorEastAsia" w:hAnsiTheme="minorHAnsi"/>
          <w:noProof/>
          <w:lang w:val="en-US"/>
        </w:rPr>
      </w:pPr>
      <w:hyperlink w:anchor="_Toc59988453" w:history="1">
        <w:r>
          <w:rPr>
            <w:rStyle w:val="Hyperlink"/>
            <w:noProof/>
          </w:rPr>
          <w:t>SSC-8. PIELIKUMS. PĀREJAS NOTEIKUMI SSC.11. PANTA [Norīkotie darba ņēmēji] PIEMĒROŠA</w:t>
        </w:r>
        <w:r>
          <w:rPr>
            <w:rStyle w:val="Hyperlink"/>
            <w:noProof/>
          </w:rPr>
          <w:t>NAI</w:t>
        </w:r>
        <w:r>
          <w:rPr>
            <w:noProof/>
            <w:webHidden/>
          </w:rPr>
          <w:tab/>
        </w:r>
        <w:r>
          <w:rPr>
            <w:noProof/>
            <w:webHidden/>
          </w:rPr>
          <w:fldChar w:fldCharType="begin"/>
        </w:r>
        <w:r>
          <w:rPr>
            <w:noProof/>
            <w:webHidden/>
          </w:rPr>
          <w:instrText xml:space="preserve"> PAGEREF _Toc59988453 \h </w:instrText>
        </w:r>
        <w:r>
          <w:rPr>
            <w:noProof/>
            <w:webHidden/>
          </w:rPr>
        </w:r>
        <w:r>
          <w:rPr>
            <w:noProof/>
            <w:webHidden/>
          </w:rPr>
          <w:fldChar w:fldCharType="separate"/>
        </w:r>
        <w:r>
          <w:rPr>
            <w:noProof/>
            <w:webHidden/>
          </w:rPr>
          <w:t>1221</w:t>
        </w:r>
        <w:r>
          <w:rPr>
            <w:noProof/>
            <w:webHidden/>
          </w:rPr>
          <w:fldChar w:fldCharType="end"/>
        </w:r>
      </w:hyperlink>
    </w:p>
    <w:p w:rsidR="003E022D" w:rsidRDefault="007D19D6">
      <w:pPr>
        <w:rPr>
          <w:rFonts w:asciiTheme="majorHAnsi" w:hAnsiTheme="majorHAnsi"/>
          <w:noProof/>
        </w:rPr>
      </w:pPr>
      <w:r>
        <w:rPr>
          <w:rFonts w:asciiTheme="majorHAnsi" w:hAnsiTheme="majorHAnsi"/>
          <w:b/>
          <w:noProof/>
        </w:rPr>
        <w:fldChar w:fldCharType="end"/>
      </w:r>
    </w:p>
    <w:p w:rsidR="003E022D" w:rsidRDefault="007D19D6">
      <w:pPr>
        <w:spacing w:after="160"/>
        <w:rPr>
          <w:rFonts w:asciiTheme="majorHAnsi" w:hAnsiTheme="majorHAnsi"/>
          <w:noProof/>
        </w:rPr>
      </w:pPr>
      <w:r>
        <w:rPr>
          <w:noProof/>
        </w:rPr>
        <w:br w:type="page"/>
      </w:r>
    </w:p>
    <w:p w:rsidR="003E022D" w:rsidRDefault="007D19D6">
      <w:pPr>
        <w:spacing w:after="160"/>
        <w:jc w:val="center"/>
        <w:rPr>
          <w:rFonts w:asciiTheme="majorHAnsi" w:hAnsiTheme="majorHAnsi"/>
          <w:bCs/>
          <w:noProof/>
          <w:sz w:val="24"/>
        </w:rPr>
      </w:pPr>
      <w:r>
        <w:rPr>
          <w:rFonts w:asciiTheme="majorHAnsi" w:hAnsiTheme="majorHAnsi"/>
          <w:bCs/>
          <w:noProof/>
          <w:sz w:val="24"/>
        </w:rPr>
        <w:t xml:space="preserve">TIRDZNIECĪBAS UN SADARBĪBAS NOLĪGUMS STARP EIROPAS SAVIENĪBU UN EIROPAS ATOMENERĢIJAS KOPIENU, NO VIENAS PUSES, UN LIELBRITĀNIJAS UN ZIEMEĻĪRIJAS </w:t>
      </w:r>
      <w:r>
        <w:rPr>
          <w:rFonts w:asciiTheme="majorHAnsi" w:hAnsiTheme="majorHAnsi"/>
          <w:bCs/>
          <w:noProof/>
          <w:sz w:val="24"/>
        </w:rPr>
        <w:t>APVIENOTO KARALISTI, NO OTRAS PUSES</w:t>
      </w:r>
    </w:p>
    <w:p w:rsidR="003E022D" w:rsidRDefault="003E022D">
      <w:pPr>
        <w:spacing w:after="160"/>
        <w:rPr>
          <w:rFonts w:asciiTheme="majorHAnsi" w:hAnsiTheme="majorHAnsi"/>
          <w:b/>
          <w:noProof/>
        </w:rPr>
      </w:pPr>
    </w:p>
    <w:p w:rsidR="003E022D" w:rsidRDefault="007D19D6">
      <w:pPr>
        <w:pStyle w:val="Title1"/>
        <w:rPr>
          <w:noProof/>
          <w:lang w:val="fr-BE"/>
        </w:rPr>
      </w:pPr>
      <w:bookmarkStart w:id="2" w:name="_Toc59643859"/>
      <w:bookmarkStart w:id="3" w:name="_Toc59988331"/>
      <w:r>
        <w:rPr>
          <w:noProof/>
          <w:lang w:val="fr-BE"/>
        </w:rPr>
        <w:t>PREAMBULA</w:t>
      </w:r>
      <w:bookmarkEnd w:id="2"/>
      <w:bookmarkEnd w:id="3"/>
    </w:p>
    <w:p w:rsidR="003E022D" w:rsidRDefault="007D19D6">
      <w:pPr>
        <w:spacing w:after="160"/>
        <w:rPr>
          <w:noProof/>
          <w:lang w:val="fr-BE"/>
        </w:rPr>
      </w:pPr>
      <w:r>
        <w:rPr>
          <w:noProof/>
          <w:lang w:val="fr-BE"/>
        </w:rPr>
        <w:t xml:space="preserve">EIROPAS SAVIENĪBA UN EIROPAS ATOMENERĢIJAS KOPIENA </w:t>
      </w:r>
    </w:p>
    <w:p w:rsidR="003E022D" w:rsidRDefault="007D19D6">
      <w:pPr>
        <w:spacing w:after="160"/>
        <w:rPr>
          <w:noProof/>
          <w:lang w:val="fr-BE"/>
        </w:rPr>
      </w:pPr>
      <w:r>
        <w:rPr>
          <w:noProof/>
          <w:lang w:val="fr-BE"/>
        </w:rPr>
        <w:t xml:space="preserve">UN </w:t>
      </w:r>
    </w:p>
    <w:p w:rsidR="003E022D" w:rsidRDefault="007D19D6">
      <w:pPr>
        <w:spacing w:after="160"/>
        <w:rPr>
          <w:b/>
          <w:noProof/>
          <w:lang w:val="fr-BE"/>
        </w:rPr>
      </w:pPr>
      <w:r>
        <w:rPr>
          <w:noProof/>
          <w:lang w:val="fr-BE"/>
        </w:rPr>
        <w:t>LIELBRITĀNIJAS UN ZIEMEĻĪRIJAS APVIENOTĀ KARALISTE,</w:t>
      </w:r>
    </w:p>
    <w:p w:rsidR="003E022D" w:rsidRDefault="003E022D">
      <w:pPr>
        <w:spacing w:after="160"/>
        <w:rPr>
          <w:rFonts w:asciiTheme="majorHAnsi" w:hAnsiTheme="majorHAnsi"/>
          <w:b/>
          <w:noProof/>
          <w:lang w:val="fr-BE"/>
        </w:rPr>
      </w:pPr>
    </w:p>
    <w:p w:rsidR="003E022D" w:rsidRDefault="007D19D6">
      <w:pPr>
        <w:rPr>
          <w:noProof/>
          <w:lang w:val="fr-BE"/>
        </w:rPr>
      </w:pPr>
      <w:r>
        <w:rPr>
          <w:i/>
          <w:iCs/>
          <w:noProof/>
          <w:lang w:val="fr-BE"/>
        </w:rPr>
        <w:t xml:space="preserve">VĒLREIZ APLIECINOT Pušu apņemšanos saistībā ar demokrātijas principiem, tiesiskumu, cilvēktiesībām, </w:t>
      </w:r>
      <w:r>
        <w:rPr>
          <w:i/>
          <w:iCs/>
          <w:noProof/>
          <w:lang w:val="fr-BE"/>
        </w:rPr>
        <w:t>cīņu pret masu iznīcināšanas ieroču izplatīšanu un cīņu pret klimata pārmaiņām, kas ir būtiski elementi šajā nolīgumā un papildinošajos nolīgumos,</w:t>
      </w:r>
    </w:p>
    <w:p w:rsidR="003E022D" w:rsidRDefault="007D19D6">
      <w:pPr>
        <w:rPr>
          <w:noProof/>
          <w:lang w:val="fr-BE"/>
        </w:rPr>
      </w:pPr>
      <w:r>
        <w:rPr>
          <w:i/>
          <w:iCs/>
          <w:noProof/>
          <w:lang w:val="fr-BE"/>
        </w:rPr>
        <w:t>ATZĪSTOT, ka globālā sadarbība ir svarīga, lai pievērstos jautājumiem, kas saistīti ar kopīgām interesēm,</w:t>
      </w:r>
    </w:p>
    <w:p w:rsidR="003E022D" w:rsidRDefault="007D19D6">
      <w:pPr>
        <w:rPr>
          <w:rFonts w:asciiTheme="minorHAnsi" w:hAnsiTheme="minorHAnsi"/>
          <w:i/>
          <w:iCs/>
          <w:noProof/>
          <w:lang w:val="fr-BE"/>
        </w:rPr>
      </w:pPr>
      <w:r>
        <w:rPr>
          <w:i/>
          <w:iCs/>
          <w:noProof/>
          <w:lang w:val="fr-BE"/>
        </w:rPr>
        <w:t>ATZ</w:t>
      </w:r>
      <w:r>
        <w:rPr>
          <w:i/>
          <w:iCs/>
          <w:noProof/>
          <w:lang w:val="fr-BE"/>
        </w:rPr>
        <w:t>ĪSTOT, ka pārredzamība starptautiskās tirdzniecības un investīciju jomā ir nozīmīga un ka no tās iegūst visas ieinteresētās personas,</w:t>
      </w:r>
      <w:r>
        <w:rPr>
          <w:rFonts w:asciiTheme="minorHAnsi" w:hAnsiTheme="minorHAnsi"/>
          <w:i/>
          <w:iCs/>
          <w:noProof/>
          <w:lang w:val="fr-BE"/>
        </w:rPr>
        <w:t xml:space="preserve"> </w:t>
      </w:r>
    </w:p>
    <w:p w:rsidR="003E022D" w:rsidRDefault="007D19D6">
      <w:pPr>
        <w:rPr>
          <w:rFonts w:asciiTheme="minorHAnsi" w:hAnsiTheme="minorHAnsi"/>
          <w:i/>
          <w:iCs/>
          <w:noProof/>
          <w:lang w:val="fr-BE"/>
        </w:rPr>
      </w:pPr>
      <w:r>
        <w:rPr>
          <w:rFonts w:asciiTheme="minorHAnsi" w:hAnsiTheme="minorHAnsi"/>
          <w:i/>
          <w:iCs/>
          <w:noProof/>
          <w:lang w:val="fr-BE"/>
        </w:rPr>
        <w:t>CENŠOTIES ieviest skaidrus un savstarpēji izdevīgus noteikumus, kas reglamentē tirdzniecību un investīcijas starp Pusēm,</w:t>
      </w:r>
    </w:p>
    <w:p w:rsidR="003E022D" w:rsidRDefault="007D19D6">
      <w:pPr>
        <w:rPr>
          <w:noProof/>
          <w:lang w:val="fr-BE"/>
        </w:rPr>
      </w:pPr>
      <w:r>
        <w:rPr>
          <w:i/>
          <w:iCs/>
          <w:noProof/>
          <w:lang w:val="fr-BE"/>
        </w:rPr>
        <w:t>ŅEMOT VĒRĀ, ka, lai nodrošinātu šā nolīguma un visu papildinošo nolīgumu pareizu interpretāciju un piemērošanu, kā arī šajos nolīgumos paredzēto pienākumu ievērošanu, ir būtiski izstrādāt noteikumus, kas nodrošina vispārējo pārvaldību, jo īpaši strīdu izšķ</w:t>
      </w:r>
      <w:r>
        <w:rPr>
          <w:i/>
          <w:iCs/>
          <w:noProof/>
          <w:lang w:val="fr-BE"/>
        </w:rPr>
        <w:t>iršanas un īstenošanas noteikumus, kuros pilnībā ievērota attiecīgo Savienības un Apvienotās Karalistes tiesību sistēmu autonomija, kā arī Apvienotās Karalistes kā ārpus Eiropas Savienības esošas valsts statuss,</w:t>
      </w:r>
    </w:p>
    <w:p w:rsidR="003E022D" w:rsidRDefault="007D19D6">
      <w:pPr>
        <w:rPr>
          <w:rFonts w:asciiTheme="minorHAnsi" w:hAnsiTheme="minorHAnsi"/>
          <w:i/>
          <w:iCs/>
          <w:noProof/>
          <w:lang w:val="fr-BE"/>
        </w:rPr>
      </w:pPr>
      <w:r>
        <w:rPr>
          <w:rFonts w:asciiTheme="minorHAnsi" w:hAnsiTheme="minorHAnsi"/>
          <w:i/>
          <w:iCs/>
          <w:noProof/>
          <w:lang w:val="fr-BE"/>
        </w:rPr>
        <w:t xml:space="preserve">PAMATOJOTIES uz to attiecīgajām tiesībām un </w:t>
      </w:r>
      <w:r>
        <w:rPr>
          <w:rFonts w:asciiTheme="minorHAnsi" w:hAnsiTheme="minorHAnsi"/>
          <w:i/>
          <w:iCs/>
          <w:noProof/>
          <w:lang w:val="fr-BE"/>
        </w:rPr>
        <w:t>pienākumiem saskaņā ar Marrākešas līgumu par Pasaules Tirdzniecības organizācijas izveidošanu, kas noslēgts 1994. gada 15. aprīlī, un citiem daudzpusējiem</w:t>
      </w:r>
      <w:r>
        <w:rPr>
          <w:i/>
          <w:iCs/>
          <w:noProof/>
          <w:lang w:val="fr-BE"/>
        </w:rPr>
        <w:t xml:space="preserve"> </w:t>
      </w:r>
      <w:r>
        <w:rPr>
          <w:rFonts w:asciiTheme="minorHAnsi" w:hAnsiTheme="minorHAnsi"/>
          <w:i/>
          <w:iCs/>
          <w:noProof/>
          <w:lang w:val="fr-BE"/>
        </w:rPr>
        <w:t>un divpusējiem sadarbības instrumentiem,</w:t>
      </w:r>
    </w:p>
    <w:p w:rsidR="003E022D" w:rsidRDefault="007D19D6">
      <w:pPr>
        <w:rPr>
          <w:i/>
          <w:iCs/>
          <w:noProof/>
          <w:lang w:val="fr-BE"/>
        </w:rPr>
      </w:pPr>
      <w:r>
        <w:rPr>
          <w:i/>
          <w:iCs/>
          <w:noProof/>
          <w:lang w:val="fr-BE"/>
        </w:rPr>
        <w:t>ATZĪSTOT Pušu attiecīgo autonomiju un tiesības reglamentēt s</w:t>
      </w:r>
      <w:r>
        <w:rPr>
          <w:i/>
          <w:iCs/>
          <w:noProof/>
          <w:lang w:val="fr-BE"/>
        </w:rPr>
        <w:t>avā teritorijā, lai sasniegtu tādus leģitīmus publiskās politikas mērķus kā sabiedrības veselības aizsardzība un veicināšana, sociālie pakalpojumi, valsts izglītība, drošība, vide, tostarp cīņa pret klimata pārmaiņām, sabiedrības morāle, sociālā vai patērē</w:t>
      </w:r>
      <w:r>
        <w:rPr>
          <w:i/>
          <w:iCs/>
          <w:noProof/>
          <w:lang w:val="fr-BE"/>
        </w:rPr>
        <w:t>tāju aizsardzība, dzīvnieku labturība, privātums un datu aizsardzība, kā arī kultūras daudzveidības veicināšana un aizsardzība, vienlaikus cenšoties uzlabot savu attiecīgo augsto aizsardzības līmeni,</w:t>
      </w:r>
    </w:p>
    <w:p w:rsidR="003E022D" w:rsidRDefault="007D19D6">
      <w:pPr>
        <w:rPr>
          <w:rFonts w:asciiTheme="minorHAnsi" w:hAnsiTheme="minorHAnsi"/>
          <w:i/>
          <w:iCs/>
          <w:noProof/>
          <w:color w:val="555555"/>
          <w:lang w:val="fr-BE"/>
        </w:rPr>
      </w:pPr>
      <w:r>
        <w:rPr>
          <w:i/>
          <w:iCs/>
          <w:noProof/>
          <w:lang w:val="fr-BE"/>
        </w:rPr>
        <w:t xml:space="preserve">TICOT tādas paredzamas tirdzniecības vides </w:t>
      </w:r>
      <w:r>
        <w:rPr>
          <w:i/>
          <w:iCs/>
          <w:noProof/>
          <w:lang w:val="fr-BE"/>
        </w:rPr>
        <w:t>priekšrocībām, kas veicina tirdzniecību un investīcijas starp Pusēm un novērš tirdzniecības izkropļojumus un negodīgas konkurences priekšrocības tāda veidā, kas veicina ilgtspējīgu attīstību tās ekonomiskajā, sociālajā un vides dimensijā,</w:t>
      </w:r>
    </w:p>
    <w:p w:rsidR="003E022D" w:rsidRDefault="007D19D6">
      <w:pPr>
        <w:rPr>
          <w:i/>
          <w:iCs/>
          <w:noProof/>
          <w:lang w:val="fr-BE"/>
        </w:rPr>
      </w:pPr>
      <w:r>
        <w:rPr>
          <w:i/>
          <w:iCs/>
          <w:noProof/>
          <w:lang w:val="fr-BE"/>
        </w:rPr>
        <w:t>ATZĪSTOT nepiecie</w:t>
      </w:r>
      <w:r>
        <w:rPr>
          <w:i/>
          <w:iCs/>
          <w:noProof/>
          <w:lang w:val="fr-BE"/>
        </w:rPr>
        <w:t>šamību pēc vērienīgas, plašas un līdzsvarotas ekonomiskās partnerības, kam pamatā ir vienlīdzīgi apstākļi atvērtai un taisnīgai konkurencei un ilgtspējīgai attīstībai, izmantojot efektīvu un stabilu regulējumu subsīdijām un konkurencei un apņemšanos saglab</w:t>
      </w:r>
      <w:r>
        <w:rPr>
          <w:i/>
          <w:iCs/>
          <w:noProof/>
          <w:lang w:val="fr-BE"/>
        </w:rPr>
        <w:t xml:space="preserve">āt savu augsta līmeņa aizsardzību darba un sociālo standartu, vides, cīņas pret klimata pārmaiņām un nodokļu jomā, </w:t>
      </w:r>
    </w:p>
    <w:p w:rsidR="003E022D" w:rsidRDefault="007D19D6">
      <w:pPr>
        <w:rPr>
          <w:rFonts w:asciiTheme="minorHAnsi" w:hAnsiTheme="minorHAnsi"/>
          <w:i/>
          <w:iCs/>
          <w:noProof/>
          <w:lang w:val="fr-BE"/>
        </w:rPr>
      </w:pPr>
      <w:r>
        <w:rPr>
          <w:i/>
          <w:iCs/>
          <w:noProof/>
          <w:lang w:val="fr-BE"/>
        </w:rPr>
        <w:t>ATZĪSTOT vajadzību nodrošināt atvērtu un drošu tirgu uzņēmumiem, tostarp maziem un vidējiem uzņēmumiem, un to precēm un pakalpojumiem, novēr</w:t>
      </w:r>
      <w:r>
        <w:rPr>
          <w:i/>
          <w:iCs/>
          <w:noProof/>
          <w:lang w:val="fr-BE"/>
        </w:rPr>
        <w:t>šot nepamatotus šķēršļus tirdzniecībai un investīcijām,</w:t>
      </w:r>
    </w:p>
    <w:p w:rsidR="003E022D" w:rsidRDefault="007D19D6">
      <w:pPr>
        <w:rPr>
          <w:i/>
          <w:iCs/>
          <w:noProof/>
          <w:color w:val="555555"/>
          <w:lang w:val="fr-BE"/>
        </w:rPr>
      </w:pPr>
      <w:r>
        <w:rPr>
          <w:i/>
          <w:iCs/>
          <w:noProof/>
          <w:lang w:val="fr-BE"/>
        </w:rPr>
        <w:t>ATZĪMĒJOT to, cik svarīgi ir veicināt jaunas iespējas uzņēmumiem un patērētājiem ar digitālās tirdzniecības palīdzību un novērst nepamatotus šķēršļus elektroniski nodrošinātām datu plūsmām un tirdznie</w:t>
      </w:r>
      <w:r>
        <w:rPr>
          <w:i/>
          <w:iCs/>
          <w:noProof/>
          <w:lang w:val="fr-BE"/>
        </w:rPr>
        <w:t>cībai, vienlaikus ievērojot Pušu personas datu aizsardzības noteikumus,</w:t>
      </w:r>
    </w:p>
    <w:p w:rsidR="003E022D" w:rsidRDefault="007D19D6">
      <w:pPr>
        <w:rPr>
          <w:rFonts w:asciiTheme="minorHAnsi" w:hAnsiTheme="minorHAnsi"/>
          <w:i/>
          <w:iCs/>
          <w:noProof/>
          <w:lang w:val="fr-BE"/>
        </w:rPr>
      </w:pPr>
      <w:r>
        <w:rPr>
          <w:i/>
          <w:iCs/>
          <w:noProof/>
          <w:lang w:val="fr-BE"/>
        </w:rPr>
        <w:t>VĒLOTIES, lai šis nolīgums veicinātu patērētāju labklājību, īstenojot politiku, kas nodrošina patērētāju aizsardzības un ekonomiskās labklājības augstu līmeni, kā arī veicinot sadarbīb</w:t>
      </w:r>
      <w:r>
        <w:rPr>
          <w:i/>
          <w:iCs/>
          <w:noProof/>
          <w:lang w:val="fr-BE"/>
        </w:rPr>
        <w:t>u starp attiecīgajām iestādēm,</w:t>
      </w:r>
    </w:p>
    <w:p w:rsidR="003E022D" w:rsidRDefault="007D19D6">
      <w:pPr>
        <w:rPr>
          <w:i/>
          <w:iCs/>
          <w:noProof/>
          <w:lang w:val="fr-BE"/>
        </w:rPr>
      </w:pPr>
      <w:r>
        <w:rPr>
          <w:i/>
          <w:iCs/>
          <w:noProof/>
          <w:lang w:val="fr-BE"/>
        </w:rPr>
        <w:t>ŅEMOT VĒRĀ to, cik svarīga ir pārrobežu savienojamība pa gaisu, autoceļiem un jūru pasažieriem un precēm, un nepieciešamību nodrošināt augstus standartus transporta pakalpojumu sniegšanā starp Pusēm,</w:t>
      </w:r>
    </w:p>
    <w:p w:rsidR="003E022D" w:rsidRDefault="007D19D6">
      <w:pPr>
        <w:rPr>
          <w:i/>
          <w:iCs/>
          <w:noProof/>
          <w:lang w:val="fr-BE"/>
        </w:rPr>
      </w:pPr>
      <w:r>
        <w:rPr>
          <w:i/>
          <w:iCs/>
          <w:noProof/>
          <w:lang w:val="fr-BE"/>
        </w:rPr>
        <w:t>ATZĪSTOT ieguvumus, ko sn</w:t>
      </w:r>
      <w:r>
        <w:rPr>
          <w:i/>
          <w:iCs/>
          <w:noProof/>
          <w:lang w:val="fr-BE"/>
        </w:rPr>
        <w:t>iedz enerģijas un izejvielu tirdzniecība un investīcijas tajos, un to, cik svarīgi ir atbalstīt izmaksu ziņā efektīvu, tīru un drošu energoapgādi Savienībai un Apvienotajai Karalistei,</w:t>
      </w:r>
    </w:p>
    <w:p w:rsidR="003E022D" w:rsidRDefault="007D19D6">
      <w:pPr>
        <w:rPr>
          <w:i/>
          <w:iCs/>
          <w:noProof/>
          <w:lang w:val="fr-BE"/>
        </w:rPr>
      </w:pPr>
      <w:r>
        <w:rPr>
          <w:i/>
          <w:iCs/>
          <w:noProof/>
          <w:lang w:val="fr-BE"/>
        </w:rPr>
        <w:t>ATZĪMĒJOT Pušu interesi izveidot sistēmu, lai veicinātu tehnisko sadarb</w:t>
      </w:r>
      <w:r>
        <w:rPr>
          <w:i/>
          <w:iCs/>
          <w:noProof/>
          <w:lang w:val="fr-BE"/>
        </w:rPr>
        <w:t>ību un izstrādātu jaunu tirdzniecības režīmu starpsavienojumiem, kas nodrošina stabilus un efektīvus rezultātus visos laikposmos,</w:t>
      </w:r>
    </w:p>
    <w:p w:rsidR="003E022D" w:rsidRDefault="007D19D6">
      <w:pPr>
        <w:rPr>
          <w:i/>
          <w:iCs/>
          <w:noProof/>
          <w:lang w:val="fr-BE"/>
        </w:rPr>
      </w:pPr>
      <w:r>
        <w:rPr>
          <w:i/>
          <w:iCs/>
          <w:noProof/>
          <w:lang w:val="fr-BE"/>
        </w:rPr>
        <w:t>ATZĪMĒJOT to, ka sadarbība un tirdzniecība starp Pusēm šajās jomās būtu jābalsta uz godīgu konkurenci enerģijas tirgos un nedi</w:t>
      </w:r>
      <w:r>
        <w:rPr>
          <w:i/>
          <w:iCs/>
          <w:noProof/>
          <w:lang w:val="fr-BE"/>
        </w:rPr>
        <w:t>skriminējošu piekļuvi tīkliem,</w:t>
      </w:r>
    </w:p>
    <w:p w:rsidR="003E022D" w:rsidRDefault="007D19D6">
      <w:pPr>
        <w:rPr>
          <w:i/>
          <w:iCs/>
          <w:noProof/>
          <w:lang w:val="fr-BE"/>
        </w:rPr>
      </w:pPr>
      <w:r>
        <w:rPr>
          <w:i/>
          <w:iCs/>
          <w:noProof/>
          <w:lang w:val="fr-BE"/>
        </w:rPr>
        <w:t>ATZĪSTOT ieguvumus, ko sniedz ilgtspējīga enerģija, atjaunojamie energoresursi, jo īpaši atkrastes enerģijas ražošana Ziemeļjūrā, un energoefektivitāte,</w:t>
      </w:r>
    </w:p>
    <w:p w:rsidR="003E022D" w:rsidRDefault="007D19D6">
      <w:pPr>
        <w:rPr>
          <w:i/>
          <w:iCs/>
          <w:noProof/>
          <w:lang w:val="fr-BE"/>
        </w:rPr>
      </w:pPr>
      <w:r>
        <w:rPr>
          <w:i/>
          <w:iCs/>
          <w:noProof/>
          <w:lang w:val="fr-BE"/>
        </w:rPr>
        <w:t>VĒLOTIES veicināt saviem krastiem piegulošo ūdeņu miermīlīgu izmantošanu</w:t>
      </w:r>
      <w:r>
        <w:rPr>
          <w:i/>
          <w:iCs/>
          <w:noProof/>
          <w:lang w:val="fr-BE"/>
        </w:rPr>
        <w:t xml:space="preserve"> un šajos ūdeņos mītošo dzīvo jūras resursu optimālu un taisnīgu izmantošanu, kas ietver arī kopīgo krājumu nepārtrauktu ilgtspējīgu pārvaldību,</w:t>
      </w:r>
    </w:p>
    <w:p w:rsidR="003E022D" w:rsidRDefault="007D19D6">
      <w:pPr>
        <w:rPr>
          <w:i/>
          <w:iCs/>
          <w:noProof/>
          <w:lang w:val="fr-BE"/>
        </w:rPr>
      </w:pPr>
      <w:r>
        <w:rPr>
          <w:i/>
          <w:noProof/>
          <w:lang w:val="fr-BE"/>
        </w:rPr>
        <w:t>ATZĪMĒJOT, ka Apvienotā Karaliste izstājās no Eiropas Savienības un ka no 2021. gada 1. janvāra Apvienotā Karal</w:t>
      </w:r>
      <w:r>
        <w:rPr>
          <w:i/>
          <w:noProof/>
          <w:lang w:val="fr-BE"/>
        </w:rPr>
        <w:t>iste ir neatkarīga piekrastes valsts ar atbilstošām tiesībām un pienākumiem saskaņā ar starptautiskajām tiesībām,</w:t>
      </w:r>
    </w:p>
    <w:p w:rsidR="003E022D" w:rsidRDefault="007D19D6">
      <w:pPr>
        <w:rPr>
          <w:i/>
          <w:iCs/>
          <w:noProof/>
          <w:lang w:val="fr-BE"/>
        </w:rPr>
      </w:pPr>
      <w:r>
        <w:rPr>
          <w:i/>
          <w:iCs/>
          <w:noProof/>
          <w:lang w:val="fr-BE"/>
        </w:rPr>
        <w:t>APSTIPRINOT, ka piekrastes valstu suverēnās tiesības, ko Puses izmanto dzīvo resursu izpētei, izmantošanai, saglabāšanai un apsaimniekošanai t</w:t>
      </w:r>
      <w:r>
        <w:rPr>
          <w:i/>
          <w:iCs/>
          <w:noProof/>
          <w:lang w:val="fr-BE"/>
        </w:rPr>
        <w:t>o ūdeņos, būtu jāīsteno saskaņā ar starptautisko tiesību principiem un atbilstīgi tiem, tostarp Apvienoto Nāciju Organizācijas 1982. gada 10. decembra Jūras tiesību konvencijai,</w:t>
      </w:r>
    </w:p>
    <w:p w:rsidR="003E022D" w:rsidRDefault="007D19D6">
      <w:pPr>
        <w:rPr>
          <w:i/>
          <w:iCs/>
          <w:noProof/>
          <w:lang w:val="fr-BE"/>
        </w:rPr>
      </w:pPr>
      <w:r>
        <w:rPr>
          <w:i/>
          <w:iCs/>
          <w:noProof/>
          <w:lang w:val="fr-BE"/>
        </w:rPr>
        <w:t>ATZĪSTOT to, cik svarīgi ir koordinēt sociālā nodrošinājuma tiesības, kas ir p</w:t>
      </w:r>
      <w:r>
        <w:rPr>
          <w:i/>
          <w:iCs/>
          <w:noProof/>
          <w:lang w:val="fr-BE"/>
        </w:rPr>
        <w:t xml:space="preserve">ersonām, kuras pārvietojas starp Pusēm, lai strādātu, uzturētos vai dzīvotu, kā arī viņu ģimenes locekļiem un apgādnieku zaudējušām personām, </w:t>
      </w:r>
    </w:p>
    <w:p w:rsidR="003E022D" w:rsidRDefault="007D19D6">
      <w:pPr>
        <w:rPr>
          <w:i/>
          <w:iCs/>
          <w:noProof/>
          <w:color w:val="002060"/>
          <w:lang w:val="fr-BE"/>
        </w:rPr>
      </w:pPr>
      <w:r>
        <w:rPr>
          <w:i/>
          <w:iCs/>
          <w:noProof/>
          <w:lang w:val="fr-BE"/>
        </w:rPr>
        <w:t xml:space="preserve">ŅEMOT VĒRĀ to, ka sadarbība tādās kopīgu interešu jomās kā zinātne, pētniecība un inovācija, kodolpētniecība vai </w:t>
      </w:r>
      <w:r>
        <w:rPr>
          <w:i/>
          <w:iCs/>
          <w:noProof/>
          <w:lang w:val="fr-BE"/>
        </w:rPr>
        <w:t>kosmoss, kas izpaužas kā Apvienotās Karalistes dalība attiecīgajās Savienības programmās ar taisnīgiem un atbilstīgiem nosacījumiem, sniegs labumu abām Pusēm,</w:t>
      </w:r>
    </w:p>
    <w:p w:rsidR="003E022D" w:rsidRDefault="007D19D6">
      <w:pPr>
        <w:rPr>
          <w:i/>
          <w:iCs/>
          <w:noProof/>
          <w:lang w:val="fr-BE"/>
        </w:rPr>
      </w:pPr>
      <w:r>
        <w:rPr>
          <w:i/>
          <w:iCs/>
          <w:noProof/>
          <w:lang w:val="fr-BE"/>
        </w:rPr>
        <w:t>ŅEMOT VĒRĀ to, ka Apvienotās Karalistes un Savienības sadarbība attiecībā uz noziedzīgu nodarījum</w:t>
      </w:r>
      <w:r>
        <w:rPr>
          <w:i/>
          <w:iCs/>
          <w:noProof/>
          <w:lang w:val="fr-BE"/>
        </w:rPr>
        <w:t>u novēršanu, izmeklēšanu, atklāšanu un saukšanu pie atbildības par tiem un attiecībā uz kriminālsodu izpildi, arī aizsardzību pret draudiem sabiedriskajai drošībai un to novēršanu, ļaus stiprināt Apvienotās Karalistes un Savienības drošību,</w:t>
      </w:r>
    </w:p>
    <w:p w:rsidR="003E022D" w:rsidRDefault="007D19D6">
      <w:pPr>
        <w:rPr>
          <w:noProof/>
          <w:sz w:val="24"/>
          <w:szCs w:val="24"/>
          <w:lang w:val="fr-BE"/>
        </w:rPr>
      </w:pPr>
      <w:r>
        <w:rPr>
          <w:i/>
          <w:iCs/>
          <w:noProof/>
          <w:lang w:val="fr-BE"/>
        </w:rPr>
        <w:t>VĒLOTIES, lai s</w:t>
      </w:r>
      <w:r>
        <w:rPr>
          <w:i/>
          <w:iCs/>
          <w:noProof/>
          <w:lang w:val="fr-BE"/>
        </w:rPr>
        <w:t>tarp Apvienoto Karalisti un Savienību tiktu noslēgts nolīgums, kas nodrošinātu šādas sadarbības juridisko pamatu,</w:t>
      </w:r>
    </w:p>
    <w:p w:rsidR="003E022D" w:rsidRDefault="007D19D6">
      <w:pPr>
        <w:rPr>
          <w:rFonts w:asciiTheme="minorHAnsi" w:hAnsiTheme="minorHAnsi"/>
          <w:i/>
          <w:noProof/>
          <w:color w:val="0070C0"/>
          <w:lang w:val="fr-BE"/>
        </w:rPr>
      </w:pPr>
      <w:r>
        <w:rPr>
          <w:i/>
          <w:iCs/>
          <w:noProof/>
          <w:lang w:val="fr-BE"/>
        </w:rPr>
        <w:t xml:space="preserve">ATZĪSTOT, ka Puses var papildināt šo nolīgumu ar citiem nolīgumiem, kas ir neatņemama sastāvdaļa to vispārējās divpusējās attiecībās, ko </w:t>
      </w:r>
      <w:r>
        <w:rPr>
          <w:i/>
          <w:iCs/>
          <w:noProof/>
          <w:lang w:val="fr-BE"/>
        </w:rPr>
        <w:t>reglamentē šis nolīgums, un ka Nolīgums par drošības procedūrām apmaiņai ar klasificētu informāciju un klasificētas informācijas aizsardzību ir noslēgts kā šāds papildinošs nolīgums un ļauj Pusēm apmainīties ar klasificētu informāciju saskaņā ar šo nolīgum</w:t>
      </w:r>
      <w:r>
        <w:rPr>
          <w:i/>
          <w:iCs/>
          <w:noProof/>
          <w:lang w:val="fr-BE"/>
        </w:rPr>
        <w:t>u vai jebkuru citu papildinošu nolīgumu,</w:t>
      </w:r>
    </w:p>
    <w:p w:rsidR="003E022D" w:rsidRDefault="003E022D">
      <w:pPr>
        <w:rPr>
          <w:rFonts w:asciiTheme="minorHAnsi" w:hAnsiTheme="minorHAnsi"/>
          <w:i/>
          <w:iCs/>
          <w:noProof/>
          <w:lang w:val="fr-BE"/>
        </w:rPr>
      </w:pPr>
    </w:p>
    <w:p w:rsidR="003E022D" w:rsidRDefault="007D19D6">
      <w:pPr>
        <w:spacing w:after="160"/>
        <w:rPr>
          <w:rFonts w:asciiTheme="majorHAnsi" w:hAnsiTheme="majorHAnsi"/>
          <w:b/>
          <w:noProof/>
          <w:lang w:val="fr-BE"/>
        </w:rPr>
      </w:pPr>
      <w:r>
        <w:rPr>
          <w:rFonts w:asciiTheme="minorHAnsi" w:hAnsiTheme="minorHAnsi"/>
          <w:noProof/>
          <w:lang w:val="fr-BE"/>
        </w:rPr>
        <w:t>IR VIENOJUŠĀS ŠĀDI.</w:t>
      </w:r>
    </w:p>
    <w:p w:rsidR="003E022D" w:rsidRDefault="003E022D">
      <w:pPr>
        <w:spacing w:after="160"/>
        <w:rPr>
          <w:rFonts w:asciiTheme="majorHAnsi" w:hAnsiTheme="majorHAnsi"/>
          <w:b/>
          <w:noProof/>
          <w:lang w:val="fr-BE"/>
        </w:rPr>
      </w:pPr>
    </w:p>
    <w:p w:rsidR="003E022D" w:rsidRDefault="003E022D">
      <w:pPr>
        <w:spacing w:after="0"/>
        <w:rPr>
          <w:rFonts w:asciiTheme="majorHAnsi" w:hAnsiTheme="majorHAnsi"/>
          <w:b/>
          <w:noProof/>
          <w:lang w:val="fr-BE"/>
        </w:rPr>
      </w:pPr>
    </w:p>
    <w:p w:rsidR="003E022D" w:rsidRDefault="007D19D6">
      <w:pPr>
        <w:spacing w:after="0"/>
        <w:rPr>
          <w:rFonts w:asciiTheme="majorHAnsi" w:hAnsiTheme="majorHAnsi"/>
          <w:b/>
          <w:noProof/>
          <w:lang w:val="fr-BE"/>
        </w:rPr>
      </w:pPr>
      <w:r>
        <w:rPr>
          <w:noProof/>
          <w:lang w:val="fr-BE"/>
        </w:rPr>
        <w:br w:type="page"/>
      </w:r>
    </w:p>
    <w:p w:rsidR="003E022D" w:rsidRDefault="007D19D6">
      <w:pPr>
        <w:pStyle w:val="Heading1"/>
        <w:rPr>
          <w:noProof/>
          <w:lang w:val="fr-BE"/>
        </w:rPr>
      </w:pPr>
      <w:bookmarkStart w:id="4" w:name="_Toc59988332"/>
      <w:r>
        <w:rPr>
          <w:noProof/>
          <w:lang w:val="fr-BE"/>
        </w:rPr>
        <w:t>PIRMĀ DAĻA. KOPĪGIE UN INSTITUCIONĀLIE NOTEIKUMI</w:t>
      </w:r>
      <w:bookmarkEnd w:id="4"/>
    </w:p>
    <w:p w:rsidR="003E022D" w:rsidRDefault="007D19D6">
      <w:pPr>
        <w:pStyle w:val="Title1"/>
        <w:rPr>
          <w:noProof/>
          <w:lang w:val="fr-BE"/>
        </w:rPr>
      </w:pPr>
      <w:bookmarkStart w:id="5" w:name="_Toc59988333"/>
      <w:r>
        <w:rPr>
          <w:noProof/>
          <w:lang w:val="fr-BE"/>
        </w:rPr>
        <w:t>I sadaļa. Vispārīgi noteikumi</w:t>
      </w:r>
      <w:bookmarkEnd w:id="5"/>
    </w:p>
    <w:p w:rsidR="003E022D" w:rsidRDefault="007D19D6">
      <w:pPr>
        <w:keepNext/>
        <w:pBdr>
          <w:top w:val="nil"/>
          <w:left w:val="nil"/>
          <w:bottom w:val="nil"/>
          <w:right w:val="nil"/>
          <w:between w:val="nil"/>
        </w:pBdr>
        <w:spacing w:before="120"/>
        <w:jc w:val="center"/>
        <w:rPr>
          <w:rFonts w:eastAsia="Calibri" w:cs="Calibri"/>
          <w:noProof/>
          <w:color w:val="000000"/>
          <w:lang w:val="fr-BE"/>
        </w:rPr>
      </w:pPr>
      <w:r>
        <w:rPr>
          <w:noProof/>
          <w:color w:val="000000"/>
          <w:lang w:val="fr-BE"/>
        </w:rPr>
        <w:t xml:space="preserve">COMPROV.1. pants. Mērķis </w:t>
      </w:r>
    </w:p>
    <w:p w:rsidR="003E022D" w:rsidRDefault="007D19D6">
      <w:pPr>
        <w:spacing w:before="120"/>
        <w:rPr>
          <w:rFonts w:eastAsia="Calibri" w:cs="Calibri"/>
          <w:noProof/>
          <w:lang w:val="fr-BE"/>
        </w:rPr>
      </w:pPr>
      <w:r>
        <w:rPr>
          <w:noProof/>
          <w:lang w:val="fr-BE"/>
        </w:rPr>
        <w:t xml:space="preserve">Ar šo nolīgumu izveido pamatu plašām Pušu attiecībām labklājības un labu </w:t>
      </w:r>
      <w:r>
        <w:rPr>
          <w:noProof/>
          <w:lang w:val="fr-BE"/>
        </w:rPr>
        <w:t>kaimiņattiecību telpā, ko raksturo ciešas un miermīlīgas attiecības, kuru pamatā ir sadarbība, ievērojot Pušu autonomiju un suverenitāti.</w:t>
      </w:r>
    </w:p>
    <w:p w:rsidR="003E022D" w:rsidRDefault="007D19D6">
      <w:pPr>
        <w:keepNext/>
        <w:pBdr>
          <w:top w:val="nil"/>
          <w:left w:val="nil"/>
          <w:bottom w:val="nil"/>
          <w:right w:val="nil"/>
          <w:between w:val="nil"/>
        </w:pBdr>
        <w:spacing w:before="120"/>
        <w:jc w:val="center"/>
        <w:rPr>
          <w:rFonts w:eastAsia="Calibri" w:cs="Calibri"/>
          <w:noProof/>
          <w:color w:val="000000"/>
          <w:lang w:val="fr-BE"/>
        </w:rPr>
      </w:pPr>
      <w:r>
        <w:rPr>
          <w:noProof/>
          <w:color w:val="000000"/>
          <w:lang w:val="fr-BE"/>
        </w:rPr>
        <w:t>COMPROV.2. pants. Papildinoši nolīgumi</w:t>
      </w:r>
      <w:r>
        <w:rPr>
          <w:b/>
          <w:noProof/>
          <w:color w:val="000000"/>
          <w:lang w:val="fr-BE"/>
        </w:rPr>
        <w:t xml:space="preserve"> </w:t>
      </w:r>
    </w:p>
    <w:p w:rsidR="003E022D" w:rsidRDefault="007D19D6">
      <w:pPr>
        <w:spacing w:line="259" w:lineRule="auto"/>
        <w:rPr>
          <w:rFonts w:eastAsia="Calibri" w:cs="Calibri"/>
          <w:noProof/>
          <w:lang w:val="fr-BE"/>
        </w:rPr>
      </w:pPr>
      <w:r>
        <w:rPr>
          <w:noProof/>
          <w:lang w:val="fr-BE"/>
        </w:rPr>
        <w:t>1.</w:t>
      </w:r>
      <w:r>
        <w:rPr>
          <w:noProof/>
          <w:lang w:val="fr-BE"/>
        </w:rPr>
        <w:tab/>
        <w:t>Ja Savienība un Apvienotā Karaliste savā starpā noslēdz citus divpusējus no</w:t>
      </w:r>
      <w:r>
        <w:rPr>
          <w:noProof/>
          <w:lang w:val="fr-BE"/>
        </w:rPr>
        <w:t>līgumus, šādi nolīgumi ir šo nolīgumu papildinoši nolīgumi, ja vien minētajos nolīgumos nav paredzēts citādi. Šādi papildinoši nolīgumi ir vispārējo divpusējo attiecību, ko reglamentē šis nolīgums, neatņemama sastāvdaļa un kopējās struktūras daļa.</w:t>
      </w:r>
    </w:p>
    <w:p w:rsidR="003E022D" w:rsidRDefault="007D19D6">
      <w:pPr>
        <w:spacing w:line="259" w:lineRule="auto"/>
        <w:rPr>
          <w:noProof/>
          <w:lang w:val="fr-BE"/>
        </w:rPr>
      </w:pPr>
      <w:r>
        <w:rPr>
          <w:noProof/>
          <w:lang w:val="fr-BE"/>
        </w:rPr>
        <w:t>2.</w:t>
      </w:r>
      <w:r>
        <w:rPr>
          <w:noProof/>
          <w:lang w:val="fr-BE"/>
        </w:rPr>
        <w:tab/>
        <w:t>Šā pa</w:t>
      </w:r>
      <w:r>
        <w:rPr>
          <w:noProof/>
          <w:lang w:val="fr-BE"/>
        </w:rPr>
        <w:t>nta 1. punktu piemēro arī:</w:t>
      </w:r>
    </w:p>
    <w:p w:rsidR="003E022D" w:rsidRDefault="007D19D6">
      <w:pPr>
        <w:numPr>
          <w:ilvl w:val="0"/>
          <w:numId w:val="1274"/>
        </w:numPr>
        <w:ind w:left="567" w:hanging="567"/>
        <w:rPr>
          <w:noProof/>
          <w:lang w:val="fr-BE"/>
        </w:rPr>
      </w:pPr>
      <w:r>
        <w:rPr>
          <w:noProof/>
          <w:lang w:val="fr-BE"/>
        </w:rPr>
        <w:t>nolīgumiem starp Savienību un tās dalībvalstīm, no vienas puses, un Apvienoto Karalisti, no otras puses; un</w:t>
      </w:r>
    </w:p>
    <w:p w:rsidR="003E022D" w:rsidRDefault="007D19D6">
      <w:pPr>
        <w:numPr>
          <w:ilvl w:val="0"/>
          <w:numId w:val="1274"/>
        </w:numPr>
        <w:ind w:left="567" w:hanging="567"/>
        <w:rPr>
          <w:noProof/>
        </w:rPr>
      </w:pPr>
      <w:r>
        <w:rPr>
          <w:noProof/>
        </w:rPr>
        <w:t xml:space="preserve">nolīgumiem starp </w:t>
      </w:r>
      <w:r>
        <w:rPr>
          <w:i/>
          <w:noProof/>
        </w:rPr>
        <w:t>Euratom</w:t>
      </w:r>
      <w:r>
        <w:rPr>
          <w:noProof/>
        </w:rPr>
        <w:t xml:space="preserve">, no vienas puses, un Apvienoto Karalisti, no otras puses. </w:t>
      </w:r>
    </w:p>
    <w:p w:rsidR="003E022D" w:rsidRDefault="007D19D6">
      <w:pPr>
        <w:keepNext/>
        <w:pBdr>
          <w:top w:val="nil"/>
          <w:left w:val="nil"/>
          <w:bottom w:val="nil"/>
          <w:right w:val="nil"/>
          <w:between w:val="nil"/>
        </w:pBdr>
        <w:spacing w:before="120"/>
        <w:jc w:val="center"/>
        <w:rPr>
          <w:rFonts w:eastAsia="Calibri" w:cs="Calibri"/>
          <w:noProof/>
          <w:color w:val="000000"/>
        </w:rPr>
      </w:pPr>
      <w:r>
        <w:rPr>
          <w:noProof/>
          <w:color w:val="000000"/>
        </w:rPr>
        <w:t xml:space="preserve">COMPROV.3. pants. Labticība </w:t>
      </w:r>
    </w:p>
    <w:p w:rsidR="003E022D" w:rsidRDefault="007D19D6">
      <w:pPr>
        <w:spacing w:line="259" w:lineRule="auto"/>
        <w:rPr>
          <w:rFonts w:eastAsia="Calibri" w:cs="Calibri"/>
          <w:noProof/>
        </w:rPr>
      </w:pPr>
      <w:r>
        <w:rPr>
          <w:noProof/>
        </w:rPr>
        <w:t>1.</w:t>
      </w:r>
      <w:r>
        <w:rPr>
          <w:noProof/>
        </w:rPr>
        <w:tab/>
      </w:r>
      <w:r>
        <w:rPr>
          <w:noProof/>
        </w:rPr>
        <w:t xml:space="preserve">Puses ar patiesu savstarpēju cieņu un labticību palīdz viena otrai veikt uzdevumus, kas izriet no šā nolīguma un jebkura papildinoša nolīguma. </w:t>
      </w:r>
    </w:p>
    <w:p w:rsidR="003E022D" w:rsidRDefault="007D19D6">
      <w:pPr>
        <w:spacing w:line="259" w:lineRule="auto"/>
        <w:rPr>
          <w:noProof/>
        </w:rPr>
      </w:pPr>
      <w:r>
        <w:rPr>
          <w:noProof/>
        </w:rPr>
        <w:t>2.</w:t>
      </w:r>
      <w:r>
        <w:rPr>
          <w:noProof/>
        </w:rPr>
        <w:tab/>
        <w:t>Tās veic visus vajadzīgos vispārīgos vai konkrētos pasākumus, lai nodrošinātu no šā nolīguma un jebkura papil</w:t>
      </w:r>
      <w:r>
        <w:rPr>
          <w:noProof/>
        </w:rPr>
        <w:t>dinoša nolīguma izrietošo saistību izpildi, un atturas no jebkādiem pasākumiem, kas varētu apdraudēt šā nolīguma vai jebkura papildinoša nolīguma mērķu sasniegšanu.</w:t>
      </w:r>
    </w:p>
    <w:p w:rsidR="003E022D" w:rsidRDefault="007D19D6">
      <w:pPr>
        <w:pStyle w:val="Title1"/>
        <w:rPr>
          <w:noProof/>
          <w:lang w:val="fr-BE"/>
        </w:rPr>
      </w:pPr>
      <w:bookmarkStart w:id="6" w:name="_Toc59988334"/>
      <w:r>
        <w:rPr>
          <w:noProof/>
          <w:lang w:val="fr-BE"/>
        </w:rPr>
        <w:t>II sadaļa. Interpretācijas principi un definīcijas</w:t>
      </w:r>
      <w:bookmarkEnd w:id="6"/>
    </w:p>
    <w:p w:rsidR="003E022D" w:rsidRDefault="007D19D6">
      <w:pPr>
        <w:keepNext/>
        <w:pBdr>
          <w:top w:val="nil"/>
          <w:left w:val="nil"/>
          <w:bottom w:val="nil"/>
          <w:right w:val="nil"/>
          <w:between w:val="nil"/>
        </w:pBdr>
        <w:spacing w:before="120"/>
        <w:jc w:val="center"/>
        <w:rPr>
          <w:rFonts w:eastAsia="Calibri" w:cs="Calibri"/>
          <w:noProof/>
          <w:color w:val="000000"/>
          <w:lang w:val="fr-BE"/>
        </w:rPr>
      </w:pPr>
      <w:r>
        <w:rPr>
          <w:noProof/>
          <w:color w:val="000000"/>
          <w:lang w:val="fr-BE"/>
        </w:rPr>
        <w:t>COMPROV.13. pants. Starptautiskās publis</w:t>
      </w:r>
      <w:r>
        <w:rPr>
          <w:noProof/>
          <w:color w:val="000000"/>
          <w:lang w:val="fr-BE"/>
        </w:rPr>
        <w:t xml:space="preserve">kās tiesības </w:t>
      </w:r>
    </w:p>
    <w:p w:rsidR="003E022D" w:rsidRDefault="007D19D6">
      <w:pPr>
        <w:spacing w:line="259" w:lineRule="auto"/>
        <w:rPr>
          <w:rFonts w:eastAsia="Calibri" w:cs="Calibri"/>
          <w:noProof/>
          <w:lang w:val="fr-BE"/>
        </w:rPr>
      </w:pPr>
      <w:r>
        <w:rPr>
          <w:noProof/>
          <w:lang w:val="fr-BE"/>
        </w:rPr>
        <w:t>1.</w:t>
      </w:r>
      <w:r>
        <w:rPr>
          <w:noProof/>
          <w:lang w:val="fr-BE"/>
        </w:rPr>
        <w:tab/>
        <w:t>Šā nolīguma un jebkura papildinoša nolīguma noteikumi tiek interpretēti godprātīgi, atbilstoši to ierastajai nozīmei to kontekstā un ņemot vērā nolīguma mērķi un nolūku saskaņā ar starptautisko publisko tiesību ierastajām interpretācijas n</w:t>
      </w:r>
      <w:r>
        <w:rPr>
          <w:noProof/>
          <w:lang w:val="fr-BE"/>
        </w:rPr>
        <w:t>ormām, tostarp tām, kas kodificētas 1969. gada 23. maijā Vīnē pieņemtajā Konvencijā par starptautisko līgumu tiesībām.</w:t>
      </w:r>
    </w:p>
    <w:p w:rsidR="003E022D" w:rsidRDefault="007D19D6">
      <w:pPr>
        <w:spacing w:line="259" w:lineRule="auto"/>
        <w:rPr>
          <w:rFonts w:eastAsia="Calibri" w:cs="Calibri"/>
          <w:noProof/>
          <w:lang w:val="fr-BE"/>
        </w:rPr>
      </w:pPr>
      <w:r>
        <w:rPr>
          <w:noProof/>
          <w:lang w:val="fr-BE"/>
        </w:rPr>
        <w:t>2.</w:t>
      </w:r>
      <w:r>
        <w:rPr>
          <w:noProof/>
          <w:lang w:val="fr-BE"/>
        </w:rPr>
        <w:tab/>
        <w:t>Lielākai noteiktībai — nedz šis nolīgums, nedz jebkurš papildinošais nolīgums nerada pienākumu interpretēt to noteikumus saskaņā ar je</w:t>
      </w:r>
      <w:r>
        <w:rPr>
          <w:noProof/>
          <w:lang w:val="fr-BE"/>
        </w:rPr>
        <w:t>bkuras Puses tiesību aktiem.</w:t>
      </w:r>
    </w:p>
    <w:p w:rsidR="003E022D" w:rsidRDefault="007D19D6">
      <w:pPr>
        <w:spacing w:line="259" w:lineRule="auto"/>
        <w:rPr>
          <w:noProof/>
          <w:lang w:val="fr-BE"/>
        </w:rPr>
      </w:pPr>
      <w:r>
        <w:rPr>
          <w:noProof/>
          <w:lang w:val="fr-BE"/>
        </w:rPr>
        <w:t>3.</w:t>
      </w:r>
      <w:r>
        <w:rPr>
          <w:noProof/>
          <w:lang w:val="fr-BE"/>
        </w:rPr>
        <w:tab/>
        <w:t>Lielākai noteiktībai — šā nolīguma vai jebkura papildinoša nolīguma interpretācija, ko sniedz kādas Puses tiesas, nav saistoša otras Puses tiesām.</w:t>
      </w:r>
    </w:p>
    <w:p w:rsidR="003E022D" w:rsidRDefault="007D19D6">
      <w:pPr>
        <w:keepNext/>
        <w:pBdr>
          <w:top w:val="nil"/>
          <w:left w:val="nil"/>
          <w:bottom w:val="nil"/>
          <w:right w:val="nil"/>
          <w:between w:val="nil"/>
        </w:pBdr>
        <w:spacing w:before="120"/>
        <w:jc w:val="center"/>
        <w:rPr>
          <w:rFonts w:eastAsia="Calibri" w:cs="Calibri"/>
          <w:noProof/>
          <w:color w:val="000000"/>
          <w:lang w:val="fr-BE"/>
        </w:rPr>
      </w:pPr>
      <w:r>
        <w:rPr>
          <w:noProof/>
          <w:color w:val="000000"/>
          <w:lang w:val="fr-BE"/>
        </w:rPr>
        <w:t xml:space="preserve">COMPROV.16. pants. Privātās tiesības </w:t>
      </w:r>
    </w:p>
    <w:p w:rsidR="003E022D" w:rsidRDefault="007D19D6">
      <w:pPr>
        <w:spacing w:line="259" w:lineRule="auto"/>
        <w:rPr>
          <w:rFonts w:eastAsia="Calibri" w:cs="Calibri"/>
          <w:noProof/>
          <w:lang w:val="fr-BE"/>
        </w:rPr>
      </w:pPr>
      <w:r>
        <w:rPr>
          <w:noProof/>
          <w:lang w:val="fr-BE"/>
        </w:rPr>
        <w:t>1.</w:t>
      </w:r>
      <w:r>
        <w:rPr>
          <w:noProof/>
          <w:lang w:val="fr-BE"/>
        </w:rPr>
        <w:tab/>
        <w:t>Neskarot MOBI.SSC.67. pantu [Individ</w:t>
      </w:r>
      <w:r>
        <w:rPr>
          <w:noProof/>
          <w:lang w:val="fr-BE"/>
        </w:rPr>
        <w:t>uālo tiesību aizsardzība] un izņemot — attiecībā uz Eiropas Savienību — trešo daļu [Tiesībaizsardzības un tiesu iestāžu sadarbība], nekas šajā nolīgumā vai jebkurā papildinošā nolīgumā nav interpretējams tā, ka tas piešķirtu tiesības vai uzliktu pienākumus</w:t>
      </w:r>
      <w:r>
        <w:rPr>
          <w:noProof/>
          <w:lang w:val="fr-BE"/>
        </w:rPr>
        <w:t xml:space="preserve"> personām, izņemot tiesības un pienākumus, kas Pušu starpā izveidoti saskaņā ar starptautiskajām publiskajām tiesībām, ne arī atļautu uz šo nolīgumu vai jebkuru papildinošu nolīgumu tieši atsaukties Pušu iekšzemes tiesību sistēmās. </w:t>
      </w:r>
    </w:p>
    <w:p w:rsidR="003E022D" w:rsidRDefault="007D19D6">
      <w:pPr>
        <w:spacing w:line="259" w:lineRule="auto"/>
        <w:rPr>
          <w:noProof/>
          <w:lang w:val="fr-BE"/>
        </w:rPr>
      </w:pPr>
      <w:r>
        <w:rPr>
          <w:noProof/>
          <w:lang w:val="fr-BE"/>
        </w:rPr>
        <w:t>2.</w:t>
      </w:r>
      <w:r>
        <w:rPr>
          <w:noProof/>
          <w:lang w:val="fr-BE"/>
        </w:rPr>
        <w:tab/>
        <w:t>Puse savos tiesību a</w:t>
      </w:r>
      <w:r>
        <w:rPr>
          <w:noProof/>
          <w:lang w:val="fr-BE"/>
        </w:rPr>
        <w:t>ktos neparedz tiesības celt prasību pret otru Pusi, pamatojoties uz to, ka otra Puse ir pārkāpusi šo nolīgumu vai jebkuru papildinošu nolīgumu.</w:t>
      </w:r>
    </w:p>
    <w:p w:rsidR="003E022D" w:rsidRDefault="007D19D6">
      <w:pPr>
        <w:keepNext/>
        <w:pBdr>
          <w:top w:val="nil"/>
          <w:left w:val="nil"/>
          <w:bottom w:val="nil"/>
          <w:right w:val="nil"/>
          <w:between w:val="nil"/>
        </w:pBdr>
        <w:spacing w:before="120"/>
        <w:jc w:val="center"/>
        <w:rPr>
          <w:rFonts w:eastAsia="Calibri" w:cs="Calibri"/>
          <w:b/>
          <w:noProof/>
          <w:color w:val="000000"/>
          <w:lang w:val="fr-BE"/>
        </w:rPr>
      </w:pPr>
      <w:r>
        <w:rPr>
          <w:noProof/>
          <w:color w:val="000000"/>
          <w:lang w:val="fr-BE"/>
        </w:rPr>
        <w:t>COMPROV.17. pants. Definīcijas</w:t>
      </w:r>
      <w:r>
        <w:rPr>
          <w:b/>
          <w:noProof/>
          <w:color w:val="000000"/>
          <w:lang w:val="fr-BE"/>
        </w:rPr>
        <w:t xml:space="preserve"> </w:t>
      </w:r>
    </w:p>
    <w:p w:rsidR="003E022D" w:rsidRDefault="007D19D6">
      <w:pPr>
        <w:rPr>
          <w:b/>
          <w:noProof/>
          <w:lang w:val="fr-BE"/>
        </w:rPr>
      </w:pPr>
      <w:r>
        <w:rPr>
          <w:noProof/>
          <w:lang w:val="fr-BE"/>
        </w:rPr>
        <w:t>1.</w:t>
      </w:r>
      <w:r>
        <w:rPr>
          <w:noProof/>
          <w:lang w:val="fr-BE"/>
        </w:rPr>
        <w:tab/>
        <w:t>Šajā nolīgumā un jebkurā papildinošā nolīgumā, ja vien nav norādīts citādi, p</w:t>
      </w:r>
      <w:r>
        <w:rPr>
          <w:noProof/>
          <w:lang w:val="fr-BE"/>
        </w:rPr>
        <w:t>iemēro šādas definīcijas:</w:t>
      </w:r>
      <w:r>
        <w:rPr>
          <w:b/>
          <w:noProof/>
          <w:lang w:val="fr-BE"/>
        </w:rPr>
        <w:t xml:space="preserve"> </w:t>
      </w:r>
    </w:p>
    <w:p w:rsidR="003E022D" w:rsidRDefault="007D19D6">
      <w:pPr>
        <w:numPr>
          <w:ilvl w:val="0"/>
          <w:numId w:val="1273"/>
        </w:numPr>
        <w:ind w:left="567" w:hanging="567"/>
        <w:rPr>
          <w:noProof/>
          <w:lang w:val="fr-BE"/>
        </w:rPr>
      </w:pPr>
      <w:r>
        <w:rPr>
          <w:noProof/>
          <w:lang w:val="fr-BE"/>
        </w:rPr>
        <w:t xml:space="preserve">“datu subjekts” ir identificēta vai identificējama fiziska persona; identificējama persona ir persona, kuru tieši vai netieši var identificēt, jo īpaši izmantojot tādus identifikatorus kā, piemēram, vārdu, uzvārdu, </w:t>
      </w:r>
      <w:r>
        <w:rPr>
          <w:noProof/>
          <w:lang w:val="fr-BE"/>
        </w:rPr>
        <w:t>identifikācijas numuru, atrašanās vietas datus vai tiešsaistes identifikatoru, vai vienu vai vairākus minētajai personai raksturīgus fiziskās, fizioloģiskās, ģenētiskās, garīgās, ekonomiskās, kultūras vai sociālās identitātes faktorus;</w:t>
      </w:r>
    </w:p>
    <w:p w:rsidR="003E022D" w:rsidRDefault="007D19D6">
      <w:pPr>
        <w:numPr>
          <w:ilvl w:val="0"/>
          <w:numId w:val="1273"/>
        </w:numPr>
        <w:ind w:left="567" w:hanging="567"/>
        <w:rPr>
          <w:noProof/>
        </w:rPr>
      </w:pPr>
      <w:r>
        <w:rPr>
          <w:noProof/>
        </w:rPr>
        <w:t>“diena” ir kalendārā</w:t>
      </w:r>
      <w:r>
        <w:rPr>
          <w:noProof/>
        </w:rPr>
        <w:t xml:space="preserve"> diena;</w:t>
      </w:r>
    </w:p>
    <w:p w:rsidR="003E022D" w:rsidRDefault="007D19D6">
      <w:pPr>
        <w:numPr>
          <w:ilvl w:val="0"/>
          <w:numId w:val="1273"/>
        </w:numPr>
        <w:ind w:left="567" w:hanging="567"/>
        <w:rPr>
          <w:noProof/>
        </w:rPr>
      </w:pPr>
      <w:r>
        <w:rPr>
          <w:noProof/>
        </w:rPr>
        <w:t>“dalībvalsts” ir Eiropas Savienības dalībvalsts;</w:t>
      </w:r>
    </w:p>
    <w:p w:rsidR="003E022D" w:rsidRDefault="007D19D6">
      <w:pPr>
        <w:numPr>
          <w:ilvl w:val="0"/>
          <w:numId w:val="1273"/>
        </w:numPr>
        <w:ind w:left="567" w:hanging="567"/>
        <w:rPr>
          <w:noProof/>
        </w:rPr>
      </w:pPr>
      <w:r>
        <w:rPr>
          <w:noProof/>
        </w:rPr>
        <w:t xml:space="preserve">“personas dati” ir jebkura informācija, kas attiecas uz datu subjektu; </w:t>
      </w:r>
    </w:p>
    <w:p w:rsidR="003E022D" w:rsidRDefault="007D19D6">
      <w:pPr>
        <w:numPr>
          <w:ilvl w:val="0"/>
          <w:numId w:val="1273"/>
        </w:numPr>
        <w:ind w:left="567" w:hanging="567"/>
        <w:rPr>
          <w:noProof/>
        </w:rPr>
      </w:pPr>
      <w:r>
        <w:rPr>
          <w:noProof/>
        </w:rPr>
        <w:t>“valsts” atkarībā no konteksta ir dalībvalsts vai Apvienotā Karaliste;</w:t>
      </w:r>
    </w:p>
    <w:p w:rsidR="003E022D" w:rsidRDefault="007D19D6">
      <w:pPr>
        <w:numPr>
          <w:ilvl w:val="0"/>
          <w:numId w:val="1273"/>
        </w:numPr>
        <w:ind w:left="567" w:hanging="567"/>
        <w:rPr>
          <w:noProof/>
        </w:rPr>
      </w:pPr>
      <w:r>
        <w:rPr>
          <w:noProof/>
        </w:rPr>
        <w:t>Puses “teritorija” attiecībā uz katru Pusi ir teritorija</w:t>
      </w:r>
      <w:r>
        <w:rPr>
          <w:noProof/>
        </w:rPr>
        <w:t xml:space="preserve">s, uz kurām attiecas nolīgums saskaņā ar FINPROV.1. pantu [Teritoriālā piemērošana]. </w:t>
      </w:r>
    </w:p>
    <w:p w:rsidR="003E022D" w:rsidRDefault="007D19D6">
      <w:pPr>
        <w:numPr>
          <w:ilvl w:val="0"/>
          <w:numId w:val="1273"/>
        </w:numPr>
        <w:ind w:left="567" w:hanging="567"/>
        <w:rPr>
          <w:noProof/>
        </w:rPr>
      </w:pPr>
      <w:r>
        <w:rPr>
          <w:noProof/>
        </w:rPr>
        <w:t>“pārejas periods” ir Izstāšanās līguma 126. pantā paredzētais pārejas periods; un</w:t>
      </w:r>
    </w:p>
    <w:p w:rsidR="003E022D" w:rsidRDefault="007D19D6">
      <w:pPr>
        <w:numPr>
          <w:ilvl w:val="0"/>
          <w:numId w:val="1273"/>
        </w:numPr>
        <w:ind w:left="567" w:hanging="567"/>
        <w:rPr>
          <w:noProof/>
        </w:rPr>
      </w:pPr>
      <w:r>
        <w:rPr>
          <w:noProof/>
        </w:rPr>
        <w:t>“Izstāšanās līgums” ir Līgums par Lielbritānijas un Ziemeļīrijas Apvienotās Karalistes i</w:t>
      </w:r>
      <w:r>
        <w:rPr>
          <w:noProof/>
        </w:rPr>
        <w:t>zstāšanos no Eiropas Savienības un Eiropas Atomenerģijas kopienas, ieskaitot tā protokolus.</w:t>
      </w:r>
    </w:p>
    <w:p w:rsidR="003E022D" w:rsidRDefault="007D19D6">
      <w:pPr>
        <w:rPr>
          <w:noProof/>
        </w:rPr>
      </w:pPr>
      <w:r>
        <w:rPr>
          <w:noProof/>
        </w:rPr>
        <w:t>2.</w:t>
      </w:r>
      <w:r>
        <w:rPr>
          <w:noProof/>
        </w:rPr>
        <w:tab/>
        <w:t xml:space="preserve">Visas atsauces uz “Savienību”, “Pusi” vai “Pusēm” šajā nolīgumā vai jebkurā papildinošā nolīgumā saprot kā tādas, kas neietver Eiropas Atomenerģijas kopienu, ja </w:t>
      </w:r>
      <w:r>
        <w:rPr>
          <w:noProof/>
        </w:rPr>
        <w:t>vien nav norādīts citādi vai ja to paredz konteksts.</w:t>
      </w:r>
    </w:p>
    <w:p w:rsidR="003E022D" w:rsidRDefault="007D19D6">
      <w:pPr>
        <w:pStyle w:val="Title1"/>
        <w:rPr>
          <w:noProof/>
        </w:rPr>
      </w:pPr>
      <w:bookmarkStart w:id="7" w:name="_Toc59988335"/>
      <w:r>
        <w:rPr>
          <w:noProof/>
        </w:rPr>
        <w:t>III sadaļa. Iestāžu sistēma</w:t>
      </w:r>
      <w:bookmarkEnd w:id="7"/>
    </w:p>
    <w:p w:rsidR="003E022D" w:rsidRDefault="007D19D6">
      <w:pPr>
        <w:keepNext/>
        <w:pBdr>
          <w:top w:val="nil"/>
          <w:left w:val="nil"/>
          <w:bottom w:val="nil"/>
          <w:right w:val="nil"/>
          <w:between w:val="nil"/>
        </w:pBdr>
        <w:spacing w:before="120"/>
        <w:jc w:val="center"/>
        <w:rPr>
          <w:rFonts w:eastAsia="Calibri" w:cs="Calibri"/>
          <w:noProof/>
          <w:color w:val="000000"/>
        </w:rPr>
      </w:pPr>
      <w:r>
        <w:rPr>
          <w:noProof/>
          <w:color w:val="000000"/>
        </w:rPr>
        <w:t>INST.1. pants Partnerības padome</w:t>
      </w:r>
    </w:p>
    <w:p w:rsidR="003E022D" w:rsidRDefault="007D19D6">
      <w:pPr>
        <w:spacing w:line="259" w:lineRule="auto"/>
        <w:rPr>
          <w:rFonts w:eastAsia="Calibri" w:cs="Calibri"/>
          <w:noProof/>
        </w:rPr>
      </w:pPr>
      <w:r>
        <w:rPr>
          <w:noProof/>
        </w:rPr>
        <w:t>1.</w:t>
      </w:r>
      <w:r>
        <w:rPr>
          <w:noProof/>
        </w:rPr>
        <w:tab/>
      </w:r>
      <w:r>
        <w:rPr>
          <w:noProof/>
        </w:rPr>
        <w:t xml:space="preserve">Ar šo tiek izveidota Partnerības padome. Tās sastāvā ir Savienības un Apvienotās Karalistes pārstāvji. Partnerības padome var sanākt dažādos sastāvos atkarībā no apspriežamajiem jautājumiem. </w:t>
      </w:r>
    </w:p>
    <w:p w:rsidR="003E022D" w:rsidRDefault="007D19D6">
      <w:pPr>
        <w:spacing w:line="259" w:lineRule="auto"/>
        <w:rPr>
          <w:rFonts w:eastAsia="Calibri" w:cs="Calibri"/>
          <w:noProof/>
        </w:rPr>
      </w:pPr>
      <w:r>
        <w:rPr>
          <w:noProof/>
        </w:rPr>
        <w:t>2.</w:t>
      </w:r>
      <w:r>
        <w:rPr>
          <w:noProof/>
        </w:rPr>
        <w:tab/>
        <w:t>Partnerības padomes līdzpriekšsēdētāji ir Eiropas Komisijas p</w:t>
      </w:r>
      <w:r>
        <w:rPr>
          <w:noProof/>
        </w:rPr>
        <w:t xml:space="preserve">ārstāvis un Apvienotās Karalistes valdības pārstāvis ministru līmenī. Tā sanāk pēc Savienības vai Apvienotās Karalistes pieprasījuma un jebkurā gadījumā vismaz reizi gadā un, savstarpēji vienojoties, nosaka sanāksmju grafiku un darba kārtību. </w:t>
      </w:r>
    </w:p>
    <w:p w:rsidR="003E022D" w:rsidRDefault="007D19D6">
      <w:pPr>
        <w:spacing w:line="259" w:lineRule="auto"/>
        <w:rPr>
          <w:rFonts w:eastAsia="Calibri" w:cs="Calibri"/>
          <w:noProof/>
        </w:rPr>
      </w:pPr>
      <w:r>
        <w:rPr>
          <w:noProof/>
        </w:rPr>
        <w:t>3.</w:t>
      </w:r>
      <w:r>
        <w:rPr>
          <w:noProof/>
        </w:rPr>
        <w:tab/>
        <w:t>Partnerīb</w:t>
      </w:r>
      <w:r>
        <w:rPr>
          <w:noProof/>
        </w:rPr>
        <w:t>as padome uzrauga šā nolīguma un jebkura papildinoša nolīguma mērķu sasniegšanu. Tā uzrauga un atvieglo šā nolīguma un jebkura papildinoša nolīguma īstenošanu un piemērošanu. Katra Puse var iesniegt Partnerības padomei jebkuru jautājumu, kas saistīts ar šā</w:t>
      </w:r>
      <w:r>
        <w:rPr>
          <w:noProof/>
        </w:rPr>
        <w:t xml:space="preserve"> nolīguma vai jebkura papildinoša nolīguma īstenošanu, piemērošanu un interpretāciju. </w:t>
      </w:r>
    </w:p>
    <w:p w:rsidR="003E022D" w:rsidRDefault="007D19D6">
      <w:pPr>
        <w:spacing w:line="259" w:lineRule="auto"/>
        <w:rPr>
          <w:noProof/>
        </w:rPr>
      </w:pPr>
      <w:r>
        <w:rPr>
          <w:noProof/>
        </w:rPr>
        <w:t>4.</w:t>
      </w:r>
      <w:r>
        <w:rPr>
          <w:noProof/>
        </w:rPr>
        <w:tab/>
        <w:t>Partnerības padomei ir pilnvaras:</w:t>
      </w:r>
    </w:p>
    <w:p w:rsidR="003E022D" w:rsidRDefault="007D19D6">
      <w:pPr>
        <w:numPr>
          <w:ilvl w:val="0"/>
          <w:numId w:val="1271"/>
        </w:numPr>
        <w:ind w:left="567" w:hanging="567"/>
        <w:rPr>
          <w:rFonts w:eastAsia="Calibri" w:cs="Calibri"/>
          <w:noProof/>
        </w:rPr>
      </w:pPr>
      <w:r>
        <w:rPr>
          <w:noProof/>
        </w:rPr>
        <w:t xml:space="preserve">pieņemt lēmumus par visiem jautājumiem, attiecībā uz kuriem tas paredzēts šajā nolīgumā vai jebkurā papildinošā nolīgumā, </w:t>
      </w:r>
    </w:p>
    <w:p w:rsidR="003E022D" w:rsidRDefault="007D19D6">
      <w:pPr>
        <w:numPr>
          <w:ilvl w:val="0"/>
          <w:numId w:val="1271"/>
        </w:numPr>
        <w:ind w:left="567" w:hanging="567"/>
        <w:rPr>
          <w:rFonts w:eastAsia="Calibri" w:cs="Calibri"/>
          <w:noProof/>
        </w:rPr>
      </w:pPr>
      <w:r>
        <w:rPr>
          <w:noProof/>
        </w:rPr>
        <w:t>sniegt ie</w:t>
      </w:r>
      <w:r>
        <w:rPr>
          <w:noProof/>
        </w:rPr>
        <w:t>teikumus Pusēm par šā nolīguma vai jebkura papildinoša nolīguma īstenošanu un piemērošanu,</w:t>
      </w:r>
    </w:p>
    <w:p w:rsidR="003E022D" w:rsidRDefault="007D19D6">
      <w:pPr>
        <w:numPr>
          <w:ilvl w:val="0"/>
          <w:numId w:val="1271"/>
        </w:numPr>
        <w:ind w:left="567" w:hanging="567"/>
        <w:rPr>
          <w:rFonts w:eastAsia="Calibri" w:cs="Calibri"/>
          <w:noProof/>
        </w:rPr>
      </w:pPr>
      <w:r>
        <w:rPr>
          <w:noProof/>
        </w:rPr>
        <w:t>ar lēmumu pieņemt šā nolīguma vai papildinoša nolīguma grozījumus gadījumos, kas paredzēti šajā nolīgumā vai jebkurā papildinošā nolīgumā,</w:t>
      </w:r>
    </w:p>
    <w:p w:rsidR="003E022D" w:rsidRDefault="007D19D6">
      <w:pPr>
        <w:numPr>
          <w:ilvl w:val="0"/>
          <w:numId w:val="1271"/>
        </w:numPr>
        <w:ind w:left="567" w:hanging="567"/>
        <w:rPr>
          <w:rFonts w:eastAsia="Calibri" w:cs="Calibri"/>
          <w:noProof/>
        </w:rPr>
      </w:pPr>
      <w:r>
        <w:rPr>
          <w:noProof/>
        </w:rPr>
        <w:t>izņemot attiecībā uz pirmā</w:t>
      </w:r>
      <w:r>
        <w:rPr>
          <w:noProof/>
        </w:rPr>
        <w:t>s daļas [Kopīgie un institucionālie noteikumi] III sadaļu [Iestāžu sistēma], līdz ceturtā gada beigām pēc šā nolīguma stāšanās spēkā pieņemt lēmumus, ar kuriem groza šo nolīgumu vai jebkuru papildinošo nolīgumu, ar nosacījumu, ka šādi grozījumi ir vajadzīg</w:t>
      </w:r>
      <w:r>
        <w:rPr>
          <w:noProof/>
        </w:rPr>
        <w:t xml:space="preserve">i, lai labotu kļūdas, novērstu izlaidumus vai citus trūkumus, </w:t>
      </w:r>
    </w:p>
    <w:p w:rsidR="003E022D" w:rsidRDefault="007D19D6">
      <w:pPr>
        <w:numPr>
          <w:ilvl w:val="0"/>
          <w:numId w:val="1271"/>
        </w:numPr>
        <w:ind w:left="567" w:hanging="567"/>
        <w:rPr>
          <w:rFonts w:eastAsia="Calibri" w:cs="Calibri"/>
          <w:noProof/>
        </w:rPr>
      </w:pPr>
      <w:r>
        <w:rPr>
          <w:noProof/>
        </w:rPr>
        <w:t>apspriest jebkuru jautājumu, kas saistīts ar jomām, uz kurām attiecas šis nolīgums vai jebkurš papildinošais nolīgums,</w:t>
      </w:r>
    </w:p>
    <w:p w:rsidR="003E022D" w:rsidRDefault="007D19D6">
      <w:pPr>
        <w:numPr>
          <w:ilvl w:val="0"/>
          <w:numId w:val="1271"/>
        </w:numPr>
        <w:ind w:left="567" w:hanging="567"/>
        <w:rPr>
          <w:rFonts w:eastAsia="Calibri" w:cs="Calibri"/>
          <w:noProof/>
        </w:rPr>
      </w:pPr>
      <w:r>
        <w:rPr>
          <w:noProof/>
        </w:rPr>
        <w:t xml:space="preserve">deleģēt konkrētas savas pilnvaras Tirdzniecības partnerības komitejai vai specializētajai komitejai, izņemot INST.1. panta [Partnerības padome] 4. punkta g) apakšpunktā minētās pilnvaras un pienākumus, </w:t>
      </w:r>
    </w:p>
    <w:p w:rsidR="003E022D" w:rsidRDefault="007D19D6">
      <w:pPr>
        <w:numPr>
          <w:ilvl w:val="0"/>
          <w:numId w:val="1271"/>
        </w:numPr>
        <w:ind w:left="567" w:hanging="567"/>
        <w:rPr>
          <w:rFonts w:eastAsia="Calibri" w:cs="Calibri"/>
          <w:noProof/>
        </w:rPr>
      </w:pPr>
      <w:r>
        <w:rPr>
          <w:noProof/>
        </w:rPr>
        <w:t>ar lēmumu izveidot Tirdzniecības specializētās komite</w:t>
      </w:r>
      <w:r>
        <w:rPr>
          <w:noProof/>
        </w:rPr>
        <w:t>jas un specializētās komitejas, kuras nav INST.2. panta 1. punktā minētās komitejas, likvidēt jebkuru Tirdzniecības specializēto komiteju vai specializēto komiteju vai mainīt tām uzticētos uzdevumus, un</w:t>
      </w:r>
    </w:p>
    <w:p w:rsidR="003E022D" w:rsidRDefault="007D19D6">
      <w:pPr>
        <w:numPr>
          <w:ilvl w:val="0"/>
          <w:numId w:val="1271"/>
        </w:numPr>
        <w:ind w:left="567" w:hanging="567"/>
        <w:rPr>
          <w:noProof/>
        </w:rPr>
      </w:pPr>
      <w:r>
        <w:rPr>
          <w:noProof/>
        </w:rPr>
        <w:t xml:space="preserve">sniegt ieteikumus Pusēm par personas datu nosūtīšanu </w:t>
      </w:r>
      <w:r>
        <w:rPr>
          <w:noProof/>
        </w:rPr>
        <w:t xml:space="preserve">konkrētās jomās, uz kurām attiecas šis nolīgums vai jebkurš papildinošs nolīgums. </w:t>
      </w:r>
    </w:p>
    <w:p w:rsidR="003E022D" w:rsidRDefault="007D19D6">
      <w:pPr>
        <w:spacing w:line="259" w:lineRule="auto"/>
        <w:rPr>
          <w:rFonts w:eastAsia="Calibri" w:cs="Calibri"/>
          <w:noProof/>
          <w:lang w:val="de-DE"/>
        </w:rPr>
      </w:pPr>
      <w:r>
        <w:rPr>
          <w:noProof/>
          <w:lang w:val="de-DE"/>
        </w:rPr>
        <w:t>5.</w:t>
      </w:r>
      <w:r>
        <w:rPr>
          <w:noProof/>
          <w:lang w:val="de-DE"/>
        </w:rPr>
        <w:tab/>
        <w:t>Partnerības padomes darbu reglamentē reglaments, kas izklāstīts INST-1. PIELIKUMĀ [Partnerības padomes un komiteju reglaments]. Partnerības padome var grozīt minēto pieli</w:t>
      </w:r>
      <w:r>
        <w:rPr>
          <w:noProof/>
          <w:lang w:val="de-DE"/>
        </w:rPr>
        <w:t xml:space="preserve">kumu. </w:t>
      </w:r>
    </w:p>
    <w:p w:rsidR="003E022D" w:rsidRDefault="007D19D6">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INST.2. pants Komitejas</w:t>
      </w:r>
    </w:p>
    <w:p w:rsidR="003E022D" w:rsidRDefault="007D19D6">
      <w:pPr>
        <w:spacing w:line="259" w:lineRule="auto"/>
        <w:rPr>
          <w:rFonts w:eastAsia="Calibri" w:cs="Calibri"/>
          <w:noProof/>
          <w:lang w:val="de-DE"/>
        </w:rPr>
      </w:pPr>
      <w:r>
        <w:rPr>
          <w:noProof/>
          <w:lang w:val="de-DE"/>
        </w:rPr>
        <w:t>1.</w:t>
      </w:r>
      <w:r>
        <w:rPr>
          <w:noProof/>
          <w:lang w:val="de-DE"/>
        </w:rPr>
        <w:tab/>
        <w:t>Ar šo izveido šādas komitejas:</w:t>
      </w:r>
    </w:p>
    <w:p w:rsidR="003E022D" w:rsidRDefault="007D19D6">
      <w:pPr>
        <w:numPr>
          <w:ilvl w:val="0"/>
          <w:numId w:val="1276"/>
        </w:numPr>
        <w:ind w:left="567" w:hanging="567"/>
        <w:rPr>
          <w:rFonts w:eastAsia="Calibri" w:cs="Calibri"/>
          <w:noProof/>
          <w:lang w:val="de-DE"/>
        </w:rPr>
      </w:pPr>
      <w:r>
        <w:rPr>
          <w:noProof/>
          <w:lang w:val="de-DE"/>
        </w:rPr>
        <w:t>Tirdzniecības partnerības komiteja, kas risina jautājumus, uz kuriem attiecas I–VII sadaļa, VIII sadaļas 4. nodaļa [Energoprodukti un izejvielas], otrās daļas pirmā temata [Tirdzniecība] IX–X</w:t>
      </w:r>
      <w:r>
        <w:rPr>
          <w:noProof/>
          <w:lang w:val="de-DE"/>
        </w:rPr>
        <w:t>II sadaļa, otrās daļas sestais temats [Citi noteikumi] un ENER-2 pielikums [ENERĢĒTIKAS UN VIDES SUBSĪDIJAS];</w:t>
      </w:r>
    </w:p>
    <w:p w:rsidR="003E022D" w:rsidRDefault="007D19D6">
      <w:pPr>
        <w:numPr>
          <w:ilvl w:val="0"/>
          <w:numId w:val="1276"/>
        </w:numPr>
        <w:ind w:left="567" w:hanging="567"/>
        <w:rPr>
          <w:rFonts w:eastAsia="Calibri" w:cs="Calibri"/>
          <w:noProof/>
          <w:lang w:val="de-DE"/>
        </w:rPr>
      </w:pPr>
      <w:r>
        <w:rPr>
          <w:noProof/>
          <w:lang w:val="de-DE"/>
        </w:rPr>
        <w:t>Tirdzniecības specializētā komiteja preču jomā, kas risina jautājumus, uz kuriem attiecas otrās daļas pirmā temata I sadaļas 1. nodaļa un otrās da</w:t>
      </w:r>
      <w:r>
        <w:rPr>
          <w:noProof/>
          <w:lang w:val="de-DE"/>
        </w:rPr>
        <w:t>ļas pirmā temata VIII sadaļas 4. nodaļa [Energoprodukti un izejvielas];</w:t>
      </w:r>
    </w:p>
    <w:p w:rsidR="003E022D" w:rsidRDefault="007D19D6">
      <w:pPr>
        <w:numPr>
          <w:ilvl w:val="0"/>
          <w:numId w:val="1276"/>
        </w:numPr>
        <w:ind w:left="567" w:hanging="567"/>
        <w:rPr>
          <w:rFonts w:eastAsia="Calibri" w:cs="Calibri"/>
          <w:noProof/>
          <w:lang w:val="de-DE"/>
        </w:rPr>
      </w:pPr>
      <w:r>
        <w:rPr>
          <w:noProof/>
          <w:lang w:val="de-DE"/>
        </w:rPr>
        <w:t>Tirdzniecības specializētā komiteja muitas sadarbības un izcelsmes noteikumu jomā, kas risina jautājumus, uz kuriem attiecas otrās daļas pirmā temata I sadaļas 2. un 5. nodaļa, Protoko</w:t>
      </w:r>
      <w:r>
        <w:rPr>
          <w:noProof/>
          <w:lang w:val="de-DE"/>
        </w:rPr>
        <w:t>ls par savstarpēju administratīvo palīdzību muitas lietās un noteikumi par muitas darbu intelektuālā īpašuma tiesību īstenošanā, maksām un maksājumiem, muitas vērtības noteikšanu un remontētām precēm;</w:t>
      </w:r>
    </w:p>
    <w:p w:rsidR="003E022D" w:rsidRDefault="007D19D6">
      <w:pPr>
        <w:numPr>
          <w:ilvl w:val="0"/>
          <w:numId w:val="1276"/>
        </w:numPr>
        <w:ind w:left="567" w:hanging="567"/>
        <w:rPr>
          <w:rFonts w:eastAsia="Calibri" w:cs="Calibri"/>
          <w:noProof/>
          <w:lang w:val="de-DE"/>
        </w:rPr>
      </w:pPr>
      <w:r>
        <w:rPr>
          <w:noProof/>
          <w:lang w:val="de-DE"/>
        </w:rPr>
        <w:t>Tirdzniecības specializētā komiteja sanitāro un fitosan</w:t>
      </w:r>
      <w:r>
        <w:rPr>
          <w:noProof/>
          <w:lang w:val="de-DE"/>
        </w:rPr>
        <w:t>itāro pasākumu jomā, kas risina jautājumus, uz kuriem attiecas otrās daļas pirmā temata I sadaļas 3. nodaļa;</w:t>
      </w:r>
    </w:p>
    <w:p w:rsidR="003E022D" w:rsidRDefault="007D19D6">
      <w:pPr>
        <w:numPr>
          <w:ilvl w:val="0"/>
          <w:numId w:val="1276"/>
        </w:numPr>
        <w:ind w:left="567" w:hanging="567"/>
        <w:rPr>
          <w:rFonts w:eastAsia="Calibri" w:cs="Calibri"/>
          <w:noProof/>
          <w:lang w:val="de-DE"/>
        </w:rPr>
      </w:pPr>
      <w:r>
        <w:rPr>
          <w:noProof/>
          <w:lang w:val="de-DE"/>
        </w:rPr>
        <w:t>Tirdzniecības specializētā komiteja par tehniskajiem šķēršļiem tirdzniecībai, kas risina jautājumus, uz kuriem attiecas otrās daļas pirmā temata I </w:t>
      </w:r>
      <w:r>
        <w:rPr>
          <w:noProof/>
          <w:lang w:val="de-DE"/>
        </w:rPr>
        <w:t>sadaļas 4. nodaļa un otrās daļas pirmā temata VIII sadaļas [Enerģētika] ENER.25. pants [Sadarbība standartu jomā];</w:t>
      </w:r>
    </w:p>
    <w:p w:rsidR="003E022D" w:rsidRDefault="007D19D6">
      <w:pPr>
        <w:numPr>
          <w:ilvl w:val="0"/>
          <w:numId w:val="1276"/>
        </w:numPr>
        <w:ind w:left="567" w:hanging="567"/>
        <w:rPr>
          <w:rFonts w:eastAsia="Calibri" w:cs="Calibri"/>
          <w:noProof/>
          <w:lang w:val="de-DE"/>
        </w:rPr>
      </w:pPr>
      <w:r>
        <w:rPr>
          <w:noProof/>
          <w:lang w:val="de-DE"/>
        </w:rPr>
        <w:t>Tirdzniecības specializētā komiteja pakalpojumu, investīciju un digitālās tirdzniecības jomā, kas risina jautājumus, uz kuriem attiecas otrās</w:t>
      </w:r>
      <w:r>
        <w:rPr>
          <w:noProof/>
          <w:lang w:val="de-DE"/>
        </w:rPr>
        <w:t xml:space="preserve"> daļas pirmā temata II–IV sadaļa un otrās daļas pirmā temata VIII sadaļas 4. nodaļa [Energoprodukti un izejvielas];</w:t>
      </w:r>
    </w:p>
    <w:p w:rsidR="003E022D" w:rsidRDefault="007D19D6">
      <w:pPr>
        <w:numPr>
          <w:ilvl w:val="0"/>
          <w:numId w:val="1276"/>
        </w:numPr>
        <w:ind w:left="567" w:hanging="567"/>
        <w:rPr>
          <w:rFonts w:eastAsia="Calibri" w:cs="Calibri"/>
          <w:noProof/>
          <w:lang w:val="de-DE"/>
        </w:rPr>
      </w:pPr>
      <w:r>
        <w:rPr>
          <w:noProof/>
          <w:lang w:val="de-DE"/>
        </w:rPr>
        <w:t>Tirdzniecības specializētā komiteja intelektuālā īpašuma jomā, kas risina jautājumus, uz kuriem attiecas otrās daļas pirmā temata V sadaļa;</w:t>
      </w:r>
    </w:p>
    <w:p w:rsidR="003E022D" w:rsidRDefault="007D19D6">
      <w:pPr>
        <w:numPr>
          <w:ilvl w:val="0"/>
          <w:numId w:val="1276"/>
        </w:numPr>
        <w:ind w:left="567" w:hanging="567"/>
        <w:rPr>
          <w:rFonts w:eastAsia="Calibri" w:cs="Calibri"/>
          <w:noProof/>
          <w:lang w:val="de-DE"/>
        </w:rPr>
      </w:pPr>
      <w:r>
        <w:rPr>
          <w:noProof/>
          <w:lang w:val="de-DE"/>
        </w:rPr>
        <w:t>Tirdzniecības specializētā komiteja publiskā iepirkuma jomā, kas risina jautājumus, uz kuriem attiecas otrās daļas pirmā temata VI sadaļa;</w:t>
      </w:r>
    </w:p>
    <w:p w:rsidR="003E022D" w:rsidRDefault="007D19D6">
      <w:pPr>
        <w:numPr>
          <w:ilvl w:val="0"/>
          <w:numId w:val="1276"/>
        </w:numPr>
        <w:ind w:left="567" w:hanging="567"/>
        <w:rPr>
          <w:rFonts w:eastAsia="Calibri" w:cs="Calibri"/>
          <w:noProof/>
          <w:lang w:val="de-DE"/>
        </w:rPr>
      </w:pPr>
      <w:r>
        <w:rPr>
          <w:noProof/>
          <w:lang w:val="de-DE"/>
        </w:rPr>
        <w:t>Tirdzniecības specializētā komiteja regulatīvās sadarbības jomā, kas risina jautājumus, uz kuriem attiecas otrās daļa</w:t>
      </w:r>
      <w:r>
        <w:rPr>
          <w:noProof/>
          <w:lang w:val="de-DE"/>
        </w:rPr>
        <w:t>s pirmā temata X sadaļa;</w:t>
      </w:r>
    </w:p>
    <w:p w:rsidR="003E022D" w:rsidRDefault="007D19D6">
      <w:pPr>
        <w:numPr>
          <w:ilvl w:val="0"/>
          <w:numId w:val="1276"/>
        </w:numPr>
        <w:ind w:left="567" w:hanging="567"/>
        <w:rPr>
          <w:rFonts w:eastAsia="Calibri" w:cs="Calibri"/>
          <w:noProof/>
          <w:lang w:val="de-DE"/>
        </w:rPr>
      </w:pPr>
      <w:r>
        <w:rPr>
          <w:noProof/>
          <w:lang w:val="de-DE"/>
        </w:rPr>
        <w:t>Tirdzniecības specializētā komiteja jautājumos par vienlīdzīgiem apstākļiem atvērtai un godīgai konkurencei un ilgtspējīgai attīstībai, kas risina jautājumus, uz kuriem attiecas otrās daļas pirmā temata XI sadaļa un ENER-2 pielikum</w:t>
      </w:r>
      <w:r>
        <w:rPr>
          <w:noProof/>
          <w:lang w:val="de-DE"/>
        </w:rPr>
        <w:t>s [ENERĢĒTIKAS UN VIDES SUBSĪDIJAS];</w:t>
      </w:r>
    </w:p>
    <w:p w:rsidR="003E022D" w:rsidRDefault="007D19D6">
      <w:pPr>
        <w:numPr>
          <w:ilvl w:val="0"/>
          <w:numId w:val="1276"/>
        </w:numPr>
        <w:ind w:left="567" w:hanging="567"/>
        <w:rPr>
          <w:rFonts w:eastAsia="Calibri" w:cs="Calibri"/>
          <w:noProof/>
          <w:lang w:val="de-DE"/>
        </w:rPr>
      </w:pPr>
      <w:r>
        <w:rPr>
          <w:noProof/>
          <w:lang w:val="de-DE"/>
        </w:rPr>
        <w:t>Specializētā tirdzniecības komiteja administratīvajai sadarbībai PVN un nodokļu un nodevu piedziņas jomā, kas risina jautājumus, uz kuriem attiecas Protokols par administratīvo sadarbību, krāpšanas apkarošanu un prasīju</w:t>
      </w:r>
      <w:r>
        <w:rPr>
          <w:noProof/>
          <w:lang w:val="de-DE"/>
        </w:rPr>
        <w:t>mu piedziņu pievienotās vērtības nodokļa jomā un par savstarpēju palīdzību nodokļu un nodevu prasījumu piedziņā;</w:t>
      </w:r>
    </w:p>
    <w:p w:rsidR="003E022D" w:rsidRDefault="007D19D6">
      <w:pPr>
        <w:numPr>
          <w:ilvl w:val="0"/>
          <w:numId w:val="1276"/>
        </w:numPr>
        <w:ind w:left="567" w:hanging="567"/>
        <w:rPr>
          <w:noProof/>
        </w:rPr>
      </w:pPr>
      <w:r>
        <w:rPr>
          <w:noProof/>
        </w:rPr>
        <w:t xml:space="preserve">Specializētā enerģētikas komiteja, </w:t>
      </w:r>
    </w:p>
    <w:p w:rsidR="003E022D" w:rsidRDefault="007D19D6">
      <w:pPr>
        <w:numPr>
          <w:ilvl w:val="0"/>
          <w:numId w:val="1275"/>
        </w:numPr>
        <w:pBdr>
          <w:top w:val="nil"/>
          <w:left w:val="nil"/>
          <w:bottom w:val="nil"/>
          <w:right w:val="nil"/>
          <w:between w:val="nil"/>
        </w:pBdr>
        <w:spacing w:after="0"/>
        <w:ind w:left="1276" w:hanging="567"/>
        <w:rPr>
          <w:rFonts w:eastAsia="Calibri" w:cs="Calibri"/>
          <w:noProof/>
          <w:color w:val="000000"/>
        </w:rPr>
      </w:pPr>
      <w:r>
        <w:rPr>
          <w:noProof/>
          <w:color w:val="000000"/>
        </w:rPr>
        <w:t xml:space="preserve">kas risina jautājumus, uz kuriem attiecas otrās daļas pirmā temata VIII sadaļa, izņemot 4. nodaļu [Energoprodukti un izejvielas], ENER.25. pantu [Sadarbība standartu jomā] un ENER-2 pielikumu [ENERĢĒTIKAS UN VIDES SUBSĪDIJAS], un </w:t>
      </w:r>
    </w:p>
    <w:p w:rsidR="003E022D" w:rsidRDefault="003E022D">
      <w:pPr>
        <w:pBdr>
          <w:top w:val="nil"/>
          <w:left w:val="nil"/>
          <w:bottom w:val="nil"/>
          <w:right w:val="nil"/>
          <w:between w:val="nil"/>
        </w:pBdr>
        <w:spacing w:after="0"/>
        <w:ind w:left="1800"/>
        <w:rPr>
          <w:rFonts w:eastAsia="Calibri" w:cs="Calibri"/>
          <w:noProof/>
          <w:color w:val="000000"/>
        </w:rPr>
      </w:pPr>
    </w:p>
    <w:p w:rsidR="003E022D" w:rsidRDefault="007D19D6">
      <w:pPr>
        <w:numPr>
          <w:ilvl w:val="0"/>
          <w:numId w:val="1275"/>
        </w:numPr>
        <w:pBdr>
          <w:top w:val="nil"/>
          <w:left w:val="nil"/>
          <w:bottom w:val="nil"/>
          <w:right w:val="nil"/>
          <w:between w:val="nil"/>
        </w:pBdr>
        <w:ind w:left="1276" w:hanging="567"/>
        <w:rPr>
          <w:rFonts w:eastAsia="Calibri" w:cs="Calibri"/>
          <w:noProof/>
          <w:color w:val="000000"/>
        </w:rPr>
      </w:pPr>
      <w:r>
        <w:rPr>
          <w:noProof/>
          <w:color w:val="000000"/>
        </w:rPr>
        <w:t>kas var apspriest un sni</w:t>
      </w:r>
      <w:r>
        <w:rPr>
          <w:noProof/>
          <w:color w:val="000000"/>
        </w:rPr>
        <w:t>egt speciālās zināšanas attiecīgajai Tirdzniecības specializētajai komitejai jautājumos, kuri attiecas uz otrās daļas pirmā temata VIII sadaļas 4. nodaļu [Energoprodukti un izejvielas] un ENER.25. pantu [Sadarbība standartu jomā];</w:t>
      </w:r>
    </w:p>
    <w:p w:rsidR="003E022D" w:rsidRDefault="007D19D6">
      <w:pPr>
        <w:numPr>
          <w:ilvl w:val="0"/>
          <w:numId w:val="1276"/>
        </w:numPr>
        <w:ind w:left="567" w:hanging="567"/>
        <w:rPr>
          <w:rFonts w:eastAsia="Calibri" w:cs="Calibri"/>
          <w:noProof/>
        </w:rPr>
      </w:pPr>
      <w:r>
        <w:rPr>
          <w:noProof/>
        </w:rPr>
        <w:t xml:space="preserve">Specializētā gaisa </w:t>
      </w:r>
      <w:r>
        <w:rPr>
          <w:noProof/>
        </w:rPr>
        <w:t>transporta komiteja, kas risina jautājumus, uz kuriem attiecas otrās daļas otrā temata I sadaļa;</w:t>
      </w:r>
    </w:p>
    <w:p w:rsidR="003E022D" w:rsidRDefault="007D19D6">
      <w:pPr>
        <w:numPr>
          <w:ilvl w:val="0"/>
          <w:numId w:val="1276"/>
        </w:numPr>
        <w:ind w:left="567" w:hanging="567"/>
        <w:rPr>
          <w:rFonts w:eastAsia="Calibri" w:cs="Calibri"/>
          <w:noProof/>
        </w:rPr>
      </w:pPr>
      <w:r>
        <w:rPr>
          <w:noProof/>
        </w:rPr>
        <w:t>Specializētā aviācijas drošuma komiteja, kas risina jautājumus, uz kuriem attiecas otrās daļas otrā temata II sadaļa;</w:t>
      </w:r>
    </w:p>
    <w:p w:rsidR="003E022D" w:rsidRDefault="007D19D6">
      <w:pPr>
        <w:numPr>
          <w:ilvl w:val="0"/>
          <w:numId w:val="1276"/>
        </w:numPr>
        <w:ind w:left="567" w:hanging="567"/>
        <w:rPr>
          <w:rFonts w:eastAsia="Calibri" w:cs="Calibri"/>
          <w:noProof/>
        </w:rPr>
      </w:pPr>
      <w:r>
        <w:rPr>
          <w:noProof/>
        </w:rPr>
        <w:t>Specializētā autotransporta komiteja, kas</w:t>
      </w:r>
      <w:r>
        <w:rPr>
          <w:noProof/>
        </w:rPr>
        <w:t xml:space="preserve"> risina jautājumus, uz kuriem attiecas otrās daļas trešais temats [Autotransports];</w:t>
      </w:r>
    </w:p>
    <w:p w:rsidR="003E022D" w:rsidRDefault="007D19D6">
      <w:pPr>
        <w:numPr>
          <w:ilvl w:val="0"/>
          <w:numId w:val="1276"/>
        </w:numPr>
        <w:ind w:left="567" w:hanging="567"/>
        <w:rPr>
          <w:rFonts w:eastAsia="Calibri" w:cs="Calibri"/>
          <w:noProof/>
        </w:rPr>
      </w:pPr>
      <w:r>
        <w:rPr>
          <w:noProof/>
        </w:rPr>
        <w:t>Specializētā komiteja sociālā nodrošinājuma koordinācijas jomā, kas risina jautājumus, uz kuriem attiecas otrās daļas ceturtais temats un Protokols par sociālā nodrošinājum</w:t>
      </w:r>
      <w:r>
        <w:rPr>
          <w:noProof/>
        </w:rPr>
        <w:t>a koordinēšanu;</w:t>
      </w:r>
    </w:p>
    <w:p w:rsidR="003E022D" w:rsidRDefault="007D19D6">
      <w:pPr>
        <w:numPr>
          <w:ilvl w:val="0"/>
          <w:numId w:val="1276"/>
        </w:numPr>
        <w:ind w:left="567" w:hanging="567"/>
        <w:rPr>
          <w:rFonts w:eastAsia="Calibri" w:cs="Calibri"/>
          <w:noProof/>
        </w:rPr>
      </w:pPr>
      <w:r>
        <w:rPr>
          <w:noProof/>
        </w:rPr>
        <w:t xml:space="preserve">Specializētā zvejniecības komiteja, kas risina jautājumus, uz kuriem attiecas otrās daļas </w:t>
      </w:r>
      <w:sdt>
        <w:sdtPr>
          <w:rPr>
            <w:noProof/>
          </w:rPr>
          <w:tag w:val="goog_rdk_6"/>
          <w:id w:val="1542869567"/>
        </w:sdtPr>
        <w:sdtEndPr/>
        <w:sdtContent>
          <w:r>
            <w:rPr>
              <w:noProof/>
            </w:rPr>
            <w:t>piektais</w:t>
          </w:r>
        </w:sdtContent>
      </w:sdt>
      <w:sdt>
        <w:sdtPr>
          <w:rPr>
            <w:noProof/>
          </w:rPr>
          <w:tag w:val="goog_rdk_7"/>
          <w:id w:val="-1549296653"/>
          <w:showingPlcHdr/>
        </w:sdtPr>
        <w:sdtEndPr/>
        <w:sdtContent/>
      </w:sdt>
      <w:r>
        <w:rPr>
          <w:noProof/>
        </w:rPr>
        <w:t xml:space="preserve"> temats [Zvejniecība];</w:t>
      </w:r>
    </w:p>
    <w:p w:rsidR="003E022D" w:rsidRDefault="007D19D6">
      <w:pPr>
        <w:numPr>
          <w:ilvl w:val="0"/>
          <w:numId w:val="1276"/>
        </w:numPr>
        <w:ind w:left="567" w:hanging="567"/>
        <w:rPr>
          <w:rFonts w:eastAsia="Calibri" w:cs="Calibri"/>
          <w:noProof/>
        </w:rPr>
      </w:pPr>
      <w:r>
        <w:rPr>
          <w:noProof/>
        </w:rPr>
        <w:t xml:space="preserve">Specializētā komiteja tiesībaizsardzības un tiesu iestāžu sadarbības jautājumos, kas risina jautājumus, uz kuriem </w:t>
      </w:r>
      <w:r>
        <w:rPr>
          <w:noProof/>
        </w:rPr>
        <w:t>attiecas trešā daļa [Tiesībaizsardzības un tiesu iestāžu sadarbība krimināllietās]; un</w:t>
      </w:r>
    </w:p>
    <w:p w:rsidR="003E022D" w:rsidRDefault="007D19D6">
      <w:pPr>
        <w:numPr>
          <w:ilvl w:val="0"/>
          <w:numId w:val="1276"/>
        </w:numPr>
        <w:ind w:left="567" w:hanging="567"/>
        <w:rPr>
          <w:noProof/>
        </w:rPr>
      </w:pPr>
      <w:r>
        <w:rPr>
          <w:noProof/>
        </w:rPr>
        <w:t>Specializētā komiteja par dalību Savienības programmās, kas risina jautājumus, uz kuriem attiecas piektā daļa [Savienības programmas].</w:t>
      </w:r>
    </w:p>
    <w:p w:rsidR="003E022D" w:rsidRDefault="007D19D6">
      <w:pPr>
        <w:rPr>
          <w:noProof/>
        </w:rPr>
      </w:pPr>
      <w:r>
        <w:rPr>
          <w:noProof/>
        </w:rPr>
        <w:t>2.</w:t>
      </w:r>
      <w:r>
        <w:rPr>
          <w:noProof/>
        </w:rPr>
        <w:tab/>
        <w:t>Attiecībā uz jautājumiem, kas s</w:t>
      </w:r>
      <w:r>
        <w:rPr>
          <w:noProof/>
        </w:rPr>
        <w:t>aistīti ar otrās daļas pirmā temata [Tirdzniecība] 4. nodaļas [Energoprodukti un izejvielas] I–VII sadaļu, VIII sadaļu un IX–XII sadaļu, otrās daļas sesto tematu [Citi noteikumi] un ENER-2 pielikumu [ENERĢĒTIKAS UN VIDES SUBSĪDIJAS], šā panta 1. punktā min</w:t>
      </w:r>
      <w:r>
        <w:rPr>
          <w:noProof/>
        </w:rPr>
        <w:t>ētajai Tirdzniecības partnerības komitejai ir pilnvaras:</w:t>
      </w:r>
    </w:p>
    <w:p w:rsidR="003E022D" w:rsidRDefault="007D19D6">
      <w:pPr>
        <w:numPr>
          <w:ilvl w:val="0"/>
          <w:numId w:val="1278"/>
        </w:numPr>
        <w:ind w:left="567" w:hanging="567"/>
        <w:rPr>
          <w:rFonts w:eastAsia="Calibri" w:cs="Calibri"/>
          <w:noProof/>
        </w:rPr>
      </w:pPr>
      <w:r>
        <w:rPr>
          <w:noProof/>
        </w:rPr>
        <w:t xml:space="preserve">palīdzēt Partnerības padomei veikt tās uzdevumus un jo īpaši atskaitīties Partnerības padomei un pildīt jebkurus tās uzticētos uzdevumus, </w:t>
      </w:r>
    </w:p>
    <w:p w:rsidR="003E022D" w:rsidRDefault="007D19D6">
      <w:pPr>
        <w:numPr>
          <w:ilvl w:val="0"/>
          <w:numId w:val="1278"/>
        </w:numPr>
        <w:ind w:left="567" w:hanging="567"/>
        <w:rPr>
          <w:rFonts w:eastAsia="Calibri" w:cs="Calibri"/>
          <w:noProof/>
        </w:rPr>
      </w:pPr>
      <w:r>
        <w:rPr>
          <w:noProof/>
        </w:rPr>
        <w:t>uzraudzīt šā nolīguma vai jebkura papildinoša nolīguma īsten</w:t>
      </w:r>
      <w:r>
        <w:rPr>
          <w:noProof/>
        </w:rPr>
        <w:t xml:space="preserve">ošanu, </w:t>
      </w:r>
    </w:p>
    <w:p w:rsidR="003E022D" w:rsidRDefault="007D19D6">
      <w:pPr>
        <w:numPr>
          <w:ilvl w:val="0"/>
          <w:numId w:val="1278"/>
        </w:numPr>
        <w:ind w:left="567" w:hanging="567"/>
        <w:rPr>
          <w:rFonts w:eastAsia="Calibri" w:cs="Calibri"/>
          <w:noProof/>
        </w:rPr>
      </w:pPr>
      <w:r>
        <w:rPr>
          <w:noProof/>
        </w:rPr>
        <w:t xml:space="preserve">pieņemt lēmumus vai sniegt ieteikumus, kas paredzēti šajā nolīgumā vai jebkurā papildinošā nolīgumā, vai gadījumos, kad šādas pilnvaras tai deleģējusi Partnerības padome, </w:t>
      </w:r>
    </w:p>
    <w:p w:rsidR="003E022D" w:rsidRDefault="007D19D6">
      <w:pPr>
        <w:numPr>
          <w:ilvl w:val="0"/>
          <w:numId w:val="1278"/>
        </w:numPr>
        <w:ind w:left="567" w:hanging="567"/>
        <w:rPr>
          <w:rFonts w:eastAsia="Calibri" w:cs="Calibri"/>
          <w:noProof/>
        </w:rPr>
      </w:pPr>
      <w:r>
        <w:rPr>
          <w:noProof/>
        </w:rPr>
        <w:t>uzraudzīt šā panta 1. punktā minēto tirdzniecības specializēto komiteju darb</w:t>
      </w:r>
      <w:r>
        <w:rPr>
          <w:noProof/>
        </w:rPr>
        <w:t>u,</w:t>
      </w:r>
    </w:p>
    <w:p w:rsidR="003E022D" w:rsidRDefault="007D19D6">
      <w:pPr>
        <w:numPr>
          <w:ilvl w:val="0"/>
          <w:numId w:val="1278"/>
        </w:numPr>
        <w:ind w:left="567" w:hanging="567"/>
        <w:rPr>
          <w:rFonts w:eastAsia="Calibri" w:cs="Calibri"/>
          <w:noProof/>
        </w:rPr>
      </w:pPr>
      <w:r>
        <w:rPr>
          <w:noProof/>
        </w:rPr>
        <w:t>izpētīt vispiemērotāko veidu, kā novērst vai atrisināt jebkādas grūtības, kas var rasties saistībā ar šā nolīguma vai jebkura papildinošā nolīguma interpretāciju un piemērošanu, neskarot sestās daļas I sadaļu [Strīdu izšķiršana];</w:t>
      </w:r>
    </w:p>
    <w:p w:rsidR="003E022D" w:rsidRDefault="007D19D6">
      <w:pPr>
        <w:numPr>
          <w:ilvl w:val="0"/>
          <w:numId w:val="1278"/>
        </w:numPr>
        <w:ind w:left="567" w:hanging="567"/>
        <w:rPr>
          <w:rFonts w:eastAsia="Calibri" w:cs="Calibri"/>
          <w:noProof/>
        </w:rPr>
      </w:pPr>
      <w:r>
        <w:rPr>
          <w:noProof/>
        </w:rPr>
        <w:t>īstenot pilnvaras, ko t</w:t>
      </w:r>
      <w:r>
        <w:rPr>
          <w:noProof/>
        </w:rPr>
        <w:t>ai deleģējusi Partnerības padome saskaņā ar INST.1. panta [Partnerības padome] 4. punkta f) apakšpunktu,</w:t>
      </w:r>
    </w:p>
    <w:p w:rsidR="003E022D" w:rsidRDefault="007D19D6">
      <w:pPr>
        <w:numPr>
          <w:ilvl w:val="0"/>
          <w:numId w:val="1278"/>
        </w:numPr>
        <w:ind w:left="567" w:hanging="567"/>
        <w:rPr>
          <w:rFonts w:eastAsia="Calibri" w:cs="Calibri"/>
          <w:noProof/>
        </w:rPr>
      </w:pPr>
      <w:r>
        <w:rPr>
          <w:noProof/>
        </w:rPr>
        <w:t>ar lēmumu izveidot tirdzniecības specializētās komitejas, kas nav šā panta1. punktā minētās komitejas, likvidēt jebkuru šādu tirdzniecības specializēto</w:t>
      </w:r>
      <w:r>
        <w:rPr>
          <w:noProof/>
        </w:rPr>
        <w:t xml:space="preserve"> komiteju vai mainīt tām uzticētos uzdevumus, un</w:t>
      </w:r>
    </w:p>
    <w:p w:rsidR="003E022D" w:rsidRDefault="007D19D6">
      <w:pPr>
        <w:numPr>
          <w:ilvl w:val="0"/>
          <w:numId w:val="1278"/>
        </w:numPr>
        <w:ind w:left="567" w:hanging="567"/>
        <w:rPr>
          <w:noProof/>
        </w:rPr>
      </w:pPr>
      <w:r>
        <w:rPr>
          <w:noProof/>
        </w:rPr>
        <w:t>izveidot, uzraudzīt, koordinēt un likvidēt darba grupas vai deleģēt to uzraudzību tirdzniecības specializētajai komitejai.</w:t>
      </w:r>
    </w:p>
    <w:p w:rsidR="003E022D" w:rsidRDefault="007D19D6">
      <w:pPr>
        <w:rPr>
          <w:noProof/>
        </w:rPr>
      </w:pPr>
      <w:r>
        <w:rPr>
          <w:noProof/>
        </w:rPr>
        <w:t>3.</w:t>
      </w:r>
      <w:r>
        <w:rPr>
          <w:noProof/>
        </w:rPr>
        <w:tab/>
        <w:t>Attiecībā uz jautājumiem, kas saistīti ar tirdzniecības specializēto komiteju kom</w:t>
      </w:r>
      <w:r>
        <w:rPr>
          <w:noProof/>
        </w:rPr>
        <w:t xml:space="preserve">petences jomu, tās ir pilnvarotas: </w:t>
      </w:r>
    </w:p>
    <w:p w:rsidR="003E022D" w:rsidRDefault="007D19D6">
      <w:pPr>
        <w:numPr>
          <w:ilvl w:val="0"/>
          <w:numId w:val="1277"/>
        </w:numPr>
        <w:ind w:left="567" w:hanging="567"/>
        <w:rPr>
          <w:rFonts w:eastAsia="Calibri" w:cs="Calibri"/>
          <w:noProof/>
        </w:rPr>
      </w:pPr>
      <w:r>
        <w:rPr>
          <w:noProof/>
        </w:rPr>
        <w:t>uzrauga un pārskata šā nolīguma vai jebkura papildinoša nolīguma īstenošanu un nodrošina to pareizu darbību,</w:t>
      </w:r>
    </w:p>
    <w:p w:rsidR="003E022D" w:rsidRDefault="007D19D6">
      <w:pPr>
        <w:numPr>
          <w:ilvl w:val="0"/>
          <w:numId w:val="1277"/>
        </w:numPr>
        <w:ind w:left="567" w:hanging="567"/>
        <w:rPr>
          <w:rFonts w:eastAsia="Calibri" w:cs="Calibri"/>
          <w:noProof/>
        </w:rPr>
      </w:pPr>
      <w:r>
        <w:rPr>
          <w:noProof/>
        </w:rPr>
        <w:t>palīdzēt Tirdzniecības partnerības komitejai veikt tās uzdevumus un jo īpaši atskaitīties Tirdzniecības partner</w:t>
      </w:r>
      <w:r>
        <w:rPr>
          <w:noProof/>
        </w:rPr>
        <w:t>ības komitejai un pildīt jebkurus tās uzticētos uzdevumus,</w:t>
      </w:r>
    </w:p>
    <w:p w:rsidR="003E022D" w:rsidRDefault="007D19D6">
      <w:pPr>
        <w:numPr>
          <w:ilvl w:val="0"/>
          <w:numId w:val="1277"/>
        </w:numPr>
        <w:ind w:left="567" w:hanging="567"/>
        <w:rPr>
          <w:rFonts w:eastAsia="Calibri" w:cs="Calibri"/>
          <w:noProof/>
        </w:rPr>
      </w:pPr>
      <w:r>
        <w:rPr>
          <w:noProof/>
        </w:rPr>
        <w:t xml:space="preserve">veikt tehnisko sagatavošanas darbu, kas vajadzīgs, lai nodrošinātu Partnerības padomes un Tirdzniecības partnerības komitejas uzdevumu izpildi, tostarp gadījumos, kad minētajām struktūrām jāpieņem </w:t>
      </w:r>
      <w:r>
        <w:rPr>
          <w:noProof/>
        </w:rPr>
        <w:t>lēmumi vai ieteikumi,</w:t>
      </w:r>
    </w:p>
    <w:p w:rsidR="003E022D" w:rsidRDefault="007D19D6">
      <w:pPr>
        <w:numPr>
          <w:ilvl w:val="0"/>
          <w:numId w:val="1277"/>
        </w:numPr>
        <w:ind w:left="567" w:hanging="567"/>
        <w:rPr>
          <w:rFonts w:eastAsia="Calibri" w:cs="Calibri"/>
          <w:noProof/>
        </w:rPr>
      </w:pPr>
      <w:r>
        <w:rPr>
          <w:noProof/>
        </w:rPr>
        <w:t>pieņemt lēmumus par visiem jautājumiem, attiecībā uz kuriem tas paredzēts šajā nolīgumā vai jebkurā papildinošā nolīgumā,</w:t>
      </w:r>
    </w:p>
    <w:p w:rsidR="003E022D" w:rsidRDefault="007D19D6">
      <w:pPr>
        <w:numPr>
          <w:ilvl w:val="0"/>
          <w:numId w:val="1277"/>
        </w:numPr>
        <w:ind w:left="567" w:hanging="567"/>
        <w:rPr>
          <w:rFonts w:eastAsia="Calibri" w:cs="Calibri"/>
          <w:noProof/>
        </w:rPr>
      </w:pPr>
      <w:r>
        <w:rPr>
          <w:noProof/>
        </w:rPr>
        <w:t xml:space="preserve">apspriest tehniskus jautājumus, kas rodas, īstenojot nolīgumu vai jebkuru papildinošo nolīgumu, neskarot sestās </w:t>
      </w:r>
      <w:r>
        <w:rPr>
          <w:noProof/>
        </w:rPr>
        <w:t>daļas I sadaļu [Strīdu izšķiršana], un</w:t>
      </w:r>
    </w:p>
    <w:p w:rsidR="003E022D" w:rsidRDefault="007D19D6">
      <w:pPr>
        <w:numPr>
          <w:ilvl w:val="0"/>
          <w:numId w:val="1277"/>
        </w:numPr>
        <w:ind w:left="567" w:hanging="567"/>
        <w:rPr>
          <w:noProof/>
        </w:rPr>
      </w:pPr>
      <w:r>
        <w:rPr>
          <w:noProof/>
        </w:rPr>
        <w:t>nodrošināt forumu, kurā Puses var apmainīties ar informāciju, apspriest paraugpraksi un dalīties īstenošanas pieredzē.</w:t>
      </w:r>
    </w:p>
    <w:p w:rsidR="003E022D" w:rsidRDefault="007D19D6">
      <w:pPr>
        <w:rPr>
          <w:noProof/>
        </w:rPr>
      </w:pPr>
      <w:r>
        <w:rPr>
          <w:noProof/>
        </w:rPr>
        <w:t>4.</w:t>
      </w:r>
      <w:r>
        <w:rPr>
          <w:noProof/>
        </w:rPr>
        <w:tab/>
        <w:t>Attiecībā uz jautājumiem, kas saistīti ar specializēto komiteju kompetences jomu, tās ir pilnva</w:t>
      </w:r>
      <w:r>
        <w:rPr>
          <w:noProof/>
        </w:rPr>
        <w:t xml:space="preserve">rotas: </w:t>
      </w:r>
    </w:p>
    <w:p w:rsidR="003E022D" w:rsidRDefault="007D19D6">
      <w:pPr>
        <w:numPr>
          <w:ilvl w:val="0"/>
          <w:numId w:val="1279"/>
        </w:numPr>
        <w:ind w:left="567" w:hanging="567"/>
        <w:rPr>
          <w:rFonts w:eastAsia="Calibri" w:cs="Calibri"/>
          <w:noProof/>
        </w:rPr>
      </w:pPr>
      <w:r>
        <w:rPr>
          <w:noProof/>
        </w:rPr>
        <w:t>uzrauga un pārskata šā nolīguma vai jebkura papildinoša nolīguma īstenošanu un nodrošina to pareizu darbību,</w:t>
      </w:r>
    </w:p>
    <w:p w:rsidR="003E022D" w:rsidRDefault="007D19D6">
      <w:pPr>
        <w:numPr>
          <w:ilvl w:val="0"/>
          <w:numId w:val="1279"/>
        </w:numPr>
        <w:ind w:left="567" w:hanging="567"/>
        <w:rPr>
          <w:rFonts w:eastAsia="Calibri" w:cs="Calibri"/>
          <w:noProof/>
        </w:rPr>
      </w:pPr>
      <w:r>
        <w:rPr>
          <w:noProof/>
        </w:rPr>
        <w:t>palīdz Partnerības padomei veikt tās uzdevumus un jo īpaši atskaitīties Partnerības padomei un pildīt jebkurus tās uzticētos uzdevumus,</w:t>
      </w:r>
    </w:p>
    <w:p w:rsidR="003E022D" w:rsidRDefault="007D19D6">
      <w:pPr>
        <w:numPr>
          <w:ilvl w:val="0"/>
          <w:numId w:val="1279"/>
        </w:numPr>
        <w:ind w:left="567" w:hanging="567"/>
        <w:rPr>
          <w:rFonts w:eastAsia="Calibri" w:cs="Calibri"/>
          <w:noProof/>
        </w:rPr>
      </w:pPr>
      <w:r>
        <w:rPr>
          <w:noProof/>
        </w:rPr>
        <w:t>pie</w:t>
      </w:r>
      <w:r>
        <w:rPr>
          <w:noProof/>
        </w:rPr>
        <w:t>ņem lēmumus, tostarp grozījumus, un ieteikumus attiecībā uz visiem jautājumiem, kas paredzēti šajā nolīgumā vai jebkurā papildinošā nolīgumā vai attiecībā uz kuriem Partnerības padome ir deleģējusi savas pilnvaras specializētajai komitejai saskaņā ar INST.</w:t>
      </w:r>
      <w:r>
        <w:rPr>
          <w:noProof/>
        </w:rPr>
        <w:t>1. panta [Partnerības padome] 4. punkta f) apakšpunktu,</w:t>
      </w:r>
    </w:p>
    <w:p w:rsidR="003E022D" w:rsidRDefault="007D19D6">
      <w:pPr>
        <w:numPr>
          <w:ilvl w:val="0"/>
          <w:numId w:val="1279"/>
        </w:numPr>
        <w:ind w:left="567" w:hanging="567"/>
        <w:rPr>
          <w:rFonts w:eastAsia="Calibri" w:cs="Calibri"/>
          <w:noProof/>
        </w:rPr>
      </w:pPr>
      <w:r>
        <w:rPr>
          <w:noProof/>
        </w:rPr>
        <w:t>apspriež tehniskus jautājumus, kuri rodas šā nolīguma vai jebkura papildinošā nolīguma īstenošanas gaitā,</w:t>
      </w:r>
    </w:p>
    <w:p w:rsidR="003E022D" w:rsidRDefault="007D19D6">
      <w:pPr>
        <w:numPr>
          <w:ilvl w:val="0"/>
          <w:numId w:val="1279"/>
        </w:numPr>
        <w:ind w:left="567" w:hanging="567"/>
        <w:rPr>
          <w:rFonts w:eastAsia="Calibri" w:cs="Calibri"/>
          <w:noProof/>
        </w:rPr>
      </w:pPr>
      <w:r>
        <w:rPr>
          <w:noProof/>
        </w:rPr>
        <w:t xml:space="preserve">nodrošina forumu, kurā Puses var apmainīties ar informāciju, apspriest paraugpraksi un </w:t>
      </w:r>
      <w:r>
        <w:rPr>
          <w:noProof/>
        </w:rPr>
        <w:t>dalīties īstenošanas pieredzē,</w:t>
      </w:r>
    </w:p>
    <w:p w:rsidR="003E022D" w:rsidRDefault="007D19D6">
      <w:pPr>
        <w:numPr>
          <w:ilvl w:val="0"/>
          <w:numId w:val="1279"/>
        </w:numPr>
        <w:ind w:left="567" w:hanging="567"/>
        <w:rPr>
          <w:rFonts w:eastAsia="Calibri" w:cs="Calibri"/>
          <w:noProof/>
        </w:rPr>
      </w:pPr>
      <w:r>
        <w:rPr>
          <w:noProof/>
        </w:rPr>
        <w:t>izveido, uzrauga, koordinē un likvidē darba grupas, un</w:t>
      </w:r>
    </w:p>
    <w:p w:rsidR="003E022D" w:rsidRDefault="007D19D6">
      <w:pPr>
        <w:numPr>
          <w:ilvl w:val="0"/>
          <w:numId w:val="1279"/>
        </w:numPr>
        <w:ind w:left="567" w:hanging="567"/>
        <w:rPr>
          <w:noProof/>
        </w:rPr>
      </w:pPr>
      <w:r>
        <w:rPr>
          <w:noProof/>
        </w:rPr>
        <w:t>nodrošina forumu apspriešanai saskaņā ar sestās daļas I sadaļas [Strīdu izšķiršana] INST.13. panta [Apspriešanās] 7. punktu.</w:t>
      </w:r>
    </w:p>
    <w:p w:rsidR="003E022D" w:rsidRDefault="007D19D6">
      <w:pPr>
        <w:rPr>
          <w:noProof/>
        </w:rPr>
      </w:pPr>
      <w:r>
        <w:rPr>
          <w:noProof/>
        </w:rPr>
        <w:t>5.</w:t>
      </w:r>
      <w:r>
        <w:rPr>
          <w:noProof/>
        </w:rPr>
        <w:tab/>
        <w:t>Komitejās ir pārstāvji no katras Puses. Ka</w:t>
      </w:r>
      <w:r>
        <w:rPr>
          <w:noProof/>
        </w:rPr>
        <w:t>tra Puse nodrošina, ka tās pārstāvjiem komitejās ir atbilstīgas zināšanas par apspriežamajiem jautājumiem.</w:t>
      </w:r>
    </w:p>
    <w:p w:rsidR="003E022D" w:rsidRDefault="007D19D6">
      <w:pPr>
        <w:rPr>
          <w:noProof/>
        </w:rPr>
      </w:pPr>
      <w:r>
        <w:rPr>
          <w:noProof/>
        </w:rPr>
        <w:t>6.</w:t>
      </w:r>
      <w:r>
        <w:rPr>
          <w:noProof/>
        </w:rPr>
        <w:tab/>
        <w:t xml:space="preserve">Tirdzniecības partnerības komitejas līdzpriekšsēdētāji ir Savienības augsta līmeņa pārstāvis un Apvienotās Karalistes pārstāvis, kas ir atbildīgi </w:t>
      </w:r>
      <w:r>
        <w:rPr>
          <w:noProof/>
        </w:rPr>
        <w:t>par tirdzniecības jautājumiem, vai viņu norīkotas personas.</w:t>
      </w:r>
      <w:r>
        <w:rPr>
          <w:noProof/>
          <w:color w:val="000000"/>
        </w:rPr>
        <w:t xml:space="preserve"> </w:t>
      </w:r>
      <w:r>
        <w:rPr>
          <w:noProof/>
        </w:rPr>
        <w:t xml:space="preserve">Tā sanāk pēc Savienības vai Apvienotās Karalistes pieprasījuma un jebkurā gadījumā vismaz reizi gadā un, savstarpēji vienojoties, nosaka sanāksmju grafiku un darba kārtību. </w:t>
      </w:r>
    </w:p>
    <w:p w:rsidR="003E022D" w:rsidRDefault="007D19D6">
      <w:pPr>
        <w:rPr>
          <w:noProof/>
        </w:rPr>
      </w:pPr>
      <w:r>
        <w:rPr>
          <w:noProof/>
        </w:rPr>
        <w:t>7.</w:t>
      </w:r>
      <w:r>
        <w:rPr>
          <w:noProof/>
        </w:rPr>
        <w:tab/>
        <w:t>Tirdzniecības speci</w:t>
      </w:r>
      <w:r>
        <w:rPr>
          <w:noProof/>
        </w:rPr>
        <w:t>alizēto komiteju un specializēto komiteju līdzpriekšsēdētāji ir Savienības pārstāvis un Apvienotās Karalistes pārstāvis. Ja vien šajā nolīgumā nav paredzēts citādi vai ja vien līdzpriekšsēdētāji nenolemj citādi, komitejas sanāk vismaz reizi gadā.</w:t>
      </w:r>
    </w:p>
    <w:p w:rsidR="003E022D" w:rsidRDefault="007D19D6">
      <w:pPr>
        <w:rPr>
          <w:noProof/>
        </w:rPr>
      </w:pPr>
      <w:r>
        <w:rPr>
          <w:noProof/>
        </w:rPr>
        <w:t>8.</w:t>
      </w:r>
      <w:r>
        <w:rPr>
          <w:noProof/>
        </w:rPr>
        <w:tab/>
        <w:t>Komite</w:t>
      </w:r>
      <w:r>
        <w:rPr>
          <w:noProof/>
        </w:rPr>
        <w:t>jas nosaka sanāksmju grafiku un darba kārtību, savstarpēji vienojoties.</w:t>
      </w:r>
    </w:p>
    <w:p w:rsidR="003E022D" w:rsidRDefault="007D19D6">
      <w:pPr>
        <w:rPr>
          <w:strike/>
          <w:noProof/>
          <w:lang w:val="de-DE"/>
        </w:rPr>
      </w:pPr>
      <w:r>
        <w:rPr>
          <w:noProof/>
          <w:lang w:val="de-DE"/>
        </w:rPr>
        <w:t>9.</w:t>
      </w:r>
      <w:r>
        <w:rPr>
          <w:noProof/>
          <w:lang w:val="de-DE"/>
        </w:rPr>
        <w:tab/>
        <w:t xml:space="preserve">Komiteju darbu reglamentē reglaments, kas izklāstīts INST-X. PIELIKUMĀ [Partnerības padomes un komiteju reglaments]. </w:t>
      </w:r>
    </w:p>
    <w:p w:rsidR="003E022D" w:rsidRDefault="007D19D6">
      <w:pPr>
        <w:rPr>
          <w:noProof/>
          <w:lang w:val="de-DE"/>
        </w:rPr>
      </w:pPr>
      <w:r>
        <w:rPr>
          <w:noProof/>
          <w:lang w:val="de-DE"/>
        </w:rPr>
        <w:t xml:space="preserve">10. </w:t>
      </w:r>
      <w:r>
        <w:rPr>
          <w:noProof/>
          <w:lang w:val="de-DE"/>
        </w:rPr>
        <w:tab/>
        <w:t xml:space="preserve">Atkāpjoties no 9. punkta, komiteja var pieņemt un pēc tam </w:t>
      </w:r>
      <w:r>
        <w:rPr>
          <w:noProof/>
          <w:lang w:val="de-DE"/>
        </w:rPr>
        <w:t>grozīt savus noteikumus, kas reglamentē tās darbu.</w:t>
      </w:r>
    </w:p>
    <w:p w:rsidR="003E022D" w:rsidRDefault="007D19D6">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INST.3. pants Darba grupas</w:t>
      </w:r>
    </w:p>
    <w:p w:rsidR="003E022D" w:rsidRDefault="007D19D6">
      <w:pPr>
        <w:rPr>
          <w:noProof/>
          <w:lang w:val="de-DE"/>
        </w:rPr>
      </w:pPr>
      <w:r>
        <w:rPr>
          <w:noProof/>
          <w:lang w:val="de-DE"/>
        </w:rPr>
        <w:t>1.</w:t>
      </w:r>
      <w:r>
        <w:rPr>
          <w:noProof/>
          <w:lang w:val="de-DE"/>
        </w:rPr>
        <w:tab/>
        <w:t>Ar šo izveido šādas darba grupas:</w:t>
      </w:r>
    </w:p>
    <w:p w:rsidR="003E022D" w:rsidRDefault="007D19D6">
      <w:pPr>
        <w:rPr>
          <w:noProof/>
          <w:lang w:val="de-DE"/>
        </w:rPr>
      </w:pPr>
      <w:r>
        <w:rPr>
          <w:noProof/>
          <w:lang w:val="de-DE"/>
        </w:rPr>
        <w:t>a) Darba grupa bioloģisko produktu jautājumos, kuru uzrauga Tirdzniecības specializētā komiteja par tehniskajiem šķēršļiem tirdzniecībai;</w:t>
      </w:r>
    </w:p>
    <w:p w:rsidR="003E022D" w:rsidRDefault="007D19D6">
      <w:pPr>
        <w:rPr>
          <w:noProof/>
          <w:lang w:val="de-DE"/>
        </w:rPr>
      </w:pPr>
      <w:r>
        <w:rPr>
          <w:noProof/>
          <w:lang w:val="de-DE"/>
        </w:rPr>
        <w:t>b) </w:t>
      </w:r>
      <w:r>
        <w:rPr>
          <w:noProof/>
          <w:lang w:val="de-DE"/>
        </w:rPr>
        <w:t>Mehānisko transportlīdzekļu un to detaļu darba grupa, kuru uzrauga Tirdzniecības specializētā komiteja par tehniskajiem šķēršļiem tirdzniecībai;</w:t>
      </w:r>
    </w:p>
    <w:p w:rsidR="003E022D" w:rsidRDefault="007D19D6">
      <w:pPr>
        <w:rPr>
          <w:noProof/>
          <w:lang w:val="de-DE"/>
        </w:rPr>
      </w:pPr>
      <w:r>
        <w:rPr>
          <w:noProof/>
          <w:lang w:val="de-DE"/>
        </w:rPr>
        <w:t>c) Darba grupa zāļu jomā, kuru uzrauga Tirdzniecības specializētā komiteja par tehniskajiem šķēršļiem tirdzniec</w:t>
      </w:r>
      <w:r>
        <w:rPr>
          <w:noProof/>
          <w:lang w:val="de-DE"/>
        </w:rPr>
        <w:t>ībai;</w:t>
      </w:r>
    </w:p>
    <w:p w:rsidR="003E022D" w:rsidRDefault="007D19D6">
      <w:pPr>
        <w:rPr>
          <w:noProof/>
          <w:lang w:val="de-DE"/>
        </w:rPr>
      </w:pPr>
      <w:r>
        <w:rPr>
          <w:noProof/>
          <w:lang w:val="de-DE"/>
        </w:rPr>
        <w:t>d) Darba grupa sociālā nodrošinājuma koordinēšanas jomā, kuru uzrauga Specializētā komiteja sociālā nodrošinājuma koordinēšanas jomā;</w:t>
      </w:r>
    </w:p>
    <w:p w:rsidR="003E022D" w:rsidRDefault="007D19D6">
      <w:pPr>
        <w:rPr>
          <w:noProof/>
          <w:lang w:val="de-DE"/>
        </w:rPr>
      </w:pPr>
      <w:r>
        <w:rPr>
          <w:noProof/>
          <w:lang w:val="de-DE"/>
        </w:rPr>
        <w:t>2.</w:t>
      </w:r>
      <w:r>
        <w:rPr>
          <w:noProof/>
          <w:lang w:val="de-DE"/>
        </w:rPr>
        <w:tab/>
        <w:t>Darba grupas komiteju uzraudzībā palīdz komitejām veikt to uzdevumus un jo īpaši sagatavo komiteju darbu un pilda</w:t>
      </w:r>
      <w:r>
        <w:rPr>
          <w:noProof/>
          <w:lang w:val="de-DE"/>
        </w:rPr>
        <w:t xml:space="preserve"> jebkurus uzdevumus, ko tām uzticējušas komitejas.</w:t>
      </w:r>
    </w:p>
    <w:p w:rsidR="003E022D" w:rsidRDefault="007D19D6">
      <w:pPr>
        <w:rPr>
          <w:noProof/>
          <w:lang w:val="de-DE"/>
        </w:rPr>
      </w:pPr>
      <w:r>
        <w:rPr>
          <w:noProof/>
          <w:lang w:val="de-DE"/>
        </w:rPr>
        <w:t>3.</w:t>
      </w:r>
      <w:r>
        <w:rPr>
          <w:noProof/>
          <w:lang w:val="de-DE"/>
        </w:rPr>
        <w:tab/>
        <w:t xml:space="preserve">Darba grupu sastāvā ir Savienības pārstāvji un Apvienotās Karalistes pārstāvji un to līdzpriekšsēdētāji ir Savienības pārstāvis un Apvienotās Karalistes pārstāvis. </w:t>
      </w:r>
    </w:p>
    <w:p w:rsidR="003E022D" w:rsidRDefault="007D19D6">
      <w:pPr>
        <w:rPr>
          <w:noProof/>
          <w:lang w:val="de-DE"/>
        </w:rPr>
      </w:pPr>
      <w:r>
        <w:rPr>
          <w:noProof/>
          <w:lang w:val="de-DE"/>
        </w:rPr>
        <w:t>4.</w:t>
      </w:r>
      <w:r>
        <w:rPr>
          <w:noProof/>
          <w:lang w:val="de-DE"/>
        </w:rPr>
        <w:tab/>
        <w:t>Katra darba grupa nosaka savu regl</w:t>
      </w:r>
      <w:r>
        <w:rPr>
          <w:noProof/>
          <w:lang w:val="de-DE"/>
        </w:rPr>
        <w:t>amentu, sanāksmju grafiku un darba kārtību, savstarpēji vienojoties.</w:t>
      </w:r>
    </w:p>
    <w:p w:rsidR="003E022D" w:rsidRDefault="007D19D6">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INST.4. pants Lēmumi un ieteikumi</w:t>
      </w:r>
    </w:p>
    <w:p w:rsidR="003E022D" w:rsidRDefault="007D19D6">
      <w:pPr>
        <w:rPr>
          <w:noProof/>
          <w:lang w:val="de-DE"/>
        </w:rPr>
      </w:pPr>
      <w:r>
        <w:rPr>
          <w:noProof/>
          <w:lang w:val="de-DE"/>
        </w:rPr>
        <w:t>1.</w:t>
      </w:r>
      <w:r>
        <w:rPr>
          <w:noProof/>
          <w:lang w:val="de-DE"/>
        </w:rPr>
        <w:tab/>
        <w:t xml:space="preserve">Lēmumi, ko pieņēmusi Partnerības padome vai attiecīgā gadījumā Komiteja, ir saistoši Pusēm un visām struktūrām, kas izveidotas saskaņā ar šo nolīgumu </w:t>
      </w:r>
      <w:r>
        <w:rPr>
          <w:noProof/>
          <w:lang w:val="de-DE"/>
        </w:rPr>
        <w:t>un jebkuriem papildinošiem nolīgumiem, tostarp sestās daļas I sadaļā [Strīdu izšķiršana] minētajai šķīrējtiesai. Ieteikumi neuzliek saistības.</w:t>
      </w:r>
    </w:p>
    <w:p w:rsidR="003E022D" w:rsidRDefault="007D19D6">
      <w:pPr>
        <w:rPr>
          <w:noProof/>
          <w:lang w:val="de-DE"/>
        </w:rPr>
      </w:pPr>
      <w:r>
        <w:rPr>
          <w:noProof/>
          <w:lang w:val="de-DE"/>
        </w:rPr>
        <w:t>2.</w:t>
      </w:r>
      <w:r>
        <w:rPr>
          <w:noProof/>
          <w:lang w:val="de-DE"/>
        </w:rPr>
        <w:tab/>
        <w:t>Partnerības padome vai attiecīgā gadījumā komiteja, savstarpēji vienojoties, pieņem lēmumus un sniedz ieteikum</w:t>
      </w:r>
      <w:r>
        <w:rPr>
          <w:noProof/>
          <w:lang w:val="de-DE"/>
        </w:rPr>
        <w:t>us.</w:t>
      </w:r>
    </w:p>
    <w:p w:rsidR="003E022D" w:rsidRDefault="007D19D6">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INST.5. pants Parlamentārā sadarbība</w:t>
      </w:r>
    </w:p>
    <w:p w:rsidR="003E022D" w:rsidRDefault="007D19D6">
      <w:pPr>
        <w:rPr>
          <w:noProof/>
          <w:lang w:val="de-DE"/>
        </w:rPr>
      </w:pPr>
      <w:r>
        <w:rPr>
          <w:noProof/>
          <w:lang w:val="de-DE"/>
        </w:rPr>
        <w:t>1.</w:t>
      </w:r>
      <w:r>
        <w:rPr>
          <w:noProof/>
          <w:lang w:val="de-DE"/>
        </w:rPr>
        <w:tab/>
        <w:t xml:space="preserve">Eiropas Parlaments un Apvienotās Karalistes parlaments var izveidot Parlamentāro partnerattiecību asambleju, kurā ir Eiropas Parlamenta locekļi un Apvienotās Karalistes parlamenta locekļi, kā forumu viedokļu </w:t>
      </w:r>
      <w:r>
        <w:rPr>
          <w:noProof/>
          <w:lang w:val="de-DE"/>
        </w:rPr>
        <w:t>apmaiņai par partnerību.</w:t>
      </w:r>
    </w:p>
    <w:p w:rsidR="003E022D" w:rsidRDefault="007D19D6">
      <w:pPr>
        <w:rPr>
          <w:noProof/>
          <w:lang w:val="de-DE"/>
        </w:rPr>
      </w:pPr>
      <w:r>
        <w:rPr>
          <w:noProof/>
          <w:lang w:val="de-DE"/>
        </w:rPr>
        <w:t>2.</w:t>
      </w:r>
      <w:r>
        <w:rPr>
          <w:noProof/>
          <w:lang w:val="de-DE"/>
        </w:rPr>
        <w:tab/>
        <w:t>Pēc Parlamentāro partnerattiecību asamblejas izveides tā:</w:t>
      </w:r>
    </w:p>
    <w:p w:rsidR="003E022D" w:rsidRDefault="007D19D6">
      <w:pPr>
        <w:numPr>
          <w:ilvl w:val="0"/>
          <w:numId w:val="1272"/>
        </w:numPr>
        <w:ind w:left="567" w:hanging="567"/>
        <w:rPr>
          <w:rFonts w:eastAsia="Calibri" w:cs="Calibri"/>
          <w:noProof/>
          <w:lang w:val="de-DE"/>
        </w:rPr>
      </w:pPr>
      <w:r>
        <w:rPr>
          <w:noProof/>
          <w:lang w:val="de-DE"/>
        </w:rPr>
        <w:t>var pieprasīt Partnerības padomei attiecīgu informāciju par šā nolīguma un papildinošo nolīgumu īstenošanu, kura pēc tam sniedz minētajai Asamblejai pieprasīto informācij</w:t>
      </w:r>
      <w:r>
        <w:rPr>
          <w:noProof/>
          <w:lang w:val="de-DE"/>
        </w:rPr>
        <w:t>u;</w:t>
      </w:r>
    </w:p>
    <w:p w:rsidR="003E022D" w:rsidRDefault="007D19D6">
      <w:pPr>
        <w:numPr>
          <w:ilvl w:val="0"/>
          <w:numId w:val="1272"/>
        </w:numPr>
        <w:ind w:left="567" w:hanging="567"/>
        <w:rPr>
          <w:rFonts w:eastAsia="Calibri" w:cs="Calibri"/>
          <w:noProof/>
          <w:lang w:val="fr-BE"/>
        </w:rPr>
      </w:pPr>
      <w:r>
        <w:rPr>
          <w:noProof/>
          <w:lang w:val="fr-BE"/>
        </w:rPr>
        <w:t>tiek informēta par Partnerības padomes lēmumiem un ieteikumiem un</w:t>
      </w:r>
    </w:p>
    <w:p w:rsidR="003E022D" w:rsidRDefault="007D19D6">
      <w:pPr>
        <w:numPr>
          <w:ilvl w:val="0"/>
          <w:numId w:val="1272"/>
        </w:numPr>
        <w:ind w:left="567" w:hanging="567"/>
        <w:rPr>
          <w:noProof/>
          <w:lang w:val="de-DE"/>
        </w:rPr>
      </w:pPr>
      <w:r>
        <w:rPr>
          <w:noProof/>
          <w:lang w:val="de-DE"/>
        </w:rPr>
        <w:t>var sniegt ieteikumus Partnerības padomei.</w:t>
      </w:r>
    </w:p>
    <w:p w:rsidR="003E022D" w:rsidRDefault="007D19D6">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INST.6. pants Pilsoniskās sabiedrības iesaiste</w:t>
      </w:r>
    </w:p>
    <w:p w:rsidR="003E022D" w:rsidRDefault="007D19D6">
      <w:pPr>
        <w:rPr>
          <w:noProof/>
          <w:lang w:val="de-DE"/>
        </w:rPr>
      </w:pPr>
      <w:r>
        <w:rPr>
          <w:noProof/>
          <w:lang w:val="de-DE"/>
        </w:rPr>
        <w:t>Puses apspriežas ar pilsonisko sabiedrību par šā nolīguma un jebkura papildinošā nolīguma īstenoš</w:t>
      </w:r>
      <w:r>
        <w:rPr>
          <w:noProof/>
          <w:lang w:val="de-DE"/>
        </w:rPr>
        <w:t xml:space="preserve">anu, jo īpaši sadarbojoties ar vietējām konsultantu grupām un Pilsoniskās sabiedrības forumu, kas minēti INST.7. pantā [Vietējās konsultantu grupas] un INST.8. pantā [Pilsoniskās sabiedrības forums].  </w:t>
      </w:r>
    </w:p>
    <w:p w:rsidR="003E022D" w:rsidRDefault="007D19D6">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INST.7. pants Vietējās konsultantu grupas</w:t>
      </w:r>
    </w:p>
    <w:p w:rsidR="003E022D" w:rsidRDefault="007D19D6">
      <w:pPr>
        <w:shd w:val="clear" w:color="auto" w:fill="FFFFFF"/>
        <w:spacing w:line="244" w:lineRule="auto"/>
        <w:rPr>
          <w:noProof/>
          <w:lang w:val="de-DE"/>
        </w:rPr>
      </w:pPr>
      <w:r>
        <w:rPr>
          <w:noProof/>
          <w:lang w:val="de-DE"/>
        </w:rPr>
        <w:t>1.</w:t>
      </w:r>
      <w:r>
        <w:rPr>
          <w:noProof/>
          <w:lang w:val="de-DE"/>
        </w:rPr>
        <w:tab/>
        <w:t>Katra Pus</w:t>
      </w:r>
      <w:r>
        <w:rPr>
          <w:noProof/>
          <w:lang w:val="de-DE"/>
        </w:rPr>
        <w:t>e jautājumos, kurus aptver šis nolīgums un visi papildinošie nolīgumi, apspriežas ar tās jaunizveidoto vai pastāvošo vietējo konsultantu grupu vai grupām, kurās ietilpst neatkarīgu pilsoniskās sabiedrības organizāciju pārstāvji, t. sk. nevalstiskās organiz</w:t>
      </w:r>
      <w:r>
        <w:rPr>
          <w:noProof/>
          <w:lang w:val="de-DE"/>
        </w:rPr>
        <w:t>ācijas, uzņēmēju un darba devēju organizācijas, kā arī arodbiedrības, kas nodarbojas ar ekonomikas, ilgtspējīgas attīstības, sociālajiem, cilvēktiesību, vides un citiem jautājumiem. Katra Puse var sasaukt savu vietējo konsultantu grupu vai grupas dažādos s</w:t>
      </w:r>
      <w:r>
        <w:rPr>
          <w:noProof/>
          <w:lang w:val="de-DE"/>
        </w:rPr>
        <w:t>astāvos, lai apspriestu šā nolīguma vai jebkura papildinoša nolīguma dažādu noteikumu īstenošanu.</w:t>
      </w:r>
    </w:p>
    <w:p w:rsidR="003E022D" w:rsidRDefault="007D19D6">
      <w:pPr>
        <w:shd w:val="clear" w:color="auto" w:fill="FFFFFF"/>
        <w:spacing w:line="244" w:lineRule="auto"/>
        <w:rPr>
          <w:noProof/>
          <w:lang w:val="de-DE"/>
        </w:rPr>
      </w:pPr>
      <w:r>
        <w:rPr>
          <w:noProof/>
          <w:lang w:val="de-DE"/>
        </w:rPr>
        <w:t>2.</w:t>
      </w:r>
      <w:r>
        <w:rPr>
          <w:noProof/>
          <w:lang w:val="de-DE"/>
        </w:rPr>
        <w:tab/>
        <w:t>Katra Puse ņem vērā viedokļus vai ieteikumus, ko sniegusi tās vietējā konsultantu grupa vai grupas. Katras Puses pārstāvji cenšas apspriesties ar savu viet</w:t>
      </w:r>
      <w:r>
        <w:rPr>
          <w:noProof/>
          <w:lang w:val="de-DE"/>
        </w:rPr>
        <w:t>ējo konsultantu grupu vai grupām vismaz reizi gadā. Sanāksmes var rīkot, izmantojot virtuālus līdzekļus.</w:t>
      </w:r>
    </w:p>
    <w:p w:rsidR="003E022D" w:rsidRDefault="007D19D6">
      <w:pPr>
        <w:shd w:val="clear" w:color="auto" w:fill="FFFFFF"/>
        <w:spacing w:line="244" w:lineRule="auto"/>
        <w:rPr>
          <w:noProof/>
          <w:lang w:val="de-DE"/>
        </w:rPr>
      </w:pPr>
      <w:r>
        <w:rPr>
          <w:noProof/>
          <w:lang w:val="de-DE"/>
        </w:rPr>
        <w:t>3.</w:t>
      </w:r>
      <w:r>
        <w:rPr>
          <w:noProof/>
          <w:lang w:val="de-DE"/>
        </w:rPr>
        <w:tab/>
        <w:t>Lai sekmētu sabiedrības informētību par vietējām konsultantu grupām, katra Puse apņemas publicēt to organizāciju sarakstu, kuras piedalās tās vietēj</w:t>
      </w:r>
      <w:r>
        <w:rPr>
          <w:noProof/>
          <w:lang w:val="de-DE"/>
        </w:rPr>
        <w:t>ā konsultantu grupā vai grupās, kā arī šīs grupas vai grupu kontaktpunktu.</w:t>
      </w:r>
    </w:p>
    <w:p w:rsidR="003E022D" w:rsidRDefault="007D19D6">
      <w:pPr>
        <w:shd w:val="clear" w:color="auto" w:fill="FFFFFF"/>
        <w:spacing w:after="160" w:line="244" w:lineRule="auto"/>
        <w:rPr>
          <w:noProof/>
          <w:lang w:val="de-DE"/>
        </w:rPr>
      </w:pPr>
      <w:r>
        <w:rPr>
          <w:noProof/>
          <w:lang w:val="de-DE"/>
        </w:rPr>
        <w:t>4.</w:t>
      </w:r>
      <w:r>
        <w:rPr>
          <w:noProof/>
          <w:lang w:val="de-DE"/>
        </w:rPr>
        <w:tab/>
        <w:t>Puses veicina mijiedarbību starp to attiecīgajām vietējām konsultantu grupām, tai skaitā, ja iespējams, apmainoties ar to vietējo konsultantu grupu dalībnieku kontaktinformāciju.</w:t>
      </w:r>
    </w:p>
    <w:p w:rsidR="003E022D" w:rsidRDefault="007D19D6">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INST.8. pants. Pilsoniskās sabiedrības forums</w:t>
      </w:r>
    </w:p>
    <w:p w:rsidR="003E022D" w:rsidRDefault="007D19D6">
      <w:pPr>
        <w:shd w:val="clear" w:color="auto" w:fill="FFFFFF"/>
        <w:spacing w:line="244" w:lineRule="auto"/>
        <w:rPr>
          <w:noProof/>
          <w:lang w:val="de-DE"/>
        </w:rPr>
      </w:pPr>
      <w:r>
        <w:rPr>
          <w:noProof/>
          <w:lang w:val="de-DE"/>
        </w:rPr>
        <w:t>1.</w:t>
      </w:r>
      <w:r>
        <w:rPr>
          <w:noProof/>
          <w:lang w:val="de-DE"/>
        </w:rPr>
        <w:tab/>
        <w:t>Puses veicina Pilsoniskās sabiedrības foruma organizēšanu, lai risinātu dialogu par šā nolīguma otrās daļas īstenošanu. Partnerības padome pieņem foruma darbības pamatnostādnes.</w:t>
      </w:r>
    </w:p>
    <w:p w:rsidR="003E022D" w:rsidRDefault="007D19D6">
      <w:pPr>
        <w:shd w:val="clear" w:color="auto" w:fill="FFFFFF"/>
        <w:spacing w:line="244" w:lineRule="auto"/>
        <w:rPr>
          <w:noProof/>
          <w:lang w:val="de-DE"/>
        </w:rPr>
      </w:pPr>
      <w:r>
        <w:rPr>
          <w:noProof/>
          <w:lang w:val="de-DE"/>
        </w:rPr>
        <w:t>2.</w:t>
      </w:r>
      <w:r>
        <w:rPr>
          <w:noProof/>
          <w:lang w:val="de-DE"/>
        </w:rPr>
        <w:tab/>
        <w:t>Pilsoniskās sabiedrības f</w:t>
      </w:r>
      <w:r>
        <w:rPr>
          <w:noProof/>
          <w:lang w:val="de-DE"/>
        </w:rPr>
        <w:t>orums notiek vismaz reizi gadā, ja vien Puses nevienojas citādi. Pilsoniskās sabiedrības forums var tikties, izmantojot virtuālus līdzekļus.</w:t>
      </w:r>
    </w:p>
    <w:p w:rsidR="003E022D" w:rsidRDefault="007D19D6">
      <w:pPr>
        <w:spacing w:after="0"/>
        <w:rPr>
          <w:noProof/>
          <w:lang w:val="de-DE"/>
        </w:rPr>
      </w:pPr>
      <w:r>
        <w:rPr>
          <w:noProof/>
          <w:lang w:val="de-DE"/>
        </w:rPr>
        <w:t>3.</w:t>
      </w:r>
      <w:r>
        <w:rPr>
          <w:noProof/>
          <w:lang w:val="de-DE"/>
        </w:rPr>
        <w:tab/>
        <w:t>Pilsoniskās sabiedrības forumā var piedalīties neatkarīgas pilsoniskās sabiedrības organizācijas, kas izveidotas</w:t>
      </w:r>
      <w:r>
        <w:rPr>
          <w:noProof/>
          <w:lang w:val="de-DE"/>
        </w:rPr>
        <w:t xml:space="preserve"> Pušu teritorijā, tostarp INST.7. pantā [Vietējās konsultantu grupas] minēto vietējo konsultantu grupu locekļi. Katra Puse nodrošina līdzsvarotu pārstāvību, tostarp nevalstiskās organizācijas, uzņēmēju un darba devēju organizācijas un arodbiedrības, kas da</w:t>
      </w:r>
      <w:r>
        <w:rPr>
          <w:noProof/>
          <w:lang w:val="de-DE"/>
        </w:rPr>
        <w:t>rbojas ekonomikas, ilgtspējīgas attīstības, sociālajā, cilvēktiesību, vides un citās jomās.</w:t>
      </w:r>
    </w:p>
    <w:p w:rsidR="003E022D" w:rsidRDefault="003E022D">
      <w:pPr>
        <w:spacing w:after="0"/>
        <w:rPr>
          <w:rFonts w:asciiTheme="majorHAnsi" w:hAnsiTheme="majorHAnsi"/>
          <w:noProof/>
          <w:lang w:val="de-DE"/>
        </w:rPr>
      </w:pPr>
    </w:p>
    <w:p w:rsidR="003E022D" w:rsidRDefault="007D19D6">
      <w:pPr>
        <w:spacing w:after="0"/>
        <w:rPr>
          <w:rFonts w:asciiTheme="majorHAnsi" w:hAnsiTheme="majorHAnsi"/>
          <w:noProof/>
          <w:lang w:val="de-DE"/>
        </w:rPr>
      </w:pPr>
      <w:r>
        <w:rPr>
          <w:noProof/>
          <w:lang w:val="de-DE"/>
        </w:rPr>
        <w:br w:type="page"/>
      </w:r>
    </w:p>
    <w:p w:rsidR="003E022D" w:rsidRDefault="007D19D6">
      <w:pPr>
        <w:pStyle w:val="Heading1"/>
        <w:rPr>
          <w:noProof/>
          <w:lang w:val="de-DE"/>
        </w:rPr>
      </w:pPr>
      <w:bookmarkStart w:id="8" w:name="_Toc59988336"/>
      <w:r>
        <w:rPr>
          <w:noProof/>
          <w:lang w:val="de-DE"/>
        </w:rPr>
        <w:t>OTRĀ DAĻA. TIRDZNIECĪBA, TRANSPORTS, ZVEJNIECĪBA UN CITI PASĀKUMI</w:t>
      </w:r>
      <w:bookmarkEnd w:id="8"/>
    </w:p>
    <w:p w:rsidR="003E022D" w:rsidRDefault="007D19D6">
      <w:pPr>
        <w:pStyle w:val="Heading"/>
        <w:rPr>
          <w:rStyle w:val="Heading1Char"/>
          <w:rFonts w:ascii="Calibri" w:hAnsi="Calibri"/>
          <w:b w:val="0"/>
          <w:noProof/>
          <w:lang w:val="de-DE"/>
        </w:rPr>
      </w:pPr>
      <w:bookmarkStart w:id="9" w:name="_Toc59988337"/>
      <w:r>
        <w:rPr>
          <w:noProof/>
          <w:lang w:val="de-DE"/>
        </w:rPr>
        <w:t>PIRMAIS TEMATS. TIRDZNIECĪBA</w:t>
      </w:r>
      <w:bookmarkEnd w:id="9"/>
    </w:p>
    <w:p w:rsidR="003E022D" w:rsidRDefault="007D19D6">
      <w:pPr>
        <w:pStyle w:val="Title1"/>
        <w:rPr>
          <w:noProof/>
          <w:lang w:val="de-DE"/>
        </w:rPr>
      </w:pPr>
      <w:bookmarkStart w:id="10" w:name="_Toc59988338"/>
      <w:r>
        <w:rPr>
          <w:noProof/>
          <w:lang w:val="de-DE"/>
        </w:rPr>
        <w:t>I sadaļa. Preču tirdzniecība</w:t>
      </w:r>
      <w:bookmarkEnd w:id="10"/>
    </w:p>
    <w:p w:rsidR="003E022D" w:rsidRDefault="007D19D6">
      <w:pPr>
        <w:pStyle w:val="Chapter"/>
        <w:rPr>
          <w:noProof/>
          <w:lang w:val="de-DE"/>
        </w:rPr>
      </w:pPr>
      <w:bookmarkStart w:id="11" w:name="_Toc58163372"/>
      <w:r>
        <w:rPr>
          <w:noProof/>
          <w:lang w:val="de-DE"/>
        </w:rPr>
        <w:t xml:space="preserve">1. nodaļa. Valsts režīms un preču </w:t>
      </w:r>
      <w:r>
        <w:rPr>
          <w:noProof/>
          <w:lang w:val="de-DE"/>
        </w:rPr>
        <w:t>tirgus pieejamība (tostarp tirdzniecības aizsardzības instrumenti)</w:t>
      </w:r>
      <w:bookmarkEnd w:id="11"/>
    </w:p>
    <w:p w:rsidR="003E022D" w:rsidRDefault="007D19D6">
      <w:pPr>
        <w:pStyle w:val="Article"/>
        <w:rPr>
          <w:noProof/>
          <w:lang w:val="de-DE"/>
        </w:rPr>
      </w:pPr>
      <w:bookmarkStart w:id="12" w:name="_Toc58163373"/>
      <w:r>
        <w:rPr>
          <w:noProof/>
          <w:lang w:val="de-DE"/>
        </w:rPr>
        <w:t>GOODS.1. pants. Mērķis</w:t>
      </w:r>
      <w:bookmarkEnd w:id="12"/>
    </w:p>
    <w:p w:rsidR="003E022D" w:rsidRDefault="007D19D6">
      <w:pPr>
        <w:rPr>
          <w:rFonts w:cstheme="minorHAnsi"/>
          <w:noProof/>
          <w:lang w:val="de-DE"/>
        </w:rPr>
      </w:pPr>
      <w:r>
        <w:rPr>
          <w:noProof/>
          <w:lang w:val="de-DE"/>
        </w:rPr>
        <w:t>Šīs nodaļas mērķis ir atvieglot preču tirdzniecību starp Pusēm un saglabāt liberalizētu preču tirdzniecību saskaņā ar šā nolīguma noteikumiem.</w:t>
      </w:r>
    </w:p>
    <w:p w:rsidR="003E022D" w:rsidRDefault="007D19D6">
      <w:pPr>
        <w:pStyle w:val="Article"/>
        <w:rPr>
          <w:noProof/>
          <w:lang w:val="de-DE"/>
        </w:rPr>
      </w:pPr>
      <w:bookmarkStart w:id="13" w:name="_Toc58163374"/>
      <w:r>
        <w:rPr>
          <w:noProof/>
          <w:lang w:val="de-DE"/>
        </w:rPr>
        <w:t>GOODS.2. pants. Darbība</w:t>
      </w:r>
      <w:r>
        <w:rPr>
          <w:noProof/>
          <w:lang w:val="de-DE"/>
        </w:rPr>
        <w:t>s joma</w:t>
      </w:r>
      <w:bookmarkEnd w:id="13"/>
    </w:p>
    <w:p w:rsidR="003E022D" w:rsidRDefault="007D19D6">
      <w:pPr>
        <w:rPr>
          <w:rFonts w:cstheme="minorHAnsi"/>
          <w:noProof/>
          <w:lang w:val="de-DE"/>
        </w:rPr>
      </w:pPr>
      <w:r>
        <w:rPr>
          <w:noProof/>
          <w:lang w:val="de-DE"/>
        </w:rPr>
        <w:t>Ja vien nav noteikts citādi, šī nodaļa attiecas uz Puses preču tirdzniecību.</w:t>
      </w:r>
    </w:p>
    <w:p w:rsidR="003E022D" w:rsidRDefault="007D19D6">
      <w:pPr>
        <w:pStyle w:val="Article"/>
        <w:rPr>
          <w:noProof/>
          <w:lang w:val="de-DE"/>
        </w:rPr>
      </w:pPr>
      <w:bookmarkStart w:id="14" w:name="_Toc58163375"/>
      <w:r>
        <w:rPr>
          <w:noProof/>
          <w:lang w:val="de-DE"/>
        </w:rPr>
        <w:t>GOODS.3. pants. Definīcijas</w:t>
      </w:r>
      <w:bookmarkEnd w:id="14"/>
    </w:p>
    <w:p w:rsidR="003E022D" w:rsidRDefault="007D19D6">
      <w:pPr>
        <w:rPr>
          <w:rFonts w:cstheme="minorHAnsi"/>
          <w:noProof/>
          <w:lang w:val="de-DE"/>
        </w:rPr>
      </w:pPr>
      <w:r>
        <w:rPr>
          <w:noProof/>
          <w:lang w:val="de-DE"/>
        </w:rPr>
        <w:t xml:space="preserve">Šajā nodaļā piemēro šādas definīcijas: </w:t>
      </w:r>
    </w:p>
    <w:p w:rsidR="003E022D" w:rsidRDefault="007D19D6">
      <w:pPr>
        <w:numPr>
          <w:ilvl w:val="0"/>
          <w:numId w:val="260"/>
        </w:numPr>
        <w:ind w:left="567" w:hanging="567"/>
        <w:rPr>
          <w:noProof/>
          <w:lang w:val="de-DE"/>
        </w:rPr>
      </w:pPr>
      <w:r>
        <w:rPr>
          <w:noProof/>
          <w:lang w:val="de-DE"/>
        </w:rPr>
        <w:t>“konsulārās formalitātes” ir procedūra, kurā no importētājas Puses konsula eksportētājas Puses teritorij</w:t>
      </w:r>
      <w:r>
        <w:rPr>
          <w:noProof/>
          <w:lang w:val="de-DE"/>
        </w:rPr>
        <w:t xml:space="preserve">ā vai trešās puses teritorijā saņem konsulāro rēķinu vai konsulāro vīzu komercrēķinam, izcelsmes sertifikātam, manifestam, nosūtītāja eksporta deklarācijai un citiem muitas dokumentiem saistībā ar preces importu; </w:t>
      </w:r>
    </w:p>
    <w:p w:rsidR="003E022D" w:rsidRDefault="007D19D6">
      <w:pPr>
        <w:numPr>
          <w:ilvl w:val="0"/>
          <w:numId w:val="260"/>
        </w:numPr>
        <w:ind w:left="567" w:hanging="567"/>
        <w:rPr>
          <w:noProof/>
          <w:lang w:val="de-DE"/>
        </w:rPr>
      </w:pPr>
      <w:r>
        <w:rPr>
          <w:noProof/>
          <w:lang w:val="de-DE"/>
        </w:rPr>
        <w:t xml:space="preserve">“Nolīgums par muitas vērtības noteikšanu” </w:t>
      </w:r>
      <w:r>
        <w:rPr>
          <w:noProof/>
          <w:lang w:val="de-DE"/>
        </w:rPr>
        <w:t xml:space="preserve">ir nolīgums par </w:t>
      </w:r>
      <w:r>
        <w:rPr>
          <w:i/>
          <w:noProof/>
          <w:lang w:val="de-DE"/>
        </w:rPr>
        <w:t>GATT</w:t>
      </w:r>
      <w:r>
        <w:rPr>
          <w:noProof/>
          <w:lang w:val="de-DE"/>
        </w:rPr>
        <w:t xml:space="preserve"> 1994 VII panta īstenošanu; </w:t>
      </w:r>
    </w:p>
    <w:p w:rsidR="003E022D" w:rsidRDefault="007D19D6">
      <w:pPr>
        <w:numPr>
          <w:ilvl w:val="0"/>
          <w:numId w:val="260"/>
        </w:numPr>
        <w:ind w:left="567" w:hanging="567"/>
        <w:rPr>
          <w:noProof/>
          <w:lang w:val="de-DE"/>
        </w:rPr>
      </w:pPr>
      <w:r>
        <w:rPr>
          <w:noProof/>
          <w:lang w:val="de-DE"/>
        </w:rPr>
        <w:t>“eksporta licencēšanas procedūra” ir administratīva procedūra, kura tiek vai netiek saukta par licencēšanu un kuru Puse izmanto eksporta licencēšanas režīmu darbībā, kā priekšnoteikumu eksportam no minētās P</w:t>
      </w:r>
      <w:r>
        <w:rPr>
          <w:noProof/>
          <w:lang w:val="de-DE"/>
        </w:rPr>
        <w:t>uses pieprasot iesniegt attiecīgajai administratīvajai iestādei pieteikumu vai citus dokumentus, kas nav muitošanai parasti nepieciešamie dokumenti;</w:t>
      </w:r>
    </w:p>
    <w:p w:rsidR="003E022D" w:rsidRDefault="007D19D6">
      <w:pPr>
        <w:numPr>
          <w:ilvl w:val="0"/>
          <w:numId w:val="260"/>
        </w:numPr>
        <w:ind w:left="567" w:hanging="567"/>
        <w:rPr>
          <w:noProof/>
          <w:lang w:val="de-DE"/>
        </w:rPr>
      </w:pPr>
      <w:r>
        <w:rPr>
          <w:noProof/>
          <w:lang w:val="de-DE"/>
        </w:rPr>
        <w:t>“importa licencēšanas procedūra” ir administratīva procedūra, kura tiek vai netiek saukta par licencēšanu u</w:t>
      </w:r>
      <w:r>
        <w:rPr>
          <w:noProof/>
          <w:lang w:val="de-DE"/>
        </w:rPr>
        <w:t>n kuru Puse izmanto importa licencēšanas režīmu darbībā, kā priekšnoteikumu importa veikšanai importētājas Puses teritorijā pieprasot iesniegt attiecīgajai administratīvajai struktūrai vai struktūrām pieteikumu vai citus dokumentus, kas nav muitošanai para</w:t>
      </w:r>
      <w:r>
        <w:rPr>
          <w:noProof/>
          <w:lang w:val="de-DE"/>
        </w:rPr>
        <w:t xml:space="preserve">sti nepieciešamie dokumenti; </w:t>
      </w:r>
    </w:p>
    <w:p w:rsidR="003E022D" w:rsidRDefault="007D19D6">
      <w:pPr>
        <w:numPr>
          <w:ilvl w:val="0"/>
          <w:numId w:val="260"/>
        </w:numPr>
        <w:ind w:left="567" w:hanging="567"/>
        <w:rPr>
          <w:noProof/>
          <w:lang w:val="de-DE"/>
        </w:rPr>
      </w:pPr>
      <w:r>
        <w:rPr>
          <w:noProof/>
          <w:lang w:val="de-DE"/>
        </w:rPr>
        <w:t>“noteiktas izcelsmes preces”, ja vien nav noteikts citādi, ir preces, kas atbilst šīs sadaļas 2. nodaļā [Izcelsmes noteikumi] izklāstītajiem izcelsmes noteikumiem;</w:t>
      </w:r>
    </w:p>
    <w:p w:rsidR="003E022D" w:rsidRDefault="007D19D6">
      <w:pPr>
        <w:numPr>
          <w:ilvl w:val="0"/>
          <w:numId w:val="260"/>
        </w:numPr>
        <w:ind w:left="567" w:hanging="567"/>
        <w:rPr>
          <w:noProof/>
          <w:lang w:val="de-DE"/>
        </w:rPr>
      </w:pPr>
      <w:r>
        <w:rPr>
          <w:noProof/>
          <w:lang w:val="de-DE"/>
        </w:rPr>
        <w:t xml:space="preserve">“veiktspējas prasība” ir prasība, kas: </w:t>
      </w:r>
    </w:p>
    <w:p w:rsidR="003E022D" w:rsidRDefault="007D19D6">
      <w:pPr>
        <w:numPr>
          <w:ilvl w:val="0"/>
          <w:numId w:val="275"/>
        </w:numPr>
        <w:ind w:left="1276" w:hanging="567"/>
        <w:rPr>
          <w:noProof/>
          <w:lang w:val="de-DE"/>
        </w:rPr>
      </w:pPr>
      <w:r>
        <w:rPr>
          <w:noProof/>
          <w:lang w:val="de-DE"/>
        </w:rPr>
        <w:t>nosaka, ka tiek ekspor</w:t>
      </w:r>
      <w:r>
        <w:rPr>
          <w:noProof/>
          <w:lang w:val="de-DE"/>
        </w:rPr>
        <w:t>tētas preces noteiktā daudzumā, vērtībā vai procentuālā apjomā;</w:t>
      </w:r>
    </w:p>
    <w:p w:rsidR="003E022D" w:rsidRDefault="007D19D6">
      <w:pPr>
        <w:numPr>
          <w:ilvl w:val="0"/>
          <w:numId w:val="275"/>
        </w:numPr>
        <w:ind w:left="1276" w:hanging="567"/>
        <w:rPr>
          <w:noProof/>
          <w:lang w:val="de-DE"/>
        </w:rPr>
      </w:pPr>
      <w:r>
        <w:rPr>
          <w:noProof/>
          <w:lang w:val="de-DE"/>
        </w:rPr>
        <w:t xml:space="preserve">nosaka, ka Puses, kura piešķīrusi importa licenci, preces tiek aizstātas ar importētām precēm; </w:t>
      </w:r>
    </w:p>
    <w:p w:rsidR="003E022D" w:rsidRDefault="007D19D6">
      <w:pPr>
        <w:numPr>
          <w:ilvl w:val="0"/>
          <w:numId w:val="275"/>
        </w:numPr>
        <w:ind w:left="1276" w:hanging="567"/>
        <w:rPr>
          <w:noProof/>
          <w:lang w:val="de-DE"/>
        </w:rPr>
      </w:pPr>
      <w:r>
        <w:rPr>
          <w:noProof/>
          <w:lang w:val="de-DE"/>
        </w:rPr>
        <w:t>nosaka, ka persona, kas saņēmusi importa licenci, iegādājas citas preces tās Puses teritorijā, k</w:t>
      </w:r>
      <w:r>
        <w:rPr>
          <w:noProof/>
          <w:lang w:val="de-DE"/>
        </w:rPr>
        <w:t xml:space="preserve">ura piešķīrusi importa licenci, vai tiek piešķirts labvēlības režīms attiecībā uz vietējā ražojuma precēm; </w:t>
      </w:r>
    </w:p>
    <w:p w:rsidR="003E022D" w:rsidRDefault="007D19D6">
      <w:pPr>
        <w:numPr>
          <w:ilvl w:val="0"/>
          <w:numId w:val="275"/>
        </w:numPr>
        <w:ind w:left="1276" w:hanging="567"/>
        <w:rPr>
          <w:noProof/>
          <w:lang w:val="de-DE"/>
        </w:rPr>
      </w:pPr>
      <w:r>
        <w:rPr>
          <w:noProof/>
          <w:lang w:val="de-DE"/>
        </w:rPr>
        <w:t>nosaka, ka persona, kas saņēmusi importa licenci, ražo preces, noteiktā daudzumā, vērtībā vai procentuālā apjomā izmantojot vietējos resursus, tās P</w:t>
      </w:r>
      <w:r>
        <w:rPr>
          <w:noProof/>
          <w:lang w:val="de-DE"/>
        </w:rPr>
        <w:t xml:space="preserve">uses teritorijā, kura piešķīrusi importa licenci, vai </w:t>
      </w:r>
    </w:p>
    <w:p w:rsidR="003E022D" w:rsidRDefault="007D19D6">
      <w:pPr>
        <w:numPr>
          <w:ilvl w:val="0"/>
          <w:numId w:val="275"/>
        </w:numPr>
        <w:ind w:left="1276" w:hanging="567"/>
        <w:rPr>
          <w:noProof/>
          <w:lang w:val="de-DE"/>
        </w:rPr>
      </w:pPr>
      <w:r>
        <w:rPr>
          <w:noProof/>
          <w:lang w:val="de-DE"/>
        </w:rPr>
        <w:t>jebkādā veidā ir saistīta ar importa apjomu vai vērtību, ar eksporta apjomu vai vērtību vai ar ārvalstu valūtas plūsmu summu;</w:t>
      </w:r>
    </w:p>
    <w:p w:rsidR="003E022D" w:rsidRDefault="007D19D6">
      <w:pPr>
        <w:numPr>
          <w:ilvl w:val="0"/>
          <w:numId w:val="260"/>
        </w:numPr>
        <w:ind w:left="567" w:hanging="567"/>
        <w:rPr>
          <w:noProof/>
        </w:rPr>
      </w:pPr>
      <w:r>
        <w:rPr>
          <w:noProof/>
        </w:rPr>
        <w:t>“atjaunota prece” ir HS 32., 40., 84.–90., 94. vai 95. nodaļā klasificēta p</w:t>
      </w:r>
      <w:r>
        <w:rPr>
          <w:noProof/>
        </w:rPr>
        <w:t xml:space="preserve">rece, kas: </w:t>
      </w:r>
    </w:p>
    <w:p w:rsidR="003E022D" w:rsidRDefault="007D19D6">
      <w:pPr>
        <w:numPr>
          <w:ilvl w:val="1"/>
          <w:numId w:val="260"/>
        </w:numPr>
        <w:ind w:left="1276" w:hanging="567"/>
        <w:rPr>
          <w:noProof/>
        </w:rPr>
      </w:pPr>
      <w:r>
        <w:rPr>
          <w:noProof/>
        </w:rPr>
        <w:t xml:space="preserve">pilnībā vai daļēji sastāv no daļām, kuras iegūtas no izmantotām precēm; </w:t>
      </w:r>
    </w:p>
    <w:p w:rsidR="003E022D" w:rsidRDefault="007D19D6">
      <w:pPr>
        <w:numPr>
          <w:ilvl w:val="1"/>
          <w:numId w:val="260"/>
        </w:numPr>
        <w:ind w:left="1276" w:hanging="567"/>
        <w:rPr>
          <w:noProof/>
        </w:rPr>
      </w:pPr>
      <w:r>
        <w:rPr>
          <w:noProof/>
        </w:rPr>
        <w:t xml:space="preserve">ir ar līdzīgu paredzamo darbības ilgumu un rādītājiem, salīdzinot ar šādām jaunām precēm, un </w:t>
      </w:r>
    </w:p>
    <w:p w:rsidR="003E022D" w:rsidRDefault="007D19D6">
      <w:pPr>
        <w:numPr>
          <w:ilvl w:val="1"/>
          <w:numId w:val="260"/>
        </w:numPr>
        <w:ind w:left="1276" w:hanging="567"/>
        <w:rPr>
          <w:noProof/>
        </w:rPr>
      </w:pPr>
      <w:r>
        <w:rPr>
          <w:noProof/>
        </w:rPr>
        <w:t xml:space="preserve">ir ar līdzvērtīgu garantijas aizsardzību, kādu piemēro šādām jaunām precēm; </w:t>
      </w:r>
      <w:r>
        <w:rPr>
          <w:noProof/>
        </w:rPr>
        <w:t>un</w:t>
      </w:r>
    </w:p>
    <w:p w:rsidR="003E022D" w:rsidRDefault="007D19D6">
      <w:pPr>
        <w:numPr>
          <w:ilvl w:val="0"/>
          <w:numId w:val="260"/>
        </w:numPr>
        <w:ind w:left="567" w:hanging="567"/>
        <w:rPr>
          <w:noProof/>
        </w:rPr>
      </w:pPr>
      <w:r>
        <w:rPr>
          <w:noProof/>
        </w:rPr>
        <w:t>“remonts” ir jebkura apstrādes darbība, ko veic ar preci, lai novērstu darbības defektus vai materiālu bojājumu, un kas ietver preces atjaunošanu līdz tās sākotnējai funkcijai vai ar mērķi nodrošināt atbilstību tās lietošanas tehniskajām prasībām. Prece</w:t>
      </w:r>
      <w:r>
        <w:rPr>
          <w:noProof/>
        </w:rPr>
        <w:t xml:space="preserve">s remonts ietver atjaunošanu un apkopi ar iespējamu preces vērtības pieaugumu, atjaunojot minētās preces sākotnējo funkcionalitāti, bet neietver darbību vai procesu, kas: </w:t>
      </w:r>
    </w:p>
    <w:p w:rsidR="003E022D" w:rsidRDefault="007D19D6">
      <w:pPr>
        <w:numPr>
          <w:ilvl w:val="1"/>
          <w:numId w:val="260"/>
        </w:numPr>
        <w:ind w:left="1276" w:hanging="567"/>
        <w:rPr>
          <w:noProof/>
        </w:rPr>
      </w:pPr>
      <w:r>
        <w:rPr>
          <w:noProof/>
        </w:rPr>
        <w:t xml:space="preserve">iznīcina preces pamatīpašības vai rada jaunu vai komerciāli atšķirīgu preci; </w:t>
      </w:r>
    </w:p>
    <w:p w:rsidR="003E022D" w:rsidRDefault="007D19D6">
      <w:pPr>
        <w:numPr>
          <w:ilvl w:val="1"/>
          <w:numId w:val="260"/>
        </w:numPr>
        <w:ind w:left="1276" w:hanging="567"/>
        <w:rPr>
          <w:noProof/>
        </w:rPr>
      </w:pPr>
      <w:r>
        <w:rPr>
          <w:noProof/>
        </w:rPr>
        <w:t>pārvei</w:t>
      </w:r>
      <w:r>
        <w:rPr>
          <w:noProof/>
        </w:rPr>
        <w:t xml:space="preserve">do nepabeigtu preci gatavā precē vai </w:t>
      </w:r>
    </w:p>
    <w:p w:rsidR="003E022D" w:rsidRDefault="007D19D6">
      <w:pPr>
        <w:numPr>
          <w:ilvl w:val="1"/>
          <w:numId w:val="260"/>
        </w:numPr>
        <w:ind w:left="1276" w:hanging="567"/>
        <w:rPr>
          <w:noProof/>
        </w:rPr>
      </w:pPr>
      <w:r>
        <w:rPr>
          <w:noProof/>
        </w:rPr>
        <w:t xml:space="preserve">tiek veikts, lai uzlabotu vai paaugstinātu preces tehnisko veiktspēju. </w:t>
      </w:r>
    </w:p>
    <w:p w:rsidR="003E022D" w:rsidRDefault="007D19D6">
      <w:pPr>
        <w:pStyle w:val="Article"/>
        <w:rPr>
          <w:noProof/>
        </w:rPr>
      </w:pPr>
      <w:bookmarkStart w:id="15" w:name="_Toc58163376"/>
      <w:r>
        <w:rPr>
          <w:noProof/>
        </w:rPr>
        <w:t>GOODS.3.A pants. Preču klasifikācija</w:t>
      </w:r>
      <w:bookmarkEnd w:id="15"/>
    </w:p>
    <w:p w:rsidR="003E022D" w:rsidRDefault="007D19D6">
      <w:pPr>
        <w:rPr>
          <w:noProof/>
        </w:rPr>
      </w:pPr>
      <w:r>
        <w:rPr>
          <w:noProof/>
        </w:rPr>
        <w:t>Preču klasifikācija Pušu savstarpējā tirdzniecībā atbilstoši šim nolīgumam ir noteikta katras Puses attiecīga</w:t>
      </w:r>
      <w:r>
        <w:rPr>
          <w:noProof/>
        </w:rPr>
        <w:t xml:space="preserve">jā tarifu nomenklatūrā atbilstoši Harmonizētajai sistēmai. </w:t>
      </w:r>
    </w:p>
    <w:p w:rsidR="003E022D" w:rsidRDefault="007D19D6">
      <w:pPr>
        <w:pStyle w:val="Article"/>
        <w:rPr>
          <w:noProof/>
        </w:rPr>
      </w:pPr>
      <w:bookmarkStart w:id="16" w:name="_Toc58163377"/>
      <w:r>
        <w:rPr>
          <w:noProof/>
        </w:rPr>
        <w:t>GOODS.4. pants. Valsts režīms iekšējo nodokļu un regulējuma jomā</w:t>
      </w:r>
      <w:bookmarkEnd w:id="16"/>
    </w:p>
    <w:p w:rsidR="003E022D" w:rsidRDefault="007D19D6">
      <w:pPr>
        <w:rPr>
          <w:noProof/>
        </w:rPr>
      </w:pPr>
      <w:r>
        <w:rPr>
          <w:noProof/>
        </w:rPr>
        <w:t xml:space="preserve">Katra puse saskaņā ar </w:t>
      </w:r>
      <w:r>
        <w:rPr>
          <w:i/>
          <w:noProof/>
        </w:rPr>
        <w:t>GATT</w:t>
      </w:r>
      <w:r>
        <w:rPr>
          <w:noProof/>
        </w:rPr>
        <w:t> 1994 III pantu, tostarp tā piezīmēm un papildnoteikumiem, nosaka valsts režīmu, ko piemēro otras puses p</w:t>
      </w:r>
      <w:r>
        <w:rPr>
          <w:noProof/>
        </w:rPr>
        <w:t xml:space="preserve">recēm. Tādējādi </w:t>
      </w:r>
      <w:r>
        <w:rPr>
          <w:i/>
          <w:iCs/>
          <w:noProof/>
        </w:rPr>
        <w:t>GATT</w:t>
      </w:r>
      <w:r>
        <w:rPr>
          <w:noProof/>
        </w:rPr>
        <w:t xml:space="preserve"> 1994 III pants un tā piezīmes un papildnoteikumi </w:t>
      </w:r>
      <w:r>
        <w:rPr>
          <w:i/>
          <w:iCs/>
          <w:noProof/>
        </w:rPr>
        <w:t>mutatis mutandis</w:t>
      </w:r>
      <w:r>
        <w:rPr>
          <w:noProof/>
        </w:rPr>
        <w:t xml:space="preserve"> tiek iekļauti šajā nolīgumā un kļūst par tā daļu. </w:t>
      </w:r>
    </w:p>
    <w:p w:rsidR="003E022D" w:rsidRDefault="007D19D6">
      <w:pPr>
        <w:pStyle w:val="Article"/>
        <w:rPr>
          <w:noProof/>
        </w:rPr>
      </w:pPr>
      <w:bookmarkStart w:id="17" w:name="_Toc58163378"/>
      <w:r>
        <w:rPr>
          <w:noProof/>
        </w:rPr>
        <w:t>GOODS.4A. pants. Tranzīta brīvība</w:t>
      </w:r>
      <w:bookmarkEnd w:id="17"/>
    </w:p>
    <w:p w:rsidR="003E022D" w:rsidRDefault="007D19D6">
      <w:pPr>
        <w:rPr>
          <w:noProof/>
          <w:color w:val="00B0F0"/>
        </w:rPr>
      </w:pPr>
      <w:r>
        <w:rPr>
          <w:noProof/>
        </w:rPr>
        <w:t xml:space="preserve">Katra Puse nodrošina tranzīta brīvību caur tās teritoriju, izmantojot starptautiskajam tranzītam vispiemērotākos maršrutus, tranzīta satiksmei uz otras Puses vai jebkuras citas trešās valsts teritoriju vai no tās. Tādējādi </w:t>
      </w:r>
      <w:r>
        <w:rPr>
          <w:i/>
          <w:iCs/>
          <w:noProof/>
        </w:rPr>
        <w:t>GATT</w:t>
      </w:r>
      <w:r>
        <w:rPr>
          <w:noProof/>
        </w:rPr>
        <w:t xml:space="preserve"> 1994 V pants un tā piezīmes </w:t>
      </w:r>
      <w:r>
        <w:rPr>
          <w:noProof/>
        </w:rPr>
        <w:t xml:space="preserve">un papildnoteikumi </w:t>
      </w:r>
      <w:r>
        <w:rPr>
          <w:i/>
          <w:iCs/>
          <w:noProof/>
        </w:rPr>
        <w:t>mutatis mutandis</w:t>
      </w:r>
      <w:r>
        <w:rPr>
          <w:noProof/>
        </w:rPr>
        <w:t xml:space="preserve"> tiek iekļauti šajā nolīgumā un kļūst par tā daļu. Puses saprot, ka </w:t>
      </w:r>
      <w:r>
        <w:rPr>
          <w:i/>
          <w:noProof/>
        </w:rPr>
        <w:t>GATT</w:t>
      </w:r>
      <w:r>
        <w:rPr>
          <w:noProof/>
        </w:rPr>
        <w:t xml:space="preserve"> 1994 V pants ietver energoproduktu pārvietošanu cita starpā pa cauruļvadiem vai elektrotīkliem. </w:t>
      </w:r>
    </w:p>
    <w:p w:rsidR="003E022D" w:rsidRDefault="007D19D6">
      <w:pPr>
        <w:pStyle w:val="Article"/>
        <w:rPr>
          <w:noProof/>
        </w:rPr>
      </w:pPr>
      <w:bookmarkStart w:id="18" w:name="_Toc58163379"/>
      <w:r>
        <w:rPr>
          <w:noProof/>
        </w:rPr>
        <w:t>GOODS.5. pants. Muitas nodokļu aizliegums</w:t>
      </w:r>
      <w:bookmarkEnd w:id="18"/>
    </w:p>
    <w:p w:rsidR="003E022D" w:rsidRDefault="007D19D6">
      <w:pPr>
        <w:rPr>
          <w:noProof/>
        </w:rPr>
      </w:pPr>
      <w:r>
        <w:rPr>
          <w:noProof/>
        </w:rPr>
        <w:t>Ja vien š</w:t>
      </w:r>
      <w:r>
        <w:rPr>
          <w:noProof/>
        </w:rPr>
        <w:t xml:space="preserve">ajā nolīgumā nav paredzēts citādi, ir aizliegts piemērot muitas nodokļus visām otras Puses izcelsmes precēm. </w:t>
      </w:r>
    </w:p>
    <w:p w:rsidR="003E022D" w:rsidRDefault="007D19D6">
      <w:pPr>
        <w:pStyle w:val="Article"/>
        <w:rPr>
          <w:noProof/>
        </w:rPr>
      </w:pPr>
      <w:bookmarkStart w:id="19" w:name="_Toc58163380"/>
      <w:r>
        <w:rPr>
          <w:noProof/>
        </w:rPr>
        <w:t>GOODS.6. pants. Izvedmuitas nodokļi, citi nodokļi vai maksājumi saistībā ar eksportu</w:t>
      </w:r>
      <w:bookmarkEnd w:id="19"/>
    </w:p>
    <w:p w:rsidR="003E022D" w:rsidRDefault="007D19D6">
      <w:pPr>
        <w:numPr>
          <w:ilvl w:val="0"/>
          <w:numId w:val="261"/>
        </w:numPr>
        <w:ind w:left="0" w:firstLine="0"/>
        <w:rPr>
          <w:noProof/>
        </w:rPr>
      </w:pPr>
      <w:r>
        <w:rPr>
          <w:noProof/>
        </w:rPr>
        <w:t>Puse nevar pieņemt vai saglabāt nekādus  nodokļus vai citus j</w:t>
      </w:r>
      <w:r>
        <w:rPr>
          <w:noProof/>
        </w:rPr>
        <w:t>ebkāda veida maksājumus, ko uzliek kādas preces eksportam uz otru Pusi vai saistībā ar šādu eksportu, ne arī kādu iekšējo nodokli vai citu maksājumu, kuru uzliek uz otru Pusi eksportētai precei un kurš pārsniedz nodokli vai maksājumu, ko piemērotu līdzīgām</w:t>
      </w:r>
      <w:r>
        <w:rPr>
          <w:noProof/>
        </w:rPr>
        <w:t xml:space="preserve"> precēm, ja tās paredzētas iekšzemes patēriņam. </w:t>
      </w:r>
    </w:p>
    <w:p w:rsidR="003E022D" w:rsidRDefault="007D19D6">
      <w:pPr>
        <w:numPr>
          <w:ilvl w:val="0"/>
          <w:numId w:val="261"/>
        </w:numPr>
        <w:ind w:left="0" w:firstLine="0"/>
        <w:rPr>
          <w:noProof/>
        </w:rPr>
      </w:pPr>
      <w:r>
        <w:rPr>
          <w:noProof/>
        </w:rPr>
        <w:t xml:space="preserve">Šajā pantā jēdziens “citi jebkāda veida maksājumi” neietver maksas vai citus maksājumus, kas atļauti saskaņā ar GOODS.7. pantu [Maksas un formalitātes]. </w:t>
      </w:r>
    </w:p>
    <w:p w:rsidR="003E022D" w:rsidRDefault="007D19D6">
      <w:pPr>
        <w:pStyle w:val="Article"/>
        <w:rPr>
          <w:noProof/>
        </w:rPr>
      </w:pPr>
      <w:bookmarkStart w:id="20" w:name="_Toc58163381"/>
      <w:r>
        <w:rPr>
          <w:noProof/>
        </w:rPr>
        <w:t>GOODS.7. pants. Maksas un formalitātes</w:t>
      </w:r>
      <w:bookmarkEnd w:id="20"/>
    </w:p>
    <w:p w:rsidR="003E022D" w:rsidRDefault="007D19D6">
      <w:pPr>
        <w:numPr>
          <w:ilvl w:val="0"/>
          <w:numId w:val="262"/>
        </w:numPr>
        <w:ind w:left="0" w:firstLine="0"/>
        <w:rPr>
          <w:noProof/>
        </w:rPr>
      </w:pPr>
      <w:r>
        <w:rPr>
          <w:noProof/>
        </w:rPr>
        <w:t>Maksas un citi</w:t>
      </w:r>
      <w:r>
        <w:rPr>
          <w:noProof/>
        </w:rPr>
        <w:t xml:space="preserve"> maksājumi, ko kāda Puse uzliek saistībā ar otras Puses preces importu vai eksportu, nepārsniedz sniedzamo pakalpojumu aptuvenās izmaksas un nav paredzēti vietējo preču netiešai aizsardzībai vai importa un eksporta aplikšanai ar nodokli fiskālām vajadzībām</w:t>
      </w:r>
      <w:r>
        <w:rPr>
          <w:noProof/>
        </w:rPr>
        <w:t xml:space="preserve">. Puse neiekasē maksas vai citus maksājumus par importu vai eksportu vai saistībā ar to uz </w:t>
      </w:r>
      <w:r>
        <w:rPr>
          <w:i/>
          <w:iCs/>
          <w:noProof/>
        </w:rPr>
        <w:t>ad valorem</w:t>
      </w:r>
      <w:r>
        <w:rPr>
          <w:noProof/>
        </w:rPr>
        <w:t xml:space="preserve"> pamata.</w:t>
      </w:r>
    </w:p>
    <w:p w:rsidR="003E022D" w:rsidRDefault="007D19D6">
      <w:pPr>
        <w:numPr>
          <w:ilvl w:val="0"/>
          <w:numId w:val="262"/>
        </w:numPr>
        <w:ind w:left="0" w:firstLine="0"/>
        <w:rPr>
          <w:noProof/>
        </w:rPr>
      </w:pPr>
      <w:r>
        <w:rPr>
          <w:noProof/>
        </w:rPr>
        <w:t xml:space="preserve">Katra Puse var noteikt maksājumus vai atgūt izmaksas tikai tad, ja tiek sniegti konkrēti pakalpojumi, jo īpaši, bet ne tikai šādi: </w:t>
      </w:r>
    </w:p>
    <w:p w:rsidR="003E022D" w:rsidRDefault="007D19D6">
      <w:pPr>
        <w:numPr>
          <w:ilvl w:val="0"/>
          <w:numId w:val="263"/>
        </w:numPr>
        <w:ind w:left="567" w:hanging="567"/>
        <w:rPr>
          <w:noProof/>
        </w:rPr>
      </w:pPr>
      <w:r>
        <w:rPr>
          <w:noProof/>
        </w:rPr>
        <w:t>muitas personā</w:t>
      </w:r>
      <w:r>
        <w:rPr>
          <w:noProof/>
        </w:rPr>
        <w:t xml:space="preserve">la ierašanās pēc pieprasījuma ārpus oficiālā darba laika vai telpās, kas nav muitas telpas; </w:t>
      </w:r>
    </w:p>
    <w:p w:rsidR="003E022D" w:rsidRDefault="007D19D6">
      <w:pPr>
        <w:numPr>
          <w:ilvl w:val="0"/>
          <w:numId w:val="263"/>
        </w:numPr>
        <w:ind w:left="567" w:hanging="567"/>
        <w:rPr>
          <w:noProof/>
        </w:rPr>
      </w:pPr>
      <w:r>
        <w:rPr>
          <w:noProof/>
        </w:rPr>
        <w:t xml:space="preserve">analīzes vai ekspertu ziņojumi par precēm un pasta izmaksas par preču atdošanu pieteikuma iesniedzējam, jo īpaši attiecībā uz lēmumiem par saistošu izziņu vai informācijas sniegšanu par muitas normatīvo aktu piemērošanu; </w:t>
      </w:r>
    </w:p>
    <w:p w:rsidR="003E022D" w:rsidRDefault="007D19D6">
      <w:pPr>
        <w:numPr>
          <w:ilvl w:val="0"/>
          <w:numId w:val="263"/>
        </w:numPr>
        <w:ind w:left="567" w:hanging="567"/>
        <w:rPr>
          <w:noProof/>
        </w:rPr>
      </w:pPr>
      <w:r>
        <w:rPr>
          <w:noProof/>
        </w:rPr>
        <w:t>preču pārbaude vai paraugu ņemšana</w:t>
      </w:r>
      <w:r>
        <w:rPr>
          <w:noProof/>
        </w:rPr>
        <w:t xml:space="preserve"> pārbaudes nolūkā, vai preču iznīcināšana, ja rodas citas izmaksas, kas nav saistītas ar muitas personāla iesaistīšanu; un</w:t>
      </w:r>
    </w:p>
    <w:p w:rsidR="003E022D" w:rsidRDefault="007D19D6">
      <w:pPr>
        <w:numPr>
          <w:ilvl w:val="0"/>
          <w:numId w:val="263"/>
        </w:numPr>
        <w:ind w:left="567" w:hanging="567"/>
        <w:rPr>
          <w:noProof/>
        </w:rPr>
      </w:pPr>
      <w:r>
        <w:rPr>
          <w:noProof/>
        </w:rPr>
        <w:t>ārkārtas kontroles pasākumi, ja tie ir vajadzīgi sakarā ar preču veidu vai iespējamu risku.</w:t>
      </w:r>
    </w:p>
    <w:p w:rsidR="003E022D" w:rsidRDefault="007D19D6">
      <w:pPr>
        <w:numPr>
          <w:ilvl w:val="0"/>
          <w:numId w:val="262"/>
        </w:numPr>
        <w:ind w:left="0" w:firstLine="0"/>
        <w:rPr>
          <w:noProof/>
        </w:rPr>
      </w:pPr>
      <w:r>
        <w:rPr>
          <w:noProof/>
        </w:rPr>
        <w:t>Katra Puse, izmantojot oficiālu tīmekļa v</w:t>
      </w:r>
      <w:r>
        <w:rPr>
          <w:noProof/>
        </w:rPr>
        <w:t>ietni, nekavējoties publicē visas maksas un maksājumus, ko tā uzliek saistībā ar importu vai eksportu, tādā veidā, lai pārvaldes iestādes, tirgotāji un citas ieinteresētās personas varētu ar tām iepazīties. Minētajā informācijā norāda pamatojumu maksas vai</w:t>
      </w:r>
      <w:r>
        <w:rPr>
          <w:noProof/>
        </w:rPr>
        <w:t xml:space="preserve"> maksājuma uzlikšanai sniegtajam pakalpojumam, atbildīgo iestādi, piemērojamo maksu un maksājumus un norēķinu laiku un kārtību. Jaunas vai grozītas maksas un maksājumus uzliek tikai tad, kad šajā punktā noteiktā informācija ir publiskota un ir brīvi pieeja</w:t>
      </w:r>
      <w:r>
        <w:rPr>
          <w:noProof/>
        </w:rPr>
        <w:t>ma.</w:t>
      </w:r>
    </w:p>
    <w:p w:rsidR="003E022D" w:rsidRDefault="007D19D6">
      <w:pPr>
        <w:numPr>
          <w:ilvl w:val="0"/>
          <w:numId w:val="262"/>
        </w:numPr>
        <w:ind w:left="0" w:firstLine="0"/>
        <w:rPr>
          <w:noProof/>
        </w:rPr>
      </w:pPr>
      <w:r>
        <w:rPr>
          <w:noProof/>
        </w:rPr>
        <w:t>Puse saistībā ar otras Puses preču importu nepiemēro konsulārās formalitātes un ar tām saistītas maksas un maksājumus.</w:t>
      </w:r>
    </w:p>
    <w:p w:rsidR="003E022D" w:rsidRDefault="007D19D6">
      <w:pPr>
        <w:pStyle w:val="Article"/>
        <w:rPr>
          <w:noProof/>
        </w:rPr>
      </w:pPr>
      <w:bookmarkStart w:id="21" w:name="_Toc58163382"/>
      <w:r>
        <w:rPr>
          <w:noProof/>
        </w:rPr>
        <w:t>GOODS.8. pants. Remontētas preces</w:t>
      </w:r>
      <w:bookmarkEnd w:id="21"/>
    </w:p>
    <w:p w:rsidR="003E022D" w:rsidRDefault="007D19D6">
      <w:pPr>
        <w:numPr>
          <w:ilvl w:val="0"/>
          <w:numId w:val="264"/>
        </w:numPr>
        <w:ind w:left="0" w:firstLine="0"/>
        <w:rPr>
          <w:noProof/>
        </w:rPr>
      </w:pPr>
      <w:r>
        <w:rPr>
          <w:noProof/>
        </w:rPr>
        <w:t>Puse nepiemēro muitas nodokli precei, neatkarīgi no tās izcelsmes, kas tiek ievesta atpakaļ Puses t</w:t>
      </w:r>
      <w:r>
        <w:rPr>
          <w:noProof/>
        </w:rPr>
        <w:t xml:space="preserve">eritorijā pēc tam, kad prece ir bijusi uz laiku izvesta no tās teritorijas uz otras Puses teritoriju remontam. </w:t>
      </w:r>
    </w:p>
    <w:p w:rsidR="003E022D" w:rsidRDefault="007D19D6">
      <w:pPr>
        <w:numPr>
          <w:ilvl w:val="0"/>
          <w:numId w:val="264"/>
        </w:numPr>
        <w:ind w:left="0" w:firstLine="0"/>
        <w:rPr>
          <w:noProof/>
        </w:rPr>
      </w:pPr>
      <w:r>
        <w:rPr>
          <w:noProof/>
        </w:rPr>
        <w:t>Šā panta 1. punktu nepiemēro tādām precēm, kas ievestas muitas noliktavās, brīvās tirdzniecības zonās vai ar līdzīgu statusu un ko pēc tam izved</w:t>
      </w:r>
      <w:r>
        <w:rPr>
          <w:noProof/>
        </w:rPr>
        <w:t xml:space="preserve"> remontam un neieved atpakaļ muitas noliktavās, brīvās tirdzniecības zonās vai ar līdzīgu statusu. </w:t>
      </w:r>
    </w:p>
    <w:p w:rsidR="003E022D" w:rsidRDefault="007D19D6">
      <w:pPr>
        <w:numPr>
          <w:ilvl w:val="0"/>
          <w:numId w:val="264"/>
        </w:numPr>
        <w:ind w:left="0" w:firstLine="0"/>
        <w:rPr>
          <w:noProof/>
        </w:rPr>
      </w:pPr>
      <w:r>
        <w:rPr>
          <w:noProof/>
        </w:rPr>
        <w:t xml:space="preserve">Puse nepiemēro muitas nodokli precei, neatkarīgi no tās izcelsmes, kas uz laiku importēta no otras Puses teritorijas remonta nolūkā. </w:t>
      </w:r>
    </w:p>
    <w:p w:rsidR="003E022D" w:rsidRDefault="007D19D6">
      <w:pPr>
        <w:pStyle w:val="Article"/>
        <w:rPr>
          <w:noProof/>
        </w:rPr>
      </w:pPr>
      <w:bookmarkStart w:id="22" w:name="_Toc58163383"/>
      <w:r>
        <w:rPr>
          <w:noProof/>
        </w:rPr>
        <w:t>GOODS.9. pants. Atjaun</w:t>
      </w:r>
      <w:r>
        <w:rPr>
          <w:noProof/>
        </w:rPr>
        <w:t>otas preces</w:t>
      </w:r>
      <w:bookmarkEnd w:id="22"/>
    </w:p>
    <w:p w:rsidR="003E022D" w:rsidRDefault="007D19D6">
      <w:pPr>
        <w:numPr>
          <w:ilvl w:val="0"/>
          <w:numId w:val="265"/>
        </w:numPr>
        <w:ind w:left="0" w:firstLine="0"/>
        <w:rPr>
          <w:noProof/>
        </w:rPr>
      </w:pPr>
      <w:r>
        <w:rPr>
          <w:noProof/>
        </w:rPr>
        <w:t xml:space="preserve">Puse nepiešķir otras Puses atjaunotām precēm mazāk labvēlīgu režīmu par to, kādu tā piešķir līdzvērtīgām jaunām precēm. </w:t>
      </w:r>
    </w:p>
    <w:p w:rsidR="003E022D" w:rsidRDefault="007D19D6">
      <w:pPr>
        <w:numPr>
          <w:ilvl w:val="0"/>
          <w:numId w:val="265"/>
        </w:numPr>
        <w:ind w:left="0" w:firstLine="0"/>
        <w:rPr>
          <w:noProof/>
        </w:rPr>
      </w:pPr>
      <w:r>
        <w:rPr>
          <w:noProof/>
        </w:rPr>
        <w:t>GOODS.10. pants [Importa un eksporta ierobežojumi] attiecas uz importa un eksporta aizliegumiem vai ierobežojumiem saistībā</w:t>
      </w:r>
      <w:r>
        <w:rPr>
          <w:noProof/>
        </w:rPr>
        <w:t xml:space="preserve"> ar atjaunotām precēm. Ja kāda Puse pieņem vai saglabā importa vai eksporta aizliegumus vai ierobežojumus saistībā ar lietotām precēm, tā nepiemēro šos pasākumus atjaunotām precēm. </w:t>
      </w:r>
    </w:p>
    <w:p w:rsidR="003E022D" w:rsidRDefault="007D19D6">
      <w:pPr>
        <w:numPr>
          <w:ilvl w:val="0"/>
          <w:numId w:val="265"/>
        </w:numPr>
        <w:ind w:left="0" w:firstLine="0"/>
        <w:rPr>
          <w:noProof/>
        </w:rPr>
      </w:pPr>
      <w:r>
        <w:rPr>
          <w:noProof/>
        </w:rPr>
        <w:t>Puse var pieprasīt, lai atjaunotas preces tiktu identificētas kā tādas izp</w:t>
      </w:r>
      <w:r>
        <w:rPr>
          <w:noProof/>
        </w:rPr>
        <w:t xml:space="preserve">latīšanai vai pārdošanai tās teritorijā un lai tās atbilstu visām piemērojamajām tehniskajām prasībām, kas attiecas uz līdzvērtīgām jaunām precēm. </w:t>
      </w:r>
    </w:p>
    <w:p w:rsidR="003E022D" w:rsidRDefault="007D19D6">
      <w:pPr>
        <w:pStyle w:val="Article"/>
        <w:rPr>
          <w:noProof/>
          <w:lang w:val="fr-BE"/>
        </w:rPr>
      </w:pPr>
      <w:bookmarkStart w:id="23" w:name="_Toc58163384"/>
      <w:r>
        <w:rPr>
          <w:noProof/>
          <w:lang w:val="fr-BE"/>
        </w:rPr>
        <w:t>GOODS.10. pants. Importa un eksporta ierobežojumi</w:t>
      </w:r>
      <w:bookmarkEnd w:id="23"/>
    </w:p>
    <w:p w:rsidR="003E022D" w:rsidRDefault="007D19D6">
      <w:pPr>
        <w:numPr>
          <w:ilvl w:val="0"/>
          <w:numId w:val="266"/>
        </w:numPr>
        <w:ind w:left="0" w:firstLine="0"/>
        <w:rPr>
          <w:noProof/>
          <w:color w:val="00B0F0"/>
          <w:lang w:val="fr-BE"/>
        </w:rPr>
      </w:pPr>
      <w:r>
        <w:rPr>
          <w:noProof/>
          <w:lang w:val="fr-BE"/>
        </w:rPr>
        <w:t>Puse nepieņem vai nesaglabā nekādus aizliegumus vai ierobe</w:t>
      </w:r>
      <w:r>
        <w:rPr>
          <w:noProof/>
          <w:lang w:val="fr-BE"/>
        </w:rPr>
        <w:t xml:space="preserve">žojumus, ko piemēro jebkādu otras Puses preču importam vai preču eksportam vai pārdošanai eksportam uz otras Puses teritoriju, izņemot saskaņā ar </w:t>
      </w:r>
      <w:r>
        <w:rPr>
          <w:i/>
          <w:noProof/>
          <w:lang w:val="fr-BE"/>
        </w:rPr>
        <w:t>GATT</w:t>
      </w:r>
      <w:r>
        <w:rPr>
          <w:noProof/>
          <w:lang w:val="fr-BE"/>
        </w:rPr>
        <w:t xml:space="preserve"> 1994 XI pantu un tā piezīmēm un papildnoteikumiem. Tādējādi </w:t>
      </w:r>
      <w:r>
        <w:rPr>
          <w:i/>
          <w:iCs/>
          <w:noProof/>
          <w:lang w:val="fr-BE"/>
        </w:rPr>
        <w:t>GATT</w:t>
      </w:r>
      <w:r>
        <w:rPr>
          <w:noProof/>
          <w:lang w:val="fr-BE"/>
        </w:rPr>
        <w:t> 1994 XI pants un tā piezīmes un papildno</w:t>
      </w:r>
      <w:r>
        <w:rPr>
          <w:noProof/>
          <w:lang w:val="fr-BE"/>
        </w:rPr>
        <w:t xml:space="preserve">teikumi </w:t>
      </w:r>
      <w:r>
        <w:rPr>
          <w:i/>
          <w:iCs/>
          <w:noProof/>
          <w:lang w:val="fr-BE"/>
        </w:rPr>
        <w:t>mutatis mutandis</w:t>
      </w:r>
      <w:r>
        <w:rPr>
          <w:noProof/>
          <w:lang w:val="fr-BE"/>
        </w:rPr>
        <w:t xml:space="preserve"> tiek iekļauti šajā nolīgumā un kļūst par tā daļu. </w:t>
      </w:r>
    </w:p>
    <w:p w:rsidR="003E022D" w:rsidRDefault="007D19D6">
      <w:pPr>
        <w:numPr>
          <w:ilvl w:val="0"/>
          <w:numId w:val="266"/>
        </w:numPr>
        <w:ind w:left="0" w:firstLine="0"/>
        <w:rPr>
          <w:noProof/>
        </w:rPr>
      </w:pPr>
      <w:r>
        <w:rPr>
          <w:noProof/>
        </w:rPr>
        <w:t>Puse nepieņem vai nesaglabā:</w:t>
      </w:r>
    </w:p>
    <w:p w:rsidR="003E022D" w:rsidRDefault="007D19D6">
      <w:pPr>
        <w:numPr>
          <w:ilvl w:val="0"/>
          <w:numId w:val="277"/>
        </w:numPr>
        <w:ind w:left="567" w:hanging="567"/>
        <w:rPr>
          <w:noProof/>
        </w:rPr>
      </w:pPr>
      <w:r>
        <w:rPr>
          <w:noProof/>
        </w:rPr>
        <w:t>eksporta un importa cenu prasības, izņemot tās, kas atļautas kompensācijas un antidempinga maksājumu rīkojumu un saistību izpildē; vai</w:t>
      </w:r>
    </w:p>
    <w:p w:rsidR="003E022D" w:rsidRDefault="007D19D6">
      <w:pPr>
        <w:numPr>
          <w:ilvl w:val="0"/>
          <w:numId w:val="277"/>
        </w:numPr>
        <w:ind w:left="567" w:hanging="567"/>
        <w:rPr>
          <w:noProof/>
        </w:rPr>
      </w:pPr>
      <w:r>
        <w:rPr>
          <w:noProof/>
        </w:rPr>
        <w:t xml:space="preserve">importa licenču </w:t>
      </w:r>
      <w:r>
        <w:rPr>
          <w:noProof/>
        </w:rPr>
        <w:t>izsniegšanu ar nosacījumu par kādas veiktspējas prasības izpildi.</w:t>
      </w:r>
    </w:p>
    <w:p w:rsidR="003E022D" w:rsidRDefault="007D19D6">
      <w:pPr>
        <w:pStyle w:val="Article"/>
        <w:rPr>
          <w:noProof/>
          <w:lang w:val="fr-BE"/>
        </w:rPr>
      </w:pPr>
      <w:bookmarkStart w:id="24" w:name="_Toc58163385"/>
      <w:r>
        <w:rPr>
          <w:noProof/>
          <w:lang w:val="fr-BE"/>
        </w:rPr>
        <w:t>GOODS.11. pants. Importa un eksporta monopoli</w:t>
      </w:r>
      <w:bookmarkEnd w:id="24"/>
    </w:p>
    <w:p w:rsidR="003E022D" w:rsidRDefault="007D19D6">
      <w:pPr>
        <w:rPr>
          <w:noProof/>
          <w:lang w:val="fr-BE"/>
        </w:rPr>
      </w:pPr>
      <w:r>
        <w:rPr>
          <w:noProof/>
          <w:lang w:val="fr-BE"/>
        </w:rPr>
        <w:t>Puse nenosaka vai nesaglabā importa vai eksporta monopolu. Šajā pantā importa vai eksporta monopols ir Puses piešķirtas ekskluzīvas tiesības vai</w:t>
      </w:r>
      <w:r>
        <w:rPr>
          <w:noProof/>
          <w:lang w:val="fr-BE"/>
        </w:rPr>
        <w:t xml:space="preserve"> pilnvarojums kādai vienībai importēt preci no otras Puses vai eksportēt to uz otru Pusi. </w:t>
      </w:r>
    </w:p>
    <w:p w:rsidR="003E022D" w:rsidRDefault="007D19D6">
      <w:pPr>
        <w:pStyle w:val="Article"/>
        <w:rPr>
          <w:noProof/>
        </w:rPr>
      </w:pPr>
      <w:bookmarkStart w:id="25" w:name="_Toc58163386"/>
      <w:r>
        <w:rPr>
          <w:noProof/>
        </w:rPr>
        <w:t>GOODS. 13. pants Importa licencēšanas procedūras</w:t>
      </w:r>
      <w:bookmarkEnd w:id="25"/>
    </w:p>
    <w:p w:rsidR="003E022D" w:rsidRDefault="007D19D6">
      <w:pPr>
        <w:numPr>
          <w:ilvl w:val="0"/>
          <w:numId w:val="267"/>
        </w:numPr>
        <w:ind w:left="0" w:firstLine="0"/>
        <w:rPr>
          <w:rFonts w:cstheme="minorHAnsi"/>
          <w:noProof/>
        </w:rPr>
      </w:pPr>
      <w:r>
        <w:rPr>
          <w:noProof/>
        </w:rPr>
        <w:t xml:space="preserve">Katra Puse nodrošina, ka visas importa licencēšanas procedūras, kas piemērojamas preču tirdzniecībai starp Pusēm, </w:t>
      </w:r>
      <w:r>
        <w:rPr>
          <w:noProof/>
        </w:rPr>
        <w:t>tiek piemērotas neitrāli un pārvaldītas taisnīgi, godīgi, nediskriminējoši un pārredzami.</w:t>
      </w:r>
    </w:p>
    <w:p w:rsidR="003E022D" w:rsidRDefault="007D19D6">
      <w:pPr>
        <w:numPr>
          <w:ilvl w:val="0"/>
          <w:numId w:val="267"/>
        </w:numPr>
        <w:ind w:left="0" w:firstLine="0"/>
        <w:rPr>
          <w:rFonts w:cstheme="minorHAnsi"/>
          <w:noProof/>
        </w:rPr>
      </w:pPr>
      <w:r>
        <w:rPr>
          <w:noProof/>
        </w:rPr>
        <w:t>Puse pieņem vai saglabā licencēšanas procedūras kā nosacījumu importam tās teritorijā no otras Puses, ja kāda administratīva mērķa sasniegšanai nav reāli iespējamas c</w:t>
      </w:r>
      <w:r>
        <w:rPr>
          <w:noProof/>
        </w:rPr>
        <w:t>itas piemērotas procedūras.</w:t>
      </w:r>
    </w:p>
    <w:p w:rsidR="003E022D" w:rsidRDefault="007D19D6">
      <w:pPr>
        <w:numPr>
          <w:ilvl w:val="0"/>
          <w:numId w:val="267"/>
        </w:numPr>
        <w:ind w:left="0" w:firstLine="0"/>
        <w:rPr>
          <w:noProof/>
        </w:rPr>
      </w:pPr>
      <w:r>
        <w:rPr>
          <w:noProof/>
        </w:rPr>
        <w:t>Puse nepieņem un nesaglabā nekādas neautomātiskas importa licencēšanas procedūras, ja vien tās nav nepieciešamas, lai īstenotu kādu ar šo nolīgumu saderīgu pasākumu. Puse, kas pieņem šādu neautomātisku licencēšanas procedūru, sk</w:t>
      </w:r>
      <w:r>
        <w:rPr>
          <w:noProof/>
        </w:rPr>
        <w:t>aidri norāda, kurš pasākums tiek īstenots ar minētās procedūras palīdzību.</w:t>
      </w:r>
    </w:p>
    <w:p w:rsidR="003E022D" w:rsidRDefault="007D19D6">
      <w:pPr>
        <w:numPr>
          <w:ilvl w:val="0"/>
          <w:numId w:val="267"/>
        </w:numPr>
        <w:ind w:left="0" w:firstLine="0"/>
        <w:rPr>
          <w:noProof/>
        </w:rPr>
      </w:pPr>
      <w:r>
        <w:rPr>
          <w:noProof/>
        </w:rPr>
        <w:t>Katra Puse ievieš un administrē visas importa licencēšanas procedūras saskaņā ar PTO Nolīguma par importa licencēšanas procedūrām (“Importa licencēšanas nolīgums”) 1.–3. pantu. Tādē</w:t>
      </w:r>
      <w:r>
        <w:rPr>
          <w:noProof/>
        </w:rPr>
        <w:t xml:space="preserve">ļ Importa licencēšanas nolīguma 1.–3. pants </w:t>
      </w:r>
      <w:r>
        <w:rPr>
          <w:i/>
          <w:noProof/>
        </w:rPr>
        <w:t>mutatis mutandis</w:t>
      </w:r>
      <w:r>
        <w:rPr>
          <w:noProof/>
        </w:rPr>
        <w:t xml:space="preserve"> tiek iekļauts šajā nolīgumā un kļūst par tā daļu.</w:t>
      </w:r>
    </w:p>
    <w:p w:rsidR="003E022D" w:rsidRDefault="007D19D6">
      <w:pPr>
        <w:numPr>
          <w:ilvl w:val="0"/>
          <w:numId w:val="267"/>
        </w:numPr>
        <w:ind w:left="0" w:firstLine="0"/>
        <w:rPr>
          <w:noProof/>
        </w:rPr>
      </w:pPr>
      <w:r>
        <w:rPr>
          <w:noProof/>
        </w:rPr>
        <w:t>Jebkura Puse, kas ievieš vai groza kādu importa licencēšanas procedūru, dara visu attiecīgo informāciju pieejamu tiešsaistē oficiālā tīmekļa viet</w:t>
      </w:r>
      <w:r>
        <w:rPr>
          <w:noProof/>
        </w:rPr>
        <w:t>nē. Ja vien iespējams, minēto informāciju dara pieejamu vismaz 21 dienu pirms jaunās vai grozītās licencēšanas procedūras piemērošanas dienas un jebkurā gadījumā ne vēlāk kā piemērošanas dienā. Minētā informācija ietver datus, kas prasīti saskaņā ar Import</w:t>
      </w:r>
      <w:r>
        <w:rPr>
          <w:noProof/>
        </w:rPr>
        <w:t>a licencēšanas nolīguma 5. pantu.</w:t>
      </w:r>
    </w:p>
    <w:p w:rsidR="003E022D" w:rsidRDefault="007D19D6">
      <w:pPr>
        <w:numPr>
          <w:ilvl w:val="0"/>
          <w:numId w:val="267"/>
        </w:numPr>
        <w:ind w:left="0" w:firstLine="0"/>
        <w:rPr>
          <w:noProof/>
        </w:rPr>
      </w:pPr>
      <w:r>
        <w:rPr>
          <w:noProof/>
        </w:rPr>
        <w:t>Pēc otras Puses pieprasījuma Puse nekavējoties sniedz visu attiecīgo informāciju par visām importa licencēšanas procedūrām, ko tā plāno pieņemt vai saglabā, tostarp informāciju, kas minēta Importa licencēšanas nolīguma 1.–</w:t>
      </w:r>
      <w:r>
        <w:rPr>
          <w:noProof/>
        </w:rPr>
        <w:t>3. pantā.</w:t>
      </w:r>
    </w:p>
    <w:p w:rsidR="003E022D" w:rsidRDefault="007D19D6">
      <w:pPr>
        <w:numPr>
          <w:ilvl w:val="0"/>
          <w:numId w:val="267"/>
        </w:numPr>
        <w:ind w:left="0" w:firstLine="0"/>
        <w:rPr>
          <w:noProof/>
        </w:rPr>
      </w:pPr>
      <w:r>
        <w:rPr>
          <w:noProof/>
        </w:rPr>
        <w:t>Lielākai noteiktībai – nekas šajā pantā neliek kādai Pusei piešķirt importa licenci vai neliedz Pusei īstenot savus pienākumus vai saistības saskaņā ar Apvienoto Nāciju Organizācijas Drošības padomes rezolūcijām vai saskaņā ar daudzpusējiem ieroč</w:t>
      </w:r>
      <w:r>
        <w:rPr>
          <w:noProof/>
        </w:rPr>
        <w:t xml:space="preserve">u neizplatīšanas režīmiem un importa kontroles pasākumiem. </w:t>
      </w:r>
    </w:p>
    <w:p w:rsidR="003E022D" w:rsidRDefault="007D19D6">
      <w:pPr>
        <w:pStyle w:val="Article"/>
        <w:rPr>
          <w:noProof/>
        </w:rPr>
      </w:pPr>
      <w:bookmarkStart w:id="26" w:name="_Toc58163387"/>
      <w:r>
        <w:rPr>
          <w:noProof/>
        </w:rPr>
        <w:t>GOODS. 14. pants Eksporta licencēšanas procedūras</w:t>
      </w:r>
      <w:bookmarkEnd w:id="26"/>
    </w:p>
    <w:p w:rsidR="003E022D" w:rsidRDefault="007D19D6">
      <w:pPr>
        <w:numPr>
          <w:ilvl w:val="0"/>
          <w:numId w:val="268"/>
        </w:numPr>
        <w:ind w:left="0" w:firstLine="0"/>
        <w:rPr>
          <w:rFonts w:cstheme="minorHAnsi"/>
          <w:noProof/>
        </w:rPr>
      </w:pPr>
      <w:r>
        <w:rPr>
          <w:noProof/>
        </w:rPr>
        <w:t>Katra Puse publicē visas jaunās eksporta licencēšanas procedūras vai jebkādas izmaiņas esošajā eksporta licencēšanas procedūrā tā, lai pārvaldes i</w:t>
      </w:r>
      <w:r>
        <w:rPr>
          <w:noProof/>
        </w:rPr>
        <w:t>estādes, tirgotāji un citas ieinteresētās personas varētu ar tām iepazīties. Šāda publicēšana, ja vien iespējams, notiek 45 dienas pirms procedūras vai grozījumu stāšanās spēkā, un jebkurā gadījumā ne vēlāk kā dienā, kad šāda procedūra vai grozījumi stājas</w:t>
      </w:r>
      <w:r>
        <w:rPr>
          <w:noProof/>
        </w:rPr>
        <w:t xml:space="preserve"> spēkā, un attiecīgā gadījumā publicēšana tiek veikta visās attiecīgajās pārvaldes iestāžu tīmekļa vietnēs.</w:t>
      </w:r>
    </w:p>
    <w:p w:rsidR="003E022D" w:rsidRDefault="007D19D6">
      <w:pPr>
        <w:numPr>
          <w:ilvl w:val="0"/>
          <w:numId w:val="268"/>
        </w:numPr>
        <w:ind w:left="0" w:firstLine="0"/>
        <w:rPr>
          <w:rFonts w:cstheme="minorHAnsi"/>
          <w:noProof/>
        </w:rPr>
      </w:pPr>
      <w:r>
        <w:rPr>
          <w:noProof/>
        </w:rPr>
        <w:t>Publicējot eksporta licencēšanas procedūras, norāda šādu informāciju:</w:t>
      </w:r>
    </w:p>
    <w:p w:rsidR="003E022D" w:rsidRDefault="007D19D6">
      <w:pPr>
        <w:numPr>
          <w:ilvl w:val="0"/>
          <w:numId w:val="269"/>
        </w:numPr>
        <w:ind w:left="567" w:hanging="567"/>
        <w:rPr>
          <w:rFonts w:cstheme="minorHAnsi"/>
          <w:noProof/>
        </w:rPr>
      </w:pPr>
      <w:r>
        <w:rPr>
          <w:noProof/>
        </w:rPr>
        <w:t>eksporta licencēšanas procedūru teksti vai jebkuri grozījumi, kas tiek izdarīt</w:t>
      </w:r>
      <w:r>
        <w:rPr>
          <w:noProof/>
        </w:rPr>
        <w:t xml:space="preserve">i šajās procedūrās; </w:t>
      </w:r>
    </w:p>
    <w:p w:rsidR="003E022D" w:rsidRDefault="007D19D6">
      <w:pPr>
        <w:numPr>
          <w:ilvl w:val="0"/>
          <w:numId w:val="269"/>
        </w:numPr>
        <w:ind w:left="567" w:hanging="567"/>
        <w:rPr>
          <w:rFonts w:cstheme="minorHAnsi"/>
          <w:noProof/>
        </w:rPr>
      </w:pPr>
      <w:r>
        <w:rPr>
          <w:noProof/>
        </w:rPr>
        <w:t xml:space="preserve">preces, uz kurām katra licencēšanas procedūra attiecas; </w:t>
      </w:r>
    </w:p>
    <w:p w:rsidR="003E022D" w:rsidRDefault="007D19D6">
      <w:pPr>
        <w:numPr>
          <w:ilvl w:val="0"/>
          <w:numId w:val="269"/>
        </w:numPr>
        <w:ind w:left="567" w:hanging="567"/>
        <w:rPr>
          <w:rFonts w:cstheme="minorHAnsi"/>
          <w:noProof/>
        </w:rPr>
      </w:pPr>
      <w:r>
        <w:rPr>
          <w:noProof/>
        </w:rPr>
        <w:t>attiecībā uz katru procedūru – procesa apraksts, kā pieteikties licences saņemšanai, un visi kritēriji, kas jāizpilda pieteikuma iesniedzējam, lai tas būtu tiesīgs pieteikties li</w:t>
      </w:r>
      <w:r>
        <w:rPr>
          <w:noProof/>
        </w:rPr>
        <w:t>cences saņemšanai, piemēram, darbības licence, investīciju veikšana vai uzturēšana vai darbība, izmantojot konkrētu uzņēmējdarbības formu kādas Puses teritorijā;</w:t>
      </w:r>
    </w:p>
    <w:p w:rsidR="003E022D" w:rsidRDefault="007D19D6">
      <w:pPr>
        <w:numPr>
          <w:ilvl w:val="0"/>
          <w:numId w:val="269"/>
        </w:numPr>
        <w:ind w:left="567" w:hanging="567"/>
        <w:rPr>
          <w:rFonts w:cstheme="minorHAnsi"/>
          <w:noProof/>
        </w:rPr>
      </w:pPr>
      <w:r>
        <w:rPr>
          <w:noProof/>
        </w:rPr>
        <w:t>kontaktpunkts vai punkti, kuros ieinteresētās personas var saņemt papildu informāciju par nosa</w:t>
      </w:r>
      <w:r>
        <w:rPr>
          <w:noProof/>
        </w:rPr>
        <w:t xml:space="preserve">cījumiem eksporta licences saņemšanai; </w:t>
      </w:r>
    </w:p>
    <w:p w:rsidR="003E022D" w:rsidRDefault="007D19D6">
      <w:pPr>
        <w:numPr>
          <w:ilvl w:val="0"/>
          <w:numId w:val="269"/>
        </w:numPr>
        <w:ind w:left="567" w:hanging="567"/>
        <w:rPr>
          <w:rFonts w:cstheme="minorHAnsi"/>
          <w:noProof/>
        </w:rPr>
      </w:pPr>
      <w:r>
        <w:rPr>
          <w:noProof/>
        </w:rPr>
        <w:t xml:space="preserve">administratīvā struktūra vai struktūras, kurās jāiesniedz pieteikums un citi attiecīgie dokumenti; </w:t>
      </w:r>
    </w:p>
    <w:p w:rsidR="003E022D" w:rsidRDefault="007D19D6">
      <w:pPr>
        <w:numPr>
          <w:ilvl w:val="0"/>
          <w:numId w:val="269"/>
        </w:numPr>
        <w:ind w:left="567" w:hanging="567"/>
        <w:rPr>
          <w:noProof/>
        </w:rPr>
      </w:pPr>
      <w:r>
        <w:rPr>
          <w:noProof/>
        </w:rPr>
        <w:t xml:space="preserve">jebkura tāda pasākuma vai pasākumu apraksts, ko īsteno, izmantojot eksporta licencēšanas procedūru;  </w:t>
      </w:r>
    </w:p>
    <w:p w:rsidR="003E022D" w:rsidRDefault="007D19D6">
      <w:pPr>
        <w:numPr>
          <w:ilvl w:val="0"/>
          <w:numId w:val="269"/>
        </w:numPr>
        <w:ind w:left="567" w:hanging="567"/>
        <w:rPr>
          <w:noProof/>
        </w:rPr>
      </w:pPr>
      <w:r>
        <w:rPr>
          <w:noProof/>
        </w:rPr>
        <w:t>laika posmu, k</w:t>
      </w:r>
      <w:r>
        <w:rPr>
          <w:noProof/>
        </w:rPr>
        <w:t>urā katra eksporta licencēšanas procedūra būs spēkā, ja vien šī procedūra nepaliek spēkā, līdz tā tiks atsaukta vai pārskatīta jaunā publikācijā;</w:t>
      </w:r>
    </w:p>
    <w:p w:rsidR="003E022D" w:rsidRDefault="007D19D6">
      <w:pPr>
        <w:numPr>
          <w:ilvl w:val="0"/>
          <w:numId w:val="269"/>
        </w:numPr>
        <w:ind w:left="567" w:hanging="567"/>
        <w:rPr>
          <w:noProof/>
        </w:rPr>
      </w:pPr>
      <w:r>
        <w:rPr>
          <w:noProof/>
        </w:rPr>
        <w:t>ja Puse grasās izmantot licencēšanas procedūru eksporta kvotas administrēšanai – kopējais daudzums un attiecīg</w:t>
      </w:r>
      <w:r>
        <w:rPr>
          <w:noProof/>
        </w:rPr>
        <w:t>ā gadījumā kvotas vērtība un kvotas sākuma un beigu datums, un</w:t>
      </w:r>
    </w:p>
    <w:p w:rsidR="003E022D" w:rsidRDefault="007D19D6">
      <w:pPr>
        <w:numPr>
          <w:ilvl w:val="0"/>
          <w:numId w:val="269"/>
        </w:numPr>
        <w:ind w:left="567" w:hanging="567"/>
        <w:rPr>
          <w:noProof/>
        </w:rPr>
      </w:pPr>
      <w:r>
        <w:rPr>
          <w:noProof/>
        </w:rPr>
        <w:t>visi atbrīvojumi vai izņēmumi, kas aizstāj prasību saņemt eksporta licenci, informācija, kā pieprasīt vai izmantot šos atbrīvojumus vai izņēmumus un to piešķiršanas kritēriji.</w:t>
      </w:r>
    </w:p>
    <w:p w:rsidR="003E022D" w:rsidRDefault="007D19D6">
      <w:pPr>
        <w:numPr>
          <w:ilvl w:val="0"/>
          <w:numId w:val="268"/>
        </w:numPr>
        <w:ind w:left="0" w:firstLine="0"/>
        <w:rPr>
          <w:noProof/>
        </w:rPr>
      </w:pPr>
      <w:r>
        <w:rPr>
          <w:noProof/>
        </w:rPr>
        <w:t>Katra Puse 45 die</w:t>
      </w:r>
      <w:r>
        <w:rPr>
          <w:noProof/>
        </w:rPr>
        <w:t>nu laikā pēc šā nolīguma stāšanās spēkā paziņo otrai Pusei par tās esošajām eksporta licencēšanas procedūrām. Katra Puse 60 dienu laikā pēc publicēšanas paziņo otrai Pusei par visām jaunām eksporta licencēšanas procedūrām un visiem grozījumiem esošajās eks</w:t>
      </w:r>
      <w:r>
        <w:rPr>
          <w:noProof/>
        </w:rPr>
        <w:t>porta licencēšanas procedūrās. Paziņojumā ietver atsauci uz avotiem, kuros ir publicēta saskaņā ar 2. punktu prasītā informācija, un attiecīgā gadījumā norāda attiecīgo pārvaldes iestāžu tīmekļa vietņu adresi.</w:t>
      </w:r>
    </w:p>
    <w:p w:rsidR="003E022D" w:rsidRDefault="007D19D6">
      <w:pPr>
        <w:numPr>
          <w:ilvl w:val="0"/>
          <w:numId w:val="268"/>
        </w:numPr>
        <w:ind w:left="0" w:firstLine="0"/>
        <w:rPr>
          <w:noProof/>
        </w:rPr>
      </w:pPr>
      <w:r>
        <w:rPr>
          <w:noProof/>
        </w:rPr>
        <w:t>Lielākai noteiktībai – nekas šajā pantā neliek</w:t>
      </w:r>
      <w:r>
        <w:rPr>
          <w:noProof/>
        </w:rPr>
        <w:t xml:space="preserve"> Pusei piešķirt eksporta licenci vai neliedz Pusei īstenot savas saistības saskaņā ar Apvienoto Nāciju Organizācijas Drošības padomes rezolūcijām, kā arī saskaņā ar daudzpusējiem ieroču neizplatīšanas režīmiem un eksporta kontroles pasākumiem, tostarp Vase</w:t>
      </w:r>
      <w:r>
        <w:rPr>
          <w:noProof/>
        </w:rPr>
        <w:t>nāras vienošanos parasto ieroču un divējāda lietojuma preču un tehnoloģiju eksporta kontrolei, Austrālijas grupu, Kodolmateriālu piegādātāju valstu grupu un raķešu tehnoloģiju kontroles režīmu, vai pieņemt, saglabāt vai īstenot neatkarīgus sankciju režīmus</w:t>
      </w:r>
      <w:r>
        <w:rPr>
          <w:noProof/>
        </w:rPr>
        <w:t>.</w:t>
      </w:r>
    </w:p>
    <w:p w:rsidR="003E022D" w:rsidRDefault="007D19D6">
      <w:pPr>
        <w:pStyle w:val="Article"/>
        <w:rPr>
          <w:noProof/>
        </w:rPr>
      </w:pPr>
      <w:bookmarkStart w:id="27" w:name="_Toc58163388"/>
      <w:r>
        <w:rPr>
          <w:noProof/>
        </w:rPr>
        <w:t>GOODS.15. pants. Muitas vērtības noteikšana</w:t>
      </w:r>
      <w:bookmarkEnd w:id="27"/>
    </w:p>
    <w:p w:rsidR="003E022D" w:rsidRDefault="007D19D6">
      <w:pPr>
        <w:rPr>
          <w:noProof/>
        </w:rPr>
      </w:pPr>
      <w:r>
        <w:rPr>
          <w:noProof/>
        </w:rPr>
        <w:t xml:space="preserve">Katra Puse nosaka savā teritorijā importēto otras Puses preču muitas vērtību saskaņā ar </w:t>
      </w:r>
      <w:r>
        <w:rPr>
          <w:i/>
          <w:noProof/>
        </w:rPr>
        <w:t>GATT</w:t>
      </w:r>
      <w:r>
        <w:rPr>
          <w:noProof/>
        </w:rPr>
        <w:t xml:space="preserve"> 1994 VII pantu un Nolīgumu par muitas vērtības noteikšanu. Tādējādi </w:t>
      </w:r>
      <w:r>
        <w:rPr>
          <w:i/>
          <w:noProof/>
        </w:rPr>
        <w:t>GATT</w:t>
      </w:r>
      <w:r>
        <w:rPr>
          <w:noProof/>
        </w:rPr>
        <w:t> 1994 VII pants un tā piezīmes un papildnotei</w:t>
      </w:r>
      <w:r>
        <w:rPr>
          <w:noProof/>
        </w:rPr>
        <w:t xml:space="preserve">kumi un 1.–17. pants Nolīgumā par muitas vērtības noteikšanu, ieskaitot tā skaidrojošās piezīmes, </w:t>
      </w:r>
      <w:r>
        <w:rPr>
          <w:i/>
          <w:noProof/>
        </w:rPr>
        <w:t>mutatis mutandis</w:t>
      </w:r>
      <w:r>
        <w:rPr>
          <w:noProof/>
        </w:rPr>
        <w:t xml:space="preserve"> tiek iekļauti šajā nolīgumā un kļūst par tā daļu.</w:t>
      </w:r>
    </w:p>
    <w:p w:rsidR="003E022D" w:rsidRDefault="007D19D6">
      <w:pPr>
        <w:pStyle w:val="Article"/>
        <w:rPr>
          <w:noProof/>
        </w:rPr>
      </w:pPr>
      <w:bookmarkStart w:id="28" w:name="_Toc58163389"/>
      <w:r>
        <w:rPr>
          <w:noProof/>
        </w:rPr>
        <w:t>GOODS.16. pants. Preferenču izmantošana</w:t>
      </w:r>
      <w:bookmarkEnd w:id="28"/>
    </w:p>
    <w:p w:rsidR="003E022D" w:rsidRDefault="007D19D6">
      <w:pPr>
        <w:numPr>
          <w:ilvl w:val="0"/>
          <w:numId w:val="270"/>
        </w:numPr>
        <w:ind w:left="0" w:firstLine="0"/>
        <w:rPr>
          <w:noProof/>
        </w:rPr>
      </w:pPr>
      <w:r>
        <w:rPr>
          <w:noProof/>
        </w:rPr>
        <w:t xml:space="preserve">Lai uzraudzītu šā nolīguma darbību un aprēķinātu </w:t>
      </w:r>
      <w:r>
        <w:rPr>
          <w:noProof/>
        </w:rPr>
        <w:t xml:space="preserve">preferenču izmantošanas rādītājus, Puses katru gadu apmainās ar importa statistiku par 10 gadu ilgu laikposmu, kas sākas vienu gadu pēc šā nolīguma stāšanās spēkā. Ja vien Tirdzniecības partnerības komiteja nelemj citādi, šo laikposmu automātiski pagarina </w:t>
      </w:r>
      <w:r>
        <w:rPr>
          <w:noProof/>
        </w:rPr>
        <w:t>par pieciem gadiem, un pēc tam Tirdzniecības partnerības komiteja var lemt to vēl pagarināt.</w:t>
      </w:r>
    </w:p>
    <w:p w:rsidR="003E022D" w:rsidRDefault="007D19D6">
      <w:pPr>
        <w:numPr>
          <w:ilvl w:val="0"/>
          <w:numId w:val="270"/>
        </w:numPr>
        <w:ind w:left="0" w:firstLine="0"/>
        <w:rPr>
          <w:noProof/>
        </w:rPr>
      </w:pPr>
      <w:r>
        <w:rPr>
          <w:noProof/>
        </w:rPr>
        <w:t xml:space="preserve">Apmaiņa ar importa statistiku aptver datus, kas attiecas uz pēdējo pieejamo gadu, tostarp vērtību un, attiecīgā gadījumā, apjomu tarifa pozīcijas līmenī attiecībā </w:t>
      </w:r>
      <w:r>
        <w:rPr>
          <w:noProof/>
        </w:rPr>
        <w:t xml:space="preserve">uz to otras Puses preču importu, kurām piemēro preferenciālu nodokļu režīmu saskaņā ar šo nolīgumu, un to preču importu, kurām piemēro nepreferenciālu režīmu. </w:t>
      </w:r>
    </w:p>
    <w:p w:rsidR="003E022D" w:rsidRDefault="007D19D6">
      <w:pPr>
        <w:pStyle w:val="Article"/>
        <w:rPr>
          <w:noProof/>
        </w:rPr>
      </w:pPr>
      <w:bookmarkStart w:id="29" w:name="_Toc58163390"/>
      <w:bookmarkStart w:id="30" w:name="_Hlk54294596"/>
      <w:r>
        <w:rPr>
          <w:noProof/>
        </w:rPr>
        <w:t>GOODS.17. pants. Tirdzniecības aizsardzības instrumenti</w:t>
      </w:r>
      <w:bookmarkEnd w:id="29"/>
    </w:p>
    <w:p w:rsidR="003E022D" w:rsidRDefault="007D19D6">
      <w:pPr>
        <w:numPr>
          <w:ilvl w:val="0"/>
          <w:numId w:val="274"/>
        </w:numPr>
        <w:ind w:left="0" w:firstLine="0"/>
        <w:rPr>
          <w:rFonts w:cstheme="minorHAnsi"/>
          <w:noProof/>
        </w:rPr>
      </w:pPr>
      <w:r>
        <w:rPr>
          <w:noProof/>
        </w:rPr>
        <w:t>Puses apstiprina savas tiesības un pienā</w:t>
      </w:r>
      <w:r>
        <w:rPr>
          <w:noProof/>
        </w:rPr>
        <w:t xml:space="preserve">kumus saskaņā ar </w:t>
      </w:r>
      <w:r>
        <w:rPr>
          <w:i/>
          <w:noProof/>
        </w:rPr>
        <w:t>GATT</w:t>
      </w:r>
      <w:r>
        <w:rPr>
          <w:noProof/>
        </w:rPr>
        <w:t xml:space="preserve"> 1994 VI pantu, Antidempinga nolīgumu, SKP nolīgumu, </w:t>
      </w:r>
      <w:r>
        <w:rPr>
          <w:i/>
          <w:noProof/>
        </w:rPr>
        <w:t>GATT</w:t>
      </w:r>
      <w:r>
        <w:rPr>
          <w:noProof/>
        </w:rPr>
        <w:t xml:space="preserve"> 1994 XIX pantu, Nolīgumu par aizsardzības pasākumiem un Nolīguma par lauksaimniecību 5. pantu. </w:t>
      </w:r>
    </w:p>
    <w:p w:rsidR="003E022D" w:rsidRDefault="007D19D6">
      <w:pPr>
        <w:numPr>
          <w:ilvl w:val="0"/>
          <w:numId w:val="274"/>
        </w:numPr>
        <w:ind w:left="0" w:firstLine="0"/>
        <w:rPr>
          <w:rFonts w:cstheme="minorHAnsi"/>
          <w:noProof/>
        </w:rPr>
      </w:pPr>
      <w:r>
        <w:rPr>
          <w:noProof/>
        </w:rPr>
        <w:t>Šīs sadaļas 2. nodaļa [Izcelsmes noteikumi] neattiecas uz antidempinga, kompensāc</w:t>
      </w:r>
      <w:r>
        <w:rPr>
          <w:noProof/>
        </w:rPr>
        <w:t>ijas un aizsardzības izmeklēšanām un pasākumiem.</w:t>
      </w:r>
      <w:bookmarkStart w:id="31" w:name="_Hlk56003325"/>
      <w:bookmarkEnd w:id="30"/>
    </w:p>
    <w:p w:rsidR="003E022D" w:rsidRDefault="007D19D6">
      <w:pPr>
        <w:numPr>
          <w:ilvl w:val="0"/>
          <w:numId w:val="274"/>
        </w:numPr>
        <w:ind w:left="0" w:firstLine="0"/>
        <w:rPr>
          <w:rFonts w:cstheme="minorHAnsi"/>
          <w:noProof/>
          <w:color w:val="000000"/>
        </w:rPr>
      </w:pPr>
      <w:r>
        <w:rPr>
          <w:noProof/>
        </w:rPr>
        <w:t>Katra Puse piemēro antidempinga un kompensācijas pasākumus saskaņā ar Antidempinga nolīguma un SKP nolīguma prasībām un atbilstoši taisnīgam un pārredzamam procesam.</w:t>
      </w:r>
      <w:r>
        <w:rPr>
          <w:noProof/>
          <w:color w:val="000000"/>
        </w:rPr>
        <w:t xml:space="preserve">  </w:t>
      </w:r>
    </w:p>
    <w:p w:rsidR="003E022D" w:rsidRDefault="007D19D6">
      <w:pPr>
        <w:numPr>
          <w:ilvl w:val="0"/>
          <w:numId w:val="274"/>
        </w:numPr>
        <w:ind w:left="0" w:firstLine="0"/>
        <w:rPr>
          <w:rFonts w:cstheme="minorHAnsi"/>
          <w:noProof/>
          <w:color w:val="000000"/>
        </w:rPr>
      </w:pPr>
      <w:r>
        <w:rPr>
          <w:noProof/>
        </w:rPr>
        <w:t xml:space="preserve">Visām antidempinga vai kompensācijas </w:t>
      </w:r>
      <w:r>
        <w:rPr>
          <w:noProof/>
        </w:rPr>
        <w:t>izmeklēšanā ieinteresētajām pusēm tiek dotas visas iespējas aizstāvēt savas intereses, ja tas nevajadzīgi neaizkavē izmeklēšanas</w:t>
      </w:r>
      <w:r>
        <w:rPr>
          <w:rStyle w:val="FootnoteReference"/>
          <w:rFonts w:cstheme="minorHAnsi"/>
          <w:noProof/>
        </w:rPr>
        <w:footnoteReference w:id="1"/>
      </w:r>
      <w:r>
        <w:rPr>
          <w:noProof/>
        </w:rPr>
        <w:t xml:space="preserve"> veikšanu.</w:t>
      </w:r>
      <w:r>
        <w:rPr>
          <w:noProof/>
          <w:sz w:val="24"/>
          <w:szCs w:val="24"/>
        </w:rPr>
        <w:t xml:space="preserve"> </w:t>
      </w:r>
    </w:p>
    <w:p w:rsidR="003E022D" w:rsidRDefault="007D19D6">
      <w:pPr>
        <w:numPr>
          <w:ilvl w:val="0"/>
          <w:numId w:val="274"/>
        </w:numPr>
        <w:ind w:left="0" w:firstLine="0"/>
        <w:rPr>
          <w:rFonts w:cstheme="minorHAnsi"/>
          <w:noProof/>
        </w:rPr>
      </w:pPr>
      <w:r>
        <w:rPr>
          <w:noProof/>
        </w:rPr>
        <w:t>Katras Puses izmeklēšanas iestāde saskaņā ar Puses tiesību aktiem var apsvērt, vai uzliekamā antidempinga maksājuma</w:t>
      </w:r>
      <w:r>
        <w:rPr>
          <w:noProof/>
        </w:rPr>
        <w:t xml:space="preserve"> apmērs ir pilna dempinga starpība vai mazāka summa.</w:t>
      </w:r>
    </w:p>
    <w:p w:rsidR="003E022D" w:rsidRDefault="007D19D6">
      <w:pPr>
        <w:numPr>
          <w:ilvl w:val="0"/>
          <w:numId w:val="274"/>
        </w:numPr>
        <w:ind w:left="0" w:firstLine="0"/>
        <w:rPr>
          <w:rFonts w:cstheme="minorHAnsi"/>
          <w:noProof/>
        </w:rPr>
      </w:pPr>
      <w:r>
        <w:rPr>
          <w:noProof/>
        </w:rPr>
        <w:t>Katras Puses izmeklēšanas iestāde saskaņā ar Puses tiesību aktiem izskata sniegto informāciju, lai noteiktu to, vai antidempinga vai kompensācijas maksājuma noteikšana būtu sabiedrības interesēs.</w:t>
      </w:r>
    </w:p>
    <w:bookmarkEnd w:id="31"/>
    <w:p w:rsidR="003E022D" w:rsidRDefault="007D19D6">
      <w:pPr>
        <w:numPr>
          <w:ilvl w:val="0"/>
          <w:numId w:val="274"/>
        </w:numPr>
        <w:ind w:left="0" w:firstLine="0"/>
        <w:rPr>
          <w:rFonts w:cstheme="minorHAnsi"/>
          <w:noProof/>
        </w:rPr>
      </w:pPr>
      <w:r>
        <w:rPr>
          <w:noProof/>
        </w:rPr>
        <w:t>Puse at</w:t>
      </w:r>
      <w:r>
        <w:rPr>
          <w:noProof/>
        </w:rPr>
        <w:t>tiecībā uz vienu un to pašu preci vienlaicīgi nepiemēro vai nepatur spēkā:</w:t>
      </w:r>
    </w:p>
    <w:p w:rsidR="003E022D" w:rsidRDefault="007D19D6">
      <w:pPr>
        <w:numPr>
          <w:ilvl w:val="0"/>
          <w:numId w:val="335"/>
        </w:numPr>
        <w:ind w:left="567" w:hanging="567"/>
        <w:rPr>
          <w:rFonts w:cstheme="minorHAnsi"/>
          <w:noProof/>
        </w:rPr>
      </w:pPr>
      <w:r>
        <w:rPr>
          <w:noProof/>
        </w:rPr>
        <w:t xml:space="preserve">pasākumu saskaņā ar Lauksaimniecības nolīguma 5. pantu un  </w:t>
      </w:r>
    </w:p>
    <w:p w:rsidR="003E022D" w:rsidRDefault="007D19D6">
      <w:pPr>
        <w:numPr>
          <w:ilvl w:val="0"/>
          <w:numId w:val="335"/>
        </w:numPr>
        <w:ind w:left="567" w:hanging="567"/>
        <w:rPr>
          <w:rFonts w:cstheme="minorHAnsi"/>
          <w:noProof/>
        </w:rPr>
      </w:pPr>
      <w:r>
        <w:rPr>
          <w:noProof/>
        </w:rPr>
        <w:t xml:space="preserve">pasākumu saskaņā ar </w:t>
      </w:r>
      <w:r>
        <w:rPr>
          <w:i/>
          <w:noProof/>
        </w:rPr>
        <w:t>GATT</w:t>
      </w:r>
      <w:r>
        <w:rPr>
          <w:noProof/>
        </w:rPr>
        <w:t> 1994 XIX pantu un Nolīgumu par aizsardzības pasākumiem.</w:t>
      </w:r>
    </w:p>
    <w:p w:rsidR="003E022D" w:rsidRDefault="007D19D6">
      <w:pPr>
        <w:numPr>
          <w:ilvl w:val="0"/>
          <w:numId w:val="274"/>
        </w:numPr>
        <w:ind w:left="0" w:firstLine="0"/>
        <w:rPr>
          <w:rFonts w:cstheme="minorHAnsi"/>
          <w:noProof/>
        </w:rPr>
      </w:pPr>
      <w:r>
        <w:rPr>
          <w:noProof/>
        </w:rPr>
        <w:t>Uz šā panta 1.–6. punktu neattiecas sest</w:t>
      </w:r>
      <w:r>
        <w:rPr>
          <w:noProof/>
        </w:rPr>
        <w:t>ās daļas [Strīdu izšķiršana] I sadaļa.</w:t>
      </w:r>
    </w:p>
    <w:p w:rsidR="003E022D" w:rsidRDefault="007D19D6">
      <w:pPr>
        <w:pStyle w:val="Article"/>
        <w:rPr>
          <w:noProof/>
        </w:rPr>
      </w:pPr>
      <w:bookmarkStart w:id="32" w:name="_Toc58163391"/>
      <w:r>
        <w:rPr>
          <w:noProof/>
        </w:rPr>
        <w:t>GOODS.18. pants. Esošo PTO tarifu kvotu izmantošana</w:t>
      </w:r>
      <w:bookmarkEnd w:id="32"/>
    </w:p>
    <w:p w:rsidR="003E022D" w:rsidRDefault="007D19D6">
      <w:pPr>
        <w:numPr>
          <w:ilvl w:val="0"/>
          <w:numId w:val="271"/>
        </w:numPr>
        <w:ind w:left="0" w:firstLine="0"/>
        <w:rPr>
          <w:noProof/>
        </w:rPr>
      </w:pPr>
      <w:r>
        <w:rPr>
          <w:noProof/>
        </w:rPr>
        <w:t>Ražojumus, kuru izcelsme ir vienā Pusē, nevar importēt otrā Pusē atbilstīgi esošajām PTO tarifu kvotām, kā noteikts 2. punktā. Tas ietver tās tarifu kvotas, kas sada</w:t>
      </w:r>
      <w:r>
        <w:rPr>
          <w:noProof/>
        </w:rPr>
        <w:t xml:space="preserve">lītas starp Pusēm saskaņā ar </w:t>
      </w:r>
      <w:r>
        <w:rPr>
          <w:i/>
          <w:noProof/>
        </w:rPr>
        <w:t>GATT</w:t>
      </w:r>
      <w:r>
        <w:rPr>
          <w:noProof/>
        </w:rPr>
        <w:t xml:space="preserve"> XXVIII panta sarunām, kuras Eiropas Savienība uzsākusi PTO dokumentā G/SECRET/42/Add.2 un Apvienotā Karaliste PTO dokumentā G/SECRET/44, un kas noteiktas katras Puses attiecīgajos iekšējos tiesību aktos. Šā panta nolūkos r</w:t>
      </w:r>
      <w:r>
        <w:rPr>
          <w:noProof/>
        </w:rPr>
        <w:t>ažojumu noteiktas izcelsmes statusu nosaka, pamatojoties uz importētājā Pusē piemērojamajiem nepreferenciālās izcelsmes noteikumiem.</w:t>
      </w:r>
    </w:p>
    <w:p w:rsidR="003E022D" w:rsidRDefault="007D19D6">
      <w:pPr>
        <w:numPr>
          <w:ilvl w:val="0"/>
          <w:numId w:val="271"/>
        </w:numPr>
        <w:ind w:left="0" w:firstLine="0"/>
        <w:rPr>
          <w:noProof/>
        </w:rPr>
      </w:pPr>
      <w:r>
        <w:rPr>
          <w:noProof/>
        </w:rPr>
        <w:t>Šā panta 1. punkta nolūkos “esošās PTO tarifu kvotas” ir tās tarifu kvotas, kas ir Eiropas Savienības PTO koncesijas, kuras</w:t>
      </w:r>
      <w:r>
        <w:rPr>
          <w:noProof/>
        </w:rPr>
        <w:t xml:space="preserve"> iekļautas ES-28 koncesiju un saistību saraksta projektā saskaņā ar </w:t>
      </w:r>
      <w:r>
        <w:rPr>
          <w:i/>
          <w:noProof/>
        </w:rPr>
        <w:t>GATT</w:t>
      </w:r>
      <w:r>
        <w:rPr>
          <w:noProof/>
        </w:rPr>
        <w:t> 1994, kas Pasaules Tirdzniecības organizācijai ir iesniegts dokumentā G/MA/TAR/RS/506, kurā grozījumi izdarīti ar dokumentiem G/MA/TAR/RS/506/Add.1 un G/MA/TAR/RS/506/Add.2.</w:t>
      </w:r>
    </w:p>
    <w:p w:rsidR="003E022D" w:rsidRDefault="007D19D6">
      <w:pPr>
        <w:pStyle w:val="Article"/>
        <w:rPr>
          <w:noProof/>
        </w:rPr>
      </w:pPr>
      <w:bookmarkStart w:id="33" w:name="_Toc58163392"/>
      <w:r>
        <w:rPr>
          <w:noProof/>
        </w:rPr>
        <w:t>GOODS.19.</w:t>
      </w:r>
      <w:r>
        <w:rPr>
          <w:noProof/>
        </w:rPr>
        <w:t> pants. Pasākumi muitas tiesību aktu pārkāpumu vai apiešanas gadījumā</w:t>
      </w:r>
      <w:bookmarkEnd w:id="33"/>
    </w:p>
    <w:p w:rsidR="003E022D" w:rsidRDefault="007D19D6">
      <w:pPr>
        <w:numPr>
          <w:ilvl w:val="0"/>
          <w:numId w:val="276"/>
        </w:numPr>
        <w:ind w:left="0" w:firstLine="0"/>
        <w:rPr>
          <w:noProof/>
          <w:color w:val="000000" w:themeColor="text1"/>
        </w:rPr>
      </w:pPr>
      <w:r>
        <w:rPr>
          <w:noProof/>
        </w:rPr>
        <w:t>Puses sadarbojas, lai novērstu, atklātu un apkarotu muitas tiesību aktu pārkāpumus vai apiešanu saskaņā ar to saistībām, kas noteiktas šīs sadaļas 2. nodaļā [Izcelsmes noteikumi] un Prot</w:t>
      </w:r>
      <w:r>
        <w:rPr>
          <w:noProof/>
        </w:rPr>
        <w:t>okolā par savstarpējo administratīvo palīdzību muitas lietās. Katra Puse veic piemērotus un salīdzināmus pasākumus, lai aizsargātu savas un otras Puses finansiālās intereses saistībā ar nodokļu iekasēšanu par precēm, ko ieved Apvienotās Karalistes vai Savi</w:t>
      </w:r>
      <w:r>
        <w:rPr>
          <w:noProof/>
        </w:rPr>
        <w:t>enības muitas teritorijā.</w:t>
      </w:r>
      <w:r>
        <w:rPr>
          <w:noProof/>
          <w:color w:val="000000" w:themeColor="text1"/>
        </w:rPr>
        <w:t xml:space="preserve"> </w:t>
      </w:r>
    </w:p>
    <w:p w:rsidR="003E022D" w:rsidRDefault="007D19D6">
      <w:pPr>
        <w:numPr>
          <w:ilvl w:val="0"/>
          <w:numId w:val="276"/>
        </w:numPr>
        <w:ind w:left="0" w:firstLine="0"/>
        <w:rPr>
          <w:noProof/>
          <w:color w:val="000000" w:themeColor="text1"/>
        </w:rPr>
      </w:pPr>
      <w:r>
        <w:rPr>
          <w:noProof/>
        </w:rPr>
        <w:t>Ņemot vērā iespēju piešķirt atbrīvojumu likumpaklausīgiem tirgotājiem saskaņā ar 7. punktu, Puse var saskaņā ar 3. un 4. punktā noteikto procedūru uz laiku apturēt attiecīgo preferenciālo režīmu attiecīgajam(-iem) ražojumam(-iem)</w:t>
      </w:r>
      <w:r>
        <w:rPr>
          <w:noProof/>
        </w:rPr>
        <w:t>, ja:</w:t>
      </w:r>
    </w:p>
    <w:p w:rsidR="003E022D" w:rsidRDefault="007D19D6">
      <w:pPr>
        <w:ind w:left="567" w:hanging="567"/>
        <w:rPr>
          <w:noProof/>
          <w:color w:val="000000" w:themeColor="text1"/>
        </w:rPr>
      </w:pPr>
      <w:r>
        <w:rPr>
          <w:noProof/>
        </w:rPr>
        <w:t>a) minētā Puse, pamatojoties uz objektīvu, pārliecinošu un pārbaudāmu informāciju, ir konstatējusi, ka ir notikuši sistemātiski un liela mēroga muitas tiesību aktu pārkāpumi vai apiešana, un</w:t>
      </w:r>
    </w:p>
    <w:p w:rsidR="003E022D" w:rsidRDefault="007D19D6">
      <w:pPr>
        <w:ind w:left="567" w:hanging="567"/>
        <w:rPr>
          <w:noProof/>
        </w:rPr>
      </w:pPr>
      <w:r>
        <w:rPr>
          <w:noProof/>
        </w:rPr>
        <w:t xml:space="preserve">b) otra Puse atkārtoti un nepamatoti atsakās pildīt vai kā </w:t>
      </w:r>
      <w:r>
        <w:rPr>
          <w:noProof/>
        </w:rPr>
        <w:t>citādi nepilda savas saistības, kas minētas 1. punktā.</w:t>
      </w:r>
    </w:p>
    <w:p w:rsidR="003E022D" w:rsidRDefault="007D19D6">
      <w:pPr>
        <w:numPr>
          <w:ilvl w:val="0"/>
          <w:numId w:val="276"/>
        </w:numPr>
        <w:ind w:left="0" w:firstLine="0"/>
        <w:rPr>
          <w:noProof/>
        </w:rPr>
      </w:pPr>
      <w:r>
        <w:rPr>
          <w:noProof/>
        </w:rPr>
        <w:t>Puse, kas izdarījusi 2. punktā minēto konstatējumu, par to paziņo Tirdzniecības partnerības komitejai un Tirdzniecības partnerības komitejā sāk apspriešanos ar otru Pusi, lai panāktu savstarpēji pieņem</w:t>
      </w:r>
      <w:r>
        <w:rPr>
          <w:noProof/>
        </w:rPr>
        <w:t>amu risinājumu.</w:t>
      </w:r>
    </w:p>
    <w:p w:rsidR="003E022D" w:rsidRDefault="007D19D6">
      <w:pPr>
        <w:numPr>
          <w:ilvl w:val="0"/>
          <w:numId w:val="276"/>
        </w:numPr>
        <w:ind w:left="0" w:firstLine="0"/>
        <w:rPr>
          <w:noProof/>
        </w:rPr>
      </w:pPr>
      <w:r>
        <w:rPr>
          <w:noProof/>
        </w:rPr>
        <w:t>Ja Puses trīs mēnešu laikā pēc paziņošanas dienas nevienojas par savstarpēji pieņemamu risinājumu, Puse, kas izdarījusi konstatējumu, var nolemt uz laiku apturēt attiecīgo preferenciālo režīmu attiecīgajam(-iem) ražojumam(-iem). Šādā gadīju</w:t>
      </w:r>
      <w:r>
        <w:rPr>
          <w:noProof/>
        </w:rPr>
        <w:t>mā Puse, kas izdarījusi konstatējumu, par pagaidu apturēšanu, tostarp par laikposmu, kurā tā plāno piemērot pagaidu apturēšanu, nekavējoties paziņo Tirdzniecības partnerības komitejai.</w:t>
      </w:r>
    </w:p>
    <w:p w:rsidR="003E022D" w:rsidRDefault="007D19D6">
      <w:pPr>
        <w:numPr>
          <w:ilvl w:val="0"/>
          <w:numId w:val="276"/>
        </w:numPr>
        <w:ind w:left="0" w:firstLine="0"/>
        <w:rPr>
          <w:noProof/>
        </w:rPr>
      </w:pPr>
      <w:r>
        <w:rPr>
          <w:noProof/>
        </w:rPr>
        <w:t>Pagaidu apturēšanu piemēro tikai tik ilgi, cik nepieciešams pārkāpumu v</w:t>
      </w:r>
      <w:r>
        <w:rPr>
          <w:noProof/>
        </w:rPr>
        <w:t>ai apiešanas novēršanai un attiecīgās Puses finansiālo interešu aizsardzībai, un jebkurā gadījumā ne ilgāk kā sešus mēnešus. Attiecīgā Puse pārskata situāciju un, ja tā nolemj, ka pagaidu apturēšana vairs nav nepieciešama, izbeidz to pirms Tirdzniecības pa</w:t>
      </w:r>
      <w:r>
        <w:rPr>
          <w:noProof/>
        </w:rPr>
        <w:t>rtnerības komitejai paziņotā laikposma beigām. Ja nosacījumi, kas bijuši par iemeslu apturēšanai, Tirdzniecības partnerības komitejai paziņotā laikposma beigās joprojām pastāv, attiecīgā Puse var nolemt apturēšanu pagarināt. Jebkāda apturēšana periodiski i</w:t>
      </w:r>
      <w:r>
        <w:rPr>
          <w:noProof/>
        </w:rPr>
        <w:t>r jāapspriež Tirdzniecības partnerības komitejā.</w:t>
      </w:r>
    </w:p>
    <w:p w:rsidR="003E022D" w:rsidRDefault="007D19D6">
      <w:pPr>
        <w:numPr>
          <w:ilvl w:val="0"/>
          <w:numId w:val="276"/>
        </w:numPr>
        <w:ind w:left="0" w:firstLine="0"/>
        <w:rPr>
          <w:noProof/>
        </w:rPr>
      </w:pPr>
      <w:r>
        <w:rPr>
          <w:noProof/>
        </w:rPr>
        <w:t>Katra Puse saskaņā ar tās iekšējām procedūrām publisko informāciju importētājiem par visiem lēmumiem attiecībā uz 4. un 5. punktā minēto pagaidu apturēšanu.</w:t>
      </w:r>
    </w:p>
    <w:p w:rsidR="003E022D" w:rsidRDefault="007D19D6">
      <w:pPr>
        <w:numPr>
          <w:ilvl w:val="0"/>
          <w:numId w:val="276"/>
        </w:numPr>
        <w:ind w:left="0" w:firstLine="0"/>
        <w:rPr>
          <w:noProof/>
        </w:rPr>
      </w:pPr>
      <w:r>
        <w:rPr>
          <w:noProof/>
        </w:rPr>
        <w:t>Neatkarīgi no 4. punkta, ja importētājs spēj pierā</w:t>
      </w:r>
      <w:r>
        <w:rPr>
          <w:noProof/>
        </w:rPr>
        <w:t>dīt importētājas Puses muitas dienestam, ka šādi ražojumi pilnībā atbilst importētājas Puses tiesību aktiem muitas jomā, šā nolīguma prasībām un visiem citiem pienācīgiem nosacījumiem, kas saistīti ar pagaidu apturēšanu, kuru importētāja Puse noteikusi sas</w:t>
      </w:r>
      <w:r>
        <w:rPr>
          <w:noProof/>
        </w:rPr>
        <w:t>kaņā ar saviem normatīvajiem aktiem, importētāja Puse ļauj importētājam pieprasīt preferenciālu režīmu un atgūt visus nodokļus, kas samaksāti virs piemērojamajām preferenciālā tarifa likmēm, importējot ražojumus.</w:t>
      </w:r>
    </w:p>
    <w:p w:rsidR="003E022D" w:rsidRDefault="007D19D6">
      <w:pPr>
        <w:pStyle w:val="Article"/>
        <w:rPr>
          <w:noProof/>
        </w:rPr>
      </w:pPr>
      <w:bookmarkStart w:id="34" w:name="_Toc58163393"/>
      <w:r>
        <w:rPr>
          <w:noProof/>
        </w:rPr>
        <w:t>GOODS.20. pants. Rīcība administratīvo kļūd</w:t>
      </w:r>
      <w:r>
        <w:rPr>
          <w:noProof/>
        </w:rPr>
        <w:t>u gadījumā</w:t>
      </w:r>
      <w:bookmarkEnd w:id="34"/>
    </w:p>
    <w:p w:rsidR="003E022D" w:rsidRDefault="007D19D6">
      <w:pPr>
        <w:rPr>
          <w:noProof/>
        </w:rPr>
      </w:pPr>
      <w:r>
        <w:rPr>
          <w:noProof/>
        </w:rPr>
        <w:t>Ja kompetentās iestādes eksporta brīdī pieļauj sistemātiskas kļūdas vai problēmas preferenciālās sistēmas pareizā pārvaldībā, jo īpaši šīs sadaļas 2. nodaļas noteikumu vai Protokola par savstarpēju administratīvo palīdzību muitas lietās piemēroš</w:t>
      </w:r>
      <w:r>
        <w:rPr>
          <w:noProof/>
        </w:rPr>
        <w:t>anā, un ja šīs kļūdas vai problēmas rada sekas attiecībā uz ievedmuitas nodokļiem, Puse, kas saskaras ar šādām sekām, var lūgt Tirdzniecības partnerības komiteju izskatīt iespēju attiecīgā gadījumā pieņemt pasākumus situācijas atrisināšanai.</w:t>
      </w:r>
    </w:p>
    <w:p w:rsidR="003E022D" w:rsidRDefault="007D19D6">
      <w:pPr>
        <w:pStyle w:val="Article"/>
        <w:rPr>
          <w:noProof/>
        </w:rPr>
      </w:pPr>
      <w:bookmarkStart w:id="35" w:name="_Toc58163394"/>
      <w:r>
        <w:rPr>
          <w:noProof/>
        </w:rPr>
        <w:t>GOODS.21. pant</w:t>
      </w:r>
      <w:r>
        <w:rPr>
          <w:noProof/>
        </w:rPr>
        <w:t>s. Kultūras īpašums</w:t>
      </w:r>
      <w:bookmarkEnd w:id="35"/>
    </w:p>
    <w:p w:rsidR="003E022D" w:rsidRDefault="007D19D6">
      <w:pPr>
        <w:numPr>
          <w:ilvl w:val="0"/>
          <w:numId w:val="272"/>
        </w:numPr>
        <w:ind w:left="0" w:firstLine="0"/>
        <w:rPr>
          <w:b/>
          <w:bCs/>
          <w:noProof/>
        </w:rPr>
      </w:pPr>
      <w:r>
        <w:rPr>
          <w:noProof/>
        </w:rPr>
        <w:t xml:space="preserve">Puses sadarbojas, lai atvieglotu no kādas Puses teritorijas nelikumīgi izvesta kultūras īpašuma atgriešanu, ņemot vērā principus, kas ietverti 1970. gada 17. novembrī Parīzē parakstītajā </w:t>
      </w:r>
      <w:r>
        <w:rPr>
          <w:i/>
          <w:noProof/>
        </w:rPr>
        <w:t>UNESCO</w:t>
      </w:r>
      <w:r>
        <w:rPr>
          <w:noProof/>
        </w:rPr>
        <w:t xml:space="preserve"> Konvencijā par kultūras īpašuma nelikumīga</w:t>
      </w:r>
      <w:r>
        <w:rPr>
          <w:noProof/>
        </w:rPr>
        <w:t xml:space="preserve"> importa, eksporta un īpašumtiesību nodošanas aizlieguma un novēršanas līdzekļiem.</w:t>
      </w:r>
    </w:p>
    <w:p w:rsidR="003E022D" w:rsidRDefault="007D19D6">
      <w:pPr>
        <w:numPr>
          <w:ilvl w:val="0"/>
          <w:numId w:val="272"/>
        </w:numPr>
        <w:ind w:left="0" w:firstLine="0"/>
        <w:rPr>
          <w:b/>
          <w:bCs/>
          <w:noProof/>
        </w:rPr>
      </w:pPr>
      <w:r>
        <w:rPr>
          <w:noProof/>
        </w:rPr>
        <w:t xml:space="preserve">Šajā pantā: </w:t>
      </w:r>
    </w:p>
    <w:p w:rsidR="003E022D" w:rsidRDefault="007D19D6">
      <w:pPr>
        <w:numPr>
          <w:ilvl w:val="0"/>
          <w:numId w:val="273"/>
        </w:numPr>
        <w:ind w:left="567" w:hanging="567"/>
        <w:rPr>
          <w:noProof/>
        </w:rPr>
      </w:pPr>
      <w:r>
        <w:rPr>
          <w:noProof/>
        </w:rPr>
        <w:t xml:space="preserve">“kultūras īpašums” ir īpašums, kas klasificēts vai definēts kā piederīgs pie nacionālajām bagātībām ar māksliniecisku, vēsturisku vai arheoloģisku vērtību saskaņā ar katras Puses attiecīgajiem noteikumiem un procedūrām, un </w:t>
      </w:r>
    </w:p>
    <w:p w:rsidR="003E022D" w:rsidRDefault="007D19D6">
      <w:pPr>
        <w:numPr>
          <w:ilvl w:val="0"/>
          <w:numId w:val="273"/>
        </w:numPr>
        <w:ind w:left="567" w:hanging="567"/>
        <w:rPr>
          <w:b/>
          <w:bCs/>
          <w:noProof/>
        </w:rPr>
      </w:pPr>
      <w:r>
        <w:rPr>
          <w:noProof/>
        </w:rPr>
        <w:t>“nelikumīgi izvests no kādas Pus</w:t>
      </w:r>
      <w:r>
        <w:rPr>
          <w:noProof/>
        </w:rPr>
        <w:t>es teritorijas” nozīmē turpmāko:</w:t>
      </w:r>
    </w:p>
    <w:p w:rsidR="003E022D" w:rsidRDefault="007D19D6">
      <w:pPr>
        <w:ind w:left="1276" w:hanging="567"/>
        <w:rPr>
          <w:noProof/>
        </w:rPr>
      </w:pPr>
      <w:r>
        <w:rPr>
          <w:noProof/>
        </w:rPr>
        <w:t>i) ir izvests no kādas Puses teritorijas 1993. gada 1. janvārī vai pēc šā datuma, pārkāpjot minētās Puses noteikumus par nacionālo bagātību aizsardzību vai pārkāpjot tās noteikumus par kultūras īpašuma eksportu, vai</w:t>
      </w:r>
    </w:p>
    <w:p w:rsidR="003E022D" w:rsidRDefault="007D19D6">
      <w:pPr>
        <w:ind w:left="1276" w:hanging="567"/>
        <w:rPr>
          <w:noProof/>
        </w:rPr>
      </w:pPr>
      <w:r>
        <w:rPr>
          <w:noProof/>
        </w:rPr>
        <w:t>ii) net</w:t>
      </w:r>
      <w:r>
        <w:rPr>
          <w:noProof/>
        </w:rPr>
        <w:t xml:space="preserve">iek atgriezts pēc likumīgas pagaidu izvešanas termiņa beigām, vai 1993. gada 1. janvārī vai pēc šā datuma ir pārkāpts jebkurš cits šādu pagaidu izvešanu regulējošs nosacījums.  </w:t>
      </w:r>
    </w:p>
    <w:p w:rsidR="003E022D" w:rsidRDefault="007D19D6">
      <w:pPr>
        <w:numPr>
          <w:ilvl w:val="0"/>
          <w:numId w:val="272"/>
        </w:numPr>
        <w:ind w:left="0" w:firstLine="0"/>
        <w:rPr>
          <w:noProof/>
        </w:rPr>
      </w:pPr>
      <w:r>
        <w:rPr>
          <w:noProof/>
        </w:rPr>
        <w:t>Pušu kompetentās iestādes sadarbojas cita ar citu, jo īpaši:</w:t>
      </w:r>
    </w:p>
    <w:p w:rsidR="003E022D" w:rsidRDefault="007D19D6">
      <w:pPr>
        <w:ind w:left="1134" w:hanging="567"/>
        <w:rPr>
          <w:noProof/>
        </w:rPr>
      </w:pPr>
      <w:r>
        <w:rPr>
          <w:noProof/>
        </w:rPr>
        <w:t>a) paziņojot otra</w:t>
      </w:r>
      <w:r>
        <w:rPr>
          <w:noProof/>
        </w:rPr>
        <w:t>i Pusei, ja tās teritorijā ir atrasts kultūras īpašums un ir pamatots iemesls uzskatīt, ka kultūras īpašums ir nelikumīgi izvests no otras Puses teritorijas;</w:t>
      </w:r>
    </w:p>
    <w:p w:rsidR="003E022D" w:rsidRDefault="007D19D6">
      <w:pPr>
        <w:ind w:left="1134" w:hanging="567"/>
        <w:rPr>
          <w:noProof/>
        </w:rPr>
      </w:pPr>
      <w:r>
        <w:rPr>
          <w:noProof/>
        </w:rPr>
        <w:t>b) izskatot otras Puses pieprasījumus par tā kultūras īpašuma atgriešanu, kas nelikumīgi izvests n</w:t>
      </w:r>
      <w:r>
        <w:rPr>
          <w:noProof/>
        </w:rPr>
        <w:t>o minētās Puses teritorijas;</w:t>
      </w:r>
    </w:p>
    <w:p w:rsidR="003E022D" w:rsidRDefault="007D19D6">
      <w:pPr>
        <w:ind w:left="1134" w:hanging="567"/>
        <w:rPr>
          <w:noProof/>
        </w:rPr>
      </w:pPr>
      <w:r>
        <w:rPr>
          <w:noProof/>
        </w:rPr>
        <w:t>c) ar nepieciešamajiem pagaidu pasākumiem novēršot jebkādas darbības, ar kurām izvairās no šāda kultūras īpašuma atgriešanas, un</w:t>
      </w:r>
    </w:p>
    <w:p w:rsidR="003E022D" w:rsidRDefault="007D19D6">
      <w:pPr>
        <w:ind w:left="1134" w:hanging="567"/>
        <w:rPr>
          <w:noProof/>
        </w:rPr>
      </w:pPr>
      <w:r>
        <w:rPr>
          <w:noProof/>
        </w:rPr>
        <w:t>d) veicot jebkādus pasākumus, kas vajadzīgi no otras Puses teritorijas nelikumīgi izvesta kultūras</w:t>
      </w:r>
      <w:r>
        <w:rPr>
          <w:noProof/>
        </w:rPr>
        <w:t xml:space="preserve"> īpašuma fiziskai saglabāšanai.</w:t>
      </w:r>
    </w:p>
    <w:p w:rsidR="003E022D" w:rsidRDefault="007D19D6">
      <w:pPr>
        <w:numPr>
          <w:ilvl w:val="0"/>
          <w:numId w:val="272"/>
        </w:numPr>
        <w:ind w:left="0" w:firstLine="0"/>
        <w:rPr>
          <w:rFonts w:cstheme="minorHAnsi"/>
          <w:noProof/>
        </w:rPr>
      </w:pPr>
      <w:r>
        <w:rPr>
          <w:noProof/>
        </w:rPr>
        <w:t>Katra Puse nosaka kontaktpunktu, kas ir atbildīgs par saziņu ar otras Puses kontaktpunktu par visiem jautājumiem, kas rodas saistībā ar šo pantu, tostarp attiecībā uz 3. punkta a) un b) apakšpunktā minētajiem paziņojumiem un</w:t>
      </w:r>
      <w:r>
        <w:rPr>
          <w:noProof/>
        </w:rPr>
        <w:t xml:space="preserve"> pieprasījumiem.</w:t>
      </w:r>
    </w:p>
    <w:p w:rsidR="003E022D" w:rsidRDefault="007D19D6">
      <w:pPr>
        <w:numPr>
          <w:ilvl w:val="0"/>
          <w:numId w:val="272"/>
        </w:numPr>
        <w:ind w:left="0" w:firstLine="0"/>
        <w:rPr>
          <w:noProof/>
        </w:rPr>
      </w:pPr>
      <w:r>
        <w:rPr>
          <w:noProof/>
        </w:rPr>
        <w:t>Paredzētajā Pušu sadarbībā vajadzības gadījumā iesaista Pušu muitas dienestus, kas ir atbildīgi par kultūras īpašuma eksporta procedūru pārvaldību.</w:t>
      </w:r>
    </w:p>
    <w:p w:rsidR="003E022D" w:rsidRDefault="007D19D6">
      <w:pPr>
        <w:rPr>
          <w:b/>
          <w:bCs/>
          <w:noProof/>
        </w:rPr>
      </w:pPr>
      <w:r>
        <w:rPr>
          <w:noProof/>
        </w:rPr>
        <w:t>6. Uz šo pantu neattiecas sestās daļas [Strīdu izšķiršana] I sadaļa.</w:t>
      </w:r>
    </w:p>
    <w:p w:rsidR="003E022D" w:rsidRDefault="003E022D">
      <w:pPr>
        <w:pStyle w:val="Chapter"/>
        <w:rPr>
          <w:noProof/>
        </w:rPr>
      </w:pPr>
      <w:bookmarkStart w:id="36" w:name="_Toc32669294"/>
      <w:bookmarkStart w:id="37" w:name="_Toc35449571"/>
      <w:bookmarkStart w:id="38" w:name="_Toc58163395"/>
      <w:bookmarkStart w:id="39" w:name="_Toc33178569"/>
      <w:bookmarkStart w:id="40" w:name="_Toc33194128"/>
      <w:bookmarkStart w:id="41" w:name="_Toc33194745"/>
    </w:p>
    <w:bookmarkEnd w:id="36"/>
    <w:bookmarkEnd w:id="37"/>
    <w:bookmarkEnd w:id="38"/>
    <w:bookmarkEnd w:id="39"/>
    <w:bookmarkEnd w:id="40"/>
    <w:bookmarkEnd w:id="41"/>
    <w:p w:rsidR="003E022D" w:rsidRDefault="007D19D6">
      <w:pPr>
        <w:pStyle w:val="Chapter"/>
        <w:rPr>
          <w:noProof/>
        </w:rPr>
      </w:pPr>
      <w:r>
        <w:rPr>
          <w:noProof/>
        </w:rPr>
        <w:t>2. nodaļa.</w:t>
      </w:r>
      <w:bookmarkStart w:id="42" w:name="_Toc32225744"/>
      <w:bookmarkStart w:id="43" w:name="_Toc32669295"/>
      <w:r>
        <w:rPr>
          <w:noProof/>
        </w:rPr>
        <w:t xml:space="preserve"> Izcelsmes </w:t>
      </w:r>
      <w:r>
        <w:rPr>
          <w:noProof/>
        </w:rPr>
        <w:t xml:space="preserve">noteikumi </w:t>
      </w:r>
      <w:bookmarkEnd w:id="42"/>
      <w:bookmarkEnd w:id="43"/>
    </w:p>
    <w:p w:rsidR="003E022D" w:rsidRDefault="007D19D6">
      <w:pPr>
        <w:pStyle w:val="Section"/>
        <w:rPr>
          <w:noProof/>
        </w:rPr>
      </w:pPr>
      <w:bookmarkStart w:id="44" w:name="_Toc32225745"/>
      <w:bookmarkStart w:id="45" w:name="_Toc32669296"/>
      <w:bookmarkStart w:id="46" w:name="_Toc33178570"/>
      <w:bookmarkStart w:id="47" w:name="_Toc33194129"/>
      <w:bookmarkStart w:id="48" w:name="_Toc33194746"/>
      <w:bookmarkStart w:id="49" w:name="_Toc35449572"/>
      <w:bookmarkStart w:id="50" w:name="_Toc58163396"/>
      <w:r>
        <w:rPr>
          <w:noProof/>
        </w:rPr>
        <w:t>1. iedaļa.</w:t>
      </w:r>
      <w:bookmarkEnd w:id="44"/>
      <w:bookmarkEnd w:id="45"/>
      <w:r>
        <w:rPr>
          <w:noProof/>
        </w:rPr>
        <w:t>.</w:t>
      </w:r>
      <w:bookmarkStart w:id="51" w:name="_Toc32669297"/>
      <w:r>
        <w:rPr>
          <w:noProof/>
        </w:rPr>
        <w:t xml:space="preserve"> </w:t>
      </w:r>
      <w:bookmarkStart w:id="52" w:name="_Toc32225746"/>
      <w:r>
        <w:rPr>
          <w:noProof/>
        </w:rPr>
        <w:t>Izcelsmes noteikumi</w:t>
      </w:r>
      <w:bookmarkEnd w:id="46"/>
      <w:bookmarkEnd w:id="47"/>
      <w:bookmarkEnd w:id="48"/>
      <w:bookmarkEnd w:id="49"/>
      <w:bookmarkEnd w:id="50"/>
      <w:bookmarkEnd w:id="51"/>
      <w:bookmarkEnd w:id="52"/>
    </w:p>
    <w:p w:rsidR="003E022D" w:rsidRDefault="007D19D6">
      <w:pPr>
        <w:pStyle w:val="Article"/>
        <w:rPr>
          <w:noProof/>
        </w:rPr>
      </w:pPr>
      <w:bookmarkStart w:id="53" w:name="_Toc58163397"/>
      <w:r>
        <w:rPr>
          <w:noProof/>
        </w:rPr>
        <w:t>ORIG.1. pants. Mērķis</w:t>
      </w:r>
      <w:bookmarkEnd w:id="53"/>
    </w:p>
    <w:p w:rsidR="003E022D" w:rsidRDefault="007D19D6">
      <w:pPr>
        <w:rPr>
          <w:noProof/>
        </w:rPr>
      </w:pPr>
      <w:r>
        <w:rPr>
          <w:noProof/>
        </w:rPr>
        <w:t>Šīs nodaļas mērķis ir izstrādāt noteikumus, kas nosaka preču izcelsmi, lai piemērotu preferenciāla tarifa režīmu saskaņā ar šo nolīgumu, un nosaka saistītās izcelsmes procedūras.</w:t>
      </w:r>
    </w:p>
    <w:p w:rsidR="003E022D" w:rsidRDefault="007D19D6">
      <w:pPr>
        <w:pStyle w:val="Article"/>
        <w:rPr>
          <w:noProof/>
        </w:rPr>
      </w:pPr>
      <w:bookmarkStart w:id="54" w:name="_Toc58163398"/>
      <w:r>
        <w:rPr>
          <w:noProof/>
        </w:rPr>
        <w:t>ORIG.2. pant</w:t>
      </w:r>
      <w:r>
        <w:rPr>
          <w:noProof/>
        </w:rPr>
        <w:t>s. Definīcijas</w:t>
      </w:r>
      <w:bookmarkEnd w:id="54"/>
    </w:p>
    <w:p w:rsidR="003E022D" w:rsidRDefault="007D19D6">
      <w:pPr>
        <w:rPr>
          <w:noProof/>
          <w:shd w:val="clear" w:color="auto" w:fill="FFFFFF"/>
        </w:rPr>
      </w:pPr>
      <w:r>
        <w:rPr>
          <w:noProof/>
          <w:shd w:val="clear" w:color="auto" w:fill="FFFFFF"/>
        </w:rPr>
        <w:t>Šajā nodaļā piemēro šādas definīcijas:</w:t>
      </w:r>
    </w:p>
    <w:p w:rsidR="003E022D" w:rsidRDefault="007D19D6">
      <w:pPr>
        <w:numPr>
          <w:ilvl w:val="0"/>
          <w:numId w:val="278"/>
        </w:numPr>
        <w:ind w:left="567" w:hanging="567"/>
        <w:rPr>
          <w:rFonts w:cstheme="minorHAnsi"/>
          <w:noProof/>
        </w:rPr>
      </w:pPr>
      <w:r>
        <w:rPr>
          <w:noProof/>
        </w:rPr>
        <w:t>“klasifikācija” ir ražojuma vai materiāla iekļaušana konkrētā Harmonizētās sistēmas nodaļā, pozīcijā vai apakšpozīcijā;</w:t>
      </w:r>
    </w:p>
    <w:p w:rsidR="003E022D" w:rsidRDefault="007D19D6">
      <w:pPr>
        <w:numPr>
          <w:ilvl w:val="0"/>
          <w:numId w:val="278"/>
        </w:numPr>
        <w:ind w:left="567" w:hanging="567"/>
        <w:rPr>
          <w:rFonts w:cstheme="minorHAnsi"/>
          <w:i/>
          <w:iCs/>
          <w:noProof/>
        </w:rPr>
      </w:pPr>
      <w:r>
        <w:rPr>
          <w:noProof/>
        </w:rPr>
        <w:t xml:space="preserve">“sūtījums” ir ražojumi, kurus vai nu viens eksportētājs vienlaicīgi nosūta vienam </w:t>
      </w:r>
      <w:r>
        <w:rPr>
          <w:noProof/>
        </w:rPr>
        <w:t xml:space="preserve">saņēmējam, vai uz kuriem attiecas vienots pārvadājuma dokuments par to nosūtīšanu no eksportētāja saņēmējam, vai, ja šāda dokumenta nav, viens rēķins; </w:t>
      </w:r>
    </w:p>
    <w:p w:rsidR="003E022D" w:rsidRDefault="007D19D6">
      <w:pPr>
        <w:numPr>
          <w:ilvl w:val="0"/>
          <w:numId w:val="278"/>
        </w:numPr>
        <w:ind w:left="567" w:hanging="567"/>
        <w:rPr>
          <w:rFonts w:cstheme="minorHAnsi"/>
          <w:noProof/>
        </w:rPr>
      </w:pPr>
      <w:r>
        <w:rPr>
          <w:noProof/>
        </w:rPr>
        <w:t>“eksportētājs” ir persona, kuras atrašanās vieta ir kādā no Pusēm un kura saskaņā ar prasībām, kas notei</w:t>
      </w:r>
      <w:r>
        <w:rPr>
          <w:noProof/>
        </w:rPr>
        <w:t>ktas attiecīgās Puses normatīvajos aktos, eksportē vai ražo noteiktas izcelsmes ražojumu un sagatavo paziņojumu par izcelsmi;</w:t>
      </w:r>
    </w:p>
    <w:p w:rsidR="003E022D" w:rsidRDefault="007D19D6">
      <w:pPr>
        <w:numPr>
          <w:ilvl w:val="0"/>
          <w:numId w:val="278"/>
        </w:numPr>
        <w:ind w:left="567" w:hanging="567"/>
        <w:rPr>
          <w:rFonts w:cstheme="minorHAnsi"/>
          <w:noProof/>
        </w:rPr>
      </w:pPr>
      <w:r>
        <w:rPr>
          <w:noProof/>
        </w:rPr>
        <w:t>“importētājs” ir persona, kas importē noteiktas izcelsmes ražojumu un pieprasa tam piemērot preferenciāla tarifa režīmu;</w:t>
      </w:r>
    </w:p>
    <w:p w:rsidR="003E022D" w:rsidRDefault="007D19D6">
      <w:pPr>
        <w:numPr>
          <w:ilvl w:val="0"/>
          <w:numId w:val="278"/>
        </w:numPr>
        <w:ind w:left="567" w:hanging="567"/>
        <w:rPr>
          <w:rFonts w:cstheme="minorHAnsi"/>
          <w:noProof/>
        </w:rPr>
      </w:pPr>
      <w:r>
        <w:rPr>
          <w:noProof/>
        </w:rPr>
        <w:t>“materiāl</w:t>
      </w:r>
      <w:r>
        <w:rPr>
          <w:noProof/>
        </w:rPr>
        <w:t>s” ir jebkāda viela, kas izmantota ražojuma izgatavošanā, tostarp jebkuras detaļas, sastāvdaļas, izejvielas vai daļas;</w:t>
      </w:r>
    </w:p>
    <w:p w:rsidR="003E022D" w:rsidRDefault="007D19D6">
      <w:pPr>
        <w:numPr>
          <w:ilvl w:val="0"/>
          <w:numId w:val="278"/>
        </w:numPr>
        <w:ind w:left="567" w:hanging="567"/>
        <w:rPr>
          <w:rFonts w:cstheme="minorHAnsi"/>
          <w:noProof/>
        </w:rPr>
      </w:pPr>
      <w:r>
        <w:rPr>
          <w:noProof/>
        </w:rPr>
        <w:t>“nenoteiktas izcelsmes materiāls” ir materiāls, kas nav kvalificējams kā noteiktas izcelsmes materiāls saskaņā ar šo nodaļu, tostarp mate</w:t>
      </w:r>
      <w:r>
        <w:rPr>
          <w:noProof/>
        </w:rPr>
        <w:t>riāls, kura izcelsmes statusu nevar noteikt;</w:t>
      </w:r>
    </w:p>
    <w:p w:rsidR="003E022D" w:rsidRDefault="007D19D6">
      <w:pPr>
        <w:numPr>
          <w:ilvl w:val="0"/>
          <w:numId w:val="278"/>
        </w:numPr>
        <w:ind w:left="567" w:hanging="567"/>
        <w:rPr>
          <w:rFonts w:cstheme="minorHAnsi"/>
          <w:noProof/>
        </w:rPr>
      </w:pPr>
      <w:r>
        <w:rPr>
          <w:noProof/>
        </w:rPr>
        <w:t>“ražojums” ir ražojums, kas rodas ražošanas rezultātā, pat ja to paredzēts izmantot kā materiālu cita ražojuma ražošanā;</w:t>
      </w:r>
    </w:p>
    <w:p w:rsidR="003E022D" w:rsidRDefault="007D19D6">
      <w:pPr>
        <w:numPr>
          <w:ilvl w:val="0"/>
          <w:numId w:val="278"/>
        </w:numPr>
        <w:ind w:left="567" w:hanging="567"/>
        <w:rPr>
          <w:rFonts w:cstheme="minorHAnsi"/>
          <w:noProof/>
        </w:rPr>
      </w:pPr>
      <w:r>
        <w:rPr>
          <w:noProof/>
        </w:rPr>
        <w:t>“ražošana” ir jebkura apstrāde vai pārstrāde, ieskaitot montāžu.</w:t>
      </w:r>
    </w:p>
    <w:p w:rsidR="003E022D" w:rsidRDefault="007D19D6">
      <w:pPr>
        <w:pStyle w:val="Article"/>
        <w:rPr>
          <w:noProof/>
        </w:rPr>
      </w:pPr>
      <w:bookmarkStart w:id="55" w:name="_Toc58163399"/>
      <w:r>
        <w:rPr>
          <w:noProof/>
        </w:rPr>
        <w:t>ORIG.3. pants. Vispārīgas</w:t>
      </w:r>
      <w:r>
        <w:rPr>
          <w:noProof/>
        </w:rPr>
        <w:t xml:space="preserve"> prasības</w:t>
      </w:r>
      <w:bookmarkEnd w:id="55"/>
    </w:p>
    <w:p w:rsidR="003E022D" w:rsidRDefault="007D19D6">
      <w:pPr>
        <w:rPr>
          <w:noProof/>
        </w:rPr>
      </w:pPr>
      <w:r>
        <w:rPr>
          <w:noProof/>
          <w:shd w:val="clear" w:color="auto" w:fill="FFFFFF"/>
        </w:rPr>
        <w:t>1.</w:t>
      </w:r>
      <w:r>
        <w:rPr>
          <w:noProof/>
        </w:rPr>
        <w:tab/>
      </w:r>
      <w:r>
        <w:rPr>
          <w:noProof/>
          <w:shd w:val="clear" w:color="auto" w:fill="FFFFFF"/>
        </w:rPr>
        <w:t>Lai</w:t>
      </w:r>
      <w:r>
        <w:rPr>
          <w:noProof/>
        </w:rPr>
        <w:t xml:space="preserve"> kāda </w:t>
      </w:r>
      <w:r>
        <w:rPr>
          <w:noProof/>
          <w:shd w:val="clear" w:color="auto" w:fill="FFFFFF"/>
        </w:rPr>
        <w:t>Puse saskaņā ar šo nolīgumu otras Puses noteiktas izcelsmes precei piemērotu Puses preferenciāla tarifa režīmu</w:t>
      </w:r>
      <w:r>
        <w:rPr>
          <w:noProof/>
        </w:rPr>
        <w:t xml:space="preserve"> (ar nosacījumu, ka ražojumi atbilst visām pārējām prasībām, kas piemērojamas saskaņā ar šo nodaļu), </w:t>
      </w:r>
      <w:r>
        <w:rPr>
          <w:noProof/>
          <w:shd w:val="clear" w:color="auto" w:fill="FFFFFF"/>
        </w:rPr>
        <w:t>par otras Puses izcelsm</w:t>
      </w:r>
      <w:r>
        <w:rPr>
          <w:noProof/>
          <w:shd w:val="clear" w:color="auto" w:fill="FFFFFF"/>
        </w:rPr>
        <w:t>es ražojumiem uzskata šādus ražojumus:</w:t>
      </w:r>
    </w:p>
    <w:p w:rsidR="003E022D" w:rsidRDefault="007D19D6">
      <w:pPr>
        <w:numPr>
          <w:ilvl w:val="0"/>
          <w:numId w:val="279"/>
        </w:numPr>
        <w:ind w:left="567" w:hanging="567"/>
        <w:rPr>
          <w:rFonts w:cstheme="minorHAnsi"/>
          <w:noProof/>
        </w:rPr>
      </w:pPr>
      <w:r>
        <w:rPr>
          <w:noProof/>
        </w:rPr>
        <w:t xml:space="preserve">ražojumi, kas ir pilnībā iegūti otrā Pusē ORIG.5. panta [Pilnībā iegūti ražojumi] nozīmē, </w:t>
      </w:r>
    </w:p>
    <w:p w:rsidR="003E022D" w:rsidRDefault="007D19D6">
      <w:pPr>
        <w:numPr>
          <w:ilvl w:val="0"/>
          <w:numId w:val="279"/>
        </w:numPr>
        <w:ind w:left="567" w:hanging="567"/>
        <w:rPr>
          <w:rFonts w:cstheme="minorHAnsi"/>
          <w:noProof/>
        </w:rPr>
      </w:pPr>
      <w:r>
        <w:rPr>
          <w:noProof/>
        </w:rPr>
        <w:t xml:space="preserve">ražojumi, kas ražoti otrā Pusē tikai no otras Puses noteiktas izcelsmes materiāliem, un </w:t>
      </w:r>
    </w:p>
    <w:p w:rsidR="003E022D" w:rsidRDefault="007D19D6">
      <w:pPr>
        <w:numPr>
          <w:ilvl w:val="0"/>
          <w:numId w:val="279"/>
        </w:numPr>
        <w:ind w:left="567" w:hanging="567"/>
        <w:rPr>
          <w:rFonts w:cstheme="minorHAnsi"/>
          <w:noProof/>
        </w:rPr>
      </w:pPr>
      <w:r>
        <w:rPr>
          <w:noProof/>
        </w:rPr>
        <w:t>ražojumi, kas ražoti minētajā Pusē un</w:t>
      </w:r>
      <w:r>
        <w:rPr>
          <w:noProof/>
        </w:rPr>
        <w:t xml:space="preserve"> satur nenoteiktas izcelsmes materiālus, ja tie atbilst ORIG-2 PIELIKUMĀ [Konkrētiem ražojumiem piemērojamie izcelsmes noteikumi] izklāstītajām prasībām.</w:t>
      </w:r>
    </w:p>
    <w:p w:rsidR="003E022D" w:rsidRDefault="007D19D6">
      <w:pPr>
        <w:rPr>
          <w:rFonts w:cstheme="minorHAnsi"/>
          <w:noProof/>
        </w:rPr>
      </w:pPr>
      <w:r>
        <w:rPr>
          <w:noProof/>
        </w:rPr>
        <w:t xml:space="preserve">2. </w:t>
      </w:r>
      <w:r>
        <w:rPr>
          <w:noProof/>
        </w:rPr>
        <w:tab/>
        <w:t>Ja ražojums ir ieguvis noteiktas izcelsmes statusu, nenoteiktas izcelsmes materiālus, kas izmantot</w:t>
      </w:r>
      <w:r>
        <w:rPr>
          <w:noProof/>
        </w:rPr>
        <w:t>i šā ražojuma ražošanā, neuzskata par nenoteiktas izcelsmes materiāliem, kad minētais ražojums kā materiāls tiek iekļauts kādā citā ražojumā.</w:t>
      </w:r>
    </w:p>
    <w:p w:rsidR="003E022D" w:rsidRDefault="007D19D6">
      <w:pPr>
        <w:rPr>
          <w:rFonts w:cstheme="minorHAnsi"/>
          <w:noProof/>
        </w:rPr>
      </w:pPr>
      <w:r>
        <w:rPr>
          <w:noProof/>
        </w:rPr>
        <w:t xml:space="preserve">3. </w:t>
      </w:r>
      <w:r>
        <w:rPr>
          <w:noProof/>
        </w:rPr>
        <w:tab/>
        <w:t>Noteiktas izcelsmes statusa iegūšana Apvienotajā Karalistē vai Savienībā ir nepārtraukta.</w:t>
      </w:r>
    </w:p>
    <w:p w:rsidR="003E022D" w:rsidRDefault="007D19D6">
      <w:pPr>
        <w:pStyle w:val="Article"/>
        <w:rPr>
          <w:noProof/>
        </w:rPr>
      </w:pPr>
      <w:r>
        <w:rPr>
          <w:noProof/>
        </w:rPr>
        <w:t xml:space="preserve">ORIG.4. pants. </w:t>
      </w:r>
      <w:bookmarkStart w:id="56" w:name="_Toc58163400"/>
      <w:r>
        <w:rPr>
          <w:noProof/>
        </w:rPr>
        <w:t>Izcelsmes</w:t>
      </w:r>
      <w:bookmarkEnd w:id="56"/>
      <w:r>
        <w:rPr>
          <w:noProof/>
        </w:rPr>
        <w:t xml:space="preserve"> kumulācija</w:t>
      </w:r>
    </w:p>
    <w:p w:rsidR="003E022D" w:rsidRDefault="007D19D6">
      <w:pPr>
        <w:pStyle w:val="ListParagraph"/>
        <w:numPr>
          <w:ilvl w:val="0"/>
          <w:numId w:val="1238"/>
        </w:numPr>
        <w:ind w:left="0" w:firstLine="0"/>
        <w:contextualSpacing w:val="0"/>
        <w:rPr>
          <w:noProof/>
        </w:rPr>
      </w:pPr>
      <w:r>
        <w:rPr>
          <w:noProof/>
        </w:rPr>
        <w:t xml:space="preserve">Kādas Puses noteiktas izcelsmes ražojumu uzskata par otras Puses noteiktas izcelsmes ražojumu, ja šo ražojumu izmanto par materiālu cita ražojuma ražošanai minētajā otrā Pusē. </w:t>
      </w:r>
    </w:p>
    <w:p w:rsidR="003E022D" w:rsidRDefault="007D19D6">
      <w:pPr>
        <w:pStyle w:val="ListParagraph"/>
        <w:numPr>
          <w:ilvl w:val="0"/>
          <w:numId w:val="1238"/>
        </w:numPr>
        <w:ind w:left="0" w:firstLine="0"/>
        <w:contextualSpacing w:val="0"/>
        <w:rPr>
          <w:noProof/>
        </w:rPr>
      </w:pPr>
      <w:r>
        <w:rPr>
          <w:noProof/>
        </w:rPr>
        <w:t>Lai noteiktu, vai ražojums ir otras Puses noteiktas izcels</w:t>
      </w:r>
      <w:r>
        <w:rPr>
          <w:noProof/>
        </w:rPr>
        <w:t xml:space="preserve">mes ražojums, var ņemt vērā kādā Pusē veiktu nenoteiktas izcelsmes materiālam piemērotu ražošanu. </w:t>
      </w:r>
    </w:p>
    <w:p w:rsidR="003E022D" w:rsidRDefault="007D19D6">
      <w:pPr>
        <w:pStyle w:val="ListParagraph"/>
        <w:numPr>
          <w:ilvl w:val="0"/>
          <w:numId w:val="1238"/>
        </w:numPr>
        <w:ind w:left="0" w:firstLine="0"/>
        <w:contextualSpacing w:val="0"/>
        <w:rPr>
          <w:noProof/>
        </w:rPr>
      </w:pPr>
      <w:r>
        <w:rPr>
          <w:noProof/>
        </w:rPr>
        <w:t>Šā panta 1. un 2. punktu nepiemēro, ja otrā Pusē veiktā ražošana nepārsniedz darbības, kas minētas ORIG.7. pantā [Nepietiekama ražošana].</w:t>
      </w:r>
    </w:p>
    <w:p w:rsidR="003E022D" w:rsidRDefault="007D19D6">
      <w:pPr>
        <w:pStyle w:val="ListParagraph"/>
        <w:numPr>
          <w:ilvl w:val="0"/>
          <w:numId w:val="1238"/>
        </w:numPr>
        <w:ind w:left="0" w:firstLine="0"/>
        <w:contextualSpacing w:val="0"/>
        <w:rPr>
          <w:noProof/>
        </w:rPr>
      </w:pPr>
      <w:r>
        <w:rPr>
          <w:noProof/>
        </w:rPr>
        <w:t>Lai eksportētājs va</w:t>
      </w:r>
      <w:r>
        <w:rPr>
          <w:noProof/>
        </w:rPr>
        <w:t xml:space="preserve">rētu aizpildīt ORIG.18. panta [Pieprasījums piemērot preferenciāla tarifa režīmu] 2. punkta a) apakšpunktā minēto paziņojumu par izcelsmi attiecībā uz šā panta 2. punktā minēto ražojumu, eksportētājs no sava piegādātāja saņem ORIG-3 pielikumā [Piegādātāja </w:t>
      </w:r>
      <w:r>
        <w:rPr>
          <w:noProof/>
        </w:rPr>
        <w:t>deklarācija] paredzēto piegādātāja deklarāciju vai līdzvērtīgu dokumentu, kurā ietverta tā pati informācija, pietiekami detalizēti aprakstot attiecīgos nenoteiktas izcelsmes materiālus, lai tos varētu identificēt.</w:t>
      </w:r>
    </w:p>
    <w:p w:rsidR="003E022D" w:rsidRDefault="007D19D6">
      <w:pPr>
        <w:pStyle w:val="Article"/>
        <w:rPr>
          <w:noProof/>
        </w:rPr>
      </w:pPr>
      <w:r>
        <w:rPr>
          <w:noProof/>
        </w:rPr>
        <w:t xml:space="preserve">ORIG.5. pants. </w:t>
      </w:r>
      <w:bookmarkStart w:id="57" w:name="_Toc58163401"/>
      <w:r>
        <w:rPr>
          <w:noProof/>
        </w:rPr>
        <w:t xml:space="preserve">Pilnībā iegūti </w:t>
      </w:r>
      <w:bookmarkEnd w:id="57"/>
      <w:r>
        <w:rPr>
          <w:noProof/>
        </w:rPr>
        <w:t>ražojumi</w:t>
      </w:r>
    </w:p>
    <w:p w:rsidR="003E022D" w:rsidRDefault="007D19D6">
      <w:pPr>
        <w:rPr>
          <w:rFonts w:cstheme="minorHAnsi"/>
          <w:noProof/>
        </w:rPr>
      </w:pPr>
      <w:r>
        <w:rPr>
          <w:noProof/>
        </w:rPr>
        <w:t>1.</w:t>
      </w:r>
      <w:r>
        <w:rPr>
          <w:noProof/>
        </w:rPr>
        <w:tab/>
      </w:r>
      <w:r>
        <w:rPr>
          <w:noProof/>
        </w:rPr>
        <w:t>Šādus ražojumus uzskata par pilnībā iegūtiem kādā no Pusēm:</w:t>
      </w:r>
    </w:p>
    <w:p w:rsidR="003E022D" w:rsidRDefault="007D19D6">
      <w:pPr>
        <w:numPr>
          <w:ilvl w:val="0"/>
          <w:numId w:val="280"/>
        </w:numPr>
        <w:ind w:left="567" w:hanging="567"/>
        <w:rPr>
          <w:rFonts w:cstheme="minorHAnsi"/>
          <w:noProof/>
        </w:rPr>
      </w:pPr>
      <w:r>
        <w:rPr>
          <w:noProof/>
        </w:rPr>
        <w:t xml:space="preserve">minerālprodukti, kas iegūti vai paņemti no to zemes vai jūras gultnes; </w:t>
      </w:r>
    </w:p>
    <w:p w:rsidR="003E022D" w:rsidRDefault="007D19D6">
      <w:pPr>
        <w:numPr>
          <w:ilvl w:val="0"/>
          <w:numId w:val="280"/>
        </w:numPr>
        <w:ind w:left="567" w:hanging="567"/>
        <w:rPr>
          <w:rFonts w:cstheme="minorHAnsi"/>
          <w:noProof/>
          <w:lang w:val="fr-BE"/>
        </w:rPr>
      </w:pPr>
      <w:r>
        <w:rPr>
          <w:noProof/>
          <w:lang w:val="fr-BE"/>
        </w:rPr>
        <w:t>tajā audzēti vai novākti augi un augu valsts produkti;</w:t>
      </w:r>
    </w:p>
    <w:p w:rsidR="003E022D" w:rsidRDefault="007D19D6">
      <w:pPr>
        <w:numPr>
          <w:ilvl w:val="0"/>
          <w:numId w:val="280"/>
        </w:numPr>
        <w:ind w:left="567" w:hanging="567"/>
        <w:rPr>
          <w:rFonts w:cstheme="minorHAnsi"/>
          <w:noProof/>
          <w:lang w:val="fr-BE"/>
        </w:rPr>
      </w:pPr>
      <w:r>
        <w:rPr>
          <w:noProof/>
          <w:lang w:val="fr-BE"/>
        </w:rPr>
        <w:t>tur dzimuši un audzēti dzīvnieki;</w:t>
      </w:r>
      <w:r>
        <w:rPr>
          <w:noProof/>
          <w:lang w:val="fr-BE"/>
        </w:rPr>
        <w:tab/>
      </w:r>
    </w:p>
    <w:p w:rsidR="003E022D" w:rsidRDefault="007D19D6">
      <w:pPr>
        <w:numPr>
          <w:ilvl w:val="0"/>
          <w:numId w:val="280"/>
        </w:numPr>
        <w:ind w:left="567" w:hanging="567"/>
        <w:rPr>
          <w:rFonts w:cstheme="minorHAnsi"/>
          <w:noProof/>
          <w:lang w:val="fr-BE"/>
        </w:rPr>
      </w:pPr>
      <w:r>
        <w:rPr>
          <w:noProof/>
          <w:lang w:val="fr-BE"/>
        </w:rPr>
        <w:t>no tur audzētiem dzīviem dzīvnieki</w:t>
      </w:r>
      <w:r>
        <w:rPr>
          <w:noProof/>
          <w:lang w:val="fr-BE"/>
        </w:rPr>
        <w:t>em iegūti produkti;</w:t>
      </w:r>
    </w:p>
    <w:p w:rsidR="003E022D" w:rsidRDefault="007D19D6">
      <w:pPr>
        <w:numPr>
          <w:ilvl w:val="0"/>
          <w:numId w:val="280"/>
        </w:numPr>
        <w:ind w:left="567" w:hanging="567"/>
        <w:rPr>
          <w:rFonts w:cstheme="minorHAnsi"/>
          <w:noProof/>
          <w:lang w:val="fr-BE"/>
        </w:rPr>
      </w:pPr>
      <w:r>
        <w:rPr>
          <w:noProof/>
          <w:lang w:val="fr-BE"/>
        </w:rPr>
        <w:t>produkti, kas iegūti no nokautiem dzīvniekiem, kuri tur dzimuši un audzēti;</w:t>
      </w:r>
    </w:p>
    <w:p w:rsidR="003E022D" w:rsidRDefault="007D19D6">
      <w:pPr>
        <w:numPr>
          <w:ilvl w:val="0"/>
          <w:numId w:val="280"/>
        </w:numPr>
        <w:ind w:left="567" w:hanging="567"/>
        <w:rPr>
          <w:rFonts w:cstheme="minorHAnsi"/>
          <w:noProof/>
          <w:lang w:val="fr-BE"/>
        </w:rPr>
      </w:pPr>
      <w:r>
        <w:rPr>
          <w:noProof/>
          <w:lang w:val="fr-BE"/>
        </w:rPr>
        <w:t>produkti, kas iegūti, tur medījot un zvejojot;</w:t>
      </w:r>
    </w:p>
    <w:p w:rsidR="003E022D" w:rsidRDefault="007D19D6">
      <w:pPr>
        <w:numPr>
          <w:ilvl w:val="0"/>
          <w:numId w:val="280"/>
        </w:numPr>
        <w:ind w:left="567" w:hanging="567"/>
        <w:rPr>
          <w:rFonts w:cstheme="minorHAnsi"/>
          <w:noProof/>
          <w:lang w:val="fr-BE"/>
        </w:rPr>
      </w:pPr>
      <w:r>
        <w:rPr>
          <w:noProof/>
          <w:lang w:val="fr-BE"/>
        </w:rPr>
        <w:t>produkti, kas tur iegūti akvakultūrā, ja ūdens organismi, tostarp zivis, gliemji, vēžveidīgie, citi ūdens bezmugu</w:t>
      </w:r>
      <w:r>
        <w:rPr>
          <w:noProof/>
          <w:lang w:val="fr-BE"/>
        </w:rPr>
        <w:t>rkaulnieki un ūdensaugi ir tur izšķīlušies vai audzēti no sēklas materiāla, piemēram, oliņām, ikriem, mazuļiem, nepieaugušām zivīm, kāpuriem, plankumotajā stadijā esošiem mazuļiem, smoltiem vai citām dzimumnenobriedušām zivīm pēckāpura stadijā, iejaucoties</w:t>
      </w:r>
      <w:r>
        <w:rPr>
          <w:noProof/>
          <w:lang w:val="fr-BE"/>
        </w:rPr>
        <w:t xml:space="preserve"> audzēšanas vai augšanas procesos, lai veicinātu ražošanu, piemēram, veicot regulāru krājumu papildināšanu, barošanu vai aizsardzību pret plēsējiem;</w:t>
      </w:r>
    </w:p>
    <w:p w:rsidR="003E022D" w:rsidRDefault="007D19D6">
      <w:pPr>
        <w:numPr>
          <w:ilvl w:val="0"/>
          <w:numId w:val="280"/>
        </w:numPr>
        <w:ind w:left="567" w:hanging="567"/>
        <w:rPr>
          <w:rFonts w:cstheme="minorHAnsi"/>
          <w:noProof/>
          <w:lang w:val="fr-BE"/>
        </w:rPr>
      </w:pPr>
      <w:r>
        <w:rPr>
          <w:noProof/>
          <w:lang w:val="fr-BE"/>
        </w:rPr>
        <w:t>produkti, kas iegūti jūras zvejā, un citi produkti, kas iegūti jūrā ar kādas Puses kuģiem ārpus teritoriāla</w:t>
      </w:r>
      <w:r>
        <w:rPr>
          <w:noProof/>
          <w:lang w:val="fr-BE"/>
        </w:rPr>
        <w:t>jiem ūdeņiem;</w:t>
      </w:r>
    </w:p>
    <w:p w:rsidR="003E022D" w:rsidRDefault="007D19D6">
      <w:pPr>
        <w:numPr>
          <w:ilvl w:val="0"/>
          <w:numId w:val="280"/>
        </w:numPr>
        <w:ind w:left="567" w:hanging="567"/>
        <w:rPr>
          <w:rFonts w:cstheme="minorHAnsi"/>
          <w:noProof/>
          <w:lang w:val="fr-BE"/>
        </w:rPr>
      </w:pPr>
      <w:r>
        <w:rPr>
          <w:noProof/>
          <w:lang w:val="fr-BE"/>
        </w:rPr>
        <w:t>ražojumi, kas izgatavoti uz kādas Puses apstrādes kuģiem vienīgi no h) apakšpunktā minētajiem produktiem;</w:t>
      </w:r>
    </w:p>
    <w:p w:rsidR="003E022D" w:rsidRDefault="007D19D6">
      <w:pPr>
        <w:numPr>
          <w:ilvl w:val="0"/>
          <w:numId w:val="280"/>
        </w:numPr>
        <w:ind w:left="567" w:hanging="567"/>
        <w:rPr>
          <w:rFonts w:cstheme="minorHAnsi"/>
          <w:noProof/>
          <w:lang w:val="fr-BE"/>
        </w:rPr>
      </w:pPr>
      <w:r>
        <w:rPr>
          <w:noProof/>
          <w:lang w:val="fr-BE"/>
        </w:rPr>
        <w:t>produkti, kas iegūti no jūras gultnes vai dzīlēm ārpus teritoriālajiem ūdeņiem, ja Pusēm ir tiesības izmantot vai apstrādāt šo jūras gul</w:t>
      </w:r>
      <w:r>
        <w:rPr>
          <w:noProof/>
          <w:lang w:val="fr-BE"/>
        </w:rPr>
        <w:t>tni vai dzīles;</w:t>
      </w:r>
    </w:p>
    <w:p w:rsidR="003E022D" w:rsidRDefault="007D19D6">
      <w:pPr>
        <w:numPr>
          <w:ilvl w:val="0"/>
          <w:numId w:val="280"/>
        </w:numPr>
        <w:ind w:left="567" w:hanging="567"/>
        <w:rPr>
          <w:rFonts w:cstheme="minorHAnsi"/>
          <w:noProof/>
          <w:lang w:val="fr-BE"/>
        </w:rPr>
      </w:pPr>
      <w:r>
        <w:rPr>
          <w:noProof/>
          <w:lang w:val="fr-BE"/>
        </w:rPr>
        <w:t>atkritumi un lūžņi, kas radušies tur veiktās ražošanas darbībās;</w:t>
      </w:r>
    </w:p>
    <w:p w:rsidR="003E022D" w:rsidRDefault="007D19D6">
      <w:pPr>
        <w:numPr>
          <w:ilvl w:val="0"/>
          <w:numId w:val="280"/>
        </w:numPr>
        <w:ind w:left="567" w:hanging="567"/>
        <w:rPr>
          <w:rFonts w:cstheme="minorHAnsi"/>
          <w:noProof/>
          <w:lang w:val="fr-BE"/>
        </w:rPr>
      </w:pPr>
      <w:r>
        <w:rPr>
          <w:noProof/>
          <w:lang w:val="fr-BE"/>
        </w:rPr>
        <w:t xml:space="preserve">no kādā Pusē savāktiem lietotiem ražojumiem iegūti atkritumi un lūžņi, ar nosacījumu, ka minētie ražojumi ir derīgi vienīgi izejvielu atgūšanai; </w:t>
      </w:r>
    </w:p>
    <w:p w:rsidR="003E022D" w:rsidRDefault="007D19D6">
      <w:pPr>
        <w:numPr>
          <w:ilvl w:val="0"/>
          <w:numId w:val="280"/>
        </w:numPr>
        <w:ind w:left="567" w:hanging="567"/>
        <w:rPr>
          <w:rFonts w:cstheme="minorHAnsi"/>
          <w:noProof/>
          <w:lang w:val="fr-BE"/>
        </w:rPr>
      </w:pPr>
      <w:r>
        <w:rPr>
          <w:noProof/>
          <w:lang w:val="fr-BE"/>
        </w:rPr>
        <w:t>ražojumi, ko tur ražo tikai n</w:t>
      </w:r>
      <w:r>
        <w:rPr>
          <w:noProof/>
          <w:lang w:val="fr-BE"/>
        </w:rPr>
        <w:t>o a)–l) apakšpunktā precizētajiem izstrādājumiem.</w:t>
      </w:r>
    </w:p>
    <w:p w:rsidR="003E022D" w:rsidRDefault="007D19D6">
      <w:pPr>
        <w:rPr>
          <w:rFonts w:eastAsia="Times New Roman" w:cstheme="minorHAnsi"/>
          <w:noProof/>
          <w:lang w:val="fr-BE"/>
        </w:rPr>
      </w:pPr>
      <w:r>
        <w:rPr>
          <w:noProof/>
          <w:lang w:val="fr-BE"/>
        </w:rPr>
        <w:t xml:space="preserve">2. </w:t>
      </w:r>
      <w:r>
        <w:rPr>
          <w:noProof/>
          <w:lang w:val="fr-BE"/>
        </w:rPr>
        <w:tab/>
        <w:t>Termini “kādas Puses kuģis” un “kādas Puses apstrādes kuģis” 1. punkta h) un i) apakšpunktā nozīmē kuģi un apstrādes kuģi, kas:</w:t>
      </w:r>
    </w:p>
    <w:p w:rsidR="003E022D" w:rsidRDefault="007D19D6">
      <w:pPr>
        <w:ind w:left="567" w:hanging="567"/>
        <w:rPr>
          <w:rFonts w:cstheme="minorHAnsi"/>
          <w:noProof/>
          <w:lang w:val="fr-BE"/>
        </w:rPr>
      </w:pPr>
      <w:r>
        <w:rPr>
          <w:noProof/>
          <w:lang w:val="fr-BE"/>
        </w:rPr>
        <w:t>a)</w:t>
      </w:r>
      <w:r>
        <w:rPr>
          <w:noProof/>
          <w:lang w:val="fr-BE"/>
        </w:rPr>
        <w:tab/>
        <w:t xml:space="preserve">ir reģistrēts kādā dalībvalstī vai Apvienotajā Karalistē; </w:t>
      </w:r>
    </w:p>
    <w:p w:rsidR="003E022D" w:rsidRDefault="007D19D6">
      <w:pPr>
        <w:ind w:left="567" w:hanging="567"/>
        <w:rPr>
          <w:rFonts w:cstheme="minorHAnsi"/>
          <w:noProof/>
          <w:lang w:val="fr-BE"/>
        </w:rPr>
      </w:pPr>
      <w:r>
        <w:rPr>
          <w:noProof/>
          <w:lang w:val="fr-BE"/>
        </w:rPr>
        <w:t>b)</w:t>
      </w:r>
      <w:r>
        <w:rPr>
          <w:noProof/>
          <w:lang w:val="fr-BE"/>
        </w:rPr>
        <w:tab/>
        <w:t>kuģo ar k</w:t>
      </w:r>
      <w:r>
        <w:rPr>
          <w:noProof/>
          <w:lang w:val="fr-BE"/>
        </w:rPr>
        <w:t>ādas dalībvalsts vai Apvienotās Karalistes karogu un</w:t>
      </w:r>
    </w:p>
    <w:p w:rsidR="003E022D" w:rsidRDefault="007D19D6">
      <w:pPr>
        <w:ind w:left="567" w:hanging="567"/>
        <w:rPr>
          <w:rFonts w:cstheme="minorHAnsi"/>
          <w:noProof/>
        </w:rPr>
      </w:pPr>
      <w:r>
        <w:rPr>
          <w:noProof/>
        </w:rPr>
        <w:t>c)</w:t>
      </w:r>
      <w:r>
        <w:rPr>
          <w:noProof/>
        </w:rPr>
        <w:tab/>
        <w:t>atbilst vienam no turpmāk minētajiem nosacījumiem:</w:t>
      </w:r>
    </w:p>
    <w:p w:rsidR="003E022D" w:rsidRDefault="007D19D6">
      <w:pPr>
        <w:tabs>
          <w:tab w:val="left" w:pos="1302"/>
          <w:tab w:val="left" w:pos="1701"/>
          <w:tab w:val="center" w:pos="8333"/>
          <w:tab w:val="left" w:pos="9466"/>
          <w:tab w:val="left" w:pos="11574"/>
        </w:tabs>
        <w:ind w:left="876" w:hanging="1172"/>
        <w:rPr>
          <w:rFonts w:eastAsia="Times New Roman" w:cstheme="minorHAnsi"/>
          <w:noProof/>
        </w:rPr>
      </w:pPr>
      <w:r>
        <w:rPr>
          <w:noProof/>
        </w:rPr>
        <w:tab/>
        <w:t>i)</w:t>
      </w:r>
      <w:r>
        <w:rPr>
          <w:noProof/>
        </w:rPr>
        <w:tab/>
        <w:t>vismaz 50 % pieder kādas dalībvalsts vai Apvienotās Karalistes valstspiederīgajiem vai</w:t>
      </w:r>
    </w:p>
    <w:p w:rsidR="003E022D" w:rsidRDefault="007D19D6">
      <w:pPr>
        <w:tabs>
          <w:tab w:val="left" w:pos="877"/>
          <w:tab w:val="left" w:pos="1276"/>
          <w:tab w:val="center" w:pos="7908"/>
          <w:tab w:val="left" w:pos="9041"/>
          <w:tab w:val="left" w:pos="11149"/>
        </w:tabs>
        <w:ind w:left="1276" w:hanging="1276"/>
        <w:rPr>
          <w:rFonts w:eastAsia="Times New Roman" w:cstheme="minorHAnsi"/>
          <w:noProof/>
        </w:rPr>
      </w:pPr>
      <w:r>
        <w:rPr>
          <w:noProof/>
        </w:rPr>
        <w:tab/>
        <w:t>ii)</w:t>
      </w:r>
      <w:r>
        <w:rPr>
          <w:noProof/>
        </w:rPr>
        <w:tab/>
        <w:t xml:space="preserve">pieder juridiskām personām: </w:t>
      </w:r>
    </w:p>
    <w:p w:rsidR="003E022D" w:rsidRDefault="007D19D6">
      <w:pPr>
        <w:tabs>
          <w:tab w:val="left" w:pos="877"/>
          <w:tab w:val="left" w:pos="1276"/>
          <w:tab w:val="center" w:pos="7908"/>
          <w:tab w:val="left" w:pos="9041"/>
          <w:tab w:val="left" w:pos="11149"/>
        </w:tabs>
        <w:ind w:left="1276" w:hanging="1276"/>
        <w:rPr>
          <w:rFonts w:eastAsia="Times New Roman" w:cstheme="minorHAnsi"/>
          <w:noProof/>
        </w:rPr>
      </w:pPr>
      <w:r>
        <w:rPr>
          <w:noProof/>
        </w:rPr>
        <w:tab/>
      </w:r>
      <w:r>
        <w:rPr>
          <w:noProof/>
        </w:rPr>
        <w:tab/>
      </w:r>
      <w:r>
        <w:rPr>
          <w:noProof/>
        </w:rPr>
        <w:t xml:space="preserve">A) no kurām katrai galvenais birojs un galvenā darījumdarbības vieta ir Savienībā vai Apvienotajā Karalistē un </w:t>
      </w:r>
    </w:p>
    <w:p w:rsidR="003E022D" w:rsidRDefault="007D19D6">
      <w:pPr>
        <w:tabs>
          <w:tab w:val="left" w:pos="877"/>
          <w:tab w:val="left" w:pos="1276"/>
          <w:tab w:val="center" w:pos="7908"/>
          <w:tab w:val="left" w:pos="9041"/>
          <w:tab w:val="left" w:pos="11149"/>
        </w:tabs>
        <w:ind w:left="1276" w:hanging="1276"/>
        <w:rPr>
          <w:rFonts w:eastAsia="Times New Roman" w:cstheme="minorHAnsi"/>
          <w:noProof/>
        </w:rPr>
      </w:pPr>
      <w:r>
        <w:rPr>
          <w:noProof/>
        </w:rPr>
        <w:tab/>
      </w:r>
      <w:r>
        <w:rPr>
          <w:noProof/>
        </w:rPr>
        <w:tab/>
        <w:t>B) no kurām katra vismaz 50 % apmērā pieder kādas dalībvalsts vai Apvienotās Karalistes publiskām struktūrām, valstspiederīgajiem vai juridisk</w:t>
      </w:r>
      <w:r>
        <w:rPr>
          <w:noProof/>
        </w:rPr>
        <w:t>ām personām.</w:t>
      </w:r>
    </w:p>
    <w:p w:rsidR="003E022D" w:rsidRDefault="007D19D6">
      <w:pPr>
        <w:pStyle w:val="Article"/>
        <w:rPr>
          <w:rFonts w:cstheme="minorHAnsi"/>
          <w:noProof/>
        </w:rPr>
      </w:pPr>
      <w:r>
        <w:rPr>
          <w:noProof/>
        </w:rPr>
        <w:t xml:space="preserve"> </w:t>
      </w:r>
      <w:bookmarkStart w:id="58" w:name="_Toc58163402"/>
      <w:r>
        <w:rPr>
          <w:noProof/>
        </w:rPr>
        <w:t>ORIG.6. pants. Pielaides</w:t>
      </w:r>
      <w:bookmarkEnd w:id="58"/>
    </w:p>
    <w:p w:rsidR="003E022D" w:rsidRDefault="007D19D6">
      <w:pPr>
        <w:numPr>
          <w:ilvl w:val="0"/>
          <w:numId w:val="282"/>
        </w:numPr>
        <w:ind w:left="0" w:firstLine="0"/>
        <w:rPr>
          <w:rFonts w:eastAsia="Times New Roman" w:cstheme="minorHAnsi"/>
          <w:noProof/>
        </w:rPr>
      </w:pPr>
      <w:r>
        <w:rPr>
          <w:noProof/>
        </w:rPr>
        <w:t>Ja ražojums neatbilst prasībām, kas izklāstītas ORIG-2 PIELIKUMĀ [Konkrētiem ražojumiem piemērojamie izcelsmes noteikumi], jo tā ražošanā ir izmantots nenoteiktas izcelsmes materiāls, minēto ražojumu tomēr uzskata par</w:t>
      </w:r>
      <w:r>
        <w:rPr>
          <w:noProof/>
        </w:rPr>
        <w:t xml:space="preserve"> kādas Puses izcelsmes ražojumu, ja:</w:t>
      </w:r>
    </w:p>
    <w:p w:rsidR="003E022D" w:rsidRDefault="007D19D6">
      <w:pPr>
        <w:ind w:left="567" w:hanging="567"/>
        <w:rPr>
          <w:rFonts w:eastAsia="Times New Roman" w:cstheme="minorHAnsi"/>
          <w:noProof/>
        </w:rPr>
      </w:pPr>
      <w:r>
        <w:rPr>
          <w:noProof/>
        </w:rPr>
        <w:t xml:space="preserve">a) </w:t>
      </w:r>
      <w:r>
        <w:rPr>
          <w:noProof/>
        </w:rPr>
        <w:tab/>
        <w:t>nenoteiktas izcelsmes materiālu, kas izmantoti to ražojumu ražošanā, kuri klasificēti Harmonizētās sistēmas 2. un 4.–24. nodaļā, izņemot 16. nodaļā minētos pārstrādātos zvejniecības produktus, kopējais svars nepārsn</w:t>
      </w:r>
      <w:r>
        <w:rPr>
          <w:noProof/>
        </w:rPr>
        <w:t>iedz 15 % no ražojuma svara;</w:t>
      </w:r>
    </w:p>
    <w:p w:rsidR="003E022D" w:rsidRDefault="007D19D6">
      <w:pPr>
        <w:ind w:left="567" w:hanging="567"/>
        <w:rPr>
          <w:rFonts w:eastAsia="Times New Roman" w:cstheme="minorHAnsi"/>
          <w:noProof/>
          <w:color w:val="0070C0"/>
        </w:rPr>
      </w:pPr>
      <w:r>
        <w:rPr>
          <w:noProof/>
        </w:rPr>
        <w:t xml:space="preserve"> b) </w:t>
      </w:r>
      <w:r>
        <w:rPr>
          <w:noProof/>
        </w:rPr>
        <w:tab/>
        <w:t>nenoteiktas izcelsmes materiālu kopējā vērtība visiem pārējiem ražojumiem, izņemot Harmonizētās sistēmas 50.–63. nodaļā klasificētos ražojumus, nepārsniedz 10 % no ražojuma ražotāja cenas; vai</w:t>
      </w:r>
    </w:p>
    <w:p w:rsidR="003E022D" w:rsidRDefault="007D19D6">
      <w:pPr>
        <w:ind w:left="567" w:hanging="567"/>
        <w:rPr>
          <w:rFonts w:eastAsia="Times New Roman" w:cstheme="minorHAnsi"/>
          <w:noProof/>
        </w:rPr>
      </w:pPr>
      <w:r>
        <w:rPr>
          <w:noProof/>
        </w:rPr>
        <w:t xml:space="preserve">c) </w:t>
      </w:r>
      <w:r>
        <w:rPr>
          <w:noProof/>
        </w:rPr>
        <w:tab/>
        <w:t xml:space="preserve">ražojumam, kas </w:t>
      </w:r>
      <w:r>
        <w:rPr>
          <w:noProof/>
        </w:rPr>
        <w:t>klasificēts Harmonizētās sistēmas 50.–63. nodaļā, piemēro pielaides, kas noteiktas ORIG-1 PIELIKUMA [Ievadpiezīmes par konkrētiem ražojumiem piemērojamiem izcelsmes noteikumiem] 7. un 8. piezīmē.</w:t>
      </w:r>
    </w:p>
    <w:p w:rsidR="003E022D" w:rsidRDefault="007D19D6">
      <w:pPr>
        <w:rPr>
          <w:rFonts w:eastAsia="Times New Roman" w:cstheme="minorHAnsi"/>
          <w:noProof/>
        </w:rPr>
      </w:pPr>
      <w:r>
        <w:rPr>
          <w:noProof/>
        </w:rPr>
        <w:t xml:space="preserve">2. </w:t>
      </w:r>
      <w:r>
        <w:rPr>
          <w:noProof/>
        </w:rPr>
        <w:tab/>
      </w:r>
      <w:bookmarkStart w:id="59" w:name="_Hlk58751569"/>
      <w:r>
        <w:rPr>
          <w:noProof/>
        </w:rPr>
        <w:t>Šā panta 1. punktu nepiemēro</w:t>
      </w:r>
      <w:bookmarkEnd w:id="59"/>
      <w:r>
        <w:rPr>
          <w:noProof/>
        </w:rPr>
        <w:t>, ja ražojuma ražošanā izman</w:t>
      </w:r>
      <w:r>
        <w:rPr>
          <w:noProof/>
        </w:rPr>
        <w:t>toto nenoteiktas izcelsmes materiālu vērtība vai svars pārsniedz kādu nenoteiktas izcelsmes materiālu maksimālās vērtības vai svara procentuālo daudzumu, kā noteikts ORIG-2 PIELIKUMĀ [Konkrētiem ražojumiem piemērojamie izcelsmes noteikumi] izklāstītajās pr</w:t>
      </w:r>
      <w:r>
        <w:rPr>
          <w:noProof/>
        </w:rPr>
        <w:t>asībās.</w:t>
      </w:r>
    </w:p>
    <w:p w:rsidR="003E022D" w:rsidRDefault="007D19D6">
      <w:pPr>
        <w:rPr>
          <w:rFonts w:eastAsia="Times New Roman" w:cstheme="minorHAnsi"/>
          <w:noProof/>
        </w:rPr>
      </w:pPr>
      <w:r>
        <w:rPr>
          <w:noProof/>
        </w:rPr>
        <w:t xml:space="preserve">3. </w:t>
      </w:r>
      <w:r>
        <w:rPr>
          <w:noProof/>
        </w:rPr>
        <w:tab/>
        <w:t>Šā panta 1. punktu nepiemēro ražojumiem, kas pilnībā iegūti kādā Pusē ORIG.5. panta [Pilnībā iegūti ražojumi] nozīmē. Ja ORIG-2 PIELIKUMĀ [Konkrētiem ražojumiem piemērojamie izcelsmes noteikumi] paredzēts, ka ražojuma ražošanā izmantotajiem mat</w:t>
      </w:r>
      <w:r>
        <w:rPr>
          <w:noProof/>
        </w:rPr>
        <w:t>eriāliem jābūt pilnībā iegūtiem, piemēro šā panta 1. un 2. punktu.</w:t>
      </w:r>
    </w:p>
    <w:p w:rsidR="003E022D" w:rsidRDefault="007D19D6">
      <w:pPr>
        <w:pStyle w:val="Article"/>
        <w:rPr>
          <w:noProof/>
        </w:rPr>
      </w:pPr>
      <w:bookmarkStart w:id="60" w:name="_Toc58163403"/>
      <w:r>
        <w:rPr>
          <w:noProof/>
        </w:rPr>
        <w:t>ORIG.7. pants. Nepietiekama ražošana</w:t>
      </w:r>
      <w:bookmarkEnd w:id="60"/>
    </w:p>
    <w:p w:rsidR="003E022D" w:rsidRDefault="007D19D6">
      <w:pPr>
        <w:rPr>
          <w:rFonts w:eastAsia="Times New Roman" w:cstheme="minorHAnsi"/>
          <w:noProof/>
          <w:color w:val="0070C0"/>
        </w:rPr>
      </w:pPr>
      <w:r>
        <w:rPr>
          <w:noProof/>
        </w:rPr>
        <w:t>1.</w:t>
      </w:r>
      <w:r>
        <w:rPr>
          <w:noProof/>
        </w:rPr>
        <w:tab/>
        <w:t>Neatkarīgi no ORIG.3. panta [Vispārīgas prasības] 1. punkta c) apakšpunkta, ražojumu neuzskata par kādas Puses izcelsmes ražojumu, ja ražojuma ražoša</w:t>
      </w:r>
      <w:r>
        <w:rPr>
          <w:noProof/>
        </w:rPr>
        <w:t>na kādā Pusē sastāv tikai no vienas vai vairākām šādām darbībām, kuras veic nenoteiktas izcelsmes materiāliem:</w:t>
      </w:r>
    </w:p>
    <w:p w:rsidR="003E022D" w:rsidRDefault="007D19D6">
      <w:pPr>
        <w:ind w:left="567" w:hanging="567"/>
        <w:rPr>
          <w:rFonts w:cstheme="minorHAnsi"/>
          <w:noProof/>
        </w:rPr>
      </w:pPr>
      <w:r>
        <w:rPr>
          <w:noProof/>
        </w:rPr>
        <w:t>a)</w:t>
      </w:r>
      <w:r>
        <w:rPr>
          <w:noProof/>
        </w:rPr>
        <w:tab/>
        <w:t>saglabāšanas darbības, piemēram, žāvēšana, saldēšana, turēšana sālījumā un citas līdzīgas darbības, ja to vienīgais mērķis ir nodrošināt ražoj</w:t>
      </w:r>
      <w:r>
        <w:rPr>
          <w:noProof/>
        </w:rPr>
        <w:t>umu uzturēšanu labā stāvoklī pārvadāšanas un uzglabāšanas</w:t>
      </w:r>
      <w:r>
        <w:rPr>
          <w:rFonts w:cstheme="minorHAnsi"/>
          <w:noProof/>
          <w:vertAlign w:val="superscript"/>
          <w:lang w:val="fr-BE"/>
        </w:rPr>
        <w:footnoteReference w:id="2"/>
      </w:r>
      <w:r>
        <w:rPr>
          <w:noProof/>
        </w:rPr>
        <w:t xml:space="preserve"> laikā;</w:t>
      </w:r>
    </w:p>
    <w:p w:rsidR="003E022D" w:rsidRDefault="007D19D6">
      <w:pPr>
        <w:ind w:left="567" w:hanging="567"/>
        <w:rPr>
          <w:rFonts w:cstheme="minorHAnsi"/>
          <w:noProof/>
        </w:rPr>
      </w:pPr>
      <w:r>
        <w:rPr>
          <w:noProof/>
        </w:rPr>
        <w:t>b)</w:t>
      </w:r>
      <w:r>
        <w:rPr>
          <w:noProof/>
        </w:rPr>
        <w:tab/>
        <w:t>iepakojumu sadalīšana vai salikšana;</w:t>
      </w:r>
    </w:p>
    <w:p w:rsidR="003E022D" w:rsidRDefault="007D19D6">
      <w:pPr>
        <w:ind w:left="567" w:hanging="567"/>
        <w:rPr>
          <w:rFonts w:cstheme="minorHAnsi"/>
          <w:noProof/>
        </w:rPr>
      </w:pPr>
      <w:r>
        <w:rPr>
          <w:noProof/>
        </w:rPr>
        <w:t>c)</w:t>
      </w:r>
      <w:r>
        <w:rPr>
          <w:noProof/>
        </w:rPr>
        <w:tab/>
        <w:t xml:space="preserve">mazgāšana, tīrīšana; putekļu, oksīdu, eļļu, krāsu vai citu segumu noņemšana; </w:t>
      </w:r>
    </w:p>
    <w:p w:rsidR="003E022D" w:rsidRDefault="007D19D6">
      <w:pPr>
        <w:ind w:left="567" w:hanging="567"/>
        <w:rPr>
          <w:rFonts w:cstheme="minorHAnsi"/>
          <w:noProof/>
        </w:rPr>
      </w:pPr>
      <w:r>
        <w:rPr>
          <w:noProof/>
        </w:rPr>
        <w:t xml:space="preserve">d) </w:t>
      </w:r>
      <w:r>
        <w:rPr>
          <w:noProof/>
        </w:rPr>
        <w:tab/>
        <w:t>tekstilmateriālu un tekstilizstrādājumu gludināšana vai presēšana</w:t>
      </w:r>
      <w:r>
        <w:rPr>
          <w:noProof/>
        </w:rPr>
        <w:t>;</w:t>
      </w:r>
    </w:p>
    <w:p w:rsidR="003E022D" w:rsidRDefault="007D19D6">
      <w:pPr>
        <w:ind w:left="567" w:hanging="567"/>
        <w:rPr>
          <w:rFonts w:cstheme="minorHAnsi"/>
          <w:noProof/>
        </w:rPr>
      </w:pPr>
      <w:r>
        <w:rPr>
          <w:noProof/>
        </w:rPr>
        <w:t>e)</w:t>
      </w:r>
      <w:r>
        <w:rPr>
          <w:noProof/>
        </w:rPr>
        <w:tab/>
        <w:t>vienkāršas krāsošanas un pulēšanas darbības;</w:t>
      </w:r>
    </w:p>
    <w:p w:rsidR="003E022D" w:rsidRDefault="007D19D6">
      <w:pPr>
        <w:ind w:left="567" w:hanging="567"/>
        <w:rPr>
          <w:rFonts w:cstheme="minorHAnsi"/>
          <w:noProof/>
        </w:rPr>
      </w:pPr>
      <w:r>
        <w:rPr>
          <w:noProof/>
        </w:rPr>
        <w:t>f)</w:t>
      </w:r>
      <w:r>
        <w:rPr>
          <w:noProof/>
        </w:rPr>
        <w:tab/>
        <w:t>rīsu atsēnalošana un daļēja vai pilnīga samalšana; graudaugu un rīsu pulēšana un glazēšana; rīsu balināšana;</w:t>
      </w:r>
    </w:p>
    <w:p w:rsidR="003E022D" w:rsidRDefault="007D19D6">
      <w:pPr>
        <w:ind w:left="567" w:hanging="567"/>
        <w:rPr>
          <w:rFonts w:cstheme="minorHAnsi"/>
          <w:noProof/>
        </w:rPr>
      </w:pPr>
      <w:r>
        <w:rPr>
          <w:noProof/>
        </w:rPr>
        <w:t xml:space="preserve">g) </w:t>
      </w:r>
      <w:r>
        <w:rPr>
          <w:noProof/>
        </w:rPr>
        <w:tab/>
        <w:t>darbības cukura iekrāsošanai vai aromatizēšanai vai cukurgraudiņu veidošanai; cieta cukura</w:t>
      </w:r>
      <w:r>
        <w:rPr>
          <w:noProof/>
        </w:rPr>
        <w:t xml:space="preserve"> daļēja vai pilnīga samalšana;</w:t>
      </w:r>
    </w:p>
    <w:p w:rsidR="003E022D" w:rsidRDefault="007D19D6">
      <w:pPr>
        <w:ind w:left="567" w:hanging="567"/>
        <w:rPr>
          <w:rFonts w:cstheme="minorHAnsi"/>
          <w:noProof/>
        </w:rPr>
      </w:pPr>
      <w:r>
        <w:rPr>
          <w:noProof/>
        </w:rPr>
        <w:t xml:space="preserve">h) </w:t>
      </w:r>
      <w:r>
        <w:rPr>
          <w:noProof/>
        </w:rPr>
        <w:tab/>
        <w:t>augļu, riekstu un dārzeņu mizošana, kauliņu izņemšana un lobīšana;</w:t>
      </w:r>
    </w:p>
    <w:p w:rsidR="003E022D" w:rsidRDefault="007D19D6">
      <w:pPr>
        <w:ind w:left="567" w:hanging="567"/>
        <w:rPr>
          <w:rFonts w:cstheme="minorHAnsi"/>
          <w:noProof/>
        </w:rPr>
      </w:pPr>
      <w:r>
        <w:rPr>
          <w:noProof/>
        </w:rPr>
        <w:t xml:space="preserve">i) </w:t>
      </w:r>
      <w:r>
        <w:rPr>
          <w:noProof/>
        </w:rPr>
        <w:tab/>
        <w:t>asināšana, vienkārša slīpēšana vai vienkārša sadalīšana;</w:t>
      </w:r>
    </w:p>
    <w:p w:rsidR="003E022D" w:rsidRDefault="007D19D6">
      <w:pPr>
        <w:ind w:left="567" w:hanging="567"/>
        <w:rPr>
          <w:rFonts w:cstheme="minorHAnsi"/>
          <w:noProof/>
        </w:rPr>
      </w:pPr>
      <w:r>
        <w:rPr>
          <w:noProof/>
        </w:rPr>
        <w:t>j)</w:t>
      </w:r>
      <w:r>
        <w:rPr>
          <w:noProof/>
        </w:rPr>
        <w:tab/>
        <w:t xml:space="preserve">sijāšana, šķirošana, sadalīšana, klasificēšana, piemeklēšana (ietverot preču </w:t>
      </w:r>
      <w:r>
        <w:rPr>
          <w:noProof/>
        </w:rPr>
        <w:t>komplektēšanu);</w:t>
      </w:r>
    </w:p>
    <w:p w:rsidR="003E022D" w:rsidRDefault="007D19D6">
      <w:pPr>
        <w:ind w:left="567" w:hanging="567"/>
        <w:rPr>
          <w:rFonts w:cstheme="minorHAnsi"/>
          <w:noProof/>
        </w:rPr>
      </w:pPr>
      <w:r>
        <w:rPr>
          <w:noProof/>
        </w:rPr>
        <w:t xml:space="preserve">k) </w:t>
      </w:r>
      <w:r>
        <w:rPr>
          <w:noProof/>
        </w:rPr>
        <w:tab/>
        <w:t>vienkārša iepildīšana pudelēs, bundžās, flakonos, maisos, kastēs, kārbās, piestiprināšana pie kartītēm vai plāksnēm un visas pārējās vienkāršās iepakošanas darbības;</w:t>
      </w:r>
    </w:p>
    <w:p w:rsidR="003E022D" w:rsidRDefault="007D19D6">
      <w:pPr>
        <w:ind w:left="567" w:hanging="567"/>
        <w:rPr>
          <w:rFonts w:cstheme="minorHAnsi"/>
          <w:noProof/>
        </w:rPr>
      </w:pPr>
      <w:r>
        <w:rPr>
          <w:noProof/>
        </w:rPr>
        <w:t xml:space="preserve">l) </w:t>
      </w:r>
      <w:r>
        <w:rPr>
          <w:noProof/>
        </w:rPr>
        <w:tab/>
        <w:t>uzrakstu, etiķešu, logotipu un citu tamlīdzīgu atšķirības zīmju pi</w:t>
      </w:r>
      <w:r>
        <w:rPr>
          <w:noProof/>
        </w:rPr>
        <w:t>estiprināšana vai uzdrukāšana uz ražojumiem vai to iesaiņojuma;</w:t>
      </w:r>
    </w:p>
    <w:p w:rsidR="003E022D" w:rsidRDefault="007D19D6">
      <w:pPr>
        <w:ind w:left="567" w:hanging="567"/>
        <w:rPr>
          <w:rFonts w:cstheme="minorHAnsi"/>
          <w:noProof/>
        </w:rPr>
      </w:pPr>
      <w:r>
        <w:rPr>
          <w:noProof/>
        </w:rPr>
        <w:t xml:space="preserve">m) </w:t>
      </w:r>
      <w:r>
        <w:rPr>
          <w:noProof/>
        </w:rPr>
        <w:tab/>
        <w:t>vienkārša vienādu vai dažādu produktu sajaukšana; cukura sajaukšana ar jebkādiem citiem materiāliem;</w:t>
      </w:r>
    </w:p>
    <w:p w:rsidR="003E022D" w:rsidRDefault="007D19D6">
      <w:pPr>
        <w:ind w:left="567" w:hanging="567"/>
        <w:rPr>
          <w:rFonts w:cstheme="minorHAnsi"/>
          <w:noProof/>
        </w:rPr>
      </w:pPr>
      <w:r>
        <w:rPr>
          <w:noProof/>
        </w:rPr>
        <w:t xml:space="preserve">n) </w:t>
      </w:r>
      <w:r>
        <w:rPr>
          <w:noProof/>
        </w:rPr>
        <w:tab/>
        <w:t xml:space="preserve">vienkārša ūdens pievienošana vai atšķaidīšana ar ūdeni vai citu vielu, kas būtiski </w:t>
      </w:r>
      <w:r>
        <w:rPr>
          <w:noProof/>
        </w:rPr>
        <w:t xml:space="preserve">nemaina ražojuma īpašības, vai ražojumu dehidratācija vai denaturācija; </w:t>
      </w:r>
    </w:p>
    <w:p w:rsidR="003E022D" w:rsidRDefault="007D19D6">
      <w:pPr>
        <w:ind w:left="567" w:hanging="567"/>
        <w:rPr>
          <w:rFonts w:cstheme="minorHAnsi"/>
          <w:noProof/>
        </w:rPr>
      </w:pPr>
      <w:r>
        <w:rPr>
          <w:noProof/>
        </w:rPr>
        <w:t xml:space="preserve">o) </w:t>
      </w:r>
      <w:r>
        <w:rPr>
          <w:noProof/>
        </w:rPr>
        <w:tab/>
        <w:t>vienkārša sastāvdaļu salikšana, lai iegūtu gatavu ražojumu, vai ražojumu izjaukšana pa daļām;</w:t>
      </w:r>
    </w:p>
    <w:p w:rsidR="003E022D" w:rsidRDefault="007D19D6">
      <w:pPr>
        <w:ind w:left="567" w:hanging="567"/>
        <w:rPr>
          <w:rFonts w:cstheme="minorHAnsi"/>
          <w:noProof/>
        </w:rPr>
      </w:pPr>
      <w:r>
        <w:rPr>
          <w:noProof/>
        </w:rPr>
        <w:t>p)</w:t>
      </w:r>
      <w:r>
        <w:rPr>
          <w:noProof/>
        </w:rPr>
        <w:tab/>
        <w:t>dzīvnieku kaušana.</w:t>
      </w:r>
    </w:p>
    <w:p w:rsidR="003E022D" w:rsidRDefault="007D19D6">
      <w:pPr>
        <w:rPr>
          <w:rFonts w:eastAsia="Times New Roman" w:cstheme="minorHAnsi"/>
          <w:noProof/>
          <w:color w:val="000000" w:themeColor="text1"/>
        </w:rPr>
      </w:pPr>
      <w:r>
        <w:rPr>
          <w:noProof/>
        </w:rPr>
        <w:t>2.</w:t>
      </w:r>
      <w:r>
        <w:rPr>
          <w:noProof/>
        </w:rPr>
        <w:tab/>
        <w:t xml:space="preserve">Panta 1. punkta nolūkos darbības uzskata par vienkāršām, ja </w:t>
      </w:r>
      <w:r>
        <w:rPr>
          <w:noProof/>
        </w:rPr>
        <w:t>to veikšanai nav vajadzīgas īpašas prasmes vai mehānismi, iekārtas vai aprīkojums, kas īpaši izgatavots vai uzstādīts un nepieciešams minēto darbību veikšanai.</w:t>
      </w:r>
    </w:p>
    <w:p w:rsidR="003E022D" w:rsidRDefault="007D19D6">
      <w:pPr>
        <w:pStyle w:val="Article"/>
        <w:rPr>
          <w:noProof/>
        </w:rPr>
      </w:pPr>
      <w:r>
        <w:rPr>
          <w:noProof/>
        </w:rPr>
        <w:t xml:space="preserve"> ORIG.8. pants. </w:t>
      </w:r>
      <w:bookmarkStart w:id="61" w:name="_Toc58163404"/>
      <w:r>
        <w:rPr>
          <w:noProof/>
        </w:rPr>
        <w:t>Kvalifikācijas</w:t>
      </w:r>
      <w:bookmarkEnd w:id="61"/>
      <w:r>
        <w:rPr>
          <w:noProof/>
        </w:rPr>
        <w:t xml:space="preserve"> vienība</w:t>
      </w:r>
    </w:p>
    <w:p w:rsidR="003E022D" w:rsidRDefault="007D19D6">
      <w:pPr>
        <w:rPr>
          <w:noProof/>
        </w:rPr>
      </w:pPr>
      <w:r>
        <w:rPr>
          <w:noProof/>
        </w:rPr>
        <w:t>1.</w:t>
      </w:r>
      <w:r>
        <w:rPr>
          <w:noProof/>
        </w:rPr>
        <w:tab/>
        <w:t>Kvalifikācijas vienība šīs nodaļas noteikumu piemēroša</w:t>
      </w:r>
      <w:r>
        <w:rPr>
          <w:noProof/>
        </w:rPr>
        <w:t>nai ir konkrētais ražojums, ko uzskata par pamatvienību, klasificējot ražojumu Harmonizētajā sistēmā.</w:t>
      </w:r>
    </w:p>
    <w:p w:rsidR="003E022D" w:rsidRDefault="007D19D6">
      <w:pPr>
        <w:rPr>
          <w:noProof/>
        </w:rPr>
      </w:pPr>
      <w:r>
        <w:rPr>
          <w:noProof/>
        </w:rPr>
        <w:t>2. Ja sūtījumā ir vairāki vienādi ražojumi, kas Harmonizētajā sistēmā klasificēti vienā pozīcijā, tad, piemērojot šīs nodaļas noteikumus, katru ražojumu ņ</w:t>
      </w:r>
      <w:r>
        <w:rPr>
          <w:noProof/>
        </w:rPr>
        <w:t>em vērā atsevišķi.</w:t>
      </w:r>
    </w:p>
    <w:p w:rsidR="003E022D" w:rsidRDefault="007D19D6">
      <w:pPr>
        <w:pStyle w:val="Article"/>
        <w:rPr>
          <w:noProof/>
          <w:lang w:val="fr-BE"/>
        </w:rPr>
      </w:pPr>
      <w:r>
        <w:rPr>
          <w:noProof/>
          <w:lang w:val="fr-BE"/>
        </w:rPr>
        <w:t xml:space="preserve">ORIG.9. pants. </w:t>
      </w:r>
      <w:bookmarkStart w:id="62" w:name="_Toc58163405"/>
      <w:r>
        <w:rPr>
          <w:noProof/>
          <w:lang w:val="fr-BE"/>
        </w:rPr>
        <w:t>Iepakojuma materiāli un tara</w:t>
      </w:r>
      <w:bookmarkEnd w:id="62"/>
      <w:r>
        <w:rPr>
          <w:noProof/>
          <w:lang w:val="fr-BE"/>
        </w:rPr>
        <w:t xml:space="preserve"> pārvadāšanai</w:t>
      </w:r>
    </w:p>
    <w:p w:rsidR="003E022D" w:rsidRDefault="007D19D6">
      <w:pPr>
        <w:rPr>
          <w:rFonts w:eastAsia="Times New Roman" w:cstheme="minorHAnsi"/>
          <w:noProof/>
          <w:lang w:val="fr-BE"/>
        </w:rPr>
      </w:pPr>
      <w:r>
        <w:rPr>
          <w:noProof/>
          <w:lang w:val="fr-BE"/>
        </w:rPr>
        <w:t xml:space="preserve">Iepakojuma materiālus un taru, ko izmanto ražojuma aizsargāšanai transportēšanas laikā, neņem vērā, nosakot ražojuma noteiktas izcelsmes statusu. </w:t>
      </w:r>
    </w:p>
    <w:p w:rsidR="003E022D" w:rsidRDefault="007D19D6">
      <w:pPr>
        <w:pStyle w:val="Article"/>
        <w:rPr>
          <w:noProof/>
          <w:lang w:val="fr-BE"/>
        </w:rPr>
      </w:pPr>
      <w:r>
        <w:rPr>
          <w:noProof/>
          <w:lang w:val="fr-BE"/>
        </w:rPr>
        <w:t xml:space="preserve">ORIG.10. pants. </w:t>
      </w:r>
      <w:bookmarkStart w:id="63" w:name="_Toc58163406"/>
      <w:r>
        <w:rPr>
          <w:noProof/>
          <w:lang w:val="fr-BE"/>
        </w:rPr>
        <w:t>Iepakojuma materi</w:t>
      </w:r>
      <w:r>
        <w:rPr>
          <w:noProof/>
          <w:lang w:val="fr-BE"/>
        </w:rPr>
        <w:t>āli un tara</w:t>
      </w:r>
      <w:bookmarkEnd w:id="63"/>
      <w:r>
        <w:rPr>
          <w:noProof/>
          <w:lang w:val="fr-BE"/>
        </w:rPr>
        <w:t xml:space="preserve"> mazumtirdzniecībai </w:t>
      </w:r>
    </w:p>
    <w:p w:rsidR="003E022D" w:rsidRDefault="007D19D6">
      <w:pPr>
        <w:rPr>
          <w:rFonts w:eastAsia="Times New Roman" w:cstheme="minorHAnsi"/>
          <w:noProof/>
          <w:lang w:val="fr-BE"/>
        </w:rPr>
      </w:pPr>
      <w:r>
        <w:rPr>
          <w:noProof/>
          <w:lang w:val="fr-BE"/>
        </w:rPr>
        <w:t>Iepakojuma materiālus un taru, kurā ražojums ir iepakots mazumtirdzniecībai, ja to klasificē kopā ar ražojumu, neņem vērā, nosakot ražojuma izcelsmi, izņemot nenoteiktas izcelsmes materiālu vērtības aprēķināšanas nolūkos, ja</w:t>
      </w:r>
      <w:r>
        <w:rPr>
          <w:noProof/>
          <w:lang w:val="fr-BE"/>
        </w:rPr>
        <w:t xml:space="preserve"> uz ražojumu attiecas nenoteiktas izcelsmes materiālu maksimālā vērtība saskaņā ar ORIG-2 PIELIKUMU [Konkrētiem ražojumiem piemērojamie izcelsmes noteikumi].</w:t>
      </w:r>
    </w:p>
    <w:p w:rsidR="003E022D" w:rsidRDefault="007D19D6">
      <w:pPr>
        <w:pStyle w:val="Article"/>
        <w:rPr>
          <w:noProof/>
          <w:lang w:val="fr-BE"/>
        </w:rPr>
      </w:pPr>
      <w:r>
        <w:rPr>
          <w:noProof/>
          <w:lang w:val="fr-BE"/>
        </w:rPr>
        <w:t>ORIG.11. pants.</w:t>
      </w:r>
      <w:r>
        <w:rPr>
          <w:noProof/>
          <w:color w:val="FF0000"/>
          <w:lang w:val="fr-BE"/>
        </w:rPr>
        <w:t xml:space="preserve"> </w:t>
      </w:r>
      <w:bookmarkStart w:id="64" w:name="_Toc58163407"/>
      <w:r>
        <w:rPr>
          <w:noProof/>
          <w:lang w:val="fr-BE"/>
        </w:rPr>
        <w:t>Palīgierīces, rezerves daļas un</w:t>
      </w:r>
      <w:bookmarkEnd w:id="64"/>
      <w:r>
        <w:rPr>
          <w:noProof/>
          <w:lang w:val="fr-BE"/>
        </w:rPr>
        <w:t xml:space="preserve"> darbarīki</w:t>
      </w:r>
    </w:p>
    <w:p w:rsidR="003E022D" w:rsidRDefault="007D19D6">
      <w:pPr>
        <w:rPr>
          <w:rFonts w:eastAsia="Times New Roman" w:cstheme="minorHAnsi"/>
          <w:noProof/>
          <w:lang w:val="fr-BE"/>
        </w:rPr>
      </w:pPr>
      <w:r>
        <w:rPr>
          <w:noProof/>
          <w:lang w:val="fr-BE"/>
        </w:rPr>
        <w:t>1.</w:t>
      </w:r>
      <w:r>
        <w:rPr>
          <w:noProof/>
          <w:lang w:val="fr-BE"/>
        </w:rPr>
        <w:tab/>
        <w:t>Palīgierīces, rezerves daļas, darbarī</w:t>
      </w:r>
      <w:r>
        <w:rPr>
          <w:noProof/>
          <w:lang w:val="fr-BE"/>
        </w:rPr>
        <w:t>kus un instrukcijas vai citus informatīvus materiālus uzskata par vienu ražojumu kopā ar attiecīgo iekārtu, mašīnu, aparātu vai transportlīdzekli, ja tie:</w:t>
      </w:r>
    </w:p>
    <w:p w:rsidR="003E022D" w:rsidRDefault="007D19D6">
      <w:pPr>
        <w:numPr>
          <w:ilvl w:val="0"/>
          <w:numId w:val="336"/>
        </w:numPr>
        <w:ind w:left="567" w:hanging="567"/>
        <w:rPr>
          <w:rFonts w:cstheme="minorHAnsi"/>
          <w:noProof/>
          <w:lang w:val="fr-BE"/>
        </w:rPr>
      </w:pPr>
      <w:r>
        <w:rPr>
          <w:noProof/>
          <w:lang w:val="fr-BE"/>
        </w:rPr>
        <w:t>ir klasificēti un piegādāti kopā ar ražojumu un par tiem nav izrakstīts atsevišķs rēķins un</w:t>
      </w:r>
    </w:p>
    <w:p w:rsidR="003E022D" w:rsidRDefault="007D19D6">
      <w:pPr>
        <w:numPr>
          <w:ilvl w:val="0"/>
          <w:numId w:val="336"/>
        </w:numPr>
        <w:ind w:left="567" w:hanging="567"/>
        <w:rPr>
          <w:rFonts w:cstheme="minorHAnsi"/>
          <w:noProof/>
          <w:lang w:val="fr-BE"/>
        </w:rPr>
      </w:pPr>
      <w:r>
        <w:rPr>
          <w:noProof/>
          <w:lang w:val="fr-BE"/>
        </w:rPr>
        <w:t>ir minēta</w:t>
      </w:r>
      <w:r>
        <w:rPr>
          <w:noProof/>
          <w:lang w:val="fr-BE"/>
        </w:rPr>
        <w:t xml:space="preserve">jam ražojumam raksturīga veida un tam raksturīgā daudzumā un vērtībā. </w:t>
      </w:r>
    </w:p>
    <w:p w:rsidR="003E022D" w:rsidRDefault="007D19D6">
      <w:pPr>
        <w:rPr>
          <w:rFonts w:eastAsia="Times New Roman" w:cstheme="minorHAnsi"/>
          <w:noProof/>
          <w:lang w:val="fr-BE"/>
        </w:rPr>
      </w:pPr>
      <w:r>
        <w:rPr>
          <w:noProof/>
          <w:lang w:val="fr-BE"/>
        </w:rPr>
        <w:t>2.</w:t>
      </w:r>
      <w:r>
        <w:rPr>
          <w:noProof/>
          <w:lang w:val="fr-BE"/>
        </w:rPr>
        <w:tab/>
        <w:t>Šā panta 1. punktā minētās palīgierīces, rezerves daļas un darbarīkus un instrukcijas vai citus informatīvus materiālus neņem vērā, nosakot ražojuma izcelsmi, izņemot nenoteiktas izc</w:t>
      </w:r>
      <w:r>
        <w:rPr>
          <w:noProof/>
          <w:lang w:val="fr-BE"/>
        </w:rPr>
        <w:t xml:space="preserve">elsmes materiālu vērtības aprēķināšanas nolūkos, ja uz ražojumu attiecas nenoteiktas izcelsmes materiālu maksimālā vērtība saskaņā ar ORIG-2 PIELIKUMU [Konkrētiem ražojumiem piemērojamie izcelsmes noteikumi]. </w:t>
      </w:r>
    </w:p>
    <w:p w:rsidR="003E022D" w:rsidRDefault="007D19D6">
      <w:pPr>
        <w:pStyle w:val="Article"/>
        <w:rPr>
          <w:rFonts w:cstheme="minorHAnsi"/>
          <w:noProof/>
          <w:lang w:val="fr-BE"/>
        </w:rPr>
      </w:pPr>
      <w:bookmarkStart w:id="65" w:name="_Toc58163408"/>
      <w:r>
        <w:rPr>
          <w:noProof/>
          <w:lang w:val="fr-BE"/>
        </w:rPr>
        <w:t>ORIG.12. pants. Komplekti</w:t>
      </w:r>
      <w:bookmarkEnd w:id="65"/>
    </w:p>
    <w:p w:rsidR="003E022D" w:rsidRDefault="007D19D6">
      <w:pPr>
        <w:rPr>
          <w:rFonts w:eastAsia="Times New Roman" w:cstheme="minorHAnsi"/>
          <w:noProof/>
          <w:color w:val="0070C0"/>
          <w:lang w:val="fr-BE"/>
        </w:rPr>
      </w:pPr>
      <w:r>
        <w:rPr>
          <w:noProof/>
          <w:lang w:val="fr-BE"/>
        </w:rPr>
        <w:t>Uzskata, ka komplekt</w:t>
      </w:r>
      <w:r>
        <w:rPr>
          <w:noProof/>
          <w:lang w:val="fr-BE"/>
        </w:rPr>
        <w:t>iem, kas definēti Harmonizētās sistēmas interpretācijas 3. vispārīgajā interpretācijas noteikumā, ir kādas Puses izcelsme, ja visām to sastāvdaļām ir noteikta izcelsme. Ja komplekts ir veidots no noteiktas izcelsmes komponentiem un nenoteiktas izcelsmes ko</w:t>
      </w:r>
      <w:r>
        <w:rPr>
          <w:noProof/>
          <w:lang w:val="fr-BE"/>
        </w:rPr>
        <w:t>mponentiem, tad uzskata, ka komplektam kopumā ir noteikta izcelsme Pusē, ja nenoteiktas izcelsmes komponentu vērtība nepārsniedz 15 % no komplekta ražotāja cenas.</w:t>
      </w:r>
    </w:p>
    <w:p w:rsidR="003E022D" w:rsidRDefault="007D19D6">
      <w:pPr>
        <w:pStyle w:val="Article"/>
        <w:rPr>
          <w:rFonts w:cstheme="minorHAnsi"/>
          <w:noProof/>
          <w:lang w:val="fr-BE"/>
        </w:rPr>
      </w:pPr>
      <w:r>
        <w:rPr>
          <w:noProof/>
          <w:lang w:val="fr-BE"/>
        </w:rPr>
        <w:t xml:space="preserve">ORIG.13. pants. </w:t>
      </w:r>
      <w:bookmarkStart w:id="66" w:name="_Toc58163409"/>
      <w:r>
        <w:rPr>
          <w:noProof/>
          <w:lang w:val="fr-BE"/>
        </w:rPr>
        <w:t>Neitrālie</w:t>
      </w:r>
      <w:bookmarkEnd w:id="66"/>
      <w:r>
        <w:rPr>
          <w:noProof/>
          <w:lang w:val="fr-BE"/>
        </w:rPr>
        <w:t xml:space="preserve"> elementi</w:t>
      </w:r>
    </w:p>
    <w:p w:rsidR="003E022D" w:rsidRDefault="007D19D6">
      <w:pPr>
        <w:rPr>
          <w:rFonts w:eastAsia="Times New Roman" w:cstheme="minorHAnsi"/>
          <w:noProof/>
          <w:lang w:val="fr-BE"/>
        </w:rPr>
      </w:pPr>
      <w:r>
        <w:rPr>
          <w:noProof/>
          <w:lang w:val="fr-BE"/>
        </w:rPr>
        <w:t>Lai noteiktu to, vai ražojums ir kādas Puses izcelsmes raž</w:t>
      </w:r>
      <w:r>
        <w:rPr>
          <w:noProof/>
          <w:lang w:val="fr-BE"/>
        </w:rPr>
        <w:t>ojums, nav jānosaka izcelsme šādiem ražošanas procesā izmantotiem elementiem:</w:t>
      </w:r>
    </w:p>
    <w:p w:rsidR="003E022D" w:rsidRDefault="007D19D6">
      <w:pPr>
        <w:ind w:left="567" w:hanging="567"/>
        <w:rPr>
          <w:rFonts w:cstheme="minorHAnsi"/>
          <w:noProof/>
          <w:lang w:val="fr-BE"/>
        </w:rPr>
      </w:pPr>
      <w:r>
        <w:rPr>
          <w:noProof/>
          <w:lang w:val="fr-BE"/>
        </w:rPr>
        <w:t>a)</w:t>
      </w:r>
      <w:r>
        <w:rPr>
          <w:noProof/>
          <w:lang w:val="fr-BE"/>
        </w:rPr>
        <w:tab/>
        <w:t>degviela, enerģija, katalizatori un šķīdinātāji;</w:t>
      </w:r>
    </w:p>
    <w:p w:rsidR="003E022D" w:rsidRDefault="007D19D6">
      <w:pPr>
        <w:ind w:left="567" w:hanging="567"/>
        <w:rPr>
          <w:rFonts w:cstheme="minorHAnsi"/>
          <w:noProof/>
          <w:lang w:val="fr-BE"/>
        </w:rPr>
      </w:pPr>
      <w:r>
        <w:rPr>
          <w:noProof/>
          <w:lang w:val="fr-BE"/>
        </w:rPr>
        <w:t>b)</w:t>
      </w:r>
      <w:r>
        <w:rPr>
          <w:noProof/>
          <w:lang w:val="fr-BE"/>
        </w:rPr>
        <w:tab/>
        <w:t>ražotne, aprīkojums, rezerves daļas un materiāli, ko izmanto iekārtu un ēku uzturēšanai;</w:t>
      </w:r>
    </w:p>
    <w:p w:rsidR="003E022D" w:rsidRDefault="007D19D6">
      <w:pPr>
        <w:ind w:left="567" w:hanging="567"/>
        <w:rPr>
          <w:rFonts w:cstheme="minorHAnsi"/>
          <w:noProof/>
          <w:lang w:val="fr-BE"/>
        </w:rPr>
      </w:pPr>
      <w:r>
        <w:rPr>
          <w:noProof/>
          <w:lang w:val="fr-BE"/>
        </w:rPr>
        <w:t>c)</w:t>
      </w:r>
      <w:r>
        <w:rPr>
          <w:noProof/>
          <w:lang w:val="fr-BE"/>
        </w:rPr>
        <w:tab/>
      </w:r>
      <w:r>
        <w:rPr>
          <w:noProof/>
          <w:lang w:val="fr-BE"/>
        </w:rPr>
        <w:t xml:space="preserve">mehānismi, darbarīki, veidnes un matricas; </w:t>
      </w:r>
    </w:p>
    <w:p w:rsidR="003E022D" w:rsidRDefault="007D19D6">
      <w:pPr>
        <w:ind w:left="567" w:hanging="567"/>
        <w:rPr>
          <w:rFonts w:cstheme="minorHAnsi"/>
          <w:noProof/>
          <w:lang w:val="fr-BE"/>
        </w:rPr>
      </w:pPr>
      <w:r>
        <w:rPr>
          <w:noProof/>
          <w:lang w:val="fr-BE"/>
        </w:rPr>
        <w:t xml:space="preserve">d) </w:t>
      </w:r>
      <w:r>
        <w:rPr>
          <w:noProof/>
          <w:lang w:val="fr-BE"/>
        </w:rPr>
        <w:tab/>
        <w:t xml:space="preserve">smērvielas, ziedes, jaukti materiāli un citi materiāli, ko lieto ražošanā vai iekārtu un ēku izmantošanai, </w:t>
      </w:r>
    </w:p>
    <w:p w:rsidR="003E022D" w:rsidRDefault="007D19D6">
      <w:pPr>
        <w:ind w:left="567" w:hanging="567"/>
        <w:rPr>
          <w:rFonts w:cstheme="minorHAnsi"/>
          <w:noProof/>
          <w:lang w:val="fr-BE"/>
        </w:rPr>
      </w:pPr>
      <w:r>
        <w:rPr>
          <w:noProof/>
          <w:lang w:val="fr-BE"/>
        </w:rPr>
        <w:t xml:space="preserve">e) </w:t>
      </w:r>
      <w:r>
        <w:rPr>
          <w:noProof/>
          <w:lang w:val="fr-BE"/>
        </w:rPr>
        <w:tab/>
        <w:t xml:space="preserve">cimdi, brilles, apavi, apģērbs, drošības aprīkojums un piederumi; </w:t>
      </w:r>
    </w:p>
    <w:p w:rsidR="003E022D" w:rsidRDefault="007D19D6">
      <w:pPr>
        <w:ind w:left="567" w:hanging="567"/>
        <w:rPr>
          <w:rFonts w:cstheme="minorHAnsi"/>
          <w:noProof/>
          <w:lang w:val="fr-BE"/>
        </w:rPr>
      </w:pPr>
      <w:r>
        <w:rPr>
          <w:noProof/>
          <w:lang w:val="fr-BE"/>
        </w:rPr>
        <w:t>f)</w:t>
      </w:r>
      <w:r>
        <w:rPr>
          <w:noProof/>
          <w:lang w:val="fr-BE"/>
        </w:rPr>
        <w:tab/>
        <w:t>iekārtas, ierīces un piede</w:t>
      </w:r>
      <w:r>
        <w:rPr>
          <w:noProof/>
          <w:lang w:val="fr-BE"/>
        </w:rPr>
        <w:t>rumi, kurus izmanto, lai testētu vai pārbaudītu ražojumu, un</w:t>
      </w:r>
    </w:p>
    <w:p w:rsidR="003E022D" w:rsidRDefault="007D19D6">
      <w:pPr>
        <w:ind w:left="567" w:hanging="567"/>
        <w:rPr>
          <w:rFonts w:cstheme="minorHAnsi"/>
          <w:noProof/>
          <w:lang w:val="fr-BE"/>
        </w:rPr>
      </w:pPr>
      <w:r>
        <w:rPr>
          <w:noProof/>
          <w:lang w:val="fr-BE"/>
        </w:rPr>
        <w:t>g)</w:t>
      </w:r>
      <w:r>
        <w:rPr>
          <w:noProof/>
          <w:lang w:val="fr-BE"/>
        </w:rPr>
        <w:tab/>
        <w:t>citi ražošanā izmantoti materiāli, kas nav iekļauti ražojumā un nav arī paredzēti iekļaušanai ražojuma galīgajā sastāvā.</w:t>
      </w:r>
    </w:p>
    <w:p w:rsidR="003E022D" w:rsidRDefault="007D19D6">
      <w:pPr>
        <w:pStyle w:val="Article"/>
        <w:rPr>
          <w:noProof/>
          <w:color w:val="0070C0"/>
          <w:lang w:val="fr-BE"/>
        </w:rPr>
      </w:pPr>
      <w:bookmarkStart w:id="67" w:name="_Toc58163410"/>
      <w:r>
        <w:rPr>
          <w:noProof/>
          <w:lang w:val="fr-BE"/>
        </w:rPr>
        <w:t>ORIG.14. pants. Uzskaites nošķiršana</w:t>
      </w:r>
      <w:bookmarkEnd w:id="67"/>
    </w:p>
    <w:p w:rsidR="003E022D" w:rsidRDefault="007D19D6">
      <w:pPr>
        <w:rPr>
          <w:rFonts w:eastAsia="Times New Roman" w:cstheme="minorHAnsi"/>
          <w:noProof/>
          <w:lang w:val="fr-BE"/>
        </w:rPr>
      </w:pPr>
      <w:r>
        <w:rPr>
          <w:noProof/>
          <w:lang w:val="fr-BE"/>
        </w:rPr>
        <w:t>1.</w:t>
      </w:r>
      <w:r>
        <w:rPr>
          <w:noProof/>
          <w:lang w:val="fr-BE"/>
        </w:rPr>
        <w:tab/>
        <w:t>Noteiktas izcelsmes un nenoteik</w:t>
      </w:r>
      <w:r>
        <w:rPr>
          <w:noProof/>
          <w:lang w:val="fr-BE"/>
        </w:rPr>
        <w:t>tas izcelsmes atvietojami materiāli vai “atvietojami ražojumi” glabāšanas laikā ir fiziski jānošķir, lai saglabātu to noteiktas un nenoteiktas izcelsmes statusu.</w:t>
      </w:r>
    </w:p>
    <w:p w:rsidR="003E022D" w:rsidRDefault="007D19D6">
      <w:pPr>
        <w:rPr>
          <w:rFonts w:eastAsia="Times New Roman" w:cstheme="minorHAnsi"/>
          <w:noProof/>
          <w:lang w:val="fr-BE"/>
        </w:rPr>
      </w:pPr>
      <w:r>
        <w:rPr>
          <w:noProof/>
          <w:lang w:val="fr-BE"/>
        </w:rPr>
        <w:t>2.</w:t>
      </w:r>
      <w:r>
        <w:rPr>
          <w:noProof/>
          <w:lang w:val="fr-BE"/>
        </w:rPr>
        <w:tab/>
        <w:t>Šā panta 1. punkta nolūkā “atvietojami materiāli” vai “atvietojami ražojumi” ir materiāli v</w:t>
      </w:r>
      <w:r>
        <w:rPr>
          <w:noProof/>
          <w:lang w:val="fr-BE"/>
        </w:rPr>
        <w:t>ai ražojumi, kas ir viena veida, kam ir vienāda komerciālā kvalitāte, vienādas tehniskās un fizikālās īpašības un ko nevar atšķirt vienu no otra izcelsmes noteikšanas nolūkā.</w:t>
      </w:r>
    </w:p>
    <w:p w:rsidR="003E022D" w:rsidRDefault="007D19D6">
      <w:pPr>
        <w:rPr>
          <w:rFonts w:eastAsia="Times New Roman" w:cstheme="minorHAnsi"/>
          <w:noProof/>
          <w:lang w:val="fr-BE"/>
        </w:rPr>
      </w:pPr>
      <w:r>
        <w:rPr>
          <w:noProof/>
          <w:lang w:val="fr-BE"/>
        </w:rPr>
        <w:t>3.</w:t>
      </w:r>
      <w:r>
        <w:rPr>
          <w:noProof/>
          <w:lang w:val="fr-BE"/>
        </w:rPr>
        <w:tab/>
        <w:t>Neatkarīgi no 1. punkta noteiktas izcelsmes un nenoteiktas izcelsmes atvietoja</w:t>
      </w:r>
      <w:r>
        <w:rPr>
          <w:noProof/>
          <w:lang w:val="fr-BE"/>
        </w:rPr>
        <w:t>mus materiālus var izmantot produkta ražošanā, materiālu glabāšanas laikā tos fiziski nenošķirot, ar nosacījumu, ka tiek izmantota uzskaites nošķiršanas metode.</w:t>
      </w:r>
    </w:p>
    <w:p w:rsidR="003E022D" w:rsidRDefault="007D19D6">
      <w:pPr>
        <w:rPr>
          <w:rFonts w:eastAsia="Times New Roman" w:cstheme="minorHAnsi"/>
          <w:noProof/>
          <w:lang w:val="fr-BE"/>
        </w:rPr>
      </w:pPr>
      <w:r>
        <w:rPr>
          <w:noProof/>
          <w:lang w:val="fr-BE"/>
        </w:rPr>
        <w:t xml:space="preserve">4. </w:t>
      </w:r>
      <w:r>
        <w:rPr>
          <w:noProof/>
          <w:lang w:val="fr-BE"/>
        </w:rPr>
        <w:tab/>
        <w:t>Neatkarīgi no 1. punkta noteiktas izcelsmes un nenoteiktas izcelsmes atvietojamus ražojumus</w:t>
      </w:r>
      <w:r>
        <w:rPr>
          <w:noProof/>
          <w:lang w:val="fr-BE"/>
        </w:rPr>
        <w:t>, kas klasificēti Harmonizētās sistēmas 10., 15., 27., 28., 29. nodaļā, 32.01.–32.07. pozīcijā vai 39.01.–39.14. pozīcijā, var uzglabāt kādā Pusē pirms eksporta uz otru Pusi, tos fiziski nenošķirot, ar nosacījumu, ka tiek izmantota uzskaites nošķiršanas me</w:t>
      </w:r>
      <w:r>
        <w:rPr>
          <w:noProof/>
          <w:lang w:val="fr-BE"/>
        </w:rPr>
        <w:t>tode.</w:t>
      </w:r>
    </w:p>
    <w:p w:rsidR="003E022D" w:rsidRDefault="007D19D6">
      <w:pPr>
        <w:rPr>
          <w:rFonts w:eastAsia="Times New Roman" w:cstheme="minorHAnsi"/>
          <w:noProof/>
          <w:lang w:val="fr-BE"/>
        </w:rPr>
      </w:pPr>
      <w:r>
        <w:rPr>
          <w:noProof/>
          <w:lang w:val="fr-BE"/>
        </w:rPr>
        <w:t>5.</w:t>
      </w:r>
      <w:r>
        <w:rPr>
          <w:noProof/>
          <w:lang w:val="fr-BE"/>
        </w:rPr>
        <w:tab/>
        <w:t xml:space="preserve">Šā panta 3. un 4. punktā minēto uzskaites nošķiršanas metodi piemēro atbilstoši krājumu uzskaites metodei saskaņā ar Puses vispārpieņemtiem grāmatvedības principiem. </w:t>
      </w:r>
    </w:p>
    <w:p w:rsidR="003E022D" w:rsidRDefault="007D19D6">
      <w:pPr>
        <w:rPr>
          <w:rFonts w:eastAsia="Times New Roman" w:cstheme="minorHAnsi"/>
          <w:noProof/>
          <w:lang w:val="fr-BE"/>
        </w:rPr>
      </w:pPr>
      <w:r>
        <w:rPr>
          <w:noProof/>
          <w:lang w:val="fr-BE"/>
        </w:rPr>
        <w:t>6.</w:t>
      </w:r>
      <w:r>
        <w:rPr>
          <w:noProof/>
          <w:lang w:val="fr-BE"/>
        </w:rPr>
        <w:tab/>
        <w:t>Uzskaites nošķiršanas metode ir jebkura metode, ar kuru nodrošina, ka jebkurā</w:t>
      </w:r>
      <w:r>
        <w:rPr>
          <w:noProof/>
          <w:lang w:val="fr-BE"/>
        </w:rPr>
        <w:t xml:space="preserve"> brīdī noteiktas izcelsmes statusu piemēro ne lielākam materiālu vai ražojumu daudzumam, kā tas būtu gadījumā, ja materiāli vai ražojumi būtu fiziski nošķirti.</w:t>
      </w:r>
    </w:p>
    <w:p w:rsidR="003E022D" w:rsidRDefault="007D19D6">
      <w:pPr>
        <w:rPr>
          <w:rFonts w:eastAsia="Times New Roman" w:cstheme="minorHAnsi"/>
          <w:noProof/>
          <w:lang w:val="fr-BE"/>
        </w:rPr>
      </w:pPr>
      <w:r>
        <w:rPr>
          <w:noProof/>
          <w:lang w:val="fr-BE"/>
        </w:rPr>
        <w:t>7.</w:t>
      </w:r>
      <w:r>
        <w:rPr>
          <w:noProof/>
          <w:lang w:val="fr-BE"/>
        </w:rPr>
        <w:tab/>
        <w:t xml:space="preserve">Saskaņā ar Puses normatīvajos aktos ietvertiem nosacījumiem Puse var pieprasīt, ka uzskaites </w:t>
      </w:r>
      <w:r>
        <w:rPr>
          <w:noProof/>
          <w:lang w:val="fr-BE"/>
        </w:rPr>
        <w:t>nošķiršanas metodes izmantošanai ir nepieciešama iepriekšēja atļauja, ko sniedz minētās Puses muitas dienesti. Puses muitas dienesti pārrauga šādu atļauju izmantošanu un var atsaukt atļauju, ja tās turētājs nepareizi izmanto uzskaites nošķiršanas metodi va</w:t>
      </w:r>
      <w:r>
        <w:rPr>
          <w:noProof/>
          <w:lang w:val="fr-BE"/>
        </w:rPr>
        <w:t>i nepilda kādu no šajā nodaļā izklāstītajiem nosacījumiem.</w:t>
      </w:r>
    </w:p>
    <w:p w:rsidR="003E022D" w:rsidRDefault="007D19D6">
      <w:pPr>
        <w:pStyle w:val="Article"/>
        <w:rPr>
          <w:noProof/>
          <w:lang w:val="fr-BE"/>
        </w:rPr>
      </w:pPr>
      <w:r>
        <w:rPr>
          <w:noProof/>
          <w:lang w:val="fr-BE"/>
        </w:rPr>
        <w:t xml:space="preserve">ORIG.15. pants. </w:t>
      </w:r>
      <w:bookmarkStart w:id="68" w:name="_Toc58163411"/>
      <w:r>
        <w:rPr>
          <w:noProof/>
          <w:lang w:val="fr-BE"/>
        </w:rPr>
        <w:t>Atpakaļnosūtīti</w:t>
      </w:r>
      <w:bookmarkEnd w:id="68"/>
      <w:r>
        <w:rPr>
          <w:noProof/>
          <w:lang w:val="fr-BE"/>
        </w:rPr>
        <w:t xml:space="preserve"> ražojumi</w:t>
      </w:r>
    </w:p>
    <w:p w:rsidR="003E022D" w:rsidRDefault="007D19D6">
      <w:pPr>
        <w:rPr>
          <w:rFonts w:eastAsia="Times New Roman" w:cstheme="minorHAnsi"/>
          <w:noProof/>
          <w:lang w:val="fr-BE"/>
        </w:rPr>
      </w:pPr>
      <w:r>
        <w:rPr>
          <w:noProof/>
          <w:lang w:val="fr-BE"/>
        </w:rPr>
        <w:t>Ja kādas Puses noteiktas izcelsmes ražojumu, kas no minētās Puses eksportēts uz trešās valsts teritoriju, nosūta atpakaļ minētajai Pusei, tad to uzskata par</w:t>
      </w:r>
      <w:r>
        <w:rPr>
          <w:noProof/>
          <w:lang w:val="fr-BE"/>
        </w:rPr>
        <w:t xml:space="preserve"> nenoteiktas izcelsmes ražojumu, ja vien minētās Puses muitas dienestiem nevar pierādīt, ka atpakaļ nosūtītais ražojums:</w:t>
      </w:r>
    </w:p>
    <w:p w:rsidR="003E022D" w:rsidRDefault="007D19D6">
      <w:pPr>
        <w:numPr>
          <w:ilvl w:val="0"/>
          <w:numId w:val="281"/>
        </w:numPr>
        <w:ind w:left="567" w:hanging="567"/>
        <w:rPr>
          <w:rFonts w:eastAsia="Times New Roman" w:cstheme="minorHAnsi"/>
          <w:noProof/>
          <w:lang w:val="fr-BE"/>
        </w:rPr>
      </w:pPr>
      <w:r>
        <w:rPr>
          <w:noProof/>
          <w:lang w:val="fr-BE"/>
        </w:rPr>
        <w:t>ir tas pats ražojums, kas ticis eksportēts, un</w:t>
      </w:r>
    </w:p>
    <w:p w:rsidR="003E022D" w:rsidRDefault="007D19D6">
      <w:pPr>
        <w:numPr>
          <w:ilvl w:val="0"/>
          <w:numId w:val="281"/>
        </w:numPr>
        <w:ind w:left="567" w:hanging="567"/>
        <w:rPr>
          <w:rFonts w:eastAsia="Times New Roman" w:cstheme="minorHAnsi"/>
          <w:noProof/>
          <w:lang w:val="fr-BE"/>
        </w:rPr>
      </w:pPr>
      <w:r>
        <w:rPr>
          <w:noProof/>
          <w:lang w:val="fr-BE"/>
        </w:rPr>
        <w:t>ar to nav veiktas nekādas darbības, izņemot darbības, kuras vajadzīgas, lai preci saglab</w:t>
      </w:r>
      <w:r>
        <w:rPr>
          <w:noProof/>
          <w:lang w:val="fr-BE"/>
        </w:rPr>
        <w:t>ātu labā stāvoklī, kamēr tā atrodas minētajā trešajā valstī vai kamēr to eksportē.</w:t>
      </w:r>
    </w:p>
    <w:p w:rsidR="003E022D" w:rsidRDefault="007D19D6">
      <w:pPr>
        <w:pStyle w:val="Article"/>
        <w:rPr>
          <w:rFonts w:cstheme="minorHAnsi"/>
          <w:noProof/>
          <w:lang w:val="fr-BE"/>
        </w:rPr>
      </w:pPr>
      <w:r>
        <w:rPr>
          <w:noProof/>
          <w:lang w:val="fr-BE"/>
        </w:rPr>
        <w:t xml:space="preserve">ORIG.16. pants. </w:t>
      </w:r>
      <w:bookmarkStart w:id="69" w:name="_Toc58163412"/>
      <w:r>
        <w:rPr>
          <w:noProof/>
          <w:lang w:val="fr-BE"/>
        </w:rPr>
        <w:t>Nepārveidošana</w:t>
      </w:r>
      <w:bookmarkEnd w:id="69"/>
    </w:p>
    <w:p w:rsidR="003E022D" w:rsidRDefault="007D19D6">
      <w:pPr>
        <w:rPr>
          <w:rFonts w:eastAsia="Times New Roman" w:cstheme="minorHAnsi"/>
          <w:noProof/>
          <w:lang w:val="fr-BE"/>
        </w:rPr>
      </w:pPr>
      <w:r>
        <w:rPr>
          <w:noProof/>
          <w:lang w:val="fr-BE"/>
        </w:rPr>
        <w:t>1.</w:t>
      </w:r>
      <w:r>
        <w:rPr>
          <w:noProof/>
          <w:lang w:val="fr-BE"/>
        </w:rPr>
        <w:tab/>
        <w:t>Noteiktas izcelsmes ražojums, kas deklarēts iekšzemes lietošanai importētājā Pusē, pēc izvešanas un pirms tā deklarēšanas iekšzemes lietoša</w:t>
      </w:r>
      <w:r>
        <w:rPr>
          <w:noProof/>
          <w:lang w:val="fr-BE"/>
        </w:rPr>
        <w:t xml:space="preserve">nai netiek mainīts, nekādā veidā pārveidots vai pakļauts kādām darbībām, izņemot darbības, kuras veic nolūkā to saglabāt labā stāvoklī vai pievienot vai piestiprināt marķējumu, etiķetes, zīmogus vai citu dokumentāciju, lai nodrošinātu atbilstību konkrētām </w:t>
      </w:r>
      <w:r>
        <w:rPr>
          <w:noProof/>
          <w:lang w:val="fr-BE"/>
        </w:rPr>
        <w:t xml:space="preserve">importējošās Puses iekšzemes prasībām. </w:t>
      </w:r>
    </w:p>
    <w:p w:rsidR="003E022D" w:rsidRDefault="007D19D6">
      <w:pPr>
        <w:rPr>
          <w:rFonts w:eastAsia="Times New Roman" w:cstheme="minorHAnsi"/>
          <w:noProof/>
          <w:lang w:val="fr-BE"/>
        </w:rPr>
      </w:pPr>
      <w:r>
        <w:rPr>
          <w:noProof/>
          <w:lang w:val="fr-BE"/>
        </w:rPr>
        <w:t>2.</w:t>
      </w:r>
      <w:r>
        <w:rPr>
          <w:noProof/>
          <w:lang w:val="fr-BE"/>
        </w:rPr>
        <w:tab/>
        <w:t>Ražojumu var glabāt vai izstādīt trešā valstī ar noteikumu, ka minētajā trešā valstī šis ražojums paliek muitas uzraudzībā.</w:t>
      </w:r>
    </w:p>
    <w:p w:rsidR="003E022D" w:rsidRDefault="007D19D6">
      <w:pPr>
        <w:rPr>
          <w:rFonts w:eastAsia="Times New Roman" w:cstheme="minorHAnsi"/>
          <w:noProof/>
          <w:lang w:val="fr-BE"/>
        </w:rPr>
      </w:pPr>
      <w:r>
        <w:rPr>
          <w:noProof/>
          <w:lang w:val="fr-BE"/>
        </w:rPr>
        <w:t>3.</w:t>
      </w:r>
      <w:r>
        <w:rPr>
          <w:noProof/>
          <w:lang w:val="fr-BE"/>
        </w:rPr>
        <w:tab/>
        <w:t xml:space="preserve">Sūtījumus trešā valstī var sadalīt, ja to veic eksportētājs vai viņš ir par to </w:t>
      </w:r>
      <w:r>
        <w:rPr>
          <w:noProof/>
          <w:lang w:val="fr-BE"/>
        </w:rPr>
        <w:t>atbildīgs un ja minētajā trešā valstī sūtījumi paliek muitas uzraudzībā.</w:t>
      </w:r>
    </w:p>
    <w:p w:rsidR="003E022D" w:rsidRDefault="007D19D6">
      <w:pPr>
        <w:rPr>
          <w:rFonts w:eastAsia="Times New Roman" w:cstheme="minorHAnsi"/>
          <w:noProof/>
          <w:lang w:val="fr-BE"/>
        </w:rPr>
      </w:pPr>
      <w:r>
        <w:rPr>
          <w:noProof/>
          <w:lang w:val="fr-BE"/>
        </w:rPr>
        <w:t>4.</w:t>
      </w:r>
      <w:r>
        <w:rPr>
          <w:noProof/>
          <w:lang w:val="fr-BE"/>
        </w:rPr>
        <w:tab/>
        <w:t>Ja rodas šaubas par to, vai 1.–3. punktā noteiktās prasības tiek ievērotas, importētājas Puses muitas dienests var pieprasīt, lai importētājs iesniedz pierādījumus par atbilstību m</w:t>
      </w:r>
      <w:r>
        <w:rPr>
          <w:noProof/>
          <w:lang w:val="fr-BE"/>
        </w:rPr>
        <w:t>inētajām prasībām, kas var būt dažāda veida, ieskaitot līgumā paredzēto pārvadājumu dokumentus, piemēram, kravaszīmes vai konosamentus vai faktisku vai konkrētu pierādījumu, kura pamatā ir iepakojumu marķējums vai numerācija, vai jebkādu ar pašu ražojumu s</w:t>
      </w:r>
      <w:r>
        <w:rPr>
          <w:noProof/>
          <w:lang w:val="fr-BE"/>
        </w:rPr>
        <w:t>aistītu pierādījumu.</w:t>
      </w:r>
    </w:p>
    <w:p w:rsidR="003E022D" w:rsidRDefault="007D19D6">
      <w:pPr>
        <w:pStyle w:val="Article"/>
        <w:rPr>
          <w:noProof/>
          <w:lang w:val="fr-BE"/>
        </w:rPr>
      </w:pPr>
      <w:bookmarkStart w:id="70" w:name="_Toc58163413"/>
      <w:r>
        <w:rPr>
          <w:noProof/>
          <w:lang w:val="fr-BE"/>
        </w:rPr>
        <w:t xml:space="preserve">ORIG.17. pants. Muitas nodokļu atmaksas vai atbrīvojuma pārskatīšana </w:t>
      </w:r>
      <w:bookmarkEnd w:id="70"/>
    </w:p>
    <w:p w:rsidR="003E022D" w:rsidRDefault="007D19D6">
      <w:pPr>
        <w:widowControl w:val="0"/>
        <w:rPr>
          <w:noProof/>
          <w:lang w:val="fr-BE"/>
        </w:rPr>
      </w:pPr>
      <w:bookmarkStart w:id="71" w:name="_Toc58163414"/>
      <w:r>
        <w:rPr>
          <w:noProof/>
          <w:lang w:val="fr-BE"/>
        </w:rPr>
        <w:t xml:space="preserve">Ne agrāk kā 2 gadus pēc šā nolīguma stāšanās spēkā Tirdzniecības specializētā komiteja muitas sadarbības un izcelsmes noteikumu jomā pēc jebkuras Puses pieprasījuma </w:t>
      </w:r>
      <w:r>
        <w:rPr>
          <w:noProof/>
          <w:lang w:val="fr-BE"/>
        </w:rPr>
        <w:t xml:space="preserve">pārskata Pušu attiecīgās nodokļu atmaksas un ievešanas pārstrādei shēmas. Šajā nolūkā pēc kādas Puses pieprasījuma </w:t>
      </w:r>
      <w:r>
        <w:rPr>
          <w:noProof/>
          <w:shd w:val="clear" w:color="auto" w:fill="FFFFFF"/>
          <w:lang w:val="fr-BE"/>
        </w:rPr>
        <w:t>ne vēlāk kā 60 dienas pēc minētā pieprasījuma otra Puse pieprasījuma iesniedzējai Pusei sniedz pieejamo informāciju un detalizētus statistika</w:t>
      </w:r>
      <w:r>
        <w:rPr>
          <w:noProof/>
          <w:shd w:val="clear" w:color="auto" w:fill="FFFFFF"/>
          <w:lang w:val="fr-BE"/>
        </w:rPr>
        <w:t>s datus, kas aptver laikposmu kopš šā nolīguma stāšanās spēkā vai iepriekšējos 5 gadus, ja tas ir īsāks, par tās nodokļu atmaksas un ievešanas pārstrādei shēmas darbību</w:t>
      </w:r>
      <w:r>
        <w:rPr>
          <w:noProof/>
          <w:lang w:val="fr-BE"/>
        </w:rPr>
        <w:t>.</w:t>
      </w:r>
      <w:r>
        <w:rPr>
          <w:noProof/>
          <w:shd w:val="clear" w:color="auto" w:fill="FFFFFF"/>
          <w:lang w:val="fr-BE"/>
        </w:rPr>
        <w:t xml:space="preserve"> </w:t>
      </w:r>
      <w:r>
        <w:rPr>
          <w:noProof/>
          <w:lang w:val="fr-BE"/>
        </w:rPr>
        <w:t>Ņemot vērā šo pārskatīšanu, Tirdzniecības specializētā komiteja muitas sadarbības un i</w:t>
      </w:r>
      <w:r>
        <w:rPr>
          <w:noProof/>
          <w:lang w:val="fr-BE"/>
        </w:rPr>
        <w:t>zcelsmes noteikumu jomā var sniegt ieteikumus Partnerības padomei, lai grozītu šīs nodaļas un tās pielikumu noteikumus nolūkā ieviest ierobežojumus attiecībā uz muitas nodokļu atmaksu vai atbrīvojumu no tiem.</w:t>
      </w:r>
    </w:p>
    <w:p w:rsidR="003E022D" w:rsidRDefault="007D19D6">
      <w:pPr>
        <w:pStyle w:val="Section"/>
        <w:rPr>
          <w:noProof/>
          <w:lang w:val="fr-BE"/>
        </w:rPr>
      </w:pPr>
      <w:r>
        <w:rPr>
          <w:noProof/>
          <w:lang w:val="fr-BE"/>
        </w:rPr>
        <w:t>2. iedaļa. Izcelsmes</w:t>
      </w:r>
      <w:bookmarkEnd w:id="71"/>
      <w:r>
        <w:rPr>
          <w:noProof/>
          <w:lang w:val="fr-BE"/>
        </w:rPr>
        <w:t xml:space="preserve"> procedūras</w:t>
      </w:r>
    </w:p>
    <w:p w:rsidR="003E022D" w:rsidRDefault="007D19D6">
      <w:pPr>
        <w:pStyle w:val="Article"/>
        <w:rPr>
          <w:noProof/>
        </w:rPr>
      </w:pPr>
      <w:r>
        <w:rPr>
          <w:noProof/>
          <w:lang w:val="fr-BE"/>
        </w:rPr>
        <w:t xml:space="preserve">ORIG.18. pants. </w:t>
      </w:r>
      <w:bookmarkStart w:id="72" w:name="_Toc58163415"/>
      <w:r>
        <w:rPr>
          <w:noProof/>
        </w:rPr>
        <w:t>Pieprasījums piemērot preferenciāla tarifa</w:t>
      </w:r>
      <w:bookmarkEnd w:id="72"/>
      <w:r>
        <w:rPr>
          <w:noProof/>
        </w:rPr>
        <w:t xml:space="preserve"> režīmu</w:t>
      </w:r>
    </w:p>
    <w:p w:rsidR="003E022D" w:rsidRDefault="007D19D6">
      <w:pPr>
        <w:numPr>
          <w:ilvl w:val="0"/>
          <w:numId w:val="337"/>
        </w:numPr>
        <w:ind w:left="0" w:firstLine="0"/>
        <w:rPr>
          <w:noProof/>
        </w:rPr>
      </w:pPr>
      <w:r>
        <w:rPr>
          <w:noProof/>
        </w:rPr>
        <w:t>Importētāja Puse importējot piešķir preferenciāla tarifa režīmu otras Puses izcelsmes ražojumam šīs nodaļas nozīmē, pamatojoties uz importētāja pieprasījumu piemērot preferenciāla tarifa rež</w:t>
      </w:r>
      <w:r>
        <w:rPr>
          <w:noProof/>
        </w:rPr>
        <w:t xml:space="preserve">īmu. Importētājs ir atbildīgs par to, ka pieprasījums piemērot preferenciāla tarifa režīmu ir pareizs un atbilst šajā nodaļā noteiktajām prasībām. </w:t>
      </w:r>
    </w:p>
    <w:p w:rsidR="003E022D" w:rsidRDefault="007D19D6">
      <w:pPr>
        <w:numPr>
          <w:ilvl w:val="0"/>
          <w:numId w:val="337"/>
        </w:numPr>
        <w:ind w:left="0" w:firstLine="0"/>
        <w:rPr>
          <w:noProof/>
        </w:rPr>
      </w:pPr>
      <w:r>
        <w:rPr>
          <w:noProof/>
        </w:rPr>
        <w:t xml:space="preserve">Pieprasījuma piemērot preferenciāla tarifa režīmu pamatā ir: </w:t>
      </w:r>
    </w:p>
    <w:p w:rsidR="003E022D" w:rsidRDefault="007D19D6">
      <w:pPr>
        <w:numPr>
          <w:ilvl w:val="0"/>
          <w:numId w:val="338"/>
        </w:numPr>
        <w:ind w:left="567" w:hanging="567"/>
        <w:rPr>
          <w:noProof/>
        </w:rPr>
      </w:pPr>
      <w:r>
        <w:rPr>
          <w:noProof/>
        </w:rPr>
        <w:t>eksportētāja sagatavots paziņojums par izcelsm</w:t>
      </w:r>
      <w:r>
        <w:rPr>
          <w:noProof/>
        </w:rPr>
        <w:t xml:space="preserve">i, kurā apliecināts, ka tas ir noteiktas izcelsmes ražojums, vai </w:t>
      </w:r>
    </w:p>
    <w:p w:rsidR="003E022D" w:rsidRDefault="007D19D6">
      <w:pPr>
        <w:numPr>
          <w:ilvl w:val="0"/>
          <w:numId w:val="338"/>
        </w:numPr>
        <w:ind w:left="567" w:hanging="567"/>
        <w:rPr>
          <w:noProof/>
        </w:rPr>
      </w:pPr>
      <w:r>
        <w:rPr>
          <w:noProof/>
        </w:rPr>
        <w:t xml:space="preserve">importētāja informētība par to, ka ražojums ir noteiktas izcelsmes ražojums. </w:t>
      </w:r>
    </w:p>
    <w:p w:rsidR="003E022D" w:rsidRDefault="007D19D6">
      <w:pPr>
        <w:numPr>
          <w:ilvl w:val="0"/>
          <w:numId w:val="337"/>
        </w:numPr>
        <w:ind w:left="0" w:firstLine="0"/>
        <w:rPr>
          <w:rFonts w:cstheme="minorHAnsi"/>
          <w:noProof/>
        </w:rPr>
      </w:pPr>
      <w:r>
        <w:rPr>
          <w:noProof/>
        </w:rPr>
        <w:t>Importētājs, kas lūdz piemērot preferenciāla tarifa režīmu, pamatojoties uz 2. punkta a) apakšpunktā minēto pazi</w:t>
      </w:r>
      <w:r>
        <w:rPr>
          <w:noProof/>
        </w:rPr>
        <w:t xml:space="preserve">ņojumu par izcelsmi, patur paziņojumu par izcelsmi un, ja to pieprasa importētājas Puses muitas dienests, iesniedz tā kopiju minētajam muitas dienestam. </w:t>
      </w:r>
    </w:p>
    <w:p w:rsidR="003E022D" w:rsidRDefault="007D19D6">
      <w:pPr>
        <w:pStyle w:val="Article"/>
        <w:rPr>
          <w:noProof/>
        </w:rPr>
      </w:pPr>
      <w:bookmarkStart w:id="73" w:name="_Toc58163416"/>
      <w:r>
        <w:rPr>
          <w:noProof/>
        </w:rPr>
        <w:t>ORIG.18.a pants. Preferenciāla tarifa režīma pieprasīšanas laiks</w:t>
      </w:r>
      <w:bookmarkEnd w:id="73"/>
    </w:p>
    <w:p w:rsidR="003E022D" w:rsidRDefault="007D19D6">
      <w:pPr>
        <w:numPr>
          <w:ilvl w:val="0"/>
          <w:numId w:val="339"/>
        </w:numPr>
        <w:ind w:left="0" w:firstLine="0"/>
        <w:rPr>
          <w:noProof/>
        </w:rPr>
      </w:pPr>
      <w:r>
        <w:rPr>
          <w:noProof/>
        </w:rPr>
        <w:t>Preferenciāla tarifa režīma pieprasīj</w:t>
      </w:r>
      <w:r>
        <w:rPr>
          <w:noProof/>
        </w:rPr>
        <w:t>umu un šāda pieprasījuma pamatojumu, kā minēts ORIG.18. panta [Pieprasījums piemērot preferenciāla tarifa režīmu] 2. punktā, iekļauj muitas importa deklarācijā saskaņā ar importētājas Puses normatīvajiem aktiem.</w:t>
      </w:r>
    </w:p>
    <w:p w:rsidR="003E022D" w:rsidRDefault="007D19D6">
      <w:pPr>
        <w:numPr>
          <w:ilvl w:val="0"/>
          <w:numId w:val="339"/>
        </w:numPr>
        <w:ind w:left="0" w:firstLine="0"/>
        <w:rPr>
          <w:noProof/>
        </w:rPr>
      </w:pPr>
      <w:r>
        <w:rPr>
          <w:noProof/>
        </w:rPr>
        <w:t>Atkāpjoties no šā panta 1. punkta, ja import</w:t>
      </w:r>
      <w:r>
        <w:rPr>
          <w:noProof/>
        </w:rPr>
        <w:t xml:space="preserve">ētājs importēšanas laikā nav pieprasījis preferenciāla tarifa režīmu, importētāja Puse piešķir preferenciāla tarifa režīmu un atmaksā vai atlaiž visus pārmaksātos muitas nodokļus, ja: </w:t>
      </w:r>
    </w:p>
    <w:p w:rsidR="003E022D" w:rsidRDefault="007D19D6">
      <w:pPr>
        <w:numPr>
          <w:ilvl w:val="0"/>
          <w:numId w:val="340"/>
        </w:numPr>
        <w:ind w:left="567" w:hanging="567"/>
        <w:rPr>
          <w:noProof/>
        </w:rPr>
      </w:pPr>
      <w:r>
        <w:rPr>
          <w:noProof/>
        </w:rPr>
        <w:t>pieprasījums piemērot preferenciāla tarifa režīmu tiek iesniegts ne vēl</w:t>
      </w:r>
      <w:r>
        <w:rPr>
          <w:noProof/>
        </w:rPr>
        <w:t xml:space="preserve">āk kā trīs gadus pēc importēšanas dienas vai tādā ilgākā periodā, kā noteikts importētājas Puses normatīvajos aktos, </w:t>
      </w:r>
    </w:p>
    <w:p w:rsidR="003E022D" w:rsidRDefault="007D19D6">
      <w:pPr>
        <w:numPr>
          <w:ilvl w:val="0"/>
          <w:numId w:val="340"/>
        </w:numPr>
        <w:ind w:left="567" w:hanging="567"/>
        <w:rPr>
          <w:noProof/>
        </w:rPr>
      </w:pPr>
      <w:r>
        <w:rPr>
          <w:noProof/>
        </w:rPr>
        <w:t xml:space="preserve">importētājs sniedz pamatojumu pieprasījumam, kā minēts ORIG.18. panta [Pieprasījums piemērot preferenciāla tarifa režīmu] 2. punktā, un  </w:t>
      </w:r>
    </w:p>
    <w:p w:rsidR="003E022D" w:rsidRDefault="007D19D6">
      <w:pPr>
        <w:numPr>
          <w:ilvl w:val="0"/>
          <w:numId w:val="340"/>
        </w:numPr>
        <w:ind w:left="567" w:hanging="567"/>
        <w:rPr>
          <w:noProof/>
        </w:rPr>
      </w:pPr>
      <w:r>
        <w:rPr>
          <w:noProof/>
        </w:rPr>
        <w:t xml:space="preserve">ražojumu uzskatītu par noteiktas izcelsmes ražojumu un tas atbilstu visām citām piemērojamām prasībām šīs nodaļas 1. iedaļas [Izcelsmes noteikumi] nozīmē, ja importētājs būtu pieprasījis preferenciāla tarifa režīmu importēšanas laikā. </w:t>
      </w:r>
    </w:p>
    <w:p w:rsidR="003E022D" w:rsidRDefault="007D19D6">
      <w:pPr>
        <w:rPr>
          <w:noProof/>
        </w:rPr>
      </w:pPr>
      <w:r>
        <w:rPr>
          <w:noProof/>
        </w:rPr>
        <w:t xml:space="preserve"> Pārējie pienākumi, </w:t>
      </w:r>
      <w:r>
        <w:rPr>
          <w:noProof/>
        </w:rPr>
        <w:t xml:space="preserve">kas piemērojami importētājam saskaņā ar ORIG.18. pantu [Pieprasījums piemērot preferenciāla tarifa režīmu], paliek nemainīgi. </w:t>
      </w:r>
    </w:p>
    <w:p w:rsidR="003E022D" w:rsidRDefault="007D19D6">
      <w:pPr>
        <w:pStyle w:val="Article"/>
        <w:rPr>
          <w:noProof/>
        </w:rPr>
      </w:pPr>
      <w:r>
        <w:rPr>
          <w:noProof/>
        </w:rPr>
        <w:t xml:space="preserve">ORIG.19. pants. </w:t>
      </w:r>
      <w:bookmarkStart w:id="74" w:name="_Toc58163417"/>
      <w:r>
        <w:rPr>
          <w:noProof/>
        </w:rPr>
        <w:t>Paziņojums</w:t>
      </w:r>
      <w:bookmarkEnd w:id="74"/>
      <w:r>
        <w:rPr>
          <w:noProof/>
        </w:rPr>
        <w:t xml:space="preserve"> par izcelsmi</w:t>
      </w:r>
    </w:p>
    <w:p w:rsidR="003E022D" w:rsidRDefault="007D19D6">
      <w:pPr>
        <w:numPr>
          <w:ilvl w:val="0"/>
          <w:numId w:val="341"/>
        </w:numPr>
        <w:ind w:left="0" w:firstLine="0"/>
        <w:rPr>
          <w:noProof/>
        </w:rPr>
      </w:pPr>
      <w:r>
        <w:rPr>
          <w:noProof/>
        </w:rPr>
        <w:t xml:space="preserve">Paziņojumu par izcelsmi sagatavo ražojuma eksportētājs, pamatojoties uz informāciju, kas </w:t>
      </w:r>
      <w:r>
        <w:rPr>
          <w:noProof/>
        </w:rPr>
        <w:t xml:space="preserve">apliecina, ka tas ir noteiktas izcelsmes ražojums, norādot informāciju par ražojuma ražošanā izmantoto materiālu noteiktas izcelsmes statusu. Eksportētājs ir atbildīgs par to, lai paziņojums par izcelsmi un sniegtā informācija būtu pareiza. </w:t>
      </w:r>
    </w:p>
    <w:p w:rsidR="003E022D" w:rsidRDefault="007D19D6">
      <w:pPr>
        <w:numPr>
          <w:ilvl w:val="0"/>
          <w:numId w:val="341"/>
        </w:numPr>
        <w:ind w:left="0" w:firstLine="0"/>
        <w:rPr>
          <w:noProof/>
        </w:rPr>
      </w:pPr>
      <w:r>
        <w:rPr>
          <w:noProof/>
        </w:rPr>
        <w:t>Paziņojumu par</w:t>
      </w:r>
      <w:r>
        <w:rPr>
          <w:noProof/>
        </w:rPr>
        <w:t xml:space="preserve"> izcelsmi sagatavo, izmantojot ORIG-4. PIELIKUMĀ [Paziņojuma par izcelsmi teksts] sniegto tekstu vienā no tur norādītajām valodām, uz rēķina vai cita dokumenta, kurš sniedz pietiekami detalizētu noteiktas izcelsmes ražojuma aprakstu, kas ļauj minēto ražoju</w:t>
      </w:r>
      <w:r>
        <w:rPr>
          <w:noProof/>
        </w:rPr>
        <w:t xml:space="preserve">mu identificēt. Eksportētājs ir atbildīgs par pietiekami detalizētas informācijas sniegšanu, lai varētu identificēt noteiktas izcelsmes ražojumu. Importētāja Puse nepieprasa, lai importētājs iesniedz paziņojuma par izcelsmi tulkojumu. </w:t>
      </w:r>
    </w:p>
    <w:p w:rsidR="003E022D" w:rsidRDefault="007D19D6">
      <w:pPr>
        <w:numPr>
          <w:ilvl w:val="0"/>
          <w:numId w:val="341"/>
        </w:numPr>
        <w:ind w:left="0" w:firstLine="0"/>
        <w:rPr>
          <w:noProof/>
        </w:rPr>
      </w:pPr>
      <w:r>
        <w:rPr>
          <w:noProof/>
          <w:color w:val="000000" w:themeColor="text1"/>
        </w:rPr>
        <w:t>Paziņojums par izcel</w:t>
      </w:r>
      <w:r>
        <w:rPr>
          <w:noProof/>
          <w:color w:val="000000" w:themeColor="text1"/>
        </w:rPr>
        <w:t>smi ir derīgs 12 mēnešus no tā sagatavošanas dienas vai ilgāku laikposmu, kā paredzējusi importētāja Puse, bet ne ilgāk kā 24 mēnešus.</w:t>
      </w:r>
    </w:p>
    <w:p w:rsidR="003E022D" w:rsidRDefault="007D19D6">
      <w:pPr>
        <w:numPr>
          <w:ilvl w:val="0"/>
          <w:numId w:val="341"/>
        </w:numPr>
        <w:ind w:left="0" w:firstLine="0"/>
        <w:rPr>
          <w:noProof/>
          <w:lang w:val="fr-BE"/>
        </w:rPr>
      </w:pPr>
      <w:r>
        <w:rPr>
          <w:noProof/>
          <w:lang w:val="fr-BE"/>
        </w:rPr>
        <w:t xml:space="preserve">Paziņojums par izcelsmi var attiekties uz </w:t>
      </w:r>
    </w:p>
    <w:p w:rsidR="003E022D" w:rsidRDefault="007D19D6">
      <w:pPr>
        <w:numPr>
          <w:ilvl w:val="0"/>
          <w:numId w:val="342"/>
        </w:numPr>
        <w:ind w:left="567" w:hanging="567"/>
        <w:rPr>
          <w:noProof/>
          <w:lang w:val="fr-BE"/>
        </w:rPr>
      </w:pPr>
      <w:r>
        <w:rPr>
          <w:noProof/>
          <w:lang w:val="fr-BE"/>
        </w:rPr>
        <w:t xml:space="preserve">viena vai vairāku ražojumu, ko importē kādā no Pusēm, vienu sūtījumu vai </w:t>
      </w:r>
    </w:p>
    <w:p w:rsidR="003E022D" w:rsidRDefault="007D19D6">
      <w:pPr>
        <w:numPr>
          <w:ilvl w:val="0"/>
          <w:numId w:val="342"/>
        </w:numPr>
        <w:ind w:left="567" w:hanging="567"/>
        <w:rPr>
          <w:noProof/>
          <w:lang w:val="fr-BE"/>
        </w:rPr>
      </w:pPr>
      <w:r>
        <w:rPr>
          <w:noProof/>
          <w:lang w:val="fr-BE"/>
        </w:rPr>
        <w:t xml:space="preserve">identisku ražojumu vairākiem sūtījumiem, kurus importē uz kādu no Pusēm jebkurā laikposmā, kas norādīts paziņojumā par izcelsmi un nepārsniedz 12 mēnešus. </w:t>
      </w:r>
    </w:p>
    <w:p w:rsidR="003E022D" w:rsidRDefault="007D19D6">
      <w:pPr>
        <w:numPr>
          <w:ilvl w:val="0"/>
          <w:numId w:val="341"/>
        </w:numPr>
        <w:ind w:left="0" w:firstLine="0"/>
        <w:rPr>
          <w:noProof/>
          <w:lang w:val="fr-BE"/>
        </w:rPr>
      </w:pPr>
      <w:r>
        <w:rPr>
          <w:noProof/>
          <w:lang w:val="fr-BE"/>
        </w:rPr>
        <w:t>Ja pēc importētāja pieprasījuma nesaliktus vai izjauktus ražojumus Harmonizētās sistēmas interpretāc</w:t>
      </w:r>
      <w:r>
        <w:rPr>
          <w:noProof/>
          <w:lang w:val="fr-BE"/>
        </w:rPr>
        <w:t xml:space="preserve">ijas 2. vispārīgā noteikuma a) punkta nozīmē, kuri ietilpst Harmonizētās sistēmas XV–XXI sadaļā, ieved pa daļām, šādiem ražojumiem var izmantot vienu paziņojumu par izcelsmi saskaņā ar prasībām, ko noteicis importētājas Puses muitas dienests.  </w:t>
      </w:r>
    </w:p>
    <w:p w:rsidR="003E022D" w:rsidRDefault="007D19D6">
      <w:pPr>
        <w:pStyle w:val="Article"/>
        <w:rPr>
          <w:noProof/>
          <w:lang w:val="fr-BE"/>
        </w:rPr>
      </w:pPr>
      <w:bookmarkStart w:id="75" w:name="_Toc58163418"/>
      <w:r>
        <w:rPr>
          <w:noProof/>
          <w:lang w:val="fr-BE"/>
        </w:rPr>
        <w:t>ORIG.20. pa</w:t>
      </w:r>
      <w:r>
        <w:rPr>
          <w:noProof/>
          <w:lang w:val="fr-BE"/>
        </w:rPr>
        <w:t>nts. Neatbilstības</w:t>
      </w:r>
      <w:bookmarkEnd w:id="75"/>
    </w:p>
    <w:p w:rsidR="003E022D" w:rsidRDefault="007D19D6">
      <w:pPr>
        <w:rPr>
          <w:rFonts w:cstheme="minorHAnsi"/>
          <w:noProof/>
          <w:lang w:val="fr-BE"/>
        </w:rPr>
      </w:pPr>
      <w:r>
        <w:rPr>
          <w:noProof/>
          <w:lang w:val="fr-BE"/>
        </w:rPr>
        <w:t>Importētājas Puses muitas dienests nenoraida pieprasījumu piemērot preferenciāla tarifa režīmu, ja paziņojumā par izcelsmi ir nelielas kļūdas vai neatbilstības, vai tikai tā iemesla dēļ, ka rēķinu ir izrakstījusi trešā valsts.</w:t>
      </w:r>
    </w:p>
    <w:p w:rsidR="003E022D" w:rsidRDefault="007D19D6">
      <w:pPr>
        <w:pStyle w:val="Article"/>
        <w:rPr>
          <w:noProof/>
        </w:rPr>
      </w:pPr>
      <w:r>
        <w:rPr>
          <w:noProof/>
          <w:lang w:val="fr-BE"/>
        </w:rPr>
        <w:t xml:space="preserve"> </w:t>
      </w:r>
      <w:bookmarkStart w:id="76" w:name="_Toc58163419"/>
      <w:r>
        <w:rPr>
          <w:noProof/>
        </w:rPr>
        <w:t>ORIG.21. </w:t>
      </w:r>
      <w:r>
        <w:rPr>
          <w:noProof/>
        </w:rPr>
        <w:t>pants. Importētāja informētība</w:t>
      </w:r>
      <w:bookmarkEnd w:id="76"/>
    </w:p>
    <w:p w:rsidR="003E022D" w:rsidRDefault="007D19D6">
      <w:pPr>
        <w:numPr>
          <w:ilvl w:val="0"/>
          <w:numId w:val="283"/>
        </w:numPr>
        <w:ind w:left="0" w:firstLine="0"/>
        <w:rPr>
          <w:noProof/>
        </w:rPr>
      </w:pPr>
      <w:r>
        <w:rPr>
          <w:noProof/>
        </w:rPr>
        <w:t>Attiecībā uz preferenciāla tarifa režīma pieprasījumu, kas iesniegts saskaņā ar ORIG.18. panta [Pieprasījums piemērot preferenciāla tarifa režīmu] 2. punkta b) apakšpunktu, importētāja informētība par to, ka ražojuma izcelsme</w:t>
      </w:r>
      <w:r>
        <w:rPr>
          <w:noProof/>
        </w:rPr>
        <w:t xml:space="preserve"> ir eksportētājā Pusē, pamatojas uz informāciju, kas pierāda, ka ražojums ir noteiktas izcelsmes ražojums un atbilst šajā nodaļā noteiktajām prasībām.</w:t>
      </w:r>
    </w:p>
    <w:p w:rsidR="003E022D" w:rsidRDefault="007D19D6">
      <w:pPr>
        <w:numPr>
          <w:ilvl w:val="0"/>
          <w:numId w:val="283"/>
        </w:numPr>
        <w:ind w:left="0" w:firstLine="0"/>
        <w:rPr>
          <w:noProof/>
        </w:rPr>
      </w:pPr>
      <w:r>
        <w:rPr>
          <w:noProof/>
        </w:rPr>
        <w:t xml:space="preserve">Pirms tiek pieprasīts preferenciāla tarifa režīms, ja importētājs nespēj iegūt šā panta 1. punktā minēto </w:t>
      </w:r>
      <w:r>
        <w:rPr>
          <w:noProof/>
        </w:rPr>
        <w:t>informāciju, jo eksportētājs to uzskata par konfidenciālu informāciju vai kāda cita iemesla dēļ, eksportētājs var iesniegt paziņojumu par izcelsmi, lai importētājs varētu pieprasīt preferenciāla tarifa režīmu, pamatojoties uz ORIG.18. panta [Pieprasījums p</w:t>
      </w:r>
      <w:r>
        <w:rPr>
          <w:noProof/>
        </w:rPr>
        <w:t>iemērot preferenciāla tarifa režīmu] 2. punkta a) apakšpunktu.</w:t>
      </w:r>
    </w:p>
    <w:p w:rsidR="003E022D" w:rsidRDefault="007D19D6">
      <w:pPr>
        <w:pStyle w:val="Article"/>
        <w:rPr>
          <w:noProof/>
        </w:rPr>
      </w:pPr>
      <w:r>
        <w:rPr>
          <w:noProof/>
        </w:rPr>
        <w:t xml:space="preserve">ORIG.22. pants. </w:t>
      </w:r>
      <w:bookmarkStart w:id="77" w:name="_Toc58163420"/>
      <w:r>
        <w:rPr>
          <w:noProof/>
        </w:rPr>
        <w:t>Dokumentēšanas</w:t>
      </w:r>
      <w:bookmarkEnd w:id="77"/>
      <w:r>
        <w:rPr>
          <w:noProof/>
        </w:rPr>
        <w:t xml:space="preserve"> prasības</w:t>
      </w:r>
    </w:p>
    <w:p w:rsidR="003E022D" w:rsidRDefault="007D19D6">
      <w:pPr>
        <w:numPr>
          <w:ilvl w:val="0"/>
          <w:numId w:val="343"/>
        </w:numPr>
        <w:ind w:left="0" w:firstLine="0"/>
        <w:rPr>
          <w:noProof/>
        </w:rPr>
      </w:pPr>
      <w:r>
        <w:rPr>
          <w:noProof/>
        </w:rPr>
        <w:t xml:space="preserve">Importētājs, kas iesniedz pieprasījumu piemērot preferenciāla tarifa režīmu attiecībā uz ražojumu, kurš importēts importētājā Pusē, vismaz trīs gadus pēc ražojuma importēšanas uzglabā: </w:t>
      </w:r>
    </w:p>
    <w:p w:rsidR="003E022D" w:rsidRDefault="007D19D6">
      <w:pPr>
        <w:numPr>
          <w:ilvl w:val="0"/>
          <w:numId w:val="344"/>
        </w:numPr>
        <w:ind w:left="567" w:hanging="567"/>
        <w:rPr>
          <w:noProof/>
        </w:rPr>
      </w:pPr>
      <w:r>
        <w:rPr>
          <w:noProof/>
        </w:rPr>
        <w:t xml:space="preserve">ja pieprasījuma pamatā bijis paziņojums par izcelsmi — paziņojumu par </w:t>
      </w:r>
      <w:r>
        <w:rPr>
          <w:noProof/>
        </w:rPr>
        <w:t>izcelsmi, ko sagatavojis eksportētājs, vai</w:t>
      </w:r>
    </w:p>
    <w:p w:rsidR="003E022D" w:rsidRDefault="007D19D6">
      <w:pPr>
        <w:numPr>
          <w:ilvl w:val="0"/>
          <w:numId w:val="344"/>
        </w:numPr>
        <w:ind w:left="567" w:hanging="567"/>
        <w:rPr>
          <w:noProof/>
        </w:rPr>
      </w:pPr>
      <w:r>
        <w:rPr>
          <w:noProof/>
        </w:rPr>
        <w:t xml:space="preserve">ja pieprasījuma pamatā bijusi importētāja informētība — visus dokumentus, kas apliecina, ka ražojums atbilst prasībām, lai iegūtu noteiktas izcelsmes statusu. </w:t>
      </w:r>
    </w:p>
    <w:p w:rsidR="003E022D" w:rsidRDefault="007D19D6">
      <w:pPr>
        <w:numPr>
          <w:ilvl w:val="0"/>
          <w:numId w:val="343"/>
        </w:numPr>
        <w:ind w:left="0" w:firstLine="0"/>
        <w:rPr>
          <w:noProof/>
        </w:rPr>
      </w:pPr>
      <w:r>
        <w:rPr>
          <w:noProof/>
        </w:rPr>
        <w:t>Eksportētājs, kas ir sagatavojis paziņojumu par izcel</w:t>
      </w:r>
      <w:r>
        <w:rPr>
          <w:noProof/>
        </w:rPr>
        <w:t xml:space="preserve">smi, ne mazāk kā četrus gadus pēc minētā paziņojuma par izcelsmi sagatavošanas saglabā paziņojuma par izcelsmi kopiju un visus citus dokumentus, kuri apliecina, ka ražojums atbilst prasībām, lai iegūtu noteiktas izcelsmes statusu. </w:t>
      </w:r>
    </w:p>
    <w:p w:rsidR="003E022D" w:rsidRDefault="007D19D6">
      <w:pPr>
        <w:numPr>
          <w:ilvl w:val="0"/>
          <w:numId w:val="343"/>
        </w:numPr>
        <w:ind w:left="0" w:firstLine="0"/>
        <w:rPr>
          <w:noProof/>
        </w:rPr>
      </w:pPr>
      <w:r>
        <w:rPr>
          <w:noProof/>
        </w:rPr>
        <w:t>Saskaņā ar šo pantu uzgl</w:t>
      </w:r>
      <w:r>
        <w:rPr>
          <w:noProof/>
        </w:rPr>
        <w:t xml:space="preserve">abājamos dokumentus var glabāt elektroniski. </w:t>
      </w:r>
    </w:p>
    <w:p w:rsidR="003E022D" w:rsidRDefault="007D19D6">
      <w:pPr>
        <w:pStyle w:val="Article"/>
        <w:rPr>
          <w:noProof/>
        </w:rPr>
      </w:pPr>
      <w:r>
        <w:rPr>
          <w:noProof/>
        </w:rPr>
        <w:t xml:space="preserve">ORIG.23. pants. </w:t>
      </w:r>
      <w:bookmarkStart w:id="78" w:name="_Toc58163421"/>
      <w:r>
        <w:rPr>
          <w:noProof/>
        </w:rPr>
        <w:t>Nelieli</w:t>
      </w:r>
      <w:bookmarkEnd w:id="78"/>
      <w:r>
        <w:rPr>
          <w:noProof/>
        </w:rPr>
        <w:t xml:space="preserve"> sūtījumi</w:t>
      </w:r>
    </w:p>
    <w:p w:rsidR="003E022D" w:rsidRDefault="007D19D6">
      <w:pPr>
        <w:numPr>
          <w:ilvl w:val="0"/>
          <w:numId w:val="345"/>
        </w:numPr>
        <w:ind w:left="0" w:firstLine="0"/>
        <w:rPr>
          <w:rFonts w:cstheme="minorHAnsi"/>
          <w:noProof/>
        </w:rPr>
      </w:pPr>
      <w:r>
        <w:rPr>
          <w:noProof/>
        </w:rPr>
        <w:t>Atkāpjoties no ORIG.18. panta [Pieprasījums piemērot preferenciāla tarifa režīmu] līdz ORIG.21. pantam [Importētāja informētība], gadījumos, kad ražojums ir deklarēts kā tāds, k</w:t>
      </w:r>
      <w:r>
        <w:rPr>
          <w:noProof/>
        </w:rPr>
        <w:t xml:space="preserve">as atbilst šīs nodaļas prasībām, un ja importētājas Puses muitas dienestam nav šaubu par minētās deklarācijas patiesumu, tad importētāja Puse piešķir preferenciāla tarifa režīmu:  </w:t>
      </w:r>
    </w:p>
    <w:p w:rsidR="003E022D" w:rsidRDefault="007D19D6">
      <w:pPr>
        <w:numPr>
          <w:ilvl w:val="0"/>
          <w:numId w:val="284"/>
        </w:numPr>
        <w:ind w:left="567" w:hanging="567"/>
        <w:rPr>
          <w:noProof/>
        </w:rPr>
      </w:pPr>
      <w:r>
        <w:rPr>
          <w:noProof/>
        </w:rPr>
        <w:t xml:space="preserve">ražojumam, ko privātpersonas nelielos iepakojumos sūta privātpersonām,  </w:t>
      </w:r>
    </w:p>
    <w:p w:rsidR="003E022D" w:rsidRDefault="007D19D6">
      <w:pPr>
        <w:numPr>
          <w:ilvl w:val="0"/>
          <w:numId w:val="284"/>
        </w:numPr>
        <w:ind w:left="567" w:hanging="567"/>
        <w:rPr>
          <w:noProof/>
        </w:rPr>
      </w:pPr>
      <w:r>
        <w:rPr>
          <w:noProof/>
        </w:rPr>
        <w:t>ra</w:t>
      </w:r>
      <w:r>
        <w:rPr>
          <w:noProof/>
        </w:rPr>
        <w:t>žojumam, kas ir daļa no ceļotāja personīgās bagāžas, un</w:t>
      </w:r>
    </w:p>
    <w:p w:rsidR="003E022D" w:rsidRDefault="007D19D6">
      <w:pPr>
        <w:numPr>
          <w:ilvl w:val="0"/>
          <w:numId w:val="284"/>
        </w:numPr>
        <w:ind w:left="567" w:hanging="567"/>
        <w:rPr>
          <w:noProof/>
        </w:rPr>
      </w:pPr>
      <w:r>
        <w:rPr>
          <w:noProof/>
        </w:rPr>
        <w:t>Apvienotās Karalistes gadījumā papildus a) un b) apakšpunktam — citiem zemas vērtības sūtījumiem.</w:t>
      </w:r>
    </w:p>
    <w:p w:rsidR="003E022D" w:rsidRDefault="007D19D6">
      <w:pPr>
        <w:numPr>
          <w:ilvl w:val="0"/>
          <w:numId w:val="345"/>
        </w:numPr>
        <w:ind w:left="0" w:firstLine="0"/>
        <w:rPr>
          <w:noProof/>
        </w:rPr>
      </w:pPr>
      <w:r>
        <w:rPr>
          <w:noProof/>
        </w:rPr>
        <w:t xml:space="preserve">Šā panta 1. punktu nepiemēro šādiem ražojumiem:  </w:t>
      </w:r>
    </w:p>
    <w:p w:rsidR="003E022D" w:rsidRDefault="007D19D6">
      <w:pPr>
        <w:numPr>
          <w:ilvl w:val="0"/>
          <w:numId w:val="346"/>
        </w:numPr>
        <w:ind w:left="567" w:hanging="567"/>
        <w:rPr>
          <w:noProof/>
        </w:rPr>
      </w:pPr>
      <w:r>
        <w:rPr>
          <w:noProof/>
        </w:rPr>
        <w:t xml:space="preserve">ražojumi, kuru imports ir daļa no tāda importa virknes, kuru var pamatoti uzskatīt par tādu, kas veikts atsevišķi, lai izvairītos no ORIG.18. panta [Pieprasījums piemērot preferenciāla tarifa režīmu] prasībām; </w:t>
      </w:r>
    </w:p>
    <w:p w:rsidR="003E022D" w:rsidRDefault="007D19D6">
      <w:pPr>
        <w:numPr>
          <w:ilvl w:val="0"/>
          <w:numId w:val="346"/>
        </w:numPr>
        <w:ind w:left="567" w:hanging="567"/>
        <w:rPr>
          <w:noProof/>
        </w:rPr>
      </w:pPr>
      <w:r>
        <w:rPr>
          <w:noProof/>
        </w:rPr>
        <w:t>attiecībā uz Savienību:</w:t>
      </w:r>
    </w:p>
    <w:p w:rsidR="003E022D" w:rsidRDefault="007D19D6">
      <w:pPr>
        <w:numPr>
          <w:ilvl w:val="0"/>
          <w:numId w:val="347"/>
        </w:numPr>
        <w:ind w:left="1276" w:hanging="567"/>
        <w:rPr>
          <w:noProof/>
        </w:rPr>
      </w:pPr>
      <w:r>
        <w:rPr>
          <w:noProof/>
        </w:rPr>
        <w:t>ražojums, kas importē</w:t>
      </w:r>
      <w:r>
        <w:rPr>
          <w:noProof/>
        </w:rPr>
        <w:t xml:space="preserve">ts tirdzniecības ceļā, ja imports notiek neregulāri un ražojumi ir paredzēti tikai saņēmēju, ceļotāju vai viņu ģimenes locekļu personīgai lietošanai, tad to neuzskata par ražojumu importu tirdzniecībai, ja pēc produktu veida un daudzuma ir redzams, ka nav </w:t>
      </w:r>
      <w:r>
        <w:rPr>
          <w:noProof/>
        </w:rPr>
        <w:t>plānoti nekādi komerciāli mērķi, un</w:t>
      </w:r>
    </w:p>
    <w:p w:rsidR="003E022D" w:rsidRDefault="007D19D6">
      <w:pPr>
        <w:numPr>
          <w:ilvl w:val="0"/>
          <w:numId w:val="347"/>
        </w:numPr>
        <w:ind w:left="1276" w:hanging="567"/>
        <w:rPr>
          <w:noProof/>
          <w:color w:val="FF0000"/>
        </w:rPr>
      </w:pPr>
      <w:r>
        <w:rPr>
          <w:noProof/>
        </w:rPr>
        <w:t>ražojumi, kuru kopējā vērtība pārsniedz 500 EUR, ja tos sūta sīkpakās, vai 1200 EUR to ražojumu gadījumā, kuri ir daļa no ceļotāja personīgās bagāžas. Summas katrā attiecīgajā valsts valūtā ir līdzvērtīgas tām summām, ku</w:t>
      </w:r>
      <w:r>
        <w:rPr>
          <w:noProof/>
        </w:rPr>
        <w:t xml:space="preserve">ras izteiktas euro pēc kursa oktobra pirmajā darba dienā. Valūtas maiņas summas ir tās, ko Eiropas Centrālā banka publicē minētajā dienā, izņemot gadījumus, kad Eiropas Komisijai līdz 15. oktobrim ir paziņota atšķirīga summa, un tās piemēro no nākamā gada </w:t>
      </w:r>
      <w:r>
        <w:rPr>
          <w:noProof/>
        </w:rPr>
        <w:t>1. janvāra. Eiropas Komisija paziņo Apvienotajai Karalistei attiecīgās summas. Savienība var noteikt citus ierobežojumus, kurus tā paziņos Apvienotajai Karalistei; un</w:t>
      </w:r>
    </w:p>
    <w:p w:rsidR="003E022D" w:rsidRDefault="007D19D6">
      <w:pPr>
        <w:numPr>
          <w:ilvl w:val="0"/>
          <w:numId w:val="346"/>
        </w:numPr>
        <w:ind w:left="567" w:hanging="567"/>
        <w:rPr>
          <w:noProof/>
        </w:rPr>
      </w:pPr>
      <w:r>
        <w:rPr>
          <w:noProof/>
        </w:rPr>
        <w:t>attiecībā uz Apvienoto Karalisti – ražojumi, kuru kopējā vērtība pārsniedz Apvienotās Kar</w:t>
      </w:r>
      <w:r>
        <w:rPr>
          <w:noProof/>
        </w:rPr>
        <w:t xml:space="preserve">alistes tiesību aktos noteiktās robežvērtības. Apvienotā Karaliste paziņos Savienībai šīs robežvērtības. </w:t>
      </w:r>
    </w:p>
    <w:p w:rsidR="003E022D" w:rsidRDefault="007D19D6">
      <w:pPr>
        <w:numPr>
          <w:ilvl w:val="0"/>
          <w:numId w:val="345"/>
        </w:numPr>
        <w:ind w:left="0" w:firstLine="0"/>
        <w:rPr>
          <w:noProof/>
        </w:rPr>
      </w:pPr>
      <w:r>
        <w:rPr>
          <w:noProof/>
        </w:rPr>
        <w:t>Importētājs ir atbildīgs par to, ka deklarācija ir pareiza, un par atbilstību šajā nodaļā noteiktajām prasībām. Dokumentēšanas prasības, kas izklāstīt</w:t>
      </w:r>
      <w:r>
        <w:rPr>
          <w:noProof/>
        </w:rPr>
        <w:t xml:space="preserve">as ORIG.22. pantā [Dokumentēšanas prasības], neattiecas uz importētāju saskaņā ar šo pantu. </w:t>
      </w:r>
    </w:p>
    <w:p w:rsidR="003E022D" w:rsidRDefault="007D19D6">
      <w:pPr>
        <w:pStyle w:val="Article"/>
        <w:rPr>
          <w:noProof/>
        </w:rPr>
      </w:pPr>
      <w:bookmarkStart w:id="79" w:name="_Toc58163422"/>
      <w:r>
        <w:rPr>
          <w:noProof/>
        </w:rPr>
        <w:t>ORIG.24. pants. Pārbaude</w:t>
      </w:r>
      <w:bookmarkEnd w:id="79"/>
    </w:p>
    <w:p w:rsidR="003E022D" w:rsidRDefault="007D19D6">
      <w:pPr>
        <w:numPr>
          <w:ilvl w:val="0"/>
          <w:numId w:val="348"/>
        </w:numPr>
        <w:ind w:left="0" w:firstLine="0"/>
        <w:rPr>
          <w:noProof/>
        </w:rPr>
      </w:pPr>
      <w:r>
        <w:rPr>
          <w:noProof/>
        </w:rPr>
        <w:t>Importētājas Puses muitas dienests var pārbaudīt, vai ražojums ir noteiktas izcelsmes ražojums un vai ir izpildītas pārējās šīs nodaļas pr</w:t>
      </w:r>
      <w:r>
        <w:rPr>
          <w:noProof/>
        </w:rPr>
        <w:t>asības, pamatojoties uz riska novērtēšanas metodēm, kas var ietvert atlasi pēc nejaušības principa. Šādu pārbaudi var veikt, pieprasot informāciju no importētāja, kurš iesniedzis ORIG.18. pantā [Pieprasījums piemērot preferenciāla tarifa režīmu] minēto pie</w:t>
      </w:r>
      <w:r>
        <w:rPr>
          <w:noProof/>
        </w:rPr>
        <w:t xml:space="preserve">prasījumu, importa deklarācijas iesniegšanas laikā, pirms ražojumu izlaišanas vai pēc ražojumu izlaišanas. </w:t>
      </w:r>
    </w:p>
    <w:p w:rsidR="003E022D" w:rsidRDefault="007D19D6">
      <w:pPr>
        <w:numPr>
          <w:ilvl w:val="0"/>
          <w:numId w:val="348"/>
        </w:numPr>
        <w:ind w:left="0" w:firstLine="0"/>
        <w:rPr>
          <w:noProof/>
        </w:rPr>
      </w:pPr>
      <w:r>
        <w:rPr>
          <w:noProof/>
        </w:rPr>
        <w:t xml:space="preserve">Saskaņā ar 1. punktu pieprasītā informācija ietver tikai šādus elementus: </w:t>
      </w:r>
    </w:p>
    <w:p w:rsidR="003E022D" w:rsidRDefault="007D19D6">
      <w:pPr>
        <w:numPr>
          <w:ilvl w:val="0"/>
          <w:numId w:val="349"/>
        </w:numPr>
        <w:ind w:left="567" w:hanging="567"/>
        <w:rPr>
          <w:rFonts w:cstheme="minorHAnsi"/>
          <w:noProof/>
        </w:rPr>
      </w:pPr>
      <w:r>
        <w:rPr>
          <w:noProof/>
        </w:rPr>
        <w:t>ja pieprasījuma pamatā bijis paziņojums par izcelsmi — paziņojums par izc</w:t>
      </w:r>
      <w:r>
        <w:rPr>
          <w:noProof/>
        </w:rPr>
        <w:t>elsmi; un</w:t>
      </w:r>
    </w:p>
    <w:p w:rsidR="003E022D" w:rsidRDefault="007D19D6">
      <w:pPr>
        <w:numPr>
          <w:ilvl w:val="0"/>
          <w:numId w:val="349"/>
        </w:numPr>
        <w:ind w:left="567" w:hanging="567"/>
        <w:rPr>
          <w:rFonts w:cstheme="minorHAnsi"/>
          <w:noProof/>
        </w:rPr>
      </w:pPr>
      <w:r>
        <w:rPr>
          <w:noProof/>
        </w:rPr>
        <w:t xml:space="preserve">informācija par izcelsmes kritēriju izpildi, kas attiecas uz šādiem elementiem: </w:t>
      </w:r>
    </w:p>
    <w:p w:rsidR="003E022D" w:rsidRDefault="007D19D6">
      <w:pPr>
        <w:numPr>
          <w:ilvl w:val="0"/>
          <w:numId w:val="350"/>
        </w:numPr>
        <w:ind w:left="1276" w:hanging="567"/>
        <w:rPr>
          <w:rFonts w:cstheme="minorHAnsi"/>
          <w:noProof/>
        </w:rPr>
      </w:pPr>
      <w:r>
        <w:rPr>
          <w:noProof/>
        </w:rPr>
        <w:t xml:space="preserve">ja izcelsmes kritērijs ir “pilnībā iegūts” — piemērojamā kategorija (piemēram, ievākšana, ieguves rūpniecība, zveja) un ražošanas vieta; </w:t>
      </w:r>
    </w:p>
    <w:p w:rsidR="003E022D" w:rsidRDefault="007D19D6">
      <w:pPr>
        <w:numPr>
          <w:ilvl w:val="0"/>
          <w:numId w:val="350"/>
        </w:numPr>
        <w:ind w:left="1276" w:hanging="567"/>
        <w:rPr>
          <w:rFonts w:cstheme="minorHAnsi"/>
          <w:noProof/>
        </w:rPr>
      </w:pPr>
      <w:r>
        <w:rPr>
          <w:noProof/>
        </w:rPr>
        <w:t>ja izcelsmes kritērija pama</w:t>
      </w:r>
      <w:r>
        <w:rPr>
          <w:noProof/>
        </w:rPr>
        <w:t xml:space="preserve">tā ir tarifa klasifikācijas maiņa — visu nenoteiktas izcelsmes materiālu saraksts, tostarp to tarifa klasifikācija (2, 4 vai 6 ciparu formātā atkarībā no izcelsmes kritērija); </w:t>
      </w:r>
    </w:p>
    <w:p w:rsidR="003E022D" w:rsidRDefault="007D19D6">
      <w:pPr>
        <w:numPr>
          <w:ilvl w:val="0"/>
          <w:numId w:val="350"/>
        </w:numPr>
        <w:ind w:left="1276" w:hanging="567"/>
        <w:rPr>
          <w:rFonts w:cstheme="minorHAnsi"/>
          <w:noProof/>
        </w:rPr>
      </w:pPr>
      <w:r>
        <w:rPr>
          <w:noProof/>
        </w:rPr>
        <w:t>ja izcelsmes kritērija pamatā ir izmantota vērtības metode – galaražojuma vērtī</w:t>
      </w:r>
      <w:r>
        <w:rPr>
          <w:noProof/>
        </w:rPr>
        <w:t xml:space="preserve">ba, kā arī visu minētā ražojuma ražošanā izmantoto nenoteiktas izcelsmes materiālu vērtība; </w:t>
      </w:r>
    </w:p>
    <w:p w:rsidR="003E022D" w:rsidRDefault="007D19D6">
      <w:pPr>
        <w:numPr>
          <w:ilvl w:val="0"/>
          <w:numId w:val="350"/>
        </w:numPr>
        <w:ind w:left="1276" w:hanging="567"/>
        <w:rPr>
          <w:rFonts w:cstheme="minorHAnsi"/>
          <w:noProof/>
        </w:rPr>
      </w:pPr>
      <w:r>
        <w:rPr>
          <w:noProof/>
        </w:rPr>
        <w:t xml:space="preserve">ja izcelsmes kritērija pamatā ir svars – galaražojuma svars, kā arī galaražojumā izmantoto attiecīgo nenoteiktas izcelsmes materiālu svars; </w:t>
      </w:r>
    </w:p>
    <w:p w:rsidR="003E022D" w:rsidRDefault="007D19D6">
      <w:pPr>
        <w:numPr>
          <w:ilvl w:val="0"/>
          <w:numId w:val="350"/>
        </w:numPr>
        <w:ind w:left="1276" w:hanging="567"/>
        <w:rPr>
          <w:rFonts w:cstheme="minorHAnsi"/>
          <w:noProof/>
        </w:rPr>
      </w:pPr>
      <w:r>
        <w:rPr>
          <w:noProof/>
        </w:rPr>
        <w:t>ja izcelsmes kritērija</w:t>
      </w:r>
      <w:r>
        <w:rPr>
          <w:noProof/>
        </w:rPr>
        <w:t xml:space="preserve"> pamatā ir konkrēts ražošanas process – minētā konkrētā procesa apraksts. </w:t>
      </w:r>
    </w:p>
    <w:p w:rsidR="003E022D" w:rsidRDefault="007D19D6">
      <w:pPr>
        <w:numPr>
          <w:ilvl w:val="0"/>
          <w:numId w:val="348"/>
        </w:numPr>
        <w:ind w:left="0" w:firstLine="0"/>
        <w:rPr>
          <w:noProof/>
        </w:rPr>
      </w:pPr>
      <w:r>
        <w:rPr>
          <w:noProof/>
        </w:rPr>
        <w:t xml:space="preserve">Sniedzot pieprasīto informāciju, importētājs var pievienot jebkādu citu informāciju, ko tas uzskata par būtisku pārbaudes nolūkiem. </w:t>
      </w:r>
    </w:p>
    <w:p w:rsidR="003E022D" w:rsidRDefault="007D19D6">
      <w:pPr>
        <w:numPr>
          <w:ilvl w:val="0"/>
          <w:numId w:val="348"/>
        </w:numPr>
        <w:ind w:left="0" w:firstLine="0"/>
        <w:rPr>
          <w:noProof/>
        </w:rPr>
      </w:pPr>
      <w:r>
        <w:rPr>
          <w:noProof/>
        </w:rPr>
        <w:t xml:space="preserve">Ja preferenciāla tarifa režīma pieprasījuma </w:t>
      </w:r>
      <w:r>
        <w:rPr>
          <w:noProof/>
        </w:rPr>
        <w:t>pamatā ir paziņojums par izcelsmi, importētājs sniedz minēto paziņojumu par izcelsmi, bet var atbildēt importētājas Puses muitas dienestam, ka importētājs nespēj sniegt 2. punkta b) apakšpunktā minēto informāciju.</w:t>
      </w:r>
      <w:r>
        <w:rPr>
          <w:strike/>
          <w:noProof/>
          <w:color w:val="FF0000"/>
        </w:rPr>
        <w:t xml:space="preserve"> </w:t>
      </w:r>
    </w:p>
    <w:p w:rsidR="003E022D" w:rsidRDefault="007D19D6">
      <w:pPr>
        <w:numPr>
          <w:ilvl w:val="0"/>
          <w:numId w:val="348"/>
        </w:numPr>
        <w:ind w:left="0" w:firstLine="0"/>
        <w:rPr>
          <w:noProof/>
        </w:rPr>
      </w:pPr>
      <w:r>
        <w:rPr>
          <w:noProof/>
        </w:rPr>
        <w:t>Ja preferenciāla tarifa režīma pieprasīju</w:t>
      </w:r>
      <w:r>
        <w:rPr>
          <w:noProof/>
        </w:rPr>
        <w:t>ma pamatā ir importētāja informētība, pēc tam, kad pārbaudi veicošais importētājas Puses muitas dienests ir pieprasījis informāciju saskaņā ar 1. punktu, tas var pieprasīt no importētāja sniegt papildu informāciju, ja šis muitas dienests uzskata, ka papild</w:t>
      </w:r>
      <w:r>
        <w:rPr>
          <w:noProof/>
        </w:rPr>
        <w:t xml:space="preserve">u informācija ir nepieciešama, lai pārbaudītu ražojuma noteiktu izcelsmi, vai to, ka ir izpildītas pārējās šīs nodaļas prasības. Importētājas Puses muitas dienests vajadzības gadījumā var pieprasīt importētājam sniegt konkrētus dokumentus un informāciju. </w:t>
      </w:r>
    </w:p>
    <w:p w:rsidR="003E022D" w:rsidRDefault="007D19D6">
      <w:pPr>
        <w:numPr>
          <w:ilvl w:val="0"/>
          <w:numId w:val="348"/>
        </w:numPr>
        <w:ind w:left="0" w:firstLine="0"/>
        <w:rPr>
          <w:noProof/>
        </w:rPr>
      </w:pPr>
      <w:r>
        <w:rPr>
          <w:noProof/>
        </w:rPr>
        <w:t>Ja importētājas Puses muitas dienests nolemj apturēt preferenciāla režīma piešķiršanu attiecīgajam ražojumam līdz pārbaudes rezultātu saņemšanai, tad tas importētājam piedāvā ražojumu izlaist, piemērojot atbilstošus piesardzības pasākumus, tostarp galvojum</w:t>
      </w:r>
      <w:r>
        <w:rPr>
          <w:noProof/>
        </w:rPr>
        <w:t xml:space="preserve">us. Preferenciāla tarifa režīma apturēšana tiek izbeigta iespējami drīz pēc tam, kad importētājas Puses muitas dienests ir pārliecinājies par attiecīgo ražojumu noteiktas izcelsmes statusu vai par pārējo šīs nodaļas prasību izpildi. </w:t>
      </w:r>
    </w:p>
    <w:p w:rsidR="003E022D" w:rsidRDefault="007D19D6">
      <w:pPr>
        <w:pStyle w:val="Article"/>
        <w:rPr>
          <w:noProof/>
        </w:rPr>
      </w:pPr>
      <w:bookmarkStart w:id="80" w:name="_Toc58163423"/>
      <w:r>
        <w:rPr>
          <w:noProof/>
        </w:rPr>
        <w:t>ORIG.25. pants. Admini</w:t>
      </w:r>
      <w:r>
        <w:rPr>
          <w:noProof/>
        </w:rPr>
        <w:t>stratīva sadarbība</w:t>
      </w:r>
      <w:bookmarkEnd w:id="80"/>
    </w:p>
    <w:p w:rsidR="003E022D" w:rsidRDefault="007D19D6">
      <w:pPr>
        <w:numPr>
          <w:ilvl w:val="0"/>
          <w:numId w:val="351"/>
        </w:numPr>
        <w:ind w:left="0" w:firstLine="0"/>
        <w:rPr>
          <w:noProof/>
        </w:rPr>
      </w:pPr>
      <w:r>
        <w:rPr>
          <w:noProof/>
        </w:rPr>
        <w:t xml:space="preserve">Lai nodrošinātu šīs nodaļas pareizu piemērošanu, Puses ar savu muitas dienestu starpniecību sadarbojas, pārbaudot, vai ražojums ir noteiktas izcelsmes ražojums un vai tas atbilst pārējām šajā nodaļā noteiktajām prasībām. </w:t>
      </w:r>
    </w:p>
    <w:p w:rsidR="003E022D" w:rsidRDefault="007D19D6">
      <w:pPr>
        <w:numPr>
          <w:ilvl w:val="0"/>
          <w:numId w:val="351"/>
        </w:numPr>
        <w:ind w:left="0" w:firstLine="0"/>
        <w:rPr>
          <w:noProof/>
        </w:rPr>
      </w:pPr>
      <w:r>
        <w:rPr>
          <w:noProof/>
        </w:rPr>
        <w:t>Ja preferenciāl</w:t>
      </w:r>
      <w:r>
        <w:rPr>
          <w:noProof/>
        </w:rPr>
        <w:t>a tarifa režīma pieprasījuma pamatā ir bijis paziņojums par izcelsmi, pēc tam, kad pārbaudi veicošais importētājas Puses muitas dienests vispirms ir attiecīgi pieprasījis informāciju saskaņā ar ORIG.24. panta [Pārbaude] 1. punktu, ievērojot importētāja atb</w:t>
      </w:r>
      <w:r>
        <w:rPr>
          <w:noProof/>
        </w:rPr>
        <w:t>ildi, tas var arī pieprasīt informāciju no eksportētājas Puses muitas dienesta divu gadu laikā pēc ražojumu importēšanas vai no brīža, kad ir iesniegts pieprasījums atbilstīgi ORIG.18.a panta [Preferenciāla tarifa režīma pieprasīšanas laiks] 2. punkta a) a</w:t>
      </w:r>
      <w:r>
        <w:rPr>
          <w:noProof/>
        </w:rPr>
        <w:t>pakšpunktam, ja pārbaudi veicošais importētājas Puses muitas dienests uzskata, ka papildu informācija ir nepieciešama, lai pārbaudītu ražojuma noteiktu izcelsmi, vai to, ka ir izpildītas pārējās šīs nodaļas prasības. Informācijas pieprasījumā ir šādi eleme</w:t>
      </w:r>
      <w:r>
        <w:rPr>
          <w:noProof/>
        </w:rPr>
        <w:t xml:space="preserve">nti: </w:t>
      </w:r>
    </w:p>
    <w:p w:rsidR="003E022D" w:rsidRDefault="007D19D6">
      <w:pPr>
        <w:numPr>
          <w:ilvl w:val="0"/>
          <w:numId w:val="352"/>
        </w:numPr>
        <w:ind w:left="567" w:hanging="567"/>
        <w:rPr>
          <w:rFonts w:cstheme="minorHAnsi"/>
          <w:noProof/>
        </w:rPr>
      </w:pPr>
      <w:r>
        <w:rPr>
          <w:noProof/>
        </w:rPr>
        <w:t xml:space="preserve">paziņojums par izcelsmi; </w:t>
      </w:r>
    </w:p>
    <w:p w:rsidR="003E022D" w:rsidRDefault="007D19D6">
      <w:pPr>
        <w:numPr>
          <w:ilvl w:val="0"/>
          <w:numId w:val="352"/>
        </w:numPr>
        <w:ind w:left="567" w:hanging="567"/>
        <w:rPr>
          <w:rFonts w:cstheme="minorHAnsi"/>
          <w:noProof/>
        </w:rPr>
      </w:pPr>
      <w:r>
        <w:rPr>
          <w:noProof/>
        </w:rPr>
        <w:t xml:space="preserve">tā muitas dienesta identifikācijas dati, kas iesniedz pieprasījumu; </w:t>
      </w:r>
    </w:p>
    <w:p w:rsidR="003E022D" w:rsidRDefault="007D19D6">
      <w:pPr>
        <w:numPr>
          <w:ilvl w:val="0"/>
          <w:numId w:val="352"/>
        </w:numPr>
        <w:ind w:left="567" w:hanging="567"/>
        <w:rPr>
          <w:rFonts w:cstheme="minorHAnsi"/>
          <w:noProof/>
        </w:rPr>
      </w:pPr>
      <w:r>
        <w:rPr>
          <w:noProof/>
        </w:rPr>
        <w:t xml:space="preserve">eksportētāja vārds vai nosaukums; </w:t>
      </w:r>
    </w:p>
    <w:p w:rsidR="003E022D" w:rsidRDefault="007D19D6">
      <w:pPr>
        <w:numPr>
          <w:ilvl w:val="0"/>
          <w:numId w:val="352"/>
        </w:numPr>
        <w:ind w:left="567" w:hanging="567"/>
        <w:rPr>
          <w:rFonts w:cstheme="minorHAnsi"/>
          <w:noProof/>
          <w:lang w:val="fr-BE"/>
        </w:rPr>
      </w:pPr>
      <w:r>
        <w:rPr>
          <w:noProof/>
          <w:lang w:val="fr-BE"/>
        </w:rPr>
        <w:t xml:space="preserve">pārbaudes objekts un darbības joma un </w:t>
      </w:r>
    </w:p>
    <w:p w:rsidR="003E022D" w:rsidRDefault="007D19D6">
      <w:pPr>
        <w:numPr>
          <w:ilvl w:val="0"/>
          <w:numId w:val="352"/>
        </w:numPr>
        <w:ind w:left="567" w:hanging="567"/>
        <w:rPr>
          <w:rFonts w:cstheme="minorHAnsi"/>
          <w:noProof/>
        </w:rPr>
      </w:pPr>
      <w:r>
        <w:rPr>
          <w:noProof/>
        </w:rPr>
        <w:t xml:space="preserve">visa attiecīgā dokumentācija </w:t>
      </w:r>
    </w:p>
    <w:p w:rsidR="003E022D" w:rsidRDefault="007D19D6">
      <w:pPr>
        <w:rPr>
          <w:noProof/>
        </w:rPr>
      </w:pPr>
      <w:r>
        <w:rPr>
          <w:noProof/>
        </w:rPr>
        <w:t xml:space="preserve">Turklāt importētājas Puses muitas dienests vajadzības gadījumā var lūgt eksportētājas Puses muitas dienestam iesniegt konkrētus dokumentus un informāciju. </w:t>
      </w:r>
    </w:p>
    <w:p w:rsidR="003E022D" w:rsidRDefault="007D19D6">
      <w:pPr>
        <w:numPr>
          <w:ilvl w:val="0"/>
          <w:numId w:val="351"/>
        </w:numPr>
        <w:ind w:left="0" w:firstLine="0"/>
        <w:rPr>
          <w:rFonts w:cstheme="minorHAnsi"/>
          <w:noProof/>
        </w:rPr>
      </w:pPr>
      <w:r>
        <w:rPr>
          <w:noProof/>
        </w:rPr>
        <w:t>Eksportētājas Puses muitas dienests var saskaņā ar Puses normatīvajiem aktiem pieprasīt dokumentus v</w:t>
      </w:r>
      <w:r>
        <w:rPr>
          <w:noProof/>
        </w:rPr>
        <w:t xml:space="preserve">ai pārbaudi, pieprasot jebkādus pierādījumus vai apmeklējot eksportētāja telpas, lai apskatītu dokumentus un iekārtas, ko izmanto ražojuma ražošanā. </w:t>
      </w:r>
    </w:p>
    <w:p w:rsidR="003E022D" w:rsidRDefault="007D19D6">
      <w:pPr>
        <w:numPr>
          <w:ilvl w:val="0"/>
          <w:numId w:val="351"/>
        </w:numPr>
        <w:ind w:left="0" w:firstLine="0"/>
        <w:rPr>
          <w:rFonts w:cstheme="minorHAnsi"/>
          <w:noProof/>
        </w:rPr>
      </w:pPr>
      <w:r>
        <w:rPr>
          <w:noProof/>
        </w:rPr>
        <w:t>Neskarot 5. punktu, eksportētājas Puses muitas dienests, kas saņēmis 2. punktā minēto pieprasījumu, sniedz</w:t>
      </w:r>
      <w:r>
        <w:rPr>
          <w:noProof/>
        </w:rPr>
        <w:t xml:space="preserve"> importētājas Puses muitas dienestam šādu informāciju: </w:t>
      </w:r>
    </w:p>
    <w:p w:rsidR="003E022D" w:rsidRDefault="007D19D6">
      <w:pPr>
        <w:numPr>
          <w:ilvl w:val="1"/>
          <w:numId w:val="351"/>
        </w:numPr>
        <w:ind w:left="567" w:hanging="567"/>
        <w:rPr>
          <w:rFonts w:cstheme="minorHAnsi"/>
          <w:noProof/>
        </w:rPr>
      </w:pPr>
      <w:r>
        <w:rPr>
          <w:noProof/>
        </w:rPr>
        <w:t xml:space="preserve">pieprasītā dokumentācija, ja tā ir pieejama; </w:t>
      </w:r>
    </w:p>
    <w:p w:rsidR="003E022D" w:rsidRDefault="007D19D6">
      <w:pPr>
        <w:numPr>
          <w:ilvl w:val="1"/>
          <w:numId w:val="351"/>
        </w:numPr>
        <w:ind w:left="567" w:hanging="567"/>
        <w:rPr>
          <w:rFonts w:cstheme="minorHAnsi"/>
          <w:noProof/>
          <w:lang w:val="fr-BE"/>
        </w:rPr>
      </w:pPr>
      <w:r>
        <w:rPr>
          <w:noProof/>
          <w:lang w:val="fr-BE"/>
        </w:rPr>
        <w:t>atzinums par ražojuma noteiktas izcelsmes statusu;</w:t>
      </w:r>
    </w:p>
    <w:p w:rsidR="003E022D" w:rsidRDefault="007D19D6">
      <w:pPr>
        <w:numPr>
          <w:ilvl w:val="1"/>
          <w:numId w:val="351"/>
        </w:numPr>
        <w:ind w:left="567" w:hanging="567"/>
        <w:rPr>
          <w:rFonts w:cstheme="minorHAnsi"/>
          <w:noProof/>
          <w:lang w:val="fr-BE"/>
        </w:rPr>
      </w:pPr>
      <w:r>
        <w:rPr>
          <w:noProof/>
          <w:lang w:val="fr-BE"/>
        </w:rPr>
        <w:t xml:space="preserve">pārbaudāmā ražojuma apraksts un tarifa klasifikācija saistībā ar šīs nodaļas piemērošanu; </w:t>
      </w:r>
    </w:p>
    <w:p w:rsidR="003E022D" w:rsidRDefault="007D19D6">
      <w:pPr>
        <w:numPr>
          <w:ilvl w:val="1"/>
          <w:numId w:val="351"/>
        </w:numPr>
        <w:ind w:left="567" w:hanging="567"/>
        <w:rPr>
          <w:rFonts w:cstheme="minorHAnsi"/>
          <w:noProof/>
          <w:lang w:val="fr-BE"/>
        </w:rPr>
      </w:pPr>
      <w:r>
        <w:rPr>
          <w:noProof/>
          <w:lang w:val="fr-BE"/>
        </w:rPr>
        <w:t>ražošanas pr</w:t>
      </w:r>
      <w:r>
        <w:rPr>
          <w:noProof/>
          <w:lang w:val="fr-BE"/>
        </w:rPr>
        <w:t xml:space="preserve">ocesa apraksts un skaidrojums, kas ir pietiekams, lai pamatotu ražojuma noteiktas izcelsmes statusu; </w:t>
      </w:r>
    </w:p>
    <w:p w:rsidR="003E022D" w:rsidRDefault="007D19D6">
      <w:pPr>
        <w:numPr>
          <w:ilvl w:val="1"/>
          <w:numId w:val="351"/>
        </w:numPr>
        <w:ind w:left="567" w:hanging="567"/>
        <w:rPr>
          <w:rFonts w:cstheme="minorHAnsi"/>
          <w:noProof/>
          <w:lang w:val="fr-BE"/>
        </w:rPr>
      </w:pPr>
      <w:r>
        <w:rPr>
          <w:noProof/>
          <w:lang w:val="fr-BE"/>
        </w:rPr>
        <w:t xml:space="preserve">informācija par veidu, kādā veikta pārbaude, un </w:t>
      </w:r>
    </w:p>
    <w:p w:rsidR="003E022D" w:rsidRDefault="007D19D6">
      <w:pPr>
        <w:numPr>
          <w:ilvl w:val="1"/>
          <w:numId w:val="351"/>
        </w:numPr>
        <w:ind w:left="567" w:hanging="567"/>
        <w:rPr>
          <w:rFonts w:cstheme="minorHAnsi"/>
          <w:noProof/>
        </w:rPr>
      </w:pPr>
      <w:r>
        <w:rPr>
          <w:noProof/>
        </w:rPr>
        <w:t xml:space="preserve">vajadzības gadījumā – pavaddokumenti. </w:t>
      </w:r>
    </w:p>
    <w:p w:rsidR="003E022D" w:rsidRDefault="007D19D6">
      <w:pPr>
        <w:numPr>
          <w:ilvl w:val="0"/>
          <w:numId w:val="351"/>
        </w:numPr>
        <w:ind w:left="0" w:firstLine="0"/>
        <w:rPr>
          <w:rFonts w:cstheme="minorHAnsi"/>
          <w:noProof/>
        </w:rPr>
      </w:pPr>
      <w:r>
        <w:rPr>
          <w:noProof/>
        </w:rPr>
        <w:t>Eksportētājas Puses muitas dienests nesniedz 4. punkta a), d) un f</w:t>
      </w:r>
      <w:r>
        <w:rPr>
          <w:noProof/>
        </w:rPr>
        <w:t xml:space="preserve">) apakšpunktā minēto informāciju importētājas Puses muitas dienestam, ja eksportētājs uzskata, ka minētā informācija ir konfidenciāla. </w:t>
      </w:r>
    </w:p>
    <w:p w:rsidR="003E022D" w:rsidRDefault="007D19D6">
      <w:pPr>
        <w:numPr>
          <w:ilvl w:val="0"/>
          <w:numId w:val="351"/>
        </w:numPr>
        <w:ind w:left="0" w:firstLine="0"/>
        <w:rPr>
          <w:rFonts w:cstheme="minorHAnsi"/>
          <w:noProof/>
        </w:rPr>
      </w:pPr>
      <w:r>
        <w:rPr>
          <w:noProof/>
        </w:rPr>
        <w:t>Katra Puse paziņo otrai Pusei muitas dienestu kontaktinformāciju un paziņo otrai Pusei par jebkādām izmaiņām šajā kontak</w:t>
      </w:r>
      <w:r>
        <w:rPr>
          <w:noProof/>
        </w:rPr>
        <w:t xml:space="preserve">tinformācijā 30 dienu laikā pēc izmaiņu veikšanas dienas. </w:t>
      </w:r>
    </w:p>
    <w:p w:rsidR="003E022D" w:rsidRDefault="007D19D6">
      <w:pPr>
        <w:pStyle w:val="Article"/>
        <w:rPr>
          <w:noProof/>
        </w:rPr>
      </w:pPr>
      <w:bookmarkStart w:id="81" w:name="_Toc58163424"/>
      <w:r>
        <w:rPr>
          <w:noProof/>
        </w:rPr>
        <w:t>ORIG.26. pants. Preferenciāla tarifa režīma atteikums</w:t>
      </w:r>
      <w:bookmarkEnd w:id="81"/>
    </w:p>
    <w:p w:rsidR="003E022D" w:rsidRDefault="007D19D6">
      <w:pPr>
        <w:numPr>
          <w:ilvl w:val="0"/>
          <w:numId w:val="353"/>
        </w:numPr>
        <w:ind w:left="0" w:firstLine="0"/>
        <w:rPr>
          <w:rFonts w:cstheme="minorHAnsi"/>
          <w:noProof/>
        </w:rPr>
      </w:pPr>
      <w:r>
        <w:rPr>
          <w:noProof/>
        </w:rPr>
        <w:t xml:space="preserve">Neskarot 3. punktu, importētājas Puses muitas dienests var atteikt preferenciāla tarifa režīmu, ja: </w:t>
      </w:r>
    </w:p>
    <w:p w:rsidR="003E022D" w:rsidRDefault="007D19D6">
      <w:pPr>
        <w:numPr>
          <w:ilvl w:val="1"/>
          <w:numId w:val="353"/>
        </w:numPr>
        <w:ind w:left="567" w:hanging="567"/>
        <w:rPr>
          <w:rFonts w:cstheme="minorHAnsi"/>
          <w:noProof/>
        </w:rPr>
      </w:pPr>
      <w:r>
        <w:rPr>
          <w:noProof/>
        </w:rPr>
        <w:t xml:space="preserve">trīs mēnešu laikā pēc dienas, kad pieprasīta informācija saskaņā ar ORIG.24. panta [Pārbaude] 1. punktu: </w:t>
      </w:r>
    </w:p>
    <w:p w:rsidR="003E022D" w:rsidRDefault="007D19D6">
      <w:pPr>
        <w:numPr>
          <w:ilvl w:val="0"/>
          <w:numId w:val="354"/>
        </w:numPr>
        <w:ind w:left="1276" w:hanging="567"/>
        <w:rPr>
          <w:noProof/>
          <w:color w:val="000000"/>
          <w:u w:color="000000"/>
          <w:bdr w:val="nil"/>
        </w:rPr>
      </w:pPr>
      <w:r>
        <w:rPr>
          <w:noProof/>
          <w:color w:val="000000"/>
          <w:u w:color="000000"/>
          <w:bdr w:val="nil"/>
        </w:rPr>
        <w:t xml:space="preserve">importētājs nav sniedzis atbildi;  </w:t>
      </w:r>
    </w:p>
    <w:p w:rsidR="003E022D" w:rsidRDefault="007D19D6">
      <w:pPr>
        <w:numPr>
          <w:ilvl w:val="0"/>
          <w:numId w:val="354"/>
        </w:numPr>
        <w:ind w:left="1276" w:hanging="567"/>
        <w:rPr>
          <w:noProof/>
          <w:color w:val="000000"/>
          <w:u w:color="000000"/>
          <w:bdr w:val="nil"/>
        </w:rPr>
      </w:pPr>
      <w:r>
        <w:rPr>
          <w:noProof/>
        </w:rPr>
        <w:t>ja preferenciāla tarifa režīma pieprasījuma pamatā bijis paziņojums par izcelsmi, paziņojums par izcelsmi nav iesn</w:t>
      </w:r>
      <w:r>
        <w:rPr>
          <w:noProof/>
        </w:rPr>
        <w:t xml:space="preserve">iegts, vai </w:t>
      </w:r>
    </w:p>
    <w:p w:rsidR="003E022D" w:rsidRDefault="007D19D6">
      <w:pPr>
        <w:numPr>
          <w:ilvl w:val="0"/>
          <w:numId w:val="354"/>
        </w:numPr>
        <w:ind w:left="1276" w:hanging="567"/>
        <w:rPr>
          <w:noProof/>
          <w:u w:color="000000"/>
          <w:bdr w:val="nil"/>
        </w:rPr>
      </w:pPr>
      <w:r>
        <w:rPr>
          <w:noProof/>
        </w:rPr>
        <w:t>ja preferenciāla tarifa režīma pieprasījuma pamatā bijusi importētāja informētība, importētāja sniegtā informācija nav pietiekama, lai apstiprinātu, ka ražojums ir noteiktas izcelsmes ražojums;</w:t>
      </w:r>
    </w:p>
    <w:p w:rsidR="003E022D" w:rsidRDefault="007D19D6">
      <w:pPr>
        <w:numPr>
          <w:ilvl w:val="1"/>
          <w:numId w:val="353"/>
        </w:numPr>
        <w:ind w:left="567" w:hanging="567"/>
        <w:rPr>
          <w:noProof/>
        </w:rPr>
      </w:pPr>
      <w:r>
        <w:rPr>
          <w:noProof/>
        </w:rPr>
        <w:t>trīs mēnešu laikā pēc dienas, kad pieprasīta papil</w:t>
      </w:r>
      <w:r>
        <w:rPr>
          <w:noProof/>
        </w:rPr>
        <w:t xml:space="preserve">du informācija saskaņā ar ORIG.24. panta [Pārbaude] 5. punktu: </w:t>
      </w:r>
    </w:p>
    <w:p w:rsidR="003E022D" w:rsidRDefault="007D19D6">
      <w:pPr>
        <w:ind w:left="1276" w:hanging="567"/>
        <w:rPr>
          <w:noProof/>
        </w:rPr>
      </w:pPr>
      <w:r>
        <w:rPr>
          <w:noProof/>
        </w:rPr>
        <w:t xml:space="preserve"> i) importētājs nav sniedzis atbildi; vai </w:t>
      </w:r>
    </w:p>
    <w:p w:rsidR="003E022D" w:rsidRDefault="007D19D6">
      <w:pPr>
        <w:ind w:left="1276" w:hanging="567"/>
        <w:rPr>
          <w:noProof/>
        </w:rPr>
      </w:pPr>
      <w:r>
        <w:rPr>
          <w:noProof/>
        </w:rPr>
        <w:t xml:space="preserve"> ii) importētāja sniegtā informācija nav pietiekama, lai apstiprinātu, ka ražojums ir noteiktas izcelsmes ražojums; </w:t>
      </w:r>
    </w:p>
    <w:p w:rsidR="003E022D" w:rsidRDefault="007D19D6">
      <w:pPr>
        <w:ind w:left="567" w:hanging="567"/>
        <w:rPr>
          <w:noProof/>
        </w:rPr>
      </w:pPr>
      <w:r>
        <w:rPr>
          <w:noProof/>
        </w:rPr>
        <w:t xml:space="preserve"> c) 10 mēnešu</w:t>
      </w:r>
      <w:r>
        <w:rPr>
          <w:rStyle w:val="FootnoteReference"/>
          <w:noProof/>
        </w:rPr>
        <w:footnoteReference w:id="3"/>
      </w:r>
      <w:r>
        <w:rPr>
          <w:noProof/>
        </w:rPr>
        <w:t xml:space="preserve"> laikā pēc dienas,</w:t>
      </w:r>
      <w:r>
        <w:rPr>
          <w:noProof/>
        </w:rPr>
        <w:t xml:space="preserve"> kad pieprasīta informācija saskaņā ar ORIG.25. panta [Administratīvā sadarbība] 2. punktu: </w:t>
      </w:r>
    </w:p>
    <w:p w:rsidR="003E022D" w:rsidRDefault="007D19D6">
      <w:pPr>
        <w:ind w:left="1276" w:hanging="567"/>
        <w:rPr>
          <w:noProof/>
        </w:rPr>
      </w:pPr>
      <w:r>
        <w:rPr>
          <w:noProof/>
        </w:rPr>
        <w:t xml:space="preserve"> i) eksportētājas Puses muitas dienests nav sniedzis atbildi vai </w:t>
      </w:r>
    </w:p>
    <w:p w:rsidR="003E022D" w:rsidRDefault="007D19D6">
      <w:pPr>
        <w:ind w:left="1276" w:hanging="567"/>
        <w:rPr>
          <w:noProof/>
        </w:rPr>
      </w:pPr>
      <w:r>
        <w:rPr>
          <w:noProof/>
        </w:rPr>
        <w:t xml:space="preserve"> ii) eksportētājas Puses muitas dienesta sniegtā informācija nav pietiekama, lai apstiprinātu, ka</w:t>
      </w:r>
      <w:r>
        <w:rPr>
          <w:noProof/>
        </w:rPr>
        <w:t xml:space="preserve"> ražojums ir noteiktas izcelsmes ražojums. </w:t>
      </w:r>
    </w:p>
    <w:p w:rsidR="003E022D" w:rsidRDefault="007D19D6">
      <w:pPr>
        <w:numPr>
          <w:ilvl w:val="0"/>
          <w:numId w:val="353"/>
        </w:numPr>
        <w:ind w:left="0" w:firstLine="0"/>
        <w:rPr>
          <w:rFonts w:cstheme="minorHAnsi"/>
          <w:noProof/>
        </w:rPr>
      </w:pPr>
      <w:r>
        <w:rPr>
          <w:noProof/>
        </w:rPr>
        <w:t>Importētājas Puses muitas dienests var atteikt preferenciāla tarifa režīmu ražojumam, kam importētājs lūdz piemērot preferenciāla tarifa režīmu, ja importētājs neievēro tādas šīs nodaļas prasības, kuras neattieca</w:t>
      </w:r>
      <w:r>
        <w:rPr>
          <w:noProof/>
        </w:rPr>
        <w:t xml:space="preserve">s uz ražojumu noteiktas izcelsmes statusu. </w:t>
      </w:r>
    </w:p>
    <w:p w:rsidR="003E022D" w:rsidRDefault="007D19D6">
      <w:pPr>
        <w:numPr>
          <w:ilvl w:val="0"/>
          <w:numId w:val="353"/>
        </w:numPr>
        <w:ind w:left="0" w:firstLine="0"/>
        <w:rPr>
          <w:rFonts w:cstheme="minorHAnsi"/>
          <w:noProof/>
        </w:rPr>
      </w:pPr>
      <w:r>
        <w:rPr>
          <w:noProof/>
        </w:rPr>
        <w:t>Ja importētājas Puses muitas dienestam ir pietiekams pamatojums atteikt preferenciāla tarifa režīmu saskaņā ar šā panta 1. punktu, gadījumos, kad eksportētājas Puses muitas dienests ir sniedzis atzinumu saskaņā a</w:t>
      </w:r>
      <w:r>
        <w:rPr>
          <w:noProof/>
        </w:rPr>
        <w:t>r ORIG.25. panta [Administratīvā sadarbība] 4. punkta b) apakšpunktu, apliecinot ražojuma noteiktas izcelsmes statusu, importētājas Puses muitas dienests savu nodomu atteikt preferenciāla tarifa režīmu eksportētājas Puses muitas dienestam paziņo divu mēneš</w:t>
      </w:r>
      <w:r>
        <w:rPr>
          <w:noProof/>
        </w:rPr>
        <w:t xml:space="preserve">u laikā pēc minētā atzinuma saņemšanas dienas. </w:t>
      </w:r>
    </w:p>
    <w:p w:rsidR="003E022D" w:rsidRDefault="007D19D6">
      <w:pPr>
        <w:rPr>
          <w:noProof/>
        </w:rPr>
      </w:pPr>
      <w:r>
        <w:rPr>
          <w:noProof/>
        </w:rPr>
        <w:t>Ja ir sniegts šāds paziņojums, pēc vienas Puses pieprasījuma Puses apspriežas trīs mēnešu laikā pēc paziņojuma dienas. Apspriešanās termiņu var pagarināt, katru gadījumu izskatot atsevišķi, ja Pušu muitas die</w:t>
      </w:r>
      <w:r>
        <w:rPr>
          <w:noProof/>
        </w:rPr>
        <w:t xml:space="preserve">nesti par to savstarpēji vienojas. Apspriešanās var notikt saskaņā ar procedūru, ko noteikusi Tirdzniecības specializētā komiteja muitas sadarbības un izcelsmes noteikumu jomā. </w:t>
      </w:r>
    </w:p>
    <w:p w:rsidR="003E022D" w:rsidRDefault="007D19D6">
      <w:pPr>
        <w:rPr>
          <w:noProof/>
        </w:rPr>
      </w:pPr>
      <w:r>
        <w:rPr>
          <w:noProof/>
        </w:rPr>
        <w:t>Beidzoties apspriešanās termiņam, ja importētājas Puses muitas dienests nevar apstiprināt, ka ražojums ir noteiktas izcelsmes ražojums, tas var atteikt preferenciāla tarifa režīmu, ja tam ir pietiekams pamatojums un ja importētājam ir bijušas piešķirtas ti</w:t>
      </w:r>
      <w:r>
        <w:rPr>
          <w:noProof/>
        </w:rPr>
        <w:t>esības tikt uzklausītam. Tomēr, ja eksportētājas Puses muitas dienests apstiprina ražojumu noteiktas izcelsmes statusu un sniedz šāda secinājuma pamatojumu, importētājas Puses muitas dienests neliedz ražojumam piemērot preferenciāla tarifa režīmu, pamatojo</w:t>
      </w:r>
      <w:r>
        <w:rPr>
          <w:noProof/>
        </w:rPr>
        <w:t xml:space="preserve">ties tikai uz to, ka ir ticis piemērots ORIG.25. panta [Administratīvā sadarbība] 5. punkts.  </w:t>
      </w:r>
    </w:p>
    <w:p w:rsidR="003E022D" w:rsidRDefault="007D19D6">
      <w:pPr>
        <w:numPr>
          <w:ilvl w:val="0"/>
          <w:numId w:val="353"/>
        </w:numPr>
        <w:ind w:left="0" w:firstLine="0"/>
        <w:rPr>
          <w:rFonts w:cstheme="minorHAnsi"/>
          <w:noProof/>
        </w:rPr>
      </w:pPr>
      <w:r>
        <w:rPr>
          <w:noProof/>
        </w:rPr>
        <w:t>Visos gadījumos domstarpību atrisināšanu starp importētāju un importētājas Puses muitas dienestu veic atbilstoši importētājas Puses tiesību aktiem.</w:t>
      </w:r>
    </w:p>
    <w:p w:rsidR="003E022D" w:rsidRDefault="007D19D6">
      <w:pPr>
        <w:pStyle w:val="Article"/>
        <w:rPr>
          <w:noProof/>
        </w:rPr>
      </w:pPr>
      <w:bookmarkStart w:id="82" w:name="_Toc58163425"/>
      <w:r>
        <w:rPr>
          <w:noProof/>
        </w:rPr>
        <w:t>ORIG.27. pant</w:t>
      </w:r>
      <w:r>
        <w:rPr>
          <w:noProof/>
        </w:rPr>
        <w:t>s. Konfidencialitāte</w:t>
      </w:r>
      <w:bookmarkEnd w:id="82"/>
    </w:p>
    <w:p w:rsidR="003E022D" w:rsidRDefault="007D19D6">
      <w:pPr>
        <w:numPr>
          <w:ilvl w:val="0"/>
          <w:numId w:val="355"/>
        </w:numPr>
        <w:ind w:left="0" w:firstLine="0"/>
        <w:rPr>
          <w:noProof/>
        </w:rPr>
      </w:pPr>
      <w:r>
        <w:rPr>
          <w:noProof/>
        </w:rPr>
        <w:t xml:space="preserve">Katra Puse saskaņā ar tās normatīvajiem aktiem saglabā jebkādas informācijas, ko otra Puse tai sniegusi saskaņā ar šo nodaļu, konfidencialitāti un aizsargā minēto informāciju pret izpaušanu. </w:t>
      </w:r>
    </w:p>
    <w:p w:rsidR="003E022D" w:rsidRDefault="007D19D6">
      <w:pPr>
        <w:numPr>
          <w:ilvl w:val="0"/>
          <w:numId w:val="355"/>
        </w:numPr>
        <w:ind w:left="0" w:firstLine="0"/>
        <w:rPr>
          <w:noProof/>
        </w:rPr>
      </w:pPr>
      <w:r>
        <w:rPr>
          <w:noProof/>
        </w:rPr>
        <w:t>Ja neatkarīgi no ORIG.25. panta [Administra</w:t>
      </w:r>
      <w:r>
        <w:rPr>
          <w:noProof/>
        </w:rPr>
        <w:t>tīvā sadarbība] 5. punkta eksportētājas Puses vai importētājas Puses muitas dienests no eksportētāja ir ieguvis konfidenciālu darījumdarbības informāciju, piemērojot ORIG.24. pantu [Pārbaude] un ORIG.25. pantu [Administratīvā sadarbība], šāda informācija n</w:t>
      </w:r>
      <w:r>
        <w:rPr>
          <w:noProof/>
        </w:rPr>
        <w:t>etiek izpausta.</w:t>
      </w:r>
    </w:p>
    <w:p w:rsidR="003E022D" w:rsidRDefault="007D19D6">
      <w:pPr>
        <w:numPr>
          <w:ilvl w:val="0"/>
          <w:numId w:val="355"/>
        </w:numPr>
        <w:ind w:left="0" w:firstLine="0"/>
        <w:rPr>
          <w:noProof/>
        </w:rPr>
      </w:pPr>
      <w:r>
        <w:rPr>
          <w:noProof/>
        </w:rPr>
        <w:t xml:space="preserve">Katra Puse nodrošina, ka konfidenciālā informācija, kas iegūta saskaņā ar šo nodaļu, netiek izmantota citos nolūkos, kā tikai to lēmumu un nolēmumu administrēšanai un izpildei, kuri attiecas uz izcelsmes un muitas jautājumiem, izņemot ar </w:t>
      </w:r>
      <w:r>
        <w:rPr>
          <w:noProof/>
        </w:rPr>
        <w:t>tās personas vai Puses atļauju, kas sniegusi konfidenciālo informāciju.</w:t>
      </w:r>
    </w:p>
    <w:p w:rsidR="003E022D" w:rsidRDefault="007D19D6">
      <w:pPr>
        <w:numPr>
          <w:ilvl w:val="0"/>
          <w:numId w:val="355"/>
        </w:numPr>
        <w:ind w:left="0" w:firstLine="0"/>
        <w:rPr>
          <w:noProof/>
        </w:rPr>
      </w:pPr>
      <w:r>
        <w:rPr>
          <w:noProof/>
        </w:rPr>
        <w:t>Neatkarīgi no 3. punkta Puse var atļaut saskaņā ar šo nodaļu iegūto informāciju izmantot jebkurā administratīvā, tiesas vai tiesvedībai pielīdzināmā procesā, kas uzsākts saistībā ar to</w:t>
      </w:r>
      <w:r>
        <w:rPr>
          <w:noProof/>
        </w:rPr>
        <w:t xml:space="preserve"> muitas tiesību aktu neievērošanu, ar kuriem īsteno šo nodaļu. Par šādu izmantošanu Puse iepriekš paziņo personai vai Pusei, kas sniegusi informāciju.</w:t>
      </w:r>
    </w:p>
    <w:p w:rsidR="003E022D" w:rsidRDefault="007D19D6">
      <w:pPr>
        <w:pStyle w:val="Article"/>
        <w:rPr>
          <w:noProof/>
          <w:lang w:val="fr-BE"/>
        </w:rPr>
      </w:pPr>
      <w:bookmarkStart w:id="83" w:name="_Toc58163426"/>
      <w:r>
        <w:rPr>
          <w:noProof/>
          <w:lang w:val="fr-BE"/>
        </w:rPr>
        <w:t>ORIG.28. pants. Administratīvie pasākumi un sankcijas</w:t>
      </w:r>
      <w:bookmarkEnd w:id="83"/>
    </w:p>
    <w:p w:rsidR="003E022D" w:rsidRDefault="007D19D6">
      <w:pPr>
        <w:rPr>
          <w:noProof/>
          <w:lang w:val="fr-BE"/>
        </w:rPr>
      </w:pPr>
      <w:r>
        <w:rPr>
          <w:noProof/>
          <w:lang w:val="fr-BE"/>
        </w:rPr>
        <w:t xml:space="preserve">Katra Puse nodrošina šīs nodaļas efektīvu izpildi. </w:t>
      </w:r>
      <w:r>
        <w:rPr>
          <w:noProof/>
          <w:lang w:val="fr-BE"/>
        </w:rPr>
        <w:t>Katra Puse nodrošina, ka kompetentās iestādes var piemērot administratīvus pasākumus un, ja vajadzīgs, sankcijas saskaņā ar tās normatīvajiem aktiem jebkurai personai, kura sagatavo dokumentu vai liek sagatavot dokumentu, kurā ietverta nepareiza informācij</w:t>
      </w:r>
      <w:r>
        <w:rPr>
          <w:noProof/>
          <w:lang w:val="fr-BE"/>
        </w:rPr>
        <w:t>a, kas tika sniegta, lai saņemtu preferenciāla tarifa režīmu ražojumam, kurš neatbilst ORIG.22. pantā [Dokumentēšanas prasības] noteiktajām prasībām, vai kura nesniedz pierādījumus vai atsaka ORIG.25. panta [Administratīvā sadarbība] 3. punktā minēto apmek</w:t>
      </w:r>
      <w:r>
        <w:rPr>
          <w:noProof/>
          <w:lang w:val="fr-BE"/>
        </w:rPr>
        <w:t xml:space="preserve">lējumu. </w:t>
      </w:r>
    </w:p>
    <w:p w:rsidR="003E022D" w:rsidRDefault="007D19D6">
      <w:pPr>
        <w:pStyle w:val="Section"/>
        <w:rPr>
          <w:noProof/>
          <w:lang w:val="fr-BE"/>
        </w:rPr>
      </w:pPr>
      <w:r>
        <w:rPr>
          <w:noProof/>
          <w:lang w:val="fr-BE"/>
        </w:rPr>
        <w:t xml:space="preserve"> </w:t>
      </w:r>
      <w:bookmarkStart w:id="84" w:name="_Toc58163427"/>
      <w:r>
        <w:rPr>
          <w:noProof/>
          <w:lang w:val="fr-BE"/>
        </w:rPr>
        <w:t>3. iedaļa. Citi noteikumi</w:t>
      </w:r>
      <w:bookmarkEnd w:id="84"/>
    </w:p>
    <w:p w:rsidR="003E022D" w:rsidRDefault="007D19D6">
      <w:pPr>
        <w:pStyle w:val="Article"/>
        <w:rPr>
          <w:noProof/>
          <w:lang w:val="fr-BE"/>
        </w:rPr>
      </w:pPr>
      <w:r>
        <w:rPr>
          <w:noProof/>
          <w:lang w:val="fr-BE"/>
        </w:rPr>
        <w:t xml:space="preserve"> </w:t>
      </w:r>
      <w:bookmarkStart w:id="85" w:name="_Toc58163428"/>
      <w:r>
        <w:rPr>
          <w:noProof/>
          <w:lang w:val="fr-BE"/>
        </w:rPr>
        <w:t>ORIG.29. pants. Seūta un Melilja</w:t>
      </w:r>
      <w:bookmarkEnd w:id="85"/>
    </w:p>
    <w:p w:rsidR="003E022D" w:rsidRDefault="007D19D6">
      <w:pPr>
        <w:numPr>
          <w:ilvl w:val="0"/>
          <w:numId w:val="356"/>
        </w:numPr>
        <w:ind w:left="0" w:firstLine="0"/>
        <w:rPr>
          <w:rFonts w:cstheme="minorHAnsi"/>
          <w:noProof/>
          <w:lang w:val="fr-BE"/>
        </w:rPr>
      </w:pPr>
      <w:r>
        <w:rPr>
          <w:noProof/>
          <w:lang w:val="fr-BE"/>
        </w:rPr>
        <w:t xml:space="preserve">Šīs nodaļas nolūkos attiecībā uz Savienību termins “Puse” neietver Seūtu un Melilju. </w:t>
      </w:r>
    </w:p>
    <w:p w:rsidR="003E022D" w:rsidRDefault="007D19D6">
      <w:pPr>
        <w:numPr>
          <w:ilvl w:val="0"/>
          <w:numId w:val="356"/>
        </w:numPr>
        <w:ind w:left="0" w:firstLine="0"/>
        <w:rPr>
          <w:rFonts w:cstheme="minorHAnsi"/>
          <w:noProof/>
          <w:lang w:val="fr-BE"/>
        </w:rPr>
      </w:pPr>
      <w:r>
        <w:rPr>
          <w:noProof/>
          <w:lang w:val="fr-BE"/>
        </w:rPr>
        <w:t xml:space="preserve">Importējot Seūtā vai Meliljā Apvienotās Karalistes izcelsmes ražojumus, tiem visos aspektos piemēro </w:t>
      </w:r>
      <w:r>
        <w:rPr>
          <w:noProof/>
          <w:lang w:val="fr-BE"/>
        </w:rPr>
        <w:t>tādu pašu muitas režīmu saskaņā ar šo nolīgumu kā attiecībā uz Savienības muitas teritorijas izcelsmes ražojumiem saskaņā ar Akta par Spānijas Karalistes un Portugāles Republikas pievienošanos Eiropas Savienībai 2. protokolu. Apvienotā Karaliste piemēro to</w:t>
      </w:r>
      <w:r>
        <w:rPr>
          <w:noProof/>
          <w:lang w:val="fr-BE"/>
        </w:rPr>
        <w:t xml:space="preserve"> Seūtas un Meliljas izcelsmes ražojumu importam, uz kuriem attiecas šis nolīgums, tādu pašu muitas režīmu kā ražojumiem, ko importē no Savienības un kā izcelsme ir Savienībā. </w:t>
      </w:r>
    </w:p>
    <w:p w:rsidR="003E022D" w:rsidRDefault="007D19D6">
      <w:pPr>
        <w:numPr>
          <w:ilvl w:val="0"/>
          <w:numId w:val="356"/>
        </w:numPr>
        <w:ind w:left="0" w:firstLine="0"/>
        <w:rPr>
          <w:rFonts w:cstheme="minorHAnsi"/>
          <w:noProof/>
          <w:lang w:val="fr-BE"/>
        </w:rPr>
      </w:pPr>
      <w:r>
        <w:rPr>
          <w:noProof/>
          <w:lang w:val="fr-BE"/>
        </w:rPr>
        <w:t xml:space="preserve">Šajā nodaļā minētos izcelsmes noteikumus un izcelsmes procedūras </w:t>
      </w:r>
      <w:r>
        <w:rPr>
          <w:i/>
          <w:noProof/>
          <w:lang w:val="fr-BE"/>
        </w:rPr>
        <w:t>mutatis mutandi</w:t>
      </w:r>
      <w:r>
        <w:rPr>
          <w:i/>
          <w:noProof/>
          <w:lang w:val="fr-BE"/>
        </w:rPr>
        <w:t>s</w:t>
      </w:r>
      <w:r>
        <w:rPr>
          <w:noProof/>
          <w:lang w:val="fr-BE"/>
        </w:rPr>
        <w:t xml:space="preserve"> piemēro ražojumiem, ko eksportē no Apvienotās Karalistes uz Seūtu un Melilju, un ražojumiem, kurus eksportē no Seūtas un Meliljas uz Apvienoto Karalisti.  </w:t>
      </w:r>
    </w:p>
    <w:p w:rsidR="003E022D" w:rsidRDefault="007D19D6">
      <w:pPr>
        <w:numPr>
          <w:ilvl w:val="0"/>
          <w:numId w:val="356"/>
        </w:numPr>
        <w:ind w:left="0" w:firstLine="0"/>
        <w:rPr>
          <w:rFonts w:cstheme="minorHAnsi"/>
          <w:noProof/>
          <w:lang w:val="fr-BE"/>
        </w:rPr>
      </w:pPr>
      <w:r>
        <w:rPr>
          <w:noProof/>
          <w:lang w:val="fr-BE"/>
        </w:rPr>
        <w:t xml:space="preserve">Seūtu un Melilju uzskata par vienotu teritoriju. </w:t>
      </w:r>
    </w:p>
    <w:p w:rsidR="003E022D" w:rsidRDefault="007D19D6">
      <w:pPr>
        <w:numPr>
          <w:ilvl w:val="0"/>
          <w:numId w:val="356"/>
        </w:numPr>
        <w:ind w:left="0" w:firstLine="0"/>
        <w:rPr>
          <w:rFonts w:cstheme="minorHAnsi"/>
          <w:noProof/>
          <w:lang w:val="fr-BE"/>
        </w:rPr>
      </w:pPr>
      <w:r>
        <w:rPr>
          <w:noProof/>
          <w:lang w:val="fr-BE"/>
        </w:rPr>
        <w:t>ORIG.4. pantu [Izcelsmes kumulācija] piemēro raž</w:t>
      </w:r>
      <w:r>
        <w:rPr>
          <w:noProof/>
          <w:lang w:val="fr-BE"/>
        </w:rPr>
        <w:t xml:space="preserve">ojumu importam un eksportam starp Savienību, Apvienoto Karalisti un Seūtu un Melilju.   </w:t>
      </w:r>
    </w:p>
    <w:p w:rsidR="003E022D" w:rsidRDefault="007D19D6">
      <w:pPr>
        <w:numPr>
          <w:ilvl w:val="0"/>
          <w:numId w:val="356"/>
        </w:numPr>
        <w:ind w:left="0" w:firstLine="0"/>
        <w:rPr>
          <w:rFonts w:cstheme="minorHAnsi"/>
          <w:noProof/>
          <w:lang w:val="fr-BE"/>
        </w:rPr>
      </w:pPr>
      <w:r>
        <w:rPr>
          <w:noProof/>
          <w:lang w:val="fr-BE"/>
        </w:rPr>
        <w:t xml:space="preserve">Atkarībā no ražojuma izcelsmes eksportētāji izcelsmes paziņojuma teksta 3. ailē ieraksta “Apvienotā Karaliste” vai “Seūta un Melilja”.  </w:t>
      </w:r>
    </w:p>
    <w:p w:rsidR="003E022D" w:rsidRDefault="007D19D6">
      <w:pPr>
        <w:numPr>
          <w:ilvl w:val="0"/>
          <w:numId w:val="356"/>
        </w:numPr>
        <w:ind w:left="0" w:firstLine="0"/>
        <w:rPr>
          <w:rFonts w:cstheme="minorHAnsi"/>
          <w:noProof/>
          <w:lang w:val="fr-BE"/>
        </w:rPr>
      </w:pPr>
      <w:r>
        <w:rPr>
          <w:noProof/>
          <w:lang w:val="fr-BE"/>
        </w:rPr>
        <w:t>Par šīs nodaļas piemērošanu un</w:t>
      </w:r>
      <w:r>
        <w:rPr>
          <w:noProof/>
          <w:lang w:val="fr-BE"/>
        </w:rPr>
        <w:t xml:space="preserve"> īstenošanu Seūtā un Meliljā ir atbildīgs Spānijas Karalistes muitas dienests. </w:t>
      </w:r>
    </w:p>
    <w:p w:rsidR="003E022D" w:rsidRDefault="007D19D6">
      <w:pPr>
        <w:pStyle w:val="Article"/>
        <w:rPr>
          <w:noProof/>
          <w:lang w:val="fr-BE"/>
        </w:rPr>
      </w:pPr>
      <w:bookmarkStart w:id="86" w:name="_Toc58163429"/>
      <w:r>
        <w:rPr>
          <w:noProof/>
          <w:lang w:val="fr-BE"/>
        </w:rPr>
        <w:t>ORIG.30. pants. Pārejas noteikumi tranzītā vai uzglabāšanā esošiem produktiem</w:t>
      </w:r>
      <w:bookmarkEnd w:id="86"/>
    </w:p>
    <w:p w:rsidR="003E022D" w:rsidRDefault="007D19D6">
      <w:pPr>
        <w:rPr>
          <w:i/>
          <w:noProof/>
          <w:lang w:val="fr-BE"/>
        </w:rPr>
      </w:pPr>
      <w:r>
        <w:rPr>
          <w:noProof/>
          <w:lang w:val="fr-BE"/>
        </w:rPr>
        <w:t>Šā nolīguma noteikumus var piemērot ražojumiem, kas atbilst šīs nodaļas noteikumiem un kas šā nolī</w:t>
      </w:r>
      <w:r>
        <w:rPr>
          <w:noProof/>
          <w:lang w:val="fr-BE"/>
        </w:rPr>
        <w:t>guma spēkā stāšanās dienā atrodas vai nu tranzītā no eksportētājas Puses uz importētāju Pusi, vai importētājas Puses muitas kontrolē bez importa nodokļu un nodevu samaksas, ar nosacījumu, ka 12 mēnešu laikā pēc minētā datuma importētājas Puses muitas diene</w:t>
      </w:r>
      <w:r>
        <w:rPr>
          <w:noProof/>
          <w:lang w:val="fr-BE"/>
        </w:rPr>
        <w:t>stam tiek iesniegts pieprasījums piemērot preferenciāla tarifa režīmu, kas minēts ORIG.18. pantā [Pieprasījums piemērot preferenciāla tarifa režīmu].</w:t>
      </w:r>
    </w:p>
    <w:p w:rsidR="003E022D" w:rsidRDefault="007D19D6">
      <w:pPr>
        <w:pStyle w:val="Article"/>
        <w:rPr>
          <w:noProof/>
          <w:lang w:val="fr-BE"/>
        </w:rPr>
      </w:pPr>
      <w:bookmarkStart w:id="87" w:name="_Toc58163430"/>
      <w:r>
        <w:rPr>
          <w:noProof/>
          <w:lang w:val="fr-BE"/>
        </w:rPr>
        <w:t>ORIG.31. pants. Šīs nodaļas un tās pielikumu grozīšana</w:t>
      </w:r>
      <w:bookmarkEnd w:id="87"/>
    </w:p>
    <w:p w:rsidR="003E022D" w:rsidRDefault="007D19D6">
      <w:pPr>
        <w:rPr>
          <w:rFonts w:cstheme="minorHAnsi"/>
          <w:noProof/>
          <w:lang w:val="fr-BE"/>
        </w:rPr>
      </w:pPr>
      <w:r>
        <w:rPr>
          <w:noProof/>
          <w:lang w:val="fr-BE"/>
        </w:rPr>
        <w:t>Partnerības padome var grozīt šo nodaļu un tās piel</w:t>
      </w:r>
      <w:r>
        <w:rPr>
          <w:noProof/>
          <w:lang w:val="fr-BE"/>
        </w:rPr>
        <w:t>ikumus.</w:t>
      </w:r>
    </w:p>
    <w:p w:rsidR="003E022D" w:rsidRDefault="003E022D">
      <w:pPr>
        <w:pStyle w:val="Chapter"/>
        <w:rPr>
          <w:noProof/>
          <w:lang w:val="fr-BE"/>
        </w:rPr>
      </w:pPr>
      <w:bookmarkStart w:id="88" w:name="_Toc58163431"/>
    </w:p>
    <w:p w:rsidR="003E022D" w:rsidRDefault="007D19D6">
      <w:pPr>
        <w:pStyle w:val="Chapter"/>
        <w:rPr>
          <w:noProof/>
          <w:lang w:val="fr-BE"/>
        </w:rPr>
      </w:pPr>
      <w:r>
        <w:rPr>
          <w:noProof/>
          <w:lang w:val="fr-BE"/>
        </w:rPr>
        <w:t>3. nodaļa. Sanitārie un fitosanitārie pasākumi</w:t>
      </w:r>
      <w:bookmarkEnd w:id="88"/>
      <w:r>
        <w:rPr>
          <w:noProof/>
          <w:lang w:val="fr-BE"/>
        </w:rPr>
        <w:t xml:space="preserve"> </w:t>
      </w:r>
    </w:p>
    <w:p w:rsidR="003E022D" w:rsidRDefault="007D19D6">
      <w:pPr>
        <w:pStyle w:val="Article"/>
        <w:rPr>
          <w:noProof/>
          <w:lang w:val="fr-BE"/>
        </w:rPr>
      </w:pPr>
      <w:r>
        <w:rPr>
          <w:noProof/>
          <w:lang w:val="fr-BE"/>
        </w:rPr>
        <w:t xml:space="preserve">SPS.1. pants. </w:t>
      </w:r>
      <w:bookmarkStart w:id="89" w:name="_Toc58163432"/>
      <w:r>
        <w:rPr>
          <w:noProof/>
          <w:lang w:val="fr-BE"/>
        </w:rPr>
        <w:t>Mērķi</w:t>
      </w:r>
      <w:bookmarkEnd w:id="89"/>
      <w:r>
        <w:rPr>
          <w:noProof/>
          <w:lang w:val="fr-BE"/>
        </w:rPr>
        <w:t xml:space="preserve"> </w:t>
      </w:r>
    </w:p>
    <w:p w:rsidR="003E022D" w:rsidRDefault="007D19D6">
      <w:pPr>
        <w:rPr>
          <w:rFonts w:cstheme="minorHAnsi"/>
          <w:noProof/>
          <w:lang w:val="fr-BE"/>
        </w:rPr>
      </w:pPr>
      <w:r>
        <w:rPr>
          <w:noProof/>
          <w:lang w:val="fr-BE"/>
        </w:rPr>
        <w:t xml:space="preserve">Šīs nodaļas mērķi ir šādi: </w:t>
      </w:r>
    </w:p>
    <w:p w:rsidR="003E022D" w:rsidRDefault="007D19D6">
      <w:pPr>
        <w:ind w:left="567" w:hanging="567"/>
        <w:rPr>
          <w:rFonts w:cstheme="minorHAnsi"/>
          <w:noProof/>
          <w:lang w:val="fr-BE"/>
        </w:rPr>
      </w:pPr>
      <w:r>
        <w:rPr>
          <w:noProof/>
          <w:lang w:val="fr-BE"/>
        </w:rPr>
        <w:t>a) aizsargāt cilvēku, dzīvnieku un augu dzīvību vai veselību Pušu teritorijās, vienlaikus atvieglojot tirdzniecību starp Pusēm;</w:t>
      </w:r>
    </w:p>
    <w:p w:rsidR="003E022D" w:rsidRDefault="007D19D6">
      <w:pPr>
        <w:ind w:left="567" w:hanging="567"/>
        <w:rPr>
          <w:rFonts w:cstheme="minorHAnsi"/>
          <w:noProof/>
          <w:lang w:val="fr-BE"/>
        </w:rPr>
      </w:pPr>
      <w:r>
        <w:rPr>
          <w:noProof/>
          <w:lang w:val="fr-BE"/>
        </w:rPr>
        <w:t>b) turpināt SFS līguma</w:t>
      </w:r>
      <w:r>
        <w:rPr>
          <w:noProof/>
          <w:lang w:val="fr-BE"/>
        </w:rPr>
        <w:t xml:space="preserve"> īstenošanu; </w:t>
      </w:r>
    </w:p>
    <w:p w:rsidR="003E022D" w:rsidRDefault="007D19D6">
      <w:pPr>
        <w:ind w:left="567" w:hanging="567"/>
        <w:rPr>
          <w:rFonts w:cstheme="minorHAnsi"/>
          <w:noProof/>
          <w:lang w:val="fr-BE"/>
        </w:rPr>
      </w:pPr>
      <w:r>
        <w:rPr>
          <w:noProof/>
          <w:lang w:val="fr-BE"/>
        </w:rPr>
        <w:t xml:space="preserve">c) nodrošināt, ka Pušu sanitārie un fitosanitārie (“SFS”) pasākumi nerada nevajadzīgus šķēršļus tirdzniecībai; </w:t>
      </w:r>
    </w:p>
    <w:p w:rsidR="003E022D" w:rsidRDefault="007D19D6">
      <w:pPr>
        <w:ind w:left="567" w:hanging="567"/>
        <w:rPr>
          <w:rFonts w:cstheme="minorHAnsi"/>
          <w:noProof/>
          <w:lang w:val="fr-BE"/>
        </w:rPr>
      </w:pPr>
      <w:r>
        <w:rPr>
          <w:noProof/>
          <w:lang w:val="fr-BE"/>
        </w:rPr>
        <w:t xml:space="preserve">d) veicināt lielāku pārredzamību katras Puses SFS pasākumu piemērošanā un izpratni par to;  </w:t>
      </w:r>
    </w:p>
    <w:p w:rsidR="003E022D" w:rsidRDefault="007D19D6">
      <w:pPr>
        <w:ind w:left="567" w:hanging="567"/>
        <w:rPr>
          <w:rFonts w:cstheme="minorHAnsi"/>
          <w:noProof/>
          <w:lang w:val="fr-BE"/>
        </w:rPr>
      </w:pPr>
      <w:r>
        <w:rPr>
          <w:noProof/>
          <w:lang w:val="fr-BE"/>
        </w:rPr>
        <w:t xml:space="preserve">e) uzlabot Pušu sadarbību cīņā pret rezistenci pret antimikrobiāliem līdzekļiem, ilgtspējīgu pārtikas sistēmu veicināšanā, dzīvnieku labturības aizsardzībā un elektroniskajā sertificēšanā; </w:t>
      </w:r>
    </w:p>
    <w:p w:rsidR="003E022D" w:rsidRDefault="007D19D6">
      <w:pPr>
        <w:ind w:left="567" w:hanging="567"/>
        <w:rPr>
          <w:rFonts w:cstheme="minorHAnsi"/>
          <w:noProof/>
          <w:lang w:val="fr-BE"/>
        </w:rPr>
      </w:pPr>
      <w:r>
        <w:rPr>
          <w:noProof/>
          <w:lang w:val="fr-BE"/>
        </w:rPr>
        <w:t>f) pastiprināt sadarbību attiecīgajās starptautiskajās organizācij</w:t>
      </w:r>
      <w:r>
        <w:rPr>
          <w:noProof/>
          <w:lang w:val="fr-BE"/>
        </w:rPr>
        <w:t>ās, lai izstrādātu starptautiskus standartus, pamatnostādnes un ieteikumus dzīvnieku veselības, pārtikas nekaitīguma un augu veselības jomā; un</w:t>
      </w:r>
    </w:p>
    <w:p w:rsidR="003E022D" w:rsidRDefault="007D19D6">
      <w:pPr>
        <w:ind w:left="567" w:hanging="567"/>
        <w:rPr>
          <w:rFonts w:cstheme="minorHAnsi"/>
          <w:noProof/>
          <w:lang w:val="fr-BE"/>
        </w:rPr>
      </w:pPr>
      <w:r>
        <w:rPr>
          <w:noProof/>
          <w:lang w:val="fr-BE"/>
        </w:rPr>
        <w:t>g) veicināt to, ka katra Puse īsteno starptautiskos standartus, pamatnostādnes un ieteikumus.</w:t>
      </w:r>
    </w:p>
    <w:p w:rsidR="003E022D" w:rsidRDefault="007D19D6">
      <w:pPr>
        <w:pStyle w:val="Article"/>
        <w:rPr>
          <w:noProof/>
        </w:rPr>
      </w:pPr>
      <w:bookmarkStart w:id="90" w:name="_Toc58163433"/>
      <w:r>
        <w:rPr>
          <w:noProof/>
        </w:rPr>
        <w:t>SPS.2. pants. Darb</w:t>
      </w:r>
      <w:r>
        <w:rPr>
          <w:noProof/>
        </w:rPr>
        <w:t>ības joma</w:t>
      </w:r>
      <w:bookmarkEnd w:id="90"/>
      <w:r>
        <w:rPr>
          <w:noProof/>
        </w:rPr>
        <w:t xml:space="preserve">  </w:t>
      </w:r>
      <w:r>
        <w:rPr>
          <w:noProof/>
        </w:rPr>
        <w:br/>
      </w:r>
    </w:p>
    <w:p w:rsidR="003E022D" w:rsidRDefault="007D19D6">
      <w:pPr>
        <w:numPr>
          <w:ilvl w:val="0"/>
          <w:numId w:val="301"/>
        </w:numPr>
        <w:ind w:left="0" w:firstLine="0"/>
        <w:rPr>
          <w:rFonts w:cstheme="minorHAnsi"/>
          <w:noProof/>
        </w:rPr>
      </w:pPr>
      <w:r>
        <w:rPr>
          <w:noProof/>
        </w:rPr>
        <w:t>Šo nodaļu piemēro visiem Puses SFS pasākumiem, kas var tieši vai netieši ietekmēt tirdzniecību starp Pusēm.</w:t>
      </w:r>
    </w:p>
    <w:p w:rsidR="003E022D" w:rsidRDefault="007D19D6">
      <w:pPr>
        <w:numPr>
          <w:ilvl w:val="0"/>
          <w:numId w:val="301"/>
        </w:numPr>
        <w:ind w:left="0" w:firstLine="0"/>
        <w:rPr>
          <w:rFonts w:cstheme="minorHAnsi"/>
          <w:noProof/>
        </w:rPr>
      </w:pPr>
      <w:r>
        <w:rPr>
          <w:noProof/>
        </w:rPr>
        <w:t>Šajā nodaļā arī paredzēti atsevišķi noteikumi attiecībā uz sadarbību dzīvnieku labturības, rezistences pret antimikrobiāliem līdzekļiem</w:t>
      </w:r>
      <w:r>
        <w:rPr>
          <w:noProof/>
        </w:rPr>
        <w:t xml:space="preserve"> un ilgtspējīgu pārtikas sistēmu jomā.</w:t>
      </w:r>
    </w:p>
    <w:p w:rsidR="003E022D" w:rsidRDefault="007D19D6">
      <w:pPr>
        <w:pStyle w:val="Article"/>
        <w:rPr>
          <w:noProof/>
        </w:rPr>
      </w:pPr>
      <w:bookmarkStart w:id="91" w:name="_Toc58163434"/>
      <w:r>
        <w:rPr>
          <w:noProof/>
        </w:rPr>
        <w:t>SPS.3. pants. Definīcijas</w:t>
      </w:r>
      <w:bookmarkEnd w:id="91"/>
      <w:r>
        <w:rPr>
          <w:noProof/>
        </w:rPr>
        <w:t xml:space="preserve"> </w:t>
      </w:r>
    </w:p>
    <w:p w:rsidR="003E022D" w:rsidRDefault="007D19D6">
      <w:pPr>
        <w:numPr>
          <w:ilvl w:val="0"/>
          <w:numId w:val="304"/>
        </w:numPr>
        <w:ind w:left="0" w:firstLine="0"/>
        <w:rPr>
          <w:rFonts w:cstheme="minorHAnsi"/>
          <w:noProof/>
        </w:rPr>
      </w:pPr>
      <w:r>
        <w:rPr>
          <w:noProof/>
        </w:rPr>
        <w:t xml:space="preserve">Šajā nodaļā piemēro šādas definīcijas: </w:t>
      </w:r>
    </w:p>
    <w:p w:rsidR="003E022D" w:rsidRDefault="007D19D6">
      <w:pPr>
        <w:numPr>
          <w:ilvl w:val="0"/>
          <w:numId w:val="285"/>
        </w:numPr>
        <w:spacing w:after="208" w:line="267" w:lineRule="auto"/>
        <w:ind w:right="36"/>
        <w:rPr>
          <w:rFonts w:eastAsia="Calibri" w:cs="Calibri"/>
          <w:noProof/>
          <w:color w:val="000000"/>
        </w:rPr>
      </w:pPr>
      <w:r>
        <w:rPr>
          <w:noProof/>
          <w:color w:val="000000"/>
        </w:rPr>
        <w:t xml:space="preserve">SFS līguma A pielikumā ietvertās definīcijas; </w:t>
      </w:r>
    </w:p>
    <w:p w:rsidR="003E022D" w:rsidRDefault="007D19D6">
      <w:pPr>
        <w:numPr>
          <w:ilvl w:val="0"/>
          <w:numId w:val="285"/>
        </w:numPr>
        <w:spacing w:after="208" w:line="267" w:lineRule="auto"/>
        <w:ind w:right="36"/>
        <w:rPr>
          <w:rFonts w:eastAsia="Calibri" w:cs="Calibri"/>
          <w:noProof/>
          <w:color w:val="000000"/>
        </w:rPr>
      </w:pPr>
      <w:r>
        <w:rPr>
          <w:noProof/>
          <w:color w:val="000000"/>
        </w:rPr>
        <w:t xml:space="preserve">definīcijas, kas pieņemtas Pārtikas kodeksa komisijas (“Kodekss”) aizgādībā; </w:t>
      </w:r>
    </w:p>
    <w:p w:rsidR="003E022D" w:rsidRDefault="007D19D6">
      <w:pPr>
        <w:numPr>
          <w:ilvl w:val="0"/>
          <w:numId w:val="285"/>
        </w:numPr>
        <w:spacing w:after="229" w:line="248" w:lineRule="auto"/>
        <w:ind w:right="36"/>
        <w:rPr>
          <w:rFonts w:eastAsia="Calibri" w:cs="Calibri"/>
          <w:noProof/>
          <w:color w:val="000000"/>
        </w:rPr>
      </w:pPr>
      <w:r>
        <w:rPr>
          <w:noProof/>
          <w:color w:val="000000"/>
        </w:rPr>
        <w:t xml:space="preserve">definīcijas, kas </w:t>
      </w:r>
      <w:r>
        <w:rPr>
          <w:noProof/>
          <w:color w:val="000000"/>
        </w:rPr>
        <w:t>pieņemtas Pasaules Dzīvnieku veselības organizācijas (“</w:t>
      </w:r>
      <w:r>
        <w:rPr>
          <w:i/>
          <w:noProof/>
          <w:color w:val="000000"/>
        </w:rPr>
        <w:t>OIE</w:t>
      </w:r>
      <w:r>
        <w:rPr>
          <w:noProof/>
          <w:color w:val="000000"/>
        </w:rPr>
        <w:t>”) aizgādībā; un</w:t>
      </w:r>
    </w:p>
    <w:p w:rsidR="003E022D" w:rsidRDefault="007D19D6">
      <w:pPr>
        <w:numPr>
          <w:ilvl w:val="0"/>
          <w:numId w:val="285"/>
        </w:numPr>
        <w:spacing w:after="229" w:line="248" w:lineRule="auto"/>
        <w:ind w:right="36"/>
        <w:rPr>
          <w:rFonts w:eastAsia="Calibri" w:cs="Calibri"/>
          <w:noProof/>
          <w:color w:val="000000"/>
        </w:rPr>
      </w:pPr>
      <w:r>
        <w:rPr>
          <w:noProof/>
          <w:color w:val="000000"/>
        </w:rPr>
        <w:t>definīcijas, kas pieņemtas Starptautiskās augu aizsardzības konvencijas (“</w:t>
      </w:r>
      <w:r>
        <w:rPr>
          <w:i/>
          <w:noProof/>
          <w:color w:val="000000"/>
        </w:rPr>
        <w:t>IPPC</w:t>
      </w:r>
      <w:r>
        <w:rPr>
          <w:noProof/>
          <w:color w:val="000000"/>
        </w:rPr>
        <w:t xml:space="preserve">”) aizgādībā;  </w:t>
      </w:r>
    </w:p>
    <w:p w:rsidR="003E022D" w:rsidRDefault="007D19D6">
      <w:pPr>
        <w:numPr>
          <w:ilvl w:val="0"/>
          <w:numId w:val="305"/>
        </w:numPr>
        <w:ind w:left="0" w:firstLine="0"/>
        <w:rPr>
          <w:rFonts w:cstheme="minorHAnsi"/>
          <w:noProof/>
        </w:rPr>
      </w:pPr>
      <w:r>
        <w:rPr>
          <w:noProof/>
        </w:rPr>
        <w:t>Šajā nodaļā:</w:t>
      </w:r>
    </w:p>
    <w:p w:rsidR="003E022D" w:rsidRDefault="007D19D6">
      <w:pPr>
        <w:numPr>
          <w:ilvl w:val="0"/>
          <w:numId w:val="308"/>
        </w:numPr>
        <w:ind w:left="567" w:hanging="567"/>
        <w:rPr>
          <w:rFonts w:cstheme="minorHAnsi"/>
          <w:noProof/>
        </w:rPr>
      </w:pPr>
      <w:r>
        <w:rPr>
          <w:noProof/>
        </w:rPr>
        <w:t xml:space="preserve"> “importa nosacījumi” ir visi SFS pasākumi, kas jāizpilda attiecībā uz raž</w:t>
      </w:r>
      <w:r>
        <w:rPr>
          <w:noProof/>
        </w:rPr>
        <w:t>ojumu importu; un</w:t>
      </w:r>
    </w:p>
    <w:p w:rsidR="003E022D" w:rsidRDefault="007D19D6">
      <w:pPr>
        <w:numPr>
          <w:ilvl w:val="0"/>
          <w:numId w:val="308"/>
        </w:numPr>
        <w:ind w:left="567" w:hanging="567"/>
        <w:rPr>
          <w:rFonts w:cstheme="minorHAnsi"/>
          <w:noProof/>
        </w:rPr>
      </w:pPr>
      <w:r>
        <w:rPr>
          <w:noProof/>
        </w:rPr>
        <w:t>“aizsargājamā zona” attiecībā uz konkrētu reglamentētu augiem kaitīgu organismu ir oficiāli noteikts ģeogrāfiskais apgabals, kurā minētais kaitīgais organisms nav konstatēts, neraugoties uz labvēlīgiem apstākļiem un tā klātbūtni citās Pus</w:t>
      </w:r>
      <w:r>
        <w:rPr>
          <w:noProof/>
        </w:rPr>
        <w:t>es teritorijas daļās, un kurā minēto kaitīgo organismu nav atļauts ievest.</w:t>
      </w:r>
    </w:p>
    <w:p w:rsidR="003E022D" w:rsidRDefault="007D19D6">
      <w:pPr>
        <w:numPr>
          <w:ilvl w:val="0"/>
          <w:numId w:val="306"/>
        </w:numPr>
        <w:ind w:left="0" w:firstLine="0"/>
        <w:rPr>
          <w:rFonts w:cstheme="minorHAnsi"/>
          <w:noProof/>
        </w:rPr>
      </w:pPr>
      <w:r>
        <w:rPr>
          <w:noProof/>
        </w:rPr>
        <w:t>Tirdzniecības specializētā komiteja sanitāro un fitosanitāro pasākumu jomā var pieņemt citas definīcijas šīs nodaļas vajadzībām, ņemot vērā attiecīgo starptautisko organizāciju, pie</w:t>
      </w:r>
      <w:r>
        <w:rPr>
          <w:noProof/>
        </w:rPr>
        <w:t xml:space="preserve">mēram, Pārtikas kodeksa komisijas, </w:t>
      </w:r>
      <w:r>
        <w:rPr>
          <w:i/>
          <w:noProof/>
        </w:rPr>
        <w:t>OIE</w:t>
      </w:r>
      <w:r>
        <w:rPr>
          <w:noProof/>
        </w:rPr>
        <w:t xml:space="preserve"> un </w:t>
      </w:r>
      <w:r>
        <w:rPr>
          <w:i/>
          <w:noProof/>
        </w:rPr>
        <w:t>IPPC</w:t>
      </w:r>
      <w:r>
        <w:rPr>
          <w:noProof/>
        </w:rPr>
        <w:t xml:space="preserve">, glosārijus un definīcijas. </w:t>
      </w:r>
    </w:p>
    <w:p w:rsidR="003E022D" w:rsidRDefault="007D19D6">
      <w:pPr>
        <w:numPr>
          <w:ilvl w:val="0"/>
          <w:numId w:val="306"/>
        </w:numPr>
        <w:ind w:left="0" w:firstLine="0"/>
        <w:rPr>
          <w:rFonts w:cstheme="minorHAnsi"/>
          <w:noProof/>
        </w:rPr>
      </w:pPr>
      <w:r>
        <w:rPr>
          <w:noProof/>
        </w:rPr>
        <w:t xml:space="preserve">SFS līgumā iekļautās definīcijas prevalē, ciktāl pastāv neatbilstība starp definīcijām, ko pieņēmusi Tirdzniecības specializētā komiteja sanitāro un fitosanitāro pasākumu jomā vai kas pieņemtas Pārtikas kodeksa komisijas, </w:t>
      </w:r>
      <w:r>
        <w:rPr>
          <w:i/>
          <w:noProof/>
        </w:rPr>
        <w:t>OIE</w:t>
      </w:r>
      <w:r>
        <w:rPr>
          <w:noProof/>
        </w:rPr>
        <w:t xml:space="preserve"> vai </w:t>
      </w:r>
      <w:r>
        <w:rPr>
          <w:i/>
          <w:noProof/>
        </w:rPr>
        <w:t>IPPC</w:t>
      </w:r>
      <w:r>
        <w:rPr>
          <w:noProof/>
        </w:rPr>
        <w:t xml:space="preserve"> aizgādībā, un definīc</w:t>
      </w:r>
      <w:r>
        <w:rPr>
          <w:noProof/>
        </w:rPr>
        <w:t xml:space="preserve">ijām SFS līgumā. Ja pastāv neatbilstība starp definīcijām, ko pieņēmusi Tirdzniecības specializētā komiteja sanitāro un fitosanitāro pasākumu jomā, un definīcijām, kas izklāstītas Pārtikas kodeksā, </w:t>
      </w:r>
      <w:r>
        <w:rPr>
          <w:i/>
          <w:noProof/>
        </w:rPr>
        <w:t>OIE</w:t>
      </w:r>
      <w:r>
        <w:rPr>
          <w:noProof/>
        </w:rPr>
        <w:t xml:space="preserve"> vai </w:t>
      </w:r>
      <w:r>
        <w:rPr>
          <w:i/>
          <w:noProof/>
        </w:rPr>
        <w:t>IPPC</w:t>
      </w:r>
      <w:r>
        <w:rPr>
          <w:noProof/>
        </w:rPr>
        <w:t xml:space="preserve">, prevalē Pārtikas kodeksā, </w:t>
      </w:r>
      <w:r>
        <w:rPr>
          <w:i/>
          <w:noProof/>
        </w:rPr>
        <w:t>OIE</w:t>
      </w:r>
      <w:r>
        <w:rPr>
          <w:noProof/>
        </w:rPr>
        <w:t xml:space="preserve"> vai </w:t>
      </w:r>
      <w:r>
        <w:rPr>
          <w:i/>
          <w:noProof/>
        </w:rPr>
        <w:t>IPPC</w:t>
      </w:r>
      <w:r>
        <w:rPr>
          <w:noProof/>
        </w:rPr>
        <w:t xml:space="preserve"> izklā</w:t>
      </w:r>
      <w:r>
        <w:rPr>
          <w:noProof/>
        </w:rPr>
        <w:t>stītās definīcijas.</w:t>
      </w:r>
    </w:p>
    <w:p w:rsidR="003E022D" w:rsidRDefault="007D19D6">
      <w:pPr>
        <w:pStyle w:val="Article"/>
        <w:rPr>
          <w:noProof/>
        </w:rPr>
      </w:pPr>
      <w:bookmarkStart w:id="92" w:name="_Toc58163435"/>
      <w:r>
        <w:rPr>
          <w:noProof/>
        </w:rPr>
        <w:t>SPS.4. pants. Tiesības un pienākumi</w:t>
      </w:r>
      <w:bookmarkEnd w:id="92"/>
      <w:r>
        <w:rPr>
          <w:noProof/>
        </w:rPr>
        <w:t xml:space="preserve"> </w:t>
      </w:r>
    </w:p>
    <w:p w:rsidR="003E022D" w:rsidRDefault="007D19D6">
      <w:pPr>
        <w:rPr>
          <w:rFonts w:cstheme="minorHAnsi"/>
          <w:noProof/>
        </w:rPr>
      </w:pPr>
      <w:r>
        <w:rPr>
          <w:noProof/>
        </w:rPr>
        <w:t>Puses apstiprina savas tiesības un pienākumus, kas izriet no SFS līguma. Tas ietver tiesības pieņemt pasākumus saskaņā ar SFS līguma 5. panta 7. punktu.</w:t>
      </w:r>
    </w:p>
    <w:p w:rsidR="003E022D" w:rsidRDefault="007D19D6">
      <w:pPr>
        <w:pStyle w:val="Article"/>
        <w:rPr>
          <w:noProof/>
        </w:rPr>
      </w:pPr>
      <w:bookmarkStart w:id="93" w:name="_Toc58163436"/>
      <w:r>
        <w:rPr>
          <w:noProof/>
        </w:rPr>
        <w:t>SPS.5. pants. Vispārīgi principi</w:t>
      </w:r>
      <w:bookmarkEnd w:id="93"/>
      <w:r>
        <w:rPr>
          <w:noProof/>
          <w:color w:val="B5072D"/>
        </w:rPr>
        <w:t xml:space="preserve"> </w:t>
      </w:r>
      <w:r>
        <w:rPr>
          <w:noProof/>
        </w:rPr>
        <w:t xml:space="preserve"> </w:t>
      </w:r>
    </w:p>
    <w:p w:rsidR="003E022D" w:rsidRDefault="007D19D6">
      <w:pPr>
        <w:numPr>
          <w:ilvl w:val="0"/>
          <w:numId w:val="286"/>
        </w:numPr>
        <w:ind w:left="0"/>
        <w:rPr>
          <w:rFonts w:cstheme="minorHAnsi"/>
          <w:noProof/>
        </w:rPr>
      </w:pPr>
      <w:r>
        <w:rPr>
          <w:noProof/>
        </w:rPr>
        <w:t>Lai sasnieg</w:t>
      </w:r>
      <w:r>
        <w:rPr>
          <w:noProof/>
        </w:rPr>
        <w:t xml:space="preserve">tu savu atbilstošo aizsardzības līmeni, Puses piemēro SFS pasākumus, kuru pamatā ir riska novērtējums saskaņā ar attiecīgajiem noteikumiem, tostarp SFS līguma 5. pantu. </w:t>
      </w:r>
    </w:p>
    <w:p w:rsidR="003E022D" w:rsidRDefault="007D19D6">
      <w:pPr>
        <w:numPr>
          <w:ilvl w:val="0"/>
          <w:numId w:val="286"/>
        </w:numPr>
        <w:ind w:left="0"/>
        <w:rPr>
          <w:rFonts w:cstheme="minorHAnsi"/>
          <w:noProof/>
        </w:rPr>
      </w:pPr>
      <w:r>
        <w:rPr>
          <w:noProof/>
        </w:rPr>
        <w:t xml:space="preserve">Puses neizmanto SFS pasākumus, lai radītu nepamatotus šķēršļus tirdzniecībai. </w:t>
      </w:r>
    </w:p>
    <w:p w:rsidR="003E022D" w:rsidRDefault="007D19D6">
      <w:pPr>
        <w:numPr>
          <w:ilvl w:val="0"/>
          <w:numId w:val="286"/>
        </w:numPr>
        <w:ind w:left="0"/>
        <w:rPr>
          <w:rFonts w:cstheme="minorHAnsi"/>
          <w:noProof/>
        </w:rPr>
      </w:pPr>
      <w:r>
        <w:rPr>
          <w:noProof/>
        </w:rPr>
        <w:t>Attiecī</w:t>
      </w:r>
      <w:r>
        <w:rPr>
          <w:noProof/>
        </w:rPr>
        <w:t xml:space="preserve">bā uz ar tirdzniecību saistītām SFS procedūrām un apstiprinājumiem, kas noteikti saskaņā ar šo nodaļu, katra Puse nodrošina, ka šīs procedūras un saistītie SFS pasākumi: </w:t>
      </w:r>
    </w:p>
    <w:p w:rsidR="003E022D" w:rsidRDefault="007D19D6">
      <w:pPr>
        <w:numPr>
          <w:ilvl w:val="1"/>
          <w:numId w:val="286"/>
        </w:numPr>
        <w:ind w:left="567" w:hanging="567"/>
        <w:rPr>
          <w:rFonts w:cstheme="minorHAnsi"/>
          <w:noProof/>
        </w:rPr>
      </w:pPr>
      <w:r>
        <w:rPr>
          <w:noProof/>
        </w:rPr>
        <w:t>tiek sākti un pabeigti bez liekas kavēšanās;</w:t>
      </w:r>
    </w:p>
    <w:p w:rsidR="003E022D" w:rsidRDefault="007D19D6">
      <w:pPr>
        <w:numPr>
          <w:ilvl w:val="1"/>
          <w:numId w:val="286"/>
        </w:numPr>
        <w:ind w:left="567" w:hanging="567"/>
        <w:rPr>
          <w:rFonts w:cstheme="minorHAnsi"/>
          <w:noProof/>
        </w:rPr>
      </w:pPr>
      <w:r>
        <w:rPr>
          <w:noProof/>
        </w:rPr>
        <w:t>neietver nevajadzīgus, zinātniski un teh</w:t>
      </w:r>
      <w:r>
        <w:rPr>
          <w:noProof/>
        </w:rPr>
        <w:t xml:space="preserve">niski nepamatotus vai nevajadzīgi apgrūtinošus informācijas pieprasījumus, kas var aizkavēt piekļuvi otras Puses tirgum;  </w:t>
      </w:r>
    </w:p>
    <w:p w:rsidR="003E022D" w:rsidRDefault="007D19D6">
      <w:pPr>
        <w:numPr>
          <w:ilvl w:val="1"/>
          <w:numId w:val="286"/>
        </w:numPr>
        <w:ind w:left="567" w:hanging="567"/>
        <w:rPr>
          <w:rFonts w:cstheme="minorHAnsi"/>
          <w:noProof/>
        </w:rPr>
      </w:pPr>
      <w:r>
        <w:rPr>
          <w:noProof/>
        </w:rPr>
        <w:t>netiek piemēroti tādā veidā, kas radītu patvaļīgu vai neattaisnojamu diskrimināciju pret otras Puses visu teritoriju vai tās teritori</w:t>
      </w:r>
      <w:r>
        <w:rPr>
          <w:noProof/>
        </w:rPr>
        <w:t>jas daļām, kurās pastāv identiski vai līdzīgi SFS apstākļi; un</w:t>
      </w:r>
    </w:p>
    <w:p w:rsidR="003E022D" w:rsidRDefault="007D19D6">
      <w:pPr>
        <w:numPr>
          <w:ilvl w:val="1"/>
          <w:numId w:val="286"/>
        </w:numPr>
        <w:ind w:left="567" w:hanging="567"/>
        <w:rPr>
          <w:rFonts w:cstheme="minorHAnsi"/>
          <w:noProof/>
        </w:rPr>
      </w:pPr>
      <w:r>
        <w:rPr>
          <w:noProof/>
        </w:rPr>
        <w:t xml:space="preserve">ir samērīgi ar identificētajiem riskiem un tirdzniecību neierobežo vairāk, nekā nepieciešams, lai sasniegtu importētājas Puses atbilstošo aizsardzības līmeni. </w:t>
      </w:r>
    </w:p>
    <w:p w:rsidR="003E022D" w:rsidRDefault="007D19D6">
      <w:pPr>
        <w:numPr>
          <w:ilvl w:val="0"/>
          <w:numId w:val="286"/>
        </w:numPr>
        <w:ind w:left="0"/>
        <w:rPr>
          <w:rFonts w:cstheme="minorHAnsi"/>
          <w:noProof/>
        </w:rPr>
      </w:pPr>
      <w:r>
        <w:rPr>
          <w:noProof/>
        </w:rPr>
        <w:t>Puses neizmanto 3. punktā minētās</w:t>
      </w:r>
      <w:r>
        <w:rPr>
          <w:noProof/>
        </w:rPr>
        <w:t xml:space="preserve"> procedūras un papildu informācijas pieprasījumus, lai bez zinātniska un tehniska pamatojuma aizkavētu piekļuvi saviem tirgiem. </w:t>
      </w:r>
    </w:p>
    <w:p w:rsidR="003E022D" w:rsidRDefault="007D19D6">
      <w:pPr>
        <w:numPr>
          <w:ilvl w:val="0"/>
          <w:numId w:val="286"/>
        </w:numPr>
        <w:ind w:left="0"/>
        <w:rPr>
          <w:rFonts w:cstheme="minorHAnsi"/>
          <w:noProof/>
        </w:rPr>
      </w:pPr>
      <w:r>
        <w:rPr>
          <w:noProof/>
        </w:rPr>
        <w:t>Katra Puse nodrošina, ka administratīvās procedūras, ko tā pieprasa attiecībā uz importa nosacījumiem pārtikas nekaitīguma, dzī</w:t>
      </w:r>
      <w:r>
        <w:rPr>
          <w:noProof/>
        </w:rPr>
        <w:t xml:space="preserve">vnieku veselības vai augu veselības jomā, nav apgrūtinošākas vai tirdzniecību ierobežojošākas, nekā nepieciešams, lai importētājai Pusei dotu pietiekamu pārliecību, ka šie nosacījumi ir izpildīti. Katra Puse nodrošina, ka administratīvo procedūru negatīvā </w:t>
      </w:r>
      <w:r>
        <w:rPr>
          <w:noProof/>
        </w:rPr>
        <w:t xml:space="preserve">ietekme uz tirdzniecību tiek samazināta līdz minimumam un ka administratīvās noformēšanas procesi ir vienkārši un ātri, vienlaikus ievērojot importētājas Puses nosacījumus. </w:t>
      </w:r>
    </w:p>
    <w:p w:rsidR="003E022D" w:rsidRDefault="007D19D6">
      <w:pPr>
        <w:numPr>
          <w:ilvl w:val="0"/>
          <w:numId w:val="286"/>
        </w:numPr>
        <w:ind w:left="0"/>
        <w:rPr>
          <w:rFonts w:cstheme="minorHAnsi"/>
          <w:noProof/>
        </w:rPr>
      </w:pPr>
      <w:r>
        <w:rPr>
          <w:noProof/>
        </w:rPr>
        <w:t>Importētāja Puse neievieš papildu administratīvas sistēmas vai procedūru, kas neva</w:t>
      </w:r>
      <w:r>
        <w:rPr>
          <w:noProof/>
        </w:rPr>
        <w:t xml:space="preserve">jadzīgi kavē tirdzniecību.  </w:t>
      </w:r>
    </w:p>
    <w:p w:rsidR="003E022D" w:rsidRDefault="007D19D6">
      <w:pPr>
        <w:pStyle w:val="Article"/>
        <w:rPr>
          <w:noProof/>
        </w:rPr>
      </w:pPr>
      <w:bookmarkStart w:id="94" w:name="_Toc58163437"/>
      <w:r>
        <w:rPr>
          <w:noProof/>
        </w:rPr>
        <w:t>SPS.6. pants. Oficiālā sertifikācija</w:t>
      </w:r>
      <w:bookmarkEnd w:id="94"/>
    </w:p>
    <w:p w:rsidR="003E022D" w:rsidRDefault="007D19D6">
      <w:pPr>
        <w:numPr>
          <w:ilvl w:val="0"/>
          <w:numId w:val="298"/>
        </w:numPr>
        <w:spacing w:after="170" w:line="248" w:lineRule="auto"/>
        <w:ind w:right="36"/>
        <w:rPr>
          <w:rFonts w:eastAsia="Calibri" w:cs="Calibri"/>
          <w:noProof/>
          <w:lang w:val="fr-BE"/>
        </w:rPr>
      </w:pPr>
      <w:r>
        <w:rPr>
          <w:noProof/>
          <w:lang w:val="fr-BE"/>
        </w:rPr>
        <w:t xml:space="preserve">Ja importētāja Puse pieprasa oficiālus sertifikātus, sertifikātu paraugi ir: </w:t>
      </w:r>
    </w:p>
    <w:p w:rsidR="003E022D" w:rsidRDefault="007D19D6">
      <w:pPr>
        <w:numPr>
          <w:ilvl w:val="1"/>
          <w:numId w:val="286"/>
        </w:numPr>
        <w:spacing w:after="172" w:line="248" w:lineRule="auto"/>
        <w:ind w:left="993" w:right="36" w:hanging="284"/>
        <w:rPr>
          <w:noProof/>
          <w:color w:val="000000"/>
          <w:lang w:val="fr-BE"/>
        </w:rPr>
      </w:pPr>
      <w:r>
        <w:rPr>
          <w:noProof/>
          <w:color w:val="000000"/>
          <w:lang w:val="fr-BE"/>
        </w:rPr>
        <w:t xml:space="preserve">saskaņā ar principiem, kas noteikti Pārtikas kodeksa komisijas, </w:t>
      </w:r>
      <w:r>
        <w:rPr>
          <w:i/>
          <w:noProof/>
          <w:color w:val="000000"/>
          <w:lang w:val="fr-BE"/>
        </w:rPr>
        <w:t>IPPC</w:t>
      </w:r>
      <w:r>
        <w:rPr>
          <w:noProof/>
          <w:color w:val="000000"/>
          <w:lang w:val="fr-BE"/>
        </w:rPr>
        <w:t xml:space="preserve"> un </w:t>
      </w:r>
      <w:r>
        <w:rPr>
          <w:i/>
          <w:noProof/>
          <w:color w:val="000000"/>
          <w:lang w:val="fr-BE"/>
        </w:rPr>
        <w:t>OIE</w:t>
      </w:r>
      <w:r>
        <w:rPr>
          <w:noProof/>
          <w:color w:val="000000"/>
          <w:lang w:val="fr-BE"/>
        </w:rPr>
        <w:t xml:space="preserve"> starptautiskajos standartos, un </w:t>
      </w:r>
    </w:p>
    <w:p w:rsidR="003E022D" w:rsidRDefault="007D19D6">
      <w:pPr>
        <w:numPr>
          <w:ilvl w:val="1"/>
          <w:numId w:val="286"/>
        </w:numPr>
        <w:spacing w:after="172" w:line="248" w:lineRule="auto"/>
        <w:ind w:left="993" w:right="36" w:hanging="284"/>
        <w:rPr>
          <w:noProof/>
          <w:color w:val="000000"/>
        </w:rPr>
      </w:pPr>
      <w:r>
        <w:rPr>
          <w:noProof/>
          <w:color w:val="000000"/>
        </w:rPr>
        <w:t xml:space="preserve">piemērojami importam no visām eksportētājas Puses teritorijas daļām.  </w:t>
      </w:r>
    </w:p>
    <w:p w:rsidR="003E022D" w:rsidRDefault="007D19D6">
      <w:pPr>
        <w:numPr>
          <w:ilvl w:val="0"/>
          <w:numId w:val="298"/>
        </w:numPr>
        <w:spacing w:after="229" w:line="248" w:lineRule="auto"/>
        <w:ind w:right="36"/>
        <w:rPr>
          <w:rFonts w:eastAsia="Calibri" w:cs="Calibri"/>
          <w:noProof/>
          <w:color w:val="000000"/>
        </w:rPr>
      </w:pPr>
      <w:r>
        <w:rPr>
          <w:noProof/>
        </w:rPr>
        <w:t>Tirdzniecības specializētā komiteja sanitāro un fitosanitāro pasākumu jomā var vienoties par īpašiem gadījumiem, kad 1. punktā minētie sertifikātu paraugi tiek izstrādāti tikai kādai ek</w:t>
      </w:r>
      <w:r>
        <w:rPr>
          <w:noProof/>
        </w:rPr>
        <w:t xml:space="preserve">sportētājas Puses teritorijas daļai vai daļām. </w:t>
      </w:r>
      <w:r>
        <w:rPr>
          <w:noProof/>
          <w:color w:val="000000"/>
        </w:rPr>
        <w:t xml:space="preserve">Puses veicina elektronisko sertifikāciju un citas tehnoloģijas tirdzniecības atvieglošanai. </w:t>
      </w:r>
    </w:p>
    <w:p w:rsidR="003E022D" w:rsidRDefault="007D19D6">
      <w:pPr>
        <w:pStyle w:val="Article"/>
        <w:rPr>
          <w:noProof/>
          <w:lang w:val="fr-BE"/>
        </w:rPr>
      </w:pPr>
      <w:bookmarkStart w:id="95" w:name="_Toc58163438"/>
      <w:r>
        <w:rPr>
          <w:noProof/>
          <w:lang w:val="fr-BE"/>
        </w:rPr>
        <w:t>SPS.7. pants. Importa nosacījumi un procedūras</w:t>
      </w:r>
      <w:bookmarkEnd w:id="95"/>
      <w:r>
        <w:rPr>
          <w:noProof/>
          <w:color w:val="B5072D"/>
          <w:lang w:val="fr-BE"/>
        </w:rPr>
        <w:t xml:space="preserve"> </w:t>
      </w:r>
      <w:r>
        <w:rPr>
          <w:noProof/>
          <w:lang w:val="fr-BE"/>
        </w:rPr>
        <w:t xml:space="preserve"> </w:t>
      </w:r>
    </w:p>
    <w:p w:rsidR="003E022D" w:rsidRDefault="007D19D6">
      <w:pPr>
        <w:numPr>
          <w:ilvl w:val="0"/>
          <w:numId w:val="287"/>
        </w:numPr>
        <w:ind w:left="0"/>
        <w:rPr>
          <w:rFonts w:cstheme="minorHAnsi"/>
          <w:noProof/>
          <w:lang w:val="fr-BE"/>
        </w:rPr>
      </w:pPr>
      <w:r>
        <w:rPr>
          <w:noProof/>
          <w:lang w:val="fr-BE"/>
        </w:rPr>
        <w:t xml:space="preserve">Neskarot tiesības un pienākumus, kas katrai Pusei ir saskaņā ar SFS līgumu un šo nodaļu, importētājas Puses importa nosacījumus konsekventi attiecina uz visu eksportētājas Puses teritoriju. </w:t>
      </w:r>
    </w:p>
    <w:p w:rsidR="003E022D" w:rsidRDefault="007D19D6">
      <w:pPr>
        <w:numPr>
          <w:ilvl w:val="0"/>
          <w:numId w:val="287"/>
        </w:numPr>
        <w:ind w:left="0"/>
        <w:rPr>
          <w:rFonts w:cstheme="minorHAnsi"/>
          <w:noProof/>
          <w:lang w:val="fr-BE"/>
        </w:rPr>
      </w:pPr>
      <w:r>
        <w:rPr>
          <w:noProof/>
          <w:lang w:val="fr-BE"/>
        </w:rPr>
        <w:t>Eksportētāja Puse nodrošina, ka produkti, ko eksportē uz otru Pus</w:t>
      </w:r>
      <w:r>
        <w:rPr>
          <w:noProof/>
          <w:lang w:val="fr-BE"/>
        </w:rPr>
        <w:t xml:space="preserve">i, piemēram, dzīvnieki un dzīvnieku izcelsmes produkti, augi un augu produkti vai citi saistīti priekšmeti, atbilst importētājas Puses SFS prasībām.   </w:t>
      </w:r>
    </w:p>
    <w:p w:rsidR="003E022D" w:rsidRDefault="007D19D6">
      <w:pPr>
        <w:numPr>
          <w:ilvl w:val="0"/>
          <w:numId w:val="287"/>
        </w:numPr>
        <w:ind w:left="0"/>
        <w:rPr>
          <w:rFonts w:cstheme="minorHAnsi"/>
          <w:noProof/>
          <w:lang w:val="fr-BE"/>
        </w:rPr>
      </w:pPr>
      <w:r>
        <w:rPr>
          <w:noProof/>
          <w:lang w:val="fr-BE"/>
        </w:rPr>
        <w:t>Importētāja Puse var pieprasīt,  lai konkrētu produktu importam būtu vajadzīga atļauja. Šādu atļauju pie</w:t>
      </w:r>
      <w:r>
        <w:rPr>
          <w:noProof/>
          <w:lang w:val="fr-BE"/>
        </w:rPr>
        <w:t>šķir gadījumos, kad eksportētājas Puses attiecīgā kompetentā iestāde iesniedz pieprasījumu, kas objektīvi pierāda importētājai Pusei, ka tās prasības attiecībā uz atļaujas saņemšanu ir izpildītas. Eksportētājas Puses attiecīgā kompetentā iestāde var iesnie</w:t>
      </w:r>
      <w:r>
        <w:rPr>
          <w:noProof/>
          <w:lang w:val="fr-BE"/>
        </w:rPr>
        <w:t xml:space="preserve">gt pieprasījumu atļaujas saņemšanai attiecībā uz visu eksportētājas Puses teritoriju. Importētāja Puse uz minētā pamata apmierina šādus pieprasījumus, </w:t>
      </w:r>
      <w:bookmarkStart w:id="96" w:name="_Hlk55464714"/>
      <w:r>
        <w:rPr>
          <w:noProof/>
          <w:lang w:val="fr-BE"/>
        </w:rPr>
        <w:t>ja tie atbilst importētājas Puses atļaujas saņemšanas prasībām,</w:t>
      </w:r>
      <w:bookmarkEnd w:id="96"/>
      <w:r>
        <w:rPr>
          <w:noProof/>
          <w:lang w:val="fr-BE"/>
        </w:rPr>
        <w:t xml:space="preserve"> kas izklāstītas šajā punktā. </w:t>
      </w:r>
    </w:p>
    <w:p w:rsidR="003E022D" w:rsidRDefault="007D19D6">
      <w:pPr>
        <w:numPr>
          <w:ilvl w:val="0"/>
          <w:numId w:val="287"/>
        </w:numPr>
        <w:ind w:left="0"/>
        <w:rPr>
          <w:rFonts w:cstheme="minorHAnsi"/>
          <w:noProof/>
          <w:lang w:val="fr-BE"/>
        </w:rPr>
      </w:pPr>
      <w:r>
        <w:rPr>
          <w:noProof/>
          <w:lang w:val="fr-BE"/>
        </w:rPr>
        <w:t>Importētāja</w:t>
      </w:r>
      <w:r>
        <w:rPr>
          <w:noProof/>
          <w:lang w:val="fr-BE"/>
        </w:rPr>
        <w:t xml:space="preserve"> puse neievieš atļaujas saņemšanas prasības, kas papildina pārejas perioda beigās piemērojamās prasības, ja vien šādu prasību piemērošana citiem ražojumiem nav pamatota, lai mazinātu būtisku risku cilvēku, dzīvnieku vai augu veselībai.  </w:t>
      </w:r>
    </w:p>
    <w:p w:rsidR="003E022D" w:rsidRDefault="007D19D6">
      <w:pPr>
        <w:numPr>
          <w:ilvl w:val="0"/>
          <w:numId w:val="287"/>
        </w:numPr>
        <w:ind w:left="0"/>
        <w:rPr>
          <w:rFonts w:cstheme="minorHAnsi"/>
          <w:noProof/>
          <w:lang w:val="fr-BE"/>
        </w:rPr>
      </w:pPr>
      <w:r>
        <w:rPr>
          <w:noProof/>
          <w:lang w:val="fr-BE"/>
        </w:rPr>
        <w:t>Importētāja Puse n</w:t>
      </w:r>
      <w:r>
        <w:rPr>
          <w:noProof/>
          <w:lang w:val="fr-BE"/>
        </w:rPr>
        <w:t>osaka un paziņo otrai Pusei importa nosacījumus attiecībā uz visiem ražojumiem. Importētāja Puse nodrošina, ka tās importa nosacījumus piemēro samērīgi un bez diskriminācijas.</w:t>
      </w:r>
    </w:p>
    <w:p w:rsidR="003E022D" w:rsidRDefault="007D19D6">
      <w:pPr>
        <w:numPr>
          <w:ilvl w:val="0"/>
          <w:numId w:val="287"/>
        </w:numPr>
        <w:ind w:left="0"/>
        <w:rPr>
          <w:rFonts w:cstheme="minorHAnsi"/>
          <w:noProof/>
          <w:lang w:val="fr-BE"/>
        </w:rPr>
      </w:pPr>
      <w:r>
        <w:rPr>
          <w:noProof/>
          <w:lang w:val="fr-BE"/>
        </w:rPr>
        <w:t xml:space="preserve">Neskarot pagaidu pasākumus saskaņā ar SFS līguma 5. panta 7. punktu, ražojumiem </w:t>
      </w:r>
      <w:r>
        <w:rPr>
          <w:noProof/>
          <w:lang w:val="fr-BE"/>
        </w:rPr>
        <w:t>vai citiem saistītiem priekšmetiem, attiecībā uz kuriem pastāv fitosanitāra rakstura bažas, importa nosacījumi aprobežojas vienīgi ar tādiem pasākumiem, kas nodrošina aizsardzību pret importētājas Puses reglamentētajiem kaitīgajiem organismiem, un kas ir p</w:t>
      </w:r>
      <w:r>
        <w:rPr>
          <w:noProof/>
          <w:lang w:val="fr-BE"/>
        </w:rPr>
        <w:t xml:space="preserve">iemērojami visai eksportētājas Puses teritorijai. </w:t>
      </w:r>
    </w:p>
    <w:p w:rsidR="003E022D" w:rsidRDefault="007D19D6">
      <w:pPr>
        <w:numPr>
          <w:ilvl w:val="0"/>
          <w:numId w:val="287"/>
        </w:numPr>
        <w:ind w:left="0"/>
        <w:rPr>
          <w:rFonts w:cstheme="minorHAnsi"/>
          <w:noProof/>
          <w:lang w:val="fr-BE"/>
        </w:rPr>
      </w:pPr>
      <w:r>
        <w:rPr>
          <w:noProof/>
          <w:lang w:val="fr-BE"/>
        </w:rPr>
        <w:t>Neatkarīgi no 1. un 3. punkta konkrētu ražojumu importa atļaujas pieprasījuma gadījumā, ja eksportētāja Puse ir pieprasījusi pārbaudi tikai attiecībā uz tās teritorijas daļu vai konkrētām daļām (Savienības</w:t>
      </w:r>
      <w:r>
        <w:rPr>
          <w:noProof/>
          <w:lang w:val="fr-BE"/>
        </w:rPr>
        <w:t xml:space="preserve"> gadījumā – atsevišķām dalībvalstīm), importētāja Puse nekavējoties izskata minēto pieprasījumu. Ja importētāja Puse saņem pieprasījumus attiecībā uz konkrēto ražojumu no vairāk nekā vienas eksportētājas Puses daļas vai ja ir saņemti turpmāki pieprasījumi </w:t>
      </w:r>
      <w:r>
        <w:rPr>
          <w:noProof/>
          <w:lang w:val="fr-BE"/>
        </w:rPr>
        <w:t>attiecībā uz ražojumu, kuram jau ir piešķirta atļauja, importētāja Puse paātrina atļaujas piešķiršanas procedūras pabeigšanu, ņemot vērā identisku vai līdzīgu SFS režīmu, kas piemērojams atšķirīgās eksportētājas Puses daļās.</w:t>
      </w:r>
    </w:p>
    <w:p w:rsidR="003E022D" w:rsidRDefault="007D19D6">
      <w:pPr>
        <w:numPr>
          <w:ilvl w:val="0"/>
          <w:numId w:val="287"/>
        </w:numPr>
        <w:ind w:left="0"/>
        <w:rPr>
          <w:rFonts w:cstheme="minorHAnsi"/>
          <w:noProof/>
          <w:lang w:val="fr-BE"/>
        </w:rPr>
      </w:pPr>
      <w:r>
        <w:rPr>
          <w:noProof/>
          <w:lang w:val="fr-BE"/>
        </w:rPr>
        <w:t xml:space="preserve">Katra puse nodrošina, ka visas </w:t>
      </w:r>
      <w:r>
        <w:rPr>
          <w:noProof/>
          <w:lang w:val="fr-BE"/>
        </w:rPr>
        <w:t>SFS kontroles, inspekcijas un apstiprināšanas procedūras tiek sāktas un pabeigtas bez liekas kavēšanās. Informācijas pieprasījumi attiecas tikai uz to, kas vajadzīgs, lai apstiprināšanas procesā ņemtu vērā importētājas Puses rīcībā jau esošo informāciju, p</w:t>
      </w:r>
      <w:r>
        <w:rPr>
          <w:noProof/>
          <w:lang w:val="fr-BE"/>
        </w:rPr>
        <w:t xml:space="preserve">iemēram, par eksportētājas Puses tiesisko regulējumu un revīzijas ziņojumiem. </w:t>
      </w:r>
    </w:p>
    <w:p w:rsidR="003E022D" w:rsidRDefault="007D19D6">
      <w:pPr>
        <w:numPr>
          <w:ilvl w:val="0"/>
          <w:numId w:val="287"/>
        </w:numPr>
        <w:ind w:left="0"/>
        <w:rPr>
          <w:rFonts w:cstheme="minorHAnsi"/>
          <w:noProof/>
          <w:lang w:val="fr-BE"/>
        </w:rPr>
      </w:pPr>
      <w:r>
        <w:rPr>
          <w:noProof/>
          <w:lang w:val="fr-BE"/>
        </w:rPr>
        <w:t xml:space="preserve">Izņemot pienācīgi pamatotus apstākļus, kas saistīti ar tās aizsardzības līmeni, katra Puse paredz pārejas periodu starp jebkādu apstiprināšanas procedūru izmaiņu publicēšanu un </w:t>
      </w:r>
      <w:r>
        <w:rPr>
          <w:noProof/>
          <w:lang w:val="fr-BE"/>
        </w:rPr>
        <w:t>to piemērošanu, lai ļautu otrai Pusei iepazīties ar šādām izmaiņām un pielāgoties tām. Katra Puse nepamatoti nepagarina tādu pieprasījumu apstiprināšanas procesu, kas iesniegti pirms izmaiņu publicēšanas.</w:t>
      </w:r>
    </w:p>
    <w:p w:rsidR="003E022D" w:rsidRDefault="007D19D6">
      <w:pPr>
        <w:numPr>
          <w:ilvl w:val="0"/>
          <w:numId w:val="287"/>
        </w:numPr>
        <w:ind w:left="0"/>
        <w:rPr>
          <w:rFonts w:cstheme="minorHAnsi"/>
          <w:noProof/>
          <w:lang w:val="fr-BE"/>
        </w:rPr>
      </w:pPr>
      <w:r>
        <w:rPr>
          <w:noProof/>
          <w:lang w:val="fr-BE"/>
        </w:rPr>
        <w:t>Saistībā ar 3.–8. punktā izklāstītajiem procesiem v</w:t>
      </w:r>
      <w:r>
        <w:rPr>
          <w:noProof/>
          <w:lang w:val="fr-BE"/>
        </w:rPr>
        <w:t xml:space="preserve">eic šādas darbības:  </w:t>
      </w:r>
    </w:p>
    <w:p w:rsidR="003E022D" w:rsidRDefault="007D19D6">
      <w:pPr>
        <w:numPr>
          <w:ilvl w:val="1"/>
          <w:numId w:val="302"/>
        </w:numPr>
        <w:ind w:left="567" w:hanging="567"/>
        <w:rPr>
          <w:rFonts w:cstheme="minorHAnsi"/>
          <w:noProof/>
          <w:lang w:val="fr-BE"/>
        </w:rPr>
      </w:pPr>
      <w:r>
        <w:rPr>
          <w:noProof/>
          <w:lang w:val="fr-BE"/>
        </w:rPr>
        <w:t xml:space="preserve">tiklīdz importētāja Puse ir pozitīvi pabeigusi savu novērtējumu, tā nekavējoties veic visus vajadzīgos likumdošanas un administratīvos pasākumus, lai tirdzniecība varētu notikt bez liekas kavēšanās; </w:t>
      </w:r>
    </w:p>
    <w:p w:rsidR="003E022D" w:rsidRDefault="007D19D6">
      <w:pPr>
        <w:numPr>
          <w:ilvl w:val="1"/>
          <w:numId w:val="302"/>
        </w:numPr>
        <w:ind w:left="567" w:hanging="567"/>
        <w:rPr>
          <w:rFonts w:cstheme="minorHAnsi"/>
          <w:noProof/>
        </w:rPr>
      </w:pPr>
      <w:r>
        <w:rPr>
          <w:noProof/>
        </w:rPr>
        <w:t xml:space="preserve">eksportētāja Puse: </w:t>
      </w:r>
    </w:p>
    <w:p w:rsidR="003E022D" w:rsidRDefault="007D19D6">
      <w:pPr>
        <w:numPr>
          <w:ilvl w:val="2"/>
          <w:numId w:val="299"/>
        </w:numPr>
        <w:ind w:left="1276" w:hanging="567"/>
        <w:rPr>
          <w:noProof/>
          <w:color w:val="000000"/>
          <w:u w:color="000000"/>
          <w:bdr w:val="nil"/>
        </w:rPr>
      </w:pPr>
      <w:r>
        <w:rPr>
          <w:noProof/>
          <w:color w:val="000000"/>
          <w:u w:color="000000"/>
          <w:bdr w:val="nil"/>
        </w:rPr>
        <w:t xml:space="preserve">sniedz visu </w:t>
      </w:r>
      <w:r>
        <w:rPr>
          <w:noProof/>
          <w:color w:val="000000"/>
          <w:u w:color="000000"/>
          <w:bdr w:val="nil"/>
        </w:rPr>
        <w:t>vajadzīgo informāciju, ko pieprasa importētāja Puse, un</w:t>
      </w:r>
    </w:p>
    <w:p w:rsidR="003E022D" w:rsidRDefault="007D19D6">
      <w:pPr>
        <w:numPr>
          <w:ilvl w:val="2"/>
          <w:numId w:val="299"/>
        </w:numPr>
        <w:ind w:left="1276" w:hanging="567"/>
        <w:rPr>
          <w:noProof/>
          <w:color w:val="000000"/>
          <w:u w:color="000000"/>
          <w:bdr w:val="nil"/>
        </w:rPr>
      </w:pPr>
      <w:r>
        <w:rPr>
          <w:noProof/>
          <w:color w:val="000000"/>
          <w:u w:color="000000"/>
          <w:bdr w:val="nil"/>
        </w:rPr>
        <w:t xml:space="preserve">nodrošina samērīgu piekļuvi importētājai Pusei, lai veiktu revīziju un pārējās vajadzīgās procedūras. </w:t>
      </w:r>
    </w:p>
    <w:p w:rsidR="003E022D" w:rsidRDefault="007D19D6">
      <w:pPr>
        <w:numPr>
          <w:ilvl w:val="1"/>
          <w:numId w:val="302"/>
        </w:numPr>
        <w:ind w:left="567" w:hanging="567"/>
        <w:rPr>
          <w:rFonts w:cstheme="minorHAnsi"/>
          <w:noProof/>
        </w:rPr>
      </w:pPr>
      <w:r>
        <w:rPr>
          <w:noProof/>
        </w:rPr>
        <w:t>importētāja Puse izveido reglamentēto kaitīgo organismu sarakstu attiecībā uz ražojumiem vai sais</w:t>
      </w:r>
      <w:r>
        <w:rPr>
          <w:noProof/>
        </w:rPr>
        <w:t xml:space="preserve">tītiem priekšmetiem, kuru gadījumā pastāv fitosanitāra rakstura bažas. Minētais saraksts ietver: </w:t>
      </w:r>
    </w:p>
    <w:p w:rsidR="003E022D" w:rsidRDefault="007D19D6">
      <w:pPr>
        <w:numPr>
          <w:ilvl w:val="0"/>
          <w:numId w:val="303"/>
        </w:numPr>
        <w:tabs>
          <w:tab w:val="left" w:pos="567"/>
        </w:tabs>
        <w:ind w:left="1276" w:hanging="709"/>
        <w:rPr>
          <w:rFonts w:asciiTheme="minorHAnsi" w:hAnsiTheme="minorHAnsi"/>
          <w:noProof/>
          <w:color w:val="000000"/>
          <w:u w:color="000000"/>
          <w:bdr w:val="nil"/>
        </w:rPr>
      </w:pPr>
      <w:r>
        <w:rPr>
          <w:rFonts w:asciiTheme="minorHAnsi" w:hAnsiTheme="minorHAnsi"/>
          <w:noProof/>
          <w:color w:val="000000"/>
          <w:u w:color="000000"/>
          <w:bdr w:val="nil"/>
        </w:rPr>
        <w:t xml:space="preserve">kaitīgos organismus, kuru nevienā tās teritorijas daļā nav; </w:t>
      </w:r>
    </w:p>
    <w:p w:rsidR="003E022D" w:rsidRDefault="007D19D6">
      <w:pPr>
        <w:numPr>
          <w:ilvl w:val="0"/>
          <w:numId w:val="303"/>
        </w:numPr>
        <w:ind w:left="1276" w:hanging="709"/>
        <w:rPr>
          <w:rFonts w:asciiTheme="minorHAnsi" w:hAnsiTheme="minorHAnsi"/>
          <w:noProof/>
          <w:color w:val="000000"/>
          <w:u w:color="000000"/>
          <w:bdr w:val="nil"/>
        </w:rPr>
      </w:pPr>
      <w:r>
        <w:rPr>
          <w:rFonts w:asciiTheme="minorHAnsi" w:hAnsiTheme="minorHAnsi"/>
          <w:noProof/>
          <w:color w:val="000000"/>
          <w:u w:color="000000"/>
          <w:bdr w:val="nil"/>
        </w:rPr>
        <w:t xml:space="preserve">kaitīgos organismus, kuri ir kādā tās teritorijas daļā un kuri tiek oficiāli kontrolēti; </w:t>
      </w:r>
    </w:p>
    <w:p w:rsidR="003E022D" w:rsidRDefault="007D19D6">
      <w:pPr>
        <w:numPr>
          <w:ilvl w:val="0"/>
          <w:numId w:val="303"/>
        </w:numPr>
        <w:ind w:left="1276" w:hanging="709"/>
        <w:rPr>
          <w:rFonts w:asciiTheme="minorHAnsi" w:hAnsiTheme="minorHAnsi"/>
          <w:noProof/>
          <w:color w:val="000000"/>
          <w:u w:color="000000"/>
          <w:bdr w:val="nil"/>
        </w:rPr>
      </w:pPr>
      <w:r>
        <w:rPr>
          <w:rFonts w:asciiTheme="minorHAnsi" w:hAnsiTheme="minorHAnsi"/>
          <w:noProof/>
          <w:color w:val="000000"/>
          <w:u w:color="000000"/>
          <w:bdr w:val="nil"/>
        </w:rPr>
        <w:t>kaitīgo</w:t>
      </w:r>
      <w:r>
        <w:rPr>
          <w:rFonts w:asciiTheme="minorHAnsi" w:hAnsiTheme="minorHAnsi"/>
          <w:noProof/>
          <w:color w:val="000000"/>
          <w:u w:color="000000"/>
          <w:bdr w:val="nil"/>
        </w:rPr>
        <w:t xml:space="preserve">s organismus, kuri ir tās teritorijas daļās un attiecībā uz kuriem ir izveidotas no kaitīgajiem organismiem brīvas teritorijas vai aizsargājamās zonas, un </w:t>
      </w:r>
    </w:p>
    <w:p w:rsidR="003E022D" w:rsidRDefault="007D19D6">
      <w:pPr>
        <w:numPr>
          <w:ilvl w:val="0"/>
          <w:numId w:val="303"/>
        </w:numPr>
        <w:ind w:left="1276" w:hanging="709"/>
        <w:rPr>
          <w:noProof/>
          <w:color w:val="000000"/>
          <w:u w:color="000000"/>
          <w:bdr w:val="nil"/>
        </w:rPr>
      </w:pPr>
      <w:r>
        <w:rPr>
          <w:noProof/>
          <w:color w:val="000000"/>
          <w:u w:color="000000"/>
          <w:bdr w:val="nil"/>
        </w:rPr>
        <w:t>nekarantīnas organismus, kuri ir tās teritorijā un kuri tiek oficiāli kontrolēti attiecībā uz konkrē</w:t>
      </w:r>
      <w:r>
        <w:rPr>
          <w:noProof/>
          <w:color w:val="000000"/>
          <w:u w:color="000000"/>
          <w:bdr w:val="nil"/>
        </w:rPr>
        <w:t xml:space="preserve">tu stādāmo materiālu. </w:t>
      </w:r>
    </w:p>
    <w:p w:rsidR="003E022D" w:rsidRDefault="007D19D6">
      <w:pPr>
        <w:numPr>
          <w:ilvl w:val="0"/>
          <w:numId w:val="287"/>
        </w:numPr>
        <w:ind w:left="0"/>
        <w:rPr>
          <w:rFonts w:cstheme="minorHAnsi"/>
          <w:noProof/>
        </w:rPr>
      </w:pPr>
      <w:r>
        <w:rPr>
          <w:noProof/>
        </w:rPr>
        <w:t>Importētāja Puse pieņem sūtījumus, nenosakot prasību, ka importētājai Pusei jāpārbauda šo sūtījumu atbilstība pirms to izvešanas no eksportētājas Puses teritorijas.</w:t>
      </w:r>
    </w:p>
    <w:p w:rsidR="003E022D" w:rsidRDefault="007D19D6">
      <w:pPr>
        <w:numPr>
          <w:ilvl w:val="0"/>
          <w:numId w:val="287"/>
        </w:numPr>
        <w:ind w:left="0"/>
        <w:rPr>
          <w:rFonts w:cstheme="minorHAnsi"/>
          <w:noProof/>
        </w:rPr>
      </w:pPr>
      <w:r>
        <w:rPr>
          <w:noProof/>
        </w:rPr>
        <w:t>Puse var iekasēt maksu par izmaksām, kas rodas saistībā ar īpašu SFS</w:t>
      </w:r>
      <w:r>
        <w:rPr>
          <w:noProof/>
        </w:rPr>
        <w:t xml:space="preserve"> robežkontroļu veikšanu, un tai nevajadzētu pārsniegt izmaksu atgūšanu.</w:t>
      </w:r>
    </w:p>
    <w:p w:rsidR="003E022D" w:rsidRDefault="007D19D6">
      <w:pPr>
        <w:numPr>
          <w:ilvl w:val="0"/>
          <w:numId w:val="287"/>
        </w:numPr>
        <w:ind w:left="0"/>
        <w:rPr>
          <w:rFonts w:cstheme="minorHAnsi"/>
          <w:noProof/>
        </w:rPr>
      </w:pPr>
      <w:bookmarkStart w:id="97" w:name="_Hlk54266622"/>
      <w:r>
        <w:rPr>
          <w:noProof/>
        </w:rPr>
        <w:t>Importētājai Pusei ir tiesības veikt importa pārbaudes ražojumiem, kas importēti no eksportētājas Puses, lai nodrošinātu atbilstību tās SFS importa prasībām.</w:t>
      </w:r>
      <w:bookmarkEnd w:id="97"/>
    </w:p>
    <w:p w:rsidR="003E022D" w:rsidRDefault="007D19D6">
      <w:pPr>
        <w:numPr>
          <w:ilvl w:val="0"/>
          <w:numId w:val="287"/>
        </w:numPr>
        <w:ind w:left="0"/>
        <w:rPr>
          <w:rFonts w:cstheme="minorHAnsi"/>
          <w:noProof/>
        </w:rPr>
      </w:pPr>
      <w:r>
        <w:rPr>
          <w:noProof/>
        </w:rPr>
        <w:t>Importa pārbaudes, ko veic</w:t>
      </w:r>
      <w:r>
        <w:rPr>
          <w:noProof/>
        </w:rPr>
        <w:t xml:space="preserve"> no eksportētājas Puses importētiem ražojumiem, pamatojas uz SFS risku, kurš saistīts ar šādu importu. Importa pārbaudes veic tikai tiktāl, ciktāl tas nepieciešams cilvēku, dzīvnieku vai augu dzīvības un veselības aizsardzībai, bez liekas kavēšanās un ar m</w:t>
      </w:r>
      <w:r>
        <w:rPr>
          <w:noProof/>
        </w:rPr>
        <w:t>inimālu ietekmi uz tirdzniecību starp Pusēm.</w:t>
      </w:r>
    </w:p>
    <w:p w:rsidR="003E022D" w:rsidRDefault="007D19D6">
      <w:pPr>
        <w:numPr>
          <w:ilvl w:val="0"/>
          <w:numId w:val="287"/>
        </w:numPr>
        <w:ind w:left="0"/>
        <w:rPr>
          <w:rFonts w:cstheme="minorHAnsi"/>
          <w:noProof/>
        </w:rPr>
      </w:pPr>
      <w:r>
        <w:rPr>
          <w:noProof/>
        </w:rPr>
        <w:t>Importētāja Puse pēc eksportētājas Puses pieprasījuma dara pieejamu informāciju par to, kāda proporcija eksportētājas Puses ražojumu tiek pārbaudīta, to importējot.</w:t>
      </w:r>
    </w:p>
    <w:p w:rsidR="003E022D" w:rsidRDefault="007D19D6">
      <w:pPr>
        <w:numPr>
          <w:ilvl w:val="0"/>
          <w:numId w:val="287"/>
        </w:numPr>
        <w:ind w:left="0"/>
        <w:rPr>
          <w:rFonts w:cstheme="minorHAnsi"/>
          <w:noProof/>
        </w:rPr>
      </w:pPr>
      <w:r>
        <w:rPr>
          <w:noProof/>
        </w:rPr>
        <w:t>Ja importa pārbaudes atklāj neatbilstību attie</w:t>
      </w:r>
      <w:r>
        <w:rPr>
          <w:noProof/>
        </w:rPr>
        <w:t>cīgajiem importa nosacījumiem, importētājas Puses veiktā darbība jāpamato ar saistītā riska novērtējumu un tā nevar ierobežot tirdzniecību vairāk nekā vajadzīgs, lai sasniegtu Puses atbilstošo SFS aizsardzības līmeni.</w:t>
      </w:r>
    </w:p>
    <w:p w:rsidR="003E022D" w:rsidRDefault="007D19D6">
      <w:pPr>
        <w:pStyle w:val="Article"/>
        <w:rPr>
          <w:noProof/>
        </w:rPr>
      </w:pPr>
      <w:bookmarkStart w:id="98" w:name="_Toc58163439"/>
      <w:r>
        <w:rPr>
          <w:noProof/>
        </w:rPr>
        <w:t>SPS.8. pants. Apstiprinātu uzņēmumu sa</w:t>
      </w:r>
      <w:r>
        <w:rPr>
          <w:noProof/>
        </w:rPr>
        <w:t>raksti</w:t>
      </w:r>
      <w:bookmarkEnd w:id="98"/>
      <w:r>
        <w:rPr>
          <w:noProof/>
          <w:color w:val="B5072D"/>
        </w:rPr>
        <w:t xml:space="preserve"> </w:t>
      </w:r>
      <w:r>
        <w:rPr>
          <w:noProof/>
        </w:rPr>
        <w:t xml:space="preserve"> </w:t>
      </w:r>
    </w:p>
    <w:p w:rsidR="003E022D" w:rsidRDefault="007D19D6">
      <w:pPr>
        <w:numPr>
          <w:ilvl w:val="0"/>
          <w:numId w:val="288"/>
        </w:numPr>
        <w:ind w:left="0"/>
        <w:rPr>
          <w:rFonts w:cstheme="minorHAnsi"/>
          <w:noProof/>
        </w:rPr>
      </w:pPr>
      <w:r>
        <w:rPr>
          <w:noProof/>
        </w:rPr>
        <w:t xml:space="preserve">Pamatotos gadījumos importētāja Puse var uzturēt sarakstu ar apstiprinātiem uzņēmumiem, kuri atbilst tās importa prasībām, tādējādi atļaujot dzīvnieku izcelsmes produktu importu no šiem uzņēmumiem. </w:t>
      </w:r>
    </w:p>
    <w:p w:rsidR="003E022D" w:rsidRDefault="007D19D6">
      <w:pPr>
        <w:numPr>
          <w:ilvl w:val="0"/>
          <w:numId w:val="288"/>
        </w:numPr>
        <w:ind w:left="0"/>
        <w:rPr>
          <w:rFonts w:cstheme="minorHAnsi"/>
          <w:noProof/>
        </w:rPr>
      </w:pPr>
      <w:r>
        <w:rPr>
          <w:noProof/>
        </w:rPr>
        <w:t>Izņemot gadījumus, kad tas ir pamatoti, lai mazi</w:t>
      </w:r>
      <w:r>
        <w:rPr>
          <w:noProof/>
        </w:rPr>
        <w:t xml:space="preserve">nātu būtisku risku cilvēku vai dzīvnieku veselībai, apstiprinātu uzņēmumu saraksti ir nepieciešami tikai tiem ražojumiem, kuriem tie bijuši nepieciešami pārejas perioda beigās. </w:t>
      </w:r>
    </w:p>
    <w:p w:rsidR="003E022D" w:rsidRDefault="007D19D6">
      <w:pPr>
        <w:numPr>
          <w:ilvl w:val="0"/>
          <w:numId w:val="288"/>
        </w:numPr>
        <w:ind w:left="0"/>
        <w:rPr>
          <w:rFonts w:cstheme="minorHAnsi"/>
          <w:noProof/>
        </w:rPr>
      </w:pPr>
      <w:r>
        <w:rPr>
          <w:noProof/>
        </w:rPr>
        <w:t>Eksportētāja Puse informē importētāju Pusi par to savu uzņēmumu sarakstu, kuri</w:t>
      </w:r>
      <w:r>
        <w:rPr>
          <w:noProof/>
        </w:rPr>
        <w:t xml:space="preserve"> atbilst importētājas Puses nosacījumiem, kam pamatā ir eksportētājas Puses sniegtās garantijas. </w:t>
      </w:r>
    </w:p>
    <w:p w:rsidR="003E022D" w:rsidRDefault="007D19D6">
      <w:pPr>
        <w:numPr>
          <w:ilvl w:val="0"/>
          <w:numId w:val="288"/>
        </w:numPr>
        <w:ind w:left="0"/>
        <w:rPr>
          <w:rFonts w:cstheme="minorHAnsi"/>
          <w:noProof/>
        </w:rPr>
      </w:pPr>
      <w:r>
        <w:rPr>
          <w:noProof/>
        </w:rPr>
        <w:t>Pēc eksportētājas Puses pieprasījuma importētāja Puse apstiprina uzņēmumus, kas atrodas eksportētājas Puses teritorijā, pamatojoties uz eksportētājas Puses sn</w:t>
      </w:r>
      <w:r>
        <w:rPr>
          <w:noProof/>
        </w:rPr>
        <w:t xml:space="preserve">iegtajām garantijām, bez atsevišķu uzņēmumu iepriekšējas pārbaudes. </w:t>
      </w:r>
    </w:p>
    <w:p w:rsidR="003E022D" w:rsidRDefault="007D19D6">
      <w:pPr>
        <w:numPr>
          <w:ilvl w:val="0"/>
          <w:numId w:val="288"/>
        </w:numPr>
        <w:ind w:left="0"/>
        <w:rPr>
          <w:rFonts w:cstheme="minorHAnsi"/>
          <w:noProof/>
        </w:rPr>
      </w:pPr>
      <w:r>
        <w:rPr>
          <w:noProof/>
        </w:rPr>
        <w:t>Ja vien importētāja Puse nepieprasa papildu informāciju un ja eksportētāja Puse sniedz garantijas, importētāja Puse veic vajadzīgos likumdošanas vai administratīvos pasākumus saskaņā ar t</w:t>
      </w:r>
      <w:r>
        <w:rPr>
          <w:noProof/>
        </w:rPr>
        <w:t xml:space="preserve">ās piemērojamajām juridiskajām procedūrām, lai atļautu importu no šiem uzņēmumiem bez liekas kavēšanās. </w:t>
      </w:r>
    </w:p>
    <w:p w:rsidR="003E022D" w:rsidRDefault="007D19D6">
      <w:pPr>
        <w:numPr>
          <w:ilvl w:val="0"/>
          <w:numId w:val="288"/>
        </w:numPr>
        <w:ind w:left="0"/>
        <w:rPr>
          <w:rFonts w:cstheme="minorHAnsi"/>
          <w:noProof/>
        </w:rPr>
      </w:pPr>
      <w:r>
        <w:rPr>
          <w:noProof/>
        </w:rPr>
        <w:t xml:space="preserve">Apstiprināto uzņēmumu sarakstu importētāja Puse dara publiski pieejamu. </w:t>
      </w:r>
    </w:p>
    <w:p w:rsidR="003E022D" w:rsidRDefault="007D19D6">
      <w:pPr>
        <w:numPr>
          <w:ilvl w:val="0"/>
          <w:numId w:val="288"/>
        </w:numPr>
        <w:ind w:left="0"/>
        <w:rPr>
          <w:rFonts w:cstheme="minorHAnsi"/>
          <w:noProof/>
        </w:rPr>
      </w:pPr>
      <w:r>
        <w:rPr>
          <w:noProof/>
        </w:rPr>
        <w:t xml:space="preserve">Ja importētāja Puse nolemj noraidīt eksportētājas Puses pieprasījumu piekrist </w:t>
      </w:r>
      <w:r>
        <w:rPr>
          <w:noProof/>
        </w:rPr>
        <w:t xml:space="preserve">kāda uzņēmuma iekļaušanai apstiprināto uzņēmumu sarakstā, tā nekavējoties informē eksportētāju Pusi un sniedz atbildi, tostarp informāciju par neatbilstībām, kuru dēļ uzņēmuma apstiprināšana tiek noraidīta. </w:t>
      </w:r>
    </w:p>
    <w:p w:rsidR="003E022D" w:rsidRDefault="007D19D6">
      <w:pPr>
        <w:pStyle w:val="Article"/>
        <w:rPr>
          <w:rFonts w:cstheme="minorHAnsi"/>
          <w:noProof/>
          <w:lang w:val="fr-BE"/>
        </w:rPr>
      </w:pPr>
      <w:bookmarkStart w:id="99" w:name="_Toc58163440"/>
      <w:r>
        <w:rPr>
          <w:noProof/>
          <w:lang w:val="fr-BE"/>
        </w:rPr>
        <w:t>SPS.9. pants. Pārredzamība un informācijas apmai</w:t>
      </w:r>
      <w:r>
        <w:rPr>
          <w:noProof/>
          <w:lang w:val="fr-BE"/>
        </w:rPr>
        <w:t>ņa</w:t>
      </w:r>
      <w:bookmarkEnd w:id="99"/>
      <w:r>
        <w:rPr>
          <w:noProof/>
          <w:lang w:val="fr-BE"/>
        </w:rPr>
        <w:t xml:space="preserve"> </w:t>
      </w:r>
    </w:p>
    <w:p w:rsidR="003E022D" w:rsidRDefault="007D19D6">
      <w:pPr>
        <w:numPr>
          <w:ilvl w:val="0"/>
          <w:numId w:val="289"/>
        </w:numPr>
        <w:ind w:left="0"/>
        <w:rPr>
          <w:rFonts w:cstheme="minorHAnsi"/>
          <w:noProof/>
          <w:lang w:val="fr-BE"/>
        </w:rPr>
      </w:pPr>
      <w:r>
        <w:rPr>
          <w:noProof/>
          <w:lang w:val="fr-BE"/>
        </w:rPr>
        <w:t xml:space="preserve">Katra Puse cenšas nodrošināt pārredzamību attiecībā uz SFS pasākumiem, kas piemērojami tirdzniecībai, un šajā nolūkā veic šādas darbības: </w:t>
      </w:r>
    </w:p>
    <w:p w:rsidR="003E022D" w:rsidRDefault="007D19D6">
      <w:pPr>
        <w:ind w:left="567" w:hanging="567"/>
        <w:rPr>
          <w:rFonts w:cstheme="minorHAnsi"/>
          <w:noProof/>
          <w:lang w:val="fr-BE"/>
        </w:rPr>
      </w:pPr>
      <w:r>
        <w:rPr>
          <w:noProof/>
          <w:lang w:val="fr-BE"/>
        </w:rPr>
        <w:t xml:space="preserve">a) nekavējoties paziņo otrai Pusei par visām izmaiņām tās SFS pasākumos un apstiprināšanas procedūrās, tostarp izmaiņām, kas var ietekmēt tās spēju izpildīt otras Puses SFS importa prasības attiecībā uz konkrētiem ražojumiem; </w:t>
      </w:r>
    </w:p>
    <w:p w:rsidR="003E022D" w:rsidRDefault="007D19D6">
      <w:pPr>
        <w:ind w:left="567" w:hanging="567"/>
        <w:rPr>
          <w:rFonts w:cstheme="minorHAnsi"/>
          <w:noProof/>
          <w:lang w:val="fr-BE"/>
        </w:rPr>
      </w:pPr>
      <w:r>
        <w:rPr>
          <w:noProof/>
          <w:lang w:val="fr-BE"/>
        </w:rPr>
        <w:t>b) uzlabo savstarpējo izpratn</w:t>
      </w:r>
      <w:r>
        <w:rPr>
          <w:noProof/>
          <w:lang w:val="fr-BE"/>
        </w:rPr>
        <w:t xml:space="preserve">i par saviem SFS pasākumiem un to piemērošanu; </w:t>
      </w:r>
    </w:p>
    <w:p w:rsidR="003E022D" w:rsidRDefault="007D19D6">
      <w:pPr>
        <w:ind w:left="567" w:hanging="567"/>
        <w:rPr>
          <w:rFonts w:cstheme="minorHAnsi"/>
          <w:noProof/>
          <w:lang w:val="fr-BE"/>
        </w:rPr>
      </w:pPr>
      <w:r>
        <w:rPr>
          <w:noProof/>
          <w:lang w:val="fr-BE"/>
        </w:rPr>
        <w:t>c) apmainās ar informāciju ar otru Pusi par jautājumiem, kas saistīti ar SFS pasākumu izstrādi un piemērošanu, tostarp iegūtajiem jaunajiem zinātniskajiem pierādījumiem, kuri ietekmē vai var ietekmēt Pušu sav</w:t>
      </w:r>
      <w:r>
        <w:rPr>
          <w:noProof/>
          <w:lang w:val="fr-BE"/>
        </w:rPr>
        <w:t xml:space="preserve">starpējo tirdzniecību, lai mazinātu negatīvu ietekmi uz tirdzniecību; </w:t>
      </w:r>
    </w:p>
    <w:p w:rsidR="003E022D" w:rsidRDefault="007D19D6">
      <w:pPr>
        <w:ind w:left="567" w:hanging="567"/>
        <w:rPr>
          <w:rFonts w:cstheme="minorHAnsi"/>
          <w:noProof/>
          <w:lang w:val="fr-BE"/>
        </w:rPr>
      </w:pPr>
      <w:r>
        <w:rPr>
          <w:noProof/>
          <w:lang w:val="fr-BE"/>
        </w:rPr>
        <w:t xml:space="preserve">d) pēc otras Puses pieprasījuma 20 darba dienu laikā dara zināmus nosacījumus, kas attiecas uz konkrētu ražojumu importu; </w:t>
      </w:r>
    </w:p>
    <w:p w:rsidR="003E022D" w:rsidRDefault="007D19D6">
      <w:pPr>
        <w:ind w:left="567" w:hanging="567"/>
        <w:rPr>
          <w:rFonts w:cstheme="minorHAnsi"/>
          <w:noProof/>
          <w:lang w:val="fr-BE"/>
        </w:rPr>
      </w:pPr>
      <w:r>
        <w:rPr>
          <w:noProof/>
          <w:lang w:val="fr-BE"/>
        </w:rPr>
        <w:t>e) pēc otras Puses pieprasījuma 20 darba dienu laikā paziņo ko</w:t>
      </w:r>
      <w:r>
        <w:rPr>
          <w:noProof/>
          <w:lang w:val="fr-BE"/>
        </w:rPr>
        <w:t xml:space="preserve">nkrētu ražojumu atļaujas piešķiršanas procedūras pašreizējo stāvokli; </w:t>
      </w:r>
    </w:p>
    <w:p w:rsidR="003E022D" w:rsidRDefault="007D19D6">
      <w:pPr>
        <w:ind w:left="567" w:hanging="567"/>
        <w:rPr>
          <w:rFonts w:cstheme="minorHAnsi"/>
          <w:noProof/>
          <w:lang w:val="fr-BE"/>
        </w:rPr>
      </w:pPr>
      <w:r>
        <w:rPr>
          <w:noProof/>
          <w:lang w:val="fr-BE"/>
        </w:rPr>
        <w:t>f) paziņo otrai Pusei par jebkurām būtiskām izmaiņām Puses kompetentās iestādes struktūrā vai organizācijā;</w:t>
      </w:r>
    </w:p>
    <w:p w:rsidR="003E022D" w:rsidRDefault="007D19D6">
      <w:pPr>
        <w:ind w:left="567" w:hanging="567"/>
        <w:rPr>
          <w:rFonts w:cstheme="minorHAnsi"/>
          <w:noProof/>
          <w:lang w:val="fr-BE"/>
        </w:rPr>
      </w:pPr>
      <w:r>
        <w:rPr>
          <w:noProof/>
          <w:lang w:val="fr-BE"/>
        </w:rPr>
        <w:t>g) pēc pieprasījuma paziņo Puses oficiālās kontroles rezultātus un sniedz ziņ</w:t>
      </w:r>
      <w:r>
        <w:rPr>
          <w:noProof/>
          <w:lang w:val="fr-BE"/>
        </w:rPr>
        <w:t>ojumu, kas attiecas uz veiktās kontroles rezultātiem;</w:t>
      </w:r>
    </w:p>
    <w:p w:rsidR="003E022D" w:rsidRDefault="007D19D6">
      <w:pPr>
        <w:ind w:left="567" w:hanging="567"/>
        <w:rPr>
          <w:rFonts w:cstheme="minorHAnsi"/>
          <w:noProof/>
          <w:lang w:val="fr-BE"/>
        </w:rPr>
      </w:pPr>
      <w:r>
        <w:rPr>
          <w:noProof/>
          <w:lang w:val="fr-BE"/>
        </w:rPr>
        <w:t>h) pēc pieprasījuma paziņo tādas importa pārbaudes rezultātus, kas paredzēta noraidīta vai neatbilstoša sūtījuma gadījumā, un</w:t>
      </w:r>
    </w:p>
    <w:p w:rsidR="003E022D" w:rsidRDefault="007D19D6">
      <w:pPr>
        <w:ind w:left="567" w:hanging="567"/>
        <w:rPr>
          <w:rFonts w:cstheme="minorHAnsi"/>
          <w:noProof/>
          <w:lang w:val="fr-BE"/>
        </w:rPr>
      </w:pPr>
      <w:r>
        <w:rPr>
          <w:noProof/>
          <w:lang w:val="fr-BE"/>
        </w:rPr>
        <w:t>i) pēc pieprasījuma un bez liekas kavēšanās paziņo Puses sagatavoto riska no</w:t>
      </w:r>
      <w:r>
        <w:rPr>
          <w:noProof/>
          <w:lang w:val="fr-BE"/>
        </w:rPr>
        <w:t>vērtējumu vai zinātnisko atzinumu, kas attiecas uz šo nodaļu.</w:t>
      </w:r>
    </w:p>
    <w:p w:rsidR="003E022D" w:rsidRDefault="007D19D6">
      <w:pPr>
        <w:numPr>
          <w:ilvl w:val="0"/>
          <w:numId w:val="289"/>
        </w:numPr>
        <w:ind w:left="0"/>
        <w:rPr>
          <w:rFonts w:cstheme="minorHAnsi"/>
          <w:noProof/>
          <w:lang w:val="fr-BE"/>
        </w:rPr>
      </w:pPr>
      <w:r>
        <w:rPr>
          <w:noProof/>
          <w:lang w:val="fr-BE"/>
        </w:rPr>
        <w:t>Ja kāda Puse ir darījusi pieejamu 1. punktā minēto informāciju, paziņojot to PTO centrālajam paziņojumu reģistram vai attiecīgajai starptautiskajai standartizācijas struktūrai saskaņā ar tās att</w:t>
      </w:r>
      <w:r>
        <w:rPr>
          <w:noProof/>
          <w:lang w:val="fr-BE"/>
        </w:rPr>
        <w:t xml:space="preserve">iecīgajiem noteikumiem, ir izpildītas 1. punkta prasības, ciktāl tās attiecas uz minēto informāciju. </w:t>
      </w:r>
    </w:p>
    <w:p w:rsidR="003E022D" w:rsidRDefault="007D19D6">
      <w:pPr>
        <w:pStyle w:val="Article"/>
        <w:rPr>
          <w:noProof/>
        </w:rPr>
      </w:pPr>
      <w:bookmarkStart w:id="100" w:name="_Toc58163441"/>
      <w:r>
        <w:rPr>
          <w:noProof/>
        </w:rPr>
        <w:t>SPS.10. pants. Pielāgojumi reģionāliem nosacījumiem</w:t>
      </w:r>
      <w:bookmarkEnd w:id="100"/>
      <w:r>
        <w:rPr>
          <w:noProof/>
          <w:color w:val="B5072D"/>
        </w:rPr>
        <w:t xml:space="preserve"> </w:t>
      </w:r>
      <w:r>
        <w:rPr>
          <w:noProof/>
        </w:rPr>
        <w:t xml:space="preserve"> </w:t>
      </w:r>
    </w:p>
    <w:p w:rsidR="003E022D" w:rsidRDefault="007D19D6">
      <w:pPr>
        <w:numPr>
          <w:ilvl w:val="0"/>
          <w:numId w:val="290"/>
        </w:numPr>
        <w:ind w:left="0"/>
        <w:rPr>
          <w:rFonts w:eastAsia="Calibri" w:cs="Calibri"/>
          <w:noProof/>
        </w:rPr>
      </w:pPr>
      <w:r>
        <w:rPr>
          <w:noProof/>
        </w:rPr>
        <w:t>Puses atzīst zonējuma koncepciju, tostarp no slimībām vai kaitīgajiem organismiem brīvu teritoriju, aizsargājamo zonu un zonu ar zemu slimības vai kaitīgo organismu izplatību jēdzienu, un piemēro to tirdzniecībā starp Pusēm saskaņā ar SFS līgumu, tostarp p</w:t>
      </w:r>
      <w:r>
        <w:rPr>
          <w:noProof/>
        </w:rPr>
        <w:t xml:space="preserve">amatnostādnēm, lai veicinātu SFS līguma 6. panta praktisko īstenošanu (PTO/SFS komitejas lēmums G/SPS/48), un attiecīgajiem </w:t>
      </w:r>
      <w:r>
        <w:rPr>
          <w:i/>
          <w:noProof/>
        </w:rPr>
        <w:t>OIE</w:t>
      </w:r>
      <w:r>
        <w:rPr>
          <w:noProof/>
        </w:rPr>
        <w:t xml:space="preserve"> un </w:t>
      </w:r>
      <w:r>
        <w:rPr>
          <w:i/>
          <w:noProof/>
        </w:rPr>
        <w:t>IPPC</w:t>
      </w:r>
      <w:r>
        <w:rPr>
          <w:noProof/>
        </w:rPr>
        <w:t xml:space="preserve"> ieteikumiem, standartiem un pamatnostādnēm. Tirdzniecības specializētā komiteja sanitāro un fitosanitāro pasākumu jomā v</w:t>
      </w:r>
      <w:r>
        <w:rPr>
          <w:noProof/>
        </w:rPr>
        <w:t xml:space="preserve">ar detalizēt šīs procedūras, ņemot vērā visus attiecīgos SFS līguma, </w:t>
      </w:r>
      <w:r>
        <w:rPr>
          <w:i/>
          <w:noProof/>
        </w:rPr>
        <w:t>OIE</w:t>
      </w:r>
      <w:r>
        <w:rPr>
          <w:noProof/>
        </w:rPr>
        <w:t xml:space="preserve"> un </w:t>
      </w:r>
      <w:r>
        <w:rPr>
          <w:i/>
          <w:noProof/>
        </w:rPr>
        <w:t>IPPC</w:t>
      </w:r>
      <w:r>
        <w:rPr>
          <w:noProof/>
        </w:rPr>
        <w:t xml:space="preserve"> standartus, pamatnostādnes vai ieteikumus.</w:t>
      </w:r>
    </w:p>
    <w:p w:rsidR="003E022D" w:rsidRDefault="007D19D6">
      <w:pPr>
        <w:numPr>
          <w:ilvl w:val="0"/>
          <w:numId w:val="290"/>
        </w:numPr>
        <w:ind w:left="0"/>
        <w:rPr>
          <w:rFonts w:eastAsia="Calibri" w:cs="Calibri"/>
          <w:noProof/>
        </w:rPr>
      </w:pPr>
      <w:bookmarkStart w:id="101" w:name="_Hlk58758407"/>
      <w:r>
        <w:rPr>
          <w:noProof/>
        </w:rPr>
        <w:t xml:space="preserve">Puses var arī vienoties sadarboties jautājumā par nodalīšanas koncepciju, kā minēts </w:t>
      </w:r>
      <w:r>
        <w:rPr>
          <w:i/>
          <w:noProof/>
        </w:rPr>
        <w:t>OIE</w:t>
      </w:r>
      <w:r>
        <w:rPr>
          <w:noProof/>
        </w:rPr>
        <w:t xml:space="preserve"> Sauszemes dzīvnieku veselības kodeksa 4.4. u</w:t>
      </w:r>
      <w:r>
        <w:rPr>
          <w:noProof/>
        </w:rPr>
        <w:t xml:space="preserve">n 4.5. nodaļā un </w:t>
      </w:r>
      <w:r>
        <w:rPr>
          <w:i/>
          <w:noProof/>
        </w:rPr>
        <w:t>OIE</w:t>
      </w:r>
      <w:r>
        <w:rPr>
          <w:noProof/>
        </w:rPr>
        <w:t xml:space="preserve"> Ūdensdzīvnieku veselības kodeksa 4.1. un 4.2. nodaļā.</w:t>
      </w:r>
    </w:p>
    <w:bookmarkEnd w:id="101"/>
    <w:p w:rsidR="003E022D" w:rsidRDefault="007D19D6">
      <w:pPr>
        <w:numPr>
          <w:ilvl w:val="0"/>
          <w:numId w:val="290"/>
        </w:numPr>
        <w:ind w:left="0"/>
        <w:rPr>
          <w:rFonts w:eastAsia="Calibri" w:cs="Calibri"/>
          <w:noProof/>
        </w:rPr>
      </w:pPr>
      <w:r>
        <w:rPr>
          <w:noProof/>
        </w:rPr>
        <w:t>Izveidojot vai uzturot 1. punktā minētās zonas, Puses ņem vērā tādus faktorus kā ģeogrāfiskā atrašanās vieta, ekosistēmas, epidemioloģiskā uzraudzība un SFS kontroles efektivitāte.</w:t>
      </w:r>
    </w:p>
    <w:p w:rsidR="003E022D" w:rsidRDefault="007D19D6">
      <w:pPr>
        <w:numPr>
          <w:ilvl w:val="0"/>
          <w:numId w:val="290"/>
        </w:numPr>
        <w:ind w:left="0"/>
        <w:rPr>
          <w:rFonts w:eastAsia="Calibri" w:cs="Calibri"/>
          <w:noProof/>
        </w:rPr>
      </w:pPr>
      <w:r>
        <w:rPr>
          <w:noProof/>
        </w:rPr>
        <w:t>Attiecībā uz dzīvniekiem un dzīvnieku izcelsmes produktiem, pēc eksportētājas Puses pieprasījuma nosakot vai saglabājot importa nosacījumus, importētāja Puse atzīst eksportētājas Puses noteiktās no slimībām brīvās zonas par pamatu, lai, neskarot 8. un 9. p</w:t>
      </w:r>
      <w:r>
        <w:rPr>
          <w:noProof/>
        </w:rPr>
        <w:t xml:space="preserve">unktu, varētu lemt par importa atļaušanu vai saglabāšanu.  </w:t>
      </w:r>
    </w:p>
    <w:p w:rsidR="003E022D" w:rsidRDefault="007D19D6">
      <w:pPr>
        <w:numPr>
          <w:ilvl w:val="0"/>
          <w:numId w:val="290"/>
        </w:numPr>
        <w:ind w:left="0"/>
        <w:rPr>
          <w:rFonts w:eastAsia="Calibri" w:cs="Calibri"/>
          <w:noProof/>
        </w:rPr>
      </w:pPr>
      <w:r>
        <w:rPr>
          <w:noProof/>
        </w:rPr>
        <w:t xml:space="preserve">Eksportētāja Puse nosaka tās savas teritorijas daļas, kuras minētas 4. punktā, un, ja tas tiek pieprasīts, sniedz pilnīgu paskaidrojumu un apliecinošus datus atbilstīgi </w:t>
      </w:r>
      <w:r>
        <w:rPr>
          <w:i/>
          <w:iCs/>
          <w:noProof/>
        </w:rPr>
        <w:t>OIE</w:t>
      </w:r>
      <w:r>
        <w:rPr>
          <w:noProof/>
        </w:rPr>
        <w:t xml:space="preserve"> standartiem vai citos v</w:t>
      </w:r>
      <w:r>
        <w:rPr>
          <w:noProof/>
        </w:rPr>
        <w:t>eidos, ko noteikusi Tirdzniecības specializētā komiteja sanitāro un fitosanitāro pasākumu jomā, pamatojoties uz zināšanām, kuras gūtas no eksportētājas Puses attiecīgo iestāžu pieredzes.</w:t>
      </w:r>
    </w:p>
    <w:p w:rsidR="003E022D" w:rsidRDefault="007D19D6">
      <w:pPr>
        <w:numPr>
          <w:ilvl w:val="0"/>
          <w:numId w:val="290"/>
        </w:numPr>
        <w:ind w:left="0"/>
        <w:rPr>
          <w:rFonts w:eastAsia="Calibri" w:cs="Calibri"/>
          <w:noProof/>
        </w:rPr>
      </w:pPr>
      <w:r>
        <w:rPr>
          <w:noProof/>
        </w:rPr>
        <w:t xml:space="preserve">Attiecībā uz augiem, augu produktiem citiem saistītiem priekšmetiem, </w:t>
      </w:r>
      <w:r>
        <w:rPr>
          <w:noProof/>
        </w:rPr>
        <w:t>pēc eksportētājas Puses pieprasījuma nosakot vai saglabājot fitosanitāros importa nosacījumus, importētāja Puse atzīst eksportētājas Puses noteiktas no kaitīgajiem organismiem brīvas teritorijas, no kaitīgajiem organismiem brīvas ražošanas vietas, no kaitī</w:t>
      </w:r>
      <w:r>
        <w:rPr>
          <w:noProof/>
        </w:rPr>
        <w:t>gajiem organismiem brīvas ražotnes, kaitīgā organisma zemas izplatības teritorijas un aizsargājamās zonas par pamatu, lai, neskarot 8. un 9. punktu, varētu lemt par importa atļaušanu vai saglabāšanu.</w:t>
      </w:r>
    </w:p>
    <w:p w:rsidR="003E022D" w:rsidRDefault="007D19D6">
      <w:pPr>
        <w:numPr>
          <w:ilvl w:val="0"/>
          <w:numId w:val="290"/>
        </w:numPr>
        <w:ind w:left="0"/>
        <w:rPr>
          <w:rFonts w:eastAsia="Calibri" w:cs="Calibri"/>
          <w:noProof/>
        </w:rPr>
      </w:pPr>
      <w:r>
        <w:rPr>
          <w:noProof/>
        </w:rPr>
        <w:t>Eksportētāja Puse nosaka savas no kaitīgajiem organismie</w:t>
      </w:r>
      <w:r>
        <w:rPr>
          <w:noProof/>
        </w:rPr>
        <w:t xml:space="preserve">m brīvās teritorijas, no kaitīgajiem organismiem brīvās ražošanas vietas, no kaitīgajiem organismiem brīvās ražotnes, kaitīgā organisma zemas izplatības teritorijas vai aizsargājamās zonas. Ja importētāja Puse to pieprasa, eksportētāja Puse sniedz pilnīgu </w:t>
      </w:r>
      <w:r>
        <w:rPr>
          <w:noProof/>
        </w:rPr>
        <w:t>paskaidrojumu un apliecinošus datus, pamatojoties uz IPPC izstrādātajiem Fitosanitāro pasākumu starptautiskajiem standartiem, vai dara to citos veidos, kurus noteikusi Tirdzniecības specializētā komiteja sanitāro un fitosanitāro pasākumu jomā, pamatojoties</w:t>
      </w:r>
      <w:r>
        <w:rPr>
          <w:noProof/>
        </w:rPr>
        <w:t xml:space="preserve"> uz zināšanām, kas gūtas no eksportētājas Puses fitosanitāro iestāžu pieredzes. </w:t>
      </w:r>
    </w:p>
    <w:p w:rsidR="003E022D" w:rsidRDefault="007D19D6">
      <w:pPr>
        <w:numPr>
          <w:ilvl w:val="0"/>
          <w:numId w:val="290"/>
        </w:numPr>
        <w:ind w:left="0"/>
        <w:rPr>
          <w:rFonts w:eastAsia="Calibri" w:cs="Calibri"/>
          <w:noProof/>
        </w:rPr>
      </w:pPr>
      <w:r>
        <w:rPr>
          <w:noProof/>
        </w:rPr>
        <w:t>Puses atzīst no slimībām brīvas teritorijas un aizsargājamās zonas, kas ir spēkā pārejas perioda beigās.</w:t>
      </w:r>
    </w:p>
    <w:p w:rsidR="003E022D" w:rsidRDefault="007D19D6">
      <w:pPr>
        <w:numPr>
          <w:ilvl w:val="0"/>
          <w:numId w:val="290"/>
        </w:numPr>
        <w:ind w:left="0"/>
        <w:rPr>
          <w:rFonts w:eastAsia="Calibri" w:cs="Calibri"/>
          <w:noProof/>
        </w:rPr>
      </w:pPr>
      <w:r>
        <w:rPr>
          <w:noProof/>
        </w:rPr>
        <w:t>Šā panta 8. punktu piemēro arī turpmākiem pielāgojumiem no slimībām br</w:t>
      </w:r>
      <w:r>
        <w:rPr>
          <w:noProof/>
        </w:rPr>
        <w:t xml:space="preserve">īvajām teritorijām un aizsargājamām zonām (Apvienotās Karalistes gadījumā — no kaitīgajiem organismiem brīvajām teritorijām), izņemot gadījumus, kad situācija ar slimībām vai kaitīgajiem organismiem būtiski mainās. </w:t>
      </w:r>
    </w:p>
    <w:p w:rsidR="003E022D" w:rsidRDefault="007D19D6">
      <w:pPr>
        <w:numPr>
          <w:ilvl w:val="0"/>
          <w:numId w:val="290"/>
        </w:numPr>
        <w:ind w:left="0"/>
        <w:rPr>
          <w:rFonts w:eastAsia="Calibri" w:cs="Calibri"/>
          <w:noProof/>
        </w:rPr>
      </w:pPr>
      <w:r>
        <w:rPr>
          <w:noProof/>
        </w:rPr>
        <w:t>Puses var veikt revīzijas un pārbaudes s</w:t>
      </w:r>
      <w:r>
        <w:rPr>
          <w:noProof/>
        </w:rPr>
        <w:t>askaņā ar 11. pantu, lai īstenotu šā panta 4.–9. punktu.</w:t>
      </w:r>
    </w:p>
    <w:p w:rsidR="003E022D" w:rsidRDefault="007D19D6">
      <w:pPr>
        <w:numPr>
          <w:ilvl w:val="0"/>
          <w:numId w:val="290"/>
        </w:numPr>
        <w:ind w:left="0"/>
        <w:rPr>
          <w:rFonts w:eastAsia="Calibri" w:cs="Calibri"/>
          <w:noProof/>
        </w:rPr>
      </w:pPr>
      <w:r>
        <w:rPr>
          <w:noProof/>
        </w:rPr>
        <w:t>Puses izveido ciešu sadarbību ar mērķi saglabāt uzticību procedūrām, kas saistītas ar no slimībām vai kaitīgajiem organismiem brīvu teritoriju, no kaitīgajiem organismiem brīvu ražošanas vietu, no ka</w:t>
      </w:r>
      <w:r>
        <w:rPr>
          <w:noProof/>
        </w:rPr>
        <w:t xml:space="preserve">itīgajiem organismiem brīvu ražotņu un kaitīgā organisma zemas izplatības teritoriju, kā arī aizsargājamo zonu izveidi, lai līdz minimumam samazinātu tirdzniecības traucējumus. </w:t>
      </w:r>
    </w:p>
    <w:p w:rsidR="003E022D" w:rsidRDefault="007D19D6">
      <w:pPr>
        <w:numPr>
          <w:ilvl w:val="0"/>
          <w:numId w:val="290"/>
        </w:numPr>
        <w:ind w:left="0"/>
        <w:rPr>
          <w:rFonts w:eastAsia="Calibri" w:cs="Calibri"/>
          <w:noProof/>
        </w:rPr>
      </w:pPr>
      <w:r>
        <w:rPr>
          <w:noProof/>
        </w:rPr>
        <w:t>Importētāja Puse, konstatējot eksportētājas Puses vai kādas tās daļas izcelsme</w:t>
      </w:r>
      <w:r>
        <w:rPr>
          <w:noProof/>
        </w:rPr>
        <w:t xml:space="preserve">s dzīvnieku vai augu veselības stāvokli, balstās uz eksportētājas Puses sniegto informāciju atbilstīgi SFS līguma, </w:t>
      </w:r>
      <w:r>
        <w:rPr>
          <w:i/>
          <w:noProof/>
        </w:rPr>
        <w:t>OIE</w:t>
      </w:r>
      <w:r>
        <w:rPr>
          <w:noProof/>
        </w:rPr>
        <w:t xml:space="preserve"> un </w:t>
      </w:r>
      <w:r>
        <w:rPr>
          <w:i/>
          <w:noProof/>
        </w:rPr>
        <w:t>IPPC</w:t>
      </w:r>
      <w:r>
        <w:rPr>
          <w:noProof/>
        </w:rPr>
        <w:t xml:space="preserve"> standartiem un ņem vērā eksportētājas Puses konstatējumus. </w:t>
      </w:r>
    </w:p>
    <w:p w:rsidR="003E022D" w:rsidRDefault="007D19D6">
      <w:pPr>
        <w:numPr>
          <w:ilvl w:val="0"/>
          <w:numId w:val="290"/>
        </w:numPr>
        <w:ind w:left="0"/>
        <w:rPr>
          <w:rFonts w:eastAsia="Calibri" w:cs="Calibri"/>
          <w:noProof/>
        </w:rPr>
      </w:pPr>
      <w:bookmarkStart w:id="102" w:name="_Hlk58754033"/>
      <w:r>
        <w:rPr>
          <w:noProof/>
        </w:rPr>
        <w:t>Ja importētāja Puse neatzīst eksportētājas Puses konstatējumu, kā min</w:t>
      </w:r>
      <w:r>
        <w:rPr>
          <w:noProof/>
        </w:rPr>
        <w:t>ēts šā panta 12. punktā, importētāja Puse objektīvi pamato un paskaidro eksportētājai Pusei šāda noraidījuma iemeslus un pēc pieprasījuma rīko apspriešanos saskaņā ar SPS.12. panta 2. punktu.</w:t>
      </w:r>
    </w:p>
    <w:bookmarkEnd w:id="102"/>
    <w:p w:rsidR="003E022D" w:rsidRDefault="007D19D6">
      <w:pPr>
        <w:numPr>
          <w:ilvl w:val="0"/>
          <w:numId w:val="290"/>
        </w:numPr>
        <w:ind w:left="0"/>
        <w:rPr>
          <w:rFonts w:eastAsia="Calibri" w:cs="Calibri"/>
          <w:noProof/>
        </w:rPr>
      </w:pPr>
      <w:r>
        <w:rPr>
          <w:noProof/>
        </w:rPr>
        <w:t>Katra Puse nodrošina, ka 4.–9., 12. un 13. punktā noteiktie pien</w:t>
      </w:r>
      <w:r>
        <w:rPr>
          <w:noProof/>
        </w:rPr>
        <w:t>ākumi tiek izpildīti bez liekas kavēšanās. Importētāja Puse paātrinās slimības vai kaitīgo organismu statusa atzīšanu gadījumos, kad pēc uzliesmojuma statuss ir atgūts.</w:t>
      </w:r>
    </w:p>
    <w:p w:rsidR="003E022D" w:rsidRDefault="007D19D6">
      <w:pPr>
        <w:numPr>
          <w:ilvl w:val="0"/>
          <w:numId w:val="290"/>
        </w:numPr>
        <w:ind w:left="0"/>
        <w:rPr>
          <w:rFonts w:cstheme="minorHAnsi"/>
          <w:noProof/>
        </w:rPr>
      </w:pPr>
      <w:r>
        <w:rPr>
          <w:noProof/>
        </w:rPr>
        <w:t>Ja Puse uzskata, ka konkrētam reģionam ir īpašs statuss attiecībā uz konkrētu slimību u</w:t>
      </w:r>
      <w:r>
        <w:rPr>
          <w:noProof/>
        </w:rPr>
        <w:t xml:space="preserve">n tas atbilst kritērijiem, kas noteikti </w:t>
      </w:r>
      <w:r>
        <w:rPr>
          <w:i/>
          <w:noProof/>
        </w:rPr>
        <w:t>OIE</w:t>
      </w:r>
      <w:r>
        <w:rPr>
          <w:noProof/>
        </w:rPr>
        <w:t xml:space="preserve"> Sauszemes dzīvnieku veselības kodeksa 1.2. nodaļā vai </w:t>
      </w:r>
      <w:r>
        <w:rPr>
          <w:i/>
          <w:noProof/>
        </w:rPr>
        <w:t>OIE</w:t>
      </w:r>
      <w:r>
        <w:rPr>
          <w:noProof/>
        </w:rPr>
        <w:t xml:space="preserve"> Ūdensdzīvnieku veselības kodeksa 1.2. nodaļā, tā var pieprasīt šā statusa atzīšanu. Importētāja Puse var pieprasīt tādas papildu garantijas dzīvu dzīvnieku un dzīvnieku izcelsmes produktu importam, kuras atbilst saskaņotajam statusam.</w:t>
      </w:r>
    </w:p>
    <w:p w:rsidR="003E022D" w:rsidRDefault="007D19D6">
      <w:pPr>
        <w:pStyle w:val="Article"/>
        <w:rPr>
          <w:noProof/>
          <w:color w:val="000000"/>
        </w:rPr>
      </w:pPr>
      <w:bookmarkStart w:id="103" w:name="_Toc58163442"/>
      <w:r>
        <w:rPr>
          <w:noProof/>
          <w:color w:val="000000"/>
        </w:rPr>
        <w:t xml:space="preserve">SPS.11. pants. </w:t>
      </w:r>
      <w:r>
        <w:rPr>
          <w:noProof/>
        </w:rPr>
        <w:t>Revīz</w:t>
      </w:r>
      <w:r>
        <w:rPr>
          <w:noProof/>
        </w:rPr>
        <w:t>ijas un verifikācijas</w:t>
      </w:r>
      <w:bookmarkEnd w:id="103"/>
      <w:r>
        <w:rPr>
          <w:noProof/>
        </w:rPr>
        <w:t xml:space="preserve"> </w:t>
      </w:r>
    </w:p>
    <w:p w:rsidR="003E022D" w:rsidRDefault="007D19D6">
      <w:pPr>
        <w:numPr>
          <w:ilvl w:val="0"/>
          <w:numId w:val="291"/>
        </w:numPr>
        <w:ind w:left="0"/>
        <w:rPr>
          <w:rFonts w:eastAsia="Calibri" w:cs="Calibri"/>
          <w:noProof/>
          <w:color w:val="000000"/>
        </w:rPr>
      </w:pPr>
      <w:r>
        <w:rPr>
          <w:noProof/>
        </w:rPr>
        <w:t>Importētāja Puse var veikt revīzijas un verifikācijas turpmāk minētajam:</w:t>
      </w:r>
      <w:r>
        <w:rPr>
          <w:noProof/>
          <w:color w:val="000000"/>
        </w:rPr>
        <w:t xml:space="preserve">  </w:t>
      </w:r>
    </w:p>
    <w:p w:rsidR="003E022D" w:rsidRDefault="007D19D6">
      <w:pPr>
        <w:numPr>
          <w:ilvl w:val="1"/>
          <w:numId w:val="291"/>
        </w:numPr>
        <w:ind w:left="567" w:hanging="567"/>
        <w:rPr>
          <w:rFonts w:cstheme="minorHAnsi"/>
          <w:noProof/>
          <w:lang w:val="fr-BE"/>
        </w:rPr>
      </w:pPr>
      <w:r>
        <w:rPr>
          <w:noProof/>
          <w:lang w:val="fr-BE"/>
        </w:rPr>
        <w:t xml:space="preserve">visa otras Puses iestāžu pārbaudes un sertifikācijas sistēma vai kāda tās daļa; </w:t>
      </w:r>
    </w:p>
    <w:p w:rsidR="003E022D" w:rsidRDefault="007D19D6">
      <w:pPr>
        <w:numPr>
          <w:ilvl w:val="1"/>
          <w:numId w:val="291"/>
        </w:numPr>
        <w:ind w:left="567" w:hanging="567"/>
        <w:rPr>
          <w:rFonts w:cstheme="minorHAnsi"/>
          <w:noProof/>
          <w:lang w:val="fr-BE"/>
        </w:rPr>
      </w:pPr>
      <w:r>
        <w:rPr>
          <w:noProof/>
          <w:lang w:val="fr-BE"/>
        </w:rPr>
        <w:t>to pārbaužu rezultāti, kuras veiktas saskaņā ar eksportētājas Puses pārbaudes</w:t>
      </w:r>
      <w:r>
        <w:rPr>
          <w:noProof/>
          <w:lang w:val="fr-BE"/>
        </w:rPr>
        <w:t xml:space="preserve"> un sertifikācijas sistēmu. </w:t>
      </w:r>
    </w:p>
    <w:p w:rsidR="003E022D" w:rsidRDefault="007D19D6">
      <w:pPr>
        <w:numPr>
          <w:ilvl w:val="0"/>
          <w:numId w:val="291"/>
        </w:numPr>
        <w:ind w:left="0"/>
        <w:rPr>
          <w:rFonts w:eastAsia="Calibri" w:cs="Calibri"/>
          <w:noProof/>
          <w:color w:val="000000"/>
          <w:lang w:val="fr-BE"/>
        </w:rPr>
      </w:pPr>
      <w:r>
        <w:rPr>
          <w:noProof/>
          <w:lang w:val="fr-BE"/>
        </w:rPr>
        <w:t xml:space="preserve">Puses veic minētās revīzijas un verifikācijas saskaņā ar SFS līguma noteikumiem, ņemot vērā attiecīgos starptautiskos standartus, pamatnostādnes un Pārtikas kodeksa komisijas, </w:t>
      </w:r>
      <w:r>
        <w:rPr>
          <w:i/>
          <w:noProof/>
          <w:lang w:val="fr-BE"/>
        </w:rPr>
        <w:t>OIE</w:t>
      </w:r>
      <w:r>
        <w:rPr>
          <w:noProof/>
          <w:lang w:val="fr-BE"/>
        </w:rPr>
        <w:t xml:space="preserve"> vai </w:t>
      </w:r>
      <w:r>
        <w:rPr>
          <w:i/>
          <w:noProof/>
          <w:lang w:val="fr-BE"/>
        </w:rPr>
        <w:t>IPPC</w:t>
      </w:r>
      <w:r>
        <w:rPr>
          <w:noProof/>
          <w:lang w:val="fr-BE"/>
        </w:rPr>
        <w:t xml:space="preserve"> ieteikumus.</w:t>
      </w:r>
      <w:r>
        <w:rPr>
          <w:noProof/>
          <w:color w:val="000000"/>
          <w:lang w:val="fr-BE"/>
        </w:rPr>
        <w:t xml:space="preserve"> </w:t>
      </w:r>
    </w:p>
    <w:p w:rsidR="003E022D" w:rsidRDefault="007D19D6">
      <w:pPr>
        <w:numPr>
          <w:ilvl w:val="0"/>
          <w:numId w:val="291"/>
        </w:numPr>
        <w:ind w:left="0"/>
        <w:rPr>
          <w:rFonts w:eastAsia="Calibri" w:cs="Calibri"/>
          <w:noProof/>
          <w:color w:val="000000"/>
          <w:lang w:val="fr-BE"/>
        </w:rPr>
      </w:pPr>
      <w:r>
        <w:rPr>
          <w:noProof/>
          <w:lang w:val="fr-BE"/>
        </w:rPr>
        <w:t>Lai veiktu šādas revīzija</w:t>
      </w:r>
      <w:r>
        <w:rPr>
          <w:noProof/>
          <w:lang w:val="fr-BE"/>
        </w:rPr>
        <w:t>s un verifikācijas, importētāja Puse var veikt revīzijas un verifikācijas, pieprasot informāciju no eksportētājas Puses, vai revīzijas un verifikācijas apmeklējumus eksportētājā Pusē, kas var ietvert:</w:t>
      </w:r>
      <w:r>
        <w:rPr>
          <w:noProof/>
          <w:color w:val="000000"/>
          <w:lang w:val="fr-BE"/>
        </w:rPr>
        <w:t xml:space="preserve"> </w:t>
      </w:r>
    </w:p>
    <w:p w:rsidR="003E022D" w:rsidRDefault="007D19D6">
      <w:pPr>
        <w:numPr>
          <w:ilvl w:val="1"/>
          <w:numId w:val="291"/>
        </w:numPr>
        <w:ind w:left="567" w:hanging="567"/>
        <w:rPr>
          <w:rFonts w:cstheme="minorHAnsi"/>
          <w:noProof/>
          <w:lang w:val="fr-BE"/>
        </w:rPr>
      </w:pPr>
      <w:r>
        <w:rPr>
          <w:noProof/>
          <w:lang w:val="fr-BE"/>
        </w:rPr>
        <w:t xml:space="preserve">visas kompetento iestāžu kopējās kontroles programmas </w:t>
      </w:r>
      <w:r>
        <w:rPr>
          <w:noProof/>
          <w:lang w:val="fr-BE"/>
        </w:rPr>
        <w:t xml:space="preserve">vai tās daļas novērtējumu, tai skaitā attiecīgā gadījumā regulatīvo revīziju un pārbaudes pasākumu pārskatīšanu; </w:t>
      </w:r>
    </w:p>
    <w:p w:rsidR="003E022D" w:rsidRDefault="007D19D6">
      <w:pPr>
        <w:numPr>
          <w:ilvl w:val="1"/>
          <w:numId w:val="291"/>
        </w:numPr>
        <w:ind w:left="567" w:hanging="567"/>
        <w:rPr>
          <w:rFonts w:cstheme="minorHAnsi"/>
          <w:noProof/>
        </w:rPr>
      </w:pPr>
      <w:r>
        <w:rPr>
          <w:noProof/>
        </w:rPr>
        <w:t xml:space="preserve">pārbaudes uz vietas un </w:t>
      </w:r>
    </w:p>
    <w:p w:rsidR="003E022D" w:rsidRDefault="007D19D6">
      <w:pPr>
        <w:numPr>
          <w:ilvl w:val="1"/>
          <w:numId w:val="291"/>
        </w:numPr>
        <w:ind w:left="567" w:hanging="567"/>
        <w:rPr>
          <w:rFonts w:cstheme="minorHAnsi"/>
          <w:noProof/>
        </w:rPr>
      </w:pPr>
      <w:r>
        <w:rPr>
          <w:noProof/>
        </w:rPr>
        <w:t>informācijas un datu vākšanu, lai novērtētu atkārtotu vai jaunu problēmu cēloņus saistībā ar ražojumu eksportu.</w:t>
      </w:r>
    </w:p>
    <w:p w:rsidR="003E022D" w:rsidRDefault="007D19D6">
      <w:pPr>
        <w:numPr>
          <w:ilvl w:val="0"/>
          <w:numId w:val="291"/>
        </w:numPr>
        <w:ind w:left="0"/>
        <w:rPr>
          <w:rFonts w:cstheme="minorHAnsi"/>
          <w:noProof/>
        </w:rPr>
      </w:pPr>
      <w:r>
        <w:rPr>
          <w:noProof/>
        </w:rPr>
        <w:t>Importētāja Puse eksportētājai Pusei dara zināmus saskaņā ar 1. punktu veikto revīziju un verifikāciju rezultātus un secinājumus. Importētāja Puse šos rezultātus dara pieejamus atklātībai.</w:t>
      </w:r>
    </w:p>
    <w:p w:rsidR="003E022D" w:rsidRDefault="007D19D6">
      <w:pPr>
        <w:numPr>
          <w:ilvl w:val="0"/>
          <w:numId w:val="291"/>
        </w:numPr>
        <w:ind w:left="0"/>
        <w:rPr>
          <w:rFonts w:cstheme="minorHAnsi"/>
          <w:noProof/>
        </w:rPr>
      </w:pPr>
      <w:r>
        <w:rPr>
          <w:noProof/>
        </w:rPr>
        <w:t>Pirms revīzijas vai verifikācijas uzsākšanas Puses apspriež revīzij</w:t>
      </w:r>
      <w:r>
        <w:rPr>
          <w:noProof/>
        </w:rPr>
        <w:t>as vai verifikācijas mērķus un darbības jomu, kritērijus vai prasības, pēc kurām tiks novērtēta eksportētāja Puse, un revīzijas vai verifikācijas veikšanas maršrutu un procedūras, ko nosaka revīzijas vai verifikācijas plānā. Ja vien Puses nevienojas citādi</w:t>
      </w:r>
      <w:r>
        <w:rPr>
          <w:noProof/>
        </w:rPr>
        <w:t>, importētāja Puse vismaz 30 dienas pirms revīzijas vai verifikācijas veikšanas iesniedz eksportētājai Pusei revīzijas vai verifikācijas plānu.</w:t>
      </w:r>
    </w:p>
    <w:p w:rsidR="003E022D" w:rsidRDefault="007D19D6">
      <w:pPr>
        <w:numPr>
          <w:ilvl w:val="0"/>
          <w:numId w:val="291"/>
        </w:numPr>
        <w:ind w:left="0"/>
        <w:rPr>
          <w:rFonts w:cstheme="minorHAnsi"/>
          <w:noProof/>
        </w:rPr>
      </w:pPr>
      <w:r>
        <w:rPr>
          <w:noProof/>
        </w:rPr>
        <w:t>Importētāja Puse dod eksportētājai Pusei iespēju izteikt piezīmes par revīzijas vai verifikācijas ziņojuma proje</w:t>
      </w:r>
      <w:r>
        <w:rPr>
          <w:noProof/>
        </w:rPr>
        <w:t>ktu. Importētāja Puse rakstiski iesniedz galīgo ziņojumu eksportētājai Pusei parasti divu mēnešu laikā pēc minēto piezīmju saņemšanas dienas.</w:t>
      </w:r>
    </w:p>
    <w:p w:rsidR="003E022D" w:rsidRDefault="007D19D6">
      <w:pPr>
        <w:numPr>
          <w:ilvl w:val="0"/>
          <w:numId w:val="291"/>
        </w:numPr>
        <w:ind w:left="0"/>
        <w:rPr>
          <w:rFonts w:cstheme="minorHAnsi"/>
          <w:noProof/>
        </w:rPr>
      </w:pPr>
      <w:r>
        <w:rPr>
          <w:noProof/>
        </w:rPr>
        <w:t xml:space="preserve">Katra Puse sedz savas izmaksas, kas saistītas ar šādu revīziju vai verifikāciju.  </w:t>
      </w:r>
    </w:p>
    <w:p w:rsidR="003E022D" w:rsidRDefault="007D19D6">
      <w:pPr>
        <w:pStyle w:val="Article"/>
        <w:rPr>
          <w:noProof/>
        </w:rPr>
      </w:pPr>
      <w:bookmarkStart w:id="104" w:name="_Toc58163443"/>
      <w:r>
        <w:rPr>
          <w:noProof/>
        </w:rPr>
        <w:t>SPS.12. pants. Paziņošana un ko</w:t>
      </w:r>
      <w:r>
        <w:rPr>
          <w:noProof/>
        </w:rPr>
        <w:t>nsultācijas</w:t>
      </w:r>
      <w:bookmarkEnd w:id="104"/>
      <w:r>
        <w:rPr>
          <w:noProof/>
          <w:color w:val="B5072D"/>
        </w:rPr>
        <w:t xml:space="preserve"> </w:t>
      </w:r>
      <w:r>
        <w:rPr>
          <w:noProof/>
        </w:rPr>
        <w:t xml:space="preserve"> </w:t>
      </w:r>
    </w:p>
    <w:p w:rsidR="003E022D" w:rsidRDefault="007D19D6">
      <w:pPr>
        <w:numPr>
          <w:ilvl w:val="0"/>
          <w:numId w:val="296"/>
        </w:numPr>
        <w:ind w:left="0" w:firstLine="0"/>
        <w:rPr>
          <w:rFonts w:cstheme="minorHAnsi"/>
          <w:noProof/>
        </w:rPr>
      </w:pPr>
      <w:r>
        <w:rPr>
          <w:noProof/>
        </w:rPr>
        <w:t xml:space="preserve">Puse bez nepamatotas kavēšanās paziņo otrai Pusei par: </w:t>
      </w:r>
    </w:p>
    <w:p w:rsidR="003E022D" w:rsidRDefault="007D19D6">
      <w:pPr>
        <w:ind w:left="567" w:hanging="567"/>
        <w:rPr>
          <w:rFonts w:cstheme="minorHAnsi"/>
          <w:noProof/>
        </w:rPr>
      </w:pPr>
      <w:r>
        <w:rPr>
          <w:noProof/>
        </w:rPr>
        <w:t xml:space="preserve">a) būtiskām izmaiņām kaitīgo organismu vai slimības izplatības statusā; </w:t>
      </w:r>
    </w:p>
    <w:p w:rsidR="003E022D" w:rsidRDefault="007D19D6">
      <w:pPr>
        <w:ind w:left="567" w:hanging="567"/>
        <w:rPr>
          <w:rFonts w:cstheme="minorHAnsi"/>
          <w:noProof/>
        </w:rPr>
      </w:pPr>
      <w:r>
        <w:rPr>
          <w:noProof/>
        </w:rPr>
        <w:t>b) jaunas dzīvnieku slimības uzliesmojumu;</w:t>
      </w:r>
    </w:p>
    <w:p w:rsidR="003E022D" w:rsidRDefault="007D19D6">
      <w:pPr>
        <w:ind w:left="567" w:hanging="567"/>
        <w:rPr>
          <w:rFonts w:cstheme="minorHAnsi"/>
          <w:noProof/>
        </w:rPr>
      </w:pPr>
      <w:r>
        <w:rPr>
          <w:noProof/>
        </w:rPr>
        <w:t>c) epidemioloģiski nozīmīgiem konstatējumiem attiecībā uz kādu dzīvnie</w:t>
      </w:r>
      <w:r>
        <w:rPr>
          <w:noProof/>
        </w:rPr>
        <w:t>ku slimību;</w:t>
      </w:r>
    </w:p>
    <w:p w:rsidR="003E022D" w:rsidRDefault="007D19D6">
      <w:pPr>
        <w:ind w:left="567" w:hanging="567"/>
        <w:rPr>
          <w:rFonts w:cstheme="minorHAnsi"/>
          <w:noProof/>
        </w:rPr>
      </w:pPr>
      <w:r>
        <w:rPr>
          <w:noProof/>
        </w:rPr>
        <w:t xml:space="preserve">d) Puses identificētu būtisku pārtikas nekaitīguma problēmu; </w:t>
      </w:r>
    </w:p>
    <w:p w:rsidR="003E022D" w:rsidRDefault="007D19D6">
      <w:pPr>
        <w:ind w:left="567" w:hanging="567"/>
        <w:rPr>
          <w:rFonts w:cstheme="minorHAnsi"/>
          <w:noProof/>
        </w:rPr>
      </w:pPr>
      <w:r>
        <w:rPr>
          <w:noProof/>
        </w:rPr>
        <w:t xml:space="preserve">e) visiem papildu pasākumiem pie savu attiecīgo SFS pasākumu pamatprasībām, lai kontrolētu vai izskaustu dzīvnieku slimības vai aizsargātu cilvēku veselību, kā arī par profilakses politikas izmaiņām, ietverot vakcinācijas politiku; </w:t>
      </w:r>
    </w:p>
    <w:p w:rsidR="003E022D" w:rsidRDefault="007D19D6">
      <w:pPr>
        <w:ind w:left="567" w:hanging="567"/>
        <w:rPr>
          <w:rFonts w:cstheme="minorHAnsi"/>
          <w:noProof/>
        </w:rPr>
      </w:pPr>
      <w:r>
        <w:rPr>
          <w:noProof/>
        </w:rPr>
        <w:t>f) pēc pieprasījuma – P</w:t>
      </w:r>
      <w:r>
        <w:rPr>
          <w:noProof/>
        </w:rPr>
        <w:t xml:space="preserve">uses oficiālās kontroles rezultātiem un ziņojumu, kas attiecas uz veiktās kontroles rezultātiem, un </w:t>
      </w:r>
    </w:p>
    <w:p w:rsidR="003E022D" w:rsidRDefault="007D19D6">
      <w:pPr>
        <w:ind w:left="567" w:hanging="567"/>
        <w:rPr>
          <w:rFonts w:cstheme="minorHAnsi"/>
          <w:noProof/>
        </w:rPr>
      </w:pPr>
      <w:r>
        <w:rPr>
          <w:noProof/>
        </w:rPr>
        <w:t xml:space="preserve">g) visām būtiskām izmaiņām kādas sistēmas vai datubāzes funkcijās.  </w:t>
      </w:r>
    </w:p>
    <w:p w:rsidR="003E022D" w:rsidRDefault="007D19D6">
      <w:pPr>
        <w:numPr>
          <w:ilvl w:val="0"/>
          <w:numId w:val="296"/>
        </w:numPr>
        <w:ind w:left="0" w:firstLine="0"/>
        <w:rPr>
          <w:rFonts w:cstheme="minorHAnsi"/>
          <w:noProof/>
        </w:rPr>
      </w:pPr>
      <w:r>
        <w:rPr>
          <w:noProof/>
        </w:rPr>
        <w:t>Ja kādai Pusei ir nopietnas bažas par pārtikas nekaitīgumu, augu vai dzīvnieku veselīb</w:t>
      </w:r>
      <w:r>
        <w:rPr>
          <w:noProof/>
        </w:rPr>
        <w:t>u vai SFS pasākumu, ko ierosinājusi vai īstenojusi otra Puse, šī Puse var lūgt otrai Pusei tehniskās konsultācijas. Pieprasījuma saņēmējai Pusei būtu jāatbild uz pieprasījumu bez liekas kavēšanās. Katra Puse cenšas sniegt vajadzīgo informāciju, lai izvairī</w:t>
      </w:r>
      <w:r>
        <w:rPr>
          <w:noProof/>
        </w:rPr>
        <w:t xml:space="preserve">tos no tirdzniecības traucējumiem un attiecīgā gadījumā panāktu savstarpēji pieņemamu risinājumu. </w:t>
      </w:r>
    </w:p>
    <w:p w:rsidR="003E022D" w:rsidRDefault="007D19D6">
      <w:pPr>
        <w:numPr>
          <w:ilvl w:val="0"/>
          <w:numId w:val="296"/>
        </w:numPr>
        <w:ind w:left="0" w:firstLine="0"/>
        <w:rPr>
          <w:rFonts w:eastAsia="Calibri" w:cs="Calibri"/>
          <w:noProof/>
          <w:color w:val="000000"/>
        </w:rPr>
      </w:pPr>
      <w:r>
        <w:rPr>
          <w:noProof/>
        </w:rPr>
        <w:t>Šā panta 2. punktā minētās konsultācijas var rīkot, izmantojot telefonkonferences, videokonferences vai jebkādus citus saziņas līdzekļus, par kuriem Puses sa</w:t>
      </w:r>
      <w:r>
        <w:rPr>
          <w:noProof/>
        </w:rPr>
        <w:t>vstarpēji vienojušās.</w:t>
      </w:r>
      <w:r>
        <w:rPr>
          <w:noProof/>
          <w:color w:val="000000"/>
        </w:rPr>
        <w:t xml:space="preserve"> </w:t>
      </w:r>
    </w:p>
    <w:p w:rsidR="003E022D" w:rsidRDefault="007D19D6">
      <w:pPr>
        <w:pStyle w:val="Article"/>
        <w:rPr>
          <w:noProof/>
        </w:rPr>
      </w:pPr>
      <w:bookmarkStart w:id="105" w:name="_Toc58163444"/>
      <w:r>
        <w:rPr>
          <w:noProof/>
        </w:rPr>
        <w:t>SPS.13. pants. Ārkārtas pasākumi</w:t>
      </w:r>
      <w:bookmarkEnd w:id="105"/>
      <w:r>
        <w:rPr>
          <w:noProof/>
        </w:rPr>
        <w:t xml:space="preserve"> </w:t>
      </w:r>
    </w:p>
    <w:p w:rsidR="003E022D" w:rsidRDefault="007D19D6">
      <w:pPr>
        <w:numPr>
          <w:ilvl w:val="0"/>
          <w:numId w:val="292"/>
        </w:numPr>
        <w:spacing w:after="229" w:line="248" w:lineRule="auto"/>
        <w:ind w:left="0" w:right="36"/>
        <w:rPr>
          <w:rFonts w:eastAsia="Calibri" w:cs="Calibri"/>
          <w:noProof/>
          <w:color w:val="000000"/>
        </w:rPr>
      </w:pPr>
      <w:r>
        <w:rPr>
          <w:noProof/>
          <w:color w:val="000000"/>
        </w:rPr>
        <w:t>Ja importētāja Puse uzskata, ka pastāv nopietns risks cilvēku, dzīvnieku vai augu dzīvībai un veselībai, tā bez iepriekšēja paziņojuma var veikt vajadzīgos pasākumus cilvēku, dzīvnieku vai augu dzīvī</w:t>
      </w:r>
      <w:r>
        <w:rPr>
          <w:noProof/>
          <w:color w:val="000000"/>
        </w:rPr>
        <w:t xml:space="preserve">bas un veselības aizsardzībai. Attiecībā uz sūtījumiem, kas ir tranzītā starp Pusēm, importētāja Puse apsver vispiemērotāko un samērīgāko risinājumu, lai izvairītos no nevajadzīgiem tirdzniecības traucējumiem. </w:t>
      </w:r>
    </w:p>
    <w:p w:rsidR="003E022D" w:rsidRDefault="007D19D6">
      <w:pPr>
        <w:numPr>
          <w:ilvl w:val="0"/>
          <w:numId w:val="292"/>
        </w:numPr>
        <w:ind w:left="0"/>
        <w:rPr>
          <w:rFonts w:eastAsia="Calibri" w:cs="Calibri"/>
          <w:noProof/>
          <w:color w:val="000000"/>
        </w:rPr>
      </w:pPr>
      <w:r>
        <w:rPr>
          <w:noProof/>
          <w:color w:val="000000"/>
        </w:rPr>
        <w:t xml:space="preserve">Puse, kas veic pasākumus, paziņo otrai Pusei </w:t>
      </w:r>
      <w:r>
        <w:rPr>
          <w:noProof/>
          <w:color w:val="000000"/>
        </w:rPr>
        <w:t>par ārkārtas SFS pasākumu iespējami drīz pēc lēmuma pieņemšanas par pasākuma īstenošanu un ne vēlāk kā 24 stundas pēc šā lēmuma pieņemšanas. Ja kāda Puse lūdz tehniskās konsultācijas, lai pārrunātu ārkārtas SFS pasākumu, tām jānotiek 10 dienu laikā pēc paz</w:t>
      </w:r>
      <w:r>
        <w:rPr>
          <w:noProof/>
          <w:color w:val="000000"/>
        </w:rPr>
        <w:t>iņojuma par ārkārtas SFS pasākumu saņemšanas. Puses izskata jebkādu tehniskajās konsultācijās sniegto informāciju. Šo konsultāciju mērķis ir novērst nevajadzīgus tirdzniecības traucējumus. Puses var apsvērt iespējas, kā atvieglot pasākumu īstenošanu vai ai</w:t>
      </w:r>
      <w:r>
        <w:rPr>
          <w:noProof/>
          <w:color w:val="000000"/>
        </w:rPr>
        <w:t xml:space="preserve">zstāt tos. </w:t>
      </w:r>
    </w:p>
    <w:p w:rsidR="003E022D" w:rsidRDefault="007D19D6">
      <w:pPr>
        <w:numPr>
          <w:ilvl w:val="0"/>
          <w:numId w:val="292"/>
        </w:numPr>
        <w:ind w:left="0"/>
        <w:rPr>
          <w:rFonts w:eastAsia="Calibri" w:cs="Calibri"/>
          <w:noProof/>
          <w:color w:val="000000"/>
        </w:rPr>
      </w:pPr>
      <w:r>
        <w:rPr>
          <w:noProof/>
          <w:color w:val="000000"/>
        </w:rPr>
        <w:t>Lai izvairītos no nevajadzīgiem tirdzniecības traucējumiem, importētāja Puse laicīgi ņem vērā eksportētājas Puses sniegto informāciju, pieņemot lēmumu attiecībā uz sūtījumiem, kuri ārkārtas SFS pasākuma pieņemšanas brīdī tiek transportēti starp</w:t>
      </w:r>
      <w:r>
        <w:rPr>
          <w:noProof/>
          <w:color w:val="000000"/>
        </w:rPr>
        <w:t xml:space="preserve"> Pusēm. </w:t>
      </w:r>
    </w:p>
    <w:p w:rsidR="003E022D" w:rsidRDefault="007D19D6">
      <w:pPr>
        <w:numPr>
          <w:ilvl w:val="0"/>
          <w:numId w:val="292"/>
        </w:numPr>
        <w:ind w:left="0"/>
        <w:rPr>
          <w:rFonts w:eastAsia="Calibri" w:cs="Calibri"/>
          <w:noProof/>
          <w:color w:val="000000"/>
        </w:rPr>
      </w:pPr>
      <w:r>
        <w:rPr>
          <w:noProof/>
        </w:rPr>
        <w:t>Importētāja Puse nodrošina, ka visi ārkārtas pasākumi, kas veikti šā panta 1. punktā minēto iemeslu dēļ, netiek turpināti bez zinātniskiem pierādījumiem vai gadījumos, kad zinātniskie pierādījumi nav pietiekami, tiek pieņemti saskaņā ar SFS līguma</w:t>
      </w:r>
      <w:r>
        <w:rPr>
          <w:noProof/>
        </w:rPr>
        <w:t xml:space="preserve"> 5. panta 7. punktu.</w:t>
      </w:r>
    </w:p>
    <w:p w:rsidR="003E022D" w:rsidRDefault="007D19D6">
      <w:pPr>
        <w:pStyle w:val="Article"/>
        <w:rPr>
          <w:noProof/>
        </w:rPr>
      </w:pPr>
      <w:bookmarkStart w:id="106" w:name="_Toc58163445"/>
      <w:r>
        <w:rPr>
          <w:noProof/>
        </w:rPr>
        <w:t>SPS.14. pants. Daudzpusēji starptautiski forumi</w:t>
      </w:r>
      <w:bookmarkEnd w:id="106"/>
      <w:r>
        <w:rPr>
          <w:noProof/>
        </w:rPr>
        <w:t xml:space="preserve"> </w:t>
      </w:r>
    </w:p>
    <w:p w:rsidR="003E022D" w:rsidRDefault="007D19D6">
      <w:pPr>
        <w:rPr>
          <w:rFonts w:eastAsia="Calibri" w:cs="Calibri"/>
          <w:noProof/>
          <w:color w:val="000000"/>
        </w:rPr>
      </w:pPr>
      <w:r>
        <w:rPr>
          <w:noProof/>
        </w:rPr>
        <w:t xml:space="preserve">Puses vienojas sadarboties daudzpusējos starptautiskos forumos, lai izstrādātu starptautiskus standartus, pamatnostādnes un ieteikumus jomās, uz kurām attiecas </w:t>
      </w:r>
      <w:r>
        <w:rPr>
          <w:noProof/>
          <w:color w:val="000000"/>
        </w:rPr>
        <w:t>šī nodaļa</w:t>
      </w:r>
      <w:r>
        <w:rPr>
          <w:noProof/>
        </w:rPr>
        <w:t>.</w:t>
      </w:r>
      <w:r>
        <w:rPr>
          <w:noProof/>
          <w:color w:val="000000"/>
        </w:rPr>
        <w:t xml:space="preserve"> </w:t>
      </w:r>
    </w:p>
    <w:p w:rsidR="003E022D" w:rsidRDefault="007D19D6">
      <w:pPr>
        <w:pStyle w:val="Article"/>
        <w:rPr>
          <w:noProof/>
        </w:rPr>
      </w:pPr>
      <w:bookmarkStart w:id="107" w:name="_Toc58163446"/>
      <w:r>
        <w:rPr>
          <w:noProof/>
        </w:rPr>
        <w:t>SPS.15. pants.</w:t>
      </w:r>
      <w:r>
        <w:rPr>
          <w:noProof/>
        </w:rPr>
        <w:t xml:space="preserve"> Īstenošana un kompetentās iestādes</w:t>
      </w:r>
      <w:bookmarkEnd w:id="107"/>
    </w:p>
    <w:p w:rsidR="003E022D" w:rsidRDefault="007D19D6">
      <w:pPr>
        <w:numPr>
          <w:ilvl w:val="0"/>
          <w:numId w:val="297"/>
        </w:numPr>
        <w:ind w:left="0" w:firstLine="0"/>
        <w:rPr>
          <w:rFonts w:eastAsia="Calibri" w:cs="Calibri"/>
          <w:noProof/>
          <w:color w:val="000000"/>
        </w:rPr>
      </w:pPr>
      <w:r>
        <w:rPr>
          <w:noProof/>
        </w:rPr>
        <w:t>Katra Puse, īstenojot šo nodaļu, ņem vērā visus turpmāk minēto elementus:</w:t>
      </w:r>
      <w:r>
        <w:rPr>
          <w:noProof/>
          <w:color w:val="000000"/>
        </w:rPr>
        <w:t xml:space="preserve"> </w:t>
      </w:r>
    </w:p>
    <w:p w:rsidR="003E022D" w:rsidRDefault="007D19D6">
      <w:pPr>
        <w:pStyle w:val="ListParagraph"/>
        <w:numPr>
          <w:ilvl w:val="1"/>
          <w:numId w:val="300"/>
        </w:numPr>
        <w:spacing w:after="229" w:line="248" w:lineRule="auto"/>
        <w:ind w:left="993" w:firstLine="0"/>
        <w:rPr>
          <w:rFonts w:eastAsia="Calibri" w:cs="Calibri"/>
          <w:noProof/>
          <w:color w:val="000000"/>
        </w:rPr>
      </w:pPr>
      <w:r>
        <w:rPr>
          <w:noProof/>
          <w:color w:val="000000"/>
        </w:rPr>
        <w:t xml:space="preserve">PTO SFS komitejas lēmumi; </w:t>
      </w:r>
    </w:p>
    <w:p w:rsidR="003E022D" w:rsidRDefault="003E022D">
      <w:pPr>
        <w:pStyle w:val="ListParagraph"/>
        <w:spacing w:after="229" w:line="248" w:lineRule="auto"/>
        <w:ind w:left="993"/>
        <w:rPr>
          <w:rFonts w:eastAsia="Calibri" w:cs="Calibri"/>
          <w:noProof/>
          <w:color w:val="000000"/>
          <w:lang w:eastAsia="en-GB"/>
        </w:rPr>
      </w:pPr>
    </w:p>
    <w:p w:rsidR="003E022D" w:rsidRDefault="007D19D6">
      <w:pPr>
        <w:pStyle w:val="ListParagraph"/>
        <w:numPr>
          <w:ilvl w:val="1"/>
          <w:numId w:val="300"/>
        </w:numPr>
        <w:spacing w:after="229" w:line="248" w:lineRule="auto"/>
        <w:ind w:left="993" w:firstLine="0"/>
        <w:rPr>
          <w:rFonts w:eastAsia="Calibri" w:cs="Calibri"/>
          <w:noProof/>
          <w:color w:val="000000"/>
        </w:rPr>
      </w:pPr>
      <w:r>
        <w:rPr>
          <w:noProof/>
          <w:color w:val="000000"/>
        </w:rPr>
        <w:t xml:space="preserve">attiecīgo starptautisko standartu noteikšanas struktūru darbs;  </w:t>
      </w:r>
    </w:p>
    <w:p w:rsidR="003E022D" w:rsidRDefault="003E022D">
      <w:pPr>
        <w:pStyle w:val="ListParagraph"/>
        <w:rPr>
          <w:rFonts w:eastAsia="Calibri" w:cs="Calibri"/>
          <w:noProof/>
          <w:color w:val="000000"/>
          <w:lang w:eastAsia="en-GB"/>
        </w:rPr>
      </w:pPr>
    </w:p>
    <w:p w:rsidR="003E022D" w:rsidRDefault="007D19D6">
      <w:pPr>
        <w:pStyle w:val="ListParagraph"/>
        <w:numPr>
          <w:ilvl w:val="1"/>
          <w:numId w:val="300"/>
        </w:numPr>
        <w:spacing w:after="229" w:line="248" w:lineRule="auto"/>
        <w:ind w:left="993" w:firstLine="0"/>
        <w:rPr>
          <w:rFonts w:eastAsia="Calibri" w:cs="Calibri"/>
          <w:noProof/>
          <w:color w:val="000000"/>
        </w:rPr>
      </w:pPr>
      <w:r>
        <w:rPr>
          <w:noProof/>
          <w:color w:val="000000"/>
        </w:rPr>
        <w:t>visas zināšanas un iepriekšējā pieredze, kas tai ir</w:t>
      </w:r>
      <w:r>
        <w:rPr>
          <w:noProof/>
          <w:color w:val="000000"/>
        </w:rPr>
        <w:t xml:space="preserve"> tirdzniecībā ar eksportētāju Pusi, un</w:t>
      </w:r>
    </w:p>
    <w:p w:rsidR="003E022D" w:rsidRDefault="003E022D">
      <w:pPr>
        <w:pStyle w:val="ListParagraph"/>
        <w:spacing w:after="229" w:line="248" w:lineRule="auto"/>
        <w:ind w:left="993"/>
        <w:rPr>
          <w:rFonts w:eastAsia="Calibri" w:cs="Calibri"/>
          <w:noProof/>
          <w:color w:val="000000"/>
          <w:lang w:eastAsia="en-GB"/>
        </w:rPr>
      </w:pPr>
    </w:p>
    <w:p w:rsidR="003E022D" w:rsidRDefault="007D19D6">
      <w:pPr>
        <w:pStyle w:val="ListParagraph"/>
        <w:numPr>
          <w:ilvl w:val="1"/>
          <w:numId w:val="300"/>
        </w:numPr>
        <w:spacing w:after="229" w:line="248" w:lineRule="auto"/>
        <w:ind w:left="993" w:firstLine="0"/>
        <w:rPr>
          <w:rFonts w:eastAsia="Calibri" w:cs="Calibri"/>
          <w:noProof/>
          <w:color w:val="000000"/>
        </w:rPr>
      </w:pPr>
      <w:r>
        <w:rPr>
          <w:noProof/>
          <w:color w:val="000000"/>
        </w:rPr>
        <w:t xml:space="preserve">otras Puses sniegtā informācija. </w:t>
      </w:r>
    </w:p>
    <w:p w:rsidR="003E022D" w:rsidRDefault="007D19D6">
      <w:pPr>
        <w:numPr>
          <w:ilvl w:val="0"/>
          <w:numId w:val="297"/>
        </w:numPr>
        <w:ind w:left="0" w:firstLine="0"/>
        <w:rPr>
          <w:rFonts w:eastAsia="Calibri" w:cs="Calibri"/>
          <w:noProof/>
          <w:color w:val="000000"/>
        </w:rPr>
      </w:pPr>
      <w:r>
        <w:rPr>
          <w:noProof/>
          <w:color w:val="000000"/>
        </w:rPr>
        <w:t>Puses nekavējoties viena otrai iesniedz to Pušu kompetento iestāžu aprakstu, kuras nodarbojas ar šīs nodaļas īstenošanu. Puses paziņo viena otrai par visām būtiskajām šo kompetento i</w:t>
      </w:r>
      <w:r>
        <w:rPr>
          <w:noProof/>
          <w:color w:val="000000"/>
        </w:rPr>
        <w:t xml:space="preserve">estāžu izmaiņām. </w:t>
      </w:r>
    </w:p>
    <w:p w:rsidR="003E022D" w:rsidRDefault="007D19D6">
      <w:pPr>
        <w:numPr>
          <w:ilvl w:val="0"/>
          <w:numId w:val="297"/>
        </w:numPr>
        <w:ind w:left="0" w:firstLine="0"/>
        <w:rPr>
          <w:rFonts w:eastAsia="Calibri" w:cs="Calibri"/>
          <w:noProof/>
          <w:color w:val="000000"/>
        </w:rPr>
      </w:pPr>
      <w:r>
        <w:rPr>
          <w:noProof/>
        </w:rPr>
        <w:t xml:space="preserve">Katra Puse nodrošina, ka tās kompetentajām iestādēm ir nepieciešamie resursi, lai efektīvi īstenotu </w:t>
      </w:r>
      <w:r>
        <w:rPr>
          <w:noProof/>
          <w:color w:val="000000"/>
        </w:rPr>
        <w:t>šo nodaļu</w:t>
      </w:r>
      <w:r>
        <w:rPr>
          <w:noProof/>
        </w:rPr>
        <w:t>.</w:t>
      </w:r>
    </w:p>
    <w:p w:rsidR="003E022D" w:rsidRDefault="007D19D6">
      <w:pPr>
        <w:pStyle w:val="Article"/>
        <w:rPr>
          <w:strike/>
          <w:noProof/>
          <w:color w:val="2C6134"/>
          <w:u w:val="single" w:color="2C6134"/>
        </w:rPr>
      </w:pPr>
      <w:bookmarkStart w:id="108" w:name="_Toc58163447"/>
      <w:r>
        <w:rPr>
          <w:noProof/>
        </w:rPr>
        <w:t>SPS.16. pants. Sadarbība dzīvnieku labturības jomā</w:t>
      </w:r>
      <w:bookmarkEnd w:id="108"/>
      <w:r>
        <w:rPr>
          <w:noProof/>
        </w:rPr>
        <w:t xml:space="preserve"> </w:t>
      </w:r>
    </w:p>
    <w:p w:rsidR="003E022D" w:rsidRDefault="007D19D6">
      <w:pPr>
        <w:numPr>
          <w:ilvl w:val="0"/>
          <w:numId w:val="293"/>
        </w:numPr>
        <w:ind w:left="0"/>
        <w:rPr>
          <w:rFonts w:cstheme="minorHAnsi"/>
          <w:noProof/>
        </w:rPr>
      </w:pPr>
      <w:r>
        <w:rPr>
          <w:noProof/>
        </w:rPr>
        <w:t>Puses atzīst, ka dzīvnieki ir justspējīgas būtnes. Tās arī atzīst saikni st</w:t>
      </w:r>
      <w:r>
        <w:rPr>
          <w:noProof/>
        </w:rPr>
        <w:t xml:space="preserve">arp uzlabotu dzīvnieku labturību un ilgtspējīgām pārtikas ražošanas sistēmām. </w:t>
      </w:r>
    </w:p>
    <w:p w:rsidR="003E022D" w:rsidRDefault="007D19D6">
      <w:pPr>
        <w:numPr>
          <w:ilvl w:val="0"/>
          <w:numId w:val="293"/>
        </w:numPr>
        <w:ind w:left="0"/>
        <w:rPr>
          <w:rFonts w:cstheme="minorHAnsi"/>
          <w:noProof/>
        </w:rPr>
      </w:pPr>
      <w:r>
        <w:rPr>
          <w:noProof/>
        </w:rPr>
        <w:t>Puses apņemas sadarboties starptautiskos forumos, lai veicinātu labākās iespējamās dzīvnieku labturības prakses attīstību un īstenošanu. Jo īpaši Puses sadarbojas, lai pastiprin</w:t>
      </w:r>
      <w:r>
        <w:rPr>
          <w:noProof/>
        </w:rPr>
        <w:t xml:space="preserve">ātu un paplašinātu </w:t>
      </w:r>
      <w:r>
        <w:rPr>
          <w:i/>
          <w:noProof/>
        </w:rPr>
        <w:t>OIE</w:t>
      </w:r>
      <w:r>
        <w:rPr>
          <w:noProof/>
        </w:rPr>
        <w:t xml:space="preserve"> dzīvnieku labturības standartu darbības jomu, kā arī to īstenošanu, īpašu uzmanību pievēršot lauksaimniecības dzīvniekiem. </w:t>
      </w:r>
    </w:p>
    <w:p w:rsidR="003E022D" w:rsidRDefault="007D19D6">
      <w:pPr>
        <w:numPr>
          <w:ilvl w:val="0"/>
          <w:numId w:val="293"/>
        </w:numPr>
        <w:ind w:left="0"/>
        <w:rPr>
          <w:rFonts w:cstheme="minorHAnsi"/>
          <w:noProof/>
        </w:rPr>
      </w:pPr>
      <w:r>
        <w:rPr>
          <w:noProof/>
        </w:rPr>
        <w:t>Puses apmainās ar informāciju, zinātību un pieredzi dzīvnieku labturības jomā, jo īpaši saistībā ar produktīv</w:t>
      </w:r>
      <w:r>
        <w:rPr>
          <w:noProof/>
        </w:rPr>
        <w:t xml:space="preserve">o dzīvnieku audzēšanu, turēšanu, apiešanos ar tiem, to pārvadāšanu un kaušanu. </w:t>
      </w:r>
    </w:p>
    <w:p w:rsidR="003E022D" w:rsidRDefault="007D19D6">
      <w:pPr>
        <w:numPr>
          <w:ilvl w:val="0"/>
          <w:numId w:val="293"/>
        </w:numPr>
        <w:ind w:left="0"/>
        <w:rPr>
          <w:rFonts w:cstheme="minorHAnsi"/>
          <w:noProof/>
        </w:rPr>
      </w:pPr>
      <w:r>
        <w:rPr>
          <w:noProof/>
        </w:rPr>
        <w:t>Puses stiprina sadarbību pētniecībā, kas attiecas uz dzīvnieku labturību saistībā ar dzīvnieku audzēšanu un izturēšanos pret dzīvniekiem saimniecībās, pārvadāšanas laikā un kau</w:t>
      </w:r>
      <w:r>
        <w:rPr>
          <w:noProof/>
        </w:rPr>
        <w:t>šanas laikā.</w:t>
      </w:r>
    </w:p>
    <w:p w:rsidR="003E022D" w:rsidRDefault="007D19D6">
      <w:pPr>
        <w:pStyle w:val="Article"/>
        <w:rPr>
          <w:strike/>
          <w:noProof/>
          <w:color w:val="2C6134"/>
          <w:u w:val="single" w:color="2C6134"/>
          <w:lang w:val="fr-BE"/>
        </w:rPr>
      </w:pPr>
      <w:bookmarkStart w:id="109" w:name="_Toc58163448"/>
      <w:r>
        <w:rPr>
          <w:noProof/>
          <w:lang w:val="fr-BE"/>
        </w:rPr>
        <w:t>SPS.17. pants. Sadarbība rezistences pret antimikrobiāliem līdzekļiem jomā</w:t>
      </w:r>
      <w:bookmarkEnd w:id="109"/>
      <w:r>
        <w:rPr>
          <w:noProof/>
          <w:color w:val="FF0000"/>
          <w:sz w:val="32"/>
          <w:lang w:val="fr-BE"/>
        </w:rPr>
        <w:t xml:space="preserve"> </w:t>
      </w:r>
    </w:p>
    <w:p w:rsidR="003E022D" w:rsidRDefault="007D19D6">
      <w:pPr>
        <w:numPr>
          <w:ilvl w:val="0"/>
          <w:numId w:val="294"/>
        </w:numPr>
        <w:ind w:left="0"/>
        <w:rPr>
          <w:rFonts w:cstheme="minorHAnsi"/>
          <w:noProof/>
          <w:lang w:val="fr-BE"/>
        </w:rPr>
      </w:pPr>
      <w:r>
        <w:rPr>
          <w:noProof/>
          <w:lang w:val="fr-BE"/>
        </w:rPr>
        <w:t xml:space="preserve">Puses nodrošina satvaru dialogam un sadarbībai, lai pastiprinātu cīņu pret to, ka attīstās rezistence pret antimikrobiāliem līdzekļiem. </w:t>
      </w:r>
    </w:p>
    <w:p w:rsidR="003E022D" w:rsidRDefault="007D19D6">
      <w:pPr>
        <w:numPr>
          <w:ilvl w:val="0"/>
          <w:numId w:val="294"/>
        </w:numPr>
        <w:ind w:left="0"/>
        <w:rPr>
          <w:rFonts w:cstheme="minorHAnsi"/>
          <w:noProof/>
          <w:lang w:val="fr-BE"/>
        </w:rPr>
      </w:pPr>
      <w:r>
        <w:rPr>
          <w:noProof/>
          <w:lang w:val="fr-BE"/>
        </w:rPr>
        <w:t>Puses atzīst, ka rezistence pret antimikrobiāliem līdzekļiem nopietni apdraud cilvēku un dzīvnieku veselību. Antimikrobiālu līdzekļu ļaunprātīga izmantošana lopkopībā, tostarp neterapeitiska izmantošana, var veicināt rezistenci pret antimikrobiāliem līdzek</w:t>
      </w:r>
      <w:r>
        <w:rPr>
          <w:noProof/>
          <w:lang w:val="fr-BE"/>
        </w:rPr>
        <w:t xml:space="preserve">ļiem, kas var apdraudēt cilvēku dzīvību. Puses atzīst, ka apdraudējuma rakstura dēļ ir vajadzīga transnacionāla pieeja un pieeja “Viena veselība”. </w:t>
      </w:r>
    </w:p>
    <w:p w:rsidR="003E022D" w:rsidRDefault="007D19D6">
      <w:pPr>
        <w:numPr>
          <w:ilvl w:val="0"/>
          <w:numId w:val="294"/>
        </w:numPr>
        <w:ind w:left="0"/>
        <w:rPr>
          <w:rFonts w:cstheme="minorHAnsi"/>
          <w:noProof/>
          <w:lang w:val="fr-BE"/>
        </w:rPr>
      </w:pPr>
      <w:r>
        <w:rPr>
          <w:noProof/>
          <w:lang w:val="fr-BE"/>
        </w:rPr>
        <w:t>Lai apkarotu rezistenci pret antimikrobiāliem līdzekļiem, Puses cenšas starptautiski sadarboties ar reģionāl</w:t>
      </w:r>
      <w:r>
        <w:rPr>
          <w:noProof/>
          <w:lang w:val="fr-BE"/>
        </w:rPr>
        <w:t>ām vai daudzpusējām darba programmām, lai samazinātu antibiotiku nevajadzīgu izmantošanu dzīvnieku ražošanā un lai starptautiskā mērogā censtos panākt antibiotiku kā augšanas veicinātāju izmantošanas izbeigšanu nolūkā apkarot rezistenci pret antimikrobiāli</w:t>
      </w:r>
      <w:r>
        <w:rPr>
          <w:noProof/>
          <w:lang w:val="fr-BE"/>
        </w:rPr>
        <w:t>em līdzekļiem saskaņā ar pieeju “Viena veselība” un atbilstoši globālajam rīcības plānam.</w:t>
      </w:r>
    </w:p>
    <w:p w:rsidR="003E022D" w:rsidRDefault="007D19D6">
      <w:pPr>
        <w:numPr>
          <w:ilvl w:val="0"/>
          <w:numId w:val="294"/>
        </w:numPr>
        <w:ind w:left="0"/>
        <w:rPr>
          <w:rFonts w:cstheme="minorHAnsi"/>
          <w:noProof/>
          <w:lang w:val="fr-BE"/>
        </w:rPr>
      </w:pPr>
      <w:r>
        <w:rPr>
          <w:noProof/>
          <w:lang w:val="fr-BE"/>
        </w:rPr>
        <w:t>Puses sadarbojas starptautisku pamatnostādņu, standartu, ieteikumu un darbību izstrādē attiecīgajās starptautiskajās organizācijās, lai veicinātu antibiotiku piesardz</w:t>
      </w:r>
      <w:r>
        <w:rPr>
          <w:noProof/>
          <w:lang w:val="fr-BE"/>
        </w:rPr>
        <w:t xml:space="preserve">īgu un atbildīgu lietošanu lopkopībā un veterinārajā praksē. </w:t>
      </w:r>
    </w:p>
    <w:p w:rsidR="003E022D" w:rsidRDefault="007D19D6">
      <w:pPr>
        <w:numPr>
          <w:ilvl w:val="0"/>
          <w:numId w:val="294"/>
        </w:numPr>
        <w:ind w:left="0"/>
        <w:rPr>
          <w:rFonts w:cstheme="minorHAnsi"/>
          <w:noProof/>
        </w:rPr>
      </w:pPr>
      <w:r>
        <w:rPr>
          <w:noProof/>
          <w:color w:val="000000"/>
        </w:rPr>
        <w:t xml:space="preserve">Šā panta 1. punktā minētais dialogs </w:t>
      </w:r>
      <w:r>
        <w:rPr>
          <w:i/>
          <w:noProof/>
          <w:color w:val="000000"/>
        </w:rPr>
        <w:t>inter alia</w:t>
      </w:r>
      <w:r>
        <w:rPr>
          <w:noProof/>
          <w:color w:val="000000"/>
        </w:rPr>
        <w:t xml:space="preserve"> ietver šādus aspektus: </w:t>
      </w:r>
    </w:p>
    <w:p w:rsidR="003E022D" w:rsidRDefault="007D19D6">
      <w:pPr>
        <w:numPr>
          <w:ilvl w:val="0"/>
          <w:numId w:val="295"/>
        </w:numPr>
        <w:ind w:left="567" w:hanging="567"/>
        <w:rPr>
          <w:rFonts w:eastAsia="Calibri" w:cs="Calibri"/>
          <w:noProof/>
          <w:color w:val="000000"/>
        </w:rPr>
      </w:pPr>
      <w:r>
        <w:rPr>
          <w:noProof/>
        </w:rPr>
        <w:t xml:space="preserve">sadarbība, lai sekotu līdzi esošajām un turpmākajām pamatnostādnēm, standartiem, ieteikumiem un darbībām, kas izstrādātas </w:t>
      </w:r>
      <w:r>
        <w:rPr>
          <w:noProof/>
        </w:rPr>
        <w:t>attiecīgajās starptautiskajās organizācijās, esošajām un turpmākajām iniciatīvām un valstu plāniem, kuru mērķis ir veicināt piesardzīgu un atbildīgu antibiotiku lietošanu un kuri attiecas uz lopkopību un veterināro praksi;</w:t>
      </w:r>
      <w:r>
        <w:rPr>
          <w:noProof/>
          <w:color w:val="000000"/>
        </w:rPr>
        <w:t xml:space="preserve">  </w:t>
      </w:r>
    </w:p>
    <w:p w:rsidR="003E022D" w:rsidRDefault="007D19D6">
      <w:pPr>
        <w:numPr>
          <w:ilvl w:val="0"/>
          <w:numId w:val="295"/>
        </w:numPr>
        <w:ind w:left="567" w:hanging="567"/>
        <w:rPr>
          <w:rFonts w:eastAsia="Calibri" w:cs="Calibri"/>
          <w:noProof/>
          <w:color w:val="000000"/>
        </w:rPr>
      </w:pPr>
      <w:r>
        <w:rPr>
          <w:noProof/>
        </w:rPr>
        <w:t xml:space="preserve">sadarbība </w:t>
      </w:r>
      <w:r>
        <w:rPr>
          <w:i/>
          <w:noProof/>
        </w:rPr>
        <w:t>OIE</w:t>
      </w:r>
      <w:r>
        <w:rPr>
          <w:noProof/>
        </w:rPr>
        <w:t xml:space="preserve">, PVO un Pārtikas </w:t>
      </w:r>
      <w:r>
        <w:rPr>
          <w:noProof/>
        </w:rPr>
        <w:t>kodeksa komisijas ieteikumu, jo īpaši CAC-RCP61/2005, īstenošanā;</w:t>
      </w:r>
      <w:r>
        <w:rPr>
          <w:noProof/>
          <w:color w:val="000000"/>
        </w:rPr>
        <w:t xml:space="preserve"> </w:t>
      </w:r>
    </w:p>
    <w:p w:rsidR="003E022D" w:rsidRDefault="007D19D6">
      <w:pPr>
        <w:numPr>
          <w:ilvl w:val="0"/>
          <w:numId w:val="295"/>
        </w:numPr>
        <w:ind w:left="567" w:hanging="567"/>
        <w:rPr>
          <w:rFonts w:eastAsia="Calibri" w:cs="Calibri"/>
          <w:noProof/>
          <w:color w:val="000000"/>
        </w:rPr>
      </w:pPr>
      <w:r>
        <w:rPr>
          <w:noProof/>
        </w:rPr>
        <w:t>informācijas apmaiņa par labu lauksaimniecības praksi;</w:t>
      </w:r>
      <w:r>
        <w:rPr>
          <w:noProof/>
          <w:color w:val="000000"/>
        </w:rPr>
        <w:t xml:space="preserve"> </w:t>
      </w:r>
    </w:p>
    <w:p w:rsidR="003E022D" w:rsidRDefault="007D19D6">
      <w:pPr>
        <w:numPr>
          <w:ilvl w:val="0"/>
          <w:numId w:val="295"/>
        </w:numPr>
        <w:ind w:left="567" w:hanging="567"/>
        <w:rPr>
          <w:rFonts w:eastAsia="Calibri" w:cs="Calibri"/>
          <w:noProof/>
          <w:color w:val="000000"/>
        </w:rPr>
      </w:pPr>
      <w:r>
        <w:rPr>
          <w:noProof/>
        </w:rPr>
        <w:t>pētniecības, inovāciju un izstrādes veicināšana;</w:t>
      </w:r>
      <w:r>
        <w:rPr>
          <w:noProof/>
          <w:color w:val="000000"/>
        </w:rPr>
        <w:t xml:space="preserve"> </w:t>
      </w:r>
    </w:p>
    <w:p w:rsidR="003E022D" w:rsidRDefault="007D19D6">
      <w:pPr>
        <w:numPr>
          <w:ilvl w:val="0"/>
          <w:numId w:val="295"/>
        </w:numPr>
        <w:ind w:left="567" w:hanging="567"/>
        <w:rPr>
          <w:rFonts w:eastAsia="Calibri" w:cs="Calibri"/>
          <w:noProof/>
          <w:color w:val="000000"/>
        </w:rPr>
      </w:pPr>
      <w:r>
        <w:rPr>
          <w:noProof/>
        </w:rPr>
        <w:t xml:space="preserve">daudzdisciplīnu pieeju veicināšana, starp kurām ir PVO, </w:t>
      </w:r>
      <w:r>
        <w:rPr>
          <w:i/>
          <w:noProof/>
        </w:rPr>
        <w:t>OIE</w:t>
      </w:r>
      <w:r>
        <w:rPr>
          <w:noProof/>
        </w:rPr>
        <w:t xml:space="preserve"> un Pārtikas kodeksa kom</w:t>
      </w:r>
      <w:r>
        <w:rPr>
          <w:noProof/>
        </w:rPr>
        <w:t>isijas pieeja “Viena veselība”, lai apkarotu rezistenci pret antimikrobiāliem līdzekļiem.</w:t>
      </w:r>
      <w:r>
        <w:rPr>
          <w:noProof/>
          <w:color w:val="000000"/>
        </w:rPr>
        <w:t xml:space="preserve"> </w:t>
      </w:r>
    </w:p>
    <w:p w:rsidR="003E022D" w:rsidRDefault="007D19D6">
      <w:pPr>
        <w:pStyle w:val="Article"/>
        <w:rPr>
          <w:strike/>
          <w:noProof/>
          <w:color w:val="2C6134"/>
          <w:u w:val="single" w:color="2C6134"/>
        </w:rPr>
      </w:pPr>
      <w:bookmarkStart w:id="110" w:name="_Toc58163449"/>
      <w:r>
        <w:rPr>
          <w:noProof/>
        </w:rPr>
        <w:t>SPS.18. pants. Ilgtspējīgas pārtikas sistēmas</w:t>
      </w:r>
      <w:bookmarkEnd w:id="110"/>
      <w:r>
        <w:rPr>
          <w:noProof/>
        </w:rPr>
        <w:t xml:space="preserve"> </w:t>
      </w:r>
    </w:p>
    <w:p w:rsidR="003E022D" w:rsidRDefault="007D19D6">
      <w:pPr>
        <w:rPr>
          <w:rFonts w:eastAsia="Calibri" w:cs="Calibri"/>
          <w:noProof/>
        </w:rPr>
      </w:pPr>
      <w:r>
        <w:rPr>
          <w:noProof/>
        </w:rPr>
        <w:t>Katra Puse mudina savus pārtikas nekaitīguma un dzīvnieku un augu veselības dienestus sadarboties ar to partneriem otr</w:t>
      </w:r>
      <w:r>
        <w:rPr>
          <w:noProof/>
        </w:rPr>
        <w:t>ā Pusē, lai veicinātu ilgtspējīgas pārtikas ražošanas metodes un pārtikas sistēmas.</w:t>
      </w:r>
    </w:p>
    <w:p w:rsidR="003E022D" w:rsidRDefault="007D19D6">
      <w:pPr>
        <w:pStyle w:val="Article"/>
        <w:rPr>
          <w:noProof/>
        </w:rPr>
      </w:pPr>
      <w:bookmarkStart w:id="111" w:name="_Toc58163450"/>
      <w:r>
        <w:rPr>
          <w:noProof/>
        </w:rPr>
        <w:t>SPS.19. pants. Tirdzniecības specializētā komiteja sanitāro un fitosanitāro pasākumu jomā</w:t>
      </w:r>
      <w:bookmarkEnd w:id="111"/>
      <w:r>
        <w:rPr>
          <w:noProof/>
        </w:rPr>
        <w:t xml:space="preserve"> </w:t>
      </w:r>
    </w:p>
    <w:p w:rsidR="003E022D" w:rsidRDefault="007D19D6">
      <w:pPr>
        <w:rPr>
          <w:rFonts w:eastAsia="Calibri" w:cs="Calibri"/>
          <w:noProof/>
        </w:rPr>
      </w:pPr>
      <w:r>
        <w:rPr>
          <w:noProof/>
        </w:rPr>
        <w:t>Tirdzniecības specializētā komiteja sanitāro un fitosanitāro pasākumu jomā uzraug</w:t>
      </w:r>
      <w:r>
        <w:rPr>
          <w:noProof/>
        </w:rPr>
        <w:t>a šīs nodaļas īstenošanu un darbību, un tai ir šādas funkcijas:</w:t>
      </w:r>
    </w:p>
    <w:p w:rsidR="003E022D" w:rsidRDefault="007D19D6">
      <w:pPr>
        <w:ind w:left="567" w:hanging="567"/>
        <w:rPr>
          <w:rFonts w:eastAsia="Calibri" w:cs="Calibri"/>
          <w:noProof/>
        </w:rPr>
      </w:pPr>
      <w:r>
        <w:rPr>
          <w:noProof/>
        </w:rPr>
        <w:t>a) nekavējoties noskaidrot un risināt, ja iespējams, visus jautājumus, kas kādai Pusei radušies saistībā ar sanitāro un fitosanitāro prasību, standartu un ieteikumu izstrādi, pieņemšanu vai pi</w:t>
      </w:r>
      <w:r>
        <w:rPr>
          <w:noProof/>
        </w:rPr>
        <w:t>emērošanu saskaņā ar šo nodaļu vai SFS līgumu;</w:t>
      </w:r>
    </w:p>
    <w:p w:rsidR="003E022D" w:rsidRDefault="007D19D6">
      <w:pPr>
        <w:ind w:left="567" w:hanging="567"/>
        <w:rPr>
          <w:rFonts w:eastAsia="Calibri" w:cs="Calibri"/>
          <w:noProof/>
        </w:rPr>
      </w:pPr>
      <w:r>
        <w:rPr>
          <w:noProof/>
        </w:rPr>
        <w:t>b) apspriest notiekošos procesus saistībā ar jaunu noteikumu izstrādi;</w:t>
      </w:r>
    </w:p>
    <w:p w:rsidR="003E022D" w:rsidRDefault="007D19D6">
      <w:pPr>
        <w:ind w:left="567" w:hanging="567"/>
        <w:rPr>
          <w:rFonts w:eastAsia="Calibri" w:cs="Calibri"/>
          <w:noProof/>
        </w:rPr>
      </w:pPr>
      <w:r>
        <w:rPr>
          <w:noProof/>
        </w:rPr>
        <w:t xml:space="preserve">c) cik ātri vien iespējams apspriest kādas Puses paustās bažas attiecībā uz SFS importa nosacījumiem un otras Puses piemērotajām </w:t>
      </w:r>
      <w:r>
        <w:rPr>
          <w:noProof/>
        </w:rPr>
        <w:t>procedūrām;</w:t>
      </w:r>
    </w:p>
    <w:p w:rsidR="003E022D" w:rsidRDefault="007D19D6">
      <w:pPr>
        <w:ind w:left="567" w:hanging="567"/>
        <w:rPr>
          <w:rFonts w:eastAsia="Calibri" w:cs="Calibri"/>
          <w:noProof/>
          <w:color w:val="0070C0"/>
        </w:rPr>
      </w:pPr>
      <w:r>
        <w:rPr>
          <w:noProof/>
        </w:rPr>
        <w:t>d) regulāri pārskatīt Pušu SFS pasākumus, tostarp sertifikācijas prasības un robežšķērsošanas administratīvās noformēšanas procesus, kā arī to piemērošanu, lai veicinātu tirdzniecību starp Pusēm saskaņā ar SFS līguma 5. pantā izklāstītajiem pri</w:t>
      </w:r>
      <w:r>
        <w:rPr>
          <w:noProof/>
        </w:rPr>
        <w:t>ncipiem, mērķiem un procedūrām.</w:t>
      </w:r>
      <w:r>
        <w:rPr>
          <w:noProof/>
          <w:color w:val="0070C0"/>
        </w:rPr>
        <w:t xml:space="preserve"> </w:t>
      </w:r>
      <w:r>
        <w:rPr>
          <w:noProof/>
        </w:rPr>
        <w:t>Katra Puse nosaka visas atbilstošās darbības, ko tā veiks, tostarp attiecībā uz identitātes kontrolpārbaužu un fizisko kontrolpārbaužu biežumu, ņemot vērā šīs pārskatīšanas rezultātus un pamatojoties uz kritērijiem, kuri not</w:t>
      </w:r>
      <w:r>
        <w:rPr>
          <w:noProof/>
        </w:rPr>
        <w:t>eikti SFS-1 PIELIKUMĀ:  Kritēriji, kas minēti SPS.19. panta d) punktā.</w:t>
      </w:r>
    </w:p>
    <w:p w:rsidR="003E022D" w:rsidRDefault="007D19D6">
      <w:pPr>
        <w:ind w:left="567" w:hanging="567"/>
        <w:rPr>
          <w:rFonts w:eastAsia="Calibri" w:cs="Calibri"/>
          <w:noProof/>
        </w:rPr>
      </w:pPr>
      <w:r>
        <w:rPr>
          <w:noProof/>
        </w:rPr>
        <w:t>e)</w:t>
      </w:r>
      <w:r>
        <w:rPr>
          <w:noProof/>
        </w:rPr>
        <w:tab/>
        <w:t>apmainīties ar viedokļiem, informāciju un pieredzi par sadarbības pasākumiem dzīvnieku labturības aizsardzībā un cīņā pret rezistenci pret antimikrobiāliem līdzekļiem, kas veikti sas</w:t>
      </w:r>
      <w:r>
        <w:rPr>
          <w:noProof/>
        </w:rPr>
        <w:t>kaņā ar SPS. 16. un 17. pantu;</w:t>
      </w:r>
    </w:p>
    <w:p w:rsidR="003E022D" w:rsidRDefault="007D19D6">
      <w:pPr>
        <w:ind w:left="567" w:hanging="567"/>
        <w:rPr>
          <w:rFonts w:eastAsia="Calibri" w:cs="Calibri"/>
          <w:noProof/>
        </w:rPr>
      </w:pPr>
      <w:r>
        <w:rPr>
          <w:noProof/>
        </w:rPr>
        <w:t>f) pēc kādas Puses pieprasījuma apsvērt, kas ir būtiskas izmaiņas SPS.10. panta 9. punktā minētajā slimības vai kaitīgo organismu situācijā;</w:t>
      </w:r>
    </w:p>
    <w:p w:rsidR="003E022D" w:rsidRDefault="007D19D6">
      <w:pPr>
        <w:ind w:left="567" w:hanging="567"/>
        <w:rPr>
          <w:rFonts w:eastAsia="Calibri" w:cs="Calibri"/>
          <w:noProof/>
        </w:rPr>
      </w:pPr>
      <w:r>
        <w:rPr>
          <w:noProof/>
        </w:rPr>
        <w:t>g) pieņemt lēmumus, lai:</w:t>
      </w:r>
    </w:p>
    <w:p w:rsidR="003E022D" w:rsidRDefault="007D19D6">
      <w:pPr>
        <w:numPr>
          <w:ilvl w:val="0"/>
          <w:numId w:val="307"/>
        </w:numPr>
        <w:ind w:left="1276" w:hanging="567"/>
        <w:rPr>
          <w:noProof/>
        </w:rPr>
      </w:pPr>
      <w:r>
        <w:rPr>
          <w:noProof/>
        </w:rPr>
        <w:t>pievienotu definīcijas, kā minēts SFS 3. panta 3. punktā;</w:t>
      </w:r>
    </w:p>
    <w:p w:rsidR="003E022D" w:rsidRDefault="007D19D6">
      <w:pPr>
        <w:numPr>
          <w:ilvl w:val="0"/>
          <w:numId w:val="307"/>
        </w:numPr>
        <w:ind w:left="1276" w:hanging="567"/>
        <w:rPr>
          <w:rFonts w:eastAsia="Calibri" w:cs="Calibri"/>
          <w:noProof/>
        </w:rPr>
      </w:pPr>
      <w:r>
        <w:rPr>
          <w:noProof/>
        </w:rPr>
        <w:t>n</w:t>
      </w:r>
      <w:r>
        <w:rPr>
          <w:noProof/>
        </w:rPr>
        <w:t>oteiktu īpašos gadījumus, kas minēti SFS 6. panta 2. punktā;</w:t>
      </w:r>
    </w:p>
    <w:p w:rsidR="003E022D" w:rsidRDefault="007D19D6">
      <w:pPr>
        <w:numPr>
          <w:ilvl w:val="0"/>
          <w:numId w:val="307"/>
        </w:numPr>
        <w:ind w:left="1276" w:hanging="567"/>
        <w:rPr>
          <w:rFonts w:eastAsia="Calibri" w:cs="Calibri"/>
          <w:noProof/>
        </w:rPr>
      </w:pPr>
      <w:r>
        <w:rPr>
          <w:noProof/>
        </w:rPr>
        <w:t>detalizēti noteiktu SFS 10. panta 1. punktā minētās procedūras;</w:t>
      </w:r>
    </w:p>
    <w:p w:rsidR="003E022D" w:rsidRDefault="007D19D6">
      <w:pPr>
        <w:numPr>
          <w:ilvl w:val="0"/>
          <w:numId w:val="307"/>
        </w:numPr>
        <w:ind w:left="1276" w:hanging="567"/>
        <w:rPr>
          <w:rFonts w:eastAsia="Calibri" w:cs="Calibri"/>
          <w:noProof/>
          <w:color w:val="0070C0"/>
        </w:rPr>
      </w:pPr>
      <w:r>
        <w:rPr>
          <w:noProof/>
        </w:rPr>
        <w:t>noteiktu citus veidus, kā pamatot SFS 10. panta 5. un 7. punktā minētos paskaidrojumus.</w:t>
      </w:r>
    </w:p>
    <w:p w:rsidR="003E022D" w:rsidRDefault="003E022D">
      <w:pPr>
        <w:pStyle w:val="Chapter"/>
        <w:rPr>
          <w:noProof/>
        </w:rPr>
      </w:pPr>
      <w:bookmarkStart w:id="112" w:name="_Toc58163451"/>
    </w:p>
    <w:p w:rsidR="003E022D" w:rsidRDefault="007D19D6">
      <w:pPr>
        <w:pStyle w:val="Chapter"/>
        <w:rPr>
          <w:noProof/>
        </w:rPr>
      </w:pPr>
      <w:r>
        <w:rPr>
          <w:noProof/>
        </w:rPr>
        <w:t>4. nodaļa. Tehniskie šķēršļi tirdzniecībai</w:t>
      </w:r>
      <w:bookmarkEnd w:id="112"/>
    </w:p>
    <w:p w:rsidR="003E022D" w:rsidRDefault="007D19D6">
      <w:pPr>
        <w:pStyle w:val="Article"/>
        <w:rPr>
          <w:noProof/>
        </w:rPr>
      </w:pPr>
      <w:bookmarkStart w:id="113" w:name="_Toc58163452"/>
      <w:r>
        <w:rPr>
          <w:noProof/>
        </w:rPr>
        <w:t>TBT.1. pants. Mērķis</w:t>
      </w:r>
      <w:bookmarkEnd w:id="113"/>
      <w:r>
        <w:rPr>
          <w:noProof/>
        </w:rPr>
        <w:t xml:space="preserve"> </w:t>
      </w:r>
    </w:p>
    <w:p w:rsidR="003E022D" w:rsidRDefault="007D19D6">
      <w:pPr>
        <w:rPr>
          <w:rFonts w:cstheme="minorHAnsi"/>
          <w:noProof/>
        </w:rPr>
      </w:pPr>
      <w:r>
        <w:rPr>
          <w:noProof/>
        </w:rPr>
        <w:t xml:space="preserve">Šīs nodaļas mērķis ir atvieglot preču tirdzniecību starp Pusēm, novēršot, identificējot un likvidējot nevajadzīgus tehniskus šķēršļus tirdzniecībai. </w:t>
      </w:r>
    </w:p>
    <w:p w:rsidR="003E022D" w:rsidRDefault="007D19D6">
      <w:pPr>
        <w:pStyle w:val="Article"/>
        <w:rPr>
          <w:noProof/>
        </w:rPr>
      </w:pPr>
      <w:bookmarkStart w:id="114" w:name="_Toc58163453"/>
      <w:r>
        <w:rPr>
          <w:noProof/>
        </w:rPr>
        <w:t>TBT.2. pants. Darbības joma</w:t>
      </w:r>
      <w:bookmarkEnd w:id="114"/>
      <w:r>
        <w:rPr>
          <w:noProof/>
        </w:rPr>
        <w:t xml:space="preserve"> </w:t>
      </w:r>
    </w:p>
    <w:p w:rsidR="003E022D" w:rsidRDefault="007D19D6">
      <w:pPr>
        <w:numPr>
          <w:ilvl w:val="0"/>
          <w:numId w:val="309"/>
        </w:numPr>
        <w:ind w:left="0"/>
        <w:rPr>
          <w:noProof/>
        </w:rPr>
      </w:pPr>
      <w:r>
        <w:rPr>
          <w:noProof/>
        </w:rPr>
        <w:t xml:space="preserve">Šo nodaļu piemēro visu standartu, tehnisko noteikumu un atbilstības novērtēšanas procedūru, kas var ietekmēt preču tirdzniecību starp Pusēm, sagatavošanai, pieņemšanai un piemērošanai. </w:t>
      </w:r>
    </w:p>
    <w:p w:rsidR="003E022D" w:rsidRDefault="007D19D6">
      <w:pPr>
        <w:numPr>
          <w:ilvl w:val="0"/>
          <w:numId w:val="309"/>
        </w:numPr>
        <w:ind w:left="0"/>
        <w:rPr>
          <w:noProof/>
        </w:rPr>
      </w:pPr>
      <w:r>
        <w:rPr>
          <w:noProof/>
        </w:rPr>
        <w:t xml:space="preserve">Šo nodaļu nepiemēro:  </w:t>
      </w:r>
    </w:p>
    <w:p w:rsidR="003E022D" w:rsidRDefault="007D19D6">
      <w:pPr>
        <w:numPr>
          <w:ilvl w:val="0"/>
          <w:numId w:val="310"/>
        </w:numPr>
        <w:ind w:left="567" w:hanging="567"/>
        <w:rPr>
          <w:noProof/>
        </w:rPr>
      </w:pPr>
      <w:r>
        <w:rPr>
          <w:noProof/>
        </w:rPr>
        <w:t xml:space="preserve">iepirkuma specifikācijām, ko izstrādā valdības </w:t>
      </w:r>
      <w:r>
        <w:rPr>
          <w:noProof/>
        </w:rPr>
        <w:t>struktūras savām ražošanas vai patēriņa vajadzībām, vai</w:t>
      </w:r>
    </w:p>
    <w:p w:rsidR="003E022D" w:rsidRDefault="007D19D6">
      <w:pPr>
        <w:numPr>
          <w:ilvl w:val="0"/>
          <w:numId w:val="310"/>
        </w:numPr>
        <w:ind w:left="567" w:hanging="567"/>
        <w:rPr>
          <w:noProof/>
        </w:rPr>
      </w:pPr>
      <w:r>
        <w:rPr>
          <w:noProof/>
        </w:rPr>
        <w:t xml:space="preserve">SFS pasākumiem, kas ietilpst 3. nodaļas [Sanitārie un fitosanitārie pasākumi] darbības jomā. </w:t>
      </w:r>
    </w:p>
    <w:p w:rsidR="003E022D" w:rsidRDefault="007D19D6">
      <w:pPr>
        <w:numPr>
          <w:ilvl w:val="0"/>
          <w:numId w:val="309"/>
        </w:numPr>
        <w:ind w:left="0"/>
        <w:rPr>
          <w:rFonts w:cstheme="minorHAnsi"/>
          <w:noProof/>
        </w:rPr>
      </w:pPr>
      <w:r>
        <w:rPr>
          <w:noProof/>
        </w:rPr>
        <w:t>Papildus šai nodaļai attiecībā uz ražojumiem to darbības jomā piemēro šīs nodaļas pielikumus. Jebkurš note</w:t>
      </w:r>
      <w:r>
        <w:rPr>
          <w:noProof/>
        </w:rPr>
        <w:t>ikums šīs nodaļas pielikumā par to, ka starptautisks standarts vai struktūra vai organizācija ir jāuzskata vai jāatzīst par attiecīgu, neliedz kādas citas struktūras vai organizācijas izstrādātu standartu uzskatīt par attiecīgu starptautisku standartu sask</w:t>
      </w:r>
      <w:r>
        <w:rPr>
          <w:noProof/>
        </w:rPr>
        <w:t>aņā ar TBT.4. panta 4. un 5. punktu.</w:t>
      </w:r>
    </w:p>
    <w:p w:rsidR="003E022D" w:rsidRDefault="007D19D6">
      <w:pPr>
        <w:pStyle w:val="Article"/>
        <w:rPr>
          <w:noProof/>
        </w:rPr>
      </w:pPr>
      <w:bookmarkStart w:id="115" w:name="_Toc58163454"/>
      <w:r>
        <w:rPr>
          <w:noProof/>
        </w:rPr>
        <w:t xml:space="preserve">TBT.3. pants. Saistība ar </w:t>
      </w:r>
      <w:r>
        <w:rPr>
          <w:i/>
          <w:noProof/>
        </w:rPr>
        <w:t>TBT</w:t>
      </w:r>
      <w:r>
        <w:rPr>
          <w:noProof/>
        </w:rPr>
        <w:t xml:space="preserve"> nolīgumu</w:t>
      </w:r>
      <w:bookmarkEnd w:id="115"/>
      <w:r>
        <w:rPr>
          <w:noProof/>
        </w:rPr>
        <w:t xml:space="preserve"> </w:t>
      </w:r>
    </w:p>
    <w:p w:rsidR="003E022D" w:rsidRDefault="007D19D6">
      <w:pPr>
        <w:numPr>
          <w:ilvl w:val="0"/>
          <w:numId w:val="311"/>
        </w:numPr>
        <w:ind w:left="0"/>
        <w:rPr>
          <w:noProof/>
        </w:rPr>
      </w:pPr>
      <w:r>
        <w:rPr>
          <w:i/>
          <w:iCs/>
          <w:noProof/>
        </w:rPr>
        <w:t>TBT</w:t>
      </w:r>
      <w:r>
        <w:rPr>
          <w:noProof/>
        </w:rPr>
        <w:t xml:space="preserve"> nolīguma 2.–9. pantu un 1.–3. pielikumu </w:t>
      </w:r>
      <w:r>
        <w:rPr>
          <w:i/>
          <w:iCs/>
          <w:noProof/>
        </w:rPr>
        <w:t>mutatis mutandis</w:t>
      </w:r>
      <w:r>
        <w:rPr>
          <w:noProof/>
        </w:rPr>
        <w:t xml:space="preserve"> iekļauj šajā nolīgumā, un tie kļūst par šā nolīguma daļu.</w:t>
      </w:r>
      <w:r>
        <w:rPr>
          <w:i/>
          <w:iCs/>
          <w:noProof/>
        </w:rPr>
        <w:t xml:space="preserve"> </w:t>
      </w:r>
    </w:p>
    <w:p w:rsidR="003E022D" w:rsidRDefault="007D19D6">
      <w:pPr>
        <w:numPr>
          <w:ilvl w:val="0"/>
          <w:numId w:val="311"/>
        </w:numPr>
        <w:ind w:left="0"/>
        <w:rPr>
          <w:noProof/>
        </w:rPr>
      </w:pPr>
      <w:r>
        <w:rPr>
          <w:noProof/>
        </w:rPr>
        <w:t xml:space="preserve">Šajā nodaļā un šīs nodaļas pielikumos minētajiem terminiem </w:t>
      </w:r>
      <w:r>
        <w:rPr>
          <w:noProof/>
        </w:rPr>
        <w:t xml:space="preserve">ir tāda pati nozīme, kā tiem ir </w:t>
      </w:r>
      <w:r>
        <w:rPr>
          <w:i/>
          <w:noProof/>
        </w:rPr>
        <w:t>TBT</w:t>
      </w:r>
      <w:r>
        <w:rPr>
          <w:noProof/>
        </w:rPr>
        <w:t xml:space="preserve"> nolīgumā.</w:t>
      </w:r>
    </w:p>
    <w:p w:rsidR="003E022D" w:rsidRDefault="007D19D6">
      <w:pPr>
        <w:pStyle w:val="Article"/>
        <w:rPr>
          <w:noProof/>
        </w:rPr>
      </w:pPr>
      <w:bookmarkStart w:id="116" w:name="_Toc58163455"/>
      <w:r>
        <w:rPr>
          <w:noProof/>
        </w:rPr>
        <w:t>TBT.4. pants. Tehniskie noteikumi</w:t>
      </w:r>
      <w:bookmarkEnd w:id="116"/>
      <w:r>
        <w:rPr>
          <w:noProof/>
        </w:rPr>
        <w:t xml:space="preserve"> </w:t>
      </w:r>
    </w:p>
    <w:p w:rsidR="003E022D" w:rsidRDefault="007D19D6">
      <w:pPr>
        <w:numPr>
          <w:ilvl w:val="0"/>
          <w:numId w:val="312"/>
        </w:numPr>
        <w:ind w:left="0"/>
        <w:rPr>
          <w:noProof/>
        </w:rPr>
      </w:pPr>
      <w:r>
        <w:rPr>
          <w:noProof/>
        </w:rPr>
        <w:t xml:space="preserve">Katra Puse saskaņā ar saviem attiecīgajiem noteikumiem un procedūrām veic plānoto tehnisko noteikumu ietekmes novērtējumus. </w:t>
      </w:r>
      <w:bookmarkStart w:id="117" w:name="_Hlk55036540"/>
      <w:r>
        <w:rPr>
          <w:noProof/>
        </w:rPr>
        <w:t>Šajā punktā un 8. punktā minētajos noteikumos un pr</w:t>
      </w:r>
      <w:r>
        <w:rPr>
          <w:noProof/>
        </w:rPr>
        <w:t>ocedūrās var paredzēt izņēmumus.</w:t>
      </w:r>
      <w:bookmarkEnd w:id="117"/>
    </w:p>
    <w:p w:rsidR="003E022D" w:rsidRDefault="007D19D6">
      <w:pPr>
        <w:numPr>
          <w:ilvl w:val="0"/>
          <w:numId w:val="312"/>
        </w:numPr>
        <w:ind w:left="0"/>
        <w:rPr>
          <w:noProof/>
        </w:rPr>
      </w:pPr>
      <w:r>
        <w:rPr>
          <w:noProof/>
        </w:rPr>
        <w:t xml:space="preserve">Katra Puse saskaņā ar </w:t>
      </w:r>
      <w:r>
        <w:rPr>
          <w:i/>
          <w:noProof/>
        </w:rPr>
        <w:t>TBT</w:t>
      </w:r>
      <w:r>
        <w:rPr>
          <w:noProof/>
        </w:rPr>
        <w:t xml:space="preserve"> nolīguma 2.2. pantu novērtē pieejamās regulatīvās un citas alternatīvas, ar ko var izpildīt Puses likumīgos mērķus, ierosinātajiem tehniskajiem noteikumiem.  </w:t>
      </w:r>
    </w:p>
    <w:p w:rsidR="003E022D" w:rsidRDefault="007D19D6">
      <w:pPr>
        <w:numPr>
          <w:ilvl w:val="0"/>
          <w:numId w:val="312"/>
        </w:numPr>
        <w:ind w:left="0"/>
        <w:rPr>
          <w:noProof/>
        </w:rPr>
      </w:pPr>
      <w:r>
        <w:rPr>
          <w:noProof/>
        </w:rPr>
        <w:t>Katra Puse izmanto attiecīgos starptau</w:t>
      </w:r>
      <w:r>
        <w:rPr>
          <w:noProof/>
        </w:rPr>
        <w:t xml:space="preserve">tiskos standartus par pamatu saviem tehniskajiem noteikumiem, izņemot gadījumus, kad tā var pierādīt, ka šādi starptautiskie standarti būtu neefektīvs vai nepiemērots līdzeklis izvirzīto likumīgo mērķu sasniegšanai. </w:t>
      </w:r>
    </w:p>
    <w:p w:rsidR="003E022D" w:rsidRDefault="007D19D6">
      <w:pPr>
        <w:numPr>
          <w:ilvl w:val="0"/>
          <w:numId w:val="312"/>
        </w:numPr>
        <w:ind w:left="0"/>
        <w:rPr>
          <w:noProof/>
        </w:rPr>
      </w:pPr>
      <w:r>
        <w:rPr>
          <w:noProof/>
        </w:rPr>
        <w:t>Starptautiskie standarti, ko izstrādāju</w:t>
      </w:r>
      <w:r>
        <w:rPr>
          <w:noProof/>
        </w:rPr>
        <w:t>si Starptautiskā Standartizācijas organizācija (</w:t>
      </w:r>
      <w:r>
        <w:rPr>
          <w:i/>
          <w:noProof/>
        </w:rPr>
        <w:t>ISO</w:t>
      </w:r>
      <w:r>
        <w:rPr>
          <w:noProof/>
        </w:rPr>
        <w:t>), Starptautiskā Elektrotehnikas komisija (</w:t>
      </w:r>
      <w:r>
        <w:rPr>
          <w:i/>
          <w:noProof/>
        </w:rPr>
        <w:t>IEC</w:t>
      </w:r>
      <w:r>
        <w:rPr>
          <w:noProof/>
        </w:rPr>
        <w:t>), Starptautiskā Telesakaru savienība (</w:t>
      </w:r>
      <w:r>
        <w:rPr>
          <w:i/>
          <w:noProof/>
        </w:rPr>
        <w:t>ITU</w:t>
      </w:r>
      <w:r>
        <w:rPr>
          <w:noProof/>
        </w:rPr>
        <w:t>) un Pārtikas kodeksa komisija (</w:t>
      </w:r>
      <w:r>
        <w:rPr>
          <w:i/>
          <w:noProof/>
        </w:rPr>
        <w:t>Codex</w:t>
      </w:r>
      <w:r>
        <w:rPr>
          <w:noProof/>
        </w:rPr>
        <w:t xml:space="preserve">), ir attiecīgie starptautiskie standarti </w:t>
      </w:r>
      <w:r>
        <w:rPr>
          <w:i/>
          <w:noProof/>
        </w:rPr>
        <w:t>TBT</w:t>
      </w:r>
      <w:r>
        <w:rPr>
          <w:noProof/>
        </w:rPr>
        <w:t xml:space="preserve"> nolīguma 2. panta, 5. panta un 3. pielikuma nozīmē.</w:t>
      </w:r>
    </w:p>
    <w:p w:rsidR="003E022D" w:rsidRDefault="007D19D6">
      <w:pPr>
        <w:numPr>
          <w:ilvl w:val="0"/>
          <w:numId w:val="312"/>
        </w:numPr>
        <w:rPr>
          <w:noProof/>
        </w:rPr>
      </w:pPr>
      <w:r>
        <w:rPr>
          <w:noProof/>
        </w:rPr>
        <w:t xml:space="preserve">Standartus, ko izstrādājušas citas starptautiskas organizācijas, arī varētu uzskatīt par attiecīgu starptautisko standartu </w:t>
      </w:r>
      <w:r>
        <w:rPr>
          <w:i/>
          <w:noProof/>
        </w:rPr>
        <w:t>TBT</w:t>
      </w:r>
      <w:r>
        <w:rPr>
          <w:noProof/>
        </w:rPr>
        <w:t xml:space="preserve"> nolīguma 2. panta, 5. panta un 3. pielikuma nozīmē ar nosacījumu, ka:</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sta</w:t>
      </w:r>
      <w:r>
        <w:rPr>
          <w:rFonts w:asciiTheme="minorHAnsi" w:hAnsiTheme="minorHAnsi"/>
          <w:noProof/>
        </w:rPr>
        <w:t>ndartu ir izstrādājusi standartizācijas iestāde, kas tiecas izveidot vienprātību vai nu</w:t>
      </w:r>
    </w:p>
    <w:p w:rsidR="003E022D" w:rsidRDefault="007D19D6">
      <w:pPr>
        <w:numPr>
          <w:ilvl w:val="0"/>
          <w:numId w:val="1268"/>
        </w:numPr>
        <w:ind w:left="1276" w:hanging="567"/>
        <w:rPr>
          <w:noProof/>
        </w:rPr>
      </w:pPr>
      <w:r>
        <w:rPr>
          <w:noProof/>
        </w:rPr>
        <w:t xml:space="preserve">to iesaistīto PTO dalībnieku valstu delegāciju starpā, kuras pārstāv visas to teritorijā esošās valsts standartizācijas struktūras, kas ir pieņēmušas vai plāno pieņemt </w:t>
      </w:r>
      <w:r>
        <w:rPr>
          <w:noProof/>
        </w:rPr>
        <w:t xml:space="preserve">standartus attiecībā uz priekšmetu, ar kuru ir saistīta starptautiskā standartizācijas darbība, vai </w:t>
      </w:r>
    </w:p>
    <w:p w:rsidR="003E022D" w:rsidRDefault="007D19D6">
      <w:pPr>
        <w:numPr>
          <w:ilvl w:val="0"/>
          <w:numId w:val="1268"/>
        </w:numPr>
        <w:ind w:left="1276" w:hanging="567"/>
        <w:rPr>
          <w:noProof/>
        </w:rPr>
      </w:pPr>
      <w:r>
        <w:rPr>
          <w:noProof/>
        </w:rPr>
        <w:t>iesaistīto PTO dalībnieku valdības struktūru starpā, un</w:t>
      </w:r>
    </w:p>
    <w:p w:rsidR="003E022D" w:rsidRDefault="007D19D6">
      <w:pPr>
        <w:rPr>
          <w:noProof/>
        </w:rPr>
      </w:pPr>
      <w:r>
        <w:rPr>
          <w:noProof/>
        </w:rPr>
        <w:t>b)</w:t>
      </w:r>
      <w:r>
        <w:rPr>
          <w:noProof/>
        </w:rPr>
        <w:tab/>
        <w:t xml:space="preserve">tas ir izstrādāts saskaņā ar PTO Tirdzniecības tehnisko šķēršļu komitejas lēmumu par principiem </w:t>
      </w:r>
      <w:r>
        <w:rPr>
          <w:noProof/>
        </w:rPr>
        <w:t xml:space="preserve">starptautisko standartu, rokasgrāmatu un ieteikumu izstrādei saistībā ar </w:t>
      </w:r>
      <w:r>
        <w:rPr>
          <w:i/>
          <w:noProof/>
        </w:rPr>
        <w:t>TBT</w:t>
      </w:r>
      <w:r>
        <w:rPr>
          <w:noProof/>
        </w:rPr>
        <w:t xml:space="preserve"> nolīguma 2. un 5. pantu un 3. pielikumu</w:t>
      </w:r>
      <w:r>
        <w:rPr>
          <w:rStyle w:val="FootnoteReference"/>
          <w:rFonts w:ascii="Arial" w:hAnsi="Arial" w:cs="Arial"/>
          <w:noProof/>
        </w:rPr>
        <w:footnoteReference w:id="4"/>
      </w:r>
      <w:r>
        <w:rPr>
          <w:noProof/>
        </w:rPr>
        <w:t xml:space="preserve">. </w:t>
      </w:r>
    </w:p>
    <w:p w:rsidR="003E022D" w:rsidRDefault="007D19D6">
      <w:pPr>
        <w:numPr>
          <w:ilvl w:val="0"/>
          <w:numId w:val="312"/>
        </w:numPr>
        <w:ind w:left="0"/>
        <w:rPr>
          <w:rFonts w:cstheme="minorHAnsi"/>
          <w:noProof/>
        </w:rPr>
      </w:pPr>
      <w:r>
        <w:rPr>
          <w:noProof/>
        </w:rPr>
        <w:t>Ja kāda Puse par pamatu tehniskiem noteikumiem neizmanto starptautiskos standartus, tā pēc otras Puses pieprasījuma norāda jebkādas būti</w:t>
      </w:r>
      <w:r>
        <w:rPr>
          <w:noProof/>
        </w:rPr>
        <w:t xml:space="preserve">skas novirzes no attiecīgā starptautiskā standarta, paskaidro iemeslus, kāpēc šādi standarti atzīti par nepiemērotiem vai neefektīviem izvirzītā mērķa sasniegšanai, un sniedz zinātniskos vai tehniskos pierādījumus, kas bija minētā novērtējuma pamatā. </w:t>
      </w:r>
    </w:p>
    <w:p w:rsidR="003E022D" w:rsidRDefault="007D19D6">
      <w:pPr>
        <w:numPr>
          <w:ilvl w:val="0"/>
          <w:numId w:val="312"/>
        </w:numPr>
        <w:ind w:left="0"/>
        <w:rPr>
          <w:noProof/>
        </w:rPr>
      </w:pPr>
      <w:r>
        <w:rPr>
          <w:noProof/>
        </w:rPr>
        <w:t>Katr</w:t>
      </w:r>
      <w:r>
        <w:rPr>
          <w:noProof/>
        </w:rPr>
        <w:t>a Puse pārskata savus tehniskos noteikumus, lai palielinātu minēto tehnisko noteikumu konverģenci ar attiecīgajiem starptautiskajiem standartiem, cita starpā ņemot vērā notikumu attīstību attiecīgajos starptautiskajos standartos vai jebkādas apstākļu izmai</w:t>
      </w:r>
      <w:r>
        <w:rPr>
          <w:noProof/>
        </w:rPr>
        <w:t xml:space="preserve">ņas, kas ir radījušas novirzes no jebkura attiecīgā starptautiskā standarta.  </w:t>
      </w:r>
    </w:p>
    <w:p w:rsidR="003E022D" w:rsidRDefault="007D19D6">
      <w:pPr>
        <w:numPr>
          <w:ilvl w:val="0"/>
          <w:numId w:val="312"/>
        </w:numPr>
        <w:ind w:left="0"/>
        <w:rPr>
          <w:noProof/>
        </w:rPr>
      </w:pPr>
      <w:bookmarkStart w:id="118" w:name="_Hlk55036660"/>
      <w:r>
        <w:rPr>
          <w:noProof/>
        </w:rPr>
        <w:t xml:space="preserve">Saskaņā ar </w:t>
      </w:r>
      <w:bookmarkEnd w:id="118"/>
      <w:r>
        <w:rPr>
          <w:noProof/>
        </w:rPr>
        <w:t>saviem attiecīgajiem noteikumiem un procedūrām un neskarot X sadaļu [Laba regulatīvā prakse un regulatīvā sadarbība], ja tiek izstrādāts būtisks tehniskais noteikums,</w:t>
      </w:r>
      <w:r>
        <w:rPr>
          <w:noProof/>
        </w:rPr>
        <w:t xml:space="preserve"> kas var ievērojami ietekmēt tirdzniecību, katra Puse nodrošina, ka pastāv procedūras, kuras ļauj personām paust savu viedokli sabiedriskā apspriešanā, izņemot gadījumus, kad rodas vai draud rasties steidzamas drošuma, veselības, vides vai valsts drošības </w:t>
      </w:r>
      <w:r>
        <w:rPr>
          <w:noProof/>
        </w:rPr>
        <w:t>problēmas. Katra Puse atļauj otras Puses personām piedalīties šādās apspriešanās uz nosacījumiem, kas nav mazāk labvēlīgi kā tie, kurus nodrošina saviem valstspiederīgajiem, un publisko minēto apspriešanu rezultātus.</w:t>
      </w:r>
    </w:p>
    <w:p w:rsidR="003E022D" w:rsidRDefault="007D19D6">
      <w:pPr>
        <w:pStyle w:val="Article"/>
        <w:rPr>
          <w:noProof/>
        </w:rPr>
      </w:pPr>
      <w:bookmarkStart w:id="119" w:name="_Toc58163456"/>
      <w:r>
        <w:rPr>
          <w:noProof/>
        </w:rPr>
        <w:t>TBT.5. pants. Standarti</w:t>
      </w:r>
      <w:bookmarkEnd w:id="119"/>
      <w:r>
        <w:rPr>
          <w:noProof/>
        </w:rPr>
        <w:t xml:space="preserve"> </w:t>
      </w:r>
    </w:p>
    <w:p w:rsidR="003E022D" w:rsidRDefault="007D19D6">
      <w:pPr>
        <w:numPr>
          <w:ilvl w:val="0"/>
          <w:numId w:val="357"/>
        </w:numPr>
        <w:ind w:left="0" w:firstLine="0"/>
        <w:rPr>
          <w:noProof/>
        </w:rPr>
      </w:pPr>
      <w:r>
        <w:rPr>
          <w:noProof/>
        </w:rPr>
        <w:t>Katra Puse mud</w:t>
      </w:r>
      <w:r>
        <w:rPr>
          <w:noProof/>
        </w:rPr>
        <w:t xml:space="preserve">ina standartizācijas iestādes, kas izveidotas tās teritorijā, kā arī reģionālās standartizācijas iestādes, kuru dalībnieces ir kāda Puse vai tās teritorijā izveidotās standartizācijas iestādes: </w:t>
      </w:r>
    </w:p>
    <w:p w:rsidR="003E022D" w:rsidRDefault="007D19D6">
      <w:pPr>
        <w:numPr>
          <w:ilvl w:val="0"/>
          <w:numId w:val="313"/>
        </w:numPr>
        <w:ind w:left="567" w:hanging="567"/>
        <w:rPr>
          <w:noProof/>
        </w:rPr>
      </w:pPr>
      <w:r>
        <w:rPr>
          <w:noProof/>
        </w:rPr>
        <w:t>savu resursu robežās piedalīties to starptautisko standartu s</w:t>
      </w:r>
      <w:r>
        <w:rPr>
          <w:noProof/>
        </w:rPr>
        <w:t xml:space="preserve">agatavošanā, ko izstrādā attiecīgās starptautiskās standartizācijas iestādes; </w:t>
      </w:r>
    </w:p>
    <w:p w:rsidR="003E022D" w:rsidRDefault="007D19D6">
      <w:pPr>
        <w:numPr>
          <w:ilvl w:val="0"/>
          <w:numId w:val="313"/>
        </w:numPr>
        <w:ind w:left="567" w:hanging="567"/>
        <w:rPr>
          <w:noProof/>
        </w:rPr>
      </w:pPr>
      <w:r>
        <w:rPr>
          <w:noProof/>
        </w:rPr>
        <w:t>izmantot attiecīgos starptautiskos standartus par pamatu standartiem, ko tās izstrādā, izņemot gadījumus, kad šādi starptautiski standarti būtu neefektīvi vai nepiemēroti, piemē</w:t>
      </w:r>
      <w:r>
        <w:rPr>
          <w:noProof/>
        </w:rPr>
        <w:t xml:space="preserve">ram, tie nenodrošina pietiekamu aizsardzības līmeni vai pastāv fundamentāli klimata vai ģeogrāfiski faktori vai fundamentālas tehnoloģiskas problēmas;  </w:t>
      </w:r>
    </w:p>
    <w:p w:rsidR="003E022D" w:rsidRDefault="007D19D6">
      <w:pPr>
        <w:numPr>
          <w:ilvl w:val="0"/>
          <w:numId w:val="313"/>
        </w:numPr>
        <w:ind w:left="567" w:hanging="567"/>
        <w:rPr>
          <w:noProof/>
        </w:rPr>
      </w:pPr>
      <w:r>
        <w:rPr>
          <w:noProof/>
        </w:rPr>
        <w:t>izvairīties no dublēšanās vai pārklāšanās ar darbībām, ko veic starptautiskās standartizācijas iestādes</w:t>
      </w:r>
      <w:r>
        <w:rPr>
          <w:noProof/>
        </w:rPr>
        <w:t xml:space="preserve">;  </w:t>
      </w:r>
    </w:p>
    <w:p w:rsidR="003E022D" w:rsidRDefault="007D19D6">
      <w:pPr>
        <w:numPr>
          <w:ilvl w:val="0"/>
          <w:numId w:val="313"/>
        </w:numPr>
        <w:ind w:left="567" w:hanging="567"/>
        <w:rPr>
          <w:noProof/>
        </w:rPr>
      </w:pPr>
      <w:r>
        <w:rPr>
          <w:noProof/>
        </w:rPr>
        <w:t xml:space="preserve">regulāri pārskatīt valsts un reģionālos standartus, kuru pamatā nav attiecīgie starptautiskie standarti, nolūkā palielināt minēto standartu konverģenci ar attiecīgajiem starptautiskajiem standartiem; </w:t>
      </w:r>
    </w:p>
    <w:p w:rsidR="003E022D" w:rsidRDefault="007D19D6">
      <w:pPr>
        <w:numPr>
          <w:ilvl w:val="0"/>
          <w:numId w:val="313"/>
        </w:numPr>
        <w:ind w:left="567" w:hanging="567"/>
        <w:rPr>
          <w:noProof/>
        </w:rPr>
      </w:pPr>
      <w:r>
        <w:rPr>
          <w:noProof/>
        </w:rPr>
        <w:t>sadarboties ar attiecīgajām otras Puses standartizā</w:t>
      </w:r>
      <w:r>
        <w:rPr>
          <w:noProof/>
        </w:rPr>
        <w:t xml:space="preserve">cijas iestādēm starptautiskās standartizācijas darbībās, tostarp sadarbojoties starptautiskās standartizācijas iestādē vai reģionālā līmenī; </w:t>
      </w:r>
    </w:p>
    <w:p w:rsidR="003E022D" w:rsidRDefault="007D19D6">
      <w:pPr>
        <w:numPr>
          <w:ilvl w:val="0"/>
          <w:numId w:val="313"/>
        </w:numPr>
        <w:ind w:left="567" w:hanging="567"/>
        <w:rPr>
          <w:noProof/>
        </w:rPr>
      </w:pPr>
      <w:r>
        <w:rPr>
          <w:noProof/>
        </w:rPr>
        <w:t>veicināt divpusēju sadarbību ar otras Puses standartizācijas iestādēm un</w:t>
      </w:r>
    </w:p>
    <w:p w:rsidR="003E022D" w:rsidRDefault="007D19D6">
      <w:pPr>
        <w:numPr>
          <w:ilvl w:val="0"/>
          <w:numId w:val="313"/>
        </w:numPr>
        <w:ind w:left="567" w:hanging="567"/>
        <w:rPr>
          <w:noProof/>
        </w:rPr>
      </w:pPr>
      <w:r>
        <w:rPr>
          <w:noProof/>
        </w:rPr>
        <w:t xml:space="preserve"> apmainīties ar informāciju starp standar</w:t>
      </w:r>
      <w:r>
        <w:rPr>
          <w:noProof/>
        </w:rPr>
        <w:t xml:space="preserve">tizācijas iestādēm. </w:t>
      </w:r>
    </w:p>
    <w:p w:rsidR="003E022D" w:rsidRDefault="007D19D6">
      <w:pPr>
        <w:rPr>
          <w:noProof/>
          <w:lang w:val="fr-BE"/>
        </w:rPr>
      </w:pPr>
      <w:r>
        <w:rPr>
          <w:noProof/>
          <w:lang w:val="fr-BE"/>
        </w:rPr>
        <w:t xml:space="preserve">2. </w:t>
      </w:r>
      <w:r>
        <w:rPr>
          <w:noProof/>
          <w:lang w:val="fr-BE"/>
        </w:rPr>
        <w:tab/>
        <w:t xml:space="preserve">Puses apmainās ar informāciju par:  </w:t>
      </w:r>
    </w:p>
    <w:p w:rsidR="003E022D" w:rsidRDefault="007D19D6">
      <w:pPr>
        <w:numPr>
          <w:ilvl w:val="0"/>
          <w:numId w:val="314"/>
        </w:numPr>
        <w:ind w:left="567" w:hanging="567"/>
        <w:rPr>
          <w:noProof/>
          <w:lang w:val="fr-BE"/>
        </w:rPr>
      </w:pPr>
      <w:r>
        <w:rPr>
          <w:noProof/>
          <w:lang w:val="fr-BE"/>
        </w:rPr>
        <w:t xml:space="preserve">savu standartu attiecīgo izmantošanu tehnisko noteikumu atbalstam  un </w:t>
      </w:r>
    </w:p>
    <w:p w:rsidR="003E022D" w:rsidRDefault="007D19D6">
      <w:pPr>
        <w:numPr>
          <w:ilvl w:val="0"/>
          <w:numId w:val="314"/>
        </w:numPr>
        <w:ind w:left="567" w:hanging="567"/>
        <w:rPr>
          <w:noProof/>
          <w:lang w:val="fr-BE"/>
        </w:rPr>
      </w:pPr>
      <w:r>
        <w:rPr>
          <w:noProof/>
          <w:lang w:val="fr-BE"/>
        </w:rPr>
        <w:t>saviem attiecīgajiem standartizācijas procesiem un apmēru, kādā starptautiskie, reģionālie vai apakšreģionālie standarti ti</w:t>
      </w:r>
      <w:r>
        <w:rPr>
          <w:noProof/>
          <w:lang w:val="fr-BE"/>
        </w:rPr>
        <w:t xml:space="preserve">ek izmantoti par pamatu valsts standartiem. </w:t>
      </w:r>
    </w:p>
    <w:p w:rsidR="003E022D" w:rsidRDefault="007D19D6">
      <w:pPr>
        <w:rPr>
          <w:noProof/>
          <w:lang w:val="fr-BE"/>
        </w:rPr>
      </w:pPr>
      <w:r>
        <w:rPr>
          <w:noProof/>
          <w:lang w:val="fr-BE"/>
        </w:rPr>
        <w:t xml:space="preserve">3. </w:t>
      </w:r>
      <w:r>
        <w:rPr>
          <w:noProof/>
          <w:lang w:val="fr-BE"/>
        </w:rPr>
        <w:tab/>
        <w:t>Ja tehnisko noteikumu projektā vai atbilstības novērtēšanas procedūrā standarti ir padarīti obligāti, tos iekļaujot tur vai atsaucoties uz tiem, tad piemēro pārredzamības pienākumus, kas noteikti TBT.7. pant</w:t>
      </w:r>
      <w:r>
        <w:rPr>
          <w:noProof/>
          <w:lang w:val="fr-BE"/>
        </w:rPr>
        <w:t xml:space="preserve">ā [Pārredzamība] un TBT nolīguma 2. vai 5. pantā. </w:t>
      </w:r>
    </w:p>
    <w:p w:rsidR="003E022D" w:rsidRDefault="007D19D6">
      <w:pPr>
        <w:pStyle w:val="Article"/>
        <w:rPr>
          <w:noProof/>
        </w:rPr>
      </w:pPr>
      <w:bookmarkStart w:id="120" w:name="_Toc58163457"/>
      <w:r>
        <w:rPr>
          <w:noProof/>
        </w:rPr>
        <w:t>TBT.6. pants. Atbilstības novērtēšana</w:t>
      </w:r>
      <w:bookmarkEnd w:id="120"/>
      <w:r>
        <w:rPr>
          <w:noProof/>
        </w:rPr>
        <w:t xml:space="preserve"> </w:t>
      </w:r>
    </w:p>
    <w:p w:rsidR="003E022D" w:rsidRDefault="007D19D6">
      <w:pPr>
        <w:numPr>
          <w:ilvl w:val="0"/>
          <w:numId w:val="315"/>
        </w:numPr>
        <w:ind w:left="0"/>
        <w:rPr>
          <w:noProof/>
        </w:rPr>
      </w:pPr>
      <w:r>
        <w:rPr>
          <w:noProof/>
        </w:rPr>
        <w:t xml:space="preserve">TBT.4. pants [Tehniskie noteikumi] par tehnisko noteikumu sagatavošanu, pieņemšanu un piemērošanu </w:t>
      </w:r>
      <w:r>
        <w:rPr>
          <w:i/>
          <w:iCs/>
          <w:noProof/>
        </w:rPr>
        <w:t>mutatis mutandis</w:t>
      </w:r>
      <w:r>
        <w:rPr>
          <w:noProof/>
        </w:rPr>
        <w:t xml:space="preserve"> attiecas arī uz atbilstības novērtēšanas procedūrām</w:t>
      </w:r>
      <w:r>
        <w:rPr>
          <w:noProof/>
        </w:rPr>
        <w:t xml:space="preserve">.  </w:t>
      </w:r>
    </w:p>
    <w:p w:rsidR="003E022D" w:rsidRDefault="007D19D6">
      <w:pPr>
        <w:numPr>
          <w:ilvl w:val="0"/>
          <w:numId w:val="315"/>
        </w:numPr>
        <w:ind w:left="0"/>
        <w:rPr>
          <w:noProof/>
        </w:rPr>
      </w:pPr>
      <w:r>
        <w:rPr>
          <w:noProof/>
        </w:rPr>
        <w:t xml:space="preserve">Ja kāda Puse pieprasa atbilstības novērtēšanu kā pozitīvu apliecinājumu tam, ka ražojums atbilst kādiem tehniskajiem noteikumiem, tā: </w:t>
      </w:r>
    </w:p>
    <w:p w:rsidR="003E022D" w:rsidRDefault="007D19D6">
      <w:pPr>
        <w:numPr>
          <w:ilvl w:val="0"/>
          <w:numId w:val="316"/>
        </w:numPr>
        <w:ind w:left="567" w:hanging="567"/>
        <w:rPr>
          <w:noProof/>
        </w:rPr>
      </w:pPr>
      <w:r>
        <w:rPr>
          <w:noProof/>
        </w:rPr>
        <w:t>izvēlas atbilstības novērtēšanas procedūras, kas ir samērīgas ar saistītajiem riskiem, kuri noteikti, pamatojoties uz</w:t>
      </w:r>
      <w:r>
        <w:rPr>
          <w:noProof/>
        </w:rPr>
        <w:t xml:space="preserve"> riska novērtējumu; </w:t>
      </w:r>
    </w:p>
    <w:p w:rsidR="003E022D" w:rsidRDefault="007D19D6">
      <w:pPr>
        <w:numPr>
          <w:ilvl w:val="0"/>
          <w:numId w:val="316"/>
        </w:numPr>
        <w:ind w:left="567" w:hanging="567"/>
        <w:rPr>
          <w:noProof/>
        </w:rPr>
      </w:pPr>
      <w:r>
        <w:rPr>
          <w:noProof/>
        </w:rPr>
        <w:t>starp iespējām pierādīt atbilstību tehniskajiem noteikumiem par pierādījumu atbilstībai tehniskajiem noteikumiem uzskata piegādātāja atbilstības deklarāciju, t.  i., atbilstības deklarāciju, kuru ražotājs izdevis uz savu atbildību un k</w:t>
      </w:r>
      <w:r>
        <w:rPr>
          <w:noProof/>
        </w:rPr>
        <w:t xml:space="preserve">urā nav paredzēta obligāta trešās personas veikta novērtēšana; </w:t>
      </w:r>
    </w:p>
    <w:p w:rsidR="003E022D" w:rsidRDefault="007D19D6">
      <w:pPr>
        <w:numPr>
          <w:ilvl w:val="0"/>
          <w:numId w:val="316"/>
        </w:numPr>
        <w:ind w:left="567" w:hanging="567"/>
        <w:rPr>
          <w:noProof/>
        </w:rPr>
      </w:pPr>
      <w:r>
        <w:rPr>
          <w:noProof/>
        </w:rPr>
        <w:t xml:space="preserve">pēc otras Puses pieprasījuma sniedz informāciju par kritērijiem, ko izmanto, lai izvēlētos atbilstības novērtēšanas procedūras konkrētiem ražojumiem. </w:t>
      </w:r>
    </w:p>
    <w:p w:rsidR="003E022D" w:rsidRDefault="007D19D6">
      <w:pPr>
        <w:numPr>
          <w:ilvl w:val="0"/>
          <w:numId w:val="315"/>
        </w:numPr>
        <w:ind w:left="0"/>
        <w:rPr>
          <w:noProof/>
        </w:rPr>
      </w:pPr>
      <w:r>
        <w:rPr>
          <w:noProof/>
        </w:rPr>
        <w:t>Ja kāda Puse pieprasa trešās personas vei</w:t>
      </w:r>
      <w:r>
        <w:rPr>
          <w:noProof/>
        </w:rPr>
        <w:t xml:space="preserve">ktu atbilstības novērtējumu kā pozitīvu apliecinājumu tam, ka ražojums atbilst kādiem tehniskajiem noteikumiem, un tā nav paredzējusi šo uzdevumu veikt kādai valdības iestādei, kā norādīts 4. punktā, tā: </w:t>
      </w:r>
    </w:p>
    <w:p w:rsidR="003E022D" w:rsidRDefault="007D19D6">
      <w:pPr>
        <w:numPr>
          <w:ilvl w:val="0"/>
          <w:numId w:val="317"/>
        </w:numPr>
        <w:ind w:left="567" w:hanging="567"/>
        <w:rPr>
          <w:noProof/>
        </w:rPr>
      </w:pPr>
      <w:r>
        <w:rPr>
          <w:noProof/>
        </w:rPr>
        <w:t>attiecīgā gadījumā izmanto akreditāciju kā līdzekli, ar kuru apliecina tehnisko kompetenci, lai kvalificētu atbilstības novērtēšanas struktūras. Neskarot Pušu tiesības noteikt prasības atbilstības novērtēšanas struktūrām, katra Puse atzīst vērtīgo lomu, kā</w:t>
      </w:r>
      <w:r>
        <w:rPr>
          <w:noProof/>
        </w:rPr>
        <w:t xml:space="preserve">da atbilstības novērtēšanas struktūru kvalificēšanā var būt akreditācijai, ko veic ar valdības piešķirtām pilnvarām un uz nekomerciāliem pamatiem; </w:t>
      </w:r>
    </w:p>
    <w:p w:rsidR="003E022D" w:rsidRDefault="007D19D6">
      <w:pPr>
        <w:numPr>
          <w:ilvl w:val="0"/>
          <w:numId w:val="317"/>
        </w:numPr>
        <w:ind w:left="567" w:hanging="567"/>
        <w:rPr>
          <w:noProof/>
        </w:rPr>
      </w:pPr>
      <w:r>
        <w:rPr>
          <w:noProof/>
        </w:rPr>
        <w:t xml:space="preserve">izmanto attiecīgos starptautiskos akreditācijas un atbilstības novērtēšanas standartus; </w:t>
      </w:r>
    </w:p>
    <w:p w:rsidR="003E022D" w:rsidRDefault="007D19D6">
      <w:pPr>
        <w:numPr>
          <w:ilvl w:val="0"/>
          <w:numId w:val="317"/>
        </w:numPr>
        <w:ind w:left="567" w:hanging="567"/>
        <w:rPr>
          <w:noProof/>
        </w:rPr>
      </w:pPr>
      <w:r>
        <w:rPr>
          <w:noProof/>
        </w:rPr>
        <w:t>mudina akreditācija</w:t>
      </w:r>
      <w:r>
        <w:rPr>
          <w:noProof/>
        </w:rPr>
        <w:t xml:space="preserve">s struktūras un atbilstības novērtēšanas struktūras, kas atrodas tās teritorijā, pievienoties jebkādiem attiecīgiem funkcionējošiem starptautiskiem nolīgumiem vai pasākumiem atbilstības novērtēšanas rezultātu saskaņošanai vai atzīšanas atvieglošanai;  </w:t>
      </w:r>
    </w:p>
    <w:p w:rsidR="003E022D" w:rsidRDefault="007D19D6">
      <w:pPr>
        <w:numPr>
          <w:ilvl w:val="0"/>
          <w:numId w:val="317"/>
        </w:numPr>
        <w:ind w:left="567" w:hanging="567"/>
        <w:rPr>
          <w:noProof/>
        </w:rPr>
      </w:pPr>
      <w:r>
        <w:rPr>
          <w:noProof/>
        </w:rPr>
        <w:t xml:space="preserve">ja </w:t>
      </w:r>
      <w:r>
        <w:rPr>
          <w:noProof/>
        </w:rPr>
        <w:t>kāda Puse ir pilnvarojusi divas vai vairākas atbilstības novērtēšanas struktūras veikt atbilstības novērtēšanas procedūras, kas vajadzīgas, lai ražojumu laistu tirgū, nodrošina, ka uzņēmējiem ir izvēle starp atbilstības novērtēšanas struktūrām, kuras attie</w:t>
      </w:r>
      <w:r>
        <w:rPr>
          <w:noProof/>
        </w:rPr>
        <w:t xml:space="preserve">cībā uz konkrētu ražojumu vai ražojumu kopumu izraudzījušās Puses iestādes; </w:t>
      </w:r>
    </w:p>
    <w:p w:rsidR="003E022D" w:rsidRDefault="007D19D6">
      <w:pPr>
        <w:numPr>
          <w:ilvl w:val="0"/>
          <w:numId w:val="317"/>
        </w:numPr>
        <w:ind w:left="567" w:hanging="567"/>
        <w:rPr>
          <w:noProof/>
        </w:rPr>
      </w:pPr>
      <w:r>
        <w:rPr>
          <w:noProof/>
        </w:rPr>
        <w:t>nodrošina, ka atbilstības novērtēšanas struktūras ir neatkarīgas no ražotājiem, importētājiem un uzņēmējiem kopumā un ka starp akreditācijas struktūrām un atbilstības novērtēšanas</w:t>
      </w:r>
      <w:r>
        <w:rPr>
          <w:noProof/>
        </w:rPr>
        <w:t xml:space="preserve"> struktūrām nepastāv interešu konflikti; </w:t>
      </w:r>
    </w:p>
    <w:p w:rsidR="003E022D" w:rsidRDefault="007D19D6">
      <w:pPr>
        <w:numPr>
          <w:ilvl w:val="0"/>
          <w:numId w:val="317"/>
        </w:numPr>
        <w:ind w:left="567" w:hanging="567"/>
        <w:rPr>
          <w:noProof/>
        </w:rPr>
      </w:pPr>
      <w:r>
        <w:rPr>
          <w:noProof/>
        </w:rPr>
        <w:t>atļauj atbilstības novērtēšanas struktūrām izmantot apakšuzņēmējus, tostarp apakšuzņēmējus, kas atrodas otras Puses teritorijā, lai veiktu testēšanu vai inspekcijas saistībā ar atbilstības novērtēšanu, un var piepr</w:t>
      </w:r>
      <w:r>
        <w:rPr>
          <w:noProof/>
        </w:rPr>
        <w:t xml:space="preserve">asīt, lai apakšuzņēmēji atbilstu tām pašām prasībām, kuras atbilstības novērtēšanas struktūrai pašai jāizpilda, lai tā varētu veikt šādu testēšanu vai inspekcijas, un </w:t>
      </w:r>
    </w:p>
    <w:p w:rsidR="003E022D" w:rsidRDefault="007D19D6">
      <w:pPr>
        <w:numPr>
          <w:ilvl w:val="0"/>
          <w:numId w:val="317"/>
        </w:numPr>
        <w:ind w:left="567" w:hanging="567"/>
        <w:rPr>
          <w:noProof/>
        </w:rPr>
      </w:pPr>
      <w:r>
        <w:rPr>
          <w:noProof/>
        </w:rPr>
        <w:t>vienā tīmekļa vietnē publicē to struktūru sarakstu, kuras tā izraudzījusies šādas atbils</w:t>
      </w:r>
      <w:r>
        <w:rPr>
          <w:noProof/>
        </w:rPr>
        <w:t xml:space="preserve">tības novērtēšanas veikšanai, un attiecīgo informāciju par katras šādas struktūras iecelšanas tvērumu.  </w:t>
      </w:r>
    </w:p>
    <w:p w:rsidR="003E022D" w:rsidRDefault="007D19D6">
      <w:pPr>
        <w:rPr>
          <w:noProof/>
        </w:rPr>
      </w:pPr>
      <w:r>
        <w:rPr>
          <w:noProof/>
        </w:rPr>
        <w:t xml:space="preserve">4. </w:t>
      </w:r>
      <w:r>
        <w:rPr>
          <w:noProof/>
        </w:rPr>
        <w:tab/>
        <w:t>Nekas šajā pantā neliedz kādai Pusei pieprasīt, lai atbilstības novērtēšanu attiecībā uz konkrētiem ražojumiem veic tās norādītās pārvaldes iestāde</w:t>
      </w:r>
      <w:r>
        <w:rPr>
          <w:noProof/>
        </w:rPr>
        <w:t xml:space="preserve">s. Ja Puse pieprasa, lai atbilstības novērtēšanu veiktu tās norādītās valdības iestādes, tad Puse: </w:t>
      </w:r>
    </w:p>
    <w:p w:rsidR="003E022D" w:rsidRDefault="007D19D6">
      <w:pPr>
        <w:numPr>
          <w:ilvl w:val="0"/>
          <w:numId w:val="318"/>
        </w:numPr>
        <w:ind w:left="567" w:hanging="567"/>
        <w:rPr>
          <w:noProof/>
        </w:rPr>
      </w:pPr>
      <w:r>
        <w:rPr>
          <w:noProof/>
        </w:rPr>
        <w:t>ierobežo atbilstības novērtēšanas maksas līdz sniegto pakalpojumu aptuvenām izmaksām un pēc atbilstības novērtēšanas pieteikuma iesniedzēja pieprasījuma pas</w:t>
      </w:r>
      <w:r>
        <w:rPr>
          <w:noProof/>
        </w:rPr>
        <w:t xml:space="preserve">kaidro, kā maksas, ko tā nosaka par minēto atbilstības novērtēšanu, nepārsniedz sniegto pakalpojumu aptuvenās izmaksas, un </w:t>
      </w:r>
    </w:p>
    <w:p w:rsidR="003E022D" w:rsidRDefault="007D19D6">
      <w:pPr>
        <w:numPr>
          <w:ilvl w:val="0"/>
          <w:numId w:val="318"/>
        </w:numPr>
        <w:ind w:left="567" w:hanging="567"/>
        <w:rPr>
          <w:noProof/>
        </w:rPr>
      </w:pPr>
      <w:r>
        <w:rPr>
          <w:noProof/>
        </w:rPr>
        <w:t xml:space="preserve">atbilstības novērtēšanas maksas dara publiski pieejamas. </w:t>
      </w:r>
    </w:p>
    <w:p w:rsidR="003E022D" w:rsidRDefault="007D19D6">
      <w:pPr>
        <w:numPr>
          <w:ilvl w:val="0"/>
          <w:numId w:val="319"/>
        </w:numPr>
        <w:ind w:left="0"/>
        <w:rPr>
          <w:noProof/>
        </w:rPr>
      </w:pPr>
      <w:r>
        <w:rPr>
          <w:noProof/>
        </w:rPr>
        <w:t>Neatkarīgi no 2.–4. punkta katra Puse pieņem piegādātāja atbilstības dekla</w:t>
      </w:r>
      <w:r>
        <w:rPr>
          <w:noProof/>
        </w:rPr>
        <w:t>rāciju kā pierādījumu par atbilstību tās tehniskajiem noteikumiem tajās ražojumu jomās, kurās tā to dara šā nolīguma spēkā stāšanās dienā.</w:t>
      </w:r>
    </w:p>
    <w:p w:rsidR="003E022D" w:rsidRDefault="007D19D6">
      <w:pPr>
        <w:numPr>
          <w:ilvl w:val="0"/>
          <w:numId w:val="319"/>
        </w:numPr>
        <w:ind w:left="0"/>
        <w:rPr>
          <w:noProof/>
        </w:rPr>
      </w:pPr>
      <w:r>
        <w:rPr>
          <w:noProof/>
        </w:rPr>
        <w:t>Informācijas nolūkā katra Puse publicē un uztur 5. punktā minēto ražojumu jomu sarakstu kopā ar atsaucēm uz piemēroja</w:t>
      </w:r>
      <w:r>
        <w:rPr>
          <w:noProof/>
        </w:rPr>
        <w:t xml:space="preserve">majiem tehniskajiem noteikumiem. </w:t>
      </w:r>
    </w:p>
    <w:p w:rsidR="003E022D" w:rsidRDefault="007D19D6">
      <w:pPr>
        <w:numPr>
          <w:ilvl w:val="0"/>
          <w:numId w:val="319"/>
        </w:numPr>
        <w:ind w:left="0"/>
        <w:rPr>
          <w:noProof/>
          <w:color w:val="000000" w:themeColor="text1"/>
        </w:rPr>
      </w:pPr>
      <w:r>
        <w:rPr>
          <w:noProof/>
        </w:rPr>
        <w:t>Neatkarīgi no 5. punkta jebkura Puse var ieviest prasības par tajā punktā minēto ražojumu jomu obligātu testēšanu vai sertificēšanu, kuru veic trešā persona, ja šādas prasības ir pamatotas ar leģitīmiem mērķiem un ir samēr</w:t>
      </w:r>
      <w:r>
        <w:rPr>
          <w:noProof/>
        </w:rPr>
        <w:t xml:space="preserve">īgas ar nolūku dot importētājai Pusei pietiekamu pārliecību, ka ražojumi atbilst piemērojamajiem tehniskajiem noteikumiem vai standartiem, ņemot vērā riskus, ko radītu minētā neatbilstība. </w:t>
      </w:r>
    </w:p>
    <w:p w:rsidR="003E022D" w:rsidRDefault="007D19D6">
      <w:pPr>
        <w:numPr>
          <w:ilvl w:val="0"/>
          <w:numId w:val="319"/>
        </w:numPr>
        <w:ind w:left="0"/>
        <w:rPr>
          <w:noProof/>
          <w:color w:val="000000" w:themeColor="text1"/>
        </w:rPr>
      </w:pPr>
      <w:r>
        <w:rPr>
          <w:noProof/>
        </w:rPr>
        <w:t>Puse, kas ierosina ieviest 7. punktā minētās atbilstības novērtēša</w:t>
      </w:r>
      <w:r>
        <w:rPr>
          <w:noProof/>
        </w:rPr>
        <w:t xml:space="preserve">nas procedūras, agrīnā posmā informē otru Pusi un ņem vērā otras Puses piezīmes, izstrādājot jebkuru šādu atbilstības novērtēšanas procedūru. </w:t>
      </w:r>
    </w:p>
    <w:p w:rsidR="003E022D" w:rsidRDefault="007D19D6">
      <w:pPr>
        <w:pStyle w:val="Article"/>
        <w:rPr>
          <w:noProof/>
        </w:rPr>
      </w:pPr>
      <w:bookmarkStart w:id="121" w:name="_Toc58163458"/>
      <w:r>
        <w:rPr>
          <w:noProof/>
        </w:rPr>
        <w:t>TBT.7. pants. Pārredzamība</w:t>
      </w:r>
      <w:bookmarkEnd w:id="121"/>
      <w:r>
        <w:rPr>
          <w:noProof/>
        </w:rPr>
        <w:t xml:space="preserve"> </w:t>
      </w:r>
    </w:p>
    <w:p w:rsidR="003E022D" w:rsidRDefault="007D19D6">
      <w:pPr>
        <w:numPr>
          <w:ilvl w:val="0"/>
          <w:numId w:val="320"/>
        </w:numPr>
        <w:ind w:left="0"/>
        <w:rPr>
          <w:rFonts w:cstheme="minorHAnsi"/>
          <w:noProof/>
        </w:rPr>
      </w:pPr>
      <w:r>
        <w:rPr>
          <w:noProof/>
        </w:rPr>
        <w:t>Izņemot gadījumus, kad rodas vai draud rasties steidzamas drošuma, veselības, vides a</w:t>
      </w:r>
      <w:r>
        <w:rPr>
          <w:noProof/>
        </w:rPr>
        <w:t>izsardzības vai valsts drošības problēmas, katra Puse ļauj otrai Pusei sniegt rakstiskas piezīmes par paziņotajiem ierosinātajiem tehniskajiem noteikumiem un atbilstības novērtēšanas procedūrām vismaz 60 dienu laikā no dienas, kad paziņojums par šādiem not</w:t>
      </w:r>
      <w:r>
        <w:rPr>
          <w:noProof/>
        </w:rPr>
        <w:t xml:space="preserve">eikumiem vai procedūrām nosūtīts PTO centrālajam paziņojumu reģistram. Puse pozitīvi apsver pamatotu lūgumu pagarināt minēto piezīmju iesniegšanas termiņu. </w:t>
      </w:r>
    </w:p>
    <w:p w:rsidR="003E022D" w:rsidRDefault="007D19D6">
      <w:pPr>
        <w:numPr>
          <w:ilvl w:val="0"/>
          <w:numId w:val="320"/>
        </w:numPr>
        <w:ind w:left="0"/>
        <w:rPr>
          <w:noProof/>
        </w:rPr>
      </w:pPr>
      <w:r>
        <w:rPr>
          <w:noProof/>
        </w:rPr>
        <w:t>Katra Puse elektroniski sniedz paziņotā teksta pilnu versiju kopā ar paziņojumu.</w:t>
      </w:r>
      <w:r>
        <w:rPr>
          <w:i/>
          <w:iCs/>
          <w:noProof/>
        </w:rPr>
        <w:t xml:space="preserve"> </w:t>
      </w:r>
      <w:r>
        <w:rPr>
          <w:noProof/>
        </w:rPr>
        <w:t>Ja paziņotais teks</w:t>
      </w:r>
      <w:r>
        <w:rPr>
          <w:noProof/>
        </w:rPr>
        <w:t xml:space="preserve">ts nav vienā no PTO oficiālajām valodām, paziņotāja Puse sniedz pasākuma satura detalizētu un visaptverošu aprakstu PTO paziņojuma formātā.  </w:t>
      </w:r>
    </w:p>
    <w:p w:rsidR="003E022D" w:rsidRDefault="007D19D6">
      <w:pPr>
        <w:numPr>
          <w:ilvl w:val="0"/>
          <w:numId w:val="320"/>
        </w:numPr>
        <w:ind w:left="0"/>
        <w:rPr>
          <w:noProof/>
        </w:rPr>
      </w:pPr>
      <w:r>
        <w:rPr>
          <w:noProof/>
        </w:rPr>
        <w:t xml:space="preserve">Ja kāda Puse no otras Puses saņem rakstiskas piezīmes par tās ierosinātiem tehniskiem noteikumiem vai atbilstības </w:t>
      </w:r>
      <w:r>
        <w:rPr>
          <w:noProof/>
        </w:rPr>
        <w:t xml:space="preserve">novērtēšanas procedūru, tā: </w:t>
      </w:r>
    </w:p>
    <w:p w:rsidR="003E022D" w:rsidRDefault="007D19D6">
      <w:pPr>
        <w:numPr>
          <w:ilvl w:val="0"/>
          <w:numId w:val="321"/>
        </w:numPr>
        <w:ind w:left="567" w:hanging="567"/>
        <w:rPr>
          <w:rFonts w:cstheme="minorHAnsi"/>
          <w:noProof/>
        </w:rPr>
      </w:pPr>
      <w:r>
        <w:rPr>
          <w:noProof/>
        </w:rPr>
        <w:t xml:space="preserve">pēc otras Puses pieprasījuma apspriež rakstiskās piezīmes ar savu kompetento regulatīvo iestādi laikā, kad tos var ņemt vērā, un </w:t>
      </w:r>
    </w:p>
    <w:p w:rsidR="003E022D" w:rsidRDefault="007D19D6">
      <w:pPr>
        <w:numPr>
          <w:ilvl w:val="0"/>
          <w:numId w:val="321"/>
        </w:numPr>
        <w:ind w:left="567" w:hanging="567"/>
        <w:rPr>
          <w:rFonts w:cstheme="minorHAnsi"/>
          <w:noProof/>
        </w:rPr>
      </w:pPr>
      <w:r>
        <w:rPr>
          <w:noProof/>
        </w:rPr>
        <w:t>rakstiski atbild uz piezīmēm ne vēlāk kā tehnisko noteikumu vai atbilstības novērtēšanas procedūr</w:t>
      </w:r>
      <w:r>
        <w:rPr>
          <w:noProof/>
        </w:rPr>
        <w:t xml:space="preserve">as publicēšanas dienā. </w:t>
      </w:r>
    </w:p>
    <w:p w:rsidR="003E022D" w:rsidRDefault="007D19D6">
      <w:pPr>
        <w:numPr>
          <w:ilvl w:val="0"/>
          <w:numId w:val="322"/>
        </w:numPr>
        <w:ind w:left="0"/>
        <w:rPr>
          <w:noProof/>
        </w:rPr>
      </w:pPr>
      <w:r>
        <w:rPr>
          <w:noProof/>
        </w:rPr>
        <w:t xml:space="preserve">Katra Puse cenšas publicēt tīmekļa vietnē savas atbildes uz piezīmēm, ko tā saņēmusi pēc 1. punktā minētā paziņojuma, ne vēlāk kā pieņemto tehnisko noteikumu vai atbilstības novērtēšanas procedūras publicēšanas dienā. </w:t>
      </w:r>
    </w:p>
    <w:p w:rsidR="003E022D" w:rsidRDefault="007D19D6">
      <w:pPr>
        <w:numPr>
          <w:ilvl w:val="0"/>
          <w:numId w:val="322"/>
        </w:numPr>
        <w:ind w:left="0"/>
        <w:rPr>
          <w:noProof/>
        </w:rPr>
      </w:pPr>
      <w:r>
        <w:rPr>
          <w:noProof/>
        </w:rPr>
        <w:t xml:space="preserve">Katra Puse pēc otras Puses pieprasījuma sniedz informāciju par mērķiem, juridisko pamatu un loģisko pamatojumu visiem tehniskajiem noteikumiem vai atbilstības novērtēšanas procedūrai, ko Puse ir pieņēmusi vai ierosina pieņemt. </w:t>
      </w:r>
    </w:p>
    <w:p w:rsidR="003E022D" w:rsidRDefault="007D19D6">
      <w:pPr>
        <w:numPr>
          <w:ilvl w:val="0"/>
          <w:numId w:val="322"/>
        </w:numPr>
        <w:ind w:left="0"/>
        <w:rPr>
          <w:noProof/>
        </w:rPr>
      </w:pPr>
      <w:r>
        <w:rPr>
          <w:noProof/>
        </w:rPr>
        <w:t>Katra Puse nodrošina, ka tās</w:t>
      </w:r>
      <w:r>
        <w:rPr>
          <w:noProof/>
        </w:rPr>
        <w:t xml:space="preserve"> pieņemtos tehniskos noteikumus un atbilstības novērtēšanas procedūras publicē tīmekļa vietnē, kas ir pieejama bez maksas. </w:t>
      </w:r>
    </w:p>
    <w:p w:rsidR="003E022D" w:rsidRDefault="007D19D6">
      <w:pPr>
        <w:numPr>
          <w:ilvl w:val="0"/>
          <w:numId w:val="322"/>
        </w:numPr>
        <w:ind w:left="0"/>
        <w:rPr>
          <w:noProof/>
        </w:rPr>
      </w:pPr>
      <w:r>
        <w:rPr>
          <w:noProof/>
        </w:rPr>
        <w:t>Katra Puse sniedz informāciju par tehnisko noteikumu vai atbilstības novērtēšanas procedūru pieņemšanu un stāšanos spēkā un pieņemto</w:t>
      </w:r>
      <w:r>
        <w:rPr>
          <w:noProof/>
        </w:rPr>
        <w:t xml:space="preserve">s galīgos tekstus, pievienojot papildinājumu sākotnējam paziņojumam PTO. </w:t>
      </w:r>
    </w:p>
    <w:p w:rsidR="003E022D" w:rsidRDefault="007D19D6">
      <w:pPr>
        <w:numPr>
          <w:ilvl w:val="0"/>
          <w:numId w:val="322"/>
        </w:numPr>
        <w:ind w:left="0"/>
        <w:rPr>
          <w:noProof/>
        </w:rPr>
      </w:pPr>
      <w:r>
        <w:rPr>
          <w:noProof/>
        </w:rPr>
        <w:t>Katra Puse nosaka saprātīgu intervālu starp tehnisko noteikumu publicēšanu un to stāšanos spēkā, lai dotu laiku otras Puses uzņēmējiem pielāgoties. “Saprātīgs intervāls” ir laikposms</w:t>
      </w:r>
      <w:r>
        <w:rPr>
          <w:noProof/>
        </w:rPr>
        <w:t xml:space="preserve">, kas ir vismaz seši mēneši, ja vien tas nav neefektīvi, lai sasniegtu likumīgos mērķus.  </w:t>
      </w:r>
    </w:p>
    <w:p w:rsidR="003E022D" w:rsidRDefault="007D19D6">
      <w:pPr>
        <w:numPr>
          <w:ilvl w:val="0"/>
          <w:numId w:val="322"/>
        </w:numPr>
        <w:ind w:left="0"/>
        <w:rPr>
          <w:noProof/>
        </w:rPr>
      </w:pPr>
      <w:r>
        <w:rPr>
          <w:noProof/>
        </w:rPr>
        <w:t>Puse izturas labvēlīgi pret pamatotu otras Puses pieprasījumu, kas saņemts pirms 1. punktā noteiktā piezīmju iesniegšanas termiņa beigām, pagarināt laikposmu no tehn</w:t>
      </w:r>
      <w:r>
        <w:rPr>
          <w:noProof/>
        </w:rPr>
        <w:t>isko noteikumu pieņemšanas līdz to spēkā stāšanās dienai, izņemot gadījumus, kad kavēšanās būtu neefektīva izvirzīto likumīgo mērķu sasniegšanai.</w:t>
      </w:r>
      <w:r>
        <w:rPr>
          <w:noProof/>
          <w:color w:val="2D96D2"/>
        </w:rPr>
        <w:t xml:space="preserve"> </w:t>
      </w:r>
    </w:p>
    <w:p w:rsidR="003E022D" w:rsidRDefault="007D19D6">
      <w:pPr>
        <w:numPr>
          <w:ilvl w:val="0"/>
          <w:numId w:val="322"/>
        </w:numPr>
        <w:ind w:left="0"/>
        <w:rPr>
          <w:noProof/>
        </w:rPr>
      </w:pPr>
      <w:r>
        <w:rPr>
          <w:noProof/>
        </w:rPr>
        <w:t xml:space="preserve">Katra Puse nodrošina, ka informācijas punkts, kas izveidots saskaņā ar </w:t>
      </w:r>
      <w:r>
        <w:rPr>
          <w:i/>
          <w:noProof/>
        </w:rPr>
        <w:t>TBT</w:t>
      </w:r>
      <w:r>
        <w:rPr>
          <w:noProof/>
        </w:rPr>
        <w:t xml:space="preserve"> nolīguma 10. pantu, kādā no PTO of</w:t>
      </w:r>
      <w:r>
        <w:rPr>
          <w:noProof/>
        </w:rPr>
        <w:t xml:space="preserve">iciālajām valodām sniedz informāciju un atbildes uz otras Puses vai otras Puses ieinteresēto personu pamatotiem jautājumiem par pieņemtajiem tehniskajiem noteikumiem un atbilstības novērtēšanas procedūrām. </w:t>
      </w:r>
      <w:r>
        <w:rPr>
          <w:i/>
          <w:iCs/>
          <w:noProof/>
        </w:rPr>
        <w:t xml:space="preserve"> </w:t>
      </w:r>
    </w:p>
    <w:p w:rsidR="003E022D" w:rsidRDefault="007D19D6">
      <w:pPr>
        <w:pStyle w:val="Article"/>
        <w:rPr>
          <w:noProof/>
        </w:rPr>
      </w:pPr>
      <w:bookmarkStart w:id="122" w:name="_Toc58163459"/>
      <w:r>
        <w:rPr>
          <w:noProof/>
        </w:rPr>
        <w:t>TBT.8. pants. Marķēšana un etiķetēšana</w:t>
      </w:r>
      <w:bookmarkEnd w:id="122"/>
      <w:r>
        <w:rPr>
          <w:noProof/>
        </w:rPr>
        <w:t xml:space="preserve"> </w:t>
      </w:r>
    </w:p>
    <w:p w:rsidR="003E022D" w:rsidRDefault="007D19D6">
      <w:pPr>
        <w:numPr>
          <w:ilvl w:val="0"/>
          <w:numId w:val="323"/>
        </w:numPr>
        <w:ind w:left="0"/>
        <w:rPr>
          <w:rFonts w:cstheme="minorHAnsi"/>
          <w:noProof/>
        </w:rPr>
      </w:pPr>
      <w:r>
        <w:rPr>
          <w:noProof/>
        </w:rPr>
        <w:t>Puses te</w:t>
      </w:r>
      <w:r>
        <w:rPr>
          <w:noProof/>
        </w:rPr>
        <w:t xml:space="preserve">hniskie noteikumi var ietvert vienīgi obligātas marķēšanas vai etiķetēšanas prasības vai attiekties tikai uz tām. Šādos gadījumos uz šiem tehniskajiem noteikumiem attiecas </w:t>
      </w:r>
      <w:r>
        <w:rPr>
          <w:i/>
          <w:noProof/>
        </w:rPr>
        <w:t>TBT</w:t>
      </w:r>
      <w:r>
        <w:rPr>
          <w:noProof/>
        </w:rPr>
        <w:t xml:space="preserve"> nolīguma 2.2. panta principi. </w:t>
      </w:r>
    </w:p>
    <w:p w:rsidR="003E022D" w:rsidRDefault="007D19D6">
      <w:pPr>
        <w:numPr>
          <w:ilvl w:val="0"/>
          <w:numId w:val="323"/>
        </w:numPr>
        <w:ind w:left="0"/>
        <w:rPr>
          <w:rFonts w:cstheme="minorHAnsi"/>
          <w:noProof/>
        </w:rPr>
      </w:pPr>
      <w:r>
        <w:rPr>
          <w:noProof/>
        </w:rPr>
        <w:t>Ja kāda Puse pieprasa ražojumu obligātu marķēšanu</w:t>
      </w:r>
      <w:r>
        <w:rPr>
          <w:noProof/>
        </w:rPr>
        <w:t xml:space="preserve"> vai etiķetēšanu, piemēro visus turpmākos nosacījumus: </w:t>
      </w:r>
    </w:p>
    <w:p w:rsidR="003E022D" w:rsidRDefault="007D19D6">
      <w:pPr>
        <w:numPr>
          <w:ilvl w:val="0"/>
          <w:numId w:val="324"/>
        </w:numPr>
        <w:ind w:left="567" w:hanging="567"/>
        <w:rPr>
          <w:rFonts w:cstheme="minorHAnsi"/>
          <w:noProof/>
        </w:rPr>
      </w:pPr>
      <w:r>
        <w:rPr>
          <w:noProof/>
        </w:rPr>
        <w:t xml:space="preserve">tā pieprasa tikai tādu informāciju, kas ir būtiska ražojuma patērētājiem vai lietotājiem, vai informāciju, kura norāda, ka ražojums atbilst obligātajām tehniskajām prasībām; </w:t>
      </w:r>
    </w:p>
    <w:p w:rsidR="003E022D" w:rsidRDefault="007D19D6">
      <w:pPr>
        <w:numPr>
          <w:ilvl w:val="0"/>
          <w:numId w:val="324"/>
        </w:numPr>
        <w:ind w:left="567" w:hanging="567"/>
        <w:rPr>
          <w:rFonts w:cstheme="minorHAnsi"/>
          <w:noProof/>
        </w:rPr>
      </w:pPr>
      <w:r>
        <w:rPr>
          <w:noProof/>
        </w:rPr>
        <w:t>tā nepieprasa, ka ražojum</w:t>
      </w:r>
      <w:r>
        <w:rPr>
          <w:noProof/>
        </w:rPr>
        <w:t>u marķējumam vai etiķetei nepieciešama iepriekšēja apstiprināšana, reģistrācija vai sertifikācija, kā arī nenosaka nekādu maksājumu veikšanu par priekšnoteikumu tādu ražojumu laišanai tirgū, kuri citādi atbilst tās obligātajām tehniskajām prasībām, ja vien</w:t>
      </w:r>
      <w:r>
        <w:rPr>
          <w:noProof/>
        </w:rPr>
        <w:t xml:space="preserve"> tas nav nepieciešams likumīgu mērķu sasniegšanai; </w:t>
      </w:r>
    </w:p>
    <w:p w:rsidR="003E022D" w:rsidRDefault="007D19D6">
      <w:pPr>
        <w:numPr>
          <w:ilvl w:val="0"/>
          <w:numId w:val="324"/>
        </w:numPr>
        <w:ind w:left="567" w:hanging="567"/>
        <w:rPr>
          <w:rFonts w:cstheme="minorHAnsi"/>
          <w:noProof/>
        </w:rPr>
      </w:pPr>
      <w:r>
        <w:rPr>
          <w:noProof/>
        </w:rPr>
        <w:t xml:space="preserve">ja Puse pieprasa, lai uzņēmēji izmantotu unikālu identifikācijas numuru, tā bez nepamatotas kavēšanās un diskriminācijas piešķir šādu numuru otras Puses uzņēmējiem; </w:t>
      </w:r>
    </w:p>
    <w:p w:rsidR="003E022D" w:rsidRDefault="007D19D6">
      <w:pPr>
        <w:numPr>
          <w:ilvl w:val="0"/>
          <w:numId w:val="324"/>
        </w:numPr>
        <w:ind w:left="567" w:hanging="567"/>
        <w:rPr>
          <w:noProof/>
        </w:rPr>
      </w:pPr>
      <w:r>
        <w:rPr>
          <w:noProof/>
        </w:rPr>
        <w:t>ja vien i), ii) vai iii) punktā uzskai</w:t>
      </w:r>
      <w:r>
        <w:rPr>
          <w:noProof/>
        </w:rPr>
        <w:t xml:space="preserve">tītā informācija nav maldinoša, pretrunīga vai neskaidra attiecībā uz informāciju, ko importētāja Puse pieprasa par precēm, importētāja Puse atļauj: </w:t>
      </w:r>
    </w:p>
    <w:p w:rsidR="003E022D" w:rsidRDefault="007D19D6">
      <w:pPr>
        <w:numPr>
          <w:ilvl w:val="1"/>
          <w:numId w:val="324"/>
        </w:numPr>
        <w:ind w:left="1276" w:hanging="567"/>
        <w:rPr>
          <w:noProof/>
        </w:rPr>
      </w:pPr>
      <w:r>
        <w:rPr>
          <w:noProof/>
        </w:rPr>
        <w:t xml:space="preserve">informāciju citās valodās papildus valodai, kuru pieprasa preču importētāja Puse; </w:t>
      </w:r>
    </w:p>
    <w:p w:rsidR="003E022D" w:rsidRDefault="007D19D6">
      <w:pPr>
        <w:numPr>
          <w:ilvl w:val="1"/>
          <w:numId w:val="324"/>
        </w:numPr>
        <w:ind w:left="1276" w:hanging="567"/>
        <w:rPr>
          <w:noProof/>
        </w:rPr>
      </w:pPr>
      <w:r>
        <w:rPr>
          <w:noProof/>
        </w:rPr>
        <w:t>starptautiski akceptēta</w:t>
      </w:r>
      <w:r>
        <w:rPr>
          <w:noProof/>
        </w:rPr>
        <w:t xml:space="preserve">s nomenklatūras, piktogrammas, simbolus vai attēlus un </w:t>
      </w:r>
    </w:p>
    <w:p w:rsidR="003E022D" w:rsidRDefault="007D19D6">
      <w:pPr>
        <w:numPr>
          <w:ilvl w:val="1"/>
          <w:numId w:val="324"/>
        </w:numPr>
        <w:ind w:left="1276" w:hanging="567"/>
        <w:rPr>
          <w:noProof/>
        </w:rPr>
      </w:pPr>
      <w:r>
        <w:rPr>
          <w:noProof/>
        </w:rPr>
        <w:t xml:space="preserve">informāciju papildus tai, kas tiek prasīta preču importētājā Pusē; </w:t>
      </w:r>
    </w:p>
    <w:p w:rsidR="003E022D" w:rsidRDefault="007D19D6">
      <w:pPr>
        <w:numPr>
          <w:ilvl w:val="0"/>
          <w:numId w:val="324"/>
        </w:numPr>
        <w:ind w:left="567" w:hanging="567"/>
        <w:rPr>
          <w:noProof/>
        </w:rPr>
      </w:pPr>
      <w:r>
        <w:rPr>
          <w:noProof/>
        </w:rPr>
        <w:t xml:space="preserve">tā pieņem, ka marķēšana, tostarp papildu marķēšana vai marķējuma labojumi, notiek muitas noliktavās vai citos noteiktos importa </w:t>
      </w:r>
      <w:r>
        <w:rPr>
          <w:noProof/>
        </w:rPr>
        <w:t>valsts apgabalos kā alternatīva marķēšanai izcelsmes valstī, ja vien šāda marķēšana nav jāveic apstiprinātām personām sabiedrības veselības vai drošuma apsvērumu dēļ; un</w:t>
      </w:r>
    </w:p>
    <w:p w:rsidR="003E022D" w:rsidRDefault="007D19D6">
      <w:pPr>
        <w:numPr>
          <w:ilvl w:val="0"/>
          <w:numId w:val="324"/>
        </w:numPr>
        <w:ind w:left="567" w:hanging="567"/>
        <w:rPr>
          <w:noProof/>
        </w:rPr>
      </w:pPr>
      <w:r>
        <w:rPr>
          <w:noProof/>
        </w:rPr>
        <w:t>ja vien tā neuzskata, ka var tikt apdraudēti likumīgie mērķi, tā cenšas pieņemt tādu u</w:t>
      </w:r>
      <w:r>
        <w:rPr>
          <w:noProof/>
        </w:rPr>
        <w:t xml:space="preserve">zlīmju izmantošanu, kas nav pastāvīgas vai ir noņemamas, vai marķējumu vai etiķetes pavaddokumentos, nevis pieprasot, lai marķējums vai etiķetes būtu fiziski piestiprinātas ražojumam. </w:t>
      </w:r>
    </w:p>
    <w:p w:rsidR="003E022D" w:rsidRDefault="007D19D6">
      <w:pPr>
        <w:pStyle w:val="Article"/>
        <w:rPr>
          <w:noProof/>
        </w:rPr>
      </w:pPr>
      <w:bookmarkStart w:id="123" w:name="_Toc58163460"/>
      <w:r>
        <w:rPr>
          <w:noProof/>
        </w:rPr>
        <w:t>TBT.9. pants. Sadarbība tirgus uzraudzības un nepārtikas produktu drošī</w:t>
      </w:r>
      <w:r>
        <w:rPr>
          <w:noProof/>
        </w:rPr>
        <w:t>bas un atbilstības jomā</w:t>
      </w:r>
      <w:bookmarkEnd w:id="123"/>
      <w:r>
        <w:rPr>
          <w:noProof/>
        </w:rPr>
        <w:t xml:space="preserve"> </w:t>
      </w:r>
    </w:p>
    <w:p w:rsidR="003E022D" w:rsidRDefault="007D19D6">
      <w:pPr>
        <w:numPr>
          <w:ilvl w:val="0"/>
          <w:numId w:val="325"/>
        </w:numPr>
        <w:ind w:left="0"/>
        <w:rPr>
          <w:noProof/>
        </w:rPr>
      </w:pPr>
      <w:r>
        <w:rPr>
          <w:noProof/>
        </w:rPr>
        <w:t>Puses atzīst, cik svarīga ir sadarbība tirgus uzraudzības, atbilstības un nepārtikas produktu drošības jomā, lai atvieglotu tirdzniecību un aizsargātu patērētājus un citus lietotājus, kā arī to, cik svarīgi ir veidot savstarpēju uz</w:t>
      </w:r>
      <w:r>
        <w:rPr>
          <w:noProof/>
        </w:rPr>
        <w:t xml:space="preserve">ticēšanos, kuras pamatā ir informācijas apmaiņa.  </w:t>
      </w:r>
    </w:p>
    <w:p w:rsidR="003E022D" w:rsidRDefault="007D19D6">
      <w:pPr>
        <w:numPr>
          <w:ilvl w:val="0"/>
          <w:numId w:val="325"/>
        </w:numPr>
        <w:ind w:left="0"/>
        <w:rPr>
          <w:noProof/>
        </w:rPr>
      </w:pPr>
      <w:r>
        <w:rPr>
          <w:noProof/>
        </w:rPr>
        <w:t xml:space="preserve">Lai garantētu neatkarīgu un objektīvu tirgus uzraudzības darbību, Puses nodrošina: </w:t>
      </w:r>
    </w:p>
    <w:p w:rsidR="003E022D" w:rsidRDefault="007D19D6">
      <w:pPr>
        <w:numPr>
          <w:ilvl w:val="0"/>
          <w:numId w:val="326"/>
        </w:numPr>
        <w:ind w:left="567" w:hanging="567"/>
        <w:rPr>
          <w:noProof/>
        </w:rPr>
      </w:pPr>
      <w:r>
        <w:rPr>
          <w:noProof/>
        </w:rPr>
        <w:t>tirgus uzraudzības funkciju nošķiršanu no atbilstības novērtēšanas funkcijām un</w:t>
      </w:r>
    </w:p>
    <w:p w:rsidR="003E022D" w:rsidRDefault="007D19D6">
      <w:pPr>
        <w:numPr>
          <w:ilvl w:val="0"/>
          <w:numId w:val="326"/>
        </w:numPr>
        <w:ind w:left="567" w:hanging="567"/>
        <w:rPr>
          <w:noProof/>
        </w:rPr>
      </w:pPr>
      <w:r>
        <w:rPr>
          <w:noProof/>
        </w:rPr>
        <w:t xml:space="preserve">to, ka nepastāv intereses, kas varētu ietekmēt tirgus uzraudzības iestāžu objektivitāti uzņēmēju kontroles vai uzraudzības veikšanā.  </w:t>
      </w:r>
    </w:p>
    <w:p w:rsidR="003E022D" w:rsidRDefault="007D19D6">
      <w:pPr>
        <w:numPr>
          <w:ilvl w:val="0"/>
          <w:numId w:val="325"/>
        </w:numPr>
        <w:ind w:left="0"/>
        <w:rPr>
          <w:noProof/>
        </w:rPr>
      </w:pPr>
      <w:r>
        <w:rPr>
          <w:noProof/>
        </w:rPr>
        <w:t xml:space="preserve">Puses sadarbojas un apmainās ar informāciju nepārtikas produktu drošības un atbilstības jomā, kas jo īpaši var ietvert: </w:t>
      </w:r>
    </w:p>
    <w:p w:rsidR="003E022D" w:rsidRDefault="007D19D6">
      <w:pPr>
        <w:numPr>
          <w:ilvl w:val="0"/>
          <w:numId w:val="327"/>
        </w:numPr>
        <w:ind w:left="567" w:hanging="567"/>
        <w:rPr>
          <w:noProof/>
          <w:lang w:val="fr-BE"/>
        </w:rPr>
      </w:pPr>
      <w:r>
        <w:rPr>
          <w:noProof/>
          <w:lang w:val="fr-BE"/>
        </w:rPr>
        <w:t xml:space="preserve">tirgus uzraudzību un izpildes darbības un pasākumus;  </w:t>
      </w:r>
    </w:p>
    <w:p w:rsidR="003E022D" w:rsidRDefault="007D19D6">
      <w:pPr>
        <w:numPr>
          <w:ilvl w:val="0"/>
          <w:numId w:val="327"/>
        </w:numPr>
        <w:ind w:left="567" w:hanging="567"/>
        <w:rPr>
          <w:noProof/>
          <w:lang w:val="fr-BE"/>
        </w:rPr>
      </w:pPr>
      <w:r>
        <w:rPr>
          <w:noProof/>
          <w:lang w:val="fr-BE"/>
        </w:rPr>
        <w:t xml:space="preserve">riska novērtēšanas metodes un ražojumu testēšanu; </w:t>
      </w:r>
    </w:p>
    <w:p w:rsidR="003E022D" w:rsidRDefault="007D19D6">
      <w:pPr>
        <w:numPr>
          <w:ilvl w:val="0"/>
          <w:numId w:val="327"/>
        </w:numPr>
        <w:ind w:left="567" w:hanging="567"/>
        <w:rPr>
          <w:noProof/>
          <w:lang w:val="fr-BE"/>
        </w:rPr>
      </w:pPr>
      <w:r>
        <w:rPr>
          <w:noProof/>
          <w:lang w:val="fr-BE"/>
        </w:rPr>
        <w:t xml:space="preserve">saskaņotu ražojumu atsaukšanu vai citas līdzīgas darbības;  </w:t>
      </w:r>
    </w:p>
    <w:p w:rsidR="003E022D" w:rsidRDefault="007D19D6">
      <w:pPr>
        <w:numPr>
          <w:ilvl w:val="0"/>
          <w:numId w:val="327"/>
        </w:numPr>
        <w:ind w:left="567" w:hanging="567"/>
        <w:rPr>
          <w:noProof/>
          <w:lang w:val="fr-BE"/>
        </w:rPr>
      </w:pPr>
      <w:r>
        <w:rPr>
          <w:noProof/>
          <w:lang w:val="fr-BE"/>
        </w:rPr>
        <w:t>zinātniskus, tehniskus un regulatīvus jautājumus nolūkā uzlabot nepārtikas produktu drošī</w:t>
      </w:r>
      <w:r>
        <w:rPr>
          <w:noProof/>
          <w:lang w:val="fr-BE"/>
        </w:rPr>
        <w:t xml:space="preserve">bu un atbilstību;  </w:t>
      </w:r>
    </w:p>
    <w:p w:rsidR="003E022D" w:rsidRDefault="007D19D6">
      <w:pPr>
        <w:numPr>
          <w:ilvl w:val="0"/>
          <w:numId w:val="327"/>
        </w:numPr>
        <w:ind w:left="567" w:hanging="567"/>
        <w:rPr>
          <w:noProof/>
          <w:lang w:val="fr-BE"/>
        </w:rPr>
      </w:pPr>
      <w:r>
        <w:rPr>
          <w:noProof/>
          <w:lang w:val="fr-BE"/>
        </w:rPr>
        <w:t xml:space="preserve">jaunus jautājumus, kas būtiski attiecas uz veselību un drošību;  </w:t>
      </w:r>
    </w:p>
    <w:p w:rsidR="003E022D" w:rsidRDefault="007D19D6">
      <w:pPr>
        <w:numPr>
          <w:ilvl w:val="0"/>
          <w:numId w:val="327"/>
        </w:numPr>
        <w:ind w:left="567" w:hanging="567"/>
        <w:rPr>
          <w:noProof/>
        </w:rPr>
      </w:pPr>
      <w:r>
        <w:rPr>
          <w:noProof/>
        </w:rPr>
        <w:t xml:space="preserve">ar standartizāciju saistītas darbības; </w:t>
      </w:r>
    </w:p>
    <w:p w:rsidR="003E022D" w:rsidRDefault="007D19D6">
      <w:pPr>
        <w:numPr>
          <w:ilvl w:val="0"/>
          <w:numId w:val="327"/>
        </w:numPr>
        <w:ind w:left="567" w:hanging="567"/>
        <w:rPr>
          <w:noProof/>
        </w:rPr>
      </w:pPr>
      <w:r>
        <w:rPr>
          <w:noProof/>
        </w:rPr>
        <w:t xml:space="preserve">ierēdņu apmaiņu. </w:t>
      </w:r>
    </w:p>
    <w:p w:rsidR="003E022D" w:rsidRDefault="007D19D6">
      <w:pPr>
        <w:numPr>
          <w:ilvl w:val="0"/>
          <w:numId w:val="325"/>
        </w:numPr>
        <w:ind w:left="0"/>
        <w:rPr>
          <w:noProof/>
        </w:rPr>
      </w:pPr>
      <w:r>
        <w:rPr>
          <w:noProof/>
        </w:rPr>
        <w:t>Partnerības padome dara visu iespējamo, lai TBT-XX. pielikumā pēc iespējas drīz un, vēlams, sešu mēnešu laikā pē</w:t>
      </w:r>
      <w:r>
        <w:rPr>
          <w:noProof/>
        </w:rPr>
        <w:t>c šā nolīguma stāšanās spēkā vienotos par kārtību regulārai informācijas apmaiņai starp Ātrās brīdināšanas sistēmu nepārtikas patēriņa preču jomā (</w:t>
      </w:r>
      <w:r>
        <w:rPr>
          <w:i/>
          <w:iCs/>
          <w:noProof/>
        </w:rPr>
        <w:t>RAPEX</w:t>
      </w:r>
      <w:r>
        <w:rPr>
          <w:noProof/>
        </w:rPr>
        <w:t>) vai tās pēcteci un datubāzi par tirgus uzraudzību un produktu drošību, kas izveidota saskaņā ar 2005. </w:t>
      </w:r>
      <w:r>
        <w:rPr>
          <w:noProof/>
        </w:rPr>
        <w:t>gada vispārējiem produktu drošības noteikumiem, vai tās pēcteci, par nepārtikas patēriņa preču drošību un saistītiem preventīviem, ierobežojošiem un korektīviem pasākumiem.</w:t>
      </w:r>
    </w:p>
    <w:p w:rsidR="003E022D" w:rsidRDefault="007D19D6">
      <w:pPr>
        <w:spacing w:after="291"/>
        <w:rPr>
          <w:noProof/>
        </w:rPr>
      </w:pPr>
      <w:r>
        <w:rPr>
          <w:noProof/>
        </w:rPr>
        <w:t>Kārtībā ir paredzēti pasākumi, ar kuriem:</w:t>
      </w:r>
    </w:p>
    <w:p w:rsidR="003E022D" w:rsidRDefault="007D19D6">
      <w:pPr>
        <w:spacing w:after="332"/>
        <w:rPr>
          <w:noProof/>
          <w:color w:val="000000"/>
        </w:rPr>
      </w:pPr>
      <w:r>
        <w:rPr>
          <w:noProof/>
        </w:rPr>
        <w:t>a) Savienībai ir jāsniedz Apvienotajai Ka</w:t>
      </w:r>
      <w:r>
        <w:rPr>
          <w:noProof/>
        </w:rPr>
        <w:t xml:space="preserve">ralistei atlasīta informācija no tās ātrās brīdināšanas sistēmas </w:t>
      </w:r>
      <w:r>
        <w:rPr>
          <w:i/>
          <w:iCs/>
          <w:noProof/>
        </w:rPr>
        <w:t>RAPEX</w:t>
      </w:r>
      <w:r>
        <w:rPr>
          <w:noProof/>
        </w:rPr>
        <w:t xml:space="preserve"> vai tās pēcteces, kā norādīts Eiropas Parlamenta un Padomes 2001. gada 3. decembra Direktīvā 2001/95/EK par produktu vispārēju drošību vai tās pēctecē;</w:t>
      </w:r>
      <w:r>
        <w:rPr>
          <w:b/>
          <w:bCs/>
          <w:noProof/>
          <w:color w:val="800080"/>
          <w:u w:val="single"/>
          <w:vertAlign w:val="superscript"/>
        </w:rPr>
        <w:t xml:space="preserve"> </w:t>
      </w:r>
    </w:p>
    <w:p w:rsidR="003E022D" w:rsidRDefault="007D19D6">
      <w:pPr>
        <w:spacing w:after="294"/>
        <w:rPr>
          <w:noProof/>
          <w:color w:val="000000"/>
        </w:rPr>
      </w:pPr>
      <w:r>
        <w:rPr>
          <w:noProof/>
          <w:color w:val="000000"/>
        </w:rPr>
        <w:t>b) Apvienotajai Karalistei ir jā</w:t>
      </w:r>
      <w:r>
        <w:rPr>
          <w:noProof/>
          <w:color w:val="000000"/>
        </w:rPr>
        <w:t>sniedz Savienībai atlasīta informācija no savas datubāzes par tirgus uzraudzību un ražojumu drošību, kas izveidota saskaņā ar 2005. gada vispārējiem produktu drošības noteikumiem vai tās pēcteci, un</w:t>
      </w:r>
    </w:p>
    <w:p w:rsidR="003E022D" w:rsidRDefault="007D19D6">
      <w:pPr>
        <w:spacing w:after="230"/>
        <w:rPr>
          <w:noProof/>
          <w:color w:val="000000"/>
        </w:rPr>
      </w:pPr>
      <w:r>
        <w:rPr>
          <w:noProof/>
          <w:color w:val="000000"/>
        </w:rPr>
        <w:t>c) Pusēm jāinformē viena otra par visām turpmākajām darbī</w:t>
      </w:r>
      <w:r>
        <w:rPr>
          <w:noProof/>
          <w:color w:val="000000"/>
        </w:rPr>
        <w:t>bām un pasākumiem, kas veikti, reaģējot uz informācijas apmaiņu. </w:t>
      </w:r>
    </w:p>
    <w:p w:rsidR="003E022D" w:rsidRDefault="007D19D6">
      <w:pPr>
        <w:numPr>
          <w:ilvl w:val="0"/>
          <w:numId w:val="325"/>
        </w:numPr>
        <w:ind w:left="0"/>
        <w:rPr>
          <w:noProof/>
          <w:color w:val="000000"/>
        </w:rPr>
      </w:pPr>
      <w:r>
        <w:rPr>
          <w:noProof/>
        </w:rPr>
        <w:t>Partnerības padome TBT-ZZ. pielikumā var vienoties par kārtību regulārai informācijas apmaiņai, tostarp par informācijas apmaiņu ar elektronisko saziņas līdzekļu palīdzību, attiecībā uz pasā</w:t>
      </w:r>
      <w:r>
        <w:rPr>
          <w:noProof/>
        </w:rPr>
        <w:t xml:space="preserve">kumiem, kas veikti saistībā ar neatbilstīgiem nepārtikas produktiem, izņemot tos, uz kuriem attiecas </w:t>
      </w:r>
      <w:r>
        <w:rPr>
          <w:noProof/>
          <w:color w:val="000000"/>
        </w:rPr>
        <w:t>4. punkts</w:t>
      </w:r>
      <w:r>
        <w:rPr>
          <w:noProof/>
        </w:rPr>
        <w:t>.</w:t>
      </w:r>
    </w:p>
    <w:p w:rsidR="003E022D" w:rsidRDefault="007D19D6">
      <w:pPr>
        <w:numPr>
          <w:ilvl w:val="0"/>
          <w:numId w:val="325"/>
        </w:numPr>
        <w:ind w:left="0"/>
        <w:rPr>
          <w:noProof/>
          <w:color w:val="000000"/>
        </w:rPr>
      </w:pPr>
      <w:r>
        <w:rPr>
          <w:noProof/>
          <w:color w:val="000000"/>
        </w:rPr>
        <w:t>Katra Puse izmanto informāciju, kas iegūta saskaņā ar 3., 4. un 5. punktu, vienīgi patērētāju, veselības, drošuma vai vides aizsardzības nolūkā.</w:t>
      </w:r>
      <w:r>
        <w:rPr>
          <w:noProof/>
          <w:color w:val="000000"/>
        </w:rPr>
        <w:t> </w:t>
      </w:r>
    </w:p>
    <w:p w:rsidR="003E022D" w:rsidRDefault="007D19D6">
      <w:pPr>
        <w:numPr>
          <w:ilvl w:val="0"/>
          <w:numId w:val="325"/>
        </w:numPr>
        <w:ind w:left="0"/>
        <w:rPr>
          <w:noProof/>
          <w:color w:val="000000"/>
        </w:rPr>
      </w:pPr>
      <w:r>
        <w:rPr>
          <w:noProof/>
          <w:color w:val="000000"/>
        </w:rPr>
        <w:t>Katra Puse informāciju, kas iegūta saskaņā ar 3., 4. un 5. punktu, uzskata par konfidenciālu. </w:t>
      </w:r>
    </w:p>
    <w:p w:rsidR="003E022D" w:rsidRDefault="007D19D6">
      <w:pPr>
        <w:numPr>
          <w:ilvl w:val="0"/>
          <w:numId w:val="325"/>
        </w:numPr>
        <w:ind w:left="0"/>
        <w:rPr>
          <w:noProof/>
          <w:color w:val="000000"/>
        </w:rPr>
      </w:pPr>
      <w:r>
        <w:rPr>
          <w:noProof/>
          <w:color w:val="000000"/>
        </w:rPr>
        <w:t>Kārtībā, kas minēta 4. un 5. punktā, tiek norādīts tās informācijas veids, ar ko jāapmainās, informācijas apmaiņas kārtība, un konfidencialitātes un persondatu</w:t>
      </w:r>
      <w:r>
        <w:rPr>
          <w:noProof/>
          <w:color w:val="000000"/>
        </w:rPr>
        <w:t xml:space="preserve"> aizsardzības noteikumu piemērošana.  </w:t>
      </w:r>
      <w:r>
        <w:rPr>
          <w:noProof/>
        </w:rPr>
        <w:t>Partnerības padome ir pilnvarota pieņemt lēmumus, lai noteiktu vai grozītu TBT-XX. un TBT-ZZ. pielikumā izklāstīto kārtību.</w:t>
      </w:r>
    </w:p>
    <w:p w:rsidR="003E022D" w:rsidRDefault="007D19D6">
      <w:pPr>
        <w:numPr>
          <w:ilvl w:val="0"/>
          <w:numId w:val="325"/>
        </w:numPr>
        <w:ind w:left="0"/>
        <w:rPr>
          <w:noProof/>
        </w:rPr>
      </w:pPr>
      <w:r>
        <w:rPr>
          <w:noProof/>
        </w:rPr>
        <w:t>Šajā pantā “tirgus uzraudzība” ir darbības un pasākumi, ko veic tirgus uzraudzības un izpildes</w:t>
      </w:r>
      <w:r>
        <w:rPr>
          <w:noProof/>
        </w:rPr>
        <w:t xml:space="preserve"> iestādes, tostarp darbības un pasākumi, kuri veikti sadarbībā ar uzņēmējiem, pamatojoties uz Puses procedūrām, lai minētā Puse varētu uzraudzīt vai risināt jautājumu par ražojumu atbilstību tās normatīvajos aktos noteiktajām prasībām vai to drošību. </w:t>
      </w:r>
    </w:p>
    <w:p w:rsidR="003E022D" w:rsidRDefault="007D19D6">
      <w:pPr>
        <w:numPr>
          <w:ilvl w:val="0"/>
          <w:numId w:val="325"/>
        </w:numPr>
        <w:ind w:left="0"/>
        <w:rPr>
          <w:noProof/>
        </w:rPr>
      </w:pPr>
      <w:r>
        <w:rPr>
          <w:noProof/>
        </w:rPr>
        <w:t>Katr</w:t>
      </w:r>
      <w:r>
        <w:rPr>
          <w:noProof/>
        </w:rPr>
        <w:t>a puse nodrošina, ka visi pasākumi, kurus tās tirgus uzraudzības un izpildes iestādes veikušas, lai izņemtu no tirgus vai atsauktu no tirgus, vai aizliegtu vai ierobežotu to, ka tās tirgū tiek darīts pieejams kāds no otras Puses teritorijas importēts ražoj</w:t>
      </w:r>
      <w:r>
        <w:rPr>
          <w:noProof/>
        </w:rPr>
        <w:t>ums tādu iemeslu dēļ, kas saistīti ar piemērojamo tiesību aktu neievērošanu, ir samērīgi, norāda precīzus iemeslus, ar kuriem pasākums ir pamatots, un tos nekavējoties paziņo attiecīgajam uzņēmējam.</w:t>
      </w:r>
    </w:p>
    <w:p w:rsidR="003E022D" w:rsidRDefault="007D19D6">
      <w:pPr>
        <w:pStyle w:val="Article"/>
        <w:rPr>
          <w:noProof/>
        </w:rPr>
      </w:pPr>
      <w:bookmarkStart w:id="124" w:name="_Toc58163461"/>
      <w:r>
        <w:rPr>
          <w:noProof/>
        </w:rPr>
        <w:t>TBT.10. pants. Tehniskas apspriedes</w:t>
      </w:r>
      <w:bookmarkEnd w:id="124"/>
      <w:r>
        <w:rPr>
          <w:noProof/>
        </w:rPr>
        <w:t xml:space="preserve"> </w:t>
      </w:r>
    </w:p>
    <w:p w:rsidR="003E022D" w:rsidRDefault="007D19D6">
      <w:pPr>
        <w:rPr>
          <w:noProof/>
        </w:rPr>
      </w:pPr>
      <w:r>
        <w:rPr>
          <w:noProof/>
        </w:rPr>
        <w:t xml:space="preserve">1. </w:t>
      </w:r>
      <w:r>
        <w:rPr>
          <w:noProof/>
        </w:rPr>
        <w:tab/>
        <w:t>Ja kāda Puse uzs</w:t>
      </w:r>
      <w:r>
        <w:rPr>
          <w:noProof/>
        </w:rPr>
        <w:t>kata, ka otras Puses tehnisko noteikumu projekts vai ierosinātais tehniskais noteikums vai atbilstības novērtēšanas procedūra varētu būtiski ietekmēt tirdzniecību starp Pusēm, tā var pieprasīt tehniskas apspriedes par šo jautājumu. Pieprasījumu otrai Pusei</w:t>
      </w:r>
      <w:r>
        <w:rPr>
          <w:noProof/>
        </w:rPr>
        <w:t xml:space="preserve"> iesniedz rakstiski, un tajā norāda: </w:t>
      </w:r>
    </w:p>
    <w:p w:rsidR="003E022D" w:rsidRDefault="007D19D6">
      <w:pPr>
        <w:numPr>
          <w:ilvl w:val="0"/>
          <w:numId w:val="328"/>
        </w:numPr>
        <w:ind w:left="567" w:hanging="567"/>
        <w:rPr>
          <w:noProof/>
        </w:rPr>
      </w:pPr>
      <w:r>
        <w:rPr>
          <w:noProof/>
        </w:rPr>
        <w:t xml:space="preserve">izskatāmo pasākumu; </w:t>
      </w:r>
    </w:p>
    <w:p w:rsidR="003E022D" w:rsidRDefault="007D19D6">
      <w:pPr>
        <w:numPr>
          <w:ilvl w:val="0"/>
          <w:numId w:val="328"/>
        </w:numPr>
        <w:ind w:left="567" w:hanging="567"/>
        <w:rPr>
          <w:noProof/>
        </w:rPr>
      </w:pPr>
      <w:r>
        <w:rPr>
          <w:noProof/>
        </w:rPr>
        <w:t>šīs nodaļas vai šīs nodaļas pielikuma noteikumus, uz kuriem attiecas bažas, un</w:t>
      </w:r>
    </w:p>
    <w:p w:rsidR="003E022D" w:rsidRDefault="007D19D6">
      <w:pPr>
        <w:numPr>
          <w:ilvl w:val="0"/>
          <w:numId w:val="328"/>
        </w:numPr>
        <w:ind w:left="567" w:hanging="567"/>
        <w:rPr>
          <w:noProof/>
        </w:rPr>
      </w:pPr>
      <w:r>
        <w:rPr>
          <w:noProof/>
        </w:rPr>
        <w:t xml:space="preserve">pieprasījuma iemeslus, tostarp pieprasījuma iesniedzējas Puses bažas saistībā ar pasākumu. </w:t>
      </w:r>
    </w:p>
    <w:p w:rsidR="003E022D" w:rsidRDefault="007D19D6">
      <w:pPr>
        <w:numPr>
          <w:ilvl w:val="0"/>
          <w:numId w:val="329"/>
        </w:numPr>
        <w:ind w:left="0"/>
        <w:rPr>
          <w:noProof/>
        </w:rPr>
      </w:pPr>
      <w:r>
        <w:rPr>
          <w:noProof/>
        </w:rPr>
        <w:t xml:space="preserve">Puse iesniedz savu pieprasījumu otras Puses kontaktpunktam, kas izraudzīts saskaņā ar TBT.12. pantu [Kontaktpunkti]. </w:t>
      </w:r>
    </w:p>
    <w:p w:rsidR="003E022D" w:rsidRDefault="007D19D6">
      <w:pPr>
        <w:numPr>
          <w:ilvl w:val="0"/>
          <w:numId w:val="329"/>
        </w:numPr>
        <w:ind w:left="0"/>
        <w:rPr>
          <w:noProof/>
        </w:rPr>
      </w:pPr>
      <w:r>
        <w:rPr>
          <w:noProof/>
        </w:rPr>
        <w:t>Pēc jebkuras Puses pieprasījuma Puses tiekas, lai personīgi vai ar videokonferences vai telekonferences starpniecību apspriestu pieprasīju</w:t>
      </w:r>
      <w:r>
        <w:rPr>
          <w:noProof/>
        </w:rPr>
        <w:t>mā paustās bažas 60 dienu laikā no pieprasījuma dienas, un cenšas atrisināt jautājumu pēc iespējas ātrāk. Ja pieprasījuma iesniedzēja Puse uzskata, ka jautājums ir steidzams, tā var pieprasīt, lai sanāksme notiktu īsākā termiņā. Šādos gadījumos atbildētāja</w:t>
      </w:r>
      <w:r>
        <w:rPr>
          <w:noProof/>
        </w:rPr>
        <w:t xml:space="preserve"> Puse šādu pieprasījumu izskata labvēlīgi. </w:t>
      </w:r>
    </w:p>
    <w:p w:rsidR="003E022D" w:rsidRDefault="007D19D6">
      <w:pPr>
        <w:pStyle w:val="Article"/>
        <w:rPr>
          <w:noProof/>
        </w:rPr>
      </w:pPr>
      <w:bookmarkStart w:id="125" w:name="_Toc58163462"/>
      <w:r>
        <w:rPr>
          <w:noProof/>
        </w:rPr>
        <w:t>TBT.11. pants. Sadarbība</w:t>
      </w:r>
      <w:bookmarkEnd w:id="125"/>
    </w:p>
    <w:p w:rsidR="003E022D" w:rsidRDefault="007D19D6">
      <w:pPr>
        <w:numPr>
          <w:ilvl w:val="0"/>
          <w:numId w:val="330"/>
        </w:numPr>
        <w:ind w:left="0" w:firstLine="0"/>
        <w:rPr>
          <w:noProof/>
        </w:rPr>
      </w:pPr>
      <w:r>
        <w:rPr>
          <w:noProof/>
        </w:rPr>
        <w:t>Puses sadarbojas tehnisko noteikumu, standartu un atbilstības novērtēšanas procedūru jomā, ja tas ir to abpusējās interesēs un neskar savu attiecīgo lēmumu pieņemšanas un tiesību sistēmu autonomiju. Tirdzniecības specializētā komiteja par tehniskajiem šķēr</w:t>
      </w:r>
      <w:r>
        <w:rPr>
          <w:noProof/>
        </w:rPr>
        <w:t xml:space="preserve">šļiem tirdzniecībai var apmainīties ar viedokļiem par sadarbības darbībām, ko veic saskaņā ar šo pantu vai šīs nodaļas pielikumiem. </w:t>
      </w:r>
    </w:p>
    <w:p w:rsidR="003E022D" w:rsidRDefault="007D19D6">
      <w:pPr>
        <w:numPr>
          <w:ilvl w:val="0"/>
          <w:numId w:val="330"/>
        </w:numPr>
        <w:ind w:left="0" w:firstLine="0"/>
        <w:rPr>
          <w:noProof/>
        </w:rPr>
      </w:pPr>
      <w:r>
        <w:rPr>
          <w:noProof/>
        </w:rPr>
        <w:t>Šā panta 1. punkta nolūkos Puses cenšas noteikt, izstrādāt un veicināt sadarbības pasākumus, par kuriem ir abpusēja interes</w:t>
      </w:r>
      <w:r>
        <w:rPr>
          <w:noProof/>
        </w:rPr>
        <w:t>e. Šie pasākumi jo īpaši var attiekties uz:</w:t>
      </w:r>
    </w:p>
    <w:p w:rsidR="003E022D" w:rsidRDefault="007D19D6">
      <w:pPr>
        <w:numPr>
          <w:ilvl w:val="1"/>
          <w:numId w:val="330"/>
        </w:numPr>
        <w:ind w:left="567" w:hanging="567"/>
        <w:rPr>
          <w:noProof/>
        </w:rPr>
      </w:pPr>
      <w:r>
        <w:rPr>
          <w:noProof/>
        </w:rPr>
        <w:t>informācijas, pieredzes un datu apmaiņu saistībā ar tehniskajiem noteikumiem, standartiem un atbilstības novērtēšanas procedūrām;</w:t>
      </w:r>
    </w:p>
    <w:p w:rsidR="003E022D" w:rsidRDefault="007D19D6">
      <w:pPr>
        <w:numPr>
          <w:ilvl w:val="1"/>
          <w:numId w:val="330"/>
        </w:numPr>
        <w:ind w:left="567" w:hanging="567"/>
        <w:rPr>
          <w:noProof/>
        </w:rPr>
      </w:pPr>
      <w:r>
        <w:rPr>
          <w:noProof/>
        </w:rPr>
        <w:t>efektīvas mijiedarbības un sadarbības nodrošināšanu starp Pušu attiecīgajām regula</w:t>
      </w:r>
      <w:r>
        <w:rPr>
          <w:noProof/>
        </w:rPr>
        <w:t xml:space="preserve">tīvajām iestādēm starptautiskā, reģionālā vai valsts līmenī; </w:t>
      </w:r>
    </w:p>
    <w:p w:rsidR="003E022D" w:rsidRDefault="007D19D6">
      <w:pPr>
        <w:numPr>
          <w:ilvl w:val="1"/>
          <w:numId w:val="330"/>
        </w:numPr>
        <w:ind w:left="567" w:hanging="567"/>
        <w:rPr>
          <w:noProof/>
        </w:rPr>
      </w:pPr>
      <w:r>
        <w:rPr>
          <w:noProof/>
        </w:rPr>
        <w:t>cik vien iespējams — informācijas apmaiņu par starptautiskiem nolīgumiem un kārtību attiecībā uz tehniskajiem šķēršļiem tirdzniecībai, kurā viena vai abas Puses ir dalībnieces, un</w:t>
      </w:r>
    </w:p>
    <w:p w:rsidR="003E022D" w:rsidRDefault="007D19D6">
      <w:pPr>
        <w:numPr>
          <w:ilvl w:val="1"/>
          <w:numId w:val="330"/>
        </w:numPr>
        <w:ind w:left="567" w:hanging="567"/>
        <w:rPr>
          <w:noProof/>
          <w:color w:val="000000" w:themeColor="text1"/>
        </w:rPr>
      </w:pPr>
      <w:r>
        <w:rPr>
          <w:noProof/>
        </w:rPr>
        <w:t>tirdzniecību v</w:t>
      </w:r>
      <w:r>
        <w:rPr>
          <w:noProof/>
        </w:rPr>
        <w:t>eicinošu iniciatīvu izveidi vai līdzdalību tajās.</w:t>
      </w:r>
    </w:p>
    <w:p w:rsidR="003E022D" w:rsidRDefault="007D19D6">
      <w:pPr>
        <w:spacing w:after="120"/>
        <w:rPr>
          <w:noProof/>
        </w:rPr>
      </w:pPr>
      <w:r>
        <w:rPr>
          <w:noProof/>
        </w:rPr>
        <w:t>3.  Šā panta un šīs nodaļas pielikumos paredzēto noteikumu par sadarbību nolūkā Eiropas Komisija rīkojas Eiropas Savienības vārdā.</w:t>
      </w:r>
    </w:p>
    <w:p w:rsidR="003E022D" w:rsidRDefault="007D19D6">
      <w:pPr>
        <w:pStyle w:val="Article"/>
        <w:rPr>
          <w:noProof/>
        </w:rPr>
      </w:pPr>
      <w:bookmarkStart w:id="126" w:name="_Toc58163463"/>
      <w:r>
        <w:rPr>
          <w:noProof/>
        </w:rPr>
        <w:t>TBT.12. pants. Kontaktpunkti</w:t>
      </w:r>
      <w:bookmarkEnd w:id="126"/>
      <w:r>
        <w:rPr>
          <w:i/>
          <w:iCs/>
          <w:noProof/>
        </w:rPr>
        <w:t xml:space="preserve"> </w:t>
      </w:r>
    </w:p>
    <w:p w:rsidR="003E022D" w:rsidRDefault="007D19D6">
      <w:pPr>
        <w:rPr>
          <w:noProof/>
        </w:rPr>
      </w:pPr>
      <w:r>
        <w:rPr>
          <w:noProof/>
        </w:rPr>
        <w:t>1.</w:t>
      </w:r>
      <w:r>
        <w:rPr>
          <w:noProof/>
        </w:rPr>
        <w:tab/>
        <w:t>Katra Puse, šim nolīgumam stājoties spēkā,</w:t>
      </w:r>
      <w:r>
        <w:rPr>
          <w:noProof/>
        </w:rPr>
        <w:t xml:space="preserve"> izraugās kontaktpunktu šīs nodaļas īstenošanai un paziņo otrai Pusei kontaktinformāciju par šo kontaktpunktu, tai skaitā informāciju par attiecīgajām amatpersonām. Puses nekavējoties informē viena otru par visām izmaiņām minētajā kontaktinformācijā.  </w:t>
      </w:r>
    </w:p>
    <w:p w:rsidR="003E022D" w:rsidRDefault="007D19D6">
      <w:pPr>
        <w:rPr>
          <w:noProof/>
        </w:rPr>
      </w:pPr>
      <w:r>
        <w:rPr>
          <w:noProof/>
        </w:rPr>
        <w:t>2.</w:t>
      </w:r>
      <w:r>
        <w:rPr>
          <w:noProof/>
        </w:rPr>
        <w:tab/>
      </w:r>
      <w:r>
        <w:rPr>
          <w:noProof/>
        </w:rPr>
        <w:t>Pēc otras Puses kontaktpunkta pieprasījuma kontaktpunkts samērīgā termiņā un, ja iespējams, 60 dienu laikā no pieprasījuma saņemšanas dienas sniedz visu informāciju vai skaidrojumus, kas saistīti ar šīs nodaļas īstenošanu.</w:t>
      </w:r>
    </w:p>
    <w:p w:rsidR="003E022D" w:rsidRDefault="007D19D6">
      <w:pPr>
        <w:pStyle w:val="Article"/>
        <w:rPr>
          <w:noProof/>
        </w:rPr>
      </w:pPr>
      <w:bookmarkStart w:id="127" w:name="_Toc58163464"/>
      <w:r>
        <w:rPr>
          <w:noProof/>
        </w:rPr>
        <w:t>TBT.13. pants. Tirdzniecības spec</w:t>
      </w:r>
      <w:r>
        <w:rPr>
          <w:noProof/>
        </w:rPr>
        <w:t>ializētā komiteja par tehniskajiem šķēršļiem tirdzniecībai</w:t>
      </w:r>
      <w:bookmarkEnd w:id="127"/>
    </w:p>
    <w:p w:rsidR="003E022D" w:rsidRDefault="007D19D6">
      <w:pPr>
        <w:rPr>
          <w:noProof/>
        </w:rPr>
      </w:pPr>
      <w:r>
        <w:rPr>
          <w:noProof/>
        </w:rPr>
        <w:t>Tirdzniecības specializētā komiteja par tehniskajiem šķēršļiem tirdzniecībai uzrauga šīs nodaļas un tās pielikumu īstenošanu un darbību un, ja iespējams, nekavējoties noskaidro un risina visus jaut</w:t>
      </w:r>
      <w:r>
        <w:rPr>
          <w:noProof/>
        </w:rPr>
        <w:t xml:space="preserve">ājumus, ko kāda Puse izvirzījusi saistībā ar tehnisko noteikumu, standartu un atbilstības novērtēšanas procedūru izstrādi, pieņemšanu vai piemērošanu saskaņā ar šo nodaļu vai </w:t>
      </w:r>
      <w:r>
        <w:rPr>
          <w:i/>
          <w:noProof/>
        </w:rPr>
        <w:t>TBT</w:t>
      </w:r>
      <w:r>
        <w:rPr>
          <w:noProof/>
        </w:rPr>
        <w:t xml:space="preserve"> nolīgumu. </w:t>
      </w:r>
    </w:p>
    <w:p w:rsidR="003E022D" w:rsidRDefault="003E022D">
      <w:pPr>
        <w:rPr>
          <w:noProof/>
        </w:rPr>
      </w:pPr>
    </w:p>
    <w:p w:rsidR="003E022D" w:rsidRDefault="007D19D6">
      <w:pPr>
        <w:pStyle w:val="Chapter"/>
        <w:rPr>
          <w:noProof/>
        </w:rPr>
      </w:pPr>
      <w:bookmarkStart w:id="128" w:name="_Toc58163465"/>
      <w:r>
        <w:rPr>
          <w:noProof/>
        </w:rPr>
        <w:t>5. nodaļa. Muita un tirdzniecības atvieglošana</w:t>
      </w:r>
      <w:bookmarkEnd w:id="128"/>
    </w:p>
    <w:p w:rsidR="003E022D" w:rsidRDefault="007D19D6">
      <w:pPr>
        <w:pStyle w:val="Article"/>
        <w:rPr>
          <w:noProof/>
        </w:rPr>
      </w:pPr>
      <w:bookmarkStart w:id="129" w:name="_Toc58163466"/>
      <w:r>
        <w:rPr>
          <w:noProof/>
        </w:rPr>
        <w:t>CUSTMS.1. pants. M</w:t>
      </w:r>
      <w:r>
        <w:rPr>
          <w:noProof/>
        </w:rPr>
        <w:t>ērķis</w:t>
      </w:r>
      <w:bookmarkEnd w:id="129"/>
    </w:p>
    <w:p w:rsidR="003E022D" w:rsidRDefault="007D19D6">
      <w:pPr>
        <w:rPr>
          <w:noProof/>
        </w:rPr>
      </w:pPr>
      <w:r>
        <w:rPr>
          <w:noProof/>
        </w:rPr>
        <w:t>Šīs nodaļas mērķi ir šādi:</w:t>
      </w:r>
    </w:p>
    <w:p w:rsidR="003E022D" w:rsidRDefault="007D19D6">
      <w:pPr>
        <w:ind w:left="567" w:hanging="567"/>
        <w:rPr>
          <w:noProof/>
        </w:rPr>
      </w:pPr>
      <w:r>
        <w:rPr>
          <w:noProof/>
        </w:rPr>
        <w:t xml:space="preserve">a) stiprināt Pušu sadarbību muitas un tirdzniecības veicināšanas jomā un atbalstīt vai – attiecīgā gadījumā – saglabāt Pušu tiesību aktu muitas jomā un prakses pienācīgu atbilstības līmeni, lai nodrošinātu, ka attiecīgie tiesību akti un procedūras, kā arī </w:t>
      </w:r>
      <w:r>
        <w:rPr>
          <w:noProof/>
        </w:rPr>
        <w:t>attiecīgo administrāciju administratīvās spējas atbilst tirdzniecības atvieglošanas mērķim, vienlaikus nodrošinot efektīvu muitas kontroli un muitas tiesību aktu un ar tirdzniecību saistīto normatīvo aktu efektīvu izpildi, iedzīvotāju drošības un drošuma p</w:t>
      </w:r>
      <w:r>
        <w:rPr>
          <w:noProof/>
        </w:rPr>
        <w:t xml:space="preserve">ienācīgu aizsardzību, kā arī Pušu aizliegumu un ierobežojumu un finansiālo interešu ievērošanu; </w:t>
      </w:r>
    </w:p>
    <w:p w:rsidR="003E022D" w:rsidRDefault="007D19D6">
      <w:pPr>
        <w:ind w:left="567" w:hanging="567"/>
        <w:rPr>
          <w:noProof/>
        </w:rPr>
      </w:pPr>
      <w:r>
        <w:rPr>
          <w:noProof/>
        </w:rPr>
        <w:t xml:space="preserve"> b) stiprināt administratīvo sadarbību starp Pusēm PVN jomā un savstarpēju palīdzību attiecībā uz prasībām, kas saistītas ar nodokļiem un maksājumiem;</w:t>
      </w:r>
    </w:p>
    <w:p w:rsidR="003E022D" w:rsidRDefault="007D19D6">
      <w:pPr>
        <w:ind w:left="567" w:hanging="567"/>
        <w:rPr>
          <w:noProof/>
        </w:rPr>
      </w:pPr>
      <w:r>
        <w:rPr>
          <w:noProof/>
        </w:rPr>
        <w:t>c) nodro</w:t>
      </w:r>
      <w:r>
        <w:rPr>
          <w:noProof/>
        </w:rPr>
        <w:t>šināt, ka katras Puses tiesību akti ir nediskriminējoši un ka muitas procedūru pamatā ir modernas metodes un efektīva kontrole, lai apkarotu krāpšanu un aizsargātu likumīgu tirdzniecību, un</w:t>
      </w:r>
    </w:p>
    <w:p w:rsidR="003E022D" w:rsidRDefault="007D19D6">
      <w:pPr>
        <w:ind w:left="567" w:hanging="567"/>
        <w:rPr>
          <w:noProof/>
        </w:rPr>
      </w:pPr>
      <w:r>
        <w:rPr>
          <w:noProof/>
        </w:rPr>
        <w:t>d) nodrošināt, ka nekādi netiek apdraudēti likumīgi publiskās poli</w:t>
      </w:r>
      <w:r>
        <w:rPr>
          <w:noProof/>
        </w:rPr>
        <w:t>tikas mērķi, tostarp attiecībā uz drošību, drošumu un cīņu pret krāpšanu.</w:t>
      </w:r>
    </w:p>
    <w:p w:rsidR="003E022D" w:rsidRDefault="007D19D6">
      <w:pPr>
        <w:pStyle w:val="Article"/>
        <w:rPr>
          <w:noProof/>
        </w:rPr>
      </w:pPr>
      <w:bookmarkStart w:id="130" w:name="_Toc58163467"/>
      <w:r>
        <w:rPr>
          <w:noProof/>
        </w:rPr>
        <w:t>CUSTMS.1.a pants. Definīcijas</w:t>
      </w:r>
      <w:bookmarkEnd w:id="130"/>
    </w:p>
    <w:p w:rsidR="003E022D" w:rsidRDefault="007D19D6">
      <w:pPr>
        <w:rPr>
          <w:noProof/>
        </w:rPr>
      </w:pPr>
      <w:r>
        <w:rPr>
          <w:noProof/>
        </w:rPr>
        <w:t>Šajā nodaļā, CUSTMS-1 PIELIKUMĀ [ATZĪTIE UZŅĒMĒJI], Protokolā par savstarpēju administratīvo palīdzību muitas lietās un Protokolā par administratīvo sad</w:t>
      </w:r>
      <w:r>
        <w:rPr>
          <w:noProof/>
        </w:rPr>
        <w:t>arbību un krāpšanas apkarošanu pievienotās vērtības nodokļa jomā un par savstarpēju palīdzību prasījumu piedziņā saistībā ar nodokļiem un maksājumiem piemēro šādas definīcijas:</w:t>
      </w:r>
    </w:p>
    <w:p w:rsidR="003E022D" w:rsidRDefault="007D19D6">
      <w:pPr>
        <w:pStyle w:val="ListParagraph"/>
        <w:numPr>
          <w:ilvl w:val="1"/>
          <w:numId w:val="291"/>
        </w:numPr>
        <w:ind w:left="0"/>
        <w:rPr>
          <w:noProof/>
        </w:rPr>
      </w:pPr>
      <w:r>
        <w:rPr>
          <w:noProof/>
        </w:rPr>
        <w:t>“Nolīgums par pirmsnosūtīšanas inspekciju” ir Nolīgums par pirmsnosūtīšanas ins</w:t>
      </w:r>
      <w:r>
        <w:rPr>
          <w:noProof/>
        </w:rPr>
        <w:t>pekciju, kas ietverts PTO nolīguma 1.A pielikumā;</w:t>
      </w:r>
    </w:p>
    <w:p w:rsidR="003E022D" w:rsidRDefault="003E022D">
      <w:pPr>
        <w:pStyle w:val="ListParagraph"/>
        <w:ind w:left="0"/>
        <w:rPr>
          <w:noProof/>
        </w:rPr>
      </w:pPr>
    </w:p>
    <w:p w:rsidR="003E022D" w:rsidRDefault="007D19D6">
      <w:pPr>
        <w:pStyle w:val="ListParagraph"/>
        <w:numPr>
          <w:ilvl w:val="1"/>
          <w:numId w:val="291"/>
        </w:numPr>
        <w:ind w:left="0"/>
        <w:rPr>
          <w:noProof/>
        </w:rPr>
      </w:pPr>
      <w:r>
        <w:rPr>
          <w:noProof/>
        </w:rPr>
        <w:t>“</w:t>
      </w:r>
      <w:r>
        <w:rPr>
          <w:i/>
          <w:noProof/>
        </w:rPr>
        <w:t>ATA</w:t>
      </w:r>
      <w:r>
        <w:rPr>
          <w:noProof/>
        </w:rPr>
        <w:t xml:space="preserve"> un Stambulas konvencijas” ir 1961. gada 6. decembrī Briselē parakstītā Muitas konvencija par </w:t>
      </w:r>
      <w:r>
        <w:rPr>
          <w:i/>
          <w:noProof/>
        </w:rPr>
        <w:t>ATA</w:t>
      </w:r>
      <w:r>
        <w:rPr>
          <w:noProof/>
        </w:rPr>
        <w:t xml:space="preserve"> karneti preču pagaidu ievešanai un 1990. gada 26. jūnijā parakstītā Stambulas konvencija par pagaidu ie</w:t>
      </w:r>
      <w:r>
        <w:rPr>
          <w:noProof/>
        </w:rPr>
        <w:t>vešanu;</w:t>
      </w:r>
    </w:p>
    <w:p w:rsidR="003E022D" w:rsidRDefault="003E022D">
      <w:pPr>
        <w:pStyle w:val="ListParagraph"/>
        <w:ind w:left="0"/>
        <w:rPr>
          <w:noProof/>
        </w:rPr>
      </w:pPr>
    </w:p>
    <w:p w:rsidR="003E022D" w:rsidRDefault="007D19D6">
      <w:pPr>
        <w:pStyle w:val="ListParagraph"/>
        <w:numPr>
          <w:ilvl w:val="1"/>
          <w:numId w:val="291"/>
        </w:numPr>
        <w:ind w:left="0"/>
        <w:rPr>
          <w:noProof/>
        </w:rPr>
      </w:pPr>
      <w:r>
        <w:rPr>
          <w:noProof/>
        </w:rPr>
        <w:t>“Konvencija par kopīgu tranzīta procedūru” ir 1987. gada 20. maija Konvencija par kopīgu tranzīta procedūru;</w:t>
      </w:r>
    </w:p>
    <w:p w:rsidR="003E022D" w:rsidRDefault="003E022D">
      <w:pPr>
        <w:pStyle w:val="ListParagraph"/>
        <w:ind w:left="0"/>
        <w:rPr>
          <w:rFonts w:eastAsia="Calibri" w:cs="Calibri"/>
          <w:noProof/>
          <w:sz w:val="24"/>
          <w:szCs w:val="24"/>
        </w:rPr>
      </w:pPr>
    </w:p>
    <w:p w:rsidR="003E022D" w:rsidRDefault="007D19D6">
      <w:pPr>
        <w:pStyle w:val="ListParagraph"/>
        <w:numPr>
          <w:ilvl w:val="1"/>
          <w:numId w:val="291"/>
        </w:numPr>
        <w:ind w:left="0"/>
        <w:rPr>
          <w:noProof/>
        </w:rPr>
      </w:pPr>
      <w:r>
        <w:rPr>
          <w:noProof/>
        </w:rPr>
        <w:t>“PMO Muitas datu modelis” ir datu komponentu un elektronisko veidņu bibliotēka darījumdarbības datu apmaiņai un starptautisko standartu a</w:t>
      </w:r>
      <w:r>
        <w:rPr>
          <w:noProof/>
        </w:rPr>
        <w:t>pkopošanai attiecībā uz datiem un informāciju, ko izmanto regulatīvajai vienkāršošanai un kontrolei globālajā tirdzniecībā un ko periodiski publicē PMO datu modeļa projekta grupa;</w:t>
      </w:r>
    </w:p>
    <w:p w:rsidR="003E022D" w:rsidRDefault="003E022D">
      <w:pPr>
        <w:pStyle w:val="ListParagraph"/>
        <w:ind w:left="0"/>
        <w:rPr>
          <w:noProof/>
        </w:rPr>
      </w:pPr>
    </w:p>
    <w:p w:rsidR="003E022D" w:rsidRDefault="007D19D6">
      <w:pPr>
        <w:pStyle w:val="ListParagraph"/>
        <w:numPr>
          <w:ilvl w:val="1"/>
          <w:numId w:val="291"/>
        </w:numPr>
        <w:ind w:left="0"/>
        <w:rPr>
          <w:noProof/>
        </w:rPr>
      </w:pPr>
      <w:r>
        <w:rPr>
          <w:noProof/>
        </w:rPr>
        <w:t>“tiesību akti muitas jomā” ir jebkuri tiesību akti vai reglamentējoši notei</w:t>
      </w:r>
      <w:r>
        <w:rPr>
          <w:noProof/>
        </w:rPr>
        <w:t>kumi, kas piemērojami vienas vai otras Puses teritorijā un kas reglamentē preču ievešanu vai importu, preču izvešanu vai eksportu, preču tranzītu un jebkura cita muitas režīma vai procedūras piemērošanu precēm, ietverot aizlieguma, ierobežojuma un kontrole</w:t>
      </w:r>
      <w:r>
        <w:rPr>
          <w:noProof/>
        </w:rPr>
        <w:t>s pasākumus;</w:t>
      </w:r>
    </w:p>
    <w:p w:rsidR="003E022D" w:rsidRDefault="003E022D">
      <w:pPr>
        <w:pStyle w:val="ListParagraph"/>
        <w:ind w:left="0"/>
        <w:rPr>
          <w:noProof/>
        </w:rPr>
      </w:pPr>
    </w:p>
    <w:p w:rsidR="003E022D" w:rsidRDefault="007D19D6">
      <w:pPr>
        <w:pStyle w:val="ListParagraph"/>
        <w:numPr>
          <w:ilvl w:val="1"/>
          <w:numId w:val="291"/>
        </w:numPr>
        <w:ind w:left="0"/>
        <w:rPr>
          <w:noProof/>
        </w:rPr>
      </w:pPr>
      <w:r>
        <w:rPr>
          <w:noProof/>
        </w:rPr>
        <w:t>“informācija” ir jebkuri dati, dokumenti, attēli, ziņojumi, paziņojumi vai autentificētas kopijas jebkādā formātā, tostarp elektroniskā formātā, kas ir vai nav apstrādāti vai analizēti;</w:t>
      </w:r>
    </w:p>
    <w:p w:rsidR="003E022D" w:rsidRDefault="003E022D">
      <w:pPr>
        <w:pStyle w:val="ListParagraph"/>
        <w:ind w:left="0"/>
        <w:rPr>
          <w:noProof/>
        </w:rPr>
      </w:pPr>
    </w:p>
    <w:p w:rsidR="003E022D" w:rsidRDefault="007D19D6">
      <w:pPr>
        <w:pStyle w:val="ListParagraph"/>
        <w:numPr>
          <w:ilvl w:val="1"/>
          <w:numId w:val="291"/>
        </w:numPr>
        <w:ind w:left="0"/>
        <w:rPr>
          <w:noProof/>
        </w:rPr>
      </w:pPr>
      <w:r>
        <w:rPr>
          <w:noProof/>
        </w:rPr>
        <w:t xml:space="preserve">“persona” ir jebkura persona, kā definēts XVII sadaļas </w:t>
      </w:r>
      <w:r>
        <w:rPr>
          <w:noProof/>
        </w:rPr>
        <w:t>[CITI NOTEIKUMI] OTH.1. panta [Definīcijas] m) punktā</w:t>
      </w:r>
      <w:r>
        <w:rPr>
          <w:rStyle w:val="FootnoteReference"/>
          <w:noProof/>
        </w:rPr>
        <w:footnoteReference w:id="5"/>
      </w:r>
      <w:r>
        <w:rPr>
          <w:noProof/>
        </w:rPr>
        <w:t>;</w:t>
      </w:r>
    </w:p>
    <w:p w:rsidR="003E022D" w:rsidRDefault="003E022D">
      <w:pPr>
        <w:pStyle w:val="ListParagraph"/>
        <w:ind w:left="0"/>
        <w:rPr>
          <w:noProof/>
        </w:rPr>
      </w:pPr>
    </w:p>
    <w:p w:rsidR="003E022D" w:rsidRDefault="007D19D6">
      <w:pPr>
        <w:pStyle w:val="ListParagraph"/>
        <w:numPr>
          <w:ilvl w:val="1"/>
          <w:numId w:val="291"/>
        </w:numPr>
        <w:ind w:left="0"/>
        <w:rPr>
          <w:rFonts w:eastAsia="Calibri" w:cs="Calibri"/>
          <w:noProof/>
          <w:color w:val="000000" w:themeColor="text1"/>
        </w:rPr>
      </w:pPr>
      <w:r>
        <w:rPr>
          <w:noProof/>
        </w:rPr>
        <w:t xml:space="preserve"> </w:t>
      </w:r>
      <w:r>
        <w:rPr>
          <w:noProof/>
          <w:color w:val="000000" w:themeColor="text1"/>
        </w:rPr>
        <w:t>“</w:t>
      </w:r>
      <w:r>
        <w:rPr>
          <w:i/>
          <w:noProof/>
          <w:color w:val="000000" w:themeColor="text1"/>
        </w:rPr>
        <w:t>SAFE</w:t>
      </w:r>
      <w:r>
        <w:rPr>
          <w:noProof/>
          <w:color w:val="000000" w:themeColor="text1"/>
        </w:rPr>
        <w:t xml:space="preserve"> Pamatstandarti” ir </w:t>
      </w:r>
      <w:r>
        <w:rPr>
          <w:i/>
          <w:noProof/>
          <w:color w:val="000000" w:themeColor="text1"/>
        </w:rPr>
        <w:t>SAFE</w:t>
      </w:r>
      <w:r>
        <w:rPr>
          <w:noProof/>
          <w:color w:val="000000" w:themeColor="text1"/>
        </w:rPr>
        <w:t xml:space="preserve"> Pamatstandarti pasaules tirdzniecības drošībai un sekmēšanai, kuri pieņemti Pasaules Muitas organizācijas 2005. gada jūnija sesijā Briselē un ik pa laikam atjaunināti, un</w:t>
      </w:r>
    </w:p>
    <w:p w:rsidR="003E022D" w:rsidRDefault="003E022D">
      <w:pPr>
        <w:pStyle w:val="ListParagraph"/>
        <w:ind w:left="0"/>
        <w:rPr>
          <w:rFonts w:eastAsia="Calibri" w:cs="Calibri"/>
          <w:noProof/>
          <w:color w:val="000000" w:themeColor="text1"/>
        </w:rPr>
      </w:pPr>
    </w:p>
    <w:p w:rsidR="003E022D" w:rsidRDefault="007D19D6">
      <w:pPr>
        <w:pStyle w:val="ListParagraph"/>
        <w:numPr>
          <w:ilvl w:val="1"/>
          <w:numId w:val="291"/>
        </w:numPr>
        <w:ind w:left="0"/>
        <w:rPr>
          <w:i/>
          <w:iCs/>
          <w:noProof/>
          <w:color w:val="FFC000"/>
        </w:rPr>
      </w:pPr>
      <w:r>
        <w:rPr>
          <w:noProof/>
        </w:rPr>
        <w:t>“PTO tirdzniecības atvieglošanas nolīgums” ir tirdzniecības atvieglošanas nolīgums,</w:t>
      </w:r>
      <w:r>
        <w:rPr>
          <w:noProof/>
        </w:rPr>
        <w:t xml:space="preserve"> kas pievienots protokolam, ar kuru groza PTO līgumu (2014. gada 27. novembra lēmums).</w:t>
      </w:r>
    </w:p>
    <w:p w:rsidR="003E022D" w:rsidRDefault="007D19D6">
      <w:pPr>
        <w:pStyle w:val="Article"/>
        <w:rPr>
          <w:noProof/>
        </w:rPr>
      </w:pPr>
      <w:bookmarkStart w:id="131" w:name="_Toc58163468"/>
      <w:r>
        <w:rPr>
          <w:noProof/>
        </w:rPr>
        <w:t>CUSTMS.2. pants. Muitas sadarbība</w:t>
      </w:r>
      <w:bookmarkEnd w:id="131"/>
      <w:r>
        <w:rPr>
          <w:noProof/>
        </w:rPr>
        <w:t xml:space="preserve"> </w:t>
      </w:r>
    </w:p>
    <w:p w:rsidR="003E022D" w:rsidRDefault="007D19D6">
      <w:pPr>
        <w:numPr>
          <w:ilvl w:val="0"/>
          <w:numId w:val="358"/>
        </w:numPr>
        <w:ind w:left="0" w:firstLine="0"/>
        <w:rPr>
          <w:noProof/>
        </w:rPr>
      </w:pPr>
      <w:r>
        <w:rPr>
          <w:noProof/>
        </w:rPr>
        <w:t xml:space="preserve">Lai atbalstītu CUSTMS.1. pantā [Mērķis] izklāstīto mērķu sasniegšanu, Pušu attiecīgās iestādes sadarbojas muitas jautājumos, ņemot </w:t>
      </w:r>
      <w:r>
        <w:rPr>
          <w:noProof/>
        </w:rPr>
        <w:t>vērā to attiecīgo iestāžu resursus. Šajā sadaļā [Preču tirdzniecība] piemēro 1987. gada 20. maija Konvenciju par preču tirdzniecības formalitāšu vienkāršošanu.</w:t>
      </w:r>
    </w:p>
    <w:p w:rsidR="003E022D" w:rsidRDefault="007D19D6">
      <w:pPr>
        <w:numPr>
          <w:ilvl w:val="0"/>
          <w:numId w:val="358"/>
        </w:numPr>
        <w:ind w:left="0" w:firstLine="0"/>
        <w:rPr>
          <w:noProof/>
        </w:rPr>
      </w:pPr>
      <w:r>
        <w:rPr>
          <w:noProof/>
        </w:rPr>
        <w:t>Puses attīsta sadarbību, cita starpā šādās jomās:</w:t>
      </w:r>
    </w:p>
    <w:p w:rsidR="003E022D" w:rsidRDefault="007D19D6">
      <w:pPr>
        <w:numPr>
          <w:ilvl w:val="0"/>
          <w:numId w:val="359"/>
        </w:numPr>
        <w:ind w:left="567" w:hanging="567"/>
        <w:rPr>
          <w:rFonts w:cstheme="minorHAnsi"/>
          <w:noProof/>
        </w:rPr>
      </w:pPr>
      <w:r>
        <w:rPr>
          <w:noProof/>
        </w:rPr>
        <w:t>informācijas apmaiņa par tiesību aktiem muitas</w:t>
      </w:r>
      <w:r>
        <w:rPr>
          <w:noProof/>
        </w:rPr>
        <w:t xml:space="preserve"> jomā, tiesību aktu muitas jomā īstenošanu un muitas procedūrām, sevišķi šādās jomās:</w:t>
      </w:r>
    </w:p>
    <w:p w:rsidR="003E022D" w:rsidRDefault="007D19D6">
      <w:pPr>
        <w:ind w:left="1276" w:hanging="567"/>
        <w:rPr>
          <w:noProof/>
        </w:rPr>
      </w:pPr>
      <w:r>
        <w:rPr>
          <w:noProof/>
        </w:rPr>
        <w:t>i) muitas procedūru vienkāršošana un modernizēšana;</w:t>
      </w:r>
    </w:p>
    <w:p w:rsidR="003E022D" w:rsidRDefault="007D19D6">
      <w:pPr>
        <w:ind w:left="1276" w:hanging="567"/>
        <w:rPr>
          <w:noProof/>
        </w:rPr>
      </w:pPr>
      <w:r>
        <w:rPr>
          <w:noProof/>
        </w:rPr>
        <w:t>ii) pārvietošanas tranzītā un pārkraušanas atvieglošana;</w:t>
      </w:r>
    </w:p>
    <w:p w:rsidR="003E022D" w:rsidRDefault="007D19D6">
      <w:pPr>
        <w:ind w:left="1276" w:hanging="567"/>
        <w:rPr>
          <w:noProof/>
        </w:rPr>
      </w:pPr>
      <w:r>
        <w:rPr>
          <w:noProof/>
        </w:rPr>
        <w:t>iii) attiecības ar darījumdarbības aprindām un</w:t>
      </w:r>
    </w:p>
    <w:p w:rsidR="003E022D" w:rsidRDefault="007D19D6">
      <w:pPr>
        <w:ind w:left="1276" w:hanging="567"/>
        <w:rPr>
          <w:noProof/>
        </w:rPr>
      </w:pPr>
      <w:r>
        <w:rPr>
          <w:noProof/>
        </w:rPr>
        <w:t>iv) piegādes ķ</w:t>
      </w:r>
      <w:r>
        <w:rPr>
          <w:noProof/>
        </w:rPr>
        <w:t>ēdes drošība un riska pārvaldība;</w:t>
      </w:r>
    </w:p>
    <w:p w:rsidR="003E022D" w:rsidRDefault="007D19D6">
      <w:pPr>
        <w:numPr>
          <w:ilvl w:val="0"/>
          <w:numId w:val="359"/>
        </w:numPr>
        <w:ind w:left="567" w:hanging="567"/>
        <w:rPr>
          <w:noProof/>
        </w:rPr>
      </w:pPr>
      <w:r>
        <w:rPr>
          <w:noProof/>
        </w:rPr>
        <w:t xml:space="preserve">sadarbība attiecībā uz aspektiem, kas saistīti ar muitu, lai nodrošinātu un atvieglotu starptautiskās tirdzniecības un piegādes ķēdi atbilstoši </w:t>
      </w:r>
      <w:r>
        <w:rPr>
          <w:i/>
          <w:noProof/>
        </w:rPr>
        <w:t>SAFE</w:t>
      </w:r>
      <w:r>
        <w:rPr>
          <w:noProof/>
        </w:rPr>
        <w:t xml:space="preserve"> Pamatstandartiem;</w:t>
      </w:r>
    </w:p>
    <w:p w:rsidR="003E022D" w:rsidRDefault="007D19D6">
      <w:pPr>
        <w:numPr>
          <w:ilvl w:val="0"/>
          <w:numId w:val="359"/>
        </w:numPr>
        <w:ind w:left="567" w:hanging="567"/>
        <w:rPr>
          <w:noProof/>
        </w:rPr>
      </w:pPr>
      <w:r>
        <w:rPr>
          <w:noProof/>
        </w:rPr>
        <w:t>iespējas apsvēršana izstrādāt kopīgas iniciatīvas saist</w:t>
      </w:r>
      <w:r>
        <w:rPr>
          <w:noProof/>
        </w:rPr>
        <w:t>ībā ar importa, eksporta un citām muitas procedūrām, tostarp tehnisko palīdzību, kā arī efektīvu pakalpojumu darījumdarbības aprindām nodrošināšanu;</w:t>
      </w:r>
    </w:p>
    <w:p w:rsidR="003E022D" w:rsidRDefault="007D19D6">
      <w:pPr>
        <w:numPr>
          <w:ilvl w:val="0"/>
          <w:numId w:val="359"/>
        </w:numPr>
        <w:ind w:left="567" w:hanging="567"/>
        <w:rPr>
          <w:noProof/>
        </w:rPr>
      </w:pPr>
      <w:r>
        <w:rPr>
          <w:noProof/>
        </w:rPr>
        <w:t>sadarbības stiprināšana muitas jomā starptautiskās organizācijās, piemēram, PTO un PMO, un informācijas apm</w:t>
      </w:r>
      <w:r>
        <w:rPr>
          <w:noProof/>
        </w:rPr>
        <w:t xml:space="preserve">aiņa vai apspriešanās, lai, ja iespējams, noteiktu kopēju nostāju minētajās starptautiskajās organizācijās un </w:t>
      </w:r>
      <w:r>
        <w:rPr>
          <w:i/>
          <w:noProof/>
        </w:rPr>
        <w:t>UNCTAD</w:t>
      </w:r>
      <w:r>
        <w:rPr>
          <w:noProof/>
        </w:rPr>
        <w:t>, ANO/EEK;</w:t>
      </w:r>
    </w:p>
    <w:p w:rsidR="003E022D" w:rsidRDefault="007D19D6">
      <w:pPr>
        <w:numPr>
          <w:ilvl w:val="0"/>
          <w:numId w:val="359"/>
        </w:numPr>
        <w:ind w:left="567" w:hanging="567"/>
        <w:rPr>
          <w:noProof/>
        </w:rPr>
      </w:pPr>
      <w:r>
        <w:rPr>
          <w:noProof/>
        </w:rPr>
        <w:t>centieni saskaņot savas datu prasības importa, eksporta un citām muitas procedūrām, īstenojot kopīgus standartus un datu elementu</w:t>
      </w:r>
      <w:r>
        <w:rPr>
          <w:noProof/>
        </w:rPr>
        <w:t>s saskaņā ar PMO Muitas datu modeli;</w:t>
      </w:r>
    </w:p>
    <w:p w:rsidR="003E022D" w:rsidRDefault="007D19D6">
      <w:pPr>
        <w:numPr>
          <w:ilvl w:val="0"/>
          <w:numId w:val="359"/>
        </w:numPr>
        <w:ind w:left="567" w:hanging="567"/>
        <w:rPr>
          <w:noProof/>
        </w:rPr>
      </w:pPr>
      <w:r>
        <w:rPr>
          <w:noProof/>
        </w:rPr>
        <w:t>sadarbības stiprināšana saistībā ar riska pārvaldības metodēm, tostarp apmainoties ar paraugpraksi un vajadzības gadījumā informāciju par riskiem un kontroles rezultātiem. Attiecīgā un piemērotā gadījumā Puses var arī a</w:t>
      </w:r>
      <w:r>
        <w:rPr>
          <w:noProof/>
        </w:rPr>
        <w:t>psvērt riska pārvaldības metožu, riska standartu un kontroles un muitas drošības pasākumu savstarpēju atzīšanu; attiecīgā un piemērotā gadījumā Puses var arī apsvērt iespēju izstrādāt saderīgus riska kritērijus un standartus, kontroles pasākumus un priorit</w:t>
      </w:r>
      <w:r>
        <w:rPr>
          <w:noProof/>
        </w:rPr>
        <w:t>ārās kontroles jomas;</w:t>
      </w:r>
    </w:p>
    <w:p w:rsidR="003E022D" w:rsidRDefault="007D19D6">
      <w:pPr>
        <w:numPr>
          <w:ilvl w:val="0"/>
          <w:numId w:val="359"/>
        </w:numPr>
        <w:ind w:left="567" w:hanging="567"/>
        <w:rPr>
          <w:noProof/>
        </w:rPr>
      </w:pPr>
      <w:r>
        <w:rPr>
          <w:noProof/>
        </w:rPr>
        <w:t>atzīto uzņēmēju programmu savstarpējas atzīšanas panākšana, lai nodrošinātu un atvieglotu tirdzniecību;</w:t>
      </w:r>
    </w:p>
    <w:p w:rsidR="003E022D" w:rsidRDefault="007D19D6">
      <w:pPr>
        <w:numPr>
          <w:ilvl w:val="0"/>
          <w:numId w:val="359"/>
        </w:numPr>
        <w:ind w:left="567" w:hanging="567"/>
        <w:rPr>
          <w:noProof/>
        </w:rPr>
      </w:pPr>
      <w:r>
        <w:rPr>
          <w:noProof/>
        </w:rPr>
        <w:t xml:space="preserve">sadarbības veicināšana starp muitas un citām valsts iestādēm vai aģentūrām saistībā ar atzīto uzņēmēju programmām, ko var panākt, </w:t>
      </w:r>
      <w:r>
        <w:rPr>
          <w:noProof/>
        </w:rPr>
        <w:t>cita starpā vienojoties par visaugstākajiem standartiem, atvieglojot piekļuvi ieguvumiem un līdz minimumam samazinot nevajadzīgu dublēšanos;</w:t>
      </w:r>
    </w:p>
    <w:p w:rsidR="003E022D" w:rsidRDefault="007D19D6">
      <w:pPr>
        <w:numPr>
          <w:ilvl w:val="0"/>
          <w:numId w:val="359"/>
        </w:numPr>
        <w:ind w:left="567" w:hanging="567"/>
        <w:rPr>
          <w:rFonts w:cstheme="minorHAnsi"/>
          <w:noProof/>
        </w:rPr>
      </w:pPr>
      <w:r>
        <w:rPr>
          <w:noProof/>
        </w:rPr>
        <w:t xml:space="preserve">intelektuālā īpašuma tiesību izpilde, ko nodrošina muitas dienesti, tostarp apmaiņa ar informāciju un paraugpraksi </w:t>
      </w:r>
      <w:r>
        <w:rPr>
          <w:noProof/>
        </w:rPr>
        <w:t>muitas operācijās, īpašu uzmanību pievēršot intelektuālā īpašuma tiesību izpildei;</w:t>
      </w:r>
    </w:p>
    <w:p w:rsidR="003E022D" w:rsidRDefault="007D19D6">
      <w:pPr>
        <w:numPr>
          <w:ilvl w:val="0"/>
          <w:numId w:val="359"/>
        </w:numPr>
        <w:ind w:left="567" w:hanging="567"/>
        <w:rPr>
          <w:rFonts w:eastAsia="Calibri" w:cs="Calibri"/>
          <w:noProof/>
          <w:color w:val="FF0000"/>
        </w:rPr>
      </w:pPr>
      <w:r>
        <w:rPr>
          <w:noProof/>
        </w:rPr>
        <w:t>gadījumos, kad tas ir atbilstīgi un praktiski īstenojams – saderīgu muitas procedūru saglabāšana, tostarp vienota administratīvā dokumenta piemērošana muitas deklarācijai,</w:t>
      </w:r>
      <w:bookmarkStart w:id="132" w:name="_Hlk55234549"/>
      <w:bookmarkStart w:id="133" w:name="_Hlk55221291"/>
      <w:r>
        <w:rPr>
          <w:noProof/>
        </w:rPr>
        <w:t xml:space="preserve"> u</w:t>
      </w:r>
      <w:r>
        <w:rPr>
          <w:noProof/>
        </w:rPr>
        <w:t>n</w:t>
      </w:r>
      <w:bookmarkEnd w:id="132"/>
      <w:bookmarkEnd w:id="133"/>
    </w:p>
    <w:p w:rsidR="003E022D" w:rsidRDefault="007D19D6">
      <w:pPr>
        <w:numPr>
          <w:ilvl w:val="0"/>
          <w:numId w:val="359"/>
        </w:numPr>
        <w:ind w:left="567" w:hanging="567"/>
        <w:rPr>
          <w:rFonts w:eastAsia="Calibri" w:cs="Calibri"/>
          <w:noProof/>
          <w:color w:val="FF0000"/>
        </w:rPr>
      </w:pPr>
      <w:r>
        <w:rPr>
          <w:noProof/>
        </w:rPr>
        <w:t>attiecīgos un piemērotos gadījumos un saskaņā ar kārtību, par ko jāvienojas, – apmaiņa, izmantojot strukturētu un periodisku saziņu, starp Pušu muitas dienestiem ar konkrētu kategoriju ar muitu saistītu informāciju, lai uzlabotu riska pārvaldību un muita</w:t>
      </w:r>
      <w:r>
        <w:rPr>
          <w:noProof/>
        </w:rPr>
        <w:t>s kontroles efektivitāti, pievērstos riskam pakļautajām precēm ieņēmumu iekasēšanas vai drošuma un drošības ziņā un veicinātu likumīgu tirdzniecību; šāda informācijas apmaiņa var ietvert eksporta un importa deklarāciju datus par tirdzniecību starp Pusēm, p</w:t>
      </w:r>
      <w:r>
        <w:rPr>
          <w:noProof/>
        </w:rPr>
        <w:t>aredzot iespēju ar izmēģinājuma iniciatīvu palīdzību izpētīt sadarbspējīgu mehānismu izstrādi, lai izvairītos no dublēšanās šādas informācijas iesniegšanā. Saskaņā ar šo punktu veiktā informācijas apmaiņa neskar informācijas apmaiņu, kas var notikt starp P</w:t>
      </w:r>
      <w:r>
        <w:rPr>
          <w:noProof/>
        </w:rPr>
        <w:t>usēm saskaņā ar Protokolu par savstarpējo administratīvo palīdzību muitas lietās.</w:t>
      </w:r>
    </w:p>
    <w:p w:rsidR="003E022D" w:rsidRDefault="007D19D6">
      <w:pPr>
        <w:numPr>
          <w:ilvl w:val="0"/>
          <w:numId w:val="358"/>
        </w:numPr>
        <w:ind w:left="0" w:firstLine="0"/>
        <w:rPr>
          <w:rFonts w:cstheme="minorHAnsi"/>
          <w:noProof/>
        </w:rPr>
      </w:pPr>
      <w:r>
        <w:rPr>
          <w:noProof/>
        </w:rPr>
        <w:t xml:space="preserve">Neskarot šajā nolīgumā paredzētās citas sadarbības formas, Pušu muitas dienesti viens otram sniedz savstarpēju administratīvo palīdzību jautājumos, uz ko attiecas šī nodaļa, </w:t>
      </w:r>
      <w:r>
        <w:rPr>
          <w:noProof/>
        </w:rPr>
        <w:t>saskaņā ar Protokolu par savstarpējo administratīvo palīdzību muitas lietās.</w:t>
      </w:r>
    </w:p>
    <w:p w:rsidR="003E022D" w:rsidRDefault="007D19D6">
      <w:pPr>
        <w:numPr>
          <w:ilvl w:val="0"/>
          <w:numId w:val="358"/>
        </w:numPr>
        <w:ind w:left="0" w:firstLine="0"/>
        <w:rPr>
          <w:rFonts w:cstheme="minorHAnsi"/>
          <w:noProof/>
        </w:rPr>
      </w:pPr>
      <w:r>
        <w:rPr>
          <w:noProof/>
        </w:rPr>
        <w:t xml:space="preserve">Uz jebkuru informācijas apmaiņu starp Pusēm saskaņā ar šo nodaļu </w:t>
      </w:r>
      <w:r>
        <w:rPr>
          <w:i/>
          <w:iCs/>
          <w:noProof/>
        </w:rPr>
        <w:t>mutatis mutandis</w:t>
      </w:r>
      <w:r>
        <w:rPr>
          <w:noProof/>
        </w:rPr>
        <w:t xml:space="preserve"> attiecas konfidencialitāte un informācijas aizsardzība, kas noteikta Protokola par savstarpējo ad</w:t>
      </w:r>
      <w:r>
        <w:rPr>
          <w:noProof/>
        </w:rPr>
        <w:t>ministratīvo palīdzību muitas lietās 12. pantā [Informācijas apmaiņa un konfidencialitāte], kā arī jebkādas konfidencialitātes prasības, kuras izklāstītas Pušu tiesību aktos.</w:t>
      </w:r>
    </w:p>
    <w:p w:rsidR="003E022D" w:rsidRDefault="007D19D6">
      <w:pPr>
        <w:pStyle w:val="Article"/>
        <w:rPr>
          <w:noProof/>
        </w:rPr>
      </w:pPr>
      <w:bookmarkStart w:id="134" w:name="_Toc58163469"/>
      <w:r>
        <w:rPr>
          <w:noProof/>
        </w:rPr>
        <w:t>CUSTMS.3. pants. Tiesību akti un procedūras muitas jomā un citi ar tirdzniecību s</w:t>
      </w:r>
      <w:r>
        <w:rPr>
          <w:noProof/>
        </w:rPr>
        <w:t>aistīti tiesību akti un procedūras</w:t>
      </w:r>
      <w:bookmarkEnd w:id="134"/>
    </w:p>
    <w:p w:rsidR="003E022D" w:rsidRDefault="007D19D6">
      <w:pPr>
        <w:numPr>
          <w:ilvl w:val="0"/>
          <w:numId w:val="360"/>
        </w:numPr>
        <w:ind w:left="0" w:firstLine="0"/>
        <w:rPr>
          <w:noProof/>
          <w:lang w:val="fr-BE"/>
        </w:rPr>
      </w:pPr>
      <w:r>
        <w:rPr>
          <w:noProof/>
          <w:lang w:val="fr-BE"/>
        </w:rPr>
        <w:t>Katra Puse nodrošina, ka tās muitas noteikumi un procedūras:</w:t>
      </w:r>
    </w:p>
    <w:p w:rsidR="003E022D" w:rsidRDefault="007D19D6">
      <w:pPr>
        <w:numPr>
          <w:ilvl w:val="0"/>
          <w:numId w:val="361"/>
        </w:numPr>
        <w:ind w:left="567" w:hanging="567"/>
        <w:rPr>
          <w:noProof/>
          <w:lang w:val="fr-BE"/>
        </w:rPr>
      </w:pPr>
      <w:r>
        <w:rPr>
          <w:noProof/>
          <w:lang w:val="fr-BE"/>
        </w:rPr>
        <w:t>atbilst starptautiskajiem instrumentiem un standartiem, kas piemērojami muitas un tirdzniecības jomā, tostarp PTO tirdzniecības atvieglošanas nolīgumam, Pārskatītās Kioto konvencijas par muitas procedūru vienkāršošanu un harmonizēšanu būtiskajiem elementie</w:t>
      </w:r>
      <w:r>
        <w:rPr>
          <w:noProof/>
          <w:lang w:val="fr-BE"/>
        </w:rPr>
        <w:t xml:space="preserve">m, Starptautiskajai konvencijai par preču aprakstīšanas un kodēšanas harmonizēto sistēmu, kā arī </w:t>
      </w:r>
      <w:r>
        <w:rPr>
          <w:i/>
          <w:noProof/>
          <w:lang w:val="fr-BE"/>
        </w:rPr>
        <w:t>SAFE</w:t>
      </w:r>
      <w:r>
        <w:rPr>
          <w:noProof/>
          <w:lang w:val="fr-BE"/>
        </w:rPr>
        <w:t xml:space="preserve"> Pamatstandartiem  un PMO Muitas datu modelim;</w:t>
      </w:r>
    </w:p>
    <w:p w:rsidR="003E022D" w:rsidRDefault="007D19D6">
      <w:pPr>
        <w:numPr>
          <w:ilvl w:val="0"/>
          <w:numId w:val="361"/>
        </w:numPr>
        <w:ind w:left="567" w:hanging="567"/>
        <w:rPr>
          <w:noProof/>
          <w:lang w:val="fr-BE"/>
        </w:rPr>
      </w:pPr>
      <w:r>
        <w:rPr>
          <w:noProof/>
          <w:lang w:val="fr-BE"/>
        </w:rPr>
        <w:t xml:space="preserve">nodrošina likumīgas tirdzniecības aizsardzību un atvieglošanu, ņemot vērā tirdzniecības prakses attīstību, </w:t>
      </w:r>
      <w:r>
        <w:rPr>
          <w:noProof/>
          <w:lang w:val="fr-BE"/>
        </w:rPr>
        <w:t>ar efektīvu izpildi, tostarp Pušu normatīvo aktu pārkāpumu, izvairīšanās no nodokļu maksāšanas un kontrabandas gadījumā, un atbilstības tiesību aktu prasībām nodrošināšanu;</w:t>
      </w:r>
    </w:p>
    <w:p w:rsidR="003E022D" w:rsidRDefault="007D19D6">
      <w:pPr>
        <w:numPr>
          <w:ilvl w:val="0"/>
          <w:numId w:val="361"/>
        </w:numPr>
        <w:ind w:left="567" w:hanging="567"/>
        <w:rPr>
          <w:noProof/>
          <w:lang w:val="fr-BE"/>
        </w:rPr>
      </w:pPr>
      <w:r>
        <w:rPr>
          <w:noProof/>
          <w:lang w:val="fr-BE"/>
        </w:rPr>
        <w:t xml:space="preserve">balstās uz tiesību aktiem, kas ir samērīgi un nediskriminējoši, novērš nevajadzīgu </w:t>
      </w:r>
      <w:r>
        <w:rPr>
          <w:noProof/>
          <w:lang w:val="fr-BE"/>
        </w:rPr>
        <w:t>slogu uzņēmējiem, nodrošina papildu atvieglojumus uzņēmējiem ar augstu atbilstības līmeni, tostarp labvēlīgu režīmu attiecībā uz muitas kontroli pirms preču izlaišanas, un nodrošina aizsardzības pasākumus pret krāpšanu un nelikumīgām vai kaitējošām darbībā</w:t>
      </w:r>
      <w:r>
        <w:rPr>
          <w:noProof/>
          <w:lang w:val="fr-BE"/>
        </w:rPr>
        <w:t>m, vienlaikus nodrošinot augstu iedzīvotāju drošības un drošuma aizsardzības līmeni, kā arī Pušu aizliegumu un ierobežojumu un finansiālo interešu ievērošanu, un</w:t>
      </w:r>
    </w:p>
    <w:p w:rsidR="003E022D" w:rsidRDefault="007D19D6">
      <w:pPr>
        <w:numPr>
          <w:ilvl w:val="0"/>
          <w:numId w:val="361"/>
        </w:numPr>
        <w:ind w:left="567" w:hanging="567"/>
        <w:rPr>
          <w:noProof/>
          <w:lang w:val="fr-BE"/>
        </w:rPr>
      </w:pPr>
      <w:r>
        <w:rPr>
          <w:noProof/>
          <w:lang w:val="fr-BE"/>
        </w:rPr>
        <w:t>ietver noteikumus, kuri nodrošina, ka ikviena sankcija, kas tiek noteikta par muitas noteikumu</w:t>
      </w:r>
      <w:r>
        <w:rPr>
          <w:noProof/>
          <w:lang w:val="fr-BE"/>
        </w:rPr>
        <w:t xml:space="preserve"> vai procedūras prasību pārkāpumiem, ir samērīga un nediskriminējoša un ka šādu sankciju noteikšana nerada nepamatotu kavēšanos.</w:t>
      </w:r>
    </w:p>
    <w:p w:rsidR="003E022D" w:rsidRDefault="007D19D6">
      <w:pPr>
        <w:rPr>
          <w:noProof/>
        </w:rPr>
      </w:pPr>
      <w:r>
        <w:rPr>
          <w:noProof/>
          <w:lang w:val="fr-BE"/>
        </w:rPr>
        <w:t xml:space="preserve">Katrai Pusei būtu periodiski jāpārskata savi tiesību akti un muitas procedūras. </w:t>
      </w:r>
      <w:r>
        <w:rPr>
          <w:noProof/>
        </w:rPr>
        <w:t>Muitas procedūras arī būtu jāpiemēro paredzami,</w:t>
      </w:r>
      <w:r>
        <w:rPr>
          <w:noProof/>
        </w:rPr>
        <w:t xml:space="preserve"> konsekventi un pārredzami.</w:t>
      </w:r>
    </w:p>
    <w:p w:rsidR="003E022D" w:rsidRDefault="007D19D6">
      <w:pPr>
        <w:numPr>
          <w:ilvl w:val="0"/>
          <w:numId w:val="360"/>
        </w:numPr>
        <w:ind w:left="0" w:firstLine="0"/>
        <w:rPr>
          <w:noProof/>
        </w:rPr>
      </w:pPr>
      <w:r>
        <w:rPr>
          <w:noProof/>
        </w:rPr>
        <w:t>Lai uzlabotu darba metodes un lai attiecībā uz darbībām nodrošinātu nediskrimināciju, pārredzamību, efektivitāti, viengabalainību un pārskatatbildību, katra Puse:</w:t>
      </w:r>
    </w:p>
    <w:p w:rsidR="003E022D" w:rsidRDefault="007D19D6">
      <w:pPr>
        <w:numPr>
          <w:ilvl w:val="0"/>
          <w:numId w:val="362"/>
        </w:numPr>
        <w:ind w:left="567" w:hanging="567"/>
        <w:rPr>
          <w:noProof/>
        </w:rPr>
      </w:pPr>
      <w:r>
        <w:rPr>
          <w:noProof/>
        </w:rPr>
        <w:t>kur vien iespējams, vienkāršo un pārskata prasības un formalitāte</w:t>
      </w:r>
      <w:r>
        <w:rPr>
          <w:noProof/>
        </w:rPr>
        <w:t>s, lai nodrošinātu preču ātru izlaišanu un muitošanu;</w:t>
      </w:r>
    </w:p>
    <w:p w:rsidR="003E022D" w:rsidRDefault="007D19D6">
      <w:pPr>
        <w:numPr>
          <w:ilvl w:val="0"/>
          <w:numId w:val="362"/>
        </w:numPr>
        <w:ind w:left="567" w:hanging="567"/>
        <w:rPr>
          <w:noProof/>
        </w:rPr>
      </w:pPr>
      <w:r>
        <w:rPr>
          <w:noProof/>
        </w:rPr>
        <w:t xml:space="preserve">cenšas panākt turpmākus vienkāršojumus un to datu un dokumentācijas standartizāciju, kuri vajadzīgi muitā un citās aģentūrās, un </w:t>
      </w:r>
    </w:p>
    <w:p w:rsidR="003E022D" w:rsidRDefault="007D19D6">
      <w:pPr>
        <w:numPr>
          <w:ilvl w:val="0"/>
          <w:numId w:val="362"/>
        </w:numPr>
        <w:ind w:left="567" w:hanging="567"/>
        <w:rPr>
          <w:noProof/>
        </w:rPr>
      </w:pPr>
      <w:r>
        <w:rPr>
          <w:noProof/>
        </w:rPr>
        <w:t>uzlabo sadarbību starp visām robežu aģentūrām, gan valstī, gan pāri robe</w:t>
      </w:r>
      <w:r>
        <w:rPr>
          <w:noProof/>
        </w:rPr>
        <w:t>žām, lai atvieglotu robežu šķērsošanas procesu un uzlabotu kontroli, ņemot vērā kopīgās robežu kontroles, kur tas ir praktiski iespējami un piemēroti.</w:t>
      </w:r>
    </w:p>
    <w:p w:rsidR="003E022D" w:rsidRDefault="007D19D6">
      <w:pPr>
        <w:pStyle w:val="Article"/>
        <w:rPr>
          <w:noProof/>
        </w:rPr>
      </w:pPr>
      <w:bookmarkStart w:id="135" w:name="_Toc58163470"/>
      <w:r>
        <w:rPr>
          <w:noProof/>
        </w:rPr>
        <w:t>CUSTMS.4. pants. Preču izlaišana</w:t>
      </w:r>
      <w:bookmarkEnd w:id="135"/>
    </w:p>
    <w:p w:rsidR="003E022D" w:rsidRDefault="007D19D6">
      <w:pPr>
        <w:numPr>
          <w:ilvl w:val="0"/>
          <w:numId w:val="363"/>
        </w:numPr>
        <w:ind w:left="0" w:firstLine="0"/>
        <w:rPr>
          <w:rFonts w:cstheme="minorHAnsi"/>
          <w:noProof/>
        </w:rPr>
      </w:pPr>
      <w:r>
        <w:rPr>
          <w:noProof/>
        </w:rPr>
        <w:t>Katra Puse pieņem vai atstāj spēkā muitas procedūras, kas:</w:t>
      </w:r>
    </w:p>
    <w:p w:rsidR="003E022D" w:rsidRDefault="007D19D6">
      <w:pPr>
        <w:ind w:left="567" w:hanging="567"/>
        <w:rPr>
          <w:rFonts w:cstheme="minorHAnsi"/>
          <w:noProof/>
        </w:rPr>
      </w:pPr>
      <w:r>
        <w:rPr>
          <w:noProof/>
        </w:rPr>
        <w:t>a)</w:t>
      </w:r>
      <w:r>
        <w:rPr>
          <w:noProof/>
        </w:rPr>
        <w:tab/>
        <w:t>paredz pre</w:t>
      </w:r>
      <w:r>
        <w:rPr>
          <w:noProof/>
        </w:rPr>
        <w:t>ču ātru izlaišanu laikposmā, kas nav ilgāks nekā nepieciešams, lai nodrošinātu atbilstību Puses normatīvajiem aktiem;</w:t>
      </w:r>
    </w:p>
    <w:p w:rsidR="003E022D" w:rsidRDefault="007D19D6">
      <w:pPr>
        <w:ind w:left="567" w:hanging="567"/>
        <w:rPr>
          <w:rFonts w:cstheme="minorHAnsi"/>
          <w:noProof/>
        </w:rPr>
      </w:pPr>
      <w:r>
        <w:rPr>
          <w:noProof/>
        </w:rPr>
        <w:t>b)</w:t>
      </w:r>
      <w:r>
        <w:rPr>
          <w:noProof/>
        </w:rPr>
        <w:tab/>
        <w:t>paredz dokumentu un jebkuras citas vajadzīgās informācijas iepriekšēju elektronisku iesniegšanu un apstrādi pirms preču pienākšanas, la</w:t>
      </w:r>
      <w:r>
        <w:rPr>
          <w:noProof/>
        </w:rPr>
        <w:t>i preces varētu izlaist uzreiz pēc to pienākšanas, ja nav konstatēts risks vai ja nav jāveic izlases veida pārbaudes vai citas pārbaudes;</w:t>
      </w:r>
    </w:p>
    <w:p w:rsidR="003E022D" w:rsidRDefault="007D19D6">
      <w:pPr>
        <w:ind w:left="567" w:hanging="567"/>
        <w:rPr>
          <w:rFonts w:cstheme="minorHAnsi"/>
          <w:noProof/>
        </w:rPr>
      </w:pPr>
      <w:r>
        <w:rPr>
          <w:noProof/>
        </w:rPr>
        <w:t>c)</w:t>
      </w:r>
      <w:r>
        <w:rPr>
          <w:noProof/>
        </w:rPr>
        <w:tab/>
        <w:t xml:space="preserve">paredz iespēju vajadzības gadījumā un, ja ir izpildīti vajadzīgie nosacījumi, laist preces brīvā apgrozībā pirmajā </w:t>
      </w:r>
      <w:r>
        <w:rPr>
          <w:noProof/>
        </w:rPr>
        <w:t>ievešanas vietā un</w:t>
      </w:r>
    </w:p>
    <w:p w:rsidR="003E022D" w:rsidRDefault="007D19D6">
      <w:pPr>
        <w:ind w:left="567" w:hanging="567"/>
        <w:rPr>
          <w:rFonts w:cstheme="minorHAnsi"/>
          <w:noProof/>
        </w:rPr>
      </w:pPr>
      <w:r>
        <w:rPr>
          <w:noProof/>
        </w:rPr>
        <w:t>d)</w:t>
      </w:r>
      <w:r>
        <w:rPr>
          <w:noProof/>
        </w:rPr>
        <w:tab/>
        <w:t xml:space="preserve">ļauj izlaist preces pirms muitas nodokļu, citu nodokļu, maksu un maksājumu galīgās noteikšanas, ja šāda noteikšana nav veikta pirms preču pienākšanas vai pienākšanas brīdī, vai pēc iespējas ātrāk pēc to pienākšanas, un ar nosacījumu, </w:t>
      </w:r>
      <w:r>
        <w:rPr>
          <w:noProof/>
        </w:rPr>
        <w:t xml:space="preserve">ka ir izpildītas visas pārējās regulatīvās prasības. </w:t>
      </w:r>
    </w:p>
    <w:p w:rsidR="003E022D" w:rsidRDefault="007D19D6">
      <w:pPr>
        <w:numPr>
          <w:ilvl w:val="0"/>
          <w:numId w:val="363"/>
        </w:numPr>
        <w:ind w:left="0" w:firstLine="0"/>
        <w:rPr>
          <w:rFonts w:cstheme="minorHAnsi"/>
          <w:noProof/>
        </w:rPr>
      </w:pPr>
      <w:r>
        <w:rPr>
          <w:noProof/>
        </w:rPr>
        <w:t>Kā šādas izlaišanas nosacījumu katra Puse var pieprasīt galvojumu par jebkuru summu, kas vēl nav noteikta, garantijas, depozīta vai cita atbilstīga instrumenta, kas paredzēts tās normatīvajos aktos, vei</w:t>
      </w:r>
      <w:r>
        <w:rPr>
          <w:noProof/>
        </w:rPr>
        <w:t>dā. Šāds galvojums nepārsniedz summu, kādu Puse pieprasa, lai nodrošinātu muitas nodokļu, citu nodokļu vai maksu un maksājumu samaksu par galvojuma segtajām precēm. Galvojuma saistības tiek izbeigtas, kad tās vairs nav vajadzīgas.</w:t>
      </w:r>
    </w:p>
    <w:p w:rsidR="003E022D" w:rsidRDefault="007D19D6">
      <w:pPr>
        <w:numPr>
          <w:ilvl w:val="0"/>
          <w:numId w:val="363"/>
        </w:numPr>
        <w:ind w:left="0" w:firstLine="0"/>
        <w:rPr>
          <w:rFonts w:cstheme="minorHAnsi"/>
          <w:noProof/>
        </w:rPr>
      </w:pPr>
      <w:r>
        <w:rPr>
          <w:noProof/>
        </w:rPr>
        <w:t>Puses nodrošina, ka muita</w:t>
      </w:r>
      <w:r>
        <w:rPr>
          <w:noProof/>
        </w:rPr>
        <w:t>s un citas iestādes, kas ir atbildīgas par robežkontroli un procedūrām attiecībā uz preču importu, eksportu un tranzītu, savstarpēji sadarbojas un koordinē savas darbības, lai atvieglotu tirdzniecību un paātrinātu preču izlaišanu.</w:t>
      </w:r>
    </w:p>
    <w:p w:rsidR="003E022D" w:rsidRDefault="007D19D6">
      <w:pPr>
        <w:pStyle w:val="Article"/>
        <w:rPr>
          <w:noProof/>
        </w:rPr>
      </w:pPr>
      <w:bookmarkStart w:id="136" w:name="_Toc58163471"/>
      <w:r>
        <w:rPr>
          <w:noProof/>
        </w:rPr>
        <w:t>CUSTMS.5. pants. Vienkārš</w:t>
      </w:r>
      <w:r>
        <w:rPr>
          <w:noProof/>
        </w:rPr>
        <w:t>otas muitas procedūras</w:t>
      </w:r>
      <w:bookmarkEnd w:id="136"/>
    </w:p>
    <w:p w:rsidR="003E022D" w:rsidRDefault="007D19D6">
      <w:pPr>
        <w:numPr>
          <w:ilvl w:val="0"/>
          <w:numId w:val="364"/>
        </w:numPr>
        <w:ind w:left="0" w:firstLine="0"/>
        <w:rPr>
          <w:rFonts w:cstheme="minorHAnsi"/>
          <w:noProof/>
        </w:rPr>
      </w:pPr>
      <w:r>
        <w:rPr>
          <w:noProof/>
        </w:rPr>
        <w:t>Katra Puse cenšas vienkāršot prasības un formalitātes attiecībā uz muitas procedūrām, lai samazinātu tām patērēto laiku un izmaksas tirgotājiem un uzņēmējiem, ieskaitot mazos un vidējos uzņēmumus.</w:t>
      </w:r>
    </w:p>
    <w:p w:rsidR="003E022D" w:rsidRDefault="007D19D6">
      <w:pPr>
        <w:numPr>
          <w:ilvl w:val="0"/>
          <w:numId w:val="364"/>
        </w:numPr>
        <w:ind w:left="0" w:firstLine="0"/>
        <w:rPr>
          <w:rFonts w:cstheme="minorHAnsi"/>
          <w:noProof/>
        </w:rPr>
      </w:pPr>
      <w:r>
        <w:rPr>
          <w:noProof/>
        </w:rPr>
        <w:t>Katra Puse pieņem vai saglabā pasāku</w:t>
      </w:r>
      <w:r>
        <w:rPr>
          <w:noProof/>
        </w:rPr>
        <w:t xml:space="preserve">mus, kas ļauj tirgotājiem vai uzņēmējiem, kuri atbilst Puses normatīvajos aktos noteiktajiem kritērijiem, gūt labumu no muitas procedūru turpmākas vienkāršošanas. Šādi pasākumi </w:t>
      </w:r>
      <w:r>
        <w:rPr>
          <w:i/>
          <w:noProof/>
        </w:rPr>
        <w:t>inter alia</w:t>
      </w:r>
      <w:r>
        <w:rPr>
          <w:noProof/>
        </w:rPr>
        <w:t xml:space="preserve"> var būt šādi:</w:t>
      </w:r>
    </w:p>
    <w:p w:rsidR="003E022D" w:rsidRDefault="007D19D6">
      <w:pPr>
        <w:numPr>
          <w:ilvl w:val="0"/>
          <w:numId w:val="492"/>
        </w:numPr>
        <w:rPr>
          <w:rFonts w:cstheme="minorHAnsi"/>
          <w:noProof/>
        </w:rPr>
      </w:pPr>
      <w:r>
        <w:rPr>
          <w:noProof/>
        </w:rPr>
        <w:t xml:space="preserve">muitas deklarācijas, kurām ir samazināts datu vai </w:t>
      </w:r>
      <w:r>
        <w:rPr>
          <w:noProof/>
        </w:rPr>
        <w:t>pavaddokumentu kopums,</w:t>
      </w:r>
      <w:r>
        <w:rPr>
          <w:noProof/>
          <w:color w:val="0070C0"/>
        </w:rPr>
        <w:t xml:space="preserve"> </w:t>
      </w:r>
    </w:p>
    <w:p w:rsidR="003E022D" w:rsidRDefault="007D19D6">
      <w:pPr>
        <w:numPr>
          <w:ilvl w:val="0"/>
          <w:numId w:val="492"/>
        </w:numPr>
        <w:rPr>
          <w:rFonts w:cstheme="minorHAnsi"/>
          <w:noProof/>
        </w:rPr>
      </w:pPr>
      <w:r>
        <w:rPr>
          <w:noProof/>
        </w:rPr>
        <w:t>periodiskas muitas deklarācijas, lai noteiktu un nomaksātu muitas nodokļus un maksājumus, kas attiecas uz vairākiem importiem noteiktā laikposmā pēc šo importēto preču izlaišanas,</w:t>
      </w:r>
    </w:p>
    <w:p w:rsidR="003E022D" w:rsidRDefault="007D19D6">
      <w:pPr>
        <w:numPr>
          <w:ilvl w:val="0"/>
          <w:numId w:val="492"/>
        </w:numPr>
        <w:rPr>
          <w:rFonts w:cstheme="minorHAnsi"/>
          <w:noProof/>
        </w:rPr>
      </w:pPr>
      <w:r>
        <w:rPr>
          <w:noProof/>
        </w:rPr>
        <w:t>muitas nodokļu un citu maksājumu pašnovērtējums un a</w:t>
      </w:r>
      <w:r>
        <w:rPr>
          <w:noProof/>
        </w:rPr>
        <w:t xml:space="preserve">tlikta samaksa līdz minēto importēto preču izlaišanai un </w:t>
      </w:r>
    </w:p>
    <w:p w:rsidR="003E022D" w:rsidRDefault="007D19D6">
      <w:pPr>
        <w:numPr>
          <w:ilvl w:val="0"/>
          <w:numId w:val="492"/>
        </w:numPr>
        <w:rPr>
          <w:rFonts w:cstheme="minorHAnsi"/>
          <w:noProof/>
        </w:rPr>
      </w:pPr>
      <w:r>
        <w:rPr>
          <w:noProof/>
        </w:rPr>
        <w:t xml:space="preserve">galvojuma ar samazinātu summu izmantošana vai atbrīvojums no pienākuma sniegt galvojumu.  </w:t>
      </w:r>
    </w:p>
    <w:p w:rsidR="003E022D" w:rsidRDefault="007D19D6">
      <w:pPr>
        <w:numPr>
          <w:ilvl w:val="0"/>
          <w:numId w:val="364"/>
        </w:numPr>
        <w:ind w:left="0" w:firstLine="0"/>
        <w:rPr>
          <w:rFonts w:eastAsia="Calibri" w:cs="Calibri"/>
          <w:noProof/>
        </w:rPr>
      </w:pPr>
      <w:r>
        <w:rPr>
          <w:noProof/>
        </w:rPr>
        <w:t>Ja Puse izvēlas pieņemt kādu no šiem pasākumiem, tā piedāvās šos vienkāršojumus visiem tirgotājiem, kas atb</w:t>
      </w:r>
      <w:r>
        <w:rPr>
          <w:noProof/>
        </w:rPr>
        <w:t>ilst attiecīgajiem kritērijiem, ja minētā Puse to uzskatīs par vajadzīgu un praktisku saskaņā ar saviem normatīvajiem aktiem.</w:t>
      </w:r>
    </w:p>
    <w:p w:rsidR="003E022D" w:rsidRDefault="007D19D6">
      <w:pPr>
        <w:pStyle w:val="Article"/>
        <w:rPr>
          <w:noProof/>
        </w:rPr>
      </w:pPr>
      <w:bookmarkStart w:id="137" w:name="_Toc58163472"/>
      <w:r>
        <w:rPr>
          <w:noProof/>
        </w:rPr>
        <w:t>CUSTMS.6. pants. Tranzīts un pārkraušana</w:t>
      </w:r>
      <w:bookmarkEnd w:id="137"/>
    </w:p>
    <w:p w:rsidR="003E022D" w:rsidRDefault="007D19D6">
      <w:pPr>
        <w:numPr>
          <w:ilvl w:val="0"/>
          <w:numId w:val="365"/>
        </w:numPr>
        <w:ind w:left="0" w:firstLine="0"/>
        <w:rPr>
          <w:rFonts w:cstheme="minorHAnsi"/>
          <w:noProof/>
        </w:rPr>
      </w:pPr>
      <w:r>
        <w:rPr>
          <w:noProof/>
        </w:rPr>
        <w:t>GOODS.4.a panta [Tranzīta brīvība] nolūkos piemēro Konvenciju par kopīgu tranzīta procedū</w:t>
      </w:r>
      <w:r>
        <w:rPr>
          <w:noProof/>
        </w:rPr>
        <w:t>ru.</w:t>
      </w:r>
    </w:p>
    <w:p w:rsidR="003E022D" w:rsidRDefault="007D19D6">
      <w:pPr>
        <w:numPr>
          <w:ilvl w:val="0"/>
          <w:numId w:val="365"/>
        </w:numPr>
        <w:ind w:left="0" w:firstLine="0"/>
        <w:rPr>
          <w:rFonts w:cstheme="minorHAnsi"/>
          <w:noProof/>
        </w:rPr>
      </w:pPr>
      <w:r>
        <w:rPr>
          <w:noProof/>
        </w:rPr>
        <w:t>Katra Puse savā teritorijā nodrošina pārkraušanas darbību un pārvietošanas tranzītā atvieglošanu un efektīvu kontroli.</w:t>
      </w:r>
    </w:p>
    <w:p w:rsidR="003E022D" w:rsidRDefault="007D19D6">
      <w:pPr>
        <w:numPr>
          <w:ilvl w:val="0"/>
          <w:numId w:val="365"/>
        </w:numPr>
        <w:ind w:left="0" w:firstLine="0"/>
        <w:rPr>
          <w:rFonts w:cstheme="minorHAnsi"/>
          <w:noProof/>
        </w:rPr>
      </w:pPr>
      <w:r>
        <w:rPr>
          <w:noProof/>
        </w:rPr>
        <w:t xml:space="preserve">Katra Puse veicina un īsteno reģionālus tranzīta pasākumus, lai atvieglotu tirdzniecību saskaņā ar </w:t>
      </w:r>
      <w:bookmarkStart w:id="138" w:name="_Hlk57212610"/>
      <w:r>
        <w:rPr>
          <w:noProof/>
        </w:rPr>
        <w:t>Konvenciju par kopīgu tranzīta pro</w:t>
      </w:r>
      <w:r>
        <w:rPr>
          <w:noProof/>
        </w:rPr>
        <w:t>cedūru</w:t>
      </w:r>
      <w:bookmarkEnd w:id="138"/>
      <w:r>
        <w:rPr>
          <w:noProof/>
        </w:rPr>
        <w:t>.</w:t>
      </w:r>
    </w:p>
    <w:p w:rsidR="003E022D" w:rsidRDefault="007D19D6">
      <w:pPr>
        <w:numPr>
          <w:ilvl w:val="0"/>
          <w:numId w:val="365"/>
        </w:numPr>
        <w:ind w:left="0" w:firstLine="0"/>
        <w:rPr>
          <w:rFonts w:cstheme="minorHAnsi"/>
          <w:noProof/>
        </w:rPr>
      </w:pPr>
      <w:r>
        <w:rPr>
          <w:noProof/>
        </w:rPr>
        <w:t>Katra Puse savā teritorijā nodrošina visu attiecīgo iestāžu un aģentūru sadarbību un koordināciju, lai atvieglotu tranzīta satiksmi.</w:t>
      </w:r>
    </w:p>
    <w:p w:rsidR="003E022D" w:rsidRDefault="007D19D6">
      <w:pPr>
        <w:numPr>
          <w:ilvl w:val="0"/>
          <w:numId w:val="365"/>
        </w:numPr>
        <w:ind w:left="0" w:firstLine="0"/>
        <w:rPr>
          <w:rFonts w:cstheme="minorHAnsi"/>
          <w:noProof/>
        </w:rPr>
      </w:pPr>
      <w:r>
        <w:rPr>
          <w:noProof/>
        </w:rPr>
        <w:t xml:space="preserve">Katra Puse atļauj importam paredzētās preces muitas kontrolē pārvietot tās teritorijā no ievešanas muitas iestādes </w:t>
      </w:r>
      <w:r>
        <w:rPr>
          <w:noProof/>
        </w:rPr>
        <w:t>uz citu muitas iestādi tās teritorijā, kur preces tiktu izlaistas vai muitotas.</w:t>
      </w:r>
    </w:p>
    <w:p w:rsidR="003E022D" w:rsidRDefault="007D19D6">
      <w:pPr>
        <w:pStyle w:val="Article"/>
        <w:rPr>
          <w:noProof/>
        </w:rPr>
      </w:pPr>
      <w:bookmarkStart w:id="139" w:name="_Toc58163473"/>
      <w:r>
        <w:rPr>
          <w:noProof/>
        </w:rPr>
        <w:t>CUSTMS.7. pants. Riska pārvaldība</w:t>
      </w:r>
      <w:bookmarkEnd w:id="139"/>
    </w:p>
    <w:p w:rsidR="003E022D" w:rsidRDefault="007D19D6">
      <w:pPr>
        <w:numPr>
          <w:ilvl w:val="0"/>
          <w:numId w:val="366"/>
        </w:numPr>
        <w:ind w:left="0" w:firstLine="0"/>
        <w:rPr>
          <w:rFonts w:cstheme="minorHAnsi"/>
          <w:noProof/>
        </w:rPr>
      </w:pPr>
      <w:r>
        <w:rPr>
          <w:noProof/>
        </w:rPr>
        <w:t>Katra Puse pieņem vai saglabā riska pārvaldības sistēmu muitas kontrolei, lai samazinātu tāda notikuma iespējamību un ietekmi, kas kavētu ties</w:t>
      </w:r>
      <w:r>
        <w:rPr>
          <w:noProof/>
        </w:rPr>
        <w:t>ību aktu muitas jomā pareizu piemērošanu, apdraudētu Pušu finansiālās intereses vai apdraudētu Pušu un to iedzīvotāju drošību un drošumu, cilvēku, dzīvnieku vai augu veselību, vidi vai patērētājus.</w:t>
      </w:r>
    </w:p>
    <w:p w:rsidR="003E022D" w:rsidRDefault="007D19D6">
      <w:pPr>
        <w:numPr>
          <w:ilvl w:val="0"/>
          <w:numId w:val="366"/>
        </w:numPr>
        <w:ind w:left="0" w:firstLine="0"/>
        <w:rPr>
          <w:rFonts w:cstheme="minorHAnsi"/>
          <w:noProof/>
        </w:rPr>
      </w:pPr>
      <w:r>
        <w:rPr>
          <w:noProof/>
        </w:rPr>
        <w:t xml:space="preserve">Tāda muitas kontrole, kas nav izlases veida pārbaudes, </w:t>
      </w:r>
      <w:r>
        <w:rPr>
          <w:noProof/>
        </w:rPr>
        <w:t>galvenokārt ir balstīta uz riska analīzi, izmantojot elektroniskas datu apstrādes metodes.</w:t>
      </w:r>
    </w:p>
    <w:p w:rsidR="003E022D" w:rsidRDefault="007D19D6">
      <w:pPr>
        <w:numPr>
          <w:ilvl w:val="0"/>
          <w:numId w:val="366"/>
        </w:numPr>
        <w:ind w:left="0" w:firstLine="0"/>
        <w:rPr>
          <w:rFonts w:cstheme="minorHAnsi"/>
          <w:noProof/>
        </w:rPr>
      </w:pPr>
      <w:r>
        <w:rPr>
          <w:noProof/>
        </w:rPr>
        <w:t>Katra Puse izstrādā un piemēro riska pārvaldību tā, lai novērstu patvaļīgu vai nepamatotu diskrimināciju vai slēptus starptautiskās tirdzniecības ierobežojumus.</w:t>
      </w:r>
    </w:p>
    <w:p w:rsidR="003E022D" w:rsidRDefault="007D19D6">
      <w:pPr>
        <w:numPr>
          <w:ilvl w:val="0"/>
          <w:numId w:val="366"/>
        </w:numPr>
        <w:ind w:left="0" w:firstLine="0"/>
        <w:rPr>
          <w:rFonts w:cstheme="minorHAnsi"/>
          <w:noProof/>
        </w:rPr>
      </w:pPr>
      <w:r>
        <w:rPr>
          <w:noProof/>
        </w:rPr>
        <w:t>Katr</w:t>
      </w:r>
      <w:r>
        <w:rPr>
          <w:noProof/>
        </w:rPr>
        <w:t>a Puse koncentrē muitas kontroli un citas attiecīgas robežkontroles uz augsta riska sūtījumiem un paātrina zema riska sūtījumu izlaišanu. Katra Puse savas riska pārvaldības ietvaros var izvēlēties sūtījumus šādai kontrolei arī pēc nejaušības principa.</w:t>
      </w:r>
    </w:p>
    <w:p w:rsidR="003E022D" w:rsidRDefault="007D19D6">
      <w:pPr>
        <w:numPr>
          <w:ilvl w:val="0"/>
          <w:numId w:val="366"/>
        </w:numPr>
        <w:ind w:left="0" w:firstLine="0"/>
        <w:rPr>
          <w:rFonts w:cstheme="minorHAnsi"/>
          <w:noProof/>
        </w:rPr>
      </w:pPr>
      <w:r>
        <w:rPr>
          <w:noProof/>
        </w:rPr>
        <w:t>Katr</w:t>
      </w:r>
      <w:r>
        <w:rPr>
          <w:noProof/>
        </w:rPr>
        <w:t>a Puse riska pārvaldībā pamatojas uz risku novērtēšanu, izmantojot piemērotus atlases kritērijus.</w:t>
      </w:r>
    </w:p>
    <w:p w:rsidR="003E022D" w:rsidRDefault="007D19D6">
      <w:pPr>
        <w:pStyle w:val="Article"/>
        <w:rPr>
          <w:noProof/>
        </w:rPr>
      </w:pPr>
      <w:bookmarkStart w:id="140" w:name="_Toc58163474"/>
      <w:r>
        <w:rPr>
          <w:noProof/>
        </w:rPr>
        <w:t>CUSTMS.8. pants. Pēcmuitošanas audits</w:t>
      </w:r>
      <w:bookmarkEnd w:id="140"/>
    </w:p>
    <w:p w:rsidR="003E022D" w:rsidRDefault="007D19D6">
      <w:pPr>
        <w:numPr>
          <w:ilvl w:val="0"/>
          <w:numId w:val="367"/>
        </w:numPr>
        <w:ind w:left="0" w:firstLine="0"/>
        <w:rPr>
          <w:rFonts w:cstheme="minorHAnsi"/>
          <w:noProof/>
        </w:rPr>
      </w:pPr>
      <w:r>
        <w:rPr>
          <w:noProof/>
        </w:rPr>
        <w:t>Lai paātrinātu preču izlaišanu, katra Puse pieņem vai saglabā pēcmuitošanas auditu, lai nodrošinātu atbilstību normatīvo</w:t>
      </w:r>
      <w:r>
        <w:rPr>
          <w:noProof/>
        </w:rPr>
        <w:t xml:space="preserve"> aktu prasībām muitas un citās saistītajās jomās.</w:t>
      </w:r>
    </w:p>
    <w:p w:rsidR="003E022D" w:rsidRDefault="007D19D6">
      <w:pPr>
        <w:numPr>
          <w:ilvl w:val="0"/>
          <w:numId w:val="367"/>
        </w:numPr>
        <w:ind w:left="0" w:firstLine="0"/>
        <w:rPr>
          <w:rFonts w:cstheme="minorHAnsi"/>
          <w:noProof/>
        </w:rPr>
      </w:pPr>
      <w:r>
        <w:rPr>
          <w:noProof/>
        </w:rPr>
        <w:t>Katra Puse izraugās personas vai sūtījumus pēcmuitošanas auditiem uz risku pamatotā veidā, kas var ietvert attiecīgus atlases kritērijus. Katra Puse pēcmuitošanas auditus veic pārredzami. Ja persona ir iesa</w:t>
      </w:r>
      <w:r>
        <w:rPr>
          <w:noProof/>
        </w:rPr>
        <w:t>istīta pēcmuitošanas auditā un ja Puse ir ieguvusi pārliecinošus rezultātus, tā nekavējoties informē personu, kuras dokumenti tiek pārbaudīti, par rezultātiem, personas tiesībām un saistībām un rezultātu pamatojumu.</w:t>
      </w:r>
    </w:p>
    <w:p w:rsidR="003E022D" w:rsidRDefault="007D19D6">
      <w:pPr>
        <w:numPr>
          <w:ilvl w:val="0"/>
          <w:numId w:val="367"/>
        </w:numPr>
        <w:ind w:left="0" w:firstLine="0"/>
        <w:rPr>
          <w:rFonts w:cstheme="minorHAnsi"/>
          <w:noProof/>
        </w:rPr>
      </w:pPr>
      <w:r>
        <w:rPr>
          <w:noProof/>
        </w:rPr>
        <w:t xml:space="preserve">Pēcmuitošanas auditā iegūto informāciju </w:t>
      </w:r>
      <w:r>
        <w:rPr>
          <w:noProof/>
        </w:rPr>
        <w:t>var izmantot turpmākā administratīvā procedūrā vai tiesvedībā.</w:t>
      </w:r>
    </w:p>
    <w:p w:rsidR="003E022D" w:rsidRDefault="007D19D6">
      <w:pPr>
        <w:numPr>
          <w:ilvl w:val="0"/>
          <w:numId w:val="367"/>
        </w:numPr>
        <w:ind w:left="0" w:firstLine="0"/>
        <w:rPr>
          <w:rFonts w:cstheme="minorHAnsi"/>
          <w:noProof/>
        </w:rPr>
      </w:pPr>
      <w:r>
        <w:rPr>
          <w:noProof/>
        </w:rPr>
        <w:t>Ja tas ir praktiski iespējams, Puses izmanto pēcmuitošanas audita rezultātus riska pārvaldības nolūkos.</w:t>
      </w:r>
    </w:p>
    <w:p w:rsidR="003E022D" w:rsidRDefault="007D19D6">
      <w:pPr>
        <w:pStyle w:val="Article"/>
        <w:rPr>
          <w:noProof/>
        </w:rPr>
      </w:pPr>
      <w:bookmarkStart w:id="141" w:name="_Toc58163475"/>
      <w:r>
        <w:rPr>
          <w:noProof/>
        </w:rPr>
        <w:t>CUSTMS.9. pants. Atzītie uzņēmēji</w:t>
      </w:r>
      <w:bookmarkEnd w:id="141"/>
    </w:p>
    <w:p w:rsidR="003E022D" w:rsidRDefault="007D19D6">
      <w:pPr>
        <w:numPr>
          <w:ilvl w:val="0"/>
          <w:numId w:val="368"/>
        </w:numPr>
        <w:ind w:left="0" w:firstLine="0"/>
        <w:rPr>
          <w:strike/>
          <w:noProof/>
        </w:rPr>
      </w:pPr>
      <w:r>
        <w:rPr>
          <w:noProof/>
        </w:rPr>
        <w:t xml:space="preserve">Katra Puse izveido partnerības programmu uzņēmējiem, </w:t>
      </w:r>
      <w:r>
        <w:rPr>
          <w:noProof/>
        </w:rPr>
        <w:t>kuri atbilst CUSTMS-1 pielikumā [Atzītie uzņēmēji] noteiktajiem kritērijiem.</w:t>
      </w:r>
    </w:p>
    <w:p w:rsidR="003E022D" w:rsidRDefault="007D19D6">
      <w:pPr>
        <w:numPr>
          <w:ilvl w:val="0"/>
          <w:numId w:val="368"/>
        </w:numPr>
        <w:ind w:left="0" w:firstLine="0"/>
        <w:rPr>
          <w:strike/>
          <w:noProof/>
        </w:rPr>
      </w:pPr>
      <w:r>
        <w:rPr>
          <w:noProof/>
        </w:rPr>
        <w:t>Puses atzīst savas attiecīgās atzīto uzņēmēju programmas saskaņā ar CUSTMS-1 pielikumu [Atzītie uzņēmēji].</w:t>
      </w:r>
    </w:p>
    <w:p w:rsidR="003E022D" w:rsidRDefault="007D19D6">
      <w:pPr>
        <w:pStyle w:val="Article"/>
        <w:rPr>
          <w:noProof/>
          <w:lang w:val="fr-BE"/>
        </w:rPr>
      </w:pPr>
      <w:bookmarkStart w:id="142" w:name="_Toc58163476"/>
      <w:r>
        <w:rPr>
          <w:noProof/>
          <w:lang w:val="fr-BE"/>
        </w:rPr>
        <w:t>CUSTMS.10. pants. Informācijas publicēšana un pieejamība</w:t>
      </w:r>
      <w:bookmarkEnd w:id="142"/>
    </w:p>
    <w:p w:rsidR="003E022D" w:rsidRDefault="007D19D6">
      <w:pPr>
        <w:numPr>
          <w:ilvl w:val="0"/>
          <w:numId w:val="369"/>
        </w:numPr>
        <w:ind w:left="0" w:firstLine="0"/>
        <w:rPr>
          <w:noProof/>
          <w:lang w:val="fr-BE"/>
        </w:rPr>
      </w:pPr>
      <w:r>
        <w:rPr>
          <w:noProof/>
          <w:lang w:val="fr-BE"/>
        </w:rPr>
        <w:t>Katra Puse nodr</w:t>
      </w:r>
      <w:r>
        <w:rPr>
          <w:noProof/>
          <w:lang w:val="fr-BE"/>
        </w:rPr>
        <w:t>ošina, ka tās tiesību akti muitas jomā un citi ar tirdzniecību saistītie normatīvie akti, kā arī vispārējās administratīvās procedūras un būtiskā, vispārpiemērojamā informācija saistībā ar tirdzniecību tiek publicēta un ir brīvi pieejama jebkurai ieinteres</w:t>
      </w:r>
      <w:r>
        <w:rPr>
          <w:noProof/>
          <w:lang w:val="fr-BE"/>
        </w:rPr>
        <w:t>ētai personai viegli pieejamā veidā, tai skaitā vajadzības gadījumā internetā.</w:t>
      </w:r>
    </w:p>
    <w:p w:rsidR="003E022D" w:rsidRDefault="007D19D6">
      <w:pPr>
        <w:numPr>
          <w:ilvl w:val="0"/>
          <w:numId w:val="369"/>
        </w:numPr>
        <w:ind w:left="0" w:firstLine="0"/>
        <w:rPr>
          <w:noProof/>
        </w:rPr>
      </w:pPr>
      <w:r>
        <w:rPr>
          <w:noProof/>
          <w:lang w:val="fr-BE"/>
        </w:rPr>
        <w:t>Katra Puse nekavējoties publicē jaunus tiesību aktus un vispārīgas procedūras, kas saistītas ar muitu un tirdzniecības atvieglošanas jautājumiem, cik savlaicīgi vien iespējams p</w:t>
      </w:r>
      <w:r>
        <w:rPr>
          <w:noProof/>
          <w:lang w:val="fr-BE"/>
        </w:rPr>
        <w:t xml:space="preserve">irms šādu tiesību aktu vai procedūru stāšanās spēkā, un nekavējoties publicē jebkādas šādu tiesību aktu un procedūru izmaiņas un interpretācijas. </w:t>
      </w:r>
      <w:r>
        <w:rPr>
          <w:noProof/>
        </w:rPr>
        <w:t>Šāda publikācija ietver:</w:t>
      </w:r>
    </w:p>
    <w:p w:rsidR="003E022D" w:rsidRDefault="007D19D6">
      <w:pPr>
        <w:numPr>
          <w:ilvl w:val="0"/>
          <w:numId w:val="370"/>
        </w:numPr>
        <w:ind w:left="567" w:hanging="567"/>
        <w:rPr>
          <w:rFonts w:cstheme="minorHAnsi"/>
          <w:noProof/>
        </w:rPr>
      </w:pPr>
      <w:r>
        <w:rPr>
          <w:noProof/>
        </w:rPr>
        <w:t>attiecīgus administratīva rakstura paziņojumus;</w:t>
      </w:r>
    </w:p>
    <w:p w:rsidR="003E022D" w:rsidRDefault="007D19D6">
      <w:pPr>
        <w:numPr>
          <w:ilvl w:val="0"/>
          <w:numId w:val="370"/>
        </w:numPr>
        <w:ind w:left="567" w:hanging="567"/>
        <w:rPr>
          <w:rFonts w:cstheme="minorHAnsi"/>
          <w:noProof/>
          <w:lang w:val="fr-BE"/>
        </w:rPr>
      </w:pPr>
      <w:r>
        <w:rPr>
          <w:noProof/>
          <w:lang w:val="fr-BE"/>
        </w:rPr>
        <w:t>importa, eksporta un tranzīta (tostar</w:t>
      </w:r>
      <w:r>
        <w:rPr>
          <w:noProof/>
          <w:lang w:val="fr-BE"/>
        </w:rPr>
        <w:t>p ostu, lidostu un citu ievešanas vietu) procedūras un nepieciešamās veidlapas un dokumentus;</w:t>
      </w:r>
    </w:p>
    <w:p w:rsidR="003E022D" w:rsidRDefault="007D19D6">
      <w:pPr>
        <w:numPr>
          <w:ilvl w:val="0"/>
          <w:numId w:val="370"/>
        </w:numPr>
        <w:ind w:left="567" w:hanging="567"/>
        <w:rPr>
          <w:rFonts w:cstheme="minorHAnsi"/>
          <w:noProof/>
          <w:lang w:val="fr-BE"/>
        </w:rPr>
      </w:pPr>
      <w:r>
        <w:rPr>
          <w:noProof/>
          <w:lang w:val="fr-BE"/>
        </w:rPr>
        <w:t>visu to maksājumu un nodokļu likmes, ko uzliek importam vai eksportam vai saistībā ar to;</w:t>
      </w:r>
    </w:p>
    <w:p w:rsidR="003E022D" w:rsidRDefault="007D19D6">
      <w:pPr>
        <w:numPr>
          <w:ilvl w:val="0"/>
          <w:numId w:val="370"/>
        </w:numPr>
        <w:ind w:left="567" w:hanging="567"/>
        <w:rPr>
          <w:rFonts w:cstheme="minorHAnsi"/>
          <w:noProof/>
          <w:lang w:val="fr-BE"/>
        </w:rPr>
      </w:pPr>
      <w:r>
        <w:rPr>
          <w:noProof/>
          <w:lang w:val="fr-BE"/>
        </w:rPr>
        <w:t>maksas vai maksājumus, ko pārvaldes aģentūras uzliek importam, eksportam</w:t>
      </w:r>
      <w:r>
        <w:rPr>
          <w:noProof/>
          <w:lang w:val="fr-BE"/>
        </w:rPr>
        <w:t xml:space="preserve"> vai tranzītam vai saistībā ar to;</w:t>
      </w:r>
    </w:p>
    <w:p w:rsidR="003E022D" w:rsidRDefault="007D19D6">
      <w:pPr>
        <w:numPr>
          <w:ilvl w:val="0"/>
          <w:numId w:val="370"/>
        </w:numPr>
        <w:ind w:left="567" w:hanging="567"/>
        <w:rPr>
          <w:rFonts w:cstheme="minorHAnsi"/>
          <w:noProof/>
          <w:lang w:val="fr-BE"/>
        </w:rPr>
      </w:pPr>
      <w:r>
        <w:rPr>
          <w:noProof/>
          <w:lang w:val="fr-BE"/>
        </w:rPr>
        <w:t>noteikumus par preču klasificēšanu vai vērtēšanu muitas vajadzībām;</w:t>
      </w:r>
    </w:p>
    <w:p w:rsidR="003E022D" w:rsidRDefault="007D19D6">
      <w:pPr>
        <w:numPr>
          <w:ilvl w:val="0"/>
          <w:numId w:val="370"/>
        </w:numPr>
        <w:ind w:left="567" w:hanging="567"/>
        <w:rPr>
          <w:rFonts w:cstheme="minorHAnsi"/>
          <w:noProof/>
          <w:lang w:val="fr-BE"/>
        </w:rPr>
      </w:pPr>
      <w:r>
        <w:rPr>
          <w:noProof/>
          <w:lang w:val="fr-BE"/>
        </w:rPr>
        <w:t>normatīvos aktus un vispārēji piemērojamus administratīvus nolēmumus saistībā ar preču izcelsmes noteikumiem;</w:t>
      </w:r>
    </w:p>
    <w:p w:rsidR="003E022D" w:rsidRDefault="007D19D6">
      <w:pPr>
        <w:numPr>
          <w:ilvl w:val="0"/>
          <w:numId w:val="370"/>
        </w:numPr>
        <w:ind w:left="567" w:hanging="567"/>
        <w:rPr>
          <w:rFonts w:cstheme="minorHAnsi"/>
          <w:noProof/>
          <w:lang w:val="fr-BE"/>
        </w:rPr>
      </w:pPr>
      <w:r>
        <w:rPr>
          <w:noProof/>
          <w:lang w:val="fr-BE"/>
        </w:rPr>
        <w:t>importa, eksporta vai tranzīta ierobežojumu</w:t>
      </w:r>
      <w:r>
        <w:rPr>
          <w:noProof/>
          <w:lang w:val="fr-BE"/>
        </w:rPr>
        <w:t>s vai aizliegumus;</w:t>
      </w:r>
    </w:p>
    <w:p w:rsidR="003E022D" w:rsidRDefault="007D19D6">
      <w:pPr>
        <w:numPr>
          <w:ilvl w:val="0"/>
          <w:numId w:val="370"/>
        </w:numPr>
        <w:ind w:left="567" w:hanging="567"/>
        <w:rPr>
          <w:rFonts w:cstheme="minorHAnsi"/>
          <w:noProof/>
          <w:lang w:val="fr-BE"/>
        </w:rPr>
      </w:pPr>
      <w:r>
        <w:rPr>
          <w:noProof/>
          <w:lang w:val="fr-BE"/>
        </w:rPr>
        <w:t>noteikumus par sodiem par importa, eksporta vai tranzīta formalitāšu pārkāpumiem;</w:t>
      </w:r>
    </w:p>
    <w:p w:rsidR="003E022D" w:rsidRDefault="007D19D6">
      <w:pPr>
        <w:numPr>
          <w:ilvl w:val="0"/>
          <w:numId w:val="370"/>
        </w:numPr>
        <w:ind w:left="567" w:hanging="567"/>
        <w:rPr>
          <w:rFonts w:cstheme="minorHAnsi"/>
          <w:noProof/>
        </w:rPr>
      </w:pPr>
      <w:r>
        <w:rPr>
          <w:noProof/>
        </w:rPr>
        <w:t>apelācijas procedūras;</w:t>
      </w:r>
    </w:p>
    <w:p w:rsidR="003E022D" w:rsidRDefault="007D19D6">
      <w:pPr>
        <w:numPr>
          <w:ilvl w:val="0"/>
          <w:numId w:val="370"/>
        </w:numPr>
        <w:ind w:left="567" w:hanging="567"/>
        <w:rPr>
          <w:rFonts w:cstheme="minorHAnsi"/>
          <w:noProof/>
        </w:rPr>
      </w:pPr>
      <w:r>
        <w:rPr>
          <w:noProof/>
        </w:rPr>
        <w:t>ar importu, eksportu vai tranzītu saistītus nolīgumus (vai to daļas), kas noslēgti ar jebkuru valsti vai valstīm;</w:t>
      </w:r>
    </w:p>
    <w:p w:rsidR="003E022D" w:rsidRDefault="007D19D6">
      <w:pPr>
        <w:numPr>
          <w:ilvl w:val="0"/>
          <w:numId w:val="370"/>
        </w:numPr>
        <w:ind w:left="567" w:hanging="567"/>
        <w:rPr>
          <w:rFonts w:cstheme="minorHAnsi"/>
          <w:noProof/>
        </w:rPr>
      </w:pPr>
      <w:r>
        <w:rPr>
          <w:noProof/>
        </w:rPr>
        <w:t>ar tarifu kvotu pā</w:t>
      </w:r>
      <w:r>
        <w:rPr>
          <w:noProof/>
        </w:rPr>
        <w:t>rvaldību saistītas procedūras;</w:t>
      </w:r>
    </w:p>
    <w:p w:rsidR="003E022D" w:rsidRDefault="007D19D6">
      <w:pPr>
        <w:numPr>
          <w:ilvl w:val="0"/>
          <w:numId w:val="370"/>
        </w:numPr>
        <w:ind w:left="567" w:hanging="567"/>
        <w:rPr>
          <w:rFonts w:cstheme="minorHAnsi"/>
          <w:noProof/>
        </w:rPr>
      </w:pPr>
      <w:r>
        <w:rPr>
          <w:noProof/>
        </w:rPr>
        <w:t>ostās un robežšķērsošanas vietās esošu muitas iestāžu darba laiku un darbības procedūras un</w:t>
      </w:r>
    </w:p>
    <w:p w:rsidR="003E022D" w:rsidRDefault="007D19D6">
      <w:pPr>
        <w:numPr>
          <w:ilvl w:val="0"/>
          <w:numId w:val="370"/>
        </w:numPr>
        <w:ind w:left="567" w:hanging="567"/>
        <w:rPr>
          <w:rFonts w:cstheme="minorHAnsi"/>
          <w:noProof/>
        </w:rPr>
      </w:pPr>
      <w:r>
        <w:rPr>
          <w:noProof/>
        </w:rPr>
        <w:t>kontaktpunktus informācijas pieprasījumiem.</w:t>
      </w:r>
    </w:p>
    <w:p w:rsidR="003E022D" w:rsidRDefault="007D19D6">
      <w:pPr>
        <w:numPr>
          <w:ilvl w:val="0"/>
          <w:numId w:val="369"/>
        </w:numPr>
        <w:ind w:left="0" w:firstLine="0"/>
        <w:rPr>
          <w:rFonts w:cstheme="minorHAnsi"/>
          <w:noProof/>
        </w:rPr>
      </w:pPr>
      <w:r>
        <w:rPr>
          <w:noProof/>
        </w:rPr>
        <w:t>Katra Puse paredz samērīgu laikposmu no jaunu vai grozītu tiesību aktu, procedūru un maks</w:t>
      </w:r>
      <w:r>
        <w:rPr>
          <w:noProof/>
        </w:rPr>
        <w:t>u vai maksājumu publicēšanas līdz brīdim, kad tie stājas spēkā.</w:t>
      </w:r>
    </w:p>
    <w:p w:rsidR="003E022D" w:rsidRDefault="007D19D6">
      <w:pPr>
        <w:numPr>
          <w:ilvl w:val="0"/>
          <w:numId w:val="369"/>
        </w:numPr>
        <w:ind w:left="0" w:firstLine="0"/>
        <w:rPr>
          <w:rFonts w:cstheme="minorHAnsi"/>
          <w:noProof/>
          <w:lang w:val="fr-BE"/>
        </w:rPr>
      </w:pPr>
      <w:r>
        <w:rPr>
          <w:noProof/>
          <w:lang w:val="fr-BE"/>
        </w:rPr>
        <w:t>Katra Puse internetā dara pieejamu šādu informāciju:</w:t>
      </w:r>
    </w:p>
    <w:p w:rsidR="003E022D" w:rsidRDefault="007D19D6">
      <w:pPr>
        <w:numPr>
          <w:ilvl w:val="0"/>
          <w:numId w:val="371"/>
        </w:numPr>
        <w:ind w:left="567" w:hanging="567"/>
        <w:rPr>
          <w:rFonts w:cstheme="minorHAnsi"/>
          <w:noProof/>
          <w:lang w:val="fr-BE"/>
        </w:rPr>
      </w:pPr>
      <w:r>
        <w:rPr>
          <w:noProof/>
          <w:lang w:val="fr-BE"/>
        </w:rPr>
        <w:t>importa, eksporta un tranzīta procedūru apraksts, tostarp pārsūdzības procedūras, informācija par praktiskiem pasākumiem importam, eksporta</w:t>
      </w:r>
      <w:r>
        <w:rPr>
          <w:noProof/>
          <w:lang w:val="fr-BE"/>
        </w:rPr>
        <w:t>m un tranzītam;</w:t>
      </w:r>
    </w:p>
    <w:p w:rsidR="003E022D" w:rsidRDefault="007D19D6">
      <w:pPr>
        <w:numPr>
          <w:ilvl w:val="0"/>
          <w:numId w:val="371"/>
        </w:numPr>
        <w:ind w:left="567" w:hanging="567"/>
        <w:rPr>
          <w:rFonts w:cstheme="minorHAnsi"/>
          <w:noProof/>
          <w:lang w:val="fr-BE"/>
        </w:rPr>
      </w:pPr>
      <w:r>
        <w:rPr>
          <w:noProof/>
          <w:lang w:val="fr-BE"/>
        </w:rPr>
        <w:t>veidlapas un dokumenti, kas nepieciešami importam attiecīgās Puses teritorijā, eksportam no tās vai tranzītam caur to, un</w:t>
      </w:r>
    </w:p>
    <w:p w:rsidR="003E022D" w:rsidRDefault="007D19D6">
      <w:pPr>
        <w:numPr>
          <w:ilvl w:val="0"/>
          <w:numId w:val="371"/>
        </w:numPr>
        <w:ind w:left="567" w:hanging="567"/>
        <w:rPr>
          <w:rFonts w:cstheme="minorHAnsi"/>
          <w:noProof/>
        </w:rPr>
      </w:pPr>
      <w:r>
        <w:rPr>
          <w:noProof/>
        </w:rPr>
        <w:t>informācijas punktu kontaktinformācija.</w:t>
      </w:r>
    </w:p>
    <w:p w:rsidR="003E022D" w:rsidRDefault="007D19D6">
      <w:pPr>
        <w:rPr>
          <w:noProof/>
        </w:rPr>
      </w:pPr>
      <w:r>
        <w:rPr>
          <w:noProof/>
        </w:rPr>
        <w:t xml:space="preserve">Katra puse nodrošina, ka pirmās daļas a), b) un c) apakšpunktā minētie </w:t>
      </w:r>
      <w:r>
        <w:rPr>
          <w:noProof/>
        </w:rPr>
        <w:t>apraksti, veidlapas, dokumenti un informācija tiek atjaunināti.</w:t>
      </w:r>
    </w:p>
    <w:p w:rsidR="003E022D" w:rsidRDefault="007D19D6">
      <w:pPr>
        <w:numPr>
          <w:ilvl w:val="0"/>
          <w:numId w:val="369"/>
        </w:numPr>
        <w:ind w:left="0" w:firstLine="0"/>
        <w:rPr>
          <w:rFonts w:cstheme="minorHAnsi"/>
          <w:noProof/>
        </w:rPr>
      </w:pPr>
      <w:r>
        <w:rPr>
          <w:noProof/>
        </w:rPr>
        <w:t>Katra Puse izveido vai saglabā vienu vai vairākus informācijas punktus, lai samērīgā termiņā atbildētu uz pārvaldes iestāžu, tirgotāju un citu ieinteresēto personu jautājumiem par muitu un cit</w:t>
      </w:r>
      <w:r>
        <w:rPr>
          <w:noProof/>
        </w:rPr>
        <w:t>iem ar tirdzniecību saistītiem jautājumiem. Puses nepieprasa maksu par atbildēm uz jautājumiem.</w:t>
      </w:r>
    </w:p>
    <w:p w:rsidR="003E022D" w:rsidRDefault="007D19D6">
      <w:pPr>
        <w:pStyle w:val="Article"/>
        <w:rPr>
          <w:noProof/>
        </w:rPr>
      </w:pPr>
      <w:bookmarkStart w:id="143" w:name="_Toc58163477"/>
      <w:r>
        <w:rPr>
          <w:noProof/>
        </w:rPr>
        <w:t>CUSTMS.11. pants. Iepriekšēji nolēmumi</w:t>
      </w:r>
      <w:bookmarkEnd w:id="143"/>
    </w:p>
    <w:p w:rsidR="003E022D" w:rsidRDefault="007D19D6">
      <w:pPr>
        <w:numPr>
          <w:ilvl w:val="0"/>
          <w:numId w:val="372"/>
        </w:numPr>
        <w:ind w:left="0" w:firstLine="0"/>
        <w:rPr>
          <w:rFonts w:cstheme="minorHAnsi"/>
          <w:noProof/>
        </w:rPr>
      </w:pPr>
      <w:r>
        <w:rPr>
          <w:noProof/>
        </w:rPr>
        <w:t>Katra Puse pēc uzņēmēju pieteikuma ar savu muitas dienestu starpniecību izdod iepriekšējus nolēmumus, nosakot attiecīgajā</w:t>
      </w:r>
      <w:r>
        <w:rPr>
          <w:noProof/>
        </w:rPr>
        <w:t>m precēm piešķiramo režīmu. Šādus nolēmumus izdod rakstiski vai elektroniskā formātā noteiktā termiņā, un tajos ietver visu nepieciešamo informāciju saskaņā ar izdevējas Puses tiesību aktiem.</w:t>
      </w:r>
    </w:p>
    <w:p w:rsidR="003E022D" w:rsidRDefault="007D19D6">
      <w:pPr>
        <w:numPr>
          <w:ilvl w:val="0"/>
          <w:numId w:val="372"/>
        </w:numPr>
        <w:ind w:left="0" w:firstLine="0"/>
        <w:rPr>
          <w:rFonts w:cstheme="minorHAnsi"/>
          <w:noProof/>
        </w:rPr>
      </w:pPr>
      <w:r>
        <w:rPr>
          <w:noProof/>
        </w:rPr>
        <w:t>Iepriekšēji nolēmumi ir spēkā vismaz trīs gadus no to spēkā stāš</w:t>
      </w:r>
      <w:r>
        <w:rPr>
          <w:noProof/>
        </w:rPr>
        <w:t>anās dienas, izņemot gadījumus, kad nolēmums vairs neatbilst tiesībām vai ir mainījušies fakti vai apstākļi, kas pamato sākotnējo nolēmumu.</w:t>
      </w:r>
    </w:p>
    <w:p w:rsidR="003E022D" w:rsidRDefault="007D19D6">
      <w:pPr>
        <w:numPr>
          <w:ilvl w:val="0"/>
          <w:numId w:val="372"/>
        </w:numPr>
        <w:ind w:left="0" w:firstLine="0"/>
        <w:rPr>
          <w:rFonts w:cstheme="minorHAnsi"/>
          <w:noProof/>
        </w:rPr>
      </w:pPr>
      <w:r>
        <w:rPr>
          <w:noProof/>
        </w:rPr>
        <w:t xml:space="preserve">Puse var atteikties izdot iepriekšēju nolēmumu, ja pieteikumā izvirzītais jautājums ir pakļauts administratīvai </w:t>
      </w:r>
      <w:r>
        <w:rPr>
          <w:noProof/>
        </w:rPr>
        <w:t>izskatīšanai vai izskatīšanai tiesā vai ja pieteikums nav saistīts ar iepriekšējā nolēmuma paredzēto izmantošanu vai muitas procedūras paredzēto izmantošanu. Ja Puse atsakās izdot iepriekšēju nolēmumu, tā nekavējoties rakstiski informē pieteikuma iesniedzē</w:t>
      </w:r>
      <w:r>
        <w:rPr>
          <w:noProof/>
        </w:rPr>
        <w:t>ju, norādot attiecīgos faktus un sava lēmuma pamatojumu.</w:t>
      </w:r>
    </w:p>
    <w:p w:rsidR="003E022D" w:rsidRDefault="007D19D6">
      <w:pPr>
        <w:numPr>
          <w:ilvl w:val="0"/>
          <w:numId w:val="372"/>
        </w:numPr>
        <w:ind w:left="0" w:firstLine="0"/>
        <w:rPr>
          <w:rFonts w:cstheme="minorHAnsi"/>
          <w:noProof/>
        </w:rPr>
      </w:pPr>
      <w:r>
        <w:rPr>
          <w:noProof/>
        </w:rPr>
        <w:t>Katra Puse publicē vismaz:</w:t>
      </w:r>
    </w:p>
    <w:p w:rsidR="003E022D" w:rsidRDefault="007D19D6">
      <w:pPr>
        <w:numPr>
          <w:ilvl w:val="0"/>
          <w:numId w:val="373"/>
        </w:numPr>
        <w:ind w:left="567" w:hanging="567"/>
        <w:rPr>
          <w:rFonts w:cstheme="minorHAnsi"/>
          <w:noProof/>
        </w:rPr>
      </w:pPr>
      <w:r>
        <w:rPr>
          <w:noProof/>
        </w:rPr>
        <w:t>prasības iepriekšēja nolēmuma pieteikuma iesniegšanai, tostarp iesniedzamo informāciju un tās formātu;</w:t>
      </w:r>
    </w:p>
    <w:p w:rsidR="003E022D" w:rsidRDefault="007D19D6">
      <w:pPr>
        <w:numPr>
          <w:ilvl w:val="0"/>
          <w:numId w:val="373"/>
        </w:numPr>
        <w:ind w:left="567" w:hanging="567"/>
        <w:rPr>
          <w:rFonts w:cstheme="minorHAnsi"/>
          <w:noProof/>
        </w:rPr>
      </w:pPr>
      <w:r>
        <w:rPr>
          <w:noProof/>
        </w:rPr>
        <w:t>laiku, līdz kuram tā izdos iepriekšēju nolēmumu, un</w:t>
      </w:r>
    </w:p>
    <w:p w:rsidR="003E022D" w:rsidRDefault="007D19D6">
      <w:pPr>
        <w:numPr>
          <w:ilvl w:val="0"/>
          <w:numId w:val="373"/>
        </w:numPr>
        <w:ind w:left="567" w:hanging="567"/>
        <w:rPr>
          <w:rFonts w:cstheme="minorHAnsi"/>
          <w:noProof/>
        </w:rPr>
      </w:pPr>
      <w:r>
        <w:rPr>
          <w:noProof/>
        </w:rPr>
        <w:t>laiku, cik ilgi i</w:t>
      </w:r>
      <w:r>
        <w:rPr>
          <w:noProof/>
        </w:rPr>
        <w:t>epriekšējais nolēmums ir derīgs.</w:t>
      </w:r>
    </w:p>
    <w:p w:rsidR="003E022D" w:rsidRDefault="007D19D6">
      <w:pPr>
        <w:numPr>
          <w:ilvl w:val="0"/>
          <w:numId w:val="372"/>
        </w:numPr>
        <w:ind w:left="0" w:firstLine="0"/>
        <w:rPr>
          <w:rFonts w:cstheme="minorHAnsi"/>
          <w:noProof/>
        </w:rPr>
      </w:pPr>
      <w:r>
        <w:rPr>
          <w:noProof/>
        </w:rPr>
        <w:t>Ja Puse atsauc, groza, padara par spēkā neesošu vai anulē iepriekšēju nolēmumu, tā pieteikuma iesniedzējam rakstiski par to paziņo, norādot attiecīgos faktus un sava lēmuma pamatojumu. Puse atsauc, groza, padara par spēkā n</w:t>
      </w:r>
      <w:r>
        <w:rPr>
          <w:noProof/>
        </w:rPr>
        <w:t>eesošu vai anulē iepriekšēju nolēmumu ar atpakaļejošu spēku tikai tad, ja nolēmuma pamatā ir bijusi nepilnīga, nepareiza, kļūdaina vai maldinoša informācija.</w:t>
      </w:r>
    </w:p>
    <w:p w:rsidR="003E022D" w:rsidRDefault="007D19D6">
      <w:pPr>
        <w:numPr>
          <w:ilvl w:val="0"/>
          <w:numId w:val="372"/>
        </w:numPr>
        <w:ind w:left="0" w:firstLine="0"/>
        <w:rPr>
          <w:rFonts w:cstheme="minorHAnsi"/>
          <w:noProof/>
        </w:rPr>
      </w:pPr>
      <w:r>
        <w:rPr>
          <w:noProof/>
        </w:rPr>
        <w:t>Puses izdots iepriekšējs nolēmums ir saistošs konkrētajai Pusei attiecībā uz pieteikuma iesniedzēj</w:t>
      </w:r>
      <w:r>
        <w:rPr>
          <w:noProof/>
        </w:rPr>
        <w:t>u, kurš to pieprasījis. Puse var paredzēt, ka iepriekšējais nolēmums ir saistošs pieteikuma iesniedzējam.</w:t>
      </w:r>
    </w:p>
    <w:p w:rsidR="003E022D" w:rsidRDefault="007D19D6">
      <w:pPr>
        <w:rPr>
          <w:rFonts w:cstheme="minorHAnsi"/>
          <w:noProof/>
        </w:rPr>
      </w:pPr>
      <w:r>
        <w:rPr>
          <w:noProof/>
        </w:rPr>
        <w:t xml:space="preserve">7. Katra Puse pēc turētāja rakstiska pieprasījuma nodrošina, ka iepriekšējais nolēmums vai lēmums par tā atsaukšanu, grozīšanu vai atzīšanu par spēkā </w:t>
      </w:r>
      <w:r>
        <w:rPr>
          <w:noProof/>
        </w:rPr>
        <w:t>neesošu tiek pārskatīts.</w:t>
      </w:r>
    </w:p>
    <w:p w:rsidR="003E022D" w:rsidRDefault="007D19D6">
      <w:pPr>
        <w:rPr>
          <w:rFonts w:cstheme="minorHAnsi"/>
          <w:noProof/>
        </w:rPr>
      </w:pPr>
      <w:r>
        <w:rPr>
          <w:noProof/>
        </w:rPr>
        <w:t>8. Katra Puse dara publiski pieejamu informāciju par iepriekšējiem nolēmumiem, ņemot vērā vajadzību aizsargāt persondatus un konfidenciālo komerciālo informāciju.</w:t>
      </w:r>
    </w:p>
    <w:p w:rsidR="003E022D" w:rsidRDefault="007D19D6">
      <w:pPr>
        <w:rPr>
          <w:rFonts w:cstheme="minorHAnsi"/>
          <w:noProof/>
        </w:rPr>
      </w:pPr>
      <w:r>
        <w:rPr>
          <w:noProof/>
        </w:rPr>
        <w:t>9. Iepriekšējus nolēmumus izdod attiecībā uz:</w:t>
      </w:r>
    </w:p>
    <w:p w:rsidR="003E022D" w:rsidRDefault="007D19D6">
      <w:pPr>
        <w:rPr>
          <w:noProof/>
        </w:rPr>
      </w:pPr>
      <w:r>
        <w:rPr>
          <w:noProof/>
        </w:rPr>
        <w:t>a) preču tarifa klasif</w:t>
      </w:r>
      <w:r>
        <w:rPr>
          <w:noProof/>
        </w:rPr>
        <w:t>ikāciju;</w:t>
      </w:r>
    </w:p>
    <w:p w:rsidR="003E022D" w:rsidRDefault="007D19D6">
      <w:pPr>
        <w:rPr>
          <w:noProof/>
        </w:rPr>
      </w:pPr>
      <w:r>
        <w:rPr>
          <w:noProof/>
        </w:rPr>
        <w:t>b) preču izcelsmi un</w:t>
      </w:r>
    </w:p>
    <w:p w:rsidR="003E022D" w:rsidRDefault="007D19D6">
      <w:pPr>
        <w:rPr>
          <w:noProof/>
          <w:lang w:val="fr-BE"/>
        </w:rPr>
      </w:pPr>
      <w:r>
        <w:rPr>
          <w:noProof/>
          <w:lang w:val="fr-BE"/>
        </w:rPr>
        <w:t>c) jebkuru citu jautājumu, par kuru Puses var vienoties.</w:t>
      </w:r>
    </w:p>
    <w:p w:rsidR="003E022D" w:rsidRDefault="007D19D6">
      <w:pPr>
        <w:pStyle w:val="Article"/>
        <w:rPr>
          <w:noProof/>
          <w:lang w:val="fr-BE"/>
        </w:rPr>
      </w:pPr>
      <w:bookmarkStart w:id="144" w:name="_Toc58163478"/>
      <w:r>
        <w:rPr>
          <w:noProof/>
          <w:lang w:val="fr-BE"/>
        </w:rPr>
        <w:t>CUSTMS.12. pants. Muitas brokeri</w:t>
      </w:r>
      <w:bookmarkEnd w:id="144"/>
    </w:p>
    <w:p w:rsidR="003E022D" w:rsidRDefault="007D19D6">
      <w:pPr>
        <w:rPr>
          <w:rFonts w:cstheme="minorHAnsi"/>
          <w:noProof/>
          <w:lang w:val="fr-BE"/>
        </w:rPr>
      </w:pPr>
      <w:r>
        <w:rPr>
          <w:noProof/>
          <w:lang w:val="fr-BE"/>
        </w:rPr>
        <w:t>Puses muitas noteikumi un procedūras neprasa obligāti izmantot muitas brokerus vai citus aģentus. Katra Puse publicē savus pasākumus att</w:t>
      </w:r>
      <w:r>
        <w:rPr>
          <w:noProof/>
          <w:lang w:val="fr-BE"/>
        </w:rPr>
        <w:t>iecībā uz muitas brokeru izmantošanu. Licencējot muitas aģentus, katra Puse piemēro pārredzamus, nediskriminējošus un proporcionālus noteikumus.</w:t>
      </w:r>
    </w:p>
    <w:p w:rsidR="003E022D" w:rsidRDefault="007D19D6">
      <w:pPr>
        <w:pStyle w:val="Article"/>
        <w:rPr>
          <w:noProof/>
          <w:lang w:val="fr-BE"/>
        </w:rPr>
      </w:pPr>
      <w:bookmarkStart w:id="145" w:name="_Toc58163479"/>
      <w:r>
        <w:rPr>
          <w:noProof/>
          <w:lang w:val="fr-BE"/>
        </w:rPr>
        <w:t>CUSTMS.13. pants. Pirmsnosūtīšanas inspekcijas</w:t>
      </w:r>
      <w:bookmarkEnd w:id="145"/>
    </w:p>
    <w:p w:rsidR="003E022D" w:rsidRDefault="007D19D6">
      <w:pPr>
        <w:rPr>
          <w:rFonts w:cstheme="minorHAnsi"/>
          <w:noProof/>
          <w:lang w:val="fr-BE"/>
        </w:rPr>
      </w:pPr>
      <w:r>
        <w:rPr>
          <w:noProof/>
          <w:lang w:val="fr-BE"/>
        </w:rPr>
        <w:t xml:space="preserve">Puse nepieprasa obligāti izmantot pirmsnosūtīšanas inspekcijas, </w:t>
      </w:r>
      <w:r>
        <w:rPr>
          <w:noProof/>
          <w:lang w:val="fr-BE"/>
        </w:rPr>
        <w:t>kā definēts PTO Nolīgumā par pirmsnosūtīšanas inspekciju, vai jebkādas citas inspekcijas, ko galamērķī pirms muitošanas veic privāti uzņēmumi.</w:t>
      </w:r>
    </w:p>
    <w:p w:rsidR="003E022D" w:rsidRDefault="007D19D6">
      <w:pPr>
        <w:pStyle w:val="Article"/>
        <w:rPr>
          <w:noProof/>
        </w:rPr>
      </w:pPr>
      <w:bookmarkStart w:id="146" w:name="_Toc58163480"/>
      <w:r>
        <w:rPr>
          <w:noProof/>
        </w:rPr>
        <w:t>CUSTMS.14. pants. Pārskatīšana un pārsūdzība</w:t>
      </w:r>
      <w:bookmarkEnd w:id="146"/>
    </w:p>
    <w:p w:rsidR="003E022D" w:rsidRDefault="007D19D6">
      <w:pPr>
        <w:numPr>
          <w:ilvl w:val="0"/>
          <w:numId w:val="374"/>
        </w:numPr>
        <w:ind w:left="0" w:firstLine="0"/>
        <w:rPr>
          <w:rFonts w:cstheme="minorHAnsi"/>
          <w:noProof/>
        </w:rPr>
      </w:pPr>
      <w:r>
        <w:rPr>
          <w:noProof/>
        </w:rPr>
        <w:t xml:space="preserve">Katra Puse paredz efektīvas, ātras, nediskriminējošas un viegli </w:t>
      </w:r>
      <w:r>
        <w:rPr>
          <w:noProof/>
        </w:rPr>
        <w:t>pieejamas procedūras, kas garantē tiesības pārsūdzēt muitas vai citu kompetento iestāžu administratīvos aktus, nolēmumus un lēmumus, kuri ietekmē preču importu, eksportu vai tranzītu.</w:t>
      </w:r>
    </w:p>
    <w:p w:rsidR="003E022D" w:rsidRDefault="007D19D6">
      <w:pPr>
        <w:numPr>
          <w:ilvl w:val="0"/>
          <w:numId w:val="374"/>
        </w:numPr>
        <w:ind w:left="0" w:firstLine="0"/>
        <w:rPr>
          <w:rFonts w:cstheme="minorHAnsi"/>
          <w:noProof/>
        </w:rPr>
      </w:pPr>
      <w:r>
        <w:rPr>
          <w:noProof/>
        </w:rPr>
        <w:t>Šā panta 1. punktā minētās procedūras ietver:</w:t>
      </w:r>
    </w:p>
    <w:p w:rsidR="003E022D" w:rsidRDefault="007D19D6">
      <w:pPr>
        <w:numPr>
          <w:ilvl w:val="0"/>
          <w:numId w:val="375"/>
        </w:numPr>
        <w:ind w:left="567" w:hanging="567"/>
        <w:rPr>
          <w:rFonts w:cstheme="minorHAnsi"/>
          <w:noProof/>
        </w:rPr>
      </w:pPr>
      <w:r>
        <w:rPr>
          <w:noProof/>
        </w:rPr>
        <w:t xml:space="preserve">administratīvu pārsūdzību </w:t>
      </w:r>
      <w:r>
        <w:rPr>
          <w:noProof/>
        </w:rPr>
        <w:t>vai pārskatīšanu administratīvā iestādē, kura ir augstāka par amatpersonu vai biroju, kas izdevis lēmumu, vai ir neatkarīga no minētajiem, un</w:t>
      </w:r>
    </w:p>
    <w:p w:rsidR="003E022D" w:rsidRDefault="007D19D6">
      <w:pPr>
        <w:numPr>
          <w:ilvl w:val="0"/>
          <w:numId w:val="375"/>
        </w:numPr>
        <w:ind w:left="567" w:hanging="567"/>
        <w:rPr>
          <w:rFonts w:cstheme="minorHAnsi"/>
          <w:noProof/>
        </w:rPr>
      </w:pPr>
      <w:r>
        <w:rPr>
          <w:noProof/>
        </w:rPr>
        <w:t>lēmuma pārsūdzību vai pārskatīšanu tiesā.</w:t>
      </w:r>
    </w:p>
    <w:p w:rsidR="003E022D" w:rsidRDefault="007D19D6">
      <w:pPr>
        <w:numPr>
          <w:ilvl w:val="0"/>
          <w:numId w:val="374"/>
        </w:numPr>
        <w:ind w:left="0" w:firstLine="0"/>
        <w:rPr>
          <w:noProof/>
        </w:rPr>
      </w:pPr>
      <w:r>
        <w:rPr>
          <w:noProof/>
        </w:rPr>
        <w:t>Katra Puse nodrošina, ka gadījumā, ja lēmums par pārsūdzību vai pārskatī</w:t>
      </w:r>
      <w:r>
        <w:rPr>
          <w:noProof/>
        </w:rPr>
        <w:t>šanu saskaņā ar 2. punkta a) apakšpunktu nav pieņemts termiņā, kas paredzēts tās normatīvajos aktos, vai nav pieņemts bez nepamatotas kavēšanās, lūgumraksta iesniedzējam ir tiesības uz turpmāku pārsūdzību administratīvā kārtā vai tiesā vai pārskatīšanu, va</w:t>
      </w:r>
      <w:r>
        <w:rPr>
          <w:noProof/>
        </w:rPr>
        <w:t>i jebkādu citu vēršanos tiesu iestādē saskaņā ar minētās Puses normatīvajiem aktiem.</w:t>
      </w:r>
    </w:p>
    <w:p w:rsidR="003E022D" w:rsidRDefault="007D19D6">
      <w:pPr>
        <w:numPr>
          <w:ilvl w:val="0"/>
          <w:numId w:val="374"/>
        </w:numPr>
        <w:ind w:left="0" w:firstLine="0"/>
        <w:rPr>
          <w:noProof/>
        </w:rPr>
      </w:pPr>
      <w:r>
        <w:rPr>
          <w:noProof/>
        </w:rPr>
        <w:t>Katra Puse nodrošina, ka lūgumraksta iesniedzējs tiek informēts par administratīvā lēmuma pamatojumu, lai lūgumraksta iesniedzējs vajadzības gadījumā varētu izmantot pārsū</w:t>
      </w:r>
      <w:r>
        <w:rPr>
          <w:noProof/>
        </w:rPr>
        <w:t>dzības vai pārskatīšanas procedūras.</w:t>
      </w:r>
    </w:p>
    <w:p w:rsidR="003E022D" w:rsidRDefault="007D19D6">
      <w:pPr>
        <w:pStyle w:val="Article"/>
        <w:rPr>
          <w:noProof/>
        </w:rPr>
      </w:pPr>
      <w:bookmarkStart w:id="147" w:name="_Toc58163481"/>
      <w:r>
        <w:rPr>
          <w:noProof/>
        </w:rPr>
        <w:t>CUSTMS.15. pants. Attiecības ar darījumdarbības aprindām</w:t>
      </w:r>
      <w:bookmarkEnd w:id="147"/>
    </w:p>
    <w:p w:rsidR="003E022D" w:rsidRDefault="007D19D6">
      <w:pPr>
        <w:numPr>
          <w:ilvl w:val="0"/>
          <w:numId w:val="376"/>
        </w:numPr>
        <w:ind w:left="0" w:firstLine="0"/>
        <w:rPr>
          <w:noProof/>
        </w:rPr>
      </w:pPr>
      <w:r>
        <w:rPr>
          <w:noProof/>
        </w:rPr>
        <w:t>Katra Puse laicīgi un regulāri apspriežas ar uzņēmējiem par tiesību aktu priekšlikumiem un vispārīgām procedūrām, kas saistītas ar muitas un tirdzniecības atviegl</w:t>
      </w:r>
      <w:r>
        <w:rPr>
          <w:noProof/>
        </w:rPr>
        <w:t xml:space="preserve">ošanas jautājumiem. Šim nolūkam katra Puse uztur atbilstošas apspriedes starp administrācijām un darījumdarbības aprindām. </w:t>
      </w:r>
    </w:p>
    <w:p w:rsidR="003E022D" w:rsidRDefault="007D19D6">
      <w:pPr>
        <w:numPr>
          <w:ilvl w:val="0"/>
          <w:numId w:val="376"/>
        </w:numPr>
        <w:ind w:left="0" w:firstLine="0"/>
        <w:rPr>
          <w:noProof/>
        </w:rPr>
      </w:pPr>
      <w:r>
        <w:rPr>
          <w:noProof/>
        </w:rPr>
        <w:t>Katra Puse nodrošina, ka to attiecīgajās muitas un saistītajās prasībās un procedūrās arī turpmāk ir ievērotas uzņēmēju vajadzības u</w:t>
      </w:r>
      <w:r>
        <w:rPr>
          <w:noProof/>
        </w:rPr>
        <w:t>n paraugprakse un ka tās pēc iespējamas mazāk ietekmē tirdzniecību.</w:t>
      </w:r>
    </w:p>
    <w:p w:rsidR="003E022D" w:rsidRDefault="007D19D6">
      <w:pPr>
        <w:pStyle w:val="Article"/>
        <w:rPr>
          <w:noProof/>
        </w:rPr>
      </w:pPr>
      <w:bookmarkStart w:id="148" w:name="_Toc58163482"/>
      <w:r>
        <w:rPr>
          <w:noProof/>
        </w:rPr>
        <w:t>CUSTMS.16. pants. Pagaidu ievešana</w:t>
      </w:r>
      <w:bookmarkEnd w:id="148"/>
    </w:p>
    <w:p w:rsidR="003E022D" w:rsidRDefault="007D19D6">
      <w:pPr>
        <w:numPr>
          <w:ilvl w:val="0"/>
          <w:numId w:val="377"/>
        </w:numPr>
        <w:ind w:left="0" w:firstLine="0"/>
        <w:rPr>
          <w:noProof/>
        </w:rPr>
      </w:pPr>
      <w:r>
        <w:rPr>
          <w:noProof/>
        </w:rPr>
        <w:t xml:space="preserve">Šajā pantā “pagaidu ievešana” nozīmē muitas procedūru, saskaņā ar kuru noteiktas preces, tostarp transportlīdzekļus, var ievest muitas teritorijā un tās </w:t>
      </w:r>
      <w:r>
        <w:rPr>
          <w:noProof/>
        </w:rPr>
        <w:t>ir ar zināmiem nosacījumiem atbrīvotas no ievedmuitas nodokļiem un maksājumiem, un tām nepiemēro importa aizliegumus vai ekonomiska rakstura ierobežojumus – ar nosacījumu, ka preces ir importētas īpašā nolūkā un paredzētas reeksportam noteiktā laikposmā un</w:t>
      </w:r>
      <w:r>
        <w:rPr>
          <w:noProof/>
        </w:rPr>
        <w:t xml:space="preserve"> tajās netiek veiktas nekādas izmaiņas, izņemot parastu nolietojumu minēto preču lietošanas dēļ.</w:t>
      </w:r>
    </w:p>
    <w:p w:rsidR="003E022D" w:rsidRDefault="007D19D6">
      <w:pPr>
        <w:numPr>
          <w:ilvl w:val="0"/>
          <w:numId w:val="377"/>
        </w:numPr>
        <w:ind w:left="0" w:firstLine="0"/>
        <w:rPr>
          <w:noProof/>
        </w:rPr>
      </w:pPr>
      <w:r>
        <w:rPr>
          <w:noProof/>
        </w:rPr>
        <w:t>Katra Puse atļauj turpmāk minēto preču veidu pagaidu ievešanu ar pilnīgu atbrīvojumu uz zināmiem nosacījumiem no ievedmuitas nodokļiem un maksājumiem, tām nepi</w:t>
      </w:r>
      <w:r>
        <w:rPr>
          <w:noProof/>
        </w:rPr>
        <w:t>emērojot importa ierobežojumus vai ekonomiska rakstura aizliegumus, kā paredzēts Puses normatīvajos aktos:</w:t>
      </w:r>
    </w:p>
    <w:p w:rsidR="003E022D" w:rsidRDefault="007D19D6">
      <w:pPr>
        <w:numPr>
          <w:ilvl w:val="0"/>
          <w:numId w:val="378"/>
        </w:numPr>
        <w:ind w:left="567" w:hanging="567"/>
        <w:rPr>
          <w:noProof/>
        </w:rPr>
      </w:pPr>
      <w:r>
        <w:rPr>
          <w:noProof/>
        </w:rPr>
        <w:t>preces, ko paredzēts izstādīt vai izmantot izstādēs, gadatirgos, sanāksmēs vai līdzīgos pasākumos (preces, ko paredzēts izstādīt vai demonstrēt pasāk</w:t>
      </w:r>
      <w:r>
        <w:rPr>
          <w:noProof/>
        </w:rPr>
        <w:t>umā; preces, ko paredzēts izmantot saistībā ar ārvalstu ražojumu izstādīšanu pasākumā; aprīkojums, tostarp mutiskās tulkošanas aprīkojums, skaņas un attēla ierakstīšanas aparatūra un izglītojošas, zinātniskas vai kultūras filmas, ko paredzēts izmantot star</w:t>
      </w:r>
      <w:r>
        <w:rPr>
          <w:noProof/>
        </w:rPr>
        <w:t>ptautiskās sanāksmēs, konferencēs vai kongresos); ražojumi, kas pasākuma laikā nejauši iegūti no uz laiku importētām precēm, demonstrējot izstādītas mašīnas vai aparātus;</w:t>
      </w:r>
    </w:p>
    <w:p w:rsidR="003E022D" w:rsidRDefault="007D19D6">
      <w:pPr>
        <w:numPr>
          <w:ilvl w:val="0"/>
          <w:numId w:val="378"/>
        </w:numPr>
        <w:ind w:left="567" w:hanging="567"/>
        <w:rPr>
          <w:noProof/>
        </w:rPr>
      </w:pPr>
      <w:r>
        <w:rPr>
          <w:noProof/>
        </w:rPr>
        <w:t>profesionālais aprīkojums (preses, skaņas vai televīzijas apraides aprīkojums, kas va</w:t>
      </w:r>
      <w:r>
        <w:rPr>
          <w:noProof/>
        </w:rPr>
        <w:t>jadzīgs preses, raidorganizāciju vai televīzijas organizāciju pārstāvjiem, kuri apmeklē citas valsts teritoriju ziņošanas nolūkā, lai pārraidītu vai ierakstītu materiālus konkrētām programmām; kinematogrāfijas aprīkojums, kas vajadzīgs personai, kura apmek</w:t>
      </w:r>
      <w:r>
        <w:rPr>
          <w:noProof/>
        </w:rPr>
        <w:t>lē citas valsts teritoriju, lai izgatavotu konkrētu filmu vai filmas; jebkāds cits aprīkojums, kas vajadzīgs, lai persona, kura apmeklē citas valsts teritoriju, lai veiktu konkrētu uzdevumu saistībā ar to aicinājumu, amatu vai profesiju, ciktāl šo aprīkoju</w:t>
      </w:r>
      <w:r>
        <w:rPr>
          <w:noProof/>
        </w:rPr>
        <w:t>mu neizmanto preču rūpnieciskai ražošanai vai iepakošanai vai (izņemot rokas darbarīkus) dabas resursu izmantošanai, ēku būvniecībai, remontam vai apkopei vai zemes pārvietošanai un līdzīgiem projektiem; iepriekš minētā aprīkojuma palīgierīces un piederumi</w:t>
      </w:r>
      <w:r>
        <w:rPr>
          <w:noProof/>
        </w:rPr>
        <w:t>); sastāvdaļas, ko importē uz laiku ievesta profesionāla aprīkojuma remontam;</w:t>
      </w:r>
    </w:p>
    <w:p w:rsidR="003E022D" w:rsidRDefault="007D19D6">
      <w:pPr>
        <w:numPr>
          <w:ilvl w:val="0"/>
          <w:numId w:val="378"/>
        </w:numPr>
        <w:ind w:left="567" w:hanging="567"/>
        <w:rPr>
          <w:noProof/>
        </w:rPr>
      </w:pPr>
      <w:r>
        <w:rPr>
          <w:noProof/>
        </w:rPr>
        <w:t>preces, ko importē saistībā ar komercdarbību, bet kā imports pati par sevi nav komercdarbība (iepakojums, ko ieved piepildītu, lai atpakaļizvestu iztukšotu vai piepildītu, vai ko</w:t>
      </w:r>
      <w:r>
        <w:rPr>
          <w:noProof/>
        </w:rPr>
        <w:t xml:space="preserve"> ieved iztukšotu, lai atpakaļizvestu piepildītu; konteineri, ar precēm vai bez tām, un uz laiku ievestu konteineru piederumi un aprīkojums, ko importē vai nu kopā ar konteineru, bet ko paredzēts reeksportēt atsevišķi vai ar citu konteineru, vai ko importē </w:t>
      </w:r>
      <w:r>
        <w:rPr>
          <w:noProof/>
        </w:rPr>
        <w:t>atsevišķi, lai reeksportētu ar konteineru, kā arī sastāvdaļas, kuras paredzētas to konteineru remontam, kam piešķirta pagaidu ievešana; paliktņi; paraugi; reklāmfilmas; citas preces, kas importētas saistībā ar komercdarbību);</w:t>
      </w:r>
    </w:p>
    <w:p w:rsidR="003E022D" w:rsidRDefault="007D19D6">
      <w:pPr>
        <w:numPr>
          <w:ilvl w:val="0"/>
          <w:numId w:val="378"/>
        </w:numPr>
        <w:ind w:left="567" w:hanging="567"/>
        <w:rPr>
          <w:noProof/>
        </w:rPr>
      </w:pPr>
      <w:r>
        <w:rPr>
          <w:noProof/>
        </w:rPr>
        <w:t>preces, kas importētas saistīb</w:t>
      </w:r>
      <w:r>
        <w:rPr>
          <w:noProof/>
        </w:rPr>
        <w:t xml:space="preserve">ā ar ražošanas darbību (matricas, bloki, plāksnes, veidnes, rasējumi, plāni, modeļi un tamlīdzīgi izstrādājumi); mērīšanas, kontroles un pārbaudes instrumenti un tamlīdzīgas ierīces; speciālie darbarīki un instrumenti, kas importēti izmantošanai ražošanas </w:t>
      </w:r>
      <w:r>
        <w:rPr>
          <w:noProof/>
        </w:rPr>
        <w:t>procesā); atvietotāji ražošanas līdzekļi (instrumenti, aparāti un mašīnas, ko piegādātājs vai remontētājs darījis pieejamus klientam līdz līdzīgu preču piegādei vai saremontēšanai);</w:t>
      </w:r>
    </w:p>
    <w:p w:rsidR="003E022D" w:rsidRDefault="007D19D6">
      <w:pPr>
        <w:numPr>
          <w:ilvl w:val="0"/>
          <w:numId w:val="378"/>
        </w:numPr>
        <w:ind w:left="567" w:hanging="567"/>
        <w:rPr>
          <w:noProof/>
        </w:rPr>
      </w:pPr>
      <w:r>
        <w:rPr>
          <w:noProof/>
        </w:rPr>
        <w:t>preces, ko importē vienīgi izglītības, zinātnes vai kultūras mērķiem (zinā</w:t>
      </w:r>
      <w:r>
        <w:rPr>
          <w:noProof/>
        </w:rPr>
        <w:t>tniskais aprīkojums, pedagoģiskie materiāli, jūrnieku iedzīves priekšmeti un citas preces, ko ieved saistībā ar izglītības, zinātnes vai kultūras pasākumiem); rezerves daļas zinātniskajam aprīkojumam un pedagoģiskiem materiāliem, kam atļauta pagaidu ieveša</w:t>
      </w:r>
      <w:r>
        <w:rPr>
          <w:noProof/>
        </w:rPr>
        <w:t>na; darbarīki, kas īpaši paredzēti šāda aprīkojuma apkopei, pārbaudei, kalibrēšanai vai remontam;</w:t>
      </w:r>
    </w:p>
    <w:p w:rsidR="003E022D" w:rsidRDefault="007D19D6">
      <w:pPr>
        <w:numPr>
          <w:ilvl w:val="0"/>
          <w:numId w:val="378"/>
        </w:numPr>
        <w:ind w:left="567" w:hanging="567"/>
        <w:rPr>
          <w:noProof/>
        </w:rPr>
      </w:pPr>
      <w:r>
        <w:rPr>
          <w:noProof/>
        </w:rPr>
        <w:t>personiskās mantas (visi jauni vai lietoti priekšmeti, kas ceļotājam, ņemot vērā ceļošanas apstākļus, ceļojuma laikā pamatoti vajadzīgi personiskai lietošanai</w:t>
      </w:r>
      <w:r>
        <w:rPr>
          <w:noProof/>
        </w:rPr>
        <w:t>, izņemot komerciālos nolūkos importētas preces); sportam importētas preces (sporta inventārs un citi priekšmeti, ko ceļotāji izmanto pagaidu ievešanas teritorijā rīkotās sporta sacensībās, demonstrējumos vai treniņos);</w:t>
      </w:r>
    </w:p>
    <w:p w:rsidR="003E022D" w:rsidRDefault="007D19D6">
      <w:pPr>
        <w:numPr>
          <w:ilvl w:val="0"/>
          <w:numId w:val="378"/>
        </w:numPr>
        <w:ind w:left="567" w:hanging="567"/>
        <w:rPr>
          <w:noProof/>
        </w:rPr>
      </w:pPr>
      <w:r>
        <w:rPr>
          <w:noProof/>
        </w:rPr>
        <w:t xml:space="preserve">tūrisma reklāmas materiāli (preces, </w:t>
      </w:r>
      <w:r>
        <w:rPr>
          <w:noProof/>
        </w:rPr>
        <w:t>kuru ievešanas mērķis ir rosināt cilvēkus apmeklēt ārvalstis, jo īpaši nolūkā piedalīties tur rīkotos kultūras, reliģijas, tūrisma, sporta vai arodpasākumos vai skatēs);</w:t>
      </w:r>
    </w:p>
    <w:p w:rsidR="003E022D" w:rsidRDefault="007D19D6">
      <w:pPr>
        <w:numPr>
          <w:ilvl w:val="0"/>
          <w:numId w:val="378"/>
        </w:numPr>
        <w:ind w:left="567" w:hanging="567"/>
        <w:rPr>
          <w:noProof/>
        </w:rPr>
      </w:pPr>
      <w:r>
        <w:rPr>
          <w:noProof/>
        </w:rPr>
        <w:t>preces, kas importētas humāniem mērķiem (medicīnas, ķirurģijas un laboratoriju aprīkoj</w:t>
      </w:r>
      <w:r>
        <w:rPr>
          <w:noProof/>
        </w:rPr>
        <w:t>ums un palīdzības sūtījumi, piemēram, satiksmes līdzekļi un citi transportlīdzekļi, segas, teltis, saliekamās mājas vai citas preces, pēc kurām ir vislielākā vajadzība un kuras nosūta kā palīdzību personām, kas cietušas dabas katastrofās un līdzīgās katast</w:t>
      </w:r>
      <w:r>
        <w:rPr>
          <w:noProof/>
        </w:rPr>
        <w:t>rofās), un</w:t>
      </w:r>
    </w:p>
    <w:p w:rsidR="003E022D" w:rsidRDefault="007D19D6">
      <w:pPr>
        <w:numPr>
          <w:ilvl w:val="0"/>
          <w:numId w:val="378"/>
        </w:numPr>
        <w:ind w:left="567" w:hanging="567"/>
        <w:rPr>
          <w:noProof/>
        </w:rPr>
      </w:pPr>
      <w:r>
        <w:rPr>
          <w:noProof/>
        </w:rPr>
        <w:t xml:space="preserve">dzīvnieki, kas importēti īpašiem mērķiem (dresūrai, apmācībai, pavairošanai, apkalšanai vai svēršanai, veterinārajai ārstēšanai, pārbaudei (piemēram, ar mērķi pirkt), dalībai izrādēs, izstādēs, sacensībās vai demonstrācijās, izklaidei (cirku </w:t>
      </w:r>
      <w:r>
        <w:rPr>
          <w:noProof/>
        </w:rPr>
        <w:t>dzīvnieki u. tml.), ceļošanai (tostarp ceļotāju lolojumdzīvnieki), amata funkciju pildīšanai (policijas suņi vai zirgi; meklētājsuņi, suņi, kas pavada neredzīgos, u. c.), glābšanas operācijām, dzīvnieku sezonālai pārvietošanai vai ganīšanai, darba vai pārv</w:t>
      </w:r>
      <w:r>
        <w:rPr>
          <w:noProof/>
        </w:rPr>
        <w:t>adājumu veikšanai, medicīniskiem mērķiem (čūsku indes piegāde u. tml.).</w:t>
      </w:r>
    </w:p>
    <w:p w:rsidR="003E022D" w:rsidRDefault="007D19D6">
      <w:pPr>
        <w:numPr>
          <w:ilvl w:val="0"/>
          <w:numId w:val="377"/>
        </w:numPr>
        <w:ind w:left="0" w:firstLine="0"/>
        <w:rPr>
          <w:noProof/>
        </w:rPr>
      </w:pPr>
      <w:bookmarkStart w:id="149" w:name="_Hlk54267821"/>
      <w:r>
        <w:rPr>
          <w:noProof/>
        </w:rPr>
        <w:t xml:space="preserve">Katra Puse, veicot 2. punktā minēto preču pagaidu ievešanu un neatkarīgi no to izcelsmes, pieņem ATA un Stambulas konvencijas nolūkiem paredzētas karnetes, kas izdotas otrā Pusē un ko </w:t>
      </w:r>
      <w:r>
        <w:rPr>
          <w:noProof/>
        </w:rPr>
        <w:t>tur apstiprinājusi un garantējusi asociācija, kura ir daļa no starptautiskās garantiju ķēdes, ko apstiprinājušas kompetentās iestādes un kas ir derīgas importētājas Puses muitas teritorijā.</w:t>
      </w:r>
    </w:p>
    <w:p w:rsidR="003E022D" w:rsidRDefault="007D19D6">
      <w:pPr>
        <w:pStyle w:val="Article"/>
        <w:rPr>
          <w:noProof/>
        </w:rPr>
      </w:pPr>
      <w:bookmarkStart w:id="150" w:name="_Toc58163483"/>
      <w:bookmarkEnd w:id="149"/>
      <w:r>
        <w:rPr>
          <w:noProof/>
        </w:rPr>
        <w:t>CUSTMS.17. pants. Vienloga vide</w:t>
      </w:r>
      <w:bookmarkEnd w:id="150"/>
    </w:p>
    <w:p w:rsidR="003E022D" w:rsidRDefault="007D19D6">
      <w:pPr>
        <w:rPr>
          <w:rFonts w:cstheme="minorHAnsi"/>
          <w:noProof/>
        </w:rPr>
      </w:pPr>
      <w:r>
        <w:rPr>
          <w:noProof/>
        </w:rPr>
        <w:t xml:space="preserve">Katra Puse cenšas izveidot </w:t>
      </w:r>
      <w:r>
        <w:rPr>
          <w:noProof/>
        </w:rPr>
        <w:t>vienloga vidi, kas ļauj tirgotājiem iesniegt iesaistītajās iestādēs vai aģentūrās dokumentus vai datus, kuri vajadzīgi preču importam, eksportam vai tranzītam, izmantojot vienotu kontaktpunktu.</w:t>
      </w:r>
    </w:p>
    <w:p w:rsidR="003E022D" w:rsidRDefault="007D19D6">
      <w:pPr>
        <w:pStyle w:val="Article"/>
        <w:rPr>
          <w:noProof/>
        </w:rPr>
      </w:pPr>
      <w:bookmarkStart w:id="151" w:name="_Toc58163484"/>
      <w:r>
        <w:rPr>
          <w:noProof/>
        </w:rPr>
        <w:t>CUSTMS.18. pants. “Ro-Ro” satiksmes atvieglošana</w:t>
      </w:r>
      <w:bookmarkEnd w:id="151"/>
    </w:p>
    <w:p w:rsidR="003E022D" w:rsidRDefault="007D19D6">
      <w:pPr>
        <w:numPr>
          <w:ilvl w:val="0"/>
          <w:numId w:val="331"/>
        </w:numPr>
        <w:rPr>
          <w:noProof/>
        </w:rPr>
      </w:pPr>
      <w:r>
        <w:rPr>
          <w:noProof/>
        </w:rPr>
        <w:t>1.</w:t>
      </w:r>
      <w:r>
        <w:rPr>
          <w:noProof/>
        </w:rPr>
        <w:tab/>
        <w:t>Atzīstot j</w:t>
      </w:r>
      <w:r>
        <w:rPr>
          <w:noProof/>
        </w:rPr>
        <w:t xml:space="preserve">ūrasbraucienu lielo apjomu un jo īpaši “Ro-Ro” satiksmes lielo apjomu starp Pušu attiecīgajām muitas teritorijām, Puses vienojas sadarboties, lai atvieglotu šādu satiksmi, kā arī citus alternatīvus satiksmes veidus. </w:t>
      </w:r>
    </w:p>
    <w:p w:rsidR="003E022D" w:rsidRDefault="007D19D6">
      <w:pPr>
        <w:numPr>
          <w:ilvl w:val="0"/>
          <w:numId w:val="331"/>
        </w:numPr>
        <w:rPr>
          <w:noProof/>
        </w:rPr>
      </w:pPr>
      <w:r>
        <w:rPr>
          <w:noProof/>
        </w:rPr>
        <w:t>2.</w:t>
      </w:r>
      <w:r>
        <w:rPr>
          <w:noProof/>
        </w:rPr>
        <w:tab/>
        <w:t>Puses atzīst:</w:t>
      </w:r>
    </w:p>
    <w:p w:rsidR="003E022D" w:rsidRDefault="007D19D6">
      <w:pPr>
        <w:numPr>
          <w:ilvl w:val="1"/>
          <w:numId w:val="1269"/>
        </w:numPr>
        <w:ind w:left="567" w:hanging="567"/>
        <w:rPr>
          <w:rFonts w:cstheme="minorHAnsi"/>
          <w:noProof/>
        </w:rPr>
      </w:pPr>
      <w:r>
        <w:rPr>
          <w:noProof/>
        </w:rPr>
        <w:t xml:space="preserve">katras Puses tiesības </w:t>
      </w:r>
      <w:r>
        <w:rPr>
          <w:noProof/>
        </w:rPr>
        <w:t>pieņemt tirdzniecību atvieglojošas muitas formalitātes un procedūras attiecībā uz satiksmi starp Pusēm saskaņā ar to attiecīgo tiesisko regulējumu un</w:t>
      </w:r>
    </w:p>
    <w:p w:rsidR="003E022D" w:rsidRDefault="007D19D6">
      <w:pPr>
        <w:numPr>
          <w:ilvl w:val="1"/>
          <w:numId w:val="1269"/>
        </w:numPr>
        <w:ind w:left="567" w:hanging="567"/>
        <w:rPr>
          <w:noProof/>
        </w:rPr>
      </w:pPr>
      <w:r>
        <w:rPr>
          <w:noProof/>
        </w:rPr>
        <w:t>ostu, ostu iestāžu un uzņēmēju tiesības rīkoties savu attiecīgo Pušu tiesību sistēmā saskaņā ar saviem not</w:t>
      </w:r>
      <w:r>
        <w:rPr>
          <w:noProof/>
        </w:rPr>
        <w:t xml:space="preserve">eikumiem un saviem darbības un uzņēmējdarbības modeļiem. </w:t>
      </w:r>
    </w:p>
    <w:p w:rsidR="003E022D" w:rsidRDefault="007D19D6">
      <w:pPr>
        <w:numPr>
          <w:ilvl w:val="0"/>
          <w:numId w:val="331"/>
        </w:numPr>
        <w:rPr>
          <w:noProof/>
        </w:rPr>
      </w:pPr>
      <w:r>
        <w:rPr>
          <w:noProof/>
        </w:rPr>
        <w:t>3.</w:t>
      </w:r>
      <w:r>
        <w:rPr>
          <w:noProof/>
        </w:rPr>
        <w:tab/>
        <w:t>Šajā nolūkā Puses:</w:t>
      </w:r>
    </w:p>
    <w:p w:rsidR="003E022D" w:rsidRDefault="007D19D6">
      <w:pPr>
        <w:ind w:left="567" w:hanging="567"/>
        <w:rPr>
          <w:rFonts w:cstheme="minorHAnsi"/>
          <w:noProof/>
        </w:rPr>
      </w:pPr>
      <w:r>
        <w:rPr>
          <w:noProof/>
        </w:rPr>
        <w:t>a)</w:t>
      </w:r>
      <w:r>
        <w:rPr>
          <w:noProof/>
        </w:rPr>
        <w:tab/>
        <w:t>pieņem vai saglabā procedūras, kas ļauj iepriekš iesniegt importa dokumentāciju un citu nepieciešamo informāciju, tostarp preču sarakstu, lai varētu sākt apstrādi pirms preč</w:t>
      </w:r>
      <w:r>
        <w:rPr>
          <w:noProof/>
        </w:rPr>
        <w:t>u pienākšanas un tādējādi paātrinātu preču izlaišanu, tām pienākot, un</w:t>
      </w:r>
    </w:p>
    <w:p w:rsidR="003E022D" w:rsidRDefault="007D19D6">
      <w:pPr>
        <w:ind w:left="567" w:hanging="567"/>
        <w:rPr>
          <w:noProof/>
        </w:rPr>
      </w:pPr>
      <w:r>
        <w:rPr>
          <w:noProof/>
        </w:rPr>
        <w:t>b)</w:t>
      </w:r>
      <w:r>
        <w:rPr>
          <w:noProof/>
        </w:rPr>
        <w:tab/>
        <w:t>apņemas atvieglot uzņēmējiem tranzīta procedūras izmantošanu, tostarp vienkāršot tranzīta procedūru, kā paredzēts Konvencijā par kopīgu tranzīta procedūru.</w:t>
      </w:r>
    </w:p>
    <w:p w:rsidR="003E022D" w:rsidRDefault="007D19D6">
      <w:pPr>
        <w:numPr>
          <w:ilvl w:val="0"/>
          <w:numId w:val="331"/>
        </w:numPr>
        <w:rPr>
          <w:noProof/>
        </w:rPr>
      </w:pPr>
      <w:r>
        <w:rPr>
          <w:noProof/>
        </w:rPr>
        <w:t>4.</w:t>
      </w:r>
      <w:r>
        <w:rPr>
          <w:noProof/>
        </w:rPr>
        <w:tab/>
        <w:t>Puses vienojas veicināt</w:t>
      </w:r>
      <w:r>
        <w:rPr>
          <w:noProof/>
        </w:rPr>
        <w:t xml:space="preserve"> sadarbību starp to attiecīgajām muitas iestādēm divpusējos jūras šķērsošanas maršrutos un apmainīties ar informāciju par to ostu darbību, kurās tiek apkalpota satiksme starp Pusēm, kā arī par piemērojamiem noteikumiem un procedūrām. Tās padarīs pieejamu i</w:t>
      </w:r>
      <w:r>
        <w:rPr>
          <w:noProof/>
        </w:rPr>
        <w:t>nformāciju par uzņēmēju ieviestajiem pasākumiem un par procesiem, ko ieviesušas ostas, lai atvieglotu šādu satiksmi.</w:t>
      </w:r>
    </w:p>
    <w:p w:rsidR="003E022D" w:rsidRDefault="007D19D6">
      <w:pPr>
        <w:pStyle w:val="Article"/>
        <w:rPr>
          <w:noProof/>
        </w:rPr>
      </w:pPr>
      <w:bookmarkStart w:id="152" w:name="_Toc58163485"/>
      <w:r>
        <w:rPr>
          <w:noProof/>
        </w:rPr>
        <w:t>CUSTMS.19. pants. Administratīvā sadarbība PVN jomā un savstarpējā palīdzība nodokļu un maksājumu piedziņā</w:t>
      </w:r>
      <w:bookmarkEnd w:id="152"/>
    </w:p>
    <w:p w:rsidR="003E022D" w:rsidRDefault="007D19D6">
      <w:pPr>
        <w:rPr>
          <w:noProof/>
        </w:rPr>
      </w:pPr>
      <w:r>
        <w:rPr>
          <w:noProof/>
        </w:rPr>
        <w:t>Pušu kompetentās iestādes sadarb</w:t>
      </w:r>
      <w:r>
        <w:rPr>
          <w:noProof/>
        </w:rPr>
        <w:t>ojas, lai nodrošinātu atbilstību tiesību aktiem PVN jomā un lai piedzītu prasījumus saistībā ar nodokļiem un maksājumiem saskaņā ar Protokolu par administratīvo sadarbību un krāpšanas apkarošanu pievienotās vērtības nodokļa jomā un par savstarpēju palīdzīb</w:t>
      </w:r>
      <w:r>
        <w:rPr>
          <w:noProof/>
        </w:rPr>
        <w:t>u prasījumu piedziņā saistībā ar nodokļiem un maksājumiem.</w:t>
      </w:r>
    </w:p>
    <w:p w:rsidR="003E022D" w:rsidRDefault="007D19D6">
      <w:pPr>
        <w:pStyle w:val="Article"/>
        <w:rPr>
          <w:noProof/>
        </w:rPr>
      </w:pPr>
      <w:bookmarkStart w:id="153" w:name="_Toc58163486"/>
      <w:r>
        <w:rPr>
          <w:noProof/>
        </w:rPr>
        <w:t>CUSTMS.20. pants. Tirdzniecības specializētā komiteja muitas sadarbības un izcelsmes noteikumu jomā</w:t>
      </w:r>
      <w:bookmarkEnd w:id="153"/>
      <w:r>
        <w:rPr>
          <w:noProof/>
        </w:rPr>
        <w:t xml:space="preserve"> </w:t>
      </w:r>
    </w:p>
    <w:p w:rsidR="003E022D" w:rsidRDefault="007D19D6">
      <w:pPr>
        <w:rPr>
          <w:iCs/>
          <w:noProof/>
        </w:rPr>
      </w:pPr>
      <w:r>
        <w:rPr>
          <w:noProof/>
        </w:rPr>
        <w:t xml:space="preserve">1. </w:t>
      </w:r>
      <w:r>
        <w:rPr>
          <w:noProof/>
        </w:rPr>
        <w:tab/>
        <w:t xml:space="preserve">Tirdzniecības specializētā komiteja muitas sadarbības un izcelsmes noteikumu jomā: </w:t>
      </w:r>
    </w:p>
    <w:p w:rsidR="003E022D" w:rsidRDefault="007D19D6">
      <w:pPr>
        <w:rPr>
          <w:rFonts w:cstheme="minorHAnsi"/>
          <w:noProof/>
        </w:rPr>
      </w:pPr>
      <w:r>
        <w:rPr>
          <w:noProof/>
        </w:rPr>
        <w:t>a)</w:t>
      </w:r>
      <w:r>
        <w:rPr>
          <w:noProof/>
        </w:rPr>
        <w:tab/>
        <w:t>regul</w:t>
      </w:r>
      <w:r>
        <w:rPr>
          <w:noProof/>
        </w:rPr>
        <w:t xml:space="preserve">āri apspriežas un </w:t>
      </w:r>
    </w:p>
    <w:p w:rsidR="003E022D" w:rsidRDefault="007D19D6">
      <w:pPr>
        <w:ind w:left="709" w:hanging="709"/>
        <w:rPr>
          <w:iCs/>
          <w:noProof/>
        </w:rPr>
      </w:pPr>
      <w:r>
        <w:rPr>
          <w:noProof/>
        </w:rPr>
        <w:t>b)</w:t>
      </w:r>
      <w:r>
        <w:rPr>
          <w:noProof/>
        </w:rPr>
        <w:tab/>
        <w:t xml:space="preserve">saistībā ar CUSTMS-1 pielikuma [Atzītie uzņēmēji] noteikumu pārskatīšanu – </w:t>
      </w:r>
    </w:p>
    <w:p w:rsidR="003E022D" w:rsidRDefault="007D19D6">
      <w:pPr>
        <w:numPr>
          <w:ilvl w:val="0"/>
          <w:numId w:val="333"/>
        </w:numPr>
        <w:ind w:left="1276" w:hanging="567"/>
        <w:rPr>
          <w:iCs/>
          <w:noProof/>
        </w:rPr>
      </w:pPr>
      <w:r>
        <w:rPr>
          <w:noProof/>
        </w:rPr>
        <w:t>kopīgi apstiprina programmu dalībniekus, lai noteiktu priekšrocības un trūkumus CUSTMS-1 pielikuma [Atzītie uzņēmēji] īstenošanā,</w:t>
      </w:r>
      <w:r>
        <w:rPr>
          <w:noProof/>
          <w:color w:val="000000" w:themeColor="text1"/>
        </w:rPr>
        <w:t xml:space="preserve"> un</w:t>
      </w:r>
    </w:p>
    <w:p w:rsidR="003E022D" w:rsidRDefault="007D19D6">
      <w:pPr>
        <w:numPr>
          <w:ilvl w:val="0"/>
          <w:numId w:val="333"/>
        </w:numPr>
        <w:ind w:left="1276" w:hanging="567"/>
        <w:rPr>
          <w:iCs/>
          <w:noProof/>
        </w:rPr>
      </w:pPr>
      <w:r>
        <w:rPr>
          <w:noProof/>
          <w:color w:val="000000" w:themeColor="text1"/>
        </w:rPr>
        <w:t xml:space="preserve">apmainās ar viedokļiem </w:t>
      </w:r>
      <w:r>
        <w:rPr>
          <w:noProof/>
          <w:color w:val="000000" w:themeColor="text1"/>
        </w:rPr>
        <w:t>par datiem, ar kuriem jāapmainās, un par attieksmi pret uzņēmējiem.</w:t>
      </w:r>
    </w:p>
    <w:p w:rsidR="003E022D" w:rsidRDefault="007D19D6">
      <w:pPr>
        <w:numPr>
          <w:ilvl w:val="0"/>
          <w:numId w:val="334"/>
        </w:numPr>
        <w:ind w:left="0" w:firstLine="0"/>
        <w:rPr>
          <w:iCs/>
          <w:noProof/>
        </w:rPr>
      </w:pPr>
      <w:r>
        <w:rPr>
          <w:noProof/>
        </w:rPr>
        <w:t>Tirdzniecības specializētā komiteja muitas sadarbības un izcelsmes noteikumu jomā var pieņemt lēmumus vai ieteikumus:</w:t>
      </w:r>
    </w:p>
    <w:p w:rsidR="003E022D" w:rsidRDefault="007D19D6">
      <w:pPr>
        <w:ind w:left="567" w:hanging="567"/>
        <w:rPr>
          <w:bCs/>
          <w:noProof/>
        </w:rPr>
      </w:pPr>
      <w:r>
        <w:rPr>
          <w:noProof/>
        </w:rPr>
        <w:t>a)</w:t>
      </w:r>
      <w:r>
        <w:rPr>
          <w:noProof/>
        </w:rPr>
        <w:tab/>
        <w:t>par informācijas apmaiņu muitas jomā, par riska pārvaldības metožu,</w:t>
      </w:r>
      <w:r>
        <w:rPr>
          <w:noProof/>
        </w:rPr>
        <w:t xml:space="preserve"> riska standartu un kontroles, kā arī muitas drošības pasākumu savstarpēju atzīšanu, par iepriekšējiem nolēmumiem, par kopēju pieeju muitas vērtības noteikšanai un par citiem jautājumiem, kas saistīti ar šīs nodaļas īstenošanu; </w:t>
      </w:r>
    </w:p>
    <w:p w:rsidR="003E022D" w:rsidRDefault="007D19D6">
      <w:pPr>
        <w:ind w:left="567" w:hanging="567"/>
        <w:rPr>
          <w:bCs/>
          <w:noProof/>
        </w:rPr>
      </w:pPr>
      <w:r>
        <w:rPr>
          <w:noProof/>
        </w:rPr>
        <w:t>b)</w:t>
      </w:r>
      <w:r>
        <w:rPr>
          <w:noProof/>
        </w:rPr>
        <w:tab/>
        <w:t xml:space="preserve">par kārtību saistībā ar </w:t>
      </w:r>
      <w:r>
        <w:rPr>
          <w:noProof/>
        </w:rPr>
        <w:t>informācijas automātisko apmaiņu, kā minēts Protokola par savstarpējo administratīvo palīdzību muitas lietās 10. pantā [Automātiska informācijas apmaiņa], un par citiem jautājumiem, kas saistīti ar minētā protokola īstenošanu;</w:t>
      </w:r>
    </w:p>
    <w:p w:rsidR="003E022D" w:rsidRDefault="007D19D6">
      <w:pPr>
        <w:ind w:left="567" w:hanging="567"/>
        <w:rPr>
          <w:bCs/>
          <w:noProof/>
        </w:rPr>
      </w:pPr>
      <w:r>
        <w:rPr>
          <w:noProof/>
        </w:rPr>
        <w:t>c)</w:t>
      </w:r>
      <w:r>
        <w:rPr>
          <w:noProof/>
        </w:rPr>
        <w:tab/>
        <w:t>par jebkuru jautājumu, kas</w:t>
      </w:r>
      <w:r>
        <w:rPr>
          <w:noProof/>
        </w:rPr>
        <w:t xml:space="preserve"> saistīts ar CUSTMS-1 pielikuma [Atzītie uzņēmēji] īstenošanu, un</w:t>
      </w:r>
    </w:p>
    <w:p w:rsidR="003E022D" w:rsidRDefault="007D19D6">
      <w:pPr>
        <w:ind w:left="567" w:hanging="567"/>
        <w:rPr>
          <w:bCs/>
          <w:noProof/>
        </w:rPr>
      </w:pPr>
      <w:r>
        <w:rPr>
          <w:noProof/>
        </w:rPr>
        <w:t>d)</w:t>
      </w:r>
      <w:r>
        <w:rPr>
          <w:noProof/>
        </w:rPr>
        <w:tab/>
        <w:t>par apspriešanās procedūrām, kas paredzētas ORIG.26. pantā [Preferenciāla tarifa režīma atteikums], attiecībā uz jebkuru tehnisku vai administratīvu jautājumu, kurš saistīts ar šīs sadaļa</w:t>
      </w:r>
      <w:r>
        <w:rPr>
          <w:noProof/>
        </w:rPr>
        <w:t>s 2. nodaļas [Izcelsmes noteikumi] īstenošanu, tostarp par skaidrojošām piezīmēm, kuru mērķis ir nodrošināt izcelsmes noteikumu vienādu administrēšanu.</w:t>
      </w:r>
    </w:p>
    <w:p w:rsidR="003E022D" w:rsidRDefault="007D19D6">
      <w:pPr>
        <w:pStyle w:val="Article"/>
        <w:rPr>
          <w:noProof/>
        </w:rPr>
      </w:pPr>
      <w:bookmarkStart w:id="154" w:name="_Toc58163487"/>
      <w:r>
        <w:rPr>
          <w:noProof/>
        </w:rPr>
        <w:t>CUSTMS.21. pants. Grozījumi</w:t>
      </w:r>
      <w:bookmarkEnd w:id="154"/>
    </w:p>
    <w:p w:rsidR="003E022D" w:rsidRDefault="007D19D6">
      <w:pPr>
        <w:rPr>
          <w:rFonts w:cstheme="minorHAnsi"/>
          <w:noProof/>
        </w:rPr>
      </w:pPr>
      <w:r>
        <w:rPr>
          <w:noProof/>
        </w:rPr>
        <w:t xml:space="preserve">1. </w:t>
      </w:r>
      <w:r>
        <w:rPr>
          <w:noProof/>
        </w:rPr>
        <w:tab/>
        <w:t>Partnerības padome var grozīt:</w:t>
      </w:r>
    </w:p>
    <w:p w:rsidR="003E022D" w:rsidRDefault="007D19D6">
      <w:pPr>
        <w:ind w:left="567" w:hanging="567"/>
        <w:rPr>
          <w:rFonts w:cs="Calibri"/>
          <w:noProof/>
        </w:rPr>
      </w:pPr>
      <w:r>
        <w:rPr>
          <w:noProof/>
        </w:rPr>
        <w:t>a) CUSTMS-1 pielikumu [Atzītie uzņēmēji],</w:t>
      </w:r>
      <w:r>
        <w:rPr>
          <w:noProof/>
        </w:rPr>
        <w:t xml:space="preserve"> protokolu par savstarpējo administratīvo palīdzību muitas lietās un CUSTMS.16. panta [Pagaidu ievešana] 2. punktā minēto preču sarakstu, un</w:t>
      </w:r>
    </w:p>
    <w:p w:rsidR="003E022D" w:rsidRDefault="007D19D6">
      <w:pPr>
        <w:ind w:left="567" w:hanging="567"/>
        <w:rPr>
          <w:noProof/>
        </w:rPr>
      </w:pPr>
      <w:r>
        <w:rPr>
          <w:noProof/>
        </w:rPr>
        <w:t>b) Protokolu par administratīvo sadarbību un krāpšanas apkarošanu pievienotās vērtības nodokļa jomā un par savstarp</w:t>
      </w:r>
      <w:r>
        <w:rPr>
          <w:noProof/>
        </w:rPr>
        <w:t xml:space="preserve">ēju palīdzību prasījumu piedziņā saistībā ar nodokļiem un maksājumiem.  </w:t>
      </w:r>
    </w:p>
    <w:p w:rsidR="003E022D" w:rsidRDefault="007D19D6">
      <w:pPr>
        <w:rPr>
          <w:noProof/>
          <w:color w:val="0070C0"/>
        </w:rPr>
      </w:pPr>
      <w:r>
        <w:rPr>
          <w:noProof/>
        </w:rPr>
        <w:t xml:space="preserve">2. </w:t>
      </w:r>
      <w:r>
        <w:rPr>
          <w:noProof/>
        </w:rPr>
        <w:tab/>
        <w:t>Specializētā tirdzniecības komiteja administratīvajai sadarbībai PVN un nodokļu un nodevu piedziņas jomā var grozīt vērtību, kas minēta 33. panta 4. punktā Protokolā par administr</w:t>
      </w:r>
      <w:r>
        <w:rPr>
          <w:noProof/>
        </w:rPr>
        <w:t>atīvo sadarbību un krāpšanas apkarošanu pievienotās vērtības nodokļa jomā un par savstarpēju palīdzību prasījumu piedziņā saistībā ar nodokļiem un maksājumiem.</w:t>
      </w:r>
    </w:p>
    <w:p w:rsidR="003E022D" w:rsidRDefault="007D19D6">
      <w:pPr>
        <w:pStyle w:val="Title1"/>
        <w:rPr>
          <w:noProof/>
          <w:lang w:val="fr-BE"/>
        </w:rPr>
      </w:pPr>
      <w:bookmarkStart w:id="155" w:name="_Toc59988339"/>
      <w:r>
        <w:rPr>
          <w:noProof/>
          <w:lang w:val="fr-BE"/>
        </w:rPr>
        <w:t>II sadaļa. Pakalpojumi un investīcijas</w:t>
      </w:r>
      <w:bookmarkEnd w:id="155"/>
    </w:p>
    <w:p w:rsidR="003E022D" w:rsidRDefault="007D19D6">
      <w:pPr>
        <w:pStyle w:val="Chapter"/>
        <w:rPr>
          <w:noProof/>
          <w:lang w:val="fr-BE"/>
        </w:rPr>
      </w:pPr>
      <w:r>
        <w:rPr>
          <w:noProof/>
          <w:lang w:val="fr-BE"/>
        </w:rPr>
        <w:t>1. nodaļa. Vispārīgi noteikumi</w:t>
      </w:r>
    </w:p>
    <w:p w:rsidR="003E022D" w:rsidRDefault="007D19D6">
      <w:pPr>
        <w:jc w:val="center"/>
        <w:rPr>
          <w:rFonts w:cs="Arial"/>
          <w:noProof/>
          <w:lang w:val="fr-BE"/>
        </w:rPr>
      </w:pPr>
      <w:r>
        <w:rPr>
          <w:noProof/>
          <w:lang w:val="fr-BE"/>
        </w:rPr>
        <w:t xml:space="preserve">SERVIN.1.1. pants. Mērķis </w:t>
      </w:r>
      <w:r>
        <w:rPr>
          <w:noProof/>
          <w:lang w:val="fr-BE"/>
        </w:rPr>
        <w:t>un darbības joma</w:t>
      </w:r>
    </w:p>
    <w:p w:rsidR="003E022D" w:rsidRDefault="007D19D6">
      <w:pPr>
        <w:numPr>
          <w:ilvl w:val="0"/>
          <w:numId w:val="536"/>
        </w:numPr>
        <w:ind w:left="0" w:firstLine="0"/>
        <w:rPr>
          <w:rFonts w:eastAsia="Times New Roman" w:cs="Arial"/>
          <w:noProof/>
          <w:lang w:val="fr-BE"/>
        </w:rPr>
      </w:pPr>
      <w:r>
        <w:rPr>
          <w:noProof/>
          <w:lang w:val="fr-BE"/>
        </w:rPr>
        <w:t>Puses apstiprina savu apņemšanos radīt labvēlīgus apstākļus tirdzniecības un investīciju attīstībai to starpā.</w:t>
      </w:r>
    </w:p>
    <w:p w:rsidR="003E022D" w:rsidRDefault="007D19D6">
      <w:pPr>
        <w:numPr>
          <w:ilvl w:val="0"/>
          <w:numId w:val="536"/>
        </w:numPr>
        <w:ind w:left="0" w:firstLine="0"/>
        <w:rPr>
          <w:rFonts w:cs="Arial"/>
          <w:noProof/>
          <w:lang w:val="fr-BE"/>
        </w:rPr>
      </w:pPr>
      <w:r>
        <w:rPr>
          <w:noProof/>
          <w:lang w:val="fr-BE"/>
        </w:rPr>
        <w:t>Puses atkārtoti apstiprina tiesības reglamentēt savā teritorijā, lai sasniegtu leģitīmus politikas mērķus, piemēram: sabiedrības</w:t>
      </w:r>
      <w:r>
        <w:rPr>
          <w:noProof/>
          <w:lang w:val="fr-BE"/>
        </w:rPr>
        <w:t xml:space="preserve"> veselības aizsardzība; sociālie pakalpojumi; publiskā izglītība; drošība; vide, tai skaitā klimata pārmaiņas; sabiedrības morāle; sociālā vai patērētāju tiesību aizsardzība; privātums un datu aizsardzība vai kultūras daudzveidības veicināšana un aizsardzī</w:t>
      </w:r>
      <w:r>
        <w:rPr>
          <w:noProof/>
          <w:lang w:val="fr-BE"/>
        </w:rPr>
        <w:t>ba.</w:t>
      </w:r>
    </w:p>
    <w:p w:rsidR="003E022D" w:rsidRDefault="007D19D6">
      <w:pPr>
        <w:numPr>
          <w:ilvl w:val="0"/>
          <w:numId w:val="536"/>
        </w:numPr>
        <w:ind w:left="0" w:firstLine="0"/>
        <w:rPr>
          <w:rFonts w:cs="Arial"/>
          <w:noProof/>
          <w:lang w:val="fr-BE"/>
        </w:rPr>
      </w:pPr>
      <w:r>
        <w:rPr>
          <w:noProof/>
          <w:lang w:val="fr-BE"/>
        </w:rPr>
        <w:t>Šo sadaļu nepiemēro pasākumiem, kas skar Puses fiziskas personas, kuras vēlas piekļūt otras Puses darba tirgum, vai pasākumiem saistībā ar valstspiederību, pilsonību, pastāvīgu uzturēšanos vai nodarbinātību.</w:t>
      </w:r>
    </w:p>
    <w:p w:rsidR="003E022D" w:rsidRDefault="007D19D6">
      <w:pPr>
        <w:numPr>
          <w:ilvl w:val="0"/>
          <w:numId w:val="536"/>
        </w:numPr>
        <w:ind w:left="0" w:firstLine="0"/>
        <w:rPr>
          <w:rFonts w:cs="Arial"/>
          <w:noProof/>
          <w:lang w:val="fr-BE"/>
        </w:rPr>
      </w:pPr>
      <w:r>
        <w:rPr>
          <w:noProof/>
          <w:lang w:val="fr-BE"/>
        </w:rPr>
        <w:t xml:space="preserve">Šī sadaļa neliedz Pusei piemērot pasākumus, </w:t>
      </w:r>
      <w:r>
        <w:rPr>
          <w:noProof/>
          <w:lang w:val="fr-BE"/>
        </w:rPr>
        <w:t xml:space="preserve">kas reglamentē fizisko personu ieceļošanu vai pagaidu uzturēšanos tās teritorijā, tai skaitā pasākumus, kas vajadzīgi, lai aizsargātu savu robežu neaizskaramību un nodrošinātu to, ka fiziskās personas tās šķērso likumīgi, ja vien tādus pasākumus nepiemēro </w:t>
      </w:r>
      <w:r>
        <w:rPr>
          <w:noProof/>
          <w:lang w:val="fr-BE"/>
        </w:rPr>
        <w:t>tā, ka tie likvidē vai mazina ieguvumus, kuri otrai Pusei rodas saskaņā ar šīs sadaļas noteikumiem.</w:t>
      </w:r>
      <w:r>
        <w:rPr>
          <w:noProof/>
          <w:color w:val="0070C0"/>
          <w:lang w:val="fr-BE"/>
        </w:rPr>
        <w:t xml:space="preserve"> </w:t>
      </w:r>
      <w:r>
        <w:rPr>
          <w:noProof/>
          <w:lang w:val="fr-BE"/>
        </w:rPr>
        <w:t>Vīzu pieprasīšana fiziskām personām no konkrētām valstīm un to nepieprasīšana fiziskām personām no citām valstīm netiek uzskatīta par ieguvumu likvidēšanu v</w:t>
      </w:r>
      <w:r>
        <w:rPr>
          <w:noProof/>
          <w:lang w:val="fr-BE"/>
        </w:rPr>
        <w:t>ai mazināšanu saskaņā ar šo sadaļu.</w:t>
      </w:r>
    </w:p>
    <w:p w:rsidR="003E022D" w:rsidRDefault="007D19D6">
      <w:pPr>
        <w:numPr>
          <w:ilvl w:val="0"/>
          <w:numId w:val="536"/>
        </w:numPr>
        <w:ind w:left="0" w:firstLine="0"/>
        <w:rPr>
          <w:rFonts w:cs="Arial"/>
          <w:noProof/>
        </w:rPr>
      </w:pPr>
      <w:r>
        <w:rPr>
          <w:noProof/>
        </w:rPr>
        <w:t xml:space="preserve">Šo sadaļu nepiemēro: </w:t>
      </w:r>
    </w:p>
    <w:p w:rsidR="003E022D" w:rsidRDefault="007D19D6">
      <w:pPr>
        <w:numPr>
          <w:ilvl w:val="0"/>
          <w:numId w:val="193"/>
        </w:numPr>
        <w:ind w:left="567" w:hanging="567"/>
        <w:rPr>
          <w:rFonts w:cs="Arial"/>
          <w:noProof/>
        </w:rPr>
      </w:pPr>
      <w:r>
        <w:rPr>
          <w:noProof/>
        </w:rPr>
        <w:t>gaisa pārvadājumu pakalpojumiem vai saistītiem pakalpojumiem gaisa pārvadājumu pakalpojumu atbalstam</w:t>
      </w:r>
      <w:r>
        <w:rPr>
          <w:rStyle w:val="FootnoteReference"/>
          <w:rFonts w:cs="Arial"/>
          <w:noProof/>
          <w:color w:val="000000" w:themeColor="text1"/>
        </w:rPr>
        <w:footnoteReference w:id="6"/>
      </w:r>
      <w:r>
        <w:rPr>
          <w:noProof/>
        </w:rPr>
        <w:t xml:space="preserve">, izņemot šādus: </w:t>
      </w:r>
    </w:p>
    <w:p w:rsidR="003E022D" w:rsidRDefault="007D19D6">
      <w:pPr>
        <w:numPr>
          <w:ilvl w:val="0"/>
          <w:numId w:val="578"/>
        </w:numPr>
        <w:ind w:left="1276" w:hanging="567"/>
        <w:rPr>
          <w:rFonts w:cs="Arial"/>
          <w:noProof/>
          <w:lang w:val="fr-BE"/>
        </w:rPr>
      </w:pPr>
      <w:r>
        <w:rPr>
          <w:noProof/>
          <w:lang w:val="fr-BE"/>
        </w:rPr>
        <w:t>gaisa kuģu remonta un apkopes pakalpojumus;</w:t>
      </w:r>
    </w:p>
    <w:p w:rsidR="003E022D" w:rsidRDefault="007D19D6">
      <w:pPr>
        <w:numPr>
          <w:ilvl w:val="0"/>
          <w:numId w:val="578"/>
        </w:numPr>
        <w:ind w:left="1276" w:hanging="567"/>
        <w:rPr>
          <w:rFonts w:cs="Arial"/>
          <w:noProof/>
        </w:rPr>
      </w:pPr>
      <w:r>
        <w:rPr>
          <w:noProof/>
        </w:rPr>
        <w:t xml:space="preserve">datorizēto rezervācijas sistēmu pakalpojumus; </w:t>
      </w:r>
    </w:p>
    <w:p w:rsidR="003E022D" w:rsidRDefault="007D19D6">
      <w:pPr>
        <w:numPr>
          <w:ilvl w:val="0"/>
          <w:numId w:val="578"/>
        </w:numPr>
        <w:ind w:left="1276" w:hanging="567"/>
        <w:rPr>
          <w:rFonts w:cs="Arial"/>
          <w:noProof/>
        </w:rPr>
      </w:pPr>
      <w:r>
        <w:rPr>
          <w:noProof/>
        </w:rPr>
        <w:t xml:space="preserve">apkalpošanu uz zemes; </w:t>
      </w:r>
      <w:bookmarkStart w:id="156" w:name="_Hlk54971010"/>
    </w:p>
    <w:p w:rsidR="003E022D" w:rsidRDefault="007D19D6">
      <w:pPr>
        <w:numPr>
          <w:ilvl w:val="0"/>
          <w:numId w:val="578"/>
        </w:numPr>
        <w:ind w:left="1276" w:hanging="567"/>
        <w:rPr>
          <w:rFonts w:cs="Arial"/>
          <w:noProof/>
        </w:rPr>
      </w:pPr>
      <w:r>
        <w:rPr>
          <w:noProof/>
        </w:rPr>
        <w:t>sekojošus pakalpojumus, kuros izmanto pilotējamus gaisa kuģus, ievērojot Pušu attiecīgos normatīvos aktus, kas reglamentē gaisa kuģu uzņemšanu to teritorijā, izlidošanu no to teritorijas</w:t>
      </w:r>
      <w:r>
        <w:rPr>
          <w:noProof/>
        </w:rPr>
        <w:t xml:space="preserve"> un darbību tajā: lidojumus ugunsgrēku dzēšanai no gaisa; mācību lidojumus; apsmidzināšanu; mērniecību; kartēšanu; fotografēšanu; citus gaisā veiktus pakalpojumus lauksaimniecības, rūpniecības un inspicēšanas vajadzībām; un</w:t>
      </w:r>
      <w:bookmarkEnd w:id="156"/>
    </w:p>
    <w:p w:rsidR="003E022D" w:rsidRDefault="007D19D6">
      <w:pPr>
        <w:numPr>
          <w:ilvl w:val="0"/>
          <w:numId w:val="578"/>
        </w:numPr>
        <w:ind w:left="1276" w:hanging="567"/>
        <w:rPr>
          <w:rFonts w:cs="Arial"/>
          <w:noProof/>
        </w:rPr>
      </w:pPr>
      <w:r>
        <w:rPr>
          <w:noProof/>
        </w:rPr>
        <w:t>gaisa pārvadājumu pakalpojumu pā</w:t>
      </w:r>
      <w:r>
        <w:rPr>
          <w:noProof/>
        </w:rPr>
        <w:t xml:space="preserve">rdošanu un tirdzniecību; </w:t>
      </w:r>
    </w:p>
    <w:p w:rsidR="003E022D" w:rsidRDefault="007D19D6">
      <w:pPr>
        <w:numPr>
          <w:ilvl w:val="0"/>
          <w:numId w:val="193"/>
        </w:numPr>
        <w:ind w:left="567" w:hanging="567"/>
        <w:rPr>
          <w:rFonts w:cs="Arial"/>
          <w:noProof/>
        </w:rPr>
      </w:pPr>
      <w:r>
        <w:rPr>
          <w:noProof/>
        </w:rPr>
        <w:t>audiovizuālajiem pakalpojumiem;</w:t>
      </w:r>
    </w:p>
    <w:p w:rsidR="003E022D" w:rsidRDefault="007D19D6">
      <w:pPr>
        <w:numPr>
          <w:ilvl w:val="0"/>
          <w:numId w:val="193"/>
        </w:numPr>
        <w:ind w:left="567" w:hanging="567"/>
        <w:rPr>
          <w:rFonts w:cs="Arial"/>
          <w:noProof/>
        </w:rPr>
      </w:pPr>
      <w:r>
        <w:rPr>
          <w:noProof/>
        </w:rPr>
        <w:t>iekšzemes jūras kabotāžai</w:t>
      </w:r>
      <w:r>
        <w:rPr>
          <w:rStyle w:val="FootnoteReference"/>
          <w:rFonts w:cs="Arial"/>
          <w:noProof/>
        </w:rPr>
        <w:footnoteReference w:id="7"/>
      </w:r>
      <w:r>
        <w:rPr>
          <w:noProof/>
        </w:rPr>
        <w:t xml:space="preserve"> un </w:t>
      </w:r>
    </w:p>
    <w:p w:rsidR="003E022D" w:rsidRDefault="007D19D6">
      <w:pPr>
        <w:numPr>
          <w:ilvl w:val="0"/>
          <w:numId w:val="193"/>
        </w:numPr>
        <w:ind w:left="567" w:hanging="567"/>
        <w:rPr>
          <w:rFonts w:cs="Arial"/>
          <w:noProof/>
        </w:rPr>
      </w:pPr>
      <w:r>
        <w:rPr>
          <w:noProof/>
        </w:rPr>
        <w:t>pārvadājumiem pa iekšzemes ūdensceļiem.</w:t>
      </w:r>
    </w:p>
    <w:p w:rsidR="003E022D" w:rsidRDefault="007D19D6">
      <w:pPr>
        <w:numPr>
          <w:ilvl w:val="0"/>
          <w:numId w:val="536"/>
        </w:numPr>
        <w:ind w:left="0" w:firstLine="0"/>
        <w:rPr>
          <w:rFonts w:cs="Arial"/>
          <w:noProof/>
        </w:rPr>
      </w:pPr>
      <w:r>
        <w:rPr>
          <w:noProof/>
        </w:rPr>
        <w:t>Šo sadaļu nepiemēro Puses pasākumiem attiecībā uz preču vai pakalpojumu publiskā iepirkuma valstiskām vajadzībām, nevis komerci</w:t>
      </w:r>
      <w:r>
        <w:rPr>
          <w:noProof/>
        </w:rPr>
        <w:t>ālas tālākpārdošanas nolūkā vai arī nolūkā izmantot preču vai pakalpojumu sniegšanā komerciālai pārdošanai neatkarīgi no tā, vai minētais iepirkums ir vai nav “aptverts iepirkums” PPROC.2. panta [Dažu Nolīguma par valsts iepirkumu noteikumu iekļaušana un a</w:t>
      </w:r>
      <w:r>
        <w:rPr>
          <w:noProof/>
        </w:rPr>
        <w:t>ptvertais iepirkums] nozīmē.</w:t>
      </w:r>
    </w:p>
    <w:p w:rsidR="003E022D" w:rsidRDefault="007D19D6">
      <w:pPr>
        <w:numPr>
          <w:ilvl w:val="0"/>
          <w:numId w:val="536"/>
        </w:numPr>
        <w:ind w:left="0" w:firstLine="0"/>
        <w:rPr>
          <w:rFonts w:cs="Arial"/>
          <w:noProof/>
        </w:rPr>
      </w:pPr>
      <w:r>
        <w:rPr>
          <w:noProof/>
        </w:rPr>
        <w:t>Izņemot SERVIN.2.6. pantu [Veiktspējas prasības], šo sadaļu nepiemēro Pušu piešķirtām subsīdijām vai dotācijām, tai skaitā valsts atbalstītiem aizdevumiem, garantijām un apdrošināšanai.</w:t>
      </w:r>
    </w:p>
    <w:p w:rsidR="003E022D" w:rsidRDefault="007D19D6">
      <w:pPr>
        <w:pStyle w:val="Article"/>
        <w:rPr>
          <w:noProof/>
        </w:rPr>
      </w:pPr>
      <w:r>
        <w:rPr>
          <w:noProof/>
        </w:rPr>
        <w:t>SERVIN.1.2. pants. Definīcijas</w:t>
      </w:r>
    </w:p>
    <w:p w:rsidR="003E022D" w:rsidRDefault="007D19D6">
      <w:pPr>
        <w:rPr>
          <w:noProof/>
        </w:rPr>
      </w:pPr>
      <w:r>
        <w:rPr>
          <w:noProof/>
        </w:rPr>
        <w:t>Šajā sadaļ</w:t>
      </w:r>
      <w:r>
        <w:rPr>
          <w:noProof/>
        </w:rPr>
        <w:t>ā:</w:t>
      </w:r>
    </w:p>
    <w:p w:rsidR="003E022D" w:rsidRDefault="007D19D6">
      <w:pPr>
        <w:numPr>
          <w:ilvl w:val="1"/>
          <w:numId w:val="536"/>
        </w:numPr>
        <w:ind w:left="567" w:hanging="567"/>
        <w:rPr>
          <w:noProof/>
        </w:rPr>
      </w:pPr>
      <w:r>
        <w:rPr>
          <w:noProof/>
        </w:rPr>
        <w:t>“darbības, ko veic, īstenojot valsts pilnvaras” ir darbības, tai skaitā pakalpojumi, kurus neveic ne uz komerciāla pamata, ne konkurējot ar vienu vai vairākiem ekonomikas dalībniekiem</w:t>
      </w:r>
      <w:r>
        <w:rPr>
          <w:rStyle w:val="FootnoteReference"/>
          <w:rFonts w:cs="Arial"/>
          <w:noProof/>
        </w:rPr>
        <w:footnoteReference w:id="8"/>
      </w:r>
      <w:r>
        <w:rPr>
          <w:noProof/>
        </w:rPr>
        <w:t>;</w:t>
      </w:r>
    </w:p>
    <w:p w:rsidR="003E022D" w:rsidRDefault="007D19D6">
      <w:pPr>
        <w:numPr>
          <w:ilvl w:val="1"/>
          <w:numId w:val="536"/>
        </w:numPr>
        <w:ind w:left="567" w:hanging="567"/>
        <w:rPr>
          <w:noProof/>
        </w:rPr>
      </w:pPr>
      <w:r>
        <w:rPr>
          <w:noProof/>
        </w:rPr>
        <w:t>“gaisa kuģu remonta un apkopes pakalpojumi” ir tādi pasākumi, kas v</w:t>
      </w:r>
      <w:r>
        <w:rPr>
          <w:noProof/>
        </w:rPr>
        <w:t xml:space="preserve">eikti gaisa kuģim vai tā daļai, kamēr to neizmanto, un tie neietver tā saukto līnijas tehnisko apkopi; </w:t>
      </w:r>
    </w:p>
    <w:p w:rsidR="003E022D" w:rsidRDefault="007D19D6">
      <w:pPr>
        <w:numPr>
          <w:ilvl w:val="1"/>
          <w:numId w:val="536"/>
        </w:numPr>
        <w:ind w:left="567" w:hanging="567"/>
        <w:rPr>
          <w:noProof/>
        </w:rPr>
      </w:pPr>
      <w:r>
        <w:rPr>
          <w:noProof/>
        </w:rPr>
        <w:t>“datorizēto rezervācijas sistēmu pakalpojumi” ir pakalpojumi, ko sniedz datorizētās sistēmas, kuras satur informāciju par gaisa pārvadātāju grafikiem, p</w:t>
      </w:r>
      <w:r>
        <w:rPr>
          <w:noProof/>
        </w:rPr>
        <w:t>ieejamību, braukšanas maksām un noteikumiem, kurus izmantojot var veikt rezervēšanu vai izsniegt biļetes;</w:t>
      </w:r>
    </w:p>
    <w:p w:rsidR="003E022D" w:rsidRDefault="007D19D6">
      <w:pPr>
        <w:numPr>
          <w:ilvl w:val="1"/>
          <w:numId w:val="536"/>
        </w:numPr>
        <w:ind w:left="567" w:hanging="567"/>
        <w:rPr>
          <w:noProof/>
        </w:rPr>
      </w:pPr>
      <w:r>
        <w:rPr>
          <w:noProof/>
        </w:rPr>
        <w:t>“aptverts uzņēmums” ir uzņēmums Puses teritorijā, ko saskaņā ar h) punktu izveidojis otras Puses investors saskaņā ar piemērojamajiem tiesību aktiem u</w:t>
      </w:r>
      <w:r>
        <w:rPr>
          <w:noProof/>
        </w:rPr>
        <w:t>n kas pastāv dienā, kad stājas spēkā šis nolīgums, vai ir izveidots pēc tam;</w:t>
      </w:r>
    </w:p>
    <w:p w:rsidR="003E022D" w:rsidRDefault="007D19D6">
      <w:pPr>
        <w:numPr>
          <w:ilvl w:val="1"/>
          <w:numId w:val="536"/>
        </w:numPr>
        <w:ind w:left="567" w:hanging="567"/>
        <w:rPr>
          <w:noProof/>
        </w:rPr>
      </w:pPr>
      <w:r>
        <w:rPr>
          <w:noProof/>
        </w:rPr>
        <w:t>“pakalpojumu pārrobežu tirdzniecība” ir pakalpojuma sniegšana:</w:t>
      </w:r>
    </w:p>
    <w:p w:rsidR="003E022D" w:rsidRDefault="007D19D6">
      <w:pPr>
        <w:pStyle w:val="ListParagraph"/>
        <w:numPr>
          <w:ilvl w:val="1"/>
          <w:numId w:val="579"/>
        </w:numPr>
        <w:rPr>
          <w:rFonts w:cs="Arial"/>
          <w:noProof/>
        </w:rPr>
      </w:pPr>
      <w:r>
        <w:rPr>
          <w:noProof/>
        </w:rPr>
        <w:t xml:space="preserve">no vienas Puses teritorijas otras Puses teritorijā vai </w:t>
      </w:r>
    </w:p>
    <w:p w:rsidR="003E022D" w:rsidRDefault="007D19D6">
      <w:pPr>
        <w:pStyle w:val="ListParagraph"/>
        <w:numPr>
          <w:ilvl w:val="1"/>
          <w:numId w:val="579"/>
        </w:numPr>
        <w:rPr>
          <w:rFonts w:cs="Arial"/>
          <w:noProof/>
          <w:lang w:val="fr-BE"/>
        </w:rPr>
      </w:pPr>
      <w:r>
        <w:rPr>
          <w:noProof/>
          <w:lang w:val="fr-BE"/>
        </w:rPr>
        <w:t>vienas Puses teritorijā otras Puses pakalpojuma patērētājam;</w:t>
      </w:r>
    </w:p>
    <w:p w:rsidR="003E022D" w:rsidRDefault="007D19D6">
      <w:pPr>
        <w:numPr>
          <w:ilvl w:val="1"/>
          <w:numId w:val="536"/>
        </w:numPr>
        <w:ind w:left="567" w:hanging="567"/>
        <w:rPr>
          <w:rFonts w:cs="Arial"/>
          <w:noProof/>
          <w:lang w:val="fr-BE"/>
        </w:rPr>
      </w:pPr>
      <w:r>
        <w:rPr>
          <w:noProof/>
          <w:lang w:val="fr-BE"/>
        </w:rPr>
        <w:t>“saimnieciskā darbība” ir jebkura rūpnieciska, komerciāla vai profesionāla rakstura darbība vai amatnieku darbības, ieskaitot pakalpojumu sniegšanu, izņemot darbības, ko veic, īstenojot valsts pilnvaras;</w:t>
      </w:r>
    </w:p>
    <w:p w:rsidR="003E022D" w:rsidRDefault="007D19D6">
      <w:pPr>
        <w:numPr>
          <w:ilvl w:val="1"/>
          <w:numId w:val="536"/>
        </w:numPr>
        <w:ind w:left="567" w:hanging="567"/>
        <w:rPr>
          <w:noProof/>
          <w:lang w:val="fr-BE"/>
        </w:rPr>
      </w:pPr>
      <w:r>
        <w:rPr>
          <w:noProof/>
          <w:lang w:val="fr-BE"/>
        </w:rPr>
        <w:t>“uzņēmums” ir juridiska persona vai juridiskas pers</w:t>
      </w:r>
      <w:r>
        <w:rPr>
          <w:noProof/>
          <w:lang w:val="fr-BE"/>
        </w:rPr>
        <w:t xml:space="preserve">onas filiāle vai pārstāvniecība; </w:t>
      </w:r>
    </w:p>
    <w:p w:rsidR="003E022D" w:rsidRDefault="007D19D6">
      <w:pPr>
        <w:numPr>
          <w:ilvl w:val="1"/>
          <w:numId w:val="536"/>
        </w:numPr>
        <w:ind w:left="567" w:hanging="567"/>
        <w:rPr>
          <w:noProof/>
          <w:lang w:val="fr-BE"/>
        </w:rPr>
      </w:pPr>
      <w:r>
        <w:rPr>
          <w:noProof/>
          <w:lang w:val="fr-BE"/>
        </w:rPr>
        <w:t xml:space="preserve">“iedibināšana” ir juridiskas personas izveide vai iegūšana īpašumā, t. sk. ar līdzdalību pamatkapitālā, vai filiāles vai pārstāvniecības izveide Puses teritorijā ar nolūku izveidot vai uzturēt ilgstošas ekonomiskas </w:t>
      </w:r>
      <w:r>
        <w:rPr>
          <w:noProof/>
          <w:lang w:val="fr-BE"/>
        </w:rPr>
        <w:t>saiknes;</w:t>
      </w:r>
    </w:p>
    <w:p w:rsidR="003E022D" w:rsidRDefault="007D19D6">
      <w:pPr>
        <w:numPr>
          <w:ilvl w:val="1"/>
          <w:numId w:val="536"/>
        </w:numPr>
        <w:ind w:left="567" w:hanging="567"/>
        <w:rPr>
          <w:noProof/>
          <w:lang w:val="fr-BE"/>
        </w:rPr>
      </w:pPr>
      <w:r>
        <w:rPr>
          <w:noProof/>
          <w:lang w:val="fr-BE"/>
        </w:rPr>
        <w:t>“apkalpošana uz zemes” ir šādu pakalpojumu sniegšana par samaksu vai uz līguma pamata lidostā: aviosabiedrību pārstāvēšana, administrēšana un uzraudzība; pasažieru apkalpošana; bagāžas apstrāde; trapa pakalpojumi; gatavo ēdienu piegāde; gaisa kravu un past</w:t>
      </w:r>
      <w:r>
        <w:rPr>
          <w:noProof/>
          <w:lang w:val="fr-BE"/>
        </w:rPr>
        <w:t>a apstrāde; gaisa kuģu uzpilde ar degvielu; gaisa kuģa apkalpošana un tīrīšana; virszemes transports un lidojuma operācijas, apkalpju administrēšanu un lidojumu plānošana; apkalpošanā uz zemes neietilpst: pašpakalpojumi; drošības pakalpojumi; gaisa kuģu re</w:t>
      </w:r>
      <w:r>
        <w:rPr>
          <w:noProof/>
          <w:lang w:val="fr-BE"/>
        </w:rPr>
        <w:t xml:space="preserve">monts un apkope vai būtiskas centralizētas lidostas infrastruktūras, piemēram, atledošanas iekārtu, degvielas uzpildes sistēmu, bagāžas apstrādes sistēmu un noteiktas lidostas iekšējās transporta sistēmas pārvaldība vai darbība; </w:t>
      </w:r>
    </w:p>
    <w:p w:rsidR="003E022D" w:rsidRDefault="007D19D6">
      <w:pPr>
        <w:numPr>
          <w:ilvl w:val="1"/>
          <w:numId w:val="536"/>
        </w:numPr>
        <w:ind w:left="567" w:hanging="567"/>
        <w:rPr>
          <w:noProof/>
          <w:lang w:val="fr-BE"/>
        </w:rPr>
      </w:pPr>
      <w:r>
        <w:rPr>
          <w:noProof/>
          <w:lang w:val="fr-BE"/>
        </w:rPr>
        <w:t>“Puses investors” ir Puses</w:t>
      </w:r>
      <w:r>
        <w:rPr>
          <w:noProof/>
          <w:lang w:val="fr-BE"/>
        </w:rPr>
        <w:t xml:space="preserve"> jebkura fiziska vai juridiska persona, kas otras Puses teritorijā vēlas izveidot, izveido vai ir izveidojusi uzņēmumu saskaņā ar h) punktu; </w:t>
      </w:r>
    </w:p>
    <w:p w:rsidR="003E022D" w:rsidRDefault="007D19D6">
      <w:pPr>
        <w:numPr>
          <w:ilvl w:val="1"/>
          <w:numId w:val="536"/>
        </w:numPr>
        <w:ind w:left="567" w:hanging="567"/>
        <w:rPr>
          <w:noProof/>
        </w:rPr>
      </w:pPr>
      <w:r>
        <w:rPr>
          <w:noProof/>
        </w:rPr>
        <w:t>“Puses juridiska persona”</w:t>
      </w:r>
      <w:r>
        <w:rPr>
          <w:rStyle w:val="FootnoteReference"/>
          <w:rFonts w:cs="Arial"/>
          <w:bCs/>
          <w:noProof/>
        </w:rPr>
        <w:footnoteReference w:id="9"/>
      </w:r>
      <w:r>
        <w:rPr>
          <w:noProof/>
        </w:rPr>
        <w:t xml:space="preserve"> ir:</w:t>
      </w:r>
    </w:p>
    <w:p w:rsidR="003E022D" w:rsidRDefault="007D19D6">
      <w:pPr>
        <w:numPr>
          <w:ilvl w:val="2"/>
          <w:numId w:val="536"/>
        </w:numPr>
        <w:ind w:left="1276" w:hanging="567"/>
        <w:rPr>
          <w:noProof/>
        </w:rPr>
      </w:pPr>
      <w:r>
        <w:rPr>
          <w:noProof/>
        </w:rPr>
        <w:t xml:space="preserve">attiecībā uz Savienību: </w:t>
      </w:r>
    </w:p>
    <w:p w:rsidR="003E022D" w:rsidRDefault="007D19D6">
      <w:pPr>
        <w:spacing w:after="200" w:line="276" w:lineRule="auto"/>
        <w:ind w:left="2138" w:hanging="709"/>
        <w:rPr>
          <w:rFonts w:cs="Arial"/>
          <w:noProof/>
        </w:rPr>
      </w:pPr>
      <w:r>
        <w:rPr>
          <w:noProof/>
        </w:rPr>
        <w:t>A)</w:t>
      </w:r>
      <w:r>
        <w:rPr>
          <w:noProof/>
        </w:rPr>
        <w:tab/>
        <w:t>juridiska persona, kas izveidota vai organizēta saskaņā</w:t>
      </w:r>
      <w:r>
        <w:rPr>
          <w:noProof/>
        </w:rPr>
        <w:t xml:space="preserve"> ar Savienības vai vismaz vienas tās dalībvalsts tiesību aktiem un kas Savienības teritorijā veic būtisku uzņēmējdarbību, ko Savienība saskaņā ar savu paziņojumu PTO par Eiropas Kopienas dibināšanas līgumu (WT/REG39/1) saprot kā līdzvērtīgu Līguma par Eiro</w:t>
      </w:r>
      <w:r>
        <w:rPr>
          <w:noProof/>
        </w:rPr>
        <w:t xml:space="preserve">pas Savienības darbību (LESD) 54. pantā nostiprinātajam jēdzienam “faktiska un nepārtraukta saikne” ar dalībvalsts ekonomiku, un </w:t>
      </w:r>
    </w:p>
    <w:p w:rsidR="003E022D" w:rsidRDefault="007D19D6">
      <w:pPr>
        <w:spacing w:after="200" w:line="276" w:lineRule="auto"/>
        <w:ind w:left="2138" w:hanging="709"/>
        <w:rPr>
          <w:rFonts w:cs="Arial"/>
          <w:noProof/>
        </w:rPr>
      </w:pPr>
      <w:r>
        <w:rPr>
          <w:noProof/>
        </w:rPr>
        <w:t>B)</w:t>
      </w:r>
      <w:r>
        <w:rPr>
          <w:noProof/>
        </w:rPr>
        <w:tab/>
        <w:t>kuģošanas sabiedrības, kas izveidotas ārpus Savienības un ko kontrolē dalībvalsts fiziskas personas, kuru kuģi ir reģistrēt</w:t>
      </w:r>
      <w:r>
        <w:rPr>
          <w:noProof/>
        </w:rPr>
        <w:t xml:space="preserve">i dalībvalstī un kuģo ar tās karogu; </w:t>
      </w:r>
    </w:p>
    <w:p w:rsidR="003E022D" w:rsidRDefault="007D19D6">
      <w:pPr>
        <w:numPr>
          <w:ilvl w:val="2"/>
          <w:numId w:val="536"/>
        </w:numPr>
        <w:ind w:left="1276" w:hanging="567"/>
        <w:rPr>
          <w:rFonts w:cs="Arial"/>
          <w:noProof/>
        </w:rPr>
      </w:pPr>
      <w:r>
        <w:rPr>
          <w:noProof/>
        </w:rPr>
        <w:t xml:space="preserve">attiecībā uz Apvienoto Karalisti: </w:t>
      </w:r>
    </w:p>
    <w:p w:rsidR="003E022D" w:rsidRDefault="007D19D6">
      <w:pPr>
        <w:spacing w:after="200" w:line="276" w:lineRule="auto"/>
        <w:ind w:left="2138" w:hanging="709"/>
        <w:rPr>
          <w:rFonts w:cs="Arial"/>
          <w:noProof/>
        </w:rPr>
      </w:pPr>
      <w:r>
        <w:rPr>
          <w:noProof/>
        </w:rPr>
        <w:t>A)</w:t>
      </w:r>
      <w:r>
        <w:rPr>
          <w:noProof/>
        </w:rPr>
        <w:tab/>
        <w:t xml:space="preserve">juridiska persona, kas izveidota vai organizēta saskaņā ar Apvienotās Karalistes tiesību aktiem un iesaistīta būtiskā uzņēmējdarbībā Apvienotās Karalistes teritorijā, un </w:t>
      </w:r>
    </w:p>
    <w:p w:rsidR="003E022D" w:rsidRDefault="007D19D6">
      <w:pPr>
        <w:spacing w:after="200" w:line="276" w:lineRule="auto"/>
        <w:ind w:left="2138" w:hanging="709"/>
        <w:rPr>
          <w:rFonts w:cs="Arial"/>
          <w:noProof/>
        </w:rPr>
      </w:pPr>
      <w:r>
        <w:rPr>
          <w:noProof/>
        </w:rPr>
        <w:t>B)</w:t>
      </w:r>
      <w:r>
        <w:rPr>
          <w:noProof/>
        </w:rPr>
        <w:tab/>
        <w:t>kuģoša</w:t>
      </w:r>
      <w:r>
        <w:rPr>
          <w:noProof/>
        </w:rPr>
        <w:t>nas sabiedrības, kas izveidotas ārpus Apvienotās Karalistes un ko kontrolē Apvienotās Karalistes fiziskas personas, kuru kuģi ir reģistrēti Apvienotajā Karalistē un kuģo ar tās karogu;</w:t>
      </w:r>
    </w:p>
    <w:p w:rsidR="003E022D" w:rsidRDefault="007D19D6">
      <w:pPr>
        <w:numPr>
          <w:ilvl w:val="1"/>
          <w:numId w:val="536"/>
        </w:numPr>
        <w:ind w:left="567" w:hanging="567"/>
        <w:rPr>
          <w:rFonts w:cs="Arial"/>
          <w:noProof/>
        </w:rPr>
      </w:pPr>
      <w:r>
        <w:rPr>
          <w:noProof/>
        </w:rPr>
        <w:t>“darbība” ir uzņēmuma vadība, pārvaldība, uzturēšana, izmantošana, turē</w:t>
      </w:r>
      <w:r>
        <w:rPr>
          <w:noProof/>
        </w:rPr>
        <w:t>šana īpašumā vai pārdošana vai cita veida atsavināšana;</w:t>
      </w:r>
    </w:p>
    <w:p w:rsidR="003E022D" w:rsidRDefault="007D19D6">
      <w:pPr>
        <w:numPr>
          <w:ilvl w:val="1"/>
          <w:numId w:val="536"/>
        </w:numPr>
        <w:ind w:left="567" w:hanging="567"/>
        <w:rPr>
          <w:rFonts w:cs="Arial"/>
          <w:noProof/>
        </w:rPr>
      </w:pPr>
      <w:r>
        <w:rPr>
          <w:noProof/>
        </w:rPr>
        <w:t>“profesionālās kvalifikācijas” ir kvalifikācija, ko apliecina kvalifikāciju apliecinošs dokuments, profesionālā pieredze vai cits kompetences apliecinājums;</w:t>
      </w:r>
    </w:p>
    <w:p w:rsidR="003E022D" w:rsidRDefault="007D19D6">
      <w:pPr>
        <w:numPr>
          <w:ilvl w:val="1"/>
          <w:numId w:val="536"/>
        </w:numPr>
        <w:ind w:left="567" w:hanging="567"/>
        <w:rPr>
          <w:rFonts w:cs="Arial"/>
          <w:noProof/>
        </w:rPr>
      </w:pPr>
      <w:r>
        <w:rPr>
          <w:noProof/>
        </w:rPr>
        <w:t>“gaisa pārvadājumu pakalpojumu pārdošana un</w:t>
      </w:r>
      <w:r>
        <w:rPr>
          <w:noProof/>
        </w:rPr>
        <w:t xml:space="preserve"> tirdzniecība” ir iespējas attiecīgajam gaisa pārvadātājam pārdot un brīvi tirgot savus gaisa pārvadājumu pakalpojumus, t. sk. visi tādi tirdzniecības aspekti kā, piemēram, tirgus izpēte, reklāma un izplatīšana, bet neietverot ne cenu noteikšanu par gaisa </w:t>
      </w:r>
      <w:r>
        <w:rPr>
          <w:noProof/>
        </w:rPr>
        <w:t>pārvadājumu pakalpojumiem, ne piemērojamos nosacījumus;</w:t>
      </w:r>
    </w:p>
    <w:p w:rsidR="003E022D" w:rsidRDefault="007D19D6">
      <w:pPr>
        <w:numPr>
          <w:ilvl w:val="1"/>
          <w:numId w:val="536"/>
        </w:numPr>
        <w:ind w:left="567" w:hanging="567"/>
        <w:rPr>
          <w:rFonts w:cs="Arial"/>
          <w:noProof/>
        </w:rPr>
      </w:pPr>
      <w:r>
        <w:rPr>
          <w:noProof/>
        </w:rPr>
        <w:t xml:space="preserve">“pakalpojums” ir jebkurš pakalpojums jebkurā nozarē, izņemot pakalpojumus, ko sniedz, īstenojot valsts pilnvaras; </w:t>
      </w:r>
    </w:p>
    <w:p w:rsidR="003E022D" w:rsidRDefault="007D19D6">
      <w:pPr>
        <w:numPr>
          <w:ilvl w:val="1"/>
          <w:numId w:val="536"/>
        </w:numPr>
        <w:ind w:left="567" w:hanging="567"/>
        <w:rPr>
          <w:rFonts w:cs="Arial"/>
          <w:noProof/>
        </w:rPr>
      </w:pPr>
      <w:r>
        <w:rPr>
          <w:noProof/>
        </w:rPr>
        <w:t>“pakalpojumi, ko sniedz, īstenojot valsts pilnvaras” ir jebkurš pakalpojums, ko nesni</w:t>
      </w:r>
      <w:r>
        <w:rPr>
          <w:noProof/>
        </w:rPr>
        <w:t>edz ne uz komerciāla pamata, ne konkurējot ar vienu vai vairākiem pakalpojumu sniedzējiem;</w:t>
      </w:r>
    </w:p>
    <w:p w:rsidR="003E022D" w:rsidRDefault="007D19D6">
      <w:pPr>
        <w:numPr>
          <w:ilvl w:val="1"/>
          <w:numId w:val="536"/>
        </w:numPr>
        <w:ind w:left="567" w:hanging="567"/>
        <w:rPr>
          <w:rFonts w:cs="Arial"/>
          <w:noProof/>
        </w:rPr>
      </w:pPr>
      <w:r>
        <w:rPr>
          <w:noProof/>
        </w:rPr>
        <w:t xml:space="preserve">“pakalpojuma sniedzējs” ir jebkura fiziska vai juridiska persona, kas vēlas sniegt vai sniedz pakalpojumu; </w:t>
      </w:r>
    </w:p>
    <w:p w:rsidR="003E022D" w:rsidRDefault="007D19D6">
      <w:pPr>
        <w:numPr>
          <w:ilvl w:val="1"/>
          <w:numId w:val="536"/>
        </w:numPr>
        <w:ind w:left="567" w:hanging="567"/>
        <w:rPr>
          <w:rFonts w:cs="Arial"/>
          <w:noProof/>
        </w:rPr>
      </w:pPr>
      <w:r>
        <w:rPr>
          <w:noProof/>
        </w:rPr>
        <w:t>“Puses pakalpojumu sniedzējs” ir Puses jebkura fiziska va</w:t>
      </w:r>
      <w:r>
        <w:rPr>
          <w:noProof/>
        </w:rPr>
        <w:t>i juridiska persona, kas vēlas sniegt vai sniedz pakalpojumu.</w:t>
      </w:r>
    </w:p>
    <w:p w:rsidR="003E022D" w:rsidRDefault="007D19D6">
      <w:pPr>
        <w:pStyle w:val="Article"/>
        <w:rPr>
          <w:noProof/>
        </w:rPr>
      </w:pPr>
      <w:r>
        <w:rPr>
          <w:noProof/>
        </w:rPr>
        <w:t>SERVIN.1.3. pants. Priekšrocību liegšana</w:t>
      </w:r>
    </w:p>
    <w:p w:rsidR="003E022D" w:rsidRDefault="007D19D6">
      <w:pPr>
        <w:numPr>
          <w:ilvl w:val="0"/>
          <w:numId w:val="580"/>
        </w:numPr>
        <w:ind w:left="0" w:firstLine="0"/>
        <w:rPr>
          <w:rFonts w:cs="Arial"/>
          <w:noProof/>
          <w:color w:val="0070C0"/>
        </w:rPr>
      </w:pPr>
      <w:r>
        <w:rPr>
          <w:noProof/>
        </w:rPr>
        <w:t>Puse var liegt šīs sadaļas un šā temata IV sadaļas [Kapitāla aprite, maksājumi, pārvedumi un pagaidu aizsardzības pasākumi] priekšrocības otras Puses inv</w:t>
      </w:r>
      <w:r>
        <w:rPr>
          <w:noProof/>
        </w:rPr>
        <w:t>estoram vai pakalpojumu sniedzējam vai aptvertam uzņēmumam, ja Puse, kas tās liedz, pieņem vai patur spēkā pasākumus, kuri saistīti ar starptautiskā miera un drošības uzturēšanu, ieskaitot cilvēktiesību aizsardzību, un kuri:</w:t>
      </w:r>
    </w:p>
    <w:p w:rsidR="003E022D" w:rsidRDefault="007D19D6">
      <w:pPr>
        <w:numPr>
          <w:ilvl w:val="1"/>
          <w:numId w:val="580"/>
        </w:numPr>
        <w:ind w:left="0" w:firstLine="0"/>
        <w:rPr>
          <w:rFonts w:cs="Arial"/>
          <w:noProof/>
        </w:rPr>
      </w:pPr>
      <w:r>
        <w:rPr>
          <w:noProof/>
        </w:rPr>
        <w:t>aizliedz darījumus ar minēto in</w:t>
      </w:r>
      <w:r>
        <w:rPr>
          <w:noProof/>
        </w:rPr>
        <w:t>vestoru, pakalpojumu sniedzēju vai aptverto uzņēmumu, vai</w:t>
      </w:r>
    </w:p>
    <w:p w:rsidR="003E022D" w:rsidRDefault="007D19D6">
      <w:pPr>
        <w:numPr>
          <w:ilvl w:val="1"/>
          <w:numId w:val="580"/>
        </w:numPr>
        <w:ind w:left="0" w:firstLine="0"/>
        <w:rPr>
          <w:rFonts w:cs="Arial"/>
          <w:noProof/>
        </w:rPr>
      </w:pPr>
      <w:r>
        <w:rPr>
          <w:noProof/>
        </w:rPr>
        <w:t>tiktu pārkāpti vai apieti, ja šīs sadaļas un šā temata IV sadaļas [Kapitāla aprite, maksājumi, pārvedumi un pagaidu aizsardzības pasākumi] priekšrocības būtu piešķirtas minētajam investoram, pakalpo</w:t>
      </w:r>
      <w:r>
        <w:rPr>
          <w:noProof/>
        </w:rPr>
        <w:t>jumu sniedzējam vai aptvertam uzņēmumam, ieskaitot gadījumus, kad pasākumi aizliedz darījumus ar fizisku vai juridisku personu, kurai pieder kāds no tiem vai kura tos kontrolē.</w:t>
      </w:r>
    </w:p>
    <w:p w:rsidR="003E022D" w:rsidRDefault="007D19D6">
      <w:pPr>
        <w:numPr>
          <w:ilvl w:val="0"/>
          <w:numId w:val="580"/>
        </w:numPr>
        <w:ind w:left="0" w:firstLine="0"/>
        <w:rPr>
          <w:rFonts w:cs="Calibri"/>
          <w:noProof/>
        </w:rPr>
      </w:pPr>
      <w:r>
        <w:rPr>
          <w:noProof/>
        </w:rPr>
        <w:t>Lielākai noteiktībai – 1. punktu piemēro šā temata IV sadaļai [Kapitāla aprite,</w:t>
      </w:r>
      <w:r>
        <w:rPr>
          <w:noProof/>
        </w:rPr>
        <w:t xml:space="preserve"> maksājumi, pārvedumi un pagaidu aizsardzības pasākumi], ciktāl tas attiecas uz pakalpojumiem vai investīcijām, attiecībā uz kurām Puse ir liegusi šajā sadaļā paredzētās priekšrocības.</w:t>
      </w:r>
    </w:p>
    <w:p w:rsidR="003E022D" w:rsidRDefault="007D19D6">
      <w:pPr>
        <w:pStyle w:val="Article"/>
        <w:rPr>
          <w:noProof/>
        </w:rPr>
      </w:pPr>
      <w:r>
        <w:rPr>
          <w:noProof/>
        </w:rPr>
        <w:t>SERVIN.1.4. pants. Pārskatīšana</w:t>
      </w:r>
    </w:p>
    <w:p w:rsidR="003E022D" w:rsidRDefault="007D19D6">
      <w:pPr>
        <w:numPr>
          <w:ilvl w:val="0"/>
          <w:numId w:val="581"/>
        </w:numPr>
        <w:ind w:left="0" w:firstLine="0"/>
        <w:rPr>
          <w:rFonts w:eastAsia="Times New Roman" w:cs="Arial"/>
          <w:noProof/>
        </w:rPr>
      </w:pPr>
      <w:r>
        <w:rPr>
          <w:noProof/>
        </w:rPr>
        <w:t xml:space="preserve">Nolūkā ieviest iespējamus uzlabojumus </w:t>
      </w:r>
      <w:r>
        <w:rPr>
          <w:noProof/>
        </w:rPr>
        <w:t>šīs sadaļas noteikumos un saskaņā ar Pušu saistībām starptautisko nolīgumu ietvaros Puses saskaņā ar FINPROV.3. pantu [Pārskatīšana] pārskata savu tiesisko regulējumu attiecībā uz pakalpojumu tirdzniecību un investīcijām, t. sk. šo nolīgumu.</w:t>
      </w:r>
    </w:p>
    <w:p w:rsidR="003E022D" w:rsidRDefault="007D19D6">
      <w:pPr>
        <w:numPr>
          <w:ilvl w:val="0"/>
          <w:numId w:val="581"/>
        </w:numPr>
        <w:ind w:left="0" w:firstLine="0"/>
        <w:rPr>
          <w:rFonts w:cs="Arial"/>
          <w:noProof/>
        </w:rPr>
      </w:pPr>
      <w:r>
        <w:rPr>
          <w:noProof/>
        </w:rPr>
        <w:t>Nolūkā vienoti</w:t>
      </w:r>
      <w:r>
        <w:rPr>
          <w:noProof/>
        </w:rPr>
        <w:t>es par iespējamiem uzlabojumiem abpusējās interesēs Puses vajadzības gadījumā cenšas pārskatīt neatbilstošus pasākumus un atrunas, kas izklāstītas SERVIN-1. pielikumā [Esošie pasākumi], SERVIN-2. pielikumā [Nākotnes pasākumi], SERVIN-3. pielikumā [Viesdarb</w:t>
      </w:r>
      <w:r>
        <w:rPr>
          <w:noProof/>
        </w:rPr>
        <w:t>inieki uzņēmējdarbības veikšanas nolūkos, uzņēmuma ietvaros pārcelti darbinieki un īstermiņa viesdarbinieki] un SERVIN-4. pielikumā [Līgumpakalpojumu sniedzēji un neatkarīgie speciālisti], un īstermiņa viesdarbinieku darbības, kas izklāstītas SERVIN-3. pie</w:t>
      </w:r>
      <w:r>
        <w:rPr>
          <w:noProof/>
        </w:rPr>
        <w:t xml:space="preserve">likumā [Viesdarbinieki uzņēmējdarbības veikšanas nolūkos, uzņēmuma ietvaros pārcelti darbinieki un īstermiņa viesdarbinieki]. </w:t>
      </w:r>
    </w:p>
    <w:p w:rsidR="003E022D" w:rsidRDefault="007D19D6">
      <w:pPr>
        <w:rPr>
          <w:rFonts w:cs="Arial"/>
          <w:noProof/>
        </w:rPr>
      </w:pPr>
      <w:r>
        <w:rPr>
          <w:noProof/>
        </w:rPr>
        <w:t>3.</w:t>
      </w:r>
      <w:r>
        <w:rPr>
          <w:noProof/>
        </w:rPr>
        <w:tab/>
        <w:t>Šo pantu nepiemēro finanšu pakalpojumiem.</w:t>
      </w:r>
    </w:p>
    <w:p w:rsidR="003E022D" w:rsidRDefault="007D19D6">
      <w:pPr>
        <w:pStyle w:val="Chapter"/>
        <w:rPr>
          <w:rFonts w:cs="Arial"/>
          <w:noProof/>
        </w:rPr>
      </w:pPr>
      <w:r>
        <w:rPr>
          <w:noProof/>
        </w:rPr>
        <w:t>2. nodaļa. Investīciju liberalizācija</w:t>
      </w:r>
    </w:p>
    <w:p w:rsidR="003E022D" w:rsidRDefault="007D19D6">
      <w:pPr>
        <w:pStyle w:val="Article"/>
        <w:rPr>
          <w:noProof/>
        </w:rPr>
      </w:pPr>
      <w:r>
        <w:rPr>
          <w:noProof/>
        </w:rPr>
        <w:t>SERVIN.2.1. pants. Darbības joma</w:t>
      </w:r>
    </w:p>
    <w:p w:rsidR="003E022D" w:rsidRDefault="007D19D6">
      <w:pPr>
        <w:ind w:left="57" w:right="57"/>
        <w:mirrorIndents/>
        <w:textAlignment w:val="baseline"/>
        <w:rPr>
          <w:rFonts w:eastAsia="Times New Roman" w:cs="Arial"/>
          <w:noProof/>
        </w:rPr>
      </w:pPr>
      <w:r>
        <w:rPr>
          <w:noProof/>
        </w:rPr>
        <w:t>Šo nodaļu pie</w:t>
      </w:r>
      <w:r>
        <w:rPr>
          <w:noProof/>
        </w:rPr>
        <w:t>mēro Puses pasākumiem, kas skar uzņēmuma iedibināšanu saimnieciskās darbības veikšanai un šāda uzņēmuma darbību, ko veic:</w:t>
      </w:r>
    </w:p>
    <w:p w:rsidR="003E022D" w:rsidRDefault="007D19D6">
      <w:pPr>
        <w:numPr>
          <w:ilvl w:val="1"/>
          <w:numId w:val="580"/>
        </w:numPr>
        <w:ind w:left="0" w:firstLine="0"/>
        <w:rPr>
          <w:rFonts w:eastAsia="Times New Roman" w:cs="Arial"/>
          <w:noProof/>
        </w:rPr>
      </w:pPr>
      <w:r>
        <w:rPr>
          <w:noProof/>
        </w:rPr>
        <w:t>otras Puses investori;</w:t>
      </w:r>
    </w:p>
    <w:p w:rsidR="003E022D" w:rsidRDefault="007D19D6">
      <w:pPr>
        <w:numPr>
          <w:ilvl w:val="1"/>
          <w:numId w:val="580"/>
        </w:numPr>
        <w:ind w:left="0" w:firstLine="0"/>
        <w:rPr>
          <w:rFonts w:eastAsia="Times New Roman" w:cs="Arial"/>
          <w:noProof/>
        </w:rPr>
      </w:pPr>
      <w:r>
        <w:rPr>
          <w:noProof/>
        </w:rPr>
        <w:t>aptvertie uzņēmumi un</w:t>
      </w:r>
    </w:p>
    <w:p w:rsidR="003E022D" w:rsidRDefault="007D19D6">
      <w:pPr>
        <w:numPr>
          <w:ilvl w:val="1"/>
          <w:numId w:val="580"/>
        </w:numPr>
        <w:ind w:left="0" w:firstLine="0"/>
        <w:rPr>
          <w:rFonts w:eastAsia="Times New Roman" w:cs="Arial"/>
          <w:noProof/>
        </w:rPr>
      </w:pPr>
      <w:r>
        <w:rPr>
          <w:noProof/>
        </w:rPr>
        <w:t>SERVIN.2.6. panta [Veiktspējas prasības] nolūkos – jebkurš uzņēmums Puses teritorijā, kur</w:t>
      </w:r>
      <w:r>
        <w:rPr>
          <w:noProof/>
        </w:rPr>
        <w:t>š pieņem vai patur spēkā pasākumu.</w:t>
      </w:r>
    </w:p>
    <w:p w:rsidR="003E022D" w:rsidRDefault="007D19D6">
      <w:pPr>
        <w:pStyle w:val="Article"/>
        <w:rPr>
          <w:noProof/>
        </w:rPr>
      </w:pPr>
      <w:r>
        <w:rPr>
          <w:noProof/>
        </w:rPr>
        <w:t>SERVIN.2.2. pants. Piekļuve tirgum</w:t>
      </w:r>
    </w:p>
    <w:p w:rsidR="003E022D" w:rsidRDefault="007D19D6">
      <w:pPr>
        <w:rPr>
          <w:noProof/>
        </w:rPr>
      </w:pPr>
      <w:r>
        <w:rPr>
          <w:noProof/>
        </w:rPr>
        <w:t xml:space="preserve">Attiecībā uz uzņēmuma iedibināšanu, ko veic otras Puses investors vai aptvertais uzņēmums, vai aptvertā uzņēmuma darbību Puse visā tās teritorijā vai pēc teritoriālā apakšiedalījuma </w:t>
      </w:r>
      <w:r>
        <w:rPr>
          <w:noProof/>
        </w:rPr>
        <w:t>nepieņem vai nepatur spēkā pasākumus, kuri: </w:t>
      </w:r>
    </w:p>
    <w:p w:rsidR="003E022D" w:rsidRDefault="007D19D6">
      <w:pPr>
        <w:numPr>
          <w:ilvl w:val="1"/>
          <w:numId w:val="582"/>
        </w:numPr>
        <w:ind w:left="567" w:hanging="567"/>
        <w:rPr>
          <w:rFonts w:eastAsia="Times New Roman" w:cs="Arial"/>
          <w:noProof/>
        </w:rPr>
      </w:pPr>
      <w:r>
        <w:rPr>
          <w:noProof/>
        </w:rPr>
        <w:t>nosaka ierobežojumus: </w:t>
      </w:r>
    </w:p>
    <w:p w:rsidR="003E022D" w:rsidRDefault="007D19D6">
      <w:pPr>
        <w:ind w:left="1276" w:hanging="567"/>
        <w:rPr>
          <w:rFonts w:eastAsia="Times New Roman" w:cs="Arial"/>
          <w:noProof/>
        </w:rPr>
      </w:pPr>
      <w:r>
        <w:rPr>
          <w:noProof/>
        </w:rPr>
        <w:t>i)</w:t>
      </w:r>
      <w:r>
        <w:rPr>
          <w:noProof/>
        </w:rPr>
        <w:tab/>
        <w:t xml:space="preserve">to uzņēmumu skaitam, kas var veikt konkrētu saimniecisko darbību, skaitlisku kvotu, monopolu, ekskluzīvu tiesību vai ekonomisko vajadzību pārbaudes prasību veidā; </w:t>
      </w:r>
    </w:p>
    <w:p w:rsidR="003E022D" w:rsidRDefault="007D19D6">
      <w:pPr>
        <w:ind w:left="1276" w:hanging="567"/>
        <w:rPr>
          <w:rFonts w:eastAsia="Times New Roman" w:cs="Arial"/>
          <w:noProof/>
        </w:rPr>
      </w:pPr>
      <w:r>
        <w:rPr>
          <w:noProof/>
        </w:rPr>
        <w:t>ii)</w:t>
      </w:r>
      <w:r>
        <w:rPr>
          <w:noProof/>
        </w:rPr>
        <w:tab/>
        <w:t>darījumu vai aktī</w:t>
      </w:r>
      <w:r>
        <w:rPr>
          <w:noProof/>
        </w:rPr>
        <w:t xml:space="preserve">vu kopējai vērtībai skaitlisku kvotu vai ekonomisko vajadzību pārbaudes prasību veidā; </w:t>
      </w:r>
    </w:p>
    <w:p w:rsidR="003E022D" w:rsidRDefault="007D19D6">
      <w:pPr>
        <w:ind w:left="1276" w:hanging="567"/>
        <w:rPr>
          <w:rFonts w:eastAsia="Times New Roman" w:cs="Arial"/>
          <w:noProof/>
        </w:rPr>
      </w:pPr>
      <w:r>
        <w:rPr>
          <w:noProof/>
        </w:rPr>
        <w:t>iii)</w:t>
      </w:r>
      <w:r>
        <w:rPr>
          <w:noProof/>
        </w:rPr>
        <w:tab/>
        <w:t>darījumu kopskaitam vai sniegto pakalpojumu kopējam daudzumam, kas izteikti noteiktās skaitliskās vienībās kvotu vai ekonomisko vajadzību pārbaudes prasību veidā</w:t>
      </w:r>
      <w:r>
        <w:rPr>
          <w:rStyle w:val="FootnoteReference"/>
          <w:rFonts w:eastAsia="Times New Roman" w:cs="Arial"/>
          <w:noProof/>
          <w:lang w:eastAsia="en-GB"/>
        </w:rPr>
        <w:footnoteReference w:id="10"/>
      </w:r>
      <w:r>
        <w:rPr>
          <w:rStyle w:val="FootnoteReference"/>
          <w:rFonts w:eastAsia="Times New Roman" w:cs="Arial"/>
          <w:noProof/>
          <w:lang w:eastAsia="en-GB"/>
        </w:rPr>
        <w:footnoteReference w:id="11"/>
      </w:r>
      <w:r>
        <w:rPr>
          <w:noProof/>
        </w:rPr>
        <w:t>;</w:t>
      </w:r>
    </w:p>
    <w:p w:rsidR="003E022D" w:rsidRDefault="007D19D6">
      <w:pPr>
        <w:ind w:left="1276" w:hanging="567"/>
        <w:rPr>
          <w:rFonts w:eastAsia="Times New Roman" w:cs="Arial"/>
          <w:noProof/>
        </w:rPr>
      </w:pPr>
      <w:r>
        <w:rPr>
          <w:noProof/>
        </w:rPr>
        <w:t>iv)</w:t>
      </w:r>
      <w:r>
        <w:rPr>
          <w:noProof/>
        </w:rPr>
        <w:tab/>
        <w:t xml:space="preserve">ārvalstu kapitāla līdzdalībai, kas izpaužas kā ārvalstu akciju daļas vai atsevišķu vai kopējo ārvalstu investīciju maksimālās procentuālās daļas limits, vai </w:t>
      </w:r>
    </w:p>
    <w:p w:rsidR="003E022D" w:rsidRDefault="007D19D6">
      <w:pPr>
        <w:ind w:left="1276" w:hanging="567"/>
        <w:rPr>
          <w:rFonts w:eastAsia="Times New Roman" w:cs="Arial"/>
          <w:noProof/>
        </w:rPr>
      </w:pPr>
      <w:r>
        <w:rPr>
          <w:noProof/>
        </w:rPr>
        <w:t>v)</w:t>
      </w:r>
      <w:r>
        <w:rPr>
          <w:noProof/>
        </w:rPr>
        <w:tab/>
        <w:t>to fizisko personu kopskaitam, kuras var nodarbināt konkrētā nozarē vai kuras uzņēmums va</w:t>
      </w:r>
      <w:r>
        <w:rPr>
          <w:noProof/>
        </w:rPr>
        <w:t>r nodarbināt un kuras ir nepieciešamas saimnieciskās darbības veikšanai un tieši saistītas ar to, izsakot skaitlisku kvotu vai ekonomisko vajadzību pārbaudes prasību veidā, vai</w:t>
      </w:r>
    </w:p>
    <w:p w:rsidR="003E022D" w:rsidRDefault="007D19D6">
      <w:pPr>
        <w:numPr>
          <w:ilvl w:val="1"/>
          <w:numId w:val="582"/>
        </w:numPr>
        <w:ind w:left="567" w:hanging="567"/>
        <w:rPr>
          <w:rFonts w:eastAsia="Times New Roman" w:cs="Arial"/>
          <w:noProof/>
        </w:rPr>
      </w:pPr>
      <w:r>
        <w:rPr>
          <w:noProof/>
        </w:rPr>
        <w:t>ierobežo vai prasa konkrētus tiesību subjektu vai kopuzņēmumu veidus, ar kuru s</w:t>
      </w:r>
      <w:r>
        <w:rPr>
          <w:noProof/>
        </w:rPr>
        <w:t>tarpniecību otras Puses investors var veikt saimniecisko darbību. </w:t>
      </w:r>
    </w:p>
    <w:p w:rsidR="003E022D" w:rsidRDefault="007D19D6">
      <w:pPr>
        <w:pStyle w:val="Article"/>
        <w:rPr>
          <w:noProof/>
        </w:rPr>
      </w:pPr>
      <w:r>
        <w:rPr>
          <w:noProof/>
        </w:rPr>
        <w:t>SERVIN.2.3. pants. Valsts režīms</w:t>
      </w:r>
    </w:p>
    <w:p w:rsidR="003E022D" w:rsidRDefault="007D19D6">
      <w:pPr>
        <w:numPr>
          <w:ilvl w:val="0"/>
          <w:numId w:val="583"/>
        </w:numPr>
        <w:ind w:left="0" w:firstLine="0"/>
        <w:rPr>
          <w:rFonts w:eastAsia="Times New Roman" w:cs="Arial"/>
          <w:noProof/>
        </w:rPr>
      </w:pPr>
      <w:r>
        <w:rPr>
          <w:noProof/>
        </w:rPr>
        <w:t xml:space="preserve">Katra Puse piešķir otras Puses investoriem un aptvertiem uzņēmumiem ne mazāk labvēlīgu režīmu par to, ko tā līdzīgās situācijās piešķir saviem investoriem </w:t>
      </w:r>
      <w:r>
        <w:rPr>
          <w:noProof/>
        </w:rPr>
        <w:t>un viņu uzņēmumiem attiecībā uz viņu iedibināšanu un saimnieciskās darbības veikšanu Puses teritorijā. </w:t>
      </w:r>
    </w:p>
    <w:p w:rsidR="003E022D" w:rsidRDefault="007D19D6">
      <w:pPr>
        <w:numPr>
          <w:ilvl w:val="0"/>
          <w:numId w:val="583"/>
        </w:numPr>
        <w:ind w:left="0" w:firstLine="0"/>
        <w:rPr>
          <w:rFonts w:eastAsia="Times New Roman" w:cs="Arial"/>
          <w:noProof/>
        </w:rPr>
      </w:pPr>
      <w:r>
        <w:rPr>
          <w:noProof/>
        </w:rPr>
        <w:t>Režīms, ko Puse piešķir saskaņā ar 1. punktu, nozīmē –</w:t>
      </w:r>
    </w:p>
    <w:p w:rsidR="003E022D" w:rsidRDefault="007D19D6">
      <w:pPr>
        <w:numPr>
          <w:ilvl w:val="1"/>
          <w:numId w:val="584"/>
        </w:numPr>
        <w:ind w:left="567" w:hanging="567"/>
        <w:rPr>
          <w:rFonts w:eastAsia="Times New Roman" w:cs="Arial"/>
          <w:noProof/>
        </w:rPr>
      </w:pPr>
      <w:r>
        <w:rPr>
          <w:noProof/>
        </w:rPr>
        <w:t xml:space="preserve">attiecībā uz Apvienotās Karalistes reģionālo vai vietējo pārvaldības līmeni – ne mazāk labvēlīgu </w:t>
      </w:r>
      <w:r>
        <w:rPr>
          <w:noProof/>
        </w:rPr>
        <w:t>režīmu kā lielākās labvēlības režīmu, ko līdzīgās situācijās minētajā pārvaldības līmenī piešķir Apvienotās Karalistes investoriem un viņu uzņēmumiem Puses teritorijā,</w:t>
      </w:r>
      <w:r>
        <w:rPr>
          <w:noProof/>
          <w:color w:val="FF0000"/>
        </w:rPr>
        <w:t xml:space="preserve"> </w:t>
      </w:r>
      <w:r>
        <w:rPr>
          <w:noProof/>
        </w:rPr>
        <w:t>un</w:t>
      </w:r>
    </w:p>
    <w:p w:rsidR="003E022D" w:rsidRDefault="007D19D6">
      <w:pPr>
        <w:numPr>
          <w:ilvl w:val="1"/>
          <w:numId w:val="584"/>
        </w:numPr>
        <w:ind w:left="567" w:hanging="567"/>
        <w:rPr>
          <w:rFonts w:eastAsia="Times New Roman" w:cs="Arial"/>
          <w:noProof/>
        </w:rPr>
      </w:pPr>
      <w:r>
        <w:rPr>
          <w:noProof/>
        </w:rPr>
        <w:t xml:space="preserve">attiecībā uz kāda līmeņa valdību dalībvalstī – ne mazāk labvēlīgu režīmu kā lielākās </w:t>
      </w:r>
      <w:r>
        <w:rPr>
          <w:noProof/>
        </w:rPr>
        <w:t>labvēlības režīmu, ko līdzīgās situācijās minētā valdība piešķir minētās dalībvalsts investoriem un viņu uzņēmumiem Puses teritorijā.</w:t>
      </w:r>
    </w:p>
    <w:p w:rsidR="003E022D" w:rsidRDefault="007D19D6">
      <w:pPr>
        <w:pStyle w:val="Article"/>
        <w:rPr>
          <w:noProof/>
        </w:rPr>
      </w:pPr>
      <w:r>
        <w:rPr>
          <w:noProof/>
        </w:rPr>
        <w:t>SERVIN.2.4. pants. Lielākās labvēlības režīms</w:t>
      </w:r>
    </w:p>
    <w:p w:rsidR="003E022D" w:rsidRDefault="007D19D6">
      <w:pPr>
        <w:numPr>
          <w:ilvl w:val="0"/>
          <w:numId w:val="585"/>
        </w:numPr>
        <w:ind w:left="0" w:firstLine="0"/>
        <w:rPr>
          <w:rFonts w:eastAsia="Times New Roman" w:cs="Arial"/>
          <w:i/>
          <w:iCs/>
          <w:noProof/>
        </w:rPr>
      </w:pPr>
      <w:r>
        <w:rPr>
          <w:noProof/>
        </w:rPr>
        <w:t>Katra Puse piešķir otras Puses investoriem un aptvertiem uzņēmumiem ne mazāk</w:t>
      </w:r>
      <w:r>
        <w:rPr>
          <w:noProof/>
        </w:rPr>
        <w:t xml:space="preserve"> labvēlīgu režīmu par to, ko tā līdzīgās situācijās piešķir trešās valsts investoriem un viņu uzņēmumiem attiecībā uz uzņēmuma izveidi Puses teritorijā.</w:t>
      </w:r>
    </w:p>
    <w:p w:rsidR="003E022D" w:rsidRDefault="007D19D6">
      <w:pPr>
        <w:numPr>
          <w:ilvl w:val="0"/>
          <w:numId w:val="585"/>
        </w:numPr>
        <w:ind w:left="0" w:firstLine="0"/>
        <w:rPr>
          <w:rFonts w:eastAsia="Times New Roman" w:cs="Arial"/>
          <w:i/>
          <w:iCs/>
          <w:noProof/>
        </w:rPr>
      </w:pPr>
      <w:r>
        <w:rPr>
          <w:noProof/>
        </w:rPr>
        <w:t>Katra Puse piešķir otras Puses investoriem un aptvertiem uzņēmumiem ne mazāk labvēlīgu režīmu par to, k</w:t>
      </w:r>
      <w:r>
        <w:rPr>
          <w:noProof/>
        </w:rPr>
        <w:t>o tā līdzīgās situācijās piešķir trešās valsts investoriem un viņu uzņēmumiem attiecībā uz saimnieciskās darbības veikšanu Puses teritorijā.</w:t>
      </w:r>
    </w:p>
    <w:p w:rsidR="003E022D" w:rsidRDefault="007D19D6">
      <w:pPr>
        <w:numPr>
          <w:ilvl w:val="0"/>
          <w:numId w:val="585"/>
        </w:numPr>
        <w:ind w:left="0" w:firstLine="0"/>
        <w:rPr>
          <w:rFonts w:eastAsia="Times New Roman" w:cs="Arial"/>
          <w:iCs/>
          <w:noProof/>
        </w:rPr>
      </w:pPr>
      <w:r>
        <w:rPr>
          <w:noProof/>
        </w:rPr>
        <w:t>Panta 1. un 2. punktu neinterpretē tā, ka Pusei tiek uzlikts pienākums attiecināt uz otras Puses investoriem vai ap</w:t>
      </w:r>
      <w:r>
        <w:rPr>
          <w:noProof/>
        </w:rPr>
        <w:t xml:space="preserve">tvertiem uzņēmumiem režīma priekšrocības, kas izriet no:  </w:t>
      </w:r>
    </w:p>
    <w:p w:rsidR="003E022D" w:rsidRDefault="007D19D6">
      <w:pPr>
        <w:numPr>
          <w:ilvl w:val="1"/>
          <w:numId w:val="586"/>
        </w:numPr>
        <w:ind w:left="567" w:hanging="567"/>
        <w:rPr>
          <w:rFonts w:eastAsia="Times New Roman" w:cs="Arial"/>
          <w:iCs/>
          <w:noProof/>
        </w:rPr>
      </w:pPr>
      <w:r>
        <w:rPr>
          <w:noProof/>
        </w:rPr>
        <w:t xml:space="preserve">starptautiska nolīguma par nodokļu dubultas uzlikšanas novēršanu vai cita starptautiska nolīguma vai vienošanās, kas pilnīgi vai galvenokārt attiecas uz nodokļiem, vai  </w:t>
      </w:r>
    </w:p>
    <w:p w:rsidR="003E022D" w:rsidRDefault="007D19D6">
      <w:pPr>
        <w:numPr>
          <w:ilvl w:val="1"/>
          <w:numId w:val="586"/>
        </w:numPr>
        <w:ind w:left="567" w:hanging="567"/>
        <w:rPr>
          <w:rFonts w:eastAsia="Times New Roman" w:cs="Arial"/>
          <w:iCs/>
          <w:noProof/>
        </w:rPr>
      </w:pPr>
      <w:r>
        <w:rPr>
          <w:noProof/>
        </w:rPr>
        <w:t>pasākumiem, kas nodrošina t</w:t>
      </w:r>
      <w:r>
        <w:rPr>
          <w:noProof/>
        </w:rPr>
        <w:t xml:space="preserve">ādu fiziskas personas vai uzņēmuma licenču vai sertifikātu, t. sk. atļaujām vajadzīgo standartu vai kritēriju atzīšanu, kuri vajadzīgi saimnieciskās darbības veikšanai, vai to piesardzības pasākumu atzīšanu, kas noteikti </w:t>
      </w:r>
      <w:r>
        <w:rPr>
          <w:i/>
          <w:noProof/>
        </w:rPr>
        <w:t>GATS</w:t>
      </w:r>
      <w:r>
        <w:rPr>
          <w:noProof/>
        </w:rPr>
        <w:t xml:space="preserve"> pielikuma par finanšu pakalpoj</w:t>
      </w:r>
      <w:r>
        <w:rPr>
          <w:noProof/>
        </w:rPr>
        <w:t>umiem 3. punktā.</w:t>
      </w:r>
    </w:p>
    <w:p w:rsidR="003E022D" w:rsidRDefault="007D19D6">
      <w:pPr>
        <w:numPr>
          <w:ilvl w:val="0"/>
          <w:numId w:val="585"/>
        </w:numPr>
        <w:ind w:left="0" w:firstLine="0"/>
        <w:rPr>
          <w:rFonts w:eastAsia="Times New Roman" w:cs="Arial"/>
          <w:iCs/>
          <w:noProof/>
        </w:rPr>
      </w:pPr>
      <w:r>
        <w:rPr>
          <w:noProof/>
        </w:rPr>
        <w:t>Lielākai noteiktībai — 1. un 2. punktā minētais “režīms” neietver procedūras investīciju strīdu izšķiršanai starp investoru un valsti, kas noteiktas citos starptautiskos nolīgumos.</w:t>
      </w:r>
    </w:p>
    <w:p w:rsidR="003E022D" w:rsidRDefault="007D19D6">
      <w:pPr>
        <w:numPr>
          <w:ilvl w:val="0"/>
          <w:numId w:val="585"/>
        </w:numPr>
        <w:ind w:left="0" w:firstLine="0"/>
        <w:rPr>
          <w:rFonts w:eastAsia="Times New Roman" w:cs="Arial"/>
          <w:iCs/>
          <w:noProof/>
        </w:rPr>
      </w:pPr>
      <w:r>
        <w:rPr>
          <w:noProof/>
        </w:rPr>
        <w:t>Lielākai noteiktībai – materiālo tiesību normu esamība cit</w:t>
      </w:r>
      <w:r>
        <w:rPr>
          <w:noProof/>
        </w:rPr>
        <w:t>os starptautiskos nolīgumos, ko Puse noslēgusi ar trešo valsti, vai minēto normu tikai formāla transponēšana valsts tiesību aktos, ciktāl tas ir nepieciešams, lai tās iekļautu valsts tiesību sistēmā, pati par sevi nav 1. un 2. punktā minētais “režīms”. Pas</w:t>
      </w:r>
      <w:r>
        <w:rPr>
          <w:noProof/>
        </w:rPr>
        <w:t>ākumi, ko Puse veikusi saskaņā ar minētajām normām, var būt režīms un tādējādi iemesls šā panta pārkāpumam. </w:t>
      </w:r>
    </w:p>
    <w:p w:rsidR="003E022D" w:rsidRDefault="007D19D6">
      <w:pPr>
        <w:pStyle w:val="Article"/>
        <w:rPr>
          <w:noProof/>
          <w:lang w:val="fr-BE"/>
        </w:rPr>
      </w:pPr>
      <w:r>
        <w:rPr>
          <w:noProof/>
          <w:lang w:val="fr-BE"/>
        </w:rPr>
        <w:t>SERVIN.2.5. pants. Augstākā vadība un direktoru padomes</w:t>
      </w:r>
    </w:p>
    <w:p w:rsidR="003E022D" w:rsidRDefault="007D19D6">
      <w:pPr>
        <w:rPr>
          <w:noProof/>
          <w:lang w:val="fr-BE"/>
        </w:rPr>
      </w:pPr>
      <w:r>
        <w:rPr>
          <w:noProof/>
          <w:lang w:val="fr-BE"/>
        </w:rPr>
        <w:t xml:space="preserve">Puse neprasa aptvertam uzņēmumam vadošu darbinieku, vadītāju vai direktoru padomes locekļu </w:t>
      </w:r>
      <w:r>
        <w:rPr>
          <w:noProof/>
          <w:lang w:val="fr-BE"/>
        </w:rPr>
        <w:t>amatā iecelt konkrētas valstspiederības personas. </w:t>
      </w:r>
    </w:p>
    <w:p w:rsidR="003E022D" w:rsidRDefault="007D19D6">
      <w:pPr>
        <w:pStyle w:val="Article"/>
        <w:rPr>
          <w:noProof/>
        </w:rPr>
      </w:pPr>
      <w:r>
        <w:rPr>
          <w:noProof/>
        </w:rPr>
        <w:t>SERVIN.2.6. pants. Veiktspējas prasības</w:t>
      </w:r>
    </w:p>
    <w:p w:rsidR="003E022D" w:rsidRDefault="007D19D6">
      <w:pPr>
        <w:numPr>
          <w:ilvl w:val="0"/>
          <w:numId w:val="587"/>
        </w:numPr>
        <w:ind w:left="0" w:firstLine="0"/>
        <w:rPr>
          <w:rFonts w:eastAsia="Times New Roman" w:cs="Arial"/>
          <w:noProof/>
        </w:rPr>
      </w:pPr>
      <w:r>
        <w:rPr>
          <w:noProof/>
        </w:rPr>
        <w:t>Puse neizvirza vai neīsteno nekādas prasības, vai neizpilda nekādas saistības vai apņemšanās saistībā ar ikviena uzņēmuma iedibināšanu vai saimniecisko darbību Puses</w:t>
      </w:r>
      <w:r>
        <w:rPr>
          <w:noProof/>
        </w:rPr>
        <w:t xml:space="preserve"> teritorijā, kuru mērķis ir:</w:t>
      </w:r>
    </w:p>
    <w:p w:rsidR="003E022D" w:rsidRDefault="007D19D6">
      <w:pPr>
        <w:numPr>
          <w:ilvl w:val="1"/>
          <w:numId w:val="588"/>
        </w:numPr>
        <w:ind w:left="567" w:hanging="567"/>
        <w:rPr>
          <w:rFonts w:eastAsia="Times New Roman" w:cs="Arial"/>
          <w:noProof/>
        </w:rPr>
      </w:pPr>
      <w:r>
        <w:rPr>
          <w:noProof/>
        </w:rPr>
        <w:t>eksportēt preču vai pakalpojumu konkrētu apjomu vai procentuālo daudzumu;</w:t>
      </w:r>
    </w:p>
    <w:p w:rsidR="003E022D" w:rsidRDefault="007D19D6">
      <w:pPr>
        <w:numPr>
          <w:ilvl w:val="1"/>
          <w:numId w:val="588"/>
        </w:numPr>
        <w:ind w:left="567" w:hanging="567"/>
        <w:rPr>
          <w:rFonts w:eastAsia="Times New Roman" w:cs="Arial"/>
          <w:noProof/>
        </w:rPr>
      </w:pPr>
      <w:r>
        <w:rPr>
          <w:noProof/>
        </w:rPr>
        <w:t>sasniegt konkrētu iekšzemes satura apjomu vai procentuālo daudzumu;</w:t>
      </w:r>
    </w:p>
    <w:p w:rsidR="003E022D" w:rsidRDefault="007D19D6">
      <w:pPr>
        <w:numPr>
          <w:ilvl w:val="1"/>
          <w:numId w:val="588"/>
        </w:numPr>
        <w:ind w:left="567" w:hanging="567"/>
        <w:rPr>
          <w:rFonts w:eastAsia="Times New Roman" w:cs="Arial"/>
          <w:noProof/>
        </w:rPr>
      </w:pPr>
      <w:r>
        <w:rPr>
          <w:noProof/>
        </w:rPr>
        <w:t>pirkt vai izmantot tās teritorijā ražotas preces vai sniegtus pakalpojumus vai piešķi</w:t>
      </w:r>
      <w:r>
        <w:rPr>
          <w:noProof/>
        </w:rPr>
        <w:t>rt tiem priekšrocību, vai pirkt preces vai pakalpojumus no fiziskām vai juridiskām personām vai citām vienībām tās teritorijā;</w:t>
      </w:r>
    </w:p>
    <w:p w:rsidR="003E022D" w:rsidRDefault="007D19D6">
      <w:pPr>
        <w:numPr>
          <w:ilvl w:val="1"/>
          <w:numId w:val="588"/>
        </w:numPr>
        <w:ind w:left="567" w:hanging="567"/>
        <w:rPr>
          <w:rFonts w:eastAsia="Times New Roman" w:cs="Arial"/>
          <w:noProof/>
        </w:rPr>
      </w:pPr>
      <w:r>
        <w:rPr>
          <w:noProof/>
        </w:rPr>
        <w:t xml:space="preserve">jebkādā veidā saistīt importa apjomu vai vērtību ar eksporta apjomu vai vērtību vai ar ārvalstu valūtas plūsmu summu, kas </w:t>
      </w:r>
      <w:r>
        <w:rPr>
          <w:noProof/>
        </w:rPr>
        <w:t>saistītas ar šādu uzņēmumu;</w:t>
      </w:r>
    </w:p>
    <w:p w:rsidR="003E022D" w:rsidRDefault="007D19D6">
      <w:pPr>
        <w:numPr>
          <w:ilvl w:val="1"/>
          <w:numId w:val="588"/>
        </w:numPr>
        <w:ind w:left="567" w:hanging="567"/>
        <w:rPr>
          <w:rFonts w:eastAsia="Times New Roman" w:cs="Arial"/>
          <w:noProof/>
        </w:rPr>
      </w:pPr>
      <w:r>
        <w:rPr>
          <w:noProof/>
        </w:rPr>
        <w:t>ierobežot to preču vai pakalpojumu pārdošanu savā teritorijā, ko saražo vai sniedz šāds uzņēmums, jebkādā veidā attiecinot minēto pārdošanu uz tās eksporta vai ārvalstu valūtas ieņēmumu apjomu vai vērtību;</w:t>
      </w:r>
    </w:p>
    <w:p w:rsidR="003E022D" w:rsidRDefault="007D19D6">
      <w:pPr>
        <w:numPr>
          <w:ilvl w:val="1"/>
          <w:numId w:val="588"/>
        </w:numPr>
        <w:ind w:left="567" w:hanging="567"/>
        <w:rPr>
          <w:rFonts w:eastAsia="Times New Roman" w:cs="Arial"/>
          <w:noProof/>
        </w:rPr>
      </w:pPr>
      <w:r>
        <w:rPr>
          <w:noProof/>
        </w:rPr>
        <w:t xml:space="preserve">nodot tehnoloģiju, </w:t>
      </w:r>
      <w:r>
        <w:rPr>
          <w:noProof/>
        </w:rPr>
        <w:t>ražošanas procesu vai citas savas zināšanas fiziskai vai juridiskai personai vai citai vienībai tās teritorijā</w:t>
      </w:r>
      <w:r>
        <w:rPr>
          <w:rStyle w:val="FootnoteReference"/>
          <w:rFonts w:eastAsia="Times New Roman" w:cs="Arial"/>
          <w:noProof/>
          <w:lang w:eastAsia="en-GB"/>
        </w:rPr>
        <w:footnoteReference w:id="12"/>
      </w:r>
      <w:r>
        <w:rPr>
          <w:noProof/>
        </w:rPr>
        <w:t>;</w:t>
      </w:r>
    </w:p>
    <w:p w:rsidR="003E022D" w:rsidRDefault="007D19D6">
      <w:pPr>
        <w:numPr>
          <w:ilvl w:val="1"/>
          <w:numId w:val="588"/>
        </w:numPr>
        <w:ind w:left="567" w:hanging="567"/>
        <w:rPr>
          <w:rFonts w:eastAsia="Times New Roman" w:cs="Arial"/>
          <w:noProof/>
        </w:rPr>
      </w:pPr>
      <w:r>
        <w:rPr>
          <w:noProof/>
        </w:rPr>
        <w:t>preci vai pakalpojumu, ko attiecīgi ražo vai sniedz uzņēmums, piegādāt konkrētam reģionālam vai pasaules tirgum tikai no minētās Puses teritori</w:t>
      </w:r>
      <w:r>
        <w:rPr>
          <w:noProof/>
        </w:rPr>
        <w:t>jas;</w:t>
      </w:r>
    </w:p>
    <w:p w:rsidR="003E022D" w:rsidRDefault="007D19D6">
      <w:pPr>
        <w:numPr>
          <w:ilvl w:val="1"/>
          <w:numId w:val="588"/>
        </w:numPr>
        <w:ind w:left="567" w:hanging="567"/>
        <w:rPr>
          <w:rFonts w:eastAsia="Times New Roman" w:cs="Arial"/>
          <w:noProof/>
        </w:rPr>
      </w:pPr>
      <w:r>
        <w:rPr>
          <w:noProof/>
        </w:rPr>
        <w:t>noteikt, ka galvenās mītnes konkrētā pasaules reģionā, kas ir plašāks nekā Puses teritorija vai pasaules tirgus, atrašanās vietai jābūt tās teritorijā;</w:t>
      </w:r>
    </w:p>
    <w:p w:rsidR="003E022D" w:rsidRDefault="007D19D6">
      <w:pPr>
        <w:numPr>
          <w:ilvl w:val="1"/>
          <w:numId w:val="588"/>
        </w:numPr>
        <w:ind w:left="567" w:hanging="567"/>
        <w:rPr>
          <w:rFonts w:eastAsia="Times New Roman" w:cs="Arial"/>
          <w:noProof/>
        </w:rPr>
      </w:pPr>
      <w:r>
        <w:rPr>
          <w:noProof/>
        </w:rPr>
        <w:t>nodarbināt noteiktu skaitu vai procentuālo daļu minētās Puses fizisko personu;</w:t>
      </w:r>
    </w:p>
    <w:p w:rsidR="003E022D" w:rsidRDefault="007D19D6">
      <w:pPr>
        <w:numPr>
          <w:ilvl w:val="1"/>
          <w:numId w:val="588"/>
        </w:numPr>
        <w:ind w:left="567" w:hanging="567"/>
        <w:rPr>
          <w:rFonts w:eastAsia="Times New Roman" w:cs="Arial"/>
          <w:noProof/>
        </w:rPr>
      </w:pPr>
      <w:r>
        <w:rPr>
          <w:noProof/>
        </w:rPr>
        <w:t>sasniegt pētniecības</w:t>
      </w:r>
      <w:r>
        <w:rPr>
          <w:noProof/>
        </w:rPr>
        <w:t xml:space="preserve"> un izstrādes darbību noteiktu apjomu vai vērtību Puses teritorijā;</w:t>
      </w:r>
    </w:p>
    <w:p w:rsidR="003E022D" w:rsidRDefault="007D19D6">
      <w:pPr>
        <w:numPr>
          <w:ilvl w:val="1"/>
          <w:numId w:val="588"/>
        </w:numPr>
        <w:ind w:left="567" w:hanging="567"/>
        <w:rPr>
          <w:rFonts w:eastAsia="Times New Roman" w:cs="Arial"/>
          <w:noProof/>
        </w:rPr>
      </w:pPr>
      <w:r>
        <w:rPr>
          <w:noProof/>
        </w:rPr>
        <w:t>ierobežot preču eksportu vai pārdošanu eksportam, vai</w:t>
      </w:r>
    </w:p>
    <w:p w:rsidR="003E022D" w:rsidRDefault="007D19D6">
      <w:pPr>
        <w:numPr>
          <w:ilvl w:val="1"/>
          <w:numId w:val="588"/>
        </w:numPr>
        <w:ind w:left="567" w:hanging="567"/>
        <w:rPr>
          <w:rFonts w:eastAsia="Times New Roman" w:cs="Arial"/>
          <w:noProof/>
        </w:rPr>
      </w:pPr>
      <w:r>
        <w:rPr>
          <w:noProof/>
        </w:rPr>
        <w:t>attiecībā uz ikvienu licences līgumu, kas ir spēkā laikā, kad tiek izvirzīta vai īstenota prasība vai izpildītas saistības vai apņemša</w:t>
      </w:r>
      <w:r>
        <w:rPr>
          <w:noProof/>
        </w:rPr>
        <w:t>nās, vai attiecībā uz jebkādu turpmāku licences līgumu, kurš brīvi noslēgts starp uzņēmumu un fizisku vai juridisku personu vai citu vienību Puses teritorijā, ja prasību izvirza vai īsteno vai saistības vai apņemšanās izpilda veidā, kas rada tiešu iejaukša</w:t>
      </w:r>
      <w:r>
        <w:rPr>
          <w:noProof/>
        </w:rPr>
        <w:t>nos minētajā licences līgumā, kādai Pusei īstenojot ārpustiesas valsts pilnvaras, pieņemt:</w:t>
      </w:r>
    </w:p>
    <w:p w:rsidR="003E022D" w:rsidRDefault="007D19D6">
      <w:pPr>
        <w:ind w:left="1276" w:hanging="567"/>
        <w:rPr>
          <w:rFonts w:eastAsia="Times New Roman" w:cs="Arial"/>
          <w:noProof/>
        </w:rPr>
      </w:pPr>
      <w:r>
        <w:rPr>
          <w:noProof/>
        </w:rPr>
        <w:t>i)</w:t>
      </w:r>
      <w:r>
        <w:rPr>
          <w:noProof/>
        </w:rPr>
        <w:tab/>
        <w:t>likmi vai licences maksu, kas nepārsniedz noteiktu līmeni, vai</w:t>
      </w:r>
    </w:p>
    <w:p w:rsidR="003E022D" w:rsidRDefault="007D19D6">
      <w:pPr>
        <w:ind w:left="1276" w:hanging="567"/>
        <w:rPr>
          <w:rFonts w:eastAsia="Times New Roman" w:cs="Arial"/>
          <w:noProof/>
          <w:lang w:val="fr-BE"/>
        </w:rPr>
      </w:pPr>
      <w:r>
        <w:rPr>
          <w:noProof/>
          <w:lang w:val="fr-BE"/>
        </w:rPr>
        <w:t>ii)</w:t>
      </w:r>
      <w:r>
        <w:rPr>
          <w:noProof/>
          <w:lang w:val="fr-BE"/>
        </w:rPr>
        <w:tab/>
        <w:t>konkrētu termiņu licences līguma darbībai.</w:t>
      </w:r>
    </w:p>
    <w:p w:rsidR="003E022D" w:rsidRDefault="007D19D6">
      <w:pPr>
        <w:ind w:left="709"/>
        <w:rPr>
          <w:rFonts w:eastAsia="Times New Roman" w:cs="Arial"/>
          <w:noProof/>
          <w:lang w:val="fr-BE"/>
        </w:rPr>
      </w:pPr>
      <w:r>
        <w:rPr>
          <w:noProof/>
          <w:lang w:val="fr-BE"/>
        </w:rPr>
        <w:t xml:space="preserve">Šo punktu nepiemēro, ja licences līgums ir noslēgts </w:t>
      </w:r>
      <w:r>
        <w:rPr>
          <w:noProof/>
          <w:lang w:val="fr-BE"/>
        </w:rPr>
        <w:t xml:space="preserve">starp uzņēmumu un vienu Pusi. Šā punkta nolūkā “licences līgums” ir ikviens līgums par tehnoloģijas, ražošanas procesa vai citu profesionālo zināšanu licencēšanu. </w:t>
      </w:r>
    </w:p>
    <w:p w:rsidR="003E022D" w:rsidRDefault="007D19D6">
      <w:pPr>
        <w:numPr>
          <w:ilvl w:val="0"/>
          <w:numId w:val="587"/>
        </w:numPr>
        <w:ind w:left="0" w:firstLine="0"/>
        <w:rPr>
          <w:rFonts w:eastAsia="Times New Roman" w:cs="Arial"/>
          <w:noProof/>
          <w:lang w:val="fr-BE"/>
        </w:rPr>
      </w:pPr>
      <w:r>
        <w:rPr>
          <w:noProof/>
          <w:lang w:val="fr-BE"/>
        </w:rPr>
        <w:t>Puse nenosaka, ka priekšrocības saņemšanai un turpināšanai attiecībā uz uzņēmuma iedibināšan</w:t>
      </w:r>
      <w:r>
        <w:rPr>
          <w:noProof/>
          <w:lang w:val="fr-BE"/>
        </w:rPr>
        <w:t xml:space="preserve">u vai darbību Puses teritorijā ir jāatbilst kādai no šādām prasībām: </w:t>
      </w:r>
    </w:p>
    <w:p w:rsidR="003E022D" w:rsidRDefault="007D19D6">
      <w:pPr>
        <w:numPr>
          <w:ilvl w:val="1"/>
          <w:numId w:val="589"/>
        </w:numPr>
        <w:ind w:left="567" w:hanging="567"/>
        <w:rPr>
          <w:rFonts w:eastAsia="Times New Roman" w:cs="Arial"/>
          <w:noProof/>
          <w:lang w:val="fr-BE"/>
        </w:rPr>
      </w:pPr>
      <w:r>
        <w:rPr>
          <w:noProof/>
          <w:lang w:val="fr-BE"/>
        </w:rPr>
        <w:t xml:space="preserve">sasniegt konkrētu iekšzemes satura apjomu vai procentuālo daudzumu; </w:t>
      </w:r>
    </w:p>
    <w:p w:rsidR="003E022D" w:rsidRDefault="007D19D6">
      <w:pPr>
        <w:numPr>
          <w:ilvl w:val="1"/>
          <w:numId w:val="589"/>
        </w:numPr>
        <w:ind w:left="567" w:hanging="567"/>
        <w:rPr>
          <w:rFonts w:eastAsia="Times New Roman" w:cs="Arial"/>
          <w:noProof/>
          <w:lang w:val="fr-BE"/>
        </w:rPr>
      </w:pPr>
      <w:r>
        <w:rPr>
          <w:noProof/>
          <w:lang w:val="fr-BE"/>
        </w:rPr>
        <w:t xml:space="preserve">pirkt vai izmantot tās teritorijā ražotas preces vai sniegtus pakalpojumus vai piešķirt tiem priekšrocību, vai pirkt </w:t>
      </w:r>
      <w:r>
        <w:rPr>
          <w:noProof/>
          <w:lang w:val="fr-BE"/>
        </w:rPr>
        <w:t xml:space="preserve">preces vai pakalpojumus no fiziskām vai juridiskām personām vai citas vienības tās teritorijā; </w:t>
      </w:r>
    </w:p>
    <w:p w:rsidR="003E022D" w:rsidRDefault="007D19D6">
      <w:pPr>
        <w:numPr>
          <w:ilvl w:val="1"/>
          <w:numId w:val="589"/>
        </w:numPr>
        <w:ind w:left="567" w:hanging="567"/>
        <w:rPr>
          <w:rFonts w:eastAsia="Times New Roman" w:cs="Arial"/>
          <w:noProof/>
          <w:lang w:val="fr-BE"/>
        </w:rPr>
      </w:pPr>
      <w:r>
        <w:rPr>
          <w:noProof/>
          <w:lang w:val="fr-BE"/>
        </w:rPr>
        <w:t xml:space="preserve">jebkādā veidā saistīt importa apjomu vai vērtību ar eksporta apjomu vai vērtību vai ar ārvalstu valūtas plūsmu summu, kas saistītas ar minēto uzņēmumu; </w:t>
      </w:r>
    </w:p>
    <w:p w:rsidR="003E022D" w:rsidRDefault="007D19D6">
      <w:pPr>
        <w:numPr>
          <w:ilvl w:val="1"/>
          <w:numId w:val="589"/>
        </w:numPr>
        <w:ind w:left="567" w:hanging="567"/>
        <w:rPr>
          <w:rFonts w:eastAsia="Times New Roman" w:cs="Arial"/>
          <w:noProof/>
          <w:lang w:val="fr-BE"/>
        </w:rPr>
      </w:pPr>
      <w:r>
        <w:rPr>
          <w:noProof/>
          <w:lang w:val="fr-BE"/>
        </w:rPr>
        <w:t>ierobež</w:t>
      </w:r>
      <w:r>
        <w:rPr>
          <w:noProof/>
          <w:lang w:val="fr-BE"/>
        </w:rPr>
        <w:t xml:space="preserve">ot to preču vai pakalpojumu pārdošanu savā teritorijā, ko saražo vai sniedz minētais uzņēmums, jebkādā veidā attiecinot minēto pārdošanu uz tās eksporta vai ārvalstu valūtas ieņēmumu apjomu vai vērtību, vai </w:t>
      </w:r>
    </w:p>
    <w:p w:rsidR="003E022D" w:rsidRDefault="007D19D6">
      <w:pPr>
        <w:numPr>
          <w:ilvl w:val="1"/>
          <w:numId w:val="589"/>
        </w:numPr>
        <w:ind w:left="567" w:hanging="567"/>
        <w:rPr>
          <w:rFonts w:eastAsia="Times New Roman" w:cs="Arial"/>
          <w:noProof/>
          <w:lang w:val="fr-BE"/>
        </w:rPr>
      </w:pPr>
      <w:r>
        <w:rPr>
          <w:noProof/>
          <w:lang w:val="fr-BE"/>
        </w:rPr>
        <w:t>ierobežot preču eksportu vai pārdošanu eksportam</w:t>
      </w:r>
      <w:r>
        <w:rPr>
          <w:noProof/>
          <w:lang w:val="fr-BE"/>
        </w:rPr>
        <w:t xml:space="preserve">. </w:t>
      </w:r>
    </w:p>
    <w:p w:rsidR="003E022D" w:rsidRDefault="007D19D6">
      <w:pPr>
        <w:numPr>
          <w:ilvl w:val="0"/>
          <w:numId w:val="587"/>
        </w:numPr>
        <w:ind w:left="0" w:firstLine="0"/>
        <w:rPr>
          <w:rFonts w:eastAsia="Times New Roman" w:cs="Arial"/>
          <w:noProof/>
          <w:lang w:val="fr-BE"/>
        </w:rPr>
      </w:pPr>
      <w:r>
        <w:rPr>
          <w:noProof/>
          <w:lang w:val="fr-BE"/>
        </w:rPr>
        <w:t>Panta 2. punktā minēto neinterpretē tā, ka Pusei tiek liegts noteikt, ka priekšrocības saņemšana vai turpināšana saistībā ar uzņēmuma iedibināšanu vai darbību Puses teritorijā ir atkarīga no atbilstības prasībai par ražošanas izvietošanu, pakalpojuma sn</w:t>
      </w:r>
      <w:r>
        <w:rPr>
          <w:noProof/>
          <w:lang w:val="fr-BE"/>
        </w:rPr>
        <w:t>iegšanu, darbinieku apmācību vai nodarbināšanu, konkrētas infrastruktūras būvniecību vai paplašināšanu vai pētniecības un izstrādes veikšanu tās teritorijā.</w:t>
      </w:r>
    </w:p>
    <w:p w:rsidR="003E022D" w:rsidRDefault="007D19D6">
      <w:pPr>
        <w:numPr>
          <w:ilvl w:val="0"/>
          <w:numId w:val="587"/>
        </w:numPr>
        <w:ind w:left="0" w:firstLine="0"/>
        <w:rPr>
          <w:rFonts w:eastAsia="Times New Roman" w:cs="Arial"/>
          <w:noProof/>
          <w:lang w:val="fr-BE"/>
        </w:rPr>
      </w:pPr>
      <w:r>
        <w:rPr>
          <w:noProof/>
          <w:lang w:val="fr-BE"/>
        </w:rPr>
        <w:t xml:space="preserve">Šā panta 1. punkta f) un l) apakšpunktu nepiemēro, ja: </w:t>
      </w:r>
    </w:p>
    <w:p w:rsidR="003E022D" w:rsidRDefault="007D19D6">
      <w:pPr>
        <w:numPr>
          <w:ilvl w:val="1"/>
          <w:numId w:val="590"/>
        </w:numPr>
        <w:ind w:left="567" w:hanging="567"/>
        <w:rPr>
          <w:rFonts w:cs="Arial"/>
          <w:noProof/>
          <w:lang w:val="fr-BE"/>
        </w:rPr>
      </w:pPr>
      <w:r>
        <w:rPr>
          <w:noProof/>
          <w:lang w:val="fr-BE"/>
        </w:rPr>
        <w:t>prasību izvirza vai īsteno vai saistības va</w:t>
      </w:r>
      <w:r>
        <w:rPr>
          <w:noProof/>
          <w:lang w:val="fr-BE"/>
        </w:rPr>
        <w:t>i apņemšanos izpilda tiesa, administratīvā tiesa vai konkurences iestāde saskaņā ar Puses konkurences tiesībām, lai novērstu vai labotu konkurences ierobežojumu vai izkropļojumu; vai</w:t>
      </w:r>
    </w:p>
    <w:p w:rsidR="003E022D" w:rsidRDefault="007D19D6">
      <w:pPr>
        <w:numPr>
          <w:ilvl w:val="1"/>
          <w:numId w:val="590"/>
        </w:numPr>
        <w:ind w:left="567" w:hanging="567"/>
        <w:rPr>
          <w:rFonts w:eastAsia="Times New Roman" w:cs="Arial"/>
          <w:noProof/>
          <w:lang w:val="fr-BE"/>
        </w:rPr>
      </w:pPr>
      <w:r>
        <w:rPr>
          <w:noProof/>
          <w:lang w:val="fr-BE"/>
        </w:rPr>
        <w:t xml:space="preserve">Puse atļauj izmantot intelektuālā īpašuma tiesības saskaņā ar </w:t>
      </w:r>
      <w:r>
        <w:rPr>
          <w:i/>
          <w:noProof/>
          <w:lang w:val="fr-BE"/>
        </w:rPr>
        <w:t>TRIPS</w:t>
      </w:r>
      <w:r>
        <w:rPr>
          <w:noProof/>
          <w:lang w:val="fr-BE"/>
        </w:rPr>
        <w:t xml:space="preserve"> līgum</w:t>
      </w:r>
      <w:r>
        <w:rPr>
          <w:noProof/>
          <w:lang w:val="fr-BE"/>
        </w:rPr>
        <w:t xml:space="preserve">a 31. vai 31.a pantu, vai pasākumus, vai pieņem vai patur spēkā pasākumus, ar ko prasa izpaust datus vai personālinformāciju, kas ietilpst </w:t>
      </w:r>
      <w:r>
        <w:rPr>
          <w:i/>
          <w:noProof/>
          <w:lang w:val="fr-BE"/>
        </w:rPr>
        <w:t>TRIPS</w:t>
      </w:r>
      <w:r>
        <w:rPr>
          <w:noProof/>
          <w:lang w:val="fr-BE"/>
        </w:rPr>
        <w:t xml:space="preserve"> līguma 39. panta 3. punkta darbības jomā un atbilst tam.</w:t>
      </w:r>
    </w:p>
    <w:p w:rsidR="003E022D" w:rsidRDefault="007D19D6">
      <w:pPr>
        <w:numPr>
          <w:ilvl w:val="0"/>
          <w:numId w:val="587"/>
        </w:numPr>
        <w:ind w:left="0" w:firstLine="0"/>
        <w:rPr>
          <w:rFonts w:eastAsia="Times New Roman" w:cs="Arial"/>
          <w:noProof/>
          <w:lang w:val="fr-BE"/>
        </w:rPr>
      </w:pPr>
      <w:r>
        <w:rPr>
          <w:noProof/>
          <w:lang w:val="fr-BE"/>
        </w:rPr>
        <w:t xml:space="preserve">Šā panta 1. punkta a)–c) apakšpunktu un 2. punkta a) </w:t>
      </w:r>
      <w:r>
        <w:rPr>
          <w:noProof/>
          <w:lang w:val="fr-BE"/>
        </w:rPr>
        <w:t>un b) apakšpunktu nepiemēro precēm vai pakalpojumiem izvirzāmām kvalifikācijas prasībām attiecībā uz dalību eksporta veicināšanas un ārvalstu palīdzības programmās.</w:t>
      </w:r>
    </w:p>
    <w:p w:rsidR="003E022D" w:rsidRDefault="007D19D6">
      <w:pPr>
        <w:rPr>
          <w:rFonts w:cstheme="minorHAnsi"/>
          <w:noProof/>
          <w:lang w:val="fr-BE"/>
        </w:rPr>
      </w:pPr>
      <w:r>
        <w:rPr>
          <w:noProof/>
          <w:lang w:val="fr-BE"/>
        </w:rPr>
        <w:t xml:space="preserve">6. </w:t>
      </w:r>
      <w:r>
        <w:rPr>
          <w:noProof/>
          <w:lang w:val="fr-BE"/>
        </w:rPr>
        <w:tab/>
        <w:t xml:space="preserve">Lielākai noteiktībai – šis pants neliedz Puses kompetentajām iestādēm īstenot jebkādas </w:t>
      </w:r>
      <w:r>
        <w:rPr>
          <w:noProof/>
          <w:lang w:val="fr-BE"/>
        </w:rPr>
        <w:t>saistības vai apņemšanās starp personām, – kas nav Puse, – kuras minētā Puse nav tieši vai netieši uzlikusi vai pieprasījusi.</w:t>
      </w:r>
    </w:p>
    <w:p w:rsidR="003E022D" w:rsidRDefault="007D19D6">
      <w:pPr>
        <w:rPr>
          <w:rFonts w:cstheme="minorHAnsi"/>
          <w:noProof/>
          <w:lang w:val="fr-BE"/>
        </w:rPr>
      </w:pPr>
      <w:r>
        <w:rPr>
          <w:noProof/>
          <w:lang w:val="fr-BE"/>
        </w:rPr>
        <w:t xml:space="preserve">7. </w:t>
      </w:r>
      <w:r>
        <w:rPr>
          <w:noProof/>
          <w:lang w:val="fr-BE"/>
        </w:rPr>
        <w:tab/>
        <w:t>Lielākai noteiktībai — 2. punkta a) un b) apakšpunktu nepiemēro prasībām, ko importētāja Puse izvirza attiecībā uz preču satur</w:t>
      </w:r>
      <w:r>
        <w:rPr>
          <w:noProof/>
          <w:lang w:val="fr-BE"/>
        </w:rPr>
        <w:t>u, kas nepieciešams, lai kvalificētos preferenciāliem tarifiem vai preferenciālām kvotām.</w:t>
      </w:r>
    </w:p>
    <w:p w:rsidR="003E022D" w:rsidRDefault="007D19D6">
      <w:pPr>
        <w:rPr>
          <w:rFonts w:eastAsia="Times New Roman" w:cs="Arial"/>
          <w:noProof/>
          <w:lang w:val="fr-BE"/>
        </w:rPr>
      </w:pPr>
      <w:r>
        <w:rPr>
          <w:noProof/>
          <w:lang w:val="fr-BE"/>
        </w:rPr>
        <w:t xml:space="preserve">8. </w:t>
      </w:r>
      <w:r>
        <w:rPr>
          <w:noProof/>
          <w:lang w:val="fr-BE"/>
        </w:rPr>
        <w:tab/>
        <w:t>Panta 1. punkta l) apakšpunktu nepiemēro, ja prasību izvirza vai īsteno vai saistības vai apņemšanos izpilda tiesa kā taisnīgu atlīdzību saskaņā ar attiecīgās Pus</w:t>
      </w:r>
      <w:r>
        <w:rPr>
          <w:noProof/>
          <w:lang w:val="fr-BE"/>
        </w:rPr>
        <w:t>es tiesību aktiem autortiesību jomā.</w:t>
      </w:r>
    </w:p>
    <w:p w:rsidR="003E022D" w:rsidRDefault="007D19D6">
      <w:pPr>
        <w:rPr>
          <w:rFonts w:eastAsia="Times New Roman" w:cs="Arial"/>
          <w:noProof/>
          <w:lang w:val="fr-BE"/>
        </w:rPr>
      </w:pPr>
      <w:r>
        <w:rPr>
          <w:noProof/>
          <w:lang w:val="fr-BE"/>
        </w:rPr>
        <w:t xml:space="preserve">9. </w:t>
      </w:r>
      <w:r>
        <w:rPr>
          <w:noProof/>
          <w:lang w:val="fr-BE"/>
        </w:rPr>
        <w:tab/>
        <w:t>Puse nenosaka un neīsteno pasākumus, kas ir nesaderīgi ar tās pienākumiem saskaņā ar Nolīgumu par pasākumiem ieguldījumu jomā saistībā ar tirdzniecību(</w:t>
      </w:r>
      <w:r>
        <w:rPr>
          <w:i/>
          <w:iCs/>
          <w:noProof/>
          <w:lang w:val="fr-BE"/>
        </w:rPr>
        <w:t>TRIM</w:t>
      </w:r>
      <w:r>
        <w:rPr>
          <w:noProof/>
          <w:lang w:val="fr-BE"/>
        </w:rPr>
        <w:t>), pat tad, ja minētā Puse šādus pasākumus ir iekļāvusi SERV</w:t>
      </w:r>
      <w:r>
        <w:rPr>
          <w:noProof/>
          <w:lang w:val="fr-BE"/>
        </w:rPr>
        <w:t>IN-1. PIELIKUMĀ [Esošie pasākumi] vai SERVIN-2. PIELIKUMĀ [Nākotnes pasākumi].</w:t>
      </w:r>
    </w:p>
    <w:p w:rsidR="003E022D" w:rsidRDefault="007D19D6">
      <w:pPr>
        <w:rPr>
          <w:rFonts w:eastAsia="Times New Roman" w:cs="Arial"/>
          <w:noProof/>
          <w:lang w:val="fr-BE"/>
        </w:rPr>
      </w:pPr>
      <w:r>
        <w:rPr>
          <w:noProof/>
          <w:lang w:val="fr-BE"/>
        </w:rPr>
        <w:t xml:space="preserve">10. </w:t>
      </w:r>
      <w:r>
        <w:rPr>
          <w:noProof/>
          <w:lang w:val="fr-BE"/>
        </w:rPr>
        <w:tab/>
        <w:t>Lielākai noteiktībai – šo pantu neinterpretē tā, ka Pusei tiek prasīts, lai tā atļautu konkrētu pakalpojumu sniegšanu pārrobežu mērogā, ja minētā Puse attiecībā uz šādu pak</w:t>
      </w:r>
      <w:r>
        <w:rPr>
          <w:noProof/>
          <w:lang w:val="fr-BE"/>
        </w:rPr>
        <w:t>alpojumu sniegšanu pieņem vai patur spēkā ierobežojumus vai aizliegumus, kas ir saderīgi ar atrunām, nosacījumiem vai kvalifikācijām, kuri norādīti attiecībā uz SERVIN-1. PIELIKUMĀ [Esošie pasākumi] vai SERVIN-2. PIELIKUMĀ [Nākotnes pasākumi] uzskaitīto no</w:t>
      </w:r>
      <w:r>
        <w:rPr>
          <w:noProof/>
          <w:lang w:val="fr-BE"/>
        </w:rPr>
        <w:t>zari, apakšnozari vai darbību.</w:t>
      </w:r>
    </w:p>
    <w:p w:rsidR="003E022D" w:rsidRDefault="007D19D6">
      <w:pPr>
        <w:rPr>
          <w:rFonts w:eastAsia="Times New Roman" w:cs="Arial"/>
          <w:noProof/>
          <w:lang w:val="fr-BE"/>
        </w:rPr>
      </w:pPr>
      <w:r>
        <w:rPr>
          <w:noProof/>
          <w:lang w:val="fr-BE"/>
        </w:rPr>
        <w:t xml:space="preserve">11. </w:t>
      </w:r>
      <w:r>
        <w:rPr>
          <w:noProof/>
          <w:lang w:val="fr-BE"/>
        </w:rPr>
        <w:tab/>
        <w:t>Nosacījums 2. punktā minētās priekšrocības saņemšanai un turpināšanai nav prasība vai saistības vai apņemšanās 1. punkta nolūkos.</w:t>
      </w:r>
    </w:p>
    <w:p w:rsidR="003E022D" w:rsidRDefault="007D19D6">
      <w:pPr>
        <w:pStyle w:val="Article"/>
        <w:rPr>
          <w:noProof/>
          <w:lang w:val="fr-BE"/>
        </w:rPr>
      </w:pPr>
      <w:r>
        <w:rPr>
          <w:noProof/>
          <w:lang w:val="fr-BE"/>
        </w:rPr>
        <w:t>SERVIN.2.7. pants. Neatbilstīgi pasākumi un izņēmumi</w:t>
      </w:r>
    </w:p>
    <w:p w:rsidR="003E022D" w:rsidRDefault="007D19D6">
      <w:pPr>
        <w:numPr>
          <w:ilvl w:val="0"/>
          <w:numId w:val="591"/>
        </w:numPr>
        <w:ind w:left="0" w:firstLine="0"/>
        <w:rPr>
          <w:rFonts w:eastAsia="Times New Roman" w:cs="Arial"/>
          <w:noProof/>
          <w:lang w:val="fr-BE"/>
        </w:rPr>
      </w:pPr>
      <w:r>
        <w:rPr>
          <w:noProof/>
          <w:lang w:val="fr-BE"/>
        </w:rPr>
        <w:t xml:space="preserve">SERVIN.2.2. pantu [Piekļuve tirgum], </w:t>
      </w:r>
      <w:r>
        <w:rPr>
          <w:noProof/>
          <w:lang w:val="fr-BE"/>
        </w:rPr>
        <w:t>SERVIN.2.3. pantu [Valsts režīms], SERVIN.2.4. pantu [Lielākās labvēlības režīms], SERVIN.2.5. pantu [Augstākā vadība un direktoru padomes] un SERVIN.2.6. pantu [Veiktspējas prasības] nepiemēro:</w:t>
      </w:r>
    </w:p>
    <w:p w:rsidR="003E022D" w:rsidRDefault="007D19D6">
      <w:pPr>
        <w:numPr>
          <w:ilvl w:val="1"/>
          <w:numId w:val="592"/>
        </w:numPr>
        <w:ind w:left="567" w:hanging="567"/>
        <w:rPr>
          <w:rFonts w:eastAsia="Times New Roman" w:cs="Arial"/>
          <w:noProof/>
          <w:lang w:val="fr-BE"/>
        </w:rPr>
      </w:pPr>
      <w:r>
        <w:rPr>
          <w:noProof/>
          <w:lang w:val="fr-BE"/>
        </w:rPr>
        <w:t>spēkā esošam neatbilstošam Puses pasākumam:</w:t>
      </w:r>
    </w:p>
    <w:p w:rsidR="003E022D" w:rsidRDefault="007D19D6">
      <w:pPr>
        <w:ind w:left="1276" w:hanging="567"/>
        <w:rPr>
          <w:rFonts w:eastAsia="Times New Roman" w:cs="Arial"/>
          <w:noProof/>
          <w:lang w:val="fr-BE"/>
        </w:rPr>
      </w:pPr>
      <w:r>
        <w:rPr>
          <w:noProof/>
          <w:lang w:val="fr-BE"/>
        </w:rPr>
        <w:t>i)</w:t>
      </w:r>
      <w:r>
        <w:rPr>
          <w:noProof/>
          <w:lang w:val="fr-BE"/>
        </w:rPr>
        <w:tab/>
        <w:t>attiecībā uz S</w:t>
      </w:r>
      <w:r>
        <w:rPr>
          <w:noProof/>
          <w:lang w:val="fr-BE"/>
        </w:rPr>
        <w:t>avienību:</w:t>
      </w:r>
    </w:p>
    <w:p w:rsidR="003E022D" w:rsidRDefault="007D19D6">
      <w:pPr>
        <w:ind w:left="1440"/>
        <w:rPr>
          <w:rFonts w:eastAsia="Times New Roman" w:cs="Arial"/>
          <w:noProof/>
          <w:lang w:val="fr-BE"/>
        </w:rPr>
      </w:pPr>
      <w:r>
        <w:rPr>
          <w:noProof/>
          <w:lang w:val="fr-BE"/>
        </w:rPr>
        <w:t>A)</w:t>
      </w:r>
      <w:r>
        <w:rPr>
          <w:noProof/>
          <w:lang w:val="fr-BE"/>
        </w:rPr>
        <w:tab/>
        <w:t xml:space="preserve">Savienības līmenī, kā noteikts Savienības sarakstā SERVIN.1. pielikumā [Esošie pasākumi]; </w:t>
      </w:r>
    </w:p>
    <w:p w:rsidR="003E022D" w:rsidRDefault="007D19D6">
      <w:pPr>
        <w:ind w:left="2160" w:hanging="720"/>
        <w:rPr>
          <w:rFonts w:eastAsia="Times New Roman" w:cs="Arial"/>
          <w:noProof/>
          <w:lang w:val="fr-BE"/>
        </w:rPr>
      </w:pPr>
      <w:r>
        <w:rPr>
          <w:noProof/>
          <w:lang w:val="fr-BE"/>
        </w:rPr>
        <w:t>B)</w:t>
      </w:r>
      <w:r>
        <w:rPr>
          <w:noProof/>
          <w:lang w:val="fr-BE"/>
        </w:rPr>
        <w:tab/>
        <w:t xml:space="preserve">dalībvalsts centrālās valdības līmenī, kā noteikts Savienības sarakstā SERVIN.1 pielikumā [Esošie pasākumi]; </w:t>
      </w:r>
    </w:p>
    <w:p w:rsidR="003E022D" w:rsidRDefault="007D19D6">
      <w:pPr>
        <w:ind w:left="2160" w:hanging="720"/>
        <w:rPr>
          <w:rFonts w:eastAsia="Times New Roman" w:cs="Arial"/>
          <w:noProof/>
          <w:lang w:val="fr-BE"/>
        </w:rPr>
      </w:pPr>
      <w:r>
        <w:rPr>
          <w:noProof/>
          <w:lang w:val="fr-BE"/>
        </w:rPr>
        <w:t>C)</w:t>
      </w:r>
      <w:r>
        <w:rPr>
          <w:noProof/>
          <w:lang w:val="fr-BE"/>
        </w:rPr>
        <w:tab/>
        <w:t>dalībvalsts reģionālās valdības līme</w:t>
      </w:r>
      <w:r>
        <w:rPr>
          <w:noProof/>
          <w:lang w:val="fr-BE"/>
        </w:rPr>
        <w:t xml:space="preserve">nī, kā noteikts Savienības sarakstā SERVIN.1 pielikumā [Esošie pasākumi]; vai </w:t>
      </w:r>
    </w:p>
    <w:p w:rsidR="003E022D" w:rsidRDefault="007D19D6">
      <w:pPr>
        <w:ind w:left="1440"/>
        <w:rPr>
          <w:rFonts w:eastAsia="Times New Roman" w:cs="Arial"/>
          <w:noProof/>
          <w:lang w:val="fr-BE"/>
        </w:rPr>
      </w:pPr>
      <w:r>
        <w:rPr>
          <w:noProof/>
          <w:lang w:val="fr-BE"/>
        </w:rPr>
        <w:t>D)</w:t>
      </w:r>
      <w:r>
        <w:rPr>
          <w:noProof/>
          <w:lang w:val="fr-BE"/>
        </w:rPr>
        <w:tab/>
        <w:t>tādas vietējās valdības līmenī, kas nav C) punktā minētā valdība, un</w:t>
      </w:r>
    </w:p>
    <w:p w:rsidR="003E022D" w:rsidRDefault="007D19D6">
      <w:pPr>
        <w:ind w:left="1276" w:hanging="567"/>
        <w:rPr>
          <w:rFonts w:eastAsia="Times New Roman" w:cs="Arial"/>
          <w:noProof/>
          <w:lang w:val="fr-BE"/>
        </w:rPr>
      </w:pPr>
      <w:r>
        <w:rPr>
          <w:noProof/>
          <w:lang w:val="fr-BE"/>
        </w:rPr>
        <w:t>ii)</w:t>
      </w:r>
      <w:r>
        <w:rPr>
          <w:noProof/>
          <w:lang w:val="fr-BE"/>
        </w:rPr>
        <w:tab/>
        <w:t xml:space="preserve">attiecībā uz Apvienoto Karalisti:  </w:t>
      </w:r>
    </w:p>
    <w:p w:rsidR="003E022D" w:rsidRDefault="007D19D6">
      <w:pPr>
        <w:ind w:left="1440"/>
        <w:rPr>
          <w:rFonts w:eastAsia="Times New Roman" w:cs="Arial"/>
          <w:noProof/>
          <w:lang w:val="fr-BE"/>
        </w:rPr>
      </w:pPr>
      <w:r>
        <w:rPr>
          <w:noProof/>
          <w:lang w:val="fr-BE"/>
        </w:rPr>
        <w:t>A)</w:t>
      </w:r>
      <w:r>
        <w:rPr>
          <w:noProof/>
          <w:lang w:val="fr-BE"/>
        </w:rPr>
        <w:tab/>
        <w:t>centrālās valdības līmenī, kā noteikts Apvienotās Karalistes s</w:t>
      </w:r>
      <w:r>
        <w:rPr>
          <w:noProof/>
          <w:lang w:val="fr-BE"/>
        </w:rPr>
        <w:t xml:space="preserve">arakstā SERVIN.1. pielikumā [Esošie pasākumi]; </w:t>
      </w:r>
    </w:p>
    <w:p w:rsidR="003E022D" w:rsidRDefault="007D19D6">
      <w:pPr>
        <w:ind w:left="1440"/>
        <w:rPr>
          <w:rFonts w:eastAsia="Times New Roman" w:cs="Arial"/>
          <w:noProof/>
          <w:lang w:val="fr-BE"/>
        </w:rPr>
      </w:pPr>
      <w:r>
        <w:rPr>
          <w:noProof/>
          <w:lang w:val="fr-BE"/>
        </w:rPr>
        <w:t>B)</w:t>
      </w:r>
      <w:r>
        <w:rPr>
          <w:noProof/>
          <w:lang w:val="fr-BE"/>
        </w:rPr>
        <w:tab/>
        <w:t xml:space="preserve">[reģionālās valdības līmenī], kā noteikts Apvienotās Karalistes sarakstā SERVIN.1. pielikumā [Esošie pasākumi]; </w:t>
      </w:r>
    </w:p>
    <w:p w:rsidR="003E022D" w:rsidRDefault="007D19D6">
      <w:pPr>
        <w:ind w:left="1440"/>
        <w:rPr>
          <w:rFonts w:eastAsia="Times New Roman" w:cs="Arial"/>
          <w:noProof/>
          <w:lang w:val="fr-BE"/>
        </w:rPr>
      </w:pPr>
      <w:r>
        <w:rPr>
          <w:noProof/>
          <w:lang w:val="fr-BE"/>
        </w:rPr>
        <w:t xml:space="preserve">vai </w:t>
      </w:r>
    </w:p>
    <w:p w:rsidR="003E022D" w:rsidRDefault="007D19D6">
      <w:pPr>
        <w:ind w:left="1440"/>
        <w:rPr>
          <w:rFonts w:eastAsia="Times New Roman" w:cs="Arial"/>
          <w:noProof/>
          <w:lang w:val="fr-BE"/>
        </w:rPr>
      </w:pPr>
      <w:r>
        <w:rPr>
          <w:noProof/>
          <w:lang w:val="fr-BE"/>
        </w:rPr>
        <w:t>C)</w:t>
      </w:r>
      <w:r>
        <w:rPr>
          <w:noProof/>
          <w:lang w:val="fr-BE"/>
        </w:rPr>
        <w:tab/>
        <w:t>vietējas valdības līmenī;</w:t>
      </w:r>
    </w:p>
    <w:p w:rsidR="003E022D" w:rsidRDefault="007D19D6">
      <w:pPr>
        <w:numPr>
          <w:ilvl w:val="1"/>
          <w:numId w:val="592"/>
        </w:numPr>
        <w:ind w:left="567" w:hanging="567"/>
        <w:rPr>
          <w:rFonts w:eastAsia="Times New Roman" w:cs="Arial"/>
          <w:noProof/>
          <w:lang w:val="fr-BE"/>
        </w:rPr>
      </w:pPr>
      <w:r>
        <w:rPr>
          <w:noProof/>
          <w:lang w:val="fr-BE"/>
        </w:rPr>
        <w:t>šā punkta a) apakšpunktā norādītajai jebkurai neatbilstoša</w:t>
      </w:r>
      <w:r>
        <w:rPr>
          <w:noProof/>
          <w:lang w:val="fr-BE"/>
        </w:rPr>
        <w:t xml:space="preserve"> pasākuma turpināšanai vai tūlītējai atjaunošanai vai </w:t>
      </w:r>
    </w:p>
    <w:p w:rsidR="003E022D" w:rsidRDefault="007D19D6">
      <w:pPr>
        <w:numPr>
          <w:ilvl w:val="1"/>
          <w:numId w:val="592"/>
        </w:numPr>
        <w:ind w:left="567" w:hanging="567"/>
        <w:rPr>
          <w:rFonts w:eastAsia="Times New Roman" w:cs="Arial"/>
          <w:noProof/>
          <w:lang w:val="fr-BE"/>
        </w:rPr>
      </w:pPr>
      <w:r>
        <w:rPr>
          <w:noProof/>
          <w:lang w:val="fr-BE"/>
        </w:rPr>
        <w:t xml:space="preserve">izmaiņām neatbilstošā pasākumā, kas minēts šā punkta a) un b) apakšpunktā, ar nosacījumu, ka tās nesamazina pasākuma atbilstību, kāda tā bijusi tieši pirms izmaiņām, SERVIN.2.2. pantam [Piekļuve </w:t>
      </w:r>
      <w:r>
        <w:rPr>
          <w:noProof/>
          <w:lang w:val="fr-BE"/>
        </w:rPr>
        <w:t>tirgum], SERVIN.2.3. pantam [Valsts režīms], SERVIN2.4. pantam [Lielākās labvēlības režīms], SERVIN.2.5. pantam [Augstākā vadība un direktoru padomes] vai SERVIN.2.6. pantam [Veiktspējas prasības].</w:t>
      </w:r>
    </w:p>
    <w:p w:rsidR="003E022D" w:rsidRDefault="007D19D6">
      <w:pPr>
        <w:numPr>
          <w:ilvl w:val="0"/>
          <w:numId w:val="591"/>
        </w:numPr>
        <w:ind w:left="0" w:firstLine="0"/>
        <w:rPr>
          <w:rFonts w:eastAsia="Times New Roman" w:cs="Arial"/>
          <w:noProof/>
          <w:lang w:val="fr-BE"/>
        </w:rPr>
      </w:pPr>
      <w:r>
        <w:rPr>
          <w:noProof/>
          <w:lang w:val="fr-BE"/>
        </w:rPr>
        <w:t>SERVIN.2.2. pantu [Piekļuve tirgum], SERVIN.2.3. pantu [Va</w:t>
      </w:r>
      <w:r>
        <w:rPr>
          <w:noProof/>
          <w:lang w:val="fr-BE"/>
        </w:rPr>
        <w:t xml:space="preserve">lsts režīms], SERVIN.2.4. pantu [Lielākās labvēlības režīms], SERVIN.2.5. pantu [Augstākā vadība un direktoru padomes] un SERVIN.2.6. pantu [Veiktspējas prasības] nepiemēro Puses pasākumam, kas ir saderīgs ar atrunām, nosacījumiem vai kvalifikācijām, kuri </w:t>
      </w:r>
      <w:r>
        <w:rPr>
          <w:noProof/>
          <w:lang w:val="fr-BE"/>
        </w:rPr>
        <w:t>norādīti attiecībā uz šīs sadaļas SERVIN-2. pielikumā [Nākotnes pasākumi] uzskaitīto nozari, apakšnozari vai darbību.</w:t>
      </w:r>
    </w:p>
    <w:p w:rsidR="003E022D" w:rsidRDefault="007D19D6">
      <w:pPr>
        <w:numPr>
          <w:ilvl w:val="0"/>
          <w:numId w:val="591"/>
        </w:numPr>
        <w:ind w:left="0" w:firstLine="0"/>
        <w:rPr>
          <w:rFonts w:eastAsia="Times New Roman" w:cs="Arial"/>
          <w:noProof/>
          <w:lang w:val="fr-BE"/>
        </w:rPr>
      </w:pPr>
      <w:r>
        <w:rPr>
          <w:noProof/>
          <w:lang w:val="fr-BE"/>
        </w:rPr>
        <w:t>SERVIN.2.3. pantu [Valsts režīms] un SERVIN.2.4. pantu [Lielākās labvēlības režīms] nepiemēro nevienam pasākumam, kas ir izņēmums vai atkā</w:t>
      </w:r>
      <w:r>
        <w:rPr>
          <w:noProof/>
          <w:lang w:val="fr-BE"/>
        </w:rPr>
        <w:t xml:space="preserve">pe no </w:t>
      </w:r>
      <w:r>
        <w:rPr>
          <w:i/>
          <w:iCs/>
          <w:noProof/>
          <w:lang w:val="fr-BE"/>
        </w:rPr>
        <w:t>TRIPS</w:t>
      </w:r>
      <w:r>
        <w:rPr>
          <w:noProof/>
          <w:lang w:val="fr-BE"/>
        </w:rPr>
        <w:t xml:space="preserve"> līguma 3. vai 4. panta, kā konkrēti noteikts minētā līguma 3.–5. pantā.</w:t>
      </w:r>
    </w:p>
    <w:p w:rsidR="003E022D" w:rsidRDefault="007D19D6">
      <w:pPr>
        <w:numPr>
          <w:ilvl w:val="0"/>
          <w:numId w:val="591"/>
        </w:numPr>
        <w:ind w:left="0" w:firstLine="0"/>
        <w:rPr>
          <w:rFonts w:eastAsia="Times New Roman" w:cs="Arial"/>
          <w:noProof/>
          <w:lang w:val="fr-BE"/>
        </w:rPr>
      </w:pPr>
      <w:r>
        <w:rPr>
          <w:noProof/>
          <w:lang w:val="fr-BE"/>
        </w:rPr>
        <w:t>Lielākai noteiktībai – SERVIN.2.3. pantu [Valsts režīms] un SERVIN.2.4. pantu [Lielākās labvēlības režīms] neinterpretē tā, ka Pusei tiek liegts noteikt informācijas prasīb</w:t>
      </w:r>
      <w:r>
        <w:rPr>
          <w:noProof/>
          <w:lang w:val="fr-BE"/>
        </w:rPr>
        <w:t>as, t. sk. statistikas vajadzībām, saistībā ar otras Puses investoru vai aptverto uzņēmumu iedibināšanu vai darbību, ar nosacījumu, ka tas nav līdzeklis, lai apietu minētās Puses pienākumus, kas noteikti minētajos pantos.</w:t>
      </w:r>
    </w:p>
    <w:p w:rsidR="003E022D" w:rsidRDefault="007D19D6">
      <w:pPr>
        <w:pStyle w:val="Chapter"/>
        <w:rPr>
          <w:rFonts w:eastAsia="Times New Roman" w:cs="Arial"/>
          <w:noProof/>
          <w:lang w:val="fr-BE"/>
        </w:rPr>
      </w:pPr>
      <w:r>
        <w:rPr>
          <w:noProof/>
          <w:lang w:val="fr-BE"/>
        </w:rPr>
        <w:t>3. nodaļa. Pakalpojumu pārrobežu t</w:t>
      </w:r>
      <w:r>
        <w:rPr>
          <w:noProof/>
          <w:lang w:val="fr-BE"/>
        </w:rPr>
        <w:t>irdzniecība</w:t>
      </w:r>
    </w:p>
    <w:p w:rsidR="003E022D" w:rsidRDefault="007D19D6">
      <w:pPr>
        <w:pStyle w:val="Article"/>
        <w:rPr>
          <w:noProof/>
          <w:lang w:val="fr-BE"/>
        </w:rPr>
      </w:pPr>
      <w:r>
        <w:rPr>
          <w:noProof/>
          <w:lang w:val="fr-BE"/>
        </w:rPr>
        <w:t>SERVIN.3.1. pants. Darbības joma</w:t>
      </w:r>
    </w:p>
    <w:p w:rsidR="003E022D" w:rsidRDefault="007D19D6">
      <w:pPr>
        <w:rPr>
          <w:noProof/>
          <w:lang w:val="fr-BE"/>
        </w:rPr>
      </w:pPr>
      <w:r>
        <w:rPr>
          <w:noProof/>
          <w:lang w:val="fr-BE"/>
        </w:rPr>
        <w:t>Šo nodaļu piemēro Puses pasākumiem, kas skar pakalpojumu pārrobežu tirdzniecību, kuru veic otras Puses pakalpojumu sniedzēji.</w:t>
      </w:r>
    </w:p>
    <w:p w:rsidR="003E022D" w:rsidRDefault="007D19D6">
      <w:pPr>
        <w:pStyle w:val="Article"/>
        <w:rPr>
          <w:noProof/>
          <w:lang w:val="fr-BE"/>
        </w:rPr>
      </w:pPr>
      <w:r>
        <w:rPr>
          <w:noProof/>
          <w:lang w:val="fr-BE"/>
        </w:rPr>
        <w:t>SERVIN.3.2. pants. Piekļuve tirgum</w:t>
      </w:r>
    </w:p>
    <w:p w:rsidR="003E022D" w:rsidRDefault="007D19D6">
      <w:pPr>
        <w:autoSpaceDE w:val="0"/>
        <w:autoSpaceDN w:val="0"/>
        <w:adjustRightInd w:val="0"/>
        <w:rPr>
          <w:rFonts w:cs="Arial"/>
          <w:noProof/>
          <w:lang w:val="fr-BE"/>
        </w:rPr>
      </w:pPr>
      <w:r>
        <w:rPr>
          <w:noProof/>
          <w:lang w:val="fr-BE"/>
        </w:rPr>
        <w:t>Puse visā tās teritorijā vai pēc teritoriālā apakš</w:t>
      </w:r>
      <w:r>
        <w:rPr>
          <w:noProof/>
          <w:lang w:val="fr-BE"/>
        </w:rPr>
        <w:t>iedalījuma nepieņem vai nepatur spēkā pasākumus, kas:</w:t>
      </w:r>
    </w:p>
    <w:p w:rsidR="003E022D" w:rsidRDefault="007D19D6">
      <w:pPr>
        <w:numPr>
          <w:ilvl w:val="1"/>
          <w:numId w:val="593"/>
        </w:numPr>
        <w:ind w:left="567" w:hanging="567"/>
        <w:rPr>
          <w:rFonts w:cs="Arial"/>
          <w:noProof/>
        </w:rPr>
      </w:pPr>
      <w:r>
        <w:rPr>
          <w:noProof/>
        </w:rPr>
        <w:t>nosaka ierobežojumus:</w:t>
      </w:r>
    </w:p>
    <w:p w:rsidR="003E022D" w:rsidRDefault="007D19D6">
      <w:pPr>
        <w:ind w:left="1276" w:hanging="567"/>
        <w:rPr>
          <w:rFonts w:cs="Arial"/>
          <w:noProof/>
        </w:rPr>
      </w:pPr>
      <w:r>
        <w:rPr>
          <w:noProof/>
        </w:rPr>
        <w:t>i)</w:t>
      </w:r>
      <w:r>
        <w:rPr>
          <w:noProof/>
        </w:rPr>
        <w:tab/>
        <w:t>to pakalpojumu sniedzēju skaitam, kas var sniegt konkrētu pakalpojumu, vai nu skaitlisku kvotu, monopolu, ekskluzīvu pakalpojumu sniedzēju, vai ekonomisko vajadzību pārbaudes pr</w:t>
      </w:r>
      <w:r>
        <w:rPr>
          <w:noProof/>
        </w:rPr>
        <w:t xml:space="preserve">asību veidā; </w:t>
      </w:r>
    </w:p>
    <w:p w:rsidR="003E022D" w:rsidRDefault="007D19D6">
      <w:pPr>
        <w:ind w:left="1276" w:hanging="567"/>
        <w:rPr>
          <w:rFonts w:cs="Arial"/>
          <w:noProof/>
        </w:rPr>
      </w:pPr>
      <w:r>
        <w:rPr>
          <w:noProof/>
        </w:rPr>
        <w:t>ii)</w:t>
      </w:r>
      <w:r>
        <w:rPr>
          <w:noProof/>
        </w:rPr>
        <w:tab/>
        <w:t>pakalpojumu darījumu vai aktīvu kopējai vērtībai skaitlisku kvotu vai ekonomisko vajadzību pārbaudes prasību veidā vai</w:t>
      </w:r>
    </w:p>
    <w:p w:rsidR="003E022D" w:rsidRDefault="007D19D6">
      <w:pPr>
        <w:ind w:left="1276" w:hanging="567"/>
        <w:rPr>
          <w:rFonts w:cs="Arial"/>
          <w:noProof/>
        </w:rPr>
      </w:pPr>
      <w:r>
        <w:rPr>
          <w:noProof/>
        </w:rPr>
        <w:t>iii)</w:t>
      </w:r>
      <w:r>
        <w:rPr>
          <w:noProof/>
        </w:rPr>
        <w:tab/>
        <w:t>pakalpojumu darījumu kopskaitam vai sniegto pakalpojumu kopējam daudzumam, kas izteikti noteiktās skaitliskās vien</w:t>
      </w:r>
      <w:r>
        <w:rPr>
          <w:noProof/>
        </w:rPr>
        <w:t>ībās kvotu vai ekonomisko vajadzību pārbaudes prasību veidā</w:t>
      </w:r>
      <w:r>
        <w:rPr>
          <w:rStyle w:val="FootnoteReference"/>
          <w:rFonts w:cs="Arial"/>
          <w:noProof/>
        </w:rPr>
        <w:footnoteReference w:id="13"/>
      </w:r>
      <w:r>
        <w:rPr>
          <w:noProof/>
        </w:rPr>
        <w:t>; vai</w:t>
      </w:r>
    </w:p>
    <w:p w:rsidR="003E022D" w:rsidRDefault="007D19D6">
      <w:pPr>
        <w:autoSpaceDE w:val="0"/>
        <w:autoSpaceDN w:val="0"/>
        <w:adjustRightInd w:val="0"/>
        <w:rPr>
          <w:rFonts w:cs="Arial"/>
          <w:noProof/>
        </w:rPr>
      </w:pPr>
      <w:r>
        <w:rPr>
          <w:noProof/>
        </w:rPr>
        <w:t>b)</w:t>
      </w:r>
      <w:r>
        <w:rPr>
          <w:noProof/>
        </w:rPr>
        <w:tab/>
        <w:t>ierobežo vai pieprasa īpašus juridiskās personas vai kopuzņēmumu veidus, kuru formā pakalpojumu sniedzējs var sniegt pakalpojumu.</w:t>
      </w:r>
    </w:p>
    <w:p w:rsidR="003E022D" w:rsidRDefault="007D19D6">
      <w:pPr>
        <w:pStyle w:val="Article"/>
        <w:rPr>
          <w:noProof/>
        </w:rPr>
      </w:pPr>
      <w:r>
        <w:rPr>
          <w:noProof/>
        </w:rPr>
        <w:t>SERVIN.3.3. pants. Klātbūtne uz vietas</w:t>
      </w:r>
    </w:p>
    <w:p w:rsidR="003E022D" w:rsidRDefault="007D19D6">
      <w:pPr>
        <w:autoSpaceDE w:val="0"/>
        <w:autoSpaceDN w:val="0"/>
        <w:adjustRightInd w:val="0"/>
        <w:rPr>
          <w:rFonts w:cs="Arial"/>
          <w:noProof/>
        </w:rPr>
      </w:pPr>
      <w:r>
        <w:rPr>
          <w:noProof/>
        </w:rPr>
        <w:t>Puse kā priekšnosa</w:t>
      </w:r>
      <w:r>
        <w:rPr>
          <w:noProof/>
        </w:rPr>
        <w:t>cījumu pakalpojumu pārrobežu sniegšanai nepieprasa, lai otras Puses pakalpojumu sniedzējs pirmās Puses teritorijā izveidotu vai uzturētu uzņēmumu vai būtu tās rezidents.</w:t>
      </w:r>
    </w:p>
    <w:p w:rsidR="003E022D" w:rsidRDefault="007D19D6">
      <w:pPr>
        <w:pStyle w:val="Article"/>
        <w:rPr>
          <w:noProof/>
        </w:rPr>
      </w:pPr>
      <w:r>
        <w:rPr>
          <w:noProof/>
        </w:rPr>
        <w:t>SERVIN.3.4. pants.</w:t>
      </w:r>
      <w:r>
        <w:rPr>
          <w:noProof/>
          <w:color w:val="FF0000"/>
        </w:rPr>
        <w:t xml:space="preserve"> </w:t>
      </w:r>
      <w:r>
        <w:rPr>
          <w:noProof/>
        </w:rPr>
        <w:t>Valsts režīms</w:t>
      </w:r>
    </w:p>
    <w:p w:rsidR="003E022D" w:rsidRDefault="007D19D6">
      <w:pPr>
        <w:numPr>
          <w:ilvl w:val="0"/>
          <w:numId w:val="594"/>
        </w:numPr>
        <w:ind w:left="0" w:firstLine="0"/>
        <w:rPr>
          <w:rFonts w:cs="Arial"/>
          <w:bCs/>
          <w:noProof/>
        </w:rPr>
      </w:pPr>
      <w:r>
        <w:rPr>
          <w:noProof/>
        </w:rPr>
        <w:t xml:space="preserve">Katra Puse piešķir otras Puses pakalpojumiem un </w:t>
      </w:r>
      <w:r>
        <w:rPr>
          <w:noProof/>
        </w:rPr>
        <w:t>pakalpojumu sniedzējiem ne mazāk labvēlīgu režīmu par to, ko tā līdzīgās situācijās piešķir saviem pakalpojumiem un pakalpojumu sniedzējiem.</w:t>
      </w:r>
    </w:p>
    <w:p w:rsidR="003E022D" w:rsidRDefault="007D19D6">
      <w:pPr>
        <w:numPr>
          <w:ilvl w:val="0"/>
          <w:numId w:val="594"/>
        </w:numPr>
        <w:ind w:left="0" w:firstLine="0"/>
        <w:rPr>
          <w:rFonts w:cs="Arial"/>
          <w:bCs/>
          <w:noProof/>
        </w:rPr>
      </w:pPr>
      <w:r>
        <w:rPr>
          <w:noProof/>
        </w:rPr>
        <w:t>Puse var nodrošināt atbilstību 1. punktā norādītajām prasībām, piešķirot otras Puses pakalpojumiem un pakalpojumu s</w:t>
      </w:r>
      <w:r>
        <w:rPr>
          <w:noProof/>
        </w:rPr>
        <w:t>niedzējiem režīmu, kas ir oficiāli identisks režīmam, kuru tā piešķir saviem pakalpojumiem un pakalpojumu sniedzējiem, vai kas ir oficiāli atšķirīgs no tā.</w:t>
      </w:r>
    </w:p>
    <w:p w:rsidR="003E022D" w:rsidRDefault="007D19D6">
      <w:pPr>
        <w:numPr>
          <w:ilvl w:val="0"/>
          <w:numId w:val="594"/>
        </w:numPr>
        <w:ind w:left="0" w:firstLine="0"/>
        <w:rPr>
          <w:rFonts w:cs="Arial"/>
          <w:bCs/>
          <w:noProof/>
        </w:rPr>
      </w:pPr>
      <w:r>
        <w:rPr>
          <w:noProof/>
        </w:rPr>
        <w:t>Oficiāli identisks vai oficiāli atšķirīgs režīms uzskatāms par mazāk labvēlīgu, ja tas izmaina konku</w:t>
      </w:r>
      <w:r>
        <w:rPr>
          <w:noProof/>
        </w:rPr>
        <w:t>rences apstākļus vienas Puses pakalpojumu vai pakalpojumu sniedzēju labā salīdzinājumā ar otras Puses pakalpojumiem vai pakalpojumu sniedzējiem.</w:t>
      </w:r>
    </w:p>
    <w:p w:rsidR="003E022D" w:rsidRDefault="007D19D6">
      <w:pPr>
        <w:numPr>
          <w:ilvl w:val="0"/>
          <w:numId w:val="594"/>
        </w:numPr>
        <w:ind w:left="0" w:firstLine="0"/>
        <w:rPr>
          <w:rFonts w:cs="Arial"/>
          <w:bCs/>
          <w:noProof/>
        </w:rPr>
      </w:pPr>
      <w:r>
        <w:rPr>
          <w:noProof/>
        </w:rPr>
        <w:t>Neko šajā pantā neinterpretē tā, ka Pusei tiek prasīts kompensēt neizdevīgus konkurences apstākļus, kas rodas a</w:t>
      </w:r>
      <w:r>
        <w:rPr>
          <w:noProof/>
        </w:rPr>
        <w:t>ttiecīgo pakalpojumu vai pakalpojumu sniedzēju ārvalsts statusa dēļ.</w:t>
      </w:r>
    </w:p>
    <w:p w:rsidR="003E022D" w:rsidRDefault="007D19D6">
      <w:pPr>
        <w:pStyle w:val="Article"/>
        <w:rPr>
          <w:noProof/>
          <w:shd w:val="clear" w:color="auto" w:fill="FFFFFF"/>
        </w:rPr>
      </w:pPr>
      <w:r>
        <w:rPr>
          <w:noProof/>
          <w:shd w:val="clear" w:color="auto" w:fill="FFFFFF"/>
        </w:rPr>
        <w:t>SERVIN</w:t>
      </w:r>
      <w:r>
        <w:rPr>
          <w:noProof/>
        </w:rPr>
        <w:t xml:space="preserve">.3.5. pants. </w:t>
      </w:r>
      <w:r>
        <w:rPr>
          <w:noProof/>
          <w:shd w:val="clear" w:color="auto" w:fill="FFFFFF"/>
        </w:rPr>
        <w:t>Lielākās labvēlības režīms</w:t>
      </w:r>
    </w:p>
    <w:p w:rsidR="003E022D" w:rsidRDefault="007D19D6">
      <w:pPr>
        <w:numPr>
          <w:ilvl w:val="0"/>
          <w:numId w:val="595"/>
        </w:numPr>
        <w:ind w:left="0" w:firstLine="0"/>
        <w:rPr>
          <w:rFonts w:cs="Arial"/>
          <w:noProof/>
        </w:rPr>
      </w:pPr>
      <w:r>
        <w:rPr>
          <w:noProof/>
        </w:rPr>
        <w:t xml:space="preserve">Katra Puse piešķir otras Puses pakalpojumiem un pakalpojumu sniedzējiem ne mazāk labvēlīgu režīmu par to, ko tā līdzīgās situācijās piešķir </w:t>
      </w:r>
      <w:r>
        <w:rPr>
          <w:noProof/>
        </w:rPr>
        <w:t>trešās valsts pakalpojumiem un pakalpojumu sniedzējiem.</w:t>
      </w:r>
    </w:p>
    <w:p w:rsidR="003E022D" w:rsidRDefault="007D19D6">
      <w:pPr>
        <w:numPr>
          <w:ilvl w:val="0"/>
          <w:numId w:val="595"/>
        </w:numPr>
        <w:ind w:left="0" w:firstLine="0"/>
        <w:rPr>
          <w:rFonts w:cs="Arial"/>
          <w:noProof/>
        </w:rPr>
      </w:pPr>
      <w:r>
        <w:rPr>
          <w:noProof/>
        </w:rPr>
        <w:t>Panta 1. punktu neinterpretē tā, ka Pusei tiek uzlikts pienākums attiecināt uz otras Puses pakalpojumiem un pakalpojumu sniedzējiem režīma priekšrocības, kas izriet no:</w:t>
      </w:r>
    </w:p>
    <w:p w:rsidR="003E022D" w:rsidRDefault="007D19D6">
      <w:pPr>
        <w:numPr>
          <w:ilvl w:val="1"/>
          <w:numId w:val="596"/>
        </w:numPr>
        <w:ind w:left="567" w:hanging="567"/>
        <w:rPr>
          <w:rFonts w:cs="Arial"/>
          <w:noProof/>
        </w:rPr>
      </w:pPr>
      <w:r>
        <w:rPr>
          <w:noProof/>
        </w:rPr>
        <w:t>starptautiska nolīguma par nodo</w:t>
      </w:r>
      <w:r>
        <w:rPr>
          <w:noProof/>
        </w:rPr>
        <w:t>kļu dubultas uzlikšanas novēršanu vai cita starptautiska nolīguma vai vienošanās, kas pilnīgi vai galvenokārt attiecas uz nodokļiem, vai</w:t>
      </w:r>
    </w:p>
    <w:p w:rsidR="003E022D" w:rsidRDefault="007D19D6">
      <w:pPr>
        <w:numPr>
          <w:ilvl w:val="1"/>
          <w:numId w:val="596"/>
        </w:numPr>
        <w:ind w:left="567" w:hanging="567"/>
        <w:rPr>
          <w:rFonts w:cs="Arial"/>
          <w:noProof/>
        </w:rPr>
      </w:pPr>
      <w:r>
        <w:rPr>
          <w:noProof/>
        </w:rPr>
        <w:t>pasākumiem, kas nodrošina tādu fiziskas personas vai uzņēmuma licenču vai sertifikātu, t. sk. atļaujām vajadzīgo standa</w:t>
      </w:r>
      <w:r>
        <w:rPr>
          <w:noProof/>
        </w:rPr>
        <w:t xml:space="preserve">rtu vai kritēriju atzīšanu, kuri vajadzīgi saimnieciskās darbības veikšanai, vai to piesardzības pasākumu atzīšanu, kas noteikti </w:t>
      </w:r>
      <w:r>
        <w:rPr>
          <w:i/>
          <w:noProof/>
        </w:rPr>
        <w:t>GATS</w:t>
      </w:r>
      <w:r>
        <w:rPr>
          <w:noProof/>
        </w:rPr>
        <w:t xml:space="preserve"> pielikuma par finanšu pakalpojumiem 3. punktā.</w:t>
      </w:r>
    </w:p>
    <w:p w:rsidR="003E022D" w:rsidRDefault="007D19D6">
      <w:pPr>
        <w:numPr>
          <w:ilvl w:val="0"/>
          <w:numId w:val="595"/>
        </w:numPr>
        <w:ind w:left="0" w:firstLine="0"/>
        <w:rPr>
          <w:rFonts w:cs="Arial"/>
          <w:noProof/>
        </w:rPr>
      </w:pPr>
      <w:r>
        <w:rPr>
          <w:noProof/>
        </w:rPr>
        <w:t>Lielākai noteiktībai — materiālo tiesību normu esamība citos starptautiskos</w:t>
      </w:r>
      <w:r>
        <w:rPr>
          <w:noProof/>
        </w:rPr>
        <w:t xml:space="preserve"> nolīgumos, ko Puse noslēgusi ar trešo valsti, vai minēto normu tikai formāla transponēšana valsts tiesību aktos, ciktāl tas ir nepieciešams, lai tās iekļautu valsts tiesību sistēmā, pati par sevi nav par 1. punktā minētais “režīms”. Pasākumi, ko Puse veik</w:t>
      </w:r>
      <w:r>
        <w:rPr>
          <w:noProof/>
        </w:rPr>
        <w:t>usi saskaņā ar minētajām normām, var būt režīms un tādējādi iemesls šā panta pārkāpumam.</w:t>
      </w:r>
    </w:p>
    <w:p w:rsidR="003E022D" w:rsidRDefault="007D19D6">
      <w:pPr>
        <w:pStyle w:val="Article"/>
        <w:rPr>
          <w:noProof/>
        </w:rPr>
      </w:pPr>
      <w:r>
        <w:rPr>
          <w:noProof/>
        </w:rPr>
        <w:t>SERVIN.3.6. pants. Neatbilstoši pasākumi</w:t>
      </w:r>
    </w:p>
    <w:p w:rsidR="003E022D" w:rsidRDefault="007D19D6">
      <w:pPr>
        <w:numPr>
          <w:ilvl w:val="0"/>
          <w:numId w:val="597"/>
        </w:numPr>
        <w:ind w:left="567" w:hanging="567"/>
        <w:rPr>
          <w:rFonts w:cs="Arial"/>
          <w:noProof/>
        </w:rPr>
      </w:pPr>
      <w:r>
        <w:rPr>
          <w:noProof/>
        </w:rPr>
        <w:t>SERVIN.3.2. pantu [Piekļuve tirgum], SERVIN.3.3. pantu [Klātbūtne uz vietas], SERVIN.3.4. pantu [Valsts režīms] un SERVIN.3.5.</w:t>
      </w:r>
      <w:r>
        <w:rPr>
          <w:noProof/>
        </w:rPr>
        <w:t xml:space="preserve"> pantu [Lielākās labvēlības režīms] nepiemēro: </w:t>
      </w:r>
    </w:p>
    <w:p w:rsidR="003E022D" w:rsidRDefault="007D19D6">
      <w:pPr>
        <w:numPr>
          <w:ilvl w:val="1"/>
          <w:numId w:val="598"/>
        </w:numPr>
        <w:ind w:left="567" w:hanging="567"/>
        <w:rPr>
          <w:rFonts w:cs="Arial"/>
          <w:bCs/>
          <w:noProof/>
        </w:rPr>
      </w:pPr>
      <w:r>
        <w:rPr>
          <w:noProof/>
        </w:rPr>
        <w:t>spēkā esošam neatbilstošam Puses pasākumam:</w:t>
      </w:r>
    </w:p>
    <w:p w:rsidR="003E022D" w:rsidRDefault="007D19D6">
      <w:pPr>
        <w:ind w:left="1276" w:hanging="567"/>
        <w:rPr>
          <w:rFonts w:cs="Arial"/>
          <w:bCs/>
          <w:noProof/>
        </w:rPr>
      </w:pPr>
      <w:r>
        <w:rPr>
          <w:noProof/>
        </w:rPr>
        <w:t>i)</w:t>
      </w:r>
      <w:r>
        <w:rPr>
          <w:noProof/>
        </w:rPr>
        <w:tab/>
        <w:t>attiecībā uz Savienību:</w:t>
      </w:r>
    </w:p>
    <w:p w:rsidR="003E022D" w:rsidRDefault="007D19D6">
      <w:pPr>
        <w:autoSpaceDE w:val="0"/>
        <w:autoSpaceDN w:val="0"/>
        <w:adjustRightInd w:val="0"/>
        <w:ind w:left="1440"/>
        <w:rPr>
          <w:rFonts w:cs="Arial"/>
          <w:bCs/>
          <w:noProof/>
        </w:rPr>
      </w:pPr>
      <w:r>
        <w:rPr>
          <w:noProof/>
        </w:rPr>
        <w:t>A)</w:t>
      </w:r>
      <w:r>
        <w:rPr>
          <w:noProof/>
        </w:rPr>
        <w:tab/>
        <w:t xml:space="preserve">Savienības līmenī, kā noteikts Savienības sarakstā SERVIN-1. pielikumā [Esošie pasākumi]; </w:t>
      </w:r>
    </w:p>
    <w:p w:rsidR="003E022D" w:rsidRDefault="007D19D6">
      <w:pPr>
        <w:autoSpaceDE w:val="0"/>
        <w:autoSpaceDN w:val="0"/>
        <w:adjustRightInd w:val="0"/>
        <w:ind w:left="2160" w:hanging="720"/>
        <w:rPr>
          <w:rFonts w:cs="Arial"/>
          <w:bCs/>
          <w:noProof/>
        </w:rPr>
      </w:pPr>
      <w:r>
        <w:rPr>
          <w:noProof/>
        </w:rPr>
        <w:t>B)</w:t>
      </w:r>
      <w:r>
        <w:rPr>
          <w:noProof/>
        </w:rPr>
        <w:tab/>
        <w:t>dalībvalsts centrālās valdības līmenī, k</w:t>
      </w:r>
      <w:r>
        <w:rPr>
          <w:noProof/>
        </w:rPr>
        <w:t xml:space="preserve">ā noteikts Savienības sarakstā SERVIN-1 pielikumā [Esošie pasākumi]; </w:t>
      </w:r>
    </w:p>
    <w:p w:rsidR="003E022D" w:rsidRDefault="007D19D6">
      <w:pPr>
        <w:autoSpaceDE w:val="0"/>
        <w:autoSpaceDN w:val="0"/>
        <w:adjustRightInd w:val="0"/>
        <w:ind w:left="2160" w:hanging="720"/>
        <w:rPr>
          <w:rFonts w:cs="Arial"/>
          <w:bCs/>
          <w:noProof/>
        </w:rPr>
      </w:pPr>
      <w:r>
        <w:rPr>
          <w:noProof/>
        </w:rPr>
        <w:t>C)</w:t>
      </w:r>
      <w:r>
        <w:rPr>
          <w:noProof/>
        </w:rPr>
        <w:tab/>
        <w:t xml:space="preserve">dalībvalsts reģionālās valdības līmenī, kā noteikts Savienības sarakstā SERVIN-1 pielikumā [Esošie pasākumi]; vai </w:t>
      </w:r>
    </w:p>
    <w:p w:rsidR="003E022D" w:rsidRDefault="007D19D6">
      <w:pPr>
        <w:autoSpaceDE w:val="0"/>
        <w:autoSpaceDN w:val="0"/>
        <w:adjustRightInd w:val="0"/>
        <w:ind w:left="1440"/>
        <w:rPr>
          <w:rFonts w:cs="Arial"/>
          <w:bCs/>
          <w:noProof/>
        </w:rPr>
      </w:pPr>
      <w:r>
        <w:rPr>
          <w:noProof/>
        </w:rPr>
        <w:t>D)</w:t>
      </w:r>
      <w:r>
        <w:rPr>
          <w:noProof/>
        </w:rPr>
        <w:tab/>
        <w:t>tādas vietējās valdības līmenī, kas nav C) punktā minētā valdība,</w:t>
      </w:r>
      <w:r>
        <w:rPr>
          <w:noProof/>
        </w:rPr>
        <w:t xml:space="preserve"> un</w:t>
      </w:r>
    </w:p>
    <w:p w:rsidR="003E022D" w:rsidRDefault="007D19D6">
      <w:pPr>
        <w:ind w:left="1276" w:hanging="567"/>
        <w:rPr>
          <w:rFonts w:cs="Arial"/>
          <w:bCs/>
          <w:noProof/>
        </w:rPr>
      </w:pPr>
      <w:r>
        <w:rPr>
          <w:noProof/>
        </w:rPr>
        <w:t>ii)</w:t>
      </w:r>
      <w:r>
        <w:rPr>
          <w:noProof/>
        </w:rPr>
        <w:tab/>
        <w:t>attiecībā uz Apvienoto Karalisti:</w:t>
      </w:r>
    </w:p>
    <w:p w:rsidR="003E022D" w:rsidRDefault="007D19D6">
      <w:pPr>
        <w:autoSpaceDE w:val="0"/>
        <w:autoSpaceDN w:val="0"/>
        <w:adjustRightInd w:val="0"/>
        <w:ind w:left="2160" w:hanging="720"/>
        <w:rPr>
          <w:rFonts w:cs="Arial"/>
          <w:bCs/>
          <w:noProof/>
        </w:rPr>
      </w:pPr>
      <w:r>
        <w:rPr>
          <w:noProof/>
        </w:rPr>
        <w:t>A)</w:t>
      </w:r>
      <w:r>
        <w:rPr>
          <w:noProof/>
        </w:rPr>
        <w:tab/>
        <w:t>centrālās valdības līmenī, kā noteikts Apvienotās Karalistes sarakstā SERVIN-1. pielikumā [Esošie pasākumi];</w:t>
      </w:r>
    </w:p>
    <w:p w:rsidR="003E022D" w:rsidRDefault="007D19D6">
      <w:pPr>
        <w:autoSpaceDE w:val="0"/>
        <w:autoSpaceDN w:val="0"/>
        <w:adjustRightInd w:val="0"/>
        <w:ind w:left="2160" w:hanging="720"/>
        <w:rPr>
          <w:rFonts w:cs="Arial"/>
          <w:bCs/>
          <w:noProof/>
        </w:rPr>
      </w:pPr>
      <w:r>
        <w:rPr>
          <w:noProof/>
        </w:rPr>
        <w:t>B)</w:t>
      </w:r>
      <w:r>
        <w:rPr>
          <w:noProof/>
        </w:rPr>
        <w:tab/>
        <w:t xml:space="preserve">reģionālās valdības līmenī, kā noteikts Apvienotās Karalistes sarakstā SERVIN-1. pielikumā [Esošie </w:t>
      </w:r>
      <w:r>
        <w:rPr>
          <w:noProof/>
        </w:rPr>
        <w:t xml:space="preserve">pasākumi]; vai </w:t>
      </w:r>
    </w:p>
    <w:p w:rsidR="003E022D" w:rsidRDefault="007D19D6">
      <w:pPr>
        <w:autoSpaceDE w:val="0"/>
        <w:autoSpaceDN w:val="0"/>
        <w:adjustRightInd w:val="0"/>
        <w:ind w:left="1440"/>
        <w:rPr>
          <w:rFonts w:cs="Arial"/>
          <w:bCs/>
          <w:noProof/>
        </w:rPr>
      </w:pPr>
      <w:r>
        <w:rPr>
          <w:noProof/>
        </w:rPr>
        <w:t>C)</w:t>
      </w:r>
      <w:r>
        <w:rPr>
          <w:noProof/>
        </w:rPr>
        <w:tab/>
        <w:t>vietējas valdības līmenī;</w:t>
      </w:r>
    </w:p>
    <w:p w:rsidR="003E022D" w:rsidRDefault="007D19D6">
      <w:pPr>
        <w:numPr>
          <w:ilvl w:val="1"/>
          <w:numId w:val="598"/>
        </w:numPr>
        <w:ind w:left="567" w:hanging="567"/>
        <w:rPr>
          <w:rFonts w:cs="Arial"/>
          <w:noProof/>
        </w:rPr>
      </w:pPr>
      <w:r>
        <w:rPr>
          <w:noProof/>
        </w:rPr>
        <w:t xml:space="preserve">šā punkta a) apakšpunktā norādītajai jebkurai neatbilstoša pasākuma turpināšanai vai tūlītējai atjaunošanai vai </w:t>
      </w:r>
    </w:p>
    <w:p w:rsidR="003E022D" w:rsidRDefault="007D19D6">
      <w:pPr>
        <w:numPr>
          <w:ilvl w:val="1"/>
          <w:numId w:val="598"/>
        </w:numPr>
        <w:ind w:left="567" w:hanging="567"/>
        <w:rPr>
          <w:rFonts w:cs="Arial"/>
          <w:noProof/>
        </w:rPr>
      </w:pPr>
      <w:r>
        <w:rPr>
          <w:noProof/>
        </w:rPr>
        <w:t xml:space="preserve">izmaiņām neatbilstošā pasākumā, kas minēts šā punkta a) un b) apakšpunktā, tādā apmērā, kurš </w:t>
      </w:r>
      <w:r>
        <w:rPr>
          <w:noProof/>
        </w:rPr>
        <w:t>nesamazina pasākuma atbilstību, kāda tā bijusi tieši pirms izmaiņām, SERVIN.3.2. pantam [Piekļuve tirgum], SERVIN.3.3. pantam [Klātbūtne uz vietas], SERVIN.3.4. pantam [Valsts režīms] un SERVIN.3.5. pantam [Lielākās labvēlības režīms].</w:t>
      </w:r>
    </w:p>
    <w:p w:rsidR="003E022D" w:rsidRDefault="007D19D6">
      <w:pPr>
        <w:numPr>
          <w:ilvl w:val="0"/>
          <w:numId w:val="597"/>
        </w:numPr>
        <w:ind w:left="567" w:hanging="567"/>
        <w:rPr>
          <w:rFonts w:cs="Arial"/>
          <w:bCs/>
          <w:noProof/>
        </w:rPr>
      </w:pPr>
      <w:r>
        <w:rPr>
          <w:noProof/>
        </w:rPr>
        <w:t>SERVIN.3.2. pantu [P</w:t>
      </w:r>
      <w:r>
        <w:rPr>
          <w:noProof/>
        </w:rPr>
        <w:t>iekļuve tirgum], SERVIN.3.3. pantu [Klātbūtne uz vietas], SERVIN.3.4. pantu [Valsts režīms] un SERVIN.3.5. pantu [Lielākās labvēlības režīms] nepiemēro Puses pasākumam, kas ir saderīgs ar atrunām, nosacījumiem vai kvalifikācijām, kuri norādīti attiecībā uz</w:t>
      </w:r>
      <w:r>
        <w:rPr>
          <w:noProof/>
        </w:rPr>
        <w:t xml:space="preserve"> SERVIN-2. pielikumā [Nākotnes pasākumi] uzskaitīto nozari, apakšnozari vai darbību.</w:t>
      </w:r>
    </w:p>
    <w:p w:rsidR="003E022D" w:rsidRDefault="007D19D6">
      <w:pPr>
        <w:pStyle w:val="Chapter"/>
        <w:rPr>
          <w:noProof/>
        </w:rPr>
      </w:pPr>
      <w:r>
        <w:rPr>
          <w:noProof/>
        </w:rPr>
        <w:t>4. nodaļa. Fizisku personu ieceļošana un pagaidu uzturēšanās darījumdarbības nolūkā</w:t>
      </w:r>
    </w:p>
    <w:p w:rsidR="003E022D" w:rsidRDefault="007D19D6">
      <w:pPr>
        <w:pStyle w:val="Article"/>
        <w:rPr>
          <w:noProof/>
          <w:lang w:val="fr-BE"/>
        </w:rPr>
      </w:pPr>
      <w:r>
        <w:rPr>
          <w:noProof/>
          <w:lang w:val="fr-BE"/>
        </w:rPr>
        <w:t xml:space="preserve">SERVIN.4.1. pants. Darbības joma un definīcijas </w:t>
      </w:r>
    </w:p>
    <w:p w:rsidR="003E022D" w:rsidRDefault="007D19D6">
      <w:pPr>
        <w:numPr>
          <w:ilvl w:val="0"/>
          <w:numId w:val="599"/>
        </w:numPr>
        <w:ind w:left="0" w:firstLine="0"/>
        <w:rPr>
          <w:rFonts w:cs="Arial"/>
          <w:bCs/>
          <w:noProof/>
          <w:lang w:val="fr-BE"/>
        </w:rPr>
      </w:pPr>
      <w:r>
        <w:rPr>
          <w:noProof/>
          <w:lang w:val="fr-BE"/>
        </w:rPr>
        <w:t xml:space="preserve">Šo nodaļu piemēro Puses pasākumiem, </w:t>
      </w:r>
      <w:r>
        <w:rPr>
          <w:noProof/>
          <w:lang w:val="fr-BE"/>
        </w:rPr>
        <w:t>kas skar saimniecisko darbību veikšanu, kuras tās teritorijā veic otras Puses fiziskās personas, kas ieceļo un pagaidu kārtā uzturas un kas ir viesdarbinieki uzņēmējdarbības veikšanas nolūkā, līgumpakalpojumu sniedzēji, neatkarīgie speciālisti, uzņēmuma ie</w:t>
      </w:r>
      <w:r>
        <w:rPr>
          <w:noProof/>
          <w:lang w:val="fr-BE"/>
        </w:rPr>
        <w:t>tvaros pārceltie darbinieki un īstermiņa viesdarbinieki.</w:t>
      </w:r>
    </w:p>
    <w:p w:rsidR="003E022D" w:rsidRDefault="007D19D6">
      <w:pPr>
        <w:numPr>
          <w:ilvl w:val="0"/>
          <w:numId w:val="599"/>
        </w:numPr>
        <w:ind w:left="0" w:firstLine="0"/>
        <w:rPr>
          <w:rFonts w:cs="Arial"/>
          <w:bCs/>
          <w:noProof/>
          <w:lang w:val="fr-BE"/>
        </w:rPr>
      </w:pPr>
      <w:r>
        <w:rPr>
          <w:noProof/>
          <w:lang w:val="fr-BE"/>
        </w:rPr>
        <w:t xml:space="preserve">Ciktāl šajā nodaļā nav ietvertas saistības, turpina piemērot visas Puses tiesībās ietvertās prasības attiecībā uz fizisku personu ieceļošanu un pagaidu uzturēšanos, t. sk. normatīvos aktus attiecībā </w:t>
      </w:r>
      <w:r>
        <w:rPr>
          <w:noProof/>
          <w:lang w:val="fr-BE"/>
        </w:rPr>
        <w:t>uz uzturēšanās ilgumu.</w:t>
      </w:r>
    </w:p>
    <w:p w:rsidR="003E022D" w:rsidRDefault="007D19D6">
      <w:pPr>
        <w:numPr>
          <w:ilvl w:val="0"/>
          <w:numId w:val="599"/>
        </w:numPr>
        <w:ind w:left="0" w:firstLine="0"/>
        <w:rPr>
          <w:rFonts w:cs="Arial"/>
          <w:bCs/>
          <w:noProof/>
          <w:lang w:val="fr-BE"/>
        </w:rPr>
      </w:pPr>
      <w:r>
        <w:rPr>
          <w:noProof/>
          <w:lang w:val="fr-BE"/>
        </w:rPr>
        <w:t>Neatkarīgi no šīs nodaļas noteikumiem turpina piemērot visas prasības, kas paredzētas Puses tiesībās attiecībā uz nodarbinātību un sociālās nodrošināšanas pasākumiem, t. sk. normatīvos aktus par minimālajām algām un koplīgumiem.</w:t>
      </w:r>
    </w:p>
    <w:p w:rsidR="003E022D" w:rsidRDefault="007D19D6">
      <w:pPr>
        <w:numPr>
          <w:ilvl w:val="0"/>
          <w:numId w:val="599"/>
        </w:numPr>
        <w:ind w:left="0" w:firstLine="0"/>
        <w:rPr>
          <w:rFonts w:cs="Arial"/>
          <w:bCs/>
          <w:noProof/>
          <w:lang w:val="fr-BE"/>
        </w:rPr>
      </w:pPr>
      <w:r>
        <w:rPr>
          <w:noProof/>
          <w:lang w:val="fr-BE"/>
        </w:rPr>
        <w:t>Sais</w:t>
      </w:r>
      <w:r>
        <w:rPr>
          <w:noProof/>
          <w:lang w:val="fr-BE"/>
        </w:rPr>
        <w:t>tības attiecībā uz fizisku personu ieceļošanu un pagaidu uzturēšanos darījumdarbības nolūkā nepiemēro gadījumos, kad ieceļošanas un pagaidu uzturēšanās nolūks vai sekas ir iejaukties vai citādi ietekmēt jebkādu darbinieku vai vadības strīdu vai sarunas vai</w:t>
      </w:r>
      <w:r>
        <w:rPr>
          <w:noProof/>
          <w:lang w:val="fr-BE"/>
        </w:rPr>
        <w:t xml:space="preserve"> jebkuras minētajā strīdā iesaistītas fiziskas personas nodarbinātību. </w:t>
      </w:r>
    </w:p>
    <w:p w:rsidR="003E022D" w:rsidRDefault="007D19D6">
      <w:pPr>
        <w:numPr>
          <w:ilvl w:val="0"/>
          <w:numId w:val="599"/>
        </w:numPr>
        <w:ind w:left="0" w:firstLine="0"/>
        <w:rPr>
          <w:rFonts w:cs="Arial"/>
          <w:bCs/>
          <w:noProof/>
        </w:rPr>
      </w:pPr>
      <w:r>
        <w:rPr>
          <w:noProof/>
        </w:rPr>
        <w:t>Šajā nodaļā:</w:t>
      </w:r>
    </w:p>
    <w:p w:rsidR="003E022D" w:rsidRDefault="007D19D6">
      <w:pPr>
        <w:numPr>
          <w:ilvl w:val="1"/>
          <w:numId w:val="600"/>
        </w:numPr>
        <w:ind w:left="567" w:hanging="567"/>
        <w:rPr>
          <w:rFonts w:cs="Arial"/>
          <w:bCs/>
          <w:noProof/>
        </w:rPr>
      </w:pPr>
      <w:r>
        <w:rPr>
          <w:noProof/>
        </w:rPr>
        <w:t>“viesdarbinieki uzņēmējdarbības veikšanas nolūkā” ir fiziskas personas, kuras Puses juridiskā personā strādā vadošā amatā un kuras:</w:t>
      </w:r>
    </w:p>
    <w:p w:rsidR="003E022D" w:rsidRDefault="007D19D6">
      <w:pPr>
        <w:ind w:left="1276" w:hanging="567"/>
        <w:rPr>
          <w:rFonts w:cs="Arial"/>
          <w:bCs/>
          <w:noProof/>
        </w:rPr>
      </w:pPr>
      <w:r>
        <w:rPr>
          <w:noProof/>
        </w:rPr>
        <w:t>i)</w:t>
      </w:r>
      <w:r>
        <w:rPr>
          <w:noProof/>
        </w:rPr>
        <w:tab/>
        <w:t>atbild par šādas juridiskas personas</w:t>
      </w:r>
      <w:r>
        <w:rPr>
          <w:noProof/>
        </w:rPr>
        <w:t xml:space="preserve"> uzņēmuma izveidi otras Puses teritorijā; </w:t>
      </w:r>
    </w:p>
    <w:p w:rsidR="003E022D" w:rsidRDefault="007D19D6">
      <w:pPr>
        <w:ind w:left="1276" w:hanging="567"/>
        <w:rPr>
          <w:rFonts w:cs="Arial"/>
          <w:bCs/>
          <w:noProof/>
        </w:rPr>
      </w:pPr>
      <w:r>
        <w:rPr>
          <w:noProof/>
        </w:rPr>
        <w:t>ii)</w:t>
      </w:r>
      <w:r>
        <w:rPr>
          <w:noProof/>
        </w:rPr>
        <w:tab/>
        <w:t xml:space="preserve">nepiedāvā un nesniedz pakalpojumus vai neveic nekādu citu saimniecisko darbību, kā to, kas prasīta minētā uzņēmuma iedibināšanas nolūkā, un </w:t>
      </w:r>
    </w:p>
    <w:p w:rsidR="003E022D" w:rsidRDefault="007D19D6">
      <w:pPr>
        <w:ind w:left="1276" w:hanging="567"/>
        <w:rPr>
          <w:rFonts w:cs="Arial"/>
          <w:bCs/>
          <w:noProof/>
        </w:rPr>
      </w:pPr>
      <w:r>
        <w:rPr>
          <w:noProof/>
        </w:rPr>
        <w:t>iii)</w:t>
      </w:r>
      <w:r>
        <w:rPr>
          <w:noProof/>
        </w:rPr>
        <w:tab/>
        <w:t xml:space="preserve">nesaņem atlīdzību no avota, kas atrodas otrā Pusē; </w:t>
      </w:r>
    </w:p>
    <w:p w:rsidR="003E022D" w:rsidRDefault="007D19D6">
      <w:pPr>
        <w:numPr>
          <w:ilvl w:val="1"/>
          <w:numId w:val="600"/>
        </w:numPr>
        <w:ind w:left="567" w:hanging="567"/>
        <w:rPr>
          <w:rFonts w:cs="Arial"/>
          <w:bCs/>
          <w:noProof/>
        </w:rPr>
      </w:pPr>
      <w:r>
        <w:rPr>
          <w:noProof/>
        </w:rPr>
        <w:t>“līgumpakal</w:t>
      </w:r>
      <w:r>
        <w:rPr>
          <w:noProof/>
        </w:rPr>
        <w:t>pojumu sniedzēji” ir fiziskas personas, ko nodarbina Puses juridiska persona (bez darbā iekārtošanas un personāla nodrošināšanas pakalpojumu aģentūras starpniecības), kura neveic uzņēmējdarbību otras Puses teritorijā un kura ir labā ticībā parakstījusi tād</w:t>
      </w:r>
      <w:r>
        <w:rPr>
          <w:noProof/>
        </w:rPr>
        <w:t>u līgumu, kā termiņš nepārsniedz 12 mēnešus, par pakalpojumu sniegšanu galapatērētājam otrā Pusē un kā izpildei vajadzīga tās darbinieku pagaidu klātbūtne:</w:t>
      </w:r>
    </w:p>
    <w:p w:rsidR="003E022D" w:rsidRDefault="007D19D6">
      <w:pPr>
        <w:ind w:left="1276" w:hanging="567"/>
        <w:rPr>
          <w:rFonts w:cs="Arial"/>
          <w:bCs/>
          <w:noProof/>
        </w:rPr>
      </w:pPr>
      <w:r>
        <w:rPr>
          <w:noProof/>
        </w:rPr>
        <w:t>i)</w:t>
      </w:r>
      <w:r>
        <w:rPr>
          <w:noProof/>
        </w:rPr>
        <w:tab/>
        <w:t>kuri ir piedāvājuši tāda paša veida pakalpojumus kā juridiskās personas darbinieki vismaz uz laik</w:t>
      </w:r>
      <w:r>
        <w:rPr>
          <w:noProof/>
        </w:rPr>
        <w:t xml:space="preserve">posmu, kas nav mazāks par vienu gadu tieši pirms viņu ieceļošanas un pagaidu uzturēšanās pieteikuma iesniegšanas dienas; </w:t>
      </w:r>
    </w:p>
    <w:p w:rsidR="003E022D" w:rsidRDefault="007D19D6">
      <w:pPr>
        <w:ind w:left="1276" w:hanging="567"/>
        <w:rPr>
          <w:rFonts w:cs="Arial"/>
          <w:bCs/>
          <w:noProof/>
        </w:rPr>
      </w:pPr>
      <w:r>
        <w:rPr>
          <w:noProof/>
        </w:rPr>
        <w:t>ii)</w:t>
      </w:r>
      <w:r>
        <w:rPr>
          <w:noProof/>
        </w:rPr>
        <w:tab/>
        <w:t>kuriem minētajā datumā ir vismaz trīs gadu profesionālā pieredze, kas iegūta pēc pilngadības sasniegšanas, tajā darbības jomā, kur</w:t>
      </w:r>
      <w:r>
        <w:rPr>
          <w:noProof/>
        </w:rPr>
        <w:t>š ir līguma priekšmets, akadēmiskais grāds vai kvalifikācija, kas apliecina līdzvērtīgu zināšanu līmeni un profesionālo kvalifikāciju, kura tiek juridiski prasīta, lai minēto darbību varētu veikt otrā Pusē</w:t>
      </w:r>
      <w:r>
        <w:rPr>
          <w:rStyle w:val="FootnoteReference"/>
          <w:rFonts w:cs="Arial"/>
          <w:bCs/>
          <w:noProof/>
        </w:rPr>
        <w:footnoteReference w:id="14"/>
      </w:r>
      <w:r>
        <w:rPr>
          <w:noProof/>
        </w:rPr>
        <w:t xml:space="preserve">, un </w:t>
      </w:r>
    </w:p>
    <w:p w:rsidR="003E022D" w:rsidRDefault="007D19D6">
      <w:pPr>
        <w:ind w:left="1276" w:hanging="567"/>
        <w:rPr>
          <w:rFonts w:cs="Arial"/>
          <w:bCs/>
          <w:noProof/>
        </w:rPr>
      </w:pPr>
      <w:r>
        <w:rPr>
          <w:noProof/>
        </w:rPr>
        <w:t>iii)</w:t>
      </w:r>
      <w:r>
        <w:rPr>
          <w:noProof/>
        </w:rPr>
        <w:tab/>
        <w:t>nesaņem atlīdzību no avota, kas atrodas</w:t>
      </w:r>
      <w:r>
        <w:rPr>
          <w:noProof/>
        </w:rPr>
        <w:t xml:space="preserve"> otrā Pusē; </w:t>
      </w:r>
    </w:p>
    <w:p w:rsidR="003E022D" w:rsidRDefault="007D19D6">
      <w:pPr>
        <w:numPr>
          <w:ilvl w:val="1"/>
          <w:numId w:val="600"/>
        </w:numPr>
        <w:ind w:left="567" w:hanging="567"/>
        <w:rPr>
          <w:rFonts w:cs="Arial"/>
          <w:bCs/>
          <w:noProof/>
        </w:rPr>
      </w:pPr>
      <w:r>
        <w:rPr>
          <w:noProof/>
        </w:rPr>
        <w:t xml:space="preserve">“neatkarīgi speciālisti” ir fiziskas personas, kuras nodarbojas ar pakalpojuma sniegšanu un veic uzņēmējdarbību pašnodarbinātas personas statusā kādas Puses teritorijā un kuras: </w:t>
      </w:r>
    </w:p>
    <w:p w:rsidR="003E022D" w:rsidRDefault="007D19D6">
      <w:pPr>
        <w:ind w:left="1276" w:hanging="567"/>
        <w:rPr>
          <w:rFonts w:cs="Arial"/>
          <w:bCs/>
          <w:noProof/>
        </w:rPr>
      </w:pPr>
      <w:r>
        <w:rPr>
          <w:noProof/>
        </w:rPr>
        <w:t>i)</w:t>
      </w:r>
      <w:r>
        <w:rPr>
          <w:noProof/>
        </w:rPr>
        <w:tab/>
        <w:t>neveic uzņēmējdarbību otras Puses teritorijā;</w:t>
      </w:r>
    </w:p>
    <w:p w:rsidR="003E022D" w:rsidRDefault="007D19D6">
      <w:pPr>
        <w:ind w:left="1276" w:hanging="567"/>
        <w:rPr>
          <w:rFonts w:cs="Arial"/>
          <w:bCs/>
          <w:noProof/>
        </w:rPr>
      </w:pPr>
      <w:r>
        <w:rPr>
          <w:noProof/>
        </w:rPr>
        <w:t>ii)</w:t>
      </w:r>
      <w:r>
        <w:rPr>
          <w:noProof/>
        </w:rPr>
        <w:tab/>
        <w:t>ir labā tic</w:t>
      </w:r>
      <w:r>
        <w:rPr>
          <w:noProof/>
        </w:rPr>
        <w:t xml:space="preserve">ībā parakstījušas līgumu (bez darbā iekārtošanas un personāla nodrošināšanas pakalpojumu aģentūras starpniecības) uz laiku, kas nepārsniedz 12 mēnešus, par pakalpojumu sniegšanu galapatērētājam otrā Pusē – šajā nolūkā vajadzīga viņu pagaidu klātbūtne, un </w:t>
      </w:r>
    </w:p>
    <w:p w:rsidR="003E022D" w:rsidRDefault="007D19D6">
      <w:pPr>
        <w:ind w:left="1276" w:hanging="567"/>
        <w:rPr>
          <w:rFonts w:cs="Arial"/>
          <w:bCs/>
          <w:noProof/>
        </w:rPr>
      </w:pPr>
      <w:r>
        <w:rPr>
          <w:noProof/>
        </w:rPr>
        <w:t>iii)</w:t>
      </w:r>
      <w:r>
        <w:rPr>
          <w:noProof/>
        </w:rPr>
        <w:tab/>
        <w:t>kurām viņu ieceļošanas un pagaidu uzturēšanās pieteikuma iesniegšanas dienā ir vismaz sešu gadu profesionālā pieredze attiecīgajā darbībā, akadēmiskais grāds vai kvalifikācija, kas apliecina līdzvērtīgu zināšanu līmeni un profesionālo kvalifikāciju, k</w:t>
      </w:r>
      <w:r>
        <w:rPr>
          <w:noProof/>
        </w:rPr>
        <w:t>ura tiek juridiski prasīta, lai minēto darbību varētu veikt otrā Pusē</w:t>
      </w:r>
      <w:r>
        <w:rPr>
          <w:rStyle w:val="FootnoteReference"/>
          <w:rFonts w:cs="Arial"/>
          <w:bCs/>
          <w:noProof/>
        </w:rPr>
        <w:footnoteReference w:id="15"/>
      </w:r>
      <w:r>
        <w:rPr>
          <w:noProof/>
        </w:rPr>
        <w:t xml:space="preserve">, </w:t>
      </w:r>
    </w:p>
    <w:p w:rsidR="003E022D" w:rsidRDefault="007D19D6">
      <w:pPr>
        <w:numPr>
          <w:ilvl w:val="1"/>
          <w:numId w:val="600"/>
        </w:numPr>
        <w:ind w:left="567" w:hanging="567"/>
        <w:rPr>
          <w:rFonts w:cs="Arial"/>
          <w:bCs/>
          <w:noProof/>
        </w:rPr>
      </w:pPr>
      <w:r>
        <w:rPr>
          <w:noProof/>
        </w:rPr>
        <w:t>“uzņēmuma ietvaros pārcelti darbinieki” ir fiziskas personas, kas:</w:t>
      </w:r>
    </w:p>
    <w:p w:rsidR="003E022D" w:rsidRDefault="007D19D6">
      <w:pPr>
        <w:ind w:left="1276" w:hanging="567"/>
        <w:rPr>
          <w:rFonts w:cs="Arial"/>
          <w:bCs/>
          <w:noProof/>
        </w:rPr>
      </w:pPr>
      <w:r>
        <w:rPr>
          <w:noProof/>
        </w:rPr>
        <w:t>i)</w:t>
      </w:r>
      <w:r>
        <w:rPr>
          <w:noProof/>
        </w:rPr>
        <w:tab/>
      </w:r>
      <w:r>
        <w:rPr>
          <w:noProof/>
        </w:rPr>
        <w:t xml:space="preserve">ir bijušas nodarbinātas Puses juridiskā personā vai ir bijušas tās partneri – tieši pirms dienas, kad notikusi pārcelšana uzņēmuma ietvaros – ne mazāk kā vienu gadu vadītāju un speciālistu gadījumā un ne mazāk kā sešus mēnešus praktikantu gadījumā; </w:t>
      </w:r>
    </w:p>
    <w:p w:rsidR="003E022D" w:rsidRDefault="007D19D6">
      <w:pPr>
        <w:ind w:left="1276" w:hanging="567"/>
        <w:rPr>
          <w:rFonts w:cs="Arial"/>
          <w:bCs/>
          <w:noProof/>
        </w:rPr>
      </w:pPr>
      <w:r>
        <w:rPr>
          <w:noProof/>
        </w:rPr>
        <w:t>ii)</w:t>
      </w:r>
      <w:r>
        <w:rPr>
          <w:noProof/>
        </w:rPr>
        <w:tab/>
        <w:t>pi</w:t>
      </w:r>
      <w:r>
        <w:rPr>
          <w:noProof/>
        </w:rPr>
        <w:t xml:space="preserve">eteikuma iesniegšanas brīdī dzīvo otras Puses teritorijā; </w:t>
      </w:r>
    </w:p>
    <w:p w:rsidR="003E022D" w:rsidRDefault="007D19D6">
      <w:pPr>
        <w:ind w:left="1276" w:hanging="567"/>
        <w:rPr>
          <w:rFonts w:cs="Arial"/>
          <w:bCs/>
          <w:noProof/>
        </w:rPr>
      </w:pPr>
      <w:r>
        <w:rPr>
          <w:noProof/>
        </w:rPr>
        <w:t>iii)</w:t>
      </w:r>
      <w:r>
        <w:rPr>
          <w:noProof/>
        </w:rPr>
        <w:tab/>
        <w:t>tiek pagaidu kārtā pārceltas uz tādu juridiskās personas uzņēmumu otras Puses teritorijā, kurš ir tās pašas grupas loceklis kā iniciējošā juridiskā persona, t. sk. tā pārstāvniecība, meitasuzņ</w:t>
      </w:r>
      <w:r>
        <w:rPr>
          <w:noProof/>
        </w:rPr>
        <w:t>ēmums, filiāle vai galvenais uzņēmums</w:t>
      </w:r>
      <w:r>
        <w:rPr>
          <w:rStyle w:val="FootnoteReference"/>
          <w:rFonts w:cs="Arial"/>
          <w:bCs/>
          <w:noProof/>
        </w:rPr>
        <w:footnoteReference w:id="16"/>
      </w:r>
      <w:r>
        <w:rPr>
          <w:noProof/>
        </w:rPr>
        <w:t xml:space="preserve">, un </w:t>
      </w:r>
    </w:p>
    <w:p w:rsidR="003E022D" w:rsidRDefault="007D19D6">
      <w:pPr>
        <w:ind w:left="1276" w:hanging="567"/>
        <w:rPr>
          <w:rFonts w:cs="Arial"/>
          <w:bCs/>
          <w:noProof/>
        </w:rPr>
      </w:pPr>
      <w:r>
        <w:rPr>
          <w:noProof/>
        </w:rPr>
        <w:t>iv)</w:t>
      </w:r>
      <w:r>
        <w:rPr>
          <w:noProof/>
        </w:rPr>
        <w:tab/>
        <w:t xml:space="preserve">pieder vienai no šādām kategorijām: </w:t>
      </w:r>
    </w:p>
    <w:p w:rsidR="003E022D" w:rsidRDefault="007D19D6">
      <w:pPr>
        <w:ind w:left="1440"/>
        <w:rPr>
          <w:rFonts w:cs="Arial"/>
          <w:bCs/>
          <w:noProof/>
        </w:rPr>
      </w:pPr>
      <w:r>
        <w:rPr>
          <w:noProof/>
        </w:rPr>
        <w:t>A)</w:t>
      </w:r>
      <w:r>
        <w:rPr>
          <w:noProof/>
        </w:rPr>
        <w:tab/>
        <w:t>vadītāji</w:t>
      </w:r>
      <w:r>
        <w:rPr>
          <w:rStyle w:val="FootnoteReference"/>
          <w:rFonts w:cs="Arial"/>
          <w:bCs/>
          <w:noProof/>
        </w:rPr>
        <w:footnoteReference w:id="17"/>
      </w:r>
      <w:r>
        <w:rPr>
          <w:noProof/>
        </w:rPr>
        <w:t xml:space="preserve">; </w:t>
      </w:r>
    </w:p>
    <w:p w:rsidR="003E022D" w:rsidRDefault="007D19D6">
      <w:pPr>
        <w:ind w:left="1440"/>
        <w:rPr>
          <w:rFonts w:cs="Arial"/>
          <w:bCs/>
          <w:noProof/>
        </w:rPr>
      </w:pPr>
      <w:r>
        <w:rPr>
          <w:noProof/>
        </w:rPr>
        <w:t>B)</w:t>
      </w:r>
      <w:r>
        <w:rPr>
          <w:noProof/>
        </w:rPr>
        <w:tab/>
        <w:t>speciālisti, vai</w:t>
      </w:r>
    </w:p>
    <w:p w:rsidR="003E022D" w:rsidRDefault="007D19D6">
      <w:pPr>
        <w:ind w:left="1440"/>
        <w:rPr>
          <w:rFonts w:cs="Arial"/>
          <w:bCs/>
          <w:noProof/>
        </w:rPr>
      </w:pPr>
      <w:r>
        <w:rPr>
          <w:noProof/>
        </w:rPr>
        <w:t>C)</w:t>
      </w:r>
      <w:r>
        <w:rPr>
          <w:noProof/>
        </w:rPr>
        <w:tab/>
        <w:t xml:space="preserve">praktikanti; </w:t>
      </w:r>
    </w:p>
    <w:p w:rsidR="003E022D" w:rsidRDefault="007D19D6">
      <w:pPr>
        <w:numPr>
          <w:ilvl w:val="1"/>
          <w:numId w:val="600"/>
        </w:numPr>
        <w:ind w:left="567" w:hanging="567"/>
        <w:rPr>
          <w:rFonts w:cs="Arial"/>
          <w:bCs/>
          <w:noProof/>
        </w:rPr>
      </w:pPr>
      <w:r>
        <w:rPr>
          <w:noProof/>
        </w:rPr>
        <w:t>“vadītājs”</w:t>
      </w:r>
      <w:r>
        <w:rPr>
          <w:noProof/>
          <w:snapToGrid w:val="0"/>
        </w:rPr>
        <w:t xml:space="preserve"> </w:t>
      </w:r>
      <w:r>
        <w:rPr>
          <w:noProof/>
        </w:rPr>
        <w:t>ir vadošā amatā strādājoša fiziska persona, kura galvenokārt dod rīkojumus otrā Pusē esoša uzņēmuma vadībai,</w:t>
      </w:r>
      <w:r>
        <w:rPr>
          <w:noProof/>
        </w:rPr>
        <w:t xml:space="preserve"> kuras darbības vispārēju pārraudzību veic un norādījumus galvenokārt sniedz uzņēmuma direktoru padome vai akcionāri vai līdzvērtīgas personas, un kura pilda šādas funkcijas:</w:t>
      </w:r>
    </w:p>
    <w:p w:rsidR="003E022D" w:rsidRDefault="007D19D6">
      <w:pPr>
        <w:ind w:left="1276" w:hanging="567"/>
        <w:rPr>
          <w:rFonts w:cs="Arial"/>
          <w:bCs/>
          <w:noProof/>
        </w:rPr>
      </w:pPr>
      <w:r>
        <w:rPr>
          <w:noProof/>
        </w:rPr>
        <w:t>i)</w:t>
      </w:r>
      <w:r>
        <w:rPr>
          <w:noProof/>
        </w:rPr>
        <w:tab/>
        <w:t>vada uzņēmumu vai tā departamentu vai apakšstruktūru;</w:t>
      </w:r>
    </w:p>
    <w:p w:rsidR="003E022D" w:rsidRDefault="007D19D6">
      <w:pPr>
        <w:ind w:left="1276" w:hanging="567"/>
        <w:rPr>
          <w:rFonts w:cs="Arial"/>
          <w:bCs/>
          <w:noProof/>
        </w:rPr>
      </w:pPr>
      <w:r>
        <w:rPr>
          <w:noProof/>
        </w:rPr>
        <w:t>ii)</w:t>
      </w:r>
      <w:r>
        <w:rPr>
          <w:noProof/>
        </w:rPr>
        <w:tab/>
        <w:t>pārrauga un kontrolē</w:t>
      </w:r>
      <w:r>
        <w:rPr>
          <w:noProof/>
        </w:rPr>
        <w:t xml:space="preserve"> citu pārraugošo, profesionālo vai vadošo darbinieku darbu un</w:t>
      </w:r>
    </w:p>
    <w:p w:rsidR="003E022D" w:rsidRDefault="007D19D6">
      <w:pPr>
        <w:ind w:left="1276" w:hanging="567"/>
        <w:rPr>
          <w:rFonts w:cs="Arial"/>
          <w:bCs/>
          <w:noProof/>
        </w:rPr>
      </w:pPr>
      <w:r>
        <w:rPr>
          <w:noProof/>
        </w:rPr>
        <w:t>iii)</w:t>
      </w:r>
      <w:r>
        <w:rPr>
          <w:noProof/>
        </w:rPr>
        <w:tab/>
        <w:t>īsteno pilnvaras ieteikt pieņemt darbiniekus darbā, atlaist no darba vai veikt citas ar personālu saistītas darbības;</w:t>
      </w:r>
    </w:p>
    <w:p w:rsidR="003E022D" w:rsidRDefault="007D19D6">
      <w:pPr>
        <w:numPr>
          <w:ilvl w:val="1"/>
          <w:numId w:val="600"/>
        </w:numPr>
        <w:ind w:left="567" w:hanging="567"/>
        <w:rPr>
          <w:rFonts w:cs="Arial"/>
          <w:bCs/>
          <w:noProof/>
        </w:rPr>
      </w:pPr>
      <w:r>
        <w:rPr>
          <w:noProof/>
        </w:rPr>
        <w:t xml:space="preserve">“speciālists” ir fiziska persona, kurai ir speciālas zināšanas, kas ir </w:t>
      </w:r>
      <w:r>
        <w:rPr>
          <w:noProof/>
        </w:rPr>
        <w:t>būtiskas uzņēmuma darbības jomām, metodēm vai vadībai, un kuras novērtē, ņemot vērā ne tikai zināšanas, kas ir specifiskas uzņēmumam, bet arī to, vai personai ir augsts kvalifikācijas līmenis, t. sk. atbilstoša profesionālā pieredze darba veidā vai darbībā</w:t>
      </w:r>
      <w:r>
        <w:rPr>
          <w:noProof/>
        </w:rPr>
        <w:t>, kā veikšanai ir vajadzīgas specifiskas tehniskas zināšanas, t. sk. iespējama piederība akreditētai profesijai, un</w:t>
      </w:r>
    </w:p>
    <w:p w:rsidR="003E022D" w:rsidRDefault="007D19D6">
      <w:pPr>
        <w:numPr>
          <w:ilvl w:val="1"/>
          <w:numId w:val="600"/>
        </w:numPr>
        <w:ind w:left="567" w:hanging="567"/>
        <w:rPr>
          <w:rFonts w:cs="Arial"/>
          <w:bCs/>
          <w:noProof/>
        </w:rPr>
      </w:pPr>
      <w:r>
        <w:rPr>
          <w:noProof/>
        </w:rPr>
        <w:t>“praktikants” ir fiziska persona, kurai ir akadēmiskais grāds un kura ir pagaidu kārtā pārcelta karjeras attīstības mērķiem vai mācībām darb</w:t>
      </w:r>
      <w:r>
        <w:rPr>
          <w:noProof/>
        </w:rPr>
        <w:t>a metodēs vai paņēmienos, un pārcelšanas periodā saņem atalgojumu</w:t>
      </w:r>
      <w:r>
        <w:rPr>
          <w:rStyle w:val="FootnoteReference"/>
          <w:rFonts w:cs="Arial"/>
          <w:bCs/>
          <w:noProof/>
        </w:rPr>
        <w:footnoteReference w:id="18"/>
      </w:r>
      <w:r>
        <w:rPr>
          <w:noProof/>
        </w:rPr>
        <w:t>.</w:t>
      </w:r>
    </w:p>
    <w:p w:rsidR="003E022D" w:rsidRDefault="007D19D6">
      <w:pPr>
        <w:numPr>
          <w:ilvl w:val="0"/>
          <w:numId w:val="599"/>
        </w:numPr>
        <w:ind w:left="0" w:firstLine="0"/>
        <w:rPr>
          <w:rFonts w:cs="Arial"/>
          <w:bCs/>
          <w:noProof/>
        </w:rPr>
      </w:pPr>
      <w:r>
        <w:rPr>
          <w:noProof/>
        </w:rPr>
        <w:t xml:space="preserve">Šā panta 5. punkta b) un c) apakšpunktā minētais pakalpojumu līgums atbilst tās Puses tiesību prasībām, kurā līgumu izpilda. </w:t>
      </w:r>
    </w:p>
    <w:p w:rsidR="003E022D" w:rsidRDefault="007D19D6">
      <w:pPr>
        <w:pStyle w:val="Article"/>
        <w:rPr>
          <w:noProof/>
        </w:rPr>
      </w:pPr>
      <w:r>
        <w:rPr>
          <w:noProof/>
        </w:rPr>
        <w:t>SERVIN.4.2. pants. Uzņēmuma ietvaros pārcelti darbinieki un vi</w:t>
      </w:r>
      <w:r>
        <w:rPr>
          <w:noProof/>
        </w:rPr>
        <w:t>esdarbinieki uzņēmējdarbības veikšanas nolūkos</w:t>
      </w:r>
    </w:p>
    <w:p w:rsidR="003E022D" w:rsidRDefault="007D19D6">
      <w:pPr>
        <w:numPr>
          <w:ilvl w:val="0"/>
          <w:numId w:val="601"/>
        </w:numPr>
        <w:ind w:left="0" w:firstLine="0"/>
        <w:rPr>
          <w:rFonts w:cs="Arial"/>
          <w:bCs/>
          <w:noProof/>
        </w:rPr>
      </w:pPr>
      <w:r>
        <w:rPr>
          <w:noProof/>
        </w:rPr>
        <w:t xml:space="preserve">Ievērojot attiecīgos nosacījumus un kvalifikācijas, kas norādītas SERVIN-3. pielikumā [Viesdarbinieki uzņēmējdarbības veikšanas nolūkos, uzņēmuma ietvaros pārcelti darbinieki un īstermiņa viesdarbinieki]: </w:t>
      </w:r>
    </w:p>
    <w:p w:rsidR="003E022D" w:rsidRDefault="007D19D6">
      <w:pPr>
        <w:numPr>
          <w:ilvl w:val="1"/>
          <w:numId w:val="602"/>
        </w:numPr>
        <w:ind w:left="567" w:hanging="567"/>
        <w:rPr>
          <w:rFonts w:cs="Arial"/>
          <w:bCs/>
          <w:noProof/>
        </w:rPr>
      </w:pPr>
      <w:r>
        <w:rPr>
          <w:noProof/>
        </w:rPr>
        <w:t xml:space="preserve">katra Puse atļauj: </w:t>
      </w:r>
    </w:p>
    <w:p w:rsidR="003E022D" w:rsidRDefault="007D19D6">
      <w:pPr>
        <w:ind w:left="1276" w:hanging="567"/>
        <w:rPr>
          <w:rFonts w:cs="Arial"/>
          <w:bCs/>
          <w:noProof/>
        </w:rPr>
      </w:pPr>
      <w:r>
        <w:rPr>
          <w:noProof/>
        </w:rPr>
        <w:t>i)</w:t>
      </w:r>
      <w:r>
        <w:rPr>
          <w:noProof/>
        </w:rPr>
        <w:tab/>
        <w:t xml:space="preserve">ieceļot un pagaidu kārtā uzturēties uzņēmuma ietvaros pārceltiem darbiniekiem </w:t>
      </w:r>
    </w:p>
    <w:p w:rsidR="003E022D" w:rsidRDefault="007D19D6">
      <w:pPr>
        <w:ind w:left="1276" w:hanging="567"/>
        <w:rPr>
          <w:rFonts w:cs="Arial"/>
          <w:bCs/>
          <w:noProof/>
        </w:rPr>
      </w:pPr>
      <w:r>
        <w:rPr>
          <w:noProof/>
        </w:rPr>
        <w:t>ii)</w:t>
      </w:r>
      <w:r>
        <w:rPr>
          <w:noProof/>
        </w:rPr>
        <w:tab/>
        <w:t>ieceļot un pagaidu kārtā uzturēties viesdarbiniekiem uzņēmējdarbības veikšanas nolūkā, neprasot darba atļauju vai citu līdzīga nolūka iepriekšējas aps</w:t>
      </w:r>
      <w:r>
        <w:rPr>
          <w:noProof/>
        </w:rPr>
        <w:t xml:space="preserve">tiprināšanas procedūru, un </w:t>
      </w:r>
    </w:p>
    <w:p w:rsidR="003E022D" w:rsidRDefault="007D19D6">
      <w:pPr>
        <w:ind w:left="1276" w:hanging="567"/>
        <w:rPr>
          <w:rFonts w:cs="Arial"/>
          <w:bCs/>
          <w:noProof/>
        </w:rPr>
      </w:pPr>
      <w:r>
        <w:rPr>
          <w:noProof/>
        </w:rPr>
        <w:t>iii)</w:t>
      </w:r>
      <w:r>
        <w:rPr>
          <w:noProof/>
        </w:rPr>
        <w:tab/>
        <w:t xml:space="preserve">savā teritorijā nodarbināt uzņēmuma ietvaros pārceltus otras Puses darbiniekus; </w:t>
      </w:r>
    </w:p>
    <w:p w:rsidR="003E022D" w:rsidRDefault="007D19D6">
      <w:pPr>
        <w:numPr>
          <w:ilvl w:val="1"/>
          <w:numId w:val="602"/>
        </w:numPr>
        <w:ind w:left="567" w:hanging="567"/>
        <w:rPr>
          <w:rFonts w:cs="Arial"/>
          <w:bCs/>
          <w:noProof/>
        </w:rPr>
      </w:pPr>
      <w:r>
        <w:rPr>
          <w:noProof/>
        </w:rPr>
        <w:t>Puse nepatur spēkā vai nepieņem ierobežojumus skaitlisku kvotu vai ekonomisko vajadzību pārbaužu veidā attiecībā uz to fizisko personu kopskai</w:t>
      </w:r>
      <w:r>
        <w:rPr>
          <w:noProof/>
        </w:rPr>
        <w:t xml:space="preserve">tu, kuras konkrētā nozarē drīkst ieceļot kā viesdarbinieki uzņēmējdarbības veikšanas nolūkā vai kuras otras Puses investors var nodarbināt kā uzņēmuma ietvaros pārceltus darbiniekus vai nu teritoriālajā apakšiedalījumā, vai visā tās teritorijā; un </w:t>
      </w:r>
    </w:p>
    <w:p w:rsidR="003E022D" w:rsidRDefault="007D19D6">
      <w:pPr>
        <w:numPr>
          <w:ilvl w:val="1"/>
          <w:numId w:val="602"/>
        </w:numPr>
        <w:ind w:left="567" w:hanging="567"/>
        <w:rPr>
          <w:rFonts w:cs="Arial"/>
          <w:bCs/>
          <w:noProof/>
        </w:rPr>
      </w:pPr>
      <w:r>
        <w:rPr>
          <w:noProof/>
        </w:rPr>
        <w:t>katra Puse piešķir otras Puses uzņēmuma ietvaros pārceltiem darbiniekiem un viesdarbiniekiem uzņēmējdarbības veikšanas nolūkā pagaidu uzturēšanās laikā tās teritorijā ne mazāk labvēlīgu režīmu par to, ko tā līdzīgās situācijās piešķir savām fiziskajām pers</w:t>
      </w:r>
      <w:r>
        <w:rPr>
          <w:noProof/>
        </w:rPr>
        <w:t xml:space="preserve">onām. </w:t>
      </w:r>
    </w:p>
    <w:p w:rsidR="003E022D" w:rsidRDefault="007D19D6">
      <w:pPr>
        <w:numPr>
          <w:ilvl w:val="0"/>
          <w:numId w:val="601"/>
        </w:numPr>
        <w:ind w:left="0" w:firstLine="0"/>
        <w:rPr>
          <w:rFonts w:cs="Arial"/>
          <w:bCs/>
          <w:noProof/>
        </w:rPr>
      </w:pPr>
      <w:r>
        <w:rPr>
          <w:noProof/>
        </w:rPr>
        <w:t xml:space="preserve">Atļautais uzturēšanās ilgums ir ne vairāk kā trīs gadi vadītājiem un speciālistiem, ne vairāk kā viens gads praktikantiem un ne vairāk kā 90 dienas sešu mēnešu laikposmā viesdarbiniekiem uzņēmējdarbības veikšanas nolūkā. </w:t>
      </w:r>
    </w:p>
    <w:p w:rsidR="003E022D" w:rsidRDefault="007D19D6">
      <w:pPr>
        <w:pStyle w:val="Article"/>
        <w:rPr>
          <w:noProof/>
        </w:rPr>
      </w:pPr>
      <w:r>
        <w:rPr>
          <w:noProof/>
        </w:rPr>
        <w:t>SERVIN.4.3. pants. Īstermiņ</w:t>
      </w:r>
      <w:r>
        <w:rPr>
          <w:noProof/>
        </w:rPr>
        <w:t>a viesdarbinieki</w:t>
      </w:r>
    </w:p>
    <w:p w:rsidR="003E022D" w:rsidRDefault="007D19D6">
      <w:pPr>
        <w:numPr>
          <w:ilvl w:val="0"/>
          <w:numId w:val="603"/>
        </w:numPr>
        <w:ind w:left="0" w:firstLine="0"/>
        <w:rPr>
          <w:rFonts w:cs="Arial"/>
          <w:bCs/>
          <w:noProof/>
        </w:rPr>
      </w:pPr>
      <w:r>
        <w:rPr>
          <w:noProof/>
        </w:rPr>
        <w:t>Ievērojot attiecīgos nosacījumus un kvalifikācijas, kas norādītas SERVIN-3. pielikumā [Viesdarbinieki uzņēmējdarbības veikšanas nolūkos, uzņēmuma ietvaros pārcelti darbinieki un īstermiņa viesdarbinieki], katra Puse atļauj ieceļot un pagai</w:t>
      </w:r>
      <w:r>
        <w:rPr>
          <w:noProof/>
        </w:rPr>
        <w:t>du kārtā uzturēties otras Puses īstermiņa viesdarbiniekiem to darbību veikšanas nolūkā, kuras uzskaitītas SERVIN-3. pielikumā [Viesdarbinieki uzņēmējdarbības veikšanas nolūkos, uzņēmuma ietvaros pārcelti darbinieki un īstermiņa viesdarbinieki], ievērojot š</w:t>
      </w:r>
      <w:r>
        <w:rPr>
          <w:noProof/>
        </w:rPr>
        <w:t xml:space="preserve">ādus nosacījumus: </w:t>
      </w:r>
    </w:p>
    <w:p w:rsidR="003E022D" w:rsidRDefault="007D19D6">
      <w:pPr>
        <w:numPr>
          <w:ilvl w:val="1"/>
          <w:numId w:val="604"/>
        </w:numPr>
        <w:ind w:left="567" w:hanging="567"/>
        <w:rPr>
          <w:rFonts w:cs="Arial"/>
          <w:bCs/>
          <w:noProof/>
        </w:rPr>
      </w:pPr>
      <w:r>
        <w:rPr>
          <w:noProof/>
        </w:rPr>
        <w:t xml:space="preserve">īstermiņa viesdarbinieki nav iesaistīti savu preču pārdošanā vai pakalpojumu sniegšanā plašai sabiedrībai; </w:t>
      </w:r>
    </w:p>
    <w:p w:rsidR="003E022D" w:rsidRDefault="007D19D6">
      <w:pPr>
        <w:numPr>
          <w:ilvl w:val="1"/>
          <w:numId w:val="604"/>
        </w:numPr>
        <w:ind w:left="567" w:hanging="567"/>
        <w:rPr>
          <w:rFonts w:cs="Arial"/>
          <w:bCs/>
          <w:noProof/>
        </w:rPr>
      </w:pPr>
      <w:r>
        <w:rPr>
          <w:noProof/>
        </w:rPr>
        <w:t xml:space="preserve">īstermiņa viesdarbinieki savā vārdā nesaņem atlīdzību no tās Puses, kuras teritorijā tie uzturas pagaidu kārtā, un </w:t>
      </w:r>
    </w:p>
    <w:p w:rsidR="003E022D" w:rsidRDefault="007D19D6">
      <w:pPr>
        <w:numPr>
          <w:ilvl w:val="1"/>
          <w:numId w:val="604"/>
        </w:numPr>
        <w:ind w:left="567" w:hanging="567"/>
        <w:rPr>
          <w:rFonts w:cs="Arial"/>
          <w:bCs/>
          <w:noProof/>
        </w:rPr>
      </w:pPr>
      <w:r>
        <w:rPr>
          <w:noProof/>
        </w:rPr>
        <w:t>īstermiņa vie</w:t>
      </w:r>
      <w:r>
        <w:rPr>
          <w:noProof/>
        </w:rPr>
        <w:t>sdarbinieki nav iesaistīti pakalpojumu sniegšanā, izpildot līgumu, kurš noslēgts starp juridisku personu, kas nav iedibināta tās Puses teritorijā, kurā viesdarbinieki uzturas pagaidu kārtā, un patērētāju tajā, izņemot gadījumus, kas paredzēti SERVIN-3. pie</w:t>
      </w:r>
      <w:r>
        <w:rPr>
          <w:noProof/>
        </w:rPr>
        <w:t xml:space="preserve">likumā [Viesdarbinieki uzņēmējdarbības veikšanas nolūkos, uzņēmuma ietvaros pārcelti darbinieki un īstermiņa viesdarbinieki]. </w:t>
      </w:r>
    </w:p>
    <w:p w:rsidR="003E022D" w:rsidRDefault="007D19D6">
      <w:pPr>
        <w:numPr>
          <w:ilvl w:val="0"/>
          <w:numId w:val="603"/>
        </w:numPr>
        <w:ind w:left="0" w:firstLine="0"/>
        <w:rPr>
          <w:rFonts w:cs="Arial"/>
          <w:bCs/>
          <w:noProof/>
        </w:rPr>
      </w:pPr>
      <w:r>
        <w:rPr>
          <w:noProof/>
        </w:rPr>
        <w:t>Ja vien SERVIN-3. pielikumā [Viesdarbinieki uzņēmējdarbības veikšanas nolūkos, uzņēmuma ietvaros pārcelti darbinieki un īstermiņa</w:t>
      </w:r>
      <w:r>
        <w:rPr>
          <w:noProof/>
        </w:rPr>
        <w:t xml:space="preserve"> viesdarbinieki] nav norādīts citādi, Puse atļauj ieceļot īstermiņa viesdarbiniekiem, neprasot darba atļauju, ekonomisko vajadzību pārbaudi vai citas līdzīga nolūka iepriekšējas apstiprināšanas procedūras.</w:t>
      </w:r>
    </w:p>
    <w:p w:rsidR="003E022D" w:rsidRDefault="007D19D6">
      <w:pPr>
        <w:numPr>
          <w:ilvl w:val="0"/>
          <w:numId w:val="603"/>
        </w:numPr>
        <w:ind w:left="0" w:firstLine="0"/>
        <w:rPr>
          <w:rFonts w:cs="Arial"/>
          <w:bCs/>
          <w:noProof/>
          <w:color w:val="0070C0"/>
        </w:rPr>
      </w:pPr>
      <w:r>
        <w:rPr>
          <w:noProof/>
        </w:rPr>
        <w:t>Ja Puses īstermiņa viesdarbinieki ir iesaistīti pa</w:t>
      </w:r>
      <w:r>
        <w:rPr>
          <w:noProof/>
        </w:rPr>
        <w:t>kalpojuma sniegšanā patērētājam tās Puses teritorijā, kurā viņi pagaidu kārtā uzturas saskaņā ar SERVIN-3. pielikumu [Viesdarbinieki uzņēmējdarbības veikšanas nolūkos, uzņēmuma ietvaros pārcelti darbinieki un īstermiņa viesdarbinieki], minētā Puse attiecīb</w:t>
      </w:r>
      <w:r>
        <w:rPr>
          <w:noProof/>
        </w:rPr>
        <w:t>ā uz minētā pakalpojuma sniegšanu piešķir viņiem ne mazāk labvēlīgu režīmu par to, ko tā līdzīgās situācijās piešķir saviem pakalpojumu sniedzējiem.</w:t>
      </w:r>
    </w:p>
    <w:p w:rsidR="003E022D" w:rsidRDefault="007D19D6">
      <w:pPr>
        <w:numPr>
          <w:ilvl w:val="0"/>
          <w:numId w:val="603"/>
        </w:numPr>
        <w:ind w:left="0" w:firstLine="0"/>
        <w:rPr>
          <w:rFonts w:cs="Arial"/>
          <w:bCs/>
          <w:noProof/>
        </w:rPr>
      </w:pPr>
      <w:r>
        <w:rPr>
          <w:noProof/>
        </w:rPr>
        <w:t xml:space="preserve">Atļautais uzturēšanās ilgums ir ne vairāk kā 90 dienas jebkurā sešu mēnešu laikposmā. </w:t>
      </w:r>
    </w:p>
    <w:p w:rsidR="003E022D" w:rsidRDefault="007D19D6">
      <w:pPr>
        <w:pStyle w:val="Article"/>
        <w:rPr>
          <w:noProof/>
        </w:rPr>
      </w:pPr>
      <w:r>
        <w:rPr>
          <w:noProof/>
        </w:rPr>
        <w:t>SERVIN.4.4. pants. L</w:t>
      </w:r>
      <w:r>
        <w:rPr>
          <w:noProof/>
        </w:rPr>
        <w:t>īgumpakalpojumu sniedzēji un neatkarīgie speciālisti</w:t>
      </w:r>
    </w:p>
    <w:p w:rsidR="003E022D" w:rsidRDefault="007D19D6">
      <w:pPr>
        <w:numPr>
          <w:ilvl w:val="0"/>
          <w:numId w:val="605"/>
        </w:numPr>
        <w:ind w:left="0" w:firstLine="0"/>
        <w:rPr>
          <w:rFonts w:cs="Arial"/>
          <w:bCs/>
          <w:noProof/>
        </w:rPr>
      </w:pPr>
      <w:r>
        <w:rPr>
          <w:noProof/>
        </w:rPr>
        <w:t>Nozarēs, apakšnozarēs un darbībās, kas norādītas šīs sadaļas SERVIN-4. pielikumā [Līgumpakalpojumu sniedzēji un neatkarīgie speciālisti], ievērojot tajā norādītos attiecīgos nosacījumus un kvalifikācijas</w:t>
      </w:r>
      <w:r>
        <w:rPr>
          <w:noProof/>
        </w:rPr>
        <w:t xml:space="preserve">: </w:t>
      </w:r>
    </w:p>
    <w:p w:rsidR="003E022D" w:rsidRDefault="007D19D6">
      <w:pPr>
        <w:numPr>
          <w:ilvl w:val="1"/>
          <w:numId w:val="606"/>
        </w:numPr>
        <w:ind w:left="567" w:hanging="567"/>
        <w:rPr>
          <w:rFonts w:cs="Arial"/>
          <w:bCs/>
          <w:noProof/>
        </w:rPr>
      </w:pPr>
      <w:r>
        <w:rPr>
          <w:noProof/>
        </w:rPr>
        <w:t>Puse atļauj līgumpakalpojumu sniedzējiem un neatkarīgajiem speciālistiem ieceļot un pagaidu kārtā uzturēties tās teritorijā;</w:t>
      </w:r>
    </w:p>
    <w:p w:rsidR="003E022D" w:rsidRDefault="007D19D6">
      <w:pPr>
        <w:numPr>
          <w:ilvl w:val="1"/>
          <w:numId w:val="606"/>
        </w:numPr>
        <w:ind w:left="567" w:hanging="567"/>
        <w:rPr>
          <w:rFonts w:cs="Arial"/>
          <w:bCs/>
          <w:noProof/>
        </w:rPr>
      </w:pPr>
      <w:r>
        <w:rPr>
          <w:noProof/>
        </w:rPr>
        <w:t>Puse nepieņem vai nepatur spēkā ierobežojumus attiecībā uz otras Puses līgumpakalpojumu sniedzēju un neatkarīgo speciālistu kops</w:t>
      </w:r>
      <w:r>
        <w:rPr>
          <w:noProof/>
        </w:rPr>
        <w:t xml:space="preserve">kaitu, kam atļauts ieceļot un uzturēties pagaidu kārtā, skaitlisku kvotu vai ekonomisko vajadzību pārbaudes veidā; un </w:t>
      </w:r>
    </w:p>
    <w:p w:rsidR="003E022D" w:rsidRDefault="007D19D6">
      <w:pPr>
        <w:numPr>
          <w:ilvl w:val="1"/>
          <w:numId w:val="606"/>
        </w:numPr>
        <w:ind w:left="567" w:hanging="567"/>
        <w:rPr>
          <w:rFonts w:cs="Arial"/>
          <w:bCs/>
          <w:noProof/>
        </w:rPr>
      </w:pPr>
      <w:r>
        <w:rPr>
          <w:noProof/>
        </w:rPr>
        <w:t>katra Puse piešķir otras Puses līgumpakalpojumu sniedzējiem un neatkarīgajiem speciālistiem attiecībā uz viņu pakalpojumu sniegšanu un tā</w:t>
      </w:r>
      <w:r>
        <w:rPr>
          <w:noProof/>
        </w:rPr>
        <w:t xml:space="preserve">s teritorijā režīmu, kas nav mazāk labvēlīgs par režīmu, ko tā līdzīgās situācijās piešķir saviem pakalpojumu sniedzējiem un pakalpojumiem. </w:t>
      </w:r>
    </w:p>
    <w:p w:rsidR="003E022D" w:rsidRDefault="007D19D6">
      <w:pPr>
        <w:numPr>
          <w:ilvl w:val="0"/>
          <w:numId w:val="605"/>
        </w:numPr>
        <w:ind w:left="0" w:firstLine="0"/>
        <w:rPr>
          <w:rFonts w:cs="Arial"/>
          <w:bCs/>
          <w:noProof/>
        </w:rPr>
      </w:pPr>
      <w:r>
        <w:rPr>
          <w:noProof/>
        </w:rPr>
        <w:t>Piekļuve, kuru piešķir saskaņā ar šo pantu, attiecas tikai uz pakalpojumu, kas ir līguma priekšmets, un nedod tiesī</w:t>
      </w:r>
      <w:r>
        <w:rPr>
          <w:noProof/>
        </w:rPr>
        <w:t xml:space="preserve">bas izmantot tās Puses teritorijā pastāvošo profesionālo nosaukumu, kurā pakalpojums tiek sniegts. </w:t>
      </w:r>
    </w:p>
    <w:p w:rsidR="003E022D" w:rsidRDefault="007D19D6">
      <w:pPr>
        <w:numPr>
          <w:ilvl w:val="0"/>
          <w:numId w:val="605"/>
        </w:numPr>
        <w:ind w:left="0" w:firstLine="0"/>
        <w:rPr>
          <w:rFonts w:cs="Arial"/>
          <w:bCs/>
          <w:noProof/>
        </w:rPr>
      </w:pPr>
      <w:r>
        <w:rPr>
          <w:noProof/>
        </w:rPr>
        <w:t>Pakalpojumu līguma aptverto personu skaits nav lielāks par līguma izpildei nepieciešamo, kas var būt noteikts tās Puses tiesībās, kurā pakalpojums tiek snie</w:t>
      </w:r>
      <w:r>
        <w:rPr>
          <w:noProof/>
        </w:rPr>
        <w:t xml:space="preserve">gts. </w:t>
      </w:r>
    </w:p>
    <w:p w:rsidR="003E022D" w:rsidRDefault="007D19D6">
      <w:pPr>
        <w:numPr>
          <w:ilvl w:val="0"/>
          <w:numId w:val="605"/>
        </w:numPr>
        <w:ind w:left="0" w:firstLine="0"/>
        <w:rPr>
          <w:rFonts w:cs="Arial"/>
          <w:bCs/>
          <w:noProof/>
        </w:rPr>
      </w:pPr>
      <w:r>
        <w:rPr>
          <w:noProof/>
        </w:rPr>
        <w:t xml:space="preserve">Atļautais uzturēšanās ilgums ir kumulatīvs 12 mēnešu laikposms vai līguma darbības ilgums, atkarībā no tā, kurš laikposms ir īsāks. </w:t>
      </w:r>
    </w:p>
    <w:p w:rsidR="003E022D" w:rsidRDefault="007D19D6">
      <w:pPr>
        <w:pStyle w:val="Article"/>
        <w:rPr>
          <w:noProof/>
        </w:rPr>
      </w:pPr>
      <w:r>
        <w:rPr>
          <w:noProof/>
        </w:rPr>
        <w:t>SERVIN.4.5. pants. Neatbilstoši pasākumi</w:t>
      </w:r>
    </w:p>
    <w:p w:rsidR="003E022D" w:rsidRDefault="007D19D6">
      <w:pPr>
        <w:pStyle w:val="Default"/>
        <w:spacing w:after="240"/>
        <w:jc w:val="both"/>
        <w:rPr>
          <w:rFonts w:asciiTheme="minorHAnsi" w:hAnsiTheme="minorHAnsi" w:cs="Arial"/>
          <w:bCs/>
          <w:noProof/>
          <w:color w:val="auto"/>
          <w:sz w:val="22"/>
          <w:szCs w:val="22"/>
        </w:rPr>
      </w:pPr>
      <w:r>
        <w:rPr>
          <w:noProof/>
        </w:rPr>
        <w:t xml:space="preserve">Ciktāl attiecīgais pasākums ietekmē fizisku personu pagaidu uzturēšanos </w:t>
      </w:r>
      <w:r>
        <w:rPr>
          <w:noProof/>
        </w:rPr>
        <w:t>darījumdarbības nolūkā, SERVIN.4.2. panta [Uzņēmuma ietvaros pārcelti darbinieki un viesdarbinieki uzņēmējdarbības veikšanas nolūkā] 1. punkta b) un c) apakšpunktu, SERVIN.4.3. panta [Īstermiņa viesdarbinieki] 3. punktu un SERVIN.4.4. panta [Līgumpakalpoju</w:t>
      </w:r>
      <w:r>
        <w:rPr>
          <w:noProof/>
        </w:rPr>
        <w:t>mu sniedzēji un neatkarīgie speciālisti] 1. punkta b) un c) apakšpunktu nepiemēro:</w:t>
      </w:r>
      <w:r>
        <w:rPr>
          <w:rFonts w:asciiTheme="minorHAnsi" w:hAnsiTheme="minorHAnsi"/>
          <w:bCs/>
          <w:noProof/>
          <w:color w:val="auto"/>
          <w:sz w:val="22"/>
          <w:szCs w:val="22"/>
        </w:rPr>
        <w:t xml:space="preserve"> </w:t>
      </w:r>
    </w:p>
    <w:p w:rsidR="003E022D" w:rsidRDefault="007D19D6">
      <w:pPr>
        <w:numPr>
          <w:ilvl w:val="1"/>
          <w:numId w:val="607"/>
        </w:numPr>
        <w:ind w:left="567" w:hanging="567"/>
        <w:rPr>
          <w:rFonts w:cs="Arial"/>
          <w:bCs/>
          <w:noProof/>
        </w:rPr>
      </w:pPr>
      <w:r>
        <w:rPr>
          <w:noProof/>
        </w:rPr>
        <w:t>spēkā esošam neatbilstošam Puses pasākumam:</w:t>
      </w:r>
    </w:p>
    <w:p w:rsidR="003E022D" w:rsidRDefault="007D19D6">
      <w:pPr>
        <w:ind w:left="1276" w:hanging="567"/>
        <w:rPr>
          <w:rFonts w:cs="Arial"/>
          <w:bCs/>
          <w:noProof/>
        </w:rPr>
      </w:pPr>
      <w:r>
        <w:rPr>
          <w:noProof/>
        </w:rPr>
        <w:t>i)</w:t>
      </w:r>
      <w:r>
        <w:rPr>
          <w:noProof/>
        </w:rPr>
        <w:tab/>
        <w:t>attiecībā uz Savienību:</w:t>
      </w:r>
    </w:p>
    <w:p w:rsidR="003E022D" w:rsidRDefault="007D19D6">
      <w:pPr>
        <w:autoSpaceDE w:val="0"/>
        <w:autoSpaceDN w:val="0"/>
        <w:adjustRightInd w:val="0"/>
        <w:ind w:left="1440"/>
        <w:rPr>
          <w:rFonts w:cs="Arial"/>
          <w:bCs/>
          <w:noProof/>
        </w:rPr>
      </w:pPr>
      <w:r>
        <w:rPr>
          <w:noProof/>
        </w:rPr>
        <w:t>A)</w:t>
      </w:r>
      <w:r>
        <w:rPr>
          <w:noProof/>
        </w:rPr>
        <w:tab/>
        <w:t xml:space="preserve">Savienības līmenī, kā noteikts Savienības sarakstā SERVIN-1. pielikumā [Esošie pasākumi]; </w:t>
      </w:r>
    </w:p>
    <w:p w:rsidR="003E022D" w:rsidRDefault="007D19D6">
      <w:pPr>
        <w:autoSpaceDE w:val="0"/>
        <w:autoSpaceDN w:val="0"/>
        <w:adjustRightInd w:val="0"/>
        <w:ind w:left="2160" w:hanging="720"/>
        <w:rPr>
          <w:rFonts w:cs="Arial"/>
          <w:bCs/>
          <w:noProof/>
        </w:rPr>
      </w:pPr>
      <w:r>
        <w:rPr>
          <w:noProof/>
        </w:rPr>
        <w:t>B)</w:t>
      </w:r>
      <w:r>
        <w:rPr>
          <w:noProof/>
        </w:rPr>
        <w:tab/>
        <w:t>dalī</w:t>
      </w:r>
      <w:r>
        <w:rPr>
          <w:noProof/>
        </w:rPr>
        <w:t xml:space="preserve">bvalsts centrālās valdības līmenī, kā noteikts Savienības sarakstā SERVIN-1 pielikumā [Esošie pasākumi]; </w:t>
      </w:r>
    </w:p>
    <w:p w:rsidR="003E022D" w:rsidRDefault="007D19D6">
      <w:pPr>
        <w:autoSpaceDE w:val="0"/>
        <w:autoSpaceDN w:val="0"/>
        <w:adjustRightInd w:val="0"/>
        <w:ind w:left="2160" w:hanging="720"/>
        <w:rPr>
          <w:rFonts w:cs="Arial"/>
          <w:bCs/>
          <w:noProof/>
        </w:rPr>
      </w:pPr>
      <w:r>
        <w:rPr>
          <w:noProof/>
        </w:rPr>
        <w:t>C)</w:t>
      </w:r>
      <w:r>
        <w:rPr>
          <w:noProof/>
        </w:rPr>
        <w:tab/>
        <w:t xml:space="preserve">dalībvalsts reģionālās valdības līmenī, kā noteikts Savienības sarakstā SERVIN-1 pielikumā [Esošie pasākumi]; vai </w:t>
      </w:r>
    </w:p>
    <w:p w:rsidR="003E022D" w:rsidRDefault="007D19D6">
      <w:pPr>
        <w:autoSpaceDE w:val="0"/>
        <w:autoSpaceDN w:val="0"/>
        <w:adjustRightInd w:val="0"/>
        <w:ind w:left="1440"/>
        <w:rPr>
          <w:rFonts w:cs="Arial"/>
          <w:bCs/>
          <w:noProof/>
        </w:rPr>
      </w:pPr>
      <w:r>
        <w:rPr>
          <w:noProof/>
        </w:rPr>
        <w:t>D)</w:t>
      </w:r>
      <w:r>
        <w:rPr>
          <w:noProof/>
        </w:rPr>
        <w:tab/>
        <w:t>tādas vietējās valdības līmen</w:t>
      </w:r>
      <w:r>
        <w:rPr>
          <w:noProof/>
        </w:rPr>
        <w:t>ī, kas nav C) punktā minētā valdība, un</w:t>
      </w:r>
    </w:p>
    <w:p w:rsidR="003E022D" w:rsidRDefault="007D19D6">
      <w:pPr>
        <w:ind w:left="1276" w:hanging="567"/>
        <w:rPr>
          <w:rFonts w:cs="Arial"/>
          <w:bCs/>
          <w:noProof/>
        </w:rPr>
      </w:pPr>
      <w:r>
        <w:rPr>
          <w:noProof/>
        </w:rPr>
        <w:t>ii)</w:t>
      </w:r>
      <w:r>
        <w:rPr>
          <w:noProof/>
        </w:rPr>
        <w:tab/>
        <w:t>attiecībā uz Apvienoto Karalisti:</w:t>
      </w:r>
    </w:p>
    <w:p w:rsidR="003E022D" w:rsidRDefault="007D19D6">
      <w:pPr>
        <w:autoSpaceDE w:val="0"/>
        <w:autoSpaceDN w:val="0"/>
        <w:adjustRightInd w:val="0"/>
        <w:ind w:left="2160" w:hanging="720"/>
        <w:rPr>
          <w:rFonts w:cs="Arial"/>
          <w:bCs/>
          <w:noProof/>
        </w:rPr>
      </w:pPr>
      <w:r>
        <w:rPr>
          <w:noProof/>
        </w:rPr>
        <w:t>A)</w:t>
      </w:r>
      <w:r>
        <w:rPr>
          <w:noProof/>
        </w:rPr>
        <w:tab/>
        <w:t>centrālās valdības līmenī, kā noteikts Apvienotās Karalistes sarakstā SERVIN-1. pielikumā [Esošie pasākumi];</w:t>
      </w:r>
    </w:p>
    <w:p w:rsidR="003E022D" w:rsidRDefault="007D19D6">
      <w:pPr>
        <w:autoSpaceDE w:val="0"/>
        <w:autoSpaceDN w:val="0"/>
        <w:adjustRightInd w:val="0"/>
        <w:ind w:left="2160" w:hanging="720"/>
        <w:rPr>
          <w:rFonts w:cs="Arial"/>
          <w:bCs/>
          <w:noProof/>
        </w:rPr>
      </w:pPr>
      <w:r>
        <w:rPr>
          <w:noProof/>
        </w:rPr>
        <w:t>B)</w:t>
      </w:r>
      <w:r>
        <w:rPr>
          <w:noProof/>
        </w:rPr>
        <w:tab/>
      </w:r>
      <w:r>
        <w:rPr>
          <w:noProof/>
        </w:rPr>
        <w:t xml:space="preserve">[reģionālā apakšiedalījuma līmenī], kā noteikts Apvienotās Karalistes sarakstā SERVIN-1. pielikumā [Esošie pasākumi]; vai </w:t>
      </w:r>
    </w:p>
    <w:p w:rsidR="003E022D" w:rsidRDefault="007D19D6">
      <w:pPr>
        <w:autoSpaceDE w:val="0"/>
        <w:autoSpaceDN w:val="0"/>
        <w:adjustRightInd w:val="0"/>
        <w:ind w:left="1440"/>
        <w:rPr>
          <w:rFonts w:cs="Arial"/>
          <w:bCs/>
          <w:noProof/>
        </w:rPr>
      </w:pPr>
      <w:r>
        <w:rPr>
          <w:noProof/>
        </w:rPr>
        <w:t>C)</w:t>
      </w:r>
      <w:r>
        <w:rPr>
          <w:noProof/>
        </w:rPr>
        <w:tab/>
        <w:t>vietējas valdības līmenī;</w:t>
      </w:r>
    </w:p>
    <w:p w:rsidR="003E022D" w:rsidRDefault="007D19D6">
      <w:pPr>
        <w:numPr>
          <w:ilvl w:val="1"/>
          <w:numId w:val="607"/>
        </w:numPr>
        <w:ind w:left="567" w:hanging="567"/>
        <w:rPr>
          <w:rFonts w:cs="Arial"/>
          <w:bCs/>
          <w:noProof/>
        </w:rPr>
      </w:pPr>
      <w:r>
        <w:rPr>
          <w:noProof/>
        </w:rPr>
        <w:t>šā punkta a) apakšpunktā norādītajai jebkurai neatbilstoša pasākuma turpināšanai vai tūlītējai atjaunoša</w:t>
      </w:r>
      <w:r>
        <w:rPr>
          <w:noProof/>
        </w:rPr>
        <w:t xml:space="preserve">nai </w:t>
      </w:r>
    </w:p>
    <w:p w:rsidR="003E022D" w:rsidRDefault="007D19D6">
      <w:pPr>
        <w:numPr>
          <w:ilvl w:val="1"/>
          <w:numId w:val="607"/>
        </w:numPr>
        <w:ind w:left="567" w:hanging="567"/>
        <w:rPr>
          <w:rFonts w:cs="Arial"/>
          <w:bCs/>
          <w:noProof/>
        </w:rPr>
      </w:pPr>
      <w:r>
        <w:rPr>
          <w:noProof/>
        </w:rPr>
        <w:t>izmaiņām neatbilstošā pasākumā, kuras minētas šā panta a) un b) punktā, tādā apmērā, kas nesamazina pasākuma atbilstību SERVIN.4.2. panta [Uzņēmuma ietvaros pārcelti darbinieki un viesdarbinieki uzņēmējdarbības veikšanas nolūkā] 1. punkta b) un c) apa</w:t>
      </w:r>
      <w:r>
        <w:rPr>
          <w:noProof/>
        </w:rPr>
        <w:t xml:space="preserve">kšpunktam, SERVIN.4.3. panta [Īstermiņa viesdarbinieki] 3. punktam un SERVIN.4.4. panta [Līgumpakalpojumu sniedzēji un neatkarīgie speciālisti]] 1. punkta b) un c) apakšpunktam, kāda tā bijusi tieši pirms izmaiņām; vai </w:t>
      </w:r>
    </w:p>
    <w:p w:rsidR="003E022D" w:rsidRDefault="007D19D6">
      <w:pPr>
        <w:numPr>
          <w:ilvl w:val="1"/>
          <w:numId w:val="607"/>
        </w:numPr>
        <w:ind w:left="567" w:hanging="567"/>
        <w:rPr>
          <w:rFonts w:cs="Arial"/>
          <w:bCs/>
          <w:noProof/>
        </w:rPr>
      </w:pPr>
      <w:r>
        <w:rPr>
          <w:noProof/>
        </w:rPr>
        <w:t>jebkādiem Puses pasākumiem, kas ir s</w:t>
      </w:r>
      <w:r>
        <w:rPr>
          <w:noProof/>
        </w:rPr>
        <w:t>aderīgi ar SERVIN-2. pielikumā [Nākotnes pasākumi] norādīto nosacījumu vai kvalifikāciju.</w:t>
      </w:r>
    </w:p>
    <w:p w:rsidR="003E022D" w:rsidRDefault="007D19D6">
      <w:pPr>
        <w:pStyle w:val="Article"/>
        <w:rPr>
          <w:noProof/>
        </w:rPr>
      </w:pPr>
      <w:r>
        <w:rPr>
          <w:noProof/>
        </w:rPr>
        <w:t>SERVIN.4.6. pants. Pārredzamība</w:t>
      </w:r>
    </w:p>
    <w:p w:rsidR="003E022D" w:rsidRDefault="007D19D6">
      <w:pPr>
        <w:numPr>
          <w:ilvl w:val="0"/>
          <w:numId w:val="608"/>
        </w:numPr>
        <w:ind w:left="0" w:firstLine="0"/>
        <w:rPr>
          <w:rFonts w:cs="Arial"/>
          <w:noProof/>
        </w:rPr>
      </w:pPr>
      <w:r>
        <w:rPr>
          <w:noProof/>
        </w:rPr>
        <w:t>Katra Puse dara publiski pieejamu informāciju par attiecīgiem pasākumiem, kas attiecas uz otras Puses fizisko personu ieceļošanu un pa</w:t>
      </w:r>
      <w:r>
        <w:rPr>
          <w:noProof/>
        </w:rPr>
        <w:t xml:space="preserve">gaidu uzturēšanos, kā minēts SERVIN.4.1. panta [Darbības joma un definīcijas] 1. punktā. </w:t>
      </w:r>
    </w:p>
    <w:p w:rsidR="003E022D" w:rsidRDefault="007D19D6">
      <w:pPr>
        <w:numPr>
          <w:ilvl w:val="0"/>
          <w:numId w:val="608"/>
        </w:numPr>
        <w:ind w:left="0" w:firstLine="0"/>
        <w:rPr>
          <w:rFonts w:cs="Arial"/>
          <w:noProof/>
        </w:rPr>
      </w:pPr>
      <w:r>
        <w:rPr>
          <w:noProof/>
        </w:rPr>
        <w:t xml:space="preserve">Šā panta 1. punktā minētā informācija, ciktāl iespējams, ietver šādu informāciju, kas attiecas uz fizisku personu ieceļošanu un pagaidu uzturēšanos: </w:t>
      </w:r>
    </w:p>
    <w:p w:rsidR="003E022D" w:rsidRDefault="007D19D6">
      <w:pPr>
        <w:numPr>
          <w:ilvl w:val="1"/>
          <w:numId w:val="609"/>
        </w:numPr>
        <w:ind w:left="567" w:hanging="567"/>
        <w:rPr>
          <w:rFonts w:cs="Arial"/>
          <w:noProof/>
        </w:rPr>
      </w:pPr>
      <w:r>
        <w:rPr>
          <w:noProof/>
        </w:rPr>
        <w:t>kategoriju, kāda</w:t>
      </w:r>
      <w:r>
        <w:rPr>
          <w:noProof/>
        </w:rPr>
        <w:t xml:space="preserve"> ir vīzām, uzturēšanās atļaujām vai cita veida atļaujām, kas attiecas uz personas ieceļošanu un pagaidu uzturēšanos;</w:t>
      </w:r>
    </w:p>
    <w:p w:rsidR="003E022D" w:rsidRDefault="007D19D6">
      <w:pPr>
        <w:numPr>
          <w:ilvl w:val="1"/>
          <w:numId w:val="609"/>
        </w:numPr>
        <w:ind w:left="567" w:hanging="567"/>
        <w:rPr>
          <w:rFonts w:cs="Arial"/>
          <w:noProof/>
        </w:rPr>
      </w:pPr>
      <w:r>
        <w:rPr>
          <w:noProof/>
        </w:rPr>
        <w:t>nepieciešamo dokumentāciju un nosacījumus, kas jāizpilda;</w:t>
      </w:r>
    </w:p>
    <w:p w:rsidR="003E022D" w:rsidRDefault="007D19D6">
      <w:pPr>
        <w:numPr>
          <w:ilvl w:val="1"/>
          <w:numId w:val="609"/>
        </w:numPr>
        <w:ind w:left="567" w:hanging="567"/>
        <w:rPr>
          <w:rFonts w:cs="Arial"/>
          <w:noProof/>
        </w:rPr>
      </w:pPr>
      <w:r>
        <w:rPr>
          <w:noProof/>
        </w:rPr>
        <w:t>metodi pieteikuma aizpildīšanai un iespējas iesnieguma iesniegšanai, piemēram, ko</w:t>
      </w:r>
      <w:r>
        <w:rPr>
          <w:noProof/>
        </w:rPr>
        <w:t>nsulārajās iestādēs vai tiešsaistē;</w:t>
      </w:r>
    </w:p>
    <w:p w:rsidR="003E022D" w:rsidRDefault="007D19D6">
      <w:pPr>
        <w:numPr>
          <w:ilvl w:val="1"/>
          <w:numId w:val="609"/>
        </w:numPr>
        <w:ind w:left="567" w:hanging="567"/>
        <w:rPr>
          <w:rFonts w:cs="Arial"/>
          <w:noProof/>
        </w:rPr>
      </w:pPr>
      <w:r>
        <w:rPr>
          <w:noProof/>
        </w:rPr>
        <w:t>maksu par pieteikuma iesniegšanu un indikatīvu pieteikuma apstrādes termiņu;</w:t>
      </w:r>
    </w:p>
    <w:p w:rsidR="003E022D" w:rsidRDefault="007D19D6">
      <w:pPr>
        <w:numPr>
          <w:ilvl w:val="1"/>
          <w:numId w:val="609"/>
        </w:numPr>
        <w:ind w:left="567" w:hanging="567"/>
        <w:rPr>
          <w:rFonts w:cs="Arial"/>
          <w:noProof/>
        </w:rPr>
      </w:pPr>
      <w:r>
        <w:rPr>
          <w:noProof/>
        </w:rPr>
        <w:t>maksimālo uzturēšanās ilgumu katram atļaujas veidam, kas minēts a) apakšpunktā;</w:t>
      </w:r>
    </w:p>
    <w:p w:rsidR="003E022D" w:rsidRDefault="007D19D6">
      <w:pPr>
        <w:numPr>
          <w:ilvl w:val="1"/>
          <w:numId w:val="609"/>
        </w:numPr>
        <w:ind w:left="567" w:hanging="567"/>
        <w:rPr>
          <w:rFonts w:cs="Arial"/>
          <w:noProof/>
        </w:rPr>
      </w:pPr>
      <w:r>
        <w:rPr>
          <w:noProof/>
        </w:rPr>
        <w:t>iespējamas pagarināšanas vai atjaunošanas nosacījumus;</w:t>
      </w:r>
    </w:p>
    <w:p w:rsidR="003E022D" w:rsidRDefault="007D19D6">
      <w:pPr>
        <w:numPr>
          <w:ilvl w:val="1"/>
          <w:numId w:val="609"/>
        </w:numPr>
        <w:ind w:left="567" w:hanging="567"/>
        <w:rPr>
          <w:rFonts w:cs="Arial"/>
          <w:noProof/>
        </w:rPr>
      </w:pPr>
      <w:r>
        <w:rPr>
          <w:noProof/>
        </w:rPr>
        <w:t>noteikumus attiecībā uz pavadošām apgādājamām personām;</w:t>
      </w:r>
    </w:p>
    <w:p w:rsidR="003E022D" w:rsidRDefault="007D19D6">
      <w:pPr>
        <w:numPr>
          <w:ilvl w:val="1"/>
          <w:numId w:val="609"/>
        </w:numPr>
        <w:ind w:left="567" w:hanging="567"/>
        <w:rPr>
          <w:rFonts w:cs="Arial"/>
          <w:noProof/>
        </w:rPr>
      </w:pPr>
      <w:r>
        <w:rPr>
          <w:noProof/>
        </w:rPr>
        <w:t xml:space="preserve">pieejamās izskatīšanas vai pārsūdzēšanas procedūras un </w:t>
      </w:r>
    </w:p>
    <w:p w:rsidR="003E022D" w:rsidRDefault="007D19D6">
      <w:pPr>
        <w:numPr>
          <w:ilvl w:val="1"/>
          <w:numId w:val="609"/>
        </w:numPr>
        <w:ind w:left="567" w:hanging="567"/>
        <w:rPr>
          <w:rFonts w:cs="Arial"/>
          <w:noProof/>
        </w:rPr>
      </w:pPr>
      <w:r>
        <w:rPr>
          <w:noProof/>
        </w:rPr>
        <w:t>attiecīgās vispārpiemērojamās tiesības, kas attiecas uz fizisko personu ieceļošanu un pagaidu uzturēšanos darījumdarbības nolūkā.</w:t>
      </w:r>
    </w:p>
    <w:p w:rsidR="003E022D" w:rsidRDefault="007D19D6">
      <w:pPr>
        <w:numPr>
          <w:ilvl w:val="0"/>
          <w:numId w:val="608"/>
        </w:numPr>
        <w:ind w:left="0" w:firstLine="0"/>
        <w:rPr>
          <w:rFonts w:cs="Arial"/>
          <w:noProof/>
        </w:rPr>
      </w:pPr>
      <w:r>
        <w:rPr>
          <w:noProof/>
        </w:rPr>
        <w:t>Attiecībā uz 1</w:t>
      </w:r>
      <w:r>
        <w:rPr>
          <w:noProof/>
        </w:rPr>
        <w:t>. un 2. punktā minēto informāciju katra Puse cenšas nekavējoties informēt otru Pusi par visām jaunajām prasībām un procedūrām vai izmaiņām prasībās un procedūrās, ko Puse ievieš un kas faktiski ietekmē ieceļošanas un pagaidu uzturēšanās atļauju izsniegšanu</w:t>
      </w:r>
      <w:r>
        <w:rPr>
          <w:noProof/>
        </w:rPr>
        <w:t xml:space="preserve"> un attiecīgā gadījumā – darba atļauju izsniegšanu pirmajā Pusē.</w:t>
      </w:r>
    </w:p>
    <w:p w:rsidR="003E022D" w:rsidRDefault="007D19D6">
      <w:pPr>
        <w:pStyle w:val="Chapter"/>
        <w:rPr>
          <w:noProof/>
        </w:rPr>
      </w:pPr>
      <w:r>
        <w:rPr>
          <w:noProof/>
        </w:rPr>
        <w:t>5. nodaļa. Tiesiskais regulējums</w:t>
      </w:r>
    </w:p>
    <w:p w:rsidR="003E022D" w:rsidRDefault="007D19D6">
      <w:pPr>
        <w:pStyle w:val="Section"/>
        <w:rPr>
          <w:rFonts w:cs="Arial"/>
          <w:noProof/>
        </w:rPr>
      </w:pPr>
      <w:r>
        <w:rPr>
          <w:noProof/>
        </w:rPr>
        <w:t>1. iedaļa. Iekšzemes regulējums</w:t>
      </w:r>
    </w:p>
    <w:p w:rsidR="003E022D" w:rsidRDefault="007D19D6">
      <w:pPr>
        <w:pStyle w:val="Article"/>
        <w:rPr>
          <w:noProof/>
          <w:lang w:val="fr-BE"/>
        </w:rPr>
      </w:pPr>
      <w:r>
        <w:rPr>
          <w:noProof/>
          <w:lang w:val="fr-BE"/>
        </w:rPr>
        <w:t>SERVIN.5.1. pants. Darbības joma un definīcijas</w:t>
      </w:r>
    </w:p>
    <w:p w:rsidR="003E022D" w:rsidRDefault="007D19D6">
      <w:pPr>
        <w:numPr>
          <w:ilvl w:val="0"/>
          <w:numId w:val="610"/>
        </w:numPr>
        <w:ind w:left="0" w:firstLine="0"/>
        <w:rPr>
          <w:rFonts w:cs="Arial"/>
          <w:noProof/>
          <w:lang w:val="fr-BE"/>
        </w:rPr>
      </w:pPr>
      <w:r>
        <w:rPr>
          <w:noProof/>
          <w:lang w:val="fr-BE"/>
        </w:rPr>
        <w:t>Šo iedaļu piemēro Pušu pasākumiem, kas saistīti ar licencēšanas prasībām un pr</w:t>
      </w:r>
      <w:r>
        <w:rPr>
          <w:noProof/>
          <w:lang w:val="fr-BE"/>
        </w:rPr>
        <w:t xml:space="preserve">ocedūrām, kvalifikācijas prasībām un procedūrām, formalitātēm un tehniskajiem standartiem, kuri ietekmē: </w:t>
      </w:r>
    </w:p>
    <w:p w:rsidR="003E022D" w:rsidRDefault="007D19D6">
      <w:pPr>
        <w:numPr>
          <w:ilvl w:val="1"/>
          <w:numId w:val="611"/>
        </w:numPr>
        <w:ind w:left="567" w:hanging="567"/>
        <w:rPr>
          <w:rFonts w:cs="Arial"/>
          <w:noProof/>
        </w:rPr>
      </w:pPr>
      <w:r>
        <w:rPr>
          <w:noProof/>
        </w:rPr>
        <w:t xml:space="preserve">pakalpojumu pārrobežu tirdzniecību; </w:t>
      </w:r>
    </w:p>
    <w:p w:rsidR="003E022D" w:rsidRDefault="007D19D6">
      <w:pPr>
        <w:numPr>
          <w:ilvl w:val="1"/>
          <w:numId w:val="611"/>
        </w:numPr>
        <w:ind w:left="567" w:hanging="567"/>
        <w:rPr>
          <w:rFonts w:cs="Arial"/>
          <w:noProof/>
        </w:rPr>
      </w:pPr>
      <w:r>
        <w:rPr>
          <w:noProof/>
        </w:rPr>
        <w:t xml:space="preserve"> izveidi vai darbību vai</w:t>
      </w:r>
    </w:p>
    <w:p w:rsidR="003E022D" w:rsidRDefault="007D19D6">
      <w:pPr>
        <w:numPr>
          <w:ilvl w:val="1"/>
          <w:numId w:val="611"/>
        </w:numPr>
        <w:ind w:left="567" w:hanging="567"/>
        <w:rPr>
          <w:rFonts w:cs="Arial"/>
          <w:noProof/>
        </w:rPr>
      </w:pPr>
      <w:r>
        <w:rPr>
          <w:noProof/>
        </w:rPr>
        <w:t>pakalpojumu sniegšanu, izmantojot Puses fiziskas personas klātbūtni otras Puses teritori</w:t>
      </w:r>
      <w:r>
        <w:rPr>
          <w:noProof/>
        </w:rPr>
        <w:t xml:space="preserve">jā, kā noteikts SERVIN.4.1. pantā [Darbības joma un definīcijas]. </w:t>
      </w:r>
    </w:p>
    <w:p w:rsidR="003E022D" w:rsidRDefault="007D19D6">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Ciktāl pasākumi attiecas uz tehniskajiem standartiem, šo iedaļu piemēro tikai pasākumiem, kas ietekmē pakalpojumu tirdzniecību. Šajā iedaļā jēdziens “tehniskie standarti” neietver finanšu p</w:t>
      </w:r>
      <w:r>
        <w:rPr>
          <w:rFonts w:asciiTheme="minorHAnsi" w:hAnsiTheme="minorHAnsi"/>
          <w:noProof/>
          <w:color w:val="auto"/>
          <w:sz w:val="22"/>
          <w:szCs w:val="22"/>
        </w:rPr>
        <w:t>akalpojumu regulatīvos vai īstenošanas tehniskos standartus.</w:t>
      </w:r>
    </w:p>
    <w:p w:rsidR="003E022D" w:rsidRDefault="007D19D6">
      <w:pPr>
        <w:numPr>
          <w:ilvl w:val="0"/>
          <w:numId w:val="610"/>
        </w:numPr>
        <w:ind w:left="0" w:firstLine="0"/>
        <w:rPr>
          <w:rFonts w:cs="Arial"/>
          <w:noProof/>
        </w:rPr>
      </w:pPr>
      <w:r>
        <w:rPr>
          <w:noProof/>
        </w:rPr>
        <w:t xml:space="preserve">Šo iedaļu nepiemēro licencēšanas prasībām un procedūrām, kvalifikācijas prasībām un procedūrām, formalitātēm un tehniskajiem standartiem saistībā ar pasākumu, kas: </w:t>
      </w:r>
    </w:p>
    <w:p w:rsidR="003E022D" w:rsidRDefault="007D19D6">
      <w:pPr>
        <w:numPr>
          <w:ilvl w:val="1"/>
          <w:numId w:val="612"/>
        </w:numPr>
        <w:ind w:left="567" w:hanging="567"/>
        <w:rPr>
          <w:rFonts w:cs="Arial"/>
          <w:noProof/>
        </w:rPr>
      </w:pPr>
      <w:r>
        <w:rPr>
          <w:noProof/>
        </w:rPr>
        <w:t>neatbilst SERVIN.2.2. pantam [</w:t>
      </w:r>
      <w:r>
        <w:rPr>
          <w:noProof/>
        </w:rPr>
        <w:t>Piekļuve tirgum] vai SERVIN.2.3. pantam [Valsts režīms] un ir minēts SERVIN.2.7. panta [Neatbilstoši pasākumi un izņēmumi] 1. punkta a–c) apakšpunktā vai neatbilst SERVIN.3.2. pantam [Piekļuve tirgum], SERVIN.3.3. pantam [Klātbūtne uz vietas] vai SERVIN.3.</w:t>
      </w:r>
      <w:r>
        <w:rPr>
          <w:noProof/>
        </w:rPr>
        <w:t>4. pantam [Valsts režīms] un ir minēts SERVIN.3.6. panta [Neatbilstoši pasākumi] 1. punkta a–c) apakšpunktā, vai neatbilst SERVIN.4.2. panta [Uzņēmuma ietvaros pārcelti darbinieki un viesdarbinieki uzņēmējdarbības veikšanas nolūkā] 1. punkta b) un c) apakš</w:t>
      </w:r>
      <w:r>
        <w:rPr>
          <w:noProof/>
        </w:rPr>
        <w:t xml:space="preserve">punktam vai SERVIN.4.3. panta [Īstermiņa viesdarbinieki] 3. punktam, vai SERVIN.4.4. panta [Līgumpakalpojumu sniedzēji un neatkarīgie speciālisti] 1. punkta b) un c) apakšpunktam un ir minēts SERVIN.4.5. panta [Neatbilstoši pasākumi] 1. punktā, vai </w:t>
      </w:r>
    </w:p>
    <w:p w:rsidR="003E022D" w:rsidRDefault="007D19D6">
      <w:pPr>
        <w:numPr>
          <w:ilvl w:val="1"/>
          <w:numId w:val="612"/>
        </w:numPr>
        <w:ind w:left="567" w:hanging="567"/>
        <w:rPr>
          <w:rFonts w:cs="Arial"/>
          <w:noProof/>
        </w:rPr>
      </w:pPr>
      <w:r>
        <w:rPr>
          <w:noProof/>
        </w:rPr>
        <w:t>ir min</w:t>
      </w:r>
      <w:r>
        <w:rPr>
          <w:noProof/>
        </w:rPr>
        <w:t>ēts SERVIN.2.7. panta [Neatbilstoši pasākumi un izņēmumi] 2. punktā vai SERVIN.3.6. panta [Neatbilstoši pasākumi] 2. punktā.</w:t>
      </w:r>
    </w:p>
    <w:p w:rsidR="003E022D" w:rsidRDefault="007D19D6">
      <w:pPr>
        <w:numPr>
          <w:ilvl w:val="0"/>
          <w:numId w:val="610"/>
        </w:numPr>
        <w:ind w:left="0" w:firstLine="0"/>
        <w:rPr>
          <w:rFonts w:cs="Arial"/>
          <w:noProof/>
        </w:rPr>
      </w:pPr>
      <w:r>
        <w:rPr>
          <w:noProof/>
        </w:rPr>
        <w:t xml:space="preserve">Šajā iedaļā: </w:t>
      </w:r>
    </w:p>
    <w:p w:rsidR="003E022D" w:rsidRDefault="007D19D6">
      <w:pPr>
        <w:numPr>
          <w:ilvl w:val="1"/>
          <w:numId w:val="613"/>
        </w:numPr>
        <w:ind w:left="567" w:hanging="567"/>
        <w:rPr>
          <w:rFonts w:cs="Arial"/>
          <w:noProof/>
        </w:rPr>
      </w:pPr>
      <w:r>
        <w:rPr>
          <w:noProof/>
        </w:rPr>
        <w:t xml:space="preserve">“atļauja” ir atļauja veikt jebkuru 1. punkta a)–c) apakšpunktā minēto darbību, kas izriet no procedūras, kura </w:t>
      </w:r>
      <w:r>
        <w:rPr>
          <w:noProof/>
        </w:rPr>
        <w:t>fiziskai vai juridiskai personai jāievēro, lai pierādītu atbilstību licencēšanas prasībām, kvalifikācijas prasībām, tehniskajiem standartiem vai formalitātēm minētās atļaujas iegūšanai, saglabāšanai vai atjaunošanai; un</w:t>
      </w:r>
    </w:p>
    <w:p w:rsidR="003E022D" w:rsidRDefault="007D19D6">
      <w:pPr>
        <w:numPr>
          <w:ilvl w:val="1"/>
          <w:numId w:val="613"/>
        </w:numPr>
        <w:ind w:left="567" w:hanging="567"/>
        <w:rPr>
          <w:rFonts w:cs="Arial"/>
          <w:noProof/>
        </w:rPr>
      </w:pPr>
      <w:r>
        <w:rPr>
          <w:noProof/>
        </w:rPr>
        <w:t>“kompetentā iestāde” ir centrālā, re</w:t>
      </w:r>
      <w:r>
        <w:rPr>
          <w:noProof/>
        </w:rPr>
        <w:t>ģionālā vai vietējā valdība vai iestāde, vai nevalstiska struktūra, kas īsteno pilnvaras, kuras tai deleģējusi centrālā, reģionālā vai vietējā valdība vai iestādes un kurai ir tiesības pieņemt lēmumu par a) apakšpunktā minēto atļauju.</w:t>
      </w:r>
    </w:p>
    <w:p w:rsidR="003E022D" w:rsidRDefault="007D19D6">
      <w:pPr>
        <w:pStyle w:val="Article"/>
        <w:rPr>
          <w:noProof/>
        </w:rPr>
      </w:pPr>
      <w:r>
        <w:rPr>
          <w:noProof/>
        </w:rPr>
        <w:t>SERVIN.5.2. pants. Pi</w:t>
      </w:r>
      <w:r>
        <w:rPr>
          <w:noProof/>
        </w:rPr>
        <w:t>eteikumu iesniegšana</w:t>
      </w:r>
    </w:p>
    <w:p w:rsidR="003E022D" w:rsidRDefault="007D19D6">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Katra Puse, ciktāl tas praktiski iespējams, izvairās pieprasīt, lai pieteikuma iesniedzējs vērstos vairāk nekā vienā kompetentajā iestādē attiecībā uz katru atļaujas pieteikumu. Ja darbība, kurai pieprasa atļauju, ir vairāku kompetento</w:t>
      </w:r>
      <w:r>
        <w:rPr>
          <w:rFonts w:asciiTheme="minorHAnsi" w:hAnsiTheme="minorHAnsi"/>
          <w:noProof/>
          <w:color w:val="auto"/>
          <w:sz w:val="22"/>
          <w:szCs w:val="22"/>
        </w:rPr>
        <w:t xml:space="preserve"> iestāžu jurisdikcijā, var būt vajadzīgi vairāki atļaujas pieteikumi. </w:t>
      </w:r>
    </w:p>
    <w:p w:rsidR="003E022D" w:rsidRDefault="007D19D6">
      <w:pPr>
        <w:pStyle w:val="Article"/>
        <w:rPr>
          <w:noProof/>
        </w:rPr>
      </w:pPr>
      <w:r>
        <w:rPr>
          <w:noProof/>
        </w:rPr>
        <w:t>SERVIN.5.3. pants. Pieteikumu iesniegšanas termiņi</w:t>
      </w:r>
    </w:p>
    <w:p w:rsidR="003E022D" w:rsidRDefault="007D19D6">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Ja Puse pieprasa atļauju, tā nodrošina, ka tās kompetentās iestādes, ciktāl tas praktiski iespējams, ļauj iesniegt pieteikumu jebkurā </w:t>
      </w:r>
      <w:r>
        <w:rPr>
          <w:rFonts w:asciiTheme="minorHAnsi" w:hAnsiTheme="minorHAnsi"/>
          <w:noProof/>
          <w:color w:val="auto"/>
          <w:sz w:val="22"/>
          <w:szCs w:val="22"/>
        </w:rPr>
        <w:t xml:space="preserve">laikā visa gada garumā. Ja atļaujas pieprasīšanai ir noteikts konkrēts termiņš, Puse nodrošina, ka kompetentās iestādes nosaka samērīgu termiņu pieteikuma iesniegšanai. </w:t>
      </w:r>
    </w:p>
    <w:p w:rsidR="003E022D" w:rsidRDefault="007D19D6">
      <w:pPr>
        <w:pStyle w:val="Article"/>
        <w:rPr>
          <w:noProof/>
        </w:rPr>
      </w:pPr>
      <w:r>
        <w:rPr>
          <w:noProof/>
        </w:rPr>
        <w:t>SERVIN.5.4. pants. Elektroniski pieteikumi un kopiju pieņemšana</w:t>
      </w:r>
    </w:p>
    <w:p w:rsidR="003E022D" w:rsidRDefault="007D19D6">
      <w:pPr>
        <w:pStyle w:val="Default"/>
        <w:spacing w:after="240"/>
        <w:rPr>
          <w:rFonts w:asciiTheme="minorHAnsi" w:hAnsiTheme="minorHAnsi" w:cs="Arial"/>
          <w:noProof/>
          <w:color w:val="auto"/>
          <w:sz w:val="22"/>
          <w:szCs w:val="22"/>
        </w:rPr>
      </w:pPr>
      <w:r>
        <w:rPr>
          <w:rFonts w:asciiTheme="minorHAnsi" w:hAnsiTheme="minorHAnsi"/>
          <w:noProof/>
          <w:color w:val="auto"/>
          <w:sz w:val="22"/>
          <w:szCs w:val="22"/>
        </w:rPr>
        <w:t>Ja Puse pieprasa atļau</w:t>
      </w:r>
      <w:r>
        <w:rPr>
          <w:rFonts w:asciiTheme="minorHAnsi" w:hAnsiTheme="minorHAnsi"/>
          <w:noProof/>
          <w:color w:val="auto"/>
          <w:sz w:val="22"/>
          <w:szCs w:val="22"/>
        </w:rPr>
        <w:t xml:space="preserve">ju, tā nodrošina, ka tās kompetentās iestādes: </w:t>
      </w:r>
    </w:p>
    <w:p w:rsidR="003E022D" w:rsidRDefault="007D19D6">
      <w:pPr>
        <w:numPr>
          <w:ilvl w:val="1"/>
          <w:numId w:val="614"/>
        </w:numPr>
        <w:ind w:left="567" w:hanging="567"/>
        <w:rPr>
          <w:rFonts w:cs="Arial"/>
          <w:noProof/>
        </w:rPr>
      </w:pPr>
      <w:r>
        <w:rPr>
          <w:noProof/>
        </w:rPr>
        <w:t xml:space="preserve">iespēju robežās paredz, ka pieteikumi ir aizpildāmi elektroniski, t. sk. no otras Puses teritorijas, un </w:t>
      </w:r>
    </w:p>
    <w:p w:rsidR="003E022D" w:rsidRDefault="007D19D6">
      <w:pPr>
        <w:numPr>
          <w:ilvl w:val="1"/>
          <w:numId w:val="614"/>
        </w:numPr>
        <w:ind w:left="567" w:hanging="567"/>
        <w:rPr>
          <w:rFonts w:cs="Arial"/>
          <w:noProof/>
        </w:rPr>
      </w:pPr>
      <w:r>
        <w:rPr>
          <w:noProof/>
        </w:rPr>
        <w:t xml:space="preserve">dokumentu oriģinālu vietā pieņem dokumentu kopijas, kas autentificētas saskaņā ar Puses valsts tiesību </w:t>
      </w:r>
      <w:r>
        <w:rPr>
          <w:noProof/>
        </w:rPr>
        <w:t>aktiem, ja vien kompetentās iestādes nepieprasa iesniegt dokumentu oriģinālus, lai aizsargātu atļaujas piešķiršanas procesa integritāti.</w:t>
      </w:r>
    </w:p>
    <w:p w:rsidR="003E022D" w:rsidRDefault="007D19D6">
      <w:pPr>
        <w:pStyle w:val="Article"/>
        <w:rPr>
          <w:noProof/>
        </w:rPr>
      </w:pPr>
      <w:r>
        <w:rPr>
          <w:noProof/>
        </w:rPr>
        <w:t>SERVIN.5.5. pants. Pieteikumu apstrāde</w:t>
      </w:r>
    </w:p>
    <w:p w:rsidR="003E022D" w:rsidRDefault="007D19D6">
      <w:pPr>
        <w:numPr>
          <w:ilvl w:val="0"/>
          <w:numId w:val="615"/>
        </w:numPr>
        <w:ind w:left="0" w:firstLine="0"/>
        <w:rPr>
          <w:rFonts w:cs="Arial"/>
          <w:noProof/>
        </w:rPr>
      </w:pPr>
      <w:r>
        <w:rPr>
          <w:noProof/>
        </w:rPr>
        <w:t xml:space="preserve">Ja Puse pieprasa atļauju, tā nodrošina, ka tās kompetentās iestādes: </w:t>
      </w:r>
    </w:p>
    <w:p w:rsidR="003E022D" w:rsidRDefault="007D19D6">
      <w:pPr>
        <w:numPr>
          <w:ilvl w:val="1"/>
          <w:numId w:val="616"/>
        </w:numPr>
        <w:ind w:left="567" w:hanging="567"/>
        <w:rPr>
          <w:rFonts w:cs="Arial"/>
          <w:noProof/>
        </w:rPr>
      </w:pPr>
      <w:r>
        <w:rPr>
          <w:noProof/>
        </w:rPr>
        <w:t>apstrādā p</w:t>
      </w:r>
      <w:r>
        <w:rPr>
          <w:noProof/>
        </w:rPr>
        <w:t>ieteikumus visu gadu. Ja tas nav iespējams, šī informācija būtu jāpublisko, cik vien tas iespējams savlaicīgi;</w:t>
      </w:r>
    </w:p>
    <w:p w:rsidR="003E022D" w:rsidRDefault="007D19D6">
      <w:pPr>
        <w:numPr>
          <w:ilvl w:val="1"/>
          <w:numId w:val="616"/>
        </w:numPr>
        <w:ind w:left="567" w:hanging="567"/>
        <w:rPr>
          <w:rFonts w:cs="Arial"/>
          <w:noProof/>
        </w:rPr>
      </w:pPr>
      <w:r>
        <w:rPr>
          <w:noProof/>
        </w:rPr>
        <w:t xml:space="preserve">ciktāl tas praktiski iespējams, norāda indikatīvu pieteikuma apstrādes termiņu. Šis termiņš ir samērīgs, ciktāl tas ir praktiski iespējams; </w:t>
      </w:r>
    </w:p>
    <w:p w:rsidR="003E022D" w:rsidRDefault="007D19D6">
      <w:pPr>
        <w:numPr>
          <w:ilvl w:val="1"/>
          <w:numId w:val="616"/>
        </w:numPr>
        <w:ind w:left="567" w:hanging="567"/>
        <w:rPr>
          <w:rFonts w:cs="Arial"/>
          <w:noProof/>
        </w:rPr>
      </w:pPr>
      <w:r>
        <w:rPr>
          <w:noProof/>
        </w:rPr>
        <w:t xml:space="preserve">pēc </w:t>
      </w:r>
      <w:r>
        <w:rPr>
          <w:noProof/>
        </w:rPr>
        <w:t xml:space="preserve">pieteikuma iesniedzēja pieprasījuma bez liekas kavēšanās sniedz informāciju par pieteikuma statusu; </w:t>
      </w:r>
    </w:p>
    <w:p w:rsidR="003E022D" w:rsidRDefault="007D19D6">
      <w:pPr>
        <w:numPr>
          <w:ilvl w:val="1"/>
          <w:numId w:val="616"/>
        </w:numPr>
        <w:ind w:left="567" w:hanging="567"/>
        <w:rPr>
          <w:rFonts w:cs="Arial"/>
          <w:noProof/>
        </w:rPr>
      </w:pPr>
      <w:r>
        <w:rPr>
          <w:noProof/>
        </w:rPr>
        <w:t xml:space="preserve">ciktāl tas praktiski iespējams, bez liekas kavēšanās pārliecinās par iesniegtā pieteikuma pilnīgumu saskaņā ar Puses valsts normatīvajiem aktiem; </w:t>
      </w:r>
    </w:p>
    <w:p w:rsidR="003E022D" w:rsidRDefault="007D19D6">
      <w:pPr>
        <w:numPr>
          <w:ilvl w:val="1"/>
          <w:numId w:val="616"/>
        </w:numPr>
        <w:ind w:left="567" w:hanging="567"/>
        <w:rPr>
          <w:rFonts w:cs="Arial"/>
          <w:noProof/>
        </w:rPr>
      </w:pPr>
      <w:r>
        <w:rPr>
          <w:noProof/>
        </w:rPr>
        <w:t>ja kompe</w:t>
      </w:r>
      <w:r>
        <w:rPr>
          <w:noProof/>
        </w:rPr>
        <w:t>tentās iestādes uzskata, ka pieteikums ir pilnīgs apstrādes nolūkiem saskaņā ar Puses valsts normatīvajiem aktiem</w:t>
      </w:r>
      <w:r>
        <w:rPr>
          <w:rFonts w:cs="Arial"/>
          <w:noProof/>
          <w:vertAlign w:val="superscript"/>
        </w:rPr>
        <w:footnoteReference w:id="19"/>
      </w:r>
      <w:r>
        <w:rPr>
          <w:noProof/>
        </w:rPr>
        <w:t xml:space="preserve">, tās samērīgā termiņā pēc pieteikuma iesniegšanas nodrošina, ka: </w:t>
      </w:r>
    </w:p>
    <w:p w:rsidR="003E022D" w:rsidRDefault="007D19D6">
      <w:pPr>
        <w:ind w:left="1276" w:hanging="567"/>
        <w:rPr>
          <w:rFonts w:cs="Arial"/>
          <w:noProof/>
        </w:rPr>
      </w:pPr>
      <w:r>
        <w:rPr>
          <w:noProof/>
        </w:rPr>
        <w:t>i)</w:t>
      </w:r>
      <w:r>
        <w:rPr>
          <w:noProof/>
        </w:rPr>
        <w:tab/>
        <w:t xml:space="preserve">pieteikuma apstrāde ir pabeigta un </w:t>
      </w:r>
    </w:p>
    <w:p w:rsidR="003E022D" w:rsidRDefault="007D19D6">
      <w:pPr>
        <w:ind w:left="1276" w:hanging="567"/>
        <w:rPr>
          <w:rFonts w:cs="Arial"/>
          <w:noProof/>
        </w:rPr>
      </w:pPr>
      <w:r>
        <w:rPr>
          <w:noProof/>
        </w:rPr>
        <w:t>ii)</w:t>
      </w:r>
      <w:r>
        <w:rPr>
          <w:noProof/>
        </w:rPr>
        <w:tab/>
        <w:t>pieteikuma iesniedzēju, ciktāl i</w:t>
      </w:r>
      <w:r>
        <w:rPr>
          <w:noProof/>
        </w:rPr>
        <w:t>espējams, rakstiski informē par pieteikumu pieņemto lēmumu</w:t>
      </w:r>
      <w:r>
        <w:rPr>
          <w:rStyle w:val="FootnoteReference"/>
          <w:rFonts w:cs="Arial"/>
          <w:noProof/>
        </w:rPr>
        <w:footnoteReference w:id="20"/>
      </w:r>
      <w:r>
        <w:rPr>
          <w:noProof/>
        </w:rPr>
        <w:t>;</w:t>
      </w:r>
    </w:p>
    <w:p w:rsidR="003E022D" w:rsidRDefault="007D19D6">
      <w:pPr>
        <w:numPr>
          <w:ilvl w:val="1"/>
          <w:numId w:val="616"/>
        </w:numPr>
        <w:ind w:left="567" w:hanging="567"/>
        <w:rPr>
          <w:rFonts w:cs="Arial"/>
          <w:noProof/>
        </w:rPr>
      </w:pPr>
      <w:r>
        <w:rPr>
          <w:noProof/>
        </w:rPr>
        <w:t>ja tās uzskata, ka pieteikums ir nepilnīgs apstrādes nolūkiem saskaņā ar Puses valsts normatīvajiem aktiem, tās samērīgā termiņā:</w:t>
      </w:r>
    </w:p>
    <w:p w:rsidR="003E022D" w:rsidRDefault="007D19D6">
      <w:pPr>
        <w:ind w:left="1276" w:hanging="567"/>
        <w:rPr>
          <w:rFonts w:cs="Arial"/>
          <w:noProof/>
        </w:rPr>
      </w:pPr>
      <w:r>
        <w:rPr>
          <w:noProof/>
        </w:rPr>
        <w:t>i)</w:t>
      </w:r>
      <w:r>
        <w:rPr>
          <w:noProof/>
        </w:rPr>
        <w:tab/>
        <w:t xml:space="preserve">informē pieteikuma iesniedzēju, ka pieteikums ir nepilnīgs; </w:t>
      </w:r>
    </w:p>
    <w:p w:rsidR="003E022D" w:rsidRDefault="007D19D6">
      <w:pPr>
        <w:ind w:left="1276" w:hanging="567"/>
        <w:rPr>
          <w:rFonts w:cs="Arial"/>
          <w:noProof/>
        </w:rPr>
      </w:pPr>
      <w:r>
        <w:rPr>
          <w:noProof/>
        </w:rPr>
        <w:t>ii)</w:t>
      </w:r>
      <w:r>
        <w:rPr>
          <w:noProof/>
        </w:rPr>
        <w:tab/>
        <w:t xml:space="preserve">pēc pieteikuma iesniedzēja pieprasījuma norāda papildu informāciju, kas vajadzīga, lai pieteikums būtu pilnīgs, vai kā citādi sniedz norādījumus par to, kāpēc pieteikumu uzskata par nepilnīgu, un </w:t>
      </w:r>
    </w:p>
    <w:p w:rsidR="003E022D" w:rsidRDefault="007D19D6">
      <w:pPr>
        <w:ind w:left="1276" w:hanging="567"/>
        <w:rPr>
          <w:rFonts w:cs="Arial"/>
          <w:noProof/>
        </w:rPr>
      </w:pPr>
      <w:r>
        <w:rPr>
          <w:noProof/>
        </w:rPr>
        <w:t>iii)</w:t>
      </w:r>
      <w:r>
        <w:rPr>
          <w:noProof/>
        </w:rPr>
        <w:tab/>
        <w:t>sniedz pieteikuma iesniedzējam iespēju iesniegt pa</w:t>
      </w:r>
      <w:r>
        <w:rPr>
          <w:noProof/>
        </w:rPr>
        <w:t>pildu informāciju, kas vajadzīga, lai pieteikums būtu pilnīgs</w:t>
      </w:r>
      <w:r>
        <w:rPr>
          <w:rStyle w:val="FootnoteReference"/>
          <w:rFonts w:cs="Arial"/>
          <w:noProof/>
        </w:rPr>
        <w:footnoteReference w:id="21"/>
      </w:r>
      <w:r>
        <w:rPr>
          <w:noProof/>
        </w:rPr>
        <w:t>;</w:t>
      </w:r>
    </w:p>
    <w:p w:rsidR="003E022D" w:rsidRDefault="007D19D6">
      <w:pPr>
        <w:pStyle w:val="Default"/>
        <w:spacing w:after="240"/>
        <w:ind w:left="720"/>
        <w:jc w:val="both"/>
        <w:rPr>
          <w:rFonts w:asciiTheme="minorHAnsi" w:hAnsiTheme="minorHAnsi" w:cs="Arial"/>
          <w:noProof/>
          <w:color w:val="auto"/>
          <w:sz w:val="22"/>
          <w:szCs w:val="22"/>
        </w:rPr>
      </w:pPr>
      <w:r>
        <w:rPr>
          <w:rFonts w:asciiTheme="minorHAnsi" w:hAnsiTheme="minorHAnsi"/>
          <w:noProof/>
          <w:color w:val="auto"/>
          <w:sz w:val="22"/>
          <w:szCs w:val="22"/>
        </w:rPr>
        <w:t xml:space="preserve">tomēr, ja nekas no iepriekš minētā nav iespējams un pieteikumu noraida tā nepilnīguma dēļ, kompetentās iestādes nodrošina, ka pieteikuma iesniedzējs tiek informēts samērīgā termiņā, un </w:t>
      </w:r>
    </w:p>
    <w:p w:rsidR="003E022D" w:rsidRDefault="007D19D6">
      <w:pPr>
        <w:numPr>
          <w:ilvl w:val="1"/>
          <w:numId w:val="616"/>
        </w:numPr>
        <w:ind w:left="567" w:hanging="567"/>
        <w:rPr>
          <w:rFonts w:cs="Arial"/>
          <w:noProof/>
        </w:rPr>
      </w:pPr>
      <w:r>
        <w:rPr>
          <w:noProof/>
        </w:rPr>
        <w:t>ja pie</w:t>
      </w:r>
      <w:r>
        <w:rPr>
          <w:noProof/>
        </w:rPr>
        <w:t>teikumu noraida, tad pēc savas iniciatīvas vai pēc pieteikuma iesniedzēja pieprasījuma informē pieteikuma iesniedzēju par noraidīšanas iemesliem un par termiņu minētā lēmuma pārsūdzēšanai, un attiecīgā gadījumā par pieteikuma atkārtotas iesniegšanas proced</w:t>
      </w:r>
      <w:r>
        <w:rPr>
          <w:noProof/>
        </w:rPr>
        <w:t xml:space="preserve">ūrām; pieteikuma iesniedzējam neliedz iesniegt citu pieteikumu tikai tāpēc, ka iepriekš kāds cits pieteikums ir noraidīts. </w:t>
      </w:r>
    </w:p>
    <w:p w:rsidR="003E022D" w:rsidRDefault="007D19D6">
      <w:pPr>
        <w:numPr>
          <w:ilvl w:val="0"/>
          <w:numId w:val="615"/>
        </w:numPr>
        <w:ind w:left="0" w:firstLine="0"/>
        <w:rPr>
          <w:rFonts w:cs="Arial"/>
          <w:noProof/>
        </w:rPr>
      </w:pPr>
      <w:r>
        <w:rPr>
          <w:noProof/>
        </w:rPr>
        <w:t>Puses nodrošina, ka to kompetentās iestādes piešķir atļauju, tiklīdz atbilstīgā pārbaudē ir konstatēts, ka pieteikuma iesniedzējs iz</w:t>
      </w:r>
      <w:r>
        <w:rPr>
          <w:noProof/>
        </w:rPr>
        <w:t>pilda tās saņemšanas nosacījumus.</w:t>
      </w:r>
    </w:p>
    <w:p w:rsidR="003E022D" w:rsidRDefault="007D19D6">
      <w:pPr>
        <w:numPr>
          <w:ilvl w:val="0"/>
          <w:numId w:val="615"/>
        </w:numPr>
        <w:ind w:left="0" w:firstLine="0"/>
        <w:rPr>
          <w:rFonts w:cs="Arial"/>
          <w:noProof/>
        </w:rPr>
      </w:pPr>
      <w:r>
        <w:rPr>
          <w:noProof/>
        </w:rPr>
        <w:t>Puses nodrošina, ka atļauja pēc tās piešķiršanas stājas spēkā bez liekas kavēšanās, ievērojot piemērojamos noteikumus</w:t>
      </w:r>
      <w:r>
        <w:rPr>
          <w:rStyle w:val="FootnoteReference"/>
          <w:rFonts w:cs="Arial"/>
          <w:noProof/>
        </w:rPr>
        <w:footnoteReference w:id="22"/>
      </w:r>
      <w:r>
        <w:rPr>
          <w:noProof/>
        </w:rPr>
        <w:t>.</w:t>
      </w:r>
    </w:p>
    <w:p w:rsidR="003E022D" w:rsidRDefault="007D19D6">
      <w:pPr>
        <w:pStyle w:val="Article"/>
        <w:rPr>
          <w:noProof/>
        </w:rPr>
      </w:pPr>
      <w:r>
        <w:rPr>
          <w:noProof/>
        </w:rPr>
        <w:t>SERVIN.5.6. pants. Maksa</w:t>
      </w:r>
    </w:p>
    <w:p w:rsidR="003E022D" w:rsidRDefault="007D19D6">
      <w:pPr>
        <w:numPr>
          <w:ilvl w:val="0"/>
          <w:numId w:val="617"/>
        </w:numPr>
        <w:ind w:left="0" w:firstLine="0"/>
        <w:rPr>
          <w:rFonts w:cs="Arial"/>
          <w:noProof/>
        </w:rPr>
      </w:pPr>
      <w:r>
        <w:rPr>
          <w:noProof/>
        </w:rPr>
        <w:t>Attiecībā uz visām saimnieciskajām darbībām, kas nav finanšu pakalpojumi, kat</w:t>
      </w:r>
      <w:r>
        <w:rPr>
          <w:noProof/>
        </w:rPr>
        <w:t xml:space="preserve">ra Puse nodrošina, ka atļaujas maksa, kuru iekasē tās kompetentās iestādes, ir samērīga un pārredzama un pati par sevi neierobežo attiecīgā pakalpojuma sniegšanu vai citas saimnieciskās darbības veikšanu. Ņemot vērā izmaksas un administratīvo slogu, katra </w:t>
      </w:r>
      <w:r>
        <w:rPr>
          <w:noProof/>
        </w:rPr>
        <w:t>Puse tiek mudināta atļaujas maksas maksājumus pieņemt elektroniski.</w:t>
      </w:r>
    </w:p>
    <w:p w:rsidR="003E022D" w:rsidRDefault="007D19D6">
      <w:pPr>
        <w:numPr>
          <w:ilvl w:val="0"/>
          <w:numId w:val="617"/>
        </w:numPr>
        <w:ind w:left="0" w:firstLine="0"/>
        <w:rPr>
          <w:rFonts w:cs="Arial"/>
          <w:noProof/>
        </w:rPr>
      </w:pPr>
      <w:r>
        <w:rPr>
          <w:noProof/>
        </w:rPr>
        <w:t>Attiecībā uz finanšu pakalpojumiem katra Puse nodrošina, ka tās kompetentās iestādes attiecībā uz atļauju maksām, ko tās iekasē, nodrošina pieteikumu iesniedzējiem cenrādi vai sniedz infor</w:t>
      </w:r>
      <w:r>
        <w:rPr>
          <w:noProof/>
        </w:rPr>
        <w:t xml:space="preserve">māciju par to, kā tiek noteiktas maksu summas, un neizmanto maksas kā līdzekli, lai izvairītos no Puses saistībām vai pienākumiem. </w:t>
      </w:r>
    </w:p>
    <w:p w:rsidR="003E022D" w:rsidRDefault="007D19D6">
      <w:pPr>
        <w:numPr>
          <w:ilvl w:val="0"/>
          <w:numId w:val="617"/>
        </w:numPr>
        <w:ind w:left="0" w:firstLine="0"/>
        <w:rPr>
          <w:rFonts w:cs="Arial"/>
          <w:noProof/>
        </w:rPr>
      </w:pPr>
      <w:r>
        <w:rPr>
          <w:noProof/>
        </w:rPr>
        <w:t>Atļaujas maksa neietver maksu par dabas resursu izmantošanu, izsoles maksu, maksu par konkursa rīkošanu vai citām nediskrimi</w:t>
      </w:r>
      <w:r>
        <w:rPr>
          <w:noProof/>
        </w:rPr>
        <w:t xml:space="preserve">nējošām koncesiju piešķiršanas metodēm, vai obligātos maksājumus par universālā pakalpojuma sniegšanu. </w:t>
      </w:r>
    </w:p>
    <w:p w:rsidR="003E022D" w:rsidRDefault="007D19D6">
      <w:pPr>
        <w:pStyle w:val="Article"/>
        <w:rPr>
          <w:noProof/>
        </w:rPr>
      </w:pPr>
      <w:r>
        <w:rPr>
          <w:noProof/>
        </w:rPr>
        <w:t>SERVIN.5.7. pants. Kvalifikācijas novērtēšana</w:t>
      </w:r>
    </w:p>
    <w:p w:rsidR="003E022D" w:rsidRDefault="007D19D6">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Ja Puse pieprasa izskatīšanu, lai novērtētu atļaujas pieteikuma iesniedzēja kvalifikāciju, tā nodrošina, ka tās kompetentās iestādes izveido šādu izskatīšanu grafiku, tajā nosakot pietiekami biežus intervālus, un paredz samērīgu termiņu, lai pieteikuma ies</w:t>
      </w:r>
      <w:r>
        <w:rPr>
          <w:rFonts w:asciiTheme="minorHAnsi" w:hAnsiTheme="minorHAnsi"/>
          <w:noProof/>
          <w:color w:val="auto"/>
          <w:sz w:val="22"/>
          <w:szCs w:val="22"/>
        </w:rPr>
        <w:t xml:space="preserve">niedzēji varētu pieprasīt izskatīšanu. Ciktāl tas praktiski iespējams, katra Puse šādu izskatīšanu pieprasījumus pieņem elektroniskā formātā un apsver iespēju izmantot elektroniskos līdzekļus citos izskatīšanas procesa aspektos. </w:t>
      </w:r>
    </w:p>
    <w:p w:rsidR="003E022D" w:rsidRDefault="007D19D6">
      <w:pPr>
        <w:pStyle w:val="Article"/>
        <w:rPr>
          <w:noProof/>
          <w:lang w:val="fr-BE"/>
        </w:rPr>
      </w:pPr>
      <w:r>
        <w:rPr>
          <w:noProof/>
          <w:lang w:val="fr-BE"/>
        </w:rPr>
        <w:t>SERVIN.5.8. pants. Publikā</w:t>
      </w:r>
      <w:r>
        <w:rPr>
          <w:noProof/>
          <w:lang w:val="fr-BE"/>
        </w:rPr>
        <w:t>cija un pieejamā informācija</w:t>
      </w:r>
    </w:p>
    <w:p w:rsidR="003E022D" w:rsidRDefault="007D19D6">
      <w:pPr>
        <w:numPr>
          <w:ilvl w:val="0"/>
          <w:numId w:val="618"/>
        </w:numPr>
        <w:ind w:left="0" w:firstLine="0"/>
        <w:rPr>
          <w:rFonts w:cs="Arial"/>
          <w:noProof/>
        </w:rPr>
      </w:pPr>
      <w:r>
        <w:rPr>
          <w:noProof/>
          <w:lang w:val="fr-BE"/>
        </w:rPr>
        <w:t>Ja Puse pieprasa atļauju, Puse nekavējoties publicē informāciju, kas vajadzīga personām, kuras veic vai vēlas veikt SERVIN.5.1. panta [Darbības joma un definīcijas] 1. punktā minētās darbības, attiecībā uz kurām tiek pieprasīta</w:t>
      </w:r>
      <w:r>
        <w:rPr>
          <w:noProof/>
          <w:lang w:val="fr-BE"/>
        </w:rPr>
        <w:t xml:space="preserve"> atļauja, lai izpildītu prasības, formalitātes, tehniskos standartus un procedūras šādas atļaujas iegūšanai, saglabāšanai, grozīšanai un atjaunošanai. </w:t>
      </w:r>
      <w:r>
        <w:rPr>
          <w:noProof/>
        </w:rPr>
        <w:t xml:space="preserve">Šādā informācijā pēc iespējas iekļauj šādas ziņas: </w:t>
      </w:r>
    </w:p>
    <w:p w:rsidR="003E022D" w:rsidRDefault="007D19D6">
      <w:pPr>
        <w:numPr>
          <w:ilvl w:val="1"/>
          <w:numId w:val="619"/>
        </w:numPr>
        <w:ind w:left="567" w:hanging="567"/>
        <w:rPr>
          <w:rFonts w:cs="Arial"/>
          <w:noProof/>
          <w:lang w:val="fr-BE"/>
        </w:rPr>
      </w:pPr>
      <w:r>
        <w:rPr>
          <w:noProof/>
          <w:lang w:val="fr-BE"/>
        </w:rPr>
        <w:t>licencēšanas un kvalificēšanas prasības un procedūras</w:t>
      </w:r>
      <w:r>
        <w:rPr>
          <w:noProof/>
          <w:lang w:val="fr-BE"/>
        </w:rPr>
        <w:t xml:space="preserve"> un formalitātes; </w:t>
      </w:r>
    </w:p>
    <w:p w:rsidR="003E022D" w:rsidRDefault="007D19D6">
      <w:pPr>
        <w:numPr>
          <w:ilvl w:val="1"/>
          <w:numId w:val="619"/>
        </w:numPr>
        <w:ind w:left="567" w:hanging="567"/>
        <w:rPr>
          <w:rFonts w:cs="Arial"/>
          <w:noProof/>
        </w:rPr>
      </w:pPr>
      <w:r>
        <w:rPr>
          <w:noProof/>
        </w:rPr>
        <w:t xml:space="preserve">attiecīgo kompetento iestāžu kontaktinformāciju; </w:t>
      </w:r>
    </w:p>
    <w:p w:rsidR="003E022D" w:rsidRDefault="007D19D6">
      <w:pPr>
        <w:numPr>
          <w:ilvl w:val="1"/>
          <w:numId w:val="619"/>
        </w:numPr>
        <w:ind w:left="567" w:hanging="567"/>
        <w:rPr>
          <w:rFonts w:cs="Arial"/>
          <w:noProof/>
        </w:rPr>
      </w:pPr>
      <w:r>
        <w:rPr>
          <w:noProof/>
        </w:rPr>
        <w:t xml:space="preserve">atļaujas maksu; </w:t>
      </w:r>
    </w:p>
    <w:p w:rsidR="003E022D" w:rsidRDefault="007D19D6">
      <w:pPr>
        <w:numPr>
          <w:ilvl w:val="1"/>
          <w:numId w:val="619"/>
        </w:numPr>
        <w:ind w:left="567" w:hanging="567"/>
        <w:rPr>
          <w:rFonts w:cs="Arial"/>
          <w:noProof/>
        </w:rPr>
      </w:pPr>
      <w:r>
        <w:rPr>
          <w:noProof/>
        </w:rPr>
        <w:t xml:space="preserve">piemērojamos tehniskos standartus; </w:t>
      </w:r>
    </w:p>
    <w:p w:rsidR="003E022D" w:rsidRDefault="007D19D6">
      <w:pPr>
        <w:numPr>
          <w:ilvl w:val="1"/>
          <w:numId w:val="619"/>
        </w:numPr>
        <w:ind w:left="567" w:hanging="567"/>
        <w:rPr>
          <w:rFonts w:cs="Arial"/>
          <w:noProof/>
        </w:rPr>
      </w:pPr>
      <w:r>
        <w:rPr>
          <w:noProof/>
        </w:rPr>
        <w:t xml:space="preserve">ar pieteikumiem saistītu lēmumu pārsūdzēšanas vai izskatīšanas procedūras; </w:t>
      </w:r>
    </w:p>
    <w:p w:rsidR="003E022D" w:rsidRDefault="007D19D6">
      <w:pPr>
        <w:numPr>
          <w:ilvl w:val="1"/>
          <w:numId w:val="619"/>
        </w:numPr>
        <w:ind w:left="567" w:hanging="567"/>
        <w:rPr>
          <w:rFonts w:cs="Arial"/>
          <w:noProof/>
        </w:rPr>
      </w:pPr>
      <w:r>
        <w:rPr>
          <w:noProof/>
        </w:rPr>
        <w:t xml:space="preserve">procedūras, lai pārraudzītu vai nodrošinātu atbilstību noteikumiem un nosacījumiem par licencēm vai kvalifikācijām; </w:t>
      </w:r>
    </w:p>
    <w:p w:rsidR="003E022D" w:rsidRDefault="007D19D6">
      <w:pPr>
        <w:numPr>
          <w:ilvl w:val="1"/>
          <w:numId w:val="619"/>
        </w:numPr>
        <w:ind w:left="567" w:hanging="567"/>
        <w:rPr>
          <w:rFonts w:cs="Arial"/>
          <w:noProof/>
        </w:rPr>
      </w:pPr>
      <w:r>
        <w:rPr>
          <w:noProof/>
        </w:rPr>
        <w:t xml:space="preserve">iespējas iesaistīt sabiedrību, piemēram, izmantojot uzklausīšanas vai lūdzot iesniegt piezīmes, un </w:t>
      </w:r>
    </w:p>
    <w:p w:rsidR="003E022D" w:rsidRDefault="007D19D6">
      <w:pPr>
        <w:numPr>
          <w:ilvl w:val="1"/>
          <w:numId w:val="619"/>
        </w:numPr>
        <w:ind w:left="567" w:hanging="567"/>
        <w:rPr>
          <w:rFonts w:cs="Arial"/>
          <w:noProof/>
        </w:rPr>
      </w:pPr>
      <w:r>
        <w:rPr>
          <w:noProof/>
        </w:rPr>
        <w:t>indikatīvus pieteikuma apstrādes termiņ</w:t>
      </w:r>
      <w:r>
        <w:rPr>
          <w:noProof/>
        </w:rPr>
        <w:t>us.</w:t>
      </w:r>
    </w:p>
    <w:p w:rsidR="003E022D" w:rsidRDefault="007D19D6">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Šajā iedaļā minētais “publicē” nozīmē to, ka informāciju iekļauj oficiālā izdevumā, piemēram, oficiālā vēstnesī vai oficiālā tīmekļa vietnē. Puses apvieno elektroniskās publikācijas vienā tiešsaistes portālā vai citādā veidā nodrošina to, ka kompetentā</w:t>
      </w:r>
      <w:r>
        <w:rPr>
          <w:rFonts w:asciiTheme="minorHAnsi" w:hAnsiTheme="minorHAnsi"/>
          <w:noProof/>
          <w:color w:val="auto"/>
          <w:sz w:val="22"/>
          <w:szCs w:val="22"/>
        </w:rPr>
        <w:t>s iestādes tās dara viegli pieejamas, izmantojot arī alternatīvus elektroniskos līdzekļus.</w:t>
      </w:r>
    </w:p>
    <w:p w:rsidR="003E022D" w:rsidRDefault="007D19D6">
      <w:pPr>
        <w:numPr>
          <w:ilvl w:val="0"/>
          <w:numId w:val="618"/>
        </w:numPr>
        <w:ind w:left="0" w:firstLine="0"/>
        <w:rPr>
          <w:rFonts w:cs="Arial"/>
          <w:noProof/>
        </w:rPr>
      </w:pPr>
      <w:r>
        <w:rPr>
          <w:noProof/>
        </w:rPr>
        <w:t xml:space="preserve">Katra Puse pieprasa, lai katra tās kompetentā iestāde atbild uz ikvienu informācijas vai palīdzības pieprasījumu, ciktāl tas praktiski iespējams. </w:t>
      </w:r>
    </w:p>
    <w:p w:rsidR="003E022D" w:rsidRDefault="007D19D6">
      <w:pPr>
        <w:pStyle w:val="Article"/>
        <w:rPr>
          <w:noProof/>
        </w:rPr>
      </w:pPr>
      <w:r>
        <w:rPr>
          <w:noProof/>
        </w:rPr>
        <w:t>SERVIN.5.9. pants.</w:t>
      </w:r>
      <w:r>
        <w:rPr>
          <w:noProof/>
        </w:rPr>
        <w:t xml:space="preserve"> Tehniskie standarti</w:t>
      </w:r>
    </w:p>
    <w:p w:rsidR="003E022D" w:rsidRDefault="007D19D6">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Katra Puse mudina savas kompetentās iestādes, tām pieņemot tehniskos standartus, pieņemt tādus tehniskos standartus, kas izstrādāti atklātos un pārredzamos procesos, un mudina visas struktūras, t. sk. attiecīgās starptautiskās organizā</w:t>
      </w:r>
      <w:r>
        <w:rPr>
          <w:rFonts w:asciiTheme="minorHAnsi" w:hAnsiTheme="minorHAnsi"/>
          <w:noProof/>
          <w:color w:val="auto"/>
          <w:sz w:val="22"/>
          <w:szCs w:val="22"/>
        </w:rPr>
        <w:t>cijas, kuras izraudzītas izstrādāt tehniskos standartus, to darīt atklātos un pārredzamos procesos.</w:t>
      </w:r>
    </w:p>
    <w:p w:rsidR="003E022D" w:rsidRDefault="007D19D6">
      <w:pPr>
        <w:pStyle w:val="Article"/>
        <w:rPr>
          <w:noProof/>
        </w:rPr>
      </w:pPr>
      <w:r>
        <w:rPr>
          <w:noProof/>
        </w:rPr>
        <w:t xml:space="preserve">SERVIN.5.10. pants. Atļaujas piešķiršanas nosacījumi </w:t>
      </w:r>
    </w:p>
    <w:p w:rsidR="003E022D" w:rsidRDefault="007D19D6">
      <w:pPr>
        <w:numPr>
          <w:ilvl w:val="0"/>
          <w:numId w:val="620"/>
        </w:numPr>
        <w:ind w:left="0" w:firstLine="0"/>
        <w:rPr>
          <w:rFonts w:cs="Arial"/>
          <w:noProof/>
        </w:rPr>
      </w:pPr>
      <w:r>
        <w:rPr>
          <w:noProof/>
        </w:rPr>
        <w:t>Katra Puse nodrošina, ka ar atļaujām saistītie pasākumi ir balstīti uz kritērijiem, kas liedz kompeten</w:t>
      </w:r>
      <w:r>
        <w:rPr>
          <w:noProof/>
        </w:rPr>
        <w:t>tajām iestādēm savas novērtēšanas pilnvaras īstenot patvaļīgi, un tie cita starpā var ietvert kompetenci un spēju sniegt pakalpojumu vai veikt jebkuru citu saimniecisko darbību, t. sk. to darīt saskaņā ar Puses regulatīvajām prasībām, piemēram, prasībām ve</w:t>
      </w:r>
      <w:r>
        <w:rPr>
          <w:noProof/>
        </w:rPr>
        <w:t>selības un vides jomā. Lai novērstu šaubas, Puses saprot, ka, pieņemot lēmumus, kompetentā iestāde var līdzsvarot kritērijus.</w:t>
      </w:r>
    </w:p>
    <w:p w:rsidR="003E022D" w:rsidRDefault="007D19D6">
      <w:pPr>
        <w:numPr>
          <w:ilvl w:val="0"/>
          <w:numId w:val="620"/>
        </w:numPr>
        <w:ind w:left="0" w:firstLine="0"/>
        <w:rPr>
          <w:rFonts w:cs="Arial"/>
          <w:noProof/>
        </w:rPr>
      </w:pPr>
      <w:r>
        <w:rPr>
          <w:noProof/>
        </w:rPr>
        <w:t>Šā panta 1. punktā minētie kritēriji ir:</w:t>
      </w:r>
    </w:p>
    <w:p w:rsidR="003E022D" w:rsidRDefault="007D19D6">
      <w:pPr>
        <w:numPr>
          <w:ilvl w:val="1"/>
          <w:numId w:val="621"/>
        </w:numPr>
        <w:ind w:left="567" w:hanging="567"/>
        <w:rPr>
          <w:rFonts w:cs="Arial"/>
          <w:noProof/>
        </w:rPr>
      </w:pPr>
      <w:r>
        <w:rPr>
          <w:noProof/>
        </w:rPr>
        <w:t>skaidri un nepārprotami,</w:t>
      </w:r>
    </w:p>
    <w:p w:rsidR="003E022D" w:rsidRDefault="007D19D6">
      <w:pPr>
        <w:numPr>
          <w:ilvl w:val="1"/>
          <w:numId w:val="621"/>
        </w:numPr>
        <w:ind w:left="567" w:hanging="567"/>
        <w:rPr>
          <w:rFonts w:cs="Arial"/>
          <w:noProof/>
        </w:rPr>
      </w:pPr>
      <w:r>
        <w:rPr>
          <w:noProof/>
        </w:rPr>
        <w:t>objektīvi un pārredzami;</w:t>
      </w:r>
    </w:p>
    <w:p w:rsidR="003E022D" w:rsidRDefault="007D19D6">
      <w:pPr>
        <w:numPr>
          <w:ilvl w:val="1"/>
          <w:numId w:val="621"/>
        </w:numPr>
        <w:ind w:left="567" w:hanging="567"/>
        <w:rPr>
          <w:rFonts w:cs="Arial"/>
          <w:noProof/>
        </w:rPr>
      </w:pPr>
      <w:r>
        <w:rPr>
          <w:noProof/>
        </w:rPr>
        <w:t>iepriekš noteikti;</w:t>
      </w:r>
    </w:p>
    <w:p w:rsidR="003E022D" w:rsidRDefault="007D19D6">
      <w:pPr>
        <w:numPr>
          <w:ilvl w:val="1"/>
          <w:numId w:val="621"/>
        </w:numPr>
        <w:ind w:left="567" w:hanging="567"/>
        <w:rPr>
          <w:rFonts w:cs="Arial"/>
          <w:noProof/>
        </w:rPr>
      </w:pPr>
      <w:r>
        <w:rPr>
          <w:noProof/>
        </w:rPr>
        <w:t>iepriekš publiskoti;</w:t>
      </w:r>
    </w:p>
    <w:p w:rsidR="003E022D" w:rsidRDefault="007D19D6">
      <w:pPr>
        <w:numPr>
          <w:ilvl w:val="1"/>
          <w:numId w:val="621"/>
        </w:numPr>
        <w:ind w:left="567" w:hanging="567"/>
        <w:rPr>
          <w:rFonts w:cs="Arial"/>
          <w:noProof/>
        </w:rPr>
      </w:pPr>
      <w:r>
        <w:rPr>
          <w:noProof/>
        </w:rPr>
        <w:t>objektīvi un</w:t>
      </w:r>
    </w:p>
    <w:p w:rsidR="003E022D" w:rsidRDefault="007D19D6">
      <w:pPr>
        <w:numPr>
          <w:ilvl w:val="1"/>
          <w:numId w:val="621"/>
        </w:numPr>
        <w:ind w:left="567" w:hanging="567"/>
        <w:rPr>
          <w:rFonts w:cs="Arial"/>
          <w:noProof/>
        </w:rPr>
      </w:pPr>
      <w:r>
        <w:rPr>
          <w:noProof/>
        </w:rPr>
        <w:t>viegli pieejami.</w:t>
      </w:r>
    </w:p>
    <w:p w:rsidR="003E022D" w:rsidRDefault="007D19D6">
      <w:pPr>
        <w:numPr>
          <w:ilvl w:val="0"/>
          <w:numId w:val="620"/>
        </w:numPr>
        <w:ind w:left="0" w:firstLine="0"/>
        <w:rPr>
          <w:rFonts w:cs="Arial"/>
          <w:noProof/>
        </w:rPr>
      </w:pPr>
      <w:r>
        <w:rPr>
          <w:noProof/>
        </w:rPr>
        <w:t>Puse, pieņemot vai paturot spēkā pasākumu saistībā ar atļaujas piešķiršanu, nodrošina, ka:</w:t>
      </w:r>
    </w:p>
    <w:p w:rsidR="003E022D" w:rsidRDefault="007D19D6">
      <w:pPr>
        <w:numPr>
          <w:ilvl w:val="1"/>
          <w:numId w:val="622"/>
        </w:numPr>
        <w:ind w:left="567" w:hanging="567"/>
        <w:rPr>
          <w:rFonts w:cs="Arial"/>
          <w:noProof/>
        </w:rPr>
      </w:pPr>
      <w:r>
        <w:rPr>
          <w:noProof/>
        </w:rPr>
        <w:t>attiecīgā kompetentā iestāde apstrādā pieteikumus, pieņem un pārvalda savus lēmumus objektīvi, taisnīgi un neatkarīgi no jebkādas pers</w:t>
      </w:r>
      <w:r>
        <w:rPr>
          <w:noProof/>
        </w:rPr>
        <w:t>onas, kas veic saimniecisko darbību, kurai tiek pieprasīta atļauja, neatļautas ietekmēšanas, un</w:t>
      </w:r>
    </w:p>
    <w:p w:rsidR="003E022D" w:rsidRDefault="007D19D6">
      <w:pPr>
        <w:numPr>
          <w:ilvl w:val="1"/>
          <w:numId w:val="622"/>
        </w:numPr>
        <w:ind w:left="567" w:hanging="567"/>
        <w:rPr>
          <w:rFonts w:cs="Arial"/>
          <w:noProof/>
        </w:rPr>
      </w:pPr>
      <w:r>
        <w:rPr>
          <w:noProof/>
        </w:rPr>
        <w:t>procedūras pašas par sevi nekavē prasību izpildi.</w:t>
      </w:r>
    </w:p>
    <w:p w:rsidR="003E022D" w:rsidRDefault="007D19D6">
      <w:pPr>
        <w:pStyle w:val="Article"/>
        <w:rPr>
          <w:noProof/>
        </w:rPr>
      </w:pPr>
      <w:r>
        <w:rPr>
          <w:noProof/>
        </w:rPr>
        <w:t>SERVIN.5.11. pants. Ierobežots licenču skaits</w:t>
      </w:r>
    </w:p>
    <w:p w:rsidR="003E022D" w:rsidRDefault="007D19D6">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Ja konkrētai darbībai licenču skaits ir ierobežots pieejamo dabisko resursu vai tehnisko iespēju nepietiekamības dēļ, Puse potenciālajiem pretendentiem piemēro tādu atlases procedūru, kas pilnībā garantē taisnīgumu, objektivitāti un pārskatāmību, t. sk. jo</w:t>
      </w:r>
      <w:r>
        <w:rPr>
          <w:rFonts w:asciiTheme="minorHAnsi" w:hAnsiTheme="minorHAnsi"/>
          <w:noProof/>
          <w:color w:val="auto"/>
          <w:sz w:val="22"/>
          <w:szCs w:val="22"/>
        </w:rPr>
        <w:t xml:space="preserve"> īpaši atbilstīgu publicitāti par procedūras sākšanu, veikšanu un pabeigšanu. Izstrādājot atlases procedūras noteikumus, Puse var ņemt vērā leģitīmus politikas mērķus, t. sk. apsvērumus par veselību, drošību, vides aizsardzību un kultūras mantojuma saglabā</w:t>
      </w:r>
      <w:r>
        <w:rPr>
          <w:rFonts w:asciiTheme="minorHAnsi" w:hAnsiTheme="minorHAnsi"/>
          <w:noProof/>
          <w:color w:val="auto"/>
          <w:sz w:val="22"/>
          <w:szCs w:val="22"/>
        </w:rPr>
        <w:t xml:space="preserve">šanu. </w:t>
      </w:r>
    </w:p>
    <w:p w:rsidR="003E022D" w:rsidRDefault="007D19D6">
      <w:pPr>
        <w:pStyle w:val="Section"/>
        <w:rPr>
          <w:noProof/>
        </w:rPr>
      </w:pPr>
      <w:r>
        <w:rPr>
          <w:noProof/>
        </w:rPr>
        <w:t>2. iedaļa. Vispārēji piemērojami noteikumi</w:t>
      </w:r>
    </w:p>
    <w:p w:rsidR="003E022D" w:rsidRDefault="007D19D6">
      <w:pPr>
        <w:pStyle w:val="Default"/>
        <w:spacing w:after="240"/>
        <w:jc w:val="center"/>
        <w:rPr>
          <w:rFonts w:asciiTheme="minorHAnsi" w:hAnsiTheme="minorHAnsi" w:cs="Arial"/>
          <w:bCs/>
          <w:noProof/>
          <w:color w:val="auto"/>
          <w:sz w:val="22"/>
          <w:szCs w:val="22"/>
        </w:rPr>
      </w:pPr>
      <w:r>
        <w:rPr>
          <w:rFonts w:asciiTheme="minorHAnsi" w:hAnsiTheme="minorHAnsi"/>
          <w:bCs/>
          <w:noProof/>
          <w:color w:val="auto"/>
          <w:sz w:val="22"/>
          <w:szCs w:val="22"/>
        </w:rPr>
        <w:t>SERVIN.5.12. pants. Procedūra administratīvo lēmumu izskatīšanai</w:t>
      </w:r>
    </w:p>
    <w:p w:rsidR="003E022D" w:rsidRDefault="007D19D6">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Puse nodrošina vispārējas, arbitrāžas vai administratīvas tiesas vai procedūras, kurās noteikts, ka pēc skartā otras Puses investora vai pakalpojumu sniedzēja pieprasījuma tiek ātri izskatīti, pamatotos gadījumos nosakot atbilstīgus tiesiskās aizsardzības </w:t>
      </w:r>
      <w:r>
        <w:rPr>
          <w:rFonts w:asciiTheme="minorHAnsi" w:hAnsiTheme="minorHAnsi"/>
          <w:noProof/>
          <w:color w:val="auto"/>
          <w:sz w:val="22"/>
          <w:szCs w:val="22"/>
        </w:rPr>
        <w:t xml:space="preserve">līdzekļus, administratīvi lēmumi, kas ietekmē iedibināšanu vai darbību, pakalpojumu pārrobežu tirdzniecību vai pakalpojumu sniegšanu, izmantojot Puses fiziskas personas klātbūtni otras Puses teritorijā. </w:t>
      </w:r>
      <w:r>
        <w:rPr>
          <w:noProof/>
        </w:rPr>
        <w:t>Šajā iedaļā “administratīvi lēmumi” ir lēmums vai dar</w:t>
      </w:r>
      <w:r>
        <w:rPr>
          <w:noProof/>
        </w:rPr>
        <w:t>bība ar juridiskām sekām, ko piemēro konkrētai personai, precei vai pakalpojumam konkrētā gadījumā, un tas aptver arī administratīva lēmuma nepieņemšanu vai šādas darbības neveikšanu, ja to prasa Puses tiesību akti.</w:t>
      </w:r>
      <w:r>
        <w:rPr>
          <w:rFonts w:asciiTheme="minorHAnsi" w:hAnsiTheme="minorHAnsi"/>
          <w:noProof/>
          <w:color w:val="auto"/>
          <w:sz w:val="22"/>
          <w:szCs w:val="22"/>
        </w:rPr>
        <w:t xml:space="preserve"> Ja šādas procedūras nav neatkarīgas no k</w:t>
      </w:r>
      <w:r>
        <w:rPr>
          <w:rFonts w:asciiTheme="minorHAnsi" w:hAnsiTheme="minorHAnsi"/>
          <w:noProof/>
          <w:color w:val="auto"/>
          <w:sz w:val="22"/>
          <w:szCs w:val="22"/>
        </w:rPr>
        <w:t>ompetentās iestādes, kurai uzticēts attiecīgais administratīvais lēmums, Puse nodrošina, lai procedūras faktiski ļautu izskatīt lietu objektīvi un taisnīgi.</w:t>
      </w:r>
    </w:p>
    <w:p w:rsidR="003E022D" w:rsidRDefault="007D19D6">
      <w:pPr>
        <w:pStyle w:val="Article"/>
        <w:rPr>
          <w:noProof/>
        </w:rPr>
      </w:pPr>
      <w:r>
        <w:rPr>
          <w:noProof/>
        </w:rPr>
        <w:t>SERVIN.5.13. pants. Profesionālās kvalifikācijas</w:t>
      </w:r>
    </w:p>
    <w:p w:rsidR="003E022D" w:rsidRDefault="007D19D6">
      <w:pPr>
        <w:numPr>
          <w:ilvl w:val="0"/>
          <w:numId w:val="623"/>
        </w:numPr>
        <w:ind w:left="0" w:firstLine="0"/>
        <w:rPr>
          <w:rFonts w:cs="Arial"/>
          <w:noProof/>
        </w:rPr>
      </w:pPr>
      <w:r>
        <w:rPr>
          <w:noProof/>
        </w:rPr>
        <w:t>Nekas šajā pantā neliedz Pusei pieprasīt, lai fizi</w:t>
      </w:r>
      <w:r>
        <w:rPr>
          <w:noProof/>
        </w:rPr>
        <w:t>skām personām būtu nepieciešamās profesionālās kvalifikācijas, kas attiecīgajā darbības nozarē noteikta teritorijā, kurā tiek sniegts pakalpojums</w:t>
      </w:r>
      <w:r>
        <w:rPr>
          <w:rStyle w:val="FootnoteReference"/>
          <w:rFonts w:cs="Arial"/>
          <w:bCs/>
          <w:noProof/>
        </w:rPr>
        <w:footnoteReference w:id="23"/>
      </w:r>
      <w:r>
        <w:rPr>
          <w:noProof/>
        </w:rPr>
        <w:t xml:space="preserve">.  </w:t>
      </w:r>
    </w:p>
    <w:p w:rsidR="003E022D" w:rsidRDefault="007D19D6">
      <w:pPr>
        <w:numPr>
          <w:ilvl w:val="0"/>
          <w:numId w:val="623"/>
        </w:numPr>
        <w:ind w:left="0" w:firstLine="0"/>
        <w:rPr>
          <w:rFonts w:cs="Arial"/>
          <w:noProof/>
        </w:rPr>
      </w:pPr>
      <w:r>
        <w:rPr>
          <w:noProof/>
        </w:rPr>
        <w:t>Profesionālās struktūras vai iestādes, kas ir saistītas ar attiecīgo darbības nozari savās attiecīgajās te</w:t>
      </w:r>
      <w:r>
        <w:rPr>
          <w:noProof/>
        </w:rPr>
        <w:t xml:space="preserve">ritorijās, var izstrādāt un iesniegt Partnerības padomei kopīgus ieteikumus par profesionālo kvalifikāciju atzīšanu. Šādu kopīgu ieteikumu pamatā ir uz pierādījumiem balstīts novērtējums par: </w:t>
      </w:r>
    </w:p>
    <w:p w:rsidR="003E022D" w:rsidRDefault="007D19D6">
      <w:pPr>
        <w:numPr>
          <w:ilvl w:val="1"/>
          <w:numId w:val="624"/>
        </w:numPr>
        <w:ind w:left="567" w:hanging="567"/>
        <w:rPr>
          <w:rFonts w:cs="Arial"/>
          <w:noProof/>
        </w:rPr>
      </w:pPr>
      <w:r>
        <w:rPr>
          <w:noProof/>
        </w:rPr>
        <w:t>profesionālo kvalifikāciju atzīšanas paredzētās kārtības ekonom</w:t>
      </w:r>
      <w:r>
        <w:rPr>
          <w:noProof/>
        </w:rPr>
        <w:t xml:space="preserve">isko vērtību un </w:t>
      </w:r>
    </w:p>
    <w:p w:rsidR="003E022D" w:rsidRDefault="007D19D6">
      <w:pPr>
        <w:numPr>
          <w:ilvl w:val="1"/>
          <w:numId w:val="624"/>
        </w:numPr>
        <w:ind w:left="567" w:hanging="567"/>
        <w:rPr>
          <w:rFonts w:cs="Arial"/>
          <w:noProof/>
        </w:rPr>
      </w:pPr>
      <w:r>
        <w:rPr>
          <w:noProof/>
        </w:rPr>
        <w:t xml:space="preserve">attiecīgo režīmu saderību, t. i., to, ciktāl ir saderīgas prasības, ko katra Puse piemēro atļauju izsniegšanai, licencēšanai, darbībai un sertifikācijai. </w:t>
      </w:r>
    </w:p>
    <w:p w:rsidR="003E022D" w:rsidRDefault="007D19D6">
      <w:pPr>
        <w:numPr>
          <w:ilvl w:val="0"/>
          <w:numId w:val="623"/>
        </w:numPr>
        <w:ind w:left="0" w:firstLine="0"/>
        <w:rPr>
          <w:rFonts w:cs="Arial"/>
          <w:noProof/>
        </w:rPr>
      </w:pPr>
      <w:r>
        <w:rPr>
          <w:noProof/>
        </w:rPr>
        <w:t>Saņemot kopīgu ieteikumu, Partnerības padome samērīgā termiņā izskata tā saderību ar</w:t>
      </w:r>
      <w:r>
        <w:rPr>
          <w:noProof/>
        </w:rPr>
        <w:t xml:space="preserve"> šo sadaļu. Partnerības padome pēc šādas izskatīšanas var izstrādāt un ar lēmumu – kā šā nolīguma pielikumu, ko uzskata par šīs sadaļas neatņemamu sastāvdaļu – pieņemt vienošanos attiecībā uz profesionālo kvalifikāciju atzīšanas nosacījumiem</w:t>
      </w:r>
      <w:r>
        <w:rPr>
          <w:rStyle w:val="FootnoteReference"/>
          <w:rFonts w:cs="Arial"/>
          <w:noProof/>
        </w:rPr>
        <w:footnoteReference w:id="24"/>
      </w:r>
      <w:r>
        <w:rPr>
          <w:noProof/>
        </w:rPr>
        <w:t>.</w:t>
      </w:r>
    </w:p>
    <w:p w:rsidR="003E022D" w:rsidRDefault="007D19D6">
      <w:pPr>
        <w:numPr>
          <w:ilvl w:val="0"/>
          <w:numId w:val="623"/>
        </w:numPr>
        <w:ind w:left="0" w:firstLine="0"/>
        <w:rPr>
          <w:rFonts w:cs="Arial"/>
          <w:noProof/>
        </w:rPr>
      </w:pPr>
      <w:r>
        <w:rPr>
          <w:noProof/>
        </w:rPr>
        <w:t>Šā panta 3. </w:t>
      </w:r>
      <w:r>
        <w:rPr>
          <w:noProof/>
        </w:rPr>
        <w:t>punktā minētā vienošanās paredz nosacījumus Savienībā iegūtu profesionālo kvalifikāciju un Apvienotajā Karalistē iegūtu profesionālo kvalifikāciju atzīšanai saistībā ar darbību, uz ko attiecas šī sadaļa un pirmā temata III sadaļa [Digitālā tirdzniecība].</w:t>
      </w:r>
    </w:p>
    <w:p w:rsidR="003E022D" w:rsidRDefault="007D19D6">
      <w:pPr>
        <w:numPr>
          <w:ilvl w:val="0"/>
          <w:numId w:val="623"/>
        </w:numPr>
        <w:ind w:left="0" w:firstLine="0"/>
        <w:rPr>
          <w:rFonts w:cs="Arial"/>
          <w:noProof/>
        </w:rPr>
      </w:pPr>
      <w:r>
        <w:rPr>
          <w:noProof/>
        </w:rPr>
        <w:t>S</w:t>
      </w:r>
      <w:r>
        <w:rPr>
          <w:noProof/>
        </w:rPr>
        <w:t xml:space="preserve">ERVIN-6. pielikumā [Vadlīnijas par profesionālo kvalifikāciju atzīšanas kārtību] noteiktās vadlīnijas par profesionālo kvalifikāciju atzīšanas kārtību ņem vērā, izstrādājot šā panta 2. punktā minētos kopīgos ieteikumus, un Partnerības padome tās ņem vērā, </w:t>
      </w:r>
      <w:r>
        <w:rPr>
          <w:noProof/>
        </w:rPr>
        <w:t>novērtējot, vai pieņemt šādu vienošanos, kā minēts šā panta 3. punktā.</w:t>
      </w:r>
    </w:p>
    <w:p w:rsidR="003E022D" w:rsidRDefault="007D19D6">
      <w:pPr>
        <w:pStyle w:val="Section"/>
        <w:rPr>
          <w:noProof/>
          <w:lang w:val="fr-BE"/>
        </w:rPr>
      </w:pPr>
      <w:r>
        <w:rPr>
          <w:noProof/>
          <w:lang w:val="fr-BE"/>
        </w:rPr>
        <w:t>3. iedaļa. Piegādes pakalpojumi</w:t>
      </w:r>
    </w:p>
    <w:p w:rsidR="003E022D" w:rsidRDefault="007D19D6">
      <w:pPr>
        <w:pStyle w:val="Article"/>
        <w:rPr>
          <w:noProof/>
        </w:rPr>
      </w:pPr>
      <w:r>
        <w:rPr>
          <w:noProof/>
          <w:lang w:val="fr-BE"/>
        </w:rPr>
        <w:t xml:space="preserve">SERVIN.5.14. pants. </w:t>
      </w:r>
      <w:r>
        <w:rPr>
          <w:noProof/>
        </w:rPr>
        <w:t>Darbības joma un definīcijas</w:t>
      </w:r>
    </w:p>
    <w:p w:rsidR="003E022D" w:rsidRDefault="007D19D6">
      <w:pPr>
        <w:numPr>
          <w:ilvl w:val="0"/>
          <w:numId w:val="625"/>
        </w:numPr>
        <w:ind w:left="0" w:firstLine="0"/>
        <w:rPr>
          <w:rFonts w:cs="Arial"/>
          <w:noProof/>
        </w:rPr>
      </w:pPr>
      <w:r>
        <w:rPr>
          <w:noProof/>
        </w:rPr>
        <w:t>Šo iedaļu papildus šīs sadaļas 1., 2., 3. un 4. nodaļai un šīs nodaļas 1. un 2. iedaļai piemēro Puses pa</w:t>
      </w:r>
      <w:r>
        <w:rPr>
          <w:noProof/>
        </w:rPr>
        <w:t xml:space="preserve">sākumiem, kas skar piegādes pakalpojumu sniegšanu.  </w:t>
      </w:r>
    </w:p>
    <w:p w:rsidR="003E022D" w:rsidRDefault="007D19D6">
      <w:pPr>
        <w:numPr>
          <w:ilvl w:val="0"/>
          <w:numId w:val="625"/>
        </w:numPr>
        <w:ind w:left="0" w:firstLine="0"/>
        <w:rPr>
          <w:rFonts w:cs="Arial"/>
          <w:noProof/>
        </w:rPr>
      </w:pPr>
      <w:r>
        <w:rPr>
          <w:noProof/>
        </w:rPr>
        <w:t>Šajā iedaļā: </w:t>
      </w:r>
    </w:p>
    <w:p w:rsidR="003E022D" w:rsidRDefault="007D19D6">
      <w:pPr>
        <w:numPr>
          <w:ilvl w:val="1"/>
          <w:numId w:val="626"/>
        </w:numPr>
        <w:ind w:left="567" w:hanging="567"/>
        <w:rPr>
          <w:rStyle w:val="eop"/>
          <w:noProof/>
        </w:rPr>
      </w:pPr>
      <w:r>
        <w:rPr>
          <w:rStyle w:val="normaltextrun"/>
          <w:noProof/>
        </w:rPr>
        <w:t>“piegādes</w:t>
      </w:r>
      <w:r>
        <w:rPr>
          <w:noProof/>
        </w:rPr>
        <w:t xml:space="preserve"> pakalpojumi”</w:t>
      </w:r>
      <w:r>
        <w:rPr>
          <w:rStyle w:val="normaltextrun"/>
          <w:noProof/>
        </w:rPr>
        <w:t xml:space="preserve"> </w:t>
      </w:r>
      <w:r>
        <w:rPr>
          <w:noProof/>
        </w:rPr>
        <w:t xml:space="preserve">ir </w:t>
      </w:r>
      <w:r>
        <w:rPr>
          <w:rStyle w:val="normaltextrun"/>
          <w:noProof/>
        </w:rPr>
        <w:t>pasta pakalpojumi, kurjerpasta pakalpojumi, eksprespiegādes pakalpojumi vai eksprespasta pakalpojumi, kas ietver šādas darbības: pasta sūtījumu savākšanu, šķirošan</w:t>
      </w:r>
      <w:r>
        <w:rPr>
          <w:rStyle w:val="normaltextrun"/>
          <w:noProof/>
        </w:rPr>
        <w:t>u, pārvadāšanu un piegādi;</w:t>
      </w:r>
      <w:r>
        <w:rPr>
          <w:rStyle w:val="eop"/>
          <w:noProof/>
        </w:rPr>
        <w:t xml:space="preserve"> </w:t>
      </w:r>
    </w:p>
    <w:p w:rsidR="003E022D" w:rsidRDefault="007D19D6">
      <w:pPr>
        <w:numPr>
          <w:ilvl w:val="1"/>
          <w:numId w:val="626"/>
        </w:numPr>
        <w:ind w:left="567" w:hanging="567"/>
        <w:rPr>
          <w:rStyle w:val="eop"/>
          <w:rFonts w:cs="Arial"/>
          <w:noProof/>
        </w:rPr>
      </w:pPr>
      <w:r>
        <w:rPr>
          <w:noProof/>
        </w:rPr>
        <w:t>“</w:t>
      </w:r>
      <w:r>
        <w:rPr>
          <w:rStyle w:val="normaltextrun"/>
          <w:noProof/>
        </w:rPr>
        <w:t>eksprespiegādes pakalpojumi</w:t>
      </w:r>
      <w:r>
        <w:rPr>
          <w:noProof/>
        </w:rPr>
        <w:t xml:space="preserve">” </w:t>
      </w:r>
      <w:r>
        <w:rPr>
          <w:rStyle w:val="normaltextrun"/>
          <w:noProof/>
        </w:rPr>
        <w:t>ir paātrināta un uzticama pasta sūtījumu savākšana, šķirošana, pārvadāšana un piegāde, un tie var ietvert tādus vērtību pievienojošus elementus kā, piemēram, savākšanu no izcelsmes vietas, personīgu</w:t>
      </w:r>
      <w:r>
        <w:rPr>
          <w:rStyle w:val="normaltextrun"/>
          <w:noProof/>
        </w:rPr>
        <w:t xml:space="preserve"> piegādi adresātam, sūtījuma izsekošanu, iespēju mainīt galamērķi un adresātu, sūtījumam esot ceļā, vai saņemšanas apstiprinājumu;</w:t>
      </w:r>
      <w:r>
        <w:rPr>
          <w:rStyle w:val="eop"/>
          <w:noProof/>
        </w:rPr>
        <w:t xml:space="preserve"> </w:t>
      </w:r>
    </w:p>
    <w:p w:rsidR="003E022D" w:rsidRDefault="007D19D6">
      <w:pPr>
        <w:numPr>
          <w:ilvl w:val="1"/>
          <w:numId w:val="626"/>
        </w:numPr>
        <w:ind w:left="567" w:hanging="567"/>
        <w:rPr>
          <w:rStyle w:val="eop"/>
          <w:rFonts w:cs="Arial"/>
          <w:noProof/>
        </w:rPr>
      </w:pPr>
      <w:r>
        <w:rPr>
          <w:noProof/>
        </w:rPr>
        <w:t>“</w:t>
      </w:r>
      <w:r>
        <w:rPr>
          <w:rStyle w:val="normaltextrun"/>
          <w:noProof/>
        </w:rPr>
        <w:t>eksprespasta pakalpojumi</w:t>
      </w:r>
      <w:r>
        <w:rPr>
          <w:noProof/>
        </w:rPr>
        <w:t xml:space="preserve">” </w:t>
      </w:r>
      <w:r>
        <w:rPr>
          <w:rStyle w:val="normaltextrun"/>
          <w:noProof/>
        </w:rPr>
        <w:t xml:space="preserve">ir starptautiski eksprespiegādes pakalpojumi, ko sniedz ar </w:t>
      </w:r>
      <w:r>
        <w:rPr>
          <w:rStyle w:val="normaltextrun"/>
          <w:i/>
          <w:noProof/>
        </w:rPr>
        <w:t>EMS</w:t>
      </w:r>
      <w:r>
        <w:rPr>
          <w:rStyle w:val="normaltextrun"/>
          <w:noProof/>
        </w:rPr>
        <w:t xml:space="preserve"> kooperatīva starpniecību, kas ir i</w:t>
      </w:r>
      <w:r>
        <w:rPr>
          <w:rStyle w:val="normaltextrun"/>
          <w:noProof/>
        </w:rPr>
        <w:t>zraudzītu pasta operatoru brīvprātīga apvienība Pasaules Pasta savienības (</w:t>
      </w:r>
      <w:r>
        <w:rPr>
          <w:rStyle w:val="normaltextrun"/>
          <w:i/>
          <w:noProof/>
        </w:rPr>
        <w:t>UPU</w:t>
      </w:r>
      <w:r>
        <w:rPr>
          <w:rStyle w:val="normaltextrun"/>
          <w:noProof/>
        </w:rPr>
        <w:t>) ietvaros;</w:t>
      </w:r>
      <w:r>
        <w:rPr>
          <w:rStyle w:val="eop"/>
          <w:noProof/>
        </w:rPr>
        <w:t xml:space="preserve"> </w:t>
      </w:r>
    </w:p>
    <w:p w:rsidR="003E022D" w:rsidRDefault="007D19D6">
      <w:pPr>
        <w:numPr>
          <w:ilvl w:val="1"/>
          <w:numId w:val="626"/>
        </w:numPr>
        <w:ind w:left="567" w:hanging="567"/>
        <w:rPr>
          <w:rStyle w:val="eop"/>
          <w:rFonts w:cs="Arial"/>
          <w:noProof/>
        </w:rPr>
      </w:pPr>
      <w:r>
        <w:rPr>
          <w:noProof/>
        </w:rPr>
        <w:t>“</w:t>
      </w:r>
      <w:r>
        <w:rPr>
          <w:rStyle w:val="normaltextrun"/>
          <w:noProof/>
        </w:rPr>
        <w:t>licence</w:t>
      </w:r>
      <w:r>
        <w:rPr>
          <w:noProof/>
        </w:rPr>
        <w:t xml:space="preserve">” </w:t>
      </w:r>
      <w:r>
        <w:rPr>
          <w:rStyle w:val="normaltextrun"/>
          <w:noProof/>
        </w:rPr>
        <w:t>ir licence, ko Puses regulatīvā iestāde var pieprasīt no individuāla pakalpojumu sniedzēja, lai minētais piegādātājs piedāvātu pasta vai kurjerpasta pakalp</w:t>
      </w:r>
      <w:r>
        <w:rPr>
          <w:rStyle w:val="normaltextrun"/>
          <w:noProof/>
        </w:rPr>
        <w:t>ojumus;</w:t>
      </w:r>
      <w:r>
        <w:rPr>
          <w:rStyle w:val="eop"/>
          <w:noProof/>
        </w:rPr>
        <w:t xml:space="preserve"> </w:t>
      </w:r>
    </w:p>
    <w:p w:rsidR="003E022D" w:rsidRDefault="007D19D6">
      <w:pPr>
        <w:numPr>
          <w:ilvl w:val="1"/>
          <w:numId w:val="626"/>
        </w:numPr>
        <w:ind w:left="567" w:hanging="567"/>
        <w:rPr>
          <w:rStyle w:val="eop"/>
          <w:rFonts w:cs="Arial"/>
          <w:noProof/>
        </w:rPr>
      </w:pPr>
      <w:r>
        <w:rPr>
          <w:noProof/>
        </w:rPr>
        <w:t>“</w:t>
      </w:r>
      <w:r>
        <w:rPr>
          <w:rStyle w:val="normaltextrun"/>
          <w:noProof/>
        </w:rPr>
        <w:t>pasta sūtījums</w:t>
      </w:r>
      <w:r>
        <w:rPr>
          <w:noProof/>
        </w:rPr>
        <w:t xml:space="preserve">” </w:t>
      </w:r>
      <w:r>
        <w:rPr>
          <w:rStyle w:val="normaltextrun"/>
          <w:noProof/>
        </w:rPr>
        <w:t>ir sūtījums, kas nepārsniedz 31,5 kg galīgajā formā, kādā tas pārvadājams jebkuram publiskam vai privātam piegādes pakalpojumu sniedzējam, un tas var ietvert tādus sūtījumus kā vēstule, pasta sūtījums, laikraksts vai katalogs;</w:t>
      </w:r>
      <w:r>
        <w:rPr>
          <w:rStyle w:val="eop"/>
          <w:noProof/>
        </w:rPr>
        <w:t xml:space="preserve"> </w:t>
      </w:r>
    </w:p>
    <w:p w:rsidR="003E022D" w:rsidRDefault="007D19D6">
      <w:pPr>
        <w:numPr>
          <w:ilvl w:val="1"/>
          <w:numId w:val="626"/>
        </w:numPr>
        <w:ind w:left="567" w:hanging="567"/>
        <w:rPr>
          <w:rStyle w:val="eop"/>
          <w:rFonts w:cs="Arial"/>
          <w:noProof/>
        </w:rPr>
      </w:pPr>
      <w:r>
        <w:rPr>
          <w:noProof/>
        </w:rPr>
        <w:t>“</w:t>
      </w:r>
      <w:r>
        <w:rPr>
          <w:rStyle w:val="normaltextrun"/>
          <w:noProof/>
        </w:rPr>
        <w:t>pasta monopols</w:t>
      </w:r>
      <w:r>
        <w:rPr>
          <w:noProof/>
        </w:rPr>
        <w:t>”</w:t>
      </w:r>
      <w:r>
        <w:rPr>
          <w:rStyle w:val="normaltextrun"/>
          <w:noProof/>
        </w:rPr>
        <w:t xml:space="preserve"> ir ekskluzīvas tiesības sniegt konkrētus piegādes pakalpojumus Puses teritorijā vai tās apakšiedalījumā saskaņā ar minētās Puses tiesībām, un</w:t>
      </w:r>
      <w:r>
        <w:rPr>
          <w:rStyle w:val="eop"/>
          <w:noProof/>
        </w:rPr>
        <w:t xml:space="preserve"> </w:t>
      </w:r>
    </w:p>
    <w:p w:rsidR="003E022D" w:rsidRDefault="007D19D6">
      <w:pPr>
        <w:numPr>
          <w:ilvl w:val="1"/>
          <w:numId w:val="626"/>
        </w:numPr>
        <w:ind w:left="567" w:hanging="567"/>
        <w:rPr>
          <w:noProof/>
        </w:rPr>
      </w:pPr>
      <w:r>
        <w:rPr>
          <w:noProof/>
        </w:rPr>
        <w:t>“</w:t>
      </w:r>
      <w:r>
        <w:rPr>
          <w:rStyle w:val="normaltextrun"/>
          <w:noProof/>
        </w:rPr>
        <w:t>universālais pakalpojums</w:t>
      </w:r>
      <w:r>
        <w:rPr>
          <w:noProof/>
        </w:rPr>
        <w:t xml:space="preserve">” </w:t>
      </w:r>
      <w:r>
        <w:rPr>
          <w:rStyle w:val="normaltextrun"/>
          <w:noProof/>
        </w:rPr>
        <w:t>ir noteiktas kvalitātes piegādes pakalpojuma pastāvīga sniegšana par p</w:t>
      </w:r>
      <w:r>
        <w:rPr>
          <w:rStyle w:val="normaltextrun"/>
          <w:noProof/>
        </w:rPr>
        <w:t>ieņemamām cenām visiem lietotājiem visās vietās kādas Puses teritorijā vai tās apakšiedalījumā.</w:t>
      </w:r>
    </w:p>
    <w:p w:rsidR="003E022D" w:rsidRDefault="007D19D6">
      <w:pPr>
        <w:pStyle w:val="Article"/>
        <w:rPr>
          <w:noProof/>
        </w:rPr>
      </w:pPr>
      <w:r>
        <w:rPr>
          <w:noProof/>
        </w:rPr>
        <w:t>SERVIN.5.15. pants. Universālais pakalpojums </w:t>
      </w:r>
    </w:p>
    <w:p w:rsidR="003E022D" w:rsidRDefault="007D19D6">
      <w:pPr>
        <w:numPr>
          <w:ilvl w:val="0"/>
          <w:numId w:val="627"/>
        </w:numPr>
        <w:ind w:left="0" w:firstLine="0"/>
        <w:rPr>
          <w:rFonts w:cs="Arial"/>
          <w:bCs/>
          <w:noProof/>
        </w:rPr>
      </w:pPr>
      <w:r>
        <w:rPr>
          <w:noProof/>
        </w:rPr>
        <w:t>Katrai Pusei ir tiesības noteikt tās universālā pakalpojuma saistības, kuras tā vēlas saglabāt, un lemt par to dar</w:t>
      </w:r>
      <w:r>
        <w:rPr>
          <w:noProof/>
        </w:rPr>
        <w:t>bības jomu un īstenošanu. Visas universālā pakalpojuma saistības pārvalda pārredzamā, nediskriminējošā un neitrālā veidā attiecībā uz visiem piegādātājiem, uz kuriem attiecas šīs saistības.</w:t>
      </w:r>
    </w:p>
    <w:p w:rsidR="003E022D" w:rsidRDefault="007D19D6">
      <w:pPr>
        <w:numPr>
          <w:ilvl w:val="0"/>
          <w:numId w:val="627"/>
        </w:numPr>
        <w:ind w:left="0" w:firstLine="0"/>
        <w:rPr>
          <w:rFonts w:cs="Arial"/>
          <w:bCs/>
          <w:noProof/>
        </w:rPr>
      </w:pPr>
      <w:r>
        <w:rPr>
          <w:noProof/>
        </w:rPr>
        <w:t>Ja Puse pieprasa, lai ienākošie eksprespasta pakalpojumi tiktu sni</w:t>
      </w:r>
      <w:r>
        <w:rPr>
          <w:noProof/>
        </w:rPr>
        <w:t>egti kā universālais pakalpojums, tā nepiešķir minētajiem pakalpojumiem preferenciālu režīmu salīdzinājumā ar citiem starptautiskiem eksprespiegādes pakalpojumiem.</w:t>
      </w:r>
    </w:p>
    <w:p w:rsidR="003E022D" w:rsidRDefault="007D19D6">
      <w:pPr>
        <w:pStyle w:val="Article"/>
        <w:rPr>
          <w:noProof/>
        </w:rPr>
      </w:pPr>
      <w:r>
        <w:rPr>
          <w:noProof/>
        </w:rPr>
        <w:t>SERVIN.5.16. pants. Universālā pakalpojuma finansējums</w:t>
      </w:r>
    </w:p>
    <w:p w:rsidR="003E022D" w:rsidRDefault="007D19D6">
      <w:pPr>
        <w:rPr>
          <w:rFonts w:cs="Arial"/>
          <w:noProof/>
        </w:rPr>
      </w:pPr>
      <w:r>
        <w:rPr>
          <w:noProof/>
        </w:rPr>
        <w:t>Puse neuzliek maksu vai citus maksāju</w:t>
      </w:r>
      <w:r>
        <w:rPr>
          <w:noProof/>
        </w:rPr>
        <w:t>mus par tāda piegādes pakalpojuma sniegšanu, kas nav universālais pakalpojums, lai finansētu universālā pakalpojuma sniegšanu. Šo pantu nepiemēro vispārēji piemērojamiem nodokļu pasākumiem vai administratīvām maksām.</w:t>
      </w:r>
    </w:p>
    <w:p w:rsidR="003E022D" w:rsidRDefault="007D19D6">
      <w:pPr>
        <w:pStyle w:val="Article"/>
        <w:rPr>
          <w:noProof/>
        </w:rPr>
      </w:pPr>
      <w:r>
        <w:rPr>
          <w:noProof/>
        </w:rPr>
        <w:t>SERVIN.5.17. pants. Tirgu kropļojošas p</w:t>
      </w:r>
      <w:r>
        <w:rPr>
          <w:noProof/>
        </w:rPr>
        <w:t>rakses novēršana</w:t>
      </w:r>
    </w:p>
    <w:p w:rsidR="003E022D" w:rsidRDefault="007D19D6">
      <w:pPr>
        <w:rPr>
          <w:rFonts w:cs="Arial"/>
          <w:noProof/>
        </w:rPr>
      </w:pPr>
      <w:r>
        <w:rPr>
          <w:noProof/>
        </w:rPr>
        <w:t>Katra Puse nodrošina, ka piegādes pakalpojumu sniedzējs, uz kuru attiecas universālā pakalpojuma saistības vai pasta monopols, neveic tirgu kropļojošu praksi, piemēram: </w:t>
      </w:r>
    </w:p>
    <w:p w:rsidR="003E022D" w:rsidRDefault="007D19D6">
      <w:pPr>
        <w:numPr>
          <w:ilvl w:val="1"/>
          <w:numId w:val="628"/>
        </w:numPr>
        <w:ind w:left="567" w:hanging="567"/>
        <w:rPr>
          <w:rFonts w:cs="Arial"/>
          <w:noProof/>
        </w:rPr>
      </w:pPr>
      <w:r>
        <w:rPr>
          <w:noProof/>
        </w:rPr>
        <w:t>neizmanto ieņēmumus, kas gūti no</w:t>
      </w:r>
      <w:r>
        <w:rPr>
          <w:rStyle w:val="normaltextrun"/>
          <w:noProof/>
        </w:rPr>
        <w:t xml:space="preserve"> </w:t>
      </w:r>
      <w:r>
        <w:rPr>
          <w:noProof/>
        </w:rPr>
        <w:t>tāda pakalpojuma sniegšanas, uz kuru</w:t>
      </w:r>
      <w:r>
        <w:rPr>
          <w:noProof/>
        </w:rPr>
        <w:t xml:space="preserve"> attiecas universālā pakalpojuma saistības vai pasta monopols, lai šķērssubsidētu eksprespiegādes pakalpojumu vai citu piegādes pakalpojumu, uz ko neattiecas universālā pakalpojuma saistības, vai </w:t>
      </w:r>
    </w:p>
    <w:p w:rsidR="003E022D" w:rsidRDefault="007D19D6">
      <w:pPr>
        <w:numPr>
          <w:ilvl w:val="1"/>
          <w:numId w:val="628"/>
        </w:numPr>
        <w:ind w:left="567" w:hanging="567"/>
        <w:rPr>
          <w:rFonts w:cs="Arial"/>
          <w:noProof/>
        </w:rPr>
      </w:pPr>
      <w:r>
        <w:rPr>
          <w:noProof/>
        </w:rPr>
        <w:t>nepamatoti nerada nošķīrumu starp patērētajiem attiecībā uz</w:t>
      </w:r>
      <w:r>
        <w:rPr>
          <w:noProof/>
        </w:rPr>
        <w:t xml:space="preserve"> tarifiem vai citiem noteikumiem tādu pakalpojumu sniegšanai, uz kuriem attiecas universālais pakalpojums vai pasta monopols.</w:t>
      </w:r>
    </w:p>
    <w:p w:rsidR="003E022D" w:rsidRDefault="007D19D6">
      <w:pPr>
        <w:pStyle w:val="Article"/>
        <w:rPr>
          <w:noProof/>
        </w:rPr>
      </w:pPr>
      <w:r>
        <w:rPr>
          <w:noProof/>
        </w:rPr>
        <w:t>SERVIN.5.18. pants. Licences </w:t>
      </w:r>
    </w:p>
    <w:p w:rsidR="003E022D" w:rsidRDefault="007D19D6">
      <w:pPr>
        <w:numPr>
          <w:ilvl w:val="0"/>
          <w:numId w:val="629"/>
        </w:numPr>
        <w:ind w:left="0" w:firstLine="0"/>
        <w:rPr>
          <w:rFonts w:cs="Arial"/>
          <w:noProof/>
        </w:rPr>
      </w:pPr>
      <w:r>
        <w:rPr>
          <w:noProof/>
        </w:rPr>
        <w:t>Ja Puse pieprasa licenci piegādes pakalpojumu sniegšanai, tā dara publiski pieejamu šādu informāciju</w:t>
      </w:r>
      <w:r>
        <w:rPr>
          <w:noProof/>
        </w:rPr>
        <w:t>: </w:t>
      </w:r>
    </w:p>
    <w:p w:rsidR="003E022D" w:rsidRDefault="007D19D6">
      <w:pPr>
        <w:numPr>
          <w:ilvl w:val="1"/>
          <w:numId w:val="630"/>
        </w:numPr>
        <w:ind w:left="567" w:hanging="567"/>
        <w:rPr>
          <w:rFonts w:cs="Arial"/>
          <w:noProof/>
          <w:lang w:val="fr-BE"/>
        </w:rPr>
      </w:pPr>
      <w:r>
        <w:rPr>
          <w:noProof/>
          <w:lang w:val="fr-BE"/>
        </w:rPr>
        <w:t>visas licencēšanas prasības un laikposmu, kas parasti vajadzīgs, lai pieņemtu lēmumu par licences pieteikumu, un</w:t>
      </w:r>
    </w:p>
    <w:p w:rsidR="003E022D" w:rsidRDefault="007D19D6">
      <w:pPr>
        <w:numPr>
          <w:ilvl w:val="1"/>
          <w:numId w:val="630"/>
        </w:numPr>
        <w:ind w:left="567" w:hanging="567"/>
        <w:rPr>
          <w:rFonts w:cs="Arial"/>
          <w:noProof/>
        </w:rPr>
      </w:pPr>
      <w:r>
        <w:rPr>
          <w:noProof/>
        </w:rPr>
        <w:t>licences noteikumus.</w:t>
      </w:r>
    </w:p>
    <w:p w:rsidR="003E022D" w:rsidRDefault="007D19D6">
      <w:pPr>
        <w:numPr>
          <w:ilvl w:val="0"/>
          <w:numId w:val="629"/>
        </w:numPr>
        <w:ind w:left="0" w:firstLine="0"/>
        <w:rPr>
          <w:rFonts w:cs="Arial"/>
          <w:noProof/>
        </w:rPr>
      </w:pPr>
      <w:r>
        <w:rPr>
          <w:noProof/>
        </w:rPr>
        <w:t>Licences procedūras, saistības un prasības ir pārredzamas, nediskriminējošas, un to pamatā ir objektīvi kritēriji.</w:t>
      </w:r>
    </w:p>
    <w:p w:rsidR="003E022D" w:rsidRDefault="007D19D6">
      <w:pPr>
        <w:numPr>
          <w:ilvl w:val="0"/>
          <w:numId w:val="629"/>
        </w:numPr>
        <w:ind w:left="0" w:firstLine="0"/>
        <w:rPr>
          <w:rFonts w:cs="Arial"/>
          <w:noProof/>
        </w:rPr>
      </w:pPr>
      <w:r>
        <w:rPr>
          <w:noProof/>
        </w:rPr>
        <w:t xml:space="preserve">Ja </w:t>
      </w:r>
      <w:r>
        <w:rPr>
          <w:noProof/>
        </w:rPr>
        <w:t>kompetentā iestāde noraida licences pieteikumu, tā rakstiski informē pieteikuma iesniedzēju par pieteikuma noraidīšanas iemesliem. Katra Puse nodrošina pārsūdzēšanas procedūru, izveidojot neatkarīgu struktūru, kas ir pieejama pieteikuma iesniedzējiem, kuri</w:t>
      </w:r>
      <w:r>
        <w:rPr>
          <w:noProof/>
        </w:rPr>
        <w:t>em atteikta licence. Minētā struktūra var būt tiesu iestāde.</w:t>
      </w:r>
    </w:p>
    <w:p w:rsidR="003E022D" w:rsidRDefault="007D19D6">
      <w:pPr>
        <w:pStyle w:val="Article"/>
        <w:rPr>
          <w:noProof/>
        </w:rPr>
      </w:pPr>
      <w:r>
        <w:rPr>
          <w:noProof/>
        </w:rPr>
        <w:t>SERVIN.5.19. pants. Regulatoru neatkarība</w:t>
      </w:r>
    </w:p>
    <w:p w:rsidR="003E022D" w:rsidRDefault="007D19D6">
      <w:pPr>
        <w:numPr>
          <w:ilvl w:val="0"/>
          <w:numId w:val="631"/>
        </w:numPr>
        <w:ind w:left="0" w:firstLine="0"/>
        <w:rPr>
          <w:rFonts w:cs="Arial"/>
          <w:noProof/>
        </w:rPr>
      </w:pPr>
      <w:r>
        <w:rPr>
          <w:noProof/>
        </w:rPr>
        <w:t xml:space="preserve">Katra Puse izveido vai uztur regulatoru, kas ir juridiski nošķirts un funkcionāli neatkarīgs no visiem piegādes pakalpojumu sniedzējiem. Ja Pusei pieder </w:t>
      </w:r>
      <w:r>
        <w:rPr>
          <w:noProof/>
        </w:rPr>
        <w:t>vai tā kontrolē piegādes pakalpojumu sniedzējus, tā nodrošina efektīvu regulatīvo funkciju strukturālu nošķīrumu no darbībām, kas saistītas ar īpašumtiesībām vai kontroli. </w:t>
      </w:r>
    </w:p>
    <w:p w:rsidR="003E022D" w:rsidRDefault="007D19D6">
      <w:pPr>
        <w:numPr>
          <w:ilvl w:val="0"/>
          <w:numId w:val="631"/>
        </w:numPr>
        <w:ind w:left="0" w:firstLine="0"/>
        <w:rPr>
          <w:rFonts w:cs="Arial"/>
          <w:noProof/>
        </w:rPr>
      </w:pPr>
      <w:r>
        <w:rPr>
          <w:noProof/>
        </w:rPr>
        <w:t xml:space="preserve">Regulatori veic savus uzdevumus pārredzami un savlaicīgi, un tiem ir pietiekami </w:t>
      </w:r>
      <w:r>
        <w:rPr>
          <w:noProof/>
        </w:rPr>
        <w:t>finanšu resursi un cilvēkresursi, lai veiktu uzticētos uzdevumus. To lēmumi ir taisnīgi pret visiem tirgus dalībniekiem. </w:t>
      </w:r>
    </w:p>
    <w:p w:rsidR="003E022D" w:rsidRDefault="007D19D6">
      <w:pPr>
        <w:pStyle w:val="Section"/>
        <w:rPr>
          <w:noProof/>
        </w:rPr>
      </w:pPr>
      <w:r>
        <w:rPr>
          <w:noProof/>
        </w:rPr>
        <w:t>4. iedaļa. Telesakaru pakalpojumi</w:t>
      </w:r>
    </w:p>
    <w:p w:rsidR="003E022D" w:rsidRDefault="007D19D6">
      <w:pPr>
        <w:pStyle w:val="Article"/>
        <w:rPr>
          <w:noProof/>
        </w:rPr>
      </w:pPr>
      <w:r>
        <w:rPr>
          <w:noProof/>
        </w:rPr>
        <w:t>SERVIN.5.20. pants. Darbības joma</w:t>
      </w:r>
    </w:p>
    <w:p w:rsidR="003E022D" w:rsidRDefault="007D19D6">
      <w:pPr>
        <w:rPr>
          <w:rFonts w:cs="Arial"/>
          <w:noProof/>
        </w:rPr>
      </w:pPr>
      <w:r>
        <w:rPr>
          <w:noProof/>
        </w:rPr>
        <w:t>Šo iedaļu papildus šīs sadaļas 1., 2., 3. un 4. nodaļai un šīs nod</w:t>
      </w:r>
      <w:r>
        <w:rPr>
          <w:noProof/>
        </w:rPr>
        <w:t>aļas 1. un 2. iedaļai piemēro Puses pasākumiem, kas skar telesakaru pakalpojumu sniegšanu.</w:t>
      </w:r>
    </w:p>
    <w:p w:rsidR="003E022D" w:rsidRDefault="007D19D6">
      <w:pPr>
        <w:pStyle w:val="Article"/>
        <w:rPr>
          <w:noProof/>
        </w:rPr>
      </w:pPr>
      <w:r>
        <w:rPr>
          <w:noProof/>
        </w:rPr>
        <w:t>SERVIN.5.21. pants. Definīcijas</w:t>
      </w:r>
    </w:p>
    <w:p w:rsidR="003E022D" w:rsidRDefault="007D19D6">
      <w:pPr>
        <w:widowControl w:val="0"/>
        <w:rPr>
          <w:noProof/>
        </w:rPr>
      </w:pPr>
      <w:r>
        <w:rPr>
          <w:noProof/>
        </w:rPr>
        <w:t>Šajā iedaļā:</w:t>
      </w:r>
    </w:p>
    <w:p w:rsidR="003E022D" w:rsidRDefault="007D19D6">
      <w:pPr>
        <w:numPr>
          <w:ilvl w:val="1"/>
          <w:numId w:val="632"/>
        </w:numPr>
        <w:ind w:left="567" w:hanging="567"/>
        <w:rPr>
          <w:rFonts w:eastAsia="Arial" w:cs="Arial"/>
          <w:noProof/>
        </w:rPr>
      </w:pPr>
      <w:r>
        <w:rPr>
          <w:noProof/>
        </w:rPr>
        <w:t>“saistītās iekārtas” ir saistīti pakalpojumi, fiziskā infrastruktūra un citas iekārtas vai elementi, kas saistīti ar tel</w:t>
      </w:r>
      <w:r>
        <w:rPr>
          <w:noProof/>
        </w:rPr>
        <w:t>esakaru tīklu vai telesakaru pakalpojumu un kas rada apstākļus vai atbalsta pakalpojumu sniegšanu ar minētā tīkla vai pakalpojuma palīdzību, vai kam ir minētajām darbībām vajadzīgais potenciāls;</w:t>
      </w:r>
    </w:p>
    <w:p w:rsidR="003E022D" w:rsidRDefault="007D19D6">
      <w:pPr>
        <w:numPr>
          <w:ilvl w:val="1"/>
          <w:numId w:val="632"/>
        </w:numPr>
        <w:ind w:left="567" w:hanging="567"/>
        <w:rPr>
          <w:rFonts w:eastAsia="Arial" w:cs="Arial"/>
          <w:noProof/>
        </w:rPr>
      </w:pPr>
      <w:r>
        <w:rPr>
          <w:noProof/>
        </w:rPr>
        <w:t>“galalietotājs” ir publisko telesakaru pakalpojumu galapatērē</w:t>
      </w:r>
      <w:r>
        <w:rPr>
          <w:noProof/>
        </w:rPr>
        <w:t>tājs vai abonents, ieskaitot pakalpojumu sniedzēju, kas nav publisko telesakaru pakalpojumu sniedzējs;</w:t>
      </w:r>
    </w:p>
    <w:p w:rsidR="003E022D" w:rsidRDefault="007D19D6">
      <w:pPr>
        <w:numPr>
          <w:ilvl w:val="1"/>
          <w:numId w:val="632"/>
        </w:numPr>
        <w:ind w:left="567" w:hanging="567"/>
        <w:rPr>
          <w:rFonts w:eastAsia="Arial" w:cs="Arial"/>
          <w:noProof/>
        </w:rPr>
      </w:pPr>
      <w:r>
        <w:rPr>
          <w:noProof/>
        </w:rPr>
        <w:t>“galvenās iekārtas” ir publiskā telesakaru tīkla vai publiskā telesakaru pakalpojuma iekārtas, kuras:</w:t>
      </w:r>
    </w:p>
    <w:p w:rsidR="003E022D" w:rsidRDefault="007D19D6">
      <w:pPr>
        <w:ind w:left="1276" w:hanging="567"/>
        <w:rPr>
          <w:rFonts w:eastAsia="Arial" w:cs="Arial"/>
          <w:noProof/>
        </w:rPr>
      </w:pPr>
      <w:r>
        <w:rPr>
          <w:noProof/>
        </w:rPr>
        <w:t xml:space="preserve">i) </w:t>
      </w:r>
      <w:r>
        <w:rPr>
          <w:noProof/>
        </w:rPr>
        <w:tab/>
        <w:t>nodrošina tikai vai galvenokārt viens piegādātā</w:t>
      </w:r>
      <w:r>
        <w:rPr>
          <w:noProof/>
        </w:rPr>
        <w:t>js vai ierobežots skaits piegādātāju un</w:t>
      </w:r>
    </w:p>
    <w:p w:rsidR="003E022D" w:rsidRDefault="007D19D6">
      <w:pPr>
        <w:ind w:left="1276" w:hanging="567"/>
        <w:rPr>
          <w:rFonts w:eastAsia="Arial" w:cs="Arial"/>
          <w:noProof/>
        </w:rPr>
      </w:pPr>
      <w:r>
        <w:rPr>
          <w:noProof/>
        </w:rPr>
        <w:t>ii)</w:t>
      </w:r>
      <w:r>
        <w:rPr>
          <w:noProof/>
        </w:rPr>
        <w:tab/>
        <w:t>nav ekonomiski vai tehniski izdevīgi aizstāt, lai sniegtu pakalpojumu;</w:t>
      </w:r>
    </w:p>
    <w:p w:rsidR="003E022D" w:rsidRDefault="007D19D6">
      <w:pPr>
        <w:numPr>
          <w:ilvl w:val="1"/>
          <w:numId w:val="632"/>
        </w:numPr>
        <w:ind w:left="567" w:hanging="567"/>
        <w:rPr>
          <w:rFonts w:eastAsia="Arial" w:cs="Arial"/>
          <w:noProof/>
        </w:rPr>
      </w:pPr>
      <w:r>
        <w:rPr>
          <w:noProof/>
        </w:rPr>
        <w:t xml:space="preserve">“starpsavienojums” ir tādu publisko telesakaru tīklu savienošana, ko izmanto viens un tas pats vai dažādi telesakaru tīklu nodrošinātāji vai </w:t>
      </w:r>
      <w:r>
        <w:rPr>
          <w:noProof/>
        </w:rPr>
        <w:t>telesakaru pakalpojumu sniedzēji, lai viena pakalpojumu sniedzēja lietotāji varētu sazināties ar tā paša vai cita pakalpojumu sniedzēja lietotājiem vai piekļūt cita pakalpojumu sniedzēja nodrošinātajiem pakalpojumiem neatkarīgi no tā, vai minētos pakalpoju</w:t>
      </w:r>
      <w:r>
        <w:rPr>
          <w:noProof/>
        </w:rPr>
        <w:t>mus sniedz iesaistītie pakalpojumu sniedzēji vai jebkurš cits pakalpojumu sniedzējs, kam ir piekļuve tīklam;</w:t>
      </w:r>
    </w:p>
    <w:p w:rsidR="003E022D" w:rsidRDefault="007D19D6">
      <w:pPr>
        <w:numPr>
          <w:ilvl w:val="1"/>
          <w:numId w:val="632"/>
        </w:numPr>
        <w:ind w:left="567" w:hanging="567"/>
        <w:rPr>
          <w:rFonts w:eastAsia="Arial" w:cs="Arial"/>
          <w:noProof/>
        </w:rPr>
      </w:pPr>
      <w:r>
        <w:rPr>
          <w:noProof/>
        </w:rPr>
        <w:t>“starptautisko mobilo sakaru viesabonēšanas pakalpojums” ir komerciāls mobilo sakaru pakalpojums atbilstoši tirdzniecības līgumam starp publisko te</w:t>
      </w:r>
      <w:r>
        <w:rPr>
          <w:noProof/>
        </w:rPr>
        <w:t>lesakaru pakalpojumu sniedzējiem, kas dod iespēju galalietotājam izmantot tā mītnes valsts mobilo tālruni vai citu ierīci balss, datu un īsziņu pakalpojumiem, atrodoties ārpus teritorijas, kurā atrodas galalietotāja mītnes valsts publisko telesakaru tīkls;</w:t>
      </w:r>
    </w:p>
    <w:p w:rsidR="003E022D" w:rsidRDefault="007D19D6">
      <w:pPr>
        <w:numPr>
          <w:ilvl w:val="1"/>
          <w:numId w:val="632"/>
        </w:numPr>
        <w:ind w:left="567" w:hanging="567"/>
        <w:rPr>
          <w:rFonts w:eastAsia="Arial" w:cs="Arial"/>
          <w:noProof/>
        </w:rPr>
      </w:pPr>
      <w:r>
        <w:rPr>
          <w:noProof/>
        </w:rPr>
        <w:t>“interneta piekļuves pakalpojums” ir publisks telesakaru pakalpojums, kas nodrošina piekļuvi internetam un tādējādi savienojamību ar praktiski visiem interneta galapunktiem neatkarīgi no izmantotās tīkla tehnoloģijas un galiekārtas;</w:t>
      </w:r>
    </w:p>
    <w:p w:rsidR="003E022D" w:rsidRDefault="007D19D6">
      <w:pPr>
        <w:numPr>
          <w:ilvl w:val="1"/>
          <w:numId w:val="632"/>
        </w:numPr>
        <w:ind w:left="567" w:hanging="567"/>
        <w:rPr>
          <w:rFonts w:eastAsia="Arial" w:cs="Arial"/>
          <w:noProof/>
        </w:rPr>
      </w:pPr>
      <w:r>
        <w:rPr>
          <w:noProof/>
        </w:rPr>
        <w:t>“nomāts sakaru kanāls”</w:t>
      </w:r>
      <w:r>
        <w:rPr>
          <w:noProof/>
        </w:rPr>
        <w:t xml:space="preserve"> ir telesakaru pakalpojumi vai iekārtas, t. sk. virtuāla rakstura pakalpojumi vai iekārtas, kas paredz atlikt jaudu, lai to īpaši lietotu vai lai tā lietotājam būtu pieejama starp diviem vai vairākiem izraudzītiem punktiem;</w:t>
      </w:r>
    </w:p>
    <w:p w:rsidR="003E022D" w:rsidRDefault="007D19D6">
      <w:pPr>
        <w:numPr>
          <w:ilvl w:val="1"/>
          <w:numId w:val="632"/>
        </w:numPr>
        <w:ind w:left="567" w:hanging="567"/>
        <w:rPr>
          <w:rFonts w:eastAsia="Arial" w:cs="Arial"/>
          <w:noProof/>
        </w:rPr>
      </w:pPr>
      <w:r>
        <w:rPr>
          <w:noProof/>
        </w:rPr>
        <w:t>“nozīmīgs piegādātājs” ir telesa</w:t>
      </w:r>
      <w:r>
        <w:rPr>
          <w:noProof/>
        </w:rPr>
        <w:t>karu tīklu vai telesakaru pakalpojumu sniedzējs, kas, ņemot vērā cenu un nodrošinājumu, spēj būtiski ietekmēt dalības nosacījumus attiecīgajā telesakaru tīklu vai telesakaru pakalpojumu tirgū, jo tas kontrolē galvenās iekārtas vai izmanto savu stāvokli min</w:t>
      </w:r>
      <w:r>
        <w:rPr>
          <w:noProof/>
        </w:rPr>
        <w:t>ētajā tirgū;</w:t>
      </w:r>
    </w:p>
    <w:p w:rsidR="003E022D" w:rsidRDefault="007D19D6">
      <w:pPr>
        <w:numPr>
          <w:ilvl w:val="1"/>
          <w:numId w:val="632"/>
        </w:numPr>
        <w:ind w:left="567" w:hanging="567"/>
        <w:rPr>
          <w:rFonts w:eastAsia="Arial" w:cs="Arial"/>
          <w:noProof/>
        </w:rPr>
      </w:pPr>
      <w:r>
        <w:rPr>
          <w:noProof/>
        </w:rPr>
        <w:t>“tīkla elements” ir iekārta vai aprīkojums, ko izmanto telesakaru pakalpojuma sniegšanai, t. sk. iezīmes, funkcijas un spējas, ko nodrošina minētā iekārta vai aprīkojums;</w:t>
      </w:r>
    </w:p>
    <w:p w:rsidR="003E022D" w:rsidRDefault="007D19D6">
      <w:pPr>
        <w:numPr>
          <w:ilvl w:val="1"/>
          <w:numId w:val="632"/>
        </w:numPr>
        <w:ind w:left="567" w:hanging="567"/>
        <w:rPr>
          <w:rFonts w:eastAsia="Arial" w:cs="Arial"/>
          <w:noProof/>
        </w:rPr>
      </w:pPr>
      <w:r>
        <w:rPr>
          <w:noProof/>
        </w:rPr>
        <w:t>“numuru pārnesamība” ir iespēja abonentiem, kas to pieprasa, vienā un ta</w:t>
      </w:r>
      <w:r>
        <w:rPr>
          <w:noProof/>
        </w:rPr>
        <w:t>jā pašā vietā saglabāt iepriekšējos fiksētās līnijas tālruņu numurus, neradot kvalitātes, uzticamības vai izdevīguma pasliktināšanos, tiem pārejot pie tādas pašas kategorijas publisko telesakaru pakalpojumu sniedzēja;</w:t>
      </w:r>
    </w:p>
    <w:p w:rsidR="003E022D" w:rsidRDefault="007D19D6">
      <w:pPr>
        <w:numPr>
          <w:ilvl w:val="1"/>
          <w:numId w:val="632"/>
        </w:numPr>
        <w:ind w:left="567" w:hanging="567"/>
        <w:rPr>
          <w:rFonts w:eastAsia="Arial" w:cs="Arial"/>
          <w:noProof/>
        </w:rPr>
      </w:pPr>
      <w:r>
        <w:rPr>
          <w:noProof/>
        </w:rPr>
        <w:t>“publiskais telesakaru tīkls” ir jebku</w:t>
      </w:r>
      <w:r>
        <w:rPr>
          <w:noProof/>
        </w:rPr>
        <w:t>rš telesakaru tīkls, ko pilnībā vai galvenokārt izmanto, lai sniegtu publiskos telesakaru pakalpojumus, un kas atbalsta informācijas pārsūtīšanu starp tīkla pieslēgumpunktiem;</w:t>
      </w:r>
    </w:p>
    <w:p w:rsidR="003E022D" w:rsidRDefault="007D19D6">
      <w:pPr>
        <w:numPr>
          <w:ilvl w:val="1"/>
          <w:numId w:val="632"/>
        </w:numPr>
        <w:ind w:left="567" w:hanging="567"/>
        <w:rPr>
          <w:rFonts w:eastAsia="Arial" w:cs="Arial"/>
          <w:noProof/>
        </w:rPr>
      </w:pPr>
      <w:r>
        <w:rPr>
          <w:noProof/>
        </w:rPr>
        <w:t>“publiskais telesakaru pakalpojums” ir jebkurš telesakaru pakalpojums, ko piedāv</w:t>
      </w:r>
      <w:r>
        <w:rPr>
          <w:noProof/>
        </w:rPr>
        <w:t>ā sabiedrībai kopumā;</w:t>
      </w:r>
    </w:p>
    <w:p w:rsidR="003E022D" w:rsidRDefault="007D19D6">
      <w:pPr>
        <w:numPr>
          <w:ilvl w:val="1"/>
          <w:numId w:val="632"/>
        </w:numPr>
        <w:ind w:left="567" w:hanging="567"/>
        <w:rPr>
          <w:rFonts w:eastAsia="Arial" w:cs="Arial"/>
          <w:noProof/>
        </w:rPr>
      </w:pPr>
      <w:r>
        <w:rPr>
          <w:noProof/>
        </w:rPr>
        <w:t>“abonents” ir jebkura fiziska vai juridiska persona, kas ir līguma puse līgumā, kas noslēgts ar publisko telesakaru pakalpojumu sniedzēju par šādu pakalpojumu sniegšanu;</w:t>
      </w:r>
    </w:p>
    <w:p w:rsidR="003E022D" w:rsidRDefault="007D19D6">
      <w:pPr>
        <w:numPr>
          <w:ilvl w:val="1"/>
          <w:numId w:val="632"/>
        </w:numPr>
        <w:ind w:left="567" w:hanging="567"/>
        <w:rPr>
          <w:rFonts w:eastAsia="Arial" w:cs="Arial"/>
          <w:noProof/>
        </w:rPr>
      </w:pPr>
      <w:r>
        <w:rPr>
          <w:noProof/>
        </w:rPr>
        <w:t>“telesakari” ir signālu pārraide un saņemšana, ko veic ar jebkur</w:t>
      </w:r>
      <w:r>
        <w:rPr>
          <w:noProof/>
        </w:rPr>
        <w:t>iem elektromagnētiskiem līdzekļiem;</w:t>
      </w:r>
    </w:p>
    <w:p w:rsidR="003E022D" w:rsidRDefault="007D19D6">
      <w:pPr>
        <w:numPr>
          <w:ilvl w:val="1"/>
          <w:numId w:val="632"/>
        </w:numPr>
        <w:ind w:left="567" w:hanging="567"/>
        <w:rPr>
          <w:rFonts w:eastAsia="Arial" w:cs="Arial"/>
          <w:noProof/>
        </w:rPr>
      </w:pPr>
      <w:r>
        <w:rPr>
          <w:noProof/>
        </w:rPr>
        <w:t>“telesakaru tīkls” ir pārraides sistēmas un attiecīgos gadījumos komutācijas vai maršrutizācijas ierīces un citi resursi, t. sk. tīkla pasīvie elementi, kas nodrošina signālu pārraidi vai saņemšanu pa vadiem, pa radioviļ</w:t>
      </w:r>
      <w:r>
        <w:rPr>
          <w:noProof/>
        </w:rPr>
        <w:t>ņiem, ar optiskiem vai citiem elektromagnētiskiem līdzekļiem;</w:t>
      </w:r>
    </w:p>
    <w:p w:rsidR="003E022D" w:rsidRDefault="007D19D6">
      <w:pPr>
        <w:numPr>
          <w:ilvl w:val="1"/>
          <w:numId w:val="632"/>
        </w:numPr>
        <w:ind w:left="567" w:hanging="567"/>
        <w:rPr>
          <w:rFonts w:eastAsia="Arial" w:cs="Arial"/>
          <w:noProof/>
        </w:rPr>
      </w:pPr>
      <w:r>
        <w:rPr>
          <w:noProof/>
        </w:rPr>
        <w:t>“telesakaru regulators” ir struktūra vai struktūras, kam kāda Puse ir uzdevusi regulēt telesakaru tīklus un telesakaru pakalpojumus, kuriem piemēro šo iedaļu;</w:t>
      </w:r>
    </w:p>
    <w:p w:rsidR="003E022D" w:rsidRDefault="007D19D6">
      <w:pPr>
        <w:numPr>
          <w:ilvl w:val="1"/>
          <w:numId w:val="632"/>
        </w:numPr>
        <w:ind w:left="567" w:hanging="567"/>
        <w:rPr>
          <w:rFonts w:eastAsia="Arial" w:cs="Arial"/>
          <w:noProof/>
        </w:rPr>
      </w:pPr>
      <w:r>
        <w:rPr>
          <w:noProof/>
        </w:rPr>
        <w:t xml:space="preserve">“telesakaru pakalpojums” ir </w:t>
      </w:r>
      <w:r>
        <w:rPr>
          <w:noProof/>
        </w:rPr>
        <w:t xml:space="preserve">pakalpojums, kas pilnībā vai galvenokārt sastāv no signālu, t. sk. apraides signālu, pārraidīšanas un saņemšanas telesakaru tīklos, t. sk. to, kurus izmanto apraidei, bet kas nav pakalpojums, ar ko nodrošina vai veic redakcionālu kontroli pār saturu, kuru </w:t>
      </w:r>
      <w:r>
        <w:rPr>
          <w:noProof/>
        </w:rPr>
        <w:t>pārraida, izmantojot telesakaru tīklus un telesakaru pakalpojumus;</w:t>
      </w:r>
    </w:p>
    <w:p w:rsidR="003E022D" w:rsidRDefault="007D19D6">
      <w:pPr>
        <w:numPr>
          <w:ilvl w:val="1"/>
          <w:numId w:val="632"/>
        </w:numPr>
        <w:ind w:left="567" w:hanging="567"/>
        <w:rPr>
          <w:rFonts w:eastAsia="Arial" w:cs="Arial"/>
          <w:noProof/>
        </w:rPr>
      </w:pPr>
      <w:r>
        <w:rPr>
          <w:noProof/>
        </w:rPr>
        <w:t>“universālais pakalpojums” ir noteiktas kvalitātes minimālo pakalpojumu kopums, kas ir pieejams visiem lietotājiem vai lietotāju lokam Puses teritorijā vai tās apakšiedalījumā neatkarīgi no</w:t>
      </w:r>
      <w:r>
        <w:rPr>
          <w:noProof/>
        </w:rPr>
        <w:t xml:space="preserve"> viņu ģeogrāfiskās atrašanās vietas un par pieņemamām cenām, un</w:t>
      </w:r>
    </w:p>
    <w:p w:rsidR="003E022D" w:rsidRDefault="007D19D6">
      <w:pPr>
        <w:numPr>
          <w:ilvl w:val="1"/>
          <w:numId w:val="632"/>
        </w:numPr>
        <w:ind w:left="567" w:hanging="567"/>
        <w:rPr>
          <w:rFonts w:eastAsia="Arial" w:cs="Arial"/>
          <w:noProof/>
        </w:rPr>
      </w:pPr>
      <w:r>
        <w:rPr>
          <w:noProof/>
        </w:rPr>
        <w:t>“lietotājs” ir jebkura fiziska vai juridiska persona, kas izmanto publisko telesakaru pakalpojumu.</w:t>
      </w:r>
    </w:p>
    <w:p w:rsidR="003E022D" w:rsidRDefault="007D19D6">
      <w:pPr>
        <w:pStyle w:val="Article"/>
        <w:rPr>
          <w:noProof/>
        </w:rPr>
      </w:pPr>
      <w:r>
        <w:rPr>
          <w:noProof/>
        </w:rPr>
        <w:t>SERVIN.5.22. pants. Telesakaru regulators</w:t>
      </w:r>
    </w:p>
    <w:p w:rsidR="003E022D" w:rsidRDefault="007D19D6">
      <w:pPr>
        <w:numPr>
          <w:ilvl w:val="0"/>
          <w:numId w:val="633"/>
        </w:numPr>
        <w:ind w:left="0" w:firstLine="0"/>
        <w:rPr>
          <w:rFonts w:cs="Arial"/>
          <w:noProof/>
        </w:rPr>
      </w:pPr>
      <w:r>
        <w:rPr>
          <w:noProof/>
        </w:rPr>
        <w:t>Katra Puse izveido vai uztur telesakaru regulatoru,</w:t>
      </w:r>
      <w:r>
        <w:rPr>
          <w:noProof/>
        </w:rPr>
        <w:t xml:space="preserve"> kas:</w:t>
      </w:r>
    </w:p>
    <w:p w:rsidR="003E022D" w:rsidRDefault="007D19D6">
      <w:pPr>
        <w:numPr>
          <w:ilvl w:val="1"/>
          <w:numId w:val="634"/>
        </w:numPr>
        <w:ind w:left="567" w:hanging="567"/>
        <w:rPr>
          <w:rFonts w:cs="Arial"/>
          <w:noProof/>
        </w:rPr>
      </w:pPr>
      <w:r>
        <w:rPr>
          <w:noProof/>
        </w:rPr>
        <w:t>ir juridiski nošķirts un funkcionāli neatkarīgs no visiem telesakaru tīklu, telesakaru pakalpojumu vai telesakaru iekārtu piegādātājiem;</w:t>
      </w:r>
    </w:p>
    <w:p w:rsidR="003E022D" w:rsidRDefault="007D19D6">
      <w:pPr>
        <w:numPr>
          <w:ilvl w:val="1"/>
          <w:numId w:val="634"/>
        </w:numPr>
        <w:ind w:left="567" w:hanging="567"/>
        <w:rPr>
          <w:rFonts w:cs="Arial"/>
          <w:noProof/>
        </w:rPr>
      </w:pPr>
      <w:r>
        <w:rPr>
          <w:noProof/>
        </w:rPr>
        <w:t>izmanto procedūras un pieņem lēmumus, kas ir taisnīgi attiecībā uz visiem tirgus dalībniekiem;</w:t>
      </w:r>
    </w:p>
    <w:p w:rsidR="003E022D" w:rsidRDefault="007D19D6">
      <w:pPr>
        <w:numPr>
          <w:ilvl w:val="1"/>
          <w:numId w:val="634"/>
        </w:numPr>
        <w:ind w:left="567" w:hanging="567"/>
        <w:rPr>
          <w:rFonts w:cs="Arial"/>
          <w:noProof/>
        </w:rPr>
      </w:pPr>
      <w:r>
        <w:rPr>
          <w:noProof/>
        </w:rPr>
        <w:t>rīkojas neatkarīgi</w:t>
      </w:r>
      <w:r>
        <w:rPr>
          <w:noProof/>
        </w:rPr>
        <w:t xml:space="preserve"> un neprasa un nesaņem norādījumus no ne no vienas citas struktūras saistībā ar to uzdevumu izpildi, kas tam uzticēti ar tiesībām, lai izpildītu SERVIN.5.24. pantā [Starpsavienojums], SERVIN.5.25. pantā [Piekļuve un izmantošana], SERVIN.5.26. pantā [Strīdu</w:t>
      </w:r>
      <w:r>
        <w:rPr>
          <w:noProof/>
        </w:rPr>
        <w:t xml:space="preserve"> izšķiršana telesakaru jomā], SERVIN.5.28. pantā [Starpsavienojums ar nozīmīgiem pakalpojumu sniedzējiem] un SERVIN.5.29. pantā [Piekļuve nozīmīgu piegādātāju galvenajām iekārtām] noteiktos pienākumus;</w:t>
      </w:r>
    </w:p>
    <w:p w:rsidR="003E022D" w:rsidRDefault="007D19D6">
      <w:pPr>
        <w:numPr>
          <w:ilvl w:val="1"/>
          <w:numId w:val="634"/>
        </w:numPr>
        <w:ind w:left="567" w:hanging="567"/>
        <w:rPr>
          <w:rFonts w:cs="Arial"/>
          <w:noProof/>
        </w:rPr>
      </w:pPr>
      <w:r>
        <w:rPr>
          <w:noProof/>
        </w:rPr>
        <w:t>ir regulatīvās pilnvaras, kā arī pietiekami finanšu re</w:t>
      </w:r>
      <w:r>
        <w:rPr>
          <w:noProof/>
        </w:rPr>
        <w:t>sursi un cilvēkresursi, lai veiktu c) apakšpunktā minētos uzdevumus;</w:t>
      </w:r>
    </w:p>
    <w:p w:rsidR="003E022D" w:rsidRDefault="007D19D6">
      <w:pPr>
        <w:numPr>
          <w:ilvl w:val="1"/>
          <w:numId w:val="634"/>
        </w:numPr>
        <w:ind w:left="567" w:hanging="567"/>
        <w:rPr>
          <w:rFonts w:cs="Arial"/>
          <w:noProof/>
        </w:rPr>
      </w:pPr>
      <w:r>
        <w:rPr>
          <w:noProof/>
        </w:rPr>
        <w:t>ir pilnvarots nodrošināt, ka telesakaru tīklu nodrošinātāji vai telesakaru pakalpojumu sniedzēji nekavējoties pēc pieprasījuma sniedz tam visu informāciju, t. sk. finanšu informāciju</w:t>
      </w:r>
      <w:r>
        <w:rPr>
          <w:rStyle w:val="FootnoteReference"/>
          <w:rFonts w:cs="Arial"/>
          <w:noProof/>
        </w:rPr>
        <w:footnoteReference w:id="25"/>
      </w:r>
      <w:r>
        <w:rPr>
          <w:noProof/>
        </w:rPr>
        <w:t>, ka</w:t>
      </w:r>
      <w:r>
        <w:rPr>
          <w:noProof/>
        </w:rPr>
        <w:t>s vajadzīga, lai veiktu c) apakšpunktā minētos uzdevumus, un</w:t>
      </w:r>
    </w:p>
    <w:p w:rsidR="003E022D" w:rsidRDefault="007D19D6">
      <w:pPr>
        <w:numPr>
          <w:ilvl w:val="1"/>
          <w:numId w:val="634"/>
        </w:numPr>
        <w:ind w:left="567" w:hanging="567"/>
        <w:rPr>
          <w:rFonts w:cs="Arial"/>
          <w:noProof/>
        </w:rPr>
      </w:pPr>
      <w:r>
        <w:rPr>
          <w:noProof/>
        </w:rPr>
        <w:t>savas pilnvaras īsteno pārredzami un savlaicīgi.</w:t>
      </w:r>
    </w:p>
    <w:p w:rsidR="003E022D" w:rsidRDefault="007D19D6">
      <w:pPr>
        <w:numPr>
          <w:ilvl w:val="0"/>
          <w:numId w:val="633"/>
        </w:numPr>
        <w:ind w:left="0" w:firstLine="0"/>
        <w:rPr>
          <w:rFonts w:cs="Arial"/>
          <w:noProof/>
        </w:rPr>
      </w:pPr>
      <w:r>
        <w:rPr>
          <w:noProof/>
        </w:rPr>
        <w:t>Katra Puse nodrošina, ka telesakaru regulatoram uzticētos uzdevumus publisko viegli pieejamā un skaidrā veidā, it īpaši, ja minētie uzdevumi ir uz</w:t>
      </w:r>
      <w:r>
        <w:rPr>
          <w:noProof/>
        </w:rPr>
        <w:t>ticēti vairāk nekā vienai struktūrai.</w:t>
      </w:r>
    </w:p>
    <w:p w:rsidR="003E022D" w:rsidRDefault="007D19D6">
      <w:pPr>
        <w:numPr>
          <w:ilvl w:val="0"/>
          <w:numId w:val="633"/>
        </w:numPr>
        <w:ind w:left="0" w:firstLine="0"/>
        <w:rPr>
          <w:rFonts w:cs="Arial"/>
          <w:noProof/>
        </w:rPr>
      </w:pPr>
      <w:r>
        <w:rPr>
          <w:noProof/>
        </w:rPr>
        <w:t>Puse, kas saglabā īpašumtiesības vai kontroli pār telesakaru tīklu nodrošinātājiem vai telesakaru pakalpojumu sniedzējiem, nodrošina efektīvu strukturālo nošķīrumu starp regulatīvo funkciju un darbībām, kuras saistītas</w:t>
      </w:r>
      <w:r>
        <w:rPr>
          <w:noProof/>
        </w:rPr>
        <w:t xml:space="preserve"> ar īpašumtiesībām vai kontroli.</w:t>
      </w:r>
    </w:p>
    <w:p w:rsidR="003E022D" w:rsidRDefault="007D19D6">
      <w:pPr>
        <w:numPr>
          <w:ilvl w:val="0"/>
          <w:numId w:val="633"/>
        </w:numPr>
        <w:ind w:left="0" w:firstLine="0"/>
        <w:rPr>
          <w:rFonts w:cs="Arial"/>
          <w:noProof/>
        </w:rPr>
      </w:pPr>
      <w:r>
        <w:rPr>
          <w:noProof/>
        </w:rPr>
        <w:t>Katra Puse nodrošina, ka telesakaru tīklu vai telesakaru pakalpojumu lietotājam vai sniedzējam, kuru ietekmē telesakaru regulatora lēmums, ir tiesības pārsūdzēt lēmumu pārsūdzības iestādē, kas ir neatkarīga no regulatora un</w:t>
      </w:r>
      <w:r>
        <w:rPr>
          <w:noProof/>
        </w:rPr>
        <w:t xml:space="preserve"> citām skartajām pusēm. Kamēr nav zināms pārsūdzības iznākums, lēmums paliek spēkā, izņemot gadījumus, kad saskaņā ar Puses tiesību aktiem tiek noteikti pagaidu pasākumi.</w:t>
      </w:r>
    </w:p>
    <w:p w:rsidR="003E022D" w:rsidRDefault="007D19D6">
      <w:pPr>
        <w:pStyle w:val="Article"/>
        <w:rPr>
          <w:noProof/>
        </w:rPr>
      </w:pPr>
      <w:r>
        <w:rPr>
          <w:noProof/>
        </w:rPr>
        <w:t>SERVIN.5.23. pants. Atļauja nodrošināt telesakaru tīklus vai pakalpojumus</w:t>
      </w:r>
    </w:p>
    <w:p w:rsidR="003E022D" w:rsidRDefault="007D19D6">
      <w:pPr>
        <w:numPr>
          <w:ilvl w:val="0"/>
          <w:numId w:val="635"/>
        </w:numPr>
        <w:ind w:left="0" w:firstLine="0"/>
        <w:rPr>
          <w:rFonts w:cs="Arial"/>
          <w:i/>
          <w:noProof/>
        </w:rPr>
      </w:pPr>
      <w:r>
        <w:rPr>
          <w:noProof/>
        </w:rPr>
        <w:t xml:space="preserve">Katra Puse </w:t>
      </w:r>
      <w:r>
        <w:rPr>
          <w:noProof/>
        </w:rPr>
        <w:t>atļauj nodrošināt telesakaru tīklus vai telesakaru pakalpojumus bez iepriekšējas oficiālas atļaujas.</w:t>
      </w:r>
    </w:p>
    <w:p w:rsidR="003E022D" w:rsidRDefault="007D19D6">
      <w:pPr>
        <w:numPr>
          <w:ilvl w:val="0"/>
          <w:numId w:val="635"/>
        </w:numPr>
        <w:ind w:left="0" w:firstLine="0"/>
        <w:rPr>
          <w:rFonts w:cs="Arial"/>
          <w:noProof/>
        </w:rPr>
      </w:pPr>
      <w:r>
        <w:rPr>
          <w:noProof/>
        </w:rPr>
        <w:t xml:space="preserve">Katra Puse publisko visus kritērijus, piemērojamās procedūras un noteikumus, saskaņā ar kuriem pakalpojumu sniedzējiem atļauj nodrošināt telesakaru tīklus </w:t>
      </w:r>
      <w:r>
        <w:rPr>
          <w:noProof/>
        </w:rPr>
        <w:t>vai telesakaru pakalpojumus.</w:t>
      </w:r>
    </w:p>
    <w:p w:rsidR="003E022D" w:rsidRDefault="007D19D6">
      <w:pPr>
        <w:numPr>
          <w:ilvl w:val="0"/>
          <w:numId w:val="635"/>
        </w:numPr>
        <w:ind w:left="0" w:firstLine="0"/>
        <w:rPr>
          <w:rFonts w:cs="Arial"/>
          <w:noProof/>
        </w:rPr>
      </w:pPr>
      <w:r>
        <w:rPr>
          <w:noProof/>
        </w:rPr>
        <w:t xml:space="preserve">Visiem atļauju piešķiršanas kritērijiem un piemērojamām procedūrām jābūt pēc iespējas vienkāršiem, objektīviem, pārredzamiem, nediskriminējošiem un samērīgiem. Visi pienākumi un nosacījumi, kas uzlikti vai saistīti ar atļauju, </w:t>
      </w:r>
      <w:r>
        <w:rPr>
          <w:noProof/>
        </w:rPr>
        <w:t>ir nediskriminējoši, pārredzami un samērīgi un saistīti ar sniegtajiem pakalpojumiem vai nodrošinātajiem tīkliem.</w:t>
      </w:r>
    </w:p>
    <w:p w:rsidR="003E022D" w:rsidRDefault="007D19D6">
      <w:pPr>
        <w:numPr>
          <w:ilvl w:val="0"/>
          <w:numId w:val="635"/>
        </w:numPr>
        <w:ind w:left="0" w:firstLine="0"/>
        <w:rPr>
          <w:rFonts w:cs="Arial"/>
          <w:noProof/>
        </w:rPr>
      </w:pPr>
      <w:r>
        <w:rPr>
          <w:noProof/>
        </w:rPr>
        <w:t>Katra Puse nodrošina, ka atļaujas pieteikuma iesniedzējs saņem rakstisku informāciju par katra atļaujas atteikuma vai atsaukšanas vai ar pakal</w:t>
      </w:r>
      <w:r>
        <w:rPr>
          <w:noProof/>
        </w:rPr>
        <w:t>pojumu sniedzēju saistītu konkrētu nosacījumu izvirzīšanas iemesliem. Šādos gadījumos pieteikuma iesniedzējam ir tiesības pārsūdzēt lēmumu pārsūdzības iestādē.</w:t>
      </w:r>
    </w:p>
    <w:p w:rsidR="003E022D" w:rsidRDefault="007D19D6">
      <w:pPr>
        <w:numPr>
          <w:ilvl w:val="0"/>
          <w:numId w:val="635"/>
        </w:numPr>
        <w:ind w:left="0" w:firstLine="0"/>
        <w:rPr>
          <w:rFonts w:cs="Arial"/>
          <w:noProof/>
        </w:rPr>
      </w:pPr>
      <w:r>
        <w:rPr>
          <w:noProof/>
        </w:rPr>
        <w:t>Piegādātājiem uzliktās administratīvās maksas ir objektīvas, pārredzamas, nediskriminējošas un s</w:t>
      </w:r>
      <w:r>
        <w:rPr>
          <w:noProof/>
        </w:rPr>
        <w:t>amērīgas ar administratīvajām izmaksām, kas pamatoti radušās, pārvaldot, kontrolējot un izpildot šajā iedaļā noteiktos pienākumus</w:t>
      </w:r>
      <w:r>
        <w:rPr>
          <w:noProof/>
          <w:vertAlign w:val="superscript"/>
        </w:rPr>
        <w:footnoteReference w:id="26"/>
      </w:r>
      <w:r>
        <w:rPr>
          <w:noProof/>
        </w:rPr>
        <w:t xml:space="preserve">. </w:t>
      </w:r>
    </w:p>
    <w:p w:rsidR="003E022D" w:rsidRDefault="007D19D6">
      <w:pPr>
        <w:widowControl w:val="0"/>
        <w:jc w:val="center"/>
        <w:rPr>
          <w:rFonts w:cs="Arial"/>
          <w:noProof/>
        </w:rPr>
      </w:pPr>
      <w:r>
        <w:rPr>
          <w:noProof/>
        </w:rPr>
        <w:t>SERVIN.5.24. pants. Starpsavienojums</w:t>
      </w:r>
    </w:p>
    <w:p w:rsidR="003E022D" w:rsidRDefault="007D19D6">
      <w:pPr>
        <w:widowControl w:val="0"/>
        <w:rPr>
          <w:rFonts w:cs="Arial"/>
          <w:noProof/>
        </w:rPr>
      </w:pPr>
      <w:r>
        <w:rPr>
          <w:noProof/>
        </w:rPr>
        <w:t>Katra Puse nodrošina, ka publisko telesakaru tīklu nodrošinātājam vai publisko telesak</w:t>
      </w:r>
      <w:r>
        <w:rPr>
          <w:noProof/>
        </w:rPr>
        <w:t>aru pakalpojumu sniedzējam ir tiesības un, ja to pieprasa cits publisko telesakaru tīklu nodrošinātājs vai publisko telesakaru pakalpojumu sniedzējs, pienākums risināt sarunas par starpsavienojumu, lai nodrošinātu publisko telesakaru tīklu vai publisko tel</w:t>
      </w:r>
      <w:r>
        <w:rPr>
          <w:noProof/>
        </w:rPr>
        <w:t>esakaru pakalpojumus.</w:t>
      </w:r>
    </w:p>
    <w:p w:rsidR="003E022D" w:rsidRDefault="007D19D6">
      <w:pPr>
        <w:pStyle w:val="Article"/>
        <w:rPr>
          <w:noProof/>
        </w:rPr>
      </w:pPr>
      <w:r>
        <w:rPr>
          <w:noProof/>
        </w:rPr>
        <w:t>SERVIN.5.25. pants. Piekļuve un izmantošana</w:t>
      </w:r>
    </w:p>
    <w:p w:rsidR="003E022D" w:rsidRDefault="007D19D6">
      <w:pPr>
        <w:numPr>
          <w:ilvl w:val="0"/>
          <w:numId w:val="636"/>
        </w:numPr>
        <w:ind w:left="0" w:firstLine="0"/>
        <w:rPr>
          <w:rFonts w:cs="Arial"/>
          <w:noProof/>
        </w:rPr>
      </w:pPr>
      <w:r>
        <w:rPr>
          <w:noProof/>
        </w:rPr>
        <w:t xml:space="preserve">Katra Puse nodrošina, ka jebkuram otras Puses aptvertam uzņēmumam vai pakalpojumu sniedzējam piešķir piekļuvi publiskajiem telesakaru tīkliem vai publiskajiem telesakaru pakalpojumiem un </w:t>
      </w:r>
      <w:r>
        <w:rPr>
          <w:noProof/>
        </w:rPr>
        <w:t>iespēju tos izmantot ar noteikumiem, kas ir saprātīgi un nediskriminējoši</w:t>
      </w:r>
      <w:r>
        <w:rPr>
          <w:noProof/>
          <w:vertAlign w:val="superscript"/>
        </w:rPr>
        <w:footnoteReference w:id="27"/>
      </w:r>
      <w:r>
        <w:rPr>
          <w:noProof/>
        </w:rPr>
        <w:t>. Šo pienākumu piemēro cita starpā darbībām, kas minētas 2.–5. punktā.</w:t>
      </w:r>
    </w:p>
    <w:p w:rsidR="003E022D" w:rsidRDefault="007D19D6">
      <w:pPr>
        <w:numPr>
          <w:ilvl w:val="0"/>
          <w:numId w:val="636"/>
        </w:numPr>
        <w:ind w:left="0" w:firstLine="0"/>
        <w:rPr>
          <w:rFonts w:cs="Arial"/>
          <w:noProof/>
        </w:rPr>
      </w:pPr>
      <w:r>
        <w:rPr>
          <w:noProof/>
        </w:rPr>
        <w:t>Katra Puse nodrošina, ka otras Puses aptvertajiem uzņēmumiem vai pakalpojumu sniedzējiem ir piekļuve jebkuram t</w:t>
      </w:r>
      <w:r>
        <w:rPr>
          <w:noProof/>
        </w:rPr>
        <w:t>ādam publiskajam telesakaru tīklam vai publiskajam telesakaru pakalpojumam un iespēja to izmantot, ko nodrošina tās teritorijā vai ārpus tās robežām, t. sk. privātiem nomātiem sakaru kanāliem, un šajā nolūkā, ievērojot 5. punkta noteikumus, nodrošina, ka š</w:t>
      </w:r>
      <w:r>
        <w:rPr>
          <w:noProof/>
        </w:rPr>
        <w:t>ādiem uzņēmumiem un pakalpojumu sniedzējiem ir atļauts:</w:t>
      </w:r>
    </w:p>
    <w:p w:rsidR="003E022D" w:rsidRDefault="007D19D6">
      <w:pPr>
        <w:numPr>
          <w:ilvl w:val="1"/>
          <w:numId w:val="637"/>
        </w:numPr>
        <w:ind w:left="567" w:hanging="567"/>
        <w:rPr>
          <w:rFonts w:cs="Arial"/>
          <w:noProof/>
        </w:rPr>
      </w:pPr>
      <w:r>
        <w:rPr>
          <w:noProof/>
        </w:rPr>
        <w:t>pirkt vai nomāt un piesaistīt termināli vai citas iekārtas, kuras ir savstarpēji saistītas ar tīklu un kuras ir nepieciešamas viņu darbībai;</w:t>
      </w:r>
    </w:p>
    <w:p w:rsidR="003E022D" w:rsidRDefault="007D19D6">
      <w:pPr>
        <w:numPr>
          <w:ilvl w:val="1"/>
          <w:numId w:val="637"/>
        </w:numPr>
        <w:ind w:left="567" w:hanging="567"/>
        <w:rPr>
          <w:rFonts w:cs="Arial"/>
          <w:noProof/>
        </w:rPr>
      </w:pPr>
      <w:r>
        <w:rPr>
          <w:noProof/>
        </w:rPr>
        <w:t>savstarpēji savienot privāti nomātus vai īpašumā esošus sak</w:t>
      </w:r>
      <w:r>
        <w:rPr>
          <w:noProof/>
        </w:rPr>
        <w:t>aru kanālus ar publiskajiem telesakaru tīkliem vai ar sakaru kanāliem, ko nomā vai kas atrodas cita aptvertā uzņēmuma vai pakalpojumu sniedzēja īpašumā, un</w:t>
      </w:r>
    </w:p>
    <w:p w:rsidR="003E022D" w:rsidRDefault="007D19D6">
      <w:pPr>
        <w:numPr>
          <w:ilvl w:val="1"/>
          <w:numId w:val="637"/>
        </w:numPr>
        <w:ind w:left="567" w:hanging="567"/>
        <w:rPr>
          <w:rFonts w:cs="Arial"/>
          <w:noProof/>
        </w:rPr>
      </w:pPr>
      <w:r>
        <w:rPr>
          <w:noProof/>
        </w:rPr>
        <w:t>savā darbībā pēc savas izvēles izmantot darbību protokolus, kuri nav nepieciešami, lai nodrošinātu t</w:t>
      </w:r>
      <w:r>
        <w:rPr>
          <w:noProof/>
        </w:rPr>
        <w:t>elesakaru pakalpojumu pieejamību sabiedrībai kopumā.</w:t>
      </w:r>
    </w:p>
    <w:p w:rsidR="003E022D" w:rsidRDefault="007D19D6">
      <w:pPr>
        <w:numPr>
          <w:ilvl w:val="0"/>
          <w:numId w:val="636"/>
        </w:numPr>
        <w:ind w:left="0" w:firstLine="0"/>
        <w:rPr>
          <w:rFonts w:cs="Arial"/>
          <w:noProof/>
        </w:rPr>
      </w:pPr>
      <w:r>
        <w:rPr>
          <w:noProof/>
        </w:rPr>
        <w:t>Katra puse nodrošina, lai otras Puses aptverties uzņēmumi vai pakalpojumu sniedzēji var izmantot publiskos telesakaru tīklus un publiskos telesakaru pakalpojumus informācijas apritei tās teritorijā un ār</w:t>
      </w:r>
      <w:r>
        <w:rPr>
          <w:noProof/>
        </w:rPr>
        <w:t>pus tās robežām, t. sk. to iekšējo saziņu un piekļuvi informācijai, kas atrodas datubāzēs vai citādā mašīnlasāmā formā tiek glabāta otras Puses teritorijā.</w:t>
      </w:r>
    </w:p>
    <w:p w:rsidR="003E022D" w:rsidRDefault="007D19D6">
      <w:pPr>
        <w:numPr>
          <w:ilvl w:val="0"/>
          <w:numId w:val="636"/>
        </w:numPr>
        <w:ind w:left="0" w:firstLine="0"/>
        <w:rPr>
          <w:rFonts w:cs="Arial"/>
          <w:noProof/>
        </w:rPr>
      </w:pPr>
      <w:r>
        <w:rPr>
          <w:noProof/>
        </w:rPr>
        <w:t>Neatkarīgi no 3. punkta Puse var veikt šādus pasākumus, kas vajadzīgi, lai nodrošinātu sakaru drošīb</w:t>
      </w:r>
      <w:r>
        <w:rPr>
          <w:noProof/>
        </w:rPr>
        <w:t>u un konfidencialitāti, ar nosacījumu, ka šādus pasākumus nepiemēro tādā veidā, kas varētu izraisīt slēptu pakalpojumu tirdzniecības ierobežojumu vai patvaļīgu vai nepamatotu diskrimināciju, vai šajā sadaļā paredzēto priekšrocību likvidēšanu vai samazināša</w:t>
      </w:r>
      <w:r>
        <w:rPr>
          <w:noProof/>
        </w:rPr>
        <w:t>nu.</w:t>
      </w:r>
    </w:p>
    <w:p w:rsidR="003E022D" w:rsidRDefault="007D19D6">
      <w:pPr>
        <w:numPr>
          <w:ilvl w:val="0"/>
          <w:numId w:val="636"/>
        </w:numPr>
        <w:ind w:left="0" w:firstLine="0"/>
        <w:rPr>
          <w:rFonts w:cs="Arial"/>
          <w:noProof/>
        </w:rPr>
      </w:pPr>
      <w:r>
        <w:rPr>
          <w:noProof/>
        </w:rPr>
        <w:t>Katra Puse nodrošina, ka neizvirza nekādus nosacījumus attiecībā uz piekļuvi publiskajiem telesakaru tīkliem vai pakalpojumiem un to izmantošanu, izņemot tos, kas nepieciešami:</w:t>
      </w:r>
    </w:p>
    <w:p w:rsidR="003E022D" w:rsidRDefault="007D19D6">
      <w:pPr>
        <w:numPr>
          <w:ilvl w:val="1"/>
          <w:numId w:val="638"/>
        </w:numPr>
        <w:ind w:left="567" w:hanging="567"/>
        <w:rPr>
          <w:rFonts w:cs="Arial"/>
          <w:noProof/>
        </w:rPr>
      </w:pPr>
      <w:r>
        <w:rPr>
          <w:noProof/>
        </w:rPr>
        <w:t>lai aizsargātu publisko telesakaru tīklu vai publisko telesakaru pakalpojum</w:t>
      </w:r>
      <w:r>
        <w:rPr>
          <w:noProof/>
        </w:rPr>
        <w:t>u publisko pakalpojumu sniedzēju pienākumus, īpaši to spēju padarīt to pakalpojumus pieejamus sabiedrībai kopumā, vai</w:t>
      </w:r>
    </w:p>
    <w:p w:rsidR="003E022D" w:rsidRDefault="007D19D6">
      <w:pPr>
        <w:numPr>
          <w:ilvl w:val="1"/>
          <w:numId w:val="638"/>
        </w:numPr>
        <w:ind w:left="567" w:hanging="567"/>
        <w:rPr>
          <w:rFonts w:cs="Arial"/>
          <w:noProof/>
        </w:rPr>
      </w:pPr>
      <w:r>
        <w:rPr>
          <w:noProof/>
        </w:rPr>
        <w:t>lai aizsargātu publisko telesakaru tīklu vai pakalpojumu tehnisko integritāti.</w:t>
      </w:r>
    </w:p>
    <w:p w:rsidR="003E022D" w:rsidRDefault="007D19D6">
      <w:pPr>
        <w:pStyle w:val="Article"/>
        <w:rPr>
          <w:noProof/>
        </w:rPr>
      </w:pPr>
      <w:r>
        <w:rPr>
          <w:noProof/>
        </w:rPr>
        <w:t>SERVIN.5.26. pants. Strīdu izšķiršana telesakaru jomā</w:t>
      </w:r>
    </w:p>
    <w:p w:rsidR="003E022D" w:rsidRDefault="007D19D6">
      <w:pPr>
        <w:numPr>
          <w:ilvl w:val="0"/>
          <w:numId w:val="639"/>
        </w:numPr>
        <w:ind w:left="0" w:firstLine="0"/>
        <w:rPr>
          <w:rFonts w:cs="Arial"/>
          <w:noProof/>
        </w:rPr>
      </w:pPr>
      <w:r>
        <w:rPr>
          <w:noProof/>
        </w:rPr>
        <w:t>Katra</w:t>
      </w:r>
      <w:r>
        <w:rPr>
          <w:noProof/>
        </w:rPr>
        <w:t xml:space="preserve"> Puse nodrošina, ka strīda gadījumā starp telesakaru tīklu nodrošinātājiem vai telesakaru pakalpojumu sniedzējiem saistībā ar tiesībām un pienākumiem, kas izriet no šīs iedaļas, un pēc jebkuras strīdā iesaistītās Puses pieprasījuma telesakaru regulators sa</w:t>
      </w:r>
      <w:r>
        <w:rPr>
          <w:noProof/>
        </w:rPr>
        <w:t>prātīgā termiņā pieņem saistošu lēmumu strīda atrisināšanai.</w:t>
      </w:r>
    </w:p>
    <w:p w:rsidR="003E022D" w:rsidRDefault="007D19D6">
      <w:pPr>
        <w:numPr>
          <w:ilvl w:val="0"/>
          <w:numId w:val="639"/>
        </w:numPr>
        <w:ind w:left="0" w:firstLine="0"/>
        <w:rPr>
          <w:rFonts w:cs="Arial"/>
          <w:noProof/>
        </w:rPr>
      </w:pPr>
      <w:r>
        <w:rPr>
          <w:noProof/>
        </w:rPr>
        <w:t>Telesakaru regulatora lēmumu publisko, ņemot vērā darījumdarbības konfidencialitātes prasības. Iesaistītajām Pusēm sniedz pilnīgu pārskatu par apsvērumiem, ar kuriem lēmums pamatots, un tām ir pā</w:t>
      </w:r>
      <w:r>
        <w:rPr>
          <w:noProof/>
        </w:rPr>
        <w:t>rsūdzēšanas tiesības, kas minētas SERVIN.5.22. panta [Telesakaru regulators] 4. punktā.</w:t>
      </w:r>
    </w:p>
    <w:p w:rsidR="003E022D" w:rsidRDefault="007D19D6">
      <w:pPr>
        <w:numPr>
          <w:ilvl w:val="0"/>
          <w:numId w:val="639"/>
        </w:numPr>
        <w:ind w:left="0" w:firstLine="0"/>
        <w:rPr>
          <w:rFonts w:cs="Arial"/>
          <w:noProof/>
        </w:rPr>
      </w:pPr>
      <w:r>
        <w:rPr>
          <w:noProof/>
        </w:rPr>
        <w:t>Panta 1.–2. punktā minētā procedūra neliedz Pusēm sniegt prasību tiesu iestādē.</w:t>
      </w:r>
    </w:p>
    <w:p w:rsidR="003E022D" w:rsidRDefault="007D19D6">
      <w:pPr>
        <w:widowControl w:val="0"/>
        <w:jc w:val="center"/>
        <w:rPr>
          <w:rFonts w:eastAsia="Arial" w:cs="Arial"/>
          <w:noProof/>
        </w:rPr>
      </w:pPr>
      <w:r>
        <w:rPr>
          <w:noProof/>
        </w:rPr>
        <w:t>SERVIN.5.27. pants. Nozīmīgiem pakalpojumu sniedzējiem piemērojamie aizsardzības pasākum</w:t>
      </w:r>
      <w:r>
        <w:rPr>
          <w:noProof/>
        </w:rPr>
        <w:t>i konkurences jomā</w:t>
      </w:r>
    </w:p>
    <w:p w:rsidR="003E022D" w:rsidRDefault="007D19D6">
      <w:pPr>
        <w:widowControl w:val="0"/>
        <w:rPr>
          <w:rFonts w:eastAsia="Arial" w:cs="Arial"/>
          <w:noProof/>
        </w:rPr>
      </w:pPr>
      <w:r>
        <w:rPr>
          <w:noProof/>
        </w:rPr>
        <w:t>Katra Puse ievieš vai saglabā attiecīgus pasākumus, kuru mērķis ir atturēt telesakaru tīklu nodrošinātājus vai telesakaru pakalpojumu sniedzējus, kas vieni paši vai kopā ir nozīmīgi pakalpojumu sniedzēji, no iesaistīšanās pret konkurenci</w:t>
      </w:r>
      <w:r>
        <w:rPr>
          <w:noProof/>
        </w:rPr>
        <w:t xml:space="preserve"> vērstā praksē vai no šādas prakses turpināšanas. Šāda pret konkurenci vērsta prakse jo īpaši ietver:</w:t>
      </w:r>
    </w:p>
    <w:p w:rsidR="003E022D" w:rsidRDefault="007D19D6">
      <w:pPr>
        <w:numPr>
          <w:ilvl w:val="1"/>
          <w:numId w:val="640"/>
        </w:numPr>
        <w:ind w:left="567" w:hanging="567"/>
        <w:rPr>
          <w:rFonts w:eastAsia="Arial" w:cs="Arial"/>
          <w:noProof/>
        </w:rPr>
      </w:pPr>
      <w:r>
        <w:rPr>
          <w:noProof/>
        </w:rPr>
        <w:t>iesaistīšanos pret konkurenci vērstā šķērssubsidēšanā;</w:t>
      </w:r>
    </w:p>
    <w:p w:rsidR="003E022D" w:rsidRDefault="007D19D6">
      <w:pPr>
        <w:numPr>
          <w:ilvl w:val="1"/>
          <w:numId w:val="640"/>
        </w:numPr>
        <w:ind w:left="567" w:hanging="567"/>
        <w:rPr>
          <w:rFonts w:eastAsia="Arial" w:cs="Arial"/>
          <w:noProof/>
        </w:rPr>
      </w:pPr>
      <w:r>
        <w:rPr>
          <w:noProof/>
        </w:rPr>
        <w:t>no konkurentiem iegūtas informācijas izmantošanu ar rezultātiem, kas vērsti pret konkurenci, un</w:t>
      </w:r>
    </w:p>
    <w:p w:rsidR="003E022D" w:rsidRDefault="007D19D6">
      <w:pPr>
        <w:numPr>
          <w:ilvl w:val="1"/>
          <w:numId w:val="640"/>
        </w:numPr>
        <w:ind w:left="567" w:hanging="567"/>
        <w:rPr>
          <w:rFonts w:eastAsia="Arial" w:cs="Arial"/>
          <w:noProof/>
        </w:rPr>
      </w:pPr>
      <w:r>
        <w:rPr>
          <w:noProof/>
        </w:rPr>
        <w:t>teh</w:t>
      </w:r>
      <w:r>
        <w:rPr>
          <w:noProof/>
        </w:rPr>
        <w:t>niskas informācijas par galvenajām iekārtām un komerciāli svarīgas informācijas, kas citiem pakalpojumu sniedzējiem nepieciešama pakalpojumu sniegšanai, savlaicīgu nesniegšanu.</w:t>
      </w:r>
    </w:p>
    <w:p w:rsidR="003E022D" w:rsidRDefault="007D19D6">
      <w:pPr>
        <w:pStyle w:val="Article"/>
        <w:rPr>
          <w:noProof/>
        </w:rPr>
      </w:pPr>
      <w:r>
        <w:rPr>
          <w:noProof/>
        </w:rPr>
        <w:t>SERVIN.5.28. pants. Starpsavienojums ar nozīmīgiem pakalpojumu sniedzējiem</w:t>
      </w:r>
    </w:p>
    <w:p w:rsidR="003E022D" w:rsidRDefault="007D19D6">
      <w:pPr>
        <w:numPr>
          <w:ilvl w:val="0"/>
          <w:numId w:val="641"/>
        </w:numPr>
        <w:ind w:left="0" w:firstLine="0"/>
        <w:rPr>
          <w:rFonts w:cs="Arial"/>
          <w:noProof/>
        </w:rPr>
      </w:pPr>
      <w:r>
        <w:rPr>
          <w:noProof/>
        </w:rPr>
        <w:t>Katra Puse nodrošina, ka nozīmīgi publisko telesakaru tīklu nodrošinātāji vai publisko telesakaru pakalpojumu sniedzēji nodrošina starpsavienojumu jebkurā tehniski iespējamā tīkla punktā. Šādu savienojumu nodrošina:</w:t>
      </w:r>
    </w:p>
    <w:p w:rsidR="003E022D" w:rsidRDefault="007D19D6">
      <w:pPr>
        <w:numPr>
          <w:ilvl w:val="1"/>
          <w:numId w:val="642"/>
        </w:numPr>
        <w:ind w:left="567" w:hanging="567"/>
        <w:rPr>
          <w:rFonts w:eastAsia="Arial" w:cs="Arial"/>
          <w:noProof/>
        </w:rPr>
      </w:pPr>
      <w:r>
        <w:rPr>
          <w:noProof/>
        </w:rPr>
        <w:t>saskaņā ar nediskriminējošiem noteikumie</w:t>
      </w:r>
      <w:r>
        <w:rPr>
          <w:noProof/>
        </w:rPr>
        <w:t>m (ietverot tarifus, tehniskus standartus, specifikācijas, kvalitāti un uzturēšanu) un ne zemākā kvalitātē, kāda ir līdzīgiem šā nozīmīgā pakalpojumu sniedzēja paša sniegtiem pakalpojumiem vai līdzīgiem tā meitasuzņēmumu vai citu saistītu struktūru pakalpo</w:t>
      </w:r>
      <w:r>
        <w:rPr>
          <w:noProof/>
        </w:rPr>
        <w:t>jumiem;</w:t>
      </w:r>
    </w:p>
    <w:p w:rsidR="003E022D" w:rsidRDefault="007D19D6">
      <w:pPr>
        <w:numPr>
          <w:ilvl w:val="1"/>
          <w:numId w:val="642"/>
        </w:numPr>
        <w:ind w:left="567" w:hanging="567"/>
        <w:rPr>
          <w:rFonts w:eastAsia="Arial" w:cs="Arial"/>
          <w:noProof/>
        </w:rPr>
      </w:pPr>
      <w:r>
        <w:rPr>
          <w:noProof/>
        </w:rPr>
        <w:t>laikus, ar tādiem noteikumiem (ietverot tarifus, tehniskos standartus, specifikācijas, kvalitāti un uzturēšanu), kas ir pārredzami, samērīgi, ņemot vērā ekonomisko pamatojumu, un ir pietiekami atsaistīti, lai pakalpojumu sniedzējam nevajadzētu maks</w:t>
      </w:r>
      <w:r>
        <w:rPr>
          <w:noProof/>
        </w:rPr>
        <w:t>āt par tīkla elementiem vai iekārtām, kuras viņam nav nepieciešamas attiecīgā pakalpojuma sniegšanai, un</w:t>
      </w:r>
    </w:p>
    <w:p w:rsidR="003E022D" w:rsidRDefault="007D19D6">
      <w:pPr>
        <w:numPr>
          <w:ilvl w:val="1"/>
          <w:numId w:val="642"/>
        </w:numPr>
        <w:ind w:left="567" w:hanging="567"/>
        <w:rPr>
          <w:rFonts w:eastAsia="Arial" w:cs="Arial"/>
          <w:noProof/>
        </w:rPr>
      </w:pPr>
      <w:r>
        <w:rPr>
          <w:noProof/>
        </w:rPr>
        <w:t>pēc pieprasījuma – papildus vairākumam lietotāju piedāvātajiem tīkla pieslēgumpunktiem punktos par maksu, kas atspoguļo nepieciešamā papildaprīkojuma u</w:t>
      </w:r>
      <w:r>
        <w:rPr>
          <w:noProof/>
        </w:rPr>
        <w:t>zstādīšanas izmaksas.</w:t>
      </w:r>
    </w:p>
    <w:p w:rsidR="003E022D" w:rsidRDefault="007D19D6">
      <w:pPr>
        <w:numPr>
          <w:ilvl w:val="0"/>
          <w:numId w:val="641"/>
        </w:numPr>
        <w:ind w:left="0" w:firstLine="0"/>
        <w:rPr>
          <w:rFonts w:cs="Arial"/>
          <w:noProof/>
        </w:rPr>
      </w:pPr>
      <w:r>
        <w:rPr>
          <w:noProof/>
        </w:rPr>
        <w:t>Procedūras, kas piemērojamas starpsavienojumam ar nozīmīgu pakalpojumu sniedzēju, publisko.</w:t>
      </w:r>
    </w:p>
    <w:p w:rsidR="003E022D" w:rsidRDefault="007D19D6">
      <w:pPr>
        <w:numPr>
          <w:ilvl w:val="0"/>
          <w:numId w:val="641"/>
        </w:numPr>
        <w:ind w:left="0" w:firstLine="0"/>
        <w:rPr>
          <w:rFonts w:cs="Arial"/>
          <w:noProof/>
        </w:rPr>
      </w:pPr>
      <w:r>
        <w:rPr>
          <w:noProof/>
        </w:rPr>
        <w:t>Nozīmīgi pakalpojumu sniedzēji savus starpsavienojuma nolīgumus vai starpsavienojuma standartpiedāvājumus attiecīgā gadījumā publisko.</w:t>
      </w:r>
    </w:p>
    <w:p w:rsidR="003E022D" w:rsidRDefault="007D19D6">
      <w:pPr>
        <w:pStyle w:val="Article"/>
        <w:rPr>
          <w:noProof/>
        </w:rPr>
      </w:pPr>
      <w:r>
        <w:rPr>
          <w:noProof/>
        </w:rPr>
        <w:t>SERVIN.</w:t>
      </w:r>
      <w:r>
        <w:rPr>
          <w:noProof/>
        </w:rPr>
        <w:t>5.29. pants. Piekļuve nozīmīgu piegādātāju galvenajām iekārtām</w:t>
      </w:r>
    </w:p>
    <w:p w:rsidR="003E022D" w:rsidRDefault="007D19D6">
      <w:pPr>
        <w:widowControl w:val="0"/>
        <w:rPr>
          <w:rFonts w:cs="Arial"/>
          <w:noProof/>
        </w:rPr>
      </w:pPr>
      <w:r>
        <w:rPr>
          <w:noProof/>
        </w:rPr>
        <w:t>Katra Puse nodrošina, ka nozīmīgi pakalpojumu sniedzēji ar pamatotiem, pārredzamiem un nediskriminējošiem noteikumiem savā teritorijā dara pieejamas savas galvenās iekārtas telesakaru tīklu nod</w:t>
      </w:r>
      <w:r>
        <w:rPr>
          <w:noProof/>
        </w:rPr>
        <w:t>rošinātajiem vai telesakaru pakalpojumu sniedzējiem, lai nodrošinātu publiskos telesakaru pakalpojumus, izņemot gadījumus, kad tas, pamatojoties uz savāktajiem faktiem un telesakaru regulatora veikto tirgus novērtējumu, nav nepieciešams, lai panāktu efektī</w:t>
      </w:r>
      <w:r>
        <w:rPr>
          <w:noProof/>
        </w:rPr>
        <w:t>vu konkurenci. Nozīmīgā piegādātāja galvenās iekārtas var ietvert tīkla elementus, nomātu sakaru kanālu pakalpojumus un saistītās iekārtas.</w:t>
      </w:r>
    </w:p>
    <w:p w:rsidR="003E022D" w:rsidRDefault="007D19D6">
      <w:pPr>
        <w:jc w:val="center"/>
        <w:rPr>
          <w:rFonts w:eastAsia="Arial" w:cs="Arial"/>
          <w:noProof/>
        </w:rPr>
      </w:pPr>
      <w:r>
        <w:rPr>
          <w:noProof/>
        </w:rPr>
        <w:t>SERVIN.5.30. pants. Ierobežoti resursi</w:t>
      </w:r>
    </w:p>
    <w:p w:rsidR="003E022D" w:rsidRDefault="007D19D6">
      <w:pPr>
        <w:numPr>
          <w:ilvl w:val="0"/>
          <w:numId w:val="643"/>
        </w:numPr>
        <w:ind w:left="0" w:firstLine="0"/>
        <w:rPr>
          <w:rFonts w:eastAsia="Arial" w:cs="Arial"/>
          <w:noProof/>
        </w:rPr>
      </w:pPr>
      <w:r>
        <w:rPr>
          <w:noProof/>
        </w:rPr>
        <w:t xml:space="preserve">Katra Puse nodrošina, ka ierobežotu resursu, t. sk. radiofrekvenču spektra, </w:t>
      </w:r>
      <w:r>
        <w:rPr>
          <w:noProof/>
        </w:rPr>
        <w:t>numuru un piekļuves tiesību, sadali un piešķiršanu veic atklāti, objektīvi, savlaicīgi, pārredzami, nediskriminējoši un samērīgi un ņemot vērā vispārējo interešu mērķus. Ar izmantošanas tiesībām saistīto procedūru, nosacījumu un pienākumu pamatā ir objektī</w:t>
      </w:r>
      <w:r>
        <w:rPr>
          <w:noProof/>
        </w:rPr>
        <w:t>vi, pārredzami, nediskriminējoši un samērīgi kritēriji.</w:t>
      </w:r>
    </w:p>
    <w:p w:rsidR="003E022D" w:rsidRDefault="007D19D6">
      <w:pPr>
        <w:numPr>
          <w:ilvl w:val="0"/>
          <w:numId w:val="643"/>
        </w:numPr>
        <w:ind w:left="0" w:firstLine="0"/>
        <w:rPr>
          <w:rFonts w:eastAsia="Arial" w:cs="Arial"/>
          <w:noProof/>
        </w:rPr>
      </w:pPr>
      <w:r>
        <w:rPr>
          <w:noProof/>
        </w:rPr>
        <w:t>Datus par piešķirto frekvenču joslu pašreizējo izmantošanu dara publiski pieejamus, bet nav nepieciešams sīkāk norādīt datus par radiofrekvenču spektru, kas piešķirts īpašām valsts vajadzībām.</w:t>
      </w:r>
    </w:p>
    <w:p w:rsidR="003E022D" w:rsidRDefault="007D19D6">
      <w:pPr>
        <w:numPr>
          <w:ilvl w:val="0"/>
          <w:numId w:val="643"/>
        </w:numPr>
        <w:ind w:left="0" w:firstLine="0"/>
        <w:rPr>
          <w:rFonts w:eastAsia="Arial" w:cs="Arial"/>
          <w:noProof/>
        </w:rPr>
      </w:pPr>
      <w:r>
        <w:rPr>
          <w:noProof/>
        </w:rPr>
        <w:t>Puses v</w:t>
      </w:r>
      <w:r>
        <w:rPr>
          <w:noProof/>
        </w:rPr>
        <w:t>ar izmantot uz tirgu balstītas pieejas, piemēram, piedāvājumu procedūras, lai piešķirtu spektru komerciālām vajadzībām.</w:t>
      </w:r>
    </w:p>
    <w:p w:rsidR="003E022D" w:rsidRDefault="007D19D6">
      <w:pPr>
        <w:numPr>
          <w:ilvl w:val="0"/>
          <w:numId w:val="643"/>
        </w:numPr>
        <w:ind w:left="0" w:firstLine="0"/>
        <w:rPr>
          <w:rFonts w:eastAsia="Arial" w:cs="Arial"/>
          <w:noProof/>
        </w:rPr>
      </w:pPr>
      <w:r>
        <w:rPr>
          <w:noProof/>
        </w:rPr>
        <w:t>Puses saprot, ka Puses pasākumi, ar kuriem sadala un piešķir spektru un pārvalda frekvences, paši par sevi nav nesaderīgi ar SERVIN.2.2.</w:t>
      </w:r>
      <w:r>
        <w:rPr>
          <w:noProof/>
        </w:rPr>
        <w:t xml:space="preserve"> [Piekļuve tirgum] un SERVIN.3.2. pantu [Piekļuve tirgum]. Katra Puse saglabā tiesības noteikt un piemērot spektra un frekvenču pārvaldības pasākumus, kas var ierobežot telesakaru pakalpojumu sniedzēju skaitu, ja tas tiek darīts saskaņā ar šo nolīgumu. Tas</w:t>
      </w:r>
      <w:r>
        <w:rPr>
          <w:noProof/>
        </w:rPr>
        <w:t xml:space="preserve"> ietver spēju sadalīt frekvenču joslas, ņemot vērā pašreizējās un nākotnes vajadzības un spektra pieejamību.</w:t>
      </w:r>
    </w:p>
    <w:p w:rsidR="003E022D" w:rsidRDefault="007D19D6">
      <w:pPr>
        <w:widowControl w:val="0"/>
        <w:jc w:val="center"/>
        <w:rPr>
          <w:rFonts w:eastAsia="Arial" w:cs="Arial"/>
          <w:noProof/>
        </w:rPr>
      </w:pPr>
      <w:r>
        <w:rPr>
          <w:noProof/>
        </w:rPr>
        <w:t>SERVIN.5.31. pants. Universālais pakalpojums</w:t>
      </w:r>
    </w:p>
    <w:p w:rsidR="003E022D" w:rsidRDefault="007D19D6">
      <w:pPr>
        <w:numPr>
          <w:ilvl w:val="0"/>
          <w:numId w:val="644"/>
        </w:numPr>
        <w:ind w:left="0" w:firstLine="0"/>
        <w:rPr>
          <w:rFonts w:eastAsia="Arial" w:cs="Arial"/>
          <w:noProof/>
        </w:rPr>
      </w:pPr>
      <w:r>
        <w:rPr>
          <w:noProof/>
        </w:rPr>
        <w:t>Katrai Pusei ir tiesības noteikt tās universālā pakalpojuma saistības, kuras tā vēlas saglabāt, un lem</w:t>
      </w:r>
      <w:r>
        <w:rPr>
          <w:noProof/>
        </w:rPr>
        <w:t>t par to darbības jomu un īstenošanu.</w:t>
      </w:r>
    </w:p>
    <w:p w:rsidR="003E022D" w:rsidRDefault="007D19D6">
      <w:pPr>
        <w:numPr>
          <w:ilvl w:val="0"/>
          <w:numId w:val="644"/>
        </w:numPr>
        <w:ind w:left="0" w:firstLine="0"/>
        <w:rPr>
          <w:rFonts w:eastAsia="Arial" w:cs="Arial"/>
          <w:noProof/>
        </w:rPr>
      </w:pPr>
      <w:r>
        <w:rPr>
          <w:noProof/>
        </w:rPr>
        <w:t>Katra Puse pārvalda universālā pakalpojuma saistības samērīgi, pārredzami, objektīvi un nediskriminējoši, kas ir neitrāli attiecībā uz konkurenci un nerada lielāku slogu, kā nepieciešams Puses definētajam universālā pa</w:t>
      </w:r>
      <w:r>
        <w:rPr>
          <w:noProof/>
        </w:rPr>
        <w:t>kalpojuma veidam.</w:t>
      </w:r>
    </w:p>
    <w:p w:rsidR="003E022D" w:rsidRDefault="007D19D6">
      <w:pPr>
        <w:numPr>
          <w:ilvl w:val="0"/>
          <w:numId w:val="644"/>
        </w:numPr>
        <w:ind w:left="0" w:firstLine="0"/>
        <w:rPr>
          <w:rFonts w:eastAsia="Arial" w:cs="Arial"/>
          <w:noProof/>
        </w:rPr>
      </w:pPr>
      <w:r>
        <w:rPr>
          <w:noProof/>
        </w:rPr>
        <w:t>Katra Puse nodrošina, ka universālā pakalpojuma sniedzēju izraudzīšanas procedūras ir pieejamas visiem publisko telesakaru tīklu nodrošinātajiem vai publisko telesakaru pakalpojumu sniedzējiem. Šāda izraudzīšana veicama, izmantojot efektī</w:t>
      </w:r>
      <w:r>
        <w:rPr>
          <w:noProof/>
        </w:rPr>
        <w:t>vu, pārredzamu un nediskriminējošu mehānismu.</w:t>
      </w:r>
    </w:p>
    <w:p w:rsidR="003E022D" w:rsidRDefault="007D19D6">
      <w:pPr>
        <w:numPr>
          <w:ilvl w:val="0"/>
          <w:numId w:val="644"/>
        </w:numPr>
        <w:ind w:left="0" w:firstLine="0"/>
        <w:rPr>
          <w:rFonts w:eastAsia="Arial" w:cs="Arial"/>
          <w:noProof/>
        </w:rPr>
      </w:pPr>
      <w:r>
        <w:rPr>
          <w:noProof/>
        </w:rPr>
        <w:t>Ja Puse nolemj piešķirt kompensāciju universālā pakalpojuma sniedzējiem, tā nodrošina, ka šāda kompensācija nepārsniedz universālā pakalpojuma pienākuma radītās neto izmaksas.</w:t>
      </w:r>
    </w:p>
    <w:p w:rsidR="003E022D" w:rsidRDefault="007D19D6">
      <w:pPr>
        <w:widowControl w:val="0"/>
        <w:jc w:val="center"/>
        <w:rPr>
          <w:rFonts w:eastAsia="Arial" w:cs="Arial"/>
          <w:noProof/>
        </w:rPr>
      </w:pPr>
      <w:r>
        <w:rPr>
          <w:noProof/>
        </w:rPr>
        <w:t>SERVIN.5.32. pants. Numuru pārnesa</w:t>
      </w:r>
      <w:r>
        <w:rPr>
          <w:noProof/>
        </w:rPr>
        <w:t>mība</w:t>
      </w:r>
    </w:p>
    <w:p w:rsidR="003E022D" w:rsidRDefault="007D19D6">
      <w:pPr>
        <w:widowControl w:val="0"/>
        <w:rPr>
          <w:rFonts w:eastAsia="Arial" w:cs="Arial"/>
          <w:noProof/>
        </w:rPr>
      </w:pPr>
      <w:r>
        <w:rPr>
          <w:noProof/>
        </w:rPr>
        <w:t>Katra Puse nodrošina, ka publisko telesakaru pakalpojumu sniedzēji ar saprātīgiem noteikumiem nodrošina numuru pārnesamību.</w:t>
      </w:r>
    </w:p>
    <w:p w:rsidR="003E022D" w:rsidRDefault="007D19D6">
      <w:pPr>
        <w:widowControl w:val="0"/>
        <w:jc w:val="center"/>
        <w:rPr>
          <w:rFonts w:eastAsia="Arial" w:cs="Arial"/>
          <w:noProof/>
          <w:color w:val="000000" w:themeColor="text1"/>
        </w:rPr>
      </w:pPr>
      <w:r>
        <w:rPr>
          <w:noProof/>
          <w:color w:val="000000" w:themeColor="text1"/>
        </w:rPr>
        <w:t>SERVIN.5.33. pants. Piekļuve atvērtam internetam</w:t>
      </w:r>
    </w:p>
    <w:p w:rsidR="003E022D" w:rsidRDefault="007D19D6">
      <w:pPr>
        <w:numPr>
          <w:ilvl w:val="0"/>
          <w:numId w:val="645"/>
        </w:numPr>
        <w:ind w:left="0" w:firstLine="0"/>
        <w:rPr>
          <w:rFonts w:eastAsia="Arial" w:cs="Arial"/>
          <w:noProof/>
        </w:rPr>
      </w:pPr>
      <w:r>
        <w:rPr>
          <w:noProof/>
        </w:rPr>
        <w:t xml:space="preserve">Katra Puse nodrošina, ka saskaņā ar tās normatīvajiem aktiem interneta </w:t>
      </w:r>
      <w:r>
        <w:rPr>
          <w:noProof/>
        </w:rPr>
        <w:t>piekļuves pakalpojumu sniedzēji ļauj minēto pakalpojumu lietotājiem:</w:t>
      </w:r>
    </w:p>
    <w:p w:rsidR="003E022D" w:rsidRDefault="007D19D6">
      <w:pPr>
        <w:numPr>
          <w:ilvl w:val="1"/>
          <w:numId w:val="646"/>
        </w:numPr>
        <w:ind w:left="567" w:hanging="567"/>
        <w:rPr>
          <w:rFonts w:eastAsia="Arial" w:cs="Arial"/>
          <w:noProof/>
        </w:rPr>
      </w:pPr>
      <w:r>
        <w:rPr>
          <w:noProof/>
        </w:rPr>
        <w:t>piekļūt informācijai un saturam un izplatīt to, izmantot un nodrošināt lietojumus un pakalpojumus pēc savas izvēles, ievērojot nediskriminējošus, saprātīgus, pārredzamus un samērīgus tīkl</w:t>
      </w:r>
      <w:r>
        <w:rPr>
          <w:noProof/>
        </w:rPr>
        <w:t>a pārvaldības pasākumus, un</w:t>
      </w:r>
    </w:p>
    <w:p w:rsidR="003E022D" w:rsidRDefault="007D19D6">
      <w:pPr>
        <w:numPr>
          <w:ilvl w:val="1"/>
          <w:numId w:val="646"/>
        </w:numPr>
        <w:ind w:left="567" w:hanging="567"/>
        <w:rPr>
          <w:rFonts w:eastAsia="Arial" w:cs="Arial"/>
          <w:noProof/>
        </w:rPr>
      </w:pPr>
      <w:r>
        <w:rPr>
          <w:noProof/>
        </w:rPr>
        <w:t>izmantot pašu izvēlētas ierīces ar noteikumu, ka šādas ierīces nekaitē citu ierīču, tīkla vai tīklā sniegto pakalpojumu drošībai.</w:t>
      </w:r>
    </w:p>
    <w:p w:rsidR="003E022D" w:rsidRDefault="007D19D6">
      <w:pPr>
        <w:numPr>
          <w:ilvl w:val="0"/>
          <w:numId w:val="645"/>
        </w:numPr>
        <w:ind w:left="0" w:firstLine="0"/>
        <w:rPr>
          <w:rFonts w:eastAsia="Arial" w:cs="Arial"/>
          <w:noProof/>
        </w:rPr>
      </w:pPr>
      <w:r>
        <w:rPr>
          <w:noProof/>
        </w:rPr>
        <w:t xml:space="preserve">Lielākai noteiktībai – nekas šajā pantā neliedz Pusēm pieņemt pasākumus, kuru mērķis ir aizsargāt </w:t>
      </w:r>
      <w:r>
        <w:rPr>
          <w:noProof/>
        </w:rPr>
        <w:t>sabiedrības drošību attiecībā uz lietotājiem tiešsaistē.</w:t>
      </w:r>
    </w:p>
    <w:p w:rsidR="003E022D" w:rsidRDefault="007D19D6">
      <w:pPr>
        <w:widowControl w:val="0"/>
        <w:jc w:val="center"/>
        <w:rPr>
          <w:rFonts w:eastAsia="Arial" w:cs="Arial"/>
          <w:noProof/>
        </w:rPr>
      </w:pPr>
      <w:r>
        <w:rPr>
          <w:noProof/>
        </w:rPr>
        <w:t>SERVIN.5.34. pants. Informācijas konfidencialitāte</w:t>
      </w:r>
    </w:p>
    <w:p w:rsidR="003E022D" w:rsidRDefault="007D19D6">
      <w:pPr>
        <w:numPr>
          <w:ilvl w:val="0"/>
          <w:numId w:val="647"/>
        </w:numPr>
        <w:ind w:left="0" w:firstLine="0"/>
        <w:rPr>
          <w:rFonts w:eastAsia="Arial" w:cs="Arial"/>
          <w:noProof/>
        </w:rPr>
      </w:pPr>
      <w:r>
        <w:rPr>
          <w:noProof/>
        </w:rPr>
        <w:t>Katra Puse nodrošina, ka pakalpojumu sniedzēji, kas sarunu procesā iegūst informāciju no cita pakalpojumu sniedzēja saskaņā ar SERVIN.5.24. pantu [S</w:t>
      </w:r>
      <w:r>
        <w:rPr>
          <w:noProof/>
        </w:rPr>
        <w:t>tarpsavienojums], SERVIN.5.25. pantu [Piekļuve un izmantošana], SERVIN.5.28. pantu [Starpsavienojums ar nozīmīgiem pakalpojumu sniedzējiem] un SERVIN.5.29. pantu [Piekļuve nozīmīgu piegādātāju galvenajām iekārtām], minēto informāciju izmanto vienīgi tam mē</w:t>
      </w:r>
      <w:r>
        <w:rPr>
          <w:noProof/>
        </w:rPr>
        <w:t>rķim, kādam tā sniegta, un vienmēr ievēro pārraidītās vai uzglabātās informācijas konfidencialitāti.</w:t>
      </w:r>
    </w:p>
    <w:p w:rsidR="003E022D" w:rsidRDefault="007D19D6">
      <w:pPr>
        <w:numPr>
          <w:ilvl w:val="0"/>
          <w:numId w:val="647"/>
        </w:numPr>
        <w:ind w:left="0" w:firstLine="0"/>
        <w:rPr>
          <w:rFonts w:eastAsia="Arial" w:cs="Arial"/>
          <w:noProof/>
        </w:rPr>
      </w:pPr>
      <w:r>
        <w:rPr>
          <w:noProof/>
        </w:rPr>
        <w:t>Katra Puse nodrošina publisko telesakaru tīklu vai publisko telesakaru pakalpojumu izmantošanas gaitā pārraidītās informācijas un ar to saistītās datu plūs</w:t>
      </w:r>
      <w:r>
        <w:rPr>
          <w:noProof/>
        </w:rPr>
        <w:t>mas datu konfidencialitāti, ar nosacījumu, ka šajā nolūkā piemērotie pasākumi nerada patvaļīgu vai neattaisnojamu diskrimināciju vai slēptus pakalpojumu tirdzniecības ierobežojumus.</w:t>
      </w:r>
    </w:p>
    <w:p w:rsidR="003E022D" w:rsidRDefault="007D19D6">
      <w:pPr>
        <w:widowControl w:val="0"/>
        <w:jc w:val="center"/>
        <w:rPr>
          <w:rFonts w:eastAsia="Arial" w:cs="Arial"/>
          <w:noProof/>
        </w:rPr>
      </w:pPr>
      <w:r>
        <w:rPr>
          <w:noProof/>
        </w:rPr>
        <w:t>SERVIN.5.35. pants. Ārvalstu līdzdalība</w:t>
      </w:r>
    </w:p>
    <w:p w:rsidR="003E022D" w:rsidRDefault="007D19D6">
      <w:pPr>
        <w:widowControl w:val="0"/>
        <w:rPr>
          <w:rFonts w:cs="Arial"/>
          <w:noProof/>
        </w:rPr>
      </w:pPr>
      <w:r>
        <w:rPr>
          <w:noProof/>
        </w:rPr>
        <w:t xml:space="preserve">Attiecībā uz telesakaru tīklu vai </w:t>
      </w:r>
      <w:r>
        <w:rPr>
          <w:noProof/>
        </w:rPr>
        <w:t>telesakaru pakalpojumu nodrošināšanu, iedibinot uzņēmumu, un neatkarīgi no SERVIN.2.7. panta [Neatbilstoši pasākumi un izņēmumi] Puse neizvirza kopuzņēmuma veidošanas prasības vai neierobežo ārvalstu kapitāla līdzdalību, nosakot ārvalstu akciju daļas vai a</w:t>
      </w:r>
      <w:r>
        <w:rPr>
          <w:noProof/>
        </w:rPr>
        <w:t>tsevišķu vai kopējo ārvalstu investīciju maksimālās procentuālās daļas limitus.</w:t>
      </w:r>
    </w:p>
    <w:p w:rsidR="003E022D" w:rsidRDefault="007D19D6">
      <w:pPr>
        <w:widowControl w:val="0"/>
        <w:jc w:val="center"/>
        <w:rPr>
          <w:rFonts w:cs="Arial"/>
          <w:noProof/>
        </w:rPr>
      </w:pPr>
      <w:r>
        <w:rPr>
          <w:noProof/>
        </w:rPr>
        <w:t>SERVIN.5.36. pants. Starptautisko mobilo sakaru viesabonēšana</w:t>
      </w:r>
      <w:r>
        <w:rPr>
          <w:rFonts w:cs="Arial"/>
          <w:noProof/>
          <w:vertAlign w:val="superscript"/>
        </w:rPr>
        <w:footnoteReference w:id="28"/>
      </w:r>
    </w:p>
    <w:p w:rsidR="003E022D" w:rsidRDefault="007D19D6">
      <w:pPr>
        <w:numPr>
          <w:ilvl w:val="0"/>
          <w:numId w:val="648"/>
        </w:numPr>
        <w:ind w:left="0" w:firstLine="0"/>
        <w:rPr>
          <w:rFonts w:cs="Arial"/>
          <w:noProof/>
        </w:rPr>
      </w:pPr>
      <w:r>
        <w:rPr>
          <w:noProof/>
        </w:rPr>
        <w:t>Puses cenšas sadarboties, lai veicinātu pārredzamus un samērīgus tarifus starptautiskajiem mobilo sakaru viesabon</w:t>
      </w:r>
      <w:r>
        <w:rPr>
          <w:noProof/>
        </w:rPr>
        <w:t>ēšanas pakalpojumiem tādā veidā, kas var veicināt tirdzniecības apjoma palielināšanos starp Pusēm un paaugstināt patērētāju labklājības līmeni.</w:t>
      </w:r>
    </w:p>
    <w:p w:rsidR="003E022D" w:rsidRDefault="007D19D6">
      <w:pPr>
        <w:numPr>
          <w:ilvl w:val="0"/>
          <w:numId w:val="648"/>
        </w:numPr>
        <w:ind w:left="0" w:firstLine="0"/>
        <w:rPr>
          <w:rFonts w:cs="Arial"/>
          <w:noProof/>
        </w:rPr>
      </w:pPr>
      <w:r>
        <w:rPr>
          <w:noProof/>
        </w:rPr>
        <w:t>Puses var nolemt veikt pasākumus, lai palielinātu pārredzamību un konkurenci attiecībā uz starptautisko mobilo s</w:t>
      </w:r>
      <w:r>
        <w:rPr>
          <w:noProof/>
        </w:rPr>
        <w:t>akaru viesabonēšanas tarifiem un tehnoloģiju alternatīvām viesabonēšanas pakalpojumiem, piemēram:</w:t>
      </w:r>
    </w:p>
    <w:p w:rsidR="003E022D" w:rsidRDefault="007D19D6">
      <w:pPr>
        <w:numPr>
          <w:ilvl w:val="1"/>
          <w:numId w:val="649"/>
        </w:numPr>
        <w:ind w:left="567" w:hanging="567"/>
        <w:rPr>
          <w:rFonts w:cs="Arial"/>
          <w:noProof/>
        </w:rPr>
      </w:pPr>
      <w:r>
        <w:rPr>
          <w:noProof/>
        </w:rPr>
        <w:t>nodrošinot to, ka informācija par mazumtirdzniecības tarifiem ir viegli pieejama galalietotājiem, un</w:t>
      </w:r>
    </w:p>
    <w:p w:rsidR="003E022D" w:rsidRDefault="007D19D6">
      <w:pPr>
        <w:numPr>
          <w:ilvl w:val="1"/>
          <w:numId w:val="649"/>
        </w:numPr>
        <w:ind w:left="567" w:hanging="567"/>
        <w:rPr>
          <w:rFonts w:cs="Arial"/>
          <w:noProof/>
        </w:rPr>
      </w:pPr>
      <w:r>
        <w:rPr>
          <w:noProof/>
        </w:rPr>
        <w:t>samazinot šķēršļus, kas traucē izmantot tehnoloģisko alte</w:t>
      </w:r>
      <w:r>
        <w:rPr>
          <w:noProof/>
        </w:rPr>
        <w:t>rnatīvas viesabonēšanai, ar kurām vienas Puses galalietotāji, apmeklējot otras Puses teritoriju, var piekļūt telesakaru pakalpojumiem, izmantojot ierīci pēc savas izvēles.</w:t>
      </w:r>
    </w:p>
    <w:p w:rsidR="003E022D" w:rsidRDefault="007D19D6">
      <w:pPr>
        <w:numPr>
          <w:ilvl w:val="0"/>
          <w:numId w:val="648"/>
        </w:numPr>
        <w:ind w:left="0" w:firstLine="0"/>
        <w:rPr>
          <w:rFonts w:cs="Arial"/>
          <w:noProof/>
        </w:rPr>
      </w:pPr>
      <w:r>
        <w:rPr>
          <w:noProof/>
        </w:rPr>
        <w:t>Katra Puse mudina publisko telesakaru pakalpojumu sniedzējus Puses teritorijā publis</w:t>
      </w:r>
      <w:r>
        <w:rPr>
          <w:noProof/>
        </w:rPr>
        <w:t>kot informāciju par mazumtirdzniecības tarifiem starptautiskajiem mobilo sakaru viesabonēšanas pakalpojumiem, ko par balss, datu un īsziņu pakalpojumiem piedāvā galalietotājiem, tiem viesojoties otras Puses teritorijā.</w:t>
      </w:r>
    </w:p>
    <w:p w:rsidR="003E022D" w:rsidRDefault="007D19D6">
      <w:pPr>
        <w:numPr>
          <w:ilvl w:val="0"/>
          <w:numId w:val="648"/>
        </w:numPr>
        <w:ind w:left="0" w:firstLine="0"/>
        <w:rPr>
          <w:rFonts w:cs="Arial"/>
          <w:noProof/>
        </w:rPr>
      </w:pPr>
      <w:r>
        <w:rPr>
          <w:noProof/>
        </w:rPr>
        <w:t>Nekas šajā pantā neprasa, lai Puse re</w:t>
      </w:r>
      <w:r>
        <w:rPr>
          <w:noProof/>
        </w:rPr>
        <w:t>gulētu starptautisko mobilo sakaru viesabonēšanas pakalpojumu tarifus vai nosacījumus.</w:t>
      </w:r>
    </w:p>
    <w:p w:rsidR="003E022D" w:rsidRDefault="007D19D6">
      <w:pPr>
        <w:jc w:val="center"/>
        <w:rPr>
          <w:rFonts w:cs="Arial"/>
          <w:i/>
          <w:noProof/>
          <w:lang w:val="fr-BE"/>
        </w:rPr>
      </w:pPr>
      <w:r>
        <w:rPr>
          <w:i/>
          <w:noProof/>
          <w:lang w:val="fr-BE"/>
        </w:rPr>
        <w:t>5. iedaļa. Finanšu pakalpojumi</w:t>
      </w:r>
    </w:p>
    <w:p w:rsidR="003E022D" w:rsidRDefault="007D19D6">
      <w:pPr>
        <w:jc w:val="center"/>
        <w:rPr>
          <w:rFonts w:cs="Arial"/>
          <w:noProof/>
        </w:rPr>
      </w:pPr>
      <w:r>
        <w:rPr>
          <w:noProof/>
          <w:lang w:val="fr-BE"/>
        </w:rPr>
        <w:t xml:space="preserve">SERVIN.5.37. pants. </w:t>
      </w:r>
      <w:r>
        <w:rPr>
          <w:noProof/>
        </w:rPr>
        <w:t xml:space="preserve">Darbības joma </w:t>
      </w:r>
    </w:p>
    <w:p w:rsidR="003E022D" w:rsidRDefault="007D19D6">
      <w:pPr>
        <w:numPr>
          <w:ilvl w:val="0"/>
          <w:numId w:val="650"/>
        </w:numPr>
        <w:ind w:left="0" w:firstLine="0"/>
        <w:rPr>
          <w:rFonts w:cs="Arial"/>
          <w:noProof/>
        </w:rPr>
      </w:pPr>
      <w:r>
        <w:rPr>
          <w:noProof/>
        </w:rPr>
        <w:t xml:space="preserve">Šo iedaļu papildus šīs sadaļas 1., 2., 3. un 4. nodaļai un šīs nodaļas 1. un 2. iedaļai piemēro Puses </w:t>
      </w:r>
      <w:r>
        <w:rPr>
          <w:noProof/>
        </w:rPr>
        <w:t>pasākumiem, kas skar finanšu pakalpojumu sniegšanu.</w:t>
      </w:r>
    </w:p>
    <w:p w:rsidR="003E022D" w:rsidRDefault="007D19D6">
      <w:pPr>
        <w:numPr>
          <w:ilvl w:val="0"/>
          <w:numId w:val="650"/>
        </w:numPr>
        <w:ind w:left="0" w:firstLine="0"/>
        <w:rPr>
          <w:rFonts w:cs="Arial"/>
          <w:noProof/>
        </w:rPr>
      </w:pPr>
      <w:r>
        <w:rPr>
          <w:noProof/>
        </w:rPr>
        <w:t>Šajā iedaļā jēdziens “darbības, ko veic, īstenojot valsts pilnvaras”, kas minētas SERVIN.1.2. panta [Definīcijas] f) punktā, ir</w:t>
      </w:r>
      <w:r>
        <w:rPr>
          <w:rStyle w:val="FootnoteReference"/>
          <w:rFonts w:cs="Arial"/>
          <w:noProof/>
        </w:rPr>
        <w:footnoteReference w:id="29"/>
      </w:r>
      <w:r>
        <w:rPr>
          <w:noProof/>
        </w:rPr>
        <w:t>:</w:t>
      </w:r>
    </w:p>
    <w:p w:rsidR="003E022D" w:rsidRDefault="007D19D6">
      <w:pPr>
        <w:numPr>
          <w:ilvl w:val="1"/>
          <w:numId w:val="651"/>
        </w:numPr>
        <w:ind w:left="567" w:hanging="567"/>
        <w:rPr>
          <w:rFonts w:cs="Arial"/>
          <w:noProof/>
        </w:rPr>
      </w:pPr>
      <w:r>
        <w:rPr>
          <w:noProof/>
        </w:rPr>
        <w:t xml:space="preserve">centrālās bankas vai monetārās iestādes vai jebkuras citas publiskas </w:t>
      </w:r>
      <w:r>
        <w:rPr>
          <w:noProof/>
        </w:rPr>
        <w:t>struktūras veiktas darbības saskaņā ar monetāro vai valūtas maiņas kursa politiku;</w:t>
      </w:r>
    </w:p>
    <w:p w:rsidR="003E022D" w:rsidRDefault="007D19D6">
      <w:pPr>
        <w:numPr>
          <w:ilvl w:val="1"/>
          <w:numId w:val="651"/>
        </w:numPr>
        <w:ind w:left="567" w:hanging="567"/>
        <w:rPr>
          <w:rFonts w:cs="Arial"/>
          <w:noProof/>
        </w:rPr>
      </w:pPr>
      <w:r>
        <w:rPr>
          <w:noProof/>
        </w:rPr>
        <w:t>darbības, kas ir sociālā nodrošinājuma vai valsts pensionēšanās plānu likumos noteiktās sistēmas daļa, un</w:t>
      </w:r>
    </w:p>
    <w:p w:rsidR="003E022D" w:rsidRDefault="007D19D6">
      <w:pPr>
        <w:numPr>
          <w:ilvl w:val="1"/>
          <w:numId w:val="651"/>
        </w:numPr>
        <w:ind w:left="567" w:hanging="567"/>
        <w:rPr>
          <w:rFonts w:cs="Arial"/>
          <w:noProof/>
        </w:rPr>
      </w:pPr>
      <w:r>
        <w:rPr>
          <w:noProof/>
        </w:rPr>
        <w:t>citas darbības, ko veic publiska struktūra uz Puses vai tās publisk</w:t>
      </w:r>
      <w:r>
        <w:rPr>
          <w:noProof/>
        </w:rPr>
        <w:t>u struktūru rēķina vai ar to garantiju, vai par to finanšu līdzekļiem.</w:t>
      </w:r>
    </w:p>
    <w:p w:rsidR="003E022D" w:rsidRDefault="007D19D6">
      <w:pPr>
        <w:numPr>
          <w:ilvl w:val="0"/>
          <w:numId w:val="650"/>
        </w:numPr>
        <w:ind w:left="0" w:firstLine="0"/>
        <w:rPr>
          <w:rFonts w:cs="Arial"/>
          <w:noProof/>
        </w:rPr>
      </w:pPr>
      <w:r>
        <w:rPr>
          <w:noProof/>
        </w:rPr>
        <w:t>Lai šai iedaļai piemērotu SERVIN.1.2. panta [Definīcijas] f) punktu, ja Puse atļauj kādu no darbībām, kuras minētas šā panta 2. punkta b) vai c) apakšpunktā, veikt saviem finanšu pakalp</w:t>
      </w:r>
      <w:r>
        <w:rPr>
          <w:noProof/>
        </w:rPr>
        <w:t>ojumu sniedzējiem, konkurējot ar valsts iestādi vai finanšu pakalpojumu sniedzēju, “darbības, ko veic, īstenojot valsts pilnvaras” neietver minētās darbības.</w:t>
      </w:r>
    </w:p>
    <w:p w:rsidR="003E022D" w:rsidRDefault="007D19D6">
      <w:pPr>
        <w:numPr>
          <w:ilvl w:val="0"/>
          <w:numId w:val="650"/>
        </w:numPr>
        <w:ind w:left="0" w:firstLine="0"/>
        <w:rPr>
          <w:rFonts w:cs="Arial"/>
          <w:noProof/>
        </w:rPr>
      </w:pPr>
      <w:r>
        <w:rPr>
          <w:noProof/>
        </w:rPr>
        <w:t>SERVIN.1.2. panta [Definīcijas] a) punktu nepiemēro pakalpojumiem, uz kuriem attiecas šī iedaļa.</w:t>
      </w:r>
    </w:p>
    <w:p w:rsidR="003E022D" w:rsidRDefault="007D19D6">
      <w:pPr>
        <w:jc w:val="center"/>
        <w:rPr>
          <w:rFonts w:cs="Arial"/>
          <w:noProof/>
        </w:rPr>
      </w:pPr>
      <w:r>
        <w:rPr>
          <w:noProof/>
        </w:rPr>
        <w:t>S</w:t>
      </w:r>
      <w:r>
        <w:rPr>
          <w:noProof/>
        </w:rPr>
        <w:t>ERVIN.5.38. pants. Definīcijas</w:t>
      </w:r>
    </w:p>
    <w:p w:rsidR="003E022D" w:rsidRDefault="007D19D6">
      <w:pPr>
        <w:rPr>
          <w:rFonts w:cstheme="minorHAnsi"/>
          <w:noProof/>
        </w:rPr>
      </w:pPr>
      <w:r>
        <w:rPr>
          <w:noProof/>
        </w:rPr>
        <w:t>Šajā sadaļā:</w:t>
      </w:r>
    </w:p>
    <w:p w:rsidR="003E022D" w:rsidRDefault="007D19D6">
      <w:pPr>
        <w:numPr>
          <w:ilvl w:val="1"/>
          <w:numId w:val="652"/>
        </w:numPr>
        <w:ind w:left="567" w:hanging="567"/>
        <w:rPr>
          <w:rFonts w:cs="Arial"/>
          <w:noProof/>
        </w:rPr>
      </w:pPr>
      <w:r>
        <w:rPr>
          <w:noProof/>
        </w:rPr>
        <w:t>“finanšu pakalpojums” ir finansiāla rakstura pakalpojums, ko piedāvā kādas Puses finanšu pakalpojumu sniedzējs un kas ietver šādas darbības:</w:t>
      </w:r>
    </w:p>
    <w:p w:rsidR="003E022D" w:rsidRDefault="007D19D6">
      <w:pPr>
        <w:ind w:left="1276" w:hanging="567"/>
        <w:rPr>
          <w:rFonts w:cs="Arial"/>
          <w:noProof/>
        </w:rPr>
      </w:pPr>
      <w:r>
        <w:rPr>
          <w:noProof/>
        </w:rPr>
        <w:t>i)</w:t>
      </w:r>
      <w:r>
        <w:rPr>
          <w:noProof/>
        </w:rPr>
        <w:tab/>
        <w:t xml:space="preserve">apdrošināšanu un ar to saistītos pakalpojumus: </w:t>
      </w:r>
    </w:p>
    <w:p w:rsidR="003E022D" w:rsidRDefault="007D19D6">
      <w:pPr>
        <w:ind w:left="1440"/>
        <w:rPr>
          <w:rFonts w:cs="Arial"/>
          <w:noProof/>
        </w:rPr>
      </w:pPr>
      <w:r>
        <w:rPr>
          <w:noProof/>
        </w:rPr>
        <w:t>A)</w:t>
      </w:r>
      <w:r>
        <w:rPr>
          <w:noProof/>
        </w:rPr>
        <w:tab/>
        <w:t>tiešo apdrošināša</w:t>
      </w:r>
      <w:r>
        <w:rPr>
          <w:noProof/>
        </w:rPr>
        <w:t xml:space="preserve">nu (t. sk. līdzapdrošināšanu): </w:t>
      </w:r>
    </w:p>
    <w:p w:rsidR="003E022D" w:rsidRDefault="007D19D6">
      <w:pPr>
        <w:ind w:left="2160"/>
        <w:rPr>
          <w:rFonts w:cs="Arial"/>
          <w:noProof/>
        </w:rPr>
      </w:pPr>
      <w:r>
        <w:rPr>
          <w:noProof/>
        </w:rPr>
        <w:t>aa)</w:t>
      </w:r>
      <w:r>
        <w:rPr>
          <w:noProof/>
        </w:rPr>
        <w:tab/>
        <w:t xml:space="preserve">dzīvības apdrošināšanu; </w:t>
      </w:r>
    </w:p>
    <w:p w:rsidR="003E022D" w:rsidRDefault="007D19D6">
      <w:pPr>
        <w:ind w:left="2160"/>
        <w:rPr>
          <w:rFonts w:cs="Arial"/>
          <w:noProof/>
        </w:rPr>
      </w:pPr>
      <w:r>
        <w:rPr>
          <w:noProof/>
        </w:rPr>
        <w:t>bb)</w:t>
      </w:r>
      <w:r>
        <w:rPr>
          <w:noProof/>
        </w:rPr>
        <w:tab/>
        <w:t xml:space="preserve">nedzīvības apdrošināšanu; </w:t>
      </w:r>
    </w:p>
    <w:p w:rsidR="003E022D" w:rsidRDefault="007D19D6">
      <w:pPr>
        <w:ind w:left="1440"/>
        <w:rPr>
          <w:rFonts w:cs="Arial"/>
          <w:noProof/>
        </w:rPr>
      </w:pPr>
      <w:r>
        <w:rPr>
          <w:noProof/>
        </w:rPr>
        <w:t>B)</w:t>
      </w:r>
      <w:r>
        <w:rPr>
          <w:noProof/>
        </w:rPr>
        <w:tab/>
        <w:t xml:space="preserve">pārapdrošināšanu un retrocesiju; </w:t>
      </w:r>
    </w:p>
    <w:p w:rsidR="003E022D" w:rsidRDefault="007D19D6">
      <w:pPr>
        <w:ind w:left="1440"/>
        <w:rPr>
          <w:rFonts w:cs="Arial"/>
          <w:noProof/>
        </w:rPr>
      </w:pPr>
      <w:r>
        <w:rPr>
          <w:noProof/>
        </w:rPr>
        <w:t>C)</w:t>
      </w:r>
      <w:r>
        <w:rPr>
          <w:noProof/>
        </w:rPr>
        <w:tab/>
        <w:t>apdrošināšanas starpniecību, piemēram, apdrošināšanas brokeru un aģentūru darbību un</w:t>
      </w:r>
    </w:p>
    <w:p w:rsidR="003E022D" w:rsidRDefault="007D19D6">
      <w:pPr>
        <w:ind w:left="2160" w:hanging="720"/>
        <w:rPr>
          <w:rFonts w:cs="Arial"/>
          <w:noProof/>
        </w:rPr>
      </w:pPr>
      <w:r>
        <w:rPr>
          <w:noProof/>
        </w:rPr>
        <w:t>D)</w:t>
      </w:r>
      <w:r>
        <w:rPr>
          <w:noProof/>
        </w:rPr>
        <w:tab/>
        <w:t>apdrošināšanas palīgpakalpojumus, pi</w:t>
      </w:r>
      <w:r>
        <w:rPr>
          <w:noProof/>
        </w:rPr>
        <w:t>emēram, konsultācijas, aktuāra pakalpojumus, riska novērtēšanas un pretenziju izskatīšanas pakalpojumus;</w:t>
      </w:r>
    </w:p>
    <w:p w:rsidR="003E022D" w:rsidRDefault="007D19D6">
      <w:pPr>
        <w:ind w:left="1276" w:hanging="567"/>
        <w:rPr>
          <w:rFonts w:cs="Arial"/>
          <w:noProof/>
        </w:rPr>
      </w:pPr>
      <w:r>
        <w:rPr>
          <w:noProof/>
        </w:rPr>
        <w:t>ii)</w:t>
      </w:r>
      <w:r>
        <w:rPr>
          <w:noProof/>
        </w:rPr>
        <w:tab/>
        <w:t xml:space="preserve">banku un citi finanšu pakalpojumus (izņemot apdrošināšanu): </w:t>
      </w:r>
    </w:p>
    <w:p w:rsidR="003E022D" w:rsidRDefault="007D19D6">
      <w:pPr>
        <w:ind w:left="1440"/>
        <w:rPr>
          <w:rFonts w:cs="Arial"/>
          <w:noProof/>
        </w:rPr>
      </w:pPr>
      <w:r>
        <w:rPr>
          <w:noProof/>
        </w:rPr>
        <w:t>A)</w:t>
      </w:r>
      <w:r>
        <w:rPr>
          <w:noProof/>
        </w:rPr>
        <w:tab/>
        <w:t>noguldījumu un citu atmaksājamu naudas līdzekļu pieņemšanu no iedzīvotājiem;</w:t>
      </w:r>
    </w:p>
    <w:p w:rsidR="003E022D" w:rsidRDefault="007D19D6">
      <w:pPr>
        <w:ind w:left="2160" w:hanging="720"/>
        <w:rPr>
          <w:rFonts w:cs="Arial"/>
          <w:noProof/>
        </w:rPr>
      </w:pPr>
      <w:r>
        <w:rPr>
          <w:noProof/>
        </w:rPr>
        <w:t>B)</w:t>
      </w:r>
      <w:r>
        <w:rPr>
          <w:noProof/>
        </w:rPr>
        <w:tab/>
        <w:t>vis</w:t>
      </w:r>
      <w:r>
        <w:rPr>
          <w:noProof/>
        </w:rPr>
        <w:t>u veidu aizdevumus, tai skaitā patēriņa kredītus, hipotekāros kredītus, faktoringu un komercdarījumu finansēšanu;</w:t>
      </w:r>
    </w:p>
    <w:p w:rsidR="003E022D" w:rsidRDefault="007D19D6">
      <w:pPr>
        <w:ind w:left="1440"/>
        <w:rPr>
          <w:rFonts w:cs="Arial"/>
          <w:noProof/>
        </w:rPr>
      </w:pPr>
      <w:r>
        <w:rPr>
          <w:noProof/>
        </w:rPr>
        <w:t>C)</w:t>
      </w:r>
      <w:r>
        <w:rPr>
          <w:noProof/>
        </w:rPr>
        <w:tab/>
        <w:t xml:space="preserve">finanšu nomu; </w:t>
      </w:r>
    </w:p>
    <w:p w:rsidR="003E022D" w:rsidRDefault="007D19D6">
      <w:pPr>
        <w:ind w:left="2160" w:hanging="720"/>
        <w:rPr>
          <w:rFonts w:cs="Arial"/>
          <w:noProof/>
        </w:rPr>
      </w:pPr>
      <w:r>
        <w:rPr>
          <w:noProof/>
        </w:rPr>
        <w:t>D)</w:t>
      </w:r>
      <w:r>
        <w:rPr>
          <w:noProof/>
        </w:rPr>
        <w:tab/>
        <w:t xml:space="preserve">visus maksājumus un naudas pārskaitījumu pakalpojumus, ietverot kredītkartes, maksājumu kartes un debetkartes, ceļotāju </w:t>
      </w:r>
      <w:r>
        <w:rPr>
          <w:noProof/>
        </w:rPr>
        <w:t>čekus un bankas pārvedu vekseļus;</w:t>
      </w:r>
    </w:p>
    <w:p w:rsidR="003E022D" w:rsidRDefault="007D19D6">
      <w:pPr>
        <w:ind w:left="2160" w:hanging="720"/>
        <w:rPr>
          <w:rFonts w:cs="Arial"/>
          <w:noProof/>
        </w:rPr>
      </w:pPr>
      <w:r>
        <w:rPr>
          <w:noProof/>
        </w:rPr>
        <w:t>E)</w:t>
      </w:r>
      <w:r>
        <w:rPr>
          <w:noProof/>
        </w:rPr>
        <w:tab/>
        <w:t>garantijas un saistības;</w:t>
      </w:r>
    </w:p>
    <w:p w:rsidR="003E022D" w:rsidRDefault="007D19D6">
      <w:pPr>
        <w:ind w:left="2160" w:hanging="720"/>
        <w:rPr>
          <w:rFonts w:cs="Arial"/>
          <w:noProof/>
        </w:rPr>
      </w:pPr>
      <w:r>
        <w:rPr>
          <w:noProof/>
        </w:rPr>
        <w:t>F)</w:t>
      </w:r>
      <w:r>
        <w:rPr>
          <w:noProof/>
        </w:rPr>
        <w:tab/>
        <w:t xml:space="preserve">tirdzniecību savā vārdā vai klientu vārdā biržā vai ārpusbiržas tirgū, vai citādi ar turpmāk minēto: </w:t>
      </w:r>
    </w:p>
    <w:p w:rsidR="003E022D" w:rsidRDefault="007D19D6">
      <w:pPr>
        <w:numPr>
          <w:ilvl w:val="4"/>
          <w:numId w:val="579"/>
        </w:numPr>
        <w:spacing w:after="200" w:line="276" w:lineRule="auto"/>
        <w:ind w:left="2880" w:hanging="720"/>
        <w:jc w:val="left"/>
        <w:rPr>
          <w:rFonts w:cs="Arial"/>
          <w:noProof/>
        </w:rPr>
      </w:pPr>
      <w:r>
        <w:rPr>
          <w:noProof/>
        </w:rPr>
        <w:t>naudas tirgus instrumentiem (ieskaitot čekus, vekseļus, noguldījumu apliecības);</w:t>
      </w:r>
    </w:p>
    <w:p w:rsidR="003E022D" w:rsidRDefault="007D19D6">
      <w:pPr>
        <w:numPr>
          <w:ilvl w:val="4"/>
          <w:numId w:val="579"/>
        </w:numPr>
        <w:spacing w:after="200" w:line="276" w:lineRule="auto"/>
        <w:ind w:left="2880" w:hanging="720"/>
        <w:jc w:val="left"/>
        <w:rPr>
          <w:rFonts w:cs="Arial"/>
          <w:noProof/>
        </w:rPr>
      </w:pPr>
      <w:r>
        <w:rPr>
          <w:noProof/>
        </w:rPr>
        <w:t>ārvalstu</w:t>
      </w:r>
      <w:r>
        <w:rPr>
          <w:noProof/>
        </w:rPr>
        <w:t xml:space="preserve"> valūtu;</w:t>
      </w:r>
    </w:p>
    <w:p w:rsidR="003E022D" w:rsidRDefault="007D19D6">
      <w:pPr>
        <w:numPr>
          <w:ilvl w:val="4"/>
          <w:numId w:val="579"/>
        </w:numPr>
        <w:spacing w:after="200" w:line="276" w:lineRule="auto"/>
        <w:ind w:left="2880" w:hanging="720"/>
        <w:jc w:val="left"/>
        <w:rPr>
          <w:rFonts w:cs="Arial"/>
          <w:noProof/>
        </w:rPr>
      </w:pPr>
      <w:r>
        <w:rPr>
          <w:noProof/>
        </w:rPr>
        <w:t xml:space="preserve">atvasinātiem instrumentiem, t. sk., bet ne tikai, standartizētiem nākotnes līgumiem un iespēju līgumiem; </w:t>
      </w:r>
    </w:p>
    <w:p w:rsidR="003E022D" w:rsidRDefault="007D19D6">
      <w:pPr>
        <w:numPr>
          <w:ilvl w:val="4"/>
          <w:numId w:val="579"/>
        </w:numPr>
        <w:spacing w:after="200" w:line="276" w:lineRule="auto"/>
        <w:ind w:left="2880" w:hanging="720"/>
        <w:jc w:val="left"/>
        <w:rPr>
          <w:rFonts w:cs="Arial"/>
          <w:noProof/>
        </w:rPr>
      </w:pPr>
      <w:r>
        <w:rPr>
          <w:noProof/>
        </w:rPr>
        <w:t>valūtas maiņas kursa un procentu likmju instrumentiem, t. sk. ar tādiem produktiem kā, piemēram, mijmaiņas darījumi, nestandartizēti procentu</w:t>
      </w:r>
      <w:r>
        <w:rPr>
          <w:noProof/>
        </w:rPr>
        <w:t xml:space="preserve"> likmes nākotnes līgumi; </w:t>
      </w:r>
    </w:p>
    <w:p w:rsidR="003E022D" w:rsidRDefault="007D19D6">
      <w:pPr>
        <w:numPr>
          <w:ilvl w:val="4"/>
          <w:numId w:val="579"/>
        </w:numPr>
        <w:spacing w:after="200" w:line="276" w:lineRule="auto"/>
        <w:ind w:left="2880" w:hanging="720"/>
        <w:jc w:val="left"/>
        <w:rPr>
          <w:rFonts w:cs="Arial"/>
          <w:noProof/>
        </w:rPr>
      </w:pPr>
      <w:r>
        <w:rPr>
          <w:noProof/>
        </w:rPr>
        <w:t>pārvedamiem vērtspapīriem un</w:t>
      </w:r>
    </w:p>
    <w:p w:rsidR="003E022D" w:rsidRDefault="007D19D6">
      <w:pPr>
        <w:numPr>
          <w:ilvl w:val="4"/>
          <w:numId w:val="579"/>
        </w:numPr>
        <w:spacing w:after="200" w:line="276" w:lineRule="auto"/>
        <w:ind w:left="2880" w:hanging="720"/>
        <w:jc w:val="left"/>
        <w:rPr>
          <w:rFonts w:cs="Arial"/>
          <w:noProof/>
        </w:rPr>
      </w:pPr>
      <w:r>
        <w:rPr>
          <w:noProof/>
        </w:rPr>
        <w:t xml:space="preserve">citiem apgrozāmiem instrumentiem un finanšu aktīviem, ietverot dārgmetālus; </w:t>
      </w:r>
    </w:p>
    <w:p w:rsidR="003E022D" w:rsidRDefault="007D19D6">
      <w:pPr>
        <w:ind w:left="2160" w:hanging="720"/>
        <w:rPr>
          <w:rFonts w:cs="Arial"/>
          <w:noProof/>
        </w:rPr>
      </w:pPr>
      <w:r>
        <w:rPr>
          <w:noProof/>
        </w:rPr>
        <w:t>G)</w:t>
      </w:r>
      <w:r>
        <w:rPr>
          <w:noProof/>
        </w:rPr>
        <w:tab/>
        <w:t>dalību visu veidu vērtspapīru emisijā, t. sk. riska parakstīšanu un izvietošanu, darbojoties kā aģentam (publiski vai pri</w:t>
      </w:r>
      <w:r>
        <w:rPr>
          <w:noProof/>
        </w:rPr>
        <w:t>vāti), un pakalpojumu sniegšanu saistībā ar šādu emisiju;</w:t>
      </w:r>
    </w:p>
    <w:p w:rsidR="003E022D" w:rsidRDefault="007D19D6">
      <w:pPr>
        <w:ind w:left="2160" w:hanging="720"/>
        <w:rPr>
          <w:rFonts w:cs="Arial"/>
          <w:noProof/>
        </w:rPr>
      </w:pPr>
      <w:r>
        <w:rPr>
          <w:noProof/>
        </w:rPr>
        <w:t>H)</w:t>
      </w:r>
      <w:r>
        <w:rPr>
          <w:noProof/>
        </w:rPr>
        <w:tab/>
        <w:t xml:space="preserve">starpniecību naudas darījumos; </w:t>
      </w:r>
    </w:p>
    <w:p w:rsidR="003E022D" w:rsidRDefault="007D19D6">
      <w:pPr>
        <w:ind w:left="2160" w:hanging="720"/>
        <w:rPr>
          <w:rFonts w:cs="Arial"/>
          <w:noProof/>
        </w:rPr>
      </w:pPr>
      <w:r>
        <w:rPr>
          <w:noProof/>
        </w:rPr>
        <w:t>I)</w:t>
      </w:r>
      <w:r>
        <w:rPr>
          <w:noProof/>
        </w:rPr>
        <w:tab/>
        <w:t>aktīvu pārvaldīšanu, piemēram, skaidras naudas vai vērtspapīru portfeļa pārvaldību, visu veidu kolektīvo investīciju pārvaldību, pensiju fondu pārvaldību, pārva</w:t>
      </w:r>
      <w:r>
        <w:rPr>
          <w:noProof/>
        </w:rPr>
        <w:t>ldīšanas, depozitāra un trasta pakalpojumus;</w:t>
      </w:r>
    </w:p>
    <w:p w:rsidR="003E022D" w:rsidRDefault="007D19D6">
      <w:pPr>
        <w:ind w:left="2160" w:hanging="720"/>
        <w:rPr>
          <w:rFonts w:cs="Arial"/>
          <w:noProof/>
        </w:rPr>
      </w:pPr>
      <w:r>
        <w:rPr>
          <w:noProof/>
        </w:rPr>
        <w:t>J)</w:t>
      </w:r>
      <w:r>
        <w:rPr>
          <w:noProof/>
        </w:rPr>
        <w:tab/>
        <w:t xml:space="preserve">finanšu aktīvu, t. sk. vērtspapīru, atvasināto finanšu instrumentu un citu apgrozāmo līdzekļu, norēķinu un mijieskaita pakalpojumus; </w:t>
      </w:r>
    </w:p>
    <w:p w:rsidR="003E022D" w:rsidRDefault="007D19D6">
      <w:pPr>
        <w:ind w:left="2160" w:hanging="720"/>
        <w:rPr>
          <w:rFonts w:cs="Arial"/>
          <w:noProof/>
          <w:lang w:val="fr-BE"/>
        </w:rPr>
      </w:pPr>
      <w:r>
        <w:rPr>
          <w:noProof/>
          <w:lang w:val="fr-BE"/>
        </w:rPr>
        <w:t>K)</w:t>
      </w:r>
      <w:r>
        <w:rPr>
          <w:noProof/>
          <w:lang w:val="fr-BE"/>
        </w:rPr>
        <w:tab/>
        <w:t>finanšu informācijas sniegšanu un nosūtīšanu un finanšu datu apstrādi u</w:t>
      </w:r>
      <w:r>
        <w:rPr>
          <w:noProof/>
          <w:lang w:val="fr-BE"/>
        </w:rPr>
        <w:t xml:space="preserve">n ar to saistītu programmatūru, un </w:t>
      </w:r>
    </w:p>
    <w:p w:rsidR="003E022D" w:rsidRDefault="007D19D6">
      <w:pPr>
        <w:ind w:left="2160" w:hanging="720"/>
        <w:rPr>
          <w:rFonts w:cs="Arial"/>
          <w:noProof/>
          <w:lang w:val="fr-BE"/>
        </w:rPr>
      </w:pPr>
      <w:r>
        <w:rPr>
          <w:noProof/>
          <w:lang w:val="fr-BE"/>
        </w:rPr>
        <w:t>L)</w:t>
      </w:r>
      <w:r>
        <w:rPr>
          <w:noProof/>
          <w:lang w:val="fr-BE"/>
        </w:rPr>
        <w:tab/>
        <w:t>konsultatīvus, starpniecības un citi finanšu palīgpakalpojumus, kuri saistīti ar visām A) līdz K) apakšpunktā minētajām darbībām, ieskaitot kredītu datubāzi un analīzi, investīciju un portfeļu analīzi un konsultācijas</w:t>
      </w:r>
      <w:r>
        <w:rPr>
          <w:noProof/>
          <w:lang w:val="fr-BE"/>
        </w:rPr>
        <w:t>, konsultācijas par pārņemšanu un par uzņēmumu pārstrukturēšanu un stratēģiju;</w:t>
      </w:r>
    </w:p>
    <w:p w:rsidR="003E022D" w:rsidRDefault="007D19D6">
      <w:pPr>
        <w:numPr>
          <w:ilvl w:val="1"/>
          <w:numId w:val="652"/>
        </w:numPr>
        <w:ind w:left="567" w:hanging="567"/>
        <w:rPr>
          <w:rFonts w:cs="Arial"/>
          <w:noProof/>
          <w:lang w:val="fr-BE"/>
        </w:rPr>
      </w:pPr>
      <w:r>
        <w:rPr>
          <w:noProof/>
          <w:lang w:val="fr-BE"/>
        </w:rPr>
        <w:t>“finanšu pakalpojuma sniedzējs” ir jebkura Puses fiziska vai juridiska persona, kas vēlas sniegt vai sniedz finanšu pakalpojumus un nav publiska struktūra;</w:t>
      </w:r>
    </w:p>
    <w:p w:rsidR="003E022D" w:rsidRDefault="007D19D6">
      <w:pPr>
        <w:numPr>
          <w:ilvl w:val="1"/>
          <w:numId w:val="652"/>
        </w:numPr>
        <w:ind w:left="567" w:hanging="567"/>
        <w:rPr>
          <w:rFonts w:cs="Arial"/>
          <w:noProof/>
          <w:lang w:val="fr-BE"/>
        </w:rPr>
      </w:pPr>
      <w:r>
        <w:rPr>
          <w:noProof/>
          <w:lang w:val="fr-BE"/>
        </w:rPr>
        <w:t>“jauns finanšu pakalp</w:t>
      </w:r>
      <w:r>
        <w:rPr>
          <w:noProof/>
          <w:lang w:val="fr-BE"/>
        </w:rPr>
        <w:t>ojums” ir finansiāla rakstura pakalpojums, t. sk. pakalpojumi, kas saistīti ar esošiem un jauniem produktiem vai produkta sniegšanas veidu, kuru nesniedz neviens finanšu pakalpojumu sniedzējs Puses teritorijā, bet kuru sniedz otras Puses teritorijā;</w:t>
      </w:r>
    </w:p>
    <w:p w:rsidR="003E022D" w:rsidRDefault="007D19D6">
      <w:pPr>
        <w:numPr>
          <w:ilvl w:val="1"/>
          <w:numId w:val="652"/>
        </w:numPr>
        <w:ind w:left="567" w:hanging="567"/>
        <w:rPr>
          <w:rFonts w:cs="Arial"/>
          <w:noProof/>
        </w:rPr>
      </w:pPr>
      <w:r>
        <w:rPr>
          <w:noProof/>
        </w:rPr>
        <w:t>“publi</w:t>
      </w:r>
      <w:r>
        <w:rPr>
          <w:noProof/>
        </w:rPr>
        <w:t>ska struktūra” ir:</w:t>
      </w:r>
    </w:p>
    <w:p w:rsidR="003E022D" w:rsidRDefault="007D19D6">
      <w:pPr>
        <w:ind w:left="1276" w:hanging="567"/>
        <w:rPr>
          <w:rFonts w:cs="Arial"/>
          <w:noProof/>
        </w:rPr>
      </w:pPr>
      <w:r>
        <w:rPr>
          <w:noProof/>
        </w:rPr>
        <w:t>i)</w:t>
      </w:r>
      <w:r>
        <w:rPr>
          <w:noProof/>
        </w:rPr>
        <w:tab/>
        <w:t>kādas Puses valdība, centrālā banka vai monetārā iestāde vai Puses īpašumā vai kontrolē esoša struktūra, kas galvenokārt veic valsts pārvaldes funkcijas vai darbības valsts pārvaldes vajadzībām, izņemot struktūras, kuras galvenokārt n</w:t>
      </w:r>
      <w:r>
        <w:rPr>
          <w:noProof/>
        </w:rPr>
        <w:t xml:space="preserve">odarbojas ar finanšu pakalpojumu sniegšanu uz komerciāliem noteikumiem, vai </w:t>
      </w:r>
    </w:p>
    <w:p w:rsidR="003E022D" w:rsidRDefault="007D19D6">
      <w:pPr>
        <w:ind w:left="1276" w:hanging="567"/>
        <w:rPr>
          <w:rFonts w:cs="Arial"/>
          <w:noProof/>
        </w:rPr>
      </w:pPr>
      <w:r>
        <w:rPr>
          <w:noProof/>
        </w:rPr>
        <w:t>ii)</w:t>
      </w:r>
      <w:r>
        <w:rPr>
          <w:noProof/>
        </w:rPr>
        <w:tab/>
        <w:t>privāta struktūra, kas veic funkcijas, kuras parasti veic centrālā banka vai monetārā iestāde, ja tā pilda šīs funkcijas,</w:t>
      </w:r>
    </w:p>
    <w:p w:rsidR="003E022D" w:rsidRDefault="007D19D6">
      <w:pPr>
        <w:numPr>
          <w:ilvl w:val="1"/>
          <w:numId w:val="652"/>
        </w:numPr>
        <w:ind w:left="567" w:hanging="567"/>
        <w:rPr>
          <w:rFonts w:cs="Arial"/>
          <w:noProof/>
        </w:rPr>
      </w:pPr>
      <w:r>
        <w:rPr>
          <w:noProof/>
        </w:rPr>
        <w:t>“pašregulējoša organizācija” ir nevalstiska struktūra</w:t>
      </w:r>
      <w:r>
        <w:rPr>
          <w:noProof/>
        </w:rPr>
        <w:t>, t. sk. vērtspapīru vai standartizētu nākotnes līgumu birža vai tirgus, tīrvērtes aģentūra vai kāda cita organizācija vai asociācija, kas saskaņā ar tiesību aktiem vai deleģējumu no centrālās, reģiona vai attiecīgā gadījumā vietējās valdības īsteno regulē</w:t>
      </w:r>
      <w:r>
        <w:rPr>
          <w:noProof/>
        </w:rPr>
        <w:t>šanas vai uzraudzības pilnvaras pār finanšu pakalpojumu sniedzējiem.</w:t>
      </w:r>
    </w:p>
    <w:p w:rsidR="003E022D" w:rsidRDefault="007D19D6">
      <w:pPr>
        <w:jc w:val="center"/>
        <w:rPr>
          <w:rFonts w:cs="Arial"/>
          <w:noProof/>
        </w:rPr>
      </w:pPr>
      <w:r>
        <w:rPr>
          <w:noProof/>
        </w:rPr>
        <w:t>SERVIN.5.39. pants. Piesardzības atkāpe</w:t>
      </w:r>
    </w:p>
    <w:p w:rsidR="003E022D" w:rsidRDefault="007D19D6">
      <w:pPr>
        <w:numPr>
          <w:ilvl w:val="0"/>
          <w:numId w:val="653"/>
        </w:numPr>
        <w:ind w:left="0" w:firstLine="0"/>
        <w:rPr>
          <w:rFonts w:cs="Arial"/>
          <w:noProof/>
        </w:rPr>
      </w:pPr>
      <w:r>
        <w:rPr>
          <w:noProof/>
        </w:rPr>
        <w:t>Nekas šajā nolīgumā neliedz kādai Pusei pieņemt vai saglabāt tādus piesardzības pasākumus</w:t>
      </w:r>
      <w:r>
        <w:rPr>
          <w:rStyle w:val="FootnoteReference"/>
          <w:rFonts w:cs="Arial"/>
          <w:noProof/>
        </w:rPr>
        <w:footnoteReference w:id="30"/>
      </w:r>
      <w:r>
        <w:rPr>
          <w:noProof/>
        </w:rPr>
        <w:t xml:space="preserve"> kā, piemēram: </w:t>
      </w:r>
    </w:p>
    <w:p w:rsidR="003E022D" w:rsidRDefault="007D19D6">
      <w:pPr>
        <w:numPr>
          <w:ilvl w:val="1"/>
          <w:numId w:val="654"/>
        </w:numPr>
        <w:ind w:left="567" w:hanging="567"/>
        <w:rPr>
          <w:rFonts w:cs="Arial"/>
          <w:noProof/>
        </w:rPr>
      </w:pPr>
      <w:r>
        <w:rPr>
          <w:noProof/>
        </w:rPr>
        <w:t xml:space="preserve">investoru, noguldītāju, apdrošinājuma </w:t>
      </w:r>
      <w:r>
        <w:rPr>
          <w:noProof/>
        </w:rPr>
        <w:t>ņēmēju vai tādu personu aizsardzība, pret kurām finanšu pakalpojuma sniedzējam ir fiduciāri pienākumi, vai</w:t>
      </w:r>
    </w:p>
    <w:p w:rsidR="003E022D" w:rsidRDefault="007D19D6">
      <w:pPr>
        <w:numPr>
          <w:ilvl w:val="1"/>
          <w:numId w:val="654"/>
        </w:numPr>
        <w:ind w:left="567" w:hanging="567"/>
        <w:rPr>
          <w:rFonts w:cs="Arial"/>
          <w:noProof/>
        </w:rPr>
      </w:pPr>
      <w:r>
        <w:rPr>
          <w:noProof/>
        </w:rPr>
        <w:t>Puses finanšu sistēmas integritātes un stabilitātes nodrošināšana.</w:t>
      </w:r>
    </w:p>
    <w:p w:rsidR="003E022D" w:rsidRDefault="007D19D6">
      <w:pPr>
        <w:numPr>
          <w:ilvl w:val="0"/>
          <w:numId w:val="653"/>
        </w:numPr>
        <w:ind w:left="0" w:firstLine="0"/>
        <w:rPr>
          <w:rFonts w:cs="Arial"/>
          <w:noProof/>
        </w:rPr>
      </w:pPr>
      <w:r>
        <w:rPr>
          <w:noProof/>
        </w:rPr>
        <w:t>Ja šādi pasākumi neatbilst šā nolīguma noteikumiem, tos neizmanto kā līdzekli, lai</w:t>
      </w:r>
      <w:r>
        <w:rPr>
          <w:noProof/>
        </w:rPr>
        <w:t xml:space="preserve"> izvairītos Puses saistībām vai pienākumiem, kas noteikti šajā nolīgumā.</w:t>
      </w:r>
    </w:p>
    <w:p w:rsidR="003E022D" w:rsidRDefault="007D19D6">
      <w:pPr>
        <w:jc w:val="center"/>
        <w:rPr>
          <w:rFonts w:cs="Arial"/>
          <w:noProof/>
        </w:rPr>
      </w:pPr>
      <w:r>
        <w:rPr>
          <w:noProof/>
        </w:rPr>
        <w:t>SERVIN.5.40. pants. Konfidenciāla informācija</w:t>
      </w:r>
    </w:p>
    <w:p w:rsidR="003E022D" w:rsidRDefault="007D19D6">
      <w:pPr>
        <w:pStyle w:val="ListParagraph"/>
        <w:ind w:left="0"/>
        <w:rPr>
          <w:rFonts w:cs="Arial"/>
          <w:noProof/>
        </w:rPr>
      </w:pPr>
      <w:r>
        <w:rPr>
          <w:noProof/>
        </w:rPr>
        <w:t>Neskarot trešo daļu [Tiesībaizsardzības un tiesu iestāžu sadarbība krimināllietās], nekas šajā nolīgumā nav interpretējams tā, ka tas pra</w:t>
      </w:r>
      <w:r>
        <w:rPr>
          <w:noProof/>
        </w:rPr>
        <w:t>sītu, lai Puse izpauž informāciju, kas attiecas uz atsevišķu klientu darījumiem un kontiem vai kādu konfidenciālu vai ar autortiesībām aizsargātu informāciju, kura ir publisko tiesību subjektu rīcībā.</w:t>
      </w:r>
    </w:p>
    <w:p w:rsidR="003E022D" w:rsidRDefault="007D19D6">
      <w:pPr>
        <w:jc w:val="center"/>
        <w:rPr>
          <w:rFonts w:cs="Arial"/>
          <w:noProof/>
        </w:rPr>
      </w:pPr>
      <w:r>
        <w:rPr>
          <w:noProof/>
        </w:rPr>
        <w:t>SERVIN.5.41. pants. Starptautiskie standarti</w:t>
      </w:r>
    </w:p>
    <w:p w:rsidR="003E022D" w:rsidRDefault="007D19D6">
      <w:pPr>
        <w:rPr>
          <w:rFonts w:cs="Arial"/>
          <w:bCs/>
          <w:noProof/>
        </w:rPr>
      </w:pPr>
      <w:r>
        <w:rPr>
          <w:noProof/>
        </w:rPr>
        <w:t>Puses piel</w:t>
      </w:r>
      <w:r>
        <w:rPr>
          <w:noProof/>
        </w:rPr>
        <w:t>iek vislielākās pūles, lai nodrošinātu, ka to teritorijā īsteno un piemēro starptautiski saskaņotus standartus finanšu pakalpojumu jomā attiecībā uz regulējumu un uzraudzību, cīņu pret nelikumīgi iegūtu līdzekļu legalizēšanu un teroristu finansēšanu un cīņ</w:t>
      </w:r>
      <w:r>
        <w:rPr>
          <w:noProof/>
        </w:rPr>
        <w:t>u pret izvairīšanos no nodokļu maksāšanas un nodokļu apiešanas. Šādi starptautiski saskaņoti standarti cita starpā ir standarti, ko pieņēmusi: G20; Finanšu stabilitātes padome; Bāzeles Banku uzraudzības komiteja, it īpaši tās “Pamatprincipi attiecībā uz ba</w:t>
      </w:r>
      <w:r>
        <w:rPr>
          <w:noProof/>
        </w:rPr>
        <w:t>nku efektīvu uzraudzību”; Starptautiskās Apdrošināšanas uzraudzības iestāžu asociācija, it īpaši tās “Apdrošināšanas galvenie principi”; Starptautiskā Vērtspapīru komisiju organizācija, it īpaši tās “Vērtspapīru regulējuma mērķi un principi”; Finanšu darīj</w:t>
      </w:r>
      <w:r>
        <w:rPr>
          <w:noProof/>
        </w:rPr>
        <w:t>umu darba grupa un Ekonomiskās sadarbības un attīstības organizācijas Pasaules forums par pārredzamības un informācijas apmaiņas jautājumiem nodokļu jomā.</w:t>
      </w:r>
    </w:p>
    <w:p w:rsidR="003E022D" w:rsidRDefault="007D19D6">
      <w:pPr>
        <w:jc w:val="center"/>
        <w:rPr>
          <w:rFonts w:cs="Arial"/>
          <w:noProof/>
        </w:rPr>
      </w:pPr>
      <w:r>
        <w:rPr>
          <w:noProof/>
        </w:rPr>
        <w:t>SERVIN.5.42. pants. Jauni finanšu pakalpojumi Puses teritorijā</w:t>
      </w:r>
    </w:p>
    <w:p w:rsidR="003E022D" w:rsidRDefault="007D19D6">
      <w:pPr>
        <w:numPr>
          <w:ilvl w:val="0"/>
          <w:numId w:val="655"/>
        </w:numPr>
        <w:ind w:left="0" w:firstLine="0"/>
        <w:rPr>
          <w:rFonts w:cs="Arial"/>
          <w:noProof/>
        </w:rPr>
      </w:pPr>
      <w:r>
        <w:rPr>
          <w:noProof/>
        </w:rPr>
        <w:t>Puse ļauj tās teritorijā izveidotam ot</w:t>
      </w:r>
      <w:r>
        <w:rPr>
          <w:noProof/>
        </w:rPr>
        <w:t>ras Puses finanšu pakalpojumu sniedzējam sniegt jebkādu jaunu finanšu pakalpojumu, ko tā ļautu sniegt saviem finanšu pakalpojuma sniedzējiem saskaņā saviem tiesību aktiem līdzīgās situācijās, ar noteikumu, ka, ieviešot jaunu finanšu pakalpojumu, nav jāpieņ</w:t>
      </w:r>
      <w:r>
        <w:rPr>
          <w:noProof/>
        </w:rPr>
        <w:t>em jauni vai jāgroza spēkā esoši tiesību akti. Tas neattiecas uz otras Puses filiālēm, kas ir izveidotas Puses teritorijā.</w:t>
      </w:r>
    </w:p>
    <w:p w:rsidR="003E022D" w:rsidRDefault="007D19D6">
      <w:pPr>
        <w:numPr>
          <w:ilvl w:val="0"/>
          <w:numId w:val="655"/>
        </w:numPr>
        <w:ind w:left="0" w:firstLine="0"/>
        <w:rPr>
          <w:rFonts w:cs="Arial"/>
          <w:noProof/>
        </w:rPr>
      </w:pPr>
      <w:r>
        <w:rPr>
          <w:noProof/>
        </w:rPr>
        <w:t>Puse var noteikt institucionālo un juridisko formu, kādā attiecīgo pakalpojumu var sniegt, un var pieprasīt atļaujas izdošanu pakalpo</w:t>
      </w:r>
      <w:r>
        <w:rPr>
          <w:noProof/>
        </w:rPr>
        <w:t>juma sniegšanai. Ja tāda atļauja tiek pieprasīta, lēmumu pieņem samērīgā laikā un atļauju var atteikt tikai piesardzības apsvērumu dēļ.</w:t>
      </w:r>
    </w:p>
    <w:p w:rsidR="003E022D" w:rsidRDefault="007D19D6">
      <w:pPr>
        <w:jc w:val="center"/>
        <w:rPr>
          <w:rFonts w:cs="Arial"/>
          <w:noProof/>
        </w:rPr>
      </w:pPr>
      <w:r>
        <w:rPr>
          <w:noProof/>
        </w:rPr>
        <w:t>SERVIN.5.43. pants. Pašregulējošas organizācijas</w:t>
      </w:r>
    </w:p>
    <w:p w:rsidR="003E022D" w:rsidRDefault="007D19D6">
      <w:pPr>
        <w:rPr>
          <w:rFonts w:cs="Arial"/>
          <w:noProof/>
        </w:rPr>
      </w:pPr>
      <w:r>
        <w:rPr>
          <w:noProof/>
        </w:rPr>
        <w:t>Ja Puse pieprasa dalību, līdzdalību kādā pašregulējošā organizācijā vai</w:t>
      </w:r>
      <w:r>
        <w:rPr>
          <w:noProof/>
        </w:rPr>
        <w:t xml:space="preserve"> piekļuvi tai, lai otras Puses finanšu pakalpojuma sniedzēji varētu sniegt finanšu pakalpojumus tās teritorijā, Puse nodrošina, ka minētā pašregulējošā organizācija ievēro SERVIN.2.3. pantā [Valsts režīms], SERVIN.2.4. pantā [Lielākās labvēlības režīms] un</w:t>
      </w:r>
      <w:r>
        <w:rPr>
          <w:noProof/>
        </w:rPr>
        <w:t xml:space="preserve"> SERVIN.3.4. pantā [Valsts režīms], un SERVIN.3.5. pantā [Lielākās labvēlības režīms] noteiktos pienākumus.</w:t>
      </w:r>
    </w:p>
    <w:p w:rsidR="003E022D" w:rsidRDefault="007D19D6">
      <w:pPr>
        <w:jc w:val="center"/>
        <w:rPr>
          <w:rFonts w:cs="Arial"/>
          <w:noProof/>
          <w:lang w:val="fr-BE"/>
        </w:rPr>
      </w:pPr>
      <w:r>
        <w:rPr>
          <w:noProof/>
          <w:lang w:val="fr-BE"/>
        </w:rPr>
        <w:t>SERVIN.5.44. pants. Tīrvērtes un maksājumu sistēmas</w:t>
      </w:r>
    </w:p>
    <w:p w:rsidR="003E022D" w:rsidRDefault="007D19D6">
      <w:pPr>
        <w:rPr>
          <w:rFonts w:cs="Arial"/>
          <w:noProof/>
          <w:lang w:val="fr-BE"/>
        </w:rPr>
      </w:pPr>
      <w:r>
        <w:rPr>
          <w:noProof/>
          <w:lang w:val="fr-BE"/>
        </w:rPr>
        <w:t>Saskaņā ar noteikumiem, kas atbilst attiecīgās valsts režīmam, katra Puse otras Puses finanšu pa</w:t>
      </w:r>
      <w:r>
        <w:rPr>
          <w:noProof/>
          <w:lang w:val="fr-BE"/>
        </w:rPr>
        <w:t>kalpojumu sniedzējiem, kurš veic uzņēmējdarbību tās teritorijā, piešķir piekļuvi publisko subjektu vadītām maksājumu un norēķinu sistēmām un oficiālām finansēšanas un refinansēšanas iespējām, kas pieejamas, veicot parastu uzņēmējdarbību. Šis pants nenodroš</w:t>
      </w:r>
      <w:r>
        <w:rPr>
          <w:noProof/>
          <w:lang w:val="fr-BE"/>
        </w:rPr>
        <w:t>ina piekļuvi Puses pēdējās instances aizdevēju iespējām.</w:t>
      </w:r>
    </w:p>
    <w:p w:rsidR="003E022D" w:rsidRDefault="007D19D6">
      <w:pPr>
        <w:jc w:val="center"/>
        <w:rPr>
          <w:rFonts w:cs="Arial"/>
          <w:i/>
          <w:noProof/>
          <w:lang w:val="fr-BE"/>
        </w:rPr>
      </w:pPr>
      <w:r>
        <w:rPr>
          <w:i/>
          <w:noProof/>
          <w:lang w:val="fr-BE"/>
        </w:rPr>
        <w:t>6. iedaļa. Starptautiskie jūras transporta pakalpojumi</w:t>
      </w:r>
    </w:p>
    <w:p w:rsidR="003E022D" w:rsidRDefault="007D19D6">
      <w:pPr>
        <w:jc w:val="center"/>
        <w:rPr>
          <w:rFonts w:cs="Arial"/>
          <w:noProof/>
        </w:rPr>
      </w:pPr>
      <w:r>
        <w:rPr>
          <w:noProof/>
          <w:lang w:val="fr-BE"/>
        </w:rPr>
        <w:t xml:space="preserve">SERVIN.5.45. pants. </w:t>
      </w:r>
      <w:r>
        <w:rPr>
          <w:noProof/>
        </w:rPr>
        <w:t>Darbības joma un definīcijas</w:t>
      </w:r>
    </w:p>
    <w:p w:rsidR="003E022D" w:rsidRDefault="007D19D6">
      <w:pPr>
        <w:numPr>
          <w:ilvl w:val="0"/>
          <w:numId w:val="656"/>
        </w:numPr>
        <w:ind w:left="0" w:firstLine="0"/>
        <w:rPr>
          <w:rFonts w:cs="Arial"/>
          <w:noProof/>
        </w:rPr>
      </w:pPr>
      <w:r>
        <w:rPr>
          <w:noProof/>
        </w:rPr>
        <w:t>Šo iedaļu papildus 1., 2., 3. un 4. nodaļai un šīs nodaļas 1. iedaļai piemēro Puses pasākumiem,</w:t>
      </w:r>
      <w:r>
        <w:rPr>
          <w:noProof/>
        </w:rPr>
        <w:t xml:space="preserve"> kas skar starptautisko jūras pārvadājumu pakalpojumu sniegšanu.</w:t>
      </w:r>
    </w:p>
    <w:p w:rsidR="003E022D" w:rsidRDefault="007D19D6">
      <w:pPr>
        <w:numPr>
          <w:ilvl w:val="0"/>
          <w:numId w:val="656"/>
        </w:numPr>
        <w:ind w:left="0" w:firstLine="0"/>
        <w:rPr>
          <w:rFonts w:cs="Arial"/>
          <w:noProof/>
          <w:lang w:val="fr-BE"/>
        </w:rPr>
      </w:pPr>
      <w:r>
        <w:rPr>
          <w:noProof/>
          <w:lang w:val="fr-BE"/>
        </w:rPr>
        <w:t xml:space="preserve">Šajā iedaļā un šīs sadaļas 1., 2., 3. un 4. nodaļā: </w:t>
      </w:r>
    </w:p>
    <w:p w:rsidR="003E022D" w:rsidRDefault="007D19D6">
      <w:pPr>
        <w:numPr>
          <w:ilvl w:val="1"/>
          <w:numId w:val="657"/>
        </w:numPr>
        <w:ind w:left="567" w:hanging="567"/>
        <w:rPr>
          <w:rFonts w:cs="Arial"/>
          <w:noProof/>
          <w:lang w:val="fr-BE"/>
        </w:rPr>
      </w:pPr>
      <w:r>
        <w:rPr>
          <w:noProof/>
          <w:lang w:val="fr-BE"/>
        </w:rPr>
        <w:t xml:space="preserve">“starptautisko jūras pārvadājumu pakalpojumi” ir pasažieru vai kravas pārvadājumi ar jūras kuģiem starp vienas Puses ostu un otras Puses </w:t>
      </w:r>
      <w:r>
        <w:rPr>
          <w:noProof/>
          <w:lang w:val="fr-BE"/>
        </w:rPr>
        <w:t>vai trešās valsts ostu vai starp dažādu dalībvalstu ostām, t. sk. tieši līgumi ar citu transporta pakalpojumu sniedzējiem, lai veiktu tiešus vai multimodālus pārvadājumus ar vienotu pārvadājumu dokumentu, bet neietver tiesības sniegt citus šādus pārvadājum</w:t>
      </w:r>
      <w:r>
        <w:rPr>
          <w:noProof/>
          <w:lang w:val="fr-BE"/>
        </w:rPr>
        <w:t>u pakalpojumus;</w:t>
      </w:r>
    </w:p>
    <w:p w:rsidR="003E022D" w:rsidRDefault="007D19D6">
      <w:pPr>
        <w:numPr>
          <w:ilvl w:val="1"/>
          <w:numId w:val="657"/>
        </w:numPr>
        <w:ind w:left="567" w:hanging="567"/>
        <w:rPr>
          <w:rFonts w:cs="Arial"/>
          <w:noProof/>
          <w:lang w:val="fr-BE"/>
        </w:rPr>
      </w:pPr>
      <w:r>
        <w:rPr>
          <w:noProof/>
          <w:lang w:val="fr-BE"/>
        </w:rPr>
        <w:t xml:space="preserve">“tiešie vai multimodālie pārvadājumi” ir starptautiski kravas pārvadājumi ar vienotu starptautisku pārvadājumu dokumentu, izmantojot vairāk nekā vienu pārvadājumu veidu, tai skaitā jūras pārvadājumu; </w:t>
      </w:r>
    </w:p>
    <w:p w:rsidR="003E022D" w:rsidRDefault="007D19D6">
      <w:pPr>
        <w:numPr>
          <w:ilvl w:val="1"/>
          <w:numId w:val="657"/>
        </w:numPr>
        <w:ind w:left="567" w:hanging="567"/>
        <w:rPr>
          <w:rFonts w:cs="Arial"/>
          <w:noProof/>
          <w:lang w:val="fr-BE"/>
        </w:rPr>
      </w:pPr>
      <w:r>
        <w:rPr>
          <w:noProof/>
          <w:lang w:val="fr-BE"/>
        </w:rPr>
        <w:t>“starptautiska krava” ir krava, ko pārv</w:t>
      </w:r>
      <w:r>
        <w:rPr>
          <w:noProof/>
          <w:lang w:val="fr-BE"/>
        </w:rPr>
        <w:t>adā starp vienas Puses ostu un otras Puses vai trešās valsts ostu, vai starp dažādu dalībvalstu ostām;</w:t>
      </w:r>
    </w:p>
    <w:p w:rsidR="003E022D" w:rsidRDefault="007D19D6">
      <w:pPr>
        <w:numPr>
          <w:ilvl w:val="1"/>
          <w:numId w:val="657"/>
        </w:numPr>
        <w:ind w:left="567" w:hanging="567"/>
        <w:rPr>
          <w:rFonts w:cs="Arial"/>
          <w:noProof/>
          <w:lang w:val="fr-BE"/>
        </w:rPr>
      </w:pPr>
      <w:r>
        <w:rPr>
          <w:noProof/>
          <w:lang w:val="fr-BE"/>
        </w:rPr>
        <w:t>“jūras pārvadājumu palīgpakalpojumi” nozīmē jūras kravu apkalpošanas pakalpojumus, muitošanas pakalpojumus, konteineru izvietošanas un novietošanas pakal</w:t>
      </w:r>
      <w:r>
        <w:rPr>
          <w:noProof/>
          <w:lang w:val="fr-BE"/>
        </w:rPr>
        <w:t>pojumus, jūras aģentūras pakalpojumus un jūras kravu pārvadājumu pakalpojumus, un glabāšanas un noliktavu pakalpojumus;</w:t>
      </w:r>
    </w:p>
    <w:p w:rsidR="003E022D" w:rsidRDefault="007D19D6">
      <w:pPr>
        <w:numPr>
          <w:ilvl w:val="1"/>
          <w:numId w:val="657"/>
        </w:numPr>
        <w:ind w:left="567" w:hanging="567"/>
        <w:rPr>
          <w:rFonts w:cs="Arial"/>
          <w:noProof/>
          <w:lang w:val="fr-BE"/>
        </w:rPr>
      </w:pPr>
      <w:r>
        <w:rPr>
          <w:noProof/>
          <w:lang w:val="fr-BE"/>
        </w:rPr>
        <w:t>“jūras kravu pārkraušanas pakalpojumi” ir darbības, ko veic stividoru kompānijas, t. sk. termināļu apsaimniekotāji, bet neietver ostas s</w:t>
      </w:r>
      <w:r>
        <w:rPr>
          <w:noProof/>
          <w:lang w:val="fr-BE"/>
        </w:rPr>
        <w:t xml:space="preserve">trādnieku tiešās darbības, ja šis darbaspēks tiek organizēts neatkarīgi no stividoru darbībām vai termināļa apsaimniekošanas uzņēmumiem; ietvertās darbības ir arī šādu darbību organizēšana un pārraudzība: </w:t>
      </w:r>
    </w:p>
    <w:p w:rsidR="003E022D" w:rsidRDefault="007D19D6">
      <w:pPr>
        <w:ind w:left="1276" w:hanging="567"/>
        <w:rPr>
          <w:rFonts w:cs="Arial"/>
          <w:noProof/>
          <w:lang w:val="fr-BE"/>
        </w:rPr>
      </w:pPr>
      <w:r>
        <w:rPr>
          <w:noProof/>
          <w:lang w:val="fr-BE"/>
        </w:rPr>
        <w:t>i)</w:t>
      </w:r>
      <w:r>
        <w:rPr>
          <w:noProof/>
          <w:lang w:val="fr-BE"/>
        </w:rPr>
        <w:tab/>
        <w:t>kravas iekraušana kuģī vai izkraušana no tā;</w:t>
      </w:r>
    </w:p>
    <w:p w:rsidR="003E022D" w:rsidRDefault="007D19D6">
      <w:pPr>
        <w:ind w:left="1276" w:hanging="567"/>
        <w:rPr>
          <w:rFonts w:cs="Arial"/>
          <w:noProof/>
          <w:lang w:val="fr-BE"/>
        </w:rPr>
      </w:pPr>
      <w:r>
        <w:rPr>
          <w:noProof/>
          <w:lang w:val="fr-BE"/>
        </w:rPr>
        <w:t>ii</w:t>
      </w:r>
      <w:r>
        <w:rPr>
          <w:noProof/>
          <w:lang w:val="fr-BE"/>
        </w:rPr>
        <w:t>)</w:t>
      </w:r>
      <w:r>
        <w:rPr>
          <w:noProof/>
          <w:lang w:val="fr-BE"/>
        </w:rPr>
        <w:tab/>
        <w:t xml:space="preserve">kravas piestiprināšana vai atsaitēšana un </w:t>
      </w:r>
    </w:p>
    <w:p w:rsidR="003E022D" w:rsidRDefault="007D19D6">
      <w:pPr>
        <w:ind w:left="1276" w:hanging="567"/>
        <w:rPr>
          <w:rFonts w:cs="Arial"/>
          <w:noProof/>
          <w:lang w:val="fr-BE"/>
        </w:rPr>
      </w:pPr>
      <w:r>
        <w:rPr>
          <w:noProof/>
          <w:lang w:val="fr-BE"/>
        </w:rPr>
        <w:t>iii)</w:t>
      </w:r>
      <w:r>
        <w:rPr>
          <w:noProof/>
          <w:lang w:val="fr-BE"/>
        </w:rPr>
        <w:tab/>
        <w:t>kravas pieņemšana vai nodošana un uzglabāšana pirms nosūtīšanas vai pēc saņemšanas;</w:t>
      </w:r>
    </w:p>
    <w:p w:rsidR="003E022D" w:rsidRDefault="007D19D6">
      <w:pPr>
        <w:numPr>
          <w:ilvl w:val="1"/>
          <w:numId w:val="657"/>
        </w:numPr>
        <w:ind w:left="567" w:hanging="567"/>
        <w:rPr>
          <w:rFonts w:cs="Arial"/>
          <w:noProof/>
          <w:lang w:val="fr-BE"/>
        </w:rPr>
      </w:pPr>
      <w:r>
        <w:rPr>
          <w:noProof/>
          <w:lang w:val="fr-BE"/>
        </w:rPr>
        <w:t>“muitošanas pakalpojumi” ir darbības, kas ietver muitas formalitāšu kārtošanu citas Puses vārdā attiecībā uz kravu importu</w:t>
      </w:r>
      <w:r>
        <w:rPr>
          <w:noProof/>
          <w:lang w:val="fr-BE"/>
        </w:rPr>
        <w:t xml:space="preserve">, eksportu vai tranzītu neatkarīgi no tā, vai šie pakalpojumi ir pakalpojuma sniedzēja pamatdarbības veids vai tā pamatdarbības parasts papildinājums; </w:t>
      </w:r>
    </w:p>
    <w:p w:rsidR="003E022D" w:rsidRDefault="007D19D6">
      <w:pPr>
        <w:numPr>
          <w:ilvl w:val="1"/>
          <w:numId w:val="657"/>
        </w:numPr>
        <w:ind w:left="567" w:hanging="567"/>
        <w:rPr>
          <w:rFonts w:cs="Arial"/>
          <w:noProof/>
          <w:lang w:val="fr-BE"/>
        </w:rPr>
      </w:pPr>
      <w:r>
        <w:rPr>
          <w:noProof/>
          <w:lang w:val="fr-BE"/>
        </w:rPr>
        <w:t>“konteineru izvietošanas un novietošanas pakalpojumi” ir darbības, kas ietver konteineru glabāšanu, piep</w:t>
      </w:r>
      <w:r>
        <w:rPr>
          <w:noProof/>
          <w:lang w:val="fr-BE"/>
        </w:rPr>
        <w:t xml:space="preserve">ildīšanu, izkraušanu vai labošanu un konteineru sagatavošanu pārvadāšanai ostas teritorijā vai iekšzemē; </w:t>
      </w:r>
    </w:p>
    <w:p w:rsidR="003E022D" w:rsidRDefault="007D19D6">
      <w:pPr>
        <w:numPr>
          <w:ilvl w:val="1"/>
          <w:numId w:val="657"/>
        </w:numPr>
        <w:ind w:left="567" w:hanging="567"/>
        <w:rPr>
          <w:rFonts w:cs="Arial"/>
          <w:noProof/>
          <w:lang w:val="fr-BE"/>
        </w:rPr>
      </w:pPr>
      <w:r>
        <w:rPr>
          <w:noProof/>
          <w:lang w:val="fr-BE"/>
        </w:rPr>
        <w:t>“jūras aģentūru pakalpojumi” ir darbības, ko noteiktā ģeogrāfiskā apgabalā veic aģenta statusā, pārstāvot vienas vai vairāku rēdereju vai kuģošanas sa</w:t>
      </w:r>
      <w:r>
        <w:rPr>
          <w:noProof/>
          <w:lang w:val="fr-BE"/>
        </w:rPr>
        <w:t>biedrību darījumdarbības intereses šādiem mērķiem:</w:t>
      </w:r>
    </w:p>
    <w:p w:rsidR="003E022D" w:rsidRDefault="007D19D6">
      <w:pPr>
        <w:ind w:left="1276" w:hanging="567"/>
        <w:rPr>
          <w:rFonts w:cs="Arial"/>
          <w:noProof/>
          <w:lang w:val="fr-BE"/>
        </w:rPr>
      </w:pPr>
      <w:r>
        <w:rPr>
          <w:noProof/>
          <w:lang w:val="fr-BE"/>
        </w:rPr>
        <w:t>i)</w:t>
      </w:r>
      <w:r>
        <w:rPr>
          <w:noProof/>
          <w:lang w:val="fr-BE"/>
        </w:rPr>
        <w:tab/>
        <w:t>jūras pārvadājumu un saistīto pakalpojumu tirdzniecība un pārdošana, sākot ar cenas noteikšanu un beidzot ar rēķina izrakstīšanu, kravaszīmju sagatavošana rēdereju vai sabiedrību vārdā, nepieciešamo sai</w:t>
      </w:r>
      <w:r>
        <w:rPr>
          <w:noProof/>
          <w:lang w:val="fr-BE"/>
        </w:rPr>
        <w:t>stīto pakalpojumu iegūšana un tālākpārdošana, dokumentu sagatavošana un ar darījumdarbību saistītas informācijas sniegšana; un</w:t>
      </w:r>
    </w:p>
    <w:p w:rsidR="003E022D" w:rsidRDefault="007D19D6">
      <w:pPr>
        <w:ind w:left="1276" w:hanging="567"/>
        <w:rPr>
          <w:rFonts w:cs="Arial"/>
          <w:noProof/>
          <w:lang w:val="fr-BE"/>
        </w:rPr>
      </w:pPr>
      <w:r>
        <w:rPr>
          <w:noProof/>
          <w:lang w:val="fr-BE"/>
        </w:rPr>
        <w:t>ii)</w:t>
      </w:r>
      <w:r>
        <w:rPr>
          <w:noProof/>
          <w:lang w:val="fr-BE"/>
        </w:rPr>
        <w:tab/>
        <w:t>rīkošanās rēdereju vai sabiedrību vārdā, organizējot kuģu iebraukšanu un uzturēšanos ostā vai attiecīgā gadījumā kravu pieņem</w:t>
      </w:r>
      <w:r>
        <w:rPr>
          <w:noProof/>
          <w:lang w:val="fr-BE"/>
        </w:rPr>
        <w:t>šanu;</w:t>
      </w:r>
    </w:p>
    <w:p w:rsidR="003E022D" w:rsidRDefault="007D19D6">
      <w:pPr>
        <w:numPr>
          <w:ilvl w:val="1"/>
          <w:numId w:val="657"/>
        </w:numPr>
        <w:ind w:left="567" w:hanging="567"/>
        <w:rPr>
          <w:rFonts w:cs="Arial"/>
          <w:noProof/>
          <w:lang w:val="fr-BE"/>
        </w:rPr>
      </w:pPr>
      <w:r>
        <w:rPr>
          <w:noProof/>
          <w:lang w:val="fr-BE"/>
        </w:rPr>
        <w:t>“palīgdienestu pakalpojumi” ir – neskarot to darbību tvērumu, kuras saskaņā ar attiecīgās valsts tiesību aktiem var uzskatīt par kabotāžu, – starptautisku kravu, t. sk. konteinerkravu, sadalītu beztaras un sausas vai šķidras beztaras kravu sagatavoša</w:t>
      </w:r>
      <w:r>
        <w:rPr>
          <w:noProof/>
          <w:lang w:val="fr-BE"/>
        </w:rPr>
        <w:t>na transportēšanai un transportēšana pa jūru starp ostām, kas atrodas Puses teritorijā, ar nosacījumu, ka šāda starptautiska krava ir ceļā (</w:t>
      </w:r>
      <w:r>
        <w:rPr>
          <w:i/>
          <w:noProof/>
          <w:lang w:val="fr-BE"/>
        </w:rPr>
        <w:t>en route</w:t>
      </w:r>
      <w:r>
        <w:rPr>
          <w:noProof/>
          <w:lang w:val="fr-BE"/>
        </w:rPr>
        <w:t xml:space="preserve">), t. i., ir ceļā uz galamērķi vai no nosūtīšanas ostas ārpus minētās Puses teritorijas; </w:t>
      </w:r>
    </w:p>
    <w:p w:rsidR="003E022D" w:rsidRDefault="007D19D6">
      <w:pPr>
        <w:numPr>
          <w:ilvl w:val="1"/>
          <w:numId w:val="657"/>
        </w:numPr>
        <w:ind w:left="567" w:hanging="567"/>
        <w:rPr>
          <w:rFonts w:cs="Arial"/>
          <w:noProof/>
          <w:lang w:val="fr-BE"/>
        </w:rPr>
      </w:pPr>
      <w:r>
        <w:rPr>
          <w:noProof/>
          <w:lang w:val="fr-BE"/>
        </w:rPr>
        <w:t xml:space="preserve">“jūras kravu nosūtīšanas pakalpojumi” ir darbības, kas ietver kravu pārvadājumu organizēšanu un pārraudzību nosūtītāju vārdā, veicot transporta un saistītu pakalpojumu iegādi, sagatavojot dokumentus un sniedzot ar darījumdarbību saistītu informāciju; </w:t>
      </w:r>
    </w:p>
    <w:p w:rsidR="003E022D" w:rsidRDefault="007D19D6">
      <w:pPr>
        <w:numPr>
          <w:ilvl w:val="1"/>
          <w:numId w:val="657"/>
        </w:numPr>
        <w:ind w:left="567" w:hanging="567"/>
        <w:rPr>
          <w:rFonts w:cs="Arial"/>
          <w:noProof/>
          <w:lang w:val="fr-BE"/>
        </w:rPr>
      </w:pPr>
      <w:r>
        <w:rPr>
          <w:noProof/>
          <w:lang w:val="fr-BE"/>
        </w:rPr>
        <w:t>“ost</w:t>
      </w:r>
      <w:r>
        <w:rPr>
          <w:noProof/>
          <w:lang w:val="fr-BE"/>
        </w:rPr>
        <w:t>u pakalpojumi” ir pakalpojumi, ko ostas pārvaldes iestāde, tās apakšuzņēmēji vai citi pakalpojumu sniedzēji sniedz jūras ostas teritorijā vai ūdens pievadceļā uz šādu teritoriju, lai atbalstītu kravu vai pasažieru pārvadājumus, un</w:t>
      </w:r>
    </w:p>
    <w:p w:rsidR="003E022D" w:rsidRDefault="007D19D6">
      <w:pPr>
        <w:numPr>
          <w:ilvl w:val="1"/>
          <w:numId w:val="657"/>
        </w:numPr>
        <w:ind w:left="567" w:hanging="567"/>
        <w:rPr>
          <w:rFonts w:cs="Arial"/>
          <w:noProof/>
          <w:lang w:val="fr-BE"/>
        </w:rPr>
      </w:pPr>
      <w:r>
        <w:rPr>
          <w:noProof/>
          <w:lang w:val="fr-BE"/>
        </w:rPr>
        <w:t>“glabāšanas un noliktavas</w:t>
      </w:r>
      <w:r>
        <w:rPr>
          <w:noProof/>
          <w:lang w:val="fr-BE"/>
        </w:rPr>
        <w:t xml:space="preserve"> pakalpojumi” ir saldētu vai atdzesētu preču glabāšanas pakalpojumi, šķidrumu vai gāzu uzglabāšanas vairumā pakalpojumi un citi glabāšanas vai noliktavas pakalpojumi.</w:t>
      </w:r>
    </w:p>
    <w:p w:rsidR="003E022D" w:rsidRDefault="007D19D6">
      <w:pPr>
        <w:jc w:val="center"/>
        <w:rPr>
          <w:rFonts w:cs="Arial"/>
          <w:noProof/>
        </w:rPr>
      </w:pPr>
      <w:r>
        <w:rPr>
          <w:noProof/>
        </w:rPr>
        <w:t>SERVIN.5.46. pants. Pienākumi</w:t>
      </w:r>
    </w:p>
    <w:p w:rsidR="003E022D" w:rsidRDefault="007D19D6">
      <w:pPr>
        <w:numPr>
          <w:ilvl w:val="0"/>
          <w:numId w:val="658"/>
        </w:numPr>
        <w:ind w:left="0" w:firstLine="0"/>
        <w:rPr>
          <w:rFonts w:cs="Arial"/>
          <w:noProof/>
        </w:rPr>
      </w:pPr>
      <w:r>
        <w:rPr>
          <w:noProof/>
        </w:rPr>
        <w:t>Neskarot neatbilstošus pasākumus vai citus pasākumus, kas m</w:t>
      </w:r>
      <w:r>
        <w:rPr>
          <w:noProof/>
        </w:rPr>
        <w:t>inēti SERVIN.2.7. pantā [Neatbilstoši pasākumi un izņēmumi] un SERVIN 3.6. pantā [Neatbilstoši pasākumi], katra Puse īsteno principu par neierobežotu piekļuvi starptautiskiem jūras pārvadājumu tirgiem un tirdzniecībai uz komerciāla pamata un bez diskriminā</w:t>
      </w:r>
      <w:r>
        <w:rPr>
          <w:noProof/>
        </w:rPr>
        <w:t>cijas:</w:t>
      </w:r>
    </w:p>
    <w:p w:rsidR="003E022D" w:rsidRDefault="007D19D6">
      <w:pPr>
        <w:numPr>
          <w:ilvl w:val="1"/>
          <w:numId w:val="659"/>
        </w:numPr>
        <w:ind w:left="567" w:hanging="567"/>
        <w:rPr>
          <w:rFonts w:cs="Arial"/>
          <w:noProof/>
        </w:rPr>
      </w:pPr>
      <w:r>
        <w:rPr>
          <w:noProof/>
        </w:rPr>
        <w:t>piešķirot kuģiem, kuri kuģo ar otras Puses karogu vai kurus ekspluatē otras Puses pakalpojumu sniedzēji, ne mazāk labvēlīgu režīmu par tādu, ko tā piešķir saviem kuģiem, cita starpā attiecībā uz:</w:t>
      </w:r>
    </w:p>
    <w:p w:rsidR="003E022D" w:rsidRDefault="007D19D6">
      <w:pPr>
        <w:ind w:left="1276" w:hanging="567"/>
        <w:rPr>
          <w:rFonts w:cs="Arial"/>
          <w:noProof/>
        </w:rPr>
      </w:pPr>
      <w:r>
        <w:rPr>
          <w:noProof/>
        </w:rPr>
        <w:t>i)</w:t>
      </w:r>
      <w:r>
        <w:rPr>
          <w:noProof/>
        </w:rPr>
        <w:tab/>
        <w:t>piekļuvi ostām;</w:t>
      </w:r>
    </w:p>
    <w:p w:rsidR="003E022D" w:rsidRDefault="007D19D6">
      <w:pPr>
        <w:ind w:left="1276" w:hanging="567"/>
        <w:rPr>
          <w:rFonts w:cs="Arial"/>
          <w:noProof/>
        </w:rPr>
      </w:pPr>
      <w:r>
        <w:rPr>
          <w:noProof/>
        </w:rPr>
        <w:t>ii)</w:t>
      </w:r>
      <w:r>
        <w:rPr>
          <w:noProof/>
        </w:rPr>
        <w:tab/>
        <w:t>ostu infrastruktūras izmantoša</w:t>
      </w:r>
      <w:r>
        <w:rPr>
          <w:noProof/>
        </w:rPr>
        <w:t>nu;</w:t>
      </w:r>
    </w:p>
    <w:p w:rsidR="003E022D" w:rsidRDefault="007D19D6">
      <w:pPr>
        <w:ind w:left="1276" w:hanging="567"/>
        <w:rPr>
          <w:rFonts w:cs="Arial"/>
          <w:noProof/>
        </w:rPr>
      </w:pPr>
      <w:r>
        <w:rPr>
          <w:noProof/>
        </w:rPr>
        <w:t>iii)</w:t>
      </w:r>
      <w:r>
        <w:rPr>
          <w:noProof/>
        </w:rPr>
        <w:tab/>
        <w:t>jūras palīgpakalpojumu izmantošanu un</w:t>
      </w:r>
    </w:p>
    <w:p w:rsidR="003E022D" w:rsidRDefault="007D19D6">
      <w:pPr>
        <w:ind w:left="1276" w:hanging="567"/>
        <w:rPr>
          <w:rFonts w:cs="Arial"/>
          <w:noProof/>
        </w:rPr>
      </w:pPr>
      <w:r>
        <w:rPr>
          <w:noProof/>
        </w:rPr>
        <w:t>iv)</w:t>
      </w:r>
      <w:r>
        <w:rPr>
          <w:noProof/>
        </w:rPr>
        <w:tab/>
        <w:t>muitas atvieglojumiem un piestātņu un iekraušanas un izkraušanas iekārtu piešķiršanu; t. sk. saistītām nodevām un maksām;</w:t>
      </w:r>
    </w:p>
    <w:p w:rsidR="003E022D" w:rsidRDefault="007D19D6">
      <w:pPr>
        <w:numPr>
          <w:ilvl w:val="1"/>
          <w:numId w:val="659"/>
        </w:numPr>
        <w:ind w:left="567" w:hanging="567"/>
        <w:rPr>
          <w:rFonts w:cs="Arial"/>
          <w:noProof/>
        </w:rPr>
      </w:pPr>
      <w:r>
        <w:rPr>
          <w:noProof/>
        </w:rPr>
        <w:t>darot pieejamus otras Puses starptautisko jūras pārvadājumu pakalpojumu sniedzējiem</w:t>
      </w:r>
      <w:r>
        <w:rPr>
          <w:noProof/>
        </w:rPr>
        <w:t xml:space="preserve"> ar noteikumiem, kas ir pieņemami un nav mazāk labvēlīgi par tiem, kādus tā piemēro saviem pakalpojumu sniedzējiem vai kuģiem vai trešās valsts kuģiem vai pakalpojumu sniedzējiem (t. sk. nodevas un maksas, sniedzamā pakalpojuma specifikācijas un kvalitāti)</w:t>
      </w:r>
      <w:r>
        <w:rPr>
          <w:noProof/>
        </w:rPr>
        <w:t>, šādus ostas pakalpojumus: loča pakalpojumus, vilkšanas un velkoņu palīdzību, apgādi, degvielas un ūdens piegādi, atkritumu savākšanu un balasta atlikumu aizvākšanu, ostas kapteiņa pakalpojumus, navigācijas līdzekļus, avārijas remonta iekārtas, enkurvieta</w:t>
      </w:r>
      <w:r>
        <w:rPr>
          <w:noProof/>
        </w:rPr>
        <w:t>s, piestātnes, pietauvošanas un attauvošanas pakalpojumus un krasta operatīvos pakalpojumus, kas ir būtiski kuģu ekspluatācijai, ietverot sakarus, ūdens un elektrības piegādi;</w:t>
      </w:r>
    </w:p>
    <w:p w:rsidR="003E022D" w:rsidRDefault="007D19D6">
      <w:pPr>
        <w:numPr>
          <w:ilvl w:val="1"/>
          <w:numId w:val="659"/>
        </w:numPr>
        <w:ind w:left="567" w:hanging="567"/>
        <w:rPr>
          <w:rFonts w:cs="Arial"/>
          <w:noProof/>
        </w:rPr>
      </w:pPr>
      <w:r>
        <w:rPr>
          <w:noProof/>
        </w:rPr>
        <w:t xml:space="preserve">atļaujot otras Puses starptautisko jūras pārvadājumu pakalpojumu sniedzējiem, – </w:t>
      </w:r>
      <w:r>
        <w:rPr>
          <w:noProof/>
        </w:rPr>
        <w:t>attiecīgā gadījumā ar kompetentās iestādes atļauju, – pārvietot īpašumā esošus vai nomātus tukšus konteinerus, kurus par samaksu nepārvadā kā kravu, starp Apvienotās Karalistes ostām vai starp kādas dalībvalsts ostām, un</w:t>
      </w:r>
    </w:p>
    <w:p w:rsidR="003E022D" w:rsidRDefault="007D19D6">
      <w:pPr>
        <w:numPr>
          <w:ilvl w:val="1"/>
          <w:numId w:val="659"/>
        </w:numPr>
        <w:ind w:left="567" w:hanging="567"/>
        <w:rPr>
          <w:rFonts w:cs="Arial"/>
          <w:noProof/>
        </w:rPr>
      </w:pPr>
      <w:r>
        <w:rPr>
          <w:noProof/>
        </w:rPr>
        <w:t xml:space="preserve">atļaujot otras Puses starptautisko </w:t>
      </w:r>
      <w:r>
        <w:rPr>
          <w:noProof/>
        </w:rPr>
        <w:t>jūras pārvadājumu pakalpojumu sniedzējiem sniegt palīgdienestu pakalpojumus starp Apvienotās Karalistes ostām vai dalībvalsts ostām – attiecīgā gadījumā ar kompetentās iestādes atļauju.</w:t>
      </w:r>
    </w:p>
    <w:p w:rsidR="003E022D" w:rsidRDefault="007D19D6">
      <w:pPr>
        <w:numPr>
          <w:ilvl w:val="0"/>
          <w:numId w:val="658"/>
        </w:numPr>
        <w:ind w:left="0" w:firstLine="0"/>
        <w:rPr>
          <w:rFonts w:cs="Arial"/>
          <w:noProof/>
        </w:rPr>
      </w:pPr>
      <w:r>
        <w:rPr>
          <w:noProof/>
        </w:rPr>
        <w:t>Piemērojot 1. punktā minēto principu, katra Puse:</w:t>
      </w:r>
    </w:p>
    <w:p w:rsidR="003E022D" w:rsidRDefault="007D19D6">
      <w:pPr>
        <w:numPr>
          <w:ilvl w:val="1"/>
          <w:numId w:val="660"/>
        </w:numPr>
        <w:ind w:left="567" w:hanging="567"/>
        <w:rPr>
          <w:rFonts w:cs="Arial"/>
          <w:noProof/>
        </w:rPr>
      </w:pPr>
      <w:r>
        <w:rPr>
          <w:noProof/>
        </w:rPr>
        <w:t>neievieš kravas dalī</w:t>
      </w:r>
      <w:r>
        <w:rPr>
          <w:noProof/>
        </w:rPr>
        <w:t xml:space="preserve">šanas režīmu turpmākos divpusējos nolīgumos ar trešām valstīm attiecībā uz starptautisko jūras pārvadājumu pakalpojumiem, ieskaitot sauso un šķidro beztaras preču tirdzniecību un līnijpārvadājumus, un samērīgā termiņā izbeidz šādu kravas dalīšanas režīmu, </w:t>
      </w:r>
      <w:r>
        <w:rPr>
          <w:noProof/>
        </w:rPr>
        <w:t xml:space="preserve">ja tas pastāvējis iepriekšējos nolīgumos, </w:t>
      </w:r>
    </w:p>
    <w:p w:rsidR="003E022D" w:rsidRDefault="007D19D6">
      <w:pPr>
        <w:numPr>
          <w:ilvl w:val="1"/>
          <w:numId w:val="660"/>
        </w:numPr>
        <w:ind w:left="567" w:hanging="567"/>
        <w:rPr>
          <w:rFonts w:cs="Arial"/>
          <w:noProof/>
        </w:rPr>
      </w:pPr>
      <w:r>
        <w:rPr>
          <w:noProof/>
        </w:rPr>
        <w:t>nepieņem vai nepatur spēkā pasākumu, kas prasa visu vai daļu no jebkādas starptautiskas kravas pārvadāt tikai ar minētajā Pusē reģistrētiem kuģiem vai ar kuģiem, kas pieder vai ko kontrolē minētās Puses fiziskās p</w:t>
      </w:r>
      <w:r>
        <w:rPr>
          <w:noProof/>
        </w:rPr>
        <w:t>ersonas;</w:t>
      </w:r>
    </w:p>
    <w:p w:rsidR="003E022D" w:rsidRDefault="007D19D6">
      <w:pPr>
        <w:numPr>
          <w:ilvl w:val="1"/>
          <w:numId w:val="660"/>
        </w:numPr>
        <w:ind w:left="567" w:hanging="567"/>
        <w:rPr>
          <w:rFonts w:cs="Arial"/>
          <w:noProof/>
        </w:rPr>
      </w:pPr>
      <w:r>
        <w:rPr>
          <w:noProof/>
        </w:rPr>
        <w:t>atceļ un atturas ieviest vienpusējus pasākumus vai administratīvus, tehniskus un citus šķēršļus, kas varētu būt slēpti ierobežojumi vai kas varētu diskriminējoši ietekmēt pakalpojumu brīvu sniegšanu starptautiskos jūras pārvadājumos, un</w:t>
      </w:r>
    </w:p>
    <w:p w:rsidR="003E022D" w:rsidRDefault="007D19D6">
      <w:pPr>
        <w:numPr>
          <w:ilvl w:val="1"/>
          <w:numId w:val="660"/>
        </w:numPr>
        <w:ind w:left="567" w:hanging="567"/>
        <w:rPr>
          <w:rFonts w:cs="Arial"/>
          <w:noProof/>
        </w:rPr>
      </w:pPr>
      <w:r>
        <w:rPr>
          <w:noProof/>
        </w:rPr>
        <w:t>neliedz ot</w:t>
      </w:r>
      <w:r>
        <w:rPr>
          <w:noProof/>
        </w:rPr>
        <w:t>ras Puses starptautisko jūras pārvadājumu pakalpojumu sniedzējiem tieši slēgt līgumus ar citiem pārvadājumu pakalpojumu sniedzējiem par tiešo vai multimodālo pārvadājumu pakalpojumiem.</w:t>
      </w:r>
    </w:p>
    <w:p w:rsidR="003E022D" w:rsidRDefault="007D19D6">
      <w:pPr>
        <w:jc w:val="center"/>
        <w:rPr>
          <w:rFonts w:cs="Arial"/>
          <w:i/>
          <w:iCs/>
          <w:noProof/>
          <w:lang w:val="fr-BE"/>
        </w:rPr>
      </w:pPr>
      <w:r>
        <w:rPr>
          <w:i/>
          <w:iCs/>
          <w:noProof/>
          <w:lang w:val="fr-BE"/>
        </w:rPr>
        <w:t>7. iedaļa. Juridiskie pakalpojumi</w:t>
      </w:r>
    </w:p>
    <w:p w:rsidR="003E022D" w:rsidRDefault="007D19D6">
      <w:pPr>
        <w:spacing w:after="120"/>
        <w:jc w:val="center"/>
        <w:rPr>
          <w:bCs/>
          <w:noProof/>
        </w:rPr>
      </w:pPr>
      <w:r>
        <w:rPr>
          <w:noProof/>
          <w:lang w:val="fr-BE"/>
        </w:rPr>
        <w:t xml:space="preserve">SERVIN.5.47. pants. </w:t>
      </w:r>
      <w:r>
        <w:rPr>
          <w:noProof/>
        </w:rPr>
        <w:t>Darbības joma</w:t>
      </w:r>
    </w:p>
    <w:p w:rsidR="003E022D" w:rsidRDefault="007D19D6">
      <w:pPr>
        <w:pStyle w:val="ListParagraph"/>
        <w:numPr>
          <w:ilvl w:val="0"/>
          <w:numId w:val="661"/>
        </w:numPr>
        <w:spacing w:after="120"/>
        <w:ind w:left="360"/>
        <w:rPr>
          <w:rFonts w:cstheme="minorHAnsi"/>
          <w:noProof/>
        </w:rPr>
      </w:pPr>
      <w:r>
        <w:rPr>
          <w:noProof/>
        </w:rPr>
        <w:t xml:space="preserve">Šo </w:t>
      </w:r>
      <w:r>
        <w:rPr>
          <w:noProof/>
        </w:rPr>
        <w:t>iedaļu papildus šīs sadaļas 1., 2., 3. un 4. nodaļai un šīs nodaļas 1. un 2. iedaļai piemēro Puses pasākumiem, kas skar izraudzītu juridisko pakalpojumu sniegšanu.</w:t>
      </w:r>
    </w:p>
    <w:p w:rsidR="003E022D" w:rsidRDefault="007D19D6">
      <w:pPr>
        <w:pStyle w:val="ListParagraph"/>
        <w:numPr>
          <w:ilvl w:val="0"/>
          <w:numId w:val="661"/>
        </w:numPr>
        <w:spacing w:after="100" w:afterAutospacing="1"/>
        <w:ind w:left="357" w:hanging="357"/>
        <w:rPr>
          <w:rFonts w:cstheme="minorHAnsi"/>
          <w:noProof/>
        </w:rPr>
      </w:pPr>
      <w:r>
        <w:rPr>
          <w:noProof/>
        </w:rPr>
        <w:t>Nekas šajā iedaļā neietekmē Puses tiesības bez diskriminācijas regulēt un uzraudzīt izraudzī</w:t>
      </w:r>
      <w:r>
        <w:rPr>
          <w:noProof/>
        </w:rPr>
        <w:t>tu juridisko pakalpojumu sniegšanu tās teritorijā.</w:t>
      </w:r>
    </w:p>
    <w:p w:rsidR="003E022D" w:rsidRDefault="007D19D6">
      <w:pPr>
        <w:spacing w:after="120"/>
        <w:jc w:val="center"/>
        <w:rPr>
          <w:bCs/>
          <w:noProof/>
        </w:rPr>
      </w:pPr>
      <w:r>
        <w:rPr>
          <w:noProof/>
        </w:rPr>
        <w:t>SERVIN.5.48. pants. Definīcijas</w:t>
      </w:r>
    </w:p>
    <w:p w:rsidR="003E022D" w:rsidRDefault="007D19D6">
      <w:pPr>
        <w:pStyle w:val="BodyText"/>
        <w:rPr>
          <w:noProof/>
        </w:rPr>
      </w:pPr>
      <w:r>
        <w:rPr>
          <w:noProof/>
        </w:rPr>
        <w:t>Šajā iedaļā:</w:t>
      </w:r>
    </w:p>
    <w:p w:rsidR="003E022D" w:rsidRDefault="007D19D6">
      <w:pPr>
        <w:pStyle w:val="List2"/>
        <w:spacing w:after="120"/>
        <w:ind w:hanging="284"/>
        <w:jc w:val="both"/>
        <w:rPr>
          <w:noProof/>
          <w:sz w:val="22"/>
          <w:szCs w:val="22"/>
          <w:lang w:val="en-GB"/>
        </w:rPr>
      </w:pPr>
      <w:r>
        <w:rPr>
          <w:noProof/>
          <w:sz w:val="22"/>
          <w:szCs w:val="22"/>
          <w:lang w:val="en-GB"/>
        </w:rPr>
        <w:t>a)</w:t>
      </w:r>
      <w:r>
        <w:rPr>
          <w:noProof/>
          <w:lang w:val="en-GB"/>
        </w:rPr>
        <w:tab/>
      </w:r>
      <w:r>
        <w:rPr>
          <w:noProof/>
          <w:sz w:val="22"/>
          <w:lang w:val="en-GB"/>
        </w:rPr>
        <w:t xml:space="preserve">“izraudzīti juridiskie pakalpojumi” ir juridiskie pakalpojumi saistībā ar piederības valsts jurisdikcijas tiesībām un starptautiskajām publiskajām tiesībām, </w:t>
      </w:r>
      <w:r>
        <w:rPr>
          <w:noProof/>
          <w:sz w:val="22"/>
          <w:lang w:val="en-GB"/>
        </w:rPr>
        <w:t>izņemot Savienības tiesības;</w:t>
      </w:r>
    </w:p>
    <w:p w:rsidR="003E022D" w:rsidRDefault="007D19D6">
      <w:pPr>
        <w:pStyle w:val="List2"/>
        <w:spacing w:after="120"/>
        <w:ind w:hanging="284"/>
        <w:jc w:val="both"/>
        <w:rPr>
          <w:noProof/>
          <w:sz w:val="22"/>
          <w:szCs w:val="22"/>
          <w:lang w:val="en-GB"/>
        </w:rPr>
      </w:pPr>
      <w:r>
        <w:rPr>
          <w:noProof/>
          <w:sz w:val="22"/>
          <w:szCs w:val="22"/>
          <w:lang w:val="en-GB"/>
        </w:rPr>
        <w:t>b)</w:t>
      </w:r>
      <w:r>
        <w:rPr>
          <w:noProof/>
          <w:lang w:val="en-GB"/>
        </w:rPr>
        <w:tab/>
      </w:r>
      <w:r>
        <w:rPr>
          <w:noProof/>
          <w:sz w:val="22"/>
          <w:lang w:val="en-GB"/>
        </w:rPr>
        <w:t xml:space="preserve">“piederības jurisdikcija” ir dalībvalsts vai Apvienotās Karalistes jurisdikcija (vai jurisdikcijas daļa), kurā jurists ieguvis savas piederības jurisdikcijā noteikto profesionālo nosaukumu, vai tādā gadījumā, ja jurists </w:t>
      </w:r>
      <w:r>
        <w:rPr>
          <w:noProof/>
          <w:sz w:val="22"/>
          <w:lang w:val="en-GB"/>
        </w:rPr>
        <w:t>ieguvis piederības jurisdikcijā noteikto profesionālo nosaukumu vairāk nekā vienā no jurisdikcijām, jebkura no šīm jurisdikcijām;</w:t>
      </w:r>
      <w:r>
        <w:rPr>
          <w:noProof/>
          <w:sz w:val="22"/>
          <w:szCs w:val="22"/>
          <w:lang w:val="en-GB"/>
        </w:rPr>
        <w:t xml:space="preserve"> </w:t>
      </w:r>
    </w:p>
    <w:p w:rsidR="003E022D" w:rsidRDefault="007D19D6">
      <w:pPr>
        <w:pStyle w:val="List2"/>
        <w:spacing w:after="120"/>
        <w:ind w:hanging="284"/>
        <w:jc w:val="both"/>
        <w:rPr>
          <w:noProof/>
          <w:sz w:val="22"/>
          <w:szCs w:val="22"/>
          <w:vertAlign w:val="superscript"/>
          <w:lang w:val="en-GB"/>
        </w:rPr>
      </w:pPr>
      <w:r>
        <w:rPr>
          <w:noProof/>
          <w:sz w:val="22"/>
          <w:szCs w:val="22"/>
          <w:lang w:val="en-GB"/>
        </w:rPr>
        <w:t>c)</w:t>
      </w:r>
      <w:r>
        <w:rPr>
          <w:noProof/>
          <w:lang w:val="en-GB"/>
        </w:rPr>
        <w:tab/>
      </w:r>
      <w:r>
        <w:rPr>
          <w:noProof/>
          <w:sz w:val="22"/>
          <w:lang w:val="en-GB"/>
        </w:rPr>
        <w:t>“piederības jurisdikcijas tiesības” ir jurista piederības jurisdikcijas tiesības</w:t>
      </w:r>
      <w:r>
        <w:rPr>
          <w:rStyle w:val="FootnoteReference"/>
          <w:rFonts w:cstheme="minorHAnsi"/>
          <w:noProof/>
          <w:sz w:val="22"/>
          <w:szCs w:val="22"/>
          <w:lang w:val="en-IE"/>
        </w:rPr>
        <w:footnoteReference w:id="31"/>
      </w:r>
      <w:r>
        <w:rPr>
          <w:noProof/>
          <w:sz w:val="22"/>
          <w:lang w:val="en-GB"/>
        </w:rPr>
        <w:t>.</w:t>
      </w:r>
      <w:r>
        <w:rPr>
          <w:rStyle w:val="FootnoteReference"/>
          <w:noProof/>
          <w:sz w:val="22"/>
          <w:szCs w:val="22"/>
          <w:lang w:val="en-GB"/>
        </w:rPr>
        <w:t xml:space="preserve"> </w:t>
      </w:r>
    </w:p>
    <w:p w:rsidR="003E022D" w:rsidRDefault="007D19D6">
      <w:pPr>
        <w:pStyle w:val="List2"/>
        <w:spacing w:after="120"/>
        <w:ind w:hanging="284"/>
        <w:jc w:val="both"/>
        <w:rPr>
          <w:noProof/>
          <w:sz w:val="22"/>
          <w:szCs w:val="22"/>
          <w:lang w:val="en-GB"/>
        </w:rPr>
      </w:pPr>
      <w:r>
        <w:rPr>
          <w:noProof/>
          <w:sz w:val="22"/>
          <w:szCs w:val="22"/>
          <w:lang w:val="en-GB"/>
        </w:rPr>
        <w:t>d)</w:t>
      </w:r>
      <w:r>
        <w:rPr>
          <w:noProof/>
          <w:lang w:val="en-GB"/>
        </w:rPr>
        <w:tab/>
      </w:r>
      <w:r>
        <w:rPr>
          <w:noProof/>
          <w:sz w:val="22"/>
          <w:lang w:val="en-GB"/>
        </w:rPr>
        <w:t>“piederības jurisdikcijā noteiktais</w:t>
      </w:r>
      <w:r>
        <w:rPr>
          <w:noProof/>
          <w:sz w:val="22"/>
          <w:lang w:val="en-GB"/>
        </w:rPr>
        <w:t xml:space="preserve"> profesionālais nosaukums” ir:</w:t>
      </w:r>
    </w:p>
    <w:p w:rsidR="003E022D" w:rsidRDefault="007D19D6">
      <w:pPr>
        <w:pStyle w:val="List3"/>
        <w:spacing w:after="120"/>
        <w:ind w:hanging="284"/>
        <w:jc w:val="both"/>
        <w:rPr>
          <w:noProof/>
          <w:sz w:val="22"/>
          <w:szCs w:val="22"/>
          <w:lang w:val="en-GB"/>
        </w:rPr>
      </w:pPr>
      <w:r>
        <w:rPr>
          <w:noProof/>
          <w:sz w:val="22"/>
          <w:szCs w:val="22"/>
          <w:lang w:val="en-GB"/>
        </w:rPr>
        <w:t>i)</w:t>
      </w:r>
      <w:r>
        <w:rPr>
          <w:noProof/>
          <w:lang w:val="en-GB"/>
        </w:rPr>
        <w:tab/>
      </w:r>
      <w:r>
        <w:rPr>
          <w:noProof/>
          <w:sz w:val="22"/>
          <w:szCs w:val="22"/>
          <w:lang w:val="en-GB"/>
        </w:rPr>
        <w:t xml:space="preserve">attiecībā uz Savienības juristu – dalībvalstī iegūts profesionālais nosaukums, kas atļauj sniegt juridiskos pakalpojumus šajā dalībvalstī, vai </w:t>
      </w:r>
    </w:p>
    <w:p w:rsidR="003E022D" w:rsidRDefault="007D19D6">
      <w:pPr>
        <w:pStyle w:val="List3"/>
        <w:spacing w:after="120"/>
        <w:ind w:hanging="284"/>
        <w:jc w:val="both"/>
        <w:rPr>
          <w:noProof/>
          <w:sz w:val="22"/>
          <w:szCs w:val="22"/>
          <w:lang w:val="en-GB"/>
        </w:rPr>
      </w:pPr>
      <w:r>
        <w:rPr>
          <w:noProof/>
          <w:sz w:val="22"/>
          <w:szCs w:val="22"/>
          <w:lang w:val="en-GB"/>
        </w:rPr>
        <w:t>ii)</w:t>
      </w:r>
      <w:r>
        <w:rPr>
          <w:noProof/>
          <w:lang w:val="en-GB"/>
        </w:rPr>
        <w:tab/>
      </w:r>
      <w:r>
        <w:rPr>
          <w:noProof/>
          <w:sz w:val="22"/>
          <w:szCs w:val="22"/>
          <w:lang w:val="en-GB"/>
        </w:rPr>
        <w:t>attiecībā uz Apvienotās Karalistes juristu – advokāta, jurista vai jurisko</w:t>
      </w:r>
      <w:r>
        <w:rPr>
          <w:noProof/>
          <w:sz w:val="22"/>
          <w:szCs w:val="22"/>
          <w:lang w:val="en-GB"/>
        </w:rPr>
        <w:t>nsulta nosaukums, kas atļauj sniegt juridiskos pakalpojumus jebkurā Apvienotās Karalistes jurisdikcijas daļā;</w:t>
      </w:r>
    </w:p>
    <w:p w:rsidR="003E022D" w:rsidRDefault="007D19D6">
      <w:pPr>
        <w:pStyle w:val="List2"/>
        <w:spacing w:after="120"/>
        <w:jc w:val="both"/>
        <w:rPr>
          <w:noProof/>
          <w:sz w:val="22"/>
          <w:szCs w:val="22"/>
          <w:lang w:val="en-GB"/>
        </w:rPr>
      </w:pPr>
      <w:r>
        <w:rPr>
          <w:noProof/>
          <w:sz w:val="22"/>
          <w:szCs w:val="22"/>
          <w:lang w:val="en-GB"/>
        </w:rPr>
        <w:t>e)</w:t>
      </w:r>
      <w:r>
        <w:rPr>
          <w:noProof/>
          <w:lang w:val="en-GB"/>
        </w:rPr>
        <w:tab/>
      </w:r>
      <w:r>
        <w:rPr>
          <w:noProof/>
          <w:sz w:val="22"/>
          <w:lang w:val="en-GB"/>
        </w:rPr>
        <w:t>“jurists” ir:</w:t>
      </w:r>
    </w:p>
    <w:p w:rsidR="003E022D" w:rsidRDefault="007D19D6">
      <w:pPr>
        <w:pStyle w:val="List3"/>
        <w:spacing w:after="120"/>
        <w:jc w:val="both"/>
        <w:rPr>
          <w:noProof/>
          <w:sz w:val="22"/>
          <w:szCs w:val="22"/>
          <w:lang w:val="en-GB"/>
        </w:rPr>
      </w:pPr>
      <w:r>
        <w:rPr>
          <w:noProof/>
          <w:sz w:val="22"/>
          <w:szCs w:val="22"/>
          <w:lang w:val="en-GB"/>
        </w:rPr>
        <w:t>i)</w:t>
      </w:r>
      <w:r>
        <w:rPr>
          <w:noProof/>
          <w:lang w:val="en-GB"/>
        </w:rPr>
        <w:tab/>
      </w:r>
      <w:r>
        <w:rPr>
          <w:noProof/>
          <w:sz w:val="22"/>
          <w:szCs w:val="22"/>
          <w:lang w:val="en-GB"/>
        </w:rPr>
        <w:t>Savienības fiziska persona, kurai kādā dalībvalstī ir atļauts sniegt juridiskos pakalpojumus, izmantojot piederības jurisdikci</w:t>
      </w:r>
      <w:r>
        <w:rPr>
          <w:noProof/>
          <w:sz w:val="22"/>
          <w:szCs w:val="22"/>
          <w:lang w:val="en-GB"/>
        </w:rPr>
        <w:t>jas profesionālo nosaukumu, vai</w:t>
      </w:r>
    </w:p>
    <w:p w:rsidR="003E022D" w:rsidRDefault="007D19D6">
      <w:pPr>
        <w:pStyle w:val="List3"/>
        <w:spacing w:after="120"/>
        <w:jc w:val="both"/>
        <w:rPr>
          <w:noProof/>
          <w:sz w:val="22"/>
          <w:szCs w:val="22"/>
          <w:lang w:val="en-GB"/>
        </w:rPr>
      </w:pPr>
      <w:r>
        <w:rPr>
          <w:noProof/>
          <w:sz w:val="22"/>
          <w:szCs w:val="22"/>
          <w:lang w:val="en-GB"/>
        </w:rPr>
        <w:t>ii)</w:t>
      </w:r>
      <w:r>
        <w:rPr>
          <w:noProof/>
          <w:lang w:val="en-GB"/>
        </w:rPr>
        <w:tab/>
      </w:r>
      <w:r>
        <w:rPr>
          <w:noProof/>
          <w:sz w:val="22"/>
          <w:szCs w:val="22"/>
          <w:lang w:val="en-GB"/>
        </w:rPr>
        <w:t>Apvienotās Karalistes fiziska persona, kurai jebkurā Apvienotās Karalistes jurisdikcijas daļā ir atļauts sniegt juridiskos pakalpojumus, izmantojot piederības jurisdikcijas profesionālo nosaukumu;</w:t>
      </w:r>
    </w:p>
    <w:p w:rsidR="003E022D" w:rsidRDefault="007D19D6">
      <w:pPr>
        <w:pStyle w:val="BodyTextFirstIndent2"/>
        <w:spacing w:after="120"/>
        <w:ind w:left="0"/>
        <w:jc w:val="both"/>
        <w:rPr>
          <w:noProof/>
          <w:sz w:val="22"/>
          <w:szCs w:val="22"/>
          <w:lang w:val="en-GB"/>
        </w:rPr>
      </w:pPr>
      <w:r>
        <w:rPr>
          <w:noProof/>
          <w:sz w:val="22"/>
          <w:szCs w:val="22"/>
          <w:lang w:val="en-GB"/>
        </w:rPr>
        <w:t>f)</w:t>
      </w:r>
      <w:r>
        <w:rPr>
          <w:noProof/>
          <w:lang w:val="en-GB"/>
        </w:rPr>
        <w:tab/>
      </w:r>
      <w:r>
        <w:rPr>
          <w:noProof/>
          <w:sz w:val="22"/>
          <w:lang w:val="en-GB"/>
        </w:rPr>
        <w:t>“otras Puses jurists</w:t>
      </w:r>
      <w:r>
        <w:rPr>
          <w:noProof/>
          <w:sz w:val="22"/>
          <w:lang w:val="en-GB"/>
        </w:rPr>
        <w:t>” ir:</w:t>
      </w:r>
    </w:p>
    <w:p w:rsidR="003E022D" w:rsidRDefault="007D19D6">
      <w:pPr>
        <w:pStyle w:val="List2"/>
        <w:spacing w:after="120"/>
        <w:ind w:left="926"/>
        <w:jc w:val="both"/>
        <w:rPr>
          <w:noProof/>
          <w:sz w:val="22"/>
          <w:szCs w:val="22"/>
          <w:lang w:val="en-GB"/>
        </w:rPr>
      </w:pPr>
      <w:r>
        <w:rPr>
          <w:noProof/>
          <w:sz w:val="22"/>
          <w:szCs w:val="22"/>
          <w:lang w:val="en-GB"/>
        </w:rPr>
        <w:t>i)</w:t>
      </w:r>
      <w:r>
        <w:rPr>
          <w:noProof/>
          <w:lang w:val="en-GB"/>
        </w:rPr>
        <w:tab/>
      </w:r>
      <w:r>
        <w:rPr>
          <w:noProof/>
          <w:sz w:val="22"/>
          <w:lang w:val="en-GB"/>
        </w:rPr>
        <w:t>ja “otrā Puse” ir Savienība – e) punkta i) apakšpunktā minētais jurists,</w:t>
      </w:r>
      <w:r>
        <w:rPr>
          <w:noProof/>
          <w:sz w:val="22"/>
          <w:szCs w:val="22"/>
          <w:lang w:val="en-GB"/>
        </w:rPr>
        <w:t xml:space="preserve"> vai</w:t>
      </w:r>
    </w:p>
    <w:p w:rsidR="003E022D" w:rsidRDefault="007D19D6">
      <w:pPr>
        <w:pStyle w:val="List3"/>
        <w:spacing w:after="120"/>
        <w:ind w:hanging="284"/>
        <w:jc w:val="both"/>
        <w:rPr>
          <w:noProof/>
          <w:sz w:val="22"/>
          <w:szCs w:val="22"/>
          <w:lang w:val="en-GB"/>
        </w:rPr>
      </w:pPr>
      <w:r>
        <w:rPr>
          <w:noProof/>
          <w:sz w:val="22"/>
          <w:szCs w:val="22"/>
          <w:lang w:val="en-GB"/>
        </w:rPr>
        <w:t>ii)</w:t>
      </w:r>
      <w:r>
        <w:rPr>
          <w:noProof/>
          <w:lang w:val="en-GB"/>
        </w:rPr>
        <w:tab/>
      </w:r>
      <w:r>
        <w:rPr>
          <w:noProof/>
          <w:sz w:val="22"/>
          <w:lang w:val="en-GB"/>
        </w:rPr>
        <w:t>ja “otrā Puse” ir Apvienotā Karaliste – e) punkta ii) daļā minētais jurists,</w:t>
      </w:r>
      <w:r>
        <w:rPr>
          <w:noProof/>
          <w:sz w:val="22"/>
          <w:szCs w:val="22"/>
          <w:lang w:val="en-GB"/>
        </w:rPr>
        <w:t xml:space="preserve"> un</w:t>
      </w:r>
    </w:p>
    <w:p w:rsidR="003E022D" w:rsidRDefault="007D19D6">
      <w:pPr>
        <w:pStyle w:val="List2"/>
        <w:spacing w:after="120"/>
        <w:jc w:val="both"/>
        <w:rPr>
          <w:rFonts w:cstheme="minorHAnsi"/>
          <w:noProof/>
          <w:sz w:val="22"/>
          <w:szCs w:val="22"/>
          <w:lang w:val="en-GB"/>
        </w:rPr>
      </w:pPr>
      <w:r>
        <w:rPr>
          <w:noProof/>
          <w:sz w:val="22"/>
          <w:szCs w:val="22"/>
          <w:lang w:val="en-GB"/>
        </w:rPr>
        <w:t>g)</w:t>
      </w:r>
      <w:r>
        <w:rPr>
          <w:noProof/>
          <w:lang w:val="en-GB"/>
        </w:rPr>
        <w:tab/>
      </w:r>
      <w:r>
        <w:rPr>
          <w:noProof/>
          <w:sz w:val="22"/>
          <w:lang w:val="en-GB"/>
        </w:rPr>
        <w:t>“juridiskie pakalpojumi” ir šādi pakalpojumi:</w:t>
      </w:r>
    </w:p>
    <w:p w:rsidR="003E022D" w:rsidRDefault="007D19D6">
      <w:pPr>
        <w:pStyle w:val="NormalWeb"/>
        <w:ind w:left="566" w:firstLine="154"/>
        <w:rPr>
          <w:rFonts w:asciiTheme="minorHAnsi" w:hAnsiTheme="minorHAnsi" w:cstheme="minorHAnsi"/>
          <w:noProof/>
          <w:sz w:val="22"/>
          <w:szCs w:val="22"/>
        </w:rPr>
      </w:pPr>
      <w:r>
        <w:rPr>
          <w:rFonts w:asciiTheme="minorHAnsi" w:hAnsiTheme="minorHAnsi"/>
          <w:noProof/>
          <w:sz w:val="22"/>
          <w:szCs w:val="22"/>
        </w:rPr>
        <w:t>i) juridisko konsultāciju pakalpojumi</w:t>
      </w:r>
      <w:r>
        <w:rPr>
          <w:rFonts w:asciiTheme="minorHAnsi" w:hAnsiTheme="minorHAnsi"/>
          <w:noProof/>
          <w:sz w:val="22"/>
          <w:szCs w:val="22"/>
        </w:rPr>
        <w:t xml:space="preserve"> un </w:t>
      </w:r>
    </w:p>
    <w:p w:rsidR="003E022D" w:rsidRDefault="007D19D6">
      <w:pPr>
        <w:pStyle w:val="ListParagraph"/>
        <w:rPr>
          <w:rFonts w:eastAsia="Calibri" w:cs="Calibri"/>
          <w:noProof/>
        </w:rPr>
      </w:pPr>
      <w:r>
        <w:rPr>
          <w:noProof/>
        </w:rPr>
        <w:t>ii) juridiskās arbitrāžas, samierināšanas un mediācijas pakalpojumi (taču izslēdzot šādus pakalpojumus, ja tos sniedz fiziskas personas, kā noteikts SERVIN.4.1. pantā [Darbības joma un definīcijas]</w:t>
      </w:r>
      <w:r>
        <w:rPr>
          <w:rStyle w:val="FootnoteReference"/>
          <w:rFonts w:cstheme="minorHAnsi"/>
          <w:noProof/>
        </w:rPr>
        <w:footnoteReference w:id="32"/>
      </w:r>
      <w:r>
        <w:rPr>
          <w:noProof/>
        </w:rPr>
        <w:t>.</w:t>
      </w:r>
    </w:p>
    <w:p w:rsidR="003E022D" w:rsidRDefault="007D19D6">
      <w:pPr>
        <w:pStyle w:val="NormalWeb"/>
        <w:ind w:left="566"/>
        <w:rPr>
          <w:rFonts w:asciiTheme="minorHAnsi" w:hAnsiTheme="minorHAnsi" w:cstheme="minorHAnsi"/>
          <w:noProof/>
          <w:sz w:val="22"/>
          <w:szCs w:val="22"/>
        </w:rPr>
      </w:pPr>
      <w:r>
        <w:rPr>
          <w:noProof/>
          <w:sz w:val="22"/>
        </w:rPr>
        <w:t>“Juridiskie pakalpojumi” neietver juridisko pārstāvību kādas Puses administratīvajās aģentūrās, tiesās un citās pienācīgi izveidotās oficiālās tiesās, juridisko konsultāciju un juridiskās apstiprināšanas, dokumentācijas un sertifikācijas pakalpojumus, ko s</w:t>
      </w:r>
      <w:r>
        <w:rPr>
          <w:noProof/>
          <w:sz w:val="22"/>
        </w:rPr>
        <w:t xml:space="preserve">niedz juridiskās jomas speciālisti, kuriem uzticēti publiski pienākumi tiesvedībā, piemēram, notāri, </w:t>
      </w:r>
      <w:r>
        <w:rPr>
          <w:i/>
          <w:noProof/>
          <w:sz w:val="22"/>
        </w:rPr>
        <w:t>huissiers de justice</w:t>
      </w:r>
      <w:r>
        <w:rPr>
          <w:noProof/>
          <w:sz w:val="22"/>
        </w:rPr>
        <w:t xml:space="preserve"> vai citi </w:t>
      </w:r>
      <w:r>
        <w:rPr>
          <w:i/>
          <w:noProof/>
          <w:sz w:val="22"/>
        </w:rPr>
        <w:t>officiers publics et ministériels</w:t>
      </w:r>
      <w:r>
        <w:rPr>
          <w:noProof/>
          <w:sz w:val="22"/>
        </w:rPr>
        <w:t>, kuri iecelti ar valdības pieņemtu oficiālu aktu.</w:t>
      </w:r>
    </w:p>
    <w:p w:rsidR="003E022D" w:rsidRDefault="007D19D6">
      <w:pPr>
        <w:spacing w:after="120"/>
        <w:jc w:val="center"/>
        <w:rPr>
          <w:bCs/>
          <w:noProof/>
        </w:rPr>
      </w:pPr>
      <w:r>
        <w:rPr>
          <w:noProof/>
        </w:rPr>
        <w:t>SERVIN.5.49. pants. Pienākumi</w:t>
      </w:r>
    </w:p>
    <w:p w:rsidR="003E022D" w:rsidRDefault="007D19D6">
      <w:pPr>
        <w:pStyle w:val="List"/>
        <w:spacing w:after="120"/>
        <w:ind w:left="0" w:firstLine="0"/>
        <w:jc w:val="both"/>
        <w:rPr>
          <w:noProof/>
          <w:sz w:val="22"/>
          <w:szCs w:val="22"/>
          <w:lang w:val="en-GB"/>
        </w:rPr>
      </w:pPr>
      <w:r>
        <w:rPr>
          <w:noProof/>
          <w:sz w:val="22"/>
          <w:szCs w:val="22"/>
          <w:lang w:val="en-GB"/>
        </w:rPr>
        <w:t xml:space="preserve">1. </w:t>
      </w:r>
      <w:r>
        <w:rPr>
          <w:noProof/>
          <w:lang w:val="en-GB"/>
        </w:rPr>
        <w:tab/>
      </w:r>
      <w:r>
        <w:rPr>
          <w:noProof/>
          <w:sz w:val="22"/>
          <w:szCs w:val="22"/>
          <w:lang w:val="en-GB"/>
        </w:rPr>
        <w:t>Puse at</w:t>
      </w:r>
      <w:r>
        <w:rPr>
          <w:noProof/>
          <w:sz w:val="22"/>
          <w:szCs w:val="22"/>
          <w:lang w:val="en-GB"/>
        </w:rPr>
        <w:t>ļauj otras Puses juristam sniegt tās teritorijā izraudzītus juridiskos pakalpojumus, izmantojot minētā jurista piederības jurisdikcijas profesionālo nosaukumu saskaņā ar SERVIN.2.2. pantu [Piekļuve tirgum], SERVIN.2.3. pantu [Valsts režīms], SERVIN.3.2. pa</w:t>
      </w:r>
      <w:r>
        <w:rPr>
          <w:noProof/>
          <w:sz w:val="22"/>
          <w:szCs w:val="22"/>
          <w:lang w:val="en-GB"/>
        </w:rPr>
        <w:t>ntu [Piekļuve tirgum], SERVIN.3.4. pantu [Valsts režīms] un SERVIN.4.4. pantu [Līgumpakalpojumu sniedzēji un neatkarīgie speciālisti].</w:t>
      </w:r>
    </w:p>
    <w:p w:rsidR="003E022D" w:rsidRDefault="007D19D6">
      <w:pPr>
        <w:pStyle w:val="ListParagraph"/>
        <w:spacing w:after="120"/>
        <w:ind w:left="0"/>
        <w:rPr>
          <w:rFonts w:cstheme="minorHAnsi"/>
          <w:noProof/>
        </w:rPr>
      </w:pPr>
      <w:r>
        <w:rPr>
          <w:noProof/>
        </w:rPr>
        <w:t xml:space="preserve">2. </w:t>
      </w:r>
      <w:r>
        <w:rPr>
          <w:noProof/>
        </w:rPr>
        <w:tab/>
        <w:t>Ja Puse (“viesjurisdikcija”) pieprasa reģistrēšanos tās teritorijā kā nosacījumu, lai otras Puses jurists varētu snie</w:t>
      </w:r>
      <w:r>
        <w:rPr>
          <w:noProof/>
        </w:rPr>
        <w:t>gt izraudzītus juridiskos pakalpojumus saskaņā ar 1. punktu, šādas reģistrācijas prasības un process:</w:t>
      </w:r>
    </w:p>
    <w:p w:rsidR="003E022D" w:rsidRDefault="007D19D6">
      <w:pPr>
        <w:pStyle w:val="List2"/>
        <w:numPr>
          <w:ilvl w:val="0"/>
          <w:numId w:val="662"/>
        </w:numPr>
        <w:spacing w:after="120"/>
        <w:ind w:left="851"/>
        <w:jc w:val="both"/>
        <w:rPr>
          <w:noProof/>
          <w:sz w:val="22"/>
          <w:szCs w:val="22"/>
          <w:lang w:val="en-GB"/>
        </w:rPr>
      </w:pPr>
      <w:r>
        <w:rPr>
          <w:noProof/>
          <w:sz w:val="22"/>
          <w:szCs w:val="22"/>
          <w:lang w:val="en-GB"/>
        </w:rPr>
        <w:t xml:space="preserve">nav mazāk labvēlīgs par to, kādu piemēro trešās valsts fiziskai personai, kura, izmantojot minētās personas trešās valsts profesionālo nosaukumu, </w:t>
      </w:r>
      <w:r>
        <w:rPr>
          <w:noProof/>
          <w:sz w:val="22"/>
          <w:szCs w:val="22"/>
          <w:lang w:val="en-GB"/>
        </w:rPr>
        <w:t>viesjurisdikcijas teritorijā sniedz juridiskus pakalpojumus saistībā ar trešās valsts tiesībām vai starptautiskajām publiskajām tiesībām, un</w:t>
      </w:r>
    </w:p>
    <w:p w:rsidR="003E022D" w:rsidRDefault="007D19D6">
      <w:pPr>
        <w:pStyle w:val="List2"/>
        <w:numPr>
          <w:ilvl w:val="0"/>
          <w:numId w:val="662"/>
        </w:numPr>
        <w:spacing w:after="120"/>
        <w:ind w:left="851"/>
        <w:jc w:val="both"/>
        <w:rPr>
          <w:noProof/>
          <w:sz w:val="22"/>
          <w:szCs w:val="22"/>
          <w:lang w:val="en-GB"/>
        </w:rPr>
      </w:pPr>
      <w:r>
        <w:rPr>
          <w:noProof/>
          <w:sz w:val="22"/>
          <w:szCs w:val="22"/>
          <w:lang w:val="en-GB"/>
        </w:rPr>
        <w:t>nenozīmē prasību pārkvalificēties vai tikt uzņemtam viesjurisdikcijas juridiskajā profesijā vai nav līdzvērtīgs šād</w:t>
      </w:r>
      <w:r>
        <w:rPr>
          <w:noProof/>
          <w:sz w:val="22"/>
          <w:szCs w:val="22"/>
          <w:lang w:val="en-GB"/>
        </w:rPr>
        <w:t>ai prasībai.</w:t>
      </w:r>
    </w:p>
    <w:p w:rsidR="003E022D" w:rsidRDefault="007D19D6">
      <w:pPr>
        <w:pStyle w:val="ListParagraph"/>
        <w:spacing w:after="120"/>
        <w:ind w:left="0"/>
        <w:rPr>
          <w:rFonts w:cstheme="minorHAnsi"/>
          <w:strike/>
          <w:noProof/>
        </w:rPr>
      </w:pPr>
      <w:r>
        <w:rPr>
          <w:noProof/>
        </w:rPr>
        <w:t xml:space="preserve">3. </w:t>
      </w:r>
      <w:r>
        <w:rPr>
          <w:noProof/>
        </w:rPr>
        <w:tab/>
        <w:t>Šā panta 4. punktu piemēro izraudzītu juridisko pakalpojumu sniegšanai saskaņā ar 1. punktu, izmantojot iedibināšanu.</w:t>
      </w:r>
    </w:p>
    <w:p w:rsidR="003E022D" w:rsidRDefault="007D19D6">
      <w:pPr>
        <w:spacing w:after="120"/>
        <w:rPr>
          <w:b/>
          <w:noProof/>
        </w:rPr>
      </w:pPr>
      <w:r>
        <w:rPr>
          <w:noProof/>
        </w:rPr>
        <w:t xml:space="preserve">4. </w:t>
      </w:r>
      <w:r>
        <w:rPr>
          <w:noProof/>
        </w:rPr>
        <w:tab/>
        <w:t>Puse atļauj otras Puses juridiskai personai iedibināt savā teritorijā filiāli, ar kuras starpniecību saskaņā ar 1. pu</w:t>
      </w:r>
      <w:r>
        <w:rPr>
          <w:noProof/>
        </w:rPr>
        <w:t>nktu sniedz izraudzītus juridiskos pakalpojumus</w:t>
      </w:r>
      <w:r>
        <w:rPr>
          <w:rStyle w:val="FootnoteReference"/>
          <w:rFonts w:cstheme="minorHAnsi"/>
          <w:noProof/>
          <w:lang w:val="en-IE"/>
        </w:rPr>
        <w:footnoteReference w:id="33"/>
      </w:r>
      <w:r>
        <w:rPr>
          <w:noProof/>
        </w:rPr>
        <w:t>, ievērojot šīs sadaļas 2. nodaļā [Investīciju liberalizācija] izklāstītos nosacījumus. Tas neskar prasības, saskaņā ar kurām konkrēta uzņēmuma kapitāldaļu īpašnieku, īpašnieku, partneru vai direktoru procent</w:t>
      </w:r>
      <w:r>
        <w:rPr>
          <w:noProof/>
        </w:rPr>
        <w:t>uālā daļa būtu kvalificēta vai darbotos konkrētā profesijā, piemēram, jurista vai grāmatveža profesijā.</w:t>
      </w:r>
    </w:p>
    <w:p w:rsidR="003E022D" w:rsidRDefault="007D19D6">
      <w:pPr>
        <w:spacing w:after="120"/>
        <w:jc w:val="center"/>
        <w:rPr>
          <w:bCs/>
          <w:noProof/>
        </w:rPr>
      </w:pPr>
      <w:r>
        <w:rPr>
          <w:noProof/>
        </w:rPr>
        <w:t>SERVIN.5.50. pants. Neatbilstoši pasākumi</w:t>
      </w:r>
    </w:p>
    <w:p w:rsidR="003E022D" w:rsidRDefault="007D19D6">
      <w:pPr>
        <w:pStyle w:val="List"/>
        <w:spacing w:after="120"/>
        <w:rPr>
          <w:noProof/>
          <w:sz w:val="22"/>
          <w:szCs w:val="22"/>
          <w:lang w:val="en-GB"/>
        </w:rPr>
      </w:pPr>
      <w:r>
        <w:rPr>
          <w:noProof/>
          <w:sz w:val="22"/>
          <w:szCs w:val="22"/>
          <w:lang w:val="en-GB"/>
        </w:rPr>
        <w:t>1.</w:t>
      </w:r>
      <w:r>
        <w:rPr>
          <w:noProof/>
          <w:lang w:val="en-GB"/>
        </w:rPr>
        <w:tab/>
      </w:r>
      <w:r>
        <w:rPr>
          <w:noProof/>
          <w:sz w:val="22"/>
          <w:szCs w:val="22"/>
          <w:lang w:val="en-GB"/>
        </w:rPr>
        <w:t>Šīs sadaļas 5.49. pantu [Pienākumi] nepiemēro:</w:t>
      </w:r>
    </w:p>
    <w:p w:rsidR="003E022D" w:rsidRDefault="007D19D6">
      <w:pPr>
        <w:pStyle w:val="List2"/>
        <w:spacing w:after="120"/>
        <w:rPr>
          <w:noProof/>
          <w:sz w:val="22"/>
          <w:szCs w:val="22"/>
          <w:lang w:val="en-GB"/>
        </w:rPr>
      </w:pPr>
      <w:r>
        <w:rPr>
          <w:noProof/>
          <w:sz w:val="22"/>
          <w:szCs w:val="22"/>
          <w:lang w:val="en-GB"/>
        </w:rPr>
        <w:t>a)</w:t>
      </w:r>
      <w:r>
        <w:rPr>
          <w:noProof/>
          <w:lang w:val="en-GB"/>
        </w:rPr>
        <w:tab/>
      </w:r>
      <w:r>
        <w:rPr>
          <w:noProof/>
          <w:sz w:val="22"/>
          <w:szCs w:val="22"/>
          <w:lang w:val="en-GB"/>
        </w:rPr>
        <w:t>spēkā esošam neatbilstošam Puses pasākumam:</w:t>
      </w:r>
    </w:p>
    <w:p w:rsidR="003E022D" w:rsidRDefault="007D19D6">
      <w:pPr>
        <w:pStyle w:val="List3"/>
        <w:spacing w:after="120"/>
        <w:rPr>
          <w:noProof/>
          <w:sz w:val="22"/>
          <w:szCs w:val="22"/>
          <w:lang w:val="en-GB"/>
        </w:rPr>
      </w:pPr>
      <w:r>
        <w:rPr>
          <w:noProof/>
          <w:sz w:val="22"/>
          <w:szCs w:val="22"/>
          <w:lang w:val="en-GB"/>
        </w:rPr>
        <w:t>i)</w:t>
      </w:r>
      <w:r>
        <w:rPr>
          <w:noProof/>
          <w:lang w:val="en-GB"/>
        </w:rPr>
        <w:tab/>
      </w:r>
      <w:r>
        <w:rPr>
          <w:noProof/>
          <w:sz w:val="22"/>
          <w:szCs w:val="22"/>
          <w:lang w:val="en-GB"/>
        </w:rPr>
        <w:t xml:space="preserve">attiecībā </w:t>
      </w:r>
      <w:r>
        <w:rPr>
          <w:noProof/>
          <w:sz w:val="22"/>
          <w:szCs w:val="22"/>
          <w:lang w:val="en-GB"/>
        </w:rPr>
        <w:t>uz Savienību:</w:t>
      </w:r>
    </w:p>
    <w:p w:rsidR="003E022D" w:rsidRDefault="007D19D6">
      <w:pPr>
        <w:pStyle w:val="Default"/>
        <w:spacing w:after="120"/>
        <w:ind w:left="851"/>
        <w:jc w:val="both"/>
        <w:rPr>
          <w:rFonts w:asciiTheme="minorHAnsi" w:hAnsiTheme="minorHAnsi" w:cstheme="minorHAnsi"/>
          <w:noProof/>
          <w:sz w:val="22"/>
          <w:szCs w:val="22"/>
        </w:rPr>
      </w:pPr>
      <w:r>
        <w:rPr>
          <w:rFonts w:asciiTheme="minorHAnsi" w:hAnsiTheme="minorHAnsi"/>
          <w:noProof/>
          <w:sz w:val="22"/>
          <w:szCs w:val="22"/>
        </w:rPr>
        <w:t>A) Savienības līmenī, kā noteikts Savienības sarakstā SERVIN-1. pielikumā [Esošie pasākumi];</w:t>
      </w:r>
    </w:p>
    <w:p w:rsidR="003E022D" w:rsidRDefault="007D19D6">
      <w:pPr>
        <w:pStyle w:val="List4"/>
        <w:spacing w:after="120"/>
        <w:jc w:val="both"/>
        <w:rPr>
          <w:noProof/>
          <w:sz w:val="22"/>
          <w:szCs w:val="22"/>
          <w:lang w:val="en-GB"/>
        </w:rPr>
      </w:pPr>
      <w:r>
        <w:rPr>
          <w:noProof/>
          <w:sz w:val="22"/>
          <w:szCs w:val="22"/>
          <w:lang w:val="en-GB"/>
        </w:rPr>
        <w:t>B) dalībvalsts centrālās valdības līmenī, kā noteikts Savienības sarakstā SERVIN-1 pielikumā [Esošie pasākumi];</w:t>
      </w:r>
    </w:p>
    <w:p w:rsidR="003E022D" w:rsidRDefault="007D19D6">
      <w:pPr>
        <w:pStyle w:val="List4"/>
        <w:spacing w:after="120"/>
        <w:jc w:val="both"/>
        <w:rPr>
          <w:noProof/>
          <w:sz w:val="22"/>
          <w:szCs w:val="22"/>
          <w:lang w:val="en-GB"/>
        </w:rPr>
      </w:pPr>
      <w:r>
        <w:rPr>
          <w:noProof/>
          <w:sz w:val="22"/>
          <w:szCs w:val="22"/>
          <w:lang w:val="en-GB"/>
        </w:rPr>
        <w:t>C)</w:t>
      </w:r>
      <w:r>
        <w:rPr>
          <w:noProof/>
          <w:lang w:val="en-GB"/>
        </w:rPr>
        <w:tab/>
      </w:r>
      <w:r>
        <w:rPr>
          <w:noProof/>
          <w:sz w:val="22"/>
          <w:szCs w:val="22"/>
          <w:lang w:val="en-GB"/>
        </w:rPr>
        <w:t xml:space="preserve"> dalībvalsts reģionālās valdības līmenī, kā noteikts Savienības sarakstā SERVIN-1 pielikumā [Esošie pasākumi]; vai</w:t>
      </w:r>
    </w:p>
    <w:p w:rsidR="003E022D" w:rsidRDefault="007D19D6">
      <w:pPr>
        <w:pStyle w:val="List4"/>
        <w:spacing w:after="120"/>
        <w:jc w:val="both"/>
        <w:rPr>
          <w:noProof/>
          <w:sz w:val="22"/>
          <w:szCs w:val="22"/>
          <w:lang w:val="en-GB"/>
        </w:rPr>
      </w:pPr>
      <w:r>
        <w:rPr>
          <w:noProof/>
          <w:sz w:val="22"/>
          <w:szCs w:val="22"/>
          <w:lang w:val="en-GB"/>
        </w:rPr>
        <w:t>D) tādas vietējās valdības līmenī, kas nav C) punktā minētā valdība, un</w:t>
      </w:r>
    </w:p>
    <w:p w:rsidR="003E022D" w:rsidRDefault="007D19D6">
      <w:pPr>
        <w:pStyle w:val="List3"/>
        <w:spacing w:after="120"/>
        <w:jc w:val="both"/>
        <w:rPr>
          <w:noProof/>
          <w:sz w:val="22"/>
          <w:szCs w:val="22"/>
          <w:lang w:val="en-GB"/>
        </w:rPr>
      </w:pPr>
      <w:r>
        <w:rPr>
          <w:noProof/>
          <w:sz w:val="22"/>
          <w:szCs w:val="22"/>
          <w:lang w:val="en-GB"/>
        </w:rPr>
        <w:t>ii)</w:t>
      </w:r>
      <w:r>
        <w:rPr>
          <w:noProof/>
          <w:lang w:val="en-GB"/>
        </w:rPr>
        <w:tab/>
      </w:r>
      <w:r>
        <w:rPr>
          <w:noProof/>
          <w:sz w:val="22"/>
          <w:szCs w:val="22"/>
          <w:lang w:val="en-GB"/>
        </w:rPr>
        <w:t>attiecībā uz Apvienoto Karalisti:</w:t>
      </w:r>
    </w:p>
    <w:p w:rsidR="003E022D" w:rsidRDefault="007D19D6">
      <w:pPr>
        <w:pStyle w:val="List4"/>
        <w:spacing w:after="120"/>
        <w:jc w:val="both"/>
        <w:rPr>
          <w:noProof/>
          <w:sz w:val="22"/>
          <w:szCs w:val="22"/>
          <w:lang w:val="en-GB"/>
        </w:rPr>
      </w:pPr>
      <w:r>
        <w:rPr>
          <w:noProof/>
          <w:sz w:val="22"/>
          <w:szCs w:val="22"/>
          <w:lang w:val="en-GB"/>
        </w:rPr>
        <w:t>A) centrālās valdības līmenī, k</w:t>
      </w:r>
      <w:r>
        <w:rPr>
          <w:noProof/>
          <w:sz w:val="22"/>
          <w:szCs w:val="22"/>
          <w:lang w:val="en-GB"/>
        </w:rPr>
        <w:t>ā noteikts Apvienotās Karalistes sarakstā SERVIN-1. pielikumā [Esošie pasākumi];</w:t>
      </w:r>
    </w:p>
    <w:p w:rsidR="003E022D" w:rsidRDefault="007D19D6">
      <w:pPr>
        <w:pStyle w:val="List4"/>
        <w:spacing w:after="120"/>
        <w:jc w:val="both"/>
        <w:rPr>
          <w:noProof/>
          <w:sz w:val="22"/>
          <w:szCs w:val="22"/>
          <w:lang w:val="en-GB"/>
        </w:rPr>
      </w:pPr>
      <w:r>
        <w:rPr>
          <w:noProof/>
          <w:sz w:val="22"/>
          <w:szCs w:val="22"/>
          <w:lang w:val="en-GB"/>
        </w:rPr>
        <w:t>B)</w:t>
      </w:r>
      <w:r>
        <w:rPr>
          <w:noProof/>
          <w:lang w:val="en-GB"/>
        </w:rPr>
        <w:tab/>
      </w:r>
      <w:r>
        <w:rPr>
          <w:noProof/>
          <w:sz w:val="22"/>
          <w:szCs w:val="22"/>
          <w:lang w:val="en-GB"/>
        </w:rPr>
        <w:t>reģionālās valdības līmenī, kā noteikts Apvienotās Karalistes sarakstā SERVIN-1. pielikumā [Esošie pasākumi]; vai</w:t>
      </w:r>
    </w:p>
    <w:p w:rsidR="003E022D" w:rsidRDefault="007D19D6">
      <w:pPr>
        <w:pStyle w:val="List4"/>
        <w:spacing w:after="120"/>
        <w:rPr>
          <w:noProof/>
          <w:sz w:val="22"/>
          <w:szCs w:val="22"/>
          <w:lang w:val="en-GB"/>
        </w:rPr>
      </w:pPr>
      <w:r>
        <w:rPr>
          <w:noProof/>
          <w:sz w:val="22"/>
          <w:szCs w:val="22"/>
          <w:lang w:val="en-GB"/>
        </w:rPr>
        <w:t>C)</w:t>
      </w:r>
      <w:r>
        <w:rPr>
          <w:noProof/>
          <w:lang w:val="en-GB"/>
        </w:rPr>
        <w:tab/>
      </w:r>
      <w:r>
        <w:rPr>
          <w:noProof/>
          <w:sz w:val="22"/>
          <w:szCs w:val="22"/>
          <w:lang w:val="en-GB"/>
        </w:rPr>
        <w:t>vietējas valdības līmenī;</w:t>
      </w:r>
    </w:p>
    <w:p w:rsidR="003E022D" w:rsidRDefault="007D19D6">
      <w:pPr>
        <w:pStyle w:val="List2"/>
        <w:spacing w:after="120"/>
        <w:jc w:val="both"/>
        <w:rPr>
          <w:noProof/>
          <w:sz w:val="22"/>
          <w:szCs w:val="22"/>
          <w:lang w:val="en-GB"/>
        </w:rPr>
      </w:pPr>
      <w:r>
        <w:rPr>
          <w:noProof/>
          <w:sz w:val="22"/>
          <w:szCs w:val="22"/>
          <w:lang w:val="en-GB"/>
        </w:rPr>
        <w:t>b)</w:t>
      </w:r>
      <w:r>
        <w:rPr>
          <w:noProof/>
          <w:lang w:val="en-GB"/>
        </w:rPr>
        <w:tab/>
      </w:r>
      <w:r>
        <w:rPr>
          <w:noProof/>
          <w:sz w:val="22"/>
          <w:szCs w:val="22"/>
          <w:lang w:val="en-GB"/>
        </w:rPr>
        <w:t>šā punkta a) apakšpunktā n</w:t>
      </w:r>
      <w:r>
        <w:rPr>
          <w:noProof/>
          <w:sz w:val="22"/>
          <w:szCs w:val="22"/>
          <w:lang w:val="en-GB"/>
        </w:rPr>
        <w:t>orādītajai jebkurai neatbilstoša pasākuma turpināšanai vai tūlītējai atjaunošanai vai</w:t>
      </w:r>
    </w:p>
    <w:p w:rsidR="003E022D" w:rsidRDefault="007D19D6">
      <w:pPr>
        <w:pStyle w:val="List2"/>
        <w:spacing w:after="120"/>
        <w:jc w:val="both"/>
        <w:rPr>
          <w:noProof/>
          <w:sz w:val="22"/>
          <w:szCs w:val="22"/>
          <w:lang w:val="en-GB"/>
        </w:rPr>
      </w:pPr>
      <w:r>
        <w:rPr>
          <w:noProof/>
          <w:sz w:val="22"/>
          <w:szCs w:val="22"/>
          <w:lang w:val="en-GB"/>
        </w:rPr>
        <w:t>c)</w:t>
      </w:r>
      <w:r>
        <w:rPr>
          <w:noProof/>
          <w:lang w:val="en-GB"/>
        </w:rPr>
        <w:tab/>
      </w:r>
      <w:r>
        <w:rPr>
          <w:noProof/>
          <w:sz w:val="22"/>
          <w:szCs w:val="22"/>
          <w:lang w:val="en-GB"/>
        </w:rPr>
        <w:t>izmaiņām jebkurā neatbilstošā pasākumā, kas minēts a) un b) apakšpunktā, tādā apmērā, kurš nesamazina pasākuma atbilstību SERVIN.5.49. pantam [Pienākumi], kāda tā biju</w:t>
      </w:r>
      <w:r>
        <w:rPr>
          <w:noProof/>
          <w:sz w:val="22"/>
          <w:szCs w:val="22"/>
          <w:lang w:val="en-GB"/>
        </w:rPr>
        <w:t>si tieši pirms izmaiņām.</w:t>
      </w:r>
    </w:p>
    <w:p w:rsidR="003E022D" w:rsidRDefault="007D19D6">
      <w:pPr>
        <w:pStyle w:val="List"/>
        <w:spacing w:after="120"/>
        <w:ind w:left="0" w:firstLine="0"/>
        <w:jc w:val="both"/>
        <w:rPr>
          <w:noProof/>
          <w:sz w:val="22"/>
          <w:szCs w:val="22"/>
          <w:lang w:val="en-GB"/>
        </w:rPr>
      </w:pPr>
      <w:r>
        <w:rPr>
          <w:noProof/>
          <w:sz w:val="22"/>
          <w:szCs w:val="22"/>
          <w:lang w:val="en-GB"/>
        </w:rPr>
        <w:t xml:space="preserve">2. </w:t>
      </w:r>
      <w:r>
        <w:rPr>
          <w:noProof/>
          <w:lang w:val="en-GB"/>
        </w:rPr>
        <w:tab/>
      </w:r>
      <w:r>
        <w:rPr>
          <w:noProof/>
          <w:sz w:val="22"/>
          <w:szCs w:val="22"/>
          <w:lang w:val="en-GB"/>
        </w:rPr>
        <w:t xml:space="preserve">SERVIN.5.49. pantu [Pienākumi] nepiemēro nevienam Puses pasākumam, kas ir saderīgs ar atrunām, nosacījumiem vai kvalifikācijām, kuri norādīti attiecībā uz SERVIN-2. pielikumā[Nākotnes pasākumi] uzskaitīto nozari, apakšnozari </w:t>
      </w:r>
      <w:r>
        <w:rPr>
          <w:noProof/>
          <w:sz w:val="22"/>
          <w:szCs w:val="22"/>
          <w:lang w:val="en-GB"/>
        </w:rPr>
        <w:t>vai darbību.</w:t>
      </w:r>
    </w:p>
    <w:p w:rsidR="003E022D" w:rsidRDefault="007D19D6">
      <w:pPr>
        <w:spacing w:after="0"/>
        <w:jc w:val="left"/>
        <w:rPr>
          <w:rFonts w:ascii="Times New Roman" w:eastAsia="Arial" w:hAnsi="Times New Roman" w:cs="Times New Roman"/>
          <w:noProof/>
          <w:sz w:val="24"/>
          <w:szCs w:val="24"/>
        </w:rPr>
      </w:pPr>
      <w:r>
        <w:rPr>
          <w:noProof/>
        </w:rPr>
        <w:t xml:space="preserve">3. </w:t>
      </w:r>
      <w:r>
        <w:rPr>
          <w:noProof/>
        </w:rPr>
        <w:tab/>
        <w:t>Šo iedaļu piemēro, neskarot SERVIN-4. pielikumu [Līgumpakalpojumu sniedzēji un neatkarīgie speciālisti].</w:t>
      </w:r>
      <w:r>
        <w:rPr>
          <w:rFonts w:ascii="Times New Roman" w:hAnsi="Times New Roman"/>
          <w:noProof/>
          <w:sz w:val="24"/>
          <w:szCs w:val="24"/>
        </w:rPr>
        <w:t xml:space="preserve"> </w:t>
      </w:r>
    </w:p>
    <w:p w:rsidR="003E022D" w:rsidRDefault="003E022D">
      <w:pPr>
        <w:spacing w:after="0"/>
        <w:rPr>
          <w:rFonts w:asciiTheme="majorHAnsi" w:hAnsiTheme="majorHAnsi"/>
          <w:noProof/>
        </w:rPr>
      </w:pPr>
    </w:p>
    <w:p w:rsidR="003E022D" w:rsidRDefault="007D19D6">
      <w:pPr>
        <w:pStyle w:val="Title1"/>
        <w:rPr>
          <w:noProof/>
        </w:rPr>
      </w:pPr>
      <w:bookmarkStart w:id="157" w:name="_Toc59988340"/>
      <w:r>
        <w:rPr>
          <w:noProof/>
        </w:rPr>
        <w:t>III sadaļa. Digitālā tirdzniecība</w:t>
      </w:r>
      <w:bookmarkEnd w:id="157"/>
    </w:p>
    <w:p w:rsidR="003E022D" w:rsidRDefault="007D19D6">
      <w:pPr>
        <w:pStyle w:val="Chapter"/>
        <w:rPr>
          <w:noProof/>
        </w:rPr>
      </w:pPr>
      <w:r>
        <w:rPr>
          <w:noProof/>
        </w:rPr>
        <w:t>1. nodaļa. Vispārīgi noteikumi</w:t>
      </w:r>
    </w:p>
    <w:p w:rsidR="003E022D" w:rsidRDefault="007D19D6">
      <w:pPr>
        <w:pStyle w:val="Article"/>
        <w:rPr>
          <w:noProof/>
        </w:rPr>
      </w:pPr>
      <w:r>
        <w:rPr>
          <w:noProof/>
        </w:rPr>
        <w:t>DIGIT.1. pants. Mērķis</w:t>
      </w:r>
    </w:p>
    <w:p w:rsidR="003E022D" w:rsidRDefault="007D19D6">
      <w:pPr>
        <w:rPr>
          <w:noProof/>
        </w:rPr>
      </w:pPr>
      <w:r>
        <w:rPr>
          <w:noProof/>
        </w:rPr>
        <w:t>Šīs sadaļas mērķis ir atvieglot digitālo tir</w:t>
      </w:r>
      <w:r>
        <w:rPr>
          <w:noProof/>
        </w:rPr>
        <w:t>dzniecību, novērst nepamatotus šķēršļus elektroniski nodrošinātā tirdzniecībā un nodrošināt atvērtu, drošu un uzticamu tiešsaistes vidi uzņēmumiem un patērētājiem.</w:t>
      </w:r>
    </w:p>
    <w:p w:rsidR="003E022D" w:rsidRDefault="007D19D6">
      <w:pPr>
        <w:pStyle w:val="Article"/>
        <w:rPr>
          <w:noProof/>
        </w:rPr>
      </w:pPr>
      <w:r>
        <w:rPr>
          <w:noProof/>
        </w:rPr>
        <w:t>DIGIT.2. pants. Darbības joma</w:t>
      </w:r>
    </w:p>
    <w:p w:rsidR="003E022D" w:rsidRDefault="007D19D6">
      <w:pPr>
        <w:rPr>
          <w:rFonts w:cstheme="minorHAnsi"/>
          <w:noProof/>
        </w:rPr>
      </w:pPr>
      <w:r>
        <w:rPr>
          <w:noProof/>
        </w:rPr>
        <w:t>1.</w:t>
      </w:r>
      <w:r>
        <w:rPr>
          <w:noProof/>
        </w:rPr>
        <w:tab/>
        <w:t>Šo sadaļu piemēro Puses pasākumiem, kas skar elektroniski n</w:t>
      </w:r>
      <w:r>
        <w:rPr>
          <w:noProof/>
        </w:rPr>
        <w:t xml:space="preserve">odrošinātu tirdzniecību. </w:t>
      </w:r>
    </w:p>
    <w:p w:rsidR="003E022D" w:rsidRDefault="007D19D6">
      <w:pPr>
        <w:rPr>
          <w:rFonts w:cstheme="minorHAnsi"/>
          <w:noProof/>
        </w:rPr>
      </w:pPr>
      <w:r>
        <w:rPr>
          <w:noProof/>
        </w:rPr>
        <w:t>2.</w:t>
      </w:r>
      <w:r>
        <w:rPr>
          <w:noProof/>
        </w:rPr>
        <w:tab/>
        <w:t>Šo sadaļu nepiemēro audiovizuālajiem pakalpojumiem.</w:t>
      </w:r>
    </w:p>
    <w:p w:rsidR="003E022D" w:rsidRDefault="007D19D6">
      <w:pPr>
        <w:pStyle w:val="Article"/>
        <w:rPr>
          <w:noProof/>
        </w:rPr>
      </w:pPr>
      <w:r>
        <w:rPr>
          <w:noProof/>
        </w:rPr>
        <w:t>DIGIT.3. pants. Tiesības reglamentēt</w:t>
      </w:r>
    </w:p>
    <w:p w:rsidR="003E022D" w:rsidRDefault="007D19D6">
      <w:pPr>
        <w:rPr>
          <w:rFonts w:cstheme="minorHAnsi"/>
          <w:b/>
          <w:noProof/>
        </w:rPr>
      </w:pPr>
      <w:r>
        <w:rPr>
          <w:noProof/>
        </w:rPr>
        <w:t xml:space="preserve">Puses atkārtoti apstiprina tiesības reglamentēt savā teritorijā, lai sasniegtu leģitīmus politikas mērķus tādās jomās kā, piemēram, </w:t>
      </w:r>
      <w:r>
        <w:rPr>
          <w:noProof/>
        </w:rPr>
        <w:t>sabiedrības veselības aizsardzība, sociālie pakalpojumi, publiskā izglītība, drošība, vide, tai skaitā klimata pārmaiņas, sabiedrības morāle, sociālā vai patērētāju tiesību aizsardzība, privātums un datu aizsardzība vai arī kultūras daudzveidības veicināša</w:t>
      </w:r>
      <w:r>
        <w:rPr>
          <w:noProof/>
        </w:rPr>
        <w:t>na un aizsardzība.</w:t>
      </w:r>
    </w:p>
    <w:p w:rsidR="003E022D" w:rsidRDefault="007D19D6">
      <w:pPr>
        <w:pStyle w:val="Article"/>
        <w:rPr>
          <w:noProof/>
        </w:rPr>
      </w:pPr>
      <w:r>
        <w:rPr>
          <w:noProof/>
        </w:rPr>
        <w:t xml:space="preserve">DIGIT.4. pants. </w:t>
      </w:r>
      <w:bookmarkStart w:id="158" w:name="_Hlk55911476"/>
      <w:r>
        <w:rPr>
          <w:noProof/>
        </w:rPr>
        <w:t>Izņēmumi</w:t>
      </w:r>
      <w:bookmarkEnd w:id="158"/>
    </w:p>
    <w:p w:rsidR="003E022D" w:rsidRDefault="007D19D6">
      <w:pPr>
        <w:rPr>
          <w:rFonts w:cstheme="minorHAnsi"/>
          <w:noProof/>
        </w:rPr>
      </w:pPr>
      <w:r>
        <w:rPr>
          <w:noProof/>
        </w:rPr>
        <w:t xml:space="preserve">Lielākai noteiktībai – šī sadaļa neliedz Pusēm pieņemt vai paturēt spēkā pasākumus saskaņā ar EXC.1. pantu [Vispārēji izņēmumi], EXC.4. pantu [Drošības izņēmumi] un SERVIN.5.39. pantu [Piesardzības atkāpe] tajos </w:t>
      </w:r>
      <w:r>
        <w:rPr>
          <w:noProof/>
        </w:rPr>
        <w:t>izklāstīto sabiedrības interešu dēļ.</w:t>
      </w:r>
    </w:p>
    <w:p w:rsidR="003E022D" w:rsidRDefault="007D19D6">
      <w:pPr>
        <w:pStyle w:val="Article"/>
        <w:rPr>
          <w:noProof/>
        </w:rPr>
      </w:pPr>
      <w:r>
        <w:rPr>
          <w:noProof/>
        </w:rPr>
        <w:t>DIGIT.5. pants. Definīcijas</w:t>
      </w:r>
    </w:p>
    <w:p w:rsidR="003E022D" w:rsidRDefault="007D19D6">
      <w:pPr>
        <w:numPr>
          <w:ilvl w:val="0"/>
          <w:numId w:val="194"/>
        </w:numPr>
        <w:ind w:left="0" w:firstLine="0"/>
        <w:rPr>
          <w:rFonts w:cstheme="minorHAnsi"/>
          <w:noProof/>
        </w:rPr>
      </w:pPr>
      <w:r>
        <w:rPr>
          <w:noProof/>
        </w:rPr>
        <w:t xml:space="preserve">Šai sadaļai piemēro šā temata II sadaļas [Pakalpojumi un investīcijas] SERVIN.1.2. pantā [Definīcijas] noteiktās definīcijas. </w:t>
      </w:r>
    </w:p>
    <w:p w:rsidR="003E022D" w:rsidRDefault="007D19D6">
      <w:pPr>
        <w:numPr>
          <w:ilvl w:val="0"/>
          <w:numId w:val="194"/>
        </w:numPr>
        <w:ind w:left="0" w:firstLine="0"/>
        <w:rPr>
          <w:rFonts w:cstheme="minorHAnsi"/>
          <w:noProof/>
        </w:rPr>
      </w:pPr>
      <w:r>
        <w:rPr>
          <w:noProof/>
        </w:rPr>
        <w:t>Šajā sadaļā:</w:t>
      </w:r>
    </w:p>
    <w:p w:rsidR="003E022D" w:rsidRDefault="007D19D6">
      <w:pPr>
        <w:numPr>
          <w:ilvl w:val="0"/>
          <w:numId w:val="195"/>
        </w:numPr>
        <w:ind w:left="567" w:hanging="567"/>
        <w:rPr>
          <w:rFonts w:cstheme="minorHAnsi"/>
          <w:noProof/>
        </w:rPr>
      </w:pPr>
      <w:r>
        <w:rPr>
          <w:noProof/>
        </w:rPr>
        <w:t>“patērētājs” ir jebkura fiziska persona, kas izmant</w:t>
      </w:r>
      <w:r>
        <w:rPr>
          <w:noProof/>
        </w:rPr>
        <w:t xml:space="preserve">o publisko telesakaru pakalpojumu nolūkos, kas nav profesionāli nolūki; </w:t>
      </w:r>
    </w:p>
    <w:p w:rsidR="003E022D" w:rsidRDefault="007D19D6">
      <w:pPr>
        <w:numPr>
          <w:ilvl w:val="0"/>
          <w:numId w:val="195"/>
        </w:numPr>
        <w:ind w:left="567" w:hanging="567"/>
        <w:rPr>
          <w:rFonts w:cstheme="minorHAnsi"/>
          <w:noProof/>
        </w:rPr>
      </w:pPr>
      <w:r>
        <w:rPr>
          <w:noProof/>
        </w:rPr>
        <w:t>“tiešās tirgvedības paziņojums” ir jebkāda veida komercreklāma, ar kuras palīdzību fiziska vai juridiska persona tieši paziņo tirgvedības ziņojumus lietotājam, izmantojot publisko tel</w:t>
      </w:r>
      <w:r>
        <w:rPr>
          <w:noProof/>
        </w:rPr>
        <w:t>esakaru pakalpojumu, un kura aptver vismaz elektronisko pastu un teksta un multivides ziņojumus (</w:t>
      </w:r>
      <w:r>
        <w:rPr>
          <w:i/>
          <w:noProof/>
        </w:rPr>
        <w:t>SMS</w:t>
      </w:r>
      <w:r>
        <w:rPr>
          <w:noProof/>
        </w:rPr>
        <w:t xml:space="preserve"> un </w:t>
      </w:r>
      <w:r>
        <w:rPr>
          <w:i/>
          <w:noProof/>
        </w:rPr>
        <w:t>MMS</w:t>
      </w:r>
      <w:r>
        <w:rPr>
          <w:noProof/>
        </w:rPr>
        <w:t xml:space="preserve">); </w:t>
      </w:r>
    </w:p>
    <w:p w:rsidR="003E022D" w:rsidRDefault="007D19D6">
      <w:pPr>
        <w:numPr>
          <w:ilvl w:val="0"/>
          <w:numId w:val="195"/>
        </w:numPr>
        <w:ind w:left="567" w:hanging="567"/>
        <w:rPr>
          <w:rFonts w:cstheme="minorHAnsi"/>
          <w:noProof/>
          <w:lang w:val="de-DE"/>
        </w:rPr>
      </w:pPr>
      <w:r>
        <w:rPr>
          <w:noProof/>
          <w:lang w:val="de-DE"/>
        </w:rPr>
        <w:t xml:space="preserve">“elektroniskā autentifikācija” ir elektronisks process, kas dara iespējamu: </w:t>
      </w:r>
    </w:p>
    <w:p w:rsidR="003E022D" w:rsidRDefault="007D19D6">
      <w:pPr>
        <w:numPr>
          <w:ilvl w:val="0"/>
          <w:numId w:val="196"/>
        </w:numPr>
        <w:ind w:left="1276" w:hanging="567"/>
        <w:rPr>
          <w:rFonts w:cstheme="minorHAnsi"/>
          <w:noProof/>
        </w:rPr>
      </w:pPr>
      <w:r>
        <w:rPr>
          <w:noProof/>
        </w:rPr>
        <w:t xml:space="preserve">fiziskas vai juridiskas personas elektroniskās identifikācijas vai </w:t>
      </w:r>
    </w:p>
    <w:p w:rsidR="003E022D" w:rsidRDefault="007D19D6">
      <w:pPr>
        <w:numPr>
          <w:ilvl w:val="0"/>
          <w:numId w:val="196"/>
        </w:numPr>
        <w:ind w:left="1276" w:hanging="567"/>
        <w:rPr>
          <w:rFonts w:cstheme="minorHAnsi"/>
          <w:noProof/>
          <w:lang w:val="de-DE"/>
        </w:rPr>
      </w:pPr>
      <w:r>
        <w:rPr>
          <w:noProof/>
          <w:lang w:val="de-DE"/>
        </w:rPr>
        <w:t xml:space="preserve">elektronisko datu izcelsmes un integritātes apstiprināšanu; </w:t>
      </w:r>
    </w:p>
    <w:p w:rsidR="003E022D" w:rsidRDefault="007D19D6">
      <w:pPr>
        <w:numPr>
          <w:ilvl w:val="0"/>
          <w:numId w:val="195"/>
        </w:numPr>
        <w:ind w:left="567" w:hanging="567"/>
        <w:rPr>
          <w:rFonts w:cstheme="minorHAnsi"/>
          <w:noProof/>
          <w:lang w:val="de-DE"/>
        </w:rPr>
      </w:pPr>
      <w:r>
        <w:rPr>
          <w:noProof/>
          <w:lang w:val="de-DE"/>
        </w:rPr>
        <w:t>“elektroniskais piegādes pakalpojums ” ir pakalpojums, kuru izmantojot ar elektroniskiem līdzekļiem tiek nosūtīti dati starp trešām personām, sniedzot apliecinājumu par nosūtīto datu apstrādi, t.</w:t>
      </w:r>
      <w:r>
        <w:rPr>
          <w:noProof/>
          <w:lang w:val="de-DE"/>
        </w:rPr>
        <w:t> sk. pierādījumu par datu nosūtīšanu un saņemšanu, un kurš nodrošina nosūtīto datu aizsardzību pret pazušanu, zādzību vai jebkādu neatļautu sagrozīšanu;</w:t>
      </w:r>
    </w:p>
    <w:p w:rsidR="003E022D" w:rsidRDefault="007D19D6">
      <w:pPr>
        <w:numPr>
          <w:ilvl w:val="0"/>
          <w:numId w:val="195"/>
        </w:numPr>
        <w:ind w:left="567" w:hanging="567"/>
        <w:rPr>
          <w:rFonts w:cstheme="minorHAnsi"/>
          <w:noProof/>
          <w:lang w:val="de-DE"/>
        </w:rPr>
      </w:pPr>
      <w:r>
        <w:rPr>
          <w:noProof/>
          <w:lang w:val="de-DE"/>
        </w:rPr>
        <w:t>“elektroniskais zīmogs” ir elektroniski dati, ko izmanto juridiska persona un kas pievienoti citiem ele</w:t>
      </w:r>
      <w:r>
        <w:rPr>
          <w:noProof/>
          <w:lang w:val="de-DE"/>
        </w:rPr>
        <w:t xml:space="preserve">ktroniskajiem datiem vai loģiski saistīti ar tiem, lai garantētu to izcelsmi un integritāti; </w:t>
      </w:r>
    </w:p>
    <w:p w:rsidR="003E022D" w:rsidRDefault="007D19D6">
      <w:pPr>
        <w:numPr>
          <w:ilvl w:val="0"/>
          <w:numId w:val="195"/>
        </w:numPr>
        <w:ind w:left="567" w:hanging="567"/>
        <w:rPr>
          <w:rFonts w:cstheme="minorHAnsi"/>
          <w:noProof/>
          <w:lang w:val="de-DE"/>
        </w:rPr>
      </w:pPr>
      <w:r>
        <w:rPr>
          <w:noProof/>
          <w:lang w:val="de-DE"/>
        </w:rPr>
        <w:t xml:space="preserve">“elektroniskais zīmogs” ir elektroniski dati, kas pievienoti citiem elektroniskajiem datiem vai loģiski saistīti ar tiem un: </w:t>
      </w:r>
    </w:p>
    <w:p w:rsidR="003E022D" w:rsidRDefault="007D19D6">
      <w:pPr>
        <w:numPr>
          <w:ilvl w:val="0"/>
          <w:numId w:val="197"/>
        </w:numPr>
        <w:ind w:left="1276" w:hanging="567"/>
        <w:rPr>
          <w:rFonts w:cstheme="minorHAnsi"/>
          <w:noProof/>
        </w:rPr>
      </w:pPr>
      <w:r>
        <w:rPr>
          <w:noProof/>
        </w:rPr>
        <w:t>ko izmanto fiziska persona, lai vien</w:t>
      </w:r>
      <w:r>
        <w:rPr>
          <w:noProof/>
        </w:rPr>
        <w:t xml:space="preserve">otos par elektroniskajiem datiem, uz kuriem tie attiecas, un </w:t>
      </w:r>
    </w:p>
    <w:p w:rsidR="003E022D" w:rsidRDefault="007D19D6">
      <w:pPr>
        <w:numPr>
          <w:ilvl w:val="0"/>
          <w:numId w:val="197"/>
        </w:numPr>
        <w:ind w:left="1276" w:hanging="567"/>
        <w:rPr>
          <w:rFonts w:cstheme="minorHAnsi"/>
          <w:noProof/>
        </w:rPr>
      </w:pPr>
      <w:r>
        <w:rPr>
          <w:noProof/>
        </w:rPr>
        <w:t xml:space="preserve">kas ir saistīti ar elektroniskajiem datiem, uz kuriem tie attiecas, tā, lai būtu iespējams atklāt jebkādas turpmākas datu modifikācijas; </w:t>
      </w:r>
    </w:p>
    <w:p w:rsidR="003E022D" w:rsidRDefault="007D19D6">
      <w:pPr>
        <w:numPr>
          <w:ilvl w:val="0"/>
          <w:numId w:val="195"/>
        </w:numPr>
        <w:ind w:left="567" w:hanging="567"/>
        <w:rPr>
          <w:rFonts w:cstheme="minorHAnsi"/>
          <w:noProof/>
        </w:rPr>
      </w:pPr>
      <w:r>
        <w:rPr>
          <w:noProof/>
        </w:rPr>
        <w:t xml:space="preserve">“elektroniskais laika zīmogs” ir elektroniski dati, kas </w:t>
      </w:r>
      <w:r>
        <w:rPr>
          <w:noProof/>
        </w:rPr>
        <w:t>saista citus elektroniskos datus ar konkrētu laiku, apstiprinot šo pēdējo esamību minētajā laikā;</w:t>
      </w:r>
    </w:p>
    <w:p w:rsidR="003E022D" w:rsidRDefault="007D19D6">
      <w:pPr>
        <w:numPr>
          <w:ilvl w:val="0"/>
          <w:numId w:val="195"/>
        </w:numPr>
        <w:ind w:left="567" w:hanging="567"/>
        <w:rPr>
          <w:rFonts w:cstheme="minorHAnsi"/>
          <w:noProof/>
          <w:lang w:val="de-DE"/>
        </w:rPr>
      </w:pPr>
      <w:r>
        <w:rPr>
          <w:noProof/>
          <w:lang w:val="de-DE"/>
        </w:rPr>
        <w:t xml:space="preserve">“elektroniskais uzticamības pakalpojums” ir elektronisks pakalpojums, kas ietver: </w:t>
      </w:r>
    </w:p>
    <w:p w:rsidR="003E022D" w:rsidRDefault="007D19D6">
      <w:pPr>
        <w:numPr>
          <w:ilvl w:val="0"/>
          <w:numId w:val="198"/>
        </w:numPr>
        <w:ind w:left="1276" w:hanging="567"/>
        <w:rPr>
          <w:rFonts w:cstheme="minorHAnsi"/>
          <w:noProof/>
          <w:lang w:val="de-DE"/>
        </w:rPr>
      </w:pPr>
      <w:r>
        <w:rPr>
          <w:noProof/>
          <w:lang w:val="de-DE"/>
        </w:rPr>
        <w:t>elektronisko parakstu, elektronisko zīmogu, elektronisko laika zīmogu, elek</w:t>
      </w:r>
      <w:r>
        <w:rPr>
          <w:noProof/>
          <w:lang w:val="de-DE"/>
        </w:rPr>
        <w:t>tronisko piegādes pakalpojumu un ar minētajiem pakalpojumiem saistītu sertifikātu radīšanu, verifikāciju un validāciju;</w:t>
      </w:r>
    </w:p>
    <w:p w:rsidR="003E022D" w:rsidRDefault="007D19D6">
      <w:pPr>
        <w:numPr>
          <w:ilvl w:val="0"/>
          <w:numId w:val="198"/>
        </w:numPr>
        <w:ind w:left="1276" w:hanging="567"/>
        <w:rPr>
          <w:rFonts w:cstheme="minorHAnsi"/>
          <w:noProof/>
          <w:lang w:val="de-DE"/>
        </w:rPr>
      </w:pPr>
      <w:r>
        <w:rPr>
          <w:noProof/>
          <w:lang w:val="de-DE"/>
        </w:rPr>
        <w:t xml:space="preserve">tīmekļa vietņu autentifikācijas sertifikātu radīšanu, verifikāciju un validāciju vai </w:t>
      </w:r>
    </w:p>
    <w:p w:rsidR="003E022D" w:rsidRDefault="007D19D6">
      <w:pPr>
        <w:numPr>
          <w:ilvl w:val="0"/>
          <w:numId w:val="198"/>
        </w:numPr>
        <w:ind w:left="1276" w:hanging="567"/>
        <w:rPr>
          <w:rFonts w:cstheme="minorHAnsi"/>
          <w:noProof/>
          <w:lang w:val="de-DE"/>
        </w:rPr>
      </w:pPr>
      <w:r>
        <w:rPr>
          <w:noProof/>
          <w:lang w:val="de-DE"/>
        </w:rPr>
        <w:t xml:space="preserve">ar minētajiem pakalpojumiem saistītu elektronisko </w:t>
      </w:r>
      <w:r>
        <w:rPr>
          <w:noProof/>
          <w:lang w:val="de-DE"/>
        </w:rPr>
        <w:t xml:space="preserve">parakstu, zīmogu vai sertifikātu saglabāšanu; </w:t>
      </w:r>
    </w:p>
    <w:p w:rsidR="003E022D" w:rsidRDefault="007D19D6">
      <w:pPr>
        <w:numPr>
          <w:ilvl w:val="0"/>
          <w:numId w:val="195"/>
        </w:numPr>
        <w:ind w:left="567" w:hanging="567"/>
        <w:rPr>
          <w:rFonts w:cstheme="minorHAnsi"/>
          <w:noProof/>
          <w:lang w:val="de-DE"/>
        </w:rPr>
      </w:pPr>
      <w:r>
        <w:rPr>
          <w:noProof/>
          <w:lang w:val="de-DE"/>
        </w:rPr>
        <w:t>“pārvaldes dati” ir dati, kas ir jebkura līmeņa valdības un nevalstisko struktūru rīcībā vai turējumā, īstenojot pilnvaras, ko tām piešķīris jebkurš valdības līmenis;</w:t>
      </w:r>
    </w:p>
    <w:p w:rsidR="003E022D" w:rsidRDefault="007D19D6">
      <w:pPr>
        <w:numPr>
          <w:ilvl w:val="0"/>
          <w:numId w:val="195"/>
        </w:numPr>
        <w:ind w:left="567" w:hanging="567"/>
        <w:rPr>
          <w:rFonts w:cstheme="minorHAnsi"/>
          <w:noProof/>
          <w:lang w:val="de-DE"/>
        </w:rPr>
      </w:pPr>
      <w:r>
        <w:rPr>
          <w:noProof/>
          <w:lang w:val="de-DE"/>
        </w:rPr>
        <w:t>“publiskais telesakaru pakalpojums” ir jeb</w:t>
      </w:r>
      <w:r>
        <w:rPr>
          <w:noProof/>
          <w:lang w:val="de-DE"/>
        </w:rPr>
        <w:t>kurš telesakaru pakalpojums, ko piedāvā sabiedrībai kopumā;</w:t>
      </w:r>
    </w:p>
    <w:p w:rsidR="003E022D" w:rsidRDefault="007D19D6">
      <w:pPr>
        <w:numPr>
          <w:ilvl w:val="0"/>
          <w:numId w:val="195"/>
        </w:numPr>
        <w:ind w:left="567" w:hanging="567"/>
        <w:rPr>
          <w:rFonts w:cstheme="minorHAnsi"/>
          <w:noProof/>
          <w:lang w:val="de-DE"/>
        </w:rPr>
      </w:pPr>
      <w:r>
        <w:rPr>
          <w:noProof/>
          <w:lang w:val="de-DE"/>
        </w:rPr>
        <w:t xml:space="preserve">“lietotājs” ir jebkura fiziska vai juridiska persona, kas izmanto publisko telesakaru pakalpojumu. </w:t>
      </w:r>
    </w:p>
    <w:p w:rsidR="003E022D" w:rsidRDefault="007D19D6">
      <w:pPr>
        <w:pStyle w:val="Chapter"/>
        <w:rPr>
          <w:noProof/>
          <w:lang w:val="fr-BE"/>
        </w:rPr>
      </w:pPr>
      <w:r>
        <w:rPr>
          <w:noProof/>
          <w:lang w:val="fr-BE"/>
        </w:rPr>
        <w:t>2. nodaļa. Datu plūsmas un personas datu aizsardzība</w:t>
      </w:r>
    </w:p>
    <w:p w:rsidR="003E022D" w:rsidRDefault="007D19D6">
      <w:pPr>
        <w:pStyle w:val="Article"/>
        <w:rPr>
          <w:noProof/>
        </w:rPr>
      </w:pPr>
      <w:r>
        <w:rPr>
          <w:noProof/>
        </w:rPr>
        <w:t>DIGIT.6. pants. Datu pārrobežu plūsmas</w:t>
      </w:r>
    </w:p>
    <w:p w:rsidR="003E022D" w:rsidRDefault="007D19D6">
      <w:pPr>
        <w:numPr>
          <w:ilvl w:val="0"/>
          <w:numId w:val="199"/>
        </w:numPr>
        <w:ind w:left="0" w:firstLine="0"/>
        <w:rPr>
          <w:rFonts w:cstheme="minorHAnsi"/>
          <w:noProof/>
        </w:rPr>
      </w:pPr>
      <w:r>
        <w:rPr>
          <w:noProof/>
        </w:rPr>
        <w:t>Puse</w:t>
      </w:r>
      <w:r>
        <w:rPr>
          <w:noProof/>
        </w:rPr>
        <w:t>s apņemas nodrošināt datu pārrobežu plūsmas, lai atvieglotu tirdzniecību digitālajā ekonomikā. Šajā nolūkā Puse neierobežo datu pārrobežu plūsmas starp Pusēm:</w:t>
      </w:r>
    </w:p>
    <w:p w:rsidR="003E022D" w:rsidRDefault="007D19D6">
      <w:pPr>
        <w:numPr>
          <w:ilvl w:val="0"/>
          <w:numId w:val="200"/>
        </w:numPr>
        <w:ind w:left="567" w:hanging="567"/>
        <w:rPr>
          <w:rFonts w:cstheme="minorHAnsi"/>
          <w:noProof/>
        </w:rPr>
      </w:pPr>
      <w:r>
        <w:rPr>
          <w:noProof/>
        </w:rPr>
        <w:t>pieprasot Puses teritorijā datu apstrādei izmantot datošanas iekārtas vai tīkla elementus, t. sk.</w:t>
      </w:r>
      <w:r>
        <w:rPr>
          <w:noProof/>
        </w:rPr>
        <w:t xml:space="preserve"> uzliekot par pienākumu izmantot datošanas iekārtas vai tīkla elementus, kas ir sertificēti vai apstiprināti Puses teritorijā;</w:t>
      </w:r>
    </w:p>
    <w:p w:rsidR="003E022D" w:rsidRDefault="007D19D6">
      <w:pPr>
        <w:numPr>
          <w:ilvl w:val="0"/>
          <w:numId w:val="200"/>
        </w:numPr>
        <w:ind w:left="567" w:hanging="567"/>
        <w:rPr>
          <w:rFonts w:cstheme="minorHAnsi"/>
          <w:noProof/>
        </w:rPr>
      </w:pPr>
      <w:r>
        <w:rPr>
          <w:noProof/>
        </w:rPr>
        <w:t>pieprasot lokalizēt datus Puses teritorijā, lai tos tur uzglabātu vai apstrādātu;</w:t>
      </w:r>
    </w:p>
    <w:p w:rsidR="003E022D" w:rsidRDefault="007D19D6">
      <w:pPr>
        <w:numPr>
          <w:ilvl w:val="0"/>
          <w:numId w:val="200"/>
        </w:numPr>
        <w:ind w:left="567" w:hanging="567"/>
        <w:rPr>
          <w:rFonts w:cstheme="minorHAnsi"/>
          <w:noProof/>
        </w:rPr>
      </w:pPr>
      <w:r>
        <w:rPr>
          <w:noProof/>
        </w:rPr>
        <w:t xml:space="preserve">aizliedzot datu uzglabāšanu vai apstrādi otras </w:t>
      </w:r>
      <w:r>
        <w:rPr>
          <w:noProof/>
        </w:rPr>
        <w:t>Puses teritorijā vai</w:t>
      </w:r>
    </w:p>
    <w:p w:rsidR="003E022D" w:rsidRDefault="007D19D6">
      <w:pPr>
        <w:numPr>
          <w:ilvl w:val="0"/>
          <w:numId w:val="200"/>
        </w:numPr>
        <w:ind w:left="567" w:hanging="567"/>
        <w:rPr>
          <w:rFonts w:cstheme="minorHAnsi"/>
          <w:noProof/>
        </w:rPr>
      </w:pPr>
      <w:r>
        <w:rPr>
          <w:noProof/>
        </w:rPr>
        <w:t>iespējamo datu kontingenta pārrobežu nosūtīšanu īstenojot atbilstīgi tam, cik lielā mērā ir izmantotas datošanas iekārtas vai tīkla elementi Pušu teritorijā vai ievērotas prasības par lokalizēšanu Pušu teritorijā.</w:t>
      </w:r>
    </w:p>
    <w:p w:rsidR="003E022D" w:rsidRDefault="007D19D6">
      <w:pPr>
        <w:numPr>
          <w:ilvl w:val="0"/>
          <w:numId w:val="199"/>
        </w:numPr>
        <w:ind w:left="0" w:firstLine="0"/>
        <w:rPr>
          <w:rFonts w:cstheme="minorHAnsi"/>
          <w:noProof/>
        </w:rPr>
      </w:pPr>
      <w:r>
        <w:rPr>
          <w:noProof/>
        </w:rPr>
        <w:t xml:space="preserve">Puses pārskata šā </w:t>
      </w:r>
      <w:r>
        <w:rPr>
          <w:noProof/>
        </w:rPr>
        <w:t>noteikuma īstenošanu un novērtē tā darbību trīs gadu laikā no šā nolīguma spēkā stāšanās dienas. Puse jebkurā laikā var ierosināt otrai Pusei pārskatīt 1. punktā uzskaitīto ierobežojumu sarakstu. Šādu lūgumu izskata atsaucīgi.</w:t>
      </w:r>
    </w:p>
    <w:p w:rsidR="003E022D" w:rsidRDefault="007D19D6">
      <w:pPr>
        <w:pStyle w:val="Article"/>
        <w:rPr>
          <w:noProof/>
          <w:lang w:val="fr-BE"/>
        </w:rPr>
      </w:pPr>
      <w:bookmarkStart w:id="159" w:name="_Hlk57638398"/>
      <w:r>
        <w:rPr>
          <w:noProof/>
          <w:lang w:val="fr-BE"/>
        </w:rPr>
        <w:t>DIGIT.7. pants. Personas datu</w:t>
      </w:r>
      <w:r>
        <w:rPr>
          <w:noProof/>
          <w:lang w:val="fr-BE"/>
        </w:rPr>
        <w:t xml:space="preserve"> un privātuma aizsardzība</w:t>
      </w:r>
    </w:p>
    <w:p w:rsidR="003E022D" w:rsidRDefault="007D19D6">
      <w:pPr>
        <w:numPr>
          <w:ilvl w:val="0"/>
          <w:numId w:val="201"/>
        </w:numPr>
        <w:ind w:left="0" w:firstLine="0"/>
        <w:rPr>
          <w:rFonts w:cstheme="minorHAnsi"/>
          <w:noProof/>
          <w:lang w:val="fr-BE"/>
        </w:rPr>
      </w:pPr>
      <w:r>
        <w:rPr>
          <w:noProof/>
          <w:lang w:val="fr-BE"/>
        </w:rPr>
        <w:t>Katra Puse atzīst, ka personām ir tiesības uz personas datu un privātuma aizsardzību un ka šajā sakarā noteikti augsti standarti veicina uzticēšanos digitālajai ekonomikai un tirdzniecības attīstību.</w:t>
      </w:r>
    </w:p>
    <w:p w:rsidR="003E022D" w:rsidRDefault="007D19D6">
      <w:pPr>
        <w:numPr>
          <w:ilvl w:val="0"/>
          <w:numId w:val="201"/>
        </w:numPr>
        <w:ind w:left="0" w:firstLine="0"/>
        <w:rPr>
          <w:noProof/>
          <w:color w:val="FF0000"/>
          <w:lang w:val="fr-BE"/>
        </w:rPr>
      </w:pPr>
      <w:r>
        <w:rPr>
          <w:noProof/>
          <w:lang w:val="fr-BE"/>
        </w:rPr>
        <w:t>Nekas šajā nolīgumā neliedz kā</w:t>
      </w:r>
      <w:r>
        <w:rPr>
          <w:noProof/>
          <w:lang w:val="fr-BE"/>
        </w:rPr>
        <w:t>dai Pusei pieņemt vai paturēt spēkā pasākumus, lai nodrošinātu personas datu un privātuma aizsardzību, t. sk. attiecībā uz datu pārrobežu nosūtīšanu, ar noteikumu, ka Puses tiesības paredz instrumentus, kas ļauj veikt datu nosūtīšanu, ievērojot vispārpiemē</w:t>
      </w:r>
      <w:r>
        <w:rPr>
          <w:noProof/>
          <w:lang w:val="fr-BE"/>
        </w:rPr>
        <w:t>rojamus noteikumus</w:t>
      </w:r>
      <w:r>
        <w:rPr>
          <w:rStyle w:val="FootnoteReference"/>
          <w:noProof/>
        </w:rPr>
        <w:footnoteReference w:id="34"/>
      </w:r>
      <w:r>
        <w:rPr>
          <w:noProof/>
          <w:lang w:val="fr-BE"/>
        </w:rPr>
        <w:t xml:space="preserve"> nosūtīto datu aizsardzībai. </w:t>
      </w:r>
    </w:p>
    <w:p w:rsidR="003E022D" w:rsidRDefault="007D19D6">
      <w:pPr>
        <w:numPr>
          <w:ilvl w:val="0"/>
          <w:numId w:val="201"/>
        </w:numPr>
        <w:ind w:left="0" w:firstLine="0"/>
        <w:rPr>
          <w:rFonts w:cstheme="minorHAnsi"/>
          <w:noProof/>
          <w:lang w:val="fr-BE"/>
        </w:rPr>
      </w:pPr>
      <w:r>
        <w:rPr>
          <w:noProof/>
          <w:lang w:val="fr-BE"/>
        </w:rPr>
        <w:t>Katra Puse informē otru Pusi par jebkuru 2. punktā minēto pasākumu, ko tā pieņem vai patur spēkā.</w:t>
      </w:r>
    </w:p>
    <w:bookmarkEnd w:id="159"/>
    <w:p w:rsidR="003E022D" w:rsidRDefault="007D19D6">
      <w:pPr>
        <w:pStyle w:val="Chapter"/>
        <w:rPr>
          <w:noProof/>
          <w:lang w:val="fr-BE"/>
        </w:rPr>
      </w:pPr>
      <w:r>
        <w:rPr>
          <w:noProof/>
          <w:lang w:val="fr-BE"/>
        </w:rPr>
        <w:t>3. nodaļa. Īpaši noteikumi</w:t>
      </w:r>
    </w:p>
    <w:p w:rsidR="003E022D" w:rsidRDefault="007D19D6">
      <w:pPr>
        <w:pStyle w:val="Article"/>
        <w:rPr>
          <w:noProof/>
        </w:rPr>
      </w:pPr>
      <w:r>
        <w:rPr>
          <w:noProof/>
          <w:lang w:val="fr-BE"/>
        </w:rPr>
        <w:t xml:space="preserve">DIGIT.8. pants. </w:t>
      </w:r>
      <w:r>
        <w:rPr>
          <w:noProof/>
        </w:rPr>
        <w:t>Muitas nodokļi par elektronisku nosūtīšanu</w:t>
      </w:r>
    </w:p>
    <w:p w:rsidR="003E022D" w:rsidRDefault="007D19D6">
      <w:pPr>
        <w:numPr>
          <w:ilvl w:val="0"/>
          <w:numId w:val="202"/>
        </w:numPr>
        <w:ind w:left="0" w:firstLine="0"/>
        <w:rPr>
          <w:rFonts w:cstheme="minorHAnsi"/>
          <w:noProof/>
        </w:rPr>
      </w:pPr>
      <w:r>
        <w:rPr>
          <w:noProof/>
        </w:rPr>
        <w:t>Elektronisko nosūtīšanu</w:t>
      </w:r>
      <w:r>
        <w:rPr>
          <w:noProof/>
        </w:rPr>
        <w:t xml:space="preserve"> uzskata par pakalpojuma sniegšanu šā temata II sadaļas [Pakalpojumi un investīcijas] nozīmē.</w:t>
      </w:r>
    </w:p>
    <w:p w:rsidR="003E022D" w:rsidRDefault="007D19D6">
      <w:pPr>
        <w:numPr>
          <w:ilvl w:val="0"/>
          <w:numId w:val="202"/>
        </w:numPr>
        <w:ind w:left="0" w:firstLine="0"/>
        <w:rPr>
          <w:rFonts w:cstheme="minorHAnsi"/>
          <w:noProof/>
        </w:rPr>
      </w:pPr>
      <w:r>
        <w:rPr>
          <w:noProof/>
        </w:rPr>
        <w:t>Puses neuzliek muitas nodokļus par elektronisku nosūtīšanu.</w:t>
      </w:r>
    </w:p>
    <w:p w:rsidR="003E022D" w:rsidRDefault="007D19D6">
      <w:pPr>
        <w:pStyle w:val="Article"/>
        <w:rPr>
          <w:noProof/>
        </w:rPr>
      </w:pPr>
      <w:r>
        <w:rPr>
          <w:noProof/>
        </w:rPr>
        <w:t>DIGIT.9.pants. Iepriekšējas atļaujas nepieprasīšana</w:t>
      </w:r>
    </w:p>
    <w:p w:rsidR="003E022D" w:rsidRDefault="007D19D6">
      <w:pPr>
        <w:numPr>
          <w:ilvl w:val="0"/>
          <w:numId w:val="203"/>
        </w:numPr>
        <w:ind w:left="0" w:firstLine="0"/>
        <w:rPr>
          <w:rFonts w:cstheme="minorHAnsi"/>
          <w:noProof/>
        </w:rPr>
      </w:pPr>
      <w:r>
        <w:rPr>
          <w:noProof/>
        </w:rPr>
        <w:t>Puse nepieprasa iepriekšēju atļauju pakalpojuma sn</w:t>
      </w:r>
      <w:r>
        <w:rPr>
          <w:noProof/>
        </w:rPr>
        <w:t xml:space="preserve">iegšanai ar elektroniskiem līdzekļiem, pamatojoties vienīgi uz to, ka pakalpojumu sniedz tiešsaistē, un nepieņem vai nepatur spēkā nekādas citas prasības ar līdzvērtīgu ietekmi. </w:t>
      </w:r>
    </w:p>
    <w:p w:rsidR="003E022D" w:rsidRDefault="007D19D6">
      <w:pPr>
        <w:pStyle w:val="ListParagraph"/>
        <w:ind w:left="0"/>
        <w:contextualSpacing w:val="0"/>
        <w:rPr>
          <w:rFonts w:cstheme="minorHAnsi"/>
          <w:noProof/>
        </w:rPr>
      </w:pPr>
      <w:r>
        <w:rPr>
          <w:noProof/>
        </w:rPr>
        <w:t xml:space="preserve">Pakalpojumu sniedz tiešsaistē, ja to sniedz elektroniski un bez vienlaicīgas </w:t>
      </w:r>
      <w:r>
        <w:rPr>
          <w:noProof/>
        </w:rPr>
        <w:t>Pušu klātbūtnes.</w:t>
      </w:r>
    </w:p>
    <w:p w:rsidR="003E022D" w:rsidRDefault="007D19D6">
      <w:pPr>
        <w:numPr>
          <w:ilvl w:val="0"/>
          <w:numId w:val="203"/>
        </w:numPr>
        <w:ind w:left="0" w:firstLine="0"/>
        <w:rPr>
          <w:rFonts w:cstheme="minorHAnsi"/>
          <w:noProof/>
        </w:rPr>
      </w:pPr>
      <w:r>
        <w:rPr>
          <w:noProof/>
        </w:rPr>
        <w:t>Šā panta 1. punktu nepiemēro telesakaru pakalpojumiem, apraides pakalpojumiem, azartspēļu pakalpojumiem, juridiskās pārstāvības pakalpojumiem vai notāru vai līdzvērtīgu profesiju pārstāvju pakalpojumiem, ciktāl tas ietver tiešu un konkrētu</w:t>
      </w:r>
      <w:r>
        <w:rPr>
          <w:noProof/>
        </w:rPr>
        <w:t xml:space="preserve"> dalību valsts varas īstenošanā.</w:t>
      </w:r>
    </w:p>
    <w:p w:rsidR="003E022D" w:rsidRDefault="007D19D6">
      <w:pPr>
        <w:pStyle w:val="Article"/>
        <w:rPr>
          <w:noProof/>
        </w:rPr>
      </w:pPr>
      <w:r>
        <w:rPr>
          <w:noProof/>
        </w:rPr>
        <w:t>DIGIT.10. pants. Līgumu noslēgšana, izmantojot elektroniskos līdzekļus</w:t>
      </w:r>
    </w:p>
    <w:p w:rsidR="003E022D" w:rsidRDefault="007D19D6">
      <w:pPr>
        <w:numPr>
          <w:ilvl w:val="0"/>
          <w:numId w:val="204"/>
        </w:numPr>
        <w:ind w:left="0" w:firstLine="0"/>
        <w:rPr>
          <w:rFonts w:eastAsia="Arial" w:cstheme="minorHAnsi"/>
          <w:noProof/>
        </w:rPr>
      </w:pPr>
      <w:r>
        <w:rPr>
          <w:noProof/>
        </w:rPr>
        <w:t xml:space="preserve">Katra Puse nodrošina, ka līgumus var noslēgt, izmantojot elektroniskos līdzekļus, un ka tās tiesības nerada šķēršļus elektronisko līgumu izmantošanā un </w:t>
      </w:r>
      <w:r>
        <w:rPr>
          <w:noProof/>
        </w:rPr>
        <w:t>nerada situāciju, ka līgumiem nav nekādu juridisku seku un tie nav spēkā tikai tāpēc, ka līgums noslēgts, izmantojot elektroniskos līdzekļus.</w:t>
      </w:r>
    </w:p>
    <w:p w:rsidR="003E022D" w:rsidRDefault="007D19D6">
      <w:pPr>
        <w:numPr>
          <w:ilvl w:val="0"/>
          <w:numId w:val="204"/>
        </w:numPr>
        <w:ind w:left="0" w:firstLine="0"/>
        <w:rPr>
          <w:rFonts w:eastAsia="Arial" w:cstheme="minorHAnsi"/>
          <w:noProof/>
        </w:rPr>
      </w:pPr>
      <w:r>
        <w:rPr>
          <w:noProof/>
        </w:rPr>
        <w:t>Šā panta 1. punktu nepiemēro:</w:t>
      </w:r>
    </w:p>
    <w:p w:rsidR="003E022D" w:rsidRDefault="007D19D6">
      <w:pPr>
        <w:numPr>
          <w:ilvl w:val="0"/>
          <w:numId w:val="205"/>
        </w:numPr>
        <w:ind w:left="567" w:hanging="567"/>
        <w:rPr>
          <w:rFonts w:eastAsia="Arial" w:cstheme="minorHAnsi"/>
          <w:noProof/>
        </w:rPr>
      </w:pPr>
      <w:r>
        <w:rPr>
          <w:noProof/>
        </w:rPr>
        <w:t>apraides pakalpojumiem;</w:t>
      </w:r>
    </w:p>
    <w:p w:rsidR="003E022D" w:rsidRDefault="007D19D6">
      <w:pPr>
        <w:numPr>
          <w:ilvl w:val="0"/>
          <w:numId w:val="205"/>
        </w:numPr>
        <w:ind w:left="567" w:hanging="567"/>
        <w:rPr>
          <w:rFonts w:eastAsia="Arial" w:cstheme="minorHAnsi"/>
          <w:noProof/>
        </w:rPr>
      </w:pPr>
      <w:r>
        <w:rPr>
          <w:noProof/>
        </w:rPr>
        <w:t>azartspēļu pakalpojumiem;</w:t>
      </w:r>
    </w:p>
    <w:p w:rsidR="003E022D" w:rsidRDefault="007D19D6">
      <w:pPr>
        <w:numPr>
          <w:ilvl w:val="0"/>
          <w:numId w:val="205"/>
        </w:numPr>
        <w:ind w:left="567" w:hanging="567"/>
        <w:rPr>
          <w:rFonts w:eastAsia="Arial" w:cstheme="minorHAnsi"/>
          <w:noProof/>
        </w:rPr>
      </w:pPr>
      <w:r>
        <w:rPr>
          <w:noProof/>
        </w:rPr>
        <w:t xml:space="preserve">juridiskās pārstāvības </w:t>
      </w:r>
      <w:r>
        <w:rPr>
          <w:noProof/>
        </w:rPr>
        <w:t>pakalpojumiem;</w:t>
      </w:r>
    </w:p>
    <w:p w:rsidR="003E022D" w:rsidRDefault="007D19D6">
      <w:pPr>
        <w:numPr>
          <w:ilvl w:val="0"/>
          <w:numId w:val="205"/>
        </w:numPr>
        <w:ind w:left="567" w:hanging="567"/>
        <w:rPr>
          <w:rFonts w:eastAsia="Arial" w:cstheme="minorHAnsi"/>
          <w:noProof/>
        </w:rPr>
      </w:pPr>
      <w:r>
        <w:rPr>
          <w:noProof/>
        </w:rPr>
        <w:t>notāru vai līdzvērtīgu profesiju pārstāvju pakalpojumiem, kas ietver tiešu un konkrētu dalību valsts varas īstenošanā;</w:t>
      </w:r>
    </w:p>
    <w:p w:rsidR="003E022D" w:rsidRDefault="007D19D6">
      <w:pPr>
        <w:numPr>
          <w:ilvl w:val="0"/>
          <w:numId w:val="205"/>
        </w:numPr>
        <w:ind w:left="567" w:hanging="567"/>
        <w:rPr>
          <w:rFonts w:eastAsia="Arial" w:cstheme="minorHAnsi"/>
          <w:noProof/>
        </w:rPr>
      </w:pPr>
      <w:r>
        <w:rPr>
          <w:noProof/>
        </w:rPr>
        <w:t>līgumiem, kas pieprasa liecinieka personisku klātbūtni;</w:t>
      </w:r>
    </w:p>
    <w:p w:rsidR="003E022D" w:rsidRDefault="007D19D6">
      <w:pPr>
        <w:numPr>
          <w:ilvl w:val="0"/>
          <w:numId w:val="205"/>
        </w:numPr>
        <w:ind w:left="567" w:hanging="567"/>
        <w:rPr>
          <w:rFonts w:eastAsia="Arial" w:cstheme="minorHAnsi"/>
          <w:noProof/>
        </w:rPr>
      </w:pPr>
      <w:r>
        <w:rPr>
          <w:noProof/>
        </w:rPr>
        <w:t>līgumiem, kas nodibina vai nodod tiesības uz nekustamo īpašumu;</w:t>
      </w:r>
    </w:p>
    <w:p w:rsidR="003E022D" w:rsidRDefault="007D19D6">
      <w:pPr>
        <w:numPr>
          <w:ilvl w:val="0"/>
          <w:numId w:val="205"/>
        </w:numPr>
        <w:ind w:left="567" w:hanging="567"/>
        <w:rPr>
          <w:rFonts w:eastAsia="Arial" w:cstheme="minorHAnsi"/>
          <w:noProof/>
        </w:rPr>
      </w:pPr>
      <w:r>
        <w:rPr>
          <w:noProof/>
        </w:rPr>
        <w:t>lī</w:t>
      </w:r>
      <w:r>
        <w:rPr>
          <w:noProof/>
        </w:rPr>
        <w:t>gumiem, kuros ar likumu pieprasīta tiesu vai valsts iestāžu iesaistīšanās vai tādu profesiju pārstāvju iesaistīšanās, kas īsteno valsts varu;</w:t>
      </w:r>
    </w:p>
    <w:p w:rsidR="003E022D" w:rsidRDefault="007D19D6">
      <w:pPr>
        <w:numPr>
          <w:ilvl w:val="0"/>
          <w:numId w:val="205"/>
        </w:numPr>
        <w:ind w:left="567" w:hanging="567"/>
        <w:rPr>
          <w:rFonts w:eastAsia="Arial" w:cstheme="minorHAnsi"/>
          <w:noProof/>
        </w:rPr>
      </w:pPr>
      <w:r>
        <w:rPr>
          <w:noProof/>
        </w:rPr>
        <w:t>līgumiem galvojuma saņemšanai, nodrošinājumiem, ko sniedz personas, kuras darbojas nolūkos, kas nav saistīti ar vi</w:t>
      </w:r>
      <w:r>
        <w:rPr>
          <w:noProof/>
        </w:rPr>
        <w:t>ņu komerciālo, darījumdarbību vai profesiju, vai</w:t>
      </w:r>
    </w:p>
    <w:p w:rsidR="003E022D" w:rsidRDefault="007D19D6">
      <w:pPr>
        <w:numPr>
          <w:ilvl w:val="0"/>
          <w:numId w:val="205"/>
        </w:numPr>
        <w:ind w:left="567" w:hanging="567"/>
        <w:rPr>
          <w:rFonts w:eastAsia="Arial" w:cstheme="minorHAnsi"/>
          <w:noProof/>
        </w:rPr>
      </w:pPr>
      <w:r>
        <w:rPr>
          <w:noProof/>
        </w:rPr>
        <w:t>līgumiem, kurus reglamentē ģimenes tiesības vai mantojuma tiesības.</w:t>
      </w:r>
    </w:p>
    <w:p w:rsidR="003E022D" w:rsidRDefault="007D19D6">
      <w:pPr>
        <w:pStyle w:val="Article"/>
        <w:rPr>
          <w:noProof/>
          <w:lang w:val="de-DE"/>
        </w:rPr>
      </w:pPr>
      <w:r>
        <w:rPr>
          <w:noProof/>
          <w:lang w:val="de-DE"/>
        </w:rPr>
        <w:t>DIGIT.11. pants. Elektroniskā autentifikācija un elektroniskie uzticamības pakalpojumi</w:t>
      </w:r>
    </w:p>
    <w:p w:rsidR="003E022D" w:rsidRDefault="007D19D6">
      <w:pPr>
        <w:numPr>
          <w:ilvl w:val="0"/>
          <w:numId w:val="207"/>
        </w:numPr>
        <w:ind w:left="0" w:firstLine="0"/>
        <w:rPr>
          <w:rFonts w:eastAsia="Arial" w:cstheme="minorHAnsi"/>
          <w:noProof/>
          <w:lang w:val="de-DE"/>
        </w:rPr>
      </w:pPr>
      <w:r>
        <w:rPr>
          <w:noProof/>
          <w:lang w:val="de-DE"/>
        </w:rPr>
        <w:t xml:space="preserve">Puse nenoliedz elektroniskā dokumenta, elektroniskā </w:t>
      </w:r>
      <w:r>
        <w:rPr>
          <w:noProof/>
          <w:lang w:val="de-DE"/>
        </w:rPr>
        <w:t>paraksta, elektroniskā zīmoga, elektroniskā zīmoga vai elektroniskā laika zīmoga, vai, izmantojot elektronisko piegādes pakalpojumu, nosūtīto un saņemto datu juridiskās sekas un pieļaujamību kā pierādījumu tiesvedībā, pamatojoties tikai uz to, ka tie ir el</w:t>
      </w:r>
      <w:r>
        <w:rPr>
          <w:noProof/>
          <w:lang w:val="de-DE"/>
        </w:rPr>
        <w:t>ektroniskā formā.</w:t>
      </w:r>
    </w:p>
    <w:p w:rsidR="003E022D" w:rsidRDefault="007D19D6">
      <w:pPr>
        <w:numPr>
          <w:ilvl w:val="0"/>
          <w:numId w:val="207"/>
        </w:numPr>
        <w:ind w:left="0" w:firstLine="0"/>
        <w:rPr>
          <w:rFonts w:eastAsia="Arial" w:cstheme="minorHAnsi"/>
          <w:noProof/>
          <w:lang w:val="de-DE"/>
        </w:rPr>
      </w:pPr>
      <w:r>
        <w:rPr>
          <w:noProof/>
          <w:lang w:val="de-DE"/>
        </w:rPr>
        <w:t>Puse nepieņem vai nepatur spēka pasākumus, kuri:</w:t>
      </w:r>
    </w:p>
    <w:p w:rsidR="003E022D" w:rsidRDefault="007D19D6">
      <w:pPr>
        <w:numPr>
          <w:ilvl w:val="0"/>
          <w:numId w:val="206"/>
        </w:numPr>
        <w:ind w:left="567" w:hanging="567"/>
        <w:rPr>
          <w:rFonts w:eastAsia="Arial" w:cstheme="minorHAnsi"/>
          <w:noProof/>
          <w:lang w:val="de-DE"/>
        </w:rPr>
      </w:pPr>
      <w:r>
        <w:rPr>
          <w:noProof/>
          <w:lang w:val="de-DE"/>
        </w:rPr>
        <w:t>aizliegtu elektroniska darījuma Pusēm savstarpēji noteikt atbilstošās elektroniskās autentifikācijas metodes viņu darījumiem vai</w:t>
      </w:r>
    </w:p>
    <w:p w:rsidR="003E022D" w:rsidRDefault="007D19D6">
      <w:pPr>
        <w:numPr>
          <w:ilvl w:val="0"/>
          <w:numId w:val="206"/>
        </w:numPr>
        <w:ind w:left="567" w:hanging="567"/>
        <w:rPr>
          <w:rFonts w:eastAsia="Arial" w:cstheme="minorHAnsi"/>
          <w:noProof/>
          <w:lang w:val="de-DE"/>
        </w:rPr>
      </w:pPr>
      <w:r>
        <w:rPr>
          <w:noProof/>
          <w:lang w:val="de-DE"/>
        </w:rPr>
        <w:t xml:space="preserve">liegtu elektroniskā darījuma Pusēm iespēju tiesas un </w:t>
      </w:r>
      <w:r>
        <w:rPr>
          <w:noProof/>
          <w:lang w:val="de-DE"/>
        </w:rPr>
        <w:t>administratīvās iestādēs pierādīt, ka elektroniskās autentifikācijas vai elektroniskā uzticamības pakalpojuma izmantošana minētajā darījumā atbilst piemērojamajām juridiskajām prasībām.</w:t>
      </w:r>
    </w:p>
    <w:p w:rsidR="003E022D" w:rsidRDefault="007D19D6">
      <w:pPr>
        <w:numPr>
          <w:ilvl w:val="0"/>
          <w:numId w:val="207"/>
        </w:numPr>
        <w:ind w:left="0" w:firstLine="0"/>
        <w:rPr>
          <w:rFonts w:eastAsia="Arial" w:cstheme="minorHAnsi"/>
          <w:noProof/>
          <w:lang w:val="de-DE"/>
        </w:rPr>
      </w:pPr>
      <w:r>
        <w:rPr>
          <w:noProof/>
          <w:lang w:val="de-DE"/>
        </w:rPr>
        <w:t>Neskarot 2. punktu, Puse var pieprasīt, lai attiecībā uz konkrētām dar</w:t>
      </w:r>
      <w:r>
        <w:rPr>
          <w:noProof/>
          <w:lang w:val="de-DE"/>
        </w:rPr>
        <w:t>ījumu kategorijām elektroniskās autentifikācijas vai uzticamības pakalpojuma metodi sertificētu iestāde, kas akreditēta saskaņā ar Puses tiesībām, vai lai tā atbilstu konkrētiem snieguma standartiem, kuri ir objektīvi, pārredzami un nediskriminējoši un att</w:t>
      </w:r>
      <w:r>
        <w:rPr>
          <w:noProof/>
          <w:lang w:val="de-DE"/>
        </w:rPr>
        <w:t xml:space="preserve">iecas tikai uz konkrētās darījumu kategorijas īpašībām. </w:t>
      </w:r>
    </w:p>
    <w:p w:rsidR="003E022D" w:rsidRDefault="007D19D6">
      <w:pPr>
        <w:pStyle w:val="Article"/>
        <w:rPr>
          <w:noProof/>
          <w:lang w:val="fr-BE"/>
        </w:rPr>
      </w:pPr>
      <w:r>
        <w:rPr>
          <w:noProof/>
          <w:lang w:val="fr-BE"/>
        </w:rPr>
        <w:t>DIGIT.12. pants. Pirmkoda nodošana vai piekļuve tam</w:t>
      </w:r>
    </w:p>
    <w:p w:rsidR="003E022D" w:rsidRDefault="007D19D6">
      <w:pPr>
        <w:numPr>
          <w:ilvl w:val="0"/>
          <w:numId w:val="208"/>
        </w:numPr>
        <w:ind w:left="0" w:firstLine="0"/>
        <w:rPr>
          <w:rFonts w:eastAsia="Arial" w:cstheme="minorHAnsi"/>
          <w:noProof/>
          <w:lang w:val="fr-BE"/>
        </w:rPr>
      </w:pPr>
      <w:r>
        <w:rPr>
          <w:noProof/>
          <w:lang w:val="fr-BE"/>
        </w:rPr>
        <w:t>Puse nepieprasa otras Puses fiziskai vai juridiskai personai piederošas programmatūras pirmkoda nodošanu vai piekļuvi tam.</w:t>
      </w:r>
    </w:p>
    <w:p w:rsidR="003E022D" w:rsidRDefault="007D19D6">
      <w:pPr>
        <w:numPr>
          <w:ilvl w:val="0"/>
          <w:numId w:val="208"/>
        </w:numPr>
        <w:ind w:left="0" w:firstLine="0"/>
        <w:rPr>
          <w:rFonts w:eastAsia="Arial" w:cstheme="minorHAnsi"/>
          <w:noProof/>
        </w:rPr>
      </w:pPr>
      <w:r>
        <w:rPr>
          <w:noProof/>
        </w:rPr>
        <w:t xml:space="preserve">Lielākai noteiktībai: </w:t>
      </w:r>
    </w:p>
    <w:p w:rsidR="003E022D" w:rsidRDefault="007D19D6">
      <w:pPr>
        <w:numPr>
          <w:ilvl w:val="0"/>
          <w:numId w:val="209"/>
        </w:numPr>
        <w:ind w:left="567" w:hanging="567"/>
        <w:rPr>
          <w:rFonts w:eastAsia="Arial" w:cstheme="minorHAnsi"/>
          <w:noProof/>
        </w:rPr>
      </w:pPr>
      <w:r>
        <w:rPr>
          <w:noProof/>
        </w:rPr>
        <w:t>v</w:t>
      </w:r>
      <w:r>
        <w:rPr>
          <w:noProof/>
        </w:rPr>
        <w:t>ispārējos izņēmumus, drošības izņēmumus un piesardzības atkāpi, kas minēta DIGIT.4. pantā [Izņēmumi], piemēro Puses pasākumiem, kuri pieņemti vai paturēti spēkā saistībā ar sertifikācijas procedūru, un</w:t>
      </w:r>
    </w:p>
    <w:p w:rsidR="003E022D" w:rsidRDefault="007D19D6">
      <w:pPr>
        <w:numPr>
          <w:ilvl w:val="0"/>
          <w:numId w:val="209"/>
        </w:numPr>
        <w:ind w:left="567" w:hanging="567"/>
        <w:rPr>
          <w:rFonts w:eastAsia="Arial" w:cstheme="minorHAnsi"/>
          <w:noProof/>
        </w:rPr>
      </w:pPr>
      <w:r>
        <w:rPr>
          <w:noProof/>
        </w:rPr>
        <w:t>šā panta 1. punktu nepiemēro pirmkoda brīvprātīgai nod</w:t>
      </w:r>
      <w:r>
        <w:rPr>
          <w:noProof/>
        </w:rPr>
        <w:t>ošanai vai piekļuves pirmkodam piešķiršanai uz komerciāliem pamatiem, ko veic otras Puses fiziska vai juridiska persona, piemēram, saistībā ar publiskā iepirkuma darījumu vai sarunu rezultātā noslēgtu līgumu.</w:t>
      </w:r>
    </w:p>
    <w:p w:rsidR="003E022D" w:rsidRDefault="007D19D6">
      <w:pPr>
        <w:numPr>
          <w:ilvl w:val="0"/>
          <w:numId w:val="208"/>
        </w:numPr>
        <w:ind w:left="0" w:firstLine="0"/>
        <w:rPr>
          <w:rFonts w:eastAsia="Arial" w:cstheme="minorHAnsi"/>
          <w:noProof/>
        </w:rPr>
      </w:pPr>
      <w:r>
        <w:rPr>
          <w:noProof/>
        </w:rPr>
        <w:t>Nekas šajā pantā neietekmē:</w:t>
      </w:r>
    </w:p>
    <w:p w:rsidR="003E022D" w:rsidRDefault="007D19D6">
      <w:pPr>
        <w:numPr>
          <w:ilvl w:val="0"/>
          <w:numId w:val="210"/>
        </w:numPr>
        <w:ind w:left="567" w:hanging="567"/>
        <w:rPr>
          <w:rFonts w:cstheme="minorHAnsi"/>
          <w:noProof/>
        </w:rPr>
      </w:pPr>
      <w:r>
        <w:rPr>
          <w:noProof/>
        </w:rPr>
        <w:t xml:space="preserve">saskaņā ar Puses </w:t>
      </w:r>
      <w:r>
        <w:rPr>
          <w:noProof/>
        </w:rPr>
        <w:t>konkurences tiesībām izvirzītu tiesas vai administratīvās tiesas vai konkurences iestādes prasību novērst vai labot konkurences ierobežojumu vai izkropļojumu;</w:t>
      </w:r>
    </w:p>
    <w:p w:rsidR="003E022D" w:rsidRDefault="007D19D6">
      <w:pPr>
        <w:numPr>
          <w:ilvl w:val="0"/>
          <w:numId w:val="210"/>
        </w:numPr>
        <w:ind w:left="567" w:hanging="567"/>
        <w:rPr>
          <w:rFonts w:cstheme="minorHAnsi"/>
          <w:noProof/>
        </w:rPr>
      </w:pPr>
      <w:r>
        <w:rPr>
          <w:noProof/>
        </w:rPr>
        <w:t>regulatora prasību saskaņā ar Puses normatīvajiem aktiem, kas saistīti ar sabiedrības drošības ai</w:t>
      </w:r>
      <w:r>
        <w:rPr>
          <w:noProof/>
        </w:rPr>
        <w:t>zsardzību attiecībā uz lietotājiem tiešsaistē, ievērojot aizsardzības pasākumus pret neatļautu pirmkoda izpaušanu;</w:t>
      </w:r>
    </w:p>
    <w:p w:rsidR="003E022D" w:rsidRDefault="007D19D6">
      <w:pPr>
        <w:numPr>
          <w:ilvl w:val="0"/>
          <w:numId w:val="210"/>
        </w:numPr>
        <w:ind w:left="567" w:hanging="567"/>
        <w:rPr>
          <w:rFonts w:eastAsia="Arial" w:cstheme="minorHAnsi"/>
          <w:noProof/>
        </w:rPr>
      </w:pPr>
      <w:r>
        <w:rPr>
          <w:noProof/>
        </w:rPr>
        <w:t>intelektuālā īpašuma tiesību aizsardzību un īstenošanu un</w:t>
      </w:r>
    </w:p>
    <w:p w:rsidR="003E022D" w:rsidRDefault="007D19D6">
      <w:pPr>
        <w:numPr>
          <w:ilvl w:val="0"/>
          <w:numId w:val="210"/>
        </w:numPr>
        <w:ind w:left="567" w:hanging="567"/>
        <w:rPr>
          <w:rFonts w:eastAsia="Arial" w:cstheme="minorHAnsi"/>
          <w:noProof/>
        </w:rPr>
      </w:pPr>
      <w:r>
        <w:rPr>
          <w:noProof/>
        </w:rPr>
        <w:t xml:space="preserve">Puses tiesības veikt pasākumus saskaņā ar </w:t>
      </w:r>
      <w:r>
        <w:rPr>
          <w:i/>
          <w:iCs/>
          <w:noProof/>
        </w:rPr>
        <w:t>GPA</w:t>
      </w:r>
      <w:r>
        <w:rPr>
          <w:noProof/>
        </w:rPr>
        <w:t xml:space="preserve"> III pantu, kas iekļauts ar šā temata </w:t>
      </w:r>
      <w:r>
        <w:rPr>
          <w:noProof/>
        </w:rPr>
        <w:t>VI sadaļas [Publiskais iepirkums] PPROC.2. pantu [Dažu Nolīguma par valsts iepirkumu noteikumu iekļaušana un aptvertais iepirkums].</w:t>
      </w:r>
    </w:p>
    <w:p w:rsidR="003E022D" w:rsidRDefault="007D19D6">
      <w:pPr>
        <w:pStyle w:val="Article"/>
        <w:rPr>
          <w:noProof/>
        </w:rPr>
      </w:pPr>
      <w:r>
        <w:rPr>
          <w:noProof/>
        </w:rPr>
        <w:t>DIGIT.13. pants. Patērētāju uzticēšanās tiešsaistē</w:t>
      </w:r>
    </w:p>
    <w:p w:rsidR="003E022D" w:rsidRDefault="007D19D6">
      <w:pPr>
        <w:numPr>
          <w:ilvl w:val="0"/>
          <w:numId w:val="211"/>
        </w:numPr>
        <w:ind w:left="0" w:firstLine="0"/>
        <w:rPr>
          <w:rFonts w:eastAsia="Arial" w:cstheme="minorHAnsi"/>
          <w:noProof/>
        </w:rPr>
      </w:pPr>
      <w:r>
        <w:rPr>
          <w:noProof/>
        </w:rPr>
        <w:t>Atzīstot to, cik svarīgi ir palielināt patērētāju uzticēšanos digitālajai</w:t>
      </w:r>
      <w:r>
        <w:rPr>
          <w:noProof/>
        </w:rPr>
        <w:t xml:space="preserve"> tirdzniecībai, katra Puse pieņem vai patur spēkā pasākumus, kas nepieciešami, lai nodrošinātu to patērētāju tiesību efektīvu aizsardzību, kuri iesaistās elektroniskās komercijas darījumos, t. sk., bet ne tikai, pasākumus, kas:</w:t>
      </w:r>
    </w:p>
    <w:p w:rsidR="003E022D" w:rsidRDefault="007D19D6">
      <w:pPr>
        <w:numPr>
          <w:ilvl w:val="0"/>
          <w:numId w:val="212"/>
        </w:numPr>
        <w:ind w:left="567" w:hanging="567"/>
        <w:rPr>
          <w:rFonts w:eastAsia="Arial" w:cstheme="minorHAnsi"/>
          <w:noProof/>
        </w:rPr>
      </w:pPr>
      <w:r>
        <w:rPr>
          <w:noProof/>
        </w:rPr>
        <w:t>aizliedz krāpniecisku un mal</w:t>
      </w:r>
      <w:r>
        <w:rPr>
          <w:noProof/>
        </w:rPr>
        <w:t>dinošu komercpraksi;</w:t>
      </w:r>
    </w:p>
    <w:p w:rsidR="003E022D" w:rsidRDefault="007D19D6">
      <w:pPr>
        <w:numPr>
          <w:ilvl w:val="0"/>
          <w:numId w:val="212"/>
        </w:numPr>
        <w:ind w:left="567" w:hanging="567"/>
        <w:rPr>
          <w:rFonts w:eastAsia="Arial" w:cstheme="minorHAnsi"/>
          <w:noProof/>
        </w:rPr>
      </w:pPr>
      <w:r>
        <w:rPr>
          <w:noProof/>
        </w:rPr>
        <w:t>pieprasa, lai preču piegādātāji un pakalpojumu sniedzēji rīkotos labticīgi un ievērotu godīgu komercpraksi, t. sk. aizliedzot iekasēt maksu no patērētājiem par nepasūtītām precēm un pakalpojumiem;</w:t>
      </w:r>
    </w:p>
    <w:p w:rsidR="003E022D" w:rsidRDefault="007D19D6">
      <w:pPr>
        <w:numPr>
          <w:ilvl w:val="0"/>
          <w:numId w:val="212"/>
        </w:numPr>
        <w:ind w:left="567" w:hanging="567"/>
        <w:rPr>
          <w:rFonts w:eastAsia="Arial" w:cstheme="minorHAnsi"/>
          <w:noProof/>
        </w:rPr>
      </w:pPr>
      <w:r>
        <w:rPr>
          <w:noProof/>
        </w:rPr>
        <w:t>pieprasa, lai preču piegādātāji vai pa</w:t>
      </w:r>
      <w:r>
        <w:rPr>
          <w:noProof/>
        </w:rPr>
        <w:t>kalpojumu sniedzēji sniegtu patērētājiem skaidru un izsmeļošu informāciju, t. sk. gadījumā, ja tie darbojas ar starpnieku pakalpojumu sniedzēju starpniecību, par savu identitāti un kontaktinformāciju, attiecīgo darījumu, t. sk. par preču vai pakalpojumu ga</w:t>
      </w:r>
      <w:r>
        <w:rPr>
          <w:noProof/>
        </w:rPr>
        <w:t>lvenajām īpašībām un pilnu cenu, ieskaitot visas piemērojamās maksas, un par piemērojamām patērētāju tiesībām (starpnieku pakalpojumu sniedzēju gadījumā tas ietver iespēju, ka šādu informāciju sniedz preču piegādātājs vai pakalpojumu sniedzējs), un</w:t>
      </w:r>
    </w:p>
    <w:p w:rsidR="003E022D" w:rsidRDefault="007D19D6">
      <w:pPr>
        <w:numPr>
          <w:ilvl w:val="0"/>
          <w:numId w:val="212"/>
        </w:numPr>
        <w:ind w:left="567" w:hanging="567"/>
        <w:rPr>
          <w:rFonts w:eastAsia="Arial" w:cstheme="minorHAnsi"/>
          <w:noProof/>
        </w:rPr>
      </w:pPr>
      <w:r>
        <w:rPr>
          <w:noProof/>
        </w:rPr>
        <w:t>nodroši</w:t>
      </w:r>
      <w:r>
        <w:rPr>
          <w:noProof/>
        </w:rPr>
        <w:t>na patērētājiem piekļuvi tiesiskajai aizsardzībai saistībā ar viņu tiesību pārkāpumiem, t. sk. piekļuvi tiesībām uz tiesiskās aizsardzības līdzekļiem, ja par precēm vai pakalpojumiem ir samaksāts un tie netiek piegādāti vai sniegti saskaņā ar vienošanos.</w:t>
      </w:r>
    </w:p>
    <w:p w:rsidR="003E022D" w:rsidRDefault="007D19D6">
      <w:pPr>
        <w:numPr>
          <w:ilvl w:val="0"/>
          <w:numId w:val="211"/>
        </w:numPr>
        <w:ind w:left="0" w:firstLine="0"/>
        <w:rPr>
          <w:rFonts w:eastAsia="Arial" w:cstheme="minorHAnsi"/>
          <w:noProof/>
        </w:rPr>
      </w:pPr>
      <w:r>
        <w:rPr>
          <w:noProof/>
        </w:rPr>
        <w:t>P</w:t>
      </w:r>
      <w:r>
        <w:rPr>
          <w:noProof/>
        </w:rPr>
        <w:t>uses atzīst to, cik svarīgi ir savām patērētāju aizsardzības aģentūrām vai citām attiecīgām struktūrām uzticēt pienācīgas izpildes pilnvaras un cik svarīga ir šo aģentūru sadarbība, lai aizsargātu patērētājus un vairotu patērētāju uzticēšanos tiešsaistē.</w:t>
      </w:r>
    </w:p>
    <w:p w:rsidR="003E022D" w:rsidRDefault="007D19D6">
      <w:pPr>
        <w:pStyle w:val="Article"/>
        <w:rPr>
          <w:noProof/>
        </w:rPr>
      </w:pPr>
      <w:r>
        <w:rPr>
          <w:noProof/>
        </w:rPr>
        <w:t>D</w:t>
      </w:r>
      <w:r>
        <w:rPr>
          <w:noProof/>
        </w:rPr>
        <w:t>IGIT.14. pants. Nevēlami tiešās tirgvedības paziņojumi</w:t>
      </w:r>
    </w:p>
    <w:p w:rsidR="003E022D" w:rsidRDefault="007D19D6">
      <w:pPr>
        <w:rPr>
          <w:rFonts w:eastAsia="Arial" w:cstheme="minorHAnsi"/>
          <w:noProof/>
        </w:rPr>
      </w:pPr>
      <w:r>
        <w:rPr>
          <w:noProof/>
        </w:rPr>
        <w:t xml:space="preserve">1. </w:t>
      </w:r>
      <w:r>
        <w:rPr>
          <w:noProof/>
        </w:rPr>
        <w:tab/>
        <w:t>Katra Puse nodrošina, ka lietotāji tiek efektīvi aizsargāti pret nevēlamiem tiešās tirgvedības paziņojumiem.</w:t>
      </w:r>
    </w:p>
    <w:p w:rsidR="003E022D" w:rsidRDefault="007D19D6">
      <w:pPr>
        <w:rPr>
          <w:rFonts w:eastAsia="Arial" w:cstheme="minorHAnsi"/>
          <w:noProof/>
        </w:rPr>
      </w:pPr>
      <w:r>
        <w:rPr>
          <w:noProof/>
        </w:rPr>
        <w:t xml:space="preserve">2. </w:t>
      </w:r>
      <w:r>
        <w:rPr>
          <w:noProof/>
        </w:rPr>
        <w:tab/>
        <w:t>Katra Puse nodrošina, ka tiešās tirgvedības paziņojumus nesūta lietotājiem, kas ir f</w:t>
      </w:r>
      <w:r>
        <w:rPr>
          <w:noProof/>
        </w:rPr>
        <w:t>iziskas personas, izņemot gadījumus, kad tie saskaņā ar katras Puses tiesībām ir devuši piekrišanu šādu paziņojumu saņemšanai.</w:t>
      </w:r>
    </w:p>
    <w:p w:rsidR="003E022D" w:rsidRDefault="007D19D6">
      <w:pPr>
        <w:rPr>
          <w:rFonts w:eastAsia="Arial" w:cstheme="minorHAnsi"/>
          <w:noProof/>
        </w:rPr>
      </w:pPr>
      <w:r>
        <w:rPr>
          <w:noProof/>
        </w:rPr>
        <w:t xml:space="preserve">3. </w:t>
      </w:r>
      <w:r>
        <w:rPr>
          <w:noProof/>
        </w:rPr>
        <w:tab/>
        <w:t>Neatkarīgi no 2. punkta Puse atļauj fiziskām vai juridiskām personām, kas saskaņā ar minētās Puses tiesībām ir savākušas liet</w:t>
      </w:r>
      <w:r>
        <w:rPr>
          <w:noProof/>
        </w:rPr>
        <w:t>otāja kontaktinformāciju saistībā ar preču piegādi vai pakalpojumu sniegšanu, nosūtīt minētajam lietotājam tiešās tirgvedības paziņojumus par līdzīgām precēm vai pakalpojumiem.</w:t>
      </w:r>
    </w:p>
    <w:p w:rsidR="003E022D" w:rsidRDefault="007D19D6">
      <w:pPr>
        <w:rPr>
          <w:rFonts w:eastAsia="Arial" w:cstheme="minorHAnsi"/>
          <w:noProof/>
        </w:rPr>
      </w:pPr>
      <w:r>
        <w:rPr>
          <w:noProof/>
        </w:rPr>
        <w:t xml:space="preserve">4. </w:t>
      </w:r>
      <w:r>
        <w:rPr>
          <w:noProof/>
        </w:rPr>
        <w:tab/>
        <w:t>Katra Puse nodrošina, ka tiešās tirgvedības paziņojumi ir skaidri identific</w:t>
      </w:r>
      <w:r>
        <w:rPr>
          <w:noProof/>
        </w:rPr>
        <w:t>ējami, tajos skaidri norādīts, kā vārdā tie sūtīti, un norādīta informācija, kas vajadzīga, lai lietotāji varētu pieprasīt bez maksas un jebkurā laikā pārtraukt to sūtīšanu.</w:t>
      </w:r>
    </w:p>
    <w:p w:rsidR="003E022D" w:rsidRDefault="007D19D6">
      <w:pPr>
        <w:rPr>
          <w:rFonts w:eastAsia="Arial" w:cstheme="minorHAnsi"/>
          <w:noProof/>
        </w:rPr>
      </w:pPr>
      <w:r>
        <w:rPr>
          <w:noProof/>
        </w:rPr>
        <w:t xml:space="preserve">5. </w:t>
      </w:r>
      <w:r>
        <w:rPr>
          <w:noProof/>
        </w:rPr>
        <w:tab/>
        <w:t>Katra Puse nodrošina lietotājiem piekļuvi tiesiskās aizsardzības līdzekļiem, l</w:t>
      </w:r>
      <w:r>
        <w:rPr>
          <w:noProof/>
        </w:rPr>
        <w:t>ai vērstos pret tiešās tirgvedības paziņojumu piegādātājiem, kas neievēro pasākumus, kuri pieņemti vai paturēti spēkā saskaņā ar 1.–4. punktu.</w:t>
      </w:r>
    </w:p>
    <w:p w:rsidR="003E022D" w:rsidRDefault="007D19D6">
      <w:pPr>
        <w:pStyle w:val="Article"/>
        <w:rPr>
          <w:noProof/>
        </w:rPr>
      </w:pPr>
      <w:r>
        <w:rPr>
          <w:noProof/>
        </w:rPr>
        <w:t>DIGIT.15. pants. Atvērti pārvaldes dati</w:t>
      </w:r>
    </w:p>
    <w:p w:rsidR="003E022D" w:rsidRDefault="007D19D6">
      <w:pPr>
        <w:numPr>
          <w:ilvl w:val="0"/>
          <w:numId w:val="213"/>
        </w:numPr>
        <w:ind w:left="0" w:firstLine="0"/>
        <w:rPr>
          <w:rFonts w:eastAsia="Arial" w:cstheme="minorHAnsi"/>
          <w:noProof/>
        </w:rPr>
      </w:pPr>
      <w:r>
        <w:rPr>
          <w:noProof/>
        </w:rPr>
        <w:t>Puses atzīst, ka, atvieglojot publisko piekļuvi pārvaldes datiem un to iz</w:t>
      </w:r>
      <w:r>
        <w:rPr>
          <w:noProof/>
        </w:rPr>
        <w:t>mantošanu, tiek veicināta ekonomikas un sociālā attīstība, konkurētspēja, produktivitāte un inovācija.</w:t>
      </w:r>
    </w:p>
    <w:p w:rsidR="003E022D" w:rsidRDefault="007D19D6">
      <w:pPr>
        <w:numPr>
          <w:ilvl w:val="0"/>
          <w:numId w:val="213"/>
        </w:numPr>
        <w:ind w:left="0" w:firstLine="0"/>
        <w:rPr>
          <w:noProof/>
        </w:rPr>
      </w:pPr>
      <w:r>
        <w:rPr>
          <w:noProof/>
        </w:rPr>
        <w:t>Ciktāl Puse izvēlas darīt sabiedrībai publiski pieejamus pārvaldes datus, tā, ciktāl tas praktiski iespējams, cenšas nodrošināt, ka šie dati:</w:t>
      </w:r>
    </w:p>
    <w:p w:rsidR="003E022D" w:rsidRDefault="007D19D6">
      <w:pPr>
        <w:numPr>
          <w:ilvl w:val="0"/>
          <w:numId w:val="214"/>
        </w:numPr>
        <w:ind w:left="567" w:hanging="567"/>
        <w:rPr>
          <w:noProof/>
        </w:rPr>
      </w:pPr>
      <w:r>
        <w:rPr>
          <w:noProof/>
        </w:rPr>
        <w:t>ir tādā for</w:t>
      </w:r>
      <w:r>
        <w:rPr>
          <w:noProof/>
        </w:rPr>
        <w:t>mātā, kas ļauj tos viegli meklēt, izgūt, izmantot, atkārtoti izmantot un izplatīt;</w:t>
      </w:r>
    </w:p>
    <w:p w:rsidR="003E022D" w:rsidRDefault="007D19D6">
      <w:pPr>
        <w:numPr>
          <w:ilvl w:val="0"/>
          <w:numId w:val="214"/>
        </w:numPr>
        <w:ind w:left="567" w:hanging="567"/>
        <w:rPr>
          <w:noProof/>
        </w:rPr>
      </w:pPr>
      <w:r>
        <w:rPr>
          <w:noProof/>
        </w:rPr>
        <w:t>ir mašīnlasāmi un telpiski pieejamā formātā;</w:t>
      </w:r>
    </w:p>
    <w:p w:rsidR="003E022D" w:rsidRDefault="007D19D6">
      <w:pPr>
        <w:numPr>
          <w:ilvl w:val="0"/>
          <w:numId w:val="214"/>
        </w:numPr>
        <w:ind w:left="567" w:hanging="567"/>
        <w:rPr>
          <w:noProof/>
        </w:rPr>
      </w:pPr>
      <w:r>
        <w:rPr>
          <w:noProof/>
        </w:rPr>
        <w:t>satur aprakstošus metadatus, kas ir pēc iespējas standartizēti;</w:t>
      </w:r>
    </w:p>
    <w:p w:rsidR="003E022D" w:rsidRDefault="007D19D6">
      <w:pPr>
        <w:numPr>
          <w:ilvl w:val="0"/>
          <w:numId w:val="214"/>
        </w:numPr>
        <w:ind w:left="567" w:hanging="567"/>
        <w:rPr>
          <w:noProof/>
        </w:rPr>
      </w:pPr>
      <w:r>
        <w:rPr>
          <w:noProof/>
        </w:rPr>
        <w:t xml:space="preserve">ir pieejami, izmantojot uzticamas, ērti lietojamas un brīvi </w:t>
      </w:r>
      <w:r>
        <w:rPr>
          <w:noProof/>
        </w:rPr>
        <w:t>pieejamas lietojumprogrammu saskarnes;</w:t>
      </w:r>
    </w:p>
    <w:p w:rsidR="003E022D" w:rsidRDefault="007D19D6">
      <w:pPr>
        <w:numPr>
          <w:ilvl w:val="0"/>
          <w:numId w:val="214"/>
        </w:numPr>
        <w:ind w:left="567" w:hanging="567"/>
        <w:rPr>
          <w:noProof/>
        </w:rPr>
      </w:pPr>
      <w:r>
        <w:rPr>
          <w:noProof/>
        </w:rPr>
        <w:t>tiek regulāri atjaunināti;</w:t>
      </w:r>
    </w:p>
    <w:p w:rsidR="003E022D" w:rsidRDefault="007D19D6">
      <w:pPr>
        <w:numPr>
          <w:ilvl w:val="0"/>
          <w:numId w:val="214"/>
        </w:numPr>
        <w:ind w:left="567" w:hanging="567"/>
        <w:rPr>
          <w:noProof/>
        </w:rPr>
      </w:pPr>
      <w:r>
        <w:rPr>
          <w:noProof/>
        </w:rPr>
        <w:t>tiem nepiemēro izmantošanas nosacījumus, kas ir diskriminējoši vai nevajadzīgi ierobežo atkalizmantošanu, un</w:t>
      </w:r>
    </w:p>
    <w:p w:rsidR="003E022D" w:rsidRDefault="007D19D6">
      <w:pPr>
        <w:numPr>
          <w:ilvl w:val="0"/>
          <w:numId w:val="214"/>
        </w:numPr>
        <w:ind w:left="567" w:hanging="567"/>
        <w:rPr>
          <w:noProof/>
        </w:rPr>
      </w:pPr>
      <w:r>
        <w:rPr>
          <w:noProof/>
        </w:rPr>
        <w:t>tiek darīti pieejami atkalizmantošanai, pilnībā ievērojot Pušu attiecīgos persona</w:t>
      </w:r>
      <w:r>
        <w:rPr>
          <w:noProof/>
        </w:rPr>
        <w:t>s datu aizsardzības noteikumus.</w:t>
      </w:r>
    </w:p>
    <w:p w:rsidR="003E022D" w:rsidRDefault="007D19D6">
      <w:pPr>
        <w:numPr>
          <w:ilvl w:val="0"/>
          <w:numId w:val="213"/>
        </w:numPr>
        <w:ind w:left="0" w:firstLine="0"/>
        <w:rPr>
          <w:rFonts w:eastAsia="Arial" w:cstheme="minorHAnsi"/>
          <w:noProof/>
        </w:rPr>
      </w:pPr>
      <w:r>
        <w:rPr>
          <w:noProof/>
        </w:rPr>
        <w:t>Puses cenšas sadarboties, lai noteiktu veidus, kā katra Puse var paplašināt piekļuvi pārvaldes datiem, kurus Puse ir publiskojusi, un to izmantošanu, lai palielinātu un radītu darījumdarbības iespējas – papildus šo datu izma</w:t>
      </w:r>
      <w:r>
        <w:rPr>
          <w:noProof/>
        </w:rPr>
        <w:t>ntošanai publiskajā sektorā.</w:t>
      </w:r>
    </w:p>
    <w:p w:rsidR="003E022D" w:rsidRDefault="007D19D6">
      <w:pPr>
        <w:pStyle w:val="Article"/>
        <w:rPr>
          <w:noProof/>
        </w:rPr>
      </w:pPr>
      <w:r>
        <w:rPr>
          <w:noProof/>
        </w:rPr>
        <w:t>DIGIT.16. pants. Sadarbība regulējuma jautājumos attiecībā uz digitālo tirdzniecību</w:t>
      </w:r>
    </w:p>
    <w:p w:rsidR="003E022D" w:rsidRDefault="007D19D6">
      <w:pPr>
        <w:numPr>
          <w:ilvl w:val="0"/>
          <w:numId w:val="215"/>
        </w:numPr>
        <w:ind w:left="0" w:firstLine="0"/>
        <w:rPr>
          <w:rFonts w:eastAsia="Arial" w:cstheme="minorHAnsi"/>
          <w:noProof/>
        </w:rPr>
      </w:pPr>
      <w:r>
        <w:rPr>
          <w:noProof/>
        </w:rPr>
        <w:t>Puses apmainās ar informāciju par regulējuma jautājumiem saistībā ar digitālo tirdzniecību, pievēršoties šādiem aspektiem:</w:t>
      </w:r>
    </w:p>
    <w:p w:rsidR="003E022D" w:rsidRDefault="007D19D6">
      <w:pPr>
        <w:numPr>
          <w:ilvl w:val="0"/>
          <w:numId w:val="216"/>
        </w:numPr>
        <w:ind w:left="567" w:hanging="567"/>
        <w:rPr>
          <w:rFonts w:eastAsia="Arial" w:cstheme="minorHAnsi"/>
          <w:noProof/>
        </w:rPr>
      </w:pPr>
      <w:r>
        <w:rPr>
          <w:noProof/>
        </w:rPr>
        <w:t>sadarbspējīgu elektr</w:t>
      </w:r>
      <w:r>
        <w:rPr>
          <w:noProof/>
        </w:rPr>
        <w:t>onisko uzticamības un autentificēšanas pakalpojumu atzīšana un veicināšana;</w:t>
      </w:r>
    </w:p>
    <w:p w:rsidR="003E022D" w:rsidRDefault="007D19D6">
      <w:pPr>
        <w:numPr>
          <w:ilvl w:val="0"/>
          <w:numId w:val="216"/>
        </w:numPr>
        <w:ind w:left="567" w:hanging="567"/>
        <w:rPr>
          <w:rFonts w:eastAsia="Arial" w:cstheme="minorHAnsi"/>
          <w:noProof/>
        </w:rPr>
      </w:pPr>
      <w:r>
        <w:rPr>
          <w:noProof/>
        </w:rPr>
        <w:t>tiešās tirgvedības paziņojumu apstrāde;</w:t>
      </w:r>
    </w:p>
    <w:p w:rsidR="003E022D" w:rsidRDefault="007D19D6">
      <w:pPr>
        <w:numPr>
          <w:ilvl w:val="0"/>
          <w:numId w:val="216"/>
        </w:numPr>
        <w:ind w:left="567" w:hanging="567"/>
        <w:rPr>
          <w:rFonts w:eastAsia="Arial" w:cstheme="minorHAnsi"/>
          <w:noProof/>
        </w:rPr>
      </w:pPr>
      <w:r>
        <w:rPr>
          <w:noProof/>
        </w:rPr>
        <w:t>patērētāju tiesību aizsardzība un</w:t>
      </w:r>
    </w:p>
    <w:p w:rsidR="003E022D" w:rsidRDefault="007D19D6">
      <w:pPr>
        <w:numPr>
          <w:ilvl w:val="0"/>
          <w:numId w:val="216"/>
        </w:numPr>
        <w:ind w:left="567" w:hanging="567"/>
        <w:rPr>
          <w:rFonts w:eastAsia="Arial" w:cstheme="minorHAnsi"/>
          <w:noProof/>
        </w:rPr>
      </w:pPr>
      <w:r>
        <w:rPr>
          <w:noProof/>
        </w:rPr>
        <w:t>visi citi jautājumi, kas attiecas uz digitālās tirdzniecības attīstību, t. sk. jaunās tehnoloģijas.</w:t>
      </w:r>
    </w:p>
    <w:p w:rsidR="003E022D" w:rsidRDefault="007D19D6">
      <w:pPr>
        <w:numPr>
          <w:ilvl w:val="0"/>
          <w:numId w:val="215"/>
        </w:numPr>
        <w:ind w:left="0" w:firstLine="0"/>
        <w:rPr>
          <w:rFonts w:eastAsia="Arial" w:cstheme="minorHAnsi"/>
          <w:noProof/>
        </w:rPr>
      </w:pPr>
      <w:r>
        <w:rPr>
          <w:noProof/>
        </w:rPr>
        <w:t>Šā pan</w:t>
      </w:r>
      <w:r>
        <w:rPr>
          <w:noProof/>
        </w:rPr>
        <w:t>ta 1. punktu nepiemēro Puses noteikumiem un aizsardzības pasākumiem attiecībā uz personas datu un privātuma aizsardzību, t. sk. attiecībā uz personas datu pārrobežu nosūtīšanu.</w:t>
      </w:r>
    </w:p>
    <w:p w:rsidR="003E022D" w:rsidRDefault="007D19D6">
      <w:pPr>
        <w:pStyle w:val="Article"/>
        <w:rPr>
          <w:rFonts w:cs="Calibri"/>
          <w:noProof/>
        </w:rPr>
      </w:pPr>
      <w:r>
        <w:rPr>
          <w:noProof/>
        </w:rPr>
        <w:t>DIGIT.17. pants. Vienošanās par datorpakalpojumiem</w:t>
      </w:r>
    </w:p>
    <w:p w:rsidR="003E022D" w:rsidRDefault="007D19D6">
      <w:pPr>
        <w:numPr>
          <w:ilvl w:val="0"/>
          <w:numId w:val="217"/>
        </w:numPr>
        <w:ind w:left="0" w:firstLine="0"/>
        <w:rPr>
          <w:noProof/>
        </w:rPr>
      </w:pPr>
      <w:r>
        <w:rPr>
          <w:noProof/>
        </w:rPr>
        <w:t>Puses vienojas, ka pakalpoju</w:t>
      </w:r>
      <w:r>
        <w:rPr>
          <w:noProof/>
        </w:rPr>
        <w:t>mu tirdzniecības un investīciju liberalizācijas nolūkā saskaņā ar šā temata II sadaļu [Pakalpojumi un investīcijas] par datorpakalpojumiem un ar tiem saistītiem pakalpojumiem neatkarīgi no tā, vai tos sniedz, izmantojot tīklu, t. sk. internetu, uzskata šād</w:t>
      </w:r>
      <w:r>
        <w:rPr>
          <w:noProof/>
        </w:rPr>
        <w:t xml:space="preserve">us pakalpojumus: </w:t>
      </w:r>
    </w:p>
    <w:p w:rsidR="003E022D" w:rsidRDefault="007D19D6">
      <w:pPr>
        <w:numPr>
          <w:ilvl w:val="0"/>
          <w:numId w:val="218"/>
        </w:numPr>
        <w:ind w:left="567" w:hanging="567"/>
        <w:rPr>
          <w:noProof/>
        </w:rPr>
      </w:pPr>
      <w:r>
        <w:rPr>
          <w:noProof/>
        </w:rPr>
        <w:t>ar datoriem vai datorsistēmām saistītu konsultēšanu, adaptāciju, stratēģiju, analīzi, plānošanu, specifikāciju izstrādi, projektēšanu, izstrādi, instalēšanu, ieviešanu, integrēšanu, testēšanu, atkļūdošanu, atjaunināšanu, atbalstu, tehnisk</w:t>
      </w:r>
      <w:r>
        <w:rPr>
          <w:noProof/>
        </w:rPr>
        <w:t>o palīdzību vai pārvaldību;</w:t>
      </w:r>
    </w:p>
    <w:p w:rsidR="003E022D" w:rsidRDefault="007D19D6">
      <w:pPr>
        <w:numPr>
          <w:ilvl w:val="0"/>
          <w:numId w:val="218"/>
        </w:numPr>
        <w:ind w:left="567" w:hanging="567"/>
        <w:rPr>
          <w:noProof/>
        </w:rPr>
      </w:pPr>
      <w:r>
        <w:rPr>
          <w:noProof/>
        </w:rPr>
        <w:t>datorprogrammas, kuras definētas kā instrukciju komplekti, kas vajadzīgi datoru darbam un saziņai (sevī un par sevi), kā arī ar datorprogrammām saistītu konsultēšanu, stratēģiju, analīzi, plānošanu, specifikāciju izstrādi, proje</w:t>
      </w:r>
      <w:r>
        <w:rPr>
          <w:noProof/>
        </w:rPr>
        <w:t>ktēšanu, attīstību, instalēšanu, ieviešanu, integrēšanu, testēšanu, atkļūdošanu, atjaunināšanu, pielāgošanu, apkopi, atbalstu, tehnisko palīdzību, pārvaldību vai lietošanu;</w:t>
      </w:r>
    </w:p>
    <w:p w:rsidR="003E022D" w:rsidRDefault="007D19D6">
      <w:pPr>
        <w:numPr>
          <w:ilvl w:val="0"/>
          <w:numId w:val="218"/>
        </w:numPr>
        <w:ind w:left="567" w:hanging="567"/>
        <w:rPr>
          <w:noProof/>
        </w:rPr>
      </w:pPr>
      <w:r>
        <w:rPr>
          <w:noProof/>
        </w:rPr>
        <w:t>datu apstrādi, datu glabāšanu, datu mitināšanu vai datubāžu pakalpojumus;</w:t>
      </w:r>
    </w:p>
    <w:p w:rsidR="003E022D" w:rsidRDefault="007D19D6">
      <w:pPr>
        <w:numPr>
          <w:ilvl w:val="0"/>
          <w:numId w:val="218"/>
        </w:numPr>
        <w:ind w:left="567" w:hanging="567"/>
        <w:rPr>
          <w:noProof/>
        </w:rPr>
      </w:pPr>
      <w:r>
        <w:rPr>
          <w:noProof/>
        </w:rPr>
        <w:t>apkopes u</w:t>
      </w:r>
      <w:r>
        <w:rPr>
          <w:noProof/>
        </w:rPr>
        <w:t>n labošanas pakalpojumus biroju iekārtām un aprīkojumam, t. sk. datoriem, un</w:t>
      </w:r>
    </w:p>
    <w:p w:rsidR="003E022D" w:rsidRDefault="007D19D6">
      <w:pPr>
        <w:numPr>
          <w:ilvl w:val="0"/>
          <w:numId w:val="218"/>
        </w:numPr>
        <w:ind w:left="567" w:hanging="567"/>
        <w:rPr>
          <w:noProof/>
        </w:rPr>
      </w:pPr>
      <w:r>
        <w:rPr>
          <w:noProof/>
        </w:rPr>
        <w:t>tādus mācību pakalpojumus klientu personālam saistībā ar datorprogrammām, datoriem vai datorsistēmām, kas nav citur klasificēti.</w:t>
      </w:r>
    </w:p>
    <w:p w:rsidR="003E022D" w:rsidRDefault="007D19D6">
      <w:pPr>
        <w:rPr>
          <w:rFonts w:eastAsia="Calibri" w:cs="Calibri"/>
          <w:noProof/>
        </w:rPr>
      </w:pPr>
      <w:r>
        <w:rPr>
          <w:noProof/>
        </w:rPr>
        <w:t xml:space="preserve">Lielākai noteiktībai – pakalpojumi, kurus dara </w:t>
      </w:r>
      <w:r>
        <w:rPr>
          <w:noProof/>
        </w:rPr>
        <w:t>iespējamus datorpakalpojumi un ar tiem saistītie pakalpojumi, izņemot tos, kas uzskaitīti 1. punktā, paši par sevi nav uzskatāmi par datorpakalpojumiem un ar tiem saistītiem pakalpojumiem.</w:t>
      </w:r>
    </w:p>
    <w:p w:rsidR="003E022D" w:rsidRDefault="003E022D">
      <w:pPr>
        <w:spacing w:after="0"/>
        <w:rPr>
          <w:rFonts w:asciiTheme="majorHAnsi" w:hAnsiTheme="majorHAnsi"/>
          <w:noProof/>
        </w:rPr>
      </w:pPr>
    </w:p>
    <w:p w:rsidR="003E022D" w:rsidRDefault="007D19D6">
      <w:pPr>
        <w:pStyle w:val="Title1"/>
        <w:rPr>
          <w:noProof/>
        </w:rPr>
      </w:pPr>
      <w:bookmarkStart w:id="160" w:name="_Toc59988341"/>
      <w:r>
        <w:rPr>
          <w:noProof/>
        </w:rPr>
        <w:t>IV sadaļa. Kapitāla aprite, maksājumi, pārvedumi un pagaidu aizsar</w:t>
      </w:r>
      <w:r>
        <w:rPr>
          <w:noProof/>
        </w:rPr>
        <w:t>dzības pasākumi</w:t>
      </w:r>
      <w:bookmarkEnd w:id="160"/>
    </w:p>
    <w:p w:rsidR="003E022D" w:rsidRDefault="007D19D6">
      <w:pPr>
        <w:pStyle w:val="Article"/>
        <w:rPr>
          <w:noProof/>
        </w:rPr>
      </w:pPr>
      <w:bookmarkStart w:id="161" w:name="_Toc33172068"/>
      <w:r>
        <w:rPr>
          <w:noProof/>
        </w:rPr>
        <w:t>CAP.1. pants. Mērķi</w:t>
      </w:r>
      <w:bookmarkEnd w:id="161"/>
    </w:p>
    <w:p w:rsidR="003E022D" w:rsidRDefault="007D19D6">
      <w:pPr>
        <w:rPr>
          <w:rFonts w:cstheme="minorHAnsi"/>
          <w:noProof/>
        </w:rPr>
      </w:pPr>
      <w:bookmarkStart w:id="162" w:name="_Toc33172069"/>
      <w:r>
        <w:rPr>
          <w:noProof/>
        </w:rPr>
        <w:t>Šīs sadaļas mērķis ir nodrošināt kapitāla brīvu apriti un maksājumus darījumos, kuri liberalizēti šā nolīguma ietvaros.</w:t>
      </w:r>
      <w:bookmarkEnd w:id="162"/>
    </w:p>
    <w:p w:rsidR="003E022D" w:rsidRDefault="007D19D6">
      <w:pPr>
        <w:pStyle w:val="Article"/>
        <w:rPr>
          <w:noProof/>
        </w:rPr>
      </w:pPr>
      <w:bookmarkStart w:id="163" w:name="_Toc33172070"/>
      <w:r>
        <w:rPr>
          <w:noProof/>
        </w:rPr>
        <w:t>CAP.2. pants. Tekošais konts</w:t>
      </w:r>
      <w:bookmarkEnd w:id="163"/>
      <w:r>
        <w:rPr>
          <w:noProof/>
        </w:rPr>
        <w:t xml:space="preserve"> </w:t>
      </w:r>
    </w:p>
    <w:p w:rsidR="003E022D" w:rsidRDefault="007D19D6">
      <w:pPr>
        <w:rPr>
          <w:rFonts w:eastAsia="Batang" w:cstheme="minorHAnsi"/>
          <w:noProof/>
        </w:rPr>
      </w:pPr>
      <w:r>
        <w:rPr>
          <w:noProof/>
        </w:rPr>
        <w:t>Katra Puse atļauj brīvi konvertējamā valūtā un saskaņā ar Starptautisk</w:t>
      </w:r>
      <w:r>
        <w:rPr>
          <w:noProof/>
        </w:rPr>
        <w:t xml:space="preserve">ā Valūtas fonda Vienošanās līgumu veikt visus tos maksājumus un pārvedumus attiecībā uz darījumiem maksājumu bilances norēķinu kontā, kuri ietilpst šā nolīguma darbības jomā. </w:t>
      </w:r>
    </w:p>
    <w:p w:rsidR="003E022D" w:rsidRDefault="007D19D6">
      <w:pPr>
        <w:pStyle w:val="Article"/>
        <w:rPr>
          <w:noProof/>
        </w:rPr>
      </w:pPr>
      <w:bookmarkStart w:id="164" w:name="_Toc33172071"/>
      <w:r>
        <w:rPr>
          <w:noProof/>
        </w:rPr>
        <w:t>CAP.3. pants. Kapitāla aprite</w:t>
      </w:r>
      <w:bookmarkEnd w:id="164"/>
    </w:p>
    <w:p w:rsidR="003E022D" w:rsidRDefault="007D19D6">
      <w:pPr>
        <w:rPr>
          <w:rFonts w:cstheme="minorHAnsi"/>
          <w:noProof/>
        </w:rPr>
      </w:pPr>
      <w:r>
        <w:rPr>
          <w:noProof/>
        </w:rPr>
        <w:t>1.</w:t>
      </w:r>
      <w:r>
        <w:rPr>
          <w:noProof/>
        </w:rPr>
        <w:tab/>
        <w:t>Katra Puse attiecībā uz darījumiem maksājumu bi</w:t>
      </w:r>
      <w:r>
        <w:rPr>
          <w:noProof/>
        </w:rPr>
        <w:t>lances kapitāla un finanšu kontā atļauj brīvu kapitāla apriti nolūkā liberalizēt investīcijas un citus darījumus, kā noteikts šā temata II sadaļā [Pakalpojumi un investīcijas].</w:t>
      </w:r>
    </w:p>
    <w:p w:rsidR="003E022D" w:rsidRDefault="007D19D6">
      <w:pPr>
        <w:rPr>
          <w:rFonts w:cstheme="minorHAnsi"/>
          <w:noProof/>
        </w:rPr>
      </w:pPr>
      <w:r>
        <w:rPr>
          <w:noProof/>
        </w:rPr>
        <w:t>2.</w:t>
      </w:r>
      <w:r>
        <w:rPr>
          <w:noProof/>
        </w:rPr>
        <w:tab/>
        <w:t>Puses apspriežas Tirdzniecības specializētajā komitejā pakalpojumu, investīc</w:t>
      </w:r>
      <w:r>
        <w:rPr>
          <w:noProof/>
        </w:rPr>
        <w:t>iju un digitālās tirdzniecības jomā, lai atvieglotu kapitāla apriti starp tām nolūkā veicināt tirdzniecību un investīcijas.</w:t>
      </w:r>
    </w:p>
    <w:p w:rsidR="003E022D" w:rsidRDefault="007D19D6">
      <w:pPr>
        <w:pStyle w:val="Article"/>
        <w:rPr>
          <w:noProof/>
          <w:color w:val="0000FF"/>
        </w:rPr>
      </w:pPr>
      <w:bookmarkStart w:id="165" w:name="_Toc33172072"/>
      <w:r>
        <w:rPr>
          <w:noProof/>
        </w:rPr>
        <w:t>CAP.4. pants. Pasākumi, kas ietekmē kapitāla apriti, maksājumus vai pārvedumus</w:t>
      </w:r>
      <w:bookmarkEnd w:id="165"/>
    </w:p>
    <w:p w:rsidR="003E022D" w:rsidRDefault="007D19D6">
      <w:pPr>
        <w:numPr>
          <w:ilvl w:val="0"/>
          <w:numId w:val="219"/>
        </w:numPr>
        <w:ind w:left="0" w:firstLine="0"/>
        <w:rPr>
          <w:rFonts w:eastAsia="Arial Unicode MS" w:cstheme="minorHAnsi"/>
          <w:noProof/>
          <w:color w:val="000000"/>
          <w:kern w:val="2"/>
        </w:rPr>
      </w:pPr>
      <w:r>
        <w:rPr>
          <w:noProof/>
        </w:rPr>
        <w:t xml:space="preserve">CAP.2. pantu [Tekošais konts] un CAP.3. pantu </w:t>
      </w:r>
      <w:r>
        <w:rPr>
          <w:noProof/>
        </w:rPr>
        <w:t>[Kapitāla aprite] neinterpretē tā, ka tie liedz Pusei piemērot tās normatīvos aktus, kas attiecas uz:</w:t>
      </w:r>
    </w:p>
    <w:p w:rsidR="003E022D" w:rsidRDefault="007D19D6">
      <w:pPr>
        <w:numPr>
          <w:ilvl w:val="0"/>
          <w:numId w:val="220"/>
        </w:numPr>
        <w:ind w:left="567" w:hanging="567"/>
        <w:rPr>
          <w:rFonts w:eastAsia="Arial Unicode MS" w:cstheme="minorHAnsi"/>
          <w:noProof/>
          <w:color w:val="000000"/>
          <w:kern w:val="2"/>
        </w:rPr>
      </w:pPr>
      <w:r>
        <w:rPr>
          <w:noProof/>
        </w:rPr>
        <w:t>bankrotu, maksātnespēju vai citu kreditora tiesību aizsardzību;</w:t>
      </w:r>
    </w:p>
    <w:p w:rsidR="003E022D" w:rsidRDefault="007D19D6">
      <w:pPr>
        <w:numPr>
          <w:ilvl w:val="0"/>
          <w:numId w:val="220"/>
        </w:numPr>
        <w:ind w:left="567" w:hanging="567"/>
        <w:rPr>
          <w:rFonts w:cstheme="minorHAnsi"/>
          <w:noProof/>
        </w:rPr>
      </w:pPr>
      <w:r>
        <w:rPr>
          <w:noProof/>
        </w:rPr>
        <w:t>vērtspapīru, nākotnes līgumu, iespējas līgumu vai citu finanšu instrumentu izdošanu, tirdz</w:t>
      </w:r>
      <w:r>
        <w:rPr>
          <w:noProof/>
        </w:rPr>
        <w:t>niecību vai darījumiem ar tiem;</w:t>
      </w:r>
    </w:p>
    <w:p w:rsidR="003E022D" w:rsidRDefault="007D19D6">
      <w:pPr>
        <w:numPr>
          <w:ilvl w:val="0"/>
          <w:numId w:val="220"/>
        </w:numPr>
        <w:ind w:left="567" w:hanging="567"/>
        <w:rPr>
          <w:rFonts w:cstheme="minorHAnsi"/>
          <w:noProof/>
        </w:rPr>
      </w:pPr>
      <w:r>
        <w:rPr>
          <w:noProof/>
        </w:rPr>
        <w:t>finanšu pārskatu iesniegšanu vai darījumu uzskaiti par kapitāla apriti, maksājumiem vai pārvedumiem, ja tas nepieciešams, lai sniegtu palīdzību tiesībaizsardzības iestādēm vai finanšu regulatoriem;</w:t>
      </w:r>
    </w:p>
    <w:p w:rsidR="003E022D" w:rsidRDefault="007D19D6">
      <w:pPr>
        <w:numPr>
          <w:ilvl w:val="0"/>
          <w:numId w:val="220"/>
        </w:numPr>
        <w:ind w:left="567" w:hanging="567"/>
        <w:rPr>
          <w:rFonts w:cstheme="minorHAnsi"/>
          <w:noProof/>
        </w:rPr>
      </w:pPr>
      <w:r>
        <w:rPr>
          <w:noProof/>
        </w:rPr>
        <w:t xml:space="preserve">noziedzīgiem nodarījumiem </w:t>
      </w:r>
      <w:r>
        <w:rPr>
          <w:noProof/>
        </w:rPr>
        <w:t>vai kriminālpārkāpumiem, vai krāpniecisku vai maldinošu praksi;</w:t>
      </w:r>
    </w:p>
    <w:p w:rsidR="003E022D" w:rsidRDefault="007D19D6">
      <w:pPr>
        <w:numPr>
          <w:ilvl w:val="0"/>
          <w:numId w:val="220"/>
        </w:numPr>
        <w:ind w:left="567" w:hanging="567"/>
        <w:rPr>
          <w:rFonts w:eastAsia="Arial Unicode MS" w:cstheme="minorHAnsi"/>
          <w:noProof/>
          <w:color w:val="000000"/>
          <w:kern w:val="2"/>
        </w:rPr>
      </w:pPr>
      <w:r>
        <w:rPr>
          <w:noProof/>
          <w:color w:val="000000"/>
        </w:rPr>
        <w:t>atbilstības nodrošināšanu rīkojumiem vai spriedumiem, kas pieņemti tiesas vai administratīvos procesos, vai</w:t>
      </w:r>
    </w:p>
    <w:p w:rsidR="003E022D" w:rsidRDefault="007D19D6">
      <w:pPr>
        <w:numPr>
          <w:ilvl w:val="0"/>
          <w:numId w:val="220"/>
        </w:numPr>
        <w:ind w:left="567" w:hanging="567"/>
        <w:rPr>
          <w:rFonts w:eastAsia="Batang" w:cstheme="minorHAnsi"/>
          <w:noProof/>
        </w:rPr>
      </w:pPr>
      <w:r>
        <w:rPr>
          <w:noProof/>
        </w:rPr>
        <w:t>sociālā nodrošinājuma, valsts pensiju vai obligāto uzkrājumu shēmām.</w:t>
      </w:r>
    </w:p>
    <w:p w:rsidR="003E022D" w:rsidRDefault="007D19D6">
      <w:pPr>
        <w:numPr>
          <w:ilvl w:val="0"/>
          <w:numId w:val="219"/>
        </w:numPr>
        <w:ind w:left="0" w:firstLine="0"/>
        <w:rPr>
          <w:rFonts w:eastAsia="Batang" w:cstheme="minorHAnsi"/>
          <w:noProof/>
        </w:rPr>
      </w:pPr>
      <w:r>
        <w:rPr>
          <w:noProof/>
        </w:rPr>
        <w:t>Panta 1. punktā</w:t>
      </w:r>
      <w:r>
        <w:rPr>
          <w:noProof/>
        </w:rPr>
        <w:t xml:space="preserve"> minētos normatīvos aktus nepiemēro patvaļīgi vai diskriminējoši, kā arī tie nevar radīt slēptus ierobežojumus kapitāla apritei, maksājumiem vai pārvedumiem.</w:t>
      </w:r>
    </w:p>
    <w:p w:rsidR="003E022D" w:rsidRDefault="007D19D6">
      <w:pPr>
        <w:pStyle w:val="Article"/>
        <w:rPr>
          <w:noProof/>
          <w:color w:val="0000FF"/>
        </w:rPr>
      </w:pPr>
      <w:bookmarkStart w:id="166" w:name="_Toc33172073"/>
      <w:r>
        <w:rPr>
          <w:noProof/>
        </w:rPr>
        <w:t>CAP.5. pants. Pagaidu aizsardzības pasākumi</w:t>
      </w:r>
      <w:bookmarkEnd w:id="166"/>
    </w:p>
    <w:p w:rsidR="003E022D" w:rsidRDefault="007D19D6">
      <w:pPr>
        <w:numPr>
          <w:ilvl w:val="0"/>
          <w:numId w:val="221"/>
        </w:numPr>
        <w:ind w:left="0" w:firstLine="0"/>
        <w:rPr>
          <w:rFonts w:eastAsia="Arial Unicode MS" w:cstheme="minorHAnsi"/>
          <w:noProof/>
          <w:kern w:val="2"/>
        </w:rPr>
      </w:pPr>
      <w:r>
        <w:rPr>
          <w:noProof/>
        </w:rPr>
        <w:t>Ārkārtējos apstākļos, ja pastāv nopietnas grūtības Sav</w:t>
      </w:r>
      <w:r>
        <w:rPr>
          <w:noProof/>
        </w:rPr>
        <w:t xml:space="preserve">ienības ekonomiskās un monetārās savienības darbībai vai šādu grūtību draudi, Savienība var pieņemt vai atstāt spēkā aizsardzības pasākumus attiecībā uz kapitāla apriti, maksājumiem vai pārvedumiem uz laikposmu, kas nepārsniedz sešus mēnešus. </w:t>
      </w:r>
    </w:p>
    <w:p w:rsidR="003E022D" w:rsidRDefault="007D19D6">
      <w:pPr>
        <w:numPr>
          <w:ilvl w:val="0"/>
          <w:numId w:val="221"/>
        </w:numPr>
        <w:ind w:left="0" w:firstLine="0"/>
        <w:rPr>
          <w:rFonts w:eastAsia="Arial Unicode MS" w:cstheme="minorHAnsi"/>
          <w:noProof/>
          <w:kern w:val="2"/>
        </w:rPr>
      </w:pPr>
      <w:r>
        <w:rPr>
          <w:noProof/>
        </w:rPr>
        <w:t xml:space="preserve">Šā panta </w:t>
      </w:r>
      <w:r>
        <w:rPr>
          <w:noProof/>
        </w:rPr>
        <w:t>1. punktā minētos pasākumus ierobežo, ciktāl tas ir absolūti nepieciešams.</w:t>
      </w:r>
    </w:p>
    <w:p w:rsidR="003E022D" w:rsidRDefault="007D19D6">
      <w:pPr>
        <w:pStyle w:val="Article"/>
        <w:rPr>
          <w:noProof/>
        </w:rPr>
      </w:pPr>
      <w:bookmarkStart w:id="167" w:name="_Toc33172074"/>
      <w:r>
        <w:rPr>
          <w:noProof/>
        </w:rPr>
        <w:t>CAP.6. pants. Ierobežojumi maksājumu bilances un ārējā finansējuma grūtību gadījumā</w:t>
      </w:r>
      <w:bookmarkEnd w:id="167"/>
    </w:p>
    <w:p w:rsidR="003E022D" w:rsidRDefault="007D19D6">
      <w:pPr>
        <w:numPr>
          <w:ilvl w:val="0"/>
          <w:numId w:val="222"/>
        </w:numPr>
        <w:ind w:left="0" w:firstLine="0"/>
        <w:rPr>
          <w:rFonts w:eastAsia="MS PGothic" w:cstheme="minorHAnsi"/>
          <w:noProof/>
        </w:rPr>
      </w:pPr>
      <w:r>
        <w:rPr>
          <w:noProof/>
        </w:rPr>
        <w:t>Ja Pusei ir vai var rasties nopietnas maksājumu bilances un ārējas finansiālās grūtības vai to dr</w:t>
      </w:r>
      <w:r>
        <w:rPr>
          <w:noProof/>
        </w:rPr>
        <w:t>audi, tā var pieņemt vai paturēt spēkā ierobežojošus pasākumus attiecībā uz kapitāla apriti, maksājumiem vai pārvedumiem</w:t>
      </w:r>
      <w:r>
        <w:rPr>
          <w:rStyle w:val="FootnoteReference"/>
          <w:rFonts w:eastAsia="MS PGothic" w:cstheme="minorHAnsi"/>
          <w:noProof/>
        </w:rPr>
        <w:footnoteReference w:id="35"/>
      </w:r>
      <w:r>
        <w:rPr>
          <w:noProof/>
        </w:rPr>
        <w:t>.</w:t>
      </w:r>
      <w:r>
        <w:rPr>
          <w:b/>
          <w:noProof/>
        </w:rPr>
        <w:t xml:space="preserve"> </w:t>
      </w:r>
    </w:p>
    <w:p w:rsidR="003E022D" w:rsidRDefault="007D19D6">
      <w:pPr>
        <w:numPr>
          <w:ilvl w:val="0"/>
          <w:numId w:val="222"/>
        </w:numPr>
        <w:ind w:left="0" w:firstLine="0"/>
        <w:rPr>
          <w:rFonts w:cstheme="minorHAnsi"/>
          <w:noProof/>
          <w:kern w:val="2"/>
        </w:rPr>
      </w:pPr>
      <w:r>
        <w:rPr>
          <w:noProof/>
        </w:rPr>
        <w:t>Šā panta 1. punktā minētie pasākumi:</w:t>
      </w:r>
    </w:p>
    <w:p w:rsidR="003E022D" w:rsidRDefault="007D19D6">
      <w:pPr>
        <w:numPr>
          <w:ilvl w:val="0"/>
          <w:numId w:val="223"/>
        </w:numPr>
        <w:ind w:left="567" w:hanging="567"/>
        <w:rPr>
          <w:rFonts w:eastAsia="Arial Unicode MS" w:cstheme="minorHAnsi"/>
          <w:noProof/>
          <w:kern w:val="2"/>
        </w:rPr>
      </w:pPr>
      <w:r>
        <w:rPr>
          <w:noProof/>
        </w:rPr>
        <w:t>ir saderīgi ar Starptautiskā Valūtas fonda Vienošanās līgumu;</w:t>
      </w:r>
    </w:p>
    <w:p w:rsidR="003E022D" w:rsidRDefault="007D19D6">
      <w:pPr>
        <w:numPr>
          <w:ilvl w:val="0"/>
          <w:numId w:val="223"/>
        </w:numPr>
        <w:ind w:left="567" w:hanging="567"/>
        <w:rPr>
          <w:rFonts w:cstheme="minorHAnsi"/>
          <w:noProof/>
        </w:rPr>
      </w:pPr>
      <w:r>
        <w:rPr>
          <w:noProof/>
        </w:rPr>
        <w:t>nepārsniedz tos pasākumus, kas ne</w:t>
      </w:r>
      <w:r>
        <w:rPr>
          <w:noProof/>
        </w:rPr>
        <w:t>pieciešami 1. punktā aprakstītajos apstākļos;</w:t>
      </w:r>
    </w:p>
    <w:p w:rsidR="003E022D" w:rsidRDefault="007D19D6">
      <w:pPr>
        <w:numPr>
          <w:ilvl w:val="0"/>
          <w:numId w:val="223"/>
        </w:numPr>
        <w:ind w:left="567" w:hanging="567"/>
        <w:rPr>
          <w:rFonts w:cstheme="minorHAnsi"/>
          <w:noProof/>
        </w:rPr>
      </w:pPr>
      <w:r>
        <w:rPr>
          <w:noProof/>
        </w:rPr>
        <w:t>ir pagaidu rakstura, un tos pakāpeniski samazina līdz ar 1. punktā minētās situācijas uzlabošanos;</w:t>
      </w:r>
    </w:p>
    <w:p w:rsidR="003E022D" w:rsidRDefault="007D19D6">
      <w:pPr>
        <w:numPr>
          <w:ilvl w:val="0"/>
          <w:numId w:val="223"/>
        </w:numPr>
        <w:ind w:left="567" w:hanging="567"/>
        <w:rPr>
          <w:rFonts w:cstheme="minorHAnsi"/>
          <w:noProof/>
        </w:rPr>
      </w:pPr>
      <w:r>
        <w:rPr>
          <w:noProof/>
        </w:rPr>
        <w:t>nerada nevajadzīgu kaitējumu otras Puses komerciālajām, ekonomiskajām un finanšu interesēm un</w:t>
      </w:r>
    </w:p>
    <w:p w:rsidR="003E022D" w:rsidRDefault="007D19D6">
      <w:pPr>
        <w:numPr>
          <w:ilvl w:val="0"/>
          <w:numId w:val="223"/>
        </w:numPr>
        <w:ind w:left="567" w:hanging="567"/>
        <w:rPr>
          <w:rFonts w:cstheme="minorHAnsi"/>
          <w:noProof/>
        </w:rPr>
      </w:pPr>
      <w:r>
        <w:rPr>
          <w:noProof/>
        </w:rPr>
        <w:t>nav diskriminējoš</w:t>
      </w:r>
      <w:r>
        <w:rPr>
          <w:noProof/>
        </w:rPr>
        <w:t>i, salīdzinot ar trešām valstīm līdzīgās situācijās.</w:t>
      </w:r>
    </w:p>
    <w:p w:rsidR="003E022D" w:rsidRDefault="007D19D6">
      <w:pPr>
        <w:numPr>
          <w:ilvl w:val="0"/>
          <w:numId w:val="222"/>
        </w:numPr>
        <w:ind w:left="0" w:firstLine="0"/>
        <w:rPr>
          <w:rFonts w:cstheme="minorHAnsi"/>
          <w:noProof/>
          <w:kern w:val="2"/>
        </w:rPr>
      </w:pPr>
      <w:r>
        <w:rPr>
          <w:noProof/>
        </w:rPr>
        <w:t xml:space="preserve">Katra Puse var pieņemt vai paturēt spēkā ierobežojošus pasākumus, lai aizsargātu savu ārējo finanšu pozīciju vai maksājumu bilanci. Minētie pasākumi atbilst </w:t>
      </w:r>
      <w:r>
        <w:rPr>
          <w:i/>
          <w:noProof/>
        </w:rPr>
        <w:t>GATT</w:t>
      </w:r>
      <w:r>
        <w:rPr>
          <w:noProof/>
        </w:rPr>
        <w:t xml:space="preserve"> 1994 un 1994. gada Vispārējās vienošanās </w:t>
      </w:r>
      <w:r>
        <w:rPr>
          <w:noProof/>
        </w:rPr>
        <w:t>par tarifiem un tirdzniecību vienošanās par maksājumu bilances noteikumiem.</w:t>
      </w:r>
    </w:p>
    <w:p w:rsidR="003E022D" w:rsidRDefault="007D19D6">
      <w:pPr>
        <w:numPr>
          <w:ilvl w:val="0"/>
          <w:numId w:val="222"/>
        </w:numPr>
        <w:ind w:left="0" w:firstLine="0"/>
        <w:rPr>
          <w:rFonts w:cstheme="minorHAnsi"/>
          <w:noProof/>
          <w:kern w:val="2"/>
        </w:rPr>
      </w:pPr>
      <w:r>
        <w:rPr>
          <w:noProof/>
        </w:rPr>
        <w:t xml:space="preserve">Katra Puse var pieņemt vai paturēt spēkā ierobežojošus pasākumus, lai aizsargātu savu ārējo finanšu pozīciju vai maksājumu bilanci. Minētie pasākumi ir saskaņā ar </w:t>
      </w:r>
      <w:r>
        <w:rPr>
          <w:i/>
          <w:noProof/>
        </w:rPr>
        <w:t>GATS</w:t>
      </w:r>
      <w:r>
        <w:rPr>
          <w:noProof/>
        </w:rPr>
        <w:t xml:space="preserve"> XII pantu.</w:t>
      </w:r>
    </w:p>
    <w:p w:rsidR="003E022D" w:rsidRDefault="007D19D6">
      <w:pPr>
        <w:numPr>
          <w:ilvl w:val="0"/>
          <w:numId w:val="222"/>
        </w:numPr>
        <w:ind w:left="0" w:firstLine="0"/>
        <w:rPr>
          <w:rFonts w:cstheme="minorHAnsi"/>
          <w:noProof/>
          <w:kern w:val="2"/>
        </w:rPr>
      </w:pPr>
      <w:r>
        <w:rPr>
          <w:noProof/>
        </w:rPr>
        <w:t xml:space="preserve">Puse, kas ir paturējusi spēkā vai pieņēmusi 1. un 2. punktā minētos pasākumus, nekavējoties paziņo par tiem otrai Pusei. </w:t>
      </w:r>
    </w:p>
    <w:p w:rsidR="003E022D" w:rsidRDefault="007D19D6">
      <w:pPr>
        <w:numPr>
          <w:ilvl w:val="0"/>
          <w:numId w:val="222"/>
        </w:numPr>
        <w:ind w:left="0" w:firstLine="0"/>
        <w:rPr>
          <w:rFonts w:cstheme="minorHAnsi"/>
          <w:noProof/>
          <w:kern w:val="2"/>
        </w:rPr>
      </w:pPr>
      <w:r>
        <w:rPr>
          <w:noProof/>
        </w:rPr>
        <w:t xml:space="preserve">Ja Puse pieņem vai patur spēkā ierobežojumus saskaņā ar šo pantu, Puses nekavējoties apspriežas Tirdzniecības specializētajā komitejā </w:t>
      </w:r>
      <w:r>
        <w:rPr>
          <w:noProof/>
        </w:rPr>
        <w:t xml:space="preserve">pakalpojumu, investīciju un digitālās tirdzniecības jomā, izņemot gadījumus, kad apspriedes notiek citos forumos. Minētā komiteja novērtē maksājumu bilances vai ārējās finansiālas grūtības, kas izraisījušas attiecīgos pasākumus, ņemot vērā šādus faktorus: </w:t>
      </w:r>
    </w:p>
    <w:p w:rsidR="003E022D" w:rsidRDefault="007D19D6">
      <w:pPr>
        <w:numPr>
          <w:ilvl w:val="0"/>
          <w:numId w:val="224"/>
        </w:numPr>
        <w:ind w:left="567" w:hanging="567"/>
        <w:rPr>
          <w:rFonts w:cstheme="minorHAnsi"/>
          <w:noProof/>
        </w:rPr>
      </w:pPr>
      <w:r>
        <w:rPr>
          <w:noProof/>
        </w:rPr>
        <w:t xml:space="preserve">grūtību veids un apmērs; </w:t>
      </w:r>
    </w:p>
    <w:p w:rsidR="003E022D" w:rsidRDefault="007D19D6">
      <w:pPr>
        <w:numPr>
          <w:ilvl w:val="0"/>
          <w:numId w:val="224"/>
        </w:numPr>
        <w:ind w:left="567" w:hanging="567"/>
        <w:rPr>
          <w:rFonts w:eastAsia="Batang" w:cstheme="minorHAnsi"/>
          <w:noProof/>
          <w:lang w:val="fr-BE"/>
        </w:rPr>
      </w:pPr>
      <w:r>
        <w:rPr>
          <w:noProof/>
          <w:lang w:val="fr-BE"/>
        </w:rPr>
        <w:t xml:space="preserve">ārējā ekonomikas un tirdzniecības vide un </w:t>
      </w:r>
    </w:p>
    <w:p w:rsidR="003E022D" w:rsidRDefault="007D19D6">
      <w:pPr>
        <w:numPr>
          <w:ilvl w:val="0"/>
          <w:numId w:val="224"/>
        </w:numPr>
        <w:ind w:left="567" w:hanging="567"/>
        <w:rPr>
          <w:rFonts w:eastAsia="Batang" w:cstheme="minorHAnsi"/>
          <w:noProof/>
        </w:rPr>
      </w:pPr>
      <w:r>
        <w:rPr>
          <w:noProof/>
        </w:rPr>
        <w:t xml:space="preserve">pieejamie alternatīvie korektīvie pasākumi. </w:t>
      </w:r>
    </w:p>
    <w:p w:rsidR="003E022D" w:rsidRDefault="007D19D6">
      <w:pPr>
        <w:numPr>
          <w:ilvl w:val="0"/>
          <w:numId w:val="222"/>
        </w:numPr>
        <w:ind w:left="0" w:firstLine="0"/>
        <w:rPr>
          <w:rFonts w:cstheme="minorHAnsi"/>
          <w:noProof/>
        </w:rPr>
      </w:pPr>
      <w:r>
        <w:rPr>
          <w:noProof/>
        </w:rPr>
        <w:t>Apspriedēs saskaņā ar 6. punktu izskata ikviena ierobežojošā pasākuma atbilstību 1. un 2. punktam. Ja tādi ir, tiek pieņemti visi Starptautis</w:t>
      </w:r>
      <w:r>
        <w:rPr>
          <w:noProof/>
        </w:rPr>
        <w:t>kā Valūtas fonda sniegtie attiecīgie statistikas vai faktu konstatējumi, un secinājumos ņem vērā Starptautiskā Valūtas fonda veikto novērtējumu par attiecīgās Puses maksājumu bilanci un ārējo finanšu stāvokli.</w:t>
      </w:r>
    </w:p>
    <w:p w:rsidR="003E022D" w:rsidRDefault="007D19D6">
      <w:pPr>
        <w:pStyle w:val="Title1"/>
        <w:rPr>
          <w:noProof/>
        </w:rPr>
      </w:pPr>
      <w:bookmarkStart w:id="168" w:name="_Toc59988342"/>
      <w:r>
        <w:rPr>
          <w:noProof/>
        </w:rPr>
        <w:t>V sadaļa. Intelektuālais īpašums</w:t>
      </w:r>
      <w:bookmarkEnd w:id="168"/>
    </w:p>
    <w:p w:rsidR="003E022D" w:rsidRDefault="007D19D6">
      <w:pPr>
        <w:pStyle w:val="Chapter"/>
        <w:rPr>
          <w:rFonts w:cstheme="minorBidi"/>
          <w:noProof/>
        </w:rPr>
      </w:pPr>
      <w:r>
        <w:rPr>
          <w:noProof/>
        </w:rPr>
        <w:t>1. nodaļa. Vi</w:t>
      </w:r>
      <w:r>
        <w:rPr>
          <w:noProof/>
        </w:rPr>
        <w:t>spārīgi noteikumi</w:t>
      </w:r>
    </w:p>
    <w:p w:rsidR="003E022D" w:rsidRDefault="007D19D6">
      <w:pPr>
        <w:pStyle w:val="Article"/>
        <w:rPr>
          <w:noProof/>
        </w:rPr>
      </w:pPr>
      <w:r>
        <w:rPr>
          <w:noProof/>
        </w:rPr>
        <w:t>IP.1. pants. Mērķi</w:t>
      </w:r>
    </w:p>
    <w:p w:rsidR="003E022D" w:rsidRDefault="007D19D6">
      <w:pPr>
        <w:rPr>
          <w:rFonts w:asciiTheme="minorHAnsi" w:hAnsiTheme="minorHAnsi" w:cstheme="minorHAnsi"/>
          <w:noProof/>
        </w:rPr>
      </w:pPr>
      <w:r>
        <w:rPr>
          <w:rFonts w:asciiTheme="minorHAnsi" w:hAnsiTheme="minorHAnsi"/>
          <w:noProof/>
        </w:rPr>
        <w:t xml:space="preserve">Šīs sadaļas mērķi ir šādi: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atvieglināt inovatīvu un radošās darbības produktu un pakalpojumu ražošanu, nodrošināšanu un komercializāciju Pušu starpā, mazinot šādas tirdzniecības kropļojumus un šķēršļus šādai tirdzniecībai un tādējādi veidojot ilgtspējīgāku un iekļaujošāku ekonomiku;</w:t>
      </w:r>
      <w:r>
        <w:rPr>
          <w:rFonts w:asciiTheme="minorHAnsi" w:hAnsiTheme="minorHAnsi"/>
          <w:noProof/>
        </w:rPr>
        <w:t xml:space="preserve"> un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panākt intelektuālā īpašuma tiesību pienācīgu un iedarbīgu aizsardzību un piemērošanu. </w:t>
      </w:r>
    </w:p>
    <w:p w:rsidR="003E022D" w:rsidRDefault="007D19D6">
      <w:pPr>
        <w:pStyle w:val="Article"/>
        <w:rPr>
          <w:noProof/>
        </w:rPr>
      </w:pPr>
      <w:r>
        <w:rPr>
          <w:noProof/>
        </w:rPr>
        <w:t>IP.2. pants. Darbības joma</w:t>
      </w:r>
    </w:p>
    <w:p w:rsidR="003E022D" w:rsidRDefault="007D19D6">
      <w:pPr>
        <w:rPr>
          <w:rFonts w:asciiTheme="minorHAnsi" w:hAnsiTheme="minorHAnsi" w:cstheme="minorHAnsi"/>
          <w:noProof/>
        </w:rPr>
      </w:pPr>
      <w:r>
        <w:rPr>
          <w:rFonts w:asciiTheme="minorHAnsi" w:hAnsiTheme="minorHAnsi"/>
          <w:noProof/>
        </w:rPr>
        <w:t>1.</w:t>
      </w:r>
      <w:r>
        <w:rPr>
          <w:noProof/>
        </w:rPr>
        <w:tab/>
      </w:r>
      <w:r>
        <w:rPr>
          <w:rFonts w:asciiTheme="minorHAnsi" w:hAnsiTheme="minorHAnsi"/>
          <w:noProof/>
        </w:rPr>
        <w:t xml:space="preserve">Šī sadaļa papildina un sīkāk nosaka Pušu savstarpējās tiesības un pienākumus saskaņā ar </w:t>
      </w:r>
      <w:r>
        <w:rPr>
          <w:rFonts w:asciiTheme="minorHAnsi" w:hAnsiTheme="minorHAnsi"/>
          <w:i/>
          <w:noProof/>
        </w:rPr>
        <w:t>TRIPS</w:t>
      </w:r>
      <w:r>
        <w:rPr>
          <w:rFonts w:asciiTheme="minorHAnsi" w:hAnsiTheme="minorHAnsi"/>
          <w:noProof/>
        </w:rPr>
        <w:t xml:space="preserve"> līgumu un citiem starptautiskiem līg</w:t>
      </w:r>
      <w:r>
        <w:rPr>
          <w:rFonts w:asciiTheme="minorHAnsi" w:hAnsiTheme="minorHAnsi"/>
          <w:noProof/>
        </w:rPr>
        <w:t xml:space="preserve">umiem intelektuālā īpašuma jomā. </w:t>
      </w:r>
    </w:p>
    <w:p w:rsidR="003E022D" w:rsidRDefault="007D19D6">
      <w:pPr>
        <w:rPr>
          <w:rFonts w:asciiTheme="minorHAnsi" w:hAnsiTheme="minorHAnsi" w:cstheme="minorHAnsi"/>
          <w:noProof/>
        </w:rPr>
      </w:pPr>
      <w:r>
        <w:rPr>
          <w:rFonts w:asciiTheme="minorHAnsi" w:hAnsiTheme="minorHAnsi"/>
          <w:noProof/>
        </w:rPr>
        <w:t>2.</w:t>
      </w:r>
      <w:r>
        <w:rPr>
          <w:noProof/>
        </w:rPr>
        <w:tab/>
      </w:r>
      <w:r>
        <w:rPr>
          <w:rFonts w:asciiTheme="minorHAnsi" w:hAnsiTheme="minorHAnsi"/>
          <w:noProof/>
        </w:rPr>
        <w:t xml:space="preserve">Šī sadaļa neliedz nevienai Pusei ieviest intelektuālā īpašuma tiesību plašāku aizsardzību un piemērošanu, nekā prasīts šajā sadaļā, ar noteikumu, ka minētā aizsardzība un piemērošana nav pretrunā šai sadaļai. </w:t>
      </w:r>
    </w:p>
    <w:p w:rsidR="003E022D" w:rsidRDefault="007D19D6">
      <w:pPr>
        <w:pStyle w:val="Article"/>
        <w:rPr>
          <w:noProof/>
        </w:rPr>
      </w:pPr>
      <w:r>
        <w:rPr>
          <w:noProof/>
        </w:rPr>
        <w:t>IP.3. pan</w:t>
      </w:r>
      <w:r>
        <w:rPr>
          <w:noProof/>
        </w:rPr>
        <w:t>ts. Definīcijas</w:t>
      </w:r>
    </w:p>
    <w:p w:rsidR="003E022D" w:rsidRDefault="007D19D6">
      <w:pPr>
        <w:rPr>
          <w:rFonts w:asciiTheme="minorHAnsi" w:hAnsiTheme="minorHAnsi" w:cstheme="minorHAnsi"/>
          <w:noProof/>
        </w:rPr>
      </w:pPr>
      <w:r>
        <w:rPr>
          <w:rFonts w:asciiTheme="minorHAnsi" w:hAnsiTheme="minorHAnsi"/>
          <w:noProof/>
        </w:rPr>
        <w:t xml:space="preserve">Šajā sadaļā piemēro šādas definīcijas: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“Parīzes konvencija” ir 1883. gada 20. marta Parīzes Konvencija par rūpnieciskā īpašuma aizsardzību, kas pēdējo reizi pārskatīta Stokholmā 1967. gada 14. jūlijā;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“Bernes konvencija” ir 1886. ga</w:t>
      </w:r>
      <w:r>
        <w:rPr>
          <w:rFonts w:asciiTheme="minorHAnsi" w:hAnsiTheme="minorHAnsi"/>
          <w:noProof/>
        </w:rPr>
        <w:t xml:space="preserve">da 9. septembra Bernes Konvencija par literatūras un mākslas darbu aizsardzību, kas pārskatīta Parīzē 1971. gada 24. jūlijā un grozīta 1979. gada 28. septembrī; </w:t>
      </w:r>
    </w:p>
    <w:p w:rsidR="003E022D" w:rsidRDefault="007D19D6">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“Romas konvencija” ir 1961. gada 26. oktobrī Romā pieņemtā Starptautiskā konvencija par izpildītāju, fonogrammu producentu un raidorganizāciju tiesību aizsardzību; </w:t>
      </w:r>
    </w:p>
    <w:p w:rsidR="003E022D" w:rsidRDefault="007D19D6">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w:t>
      </w:r>
      <w:r>
        <w:rPr>
          <w:rFonts w:asciiTheme="minorHAnsi" w:hAnsiTheme="minorHAnsi"/>
          <w:i/>
          <w:noProof/>
        </w:rPr>
        <w:t>WIPO</w:t>
      </w:r>
      <w:r>
        <w:rPr>
          <w:rFonts w:asciiTheme="minorHAnsi" w:hAnsiTheme="minorHAnsi"/>
          <w:noProof/>
        </w:rPr>
        <w:t xml:space="preserve">” ir Pasaules Intelektuālā īpašuma organizācija; </w:t>
      </w:r>
    </w:p>
    <w:p w:rsidR="003E022D" w:rsidRDefault="007D19D6">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“intelektuālā īpašuma tiesības</w:t>
      </w:r>
      <w:r>
        <w:rPr>
          <w:rFonts w:asciiTheme="minorHAnsi" w:hAnsiTheme="minorHAnsi"/>
          <w:noProof/>
        </w:rPr>
        <w:t>” ir visas intelektuālā īpašuma kategorijas, uz kurām attiecas šīs sadaļas IP.7. [Autori] līdz IP.37. pants [Augu šķirņu aizsardzība] vai TRIPS līguma II daļas 1.–7. iedaļa. Intelektuālā īpašuma aizsardzība ietver aizsardzību pret negodīgu konkurenci, uz k</w:t>
      </w:r>
      <w:r>
        <w:rPr>
          <w:rFonts w:asciiTheme="minorHAnsi" w:hAnsiTheme="minorHAnsi"/>
          <w:noProof/>
        </w:rPr>
        <w:t>o norādīts Parīzes konvencijas 10.a pantā;</w:t>
      </w:r>
    </w:p>
    <w:p w:rsidR="003E022D" w:rsidRDefault="007D19D6">
      <w:pPr>
        <w:ind w:left="567" w:hanging="567"/>
        <w:rPr>
          <w:rFonts w:asciiTheme="minorHAnsi" w:hAnsiTheme="minorHAnsi" w:cstheme="minorHAnsi"/>
          <w:noProof/>
          <w:u w:val="single"/>
        </w:rPr>
      </w:pPr>
      <w:r>
        <w:rPr>
          <w:rFonts w:asciiTheme="minorHAnsi" w:hAnsiTheme="minorHAnsi"/>
          <w:noProof/>
        </w:rPr>
        <w:t>f)</w:t>
      </w:r>
      <w:r>
        <w:rPr>
          <w:noProof/>
        </w:rPr>
        <w:tab/>
      </w:r>
      <w:r>
        <w:rPr>
          <w:rFonts w:asciiTheme="minorHAnsi" w:hAnsiTheme="minorHAnsi"/>
          <w:noProof/>
        </w:rPr>
        <w:t xml:space="preserve">“valsts” attiecībā uz konkrētajām intelektuālā īpašuma tiesībām ir Puses persona, kas atbilst kritērijiem par tiesībām uz aizsardzību, kuri paredzēti </w:t>
      </w:r>
      <w:r>
        <w:rPr>
          <w:rFonts w:asciiTheme="minorHAnsi" w:hAnsiTheme="minorHAnsi"/>
          <w:i/>
          <w:noProof/>
        </w:rPr>
        <w:t>TRIPS</w:t>
      </w:r>
      <w:r>
        <w:rPr>
          <w:rFonts w:asciiTheme="minorHAnsi" w:hAnsiTheme="minorHAnsi"/>
          <w:noProof/>
        </w:rPr>
        <w:t xml:space="preserve"> līgumā un daudzpusējos nolīgumos, kas noslēgti un tiek</w:t>
      </w:r>
      <w:r>
        <w:rPr>
          <w:rFonts w:asciiTheme="minorHAnsi" w:hAnsiTheme="minorHAnsi"/>
          <w:noProof/>
        </w:rPr>
        <w:t xml:space="preserve"> pārvaldīti </w:t>
      </w:r>
      <w:r>
        <w:rPr>
          <w:rFonts w:asciiTheme="minorHAnsi" w:hAnsiTheme="minorHAnsi"/>
          <w:i/>
          <w:noProof/>
        </w:rPr>
        <w:t>WIPO</w:t>
      </w:r>
      <w:r>
        <w:rPr>
          <w:rFonts w:asciiTheme="minorHAnsi" w:hAnsiTheme="minorHAnsi"/>
          <w:noProof/>
        </w:rPr>
        <w:t xml:space="preserve"> aizgādībā un kuros Puse ir līgumslēdzēja puse.  </w:t>
      </w:r>
    </w:p>
    <w:p w:rsidR="003E022D" w:rsidRDefault="007D19D6">
      <w:pPr>
        <w:pStyle w:val="Article"/>
        <w:rPr>
          <w:noProof/>
        </w:rPr>
      </w:pPr>
      <w:r>
        <w:rPr>
          <w:noProof/>
        </w:rPr>
        <w:t>IP.4. pants. Starptautiskie nolīgumi</w:t>
      </w:r>
    </w:p>
    <w:p w:rsidR="003E022D" w:rsidRDefault="007D19D6">
      <w:pPr>
        <w:numPr>
          <w:ilvl w:val="0"/>
          <w:numId w:val="537"/>
        </w:numPr>
        <w:ind w:left="0" w:firstLine="0"/>
        <w:rPr>
          <w:rFonts w:asciiTheme="minorHAnsi" w:hAnsiTheme="minorHAnsi" w:cstheme="minorHAnsi"/>
          <w:noProof/>
        </w:rPr>
      </w:pPr>
      <w:r>
        <w:rPr>
          <w:rFonts w:asciiTheme="minorHAnsi" w:hAnsiTheme="minorHAnsi"/>
          <w:noProof/>
        </w:rPr>
        <w:t>Puses apstiprina apņemšanos ievērot starptautiskos nolīgumus, kuros tās ir puses:</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i/>
          <w:noProof/>
        </w:rPr>
        <w:t>TRIPS</w:t>
      </w:r>
      <w:r>
        <w:rPr>
          <w:rFonts w:asciiTheme="minorHAnsi" w:hAnsiTheme="minorHAnsi"/>
          <w:noProof/>
        </w:rPr>
        <w:t xml:space="preserve"> līgums;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Romas konvencija; </w:t>
      </w:r>
    </w:p>
    <w:p w:rsidR="003E022D" w:rsidRDefault="007D19D6">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Bernes konvencija; </w:t>
      </w:r>
    </w:p>
    <w:p w:rsidR="003E022D" w:rsidRDefault="007D19D6">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i/>
          <w:noProof/>
        </w:rPr>
        <w:t>WIPO</w:t>
      </w:r>
      <w:r>
        <w:rPr>
          <w:rFonts w:asciiTheme="minorHAnsi" w:hAnsiTheme="minorHAnsi"/>
          <w:noProof/>
        </w:rPr>
        <w:t xml:space="preserve"> </w:t>
      </w:r>
      <w:r>
        <w:rPr>
          <w:rFonts w:asciiTheme="minorHAnsi" w:hAnsiTheme="minorHAnsi"/>
          <w:noProof/>
        </w:rPr>
        <w:t xml:space="preserve">līgums par autortiesībām, kas pieņemts Ženēvā 1996. gada 20. decembrī; </w:t>
      </w:r>
    </w:p>
    <w:p w:rsidR="003E022D" w:rsidRDefault="007D19D6">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i/>
          <w:noProof/>
        </w:rPr>
        <w:t>WIPO</w:t>
      </w:r>
      <w:r>
        <w:rPr>
          <w:rFonts w:asciiTheme="minorHAnsi" w:hAnsiTheme="minorHAnsi"/>
          <w:noProof/>
        </w:rPr>
        <w:t xml:space="preserve"> līgums par izpildījumu un fonogrammām, kas pieņemts Ženēvā 1996. gada 20. decembrī; </w:t>
      </w:r>
    </w:p>
    <w:p w:rsidR="003E022D" w:rsidRDefault="007D19D6">
      <w:pPr>
        <w:ind w:left="567" w:hanging="567"/>
        <w:rPr>
          <w:rFonts w:asciiTheme="minorHAnsi" w:hAnsiTheme="minorHAnsi" w:cstheme="minorHAnsi"/>
          <w:noProof/>
        </w:rPr>
      </w:pPr>
      <w:r>
        <w:rPr>
          <w:rFonts w:asciiTheme="minorHAnsi" w:hAnsiTheme="minorHAnsi"/>
          <w:noProof/>
        </w:rPr>
        <w:t>f)</w:t>
      </w:r>
      <w:r>
        <w:rPr>
          <w:noProof/>
        </w:rPr>
        <w:tab/>
      </w:r>
      <w:r>
        <w:rPr>
          <w:rFonts w:asciiTheme="minorHAnsi" w:hAnsiTheme="minorHAnsi"/>
          <w:noProof/>
        </w:rPr>
        <w:t>Madrides nolīguma par preču zīmju starptautisko reģistrāciju protokols, kas pieņemts Mad</w:t>
      </w:r>
      <w:r>
        <w:rPr>
          <w:rFonts w:asciiTheme="minorHAnsi" w:hAnsiTheme="minorHAnsi"/>
          <w:noProof/>
        </w:rPr>
        <w:t xml:space="preserve">ridē 1989. gada 27. jūnijā un kurā jaunākie grozījumi izdarīti 2007. gada 12. novembrī; </w:t>
      </w:r>
    </w:p>
    <w:p w:rsidR="003E022D" w:rsidRDefault="007D19D6">
      <w:pPr>
        <w:ind w:left="567" w:hanging="567"/>
        <w:rPr>
          <w:rFonts w:asciiTheme="minorHAnsi" w:hAnsiTheme="minorHAnsi" w:cstheme="minorHAnsi"/>
          <w:noProof/>
        </w:rPr>
      </w:pPr>
      <w:r>
        <w:rPr>
          <w:rFonts w:asciiTheme="minorHAnsi" w:hAnsiTheme="minorHAnsi"/>
          <w:noProof/>
        </w:rPr>
        <w:t>g)</w:t>
      </w:r>
      <w:r>
        <w:rPr>
          <w:noProof/>
        </w:rPr>
        <w:tab/>
      </w:r>
      <w:r>
        <w:rPr>
          <w:rFonts w:asciiTheme="minorHAnsi" w:hAnsiTheme="minorHAnsi"/>
          <w:noProof/>
        </w:rPr>
        <w:t xml:space="preserve">Preču zīmju līgums, kas pieņemts Ženēvā 1994. gada 27. oktobrī; </w:t>
      </w:r>
    </w:p>
    <w:p w:rsidR="003E022D" w:rsidRDefault="007D19D6">
      <w:pPr>
        <w:ind w:left="567" w:hanging="567"/>
        <w:rPr>
          <w:rFonts w:asciiTheme="minorHAnsi" w:hAnsiTheme="minorHAnsi" w:cstheme="minorHAnsi"/>
          <w:noProof/>
        </w:rPr>
      </w:pPr>
      <w:r>
        <w:rPr>
          <w:rFonts w:asciiTheme="minorHAnsi" w:hAnsiTheme="minorHAnsi"/>
          <w:noProof/>
        </w:rPr>
        <w:t>h)</w:t>
      </w:r>
      <w:r>
        <w:rPr>
          <w:noProof/>
        </w:rPr>
        <w:tab/>
      </w:r>
      <w:r>
        <w:rPr>
          <w:rFonts w:asciiTheme="minorHAnsi" w:hAnsiTheme="minorHAnsi"/>
          <w:noProof/>
        </w:rPr>
        <w:t>Marrākešas līgums, kas atvieglo piekļuvi iespieddarbiem personām, kuras ir neredzīgas, ar redzes</w:t>
      </w:r>
      <w:r>
        <w:rPr>
          <w:rFonts w:asciiTheme="minorHAnsi" w:hAnsiTheme="minorHAnsi"/>
          <w:noProof/>
        </w:rPr>
        <w:t xml:space="preserve"> traucējumiem vai drukas lasītnespēju citu iemeslu dēļ, un kas pieņemts Marrākešā 2013. gada 27. jūnijā;</w:t>
      </w:r>
    </w:p>
    <w:p w:rsidR="003E022D" w:rsidRDefault="007D19D6">
      <w:pPr>
        <w:ind w:left="567"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Hāgas vienošanās par dizainparaugu starptautisko reģistrāciju Ženēvas akts, kas pieņemts Ženēvā 1999. gada 2. jūlijā.</w:t>
      </w:r>
    </w:p>
    <w:p w:rsidR="003E022D" w:rsidRDefault="007D19D6">
      <w:pPr>
        <w:numPr>
          <w:ilvl w:val="0"/>
          <w:numId w:val="537"/>
        </w:numPr>
        <w:ind w:left="0" w:firstLine="0"/>
        <w:rPr>
          <w:rFonts w:asciiTheme="minorHAnsi" w:hAnsiTheme="minorHAnsi" w:cstheme="minorHAnsi"/>
          <w:noProof/>
        </w:rPr>
      </w:pPr>
      <w:r>
        <w:rPr>
          <w:rFonts w:asciiTheme="minorHAnsi" w:hAnsiTheme="minorHAnsi"/>
          <w:noProof/>
        </w:rPr>
        <w:t>Katra Puse dara visu iespējamo</w:t>
      </w:r>
      <w:r>
        <w:rPr>
          <w:rFonts w:asciiTheme="minorHAnsi" w:hAnsiTheme="minorHAnsi"/>
          <w:noProof/>
        </w:rPr>
        <w:t>, lai ratificētu šādus starptautiskus nolīgumus vai tiem pievienotos:</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Pekinas līgums par audiovizuālo izpildījumu, kas pieņemts Pekinā 2012. gada 24. jūnijā,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Singapūras līgums par preču zīmēm, kas pieņemts Singapūrā 2006. gada 27. martā.</w:t>
      </w:r>
    </w:p>
    <w:p w:rsidR="003E022D" w:rsidRDefault="007D19D6">
      <w:pPr>
        <w:pStyle w:val="Article"/>
        <w:rPr>
          <w:noProof/>
        </w:rPr>
      </w:pPr>
      <w:r>
        <w:rPr>
          <w:noProof/>
        </w:rPr>
        <w:t>IP.5. pants. Tiesību izsmelšana</w:t>
      </w:r>
    </w:p>
    <w:p w:rsidR="003E022D" w:rsidRDefault="007D19D6">
      <w:pPr>
        <w:rPr>
          <w:rFonts w:asciiTheme="minorHAnsi" w:hAnsiTheme="minorHAnsi" w:cstheme="minorHAnsi"/>
          <w:noProof/>
        </w:rPr>
      </w:pPr>
      <w:r>
        <w:rPr>
          <w:rFonts w:asciiTheme="minorHAnsi" w:hAnsiTheme="minorHAnsi"/>
          <w:noProof/>
        </w:rPr>
        <w:t>Šī sadaļa neskar Pušu brīvību noteikt, vai un kādos apstākļos tiek piemērota intelektuālā īpašuma tiesību izsmelšana.</w:t>
      </w:r>
    </w:p>
    <w:p w:rsidR="003E022D" w:rsidRDefault="007D19D6">
      <w:pPr>
        <w:pStyle w:val="Article"/>
        <w:rPr>
          <w:noProof/>
        </w:rPr>
      </w:pPr>
      <w:r>
        <w:rPr>
          <w:noProof/>
        </w:rPr>
        <w:t>IP.6. pants. Valsts režīms</w:t>
      </w:r>
    </w:p>
    <w:p w:rsidR="003E022D" w:rsidRDefault="007D19D6">
      <w:pPr>
        <w:numPr>
          <w:ilvl w:val="0"/>
          <w:numId w:val="538"/>
        </w:numPr>
        <w:ind w:left="0" w:firstLine="0"/>
        <w:rPr>
          <w:rFonts w:asciiTheme="minorHAnsi" w:hAnsiTheme="minorHAnsi" w:cstheme="minorHAnsi"/>
          <w:noProof/>
        </w:rPr>
      </w:pPr>
      <w:r>
        <w:rPr>
          <w:rFonts w:asciiTheme="minorHAnsi" w:hAnsiTheme="minorHAnsi"/>
          <w:noProof/>
        </w:rPr>
        <w:t xml:space="preserve">Attiecībā uz visām intelektuālā īpašuma kategorijām, kuras ietvertas šajā </w:t>
      </w:r>
      <w:r>
        <w:rPr>
          <w:rFonts w:asciiTheme="minorHAnsi" w:hAnsiTheme="minorHAnsi"/>
          <w:noProof/>
        </w:rPr>
        <w:t>sadaļā, katra Puse otras Puses valstspiederīgajiem piešķir ne mazāk labvēlīgu režīmu par to, ko attiecībā uz intelektuālā īpašuma aizsardzību tā piešķir saviem valstspiederīgajiem, ievērojot izņēmumus, kuri jau noteikti attiecīgi Parīzes konvencijā, Bernes</w:t>
      </w:r>
      <w:r>
        <w:rPr>
          <w:rFonts w:asciiTheme="minorHAnsi" w:hAnsiTheme="minorHAnsi"/>
          <w:noProof/>
        </w:rPr>
        <w:t xml:space="preserve"> konvencijā, Romas konvencijā un Līgumā par intelektuālo īpašumu attiecībā uz integrālajām shēmām, kas parakstīts Vašingtonā 1989. gada 26. maijā. Attiecībā uz izpildītājiem, fonogrammu producentiem un raidorganizācijām šis pienākums attiecas vienīgi uz ti</w:t>
      </w:r>
      <w:r>
        <w:rPr>
          <w:rFonts w:asciiTheme="minorHAnsi" w:hAnsiTheme="minorHAnsi"/>
          <w:noProof/>
        </w:rPr>
        <w:t>esībām, kas noteiktas šajā nolīgumā.</w:t>
      </w:r>
    </w:p>
    <w:p w:rsidR="003E022D" w:rsidRDefault="007D19D6">
      <w:pPr>
        <w:numPr>
          <w:ilvl w:val="0"/>
          <w:numId w:val="538"/>
        </w:numPr>
        <w:ind w:left="0" w:firstLine="0"/>
        <w:rPr>
          <w:rFonts w:asciiTheme="minorHAnsi" w:hAnsiTheme="minorHAnsi" w:cstheme="minorHAnsi"/>
          <w:noProof/>
        </w:rPr>
      </w:pPr>
      <w:r>
        <w:rPr>
          <w:rFonts w:asciiTheme="minorHAnsi" w:hAnsiTheme="minorHAnsi"/>
          <w:noProof/>
        </w:rPr>
        <w:t>Šā panta 1. punktā “aizsardzība” ietver jautājumus, kas ietekmē intelektuālā īpašuma tiesību pieejamību, iegūšanu, darbības jomu, uzturēšanu un piemērošanu, kā arī jautājumus, kas ietekmē šajā sadaļā īpaši aplūkoto inte</w:t>
      </w:r>
      <w:r>
        <w:rPr>
          <w:rFonts w:asciiTheme="minorHAnsi" w:hAnsiTheme="minorHAnsi"/>
          <w:noProof/>
        </w:rPr>
        <w:t>lektuālā īpašuma tiesību izmantošanu, ieskaitot pasākumus, kuru nolūks ir novērst, ka tiek apieti IP.16. pantā [Tehnoloģisko pasākumu aizsardzība] minētie efektīvie tehnoloģiskie pasākumi un IP.17. pantā [Pienākumi attiecībā uz informāciju par tiesību pārv</w:t>
      </w:r>
      <w:r>
        <w:rPr>
          <w:rFonts w:asciiTheme="minorHAnsi" w:hAnsiTheme="minorHAnsi"/>
          <w:noProof/>
        </w:rPr>
        <w:t>aldību] minētie pasākumi attiecībā uz informāciju par tiesību pārvaldību.</w:t>
      </w:r>
    </w:p>
    <w:p w:rsidR="003E022D" w:rsidRDefault="007D19D6">
      <w:pPr>
        <w:numPr>
          <w:ilvl w:val="0"/>
          <w:numId w:val="538"/>
        </w:numPr>
        <w:ind w:left="0" w:firstLine="0"/>
        <w:rPr>
          <w:rFonts w:asciiTheme="minorHAnsi" w:hAnsiTheme="minorHAnsi" w:cstheme="minorHAnsi"/>
          <w:noProof/>
        </w:rPr>
      </w:pPr>
      <w:r>
        <w:rPr>
          <w:rFonts w:asciiTheme="minorHAnsi" w:hAnsiTheme="minorHAnsi"/>
          <w:noProof/>
        </w:rPr>
        <w:t>Puse attiecībā uz tās tiesas un administratīvajām procedūrām var izmantot saskaņā ar 1. punktu atļautos izņēmumus, kā arī pieprasīt otras Puses valstspiederīgajam norādīt kontaktadre</w:t>
      </w:r>
      <w:r>
        <w:rPr>
          <w:rFonts w:asciiTheme="minorHAnsi" w:hAnsiTheme="minorHAnsi"/>
          <w:noProof/>
        </w:rPr>
        <w:t xml:space="preserve">si tās teritorijā vai iecelt pārstāvi tās teritorijā, ja šādi izņēmumi: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ir nepieciešami, lai nodrošinātu to Puses normatīvo aktu ievērošanu, kas nav pretrunā šīs sadaļas noteikumiem; vai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netiek piemēroti veidā, kas būtu slēpts tirdzniecības ierobež</w:t>
      </w:r>
      <w:r>
        <w:rPr>
          <w:rFonts w:asciiTheme="minorHAnsi" w:hAnsiTheme="minorHAnsi"/>
          <w:noProof/>
        </w:rPr>
        <w:t xml:space="preserve">ojums. </w:t>
      </w:r>
    </w:p>
    <w:p w:rsidR="003E022D" w:rsidRDefault="007D19D6">
      <w:pPr>
        <w:numPr>
          <w:ilvl w:val="0"/>
          <w:numId w:val="538"/>
        </w:numPr>
        <w:ind w:left="0" w:firstLine="0"/>
        <w:rPr>
          <w:rFonts w:asciiTheme="minorHAnsi" w:hAnsiTheme="minorHAnsi" w:cstheme="minorHAnsi"/>
          <w:noProof/>
        </w:rPr>
      </w:pPr>
      <w:r>
        <w:rPr>
          <w:rFonts w:asciiTheme="minorHAnsi" w:hAnsiTheme="minorHAnsi"/>
          <w:noProof/>
        </w:rPr>
        <w:t xml:space="preserve">Šā panta 1. punkts nav piemērojams procedūrām, kas paredzētas </w:t>
      </w:r>
      <w:r>
        <w:rPr>
          <w:rFonts w:asciiTheme="minorHAnsi" w:hAnsiTheme="minorHAnsi"/>
          <w:i/>
          <w:noProof/>
        </w:rPr>
        <w:t>WIPO</w:t>
      </w:r>
      <w:r>
        <w:rPr>
          <w:rFonts w:asciiTheme="minorHAnsi" w:hAnsiTheme="minorHAnsi"/>
          <w:noProof/>
        </w:rPr>
        <w:t xml:space="preserve"> aizgādībā noslēgtajos daudzpusējos nolīgumos par intelektuālā īpašuma tiesību iegūšanu vai saglabāšanu.</w:t>
      </w:r>
    </w:p>
    <w:p w:rsidR="003E022D" w:rsidRDefault="007D19D6">
      <w:pPr>
        <w:pStyle w:val="Chapter"/>
        <w:rPr>
          <w:noProof/>
        </w:rPr>
      </w:pPr>
      <w:r>
        <w:rPr>
          <w:noProof/>
        </w:rPr>
        <w:t>2. nodaļa. Intelektuālā īpašuma tiesību standarti</w:t>
      </w:r>
    </w:p>
    <w:p w:rsidR="003E022D" w:rsidRDefault="007D19D6">
      <w:pPr>
        <w:pStyle w:val="Section"/>
        <w:rPr>
          <w:noProof/>
          <w:lang w:val="fr-BE"/>
        </w:rPr>
      </w:pPr>
      <w:r>
        <w:rPr>
          <w:noProof/>
        </w:rPr>
        <w:t xml:space="preserve">1. iedaļa. </w:t>
      </w:r>
      <w:r>
        <w:rPr>
          <w:noProof/>
          <w:lang w:val="fr-BE"/>
        </w:rPr>
        <w:t>Autortiesības un</w:t>
      </w:r>
      <w:r>
        <w:rPr>
          <w:noProof/>
          <w:lang w:val="fr-BE"/>
        </w:rPr>
        <w:t xml:space="preserve"> blakustiesības</w:t>
      </w:r>
    </w:p>
    <w:p w:rsidR="003E022D" w:rsidRDefault="007D19D6">
      <w:pPr>
        <w:pStyle w:val="Article"/>
        <w:rPr>
          <w:noProof/>
          <w:lang w:val="fr-BE"/>
        </w:rPr>
      </w:pPr>
      <w:r>
        <w:rPr>
          <w:noProof/>
          <w:lang w:val="fr-BE"/>
        </w:rPr>
        <w:t>IP.7. pants. Autori</w:t>
      </w:r>
    </w:p>
    <w:p w:rsidR="003E022D" w:rsidRDefault="007D19D6">
      <w:pPr>
        <w:rPr>
          <w:rFonts w:asciiTheme="minorHAnsi" w:hAnsiTheme="minorHAnsi" w:cstheme="minorHAnsi"/>
          <w:noProof/>
          <w:lang w:val="fr-BE"/>
        </w:rPr>
      </w:pPr>
      <w:r>
        <w:rPr>
          <w:rFonts w:asciiTheme="minorHAnsi" w:hAnsiTheme="minorHAnsi"/>
          <w:noProof/>
          <w:lang w:val="fr-BE"/>
        </w:rPr>
        <w:t xml:space="preserve">Katra Puse nodrošina autoriem ekskluzīvas tiesības atļaut vai aizliegt: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 xml:space="preserve">viņu darbu tiešu vai netiešu pagaidu vai pastāvīgu reproducēšanu ar jebkādiem līdzekļiem un jebkādā formā, kopumā vai daļēji;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viņu darbu ori</w:t>
      </w:r>
      <w:r>
        <w:rPr>
          <w:rFonts w:asciiTheme="minorHAnsi" w:hAnsiTheme="minorHAnsi"/>
          <w:noProof/>
          <w:lang w:val="fr-BE"/>
        </w:rPr>
        <w:t xml:space="preserve">ģinālu vai kopiju publisku izplatīšanu jebkādā veidā, tos pārdodot vai kā citādi;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c)</w:t>
      </w:r>
      <w:r>
        <w:rPr>
          <w:noProof/>
          <w:lang w:val="fr-BE"/>
        </w:rPr>
        <w:tab/>
      </w:r>
      <w:r>
        <w:rPr>
          <w:rFonts w:asciiTheme="minorHAnsi" w:hAnsiTheme="minorHAnsi"/>
          <w:noProof/>
          <w:lang w:val="fr-BE"/>
        </w:rPr>
        <w:t>viņu darbu publiskošanu pa vadiem vai ar bezvadu līdzekļiem, arī darot tos pieejamus sabiedrībai tā, lai sabiedrības locekļi tiem var piekļūt no pašu izvēlētas vietas paš</w:t>
      </w:r>
      <w:r>
        <w:rPr>
          <w:rFonts w:asciiTheme="minorHAnsi" w:hAnsiTheme="minorHAnsi"/>
          <w:noProof/>
          <w:lang w:val="fr-BE"/>
        </w:rPr>
        <w:t xml:space="preserve">u izvēlētā laikā;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d)</w:t>
      </w:r>
      <w:r>
        <w:rPr>
          <w:noProof/>
          <w:lang w:val="fr-BE"/>
        </w:rPr>
        <w:tab/>
      </w:r>
      <w:r>
        <w:rPr>
          <w:rFonts w:asciiTheme="minorHAnsi" w:hAnsiTheme="minorHAnsi"/>
          <w:noProof/>
          <w:lang w:val="fr-BE"/>
        </w:rPr>
        <w:t>viņu darbu oriģinālu vai kopiju komerciālu nomu sabiedrībai; katra Puse var noteikt, ka šis punkts neattiecas uz ēkām vai lietišķās mākslas darbiem.</w:t>
      </w:r>
    </w:p>
    <w:p w:rsidR="003E022D" w:rsidRDefault="007D19D6">
      <w:pPr>
        <w:pStyle w:val="Article"/>
        <w:rPr>
          <w:noProof/>
          <w:lang w:val="fr-BE"/>
        </w:rPr>
      </w:pPr>
      <w:r>
        <w:rPr>
          <w:noProof/>
          <w:lang w:val="fr-BE"/>
        </w:rPr>
        <w:t>IP.8. pants. Izpildītāji</w:t>
      </w:r>
    </w:p>
    <w:p w:rsidR="003E022D" w:rsidRDefault="007D19D6">
      <w:pPr>
        <w:rPr>
          <w:rFonts w:asciiTheme="minorHAnsi" w:hAnsiTheme="minorHAnsi" w:cstheme="minorHAnsi"/>
          <w:noProof/>
          <w:lang w:val="fr-BE"/>
        </w:rPr>
      </w:pPr>
      <w:r>
        <w:rPr>
          <w:rFonts w:asciiTheme="minorHAnsi" w:hAnsiTheme="minorHAnsi"/>
          <w:noProof/>
          <w:lang w:val="fr-BE"/>
        </w:rPr>
        <w:t>Katra Puse nodrošina izpildītājiem ekskluzīvas tiesības atļa</w:t>
      </w:r>
      <w:r>
        <w:rPr>
          <w:rFonts w:asciiTheme="minorHAnsi" w:hAnsiTheme="minorHAnsi"/>
          <w:noProof/>
          <w:lang w:val="fr-BE"/>
        </w:rPr>
        <w:t xml:space="preserve">ut vai aizliegt: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 xml:space="preserve">viņu sniegtā izpildījuma fiksāciju;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 xml:space="preserve">viņu sniegtā izpildījuma fiksāciju tiešu vai netiešu pagaidu vai pastāvīgu pavairošanu ar jebkādiem līdzekļiem un jebkādā formā, kopumā vai daļēji;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c)</w:t>
      </w:r>
      <w:r>
        <w:rPr>
          <w:noProof/>
          <w:lang w:val="fr-BE"/>
        </w:rPr>
        <w:tab/>
      </w:r>
      <w:r>
        <w:rPr>
          <w:rFonts w:asciiTheme="minorHAnsi" w:hAnsiTheme="minorHAnsi"/>
          <w:noProof/>
          <w:lang w:val="fr-BE"/>
        </w:rPr>
        <w:t>viņu sniegtā izpildījuma fiksāciju izplatī</w:t>
      </w:r>
      <w:r>
        <w:rPr>
          <w:rFonts w:asciiTheme="minorHAnsi" w:hAnsiTheme="minorHAnsi"/>
          <w:noProof/>
          <w:lang w:val="fr-BE"/>
        </w:rPr>
        <w:t xml:space="preserve">šanu sabiedrībai, pārdodot vai kā citādi;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d)</w:t>
      </w:r>
      <w:r>
        <w:rPr>
          <w:noProof/>
          <w:lang w:val="fr-BE"/>
        </w:rPr>
        <w:tab/>
      </w:r>
      <w:r>
        <w:rPr>
          <w:rFonts w:asciiTheme="minorHAnsi" w:hAnsiTheme="minorHAnsi"/>
          <w:noProof/>
          <w:lang w:val="fr-BE"/>
        </w:rPr>
        <w:t xml:space="preserve">viņu sniegtā izpildījuma fiksāciju pieejamības nodrošināšanu sabiedrībai pa vadiem vai ar bezvadu līdzekļiem tā, lai sabiedrības locekļi tām var piekļūt no pašu izvēlētas vietas pašu izvēlētā laikā;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e)</w:t>
      </w:r>
      <w:r>
        <w:rPr>
          <w:noProof/>
          <w:lang w:val="fr-BE"/>
        </w:rPr>
        <w:tab/>
      </w:r>
      <w:r>
        <w:rPr>
          <w:rFonts w:asciiTheme="minorHAnsi" w:hAnsiTheme="minorHAnsi"/>
          <w:noProof/>
          <w:lang w:val="fr-BE"/>
        </w:rPr>
        <w:t>viņu sn</w:t>
      </w:r>
      <w:r>
        <w:rPr>
          <w:rFonts w:asciiTheme="minorHAnsi" w:hAnsiTheme="minorHAnsi"/>
          <w:noProof/>
          <w:lang w:val="fr-BE"/>
        </w:rPr>
        <w:t xml:space="preserve">iegtā izpildījuma raidīšanu bezvadu sistēmā un publiskošanu, izņemot gadījumus, kad izpildījums jau ir pārraidīts vai arī tas tiek veikts no fiksācijas;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f)</w:t>
      </w:r>
      <w:r>
        <w:rPr>
          <w:noProof/>
          <w:lang w:val="fr-BE"/>
        </w:rPr>
        <w:tab/>
      </w:r>
      <w:r>
        <w:rPr>
          <w:rFonts w:asciiTheme="minorHAnsi" w:hAnsiTheme="minorHAnsi"/>
          <w:noProof/>
          <w:lang w:val="fr-BE"/>
        </w:rPr>
        <w:t xml:space="preserve">viņu izpildījumu fiksācijas komerciālu nomu sabiedrībai. </w:t>
      </w:r>
    </w:p>
    <w:p w:rsidR="003E022D" w:rsidRDefault="007D19D6">
      <w:pPr>
        <w:pStyle w:val="Article"/>
        <w:rPr>
          <w:noProof/>
          <w:lang w:val="fr-BE"/>
        </w:rPr>
      </w:pPr>
      <w:r>
        <w:rPr>
          <w:noProof/>
          <w:lang w:val="fr-BE"/>
        </w:rPr>
        <w:t>IP.9. pants. Fonogrammu producenti</w:t>
      </w:r>
    </w:p>
    <w:p w:rsidR="003E022D" w:rsidRDefault="007D19D6">
      <w:pPr>
        <w:rPr>
          <w:rFonts w:asciiTheme="minorHAnsi" w:hAnsiTheme="minorHAnsi" w:cstheme="minorHAnsi"/>
          <w:noProof/>
          <w:lang w:val="fr-BE"/>
        </w:rPr>
      </w:pPr>
      <w:r>
        <w:rPr>
          <w:rFonts w:asciiTheme="minorHAnsi" w:hAnsiTheme="minorHAnsi"/>
          <w:noProof/>
          <w:lang w:val="fr-BE"/>
        </w:rPr>
        <w:t xml:space="preserve">Katra Puse nodrošina fonogrammu producentiem ekskluzīvas tiesības atļaut vai aizliegt: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 xml:space="preserve">viņu fonogrammu tiešu vai netiešu pagaidu vai pastāvīgu pavairošanu ar jebkādiem līdzekļiem un jebkādā formā, kopumā vai daļēji;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 xml:space="preserve">viņu fonogrammu, arī to kopiju, </w:t>
      </w:r>
      <w:r>
        <w:rPr>
          <w:rFonts w:asciiTheme="minorHAnsi" w:hAnsiTheme="minorHAnsi"/>
          <w:noProof/>
          <w:lang w:val="fr-BE"/>
        </w:rPr>
        <w:t xml:space="preserve">izplatīšanu sabiedrībai, tās pārdodot vai kā citādi;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c)</w:t>
      </w:r>
      <w:r>
        <w:rPr>
          <w:noProof/>
          <w:lang w:val="fr-BE"/>
        </w:rPr>
        <w:tab/>
      </w:r>
      <w:r>
        <w:rPr>
          <w:rFonts w:asciiTheme="minorHAnsi" w:hAnsiTheme="minorHAnsi"/>
          <w:noProof/>
          <w:lang w:val="fr-BE"/>
        </w:rPr>
        <w:t xml:space="preserve">viņu fonogrammu pieejamības nodrošināšanu sabiedrībai pa vadiem vai ar bezvadu līdzekļiem tā, lai sabiedrības locekļi tām var piekļūt no pašu izvēlētas vietas pašu izvēlētā laikā;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d)</w:t>
      </w:r>
      <w:r>
        <w:rPr>
          <w:noProof/>
          <w:lang w:val="fr-BE"/>
        </w:rPr>
        <w:tab/>
      </w:r>
      <w:r>
        <w:rPr>
          <w:rFonts w:asciiTheme="minorHAnsi" w:hAnsiTheme="minorHAnsi"/>
          <w:noProof/>
          <w:lang w:val="fr-BE"/>
        </w:rPr>
        <w:t>viņu fonogram</w:t>
      </w:r>
      <w:r>
        <w:rPr>
          <w:rFonts w:asciiTheme="minorHAnsi" w:hAnsiTheme="minorHAnsi"/>
          <w:noProof/>
          <w:lang w:val="fr-BE"/>
        </w:rPr>
        <w:t xml:space="preserve">mu komerciālu nomu sabiedrībai. </w:t>
      </w:r>
    </w:p>
    <w:p w:rsidR="003E022D" w:rsidRDefault="007D19D6">
      <w:pPr>
        <w:pStyle w:val="Article"/>
        <w:rPr>
          <w:noProof/>
          <w:lang w:val="fr-BE"/>
        </w:rPr>
      </w:pPr>
      <w:r>
        <w:rPr>
          <w:noProof/>
          <w:lang w:val="fr-BE"/>
        </w:rPr>
        <w:t>IP.10. pants. Raidorganizācijas</w:t>
      </w:r>
    </w:p>
    <w:p w:rsidR="003E022D" w:rsidRDefault="007D19D6">
      <w:pPr>
        <w:rPr>
          <w:rFonts w:asciiTheme="minorHAnsi" w:hAnsiTheme="minorHAnsi" w:cstheme="minorHAnsi"/>
          <w:noProof/>
          <w:lang w:val="fr-BE"/>
        </w:rPr>
      </w:pPr>
      <w:r>
        <w:rPr>
          <w:rFonts w:asciiTheme="minorHAnsi" w:hAnsiTheme="minorHAnsi"/>
          <w:noProof/>
          <w:lang w:val="fr-BE"/>
        </w:rPr>
        <w:t xml:space="preserve">Katra Puse nodrošina raidorganizācijām ekskluzīvas tiesības atļaut vai aizliegt: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viņu raidījumu fiksāciju neatkarīgi no tā, vai šos raidījumus translē pa vadiem vai bez tiem, tai skaitā p</w:t>
      </w:r>
      <w:r>
        <w:rPr>
          <w:rFonts w:asciiTheme="minorHAnsi" w:hAnsiTheme="minorHAnsi"/>
          <w:noProof/>
          <w:lang w:val="fr-BE"/>
        </w:rPr>
        <w:t xml:space="preserve">a kabeļiem vai ar satelīta palīdzību;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viņu raidījumu fiksāciju tiešu vai netiešu pagaidu vai pastāvīgu reproducēšanu ar jebkādiem līdzekļiem un jebkādā formā, kopumā vai daļēji, neatkarīgi no tā, vai minētos raidījumus translē pa vadiem vai bez tiem, t</w:t>
      </w:r>
      <w:r>
        <w:rPr>
          <w:rFonts w:asciiTheme="minorHAnsi" w:hAnsiTheme="minorHAnsi"/>
          <w:noProof/>
          <w:lang w:val="fr-BE"/>
        </w:rPr>
        <w:t xml:space="preserve">ai skaitā pa kabeļiem vai ar satelīta palīdzību;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c)</w:t>
      </w:r>
      <w:r>
        <w:rPr>
          <w:noProof/>
          <w:lang w:val="fr-BE"/>
        </w:rPr>
        <w:tab/>
      </w:r>
      <w:r>
        <w:rPr>
          <w:rFonts w:asciiTheme="minorHAnsi" w:hAnsiTheme="minorHAnsi"/>
          <w:noProof/>
          <w:lang w:val="fr-BE"/>
        </w:rPr>
        <w:t xml:space="preserve">viņu raidījumu fiksāciju pieejamības nodrošināšanu sabiedrībai pa vadiem vai ar bezvadu līdzekļiem tā, lai sabiedrības locekļi tām var piekļūt no pašu izvēlētas vietas pašu izvēlētā laikā, neatkarīgi no </w:t>
      </w:r>
      <w:r>
        <w:rPr>
          <w:rFonts w:asciiTheme="minorHAnsi" w:hAnsiTheme="minorHAnsi"/>
          <w:noProof/>
          <w:lang w:val="fr-BE"/>
        </w:rPr>
        <w:t xml:space="preserve">tā, vai minētos raidījumus translē pa vadiem vai bez tiem, tai skaitā pa kabeļiem vai ar satelīta palīdzību;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d)</w:t>
      </w:r>
      <w:r>
        <w:rPr>
          <w:noProof/>
          <w:lang w:val="fr-BE"/>
        </w:rPr>
        <w:tab/>
      </w:r>
      <w:r>
        <w:rPr>
          <w:rFonts w:asciiTheme="minorHAnsi" w:hAnsiTheme="minorHAnsi"/>
          <w:noProof/>
          <w:lang w:val="fr-BE"/>
        </w:rPr>
        <w:t xml:space="preserve">viņu raidījumu fiksāciju, arī to kopiju, izplatīšanu sabiedrībai, tās pārdodot vai kā citādi, neatkarīgi no tā, vai šos raidījumus translē pa </w:t>
      </w:r>
      <w:r>
        <w:rPr>
          <w:rFonts w:asciiTheme="minorHAnsi" w:hAnsiTheme="minorHAnsi"/>
          <w:noProof/>
          <w:lang w:val="fr-BE"/>
        </w:rPr>
        <w:t xml:space="preserve">vadiem vai bez tiem, tai skaitā pa kabeļiem vai ar satelīta palīdzību;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e)</w:t>
      </w:r>
      <w:r>
        <w:rPr>
          <w:noProof/>
          <w:lang w:val="fr-BE"/>
        </w:rPr>
        <w:tab/>
      </w:r>
      <w:r>
        <w:rPr>
          <w:rFonts w:asciiTheme="minorHAnsi" w:hAnsiTheme="minorHAnsi"/>
          <w:noProof/>
          <w:lang w:val="fr-BE"/>
        </w:rPr>
        <w:t xml:space="preserve">viņu raidījumu retranslēšanu bezvadu sistēmā, kā arī to publiskošanu, ja publiskošana notiek vietās, kas pieejamas publikai par ieejas maksu. </w:t>
      </w:r>
    </w:p>
    <w:p w:rsidR="003E022D" w:rsidRDefault="007D19D6">
      <w:pPr>
        <w:pStyle w:val="Article"/>
        <w:rPr>
          <w:noProof/>
          <w:lang w:val="fr-BE"/>
        </w:rPr>
      </w:pPr>
      <w:r>
        <w:rPr>
          <w:noProof/>
          <w:lang w:val="fr-BE"/>
        </w:rPr>
        <w:t>IP.11. pants. Komerciālos nolūkos publ</w:t>
      </w:r>
      <w:r>
        <w:rPr>
          <w:noProof/>
          <w:lang w:val="fr-BE"/>
        </w:rPr>
        <w:t>icētu fonogrammu raidīšana un publiskošana</w:t>
      </w:r>
    </w:p>
    <w:p w:rsidR="003E022D" w:rsidRDefault="007D19D6">
      <w:pPr>
        <w:numPr>
          <w:ilvl w:val="0"/>
          <w:numId w:val="539"/>
        </w:numPr>
        <w:ind w:left="0" w:firstLine="0"/>
        <w:rPr>
          <w:rFonts w:asciiTheme="minorHAnsi" w:hAnsiTheme="minorHAnsi" w:cstheme="minorHAnsi"/>
          <w:noProof/>
          <w:lang w:val="fr-BE"/>
        </w:rPr>
      </w:pPr>
      <w:r>
        <w:rPr>
          <w:rFonts w:asciiTheme="minorHAnsi" w:hAnsiTheme="minorHAnsi"/>
          <w:noProof/>
          <w:lang w:val="fr-BE"/>
        </w:rPr>
        <w:t>Katra Puse paredz tiesības, kas nodrošina to, ka lietotājs maksā izpildītājiem un fonogrammu producentiem vienreizēju taisnīgu atlīdzību, ja komerciālos nolūkos publicētas fonogrammas vai šādas fonogrammas reprodu</w:t>
      </w:r>
      <w:r>
        <w:rPr>
          <w:rFonts w:asciiTheme="minorHAnsi" w:hAnsiTheme="minorHAnsi"/>
          <w:noProof/>
          <w:lang w:val="fr-BE"/>
        </w:rPr>
        <w:t xml:space="preserve">kciju izmanto raidīšanai vai jebkādai publiskošanai. </w:t>
      </w:r>
    </w:p>
    <w:p w:rsidR="003E022D" w:rsidRDefault="007D19D6">
      <w:pPr>
        <w:numPr>
          <w:ilvl w:val="0"/>
          <w:numId w:val="539"/>
        </w:numPr>
        <w:ind w:left="0" w:firstLine="0"/>
        <w:rPr>
          <w:rFonts w:asciiTheme="minorHAnsi" w:hAnsiTheme="minorHAnsi" w:cstheme="minorHAnsi"/>
          <w:noProof/>
          <w:lang w:val="fr-BE"/>
        </w:rPr>
      </w:pPr>
      <w:r>
        <w:rPr>
          <w:rFonts w:asciiTheme="minorHAnsi" w:hAnsiTheme="minorHAnsi"/>
          <w:noProof/>
          <w:lang w:val="fr-BE"/>
        </w:rPr>
        <w:t>Katra Puse nodrošina, ka vienreizējo taisnīgo atlīdzību sadala starp attiecīgajiem izpildītājiem un fonogrammu producentiem. Katra Puse var pieņemt tiesību aktus, kas gadījumā, ja starp izpildītājiem un</w:t>
      </w:r>
      <w:r>
        <w:rPr>
          <w:rFonts w:asciiTheme="minorHAnsi" w:hAnsiTheme="minorHAnsi"/>
          <w:noProof/>
          <w:lang w:val="fr-BE"/>
        </w:rPr>
        <w:t xml:space="preserve"> fonogrammu producentiem nav līguma, paredz noteikumus, saskaņā ar kuriem izpildītāji un fonogrammu producenti savstarpēji sadala vienreizējo taisnīgo atlīdzību. </w:t>
      </w:r>
    </w:p>
    <w:p w:rsidR="003E022D" w:rsidRDefault="007D19D6">
      <w:pPr>
        <w:numPr>
          <w:ilvl w:val="0"/>
          <w:numId w:val="539"/>
        </w:numPr>
        <w:ind w:left="0" w:firstLine="0"/>
        <w:rPr>
          <w:rFonts w:asciiTheme="minorHAnsi" w:hAnsiTheme="minorHAnsi" w:cstheme="minorHAnsi"/>
          <w:noProof/>
          <w:lang w:val="fr-BE"/>
        </w:rPr>
      </w:pPr>
      <w:r>
        <w:rPr>
          <w:rFonts w:asciiTheme="minorHAnsi" w:hAnsiTheme="minorHAnsi"/>
          <w:noProof/>
          <w:lang w:val="fr-BE"/>
        </w:rPr>
        <w:t xml:space="preserve">Katra Puse izpildītājiem un fonogrammu producentiem var piešķirt plašākas tiesības attiecībā </w:t>
      </w:r>
      <w:r>
        <w:rPr>
          <w:rFonts w:asciiTheme="minorHAnsi" w:hAnsiTheme="minorHAnsi"/>
          <w:noProof/>
          <w:lang w:val="fr-BE"/>
        </w:rPr>
        <w:t xml:space="preserve">uz komerciālos nolūkos publicētu fonogrammu raidīšanu un publiskošanu.  </w:t>
      </w:r>
    </w:p>
    <w:p w:rsidR="003E022D" w:rsidRDefault="007D19D6">
      <w:pPr>
        <w:pStyle w:val="Article"/>
        <w:rPr>
          <w:noProof/>
        </w:rPr>
      </w:pPr>
      <w:r>
        <w:rPr>
          <w:noProof/>
        </w:rPr>
        <w:t>IP.12. pants. Aizsardzības termiņš</w:t>
      </w:r>
    </w:p>
    <w:p w:rsidR="003E022D" w:rsidRDefault="007D19D6">
      <w:pPr>
        <w:numPr>
          <w:ilvl w:val="0"/>
          <w:numId w:val="540"/>
        </w:numPr>
        <w:ind w:left="0" w:firstLine="0"/>
        <w:rPr>
          <w:rFonts w:asciiTheme="minorHAnsi" w:hAnsiTheme="minorHAnsi" w:cstheme="minorHAnsi"/>
          <w:noProof/>
        </w:rPr>
      </w:pPr>
      <w:r>
        <w:rPr>
          <w:rFonts w:asciiTheme="minorHAnsi" w:hAnsiTheme="minorHAnsi"/>
          <w:noProof/>
        </w:rPr>
        <w:t>Darba autora tiesības ir spēkā visu autora mūžu un 70 gadus pēc autora nāves neatkarīgi no datuma, kad darbs ir likumīgi darīts pieejams sabiedrībai</w:t>
      </w:r>
      <w:r>
        <w:rPr>
          <w:rFonts w:asciiTheme="minorHAnsi" w:hAnsiTheme="minorHAnsi"/>
          <w:noProof/>
        </w:rPr>
        <w:t>.</w:t>
      </w:r>
    </w:p>
    <w:p w:rsidR="003E022D" w:rsidRDefault="007D19D6">
      <w:pPr>
        <w:numPr>
          <w:ilvl w:val="0"/>
          <w:numId w:val="540"/>
        </w:numPr>
        <w:ind w:left="0" w:firstLine="0"/>
        <w:rPr>
          <w:rFonts w:asciiTheme="minorHAnsi" w:hAnsiTheme="minorHAnsi" w:cstheme="minorHAnsi"/>
          <w:noProof/>
        </w:rPr>
      </w:pPr>
      <w:r>
        <w:rPr>
          <w:rFonts w:asciiTheme="minorHAnsi" w:hAnsiTheme="minorHAnsi"/>
          <w:noProof/>
        </w:rPr>
        <w:t>Lai īstenotu 1. punktu, katra Puse var paredzēt īpašus noteikumus par to, kā aprēķināms aizsardzības termiņš attiecībā uz muzikālajām kompozīcijām ar vārdiem, līdzautorībā tapušiem darbiem, kā arī kinematogrāfiskiem vai audiovizuāliem darbiem. Katra Puse</w:t>
      </w:r>
      <w:r>
        <w:rPr>
          <w:rFonts w:asciiTheme="minorHAnsi" w:hAnsiTheme="minorHAnsi"/>
          <w:noProof/>
        </w:rPr>
        <w:t xml:space="preserve"> var paredzēt īpašus noteikumus par anonīmu vai ar pseidonīmu klajā laistu darbu aizsardzības termiņa aprēķināšanu.</w:t>
      </w:r>
    </w:p>
    <w:p w:rsidR="003E022D" w:rsidRDefault="007D19D6">
      <w:pPr>
        <w:numPr>
          <w:ilvl w:val="0"/>
          <w:numId w:val="540"/>
        </w:numPr>
        <w:ind w:left="0" w:firstLine="0"/>
        <w:rPr>
          <w:rFonts w:asciiTheme="minorHAnsi" w:hAnsiTheme="minorHAnsi" w:cstheme="minorHAnsi"/>
          <w:noProof/>
        </w:rPr>
      </w:pPr>
      <w:r>
        <w:rPr>
          <w:rFonts w:asciiTheme="minorHAnsi" w:hAnsiTheme="minorHAnsi"/>
          <w:noProof/>
        </w:rPr>
        <w:t>Raidorganizāciju tiesības beidzas 50 gadus pēc raidījuma pirmās pārraides, neatkarīgi no tā, vai šis raidījums pārraidīts pa vadiem vai pa g</w:t>
      </w:r>
      <w:r>
        <w:rPr>
          <w:rFonts w:asciiTheme="minorHAnsi" w:hAnsiTheme="minorHAnsi"/>
          <w:noProof/>
        </w:rPr>
        <w:t xml:space="preserve">aisu, ietverot kabeļus un mākslīgos pavadoņus. </w:t>
      </w:r>
    </w:p>
    <w:p w:rsidR="003E022D" w:rsidRDefault="007D19D6">
      <w:pPr>
        <w:numPr>
          <w:ilvl w:val="0"/>
          <w:numId w:val="540"/>
        </w:numPr>
        <w:ind w:left="0" w:firstLine="0"/>
        <w:rPr>
          <w:rFonts w:asciiTheme="minorHAnsi" w:hAnsiTheme="minorHAnsi" w:cstheme="minorHAnsi"/>
          <w:noProof/>
        </w:rPr>
      </w:pPr>
      <w:r>
        <w:rPr>
          <w:rFonts w:asciiTheme="minorHAnsi" w:hAnsiTheme="minorHAnsi"/>
          <w:noProof/>
        </w:rPr>
        <w:t>Izpildītāju tiesības uz tādiem viņu izpildījumiem, kas nav fonogrammās, izbeidzas pēc 50 gadiem no izpildījuma fiksācijas dienas vai, ja šajā laikā tas ir likumīgi publicēts vai likumīgi publiskots, pēc 50 ga</w:t>
      </w:r>
      <w:r>
        <w:rPr>
          <w:rFonts w:asciiTheme="minorHAnsi" w:hAnsiTheme="minorHAnsi"/>
          <w:noProof/>
        </w:rPr>
        <w:t>diem no pirmās tādas publicēšanas vai publiskošanas, atkarībā no tā, kas notiek agrāk.</w:t>
      </w:r>
    </w:p>
    <w:p w:rsidR="003E022D" w:rsidRDefault="007D19D6">
      <w:pPr>
        <w:numPr>
          <w:ilvl w:val="0"/>
          <w:numId w:val="540"/>
        </w:numPr>
        <w:ind w:left="0" w:firstLine="0"/>
        <w:rPr>
          <w:rFonts w:asciiTheme="minorHAnsi" w:hAnsiTheme="minorHAnsi" w:cstheme="minorHAnsi"/>
          <w:noProof/>
        </w:rPr>
      </w:pPr>
      <w:r>
        <w:rPr>
          <w:rFonts w:asciiTheme="minorHAnsi" w:hAnsiTheme="minorHAnsi"/>
          <w:noProof/>
        </w:rPr>
        <w:t>Izpildītāju tiesības uz fonogrammās fiksētu izpildījumu izbeidzas pēc 50 gadiem no izpildījuma fiksācijas dienas vai, ja šajā laikā tas ir likumīgi publicēts vai likumīg</w:t>
      </w:r>
      <w:r>
        <w:rPr>
          <w:rFonts w:asciiTheme="minorHAnsi" w:hAnsiTheme="minorHAnsi"/>
          <w:noProof/>
        </w:rPr>
        <w:t>i publiskots, pēc 70 gadiem no šādas darbības, atkarībā no tā, kas notiek agrāk.</w:t>
      </w:r>
    </w:p>
    <w:p w:rsidR="003E022D" w:rsidRDefault="007D19D6">
      <w:pPr>
        <w:numPr>
          <w:ilvl w:val="0"/>
          <w:numId w:val="540"/>
        </w:numPr>
        <w:ind w:left="0" w:firstLine="0"/>
        <w:rPr>
          <w:rFonts w:asciiTheme="minorHAnsi" w:hAnsiTheme="minorHAnsi" w:cstheme="minorHAnsi"/>
          <w:noProof/>
        </w:rPr>
      </w:pPr>
      <w:r>
        <w:rPr>
          <w:rFonts w:asciiTheme="minorHAnsi" w:hAnsiTheme="minorHAnsi"/>
          <w:noProof/>
        </w:rPr>
        <w:t>Fonogrammu producentu tiesības izbeidzas pēc 50 gadiem no fiksācijas izdarīšanas vai, ja šajā laikā tās ir likumīgi publicētas, pēc 70 gadiem no šādas publicēšanas. Ja fonogra</w:t>
      </w:r>
      <w:r>
        <w:rPr>
          <w:rFonts w:asciiTheme="minorHAnsi" w:hAnsiTheme="minorHAnsi"/>
          <w:noProof/>
        </w:rPr>
        <w:t>mma nav likumīgi publicēta, tad, ja šajā laikā tā ir likumīgi publiskota, aizsardzības termiņš ir 70 gadi no šādas publiskošanas dienas. Katra Puse var paredzēt iedarbīgus pasākumus, kuri nodrošinātu to, ka peļņa, kas gūta 20 aizsardzības gadu laikā, kas s</w:t>
      </w:r>
      <w:r>
        <w:rPr>
          <w:rFonts w:asciiTheme="minorHAnsi" w:hAnsiTheme="minorHAnsi"/>
          <w:noProof/>
        </w:rPr>
        <w:t xml:space="preserve">ākas pēc 50 gadiem, tiek taisnīgi sadalīta starp izpildītājiem un fonogrammu producentiem. </w:t>
      </w:r>
    </w:p>
    <w:p w:rsidR="003E022D" w:rsidRDefault="007D19D6">
      <w:pPr>
        <w:numPr>
          <w:ilvl w:val="0"/>
          <w:numId w:val="540"/>
        </w:numPr>
        <w:ind w:left="0" w:firstLine="0"/>
        <w:rPr>
          <w:rFonts w:asciiTheme="minorHAnsi" w:hAnsiTheme="minorHAnsi" w:cstheme="minorHAnsi"/>
          <w:noProof/>
        </w:rPr>
      </w:pPr>
      <w:r>
        <w:rPr>
          <w:rFonts w:asciiTheme="minorHAnsi" w:hAnsiTheme="minorHAnsi"/>
          <w:noProof/>
        </w:rPr>
        <w:t xml:space="preserve">Šajā pantā noteiktos laikposmus sāk skaitīt no 1. janvāra nākamajā gadā pēc notikuma, kas tos izraisījis. </w:t>
      </w:r>
    </w:p>
    <w:p w:rsidR="003E022D" w:rsidRDefault="007D19D6">
      <w:pPr>
        <w:numPr>
          <w:ilvl w:val="0"/>
          <w:numId w:val="540"/>
        </w:numPr>
        <w:ind w:left="0" w:firstLine="0"/>
        <w:rPr>
          <w:rFonts w:asciiTheme="minorHAnsi" w:hAnsiTheme="minorHAnsi" w:cstheme="minorHAnsi"/>
          <w:noProof/>
        </w:rPr>
      </w:pPr>
      <w:r>
        <w:rPr>
          <w:rFonts w:asciiTheme="minorHAnsi" w:hAnsiTheme="minorHAnsi"/>
          <w:noProof/>
        </w:rPr>
        <w:t xml:space="preserve">Katra Puse var paredzēt garākus aizsardzības termiņus nekā šajā pantā paredzētie. </w:t>
      </w:r>
    </w:p>
    <w:p w:rsidR="003E022D" w:rsidRDefault="007D19D6">
      <w:pPr>
        <w:pStyle w:val="Article"/>
        <w:rPr>
          <w:noProof/>
        </w:rPr>
      </w:pPr>
      <w:r>
        <w:rPr>
          <w:noProof/>
        </w:rPr>
        <w:t>IP.13. pants. Tālākpārdošanas tiesības</w:t>
      </w:r>
    </w:p>
    <w:p w:rsidR="003E022D" w:rsidRDefault="007D19D6">
      <w:pPr>
        <w:numPr>
          <w:ilvl w:val="0"/>
          <w:numId w:val="541"/>
        </w:numPr>
        <w:ind w:left="0" w:firstLine="0"/>
        <w:rPr>
          <w:rFonts w:asciiTheme="minorHAnsi" w:hAnsiTheme="minorHAnsi" w:cstheme="minorHAnsi"/>
          <w:noProof/>
        </w:rPr>
      </w:pPr>
      <w:r>
        <w:rPr>
          <w:rFonts w:asciiTheme="minorHAnsi" w:hAnsiTheme="minorHAnsi"/>
          <w:noProof/>
        </w:rPr>
        <w:t>Katra Puse par labu grafiskās vai plastiskās mākslas oriģināldarba autoram paredz tālākpārdošanas tiesības – kas definētas kā neatsavi</w:t>
      </w:r>
      <w:r>
        <w:rPr>
          <w:rFonts w:asciiTheme="minorHAnsi" w:hAnsiTheme="minorHAnsi"/>
          <w:noProof/>
        </w:rPr>
        <w:t xml:space="preserve">nāmas tiesības un no kā nevar atteikties pat iepriekš – saņemt autoratlīdzību, kuras pamatā ir pārdošanas cena, kas iegūta no darba turpmākas pārdošanas pēc tam, kad autors šo darbu pirmo reizi nodevis tālāk. </w:t>
      </w:r>
    </w:p>
    <w:p w:rsidR="003E022D" w:rsidRDefault="007D19D6">
      <w:pPr>
        <w:numPr>
          <w:ilvl w:val="0"/>
          <w:numId w:val="541"/>
        </w:numPr>
        <w:ind w:left="0" w:firstLine="0"/>
        <w:rPr>
          <w:rFonts w:asciiTheme="minorHAnsi" w:hAnsiTheme="minorHAnsi" w:cstheme="minorHAnsi"/>
          <w:noProof/>
        </w:rPr>
      </w:pPr>
      <w:r>
        <w:rPr>
          <w:rFonts w:asciiTheme="minorHAnsi" w:hAnsiTheme="minorHAnsi"/>
          <w:noProof/>
        </w:rPr>
        <w:t>Tiesības, kas minētas 1. punktā, attiecas uz v</w:t>
      </w:r>
      <w:r>
        <w:rPr>
          <w:rFonts w:asciiTheme="minorHAnsi" w:hAnsiTheme="minorHAnsi"/>
          <w:noProof/>
        </w:rPr>
        <w:t xml:space="preserve">isām tālākpārdošanas darbībām, kurās kā pārdevējus, pircējus vai starpniekus iesaista profesionālus mākslas tirgus speciālistus, kuras veic izsoļu nami, mākslas galerijas un jebkādi mākslas darbu tirgotāji. </w:t>
      </w:r>
    </w:p>
    <w:p w:rsidR="003E022D" w:rsidRDefault="007D19D6">
      <w:pPr>
        <w:numPr>
          <w:ilvl w:val="0"/>
          <w:numId w:val="541"/>
        </w:numPr>
        <w:ind w:left="0" w:firstLine="0"/>
        <w:rPr>
          <w:rFonts w:asciiTheme="minorHAnsi" w:hAnsiTheme="minorHAnsi" w:cstheme="minorHAnsi"/>
          <w:noProof/>
        </w:rPr>
      </w:pPr>
      <w:r>
        <w:rPr>
          <w:rFonts w:asciiTheme="minorHAnsi" w:hAnsiTheme="minorHAnsi"/>
          <w:noProof/>
        </w:rPr>
        <w:t>Katra Puse var noteikt, ka 1. punktā minētās tie</w:t>
      </w:r>
      <w:r>
        <w:rPr>
          <w:rFonts w:asciiTheme="minorHAnsi" w:hAnsiTheme="minorHAnsi"/>
          <w:noProof/>
        </w:rPr>
        <w:t xml:space="preserve">sības uz tālākpārdošanu neattiecas, ja pārdevējs attiecīgo darbu ir ieguvis tieši no paša autora mazāk nekā trīs gadus pirms minētās tālākpārdošanas un tālākpārdošanas cena nepārsniedz noteiktu minimālo summu. </w:t>
      </w:r>
    </w:p>
    <w:p w:rsidR="003E022D" w:rsidRDefault="007D19D6">
      <w:pPr>
        <w:numPr>
          <w:ilvl w:val="0"/>
          <w:numId w:val="541"/>
        </w:numPr>
        <w:ind w:left="0" w:firstLine="0"/>
        <w:rPr>
          <w:rFonts w:asciiTheme="minorHAnsi" w:hAnsiTheme="minorHAnsi" w:cstheme="minorHAnsi"/>
          <w:noProof/>
        </w:rPr>
      </w:pPr>
      <w:r>
        <w:rPr>
          <w:rFonts w:asciiTheme="minorHAnsi" w:hAnsiTheme="minorHAnsi"/>
          <w:noProof/>
        </w:rPr>
        <w:t>Atlīdzības un tās summu iekasēšanas kārtību n</w:t>
      </w:r>
      <w:r>
        <w:rPr>
          <w:rFonts w:asciiTheme="minorHAnsi" w:hAnsiTheme="minorHAnsi"/>
          <w:noProof/>
        </w:rPr>
        <w:t>osaka katras Puses tiesību akti.</w:t>
      </w:r>
    </w:p>
    <w:p w:rsidR="003E022D" w:rsidRDefault="007D19D6">
      <w:pPr>
        <w:pStyle w:val="Article"/>
        <w:rPr>
          <w:noProof/>
        </w:rPr>
      </w:pPr>
      <w:r>
        <w:rPr>
          <w:noProof/>
        </w:rPr>
        <w:t>IP.14. pants. Tiesību kolektīvā pārvaldība</w:t>
      </w:r>
    </w:p>
    <w:p w:rsidR="003E022D" w:rsidRDefault="007D19D6">
      <w:pPr>
        <w:numPr>
          <w:ilvl w:val="0"/>
          <w:numId w:val="542"/>
        </w:numPr>
        <w:ind w:left="0" w:firstLine="0"/>
        <w:rPr>
          <w:rFonts w:asciiTheme="minorHAnsi" w:hAnsiTheme="minorHAnsi" w:cstheme="minorHAnsi"/>
          <w:noProof/>
        </w:rPr>
      </w:pPr>
      <w:r>
        <w:rPr>
          <w:rFonts w:asciiTheme="minorHAnsi" w:hAnsiTheme="minorHAnsi"/>
          <w:noProof/>
        </w:rPr>
        <w:t>Lai veicinātu darbu un citu aizsargātu tiesību objektu pieejamību Pušu attiecīgajās teritorijās un tiesību ieņēmumu nodošanu starp attiecīgajām mantisko tiesību kolektīvā pārvaldīj</w:t>
      </w:r>
      <w:r>
        <w:rPr>
          <w:rFonts w:asciiTheme="minorHAnsi" w:hAnsiTheme="minorHAnsi"/>
          <w:noProof/>
        </w:rPr>
        <w:t xml:space="preserve">uma organizācijām šādu darbu vai citu aizsargātu tiesību objektu izmantošanai, Puses veicina sadarbību starp to attiecīgajām mantisko tiesību kolektīvā pārvaldījuma organizācijām. </w:t>
      </w:r>
    </w:p>
    <w:p w:rsidR="003E022D" w:rsidRDefault="007D19D6">
      <w:pPr>
        <w:numPr>
          <w:ilvl w:val="0"/>
          <w:numId w:val="542"/>
        </w:numPr>
        <w:ind w:left="0" w:firstLine="0"/>
        <w:rPr>
          <w:rFonts w:asciiTheme="minorHAnsi" w:hAnsiTheme="minorHAnsi" w:cstheme="minorHAnsi"/>
          <w:noProof/>
        </w:rPr>
      </w:pPr>
      <w:r>
        <w:rPr>
          <w:rFonts w:asciiTheme="minorHAnsi" w:hAnsiTheme="minorHAnsi"/>
          <w:noProof/>
        </w:rPr>
        <w:t>Puses veicina mantisko tiesību kolektīvā pārvaldījuma organizāciju pārredza</w:t>
      </w:r>
      <w:r>
        <w:rPr>
          <w:rFonts w:asciiTheme="minorHAnsi" w:hAnsiTheme="minorHAnsi"/>
          <w:noProof/>
        </w:rPr>
        <w:t>mību, jo īpaši attiecībā uz to iekasētajiem tiesību ieņēmumiem, atskaitījumiem, ko tās piemēro iekasētajiem tiesību ieņēmumiem, iekasēto tiesību ieņēmumu izmantošanu, izplatīšanas politiku un repertuāru.</w:t>
      </w:r>
    </w:p>
    <w:p w:rsidR="003E022D" w:rsidRDefault="007D19D6">
      <w:pPr>
        <w:numPr>
          <w:ilvl w:val="0"/>
          <w:numId w:val="542"/>
        </w:numPr>
        <w:ind w:left="0" w:firstLine="0"/>
        <w:rPr>
          <w:rFonts w:asciiTheme="minorHAnsi" w:hAnsiTheme="minorHAnsi" w:cstheme="minorHAnsi"/>
          <w:noProof/>
        </w:rPr>
      </w:pPr>
      <w:r>
        <w:rPr>
          <w:rFonts w:asciiTheme="minorHAnsi" w:hAnsiTheme="minorHAnsi"/>
          <w:noProof/>
        </w:rPr>
        <w:t>Puses cenšas veicināt vienošanos starp to attiecīgaj</w:t>
      </w:r>
      <w:r>
        <w:rPr>
          <w:rFonts w:asciiTheme="minorHAnsi" w:hAnsiTheme="minorHAnsi"/>
          <w:noProof/>
        </w:rPr>
        <w:t>ām mantisko tiesību kolektīvā pārvaldījuma organizācijām par nediskriminējošu attieksmi pret tiesību subjektiem, kuru tiesības šīs organizācijas pārvalda saskaņā ar pārstāvības līgumiem.</w:t>
      </w:r>
    </w:p>
    <w:p w:rsidR="003E022D" w:rsidRDefault="007D19D6">
      <w:pPr>
        <w:numPr>
          <w:ilvl w:val="0"/>
          <w:numId w:val="542"/>
        </w:numPr>
        <w:ind w:left="0" w:firstLine="0"/>
        <w:rPr>
          <w:rFonts w:asciiTheme="minorHAnsi" w:hAnsiTheme="minorHAnsi" w:cstheme="minorHAnsi"/>
          <w:noProof/>
        </w:rPr>
      </w:pPr>
      <w:r>
        <w:rPr>
          <w:rFonts w:asciiTheme="minorHAnsi" w:hAnsiTheme="minorHAnsi"/>
          <w:noProof/>
        </w:rPr>
        <w:t>Puses sadarbojas, lai atbalstītu mantisko tiesību kolektīvā pārvaldīj</w:t>
      </w:r>
      <w:r>
        <w:rPr>
          <w:rFonts w:asciiTheme="minorHAnsi" w:hAnsiTheme="minorHAnsi"/>
          <w:noProof/>
        </w:rPr>
        <w:t>uma organizācijas, kas darbojas to teritorijā un ar pārstāvības līgumu pārstāv citu mantisko tiesību kolektīvā pārvaldījuma organizāciju, kura darbojas otras Puses teritorijā, un lai nodrošinātu, ka tās precīzi, regulāri un rūpīgi samaksā summas, kas pienā</w:t>
      </w:r>
      <w:r>
        <w:rPr>
          <w:rFonts w:asciiTheme="minorHAnsi" w:hAnsiTheme="minorHAnsi"/>
          <w:noProof/>
        </w:rPr>
        <w:t>kas pārstāvētajām mantisko tiesību kolektīvā pārvaldījuma organizācijām, un sniedz pārstāvētajai mantisko tiesību kolektīvā pārvaldījuma organizācijai informāciju par tiesību ieņēmumu summu, kas iekasēta tās vārdā, un par jebkādiem atskaitījumiem no minēta</w:t>
      </w:r>
      <w:r>
        <w:rPr>
          <w:rFonts w:asciiTheme="minorHAnsi" w:hAnsiTheme="minorHAnsi"/>
          <w:noProof/>
        </w:rPr>
        <w:t xml:space="preserve">jiem tiesību ieņēmumiem. </w:t>
      </w:r>
    </w:p>
    <w:p w:rsidR="003E022D" w:rsidRDefault="007D19D6">
      <w:pPr>
        <w:pStyle w:val="Article"/>
        <w:rPr>
          <w:noProof/>
        </w:rPr>
      </w:pPr>
      <w:r>
        <w:rPr>
          <w:noProof/>
        </w:rPr>
        <w:t>IP.15. pants. Izņēmumi un ierobežojumi</w:t>
      </w:r>
    </w:p>
    <w:p w:rsidR="003E022D" w:rsidRDefault="007D19D6">
      <w:pPr>
        <w:rPr>
          <w:rFonts w:asciiTheme="minorHAnsi" w:hAnsiTheme="minorHAnsi" w:cstheme="minorHAnsi"/>
          <w:noProof/>
        </w:rPr>
      </w:pPr>
      <w:r>
        <w:rPr>
          <w:rFonts w:asciiTheme="minorHAnsi" w:hAnsiTheme="minorHAnsi"/>
          <w:noProof/>
        </w:rPr>
        <w:t>Katra Puse var šajā nolīguma IP 7. [Autori] līdz IP 11. [Komerciālos nolūkos publicētu fonogrammu raidīšana un publiskošana] pantā paredzēto tiesību ierobežojumus vai izņēmumus attiecināt tik</w:t>
      </w:r>
      <w:r>
        <w:rPr>
          <w:rFonts w:asciiTheme="minorHAnsi" w:hAnsiTheme="minorHAnsi"/>
          <w:noProof/>
        </w:rPr>
        <w:t>ai uz dažiem īpašiem gadījumiem, kas nav pretrunā darba vai cita tiesību objekta parastai izmantošanai un nepamatoti neskar tiesību subjekta likumīgās intereses.</w:t>
      </w:r>
    </w:p>
    <w:p w:rsidR="003E022D" w:rsidRDefault="007D19D6">
      <w:pPr>
        <w:pStyle w:val="Article"/>
        <w:rPr>
          <w:noProof/>
        </w:rPr>
      </w:pPr>
      <w:r>
        <w:rPr>
          <w:noProof/>
        </w:rPr>
        <w:t>IP.16. pants Tehnoloģisko pasākumu aizsardzība</w:t>
      </w:r>
    </w:p>
    <w:p w:rsidR="003E022D" w:rsidRDefault="007D19D6">
      <w:pPr>
        <w:numPr>
          <w:ilvl w:val="0"/>
          <w:numId w:val="543"/>
        </w:numPr>
        <w:ind w:left="0" w:firstLine="0"/>
        <w:rPr>
          <w:rFonts w:asciiTheme="minorHAnsi" w:eastAsia="MS Mincho" w:hAnsiTheme="minorHAnsi" w:cstheme="minorHAnsi"/>
          <w:noProof/>
        </w:rPr>
      </w:pPr>
      <w:r>
        <w:rPr>
          <w:rFonts w:asciiTheme="minorHAnsi" w:hAnsiTheme="minorHAnsi"/>
          <w:noProof/>
        </w:rPr>
        <w:t>Katra Puse paredz pienācīgu tiesisko aizsardzīb</w:t>
      </w:r>
      <w:r>
        <w:rPr>
          <w:rFonts w:asciiTheme="minorHAnsi" w:hAnsiTheme="minorHAnsi"/>
          <w:noProof/>
        </w:rPr>
        <w:t>u pret jebkuru efektīvo tehnoloģisko pasākumu apiešanu, ko attiecīgā persona veic, apzinoties savu rīcību, vai ja tai ir pietiekams pamats apzināties savu rīcību. Katra Puse var paredzēt īpašu režīmu datorprogrammu aizsardzībai izmantoto tehnoloģisko pasāk</w:t>
      </w:r>
      <w:r>
        <w:rPr>
          <w:rFonts w:asciiTheme="minorHAnsi" w:hAnsiTheme="minorHAnsi"/>
          <w:noProof/>
        </w:rPr>
        <w:t xml:space="preserve">umu tiesiskai aizsardzībai. </w:t>
      </w:r>
    </w:p>
    <w:p w:rsidR="003E022D" w:rsidRDefault="007D19D6">
      <w:pPr>
        <w:numPr>
          <w:ilvl w:val="0"/>
          <w:numId w:val="543"/>
        </w:numPr>
        <w:ind w:left="0" w:firstLine="0"/>
        <w:rPr>
          <w:rFonts w:asciiTheme="minorHAnsi" w:eastAsia="MS Mincho" w:hAnsiTheme="minorHAnsi" w:cstheme="minorHAnsi"/>
          <w:noProof/>
        </w:rPr>
      </w:pPr>
      <w:r>
        <w:rPr>
          <w:rFonts w:asciiTheme="minorHAnsi" w:hAnsiTheme="minorHAnsi"/>
          <w:noProof/>
        </w:rPr>
        <w:t>Katra Puse nodrošina pienācīgu tiesisko aizsardzību pret tādu ierīču, ražojumu vai komponentu izgatavošanu, importu, izplatīšanu, pārdošanu, nomu, pārdošanas vai nomas reklāmu vai turēšanu īpašumā komerciālā nolūkā vai tādu pak</w:t>
      </w:r>
      <w:r>
        <w:rPr>
          <w:rFonts w:asciiTheme="minorHAnsi" w:hAnsiTheme="minorHAnsi"/>
          <w:noProof/>
        </w:rPr>
        <w:t>alpojumu sniegšanu:</w:t>
      </w:r>
    </w:p>
    <w:p w:rsidR="003E022D" w:rsidRDefault="007D19D6">
      <w:pPr>
        <w:ind w:left="567" w:hanging="567"/>
        <w:rPr>
          <w:rFonts w:asciiTheme="minorHAnsi" w:eastAsia="MS Mincho" w:hAnsiTheme="minorHAnsi" w:cstheme="minorHAnsi"/>
          <w:noProof/>
        </w:rPr>
      </w:pPr>
      <w:r>
        <w:rPr>
          <w:rFonts w:asciiTheme="minorHAnsi" w:hAnsiTheme="minorHAnsi"/>
          <w:noProof/>
        </w:rPr>
        <w:t>a)</w:t>
      </w:r>
      <w:r>
        <w:rPr>
          <w:noProof/>
        </w:rPr>
        <w:tab/>
      </w:r>
      <w:r>
        <w:rPr>
          <w:rFonts w:asciiTheme="minorHAnsi" w:hAnsiTheme="minorHAnsi"/>
          <w:noProof/>
        </w:rPr>
        <w:t>kuru pārdošanu veicina, kurus reklamē vai pārdod efektīvo tehnoloģisko pasākumu apiešanas nolūkā;</w:t>
      </w:r>
    </w:p>
    <w:p w:rsidR="003E022D" w:rsidRDefault="007D19D6">
      <w:pPr>
        <w:ind w:left="567" w:hanging="567"/>
        <w:rPr>
          <w:rFonts w:asciiTheme="minorHAnsi" w:eastAsia="MS Mincho" w:hAnsiTheme="minorHAnsi" w:cstheme="minorHAnsi"/>
          <w:noProof/>
        </w:rPr>
      </w:pPr>
      <w:r>
        <w:rPr>
          <w:rFonts w:asciiTheme="minorHAnsi" w:hAnsiTheme="minorHAnsi"/>
          <w:noProof/>
        </w:rPr>
        <w:t>b)</w:t>
      </w:r>
      <w:r>
        <w:rPr>
          <w:noProof/>
        </w:rPr>
        <w:tab/>
      </w:r>
      <w:r>
        <w:rPr>
          <w:rFonts w:asciiTheme="minorHAnsi" w:hAnsiTheme="minorHAnsi"/>
          <w:noProof/>
        </w:rPr>
        <w:t>kuru komerciāli nozīmīgais mērķis vai izmantošana, izņemot efektīvo tehnoloģisko pasākumu apiešanu, ir ļoti ierobežoti; vai</w:t>
      </w:r>
    </w:p>
    <w:p w:rsidR="003E022D" w:rsidRDefault="007D19D6">
      <w:pPr>
        <w:ind w:left="567" w:hanging="567"/>
        <w:rPr>
          <w:rFonts w:asciiTheme="minorHAnsi" w:eastAsia="MS Mincho" w:hAnsiTheme="minorHAnsi" w:cstheme="minorHAnsi"/>
          <w:noProof/>
        </w:rPr>
      </w:pPr>
      <w:r>
        <w:rPr>
          <w:rFonts w:asciiTheme="minorHAnsi" w:hAnsiTheme="minorHAnsi"/>
          <w:noProof/>
        </w:rPr>
        <w:t>c)</w:t>
      </w:r>
      <w:r>
        <w:rPr>
          <w:noProof/>
        </w:rPr>
        <w:tab/>
      </w:r>
      <w:r>
        <w:rPr>
          <w:rFonts w:asciiTheme="minorHAnsi" w:hAnsiTheme="minorHAnsi"/>
          <w:noProof/>
        </w:rPr>
        <w:t xml:space="preserve">kuri </w:t>
      </w:r>
      <w:r>
        <w:rPr>
          <w:rFonts w:asciiTheme="minorHAnsi" w:hAnsiTheme="minorHAnsi"/>
          <w:noProof/>
        </w:rPr>
        <w:t>galvenokārt ir izstrādāti, ražoti, pielāgoti vai izpildīti ar mērķi rast iespēju apiet kādus efektīvos tehnoloģiskos pasākumus vai veicināt to apiešanu.</w:t>
      </w:r>
    </w:p>
    <w:p w:rsidR="003E022D" w:rsidRDefault="007D19D6">
      <w:pPr>
        <w:numPr>
          <w:ilvl w:val="0"/>
          <w:numId w:val="543"/>
        </w:numPr>
        <w:ind w:left="0" w:firstLine="0"/>
        <w:rPr>
          <w:rFonts w:asciiTheme="minorHAnsi" w:eastAsia="MS Mincho" w:hAnsiTheme="minorHAnsi" w:cstheme="minorHAnsi"/>
          <w:noProof/>
        </w:rPr>
      </w:pPr>
      <w:r>
        <w:rPr>
          <w:rFonts w:asciiTheme="minorHAnsi" w:hAnsiTheme="minorHAnsi"/>
          <w:noProof/>
        </w:rPr>
        <w:t>Šajā iedaļā jēdziens “tehnoloģiski pasākumi” nozīmē jebkuru tehnoloģiju, ierīci vai komponentu, kuru pa</w:t>
      </w:r>
      <w:r>
        <w:rPr>
          <w:rFonts w:asciiTheme="minorHAnsi" w:hAnsiTheme="minorHAnsi"/>
          <w:noProof/>
        </w:rPr>
        <w:t>rasti izmanto, lai nepieļautu vai ierobežotu tādas darbības attiecībā uz darbiem vai citiem tiesību objektiem, ko nav atļāvis šajā iedaļā ietverto autortiesību vai blakustiesību subjekts. Tehnoloģiskus pasākumus uzskata par “efektīviem”, ja tiesību subjekt</w:t>
      </w:r>
      <w:r>
        <w:rPr>
          <w:rFonts w:asciiTheme="minorHAnsi" w:hAnsiTheme="minorHAnsi"/>
          <w:noProof/>
        </w:rPr>
        <w:t>s kontrolē aizsargātā darba vai citu tiesību objektu izmantošanu ar piekļuves kontroli vai aizsardzības procesu, piemēram, kodēšanu, trokšņu radīšanu vai citu darba vai cita tiesību objekta pārveidošanu, vai ar kopiju kontroles mehānismu, ar ko sasniedz ai</w:t>
      </w:r>
      <w:r>
        <w:rPr>
          <w:rFonts w:asciiTheme="minorHAnsi" w:hAnsiTheme="minorHAnsi"/>
          <w:noProof/>
        </w:rPr>
        <w:t>zsardzības mērķi.</w:t>
      </w:r>
    </w:p>
    <w:p w:rsidR="003E022D" w:rsidRDefault="007D19D6">
      <w:pPr>
        <w:numPr>
          <w:ilvl w:val="0"/>
          <w:numId w:val="543"/>
        </w:numPr>
        <w:ind w:left="0" w:firstLine="0"/>
        <w:rPr>
          <w:rFonts w:asciiTheme="minorHAnsi" w:eastAsia="MS Mincho" w:hAnsiTheme="minorHAnsi" w:cstheme="minorHAnsi"/>
          <w:noProof/>
        </w:rPr>
      </w:pPr>
      <w:r>
        <w:rPr>
          <w:rFonts w:asciiTheme="minorHAnsi" w:hAnsiTheme="minorHAnsi"/>
          <w:noProof/>
        </w:rPr>
        <w:t>Neatkarīgi no šā panta 1. punktā paredzētās tiesiskās aizsardzības, katra Puse vajadzības gadījumā var veikt atbilstīgus pasākumus, kuri nodrošinātu, ka šajā pantā paredzētā pienācīgā tiesiskā aizsardzība pret efektīvo tehnoloģisko pasāku</w:t>
      </w:r>
      <w:r>
        <w:rPr>
          <w:rFonts w:asciiTheme="minorHAnsi" w:hAnsiTheme="minorHAnsi"/>
          <w:noProof/>
        </w:rPr>
        <w:t>mu apiešanu neliedz personām, uz kurām attiecas saskaņā ar IP.15. pantu [Izņēmumi un ierobežojumi] paredzētie izņēmumi vai ierobežojumi, izmantot šādus izņēmumus vai ierobežojumus.</w:t>
      </w:r>
    </w:p>
    <w:p w:rsidR="003E022D" w:rsidRDefault="007D19D6">
      <w:pPr>
        <w:pStyle w:val="Article"/>
        <w:rPr>
          <w:noProof/>
        </w:rPr>
      </w:pPr>
      <w:r>
        <w:rPr>
          <w:noProof/>
        </w:rPr>
        <w:t>IP.17. pants. Pienākumi, kas attiecas uz informāciju par tiesību pārvaldību</w:t>
      </w:r>
    </w:p>
    <w:p w:rsidR="003E022D" w:rsidRDefault="007D19D6">
      <w:pPr>
        <w:numPr>
          <w:ilvl w:val="0"/>
          <w:numId w:val="544"/>
        </w:numPr>
        <w:ind w:left="0" w:firstLine="0"/>
        <w:rPr>
          <w:rFonts w:asciiTheme="minorHAnsi" w:hAnsiTheme="minorHAnsi" w:cstheme="minorHAnsi"/>
          <w:noProof/>
        </w:rPr>
      </w:pPr>
      <w:r>
        <w:rPr>
          <w:rFonts w:asciiTheme="minorHAnsi" w:hAnsiTheme="minorHAnsi"/>
          <w:noProof/>
        </w:rPr>
        <w:t xml:space="preserve">Katra Puse nodrošina pienācīgu tiesisko aizsardzību pret visām personām, kas bez atļaujas apzināti veic kādu no turpmāk minētajām darbībām: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elektroniskas informācijas par tiesību pārvaldību dzēšana vai mainīšana,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saskaņā ar šo iedaļu aizsargātu tādu darbu vai citu tiesību objektu izplatīšana, importēšana izplatīšanai, raidīšana, publiskošana vai padarīšana par pieejamu sabiedrībai, kuros bez atļaujas ir izdzēsta vai mainīta elektroniskā informācija par tiesību pārv</w:t>
      </w:r>
      <w:r>
        <w:rPr>
          <w:rFonts w:asciiTheme="minorHAnsi" w:hAnsiTheme="minorHAnsi"/>
          <w:noProof/>
        </w:rPr>
        <w:t xml:space="preserve">aldību, </w:t>
      </w:r>
    </w:p>
    <w:p w:rsidR="003E022D" w:rsidRDefault="007D19D6">
      <w:pPr>
        <w:rPr>
          <w:rFonts w:asciiTheme="minorHAnsi" w:hAnsiTheme="minorHAnsi" w:cstheme="minorHAnsi"/>
          <w:noProof/>
        </w:rPr>
      </w:pPr>
      <w:r>
        <w:rPr>
          <w:rFonts w:asciiTheme="minorHAnsi" w:hAnsiTheme="minorHAnsi"/>
          <w:noProof/>
        </w:rPr>
        <w:t xml:space="preserve">ja attiecīgā persona zina vai tai ir pietiekams pamats zināt, ka, šādi rīkojoties, tā izraisa, ļauj, atvieglo vai slēpj Puses tiesību aktos paredzēto autortiesību vai blakustiesību pārkāpšanu. </w:t>
      </w:r>
    </w:p>
    <w:p w:rsidR="003E022D" w:rsidRDefault="007D19D6">
      <w:pPr>
        <w:numPr>
          <w:ilvl w:val="0"/>
          <w:numId w:val="544"/>
        </w:numPr>
        <w:ind w:left="0" w:firstLine="0"/>
        <w:rPr>
          <w:rFonts w:asciiTheme="minorHAnsi" w:hAnsiTheme="minorHAnsi" w:cstheme="minorHAnsi"/>
          <w:noProof/>
        </w:rPr>
      </w:pPr>
      <w:r>
        <w:rPr>
          <w:rFonts w:asciiTheme="minorHAnsi" w:hAnsiTheme="minorHAnsi"/>
          <w:noProof/>
        </w:rPr>
        <w:t>Šajā pantā “informācija par tiesību pārvaldību” nozīm</w:t>
      </w:r>
      <w:r>
        <w:rPr>
          <w:rFonts w:asciiTheme="minorHAnsi" w:hAnsiTheme="minorHAnsi"/>
          <w:noProof/>
        </w:rPr>
        <w:t>ē visu informāciju, ko sniedz tiesību subjekts un kas identificē darbu vai citus tiesību objektus, uz kuriem attiecas šis pants, autoru vai citu tiesību subjektu, vai informāciju par darba vai cita tiesību objekta izmantošanas nosacījumiem un visus numurus</w:t>
      </w:r>
      <w:r>
        <w:rPr>
          <w:rFonts w:asciiTheme="minorHAnsi" w:hAnsiTheme="minorHAnsi"/>
          <w:noProof/>
        </w:rPr>
        <w:t xml:space="preserve"> vai kodus, kas apzīmē minēto informāciju. </w:t>
      </w:r>
    </w:p>
    <w:p w:rsidR="003E022D" w:rsidRDefault="007D19D6">
      <w:pPr>
        <w:numPr>
          <w:ilvl w:val="0"/>
          <w:numId w:val="544"/>
        </w:numPr>
        <w:ind w:left="0" w:firstLine="0"/>
        <w:rPr>
          <w:rFonts w:asciiTheme="minorHAnsi" w:hAnsiTheme="minorHAnsi" w:cstheme="minorHAnsi"/>
          <w:noProof/>
        </w:rPr>
      </w:pPr>
      <w:r>
        <w:rPr>
          <w:rFonts w:asciiTheme="minorHAnsi" w:hAnsiTheme="minorHAnsi"/>
          <w:noProof/>
        </w:rPr>
        <w:t xml:space="preserve">Šā panta 2. punktu piemēro, ja minētā informācija attiecas uz tāda darba vai cita tiesību objekta kopiju, kas minēts šajā pantā, vai ja minētā informācija parādās saistībā ar tā publiskošanu. </w:t>
      </w:r>
    </w:p>
    <w:p w:rsidR="003E022D" w:rsidRDefault="007D19D6">
      <w:pPr>
        <w:pStyle w:val="Section"/>
        <w:rPr>
          <w:rFonts w:cstheme="minorHAnsi"/>
          <w:i w:val="0"/>
          <w:noProof/>
          <w:lang w:val="fr-BE"/>
        </w:rPr>
      </w:pPr>
      <w:r>
        <w:rPr>
          <w:noProof/>
          <w:lang w:val="fr-BE"/>
        </w:rPr>
        <w:t>2. iedaļa. Preču zī</w:t>
      </w:r>
      <w:r>
        <w:rPr>
          <w:noProof/>
          <w:lang w:val="fr-BE"/>
        </w:rPr>
        <w:t>mes</w:t>
      </w:r>
    </w:p>
    <w:p w:rsidR="003E022D" w:rsidRDefault="007D19D6">
      <w:pPr>
        <w:pStyle w:val="Article"/>
        <w:rPr>
          <w:noProof/>
          <w:lang w:val="fr-BE"/>
        </w:rPr>
      </w:pPr>
      <w:r>
        <w:rPr>
          <w:noProof/>
          <w:lang w:val="fr-BE"/>
        </w:rPr>
        <w:t>IP.18. pants. Preču zīmju klasifikācija</w:t>
      </w:r>
    </w:p>
    <w:p w:rsidR="003E022D" w:rsidRDefault="007D19D6">
      <w:pPr>
        <w:rPr>
          <w:rFonts w:asciiTheme="minorHAnsi" w:hAnsiTheme="minorHAnsi" w:cstheme="minorHAnsi"/>
          <w:noProof/>
          <w:lang w:val="fr-BE"/>
        </w:rPr>
      </w:pPr>
      <w:r>
        <w:rPr>
          <w:rFonts w:asciiTheme="minorHAnsi" w:hAnsiTheme="minorHAnsi"/>
          <w:noProof/>
          <w:lang w:val="fr-BE"/>
        </w:rPr>
        <w:t xml:space="preserve">Katra Puse uztur preču zīmju klasifikācijas sistēmu, kas atbilst grozītajam un pārskatītajam 1957. gada 15. jūnija Nicas Nolīgumam par preču un pakalpojumu starptautisko klasifikāciju preču zīmju reģistrācijas vajadzībām. </w:t>
      </w:r>
    </w:p>
    <w:p w:rsidR="003E022D" w:rsidRDefault="007D19D6">
      <w:pPr>
        <w:pStyle w:val="Article"/>
        <w:rPr>
          <w:noProof/>
          <w:lang w:val="fr-BE"/>
        </w:rPr>
      </w:pPr>
      <w:r>
        <w:rPr>
          <w:noProof/>
          <w:lang w:val="fr-BE"/>
        </w:rPr>
        <w:t>IP.19. pants. Apzīmējumi, no kuri</w:t>
      </w:r>
      <w:r>
        <w:rPr>
          <w:noProof/>
          <w:lang w:val="fr-BE"/>
        </w:rPr>
        <w:t>em var sastāvēt preču zīme</w:t>
      </w:r>
    </w:p>
    <w:p w:rsidR="003E022D" w:rsidRDefault="007D19D6">
      <w:pPr>
        <w:rPr>
          <w:rFonts w:asciiTheme="minorHAnsi" w:hAnsiTheme="minorHAnsi" w:cstheme="minorHAnsi"/>
          <w:noProof/>
          <w:lang w:val="fr-BE"/>
        </w:rPr>
      </w:pPr>
      <w:r>
        <w:rPr>
          <w:rFonts w:asciiTheme="minorHAnsi" w:hAnsiTheme="minorHAnsi"/>
          <w:noProof/>
          <w:lang w:val="fr-BE"/>
        </w:rPr>
        <w:t>Preču zīme var sastāvēt no jebkuriem apzīmējumiem, proti, no vārdiem, ieskaitot personvārdus, vai zīmējumiem, burtiem, cipariem, krāsām, preču vai preču iepakojuma formas vai no skaņām, ar noteikumu, ka šādi apzīmējumi:</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ļauj a</w:t>
      </w:r>
      <w:r>
        <w:rPr>
          <w:rFonts w:asciiTheme="minorHAnsi" w:hAnsiTheme="minorHAnsi"/>
          <w:noProof/>
          <w:lang w:val="fr-BE"/>
        </w:rPr>
        <w:t xml:space="preserve">tšķirt viena uzņēmuma preces vai pakalpojumus no citu uzņēmumu precēm un pakalpojumiem; un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katras Puses preču zīmju reģistrā tie ir atveidoti tādā veidā, kas kompetentajām iestādēm un sabiedrībai ļauj skaidri un precīzi noteikt zīmes īpašniekam piešķir</w:t>
      </w:r>
      <w:r>
        <w:rPr>
          <w:rFonts w:asciiTheme="minorHAnsi" w:hAnsiTheme="minorHAnsi"/>
          <w:noProof/>
          <w:lang w:val="fr-BE"/>
        </w:rPr>
        <w:t xml:space="preserve">tās aizsardzības priekšmetu. </w:t>
      </w:r>
    </w:p>
    <w:p w:rsidR="003E022D" w:rsidRDefault="007D19D6">
      <w:pPr>
        <w:pStyle w:val="Article"/>
        <w:rPr>
          <w:noProof/>
          <w:lang w:val="fr-BE"/>
        </w:rPr>
      </w:pPr>
      <w:r>
        <w:rPr>
          <w:noProof/>
          <w:lang w:val="fr-BE"/>
        </w:rPr>
        <w:t>IP.20. pants. Preču zīmes piešķirtās tiesības</w:t>
      </w:r>
    </w:p>
    <w:p w:rsidR="003E022D" w:rsidRDefault="007D19D6">
      <w:pPr>
        <w:numPr>
          <w:ilvl w:val="0"/>
          <w:numId w:val="545"/>
        </w:numPr>
        <w:ind w:left="0" w:firstLine="0"/>
        <w:rPr>
          <w:rFonts w:asciiTheme="minorHAnsi" w:hAnsiTheme="minorHAnsi" w:cstheme="minorHAnsi"/>
          <w:noProof/>
          <w:lang w:val="fr-BE"/>
        </w:rPr>
      </w:pPr>
      <w:r>
        <w:rPr>
          <w:rFonts w:asciiTheme="minorHAnsi" w:hAnsiTheme="minorHAnsi"/>
          <w:noProof/>
          <w:lang w:val="fr-BE"/>
        </w:rPr>
        <w:t>Katra Puse nodrošina, ka preču zīmes reģistrācija tās īpašniekam piešķir ekskluzīvas tiesības. Īpašniekam ir tiesības aizliegt visām trešām personām bez īpašnieka piekrišanas darīj</w:t>
      </w:r>
      <w:r>
        <w:rPr>
          <w:rFonts w:asciiTheme="minorHAnsi" w:hAnsiTheme="minorHAnsi"/>
          <w:noProof/>
          <w:lang w:val="fr-BE"/>
        </w:rPr>
        <w:t xml:space="preserve">umos izmantot: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 xml:space="preserve">jebkādu apzīmējumu, kas ir identisks reģistrētajai preču zīmei, attiecībā uz precēm vai pakalpojumiem, kuri ir identiski tiem, par kuriem reģistrēta preču zīme;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jebkādu apzīmējumu, ja tā identiskums vai līdzība reģistrētajai preču zī</w:t>
      </w:r>
      <w:r>
        <w:rPr>
          <w:rFonts w:asciiTheme="minorHAnsi" w:hAnsiTheme="minorHAnsi"/>
          <w:noProof/>
          <w:lang w:val="fr-BE"/>
        </w:rPr>
        <w:t xml:space="preserve">mei un ja šīs preču zīmes aptverto preču vai pakalpojumu identiskums vai līdzība apzīmējuma aptvertajām precēm vai pakalpojumiem varētu maldināt sabiedrību, ieskaitot iespēju asociēt apzīmējumu ar reģistrēto preču zīmi. </w:t>
      </w:r>
    </w:p>
    <w:p w:rsidR="003E022D" w:rsidRDefault="007D19D6">
      <w:pPr>
        <w:numPr>
          <w:ilvl w:val="0"/>
          <w:numId w:val="545"/>
        </w:numPr>
        <w:ind w:left="0" w:firstLine="0"/>
        <w:rPr>
          <w:rFonts w:asciiTheme="minorHAnsi" w:hAnsiTheme="minorHAnsi" w:cstheme="minorHAnsi"/>
          <w:noProof/>
          <w:lang w:val="fr-BE"/>
        </w:rPr>
      </w:pPr>
      <w:r>
        <w:rPr>
          <w:rFonts w:asciiTheme="minorHAnsi" w:hAnsiTheme="minorHAnsi"/>
          <w:noProof/>
          <w:lang w:val="fr-BE"/>
        </w:rPr>
        <w:t xml:space="preserve">Reģistrētas preču zīmes īpašniekam </w:t>
      </w:r>
      <w:r>
        <w:rPr>
          <w:rFonts w:asciiTheme="minorHAnsi" w:hAnsiTheme="minorHAnsi"/>
          <w:noProof/>
          <w:lang w:val="fr-BE"/>
        </w:rPr>
        <w:t>ir tiesības neļaut trešām personām darījuma ietvaros Puses teritorijā ievest preces, ja attiecīgā preču zīme ir reģistrēta, bet nav laista brīvā apgrozībā Puses teritorijā, ja šādas preces, arī iepakojums, ievestas no citām valstīm vai no otrās Puses terit</w:t>
      </w:r>
      <w:r>
        <w:rPr>
          <w:rFonts w:asciiTheme="minorHAnsi" w:hAnsiTheme="minorHAnsi"/>
          <w:noProof/>
          <w:lang w:val="fr-BE"/>
        </w:rPr>
        <w:t xml:space="preserve">orijas un bez atļaujas apzīmētas ar preču zīmi, kura ir identiska preču zīmei, kas reģistrēta attiecībā uz šādām precēm, vai kuru pēc tās būtiskajiem aspektiem nevar atšķirt no minētās preču zīmes. </w:t>
      </w:r>
    </w:p>
    <w:p w:rsidR="003E022D" w:rsidRDefault="007D19D6">
      <w:pPr>
        <w:numPr>
          <w:ilvl w:val="0"/>
          <w:numId w:val="545"/>
        </w:numPr>
        <w:ind w:left="0" w:firstLine="0"/>
        <w:rPr>
          <w:rFonts w:asciiTheme="minorHAnsi" w:hAnsiTheme="minorHAnsi" w:cstheme="minorHAnsi"/>
          <w:noProof/>
          <w:lang w:val="fr-BE"/>
        </w:rPr>
      </w:pPr>
      <w:r>
        <w:rPr>
          <w:rFonts w:asciiTheme="minorHAnsi" w:hAnsiTheme="minorHAnsi"/>
          <w:noProof/>
          <w:lang w:val="fr-BE"/>
        </w:rPr>
        <w:t>Preču zīmes īpašnieka tiesības atbilstoši 2. punktam neti</w:t>
      </w:r>
      <w:r>
        <w:rPr>
          <w:rFonts w:asciiTheme="minorHAnsi" w:hAnsiTheme="minorHAnsi"/>
          <w:noProof/>
          <w:lang w:val="fr-BE"/>
        </w:rPr>
        <w:t xml:space="preserve">ek īstenotas, ja procedūrā, kurā jānoskaidro, vai ir noticis preču zīmes pārkāpums, preču deklarētājs vai turētājs sniedz pierādījumus, ka reģistrētās preču zīmes īpašniekam nav tiesību aizliegt laist preces tirgū galamērķa valstī.  </w:t>
      </w:r>
    </w:p>
    <w:p w:rsidR="003E022D" w:rsidRDefault="007D19D6">
      <w:pPr>
        <w:pStyle w:val="Article"/>
        <w:rPr>
          <w:noProof/>
        </w:rPr>
      </w:pPr>
      <w:r>
        <w:rPr>
          <w:noProof/>
        </w:rPr>
        <w:t>IP.21. pants. Reģistrā</w:t>
      </w:r>
      <w:r>
        <w:rPr>
          <w:noProof/>
        </w:rPr>
        <w:t>cijas procedūra</w:t>
      </w:r>
    </w:p>
    <w:p w:rsidR="003E022D" w:rsidRDefault="007D19D6">
      <w:pPr>
        <w:numPr>
          <w:ilvl w:val="0"/>
          <w:numId w:val="546"/>
        </w:numPr>
        <w:ind w:left="0" w:firstLine="0"/>
        <w:rPr>
          <w:rFonts w:asciiTheme="minorHAnsi" w:hAnsiTheme="minorHAnsi" w:cstheme="minorHAnsi"/>
          <w:noProof/>
        </w:rPr>
      </w:pPr>
      <w:r>
        <w:rPr>
          <w:rFonts w:asciiTheme="minorHAnsi" w:hAnsiTheme="minorHAnsi"/>
          <w:noProof/>
        </w:rPr>
        <w:t>Katra Puse nodrošina preču zīmju reģistrācijas sistēmu, kurā katrs galīgais negatīvais attiecīgās preču zīmju administrācijas pieņemts lēmums, arī daļējs reģistrācijas atteikums, tiek rakstiski paziņots attiecīgajai personai, ir pienācīgi p</w:t>
      </w:r>
      <w:r>
        <w:rPr>
          <w:rFonts w:asciiTheme="minorHAnsi" w:hAnsiTheme="minorHAnsi"/>
          <w:noProof/>
        </w:rPr>
        <w:t>amatots un pārsūdzams.</w:t>
      </w:r>
      <w:r>
        <w:rPr>
          <w:rFonts w:asciiTheme="minorHAnsi" w:hAnsiTheme="minorHAnsi"/>
          <w:i/>
          <w:noProof/>
        </w:rPr>
        <w:t xml:space="preserve"> </w:t>
      </w:r>
    </w:p>
    <w:p w:rsidR="003E022D" w:rsidRDefault="007D19D6">
      <w:pPr>
        <w:numPr>
          <w:ilvl w:val="0"/>
          <w:numId w:val="546"/>
        </w:numPr>
        <w:ind w:left="0" w:firstLine="0"/>
        <w:rPr>
          <w:rFonts w:asciiTheme="minorHAnsi" w:hAnsiTheme="minorHAnsi" w:cstheme="minorHAnsi"/>
          <w:noProof/>
        </w:rPr>
      </w:pPr>
      <w:r>
        <w:rPr>
          <w:rFonts w:asciiTheme="minorHAnsi" w:hAnsiTheme="minorHAnsi"/>
          <w:noProof/>
        </w:rPr>
        <w:t xml:space="preserve">Katra Puse nodrošina iespēju trešām personām iebilst pret preču zīmju pieteikumiem vai attiecīgā gadījumā pret preču zīmju reģistrāciju. Šāda iebildumu izskatīšana notiek, uzklausot abas Puses. </w:t>
      </w:r>
    </w:p>
    <w:p w:rsidR="003E022D" w:rsidRDefault="007D19D6">
      <w:pPr>
        <w:numPr>
          <w:ilvl w:val="0"/>
          <w:numId w:val="546"/>
        </w:numPr>
        <w:ind w:left="0" w:firstLine="0"/>
        <w:rPr>
          <w:rFonts w:asciiTheme="minorHAnsi" w:hAnsiTheme="minorHAnsi" w:cstheme="minorHAnsi"/>
          <w:noProof/>
        </w:rPr>
      </w:pPr>
      <w:r>
        <w:rPr>
          <w:rFonts w:asciiTheme="minorHAnsi" w:hAnsiTheme="minorHAnsi"/>
          <w:noProof/>
        </w:rPr>
        <w:t>Katra Puse nodrošina preču zīmju piet</w:t>
      </w:r>
      <w:r>
        <w:rPr>
          <w:rFonts w:asciiTheme="minorHAnsi" w:hAnsiTheme="minorHAnsi"/>
          <w:noProof/>
        </w:rPr>
        <w:t xml:space="preserve">eikumu un reģistrēto preču zīmju elektronisku datubāzi, kas ir publiski pieejama. </w:t>
      </w:r>
    </w:p>
    <w:p w:rsidR="003E022D" w:rsidRDefault="007D19D6">
      <w:pPr>
        <w:numPr>
          <w:ilvl w:val="0"/>
          <w:numId w:val="546"/>
        </w:numPr>
        <w:ind w:left="0" w:firstLine="0"/>
        <w:rPr>
          <w:rFonts w:asciiTheme="minorHAnsi" w:hAnsiTheme="minorHAnsi" w:cstheme="minorHAnsi"/>
          <w:iCs/>
          <w:noProof/>
        </w:rPr>
      </w:pPr>
      <w:r>
        <w:rPr>
          <w:rFonts w:asciiTheme="minorHAnsi" w:hAnsiTheme="minorHAnsi"/>
          <w:noProof/>
        </w:rPr>
        <w:t>Katra Puse dara visu iespējamo, lai nodrošinātu elektronisku sistēmu preču zīmju pieteikumiem un preču zīmju apstrādei, reģistrācijai un uzturēšanai.</w:t>
      </w:r>
    </w:p>
    <w:p w:rsidR="003E022D" w:rsidRDefault="007D19D6">
      <w:pPr>
        <w:pStyle w:val="Article"/>
        <w:rPr>
          <w:noProof/>
        </w:rPr>
      </w:pPr>
      <w:r>
        <w:rPr>
          <w:noProof/>
        </w:rPr>
        <w:t xml:space="preserve">IP.22. pants. Plaši </w:t>
      </w:r>
      <w:r>
        <w:rPr>
          <w:noProof/>
        </w:rPr>
        <w:t>pazīstamas preču zīmes</w:t>
      </w:r>
    </w:p>
    <w:p w:rsidR="003E022D" w:rsidRDefault="007D19D6">
      <w:pPr>
        <w:rPr>
          <w:rFonts w:asciiTheme="minorHAnsi" w:hAnsiTheme="minorHAnsi" w:cstheme="minorHAnsi"/>
          <w:noProof/>
        </w:rPr>
      </w:pPr>
      <w:r>
        <w:rPr>
          <w:rFonts w:asciiTheme="minorHAnsi" w:hAnsiTheme="minorHAnsi"/>
          <w:noProof/>
        </w:rPr>
        <w:t xml:space="preserve">Lai nodrošinātu plaši pazīstamu preču zīmju aizsardzību, kā noteikts Parīzes konvencijas 6.a pantā un </w:t>
      </w:r>
      <w:r>
        <w:rPr>
          <w:rFonts w:asciiTheme="minorHAnsi" w:hAnsiTheme="minorHAnsi"/>
          <w:i/>
          <w:noProof/>
        </w:rPr>
        <w:t>TRIPS</w:t>
      </w:r>
      <w:r>
        <w:rPr>
          <w:rFonts w:asciiTheme="minorHAnsi" w:hAnsiTheme="minorHAnsi"/>
          <w:noProof/>
        </w:rPr>
        <w:t xml:space="preserve"> līguma 16. panta 2. un 3. punktā, katra Puse piemēro Vienoto rekomendāciju par plaši pazīstamu preču zīmju aizsardzības notei</w:t>
      </w:r>
      <w:r>
        <w:rPr>
          <w:rFonts w:asciiTheme="minorHAnsi" w:hAnsiTheme="minorHAnsi"/>
          <w:noProof/>
        </w:rPr>
        <w:t xml:space="preserve">kumiem, ko Parīzes Rūpnieciskā īpašuma aizsardzības savienības asambleja un </w:t>
      </w:r>
      <w:r>
        <w:rPr>
          <w:rFonts w:asciiTheme="minorHAnsi" w:hAnsiTheme="minorHAnsi"/>
          <w:i/>
          <w:noProof/>
        </w:rPr>
        <w:t>WIPO</w:t>
      </w:r>
      <w:r>
        <w:rPr>
          <w:rFonts w:asciiTheme="minorHAnsi" w:hAnsiTheme="minorHAnsi"/>
          <w:noProof/>
        </w:rPr>
        <w:t xml:space="preserve"> Ģenerālā asambleja pieņēmusi </w:t>
      </w:r>
      <w:r>
        <w:rPr>
          <w:rFonts w:asciiTheme="minorHAnsi" w:hAnsiTheme="minorHAnsi"/>
          <w:i/>
          <w:noProof/>
        </w:rPr>
        <w:t>WIPO</w:t>
      </w:r>
      <w:r>
        <w:rPr>
          <w:rFonts w:asciiTheme="minorHAnsi" w:hAnsiTheme="minorHAnsi"/>
          <w:noProof/>
        </w:rPr>
        <w:t xml:space="preserve"> dalībvalstu asambleju 34. sanāksmju kārtā 1999. gada 20.–29. septembrī. </w:t>
      </w:r>
    </w:p>
    <w:p w:rsidR="003E022D" w:rsidRDefault="007D19D6">
      <w:pPr>
        <w:pStyle w:val="Article"/>
        <w:rPr>
          <w:noProof/>
        </w:rPr>
      </w:pPr>
      <w:r>
        <w:rPr>
          <w:noProof/>
        </w:rPr>
        <w:t>IP.23. pants. Izņēmumi no preču zīmju piešķirtajām tiesībām</w:t>
      </w:r>
    </w:p>
    <w:p w:rsidR="003E022D" w:rsidRDefault="007D19D6">
      <w:pPr>
        <w:numPr>
          <w:ilvl w:val="0"/>
          <w:numId w:val="547"/>
        </w:numPr>
        <w:ind w:left="0" w:firstLine="0"/>
        <w:rPr>
          <w:rFonts w:asciiTheme="minorHAnsi" w:hAnsiTheme="minorHAnsi" w:cstheme="minorHAnsi"/>
          <w:noProof/>
        </w:rPr>
      </w:pPr>
      <w:r>
        <w:rPr>
          <w:rFonts w:asciiTheme="minorHAnsi" w:hAnsiTheme="minorHAnsi"/>
          <w:noProof/>
        </w:rPr>
        <w:t>Katra Pu</w:t>
      </w:r>
      <w:r>
        <w:rPr>
          <w:rFonts w:asciiTheme="minorHAnsi" w:hAnsiTheme="minorHAnsi"/>
          <w:noProof/>
        </w:rPr>
        <w:t xml:space="preserve">se nosaka ierobežotus izņēmumus attiecībā uz tiesībām, ko piešķir preču zīme, – tādus kā aprakstošo apzīmējumu, arī ģeogrāfiskās izcelsmes norāžu, godīga izmantošana, un var noteikt arī citus ierobežotus izņēmumus, ar nosacījumu, ka šādu izņēmumu gadījumā </w:t>
      </w:r>
      <w:r>
        <w:rPr>
          <w:rFonts w:asciiTheme="minorHAnsi" w:hAnsiTheme="minorHAnsi"/>
          <w:noProof/>
        </w:rPr>
        <w:t xml:space="preserve">tiek ievērotas preču zīmes īpašnieka un trešo personu likumīgās intereses. </w:t>
      </w:r>
    </w:p>
    <w:p w:rsidR="003E022D" w:rsidRDefault="007D19D6">
      <w:pPr>
        <w:numPr>
          <w:ilvl w:val="0"/>
          <w:numId w:val="547"/>
        </w:numPr>
        <w:ind w:left="0" w:firstLine="0"/>
        <w:rPr>
          <w:rFonts w:asciiTheme="minorHAnsi" w:hAnsiTheme="minorHAnsi" w:cstheme="minorHAnsi"/>
          <w:noProof/>
        </w:rPr>
      </w:pPr>
      <w:r>
        <w:rPr>
          <w:rFonts w:asciiTheme="minorHAnsi" w:hAnsiTheme="minorHAnsi"/>
          <w:noProof/>
        </w:rPr>
        <w:t xml:space="preserve">Preču zīme nedod tās īpašniekam tiesības aizliegt trešai personai izmantot komercdarbībā: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 xml:space="preserve">trešās personas vārdu vai adresi – ja trešā persona ir fiziska persona;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apzīmējumus vai norādes attiecībā uz preču vai sniegtā pakalpojuma veidu, kvalitāti, daudzumu, paredzēto nolūku, vērtību, ģeogrāfisko izcelsmi, preču ražošanas vai pakalpojuma sniegšanas laiku vai citas preču vai pakalpojumu īpašības; vai</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c)</w:t>
      </w:r>
      <w:r>
        <w:rPr>
          <w:noProof/>
          <w:lang w:val="fr-BE"/>
        </w:rPr>
        <w:tab/>
      </w:r>
      <w:r>
        <w:rPr>
          <w:rFonts w:asciiTheme="minorHAnsi" w:hAnsiTheme="minorHAnsi"/>
          <w:noProof/>
          <w:lang w:val="fr-BE"/>
        </w:rPr>
        <w:t>preču zīmi nol</w:t>
      </w:r>
      <w:r>
        <w:rPr>
          <w:rFonts w:asciiTheme="minorHAnsi" w:hAnsiTheme="minorHAnsi"/>
          <w:noProof/>
          <w:lang w:val="fr-BE"/>
        </w:rPr>
        <w:t>ūkā identificēt vai norādīt uz precēm vai pakalpojumiem kā tādiem, kas pieder minētās preču zīmes īpašniekam, it īpaši gadījumos, kad preču zīmes izmantošana ir nepieciešama, lai norādītu nolūku, kādā izmanto preci vai pakalpojumu, proti, kā piederumus vai</w:t>
      </w:r>
      <w:r>
        <w:rPr>
          <w:rFonts w:asciiTheme="minorHAnsi" w:hAnsiTheme="minorHAnsi"/>
          <w:noProof/>
          <w:lang w:val="fr-BE"/>
        </w:rPr>
        <w:t xml:space="preserve"> rezerves daļas,</w:t>
      </w:r>
    </w:p>
    <w:p w:rsidR="003E022D" w:rsidRDefault="007D19D6">
      <w:pPr>
        <w:rPr>
          <w:rFonts w:asciiTheme="minorHAnsi" w:hAnsiTheme="minorHAnsi" w:cstheme="minorHAnsi"/>
          <w:noProof/>
          <w:lang w:val="fr-BE"/>
        </w:rPr>
      </w:pPr>
      <w:r>
        <w:rPr>
          <w:rFonts w:asciiTheme="minorHAnsi" w:hAnsiTheme="minorHAnsi"/>
          <w:noProof/>
          <w:lang w:val="fr-BE"/>
        </w:rPr>
        <w:t xml:space="preserve">ar nosacījumu, ka šī trešā persona minēto rūpnieciskos vai komercdarījumos izmanto godīgi. </w:t>
      </w:r>
    </w:p>
    <w:p w:rsidR="003E022D" w:rsidRDefault="007D19D6">
      <w:pPr>
        <w:numPr>
          <w:ilvl w:val="0"/>
          <w:numId w:val="547"/>
        </w:numPr>
        <w:ind w:left="0" w:firstLine="0"/>
        <w:rPr>
          <w:rFonts w:asciiTheme="minorHAnsi" w:hAnsiTheme="minorHAnsi" w:cstheme="minorHAnsi"/>
          <w:noProof/>
          <w:lang w:val="fr-BE"/>
        </w:rPr>
      </w:pPr>
      <w:r>
        <w:rPr>
          <w:rFonts w:asciiTheme="minorHAnsi" w:hAnsiTheme="minorHAnsi"/>
          <w:noProof/>
          <w:lang w:val="fr-BE"/>
        </w:rPr>
        <w:t>Preču zīme nedod īpašniekam tiesības aizliegt trešai personai komercdarbībā izmantot agrākas tiesības, kas ir spēkā tikai konkrētā apvidū, ja attie</w:t>
      </w:r>
      <w:r>
        <w:rPr>
          <w:rFonts w:asciiTheme="minorHAnsi" w:hAnsiTheme="minorHAnsi"/>
          <w:noProof/>
          <w:lang w:val="fr-BE"/>
        </w:rPr>
        <w:t xml:space="preserve">cīgās Puses tiesību akti atzīst šīs tiesības un tās tiek izmantotas teritorijā, kurā tiek atzītas. </w:t>
      </w:r>
    </w:p>
    <w:p w:rsidR="003E022D" w:rsidRDefault="007D19D6">
      <w:pPr>
        <w:pStyle w:val="Article"/>
        <w:rPr>
          <w:noProof/>
        </w:rPr>
      </w:pPr>
      <w:r>
        <w:rPr>
          <w:noProof/>
        </w:rPr>
        <w:t>IP.24. pants. Atcelšanas pamats</w:t>
      </w:r>
    </w:p>
    <w:p w:rsidR="003E022D" w:rsidRDefault="007D19D6">
      <w:pPr>
        <w:numPr>
          <w:ilvl w:val="0"/>
          <w:numId w:val="548"/>
        </w:numPr>
        <w:ind w:left="0" w:firstLine="0"/>
        <w:rPr>
          <w:rFonts w:asciiTheme="minorHAnsi" w:hAnsiTheme="minorHAnsi" w:cstheme="minorHAnsi"/>
          <w:noProof/>
        </w:rPr>
      </w:pPr>
      <w:r>
        <w:rPr>
          <w:rFonts w:asciiTheme="minorHAnsi" w:hAnsiTheme="minorHAnsi"/>
          <w:noProof/>
        </w:rPr>
        <w:t>Katra Puse paredz, ka preču zīme ir atceļama, ja nepārtrauktā piecu gadu laikposmā Puses attiecīgajā teritorijā īpašnieks sa</w:t>
      </w:r>
      <w:r>
        <w:rPr>
          <w:rFonts w:asciiTheme="minorHAnsi" w:hAnsiTheme="minorHAnsi"/>
          <w:noProof/>
        </w:rPr>
        <w:t>istībā ar precēm vai pakalpojumiem, kam tā reģistrēta, to faktiski nav lietojis vai ar īpašnieka piekrišanu tā faktiski nav lietota un nav dibināta iemesla to nelietot.</w:t>
      </w:r>
    </w:p>
    <w:p w:rsidR="003E022D" w:rsidRDefault="007D19D6">
      <w:pPr>
        <w:numPr>
          <w:ilvl w:val="0"/>
          <w:numId w:val="548"/>
        </w:numPr>
        <w:ind w:left="0" w:firstLine="0"/>
        <w:rPr>
          <w:rStyle w:val="eop"/>
          <w:noProof/>
        </w:rPr>
      </w:pPr>
      <w:r>
        <w:rPr>
          <w:rStyle w:val="normaltextrun"/>
          <w:noProof/>
        </w:rPr>
        <w:t>Katra Puse paredz arī, ka</w:t>
      </w:r>
      <w:r>
        <w:rPr>
          <w:noProof/>
        </w:rPr>
        <w:t xml:space="preserve"> </w:t>
      </w:r>
      <w:r>
        <w:rPr>
          <w:rStyle w:val="normaltextrun"/>
          <w:noProof/>
        </w:rPr>
        <w:t>preču zīme ir atceļama, ja piecu gadu laikposmā pēc datuma, k</w:t>
      </w:r>
      <w:r>
        <w:rPr>
          <w:rStyle w:val="normaltextrun"/>
          <w:noProof/>
        </w:rPr>
        <w:t>ad pabeigta reģistrācijas procedūra, Puses attiecīgajā teritorijā īpašnieks saistībā ar precēm vai pakalpojumiem, kam tā reģistrēta</w:t>
      </w:r>
      <w:r>
        <w:rPr>
          <w:noProof/>
        </w:rPr>
        <w:t>, to nav faktiski lietojis vai ar īpašnieka piekrišanu tā faktiski nav lietota un nav dibināta iemesla to nelietot.</w:t>
      </w:r>
    </w:p>
    <w:p w:rsidR="003E022D" w:rsidRDefault="007D19D6">
      <w:pPr>
        <w:numPr>
          <w:ilvl w:val="0"/>
          <w:numId w:val="548"/>
        </w:numPr>
        <w:ind w:left="0" w:firstLine="0"/>
        <w:rPr>
          <w:noProof/>
        </w:rPr>
      </w:pPr>
      <w:r>
        <w:rPr>
          <w:rFonts w:asciiTheme="minorHAnsi" w:hAnsiTheme="minorHAnsi"/>
          <w:noProof/>
        </w:rPr>
        <w:t>Tomēr nev</w:t>
      </w:r>
      <w:r>
        <w:rPr>
          <w:rFonts w:asciiTheme="minorHAnsi" w:hAnsiTheme="minorHAnsi"/>
          <w:noProof/>
        </w:rPr>
        <w:t>iena persona</w:t>
      </w:r>
      <w:r>
        <w:rPr>
          <w:noProof/>
        </w:rPr>
        <w:t xml:space="preserve"> </w:t>
      </w:r>
      <w:r>
        <w:rPr>
          <w:rStyle w:val="normaltextrun"/>
          <w:noProof/>
        </w:rPr>
        <w:t>nevar</w:t>
      </w:r>
      <w:r>
        <w:rPr>
          <w:noProof/>
        </w:rPr>
        <w:t xml:space="preserve"> </w:t>
      </w:r>
      <w:r>
        <w:rPr>
          <w:rFonts w:asciiTheme="minorHAnsi" w:hAnsiTheme="minorHAnsi"/>
          <w:noProof/>
        </w:rPr>
        <w:t>prasīt atcelt īpašnieka tiesības uz preču zīmi, ja starplaikā starp</w:t>
      </w:r>
      <w:r>
        <w:rPr>
          <w:noProof/>
        </w:rPr>
        <w:t xml:space="preserve"> </w:t>
      </w:r>
      <w:r>
        <w:rPr>
          <w:rStyle w:val="normaltextrun"/>
          <w:noProof/>
        </w:rPr>
        <w:t>piecu gadu perioda izbeigšanos un atcelšanas pieteikuma iesniegšanu preču zīmes faktiska lietošana ir sākta vai atsākta.</w:t>
      </w:r>
      <w:r>
        <w:rPr>
          <w:rFonts w:asciiTheme="minorHAnsi" w:hAnsiTheme="minorHAnsi"/>
          <w:noProof/>
        </w:rPr>
        <w:t xml:space="preserve"> Lietošanas sākumu vai atsākumu triju mēnešu peri</w:t>
      </w:r>
      <w:r>
        <w:rPr>
          <w:rFonts w:asciiTheme="minorHAnsi" w:hAnsiTheme="minorHAnsi"/>
          <w:noProof/>
        </w:rPr>
        <w:t xml:space="preserve">odā pirms atcelšanas pieprasījuma iesniegšanas, kas sācies, visagrākais, beidzoties nepārtrauktajam piecu gadu nelietošanas periodam, tomēr neievēro, ja priekšdarbi sākumam vai atsākumam notiek tikai pēc tam, kad īpašnieks uzzinājis, ka iespējams iesniegt </w:t>
      </w:r>
      <w:r>
        <w:rPr>
          <w:rFonts w:asciiTheme="minorHAnsi" w:hAnsiTheme="minorHAnsi"/>
          <w:noProof/>
        </w:rPr>
        <w:t>atcelšanas pieprasījumu.</w:t>
      </w:r>
    </w:p>
    <w:p w:rsidR="003E022D" w:rsidRDefault="007D19D6">
      <w:pPr>
        <w:numPr>
          <w:ilvl w:val="0"/>
          <w:numId w:val="548"/>
        </w:numPr>
        <w:ind w:left="0" w:firstLine="0"/>
        <w:rPr>
          <w:rFonts w:asciiTheme="minorHAnsi" w:hAnsiTheme="minorHAnsi" w:cstheme="minorHAnsi"/>
          <w:noProof/>
        </w:rPr>
      </w:pPr>
      <w:r>
        <w:rPr>
          <w:rFonts w:asciiTheme="minorHAnsi" w:hAnsiTheme="minorHAnsi"/>
          <w:noProof/>
        </w:rPr>
        <w:t xml:space="preserve">Preču zīme ir atceļama arī tad, ja pēc dienas, kurā tā reģistrēta: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īpašnieka darbības vai bezdarbības rezultātā tā komercdarbībā kļuvusi par vispārpieņemtu nosaukumu precei vai pakalpojumam, kam tā reģistrēta;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preču zīmes ī</w:t>
      </w:r>
      <w:r>
        <w:rPr>
          <w:rFonts w:asciiTheme="minorHAnsi" w:hAnsiTheme="minorHAnsi"/>
          <w:noProof/>
        </w:rPr>
        <w:t>pašnieka īstenotas lietošanas vai lietošanas ar īpašnieka piekrišanu rezultātā saistībā ar precēm vai pakalpojumiem, kam tā reģistrēta, tā var maldināt sabiedrību, jo īpaši attiecībā uz šo preču vai pakalpojumu īpašībām, kvalitāti vai ģeogrāfisko izcelsmi.</w:t>
      </w:r>
      <w:r>
        <w:rPr>
          <w:rFonts w:asciiTheme="minorHAnsi" w:hAnsiTheme="minorHAnsi"/>
          <w:noProof/>
        </w:rPr>
        <w:t xml:space="preserve"> </w:t>
      </w:r>
    </w:p>
    <w:p w:rsidR="003E022D" w:rsidRDefault="007D19D6">
      <w:pPr>
        <w:pStyle w:val="Article"/>
        <w:rPr>
          <w:noProof/>
        </w:rPr>
      </w:pPr>
      <w:r>
        <w:rPr>
          <w:noProof/>
        </w:rPr>
        <w:t>IP.25. pants. Tiesības aizliegt sagatavošanas darbības attiecībā uz iepakojuma vai citu līdzekļu lietošanu</w:t>
      </w:r>
    </w:p>
    <w:p w:rsidR="003E022D" w:rsidRDefault="007D19D6">
      <w:pPr>
        <w:rPr>
          <w:rFonts w:asciiTheme="minorHAnsi" w:hAnsiTheme="minorHAnsi" w:cstheme="minorHAnsi"/>
          <w:noProof/>
        </w:rPr>
      </w:pPr>
      <w:r>
        <w:rPr>
          <w:rFonts w:asciiTheme="minorHAnsi" w:hAnsiTheme="minorHAnsi"/>
          <w:noProof/>
        </w:rPr>
        <w:t>Ja pastāv risks, ka iepakojums, etiķetes, birkas, drošības vai autentiskuma elementi vai ierīces, vai citi līdzekļi, kuriem attiecīgā preču zīme ir</w:t>
      </w:r>
      <w:r>
        <w:rPr>
          <w:rFonts w:asciiTheme="minorHAnsi" w:hAnsiTheme="minorHAnsi"/>
          <w:noProof/>
        </w:rPr>
        <w:t xml:space="preserve"> piestiprināta, varētu tikt lietoti attiecībā uz precēm vai pakalpojumiem un minētā izmantošana izraisītu preču zīmes īpašnieka tiesību pārkāpumu, minētās preču zīmes īpašniekam ir tiesības aizliegt šādas darbības, ja tās tiek veiktas komercdarbībā:</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pie</w:t>
      </w:r>
      <w:r>
        <w:rPr>
          <w:rFonts w:asciiTheme="minorHAnsi" w:hAnsiTheme="minorHAnsi"/>
          <w:noProof/>
        </w:rPr>
        <w:t>stiprināt iepakojumam, etiķetēm, birkām, drošības vai autentiskuma elementiem vai ierīcēm, vai jebkādiem citiem līdzekļiem, pie kuriem zīme var tikt piestiprināta, apzīmējumu, kas ir identisks vai līdzīgs preču zīmei; vai</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piedāvāt vai laist tirgū, vai u</w:t>
      </w:r>
      <w:r>
        <w:rPr>
          <w:rFonts w:asciiTheme="minorHAnsi" w:hAnsiTheme="minorHAnsi"/>
          <w:noProof/>
        </w:rPr>
        <w:t>zglabāt šādos nolūkos, vai importēt, vai eksportēt iepakojumu, etiķetes, birkas, drošības vai autentiskuma elementus vai ierīces, vai citus līdzekļus, kuriem ir piestiprināta zīme.</w:t>
      </w:r>
    </w:p>
    <w:p w:rsidR="003E022D" w:rsidRDefault="007D19D6">
      <w:pPr>
        <w:pStyle w:val="Article"/>
        <w:rPr>
          <w:noProof/>
        </w:rPr>
      </w:pPr>
      <w:r>
        <w:rPr>
          <w:noProof/>
        </w:rPr>
        <w:t>IP.26. pants. Negodprātīgi pieteikumi</w:t>
      </w:r>
    </w:p>
    <w:p w:rsidR="003E022D" w:rsidRDefault="007D19D6">
      <w:pPr>
        <w:rPr>
          <w:rFonts w:asciiTheme="minorHAnsi" w:hAnsiTheme="minorHAnsi" w:cstheme="minorHAnsi"/>
          <w:noProof/>
        </w:rPr>
      </w:pPr>
      <w:r>
        <w:rPr>
          <w:rFonts w:asciiTheme="minorHAnsi" w:hAnsiTheme="minorHAnsi"/>
          <w:noProof/>
        </w:rPr>
        <w:t xml:space="preserve">Preču zīmi var pasludināt par spēkā neesošu, ja preču zīmes reģistrācijas pieteikums iesniegts negodprātīgos nolūkos. Katra Puse var noteikt, ka tādu preču zīmi nereģistrē. </w:t>
      </w:r>
    </w:p>
    <w:p w:rsidR="003E022D" w:rsidRDefault="007D19D6">
      <w:pPr>
        <w:pStyle w:val="Section"/>
        <w:rPr>
          <w:noProof/>
          <w:lang w:val="fr-BE"/>
        </w:rPr>
      </w:pPr>
      <w:r>
        <w:rPr>
          <w:noProof/>
        </w:rPr>
        <w:t xml:space="preserve">3. iedaļa. </w:t>
      </w:r>
      <w:r>
        <w:rPr>
          <w:noProof/>
          <w:lang w:val="fr-BE"/>
        </w:rPr>
        <w:t>Dizains</w:t>
      </w:r>
    </w:p>
    <w:p w:rsidR="003E022D" w:rsidRDefault="007D19D6">
      <w:pPr>
        <w:pStyle w:val="Article"/>
        <w:rPr>
          <w:noProof/>
          <w:lang w:val="fr-BE"/>
        </w:rPr>
      </w:pPr>
      <w:r>
        <w:rPr>
          <w:noProof/>
          <w:lang w:val="fr-BE"/>
        </w:rPr>
        <w:t>IP.27. pants. Reģistrētu dizainparaugu aizsardzība</w:t>
      </w:r>
    </w:p>
    <w:p w:rsidR="003E022D" w:rsidRDefault="007D19D6">
      <w:pPr>
        <w:numPr>
          <w:ilvl w:val="0"/>
          <w:numId w:val="549"/>
        </w:numPr>
        <w:ind w:left="0" w:firstLine="0"/>
        <w:rPr>
          <w:rFonts w:asciiTheme="minorHAnsi" w:hAnsiTheme="minorHAnsi" w:cstheme="minorHAnsi"/>
          <w:noProof/>
          <w:lang w:val="fr-BE"/>
        </w:rPr>
      </w:pPr>
      <w:r>
        <w:rPr>
          <w:rFonts w:asciiTheme="minorHAnsi" w:hAnsiTheme="minorHAnsi"/>
          <w:noProof/>
          <w:lang w:val="fr-BE"/>
        </w:rPr>
        <w:t>Katra Puse n</w:t>
      </w:r>
      <w:r>
        <w:rPr>
          <w:rFonts w:asciiTheme="minorHAnsi" w:hAnsiTheme="minorHAnsi"/>
          <w:noProof/>
          <w:lang w:val="fr-BE"/>
        </w:rPr>
        <w:t xml:space="preserve">odrošina jaunu un oriģinālu patstāvīgi radītu dizainparaugu aizsardzību. Šo aizsardzību nodrošina ar reģistrāciju, un tā piešķir īpašniekiem ekskluzīvas tiesības saskaņā ar šīs iedaļas noteikumiem.  </w:t>
      </w:r>
    </w:p>
    <w:p w:rsidR="003E022D" w:rsidRDefault="007D19D6">
      <w:pPr>
        <w:rPr>
          <w:rFonts w:asciiTheme="minorHAnsi" w:hAnsiTheme="minorHAnsi" w:cstheme="minorHAnsi"/>
          <w:noProof/>
          <w:lang w:val="fr-BE"/>
        </w:rPr>
      </w:pPr>
      <w:r>
        <w:rPr>
          <w:rFonts w:asciiTheme="minorHAnsi" w:hAnsiTheme="minorHAnsi"/>
          <w:noProof/>
          <w:lang w:val="fr-BE"/>
        </w:rPr>
        <w:t>Piemērojot šo pantu, Puse var uzskatīt, ka dizainparaugs</w:t>
      </w:r>
      <w:r>
        <w:rPr>
          <w:rFonts w:asciiTheme="minorHAnsi" w:hAnsiTheme="minorHAnsi"/>
          <w:noProof/>
          <w:lang w:val="fr-BE"/>
        </w:rPr>
        <w:t xml:space="preserve">, kam ir individuāla būtība, ir oriģināls. </w:t>
      </w:r>
    </w:p>
    <w:p w:rsidR="003E022D" w:rsidRDefault="007D19D6">
      <w:pPr>
        <w:numPr>
          <w:ilvl w:val="0"/>
          <w:numId w:val="549"/>
        </w:numPr>
        <w:ind w:left="0" w:firstLine="0"/>
        <w:rPr>
          <w:rFonts w:asciiTheme="minorHAnsi" w:hAnsiTheme="minorHAnsi" w:cstheme="minorHAnsi"/>
          <w:noProof/>
          <w:lang w:val="fr-BE"/>
        </w:rPr>
      </w:pPr>
      <w:r>
        <w:rPr>
          <w:rFonts w:asciiTheme="minorHAnsi" w:hAnsiTheme="minorHAnsi"/>
          <w:noProof/>
          <w:lang w:val="fr-BE"/>
        </w:rPr>
        <w:t>Reģistrēta dizainparauga īpašniekam ir tiesības neļaut trešām personām bez īpašnieka piekrišanas izgatavot, piedāvāt pārdošanai, pārdot, importēt, eksportēt, uzglabāt ražojumu, uz kura ir aizsargātais dizainparau</w:t>
      </w:r>
      <w:r>
        <w:rPr>
          <w:rFonts w:asciiTheme="minorHAnsi" w:hAnsiTheme="minorHAnsi"/>
          <w:noProof/>
          <w:lang w:val="fr-BE"/>
        </w:rPr>
        <w:t xml:space="preserve">gs un kurš iemieso aizsargāto dizainparaugu, vai izmantot priekšmetus, uz kuriem ir aizsargātais dizainparaugs vai kuri to iemieso, ja šīs darbības tiek veiktas komerciālos nolūkos. </w:t>
      </w:r>
    </w:p>
    <w:p w:rsidR="003E022D" w:rsidRDefault="007D19D6">
      <w:pPr>
        <w:numPr>
          <w:ilvl w:val="0"/>
          <w:numId w:val="549"/>
        </w:numPr>
        <w:ind w:left="0" w:firstLine="0"/>
        <w:rPr>
          <w:rFonts w:asciiTheme="minorHAnsi" w:hAnsiTheme="minorHAnsi" w:cstheme="minorHAnsi"/>
          <w:noProof/>
          <w:lang w:val="fr-BE"/>
        </w:rPr>
      </w:pPr>
      <w:r>
        <w:rPr>
          <w:rFonts w:asciiTheme="minorHAnsi" w:hAnsiTheme="minorHAnsi"/>
          <w:noProof/>
          <w:lang w:val="fr-BE"/>
        </w:rPr>
        <w:t xml:space="preserve">Dizainparaugu, ko izmanto vai iekļauj ražojumā, kurš ir kompleksa ražojuma sastāvdaļa, uzskata par jaunu un oriģinālu: </w:t>
      </w:r>
    </w:p>
    <w:p w:rsidR="003E022D" w:rsidRDefault="007D19D6">
      <w:pPr>
        <w:ind w:left="567" w:hanging="567"/>
        <w:rPr>
          <w:rFonts w:asciiTheme="minorHAnsi" w:hAnsiTheme="minorHAnsi" w:cstheme="minorHAnsi"/>
          <w:noProof/>
          <w:u w:val="single"/>
          <w:lang w:val="fr-BE"/>
        </w:rPr>
      </w:pPr>
      <w:r>
        <w:rPr>
          <w:rFonts w:asciiTheme="minorHAnsi" w:hAnsiTheme="minorHAnsi"/>
          <w:noProof/>
          <w:lang w:val="fr-BE"/>
        </w:rPr>
        <w:t>a)</w:t>
      </w:r>
      <w:r>
        <w:rPr>
          <w:noProof/>
          <w:lang w:val="fr-BE"/>
        </w:rPr>
        <w:tab/>
      </w:r>
      <w:r>
        <w:rPr>
          <w:rFonts w:asciiTheme="minorHAnsi" w:hAnsiTheme="minorHAnsi"/>
          <w:noProof/>
          <w:lang w:val="fr-BE"/>
        </w:rPr>
        <w:t xml:space="preserve">ja sastāvdaļa, kad tā ir iekļauta kompleksajā ražojumā, paliek redzama minētā ražojuma parastās izmantošanas laikā, un </w:t>
      </w:r>
    </w:p>
    <w:p w:rsidR="003E022D" w:rsidRDefault="007D19D6">
      <w:pPr>
        <w:ind w:left="567" w:hanging="567"/>
        <w:rPr>
          <w:rFonts w:asciiTheme="minorHAnsi" w:hAnsiTheme="minorHAnsi" w:cstheme="minorHAnsi"/>
          <w:noProof/>
          <w:u w:val="single"/>
          <w:lang w:val="fr-BE"/>
        </w:rPr>
      </w:pPr>
      <w:r>
        <w:rPr>
          <w:rFonts w:asciiTheme="minorHAnsi" w:hAnsiTheme="minorHAnsi"/>
          <w:noProof/>
          <w:lang w:val="fr-BE"/>
        </w:rPr>
        <w:t>b)</w:t>
      </w:r>
      <w:r>
        <w:rPr>
          <w:noProof/>
          <w:lang w:val="fr-BE"/>
        </w:rPr>
        <w:tab/>
      </w:r>
      <w:r>
        <w:rPr>
          <w:rFonts w:asciiTheme="minorHAnsi" w:hAnsiTheme="minorHAnsi"/>
          <w:noProof/>
          <w:lang w:val="fr-BE"/>
        </w:rPr>
        <w:t>ciktāl sas</w:t>
      </w:r>
      <w:r>
        <w:rPr>
          <w:rFonts w:asciiTheme="minorHAnsi" w:hAnsiTheme="minorHAnsi"/>
          <w:noProof/>
          <w:lang w:val="fr-BE"/>
        </w:rPr>
        <w:t xml:space="preserve">tāvdaļas redzamās iezīmes pašas par sevi atbilst novitātes un oriģinalitātes prasībām. </w:t>
      </w:r>
    </w:p>
    <w:p w:rsidR="003E022D" w:rsidRDefault="007D19D6">
      <w:pPr>
        <w:numPr>
          <w:ilvl w:val="0"/>
          <w:numId w:val="549"/>
        </w:numPr>
        <w:ind w:left="0" w:firstLine="0"/>
        <w:rPr>
          <w:rFonts w:asciiTheme="minorHAnsi" w:hAnsiTheme="minorHAnsi" w:cstheme="minorHAnsi"/>
          <w:noProof/>
          <w:lang w:val="fr-BE"/>
        </w:rPr>
      </w:pPr>
      <w:r>
        <w:rPr>
          <w:rFonts w:asciiTheme="minorHAnsi" w:hAnsiTheme="minorHAnsi"/>
          <w:noProof/>
          <w:lang w:val="fr-BE"/>
        </w:rPr>
        <w:t xml:space="preserve">Šā panta 3. punkta a) apakšpunktā jēdziens “parastā izmantošana” ir tiešā lietotāja veikta izmantošana, izņemot apkopi, apkalpošanu vai remontu. </w:t>
      </w:r>
    </w:p>
    <w:p w:rsidR="003E022D" w:rsidRDefault="007D19D6">
      <w:pPr>
        <w:pStyle w:val="Article"/>
        <w:rPr>
          <w:noProof/>
          <w:lang w:val="fr-BE"/>
        </w:rPr>
      </w:pPr>
      <w:r>
        <w:rPr>
          <w:noProof/>
          <w:lang w:val="fr-BE"/>
        </w:rPr>
        <w:t>IP.28. pants. Aizsardz</w:t>
      </w:r>
      <w:r>
        <w:rPr>
          <w:noProof/>
          <w:lang w:val="fr-BE"/>
        </w:rPr>
        <w:t>ības ilgums</w:t>
      </w:r>
    </w:p>
    <w:p w:rsidR="003E022D" w:rsidRDefault="007D19D6">
      <w:pPr>
        <w:rPr>
          <w:rFonts w:asciiTheme="minorHAnsi" w:hAnsiTheme="minorHAnsi" w:cstheme="minorHAnsi"/>
          <w:noProof/>
          <w:lang w:val="fr-BE"/>
        </w:rPr>
      </w:pPr>
      <w:r>
        <w:rPr>
          <w:rFonts w:asciiTheme="minorHAnsi" w:hAnsiTheme="minorHAnsi"/>
          <w:noProof/>
          <w:lang w:val="fr-BE"/>
        </w:rPr>
        <w:t>Reģistrētu dizainparaugu aizsardzības kopējais ilgums, ieskaitot reģistrētu dizainparaugu atjaunojumus, ir 25 gadi no pieteikuma iesniegšanas datuma</w:t>
      </w:r>
      <w:r>
        <w:rPr>
          <w:rStyle w:val="FootnoteReference"/>
          <w:rFonts w:cstheme="minorHAnsi"/>
          <w:noProof/>
        </w:rPr>
        <w:footnoteReference w:id="36"/>
      </w:r>
      <w:r>
        <w:rPr>
          <w:rFonts w:asciiTheme="minorHAnsi" w:hAnsiTheme="minorHAnsi"/>
          <w:noProof/>
          <w:lang w:val="fr-BE"/>
        </w:rPr>
        <w:t>.</w:t>
      </w:r>
    </w:p>
    <w:p w:rsidR="003E022D" w:rsidRDefault="007D19D6">
      <w:pPr>
        <w:pStyle w:val="Article"/>
        <w:rPr>
          <w:noProof/>
        </w:rPr>
      </w:pPr>
      <w:r>
        <w:rPr>
          <w:noProof/>
        </w:rPr>
        <w:t>IP.29. pants. Nereģistrētu dizainparaugu aizsardzība</w:t>
      </w:r>
    </w:p>
    <w:p w:rsidR="003E022D" w:rsidRDefault="007D19D6">
      <w:pPr>
        <w:numPr>
          <w:ilvl w:val="0"/>
          <w:numId w:val="550"/>
        </w:numPr>
        <w:ind w:left="0" w:firstLine="0"/>
        <w:rPr>
          <w:rFonts w:asciiTheme="minorHAnsi" w:hAnsiTheme="minorHAnsi" w:cstheme="minorHAnsi"/>
          <w:noProof/>
        </w:rPr>
      </w:pPr>
      <w:r>
        <w:rPr>
          <w:rFonts w:asciiTheme="minorHAnsi" w:hAnsiTheme="minorHAnsi"/>
          <w:noProof/>
        </w:rPr>
        <w:t>Katra Puse nereģistrēta dizainparauga īp</w:t>
      </w:r>
      <w:r>
        <w:rPr>
          <w:rFonts w:asciiTheme="minorHAnsi" w:hAnsiTheme="minorHAnsi"/>
          <w:noProof/>
        </w:rPr>
        <w:t>ašniekiem piešķir tiesības liegt nereģistrēta dizainparauga izmantošanu trešām personām bez īpašnieka piekrišanas tikai tad, ja apstrīdētā izmantošana izriet no nereģistrēta dizainparauga kopēšanas tās attiecīgajā teritorijā</w:t>
      </w:r>
      <w:r>
        <w:rPr>
          <w:rStyle w:val="FootnoteReference"/>
          <w:rFonts w:cstheme="minorHAnsi"/>
          <w:noProof/>
        </w:rPr>
        <w:footnoteReference w:id="37"/>
      </w:r>
      <w:r>
        <w:rPr>
          <w:rFonts w:asciiTheme="minorHAnsi" w:hAnsiTheme="minorHAnsi"/>
          <w:noProof/>
        </w:rPr>
        <w:t>. Šāda izmantošana ietver visma</w:t>
      </w:r>
      <w:r>
        <w:rPr>
          <w:rFonts w:asciiTheme="minorHAnsi" w:hAnsiTheme="minorHAnsi"/>
          <w:noProof/>
        </w:rPr>
        <w:t xml:space="preserve">z produkta piedāvāšanu pārdošanā, laišanu tirgū, importu vai eksportu. </w:t>
      </w:r>
    </w:p>
    <w:p w:rsidR="003E022D" w:rsidRDefault="007D19D6">
      <w:pPr>
        <w:numPr>
          <w:ilvl w:val="0"/>
          <w:numId w:val="550"/>
        </w:numPr>
        <w:ind w:left="0" w:firstLine="0"/>
        <w:rPr>
          <w:rFonts w:asciiTheme="minorHAnsi" w:hAnsiTheme="minorHAnsi" w:cstheme="minorHAnsi"/>
          <w:noProof/>
        </w:rPr>
      </w:pPr>
      <w:r>
        <w:rPr>
          <w:rFonts w:asciiTheme="minorHAnsi" w:hAnsiTheme="minorHAnsi"/>
          <w:noProof/>
        </w:rPr>
        <w:t xml:space="preserve">Aizsardzības termiņš, kas pieejams nereģistrētiem dizainparaugiem, ilgst vismaz trīs gadus no dienas, kad dizainparaugs nodots atklātībai attiecīgās Puses teritorijā. </w:t>
      </w:r>
    </w:p>
    <w:p w:rsidR="003E022D" w:rsidRDefault="007D19D6">
      <w:pPr>
        <w:pStyle w:val="Article"/>
        <w:rPr>
          <w:noProof/>
        </w:rPr>
      </w:pPr>
      <w:r>
        <w:rPr>
          <w:noProof/>
        </w:rPr>
        <w:t>IP.30. pants. Iz</w:t>
      </w:r>
      <w:r>
        <w:rPr>
          <w:noProof/>
        </w:rPr>
        <w:t>ņēmumi</w:t>
      </w:r>
    </w:p>
    <w:p w:rsidR="003E022D" w:rsidRDefault="007D19D6">
      <w:pPr>
        <w:numPr>
          <w:ilvl w:val="0"/>
          <w:numId w:val="551"/>
        </w:numPr>
        <w:ind w:left="0" w:firstLine="0"/>
        <w:rPr>
          <w:rFonts w:asciiTheme="minorHAnsi" w:hAnsiTheme="minorHAnsi" w:cstheme="minorHAnsi"/>
          <w:noProof/>
        </w:rPr>
      </w:pPr>
      <w:r>
        <w:rPr>
          <w:rFonts w:asciiTheme="minorHAnsi" w:hAnsiTheme="minorHAnsi"/>
          <w:noProof/>
        </w:rPr>
        <w:t>Katra Puse var noteikt ierobežotus izņēmumus dizainparaugu, arī nereģistrētu dizainparaugu, aizsardzībai, ja izņēmumi nav nepamatoti pretrunā dizainparaugu parastai izmantošanai un nepamatoti neierobežo dizainparauga īpašnieka likumīgās intereses, ņ</w:t>
      </w:r>
      <w:r>
        <w:rPr>
          <w:rFonts w:asciiTheme="minorHAnsi" w:hAnsiTheme="minorHAnsi"/>
          <w:noProof/>
        </w:rPr>
        <w:t xml:space="preserve">emot vērā trešo personu likumīgās intereses. </w:t>
      </w:r>
    </w:p>
    <w:p w:rsidR="003E022D" w:rsidRDefault="007D19D6">
      <w:pPr>
        <w:numPr>
          <w:ilvl w:val="0"/>
          <w:numId w:val="551"/>
        </w:numPr>
        <w:ind w:left="0" w:firstLine="0"/>
        <w:rPr>
          <w:rFonts w:asciiTheme="minorHAnsi" w:hAnsiTheme="minorHAnsi" w:cstheme="minorHAnsi"/>
          <w:noProof/>
        </w:rPr>
      </w:pPr>
      <w:r>
        <w:rPr>
          <w:rFonts w:asciiTheme="minorHAnsi" w:hAnsiTheme="minorHAnsi"/>
          <w:noProof/>
        </w:rPr>
        <w:t>Aizsardzību neattiecina uz dizainparaugiem, kas veidoti  vienīgi tehnisku vai funkcionālu apsvērumu dēļ. Dizainparaugs neattiecas uz ražojuma izskatu, kas ir noteikti jāreproducē precīzā formā un izmēros, lai r</w:t>
      </w:r>
      <w:r>
        <w:rPr>
          <w:rFonts w:asciiTheme="minorHAnsi" w:hAnsiTheme="minorHAnsi"/>
          <w:noProof/>
        </w:rPr>
        <w:t xml:space="preserve">ažojumu, kurā dizainparaugs ir iekļauts vai kuram tas ir pielietots, mehāniski pievienotu vai ievietotu, novietotu ap to vai novietotu pretī citam ražojumam tā, lai abi ražojumi varētu funkcionēt. </w:t>
      </w:r>
    </w:p>
    <w:p w:rsidR="003E022D" w:rsidRDefault="007D19D6">
      <w:pPr>
        <w:numPr>
          <w:ilvl w:val="0"/>
          <w:numId w:val="551"/>
        </w:numPr>
        <w:ind w:left="0" w:firstLine="0"/>
        <w:rPr>
          <w:rFonts w:asciiTheme="minorHAnsi" w:hAnsiTheme="minorHAnsi" w:cstheme="minorHAnsi"/>
          <w:noProof/>
        </w:rPr>
      </w:pPr>
      <w:r>
        <w:rPr>
          <w:rFonts w:asciiTheme="minorHAnsi" w:hAnsiTheme="minorHAnsi"/>
          <w:noProof/>
        </w:rPr>
        <w:t>Atkāpjoties no 2. punkta, dizainparaugs saskaņā ar IP 27. </w:t>
      </w:r>
      <w:r>
        <w:rPr>
          <w:rFonts w:asciiTheme="minorHAnsi" w:hAnsiTheme="minorHAnsi"/>
          <w:noProof/>
        </w:rPr>
        <w:t xml:space="preserve">panta [Reģistrētu dizainparaugu aizsardzība] 1. punktā izklāstītajiem nosacījumiem ir dizainparaugs, kura nolūks ir vairākus savstarpēji nomaināmus ražojumus samontēt vai savienot moduļu sistēmā. </w:t>
      </w:r>
    </w:p>
    <w:p w:rsidR="003E022D" w:rsidRDefault="007D19D6">
      <w:pPr>
        <w:pStyle w:val="Article"/>
        <w:rPr>
          <w:noProof/>
        </w:rPr>
      </w:pPr>
      <w:r>
        <w:rPr>
          <w:noProof/>
        </w:rPr>
        <w:t>IP.31. pants. Saistība ar autortiesībām</w:t>
      </w:r>
    </w:p>
    <w:p w:rsidR="003E022D" w:rsidRDefault="007D19D6">
      <w:pPr>
        <w:rPr>
          <w:rFonts w:asciiTheme="minorHAnsi" w:hAnsiTheme="minorHAnsi" w:cstheme="minorHAnsi"/>
          <w:noProof/>
        </w:rPr>
      </w:pPr>
      <w:r>
        <w:rPr>
          <w:rFonts w:asciiTheme="minorHAnsi" w:hAnsiTheme="minorHAnsi"/>
          <w:noProof/>
        </w:rPr>
        <w:t>Katra Puse nodrošin</w:t>
      </w:r>
      <w:r>
        <w:rPr>
          <w:rFonts w:asciiTheme="minorHAnsi" w:hAnsiTheme="minorHAnsi"/>
          <w:noProof/>
        </w:rPr>
        <w:t>a, ka dizainparaugiem, arī nereģistrētiem dizainparaugiem, ir tiesības uz aizsardzību atbilstīgi attiecīgās Puses tiesību aktiem autortiesību jomā no dienas, kurā dizainparaugs ir radīts vai fiksēts jebkādā veidā. Kādā mērā un ar kādiem nosacījumiem, ietve</w:t>
      </w:r>
      <w:r>
        <w:rPr>
          <w:rFonts w:asciiTheme="minorHAnsi" w:hAnsiTheme="minorHAnsi"/>
          <w:noProof/>
        </w:rPr>
        <w:t xml:space="preserve">rot prasīto oriģinalitātes līmeni, šādu aizsardzību piešķir, nosaka katra Puse. </w:t>
      </w:r>
    </w:p>
    <w:p w:rsidR="003E022D" w:rsidRDefault="007D19D6">
      <w:pPr>
        <w:pStyle w:val="Section"/>
        <w:rPr>
          <w:noProof/>
          <w:lang w:val="fr-BE"/>
        </w:rPr>
      </w:pPr>
      <w:r>
        <w:rPr>
          <w:noProof/>
          <w:lang w:val="fr-BE"/>
        </w:rPr>
        <w:t>4. iedaļa. Patenti</w:t>
      </w:r>
    </w:p>
    <w:p w:rsidR="003E022D" w:rsidRDefault="007D19D6">
      <w:pPr>
        <w:pStyle w:val="Article"/>
        <w:rPr>
          <w:noProof/>
          <w:lang w:val="fr-BE"/>
        </w:rPr>
      </w:pPr>
      <w:r>
        <w:rPr>
          <w:noProof/>
          <w:lang w:val="fr-BE"/>
        </w:rPr>
        <w:t>IP.32. pants. Patenti un sabiedrības veselība</w:t>
      </w:r>
    </w:p>
    <w:p w:rsidR="003E022D" w:rsidRDefault="007D19D6">
      <w:pPr>
        <w:numPr>
          <w:ilvl w:val="0"/>
          <w:numId w:val="552"/>
        </w:numPr>
        <w:ind w:left="0" w:firstLine="0"/>
        <w:rPr>
          <w:rFonts w:asciiTheme="minorHAnsi" w:hAnsiTheme="minorHAnsi" w:cstheme="minorHAnsi"/>
          <w:noProof/>
          <w:lang w:val="fr-BE"/>
        </w:rPr>
      </w:pPr>
      <w:r>
        <w:rPr>
          <w:rFonts w:asciiTheme="minorHAnsi" w:hAnsiTheme="minorHAnsi"/>
          <w:noProof/>
          <w:lang w:val="fr-BE"/>
        </w:rPr>
        <w:t xml:space="preserve">Puses atzīst PTO ministru konferencē 2001. gada 14. novembrī Dohā pieņemtās Deklarācijas par </w:t>
      </w:r>
      <w:r>
        <w:rPr>
          <w:rFonts w:asciiTheme="minorHAnsi" w:hAnsiTheme="minorHAnsi"/>
          <w:i/>
          <w:noProof/>
          <w:lang w:val="fr-BE"/>
        </w:rPr>
        <w:t>TRIPS</w:t>
      </w:r>
      <w:r>
        <w:rPr>
          <w:rFonts w:asciiTheme="minorHAnsi" w:hAnsiTheme="minorHAnsi"/>
          <w:noProof/>
          <w:lang w:val="fr-BE"/>
        </w:rPr>
        <w:t xml:space="preserve"> līgumu un sabiedrības veselību (“Dohas deklarācija”) nozīmi. Interpretējot un īstenojot tiesības un pienākumus saskaņā ar šo iedaļu, Puses nodrošina, ka tiek ievērota Dohas deklarācija. </w:t>
      </w:r>
    </w:p>
    <w:p w:rsidR="003E022D" w:rsidRDefault="007D19D6">
      <w:pPr>
        <w:numPr>
          <w:ilvl w:val="0"/>
          <w:numId w:val="552"/>
        </w:numPr>
        <w:ind w:left="0" w:firstLine="0"/>
        <w:rPr>
          <w:rFonts w:asciiTheme="minorHAnsi" w:hAnsiTheme="minorHAnsi" w:cstheme="minorHAnsi"/>
          <w:noProof/>
          <w:lang w:val="fr-BE"/>
        </w:rPr>
      </w:pPr>
      <w:r>
        <w:rPr>
          <w:rFonts w:asciiTheme="minorHAnsi" w:hAnsiTheme="minorHAnsi"/>
          <w:noProof/>
          <w:lang w:val="fr-BE"/>
        </w:rPr>
        <w:t xml:space="preserve">Katra Puse īsteno </w:t>
      </w:r>
      <w:r>
        <w:rPr>
          <w:rFonts w:asciiTheme="minorHAnsi" w:hAnsiTheme="minorHAnsi"/>
          <w:i/>
          <w:iCs/>
          <w:noProof/>
          <w:lang w:val="fr-BE"/>
        </w:rPr>
        <w:t>TRIPS</w:t>
      </w:r>
      <w:r>
        <w:rPr>
          <w:rFonts w:asciiTheme="minorHAnsi" w:hAnsiTheme="minorHAnsi"/>
          <w:noProof/>
          <w:lang w:val="fr-BE"/>
        </w:rPr>
        <w:t xml:space="preserve"> līguma 31.a pantu, kā arī </w:t>
      </w:r>
      <w:r>
        <w:rPr>
          <w:rFonts w:asciiTheme="minorHAnsi" w:hAnsiTheme="minorHAnsi"/>
          <w:i/>
          <w:iCs/>
          <w:noProof/>
          <w:lang w:val="fr-BE"/>
        </w:rPr>
        <w:t>TRIPS</w:t>
      </w:r>
      <w:r>
        <w:rPr>
          <w:rFonts w:asciiTheme="minorHAnsi" w:hAnsiTheme="minorHAnsi"/>
          <w:noProof/>
          <w:lang w:val="fr-BE"/>
        </w:rPr>
        <w:t xml:space="preserve"> līguma pieli</w:t>
      </w:r>
      <w:r>
        <w:rPr>
          <w:rFonts w:asciiTheme="minorHAnsi" w:hAnsiTheme="minorHAnsi"/>
          <w:noProof/>
          <w:lang w:val="fr-BE"/>
        </w:rPr>
        <w:t xml:space="preserve">kumu un šā pielikuma papildinājumu. </w:t>
      </w:r>
    </w:p>
    <w:p w:rsidR="003E022D" w:rsidRDefault="007D19D6">
      <w:pPr>
        <w:pStyle w:val="Article"/>
        <w:rPr>
          <w:rStyle w:val="ArticleChar"/>
          <w:noProof/>
          <w:lang w:val="fr-BE"/>
        </w:rPr>
      </w:pPr>
      <w:r>
        <w:rPr>
          <w:rStyle w:val="ArticleChar"/>
          <w:noProof/>
          <w:lang w:val="fr-BE"/>
        </w:rPr>
        <w:t>IP.33. pants. Ar zāļu vai augu aizsardzības līdzekļa patentu piešķirtā aizsardzības perioda pagarināšana</w:t>
      </w:r>
    </w:p>
    <w:p w:rsidR="003E022D" w:rsidRDefault="007D19D6">
      <w:pPr>
        <w:numPr>
          <w:ilvl w:val="0"/>
          <w:numId w:val="553"/>
        </w:numPr>
        <w:ind w:left="0" w:firstLine="0"/>
        <w:rPr>
          <w:rFonts w:asciiTheme="minorHAnsi" w:hAnsiTheme="minorHAnsi" w:cstheme="minorHAnsi"/>
          <w:noProof/>
          <w:lang w:val="fr-BE"/>
        </w:rPr>
      </w:pPr>
      <w:r>
        <w:rPr>
          <w:rFonts w:asciiTheme="minorHAnsi" w:hAnsiTheme="minorHAnsi"/>
          <w:noProof/>
          <w:lang w:val="fr-BE"/>
        </w:rPr>
        <w:t>Puses atzīst, ka zālēm un augu aizsardzības līdzekļiem</w:t>
      </w:r>
      <w:r>
        <w:rPr>
          <w:rStyle w:val="FootnoteReference"/>
          <w:rFonts w:cstheme="minorHAnsi"/>
          <w:noProof/>
        </w:rPr>
        <w:footnoteReference w:id="38"/>
      </w:r>
      <w:r>
        <w:rPr>
          <w:rFonts w:asciiTheme="minorHAnsi" w:hAnsiTheme="minorHAnsi"/>
          <w:noProof/>
          <w:lang w:val="fr-BE"/>
        </w:rPr>
        <w:t xml:space="preserve">, kurus to attiecīgajās teritorijās aizsargā patents, pirms to piedāvāšanas to attiecīgajos tirgos var piemērot administratīvu atļaujas piešķiršanas procedūru. Puses atzīst, ka laikposms, kas paiet no patenta pieteikuma iesniegšanas līdz pirmajai atļaujai </w:t>
      </w:r>
      <w:r>
        <w:rPr>
          <w:rFonts w:asciiTheme="minorHAnsi" w:hAnsiTheme="minorHAnsi"/>
          <w:noProof/>
          <w:lang w:val="fr-BE"/>
        </w:rPr>
        <w:t xml:space="preserve">laist zāles vai līdzekli tirgū, kā šim nolūkam definēts attiecīgajos tiesību aktos, var saīsināt patenta faktiskās aizsardzības laikposmu. </w:t>
      </w:r>
    </w:p>
    <w:p w:rsidR="003E022D" w:rsidRDefault="007D19D6">
      <w:pPr>
        <w:numPr>
          <w:ilvl w:val="0"/>
          <w:numId w:val="553"/>
        </w:numPr>
        <w:ind w:left="0" w:firstLine="0"/>
        <w:rPr>
          <w:rFonts w:asciiTheme="minorHAnsi" w:hAnsiTheme="minorHAnsi" w:cstheme="minorHAnsi"/>
          <w:noProof/>
          <w:lang w:val="fr-BE"/>
        </w:rPr>
      </w:pPr>
      <w:r>
        <w:rPr>
          <w:rFonts w:asciiTheme="minorHAnsi" w:hAnsiTheme="minorHAnsi"/>
          <w:noProof/>
          <w:lang w:val="fr-BE"/>
        </w:rPr>
        <w:t>Katra Puse saskaņā ar saviem normatīvajiem aktiem nodrošina turpmāku aizsardzību zālēm vai līdzeklim, kas ir aizsarg</w:t>
      </w:r>
      <w:r>
        <w:rPr>
          <w:rFonts w:asciiTheme="minorHAnsi" w:hAnsiTheme="minorHAnsi"/>
          <w:noProof/>
          <w:lang w:val="fr-BE"/>
        </w:rPr>
        <w:t>āts ar patentu un kam ir piemērota 1. punktā minētā administratīvā atļaujas piešķiršanas procedūra, kuras nolūks ir kompensēt patenta īpašniekam patenta faktiskās aizsardzības laikposma samazinājumu. Šādas turpmākas aizsardzības nodrošināšanas noteikumus u</w:t>
      </w:r>
      <w:r>
        <w:rPr>
          <w:rFonts w:asciiTheme="minorHAnsi" w:hAnsiTheme="minorHAnsi"/>
          <w:noProof/>
          <w:lang w:val="fr-BE"/>
        </w:rPr>
        <w:t>n nosacījumus, arī attiecībā uz tās ilgumu, nosaka saskaņā ar Pušu normatīvajiem aktiem.</w:t>
      </w:r>
    </w:p>
    <w:p w:rsidR="003E022D" w:rsidRDefault="007D19D6">
      <w:pPr>
        <w:numPr>
          <w:ilvl w:val="0"/>
          <w:numId w:val="553"/>
        </w:numPr>
        <w:ind w:left="0" w:firstLine="0"/>
        <w:rPr>
          <w:rFonts w:asciiTheme="minorHAnsi" w:hAnsiTheme="minorHAnsi" w:cstheme="minorHAnsi"/>
          <w:noProof/>
        </w:rPr>
      </w:pPr>
      <w:r>
        <w:rPr>
          <w:rFonts w:asciiTheme="minorHAnsi" w:hAnsiTheme="minorHAnsi"/>
          <w:noProof/>
        </w:rPr>
        <w:t xml:space="preserve">Šajā sadaļā “zāles” ir: </w:t>
      </w:r>
    </w:p>
    <w:p w:rsidR="003E022D" w:rsidRDefault="007D19D6">
      <w:pPr>
        <w:ind w:left="567" w:hanging="567"/>
        <w:rPr>
          <w:rFonts w:asciiTheme="minorHAnsi" w:hAnsiTheme="minorHAnsi" w:cstheme="minorHAnsi"/>
          <w:noProof/>
        </w:rPr>
      </w:pPr>
      <w:r>
        <w:rPr>
          <w:rFonts w:asciiTheme="minorHAnsi" w:hAnsiTheme="minorHAnsi"/>
          <w:noProof/>
        </w:rPr>
        <w:t xml:space="preserve">a) </w:t>
      </w:r>
      <w:r>
        <w:rPr>
          <w:noProof/>
        </w:rPr>
        <w:tab/>
      </w:r>
      <w:r>
        <w:rPr>
          <w:rFonts w:asciiTheme="minorHAnsi" w:hAnsiTheme="minorHAnsi"/>
          <w:noProof/>
        </w:rPr>
        <w:t xml:space="preserve">jebkura viela vai vielu salikums, kam uzrādītas īpašības cilvēku vai dzīvnieku slimību ārstēšanai vai profilaksei; vai </w:t>
      </w:r>
    </w:p>
    <w:p w:rsidR="003E022D" w:rsidRDefault="007D19D6">
      <w:pPr>
        <w:ind w:left="567" w:hanging="567"/>
        <w:rPr>
          <w:rFonts w:asciiTheme="minorHAnsi" w:hAnsiTheme="minorHAnsi" w:cstheme="minorHAnsi"/>
          <w:noProof/>
        </w:rPr>
      </w:pPr>
      <w:r>
        <w:rPr>
          <w:rFonts w:asciiTheme="minorHAnsi" w:hAnsiTheme="minorHAnsi"/>
          <w:noProof/>
        </w:rPr>
        <w:t xml:space="preserve">b) </w:t>
      </w:r>
      <w:r>
        <w:rPr>
          <w:noProof/>
        </w:rPr>
        <w:tab/>
      </w:r>
      <w:r>
        <w:rPr>
          <w:rFonts w:asciiTheme="minorHAnsi" w:hAnsiTheme="minorHAnsi"/>
          <w:noProof/>
        </w:rPr>
        <w:t xml:space="preserve">jebkura viela </w:t>
      </w:r>
      <w:r>
        <w:rPr>
          <w:rFonts w:asciiTheme="minorHAnsi" w:hAnsiTheme="minorHAnsi"/>
          <w:noProof/>
        </w:rPr>
        <w:t>vai vielu salikums, ko var izmantot vai ievadīt cilvēkiem vai dzīvniekiem vai nu ar mērķi atjaunot, uzlabot vai pārveidot fizioloģiskas funkcijas, izraisot farmakoloģisku, imunoloģisku vai metabolisku iedarbību, vai ar mērķi noteikt medicīnisku diagnozi.</w:t>
      </w:r>
    </w:p>
    <w:p w:rsidR="003E022D" w:rsidRDefault="007D19D6">
      <w:pPr>
        <w:pStyle w:val="Section"/>
        <w:rPr>
          <w:noProof/>
        </w:rPr>
      </w:pPr>
      <w:r>
        <w:rPr>
          <w:noProof/>
        </w:rPr>
        <w:t>5</w:t>
      </w:r>
      <w:r>
        <w:rPr>
          <w:noProof/>
        </w:rPr>
        <w:t>. iedaļa. Neizpaustas informācijas aizsardzība</w:t>
      </w:r>
    </w:p>
    <w:p w:rsidR="003E022D" w:rsidRDefault="007D19D6">
      <w:pPr>
        <w:pStyle w:val="Article"/>
        <w:rPr>
          <w:noProof/>
        </w:rPr>
      </w:pPr>
      <w:r>
        <w:rPr>
          <w:noProof/>
        </w:rPr>
        <w:t>IP.34. pants. Komercnoslēpuma aizsardzība</w:t>
      </w:r>
    </w:p>
    <w:p w:rsidR="003E022D" w:rsidRDefault="007D19D6">
      <w:pPr>
        <w:numPr>
          <w:ilvl w:val="0"/>
          <w:numId w:val="554"/>
        </w:numPr>
        <w:ind w:left="0" w:firstLine="0"/>
        <w:rPr>
          <w:rFonts w:asciiTheme="minorHAnsi" w:hAnsiTheme="minorHAnsi" w:cstheme="minorHAnsi"/>
          <w:noProof/>
        </w:rPr>
      </w:pPr>
      <w:r>
        <w:rPr>
          <w:rFonts w:asciiTheme="minorHAnsi" w:hAnsiTheme="minorHAnsi"/>
          <w:noProof/>
        </w:rPr>
        <w:t>Lai komercnoslēpuma turētājs varētu novērst komercnoslēpuma iegūšanu, izmantošanu vai izpaušanu, kad tas notiek veidā, kas ir pretrunā godīgai komercpraksei, un panākt</w:t>
      </w:r>
      <w:r>
        <w:rPr>
          <w:rFonts w:asciiTheme="minorHAnsi" w:hAnsiTheme="minorHAnsi"/>
          <w:noProof/>
        </w:rPr>
        <w:t xml:space="preserve"> savu tiesību aizsardzību, katra Puse nodrošina atbilstīgas civiltiesiskās procedūras un tiesiskās aizsardzības līdzekļus.  </w:t>
      </w:r>
    </w:p>
    <w:p w:rsidR="003E022D" w:rsidRDefault="007D19D6">
      <w:pPr>
        <w:numPr>
          <w:ilvl w:val="0"/>
          <w:numId w:val="554"/>
        </w:numPr>
        <w:ind w:left="0" w:firstLine="0"/>
        <w:rPr>
          <w:rFonts w:asciiTheme="minorHAnsi" w:hAnsiTheme="minorHAnsi" w:cstheme="minorHAnsi"/>
          <w:noProof/>
        </w:rPr>
      </w:pPr>
      <w:r>
        <w:rPr>
          <w:rFonts w:asciiTheme="minorHAnsi" w:hAnsiTheme="minorHAnsi"/>
          <w:noProof/>
        </w:rPr>
        <w:t>Šajā iedaļā:</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“komercnoslēpums” ir informācija, kas atbilst visām turpmāk minētajām prasībām: </w:t>
      </w:r>
    </w:p>
    <w:p w:rsidR="003E022D" w:rsidRDefault="007D19D6">
      <w:pPr>
        <w:ind w:left="1276"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tā ir slepena tādā nozīmē, ka t</w:t>
      </w:r>
      <w:r>
        <w:rPr>
          <w:rFonts w:asciiTheme="minorHAnsi" w:hAnsiTheme="minorHAnsi"/>
          <w:noProof/>
        </w:rPr>
        <w:t xml:space="preserve">ā nav kā veselums vai precīzs tās komponentu izkārtojums un salikums vispārzināma vai pieejama gatavā veidā personām aprindās, kuras parasti izmanto minētā veida informāciju; </w:t>
      </w:r>
    </w:p>
    <w:p w:rsidR="003E022D" w:rsidRDefault="007D19D6">
      <w:pPr>
        <w:ind w:left="1276" w:hanging="567"/>
        <w:rPr>
          <w:rFonts w:asciiTheme="minorHAnsi" w:hAnsiTheme="minorHAnsi" w:cstheme="minorHAnsi"/>
          <w:noProof/>
        </w:rPr>
      </w:pPr>
      <w:r>
        <w:rPr>
          <w:rFonts w:asciiTheme="minorHAnsi" w:hAnsiTheme="minorHAnsi"/>
          <w:noProof/>
        </w:rPr>
        <w:t>ii)</w:t>
      </w:r>
      <w:r>
        <w:rPr>
          <w:noProof/>
        </w:rPr>
        <w:tab/>
      </w:r>
      <w:r>
        <w:rPr>
          <w:rFonts w:asciiTheme="minorHAnsi" w:hAnsiTheme="minorHAnsi"/>
          <w:noProof/>
        </w:rPr>
        <w:t xml:space="preserve">tai ir komerciāla vērtība slepenības dēļ; un </w:t>
      </w:r>
    </w:p>
    <w:p w:rsidR="003E022D" w:rsidRDefault="007D19D6">
      <w:pPr>
        <w:ind w:left="1276" w:hanging="567"/>
        <w:rPr>
          <w:rFonts w:asciiTheme="minorHAnsi" w:hAnsiTheme="minorHAnsi" w:cstheme="minorHAnsi"/>
          <w:noProof/>
        </w:rPr>
      </w:pPr>
      <w:r>
        <w:rPr>
          <w:rFonts w:asciiTheme="minorHAnsi" w:hAnsiTheme="minorHAnsi"/>
          <w:noProof/>
        </w:rPr>
        <w:t>iii)</w:t>
      </w:r>
      <w:r>
        <w:rPr>
          <w:noProof/>
        </w:rPr>
        <w:tab/>
      </w:r>
      <w:r>
        <w:rPr>
          <w:rFonts w:asciiTheme="minorHAnsi" w:hAnsiTheme="minorHAnsi"/>
          <w:noProof/>
        </w:rPr>
        <w:t>tā attiecīgajos apstākļos</w:t>
      </w:r>
      <w:r>
        <w:rPr>
          <w:rFonts w:asciiTheme="minorHAnsi" w:hAnsiTheme="minorHAnsi"/>
          <w:noProof/>
        </w:rPr>
        <w:t xml:space="preserve"> ir bijusi pakļauta saprātīgiem slepenības glabāšanas pasākumiem, ko veic persona, kura likumīgi kontrolē informāciju; </w:t>
      </w:r>
    </w:p>
    <w:p w:rsidR="003E022D" w:rsidRDefault="007D19D6">
      <w:pPr>
        <w:jc w:val="left"/>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"komercnoslēpuma turētājs" ir jebkura fiziska vai juridiska persona, kas likumīgi kontrolē komercnoslēpumu. </w:t>
      </w:r>
    </w:p>
    <w:p w:rsidR="003E022D" w:rsidRDefault="007D19D6">
      <w:pPr>
        <w:numPr>
          <w:ilvl w:val="0"/>
          <w:numId w:val="554"/>
        </w:numPr>
        <w:ind w:left="0" w:firstLine="0"/>
        <w:rPr>
          <w:rFonts w:asciiTheme="minorHAnsi" w:hAnsiTheme="minorHAnsi" w:cstheme="minorHAnsi"/>
          <w:noProof/>
        </w:rPr>
      </w:pPr>
      <w:r>
        <w:rPr>
          <w:rFonts w:asciiTheme="minorHAnsi" w:hAnsiTheme="minorHAnsi"/>
          <w:noProof/>
        </w:rPr>
        <w:t xml:space="preserve">Šajā iedaļā vismaz šāda </w:t>
      </w:r>
      <w:r>
        <w:rPr>
          <w:rFonts w:asciiTheme="minorHAnsi" w:hAnsiTheme="minorHAnsi"/>
          <w:noProof/>
        </w:rPr>
        <w:t xml:space="preserve">veida rīcība ir uzskatāma par tādu, kas ir pretrunā godīgai komercpraksei: </w:t>
      </w:r>
    </w:p>
    <w:p w:rsidR="003E022D" w:rsidRDefault="007D19D6">
      <w:pPr>
        <w:ind w:left="567" w:hanging="567"/>
        <w:rPr>
          <w:rFonts w:asciiTheme="minorHAnsi" w:hAnsiTheme="minorHAnsi" w:cstheme="minorHAnsi"/>
          <w:noProof/>
          <w:u w:val="single"/>
        </w:rPr>
      </w:pPr>
      <w:r>
        <w:rPr>
          <w:rFonts w:asciiTheme="minorHAnsi" w:hAnsiTheme="minorHAnsi"/>
          <w:noProof/>
        </w:rPr>
        <w:t>a)</w:t>
      </w:r>
      <w:r>
        <w:rPr>
          <w:noProof/>
        </w:rPr>
        <w:tab/>
      </w:r>
      <w:r>
        <w:rPr>
          <w:rFonts w:asciiTheme="minorHAnsi" w:hAnsiTheme="minorHAnsi"/>
          <w:noProof/>
        </w:rPr>
        <w:t>komercnoslēpuma iegūšana bez komercnoslēpuma turētāja piekrišanas, ja tas iegūts, neatļauti piekļūstot dokumentiem, priekšmetiem, materiāliem, vielām vai elektroniskām datnēm, k</w:t>
      </w:r>
      <w:r>
        <w:rPr>
          <w:rFonts w:asciiTheme="minorHAnsi" w:hAnsiTheme="minorHAnsi"/>
          <w:noProof/>
        </w:rPr>
        <w:t>as ir komercnoslēpuma turētāja likumīgā kontrolē un satur komercnoslēpumu vai no kā šo komercnoslēpumu var izsecināt, tos piesavinoties vai tos kopējot;</w:t>
      </w:r>
    </w:p>
    <w:p w:rsidR="003E022D" w:rsidRDefault="007D19D6">
      <w:pPr>
        <w:ind w:left="567" w:hanging="567"/>
        <w:rPr>
          <w:rFonts w:asciiTheme="minorHAnsi" w:hAnsiTheme="minorHAnsi" w:cstheme="minorHAnsi"/>
          <w:noProof/>
          <w:u w:val="single"/>
        </w:rPr>
      </w:pPr>
      <w:r>
        <w:rPr>
          <w:rFonts w:asciiTheme="minorHAnsi" w:hAnsiTheme="minorHAnsi"/>
          <w:noProof/>
        </w:rPr>
        <w:t>b)</w:t>
      </w:r>
      <w:r>
        <w:rPr>
          <w:noProof/>
        </w:rPr>
        <w:tab/>
      </w:r>
      <w:r>
        <w:rPr>
          <w:rFonts w:asciiTheme="minorHAnsi" w:hAnsiTheme="minorHAnsi"/>
          <w:noProof/>
        </w:rPr>
        <w:t>komercnoslēpuma izmantošana vai izpaušana, ja to bez komercnoslēpuma turētāja piekrišanas izdarījusi</w:t>
      </w:r>
      <w:r>
        <w:rPr>
          <w:rFonts w:asciiTheme="minorHAnsi" w:hAnsiTheme="minorHAnsi"/>
          <w:noProof/>
        </w:rPr>
        <w:t xml:space="preserve"> persona, par kuru konstatēts, ka tā atbilst kādam no turpmāk minētajiem nosacījumiem: </w:t>
      </w:r>
    </w:p>
    <w:p w:rsidR="003E022D" w:rsidRDefault="007D19D6">
      <w:pPr>
        <w:ind w:left="1276"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 xml:space="preserve">tā ir ieguvusi komercnoslēpumu a) apakšpunktā minētajā veidā; </w:t>
      </w:r>
    </w:p>
    <w:p w:rsidR="003E022D" w:rsidRDefault="007D19D6">
      <w:pPr>
        <w:ind w:left="1276" w:hanging="567"/>
        <w:rPr>
          <w:rFonts w:asciiTheme="minorHAnsi" w:hAnsiTheme="minorHAnsi" w:cstheme="minorHAnsi"/>
          <w:noProof/>
        </w:rPr>
      </w:pPr>
      <w:r>
        <w:rPr>
          <w:rFonts w:asciiTheme="minorHAnsi" w:hAnsiTheme="minorHAnsi"/>
          <w:noProof/>
        </w:rPr>
        <w:t>ii)</w:t>
      </w:r>
      <w:r>
        <w:rPr>
          <w:noProof/>
        </w:rPr>
        <w:tab/>
      </w:r>
      <w:r>
        <w:rPr>
          <w:rFonts w:asciiTheme="minorHAnsi" w:hAnsiTheme="minorHAnsi"/>
          <w:noProof/>
        </w:rPr>
        <w:t xml:space="preserve">tā ir pārkāpusi konfidencialitātes līgumu vai citu pienākumu neizpaust komercnoslēpumu; vai </w:t>
      </w:r>
    </w:p>
    <w:p w:rsidR="003E022D" w:rsidRDefault="007D19D6">
      <w:pPr>
        <w:ind w:left="1276" w:hanging="567"/>
        <w:rPr>
          <w:rFonts w:asciiTheme="minorHAnsi" w:hAnsiTheme="minorHAnsi" w:cstheme="minorHAnsi"/>
          <w:noProof/>
        </w:rPr>
      </w:pPr>
      <w:r>
        <w:rPr>
          <w:rFonts w:asciiTheme="minorHAnsi" w:hAnsiTheme="minorHAnsi"/>
          <w:noProof/>
        </w:rPr>
        <w:t>iii)</w:t>
      </w:r>
      <w:r>
        <w:rPr>
          <w:noProof/>
        </w:rPr>
        <w:tab/>
      </w:r>
      <w:r>
        <w:rPr>
          <w:rFonts w:asciiTheme="minorHAnsi" w:hAnsiTheme="minorHAnsi"/>
          <w:noProof/>
        </w:rPr>
        <w:t xml:space="preserve">tā ir pārkāpusi līgumisku pienākumu vai citu pienākumu ierobežot komercnoslēpuma izmantošanu;  </w:t>
      </w:r>
    </w:p>
    <w:p w:rsidR="003E022D" w:rsidRDefault="007D19D6">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komercnoslēpuma iegūšana, izmantošana vai izpaušana gadījumos, kad persona šādas iegūšanas, izmantošanas vai izpaušanas laikā zinājusi vai attiecīgajos apstā</w:t>
      </w:r>
      <w:r>
        <w:rPr>
          <w:rFonts w:asciiTheme="minorHAnsi" w:hAnsiTheme="minorHAnsi"/>
          <w:noProof/>
        </w:rPr>
        <w:t xml:space="preserve">kļos tai būtu vajadzējis zināt, ka komercnoslēpums ir ticis tieši vai netieši iegūts no citas personas, kas komercnoslēpumu izmantojusi vai izpaudusi nelikumīgi b) apakšpunkta nozīmē. </w:t>
      </w:r>
    </w:p>
    <w:p w:rsidR="003E022D" w:rsidRDefault="007D19D6">
      <w:pPr>
        <w:numPr>
          <w:ilvl w:val="0"/>
          <w:numId w:val="554"/>
        </w:numPr>
        <w:ind w:left="0" w:firstLine="0"/>
        <w:rPr>
          <w:rFonts w:asciiTheme="minorHAnsi" w:hAnsiTheme="minorHAnsi" w:cstheme="minorHAnsi"/>
          <w:noProof/>
        </w:rPr>
      </w:pPr>
      <w:r>
        <w:rPr>
          <w:rFonts w:asciiTheme="minorHAnsi" w:hAnsiTheme="minorHAnsi"/>
          <w:noProof/>
        </w:rPr>
        <w:t>Nekas šajā iedaļā nav interpretējams tā, ka tas liktu kādai no Pusēm uz</w:t>
      </w:r>
      <w:r>
        <w:rPr>
          <w:rFonts w:asciiTheme="minorHAnsi" w:hAnsiTheme="minorHAnsi"/>
          <w:noProof/>
        </w:rPr>
        <w:t xml:space="preserve">skatīt turpmāk minēto rīcību par tādu, kas ir pretrunā godīgai komercpraksei: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neatkarīgs atklājums vai izveide;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tāda produkta reversā inženierija, kas ir darīts pieejams sabiedrībai vai kas likumīgi ir informācijas ieguvēja rīcībā, ja informācijas</w:t>
      </w:r>
      <w:r>
        <w:rPr>
          <w:rFonts w:asciiTheme="minorHAnsi" w:hAnsiTheme="minorHAnsi"/>
          <w:noProof/>
        </w:rPr>
        <w:t xml:space="preserve"> ieguvējs ir brīvs no jebkāda juridiski spēkā esoša pienākuma ierobežot komercnoslēpuma iegūšanu;  </w:t>
      </w:r>
    </w:p>
    <w:p w:rsidR="003E022D" w:rsidRDefault="007D19D6">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komercnoslēpuma iegūšana, izmantošana vai izpaušana saskaņā ar katras Puses tiesību aktos noteikto vai atļauto; </w:t>
      </w:r>
    </w:p>
    <w:p w:rsidR="003E022D" w:rsidRDefault="007D19D6">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darba ņēmēju vai to pārstāvju tiesību</w:t>
      </w:r>
      <w:r>
        <w:rPr>
          <w:rFonts w:asciiTheme="minorHAnsi" w:hAnsiTheme="minorHAnsi"/>
          <w:noProof/>
        </w:rPr>
        <w:t xml:space="preserve"> uz informāciju un apspriešanos izmantošana saskaņā ar minētās Puses normatīvajiem aktiem.  </w:t>
      </w:r>
    </w:p>
    <w:p w:rsidR="003E022D" w:rsidRDefault="007D19D6">
      <w:pPr>
        <w:numPr>
          <w:ilvl w:val="0"/>
          <w:numId w:val="554"/>
        </w:numPr>
        <w:ind w:left="0" w:firstLine="0"/>
        <w:rPr>
          <w:rFonts w:asciiTheme="minorHAnsi" w:hAnsiTheme="minorHAnsi" w:cstheme="minorHAnsi"/>
          <w:noProof/>
        </w:rPr>
      </w:pPr>
      <w:r>
        <w:rPr>
          <w:rFonts w:asciiTheme="minorHAnsi" w:hAnsiTheme="minorHAnsi"/>
          <w:noProof/>
        </w:rPr>
        <w:t xml:space="preserve">Nekas šajā iedaļā netiek saprasts kā tāds, kas ietekmē katras Puses aizsargātās vārda un informācijas brīvības – arī plašsaziņas līdzekļu brīvības un plurālisma – </w:t>
      </w:r>
      <w:r>
        <w:rPr>
          <w:rFonts w:asciiTheme="minorHAnsi" w:hAnsiTheme="minorHAnsi"/>
          <w:noProof/>
        </w:rPr>
        <w:t xml:space="preserve">īstenošanu, ierobežo darba ņēmēju mobilitāti vai ietekmē sociālo partneru patstāvību un tiesības slēgt koplīgumus saskaņā ar Pušu normatīvajiem aktiem.  </w:t>
      </w:r>
    </w:p>
    <w:p w:rsidR="003E022D" w:rsidRDefault="007D19D6">
      <w:pPr>
        <w:pStyle w:val="Article"/>
        <w:rPr>
          <w:rStyle w:val="ArticleChar"/>
          <w:noProof/>
        </w:rPr>
      </w:pPr>
      <w:r>
        <w:rPr>
          <w:rStyle w:val="ArticleChar"/>
          <w:noProof/>
        </w:rPr>
        <w:t>IP.35. pants. Tādu datu aizsardzība, kas iesniegti, lai saņemtu atļauju zāļu laišanai tirgū</w:t>
      </w:r>
    </w:p>
    <w:p w:rsidR="003E022D" w:rsidRDefault="007D19D6">
      <w:pPr>
        <w:numPr>
          <w:ilvl w:val="0"/>
          <w:numId w:val="535"/>
        </w:numPr>
        <w:ind w:left="0" w:firstLine="0"/>
        <w:rPr>
          <w:rFonts w:asciiTheme="minorHAnsi" w:hAnsiTheme="minorHAnsi" w:cstheme="minorHAnsi"/>
          <w:noProof/>
        </w:rPr>
      </w:pPr>
      <w:r>
        <w:rPr>
          <w:rFonts w:asciiTheme="minorHAnsi" w:hAnsiTheme="minorHAnsi"/>
          <w:noProof/>
        </w:rPr>
        <w:t>Katra Puse</w:t>
      </w:r>
      <w:r>
        <w:rPr>
          <w:rFonts w:asciiTheme="minorHAnsi" w:hAnsiTheme="minorHAnsi"/>
          <w:noProof/>
        </w:rPr>
        <w:t xml:space="preserve"> aizsargā konfidenciālu komercinformāciju, kas iesniegta, lai saņemtu atļauju laist tirgū zāles (“tirdzniecības atļauja”), pret izpaušanu trešām personām, izņemot gadījumus, kad tiek veikti pasākumi, kuru nolūks ir nodrošināt datu aizsardzību pret negodīgu</w:t>
      </w:r>
      <w:r>
        <w:rPr>
          <w:rFonts w:asciiTheme="minorHAnsi" w:hAnsiTheme="minorHAnsi"/>
          <w:noProof/>
        </w:rPr>
        <w:t xml:space="preserve"> komerciālu izmantošanu, vai kad izpaušana ir nepieciešama sevišķi svarīgās sabiedrības interesēs.</w:t>
      </w:r>
    </w:p>
    <w:p w:rsidR="003E022D" w:rsidRDefault="007D19D6">
      <w:pPr>
        <w:numPr>
          <w:ilvl w:val="0"/>
          <w:numId w:val="535"/>
        </w:numPr>
        <w:ind w:left="0" w:firstLine="0"/>
        <w:rPr>
          <w:rFonts w:asciiTheme="minorHAnsi" w:hAnsiTheme="minorHAnsi" w:cstheme="minorHAnsi"/>
          <w:noProof/>
        </w:rPr>
      </w:pPr>
      <w:r>
        <w:rPr>
          <w:rFonts w:asciiTheme="minorHAnsi" w:hAnsiTheme="minorHAnsi"/>
          <w:noProof/>
        </w:rPr>
        <w:t>Katra Puse nodrošina, ka ierobežotu laiku, ko nosaka tās iekšējie tiesību akti, un saskaņā ar nosacījumiem, kas izklāstīti tās iekšējos tiesību aktos, par ti</w:t>
      </w:r>
      <w:r>
        <w:rPr>
          <w:rFonts w:asciiTheme="minorHAnsi" w:hAnsiTheme="minorHAnsi"/>
          <w:noProof/>
        </w:rPr>
        <w:t>rdzniecības atļaujas piešķiršanu atbildīgā iestāde bez pirmās tirdzniecības atļaujas turētāja nepārprotamas piekrišanas neakceptē nevienu turpmāku tirdzniecības atļaujas pieteikumu, kura pamatā ir pirmsklīnisko testu vai klīniskās izpētes rezultāti, kas ša</w:t>
      </w:r>
      <w:r>
        <w:rPr>
          <w:rFonts w:asciiTheme="minorHAnsi" w:hAnsiTheme="minorHAnsi"/>
          <w:noProof/>
        </w:rPr>
        <w:t>i iestādei iesniegti pirmās tirdzniecības atļaujas pieteikumā, ja vien starptautiskajos nolīgumos, kuros abas Puses ir puses, nav noteikts citādi.</w:t>
      </w:r>
    </w:p>
    <w:p w:rsidR="003E022D" w:rsidRDefault="007D19D6">
      <w:pPr>
        <w:numPr>
          <w:ilvl w:val="0"/>
          <w:numId w:val="535"/>
        </w:numPr>
        <w:ind w:left="0" w:firstLine="0"/>
        <w:rPr>
          <w:rFonts w:asciiTheme="minorHAnsi" w:hAnsiTheme="minorHAnsi" w:cstheme="minorHAnsi"/>
          <w:noProof/>
        </w:rPr>
      </w:pPr>
      <w:r>
        <w:rPr>
          <w:rFonts w:asciiTheme="minorHAnsi" w:hAnsiTheme="minorHAnsi"/>
          <w:noProof/>
        </w:rPr>
        <w:t>Katra Puse nodrošina arī, ka ierobežotu laiku, ko nosaka tās tiesību akti, un saskaņā ar nosacījumiem, kas iz</w:t>
      </w:r>
      <w:r>
        <w:rPr>
          <w:rFonts w:asciiTheme="minorHAnsi" w:hAnsiTheme="minorHAnsi"/>
          <w:noProof/>
        </w:rPr>
        <w:t>klāstīti tās tiesību aktos, zāles, ko iestāde pēc tam atļāvusi, pamatojoties uz pirmsklīnisko testu un klīniskās izpētes rezultātiem, kas minēti 2. punktā, nelaiž tirgū bez pirmās tirdzniecības atļaujas turētāja nepārprotamas piekrišanas, ja vien starptaut</w:t>
      </w:r>
      <w:r>
        <w:rPr>
          <w:rFonts w:asciiTheme="minorHAnsi" w:hAnsiTheme="minorHAnsi"/>
          <w:noProof/>
        </w:rPr>
        <w:t>iskajos nolīgumos, kuros abas Puses ir puses, nav noteikts citādi.</w:t>
      </w:r>
    </w:p>
    <w:p w:rsidR="003E022D" w:rsidRDefault="007D19D6">
      <w:pPr>
        <w:numPr>
          <w:ilvl w:val="0"/>
          <w:numId w:val="535"/>
        </w:numPr>
        <w:ind w:left="0" w:firstLine="0"/>
        <w:rPr>
          <w:rFonts w:asciiTheme="minorHAnsi" w:hAnsiTheme="minorHAnsi" w:cstheme="minorHAnsi"/>
          <w:noProof/>
        </w:rPr>
      </w:pPr>
      <w:r>
        <w:rPr>
          <w:rFonts w:asciiTheme="minorHAnsi" w:hAnsiTheme="minorHAnsi"/>
          <w:noProof/>
        </w:rPr>
        <w:t>Šis pants neskar papildu aizsardzības periodus, ko katra Puse var paredzēt minētās Puses tiesību aktos.</w:t>
      </w:r>
    </w:p>
    <w:p w:rsidR="003E022D" w:rsidRDefault="007D19D6">
      <w:pPr>
        <w:pStyle w:val="Article"/>
        <w:rPr>
          <w:noProof/>
        </w:rPr>
      </w:pPr>
      <w:r>
        <w:rPr>
          <w:noProof/>
        </w:rPr>
        <w:t xml:space="preserve">IP.36. pants. </w:t>
      </w:r>
      <w:bookmarkStart w:id="169" w:name="_Hlk57288932"/>
      <w:r>
        <w:rPr>
          <w:noProof/>
        </w:rPr>
        <w:t>Augu aizsardzības līdzekļu vai biocīdu tirdzniecības atļaujas saņemšana</w:t>
      </w:r>
      <w:r>
        <w:rPr>
          <w:noProof/>
        </w:rPr>
        <w:t>i iesniegto datu aizsardzība</w:t>
      </w:r>
      <w:bookmarkEnd w:id="169"/>
    </w:p>
    <w:p w:rsidR="003E022D" w:rsidRDefault="007D19D6">
      <w:pPr>
        <w:numPr>
          <w:ilvl w:val="0"/>
          <w:numId w:val="555"/>
        </w:numPr>
        <w:ind w:left="0" w:firstLine="0"/>
        <w:rPr>
          <w:rFonts w:asciiTheme="minorHAnsi" w:hAnsiTheme="minorHAnsi" w:cstheme="minorHAnsi"/>
          <w:noProof/>
        </w:rPr>
      </w:pPr>
      <w:r>
        <w:rPr>
          <w:rFonts w:asciiTheme="minorHAnsi" w:hAnsiTheme="minorHAnsi"/>
          <w:noProof/>
        </w:rPr>
        <w:t>Katra Puse atzīst pagaidu tiesības, kas piemīt tāda izmēģinājuma vai pētījuma ziņojuma īpašniekam, kurš pirmo reizi iesniegts, lai saņemtu kādas aktīvās vielas, augu aizsardzības līdzekļa vai biocīda tirdzniecības atļauju un ku</w:t>
      </w:r>
      <w:r>
        <w:rPr>
          <w:rFonts w:asciiTheme="minorHAnsi" w:hAnsiTheme="minorHAnsi"/>
          <w:noProof/>
        </w:rPr>
        <w:t>rā aplūkots attiecīgā produkta drošums un iedarbīgums. Šajā laikposmā izmēģinājuma vai pētījuma ziņojumu neizmanto nevienas citas personas labā, kura vēlas saņemt kādas aktīvās vielas, augu aizsardzības līdzekļa vai biocīda tirdzniecības atļauju, ja vien n</w:t>
      </w:r>
      <w:r>
        <w:rPr>
          <w:rFonts w:asciiTheme="minorHAnsi" w:hAnsiTheme="minorHAnsi"/>
          <w:noProof/>
        </w:rPr>
        <w:t xml:space="preserve">av pierādīts, ka pirmais īpašnieks nepārprotami dod piekrišanu. Šajā pantā minētās tiesības sauc par datu aizsardzību. </w:t>
      </w:r>
    </w:p>
    <w:p w:rsidR="003E022D" w:rsidRDefault="007D19D6">
      <w:pPr>
        <w:numPr>
          <w:ilvl w:val="0"/>
          <w:numId w:val="555"/>
        </w:numPr>
        <w:ind w:left="0" w:firstLine="0"/>
        <w:rPr>
          <w:rFonts w:asciiTheme="minorHAnsi" w:hAnsiTheme="minorHAnsi" w:cstheme="minorHAnsi"/>
          <w:noProof/>
        </w:rPr>
      </w:pPr>
      <w:r>
        <w:rPr>
          <w:rFonts w:asciiTheme="minorHAnsi" w:hAnsiTheme="minorHAnsi"/>
          <w:noProof/>
        </w:rPr>
        <w:t>Izmēģinājuma vai pētījuma ziņojumam, kas iesniegts aktīvās vielas vai augu aizsardzības līdzekļa tirdzniecības atļaujas saņemšanai, jāat</w:t>
      </w:r>
      <w:r>
        <w:rPr>
          <w:rFonts w:asciiTheme="minorHAnsi" w:hAnsiTheme="minorHAnsi"/>
          <w:noProof/>
        </w:rPr>
        <w:t xml:space="preserve">bilst šādiem nosacījumiem: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tas vajadzīgs atļaujas piešķiršanai vai atļaujas grozīšanai, lai atļautu lietošanu citiem kultūraugiem; un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ir apstiprināta tā atbilstība labas laboratoriju prakses vai labas pētījumu prakses principiem. </w:t>
      </w:r>
    </w:p>
    <w:p w:rsidR="003E022D" w:rsidRDefault="007D19D6">
      <w:pPr>
        <w:numPr>
          <w:ilvl w:val="0"/>
          <w:numId w:val="555"/>
        </w:numPr>
        <w:ind w:left="0" w:firstLine="0"/>
        <w:rPr>
          <w:rFonts w:asciiTheme="minorHAnsi" w:hAnsiTheme="minorHAnsi" w:cstheme="minorHAnsi"/>
          <w:noProof/>
        </w:rPr>
      </w:pPr>
      <w:r>
        <w:rPr>
          <w:rFonts w:asciiTheme="minorHAnsi" w:hAnsiTheme="minorHAnsi"/>
          <w:noProof/>
        </w:rPr>
        <w:t>Datu aizsardzības</w:t>
      </w:r>
      <w:r>
        <w:rPr>
          <w:rFonts w:asciiTheme="minorHAnsi" w:hAnsiTheme="minorHAnsi"/>
          <w:noProof/>
        </w:rPr>
        <w:t xml:space="preserve"> termiņš ir vismaz 10 gadi no dienas, kad attiecīgā iestāde Puses teritorijā piešķīrusi pirmo atļauju.</w:t>
      </w:r>
    </w:p>
    <w:p w:rsidR="003E022D" w:rsidRDefault="007D19D6">
      <w:pPr>
        <w:numPr>
          <w:ilvl w:val="0"/>
          <w:numId w:val="555"/>
        </w:numPr>
        <w:ind w:left="0" w:firstLine="0"/>
        <w:rPr>
          <w:rFonts w:asciiTheme="minorHAnsi" w:hAnsiTheme="minorHAnsi" w:cstheme="minorHAnsi"/>
          <w:noProof/>
        </w:rPr>
      </w:pPr>
      <w:r>
        <w:rPr>
          <w:rFonts w:asciiTheme="minorHAnsi" w:hAnsiTheme="minorHAnsi"/>
          <w:noProof/>
        </w:rPr>
        <w:t>Katra Puse nodrošina, ka valsts iestādes, kas atbild par tirdzniecības atļaujas piešķiršanu, neizmanto 1. un 2. punktā minēto informāciju nākamā pieteiku</w:t>
      </w:r>
      <w:r>
        <w:rPr>
          <w:rFonts w:asciiTheme="minorHAnsi" w:hAnsiTheme="minorHAnsi"/>
          <w:noProof/>
        </w:rPr>
        <w:t xml:space="preserve">ma iesniedzēja labā attiecībā uz jebkuru secīgu tirdzniecības atļauju, neatkarīgi no tā, vai tā ir vai nav darīta pieejama sabiedrībai. </w:t>
      </w:r>
    </w:p>
    <w:p w:rsidR="003E022D" w:rsidRDefault="007D19D6">
      <w:pPr>
        <w:numPr>
          <w:ilvl w:val="0"/>
          <w:numId w:val="555"/>
        </w:numPr>
        <w:ind w:left="0" w:firstLine="0"/>
        <w:rPr>
          <w:rFonts w:asciiTheme="minorHAnsi" w:hAnsiTheme="minorHAnsi" w:cstheme="minorHAnsi"/>
          <w:noProof/>
        </w:rPr>
      </w:pPr>
      <w:r>
        <w:rPr>
          <w:rFonts w:asciiTheme="minorHAnsi" w:hAnsiTheme="minorHAnsi"/>
          <w:noProof/>
        </w:rPr>
        <w:t xml:space="preserve">Katra Puse paredz noteikumus, kuru nolūks ir izvairīties no divkāršiem izmēģinājumiem ar mugurkaulniekiem.  </w:t>
      </w:r>
    </w:p>
    <w:p w:rsidR="003E022D" w:rsidRDefault="007D19D6">
      <w:pPr>
        <w:jc w:val="center"/>
        <w:rPr>
          <w:rFonts w:asciiTheme="minorHAnsi" w:hAnsiTheme="minorHAnsi" w:cstheme="minorHAnsi"/>
          <w:i/>
          <w:noProof/>
          <w:lang w:val="fr-BE"/>
        </w:rPr>
      </w:pPr>
      <w:r>
        <w:rPr>
          <w:rFonts w:asciiTheme="minorHAnsi" w:hAnsiTheme="minorHAnsi"/>
          <w:i/>
          <w:noProof/>
          <w:lang w:val="fr-BE"/>
        </w:rPr>
        <w:t>6. iedaļa.</w:t>
      </w:r>
      <w:r>
        <w:rPr>
          <w:rFonts w:asciiTheme="minorHAnsi" w:hAnsiTheme="minorHAnsi"/>
          <w:i/>
          <w:noProof/>
          <w:lang w:val="fr-BE"/>
        </w:rPr>
        <w:t xml:space="preserve"> Augu šķirnes</w:t>
      </w:r>
    </w:p>
    <w:p w:rsidR="003E022D" w:rsidRDefault="007D19D6">
      <w:pPr>
        <w:pStyle w:val="Article"/>
        <w:rPr>
          <w:noProof/>
          <w:lang w:val="fr-BE"/>
        </w:rPr>
      </w:pPr>
      <w:r>
        <w:rPr>
          <w:noProof/>
          <w:lang w:val="fr-BE"/>
        </w:rPr>
        <w:t>IP.37. pants. Augu šķirņu aizsardzība</w:t>
      </w:r>
    </w:p>
    <w:p w:rsidR="003E022D" w:rsidRDefault="007D19D6">
      <w:pPr>
        <w:rPr>
          <w:rFonts w:asciiTheme="minorHAnsi" w:hAnsiTheme="minorHAnsi" w:cstheme="minorHAnsi"/>
          <w:noProof/>
          <w:lang w:val="fr-BE"/>
        </w:rPr>
      </w:pPr>
      <w:r>
        <w:rPr>
          <w:rFonts w:asciiTheme="minorHAnsi" w:hAnsiTheme="minorHAnsi"/>
          <w:noProof/>
          <w:lang w:val="fr-BE"/>
        </w:rPr>
        <w:t>Katra Puse aizsargā augu šķirnes saskaņā ar Starptautisko jaunu augu šķirņu aizsardzības konvenciju (</w:t>
      </w:r>
      <w:r>
        <w:rPr>
          <w:rFonts w:asciiTheme="minorHAnsi" w:hAnsiTheme="minorHAnsi"/>
          <w:i/>
          <w:noProof/>
          <w:lang w:val="fr-BE"/>
        </w:rPr>
        <w:t>UPOV</w:t>
      </w:r>
      <w:r>
        <w:rPr>
          <w:rFonts w:asciiTheme="minorHAnsi" w:hAnsiTheme="minorHAnsi"/>
          <w:noProof/>
          <w:lang w:val="fr-BE"/>
        </w:rPr>
        <w:t xml:space="preserve">), kas pēdējo reizi pārskatīta Ženēvā 1991. gada 19. martā. Puses sadarbojas, lai veicinātu šīs tiesības un nodrošinātu to izpildi.  </w:t>
      </w:r>
    </w:p>
    <w:p w:rsidR="003E022D" w:rsidRDefault="007D19D6">
      <w:pPr>
        <w:pStyle w:val="Chapter"/>
        <w:rPr>
          <w:noProof/>
          <w:lang w:val="fr-BE"/>
        </w:rPr>
      </w:pPr>
      <w:r>
        <w:rPr>
          <w:noProof/>
          <w:lang w:val="fr-BE"/>
        </w:rPr>
        <w:t>3. nodaļa. Intelektuālā īpašuma tiesību izpilde</w:t>
      </w:r>
    </w:p>
    <w:p w:rsidR="003E022D" w:rsidRDefault="007D19D6">
      <w:pPr>
        <w:pStyle w:val="Section"/>
        <w:rPr>
          <w:noProof/>
          <w:lang w:val="fr-BE"/>
        </w:rPr>
      </w:pPr>
      <w:r>
        <w:rPr>
          <w:noProof/>
          <w:lang w:val="fr-BE"/>
        </w:rPr>
        <w:t>1. iedaļa. Vispārīgi noteikumi</w:t>
      </w:r>
    </w:p>
    <w:p w:rsidR="003E022D" w:rsidRDefault="007D19D6">
      <w:pPr>
        <w:pStyle w:val="Article"/>
        <w:rPr>
          <w:noProof/>
          <w:lang w:val="fr-BE"/>
        </w:rPr>
      </w:pPr>
      <w:r>
        <w:rPr>
          <w:noProof/>
          <w:lang w:val="fr-BE"/>
        </w:rPr>
        <w:t>IP.38. pants. Vispārēji pienākumi</w:t>
      </w:r>
    </w:p>
    <w:p w:rsidR="003E022D" w:rsidRDefault="007D19D6">
      <w:pPr>
        <w:numPr>
          <w:ilvl w:val="0"/>
          <w:numId w:val="556"/>
        </w:numPr>
        <w:ind w:left="0" w:firstLine="0"/>
        <w:rPr>
          <w:rFonts w:asciiTheme="minorHAnsi" w:hAnsiTheme="minorHAnsi" w:cstheme="minorHAnsi"/>
          <w:noProof/>
          <w:lang w:val="fr-BE"/>
        </w:rPr>
      </w:pPr>
      <w:r>
        <w:rPr>
          <w:rFonts w:asciiTheme="minorHAnsi" w:hAnsiTheme="minorHAnsi"/>
          <w:noProof/>
          <w:lang w:val="fr-BE"/>
        </w:rPr>
        <w:t>Katra Pus</w:t>
      </w:r>
      <w:r>
        <w:rPr>
          <w:rFonts w:asciiTheme="minorHAnsi" w:hAnsiTheme="minorHAnsi"/>
          <w:noProof/>
          <w:lang w:val="fr-BE"/>
        </w:rPr>
        <w:t xml:space="preserve">e saskaņā ar saviem attiecīgajiem tiesību aktiem nodrošina pasākumus, procedūras un tiesiskās aizsardzības līdzekļus, kuri vajadzīgi, lai panāktu intelektuālā īpašuma tiesību piemērošanu.  </w:t>
      </w:r>
    </w:p>
    <w:p w:rsidR="003E022D" w:rsidRDefault="007D19D6">
      <w:pPr>
        <w:rPr>
          <w:rFonts w:asciiTheme="minorHAnsi" w:hAnsiTheme="minorHAnsi" w:cstheme="minorHAnsi"/>
          <w:noProof/>
          <w:lang w:val="fr-BE"/>
        </w:rPr>
      </w:pPr>
      <w:r>
        <w:rPr>
          <w:rFonts w:asciiTheme="minorHAnsi" w:hAnsiTheme="minorHAnsi"/>
          <w:noProof/>
          <w:lang w:val="fr-BE"/>
        </w:rPr>
        <w:t>Šīs nodaļas 1., 2. un 4. iedaļā termins “intelektuālā īpašuma ties</w:t>
      </w:r>
      <w:r>
        <w:rPr>
          <w:rFonts w:asciiTheme="minorHAnsi" w:hAnsiTheme="minorHAnsi"/>
          <w:noProof/>
          <w:lang w:val="fr-BE"/>
        </w:rPr>
        <w:t>ības” neietver tiesības, uz kurām attiecas 2. nodaļas 5. iedaļa [Neizpaustas informācijas aizsardzība].</w:t>
      </w:r>
    </w:p>
    <w:p w:rsidR="003E022D" w:rsidRDefault="007D19D6">
      <w:pPr>
        <w:numPr>
          <w:ilvl w:val="0"/>
          <w:numId w:val="556"/>
        </w:numPr>
        <w:ind w:left="0" w:firstLine="0"/>
        <w:rPr>
          <w:rFonts w:asciiTheme="minorHAnsi" w:hAnsiTheme="minorHAnsi" w:cstheme="minorHAnsi"/>
          <w:noProof/>
          <w:lang w:val="fr-BE"/>
        </w:rPr>
      </w:pPr>
      <w:r>
        <w:rPr>
          <w:rFonts w:asciiTheme="minorHAnsi" w:hAnsiTheme="minorHAnsi"/>
          <w:noProof/>
          <w:lang w:val="fr-BE"/>
        </w:rPr>
        <w:t xml:space="preserve">Šā panta 1. punktā minētie pasākumi, procedūras un aizsardzības līdzekļi: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 xml:space="preserve">ir taisnīgi un vienlīdzīgi;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nav nevajadzīgi sarežģīti vai dārgi un nei</w:t>
      </w:r>
      <w:r>
        <w:rPr>
          <w:rFonts w:asciiTheme="minorHAnsi" w:hAnsiTheme="minorHAnsi"/>
          <w:noProof/>
          <w:lang w:val="fr-BE"/>
        </w:rPr>
        <w:t xml:space="preserve">etver nesamērīgus termiņus un nepamatotus kavējumus;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c)</w:t>
      </w:r>
      <w:r>
        <w:rPr>
          <w:noProof/>
          <w:lang w:val="fr-BE"/>
        </w:rPr>
        <w:tab/>
      </w:r>
      <w:r>
        <w:rPr>
          <w:rFonts w:asciiTheme="minorHAnsi" w:hAnsiTheme="minorHAnsi"/>
          <w:noProof/>
          <w:lang w:val="fr-BE"/>
        </w:rPr>
        <w:t xml:space="preserve">ir iedarbīgi, samērīgi un preventīvi;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d)</w:t>
      </w:r>
      <w:r>
        <w:rPr>
          <w:noProof/>
          <w:lang w:val="fr-BE"/>
        </w:rPr>
        <w:tab/>
      </w:r>
      <w:r>
        <w:rPr>
          <w:rFonts w:asciiTheme="minorHAnsi" w:hAnsiTheme="minorHAnsi"/>
          <w:noProof/>
          <w:lang w:val="fr-BE"/>
        </w:rPr>
        <w:t xml:space="preserve">tiek piemēroti tā, lai izvairītos no šķēršļu radīšanas likumīgai tirdzniecībai un nodrošinātu aizsardzības līdzekļus pret to ļaunprātīgu izmantošanu. </w:t>
      </w:r>
    </w:p>
    <w:p w:rsidR="003E022D" w:rsidRDefault="007D19D6">
      <w:pPr>
        <w:jc w:val="center"/>
        <w:rPr>
          <w:rFonts w:asciiTheme="minorHAnsi" w:hAnsiTheme="minorHAnsi" w:cstheme="minorHAnsi"/>
          <w:noProof/>
          <w:lang w:val="fr-BE"/>
        </w:rPr>
      </w:pPr>
      <w:r>
        <w:rPr>
          <w:rFonts w:asciiTheme="minorHAnsi" w:hAnsiTheme="minorHAnsi"/>
          <w:noProof/>
          <w:lang w:val="fr-BE"/>
        </w:rPr>
        <w:t>IP.39.</w:t>
      </w:r>
      <w:r>
        <w:rPr>
          <w:rFonts w:asciiTheme="minorHAnsi" w:hAnsiTheme="minorHAnsi"/>
          <w:noProof/>
          <w:lang w:val="fr-BE"/>
        </w:rPr>
        <w:t> pants. Personas, kas ir tiesīgas prasīt minēto pasākumu, procedūru un aizsardzības līdzekļu piemērošanu</w:t>
      </w:r>
    </w:p>
    <w:p w:rsidR="003E022D" w:rsidRDefault="007D19D6">
      <w:pPr>
        <w:rPr>
          <w:rFonts w:asciiTheme="minorHAnsi" w:hAnsiTheme="minorHAnsi" w:cstheme="minorHAnsi"/>
          <w:noProof/>
          <w:lang w:val="fr-BE"/>
        </w:rPr>
      </w:pPr>
      <w:r>
        <w:rPr>
          <w:rFonts w:asciiTheme="minorHAnsi" w:hAnsiTheme="minorHAnsi"/>
          <w:noProof/>
          <w:lang w:val="fr-BE"/>
        </w:rPr>
        <w:t xml:space="preserve">Katra Puse par personām, kas ir tiesīgas prasīt šīs nodaļas 2. un 4. iedaļā minēto pasākumu, procedūru un aizsardzības līdzekļu piemērošanu, atzīst: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 xml:space="preserve">intelektuālā īpašuma tiesību subjektus saskaņā ar Puses tiesību aktiem;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 xml:space="preserve">visas citas personas, kas ir pilnvarotas izmantot minētās tiesības, jo īpaši licenciātus, ciktāl to atļauj Puses tiesību akti un saskaņā ar tiem; un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c)</w:t>
      </w:r>
      <w:r>
        <w:rPr>
          <w:noProof/>
          <w:lang w:val="fr-BE"/>
        </w:rPr>
        <w:tab/>
      </w:r>
      <w:r>
        <w:rPr>
          <w:rFonts w:asciiTheme="minorHAnsi" w:hAnsiTheme="minorHAnsi"/>
          <w:noProof/>
          <w:lang w:val="fr-BE"/>
        </w:rPr>
        <w:t>federācijas un apvienība</w:t>
      </w:r>
      <w:r>
        <w:rPr>
          <w:rFonts w:asciiTheme="minorHAnsi" w:hAnsiTheme="minorHAnsi"/>
          <w:noProof/>
          <w:lang w:val="fr-BE"/>
        </w:rPr>
        <w:t>s</w:t>
      </w:r>
      <w:r>
        <w:rPr>
          <w:rStyle w:val="FootnoteReference"/>
          <w:rFonts w:cstheme="minorHAnsi"/>
          <w:noProof/>
        </w:rPr>
        <w:footnoteReference w:id="39"/>
      </w:r>
      <w:r>
        <w:rPr>
          <w:noProof/>
          <w:lang w:val="fr-BE"/>
        </w:rPr>
        <w:t xml:space="preserve">, </w:t>
      </w:r>
      <w:r>
        <w:rPr>
          <w:rFonts w:asciiTheme="minorHAnsi" w:hAnsiTheme="minorHAnsi"/>
          <w:noProof/>
          <w:lang w:val="fr-BE"/>
        </w:rPr>
        <w:t>ciktāl to atļauj Puses tiesību akti un saskaņā ar tiem.</w:t>
      </w:r>
    </w:p>
    <w:p w:rsidR="003E022D" w:rsidRDefault="007D19D6">
      <w:pPr>
        <w:pStyle w:val="Section"/>
        <w:rPr>
          <w:noProof/>
          <w:lang w:val="fr-BE"/>
        </w:rPr>
      </w:pPr>
      <w:r>
        <w:rPr>
          <w:noProof/>
          <w:lang w:val="fr-BE"/>
        </w:rPr>
        <w:t>2. iedaļa. Civiltiesiskā un administratīvā piemērošana</w:t>
      </w:r>
    </w:p>
    <w:p w:rsidR="003E022D" w:rsidRDefault="007D19D6">
      <w:pPr>
        <w:pStyle w:val="Article"/>
        <w:rPr>
          <w:noProof/>
          <w:lang w:val="fr-BE"/>
        </w:rPr>
      </w:pPr>
      <w:r>
        <w:rPr>
          <w:noProof/>
          <w:lang w:val="fr-BE"/>
        </w:rPr>
        <w:t>IP.40. pants. Pasākumi pierādījumu saglabāšanai</w:t>
      </w:r>
    </w:p>
    <w:p w:rsidR="003E022D" w:rsidRDefault="007D19D6">
      <w:pPr>
        <w:numPr>
          <w:ilvl w:val="0"/>
          <w:numId w:val="557"/>
        </w:numPr>
        <w:ind w:left="0" w:firstLine="0"/>
        <w:rPr>
          <w:rFonts w:asciiTheme="minorHAnsi" w:hAnsiTheme="minorHAnsi" w:cstheme="minorHAnsi"/>
          <w:noProof/>
          <w:lang w:val="fr-BE"/>
        </w:rPr>
      </w:pPr>
      <w:r>
        <w:rPr>
          <w:rFonts w:asciiTheme="minorHAnsi" w:hAnsiTheme="minorHAnsi"/>
          <w:noProof/>
          <w:lang w:val="fr-BE"/>
        </w:rPr>
        <w:t>Katra Puse nodrošina, ka pat pirms tiesvedības uzsākšanas kādā lietā kompetentās tiesu iestād</w:t>
      </w:r>
      <w:r>
        <w:rPr>
          <w:rFonts w:asciiTheme="minorHAnsi" w:hAnsiTheme="minorHAnsi"/>
          <w:noProof/>
          <w:lang w:val="fr-BE"/>
        </w:rPr>
        <w:t>es, saņemot iesniegumu no puses, kas ir sniegusi tai pieejamus pierādījumus, lai pamatotu savu apgalvojumu, kas tās intelektuālā īpašuma tiesības ir pārkāptas vai drīzumā tiks pārkāptas, var noteikt ātrus un iedarbīgus pagaidu pasākumus, kuru mērķis ir sag</w:t>
      </w:r>
      <w:r>
        <w:rPr>
          <w:rFonts w:asciiTheme="minorHAnsi" w:hAnsiTheme="minorHAnsi"/>
          <w:noProof/>
          <w:lang w:val="fr-BE"/>
        </w:rPr>
        <w:t>labāt attiecīgos iespējamā pārkāpuma pierādījumus, ievērojot attiecīgos aizsardzības pasākumus un konfidenciālas informācijas aizsardzības prasības.</w:t>
      </w:r>
    </w:p>
    <w:p w:rsidR="003E022D" w:rsidRDefault="007D19D6">
      <w:pPr>
        <w:numPr>
          <w:ilvl w:val="0"/>
          <w:numId w:val="557"/>
        </w:numPr>
        <w:ind w:left="0" w:firstLine="0"/>
        <w:rPr>
          <w:rFonts w:asciiTheme="minorHAnsi" w:hAnsiTheme="minorHAnsi" w:cstheme="minorHAnsi"/>
          <w:noProof/>
          <w:lang w:val="fr-BE"/>
        </w:rPr>
      </w:pPr>
      <w:r>
        <w:rPr>
          <w:rFonts w:asciiTheme="minorHAnsi" w:hAnsiTheme="minorHAnsi"/>
          <w:noProof/>
          <w:lang w:val="fr-BE"/>
        </w:rPr>
        <w:t>Šādi pasākumi var ietvert iespējamo pārkāpuma preču un attiecīgā gadījumā to materiālu un darbarīku, ko izm</w:t>
      </w:r>
      <w:r>
        <w:rPr>
          <w:rFonts w:asciiTheme="minorHAnsi" w:hAnsiTheme="minorHAnsi"/>
          <w:noProof/>
          <w:lang w:val="fr-BE"/>
        </w:rPr>
        <w:t xml:space="preserve">anto šo preču ražošanai un / vai izplatīšanai, kā arī ar minētajām precēm saistīto dokumentu sīku aprakstīšanu, ņemot vai neņemot to paraugus, vai arestu. </w:t>
      </w:r>
    </w:p>
    <w:p w:rsidR="003E022D" w:rsidRDefault="007D19D6">
      <w:pPr>
        <w:pStyle w:val="Article"/>
        <w:rPr>
          <w:noProof/>
        </w:rPr>
      </w:pPr>
      <w:r>
        <w:rPr>
          <w:noProof/>
        </w:rPr>
        <w:t>IP.41. pants. Pierādījumi</w:t>
      </w:r>
    </w:p>
    <w:p w:rsidR="003E022D" w:rsidRDefault="007D19D6">
      <w:pPr>
        <w:numPr>
          <w:ilvl w:val="0"/>
          <w:numId w:val="558"/>
        </w:numPr>
        <w:ind w:left="0" w:firstLine="0"/>
        <w:rPr>
          <w:rFonts w:asciiTheme="minorHAnsi" w:hAnsiTheme="minorHAnsi" w:cstheme="minorHAnsi"/>
          <w:noProof/>
        </w:rPr>
      </w:pPr>
      <w:r>
        <w:rPr>
          <w:rFonts w:asciiTheme="minorHAnsi" w:hAnsiTheme="minorHAnsi"/>
          <w:noProof/>
        </w:rPr>
        <w:t>Katra Puse veic pasākumus, kuri vajadzīgi, lai kompetentās tiesu iestādes, saņemot iesniegumu no puses, kas ir sniegusi pieejamus pierādījumus savas prasības pamatošanai un, pamatojot savu prasību, ir norādījusi uz pierādījumiem, kas ir pretējās puses kont</w:t>
      </w:r>
      <w:r>
        <w:rPr>
          <w:rFonts w:asciiTheme="minorHAnsi" w:hAnsiTheme="minorHAnsi"/>
          <w:noProof/>
        </w:rPr>
        <w:t xml:space="preserve">rolē, varētu, ievērojot konfidenciālas informācijas aizsardzību, pieprasīt, lai pretējā puse uzrāda šos pierādījumus.  </w:t>
      </w:r>
    </w:p>
    <w:p w:rsidR="003E022D" w:rsidRDefault="007D19D6">
      <w:pPr>
        <w:numPr>
          <w:ilvl w:val="0"/>
          <w:numId w:val="558"/>
        </w:numPr>
        <w:ind w:left="0" w:firstLine="0"/>
        <w:rPr>
          <w:rFonts w:asciiTheme="minorHAnsi" w:hAnsiTheme="minorHAnsi" w:cstheme="minorHAnsi"/>
          <w:noProof/>
        </w:rPr>
      </w:pPr>
      <w:r>
        <w:rPr>
          <w:rFonts w:asciiTheme="minorHAnsi" w:hAnsiTheme="minorHAnsi"/>
          <w:noProof/>
        </w:rPr>
        <w:t>Katra Puse veic arī pasākumus, kuri vajadzīgi, lai kompetentās tiesu iestādes attiecīgā gadījumā, kad intelektuālā īpašuma tiesību pārkā</w:t>
      </w:r>
      <w:r>
        <w:rPr>
          <w:rFonts w:asciiTheme="minorHAnsi" w:hAnsiTheme="minorHAnsi"/>
          <w:noProof/>
        </w:rPr>
        <w:t xml:space="preserve">pumi izdarīti komerciālā mērogā, saskaņā ar tādiem pašiem nosacījumiem kā 1. punktā varētu izdot rīkojumu par pretējās puses kontrolē esošu bankas, finanšu vai tirdzniecības dokumentu paziņošanu, ievērojot konfidenciālas informācijas aizsardzību. </w:t>
      </w:r>
    </w:p>
    <w:p w:rsidR="003E022D" w:rsidRDefault="007D19D6">
      <w:pPr>
        <w:pStyle w:val="Article"/>
        <w:rPr>
          <w:noProof/>
        </w:rPr>
      </w:pPr>
      <w:r>
        <w:rPr>
          <w:noProof/>
        </w:rPr>
        <w:t>IP.42. pants. Tiesības uz informāciju</w:t>
      </w:r>
    </w:p>
    <w:p w:rsidR="003E022D" w:rsidRDefault="007D19D6">
      <w:pPr>
        <w:numPr>
          <w:ilvl w:val="0"/>
          <w:numId w:val="559"/>
        </w:numPr>
        <w:ind w:left="0" w:firstLine="0"/>
        <w:rPr>
          <w:rFonts w:asciiTheme="minorHAnsi" w:hAnsiTheme="minorHAnsi" w:cstheme="minorHAnsi"/>
          <w:noProof/>
        </w:rPr>
      </w:pPr>
      <w:r>
        <w:rPr>
          <w:rFonts w:asciiTheme="minorHAnsi" w:hAnsiTheme="minorHAnsi"/>
          <w:noProof/>
        </w:rPr>
        <w:t>Katra Puse nodrošina, ka kompetentās tiesu iestādes civilajā tiesvedībā par intelektuālā īpašuma tiesību pārkāpumu, atbildot uz pamatotu un samērīgu prasītāja pieprasījumu, var dot rīkojumu pārkāpējam vai jebkurai cita</w:t>
      </w:r>
      <w:r>
        <w:rPr>
          <w:rFonts w:asciiTheme="minorHAnsi" w:hAnsiTheme="minorHAnsi"/>
          <w:noProof/>
        </w:rPr>
        <w:t xml:space="preserve">i personai sniegt informāciju par to preču vai pakalpojumu izcelsmi un izplatīšanas tīkliem, ar kurām tiek pārkāptas intelektuālā īpašuma tiesības. </w:t>
      </w:r>
    </w:p>
    <w:p w:rsidR="003E022D" w:rsidRDefault="007D19D6">
      <w:pPr>
        <w:numPr>
          <w:ilvl w:val="0"/>
          <w:numId w:val="559"/>
        </w:numPr>
        <w:ind w:left="0" w:firstLine="0"/>
        <w:rPr>
          <w:rFonts w:asciiTheme="minorHAnsi" w:hAnsiTheme="minorHAnsi" w:cstheme="minorHAnsi"/>
          <w:noProof/>
          <w:lang w:val="fr-BE"/>
        </w:rPr>
      </w:pPr>
      <w:r>
        <w:rPr>
          <w:rFonts w:asciiTheme="minorHAnsi" w:hAnsiTheme="minorHAnsi"/>
          <w:noProof/>
          <w:lang w:val="fr-BE"/>
        </w:rPr>
        <w:t xml:space="preserve">1. punktā “jebkura cita persona” ir persona: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par kuru konstatēts, ka tās rīcībā ir pārkāpuma preces kom</w:t>
      </w:r>
      <w:r>
        <w:rPr>
          <w:rFonts w:asciiTheme="minorHAnsi" w:hAnsiTheme="minorHAnsi"/>
          <w:noProof/>
          <w:lang w:val="fr-BE"/>
        </w:rPr>
        <w:t xml:space="preserve">erciālai darbībai raksturīgā daudzumā;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 xml:space="preserve">par kuru ir konstatēts, ka tā izmanto pārkāpuma pakalpojumus komercdarbībai raksturīgā daudzumā;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c)</w:t>
      </w:r>
      <w:r>
        <w:rPr>
          <w:noProof/>
          <w:lang w:val="fr-BE"/>
        </w:rPr>
        <w:tab/>
      </w:r>
      <w:r>
        <w:rPr>
          <w:rFonts w:asciiTheme="minorHAnsi" w:hAnsiTheme="minorHAnsi"/>
          <w:noProof/>
          <w:lang w:val="fr-BE"/>
        </w:rPr>
        <w:t>par kuru ir konstatēts, ka tā komercdarbībai raksturīgā daudzumā sniedz pakalpojumus, ko izmanto pārkāpuma darbī</w:t>
      </w:r>
      <w:r>
        <w:rPr>
          <w:rFonts w:asciiTheme="minorHAnsi" w:hAnsiTheme="minorHAnsi"/>
          <w:noProof/>
          <w:lang w:val="fr-BE"/>
        </w:rPr>
        <w:t xml:space="preserve">bās; vai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d)</w:t>
      </w:r>
      <w:r>
        <w:rPr>
          <w:noProof/>
          <w:lang w:val="fr-BE"/>
        </w:rPr>
        <w:tab/>
      </w:r>
      <w:r>
        <w:rPr>
          <w:rFonts w:asciiTheme="minorHAnsi" w:hAnsiTheme="minorHAnsi"/>
          <w:noProof/>
          <w:lang w:val="fr-BE"/>
        </w:rPr>
        <w:t xml:space="preserve">kuru a), b) vai c) apakšpunktā minētā persona ir norādījusi kā personu, kas iesaistīta attiecīgo preču izgatavošanā, ražošanā vai izplatīšanā vai attiecīgo pakalpojumu sniegšanā. </w:t>
      </w:r>
    </w:p>
    <w:p w:rsidR="003E022D" w:rsidRDefault="007D19D6">
      <w:pPr>
        <w:numPr>
          <w:ilvl w:val="0"/>
          <w:numId w:val="559"/>
        </w:numPr>
        <w:ind w:left="0" w:firstLine="0"/>
        <w:rPr>
          <w:rFonts w:asciiTheme="minorHAnsi" w:hAnsiTheme="minorHAnsi" w:cstheme="minorHAnsi"/>
          <w:noProof/>
          <w:lang w:val="fr-BE"/>
        </w:rPr>
      </w:pPr>
      <w:r>
        <w:rPr>
          <w:rFonts w:asciiTheme="minorHAnsi" w:hAnsiTheme="minorHAnsi"/>
          <w:noProof/>
          <w:lang w:val="fr-BE"/>
        </w:rPr>
        <w:t xml:space="preserve">Šā panta 1. punktā minētā informācija attiecīgi ietver: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att</w:t>
      </w:r>
      <w:r>
        <w:rPr>
          <w:rFonts w:asciiTheme="minorHAnsi" w:hAnsiTheme="minorHAnsi"/>
          <w:noProof/>
          <w:lang w:val="fr-BE"/>
        </w:rPr>
        <w:t>iecīgo preču vai pakalpojumu izgatavotāju, ražotāju, izplatītāju, piegādātāju un citu iepriekšējo turētāju vārdus vai nosaukumus un adreses, kā arī paredzēto vairumtirgotāju un mazumtirgotāju vārdus vai nosaukumus un adreses;</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informāciju par izgatavotaj</w:t>
      </w:r>
      <w:r>
        <w:rPr>
          <w:rFonts w:asciiTheme="minorHAnsi" w:hAnsiTheme="minorHAnsi"/>
          <w:noProof/>
          <w:lang w:val="fr-BE"/>
        </w:rPr>
        <w:t xml:space="preserve">iem, saražotajiem, piegādātajiem, saņemtajiem vai pasūtītajiem daudzumiem, kā arī cenu, kas maksāta par attiecīgajām precēm vai pakalpojumiem. </w:t>
      </w:r>
    </w:p>
    <w:p w:rsidR="003E022D" w:rsidRDefault="007D19D6">
      <w:pPr>
        <w:numPr>
          <w:ilvl w:val="0"/>
          <w:numId w:val="559"/>
        </w:numPr>
        <w:ind w:left="0" w:firstLine="0"/>
        <w:rPr>
          <w:rFonts w:asciiTheme="minorHAnsi" w:hAnsiTheme="minorHAnsi" w:cstheme="minorHAnsi"/>
          <w:noProof/>
          <w:lang w:val="fr-BE"/>
        </w:rPr>
      </w:pPr>
      <w:r>
        <w:rPr>
          <w:rFonts w:asciiTheme="minorHAnsi" w:hAnsiTheme="minorHAnsi"/>
          <w:noProof/>
          <w:lang w:val="fr-BE"/>
        </w:rPr>
        <w:t xml:space="preserve">Šā panta 1. un 2. punktu piemēro, neskarot citus Puses tiesību aktus, kas: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a)</w:t>
      </w:r>
      <w:r>
        <w:rPr>
          <w:noProof/>
          <w:lang w:val="fr-BE"/>
        </w:rPr>
        <w:tab/>
      </w:r>
      <w:r>
        <w:rPr>
          <w:rFonts w:asciiTheme="minorHAnsi" w:hAnsiTheme="minorHAnsi"/>
          <w:noProof/>
          <w:lang w:val="fr-BE"/>
        </w:rPr>
        <w:t>dod tiesību subjektam tiesības sa</w:t>
      </w:r>
      <w:r>
        <w:rPr>
          <w:rFonts w:asciiTheme="minorHAnsi" w:hAnsiTheme="minorHAnsi"/>
          <w:noProof/>
          <w:lang w:val="fr-BE"/>
        </w:rPr>
        <w:t xml:space="preserve">ņemt plašāku informāciju;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b)</w:t>
      </w:r>
      <w:r>
        <w:rPr>
          <w:noProof/>
          <w:lang w:val="fr-BE"/>
        </w:rPr>
        <w:tab/>
      </w:r>
      <w:r>
        <w:rPr>
          <w:rFonts w:asciiTheme="minorHAnsi" w:hAnsiTheme="minorHAnsi"/>
          <w:noProof/>
          <w:lang w:val="fr-BE"/>
        </w:rPr>
        <w:t xml:space="preserve">reglamentē saskaņā ar šo pantu iegūtās informācijas izmantošanu civilajā tiesvedībā;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c)</w:t>
      </w:r>
      <w:r>
        <w:rPr>
          <w:noProof/>
          <w:lang w:val="fr-BE"/>
        </w:rPr>
        <w:tab/>
      </w:r>
      <w:r>
        <w:rPr>
          <w:rFonts w:asciiTheme="minorHAnsi" w:hAnsiTheme="minorHAnsi"/>
          <w:noProof/>
          <w:lang w:val="fr-BE"/>
        </w:rPr>
        <w:t xml:space="preserve">reglamentē atbildību par tiesību uz informāciju ļaunprātīgu izmantošanu;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d)</w:t>
      </w:r>
      <w:r>
        <w:rPr>
          <w:noProof/>
          <w:lang w:val="fr-BE"/>
        </w:rPr>
        <w:tab/>
      </w:r>
      <w:r>
        <w:rPr>
          <w:rFonts w:asciiTheme="minorHAnsi" w:hAnsiTheme="minorHAnsi"/>
          <w:noProof/>
          <w:lang w:val="fr-BE"/>
        </w:rPr>
        <w:t>paredz iespēju atteikties sniegt informāciju, kas piespiest</w:t>
      </w:r>
      <w:r>
        <w:rPr>
          <w:rFonts w:asciiTheme="minorHAnsi" w:hAnsiTheme="minorHAnsi"/>
          <w:noProof/>
          <w:lang w:val="fr-BE"/>
        </w:rPr>
        <w:t xml:space="preserve">u 1. punktā minēto personu atzīt, ka tā vai tās tuvi radinieki ir piedalījušies intelektuālā īpašuma tiesību pārkāpumā; </w:t>
      </w:r>
    </w:p>
    <w:p w:rsidR="003E022D" w:rsidRDefault="007D19D6">
      <w:pPr>
        <w:ind w:left="567" w:hanging="567"/>
        <w:rPr>
          <w:rFonts w:asciiTheme="minorHAnsi" w:hAnsiTheme="minorHAnsi" w:cstheme="minorHAnsi"/>
          <w:noProof/>
          <w:lang w:val="fr-BE"/>
        </w:rPr>
      </w:pPr>
      <w:r>
        <w:rPr>
          <w:rFonts w:asciiTheme="minorHAnsi" w:hAnsiTheme="minorHAnsi"/>
          <w:noProof/>
          <w:lang w:val="fr-BE"/>
        </w:rPr>
        <w:t>e)</w:t>
      </w:r>
      <w:r>
        <w:rPr>
          <w:noProof/>
          <w:lang w:val="fr-BE"/>
        </w:rPr>
        <w:tab/>
      </w:r>
      <w:r>
        <w:rPr>
          <w:rFonts w:asciiTheme="minorHAnsi" w:hAnsiTheme="minorHAnsi"/>
          <w:noProof/>
          <w:lang w:val="fr-BE"/>
        </w:rPr>
        <w:t xml:space="preserve">reglamentē informācijas avotu konfidencialitātes aizsardzību vai persondatu apstrādi. </w:t>
      </w:r>
    </w:p>
    <w:p w:rsidR="003E022D" w:rsidRDefault="007D19D6">
      <w:pPr>
        <w:pStyle w:val="Article"/>
        <w:rPr>
          <w:noProof/>
        </w:rPr>
      </w:pPr>
      <w:r>
        <w:rPr>
          <w:noProof/>
        </w:rPr>
        <w:t>IP.43. pants. Pagaidu un piesardzības pasākum</w:t>
      </w:r>
      <w:r>
        <w:rPr>
          <w:noProof/>
        </w:rPr>
        <w:t>i</w:t>
      </w:r>
    </w:p>
    <w:p w:rsidR="003E022D" w:rsidRDefault="007D19D6">
      <w:pPr>
        <w:numPr>
          <w:ilvl w:val="0"/>
          <w:numId w:val="560"/>
        </w:numPr>
        <w:ind w:left="0" w:firstLine="0"/>
        <w:rPr>
          <w:rFonts w:asciiTheme="minorHAnsi" w:hAnsiTheme="minorHAnsi" w:cstheme="minorHAnsi"/>
          <w:noProof/>
        </w:rPr>
      </w:pPr>
      <w:r>
        <w:rPr>
          <w:rFonts w:asciiTheme="minorHAnsi" w:hAnsiTheme="minorHAnsi"/>
          <w:noProof/>
        </w:rPr>
        <w:t>Katra Puse nodrošina, ka tās tiesu iestādes pēc prasītāja lūguma attiecībā uz iespējamo pārkāpēju var izdot rīkojumu par pagaidu noregulējumu, lai novērstu iespējamu intelektuālā īpašuma tiesību pārkāpumu vai uz laiku aizliegtu iespējamo tiesību pārkāpum</w:t>
      </w:r>
      <w:r>
        <w:rPr>
          <w:rFonts w:asciiTheme="minorHAnsi" w:hAnsiTheme="minorHAnsi"/>
          <w:noProof/>
        </w:rPr>
        <w:t>u turpināšanu, attiecīgā gadījumā iekasējot regulāru kavējuma naudu, ja tas paredzēts minētās Puses tiesību aktos, vai lai šādas rīcības turpināšanu pieļautu tikai tad, ja ir dota garantija, kas paredzēta kompensācijas nodrošināšanai tiesību subjektam. Rīk</w:t>
      </w:r>
      <w:r>
        <w:rPr>
          <w:rFonts w:asciiTheme="minorHAnsi" w:hAnsiTheme="minorHAnsi"/>
          <w:noProof/>
        </w:rPr>
        <w:t>ojumu par pagaidu noregulējumu saskaņā ar tādiem pašiem nosacījumiem var izdot arī attiecībā uz starpnieku, kura pakalpojumus trešā persona izmanto intelektuālā īpašuma tiesību pārkāpšanai.</w:t>
      </w:r>
    </w:p>
    <w:p w:rsidR="003E022D" w:rsidRDefault="007D19D6">
      <w:pPr>
        <w:numPr>
          <w:ilvl w:val="0"/>
          <w:numId w:val="560"/>
        </w:numPr>
        <w:ind w:left="0" w:firstLine="0"/>
        <w:rPr>
          <w:rFonts w:asciiTheme="minorHAnsi" w:hAnsiTheme="minorHAnsi" w:cstheme="minorHAnsi"/>
          <w:noProof/>
        </w:rPr>
      </w:pPr>
      <w:r>
        <w:rPr>
          <w:rFonts w:asciiTheme="minorHAnsi" w:hAnsiTheme="minorHAnsi"/>
          <w:noProof/>
        </w:rPr>
        <w:t>Katra Puse nodrošina, ka tās tiesu iestādes pēc prasītāja lūguma i</w:t>
      </w:r>
      <w:r>
        <w:rPr>
          <w:rFonts w:asciiTheme="minorHAnsi" w:hAnsiTheme="minorHAnsi"/>
          <w:noProof/>
        </w:rPr>
        <w:t>r pilnvarotas dot rīkojumu konfiscēt vai nogādāt atpakaļ preces, ar kurām, iespējams, tiek pārkāptas intelektuālā īpašuma tiesības, ar mērķi novērst to nokļūšanu vai apriti tirdzniecības kanālos.</w:t>
      </w:r>
    </w:p>
    <w:p w:rsidR="003E022D" w:rsidRDefault="007D19D6">
      <w:pPr>
        <w:numPr>
          <w:ilvl w:val="0"/>
          <w:numId w:val="560"/>
        </w:numPr>
        <w:ind w:left="0" w:firstLine="0"/>
        <w:rPr>
          <w:rFonts w:asciiTheme="minorHAnsi" w:hAnsiTheme="minorHAnsi" w:cstheme="minorHAnsi"/>
          <w:noProof/>
        </w:rPr>
      </w:pPr>
      <w:r>
        <w:rPr>
          <w:rFonts w:asciiTheme="minorHAnsi" w:hAnsiTheme="minorHAnsi"/>
          <w:noProof/>
        </w:rPr>
        <w:t xml:space="preserve">Ja iespējams pārkāpums ir izdarīts komerciālā mērogā, katra </w:t>
      </w:r>
      <w:r>
        <w:rPr>
          <w:rFonts w:asciiTheme="minorHAnsi" w:hAnsiTheme="minorHAnsi"/>
          <w:noProof/>
        </w:rPr>
        <w:t>Puse nodrošina, ka tad, ja prasītājs norāda uz apstākļiem, kas var traucēt kaitējuma atlīdzinājuma piedziņu, tiesu iestādes var dot rīkojumu kā piesardzības pasākumu piemērot iespējamā pārkāpēja kustamā un nekustamā īpašuma konfiskāciju, arī viņa bankas ko</w:t>
      </w:r>
      <w:r>
        <w:rPr>
          <w:rFonts w:asciiTheme="minorHAnsi" w:hAnsiTheme="minorHAnsi"/>
          <w:noProof/>
        </w:rPr>
        <w:t>ntu un citu aktīvu bloķēšanu. Tālab kompetentās iestādes var pieprasīt bankas, finanšu vai tirdzniecības dokumentus vai atbilstīgu pieeju vajadzīgajai informācijai.</w:t>
      </w:r>
    </w:p>
    <w:p w:rsidR="003E022D" w:rsidRDefault="007D19D6">
      <w:pPr>
        <w:numPr>
          <w:ilvl w:val="0"/>
          <w:numId w:val="560"/>
        </w:numPr>
        <w:ind w:left="0" w:firstLine="0"/>
        <w:rPr>
          <w:rFonts w:asciiTheme="minorHAnsi" w:hAnsiTheme="minorHAnsi" w:cstheme="minorHAnsi"/>
          <w:noProof/>
        </w:rPr>
      </w:pPr>
      <w:r>
        <w:rPr>
          <w:rFonts w:asciiTheme="minorHAnsi" w:hAnsiTheme="minorHAnsi"/>
          <w:noProof/>
        </w:rPr>
        <w:t>Katra Puse nodrošina, ka tās tiesu iestādes attiecībā uz 1., 2. un 3. punktā minētajiem pas</w:t>
      </w:r>
      <w:r>
        <w:rPr>
          <w:rFonts w:asciiTheme="minorHAnsi" w:hAnsiTheme="minorHAnsi"/>
          <w:noProof/>
        </w:rPr>
        <w:t>ākumiem ir pilnvarotas likt prasītājam sniegt tām visus prasītājam pieejamos pierādījumus, lai pietiekamā mērā tās pārliecinātu, ka prasītājs ir attiecīgo tiesību subjekts un ka prasītāja tiesības tiek pārkāptas vai šāds pārkāpums drīzumā var notikt.</w:t>
      </w:r>
    </w:p>
    <w:p w:rsidR="003E022D" w:rsidRDefault="007D19D6">
      <w:pPr>
        <w:pStyle w:val="Article"/>
        <w:rPr>
          <w:noProof/>
        </w:rPr>
      </w:pPr>
      <w:r>
        <w:rPr>
          <w:noProof/>
        </w:rPr>
        <w:t>IP.44. pants. Korektīvi pasākumi</w:t>
      </w:r>
    </w:p>
    <w:p w:rsidR="003E022D" w:rsidRDefault="007D19D6">
      <w:pPr>
        <w:numPr>
          <w:ilvl w:val="0"/>
          <w:numId w:val="561"/>
        </w:numPr>
        <w:ind w:left="0" w:firstLine="0"/>
        <w:rPr>
          <w:rFonts w:asciiTheme="minorHAnsi" w:hAnsiTheme="minorHAnsi" w:cstheme="minorHAnsi"/>
          <w:noProof/>
        </w:rPr>
      </w:pPr>
      <w:r>
        <w:rPr>
          <w:rFonts w:asciiTheme="minorHAnsi" w:hAnsiTheme="minorHAnsi"/>
          <w:noProof/>
        </w:rPr>
        <w:t>Katra Puse nodrošina, ka tās tiesu iestādes pēc prasītāja lūguma, neskarot tiesību subjektam pārkāpuma dēļ radīto kaitējumu un neparedzot nekādu kompensāciju, var dot rīkojumu iznīcināt preces, ja ir konstatējušas, ka ar tā</w:t>
      </w:r>
      <w:r>
        <w:rPr>
          <w:rFonts w:asciiTheme="minorHAnsi" w:hAnsiTheme="minorHAnsi"/>
          <w:noProof/>
        </w:rPr>
        <w:t>m ir pārkāptas intelektuālā īpašuma tiesības, vai vismaz pavisam izņemt minētās preces no tirdzniecības kanāliem. Attiecīgos gadījumos tiesu iestādes ar tādiem pašiem nosacījumiem var arī dot rīkojumu iznīcināt materiālus un darbarīkus, ko galvenokārt izma</w:t>
      </w:r>
      <w:r>
        <w:rPr>
          <w:rFonts w:asciiTheme="minorHAnsi" w:hAnsiTheme="minorHAnsi"/>
          <w:noProof/>
        </w:rPr>
        <w:t xml:space="preserve">nto šo preču radīšanā vai ražošanā.  </w:t>
      </w:r>
    </w:p>
    <w:p w:rsidR="003E022D" w:rsidRDefault="007D19D6">
      <w:pPr>
        <w:numPr>
          <w:ilvl w:val="0"/>
          <w:numId w:val="561"/>
        </w:numPr>
        <w:ind w:left="0" w:firstLine="0"/>
        <w:rPr>
          <w:rFonts w:asciiTheme="minorHAnsi" w:hAnsiTheme="minorHAnsi" w:cstheme="minorHAnsi"/>
          <w:noProof/>
        </w:rPr>
      </w:pPr>
      <w:r>
        <w:rPr>
          <w:rFonts w:asciiTheme="minorHAnsi" w:hAnsiTheme="minorHAnsi"/>
          <w:noProof/>
        </w:rPr>
        <w:t xml:space="preserve">Katras Puses tiesu iestādēm ir pilnvaras dot rīkojumu veikt minētos pasākumus uz pārkāpēja rēķina, ja vien nav īpašu iemeslu tā nedarīt. </w:t>
      </w:r>
    </w:p>
    <w:p w:rsidR="003E022D" w:rsidRDefault="007D19D6">
      <w:pPr>
        <w:pStyle w:val="Article"/>
        <w:rPr>
          <w:noProof/>
        </w:rPr>
      </w:pPr>
      <w:r>
        <w:rPr>
          <w:noProof/>
        </w:rPr>
        <w:t>IP.45. pants. Izpildraksti</w:t>
      </w:r>
    </w:p>
    <w:p w:rsidR="003E022D" w:rsidRDefault="007D19D6">
      <w:pPr>
        <w:rPr>
          <w:rFonts w:asciiTheme="minorHAnsi" w:hAnsiTheme="minorHAnsi" w:cstheme="minorHAnsi"/>
          <w:noProof/>
        </w:rPr>
      </w:pPr>
      <w:r>
        <w:rPr>
          <w:rFonts w:asciiTheme="minorHAnsi" w:hAnsiTheme="minorHAnsi"/>
          <w:noProof/>
        </w:rPr>
        <w:t>Katra Puse nodrošina, ka tad, ja pieņemts tiesas lēmu</w:t>
      </w:r>
      <w:r>
        <w:rPr>
          <w:rFonts w:asciiTheme="minorHAnsi" w:hAnsiTheme="minorHAnsi"/>
          <w:noProof/>
        </w:rPr>
        <w:t>ms, kurā konstatēts intelektuālā īpašuma tiesību pārkāpums, tiesu iestādes var attiecībā uz pārkāpēju izdot izpildrakstu, kura nolūks ir aizliegt turpināt pārkāpumu. Katra Puse arī nodrošina, ka tiesu iestādes var izdot izpildrakstu pret starpniekiem, kuru</w:t>
      </w:r>
      <w:r>
        <w:rPr>
          <w:rFonts w:asciiTheme="minorHAnsi" w:hAnsiTheme="minorHAnsi"/>
          <w:noProof/>
        </w:rPr>
        <w:t xml:space="preserve"> pakalpojumus trešā persona izmanto, lai pārkāptu intelektuālā īpašuma tiesības.  </w:t>
      </w:r>
    </w:p>
    <w:p w:rsidR="003E022D" w:rsidRDefault="007D19D6">
      <w:pPr>
        <w:pStyle w:val="Article"/>
        <w:rPr>
          <w:noProof/>
        </w:rPr>
      </w:pPr>
      <w:r>
        <w:rPr>
          <w:noProof/>
        </w:rPr>
        <w:t>IP.46. pants. Alternatīvi pasākumi</w:t>
      </w:r>
    </w:p>
    <w:p w:rsidR="003E022D" w:rsidRDefault="007D19D6">
      <w:pPr>
        <w:rPr>
          <w:rFonts w:asciiTheme="minorHAnsi" w:hAnsiTheme="minorHAnsi" w:cstheme="minorHAnsi"/>
          <w:noProof/>
        </w:rPr>
      </w:pPr>
      <w:r>
        <w:rPr>
          <w:rFonts w:asciiTheme="minorHAnsi" w:hAnsiTheme="minorHAnsi"/>
          <w:noProof/>
        </w:rPr>
        <w:t>Katra Puse var noteikt, ka attiecīgos gadījumos un pēc tās personas pieprasījuma, uz kuru attiecas IP.44. pantā [Korektīvi pasākumi] vai IP.45. pantā [Izpildraksti] paredzētie pasākumi, tiesu iestādes šajos divos pantos paredzēto pasākumu piemērošanas viet</w:t>
      </w:r>
      <w:r>
        <w:rPr>
          <w:rFonts w:asciiTheme="minorHAnsi" w:hAnsiTheme="minorHAnsi"/>
          <w:noProof/>
        </w:rPr>
        <w:t>ā var likt izmaksāt naudas kompensāciju cietušajai personai, ja vainīgā persona ir rīkojusies neapzināti un bez nolaidības, ja attiecīgo pasākumu veikšana minētajai personai radītu nesamērīgu kaitējumu un ja naudas kompensācija cietušajai personai šķiet pi</w:t>
      </w:r>
      <w:r>
        <w:rPr>
          <w:rFonts w:asciiTheme="minorHAnsi" w:hAnsiTheme="minorHAnsi"/>
          <w:noProof/>
        </w:rPr>
        <w:t xml:space="preserve">eņemama. </w:t>
      </w:r>
    </w:p>
    <w:p w:rsidR="003E022D" w:rsidRDefault="007D19D6">
      <w:pPr>
        <w:pStyle w:val="Article"/>
        <w:rPr>
          <w:noProof/>
        </w:rPr>
      </w:pPr>
      <w:r>
        <w:rPr>
          <w:noProof/>
        </w:rPr>
        <w:t>IP.47. pants. Zaudējumu atlīdzība</w:t>
      </w:r>
    </w:p>
    <w:p w:rsidR="003E022D" w:rsidRDefault="007D19D6">
      <w:pPr>
        <w:numPr>
          <w:ilvl w:val="0"/>
          <w:numId w:val="562"/>
        </w:numPr>
        <w:ind w:left="0" w:firstLine="0"/>
        <w:rPr>
          <w:rFonts w:asciiTheme="minorHAnsi" w:hAnsiTheme="minorHAnsi" w:cstheme="minorHAnsi"/>
          <w:noProof/>
        </w:rPr>
      </w:pPr>
      <w:r>
        <w:rPr>
          <w:rFonts w:asciiTheme="minorHAnsi" w:hAnsiTheme="minorHAnsi"/>
          <w:noProof/>
        </w:rPr>
        <w:t>Katra Puse nodrošina, ka tās tiesu iestādes pēc cietušās puses pieprasījuma piespriež pārkāpējam, kas ir apzināti iesaistījies pārkāpuma darbībā vai kam ir bijis pamats apzināties, ka iesaistās pārkāpuma darbība,</w:t>
      </w:r>
      <w:r>
        <w:rPr>
          <w:rFonts w:asciiTheme="minorHAnsi" w:hAnsiTheme="minorHAnsi"/>
          <w:noProof/>
        </w:rPr>
        <w:t xml:space="preserve"> maksāt tiesību subjektam atlīdzību, kura atbilst pārkāpuma dēļ tiesību subjektam radītā kaitējuma apmēram.  </w:t>
      </w:r>
    </w:p>
    <w:p w:rsidR="003E022D" w:rsidRDefault="007D19D6">
      <w:pPr>
        <w:numPr>
          <w:ilvl w:val="0"/>
          <w:numId w:val="562"/>
        </w:numPr>
        <w:ind w:left="0" w:firstLine="0"/>
        <w:rPr>
          <w:rFonts w:asciiTheme="minorHAnsi" w:hAnsiTheme="minorHAnsi" w:cstheme="minorHAnsi"/>
          <w:noProof/>
        </w:rPr>
      </w:pPr>
      <w:r>
        <w:rPr>
          <w:rFonts w:asciiTheme="minorHAnsi" w:hAnsiTheme="minorHAnsi"/>
          <w:noProof/>
        </w:rPr>
        <w:t xml:space="preserve">Katra Puse nodrošina, ka tās tiesu iestādes, nosakot zaudējumus: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ņem vērā visus attiecīgos aspektus, piemēram, cietušajai pusei radītās negatī</w:t>
      </w:r>
      <w:r>
        <w:rPr>
          <w:rFonts w:asciiTheme="minorHAnsi" w:hAnsiTheme="minorHAnsi"/>
          <w:noProof/>
        </w:rPr>
        <w:t xml:space="preserve">vās ekonomiskās sekas, arī negūto peļņu, pārkāpēja negodīgi gūto peļņu un attiecīgos gadījumos arī citus elementus, kas nav ekonomiski faktori, piemēram, tiesību subjektam pārkāpuma rezultātā radīto morālo kaitējumu; vai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attiecīgos gadījumos kā alterna</w:t>
      </w:r>
      <w:r>
        <w:rPr>
          <w:rFonts w:asciiTheme="minorHAnsi" w:hAnsiTheme="minorHAnsi"/>
          <w:noProof/>
        </w:rPr>
        <w:t>tīvu a) apakšpunktā minētajam var zaudējumu apmēru noteikt kā vienreizēju maksājumu, pamatojoties uz vismaz tādiem elementiem kā honorāru vai maksājumu summa, kas būtu saņemta, ja pārkāpējs būtu prasījis atļauju izmantot attiecīgās intelektuālā īpašuma tie</w:t>
      </w:r>
      <w:r>
        <w:rPr>
          <w:rFonts w:asciiTheme="minorHAnsi" w:hAnsiTheme="minorHAnsi"/>
          <w:noProof/>
        </w:rPr>
        <w:t xml:space="preserve">sības. </w:t>
      </w:r>
    </w:p>
    <w:p w:rsidR="003E022D" w:rsidRDefault="007D19D6">
      <w:pPr>
        <w:numPr>
          <w:ilvl w:val="0"/>
          <w:numId w:val="562"/>
        </w:numPr>
        <w:ind w:left="0" w:firstLine="0"/>
        <w:rPr>
          <w:rFonts w:asciiTheme="minorHAnsi" w:hAnsiTheme="minorHAnsi" w:cstheme="minorHAnsi"/>
          <w:noProof/>
        </w:rPr>
      </w:pPr>
      <w:r>
        <w:rPr>
          <w:rFonts w:asciiTheme="minorHAnsi" w:hAnsiTheme="minorHAnsi"/>
          <w:noProof/>
        </w:rPr>
        <w:t>Ja pārkāpējs ir iesaistījies pārkāpuma darbībās neapzināti vai viņam nav bijis pamata to apzināties, katra Puse var noteikt, ka tiesu iestādes var dot rīkojumu atmaksāt cietušajai personai peļņu vai izmaksāt kompensāciju, kas var būt noteikta iepri</w:t>
      </w:r>
      <w:r>
        <w:rPr>
          <w:rFonts w:asciiTheme="minorHAnsi" w:hAnsiTheme="minorHAnsi"/>
          <w:noProof/>
        </w:rPr>
        <w:t xml:space="preserve">ekš. </w:t>
      </w:r>
    </w:p>
    <w:p w:rsidR="003E022D" w:rsidRDefault="007D19D6">
      <w:pPr>
        <w:pStyle w:val="Article"/>
        <w:rPr>
          <w:noProof/>
        </w:rPr>
      </w:pPr>
      <w:r>
        <w:rPr>
          <w:noProof/>
        </w:rPr>
        <w:t>IP.48. pants. Tiesāšanās izdevumi</w:t>
      </w:r>
    </w:p>
    <w:p w:rsidR="003E022D" w:rsidRDefault="007D19D6">
      <w:pPr>
        <w:rPr>
          <w:rFonts w:asciiTheme="minorHAnsi" w:hAnsiTheme="minorHAnsi" w:cstheme="minorHAnsi"/>
          <w:noProof/>
        </w:rPr>
      </w:pPr>
      <w:r>
        <w:rPr>
          <w:rFonts w:asciiTheme="minorHAnsi" w:hAnsiTheme="minorHAnsi"/>
          <w:noProof/>
        </w:rPr>
        <w:t xml:space="preserve">Katra Puse nodrošina, ka pamatotus un samērīgus tiesāšanās izdevumus un citus izdevumus, kas radušies lietā uzvarējušai pusei, parasti sedz lietā zaudējusī puse, ja vien tas nav pretrunā taisnīguma principiem.  </w:t>
      </w:r>
    </w:p>
    <w:p w:rsidR="003E022D" w:rsidRDefault="007D19D6">
      <w:pPr>
        <w:pStyle w:val="Article"/>
        <w:rPr>
          <w:noProof/>
        </w:rPr>
      </w:pPr>
      <w:r>
        <w:rPr>
          <w:noProof/>
        </w:rPr>
        <w:t>IP.4</w:t>
      </w:r>
      <w:r>
        <w:rPr>
          <w:noProof/>
        </w:rPr>
        <w:t>9. pants. Tiesas nolēmumu publicēšana</w:t>
      </w:r>
    </w:p>
    <w:p w:rsidR="003E022D" w:rsidRDefault="007D19D6">
      <w:pPr>
        <w:rPr>
          <w:rFonts w:asciiTheme="minorHAnsi" w:hAnsiTheme="minorHAnsi" w:cstheme="minorHAnsi"/>
          <w:i/>
          <w:noProof/>
        </w:rPr>
      </w:pPr>
      <w:r>
        <w:rPr>
          <w:rFonts w:asciiTheme="minorHAnsi" w:hAnsiTheme="minorHAnsi"/>
          <w:noProof/>
        </w:rPr>
        <w:t>Katra Puse nodrošina, ka tiesvedībā par intelektuālā īpašuma tiesību pārkāpumu tiesu iestādes pēc prasītāja lūguma un par pārkāpēja līdzekļiem var piemērot attiecīgus pasākumus informācijas izplatīšanai par tiesas nolē</w:t>
      </w:r>
      <w:r>
        <w:rPr>
          <w:rFonts w:asciiTheme="minorHAnsi" w:hAnsiTheme="minorHAnsi"/>
          <w:noProof/>
        </w:rPr>
        <w:t xml:space="preserve">mumu, arī nolēmuma paziņošanai un publicēšanai pilnā vai daļējā veidā. </w:t>
      </w:r>
      <w:r>
        <w:rPr>
          <w:rFonts w:asciiTheme="minorHAnsi" w:hAnsiTheme="minorHAnsi"/>
          <w:i/>
          <w:noProof/>
        </w:rPr>
        <w:t xml:space="preserve"> </w:t>
      </w:r>
    </w:p>
    <w:p w:rsidR="003E022D" w:rsidRDefault="007D19D6">
      <w:pPr>
        <w:pStyle w:val="Article"/>
        <w:rPr>
          <w:noProof/>
        </w:rPr>
      </w:pPr>
      <w:r>
        <w:rPr>
          <w:noProof/>
        </w:rPr>
        <w:t>IP.50. pants. Pieņēmums par autortiesībām vai īpašuma tiesībām</w:t>
      </w:r>
    </w:p>
    <w:p w:rsidR="003E022D" w:rsidRDefault="007D19D6">
      <w:pPr>
        <w:rPr>
          <w:rFonts w:asciiTheme="minorHAnsi" w:hAnsiTheme="minorHAnsi" w:cstheme="minorHAnsi"/>
          <w:noProof/>
        </w:rPr>
      </w:pPr>
      <w:r>
        <w:rPr>
          <w:rFonts w:asciiTheme="minorHAnsi" w:hAnsiTheme="minorHAnsi"/>
          <w:noProof/>
        </w:rPr>
        <w:t>3. nodaļā [Intelektuālā īpašuma tiesību izpilde] paredzēto pasākumu, procedūru un aizsardzības līdzekļu piemērošanas nol</w:t>
      </w:r>
      <w:r>
        <w:rPr>
          <w:rFonts w:asciiTheme="minorHAnsi" w:hAnsiTheme="minorHAnsi"/>
          <w:noProof/>
        </w:rPr>
        <w:t xml:space="preserve">ūkā: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lai literāra vai mākslas darba autoru, ja nav pierādījumu par pretējo, uzskatītu par autoru, kas tādējādi ir tiesīgs sākt tiesvedību, ir pietiekami, ka autora vārds ierastā veidā tiek minēts darbā vai uz tā; un</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šā panta a) apakšpunktu </w:t>
      </w:r>
      <w:r>
        <w:rPr>
          <w:rFonts w:asciiTheme="minorHAnsi" w:hAnsiTheme="minorHAnsi"/>
          <w:i/>
          <w:noProof/>
        </w:rPr>
        <w:t xml:space="preserve">mutatis </w:t>
      </w:r>
      <w:r>
        <w:rPr>
          <w:rFonts w:asciiTheme="minorHAnsi" w:hAnsiTheme="minorHAnsi"/>
          <w:i/>
          <w:noProof/>
        </w:rPr>
        <w:t>mutandis</w:t>
      </w:r>
      <w:r>
        <w:rPr>
          <w:rFonts w:asciiTheme="minorHAnsi" w:hAnsiTheme="minorHAnsi"/>
          <w:noProof/>
        </w:rPr>
        <w:t xml:space="preserve"> piemēro blakustiesību subjektiem attiecībā uz to aizsargāto tiesību objektu. </w:t>
      </w:r>
    </w:p>
    <w:p w:rsidR="003E022D" w:rsidRDefault="007D19D6">
      <w:pPr>
        <w:pStyle w:val="Article"/>
        <w:rPr>
          <w:noProof/>
        </w:rPr>
      </w:pPr>
      <w:r>
        <w:rPr>
          <w:noProof/>
        </w:rPr>
        <w:t>IP.51. pants. Administratīvās procedūras</w:t>
      </w:r>
    </w:p>
    <w:p w:rsidR="003E022D" w:rsidRDefault="007D19D6">
      <w:pPr>
        <w:rPr>
          <w:rFonts w:asciiTheme="minorHAnsi" w:hAnsiTheme="minorHAnsi" w:cstheme="minorHAnsi"/>
          <w:noProof/>
        </w:rPr>
      </w:pPr>
      <w:r>
        <w:rPr>
          <w:rFonts w:asciiTheme="minorHAnsi" w:hAnsiTheme="minorHAnsi"/>
          <w:noProof/>
        </w:rPr>
        <w:t xml:space="preserve">Ciktāl administratīvo procedūru lēmumu rezultātā var tikt noteikts kāds civiltiesiskās aizsardzības līdzeklis, šādas procedūras </w:t>
      </w:r>
      <w:r>
        <w:rPr>
          <w:rFonts w:asciiTheme="minorHAnsi" w:hAnsiTheme="minorHAnsi"/>
          <w:noProof/>
        </w:rPr>
        <w:t xml:space="preserve">atbilst principiem, kas pēc būtības ir līdzvērtīgi šajā iedaļā norādītajiem. </w:t>
      </w:r>
    </w:p>
    <w:p w:rsidR="003E022D" w:rsidRDefault="007D19D6">
      <w:pPr>
        <w:pStyle w:val="Section"/>
        <w:rPr>
          <w:noProof/>
        </w:rPr>
      </w:pPr>
      <w:r>
        <w:rPr>
          <w:noProof/>
        </w:rPr>
        <w:t>3. iedaļa. Civiltiesiskas procedūras un tiesiskās aizsardzības līdzekļi, kas saistīti ar komercnoslēpumu</w:t>
      </w:r>
    </w:p>
    <w:p w:rsidR="003E022D" w:rsidRDefault="007D19D6">
      <w:pPr>
        <w:pStyle w:val="Article"/>
        <w:rPr>
          <w:noProof/>
        </w:rPr>
      </w:pPr>
      <w:r>
        <w:rPr>
          <w:noProof/>
        </w:rPr>
        <w:t xml:space="preserve">IP.52. pants. Civiltiesiskas procedūras un tiesiskās aizsardzības </w:t>
      </w:r>
      <w:r>
        <w:rPr>
          <w:noProof/>
        </w:rPr>
        <w:t>līdzekļi, kas saistīti ar komercnoslēpumu</w:t>
      </w:r>
    </w:p>
    <w:p w:rsidR="003E022D" w:rsidRDefault="007D19D6">
      <w:pPr>
        <w:numPr>
          <w:ilvl w:val="0"/>
          <w:numId w:val="563"/>
        </w:numPr>
        <w:ind w:left="0" w:firstLine="0"/>
        <w:rPr>
          <w:rFonts w:asciiTheme="minorHAnsi" w:hAnsiTheme="minorHAnsi" w:cstheme="minorHAnsi"/>
          <w:noProof/>
        </w:rPr>
      </w:pPr>
      <w:r>
        <w:rPr>
          <w:rFonts w:asciiTheme="minorHAnsi" w:hAnsiTheme="minorHAnsi"/>
          <w:noProof/>
        </w:rPr>
        <w:t>Katra Puse nodrošina, ka personām, kas piedalās IP.34. panta [Komercnoslēpumu aizsardzība] 1. punktā minētajā civiltiesiskajā procedūrā vai kam ir piekļuve dokumentiem, kuri veido daļu no minētās procedūras, nav at</w:t>
      </w:r>
      <w:r>
        <w:rPr>
          <w:rFonts w:asciiTheme="minorHAnsi" w:hAnsiTheme="minorHAnsi"/>
          <w:noProof/>
        </w:rPr>
        <w:t>ļauts izmantot un izpaust nevienu komercnoslēpumu vai varbūtēju komercnoslēpumu, par ko kompetentās tiesu iestādes, atbildot uz pienācīgi pamatotu ieinteresētas personas pieprasījumu, norādījušas, ka tas ir konfidenciāls, un kas šīm personām ir kļuvis zinā</w:t>
      </w:r>
      <w:r>
        <w:rPr>
          <w:rFonts w:asciiTheme="minorHAnsi" w:hAnsiTheme="minorHAnsi"/>
          <w:noProof/>
        </w:rPr>
        <w:t>ms pēc šādas piedalīšanās vai piekļūšanas.</w:t>
      </w:r>
    </w:p>
    <w:p w:rsidR="003E022D" w:rsidRDefault="007D19D6">
      <w:pPr>
        <w:numPr>
          <w:ilvl w:val="0"/>
          <w:numId w:val="563"/>
        </w:numPr>
        <w:ind w:left="0" w:firstLine="0"/>
        <w:rPr>
          <w:rFonts w:asciiTheme="minorHAnsi" w:hAnsiTheme="minorHAnsi" w:cstheme="minorHAnsi"/>
          <w:noProof/>
        </w:rPr>
      </w:pPr>
      <w:r>
        <w:rPr>
          <w:rFonts w:asciiTheme="minorHAnsi" w:hAnsiTheme="minorHAnsi"/>
          <w:noProof/>
        </w:rPr>
        <w:t xml:space="preserve">Katra Puse nodrošina, ka 1. punktā minētais pienākums paliek spēkā pēc civiltiesvedības beigām tik ilgi, cik nepieciešams. </w:t>
      </w:r>
    </w:p>
    <w:p w:rsidR="003E022D" w:rsidRDefault="007D19D6">
      <w:pPr>
        <w:numPr>
          <w:ilvl w:val="0"/>
          <w:numId w:val="563"/>
        </w:numPr>
        <w:ind w:left="0" w:firstLine="0"/>
        <w:rPr>
          <w:rFonts w:asciiTheme="minorHAnsi" w:hAnsiTheme="minorHAnsi" w:cstheme="minorHAnsi"/>
          <w:noProof/>
        </w:rPr>
      </w:pPr>
      <w:r>
        <w:rPr>
          <w:rFonts w:asciiTheme="minorHAnsi" w:hAnsiTheme="minorHAnsi"/>
          <w:noProof/>
        </w:rPr>
        <w:t>Civiltiesiskajās procedūrās, kas minētas IP.34. panta [Komercnoslēpumu aizsardzība] 1. pu</w:t>
      </w:r>
      <w:r>
        <w:rPr>
          <w:rFonts w:asciiTheme="minorHAnsi" w:hAnsiTheme="minorHAnsi"/>
          <w:noProof/>
        </w:rPr>
        <w:t xml:space="preserve">nktā, katra Puse nodrošina, ka tās tiesu iestādes ir pilnvarotas vismaz: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norīkot pagaidu pasākumus saskaņā ar tās attiecīgajiem normatīvajiem aktiem, lai pārtrauktu un aizliegtu komercnoslēpuma izmantošanu vai izpaušanu kādā veidā, kas ir pretrunā godī</w:t>
      </w:r>
      <w:r>
        <w:rPr>
          <w:rFonts w:asciiTheme="minorHAnsi" w:hAnsiTheme="minorHAnsi"/>
          <w:noProof/>
        </w:rPr>
        <w:t xml:space="preserve">gai komercpraksei;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norīkot pasākumus saskaņā ar tās attiecīgajiem normatīvajiem aktiem, ar kuriem liek pārtraukt vai attiecīgā gadījumā aizliegt izmantot vai izpaust komercnoslēpumu tādā veidā, kas ir pretrunā godīgai komercpraksei; </w:t>
      </w:r>
    </w:p>
    <w:p w:rsidR="003E022D" w:rsidRDefault="007D19D6">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saskaņā ar tās </w:t>
      </w:r>
      <w:r>
        <w:rPr>
          <w:rFonts w:asciiTheme="minorHAnsi" w:hAnsiTheme="minorHAnsi"/>
          <w:noProof/>
        </w:rPr>
        <w:t>attiecīgajiem normatīvajiem aktiem norīkot personai, kura ir ieguvusi, izmantojusi vai izpaudusi komercnoslēpumu kādā veidā, kas ir pretrunā godīgai komercpraksei, un kura zināja vai kurai būtu vajadzējis zināt, ka tā iegūst, izmanto vai izpauž komercnoslē</w:t>
      </w:r>
      <w:r>
        <w:rPr>
          <w:rFonts w:asciiTheme="minorHAnsi" w:hAnsiTheme="minorHAnsi"/>
          <w:noProof/>
        </w:rPr>
        <w:t xml:space="preserve">pumu tādā veidā, kas ir pretrunā godīgai komercpraksei, samaksāt komercnoslēpuma turētājam zaudējumu atlīdzību, kas atbilst faktiskajam kaitējumam, kurš radies šādas komercnoslēpuma iegūšanas, izmantošanas vai izpaušanas rezultātā;  </w:t>
      </w:r>
    </w:p>
    <w:p w:rsidR="003E022D" w:rsidRDefault="007D19D6">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veikt īpašus pasāku</w:t>
      </w:r>
      <w:r>
        <w:rPr>
          <w:rFonts w:asciiTheme="minorHAnsi" w:hAnsiTheme="minorHAnsi"/>
          <w:noProof/>
        </w:rPr>
        <w:t>mus, kuri vajadzīgi, lai saglabātu tāda komercnoslēpuma vai varbūtējā komercnoslēpuma konfidencialitāti, kas izmantots vai minēts IP.34. panta [Komercnoslēpumu aizsardzība] 1. punktā minētajās procedūrās. Šādi īpaši pasākumi saskaņā ar katras Puses attiecī</w:t>
      </w:r>
      <w:r>
        <w:rPr>
          <w:rFonts w:asciiTheme="minorHAnsi" w:hAnsiTheme="minorHAnsi"/>
          <w:noProof/>
        </w:rPr>
        <w:t>gajiem normatīvajiem aktiem, ieskaitot tiesības uz aizstāvību, var ietvert iespēju pilnīgi vai daļēji ierobežot piekļuvi konkrētiem dokumentiem, ierobežot piekļuvi tiesas sēdēm un to attiecīgajiem ierakstiem vai protokoliem, darīt pieejamu tiesas lēmuma ne</w:t>
      </w:r>
      <w:r>
        <w:rPr>
          <w:rFonts w:asciiTheme="minorHAnsi" w:hAnsiTheme="minorHAnsi"/>
          <w:noProof/>
        </w:rPr>
        <w:t xml:space="preserve">konfidenciālu versiju, kurā komercnoslēpumu saturošās daļas ir svītrotas vai rediģētas; </w:t>
      </w:r>
    </w:p>
    <w:p w:rsidR="003E022D" w:rsidRDefault="007D19D6">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noteikt sankcijas personām, kas piedalās tiesas procesā un kas nepilda vai atsakās izpildīt tiesas rīkojumus par komercnoslēpuma vai varbūtējā komercnoslēpuma aizsa</w:t>
      </w:r>
      <w:r>
        <w:rPr>
          <w:rFonts w:asciiTheme="minorHAnsi" w:hAnsiTheme="minorHAnsi"/>
          <w:noProof/>
        </w:rPr>
        <w:t xml:space="preserve">rdzību. </w:t>
      </w:r>
    </w:p>
    <w:p w:rsidR="003E022D" w:rsidRDefault="007D19D6">
      <w:pPr>
        <w:numPr>
          <w:ilvl w:val="0"/>
          <w:numId w:val="563"/>
        </w:numPr>
        <w:ind w:left="0" w:firstLine="0"/>
        <w:rPr>
          <w:rFonts w:asciiTheme="minorHAnsi" w:hAnsiTheme="minorHAnsi" w:cstheme="minorHAnsi"/>
          <w:noProof/>
        </w:rPr>
      </w:pPr>
      <w:r>
        <w:rPr>
          <w:rFonts w:asciiTheme="minorHAnsi" w:hAnsiTheme="minorHAnsi"/>
          <w:noProof/>
        </w:rPr>
        <w:t>Katra Puse nodrošina, ka šajā pantā paredzētos pasākumus, procedūras vai tiesiskās aizsardzības līdzekļus noraida, ja komercnoslēpuma iespējamā iegūšana, izmantošana vai izpaušana, kas ir pretrunā godīgai komercpraksei, ir veikta saskaņā ar tās no</w:t>
      </w:r>
      <w:r>
        <w:rPr>
          <w:rFonts w:asciiTheme="minorHAnsi" w:hAnsiTheme="minorHAnsi"/>
          <w:noProof/>
        </w:rPr>
        <w:t xml:space="preserve">rmatīvajiem aktiem šādos gadījumos: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lai atklātu amatpārkāpumu, ļaunprātīgu rīcību vai nelikumīgu darbību sabiedrības vispārējo interešu aizsardzības nolūkā;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informāciju izpauž darbinieki saviem pārstāvjiem šo pārstāvju pienākumu likumīgas īstenošanas ietvaros, un tas ir nepieciešams, lai minētie pārstāvji varētu likumīgi pildīt savas funkcijas; </w:t>
      </w:r>
    </w:p>
    <w:p w:rsidR="003E022D" w:rsidRDefault="007D19D6">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lai aizsargātu likumīgas intereses, kas atzītas minētās Puses </w:t>
      </w:r>
      <w:r>
        <w:rPr>
          <w:rFonts w:asciiTheme="minorHAnsi" w:hAnsiTheme="minorHAnsi"/>
          <w:noProof/>
        </w:rPr>
        <w:t xml:space="preserve">normatīvajos aktos. </w:t>
      </w:r>
    </w:p>
    <w:p w:rsidR="003E022D" w:rsidRDefault="007D19D6">
      <w:pPr>
        <w:pStyle w:val="Section"/>
        <w:rPr>
          <w:noProof/>
        </w:rPr>
      </w:pPr>
      <w:r>
        <w:rPr>
          <w:noProof/>
        </w:rPr>
        <w:t>4. iedaļa. Izpilde uz robežas</w:t>
      </w:r>
    </w:p>
    <w:p w:rsidR="003E022D" w:rsidRDefault="007D19D6">
      <w:pPr>
        <w:pStyle w:val="Article"/>
        <w:rPr>
          <w:noProof/>
        </w:rPr>
      </w:pPr>
      <w:r>
        <w:rPr>
          <w:noProof/>
        </w:rPr>
        <w:t>IP.53. pants. Pasākumi uz robežām</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Attiecībā uz muitas kontrolē esošām precēm katra Puse pieņem vai patur spēkā kārtību, kādā tiesību subjekts var iesniegt pieprasījumu kompetentajai iestādei</w:t>
      </w:r>
      <w:r>
        <w:rPr>
          <w:rStyle w:val="FootnoteReference"/>
          <w:rFonts w:cstheme="minorHAnsi"/>
          <w:noProof/>
        </w:rPr>
        <w:footnoteReference w:id="40"/>
      </w:r>
      <w:r>
        <w:rPr>
          <w:noProof/>
        </w:rPr>
        <w:t xml:space="preserve"> </w:t>
      </w:r>
      <w:r>
        <w:rPr>
          <w:rFonts w:asciiTheme="minorHAnsi" w:hAnsiTheme="minorHAnsi"/>
          <w:noProof/>
        </w:rPr>
        <w:t>atlikt aizdom</w:t>
      </w:r>
      <w:r>
        <w:rPr>
          <w:rFonts w:asciiTheme="minorHAnsi" w:hAnsiTheme="minorHAnsi"/>
          <w:noProof/>
        </w:rPr>
        <w:t>īgo preču izlaišanu vai tās aizturēt. Šajā iedaļā “aizdomīgās preces” ir preces, par kurām ir aizdomas, ka tās pārkāpj preču zīmes, autortiesības un blakustiesības, ģeogrāfiskās izcelsmes norādes, patentus, funkcionālos modeļus, rūpnieciskos dizainparaugus</w:t>
      </w:r>
      <w:r>
        <w:rPr>
          <w:rFonts w:asciiTheme="minorHAnsi" w:hAnsiTheme="minorHAnsi"/>
          <w:noProof/>
        </w:rPr>
        <w:t xml:space="preserve">, integrālshēmu konfigurācijas shēmas vai augu šķirņu aizsardzības tiesības.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 xml:space="preserve">Katrai Pusei ir elektroniskas sistēmas, ar kurām muita var pārvaldīt apmierinātos vai reģistrētos pieprasījumus.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Katra Puse nodrošina, ka tās kompetentās iestādes neiekasē maksu</w:t>
      </w:r>
      <w:r>
        <w:rPr>
          <w:rFonts w:asciiTheme="minorHAnsi" w:hAnsiTheme="minorHAnsi"/>
          <w:noProof/>
        </w:rPr>
        <w:t xml:space="preserve">, kura segtu administratīvās izmaksas, kas rodas pieprasījuma apstrādē vai uzskaitē.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 xml:space="preserve">Katra Puse nodrošina, ka tās kompetentās iestādes saprātīgā termiņā pieņem lēmumu par pieprasījumu apmierināšanu vai reģistrēšanu.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Katra Puse nosaka, ka 1. punktā minēto</w:t>
      </w:r>
      <w:r>
        <w:rPr>
          <w:rFonts w:asciiTheme="minorHAnsi" w:hAnsiTheme="minorHAnsi"/>
          <w:noProof/>
        </w:rPr>
        <w:t xml:space="preserve">s pieprasījumus attiecina uz vairākiem sūtījumiem.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Attiecībā uz muitas kontrolē esošām precēm katra Puse nodrošina, ka tās muitas dienesti pēc savas iniciatīvas var atlikt aizdomīgo preču izlaišanu vai tās aizturēt.</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Katra Puse nodrošina, ka tās muitas die</w:t>
      </w:r>
      <w:r>
        <w:rPr>
          <w:rFonts w:asciiTheme="minorHAnsi" w:hAnsiTheme="minorHAnsi"/>
          <w:noProof/>
        </w:rPr>
        <w:t xml:space="preserve">nesti aizdomīgo preču identificēšanai izmanto riska analīzi.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Katra Puse var atļaut tās muitas dienestiem pēc pieprasījuma sniegt tiesību subjektam informāciju par precēm, arī to aprakstu un faktisko vai aplēsto daudzumu, un, ja zināms, nosūtītāja, importē</w:t>
      </w:r>
      <w:r>
        <w:rPr>
          <w:rFonts w:asciiTheme="minorHAnsi" w:hAnsiTheme="minorHAnsi"/>
          <w:noProof/>
        </w:rPr>
        <w:t>tāja, eksportētāja vai saņēmēja vārdu/nosaukumu un adresi, kā arī to preču izcelsmes vai proveniences valsti, kuru izlaišana ir apturēta vai kuras ir aizturētas.</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Katrai Pusei ir procedūras, kas ļauj aizdomīgās preces iznīcināt bez iepriekšējas administratī</w:t>
      </w:r>
      <w:r>
        <w:rPr>
          <w:rFonts w:asciiTheme="minorHAnsi" w:hAnsiTheme="minorHAnsi"/>
          <w:noProof/>
        </w:rPr>
        <w:t>vas procedūras vai tiesvedības pārkāpumu oficiālai konstatācijai, ja attiecīgās personas piekrīt vai neiebilst pret iznīcināšanu. Ja aizturētās preces netiek iznīcinātas, katra Puse nodrošina, ka, izņemot ārkārtas gadījumus, no šādām precēm atbrīvojas ārpu</w:t>
      </w:r>
      <w:r>
        <w:rPr>
          <w:rFonts w:asciiTheme="minorHAnsi" w:hAnsiTheme="minorHAnsi"/>
          <w:noProof/>
        </w:rPr>
        <w:t xml:space="preserve">s tirdzniecības aprites tā, lai izvairītos no kaitējuma tiesību subjektam.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 xml:space="preserve">Katrai Pusei ir procedūras, kas ļauj ātri iznīcināt viltotu preču zīmju preces un pirātiskas preces, kuras sūta pasta vai kurjerpasta sūtījumos.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 xml:space="preserve">Katra Puse nosaka, ka pēc muitas </w:t>
      </w:r>
      <w:r>
        <w:rPr>
          <w:rFonts w:asciiTheme="minorHAnsi" w:hAnsiTheme="minorHAnsi"/>
          <w:noProof/>
        </w:rPr>
        <w:t>dienestu pieprasījuma piešķirtā vai reģistrētā pieteikuma turētājam ir pienākums atlīdzināt muitas dienestiem vai citām personām, kuras rīkojas muitas dienestu vārdā, visas izmaksas, kas tām radušās no brīža, kad preces ir aizturētas vai kad to izlaišana i</w:t>
      </w:r>
      <w:r>
        <w:rPr>
          <w:rFonts w:asciiTheme="minorHAnsi" w:hAnsiTheme="minorHAnsi"/>
          <w:noProof/>
        </w:rPr>
        <w:t>r apturēta, ieskaitot izmaksas par preču uzglabāšanu, darbībām ar tām, kā arī visas izmaksas, kas saistītas ar preču iznīcināšanu vai likvidēšanu.</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Katra Puse var nolemt šo pantu nepiemērot tādu preču importam, ko tiesību subjekts laidis tirgū citā valstī v</w:t>
      </w:r>
      <w:r>
        <w:rPr>
          <w:rFonts w:asciiTheme="minorHAnsi" w:hAnsiTheme="minorHAnsi"/>
          <w:noProof/>
        </w:rPr>
        <w:t xml:space="preserve">ai kas laistas tirgū citā valstī ar tiesību subjekta piekrišanu. Puse var no šā panta piemērošanas jomas izslēgt nekomerciālas preces, kas atrodas ceļotāju personīgajā bagāžā.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Katra Puse ļauj saviem muitas dienestiem uzturēt regulāru dialogu un veicināt s</w:t>
      </w:r>
      <w:r>
        <w:rPr>
          <w:rFonts w:asciiTheme="minorHAnsi" w:hAnsiTheme="minorHAnsi"/>
          <w:noProof/>
        </w:rPr>
        <w:t xml:space="preserve">adarbību ar attiecīgajām ieinteresētajām personām un citām iestādēm, kas iesaistītas intelektuālā īpašuma tiesību piemērošanā.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Puses sadarbojas aizdomīgu preču starptautiskās tirdzniecības jautājumā. Proti, Puses, ciktāl iespējams, apmainās ar svarīgu inf</w:t>
      </w:r>
      <w:r>
        <w:rPr>
          <w:rFonts w:asciiTheme="minorHAnsi" w:hAnsiTheme="minorHAnsi"/>
          <w:noProof/>
        </w:rPr>
        <w:t xml:space="preserve">ormāciju par aizdomīgu preču tirdzniecību, kas ietekmē otru Pusi. </w:t>
      </w:r>
    </w:p>
    <w:p w:rsidR="003E022D" w:rsidRDefault="007D19D6">
      <w:pPr>
        <w:numPr>
          <w:ilvl w:val="0"/>
          <w:numId w:val="564"/>
        </w:numPr>
        <w:ind w:left="0" w:firstLine="0"/>
        <w:rPr>
          <w:rFonts w:asciiTheme="minorHAnsi" w:hAnsiTheme="minorHAnsi" w:cstheme="minorHAnsi"/>
          <w:noProof/>
        </w:rPr>
      </w:pPr>
      <w:r>
        <w:rPr>
          <w:rFonts w:asciiTheme="minorHAnsi" w:hAnsiTheme="minorHAnsi"/>
          <w:noProof/>
        </w:rPr>
        <w:t>Neskarot citas sadarbības formas, Protokolu par savstarpējo administratīvo palīdzību muitas lietās piemēro tādu intelektuālā īpašuma tiesību normatīvo aktu pārkāpumiem, kuru piemērošana sas</w:t>
      </w:r>
      <w:r>
        <w:rPr>
          <w:rFonts w:asciiTheme="minorHAnsi" w:hAnsiTheme="minorHAnsi"/>
          <w:noProof/>
        </w:rPr>
        <w:t>kaņā ar šo pantu ir Puses muitas dienestu kompetencē.</w:t>
      </w:r>
    </w:p>
    <w:p w:rsidR="003E022D" w:rsidRDefault="007D19D6">
      <w:pPr>
        <w:pStyle w:val="Article"/>
        <w:rPr>
          <w:noProof/>
        </w:rPr>
      </w:pPr>
      <w:r>
        <w:rPr>
          <w:noProof/>
        </w:rPr>
        <w:t xml:space="preserve">IP.54. pants. Saskanība ar </w:t>
      </w:r>
      <w:r>
        <w:rPr>
          <w:i/>
          <w:noProof/>
        </w:rPr>
        <w:t>GATT</w:t>
      </w:r>
      <w:r>
        <w:rPr>
          <w:noProof/>
        </w:rPr>
        <w:t xml:space="preserve"> 1994 un </w:t>
      </w:r>
      <w:r>
        <w:rPr>
          <w:i/>
          <w:noProof/>
        </w:rPr>
        <w:t>TRIPS</w:t>
      </w:r>
      <w:r>
        <w:rPr>
          <w:noProof/>
        </w:rPr>
        <w:t xml:space="preserve"> līgumu</w:t>
      </w:r>
    </w:p>
    <w:p w:rsidR="003E022D" w:rsidRDefault="007D19D6">
      <w:pPr>
        <w:rPr>
          <w:rFonts w:asciiTheme="minorHAnsi" w:hAnsiTheme="minorHAnsi" w:cstheme="minorHAnsi"/>
          <w:noProof/>
        </w:rPr>
      </w:pPr>
      <w:r>
        <w:rPr>
          <w:rFonts w:asciiTheme="minorHAnsi" w:hAnsiTheme="minorHAnsi"/>
          <w:noProof/>
        </w:rPr>
        <w:t>Muitas dienestiem veicot pasākumus uz robežas nolūkā nodrošināt intelektuālā īpašuma tiesību piemērošanu, neatkarīgi no tā, vai tas aplūkots šajā ied</w:t>
      </w:r>
      <w:r>
        <w:rPr>
          <w:rFonts w:asciiTheme="minorHAnsi" w:hAnsiTheme="minorHAnsi"/>
          <w:noProof/>
        </w:rPr>
        <w:t xml:space="preserve">aļā, Puses nodrošina, ka pasākumi atbilst to saistībām saskaņā ar </w:t>
      </w:r>
      <w:r>
        <w:rPr>
          <w:rFonts w:asciiTheme="minorHAnsi" w:hAnsiTheme="minorHAnsi"/>
          <w:i/>
          <w:noProof/>
        </w:rPr>
        <w:t>GATT</w:t>
      </w:r>
      <w:r>
        <w:rPr>
          <w:rFonts w:asciiTheme="minorHAnsi" w:hAnsiTheme="minorHAnsi"/>
          <w:noProof/>
        </w:rPr>
        <w:t xml:space="preserve"> 1994 un </w:t>
      </w:r>
      <w:r>
        <w:rPr>
          <w:rFonts w:asciiTheme="minorHAnsi" w:hAnsiTheme="minorHAnsi"/>
          <w:i/>
          <w:noProof/>
        </w:rPr>
        <w:t>TRIPS</w:t>
      </w:r>
      <w:r>
        <w:rPr>
          <w:rFonts w:asciiTheme="minorHAnsi" w:hAnsiTheme="minorHAnsi"/>
          <w:noProof/>
        </w:rPr>
        <w:t xml:space="preserve"> līgumu, jo īpaši </w:t>
      </w:r>
      <w:r>
        <w:rPr>
          <w:rFonts w:asciiTheme="minorHAnsi" w:hAnsiTheme="minorHAnsi"/>
          <w:i/>
          <w:noProof/>
        </w:rPr>
        <w:t>GATT</w:t>
      </w:r>
      <w:r>
        <w:rPr>
          <w:rFonts w:asciiTheme="minorHAnsi" w:hAnsiTheme="minorHAnsi"/>
          <w:noProof/>
        </w:rPr>
        <w:t xml:space="preserve"> 1994 V pantam un </w:t>
      </w:r>
      <w:r>
        <w:rPr>
          <w:rFonts w:asciiTheme="minorHAnsi" w:hAnsiTheme="minorHAnsi"/>
          <w:i/>
          <w:noProof/>
        </w:rPr>
        <w:t>TRIPS</w:t>
      </w:r>
      <w:r>
        <w:rPr>
          <w:rFonts w:asciiTheme="minorHAnsi" w:hAnsiTheme="minorHAnsi"/>
          <w:noProof/>
        </w:rPr>
        <w:t xml:space="preserve"> līguma III daļas 41. pantam un 4. iedaļai. </w:t>
      </w:r>
    </w:p>
    <w:p w:rsidR="003E022D" w:rsidRDefault="007D19D6">
      <w:pPr>
        <w:pStyle w:val="Chapter"/>
        <w:rPr>
          <w:noProof/>
        </w:rPr>
      </w:pPr>
      <w:r>
        <w:rPr>
          <w:noProof/>
        </w:rPr>
        <w:t>4. nodaļa. Citi noteikumi</w:t>
      </w:r>
    </w:p>
    <w:p w:rsidR="003E022D" w:rsidRDefault="007D19D6">
      <w:pPr>
        <w:pStyle w:val="Article"/>
        <w:rPr>
          <w:noProof/>
        </w:rPr>
      </w:pPr>
      <w:r>
        <w:rPr>
          <w:noProof/>
        </w:rPr>
        <w:t>IP.55. pants. Sadarbība</w:t>
      </w:r>
    </w:p>
    <w:p w:rsidR="003E022D" w:rsidRDefault="007D19D6">
      <w:pPr>
        <w:numPr>
          <w:ilvl w:val="0"/>
          <w:numId w:val="565"/>
        </w:numPr>
        <w:ind w:left="0" w:firstLine="0"/>
        <w:rPr>
          <w:rFonts w:asciiTheme="minorHAnsi" w:hAnsiTheme="minorHAnsi" w:cstheme="minorHAnsi"/>
          <w:noProof/>
        </w:rPr>
      </w:pPr>
      <w:r>
        <w:rPr>
          <w:rFonts w:asciiTheme="minorHAnsi" w:hAnsiTheme="minorHAnsi"/>
          <w:noProof/>
        </w:rPr>
        <w:t>Puses sadarbojas, lai atbalstītu</w:t>
      </w:r>
      <w:r>
        <w:rPr>
          <w:rFonts w:asciiTheme="minorHAnsi" w:hAnsiTheme="minorHAnsi"/>
          <w:noProof/>
        </w:rPr>
        <w:t xml:space="preserve"> to saistību un pienākumu izpildi, ko tās uzņēmušās saskaņā ar šo sadaļu.</w:t>
      </w:r>
    </w:p>
    <w:p w:rsidR="003E022D" w:rsidRDefault="007D19D6">
      <w:pPr>
        <w:numPr>
          <w:ilvl w:val="0"/>
          <w:numId w:val="565"/>
        </w:numPr>
        <w:ind w:left="0" w:firstLine="0"/>
        <w:rPr>
          <w:rFonts w:asciiTheme="minorHAnsi" w:hAnsiTheme="minorHAnsi" w:cstheme="minorHAnsi"/>
          <w:noProof/>
        </w:rPr>
      </w:pPr>
      <w:r>
        <w:rPr>
          <w:rFonts w:asciiTheme="minorHAnsi" w:hAnsiTheme="minorHAnsi"/>
          <w:noProof/>
        </w:rPr>
        <w:t xml:space="preserve">Sadarbības jomas cita starpā ietver šādas darbības: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informācijas apmaiņa par intelektuālā īpašuma tiesību tiesisko regulējumu un attiecīgajiem tiesību aizsardzības un piemērošana</w:t>
      </w:r>
      <w:r>
        <w:rPr>
          <w:rFonts w:asciiTheme="minorHAnsi" w:hAnsiTheme="minorHAnsi"/>
          <w:noProof/>
        </w:rPr>
        <w:t xml:space="preserve">s noteikumiem;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pieredzes apmaiņa par likumdošanas progresu, intelektuālā īpašuma tiesību izpildi un muitas, policijas, administratīvo un tiesu iestāžu veikto piemērošanu centrālajā un zemākā līmenī; </w:t>
      </w:r>
    </w:p>
    <w:p w:rsidR="003E022D" w:rsidRDefault="007D19D6">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 xml:space="preserve">koordinācija, arī ar citām valstīm, kuras nolūks ir novērst viltotu preču eksportu; </w:t>
      </w:r>
    </w:p>
    <w:p w:rsidR="003E022D" w:rsidRDefault="007D19D6">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 xml:space="preserve">tehniskā palīdzība, spēju veidošana, personāla apmaiņa un apmācība; </w:t>
      </w:r>
    </w:p>
    <w:p w:rsidR="003E022D" w:rsidRDefault="007D19D6">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intelektuālā īpašuma tiesību aizsardzība un aizstāvēšana un informācijas izplatīšana šajā sakarā</w:t>
      </w:r>
      <w:r>
        <w:rPr>
          <w:rFonts w:asciiTheme="minorHAnsi" w:hAnsiTheme="minorHAnsi"/>
          <w:noProof/>
        </w:rPr>
        <w:t xml:space="preserve">, arī uzņēmēju aprindās un pilsoniskajā sabiedrībā; </w:t>
      </w:r>
    </w:p>
    <w:p w:rsidR="003E022D" w:rsidRDefault="007D19D6">
      <w:pPr>
        <w:ind w:left="567" w:hanging="567"/>
        <w:rPr>
          <w:rFonts w:asciiTheme="minorHAnsi" w:hAnsiTheme="minorHAnsi" w:cstheme="minorHAnsi"/>
          <w:noProof/>
        </w:rPr>
      </w:pPr>
      <w:r>
        <w:rPr>
          <w:rFonts w:asciiTheme="minorHAnsi" w:hAnsiTheme="minorHAnsi"/>
          <w:noProof/>
        </w:rPr>
        <w:t>f)</w:t>
      </w:r>
      <w:r>
        <w:rPr>
          <w:noProof/>
        </w:rPr>
        <w:tab/>
      </w:r>
      <w:r>
        <w:rPr>
          <w:rFonts w:asciiTheme="minorHAnsi" w:hAnsiTheme="minorHAnsi"/>
          <w:noProof/>
        </w:rPr>
        <w:t xml:space="preserve">patērētāju un tiesību subjektu informēšana; </w:t>
      </w:r>
    </w:p>
    <w:p w:rsidR="003E022D" w:rsidRDefault="007D19D6">
      <w:pPr>
        <w:ind w:left="567" w:hanging="567"/>
        <w:rPr>
          <w:rFonts w:asciiTheme="minorHAnsi" w:hAnsiTheme="minorHAnsi" w:cstheme="minorHAnsi"/>
          <w:noProof/>
        </w:rPr>
      </w:pPr>
      <w:r>
        <w:rPr>
          <w:rFonts w:asciiTheme="minorHAnsi" w:hAnsiTheme="minorHAnsi"/>
          <w:noProof/>
        </w:rPr>
        <w:t xml:space="preserve">g) </w:t>
      </w:r>
      <w:r>
        <w:rPr>
          <w:noProof/>
        </w:rPr>
        <w:tab/>
      </w:r>
      <w:r>
        <w:rPr>
          <w:rFonts w:asciiTheme="minorHAnsi" w:hAnsiTheme="minorHAnsi"/>
          <w:noProof/>
        </w:rPr>
        <w:t xml:space="preserve">iestāžu sadarbības uzlabošana, jo īpaši starp Pušu intelektuālā īpašuma aizsardzības iestādēm; </w:t>
      </w:r>
    </w:p>
    <w:p w:rsidR="003E022D" w:rsidRDefault="007D19D6">
      <w:pPr>
        <w:ind w:left="567" w:hanging="567"/>
        <w:rPr>
          <w:rFonts w:asciiTheme="minorHAnsi" w:hAnsiTheme="minorHAnsi" w:cstheme="minorHAnsi"/>
          <w:noProof/>
        </w:rPr>
      </w:pPr>
      <w:r>
        <w:rPr>
          <w:rFonts w:asciiTheme="minorHAnsi" w:hAnsiTheme="minorHAnsi"/>
          <w:noProof/>
        </w:rPr>
        <w:t>h)</w:t>
      </w:r>
      <w:r>
        <w:rPr>
          <w:noProof/>
        </w:rPr>
        <w:tab/>
      </w:r>
      <w:r>
        <w:rPr>
          <w:rFonts w:asciiTheme="minorHAnsi" w:hAnsiTheme="minorHAnsi"/>
          <w:noProof/>
        </w:rPr>
        <w:t>sabiedrības izglītošana un sabiedrības izpratnes vei</w:t>
      </w:r>
      <w:r>
        <w:rPr>
          <w:rFonts w:asciiTheme="minorHAnsi" w:hAnsiTheme="minorHAnsi"/>
          <w:noProof/>
        </w:rPr>
        <w:t xml:space="preserve">cināšana par intelektuālā īpašuma tiesību aizsardzības un piemērošanas politiku; </w:t>
      </w:r>
    </w:p>
    <w:p w:rsidR="003E022D" w:rsidRDefault="007D19D6">
      <w:pPr>
        <w:ind w:left="567"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 xml:space="preserve">intelektuālā īpašuma tiesību aizsardzības un piemērošanas veicināšana publiskā un privātā sektora sadarbības ceļā, iesaistot mazos un vidējos uzņēmumus;  </w:t>
      </w:r>
    </w:p>
    <w:p w:rsidR="003E022D" w:rsidRDefault="007D19D6">
      <w:pPr>
        <w:ind w:left="567" w:hanging="567"/>
        <w:rPr>
          <w:rFonts w:asciiTheme="minorHAnsi" w:hAnsiTheme="minorHAnsi" w:cstheme="minorHAnsi"/>
          <w:noProof/>
        </w:rPr>
      </w:pPr>
      <w:r>
        <w:rPr>
          <w:rFonts w:asciiTheme="minorHAnsi" w:hAnsiTheme="minorHAnsi"/>
          <w:noProof/>
        </w:rPr>
        <w:t>j)</w:t>
      </w:r>
      <w:r>
        <w:rPr>
          <w:noProof/>
        </w:rPr>
        <w:tab/>
      </w:r>
      <w:r>
        <w:rPr>
          <w:rFonts w:asciiTheme="minorHAnsi" w:hAnsiTheme="minorHAnsi"/>
          <w:noProof/>
        </w:rPr>
        <w:t>iedarbīgu str</w:t>
      </w:r>
      <w:r>
        <w:rPr>
          <w:rFonts w:asciiTheme="minorHAnsi" w:hAnsiTheme="minorHAnsi"/>
          <w:noProof/>
        </w:rPr>
        <w:t xml:space="preserve">atēģiju izstrāde ar mērķi noteikt mērķauditoriju un informēšanas programmas, kas palīdzētu palielināt patērētāju un plašsaziņas līdzekļu informētību par intelektuālā īpašuma tiesību pārkāpumu ietekmi, arī par draudiem veselībai un drošībai un par saistību </w:t>
      </w:r>
      <w:r>
        <w:rPr>
          <w:rFonts w:asciiTheme="minorHAnsi" w:hAnsiTheme="minorHAnsi"/>
          <w:noProof/>
        </w:rPr>
        <w:t xml:space="preserve">ar organizēto noziedzību. </w:t>
      </w:r>
    </w:p>
    <w:p w:rsidR="003E022D" w:rsidRDefault="007D19D6">
      <w:pPr>
        <w:numPr>
          <w:ilvl w:val="0"/>
          <w:numId w:val="565"/>
        </w:numPr>
        <w:ind w:left="0" w:firstLine="0"/>
        <w:rPr>
          <w:rFonts w:asciiTheme="minorHAnsi" w:hAnsiTheme="minorHAnsi" w:cstheme="minorHAnsi"/>
          <w:noProof/>
        </w:rPr>
      </w:pPr>
      <w:r>
        <w:rPr>
          <w:rFonts w:asciiTheme="minorHAnsi" w:hAnsiTheme="minorHAnsi"/>
          <w:noProof/>
        </w:rPr>
        <w:t xml:space="preserve">Puses tieši vai ar Tirdzniecības specializētās intelektuālā īpašuma komitejas starpniecību uztur kontaktus visos jautājumos, kas saistīti ar šīs sadaļas īstenošanu un darbību. </w:t>
      </w:r>
    </w:p>
    <w:p w:rsidR="003E022D" w:rsidRDefault="007D19D6">
      <w:pPr>
        <w:pStyle w:val="Article"/>
        <w:rPr>
          <w:noProof/>
        </w:rPr>
      </w:pPr>
      <w:r>
        <w:rPr>
          <w:noProof/>
        </w:rPr>
        <w:t>IP.56. pants. Brīvprātīgas ieinteresēto personu inic</w:t>
      </w:r>
      <w:r>
        <w:rPr>
          <w:noProof/>
        </w:rPr>
        <w:t>iatīvas</w:t>
      </w:r>
    </w:p>
    <w:p w:rsidR="003E022D" w:rsidRDefault="007D19D6">
      <w:pPr>
        <w:rPr>
          <w:rFonts w:asciiTheme="minorHAnsi" w:hAnsiTheme="minorHAnsi" w:cstheme="minorHAnsi"/>
          <w:noProof/>
        </w:rPr>
      </w:pPr>
      <w:r>
        <w:rPr>
          <w:rFonts w:asciiTheme="minorHAnsi" w:hAnsiTheme="minorHAnsi"/>
          <w:noProof/>
        </w:rPr>
        <w:t xml:space="preserve">Katra Puse cenšas veicināt ieinteresēto personu brīvprātīgas iniciatīvas, kuru nolūks ir samazināt intelektuālā īpašuma tiesību pārkāpumus, arī tiešsaistē un citās tirdzniecības vietās, koncentrējoties uz konkrētām problēmām un meklējot praktiskus </w:t>
      </w:r>
      <w:r>
        <w:rPr>
          <w:rFonts w:asciiTheme="minorHAnsi" w:hAnsiTheme="minorHAnsi"/>
          <w:noProof/>
        </w:rPr>
        <w:t xml:space="preserve">risinājumus, kas ir reālistiski, līdzsvaroti, samērīgi un taisnīgi visām iesaistītajām personām, tai skaitā šādos veidos: </w:t>
      </w:r>
    </w:p>
    <w:p w:rsidR="003E022D" w:rsidRDefault="007D19D6">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katra Puse cenšas savā teritorijā sapulcināt ieinteresētās personas nolūkā veicināt brīvprātīgas iniciatīvas, kuru mērķis ir rast risinājumus un atrisināt domstarpības intelektuālā īpašuma tiesību aizsardzības un izpildes jomā un samazināt pārkāpumu skaitu</w:t>
      </w:r>
      <w:r>
        <w:rPr>
          <w:rFonts w:asciiTheme="minorHAnsi" w:hAnsiTheme="minorHAnsi"/>
          <w:noProof/>
        </w:rPr>
        <w:t xml:space="preserve">; </w:t>
      </w:r>
    </w:p>
    <w:p w:rsidR="003E022D" w:rsidRDefault="007D19D6">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Puses tiecas savstarpēji apmainīties ar informāciju par centieniem veicināt ieinteresēto personu brīvprātīgas iniciatīvas to attiecīgajās teritorijās; un</w:t>
      </w:r>
    </w:p>
    <w:p w:rsidR="003E022D" w:rsidRDefault="007D19D6">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Puses cenšas veicināt atklātu dialogu un sadarbību starp Pušu ieinteresētajām personām un mud</w:t>
      </w:r>
      <w:r>
        <w:rPr>
          <w:rFonts w:asciiTheme="minorHAnsi" w:hAnsiTheme="minorHAnsi"/>
          <w:noProof/>
        </w:rPr>
        <w:t>ināt Pušu ieinteresētās personas kopīgi rast risinājumus un atrisināt domstarpības par intelektuālā īpašuma tiesību aizsardzību un piemērošanu un pārkāpumu skaita samazināšanu.</w:t>
      </w:r>
    </w:p>
    <w:p w:rsidR="003E022D" w:rsidRDefault="007D19D6">
      <w:pPr>
        <w:pStyle w:val="Article"/>
        <w:rPr>
          <w:noProof/>
        </w:rPr>
      </w:pPr>
      <w:r>
        <w:rPr>
          <w:noProof/>
        </w:rPr>
        <w:t>IP.57. pants. Ar ģeogrāfiskās izcelsmes norādēm saistītā pārskatīšana</w:t>
      </w:r>
    </w:p>
    <w:p w:rsidR="003E022D" w:rsidRDefault="007D19D6">
      <w:pPr>
        <w:rPr>
          <w:rFonts w:eastAsia="Calibri" w:cs="Calibri"/>
          <w:noProof/>
        </w:rPr>
      </w:pPr>
      <w:r>
        <w:rPr>
          <w:rFonts w:asciiTheme="minorHAnsi" w:hAnsiTheme="minorHAnsi"/>
          <w:noProof/>
        </w:rPr>
        <w:t>Ņemot vēr</w:t>
      </w:r>
      <w:r>
        <w:rPr>
          <w:rFonts w:asciiTheme="minorHAnsi" w:hAnsiTheme="minorHAnsi"/>
          <w:noProof/>
        </w:rPr>
        <w:t>ā attiecīgos noteikumus jebkurā iepriekšējā divpusējā līgumā starp Apvienoto Karalisti, no vienas puses, un Eiropas Savienību un Eiropas Atomenerģijas kopienu, no otras puses, Puses var kopīgi pielikt saprātīgas pūles, lai vienotos par noteikumiem attiecīb</w:t>
      </w:r>
      <w:r>
        <w:rPr>
          <w:rFonts w:asciiTheme="minorHAnsi" w:hAnsiTheme="minorHAnsi"/>
          <w:noProof/>
        </w:rPr>
        <w:t>ā uz Pušu ģeogrāfiskās izcelsmes norāžu aizsardzību un faktisku piemērošanu vietējā līmenī.</w:t>
      </w:r>
    </w:p>
    <w:p w:rsidR="003E022D" w:rsidRDefault="007D19D6">
      <w:pPr>
        <w:pStyle w:val="Title1"/>
        <w:rPr>
          <w:noProof/>
        </w:rPr>
      </w:pPr>
      <w:bookmarkStart w:id="170" w:name="_Toc59629183"/>
      <w:bookmarkStart w:id="171" w:name="_Toc59988343"/>
      <w:r>
        <w:rPr>
          <w:noProof/>
        </w:rPr>
        <w:t>VI sadaļa. Publiskais iepirkums</w:t>
      </w:r>
      <w:bookmarkEnd w:id="170"/>
      <w:bookmarkEnd w:id="171"/>
    </w:p>
    <w:p w:rsidR="003E022D" w:rsidRDefault="007D19D6">
      <w:pPr>
        <w:pStyle w:val="Chapter"/>
        <w:rPr>
          <w:noProof/>
        </w:rPr>
      </w:pPr>
      <w:r>
        <w:rPr>
          <w:noProof/>
        </w:rPr>
        <w:t>1. nodaļa. Darbības joma</w:t>
      </w:r>
    </w:p>
    <w:p w:rsidR="003E022D" w:rsidRDefault="007D19D6">
      <w:pPr>
        <w:pStyle w:val="Article"/>
        <w:rPr>
          <w:b/>
          <w:bCs/>
          <w:noProof/>
        </w:rPr>
      </w:pPr>
      <w:r>
        <w:rPr>
          <w:noProof/>
        </w:rPr>
        <w:t>PPROC.1. pants. Mērķis</w:t>
      </w:r>
    </w:p>
    <w:p w:rsidR="003E022D" w:rsidRDefault="007D19D6">
      <w:pPr>
        <w:rPr>
          <w:rFonts w:cstheme="minorHAnsi"/>
          <w:noProof/>
        </w:rPr>
      </w:pPr>
      <w:r>
        <w:rPr>
          <w:noProof/>
        </w:rPr>
        <w:t>Šīs sadaļas mērķis ir garantēt katras Puses piegādātājiem lielākas iespējas piedalīt</w:t>
      </w:r>
      <w:r>
        <w:rPr>
          <w:noProof/>
        </w:rPr>
        <w:t>ies publiskā iepirkuma procedūrās un uzlabot publiskā iepirkuma procedūru pārredzamību.</w:t>
      </w:r>
    </w:p>
    <w:p w:rsidR="003E022D" w:rsidRDefault="007D19D6">
      <w:pPr>
        <w:pStyle w:val="Article"/>
        <w:rPr>
          <w:b/>
          <w:bCs/>
          <w:noProof/>
        </w:rPr>
      </w:pPr>
      <w:r>
        <w:rPr>
          <w:noProof/>
        </w:rPr>
        <w:t>PPROC.2. pants. Dažu Nolīguma par valsts iepirkumu noteikumu iekļaušana un aptvertais iepirkums</w:t>
      </w:r>
    </w:p>
    <w:p w:rsidR="003E022D" w:rsidRDefault="007D19D6">
      <w:pPr>
        <w:rPr>
          <w:rFonts w:cstheme="minorHAnsi"/>
          <w:noProof/>
        </w:rPr>
      </w:pPr>
      <w:r>
        <w:rPr>
          <w:noProof/>
        </w:rPr>
        <w:t xml:space="preserve">1. </w:t>
      </w:r>
      <w:r>
        <w:rPr>
          <w:noProof/>
        </w:rPr>
        <w:tab/>
        <w:t>Ar šo šajā sadaļā iekļauj Nolīguma par valsts iepirkumu (“GPA”) note</w:t>
      </w:r>
      <w:r>
        <w:rPr>
          <w:noProof/>
        </w:rPr>
        <w:t xml:space="preserve">ikumus, kas norādīti PPROC-1. pielikuma A iedaļā, ieskaitot katras Puses pielikumus </w:t>
      </w:r>
      <w:r>
        <w:rPr>
          <w:i/>
          <w:iCs/>
          <w:noProof/>
        </w:rPr>
        <w:t>GPA</w:t>
      </w:r>
      <w:r>
        <w:rPr>
          <w:noProof/>
        </w:rPr>
        <w:t xml:space="preserve"> I papildinājumam.</w:t>
      </w:r>
    </w:p>
    <w:p w:rsidR="003E022D" w:rsidRDefault="007D19D6">
      <w:pPr>
        <w:rPr>
          <w:rFonts w:cstheme="minorHAnsi"/>
          <w:noProof/>
        </w:rPr>
      </w:pPr>
      <w:r>
        <w:rPr>
          <w:noProof/>
        </w:rPr>
        <w:t xml:space="preserve">2. </w:t>
      </w:r>
      <w:r>
        <w:rPr>
          <w:noProof/>
        </w:rPr>
        <w:tab/>
        <w:t xml:space="preserve">Šajā sadaļā “aptvertais iepirkums” ir iepirkums, kam piemēro </w:t>
      </w:r>
      <w:r>
        <w:rPr>
          <w:i/>
          <w:iCs/>
          <w:noProof/>
        </w:rPr>
        <w:t>GPA</w:t>
      </w:r>
      <w:r>
        <w:rPr>
          <w:noProof/>
        </w:rPr>
        <w:t xml:space="preserve"> II pantu, un arī iepirkums, kas norādīts PPROC-1. pielikuma B iedaļā.</w:t>
      </w:r>
    </w:p>
    <w:p w:rsidR="003E022D" w:rsidRDefault="007D19D6">
      <w:pPr>
        <w:rPr>
          <w:rFonts w:cstheme="minorHAnsi"/>
          <w:noProof/>
        </w:rPr>
      </w:pPr>
      <w:r>
        <w:rPr>
          <w:noProof/>
        </w:rPr>
        <w:t xml:space="preserve">3. </w:t>
      </w:r>
      <w:r>
        <w:rPr>
          <w:noProof/>
        </w:rPr>
        <w:tab/>
      </w:r>
      <w:r>
        <w:rPr>
          <w:noProof/>
        </w:rPr>
        <w:t xml:space="preserve">Attiecībā uz aptverto iepirkumu katra Puse otras Puses piegādātājiem, precēm vai pakalpojumiem </w:t>
      </w:r>
      <w:r>
        <w:rPr>
          <w:i/>
          <w:iCs/>
          <w:noProof/>
        </w:rPr>
        <w:t xml:space="preserve">mutatis mutandis </w:t>
      </w:r>
      <w:r>
        <w:rPr>
          <w:noProof/>
        </w:rPr>
        <w:t xml:space="preserve">piemēro PPROC-1. pielikuma A iedaļā norādītos </w:t>
      </w:r>
      <w:r>
        <w:rPr>
          <w:i/>
          <w:iCs/>
          <w:noProof/>
        </w:rPr>
        <w:t>GPA</w:t>
      </w:r>
      <w:r>
        <w:rPr>
          <w:noProof/>
        </w:rPr>
        <w:t xml:space="preserve"> noteikumus.</w:t>
      </w:r>
    </w:p>
    <w:p w:rsidR="003E022D" w:rsidRDefault="007D19D6">
      <w:pPr>
        <w:pStyle w:val="Chapter"/>
        <w:rPr>
          <w:noProof/>
        </w:rPr>
      </w:pPr>
      <w:r>
        <w:rPr>
          <w:noProof/>
        </w:rPr>
        <w:t>2. nodaļa. Papildu noteikumi aptvertajam iepirkumam</w:t>
      </w:r>
    </w:p>
    <w:p w:rsidR="003E022D" w:rsidRDefault="007D19D6">
      <w:pPr>
        <w:pStyle w:val="Article"/>
        <w:rPr>
          <w:b/>
          <w:bCs/>
          <w:noProof/>
        </w:rPr>
      </w:pPr>
      <w:r>
        <w:rPr>
          <w:noProof/>
        </w:rPr>
        <w:t>PPROC.3. pants. Elektronisko l</w:t>
      </w:r>
      <w:r>
        <w:rPr>
          <w:noProof/>
        </w:rPr>
        <w:t>īdzekļu izmantošana iepirkumā</w:t>
      </w:r>
    </w:p>
    <w:p w:rsidR="003E022D" w:rsidRDefault="007D19D6">
      <w:pPr>
        <w:rPr>
          <w:rFonts w:cstheme="minorHAnsi"/>
          <w:noProof/>
        </w:rPr>
      </w:pPr>
      <w:r>
        <w:rPr>
          <w:noProof/>
        </w:rPr>
        <w:t xml:space="preserve">1. </w:t>
      </w:r>
      <w:r>
        <w:rPr>
          <w:noProof/>
        </w:rPr>
        <w:tab/>
        <w:t>Katra Puse nodrošina, ka tās iepirkuma veicēji aptverto iepirkumu īsteno, iespējami plašāk izmantojot elektroniskos līdzekļus.</w:t>
      </w:r>
    </w:p>
    <w:p w:rsidR="003E022D" w:rsidRDefault="007D19D6">
      <w:pPr>
        <w:rPr>
          <w:rFonts w:cstheme="minorHAnsi"/>
          <w:noProof/>
        </w:rPr>
      </w:pPr>
      <w:r>
        <w:rPr>
          <w:noProof/>
        </w:rPr>
        <w:t xml:space="preserve">2. </w:t>
      </w:r>
      <w:r>
        <w:rPr>
          <w:noProof/>
        </w:rPr>
        <w:tab/>
        <w:t>Uzskata, ka iepirkuma veicējs aptverto iepirkumu īsteno ar elektroniskiem līdzekļiem, ja ie</w:t>
      </w:r>
      <w:r>
        <w:rPr>
          <w:noProof/>
        </w:rPr>
        <w:t>pirkuma veicējs izmanto elektroniskos informācijas un saziņas līdzekļus šādām vajadzībām:</w:t>
      </w:r>
    </w:p>
    <w:p w:rsidR="003E022D" w:rsidRDefault="007D19D6">
      <w:pPr>
        <w:rPr>
          <w:rFonts w:cstheme="minorHAnsi"/>
          <w:noProof/>
        </w:rPr>
      </w:pPr>
      <w:r>
        <w:rPr>
          <w:noProof/>
        </w:rPr>
        <w:t>a)</w:t>
      </w:r>
      <w:r>
        <w:rPr>
          <w:noProof/>
        </w:rPr>
        <w:tab/>
        <w:t>paziņojumu un iepirkuma dokumentācijas publicēšana iepirkuma procedūrās; un</w:t>
      </w:r>
    </w:p>
    <w:p w:rsidR="003E022D" w:rsidRDefault="007D19D6">
      <w:pPr>
        <w:rPr>
          <w:rFonts w:cstheme="minorHAnsi"/>
          <w:noProof/>
        </w:rPr>
      </w:pPr>
      <w:r>
        <w:rPr>
          <w:noProof/>
        </w:rPr>
        <w:t>b)</w:t>
      </w:r>
      <w:r>
        <w:rPr>
          <w:noProof/>
        </w:rPr>
        <w:tab/>
        <w:t>dalības pieteikumu un piedāvājumu iesniegšana.</w:t>
      </w:r>
    </w:p>
    <w:p w:rsidR="003E022D" w:rsidRDefault="007D19D6">
      <w:pPr>
        <w:rPr>
          <w:rFonts w:cstheme="minorHAnsi"/>
          <w:noProof/>
        </w:rPr>
      </w:pPr>
      <w:r>
        <w:rPr>
          <w:noProof/>
        </w:rPr>
        <w:t xml:space="preserve">3. </w:t>
      </w:r>
      <w:r>
        <w:rPr>
          <w:noProof/>
        </w:rPr>
        <w:tab/>
        <w:t>Izņemot īpašas situācijas, šādi e</w:t>
      </w:r>
      <w:r>
        <w:rPr>
          <w:noProof/>
        </w:rPr>
        <w:t>lektroniskie informācijas un saziņas līdzekļi ir nediskriminējoši, vispārpieejami un sadarbspējīgi ar vispārlietotiem informācijas un komunikācijas tehnoloģiju produktiem, un tie neierobežo piekļuvi iepirkuma procedūrai.</w:t>
      </w:r>
    </w:p>
    <w:p w:rsidR="003E022D" w:rsidRDefault="007D19D6">
      <w:pPr>
        <w:rPr>
          <w:rFonts w:cstheme="minorHAnsi"/>
          <w:noProof/>
        </w:rPr>
      </w:pPr>
      <w:r>
        <w:rPr>
          <w:noProof/>
        </w:rPr>
        <w:t xml:space="preserve">4. </w:t>
      </w:r>
      <w:r>
        <w:rPr>
          <w:noProof/>
        </w:rPr>
        <w:tab/>
        <w:t>Katra Puse nodrošina, ka saskaņ</w:t>
      </w:r>
      <w:r>
        <w:rPr>
          <w:noProof/>
        </w:rPr>
        <w:t>ā ar tās tiesību aktiem tās iepirkuma veicēji saņem un apstrādā elektroniskos rēķinus.</w:t>
      </w:r>
    </w:p>
    <w:p w:rsidR="003E022D" w:rsidRDefault="007D19D6">
      <w:pPr>
        <w:pStyle w:val="Article"/>
        <w:rPr>
          <w:b/>
          <w:bCs/>
          <w:noProof/>
        </w:rPr>
      </w:pPr>
      <w:r>
        <w:rPr>
          <w:noProof/>
        </w:rPr>
        <w:t>PPROC.4. pants. Elektroniskā publikācija</w:t>
      </w:r>
    </w:p>
    <w:p w:rsidR="003E022D" w:rsidRDefault="007D19D6">
      <w:pPr>
        <w:rPr>
          <w:rFonts w:cstheme="minorHAnsi"/>
          <w:noProof/>
        </w:rPr>
      </w:pPr>
      <w:r>
        <w:rPr>
          <w:noProof/>
        </w:rPr>
        <w:t>Attiecībā uz aptverto iepirkumu visi paziņojumi par iepirkumu, ieskaitot paziņojumus par paredzētu iepirkumu, kopsavilkuma paziņ</w:t>
      </w:r>
      <w:r>
        <w:rPr>
          <w:noProof/>
        </w:rPr>
        <w:t xml:space="preserve">ojumus, paziņojumus par plānotu iepirkumu un paziņojumus par līguma slēgšanas tiesību piešķiršanu, ir bez maksas tieši pieejami elektroniskā veidā, izmantojot vienotu piekļuves punktu internetā. </w:t>
      </w:r>
    </w:p>
    <w:p w:rsidR="003E022D" w:rsidRDefault="007D19D6">
      <w:pPr>
        <w:pStyle w:val="Article"/>
        <w:rPr>
          <w:b/>
          <w:bCs/>
          <w:noProof/>
        </w:rPr>
      </w:pPr>
      <w:r>
        <w:rPr>
          <w:noProof/>
        </w:rPr>
        <w:t>PPROC.5. pants. Apstiprinoši pierādījumi</w:t>
      </w:r>
    </w:p>
    <w:p w:rsidR="003E022D" w:rsidRDefault="007D19D6">
      <w:pPr>
        <w:rPr>
          <w:rFonts w:cstheme="minorHAnsi"/>
          <w:noProof/>
        </w:rPr>
      </w:pPr>
      <w:r>
        <w:rPr>
          <w:noProof/>
        </w:rPr>
        <w:t>Katra Puse nodrošin</w:t>
      </w:r>
      <w:r>
        <w:rPr>
          <w:noProof/>
        </w:rPr>
        <w:t>a, ka dalības pieteikumu iesniegšanas laikā vai piedāvājumu iesniegšanas laikā iepirkuma veicēji nepieprasa piegādātājiem iesniegt visus apstiprinošos pierādījumus vai to daļu, kas apliecina, ka tie neatrodas nevienā no situācijām, kurās piegādātāju var iz</w:t>
      </w:r>
      <w:r>
        <w:rPr>
          <w:noProof/>
        </w:rPr>
        <w:t>slēgt, un atbilst dalības nosacījumiem, ja vien tas nav nepieciešams iepirkuma pareizai veikšanai.</w:t>
      </w:r>
    </w:p>
    <w:p w:rsidR="003E022D" w:rsidRDefault="007D19D6">
      <w:pPr>
        <w:pStyle w:val="Article"/>
        <w:rPr>
          <w:b/>
          <w:bCs/>
          <w:noProof/>
        </w:rPr>
      </w:pPr>
      <w:r>
        <w:rPr>
          <w:noProof/>
        </w:rPr>
        <w:t>PPROC.6. pants. Dalības nosacījumi</w:t>
      </w:r>
    </w:p>
    <w:p w:rsidR="003E022D" w:rsidRDefault="007D19D6">
      <w:pPr>
        <w:rPr>
          <w:rFonts w:cstheme="minorHAnsi"/>
          <w:noProof/>
        </w:rPr>
      </w:pPr>
      <w:r>
        <w:rPr>
          <w:noProof/>
        </w:rPr>
        <w:t>Katra Puse nodrošina, ka gadījumā, kad tās iepirkuma veicēji kā nosacījumu dalībai aptvertajā iepirkumā pieprasa piegādātā</w:t>
      </w:r>
      <w:r>
        <w:rPr>
          <w:noProof/>
        </w:rPr>
        <w:t xml:space="preserve">jam pierādīt iepriekšēju pieredzi, tās neprasa, lai piegādātājam būtu šāda pieredze minētās Puses teritorijā. </w:t>
      </w:r>
    </w:p>
    <w:p w:rsidR="003E022D" w:rsidRDefault="007D19D6">
      <w:pPr>
        <w:pStyle w:val="Article"/>
        <w:rPr>
          <w:b/>
          <w:bCs/>
          <w:noProof/>
        </w:rPr>
      </w:pPr>
      <w:r>
        <w:rPr>
          <w:noProof/>
        </w:rPr>
        <w:t>PPROC.7. pants. Reģistrācijas sistēmas un kvalificēšanas procedūras</w:t>
      </w:r>
    </w:p>
    <w:p w:rsidR="003E022D" w:rsidRDefault="007D19D6">
      <w:pPr>
        <w:rPr>
          <w:rFonts w:cstheme="minorHAnsi"/>
          <w:noProof/>
        </w:rPr>
      </w:pPr>
      <w:r>
        <w:rPr>
          <w:noProof/>
        </w:rPr>
        <w:t xml:space="preserve">Puse, kurai ir izveidota piegādātāju reģistrācijas sistēma, nodrošina, ka ieinteresētie piegādātāji var pieprasīt reģistrāciju jebkurā laikā. Visus ieinteresētos piegādātājus, kas iesnieguši pieteikumu, saprātīgā termiņā informē par lēmumu apstiprināt vai </w:t>
      </w:r>
      <w:r>
        <w:rPr>
          <w:noProof/>
        </w:rPr>
        <w:t xml:space="preserve">noraidīt to pieprasījumu. </w:t>
      </w:r>
    </w:p>
    <w:p w:rsidR="003E022D" w:rsidRDefault="007D19D6">
      <w:pPr>
        <w:pStyle w:val="Article"/>
        <w:rPr>
          <w:b/>
          <w:bCs/>
          <w:noProof/>
        </w:rPr>
      </w:pPr>
      <w:r>
        <w:rPr>
          <w:noProof/>
        </w:rPr>
        <w:t>PPROC.8. pants. Atlases konkurss</w:t>
      </w:r>
    </w:p>
    <w:p w:rsidR="003E022D" w:rsidRDefault="007D19D6">
      <w:pPr>
        <w:rPr>
          <w:rFonts w:cstheme="minorHAnsi"/>
          <w:noProof/>
        </w:rPr>
      </w:pPr>
      <w:r>
        <w:rPr>
          <w:noProof/>
        </w:rPr>
        <w:t>Katra Puse nodrošina, ka gadījumā, kad iepirkuma veicējs izmanto atlases konkursa procedūru, iepirkuma veicējs izsūta uzaicinājumu iesniegt piedāvājumu tādam skaitam piegādātāju, kas ir pietiekams</w:t>
      </w:r>
      <w:r>
        <w:rPr>
          <w:noProof/>
        </w:rPr>
        <w:t>, lai nodrošinātu patiesu konkurenci, neietekmējot iepirkuma sistēmas darbības efektivitāti.</w:t>
      </w:r>
    </w:p>
    <w:p w:rsidR="003E022D" w:rsidRDefault="007D19D6">
      <w:pPr>
        <w:pStyle w:val="Article"/>
        <w:rPr>
          <w:b/>
          <w:bCs/>
          <w:noProof/>
        </w:rPr>
      </w:pPr>
      <w:r>
        <w:rPr>
          <w:noProof/>
        </w:rPr>
        <w:t>PPROC.9. pants. Pārmērīgi zemas cenas</w:t>
      </w:r>
    </w:p>
    <w:p w:rsidR="003E022D" w:rsidRDefault="007D19D6">
      <w:pPr>
        <w:rPr>
          <w:rFonts w:cstheme="minorHAnsi"/>
          <w:noProof/>
        </w:rPr>
      </w:pPr>
      <w:r>
        <w:rPr>
          <w:noProof/>
        </w:rPr>
        <w:t xml:space="preserve">Papildus </w:t>
      </w:r>
      <w:r>
        <w:rPr>
          <w:i/>
          <w:noProof/>
        </w:rPr>
        <w:t>GPA</w:t>
      </w:r>
      <w:r>
        <w:rPr>
          <w:noProof/>
        </w:rPr>
        <w:t xml:space="preserve"> XV panta 6. punktam, ja iepirkuma veicējs saņem piedāvājumu, kura cena ir nesamērīgi zemāka par citos iesniegtaj</w:t>
      </w:r>
      <w:r>
        <w:rPr>
          <w:noProof/>
        </w:rPr>
        <w:t>os piedāvājumos norādīto cenu, tas var arī apspriesties ar piegādātāju par to, vai cenā ir ņemta vērā subsīdiju piešķiršana.</w:t>
      </w:r>
    </w:p>
    <w:p w:rsidR="003E022D" w:rsidRDefault="007D19D6">
      <w:pPr>
        <w:pStyle w:val="Article"/>
        <w:rPr>
          <w:b/>
          <w:bCs/>
          <w:noProof/>
        </w:rPr>
      </w:pPr>
      <w:r>
        <w:rPr>
          <w:noProof/>
        </w:rPr>
        <w:t>PPROC.10. pants. Vides, sociālie un darba apsvērumi</w:t>
      </w:r>
    </w:p>
    <w:p w:rsidR="003E022D" w:rsidRDefault="007D19D6">
      <w:pPr>
        <w:rPr>
          <w:rFonts w:cstheme="minorHAnsi"/>
          <w:noProof/>
        </w:rPr>
      </w:pPr>
      <w:r>
        <w:rPr>
          <w:noProof/>
        </w:rPr>
        <w:t>Katra Puse nodrošina, ka tās iepirkuma veicēji visā iepirkuma procedūrā var ņem</w:t>
      </w:r>
      <w:r>
        <w:rPr>
          <w:noProof/>
        </w:rPr>
        <w:t>t vērā vides, darba un sociālos apsvērumus, ar noteikumu, ka minētie apsvērumi ir saderīgi ar 1. un 2. nodaļā paredzētajiem noteikumiem un ir norādīti paziņojumā par paredzētu iepirkumu vai citā paziņojumā, ko izmanto kā paziņojumu par paredzētu iepirkumu,</w:t>
      </w:r>
      <w:r>
        <w:rPr>
          <w:noProof/>
        </w:rPr>
        <w:t xml:space="preserve"> vai iepirkuma dokumentācijā.</w:t>
      </w:r>
    </w:p>
    <w:p w:rsidR="003E022D" w:rsidRDefault="007D19D6">
      <w:pPr>
        <w:pStyle w:val="Article"/>
        <w:rPr>
          <w:b/>
          <w:bCs/>
          <w:noProof/>
        </w:rPr>
      </w:pPr>
      <w:r>
        <w:rPr>
          <w:noProof/>
        </w:rPr>
        <w:t>PPROC.11. pants. Iekšējās pārskatīšanas procedūras</w:t>
      </w:r>
    </w:p>
    <w:p w:rsidR="003E022D" w:rsidRDefault="007D19D6">
      <w:pPr>
        <w:rPr>
          <w:rFonts w:cstheme="minorHAnsi"/>
          <w:noProof/>
        </w:rPr>
      </w:pPr>
      <w:r>
        <w:rPr>
          <w:noProof/>
        </w:rPr>
        <w:t>1.</w:t>
      </w:r>
      <w:r>
        <w:rPr>
          <w:noProof/>
        </w:rPr>
        <w:tab/>
        <w:t xml:space="preserve">Ja Puse izraugās neatkarīgu administratīvo iestādi saskaņā ar </w:t>
      </w:r>
      <w:r>
        <w:rPr>
          <w:i/>
          <w:noProof/>
        </w:rPr>
        <w:t>GPA</w:t>
      </w:r>
      <w:r>
        <w:rPr>
          <w:noProof/>
        </w:rPr>
        <w:t xml:space="preserve"> XVIII panta 4. punktu, minētā Puse nodrošina, ka:</w:t>
      </w:r>
    </w:p>
    <w:p w:rsidR="003E022D" w:rsidRDefault="007D19D6">
      <w:pPr>
        <w:numPr>
          <w:ilvl w:val="0"/>
          <w:numId w:val="225"/>
        </w:numPr>
        <w:ind w:left="567" w:hanging="567"/>
        <w:rPr>
          <w:rFonts w:cstheme="minorHAnsi"/>
          <w:noProof/>
        </w:rPr>
      </w:pPr>
      <w:r>
        <w:rPr>
          <w:noProof/>
        </w:rPr>
        <w:t xml:space="preserve">izraudzītās iestādes pārstāvji ir neatkarīgi, objektīvi </w:t>
      </w:r>
      <w:r>
        <w:rPr>
          <w:noProof/>
        </w:rPr>
        <w:t>un amata pildīšanas laikā brīvi no ārējas ietekmes;</w:t>
      </w:r>
    </w:p>
    <w:p w:rsidR="003E022D" w:rsidRDefault="007D19D6">
      <w:pPr>
        <w:numPr>
          <w:ilvl w:val="0"/>
          <w:numId w:val="225"/>
        </w:numPr>
        <w:ind w:left="567" w:hanging="567"/>
        <w:rPr>
          <w:rFonts w:cstheme="minorHAnsi"/>
          <w:noProof/>
        </w:rPr>
      </w:pPr>
      <w:r>
        <w:rPr>
          <w:noProof/>
        </w:rPr>
        <w:t>izraudzītās iestādes pārstāvjus, viņiem esot amatā, nevar atbrīvot pret viņu gribu, izņemot gadījumu, kad viņu atbrīvošanu nosaka noteikumi, kas reglamentē izraudzīto iestādi, un</w:t>
      </w:r>
    </w:p>
    <w:p w:rsidR="003E022D" w:rsidRDefault="007D19D6">
      <w:pPr>
        <w:numPr>
          <w:ilvl w:val="0"/>
          <w:numId w:val="225"/>
        </w:numPr>
        <w:ind w:left="567" w:hanging="567"/>
        <w:rPr>
          <w:rFonts w:cstheme="minorHAnsi"/>
          <w:noProof/>
        </w:rPr>
      </w:pPr>
      <w:r>
        <w:rPr>
          <w:noProof/>
        </w:rPr>
        <w:t>priekšsēdētājam vai visma</w:t>
      </w:r>
      <w:r>
        <w:rPr>
          <w:noProof/>
        </w:rPr>
        <w:t>z vienam citam izraudzītās iestādes loceklim ir juridiskā un profesionālā kvalifikācija, kas ir līdzvērtīga kvalifikācijai, kāda nepieciešama tiesnešiem, juristiem vai citiem juridiskajiem ekspertiem, kuri ir kvalificēti saskaņā ar Puses normatīvajiem akti</w:t>
      </w:r>
      <w:r>
        <w:rPr>
          <w:noProof/>
        </w:rPr>
        <w:t>em.</w:t>
      </w:r>
    </w:p>
    <w:p w:rsidR="003E022D" w:rsidRDefault="007D19D6">
      <w:pPr>
        <w:rPr>
          <w:rFonts w:cstheme="minorHAnsi"/>
          <w:noProof/>
        </w:rPr>
      </w:pPr>
      <w:r>
        <w:rPr>
          <w:noProof/>
        </w:rPr>
        <w:t>2.</w:t>
      </w:r>
      <w:r>
        <w:rPr>
          <w:noProof/>
        </w:rPr>
        <w:tab/>
        <w:t xml:space="preserve">Katra Puse pieņem vai atstāj spēkā procedūras, kuras nodrošina tūlītējus pagaidu pasākumus, kas saglabā piegādātājam iespēju piedalīties iepirkumā. Šādu </w:t>
      </w:r>
      <w:r>
        <w:rPr>
          <w:i/>
          <w:noProof/>
        </w:rPr>
        <w:t>GPA</w:t>
      </w:r>
      <w:r>
        <w:rPr>
          <w:noProof/>
        </w:rPr>
        <w:t xml:space="preserve"> XVIII panta 7. punkta a) apakšpunktā noteiktu pagaidu pasākumu rezultātā var apturēt iepirku</w:t>
      </w:r>
      <w:r>
        <w:rPr>
          <w:noProof/>
        </w:rPr>
        <w:t>ma procesu vai, ja iepirkuma veicējs ir noslēdzis līgumu un Puse tā ir noteikusi — apturēt līguma izpildi. Procedūrās var paredzēt, ka, pieņemot lēmumu par to, vai šādi pasākumi jāpiemēro, var ņemt vērā sevišķi svarīgas nelabvēlīgās sekas attiecīgajām inte</w:t>
      </w:r>
      <w:r>
        <w:rPr>
          <w:noProof/>
        </w:rPr>
        <w:t>resēm, ieskaitot sabiedrības intereses. Pamatojumu pasākumu nepiemērošanai sniedz rakstveidā.</w:t>
      </w:r>
    </w:p>
    <w:p w:rsidR="003E022D" w:rsidRDefault="007D19D6">
      <w:pPr>
        <w:rPr>
          <w:rFonts w:cstheme="minorHAnsi"/>
          <w:noProof/>
        </w:rPr>
      </w:pPr>
      <w:r>
        <w:rPr>
          <w:noProof/>
        </w:rPr>
        <w:t>3.</w:t>
      </w:r>
      <w:r>
        <w:rPr>
          <w:noProof/>
        </w:rPr>
        <w:tab/>
        <w:t>Ja piegādātājs, kas ir ieinteresēts vai piedalās iepirkumā, ir iesniedzis sūdzību 1. punktā minētajai izraudzītajai iestādei, katra Puse principā nodrošina, ka</w:t>
      </w:r>
      <w:r>
        <w:rPr>
          <w:noProof/>
        </w:rPr>
        <w:t xml:space="preserve"> iepirkuma veicējs neslēdz līgumu, kamēr minētā izraudzītā iestāde saskaņā ar tās noteikumiem un procedūrām nav pieņēmusi lēmumu vai ieteikumu par sūdzību, kurā noteikti pagaidu pasākumi, korektīvi pasākumi vai kompensācija par zaudējumiem vai nodarīto kai</w:t>
      </w:r>
      <w:r>
        <w:rPr>
          <w:noProof/>
        </w:rPr>
        <w:t>tējumu, kā minēts 2., 5. un 6. punktā. Katra Puse var noteikt, ka nenovēršamos un pietiekami pamatotos apstākļos līgumu tomēr var noslēgt.</w:t>
      </w:r>
    </w:p>
    <w:p w:rsidR="003E022D" w:rsidRDefault="007D19D6">
      <w:pPr>
        <w:rPr>
          <w:rFonts w:cstheme="minorHAnsi"/>
          <w:noProof/>
        </w:rPr>
      </w:pPr>
      <w:r>
        <w:rPr>
          <w:noProof/>
        </w:rPr>
        <w:t>4.</w:t>
      </w:r>
      <w:r>
        <w:rPr>
          <w:noProof/>
        </w:rPr>
        <w:tab/>
        <w:t>Katra Puse var noteikt:</w:t>
      </w:r>
    </w:p>
    <w:p w:rsidR="003E022D" w:rsidRDefault="007D19D6">
      <w:pPr>
        <w:numPr>
          <w:ilvl w:val="0"/>
          <w:numId w:val="226"/>
        </w:numPr>
        <w:ind w:left="567" w:hanging="567"/>
        <w:rPr>
          <w:rFonts w:cstheme="minorHAnsi"/>
          <w:noProof/>
        </w:rPr>
      </w:pPr>
      <w:r>
        <w:rPr>
          <w:noProof/>
        </w:rPr>
        <w:t>nogaidīšanas periodu starp lēmumu par līguma slēgšanas tiesību piešķiršanu un līguma noslē</w:t>
      </w:r>
      <w:r>
        <w:rPr>
          <w:noProof/>
        </w:rPr>
        <w:t>gšanu, lai dotu pietiekamu laiku neizraudzītajiem piegādātājiem izvērtēt, vai ir lietderīgi sākt pārskatīšanas procedūru, vai</w:t>
      </w:r>
    </w:p>
    <w:p w:rsidR="003E022D" w:rsidRDefault="007D19D6">
      <w:pPr>
        <w:numPr>
          <w:ilvl w:val="0"/>
          <w:numId w:val="226"/>
        </w:numPr>
        <w:ind w:left="567" w:hanging="567"/>
        <w:rPr>
          <w:rFonts w:cstheme="minorHAnsi"/>
          <w:noProof/>
        </w:rPr>
      </w:pPr>
      <w:r>
        <w:rPr>
          <w:noProof/>
        </w:rPr>
        <w:t>pietiekamu laiku ieinteresētajam piegādātājam iesniegt sūdzību, kas var būt pamats līguma izpildes apturēšanai.</w:t>
      </w:r>
    </w:p>
    <w:p w:rsidR="003E022D" w:rsidRDefault="007D19D6">
      <w:pPr>
        <w:rPr>
          <w:rFonts w:cstheme="minorHAnsi"/>
          <w:noProof/>
        </w:rPr>
      </w:pPr>
      <w:r>
        <w:rPr>
          <w:noProof/>
        </w:rPr>
        <w:t>5.</w:t>
      </w:r>
      <w:r>
        <w:rPr>
          <w:noProof/>
        </w:rPr>
        <w:tab/>
        <w:t>Korektīvi pasāk</w:t>
      </w:r>
      <w:r>
        <w:rPr>
          <w:noProof/>
        </w:rPr>
        <w:t xml:space="preserve">umi saskaņā ar </w:t>
      </w:r>
      <w:r>
        <w:rPr>
          <w:i/>
          <w:noProof/>
        </w:rPr>
        <w:t>GPA</w:t>
      </w:r>
      <w:r>
        <w:rPr>
          <w:noProof/>
        </w:rPr>
        <w:t xml:space="preserve"> XVIII panta 7. punkta b) apakšpunktu var ietvert vienu vai vairākus no šiem pasākumiem:</w:t>
      </w:r>
    </w:p>
    <w:p w:rsidR="003E022D" w:rsidRDefault="007D19D6">
      <w:pPr>
        <w:numPr>
          <w:ilvl w:val="0"/>
          <w:numId w:val="227"/>
        </w:numPr>
        <w:ind w:left="567" w:hanging="567"/>
        <w:rPr>
          <w:rFonts w:cstheme="minorHAnsi"/>
          <w:noProof/>
        </w:rPr>
      </w:pPr>
      <w:r>
        <w:rPr>
          <w:noProof/>
        </w:rPr>
        <w:t>diskriminējošu tehnisko, ekonomisko vai finansiālo specifikāciju svītrošana uzaicinājumā uz konkursu, līguma dokumentos vai citos dokumentos, kas att</w:t>
      </w:r>
      <w:r>
        <w:rPr>
          <w:noProof/>
        </w:rPr>
        <w:t>iecas uz konkursa procedūru, un jaunas iepirkuma procedūras veikšana;</w:t>
      </w:r>
    </w:p>
    <w:p w:rsidR="003E022D" w:rsidRDefault="007D19D6">
      <w:pPr>
        <w:numPr>
          <w:ilvl w:val="0"/>
          <w:numId w:val="227"/>
        </w:numPr>
        <w:ind w:left="567" w:hanging="567"/>
        <w:rPr>
          <w:rFonts w:cstheme="minorHAnsi"/>
          <w:noProof/>
        </w:rPr>
      </w:pPr>
      <w:r>
        <w:rPr>
          <w:noProof/>
        </w:rPr>
        <w:t>iepirkuma procedūras atkārtošana, nemainot nosacījumus;</w:t>
      </w:r>
    </w:p>
    <w:p w:rsidR="003E022D" w:rsidRDefault="007D19D6">
      <w:pPr>
        <w:numPr>
          <w:ilvl w:val="0"/>
          <w:numId w:val="227"/>
        </w:numPr>
        <w:ind w:left="567" w:hanging="567"/>
        <w:rPr>
          <w:rFonts w:cstheme="minorHAnsi"/>
          <w:noProof/>
        </w:rPr>
      </w:pPr>
      <w:r>
        <w:rPr>
          <w:noProof/>
        </w:rPr>
        <w:t>līgumslēgšanas tiesību piešķiršanas lēmuma atcelšana un jauna līgumslēgšanas tiesību piešķiršanas lēmuma pieņemšana;</w:t>
      </w:r>
    </w:p>
    <w:p w:rsidR="003E022D" w:rsidRDefault="007D19D6">
      <w:pPr>
        <w:numPr>
          <w:ilvl w:val="0"/>
          <w:numId w:val="227"/>
        </w:numPr>
        <w:ind w:left="567" w:hanging="567"/>
        <w:rPr>
          <w:rFonts w:cstheme="minorHAnsi"/>
          <w:noProof/>
        </w:rPr>
      </w:pPr>
      <w:r>
        <w:rPr>
          <w:noProof/>
        </w:rPr>
        <w:t xml:space="preserve">līguma </w:t>
      </w:r>
      <w:r>
        <w:rPr>
          <w:noProof/>
        </w:rPr>
        <w:t>izbeigšana vai pasludināšana par spēkā neesošu; vai</w:t>
      </w:r>
    </w:p>
    <w:p w:rsidR="003E022D" w:rsidRDefault="007D19D6">
      <w:pPr>
        <w:numPr>
          <w:ilvl w:val="0"/>
          <w:numId w:val="227"/>
        </w:numPr>
        <w:ind w:left="567" w:hanging="567"/>
        <w:rPr>
          <w:rFonts w:cstheme="minorHAnsi"/>
          <w:noProof/>
        </w:rPr>
      </w:pPr>
      <w:r>
        <w:rPr>
          <w:noProof/>
        </w:rPr>
        <w:t>citu pasākumu pieņemšana ar mērķi novērst 1. un 2. nodaļas noteikumu pārkāpumu, piemēram, rīkojums samaksāt konkrētu naudas summu, līdz pārkāpums tiek faktiski novērsts.</w:t>
      </w:r>
    </w:p>
    <w:p w:rsidR="003E022D" w:rsidRDefault="007D19D6">
      <w:pPr>
        <w:rPr>
          <w:rFonts w:cstheme="minorHAnsi"/>
          <w:noProof/>
        </w:rPr>
      </w:pPr>
      <w:r>
        <w:rPr>
          <w:noProof/>
        </w:rPr>
        <w:t>6.</w:t>
      </w:r>
      <w:r>
        <w:rPr>
          <w:noProof/>
        </w:rPr>
        <w:tab/>
        <w:t xml:space="preserve">Saskaņā ar </w:t>
      </w:r>
      <w:r>
        <w:rPr>
          <w:i/>
          <w:noProof/>
        </w:rPr>
        <w:t>GPA</w:t>
      </w:r>
      <w:r>
        <w:rPr>
          <w:noProof/>
        </w:rPr>
        <w:t xml:space="preserve"> XVIII panta 7. punkta b) apakšpunktu katra Puse var noteikt kompensāciju par zaudējumiem vai nodarīto kaitējumu. Šajā sakarā, ja Puses pārskatīšanas iestāde nav tiesa un ja piegādātājs uzskata, ka ir pārkāpti vietējie normatīvie akti, ar kuriem īsteno 1. </w:t>
      </w:r>
      <w:r>
        <w:rPr>
          <w:noProof/>
        </w:rPr>
        <w:t>un 2. nodaļā noteiktās saistības, piegādātājs saskaņā ar Puses tiesu procedūrām var vērsties tiesā, arī nolūkā iegūt kompensāciju.</w:t>
      </w:r>
    </w:p>
    <w:p w:rsidR="003E022D" w:rsidRDefault="007D19D6">
      <w:pPr>
        <w:rPr>
          <w:rFonts w:cstheme="minorHAnsi"/>
          <w:noProof/>
        </w:rPr>
      </w:pPr>
      <w:r>
        <w:rPr>
          <w:noProof/>
        </w:rPr>
        <w:t>7.</w:t>
      </w:r>
      <w:r>
        <w:rPr>
          <w:noProof/>
        </w:rPr>
        <w:tab/>
        <w:t xml:space="preserve">Katra Puse pieņem vai atstāj spēkā nepieciešamās procedūras, ar kurām tiek faktiski īstenoti pārskatīšanas iestāžu lēmumi </w:t>
      </w:r>
      <w:r>
        <w:rPr>
          <w:noProof/>
        </w:rPr>
        <w:t>vai ieteikumi vai tiek faktiski izpildīti tiesu iestāžu nolēmumi pārsūdzības gadījumā.</w:t>
      </w:r>
    </w:p>
    <w:p w:rsidR="003E022D" w:rsidRDefault="007D19D6">
      <w:pPr>
        <w:pStyle w:val="Chapter"/>
        <w:rPr>
          <w:noProof/>
        </w:rPr>
      </w:pPr>
      <w:r>
        <w:rPr>
          <w:noProof/>
        </w:rPr>
        <w:t>3. nodaļa. Valsts režīms ārpus aptvertā iepirkuma</w:t>
      </w:r>
    </w:p>
    <w:p w:rsidR="003E022D" w:rsidRDefault="007D19D6">
      <w:pPr>
        <w:pStyle w:val="Article"/>
        <w:rPr>
          <w:b/>
          <w:bCs/>
          <w:noProof/>
        </w:rPr>
      </w:pPr>
      <w:r>
        <w:rPr>
          <w:noProof/>
        </w:rPr>
        <w:t>PPROC.12. pants. Definīcijas</w:t>
      </w:r>
    </w:p>
    <w:p w:rsidR="003E022D" w:rsidRDefault="007D19D6">
      <w:pPr>
        <w:rPr>
          <w:rFonts w:cstheme="minorHAnsi"/>
          <w:noProof/>
        </w:rPr>
      </w:pPr>
      <w:r>
        <w:rPr>
          <w:noProof/>
        </w:rPr>
        <w:t xml:space="preserve">1. </w:t>
      </w:r>
      <w:r>
        <w:rPr>
          <w:noProof/>
        </w:rPr>
        <w:tab/>
        <w:t>Šajā nodaļā Puses saskaņā ar šo nodaļu piešķirtais režīms nozīmē:</w:t>
      </w:r>
    </w:p>
    <w:p w:rsidR="003E022D" w:rsidRDefault="007D19D6">
      <w:pPr>
        <w:ind w:left="567" w:hanging="567"/>
        <w:rPr>
          <w:rFonts w:cstheme="minorHAnsi"/>
          <w:noProof/>
        </w:rPr>
      </w:pPr>
      <w:r>
        <w:rPr>
          <w:noProof/>
        </w:rPr>
        <w:t xml:space="preserve">a) </w:t>
      </w:r>
      <w:r>
        <w:rPr>
          <w:noProof/>
        </w:rPr>
        <w:tab/>
        <w:t>attiecībā uz Apv</w:t>
      </w:r>
      <w:r>
        <w:rPr>
          <w:noProof/>
        </w:rPr>
        <w:t>ienoto Karalisti – ne mazāk labvēlīgu režīmu kā vislabvēlīgākais režīms, ko līdzīgās situācijās piemēro Apvienotās Karalistes piegādātājiem; un</w:t>
      </w:r>
    </w:p>
    <w:p w:rsidR="003E022D" w:rsidRDefault="007D19D6">
      <w:pPr>
        <w:ind w:left="567" w:hanging="567"/>
        <w:rPr>
          <w:rFonts w:cstheme="minorHAnsi"/>
          <w:noProof/>
        </w:rPr>
      </w:pPr>
      <w:r>
        <w:rPr>
          <w:noProof/>
        </w:rPr>
        <w:t xml:space="preserve">b) </w:t>
      </w:r>
      <w:r>
        <w:rPr>
          <w:noProof/>
        </w:rPr>
        <w:tab/>
        <w:t>attiecībā uz dalībvalsti – ne mazāk labvēlīgu režīmu kā vislabvēlīgāko režīmu, ko līdzīgās situācijās šajā d</w:t>
      </w:r>
      <w:r>
        <w:rPr>
          <w:noProof/>
        </w:rPr>
        <w:t>alībvalstī piemēro minētās dalībvalsts piegādātājiem.</w:t>
      </w:r>
    </w:p>
    <w:p w:rsidR="003E022D" w:rsidRDefault="007D19D6">
      <w:pPr>
        <w:rPr>
          <w:rFonts w:cstheme="minorHAnsi"/>
          <w:noProof/>
        </w:rPr>
      </w:pPr>
      <w:r>
        <w:rPr>
          <w:noProof/>
        </w:rPr>
        <w:t xml:space="preserve">2. </w:t>
      </w:r>
      <w:r>
        <w:rPr>
          <w:noProof/>
        </w:rPr>
        <w:tab/>
        <w:t>Šajā nodaļā Puses piegādātājs, kas ir juridiska persona, ir:</w:t>
      </w:r>
    </w:p>
    <w:p w:rsidR="003E022D" w:rsidRDefault="007D19D6">
      <w:pPr>
        <w:ind w:left="567" w:hanging="567"/>
        <w:rPr>
          <w:rFonts w:cstheme="minorHAnsi"/>
          <w:noProof/>
        </w:rPr>
      </w:pPr>
      <w:r>
        <w:rPr>
          <w:noProof/>
        </w:rPr>
        <w:t xml:space="preserve">a) </w:t>
      </w:r>
      <w:r>
        <w:rPr>
          <w:noProof/>
        </w:rPr>
        <w:tab/>
        <w:t>attiecībā uz Savienību – juridiska persona, kas izveidota vai organizēta saskaņā ar Savienības vai vismaz vienas tās dalībvalsts ties</w:t>
      </w:r>
      <w:r>
        <w:rPr>
          <w:noProof/>
        </w:rPr>
        <w:t>ību aktiem un kas Savienības teritorijā veic būtisku uzņēmējdarbību, ko Savienība saskaņā ar savu paziņojumu PTO par Eiropas Kopienas dibināšanas līgumu (WT/REG39/1) saprot kā līdzvērtīgu LESD 54. pantā nostiprinātajam jēdzienam “faktiska un nepārtraukta s</w:t>
      </w:r>
      <w:r>
        <w:rPr>
          <w:noProof/>
        </w:rPr>
        <w:t>aikne” ar dalībvalsts ekonomiku; un</w:t>
      </w:r>
    </w:p>
    <w:p w:rsidR="003E022D" w:rsidRDefault="007D19D6">
      <w:pPr>
        <w:ind w:left="567" w:hanging="567"/>
        <w:rPr>
          <w:rFonts w:cstheme="minorHAnsi"/>
          <w:noProof/>
        </w:rPr>
      </w:pPr>
      <w:r>
        <w:rPr>
          <w:noProof/>
        </w:rPr>
        <w:t xml:space="preserve">b) </w:t>
      </w:r>
      <w:r>
        <w:rPr>
          <w:noProof/>
        </w:rPr>
        <w:tab/>
        <w:t>attiecībā uz Apvienoto Karalisti – juridiska persona, kas izveidota vai organizēta saskaņā ar Apvienotās Karalistes tiesību aktiem un ir iesaistīta būtiskā uzņēmējdarbībā Apvienotās Karalistes teritorijā.</w:t>
      </w:r>
    </w:p>
    <w:p w:rsidR="003E022D" w:rsidRDefault="007D19D6">
      <w:pPr>
        <w:pStyle w:val="Article"/>
        <w:rPr>
          <w:b/>
          <w:bCs/>
          <w:noProof/>
        </w:rPr>
      </w:pPr>
      <w:r>
        <w:rPr>
          <w:noProof/>
        </w:rPr>
        <w:t>PPROC.13. p</w:t>
      </w:r>
      <w:r>
        <w:rPr>
          <w:noProof/>
        </w:rPr>
        <w:t>ants. Valsts režīms vietējiem piegādātājiem</w:t>
      </w:r>
    </w:p>
    <w:p w:rsidR="003E022D" w:rsidRDefault="007D19D6">
      <w:pPr>
        <w:rPr>
          <w:rFonts w:cstheme="minorHAnsi"/>
          <w:noProof/>
          <w:shd w:val="clear" w:color="auto" w:fill="FFFFFF"/>
        </w:rPr>
      </w:pPr>
      <w:r>
        <w:rPr>
          <w:noProof/>
          <w:shd w:val="clear" w:color="auto" w:fill="FFFFFF"/>
        </w:rPr>
        <w:t xml:space="preserve">1. </w:t>
      </w:r>
      <w:r>
        <w:rPr>
          <w:noProof/>
        </w:rPr>
        <w:tab/>
      </w:r>
      <w:r>
        <w:rPr>
          <w:noProof/>
          <w:shd w:val="clear" w:color="auto" w:fill="FFFFFF"/>
        </w:rPr>
        <w:t>Ikvienā iepirkumā Puses pasākuma rezultātā otras Puses piegādātājiem, kas veic uzņēmējdarbību Puses teritorijā</w:t>
      </w:r>
      <w:r>
        <w:rPr>
          <w:noProof/>
        </w:rPr>
        <w:t xml:space="preserve">, </w:t>
      </w:r>
      <w:r>
        <w:rPr>
          <w:noProof/>
          <w:shd w:val="clear" w:color="auto" w:fill="FFFFFF"/>
        </w:rPr>
        <w:t>izveidojot, iegādājoties vai saglabājot juridisku personu, nedrīkst rasties mazāk</w:t>
      </w:r>
      <w:r>
        <w:rPr>
          <w:noProof/>
        </w:rPr>
        <w:t xml:space="preserve"> labvēlīgs </w:t>
      </w:r>
      <w:r>
        <w:rPr>
          <w:noProof/>
          <w:shd w:val="clear" w:color="auto" w:fill="FFFFFF"/>
        </w:rPr>
        <w:t>režī</w:t>
      </w:r>
      <w:r>
        <w:rPr>
          <w:noProof/>
          <w:shd w:val="clear" w:color="auto" w:fill="FFFFFF"/>
        </w:rPr>
        <w:t>ms par to, kādu minētā Puse piešķir līdzīgiem saviem piegādātājiem</w:t>
      </w:r>
      <w:r>
        <w:rPr>
          <w:rStyle w:val="FootnoteReference"/>
          <w:noProof/>
          <w:shd w:val="clear" w:color="auto" w:fill="FFFFFF"/>
        </w:rPr>
        <w:footnoteReference w:id="41"/>
      </w:r>
      <w:r>
        <w:rPr>
          <w:noProof/>
        </w:rPr>
        <w:t>.</w:t>
      </w:r>
    </w:p>
    <w:p w:rsidR="003E022D" w:rsidRDefault="007D19D6">
      <w:pPr>
        <w:rPr>
          <w:rFonts w:cstheme="minorHAnsi"/>
          <w:noProof/>
        </w:rPr>
      </w:pPr>
      <w:r>
        <w:rPr>
          <w:noProof/>
        </w:rPr>
        <w:t xml:space="preserve">2. </w:t>
      </w:r>
      <w:r>
        <w:rPr>
          <w:noProof/>
        </w:rPr>
        <w:tab/>
        <w:t xml:space="preserve">Uz šajā pantā paredzētā valsts režīma pienākuma piemērošanu joprojām attiecas </w:t>
      </w:r>
      <w:r>
        <w:rPr>
          <w:i/>
          <w:noProof/>
        </w:rPr>
        <w:t>GPA</w:t>
      </w:r>
      <w:r>
        <w:rPr>
          <w:noProof/>
        </w:rPr>
        <w:t xml:space="preserve"> III pantā noteiktie drošības un vispārējie izņēmumi, pat ja iepirkums nav aptvertais iepirkums saskaņ</w:t>
      </w:r>
      <w:r>
        <w:rPr>
          <w:noProof/>
        </w:rPr>
        <w:t>ā ar šo sadaļu.</w:t>
      </w:r>
    </w:p>
    <w:p w:rsidR="003E022D" w:rsidRDefault="007D19D6">
      <w:pPr>
        <w:pStyle w:val="Chapter"/>
        <w:rPr>
          <w:noProof/>
        </w:rPr>
      </w:pPr>
      <w:r>
        <w:rPr>
          <w:noProof/>
        </w:rPr>
        <w:t>4. nodaļa. Citi noteikumi</w:t>
      </w:r>
    </w:p>
    <w:p w:rsidR="003E022D" w:rsidRDefault="007D19D6">
      <w:pPr>
        <w:pStyle w:val="Article"/>
        <w:rPr>
          <w:b/>
          <w:bCs/>
          <w:noProof/>
        </w:rPr>
      </w:pPr>
      <w:r>
        <w:rPr>
          <w:noProof/>
        </w:rPr>
        <w:t>PPROC.14. pants. Tirgus piekļuves saistību grozījumi un labojumi</w:t>
      </w:r>
    </w:p>
    <w:p w:rsidR="003E022D" w:rsidRDefault="007D19D6">
      <w:pPr>
        <w:rPr>
          <w:rFonts w:cstheme="minorHAnsi"/>
          <w:noProof/>
        </w:rPr>
      </w:pPr>
      <w:r>
        <w:rPr>
          <w:noProof/>
        </w:rPr>
        <w:t>Katra Puse saskaņā ar procedūrām, kas noteiktas PPROC.15. [Grozījumi] līdz PPROC.18. pantā [PPROC-1. pielikuma iedaļas grozījumi], var grozīt vai lab</w:t>
      </w:r>
      <w:r>
        <w:rPr>
          <w:noProof/>
        </w:rPr>
        <w:t xml:space="preserve">ot savas tirgus piekļuves saistības, kas izklāstītas tās attiecīgajā apakšiedaļā PPROC-1. pielikuma B iedaļā. </w:t>
      </w:r>
    </w:p>
    <w:p w:rsidR="003E022D" w:rsidRDefault="007D19D6">
      <w:pPr>
        <w:pStyle w:val="Article"/>
        <w:rPr>
          <w:b/>
          <w:bCs/>
          <w:noProof/>
        </w:rPr>
      </w:pPr>
      <w:r>
        <w:rPr>
          <w:noProof/>
        </w:rPr>
        <w:t>PPROC.15. pants. Grozījumi</w:t>
      </w:r>
    </w:p>
    <w:p w:rsidR="003E022D" w:rsidRDefault="007D19D6">
      <w:pPr>
        <w:rPr>
          <w:rFonts w:cstheme="minorHAnsi"/>
          <w:noProof/>
        </w:rPr>
      </w:pPr>
      <w:r>
        <w:rPr>
          <w:noProof/>
        </w:rPr>
        <w:t xml:space="preserve">1. </w:t>
      </w:r>
      <w:r>
        <w:rPr>
          <w:noProof/>
        </w:rPr>
        <w:tab/>
        <w:t>Puse, kas plāno grozīt PPROC-1. pielikuma B iedaļas apakšiedaļu:</w:t>
      </w:r>
    </w:p>
    <w:p w:rsidR="003E022D" w:rsidRDefault="007D19D6">
      <w:pPr>
        <w:numPr>
          <w:ilvl w:val="0"/>
          <w:numId w:val="228"/>
        </w:numPr>
        <w:ind w:left="567" w:hanging="567"/>
        <w:rPr>
          <w:rFonts w:cstheme="minorHAnsi"/>
          <w:noProof/>
        </w:rPr>
      </w:pPr>
      <w:r>
        <w:rPr>
          <w:noProof/>
        </w:rPr>
        <w:t>rakstiski informē otru Pusi un</w:t>
      </w:r>
    </w:p>
    <w:p w:rsidR="003E022D" w:rsidRDefault="007D19D6">
      <w:pPr>
        <w:numPr>
          <w:ilvl w:val="0"/>
          <w:numId w:val="228"/>
        </w:numPr>
        <w:ind w:left="567" w:hanging="567"/>
        <w:rPr>
          <w:rFonts w:cstheme="minorHAnsi"/>
          <w:noProof/>
        </w:rPr>
      </w:pPr>
      <w:r>
        <w:rPr>
          <w:noProof/>
        </w:rPr>
        <w:t>iekļauj paziņojumā</w:t>
      </w:r>
      <w:r>
        <w:rPr>
          <w:noProof/>
        </w:rPr>
        <w:t xml:space="preserve"> priekšlikumu par atbilstīgiem kompensējošiem pielāgojumiem otrai Pusei, kuru nolūks ir saglabāt tirgus piekļuves saistību līmeni, kas pielīdzināms tam, kāds tas bijis pirms grozījuma.</w:t>
      </w:r>
    </w:p>
    <w:p w:rsidR="003E022D" w:rsidRDefault="007D19D6">
      <w:pPr>
        <w:rPr>
          <w:rFonts w:cstheme="minorHAnsi"/>
          <w:noProof/>
        </w:rPr>
      </w:pPr>
      <w:r>
        <w:rPr>
          <w:noProof/>
        </w:rPr>
        <w:t xml:space="preserve">2. </w:t>
      </w:r>
      <w:r>
        <w:rPr>
          <w:noProof/>
        </w:rPr>
        <w:tab/>
        <w:t xml:space="preserve">Neatkarīgi no 1. punkta b) apakšpunkta Pusei nav jānodrošina otrai </w:t>
      </w:r>
      <w:r>
        <w:rPr>
          <w:noProof/>
        </w:rPr>
        <w:t>Pusei kompensējoši pielāgojumi, ja ierosinātais grozījums attiecas uz iepirkuma veicēju, pār kuru Puse aptvertā iepirkuma jomā faktiski ir zaudējusi kontroli un ietekmi.</w:t>
      </w:r>
    </w:p>
    <w:p w:rsidR="003E022D" w:rsidRDefault="007D19D6">
      <w:pPr>
        <w:rPr>
          <w:rFonts w:cstheme="minorHAnsi"/>
          <w:noProof/>
        </w:rPr>
      </w:pPr>
      <w:r>
        <w:rPr>
          <w:noProof/>
        </w:rPr>
        <w:t>Puses kontroli vai ietekmi pār iepirkuma veicēja īstenoto aptverto iepirkumu uzskata p</w:t>
      </w:r>
      <w:r>
        <w:rPr>
          <w:noProof/>
        </w:rPr>
        <w:t>ar faktiski zudušu, ja iepirkuma veicējs ir pakļauts konkurencei tirgos, kuriem piekļuve nav ierobežota.</w:t>
      </w:r>
    </w:p>
    <w:p w:rsidR="003E022D" w:rsidRDefault="007D19D6">
      <w:pPr>
        <w:rPr>
          <w:rFonts w:cstheme="minorHAnsi"/>
          <w:noProof/>
        </w:rPr>
      </w:pPr>
      <w:r>
        <w:rPr>
          <w:noProof/>
        </w:rPr>
        <w:t>3. Otra Puse var iebilst pret 1. punkta a) apakšpunktā minēto grozījumu, ja tā apstrīd, ka:</w:t>
      </w:r>
    </w:p>
    <w:p w:rsidR="003E022D" w:rsidRDefault="007D19D6">
      <w:pPr>
        <w:numPr>
          <w:ilvl w:val="0"/>
          <w:numId w:val="229"/>
        </w:numPr>
        <w:ind w:left="567" w:hanging="567"/>
        <w:rPr>
          <w:rFonts w:cstheme="minorHAnsi"/>
          <w:noProof/>
        </w:rPr>
      </w:pPr>
      <w:r>
        <w:rPr>
          <w:noProof/>
        </w:rPr>
        <w:t>kompensējoši pielāgojumi, kas ierosināti saskaņā ar 1. punk</w:t>
      </w:r>
      <w:r>
        <w:rPr>
          <w:noProof/>
        </w:rPr>
        <w:t>ta b) apakšpunktu, ir adekvāti, lai saglabātu salīdzināmu savstarpēji saskaņoto tirgus piekļuves saistību līmeni; vai</w:t>
      </w:r>
    </w:p>
    <w:p w:rsidR="003E022D" w:rsidRDefault="007D19D6">
      <w:pPr>
        <w:numPr>
          <w:ilvl w:val="0"/>
          <w:numId w:val="229"/>
        </w:numPr>
        <w:ind w:left="567" w:hanging="567"/>
        <w:rPr>
          <w:rFonts w:cstheme="minorHAnsi"/>
          <w:noProof/>
        </w:rPr>
      </w:pPr>
      <w:r>
        <w:rPr>
          <w:noProof/>
        </w:rPr>
        <w:t>grozījums attiecas uz iepirkuma veicēju, pār kuru Puse faktiski atcēlusi savu kontroli vai ietekmi, kā paredzēts 2. punktā.</w:t>
      </w:r>
    </w:p>
    <w:p w:rsidR="003E022D" w:rsidRDefault="007D19D6">
      <w:pPr>
        <w:rPr>
          <w:rFonts w:cstheme="minorHAnsi"/>
          <w:noProof/>
        </w:rPr>
      </w:pPr>
      <w:r>
        <w:rPr>
          <w:noProof/>
        </w:rPr>
        <w:t xml:space="preserve">Otra Puse </w:t>
      </w:r>
      <w:r>
        <w:rPr>
          <w:noProof/>
        </w:rPr>
        <w:t>rakstiski iesniedz iebildumus 45 dienu laikā pēc 1. punkta a) apakšpunktā minētā paziņojuma saņemšanas vai arī tiek uzskatīts, ka tā ir pieņēmusi kompensējošos pielāgojumus vai grozījumus, arī šā nolīguma sestās daļas I sadaļas [Strīdu izšķiršana] vajadzīb</w:t>
      </w:r>
      <w:r>
        <w:rPr>
          <w:noProof/>
        </w:rPr>
        <w:t>ām.</w:t>
      </w:r>
    </w:p>
    <w:p w:rsidR="003E022D" w:rsidRDefault="007D19D6">
      <w:pPr>
        <w:pStyle w:val="Article"/>
        <w:rPr>
          <w:b/>
          <w:bCs/>
          <w:noProof/>
        </w:rPr>
      </w:pPr>
      <w:r>
        <w:rPr>
          <w:noProof/>
        </w:rPr>
        <w:t>PPROC.16. pants. Labojumi</w:t>
      </w:r>
    </w:p>
    <w:p w:rsidR="003E022D" w:rsidRDefault="007D19D6">
      <w:pPr>
        <w:rPr>
          <w:rFonts w:cstheme="minorHAnsi"/>
          <w:noProof/>
        </w:rPr>
      </w:pPr>
      <w:r>
        <w:rPr>
          <w:noProof/>
        </w:rPr>
        <w:t xml:space="preserve">1.  </w:t>
      </w:r>
      <w:r>
        <w:rPr>
          <w:noProof/>
        </w:rPr>
        <w:tab/>
        <w:t>Puse, kas plāno labot PPROC-1. pielikuma B iedaļas apakšiedaļu, par to rakstiski paziņo otrai Pusei.</w:t>
      </w:r>
    </w:p>
    <w:p w:rsidR="003E022D" w:rsidRDefault="007D19D6">
      <w:pPr>
        <w:rPr>
          <w:rFonts w:cstheme="minorHAnsi"/>
          <w:noProof/>
        </w:rPr>
      </w:pPr>
      <w:r>
        <w:rPr>
          <w:noProof/>
        </w:rPr>
        <w:t>Šādas izmaiņas PPROC-1. pielikuma B iedaļas apakšiedaļā uzskata par labojumu, ar noteikumu, ka tās neietekmē savstarpēji</w:t>
      </w:r>
      <w:r>
        <w:rPr>
          <w:noProof/>
        </w:rPr>
        <w:t xml:space="preserve"> saskaņotās tirgus piekļuves saistības, kas paredzētas šajā sadaļā:</w:t>
      </w:r>
    </w:p>
    <w:p w:rsidR="003E022D" w:rsidRDefault="007D19D6">
      <w:pPr>
        <w:numPr>
          <w:ilvl w:val="0"/>
          <w:numId w:val="230"/>
        </w:numPr>
        <w:ind w:left="567" w:hanging="567"/>
        <w:rPr>
          <w:rFonts w:cstheme="minorHAnsi"/>
          <w:noProof/>
        </w:rPr>
      </w:pPr>
      <w:r>
        <w:rPr>
          <w:noProof/>
        </w:rPr>
        <w:t>izmaiņas iepirkuma veicēja nosaukumā;</w:t>
      </w:r>
    </w:p>
    <w:p w:rsidR="003E022D" w:rsidRDefault="007D19D6">
      <w:pPr>
        <w:numPr>
          <w:ilvl w:val="0"/>
          <w:numId w:val="230"/>
        </w:numPr>
        <w:ind w:left="567" w:hanging="567"/>
        <w:rPr>
          <w:rFonts w:cstheme="minorHAnsi"/>
          <w:noProof/>
        </w:rPr>
      </w:pPr>
      <w:r>
        <w:rPr>
          <w:noProof/>
        </w:rPr>
        <w:t>divu vai vairāku minētajā apakšiedaļā uzskaitīto iepirkuma veicēju apvienošana; un</w:t>
      </w:r>
    </w:p>
    <w:p w:rsidR="003E022D" w:rsidRDefault="007D19D6">
      <w:pPr>
        <w:numPr>
          <w:ilvl w:val="0"/>
          <w:numId w:val="230"/>
        </w:numPr>
        <w:ind w:left="567" w:hanging="567"/>
        <w:rPr>
          <w:rFonts w:cstheme="minorHAnsi"/>
          <w:noProof/>
        </w:rPr>
      </w:pPr>
      <w:r>
        <w:rPr>
          <w:noProof/>
        </w:rPr>
        <w:t xml:space="preserve">minētajā apakšiedaļā uzskaitīto iepirkuma veicēju sadalīšana divos </w:t>
      </w:r>
      <w:r>
        <w:rPr>
          <w:noProof/>
        </w:rPr>
        <w:t>vai vairākos iepirkuma veicējos, ko pievieno tajā pašā apakšiedaļā uzskaitītajiem iepirkuma veicējiem.</w:t>
      </w:r>
    </w:p>
    <w:p w:rsidR="003E022D" w:rsidRDefault="007D19D6">
      <w:pPr>
        <w:rPr>
          <w:rFonts w:cstheme="minorHAnsi"/>
          <w:noProof/>
        </w:rPr>
      </w:pPr>
      <w:r>
        <w:rPr>
          <w:noProof/>
        </w:rPr>
        <w:t xml:space="preserve">2.  </w:t>
      </w:r>
      <w:r>
        <w:rPr>
          <w:noProof/>
        </w:rPr>
        <w:tab/>
        <w:t>Puse var paziņot otrai Pusei par iebildumu pret ierosinātajiem labojumiem 45 dienu laikā no paziņojuma saņemšanas dienas. Ja Puse iesniedz iebildumu</w:t>
      </w:r>
      <w:r>
        <w:rPr>
          <w:noProof/>
        </w:rPr>
        <w:t>, tā izklāsta iemeslus, kādēļ tā uzskata, ka ierosinātais labojums nav izmaiņas, kas paredzētas 1. punktā, un raksturo ierosinātā labojuma ietekmi uz šajā sadaļā paredzētajām abpusēji saskaņotajām tirgus piekļuves saistībām. Ja 45 dienu laikā pēc paziņojum</w:t>
      </w:r>
      <w:r>
        <w:rPr>
          <w:noProof/>
        </w:rPr>
        <w:t xml:space="preserve">a saņemšanas dienas šādi iebildumi netiek iesniegti rakstiski, uzskata, ka Puse ir piekritusi ierosinātajiem labojumiem. </w:t>
      </w:r>
    </w:p>
    <w:p w:rsidR="003E022D" w:rsidRDefault="007D19D6">
      <w:pPr>
        <w:pStyle w:val="Article"/>
        <w:rPr>
          <w:b/>
          <w:bCs/>
          <w:noProof/>
        </w:rPr>
      </w:pPr>
      <w:r>
        <w:rPr>
          <w:noProof/>
        </w:rPr>
        <w:t>PPROC.17. pants. Konsultācijas un strīdu izšķiršana</w:t>
      </w:r>
    </w:p>
    <w:p w:rsidR="003E022D" w:rsidRDefault="007D19D6">
      <w:pPr>
        <w:rPr>
          <w:rFonts w:cstheme="minorHAnsi"/>
          <w:noProof/>
        </w:rPr>
      </w:pPr>
      <w:r>
        <w:rPr>
          <w:noProof/>
        </w:rPr>
        <w:t>Ja Puse iebilst pret ierosinātajiem grozījumiem vai ierosinātajiem kompensējošajie</w:t>
      </w:r>
      <w:r>
        <w:rPr>
          <w:noProof/>
        </w:rPr>
        <w:t>m pielāgojumiem, kas minēti PPROC.15. pantā [Grozījumi], vai ierosinātajiem labojumiem, kas minēti PPROC.16. pantā [Labojumi], Puses cenšas atrisināt šo jautājumu konsultāciju ceļā. Ja 60 dienu laikā pēc iebilduma saņemšanas nav panākta vienošanās, Puse, k</w:t>
      </w:r>
      <w:r>
        <w:rPr>
          <w:noProof/>
        </w:rPr>
        <w:t>as vēlas grozīt vai labot savu apakšiedaļu PPROC-1. pielikuma B iedaļā, var nodot jautājumu strīda izšķiršanai saskaņā ar sestās daļas [Strīdu izšķiršana un horizontālie noteikumi] I sadaļu [Strīdu izšķiršana], lai noteiktu, vai iebildums ir pamatots.</w:t>
      </w:r>
    </w:p>
    <w:p w:rsidR="003E022D" w:rsidRDefault="007D19D6">
      <w:pPr>
        <w:pStyle w:val="Article"/>
        <w:rPr>
          <w:b/>
          <w:bCs/>
          <w:noProof/>
        </w:rPr>
      </w:pPr>
      <w:r>
        <w:rPr>
          <w:noProof/>
        </w:rPr>
        <w:t>PPRO</w:t>
      </w:r>
      <w:r>
        <w:rPr>
          <w:noProof/>
        </w:rPr>
        <w:t>C.18. pants. PPROC-1. pielikuma B iedaļas grozīšana</w:t>
      </w:r>
    </w:p>
    <w:p w:rsidR="003E022D" w:rsidRDefault="007D19D6">
      <w:pPr>
        <w:rPr>
          <w:rFonts w:cstheme="minorHAnsi"/>
          <w:noProof/>
        </w:rPr>
      </w:pPr>
      <w:r>
        <w:rPr>
          <w:noProof/>
        </w:rPr>
        <w:t>Ja Puse neiebilst pret grozījumiem saskaņā ar PPROC.15. panta [Grozījumi] 3. punktu vai labojumiem saskaņā ar PPROC.16. panta [Labojumi] 2. punktu vai ja Puses savstarpēji vienojas par grozījumiem vai lab</w:t>
      </w:r>
      <w:r>
        <w:rPr>
          <w:noProof/>
        </w:rPr>
        <w:t>ojumiem konsultāciju ceļā, kā minēts PPROC.17. pantā [Konsultācijas un strīdu izšķiršana], vai ja jautājums ir noregulēts saskaņā ar sestās daļas [Strīdu izšķiršana un horizontālie noteikumi] I sadaļu [Strīdu izšķiršana], Partnerības padome groza PPROC-1. </w:t>
      </w:r>
      <w:r>
        <w:rPr>
          <w:noProof/>
        </w:rPr>
        <w:t>pielikuma B iedaļas attiecīgo apakšiedaļu, lai atspoguļotu attiecīgos grozījumus vai labojumus, vai kompensējošos pielāgojumus.</w:t>
      </w:r>
    </w:p>
    <w:p w:rsidR="003E022D" w:rsidRDefault="007D19D6">
      <w:pPr>
        <w:pStyle w:val="Article"/>
        <w:rPr>
          <w:b/>
          <w:bCs/>
          <w:noProof/>
        </w:rPr>
      </w:pPr>
      <w:r>
        <w:rPr>
          <w:noProof/>
        </w:rPr>
        <w:t>PPROC.19. pants. Sadarbība</w:t>
      </w:r>
    </w:p>
    <w:p w:rsidR="003E022D" w:rsidRDefault="007D19D6">
      <w:pPr>
        <w:rPr>
          <w:rFonts w:cstheme="minorHAnsi"/>
          <w:noProof/>
        </w:rPr>
      </w:pPr>
      <w:r>
        <w:rPr>
          <w:noProof/>
        </w:rPr>
        <w:t xml:space="preserve">1. </w:t>
      </w:r>
      <w:r>
        <w:rPr>
          <w:noProof/>
        </w:rPr>
        <w:tab/>
        <w:t>Puses atzīst ieguvumus, ko var radīt sadarbība publiskā iepirkuma tirgu savstarpējās liberalizāci</w:t>
      </w:r>
      <w:r>
        <w:rPr>
          <w:noProof/>
        </w:rPr>
        <w:t xml:space="preserve">jas veicināšanā plašākā starptautiskā mērogā. </w:t>
      </w:r>
    </w:p>
    <w:p w:rsidR="003E022D" w:rsidRDefault="007D19D6">
      <w:pPr>
        <w:rPr>
          <w:rFonts w:cstheme="minorHAnsi"/>
          <w:noProof/>
        </w:rPr>
      </w:pPr>
      <w:r>
        <w:rPr>
          <w:noProof/>
        </w:rPr>
        <w:t xml:space="preserve">2. </w:t>
      </w:r>
      <w:r>
        <w:rPr>
          <w:noProof/>
        </w:rPr>
        <w:tab/>
        <w:t>Puses viena otrai dara pieejamu gada statistiku par aptverto iepirkumu, ja tā ir tehniski pieejama.</w:t>
      </w:r>
    </w:p>
    <w:p w:rsidR="003E022D" w:rsidRDefault="003E022D">
      <w:pPr>
        <w:spacing w:after="0"/>
        <w:rPr>
          <w:rFonts w:asciiTheme="majorHAnsi" w:hAnsiTheme="majorHAnsi"/>
          <w:noProof/>
        </w:rPr>
      </w:pPr>
    </w:p>
    <w:p w:rsidR="003E022D" w:rsidRDefault="007D19D6">
      <w:pPr>
        <w:pStyle w:val="Title1"/>
        <w:rPr>
          <w:noProof/>
        </w:rPr>
      </w:pPr>
      <w:bookmarkStart w:id="172" w:name="_Toc59988344"/>
      <w:r>
        <w:rPr>
          <w:noProof/>
        </w:rPr>
        <w:t>VII sadaļa. Mazie un vidējie uzņēmumi</w:t>
      </w:r>
      <w:bookmarkEnd w:id="172"/>
    </w:p>
    <w:p w:rsidR="003E022D" w:rsidRDefault="007D19D6">
      <w:pPr>
        <w:pStyle w:val="Article"/>
        <w:rPr>
          <w:noProof/>
        </w:rPr>
      </w:pPr>
      <w:bookmarkStart w:id="173" w:name="_Toc33172140"/>
      <w:r>
        <w:rPr>
          <w:noProof/>
        </w:rPr>
        <w:t>SME.1. pants. Mērķis</w:t>
      </w:r>
      <w:bookmarkEnd w:id="173"/>
    </w:p>
    <w:p w:rsidR="003E022D" w:rsidRDefault="007D19D6">
      <w:pPr>
        <w:widowControl w:val="0"/>
        <w:autoSpaceDE w:val="0"/>
        <w:autoSpaceDN w:val="0"/>
        <w:adjustRightInd w:val="0"/>
        <w:snapToGrid w:val="0"/>
        <w:spacing w:before="100" w:beforeAutospacing="1" w:after="100" w:afterAutospacing="1"/>
        <w:mirrorIndents/>
        <w:rPr>
          <w:rFonts w:eastAsia="Calibri" w:cstheme="minorHAnsi"/>
          <w:noProof/>
        </w:rPr>
      </w:pPr>
      <w:r>
        <w:rPr>
          <w:noProof/>
        </w:rPr>
        <w:t xml:space="preserve">Šīs sadaļas mērķis ir uzlabot mazo un vidējo </w:t>
      </w:r>
      <w:r>
        <w:rPr>
          <w:noProof/>
        </w:rPr>
        <w:t>uzņēmumu spēju gūt labumu no pirmā temata [Tirdzniecība].</w:t>
      </w:r>
    </w:p>
    <w:p w:rsidR="003E022D" w:rsidRDefault="007D19D6">
      <w:pPr>
        <w:pStyle w:val="Article"/>
        <w:rPr>
          <w:noProof/>
        </w:rPr>
      </w:pPr>
      <w:bookmarkStart w:id="174" w:name="_Toc33172141"/>
      <w:r>
        <w:rPr>
          <w:noProof/>
        </w:rPr>
        <w:t>SME.2. pants. Informācijas apmaiņa</w:t>
      </w:r>
      <w:bookmarkEnd w:id="174"/>
    </w:p>
    <w:p w:rsidR="003E022D" w:rsidRDefault="007D19D6">
      <w:pPr>
        <w:rPr>
          <w:rFonts w:cstheme="minorHAnsi"/>
          <w:noProof/>
        </w:rPr>
      </w:pPr>
      <w:r>
        <w:rPr>
          <w:noProof/>
        </w:rPr>
        <w:t>1.</w:t>
      </w:r>
      <w:r>
        <w:rPr>
          <w:noProof/>
        </w:rPr>
        <w:tab/>
        <w:t>Katra Puse izveido vai uztur publiski pieejamu tīmekļa vietni mazajiem un vidējiem uzņēmumiem, kurā ir informācija par pirmo tematu [Tirdzniecība], tostarp šāda</w:t>
      </w:r>
      <w:r>
        <w:rPr>
          <w:noProof/>
        </w:rPr>
        <w:t>:</w:t>
      </w:r>
    </w:p>
    <w:p w:rsidR="003E022D" w:rsidRDefault="007D19D6">
      <w:pPr>
        <w:ind w:left="567" w:hanging="567"/>
        <w:rPr>
          <w:rFonts w:eastAsia="Calibri" w:cstheme="minorHAnsi"/>
          <w:noProof/>
        </w:rPr>
      </w:pPr>
      <w:r>
        <w:rPr>
          <w:noProof/>
        </w:rPr>
        <w:t>a)</w:t>
      </w:r>
      <w:r>
        <w:rPr>
          <w:noProof/>
        </w:rPr>
        <w:tab/>
        <w:t xml:space="preserve">pirmā temata [Tirdzniecība] kopsavilkums; </w:t>
      </w:r>
    </w:p>
    <w:p w:rsidR="003E022D" w:rsidRDefault="007D19D6">
      <w:pPr>
        <w:ind w:left="567" w:hanging="567"/>
        <w:rPr>
          <w:rFonts w:eastAsia="Calibri" w:cstheme="minorHAnsi"/>
          <w:noProof/>
        </w:rPr>
      </w:pPr>
      <w:r>
        <w:rPr>
          <w:noProof/>
        </w:rPr>
        <w:t>b)</w:t>
      </w:r>
      <w:r>
        <w:rPr>
          <w:noProof/>
        </w:rPr>
        <w:tab/>
        <w:t>pirmā temata [Tirdzniecība] to noteikumu apraksts, kurus katra Puse uzskata par būtiskiem abu Pušu mazajiem un vidējiem uzņēmumiem, un</w:t>
      </w:r>
    </w:p>
    <w:p w:rsidR="003E022D" w:rsidRDefault="007D19D6">
      <w:pPr>
        <w:ind w:left="567" w:hanging="567"/>
        <w:rPr>
          <w:rFonts w:eastAsia="Calibri" w:cstheme="minorHAnsi"/>
          <w:noProof/>
        </w:rPr>
      </w:pPr>
      <w:r>
        <w:rPr>
          <w:noProof/>
        </w:rPr>
        <w:t>c)</w:t>
      </w:r>
      <w:r>
        <w:rPr>
          <w:noProof/>
        </w:rPr>
        <w:tab/>
        <w:t>jebkāda papildu informācija, kuru katra Puse uzskata par lietderīgu</w:t>
      </w:r>
      <w:r>
        <w:rPr>
          <w:noProof/>
        </w:rPr>
        <w:t xml:space="preserve"> mazajiem un vidējiem uzņēmumiem, kas ir ieinteresēti gūt labumu no pirmā temata [Tirdzniecība].</w:t>
      </w:r>
    </w:p>
    <w:p w:rsidR="003E022D" w:rsidRDefault="007D19D6">
      <w:pPr>
        <w:rPr>
          <w:rFonts w:eastAsia="Calibri" w:cstheme="minorHAnsi"/>
          <w:noProof/>
        </w:rPr>
      </w:pPr>
      <w:r>
        <w:rPr>
          <w:noProof/>
        </w:rPr>
        <w:t>2.</w:t>
      </w:r>
      <w:r>
        <w:rPr>
          <w:noProof/>
        </w:rPr>
        <w:tab/>
        <w:t>Katra Puse 1. punktā paredzētajā tīmekļa vietnē iekļauj interneta saiti uz:</w:t>
      </w:r>
    </w:p>
    <w:p w:rsidR="003E022D" w:rsidRDefault="007D19D6">
      <w:pPr>
        <w:ind w:left="567" w:hanging="567"/>
        <w:rPr>
          <w:rFonts w:eastAsia="Calibri" w:cstheme="minorHAnsi"/>
          <w:noProof/>
        </w:rPr>
      </w:pPr>
      <w:r>
        <w:rPr>
          <w:noProof/>
        </w:rPr>
        <w:t>a)</w:t>
      </w:r>
      <w:r>
        <w:rPr>
          <w:noProof/>
        </w:rPr>
        <w:tab/>
        <w:t>pirmā temata [Tirdzniecība] tekstu;</w:t>
      </w:r>
    </w:p>
    <w:p w:rsidR="003E022D" w:rsidRDefault="007D19D6">
      <w:pPr>
        <w:ind w:left="567" w:hanging="567"/>
        <w:rPr>
          <w:rFonts w:eastAsia="Calibri" w:cstheme="minorHAnsi"/>
          <w:noProof/>
        </w:rPr>
      </w:pPr>
      <w:r>
        <w:rPr>
          <w:noProof/>
        </w:rPr>
        <w:t>b)</w:t>
      </w:r>
      <w:r>
        <w:rPr>
          <w:noProof/>
        </w:rPr>
        <w:tab/>
        <w:t>otras Puses līdzvērtīgu tīmekļa vietni</w:t>
      </w:r>
      <w:r>
        <w:rPr>
          <w:noProof/>
        </w:rPr>
        <w:t xml:space="preserve"> un</w:t>
      </w:r>
    </w:p>
    <w:p w:rsidR="003E022D" w:rsidRDefault="007D19D6">
      <w:pPr>
        <w:ind w:left="567" w:hanging="567"/>
        <w:rPr>
          <w:rFonts w:eastAsia="Calibri" w:cstheme="minorHAnsi"/>
          <w:noProof/>
        </w:rPr>
      </w:pPr>
      <w:r>
        <w:rPr>
          <w:noProof/>
        </w:rPr>
        <w:t>c)</w:t>
      </w:r>
      <w:r>
        <w:rPr>
          <w:noProof/>
        </w:rPr>
        <w:tab/>
        <w:t>to savu iestāžu tīmekļa vietnēm, kas pēc Puses ieskatiem varētu sniegtu noderīgu informāciju personām, kuras interesē tirdzniecība un darījumdarbība tās teritorijā.</w:t>
      </w:r>
    </w:p>
    <w:p w:rsidR="003E022D" w:rsidRDefault="007D19D6">
      <w:pPr>
        <w:rPr>
          <w:rFonts w:eastAsia="Calibri" w:cstheme="minorHAnsi"/>
          <w:noProof/>
        </w:rPr>
      </w:pPr>
      <w:r>
        <w:rPr>
          <w:noProof/>
        </w:rPr>
        <w:t>3.</w:t>
      </w:r>
      <w:r>
        <w:rPr>
          <w:noProof/>
        </w:rPr>
        <w:tab/>
        <w:t>Katra Puse 1. punktā paredzētajā tīmekļa vietnē iekļauj interneta saiti uz tās ie</w:t>
      </w:r>
      <w:r>
        <w:rPr>
          <w:noProof/>
        </w:rPr>
        <w:t>stāžu tīmekļa vietnēm, kurā ir informācija saistībā ar turpmāk minēto:</w:t>
      </w:r>
    </w:p>
    <w:p w:rsidR="003E022D" w:rsidRDefault="007D19D6">
      <w:pPr>
        <w:ind w:left="567" w:hanging="567"/>
        <w:rPr>
          <w:rFonts w:eastAsia="Calibri" w:cstheme="minorHAnsi"/>
          <w:noProof/>
        </w:rPr>
      </w:pPr>
      <w:r>
        <w:rPr>
          <w:noProof/>
        </w:rPr>
        <w:t>a)</w:t>
      </w:r>
      <w:r>
        <w:rPr>
          <w:noProof/>
        </w:rPr>
        <w:tab/>
        <w:t xml:space="preserve">muitas normatīvie akti, importa, eksporta un tranzīta procedūras, kā arī attiecīgās veidlapas, dokumenti un cita vajadzīgā informācija; </w:t>
      </w:r>
    </w:p>
    <w:p w:rsidR="003E022D" w:rsidRDefault="007D19D6">
      <w:pPr>
        <w:ind w:left="567" w:hanging="567"/>
        <w:rPr>
          <w:rFonts w:eastAsia="Calibri" w:cstheme="minorHAnsi"/>
          <w:noProof/>
        </w:rPr>
      </w:pPr>
      <w:r>
        <w:rPr>
          <w:noProof/>
        </w:rPr>
        <w:t>b)</w:t>
      </w:r>
      <w:r>
        <w:rPr>
          <w:noProof/>
        </w:rPr>
        <w:tab/>
        <w:t>normatīvie un administratīvie akti un proc</w:t>
      </w:r>
      <w:r>
        <w:rPr>
          <w:noProof/>
        </w:rPr>
        <w:t>edūras attiecībā uz intelektuālā īpašuma tiesībām, tai skaitā ģeogrāfiskās izcelsmes norādēm;</w:t>
      </w:r>
    </w:p>
    <w:p w:rsidR="003E022D" w:rsidRDefault="007D19D6">
      <w:pPr>
        <w:ind w:left="567" w:hanging="567"/>
        <w:rPr>
          <w:rFonts w:eastAsia="Calibri" w:cstheme="minorHAnsi"/>
          <w:noProof/>
        </w:rPr>
      </w:pPr>
      <w:r>
        <w:rPr>
          <w:noProof/>
        </w:rPr>
        <w:t>c)</w:t>
      </w:r>
      <w:r>
        <w:rPr>
          <w:noProof/>
        </w:rPr>
        <w:tab/>
        <w:t>tehniskie normatīvie akti, tai skaitā vajadzības gadījumā atbilstības novērtēšanas obligātās procedūras un saites uz atbilstības novērtējuma struktūru saraksti</w:t>
      </w:r>
      <w:r>
        <w:rPr>
          <w:noProof/>
        </w:rPr>
        <w:t>em gadījumos, kad trešās personas veikta atbilstības novērtēšana ir obligāta, kā tas paredzēts šā temata I sadaļas [Preču tirdzniecība] 4. nodaļā [Tehniskie šķēršļi tirdzniecībai];</w:t>
      </w:r>
    </w:p>
    <w:p w:rsidR="003E022D" w:rsidRDefault="007D19D6">
      <w:pPr>
        <w:ind w:left="567" w:hanging="567"/>
        <w:rPr>
          <w:rFonts w:eastAsia="Calibri" w:cstheme="minorHAnsi"/>
          <w:noProof/>
        </w:rPr>
      </w:pPr>
      <w:r>
        <w:rPr>
          <w:noProof/>
        </w:rPr>
        <w:t>d)</w:t>
      </w:r>
      <w:r>
        <w:rPr>
          <w:noProof/>
        </w:rPr>
        <w:tab/>
        <w:t>normatīvie akti par sanitārajiem un fitosanitārajiem pasākumiem saistībā</w:t>
      </w:r>
      <w:r>
        <w:rPr>
          <w:noProof/>
        </w:rPr>
        <w:t xml:space="preserve"> ar importu un eksportu, kā paredzēts šā temata I sadaļas [Preču tirdzniecība] 3. nodaļā [Sanitārie un fitosanitārie jautājumi];</w:t>
      </w:r>
    </w:p>
    <w:p w:rsidR="003E022D" w:rsidRDefault="007D19D6">
      <w:pPr>
        <w:ind w:left="567" w:hanging="567"/>
        <w:rPr>
          <w:rFonts w:eastAsia="Calibri" w:cstheme="minorHAnsi"/>
          <w:noProof/>
        </w:rPr>
      </w:pPr>
      <w:r>
        <w:rPr>
          <w:noProof/>
        </w:rPr>
        <w:t>e)</w:t>
      </w:r>
      <w:r>
        <w:rPr>
          <w:noProof/>
        </w:rPr>
        <w:tab/>
        <w:t>normatīvie akti par publisko iepirkumu, vienoto piekļuves punktu internetā paziņojumiem par publisko iepirkumu, kā paredzēts</w:t>
      </w:r>
      <w:r>
        <w:rPr>
          <w:noProof/>
        </w:rPr>
        <w:t xml:space="preserve"> šā temata VI sadaļā [Publiskais iepirkums] un citos attiecīgos minētās sadaļas noteikumos;</w:t>
      </w:r>
    </w:p>
    <w:p w:rsidR="003E022D" w:rsidRDefault="007D19D6">
      <w:pPr>
        <w:ind w:left="567" w:hanging="567"/>
        <w:rPr>
          <w:rFonts w:eastAsia="Calibri" w:cstheme="minorHAnsi"/>
          <w:noProof/>
        </w:rPr>
      </w:pPr>
      <w:r>
        <w:rPr>
          <w:noProof/>
        </w:rPr>
        <w:t>f)</w:t>
      </w:r>
      <w:r>
        <w:rPr>
          <w:noProof/>
        </w:rPr>
        <w:tab/>
        <w:t>uzņēmumu reģistrācijas procedūras un</w:t>
      </w:r>
    </w:p>
    <w:p w:rsidR="003E022D" w:rsidRDefault="007D19D6">
      <w:pPr>
        <w:ind w:left="567" w:hanging="567"/>
        <w:rPr>
          <w:rFonts w:eastAsia="Calibri" w:cstheme="minorHAnsi"/>
          <w:noProof/>
        </w:rPr>
      </w:pPr>
      <w:r>
        <w:rPr>
          <w:noProof/>
        </w:rPr>
        <w:t>g)</w:t>
      </w:r>
      <w:r>
        <w:rPr>
          <w:noProof/>
        </w:rPr>
        <w:tab/>
        <w:t>cita informācija, ko Puse uzskata par noderīgu mazajiem un vidējiem uzņēmumiem.</w:t>
      </w:r>
    </w:p>
    <w:p w:rsidR="003E022D" w:rsidRDefault="007D19D6">
      <w:pPr>
        <w:rPr>
          <w:rFonts w:eastAsia="Calibri" w:cstheme="minorHAnsi"/>
          <w:noProof/>
        </w:rPr>
      </w:pPr>
      <w:r>
        <w:rPr>
          <w:noProof/>
        </w:rPr>
        <w:t>4.</w:t>
      </w:r>
      <w:r>
        <w:rPr>
          <w:noProof/>
        </w:rPr>
        <w:tab/>
        <w:t xml:space="preserve">Katra Puse 1. punktā minētajā tīmekļa </w:t>
      </w:r>
      <w:r>
        <w:rPr>
          <w:noProof/>
        </w:rPr>
        <w:t>vietnē iekļauj interneta saiti uz datubāzi, kurā meklēšanu veic elektroniski pēc tarifa nomenklatūras koda un kurā ir šāda informācija attiecībā uz piekļuvi tās tirgum:</w:t>
      </w:r>
    </w:p>
    <w:p w:rsidR="003E022D" w:rsidRDefault="007D19D6">
      <w:pPr>
        <w:ind w:left="567" w:hanging="567"/>
        <w:rPr>
          <w:rFonts w:eastAsia="Calibri" w:cstheme="minorHAnsi"/>
          <w:noProof/>
        </w:rPr>
      </w:pPr>
      <w:r>
        <w:rPr>
          <w:noProof/>
        </w:rPr>
        <w:t xml:space="preserve">a) </w:t>
      </w:r>
      <w:r>
        <w:rPr>
          <w:noProof/>
        </w:rPr>
        <w:tab/>
        <w:t>attiecībā uz tarifa pasākumiem un ar tarifiem saistītu informāciju:</w:t>
      </w:r>
    </w:p>
    <w:p w:rsidR="003E022D" w:rsidRDefault="007D19D6">
      <w:pPr>
        <w:ind w:left="1276" w:hanging="567"/>
        <w:rPr>
          <w:rFonts w:eastAsia="Calibri" w:cstheme="minorHAnsi"/>
          <w:noProof/>
        </w:rPr>
      </w:pPr>
      <w:r>
        <w:rPr>
          <w:noProof/>
        </w:rPr>
        <w:t>i)</w:t>
      </w:r>
      <w:r>
        <w:rPr>
          <w:noProof/>
        </w:rPr>
        <w:tab/>
        <w:t>muitas nodok</w:t>
      </w:r>
      <w:r>
        <w:rPr>
          <w:noProof/>
        </w:rPr>
        <w:t>ļu un kvotu likmes, tai skaitā vislielākās labvēlības režīms, likmes attiecībā uz valstīm, kam nav piešķirts vislielākās labvēlības režīms, un preferenciālās likmes un tarifa likmes kvotas;</w:t>
      </w:r>
    </w:p>
    <w:p w:rsidR="003E022D" w:rsidRDefault="007D19D6">
      <w:pPr>
        <w:ind w:left="1276" w:hanging="567"/>
        <w:rPr>
          <w:rFonts w:eastAsia="Calibri" w:cstheme="minorHAnsi"/>
          <w:noProof/>
        </w:rPr>
      </w:pPr>
      <w:r>
        <w:rPr>
          <w:noProof/>
        </w:rPr>
        <w:t>ii)</w:t>
      </w:r>
      <w:r>
        <w:rPr>
          <w:noProof/>
        </w:rPr>
        <w:tab/>
        <w:t>akcīzes nodokļi;</w:t>
      </w:r>
    </w:p>
    <w:p w:rsidR="003E022D" w:rsidRDefault="007D19D6">
      <w:pPr>
        <w:ind w:left="1276" w:hanging="567"/>
        <w:rPr>
          <w:rFonts w:eastAsia="Calibri" w:cstheme="minorHAnsi"/>
          <w:noProof/>
        </w:rPr>
      </w:pPr>
      <w:r>
        <w:rPr>
          <w:noProof/>
        </w:rPr>
        <w:t>iii)</w:t>
      </w:r>
      <w:r>
        <w:rPr>
          <w:noProof/>
        </w:rPr>
        <w:tab/>
        <w:t xml:space="preserve">nodokļi (pievienotās vērtības </w:t>
      </w:r>
      <w:r>
        <w:rPr>
          <w:noProof/>
        </w:rPr>
        <w:t>nodoklis/pārdošanas nodoklis);</w:t>
      </w:r>
    </w:p>
    <w:p w:rsidR="003E022D" w:rsidRDefault="007D19D6">
      <w:pPr>
        <w:ind w:left="1276" w:hanging="567"/>
        <w:rPr>
          <w:rFonts w:eastAsia="Calibri" w:cstheme="minorHAnsi"/>
          <w:noProof/>
        </w:rPr>
      </w:pPr>
      <w:r>
        <w:rPr>
          <w:noProof/>
        </w:rPr>
        <w:t>iv)</w:t>
      </w:r>
      <w:r>
        <w:rPr>
          <w:noProof/>
        </w:rPr>
        <w:tab/>
        <w:t>muitas vai citas maksas, tai skaitā konkrētiem produktiem piemērojamas nodevas;</w:t>
      </w:r>
    </w:p>
    <w:p w:rsidR="003E022D" w:rsidRDefault="007D19D6">
      <w:pPr>
        <w:ind w:left="1276" w:hanging="567"/>
        <w:rPr>
          <w:noProof/>
        </w:rPr>
      </w:pPr>
      <w:r>
        <w:rPr>
          <w:noProof/>
        </w:rPr>
        <w:t>v)</w:t>
      </w:r>
      <w:r>
        <w:rPr>
          <w:noProof/>
        </w:rPr>
        <w:tab/>
        <w:t>izcelsmes noteikumi, kā paredzēts šā temata I sadaļas [Preču tirdzniecība] 2. nodaļā [Izcelsmes noteikumi];</w:t>
      </w:r>
    </w:p>
    <w:p w:rsidR="003E022D" w:rsidRDefault="007D19D6">
      <w:pPr>
        <w:ind w:left="1276" w:hanging="567"/>
        <w:rPr>
          <w:rFonts w:eastAsia="Calibri" w:cstheme="minorHAnsi"/>
          <w:noProof/>
        </w:rPr>
      </w:pPr>
      <w:r>
        <w:rPr>
          <w:noProof/>
        </w:rPr>
        <w:t>vi)</w:t>
      </w:r>
      <w:r>
        <w:rPr>
          <w:noProof/>
        </w:rPr>
        <w:tab/>
        <w:t>nodokļu atmaksa, atlikšana</w:t>
      </w:r>
      <w:r>
        <w:rPr>
          <w:noProof/>
        </w:rPr>
        <w:t xml:space="preserve"> vai cita veida atbalsts, kura rezultātā samazina vai atmaksā muitas nodokļus vai atbrīvo no tiem;</w:t>
      </w:r>
    </w:p>
    <w:p w:rsidR="003E022D" w:rsidRDefault="007D19D6">
      <w:pPr>
        <w:ind w:left="1276" w:hanging="567"/>
        <w:rPr>
          <w:rFonts w:eastAsia="Calibri" w:cstheme="minorHAnsi"/>
          <w:noProof/>
        </w:rPr>
      </w:pPr>
      <w:r>
        <w:rPr>
          <w:noProof/>
        </w:rPr>
        <w:t>vii)</w:t>
      </w:r>
      <w:r>
        <w:rPr>
          <w:noProof/>
        </w:rPr>
        <w:tab/>
        <w:t>kritēriji, ko izmanto preces muitas vērtības noteikšanai; kā arī</w:t>
      </w:r>
    </w:p>
    <w:p w:rsidR="003E022D" w:rsidRDefault="007D19D6">
      <w:pPr>
        <w:ind w:left="1276" w:hanging="567"/>
        <w:rPr>
          <w:rFonts w:eastAsia="Calibri" w:cstheme="minorHAnsi"/>
          <w:noProof/>
        </w:rPr>
      </w:pPr>
      <w:r>
        <w:rPr>
          <w:noProof/>
        </w:rPr>
        <w:t>viii)</w:t>
      </w:r>
      <w:r>
        <w:rPr>
          <w:noProof/>
        </w:rPr>
        <w:tab/>
        <w:t>citi tarifa pasākumi;</w:t>
      </w:r>
    </w:p>
    <w:p w:rsidR="003E022D" w:rsidRDefault="007D19D6">
      <w:pPr>
        <w:ind w:left="567" w:hanging="567"/>
        <w:rPr>
          <w:rFonts w:eastAsia="Calibri" w:cstheme="minorHAnsi"/>
          <w:noProof/>
        </w:rPr>
      </w:pPr>
      <w:r>
        <w:rPr>
          <w:noProof/>
        </w:rPr>
        <w:t xml:space="preserve">b) </w:t>
      </w:r>
      <w:r>
        <w:rPr>
          <w:noProof/>
        </w:rPr>
        <w:tab/>
        <w:t>attiecībā uz netarifa pasākumiem, kas saistīti ar tarif</w:t>
      </w:r>
      <w:r>
        <w:rPr>
          <w:noProof/>
        </w:rPr>
        <w:t>u nomenklatūru:</w:t>
      </w:r>
    </w:p>
    <w:p w:rsidR="003E022D" w:rsidRDefault="007D19D6">
      <w:pPr>
        <w:ind w:left="1276" w:hanging="567"/>
        <w:rPr>
          <w:rFonts w:eastAsia="Calibri" w:cstheme="minorHAnsi"/>
          <w:noProof/>
        </w:rPr>
      </w:pPr>
      <w:r>
        <w:rPr>
          <w:noProof/>
        </w:rPr>
        <w:t>i)</w:t>
      </w:r>
      <w:r>
        <w:rPr>
          <w:noProof/>
        </w:rPr>
        <w:tab/>
        <w:t>importa procedūrām nepieciešamā informācija; kā arī</w:t>
      </w:r>
    </w:p>
    <w:p w:rsidR="003E022D" w:rsidRDefault="007D19D6">
      <w:pPr>
        <w:ind w:left="1276" w:hanging="567"/>
        <w:rPr>
          <w:rFonts w:eastAsia="Calibri" w:cstheme="minorHAnsi"/>
          <w:noProof/>
        </w:rPr>
      </w:pPr>
      <w:r>
        <w:rPr>
          <w:noProof/>
        </w:rPr>
        <w:t>ii)</w:t>
      </w:r>
      <w:r>
        <w:rPr>
          <w:noProof/>
        </w:rPr>
        <w:tab/>
        <w:t>ar netarifa pasākumiem saistītā informācija.</w:t>
      </w:r>
    </w:p>
    <w:p w:rsidR="003E022D" w:rsidRDefault="007D19D6">
      <w:pPr>
        <w:rPr>
          <w:rFonts w:eastAsia="Calibri" w:cstheme="minorHAnsi"/>
          <w:noProof/>
        </w:rPr>
      </w:pPr>
      <w:r>
        <w:rPr>
          <w:noProof/>
        </w:rPr>
        <w:t>5.</w:t>
      </w:r>
      <w:r>
        <w:rPr>
          <w:noProof/>
        </w:rPr>
        <w:tab/>
        <w:t xml:space="preserve">Katra Puse regulāri vai pēc otras Puses lūguma atjaunina 1.-4. punktā minēto informāciju un saites savā tīmekļa vietnē, lai </w:t>
      </w:r>
      <w:r>
        <w:rPr>
          <w:noProof/>
        </w:rPr>
        <w:t>nodrošinātu, ka šāda informācija un saites ir atjauninātas un precīzas.</w:t>
      </w:r>
    </w:p>
    <w:p w:rsidR="003E022D" w:rsidRDefault="007D19D6">
      <w:pPr>
        <w:rPr>
          <w:rFonts w:cstheme="minorHAnsi"/>
          <w:noProof/>
        </w:rPr>
      </w:pPr>
      <w:r>
        <w:rPr>
          <w:noProof/>
        </w:rPr>
        <w:t>6.</w:t>
      </w:r>
      <w:r>
        <w:rPr>
          <w:noProof/>
        </w:rPr>
        <w:tab/>
        <w:t xml:space="preserve">Katra Puse nodrošina, ka 1.-4. punktā minētā informācija un saites ir sniegtas piemērotā veidā, lai tās izmantotu mazie un vidējie uzņēmumi. </w:t>
      </w:r>
      <w:r>
        <w:rPr>
          <w:noProof/>
          <w:color w:val="FF0000"/>
        </w:rPr>
        <w:t xml:space="preserve"> </w:t>
      </w:r>
      <w:r>
        <w:rPr>
          <w:noProof/>
        </w:rPr>
        <w:t>Katra Puse cenšas nodrošināt, ka inform</w:t>
      </w:r>
      <w:r>
        <w:rPr>
          <w:noProof/>
        </w:rPr>
        <w:t xml:space="preserve">ācija ir pieejama angļu valodā. </w:t>
      </w:r>
    </w:p>
    <w:p w:rsidR="003E022D" w:rsidRDefault="007D19D6">
      <w:pPr>
        <w:rPr>
          <w:rFonts w:eastAsia="Calibri" w:cstheme="minorHAnsi"/>
          <w:noProof/>
        </w:rPr>
      </w:pPr>
      <w:r>
        <w:rPr>
          <w:noProof/>
        </w:rPr>
        <w:t>7.</w:t>
      </w:r>
      <w:r>
        <w:rPr>
          <w:noProof/>
        </w:rPr>
        <w:tab/>
        <w:t>Par piekļuvi informācijai, kas sniegta saskaņā ar 1.-4. punktu, nevienai Pušu personai netiek prasīta maksa.</w:t>
      </w:r>
    </w:p>
    <w:p w:rsidR="003E022D" w:rsidRDefault="007D19D6">
      <w:pPr>
        <w:pStyle w:val="Article"/>
        <w:rPr>
          <w:noProof/>
        </w:rPr>
      </w:pPr>
      <w:bookmarkStart w:id="175" w:name="_Toc33172142"/>
      <w:r>
        <w:rPr>
          <w:noProof/>
        </w:rPr>
        <w:t>SME.3. pants. Mazo un vidējo uzņēmumu kontaktpunkti</w:t>
      </w:r>
      <w:bookmarkEnd w:id="175"/>
    </w:p>
    <w:p w:rsidR="003E022D" w:rsidRDefault="007D19D6">
      <w:pPr>
        <w:rPr>
          <w:rFonts w:eastAsia="Calibri" w:cstheme="minorHAnsi"/>
          <w:noProof/>
        </w:rPr>
      </w:pPr>
      <w:r>
        <w:rPr>
          <w:noProof/>
        </w:rPr>
        <w:t>1.</w:t>
      </w:r>
      <w:r>
        <w:rPr>
          <w:noProof/>
        </w:rPr>
        <w:tab/>
        <w:t>Katra Puse, šim nolīgumam stājoties spēkā, norīko kontak</w:t>
      </w:r>
      <w:r>
        <w:rPr>
          <w:noProof/>
        </w:rPr>
        <w:t>tpunktu, kurš pilda šajā pantā uzskaitītās funkcijas, un paziņo otrai Pusei tā kontaktinformāciju. Puses nekavējoties informē viena otru par visām izmaiņām minētajā kontaktinformācijā.</w:t>
      </w:r>
    </w:p>
    <w:p w:rsidR="003E022D" w:rsidRDefault="007D19D6">
      <w:pPr>
        <w:rPr>
          <w:rFonts w:eastAsia="Calibri" w:cstheme="minorHAnsi"/>
          <w:noProof/>
        </w:rPr>
      </w:pPr>
      <w:r>
        <w:rPr>
          <w:noProof/>
        </w:rPr>
        <w:t>2.</w:t>
      </w:r>
      <w:r>
        <w:rPr>
          <w:noProof/>
        </w:rPr>
        <w:tab/>
        <w:t xml:space="preserve">Pušu mazo un vidējo uzņēmumu kontaktpunkti veic šādas funkcijas: </w:t>
      </w:r>
    </w:p>
    <w:p w:rsidR="003E022D" w:rsidRDefault="007D19D6">
      <w:pPr>
        <w:ind w:left="567" w:hanging="567"/>
        <w:rPr>
          <w:rFonts w:eastAsia="Calibri" w:cstheme="minorHAnsi"/>
          <w:noProof/>
        </w:rPr>
      </w:pPr>
      <w:r>
        <w:rPr>
          <w:noProof/>
        </w:rPr>
        <w:t>a)</w:t>
      </w:r>
      <w:r>
        <w:rPr>
          <w:noProof/>
        </w:rPr>
        <w:tab/>
        <w:t xml:space="preserve">cenšas nodrošināt, ka mazo un vidējo uzņēmumu vajadzības tiek ņemtas vērā, īstenojot pirmo tematu [Tirdzniecība], un ka abu Pušu mazie un vidējie uzņēmumi var izmantot pirmā temata [Tirdzniecība] priekšrocības; </w:t>
      </w:r>
    </w:p>
    <w:p w:rsidR="003E022D" w:rsidRDefault="007D19D6">
      <w:pPr>
        <w:ind w:left="567" w:hanging="567"/>
        <w:rPr>
          <w:rFonts w:cstheme="minorHAnsi"/>
          <w:noProof/>
        </w:rPr>
      </w:pPr>
      <w:r>
        <w:rPr>
          <w:noProof/>
        </w:rPr>
        <w:t xml:space="preserve">b) </w:t>
      </w:r>
      <w:r>
        <w:rPr>
          <w:noProof/>
        </w:rPr>
        <w:tab/>
        <w:t>apsver veidus, kā nostiprināt Pušu sada</w:t>
      </w:r>
      <w:r>
        <w:rPr>
          <w:noProof/>
        </w:rPr>
        <w:t>rbību mazajiem un vidējiem uzņēmumiem nozīmīgos jautājumos ar mērķi palielināt mazo un vidējo uzņēmumu iespējas nodarboties ar tirdzniecību un investīcijām;</w:t>
      </w:r>
    </w:p>
    <w:p w:rsidR="003E022D" w:rsidRDefault="007D19D6">
      <w:pPr>
        <w:ind w:left="567" w:hanging="567"/>
        <w:rPr>
          <w:rFonts w:eastAsia="Calibri" w:cstheme="minorHAnsi"/>
          <w:noProof/>
        </w:rPr>
      </w:pPr>
      <w:r>
        <w:rPr>
          <w:noProof/>
        </w:rPr>
        <w:t xml:space="preserve">c) </w:t>
      </w:r>
      <w:r>
        <w:rPr>
          <w:noProof/>
        </w:rPr>
        <w:tab/>
        <w:t>nodrošina, ka SME.2. pantā [Informācijas apmaiņa] minētā informācija ir atjaunināta, precīza un</w:t>
      </w:r>
      <w:r>
        <w:rPr>
          <w:noProof/>
        </w:rPr>
        <w:t xml:space="preserve"> būtiska maziem un vidējiem uzņēmumiem. Ar mazo un vidējo uzņēmumu kontaktpunkta starpniecību katra Puse var ierosināt papildu informāciju, ko otra Puse var iekļaut savās tīmekļa vietnēs, kuras jāuztur saskaņā ar SME.2. pantu [Informācijas apmaiņa];</w:t>
      </w:r>
    </w:p>
    <w:p w:rsidR="003E022D" w:rsidRDefault="007D19D6">
      <w:pPr>
        <w:ind w:left="567" w:hanging="567"/>
        <w:rPr>
          <w:rFonts w:eastAsia="Calibri" w:cstheme="minorHAnsi"/>
          <w:noProof/>
        </w:rPr>
      </w:pPr>
      <w:r>
        <w:rPr>
          <w:noProof/>
        </w:rPr>
        <w:t xml:space="preserve">d) </w:t>
      </w:r>
      <w:r>
        <w:rPr>
          <w:noProof/>
        </w:rPr>
        <w:tab/>
        <w:t>iz</w:t>
      </w:r>
      <w:r>
        <w:rPr>
          <w:noProof/>
        </w:rPr>
        <w:t>skata ikvienu mazajiem un vidējiem uzņēmumiem nozīmīgu jautājumu saistībā ar pirmā temata [Tirdzniecība] īstenošanu, tai skaitā:</w:t>
      </w:r>
    </w:p>
    <w:p w:rsidR="003E022D" w:rsidRDefault="007D19D6">
      <w:pPr>
        <w:ind w:left="1276" w:hanging="567"/>
        <w:rPr>
          <w:rFonts w:cstheme="minorHAnsi"/>
          <w:noProof/>
        </w:rPr>
      </w:pPr>
      <w:r>
        <w:rPr>
          <w:noProof/>
        </w:rPr>
        <w:t>i)</w:t>
      </w:r>
      <w:r>
        <w:rPr>
          <w:noProof/>
        </w:rPr>
        <w:tab/>
        <w:t>apmainās ar informāciju, lai palīdzētu Partnerības padomei veikt tās uzdevumu pārraudzīt un īstenot tos pirmā temata [Tirdzn</w:t>
      </w:r>
      <w:r>
        <w:rPr>
          <w:noProof/>
        </w:rPr>
        <w:t xml:space="preserve">iecība] aspektus, kas saistīti ar mazajiem un vidējiem uzņēmumiem; </w:t>
      </w:r>
    </w:p>
    <w:p w:rsidR="003E022D" w:rsidRDefault="007D19D6">
      <w:pPr>
        <w:ind w:left="1276" w:hanging="567"/>
        <w:rPr>
          <w:rFonts w:eastAsia="Calibri" w:cstheme="minorHAnsi"/>
          <w:noProof/>
        </w:rPr>
      </w:pPr>
      <w:r>
        <w:rPr>
          <w:noProof/>
        </w:rPr>
        <w:t>ii)</w:t>
      </w:r>
      <w:r>
        <w:rPr>
          <w:noProof/>
        </w:rPr>
        <w:tab/>
        <w:t>palīdz specializētajām komitejām, kopīgajām darba grupām un kontaktpunktiem, kas izveidoti ar šo nolīgumu, izskatīt mazajiem un vidējiem uzņēmumiem nozīmīgus jautājumus;</w:t>
      </w:r>
    </w:p>
    <w:p w:rsidR="003E022D" w:rsidRDefault="007D19D6">
      <w:pPr>
        <w:ind w:left="567" w:hanging="567"/>
        <w:rPr>
          <w:rFonts w:eastAsia="Calibri" w:cstheme="minorHAnsi"/>
          <w:noProof/>
        </w:rPr>
      </w:pPr>
      <w:r>
        <w:rPr>
          <w:noProof/>
        </w:rPr>
        <w:t xml:space="preserve">e) </w:t>
      </w:r>
      <w:r>
        <w:rPr>
          <w:noProof/>
        </w:rPr>
        <w:tab/>
        <w:t>periodiski</w:t>
      </w:r>
      <w:r>
        <w:rPr>
          <w:noProof/>
        </w:rPr>
        <w:t xml:space="preserve"> ziņo par savām darbībām, kas īstenotas kopīgi vai atsevišķi, Partnerības padomei izskatīšanai; kā arī</w:t>
      </w:r>
    </w:p>
    <w:p w:rsidR="003E022D" w:rsidRDefault="007D19D6">
      <w:pPr>
        <w:ind w:left="567" w:hanging="567"/>
        <w:rPr>
          <w:rFonts w:eastAsia="Calibri" w:cstheme="minorHAnsi"/>
          <w:noProof/>
        </w:rPr>
      </w:pPr>
      <w:r>
        <w:rPr>
          <w:noProof/>
        </w:rPr>
        <w:t>f)</w:t>
      </w:r>
      <w:r>
        <w:rPr>
          <w:noProof/>
        </w:rPr>
        <w:tab/>
        <w:t>pēc Pušu vienošanās izskata ikvienu citu jautājumu, kas izriet no nolīguma un skar mazos un vidējos uzņēmumus.</w:t>
      </w:r>
    </w:p>
    <w:p w:rsidR="003E022D" w:rsidRDefault="007D19D6">
      <w:pPr>
        <w:rPr>
          <w:rFonts w:eastAsia="Calibri" w:cstheme="minorHAnsi"/>
          <w:noProof/>
        </w:rPr>
      </w:pPr>
      <w:r>
        <w:rPr>
          <w:noProof/>
        </w:rPr>
        <w:t>3.</w:t>
      </w:r>
      <w:r>
        <w:rPr>
          <w:noProof/>
        </w:rPr>
        <w:tab/>
        <w:t>Pušu mazo un vidējo uzņēmumu kontakt</w:t>
      </w:r>
      <w:r>
        <w:rPr>
          <w:noProof/>
        </w:rPr>
        <w:t>punkti pilda savas funkcijas, izmantojot Pušu noteiktos saziņas kanālus, kas var ietvert elektronisko pastu, videokonferences vai citus līdzekļus. Attiecīgā gadījumā tie var arī tikties klātienē.</w:t>
      </w:r>
    </w:p>
    <w:p w:rsidR="003E022D" w:rsidRDefault="007D19D6">
      <w:pPr>
        <w:rPr>
          <w:rFonts w:eastAsia="Calibri" w:cstheme="minorHAnsi"/>
          <w:noProof/>
        </w:rPr>
      </w:pPr>
      <w:r>
        <w:rPr>
          <w:noProof/>
        </w:rPr>
        <w:t>4.</w:t>
      </w:r>
      <w:r>
        <w:rPr>
          <w:noProof/>
        </w:rPr>
        <w:tab/>
        <w:t>Mazo un vidējo uzņēmumu kontaktpunkti, pildot savas funkc</w:t>
      </w:r>
      <w:r>
        <w:rPr>
          <w:noProof/>
        </w:rPr>
        <w:t>ijas, attiecīgā gadījumā var censties sadarboties ar ekspertiem un ārējām organizācijām.</w:t>
      </w:r>
    </w:p>
    <w:p w:rsidR="003E022D" w:rsidRDefault="007D19D6">
      <w:pPr>
        <w:pStyle w:val="Article"/>
        <w:rPr>
          <w:noProof/>
        </w:rPr>
      </w:pPr>
      <w:r>
        <w:rPr>
          <w:noProof/>
        </w:rPr>
        <w:t xml:space="preserve">SME.4. pants. Saistība ar sesto daļu </w:t>
      </w:r>
    </w:p>
    <w:p w:rsidR="003E022D" w:rsidRDefault="007D19D6">
      <w:pPr>
        <w:rPr>
          <w:rFonts w:eastAsia="Calibri" w:cstheme="minorHAnsi"/>
          <w:noProof/>
        </w:rPr>
      </w:pPr>
      <w:r>
        <w:rPr>
          <w:noProof/>
        </w:rPr>
        <w:t>Šai sadaļai nepiemēro sestās daļas [Strīdu izšķiršana un horizontālie noteikumi] I sadaļu [Strīdu izšķiršana].</w:t>
      </w:r>
    </w:p>
    <w:p w:rsidR="003E022D" w:rsidRDefault="003E022D">
      <w:pPr>
        <w:spacing w:after="0"/>
        <w:rPr>
          <w:rFonts w:asciiTheme="majorHAnsi" w:hAnsiTheme="majorHAnsi"/>
          <w:noProof/>
        </w:rPr>
      </w:pPr>
    </w:p>
    <w:p w:rsidR="003E022D" w:rsidRDefault="007D19D6">
      <w:pPr>
        <w:pStyle w:val="Title1"/>
        <w:rPr>
          <w:noProof/>
        </w:rPr>
      </w:pPr>
      <w:bookmarkStart w:id="176" w:name="_Toc59988345"/>
      <w:r>
        <w:rPr>
          <w:noProof/>
        </w:rPr>
        <w:t>VIII sadaļa. Ener</w:t>
      </w:r>
      <w:r>
        <w:rPr>
          <w:noProof/>
        </w:rPr>
        <w:t>ģija</w:t>
      </w:r>
      <w:bookmarkEnd w:id="176"/>
      <w:r>
        <w:rPr>
          <w:noProof/>
        </w:rPr>
        <w:t xml:space="preserve"> </w:t>
      </w:r>
    </w:p>
    <w:p w:rsidR="003E022D" w:rsidRDefault="007D19D6">
      <w:pPr>
        <w:pStyle w:val="Chapter"/>
        <w:rPr>
          <w:rStyle w:val="ChapterChar"/>
          <w:noProof/>
        </w:rPr>
      </w:pPr>
      <w:r>
        <w:rPr>
          <w:rStyle w:val="ChapterChar"/>
          <w:noProof/>
        </w:rPr>
        <w:t>1. nodaļa. Vispārīgi noteikumi</w:t>
      </w:r>
    </w:p>
    <w:p w:rsidR="003E022D" w:rsidRDefault="007D19D6">
      <w:pPr>
        <w:pStyle w:val="Article"/>
        <w:rPr>
          <w:noProof/>
        </w:rPr>
      </w:pPr>
      <w:r>
        <w:rPr>
          <w:noProof/>
        </w:rPr>
        <w:t>ENER.1. pants. Mērķi</w:t>
      </w:r>
    </w:p>
    <w:p w:rsidR="003E022D" w:rsidRDefault="007D19D6">
      <w:pPr>
        <w:spacing w:line="276" w:lineRule="auto"/>
        <w:rPr>
          <w:rFonts w:eastAsia="Arial" w:cs="Calibri"/>
          <w:noProof/>
        </w:rPr>
      </w:pPr>
      <w:r>
        <w:rPr>
          <w:noProof/>
        </w:rPr>
        <w:t>Šīs sadaļas mērķi ir veicināt tirdzniecību un investīcijas starp Pusēm enerģijas un izejvielu jomās un atbalstīt piegādes drošību un vides ilgtspēju, īpaši sniedzot ieguldījumu cīņā pret klimata pār</w:t>
      </w:r>
      <w:r>
        <w:rPr>
          <w:noProof/>
        </w:rPr>
        <w:t>maiņām šajās jomās.</w:t>
      </w:r>
    </w:p>
    <w:p w:rsidR="003E022D" w:rsidRDefault="007D19D6">
      <w:pPr>
        <w:pStyle w:val="Article"/>
        <w:rPr>
          <w:rFonts w:eastAsiaTheme="minorHAnsi"/>
          <w:noProof/>
        </w:rPr>
      </w:pPr>
      <w:r>
        <w:rPr>
          <w:noProof/>
        </w:rPr>
        <w:t>ENER.2. pants. Definīcijas</w:t>
      </w:r>
    </w:p>
    <w:p w:rsidR="003E022D" w:rsidRDefault="007D19D6">
      <w:pPr>
        <w:spacing w:line="276" w:lineRule="auto"/>
        <w:rPr>
          <w:noProof/>
        </w:rPr>
      </w:pPr>
      <w:r>
        <w:rPr>
          <w:noProof/>
        </w:rPr>
        <w:t>1.</w:t>
      </w:r>
      <w:r>
        <w:rPr>
          <w:noProof/>
        </w:rPr>
        <w:tab/>
        <w:t>Šajā sadaļā piemēro šādas definīcijas:</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“Energoregulatoru sadarbības aģentūra” ir aģentūra, kas izveidota ar Eiropas Parlamenta un Padomes 2019. gada 5. jūnija Regulu (ES) 2019/942, ar ko izveido Eiropas </w:t>
      </w:r>
      <w:r>
        <w:rPr>
          <w:rFonts w:asciiTheme="minorHAnsi" w:hAnsiTheme="minorHAnsi"/>
          <w:noProof/>
          <w:sz w:val="22"/>
          <w:szCs w:val="22"/>
        </w:rPr>
        <w:t>Savienības Energoregulatoru sadarbības aģentūru</w:t>
      </w:r>
      <w:r>
        <w:rPr>
          <w:rStyle w:val="FootnoteReference"/>
          <w:rFonts w:cstheme="minorHAnsi"/>
          <w:noProof/>
          <w:sz w:val="22"/>
          <w:szCs w:val="22"/>
          <w:lang w:val="en-IE"/>
        </w:rPr>
        <w:footnoteReference w:id="42"/>
      </w:r>
      <w:r>
        <w:rPr>
          <w:rFonts w:asciiTheme="minorHAnsi" w:hAnsiTheme="minorHAnsi"/>
          <w:noProof/>
          <w:sz w:val="22"/>
          <w:szCs w:val="22"/>
        </w:rPr>
        <w:t>;</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“atļauja” ir tāda atļauja, licence, koncesija vai līdzīgs administratīvs vai līgumisks instruments, ar ko Puses kompetentā iestāde pilnvaro kādu subjektu veikt konkrētu saimniecisko darbību tās teritorijā;</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“balansēšana” ir:</w:t>
      </w:r>
    </w:p>
    <w:p w:rsidR="003E022D" w:rsidRDefault="007D19D6">
      <w:pPr>
        <w:numPr>
          <w:ilvl w:val="0"/>
          <w:numId w:val="234"/>
        </w:numPr>
        <w:ind w:left="1276" w:hanging="567"/>
        <w:rPr>
          <w:rFonts w:eastAsia="Arial" w:cstheme="minorHAnsi"/>
          <w:noProof/>
        </w:rPr>
      </w:pPr>
      <w:r>
        <w:rPr>
          <w:noProof/>
        </w:rPr>
        <w:t>attiecībā uz elektroenerģijas sistēmām — visas darbības un procesi visos laikposmos, ar kuru palīdzību elektroenerģijas pārvades sistēmu operatori pastāvīgi nodrošina sistēmas frekvences uzturēšanu iepriekš noteiktā stabilitātes diapazonā</w:t>
      </w:r>
      <w:r>
        <w:rPr>
          <w:noProof/>
        </w:rPr>
        <w:t xml:space="preserve"> un vajadzīgo rezervju apjoma atbilstību nepieciešamajai kvalitātei;</w:t>
      </w:r>
    </w:p>
    <w:p w:rsidR="003E022D" w:rsidRDefault="007D19D6">
      <w:pPr>
        <w:numPr>
          <w:ilvl w:val="0"/>
          <w:numId w:val="234"/>
        </w:numPr>
        <w:ind w:left="1276" w:hanging="567"/>
        <w:rPr>
          <w:rFonts w:eastAsia="Arial" w:cstheme="minorHAnsi"/>
          <w:noProof/>
        </w:rPr>
      </w:pPr>
      <w:r>
        <w:rPr>
          <w:noProof/>
        </w:rPr>
        <w:t>attiecībā uz gāzes sistēmām — darbības, ko gāzes pārvades sistēmu operatori veic, lai mainītu gāzes plūsmas virzienu uz pārvades tīklu vai no tā, izņemot tās darbības, kas saistītas ar gā</w:t>
      </w:r>
      <w:r>
        <w:rPr>
          <w:noProof/>
        </w:rPr>
        <w:t>zi, ko neuzskaita kā izvadītu no sistēmas, un pārvades sistēmas operatora izmantoto gāzi sistēmas darbības nodrošināšanai;</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“sadale” ir: </w:t>
      </w:r>
    </w:p>
    <w:p w:rsidR="003E022D" w:rsidRDefault="007D19D6">
      <w:pPr>
        <w:numPr>
          <w:ilvl w:val="0"/>
          <w:numId w:val="257"/>
        </w:numPr>
        <w:ind w:left="1276" w:hanging="567"/>
        <w:rPr>
          <w:rFonts w:eastAsia="Arial" w:cstheme="minorHAnsi"/>
          <w:noProof/>
        </w:rPr>
      </w:pPr>
      <w:r>
        <w:rPr>
          <w:noProof/>
        </w:rPr>
        <w:t>attiecībā uz elektroenerģiju — elektroenerģijas transportēšana augstsprieguma, vidēja sprieguma un zemsprieguma sadales</w:t>
      </w:r>
      <w:r>
        <w:rPr>
          <w:noProof/>
        </w:rPr>
        <w:t xml:space="preserve"> sistēmās nolūkā to piegādāt patērētājiem, bet neietver piegādi;</w:t>
      </w:r>
    </w:p>
    <w:p w:rsidR="003E022D" w:rsidRDefault="007D19D6">
      <w:pPr>
        <w:numPr>
          <w:ilvl w:val="0"/>
          <w:numId w:val="257"/>
        </w:numPr>
        <w:ind w:left="1276" w:hanging="567"/>
        <w:rPr>
          <w:rFonts w:eastAsia="Arial" w:cstheme="minorHAnsi"/>
          <w:noProof/>
        </w:rPr>
      </w:pPr>
      <w:r>
        <w:rPr>
          <w:noProof/>
          <w:color w:val="000000"/>
          <w:u w:color="000000"/>
          <w:bdr w:val="nil"/>
        </w:rPr>
        <w:t>attiecībā</w:t>
      </w:r>
      <w:r>
        <w:rPr>
          <w:noProof/>
        </w:rPr>
        <w:t xml:space="preserve"> uz gāzi — dabasgāzes transportēšana vietējos vai reģionālos gāzes cauruļvadu tīklos, lai to piegādātu patērētājiem, bet neietver piegādi;</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“sadales sistēmas operators” ir fiziska vai</w:t>
      </w:r>
      <w:r>
        <w:rPr>
          <w:rFonts w:asciiTheme="minorHAnsi" w:hAnsiTheme="minorHAnsi"/>
          <w:noProof/>
          <w:sz w:val="22"/>
          <w:szCs w:val="22"/>
        </w:rPr>
        <w:t xml:space="preserve"> juridiska persona, kas ir atbildīga par elektroenerģijas vai gāzes sadales sistēmas darbību, uzturēšanas nodrošināšanu un vajadzības gadījumā attīstību noteiktā teritorijā un attiecīgā gadījumā par tās starpsavienošanu ar citām sistēmām un par sistēmas sp</w:t>
      </w:r>
      <w:r>
        <w:rPr>
          <w:rFonts w:asciiTheme="minorHAnsi" w:hAnsiTheme="minorHAnsi"/>
          <w:noProof/>
          <w:sz w:val="22"/>
          <w:szCs w:val="22"/>
        </w:rPr>
        <w:t>ēju ilgtermiņā apmierināt saprātīgu elektroenerģijas vai gāzes sadales pieprasījumu;</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“elektroenerģijas starpsavienotājs” ir pārvades līnija: </w:t>
      </w:r>
    </w:p>
    <w:p w:rsidR="003E022D" w:rsidRDefault="007D19D6">
      <w:pPr>
        <w:numPr>
          <w:ilvl w:val="0"/>
          <w:numId w:val="258"/>
        </w:numPr>
        <w:ind w:left="1276" w:hanging="567"/>
        <w:rPr>
          <w:rFonts w:eastAsia="Arial" w:cstheme="minorHAnsi"/>
          <w:noProof/>
        </w:rPr>
      </w:pPr>
      <w:r>
        <w:rPr>
          <w:noProof/>
        </w:rPr>
        <w:t>starp Pusēm, izņemot jebkuru šādu līniju, kas pilnībā atrodas vienotajā elektroenerģijas tirgū Īrijā un Ziemeļīrij</w:t>
      </w:r>
      <w:r>
        <w:rPr>
          <w:noProof/>
        </w:rPr>
        <w:t>ā;</w:t>
      </w:r>
    </w:p>
    <w:p w:rsidR="003E022D" w:rsidRDefault="007D19D6">
      <w:pPr>
        <w:numPr>
          <w:ilvl w:val="0"/>
          <w:numId w:val="258"/>
        </w:numPr>
        <w:ind w:left="1276" w:hanging="567"/>
        <w:rPr>
          <w:rFonts w:eastAsia="Arial" w:cstheme="minorHAnsi"/>
          <w:noProof/>
        </w:rPr>
      </w:pPr>
      <w:r>
        <w:rPr>
          <w:noProof/>
        </w:rPr>
        <w:t>starp Lielbritāniju un vienoto elektroenerģijas tirgu Īrijā un Ziemeļīrijā, kas neietilpst i) daļas tvērumā;</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“energoprodukti” ir ENER-1. pielikumā ar attiecīgo Harmonizētās sistēmas (HS) kodu uzskaitītās preces, no kurām tiek ražota enerģija;</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“subjekts”</w:t>
      </w:r>
      <w:r>
        <w:rPr>
          <w:rFonts w:asciiTheme="minorHAnsi" w:hAnsiTheme="minorHAnsi"/>
          <w:noProof/>
          <w:sz w:val="22"/>
          <w:szCs w:val="22"/>
        </w:rPr>
        <w:t xml:space="preserve"> ir jebkura fiziska persona, juridiska persona vai uzņēmums, vai to grupa;</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“gāzes starpsavienotājs” ir pārvades līnija, kas šķērso Pušu robežu vai plešas tai pāri;</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“ražošana” ir elektroenerģijas ražošana;</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“ogļūdeņraži” ir ENER-1. pielikumā ar attiecīgo HS </w:t>
      </w:r>
      <w:r>
        <w:rPr>
          <w:rFonts w:asciiTheme="minorHAnsi" w:hAnsiTheme="minorHAnsi"/>
          <w:noProof/>
          <w:sz w:val="22"/>
          <w:szCs w:val="22"/>
        </w:rPr>
        <w:t>kodu uzskaitītās preces.</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“starpsavienojuma punkts” attiecībā uz gāzi ir fizisks vai virtuāls punkts, kas savieno Savienības un Apvienotās Karalistes ieejas-izejas sistēmas vai savieno ieejas-izejas sistēmu ar starpsavienotāju, ciktāl uz šiem punktiem attie</w:t>
      </w:r>
      <w:r>
        <w:rPr>
          <w:rFonts w:asciiTheme="minorHAnsi" w:hAnsiTheme="minorHAnsi"/>
          <w:noProof/>
          <w:sz w:val="22"/>
          <w:szCs w:val="22"/>
        </w:rPr>
        <w:t>cas rezervēšanas procedūras, ko izpilda tīkla lietotāji;</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color w:val="000000" w:themeColor="text1"/>
          <w:sz w:val="22"/>
          <w:szCs w:val="22"/>
        </w:rPr>
        <w:t>“izejvielas” ir ENER-1. pielikumā ar attiecīgo HS nodaļu uzskaitītās preces.</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“atjaunojamo energoresursu enerģija” ir enerģijas veids, tai skaitā elektroenerģija, kas iegūts no atjaunojamiem nefosilaj</w:t>
      </w:r>
      <w:r>
        <w:rPr>
          <w:rFonts w:asciiTheme="minorHAnsi" w:hAnsiTheme="minorHAnsi"/>
          <w:noProof/>
          <w:sz w:val="22"/>
          <w:szCs w:val="22"/>
        </w:rPr>
        <w:t>iem energoresursiem;</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“standarta jaudas produkts” ir attiecībā uz gāzi noteikts transportēšanas jaudas apjoms konkrētā laikposmā un konkrētā starpsavienojuma punktā;</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“pārvade” ir:</w:t>
      </w:r>
    </w:p>
    <w:p w:rsidR="003E022D" w:rsidRDefault="007D19D6">
      <w:pPr>
        <w:numPr>
          <w:ilvl w:val="0"/>
          <w:numId w:val="259"/>
        </w:numPr>
        <w:ind w:left="1276" w:hanging="567"/>
        <w:rPr>
          <w:rFonts w:eastAsia="Arial" w:cstheme="minorHAnsi"/>
          <w:noProof/>
        </w:rPr>
      </w:pPr>
      <w:r>
        <w:rPr>
          <w:noProof/>
        </w:rPr>
        <w:t xml:space="preserve">attiecībā uz elektroenerģiju — elektroenerģijas transportēšana ļoti augsta </w:t>
      </w:r>
      <w:r>
        <w:rPr>
          <w:noProof/>
        </w:rPr>
        <w:t>sprieguma un augstsprieguma sistēmā nolūkā to piegādāt patērētājiem vai izplatītājiem, bet neietver piegādi;</w:t>
      </w:r>
    </w:p>
    <w:p w:rsidR="003E022D" w:rsidRDefault="007D19D6">
      <w:pPr>
        <w:numPr>
          <w:ilvl w:val="0"/>
          <w:numId w:val="259"/>
        </w:numPr>
        <w:ind w:left="1276" w:hanging="567"/>
        <w:rPr>
          <w:rFonts w:eastAsia="Arial" w:cstheme="minorHAnsi"/>
          <w:noProof/>
        </w:rPr>
      </w:pPr>
      <w:r>
        <w:rPr>
          <w:noProof/>
        </w:rPr>
        <w:t>attiecībā uz gāzi — dabasgāzes transportēšana tīklā, ko galvenokārt veido augstspiediena cauruļvadi, kuri nav augšposma cauruļvadu tīkls, kā arī na</w:t>
      </w:r>
      <w:r>
        <w:rPr>
          <w:noProof/>
        </w:rPr>
        <w:t>v daļa no augstspiediena cauruļvadiem, kurus galvenokārt lieto vietējai dabasgāzes sadalei, lai to piegādātu patērētājiem, bet neietverot piegādi;</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“pārvades sistēmas operators” ir fiziska vai juridiska persona, kas veic pārvades funkciju vai atbild par ele</w:t>
      </w:r>
      <w:r>
        <w:rPr>
          <w:rFonts w:asciiTheme="minorHAnsi" w:hAnsiTheme="minorHAnsi"/>
          <w:noProof/>
          <w:sz w:val="22"/>
          <w:szCs w:val="22"/>
        </w:rPr>
        <w:t>ktroenerģijas vai gāzes pārvades sistēmas darbību, uzturēšanas nodrošināšanu un vajadzības gadījumā attīstību konkrētā teritorijā un attiecīgā gadījumā par tās starpsavienošanu ar citām sistēmām un attiecīgi par sistēmas spēju ilgtermiņā apmierināt saprātī</w:t>
      </w:r>
      <w:r>
        <w:rPr>
          <w:rFonts w:asciiTheme="minorHAnsi" w:hAnsiTheme="minorHAnsi"/>
          <w:noProof/>
          <w:sz w:val="22"/>
          <w:szCs w:val="22"/>
        </w:rPr>
        <w:t xml:space="preserve">gu elektroenerģijas vai gāzes transportēšanas pieprasījumu; </w:t>
      </w:r>
    </w:p>
    <w:p w:rsidR="003E022D" w:rsidRDefault="007D19D6">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“augšposma cauruļvadu tīkls” ir jebkāds cauruļvads vai cauruļvadu tīkls, ko ekspluatē vai būvē naftas vai gāzes ražošanas projekta satvarā vai izmanto, lai pārvadītu dabasgāzi no viena vai vairāk</w:t>
      </w:r>
      <w:r>
        <w:rPr>
          <w:rFonts w:asciiTheme="minorHAnsi" w:hAnsiTheme="minorHAnsi"/>
          <w:noProof/>
          <w:sz w:val="22"/>
          <w:szCs w:val="22"/>
        </w:rPr>
        <w:t>iem tādiem projektiem uz pārstrādes iekārtu vai termināli, vai pēdējo piekrastes termināli;</w:t>
      </w:r>
    </w:p>
    <w:p w:rsidR="003E022D" w:rsidRDefault="007D19D6">
      <w:pPr>
        <w:spacing w:line="252" w:lineRule="auto"/>
        <w:rPr>
          <w:rFonts w:cs="Calibri"/>
          <w:noProof/>
        </w:rPr>
      </w:pPr>
      <w:r>
        <w:rPr>
          <w:noProof/>
        </w:rPr>
        <w:t>2.</w:t>
      </w:r>
      <w:r>
        <w:rPr>
          <w:noProof/>
        </w:rPr>
        <w:tab/>
        <w:t>Šajā sadaļā atsauces uz “nediskriminējoši” un “nediskrimināciju” nozīmē lielākās labvēlības režīmu, kā definēts SERVIN.2.4. pantā [Lielākās labvēlības režīms] un</w:t>
      </w:r>
      <w:r>
        <w:rPr>
          <w:noProof/>
        </w:rPr>
        <w:t xml:space="preserve"> SERVIN.3.5. pantā [Lielākās labvēlības režīms], un valsts režīmu, kā definēts SERVIN. 2.3. pantā [Valsts režīms] un SERVIN 3.4. pantā [Valsts režīms], kā arī režīms saskaņā ar noteikumiem, kas nav mazāk labvēlīgi par tiem, kādus līdzīgās situācijās piešķi</w:t>
      </w:r>
      <w:r>
        <w:rPr>
          <w:noProof/>
        </w:rPr>
        <w:t>r jebkuram citam līdzīgam subjektam.</w:t>
      </w:r>
    </w:p>
    <w:p w:rsidR="003E022D" w:rsidRDefault="007D19D6">
      <w:pPr>
        <w:pStyle w:val="Article"/>
        <w:rPr>
          <w:noProof/>
        </w:rPr>
      </w:pPr>
      <w:r>
        <w:rPr>
          <w:noProof/>
        </w:rPr>
        <w:t>ENER.3. pants. Saistība ar pārējām sadaļām</w:t>
      </w:r>
    </w:p>
    <w:p w:rsidR="003E022D" w:rsidRDefault="007D19D6">
      <w:pPr>
        <w:spacing w:after="120" w:line="276" w:lineRule="auto"/>
        <w:rPr>
          <w:noProof/>
        </w:rPr>
      </w:pPr>
      <w:r>
        <w:rPr>
          <w:noProof/>
        </w:rPr>
        <w:t>1.           Enerģētikai un izejvielām piemēro II sadaļas 2. nodaļu [Investīciju liberalizācija] un 3. nodaļu [Pakalpojumu pārrobežu tirdzniecība]. Ja pastāv neatbilstība starp</w:t>
      </w:r>
      <w:r>
        <w:rPr>
          <w:noProof/>
        </w:rPr>
        <w:t xml:space="preserve"> šo sadaļu un II sadaļu [Pakalpojumi un investīcijas] un SERVIN-1. līdz SERVIN-6. pielikumiem, prevalē II sadaļa [Pakalpojumi un investīcijas] un SERVIN-1. līdz SERVIN-6. pielikumi. </w:t>
      </w:r>
    </w:p>
    <w:p w:rsidR="003E022D" w:rsidRDefault="007D19D6">
      <w:pPr>
        <w:spacing w:after="120" w:line="252" w:lineRule="auto"/>
        <w:rPr>
          <w:noProof/>
        </w:rPr>
      </w:pPr>
      <w:r>
        <w:rPr>
          <w:noProof/>
        </w:rPr>
        <w:t>2.           GOODS.4.A panta [Tranzīta brīvība] nolūkos, ja puse uztur va</w:t>
      </w:r>
      <w:r>
        <w:rPr>
          <w:noProof/>
        </w:rPr>
        <w:t>i ievieš dabasgāzes vai elektroenerģijas virtuālās tirdzniecības sistēmu, izmantojot cauruļvadus vai elektroenerģijas tīklus, proti, sistēmu, kas neprasa tranzītā pārvadītās dabasgāzes vai elektroenerģijas fizisko identifikāciju, bet kuras pamatā ir ielaid</w:t>
      </w:r>
      <w:r>
        <w:rPr>
          <w:noProof/>
        </w:rPr>
        <w:t>es un izlaides ieskaita sistēma, uzskata, ka starptautiskajam tranzītam vispiemērotākie maršruti, kā minēts šajā pantā, ietver šādu virtuālo tirdzniecību.</w:t>
      </w:r>
    </w:p>
    <w:p w:rsidR="003E022D" w:rsidRDefault="007D19D6">
      <w:pPr>
        <w:rPr>
          <w:rFonts w:cs="Calibri"/>
          <w:noProof/>
        </w:rPr>
      </w:pPr>
      <w:r>
        <w:rPr>
          <w:noProof/>
        </w:rPr>
        <w:t>3.           Piemērojot XI sadaļas [Vienlīdzīgi apstākļi atvērtai un godīgai konkurencei un ilgtspējī</w:t>
      </w:r>
      <w:r>
        <w:rPr>
          <w:noProof/>
        </w:rPr>
        <w:t xml:space="preserve">gai attīstībai] 3. nodaļu [Subsīdiju kontrole], piemēro arī ENER-2. pielikumu. XI sadaļas [Vienlīdzīgi apstākļi atvērtai un godīgai konkurencei un ilgtspējīgai attīstībai] 3. nodaļa [Subsīdiju kontrole] attiecas uz ENER-2. pielikumu. Uz strīdiem, kas Pušu </w:t>
      </w:r>
      <w:r>
        <w:rPr>
          <w:noProof/>
        </w:rPr>
        <w:t>starpā rodas saistībā ar ENER-2. pielikuma interpretāciju un piemērošanu, attiecina XI sadaļas [Vienlīdzīgi apstākļi atvērtai un godīgai konkurencei un ilgtspējīgai attīstībai] 3. nodaļas 3.13. pantu [Strīdu izšķiršana].</w:t>
      </w:r>
    </w:p>
    <w:p w:rsidR="003E022D" w:rsidRDefault="007D19D6">
      <w:pPr>
        <w:pStyle w:val="Article"/>
        <w:rPr>
          <w:noProof/>
        </w:rPr>
      </w:pPr>
      <w:r>
        <w:rPr>
          <w:noProof/>
        </w:rPr>
        <w:t>ENER.4. pants. Principi</w:t>
      </w:r>
    </w:p>
    <w:p w:rsidR="003E022D" w:rsidRDefault="007D19D6">
      <w:pPr>
        <w:spacing w:line="276" w:lineRule="auto"/>
        <w:rPr>
          <w:rFonts w:eastAsia="Times New Roman" w:cs="Calibri"/>
          <w:noProof/>
        </w:rPr>
      </w:pPr>
      <w:r>
        <w:rPr>
          <w:noProof/>
        </w:rPr>
        <w:t xml:space="preserve">Atbilstoši </w:t>
      </w:r>
      <w:r>
        <w:rPr>
          <w:noProof/>
        </w:rPr>
        <w:t xml:space="preserve">šā nolīguma noteikumiem katra Puse patur tiesības pieņemt, paturēt spēkā un īstenot pasākumus, kas nepieciešami, lai sasniegtu likumīgus sabiedriskās politikas mērķus, piemēram, nodrošinātu energoproduktu un izejvielu piegādi, aizsargātu sabiedrību, vidi, </w:t>
      </w:r>
      <w:r>
        <w:rPr>
          <w:noProof/>
        </w:rPr>
        <w:t>tostarp cīnītos pret klimata pārmaiņām, aizsargātu sabiedrības veselību un patērētājus un veicinātu drošību un drošumu.</w:t>
      </w:r>
    </w:p>
    <w:p w:rsidR="003E022D" w:rsidRDefault="007D19D6">
      <w:pPr>
        <w:pStyle w:val="Chapter"/>
        <w:rPr>
          <w:rFonts w:cstheme="minorBidi"/>
          <w:noProof/>
        </w:rPr>
      </w:pPr>
      <w:r>
        <w:rPr>
          <w:noProof/>
        </w:rPr>
        <w:t>2. nodaļa. Elektroenerģija un gāze</w:t>
      </w:r>
    </w:p>
    <w:p w:rsidR="003E022D" w:rsidRDefault="007D19D6">
      <w:pPr>
        <w:pStyle w:val="Section"/>
        <w:rPr>
          <w:noProof/>
        </w:rPr>
      </w:pPr>
      <w:r>
        <w:rPr>
          <w:noProof/>
        </w:rPr>
        <w:t>1. iedaļa. Konkurence elektroenerģijas un gāzes tirgos</w:t>
      </w:r>
    </w:p>
    <w:p w:rsidR="003E022D" w:rsidRDefault="007D19D6">
      <w:pPr>
        <w:pStyle w:val="Article"/>
        <w:rPr>
          <w:noProof/>
        </w:rPr>
      </w:pPr>
      <w:r>
        <w:rPr>
          <w:noProof/>
        </w:rPr>
        <w:t>ENER.5. pants. Konkurence tirgos un nediskrimi</w:t>
      </w:r>
      <w:r>
        <w:rPr>
          <w:noProof/>
        </w:rPr>
        <w:t xml:space="preserve">nācija </w:t>
      </w:r>
    </w:p>
    <w:p w:rsidR="003E022D" w:rsidRDefault="007D19D6">
      <w:pPr>
        <w:numPr>
          <w:ilvl w:val="3"/>
          <w:numId w:val="235"/>
        </w:numPr>
        <w:spacing w:line="276" w:lineRule="auto"/>
        <w:rPr>
          <w:rFonts w:eastAsia="Times New Roman" w:cs="Calibri"/>
          <w:noProof/>
        </w:rPr>
      </w:pPr>
      <w:r>
        <w:rPr>
          <w:noProof/>
        </w:rPr>
        <w:t>Lai panāktu godīgu konkurenci, katra Puse nodrošina, ka tās tiesiskais regulējums attiecībā uz elektroenerģijas vai dabasgāzes ražošanu, pārvadi, sadali vai piegādi ir nediskriminējošs noteikumu, maksu un režīma ziņā.</w:t>
      </w:r>
    </w:p>
    <w:p w:rsidR="003E022D" w:rsidRDefault="007D19D6">
      <w:pPr>
        <w:numPr>
          <w:ilvl w:val="3"/>
          <w:numId w:val="235"/>
        </w:numPr>
        <w:spacing w:line="276" w:lineRule="auto"/>
        <w:rPr>
          <w:rFonts w:eastAsia="Times New Roman" w:cs="Calibri"/>
          <w:noProof/>
        </w:rPr>
      </w:pPr>
      <w:r>
        <w:rPr>
          <w:noProof/>
        </w:rPr>
        <w:t>Katra Puse nodrošina, ka patēr</w:t>
      </w:r>
      <w:r>
        <w:rPr>
          <w:noProof/>
        </w:rPr>
        <w:t>ētāji paši var brīvi izvēlēties elektroenerģijas vai dabasgāzes piegādātāju to attiecīgajos mazumtirdzniecības tirgos saskaņā ar piemērojamajiem normatīvajiem aktiem.</w:t>
      </w:r>
    </w:p>
    <w:p w:rsidR="003E022D" w:rsidRDefault="007D19D6">
      <w:pPr>
        <w:numPr>
          <w:ilvl w:val="3"/>
          <w:numId w:val="235"/>
        </w:numPr>
        <w:spacing w:line="276" w:lineRule="auto"/>
        <w:rPr>
          <w:rFonts w:eastAsia="Times New Roman" w:cs="Calibri"/>
          <w:noProof/>
          <w:bdr w:val="none" w:sz="0" w:space="0" w:color="auto" w:frame="1"/>
        </w:rPr>
      </w:pPr>
      <w:r>
        <w:rPr>
          <w:noProof/>
          <w:bdr w:val="none" w:sz="0" w:space="0" w:color="auto" w:frame="1"/>
        </w:rPr>
        <w:t>Neskarot katras Puses tiesības noteikt kvalitātes prasības, šīs nodaļas noteikumus, kas a</w:t>
      </w:r>
      <w:r>
        <w:rPr>
          <w:noProof/>
          <w:bdr w:val="none" w:sz="0" w:space="0" w:color="auto" w:frame="1"/>
        </w:rPr>
        <w:t>ttiecas uz dabasgāzi, piemēro arī biogāzei un no biomasas iegūtai gāzei vai citu veidu gāzei, ciktāl tādu gāzi var tehniski un droši ievadīt un transportēt dabasgāzes sistēmā.</w:t>
      </w:r>
    </w:p>
    <w:p w:rsidR="003E022D" w:rsidRDefault="007D19D6">
      <w:pPr>
        <w:numPr>
          <w:ilvl w:val="3"/>
          <w:numId w:val="235"/>
        </w:numPr>
        <w:spacing w:line="276" w:lineRule="auto"/>
        <w:rPr>
          <w:rFonts w:eastAsia="Times New Roman" w:cs="Calibri"/>
          <w:noProof/>
          <w:bdr w:val="none" w:sz="0" w:space="0" w:color="auto" w:frame="1"/>
        </w:rPr>
      </w:pPr>
      <w:r>
        <w:rPr>
          <w:noProof/>
          <w:bdr w:val="none" w:sz="0" w:space="0" w:color="auto" w:frame="1"/>
        </w:rPr>
        <w:t xml:space="preserve">Šo pantu nepiemēro pārrobežu tirdzniecībai, un tas neskar katras Puses tiesības </w:t>
      </w:r>
      <w:r>
        <w:rPr>
          <w:noProof/>
          <w:bdr w:val="none" w:sz="0" w:space="0" w:color="auto" w:frame="1"/>
        </w:rPr>
        <w:t>reglamentēt, lai sasniegtu likumīgus sabiedriskās politikas mērķus, pamatojoties uz objektīviem un nediskriminējošiem kritērijiem.</w:t>
      </w:r>
    </w:p>
    <w:p w:rsidR="003E022D" w:rsidRDefault="007D19D6">
      <w:pPr>
        <w:pStyle w:val="Article"/>
        <w:rPr>
          <w:noProof/>
        </w:rPr>
      </w:pPr>
      <w:r>
        <w:rPr>
          <w:noProof/>
        </w:rPr>
        <w:t>ENER.6. pants. Noteikumi par elektroenerģijas un gāzes vairumtirgiem</w:t>
      </w:r>
    </w:p>
    <w:p w:rsidR="003E022D" w:rsidRDefault="007D19D6">
      <w:pPr>
        <w:numPr>
          <w:ilvl w:val="0"/>
          <w:numId w:val="236"/>
        </w:numPr>
        <w:spacing w:line="276" w:lineRule="auto"/>
        <w:rPr>
          <w:rFonts w:eastAsia="Times New Roman" w:cs="Calibri"/>
          <w:noProof/>
        </w:rPr>
      </w:pPr>
      <w:r>
        <w:rPr>
          <w:noProof/>
        </w:rPr>
        <w:t xml:space="preserve">Katra Puse nodrošina, ka elektroenerģijas un dabasgāzes vairumcenas atspoguļo faktisko piedāvājumu un pieprasījumu. Šajā nolūkā katra Puse nodrošina, ka elektroenerģijas un dabasgāzes vairumtirgu noteikumi: </w:t>
      </w:r>
    </w:p>
    <w:p w:rsidR="003E022D" w:rsidRDefault="007D19D6">
      <w:pPr>
        <w:numPr>
          <w:ilvl w:val="0"/>
          <w:numId w:val="237"/>
        </w:numPr>
        <w:spacing w:line="276" w:lineRule="auto"/>
        <w:rPr>
          <w:rFonts w:eastAsia="Times New Roman" w:cs="Calibri"/>
          <w:noProof/>
        </w:rPr>
      </w:pPr>
      <w:r>
        <w:rPr>
          <w:noProof/>
        </w:rPr>
        <w:t>veicina brīvu cenu veidošanos;</w:t>
      </w:r>
    </w:p>
    <w:p w:rsidR="003E022D" w:rsidRDefault="007D19D6">
      <w:pPr>
        <w:numPr>
          <w:ilvl w:val="0"/>
          <w:numId w:val="237"/>
        </w:numPr>
        <w:spacing w:line="276" w:lineRule="auto"/>
        <w:rPr>
          <w:rFonts w:eastAsia="Times New Roman" w:cs="Calibri"/>
          <w:noProof/>
        </w:rPr>
      </w:pPr>
      <w:r>
        <w:rPr>
          <w:noProof/>
        </w:rPr>
        <w:t xml:space="preserve">nenosaka nekādus </w:t>
      </w:r>
      <w:r>
        <w:rPr>
          <w:noProof/>
        </w:rPr>
        <w:t>tirdzniecību ierobežojošus tehniskus limitus cenu noteikšanai;</w:t>
      </w:r>
    </w:p>
    <w:p w:rsidR="003E022D" w:rsidRDefault="007D19D6">
      <w:pPr>
        <w:numPr>
          <w:ilvl w:val="0"/>
          <w:numId w:val="237"/>
        </w:numPr>
        <w:spacing w:line="276" w:lineRule="auto"/>
        <w:rPr>
          <w:rFonts w:eastAsia="Times New Roman" w:cs="Calibri"/>
          <w:noProof/>
        </w:rPr>
      </w:pPr>
      <w:r>
        <w:rPr>
          <w:noProof/>
        </w:rPr>
        <w:t>rada apstākļus efektīvai elektroenerģijas ražošanas aktīvu, enerģijas uzkrāšanas un pieprasījumreakcijas dispečēšanai un elektroenerģijas sistēmas efektīvai izmantošanai;</w:t>
      </w:r>
    </w:p>
    <w:p w:rsidR="003E022D" w:rsidRDefault="007D19D6">
      <w:pPr>
        <w:numPr>
          <w:ilvl w:val="0"/>
          <w:numId w:val="237"/>
        </w:numPr>
        <w:spacing w:line="276" w:lineRule="auto"/>
        <w:rPr>
          <w:rFonts w:eastAsia="Times New Roman" w:cs="Calibri"/>
          <w:noProof/>
        </w:rPr>
      </w:pPr>
      <w:r>
        <w:rPr>
          <w:noProof/>
        </w:rPr>
        <w:t>rada apstākļus dabasgā</w:t>
      </w:r>
      <w:r>
        <w:rPr>
          <w:noProof/>
        </w:rPr>
        <w:t>zes sistēmas efektīvai izmantošanai; un</w:t>
      </w:r>
    </w:p>
    <w:p w:rsidR="003E022D" w:rsidRDefault="007D19D6">
      <w:pPr>
        <w:numPr>
          <w:ilvl w:val="0"/>
          <w:numId w:val="237"/>
        </w:numPr>
        <w:spacing w:line="276" w:lineRule="auto"/>
        <w:rPr>
          <w:rFonts w:eastAsia="Times New Roman" w:cs="Calibri"/>
          <w:noProof/>
          <w:u w:val="single"/>
        </w:rPr>
      </w:pPr>
      <w:r>
        <w:rPr>
          <w:noProof/>
        </w:rPr>
        <w:t>rada apstākļus atjaunojamo energoresursu elektroenerģijas integrēšanai un nodrošina efektīvu un drošu elektroenerģijas sistēmas darbību un attīstību.</w:t>
      </w:r>
    </w:p>
    <w:p w:rsidR="003E022D" w:rsidRDefault="007D19D6">
      <w:pPr>
        <w:numPr>
          <w:ilvl w:val="0"/>
          <w:numId w:val="236"/>
        </w:numPr>
        <w:spacing w:line="276" w:lineRule="auto"/>
        <w:rPr>
          <w:rFonts w:eastAsia="Times New Roman" w:cs="Calibri"/>
          <w:noProof/>
        </w:rPr>
      </w:pPr>
      <w:r>
        <w:rPr>
          <w:noProof/>
        </w:rPr>
        <w:t xml:space="preserve">Katra Puse nodrošina, ka balansēšanas tirgi ir organizēti tā, lai </w:t>
      </w:r>
      <w:r>
        <w:rPr>
          <w:noProof/>
        </w:rPr>
        <w:t xml:space="preserve">nodrošinātu: </w:t>
      </w:r>
    </w:p>
    <w:p w:rsidR="003E022D" w:rsidRDefault="007D19D6">
      <w:pPr>
        <w:numPr>
          <w:ilvl w:val="0"/>
          <w:numId w:val="238"/>
        </w:numPr>
        <w:spacing w:line="276" w:lineRule="auto"/>
        <w:ind w:left="567" w:hanging="567"/>
        <w:rPr>
          <w:rFonts w:eastAsia="Times New Roman" w:cs="Calibri"/>
          <w:noProof/>
        </w:rPr>
      </w:pPr>
      <w:r>
        <w:rPr>
          <w:noProof/>
        </w:rPr>
        <w:t>nediskrimināciju dalībnieku vidū un šiem dalībniekiem nodrošinātu nediskriminējošu piekļuvi;</w:t>
      </w:r>
    </w:p>
    <w:p w:rsidR="003E022D" w:rsidRDefault="007D19D6">
      <w:pPr>
        <w:numPr>
          <w:ilvl w:val="0"/>
          <w:numId w:val="238"/>
        </w:numPr>
        <w:spacing w:line="276" w:lineRule="auto"/>
        <w:ind w:left="567" w:hanging="567"/>
        <w:rPr>
          <w:rFonts w:eastAsia="Times New Roman" w:cs="Calibri"/>
          <w:noProof/>
        </w:rPr>
      </w:pPr>
      <w:r>
        <w:rPr>
          <w:noProof/>
        </w:rPr>
        <w:t xml:space="preserve">to, ka pakalpojumi tiek definēti pārredzami; </w:t>
      </w:r>
    </w:p>
    <w:p w:rsidR="003E022D" w:rsidRDefault="007D19D6">
      <w:pPr>
        <w:numPr>
          <w:ilvl w:val="0"/>
          <w:numId w:val="238"/>
        </w:numPr>
        <w:spacing w:line="276" w:lineRule="auto"/>
        <w:ind w:left="567" w:hanging="567"/>
        <w:rPr>
          <w:rFonts w:eastAsia="Times New Roman" w:cs="Calibri"/>
          <w:noProof/>
        </w:rPr>
      </w:pPr>
      <w:r>
        <w:rPr>
          <w:noProof/>
        </w:rPr>
        <w:t>to, ka pakalpojumi tiek iepirkti pārredzamā tirgū balstītā veidā, ņemot vērā jauno tehnoloģiju ienākšan</w:t>
      </w:r>
      <w:r>
        <w:rPr>
          <w:noProof/>
        </w:rPr>
        <w:t>u; un</w:t>
      </w:r>
    </w:p>
    <w:p w:rsidR="003E022D" w:rsidRDefault="007D19D6">
      <w:pPr>
        <w:numPr>
          <w:ilvl w:val="0"/>
          <w:numId w:val="238"/>
        </w:numPr>
        <w:spacing w:line="276" w:lineRule="auto"/>
        <w:ind w:left="567" w:hanging="567"/>
        <w:rPr>
          <w:rFonts w:eastAsia="Times New Roman" w:cs="Calibri"/>
          <w:noProof/>
        </w:rPr>
      </w:pPr>
      <w:r>
        <w:rPr>
          <w:noProof/>
        </w:rPr>
        <w:t xml:space="preserve">to, ka atjaunojamo energoresursu enerģijas ražotājiem piemēro saprātīgus un nediskriminējošus noteikumus, iepērkot produktus un pakalpojumus. </w:t>
      </w:r>
    </w:p>
    <w:p w:rsidR="003E022D" w:rsidRDefault="007D19D6">
      <w:pPr>
        <w:spacing w:line="276" w:lineRule="auto"/>
        <w:rPr>
          <w:rFonts w:eastAsia="Times New Roman" w:cs="Calibri"/>
          <w:noProof/>
        </w:rPr>
      </w:pPr>
      <w:r>
        <w:rPr>
          <w:noProof/>
        </w:rPr>
        <w:t>Puse var nolemt nepiemērot c) apakšpunktu, ja balansēšanas pakalpojumu tirgū trūkst konkurences.</w:t>
      </w:r>
    </w:p>
    <w:p w:rsidR="003E022D" w:rsidRDefault="007D19D6">
      <w:pPr>
        <w:numPr>
          <w:ilvl w:val="0"/>
          <w:numId w:val="236"/>
        </w:numPr>
        <w:spacing w:line="276" w:lineRule="auto"/>
        <w:rPr>
          <w:rFonts w:eastAsia="Times New Roman" w:cs="Calibri"/>
          <w:noProof/>
        </w:rPr>
      </w:pPr>
      <w:r>
        <w:rPr>
          <w:noProof/>
        </w:rPr>
        <w:t>Katra Puse</w:t>
      </w:r>
      <w:r>
        <w:rPr>
          <w:noProof/>
        </w:rPr>
        <w:t xml:space="preserve"> nodrošina, ka jebkurš jaudas mehānisms elektroenerģijas tirgos ir skaidri definēts, pārredzams, samērīgs un nediskriminējošs. Nevienai no pusēm netiek prasīts atļaut jaudai, kas izvietota otras Puses teritorijā, piedalīties kādā jaudas mehānismā tās elekt</w:t>
      </w:r>
      <w:r>
        <w:rPr>
          <w:noProof/>
        </w:rPr>
        <w:t>roenerģijas tirgos.</w:t>
      </w:r>
    </w:p>
    <w:p w:rsidR="003E022D" w:rsidRDefault="007D19D6">
      <w:pPr>
        <w:numPr>
          <w:ilvl w:val="0"/>
          <w:numId w:val="236"/>
        </w:numPr>
        <w:spacing w:line="276" w:lineRule="auto"/>
        <w:rPr>
          <w:rFonts w:eastAsia="Times New Roman" w:cs="Calibri"/>
          <w:noProof/>
        </w:rPr>
      </w:pPr>
      <w:r>
        <w:rPr>
          <w:noProof/>
        </w:rPr>
        <w:t>Katra Puse novērtē pasākumus, kas nepieciešami, lai veicinātu atjaunojamo energoresursu gāzes integrēšanu.</w:t>
      </w:r>
    </w:p>
    <w:p w:rsidR="003E022D" w:rsidRDefault="007D19D6">
      <w:pPr>
        <w:numPr>
          <w:ilvl w:val="0"/>
          <w:numId w:val="236"/>
        </w:numPr>
        <w:spacing w:line="276" w:lineRule="auto"/>
        <w:rPr>
          <w:rFonts w:eastAsia="Times New Roman" w:cs="Calibri"/>
          <w:noProof/>
        </w:rPr>
      </w:pPr>
      <w:r>
        <w:rPr>
          <w:noProof/>
        </w:rPr>
        <w:t>Šis pants neskar katras Puses tiesības reglamentēt, lai sasniegtu likumīgus sabiedriskās politikas mērķus, pamatojoties uz objekt</w:t>
      </w:r>
      <w:r>
        <w:rPr>
          <w:noProof/>
        </w:rPr>
        <w:t>īviem un nediskriminējošiem kritērijiem.</w:t>
      </w:r>
    </w:p>
    <w:p w:rsidR="003E022D" w:rsidRDefault="007D19D6">
      <w:pPr>
        <w:pStyle w:val="Article"/>
        <w:rPr>
          <w:noProof/>
        </w:rPr>
      </w:pPr>
      <w:r>
        <w:rPr>
          <w:noProof/>
        </w:rPr>
        <w:t>ENER.7. pants. Tirgus ļaunprātīgas izmantošanas aizliegums elektroenerģijas un gāzes vairumtirgos</w:t>
      </w:r>
    </w:p>
    <w:p w:rsidR="003E022D" w:rsidRDefault="007D19D6">
      <w:pPr>
        <w:numPr>
          <w:ilvl w:val="0"/>
          <w:numId w:val="239"/>
        </w:numPr>
        <w:spacing w:line="276" w:lineRule="auto"/>
        <w:ind w:left="0" w:firstLine="0"/>
        <w:rPr>
          <w:rFonts w:eastAsia="Times New Roman" w:cs="Calibri"/>
          <w:noProof/>
        </w:rPr>
      </w:pPr>
      <w:r>
        <w:rPr>
          <w:noProof/>
        </w:rPr>
        <w:t xml:space="preserve">Katra Puse aizliedz tirgus manipulāciju un iekšējās informācijas ļaunprātīgu izmantošanu darījumos elektroenerģijas </w:t>
      </w:r>
      <w:r>
        <w:rPr>
          <w:noProof/>
        </w:rPr>
        <w:t xml:space="preserve">un dabasgāzes vairumtirgos, tai skaitā ārpusbiržas tirgos, elektroenerģijas un dabasgāzes biržās un tirgos elektroenerģijas un dabasgāzes, jaudu, balansēšanas un papildpakalpojumu tirdzniecībai visos laikposmos, tostarp nākotnes, nākamās dienas un tekošās </w:t>
      </w:r>
      <w:r>
        <w:rPr>
          <w:noProof/>
        </w:rPr>
        <w:t>dienas tirgos.</w:t>
      </w:r>
    </w:p>
    <w:p w:rsidR="003E022D" w:rsidRDefault="007D19D6">
      <w:pPr>
        <w:numPr>
          <w:ilvl w:val="0"/>
          <w:numId w:val="239"/>
        </w:numPr>
        <w:spacing w:line="276" w:lineRule="auto"/>
        <w:ind w:left="0" w:firstLine="0"/>
        <w:rPr>
          <w:rFonts w:eastAsia="Times New Roman" w:cs="Calibri"/>
          <w:noProof/>
        </w:rPr>
      </w:pPr>
      <w:r>
        <w:rPr>
          <w:noProof/>
        </w:rPr>
        <w:t>Katra Puse uzrauga tirdzniecības darbību šajos tirgos, lai atklātu un novērstu tirdzniecību, kuras pamatā ir iekšējās informācijas ļaunprātīga izmantošana un tirgus manipulācija.</w:t>
      </w:r>
    </w:p>
    <w:p w:rsidR="003E022D" w:rsidRDefault="007D19D6">
      <w:pPr>
        <w:numPr>
          <w:ilvl w:val="0"/>
          <w:numId w:val="239"/>
        </w:numPr>
        <w:spacing w:line="276" w:lineRule="auto"/>
        <w:ind w:left="0" w:firstLine="0"/>
        <w:rPr>
          <w:rFonts w:eastAsia="Times New Roman" w:cs="Calibri"/>
          <w:noProof/>
        </w:rPr>
      </w:pPr>
      <w:r>
        <w:rPr>
          <w:noProof/>
        </w:rPr>
        <w:t>Puses sadarbojas, tostarp saskaņā ar ENER.20. pantu [Sadarbība</w:t>
      </w:r>
      <w:r>
        <w:rPr>
          <w:noProof/>
        </w:rPr>
        <w:t xml:space="preserve"> starp regulatīvajām iestādēm], lai atklātu un novērstu tirdzniecību, kuras pamatā ir iekšējās informācijas ļaunprātīga izmantošana un tirgus manipulācija, un attiecīgā gadījumā var apmainīties ar informāciju, tai skaitā par tirgus uzraudzības un izpildes </w:t>
      </w:r>
      <w:r>
        <w:rPr>
          <w:noProof/>
        </w:rPr>
        <w:t>pasākumiem.</w:t>
      </w:r>
    </w:p>
    <w:p w:rsidR="003E022D" w:rsidRDefault="007D19D6">
      <w:pPr>
        <w:pStyle w:val="Article"/>
        <w:rPr>
          <w:noProof/>
        </w:rPr>
      </w:pPr>
      <w:r>
        <w:rPr>
          <w:noProof/>
        </w:rPr>
        <w:t>ENER.8. pants. Trešo personu piekļuve pārvades un sadales tīkliem</w:t>
      </w:r>
    </w:p>
    <w:p w:rsidR="003E022D" w:rsidRDefault="007D19D6">
      <w:pPr>
        <w:numPr>
          <w:ilvl w:val="0"/>
          <w:numId w:val="240"/>
        </w:numPr>
        <w:spacing w:line="276" w:lineRule="auto"/>
        <w:ind w:left="0" w:firstLine="0"/>
        <w:rPr>
          <w:rFonts w:eastAsia="Times New Roman" w:cs="Calibri"/>
          <w:noProof/>
        </w:rPr>
      </w:pPr>
      <w:r>
        <w:rPr>
          <w:noProof/>
        </w:rPr>
        <w:t xml:space="preserve">Katra Puse nodrošina tādas sistēmas ieviešanu, kas trešām personām dod piekļuvi pārvades un sadales tīkliem saskaņā ar publicētiem tarifiem, kuri tiek piemēroti objektīvi un </w:t>
      </w:r>
      <w:r>
        <w:rPr>
          <w:noProof/>
        </w:rPr>
        <w:t>nediskriminējoši.</w:t>
      </w:r>
    </w:p>
    <w:p w:rsidR="003E022D" w:rsidRDefault="007D19D6">
      <w:pPr>
        <w:numPr>
          <w:ilvl w:val="0"/>
          <w:numId w:val="240"/>
        </w:numPr>
        <w:spacing w:line="276" w:lineRule="auto"/>
        <w:ind w:left="0" w:firstLine="0"/>
        <w:rPr>
          <w:rFonts w:eastAsia="Times New Roman" w:cs="Calibri"/>
          <w:noProof/>
        </w:rPr>
      </w:pPr>
      <w:r>
        <w:rPr>
          <w:noProof/>
        </w:rPr>
        <w:t xml:space="preserve">Neskarot ENER.4. pantu [Principi], katra Puse nodrošina, ka pārvades un sadales sistēmu operatori tās teritorijā piešķir piekļuvi savām pārvades vai sadales sistēmām subjektiem šīs Puses tirgū saprātīgā laikposmā no dienas, kad iesniegts </w:t>
      </w:r>
      <w:r>
        <w:rPr>
          <w:noProof/>
        </w:rPr>
        <w:t>piekļuves pieprasījums.</w:t>
      </w:r>
    </w:p>
    <w:p w:rsidR="003E022D" w:rsidRDefault="007D19D6">
      <w:pPr>
        <w:spacing w:line="276" w:lineRule="auto"/>
        <w:rPr>
          <w:rFonts w:cs="Calibri"/>
          <w:noProof/>
        </w:rPr>
      </w:pPr>
      <w:r>
        <w:rPr>
          <w:noProof/>
        </w:rPr>
        <w:t>Katra Puse nodrošina, ka pārvades sistēmu operatori attiecībā uz pieslēgumu elektroenerģijas tīklam un tā izmantošanu izturas pret atjaunojamo energoresursu enerģijas ražotājiem saskaņā ar saprātīgiem un nediskriminējošiem noteikumi</w:t>
      </w:r>
      <w:r>
        <w:rPr>
          <w:noProof/>
        </w:rPr>
        <w:t>em.</w:t>
      </w:r>
    </w:p>
    <w:p w:rsidR="003E022D" w:rsidRDefault="007D19D6">
      <w:pPr>
        <w:spacing w:line="276" w:lineRule="auto"/>
        <w:rPr>
          <w:rFonts w:eastAsia="Times New Roman" w:cs="Calibri"/>
          <w:noProof/>
        </w:rPr>
      </w:pPr>
      <w:r>
        <w:rPr>
          <w:noProof/>
        </w:rPr>
        <w:t>Pārvades vai sadales sistēmas operators var atteikt piekļuvi, ja tam nav vajadzīgās jaudas. Visus šādus atteikumus pienācīgi pamato.</w:t>
      </w:r>
    </w:p>
    <w:p w:rsidR="003E022D" w:rsidRDefault="007D19D6">
      <w:pPr>
        <w:numPr>
          <w:ilvl w:val="0"/>
          <w:numId w:val="240"/>
        </w:numPr>
        <w:spacing w:line="276" w:lineRule="auto"/>
        <w:ind w:left="0" w:firstLine="0"/>
        <w:rPr>
          <w:rFonts w:eastAsia="Times New Roman" w:cs="Calibri"/>
          <w:noProof/>
        </w:rPr>
      </w:pPr>
      <w:r>
        <w:rPr>
          <w:noProof/>
        </w:rPr>
        <w:t>Neskarot likumīgus sabiedriskās politikas mērķus, katra Puse nodrošina, ka maksas, ko pārvades un sadales sistēmu opera</w:t>
      </w:r>
      <w:r>
        <w:rPr>
          <w:noProof/>
        </w:rPr>
        <w:t>tori piemēro subjektiem šīs Puses tirgū par piekļuvi tīkliem, pieslēgšanos tiem vai to izmantošanu, un attiecīgā gadījumā maksas par saistītiem tīkla pastiprinājumiem, ir izmaksas pienācīgi atspoguļojošas un pārredzamas. Katra Puse nodrošina, ka tiek publi</w:t>
      </w:r>
      <w:r>
        <w:rPr>
          <w:noProof/>
        </w:rPr>
        <w:t>cēti noteikumi, nosacījumi, tarifi un visa tāda informācija, kas var būt nepieciešama, lai efektīvi īstenotu tiesības piekļūt pārvades un sadales sistēmām un tās izmantot.</w:t>
      </w:r>
    </w:p>
    <w:p w:rsidR="003E022D" w:rsidRDefault="007D19D6">
      <w:pPr>
        <w:numPr>
          <w:ilvl w:val="0"/>
          <w:numId w:val="240"/>
        </w:numPr>
        <w:spacing w:line="276" w:lineRule="auto"/>
        <w:ind w:left="0" w:firstLine="0"/>
        <w:rPr>
          <w:rFonts w:eastAsia="Times New Roman" w:cs="Calibri"/>
          <w:noProof/>
        </w:rPr>
      </w:pPr>
      <w:r>
        <w:rPr>
          <w:noProof/>
        </w:rPr>
        <w:t>Katra Puse nodrošina, ka 1. un 3. punktā minētos tarifus un maksas subjektiem šīs Pu</w:t>
      </w:r>
      <w:r>
        <w:rPr>
          <w:noProof/>
        </w:rPr>
        <w:t xml:space="preserve">ses tirgū piemēro nediskriminējoši. </w:t>
      </w:r>
    </w:p>
    <w:p w:rsidR="003E022D" w:rsidRDefault="007D19D6">
      <w:pPr>
        <w:pStyle w:val="Article"/>
        <w:rPr>
          <w:noProof/>
        </w:rPr>
      </w:pPr>
      <w:r>
        <w:rPr>
          <w:noProof/>
        </w:rPr>
        <w:t>ENER.9. pants. Sistēmas darbība un pārvades tīklu operatoru nodalīšana</w:t>
      </w:r>
    </w:p>
    <w:p w:rsidR="003E022D" w:rsidRDefault="007D19D6">
      <w:pPr>
        <w:numPr>
          <w:ilvl w:val="0"/>
          <w:numId w:val="241"/>
        </w:numPr>
        <w:spacing w:line="276" w:lineRule="auto"/>
        <w:ind w:left="0" w:firstLine="0"/>
        <w:rPr>
          <w:rFonts w:cs="Calibri"/>
          <w:noProof/>
        </w:rPr>
      </w:pPr>
      <w:r>
        <w:rPr>
          <w:noProof/>
        </w:rPr>
        <w:t>Katra Puse nodrošina, ka pārvades sistēmu operatori veic savas funkcijas pārredzami un nediskriminējoši.</w:t>
      </w:r>
    </w:p>
    <w:p w:rsidR="003E022D" w:rsidRDefault="007D19D6">
      <w:pPr>
        <w:numPr>
          <w:ilvl w:val="0"/>
          <w:numId w:val="232"/>
        </w:numPr>
        <w:spacing w:line="276" w:lineRule="auto"/>
        <w:ind w:left="0" w:firstLine="0"/>
        <w:rPr>
          <w:rFonts w:cs="Calibri"/>
          <w:noProof/>
        </w:rPr>
      </w:pPr>
      <w:r>
        <w:rPr>
          <w:noProof/>
        </w:rPr>
        <w:t>Katra Puse īsteno tādu kārtību pārvades sis</w:t>
      </w:r>
      <w:r>
        <w:rPr>
          <w:noProof/>
        </w:rPr>
        <w:t>tēmu operatoriem, kas efektīvi novērš visus interešu konfliktus, kuri rodas tāpēc, ka viena un tā pati persona īsteno kontroli pār pārvades sistēmas operatoru un ražotāju vai piegādātāju.</w:t>
      </w:r>
    </w:p>
    <w:p w:rsidR="003E022D" w:rsidRDefault="007D19D6">
      <w:pPr>
        <w:pStyle w:val="Article"/>
        <w:rPr>
          <w:noProof/>
        </w:rPr>
      </w:pPr>
      <w:r>
        <w:rPr>
          <w:noProof/>
        </w:rPr>
        <w:t>ENER.10. pants. Sabiedriskās politikas mērķi trešo personu piekļuvei</w:t>
      </w:r>
      <w:r>
        <w:rPr>
          <w:noProof/>
        </w:rPr>
        <w:t xml:space="preserve"> un īpašumtiesību nodalīšana</w:t>
      </w:r>
    </w:p>
    <w:p w:rsidR="003E022D" w:rsidRDefault="007D19D6">
      <w:pPr>
        <w:numPr>
          <w:ilvl w:val="0"/>
          <w:numId w:val="473"/>
        </w:numPr>
        <w:spacing w:line="276" w:lineRule="auto"/>
        <w:ind w:left="0" w:firstLine="0"/>
        <w:rPr>
          <w:rFonts w:cs="Calibri"/>
          <w:noProof/>
        </w:rPr>
      </w:pPr>
      <w:r>
        <w:rPr>
          <w:noProof/>
        </w:rPr>
        <w:t>Ja tas nepieciešams likumīga sabiedriskās politikas mērķa sasniegšanai un pamatojoties uz objektīviem kritērijiem, Puse var nolemt nepiemērot ENER.8. pantu [Trešo personu piekļuve pārvades un sadales tīkliem] un ENER.9. pantu [</w:t>
      </w:r>
      <w:r>
        <w:rPr>
          <w:noProof/>
        </w:rPr>
        <w:t xml:space="preserve">Sistēmas darbība un pārvades tīklu operatoru nodalīšana]: </w:t>
      </w:r>
    </w:p>
    <w:p w:rsidR="003E022D" w:rsidRDefault="007D19D6">
      <w:pPr>
        <w:numPr>
          <w:ilvl w:val="0"/>
          <w:numId w:val="242"/>
        </w:numPr>
        <w:spacing w:line="276" w:lineRule="auto"/>
        <w:ind w:left="567" w:hanging="567"/>
        <w:rPr>
          <w:rFonts w:eastAsia="Times New Roman" w:cs="Calibri"/>
          <w:noProof/>
        </w:rPr>
      </w:pPr>
      <w:r>
        <w:rPr>
          <w:noProof/>
        </w:rPr>
        <w:t xml:space="preserve">jauniem vai izolētiem tirgiem vai sistēmām; </w:t>
      </w:r>
    </w:p>
    <w:p w:rsidR="003E022D" w:rsidRDefault="007D19D6">
      <w:pPr>
        <w:numPr>
          <w:ilvl w:val="0"/>
          <w:numId w:val="242"/>
        </w:numPr>
        <w:spacing w:line="276" w:lineRule="auto"/>
        <w:ind w:left="567" w:hanging="567"/>
        <w:rPr>
          <w:rFonts w:eastAsia="Times New Roman" w:cs="Calibri"/>
          <w:noProof/>
        </w:rPr>
      </w:pPr>
      <w:r>
        <w:rPr>
          <w:noProof/>
        </w:rPr>
        <w:t>infrastruktūrai, kas atbilst ENER-3. pielikumā izklāstītajiem nosacījumiem.</w:t>
      </w:r>
    </w:p>
    <w:p w:rsidR="003E022D" w:rsidRDefault="007D19D6">
      <w:pPr>
        <w:rPr>
          <w:rFonts w:cs="Calibri"/>
          <w:noProof/>
        </w:rPr>
      </w:pPr>
      <w:r>
        <w:rPr>
          <w:noProof/>
        </w:rPr>
        <w:t>2.</w:t>
      </w:r>
      <w:r>
        <w:rPr>
          <w:noProof/>
        </w:rPr>
        <w:tab/>
        <w:t>Ja tas nepieciešams likumīga sabiedriskās politikas mērķa sasniegšanai un</w:t>
      </w:r>
      <w:r>
        <w:rPr>
          <w:noProof/>
        </w:rPr>
        <w:t xml:space="preserve"> pamatojoties uz objektīviem kritērijiem, katra Puse var nolemt nepiemērot ENER.5. pantu [Konkurence tirgos un nediskriminācija] un ENER.6. pantu [Noteikumi par elektroenerģijas un gāzes vairumtirgiem]:</w:t>
      </w:r>
    </w:p>
    <w:p w:rsidR="003E022D" w:rsidRDefault="007D19D6">
      <w:pPr>
        <w:numPr>
          <w:ilvl w:val="0"/>
          <w:numId w:val="243"/>
        </w:numPr>
        <w:spacing w:line="276" w:lineRule="auto"/>
        <w:ind w:left="567" w:hanging="567"/>
        <w:rPr>
          <w:rFonts w:eastAsia="Times New Roman" w:cs="Calibri"/>
          <w:noProof/>
        </w:rPr>
      </w:pPr>
      <w:r>
        <w:rPr>
          <w:noProof/>
        </w:rPr>
        <w:t>maziem vai izolētiem elektroenerģijas tirgiem vai sis</w:t>
      </w:r>
      <w:r>
        <w:rPr>
          <w:noProof/>
        </w:rPr>
        <w:t>tēmām;</w:t>
      </w:r>
    </w:p>
    <w:p w:rsidR="003E022D" w:rsidRDefault="007D19D6">
      <w:pPr>
        <w:numPr>
          <w:ilvl w:val="0"/>
          <w:numId w:val="243"/>
        </w:numPr>
        <w:spacing w:line="276" w:lineRule="auto"/>
        <w:ind w:left="567" w:hanging="567"/>
        <w:rPr>
          <w:rFonts w:eastAsia="Times New Roman" w:cs="Calibri"/>
          <w:noProof/>
        </w:rPr>
      </w:pPr>
      <w:r>
        <w:rPr>
          <w:noProof/>
        </w:rPr>
        <w:t>maziem, jauniem vai izolētiem dabasgāzes tirgiem vai sistēmām.</w:t>
      </w:r>
    </w:p>
    <w:p w:rsidR="003E022D" w:rsidRDefault="007D19D6">
      <w:pPr>
        <w:pStyle w:val="Article"/>
        <w:rPr>
          <w:noProof/>
        </w:rPr>
      </w:pPr>
      <w:r>
        <w:rPr>
          <w:noProof/>
        </w:rPr>
        <w:t>ENER.11. pants. Spēkā esošie atbrīvojumi starpsavienotājiem</w:t>
      </w:r>
    </w:p>
    <w:p w:rsidR="003E022D" w:rsidRDefault="007D19D6">
      <w:pPr>
        <w:spacing w:line="276" w:lineRule="auto"/>
        <w:rPr>
          <w:rFonts w:cs="Calibri"/>
          <w:noProof/>
        </w:rPr>
      </w:pPr>
      <w:r>
        <w:rPr>
          <w:noProof/>
        </w:rPr>
        <w:t xml:space="preserve">Katra Puse nodrošina, ka atbrīvojumus, kas starpsavienojumiem starp Savienību un Apvienoto Karalisti piešķirti ar Eiropas </w:t>
      </w:r>
      <w:r>
        <w:rPr>
          <w:noProof/>
        </w:rPr>
        <w:t>Parlamenta un Padomes Regulas (ES) 2019/943</w:t>
      </w:r>
      <w:r>
        <w:rPr>
          <w:rFonts w:cs="Calibri"/>
          <w:noProof/>
          <w:vertAlign w:val="superscript"/>
        </w:rPr>
        <w:footnoteReference w:id="43"/>
      </w:r>
      <w:r>
        <w:rPr>
          <w:noProof/>
        </w:rPr>
        <w:t xml:space="preserve"> 63. pantu un ar tiesību aktiem, ar kuriem to attiecīgajās jurisdikcijās transponē Eiropas Parlamenta un Padomes Direktīvas 2009/73/EK</w:t>
      </w:r>
      <w:r>
        <w:rPr>
          <w:rFonts w:cs="Calibri"/>
          <w:noProof/>
          <w:vertAlign w:val="superscript"/>
        </w:rPr>
        <w:footnoteReference w:id="44"/>
      </w:r>
      <w:r>
        <w:rPr>
          <w:noProof/>
        </w:rPr>
        <w:t xml:space="preserve"> 36. pantu un kuru noteikumi ir spēkā pēc pārejas perioda beigām, turpina pie</w:t>
      </w:r>
      <w:r>
        <w:rPr>
          <w:noProof/>
        </w:rPr>
        <w:t>mērot saskaņā ar Pušu attiecīgo jurisdikciju tiesību aktiem un piemērojamajiem noteikumiem.</w:t>
      </w:r>
    </w:p>
    <w:p w:rsidR="003E022D" w:rsidRDefault="007D19D6">
      <w:pPr>
        <w:pStyle w:val="Article"/>
        <w:rPr>
          <w:noProof/>
        </w:rPr>
      </w:pPr>
      <w:r>
        <w:rPr>
          <w:noProof/>
        </w:rPr>
        <w:t>ENER.12. pants. Neatkarīga regulatīvā iestāde</w:t>
      </w:r>
    </w:p>
    <w:p w:rsidR="003E022D" w:rsidRDefault="007D19D6">
      <w:pPr>
        <w:numPr>
          <w:ilvl w:val="0"/>
          <w:numId w:val="474"/>
        </w:numPr>
        <w:spacing w:line="276" w:lineRule="auto"/>
        <w:ind w:left="0" w:firstLine="0"/>
        <w:rPr>
          <w:rFonts w:cs="Calibri"/>
          <w:noProof/>
          <w:color w:val="000000" w:themeColor="text1"/>
        </w:rPr>
      </w:pPr>
      <w:r>
        <w:rPr>
          <w:noProof/>
          <w:color w:val="000000" w:themeColor="text1"/>
        </w:rPr>
        <w:t>Katra Puse nodrošina, ka tiek izraudzīta un uzturēta darbībā neatkarīga elektroenerģijas un gāzes regulatīvā iestāde v</w:t>
      </w:r>
      <w:r>
        <w:rPr>
          <w:noProof/>
          <w:color w:val="000000" w:themeColor="text1"/>
        </w:rPr>
        <w:t>ai iestādes, kam ir šādas pilnvaras un pienākumi:</w:t>
      </w:r>
    </w:p>
    <w:p w:rsidR="003E022D" w:rsidRDefault="007D19D6">
      <w:pPr>
        <w:numPr>
          <w:ilvl w:val="0"/>
          <w:numId w:val="244"/>
        </w:numPr>
        <w:spacing w:line="276" w:lineRule="auto"/>
        <w:ind w:left="567" w:hanging="567"/>
        <w:rPr>
          <w:rFonts w:eastAsia="Times New Roman" w:cs="Calibri"/>
          <w:noProof/>
          <w:color w:val="000000" w:themeColor="text1"/>
        </w:rPr>
      </w:pPr>
      <w:r>
        <w:rPr>
          <w:noProof/>
          <w:color w:val="000000" w:themeColor="text1"/>
        </w:rPr>
        <w:t>noteikt vai apstiprināt tarifus, maksas un nosacījumus attiecībā uz piekļuvi ENER.8. pantā [Trešo personu piekļuve pārvades un sadales tīkliem] minētajiem tīkliem un to pamatā esošās metodoloģijas;</w:t>
      </w:r>
    </w:p>
    <w:p w:rsidR="003E022D" w:rsidRDefault="007D19D6">
      <w:pPr>
        <w:numPr>
          <w:ilvl w:val="0"/>
          <w:numId w:val="244"/>
        </w:numPr>
        <w:spacing w:line="276" w:lineRule="auto"/>
        <w:ind w:left="567" w:hanging="567"/>
        <w:rPr>
          <w:rFonts w:eastAsia="Times New Roman" w:cs="Calibri"/>
          <w:noProof/>
          <w:color w:val="000000" w:themeColor="text1"/>
        </w:rPr>
      </w:pPr>
      <w:r>
        <w:rPr>
          <w:noProof/>
          <w:color w:val="000000" w:themeColor="text1"/>
        </w:rPr>
        <w:t>nodrošin</w:t>
      </w:r>
      <w:r>
        <w:rPr>
          <w:noProof/>
          <w:color w:val="000000" w:themeColor="text1"/>
        </w:rPr>
        <w:t>āt atbilstību ENER.9. pantā [Sistēmas darbība un pārvades tīklu operatoru nodalīšana] un ENER.10. pantā [Sabiedriskās politikas mērķi un trešo personu piekļuves un īpašumtiesību nodalīšana] minētajai kārtībai;</w:t>
      </w:r>
    </w:p>
    <w:p w:rsidR="003E022D" w:rsidRDefault="007D19D6">
      <w:pPr>
        <w:numPr>
          <w:ilvl w:val="0"/>
          <w:numId w:val="244"/>
        </w:numPr>
        <w:spacing w:line="276" w:lineRule="auto"/>
        <w:ind w:left="567" w:hanging="567"/>
        <w:rPr>
          <w:rFonts w:eastAsia="Times New Roman" w:cs="Calibri"/>
          <w:noProof/>
          <w:color w:val="000000" w:themeColor="text1"/>
        </w:rPr>
      </w:pPr>
      <w:r>
        <w:rPr>
          <w:noProof/>
          <w:color w:val="000000" w:themeColor="text1"/>
        </w:rPr>
        <w:t>pieņemt saistošus lēmumus vismaz saistībā ar a</w:t>
      </w:r>
      <w:r>
        <w:rPr>
          <w:noProof/>
          <w:color w:val="000000" w:themeColor="text1"/>
        </w:rPr>
        <w:t>) un b) apakšpunktu;</w:t>
      </w:r>
    </w:p>
    <w:p w:rsidR="003E022D" w:rsidRDefault="007D19D6">
      <w:pPr>
        <w:numPr>
          <w:ilvl w:val="0"/>
          <w:numId w:val="244"/>
        </w:numPr>
        <w:spacing w:line="276" w:lineRule="auto"/>
        <w:ind w:left="567" w:hanging="567"/>
        <w:rPr>
          <w:rFonts w:eastAsia="Times New Roman" w:cs="Calibri"/>
          <w:noProof/>
          <w:color w:val="000000" w:themeColor="text1"/>
        </w:rPr>
      </w:pPr>
      <w:r>
        <w:rPr>
          <w:noProof/>
          <w:color w:val="000000" w:themeColor="text1"/>
        </w:rPr>
        <w:t>noteikt efektīvus tiesiskās aizsardzības līdzekļus.</w:t>
      </w:r>
    </w:p>
    <w:p w:rsidR="003E022D" w:rsidRDefault="007D19D6">
      <w:pPr>
        <w:numPr>
          <w:ilvl w:val="0"/>
          <w:numId w:val="474"/>
        </w:numPr>
        <w:spacing w:line="276" w:lineRule="auto"/>
        <w:ind w:left="0" w:firstLine="0"/>
        <w:rPr>
          <w:rFonts w:cs="Calibri"/>
          <w:noProof/>
        </w:rPr>
      </w:pPr>
      <w:r>
        <w:rPr>
          <w:noProof/>
        </w:rPr>
        <w:t xml:space="preserve">Veicot šos pienākumus un īstenojot šīs pilnvaras, neatkarīga regulatīvā iestāde vai iestādes rīkojas objektīvi un pārredzami. </w:t>
      </w:r>
    </w:p>
    <w:p w:rsidR="003E022D" w:rsidRDefault="007D19D6">
      <w:pPr>
        <w:pStyle w:val="Section"/>
        <w:rPr>
          <w:noProof/>
        </w:rPr>
      </w:pPr>
      <w:r>
        <w:rPr>
          <w:noProof/>
        </w:rPr>
        <w:t>2. iedaļa. Tirdzniecība, izmantojot starpsavienotājus</w:t>
      </w:r>
    </w:p>
    <w:p w:rsidR="003E022D" w:rsidRDefault="007D19D6">
      <w:pPr>
        <w:pStyle w:val="Article"/>
        <w:rPr>
          <w:noProof/>
        </w:rPr>
      </w:pPr>
      <w:r>
        <w:rPr>
          <w:noProof/>
        </w:rPr>
        <w:t>EN</w:t>
      </w:r>
      <w:r>
        <w:rPr>
          <w:noProof/>
        </w:rPr>
        <w:t xml:space="preserve">ER.13. pants. Elektroenerģijas starpsavienotāju efektīva izmantošana </w:t>
      </w:r>
    </w:p>
    <w:p w:rsidR="003E022D" w:rsidRDefault="007D19D6">
      <w:pPr>
        <w:numPr>
          <w:ilvl w:val="0"/>
          <w:numId w:val="475"/>
        </w:numPr>
        <w:spacing w:line="276" w:lineRule="auto"/>
        <w:ind w:left="0" w:firstLine="0"/>
        <w:rPr>
          <w:rFonts w:cs="Calibri"/>
          <w:noProof/>
        </w:rPr>
      </w:pPr>
      <w:r>
        <w:rPr>
          <w:noProof/>
        </w:rPr>
        <w:t>Lai nodrošinātu elektroenerģijas starpsavienotāju efektīvu izmantošanu un mazinātu šķēršļus tirdzniecībai starp Savienību un Apvienoto Karalisti, katra Puse nodrošina, ka:</w:t>
      </w:r>
    </w:p>
    <w:p w:rsidR="003E022D" w:rsidRDefault="007D19D6">
      <w:pPr>
        <w:numPr>
          <w:ilvl w:val="0"/>
          <w:numId w:val="245"/>
        </w:numPr>
        <w:spacing w:line="276" w:lineRule="auto"/>
        <w:ind w:left="567" w:hanging="567"/>
        <w:rPr>
          <w:rFonts w:eastAsia="Times New Roman" w:cs="Calibri"/>
          <w:noProof/>
        </w:rPr>
      </w:pPr>
      <w:r>
        <w:rPr>
          <w:noProof/>
        </w:rPr>
        <w:t>elektroenerģijas starpsavienotāju jaudas piešķiršana un pārslodzes vadība ir tirgū balstīta, pārredzama un nediskriminējoša;</w:t>
      </w:r>
    </w:p>
    <w:p w:rsidR="003E022D" w:rsidRDefault="007D19D6">
      <w:pPr>
        <w:numPr>
          <w:ilvl w:val="0"/>
          <w:numId w:val="245"/>
        </w:numPr>
        <w:spacing w:line="276" w:lineRule="auto"/>
        <w:ind w:left="567" w:hanging="567"/>
        <w:rPr>
          <w:rFonts w:eastAsia="Times New Roman" w:cs="Calibri"/>
          <w:noProof/>
        </w:rPr>
      </w:pPr>
      <w:r>
        <w:rPr>
          <w:noProof/>
        </w:rPr>
        <w:t xml:space="preserve">elektroenerģijas starpsavienotāju maksimālais jaudas līmenis tiek darīts pieejams, ievērojot </w:t>
      </w:r>
    </w:p>
    <w:p w:rsidR="003E022D" w:rsidRDefault="007D19D6">
      <w:pPr>
        <w:numPr>
          <w:ilvl w:val="0"/>
          <w:numId w:val="246"/>
        </w:numPr>
        <w:ind w:left="1276" w:hanging="567"/>
        <w:rPr>
          <w:rFonts w:cs="Calibri"/>
          <w:noProof/>
        </w:rPr>
      </w:pPr>
      <w:r>
        <w:rPr>
          <w:noProof/>
        </w:rPr>
        <w:t>nepieciešamību nodrošināt drošu sistē</w:t>
      </w:r>
      <w:r>
        <w:rPr>
          <w:noProof/>
        </w:rPr>
        <w:t xml:space="preserve">mas darbību; un </w:t>
      </w:r>
    </w:p>
    <w:p w:rsidR="003E022D" w:rsidRDefault="007D19D6">
      <w:pPr>
        <w:numPr>
          <w:ilvl w:val="0"/>
          <w:numId w:val="246"/>
        </w:numPr>
        <w:ind w:left="1276" w:hanging="567"/>
        <w:rPr>
          <w:rFonts w:cs="Calibri"/>
          <w:noProof/>
        </w:rPr>
      </w:pPr>
      <w:r>
        <w:rPr>
          <w:noProof/>
        </w:rPr>
        <w:t xml:space="preserve">sistēmu visefektīvāko izmantošanu; </w:t>
      </w:r>
    </w:p>
    <w:p w:rsidR="003E022D" w:rsidRDefault="007D19D6">
      <w:pPr>
        <w:numPr>
          <w:ilvl w:val="0"/>
          <w:numId w:val="245"/>
        </w:numPr>
        <w:spacing w:line="276" w:lineRule="auto"/>
        <w:ind w:left="567" w:hanging="567"/>
        <w:rPr>
          <w:rFonts w:eastAsia="Times New Roman" w:cs="Calibri"/>
          <w:noProof/>
        </w:rPr>
      </w:pPr>
      <w:r>
        <w:rPr>
          <w:noProof/>
        </w:rPr>
        <w:t>elektroenerģijas starpsavienotāja jaudu var samazināt tikai ārkārtas situācijās, un jebkāda šāda samazināšana notiek nediskriminējošā veidā;</w:t>
      </w:r>
    </w:p>
    <w:p w:rsidR="003E022D" w:rsidRDefault="007D19D6">
      <w:pPr>
        <w:numPr>
          <w:ilvl w:val="0"/>
          <w:numId w:val="245"/>
        </w:numPr>
        <w:spacing w:line="276" w:lineRule="auto"/>
        <w:ind w:left="567" w:hanging="567"/>
        <w:rPr>
          <w:rFonts w:eastAsia="Times New Roman" w:cs="Calibri"/>
          <w:noProof/>
        </w:rPr>
      </w:pPr>
      <w:r>
        <w:rPr>
          <w:noProof/>
        </w:rPr>
        <w:t>šā panta mērķu atbalstam publicē informāciju par jaudas aprēķi</w:t>
      </w:r>
      <w:r>
        <w:rPr>
          <w:noProof/>
        </w:rPr>
        <w:t>nu;</w:t>
      </w:r>
    </w:p>
    <w:p w:rsidR="003E022D" w:rsidRDefault="007D19D6">
      <w:pPr>
        <w:numPr>
          <w:ilvl w:val="0"/>
          <w:numId w:val="245"/>
        </w:numPr>
        <w:spacing w:line="276" w:lineRule="auto"/>
        <w:ind w:left="567" w:hanging="567"/>
        <w:rPr>
          <w:rFonts w:eastAsia="Times New Roman" w:cs="Calibri"/>
          <w:noProof/>
        </w:rPr>
      </w:pPr>
      <w:r>
        <w:rPr>
          <w:noProof/>
        </w:rPr>
        <w:t xml:space="preserve">nav noteiktas tīkla maksas par atsevišķiem darījumiem elektroenerģijas starpsavienotājos un rezerves cenas par to izmantošanu; </w:t>
      </w:r>
    </w:p>
    <w:p w:rsidR="003E022D" w:rsidRDefault="007D19D6">
      <w:pPr>
        <w:numPr>
          <w:ilvl w:val="0"/>
          <w:numId w:val="245"/>
        </w:numPr>
        <w:spacing w:line="276" w:lineRule="auto"/>
        <w:ind w:left="567" w:hanging="567"/>
        <w:rPr>
          <w:rFonts w:eastAsia="Times New Roman" w:cs="Calibri"/>
          <w:noProof/>
        </w:rPr>
      </w:pPr>
      <w:r>
        <w:rPr>
          <w:noProof/>
        </w:rPr>
        <w:t xml:space="preserve">jaudas piešķiršanu un pārslodzes vadību elektroenerģijas starpsavienotājos koordinē starp attiecīgajiem Savienības pārvades </w:t>
      </w:r>
      <w:r>
        <w:rPr>
          <w:noProof/>
        </w:rPr>
        <w:t>sistēmu operatoriem un Apvienotās Karalistes pārvades sistēmu operatoriem; šādā koordinācijā ietilpst tādas kārtības izstrāde, kas nepieciešama stabilu un efektīvu rezultātu sasniegšanai visos attiecīgajos laikposmos, proti, nākotnes, nākamās dienas, tekoš</w:t>
      </w:r>
      <w:r>
        <w:rPr>
          <w:noProof/>
        </w:rPr>
        <w:t>ās dienas un balansēšanas laikposmos; un</w:t>
      </w:r>
    </w:p>
    <w:p w:rsidR="003E022D" w:rsidRDefault="007D19D6">
      <w:pPr>
        <w:numPr>
          <w:ilvl w:val="0"/>
          <w:numId w:val="245"/>
        </w:numPr>
        <w:spacing w:line="276" w:lineRule="auto"/>
        <w:ind w:left="567" w:hanging="567"/>
        <w:rPr>
          <w:rFonts w:eastAsia="Times New Roman" w:cs="Calibri"/>
          <w:noProof/>
        </w:rPr>
      </w:pPr>
      <w:r>
        <w:rPr>
          <w:noProof/>
        </w:rPr>
        <w:t>jaudas piešķiršanas un pārslodzes vadības kārtība veicina labvēlīgus apstākļus ekonomiski efektīvu elektroenerģijas starpsavienojumu attīstībai un investīcijām tajos.</w:t>
      </w:r>
    </w:p>
    <w:p w:rsidR="003E022D" w:rsidRDefault="007D19D6">
      <w:pPr>
        <w:numPr>
          <w:ilvl w:val="0"/>
          <w:numId w:val="475"/>
        </w:numPr>
        <w:spacing w:line="276" w:lineRule="auto"/>
        <w:ind w:left="0" w:firstLine="0"/>
        <w:rPr>
          <w:rFonts w:cs="Calibri"/>
          <w:noProof/>
        </w:rPr>
      </w:pPr>
      <w:r>
        <w:rPr>
          <w:noProof/>
        </w:rPr>
        <w:t xml:space="preserve">Šā panta 1. punkta f) apakšpunktā minētā </w:t>
      </w:r>
      <w:r>
        <w:rPr>
          <w:noProof/>
        </w:rPr>
        <w:t>koordinācija un kārtība neietver Apvienotās Karalistes pārvades sistēmu operatoru dalību Savienības jaudas piešķiršanas un pārslodzes vadības procedūrās un nenozīmē to.</w:t>
      </w:r>
    </w:p>
    <w:p w:rsidR="003E022D" w:rsidRDefault="007D19D6">
      <w:pPr>
        <w:numPr>
          <w:ilvl w:val="0"/>
          <w:numId w:val="475"/>
        </w:numPr>
        <w:spacing w:line="276" w:lineRule="auto"/>
        <w:ind w:left="0" w:firstLine="0"/>
        <w:rPr>
          <w:rFonts w:cs="Calibri"/>
          <w:noProof/>
        </w:rPr>
      </w:pPr>
      <w:r>
        <w:rPr>
          <w:noProof/>
        </w:rPr>
        <w:t>Katra Puse veic vajadzīgos pasākumus, lai nodrošinātu, ka pēc iespējas drīz tiek noslēg</w:t>
      </w:r>
      <w:r>
        <w:rPr>
          <w:noProof/>
        </w:rPr>
        <w:t xml:space="preserve">ts daudzpusējs nolīgums saistībā ar kompensāciju par izmaksām, kas rodas, pārvadot pārrobežu elektroenerģijas plūsmas starp: </w:t>
      </w:r>
    </w:p>
    <w:p w:rsidR="003E022D" w:rsidRDefault="007D19D6">
      <w:pPr>
        <w:numPr>
          <w:ilvl w:val="0"/>
          <w:numId w:val="247"/>
        </w:numPr>
        <w:spacing w:line="276" w:lineRule="auto"/>
        <w:ind w:left="567" w:hanging="567"/>
        <w:rPr>
          <w:rFonts w:eastAsia="Times New Roman" w:cs="Calibri"/>
          <w:noProof/>
        </w:rPr>
      </w:pPr>
      <w:r>
        <w:rPr>
          <w:noProof/>
        </w:rPr>
        <w:t>pārvades sistēmu operatoriem, kas piedalās pārvades sistēmu operatoru savstarpējā kompensāciju mehānismā, kurš izveidots ar Komisi</w:t>
      </w:r>
      <w:r>
        <w:rPr>
          <w:noProof/>
        </w:rPr>
        <w:t>jas Regulu (ES) Nr. 838/2010</w:t>
      </w:r>
      <w:r>
        <w:rPr>
          <w:rFonts w:eastAsia="Times New Roman" w:cs="Calibri"/>
          <w:noProof/>
          <w:vertAlign w:val="superscript"/>
        </w:rPr>
        <w:footnoteReference w:id="45"/>
      </w:r>
      <w:r>
        <w:rPr>
          <w:noProof/>
        </w:rPr>
        <w:t xml:space="preserve">; un </w:t>
      </w:r>
    </w:p>
    <w:p w:rsidR="003E022D" w:rsidRDefault="007D19D6">
      <w:pPr>
        <w:numPr>
          <w:ilvl w:val="0"/>
          <w:numId w:val="247"/>
        </w:numPr>
        <w:spacing w:line="276" w:lineRule="auto"/>
        <w:ind w:left="567" w:hanging="567"/>
        <w:rPr>
          <w:rFonts w:eastAsia="Times New Roman" w:cs="Calibri"/>
          <w:noProof/>
        </w:rPr>
      </w:pPr>
      <w:r>
        <w:rPr>
          <w:noProof/>
        </w:rPr>
        <w:t>Apvienotās Karalistes pārvades sistēmu operatoriem.</w:t>
      </w:r>
    </w:p>
    <w:p w:rsidR="003E022D" w:rsidRDefault="007D19D6">
      <w:pPr>
        <w:numPr>
          <w:ilvl w:val="0"/>
          <w:numId w:val="475"/>
        </w:numPr>
        <w:spacing w:line="276" w:lineRule="auto"/>
        <w:ind w:left="0" w:firstLine="0"/>
        <w:rPr>
          <w:rFonts w:cs="Calibri"/>
          <w:noProof/>
        </w:rPr>
      </w:pPr>
      <w:r>
        <w:rPr>
          <w:noProof/>
        </w:rPr>
        <w:t xml:space="preserve">Šā panta 3. punktā minētā daudzpusējā nolīguma mērķis ir nodrošināt, ka: </w:t>
      </w:r>
    </w:p>
    <w:p w:rsidR="003E022D" w:rsidRDefault="007D19D6">
      <w:pPr>
        <w:numPr>
          <w:ilvl w:val="0"/>
          <w:numId w:val="248"/>
        </w:numPr>
        <w:spacing w:line="276" w:lineRule="auto"/>
        <w:ind w:left="567" w:hanging="567"/>
        <w:rPr>
          <w:rFonts w:eastAsia="Times New Roman" w:cs="Calibri"/>
          <w:noProof/>
        </w:rPr>
      </w:pPr>
      <w:r>
        <w:rPr>
          <w:noProof/>
        </w:rPr>
        <w:t>Apvienotās Karalistes pārvades sistēmu operatoriem piemēro līdzvērtīgu režīmu kā pārvades sistē</w:t>
      </w:r>
      <w:r>
        <w:rPr>
          <w:noProof/>
        </w:rPr>
        <w:t xml:space="preserve">mas operatoram valstī, kas piedalās pārvades sistēmu operatoru savstarpējā kompensāciju mehānismā; un </w:t>
      </w:r>
    </w:p>
    <w:p w:rsidR="003E022D" w:rsidRDefault="007D19D6">
      <w:pPr>
        <w:numPr>
          <w:ilvl w:val="0"/>
          <w:numId w:val="248"/>
        </w:numPr>
        <w:spacing w:line="276" w:lineRule="auto"/>
        <w:ind w:left="567" w:hanging="567"/>
        <w:rPr>
          <w:rFonts w:eastAsia="Times New Roman" w:cs="Calibri"/>
          <w:noProof/>
        </w:rPr>
      </w:pPr>
      <w:r>
        <w:rPr>
          <w:noProof/>
        </w:rPr>
        <w:t>režīms, ko piemēro Apvienotās Karalistes pārvades sistēmu operatoriem, nav labvēlīgāks salīdzinājumā ar režīmu, ko piemērotu pārvades sistēmas operatoram</w:t>
      </w:r>
      <w:r>
        <w:rPr>
          <w:noProof/>
        </w:rPr>
        <w:t>, kas piedalās pārvades sistēmu operatoru savstarpējā kompensāciju mehānismā.</w:t>
      </w:r>
    </w:p>
    <w:p w:rsidR="003E022D" w:rsidRDefault="007D19D6">
      <w:pPr>
        <w:numPr>
          <w:ilvl w:val="0"/>
          <w:numId w:val="475"/>
        </w:numPr>
        <w:spacing w:line="276" w:lineRule="auto"/>
        <w:ind w:left="0" w:firstLine="0"/>
        <w:rPr>
          <w:rFonts w:cs="Calibri"/>
          <w:noProof/>
        </w:rPr>
      </w:pPr>
      <w:r>
        <w:rPr>
          <w:noProof/>
        </w:rPr>
        <w:t>Neatkarīgi no 1. punkta e) apakšpunkta, kamēr nav noslēgts 3. punktā minētais daudzpusējs nolīgums, pārvades sistēmas izmantošanas maksu var iekasēt par plānotu importu un ekspor</w:t>
      </w:r>
      <w:r>
        <w:rPr>
          <w:noProof/>
        </w:rPr>
        <w:t>tu starp Savienību un Apvienoto Karalisti.</w:t>
      </w:r>
    </w:p>
    <w:p w:rsidR="003E022D" w:rsidRDefault="007D19D6">
      <w:pPr>
        <w:pStyle w:val="Article"/>
        <w:rPr>
          <w:noProof/>
        </w:rPr>
      </w:pPr>
      <w:r>
        <w:rPr>
          <w:noProof/>
        </w:rPr>
        <w:t>14. pants. Elektroenerģijas tirdzniecības kārtība visos laikposmos</w:t>
      </w:r>
    </w:p>
    <w:p w:rsidR="003E022D" w:rsidRDefault="007D19D6">
      <w:pPr>
        <w:rPr>
          <w:rFonts w:cs="Calibri"/>
          <w:noProof/>
        </w:rPr>
      </w:pPr>
      <w:r>
        <w:rPr>
          <w:noProof/>
        </w:rPr>
        <w:t>1.</w:t>
      </w:r>
      <w:r>
        <w:rPr>
          <w:noProof/>
        </w:rPr>
        <w:tab/>
        <w:t>Attiecībā uz jaudas piešķiršanu un pārslodzes vadību nākamās dienas posmā Specializētā enerģētikas komiteja prioritārā kārtā saskaņā ar ENER.19</w:t>
      </w:r>
      <w:r>
        <w:rPr>
          <w:noProof/>
        </w:rPr>
        <w:t>. pantu [Pārvades sistēmu operatoru sadarbība] veic vajadzīgos pasākumus, kas nepieciešami, lai nodrošinātu, ka pārvades sistēmu operatori konkrētā grafikā izstrādā kārtību, kurā izklāstītas tehniskās procedūras saskaņā ar ENER-4. pielikumu.</w:t>
      </w:r>
    </w:p>
    <w:p w:rsidR="003E022D" w:rsidRDefault="007D19D6">
      <w:pPr>
        <w:rPr>
          <w:rFonts w:cs="Calibri"/>
          <w:noProof/>
        </w:rPr>
      </w:pPr>
      <w:r>
        <w:rPr>
          <w:noProof/>
        </w:rPr>
        <w:t>2.</w:t>
      </w:r>
      <w:r>
        <w:rPr>
          <w:noProof/>
        </w:rPr>
        <w:tab/>
        <w:t>Ja Speciali</w:t>
      </w:r>
      <w:r>
        <w:rPr>
          <w:noProof/>
        </w:rPr>
        <w:t>zētā enerģētikas komiteja neiesaka Pusēm īstenot šādas tehniskās procedūras saskaņā ar ENER.19. panta [Pārvades sistēmu operatoru sadarbība] 4. punktu, tā pieņem lēmumus un sniedz ieteikumus, kas vajadzīgi elektroenerģijas starpsavienotāju jaudas piešķirša</w:t>
      </w:r>
      <w:r>
        <w:rPr>
          <w:noProof/>
        </w:rPr>
        <w:t>nai nākamās dienas tirgus laikposmā saskaņā ar ENER-4. pielikumu.</w:t>
      </w:r>
    </w:p>
    <w:p w:rsidR="003E022D" w:rsidRDefault="007D19D6">
      <w:pPr>
        <w:rPr>
          <w:rFonts w:cs="Calibri"/>
          <w:noProof/>
        </w:rPr>
      </w:pPr>
      <w:r>
        <w:rPr>
          <w:noProof/>
        </w:rPr>
        <w:t>3.</w:t>
      </w:r>
      <w:r>
        <w:rPr>
          <w:noProof/>
        </w:rPr>
        <w:tab/>
        <w:t>Specializētā enerģētikas komiteja pastāvīgi pārskata kārtību visiem laikposmiem un jo īpaši balansēšanas un tekošās dienas laikposmiem, un var ieteikt katrai Pusei pieprasīt saviem pārvad</w:t>
      </w:r>
      <w:r>
        <w:rPr>
          <w:noProof/>
        </w:rPr>
        <w:t>es sistēmu operatoriem sagatavot tehniskās procedūras saskaņā ar ENER.19. pantu [Pārvades sistēmu operatoru sadarbība] kārtības uzlabošanai konkrētam laikposmam.</w:t>
      </w:r>
    </w:p>
    <w:p w:rsidR="003E022D" w:rsidRDefault="007D19D6">
      <w:pPr>
        <w:rPr>
          <w:rFonts w:eastAsia="Times New Roman" w:cs="Calibri"/>
          <w:noProof/>
          <w:color w:val="31849B" w:themeColor="accent5" w:themeShade="BF"/>
        </w:rPr>
      </w:pPr>
      <w:r>
        <w:rPr>
          <w:noProof/>
        </w:rPr>
        <w:t>4.</w:t>
      </w:r>
      <w:r>
        <w:rPr>
          <w:noProof/>
        </w:rPr>
        <w:tab/>
        <w:t>Specializētā enerģētikas komiteja pastāvīgi pārskata, vai tehniskās procedūras, kas izstrād</w:t>
      </w:r>
      <w:r>
        <w:rPr>
          <w:noProof/>
        </w:rPr>
        <w:t>ātas saskaņā ar 1. punktu, joprojām atbilst ENER-4. pielikuma prasībām, un nekavējoties risina visus apzinātos jautājumus.</w:t>
      </w:r>
    </w:p>
    <w:p w:rsidR="003E022D" w:rsidRDefault="007D19D6">
      <w:pPr>
        <w:pStyle w:val="Article"/>
        <w:rPr>
          <w:noProof/>
        </w:rPr>
      </w:pPr>
      <w:r>
        <w:rPr>
          <w:noProof/>
        </w:rPr>
        <w:t>ENER.15. pants. Gāzes starpsavienotāju efektīva izmantošana</w:t>
      </w:r>
    </w:p>
    <w:p w:rsidR="003E022D" w:rsidRDefault="007D19D6">
      <w:pPr>
        <w:numPr>
          <w:ilvl w:val="0"/>
          <w:numId w:val="476"/>
        </w:numPr>
        <w:spacing w:line="276" w:lineRule="auto"/>
        <w:ind w:left="0" w:firstLine="0"/>
        <w:rPr>
          <w:rFonts w:eastAsia="Times New Roman" w:cs="Calibri"/>
          <w:noProof/>
        </w:rPr>
      </w:pPr>
      <w:r>
        <w:rPr>
          <w:noProof/>
        </w:rPr>
        <w:t>Lai nodrošinātu gāzes starpsavienotāju efektīvu izmantošanu un mazinātu š</w:t>
      </w:r>
      <w:r>
        <w:rPr>
          <w:noProof/>
        </w:rPr>
        <w:t>ķēršļus tirdzniecībai starp Savienību un Apvienoto Karalisti, katra Puse nodrošina, ka:</w:t>
      </w:r>
    </w:p>
    <w:p w:rsidR="003E022D" w:rsidRDefault="007D19D6">
      <w:pPr>
        <w:numPr>
          <w:ilvl w:val="0"/>
          <w:numId w:val="249"/>
        </w:numPr>
        <w:spacing w:line="276" w:lineRule="auto"/>
        <w:ind w:left="567" w:hanging="567"/>
        <w:rPr>
          <w:rFonts w:eastAsia="Times New Roman" w:cs="Calibri"/>
          <w:noProof/>
        </w:rPr>
      </w:pPr>
      <w:r>
        <w:rPr>
          <w:noProof/>
        </w:rPr>
        <w:t xml:space="preserve">gāzes starpsavienotāju maksimālais jaudas līmenis tiek darīts pieejams, ievērojot nediskriminācijas principu un ņemot vērā: </w:t>
      </w:r>
    </w:p>
    <w:p w:rsidR="003E022D" w:rsidRDefault="007D19D6">
      <w:pPr>
        <w:numPr>
          <w:ilvl w:val="0"/>
          <w:numId w:val="250"/>
        </w:numPr>
        <w:ind w:left="1276" w:hanging="567"/>
        <w:rPr>
          <w:rFonts w:cs="Calibri"/>
          <w:noProof/>
        </w:rPr>
      </w:pPr>
      <w:r>
        <w:rPr>
          <w:noProof/>
        </w:rPr>
        <w:t xml:space="preserve">nepieciešamību nodrošināt drošu sistēmas darbību; un </w:t>
      </w:r>
    </w:p>
    <w:p w:rsidR="003E022D" w:rsidRDefault="007D19D6">
      <w:pPr>
        <w:numPr>
          <w:ilvl w:val="0"/>
          <w:numId w:val="250"/>
        </w:numPr>
        <w:ind w:left="1276" w:hanging="567"/>
        <w:rPr>
          <w:rFonts w:cs="Calibri"/>
          <w:noProof/>
        </w:rPr>
      </w:pPr>
      <w:r>
        <w:rPr>
          <w:noProof/>
        </w:rPr>
        <w:t xml:space="preserve">sistēmu visefektīvāko izmantošanu; </w:t>
      </w:r>
    </w:p>
    <w:p w:rsidR="003E022D" w:rsidRDefault="007D19D6">
      <w:pPr>
        <w:numPr>
          <w:ilvl w:val="0"/>
          <w:numId w:val="249"/>
        </w:numPr>
        <w:spacing w:line="276" w:lineRule="auto"/>
        <w:ind w:left="567" w:hanging="567"/>
        <w:rPr>
          <w:rFonts w:eastAsia="Times New Roman" w:cs="Calibri"/>
          <w:noProof/>
        </w:rPr>
      </w:pPr>
      <w:r>
        <w:rPr>
          <w:noProof/>
        </w:rPr>
        <w:t>gāzes starpsavienotāju jaudas piešķiršanas mehānismi un pārslodzes vadības procedūras ir tirgū balstītas, pārredzamas un nediskriminējošas un ka jaudas piešķiršanai s</w:t>
      </w:r>
      <w:r>
        <w:rPr>
          <w:noProof/>
        </w:rPr>
        <w:t>tarpsavienojumu punktos parasti izmanto izsoles.</w:t>
      </w:r>
    </w:p>
    <w:p w:rsidR="003E022D" w:rsidRDefault="007D19D6">
      <w:pPr>
        <w:numPr>
          <w:ilvl w:val="0"/>
          <w:numId w:val="476"/>
        </w:numPr>
        <w:spacing w:line="276" w:lineRule="auto"/>
        <w:ind w:left="0" w:firstLine="0"/>
        <w:rPr>
          <w:rFonts w:eastAsia="Times New Roman" w:cs="Calibri"/>
          <w:noProof/>
        </w:rPr>
      </w:pPr>
      <w:r>
        <w:rPr>
          <w:noProof/>
        </w:rPr>
        <w:t>Katra Puse veic vajadzīgos pasākumus, lai nodrošinātu, ka:</w:t>
      </w:r>
    </w:p>
    <w:p w:rsidR="003E022D" w:rsidRDefault="007D19D6">
      <w:pPr>
        <w:numPr>
          <w:ilvl w:val="0"/>
          <w:numId w:val="251"/>
        </w:numPr>
        <w:spacing w:line="276" w:lineRule="auto"/>
        <w:ind w:left="567" w:hanging="567"/>
        <w:rPr>
          <w:rFonts w:eastAsia="Times New Roman" w:cs="Calibri"/>
          <w:noProof/>
        </w:rPr>
      </w:pPr>
      <w:r>
        <w:rPr>
          <w:noProof/>
        </w:rPr>
        <w:t>pārvades sistēmu operatori cenšas kopīgi piedāvāt standarta jaudas produktus, kas sastāv no ieejas un izejas attiecīgās jaudas starpsavienojuma punk</w:t>
      </w:r>
      <w:r>
        <w:rPr>
          <w:noProof/>
        </w:rPr>
        <w:t>ta abās pusēs;</w:t>
      </w:r>
    </w:p>
    <w:p w:rsidR="003E022D" w:rsidRDefault="007D19D6">
      <w:pPr>
        <w:numPr>
          <w:ilvl w:val="0"/>
          <w:numId w:val="251"/>
        </w:numPr>
        <w:spacing w:line="276" w:lineRule="auto"/>
        <w:ind w:left="567" w:hanging="567"/>
        <w:rPr>
          <w:rFonts w:eastAsia="Times New Roman" w:cs="Calibri"/>
          <w:noProof/>
        </w:rPr>
      </w:pPr>
      <w:r>
        <w:rPr>
          <w:noProof/>
        </w:rPr>
        <w:t>pārvades sistēmu operatori koordinē procedūras, kas saistītas ar gāzes starpsavienojumu izmantošanu starp attiecīgajiem Savienības pārvades sistēmu operatoriem un Apvienotās Karalistes pārvades sistēmu operatoriem.</w:t>
      </w:r>
    </w:p>
    <w:p w:rsidR="003E022D" w:rsidRDefault="007D19D6">
      <w:pPr>
        <w:numPr>
          <w:ilvl w:val="0"/>
          <w:numId w:val="476"/>
        </w:numPr>
        <w:spacing w:line="276" w:lineRule="auto"/>
        <w:ind w:left="0" w:firstLine="0"/>
        <w:rPr>
          <w:rFonts w:eastAsia="Times New Roman" w:cs="Calibri"/>
          <w:noProof/>
        </w:rPr>
      </w:pPr>
      <w:r>
        <w:rPr>
          <w:noProof/>
        </w:rPr>
        <w:t>Šā panta 2. punkta b) apak</w:t>
      </w:r>
      <w:r>
        <w:rPr>
          <w:noProof/>
        </w:rPr>
        <w:t>špunktā minētā koordinācija neietver Apvienotās Karalistes pārvades sistēmu operatoru dalību Savienības procedūrās, kas saistītas ar gāzes starpsavienotāju izmantošanu, un nenozīmē to.</w:t>
      </w:r>
    </w:p>
    <w:p w:rsidR="003E022D" w:rsidRDefault="007D19D6">
      <w:pPr>
        <w:pStyle w:val="Section"/>
        <w:rPr>
          <w:noProof/>
        </w:rPr>
      </w:pPr>
      <w:r>
        <w:rPr>
          <w:noProof/>
        </w:rPr>
        <w:t>3. iedaļa. Tīkla attīstība un piegādes drošība</w:t>
      </w:r>
    </w:p>
    <w:p w:rsidR="003E022D" w:rsidRDefault="007D19D6">
      <w:pPr>
        <w:pStyle w:val="Article"/>
        <w:rPr>
          <w:noProof/>
          <w:color w:val="0070C0"/>
        </w:rPr>
      </w:pPr>
      <w:r>
        <w:rPr>
          <w:noProof/>
        </w:rPr>
        <w:t xml:space="preserve">ENER.16. pants. Tīkla </w:t>
      </w:r>
      <w:r>
        <w:rPr>
          <w:noProof/>
        </w:rPr>
        <w:t>attīstība</w:t>
      </w:r>
    </w:p>
    <w:p w:rsidR="003E022D" w:rsidRDefault="007D19D6">
      <w:pPr>
        <w:numPr>
          <w:ilvl w:val="0"/>
          <w:numId w:val="477"/>
        </w:numPr>
        <w:spacing w:line="276" w:lineRule="auto"/>
        <w:ind w:left="0" w:firstLine="0"/>
        <w:rPr>
          <w:rFonts w:eastAsia="Times New Roman" w:cs="Calibri"/>
          <w:noProof/>
        </w:rPr>
      </w:pPr>
      <w:r>
        <w:rPr>
          <w:noProof/>
        </w:rPr>
        <w:t>Puses sadarbojas, lai veicinātu energoinfrastruktūras, kas savieno to teritorijas, savlaicīgu attīstību un sadarbspēju.</w:t>
      </w:r>
    </w:p>
    <w:p w:rsidR="003E022D" w:rsidRDefault="007D19D6">
      <w:pPr>
        <w:numPr>
          <w:ilvl w:val="0"/>
          <w:numId w:val="477"/>
        </w:numPr>
        <w:spacing w:line="276" w:lineRule="auto"/>
        <w:ind w:left="0" w:firstLine="0"/>
        <w:rPr>
          <w:rFonts w:eastAsia="Times New Roman" w:cs="Calibri"/>
          <w:noProof/>
        </w:rPr>
      </w:pPr>
      <w:r>
        <w:rPr>
          <w:noProof/>
        </w:rPr>
        <w:t>Katra Puse nodrošina, ka elektroenerģijas un gāzes pārvades sistēmu tīkla attīstības plāni tiek sastādīti, publicēti un regulā</w:t>
      </w:r>
      <w:r>
        <w:rPr>
          <w:noProof/>
        </w:rPr>
        <w:t>ri atjaunināti.</w:t>
      </w:r>
    </w:p>
    <w:p w:rsidR="003E022D" w:rsidRDefault="007D19D6">
      <w:pPr>
        <w:pStyle w:val="Article"/>
        <w:rPr>
          <w:noProof/>
        </w:rPr>
      </w:pPr>
      <w:r>
        <w:rPr>
          <w:noProof/>
        </w:rPr>
        <w:t>ENER.17. pants. Sadarbība piegādes drošības jomā</w:t>
      </w:r>
    </w:p>
    <w:p w:rsidR="003E022D" w:rsidRDefault="007D19D6">
      <w:pPr>
        <w:numPr>
          <w:ilvl w:val="0"/>
          <w:numId w:val="478"/>
        </w:numPr>
        <w:spacing w:line="276" w:lineRule="auto"/>
        <w:ind w:left="0" w:firstLine="0"/>
        <w:rPr>
          <w:rFonts w:eastAsia="Times New Roman" w:cs="Calibri"/>
          <w:noProof/>
        </w:rPr>
      </w:pPr>
      <w:r>
        <w:rPr>
          <w:noProof/>
        </w:rPr>
        <w:t xml:space="preserve">Puses sadarbojas elektroenerģijas un dabasgāzes piegādes drošības jomā. </w:t>
      </w:r>
    </w:p>
    <w:p w:rsidR="003E022D" w:rsidRDefault="007D19D6">
      <w:pPr>
        <w:numPr>
          <w:ilvl w:val="0"/>
          <w:numId w:val="478"/>
        </w:numPr>
        <w:spacing w:line="276" w:lineRule="auto"/>
        <w:ind w:left="0" w:firstLine="0"/>
        <w:rPr>
          <w:rFonts w:eastAsia="Times New Roman" w:cs="Calibri"/>
          <w:noProof/>
        </w:rPr>
      </w:pPr>
      <w:r>
        <w:rPr>
          <w:noProof/>
        </w:rPr>
        <w:t>Puses laikus apmainās ar informāciju par visiem riskiem, kas apzināti saskaņā ar ENER.18. pantu [Riskgatavība un ārkār</w:t>
      </w:r>
      <w:r>
        <w:rPr>
          <w:noProof/>
        </w:rPr>
        <w:t xml:space="preserve">tas rīcības plāni]. </w:t>
      </w:r>
    </w:p>
    <w:p w:rsidR="003E022D" w:rsidRDefault="007D19D6">
      <w:pPr>
        <w:pStyle w:val="ListParagraph"/>
        <w:numPr>
          <w:ilvl w:val="0"/>
          <w:numId w:val="478"/>
        </w:numPr>
        <w:spacing w:line="276" w:lineRule="auto"/>
        <w:ind w:left="0" w:firstLine="0"/>
        <w:rPr>
          <w:rFonts w:eastAsia="Times New Roman" w:cs="Calibri"/>
          <w:noProof/>
        </w:rPr>
      </w:pPr>
      <w:r>
        <w:rPr>
          <w:noProof/>
        </w:rPr>
        <w:t>Puses apmainās ar plāniem, kas minēti ENER.18. pantā [Riskgatavība un ārkārtas rīcības plāni]. Attiecībā uz Savienību šie plāni var būt dalībvalstu vai reģionālā līmenī.</w:t>
      </w:r>
    </w:p>
    <w:p w:rsidR="003E022D" w:rsidRDefault="007D19D6">
      <w:pPr>
        <w:numPr>
          <w:ilvl w:val="0"/>
          <w:numId w:val="478"/>
        </w:numPr>
        <w:spacing w:line="276" w:lineRule="auto"/>
        <w:ind w:left="0" w:firstLine="0"/>
        <w:rPr>
          <w:rFonts w:eastAsia="Times New Roman" w:cs="Calibri"/>
          <w:noProof/>
        </w:rPr>
      </w:pPr>
      <w:r>
        <w:rPr>
          <w:noProof/>
        </w:rPr>
        <w:t>Puses bez liekas kavēšanās viena otru informē, ja ir ticama infor</w:t>
      </w:r>
      <w:r>
        <w:rPr>
          <w:noProof/>
        </w:rPr>
        <w:t xml:space="preserve">mācija, ka var rasties traucējumi vai cita krīze, kas saistīta ar elektroenerģijas vai dabasgāzes piegādi, un par plānotajiem vai veiktajiem pasākumiem. </w:t>
      </w:r>
    </w:p>
    <w:p w:rsidR="003E022D" w:rsidRDefault="007D19D6">
      <w:pPr>
        <w:numPr>
          <w:ilvl w:val="0"/>
          <w:numId w:val="478"/>
        </w:numPr>
        <w:spacing w:line="276" w:lineRule="auto"/>
        <w:ind w:left="0" w:firstLine="0"/>
        <w:rPr>
          <w:rFonts w:eastAsia="Times New Roman" w:cs="Calibri"/>
          <w:noProof/>
        </w:rPr>
      </w:pPr>
      <w:r>
        <w:rPr>
          <w:noProof/>
        </w:rPr>
        <w:t xml:space="preserve">Puses nekavējoties viena otru informē faktisku piegādes traucējumu vai citas krīzes gadījumā, kas </w:t>
      </w:r>
      <w:r>
        <w:rPr>
          <w:noProof/>
        </w:rPr>
        <w:t>nepieciešams, lai varētu veikt iespējamos koordinētus ietekmes mazināšanas un atjaunošanas pasākumus. </w:t>
      </w:r>
    </w:p>
    <w:p w:rsidR="003E022D" w:rsidRDefault="007D19D6">
      <w:pPr>
        <w:numPr>
          <w:ilvl w:val="0"/>
          <w:numId w:val="478"/>
        </w:numPr>
        <w:spacing w:line="276" w:lineRule="auto"/>
        <w:ind w:left="0" w:firstLine="0"/>
        <w:rPr>
          <w:rFonts w:eastAsia="Times New Roman" w:cs="Calibri"/>
          <w:noProof/>
        </w:rPr>
      </w:pPr>
      <w:r>
        <w:rPr>
          <w:noProof/>
        </w:rPr>
        <w:t>Puses apmainās ar paraugpraksi attiecībā uz īstermiņa un sezonālās pietiekamības novērtējumiem.</w:t>
      </w:r>
    </w:p>
    <w:p w:rsidR="003E022D" w:rsidRDefault="007D19D6">
      <w:pPr>
        <w:pStyle w:val="ListParagraph"/>
        <w:numPr>
          <w:ilvl w:val="0"/>
          <w:numId w:val="478"/>
        </w:numPr>
        <w:spacing w:line="276" w:lineRule="auto"/>
        <w:ind w:left="0" w:firstLine="0"/>
        <w:rPr>
          <w:rFonts w:eastAsia="Times New Roman" w:cs="Calibri"/>
          <w:noProof/>
        </w:rPr>
      </w:pPr>
      <w:r>
        <w:rPr>
          <w:noProof/>
        </w:rPr>
        <w:t>Puses izstrādā atbilstošus satvarus sadarbībai elektroene</w:t>
      </w:r>
      <w:r>
        <w:rPr>
          <w:noProof/>
        </w:rPr>
        <w:t>rģijas un dabasgāzes piegādes drošības jomā.</w:t>
      </w:r>
    </w:p>
    <w:p w:rsidR="003E022D" w:rsidRDefault="007D19D6">
      <w:pPr>
        <w:pStyle w:val="Article"/>
        <w:rPr>
          <w:noProof/>
        </w:rPr>
      </w:pPr>
      <w:r>
        <w:rPr>
          <w:noProof/>
        </w:rPr>
        <w:t>ENER.18. pants. Riskgatavība un ārkārtas rīcības plāni</w:t>
      </w:r>
    </w:p>
    <w:p w:rsidR="003E022D" w:rsidRDefault="007D19D6">
      <w:pPr>
        <w:numPr>
          <w:ilvl w:val="0"/>
          <w:numId w:val="485"/>
        </w:numPr>
        <w:spacing w:line="276" w:lineRule="auto"/>
        <w:ind w:left="0" w:firstLine="0"/>
        <w:rPr>
          <w:rFonts w:eastAsia="Times New Roman" w:cs="Calibri"/>
          <w:noProof/>
        </w:rPr>
      </w:pPr>
      <w:r>
        <w:rPr>
          <w:noProof/>
        </w:rPr>
        <w:t>Katra Puse novērtē riskus, kas ietekmē elektroenerģijas vai dabasgāzes piegādes drošību, tostarp šādu risku iespējamību un ietekmi, un arī pārrobežu riskus.</w:t>
      </w:r>
      <w:r>
        <w:rPr>
          <w:noProof/>
        </w:rPr>
        <w:t xml:space="preserve"> </w:t>
      </w:r>
    </w:p>
    <w:p w:rsidR="003E022D" w:rsidRDefault="007D19D6">
      <w:pPr>
        <w:numPr>
          <w:ilvl w:val="0"/>
          <w:numId w:val="485"/>
        </w:numPr>
        <w:spacing w:line="276" w:lineRule="auto"/>
        <w:ind w:left="0" w:firstLine="0"/>
        <w:rPr>
          <w:rFonts w:eastAsia="Times New Roman" w:cs="Calibri"/>
          <w:noProof/>
        </w:rPr>
      </w:pPr>
      <w:r>
        <w:rPr>
          <w:noProof/>
        </w:rPr>
        <w:t>Katra Puse izstrādā un regulāri atjaunina plānus, kuros iztirzāts, kā novērst apzinātos riskus, kas ietekmē elektroenerģijas vai dabasgāzes piegādes drošību. Šādos plānos ietver pasākumus, kas vajadzīgi, lai novērstu vai mazinātu visu saskaņā ar 1. punkt</w:t>
      </w:r>
      <w:r>
        <w:rPr>
          <w:noProof/>
        </w:rPr>
        <w:t xml:space="preserve">u apzināto risku iespējamību un ietekmi, un pasākumus, kas vajadzīgi, lai sagatavotos elektroenerģijas vai dabasgāzes krīzei un mazinātu tās ietekmi. </w:t>
      </w:r>
    </w:p>
    <w:p w:rsidR="003E022D" w:rsidRDefault="007D19D6">
      <w:pPr>
        <w:numPr>
          <w:ilvl w:val="0"/>
          <w:numId w:val="485"/>
        </w:numPr>
        <w:spacing w:line="276" w:lineRule="auto"/>
        <w:ind w:hanging="720"/>
        <w:rPr>
          <w:rFonts w:eastAsia="Times New Roman" w:cs="Calibri"/>
          <w:noProof/>
        </w:rPr>
      </w:pPr>
      <w:r>
        <w:rPr>
          <w:noProof/>
        </w:rPr>
        <w:t>Šā panta 2. punktā minētajos plānos ietvertie pasākumi:</w:t>
      </w:r>
    </w:p>
    <w:p w:rsidR="003E022D" w:rsidRDefault="007D19D6">
      <w:pPr>
        <w:numPr>
          <w:ilvl w:val="0"/>
          <w:numId w:val="252"/>
        </w:numPr>
        <w:spacing w:line="276" w:lineRule="auto"/>
        <w:ind w:left="567" w:hanging="567"/>
        <w:rPr>
          <w:rFonts w:eastAsia="Times New Roman" w:cs="Calibri"/>
          <w:noProof/>
        </w:rPr>
      </w:pPr>
      <w:r>
        <w:rPr>
          <w:noProof/>
        </w:rPr>
        <w:t>ir skaidri definēti, pārredzami, samērīgi, nedisk</w:t>
      </w:r>
      <w:r>
        <w:rPr>
          <w:noProof/>
        </w:rPr>
        <w:t>riminējoši un pārbaudāmi;</w:t>
      </w:r>
    </w:p>
    <w:p w:rsidR="003E022D" w:rsidRDefault="007D19D6">
      <w:pPr>
        <w:numPr>
          <w:ilvl w:val="0"/>
          <w:numId w:val="252"/>
        </w:numPr>
        <w:spacing w:line="276" w:lineRule="auto"/>
        <w:ind w:left="567" w:hanging="567"/>
        <w:rPr>
          <w:rFonts w:eastAsia="Times New Roman" w:cs="Calibri"/>
          <w:noProof/>
        </w:rPr>
      </w:pPr>
      <w:r>
        <w:rPr>
          <w:noProof/>
        </w:rPr>
        <w:t>būtiski nekropļo tirdzniecību starp Pusēm; un</w:t>
      </w:r>
    </w:p>
    <w:p w:rsidR="003E022D" w:rsidRDefault="007D19D6">
      <w:pPr>
        <w:numPr>
          <w:ilvl w:val="0"/>
          <w:numId w:val="252"/>
        </w:numPr>
        <w:spacing w:line="276" w:lineRule="auto"/>
        <w:ind w:left="567" w:hanging="567"/>
        <w:rPr>
          <w:rFonts w:eastAsia="Times New Roman" w:cs="Calibri"/>
          <w:noProof/>
        </w:rPr>
      </w:pPr>
      <w:r>
        <w:rPr>
          <w:noProof/>
        </w:rPr>
        <w:t>neapdraud otras Puses elektroenerģijas vai dabasgāzes piegādes drošību.</w:t>
      </w:r>
    </w:p>
    <w:p w:rsidR="003E022D" w:rsidRDefault="007D19D6">
      <w:pPr>
        <w:spacing w:line="276" w:lineRule="auto"/>
        <w:rPr>
          <w:rFonts w:eastAsia="Times New Roman" w:cs="Calibri"/>
          <w:noProof/>
        </w:rPr>
      </w:pPr>
      <w:r>
        <w:rPr>
          <w:noProof/>
        </w:rPr>
        <w:t>Krīzes gadījumā Puses aktivizē tirgū nebalstītus pasākumus tikai kā galēju līdzekli.</w:t>
      </w:r>
    </w:p>
    <w:p w:rsidR="003E022D" w:rsidRDefault="007D19D6">
      <w:pPr>
        <w:pStyle w:val="Section"/>
        <w:rPr>
          <w:noProof/>
        </w:rPr>
      </w:pPr>
      <w:r>
        <w:rPr>
          <w:noProof/>
        </w:rPr>
        <w:t>4. iedaļa. Tehniskā sadarbī</w:t>
      </w:r>
      <w:r>
        <w:rPr>
          <w:noProof/>
        </w:rPr>
        <w:t>ba</w:t>
      </w:r>
    </w:p>
    <w:p w:rsidR="003E022D" w:rsidRDefault="007D19D6">
      <w:pPr>
        <w:pStyle w:val="Article"/>
        <w:rPr>
          <w:noProof/>
        </w:rPr>
      </w:pPr>
      <w:r>
        <w:rPr>
          <w:noProof/>
        </w:rPr>
        <w:t>ENER.19. pants. Pārvades sistēmu operatoru sadarbība</w:t>
      </w:r>
    </w:p>
    <w:p w:rsidR="003E022D" w:rsidRDefault="007D19D6">
      <w:pPr>
        <w:numPr>
          <w:ilvl w:val="0"/>
          <w:numId w:val="479"/>
        </w:numPr>
        <w:spacing w:line="276" w:lineRule="auto"/>
        <w:ind w:left="0" w:firstLine="0"/>
        <w:rPr>
          <w:rFonts w:eastAsia="Times New Roman" w:cs="Calibri"/>
          <w:noProof/>
        </w:rPr>
      </w:pPr>
      <w:r>
        <w:rPr>
          <w:noProof/>
        </w:rPr>
        <w:t>Katra Puse nodrošina, ka pārvades sistēmu operatori izstrādā efektīvu un iekļaujošu darba kārtību, kas nepieciešama, lai atbalstītu plānošanas un darbības uzdevumus, kuri saistīti ar šīs sadaļas mērķu</w:t>
      </w:r>
      <w:r>
        <w:rPr>
          <w:noProof/>
        </w:rPr>
        <w:t xml:space="preserve"> sasniegšanu, tostarp, ja to iesaka Specializētā enerģētikas komiteja, tehnisko procedūru sagatavošanu, lai efektīvi īstenotu noteikumus, kas ietverti:</w:t>
      </w:r>
    </w:p>
    <w:p w:rsidR="003E022D" w:rsidRDefault="007D19D6">
      <w:pPr>
        <w:numPr>
          <w:ilvl w:val="0"/>
          <w:numId w:val="253"/>
        </w:numPr>
        <w:spacing w:line="276" w:lineRule="auto"/>
        <w:ind w:left="567" w:hanging="567"/>
        <w:rPr>
          <w:rFonts w:eastAsia="Times New Roman" w:cs="Calibri"/>
          <w:noProof/>
        </w:rPr>
      </w:pPr>
      <w:r>
        <w:rPr>
          <w:noProof/>
        </w:rPr>
        <w:t>ENER.13. pantā [Elektroenerģijas starpsavienotāju efektīva izmantošana];</w:t>
      </w:r>
    </w:p>
    <w:p w:rsidR="003E022D" w:rsidRDefault="007D19D6">
      <w:pPr>
        <w:numPr>
          <w:ilvl w:val="0"/>
          <w:numId w:val="253"/>
        </w:numPr>
        <w:spacing w:line="276" w:lineRule="auto"/>
        <w:ind w:left="567" w:hanging="567"/>
        <w:rPr>
          <w:rFonts w:eastAsia="Times New Roman" w:cs="Calibri"/>
          <w:noProof/>
        </w:rPr>
      </w:pPr>
      <w:r>
        <w:rPr>
          <w:noProof/>
        </w:rPr>
        <w:t>ENER.14. pantā [Elektroenerģija</w:t>
      </w:r>
      <w:r>
        <w:rPr>
          <w:noProof/>
        </w:rPr>
        <w:t>s tirdzniecības kārtība visos laikposmos];</w:t>
      </w:r>
    </w:p>
    <w:p w:rsidR="003E022D" w:rsidRDefault="007D19D6">
      <w:pPr>
        <w:numPr>
          <w:ilvl w:val="0"/>
          <w:numId w:val="253"/>
        </w:numPr>
        <w:spacing w:line="276" w:lineRule="auto"/>
        <w:ind w:left="567" w:hanging="567"/>
        <w:rPr>
          <w:rFonts w:eastAsia="Times New Roman" w:cs="Calibri"/>
          <w:noProof/>
        </w:rPr>
      </w:pPr>
      <w:r>
        <w:rPr>
          <w:noProof/>
        </w:rPr>
        <w:t>ENER.15. pantā [Gāzes starpsavienotāju efektīva izmantošana];</w:t>
      </w:r>
    </w:p>
    <w:p w:rsidR="003E022D" w:rsidRDefault="007D19D6">
      <w:pPr>
        <w:numPr>
          <w:ilvl w:val="0"/>
          <w:numId w:val="253"/>
        </w:numPr>
        <w:spacing w:line="276" w:lineRule="auto"/>
        <w:ind w:left="567" w:hanging="567"/>
        <w:rPr>
          <w:rFonts w:eastAsia="Times New Roman" w:cs="Calibri"/>
          <w:noProof/>
        </w:rPr>
      </w:pPr>
      <w:r>
        <w:rPr>
          <w:noProof/>
        </w:rPr>
        <w:t>ENER.16. pantā [Tīkla attīstība]; un</w:t>
      </w:r>
    </w:p>
    <w:p w:rsidR="003E022D" w:rsidRDefault="007D19D6">
      <w:pPr>
        <w:numPr>
          <w:ilvl w:val="0"/>
          <w:numId w:val="253"/>
        </w:numPr>
        <w:spacing w:line="276" w:lineRule="auto"/>
        <w:ind w:left="567" w:hanging="567"/>
        <w:rPr>
          <w:rFonts w:eastAsia="Times New Roman" w:cs="Calibri"/>
          <w:noProof/>
        </w:rPr>
      </w:pPr>
      <w:r>
        <w:rPr>
          <w:noProof/>
        </w:rPr>
        <w:t>ENER.17. pants. [Sadarbība piegādes drošības jomā]</w:t>
      </w:r>
    </w:p>
    <w:p w:rsidR="003E022D" w:rsidRDefault="007D19D6">
      <w:pPr>
        <w:spacing w:line="276" w:lineRule="auto"/>
        <w:rPr>
          <w:rFonts w:eastAsia="Times New Roman" w:cs="Calibri"/>
          <w:noProof/>
        </w:rPr>
      </w:pPr>
      <w:r>
        <w:rPr>
          <w:noProof/>
        </w:rPr>
        <w:t xml:space="preserve">Darba kārtība, kas minēta pirmajā daļā, ietver satvarus </w:t>
      </w:r>
      <w:r>
        <w:rPr>
          <w:noProof/>
        </w:rPr>
        <w:t>sadarbībai starp elektroenerģijas pārvades sistēmu operatoru Eiropas tīklu, kas izveidots saskaņā ar Regulu (ES) 2019/943 (“ENTSO-E”), un gāzes pārvades sistēmu operatoru Eiropas tīklu, kas izveidots saskaņā ar Eiropas Parlamenta un Padomes Regulu (EK) Nr.</w:t>
      </w:r>
      <w:r>
        <w:rPr>
          <w:noProof/>
        </w:rPr>
        <w:t> 715/2009</w:t>
      </w:r>
      <w:r>
        <w:rPr>
          <w:rFonts w:cs="Calibri"/>
          <w:noProof/>
          <w:vertAlign w:val="superscript"/>
        </w:rPr>
        <w:footnoteReference w:id="46"/>
      </w:r>
      <w:r>
        <w:rPr>
          <w:noProof/>
        </w:rPr>
        <w:t xml:space="preserve"> (“ENTSO-G”), no vienas puses, un elektroenerģijas un gāzes pārvades sistēmu operatoriem Apvienotajā Karalistē, no otras puses. Šajos satvaros aptver vismaz šādas jomas:</w:t>
      </w:r>
    </w:p>
    <w:p w:rsidR="003E022D" w:rsidRDefault="007D19D6">
      <w:pPr>
        <w:numPr>
          <w:ilvl w:val="0"/>
          <w:numId w:val="254"/>
        </w:numPr>
        <w:spacing w:line="276" w:lineRule="auto"/>
        <w:ind w:left="567" w:hanging="567"/>
        <w:rPr>
          <w:rFonts w:eastAsia="Times New Roman" w:cs="Calibri"/>
          <w:noProof/>
        </w:rPr>
      </w:pPr>
      <w:r>
        <w:rPr>
          <w:noProof/>
        </w:rPr>
        <w:t>elektroenerģijas un gāzes tirgus;</w:t>
      </w:r>
    </w:p>
    <w:p w:rsidR="003E022D" w:rsidRDefault="007D19D6">
      <w:pPr>
        <w:numPr>
          <w:ilvl w:val="0"/>
          <w:numId w:val="254"/>
        </w:numPr>
        <w:spacing w:line="276" w:lineRule="auto"/>
        <w:ind w:left="567" w:hanging="567"/>
        <w:rPr>
          <w:rFonts w:eastAsia="Times New Roman" w:cs="Calibri"/>
          <w:noProof/>
        </w:rPr>
      </w:pPr>
      <w:r>
        <w:rPr>
          <w:noProof/>
        </w:rPr>
        <w:t>piekļuvi tīkliem;</w:t>
      </w:r>
    </w:p>
    <w:p w:rsidR="003E022D" w:rsidRDefault="007D19D6">
      <w:pPr>
        <w:numPr>
          <w:ilvl w:val="0"/>
          <w:numId w:val="254"/>
        </w:numPr>
        <w:spacing w:line="276" w:lineRule="auto"/>
        <w:ind w:left="567" w:hanging="567"/>
        <w:rPr>
          <w:rFonts w:eastAsia="Times New Roman" w:cs="Calibri"/>
          <w:noProof/>
        </w:rPr>
      </w:pPr>
      <w:r>
        <w:rPr>
          <w:noProof/>
        </w:rPr>
        <w:t>elektroenerģijas un gāze</w:t>
      </w:r>
      <w:r>
        <w:rPr>
          <w:noProof/>
        </w:rPr>
        <w:t>s piegādes drošību;</w:t>
      </w:r>
    </w:p>
    <w:p w:rsidR="003E022D" w:rsidRDefault="007D19D6">
      <w:pPr>
        <w:numPr>
          <w:ilvl w:val="0"/>
          <w:numId w:val="254"/>
        </w:numPr>
        <w:spacing w:line="276" w:lineRule="auto"/>
        <w:ind w:left="567" w:hanging="567"/>
        <w:rPr>
          <w:rFonts w:eastAsia="Times New Roman" w:cs="Calibri"/>
          <w:noProof/>
        </w:rPr>
      </w:pPr>
      <w:r>
        <w:rPr>
          <w:noProof/>
        </w:rPr>
        <w:t>atkrastes energoresursu enerģiju;</w:t>
      </w:r>
    </w:p>
    <w:p w:rsidR="003E022D" w:rsidRDefault="007D19D6">
      <w:pPr>
        <w:numPr>
          <w:ilvl w:val="0"/>
          <w:numId w:val="254"/>
        </w:numPr>
        <w:spacing w:line="276" w:lineRule="auto"/>
        <w:ind w:left="567" w:hanging="567"/>
        <w:rPr>
          <w:rFonts w:eastAsia="Times New Roman" w:cs="Calibri"/>
          <w:noProof/>
        </w:rPr>
      </w:pPr>
      <w:r>
        <w:rPr>
          <w:noProof/>
        </w:rPr>
        <w:t>infrastruktūras plānošanu;</w:t>
      </w:r>
    </w:p>
    <w:p w:rsidR="003E022D" w:rsidRDefault="007D19D6">
      <w:pPr>
        <w:numPr>
          <w:ilvl w:val="0"/>
          <w:numId w:val="254"/>
        </w:numPr>
        <w:spacing w:line="276" w:lineRule="auto"/>
        <w:ind w:left="567" w:hanging="567"/>
        <w:rPr>
          <w:rFonts w:eastAsia="Times New Roman" w:cs="Calibri"/>
          <w:noProof/>
        </w:rPr>
      </w:pPr>
      <w:r>
        <w:rPr>
          <w:noProof/>
        </w:rPr>
        <w:t>elektroenerģijas un gāzes starpsavienotāju efektīvu izmantošanu; un</w:t>
      </w:r>
    </w:p>
    <w:p w:rsidR="003E022D" w:rsidRDefault="007D19D6">
      <w:pPr>
        <w:numPr>
          <w:ilvl w:val="0"/>
          <w:numId w:val="254"/>
        </w:numPr>
        <w:spacing w:line="276" w:lineRule="auto"/>
        <w:ind w:left="567" w:hanging="567"/>
        <w:rPr>
          <w:rFonts w:eastAsia="Times New Roman" w:cs="Calibri"/>
          <w:noProof/>
        </w:rPr>
      </w:pPr>
      <w:r>
        <w:rPr>
          <w:noProof/>
        </w:rPr>
        <w:t>gāzes sektora dekarbonizāciju un gāzes kvalitāti.</w:t>
      </w:r>
    </w:p>
    <w:p w:rsidR="003E022D" w:rsidRDefault="007D19D6">
      <w:pPr>
        <w:spacing w:line="276" w:lineRule="auto"/>
        <w:rPr>
          <w:rFonts w:eastAsia="Times New Roman" w:cs="Calibri"/>
          <w:noProof/>
        </w:rPr>
      </w:pPr>
      <w:r>
        <w:rPr>
          <w:noProof/>
        </w:rPr>
        <w:t>Specializētā enerģētikas komiteja, cik drīz vien praktisk</w:t>
      </w:r>
      <w:r>
        <w:rPr>
          <w:noProof/>
        </w:rPr>
        <w:t>i iespējams, vienojas par izplatīšanai pārvades sistēmu operatoriem paredzētajām vadlīnijām, kas attiecas uz darba kārtību un satvariem sadarbībai.</w:t>
      </w:r>
    </w:p>
    <w:p w:rsidR="003E022D" w:rsidRDefault="007D19D6">
      <w:pPr>
        <w:spacing w:line="276" w:lineRule="auto"/>
        <w:rPr>
          <w:rFonts w:eastAsia="Times New Roman" w:cs="Calibri"/>
          <w:noProof/>
        </w:rPr>
      </w:pPr>
      <w:r>
        <w:rPr>
          <w:noProof/>
        </w:rPr>
        <w:t>Šā panta otrajā daļā minētie satvari sadarbībai neietver Apvienotās Karalistes pārvades sistēmu operatoru da</w:t>
      </w:r>
      <w:r>
        <w:rPr>
          <w:noProof/>
        </w:rPr>
        <w:t xml:space="preserve">lību </w:t>
      </w:r>
      <w:r>
        <w:rPr>
          <w:i/>
          <w:iCs/>
          <w:noProof/>
        </w:rPr>
        <w:t>ENTSO-E</w:t>
      </w:r>
      <w:r>
        <w:rPr>
          <w:noProof/>
        </w:rPr>
        <w:t xml:space="preserve"> vai </w:t>
      </w:r>
      <w:r>
        <w:rPr>
          <w:i/>
          <w:iCs/>
          <w:noProof/>
        </w:rPr>
        <w:t>ENTSO-G</w:t>
      </w:r>
      <w:r>
        <w:rPr>
          <w:noProof/>
        </w:rPr>
        <w:t xml:space="preserve"> un nepiešķir tiem dalībai līdzvērtīgu statusu.</w:t>
      </w:r>
    </w:p>
    <w:p w:rsidR="003E022D" w:rsidRDefault="007D19D6">
      <w:pPr>
        <w:numPr>
          <w:ilvl w:val="0"/>
          <w:numId w:val="479"/>
        </w:numPr>
        <w:spacing w:line="276" w:lineRule="auto"/>
        <w:ind w:left="0" w:firstLine="0"/>
        <w:rPr>
          <w:rFonts w:eastAsia="Times New Roman" w:cs="Calibri"/>
          <w:noProof/>
        </w:rPr>
      </w:pPr>
      <w:r>
        <w:rPr>
          <w:noProof/>
        </w:rPr>
        <w:t xml:space="preserve">Specializētā enerģētikas komiteja var ieteikt katrai Pusei pieprasīt saviem pārvades sistēmu operatoriem sagatavot tehniskās procedūras, kas minētas 1. punkta pirmajā daļā. </w:t>
      </w:r>
    </w:p>
    <w:p w:rsidR="003E022D" w:rsidRDefault="007D19D6">
      <w:pPr>
        <w:numPr>
          <w:ilvl w:val="0"/>
          <w:numId w:val="479"/>
        </w:numPr>
        <w:spacing w:line="276" w:lineRule="auto"/>
        <w:ind w:left="0" w:firstLine="0"/>
        <w:rPr>
          <w:rFonts w:eastAsia="Times New Roman" w:cs="Calibri"/>
          <w:noProof/>
        </w:rPr>
      </w:pPr>
      <w:r>
        <w:rPr>
          <w:noProof/>
        </w:rPr>
        <w:t>Katra Puse</w:t>
      </w:r>
      <w:r>
        <w:rPr>
          <w:noProof/>
        </w:rPr>
        <w:t xml:space="preserve"> nodrošina, ka tās attiecīgie pārvades sistēmu operatori lūdz Energoregulatoru sadarbības aģentūras un Apvienotās Karalistes regulatīvās iestādes, kas izraudzīta saskaņā ar ENER.12. pantu [Neatkarīga regulatīvā iestāde], atzinumus par tehniskajām procedūrā</w:t>
      </w:r>
      <w:r>
        <w:rPr>
          <w:noProof/>
        </w:rPr>
        <w:t>m attiecīgi domstarpību gadījumā un jebkurā gadījumā pirms minēto tehnisko procedūru pabeigšanas. Pušu attiecīgie pārvades sistēmu operatori šos atzinumus kopā ar tehnisko procedūru projektu iesniedz Specializētajai enerģētikas komitejai.</w:t>
      </w:r>
    </w:p>
    <w:p w:rsidR="003E022D" w:rsidRDefault="007D19D6">
      <w:pPr>
        <w:numPr>
          <w:ilvl w:val="0"/>
          <w:numId w:val="479"/>
        </w:numPr>
        <w:spacing w:line="276" w:lineRule="auto"/>
        <w:ind w:left="0" w:firstLine="0"/>
        <w:rPr>
          <w:rFonts w:eastAsia="Times New Roman" w:cs="Calibri"/>
          <w:noProof/>
        </w:rPr>
      </w:pPr>
      <w:r>
        <w:rPr>
          <w:noProof/>
        </w:rPr>
        <w:t>Specializētā ener</w:t>
      </w:r>
      <w:r>
        <w:rPr>
          <w:noProof/>
        </w:rPr>
        <w:t>ģētikas komiteja izskata tehnisko procedūru projektu un var ieteikt Pusēm īstenot šādas procedūras savā attiecīgajā iekšzemes kārtībā, pienācīgi ņemot vērā atzinumus, ko sniegušas Energoregulatoru sadarbības aģentūra un Apvienotās Karalistes regulatīvā ies</w:t>
      </w:r>
      <w:r>
        <w:rPr>
          <w:noProof/>
        </w:rPr>
        <w:t>tāde, kas izraudzīta saskaņā ar ENER.12. pantu [Neatkarīga regulatīvā iestāde]. Specializētā enerģētikas komiteja uzrauga šādu tehnisko procedūru efektīvu darbību un var ieteikt tās atjaunināt.</w:t>
      </w:r>
    </w:p>
    <w:p w:rsidR="003E022D" w:rsidRDefault="007D19D6">
      <w:pPr>
        <w:pStyle w:val="Article"/>
        <w:rPr>
          <w:noProof/>
        </w:rPr>
      </w:pPr>
      <w:r>
        <w:rPr>
          <w:noProof/>
        </w:rPr>
        <w:t>ENER.20. pants. Sadarbība starp regulatīvajām iestādēm</w:t>
      </w:r>
    </w:p>
    <w:p w:rsidR="003E022D" w:rsidRDefault="007D19D6">
      <w:pPr>
        <w:spacing w:line="276" w:lineRule="auto"/>
        <w:rPr>
          <w:rFonts w:eastAsia="Times New Roman" w:cs="Calibri"/>
          <w:noProof/>
        </w:rPr>
      </w:pPr>
      <w:r>
        <w:rPr>
          <w:noProof/>
        </w:rPr>
        <w:t>1.</w:t>
      </w:r>
      <w:r>
        <w:rPr>
          <w:noProof/>
        </w:rPr>
        <w:tab/>
        <w:t>Puse</w:t>
      </w:r>
      <w:r>
        <w:rPr>
          <w:noProof/>
        </w:rPr>
        <w:t>s nodrošina, ka Energoregulatoru sadarbības aģentūra un Apvienotās Karalistes regulatīvā iestāde, kas izraudzīta saskaņā ar ENER.12. pantu [Neatkarīga regulatīvā iestāde], iespējami drīz iedibina kontaktus un pieņem administratīvu kārtību šā nolīguma mērķu</w:t>
      </w:r>
      <w:r>
        <w:rPr>
          <w:noProof/>
        </w:rPr>
        <w:t xml:space="preserve"> sasniegšanas veicināšanai. Kontakti un administratīva kārtība aptver vismaz šādas jomas:</w:t>
      </w:r>
    </w:p>
    <w:p w:rsidR="003E022D" w:rsidRDefault="007D19D6">
      <w:pPr>
        <w:numPr>
          <w:ilvl w:val="0"/>
          <w:numId w:val="255"/>
        </w:numPr>
        <w:spacing w:line="276" w:lineRule="auto"/>
        <w:ind w:left="567" w:hanging="567"/>
        <w:rPr>
          <w:rFonts w:eastAsia="Times New Roman" w:cs="Calibri"/>
          <w:noProof/>
        </w:rPr>
      </w:pPr>
      <w:r>
        <w:rPr>
          <w:noProof/>
        </w:rPr>
        <w:t>elektroenerģijas un gāzes tirgus;</w:t>
      </w:r>
    </w:p>
    <w:p w:rsidR="003E022D" w:rsidRDefault="007D19D6">
      <w:pPr>
        <w:numPr>
          <w:ilvl w:val="0"/>
          <w:numId w:val="255"/>
        </w:numPr>
        <w:spacing w:line="276" w:lineRule="auto"/>
        <w:ind w:left="567" w:hanging="567"/>
        <w:rPr>
          <w:rFonts w:eastAsia="Times New Roman" w:cs="Calibri"/>
          <w:noProof/>
        </w:rPr>
      </w:pPr>
      <w:r>
        <w:rPr>
          <w:noProof/>
        </w:rPr>
        <w:t>piekļuvi tīkliem;</w:t>
      </w:r>
    </w:p>
    <w:p w:rsidR="003E022D" w:rsidRDefault="007D19D6">
      <w:pPr>
        <w:numPr>
          <w:ilvl w:val="0"/>
          <w:numId w:val="255"/>
        </w:numPr>
        <w:spacing w:line="276" w:lineRule="auto"/>
        <w:ind w:left="567" w:hanging="567"/>
        <w:rPr>
          <w:rFonts w:eastAsia="Times New Roman" w:cs="Calibri"/>
          <w:noProof/>
        </w:rPr>
      </w:pPr>
      <w:r>
        <w:rPr>
          <w:noProof/>
        </w:rPr>
        <w:t>tirgus ļaunprātīgas izmantošanas novēršanu elektroenerģijas un gāzes vairumtirgos;</w:t>
      </w:r>
    </w:p>
    <w:p w:rsidR="003E022D" w:rsidRDefault="007D19D6">
      <w:pPr>
        <w:numPr>
          <w:ilvl w:val="0"/>
          <w:numId w:val="255"/>
        </w:numPr>
        <w:spacing w:line="276" w:lineRule="auto"/>
        <w:ind w:left="567" w:hanging="567"/>
        <w:rPr>
          <w:rFonts w:eastAsia="Times New Roman" w:cs="Calibri"/>
          <w:noProof/>
        </w:rPr>
      </w:pPr>
      <w:r>
        <w:rPr>
          <w:noProof/>
        </w:rPr>
        <w:t xml:space="preserve">elektroenerģijas un gāzes </w:t>
      </w:r>
      <w:r>
        <w:rPr>
          <w:noProof/>
        </w:rPr>
        <w:t>piegādes drošību;</w:t>
      </w:r>
    </w:p>
    <w:p w:rsidR="003E022D" w:rsidRDefault="007D19D6">
      <w:pPr>
        <w:numPr>
          <w:ilvl w:val="0"/>
          <w:numId w:val="255"/>
        </w:numPr>
        <w:spacing w:line="276" w:lineRule="auto"/>
        <w:ind w:left="567" w:hanging="567"/>
        <w:rPr>
          <w:rFonts w:eastAsia="Times New Roman" w:cs="Calibri"/>
          <w:noProof/>
        </w:rPr>
      </w:pPr>
      <w:r>
        <w:rPr>
          <w:noProof/>
        </w:rPr>
        <w:t>infrastruktūras plānošanu;</w:t>
      </w:r>
    </w:p>
    <w:p w:rsidR="003E022D" w:rsidRDefault="007D19D6">
      <w:pPr>
        <w:numPr>
          <w:ilvl w:val="0"/>
          <w:numId w:val="255"/>
        </w:numPr>
        <w:spacing w:line="276" w:lineRule="auto"/>
        <w:ind w:left="567" w:hanging="567"/>
        <w:rPr>
          <w:rFonts w:eastAsia="Times New Roman" w:cs="Calibri"/>
          <w:noProof/>
        </w:rPr>
      </w:pPr>
      <w:r>
        <w:rPr>
          <w:noProof/>
        </w:rPr>
        <w:t>atkrastes energoresursu enerģiju;</w:t>
      </w:r>
    </w:p>
    <w:p w:rsidR="003E022D" w:rsidRDefault="007D19D6">
      <w:pPr>
        <w:numPr>
          <w:ilvl w:val="0"/>
          <w:numId w:val="255"/>
        </w:numPr>
        <w:spacing w:line="276" w:lineRule="auto"/>
        <w:ind w:left="567" w:hanging="567"/>
        <w:rPr>
          <w:rFonts w:eastAsia="Times New Roman" w:cs="Calibri"/>
          <w:noProof/>
        </w:rPr>
      </w:pPr>
      <w:r>
        <w:rPr>
          <w:noProof/>
        </w:rPr>
        <w:t>elektroenerģijas un gāzes starpsavienotāju efektīvu izmantošanu;</w:t>
      </w:r>
    </w:p>
    <w:p w:rsidR="003E022D" w:rsidRDefault="007D19D6">
      <w:pPr>
        <w:numPr>
          <w:ilvl w:val="0"/>
          <w:numId w:val="255"/>
        </w:numPr>
        <w:spacing w:line="276" w:lineRule="auto"/>
        <w:ind w:left="567" w:hanging="567"/>
        <w:rPr>
          <w:rFonts w:eastAsia="Times New Roman" w:cs="Calibri"/>
          <w:noProof/>
        </w:rPr>
      </w:pPr>
      <w:r>
        <w:rPr>
          <w:noProof/>
        </w:rPr>
        <w:t>pārvades sistēmu operatoru sadarbību; un</w:t>
      </w:r>
    </w:p>
    <w:p w:rsidR="003E022D" w:rsidRDefault="007D19D6">
      <w:pPr>
        <w:numPr>
          <w:ilvl w:val="0"/>
          <w:numId w:val="255"/>
        </w:numPr>
        <w:spacing w:line="276" w:lineRule="auto"/>
        <w:ind w:left="567" w:hanging="567"/>
        <w:rPr>
          <w:rFonts w:eastAsia="Times New Roman" w:cs="Calibri"/>
          <w:noProof/>
        </w:rPr>
      </w:pPr>
      <w:r>
        <w:rPr>
          <w:noProof/>
        </w:rPr>
        <w:t>gāzes sektora dekarbonizāciju un gāzes kvalitāti.</w:t>
      </w:r>
    </w:p>
    <w:p w:rsidR="003E022D" w:rsidRDefault="007D19D6">
      <w:pPr>
        <w:rPr>
          <w:rFonts w:eastAsia="Times New Roman" w:cs="Calibri"/>
          <w:noProof/>
        </w:rPr>
      </w:pPr>
      <w:r>
        <w:rPr>
          <w:noProof/>
        </w:rPr>
        <w:t>Specializētā enerģēti</w:t>
      </w:r>
      <w:r>
        <w:rPr>
          <w:noProof/>
        </w:rPr>
        <w:t>kas komiteja, cik drīz vien praktiski iespējams, vienojas par izplatīšanai regulatīvajām iestādēm paredzētajām vadlīnijām, kuras attiecas uz administratīvu kārtību šādai sadarbībai.</w:t>
      </w:r>
    </w:p>
    <w:p w:rsidR="003E022D" w:rsidRDefault="007D19D6">
      <w:pPr>
        <w:rPr>
          <w:rFonts w:eastAsia="Times New Roman" w:cs="Calibri"/>
          <w:noProof/>
        </w:rPr>
      </w:pPr>
      <w:r>
        <w:rPr>
          <w:noProof/>
        </w:rPr>
        <w:t>2.</w:t>
      </w:r>
      <w:r>
        <w:rPr>
          <w:noProof/>
        </w:rPr>
        <w:tab/>
        <w:t>Šā panta 1. punktā minētā administratīvā kārtība neietver saskaņā ar EN</w:t>
      </w:r>
      <w:r>
        <w:rPr>
          <w:noProof/>
        </w:rPr>
        <w:t>ER.12. pantu [Neatkarīga regulatīvā iestāde] izraudzītas Apvienotās Karalistes regulatīvās iestādes dalību Energoregulatoru sadarbības aģentūrā un nepiešķir tai šādai dalībai līdzvērtīgu statusu.</w:t>
      </w:r>
    </w:p>
    <w:p w:rsidR="003E022D" w:rsidRDefault="007D19D6">
      <w:pPr>
        <w:pStyle w:val="Chapter"/>
        <w:rPr>
          <w:rFonts w:cstheme="minorBidi"/>
          <w:noProof/>
        </w:rPr>
      </w:pPr>
      <w:r>
        <w:rPr>
          <w:noProof/>
        </w:rPr>
        <w:t>3. nodaļa. Droša un ilgtspējīga enerģija</w:t>
      </w:r>
    </w:p>
    <w:p w:rsidR="003E022D" w:rsidRDefault="007D19D6">
      <w:pPr>
        <w:pStyle w:val="Article"/>
        <w:rPr>
          <w:noProof/>
        </w:rPr>
      </w:pPr>
      <w:r>
        <w:rPr>
          <w:noProof/>
        </w:rPr>
        <w:t>ENER.21. pants. Atj</w:t>
      </w:r>
      <w:r>
        <w:rPr>
          <w:noProof/>
        </w:rPr>
        <w:t xml:space="preserve">aunojamo energoresursu enerģija un energoefektivitāte </w:t>
      </w:r>
    </w:p>
    <w:p w:rsidR="003E022D" w:rsidRDefault="007D19D6">
      <w:pPr>
        <w:numPr>
          <w:ilvl w:val="0"/>
          <w:numId w:val="480"/>
        </w:numPr>
        <w:spacing w:line="276" w:lineRule="auto"/>
        <w:ind w:left="0" w:firstLine="0"/>
        <w:rPr>
          <w:rFonts w:eastAsia="Times New Roman" w:cs="Calibri"/>
          <w:noProof/>
        </w:rPr>
      </w:pPr>
      <w:r>
        <w:rPr>
          <w:noProof/>
        </w:rPr>
        <w:t>Katra Puse veicina energoefektivitāti un atjaunojamo energoresursu enerģijas izmantošanu.</w:t>
      </w:r>
    </w:p>
    <w:p w:rsidR="003E022D" w:rsidRDefault="007D19D6">
      <w:pPr>
        <w:spacing w:line="276" w:lineRule="auto"/>
        <w:rPr>
          <w:rFonts w:cs="Calibri"/>
          <w:bCs/>
          <w:noProof/>
        </w:rPr>
      </w:pPr>
      <w:r>
        <w:rPr>
          <w:noProof/>
        </w:rPr>
        <w:t xml:space="preserve">Katra Puse nodrošina, ka tās noteikumi, ko piemēro licencēšanai vai līdzvērtīgiem pasākumiem, kuri piemērojami </w:t>
      </w:r>
      <w:r>
        <w:rPr>
          <w:noProof/>
        </w:rPr>
        <w:t xml:space="preserve">atjaunojamo energoresursu enerģijai, ir nepieciešami un samērīgi. </w:t>
      </w:r>
    </w:p>
    <w:p w:rsidR="003E022D" w:rsidRDefault="007D19D6">
      <w:pPr>
        <w:numPr>
          <w:ilvl w:val="0"/>
          <w:numId w:val="480"/>
        </w:numPr>
        <w:spacing w:line="276" w:lineRule="auto"/>
        <w:ind w:left="0" w:firstLine="0"/>
        <w:rPr>
          <w:rFonts w:eastAsia="Times New Roman" w:cs="Calibri"/>
          <w:noProof/>
        </w:rPr>
      </w:pPr>
      <w:r>
        <w:rPr>
          <w:noProof/>
        </w:rPr>
        <w:t>Savienība atkārtoti apstiprina mērķrādītāju attiecībā uz atjaunojamo energoresursu enerģijas īpatsvaru bruto galapatēriņā 2030. gadā, kā izklāstīts Eiropas Parlamenta un Padomes Direktīvā (</w:t>
      </w:r>
      <w:r>
        <w:rPr>
          <w:noProof/>
        </w:rPr>
        <w:t>ES) 2018/2001</w:t>
      </w:r>
      <w:r>
        <w:rPr>
          <w:rFonts w:cs="Calibri"/>
          <w:noProof/>
          <w:vertAlign w:val="superscript"/>
        </w:rPr>
        <w:footnoteReference w:id="47"/>
      </w:r>
      <w:r>
        <w:rPr>
          <w:noProof/>
        </w:rPr>
        <w:t>.</w:t>
      </w:r>
    </w:p>
    <w:p w:rsidR="003E022D" w:rsidRDefault="007D19D6">
      <w:pPr>
        <w:rPr>
          <w:rFonts w:eastAsia="Times New Roman" w:cs="Calibri"/>
          <w:noProof/>
        </w:rPr>
      </w:pPr>
      <w:r>
        <w:rPr>
          <w:noProof/>
        </w:rPr>
        <w:t>Savienība atkārtoti apstiprina savus energoefektivitātes mērķrādītājus 2030. gadam, kā izklāstīts Eiropas Parlamenta un Padomes Direktīvā 2012/27/ES</w:t>
      </w:r>
      <w:r>
        <w:rPr>
          <w:rFonts w:cs="Calibri"/>
          <w:noProof/>
          <w:vertAlign w:val="superscript"/>
        </w:rPr>
        <w:footnoteReference w:id="48"/>
      </w:r>
      <w:r>
        <w:rPr>
          <w:noProof/>
        </w:rPr>
        <w:t>.</w:t>
      </w:r>
    </w:p>
    <w:p w:rsidR="003E022D" w:rsidRDefault="007D19D6">
      <w:pPr>
        <w:numPr>
          <w:ilvl w:val="0"/>
          <w:numId w:val="480"/>
        </w:numPr>
        <w:spacing w:line="276" w:lineRule="auto"/>
        <w:ind w:left="0" w:firstLine="0"/>
        <w:rPr>
          <w:rFonts w:eastAsia="Times New Roman" w:cs="Calibri"/>
          <w:noProof/>
        </w:rPr>
      </w:pPr>
      <w:r>
        <w:rPr>
          <w:noProof/>
        </w:rPr>
        <w:t>Apvienotā Karaliste atkārtoti apstiprina:</w:t>
      </w:r>
    </w:p>
    <w:p w:rsidR="003E022D" w:rsidRDefault="007D19D6">
      <w:pPr>
        <w:numPr>
          <w:ilvl w:val="0"/>
          <w:numId w:val="256"/>
        </w:numPr>
        <w:spacing w:line="276" w:lineRule="auto"/>
        <w:ind w:left="567" w:hanging="567"/>
        <w:rPr>
          <w:rFonts w:eastAsia="Times New Roman" w:cs="Calibri"/>
          <w:noProof/>
        </w:rPr>
      </w:pPr>
      <w:r>
        <w:rPr>
          <w:noProof/>
        </w:rPr>
        <w:t xml:space="preserve">savu vērienīgo ieceri attiecībā uz atjaunojamo </w:t>
      </w:r>
      <w:r>
        <w:rPr>
          <w:noProof/>
        </w:rPr>
        <w:t>energoresursu enerģijas īpatsvaru bruto galapatēriņā 2030. gadā, kā izklāstīts tās nacionālajā enerģētikas un klimata plānā;</w:t>
      </w:r>
    </w:p>
    <w:p w:rsidR="003E022D" w:rsidRDefault="007D19D6">
      <w:pPr>
        <w:numPr>
          <w:ilvl w:val="0"/>
          <w:numId w:val="256"/>
        </w:numPr>
        <w:spacing w:line="276" w:lineRule="auto"/>
        <w:ind w:left="567" w:hanging="567"/>
        <w:rPr>
          <w:rFonts w:eastAsia="Times New Roman" w:cs="Calibri"/>
          <w:noProof/>
        </w:rPr>
      </w:pPr>
      <w:r>
        <w:rPr>
          <w:noProof/>
        </w:rPr>
        <w:t xml:space="preserve">savu vērienīgo ieceri attiecībā uz absolūtu primārās enerģijas patēriņa un enerģijas galapatēriņa līmeni 2030. gadā, kā izklāstīts </w:t>
      </w:r>
      <w:r>
        <w:rPr>
          <w:noProof/>
        </w:rPr>
        <w:t>tās nacionālajā enerģētikas un klimata plānā.</w:t>
      </w:r>
    </w:p>
    <w:p w:rsidR="003E022D" w:rsidRDefault="007D19D6">
      <w:pPr>
        <w:pStyle w:val="ListParagraph"/>
        <w:numPr>
          <w:ilvl w:val="0"/>
          <w:numId w:val="480"/>
        </w:numPr>
        <w:spacing w:line="276" w:lineRule="auto"/>
        <w:ind w:left="0" w:firstLine="0"/>
        <w:rPr>
          <w:rFonts w:eastAsia="Times New Roman" w:cs="Calibri"/>
          <w:noProof/>
        </w:rPr>
      </w:pPr>
      <w:r>
        <w:rPr>
          <w:noProof/>
        </w:rPr>
        <w:t>Puses informē viena otru par 2. un 3. punktā minētajiem jautājumiem.</w:t>
      </w:r>
    </w:p>
    <w:p w:rsidR="003E022D" w:rsidRDefault="007D19D6">
      <w:pPr>
        <w:pStyle w:val="Article"/>
        <w:rPr>
          <w:noProof/>
          <w:color w:val="0070C0"/>
        </w:rPr>
      </w:pPr>
      <w:r>
        <w:rPr>
          <w:noProof/>
        </w:rPr>
        <w:t>ENER.22. pants.</w:t>
      </w:r>
      <w:r>
        <w:rPr>
          <w:noProof/>
          <w:color w:val="0070C0"/>
        </w:rPr>
        <w:t xml:space="preserve"> </w:t>
      </w:r>
      <w:r>
        <w:rPr>
          <w:noProof/>
        </w:rPr>
        <w:t xml:space="preserve">Atbalsts atjaunojamo energoresursu enerģijai </w:t>
      </w:r>
    </w:p>
    <w:p w:rsidR="003E022D" w:rsidRDefault="007D19D6">
      <w:pPr>
        <w:numPr>
          <w:ilvl w:val="0"/>
          <w:numId w:val="481"/>
        </w:numPr>
        <w:spacing w:line="276" w:lineRule="auto"/>
        <w:ind w:left="0" w:firstLine="0"/>
        <w:rPr>
          <w:rFonts w:eastAsia="Times New Roman" w:cs="Calibri"/>
          <w:noProof/>
        </w:rPr>
      </w:pPr>
      <w:r>
        <w:rPr>
          <w:noProof/>
        </w:rPr>
        <w:t xml:space="preserve">Katra Puse nodrošina, ka atbalsts atjaunojamo energoresursu elektroenerģijai </w:t>
      </w:r>
      <w:r>
        <w:rPr>
          <w:noProof/>
        </w:rPr>
        <w:t>veicina atjaunojamo energoresursu elektroenerģijas integrēšanu elektroenerģijas tirgū.</w:t>
      </w:r>
    </w:p>
    <w:p w:rsidR="003E022D" w:rsidRDefault="007D19D6">
      <w:pPr>
        <w:numPr>
          <w:ilvl w:val="0"/>
          <w:numId w:val="481"/>
        </w:numPr>
        <w:spacing w:line="276" w:lineRule="auto"/>
        <w:ind w:left="0" w:firstLine="0"/>
        <w:rPr>
          <w:rFonts w:eastAsia="Times New Roman" w:cs="Calibri"/>
          <w:bCs/>
          <w:iCs/>
          <w:noProof/>
        </w:rPr>
      </w:pPr>
      <w:r>
        <w:rPr>
          <w:noProof/>
        </w:rPr>
        <w:t xml:space="preserve">Biodegvielas, bioloģiskos šķidros kurināmos un biomasu kā atjaunojamo energoresursu enerģiju atbalsta tikai tad, ja šie kurināmie/degvielas atbilst stingriem ilgtspējas </w:t>
      </w:r>
      <w:r>
        <w:rPr>
          <w:noProof/>
        </w:rPr>
        <w:t>un siltumnīcefekta gāzu emisiju aiztaupījuma kritērijiem, uz kuriem attiecināma pārbaude.</w:t>
      </w:r>
    </w:p>
    <w:p w:rsidR="003E022D" w:rsidRDefault="007D19D6">
      <w:pPr>
        <w:numPr>
          <w:ilvl w:val="0"/>
          <w:numId w:val="481"/>
        </w:numPr>
        <w:spacing w:line="276" w:lineRule="auto"/>
        <w:ind w:left="0" w:firstLine="0"/>
        <w:rPr>
          <w:rFonts w:eastAsia="Times New Roman" w:cs="Calibri"/>
          <w:noProof/>
        </w:rPr>
      </w:pPr>
      <w:r>
        <w:rPr>
          <w:noProof/>
        </w:rPr>
        <w:t>Katra Puse skaidri nosaka visas tehniskās specifikācijas, kuras jāievēro attiecībā uz atjaunojamo energoresursu enerģijas aprīkojumu un sistēmām, lai varētu gūt labum</w:t>
      </w:r>
      <w:r>
        <w:rPr>
          <w:noProof/>
        </w:rPr>
        <w:t>u no atbalsta shēmām. Šādās tehniskajās specifikācijās ņem vērā sadarbību, kas izvērsta saskaņā ar ENER.25. pantu [Sadarbība standartu jomā], TBT.4. pantu [Tehniskie noteikumi] un TBT.5. pantu [Standarti].</w:t>
      </w:r>
    </w:p>
    <w:p w:rsidR="003E022D" w:rsidRDefault="007D19D6">
      <w:pPr>
        <w:pStyle w:val="Article"/>
        <w:rPr>
          <w:noProof/>
        </w:rPr>
      </w:pPr>
      <w:r>
        <w:rPr>
          <w:noProof/>
        </w:rPr>
        <w:t xml:space="preserve">ENER.23. pants. Sadarbība atjaunojamo atkrastes </w:t>
      </w:r>
      <w:r>
        <w:rPr>
          <w:noProof/>
        </w:rPr>
        <w:t>energoresursu enerģijas sektora attīstīšanā</w:t>
      </w:r>
    </w:p>
    <w:p w:rsidR="003E022D" w:rsidRDefault="007D19D6">
      <w:pPr>
        <w:numPr>
          <w:ilvl w:val="0"/>
          <w:numId w:val="482"/>
        </w:numPr>
        <w:spacing w:line="276" w:lineRule="auto"/>
        <w:ind w:left="0" w:firstLine="0"/>
        <w:rPr>
          <w:rFonts w:eastAsia="Times New Roman" w:cs="Calibri"/>
          <w:noProof/>
        </w:rPr>
      </w:pPr>
      <w:r>
        <w:rPr>
          <w:noProof/>
        </w:rPr>
        <w:t>Puses sadarbojas atjaunojamo atkrastes energoresursu enerģijas sektora attīstīšanā, apmainoties ar paraugpraksi un attiecīgā gadījumā veicinot konkrētu projektu attīstīšanu.</w:t>
      </w:r>
    </w:p>
    <w:p w:rsidR="003E022D" w:rsidRDefault="007D19D6">
      <w:pPr>
        <w:numPr>
          <w:ilvl w:val="0"/>
          <w:numId w:val="482"/>
        </w:numPr>
        <w:spacing w:line="276" w:lineRule="auto"/>
        <w:ind w:left="0" w:firstLine="0"/>
        <w:rPr>
          <w:rFonts w:eastAsia="Times New Roman" w:cs="Calibri"/>
          <w:noProof/>
        </w:rPr>
      </w:pPr>
      <w:r>
        <w:rPr>
          <w:noProof/>
        </w:rPr>
        <w:t>Par pamatu izmantojot Ziemeļu jūru ene</w:t>
      </w:r>
      <w:r>
        <w:rPr>
          <w:noProof/>
        </w:rPr>
        <w:t>rģētiskās sadarbības satvaru, Puses rada apstākļus īpaša foruma izveidei tehniskām diskusijām starp Eiropas Komisiju, dalībvalstu ministrijām un publiskajām iestādēm, Apvienotās Karalistes ministrijām un publiskajām iestādēm, pārvades sistēmu operatoriem u</w:t>
      </w:r>
      <w:r>
        <w:rPr>
          <w:noProof/>
        </w:rPr>
        <w:t>n atkrastes energoresursu enerģijas nozari un ieinteresētajām personām plašākā mērogā saistībā ar atkrastes tīkla attīstīšanu un ziemeļu jūru reģiona atjaunojamo energoresursu enerģijas lielo potenciālu. Šāda sadarbība ietver vismaz šādas jomas:</w:t>
      </w:r>
    </w:p>
    <w:p w:rsidR="003E022D" w:rsidRDefault="007D19D6">
      <w:pPr>
        <w:numPr>
          <w:ilvl w:val="0"/>
          <w:numId w:val="231"/>
        </w:numPr>
        <w:spacing w:line="276" w:lineRule="auto"/>
        <w:ind w:left="567" w:hanging="567"/>
        <w:rPr>
          <w:rFonts w:eastAsia="Times New Roman" w:cs="Calibri"/>
          <w:noProof/>
        </w:rPr>
      </w:pPr>
      <w:r>
        <w:rPr>
          <w:noProof/>
        </w:rPr>
        <w:t>hibrīdproj</w:t>
      </w:r>
      <w:r>
        <w:rPr>
          <w:noProof/>
        </w:rPr>
        <w:t>ektus un kopīgus projektus;</w:t>
      </w:r>
    </w:p>
    <w:p w:rsidR="003E022D" w:rsidRDefault="007D19D6">
      <w:pPr>
        <w:numPr>
          <w:ilvl w:val="0"/>
          <w:numId w:val="231"/>
        </w:numPr>
        <w:spacing w:line="276" w:lineRule="auto"/>
        <w:ind w:left="567" w:hanging="567"/>
        <w:rPr>
          <w:rFonts w:eastAsia="Times New Roman" w:cs="Calibri"/>
          <w:noProof/>
        </w:rPr>
      </w:pPr>
      <w:r>
        <w:rPr>
          <w:noProof/>
        </w:rPr>
        <w:t>jūras telpisko plānošanu;</w:t>
      </w:r>
    </w:p>
    <w:p w:rsidR="003E022D" w:rsidRDefault="007D19D6">
      <w:pPr>
        <w:numPr>
          <w:ilvl w:val="0"/>
          <w:numId w:val="231"/>
        </w:numPr>
        <w:spacing w:line="276" w:lineRule="auto"/>
        <w:ind w:left="567" w:hanging="567"/>
        <w:rPr>
          <w:rFonts w:eastAsia="Times New Roman" w:cs="Calibri"/>
          <w:noProof/>
        </w:rPr>
      </w:pPr>
      <w:r>
        <w:rPr>
          <w:noProof/>
        </w:rPr>
        <w:t xml:space="preserve">atbalsta satvaru un finansējumu; </w:t>
      </w:r>
    </w:p>
    <w:p w:rsidR="003E022D" w:rsidRDefault="007D19D6">
      <w:pPr>
        <w:numPr>
          <w:ilvl w:val="0"/>
          <w:numId w:val="231"/>
        </w:numPr>
        <w:spacing w:line="276" w:lineRule="auto"/>
        <w:ind w:left="567" w:hanging="567"/>
        <w:rPr>
          <w:rFonts w:eastAsia="Times New Roman" w:cs="Calibri"/>
          <w:noProof/>
        </w:rPr>
      </w:pPr>
      <w:r>
        <w:rPr>
          <w:noProof/>
        </w:rPr>
        <w:t>paraugpraksi attiecībā uz attiecīgo sauszemes un atkrastes tīklu plānošanu;</w:t>
      </w:r>
    </w:p>
    <w:p w:rsidR="003E022D" w:rsidRDefault="007D19D6">
      <w:pPr>
        <w:numPr>
          <w:ilvl w:val="0"/>
          <w:numId w:val="231"/>
        </w:numPr>
        <w:spacing w:line="276" w:lineRule="auto"/>
        <w:ind w:left="567" w:hanging="567"/>
        <w:rPr>
          <w:rFonts w:eastAsia="Times New Roman" w:cs="Calibri"/>
          <w:noProof/>
        </w:rPr>
      </w:pPr>
      <w:r>
        <w:rPr>
          <w:noProof/>
        </w:rPr>
        <w:t>informācijas apmaiņu par jaunajām tehnoloģijām; un</w:t>
      </w:r>
    </w:p>
    <w:p w:rsidR="003E022D" w:rsidRDefault="007D19D6">
      <w:pPr>
        <w:numPr>
          <w:ilvl w:val="0"/>
          <w:numId w:val="231"/>
        </w:numPr>
        <w:spacing w:line="276" w:lineRule="auto"/>
        <w:ind w:left="567" w:hanging="567"/>
        <w:rPr>
          <w:rFonts w:eastAsia="Times New Roman" w:cs="Calibri"/>
          <w:noProof/>
        </w:rPr>
      </w:pPr>
      <w:r>
        <w:rPr>
          <w:noProof/>
        </w:rPr>
        <w:t>paraugprakses apmaiņu saistībā ar attiecī</w:t>
      </w:r>
      <w:r>
        <w:rPr>
          <w:noProof/>
        </w:rPr>
        <w:t>gajiem normatīvajiem aktiem un tehniskajiem standartiem.</w:t>
      </w:r>
    </w:p>
    <w:p w:rsidR="003E022D" w:rsidRDefault="007D19D6">
      <w:pPr>
        <w:pStyle w:val="Article"/>
        <w:rPr>
          <w:noProof/>
        </w:rPr>
      </w:pPr>
      <w:r>
        <w:rPr>
          <w:noProof/>
        </w:rPr>
        <w:t>ENER.24. pants. Atkrastes darbību risks un drošums</w:t>
      </w:r>
    </w:p>
    <w:p w:rsidR="003E022D" w:rsidRDefault="007D19D6">
      <w:pPr>
        <w:numPr>
          <w:ilvl w:val="0"/>
          <w:numId w:val="483"/>
        </w:numPr>
        <w:spacing w:line="276" w:lineRule="auto"/>
        <w:ind w:left="0" w:firstLine="0"/>
        <w:rPr>
          <w:rFonts w:eastAsia="Times New Roman" w:cs="Calibri"/>
          <w:noProof/>
        </w:rPr>
      </w:pPr>
      <w:r>
        <w:rPr>
          <w:noProof/>
        </w:rPr>
        <w:t>Puses sadarbojas un apmainās ar informāciju ar mērķi uzturēt augstu drošuma un vides aizsardzības līmeni saistībā ar visām atkrastes naftas un gāzes</w:t>
      </w:r>
      <w:r>
        <w:rPr>
          <w:noProof/>
        </w:rPr>
        <w:t xml:space="preserve"> nozares darbībām.</w:t>
      </w:r>
    </w:p>
    <w:p w:rsidR="003E022D" w:rsidRDefault="007D19D6">
      <w:pPr>
        <w:numPr>
          <w:ilvl w:val="0"/>
          <w:numId w:val="483"/>
        </w:numPr>
        <w:spacing w:line="276" w:lineRule="auto"/>
        <w:ind w:left="0" w:firstLine="0"/>
        <w:rPr>
          <w:rFonts w:eastAsia="Times New Roman" w:cs="Calibri"/>
          <w:noProof/>
        </w:rPr>
      </w:pPr>
      <w:r>
        <w:rPr>
          <w:noProof/>
        </w:rPr>
        <w:t>Puses veic attiecīgus pasākumus, lai atkrastes naftas un gāzes nozares darbībās novērstu smagus negadījumus un ierobežotu šādu negadījumu sekas.</w:t>
      </w:r>
    </w:p>
    <w:p w:rsidR="003E022D" w:rsidRDefault="007D19D6">
      <w:pPr>
        <w:numPr>
          <w:ilvl w:val="0"/>
          <w:numId w:val="483"/>
        </w:numPr>
        <w:spacing w:line="276" w:lineRule="auto"/>
        <w:ind w:left="0" w:firstLine="0"/>
        <w:rPr>
          <w:rFonts w:eastAsia="Times New Roman" w:cs="Calibri"/>
          <w:noProof/>
        </w:rPr>
      </w:pPr>
      <w:r>
        <w:rPr>
          <w:noProof/>
        </w:rPr>
        <w:t>Puses veicina paraugprakses apmaiņu starp savām iestādēm, kuru kompetencē ir atkrastes nafta</w:t>
      </w:r>
      <w:r>
        <w:rPr>
          <w:noProof/>
        </w:rPr>
        <w:t>s un gāzes nozares darbību drošums un vides aizsardzība. Atkrastes naftas un gāzes nozares darbību drošuma un vides aizsardzības regulējums ir neatkarīgs no jebkādām funkcijām, kas saistītas ar atkrastes naftas un gāzes nozares darbību licencēšanu.</w:t>
      </w:r>
    </w:p>
    <w:p w:rsidR="003E022D" w:rsidRDefault="007D19D6">
      <w:pPr>
        <w:pStyle w:val="Article"/>
        <w:rPr>
          <w:noProof/>
          <w:color w:val="0070C0"/>
        </w:rPr>
      </w:pPr>
      <w:r>
        <w:rPr>
          <w:noProof/>
        </w:rPr>
        <w:t>ENER.25</w:t>
      </w:r>
      <w:r>
        <w:rPr>
          <w:noProof/>
        </w:rPr>
        <w:t xml:space="preserve">. pants. Sadarbība standartu jomā </w:t>
      </w:r>
    </w:p>
    <w:p w:rsidR="003E022D" w:rsidRDefault="007D19D6">
      <w:pPr>
        <w:spacing w:line="276" w:lineRule="auto"/>
        <w:rPr>
          <w:rFonts w:cs="Calibri"/>
          <w:noProof/>
        </w:rPr>
      </w:pPr>
      <w:r>
        <w:rPr>
          <w:noProof/>
        </w:rPr>
        <w:t>Saskaņā ar TBT.5. pantu [Standarti] un TBT.11. pantu [Sadarbība] Puses sekmē sadarbību starp regulatoriem un standartizācijas iestādēm, kas atrodas to attiecīgajās teritorijās, lai veicinātu starptautisko standartu izstrā</w:t>
      </w:r>
      <w:r>
        <w:rPr>
          <w:noProof/>
        </w:rPr>
        <w:t>di attiecībā uz energoefektivitāti un atjaunojamo energoresursu enerģiju ar mērķi sniegt ieguldījumu ilgtspējīgā enerģētikas un klimata politikā.</w:t>
      </w:r>
    </w:p>
    <w:p w:rsidR="003E022D" w:rsidRDefault="007D19D6">
      <w:pPr>
        <w:pStyle w:val="Article"/>
        <w:rPr>
          <w:noProof/>
        </w:rPr>
      </w:pPr>
      <w:r>
        <w:rPr>
          <w:noProof/>
        </w:rPr>
        <w:t>ENER.26. pants. Pētniecība, izstrāde un inovācija</w:t>
      </w:r>
    </w:p>
    <w:p w:rsidR="003E022D" w:rsidRDefault="007D19D6">
      <w:pPr>
        <w:spacing w:line="276" w:lineRule="auto"/>
        <w:rPr>
          <w:rFonts w:cs="Calibri"/>
          <w:noProof/>
        </w:rPr>
      </w:pPr>
      <w:r>
        <w:rPr>
          <w:noProof/>
        </w:rPr>
        <w:t>Puses veicina pētniecību, izstrādi un inovāciju energoefekti</w:t>
      </w:r>
      <w:r>
        <w:rPr>
          <w:noProof/>
        </w:rPr>
        <w:t>vitātes un atjaunojamo energoresursu enerģijas jomā.</w:t>
      </w:r>
    </w:p>
    <w:p w:rsidR="003E022D" w:rsidRDefault="007D19D6">
      <w:pPr>
        <w:pStyle w:val="Chapter"/>
        <w:rPr>
          <w:rFonts w:cstheme="minorBidi"/>
          <w:noProof/>
        </w:rPr>
      </w:pPr>
      <w:r>
        <w:rPr>
          <w:noProof/>
        </w:rPr>
        <w:t>4. nodaļa. Energoprodukti un izejvielas</w:t>
      </w:r>
    </w:p>
    <w:p w:rsidR="003E022D" w:rsidRDefault="007D19D6">
      <w:pPr>
        <w:pStyle w:val="Article"/>
        <w:rPr>
          <w:noProof/>
        </w:rPr>
      </w:pPr>
      <w:r>
        <w:rPr>
          <w:noProof/>
        </w:rPr>
        <w:t>ENER.27. pants. Eksporta cenas noteikšana</w:t>
      </w:r>
    </w:p>
    <w:p w:rsidR="003E022D" w:rsidRDefault="007D19D6">
      <w:pPr>
        <w:spacing w:line="276" w:lineRule="auto"/>
        <w:rPr>
          <w:rFonts w:cs="Calibri"/>
          <w:noProof/>
        </w:rPr>
      </w:pPr>
      <w:r>
        <w:rPr>
          <w:noProof/>
        </w:rPr>
        <w:t xml:space="preserve">Puse nenosaka augstāku cenu energoproduktu vai izejvielu eksportam uz otru Pusi nekā cena, ko iekasē par šiem </w:t>
      </w:r>
      <w:r>
        <w:rPr>
          <w:noProof/>
        </w:rPr>
        <w:t>energoproduktiem vai izejvielām, ja tās paredzētas iekšzemes tirgum, izmantojot tādus pasākumus kā licences vai minimālās cenas prasības.</w:t>
      </w:r>
    </w:p>
    <w:p w:rsidR="003E022D" w:rsidRDefault="007D19D6">
      <w:pPr>
        <w:pStyle w:val="Article"/>
        <w:rPr>
          <w:noProof/>
        </w:rPr>
      </w:pPr>
      <w:r>
        <w:rPr>
          <w:noProof/>
        </w:rPr>
        <w:t xml:space="preserve">ENER.28. pants. Regulēta cenu noteikšana </w:t>
      </w:r>
    </w:p>
    <w:p w:rsidR="003E022D" w:rsidRDefault="007D19D6">
      <w:pPr>
        <w:spacing w:line="276" w:lineRule="auto"/>
        <w:rPr>
          <w:rFonts w:eastAsia="Times New Roman" w:cs="Calibri"/>
          <w:noProof/>
        </w:rPr>
      </w:pPr>
      <w:r>
        <w:rPr>
          <w:noProof/>
        </w:rPr>
        <w:t>Ja Puse nolemj regulēt elektroenerģijas vai dabasgāzes iekšzemes piegādes ce</w:t>
      </w:r>
      <w:r>
        <w:rPr>
          <w:noProof/>
        </w:rPr>
        <w:t>nu patērētājiem, tā to var darīt, tikai lai sasniegtu sabiedriskās politikas mērķi, un tikai nosakot regulētu cenu, kas ir skaidri definēta, pārredzama, nediskriminējoša un samērīga.</w:t>
      </w:r>
    </w:p>
    <w:p w:rsidR="003E022D" w:rsidRDefault="007D19D6">
      <w:pPr>
        <w:pStyle w:val="Article"/>
        <w:rPr>
          <w:noProof/>
        </w:rPr>
      </w:pPr>
      <w:r>
        <w:rPr>
          <w:noProof/>
        </w:rPr>
        <w:t>ENER.29. pants. Atļauja ogļūdeņražu izpētei un ieguvei un elektroenerģija</w:t>
      </w:r>
      <w:r>
        <w:rPr>
          <w:noProof/>
        </w:rPr>
        <w:t>s ražošanai</w:t>
      </w:r>
    </w:p>
    <w:p w:rsidR="003E022D" w:rsidRDefault="007D19D6">
      <w:pPr>
        <w:numPr>
          <w:ilvl w:val="0"/>
          <w:numId w:val="484"/>
        </w:numPr>
        <w:spacing w:line="276" w:lineRule="auto"/>
        <w:ind w:left="0" w:firstLine="0"/>
        <w:rPr>
          <w:rFonts w:eastAsia="Times New Roman" w:cs="Calibri"/>
          <w:noProof/>
        </w:rPr>
      </w:pPr>
      <w:r>
        <w:rPr>
          <w:noProof/>
        </w:rPr>
        <w:t>Ja Puse pieprasa atļauju ogļūdeņražu izpētei vai ieguvei vai elektroenerģijas ražošanai, minētā Puse piešķir šādas atļaujas, pamatojoties uz objektīviem un nediskriminējošiem kritērijiem, kas ir izstrādāti un publicēti pirms pieteikumu iesniegš</w:t>
      </w:r>
      <w:r>
        <w:rPr>
          <w:noProof/>
        </w:rPr>
        <w:t xml:space="preserve">anas termiņa sākuma saskaņā ar II sadaļas [Pakalpojumi un investīcijas] 5. nodaļas [Tiesiskais regulējums] 1. iedaļā [Iekšzemes regulējums] izklāstītajiem vispārīgajiem nosacījumiem un procedūrām. </w:t>
      </w:r>
    </w:p>
    <w:p w:rsidR="003E022D" w:rsidRDefault="007D19D6">
      <w:pPr>
        <w:numPr>
          <w:ilvl w:val="0"/>
          <w:numId w:val="484"/>
        </w:numPr>
        <w:spacing w:line="276" w:lineRule="auto"/>
        <w:ind w:left="0" w:firstLine="0"/>
        <w:rPr>
          <w:rFonts w:eastAsia="Times New Roman" w:cs="Calibri"/>
          <w:noProof/>
        </w:rPr>
      </w:pPr>
      <w:r>
        <w:rPr>
          <w:noProof/>
        </w:rPr>
        <w:t>Neatkarīgi no šā panta 1. punkta un ENER.3. panta [Saistīb</w:t>
      </w:r>
      <w:r>
        <w:rPr>
          <w:noProof/>
        </w:rPr>
        <w:t>a ar pārējām sadaļām] katra Puse var piešķirt atļaujas saistībā ar ogļūdeņražu izpēti vai ieguvi, neievērojot ar publikāciju saistītos nosacījumus un procedūras, kas izklāstītas SERVIN.5.8. pantā [Publikācija un pieejamā informācija], pamatojoties uz pienā</w:t>
      </w:r>
      <w:r>
        <w:rPr>
          <w:noProof/>
        </w:rPr>
        <w:t>cīgi pamatotiem izņēmumiem, kas paredzēti piemērojamos tiesību aktos.</w:t>
      </w:r>
    </w:p>
    <w:p w:rsidR="003E022D" w:rsidRDefault="007D19D6">
      <w:pPr>
        <w:numPr>
          <w:ilvl w:val="0"/>
          <w:numId w:val="484"/>
        </w:numPr>
        <w:spacing w:line="276" w:lineRule="auto"/>
        <w:ind w:left="0" w:firstLine="0"/>
        <w:rPr>
          <w:rFonts w:eastAsia="Times New Roman" w:cs="Calibri"/>
          <w:noProof/>
        </w:rPr>
      </w:pPr>
      <w:r>
        <w:rPr>
          <w:noProof/>
        </w:rPr>
        <w:t>Finansiāli vai mantiski ieguldījumi, ko prasa no subjektiem, kuriem ir piešķirta atļauja, nedrīkst traucēt šādu subjektu pārvaldības un lēmumu pieņemšanas procesam.</w:t>
      </w:r>
    </w:p>
    <w:p w:rsidR="003E022D" w:rsidRDefault="007D19D6">
      <w:pPr>
        <w:numPr>
          <w:ilvl w:val="0"/>
          <w:numId w:val="484"/>
        </w:numPr>
        <w:spacing w:line="276" w:lineRule="auto"/>
        <w:ind w:left="0" w:firstLine="0"/>
        <w:rPr>
          <w:rFonts w:eastAsia="Times New Roman" w:cs="Calibri"/>
          <w:noProof/>
        </w:rPr>
      </w:pPr>
      <w:r>
        <w:rPr>
          <w:noProof/>
        </w:rPr>
        <w:t>Katra Puse nodrošina,</w:t>
      </w:r>
      <w:r>
        <w:rPr>
          <w:noProof/>
        </w:rPr>
        <w:t xml:space="preserve"> ka atļaujas pieteikuma iesniedzējam ir tiesības jebkuru lēmumu par atļauju pārsūdzēt iestādē, kas ir augstāka vai neatkarīga no iestādes, kura pieņēmusi lēmumu, vai prasīt, lai šāda augstāka vai neatkarīga iestāde minēto lēmumu pārskata. Katra Puse nodroš</w:t>
      </w:r>
      <w:r>
        <w:rPr>
          <w:noProof/>
        </w:rPr>
        <w:t>ina, ka pieteikuma iesniedzējam tiek sniegts administratīvā lēmuma pamatojums, lai pieteikuma iesniedzējs vajadzības gadījumā varētu izmantot pārsūdzības vai pārskatīšanas procedūras. Piemērojamos noteikumus par pārsūdzību vai pārskatīšanu publicē.</w:t>
      </w:r>
    </w:p>
    <w:p w:rsidR="003E022D" w:rsidRDefault="007D19D6">
      <w:pPr>
        <w:pStyle w:val="Article"/>
        <w:rPr>
          <w:b/>
          <w:noProof/>
        </w:rPr>
      </w:pPr>
      <w:r>
        <w:rPr>
          <w:noProof/>
        </w:rPr>
        <w:t>ENER.30</w:t>
      </w:r>
      <w:r>
        <w:rPr>
          <w:noProof/>
        </w:rPr>
        <w:t>. pants.</w:t>
      </w:r>
      <w:r>
        <w:rPr>
          <w:noProof/>
          <w:color w:val="0070C0"/>
        </w:rPr>
        <w:t xml:space="preserve"> </w:t>
      </w:r>
      <w:r>
        <w:rPr>
          <w:noProof/>
        </w:rPr>
        <w:t>Enerģijas aprīkojuma un infrastruktūras drošums un integritāte</w:t>
      </w:r>
    </w:p>
    <w:p w:rsidR="003E022D" w:rsidRDefault="007D19D6">
      <w:pPr>
        <w:tabs>
          <w:tab w:val="left" w:pos="567"/>
        </w:tabs>
        <w:spacing w:line="276" w:lineRule="auto"/>
        <w:rPr>
          <w:rFonts w:cs="Calibri"/>
          <w:noProof/>
        </w:rPr>
      </w:pPr>
      <w:r>
        <w:rPr>
          <w:noProof/>
        </w:rPr>
        <w:t xml:space="preserve">Šo sadaļu neinterpretē tā, ka tā liedz Pusei pieņemt pagaidu pasākumus, kas nepieciešami, lai aizsargātu enerģijas  aprīkojuma vai infrastruktūras drošumu un saglabātu to integritāti, </w:t>
      </w:r>
      <w:r>
        <w:rPr>
          <w:noProof/>
        </w:rPr>
        <w:t>ar noteikumu, ka šos pasākumus nepiemēro tādā veidā, kas radītu slēptus ierobežojumus tirdzniecībai vai investīcijām starp Pusēm.</w:t>
      </w:r>
    </w:p>
    <w:p w:rsidR="003E022D" w:rsidRDefault="007D19D6">
      <w:pPr>
        <w:pStyle w:val="Chapter"/>
        <w:rPr>
          <w:rFonts w:cstheme="minorBidi"/>
          <w:noProof/>
        </w:rPr>
      </w:pPr>
      <w:r>
        <w:rPr>
          <w:noProof/>
        </w:rPr>
        <w:t>5. nodaļa. Nobeiguma noteikumi</w:t>
      </w:r>
    </w:p>
    <w:p w:rsidR="003E022D" w:rsidRDefault="007D19D6">
      <w:pPr>
        <w:pStyle w:val="Article"/>
        <w:rPr>
          <w:rFonts w:eastAsia="Arial"/>
          <w:noProof/>
        </w:rPr>
      </w:pPr>
      <w:r>
        <w:rPr>
          <w:noProof/>
        </w:rPr>
        <w:t>ENER.31. pants.</w:t>
      </w:r>
      <w:r>
        <w:rPr>
          <w:noProof/>
          <w:color w:val="E36C0A" w:themeColor="accent6" w:themeShade="BF"/>
        </w:rPr>
        <w:t xml:space="preserve"> </w:t>
      </w:r>
      <w:r>
        <w:rPr>
          <w:noProof/>
        </w:rPr>
        <w:t>Efektīva īstenošana un grozījumi</w:t>
      </w:r>
    </w:p>
    <w:p w:rsidR="003E022D" w:rsidRDefault="007D19D6">
      <w:pPr>
        <w:spacing w:line="276" w:lineRule="auto"/>
        <w:rPr>
          <w:noProof/>
        </w:rPr>
      </w:pPr>
      <w:r>
        <w:rPr>
          <w:noProof/>
        </w:rPr>
        <w:t>1.</w:t>
      </w:r>
      <w:r>
        <w:rPr>
          <w:noProof/>
        </w:rPr>
        <w:tab/>
        <w:t xml:space="preserve">Partnerības padome var grozīt </w:t>
      </w:r>
      <w:r>
        <w:rPr>
          <w:noProof/>
        </w:rPr>
        <w:t>ENER-1. pielikumu un ENER-3. pielikumu. Partnerības padome var pēc vajadzības atjaunināt ENER-2. pielikumu, lai nodrošinātu šā pielikuma darbību laika gaitā.</w:t>
      </w:r>
    </w:p>
    <w:p w:rsidR="003E022D" w:rsidRDefault="007D19D6">
      <w:pPr>
        <w:spacing w:after="120" w:line="276" w:lineRule="auto"/>
        <w:rPr>
          <w:noProof/>
        </w:rPr>
      </w:pPr>
      <w:r>
        <w:rPr>
          <w:noProof/>
        </w:rPr>
        <w:t>2.</w:t>
      </w:r>
      <w:r>
        <w:rPr>
          <w:noProof/>
        </w:rPr>
        <w:tab/>
        <w:t xml:space="preserve">Specializētā enerģētikas komiteja var grozīt ENER-4. pielikumu.  </w:t>
      </w:r>
    </w:p>
    <w:p w:rsidR="003E022D" w:rsidRDefault="007D19D6">
      <w:pPr>
        <w:spacing w:line="276" w:lineRule="auto"/>
        <w:rPr>
          <w:rFonts w:eastAsia="Arial" w:cs="Calibri"/>
          <w:noProof/>
        </w:rPr>
      </w:pPr>
      <w:r>
        <w:rPr>
          <w:noProof/>
        </w:rPr>
        <w:t>3.</w:t>
      </w:r>
      <w:r>
        <w:rPr>
          <w:noProof/>
        </w:rPr>
        <w:tab/>
        <w:t>Specializētā enerģētikas k</w:t>
      </w:r>
      <w:r>
        <w:rPr>
          <w:noProof/>
        </w:rPr>
        <w:t>omiteja sniedz ieteikumus, kas nepieciešami, lai nodrošinātu to šīs sadaļas nodaļu efektīvu īstenošanu, par kurām tā ir atbildīga.</w:t>
      </w:r>
    </w:p>
    <w:p w:rsidR="003E022D" w:rsidRDefault="007D19D6">
      <w:pPr>
        <w:pStyle w:val="Article"/>
        <w:rPr>
          <w:noProof/>
        </w:rPr>
      </w:pPr>
      <w:r>
        <w:rPr>
          <w:noProof/>
        </w:rPr>
        <w:t>ENER.32. pants. Dialogs</w:t>
      </w:r>
    </w:p>
    <w:p w:rsidR="003E022D" w:rsidRDefault="007D19D6">
      <w:pPr>
        <w:spacing w:line="276" w:lineRule="auto"/>
        <w:rPr>
          <w:rFonts w:eastAsia="Times New Roman" w:cs="Calibri"/>
          <w:noProof/>
        </w:rPr>
      </w:pPr>
      <w:r>
        <w:rPr>
          <w:noProof/>
        </w:rPr>
        <w:t>Puses izveido regulāru dialogu šīs sadaļas mērķu sasniegšanas veicināšanai.</w:t>
      </w:r>
    </w:p>
    <w:p w:rsidR="003E022D" w:rsidRDefault="007D19D6">
      <w:pPr>
        <w:spacing w:after="120"/>
        <w:jc w:val="center"/>
        <w:rPr>
          <w:noProof/>
        </w:rPr>
      </w:pPr>
      <w:r>
        <w:rPr>
          <w:noProof/>
        </w:rPr>
        <w:t>ENER.33. pants Šīs sadaļa</w:t>
      </w:r>
      <w:r>
        <w:rPr>
          <w:noProof/>
        </w:rPr>
        <w:t>s darbības izbeigšana</w:t>
      </w:r>
    </w:p>
    <w:p w:rsidR="003E022D" w:rsidRDefault="007D19D6">
      <w:pPr>
        <w:spacing w:after="120" w:line="276" w:lineRule="auto"/>
        <w:rPr>
          <w:noProof/>
        </w:rPr>
      </w:pPr>
      <w:r>
        <w:rPr>
          <w:noProof/>
        </w:rPr>
        <w:t xml:space="preserve">1.           Šo sadaļu beidz piemērot 2026. gada 30. jūnijā.   </w:t>
      </w:r>
    </w:p>
    <w:p w:rsidR="003E022D" w:rsidRDefault="007D19D6">
      <w:pPr>
        <w:spacing w:after="120" w:line="276" w:lineRule="auto"/>
        <w:rPr>
          <w:noProof/>
        </w:rPr>
      </w:pPr>
      <w:r>
        <w:rPr>
          <w:noProof/>
        </w:rPr>
        <w:t>2.           Neraugoties uz 1. punktu, laikposmā no 2026. gada 1. jūlija līdz 2026. gada 31. decembrim Partnerības padome var nolemt, ka šī sadaļa tiks piemērota līdz 202</w:t>
      </w:r>
      <w:r>
        <w:rPr>
          <w:noProof/>
        </w:rPr>
        <w:t xml:space="preserve">7. gada 31. martam. Laikposmā no 2027. gada 1. aprīļa līdz 2027. gada 31. decembrim, kā arī jebkurā brīdī jebkurā gadā pēc tam, Partnerības padome var nolemt, ka šī sadaļa tiks piemērota līdz nākamā gada 31. martam. </w:t>
      </w:r>
    </w:p>
    <w:p w:rsidR="003E022D" w:rsidRDefault="007D19D6">
      <w:pPr>
        <w:spacing w:line="276" w:lineRule="auto"/>
        <w:rPr>
          <w:rFonts w:eastAsia="Times New Roman" w:cs="Calibri"/>
          <w:noProof/>
        </w:rPr>
      </w:pPr>
      <w:r>
        <w:rPr>
          <w:noProof/>
        </w:rPr>
        <w:t>3.           Šo pantu piemēro, neskarot</w:t>
      </w:r>
      <w:r>
        <w:rPr>
          <w:noProof/>
        </w:rPr>
        <w:t xml:space="preserve"> FISH.17. pantu [Izbeigšana], FINPROV.8. pantu [Izbeigšana] un OTH.10. pantu [Otrās daļas darbības izbeigšana].</w:t>
      </w:r>
    </w:p>
    <w:p w:rsidR="003E022D" w:rsidRDefault="003E022D">
      <w:pPr>
        <w:spacing w:after="0"/>
        <w:rPr>
          <w:rFonts w:asciiTheme="majorHAnsi" w:hAnsiTheme="majorHAnsi"/>
          <w:noProof/>
        </w:rPr>
      </w:pPr>
    </w:p>
    <w:p w:rsidR="003E022D" w:rsidRDefault="007D19D6">
      <w:pPr>
        <w:pStyle w:val="Title1"/>
        <w:rPr>
          <w:noProof/>
        </w:rPr>
      </w:pPr>
      <w:bookmarkStart w:id="177" w:name="_Toc59988346"/>
      <w:r>
        <w:rPr>
          <w:noProof/>
        </w:rPr>
        <w:t>IX sadaļa. Pārredzamība</w:t>
      </w:r>
      <w:bookmarkEnd w:id="177"/>
    </w:p>
    <w:p w:rsidR="003E022D" w:rsidRDefault="007D19D6">
      <w:pPr>
        <w:pStyle w:val="Article"/>
        <w:rPr>
          <w:b/>
          <w:noProof/>
        </w:rPr>
      </w:pPr>
      <w:r>
        <w:rPr>
          <w:noProof/>
        </w:rPr>
        <w:t>TRNSY.1. pants. Mērķis</w:t>
      </w:r>
    </w:p>
    <w:p w:rsidR="003E022D" w:rsidRDefault="007D19D6">
      <w:pPr>
        <w:rPr>
          <w:noProof/>
        </w:rPr>
      </w:pPr>
      <w:r>
        <w:rPr>
          <w:noProof/>
        </w:rPr>
        <w:t>1.</w:t>
      </w:r>
      <w:r>
        <w:rPr>
          <w:noProof/>
        </w:rPr>
        <w:tab/>
      </w:r>
      <w:r>
        <w:rPr>
          <w:noProof/>
        </w:rPr>
        <w:t xml:space="preserve">Atzīstot ietekmi, kāda to attiecīgajai regulatīvajai videi var būt uz savstarpējo tirdzniecību un investīcijām, Puses cenšas nodrošināt uzņēmējiem, jo īpaši mazajiem un vidējiem uzņēmumiem, paredzamu regulatīvo vidi un efektīvas procedūras.  </w:t>
      </w:r>
    </w:p>
    <w:p w:rsidR="003E022D" w:rsidRDefault="007D19D6">
      <w:pPr>
        <w:rPr>
          <w:noProof/>
        </w:rPr>
      </w:pPr>
      <w:r>
        <w:rPr>
          <w:noProof/>
        </w:rPr>
        <w:t>2.</w:t>
      </w:r>
      <w:r>
        <w:rPr>
          <w:noProof/>
        </w:rPr>
        <w:tab/>
        <w:t>Puses apst</w:t>
      </w:r>
      <w:r>
        <w:rPr>
          <w:noProof/>
        </w:rPr>
        <w:t xml:space="preserve">iprina savas saistības attiecībā uz pārredzamību atbilstīgi PTO nolīgumam un pamatojas uz šīm saistībām šajā sadaļā izklāstītajos noteikumos. </w:t>
      </w:r>
    </w:p>
    <w:p w:rsidR="003E022D" w:rsidRDefault="007D19D6">
      <w:pPr>
        <w:pStyle w:val="Article"/>
        <w:rPr>
          <w:noProof/>
        </w:rPr>
      </w:pPr>
      <w:r>
        <w:rPr>
          <w:noProof/>
        </w:rPr>
        <w:t>TRNSY.2. pants. Definīcija</w:t>
      </w:r>
    </w:p>
    <w:p w:rsidR="003E022D" w:rsidRDefault="007D19D6">
      <w:pPr>
        <w:rPr>
          <w:noProof/>
        </w:rPr>
      </w:pPr>
      <w:r>
        <w:rPr>
          <w:noProof/>
        </w:rPr>
        <w:t>Šajā sadaļā “administratīvs lēmums” ir lēmums vai darbība ar juridiskām sekām, ko piem</w:t>
      </w:r>
      <w:r>
        <w:rPr>
          <w:noProof/>
        </w:rPr>
        <w:t xml:space="preserve">ēro konkrētai personai, precei vai pakalpojumam konkrētā gadījumā, un aptver arī lēmuma nepieņemšanu vai šādas darbības neveikšanu, ja to prasa kādas Puses tiesības. </w:t>
      </w:r>
    </w:p>
    <w:p w:rsidR="003E022D" w:rsidRDefault="007D19D6">
      <w:pPr>
        <w:pStyle w:val="Article"/>
        <w:rPr>
          <w:b/>
          <w:noProof/>
        </w:rPr>
      </w:pPr>
      <w:r>
        <w:rPr>
          <w:noProof/>
        </w:rPr>
        <w:t>TRNSY.3. pants. Darbības joma</w:t>
      </w:r>
    </w:p>
    <w:p w:rsidR="003E022D" w:rsidRDefault="007D19D6">
      <w:pPr>
        <w:rPr>
          <w:noProof/>
        </w:rPr>
      </w:pPr>
      <w:r>
        <w:rPr>
          <w:noProof/>
        </w:rPr>
        <w:t xml:space="preserve">Šo sadaļu piemēro attiecībā uz I līdz VIII sadaļām, X līdz </w:t>
      </w:r>
      <w:r>
        <w:rPr>
          <w:noProof/>
        </w:rPr>
        <w:t>XII sadaļām un sesto tematu [Citi noteikumi].</w:t>
      </w:r>
      <w:r>
        <w:rPr>
          <w:i/>
          <w:noProof/>
        </w:rPr>
        <w:t xml:space="preserve"> </w:t>
      </w:r>
    </w:p>
    <w:p w:rsidR="003E022D" w:rsidRDefault="007D19D6">
      <w:pPr>
        <w:pStyle w:val="Article"/>
        <w:rPr>
          <w:b/>
          <w:noProof/>
        </w:rPr>
      </w:pPr>
      <w:r>
        <w:rPr>
          <w:noProof/>
        </w:rPr>
        <w:t>TRNSY.4. pants. Publicēšana</w:t>
      </w:r>
    </w:p>
    <w:p w:rsidR="003E022D" w:rsidRDefault="007D19D6">
      <w:pPr>
        <w:rPr>
          <w:noProof/>
        </w:rPr>
      </w:pPr>
      <w:r>
        <w:rPr>
          <w:noProof/>
        </w:rPr>
        <w:t>1.</w:t>
      </w:r>
      <w:r>
        <w:rPr>
          <w:noProof/>
        </w:rPr>
        <w:tab/>
        <w:t xml:space="preserve">Katra Puse nodrošina, ka tās tiesības, noteikumi, procedūras un vispārēji piemērojami administratīvie nolēmumi tiek nekavējoties publicēti oficiāli noteiktā plašsaziņas līdzeklī </w:t>
      </w:r>
      <w:r>
        <w:rPr>
          <w:noProof/>
        </w:rPr>
        <w:t xml:space="preserve">un, ja iespējams, elektroniskā veidā vai citādi darīti pieejami tā, lai jebkura persona varētu ar tiem iepazīties. </w:t>
      </w:r>
    </w:p>
    <w:p w:rsidR="003E022D" w:rsidRDefault="007D19D6">
      <w:pPr>
        <w:rPr>
          <w:noProof/>
        </w:rPr>
      </w:pPr>
      <w:r>
        <w:rPr>
          <w:noProof/>
        </w:rPr>
        <w:t>2.</w:t>
      </w:r>
      <w:r>
        <w:rPr>
          <w:noProof/>
        </w:rPr>
        <w:tab/>
        <w:t xml:space="preserve">Ciktāl tas ir atbilstīgi, katra Puse sniedz paskaidrojumu par 1. punktā minēto pasākumu mērķi un pamatojumu. </w:t>
      </w:r>
    </w:p>
    <w:p w:rsidR="003E022D" w:rsidRDefault="007D19D6">
      <w:pPr>
        <w:rPr>
          <w:noProof/>
        </w:rPr>
      </w:pPr>
      <w:r>
        <w:rPr>
          <w:noProof/>
        </w:rPr>
        <w:t>3.</w:t>
      </w:r>
      <w:r>
        <w:rPr>
          <w:noProof/>
        </w:rPr>
        <w:tab/>
        <w:t>Katra Puse nodrošina sam</w:t>
      </w:r>
      <w:r>
        <w:rPr>
          <w:noProof/>
        </w:rPr>
        <w:t xml:space="preserve">ērīgu laikposmu starp tās normatīvo aktu publicēšanu un stāšanos spēkā, izņemot gadījumus, kad steidzamības dēļ tas nav iespējams. </w:t>
      </w:r>
    </w:p>
    <w:p w:rsidR="003E022D" w:rsidRDefault="007D19D6">
      <w:pPr>
        <w:pStyle w:val="Article"/>
        <w:rPr>
          <w:b/>
          <w:noProof/>
        </w:rPr>
      </w:pPr>
      <w:r>
        <w:rPr>
          <w:noProof/>
        </w:rPr>
        <w:t>TRNSY.5. pants. Jautājumi</w:t>
      </w:r>
    </w:p>
    <w:p w:rsidR="003E022D" w:rsidRDefault="007D19D6">
      <w:pPr>
        <w:rPr>
          <w:noProof/>
        </w:rPr>
      </w:pPr>
      <w:r>
        <w:rPr>
          <w:noProof/>
        </w:rPr>
        <w:t>1.</w:t>
      </w:r>
      <w:r>
        <w:rPr>
          <w:noProof/>
        </w:rPr>
        <w:tab/>
        <w:t>Katra Puse izveido vai saglabā atbilstīgus un samērīgus mehānismus, lai atbildētu uz jebkuras p</w:t>
      </w:r>
      <w:r>
        <w:rPr>
          <w:noProof/>
        </w:rPr>
        <w:t xml:space="preserve">ersonas jautājumiem par normatīvajiem aktiem. </w:t>
      </w:r>
    </w:p>
    <w:p w:rsidR="003E022D" w:rsidRDefault="007D19D6">
      <w:pPr>
        <w:rPr>
          <w:noProof/>
        </w:rPr>
      </w:pPr>
      <w:r>
        <w:rPr>
          <w:noProof/>
        </w:rPr>
        <w:t>2.</w:t>
      </w:r>
      <w:r>
        <w:rPr>
          <w:noProof/>
        </w:rPr>
        <w:tab/>
        <w:t>Katra Puse nekavējoties sniedz informāciju un atbild uz otras Puses jautājumiem par spēkā esošiem vai plānotiem normatīvajiem aktiem, ja vien saskaņā ar citu šā nolīguma noteikumu nav izveidots īpašs mehāni</w:t>
      </w:r>
      <w:r>
        <w:rPr>
          <w:noProof/>
        </w:rPr>
        <w:t xml:space="preserve">sms. </w:t>
      </w:r>
    </w:p>
    <w:p w:rsidR="003E022D" w:rsidRDefault="007D19D6">
      <w:pPr>
        <w:pStyle w:val="Article"/>
        <w:rPr>
          <w:b/>
          <w:noProof/>
        </w:rPr>
      </w:pPr>
      <w:r>
        <w:rPr>
          <w:noProof/>
        </w:rPr>
        <w:t>TRNSY.6. pants. Vispārēji piemērojamu pasākumu pārvaldība</w:t>
      </w:r>
    </w:p>
    <w:p w:rsidR="003E022D" w:rsidRDefault="007D19D6">
      <w:pPr>
        <w:rPr>
          <w:noProof/>
        </w:rPr>
      </w:pPr>
      <w:r>
        <w:rPr>
          <w:noProof/>
        </w:rPr>
        <w:t xml:space="preserve">1. </w:t>
      </w:r>
      <w:r>
        <w:rPr>
          <w:noProof/>
        </w:rPr>
        <w:tab/>
        <w:t xml:space="preserve">Katra Puse piemēro savus vispārēji piemērojamos tiesību aktus, noteikumus, procedūras un administratīvos nolēmumus objektīvā, neatkarīgā un saprātīgā veidā.  </w:t>
      </w:r>
    </w:p>
    <w:p w:rsidR="003E022D" w:rsidRDefault="007D19D6">
      <w:pPr>
        <w:rPr>
          <w:noProof/>
        </w:rPr>
      </w:pPr>
      <w:r>
        <w:rPr>
          <w:noProof/>
        </w:rPr>
        <w:t xml:space="preserve">2. </w:t>
      </w:r>
      <w:r>
        <w:rPr>
          <w:noProof/>
        </w:rPr>
        <w:tab/>
        <w:t>Ja attiecībā uz otras Pus</w:t>
      </w:r>
      <w:r>
        <w:rPr>
          <w:noProof/>
        </w:rPr>
        <w:t xml:space="preserve">es personām, precēm vai pakalpojumiem tiek uzsākta administratīva procedūra saistībā ar normatīvo aktu piemērošanu, katra Puse: </w:t>
      </w:r>
    </w:p>
    <w:p w:rsidR="003E022D" w:rsidRDefault="007D19D6">
      <w:pPr>
        <w:pStyle w:val="ListParagraph"/>
        <w:numPr>
          <w:ilvl w:val="0"/>
          <w:numId w:val="522"/>
        </w:numPr>
        <w:ind w:left="567" w:hanging="567"/>
        <w:contextualSpacing w:val="0"/>
        <w:rPr>
          <w:rFonts w:cstheme="minorHAnsi"/>
          <w:noProof/>
        </w:rPr>
      </w:pPr>
      <w:r>
        <w:rPr>
          <w:noProof/>
        </w:rPr>
        <w:t>cenšas personām, kuras tieši skar administratīvā procedūra, saskaņā ar saviem normatīvajiem aktiem savlaicīgi paziņot par tās s</w:t>
      </w:r>
      <w:r>
        <w:rPr>
          <w:noProof/>
        </w:rPr>
        <w:t>ākšanu, sniedzot arī procedūras būtības aprakstu, tiesisko pamatojumu, saskaņā ar kuru procedūra tiek uzsākta, un strīdīgo jautājumu vispārīgu aprakstu; un</w:t>
      </w:r>
    </w:p>
    <w:p w:rsidR="003E022D" w:rsidRDefault="007D19D6">
      <w:pPr>
        <w:pStyle w:val="ListParagraph"/>
        <w:numPr>
          <w:ilvl w:val="0"/>
          <w:numId w:val="522"/>
        </w:numPr>
        <w:ind w:left="567" w:hanging="567"/>
        <w:contextualSpacing w:val="0"/>
        <w:rPr>
          <w:rFonts w:cstheme="minorHAnsi"/>
          <w:noProof/>
        </w:rPr>
      </w:pPr>
      <w:r>
        <w:rPr>
          <w:noProof/>
        </w:rPr>
        <w:t>pirms galīgā administratīvā lēmuma nodrošina šīm personām pienācīgu iespēju iesniegt faktus un argum</w:t>
      </w:r>
      <w:r>
        <w:rPr>
          <w:noProof/>
        </w:rPr>
        <w:t xml:space="preserve">entus, kas pamato to nostāju, ja to pieļauj termiņš, procedūras veids un sabiedrības intereses. </w:t>
      </w:r>
    </w:p>
    <w:p w:rsidR="003E022D" w:rsidRDefault="007D19D6">
      <w:pPr>
        <w:pStyle w:val="Article"/>
        <w:rPr>
          <w:b/>
          <w:noProof/>
        </w:rPr>
      </w:pPr>
      <w:r>
        <w:rPr>
          <w:noProof/>
        </w:rPr>
        <w:t>TRNSY.7. pants. Pārskatīšana un pārsūdzība</w:t>
      </w:r>
    </w:p>
    <w:p w:rsidR="003E022D" w:rsidRDefault="007D19D6">
      <w:pPr>
        <w:rPr>
          <w:noProof/>
        </w:rPr>
      </w:pPr>
      <w:r>
        <w:rPr>
          <w:noProof/>
        </w:rPr>
        <w:t>1.</w:t>
      </w:r>
      <w:r>
        <w:rPr>
          <w:noProof/>
        </w:rPr>
        <w:tab/>
        <w:t>Katra Puse izveido vai saglabā tiesas, šķīrējtiesas vai administratīvās tiesas un procedūras, lai nekavējoties pā</w:t>
      </w:r>
      <w:r>
        <w:rPr>
          <w:noProof/>
        </w:rPr>
        <w:t>rskatītu un vajadzības gadījumā labotu administratīvos lēmumus. Katra Puse nodrošina, ka tās tiesas īsteno pārsūdzības vai pārskatīšanas procedūras nediskriminējošā un objektīvā veidā. Minētās tiesas ir objektīvas un neatkarīgas no iestādes, kurai uzticēta</w:t>
      </w:r>
      <w:r>
        <w:rPr>
          <w:noProof/>
        </w:rPr>
        <w:t xml:space="preserve"> administratīvā izpilde.  </w:t>
      </w:r>
    </w:p>
    <w:p w:rsidR="003E022D" w:rsidRDefault="007D19D6">
      <w:pPr>
        <w:rPr>
          <w:noProof/>
        </w:rPr>
      </w:pPr>
      <w:r>
        <w:rPr>
          <w:noProof/>
        </w:rPr>
        <w:t>2.</w:t>
      </w:r>
      <w:r>
        <w:rPr>
          <w:noProof/>
        </w:rPr>
        <w:tab/>
        <w:t xml:space="preserve">Katra Puse nodrošina, ka 1. punktā minētajām procedūrā iesaistītajām pusēm tiek dota pienācīga iespēja atbalstīt vai aizstāvēt savu nostāju.  </w:t>
      </w:r>
    </w:p>
    <w:p w:rsidR="003E022D" w:rsidRDefault="007D19D6">
      <w:pPr>
        <w:rPr>
          <w:noProof/>
        </w:rPr>
      </w:pPr>
      <w:r>
        <w:rPr>
          <w:noProof/>
        </w:rPr>
        <w:t>3.</w:t>
      </w:r>
      <w:r>
        <w:rPr>
          <w:noProof/>
        </w:rPr>
        <w:tab/>
      </w:r>
      <w:r>
        <w:rPr>
          <w:noProof/>
        </w:rPr>
        <w:t xml:space="preserve">Katra Puse saskaņā ar savām tiesībām nodrošina, ka visi lēmumi, kas pieņemti 1. punktā minētajā procedūrā, pamatojas uz pierādījumiem un iesniegtiem dokumentiem vai, attiecīgā gadījumā, uz kompetentās administratīvās iestādes apkopotiem datiem. </w:t>
      </w:r>
    </w:p>
    <w:p w:rsidR="003E022D" w:rsidRDefault="007D19D6">
      <w:pPr>
        <w:rPr>
          <w:noProof/>
        </w:rPr>
      </w:pPr>
      <w:r>
        <w:rPr>
          <w:noProof/>
        </w:rPr>
        <w:t>4.</w:t>
      </w:r>
      <w:r>
        <w:rPr>
          <w:noProof/>
        </w:rPr>
        <w:tab/>
        <w:t>Katra P</w:t>
      </w:r>
      <w:r>
        <w:rPr>
          <w:noProof/>
        </w:rPr>
        <w:t xml:space="preserve">use nodrošina, ka 3. punktā minētos lēmumus, kurus var pārsūdzēt vai pārskatīt saskaņā ar tās tiesībām, īsteno iestāde, kam ir uzticēta administratīvā izpilde. </w:t>
      </w:r>
    </w:p>
    <w:p w:rsidR="003E022D" w:rsidRDefault="007D19D6">
      <w:pPr>
        <w:pStyle w:val="Article"/>
        <w:rPr>
          <w:b/>
          <w:noProof/>
        </w:rPr>
      </w:pPr>
      <w:r>
        <w:rPr>
          <w:noProof/>
        </w:rPr>
        <w:t>TRNSY.8. pants. Saistība ar citām sadaļām</w:t>
      </w:r>
    </w:p>
    <w:p w:rsidR="003E022D" w:rsidRDefault="007D19D6">
      <w:pPr>
        <w:rPr>
          <w:noProof/>
        </w:rPr>
      </w:pPr>
      <w:r>
        <w:rPr>
          <w:noProof/>
        </w:rPr>
        <w:t>Šajā sadaļā izklāstītie noteikumi papildina īpašos pā</w:t>
      </w:r>
      <w:r>
        <w:rPr>
          <w:noProof/>
        </w:rPr>
        <w:t xml:space="preserve">rredzamības noteikumus, kas izklāstīti tajās šīs daļas sadaļās, uz kurām attiecas šī sadaļa. </w:t>
      </w:r>
    </w:p>
    <w:p w:rsidR="003E022D" w:rsidRDefault="007D19D6">
      <w:pPr>
        <w:pStyle w:val="Title1"/>
        <w:rPr>
          <w:noProof/>
        </w:rPr>
      </w:pPr>
      <w:bookmarkStart w:id="178" w:name="_Toc54952139"/>
      <w:bookmarkStart w:id="179" w:name="_Toc59988347"/>
      <w:r>
        <w:rPr>
          <w:noProof/>
        </w:rPr>
        <w:t>X sadaļa. Laba regulatīvā prakse un regulatīvā sadarbība</w:t>
      </w:r>
      <w:bookmarkEnd w:id="178"/>
      <w:bookmarkEnd w:id="179"/>
      <w:r>
        <w:rPr>
          <w:i w:val="0"/>
          <w:caps w:val="0"/>
          <w:noProof/>
        </w:rPr>
        <w:t xml:space="preserve"> </w:t>
      </w:r>
    </w:p>
    <w:p w:rsidR="003E022D" w:rsidRDefault="007D19D6">
      <w:pPr>
        <w:pStyle w:val="Article"/>
        <w:rPr>
          <w:b/>
          <w:noProof/>
        </w:rPr>
      </w:pPr>
      <w:r>
        <w:rPr>
          <w:noProof/>
        </w:rPr>
        <w:t>GRP.1. pants. Vispārīgi principi</w:t>
      </w:r>
    </w:p>
    <w:p w:rsidR="003E022D" w:rsidRDefault="007D19D6">
      <w:pPr>
        <w:rPr>
          <w:noProof/>
        </w:rPr>
      </w:pPr>
      <w:r>
        <w:rPr>
          <w:noProof/>
        </w:rPr>
        <w:t>1.</w:t>
      </w:r>
      <w:r>
        <w:rPr>
          <w:noProof/>
        </w:rPr>
        <w:tab/>
        <w:t>Katra Puse var brīvi noteikt savu pieeju labai regulatīvajai praksei</w:t>
      </w:r>
      <w:r>
        <w:rPr>
          <w:noProof/>
        </w:rPr>
        <w:t xml:space="preserve"> saskaņā ar šo nolīgumu tādā veidā, kas atbilst tās tiesiskajam regulējumam, praksei, procedūrām un pamatprincipiem</w:t>
      </w:r>
      <w:r>
        <w:rPr>
          <w:rStyle w:val="FootnoteReference"/>
          <w:noProof/>
        </w:rPr>
        <w:footnoteReference w:id="49"/>
      </w:r>
      <w:r>
        <w:rPr>
          <w:noProof/>
        </w:rPr>
        <w:t xml:space="preserve">, kuri ir tās regulatīvās sistēmas pamatā. </w:t>
      </w:r>
    </w:p>
    <w:p w:rsidR="003E022D" w:rsidRDefault="007D19D6">
      <w:pPr>
        <w:rPr>
          <w:noProof/>
        </w:rPr>
      </w:pPr>
      <w:r>
        <w:rPr>
          <w:noProof/>
        </w:rPr>
        <w:t>2.</w:t>
      </w:r>
      <w:r>
        <w:rPr>
          <w:noProof/>
        </w:rPr>
        <w:tab/>
        <w:t xml:space="preserve">Neko šajā sadaļā neinterpretē tā, ka kādai Pusei tiktu prasīts:  </w:t>
      </w:r>
    </w:p>
    <w:p w:rsidR="003E022D" w:rsidRDefault="007D19D6">
      <w:pPr>
        <w:pStyle w:val="ListParagraph"/>
        <w:numPr>
          <w:ilvl w:val="0"/>
          <w:numId w:val="523"/>
        </w:numPr>
        <w:ind w:left="567" w:hanging="567"/>
        <w:contextualSpacing w:val="0"/>
        <w:rPr>
          <w:rFonts w:cstheme="minorHAnsi"/>
          <w:noProof/>
        </w:rPr>
      </w:pPr>
      <w:r>
        <w:rPr>
          <w:noProof/>
        </w:rPr>
        <w:t>atkāpties no savām regulatī</w:t>
      </w:r>
      <w:r>
        <w:rPr>
          <w:noProof/>
        </w:rPr>
        <w:t xml:space="preserve">vo pasākumu sagatavošanas un pieņemšanas iekšzemes procedūrām; </w:t>
      </w:r>
    </w:p>
    <w:p w:rsidR="003E022D" w:rsidRDefault="007D19D6">
      <w:pPr>
        <w:pStyle w:val="ListParagraph"/>
        <w:numPr>
          <w:ilvl w:val="0"/>
          <w:numId w:val="523"/>
        </w:numPr>
        <w:ind w:left="567" w:hanging="567"/>
        <w:contextualSpacing w:val="0"/>
        <w:rPr>
          <w:rFonts w:cstheme="minorHAnsi"/>
          <w:noProof/>
        </w:rPr>
      </w:pPr>
      <w:r>
        <w:rPr>
          <w:noProof/>
        </w:rPr>
        <w:t xml:space="preserve">veikt darbības, kuras apdraudētu vai kavētu regulatīvo pasākumu, ar ko sasniedz tās publiskās politikas mērķus, savlaicīgu pieņemšanu, vai </w:t>
      </w:r>
    </w:p>
    <w:p w:rsidR="003E022D" w:rsidRDefault="007D19D6">
      <w:pPr>
        <w:pStyle w:val="ListParagraph"/>
        <w:numPr>
          <w:ilvl w:val="0"/>
          <w:numId w:val="523"/>
        </w:numPr>
        <w:ind w:left="567" w:hanging="567"/>
        <w:contextualSpacing w:val="0"/>
        <w:rPr>
          <w:noProof/>
        </w:rPr>
      </w:pPr>
      <w:r>
        <w:rPr>
          <w:noProof/>
        </w:rPr>
        <w:t xml:space="preserve">sasniegt kādu konkrētu regulatīvu rezultātu. </w:t>
      </w:r>
    </w:p>
    <w:p w:rsidR="003E022D" w:rsidRDefault="007D19D6">
      <w:pPr>
        <w:rPr>
          <w:noProof/>
        </w:rPr>
      </w:pPr>
      <w:r>
        <w:rPr>
          <w:noProof/>
        </w:rPr>
        <w:t>3.</w:t>
      </w:r>
      <w:r>
        <w:rPr>
          <w:noProof/>
        </w:rPr>
        <w:tab/>
        <w:t>Nek</w:t>
      </w:r>
      <w:r>
        <w:rPr>
          <w:noProof/>
        </w:rPr>
        <w:t xml:space="preserve">as šajā sadaļā neietekmē kādas Puses tiesības noteikt vai regulēt savu aizsardzības līmeni, tiecoties sasniegt vai sekmējot tās publiskās politikas mērķu sasniegšanu šādās jomās:  </w:t>
      </w:r>
    </w:p>
    <w:p w:rsidR="003E022D" w:rsidRDefault="007D19D6">
      <w:pPr>
        <w:pStyle w:val="ListParagraph"/>
        <w:numPr>
          <w:ilvl w:val="0"/>
          <w:numId w:val="524"/>
        </w:numPr>
        <w:ind w:left="567" w:hanging="567"/>
        <w:contextualSpacing w:val="0"/>
        <w:rPr>
          <w:rFonts w:cstheme="minorHAnsi"/>
          <w:noProof/>
        </w:rPr>
      </w:pPr>
      <w:r>
        <w:rPr>
          <w:noProof/>
        </w:rPr>
        <w:t xml:space="preserve">sabiedrības veselība;  </w:t>
      </w:r>
    </w:p>
    <w:p w:rsidR="003E022D" w:rsidRDefault="007D19D6">
      <w:pPr>
        <w:pStyle w:val="ListParagraph"/>
        <w:numPr>
          <w:ilvl w:val="0"/>
          <w:numId w:val="524"/>
        </w:numPr>
        <w:ind w:left="567" w:hanging="567"/>
        <w:contextualSpacing w:val="0"/>
        <w:rPr>
          <w:rFonts w:cstheme="minorHAnsi"/>
          <w:noProof/>
        </w:rPr>
      </w:pPr>
      <w:r>
        <w:rPr>
          <w:noProof/>
        </w:rPr>
        <w:t>cilvēku un dzīvnieku dzīvības un veselības vai augu</w:t>
      </w:r>
      <w:r>
        <w:rPr>
          <w:noProof/>
        </w:rPr>
        <w:t xml:space="preserve"> aizsardzība, kā arī dzīvnieku labturība;  </w:t>
      </w:r>
    </w:p>
    <w:p w:rsidR="003E022D" w:rsidRDefault="007D19D6">
      <w:pPr>
        <w:pStyle w:val="ListParagraph"/>
        <w:numPr>
          <w:ilvl w:val="0"/>
          <w:numId w:val="524"/>
        </w:numPr>
        <w:ind w:left="567" w:hanging="567"/>
        <w:contextualSpacing w:val="0"/>
        <w:rPr>
          <w:rFonts w:cstheme="minorHAnsi"/>
          <w:noProof/>
        </w:rPr>
      </w:pPr>
      <w:r>
        <w:rPr>
          <w:noProof/>
        </w:rPr>
        <w:t xml:space="preserve">arodveselība un darba drošība;  </w:t>
      </w:r>
    </w:p>
    <w:p w:rsidR="003E022D" w:rsidRDefault="007D19D6">
      <w:pPr>
        <w:pStyle w:val="ListParagraph"/>
        <w:numPr>
          <w:ilvl w:val="0"/>
          <w:numId w:val="524"/>
        </w:numPr>
        <w:ind w:left="567" w:hanging="567"/>
        <w:contextualSpacing w:val="0"/>
        <w:rPr>
          <w:rFonts w:cstheme="minorHAnsi"/>
          <w:noProof/>
        </w:rPr>
      </w:pPr>
      <w:r>
        <w:rPr>
          <w:noProof/>
        </w:rPr>
        <w:t>darba apstākļi;</w:t>
      </w:r>
    </w:p>
    <w:p w:rsidR="003E022D" w:rsidRDefault="007D19D6">
      <w:pPr>
        <w:pStyle w:val="ListParagraph"/>
        <w:numPr>
          <w:ilvl w:val="0"/>
          <w:numId w:val="524"/>
        </w:numPr>
        <w:ind w:left="567" w:hanging="567"/>
        <w:contextualSpacing w:val="0"/>
        <w:rPr>
          <w:rFonts w:cstheme="minorHAnsi"/>
          <w:noProof/>
        </w:rPr>
      </w:pPr>
      <w:r>
        <w:rPr>
          <w:noProof/>
        </w:rPr>
        <w:t xml:space="preserve">vide, t. sk. klimata pārmaiņas;  </w:t>
      </w:r>
    </w:p>
    <w:p w:rsidR="003E022D" w:rsidRDefault="007D19D6">
      <w:pPr>
        <w:pStyle w:val="ListParagraph"/>
        <w:numPr>
          <w:ilvl w:val="0"/>
          <w:numId w:val="524"/>
        </w:numPr>
        <w:ind w:left="567" w:hanging="567"/>
        <w:contextualSpacing w:val="0"/>
        <w:rPr>
          <w:rFonts w:cstheme="minorHAnsi"/>
          <w:noProof/>
        </w:rPr>
      </w:pPr>
      <w:r>
        <w:rPr>
          <w:noProof/>
        </w:rPr>
        <w:t xml:space="preserve"> patērētāju tiesību aizsardzība;  </w:t>
      </w:r>
    </w:p>
    <w:p w:rsidR="003E022D" w:rsidRDefault="007D19D6">
      <w:pPr>
        <w:pStyle w:val="ListParagraph"/>
        <w:numPr>
          <w:ilvl w:val="0"/>
          <w:numId w:val="524"/>
        </w:numPr>
        <w:ind w:left="567" w:hanging="567"/>
        <w:contextualSpacing w:val="0"/>
        <w:rPr>
          <w:rFonts w:cstheme="minorHAnsi"/>
          <w:noProof/>
        </w:rPr>
      </w:pPr>
      <w:r>
        <w:rPr>
          <w:noProof/>
        </w:rPr>
        <w:t xml:space="preserve">sociālā aizsardzība un sociālais nodrošinājums; </w:t>
      </w:r>
    </w:p>
    <w:p w:rsidR="003E022D" w:rsidRDefault="007D19D6">
      <w:pPr>
        <w:pStyle w:val="ListParagraph"/>
        <w:numPr>
          <w:ilvl w:val="0"/>
          <w:numId w:val="524"/>
        </w:numPr>
        <w:ind w:left="567" w:hanging="567"/>
        <w:contextualSpacing w:val="0"/>
        <w:rPr>
          <w:rFonts w:cstheme="minorHAnsi"/>
          <w:noProof/>
        </w:rPr>
      </w:pPr>
      <w:r>
        <w:rPr>
          <w:noProof/>
        </w:rPr>
        <w:t xml:space="preserve">datu aizsardzība un kiberdrošība;  </w:t>
      </w:r>
    </w:p>
    <w:p w:rsidR="003E022D" w:rsidRDefault="007D19D6">
      <w:pPr>
        <w:pStyle w:val="ListParagraph"/>
        <w:numPr>
          <w:ilvl w:val="0"/>
          <w:numId w:val="524"/>
        </w:numPr>
        <w:ind w:left="567" w:hanging="567"/>
        <w:contextualSpacing w:val="0"/>
        <w:rPr>
          <w:rFonts w:cstheme="minorHAnsi"/>
          <w:noProof/>
        </w:rPr>
      </w:pPr>
      <w:r>
        <w:rPr>
          <w:noProof/>
        </w:rPr>
        <w:t xml:space="preserve">kultūras </w:t>
      </w:r>
      <w:r>
        <w:rPr>
          <w:noProof/>
        </w:rPr>
        <w:t xml:space="preserve">daudzveidība;  </w:t>
      </w:r>
    </w:p>
    <w:p w:rsidR="003E022D" w:rsidRDefault="007D19D6">
      <w:pPr>
        <w:pStyle w:val="ListParagraph"/>
        <w:numPr>
          <w:ilvl w:val="0"/>
          <w:numId w:val="524"/>
        </w:numPr>
        <w:ind w:left="567" w:hanging="567"/>
        <w:contextualSpacing w:val="0"/>
        <w:rPr>
          <w:rFonts w:cstheme="minorHAnsi"/>
          <w:noProof/>
        </w:rPr>
      </w:pPr>
      <w:r>
        <w:rPr>
          <w:noProof/>
        </w:rPr>
        <w:t xml:space="preserve">finanšu sistēmas integritāte un stabilitāte un investoru aizsardzība; </w:t>
      </w:r>
    </w:p>
    <w:p w:rsidR="003E022D" w:rsidRDefault="007D19D6">
      <w:pPr>
        <w:pStyle w:val="ListParagraph"/>
        <w:numPr>
          <w:ilvl w:val="0"/>
          <w:numId w:val="524"/>
        </w:numPr>
        <w:ind w:left="567" w:hanging="567"/>
        <w:contextualSpacing w:val="0"/>
        <w:rPr>
          <w:rFonts w:cstheme="minorHAnsi"/>
          <w:noProof/>
        </w:rPr>
      </w:pPr>
      <w:r>
        <w:rPr>
          <w:noProof/>
        </w:rPr>
        <w:t xml:space="preserve">enerģētiskā drošība un </w:t>
      </w:r>
    </w:p>
    <w:p w:rsidR="003E022D" w:rsidRDefault="007D19D6">
      <w:pPr>
        <w:pStyle w:val="ListParagraph"/>
        <w:numPr>
          <w:ilvl w:val="0"/>
          <w:numId w:val="524"/>
        </w:numPr>
        <w:ind w:left="567" w:hanging="567"/>
        <w:contextualSpacing w:val="0"/>
        <w:rPr>
          <w:noProof/>
        </w:rPr>
      </w:pPr>
      <w:r>
        <w:rPr>
          <w:noProof/>
        </w:rPr>
        <w:t xml:space="preserve">cīņa pret nelikumīgi iegūtu līdzekļu legalizēšanu. </w:t>
      </w:r>
    </w:p>
    <w:p w:rsidR="003E022D" w:rsidRDefault="007D19D6">
      <w:pPr>
        <w:rPr>
          <w:noProof/>
        </w:rPr>
      </w:pPr>
      <w:r>
        <w:rPr>
          <w:noProof/>
        </w:rPr>
        <w:t>Lielākai noteiktībai — jo īpaši pirmā apakšpunkta c) un d) punkta nolūkos tiek turpināts piem</w:t>
      </w:r>
      <w:r>
        <w:rPr>
          <w:noProof/>
        </w:rPr>
        <w:t>ērot dažādus kolektīvo darba attiecību modeļus, tostarp sociālo partneru lomu un autonomiju, kā paredzēts kādas Puses tiesībās vai valsts praksē, ieskaitot tiesības un praksi attiecībā uz darba koplīgumiem un koplīgumu izpildi.</w:t>
      </w:r>
    </w:p>
    <w:p w:rsidR="003E022D" w:rsidRDefault="007D19D6">
      <w:pPr>
        <w:spacing w:after="0"/>
        <w:rPr>
          <w:noProof/>
        </w:rPr>
      </w:pPr>
      <w:r>
        <w:rPr>
          <w:noProof/>
        </w:rPr>
        <w:t>4.</w:t>
      </w:r>
      <w:r>
        <w:rPr>
          <w:noProof/>
        </w:rPr>
        <w:tab/>
        <w:t>Regulatīvie pasākumi nera</w:t>
      </w:r>
      <w:r>
        <w:rPr>
          <w:noProof/>
        </w:rPr>
        <w:t>da slēptu šķērsli tirdzniecībai.</w:t>
      </w:r>
    </w:p>
    <w:p w:rsidR="003E022D" w:rsidRDefault="007D19D6">
      <w:pPr>
        <w:pStyle w:val="Article"/>
        <w:rPr>
          <w:b/>
          <w:noProof/>
        </w:rPr>
      </w:pPr>
      <w:r>
        <w:rPr>
          <w:noProof/>
        </w:rPr>
        <w:t>GRP.2. pants. Definīcijas</w:t>
      </w:r>
    </w:p>
    <w:p w:rsidR="003E022D" w:rsidRDefault="007D19D6">
      <w:pPr>
        <w:rPr>
          <w:noProof/>
        </w:rPr>
      </w:pPr>
      <w:r>
        <w:rPr>
          <w:noProof/>
        </w:rPr>
        <w:t xml:space="preserve">Šajā sadaļā:  </w:t>
      </w:r>
    </w:p>
    <w:p w:rsidR="003E022D" w:rsidRDefault="007D19D6">
      <w:pPr>
        <w:pStyle w:val="ListParagraph"/>
        <w:numPr>
          <w:ilvl w:val="0"/>
          <w:numId w:val="525"/>
        </w:numPr>
        <w:ind w:left="567" w:hanging="567"/>
        <w:contextualSpacing w:val="0"/>
        <w:rPr>
          <w:rFonts w:cstheme="minorHAnsi"/>
          <w:noProof/>
        </w:rPr>
      </w:pPr>
      <w:r>
        <w:rPr>
          <w:noProof/>
        </w:rPr>
        <w:t>“regulatīvā iestāde” ir:</w:t>
      </w:r>
    </w:p>
    <w:p w:rsidR="003E022D" w:rsidRDefault="007D19D6">
      <w:pPr>
        <w:pStyle w:val="ListParagraph"/>
        <w:numPr>
          <w:ilvl w:val="0"/>
          <w:numId w:val="526"/>
        </w:numPr>
        <w:ind w:hanging="578"/>
        <w:contextualSpacing w:val="0"/>
        <w:rPr>
          <w:rFonts w:cstheme="minorHAnsi"/>
          <w:noProof/>
        </w:rPr>
      </w:pPr>
      <w:r>
        <w:rPr>
          <w:noProof/>
        </w:rPr>
        <w:t xml:space="preserve">attiecībā uz Savienību — Eiropas Komisija un </w:t>
      </w:r>
    </w:p>
    <w:p w:rsidR="003E022D" w:rsidRDefault="007D19D6">
      <w:pPr>
        <w:pStyle w:val="ListParagraph"/>
        <w:numPr>
          <w:ilvl w:val="0"/>
          <w:numId w:val="526"/>
        </w:numPr>
        <w:tabs>
          <w:tab w:val="left" w:pos="1276"/>
        </w:tabs>
        <w:ind w:left="1276" w:hanging="567"/>
        <w:contextualSpacing w:val="0"/>
        <w:rPr>
          <w:noProof/>
        </w:rPr>
      </w:pPr>
      <w:r>
        <w:rPr>
          <w:noProof/>
        </w:rPr>
        <w:t xml:space="preserve">attiecībā uz Apvienoto Karalisti — Lielbritānijas un Ziemeļīrijas Apvienotās Karalistes Viņas Majestātes </w:t>
      </w:r>
      <w:r>
        <w:rPr>
          <w:noProof/>
        </w:rPr>
        <w:t>valdība un Apvienotās Karalistes decentralizētās administrācijas.</w:t>
      </w:r>
    </w:p>
    <w:p w:rsidR="003E022D" w:rsidRDefault="007D19D6">
      <w:pPr>
        <w:rPr>
          <w:noProof/>
        </w:rPr>
      </w:pPr>
      <w:r>
        <w:rPr>
          <w:noProof/>
        </w:rPr>
        <w:t xml:space="preserve">b) </w:t>
      </w:r>
      <w:r>
        <w:rPr>
          <w:noProof/>
        </w:rPr>
        <w:tab/>
        <w:t xml:space="preserve">“regulatīvie pasākumi” ir: </w:t>
      </w:r>
    </w:p>
    <w:p w:rsidR="003E022D" w:rsidRDefault="007D19D6">
      <w:pPr>
        <w:pStyle w:val="ListParagraph"/>
        <w:numPr>
          <w:ilvl w:val="0"/>
          <w:numId w:val="527"/>
        </w:numPr>
        <w:ind w:left="1276" w:hanging="567"/>
        <w:contextualSpacing w:val="0"/>
        <w:rPr>
          <w:noProof/>
        </w:rPr>
      </w:pPr>
      <w:r>
        <w:rPr>
          <w:noProof/>
        </w:rPr>
        <w:t xml:space="preserve">attiecībā uz Savienību: </w:t>
      </w:r>
    </w:p>
    <w:p w:rsidR="003E022D" w:rsidRDefault="007D19D6">
      <w:pPr>
        <w:tabs>
          <w:tab w:val="left" w:pos="2268"/>
        </w:tabs>
        <w:ind w:left="2268" w:hanging="850"/>
        <w:rPr>
          <w:noProof/>
        </w:rPr>
      </w:pPr>
      <w:r>
        <w:rPr>
          <w:noProof/>
        </w:rPr>
        <w:t>A)</w:t>
      </w:r>
      <w:r>
        <w:rPr>
          <w:noProof/>
        </w:rPr>
        <w:tab/>
        <w:t xml:space="preserve">regulas un direktīvas, kā paredzēts Līguma par Eiropas Savienības darbību (LESD) 288. pantā, un </w:t>
      </w:r>
    </w:p>
    <w:p w:rsidR="003E022D" w:rsidRDefault="007D19D6">
      <w:pPr>
        <w:tabs>
          <w:tab w:val="left" w:pos="2268"/>
        </w:tabs>
        <w:ind w:left="2268" w:hanging="850"/>
        <w:rPr>
          <w:noProof/>
        </w:rPr>
      </w:pPr>
      <w:r>
        <w:rPr>
          <w:noProof/>
        </w:rPr>
        <w:t>B)</w:t>
      </w:r>
      <w:r>
        <w:rPr>
          <w:noProof/>
        </w:rPr>
        <w:tab/>
        <w:t>īstenošanas un deleģētie akti,</w:t>
      </w:r>
      <w:r>
        <w:rPr>
          <w:noProof/>
        </w:rPr>
        <w:t xml:space="preserve"> kā noteikts attiecīgi LESD 290. un 291. pantā, un </w:t>
      </w:r>
    </w:p>
    <w:p w:rsidR="003E022D" w:rsidRDefault="007D19D6">
      <w:pPr>
        <w:pStyle w:val="ListParagraph"/>
        <w:numPr>
          <w:ilvl w:val="0"/>
          <w:numId w:val="527"/>
        </w:numPr>
        <w:tabs>
          <w:tab w:val="left" w:pos="1276"/>
        </w:tabs>
        <w:ind w:left="1276" w:hanging="567"/>
        <w:contextualSpacing w:val="0"/>
        <w:rPr>
          <w:rFonts w:cstheme="minorHAnsi"/>
          <w:noProof/>
        </w:rPr>
      </w:pPr>
      <w:r>
        <w:rPr>
          <w:noProof/>
        </w:rPr>
        <w:t xml:space="preserve">attiecībā uz Apvienoto Karalisti: </w:t>
      </w:r>
    </w:p>
    <w:p w:rsidR="003E022D" w:rsidRDefault="007D19D6">
      <w:pPr>
        <w:ind w:left="2268" w:hanging="850"/>
        <w:rPr>
          <w:rFonts w:cstheme="minorHAnsi"/>
          <w:noProof/>
        </w:rPr>
      </w:pPr>
      <w:r>
        <w:rPr>
          <w:noProof/>
        </w:rPr>
        <w:t>A)</w:t>
      </w:r>
      <w:r>
        <w:rPr>
          <w:noProof/>
        </w:rPr>
        <w:tab/>
        <w:t>primārie tiesību akti un</w:t>
      </w:r>
    </w:p>
    <w:p w:rsidR="003E022D" w:rsidRDefault="007D19D6">
      <w:pPr>
        <w:ind w:left="2268" w:hanging="850"/>
        <w:rPr>
          <w:rFonts w:cstheme="minorHAnsi"/>
          <w:noProof/>
        </w:rPr>
      </w:pPr>
      <w:r>
        <w:rPr>
          <w:noProof/>
        </w:rPr>
        <w:t>B)</w:t>
      </w:r>
      <w:r>
        <w:rPr>
          <w:noProof/>
        </w:rPr>
        <w:tab/>
        <w:t>sekundārie tiesību akti.</w:t>
      </w:r>
    </w:p>
    <w:p w:rsidR="003E022D" w:rsidRDefault="007D19D6">
      <w:pPr>
        <w:pStyle w:val="Article"/>
        <w:rPr>
          <w:b/>
          <w:noProof/>
        </w:rPr>
      </w:pPr>
      <w:r>
        <w:rPr>
          <w:noProof/>
        </w:rPr>
        <w:t>GRP.3. pants. Darbības joma</w:t>
      </w:r>
    </w:p>
    <w:p w:rsidR="003E022D" w:rsidRDefault="007D19D6">
      <w:pPr>
        <w:rPr>
          <w:noProof/>
        </w:rPr>
      </w:pPr>
      <w:r>
        <w:rPr>
          <w:noProof/>
        </w:rPr>
        <w:t>1.</w:t>
      </w:r>
      <w:r>
        <w:rPr>
          <w:noProof/>
        </w:rPr>
        <w:tab/>
        <w:t xml:space="preserve">Šī sadaļa attiecas uz regulatīviem pasākumiem, ko attiecīgā gadījumā ierosina vai </w:t>
      </w:r>
      <w:r>
        <w:rPr>
          <w:noProof/>
        </w:rPr>
        <w:t xml:space="preserve">izdod katras Puses regulatīvā iestāde attiecībā uz jebkuru jautājumu, uz kuru attiecas I līdz IX sadaļa, XI sadaļa un XII sadaļa, un sestais temats [Citi noteikumi]. </w:t>
      </w:r>
    </w:p>
    <w:p w:rsidR="003E022D" w:rsidRDefault="007D19D6">
      <w:pPr>
        <w:rPr>
          <w:noProof/>
        </w:rPr>
      </w:pPr>
      <w:r>
        <w:rPr>
          <w:noProof/>
        </w:rPr>
        <w:t>2.</w:t>
      </w:r>
      <w:r>
        <w:rPr>
          <w:noProof/>
        </w:rPr>
        <w:tab/>
      </w:r>
      <w:r>
        <w:rPr>
          <w:noProof/>
        </w:rPr>
        <w:t>GRP.12. pants [Regulatīvās sadarbības pasākumi] un GRP.13. pants [Specializētā komiteja regulatīvās sadarbības jomā] attiecas arī uz citiem vispārēji piemērojamiem pasākumiem, ko izdevusi vai ierosinājusi kādas Puses regulatīvā iestāde attiecībā uz jebkuru</w:t>
      </w:r>
      <w:r>
        <w:rPr>
          <w:noProof/>
        </w:rPr>
        <w:t xml:space="preserve"> 1. punktā minēto sadaļu aptvertu jautājumu un kas saistās ar regulatīvās sadarbības pasākumiem, piemēram, uz pamatnostādnēm, politikas dokumentiem vai ieteikumiem.  </w:t>
      </w:r>
    </w:p>
    <w:p w:rsidR="003E022D" w:rsidRDefault="007D19D6">
      <w:pPr>
        <w:rPr>
          <w:noProof/>
        </w:rPr>
      </w:pPr>
      <w:r>
        <w:rPr>
          <w:noProof/>
        </w:rPr>
        <w:t>3.</w:t>
      </w:r>
      <w:r>
        <w:rPr>
          <w:noProof/>
        </w:rPr>
        <w:tab/>
        <w:t>Šī sadaļa neattiecas uz dalībvalstu regulatīvajām iestādēm un regulatīvajiem pasākumie</w:t>
      </w:r>
      <w:r>
        <w:rPr>
          <w:noProof/>
        </w:rPr>
        <w:t xml:space="preserve">m, regulatīvo praksi vai pieejām. </w:t>
      </w:r>
    </w:p>
    <w:p w:rsidR="003E022D" w:rsidRDefault="007D19D6">
      <w:pPr>
        <w:spacing w:after="0"/>
        <w:rPr>
          <w:noProof/>
        </w:rPr>
      </w:pPr>
      <w:r>
        <w:rPr>
          <w:noProof/>
        </w:rPr>
        <w:t>4.</w:t>
      </w:r>
      <w:r>
        <w:rPr>
          <w:noProof/>
        </w:rPr>
        <w:tab/>
        <w:t xml:space="preserve">Visi 1. punktā minēto sadaļu konkrētie noteikumi prevalē pār šīs sadaļas noteikumiem, ciktāl tas vajadzīgs šo konkrēto noteikumu piemērošanai.  </w:t>
      </w:r>
    </w:p>
    <w:p w:rsidR="003E022D" w:rsidRDefault="007D19D6">
      <w:pPr>
        <w:pStyle w:val="Article"/>
        <w:rPr>
          <w:b/>
          <w:noProof/>
        </w:rPr>
      </w:pPr>
      <w:r>
        <w:rPr>
          <w:noProof/>
        </w:rPr>
        <w:t>GRP.4. pants. Iekšējā koordinācija</w:t>
      </w:r>
    </w:p>
    <w:p w:rsidR="003E022D" w:rsidRDefault="007D19D6">
      <w:pPr>
        <w:rPr>
          <w:noProof/>
        </w:rPr>
      </w:pPr>
      <w:r>
        <w:rPr>
          <w:noProof/>
        </w:rPr>
        <w:t xml:space="preserve">Katrai Pusei ir iekšējās koordinācijas vai pārskatīšanas procesi vai mehānismi attiecībā uz regulatīvajiem pasākumiem, ko izstrādā tās regulatīvā iestāde. Ar šādiem procesiem vai mehānismiem cita starpā būtu jācenšas:  </w:t>
      </w:r>
    </w:p>
    <w:p w:rsidR="003E022D" w:rsidRDefault="007D19D6">
      <w:pPr>
        <w:pStyle w:val="ListParagraph"/>
        <w:numPr>
          <w:ilvl w:val="0"/>
          <w:numId w:val="528"/>
        </w:numPr>
        <w:ind w:left="567" w:hanging="567"/>
        <w:contextualSpacing w:val="0"/>
        <w:rPr>
          <w:rFonts w:cstheme="minorHAnsi"/>
          <w:noProof/>
        </w:rPr>
      </w:pPr>
      <w:r>
        <w:rPr>
          <w:noProof/>
        </w:rPr>
        <w:t>veicināt labu regulatīvo praksi, tos</w:t>
      </w:r>
      <w:r>
        <w:rPr>
          <w:noProof/>
        </w:rPr>
        <w:t xml:space="preserve">tarp to, kas izklāstīta šajā sadaļā; </w:t>
      </w:r>
    </w:p>
    <w:p w:rsidR="003E022D" w:rsidRDefault="007D19D6">
      <w:pPr>
        <w:pStyle w:val="ListParagraph"/>
        <w:numPr>
          <w:ilvl w:val="0"/>
          <w:numId w:val="528"/>
        </w:numPr>
        <w:ind w:left="567" w:hanging="567"/>
        <w:contextualSpacing w:val="0"/>
        <w:rPr>
          <w:rFonts w:cstheme="minorHAnsi"/>
          <w:noProof/>
        </w:rPr>
      </w:pPr>
      <w:r>
        <w:rPr>
          <w:noProof/>
        </w:rPr>
        <w:t xml:space="preserve">identificēt nevajadzīgu dublēšanos un nekonsekventas prasības starp pašas Puses regulatīvajiem pasākumiem un izvairīties no tā; </w:t>
      </w:r>
    </w:p>
    <w:p w:rsidR="003E022D" w:rsidRDefault="007D19D6">
      <w:pPr>
        <w:pStyle w:val="ListParagraph"/>
        <w:numPr>
          <w:ilvl w:val="0"/>
          <w:numId w:val="528"/>
        </w:numPr>
        <w:ind w:left="567" w:hanging="567"/>
        <w:contextualSpacing w:val="0"/>
        <w:rPr>
          <w:rFonts w:cstheme="minorHAnsi"/>
          <w:noProof/>
        </w:rPr>
      </w:pPr>
      <w:r>
        <w:rPr>
          <w:noProof/>
        </w:rPr>
        <w:t>nodrošināt atbilstību Puses starptautiskajiem pienākumiem tirdzniecības un investīciju jo</w:t>
      </w:r>
      <w:r>
        <w:rPr>
          <w:noProof/>
        </w:rPr>
        <w:t xml:space="preserve">mā un </w:t>
      </w:r>
    </w:p>
    <w:p w:rsidR="003E022D" w:rsidRDefault="007D19D6">
      <w:pPr>
        <w:pStyle w:val="ListParagraph"/>
        <w:numPr>
          <w:ilvl w:val="0"/>
          <w:numId w:val="528"/>
        </w:numPr>
        <w:ind w:left="567" w:hanging="567"/>
        <w:contextualSpacing w:val="0"/>
        <w:rPr>
          <w:noProof/>
        </w:rPr>
      </w:pPr>
      <w:r>
        <w:rPr>
          <w:noProof/>
        </w:rPr>
        <w:t>veicināt to, lai tiktu apsvērta sagatavošanā esošo regulatīvo pasākumu ietekme, tostarp — saskaņā ar attiecīgajiem noteikumiem un procedūrām — ietekme uz mazajiem un vidējiem uzņēmumiem</w:t>
      </w:r>
      <w:r>
        <w:rPr>
          <w:rStyle w:val="FootnoteReference"/>
          <w:noProof/>
        </w:rPr>
        <w:footnoteReference w:id="50"/>
      </w:r>
      <w:r>
        <w:rPr>
          <w:noProof/>
        </w:rPr>
        <w:t>.</w:t>
      </w:r>
    </w:p>
    <w:p w:rsidR="003E022D" w:rsidRDefault="007D19D6">
      <w:pPr>
        <w:pStyle w:val="Article"/>
        <w:rPr>
          <w:b/>
          <w:noProof/>
        </w:rPr>
      </w:pPr>
      <w:r>
        <w:rPr>
          <w:noProof/>
        </w:rPr>
        <w:t xml:space="preserve">GRP.5. pants. Procesu un mehānismu apraksts </w:t>
      </w:r>
    </w:p>
    <w:p w:rsidR="003E022D" w:rsidRDefault="007D19D6">
      <w:pPr>
        <w:spacing w:after="0"/>
        <w:rPr>
          <w:noProof/>
        </w:rPr>
      </w:pPr>
      <w:r>
        <w:rPr>
          <w:noProof/>
        </w:rPr>
        <w:t xml:space="preserve">Katra Puse dara </w:t>
      </w:r>
      <w:r>
        <w:rPr>
          <w:noProof/>
        </w:rPr>
        <w:t>publiski pieejamus to procesu vai mehānismu aprakstus, kurus tās regulatīvā iestāde izmanto, lai sagatavotu, novērtētu vai pārskatītu regulatīvos pasākumus. Minētajos aprakstos ir norādes uz attiecīgajiem noteikumiem, pamatnostādnēm vai procedūrām, tostarp</w:t>
      </w:r>
      <w:r>
        <w:rPr>
          <w:noProof/>
        </w:rPr>
        <w:t xml:space="preserve"> tām, kuras attiecas uz sabiedrības iespējām izteikt piezīmes.  </w:t>
      </w:r>
    </w:p>
    <w:p w:rsidR="003E022D" w:rsidRDefault="003E022D">
      <w:pPr>
        <w:spacing w:after="0"/>
        <w:rPr>
          <w:noProof/>
        </w:rPr>
      </w:pPr>
    </w:p>
    <w:p w:rsidR="003E022D" w:rsidRDefault="007D19D6">
      <w:pPr>
        <w:pStyle w:val="Article"/>
        <w:rPr>
          <w:b/>
          <w:noProof/>
        </w:rPr>
      </w:pPr>
      <w:r>
        <w:rPr>
          <w:noProof/>
        </w:rPr>
        <w:t xml:space="preserve">GRP.6. pants. Agrīna informācija par plānotu regulatīvo pasākumu </w:t>
      </w:r>
    </w:p>
    <w:p w:rsidR="003E022D" w:rsidRDefault="007D19D6">
      <w:pPr>
        <w:rPr>
          <w:noProof/>
        </w:rPr>
      </w:pPr>
      <w:r>
        <w:rPr>
          <w:noProof/>
        </w:rPr>
        <w:t>1.</w:t>
      </w:r>
      <w:r>
        <w:rPr>
          <w:noProof/>
        </w:rPr>
        <w:tab/>
        <w:t>Katra Puse saskaņā ar saviem attiecīgajiem noteikumiem un procedūrām vismaz reizi gadā dara publiski pieejamu sarakstu ar</w:t>
      </w:r>
      <w:r>
        <w:rPr>
          <w:noProof/>
        </w:rPr>
        <w:t xml:space="preserve"> plānotiem nozīmīgiem</w:t>
      </w:r>
      <w:r>
        <w:rPr>
          <w:noProof/>
          <w:vertAlign w:val="superscript"/>
        </w:rPr>
        <w:footnoteReference w:id="51"/>
      </w:r>
      <w:r>
        <w:rPr>
          <w:noProof/>
        </w:rPr>
        <w:t xml:space="preserve"> regulatīvajiem pasākumiem, kurus tās regulatīvā iestāde pamatoti plāno ierosināt vai pieņemt gada laikā. Izpildot savas saistības saskaņā ar šo sadaļu, katras Puses regulatīvā iestāde var noteikt, kas ir “nozīmīgs” regulatīvs pasākum</w:t>
      </w:r>
      <w:r>
        <w:rPr>
          <w:noProof/>
        </w:rPr>
        <w:t xml:space="preserve">s.  </w:t>
      </w:r>
    </w:p>
    <w:p w:rsidR="003E022D" w:rsidRDefault="007D19D6">
      <w:pPr>
        <w:rPr>
          <w:noProof/>
        </w:rPr>
      </w:pPr>
      <w:r>
        <w:rPr>
          <w:noProof/>
        </w:rPr>
        <w:t>2.</w:t>
      </w:r>
      <w:r>
        <w:rPr>
          <w:noProof/>
        </w:rPr>
        <w:tab/>
        <w:t xml:space="preserve">Katrai Pusei attiecībā uz katru nozīmīgu regulatīvo pasākumu, kas iekļauts 1. punktā minētajā sarakstā, pēc iespējas ātrāk jādara publiski pieejams arī: </w:t>
      </w:r>
    </w:p>
    <w:p w:rsidR="003E022D" w:rsidRDefault="007D19D6">
      <w:pPr>
        <w:pStyle w:val="ListParagraph"/>
        <w:numPr>
          <w:ilvl w:val="0"/>
          <w:numId w:val="529"/>
        </w:numPr>
        <w:ind w:left="567" w:hanging="567"/>
        <w:contextualSpacing w:val="0"/>
        <w:rPr>
          <w:rFonts w:cstheme="minorHAnsi"/>
          <w:noProof/>
        </w:rPr>
      </w:pPr>
      <w:r>
        <w:rPr>
          <w:noProof/>
        </w:rPr>
        <w:t xml:space="preserve">īss tā darbības jomas un mērķu apraksts un </w:t>
      </w:r>
    </w:p>
    <w:p w:rsidR="003E022D" w:rsidRDefault="007D19D6">
      <w:pPr>
        <w:pStyle w:val="ListParagraph"/>
        <w:numPr>
          <w:ilvl w:val="0"/>
          <w:numId w:val="529"/>
        </w:numPr>
        <w:ind w:left="567" w:hanging="567"/>
        <w:contextualSpacing w:val="0"/>
        <w:rPr>
          <w:noProof/>
        </w:rPr>
      </w:pPr>
      <w:r>
        <w:rPr>
          <w:noProof/>
        </w:rPr>
        <w:t>ja tas ir zināms, paredzamais tā pieņemšanas laiks</w:t>
      </w:r>
      <w:r>
        <w:rPr>
          <w:noProof/>
        </w:rPr>
        <w:t xml:space="preserve">, kā arī sabiedriskās apspriešanas iespējas.  </w:t>
      </w:r>
    </w:p>
    <w:p w:rsidR="003E022D" w:rsidRDefault="007D19D6">
      <w:pPr>
        <w:pStyle w:val="Article"/>
        <w:rPr>
          <w:b/>
          <w:noProof/>
        </w:rPr>
      </w:pPr>
      <w:r>
        <w:rPr>
          <w:noProof/>
        </w:rPr>
        <w:t xml:space="preserve">GRP.7. pants. Sabiedriskā apspriešana </w:t>
      </w:r>
    </w:p>
    <w:p w:rsidR="003E022D" w:rsidRDefault="007D19D6">
      <w:pPr>
        <w:rPr>
          <w:noProof/>
        </w:rPr>
      </w:pPr>
      <w:r>
        <w:rPr>
          <w:noProof/>
        </w:rPr>
        <w:t>1.</w:t>
      </w:r>
      <w:r>
        <w:rPr>
          <w:noProof/>
        </w:rPr>
        <w:tab/>
        <w:t xml:space="preserve">Sagatavojot nozīmīgu regulatīvo pasākumu, katra Puse saskaņā ar saviem attiecīgajiem noteikumiem un procedūrām nodrošina, ka tās regulatīvā iestāde: </w:t>
      </w:r>
    </w:p>
    <w:p w:rsidR="003E022D" w:rsidRDefault="007D19D6">
      <w:pPr>
        <w:pStyle w:val="ListParagraph"/>
        <w:numPr>
          <w:ilvl w:val="0"/>
          <w:numId w:val="530"/>
        </w:numPr>
        <w:ind w:left="567" w:hanging="567"/>
        <w:contextualSpacing w:val="0"/>
        <w:rPr>
          <w:rFonts w:cstheme="minorHAnsi"/>
          <w:noProof/>
        </w:rPr>
      </w:pPr>
      <w:r>
        <w:rPr>
          <w:noProof/>
        </w:rPr>
        <w:t>publicē vai nu re</w:t>
      </w:r>
      <w:r>
        <w:rPr>
          <w:noProof/>
        </w:rPr>
        <w:t xml:space="preserve">gulatīvā pasākuma projektu, vai apspriešanas dokumentus, kuros ir pietiekama informācija par šādu izstrādājamo regulatīvo pasākumu, lai ikviena persona varētu novērtēt, vai un kā pasākums var būtiski ietekmēt minētās personas intereses; </w:t>
      </w:r>
    </w:p>
    <w:p w:rsidR="003E022D" w:rsidRDefault="007D19D6">
      <w:pPr>
        <w:pStyle w:val="ListParagraph"/>
        <w:numPr>
          <w:ilvl w:val="0"/>
          <w:numId w:val="530"/>
        </w:numPr>
        <w:ind w:left="567" w:hanging="567"/>
        <w:contextualSpacing w:val="0"/>
        <w:rPr>
          <w:rFonts w:cstheme="minorHAnsi"/>
          <w:noProof/>
        </w:rPr>
      </w:pPr>
      <w:r>
        <w:rPr>
          <w:noProof/>
        </w:rPr>
        <w:t>bez diskriminācija</w:t>
      </w:r>
      <w:r>
        <w:rPr>
          <w:noProof/>
        </w:rPr>
        <w:t xml:space="preserve">s piedāvā pienācīgas iespējas ikvienai personai sniegt piezīmes un </w:t>
      </w:r>
    </w:p>
    <w:p w:rsidR="003E022D" w:rsidRDefault="007D19D6">
      <w:pPr>
        <w:pStyle w:val="ListParagraph"/>
        <w:numPr>
          <w:ilvl w:val="0"/>
          <w:numId w:val="530"/>
        </w:numPr>
        <w:ind w:left="567" w:hanging="567"/>
        <w:contextualSpacing w:val="0"/>
        <w:rPr>
          <w:noProof/>
        </w:rPr>
      </w:pPr>
      <w:r>
        <w:rPr>
          <w:noProof/>
        </w:rPr>
        <w:t xml:space="preserve">izskata saņemtās piezīmes.  </w:t>
      </w:r>
    </w:p>
    <w:p w:rsidR="003E022D" w:rsidRDefault="007D19D6">
      <w:pPr>
        <w:rPr>
          <w:noProof/>
        </w:rPr>
      </w:pPr>
      <w:r>
        <w:rPr>
          <w:noProof/>
        </w:rPr>
        <w:t>2.</w:t>
      </w:r>
      <w:r>
        <w:rPr>
          <w:noProof/>
        </w:rPr>
        <w:tab/>
        <w:t>Katra Puse nodrošina, ka tās regulatīvā iestāde izmanto elektroniskos saziņas līdzekļus, un cenšas uzturēt sabiedrībai bez maksas pieejamus tiešsaistes paka</w:t>
      </w:r>
      <w:r>
        <w:rPr>
          <w:noProof/>
        </w:rPr>
        <w:t xml:space="preserve">lpojumus, lai publicētu attiecīgos regulatīvos pasākumus vai 1. punkta a) apakšpunktā minētos dokumentus un saņemtu piezīmes saistībā ar sabiedrisko apspriešanu.  </w:t>
      </w:r>
    </w:p>
    <w:p w:rsidR="003E022D" w:rsidRDefault="007D19D6">
      <w:pPr>
        <w:spacing w:after="0"/>
        <w:rPr>
          <w:noProof/>
        </w:rPr>
      </w:pPr>
      <w:r>
        <w:rPr>
          <w:noProof/>
        </w:rPr>
        <w:t>3.</w:t>
      </w:r>
      <w:r>
        <w:rPr>
          <w:noProof/>
        </w:rPr>
        <w:tab/>
        <w:t xml:space="preserve">Katra Puse nodrošina, ka tās regulatīvā iestāde saskaņā ar tās attiecīgajiem noteikumiem </w:t>
      </w:r>
      <w:r>
        <w:rPr>
          <w:noProof/>
        </w:rPr>
        <w:t>un procedūrām dara publiski pieejamu šajā pantā minēto sabiedrisko apspriešanu rezultātu kopsavilkumu.</w:t>
      </w:r>
    </w:p>
    <w:p w:rsidR="003E022D" w:rsidRDefault="007D19D6">
      <w:pPr>
        <w:pStyle w:val="Article"/>
        <w:rPr>
          <w:b/>
          <w:noProof/>
        </w:rPr>
      </w:pPr>
      <w:r>
        <w:rPr>
          <w:noProof/>
        </w:rPr>
        <w:t xml:space="preserve">GRP.8. pants. Ietekmes novērtējums </w:t>
      </w:r>
    </w:p>
    <w:p w:rsidR="003E022D" w:rsidRDefault="007D19D6">
      <w:pPr>
        <w:rPr>
          <w:noProof/>
        </w:rPr>
      </w:pPr>
      <w:r>
        <w:rPr>
          <w:noProof/>
        </w:rPr>
        <w:t xml:space="preserve">1. </w:t>
      </w:r>
      <w:r>
        <w:rPr>
          <w:noProof/>
        </w:rPr>
        <w:tab/>
        <w:t>Katra Puse apstiprina savu nodomu nodrošināt, ka tās regulatīvā iestāde saskaņā ar saviem attiecīgajiem noteikumi</w:t>
      </w:r>
      <w:r>
        <w:rPr>
          <w:noProof/>
        </w:rPr>
        <w:t xml:space="preserve">em un procedūrām veic nozīmīgu regulatīvo pasākumu, kurus tā gatavo, ietekmes novērtējumus. Šādi noteikumi un procedūras var paredzēt izņēmumus. </w:t>
      </w:r>
    </w:p>
    <w:p w:rsidR="003E022D" w:rsidRDefault="007D19D6">
      <w:pPr>
        <w:rPr>
          <w:noProof/>
        </w:rPr>
      </w:pPr>
      <w:r>
        <w:rPr>
          <w:noProof/>
        </w:rPr>
        <w:t>2.</w:t>
      </w:r>
      <w:r>
        <w:rPr>
          <w:noProof/>
        </w:rPr>
        <w:tab/>
        <w:t>Veicot ietekmes novērtējumu, katra Puse nodrošina, ka tās regulatīvajai iestādei ir procesi un mehānismi, k</w:t>
      </w:r>
      <w:r>
        <w:rPr>
          <w:noProof/>
        </w:rPr>
        <w:t xml:space="preserve">as veicina šādu faktoru apsvēršanu: </w:t>
      </w:r>
    </w:p>
    <w:p w:rsidR="003E022D" w:rsidRDefault="007D19D6">
      <w:pPr>
        <w:pStyle w:val="ListParagraph"/>
        <w:numPr>
          <w:ilvl w:val="0"/>
          <w:numId w:val="531"/>
        </w:numPr>
        <w:ind w:left="567" w:hanging="567"/>
        <w:contextualSpacing w:val="0"/>
        <w:rPr>
          <w:rFonts w:cstheme="minorHAnsi"/>
          <w:noProof/>
        </w:rPr>
      </w:pPr>
      <w:r>
        <w:rPr>
          <w:noProof/>
        </w:rPr>
        <w:t xml:space="preserve">regulatīvā pasākuma nepieciešamība, tostarp tā jautājuma būtība un nozīme, ko paredzēts risināt ar regulatīvo pasākumu;  </w:t>
      </w:r>
    </w:p>
    <w:p w:rsidR="003E022D" w:rsidRDefault="007D19D6">
      <w:pPr>
        <w:pStyle w:val="ListParagraph"/>
        <w:numPr>
          <w:ilvl w:val="0"/>
          <w:numId w:val="531"/>
        </w:numPr>
        <w:ind w:left="567" w:hanging="567"/>
        <w:contextualSpacing w:val="0"/>
        <w:rPr>
          <w:rFonts w:cstheme="minorHAnsi"/>
          <w:noProof/>
        </w:rPr>
      </w:pPr>
      <w:r>
        <w:rPr>
          <w:noProof/>
        </w:rPr>
        <w:t xml:space="preserve">visi realizējami un piemēroti regulatīvi un neregulatīvi risinājumi, tostarp iespēja nereglamentēt, ar ko būtu iespējams sasniegt Puses publiskās politikas mērķus;  </w:t>
      </w:r>
    </w:p>
    <w:p w:rsidR="003E022D" w:rsidRDefault="007D19D6">
      <w:pPr>
        <w:pStyle w:val="ListParagraph"/>
        <w:numPr>
          <w:ilvl w:val="0"/>
          <w:numId w:val="531"/>
        </w:numPr>
        <w:ind w:left="567" w:hanging="567"/>
        <w:contextualSpacing w:val="0"/>
        <w:rPr>
          <w:rFonts w:cstheme="minorHAnsi"/>
          <w:noProof/>
        </w:rPr>
      </w:pPr>
      <w:r>
        <w:rPr>
          <w:noProof/>
        </w:rPr>
        <w:t xml:space="preserve">ciktāl tas iespējams un attiecīgā gadījumā – šo risinājumu potenciālā sociālā, ekonomiskā </w:t>
      </w:r>
      <w:r>
        <w:rPr>
          <w:noProof/>
        </w:rPr>
        <w:t xml:space="preserve">un vides ietekme, tostarp ietekme uz starptautisko tirdzniecību un investīcijām un – saskaņā ar attiecīgajiem noteikumiem un procedūrām – ietekme uz mazajiem un vidējiem uzņēmumiem, un </w:t>
      </w:r>
    </w:p>
    <w:p w:rsidR="003E022D" w:rsidRDefault="007D19D6">
      <w:pPr>
        <w:pStyle w:val="ListParagraph"/>
        <w:numPr>
          <w:ilvl w:val="0"/>
          <w:numId w:val="531"/>
        </w:numPr>
        <w:ind w:left="567" w:hanging="567"/>
        <w:contextualSpacing w:val="0"/>
        <w:rPr>
          <w:noProof/>
        </w:rPr>
      </w:pPr>
      <w:r>
        <w:rPr>
          <w:noProof/>
        </w:rPr>
        <w:t>attiecīgā gadījumā – kā apskatītie risinājumi ir saistīti ar attiecīga</w:t>
      </w:r>
      <w:r>
        <w:rPr>
          <w:noProof/>
        </w:rPr>
        <w:t xml:space="preserve">jiem starptautiskajiem standartiem, tostarp norādot jebkādu atšķirību iemeslus. </w:t>
      </w:r>
    </w:p>
    <w:p w:rsidR="003E022D" w:rsidRDefault="007D19D6">
      <w:pPr>
        <w:spacing w:after="0"/>
        <w:rPr>
          <w:noProof/>
        </w:rPr>
      </w:pPr>
      <w:r>
        <w:rPr>
          <w:noProof/>
        </w:rPr>
        <w:t>3.</w:t>
      </w:r>
      <w:r>
        <w:rPr>
          <w:noProof/>
        </w:rPr>
        <w:tab/>
        <w:t>Attiecībā uz regulatīvās iestādes veiktu regulatīvā pasākuma ietekmes novērtējumu katra Puse nodrošina, ka tās regulatīvā iestāde sagatavo galīgo ziņojumu, kurā sīki izklās</w:t>
      </w:r>
      <w:r>
        <w:rPr>
          <w:noProof/>
        </w:rPr>
        <w:t xml:space="preserve">tīti faktori, ko tā ņēmusi vērā savā novērtējumā, un minētās iestādes attiecīgie konstatējumi. Katra Puse pēc iespējas dara šādus ziņojumus publiski pieejamus ne vēlāk kā tad, kad ir publiskots GRP.2. panta [Definīcijas] b) punkta i) apakšpunkta A) punktā </w:t>
      </w:r>
      <w:r>
        <w:rPr>
          <w:noProof/>
        </w:rPr>
        <w:t xml:space="preserve">vai ii) apakšpunkta A) punktā minētais regulatīvais pasākums vai GRP.2. panta [Definīcijas] b) punkta i) apakšpunkta B) punktā vai ii) apakšpunkta B) punktā minētais regulatīvais pasākums. </w:t>
      </w:r>
    </w:p>
    <w:p w:rsidR="003E022D" w:rsidRDefault="007D19D6">
      <w:pPr>
        <w:pStyle w:val="Article"/>
        <w:rPr>
          <w:b/>
          <w:noProof/>
        </w:rPr>
      </w:pPr>
      <w:r>
        <w:rPr>
          <w:noProof/>
        </w:rPr>
        <w:t xml:space="preserve">GRP.9. pants. Retrospektīvs izvērtējums </w:t>
      </w:r>
    </w:p>
    <w:p w:rsidR="003E022D" w:rsidRDefault="007D19D6">
      <w:pPr>
        <w:rPr>
          <w:noProof/>
        </w:rPr>
      </w:pPr>
      <w:r>
        <w:rPr>
          <w:noProof/>
        </w:rPr>
        <w:t>1.</w:t>
      </w:r>
      <w:r>
        <w:rPr>
          <w:noProof/>
        </w:rPr>
        <w:tab/>
        <w:t xml:space="preserve">Katra Puse nodrošina, </w:t>
      </w:r>
      <w:r>
        <w:rPr>
          <w:noProof/>
        </w:rPr>
        <w:t xml:space="preserve">ka tās regulatīvajā iestādē ir procesi vai mehānismi, lai attiecīgā gadījumā veiktu spēkā esošo regulatīvo pasākumu periodiskus retrospektīvus izvērtējumus. </w:t>
      </w:r>
    </w:p>
    <w:p w:rsidR="003E022D" w:rsidRDefault="007D19D6">
      <w:pPr>
        <w:rPr>
          <w:noProof/>
        </w:rPr>
      </w:pPr>
      <w:r>
        <w:rPr>
          <w:noProof/>
        </w:rPr>
        <w:t>2.</w:t>
      </w:r>
      <w:r>
        <w:rPr>
          <w:noProof/>
        </w:rPr>
        <w:tab/>
        <w:t>Veicot periodisku retrospektīvu izvērtējumu, katra Puse cenšas apsvērt, vai pastāv iespējas efe</w:t>
      </w:r>
      <w:r>
        <w:rPr>
          <w:noProof/>
        </w:rPr>
        <w:t>ktīvāk sasniegt minētās Puses publiskās politikas mērķus un samazināt nevajadzīgu regulatīvo slogu, tostarp mazajiem un vidējiem uzņēmumiem.</w:t>
      </w:r>
    </w:p>
    <w:p w:rsidR="003E022D" w:rsidRDefault="007D19D6">
      <w:pPr>
        <w:rPr>
          <w:noProof/>
        </w:rPr>
      </w:pPr>
      <w:r>
        <w:rPr>
          <w:noProof/>
        </w:rPr>
        <w:t>3.</w:t>
      </w:r>
      <w:r>
        <w:rPr>
          <w:noProof/>
        </w:rPr>
        <w:tab/>
        <w:t>Katra Puse nodrošina, ka tās regulatīvā iestāde publisko visus esošos plānus attiecībā uz retrospektīvajiem izvē</w:t>
      </w:r>
      <w:r>
        <w:rPr>
          <w:noProof/>
        </w:rPr>
        <w:t xml:space="preserve">rtējumiem un šādu retrospektīvo izvērtējumu rezultātus.  </w:t>
      </w:r>
    </w:p>
    <w:p w:rsidR="003E022D" w:rsidRDefault="007D19D6">
      <w:pPr>
        <w:pStyle w:val="Article"/>
        <w:rPr>
          <w:b/>
          <w:noProof/>
        </w:rPr>
      </w:pPr>
      <w:r>
        <w:rPr>
          <w:noProof/>
        </w:rPr>
        <w:t xml:space="preserve">GRP.10. pants. Regulatīvais reģistrs </w:t>
      </w:r>
    </w:p>
    <w:p w:rsidR="003E022D" w:rsidRDefault="007D19D6">
      <w:pPr>
        <w:spacing w:after="0"/>
        <w:rPr>
          <w:noProof/>
        </w:rPr>
      </w:pPr>
      <w:r>
        <w:rPr>
          <w:noProof/>
        </w:rPr>
        <w:t>Katra Puse nodrošina, ka spēkā esošie regulatīvie pasākumi tiek publicēti izraudzītā reģistrā, kurā tiek norādīti regulatīvie pasākumi un kurš ir publiski pieej</w:t>
      </w:r>
      <w:r>
        <w:rPr>
          <w:noProof/>
        </w:rPr>
        <w:t xml:space="preserve">ams tiešsaistē bez maksas. Reģistram būtu jāļauj meklēt regulatīvos pasākumus pēc citātiem vai atsevišķiem vārdiem. Katra Puse periodiski atjaunina savu reģistru.  </w:t>
      </w:r>
    </w:p>
    <w:p w:rsidR="003E022D" w:rsidRDefault="007D19D6">
      <w:pPr>
        <w:pStyle w:val="Article"/>
        <w:rPr>
          <w:b/>
          <w:noProof/>
        </w:rPr>
      </w:pPr>
      <w:r>
        <w:rPr>
          <w:noProof/>
        </w:rPr>
        <w:t xml:space="preserve">GRP.11. pants. Informācijas apmaiņa par labu regulatīvo praksi </w:t>
      </w:r>
    </w:p>
    <w:p w:rsidR="003E022D" w:rsidRDefault="007D19D6">
      <w:pPr>
        <w:spacing w:after="0"/>
        <w:rPr>
          <w:noProof/>
        </w:rPr>
      </w:pPr>
      <w:r>
        <w:rPr>
          <w:noProof/>
        </w:rPr>
        <w:t>Puses cenšas apmainīties ar</w:t>
      </w:r>
      <w:r>
        <w:rPr>
          <w:noProof/>
        </w:rPr>
        <w:t xml:space="preserve"> informāciju par labu regulatīvo praksi, kā noteikts šajā sadaļā, tostarp Tirdzniecības specializētajā komitejā regulatīvās sadarbības jomā. </w:t>
      </w:r>
    </w:p>
    <w:p w:rsidR="003E022D" w:rsidRDefault="007D19D6">
      <w:pPr>
        <w:pStyle w:val="Article"/>
        <w:rPr>
          <w:b/>
          <w:noProof/>
        </w:rPr>
      </w:pPr>
      <w:r>
        <w:rPr>
          <w:noProof/>
        </w:rPr>
        <w:t xml:space="preserve">GRP.12. pants. Regulatīvās sadarbības pasākumi </w:t>
      </w:r>
    </w:p>
    <w:p w:rsidR="003E022D" w:rsidRDefault="007D19D6">
      <w:pPr>
        <w:rPr>
          <w:noProof/>
        </w:rPr>
      </w:pPr>
      <w:r>
        <w:rPr>
          <w:noProof/>
        </w:rPr>
        <w:t>1.</w:t>
      </w:r>
      <w:r>
        <w:rPr>
          <w:noProof/>
        </w:rPr>
        <w:tab/>
      </w:r>
      <w:r>
        <w:rPr>
          <w:noProof/>
        </w:rPr>
        <w:t>Puses var brīvprātīgi iesaistīties regulatīvās sadarbības pasākumos, neskarot savu lēmumu pieņemšanas autonomiju un savu attiecīgo tiesisko kārtību. Puse var atteikties iesaistīties vai var izstāties no dalības regulatīvās sadarbības pasākumā. Pusei, kas a</w:t>
      </w:r>
      <w:r>
        <w:rPr>
          <w:noProof/>
        </w:rPr>
        <w:t xml:space="preserve">tsakās iesaistīties regulatīvās sadarbības pasākumā vai izstājas no dalības tajā, būtu jāpaskaidro otrai Pusei sava lēmuma iemeslus.  </w:t>
      </w:r>
    </w:p>
    <w:p w:rsidR="003E022D" w:rsidRDefault="007D19D6">
      <w:pPr>
        <w:rPr>
          <w:noProof/>
        </w:rPr>
      </w:pPr>
      <w:r>
        <w:rPr>
          <w:noProof/>
        </w:rPr>
        <w:t>2.</w:t>
      </w:r>
      <w:r>
        <w:rPr>
          <w:noProof/>
        </w:rPr>
        <w:tab/>
        <w:t>Katra Puse var otrai Pusei ierosināt regulatīvās sadarbības pasākumu. Tā iesniedz savu priekšlikumu ar tāda kontaktpun</w:t>
      </w:r>
      <w:r>
        <w:rPr>
          <w:noProof/>
        </w:rPr>
        <w:t xml:space="preserve">kta starpniecību, kas izraudzīts saskaņā ar GRP.14. pantu [Kontaktpunkti]. Otra Puse saprātīgā termiņā izskata minēto priekšlikumu un informē iesniedzēju Pusi par to, vai tā uzskata ierosināto pasākumu par piemērotu regulatīvajai sadarbībai.  </w:t>
      </w:r>
    </w:p>
    <w:p w:rsidR="003E022D" w:rsidRDefault="007D19D6">
      <w:pPr>
        <w:rPr>
          <w:noProof/>
        </w:rPr>
      </w:pPr>
      <w:r>
        <w:rPr>
          <w:noProof/>
        </w:rPr>
        <w:t>3.</w:t>
      </w:r>
      <w:r>
        <w:rPr>
          <w:noProof/>
        </w:rPr>
        <w:tab/>
        <w:t>Lai apzin</w:t>
      </w:r>
      <w:r>
        <w:rPr>
          <w:noProof/>
        </w:rPr>
        <w:t xml:space="preserve">ātu pasākumus, kas ir piemēroti regulatīvajai sadarbībai, katra Puse ņem vērā:  </w:t>
      </w:r>
    </w:p>
    <w:p w:rsidR="003E022D" w:rsidRDefault="007D19D6">
      <w:pPr>
        <w:pStyle w:val="ListParagraph"/>
        <w:numPr>
          <w:ilvl w:val="0"/>
          <w:numId w:val="532"/>
        </w:numPr>
        <w:ind w:left="567" w:hanging="567"/>
        <w:contextualSpacing w:val="0"/>
        <w:rPr>
          <w:rFonts w:cstheme="minorHAnsi"/>
          <w:noProof/>
        </w:rPr>
      </w:pPr>
      <w:r>
        <w:rPr>
          <w:noProof/>
        </w:rPr>
        <w:t xml:space="preserve">sarakstu, kas minēts GRP.6. panta [Agrīna informācija par plānotu regulatīvo pasākumu] 1. punktā, un </w:t>
      </w:r>
    </w:p>
    <w:p w:rsidR="003E022D" w:rsidRDefault="007D19D6">
      <w:pPr>
        <w:pStyle w:val="ListParagraph"/>
        <w:numPr>
          <w:ilvl w:val="0"/>
          <w:numId w:val="532"/>
        </w:numPr>
        <w:ind w:left="567" w:hanging="567"/>
        <w:contextualSpacing w:val="0"/>
        <w:rPr>
          <w:noProof/>
        </w:rPr>
      </w:pPr>
      <w:r>
        <w:rPr>
          <w:noProof/>
        </w:rPr>
        <w:t>priekšlikumus par regulatīvās sadarbības pasākumiem, kurus iesniegušas kā</w:t>
      </w:r>
      <w:r>
        <w:rPr>
          <w:noProof/>
        </w:rPr>
        <w:t xml:space="preserve">das Puses personas, kuri ir pamatoti un kuriem pievienota attiecīgā informācija.  </w:t>
      </w:r>
    </w:p>
    <w:p w:rsidR="003E022D" w:rsidRDefault="007D19D6">
      <w:pPr>
        <w:rPr>
          <w:noProof/>
        </w:rPr>
      </w:pPr>
      <w:r>
        <w:rPr>
          <w:noProof/>
        </w:rPr>
        <w:t>4.</w:t>
      </w:r>
      <w:r>
        <w:rPr>
          <w:noProof/>
        </w:rPr>
        <w:tab/>
        <w:t xml:space="preserve">Ja Puses nolemj iesaistīties kādā regulatīvās sadarbības pasākumā, katras Puses regulatīvā iestāde attiecīgā gadījumā cenšas:  </w:t>
      </w:r>
    </w:p>
    <w:p w:rsidR="003E022D" w:rsidRDefault="007D19D6">
      <w:pPr>
        <w:pStyle w:val="ListParagraph"/>
        <w:numPr>
          <w:ilvl w:val="0"/>
          <w:numId w:val="533"/>
        </w:numPr>
        <w:ind w:left="567" w:hanging="567"/>
        <w:contextualSpacing w:val="0"/>
        <w:rPr>
          <w:rFonts w:cstheme="minorHAnsi"/>
          <w:noProof/>
        </w:rPr>
      </w:pPr>
      <w:r>
        <w:rPr>
          <w:noProof/>
        </w:rPr>
        <w:t>informēt otras Puses regulatīvo iestādi pa</w:t>
      </w:r>
      <w:r>
        <w:rPr>
          <w:noProof/>
        </w:rPr>
        <w:t xml:space="preserve">r to, ka tiek gatavoti jauni vai tiek pārskatīti spēkā esoši regulatīvie pasākumi un citi vispārēji piemērojami pasākumi, kas minēti GRP.3. panta [Darbības joma] 2. punktā un kas ir būtiski regulatīvās sadarbības pasākumam;  </w:t>
      </w:r>
    </w:p>
    <w:p w:rsidR="003E022D" w:rsidRDefault="007D19D6">
      <w:pPr>
        <w:pStyle w:val="ListParagraph"/>
        <w:numPr>
          <w:ilvl w:val="0"/>
          <w:numId w:val="533"/>
        </w:numPr>
        <w:ind w:left="567" w:hanging="567"/>
        <w:contextualSpacing w:val="0"/>
        <w:rPr>
          <w:rFonts w:cstheme="minorHAnsi"/>
          <w:noProof/>
        </w:rPr>
      </w:pPr>
      <w:r>
        <w:rPr>
          <w:noProof/>
        </w:rPr>
        <w:t>pēc pieprasījuma sniegt inform</w:t>
      </w:r>
      <w:r>
        <w:rPr>
          <w:noProof/>
        </w:rPr>
        <w:t xml:space="preserve">āciju un apspriest regulatīvos pasākumus un citus vispārēji piemērojamus pasākumus, kas minēti GRP.3. panta [Darbības joma] 2. punktā un kas ir būtiski regulatīvās sadarbības pasākumam, un  </w:t>
      </w:r>
    </w:p>
    <w:p w:rsidR="003E022D" w:rsidRDefault="007D19D6">
      <w:pPr>
        <w:pStyle w:val="ListParagraph"/>
        <w:numPr>
          <w:ilvl w:val="0"/>
          <w:numId w:val="533"/>
        </w:numPr>
        <w:ind w:left="567" w:hanging="567"/>
        <w:contextualSpacing w:val="0"/>
        <w:rPr>
          <w:noProof/>
        </w:rPr>
      </w:pPr>
      <w:r>
        <w:rPr>
          <w:noProof/>
        </w:rPr>
        <w:t>sagatavojot jaunus vai pārskatot spēkā esošus regulatīvos pasākum</w:t>
      </w:r>
      <w:r>
        <w:rPr>
          <w:noProof/>
        </w:rPr>
        <w:t xml:space="preserve">us vai citus vispārēji piemērojamus pasākumus, kas minēti GRP.3. panta [Darbības joma] 2. punktā, pēc iespējas apsvērt otras Puses regulatīvo pieeju tajā pašā vai saistītā jautājumā.  </w:t>
      </w:r>
    </w:p>
    <w:p w:rsidR="003E022D" w:rsidRDefault="007D19D6">
      <w:pPr>
        <w:pStyle w:val="Article"/>
        <w:rPr>
          <w:b/>
          <w:noProof/>
        </w:rPr>
      </w:pPr>
      <w:r>
        <w:rPr>
          <w:noProof/>
        </w:rPr>
        <w:t xml:space="preserve">GRP.13. pants. Tirdzniecības specializētā komiteja regulatīvās sadarbības jomā  </w:t>
      </w:r>
    </w:p>
    <w:p w:rsidR="003E022D" w:rsidRDefault="007D19D6">
      <w:pPr>
        <w:rPr>
          <w:noProof/>
        </w:rPr>
      </w:pPr>
      <w:r>
        <w:rPr>
          <w:noProof/>
        </w:rPr>
        <w:t>1.</w:t>
      </w:r>
      <w:r>
        <w:rPr>
          <w:noProof/>
        </w:rPr>
        <w:tab/>
        <w:t>Tirdzniecības specializētajai komitejai regulatīvās sadarbības jomā ir šādas funkcijas:</w:t>
      </w:r>
    </w:p>
    <w:p w:rsidR="003E022D" w:rsidRDefault="007D19D6">
      <w:pPr>
        <w:pStyle w:val="ListParagraph"/>
        <w:numPr>
          <w:ilvl w:val="0"/>
          <w:numId w:val="534"/>
        </w:numPr>
        <w:ind w:left="567" w:hanging="567"/>
        <w:contextualSpacing w:val="0"/>
        <w:rPr>
          <w:rFonts w:cstheme="minorHAnsi"/>
          <w:noProof/>
        </w:rPr>
      </w:pPr>
      <w:r>
        <w:rPr>
          <w:noProof/>
        </w:rPr>
        <w:t xml:space="preserve">uzlabot un veicināt labu regulatīvo praksi un regulatīvo sadarbību starp Pusēm;  </w:t>
      </w:r>
    </w:p>
    <w:p w:rsidR="003E022D" w:rsidRDefault="007D19D6">
      <w:pPr>
        <w:pStyle w:val="ListParagraph"/>
        <w:numPr>
          <w:ilvl w:val="0"/>
          <w:numId w:val="534"/>
        </w:numPr>
        <w:ind w:left="567" w:hanging="567"/>
        <w:contextualSpacing w:val="0"/>
        <w:rPr>
          <w:rFonts w:cstheme="minorHAnsi"/>
          <w:noProof/>
        </w:rPr>
      </w:pPr>
      <w:r>
        <w:rPr>
          <w:noProof/>
        </w:rPr>
        <w:t>no</w:t>
      </w:r>
      <w:r>
        <w:rPr>
          <w:noProof/>
        </w:rPr>
        <w:t xml:space="preserve">drošināt viedokļu apmaiņu par sadarbības pasākumiem, kas ierosināti vai veikti saskaņā ar GRP.12. pantu [Regulatīvās sadarbības pasākumi];  </w:t>
      </w:r>
    </w:p>
    <w:p w:rsidR="003E022D" w:rsidRDefault="007D19D6">
      <w:pPr>
        <w:pStyle w:val="ListParagraph"/>
        <w:numPr>
          <w:ilvl w:val="0"/>
          <w:numId w:val="534"/>
        </w:numPr>
        <w:ind w:left="567" w:hanging="567"/>
        <w:contextualSpacing w:val="0"/>
        <w:rPr>
          <w:noProof/>
        </w:rPr>
      </w:pPr>
      <w:r>
        <w:rPr>
          <w:noProof/>
        </w:rPr>
        <w:t>mudināt uz regulatīvo sadarbību un koordināciju starptautiskos forumos, tostarp attiecīgā gadījumā periodisku divpu</w:t>
      </w:r>
      <w:r>
        <w:rPr>
          <w:noProof/>
        </w:rPr>
        <w:t>sēju informācijas apmaiņu par saistītiem notiekošiem vai plānotiem pasākumiem.</w:t>
      </w:r>
    </w:p>
    <w:p w:rsidR="003E022D" w:rsidRDefault="007D19D6">
      <w:pPr>
        <w:rPr>
          <w:noProof/>
        </w:rPr>
      </w:pPr>
      <w:r>
        <w:rPr>
          <w:noProof/>
        </w:rPr>
        <w:t>2.</w:t>
      </w:r>
      <w:r>
        <w:rPr>
          <w:noProof/>
        </w:rPr>
        <w:tab/>
        <w:t>Tirdzniecības specializētā komiteja regulatīvās sadarbības jomā var uzaicināt ieinteresētās personas piedalīties savās sanāksmēs.</w:t>
      </w:r>
    </w:p>
    <w:p w:rsidR="003E022D" w:rsidRDefault="007D19D6">
      <w:pPr>
        <w:pStyle w:val="Article"/>
        <w:rPr>
          <w:b/>
          <w:noProof/>
        </w:rPr>
      </w:pPr>
      <w:r>
        <w:rPr>
          <w:noProof/>
        </w:rPr>
        <w:t xml:space="preserve">GRP.14. pants. Kontaktpunkti  </w:t>
      </w:r>
    </w:p>
    <w:p w:rsidR="003E022D" w:rsidRDefault="007D19D6">
      <w:pPr>
        <w:spacing w:after="0"/>
        <w:rPr>
          <w:noProof/>
        </w:rPr>
      </w:pPr>
      <w:r>
        <w:rPr>
          <w:noProof/>
        </w:rPr>
        <w:t xml:space="preserve">Mēneša laikā </w:t>
      </w:r>
      <w:r>
        <w:rPr>
          <w:noProof/>
        </w:rPr>
        <w:t xml:space="preserve">pēc šā nolīguma stāšanās spēkā katra Puse izraugās kontaktpunktu, lai veicinātu informācijas apmaiņu starp Pusēm. </w:t>
      </w:r>
    </w:p>
    <w:p w:rsidR="003E022D" w:rsidRDefault="007D19D6">
      <w:pPr>
        <w:pStyle w:val="Article"/>
        <w:rPr>
          <w:b/>
          <w:noProof/>
        </w:rPr>
      </w:pPr>
      <w:r>
        <w:rPr>
          <w:noProof/>
        </w:rPr>
        <w:t xml:space="preserve">GRP.15. pants. Strīdu izšķiršanas nepiemērošana </w:t>
      </w:r>
    </w:p>
    <w:p w:rsidR="003E022D" w:rsidRDefault="007D19D6">
      <w:pPr>
        <w:spacing w:after="0"/>
        <w:rPr>
          <w:noProof/>
        </w:rPr>
      </w:pPr>
      <w:r>
        <w:rPr>
          <w:noProof/>
        </w:rPr>
        <w:t xml:space="preserve">Sestās daļas I sadaļu [Strīdu izšķiršana] nepiemēro strīdiem par šīs sadaļas interpretāciju </w:t>
      </w:r>
      <w:r>
        <w:rPr>
          <w:noProof/>
        </w:rPr>
        <w:t xml:space="preserve">un piemērošanu. </w:t>
      </w:r>
    </w:p>
    <w:p w:rsidR="003E022D" w:rsidRDefault="003E022D">
      <w:pPr>
        <w:spacing w:after="0"/>
        <w:rPr>
          <w:rFonts w:asciiTheme="majorHAnsi" w:hAnsiTheme="majorHAnsi"/>
          <w:noProof/>
        </w:rPr>
      </w:pPr>
    </w:p>
    <w:p w:rsidR="003E022D" w:rsidRDefault="007D19D6">
      <w:pPr>
        <w:pStyle w:val="Title1"/>
        <w:rPr>
          <w:noProof/>
        </w:rPr>
      </w:pPr>
      <w:bookmarkStart w:id="180" w:name="_Toc59988348"/>
      <w:r>
        <w:rPr>
          <w:noProof/>
        </w:rPr>
        <w:t>XI sadaļa. Vienlīdzīgi apstākļi atvērtai un godīgai konkurencei un ilgtspējīgai attīstībai</w:t>
      </w:r>
      <w:bookmarkEnd w:id="180"/>
    </w:p>
    <w:p w:rsidR="003E022D" w:rsidRDefault="007D19D6">
      <w:pPr>
        <w:pStyle w:val="Chapter"/>
        <w:rPr>
          <w:noProof/>
        </w:rPr>
      </w:pPr>
      <w:r>
        <w:rPr>
          <w:noProof/>
        </w:rPr>
        <w:t>Pirmā nodaļa. Vispārīgi noteikumi</w:t>
      </w:r>
    </w:p>
    <w:p w:rsidR="003E022D" w:rsidRDefault="007D19D6">
      <w:pPr>
        <w:pStyle w:val="Article"/>
        <w:rPr>
          <w:noProof/>
        </w:rPr>
      </w:pPr>
      <w:r>
        <w:rPr>
          <w:noProof/>
        </w:rPr>
        <w:t>1.1. pants. Principi un mērķi</w:t>
      </w:r>
    </w:p>
    <w:p w:rsidR="003E022D" w:rsidRDefault="007D19D6">
      <w:pPr>
        <w:numPr>
          <w:ilvl w:val="0"/>
          <w:numId w:val="1303"/>
        </w:numPr>
        <w:ind w:left="0" w:firstLine="0"/>
        <w:rPr>
          <w:rFonts w:cstheme="minorHAnsi"/>
          <w:noProof/>
        </w:rPr>
      </w:pPr>
      <w:r>
        <w:rPr>
          <w:noProof/>
        </w:rPr>
        <w:t>Puses atzīst, ka tirdzniecībai un investīcijām starp Savienību un Apvienoto Karalis</w:t>
      </w:r>
      <w:r>
        <w:rPr>
          <w:noProof/>
        </w:rPr>
        <w:t>ti, ko veic saskaņā ar šā nolīguma noteikumiem, ir vajadzīgi nosacījumi, kuri nodrošina vienlīdzīgus apstākļus atvērtai un godīgai konkurencei starp Pusēm un kuri nodrošina, ka tirdzniecība un investīcijas notiek tādā veidā, kas veicina ilgtspējīgu attīstī</w:t>
      </w:r>
      <w:r>
        <w:rPr>
          <w:noProof/>
        </w:rPr>
        <w:t xml:space="preserve">bu. </w:t>
      </w:r>
    </w:p>
    <w:p w:rsidR="003E022D" w:rsidRDefault="007D19D6">
      <w:pPr>
        <w:numPr>
          <w:ilvl w:val="0"/>
          <w:numId w:val="1303"/>
        </w:numPr>
        <w:ind w:left="0" w:firstLine="0"/>
        <w:rPr>
          <w:rFonts w:cstheme="minorHAnsi"/>
          <w:noProof/>
        </w:rPr>
      </w:pPr>
      <w:r>
        <w:rPr>
          <w:noProof/>
        </w:rPr>
        <w:t>Puses atzīst, ka ilgtspējīga attīstība ietver ekonomikas attīstību, sociālo attīstību un vides aizsardzību, visiem trim elementiem esot savstarpēji atkarīgiem un savstarpēji pastiprinošiem, un apstiprina savu apņemšanos veicināt starptautiskās tirdzni</w:t>
      </w:r>
      <w:r>
        <w:rPr>
          <w:noProof/>
        </w:rPr>
        <w:t>ecības un investīciju attīstību tādā veidā, kas veicina ilgtspējīgas attīstības mērķa sasniegšanu.</w:t>
      </w:r>
    </w:p>
    <w:p w:rsidR="003E022D" w:rsidRDefault="007D19D6">
      <w:pPr>
        <w:numPr>
          <w:ilvl w:val="0"/>
          <w:numId w:val="1303"/>
        </w:numPr>
        <w:ind w:left="0" w:firstLine="0"/>
        <w:rPr>
          <w:rFonts w:cstheme="minorHAnsi"/>
          <w:noProof/>
        </w:rPr>
      </w:pPr>
      <w:r>
        <w:rPr>
          <w:noProof/>
        </w:rPr>
        <w:t>Katra Puse atkārtoti apstiprina savu mērķi līdz 2050. gadam panākt visas ekonomikas mēroga klimatneitralitāti.</w:t>
      </w:r>
    </w:p>
    <w:p w:rsidR="003E022D" w:rsidRDefault="007D19D6">
      <w:pPr>
        <w:numPr>
          <w:ilvl w:val="0"/>
          <w:numId w:val="1303"/>
        </w:numPr>
        <w:ind w:left="0" w:firstLine="0"/>
        <w:rPr>
          <w:rFonts w:cstheme="minorHAnsi"/>
          <w:noProof/>
        </w:rPr>
      </w:pPr>
      <w:r>
        <w:rPr>
          <w:noProof/>
        </w:rPr>
        <w:t xml:space="preserve">Puses apstiprina savu kopīgo izpratni par to, </w:t>
      </w:r>
      <w:r>
        <w:rPr>
          <w:noProof/>
        </w:rPr>
        <w:t xml:space="preserve">ka to ekonomiskās attiecības var sniegt abpusēji apmierinošus rezultātus tikai tad, ja saistības attiecībā uz vienlīdzīgiem apstākļiem atvērtai un godīgai konkurencei izturēs laika pārbaudi, novēršot tirdzniecības vai investīciju izkropļojumus un veicinot </w:t>
      </w:r>
      <w:r>
        <w:rPr>
          <w:noProof/>
        </w:rPr>
        <w:t>ilgtspējīgu attīstību. Tomēr Puses atzīst, ka šīs sadaļas mērķis nav saskaņot Pušu standartus. Puses ir apņēmības pilnas uzturēt un uzlabot savus attiecīgos augstos standartus jomās, uz kurām attiecas šī sadaļa.</w:t>
      </w:r>
    </w:p>
    <w:p w:rsidR="003E022D" w:rsidRDefault="007D19D6">
      <w:pPr>
        <w:pStyle w:val="Article"/>
        <w:rPr>
          <w:noProof/>
        </w:rPr>
      </w:pPr>
      <w:r>
        <w:rPr>
          <w:noProof/>
        </w:rPr>
        <w:t>1.2. pants. Tiesības reglamentēt, piesardzīb</w:t>
      </w:r>
      <w:r>
        <w:rPr>
          <w:noProof/>
        </w:rPr>
        <w:t>as pieeja</w:t>
      </w:r>
      <w:r>
        <w:rPr>
          <w:rStyle w:val="FootnoteReference"/>
          <w:noProof/>
        </w:rPr>
        <w:footnoteReference w:id="52"/>
      </w:r>
      <w:r>
        <w:rPr>
          <w:noProof/>
        </w:rPr>
        <w:t xml:space="preserve"> un zinātniskā un tehniskā informācija</w:t>
      </w:r>
    </w:p>
    <w:p w:rsidR="003E022D" w:rsidRDefault="007D19D6">
      <w:pPr>
        <w:numPr>
          <w:ilvl w:val="0"/>
          <w:numId w:val="1304"/>
        </w:numPr>
        <w:ind w:left="0" w:firstLine="0"/>
        <w:rPr>
          <w:rFonts w:cstheme="minorHAnsi"/>
          <w:noProof/>
        </w:rPr>
      </w:pPr>
      <w:r>
        <w:rPr>
          <w:noProof/>
        </w:rPr>
        <w:t xml:space="preserve">Puses apstiprina katras Puses tiesības noteikt savu politiku un prioritātes šīs sadaļas aptvertajās jomās, noteikt aizsardzības līmeni, kuru tā uzskata par piemērotu, un pieņemt vai grozīt savas tiesības un </w:t>
      </w:r>
      <w:r>
        <w:rPr>
          <w:noProof/>
        </w:rPr>
        <w:t>politiku tādā veidā, kas atbilst katras Puses starptautiskajām saistībām, tostarp tās saistībām saskaņā ar šo sadaļu.</w:t>
      </w:r>
    </w:p>
    <w:p w:rsidR="003E022D" w:rsidRDefault="007D19D6">
      <w:pPr>
        <w:numPr>
          <w:ilvl w:val="0"/>
          <w:numId w:val="1304"/>
        </w:numPr>
        <w:ind w:left="0" w:firstLine="0"/>
        <w:rPr>
          <w:rFonts w:cstheme="minorHAnsi"/>
          <w:noProof/>
        </w:rPr>
      </w:pPr>
      <w:r>
        <w:rPr>
          <w:noProof/>
        </w:rPr>
        <w:t>Puses atzīst, ka saskaņā ar piesardzības pieeju gadījumos, kad ir pamatots iemesls bažām, ka pastāv potenciāla nopietna vai nenovēršama ka</w:t>
      </w:r>
      <w:r>
        <w:rPr>
          <w:noProof/>
        </w:rPr>
        <w:t>itējuma draudi videi vai cilvēku veselībai, pilnīgs zinātniskā pamatojuma un pierādījumu trūkums netiks izmantots kā iemesls tam, lai neļautu Pusei pieņemt pienācīgus pasākumus šāda kaitējuma novēršanai.</w:t>
      </w:r>
    </w:p>
    <w:p w:rsidR="003E022D" w:rsidRDefault="007D19D6">
      <w:pPr>
        <w:numPr>
          <w:ilvl w:val="0"/>
          <w:numId w:val="1304"/>
        </w:numPr>
        <w:ind w:left="0" w:firstLine="0"/>
        <w:rPr>
          <w:rFonts w:cstheme="minorHAnsi"/>
          <w:noProof/>
        </w:rPr>
      </w:pPr>
      <w:r>
        <w:rPr>
          <w:noProof/>
        </w:rPr>
        <w:t xml:space="preserve">Sagatavojot vai īstenojot pasākumus, kuru mērķis ir </w:t>
      </w:r>
      <w:r>
        <w:rPr>
          <w:noProof/>
        </w:rPr>
        <w:t xml:space="preserve">aizsargāt vidi vai darba apstākļus un kuri var ietekmēt tirdzniecību vai investīcijas, katra Puse ņem vērā attiecīgo, pieejamo zinātnisko un tehnisko informāciju, starptautiskos standartus, pamatnostādnes un ieteikumus. </w:t>
      </w:r>
    </w:p>
    <w:p w:rsidR="003E022D" w:rsidRDefault="007D19D6">
      <w:pPr>
        <w:pStyle w:val="Article"/>
        <w:rPr>
          <w:noProof/>
        </w:rPr>
      </w:pPr>
      <w:r>
        <w:rPr>
          <w:noProof/>
        </w:rPr>
        <w:t>1.3. pants. Strīdu izšķiršana</w:t>
      </w:r>
    </w:p>
    <w:p w:rsidR="003E022D" w:rsidRDefault="007D19D6">
      <w:pPr>
        <w:rPr>
          <w:rFonts w:cstheme="minorHAnsi"/>
          <w:noProof/>
        </w:rPr>
      </w:pPr>
      <w:r>
        <w:rPr>
          <w:noProof/>
        </w:rPr>
        <w:t>Sestās daļas [Strīdu izšķiršana un horizontālie noteikumi] I sadaļa [Strīdu izšķiršana] neattiecas uz šo nodaļu, izņemot 1.2. panta [Tiesības reglamentēt, piesardzības pieeja un zinātniskā un tehniskā informācija] 2. punktu. 9.1. pants [Apspriedes] un 9.2.</w:t>
      </w:r>
      <w:r>
        <w:rPr>
          <w:noProof/>
        </w:rPr>
        <w:t xml:space="preserve"> pants [Ekspertu grupa[ attiecas uz 1.1. panta [Principi un mērķi] 3. punktu. </w:t>
      </w:r>
    </w:p>
    <w:p w:rsidR="003E022D" w:rsidRDefault="007D19D6">
      <w:pPr>
        <w:pStyle w:val="Chapter"/>
        <w:rPr>
          <w:noProof/>
        </w:rPr>
      </w:pPr>
      <w:bookmarkStart w:id="181" w:name="_Hlk57708041"/>
      <w:r>
        <w:rPr>
          <w:noProof/>
        </w:rPr>
        <w:t>Otrā nodaļa. Konkurences politika</w:t>
      </w:r>
    </w:p>
    <w:p w:rsidR="003E022D" w:rsidRDefault="007D19D6">
      <w:pPr>
        <w:pStyle w:val="Article"/>
        <w:rPr>
          <w:noProof/>
        </w:rPr>
      </w:pPr>
      <w:r>
        <w:rPr>
          <w:noProof/>
        </w:rPr>
        <w:t>2.1. pants. Principi un definīcijas</w:t>
      </w:r>
    </w:p>
    <w:p w:rsidR="003E022D" w:rsidRDefault="007D19D6">
      <w:pPr>
        <w:numPr>
          <w:ilvl w:val="0"/>
          <w:numId w:val="1305"/>
        </w:numPr>
        <w:ind w:left="0" w:firstLine="0"/>
        <w:rPr>
          <w:rFonts w:cstheme="minorHAnsi"/>
          <w:noProof/>
        </w:rPr>
      </w:pPr>
      <w:r>
        <w:rPr>
          <w:noProof/>
        </w:rPr>
        <w:t>Puses atzīst, cik svarīga to tirdzniecības un investīciju attiecībās ir brīva un neizkropļota konkurence. P</w:t>
      </w:r>
      <w:r>
        <w:rPr>
          <w:noProof/>
        </w:rPr>
        <w:t xml:space="preserve">uses atzīst to, ka pret konkurenci vērsta darījumdarbības prakse potenciāli var izkropļot tirgu pareizu darbību un mazināt ieguvumus, kurus sniedz tirdzniecības liberalizācija. </w:t>
      </w:r>
    </w:p>
    <w:p w:rsidR="003E022D" w:rsidRDefault="007D19D6">
      <w:pPr>
        <w:numPr>
          <w:ilvl w:val="0"/>
          <w:numId w:val="1305"/>
        </w:numPr>
        <w:ind w:left="0" w:firstLine="0"/>
        <w:rPr>
          <w:rFonts w:cstheme="minorHAnsi"/>
          <w:noProof/>
        </w:rPr>
      </w:pPr>
      <w:r>
        <w:rPr>
          <w:noProof/>
        </w:rPr>
        <w:t>Šajā nodaļā “ekonomikas dalībnieks” ir vienība vai vienību grupa, kas veido vi</w:t>
      </w:r>
      <w:r>
        <w:rPr>
          <w:noProof/>
        </w:rPr>
        <w:t xml:space="preserve">enu ekonomisku vienību neatkarīgi no tās juridiskā statusa, kura veic saimniecisku darbību, piedāvājot tirgū preces vai pakalpojumus. </w:t>
      </w:r>
    </w:p>
    <w:p w:rsidR="003E022D" w:rsidRDefault="007D19D6">
      <w:pPr>
        <w:pStyle w:val="Article"/>
        <w:rPr>
          <w:noProof/>
        </w:rPr>
      </w:pPr>
      <w:r>
        <w:rPr>
          <w:noProof/>
        </w:rPr>
        <w:t>2.2. pants. Konkurences tiesības</w:t>
      </w:r>
    </w:p>
    <w:p w:rsidR="003E022D" w:rsidRDefault="007D19D6">
      <w:pPr>
        <w:numPr>
          <w:ilvl w:val="0"/>
          <w:numId w:val="1306"/>
        </w:numPr>
        <w:ind w:left="0" w:firstLine="0"/>
        <w:rPr>
          <w:rFonts w:cstheme="minorHAnsi"/>
          <w:noProof/>
        </w:rPr>
      </w:pPr>
      <w:r>
        <w:rPr>
          <w:noProof/>
        </w:rPr>
        <w:t>Atzīstot 2.1. pantā [Principi un definīcijas] noteiktos principus, katra Puse uztur spēk</w:t>
      </w:r>
      <w:r>
        <w:rPr>
          <w:noProof/>
        </w:rPr>
        <w:t>ā konkurences tiesības, ar ko efektīvi novērš šādu pret konkurenci vērstu darījumdarbības praksi:</w:t>
      </w:r>
    </w:p>
    <w:p w:rsidR="003E022D" w:rsidRDefault="007D19D6">
      <w:pPr>
        <w:numPr>
          <w:ilvl w:val="0"/>
          <w:numId w:val="1300"/>
        </w:numPr>
        <w:ind w:left="567" w:hanging="567"/>
        <w:rPr>
          <w:rFonts w:cstheme="minorHAnsi"/>
          <w:noProof/>
        </w:rPr>
      </w:pPr>
      <w:r>
        <w:rPr>
          <w:noProof/>
        </w:rPr>
        <w:t xml:space="preserve">nolīgumi starp ekonomikas dalībniekiem, ekonomikas dalībnieku apvienību lēmumi un saskaņotas darbības, kuru mērķis ir novērst, ierobežot vai izkropļot </w:t>
      </w:r>
      <w:r>
        <w:rPr>
          <w:noProof/>
        </w:rPr>
        <w:t>konkurenci;</w:t>
      </w:r>
    </w:p>
    <w:p w:rsidR="003E022D" w:rsidRDefault="007D19D6">
      <w:pPr>
        <w:numPr>
          <w:ilvl w:val="0"/>
          <w:numId w:val="1300"/>
        </w:numPr>
        <w:ind w:left="567" w:hanging="567"/>
        <w:rPr>
          <w:rFonts w:cstheme="minorHAnsi"/>
          <w:noProof/>
        </w:rPr>
      </w:pPr>
      <w:r>
        <w:rPr>
          <w:noProof/>
        </w:rPr>
        <w:t xml:space="preserve">viena vai vairāku ekonomikas dalībnieku dominējošā stāvokļa izmantošana un </w:t>
      </w:r>
    </w:p>
    <w:p w:rsidR="003E022D" w:rsidRDefault="007D19D6">
      <w:pPr>
        <w:numPr>
          <w:ilvl w:val="0"/>
          <w:numId w:val="1300"/>
        </w:numPr>
        <w:ind w:left="567" w:hanging="567"/>
        <w:rPr>
          <w:rFonts w:cstheme="minorHAnsi"/>
          <w:noProof/>
        </w:rPr>
      </w:pPr>
      <w:r>
        <w:rPr>
          <w:noProof/>
        </w:rPr>
        <w:t>apvienošanās vai iegādes (Apvienotās Karalistes gadījumā) un koncentrācijas (Savienības gadījumā) starp ekonomikas dalībniekiem, kurām var būt būtiska pret konkurenci v</w:t>
      </w:r>
      <w:r>
        <w:rPr>
          <w:noProof/>
        </w:rPr>
        <w:t>ērsta ietekme.</w:t>
      </w:r>
    </w:p>
    <w:p w:rsidR="003E022D" w:rsidRDefault="007D19D6">
      <w:pPr>
        <w:numPr>
          <w:ilvl w:val="0"/>
          <w:numId w:val="1306"/>
        </w:numPr>
        <w:ind w:left="0" w:firstLine="0"/>
        <w:rPr>
          <w:rFonts w:cstheme="minorHAnsi"/>
          <w:noProof/>
        </w:rPr>
      </w:pPr>
      <w:r>
        <w:rPr>
          <w:noProof/>
        </w:rPr>
        <w:t>Šā panta 1. punktā minētās konkurences tiesības attiecas uz visiem ekonomikas dalībniekiem neatkarīgi no to valstspiederības vai īpašumtiesību statusa.</w:t>
      </w:r>
    </w:p>
    <w:p w:rsidR="003E022D" w:rsidRDefault="007D19D6">
      <w:pPr>
        <w:numPr>
          <w:ilvl w:val="0"/>
          <w:numId w:val="1306"/>
        </w:numPr>
        <w:ind w:left="0" w:firstLine="0"/>
        <w:rPr>
          <w:rFonts w:cstheme="minorHAnsi"/>
          <w:noProof/>
        </w:rPr>
      </w:pPr>
      <w:r>
        <w:rPr>
          <w:noProof/>
        </w:rPr>
        <w:t>Katra Puse var paredzēt atbrīvojumus no tās konkurences tiesību piemērošanas leģitīmu sab</w:t>
      </w:r>
      <w:r>
        <w:rPr>
          <w:noProof/>
        </w:rPr>
        <w:t>iedriskās politikas mērķu sasniegšanā, ja minētie atbrīvojumi ir pārredzami un samērīgi ar šiem mērķiem.</w:t>
      </w:r>
    </w:p>
    <w:p w:rsidR="003E022D" w:rsidRDefault="007D19D6">
      <w:pPr>
        <w:pStyle w:val="Article"/>
        <w:rPr>
          <w:rStyle w:val="ArticleChar"/>
          <w:noProof/>
        </w:rPr>
      </w:pPr>
      <w:r>
        <w:rPr>
          <w:rStyle w:val="ArticleChar"/>
          <w:noProof/>
        </w:rPr>
        <w:t>2.3. pants. Izpilde</w:t>
      </w:r>
    </w:p>
    <w:p w:rsidR="003E022D" w:rsidRDefault="007D19D6">
      <w:pPr>
        <w:numPr>
          <w:ilvl w:val="0"/>
          <w:numId w:val="1307"/>
        </w:numPr>
        <w:ind w:left="0" w:firstLine="0"/>
        <w:rPr>
          <w:rFonts w:cstheme="minorHAnsi"/>
          <w:noProof/>
        </w:rPr>
      </w:pPr>
      <w:r>
        <w:rPr>
          <w:noProof/>
        </w:rPr>
        <w:t>Katra Puse veic atbilstīgus pasākumus, lai savā teritorijā panāktu savu konkurences tiesību izpildi.</w:t>
      </w:r>
    </w:p>
    <w:p w:rsidR="003E022D" w:rsidRDefault="007D19D6">
      <w:pPr>
        <w:numPr>
          <w:ilvl w:val="0"/>
          <w:numId w:val="1307"/>
        </w:numPr>
        <w:ind w:left="0" w:firstLine="0"/>
        <w:rPr>
          <w:rFonts w:cstheme="minorHAnsi"/>
          <w:noProof/>
        </w:rPr>
      </w:pPr>
      <w:r>
        <w:rPr>
          <w:noProof/>
        </w:rPr>
        <w:t>Katra Puse nodrošina iestādi v</w:t>
      </w:r>
      <w:r>
        <w:rPr>
          <w:noProof/>
        </w:rPr>
        <w:t xml:space="preserve">ai iestādes, kuru darbība ir neatkarīga un kuras ir kompetenta attiecībā uz Puses konkurences tiesību efektīvu izpildi. </w:t>
      </w:r>
    </w:p>
    <w:p w:rsidR="003E022D" w:rsidRDefault="007D19D6">
      <w:pPr>
        <w:numPr>
          <w:ilvl w:val="0"/>
          <w:numId w:val="1307"/>
        </w:numPr>
        <w:ind w:left="0" w:firstLine="0"/>
        <w:rPr>
          <w:rFonts w:cstheme="minorHAnsi"/>
          <w:noProof/>
        </w:rPr>
      </w:pPr>
      <w:r>
        <w:rPr>
          <w:noProof/>
        </w:rPr>
        <w:t>Katra Puse piemēro savas konkurences tiesības pārredzami un nediskriminējoši, ievērojot procesuālā taisnīguma principus, tostarp attiec</w:t>
      </w:r>
      <w:r>
        <w:rPr>
          <w:noProof/>
        </w:rPr>
        <w:t>īgo ekonomikas dalībnieku tiesības uz aizstāvību, neatkarīgi no to valstspiederības vai īpašumtiesību statusa.</w:t>
      </w:r>
    </w:p>
    <w:p w:rsidR="003E022D" w:rsidRDefault="007D19D6">
      <w:pPr>
        <w:pStyle w:val="Article"/>
        <w:rPr>
          <w:rStyle w:val="ArticleChar"/>
          <w:noProof/>
        </w:rPr>
      </w:pPr>
      <w:r>
        <w:rPr>
          <w:rStyle w:val="ArticleChar"/>
          <w:noProof/>
        </w:rPr>
        <w:t>2.4. pants. Sadarbība</w:t>
      </w:r>
    </w:p>
    <w:p w:rsidR="003E022D" w:rsidRDefault="007D19D6">
      <w:pPr>
        <w:numPr>
          <w:ilvl w:val="0"/>
          <w:numId w:val="1308"/>
        </w:numPr>
        <w:ind w:left="0" w:firstLine="0"/>
        <w:rPr>
          <w:rFonts w:cstheme="minorHAnsi"/>
          <w:noProof/>
        </w:rPr>
      </w:pPr>
      <w:r>
        <w:rPr>
          <w:noProof/>
        </w:rPr>
        <w:t>Lai sasniegtu šīs nodaļas mērķus un pastiprinātu Pušu attiecīgo konkurences tiesību efektīvu izpildi, Puses atzīst, cik sva</w:t>
      </w:r>
      <w:r>
        <w:rPr>
          <w:noProof/>
        </w:rPr>
        <w:t>rīga ir sadarbība starp to attiecīgajām konkurences iestādēm attiecībā uz notikumiem konkurences politikas jomā un izpildes pasākumiem.</w:t>
      </w:r>
    </w:p>
    <w:p w:rsidR="003E022D" w:rsidRDefault="007D19D6">
      <w:pPr>
        <w:numPr>
          <w:ilvl w:val="0"/>
          <w:numId w:val="1308"/>
        </w:numPr>
        <w:ind w:left="0" w:firstLine="0"/>
        <w:rPr>
          <w:rFonts w:cstheme="minorHAnsi"/>
          <w:noProof/>
        </w:rPr>
      </w:pPr>
      <w:r>
        <w:rPr>
          <w:noProof/>
        </w:rPr>
        <w:t>Piemērojot 1. punktu, Eiropas Komisija vai dalībvalstu konkurences iestādes, no vienas puses, un Apvienotās Karalistes k</w:t>
      </w:r>
      <w:r>
        <w:rPr>
          <w:noProof/>
        </w:rPr>
        <w:t>onkurences iestāde vai iestādes, no otras puses, cenšas sadarboties un koordinēt, ja tas ir iespējams un lietderīgi, savus izpildes pasākumus attiecībā uz vienu un to pašu vai saistīto rīcību vai darījumiem.</w:t>
      </w:r>
    </w:p>
    <w:p w:rsidR="003E022D" w:rsidRDefault="007D19D6">
      <w:pPr>
        <w:numPr>
          <w:ilvl w:val="0"/>
          <w:numId w:val="1308"/>
        </w:numPr>
        <w:ind w:left="0" w:firstLine="0"/>
        <w:rPr>
          <w:rFonts w:cstheme="minorHAnsi"/>
          <w:noProof/>
        </w:rPr>
      </w:pPr>
      <w:r>
        <w:rPr>
          <w:noProof/>
        </w:rPr>
        <w:t xml:space="preserve">Lai atvieglotu 1. un 2. punktā minēto sadarbību </w:t>
      </w:r>
      <w:r>
        <w:rPr>
          <w:noProof/>
        </w:rPr>
        <w:t xml:space="preserve">un koordināciju, Eiropas Komisija un dalībvalstu konkurences iestādes, no vienas puses, un Apvienotās Karalistes konkurences iestāde vai iestādes, no otras puses, var apmainīties ar informāciju, ciktāl to atļauj katras Puses tiesību akti. </w:t>
      </w:r>
    </w:p>
    <w:p w:rsidR="003E022D" w:rsidRDefault="007D19D6">
      <w:pPr>
        <w:numPr>
          <w:ilvl w:val="0"/>
          <w:numId w:val="1308"/>
        </w:numPr>
        <w:ind w:left="0" w:firstLine="0"/>
        <w:rPr>
          <w:rFonts w:cstheme="minorHAnsi"/>
          <w:noProof/>
        </w:rPr>
      </w:pPr>
      <w:r>
        <w:rPr>
          <w:noProof/>
        </w:rPr>
        <w:t xml:space="preserve">Lai īstenotu šā </w:t>
      </w:r>
      <w:r>
        <w:rPr>
          <w:noProof/>
        </w:rPr>
        <w:t>panta mērķus, Puses var noslēgt tādu atsevišķu nolīgumu par sadarbību un koordināciju starp Eiropas Komisiju, dalībvalstu konkurences iestādēm un Apvienotās Karalistes konkurences iestādi vai iestādēm, kurš var ietvert nosacījumus konfidenciālas informācij</w:t>
      </w:r>
      <w:r>
        <w:rPr>
          <w:noProof/>
        </w:rPr>
        <w:t>as apmaiņai un izmantošanai.</w:t>
      </w:r>
    </w:p>
    <w:p w:rsidR="003E022D" w:rsidRDefault="007D19D6">
      <w:pPr>
        <w:pStyle w:val="Article"/>
        <w:rPr>
          <w:rStyle w:val="ArticleChar"/>
          <w:noProof/>
        </w:rPr>
      </w:pPr>
      <w:r>
        <w:rPr>
          <w:rStyle w:val="ArticleChar"/>
          <w:noProof/>
        </w:rPr>
        <w:t>2.5. pants. Strīdu izšķiršana</w:t>
      </w:r>
    </w:p>
    <w:p w:rsidR="003E022D" w:rsidRDefault="007D19D6">
      <w:pPr>
        <w:spacing w:line="254" w:lineRule="auto"/>
        <w:rPr>
          <w:rFonts w:cstheme="minorHAnsi"/>
          <w:noProof/>
        </w:rPr>
      </w:pPr>
      <w:r>
        <w:rPr>
          <w:noProof/>
        </w:rPr>
        <w:t>Uz šo nodaļu neattiecas strīdu izšķiršana saskaņā ar sestās daļas [Strīdu izšķiršana un horizontālie noteikumi] I sadaļu [Strīdu izšķiršana].</w:t>
      </w:r>
      <w:bookmarkEnd w:id="181"/>
    </w:p>
    <w:p w:rsidR="003E022D" w:rsidRDefault="007D19D6">
      <w:pPr>
        <w:pStyle w:val="Chapter"/>
        <w:rPr>
          <w:noProof/>
        </w:rPr>
      </w:pPr>
      <w:r>
        <w:rPr>
          <w:noProof/>
        </w:rPr>
        <w:t>Trešā nodaļa. Subsīdiju kontrole</w:t>
      </w:r>
    </w:p>
    <w:p w:rsidR="003E022D" w:rsidRDefault="007D19D6">
      <w:pPr>
        <w:pStyle w:val="Article"/>
        <w:rPr>
          <w:rStyle w:val="ArticleChar"/>
          <w:noProof/>
        </w:rPr>
      </w:pPr>
      <w:bookmarkStart w:id="182" w:name="_Hlk57395693"/>
      <w:r>
        <w:rPr>
          <w:rStyle w:val="ArticleChar"/>
          <w:noProof/>
        </w:rPr>
        <w:t xml:space="preserve">3.1. pants. </w:t>
      </w:r>
      <w:r>
        <w:rPr>
          <w:rStyle w:val="ArticleChar"/>
          <w:noProof/>
        </w:rPr>
        <w:t>Definīcijas </w:t>
      </w:r>
      <w:bookmarkEnd w:id="182"/>
    </w:p>
    <w:p w:rsidR="003E022D" w:rsidRDefault="007D19D6">
      <w:pPr>
        <w:numPr>
          <w:ilvl w:val="0"/>
          <w:numId w:val="1309"/>
        </w:numPr>
        <w:ind w:left="0" w:firstLine="0"/>
        <w:rPr>
          <w:rFonts w:cstheme="minorHAnsi"/>
          <w:noProof/>
        </w:rPr>
      </w:pPr>
      <w:r>
        <w:rPr>
          <w:noProof/>
        </w:rPr>
        <w:t>Šajā nodaļā:</w:t>
      </w:r>
    </w:p>
    <w:p w:rsidR="003E022D" w:rsidRDefault="007D19D6">
      <w:pPr>
        <w:numPr>
          <w:ilvl w:val="0"/>
          <w:numId w:val="1301"/>
        </w:numPr>
        <w:ind w:left="567" w:hanging="567"/>
        <w:rPr>
          <w:rFonts w:cstheme="minorHAnsi"/>
          <w:noProof/>
        </w:rPr>
      </w:pPr>
      <w:r>
        <w:rPr>
          <w:noProof/>
        </w:rPr>
        <w:t>“ekonomikas dalībnieks” ir vienība vai vienību grupa, kas veido vienu ekonomikas vienību neatkarīgi no tās juridiskā statusa, kura veic saimniecisku darbību, piedāvājot tirgū preces vai pakalpojumus;</w:t>
      </w:r>
    </w:p>
    <w:p w:rsidR="003E022D" w:rsidRDefault="007D19D6">
      <w:pPr>
        <w:numPr>
          <w:ilvl w:val="0"/>
          <w:numId w:val="1301"/>
        </w:numPr>
        <w:ind w:left="567" w:hanging="567"/>
        <w:rPr>
          <w:rFonts w:cstheme="minorHAnsi"/>
          <w:noProof/>
        </w:rPr>
      </w:pPr>
      <w:r>
        <w:rPr>
          <w:noProof/>
        </w:rPr>
        <w:t>“subsīdija” ir finansiāla palī</w:t>
      </w:r>
      <w:r>
        <w:rPr>
          <w:noProof/>
        </w:rPr>
        <w:t>dzība, kas:</w:t>
      </w:r>
    </w:p>
    <w:p w:rsidR="003E022D" w:rsidRDefault="007D19D6">
      <w:pPr>
        <w:ind w:left="1276" w:hanging="567"/>
        <w:rPr>
          <w:noProof/>
          <w:color w:val="000000"/>
          <w:u w:color="000000"/>
          <w:bdr w:val="nil"/>
        </w:rPr>
      </w:pPr>
      <w:r>
        <w:rPr>
          <w:noProof/>
          <w:color w:val="000000"/>
          <w:u w:color="000000"/>
          <w:bdr w:val="nil"/>
        </w:rPr>
        <w:t xml:space="preserve">i) izriet no Pušu resursiem, ietverot: </w:t>
      </w:r>
    </w:p>
    <w:p w:rsidR="003E022D" w:rsidRDefault="007D19D6">
      <w:pPr>
        <w:spacing w:after="200" w:line="276" w:lineRule="auto"/>
        <w:ind w:left="2138" w:hanging="709"/>
        <w:rPr>
          <w:rFonts w:cstheme="minorHAnsi"/>
          <w:noProof/>
        </w:rPr>
      </w:pPr>
      <w:r>
        <w:rPr>
          <w:noProof/>
        </w:rPr>
        <w:t xml:space="preserve">A) tiešu vai netiešu līdzekļu pārvedumu, piemēram, tiešas dotācijas, aizdevumus vai aizdevumu garantijas, </w:t>
      </w:r>
    </w:p>
    <w:p w:rsidR="003E022D" w:rsidRDefault="007D19D6">
      <w:pPr>
        <w:spacing w:after="200" w:line="276" w:lineRule="auto"/>
        <w:ind w:left="2138" w:hanging="709"/>
        <w:rPr>
          <w:rFonts w:cstheme="minorHAnsi"/>
          <w:noProof/>
        </w:rPr>
      </w:pPr>
      <w:r>
        <w:rPr>
          <w:noProof/>
        </w:rPr>
        <w:t>B) atteikšanos no ieņēmumiem, kas citādi pienāktos vai</w:t>
      </w:r>
    </w:p>
    <w:p w:rsidR="003E022D" w:rsidRDefault="007D19D6">
      <w:pPr>
        <w:spacing w:after="200" w:line="276" w:lineRule="auto"/>
        <w:ind w:left="2138" w:hanging="709"/>
        <w:rPr>
          <w:rFonts w:cstheme="minorHAnsi"/>
          <w:noProof/>
        </w:rPr>
      </w:pPr>
      <w:r>
        <w:rPr>
          <w:noProof/>
        </w:rPr>
        <w:t>C) preču vai pakalpojumu nodrošināšanu vai</w:t>
      </w:r>
      <w:r>
        <w:rPr>
          <w:noProof/>
        </w:rPr>
        <w:t xml:space="preserve"> preču vai pakalpojumu iegādi,</w:t>
      </w:r>
    </w:p>
    <w:p w:rsidR="003E022D" w:rsidRDefault="007D19D6">
      <w:pPr>
        <w:ind w:left="1276" w:hanging="567"/>
        <w:rPr>
          <w:noProof/>
          <w:color w:val="000000"/>
          <w:u w:color="000000"/>
          <w:bdr w:val="nil"/>
        </w:rPr>
      </w:pPr>
      <w:r>
        <w:rPr>
          <w:noProof/>
          <w:color w:val="000000"/>
          <w:u w:color="000000"/>
          <w:bdr w:val="nil"/>
        </w:rPr>
        <w:t>ii) sniedz vienam vai vairākiem ekonomikas dalībniekiem ekonomiskas priekšrocības;</w:t>
      </w:r>
    </w:p>
    <w:p w:rsidR="003E022D" w:rsidRDefault="007D19D6">
      <w:pPr>
        <w:ind w:left="1276" w:hanging="567"/>
        <w:rPr>
          <w:noProof/>
          <w:color w:val="000000"/>
          <w:u w:color="000000"/>
          <w:bdr w:val="nil"/>
        </w:rPr>
      </w:pPr>
      <w:r>
        <w:rPr>
          <w:noProof/>
          <w:color w:val="000000"/>
          <w:u w:color="000000"/>
          <w:bdr w:val="nil"/>
        </w:rPr>
        <w:t>iii) ir specifiska, ciktāl tā uz tiesību akta pamata vai faktiski sniedz priekšrocības konkrētiem ekonomikas dalībniekiem salīdzinājumā ar cit</w:t>
      </w:r>
      <w:r>
        <w:rPr>
          <w:noProof/>
          <w:color w:val="000000"/>
          <w:u w:color="000000"/>
          <w:bdr w:val="nil"/>
        </w:rPr>
        <w:t>iem attiecībā uz konkrētu preču ražošanu vai pakalpojumu sniegšanu; un</w:t>
      </w:r>
    </w:p>
    <w:p w:rsidR="003E022D" w:rsidRDefault="007D19D6">
      <w:pPr>
        <w:ind w:left="1276" w:hanging="567"/>
        <w:rPr>
          <w:noProof/>
          <w:color w:val="000000"/>
          <w:u w:color="000000"/>
          <w:bdr w:val="nil"/>
        </w:rPr>
      </w:pPr>
      <w:r>
        <w:rPr>
          <w:noProof/>
          <w:color w:val="000000"/>
          <w:u w:color="000000"/>
          <w:bdr w:val="nil"/>
        </w:rPr>
        <w:t>iv) ietekmē vai varētu ietekmēt tirdzniecību vai investīcijas starp Pusēm.</w:t>
      </w:r>
    </w:p>
    <w:p w:rsidR="003E022D" w:rsidRDefault="007D19D6">
      <w:pPr>
        <w:numPr>
          <w:ilvl w:val="0"/>
          <w:numId w:val="1309"/>
        </w:numPr>
        <w:ind w:left="0" w:firstLine="0"/>
        <w:rPr>
          <w:rFonts w:cstheme="minorHAnsi"/>
          <w:noProof/>
        </w:rPr>
      </w:pPr>
      <w:r>
        <w:rPr>
          <w:noProof/>
        </w:rPr>
        <w:t>Šā panta 1. punkta b) apakšpunkta iii) punkta piemērošanas vajadzībām:</w:t>
      </w:r>
    </w:p>
    <w:p w:rsidR="003E022D" w:rsidRDefault="007D19D6">
      <w:pPr>
        <w:numPr>
          <w:ilvl w:val="0"/>
          <w:numId w:val="1310"/>
        </w:numPr>
        <w:ind w:left="567" w:hanging="567"/>
        <w:rPr>
          <w:rFonts w:cstheme="minorHAnsi"/>
          <w:noProof/>
        </w:rPr>
      </w:pPr>
      <w:r>
        <w:rPr>
          <w:noProof/>
        </w:rPr>
        <w:t>nodokļu pasākumu neuzskata par specifis</w:t>
      </w:r>
      <w:r>
        <w:rPr>
          <w:noProof/>
        </w:rPr>
        <w:t>ku, izņemot, ja ar to:</w:t>
      </w:r>
    </w:p>
    <w:p w:rsidR="003E022D" w:rsidRDefault="007D19D6">
      <w:pPr>
        <w:ind w:left="1276" w:hanging="567"/>
        <w:rPr>
          <w:noProof/>
          <w:color w:val="000000"/>
          <w:u w:color="000000"/>
          <w:bdr w:val="nil"/>
        </w:rPr>
      </w:pPr>
      <w:r>
        <w:rPr>
          <w:noProof/>
          <w:color w:val="000000"/>
          <w:u w:color="000000"/>
          <w:bdr w:val="nil"/>
        </w:rPr>
        <w:t>i) konkrētiem ekonomikas dalībniekiem samazina nodokļu saistības, kas tiem citādi būtu jāmaksā saskaņā ar parasto nodokļu režīmu un</w:t>
      </w:r>
    </w:p>
    <w:p w:rsidR="003E022D" w:rsidRDefault="007D19D6">
      <w:pPr>
        <w:ind w:left="1276" w:hanging="567"/>
        <w:rPr>
          <w:noProof/>
          <w:color w:val="000000"/>
          <w:u w:color="000000"/>
          <w:bdr w:val="nil"/>
        </w:rPr>
      </w:pPr>
      <w:r>
        <w:rPr>
          <w:noProof/>
          <w:color w:val="000000"/>
          <w:u w:color="000000"/>
          <w:bdr w:val="nil"/>
        </w:rPr>
        <w:t xml:space="preserve">ii) attieksme pret minētajiem ekonomikas dalībniekiem parastā nodokļu režīma ietvaros ir labvēlīgāka </w:t>
      </w:r>
      <w:r>
        <w:rPr>
          <w:noProof/>
          <w:color w:val="000000"/>
          <w:u w:color="000000"/>
          <w:bdr w:val="nil"/>
        </w:rPr>
        <w:t>nekā pret citiem, kas atrodas salīdzināmā situācijā. šā punkta nolūkos parastu nodokļu režīmu raksturo tā iekšējais mērķis, iezīmes (piemēram, nodokļa bāze, nodokļa maksātājs, ar nodokli apliekamais notikums vai nodokļa likme) un iestāde, kura ir instituci</w:t>
      </w:r>
      <w:r>
        <w:rPr>
          <w:noProof/>
          <w:color w:val="000000"/>
          <w:u w:color="000000"/>
          <w:bdr w:val="nil"/>
        </w:rPr>
        <w:t>onāli, procesuāli, ekonomiski un finansiāli autonoma un kuras kompetencē ir izstrādāt nodokļu režīma iezīmes.</w:t>
      </w:r>
    </w:p>
    <w:p w:rsidR="003E022D" w:rsidRDefault="007D19D6">
      <w:pPr>
        <w:numPr>
          <w:ilvl w:val="0"/>
          <w:numId w:val="1310"/>
        </w:numPr>
        <w:ind w:left="567" w:hanging="567"/>
        <w:rPr>
          <w:rFonts w:cstheme="minorHAnsi"/>
          <w:noProof/>
        </w:rPr>
      </w:pPr>
      <w:r>
        <w:rPr>
          <w:noProof/>
        </w:rPr>
        <w:t>neskarot a) apakšpunktu, subsīdiju neuzskata par specifisku, ja to pamato principi, kas raksturīgi vispārējās sistēmas struktūrai. Nodokļu pasākum</w:t>
      </w:r>
      <w:r>
        <w:rPr>
          <w:noProof/>
        </w:rPr>
        <w:t>u gadījumā šādu raksturīgu principu piemēri ir nepieciešamība apkarot krāpšanu vai izvairīšanos no nodokļu maksāšanas, administratīvā pārvaldāmība, nodokļu dubultās uzlikšanas novēršana, nodokļu neitralitātes princips, ienākuma nodokļa progresīvais rakstur</w:t>
      </w:r>
      <w:r>
        <w:rPr>
          <w:noProof/>
        </w:rPr>
        <w:t>s un tā pārdales mērķis vai nepieciešamība ievērot nodokļu maksātāju spēju maksāt;</w:t>
      </w:r>
    </w:p>
    <w:p w:rsidR="003E022D" w:rsidRDefault="007D19D6">
      <w:pPr>
        <w:numPr>
          <w:ilvl w:val="0"/>
          <w:numId w:val="1310"/>
        </w:numPr>
        <w:ind w:left="567" w:hanging="567"/>
        <w:rPr>
          <w:rFonts w:cstheme="minorHAnsi"/>
          <w:noProof/>
        </w:rPr>
      </w:pPr>
      <w:r>
        <w:rPr>
          <w:noProof/>
        </w:rPr>
        <w:t>neskarot a) apakšpunktu, nodevas, kurām ir īpašs mērķis, neuzskata par specifiskām, ja to struktūra ir vajadzīga sabiedriskās politikas mērķiem, kas nav saistīti ar ekonomik</w:t>
      </w:r>
      <w:r>
        <w:rPr>
          <w:noProof/>
        </w:rPr>
        <w:t>u, piemēram, tādiem kā nepieciešamība ierobežot konkrētu darbību vai ražojumu negatīvo ietekmi uz vidi vai cilvēku veselību, ciktāl sabiedriskās politikas mērķi nav diskriminējoši</w:t>
      </w:r>
      <w:r>
        <w:rPr>
          <w:rStyle w:val="FootnoteReference"/>
          <w:rFonts w:cstheme="minorHAnsi"/>
          <w:noProof/>
          <w:lang w:val="fr-BE"/>
        </w:rPr>
        <w:footnoteReference w:id="53"/>
      </w:r>
      <w:r>
        <w:rPr>
          <w:noProof/>
        </w:rPr>
        <w:t>.</w:t>
      </w:r>
    </w:p>
    <w:p w:rsidR="003E022D" w:rsidRDefault="007D19D6">
      <w:pPr>
        <w:pStyle w:val="Article"/>
        <w:rPr>
          <w:rStyle w:val="ArticleChar"/>
          <w:noProof/>
        </w:rPr>
      </w:pPr>
      <w:r>
        <w:rPr>
          <w:rStyle w:val="ArticleChar"/>
          <w:noProof/>
        </w:rPr>
        <w:t>3.2. pants. Piemērošanas joma un izņēmumi</w:t>
      </w:r>
    </w:p>
    <w:p w:rsidR="003E022D" w:rsidRDefault="007D19D6">
      <w:pPr>
        <w:numPr>
          <w:ilvl w:val="0"/>
          <w:numId w:val="1302"/>
        </w:numPr>
        <w:ind w:left="0" w:firstLine="0"/>
        <w:rPr>
          <w:rFonts w:cstheme="minorHAnsi"/>
          <w:noProof/>
        </w:rPr>
      </w:pPr>
      <w:r>
        <w:rPr>
          <w:noProof/>
        </w:rPr>
        <w:t xml:space="preserve">Šīs nodaļas 3.4. pantu </w:t>
      </w:r>
      <w:r>
        <w:rPr>
          <w:noProof/>
        </w:rPr>
        <w:t>[Principi], 3.5. pantu [Aizliegtas subsīdijas un subsīdijas, uz kurām attiecas nosacījumi ] un 3.12. pantu [Korektīvi pasākumi ] nepiemēro subsīdijām, kas piešķirtas, lai kompensētu kaitējumu, ko nodarījušas dabas katastrofas vai citi ārkārtēji neekonomisk</w:t>
      </w:r>
      <w:r>
        <w:rPr>
          <w:noProof/>
        </w:rPr>
        <w:t>i notikumi.</w:t>
      </w:r>
    </w:p>
    <w:p w:rsidR="003E022D" w:rsidRDefault="007D19D6">
      <w:pPr>
        <w:numPr>
          <w:ilvl w:val="0"/>
          <w:numId w:val="1302"/>
        </w:numPr>
        <w:ind w:left="0" w:firstLine="0"/>
        <w:rPr>
          <w:rFonts w:cstheme="minorHAnsi"/>
          <w:noProof/>
        </w:rPr>
      </w:pPr>
      <w:r>
        <w:rPr>
          <w:noProof/>
        </w:rPr>
        <w:t>Nekas šajā nodaļā neliedz Pusēm piešķirt sociāla rakstura subsīdijas, kas paredzētas galapatērētājiem.</w:t>
      </w:r>
    </w:p>
    <w:p w:rsidR="003E022D" w:rsidRDefault="007D19D6">
      <w:pPr>
        <w:numPr>
          <w:ilvl w:val="0"/>
          <w:numId w:val="1302"/>
        </w:numPr>
        <w:ind w:left="0" w:firstLine="0"/>
        <w:rPr>
          <w:rFonts w:cstheme="minorHAnsi"/>
          <w:noProof/>
        </w:rPr>
      </w:pPr>
      <w:r>
        <w:rPr>
          <w:noProof/>
        </w:rPr>
        <w:t>Subsīdijas, ko piešķir uz laiku, lai reaģētu uz valsts vai pasaules mēroga ārkārtas situāciju ekonomikā, ir mērķtiecīgas, samērīgas un efektī</w:t>
      </w:r>
      <w:r>
        <w:rPr>
          <w:noProof/>
        </w:rPr>
        <w:t>vas minētās ārkārtas situācijas novēršanai. Šādām subsīdijām nepiemēro 3.5. pantu [Aizliegtas subsīdijas un subsīdijas, uz kurām attiecas nosacījumi ] un 3.12. pantu [Korektīvi pasākumi ].</w:t>
      </w:r>
    </w:p>
    <w:p w:rsidR="003E022D" w:rsidRDefault="007D19D6">
      <w:pPr>
        <w:numPr>
          <w:ilvl w:val="0"/>
          <w:numId w:val="1302"/>
        </w:numPr>
        <w:ind w:left="0" w:firstLine="0"/>
        <w:rPr>
          <w:rFonts w:cstheme="minorHAnsi"/>
          <w:noProof/>
        </w:rPr>
      </w:pPr>
      <w:r>
        <w:rPr>
          <w:noProof/>
        </w:rPr>
        <w:t>Šo nodaļu nepiemēro subsīdijām, ja kopējā, vienam ekonomikas dalībn</w:t>
      </w:r>
      <w:r>
        <w:rPr>
          <w:noProof/>
        </w:rPr>
        <w:t>iekam piešķirtā summa jebkurā trīs fiskālo gadu laikposmā ir mazāka par 325 000 speciālo aizņēmuma tiesību. Partnerības padome var grozīt minēto robežvērtību.</w:t>
      </w:r>
    </w:p>
    <w:p w:rsidR="003E022D" w:rsidRDefault="007D19D6">
      <w:pPr>
        <w:numPr>
          <w:ilvl w:val="0"/>
          <w:numId w:val="1302"/>
        </w:numPr>
        <w:ind w:left="0" w:firstLine="0"/>
        <w:rPr>
          <w:rFonts w:cstheme="minorHAnsi"/>
          <w:noProof/>
        </w:rPr>
      </w:pPr>
      <w:r>
        <w:rPr>
          <w:noProof/>
        </w:rPr>
        <w:t>Šo nodaļu nepiemēro subsīdijām, uz kurām attiecas Nolīguma par lauksaimniecību IV daļas vai 2. pi</w:t>
      </w:r>
      <w:r>
        <w:rPr>
          <w:noProof/>
        </w:rPr>
        <w:t>elikuma noteikumi, un subsīdijām, kas saistītas ar zivju un zivju produktu tirdzniecību.</w:t>
      </w:r>
    </w:p>
    <w:p w:rsidR="003E022D" w:rsidRDefault="007D19D6">
      <w:pPr>
        <w:numPr>
          <w:ilvl w:val="0"/>
          <w:numId w:val="1302"/>
        </w:numPr>
        <w:ind w:left="0" w:firstLine="0"/>
        <w:rPr>
          <w:rFonts w:cstheme="minorHAnsi"/>
          <w:noProof/>
        </w:rPr>
      </w:pPr>
      <w:r>
        <w:rPr>
          <w:noProof/>
        </w:rPr>
        <w:t>Šo nodaļu nepiemēro subsīdijām, kas saistītas ar audiovizuālo nozari.</w:t>
      </w:r>
    </w:p>
    <w:p w:rsidR="003E022D" w:rsidRDefault="007D19D6">
      <w:pPr>
        <w:numPr>
          <w:ilvl w:val="0"/>
          <w:numId w:val="1302"/>
        </w:numPr>
        <w:ind w:left="0" w:firstLine="0"/>
        <w:rPr>
          <w:rFonts w:cstheme="minorHAnsi"/>
          <w:noProof/>
        </w:rPr>
      </w:pPr>
      <w:r>
        <w:rPr>
          <w:noProof/>
        </w:rPr>
        <w:t>Nodaļas 3.9. pantu [Neatkarīga iestāde vai struktūra un sadarbība ] nepiemēro subsīdijām, ko fina</w:t>
      </w:r>
      <w:r>
        <w:rPr>
          <w:noProof/>
        </w:rPr>
        <w:t>nsē no Pušu resursiem pārvalstiskā līmenī.</w:t>
      </w:r>
    </w:p>
    <w:p w:rsidR="003E022D" w:rsidRDefault="007D19D6">
      <w:pPr>
        <w:numPr>
          <w:ilvl w:val="0"/>
          <w:numId w:val="1302"/>
        </w:numPr>
        <w:ind w:left="0" w:firstLine="0"/>
        <w:rPr>
          <w:rFonts w:cstheme="minorHAnsi"/>
          <w:noProof/>
        </w:rPr>
      </w:pPr>
      <w:r>
        <w:rPr>
          <w:noProof/>
        </w:rPr>
        <w:t>Attiecībā uz subsīdijas gaisa pārvadātājiem, šajā nodaļā visas atsauces uz “ietekmi uz tirdzniecību vai investīcijām starp Pusēm” aizstāj ar atsauci uz “ietekmi uz konkurenci starp pušu gaisa pārvadātājiem gaisa t</w:t>
      </w:r>
      <w:r>
        <w:rPr>
          <w:noProof/>
        </w:rPr>
        <w:t xml:space="preserve">ransporta pakalpojumu sniegšanā”, ietverot arī tos gaisa transporta pakalpojumus, kas nav ietverti 2. temata [Aviācija] I sadaļā [Gaisa transports]. </w:t>
      </w:r>
    </w:p>
    <w:p w:rsidR="003E022D" w:rsidRDefault="007D19D6">
      <w:pPr>
        <w:pStyle w:val="Article"/>
        <w:rPr>
          <w:noProof/>
        </w:rPr>
      </w:pPr>
      <w:r>
        <w:rPr>
          <w:noProof/>
        </w:rPr>
        <w:t>3.3. pants. Vispārējas tautsaimnieciskas nozīmes pakalpojumi</w:t>
      </w:r>
    </w:p>
    <w:p w:rsidR="003E022D" w:rsidRDefault="007D19D6">
      <w:pPr>
        <w:numPr>
          <w:ilvl w:val="0"/>
          <w:numId w:val="1311"/>
        </w:numPr>
        <w:ind w:left="0" w:firstLine="0"/>
        <w:rPr>
          <w:rFonts w:cstheme="minorHAnsi"/>
          <w:noProof/>
        </w:rPr>
      </w:pPr>
      <w:r>
        <w:rPr>
          <w:noProof/>
        </w:rPr>
        <w:t>Uz subsīdijām, ko piešķir ekonomikas dalībnie</w:t>
      </w:r>
      <w:r>
        <w:rPr>
          <w:noProof/>
        </w:rPr>
        <w:t>kiem, kuriem uzticēts sniegt īpašus uzdevumus sabiedrības interesēs, tostarp sabiedrisko pakalpojumu saistības, attiecas 3.4. pants [Principi], ciktāl minētajā pantā izklāstīto principu piemērošana juridiski vai faktiski netraucē veikt attiecīgajam ekonomi</w:t>
      </w:r>
      <w:r>
        <w:rPr>
          <w:noProof/>
        </w:rPr>
        <w:t>kas dalībniekam uzticēto īpašo uzdevumu. Uzdevumu uztic iepriekš pārredzamā veidā.</w:t>
      </w:r>
    </w:p>
    <w:p w:rsidR="003E022D" w:rsidRDefault="007D19D6">
      <w:pPr>
        <w:numPr>
          <w:ilvl w:val="0"/>
          <w:numId w:val="1311"/>
        </w:numPr>
        <w:ind w:left="0" w:firstLine="0"/>
        <w:rPr>
          <w:rFonts w:cstheme="minorHAnsi"/>
          <w:noProof/>
        </w:rPr>
      </w:pPr>
      <w:r>
        <w:rPr>
          <w:noProof/>
        </w:rPr>
        <w:t>Puses nodrošina, ka kompensācijas summa, kas piešķirta ekonomiskajam dalībniekam, kuram uzticēts uzdevums sabiedrības interesēs, nepārsniedz to, kas vajadzīgs, lai segtu vis</w:t>
      </w:r>
      <w:r>
        <w:rPr>
          <w:noProof/>
        </w:rPr>
        <w:t xml:space="preserve">as vai daļu no izmaksām, kuras radušās minētā uzdevuma izpildē, ņemot vērā attiecīgos ieņēmumus un saprātīgu peļņu par uzdevuma izpildi. Puses nodrošina, ka piešķirtā kompensācija netiek izmantota, lai šķērssubsidētu darbības, uz kurām neattiecas uzticētā </w:t>
      </w:r>
      <w:r>
        <w:rPr>
          <w:noProof/>
        </w:rPr>
        <w:t>uzdevuma joma. Uz kompensāciju, kas ir mazāka par 15 miljoniem speciālo aizņēmuma tiesību par katru uzdevumu, neattiecas pienākumi saskaņā ar 3.7. pantu [Pārredzamība]. Partnerības padome var grozīt šo robežvērtību.</w:t>
      </w:r>
    </w:p>
    <w:p w:rsidR="003E022D" w:rsidRDefault="007D19D6">
      <w:pPr>
        <w:numPr>
          <w:ilvl w:val="0"/>
          <w:numId w:val="1311"/>
        </w:numPr>
        <w:ind w:left="0" w:firstLine="0"/>
        <w:rPr>
          <w:rFonts w:cstheme="minorHAnsi"/>
          <w:noProof/>
        </w:rPr>
      </w:pPr>
      <w:r>
        <w:rPr>
          <w:noProof/>
        </w:rPr>
        <w:t>Šo nodaļu nepiemēro tad, ja kopējā kompe</w:t>
      </w:r>
      <w:r>
        <w:rPr>
          <w:noProof/>
        </w:rPr>
        <w:t>nsācija ekonomikas dalībniekam, kas veic uzdevumus sabiedrības interesēs, jebkurā trīs fiskālo gadu laikposmā ir mazāka par 750 000 speciālo aizņēmuma tiesību. Partnerības padome var grozīt šo robežvērtību.</w:t>
      </w:r>
    </w:p>
    <w:p w:rsidR="003E022D" w:rsidRDefault="007D19D6">
      <w:pPr>
        <w:pStyle w:val="Article"/>
        <w:rPr>
          <w:noProof/>
        </w:rPr>
      </w:pPr>
      <w:r>
        <w:rPr>
          <w:noProof/>
        </w:rPr>
        <w:t>3.4. pants. Principi</w:t>
      </w:r>
    </w:p>
    <w:p w:rsidR="003E022D" w:rsidRDefault="007D19D6">
      <w:pPr>
        <w:numPr>
          <w:ilvl w:val="0"/>
          <w:numId w:val="1296"/>
        </w:numPr>
        <w:ind w:left="0" w:firstLine="0"/>
        <w:rPr>
          <w:rFonts w:cstheme="minorHAnsi"/>
          <w:noProof/>
        </w:rPr>
      </w:pPr>
      <w:r>
        <w:rPr>
          <w:noProof/>
        </w:rPr>
        <w:t>Lai nodrošinātu, ka subsīdij</w:t>
      </w:r>
      <w:r>
        <w:rPr>
          <w:noProof/>
        </w:rPr>
        <w:t xml:space="preserve">as netiek piešķirtas tad, ja tām ir vai varētu būt būtiska ietekme uz tirdzniecību vai investīcijām starp Pusēm, katra Puse ievieš un saglabā efektīvu subsīdiju kontroles sistēmu, ar kuru nodrošina, ka subsīdiju piešķiršanā tiek ievēroti šādi principi: </w:t>
      </w:r>
    </w:p>
    <w:p w:rsidR="003E022D" w:rsidRDefault="007D19D6">
      <w:pPr>
        <w:numPr>
          <w:ilvl w:val="0"/>
          <w:numId w:val="1312"/>
        </w:numPr>
        <w:ind w:left="567" w:hanging="567"/>
        <w:rPr>
          <w:rFonts w:cstheme="minorHAnsi"/>
          <w:noProof/>
        </w:rPr>
      </w:pPr>
      <w:r>
        <w:rPr>
          <w:noProof/>
        </w:rPr>
        <w:t>su</w:t>
      </w:r>
      <w:r>
        <w:rPr>
          <w:noProof/>
        </w:rPr>
        <w:t>bsīdiju nolūks ir sasniegt konkrētu sabiedriskās politikas mērķi, lai novērstu konstatētu tirgus nepilnību vai risinātu tādus taisnīguma apsvērumus kā, piemēram, sociālās grūtības vai sadales problēmas (“mērķis”);</w:t>
      </w:r>
    </w:p>
    <w:p w:rsidR="003E022D" w:rsidRDefault="007D19D6">
      <w:pPr>
        <w:numPr>
          <w:ilvl w:val="0"/>
          <w:numId w:val="1312"/>
        </w:numPr>
        <w:ind w:left="567" w:hanging="567"/>
        <w:rPr>
          <w:rFonts w:cstheme="minorHAnsi"/>
          <w:noProof/>
        </w:rPr>
      </w:pPr>
      <w:r>
        <w:rPr>
          <w:noProof/>
        </w:rPr>
        <w:t>subsīdijas ir samērīgs un aprobežojas ar t</w:t>
      </w:r>
      <w:r>
        <w:rPr>
          <w:noProof/>
        </w:rPr>
        <w:t>o, kas vajadzīgs, lai sasniegtu mērķi;</w:t>
      </w:r>
    </w:p>
    <w:p w:rsidR="003E022D" w:rsidRDefault="007D19D6">
      <w:pPr>
        <w:numPr>
          <w:ilvl w:val="0"/>
          <w:numId w:val="1312"/>
        </w:numPr>
        <w:ind w:left="567" w:hanging="567"/>
        <w:rPr>
          <w:rFonts w:cstheme="minorHAnsi"/>
          <w:noProof/>
        </w:rPr>
      </w:pPr>
      <w:r>
        <w:rPr>
          <w:noProof/>
        </w:rPr>
        <w:t>subsīdijas ir paredzētas tam, lai radītu izmaiņas labuma guvēja ekonomiskajā rīcībā, kas veicina mērķa sasniegšanu un ko nevarētu sasniegt, ja subsīdijas netiktu piešķirtas;</w:t>
      </w:r>
      <w:bookmarkStart w:id="183" w:name="_Hlk54716943"/>
    </w:p>
    <w:p w:rsidR="003E022D" w:rsidRDefault="007D19D6">
      <w:pPr>
        <w:numPr>
          <w:ilvl w:val="0"/>
          <w:numId w:val="1312"/>
        </w:numPr>
        <w:ind w:left="567" w:hanging="567"/>
        <w:rPr>
          <w:rFonts w:cstheme="minorHAnsi"/>
          <w:noProof/>
        </w:rPr>
      </w:pPr>
      <w:r>
        <w:rPr>
          <w:noProof/>
        </w:rPr>
        <w:t>subsīdijām parasti nebūtu jākompensē izmaks</w:t>
      </w:r>
      <w:r>
        <w:rPr>
          <w:noProof/>
        </w:rPr>
        <w:t>as, ko labuma guvējs būtu finansējis bez jebkādām subsīdijām;</w:t>
      </w:r>
    </w:p>
    <w:bookmarkEnd w:id="183"/>
    <w:p w:rsidR="003E022D" w:rsidRDefault="007D19D6">
      <w:pPr>
        <w:numPr>
          <w:ilvl w:val="0"/>
          <w:numId w:val="1312"/>
        </w:numPr>
        <w:ind w:left="567" w:hanging="567"/>
        <w:rPr>
          <w:rFonts w:cstheme="minorHAnsi"/>
          <w:noProof/>
        </w:rPr>
      </w:pPr>
      <w:r>
        <w:rPr>
          <w:noProof/>
        </w:rPr>
        <w:t>subsīdijas ir piemērots politikas instruments, lai sasniegtu sabiedriskās politikas mērķi, un šo mērķi nevar sasniegt ar citiem mazāk kropļojošiem līdzekļiem;</w:t>
      </w:r>
    </w:p>
    <w:p w:rsidR="003E022D" w:rsidRDefault="007D19D6">
      <w:pPr>
        <w:numPr>
          <w:ilvl w:val="0"/>
          <w:numId w:val="1312"/>
        </w:numPr>
        <w:ind w:left="567" w:hanging="567"/>
        <w:rPr>
          <w:rFonts w:cstheme="minorHAnsi"/>
          <w:noProof/>
        </w:rPr>
      </w:pPr>
      <w:r>
        <w:rPr>
          <w:noProof/>
        </w:rPr>
        <w:t>subsīdiju pozitīvais ieguldījums mē</w:t>
      </w:r>
      <w:r>
        <w:rPr>
          <w:noProof/>
        </w:rPr>
        <w:t>rķa sasniegšanā atsver jebkādu negatīvo ietekmi, jo īpaši negatīvo ietekmi uz tirdzniecību vai investīcijām starp Pusēm.</w:t>
      </w:r>
    </w:p>
    <w:p w:rsidR="003E022D" w:rsidRDefault="007D19D6">
      <w:pPr>
        <w:numPr>
          <w:ilvl w:val="0"/>
          <w:numId w:val="1296"/>
        </w:numPr>
        <w:ind w:left="0" w:firstLine="0"/>
        <w:rPr>
          <w:rFonts w:cstheme="minorHAnsi"/>
          <w:noProof/>
        </w:rPr>
      </w:pPr>
      <w:r>
        <w:rPr>
          <w:noProof/>
        </w:rPr>
        <w:t>Neskarot 1. punktu, katra Puse attiecīgā gadījumā piemēro 3.5. pantā [Aizliegtas subsīdijas un subsīdijas, uz kurām attiecas nosacījumi</w:t>
      </w:r>
      <w:r>
        <w:rPr>
          <w:noProof/>
        </w:rPr>
        <w:t xml:space="preserve"> ] izklāstītos nosacījumus, ja attiecīgajām subsīdijām ir vai varētu būt būtiska ietekme uz tirdzniecību vai investīcijām starp Pusēm. </w:t>
      </w:r>
    </w:p>
    <w:p w:rsidR="003E022D" w:rsidRDefault="007D19D6">
      <w:pPr>
        <w:numPr>
          <w:ilvl w:val="0"/>
          <w:numId w:val="1296"/>
        </w:numPr>
        <w:ind w:left="0" w:firstLine="0"/>
        <w:rPr>
          <w:rFonts w:cstheme="minorHAnsi"/>
          <w:noProof/>
        </w:rPr>
      </w:pPr>
      <w:r>
        <w:rPr>
          <w:noProof/>
        </w:rPr>
        <w:t>Katras Puses ziņā ir noteikt, kā tās tiek īstenoti tās pienākumi saskaņā ar 1. un 2. punktu, izstrādājot tās subsīdiju k</w:t>
      </w:r>
      <w:r>
        <w:rPr>
          <w:noProof/>
        </w:rPr>
        <w:t>ontroles sistēmu savos iekšzemes tiesību aktos, ar noteikumu, ka katra Puse nodrošina, ka 1. un 2. punktā minētos pienākumus tās tiesību aktos īsteno tādā veidā, ka individuālas subsīdijas likumību nosaka principi.</w:t>
      </w:r>
    </w:p>
    <w:p w:rsidR="003E022D" w:rsidRDefault="007D19D6">
      <w:pPr>
        <w:pStyle w:val="Article"/>
        <w:rPr>
          <w:noProof/>
        </w:rPr>
      </w:pPr>
      <w:r>
        <w:rPr>
          <w:noProof/>
        </w:rPr>
        <w:t>3.5. pants. Aizliegtas subsīdijas un subs</w:t>
      </w:r>
      <w:r>
        <w:rPr>
          <w:noProof/>
        </w:rPr>
        <w:t>īdijas, uz kurām attiecas nosacījumi</w:t>
      </w:r>
    </w:p>
    <w:p w:rsidR="003E022D" w:rsidRDefault="007D19D6">
      <w:pPr>
        <w:numPr>
          <w:ilvl w:val="3"/>
          <w:numId w:val="1296"/>
        </w:numPr>
        <w:ind w:left="0" w:firstLine="0"/>
        <w:rPr>
          <w:rFonts w:cstheme="minorHAnsi"/>
          <w:noProof/>
        </w:rPr>
      </w:pPr>
      <w:r>
        <w:rPr>
          <w:noProof/>
        </w:rPr>
        <w:t>Subsīdiju, kas minētas 3.4. panta [Principi] 2. punktā, kategorijas un tām piemērojamie nosacījumi ir šādi. Partnerības padome var pēc vajadzības atjaunināt šos noteikumus, lai nodrošinātu šā panta darbību laika gaitā.</w:t>
      </w:r>
    </w:p>
    <w:p w:rsidR="003E022D" w:rsidRDefault="007D19D6">
      <w:pPr>
        <w:jc w:val="center"/>
        <w:rPr>
          <w:b/>
          <w:i/>
          <w:iCs/>
          <w:noProof/>
        </w:rPr>
      </w:pPr>
      <w:r>
        <w:rPr>
          <w:i/>
          <w:iCs/>
          <w:noProof/>
        </w:rPr>
        <w:t>Neierobežotas valsts garantijas</w:t>
      </w:r>
    </w:p>
    <w:p w:rsidR="003E022D" w:rsidRDefault="007D19D6">
      <w:pPr>
        <w:numPr>
          <w:ilvl w:val="3"/>
          <w:numId w:val="1296"/>
        </w:numPr>
        <w:ind w:left="0" w:firstLine="0"/>
        <w:rPr>
          <w:rFonts w:cstheme="minorHAnsi"/>
          <w:noProof/>
        </w:rPr>
      </w:pPr>
      <w:r>
        <w:rPr>
          <w:noProof/>
        </w:rPr>
        <w:t>Subsīdija ekonomikas dalībnieka parādu vai saistību garantijas veidā bez jebkādiem ierobežojumiem attiecībā uz minēto parādu un saistību apjomu vai minētās garantijas ilgumu ir aizliegta.</w:t>
      </w:r>
    </w:p>
    <w:p w:rsidR="003E022D" w:rsidRDefault="007D19D6">
      <w:pPr>
        <w:jc w:val="center"/>
        <w:rPr>
          <w:b/>
          <w:i/>
          <w:iCs/>
          <w:noProof/>
        </w:rPr>
      </w:pPr>
      <w:r>
        <w:rPr>
          <w:i/>
          <w:iCs/>
          <w:noProof/>
        </w:rPr>
        <w:t>Glābšana un pārstrukturēšana</w:t>
      </w:r>
    </w:p>
    <w:p w:rsidR="003E022D" w:rsidRDefault="007D19D6">
      <w:pPr>
        <w:numPr>
          <w:ilvl w:val="3"/>
          <w:numId w:val="1296"/>
        </w:numPr>
        <w:ind w:left="0" w:firstLine="0"/>
        <w:rPr>
          <w:rFonts w:cstheme="minorHAnsi"/>
          <w:noProof/>
        </w:rPr>
      </w:pPr>
      <w:r>
        <w:rPr>
          <w:noProof/>
        </w:rPr>
        <w:t>Subsīdi</w:t>
      </w:r>
      <w:r>
        <w:rPr>
          <w:noProof/>
        </w:rPr>
        <w:t>jas grūtībās nonākuša vai maksātnespējīga ekonomikas dalībnieka pārstrukturēšanai gadījumos, kad ekonomikas dalībnieks nav sagatavojis ticamu pārstrukturēšanas plānu, ir aizliegta. Pārstrukturēšanas plāna pamatā ir reālistiski pieņēmumi, lai samērīgā laikp</w:t>
      </w:r>
      <w:r>
        <w:rPr>
          <w:noProof/>
        </w:rPr>
        <w:t>osmā nodrošinātu grūtībās nonākuša vai maksātnespējīga ekonomikas dalībnieka dzīvotspējas atjaunošanu ilgtermiņā. Pārstrukturēšanas plāna sagatavošanas laikā ekonomikas dalībnieks var saņemt pagaidu likviditātes atbalstu aizdevumu vai aizdevumu garantiju v</w:t>
      </w:r>
      <w:r>
        <w:rPr>
          <w:noProof/>
        </w:rPr>
        <w:t>eidā. Izņemot mazos un vidējos uzņēmumus, ekonomikas dalībnieks vai tā īpašnieki, kreditori vai jauni investori iegulda ievērojamus līdzekļus vai aktīvus pārstrukturēšanas izmaksās. Šā punkta nolūkos grūtībās nonācis vai maksātnespējīgs ekonomikas dalībnie</w:t>
      </w:r>
      <w:r>
        <w:rPr>
          <w:noProof/>
        </w:rPr>
        <w:t>ks ir tas, kurš gandrīz noteikti īsā līdz vidējā termiņā pārtrauktu darījumdarbību, ja subsīdija netiktu piešķirta.</w:t>
      </w:r>
    </w:p>
    <w:p w:rsidR="003E022D" w:rsidRDefault="007D19D6">
      <w:pPr>
        <w:numPr>
          <w:ilvl w:val="3"/>
          <w:numId w:val="1296"/>
        </w:numPr>
        <w:ind w:left="0" w:firstLine="0"/>
        <w:rPr>
          <w:rFonts w:cstheme="minorHAnsi"/>
          <w:noProof/>
        </w:rPr>
      </w:pPr>
      <w:r>
        <w:rPr>
          <w:noProof/>
        </w:rPr>
        <w:t>Izņemot ārkārtas apstākļus, subsīdijas maksātnespējīgu vai grūtībās nonākušu ekonomikas dalībnieku glābšanai un pārstrukturēšanai būtu jāatļ</w:t>
      </w:r>
      <w:r>
        <w:rPr>
          <w:noProof/>
        </w:rPr>
        <w:t>auj tikai tad, ja tās palīdz sasniegt sabiedrības interešu mērķi, izvairoties no sociālām grūtībām vai novēršot nopietnas tirgus nepilnības, jo īpaši attiecībā uz darbvietu zaudēšanu vai tādu svarīgu pakalpojumu pārtraukšanu, kurus ir grūti atkārtot. Izņem</w:t>
      </w:r>
      <w:r>
        <w:rPr>
          <w:noProof/>
        </w:rPr>
        <w:t>ot neparedzētus apstākļus, kurus nav izraisījis labuma guvējs, subsīdijas nebūtu jāpiešķir vairāk kā vienu reizi jebkurā 5 gadu laikposmā.</w:t>
      </w:r>
    </w:p>
    <w:p w:rsidR="003E022D" w:rsidRDefault="007D19D6">
      <w:pPr>
        <w:numPr>
          <w:ilvl w:val="3"/>
          <w:numId w:val="1296"/>
        </w:numPr>
        <w:ind w:left="0" w:firstLine="0"/>
        <w:rPr>
          <w:rFonts w:cstheme="minorHAnsi"/>
          <w:noProof/>
        </w:rPr>
      </w:pPr>
      <w:r>
        <w:rPr>
          <w:noProof/>
        </w:rPr>
        <w:t>Šā panta 3. un 4. punktu nepiemēro subsīdijām grūtībās nonākušām vai maksātnespējīgām bankām, kredītiestādēm un apdro</w:t>
      </w:r>
      <w:r>
        <w:rPr>
          <w:noProof/>
        </w:rPr>
        <w:t xml:space="preserve">šināšanas sabiedrībām. </w:t>
      </w:r>
    </w:p>
    <w:p w:rsidR="003E022D" w:rsidRDefault="007D19D6">
      <w:pPr>
        <w:jc w:val="center"/>
        <w:rPr>
          <w:b/>
          <w:i/>
          <w:iCs/>
          <w:noProof/>
        </w:rPr>
      </w:pPr>
      <w:r>
        <w:rPr>
          <w:i/>
          <w:iCs/>
          <w:noProof/>
        </w:rPr>
        <w:t>Bankas, kredītiestādes un apdrošināšanas sabiedrības</w:t>
      </w:r>
    </w:p>
    <w:p w:rsidR="003E022D" w:rsidRDefault="007D19D6">
      <w:pPr>
        <w:numPr>
          <w:ilvl w:val="3"/>
          <w:numId w:val="1296"/>
        </w:numPr>
        <w:ind w:left="0" w:firstLine="0"/>
        <w:rPr>
          <w:rFonts w:cstheme="minorHAnsi"/>
          <w:noProof/>
        </w:rPr>
      </w:pPr>
      <w:r>
        <w:rPr>
          <w:noProof/>
        </w:rPr>
        <w:t>Neskarot SERVIN.5.39. pantu [Piesardzības atkāpe], subsīdijas banku, kredītiestāžu un apdrošināšanas sabiedrību pārstrukturēšanai var piešķirt, tikai pamatojoties uz ticamu pārstr</w:t>
      </w:r>
      <w:r>
        <w:rPr>
          <w:noProof/>
        </w:rPr>
        <w:t>ukturēšanas plānu, kas atjauno ilgtermiņa dzīvotspēju. Ja ilgtermiņa dzīvotspējas atjaunošanos nevar ticami pierādīt, jebkādas subsīdijas bankām, kredītiestādēm un apdrošināšanas sabiedrībām aprobežojas ar to, kas vajadzīgs, lai nodrošinātu to sakārtotu li</w:t>
      </w:r>
      <w:r>
        <w:rPr>
          <w:noProof/>
        </w:rPr>
        <w:t xml:space="preserve">kvidāciju un iziešanu no tirgus, vienlaikus līdz minimumam samazinot subsīdijas apjomu un tās negatīvo ietekmi uz tirdzniecību vai investīcijām starp Pusēm. </w:t>
      </w:r>
    </w:p>
    <w:p w:rsidR="003E022D" w:rsidRDefault="007D19D6">
      <w:pPr>
        <w:numPr>
          <w:ilvl w:val="3"/>
          <w:numId w:val="1296"/>
        </w:numPr>
        <w:ind w:left="0" w:firstLine="0"/>
        <w:rPr>
          <w:rFonts w:cstheme="minorHAnsi"/>
          <w:noProof/>
        </w:rPr>
      </w:pPr>
      <w:r>
        <w:rPr>
          <w:noProof/>
        </w:rPr>
        <w:t>Nodrošina, ka piešķīrēja iestāde saņem pienācīgu atlīdzību par pārstrukturēšanas subsīdiju un ka l</w:t>
      </w:r>
      <w:r>
        <w:rPr>
          <w:noProof/>
        </w:rPr>
        <w:t>abuma guvējs, tā akcionāri, kreditori vai uzņēmumu grupa, pie kuras pieder labuma guvējs, no saviem līdzekļiem sniedz būtisku ieguldījumu pārstrukturēšanas vai likvidācijas izmaksās. Subsīdijas likviditātes nodrošināšanai ir īslaicīgas, tās neizmanto zaudē</w:t>
      </w:r>
      <w:r>
        <w:rPr>
          <w:noProof/>
        </w:rPr>
        <w:t>jumu segšanai un nekļūst par kapitāla atbalstu. Par subsīdijām, kas piešķirtas, lai atbalstītu likviditātes nodrošināšanu, piešķīrējai iestādei izmaksā pienācīgu atlīdzību.</w:t>
      </w:r>
    </w:p>
    <w:p w:rsidR="003E022D" w:rsidRDefault="007D19D6">
      <w:pPr>
        <w:jc w:val="center"/>
        <w:rPr>
          <w:i/>
          <w:iCs/>
          <w:noProof/>
        </w:rPr>
      </w:pPr>
      <w:r>
        <w:rPr>
          <w:i/>
          <w:iCs/>
          <w:noProof/>
        </w:rPr>
        <w:t>Eksporta subsīdijas</w:t>
      </w:r>
    </w:p>
    <w:p w:rsidR="003E022D" w:rsidRDefault="007D19D6">
      <w:pPr>
        <w:numPr>
          <w:ilvl w:val="3"/>
          <w:numId w:val="1296"/>
        </w:numPr>
        <w:ind w:left="0" w:firstLine="0"/>
        <w:rPr>
          <w:rFonts w:cstheme="minorHAnsi"/>
          <w:noProof/>
        </w:rPr>
      </w:pPr>
      <w:r>
        <w:rPr>
          <w:noProof/>
        </w:rPr>
        <w:t>Ir aizliegtas subsīdijas, kuras juridiski vai faktiski</w:t>
      </w:r>
      <w:r>
        <w:rPr>
          <w:rStyle w:val="FootnoteReference"/>
          <w:rFonts w:cstheme="minorHAnsi"/>
          <w:noProof/>
        </w:rPr>
        <w:footnoteReference w:id="54"/>
      </w:r>
      <w:r>
        <w:rPr>
          <w:noProof/>
        </w:rPr>
        <w:t xml:space="preserve"> ir atkarīgas no eksporta rezultātiem attiecībā uz precēm vai pakalpojumiem, ja tas ir vienīgais nosacījums vai viens no vairākiem citiem nosacījumiem, izņemot attiecībā uz:</w:t>
      </w:r>
    </w:p>
    <w:p w:rsidR="003E022D" w:rsidRDefault="007D19D6">
      <w:pPr>
        <w:numPr>
          <w:ilvl w:val="0"/>
          <w:numId w:val="1298"/>
        </w:numPr>
        <w:ind w:left="567" w:hanging="567"/>
        <w:rPr>
          <w:rFonts w:cstheme="minorHAnsi"/>
          <w:noProof/>
        </w:rPr>
      </w:pPr>
      <w:r>
        <w:rPr>
          <w:noProof/>
        </w:rPr>
        <w:t>nenododamo risku īstermiņa kredītapdrošināšanu; vai</w:t>
      </w:r>
    </w:p>
    <w:p w:rsidR="003E022D" w:rsidRDefault="007D19D6">
      <w:pPr>
        <w:numPr>
          <w:ilvl w:val="0"/>
          <w:numId w:val="1298"/>
        </w:numPr>
        <w:ind w:left="567" w:hanging="567"/>
        <w:rPr>
          <w:rFonts w:cstheme="minorHAnsi"/>
          <w:noProof/>
        </w:rPr>
      </w:pPr>
      <w:r>
        <w:rPr>
          <w:noProof/>
        </w:rPr>
        <w:t>eksporta kredītiem un eksporta</w:t>
      </w:r>
      <w:r>
        <w:rPr>
          <w:noProof/>
        </w:rPr>
        <w:t xml:space="preserve"> kredītu garantijām vai apdrošināšanas programmām, kas ir atļautas saskaņā ar SKP nolīgumu, to lasot kopā ar jebkādiem kontekstam nepieciešamiem pielāgojumiem.</w:t>
      </w:r>
    </w:p>
    <w:p w:rsidR="003E022D" w:rsidRDefault="007D19D6">
      <w:pPr>
        <w:numPr>
          <w:ilvl w:val="3"/>
          <w:numId w:val="1296"/>
        </w:numPr>
        <w:ind w:left="0" w:firstLine="0"/>
        <w:rPr>
          <w:rFonts w:cstheme="minorHAnsi"/>
          <w:noProof/>
        </w:rPr>
      </w:pPr>
      <w:r>
        <w:rPr>
          <w:noProof/>
        </w:rPr>
        <w:t>Šā panta 8. punkta a) apakšpunkta vajadzībām "nododamais risks" ir komercrisks un politisks risk</w:t>
      </w:r>
      <w:r>
        <w:rPr>
          <w:noProof/>
        </w:rPr>
        <w:t>s ar maksimālo riska periodu, kas ir mazāks par diviem gadiem publiskiem un nepubliskiem pircējiem nododamo risku valstīs</w:t>
      </w:r>
      <w:r>
        <w:rPr>
          <w:rStyle w:val="FootnoteReference"/>
          <w:rFonts w:cstheme="minorHAnsi"/>
          <w:noProof/>
        </w:rPr>
        <w:footnoteReference w:id="55"/>
      </w:r>
      <w:r>
        <w:rPr>
          <w:noProof/>
        </w:rPr>
        <w:t xml:space="preserve">. Var uzskatīt, ka valsts uz laiku ir izslēgta no nododamo risku valstu grupas, ja trūkst pietiekamas privātā tirgus kapacitātes šādu </w:t>
      </w:r>
      <w:r>
        <w:rPr>
          <w:noProof/>
        </w:rPr>
        <w:t>iemeslu dēļ:</w:t>
      </w:r>
    </w:p>
    <w:p w:rsidR="003E022D" w:rsidRDefault="007D19D6">
      <w:pPr>
        <w:numPr>
          <w:ilvl w:val="0"/>
          <w:numId w:val="1313"/>
        </w:numPr>
        <w:ind w:left="567" w:hanging="567"/>
        <w:rPr>
          <w:rFonts w:cstheme="minorHAnsi"/>
          <w:noProof/>
        </w:rPr>
      </w:pPr>
      <w:r>
        <w:rPr>
          <w:noProof/>
        </w:rPr>
        <w:t xml:space="preserve">ievērojama privātās kredītapdrošināšanas kapacitātes samazināšanās; </w:t>
      </w:r>
    </w:p>
    <w:p w:rsidR="003E022D" w:rsidRDefault="007D19D6">
      <w:pPr>
        <w:numPr>
          <w:ilvl w:val="0"/>
          <w:numId w:val="1313"/>
        </w:numPr>
        <w:ind w:left="567" w:hanging="567"/>
        <w:rPr>
          <w:rFonts w:cstheme="minorHAnsi"/>
          <w:noProof/>
        </w:rPr>
      </w:pPr>
      <w:r>
        <w:rPr>
          <w:noProof/>
        </w:rPr>
        <w:t xml:space="preserve">ievērojami pasliktinās valsts sektora reitings; vai </w:t>
      </w:r>
    </w:p>
    <w:p w:rsidR="003E022D" w:rsidRDefault="007D19D6">
      <w:pPr>
        <w:numPr>
          <w:ilvl w:val="0"/>
          <w:numId w:val="1313"/>
        </w:numPr>
        <w:ind w:left="567" w:hanging="567"/>
        <w:rPr>
          <w:rFonts w:cstheme="minorHAnsi"/>
          <w:noProof/>
        </w:rPr>
      </w:pPr>
      <w:r>
        <w:rPr>
          <w:noProof/>
        </w:rPr>
        <w:t>ievērojami pasliktinās uzņēmumu sektora darbība.</w:t>
      </w:r>
    </w:p>
    <w:p w:rsidR="003E022D" w:rsidRDefault="007D19D6">
      <w:pPr>
        <w:numPr>
          <w:ilvl w:val="3"/>
          <w:numId w:val="1296"/>
        </w:numPr>
        <w:ind w:left="0" w:firstLine="0"/>
        <w:rPr>
          <w:rFonts w:cstheme="minorHAnsi"/>
          <w:noProof/>
        </w:rPr>
      </w:pPr>
      <w:r>
        <w:rPr>
          <w:noProof/>
        </w:rPr>
        <w:t>Šāda nododamo risku valsts pagaidu izslēgšana attiecībā uz Pusi stājas s</w:t>
      </w:r>
      <w:r>
        <w:rPr>
          <w:noProof/>
        </w:rPr>
        <w:t xml:space="preserve">pēkā saskaņā ar minētās Puses lēmumu, pamatojoties uz 9. punktā minētajiem kritērijiem, un tikai tad, ja minētā Puse pieņem šādu lēmumu. Minētā lēmuma publicēšanu uzskata par paziņojumu otrai Pusei par šādu pagaidu izslēgšanu, ciktāl tas attiecas uz pirmo </w:t>
      </w:r>
      <w:r>
        <w:rPr>
          <w:noProof/>
        </w:rPr>
        <w:t xml:space="preserve">Pusi. </w:t>
      </w:r>
    </w:p>
    <w:p w:rsidR="003E022D" w:rsidRDefault="007D19D6">
      <w:pPr>
        <w:numPr>
          <w:ilvl w:val="3"/>
          <w:numId w:val="1296"/>
        </w:numPr>
        <w:ind w:left="0" w:firstLine="0"/>
        <w:rPr>
          <w:rFonts w:cstheme="minorHAnsi"/>
          <w:noProof/>
        </w:rPr>
      </w:pPr>
      <w:r>
        <w:rPr>
          <w:noProof/>
        </w:rPr>
        <w:t>Ja subsidētais apdrošinātājs sniedz eksporta kredīta apdrošināšanu, visu nododamo risku apdrošināšanu veic uz komerciāliem pamatiem. Šādā gadījumā apdrošinātājs ne tieši, ne netieši negūst labumu no subsīdijām nododamo risku apdrošināšanai.</w:t>
      </w:r>
    </w:p>
    <w:p w:rsidR="003E022D" w:rsidRDefault="007D19D6">
      <w:pPr>
        <w:jc w:val="center"/>
        <w:rPr>
          <w:i/>
          <w:iCs/>
          <w:noProof/>
        </w:rPr>
      </w:pPr>
      <w:r>
        <w:rPr>
          <w:i/>
          <w:iCs/>
          <w:noProof/>
        </w:rPr>
        <w:t>Subsīdij</w:t>
      </w:r>
      <w:r>
        <w:rPr>
          <w:i/>
          <w:iCs/>
          <w:noProof/>
        </w:rPr>
        <w:t>as, kas atkarīgas no iekšzemes satura izmantošanas</w:t>
      </w:r>
    </w:p>
    <w:p w:rsidR="003E022D" w:rsidRDefault="007D19D6">
      <w:pPr>
        <w:numPr>
          <w:ilvl w:val="3"/>
          <w:numId w:val="1296"/>
        </w:numPr>
        <w:ind w:left="0" w:firstLine="0"/>
        <w:rPr>
          <w:rFonts w:cstheme="minorHAnsi"/>
          <w:noProof/>
        </w:rPr>
      </w:pPr>
      <w:r>
        <w:rPr>
          <w:noProof/>
        </w:rPr>
        <w:t>Neskarot SERVIN.2.6. pantu [Veiktspējas prasības] un SERVIN.2.7. pantu [Neatbilstoši pasākumi un izņēmumi], ir aizliegtas subsīdijas, kuru vienīgais nosacījums vai viens no vairākiem citiem nosacījumiem ir</w:t>
      </w:r>
      <w:r>
        <w:rPr>
          <w:noProof/>
        </w:rPr>
        <w:t xml:space="preserve"> iekšzemes preču vai pakalpojumu izmantošana importētu preču vai pakalpojumu vietā. </w:t>
      </w:r>
    </w:p>
    <w:p w:rsidR="003E022D" w:rsidRDefault="007D19D6">
      <w:pPr>
        <w:jc w:val="center"/>
        <w:rPr>
          <w:i/>
          <w:iCs/>
          <w:noProof/>
        </w:rPr>
      </w:pPr>
      <w:r>
        <w:rPr>
          <w:i/>
          <w:iCs/>
          <w:noProof/>
        </w:rPr>
        <w:t>Lieli pārrobežu vai starptautiskās sadarbības projekti</w:t>
      </w:r>
    </w:p>
    <w:p w:rsidR="003E022D" w:rsidRDefault="007D19D6">
      <w:pPr>
        <w:numPr>
          <w:ilvl w:val="3"/>
          <w:numId w:val="1296"/>
        </w:numPr>
        <w:ind w:left="0" w:firstLine="0"/>
        <w:rPr>
          <w:rFonts w:cstheme="minorHAnsi"/>
          <w:noProof/>
        </w:rPr>
      </w:pPr>
      <w:r>
        <w:rPr>
          <w:noProof/>
        </w:rPr>
        <w:t>Subsīdijas var piešķirt saistībā ar lieliem pārrobežu vai starptautiskas sadarbības projektiem, piemēram, projektiem</w:t>
      </w:r>
      <w:r>
        <w:rPr>
          <w:noProof/>
        </w:rPr>
        <w:t xml:space="preserve"> transporta, enerģētikas, vides, pētniecības un izstrādes jomā, kā arī saistībā ar pirmreizējiem izvēršanas projektiem, lai stimulētu jaunu tehnoloģiju rašanos un ieviešanu (izņemot ražošanu). Ieguvumi no šādiem pārrobežu vai starptautiskās sadarbības proj</w:t>
      </w:r>
      <w:r>
        <w:rPr>
          <w:noProof/>
        </w:rPr>
        <w:t>ektiem nedrīkst aprobežoties tikai ar ekonomikas dalībniekiem vai nozari vai iesaistītajām valstīm, šiem ieguvumiem ir jābūt plašākiem un nozīmīgākiem, un to blakusietekme neaprobežojas tikai ar valsti, kas piešķir subsīdiju, attiecīgo nozare un labuma guv</w:t>
      </w:r>
      <w:r>
        <w:rPr>
          <w:noProof/>
        </w:rPr>
        <w:t>ēju.</w:t>
      </w:r>
    </w:p>
    <w:p w:rsidR="003E022D" w:rsidRDefault="007D19D6">
      <w:pPr>
        <w:jc w:val="center"/>
        <w:rPr>
          <w:i/>
          <w:iCs/>
          <w:noProof/>
        </w:rPr>
      </w:pPr>
      <w:r>
        <w:rPr>
          <w:i/>
          <w:iCs/>
          <w:noProof/>
        </w:rPr>
        <w:t>Enerģētika un vide</w:t>
      </w:r>
    </w:p>
    <w:p w:rsidR="003E022D" w:rsidRDefault="007D19D6">
      <w:pPr>
        <w:numPr>
          <w:ilvl w:val="3"/>
          <w:numId w:val="1296"/>
        </w:numPr>
        <w:ind w:left="0" w:firstLine="0"/>
        <w:rPr>
          <w:rFonts w:cstheme="minorHAnsi"/>
          <w:noProof/>
        </w:rPr>
      </w:pPr>
      <w:r>
        <w:rPr>
          <w:noProof/>
        </w:rPr>
        <w:t>Puses atzīst drošas, cenas ziņā pieejamas un ilgtspējīgas enerģētikas sistēmas un vides ilgtspējas svarīgumu, jo īpaši saistībā ar cīņu pret klimata pārmaiņām, kas rada eksistenciālus draudus cilvēcei. Tādēļ, neskarot 3.4. pantu [Principi], subsīdijām sais</w:t>
      </w:r>
      <w:r>
        <w:rPr>
          <w:noProof/>
        </w:rPr>
        <w:t>tībā ar enerģētiku un vidi vajadzētu stimulēt un būt vērstām uz to, lai labuma guvējs nodrošinātu drošu, cenas ziņā pieejamu un ilgtspējīgu energosistēmu un labi funkcionējošu un konkurētspējīgu enerģijas tirgu vai palielinātu vides aizsardzības līmeni sal</w:t>
      </w:r>
      <w:r>
        <w:rPr>
          <w:noProof/>
        </w:rPr>
        <w:t xml:space="preserve">īdzinājumā ar līmeni, kas tiktu sasniegts bez subsīdijas. Šāda subsīdijas neatbrīvo labuma guvēju no saistībām, kas izriet no labuma guvēja kā piesārņotāja pienākumiem saskaņā ar attiecīgās Puses tiesībām. </w:t>
      </w:r>
    </w:p>
    <w:p w:rsidR="003E022D" w:rsidRDefault="007D19D6">
      <w:pPr>
        <w:jc w:val="center"/>
        <w:rPr>
          <w:rFonts w:eastAsia="Arial"/>
          <w:i/>
          <w:iCs/>
          <w:noProof/>
          <w:color w:val="000000" w:themeColor="text1"/>
        </w:rPr>
      </w:pPr>
      <w:r>
        <w:rPr>
          <w:i/>
          <w:iCs/>
          <w:noProof/>
        </w:rPr>
        <w:t>Subsīdijas gaisa pārvadātājiem maršrutu apkalpoša</w:t>
      </w:r>
      <w:r>
        <w:rPr>
          <w:i/>
          <w:iCs/>
          <w:noProof/>
        </w:rPr>
        <w:t>nai</w:t>
      </w:r>
    </w:p>
    <w:p w:rsidR="003E022D" w:rsidRDefault="007D19D6">
      <w:pPr>
        <w:numPr>
          <w:ilvl w:val="3"/>
          <w:numId w:val="1296"/>
        </w:numPr>
        <w:ind w:left="0" w:firstLine="0"/>
        <w:rPr>
          <w:rFonts w:cstheme="minorHAnsi"/>
          <w:noProof/>
        </w:rPr>
      </w:pPr>
      <w:r>
        <w:rPr>
          <w:noProof/>
        </w:rPr>
        <w:t>Subsīdijas gaisa pārvadātājam</w:t>
      </w:r>
      <w:r>
        <w:rPr>
          <w:rStyle w:val="FootnoteReference"/>
          <w:rFonts w:cstheme="minorHAnsi"/>
          <w:noProof/>
        </w:rPr>
        <w:footnoteReference w:id="56"/>
      </w:r>
      <w:r>
        <w:rPr>
          <w:noProof/>
        </w:rPr>
        <w:t xml:space="preserve"> maršrutu apkalpošanai nepiešķir, izņemot: </w:t>
      </w:r>
    </w:p>
    <w:p w:rsidR="003E022D" w:rsidRDefault="007D19D6">
      <w:pPr>
        <w:numPr>
          <w:ilvl w:val="0"/>
          <w:numId w:val="1299"/>
        </w:numPr>
        <w:ind w:left="567" w:hanging="567"/>
        <w:rPr>
          <w:rFonts w:cstheme="minorHAnsi"/>
          <w:noProof/>
        </w:rPr>
      </w:pPr>
      <w:r>
        <w:rPr>
          <w:noProof/>
        </w:rPr>
        <w:t>ja pastāv sabiedrisko pakalpojumu saistības saskaņā ar 3.3. pantu [Vispārējas tautsaimnieciskas nozīmes pakalpojumi];</w:t>
      </w:r>
    </w:p>
    <w:p w:rsidR="003E022D" w:rsidRDefault="007D19D6">
      <w:pPr>
        <w:numPr>
          <w:ilvl w:val="0"/>
          <w:numId w:val="1299"/>
        </w:numPr>
        <w:ind w:left="567" w:hanging="567"/>
        <w:rPr>
          <w:rFonts w:cstheme="minorHAnsi"/>
          <w:noProof/>
        </w:rPr>
      </w:pPr>
      <w:r>
        <w:rPr>
          <w:noProof/>
        </w:rPr>
        <w:t>īpašos gadījumos, kad šis finansējums sniedz labumu sabiedrī</w:t>
      </w:r>
      <w:r>
        <w:rPr>
          <w:noProof/>
        </w:rPr>
        <w:t>bai kopumā; vai</w:t>
      </w:r>
    </w:p>
    <w:p w:rsidR="003E022D" w:rsidRDefault="007D19D6">
      <w:pPr>
        <w:numPr>
          <w:ilvl w:val="0"/>
          <w:numId w:val="1299"/>
        </w:numPr>
        <w:ind w:left="567" w:hanging="567"/>
        <w:rPr>
          <w:rFonts w:cstheme="minorHAnsi"/>
          <w:noProof/>
        </w:rPr>
      </w:pPr>
      <w:r>
        <w:rPr>
          <w:noProof/>
        </w:rPr>
        <w:t>tās ir sākumposma subsīdijas jaunu maršrutu atvēršanai reģionālajām lidostām ar nosacījumu, ka tas palielina iedzīvotāju mobilitāti un veicina reģionālo attīstību.</w:t>
      </w:r>
    </w:p>
    <w:p w:rsidR="003E022D" w:rsidRDefault="007D19D6">
      <w:pPr>
        <w:pStyle w:val="Article"/>
        <w:rPr>
          <w:noProof/>
        </w:rPr>
      </w:pPr>
      <w:r>
        <w:rPr>
          <w:noProof/>
        </w:rPr>
        <w:t>3.6. pants. Subsīdiju izmantošana</w:t>
      </w:r>
    </w:p>
    <w:p w:rsidR="003E022D" w:rsidRDefault="007D19D6">
      <w:pPr>
        <w:rPr>
          <w:rFonts w:cstheme="minorHAnsi"/>
          <w:noProof/>
        </w:rPr>
      </w:pPr>
      <w:r>
        <w:rPr>
          <w:noProof/>
        </w:rPr>
        <w:t>Katra Puse nodrošina, ka ekonomikas dalībn</w:t>
      </w:r>
      <w:r>
        <w:rPr>
          <w:noProof/>
        </w:rPr>
        <w:t>ieki izmanto subsīdijas tikai konkrētajam mērķim, kuram tās ir piešķirtas.</w:t>
      </w:r>
    </w:p>
    <w:p w:rsidR="003E022D" w:rsidRDefault="007D19D6">
      <w:pPr>
        <w:pStyle w:val="Article"/>
        <w:rPr>
          <w:noProof/>
        </w:rPr>
      </w:pPr>
      <w:r>
        <w:rPr>
          <w:noProof/>
        </w:rPr>
        <w:t>3.7. pants. Pārredzamība</w:t>
      </w:r>
    </w:p>
    <w:p w:rsidR="003E022D" w:rsidRDefault="007D19D6">
      <w:pPr>
        <w:numPr>
          <w:ilvl w:val="0"/>
          <w:numId w:val="1314"/>
        </w:numPr>
        <w:ind w:left="567" w:hanging="567"/>
        <w:rPr>
          <w:rFonts w:cstheme="minorHAnsi"/>
          <w:noProof/>
        </w:rPr>
      </w:pPr>
      <w:r>
        <w:rPr>
          <w:noProof/>
        </w:rPr>
        <w:t>Attiecībā uz visām subsīdijām, kas piešķirtas vai saglabātas tās teritorijā, katra Puse sešu mēnešu laikā pēc subsīdijas piešķiršanas oficiālā tīmekļa vietn</w:t>
      </w:r>
      <w:r>
        <w:rPr>
          <w:noProof/>
        </w:rPr>
        <w:t>ē vai publiskā datubāzē dara publiski pieejamu šādu informāciju:</w:t>
      </w:r>
    </w:p>
    <w:p w:rsidR="003E022D" w:rsidRDefault="007D19D6">
      <w:pPr>
        <w:numPr>
          <w:ilvl w:val="0"/>
          <w:numId w:val="1297"/>
        </w:numPr>
        <w:ind w:left="567" w:hanging="567"/>
        <w:rPr>
          <w:rFonts w:cstheme="minorHAnsi"/>
          <w:noProof/>
        </w:rPr>
      </w:pPr>
      <w:r>
        <w:rPr>
          <w:noProof/>
        </w:rPr>
        <w:t>juridiskais pamats un politikas mērķis vai subsīdijas mērķis;</w:t>
      </w:r>
    </w:p>
    <w:p w:rsidR="003E022D" w:rsidRDefault="007D19D6">
      <w:pPr>
        <w:numPr>
          <w:ilvl w:val="0"/>
          <w:numId w:val="1297"/>
        </w:numPr>
        <w:ind w:left="567" w:hanging="567"/>
        <w:rPr>
          <w:rFonts w:cstheme="minorHAnsi"/>
          <w:noProof/>
        </w:rPr>
      </w:pPr>
      <w:r>
        <w:rPr>
          <w:noProof/>
        </w:rPr>
        <w:t>subsīdijas saņēmēja nosaukums, ja pieejams;</w:t>
      </w:r>
    </w:p>
    <w:p w:rsidR="003E022D" w:rsidRDefault="007D19D6">
      <w:pPr>
        <w:numPr>
          <w:ilvl w:val="0"/>
          <w:numId w:val="1297"/>
        </w:numPr>
        <w:ind w:left="567" w:hanging="567"/>
        <w:rPr>
          <w:rFonts w:cstheme="minorHAnsi"/>
          <w:noProof/>
        </w:rPr>
      </w:pPr>
      <w:r>
        <w:rPr>
          <w:noProof/>
        </w:rPr>
        <w:t>subsīdijas piešķiršanas datums, subsīdijas ilgums un citi ar subsīdiju saistītie term</w:t>
      </w:r>
      <w:r>
        <w:rPr>
          <w:noProof/>
        </w:rPr>
        <w:t>iņi; un</w:t>
      </w:r>
    </w:p>
    <w:p w:rsidR="003E022D" w:rsidRDefault="007D19D6">
      <w:pPr>
        <w:numPr>
          <w:ilvl w:val="0"/>
          <w:numId w:val="1297"/>
        </w:numPr>
        <w:ind w:left="567" w:hanging="567"/>
        <w:rPr>
          <w:rFonts w:cstheme="minorHAnsi"/>
          <w:noProof/>
        </w:rPr>
      </w:pPr>
      <w:r>
        <w:rPr>
          <w:noProof/>
        </w:rPr>
        <w:t>subsīdijas summa vai budžetā paredzētā summa subsīdijai.</w:t>
      </w:r>
    </w:p>
    <w:p w:rsidR="003E022D" w:rsidRDefault="007D19D6">
      <w:pPr>
        <w:numPr>
          <w:ilvl w:val="0"/>
          <w:numId w:val="1314"/>
        </w:numPr>
        <w:ind w:left="0" w:firstLine="0"/>
        <w:rPr>
          <w:rFonts w:cstheme="minorHAnsi"/>
          <w:noProof/>
        </w:rPr>
      </w:pPr>
      <w:r>
        <w:rPr>
          <w:noProof/>
        </w:rPr>
        <w:t>Attiecībā uz subsīdijām nodokļu pasākumu veidā informāciju publisko viena gada laikā no dienas, kad jāiesniedz nodokļu deklarācija. Pārredzamības pienākumi attiecībā uz subsīdijām nodokļu pas</w:t>
      </w:r>
      <w:r>
        <w:rPr>
          <w:noProof/>
        </w:rPr>
        <w:t>ākumu veidā attiecas uz to pašu informāciju, kas uzskaitīta 1. punktā, izņemot 1. punkta d) apakšpunktā prasīto informāciju, kuru var sniegt diapazonā.</w:t>
      </w:r>
    </w:p>
    <w:p w:rsidR="003E022D" w:rsidRDefault="007D19D6">
      <w:pPr>
        <w:numPr>
          <w:ilvl w:val="0"/>
          <w:numId w:val="1314"/>
        </w:numPr>
        <w:ind w:left="0" w:firstLine="0"/>
        <w:rPr>
          <w:rFonts w:cstheme="minorHAnsi"/>
          <w:noProof/>
        </w:rPr>
      </w:pPr>
      <w:r>
        <w:rPr>
          <w:noProof/>
        </w:rPr>
        <w:t>Papildus 1. punktā noteiktajam pienākumam Puses dara pieejamu informāciju par subsīdijām saskaņā ar 4. v</w:t>
      </w:r>
      <w:r>
        <w:rPr>
          <w:noProof/>
        </w:rPr>
        <w:t>ai 5. punktu.</w:t>
      </w:r>
    </w:p>
    <w:p w:rsidR="003E022D" w:rsidRDefault="007D19D6">
      <w:pPr>
        <w:numPr>
          <w:ilvl w:val="0"/>
          <w:numId w:val="1314"/>
        </w:numPr>
        <w:ind w:left="0" w:firstLine="0"/>
        <w:rPr>
          <w:rFonts w:cstheme="minorHAnsi"/>
          <w:noProof/>
        </w:rPr>
      </w:pPr>
      <w:r>
        <w:rPr>
          <w:noProof/>
        </w:rPr>
        <w:t>Attiecībā uz Savienību atbilstība 3. punktam nozīmē, ka attiecībā uz jebkuru subsīdiju, kas piešķirta vai saglabāta tās teritorijā, sešu mēnešu laikā pēc subsīdijas piešķiršanas informācija ir publiski pieejama oficiālā tīmekļa vietnē vai pub</w:t>
      </w:r>
      <w:r>
        <w:rPr>
          <w:noProof/>
        </w:rPr>
        <w:t>liskā datubāzē, kas ļauj ieinteresētajām personām novērtēt atbilstību 3.4. pantā [Principi] noteiktajiem principiem.</w:t>
      </w:r>
    </w:p>
    <w:p w:rsidR="003E022D" w:rsidRDefault="007D19D6">
      <w:pPr>
        <w:numPr>
          <w:ilvl w:val="0"/>
          <w:numId w:val="1314"/>
        </w:numPr>
        <w:ind w:left="0" w:firstLine="0"/>
        <w:rPr>
          <w:rFonts w:cstheme="minorHAnsi"/>
          <w:noProof/>
        </w:rPr>
      </w:pPr>
      <w:r>
        <w:rPr>
          <w:noProof/>
        </w:rPr>
        <w:t>Attiecībā uz Apvienoto Karalisti atbilstība 3. punktam nozīmē, ka Apvienotā Karaliste nodrošina, ka:</w:t>
      </w:r>
    </w:p>
    <w:p w:rsidR="003E022D" w:rsidRDefault="007D19D6">
      <w:pPr>
        <w:numPr>
          <w:ilvl w:val="0"/>
          <w:numId w:val="1315"/>
        </w:numPr>
        <w:ind w:left="567" w:hanging="567"/>
        <w:rPr>
          <w:rFonts w:cstheme="minorHAnsi"/>
          <w:noProof/>
        </w:rPr>
      </w:pPr>
      <w:r>
        <w:rPr>
          <w:noProof/>
        </w:rPr>
        <w:t xml:space="preserve">ja ieinteresētā persona paziņo piešķīrējai iestādei, ka tā var lūgt, lai tiesa pārskata i) subsīdijas piešķiršanu, ko veikusi piešķīrēja iestāde, vai ii) jebkuru attiecīgo piešķīrējas iestādes vai neatkarīgās struktūras vai iestādes lēmumu, </w:t>
      </w:r>
    </w:p>
    <w:p w:rsidR="003E022D" w:rsidRDefault="007D19D6">
      <w:pPr>
        <w:numPr>
          <w:ilvl w:val="0"/>
          <w:numId w:val="1315"/>
        </w:numPr>
        <w:ind w:left="567" w:hanging="567"/>
        <w:rPr>
          <w:rFonts w:cstheme="minorHAnsi"/>
          <w:noProof/>
        </w:rPr>
      </w:pPr>
      <w:r>
        <w:rPr>
          <w:noProof/>
        </w:rPr>
        <w:t>28 dienu laikā</w:t>
      </w:r>
      <w:r>
        <w:rPr>
          <w:noProof/>
        </w:rPr>
        <w:t xml:space="preserve"> no rakstiska pieprasījuma iesniegšanas piešķīrēja iestāde, neatkarīga struktūra vai iestāde sniedz ieinteresētajai personai informāciju, kas ļauj ieinteresētajai personai novērtēt 3.4. pantā [Principi] noteikto principu piemērošanu, ievērojot samērīgus ie</w:t>
      </w:r>
      <w:r>
        <w:rPr>
          <w:noProof/>
        </w:rPr>
        <w:t>robežojumus, kuriem ir leģitīms mērķis, piemēram, komercnoslēpums, konfidencialitāte vai saziņas konfidencialitāte.</w:t>
      </w:r>
    </w:p>
    <w:p w:rsidR="003E022D" w:rsidRDefault="007D19D6">
      <w:pPr>
        <w:rPr>
          <w:rFonts w:cstheme="minorHAnsi"/>
          <w:noProof/>
        </w:rPr>
      </w:pPr>
      <w:r>
        <w:rPr>
          <w:noProof/>
        </w:rPr>
        <w:t>Pirmās daļas b) apakšpunktā minēto informāciju sniedz ieinteresētajai personai, lai tā varētu pieņemt uz informāciju balstītu lēmumu par to,</w:t>
      </w:r>
      <w:r>
        <w:rPr>
          <w:noProof/>
        </w:rPr>
        <w:t xml:space="preserve"> vai iesniegt prasību, vai varētu izprast un pienācīgi identificēt strīdus jautājumus ierosinātajā prasībā.</w:t>
      </w:r>
    </w:p>
    <w:p w:rsidR="003E022D" w:rsidRDefault="007D19D6">
      <w:pPr>
        <w:numPr>
          <w:ilvl w:val="0"/>
          <w:numId w:val="1314"/>
        </w:numPr>
        <w:ind w:left="0" w:firstLine="0"/>
        <w:rPr>
          <w:rFonts w:cstheme="minorHAnsi"/>
          <w:noProof/>
        </w:rPr>
      </w:pPr>
      <w:r>
        <w:rPr>
          <w:noProof/>
        </w:rPr>
        <w:t>Šajā pantā, 3.10. pantā [ Tiesas] un 3.11. pantā [Atgūšana] “ieinteresētā persona” ir jebkura fiziska vai juridiska persona, ekonomikas dalībnieks v</w:t>
      </w:r>
      <w:r>
        <w:rPr>
          <w:noProof/>
        </w:rPr>
        <w:t xml:space="preserve">ai ekonomikas dalībnieku apvienība, kuras intereses varētu ietekmēt subsīdijas piešķiršana, jo īpaši labuma guvējs, ekonomikas dalībnieki, kas konkurē ar labuma guvēju, vai attiecīgās arodasociācijas. </w:t>
      </w:r>
    </w:p>
    <w:p w:rsidR="003E022D" w:rsidRDefault="007D19D6">
      <w:pPr>
        <w:numPr>
          <w:ilvl w:val="0"/>
          <w:numId w:val="1314"/>
        </w:numPr>
        <w:ind w:left="0" w:firstLine="0"/>
        <w:rPr>
          <w:rFonts w:cstheme="minorHAnsi"/>
          <w:noProof/>
        </w:rPr>
      </w:pPr>
      <w:r>
        <w:rPr>
          <w:noProof/>
        </w:rPr>
        <w:t xml:space="preserve">Šajā pantā noteiktie pienākumi neskar Pušu pienākumus </w:t>
      </w:r>
      <w:r>
        <w:rPr>
          <w:noProof/>
        </w:rPr>
        <w:t xml:space="preserve">saskaņā ar to attiecīgajiem tiesību aktiem par informācijas brīvību vai piekļuvi dokumentiem. </w:t>
      </w:r>
    </w:p>
    <w:p w:rsidR="003E022D" w:rsidRDefault="007D19D6">
      <w:pPr>
        <w:pStyle w:val="Article"/>
        <w:rPr>
          <w:noProof/>
        </w:rPr>
      </w:pPr>
      <w:r>
        <w:rPr>
          <w:noProof/>
        </w:rPr>
        <w:t>3.8. pants. Apspriešanās par subsīdiju kontroli</w:t>
      </w:r>
    </w:p>
    <w:p w:rsidR="003E022D" w:rsidRDefault="007D19D6">
      <w:pPr>
        <w:numPr>
          <w:ilvl w:val="0"/>
          <w:numId w:val="1317"/>
        </w:numPr>
        <w:ind w:left="0" w:firstLine="0"/>
        <w:rPr>
          <w:rFonts w:cstheme="minorHAnsi"/>
          <w:noProof/>
        </w:rPr>
      </w:pPr>
      <w:r>
        <w:rPr>
          <w:noProof/>
        </w:rPr>
        <w:t>Ja Puse uzskata, ka otra Puse ir piešķīrusi subsīdiju vai ka ir skaidri pierādījumi tam, ka otra Puse plāno piešķ</w:t>
      </w:r>
      <w:r>
        <w:rPr>
          <w:noProof/>
        </w:rPr>
        <w:t>irt subsīdiju un ka subsīdijas piešķiršanai ir vai varētu būt negatīva ietekme uz tirdzniecību vai investīcijām starp Pusēm, tā var pieprasīt otrai Pusei sniegt paskaidrojumu par to, kā attiecībā uz šo subsīdiju ir ievēroti 3.4. pantā [Principi] minētie pr</w:t>
      </w:r>
      <w:r>
        <w:rPr>
          <w:noProof/>
        </w:rPr>
        <w:t>incipi.</w:t>
      </w:r>
    </w:p>
    <w:p w:rsidR="003E022D" w:rsidRDefault="007D19D6">
      <w:pPr>
        <w:numPr>
          <w:ilvl w:val="0"/>
          <w:numId w:val="1317"/>
        </w:numPr>
        <w:ind w:left="0" w:firstLine="0"/>
        <w:rPr>
          <w:rFonts w:cstheme="minorHAnsi"/>
          <w:noProof/>
        </w:rPr>
      </w:pPr>
      <w:r>
        <w:rPr>
          <w:noProof/>
        </w:rPr>
        <w:t>Puse var arī pieprasīt 3.7. panta [Pārredzamība] 1. punktā uzskaitīto informāciju, ciktāl informācija jau nav darīta publiski pieejama oficiālā tīmekļa vietnē vai publiskā datubāzē, kā minēts 3.7. panta [Pārredzamība] 1. punktā , vai ciktāl informā</w:t>
      </w:r>
      <w:r>
        <w:rPr>
          <w:noProof/>
        </w:rPr>
        <w:t>cija jau nav darīta pieejama viegli pieejamā veidā.</w:t>
      </w:r>
    </w:p>
    <w:p w:rsidR="003E022D" w:rsidRDefault="007D19D6">
      <w:pPr>
        <w:numPr>
          <w:ilvl w:val="0"/>
          <w:numId w:val="1317"/>
        </w:numPr>
        <w:ind w:left="0" w:firstLine="0"/>
        <w:rPr>
          <w:rFonts w:cstheme="minorHAnsi"/>
          <w:noProof/>
        </w:rPr>
      </w:pPr>
      <w:r>
        <w:rPr>
          <w:noProof/>
        </w:rPr>
        <w:t>Otra Puse sniedz pieprasīto informāciju rakstiski ne vēlāk kā 60 dienu laikā pēc pieprasījuma saņemšanas. Ja kādu pieprasīto informāciju nevar sniegt, minētā Puse savā rakstiskajā atbildē paskaidro, kāpēc</w:t>
      </w:r>
      <w:r>
        <w:rPr>
          <w:noProof/>
        </w:rPr>
        <w:t xml:space="preserve"> šādas informācijas nav.</w:t>
      </w:r>
    </w:p>
    <w:p w:rsidR="003E022D" w:rsidRDefault="007D19D6">
      <w:pPr>
        <w:numPr>
          <w:ilvl w:val="0"/>
          <w:numId w:val="1317"/>
        </w:numPr>
        <w:ind w:left="0" w:firstLine="0"/>
        <w:rPr>
          <w:rFonts w:cstheme="minorHAnsi"/>
          <w:noProof/>
        </w:rPr>
      </w:pPr>
      <w:r>
        <w:rPr>
          <w:noProof/>
        </w:rPr>
        <w:t>Ja pieprasītāja Puse pēc pieprasītās informācijas saņemšanas joprojām uzskata, ka subsīdijai, ko piešķīrusi vai plānojusi piešķirt otra Puse, ir vai varētu būt negatīva ietekme uz tirdzniecību vai investīcijām starp Pusēm, pieprasī</w:t>
      </w:r>
      <w:r>
        <w:rPr>
          <w:noProof/>
        </w:rPr>
        <w:t>tāja Puse var pieprasīt apspriešanos Tirdzniecības specializētajā komitejā par vienlīdzīgiem apstākļiem atvērtai un godīgai konkurencei un ilgtspējīgai attīstībai. Pieprasījumu iesniedz rakstiski un tajā ietver paskaidrojumu par iemesliem, kāpēc pieprasītā</w:t>
      </w:r>
      <w:r>
        <w:rPr>
          <w:noProof/>
        </w:rPr>
        <w:t>ja Puse pieprasa apspriešanos.</w:t>
      </w:r>
    </w:p>
    <w:p w:rsidR="003E022D" w:rsidRDefault="007D19D6">
      <w:pPr>
        <w:numPr>
          <w:ilvl w:val="0"/>
          <w:numId w:val="1317"/>
        </w:numPr>
        <w:ind w:left="0" w:firstLine="0"/>
        <w:rPr>
          <w:rFonts w:cstheme="minorHAnsi"/>
          <w:noProof/>
        </w:rPr>
      </w:pPr>
      <w:r>
        <w:rPr>
          <w:noProof/>
        </w:rPr>
        <w:t xml:space="preserve">Tirdzniecības specializētajā komitejā par vienlīdzīgiem apstākļiem atvērtai un godīgai konkurencei un ilgtspējīgai attīstībai cenšas nonākt pie jautājuma savstarpēji apmierinoša risinājuma. Tās pirmā sanāksme notiek 30 dienu </w:t>
      </w:r>
      <w:r>
        <w:rPr>
          <w:noProof/>
        </w:rPr>
        <w:t>laikā pēc apspriešanās pieprasījuma.</w:t>
      </w:r>
    </w:p>
    <w:p w:rsidR="003E022D" w:rsidRDefault="007D19D6">
      <w:pPr>
        <w:numPr>
          <w:ilvl w:val="0"/>
          <w:numId w:val="1317"/>
        </w:numPr>
        <w:ind w:left="0" w:firstLine="0"/>
        <w:rPr>
          <w:rFonts w:cstheme="minorHAnsi"/>
          <w:noProof/>
        </w:rPr>
      </w:pPr>
      <w:r>
        <w:rPr>
          <w:noProof/>
        </w:rPr>
        <w:t>Apspriešanās termiņus, kas minēti 3. un 5. punktā, var pagarināt, Pusēm vienojoties.</w:t>
      </w:r>
    </w:p>
    <w:p w:rsidR="003E022D" w:rsidRDefault="007D19D6">
      <w:pPr>
        <w:pStyle w:val="Article"/>
        <w:rPr>
          <w:noProof/>
        </w:rPr>
      </w:pPr>
      <w:r>
        <w:rPr>
          <w:noProof/>
        </w:rPr>
        <w:t>3.9. pants. Neatkarīga iestāde vai struktūra un sadarbība</w:t>
      </w:r>
    </w:p>
    <w:p w:rsidR="003E022D" w:rsidRDefault="007D19D6">
      <w:pPr>
        <w:numPr>
          <w:ilvl w:val="0"/>
          <w:numId w:val="1316"/>
        </w:numPr>
        <w:ind w:left="0" w:firstLine="0"/>
        <w:rPr>
          <w:rFonts w:cstheme="minorHAnsi"/>
          <w:noProof/>
        </w:rPr>
      </w:pPr>
      <w:r>
        <w:rPr>
          <w:noProof/>
        </w:rPr>
        <w:t xml:space="preserve">Katra Puse izveido vai uztur savā darbībā neatkarīgu iestādi vai struktūru, </w:t>
      </w:r>
      <w:r>
        <w:rPr>
          <w:noProof/>
        </w:rPr>
        <w:t>kurai ir atbilstoša loma tās subsīdiju kontroles režīmā. Minētajai neatkarīgajai iestādei vai struktūrai, pildot savas darbības funkcijas, ir nepieciešamās neatkarības garantijas, un tā darbojas objektīvi.</w:t>
      </w:r>
    </w:p>
    <w:p w:rsidR="003E022D" w:rsidRDefault="007D19D6">
      <w:pPr>
        <w:numPr>
          <w:ilvl w:val="0"/>
          <w:numId w:val="1316"/>
        </w:numPr>
        <w:ind w:left="0" w:firstLine="0"/>
        <w:rPr>
          <w:rFonts w:cstheme="minorHAnsi"/>
          <w:noProof/>
        </w:rPr>
      </w:pPr>
      <w:r>
        <w:rPr>
          <w:noProof/>
        </w:rPr>
        <w:t>Puses mudina to attiecīgās neatkarīgās iestādes va</w:t>
      </w:r>
      <w:r>
        <w:rPr>
          <w:noProof/>
        </w:rPr>
        <w:t xml:space="preserve">i struktūras, ievērojot ierobežojumus, kas noteikti to attiecīgajā tiesiskajā regulējumā, savstarpēji sadarboties kopīgu interešu jautājumos savu attiecīgo funkciju ietvaros, arī par 3.1. [Definīcijas] – 3.7. [Pārredzamība] panta piemērošanu. Puses vai to </w:t>
      </w:r>
      <w:r>
        <w:rPr>
          <w:noProof/>
        </w:rPr>
        <w:t>attiecīgās neatkarīgās iestādes vai struktūras var vienoties par atsevišķu satvaru minēto neatkarīgo iestāžu sadarbībai.</w:t>
      </w:r>
    </w:p>
    <w:p w:rsidR="003E022D" w:rsidRDefault="007D19D6">
      <w:pPr>
        <w:pStyle w:val="Article"/>
        <w:rPr>
          <w:noProof/>
        </w:rPr>
      </w:pPr>
      <w:r>
        <w:rPr>
          <w:noProof/>
        </w:rPr>
        <w:t>3.10. pants. Tiesas</w:t>
      </w:r>
    </w:p>
    <w:p w:rsidR="003E022D" w:rsidRDefault="007D19D6">
      <w:pPr>
        <w:numPr>
          <w:ilvl w:val="0"/>
          <w:numId w:val="1318"/>
        </w:numPr>
        <w:ind w:left="0" w:firstLine="0"/>
        <w:rPr>
          <w:rFonts w:cstheme="minorHAnsi"/>
          <w:noProof/>
        </w:rPr>
      </w:pPr>
      <w:r>
        <w:rPr>
          <w:noProof/>
        </w:rPr>
        <w:t>Katra Puse saskaņā ar tās vispārīgajiem un konstitucionālajiem tiesību aktiem un procedūrām nodrošina, ka tās tiesa</w:t>
      </w:r>
      <w:r>
        <w:rPr>
          <w:noProof/>
        </w:rPr>
        <w:t>s ir kompetentas:</w:t>
      </w:r>
    </w:p>
    <w:p w:rsidR="003E022D" w:rsidRDefault="007D19D6">
      <w:pPr>
        <w:ind w:left="567" w:hanging="567"/>
        <w:rPr>
          <w:rFonts w:cstheme="minorHAnsi"/>
          <w:noProof/>
        </w:rPr>
      </w:pPr>
      <w:r>
        <w:rPr>
          <w:noProof/>
        </w:rPr>
        <w:t xml:space="preserve">a) </w:t>
      </w:r>
      <w:r>
        <w:rPr>
          <w:noProof/>
        </w:rPr>
        <w:tab/>
        <w:t>pārskatīt piešķīrējas iestādes vai – attiecīgā gadījumā – neatkarīgās iestādes vai struktūras pieņemtos lēmumus par subsīdijām, lai pārbaudītu to atbilstību minētās Puses tiesību aktiem, ar kuriem īsteno 3.4. pantu [Principi];</w:t>
      </w:r>
    </w:p>
    <w:p w:rsidR="003E022D" w:rsidRDefault="007D19D6">
      <w:pPr>
        <w:ind w:left="567" w:hanging="567"/>
        <w:rPr>
          <w:rFonts w:cstheme="minorHAnsi"/>
          <w:noProof/>
        </w:rPr>
      </w:pPr>
      <w:r>
        <w:rPr>
          <w:noProof/>
        </w:rPr>
        <w:t xml:space="preserve">b) </w:t>
      </w:r>
      <w:r>
        <w:rPr>
          <w:noProof/>
        </w:rPr>
        <w:tab/>
        <w:t>pār</w:t>
      </w:r>
      <w:r>
        <w:rPr>
          <w:noProof/>
        </w:rPr>
        <w:t>skatīt visus citus attiecīgos neatkarīgās iestādes vai struktūras lēmumus un jebkuru attiecīgu bezdarbību;</w:t>
      </w:r>
    </w:p>
    <w:p w:rsidR="003E022D" w:rsidRDefault="007D19D6">
      <w:pPr>
        <w:ind w:left="567" w:hanging="567"/>
        <w:rPr>
          <w:rFonts w:cstheme="minorHAnsi"/>
          <w:noProof/>
        </w:rPr>
      </w:pPr>
      <w:r>
        <w:rPr>
          <w:noProof/>
        </w:rPr>
        <w:t xml:space="preserve">c) </w:t>
      </w:r>
      <w:r>
        <w:rPr>
          <w:noProof/>
        </w:rPr>
        <w:tab/>
        <w:t>piemērot tiesiskās aizsardzības līdzekļus, kas ir efektīvi saistībā ar a) un b) apakšpunktu, cita starpā piešķīrējas iestādes rīcības apturēšanu,</w:t>
      </w:r>
      <w:r>
        <w:rPr>
          <w:noProof/>
        </w:rPr>
        <w:t xml:space="preserve"> aizliegšanu vai rīcības pieprasīšanu, zaudējumu atlīdzināšanu un subsīdijas atgūšanu no labuma guvēja, ja un ciktāl šādi tiesiskās aizsardzības līdzekļi ir pieejami saskaņā ar attiecīgajiem tiesību aktiem šā nolīguma spēkā stāšanās dienā;</w:t>
      </w:r>
    </w:p>
    <w:p w:rsidR="003E022D" w:rsidRDefault="007D19D6">
      <w:pPr>
        <w:ind w:left="567" w:hanging="567"/>
        <w:rPr>
          <w:rFonts w:cstheme="minorHAnsi"/>
          <w:noProof/>
        </w:rPr>
      </w:pPr>
      <w:r>
        <w:rPr>
          <w:noProof/>
        </w:rPr>
        <w:t xml:space="preserve">d) </w:t>
      </w:r>
      <w:r>
        <w:rPr>
          <w:noProof/>
        </w:rPr>
        <w:tab/>
        <w:t xml:space="preserve">izskatīt </w:t>
      </w:r>
      <w:r>
        <w:rPr>
          <w:noProof/>
        </w:rPr>
        <w:t>ieinteresēto personu prasības saistībā ar subsīdijām, uz kurām attiecas šī nodaļa; gadījumos, kad ieinteresētajai personai saskaņā ar minētās Puses tiesību aktiem ir tiesības celt prasību attiecībā uz subsīdiju.</w:t>
      </w:r>
    </w:p>
    <w:p w:rsidR="003E022D" w:rsidRDefault="007D19D6">
      <w:pPr>
        <w:numPr>
          <w:ilvl w:val="0"/>
          <w:numId w:val="1318"/>
        </w:numPr>
        <w:ind w:left="0" w:firstLine="0"/>
        <w:rPr>
          <w:rFonts w:cstheme="minorHAnsi"/>
          <w:noProof/>
        </w:rPr>
      </w:pPr>
      <w:r>
        <w:rPr>
          <w:noProof/>
        </w:rPr>
        <w:t>Katrai Pusei ar attiecīgās tiesas atļauju, j</w:t>
      </w:r>
      <w:r>
        <w:rPr>
          <w:noProof/>
        </w:rPr>
        <w:t>a tāda ir vajadzīga, ir tiesības saskaņā ar otras Puses vispārīgajiem tiesību aktiem un procedūrām piedalīties lietās, kas minētas 1. punktā.</w:t>
      </w:r>
    </w:p>
    <w:p w:rsidR="003E022D" w:rsidRDefault="007D19D6">
      <w:pPr>
        <w:numPr>
          <w:ilvl w:val="0"/>
          <w:numId w:val="1318"/>
        </w:numPr>
        <w:ind w:left="0" w:firstLine="0"/>
        <w:rPr>
          <w:rFonts w:cstheme="minorHAnsi"/>
          <w:noProof/>
        </w:rPr>
      </w:pPr>
      <w:r>
        <w:rPr>
          <w:noProof/>
        </w:rPr>
        <w:t>Neskarot pienākumus uzturēt vai vajadzības gadījumā izveidot šā panta 1. un 2. punktā un 3.11. pantā [Atgūšana] mi</w:t>
      </w:r>
      <w:r>
        <w:rPr>
          <w:noProof/>
        </w:rPr>
        <w:t>nētās kompetences, tiesiskās aizsardzības līdzekļus un piedalīšanās tiesības, nekas šajā pantā neuzliek nevienai Pusei pienākumu izveidot prasījumu tiesības, tiesiskās aizsardzības līdzekļus, procedūras vai tās attiecīgo publisko iestāžu lēmumu pārskatīšan</w:t>
      </w:r>
      <w:r>
        <w:rPr>
          <w:noProof/>
        </w:rPr>
        <w:t xml:space="preserve">as tvērumu vai pamatojumu, kas pārsniedz to, kas jau pastāv saskaņā ar tās tiesību aktiem šā nolīguma spēkā stāšanās dienā. </w:t>
      </w:r>
    </w:p>
    <w:p w:rsidR="003E022D" w:rsidRDefault="007D19D6">
      <w:pPr>
        <w:rPr>
          <w:rFonts w:cstheme="minorHAnsi"/>
          <w:noProof/>
        </w:rPr>
      </w:pPr>
      <w:r>
        <w:rPr>
          <w:noProof/>
        </w:rPr>
        <w:t xml:space="preserve">Nekas šajā pantā neliek nevienai Pusei paplašināt tvērumu vai pamatojumu attiecībā uz to, kā tiesas pārskata Apvienotās Karalistes </w:t>
      </w:r>
      <w:r>
        <w:rPr>
          <w:noProof/>
        </w:rPr>
        <w:t>parlamenta aktus, Eiropas Parlamenta un Eiropas Savienības Padomes aktus vai Eiropas Savienības Padomes aktus, kas pārsniedz to, kas jau pastāv saskaņā ar tās tiesību aktiem šā nolīguma spēkā stāšanās dienā</w:t>
      </w:r>
      <w:r>
        <w:rPr>
          <w:rStyle w:val="FootnoteReference"/>
          <w:rFonts w:cstheme="minorHAnsi"/>
          <w:noProof/>
        </w:rPr>
        <w:footnoteReference w:id="57"/>
      </w:r>
      <w:r>
        <w:rPr>
          <w:noProof/>
        </w:rPr>
        <w:t xml:space="preserve">. </w:t>
      </w:r>
    </w:p>
    <w:p w:rsidR="003E022D" w:rsidRDefault="007D19D6">
      <w:pPr>
        <w:pStyle w:val="Article"/>
        <w:rPr>
          <w:noProof/>
        </w:rPr>
      </w:pPr>
      <w:r>
        <w:rPr>
          <w:noProof/>
        </w:rPr>
        <w:t>3.11. pants. Atgūšana</w:t>
      </w:r>
    </w:p>
    <w:p w:rsidR="003E022D" w:rsidRDefault="007D19D6">
      <w:pPr>
        <w:numPr>
          <w:ilvl w:val="0"/>
          <w:numId w:val="1319"/>
        </w:numPr>
        <w:ind w:left="0" w:firstLine="0"/>
        <w:rPr>
          <w:rFonts w:cstheme="minorHAnsi"/>
          <w:noProof/>
        </w:rPr>
      </w:pPr>
      <w:r>
        <w:rPr>
          <w:noProof/>
        </w:rPr>
        <w:t>Katrai Pusei ir efektīvs</w:t>
      </w:r>
      <w:r>
        <w:rPr>
          <w:noProof/>
        </w:rPr>
        <w:t xml:space="preserve"> mehānisms subsīdiju atgūšanai saskaņā ar turpmāk minētajiem noteikumiem, neskarot citus tiesiskās aizsardzības līdzekļus, kas pastāv attiecīgās Puses tiesību aktos</w:t>
      </w:r>
      <w:r>
        <w:rPr>
          <w:rStyle w:val="FootnoteReference"/>
          <w:rFonts w:cstheme="minorHAnsi"/>
          <w:noProof/>
        </w:rPr>
        <w:footnoteReference w:id="58"/>
      </w:r>
      <w:r>
        <w:rPr>
          <w:noProof/>
        </w:rPr>
        <w:t xml:space="preserve">. </w:t>
      </w:r>
    </w:p>
    <w:p w:rsidR="003E022D" w:rsidRDefault="007D19D6">
      <w:pPr>
        <w:numPr>
          <w:ilvl w:val="0"/>
          <w:numId w:val="1319"/>
        </w:numPr>
        <w:ind w:left="0" w:firstLine="0"/>
        <w:rPr>
          <w:rFonts w:cstheme="minorHAnsi"/>
          <w:noProof/>
        </w:rPr>
      </w:pPr>
      <w:r>
        <w:rPr>
          <w:noProof/>
        </w:rPr>
        <w:t>Katra Puse nodrošina, gadījumā, ja ieinteresētā persona, kā definēts 3.7. panta [Pārredz</w:t>
      </w:r>
      <w:r>
        <w:rPr>
          <w:noProof/>
        </w:rPr>
        <w:t xml:space="preserve">amība] 6. punktā, ir apstrīdējusi lēmumu piešķirt subsīdiju tiesā šā panta 3. punktā noteiktajā termiņā, atgūšanu var norīkot, ja Puses tiesa konstatē materiāltiesisku kļūdu, jo: </w:t>
      </w:r>
    </w:p>
    <w:p w:rsidR="003E022D" w:rsidRDefault="007D19D6">
      <w:pPr>
        <w:numPr>
          <w:ilvl w:val="0"/>
          <w:numId w:val="1320"/>
        </w:numPr>
        <w:ind w:left="567" w:hanging="567"/>
        <w:rPr>
          <w:rFonts w:cstheme="minorHAnsi"/>
          <w:noProof/>
        </w:rPr>
      </w:pPr>
      <w:r>
        <w:rPr>
          <w:noProof/>
        </w:rPr>
        <w:t xml:space="preserve">pasākumu, kas veido subsīdiju, piešķīrējs neuzskatīja par subsīdiju; </w:t>
      </w:r>
    </w:p>
    <w:p w:rsidR="003E022D" w:rsidRDefault="007D19D6">
      <w:pPr>
        <w:numPr>
          <w:ilvl w:val="0"/>
          <w:numId w:val="1320"/>
        </w:numPr>
        <w:ind w:left="567" w:hanging="567"/>
        <w:rPr>
          <w:rFonts w:cstheme="minorHAnsi"/>
          <w:noProof/>
        </w:rPr>
      </w:pPr>
      <w:r>
        <w:rPr>
          <w:noProof/>
        </w:rPr>
        <w:t>subsīd</w:t>
      </w:r>
      <w:r>
        <w:rPr>
          <w:noProof/>
        </w:rPr>
        <w:t>ijas piešķīrējs nav piemērojis 3.4. pantā [Principi ] noteiktos principus, kā tie īstenoti attiecīgās Puses tiesību aktos, vai piemērojis tos veidā, kas ir zemāks par attiecīgās Puses tiesību aktos noteikto pārskatīšanas standartu; vai</w:t>
      </w:r>
    </w:p>
    <w:p w:rsidR="003E022D" w:rsidRDefault="007D19D6">
      <w:pPr>
        <w:numPr>
          <w:ilvl w:val="0"/>
          <w:numId w:val="1320"/>
        </w:numPr>
        <w:ind w:left="567" w:hanging="567"/>
        <w:rPr>
          <w:rFonts w:cstheme="minorHAnsi"/>
          <w:noProof/>
        </w:rPr>
      </w:pPr>
      <w:r>
        <w:rPr>
          <w:noProof/>
        </w:rPr>
        <w:t>subsīdijas piešķīrēj</w:t>
      </w:r>
      <w:r>
        <w:rPr>
          <w:noProof/>
        </w:rPr>
        <w:t>s, lemjot par subsīdijas piešķiršanu, ir rīkojies ārpus savām pilnvarām vai nepareizi izmantojis šīs pilnvaras saistībā ar principiem, kas izklāstīti 3.4. pantā [Principi], kā tie ir īstenoti šīs Puses tiesību aktos.</w:t>
      </w:r>
    </w:p>
    <w:p w:rsidR="003E022D" w:rsidRDefault="007D19D6">
      <w:pPr>
        <w:numPr>
          <w:ilvl w:val="0"/>
          <w:numId w:val="1319"/>
        </w:numPr>
        <w:ind w:left="0" w:firstLine="0"/>
        <w:rPr>
          <w:rFonts w:cstheme="minorHAnsi"/>
          <w:noProof/>
        </w:rPr>
      </w:pPr>
      <w:r>
        <w:rPr>
          <w:noProof/>
        </w:rPr>
        <w:t>Piemērojot šo pantu, noteikto termiņu n</w:t>
      </w:r>
      <w:r>
        <w:rPr>
          <w:noProof/>
        </w:rPr>
        <w:t>osaka šādi:</w:t>
      </w:r>
    </w:p>
    <w:p w:rsidR="003E022D" w:rsidRDefault="007D19D6">
      <w:pPr>
        <w:numPr>
          <w:ilvl w:val="0"/>
          <w:numId w:val="1321"/>
        </w:numPr>
        <w:ind w:left="567" w:hanging="567"/>
        <w:rPr>
          <w:rFonts w:cstheme="minorHAnsi"/>
          <w:noProof/>
        </w:rPr>
      </w:pPr>
      <w:r>
        <w:rPr>
          <w:noProof/>
        </w:rPr>
        <w:t>attiecībā uz Savienību – tas sākas dienā, kad oficiālajā tīmekļa vietnē vai publiskajā datubāzē ir darīta pieejama 3.7. panta [Pārredzamība] 1., 2. un 4. punktā norādītā informācija, un tas nav īsāks par vienu mēnesi;</w:t>
      </w:r>
    </w:p>
    <w:p w:rsidR="003E022D" w:rsidRDefault="007D19D6">
      <w:pPr>
        <w:numPr>
          <w:ilvl w:val="0"/>
          <w:numId w:val="1321"/>
        </w:numPr>
        <w:ind w:left="567" w:hanging="567"/>
        <w:rPr>
          <w:rFonts w:cstheme="minorHAnsi"/>
          <w:noProof/>
        </w:rPr>
      </w:pPr>
      <w:r>
        <w:rPr>
          <w:noProof/>
        </w:rPr>
        <w:t>attiecībā uz Apvienoto Kar</w:t>
      </w:r>
      <w:r>
        <w:rPr>
          <w:noProof/>
        </w:rPr>
        <w:t>alisti:</w:t>
      </w:r>
    </w:p>
    <w:p w:rsidR="003E022D" w:rsidRDefault="007D19D6">
      <w:pPr>
        <w:ind w:left="1276" w:hanging="567"/>
        <w:rPr>
          <w:noProof/>
          <w:color w:val="000000"/>
          <w:u w:color="000000"/>
          <w:bdr w:val="nil"/>
        </w:rPr>
      </w:pPr>
      <w:r>
        <w:rPr>
          <w:noProof/>
          <w:color w:val="000000"/>
          <w:u w:color="000000"/>
          <w:bdr w:val="nil"/>
        </w:rPr>
        <w:t>i) tas sākas dienā, kad oficiālajā tīmekļa vietnē vai publiskajā datubāzē ir darīta pieejama 3.7. panta [Pārredzamība] 1. un 2. punktā minētā informācija;</w:t>
      </w:r>
    </w:p>
    <w:p w:rsidR="003E022D" w:rsidRDefault="007D19D6">
      <w:pPr>
        <w:ind w:left="1276" w:hanging="567"/>
        <w:rPr>
          <w:noProof/>
          <w:color w:val="000000"/>
          <w:u w:color="000000"/>
          <w:bdr w:val="nil"/>
        </w:rPr>
      </w:pPr>
      <w:r>
        <w:rPr>
          <w:noProof/>
          <w:color w:val="000000"/>
          <w:u w:color="000000"/>
          <w:bdr w:val="nil"/>
        </w:rPr>
        <w:t>ii) tas beidzas vienu mēnesi vēlāk, ja vien pirms minētās dienas ieinteresētā persona nav pie</w:t>
      </w:r>
      <w:r>
        <w:rPr>
          <w:noProof/>
          <w:color w:val="000000"/>
          <w:u w:color="000000"/>
          <w:bdr w:val="nil"/>
        </w:rPr>
        <w:t>prasījusi informāciju saskaņā ar 3.7. panta 5. punktā noteikto procedūru;</w:t>
      </w:r>
    </w:p>
    <w:p w:rsidR="003E022D" w:rsidRDefault="007D19D6">
      <w:pPr>
        <w:ind w:left="1276" w:hanging="567"/>
        <w:rPr>
          <w:noProof/>
          <w:color w:val="000000"/>
          <w:u w:color="000000"/>
          <w:bdr w:val="nil"/>
        </w:rPr>
      </w:pPr>
      <w:r>
        <w:rPr>
          <w:noProof/>
          <w:color w:val="000000"/>
          <w:u w:color="000000"/>
          <w:bdr w:val="nil"/>
        </w:rPr>
        <w:t>iii) kad ieinteresētā persona ir saņēmusi 3.7. panta 5. punkta b) apakšpunktā norādīto informāciju, kas ir pietiekama minētajā punktā noteiktajiem mērķiem, sākas vēl viens viena mēne</w:t>
      </w:r>
      <w:r>
        <w:rPr>
          <w:noProof/>
          <w:color w:val="000000"/>
          <w:u w:color="000000"/>
          <w:bdr w:val="nil"/>
        </w:rPr>
        <w:t>ša periods, kura beigās beidzas noteiktais termiņš;</w:t>
      </w:r>
    </w:p>
    <w:p w:rsidR="003E022D" w:rsidRDefault="007D19D6">
      <w:pPr>
        <w:ind w:left="1276" w:hanging="567"/>
        <w:rPr>
          <w:noProof/>
          <w:color w:val="000000"/>
          <w:u w:color="000000"/>
          <w:bdr w:val="nil"/>
        </w:rPr>
      </w:pPr>
      <w:r>
        <w:rPr>
          <w:noProof/>
          <w:color w:val="000000"/>
          <w:u w:color="000000"/>
          <w:bdr w:val="nil"/>
        </w:rPr>
        <w:t xml:space="preserve">iv) diena, kad saņemta informācija saskaņā ar iii) punktu, ir diena, kurā piešķīrēja iestāde apliecina, ka tā ir sniegusi 3.7. panta [Pārredzamība] 5. punkta b) apakšpunktā minēto informāciju, kas ir </w:t>
      </w:r>
      <w:r>
        <w:rPr>
          <w:noProof/>
          <w:color w:val="000000"/>
          <w:u w:color="000000"/>
          <w:bdr w:val="nil"/>
        </w:rPr>
        <w:t>pietiekama minētajiem mērķiem, neatkarīgi no turpmākas vai paskaidrojošas sarakstes pēc minētās dienas;</w:t>
      </w:r>
    </w:p>
    <w:p w:rsidR="003E022D" w:rsidRDefault="007D19D6">
      <w:pPr>
        <w:ind w:left="1276" w:hanging="567"/>
        <w:rPr>
          <w:noProof/>
          <w:color w:val="000000"/>
          <w:u w:color="000000"/>
          <w:bdr w:val="nil"/>
        </w:rPr>
      </w:pPr>
      <w:r>
        <w:rPr>
          <w:noProof/>
          <w:color w:val="000000"/>
          <w:u w:color="000000"/>
          <w:bdr w:val="nil"/>
        </w:rPr>
        <w:t>v) termiņus, kas noteikti i) līdz iii) punktā, var pagarināt tiesību aktos.</w:t>
      </w:r>
    </w:p>
    <w:p w:rsidR="003E022D" w:rsidRDefault="007D19D6">
      <w:pPr>
        <w:numPr>
          <w:ilvl w:val="0"/>
          <w:numId w:val="1319"/>
        </w:numPr>
        <w:ind w:left="0" w:firstLine="0"/>
        <w:rPr>
          <w:rFonts w:cstheme="minorHAnsi"/>
          <w:noProof/>
        </w:rPr>
      </w:pPr>
      <w:r>
        <w:rPr>
          <w:noProof/>
        </w:rPr>
        <w:t xml:space="preserve">Šā panta 3. punkta b) apakšpunkta vajadzībām attiecībā uz shēmām noteiktais </w:t>
      </w:r>
      <w:r>
        <w:rPr>
          <w:noProof/>
        </w:rPr>
        <w:t>termiņš sākas tad, kad tiek publicēta b) apakšpunktā minētā informācija, nevis tad, kad tiek veikti turpmākie maksājumi, ja:</w:t>
      </w:r>
    </w:p>
    <w:p w:rsidR="003E022D" w:rsidRDefault="007D19D6">
      <w:pPr>
        <w:numPr>
          <w:ilvl w:val="0"/>
          <w:numId w:val="1322"/>
        </w:numPr>
        <w:ind w:left="567" w:hanging="567"/>
        <w:rPr>
          <w:rFonts w:cstheme="minorHAnsi"/>
          <w:noProof/>
        </w:rPr>
      </w:pPr>
      <w:r>
        <w:rPr>
          <w:noProof/>
        </w:rPr>
        <w:t xml:space="preserve">subsīdiju acīmredzami piešķir saskaņā ar shēmas noteikumiem; </w:t>
      </w:r>
    </w:p>
    <w:p w:rsidR="003E022D" w:rsidRDefault="007D19D6">
      <w:pPr>
        <w:numPr>
          <w:ilvl w:val="0"/>
          <w:numId w:val="1322"/>
        </w:numPr>
        <w:ind w:left="567" w:hanging="567"/>
        <w:rPr>
          <w:rFonts w:cstheme="minorHAnsi"/>
          <w:noProof/>
        </w:rPr>
      </w:pPr>
      <w:r>
        <w:rPr>
          <w:noProof/>
        </w:rPr>
        <w:t xml:space="preserve">shēmas izveidotājs ir publiskojis informāciju, kas jāpublicē saskaņā </w:t>
      </w:r>
      <w:r>
        <w:rPr>
          <w:noProof/>
        </w:rPr>
        <w:t>ar 3.7. Panta [Pārredzamība] 1. un 2. punktu attiecībā uz shēmu; un</w:t>
      </w:r>
    </w:p>
    <w:p w:rsidR="003E022D" w:rsidRDefault="007D19D6">
      <w:pPr>
        <w:numPr>
          <w:ilvl w:val="0"/>
          <w:numId w:val="1322"/>
        </w:numPr>
        <w:ind w:left="567" w:hanging="567"/>
        <w:rPr>
          <w:rFonts w:cstheme="minorHAnsi"/>
          <w:noProof/>
        </w:rPr>
      </w:pPr>
      <w:r>
        <w:rPr>
          <w:noProof/>
        </w:rPr>
        <w:t>informācija, kas sniegta par shēmu saskaņā ar b) apakšpunktu, ietver informāciju par subsīdiju, kas ļautu ieinteresētajai personai noteikt, vai to var ietekmēt shēma, un šī informācija iet</w:t>
      </w:r>
      <w:r>
        <w:rPr>
          <w:noProof/>
        </w:rPr>
        <w:t>ver vismaz subsīdijas mērķi, labuma guvēju kategorijas, noteikumus un nosacījumus subsīdijas saņemšanai un subsīdijas aprēķina pamatu (tostarp visus attiecīgos nosacījumus attiecībā uz subsīdiju proporcijām vai apjomiem).</w:t>
      </w:r>
    </w:p>
    <w:p w:rsidR="003E022D" w:rsidRDefault="007D19D6">
      <w:pPr>
        <w:numPr>
          <w:ilvl w:val="0"/>
          <w:numId w:val="1319"/>
        </w:numPr>
        <w:ind w:left="0" w:firstLine="0"/>
        <w:rPr>
          <w:rFonts w:cstheme="minorHAnsi"/>
          <w:noProof/>
        </w:rPr>
      </w:pPr>
      <w:r>
        <w:rPr>
          <w:noProof/>
        </w:rPr>
        <w:t>Šajā pantā subsīdijas atgūšana nav</w:t>
      </w:r>
      <w:r>
        <w:rPr>
          <w:noProof/>
        </w:rPr>
        <w:t xml:space="preserve"> nepieciešama, ja subsīdija ir piešķirta, pamatojoties uz Apvienotās Karalistes Parlamenta aktu, Eiropas Parlamenta un Eiropas Savienības Padomes aktu vai Eiropas Savienības Padomes aktu.</w:t>
      </w:r>
    </w:p>
    <w:p w:rsidR="003E022D" w:rsidRDefault="007D19D6">
      <w:pPr>
        <w:numPr>
          <w:ilvl w:val="0"/>
          <w:numId w:val="1319"/>
        </w:numPr>
        <w:ind w:left="0" w:firstLine="0"/>
        <w:rPr>
          <w:rFonts w:cstheme="minorHAnsi"/>
          <w:noProof/>
        </w:rPr>
      </w:pPr>
      <w:r>
        <w:rPr>
          <w:noProof/>
        </w:rPr>
        <w:t>Nekas šajā pantā neliedz Pusei saskaņā ar tās tiesību aktiem paredzē</w:t>
      </w:r>
      <w:r>
        <w:rPr>
          <w:noProof/>
        </w:rPr>
        <w:t>t papildu situācijas, kurās ir iespējama atgūšana kā tiesību aizsardzības līdzeklis, kas pārsniedz šajā pantā noteiktās situācijas.</w:t>
      </w:r>
    </w:p>
    <w:p w:rsidR="003E022D" w:rsidRDefault="007D19D6">
      <w:pPr>
        <w:numPr>
          <w:ilvl w:val="0"/>
          <w:numId w:val="1319"/>
        </w:numPr>
        <w:ind w:left="0" w:firstLine="0"/>
        <w:rPr>
          <w:rFonts w:cstheme="minorHAnsi"/>
          <w:noProof/>
        </w:rPr>
      </w:pPr>
      <w:r>
        <w:rPr>
          <w:noProof/>
        </w:rPr>
        <w:t>Puses atzīst, ka atgūšana ir svarīgs koriģējošs instruments ikvienā subsīdiju kontroles sistēmā. Pēc ikvienas Puses pieprasī</w:t>
      </w:r>
      <w:r>
        <w:rPr>
          <w:noProof/>
        </w:rPr>
        <w:t>juma Puses Partnerības padomē apsver papildu vai alternatīvus atgūšanas mehānismus, kā arī attiecīgus šā panta grozījumus. Partnerības padomē ikviena Puse var ierosināt grozījumus, lai pieļautu atšķirīgus pasākumus to attiecīgajiem atgūšanas mehānismiem. P</w:t>
      </w:r>
      <w:r>
        <w:rPr>
          <w:noProof/>
        </w:rPr>
        <w:t>usei otras Puses priekšlikums ir jāizskata labā ticībā un tam jāpiekrīt, ja šī Puse uzskata, ka tas ietver pasākumus, kas ir vismaz tikpat efektīvs līdzeklis atgūšanas īstenošanai kā Puses mehānismi. Pēc tam Partnerības padome var veikt attiecīgus grozījum</w:t>
      </w:r>
      <w:r>
        <w:rPr>
          <w:noProof/>
        </w:rPr>
        <w:t>us šajā pantā</w:t>
      </w:r>
      <w:r>
        <w:rPr>
          <w:rStyle w:val="FootnoteReference"/>
          <w:rFonts w:cstheme="minorHAnsi"/>
          <w:noProof/>
        </w:rPr>
        <w:footnoteReference w:id="59"/>
      </w:r>
      <w:r>
        <w:rPr>
          <w:noProof/>
        </w:rPr>
        <w:t>.</w:t>
      </w:r>
    </w:p>
    <w:p w:rsidR="003E022D" w:rsidRDefault="007D19D6">
      <w:pPr>
        <w:pStyle w:val="Article"/>
        <w:rPr>
          <w:noProof/>
        </w:rPr>
      </w:pPr>
      <w:r>
        <w:rPr>
          <w:noProof/>
        </w:rPr>
        <w:t>3.12. pants. Korektīvie pasākumi</w:t>
      </w:r>
    </w:p>
    <w:p w:rsidR="003E022D" w:rsidRDefault="007D19D6">
      <w:pPr>
        <w:numPr>
          <w:ilvl w:val="0"/>
          <w:numId w:val="1323"/>
        </w:numPr>
        <w:ind w:left="0" w:firstLine="0"/>
        <w:rPr>
          <w:rFonts w:cstheme="minorHAnsi"/>
          <w:noProof/>
        </w:rPr>
      </w:pPr>
      <w:r>
        <w:rPr>
          <w:noProof/>
        </w:rPr>
        <w:t xml:space="preserve"> Puse var iesniegt otrai Pusei rakstisku pieprasījumu sniegt informāciju un apspriesties par subsīdiju, par ko tā uzskata, ka tā rada, vai pastāv nopietns risks, ka tā radīs, būtisku negatīvu ietekmi uz tird</w:t>
      </w:r>
      <w:r>
        <w:rPr>
          <w:noProof/>
        </w:rPr>
        <w:t>zniecību vai investīcijām starp Pusēm. Pieprasītājai Pusei minētajā pieprasījumā būtu jāsniedz visa attiecīgā informācija, lai ļautu Pusēm rast savstarpēji pieņemamu risinājumu, tostarp subsīdijas apraksts un pieprasītājas Puses bažas par tās ietekmi uz ti</w:t>
      </w:r>
      <w:r>
        <w:rPr>
          <w:noProof/>
        </w:rPr>
        <w:t>rdzniecību vai investīcijām.</w:t>
      </w:r>
    </w:p>
    <w:p w:rsidR="003E022D" w:rsidRDefault="007D19D6">
      <w:pPr>
        <w:numPr>
          <w:ilvl w:val="0"/>
          <w:numId w:val="1323"/>
        </w:numPr>
        <w:ind w:left="0" w:firstLine="0"/>
        <w:rPr>
          <w:rFonts w:cstheme="minorHAnsi"/>
          <w:noProof/>
        </w:rPr>
      </w:pPr>
      <w:r>
        <w:rPr>
          <w:noProof/>
        </w:rPr>
        <w:t>Ne vēlāk kā 30 dienu laikā no pieprasījuma iesniegšanas dienas pieprasījuma saņēmēja Puse sniedz rakstisku atbildi, sniedzot pieprasīto informāciju pieprasītājai Pusei, un Puses sāk apspriešanos, ko uzskata par pabeigtu 60 dien</w:t>
      </w:r>
      <w:r>
        <w:rPr>
          <w:noProof/>
        </w:rPr>
        <w:t>u laikā no pieprasījuma iesniegšanas dienas, ja vien Puses nevienojas citādi. Šāda apspriešanās un jo īpaši visa par konfidenciālu noteiktā informācija un Pušu tās gaitā ieņemtā nostāja ir konfidenciāla un neskar nevienas Puses tiesības jebkuros turpmākajo</w:t>
      </w:r>
      <w:r>
        <w:rPr>
          <w:noProof/>
        </w:rPr>
        <w:t xml:space="preserve">s procesos. </w:t>
      </w:r>
    </w:p>
    <w:p w:rsidR="003E022D" w:rsidRDefault="007D19D6">
      <w:pPr>
        <w:numPr>
          <w:ilvl w:val="0"/>
          <w:numId w:val="1323"/>
        </w:numPr>
        <w:ind w:left="0" w:firstLine="0"/>
        <w:rPr>
          <w:rFonts w:cstheme="minorHAnsi"/>
          <w:noProof/>
        </w:rPr>
      </w:pPr>
      <w:r>
        <w:rPr>
          <w:noProof/>
        </w:rPr>
        <w:t xml:space="preserve">Ne agrāk kā 60 dienas pēc 1. punktā minētās pieprasījuma iesniegšanas dienas pieprasītāja Puse var vienpusēji veikt atbilstošus korektīvos pasākumus, ja ir pierādījumi, ka pieprasījuma saņēmējas Puses subsīdija rada vai pastāv nopietns risks, </w:t>
      </w:r>
      <w:r>
        <w:rPr>
          <w:noProof/>
        </w:rPr>
        <w:t>ka tā radīs, būtisku negatīvu ietekmi uz tirdzniecību vai investīcijām starp Pusēm.</w:t>
      </w:r>
    </w:p>
    <w:p w:rsidR="003E022D" w:rsidRDefault="007D19D6">
      <w:pPr>
        <w:numPr>
          <w:ilvl w:val="0"/>
          <w:numId w:val="1323"/>
        </w:numPr>
        <w:ind w:left="0" w:firstLine="0"/>
        <w:rPr>
          <w:rFonts w:cstheme="minorHAnsi"/>
          <w:noProof/>
        </w:rPr>
      </w:pPr>
      <w:r>
        <w:rPr>
          <w:noProof/>
        </w:rPr>
        <w:t xml:space="preserve">Ne agrāk kā 45 dienas pēc 1. punktā minētā pieprasījuma iesniegšanas dienas pieprasījuma iesniedzēja Puse paziņo pieprasījuma saņēmējai Pusei par korektīvajiem pasākumiem, </w:t>
      </w:r>
      <w:r>
        <w:rPr>
          <w:noProof/>
        </w:rPr>
        <w:t>ko tā plāno veikt saskaņā ar 3. punktu. Pieprasītāja Puse sniedz visu attiecīgo informāciju par pasākumiem, ko tā plāno veikt, lai ļautu Pusēm rast savstarpēji pieņemamu risinājumu. Pieprasītāja Puse nevar veikt minētos korektīvos pasākumus agrāk kā 15 die</w:t>
      </w:r>
      <w:r>
        <w:rPr>
          <w:noProof/>
        </w:rPr>
        <w:t xml:space="preserve">nas no dienas, kad par šiem pasākumiem paziņots pieprasījuma saņēmējai Pusei. </w:t>
      </w:r>
    </w:p>
    <w:p w:rsidR="003E022D" w:rsidRDefault="007D19D6">
      <w:pPr>
        <w:numPr>
          <w:ilvl w:val="0"/>
          <w:numId w:val="1323"/>
        </w:numPr>
        <w:ind w:left="0" w:firstLine="0"/>
        <w:rPr>
          <w:rFonts w:cstheme="minorHAnsi"/>
          <w:noProof/>
        </w:rPr>
      </w:pPr>
      <w:r>
        <w:rPr>
          <w:noProof/>
        </w:rPr>
        <w:t>Puses novērtējums par to, vai pastāv nopietns būtiskas negatīvas ietekmes risks, pamatojas uz faktiem, nevis tikai uz apgalvojumiem, pieņēmumiem vai maz ticamām iespējām. Apstāk</w:t>
      </w:r>
      <w:r>
        <w:rPr>
          <w:noProof/>
        </w:rPr>
        <w:t>ļu izmaiņām, kas radītu situāciju, kurā subsīdija izraisītu šādu būtisku negatīvu ietekmi, jābūt skaidri paredzamām.</w:t>
      </w:r>
    </w:p>
    <w:p w:rsidR="003E022D" w:rsidRDefault="007D19D6">
      <w:pPr>
        <w:rPr>
          <w:rFonts w:cstheme="minorHAnsi"/>
          <w:noProof/>
        </w:rPr>
      </w:pPr>
      <w:r>
        <w:rPr>
          <w:noProof/>
        </w:rPr>
        <w:t>6.</w:t>
      </w:r>
      <w:r>
        <w:rPr>
          <w:noProof/>
        </w:rPr>
        <w:tab/>
        <w:t xml:space="preserve">Puses novērtējums par subsīdijas esamību vai būtisku subsīdijas izraisītu negatīvu ietekmi uz tirdzniecību vai investīcijām starp Pusēm </w:t>
      </w:r>
      <w:r>
        <w:rPr>
          <w:noProof/>
        </w:rPr>
        <w:t>balstās uz ticamiem pierādījumiem, nevis tikai uz pieņēmumiem vai maz ticamām iespējām, un attiecas uz identificējamām precēm, pakalpojumu sniedzējiem vai citiem ekonomikas dalībniekiem attiecīgi arī subsīdiju shēmu gadījumā.</w:t>
      </w:r>
    </w:p>
    <w:p w:rsidR="003E022D" w:rsidRDefault="007D19D6">
      <w:pPr>
        <w:rPr>
          <w:rFonts w:cstheme="minorHAnsi"/>
          <w:noProof/>
        </w:rPr>
      </w:pPr>
      <w:r>
        <w:rPr>
          <w:noProof/>
        </w:rPr>
        <w:t xml:space="preserve">7. </w:t>
      </w:r>
      <w:r>
        <w:rPr>
          <w:noProof/>
        </w:rPr>
        <w:tab/>
        <w:t>Partnerības padome var uzt</w:t>
      </w:r>
      <w:r>
        <w:rPr>
          <w:noProof/>
        </w:rPr>
        <w:t xml:space="preserve">urēt ilustratīvu sarakstu ar to, kas varētu radīt būtisku negatīvu ietekmi uz tirdzniecību vai investīcijām starp Pusēm 1. un 3. punkta nozīmē. Tas neskar Pušu tiesības veikt korektīvus pasākumus. </w:t>
      </w:r>
    </w:p>
    <w:p w:rsidR="003E022D" w:rsidRDefault="007D19D6">
      <w:pPr>
        <w:numPr>
          <w:ilvl w:val="0"/>
          <w:numId w:val="1319"/>
        </w:numPr>
        <w:ind w:left="0" w:firstLine="0"/>
        <w:rPr>
          <w:rFonts w:cstheme="minorHAnsi"/>
          <w:noProof/>
        </w:rPr>
      </w:pPr>
      <w:r>
        <w:rPr>
          <w:noProof/>
        </w:rPr>
        <w:t>Korektīvie pasākumi, ko veic saskaņā ar 3. punktu, aprobež</w:t>
      </w:r>
      <w:r>
        <w:rPr>
          <w:noProof/>
        </w:rPr>
        <w:t xml:space="preserve">ojas ar to, kas ir absolūti nepieciešams un samērīgs, lai labotu radīto būtisko negatīvo ietekmi vai novērstu šādas būtiskas ietekmes risku. Priekšroka ir pasākumiem, kas vismazāk traucē šā nolīguma darbību. </w:t>
      </w:r>
    </w:p>
    <w:p w:rsidR="003E022D" w:rsidRDefault="007D19D6">
      <w:pPr>
        <w:numPr>
          <w:ilvl w:val="0"/>
          <w:numId w:val="1319"/>
        </w:numPr>
        <w:ind w:left="0" w:firstLine="0"/>
        <w:rPr>
          <w:rFonts w:cstheme="minorHAnsi"/>
          <w:noProof/>
        </w:rPr>
      </w:pPr>
      <w:r>
        <w:rPr>
          <w:noProof/>
        </w:rPr>
        <w:t>Piecu dienu laikā no dienas, kad stājas spēkā 3</w:t>
      </w:r>
      <w:r>
        <w:rPr>
          <w:noProof/>
        </w:rPr>
        <w:t>. punktā minētie korektīvie pasākumi un bez iepriekšējas apspriešanās saskaņā ar INST.13. pantu [Apspriešanās], informētā Puse saskaņā ar INST.14. panta [Šķīrējtiesas procedūra] 2. punktu, iesniedzot rakstisku pieprasījumu otrai Pusei, var pieprasīt izveid</w:t>
      </w:r>
      <w:r>
        <w:rPr>
          <w:noProof/>
        </w:rPr>
        <w:t>ot šķīrējtiesu, kura var pieņemt lēmumu par to, vai:</w:t>
      </w:r>
    </w:p>
    <w:p w:rsidR="003E022D" w:rsidRDefault="007D19D6">
      <w:pPr>
        <w:numPr>
          <w:ilvl w:val="0"/>
          <w:numId w:val="1324"/>
        </w:numPr>
        <w:ind w:left="567" w:hanging="567"/>
        <w:rPr>
          <w:rFonts w:cstheme="minorHAnsi"/>
          <w:noProof/>
        </w:rPr>
      </w:pPr>
      <w:r>
        <w:rPr>
          <w:noProof/>
        </w:rPr>
        <w:t xml:space="preserve">pieprasītājas Puses veiktais korektīvais pasākums ir saderīgs ar 3. vai 8. punktu; </w:t>
      </w:r>
    </w:p>
    <w:p w:rsidR="003E022D" w:rsidRDefault="007D19D6">
      <w:pPr>
        <w:numPr>
          <w:ilvl w:val="0"/>
          <w:numId w:val="1324"/>
        </w:numPr>
        <w:ind w:left="567" w:hanging="567"/>
        <w:rPr>
          <w:rFonts w:cstheme="minorHAnsi"/>
          <w:noProof/>
        </w:rPr>
      </w:pPr>
      <w:r>
        <w:rPr>
          <w:noProof/>
        </w:rPr>
        <w:t>pieprasītāja Puses nepiedalījās apspriedēs pēc tam, kad pieprasījuma saņēmēja Puse sniedza pieprasīto informāciju un pi</w:t>
      </w:r>
      <w:r>
        <w:rPr>
          <w:noProof/>
        </w:rPr>
        <w:t>ekrita šādu apspriežu rīkošanai; vai</w:t>
      </w:r>
    </w:p>
    <w:p w:rsidR="003E022D" w:rsidRDefault="007D19D6">
      <w:pPr>
        <w:numPr>
          <w:ilvl w:val="0"/>
          <w:numId w:val="1324"/>
        </w:numPr>
        <w:ind w:left="567" w:hanging="567"/>
        <w:rPr>
          <w:rFonts w:cstheme="minorHAnsi"/>
          <w:noProof/>
        </w:rPr>
      </w:pPr>
      <w:r>
        <w:rPr>
          <w:noProof/>
        </w:rPr>
        <w:t xml:space="preserve">korektīvais pasākums ir pieņemts vai par to ir paziņots, neievērojot attiecīgi 3. vai 4. punktā minētos termiņus. </w:t>
      </w:r>
    </w:p>
    <w:p w:rsidR="003E022D" w:rsidRDefault="007D19D6">
      <w:pPr>
        <w:rPr>
          <w:rFonts w:cstheme="minorHAnsi"/>
          <w:noProof/>
        </w:rPr>
      </w:pPr>
      <w:r>
        <w:rPr>
          <w:noProof/>
        </w:rPr>
        <w:t>Minētais pieprasījums neaptur korektīvos pasākumus. Turklāt šķīrējtiesa nevērtē, kā Puses piemēro 3.4. p</w:t>
      </w:r>
      <w:r>
        <w:rPr>
          <w:noProof/>
        </w:rPr>
        <w:t>antu [Principi] un 3.5. pantu [Aizliegtas subsīdijas un subsīdijas, uz kurām attiecas nosacījumi].</w:t>
      </w:r>
    </w:p>
    <w:p w:rsidR="003E022D" w:rsidRDefault="007D19D6">
      <w:pPr>
        <w:numPr>
          <w:ilvl w:val="0"/>
          <w:numId w:val="1319"/>
        </w:numPr>
        <w:ind w:left="0" w:firstLine="0"/>
        <w:rPr>
          <w:rFonts w:cstheme="minorHAnsi"/>
          <w:noProof/>
        </w:rPr>
      </w:pPr>
      <w:r>
        <w:rPr>
          <w:noProof/>
        </w:rPr>
        <w:t>Šķīrējtiesa, kas izveidota pēc 9. punktā minētā pieprasījuma, veic lietas izskatīšanu saskaņā ar INST.34B. pantu [Īpašas procedūras korektīviem pasākumiem un</w:t>
      </w:r>
      <w:r>
        <w:rPr>
          <w:noProof/>
        </w:rPr>
        <w:t xml:space="preserve"> līdzsvara atjaunošanai] un sniedz galīgo nolēmumu 30 dienu laikā pēc tās izveidošanas. </w:t>
      </w:r>
    </w:p>
    <w:p w:rsidR="003E022D" w:rsidRDefault="007D19D6">
      <w:pPr>
        <w:numPr>
          <w:ilvl w:val="0"/>
          <w:numId w:val="1319"/>
        </w:numPr>
        <w:ind w:left="0" w:firstLine="0"/>
        <w:rPr>
          <w:rFonts w:cstheme="minorHAnsi"/>
          <w:noProof/>
        </w:rPr>
      </w:pPr>
      <w:r>
        <w:rPr>
          <w:noProof/>
        </w:rPr>
        <w:t>Ja lēmums ir atbildētājai pusei nelabvēlīgs, atbildētāja puse ne vēlāk kā 30 dienu laikā no šķīrējtiesas nolēmuma pasludināšanas dienas paziņo prasītājai pusei par vis</w:t>
      </w:r>
      <w:r>
        <w:rPr>
          <w:noProof/>
        </w:rPr>
        <w:t xml:space="preserve">iem pasākumiem, ko tā veikusi, lai izpildītu minēto nolēmumu. </w:t>
      </w:r>
    </w:p>
    <w:p w:rsidR="003E022D" w:rsidRDefault="007D19D6">
      <w:pPr>
        <w:numPr>
          <w:ilvl w:val="0"/>
          <w:numId w:val="1319"/>
        </w:numPr>
        <w:ind w:left="0" w:firstLine="0"/>
        <w:rPr>
          <w:rFonts w:cstheme="minorHAnsi"/>
          <w:noProof/>
        </w:rPr>
      </w:pPr>
      <w:r>
        <w:rPr>
          <w:noProof/>
        </w:rPr>
        <w:t xml:space="preserve"> Pēc tam, kad 10. punktā minētajā procedūrā ir pieņemts atbildētājai Pusei nelabvēlīgs lēmums, prasītāja Puse 30 dienu laikā pēc nolēmuma pieņemšanas var pieprasīt šķīrējtiesai noteikt saistību</w:t>
      </w:r>
      <w:r>
        <w:rPr>
          <w:noProof/>
        </w:rPr>
        <w:t xml:space="preserve"> apturēšanas līmeni saskaņā ar šo nolīgumu vai papildinošu nolīgumu, kas nepārsniedz līmeni, kurš līdzvērtīgs zudumam vai samazinājumam, ko radījusi korektīvo pasākumu piemērošana, ja tā uzskata, ka koriģējošo pasākumu neatbilstība 3. vai 8. punktam ir būt</w:t>
      </w:r>
      <w:r>
        <w:rPr>
          <w:noProof/>
        </w:rPr>
        <w:t>iska. Pieprasījumā ierosina saistību apturēšanas līmeni saskaņā ar principiem, kas izklāstīti INST.34.C pantā [Saistību apturēšana LPFS.3.12. panta [Korektīvie pasākumi] 12. punkta, FISH.9. panta 5. punkta un FISH.14. panta 6. punkta nolūkā]. Prasītāja Pus</w:t>
      </w:r>
      <w:r>
        <w:rPr>
          <w:noProof/>
        </w:rPr>
        <w:t>e var apturēt saistības saskaņā ar šo nolīgumu vai papildinošu nolīgumu atbilstīgi saistību apturēšanas līmenim, ko noteikusi šķīrējtiesa. Šādu apturēšanu nepiemēro agrāk kā 15 dienas pēc šāda nolēmuma.</w:t>
      </w:r>
    </w:p>
    <w:p w:rsidR="003E022D" w:rsidRDefault="007D19D6">
      <w:pPr>
        <w:numPr>
          <w:ilvl w:val="0"/>
          <w:numId w:val="1319"/>
        </w:numPr>
        <w:ind w:left="0" w:firstLine="0"/>
        <w:rPr>
          <w:rFonts w:cstheme="minorHAnsi"/>
          <w:noProof/>
        </w:rPr>
      </w:pPr>
      <w:r>
        <w:rPr>
          <w:noProof/>
        </w:rPr>
        <w:t xml:space="preserve">Puse neatsaucas uz PTO nolīgumu vai kādu citu </w:t>
      </w:r>
      <w:r>
        <w:rPr>
          <w:noProof/>
        </w:rPr>
        <w:t>starptautisku nolīgumu, lai liegtu otrai Pusei veikt pasākumus saskaņā ar šo pantu, tostarp arī gadījumos, kad minētie pasākumi ir šajā nolīgumā vai kādā papildinošā nolīgumā paredzēto saistību izpildes apturēšana.</w:t>
      </w:r>
    </w:p>
    <w:p w:rsidR="003E022D" w:rsidRDefault="007D19D6">
      <w:pPr>
        <w:numPr>
          <w:ilvl w:val="0"/>
          <w:numId w:val="1319"/>
        </w:numPr>
        <w:ind w:left="0" w:firstLine="0"/>
        <w:rPr>
          <w:rFonts w:cstheme="minorHAnsi"/>
          <w:noProof/>
        </w:rPr>
      </w:pPr>
      <w:r>
        <w:rPr>
          <w:noProof/>
        </w:rPr>
        <w:t>Lai novērtētu, vai korektīvo pasākumu not</w:t>
      </w:r>
      <w:r>
        <w:rPr>
          <w:noProof/>
        </w:rPr>
        <w:t>eikšana vai saglabāšana attiecībā uz tā paša ražojuma importu aprobežojas ar to, kas ir absolūti nepieciešams vai samērīgs šā panta mērķiem, Puse:</w:t>
      </w:r>
    </w:p>
    <w:p w:rsidR="003E022D" w:rsidRDefault="007D19D6">
      <w:pPr>
        <w:ind w:left="567" w:hanging="567"/>
        <w:rPr>
          <w:rFonts w:cstheme="minorHAnsi"/>
          <w:noProof/>
        </w:rPr>
      </w:pPr>
      <w:r>
        <w:rPr>
          <w:noProof/>
        </w:rPr>
        <w:t xml:space="preserve">a) </w:t>
      </w:r>
      <w:r>
        <w:rPr>
          <w:noProof/>
        </w:rPr>
        <w:tab/>
        <w:t>ņem vērā kompensācijas pasākumus, ko piemēro vai saglabā saskaņā ar IV sadaļas [Preču tirdzniecība] GOODS</w:t>
      </w:r>
      <w:r>
        <w:rPr>
          <w:noProof/>
        </w:rPr>
        <w:t>.17. panta [Tirdzniecības aizsardzības instrumenti] 3. punktu; un</w:t>
      </w:r>
    </w:p>
    <w:p w:rsidR="003E022D" w:rsidRDefault="007D19D6">
      <w:pPr>
        <w:ind w:left="567" w:hanging="567"/>
        <w:rPr>
          <w:rFonts w:cstheme="minorHAnsi"/>
          <w:noProof/>
        </w:rPr>
      </w:pPr>
      <w:r>
        <w:rPr>
          <w:noProof/>
        </w:rPr>
        <w:t xml:space="preserve">b) </w:t>
      </w:r>
      <w:r>
        <w:rPr>
          <w:noProof/>
        </w:rPr>
        <w:tab/>
        <w:t xml:space="preserve">var ņemt vērā antidempinga pasākumus, ko piemēro vai saglabā saskaņā ar IV sadaļas [Preču tirdzniecība] 17. panta 3. punktu [Tirdzniecības aizsardzības līdzekļi]. </w:t>
      </w:r>
    </w:p>
    <w:p w:rsidR="003E022D" w:rsidRDefault="007D19D6">
      <w:pPr>
        <w:numPr>
          <w:ilvl w:val="0"/>
          <w:numId w:val="1319"/>
        </w:numPr>
        <w:ind w:left="0" w:firstLine="0"/>
        <w:rPr>
          <w:rFonts w:cstheme="minorHAnsi"/>
          <w:noProof/>
        </w:rPr>
      </w:pPr>
      <w:r>
        <w:rPr>
          <w:noProof/>
        </w:rPr>
        <w:t>Puse vienlaikus nepiem</w:t>
      </w:r>
      <w:r>
        <w:rPr>
          <w:noProof/>
        </w:rPr>
        <w:t xml:space="preserve">ēro korektīvo pasākumu saskaņā ar šo pantu un līdzsvara atjaunošanas pasākumu saskaņā ar 9.4. pantu [Līdzsvara atjaunošana ], lai novērstu ietekmi uz tirdzniecību vai investīcijām, ko tieši radījusi viena un tā pati subsīdija. </w:t>
      </w:r>
    </w:p>
    <w:p w:rsidR="003E022D" w:rsidRDefault="007D19D6">
      <w:pPr>
        <w:numPr>
          <w:ilvl w:val="0"/>
          <w:numId w:val="1319"/>
        </w:numPr>
        <w:ind w:left="0" w:firstLine="0"/>
        <w:rPr>
          <w:rFonts w:cstheme="minorHAnsi"/>
          <w:noProof/>
        </w:rPr>
      </w:pPr>
      <w:r>
        <w:rPr>
          <w:noProof/>
        </w:rPr>
        <w:t>Ja Puse, pret kuru veikti ko</w:t>
      </w:r>
      <w:r>
        <w:rPr>
          <w:noProof/>
        </w:rPr>
        <w:t>rektīvi pasākumi, neiesniedz pieprasījumu saskaņā ar šā panta 9. punktu tajā noteiktajā termiņā, minētā Puse var uzsākt INST.14. pantā [Šķīrējtiesas procedūra] minēto šķīrējtiesas procedūru, lai apstrīdētu korektīvu pasākumu, pamatojoties uz šā panta 9. pu</w:t>
      </w:r>
      <w:r>
        <w:rPr>
          <w:noProof/>
        </w:rPr>
        <w:t xml:space="preserve">nktā izklāstītajiem iemesliem, bez iepriekšējas apspriešanās saskaņā ar INST.13. pantu [Apspriešanās ]. Šķīrējtiesa uzskata šo jautājumu par steidzamu lietu INST.19. panta [Steidzamas procedūras] izpratnē. </w:t>
      </w:r>
    </w:p>
    <w:p w:rsidR="003E022D" w:rsidRDefault="007D19D6">
      <w:pPr>
        <w:numPr>
          <w:ilvl w:val="0"/>
          <w:numId w:val="1319"/>
        </w:numPr>
        <w:ind w:left="0" w:firstLine="0"/>
        <w:rPr>
          <w:rFonts w:cstheme="minorHAnsi"/>
          <w:noProof/>
        </w:rPr>
      </w:pPr>
      <w:r>
        <w:rPr>
          <w:noProof/>
        </w:rPr>
        <w:t>Šā panta 9. un 16. punktā minēto procedūru vajadz</w:t>
      </w:r>
      <w:r>
        <w:rPr>
          <w:noProof/>
        </w:rPr>
        <w:t>ībām, novērtējot, vai korektīvs pasākums ir absolūti nepieciešams vai samērīgs, šķīrējtiesa pienācīgi ņem vērā 5. un 6. punktā, kā arī 13., 14. un 15. punktā izklāstītos principus.</w:t>
      </w:r>
    </w:p>
    <w:p w:rsidR="003E022D" w:rsidRDefault="007D19D6">
      <w:pPr>
        <w:pStyle w:val="Article"/>
        <w:rPr>
          <w:noProof/>
        </w:rPr>
      </w:pPr>
      <w:r>
        <w:rPr>
          <w:noProof/>
        </w:rPr>
        <w:t>3.13. pants. Strīdu izšķiršana</w:t>
      </w:r>
    </w:p>
    <w:p w:rsidR="003E022D" w:rsidRDefault="007D19D6">
      <w:pPr>
        <w:numPr>
          <w:ilvl w:val="0"/>
          <w:numId w:val="1325"/>
        </w:numPr>
        <w:ind w:left="0" w:firstLine="0"/>
        <w:rPr>
          <w:rFonts w:cstheme="minorHAnsi"/>
          <w:noProof/>
        </w:rPr>
      </w:pPr>
      <w:r>
        <w:rPr>
          <w:noProof/>
        </w:rPr>
        <w:t>Ievērojot 2. un 3. punktu, sestās daļas [Str</w:t>
      </w:r>
      <w:r>
        <w:rPr>
          <w:noProof/>
        </w:rPr>
        <w:t xml:space="preserve">īdu izšķiršana un horizontālie noteikumi] I sadaļu [Strīdu izšķiršana ] piemēro strīdiem starp Pusēm par šīs nodaļas interpretāciju un piemērošanu, izņemot 3.9. pantu [Neatkarīga iestāde vai struktūra un sadarbība] un 3.10. pantu [Tiesas]. </w:t>
      </w:r>
    </w:p>
    <w:p w:rsidR="003E022D" w:rsidRDefault="007D19D6">
      <w:pPr>
        <w:numPr>
          <w:ilvl w:val="0"/>
          <w:numId w:val="1325"/>
        </w:numPr>
        <w:ind w:left="0" w:firstLine="0"/>
        <w:rPr>
          <w:rFonts w:cstheme="minorHAnsi"/>
          <w:noProof/>
        </w:rPr>
      </w:pPr>
      <w:r>
        <w:rPr>
          <w:noProof/>
        </w:rPr>
        <w:t xml:space="preserve">Šķīrējtiesai </w:t>
      </w:r>
      <w:r>
        <w:rPr>
          <w:noProof/>
        </w:rPr>
        <w:t>nav jurisdikcijas attiecībā uz:</w:t>
      </w:r>
    </w:p>
    <w:p w:rsidR="003E022D" w:rsidRDefault="007D19D6">
      <w:pPr>
        <w:numPr>
          <w:ilvl w:val="0"/>
          <w:numId w:val="1326"/>
        </w:numPr>
        <w:ind w:left="567" w:hanging="567"/>
        <w:rPr>
          <w:rFonts w:cstheme="minorHAnsi"/>
          <w:noProof/>
        </w:rPr>
      </w:pPr>
      <w:r>
        <w:rPr>
          <w:noProof/>
        </w:rPr>
        <w:t>individuālu subsīdiju, ieverot jautājumu, vai šāda subsīdija atbilst principiem, kas izklāstīti 3.4. panta [Principi] 1. punktā, izņemot attiecībā uz nosacījumiem, kas izklāstīti 3.5. panta 2. punktā [Neierobežotas valsts ga</w:t>
      </w:r>
      <w:r>
        <w:rPr>
          <w:noProof/>
        </w:rPr>
        <w:t>rantijas], 3.–5. punktā [Glābšana un pārstrukturēšana], 8.–11. punktā [Eksporta subsīdijas] un 12. punktā [Subsīdijas, kas atkarīgas no iekšzemes satura izmantošanas]; un</w:t>
      </w:r>
    </w:p>
    <w:p w:rsidR="003E022D" w:rsidRDefault="007D19D6">
      <w:pPr>
        <w:numPr>
          <w:ilvl w:val="0"/>
          <w:numId w:val="1326"/>
        </w:numPr>
        <w:ind w:left="567" w:hanging="567"/>
        <w:rPr>
          <w:rFonts w:cstheme="minorHAnsi"/>
          <w:noProof/>
        </w:rPr>
      </w:pPr>
      <w:r>
        <w:rPr>
          <w:noProof/>
        </w:rPr>
        <w:t>jautājumu, vai atgūšana kā tiesiskās aizsardzības līdzeklis 3.11. panta [Atgūšana] no</w:t>
      </w:r>
      <w:r>
        <w:rPr>
          <w:noProof/>
        </w:rPr>
        <w:t>zīmē katrā atsevišķā gadījumā ir piemērota pareizi.</w:t>
      </w:r>
    </w:p>
    <w:p w:rsidR="003E022D" w:rsidRDefault="007D19D6">
      <w:pPr>
        <w:numPr>
          <w:ilvl w:val="0"/>
          <w:numId w:val="1325"/>
        </w:numPr>
        <w:ind w:left="0" w:firstLine="0"/>
        <w:rPr>
          <w:rFonts w:cstheme="minorHAnsi"/>
          <w:noProof/>
        </w:rPr>
      </w:pPr>
      <w:r>
        <w:rPr>
          <w:noProof/>
        </w:rPr>
        <w:t xml:space="preserve">Sestās daļas [Strīdu izšķiršana un horizontālie noteikumi] I sadaļu [Strīdu izšķiršana] piemēro 3.12. pantam [Korektīvi pasākumi] saskaņā ar minēto pantu un INST.34.B pantu [Īpašas procedūras korektīviem </w:t>
      </w:r>
      <w:r>
        <w:rPr>
          <w:noProof/>
        </w:rPr>
        <w:t>pasākumiem un līdzsvara atjaunošanai].</w:t>
      </w:r>
    </w:p>
    <w:p w:rsidR="003E022D" w:rsidRDefault="007D19D6">
      <w:pPr>
        <w:pStyle w:val="Chapter"/>
        <w:rPr>
          <w:noProof/>
        </w:rPr>
      </w:pPr>
      <w:r>
        <w:rPr>
          <w:noProof/>
        </w:rPr>
        <w:t>Ceturtā nodaļa. Valsts uzņēmumi, uzņēmumi, kam piešķirtas īpašas tiesības vai privilēģijas, un izraudzīti monopoli</w:t>
      </w:r>
    </w:p>
    <w:p w:rsidR="003E022D" w:rsidRDefault="007D19D6">
      <w:pPr>
        <w:pStyle w:val="Article"/>
        <w:rPr>
          <w:noProof/>
        </w:rPr>
      </w:pPr>
      <w:r>
        <w:rPr>
          <w:noProof/>
        </w:rPr>
        <w:t>4.1. pants. Definīcijas</w:t>
      </w:r>
    </w:p>
    <w:p w:rsidR="003E022D" w:rsidRDefault="007D19D6">
      <w:pPr>
        <w:numPr>
          <w:ilvl w:val="0"/>
          <w:numId w:val="1327"/>
        </w:numPr>
        <w:ind w:left="0" w:firstLine="0"/>
        <w:rPr>
          <w:rFonts w:cstheme="minorHAnsi"/>
          <w:noProof/>
        </w:rPr>
      </w:pPr>
      <w:r>
        <w:rPr>
          <w:noProof/>
        </w:rPr>
        <w:t>Šajā nodaļā piemēro šādas definīcijas: </w:t>
      </w:r>
    </w:p>
    <w:p w:rsidR="003E022D" w:rsidRDefault="007D19D6">
      <w:pPr>
        <w:numPr>
          <w:ilvl w:val="0"/>
          <w:numId w:val="1328"/>
        </w:numPr>
        <w:ind w:left="567" w:hanging="567"/>
        <w:rPr>
          <w:rFonts w:cstheme="minorHAnsi"/>
          <w:noProof/>
        </w:rPr>
      </w:pPr>
      <w:r>
        <w:rPr>
          <w:noProof/>
        </w:rPr>
        <w:t>“vienošanās” ir Vienošanās par pamatno</w:t>
      </w:r>
      <w:r>
        <w:rPr>
          <w:noProof/>
        </w:rPr>
        <w:t>stādnēm attiecībā uz oficiāli atbalstītiem eksporta kredītiem, kas izstrādāta ESAO ietvaros, vai turpmākas saistības, kuras izstrādātas ESAO ietvaros vai ārpus tās un kuras ir apstiprinājušas vismaz 12 PTO sākotnējās dalībnieces, kas bija arī 1979. gada 1.</w:t>
      </w:r>
      <w:r>
        <w:rPr>
          <w:noProof/>
        </w:rPr>
        <w:t> janvāra Vienošanās dalībnieces;</w:t>
      </w:r>
    </w:p>
    <w:p w:rsidR="003E022D" w:rsidRDefault="007D19D6">
      <w:pPr>
        <w:numPr>
          <w:ilvl w:val="0"/>
          <w:numId w:val="1328"/>
        </w:numPr>
        <w:ind w:left="567" w:hanging="567"/>
        <w:rPr>
          <w:rFonts w:cstheme="minorHAnsi"/>
          <w:noProof/>
        </w:rPr>
      </w:pPr>
      <w:r>
        <w:rPr>
          <w:noProof/>
        </w:rPr>
        <w:t xml:space="preserve"> “komercdarbība” ir darbības, kuru rezultāts ir tādas preces ražošana vai tāda pakalpojuma sniegšana, ko paredzēts pārdot attiecīgajā tirgū uzņēmuma noteiktā daudzumā un par uzņēmuma noteiktām cenām uz piedāvājuma un piepra</w:t>
      </w:r>
      <w:r>
        <w:rPr>
          <w:noProof/>
        </w:rPr>
        <w:t>sījuma nosacījumu pamata, un kuras veic ar nolūku gūt peļņu; darbības, ko veic uzņēmums, kurš darbojas pēc bezpeļņas vai izmaksu segšanas principa, nav darbības, ko veic ar nolūku gūt peļņu;</w:t>
      </w:r>
    </w:p>
    <w:p w:rsidR="003E022D" w:rsidRDefault="007D19D6">
      <w:pPr>
        <w:numPr>
          <w:ilvl w:val="0"/>
          <w:numId w:val="1328"/>
        </w:numPr>
        <w:ind w:left="567" w:hanging="567"/>
        <w:rPr>
          <w:rFonts w:cstheme="minorHAnsi"/>
          <w:noProof/>
        </w:rPr>
      </w:pPr>
      <w:r>
        <w:rPr>
          <w:noProof/>
        </w:rPr>
        <w:t>“komerciāli apsvērumi” ir apsvērumi attiecībā uz cenu, kvalitāti,</w:t>
      </w:r>
      <w:r>
        <w:rPr>
          <w:noProof/>
        </w:rPr>
        <w:t xml:space="preserve"> pieejamību, pārdošanas iespējamību, transportēšanu un citiem pirkšanas vai pārdošanas noteikumiem vai citi faktori, kas parasti būtu jāņem vērā komerciālu lēmumu pieņemšanā privātā uzņēmumā, kurš attiecīgajā darījumdarbības jomā vai rūpniecības nozarē dar</w:t>
      </w:r>
      <w:r>
        <w:rPr>
          <w:noProof/>
        </w:rPr>
        <w:t>bojas saskaņā ar tirgus ekonomikas principiem; </w:t>
      </w:r>
    </w:p>
    <w:p w:rsidR="003E022D" w:rsidRDefault="007D19D6">
      <w:pPr>
        <w:numPr>
          <w:ilvl w:val="0"/>
          <w:numId w:val="1328"/>
        </w:numPr>
        <w:ind w:left="567" w:hanging="567"/>
        <w:rPr>
          <w:rFonts w:cstheme="minorHAnsi"/>
          <w:noProof/>
        </w:rPr>
      </w:pPr>
      <w:r>
        <w:rPr>
          <w:noProof/>
        </w:rPr>
        <w:t xml:space="preserve">“aptverta vienība” ir: </w:t>
      </w:r>
    </w:p>
    <w:p w:rsidR="003E022D" w:rsidRDefault="007D19D6">
      <w:pPr>
        <w:numPr>
          <w:ilvl w:val="1"/>
          <w:numId w:val="1289"/>
        </w:numPr>
        <w:ind w:left="1276" w:hanging="567"/>
        <w:rPr>
          <w:noProof/>
          <w:color w:val="000000"/>
          <w:u w:color="000000"/>
          <w:bdr w:val="nil"/>
        </w:rPr>
      </w:pPr>
      <w:r>
        <w:rPr>
          <w:noProof/>
          <w:color w:val="000000"/>
          <w:u w:color="000000"/>
          <w:bdr w:val="nil"/>
        </w:rPr>
        <w:t>izraudzīts monopols; </w:t>
      </w:r>
    </w:p>
    <w:p w:rsidR="003E022D" w:rsidRDefault="007D19D6">
      <w:pPr>
        <w:numPr>
          <w:ilvl w:val="1"/>
          <w:numId w:val="1289"/>
        </w:numPr>
        <w:ind w:left="1276" w:hanging="567"/>
        <w:rPr>
          <w:noProof/>
          <w:color w:val="000000"/>
          <w:u w:color="000000"/>
          <w:bdr w:val="nil"/>
        </w:rPr>
      </w:pPr>
      <w:r>
        <w:rPr>
          <w:noProof/>
          <w:color w:val="000000"/>
          <w:u w:color="000000"/>
          <w:bdr w:val="nil"/>
        </w:rPr>
        <w:t>uzņēmums, kam piešķirtas īpašas tiesības vai privilēģijas, vai </w:t>
      </w:r>
    </w:p>
    <w:p w:rsidR="003E022D" w:rsidRDefault="007D19D6">
      <w:pPr>
        <w:numPr>
          <w:ilvl w:val="1"/>
          <w:numId w:val="1289"/>
        </w:numPr>
        <w:ind w:left="1276" w:hanging="567"/>
        <w:rPr>
          <w:noProof/>
          <w:color w:val="000000"/>
          <w:u w:color="000000"/>
          <w:bdr w:val="nil"/>
        </w:rPr>
      </w:pPr>
      <w:r>
        <w:rPr>
          <w:noProof/>
          <w:color w:val="000000"/>
          <w:u w:color="000000"/>
          <w:bdr w:val="nil"/>
        </w:rPr>
        <w:t>valsts uzņēmums. </w:t>
      </w:r>
    </w:p>
    <w:p w:rsidR="003E022D" w:rsidRDefault="007D19D6">
      <w:pPr>
        <w:numPr>
          <w:ilvl w:val="0"/>
          <w:numId w:val="1328"/>
        </w:numPr>
        <w:ind w:left="567" w:hanging="567"/>
        <w:rPr>
          <w:rFonts w:cstheme="minorHAnsi"/>
          <w:noProof/>
        </w:rPr>
      </w:pPr>
      <w:r>
        <w:rPr>
          <w:noProof/>
        </w:rPr>
        <w:t xml:space="preserve">“izraudzīts monopols” ir vienība, tostarp konsorcijs vai valsts aģentūra, kas </w:t>
      </w:r>
      <w:r>
        <w:rPr>
          <w:noProof/>
        </w:rPr>
        <w:t>kādas Puses teritorijā konkrētajā tirgū ir izraudzīta par vienīgo preču vai pakalpojumu piegādātāju vai pircēju, bet neietver vienību, kurai ir piešķirtas ekskluzīvas intelektuālā īpašuma tiesības, tikai pamatojoties uz šādu piešķīrumu; šajā kontekstā “izr</w:t>
      </w:r>
      <w:r>
        <w:rPr>
          <w:noProof/>
        </w:rPr>
        <w:t>audzīt” nozīmē izveidot vai atļaut monopolu vai paplašināt monopola tvērumu, ietverot papildu preci vai pakalpojumu;</w:t>
      </w:r>
    </w:p>
    <w:p w:rsidR="003E022D" w:rsidRDefault="007D19D6">
      <w:pPr>
        <w:numPr>
          <w:ilvl w:val="0"/>
          <w:numId w:val="1328"/>
        </w:numPr>
        <w:ind w:left="567" w:hanging="567"/>
        <w:rPr>
          <w:rFonts w:cstheme="minorHAnsi"/>
          <w:noProof/>
        </w:rPr>
      </w:pPr>
      <w:r>
        <w:rPr>
          <w:noProof/>
        </w:rPr>
        <w:t>“uzņēmums” ir uzņēmums, kā definēts SERVIN.1.2. panta [Definīcijas] g) punktā.</w:t>
      </w:r>
    </w:p>
    <w:p w:rsidR="003E022D" w:rsidRDefault="007D19D6">
      <w:pPr>
        <w:numPr>
          <w:ilvl w:val="0"/>
          <w:numId w:val="1328"/>
        </w:numPr>
        <w:ind w:left="567" w:hanging="567"/>
        <w:rPr>
          <w:rFonts w:cstheme="minorHAnsi"/>
          <w:noProof/>
        </w:rPr>
      </w:pPr>
      <w:r>
        <w:rPr>
          <w:noProof/>
        </w:rPr>
        <w:t xml:space="preserve">“uzņēmums, kam piešķirtas īpašas tiesības vai privilēģijas” </w:t>
      </w:r>
      <w:r>
        <w:rPr>
          <w:noProof/>
        </w:rPr>
        <w:t xml:space="preserve">ir jebkurš publisks vai privāts uzņēmums, kam kāda Puse juridiski vai faktiski ir piešķīrusi īpašas tiesības vai privilēģijas; </w:t>
      </w:r>
    </w:p>
    <w:p w:rsidR="003E022D" w:rsidRDefault="007D19D6">
      <w:pPr>
        <w:numPr>
          <w:ilvl w:val="0"/>
          <w:numId w:val="1328"/>
        </w:numPr>
        <w:ind w:left="567" w:hanging="567"/>
        <w:rPr>
          <w:rFonts w:cstheme="minorHAnsi"/>
          <w:noProof/>
        </w:rPr>
      </w:pPr>
      <w:r>
        <w:rPr>
          <w:noProof/>
        </w:rPr>
        <w:t xml:space="preserve">“pakalpojums, ko sniedz, īstenojot valsts pilnvaras” ir pakalpojums, ko sniedz, īstenojot valsts pilnvaras, kā tas definēts </w:t>
      </w:r>
      <w:r>
        <w:rPr>
          <w:i/>
          <w:noProof/>
        </w:rPr>
        <w:t>GATS</w:t>
      </w:r>
      <w:r>
        <w:rPr>
          <w:noProof/>
        </w:rPr>
        <w:t>;</w:t>
      </w:r>
    </w:p>
    <w:p w:rsidR="003E022D" w:rsidRDefault="007D19D6">
      <w:pPr>
        <w:numPr>
          <w:ilvl w:val="0"/>
          <w:numId w:val="1328"/>
        </w:numPr>
        <w:ind w:left="567" w:hanging="567"/>
        <w:rPr>
          <w:rFonts w:cstheme="minorHAnsi"/>
          <w:noProof/>
        </w:rPr>
      </w:pPr>
      <w:r>
        <w:rPr>
          <w:noProof/>
        </w:rPr>
        <w:t>“īpašas tiesības vai privilēģijas” ir tiesības vai privilēģijas, ar kurām kāda Puse nosaka vai līdz diviem vai vairāk uzņēmumiem ierobežo to uzņēmumu skaitu, kam ir atļauts piegādāt kādu preci vai pakalpojumu, izņemot saskaņā ar objektīviem, samērīgiem u</w:t>
      </w:r>
      <w:r>
        <w:rPr>
          <w:noProof/>
        </w:rPr>
        <w:t>n nediskriminējošiem kritērijiem, būtiski ietekmējot jebkura cita uzņēmuma spēju piegādāt to pašu preci vai sniegt to pašu pakalpojumu tajā pašā ģeogrāfiskajā apgabalā vai produkta tirgū būtībā līdzvērtīgos apstākļos; </w:t>
      </w:r>
    </w:p>
    <w:p w:rsidR="003E022D" w:rsidRDefault="007D19D6">
      <w:pPr>
        <w:numPr>
          <w:ilvl w:val="0"/>
          <w:numId w:val="1328"/>
        </w:numPr>
        <w:ind w:left="567" w:hanging="567"/>
        <w:rPr>
          <w:rFonts w:cstheme="minorHAnsi"/>
          <w:noProof/>
        </w:rPr>
      </w:pPr>
      <w:r>
        <w:rPr>
          <w:noProof/>
        </w:rPr>
        <w:t xml:space="preserve">“valsts uzņēmums” ir uzņēmums, kurā: </w:t>
      </w:r>
    </w:p>
    <w:p w:rsidR="003E022D" w:rsidRDefault="007D19D6">
      <w:pPr>
        <w:numPr>
          <w:ilvl w:val="1"/>
          <w:numId w:val="1290"/>
        </w:numPr>
        <w:ind w:left="1276" w:hanging="567"/>
        <w:rPr>
          <w:noProof/>
          <w:color w:val="000000"/>
          <w:u w:color="000000"/>
          <w:bdr w:val="nil"/>
        </w:rPr>
      </w:pPr>
      <w:r>
        <w:rPr>
          <w:noProof/>
          <w:color w:val="000000"/>
          <w:u w:color="000000"/>
          <w:bdr w:val="nil"/>
        </w:rPr>
        <w:t xml:space="preserve">kādai Pusei tieši pieder vairāk nekā 50 % akciju kapitāla; </w:t>
      </w:r>
    </w:p>
    <w:p w:rsidR="003E022D" w:rsidRDefault="007D19D6">
      <w:pPr>
        <w:numPr>
          <w:ilvl w:val="1"/>
          <w:numId w:val="1290"/>
        </w:numPr>
        <w:ind w:left="1276" w:hanging="567"/>
        <w:rPr>
          <w:noProof/>
          <w:color w:val="000000"/>
          <w:u w:color="000000"/>
          <w:bdr w:val="nil"/>
        </w:rPr>
      </w:pPr>
      <w:r>
        <w:rPr>
          <w:noProof/>
          <w:color w:val="000000"/>
          <w:u w:color="000000"/>
          <w:bdr w:val="nil"/>
        </w:rPr>
        <w:t xml:space="preserve">kāda Puse tieši vai netieši kontrolē vairāk nekā 50 % balsstiesību izmantošanu; </w:t>
      </w:r>
    </w:p>
    <w:p w:rsidR="003E022D" w:rsidRDefault="007D19D6">
      <w:pPr>
        <w:numPr>
          <w:ilvl w:val="1"/>
          <w:numId w:val="1290"/>
        </w:numPr>
        <w:ind w:left="1276" w:hanging="567"/>
        <w:rPr>
          <w:noProof/>
          <w:color w:val="000000"/>
          <w:u w:color="000000"/>
          <w:bdr w:val="nil"/>
        </w:rPr>
      </w:pPr>
      <w:r>
        <w:rPr>
          <w:noProof/>
          <w:color w:val="000000"/>
          <w:u w:color="000000"/>
          <w:bdr w:val="nil"/>
        </w:rPr>
        <w:t xml:space="preserve">kādai Pusei ir pilnvaras iecelt vairākumu locekļu direktoru padomē vai jebkādā citā līdzvērtīgā vadības struktūrā </w:t>
      </w:r>
      <w:r>
        <w:rPr>
          <w:noProof/>
          <w:color w:val="000000"/>
          <w:u w:color="000000"/>
          <w:bdr w:val="nil"/>
        </w:rPr>
        <w:t xml:space="preserve">vai </w:t>
      </w:r>
    </w:p>
    <w:p w:rsidR="003E022D" w:rsidRDefault="007D19D6">
      <w:pPr>
        <w:numPr>
          <w:ilvl w:val="1"/>
          <w:numId w:val="1290"/>
        </w:numPr>
        <w:ind w:left="1276" w:hanging="567"/>
        <w:rPr>
          <w:noProof/>
          <w:color w:val="000000"/>
          <w:u w:color="000000"/>
          <w:bdr w:val="nil"/>
        </w:rPr>
      </w:pPr>
      <w:r>
        <w:rPr>
          <w:noProof/>
          <w:color w:val="000000"/>
          <w:u w:color="000000"/>
          <w:bdr w:val="nil"/>
        </w:rPr>
        <w:t xml:space="preserve">kāda Puse spēj īstenot kontroli pār uzņēmumu. Lai konstatētu kontroli, katrā atsevišķā gadījumā ņem vērā visus attiecīgos juridiskos un faktiskos apstākļus. </w:t>
      </w:r>
    </w:p>
    <w:p w:rsidR="003E022D" w:rsidRDefault="007D19D6">
      <w:pPr>
        <w:pStyle w:val="Article"/>
        <w:rPr>
          <w:noProof/>
        </w:rPr>
      </w:pPr>
      <w:r>
        <w:rPr>
          <w:noProof/>
        </w:rPr>
        <w:t>4.2. pants. Piemērošanas joma</w:t>
      </w:r>
    </w:p>
    <w:p w:rsidR="003E022D" w:rsidRDefault="007D19D6">
      <w:pPr>
        <w:numPr>
          <w:ilvl w:val="0"/>
          <w:numId w:val="1291"/>
        </w:numPr>
        <w:ind w:left="0" w:firstLine="0"/>
        <w:rPr>
          <w:rFonts w:cstheme="minorHAnsi"/>
          <w:noProof/>
        </w:rPr>
      </w:pPr>
      <w:r>
        <w:rPr>
          <w:noProof/>
        </w:rPr>
        <w:t>Šī nodaļa attiecas uz komercdarbību veicošām aptvertām vienībām</w:t>
      </w:r>
      <w:r>
        <w:rPr>
          <w:noProof/>
        </w:rPr>
        <w:t xml:space="preserve"> visos pārvaldes līmeņos. Ja aptverta vienība iesaistās gan komercdarbībā, gan nekomerciālā darbībā, šī nodaļa attiecas tikai uz komercdarbību.</w:t>
      </w:r>
    </w:p>
    <w:p w:rsidR="003E022D" w:rsidRDefault="007D19D6">
      <w:pPr>
        <w:numPr>
          <w:ilvl w:val="0"/>
          <w:numId w:val="1291"/>
        </w:numPr>
        <w:ind w:left="0" w:firstLine="0"/>
        <w:rPr>
          <w:rFonts w:cstheme="minorHAnsi"/>
          <w:noProof/>
        </w:rPr>
      </w:pPr>
      <w:r>
        <w:rPr>
          <w:noProof/>
        </w:rPr>
        <w:t xml:space="preserve">Šo nodaļu nepiemēro: </w:t>
      </w:r>
    </w:p>
    <w:p w:rsidR="003E022D" w:rsidRDefault="007D19D6">
      <w:pPr>
        <w:numPr>
          <w:ilvl w:val="1"/>
          <w:numId w:val="1291"/>
        </w:numPr>
        <w:ind w:left="567" w:hanging="567"/>
        <w:rPr>
          <w:rFonts w:cstheme="minorHAnsi"/>
          <w:noProof/>
        </w:rPr>
      </w:pPr>
      <w:bookmarkStart w:id="184" w:name="_cp_change_69"/>
      <w:r>
        <w:rPr>
          <w:noProof/>
        </w:rPr>
        <w:t>aptvertajām iestādēm</w:t>
      </w:r>
      <w:bookmarkEnd w:id="184"/>
      <w:r>
        <w:rPr>
          <w:noProof/>
        </w:rPr>
        <w:t xml:space="preserve">, kas darbojas kā iepirkuma iestādes, kā definēts katras Puses </w:t>
      </w:r>
      <w:r>
        <w:rPr>
          <w:i/>
          <w:iCs/>
          <w:noProof/>
        </w:rPr>
        <w:t>GPA</w:t>
      </w:r>
      <w:r>
        <w:rPr>
          <w:noProof/>
        </w:rPr>
        <w:t xml:space="preserve"> 1. </w:t>
      </w:r>
      <w:r>
        <w:rPr>
          <w:noProof/>
        </w:rPr>
        <w:t>papildinājuma 1. līdz 3. pielikumā un X sadaļas [Publiskais iepirkums] PPROC-1. PIELIKUMA. PUBLISKAIS IEPIRKUMS B iedaļas katras Puses attiecīgo apakšiedaļu 1. punktā, kas veic aptverto iepirkumu, kā definēts X sadaļas [Publiskais iepirkums] PPROC.2. panta</w:t>
      </w:r>
      <w:r>
        <w:rPr>
          <w:noProof/>
        </w:rPr>
        <w:t xml:space="preserve"> [Dažu Nolīguma par valsts iepirkumu noteikumu iekļaušana un aptvertais iepirkums] 2. punktā; </w:t>
      </w:r>
    </w:p>
    <w:p w:rsidR="003E022D" w:rsidRDefault="007D19D6">
      <w:pPr>
        <w:numPr>
          <w:ilvl w:val="1"/>
          <w:numId w:val="1291"/>
        </w:numPr>
        <w:ind w:left="567" w:hanging="567"/>
        <w:rPr>
          <w:rFonts w:cstheme="minorHAnsi"/>
          <w:noProof/>
        </w:rPr>
      </w:pPr>
      <w:r>
        <w:rPr>
          <w:noProof/>
        </w:rPr>
        <w:t>pakalpojumiem, ko sniedz, īstenojot valsts pilnvaras.</w:t>
      </w:r>
    </w:p>
    <w:p w:rsidR="003E022D" w:rsidRDefault="007D19D6">
      <w:pPr>
        <w:numPr>
          <w:ilvl w:val="0"/>
          <w:numId w:val="1291"/>
        </w:numPr>
        <w:ind w:left="0" w:firstLine="0"/>
        <w:rPr>
          <w:rFonts w:cstheme="minorHAnsi"/>
          <w:noProof/>
        </w:rPr>
      </w:pPr>
      <w:r>
        <w:rPr>
          <w:noProof/>
        </w:rPr>
        <w:t>Šo nodaļu aptvertai vienībai nepiemēro, ja kādā no iepriekšējiem trim secīgiem fiskālajiem gadiem gada ieņē</w:t>
      </w:r>
      <w:r>
        <w:rPr>
          <w:noProof/>
        </w:rPr>
        <w:t>mumi no attiecīgā uzņēmuma vai monopola komercdarbības ir bijuši mazāki par 100 miljoniem speciālo aizņēmuma tiesību.</w:t>
      </w:r>
    </w:p>
    <w:p w:rsidR="003E022D" w:rsidRDefault="007D19D6">
      <w:pPr>
        <w:numPr>
          <w:ilvl w:val="0"/>
          <w:numId w:val="1291"/>
        </w:numPr>
        <w:ind w:left="0" w:firstLine="0"/>
        <w:rPr>
          <w:rFonts w:cstheme="minorHAnsi"/>
          <w:noProof/>
        </w:rPr>
      </w:pPr>
      <w:r>
        <w:rPr>
          <w:noProof/>
        </w:rPr>
        <w:t>4.5. pantu [Nediskriminējoša attieksme un komercapsvērumi] nepiemēro finanšu pakalpojumu sniegšanai, ko veic aptverta vienība saskaņā ar v</w:t>
      </w:r>
      <w:r>
        <w:rPr>
          <w:noProof/>
        </w:rPr>
        <w:t>aldības pilnvarojumu, ja šāda finanšu pakalpojumu sniegšana:</w:t>
      </w:r>
    </w:p>
    <w:p w:rsidR="003E022D" w:rsidRDefault="007D19D6">
      <w:pPr>
        <w:numPr>
          <w:ilvl w:val="1"/>
          <w:numId w:val="1291"/>
        </w:numPr>
        <w:ind w:left="567" w:hanging="567"/>
        <w:rPr>
          <w:rFonts w:cstheme="minorHAnsi"/>
          <w:noProof/>
        </w:rPr>
      </w:pPr>
      <w:r>
        <w:rPr>
          <w:noProof/>
        </w:rPr>
        <w:t>atbalsta eksportu vai importu, ar noteikumu, ka minētie pakalpojumi:</w:t>
      </w:r>
    </w:p>
    <w:p w:rsidR="003E022D" w:rsidRDefault="007D19D6">
      <w:pPr>
        <w:numPr>
          <w:ilvl w:val="2"/>
          <w:numId w:val="1291"/>
        </w:numPr>
        <w:ind w:left="1276" w:hanging="567"/>
        <w:rPr>
          <w:noProof/>
          <w:color w:val="000000"/>
          <w:u w:color="000000"/>
          <w:bdr w:val="nil"/>
        </w:rPr>
      </w:pPr>
      <w:r>
        <w:rPr>
          <w:noProof/>
          <w:color w:val="000000"/>
          <w:u w:color="000000"/>
          <w:bdr w:val="nil"/>
        </w:rPr>
        <w:t>nav paredzēti komercfinansējuma aizstāšanai vai</w:t>
      </w:r>
    </w:p>
    <w:p w:rsidR="003E022D" w:rsidRDefault="007D19D6">
      <w:pPr>
        <w:numPr>
          <w:ilvl w:val="2"/>
          <w:numId w:val="1291"/>
        </w:numPr>
        <w:ind w:left="1276" w:hanging="567"/>
        <w:rPr>
          <w:noProof/>
          <w:color w:val="000000"/>
          <w:u w:color="000000"/>
          <w:bdr w:val="nil"/>
        </w:rPr>
      </w:pPr>
      <w:r>
        <w:rPr>
          <w:noProof/>
          <w:color w:val="000000"/>
          <w:u w:color="000000"/>
          <w:bdr w:val="nil"/>
        </w:rPr>
        <w:t>tiek piedāvāti ar noteikumiem, kuri nav labvēlīgāki par tiem, ko varētu saņemt</w:t>
      </w:r>
      <w:r>
        <w:rPr>
          <w:noProof/>
          <w:color w:val="000000"/>
          <w:u w:color="000000"/>
          <w:bdr w:val="nil"/>
        </w:rPr>
        <w:t xml:space="preserve"> par salīdzināmiem finanšu pakalpojumiem komerctirgū, vai</w:t>
      </w:r>
    </w:p>
    <w:p w:rsidR="003E022D" w:rsidRDefault="007D19D6">
      <w:pPr>
        <w:numPr>
          <w:ilvl w:val="1"/>
          <w:numId w:val="1291"/>
        </w:numPr>
        <w:ind w:left="567" w:hanging="567"/>
        <w:rPr>
          <w:rFonts w:cstheme="minorHAnsi"/>
          <w:noProof/>
        </w:rPr>
      </w:pPr>
      <w:r>
        <w:rPr>
          <w:noProof/>
        </w:rPr>
        <w:t>atbalsta privātas investīcijas ārpus Puses teritorijas, ar noteikumu, ka šie pakalpojumi:</w:t>
      </w:r>
    </w:p>
    <w:p w:rsidR="003E022D" w:rsidRDefault="007D19D6">
      <w:pPr>
        <w:numPr>
          <w:ilvl w:val="2"/>
          <w:numId w:val="1291"/>
        </w:numPr>
        <w:ind w:left="1276" w:hanging="567"/>
        <w:rPr>
          <w:noProof/>
          <w:color w:val="000000"/>
          <w:u w:color="000000"/>
          <w:bdr w:val="nil"/>
        </w:rPr>
      </w:pPr>
      <w:r>
        <w:rPr>
          <w:noProof/>
          <w:color w:val="000000"/>
          <w:u w:color="000000"/>
          <w:bdr w:val="nil"/>
        </w:rPr>
        <w:t>nav paredzēti komercfinansējuma aizstāšanai vai</w:t>
      </w:r>
    </w:p>
    <w:p w:rsidR="003E022D" w:rsidRDefault="007D19D6">
      <w:pPr>
        <w:numPr>
          <w:ilvl w:val="2"/>
          <w:numId w:val="1291"/>
        </w:numPr>
        <w:ind w:left="1276" w:hanging="567"/>
        <w:rPr>
          <w:noProof/>
          <w:color w:val="000000"/>
          <w:u w:color="000000"/>
          <w:bdr w:val="nil"/>
        </w:rPr>
      </w:pPr>
      <w:r>
        <w:rPr>
          <w:noProof/>
          <w:color w:val="000000"/>
          <w:u w:color="000000"/>
          <w:bdr w:val="nil"/>
        </w:rPr>
        <w:t xml:space="preserve">tiek piedāvāti ar noteikumiem, kuri nav labvēlīgāki par </w:t>
      </w:r>
      <w:r>
        <w:rPr>
          <w:noProof/>
          <w:color w:val="000000"/>
          <w:u w:color="000000"/>
          <w:bdr w:val="nil"/>
        </w:rPr>
        <w:t>tiem, ko varētu saņemt par salīdzināmiem finanšu pakalpojumiem komerctirgū, vai</w:t>
      </w:r>
    </w:p>
    <w:p w:rsidR="003E022D" w:rsidRDefault="007D19D6">
      <w:pPr>
        <w:numPr>
          <w:ilvl w:val="1"/>
          <w:numId w:val="1291"/>
        </w:numPr>
        <w:ind w:left="567" w:hanging="567"/>
        <w:rPr>
          <w:rFonts w:cstheme="minorHAnsi"/>
          <w:noProof/>
        </w:rPr>
      </w:pPr>
      <w:r>
        <w:rPr>
          <w:noProof/>
        </w:rPr>
        <w:t>tiek piedāvāti ar noteikumiem, kas atbilst vienošanās noteikumiem, ja minētie pakalpojumi ietilpst vienošanās darbības jomā.</w:t>
      </w:r>
    </w:p>
    <w:p w:rsidR="003E022D" w:rsidRDefault="007D19D6">
      <w:pPr>
        <w:numPr>
          <w:ilvl w:val="0"/>
          <w:numId w:val="1291"/>
        </w:numPr>
        <w:ind w:left="0" w:firstLine="0"/>
        <w:rPr>
          <w:rFonts w:cstheme="minorHAnsi"/>
          <w:noProof/>
        </w:rPr>
      </w:pPr>
      <w:r>
        <w:rPr>
          <w:noProof/>
        </w:rPr>
        <w:t>Neskarot šā panta 3. punktu, 4.5. pantu [Nediskrimi</w:t>
      </w:r>
      <w:r>
        <w:rPr>
          <w:noProof/>
        </w:rPr>
        <w:t>nējoša attieksme un komerciāli apsvērumi ] nepiemēro šādām nozarēm: audiovizuālajiem pakalpojumiem; iekšzemes jūras kabotāžai</w:t>
      </w:r>
      <w:r>
        <w:rPr>
          <w:rStyle w:val="FootnoteReference"/>
          <w:rFonts w:cstheme="minorHAnsi"/>
          <w:noProof/>
        </w:rPr>
        <w:footnoteReference w:id="60"/>
      </w:r>
      <w:r>
        <w:rPr>
          <w:noProof/>
        </w:rPr>
        <w:t xml:space="preserve"> un pārvadājumiem pa iekšējiem ūdensceļiem, kā noteikts SERVIN.1.1 panta [Mērķis un darbības joma] 5. punktā. </w:t>
      </w:r>
    </w:p>
    <w:p w:rsidR="003E022D" w:rsidRDefault="007D19D6">
      <w:pPr>
        <w:numPr>
          <w:ilvl w:val="0"/>
          <w:numId w:val="1291"/>
        </w:numPr>
        <w:ind w:left="0" w:firstLine="0"/>
        <w:rPr>
          <w:rFonts w:cstheme="minorHAnsi"/>
          <w:noProof/>
        </w:rPr>
      </w:pPr>
      <w:r>
        <w:rPr>
          <w:noProof/>
        </w:rPr>
        <w:t>4.5. pantu [Nediskr</w:t>
      </w:r>
      <w:r>
        <w:rPr>
          <w:noProof/>
        </w:rPr>
        <w:t xml:space="preserve">iminējoša attieksme un komercapsvērumi] nepiemēro, ja Puses aptverta vienība veic preču vai pakalpojumu pirkšanu vai pārdošanu saskaņā ar: </w:t>
      </w:r>
    </w:p>
    <w:p w:rsidR="003E022D" w:rsidRDefault="007D19D6">
      <w:pPr>
        <w:numPr>
          <w:ilvl w:val="1"/>
          <w:numId w:val="1291"/>
        </w:numPr>
        <w:ind w:left="567" w:hanging="567"/>
        <w:rPr>
          <w:rFonts w:cstheme="minorHAnsi"/>
          <w:noProof/>
        </w:rPr>
      </w:pPr>
      <w:r>
        <w:rPr>
          <w:noProof/>
        </w:rPr>
        <w:t>jebkuru esošu neatbilstošu pasākums, ko Puse patur spēkā, turpina, atjauno vai groza saskaņā ar [SERVIN.2.7. panta [</w:t>
      </w:r>
      <w:r>
        <w:rPr>
          <w:noProof/>
        </w:rPr>
        <w:t>Neatbilstīgi pasākumi un izņēmumi] 1. punktu vai SERVIN.3.6. panta [Neatbilstoši pasākumi] 1. punktu, kā noteikts tās attiecīgajos sarakstos SERVIN-1 un SERVIN-2. pielikumos]. vai</w:t>
      </w:r>
    </w:p>
    <w:p w:rsidR="003E022D" w:rsidRDefault="007D19D6">
      <w:pPr>
        <w:numPr>
          <w:ilvl w:val="1"/>
          <w:numId w:val="1291"/>
        </w:numPr>
        <w:ind w:left="567" w:hanging="567"/>
        <w:rPr>
          <w:rFonts w:cstheme="minorHAnsi"/>
          <w:noProof/>
        </w:rPr>
      </w:pPr>
      <w:r>
        <w:rPr>
          <w:noProof/>
        </w:rPr>
        <w:t>jebkuru neatbilstošu pasākumu, ko Puse pieņem vai patur spēkā attiecībā uz n</w:t>
      </w:r>
      <w:r>
        <w:rPr>
          <w:noProof/>
        </w:rPr>
        <w:t>ozarēm, apakšnozarēm vai darbībām saskaņā ar [SERVIN.2.7. panta [Neatbilstīgi pasākumi un izņēmumi] 2. punktu vai SERVIN.3.6. panta [Neatbilstoši pasākumi] 2. punktu, kā noteikts tās attiecīgajos sarakstos SERVIN-1 un SERVIN-2. pielikumos].</w:t>
      </w:r>
    </w:p>
    <w:p w:rsidR="003E022D" w:rsidRDefault="007D19D6">
      <w:pPr>
        <w:pStyle w:val="Article"/>
        <w:rPr>
          <w:noProof/>
        </w:rPr>
      </w:pPr>
      <w:r>
        <w:rPr>
          <w:noProof/>
        </w:rPr>
        <w:t>4.3. pants. Sai</w:t>
      </w:r>
      <w:r>
        <w:rPr>
          <w:noProof/>
        </w:rPr>
        <w:t>stība ar PTO līgumu</w:t>
      </w:r>
    </w:p>
    <w:p w:rsidR="003E022D" w:rsidRDefault="007D19D6">
      <w:pPr>
        <w:rPr>
          <w:rFonts w:cstheme="minorHAnsi"/>
          <w:noProof/>
        </w:rPr>
      </w:pPr>
      <w:r>
        <w:rPr>
          <w:noProof/>
        </w:rPr>
        <w:t>Puses apstiprina savas tiesības un saistības saskaņā ar GATT 1994 XVII panta 1.–3. punktu, Vienošanos par GATT 1994 XVII panta interpretāciju, kā arī GATS VIII panta 1., 2. un 5. punktu.</w:t>
      </w:r>
    </w:p>
    <w:p w:rsidR="003E022D" w:rsidRDefault="007D19D6">
      <w:pPr>
        <w:pStyle w:val="Article"/>
        <w:rPr>
          <w:noProof/>
        </w:rPr>
      </w:pPr>
      <w:r>
        <w:rPr>
          <w:noProof/>
        </w:rPr>
        <w:t>4.4. pants. Vispārīgi noteikumi</w:t>
      </w:r>
    </w:p>
    <w:p w:rsidR="003E022D" w:rsidRDefault="007D19D6">
      <w:pPr>
        <w:numPr>
          <w:ilvl w:val="0"/>
          <w:numId w:val="1292"/>
        </w:numPr>
        <w:ind w:left="0" w:firstLine="0"/>
        <w:rPr>
          <w:rFonts w:cstheme="minorHAnsi"/>
          <w:noProof/>
        </w:rPr>
      </w:pPr>
      <w:r>
        <w:rPr>
          <w:noProof/>
        </w:rPr>
        <w:t>Neskarot katras P</w:t>
      </w:r>
      <w:r>
        <w:rPr>
          <w:noProof/>
        </w:rPr>
        <w:t>uses tiesības un pienākumus saskaņā ar šo nodaļu, nekas šajā nodaļā neliedz kādai Pusei izveidot vai saglabāt aptvertu vienību.</w:t>
      </w:r>
    </w:p>
    <w:p w:rsidR="003E022D" w:rsidRDefault="007D19D6">
      <w:pPr>
        <w:numPr>
          <w:ilvl w:val="0"/>
          <w:numId w:val="1292"/>
        </w:numPr>
        <w:ind w:left="0" w:firstLine="0"/>
        <w:rPr>
          <w:rFonts w:cstheme="minorHAnsi"/>
          <w:noProof/>
        </w:rPr>
      </w:pPr>
      <w:r>
        <w:rPr>
          <w:noProof/>
        </w:rPr>
        <w:t>Puse neprasa aptvertai vienībai vai nemudina to rīkoties tādā veidā, kas nav saderīgs ar šo nodaļu.</w:t>
      </w:r>
    </w:p>
    <w:p w:rsidR="003E022D" w:rsidRDefault="007D19D6">
      <w:pPr>
        <w:pStyle w:val="Article"/>
        <w:rPr>
          <w:noProof/>
        </w:rPr>
      </w:pPr>
      <w:r>
        <w:rPr>
          <w:noProof/>
        </w:rPr>
        <w:t>4.5. pants. Nediskriminējoša</w:t>
      </w:r>
      <w:r>
        <w:rPr>
          <w:noProof/>
        </w:rPr>
        <w:t xml:space="preserve"> attieksme un komercapsvērumi</w:t>
      </w:r>
    </w:p>
    <w:p w:rsidR="003E022D" w:rsidRDefault="007D19D6">
      <w:pPr>
        <w:numPr>
          <w:ilvl w:val="0"/>
          <w:numId w:val="1293"/>
        </w:numPr>
        <w:ind w:left="0" w:firstLine="0"/>
        <w:rPr>
          <w:rFonts w:cstheme="minorHAnsi"/>
          <w:noProof/>
        </w:rPr>
      </w:pPr>
      <w:r>
        <w:rPr>
          <w:noProof/>
        </w:rPr>
        <w:t>Katra Puse nodrošina, ka katra tās aptvertā vienība, iesaistoties komercdarbībā:</w:t>
      </w:r>
    </w:p>
    <w:p w:rsidR="003E022D" w:rsidRDefault="007D19D6">
      <w:pPr>
        <w:numPr>
          <w:ilvl w:val="1"/>
          <w:numId w:val="1293"/>
        </w:numPr>
        <w:ind w:left="567" w:hanging="567"/>
        <w:rPr>
          <w:rFonts w:cstheme="minorHAnsi"/>
          <w:noProof/>
        </w:rPr>
      </w:pPr>
      <w:r>
        <w:rPr>
          <w:noProof/>
        </w:rPr>
        <w:t>darbojas saskaņā ar komercapsvērumiem, pērkot vai pārdodot preces vai pakalpojumus, izņemot, ja tas notiek, lai izpildītu savus sabiedriskā pakal</w:t>
      </w:r>
      <w:r>
        <w:rPr>
          <w:noProof/>
        </w:rPr>
        <w:t>pojuma sniegšanas uzdevumus, kuri nav pretrunā ar b) vai c) apakšpunktu;</w:t>
      </w:r>
    </w:p>
    <w:p w:rsidR="003E022D" w:rsidRDefault="007D19D6">
      <w:pPr>
        <w:numPr>
          <w:ilvl w:val="1"/>
          <w:numId w:val="1293"/>
        </w:numPr>
        <w:ind w:left="567" w:hanging="567"/>
        <w:rPr>
          <w:rFonts w:cstheme="minorHAnsi"/>
          <w:noProof/>
        </w:rPr>
      </w:pPr>
      <w:r>
        <w:rPr>
          <w:noProof/>
        </w:rPr>
        <w:t>pērkot preces vai pakalpojumus:</w:t>
      </w:r>
    </w:p>
    <w:p w:rsidR="003E022D" w:rsidRDefault="007D19D6">
      <w:pPr>
        <w:numPr>
          <w:ilvl w:val="2"/>
          <w:numId w:val="1293"/>
        </w:numPr>
        <w:ind w:left="1276" w:hanging="567"/>
        <w:rPr>
          <w:noProof/>
          <w:color w:val="000000"/>
          <w:u w:color="000000"/>
          <w:bdr w:val="nil"/>
        </w:rPr>
      </w:pPr>
      <w:r>
        <w:rPr>
          <w:noProof/>
          <w:color w:val="000000"/>
          <w:u w:color="000000"/>
          <w:bdr w:val="nil"/>
        </w:rPr>
        <w:t xml:space="preserve">piešķir otras Puses uzņēmuma piegādātām precēm vai sniegtiem pakalpojumiem ne mazāk labvēlīgu režīmu par to, ko tā piešķir Puses pašas uzņēmumu </w:t>
      </w:r>
      <w:r>
        <w:rPr>
          <w:noProof/>
          <w:color w:val="000000"/>
          <w:u w:color="000000"/>
          <w:bdr w:val="nil"/>
        </w:rPr>
        <w:t>piegādātām līdzīgām precēm vai sniegtiem līdzīgiem pakalpojumiem, un</w:t>
      </w:r>
    </w:p>
    <w:p w:rsidR="003E022D" w:rsidRDefault="007D19D6">
      <w:pPr>
        <w:numPr>
          <w:ilvl w:val="2"/>
          <w:numId w:val="1293"/>
        </w:numPr>
        <w:ind w:left="1276" w:hanging="567"/>
        <w:rPr>
          <w:noProof/>
          <w:color w:val="000000"/>
          <w:u w:color="000000"/>
          <w:bdr w:val="nil"/>
        </w:rPr>
      </w:pPr>
      <w:r>
        <w:rPr>
          <w:noProof/>
          <w:color w:val="000000"/>
          <w:u w:color="000000"/>
          <w:bdr w:val="nil"/>
        </w:rPr>
        <w:t>piešķir precēm, ko Puses teritorijā piegādā aptverta vienība, vai pakalpojumiem, kurus Puses teritorijā sniedz aptverta vienība, ne mazāk labvēlīgu režīmu par to, ko tā piešķir Puses paša</w:t>
      </w:r>
      <w:r>
        <w:rPr>
          <w:noProof/>
          <w:color w:val="000000"/>
          <w:u w:color="000000"/>
          <w:bdr w:val="nil"/>
        </w:rPr>
        <w:t xml:space="preserve">s uzņēmumu piegādātām līdzīgām precēm vai sniegtiem līdzīgiem pakalpojumiem attiecīgajā tirgū šīs Puses teritorijā, un </w:t>
      </w:r>
    </w:p>
    <w:p w:rsidR="003E022D" w:rsidRDefault="007D19D6">
      <w:pPr>
        <w:numPr>
          <w:ilvl w:val="1"/>
          <w:numId w:val="1293"/>
        </w:numPr>
        <w:ind w:left="567" w:hanging="567"/>
        <w:rPr>
          <w:rFonts w:cstheme="minorHAnsi"/>
          <w:noProof/>
        </w:rPr>
      </w:pPr>
      <w:r>
        <w:rPr>
          <w:noProof/>
        </w:rPr>
        <w:t>pārdodot preces vai pakalpojumus:</w:t>
      </w:r>
    </w:p>
    <w:p w:rsidR="003E022D" w:rsidRDefault="007D19D6">
      <w:pPr>
        <w:numPr>
          <w:ilvl w:val="2"/>
          <w:numId w:val="1293"/>
        </w:numPr>
        <w:ind w:left="1276" w:hanging="567"/>
        <w:rPr>
          <w:noProof/>
          <w:color w:val="000000"/>
          <w:u w:color="000000"/>
          <w:bdr w:val="nil"/>
        </w:rPr>
      </w:pPr>
      <w:r>
        <w:rPr>
          <w:noProof/>
          <w:color w:val="000000"/>
          <w:u w:color="000000"/>
          <w:bdr w:val="nil"/>
        </w:rPr>
        <w:t xml:space="preserve">piešķir otras Puses uzņēmumam ne mazāk labvēlīgu režīmu par to, ko tā piešķir Puses pašas uzņēmumiem, </w:t>
      </w:r>
      <w:r>
        <w:rPr>
          <w:noProof/>
          <w:color w:val="000000"/>
          <w:u w:color="000000"/>
          <w:bdr w:val="nil"/>
        </w:rPr>
        <w:t xml:space="preserve">un </w:t>
      </w:r>
    </w:p>
    <w:p w:rsidR="003E022D" w:rsidRDefault="007D19D6">
      <w:pPr>
        <w:numPr>
          <w:ilvl w:val="2"/>
          <w:numId w:val="1293"/>
        </w:numPr>
        <w:ind w:left="1276" w:hanging="567"/>
        <w:rPr>
          <w:noProof/>
          <w:color w:val="000000"/>
          <w:u w:color="000000"/>
          <w:bdr w:val="nil"/>
        </w:rPr>
      </w:pPr>
      <w:r>
        <w:rPr>
          <w:noProof/>
          <w:color w:val="000000"/>
          <w:u w:color="000000"/>
          <w:bdr w:val="nil"/>
        </w:rPr>
        <w:t>piešķir aptvertai vienībai Puses teritorijā ne mazāk labvēlīgu režīmu par to, ko tā piešķir Puses pašas uzņēmumiem attiecīgajā tirgū šīs Puses teritorijā</w:t>
      </w:r>
      <w:r>
        <w:rPr>
          <w:rStyle w:val="FootnoteReference"/>
          <w:noProof/>
          <w:color w:val="000000"/>
          <w:u w:color="000000"/>
          <w:bdr w:val="nil"/>
          <w:lang w:val="fr-BE"/>
        </w:rPr>
        <w:footnoteReference w:id="61"/>
      </w:r>
      <w:r>
        <w:rPr>
          <w:noProof/>
          <w:color w:val="000000"/>
          <w:u w:color="000000"/>
          <w:bdr w:val="nil"/>
        </w:rPr>
        <w:t xml:space="preserve">. </w:t>
      </w:r>
    </w:p>
    <w:p w:rsidR="003E022D" w:rsidRDefault="007D19D6">
      <w:pPr>
        <w:numPr>
          <w:ilvl w:val="0"/>
          <w:numId w:val="1293"/>
        </w:numPr>
        <w:ind w:left="0" w:firstLine="0"/>
        <w:rPr>
          <w:rFonts w:cstheme="minorHAnsi"/>
          <w:noProof/>
        </w:rPr>
      </w:pPr>
      <w:r>
        <w:rPr>
          <w:noProof/>
        </w:rPr>
        <w:t>Šā panta 1. punkta *b) un c) apakšpunkts neliedz aptvertajai vienībai:</w:t>
      </w:r>
    </w:p>
    <w:p w:rsidR="003E022D" w:rsidRDefault="007D19D6">
      <w:pPr>
        <w:numPr>
          <w:ilvl w:val="1"/>
          <w:numId w:val="1293"/>
        </w:numPr>
        <w:ind w:left="567" w:hanging="567"/>
        <w:rPr>
          <w:rFonts w:cstheme="minorHAnsi"/>
          <w:noProof/>
        </w:rPr>
      </w:pPr>
      <w:r>
        <w:rPr>
          <w:noProof/>
        </w:rPr>
        <w:t>pirkt vai piegādāt prece</w:t>
      </w:r>
      <w:r>
        <w:rPr>
          <w:noProof/>
        </w:rPr>
        <w:t>s vai sniegt pakalpojumus uz atšķirīgiem nosacījumiem, tostarp nosacījumiem attiecībā uz cenu, ja minētie atšķirīgie nosacījumi ir balstīti uz komercapsvērumiem, vai</w:t>
      </w:r>
    </w:p>
    <w:p w:rsidR="003E022D" w:rsidRDefault="007D19D6">
      <w:pPr>
        <w:numPr>
          <w:ilvl w:val="1"/>
          <w:numId w:val="1293"/>
        </w:numPr>
        <w:ind w:left="567" w:hanging="567"/>
        <w:rPr>
          <w:rFonts w:cstheme="minorHAnsi"/>
          <w:noProof/>
        </w:rPr>
      </w:pPr>
      <w:r>
        <w:rPr>
          <w:noProof/>
        </w:rPr>
        <w:t>atteikties pirkt vai piegādāt preces vai sniegt pakalpojumus, ja šāds atteikums ir balstīt</w:t>
      </w:r>
      <w:r>
        <w:rPr>
          <w:noProof/>
        </w:rPr>
        <w:t>s uz komercapsvērumiem.</w:t>
      </w:r>
    </w:p>
    <w:p w:rsidR="003E022D" w:rsidRDefault="007D19D6">
      <w:pPr>
        <w:pStyle w:val="Article"/>
        <w:rPr>
          <w:noProof/>
        </w:rPr>
      </w:pPr>
      <w:r>
        <w:rPr>
          <w:noProof/>
        </w:rPr>
        <w:t>4.6. pants. Tiesiskais regulējums</w:t>
      </w:r>
    </w:p>
    <w:p w:rsidR="003E022D" w:rsidRDefault="007D19D6">
      <w:pPr>
        <w:numPr>
          <w:ilvl w:val="0"/>
          <w:numId w:val="1294"/>
        </w:numPr>
        <w:ind w:left="0" w:firstLine="0"/>
        <w:rPr>
          <w:rFonts w:cstheme="minorHAnsi"/>
          <w:noProof/>
        </w:rPr>
      </w:pPr>
      <w:r>
        <w:rPr>
          <w:noProof/>
        </w:rPr>
        <w:t>Katra Puse ievēro un maksimāli izmanto attiecīgos starptautiskos standartus, tai skaitā ESAO Pamatnostādnes par valsts uzņēmumu korporatīvo pārvaldību.</w:t>
      </w:r>
    </w:p>
    <w:p w:rsidR="003E022D" w:rsidRDefault="007D19D6">
      <w:pPr>
        <w:numPr>
          <w:ilvl w:val="0"/>
          <w:numId w:val="1294"/>
        </w:numPr>
        <w:ind w:left="0" w:firstLine="0"/>
        <w:rPr>
          <w:rFonts w:cstheme="minorHAnsi"/>
          <w:noProof/>
        </w:rPr>
      </w:pPr>
      <w:r>
        <w:rPr>
          <w:noProof/>
        </w:rPr>
        <w:t>Katra Puse nodrošina, ka jebkura regulatīvā ie</w:t>
      </w:r>
      <w:r>
        <w:rPr>
          <w:noProof/>
        </w:rPr>
        <w:t xml:space="preserve">stāde un jebkura cita iestāde, kas veic regulatīvas funkcijas un ko Puse izveido vai saglabā: </w:t>
      </w:r>
    </w:p>
    <w:p w:rsidR="003E022D" w:rsidRDefault="007D19D6">
      <w:pPr>
        <w:numPr>
          <w:ilvl w:val="1"/>
          <w:numId w:val="1294"/>
        </w:numPr>
        <w:ind w:left="567" w:hanging="567"/>
        <w:rPr>
          <w:rFonts w:cstheme="minorHAnsi"/>
          <w:noProof/>
        </w:rPr>
      </w:pPr>
      <w:r>
        <w:rPr>
          <w:noProof/>
        </w:rPr>
        <w:t xml:space="preserve">ir neatkarīga un neatskaitās nevienam no šīs iestādes regulētajiem uzņēmumiem un </w:t>
      </w:r>
    </w:p>
    <w:p w:rsidR="003E022D" w:rsidRDefault="007D19D6">
      <w:pPr>
        <w:numPr>
          <w:ilvl w:val="1"/>
          <w:numId w:val="1294"/>
        </w:numPr>
        <w:ind w:left="567" w:hanging="567"/>
        <w:rPr>
          <w:rFonts w:cstheme="minorHAnsi"/>
          <w:noProof/>
        </w:rPr>
      </w:pPr>
      <w:r>
        <w:rPr>
          <w:noProof/>
        </w:rPr>
        <w:t>līdzīgos apstākļos rīkojas objektīvi attiecībā uz visiem šīs iestādes regulētaj</w:t>
      </w:r>
      <w:r>
        <w:rPr>
          <w:noProof/>
        </w:rPr>
        <w:t xml:space="preserve">iem uzņēmumiem, tostarp aptvertām vienībām; objektivitāte, ar kādu iestāde īsteno savas regulatīvās funkcijas, ir jāvērtē, ņemot vērā minētās iestādes parasto darbības modeli vai praksi. </w:t>
      </w:r>
    </w:p>
    <w:p w:rsidR="003E022D" w:rsidRDefault="007D19D6">
      <w:pPr>
        <w:rPr>
          <w:rFonts w:cstheme="minorHAnsi"/>
          <w:noProof/>
        </w:rPr>
      </w:pPr>
      <w:r>
        <w:rPr>
          <w:noProof/>
        </w:rPr>
        <w:t xml:space="preserve">Nozarēs, kurās Puses šajā nolīgumā ir vienojušās par konkrētiem </w:t>
      </w:r>
      <w:r>
        <w:rPr>
          <w:noProof/>
        </w:rPr>
        <w:t>pienākumiem šai iestādei, prevalē attiecīgie šā nolīguma noteikumi.</w:t>
      </w:r>
    </w:p>
    <w:p w:rsidR="003E022D" w:rsidRDefault="007D19D6">
      <w:pPr>
        <w:numPr>
          <w:ilvl w:val="0"/>
          <w:numId w:val="1294"/>
        </w:numPr>
        <w:ind w:left="0" w:firstLine="0"/>
        <w:rPr>
          <w:rFonts w:cstheme="minorHAnsi"/>
          <w:noProof/>
        </w:rPr>
      </w:pPr>
      <w:r>
        <w:rPr>
          <w:noProof/>
        </w:rPr>
        <w:t>Katra Puse konsekventi un nediskriminējoši piemēro savus normatīvos aktus attiecībā uz aptvertām vienībām.</w:t>
      </w:r>
    </w:p>
    <w:p w:rsidR="003E022D" w:rsidRDefault="007D19D6">
      <w:pPr>
        <w:pStyle w:val="Article"/>
        <w:rPr>
          <w:noProof/>
        </w:rPr>
      </w:pPr>
      <w:r>
        <w:rPr>
          <w:noProof/>
        </w:rPr>
        <w:t>4.7. pants. Informācijas apmaiņa</w:t>
      </w:r>
    </w:p>
    <w:p w:rsidR="003E022D" w:rsidRDefault="007D19D6">
      <w:pPr>
        <w:numPr>
          <w:ilvl w:val="0"/>
          <w:numId w:val="1295"/>
        </w:numPr>
        <w:ind w:left="0" w:firstLine="0"/>
        <w:rPr>
          <w:rFonts w:cstheme="minorHAnsi"/>
          <w:noProof/>
        </w:rPr>
      </w:pPr>
      <w:r>
        <w:rPr>
          <w:noProof/>
        </w:rPr>
        <w:t xml:space="preserve">Puse, kurai ir iemesls uzskatīt, ka otras Puses </w:t>
      </w:r>
      <w:r>
        <w:rPr>
          <w:noProof/>
        </w:rPr>
        <w:t xml:space="preserve">aptvertas vienības komercdarbība negatīvi ietekmē tās intereses saskaņā ar šo nodaļu, var rakstiski pieprasīt otrai Pusei sniegt informāciju par minētās vienības komercdarbību, kas saistīta ar noteikumu izpildi saskaņā ar 2. punktu. </w:t>
      </w:r>
    </w:p>
    <w:p w:rsidR="003E022D" w:rsidRDefault="007D19D6">
      <w:pPr>
        <w:numPr>
          <w:ilvl w:val="0"/>
          <w:numId w:val="1295"/>
        </w:numPr>
        <w:ind w:left="0" w:firstLine="0"/>
        <w:rPr>
          <w:rFonts w:cstheme="minorHAnsi"/>
          <w:noProof/>
        </w:rPr>
      </w:pPr>
      <w:r>
        <w:rPr>
          <w:noProof/>
        </w:rPr>
        <w:t>Ar noteikumu, ka 1. pu</w:t>
      </w:r>
      <w:r>
        <w:rPr>
          <w:noProof/>
        </w:rPr>
        <w:t>nktā minētajā pieprasījumā ir iekļauts paskaidrojums par to, kā iestādes darbības var ietekmēt pieprasījuma iesniedzējas Puses intereses saskaņā ar šo nodaļu, un norādīts, kuras no turpmāk minētajām informācijas kategorijām ir jāsniedz, pieprasījuma saņēmē</w:t>
      </w:r>
      <w:r>
        <w:rPr>
          <w:noProof/>
        </w:rPr>
        <w:t>ja Puse sniedz šādu pieprasīto informāciju:</w:t>
      </w:r>
    </w:p>
    <w:p w:rsidR="003E022D" w:rsidRDefault="007D19D6">
      <w:pPr>
        <w:numPr>
          <w:ilvl w:val="1"/>
          <w:numId w:val="1295"/>
        </w:numPr>
        <w:ind w:left="567" w:hanging="567"/>
        <w:rPr>
          <w:rFonts w:cstheme="minorHAnsi"/>
          <w:noProof/>
        </w:rPr>
      </w:pPr>
      <w:r>
        <w:rPr>
          <w:noProof/>
        </w:rPr>
        <w:t>vienības īpašnieki un balsošanas struktūra, norādot akciju un balsstiesību kumulatīvo procentuālo daļu, kura šajā vienībā kumulatīvi pieder pieprasījuma saņēmējai Pusei un tās aptvertām struktūrām;</w:t>
      </w:r>
    </w:p>
    <w:p w:rsidR="003E022D" w:rsidRDefault="007D19D6">
      <w:pPr>
        <w:numPr>
          <w:ilvl w:val="1"/>
          <w:numId w:val="1295"/>
        </w:numPr>
        <w:ind w:left="567" w:hanging="567"/>
        <w:rPr>
          <w:rFonts w:cstheme="minorHAnsi"/>
          <w:noProof/>
        </w:rPr>
      </w:pPr>
      <w:r>
        <w:rPr>
          <w:noProof/>
        </w:rPr>
        <w:t xml:space="preserve">apraksts par īpašām akcijām vai īpašām balsstiesībām vai citām tiesībām, kas ir pieprasījuma saņēmējai Pusei un tās aptvertām struktūrām, ciktāl šādas tiesības atšķiras no tiesībām, kas saistītas ar vienības parastajām akcijām; </w:t>
      </w:r>
    </w:p>
    <w:p w:rsidR="003E022D" w:rsidRDefault="007D19D6">
      <w:pPr>
        <w:numPr>
          <w:ilvl w:val="1"/>
          <w:numId w:val="1295"/>
        </w:numPr>
        <w:ind w:left="567" w:hanging="567"/>
        <w:rPr>
          <w:rFonts w:cstheme="minorHAnsi"/>
          <w:noProof/>
        </w:rPr>
      </w:pPr>
      <w:r>
        <w:rPr>
          <w:noProof/>
        </w:rPr>
        <w:t>vienības organizatoriskās s</w:t>
      </w:r>
      <w:r>
        <w:rPr>
          <w:noProof/>
        </w:rPr>
        <w:t>truktūras apraksts un tās direktoru padomes vai līdzvērtīgas struktūras sastāvs;</w:t>
      </w:r>
    </w:p>
    <w:p w:rsidR="003E022D" w:rsidRDefault="007D19D6">
      <w:pPr>
        <w:numPr>
          <w:ilvl w:val="1"/>
          <w:numId w:val="1295"/>
        </w:numPr>
        <w:ind w:left="567" w:hanging="567"/>
        <w:rPr>
          <w:rFonts w:cstheme="minorHAnsi"/>
          <w:noProof/>
        </w:rPr>
      </w:pPr>
      <w:r>
        <w:rPr>
          <w:noProof/>
        </w:rPr>
        <w:t>apraksts par valdības struktūrvienībām vai publiskām iestādēm, kas regulē vai pārrauga vienību, apraksts par ziņošanas prasībām, kuras vienībai izvirzījušas minētās struktūrvi</w:t>
      </w:r>
      <w:r>
        <w:rPr>
          <w:noProof/>
        </w:rPr>
        <w:t xml:space="preserve">enības vai publiskās iestādes, kā arī apraksts par minēto struktūrvienību vai publisko iestāžu tiesībām un praksi attiecībā uz augstākā līmeņa vadītāju un direktoru padomes vai jebkādas citas līdzvērtīgas struktūras locekļu iecelšanu amatā, atbrīvošanu no </w:t>
      </w:r>
      <w:r>
        <w:rPr>
          <w:noProof/>
        </w:rPr>
        <w:t xml:space="preserve">amata vai atalgojumu; </w:t>
      </w:r>
    </w:p>
    <w:p w:rsidR="003E022D" w:rsidRDefault="007D19D6">
      <w:pPr>
        <w:numPr>
          <w:ilvl w:val="1"/>
          <w:numId w:val="1295"/>
        </w:numPr>
        <w:ind w:left="567" w:hanging="567"/>
        <w:rPr>
          <w:rFonts w:cstheme="minorHAnsi"/>
          <w:noProof/>
        </w:rPr>
      </w:pPr>
      <w:r>
        <w:rPr>
          <w:noProof/>
        </w:rPr>
        <w:t xml:space="preserve">vienības gada ieņēmumi un kopējie aktīvi par pēdējo trīs gadu periodu, par kuru informācija ir pieejama; </w:t>
      </w:r>
    </w:p>
    <w:p w:rsidR="003E022D" w:rsidRDefault="007D19D6">
      <w:pPr>
        <w:numPr>
          <w:ilvl w:val="1"/>
          <w:numId w:val="1295"/>
        </w:numPr>
        <w:ind w:left="567" w:hanging="567"/>
        <w:rPr>
          <w:rFonts w:cstheme="minorHAnsi"/>
          <w:noProof/>
        </w:rPr>
      </w:pPr>
      <w:r>
        <w:rPr>
          <w:noProof/>
        </w:rPr>
        <w:t>visi izņēmumi, atbrīvojumi un saistīti pasākumi, no kuriem vienība gūst labumu saskaņā ar pieprasījuma saņēmējas Puses normatīv</w:t>
      </w:r>
      <w:r>
        <w:rPr>
          <w:noProof/>
        </w:rPr>
        <w:t xml:space="preserve">ajiem aktiem, </w:t>
      </w:r>
    </w:p>
    <w:p w:rsidR="003E022D" w:rsidRDefault="007D19D6">
      <w:pPr>
        <w:numPr>
          <w:ilvl w:val="1"/>
          <w:numId w:val="1295"/>
        </w:numPr>
        <w:ind w:left="567" w:hanging="567"/>
        <w:rPr>
          <w:rFonts w:cstheme="minorHAnsi"/>
          <w:noProof/>
        </w:rPr>
      </w:pPr>
      <w:r>
        <w:rPr>
          <w:noProof/>
        </w:rPr>
        <w:t xml:space="preserve">jebkāda publiski pieejama papildu informācija par vienību, tostarp gada finanšu pārskati un trešo personu veiktu revīziju atzinumi. </w:t>
      </w:r>
    </w:p>
    <w:p w:rsidR="003E022D" w:rsidRDefault="007D19D6">
      <w:pPr>
        <w:numPr>
          <w:ilvl w:val="0"/>
          <w:numId w:val="1295"/>
        </w:numPr>
        <w:ind w:left="0" w:firstLine="0"/>
        <w:rPr>
          <w:rFonts w:cstheme="minorHAnsi"/>
          <w:noProof/>
        </w:rPr>
      </w:pPr>
      <w:r>
        <w:rPr>
          <w:noProof/>
        </w:rPr>
        <w:t>Šā panta 1. un 2. punkts neliek Pusei izpaust konfidenciālu informāciju, kuras izpaušana būtu pretrunā tās n</w:t>
      </w:r>
      <w:r>
        <w:rPr>
          <w:noProof/>
        </w:rPr>
        <w:t xml:space="preserve">ormatīvajiem aktiem, traucētu tiesībaizsardzību vai kā citādi būtu pretrunā sabiedrības interesēm vai kaitētu konkrētu uzņēmumu likumīgajām komercinteresēm. </w:t>
      </w:r>
    </w:p>
    <w:p w:rsidR="003E022D" w:rsidRDefault="007D19D6">
      <w:pPr>
        <w:numPr>
          <w:ilvl w:val="0"/>
          <w:numId w:val="1295"/>
        </w:numPr>
        <w:ind w:left="0" w:firstLine="0"/>
        <w:rPr>
          <w:rFonts w:cstheme="minorHAnsi"/>
          <w:noProof/>
        </w:rPr>
      </w:pPr>
      <w:r>
        <w:rPr>
          <w:noProof/>
        </w:rPr>
        <w:t>Ja pieprasītā informācija nav pieejama, pieprasījuma saņēmēja Puse rakstiski paziņo pieprasījuma i</w:t>
      </w:r>
      <w:r>
        <w:rPr>
          <w:noProof/>
        </w:rPr>
        <w:t>esniedzējai Pusei iemeslus, kāpēc šī informācija nav pieejama.</w:t>
      </w:r>
    </w:p>
    <w:p w:rsidR="003E022D" w:rsidRDefault="007D19D6">
      <w:pPr>
        <w:pStyle w:val="Chapter"/>
        <w:rPr>
          <w:noProof/>
        </w:rPr>
      </w:pPr>
      <w:r>
        <w:rPr>
          <w:noProof/>
        </w:rPr>
        <w:t>Piektā nodaļa. Nodokļu politika</w:t>
      </w:r>
    </w:p>
    <w:p w:rsidR="003E022D" w:rsidRDefault="007D19D6">
      <w:pPr>
        <w:pStyle w:val="Article"/>
        <w:rPr>
          <w:noProof/>
        </w:rPr>
      </w:pPr>
      <w:r>
        <w:rPr>
          <w:noProof/>
        </w:rPr>
        <w:t>5.1. pants. Laba pārvaldība</w:t>
      </w:r>
    </w:p>
    <w:p w:rsidR="003E022D" w:rsidRDefault="007D19D6">
      <w:pPr>
        <w:rPr>
          <w:rFonts w:cstheme="minorHAnsi"/>
          <w:noProof/>
        </w:rPr>
      </w:pPr>
      <w:r>
        <w:rPr>
          <w:noProof/>
        </w:rPr>
        <w:t>Puses atzīst un apņemas īstenot labas pārvaldības principus nodokļu jomā, jo īpaši globālos standartus attiecībā uz nodokļu pārredzam</w:t>
      </w:r>
      <w:r>
        <w:rPr>
          <w:noProof/>
        </w:rPr>
        <w:t>ību un informācijas apmaiņu, kā arī godīgu konkurenci nodokļu jomā. Puses atkārtoti pauž atbalstu ESAO Rīcības plānam par nodokļu bāzes samazināšanu un peļņas novirzīšanu (</w:t>
      </w:r>
      <w:r>
        <w:rPr>
          <w:i/>
          <w:noProof/>
        </w:rPr>
        <w:t>BEPS</w:t>
      </w:r>
      <w:r>
        <w:rPr>
          <w:noProof/>
        </w:rPr>
        <w:t>) un apstiprina savu apņemšanos īstenot ESAO minimālos standartus cīņai pret nod</w:t>
      </w:r>
      <w:r>
        <w:rPr>
          <w:noProof/>
        </w:rPr>
        <w:t>okļu bāzes samazināšanu un peļņas novirzīšanu. Puses veicinās labu pārvaldību nodokļu jautājumos, uzlabos starptautisko sadarbību nodokļu jomā un sekmēs nodokļu ieņēmumu iekasēšanu.</w:t>
      </w:r>
    </w:p>
    <w:p w:rsidR="003E022D" w:rsidRDefault="007D19D6">
      <w:pPr>
        <w:pStyle w:val="Article"/>
        <w:rPr>
          <w:noProof/>
        </w:rPr>
      </w:pPr>
      <w:r>
        <w:rPr>
          <w:noProof/>
        </w:rPr>
        <w:t>5.2. pants. Nodokļu standarti</w:t>
      </w:r>
    </w:p>
    <w:p w:rsidR="003E022D" w:rsidRDefault="007D19D6">
      <w:pPr>
        <w:numPr>
          <w:ilvl w:val="0"/>
          <w:numId w:val="1329"/>
        </w:numPr>
        <w:ind w:left="0" w:firstLine="0"/>
        <w:rPr>
          <w:rFonts w:cstheme="minorHAnsi"/>
          <w:noProof/>
        </w:rPr>
      </w:pPr>
      <w:r>
        <w:rPr>
          <w:noProof/>
        </w:rPr>
        <w:t>Puse pārejas perioda beigās nepazemina vai n</w:t>
      </w:r>
      <w:r>
        <w:rPr>
          <w:noProof/>
        </w:rPr>
        <w:t>esamazina tās tiesību aktos paredzēto aizsardzības līmeni zem līmeņa, kas paredzēts standartos un noteikumos, par kuriem pārejas perioda beigās ir panākta vienošanās ESAO ietvaros attiecībā uz:</w:t>
      </w:r>
    </w:p>
    <w:p w:rsidR="003E022D" w:rsidRDefault="007D19D6">
      <w:pPr>
        <w:numPr>
          <w:ilvl w:val="0"/>
          <w:numId w:val="1330"/>
        </w:numPr>
        <w:ind w:left="567" w:hanging="567"/>
        <w:rPr>
          <w:rFonts w:cstheme="minorHAnsi"/>
          <w:noProof/>
        </w:rPr>
      </w:pPr>
      <w:r>
        <w:rPr>
          <w:noProof/>
        </w:rPr>
        <w:t>informācijas apmaiņu (pēc pieprasījuma, spontāni vai automātis</w:t>
      </w:r>
      <w:r>
        <w:rPr>
          <w:noProof/>
        </w:rPr>
        <w:t xml:space="preserve">ki) par finanšu pārskatiem, pārrobežu mēroga nodokļu nolēmumiem, pārskatiem par katru valsti starp nodokļu administrācijām un potenciālajām pārrobežu nodokļu plānošanas shēmām; </w:t>
      </w:r>
    </w:p>
    <w:p w:rsidR="003E022D" w:rsidRDefault="007D19D6">
      <w:pPr>
        <w:numPr>
          <w:ilvl w:val="0"/>
          <w:numId w:val="1330"/>
        </w:numPr>
        <w:ind w:left="567" w:hanging="567"/>
        <w:rPr>
          <w:rFonts w:cstheme="minorHAnsi"/>
          <w:noProof/>
        </w:rPr>
      </w:pPr>
      <w:r>
        <w:rPr>
          <w:noProof/>
        </w:rPr>
        <w:t>noteikumiem par procentu ierobežošanu, kontrolētiem ārvalstu uzņēmumiem un hib</w:t>
      </w:r>
      <w:r>
        <w:rPr>
          <w:noProof/>
        </w:rPr>
        <w:t>rīdneatbilstībām.</w:t>
      </w:r>
    </w:p>
    <w:p w:rsidR="003E022D" w:rsidRDefault="007D19D6">
      <w:pPr>
        <w:numPr>
          <w:ilvl w:val="0"/>
          <w:numId w:val="1329"/>
        </w:numPr>
        <w:ind w:left="0" w:firstLine="0"/>
        <w:rPr>
          <w:rFonts w:cstheme="minorHAnsi"/>
          <w:noProof/>
        </w:rPr>
      </w:pPr>
      <w:r>
        <w:rPr>
          <w:noProof/>
        </w:rPr>
        <w:t>Puse nepazemina vai nesamazina aizsardzības līmeni, kas pārejas perioda beigās paredzēts tās tiesību aktos attiecībā uz kredītiestāžu un ieguldījumu brokeru sabiedrību (izņemot nelielas un savstarpēji nesaistītas ieguldījumu brokeru sabie</w:t>
      </w:r>
      <w:r>
        <w:rPr>
          <w:noProof/>
        </w:rPr>
        <w:t>drības) publisku pārskatu sniegšanu par katru valsti.</w:t>
      </w:r>
    </w:p>
    <w:p w:rsidR="003E022D" w:rsidRDefault="007D19D6">
      <w:pPr>
        <w:pStyle w:val="Article"/>
        <w:rPr>
          <w:noProof/>
        </w:rPr>
      </w:pPr>
      <w:r>
        <w:rPr>
          <w:noProof/>
        </w:rPr>
        <w:t>5.3. pants. Strīdu izšķiršana</w:t>
      </w:r>
    </w:p>
    <w:p w:rsidR="003E022D" w:rsidRDefault="007D19D6">
      <w:pPr>
        <w:rPr>
          <w:rFonts w:cstheme="minorHAnsi"/>
          <w:noProof/>
        </w:rPr>
      </w:pPr>
      <w:r>
        <w:rPr>
          <w:noProof/>
        </w:rPr>
        <w:t>Uz šo nodaļu neattiecas strīdu izšķiršana saskaņā ar sestās daļas [Strīdu izšķiršana un horizontālie noteikumi] I sadaļu [Strīdu izšķiršana].</w:t>
      </w:r>
    </w:p>
    <w:p w:rsidR="003E022D" w:rsidRDefault="007D19D6">
      <w:pPr>
        <w:pStyle w:val="Chapter"/>
        <w:rPr>
          <w:noProof/>
        </w:rPr>
      </w:pPr>
      <w:r>
        <w:rPr>
          <w:noProof/>
        </w:rPr>
        <w:t>Sestā nodaļa. Darba un sociāli</w:t>
      </w:r>
      <w:r>
        <w:rPr>
          <w:noProof/>
        </w:rPr>
        <w:t>e standarti</w:t>
      </w:r>
    </w:p>
    <w:p w:rsidR="003E022D" w:rsidRDefault="007D19D6">
      <w:pPr>
        <w:pStyle w:val="Article"/>
        <w:rPr>
          <w:noProof/>
        </w:rPr>
      </w:pPr>
      <w:r>
        <w:rPr>
          <w:noProof/>
        </w:rPr>
        <w:t>6.1. pants. Definīcija</w:t>
      </w:r>
    </w:p>
    <w:p w:rsidR="003E022D" w:rsidRDefault="007D19D6">
      <w:pPr>
        <w:numPr>
          <w:ilvl w:val="0"/>
          <w:numId w:val="1331"/>
        </w:numPr>
        <w:ind w:left="0" w:firstLine="0"/>
        <w:rPr>
          <w:rFonts w:cstheme="minorHAnsi"/>
          <w:noProof/>
        </w:rPr>
      </w:pPr>
      <w:r>
        <w:rPr>
          <w:noProof/>
        </w:rPr>
        <w:t>Šajā nodaļā “darba un sociālās aizsardzības līmenis” ir aizsardzības līmenis, kas vispārēji paredzēts Pušu tiesībās un standartos</w:t>
      </w:r>
      <w:r>
        <w:rPr>
          <w:rStyle w:val="FootnoteReference"/>
          <w:rFonts w:cstheme="minorHAnsi"/>
          <w:noProof/>
        </w:rPr>
        <w:footnoteReference w:id="62"/>
      </w:r>
      <w:r>
        <w:rPr>
          <w:noProof/>
        </w:rPr>
        <w:t xml:space="preserve"> katrā no šādām jomām:</w:t>
      </w:r>
    </w:p>
    <w:p w:rsidR="003E022D" w:rsidRDefault="007D19D6">
      <w:pPr>
        <w:numPr>
          <w:ilvl w:val="0"/>
          <w:numId w:val="1332"/>
        </w:numPr>
        <w:ind w:left="567" w:hanging="567"/>
        <w:rPr>
          <w:rFonts w:cstheme="minorHAnsi"/>
          <w:noProof/>
        </w:rPr>
      </w:pPr>
      <w:r>
        <w:rPr>
          <w:noProof/>
        </w:rPr>
        <w:t>pamattiesības darbā;</w:t>
      </w:r>
    </w:p>
    <w:p w:rsidR="003E022D" w:rsidRDefault="007D19D6">
      <w:pPr>
        <w:numPr>
          <w:ilvl w:val="0"/>
          <w:numId w:val="1332"/>
        </w:numPr>
        <w:ind w:left="567" w:hanging="567"/>
        <w:rPr>
          <w:rFonts w:cstheme="minorHAnsi"/>
          <w:noProof/>
        </w:rPr>
      </w:pPr>
      <w:r>
        <w:rPr>
          <w:noProof/>
        </w:rPr>
        <w:t>arodveselības un darba drošības standarti;</w:t>
      </w:r>
    </w:p>
    <w:p w:rsidR="003E022D" w:rsidRDefault="007D19D6">
      <w:pPr>
        <w:numPr>
          <w:ilvl w:val="0"/>
          <w:numId w:val="1332"/>
        </w:numPr>
        <w:ind w:left="567" w:hanging="567"/>
        <w:rPr>
          <w:rFonts w:cstheme="minorHAnsi"/>
          <w:noProof/>
        </w:rPr>
      </w:pPr>
      <w:r>
        <w:rPr>
          <w:noProof/>
        </w:rPr>
        <w:t xml:space="preserve">taisnīgi darba apstākļi un nodarbinātības standarti; </w:t>
      </w:r>
    </w:p>
    <w:p w:rsidR="003E022D" w:rsidRDefault="007D19D6">
      <w:pPr>
        <w:numPr>
          <w:ilvl w:val="0"/>
          <w:numId w:val="1332"/>
        </w:numPr>
        <w:ind w:left="567" w:hanging="567"/>
        <w:rPr>
          <w:rFonts w:cstheme="minorHAnsi"/>
          <w:noProof/>
        </w:rPr>
      </w:pPr>
      <w:r>
        <w:rPr>
          <w:noProof/>
        </w:rPr>
        <w:t xml:space="preserve">tiesības uz informāciju un uzklausīšanu uzņēmuma līmenī vai </w:t>
      </w:r>
    </w:p>
    <w:p w:rsidR="003E022D" w:rsidRDefault="007D19D6">
      <w:pPr>
        <w:numPr>
          <w:ilvl w:val="0"/>
          <w:numId w:val="1332"/>
        </w:numPr>
        <w:ind w:left="567" w:hanging="567"/>
        <w:rPr>
          <w:rFonts w:cstheme="minorHAnsi"/>
          <w:noProof/>
        </w:rPr>
      </w:pPr>
      <w:r>
        <w:rPr>
          <w:noProof/>
        </w:rPr>
        <w:t>uzņēmumu pārstrukturēšana.</w:t>
      </w:r>
    </w:p>
    <w:p w:rsidR="003E022D" w:rsidRDefault="007D19D6">
      <w:pPr>
        <w:numPr>
          <w:ilvl w:val="0"/>
          <w:numId w:val="1331"/>
        </w:numPr>
        <w:ind w:left="0" w:firstLine="0"/>
        <w:rPr>
          <w:rFonts w:cstheme="minorHAnsi"/>
          <w:noProof/>
        </w:rPr>
      </w:pPr>
      <w:r>
        <w:rPr>
          <w:noProof/>
        </w:rPr>
        <w:t xml:space="preserve">Attiecībā uz Savienību “darba un sociālās aizsardzības līmenis” ir darba un sociālās aizsardzības līmenis, kas ir </w:t>
      </w:r>
      <w:r>
        <w:rPr>
          <w:noProof/>
        </w:rPr>
        <w:t>piemērojams visām dalībvalstīm un tajās un kas ir kopīgs visām dalībvalstīm.</w:t>
      </w:r>
    </w:p>
    <w:p w:rsidR="003E022D" w:rsidRDefault="007D19D6">
      <w:pPr>
        <w:pStyle w:val="Article"/>
        <w:rPr>
          <w:noProof/>
        </w:rPr>
      </w:pPr>
      <w:r>
        <w:rPr>
          <w:noProof/>
        </w:rPr>
        <w:t>6.2. pants. Aizsardzības līmeņa nepazemināšana</w:t>
      </w:r>
    </w:p>
    <w:p w:rsidR="003E022D" w:rsidRDefault="007D19D6">
      <w:pPr>
        <w:numPr>
          <w:ilvl w:val="0"/>
          <w:numId w:val="1333"/>
        </w:numPr>
        <w:ind w:left="0" w:firstLine="0"/>
        <w:rPr>
          <w:rFonts w:cstheme="minorHAnsi"/>
          <w:noProof/>
        </w:rPr>
      </w:pPr>
      <w:r>
        <w:rPr>
          <w:noProof/>
        </w:rPr>
        <w:t>Puses apstiprina katras Puses tiesības noteikt savu politiku un prioritātes šīs nodaļas aptvertajās jomās, noteikt darba un sociālās</w:t>
      </w:r>
      <w:r>
        <w:rPr>
          <w:noProof/>
        </w:rPr>
        <w:t xml:space="preserve"> aizsardzības līmeni, ko tā uzskata par piemērotiem, un pieņemt vai grozīt savas tiesības un politiku tādā veidā, kas atbilst katras Puses starptautiskajām saistībām, tostarp saistībām saskaņā ar šo nodaļu. </w:t>
      </w:r>
    </w:p>
    <w:p w:rsidR="003E022D" w:rsidRDefault="007D19D6">
      <w:pPr>
        <w:numPr>
          <w:ilvl w:val="0"/>
          <w:numId w:val="1333"/>
        </w:numPr>
        <w:ind w:left="0" w:firstLine="0"/>
        <w:rPr>
          <w:rFonts w:cstheme="minorHAnsi"/>
          <w:noProof/>
        </w:rPr>
      </w:pPr>
      <w:r>
        <w:rPr>
          <w:noProof/>
        </w:rPr>
        <w:t>Puse veidā, kas ietekmē tirdzniecību vai investī</w:t>
      </w:r>
      <w:r>
        <w:rPr>
          <w:noProof/>
        </w:rPr>
        <w:t>cijas Pušu starpā, nevājina vai nesamazina darba un sociālās aizsardzības līmeni zem līmeņa, kas ir spēkā pārejas perioda beigās, tostarp nespējot efektīvi īstenot savas tiesības un standartus.</w:t>
      </w:r>
    </w:p>
    <w:p w:rsidR="003E022D" w:rsidRDefault="007D19D6">
      <w:pPr>
        <w:numPr>
          <w:ilvl w:val="0"/>
          <w:numId w:val="1333"/>
        </w:numPr>
        <w:ind w:left="0" w:firstLine="0"/>
        <w:rPr>
          <w:rFonts w:cstheme="minorHAnsi"/>
          <w:noProof/>
        </w:rPr>
      </w:pPr>
      <w:r>
        <w:rPr>
          <w:noProof/>
        </w:rPr>
        <w:t xml:space="preserve">Puses atzīst, ka katra Puse patur tiesības izmantot saprātīgu </w:t>
      </w:r>
      <w:r>
        <w:rPr>
          <w:noProof/>
        </w:rPr>
        <w:t xml:space="preserve">rīcības brīvību un pieņemt </w:t>
      </w:r>
      <w:r>
        <w:rPr>
          <w:i/>
          <w:noProof/>
        </w:rPr>
        <w:t>bona fide</w:t>
      </w:r>
      <w:r>
        <w:rPr>
          <w:noProof/>
        </w:rPr>
        <w:t xml:space="preserve"> lēmumus par darbaspēka tiesību aktu izpildei nepieciešamo resursu piešķiršanu citām darba tiesību jomām, kurām ir noteikta augstāka prioritāte, ar nosacījumu, ka minētās rīcības brīvības izmantošana un minētie lēmumi na</w:t>
      </w:r>
      <w:r>
        <w:rPr>
          <w:noProof/>
        </w:rPr>
        <w:t>v pretrunā Puses pienākumiem saskaņā ar šo nodaļu.</w:t>
      </w:r>
    </w:p>
    <w:p w:rsidR="003E022D" w:rsidRDefault="007D19D6">
      <w:pPr>
        <w:numPr>
          <w:ilvl w:val="0"/>
          <w:numId w:val="1333"/>
        </w:numPr>
        <w:ind w:left="0" w:firstLine="0"/>
        <w:rPr>
          <w:rFonts w:cstheme="minorHAnsi"/>
          <w:noProof/>
        </w:rPr>
      </w:pPr>
      <w:r>
        <w:rPr>
          <w:noProof/>
        </w:rPr>
        <w:t>Puses cenšas turpināt paaugstināt savu attiecīgo darba un sociālās aizsardzības līmeni, kas minēts šajā nodaļā.</w:t>
      </w:r>
    </w:p>
    <w:p w:rsidR="003E022D" w:rsidRDefault="007D19D6">
      <w:pPr>
        <w:pStyle w:val="Article"/>
        <w:rPr>
          <w:noProof/>
        </w:rPr>
      </w:pPr>
      <w:r>
        <w:rPr>
          <w:noProof/>
        </w:rPr>
        <w:t>6.3. pants. Izpilde</w:t>
      </w:r>
    </w:p>
    <w:p w:rsidR="003E022D" w:rsidRDefault="007D19D6">
      <w:pPr>
        <w:rPr>
          <w:rFonts w:cstheme="minorHAnsi"/>
          <w:noProof/>
        </w:rPr>
      </w:pPr>
      <w:r>
        <w:rPr>
          <w:noProof/>
        </w:rPr>
        <w:t>Izpildes nolūkos, kā minēts 6.2. pantā [Aizsardzības līmeņa nepazemināšan</w:t>
      </w:r>
      <w:r>
        <w:rPr>
          <w:noProof/>
        </w:rPr>
        <w:t>a], katra Puse ievieš un saglabā efektīvas iekšzemes izpildes sistēmu un jo īpaši efektīvu darba inspekciju sistēmu saskaņā ar tās starptautiskajām saistībām attiecībā uz darba apstākļiem un darba ņēmēju aizsardzību; nodrošina, ka ir pieejamas administratī</w:t>
      </w:r>
      <w:r>
        <w:rPr>
          <w:noProof/>
        </w:rPr>
        <w:t>vas un tiesvedības procedūras, kas ļauj publiskajām iestādēm un privātpersonām laicīgi celt prasības saistībā ar darba tiesību un sociālo standartu pārkāpumiem; un paredz piemērotus un efektīvus tiesiskās aizsardzības līdzekļus, tostarp pagaidu aizsardzība</w:t>
      </w:r>
      <w:r>
        <w:rPr>
          <w:noProof/>
        </w:rPr>
        <w:t>s pasākumus, kā arī samērīgas un atturošas sankcijas. Iekšzemē īstenojot un izpildot 6.2. panta [Aizsardzības līmeņa nepazemināšana] noteikumus, katra Puse respektē sociālo partneru lomu un autonomiju valsts līmenī – vajadzības gadījumā saskaņā ar piemēroj</w:t>
      </w:r>
      <w:r>
        <w:rPr>
          <w:noProof/>
        </w:rPr>
        <w:t>amām tiesībām un praksi.</w:t>
      </w:r>
    </w:p>
    <w:p w:rsidR="003E022D" w:rsidRDefault="007D19D6">
      <w:pPr>
        <w:pStyle w:val="Article"/>
        <w:rPr>
          <w:noProof/>
        </w:rPr>
      </w:pPr>
      <w:r>
        <w:rPr>
          <w:noProof/>
        </w:rPr>
        <w:t>6.4. pants. Strīdu izšķiršana</w:t>
      </w:r>
    </w:p>
    <w:p w:rsidR="003E022D" w:rsidRDefault="007D19D6">
      <w:pPr>
        <w:numPr>
          <w:ilvl w:val="0"/>
          <w:numId w:val="1334"/>
        </w:numPr>
        <w:ind w:left="0" w:firstLine="0"/>
        <w:rPr>
          <w:noProof/>
        </w:rPr>
      </w:pPr>
      <w:r>
        <w:rPr>
          <w:noProof/>
        </w:rPr>
        <w:t>Puses dara visu iespējamo, izmantojot dialogu, apspriešanos, informācijas apmaiņu un sadarbību, lai risinātu jebkādas domstarpības par šīs nodaļas piemērošanu. </w:t>
      </w:r>
    </w:p>
    <w:p w:rsidR="003E022D" w:rsidRDefault="007D19D6">
      <w:pPr>
        <w:numPr>
          <w:ilvl w:val="0"/>
          <w:numId w:val="1334"/>
        </w:numPr>
        <w:ind w:left="0" w:firstLine="0"/>
        <w:rPr>
          <w:noProof/>
        </w:rPr>
      </w:pPr>
      <w:r>
        <w:rPr>
          <w:noProof/>
        </w:rPr>
        <w:t xml:space="preserve">Atkāpjoties no sestās daļas [Strīdu izšķiršana un horizontālie noteikumi] I sadaļas [Strīdu izšķiršana], ja starp Pusēm rodas domstarpības par šīs nodaļas piemērošanu, tad Puses izmanto tikai tās procedūras, kas noteiktas saskaņā ar šīs sadaļas 9.1. pantu </w:t>
      </w:r>
      <w:r>
        <w:rPr>
          <w:noProof/>
        </w:rPr>
        <w:t xml:space="preserve">[Apspriedes], 9.2. pantu [Ekspertu grupa] un 9.3. pantu [Ekspertu grupa aizsardzības līmeņa nepazemināšanas jomās]. </w:t>
      </w:r>
    </w:p>
    <w:p w:rsidR="003E022D" w:rsidRDefault="007D19D6">
      <w:pPr>
        <w:pStyle w:val="Chapter"/>
        <w:rPr>
          <w:noProof/>
        </w:rPr>
      </w:pPr>
      <w:r>
        <w:rPr>
          <w:noProof/>
        </w:rPr>
        <w:t>Septītā nodaļa. Vide un klimats</w:t>
      </w:r>
    </w:p>
    <w:p w:rsidR="003E022D" w:rsidRDefault="007D19D6">
      <w:pPr>
        <w:pStyle w:val="Article"/>
        <w:rPr>
          <w:noProof/>
        </w:rPr>
      </w:pPr>
      <w:r>
        <w:rPr>
          <w:noProof/>
        </w:rPr>
        <w:t>7.1. pants. Definīcijas</w:t>
      </w:r>
    </w:p>
    <w:p w:rsidR="003E022D" w:rsidRDefault="007D19D6">
      <w:pPr>
        <w:numPr>
          <w:ilvl w:val="0"/>
          <w:numId w:val="1335"/>
        </w:numPr>
        <w:ind w:left="0" w:firstLine="0"/>
        <w:rPr>
          <w:rFonts w:cstheme="minorHAnsi"/>
          <w:noProof/>
        </w:rPr>
      </w:pPr>
      <w:r>
        <w:rPr>
          <w:noProof/>
        </w:rPr>
        <w:t>Šajā nodaļā “vides aizsardzības līmenis” ir aizsardzības līmenis, kurš vispārēji pa</w:t>
      </w:r>
      <w:r>
        <w:rPr>
          <w:noProof/>
        </w:rPr>
        <w:t>redzēts Puses tiesībās un kura nolūks ir aizsargāt vidi, tostarp novērst vides ietekmes radītos draudus cilvēku dzīvībai vai veselībai, tai skaitā katrā no šādām jomām:</w:t>
      </w:r>
    </w:p>
    <w:p w:rsidR="003E022D" w:rsidRDefault="007D19D6">
      <w:pPr>
        <w:numPr>
          <w:ilvl w:val="0"/>
          <w:numId w:val="1336"/>
        </w:numPr>
        <w:ind w:left="567" w:hanging="567"/>
        <w:rPr>
          <w:rFonts w:cstheme="minorHAnsi"/>
          <w:noProof/>
        </w:rPr>
      </w:pPr>
      <w:r>
        <w:rPr>
          <w:noProof/>
        </w:rPr>
        <w:t xml:space="preserve">rūpnieciskās emisijas; </w:t>
      </w:r>
    </w:p>
    <w:p w:rsidR="003E022D" w:rsidRDefault="007D19D6">
      <w:pPr>
        <w:numPr>
          <w:ilvl w:val="0"/>
          <w:numId w:val="1336"/>
        </w:numPr>
        <w:ind w:left="567" w:hanging="567"/>
        <w:rPr>
          <w:rFonts w:cstheme="minorHAnsi"/>
          <w:noProof/>
        </w:rPr>
      </w:pPr>
      <w:r>
        <w:rPr>
          <w:noProof/>
        </w:rPr>
        <w:t xml:space="preserve">emisijas gaisā un gaisa kvalitāte; </w:t>
      </w:r>
    </w:p>
    <w:p w:rsidR="003E022D" w:rsidRDefault="007D19D6">
      <w:pPr>
        <w:numPr>
          <w:ilvl w:val="0"/>
          <w:numId w:val="1336"/>
        </w:numPr>
        <w:ind w:left="567" w:hanging="567"/>
        <w:rPr>
          <w:rFonts w:cstheme="minorHAnsi"/>
          <w:noProof/>
        </w:rPr>
      </w:pPr>
      <w:r>
        <w:rPr>
          <w:noProof/>
        </w:rPr>
        <w:t xml:space="preserve">dabas un bioloģiskās daudzveidības saglabāšana; </w:t>
      </w:r>
    </w:p>
    <w:p w:rsidR="003E022D" w:rsidRDefault="007D19D6">
      <w:pPr>
        <w:numPr>
          <w:ilvl w:val="0"/>
          <w:numId w:val="1336"/>
        </w:numPr>
        <w:ind w:left="567" w:hanging="567"/>
        <w:rPr>
          <w:rFonts w:cstheme="minorHAnsi"/>
          <w:noProof/>
        </w:rPr>
      </w:pPr>
      <w:r>
        <w:rPr>
          <w:noProof/>
        </w:rPr>
        <w:t xml:space="preserve">atkritumu apsaimniekošana; </w:t>
      </w:r>
    </w:p>
    <w:p w:rsidR="003E022D" w:rsidRDefault="007D19D6">
      <w:pPr>
        <w:numPr>
          <w:ilvl w:val="0"/>
          <w:numId w:val="1336"/>
        </w:numPr>
        <w:ind w:left="567" w:hanging="567"/>
        <w:rPr>
          <w:rFonts w:cstheme="minorHAnsi"/>
          <w:noProof/>
        </w:rPr>
      </w:pPr>
      <w:r>
        <w:rPr>
          <w:noProof/>
        </w:rPr>
        <w:t xml:space="preserve">ūdensvides aizsardzība un saglabāšana; </w:t>
      </w:r>
    </w:p>
    <w:p w:rsidR="003E022D" w:rsidRDefault="007D19D6">
      <w:pPr>
        <w:numPr>
          <w:ilvl w:val="0"/>
          <w:numId w:val="1336"/>
        </w:numPr>
        <w:ind w:left="567" w:hanging="567"/>
        <w:rPr>
          <w:rFonts w:cstheme="minorHAnsi"/>
          <w:noProof/>
        </w:rPr>
      </w:pPr>
      <w:r>
        <w:rPr>
          <w:noProof/>
        </w:rPr>
        <w:t xml:space="preserve">jūras vides aizsardzība un saglabāšana; </w:t>
      </w:r>
    </w:p>
    <w:p w:rsidR="003E022D" w:rsidRDefault="007D19D6">
      <w:pPr>
        <w:numPr>
          <w:ilvl w:val="0"/>
          <w:numId w:val="1336"/>
        </w:numPr>
        <w:ind w:left="567" w:hanging="567"/>
        <w:rPr>
          <w:rFonts w:cstheme="minorHAnsi"/>
          <w:noProof/>
        </w:rPr>
      </w:pPr>
      <w:r>
        <w:rPr>
          <w:noProof/>
        </w:rPr>
        <w:t>ķīmisko vielu ražošanas, izmantošanas, izdalīšanās vai likvidēšanas radīto cilvēku veselības vai a</w:t>
      </w:r>
      <w:r>
        <w:rPr>
          <w:noProof/>
        </w:rPr>
        <w:t>pkārtējās vides apdraudējumu novēršana, samazināšana vai likvidēšana, vai</w:t>
      </w:r>
    </w:p>
    <w:p w:rsidR="003E022D" w:rsidRDefault="007D19D6">
      <w:pPr>
        <w:numPr>
          <w:ilvl w:val="0"/>
          <w:numId w:val="1336"/>
        </w:numPr>
        <w:ind w:left="567" w:hanging="567"/>
        <w:rPr>
          <w:rFonts w:cstheme="minorHAnsi"/>
          <w:noProof/>
        </w:rPr>
      </w:pPr>
      <w:r>
        <w:rPr>
          <w:noProof/>
        </w:rPr>
        <w:t>tādas ietekmes uz vidi pārvaldīšana, kuru izraisa lauksaimnieciskā vai pārtikas ražošana, jo īpaši antibiotiku un atsārņotāju pielietošanas rezultātā.</w:t>
      </w:r>
    </w:p>
    <w:p w:rsidR="003E022D" w:rsidRDefault="007D19D6">
      <w:pPr>
        <w:numPr>
          <w:ilvl w:val="0"/>
          <w:numId w:val="1335"/>
        </w:numPr>
        <w:ind w:left="0" w:firstLine="0"/>
        <w:rPr>
          <w:rFonts w:cstheme="minorHAnsi"/>
          <w:noProof/>
        </w:rPr>
      </w:pPr>
      <w:r>
        <w:rPr>
          <w:noProof/>
        </w:rPr>
        <w:t>Attiecībā uz Savienību “vides a</w:t>
      </w:r>
      <w:r>
        <w:rPr>
          <w:noProof/>
        </w:rPr>
        <w:t>izsardzības līmenis” ir vides aizsardzības līmenis, kas ir piemērojams visām dalībvalstīm un tajās un kas ir kopīgs visām dalībvalstīm.</w:t>
      </w:r>
    </w:p>
    <w:p w:rsidR="003E022D" w:rsidRDefault="007D19D6">
      <w:pPr>
        <w:numPr>
          <w:ilvl w:val="0"/>
          <w:numId w:val="1335"/>
        </w:numPr>
        <w:ind w:left="0" w:firstLine="0"/>
        <w:rPr>
          <w:rFonts w:cstheme="minorHAnsi"/>
          <w:noProof/>
        </w:rPr>
      </w:pPr>
      <w:r>
        <w:rPr>
          <w:noProof/>
        </w:rPr>
        <w:t>Šajā nodaļā “klimata aizsardzības līmenis” ir aizsardzības līmenis attiecībā uz siltumnīcefekta gāzu emisijām un to pies</w:t>
      </w:r>
      <w:r>
        <w:rPr>
          <w:noProof/>
        </w:rPr>
        <w:t>aisti un ozona slāni noārdošo vielu pakāpenisku izmantošanas izbeigšanu. Attiecībā uz siltumnīcefekta gāzēm tas nozīmē:</w:t>
      </w:r>
    </w:p>
    <w:p w:rsidR="003E022D" w:rsidRDefault="007D19D6">
      <w:pPr>
        <w:numPr>
          <w:ilvl w:val="0"/>
          <w:numId w:val="1337"/>
        </w:numPr>
        <w:ind w:left="567" w:hanging="567"/>
        <w:rPr>
          <w:rFonts w:cstheme="minorHAnsi"/>
          <w:noProof/>
        </w:rPr>
      </w:pPr>
      <w:r>
        <w:rPr>
          <w:noProof/>
        </w:rPr>
        <w:t>attiecībā uz Savienību – visas ekonomikas mēroga mērķi 40 % apmērā līdz 2030. gadam, t. sk. Savienības sistēmu oglekļa cenu noteikšanai;</w:t>
      </w:r>
    </w:p>
    <w:p w:rsidR="003E022D" w:rsidRDefault="007D19D6">
      <w:pPr>
        <w:numPr>
          <w:ilvl w:val="0"/>
          <w:numId w:val="1337"/>
        </w:numPr>
        <w:ind w:left="567" w:hanging="567"/>
        <w:rPr>
          <w:rFonts w:cstheme="minorHAnsi"/>
          <w:noProof/>
        </w:rPr>
      </w:pPr>
      <w:r>
        <w:rPr>
          <w:noProof/>
        </w:rPr>
        <w:t>attiecībā uz Apvienoto Karalisti — Apvienotās Karalistes ekonomikas mēroga daļu no šā 2030. gada mērķa, t. sk. Apvienotās Karalistes sistēmu oglekļa cenu noteikšanai.</w:t>
      </w:r>
    </w:p>
    <w:p w:rsidR="003E022D" w:rsidRDefault="007D19D6">
      <w:pPr>
        <w:pStyle w:val="Article"/>
        <w:rPr>
          <w:noProof/>
        </w:rPr>
      </w:pPr>
      <w:r>
        <w:rPr>
          <w:noProof/>
        </w:rPr>
        <w:t>7.2. pants. Aizsardzības līmeņa nepazemināšana</w:t>
      </w:r>
    </w:p>
    <w:p w:rsidR="003E022D" w:rsidRDefault="007D19D6">
      <w:pPr>
        <w:numPr>
          <w:ilvl w:val="0"/>
          <w:numId w:val="1338"/>
        </w:numPr>
        <w:ind w:left="0" w:firstLine="0"/>
        <w:rPr>
          <w:rFonts w:cstheme="minorHAnsi"/>
          <w:noProof/>
        </w:rPr>
      </w:pPr>
      <w:r>
        <w:rPr>
          <w:noProof/>
        </w:rPr>
        <w:t>Puses apstiprina katras Puses tiesības no</w:t>
      </w:r>
      <w:r>
        <w:rPr>
          <w:noProof/>
        </w:rPr>
        <w:t>teikt savu politiku un prioritātes šīs nodaļas aptvertajās jomās, noteikt vides aizsardzības līmeni vai klimata aizsardzības līmeni, ko tā uzskata par piemērotiem, un pieņemt vai grozīt savas tiesības un politiku tādā veidā, kas atbilst katras Puses starpt</w:t>
      </w:r>
      <w:r>
        <w:rPr>
          <w:noProof/>
        </w:rPr>
        <w:t>autiskajām saistībām, tostarp saistībām saskaņā ar šo nodaļu.</w:t>
      </w:r>
    </w:p>
    <w:p w:rsidR="003E022D" w:rsidRDefault="007D19D6">
      <w:pPr>
        <w:numPr>
          <w:ilvl w:val="0"/>
          <w:numId w:val="1338"/>
        </w:numPr>
        <w:ind w:left="0" w:firstLine="0"/>
        <w:rPr>
          <w:rFonts w:cstheme="minorHAnsi"/>
          <w:noProof/>
        </w:rPr>
      </w:pPr>
      <w:r>
        <w:rPr>
          <w:noProof/>
        </w:rPr>
        <w:t>Puse tādā veidā, kas ietekmē tirdzniecību vai investīcijas starp Pusēm, nevājina vai nesamazina savu vides aizsardzības līmeni vai klimata aizsardzības līmeni zem līmeņa, kāds ir spēkā pārejas p</w:t>
      </w:r>
      <w:r>
        <w:rPr>
          <w:noProof/>
        </w:rPr>
        <w:t>erioda beigās, tai skaitā nespējot efektīvi izpildīt savus vides tiesību aktus vai klimata aizsardzības līmeni.</w:t>
      </w:r>
    </w:p>
    <w:p w:rsidR="003E022D" w:rsidRDefault="007D19D6">
      <w:pPr>
        <w:numPr>
          <w:ilvl w:val="0"/>
          <w:numId w:val="1338"/>
        </w:numPr>
        <w:ind w:left="0" w:firstLine="0"/>
        <w:rPr>
          <w:rFonts w:cstheme="minorHAnsi"/>
          <w:noProof/>
        </w:rPr>
      </w:pPr>
      <w:r>
        <w:rPr>
          <w:noProof/>
        </w:rPr>
        <w:t xml:space="preserve">Puses atzīst, ka katra Puse patur tiesības izmantot saprātīgu rīcības brīvību un pieņemt </w:t>
      </w:r>
      <w:r>
        <w:rPr>
          <w:i/>
          <w:noProof/>
        </w:rPr>
        <w:t>bona fide</w:t>
      </w:r>
      <w:r>
        <w:rPr>
          <w:noProof/>
        </w:rPr>
        <w:t xml:space="preserve"> lēmumus par vides tiesību aktu izpildei nepie</w:t>
      </w:r>
      <w:r>
        <w:rPr>
          <w:noProof/>
        </w:rPr>
        <w:t>ciešamo resursu piešķiršanu citām vides tiesību un klimata politikas jomām, kurām ir noteikta augstāka prioritāte, ar nosacījumu, ka minētās rīcības brīvības izmantošana un minētie lēmumi nav pretrunā Puses pienākumiem saskaņā ar šo nodaļu.</w:t>
      </w:r>
    </w:p>
    <w:p w:rsidR="003E022D" w:rsidRDefault="007D19D6">
      <w:pPr>
        <w:numPr>
          <w:ilvl w:val="0"/>
          <w:numId w:val="1338"/>
        </w:numPr>
        <w:ind w:left="0" w:firstLine="0"/>
        <w:rPr>
          <w:rFonts w:cstheme="minorHAnsi"/>
          <w:noProof/>
        </w:rPr>
      </w:pPr>
      <w:r>
        <w:rPr>
          <w:noProof/>
        </w:rPr>
        <w:t>Šajā nodaļā, ci</w:t>
      </w:r>
      <w:r>
        <w:rPr>
          <w:noProof/>
        </w:rPr>
        <w:t>ktāl Puses vides tiesību aktos ir paredzēti mērķi 7.1. pantā [Definīcijas] minētajās jomās, tie pārejas perioda beigās ir iekļauti Puses vides aizsardzības līmenī. Šie mērķi ietver tos mērķus, kuru sasniegšana ir paredzēta kādā datumā pēc pārejas perioda b</w:t>
      </w:r>
      <w:r>
        <w:rPr>
          <w:noProof/>
        </w:rPr>
        <w:t xml:space="preserve">eigām. Šis punkts attiecas arī uz ozona slāni noārdošām vielām. </w:t>
      </w:r>
    </w:p>
    <w:p w:rsidR="003E022D" w:rsidRDefault="007D19D6">
      <w:pPr>
        <w:numPr>
          <w:ilvl w:val="0"/>
          <w:numId w:val="1338"/>
        </w:numPr>
        <w:ind w:left="0" w:firstLine="0"/>
        <w:rPr>
          <w:rFonts w:cstheme="minorHAnsi"/>
          <w:noProof/>
        </w:rPr>
      </w:pPr>
      <w:r>
        <w:rPr>
          <w:noProof/>
        </w:rPr>
        <w:t>Puses cenšas turpināt paaugstināt savu attiecīgo vides aizsardzības līmeni vai attiecīgo klimata aizsardzības līmeni, kas minēts šajā nodaļā.</w:t>
      </w:r>
    </w:p>
    <w:p w:rsidR="003E022D" w:rsidRDefault="007D19D6">
      <w:pPr>
        <w:pStyle w:val="Article"/>
        <w:rPr>
          <w:noProof/>
        </w:rPr>
      </w:pPr>
      <w:r>
        <w:rPr>
          <w:noProof/>
        </w:rPr>
        <w:t>7.3. pants. Oglekļa cenas noteikšana</w:t>
      </w:r>
    </w:p>
    <w:p w:rsidR="003E022D" w:rsidRDefault="007D19D6">
      <w:pPr>
        <w:numPr>
          <w:ilvl w:val="0"/>
          <w:numId w:val="1339"/>
        </w:numPr>
        <w:ind w:left="0" w:firstLine="0"/>
        <w:rPr>
          <w:rFonts w:cstheme="minorHAnsi"/>
          <w:noProof/>
        </w:rPr>
      </w:pPr>
      <w:r>
        <w:rPr>
          <w:noProof/>
        </w:rPr>
        <w:t>Katra Puse n</w:t>
      </w:r>
      <w:r>
        <w:rPr>
          <w:noProof/>
        </w:rPr>
        <w:t>o 2021. gada 1. janvāra ievieš efektīvu oglekļa cenas noteikšanas sistēmu.</w:t>
      </w:r>
    </w:p>
    <w:p w:rsidR="003E022D" w:rsidRDefault="007D19D6">
      <w:pPr>
        <w:numPr>
          <w:ilvl w:val="0"/>
          <w:numId w:val="1339"/>
        </w:numPr>
        <w:ind w:left="0" w:firstLine="0"/>
        <w:rPr>
          <w:rFonts w:cstheme="minorHAnsi"/>
          <w:noProof/>
        </w:rPr>
      </w:pPr>
      <w:r>
        <w:rPr>
          <w:noProof/>
        </w:rPr>
        <w:t xml:space="preserve">Katra sistēma aptver siltumnīcefekta gāzu emisiju, ko rada elektroenerģijas ražošana, siltuma ražošana, rūpniecība un aviācija. </w:t>
      </w:r>
    </w:p>
    <w:p w:rsidR="003E022D" w:rsidRDefault="007D19D6">
      <w:pPr>
        <w:numPr>
          <w:ilvl w:val="0"/>
          <w:numId w:val="1339"/>
        </w:numPr>
        <w:ind w:left="0" w:firstLine="0"/>
        <w:rPr>
          <w:rFonts w:cstheme="minorHAnsi"/>
          <w:noProof/>
        </w:rPr>
      </w:pPr>
      <w:r>
        <w:rPr>
          <w:noProof/>
        </w:rPr>
        <w:t xml:space="preserve">Pušu attiecīgo oglekļa cenas noteikšanas sistēmu </w:t>
      </w:r>
      <w:r>
        <w:rPr>
          <w:noProof/>
        </w:rPr>
        <w:t>efektivitāte nodrošina aizsardzības līmeni, kas paredzēts 7.2. pantā [Aizsardzības līmeņa nepazemināšana].</w:t>
      </w:r>
    </w:p>
    <w:p w:rsidR="003E022D" w:rsidRDefault="007D19D6">
      <w:pPr>
        <w:numPr>
          <w:ilvl w:val="0"/>
          <w:numId w:val="1339"/>
        </w:numPr>
        <w:ind w:left="0" w:firstLine="0"/>
        <w:rPr>
          <w:rFonts w:cstheme="minorHAnsi"/>
          <w:noProof/>
        </w:rPr>
      </w:pPr>
      <w:r>
        <w:rPr>
          <w:noProof/>
        </w:rPr>
        <w:t>Atkāpjoties no 2. punkta, aviāciju iekļauj vēlākais divu gadu laikā, ja tā nav iekļauta jau tagad. Savienības oglekļa cenas noteikšanas sistēmas tvēr</w:t>
      </w:r>
      <w:r>
        <w:rPr>
          <w:noProof/>
        </w:rPr>
        <w:t>ums aptver lidojumus no Eiropas Ekonomikas zonas uz Apvienoto Karalisti.</w:t>
      </w:r>
    </w:p>
    <w:p w:rsidR="003E022D" w:rsidRDefault="007D19D6">
      <w:pPr>
        <w:numPr>
          <w:ilvl w:val="0"/>
          <w:numId w:val="1339"/>
        </w:numPr>
        <w:ind w:left="0" w:firstLine="0"/>
        <w:rPr>
          <w:rFonts w:cstheme="minorHAnsi"/>
          <w:noProof/>
        </w:rPr>
      </w:pPr>
      <w:r>
        <w:rPr>
          <w:noProof/>
        </w:rPr>
        <w:t>Katra Puse saglabā savu oglekļa cenas noteikšanas sistēmu, ciktāl tā ir efektīvs katras Puses instruments cīņā pret klimata pārmaiņām, un jebkurā gadījumā nodrošina aizsardzības līmen</w:t>
      </w:r>
      <w:r>
        <w:rPr>
          <w:noProof/>
        </w:rPr>
        <w:t>i, kas paredzēts 7.2. pantā [Aizsardzības līmeņa nepazemināšana].</w:t>
      </w:r>
    </w:p>
    <w:p w:rsidR="003E022D" w:rsidRDefault="007D19D6">
      <w:pPr>
        <w:numPr>
          <w:ilvl w:val="0"/>
          <w:numId w:val="1339"/>
        </w:numPr>
        <w:ind w:left="0" w:firstLine="0"/>
        <w:rPr>
          <w:rFonts w:cstheme="minorHAnsi"/>
          <w:noProof/>
        </w:rPr>
      </w:pPr>
      <w:r>
        <w:rPr>
          <w:noProof/>
        </w:rPr>
        <w:t>Puses sadarbojas oglekļa cenas noteikšanas jomā. Puses nopietni apsver iespēju sasaistīt savas attiecīgās oglekļa cenas noteikšanas sistēmas tādā veidā, kas saglabā šo sistēmu integritāti un</w:t>
      </w:r>
      <w:r>
        <w:rPr>
          <w:noProof/>
        </w:rPr>
        <w:t xml:space="preserve"> paver iespēju palielināt to efektivitāti.</w:t>
      </w:r>
    </w:p>
    <w:p w:rsidR="003E022D" w:rsidRDefault="007D19D6">
      <w:pPr>
        <w:pStyle w:val="Article"/>
        <w:rPr>
          <w:noProof/>
        </w:rPr>
      </w:pPr>
      <w:r>
        <w:rPr>
          <w:noProof/>
        </w:rPr>
        <w:t>7.4. pants. Vides un klimata principi</w:t>
      </w:r>
    </w:p>
    <w:p w:rsidR="003E022D" w:rsidRDefault="007D19D6">
      <w:pPr>
        <w:numPr>
          <w:ilvl w:val="0"/>
          <w:numId w:val="1341"/>
        </w:numPr>
        <w:ind w:left="0" w:firstLine="0"/>
        <w:rPr>
          <w:rFonts w:cstheme="minorHAnsi"/>
          <w:noProof/>
        </w:rPr>
      </w:pPr>
      <w:bookmarkStart w:id="185" w:name="_Hlk57395261"/>
      <w:r>
        <w:rPr>
          <w:noProof/>
        </w:rPr>
        <w:t>Ņemot vērā faktu, ka Savienībai un Apvienotajai Karalistei ir kopīga biosfēra, kas ir svarīgs aspekts no pārrobežu piesārņojuma viedokļa, katra Puse apņemas ievērot starptauti</w:t>
      </w:r>
      <w:r>
        <w:rPr>
          <w:noProof/>
        </w:rPr>
        <w:t>ski atzītos vides principus, kurus tā apņēmusies ievērot, piemēram, 1992. gada 14. jūnijā pieņemtajā Riodežaneiro Vides un attīstības deklarācijā (“1992. gada Riodežaneiro Vides un attīstības deklarācija”) un daudzpusējos vides nolīgumos, tostarp Ņujorkā 1</w:t>
      </w:r>
      <w:r>
        <w:rPr>
          <w:noProof/>
        </w:rPr>
        <w:t>992. gada 9. maijā pieņemtajā Apvienoto Nāciju Organizācijas Vispārējā konvencijā par klimata pārmaiņām (“UNFCCC”) un Riodežaneiro 1992. gada 5. jūnijā pieņemtajā Konvencijā par bioloģisko daudzveidību (“Konvencija par bioloģisko daudzveidību”), proti:</w:t>
      </w:r>
    </w:p>
    <w:p w:rsidR="003E022D" w:rsidRDefault="007D19D6">
      <w:pPr>
        <w:numPr>
          <w:ilvl w:val="0"/>
          <w:numId w:val="1340"/>
        </w:numPr>
        <w:tabs>
          <w:tab w:val="clear" w:pos="720"/>
        </w:tabs>
        <w:ind w:left="567" w:hanging="567"/>
        <w:rPr>
          <w:rFonts w:cstheme="minorHAnsi"/>
          <w:noProof/>
        </w:rPr>
      </w:pPr>
      <w:r>
        <w:rPr>
          <w:noProof/>
        </w:rPr>
        <w:t>pri</w:t>
      </w:r>
      <w:r>
        <w:rPr>
          <w:noProof/>
        </w:rPr>
        <w:t>ncipu, saskaņā ar kuru vides aizsardzība būtu jāintegrē politikas veidošanā, tostarp veicot ietekmes novērtējumus;</w:t>
      </w:r>
    </w:p>
    <w:p w:rsidR="003E022D" w:rsidRDefault="007D19D6">
      <w:pPr>
        <w:numPr>
          <w:ilvl w:val="0"/>
          <w:numId w:val="1340"/>
        </w:numPr>
        <w:tabs>
          <w:tab w:val="clear" w:pos="720"/>
        </w:tabs>
        <w:ind w:left="567" w:hanging="567"/>
        <w:rPr>
          <w:rFonts w:cstheme="minorHAnsi"/>
          <w:noProof/>
        </w:rPr>
      </w:pPr>
      <w:r>
        <w:rPr>
          <w:noProof/>
        </w:rPr>
        <w:t>preventīvas rīcības principu, lai novērstu kaitējumu videi;</w:t>
      </w:r>
    </w:p>
    <w:p w:rsidR="003E022D" w:rsidRDefault="007D19D6">
      <w:pPr>
        <w:numPr>
          <w:ilvl w:val="0"/>
          <w:numId w:val="1340"/>
        </w:numPr>
        <w:tabs>
          <w:tab w:val="clear" w:pos="720"/>
        </w:tabs>
        <w:ind w:left="567" w:hanging="567"/>
        <w:rPr>
          <w:rFonts w:cstheme="minorHAnsi"/>
          <w:noProof/>
        </w:rPr>
      </w:pPr>
      <w:r>
        <w:rPr>
          <w:noProof/>
        </w:rPr>
        <w:t>piesardzības pieeju, kas minēta 1.2. panta [Tiesības reglamentēt, piesardzības pi</w:t>
      </w:r>
      <w:r>
        <w:rPr>
          <w:noProof/>
        </w:rPr>
        <w:t xml:space="preserve">eeja un zinātniskā un tehniskā informācija] 2. punktā; </w:t>
      </w:r>
    </w:p>
    <w:p w:rsidR="003E022D" w:rsidRDefault="007D19D6">
      <w:pPr>
        <w:numPr>
          <w:ilvl w:val="0"/>
          <w:numId w:val="1340"/>
        </w:numPr>
        <w:tabs>
          <w:tab w:val="clear" w:pos="720"/>
        </w:tabs>
        <w:ind w:left="567" w:hanging="567"/>
        <w:rPr>
          <w:rFonts w:cstheme="minorHAnsi"/>
          <w:noProof/>
        </w:rPr>
      </w:pPr>
      <w:r>
        <w:rPr>
          <w:noProof/>
        </w:rPr>
        <w:t xml:space="preserve">principu, saskaņā ar kuru videi nodarīta kaitējuma labošana būtu jāveic, pirmām kārtām novēršot tā cēloni, un </w:t>
      </w:r>
    </w:p>
    <w:p w:rsidR="003E022D" w:rsidRDefault="007D19D6">
      <w:pPr>
        <w:numPr>
          <w:ilvl w:val="0"/>
          <w:numId w:val="1340"/>
        </w:numPr>
        <w:tabs>
          <w:tab w:val="clear" w:pos="720"/>
        </w:tabs>
        <w:ind w:left="567" w:hanging="567"/>
        <w:rPr>
          <w:rFonts w:cstheme="minorHAnsi"/>
          <w:noProof/>
        </w:rPr>
      </w:pPr>
      <w:r>
        <w:rPr>
          <w:noProof/>
        </w:rPr>
        <w:t>principu “piesārņotājs maksā”.</w:t>
      </w:r>
      <w:bookmarkEnd w:id="185"/>
    </w:p>
    <w:p w:rsidR="003E022D" w:rsidRDefault="007D19D6">
      <w:pPr>
        <w:numPr>
          <w:ilvl w:val="0"/>
          <w:numId w:val="1341"/>
        </w:numPr>
        <w:ind w:left="0" w:firstLine="0"/>
        <w:rPr>
          <w:rFonts w:cstheme="minorHAnsi"/>
          <w:noProof/>
        </w:rPr>
      </w:pPr>
      <w:r>
        <w:rPr>
          <w:noProof/>
        </w:rPr>
        <w:t>Puses atkārtoti apstiprina savas attiecīgās saistības atti</w:t>
      </w:r>
      <w:r>
        <w:rPr>
          <w:noProof/>
        </w:rPr>
        <w:t>ecībā uz procedūrām, ar kurām novērtē ierosinātās darbības iespējamo ietekmi uz vidi, un gadījumos, kad konkrētiem projektiem, plāniem un programmām varētu būt būtiska ietekme uz vidi, tostarp uz veselību, cita starpā attiecīgi veic ietekmes uz vidi novērt</w:t>
      </w:r>
      <w:r>
        <w:rPr>
          <w:noProof/>
        </w:rPr>
        <w:t>ējumu vai stratēģisku vides novērtējumu.</w:t>
      </w:r>
    </w:p>
    <w:p w:rsidR="003E022D" w:rsidRDefault="007D19D6">
      <w:pPr>
        <w:numPr>
          <w:ilvl w:val="0"/>
          <w:numId w:val="1341"/>
        </w:numPr>
        <w:ind w:left="0" w:firstLine="0"/>
        <w:rPr>
          <w:rFonts w:cstheme="minorHAnsi"/>
          <w:noProof/>
        </w:rPr>
      </w:pPr>
      <w:r>
        <w:rPr>
          <w:noProof/>
        </w:rPr>
        <w:t>Šīs procedūras – vajadzības gadījumā un atbilstīgi katras Puses tiesību aktiem – ietver vides ziņojuma tvēruma noteikšanu un tā sagatavošanu, sabiedrības līdzdalības pasākumu un apspriešanās veikšanu, kā arī vides z</w:t>
      </w:r>
      <w:r>
        <w:rPr>
          <w:noProof/>
        </w:rPr>
        <w:t>iņojuma un sabiedrības līdzdalības un apspriešanās rezultātu ņemšanu vērā apstiprinātajā projektā vai pieņemtajā plānā, vai programmā.</w:t>
      </w:r>
    </w:p>
    <w:p w:rsidR="003E022D" w:rsidRDefault="007D19D6">
      <w:pPr>
        <w:pStyle w:val="Article"/>
        <w:rPr>
          <w:noProof/>
        </w:rPr>
      </w:pPr>
      <w:r>
        <w:rPr>
          <w:noProof/>
        </w:rPr>
        <w:t>7.5. pants. Izpilde</w:t>
      </w:r>
    </w:p>
    <w:p w:rsidR="003E022D" w:rsidRDefault="007D19D6">
      <w:pPr>
        <w:numPr>
          <w:ilvl w:val="0"/>
          <w:numId w:val="1342"/>
        </w:numPr>
        <w:ind w:left="0" w:firstLine="0"/>
        <w:rPr>
          <w:rFonts w:cstheme="minorHAnsi"/>
          <w:noProof/>
        </w:rPr>
      </w:pPr>
      <w:r>
        <w:rPr>
          <w:noProof/>
        </w:rPr>
        <w:t>Izpildes nolūkos, kā minēts 7.2. pantā [Aizsardzības līmeņa nepazemināšana], katra Puse saskaņā ar sa</w:t>
      </w:r>
      <w:r>
        <w:rPr>
          <w:noProof/>
        </w:rPr>
        <w:t>viem tiesību aktiem nodrošina, ka:</w:t>
      </w:r>
    </w:p>
    <w:p w:rsidR="003E022D" w:rsidRDefault="007D19D6">
      <w:pPr>
        <w:numPr>
          <w:ilvl w:val="0"/>
          <w:numId w:val="1343"/>
        </w:numPr>
        <w:tabs>
          <w:tab w:val="clear" w:pos="720"/>
        </w:tabs>
        <w:ind w:left="567" w:hanging="567"/>
        <w:rPr>
          <w:rFonts w:cstheme="minorHAnsi"/>
          <w:noProof/>
        </w:rPr>
      </w:pPr>
      <w:r>
        <w:rPr>
          <w:noProof/>
        </w:rPr>
        <w:t xml:space="preserve">vietējās iestādes, kas ir kompetentas panākt attiecīgo tiesību aktu izpildi attiecībā uz vidi un klimatu, pienācīgi ņem vērā iespējamos šādu tiesību aktu pārkāpumus, par kuriem tām ir kļuvis zināms; minētajām iestādēm ir </w:t>
      </w:r>
      <w:r>
        <w:rPr>
          <w:noProof/>
        </w:rPr>
        <w:t>pieejami atbilstoši un efektīvi tiesiskās aizsardzības līdzekļi, tostarp, vajadzības gadījumā, pagaidu tiesiskās aizsardzības līdzekļi, kā arī samērīgas un atturošas sankcijas, un</w:t>
      </w:r>
    </w:p>
    <w:p w:rsidR="003E022D" w:rsidRDefault="007D19D6">
      <w:pPr>
        <w:numPr>
          <w:ilvl w:val="0"/>
          <w:numId w:val="1343"/>
        </w:numPr>
        <w:tabs>
          <w:tab w:val="clear" w:pos="720"/>
        </w:tabs>
        <w:ind w:left="567" w:hanging="567"/>
        <w:rPr>
          <w:rFonts w:cstheme="minorHAnsi"/>
          <w:noProof/>
        </w:rPr>
      </w:pPr>
      <w:r>
        <w:rPr>
          <w:noProof/>
        </w:rPr>
        <w:t>valsts administratīvā vai tiesas procedūras ir pieejamas fiziskām un juridis</w:t>
      </w:r>
      <w:r>
        <w:rPr>
          <w:noProof/>
        </w:rPr>
        <w:t xml:space="preserve">kām personām, kuras ir pietiekami ieinteresētas celt prasības par šādu tiesību aktu pārkāpumiem un izmantot efektīvus tiesiskās aizsardzības līdzekļus, tostarp pagaidu tiesiskās aizsardzības līdzekļus, un tiesvedība nav pārmērīgi dārga un notiek taisnīgā, </w:t>
      </w:r>
      <w:r>
        <w:rPr>
          <w:noProof/>
        </w:rPr>
        <w:t>objektīvā un pārredzamā veidā.</w:t>
      </w:r>
    </w:p>
    <w:p w:rsidR="003E022D" w:rsidRDefault="007D19D6">
      <w:pPr>
        <w:pStyle w:val="Article"/>
        <w:rPr>
          <w:noProof/>
        </w:rPr>
      </w:pPr>
      <w:r>
        <w:rPr>
          <w:noProof/>
        </w:rPr>
        <w:t>7.6. pants. Sadarbība uzraudzības un izpildes jomā</w:t>
      </w:r>
    </w:p>
    <w:p w:rsidR="003E022D" w:rsidRDefault="007D19D6">
      <w:pPr>
        <w:rPr>
          <w:rFonts w:cstheme="minorHAnsi"/>
          <w:noProof/>
        </w:rPr>
      </w:pPr>
      <w:r>
        <w:rPr>
          <w:noProof/>
        </w:rPr>
        <w:t>Puses nodrošina, ka Eiropas Komisija un Apvienotās Karalistes uzraudzības struktūras regulāri tiekas un sadarbojas, lai efektīvi uzraudzītu un izpildītu tiesības attiecībā uz</w:t>
      </w:r>
      <w:r>
        <w:rPr>
          <w:noProof/>
        </w:rPr>
        <w:t xml:space="preserve"> vidi un klimatu, kā minēts 7.2. pantā [Aizsardzības līmeņa nepazemināšana].</w:t>
      </w:r>
    </w:p>
    <w:p w:rsidR="003E022D" w:rsidRDefault="007D19D6">
      <w:pPr>
        <w:pStyle w:val="Article"/>
        <w:rPr>
          <w:noProof/>
        </w:rPr>
      </w:pPr>
      <w:r>
        <w:rPr>
          <w:noProof/>
        </w:rPr>
        <w:t>7.7. pants. Strīdu izšķiršana</w:t>
      </w:r>
    </w:p>
    <w:p w:rsidR="003E022D" w:rsidRDefault="007D19D6">
      <w:pPr>
        <w:numPr>
          <w:ilvl w:val="0"/>
          <w:numId w:val="1344"/>
        </w:numPr>
        <w:tabs>
          <w:tab w:val="clear" w:pos="720"/>
        </w:tabs>
        <w:ind w:left="0" w:firstLine="0"/>
        <w:rPr>
          <w:rFonts w:cstheme="minorHAnsi"/>
          <w:noProof/>
        </w:rPr>
      </w:pPr>
      <w:r>
        <w:rPr>
          <w:noProof/>
        </w:rPr>
        <w:t xml:space="preserve">Puses dara visu iespējamo, izmantojot dialogu, apspriešanos, informācijas apmaiņu un sadarbību, lai risinātu jebkādas domstarpības par šīs nodaļas </w:t>
      </w:r>
      <w:r>
        <w:rPr>
          <w:noProof/>
        </w:rPr>
        <w:t>piemērošanu. </w:t>
      </w:r>
    </w:p>
    <w:p w:rsidR="003E022D" w:rsidRDefault="007D19D6">
      <w:pPr>
        <w:numPr>
          <w:ilvl w:val="0"/>
          <w:numId w:val="1344"/>
        </w:numPr>
        <w:tabs>
          <w:tab w:val="clear" w:pos="720"/>
        </w:tabs>
        <w:ind w:left="0" w:firstLine="0"/>
        <w:rPr>
          <w:rFonts w:cstheme="minorHAnsi"/>
          <w:noProof/>
        </w:rPr>
      </w:pPr>
      <w:r>
        <w:rPr>
          <w:noProof/>
        </w:rPr>
        <w:t>Atkāpjoties no sestās daļas [Strīdu izšķiršana un horizontālie noteikumi] I sadaļas, ja starp Pusēm rodas domstarpības par šīs nodaļas piemērošanu, tad Puses izmanto tikai tās procedūras, kas noteiktas saskaņā ar šīs sadaļas 9.1. pantu [Apspr</w:t>
      </w:r>
      <w:r>
        <w:rPr>
          <w:noProof/>
        </w:rPr>
        <w:t>iedes], 9.2. pantu [Ekspertu grupa] un 9.3. pantu [Ekspertu grupa aizsardzības līmeņa nepazemināšanas jomās].</w:t>
      </w:r>
    </w:p>
    <w:p w:rsidR="003E022D" w:rsidRDefault="007D19D6">
      <w:pPr>
        <w:pStyle w:val="Chapter"/>
        <w:rPr>
          <w:noProof/>
        </w:rPr>
      </w:pPr>
      <w:r>
        <w:rPr>
          <w:noProof/>
        </w:rPr>
        <w:t>Astotā nodaļa. Citi instrumenti tirdzniecībai un ilgtspējīgai attīstībai</w:t>
      </w:r>
    </w:p>
    <w:p w:rsidR="003E022D" w:rsidRDefault="007D19D6">
      <w:pPr>
        <w:pStyle w:val="Article"/>
        <w:rPr>
          <w:noProof/>
        </w:rPr>
      </w:pPr>
      <w:r>
        <w:rPr>
          <w:noProof/>
        </w:rPr>
        <w:t>8.1. pants. Konteksts un mērķi</w:t>
      </w:r>
    </w:p>
    <w:p w:rsidR="003E022D" w:rsidRDefault="007D19D6">
      <w:pPr>
        <w:numPr>
          <w:ilvl w:val="0"/>
          <w:numId w:val="1345"/>
        </w:numPr>
        <w:tabs>
          <w:tab w:val="clear" w:pos="720"/>
        </w:tabs>
        <w:ind w:left="0" w:firstLine="0"/>
        <w:rPr>
          <w:rFonts w:cstheme="minorHAnsi"/>
          <w:noProof/>
        </w:rPr>
      </w:pPr>
      <w:r>
        <w:rPr>
          <w:noProof/>
        </w:rPr>
        <w:t>Puses atsaucas uz Darba kārtību 21 un 1992</w:t>
      </w:r>
      <w:r>
        <w:rPr>
          <w:noProof/>
        </w:rPr>
        <w:t>. gada Riodežaneiro Vides un attīstības deklarāciju, 2002. gada Johannesburgas plānu pasaules samita par ilgtspējīgu attīstību lēmumu īstenošanai, Starptautiskās Darba organizācijas (SDO) 2008. gada Deklarāciju par sociālo taisnīgumu godīgai globalizācijai</w:t>
      </w:r>
      <w:r>
        <w:rPr>
          <w:noProof/>
        </w:rPr>
        <w:t>, kas pieņemta Starptautiskās Darba konferences 97. sesijā Ženēvā 2008. gada 10. jūnijā (“SDO 2008. gada Deklarācija par sociālo taisnīgumu godīgai globalizācijai”), ANO 2012. gada konferences par ilgtspējīgu attīstību noslēguma dokumentu “Nākotne, kādu vē</w:t>
      </w:r>
      <w:r>
        <w:rPr>
          <w:noProof/>
        </w:rPr>
        <w:t>lamies”, kas apstiprināts ar ANO Ģenerālās asamblejas Rezolūciju 66/288, kura pieņemta 2012. gada 27. jūlijā, un ANO Ilgtspējīgas attīstības programmu 2030. gadam, kas pieņemta ar ANO Ģenerālās asamblejas rezolūciju 70/1 2015. gada 25. septembrī, kā arī tā</w:t>
      </w:r>
      <w:r>
        <w:rPr>
          <w:noProof/>
        </w:rPr>
        <w:t>s ilgtspējīgas attīstības mērķiem.</w:t>
      </w:r>
    </w:p>
    <w:p w:rsidR="003E022D" w:rsidRDefault="007D19D6">
      <w:pPr>
        <w:numPr>
          <w:ilvl w:val="0"/>
          <w:numId w:val="1345"/>
        </w:numPr>
        <w:tabs>
          <w:tab w:val="clear" w:pos="720"/>
        </w:tabs>
        <w:ind w:left="0" w:firstLine="0"/>
        <w:rPr>
          <w:rFonts w:cstheme="minorHAnsi"/>
          <w:noProof/>
        </w:rPr>
      </w:pPr>
      <w:r>
        <w:rPr>
          <w:noProof/>
        </w:rPr>
        <w:t xml:space="preserve">Ņemot vērā 1. punktu, šīs nodaļas mērķis ir veicināt ilgtspējīgas attīstības, jo īpaši tās darba un vides aspektu, integrāciju Pušu tirdzniecības un investīciju attiecībās un šajā sakarā papildināt Pušu saistības saskaņā </w:t>
      </w:r>
      <w:r>
        <w:rPr>
          <w:noProof/>
        </w:rPr>
        <w:t>ar 6. nodaļu [Darba un sociālie standarti] un 7. nodaļu [Vide un klimats].</w:t>
      </w:r>
    </w:p>
    <w:p w:rsidR="003E022D" w:rsidRDefault="007D19D6">
      <w:pPr>
        <w:pStyle w:val="Article"/>
        <w:rPr>
          <w:noProof/>
        </w:rPr>
      </w:pPr>
      <w:r>
        <w:rPr>
          <w:noProof/>
        </w:rPr>
        <w:t>8.2. pants. Pārredzamība</w:t>
      </w:r>
    </w:p>
    <w:p w:rsidR="003E022D" w:rsidRDefault="007D19D6">
      <w:pPr>
        <w:numPr>
          <w:ilvl w:val="0"/>
          <w:numId w:val="1346"/>
        </w:numPr>
        <w:tabs>
          <w:tab w:val="clear" w:pos="720"/>
        </w:tabs>
        <w:ind w:left="0" w:firstLine="0"/>
        <w:rPr>
          <w:rFonts w:cstheme="minorHAnsi"/>
          <w:noProof/>
        </w:rPr>
      </w:pPr>
      <w:r>
        <w:rPr>
          <w:noProof/>
        </w:rPr>
        <w:t>Puses uzsver, cik svarīgi ir nodrošināt pārredzamību kā nepieciešamu elementu, lai veicinātu sabiedrības līdzdalību un informācijas publiskošanu saistībā ar</w:t>
      </w:r>
      <w:r>
        <w:rPr>
          <w:noProof/>
        </w:rPr>
        <w:t xml:space="preserve"> šo nodaļu. Katra Puse saskaņā ar saviem normatīvajiem aktiem, šīs nodaļas, IX nodaļas [Pārredzamība] un X nodaļas [Laba regulatīvā prakse] noteikumiem: </w:t>
      </w:r>
    </w:p>
    <w:p w:rsidR="003E022D" w:rsidRDefault="007D19D6">
      <w:pPr>
        <w:numPr>
          <w:ilvl w:val="0"/>
          <w:numId w:val="1347"/>
        </w:numPr>
        <w:ind w:left="567" w:hanging="567"/>
        <w:rPr>
          <w:rFonts w:cstheme="minorHAnsi"/>
          <w:noProof/>
        </w:rPr>
      </w:pPr>
      <w:r>
        <w:rPr>
          <w:noProof/>
        </w:rPr>
        <w:t>nodrošina, ka jebkurš vispārēji piemērojams pasākums, ar kuru tiecas sasniegt šīs nodaļas mērķus, tiek</w:t>
      </w:r>
      <w:r>
        <w:rPr>
          <w:noProof/>
        </w:rPr>
        <w:t xml:space="preserve"> pārvaldīts pārredzamā veidā, tostarp nodrošinot sabiedrībai saprātīgas iespējas un pietiekami daudz laika izteikt piezīmes un publicējot šādus pasākumus;</w:t>
      </w:r>
    </w:p>
    <w:p w:rsidR="003E022D" w:rsidRDefault="007D19D6">
      <w:pPr>
        <w:numPr>
          <w:ilvl w:val="0"/>
          <w:numId w:val="1347"/>
        </w:numPr>
        <w:ind w:left="567" w:hanging="567"/>
        <w:rPr>
          <w:rFonts w:cstheme="minorHAnsi"/>
          <w:noProof/>
        </w:rPr>
      </w:pPr>
      <w:r>
        <w:rPr>
          <w:noProof/>
        </w:rPr>
        <w:t xml:space="preserve">nodrošina, ka sabiedrībai tiek sniegta piekļuve attiecīgai vides informācijai, kas ir valsts iestāžu </w:t>
      </w:r>
      <w:r>
        <w:rPr>
          <w:noProof/>
        </w:rPr>
        <w:t xml:space="preserve">rīcībā vai ir tām pieejama, kā arī nodrošina minētās informācijas aktīvu izplatīšanu sabiedrībai, izmantojot elektroniskus līdzekļus; </w:t>
      </w:r>
    </w:p>
    <w:p w:rsidR="003E022D" w:rsidRDefault="007D19D6">
      <w:pPr>
        <w:numPr>
          <w:ilvl w:val="0"/>
          <w:numId w:val="1347"/>
        </w:numPr>
        <w:ind w:left="567" w:hanging="567"/>
        <w:rPr>
          <w:rFonts w:cstheme="minorHAnsi"/>
          <w:noProof/>
        </w:rPr>
      </w:pPr>
      <w:r>
        <w:rPr>
          <w:noProof/>
        </w:rPr>
        <w:t>sekmē publiskas debates ar nevalstiskajiem dalībniekiem un to starpā par tādas politikas izstrādi un definēšanu, kuras re</w:t>
      </w:r>
      <w:r>
        <w:rPr>
          <w:noProof/>
        </w:rPr>
        <w:t>zultātā valsts iestādes varētu pieņemt tiesību aktus, kas attiecas uz šo nodaļu; attiecībā uz vidi tas ietver sabiedrības līdzdalību projektos, plānos un programmās; un</w:t>
      </w:r>
    </w:p>
    <w:p w:rsidR="003E022D" w:rsidRDefault="007D19D6">
      <w:pPr>
        <w:numPr>
          <w:ilvl w:val="0"/>
          <w:numId w:val="1347"/>
        </w:numPr>
        <w:ind w:left="567" w:hanging="567"/>
        <w:rPr>
          <w:rFonts w:cstheme="minorHAnsi"/>
          <w:noProof/>
        </w:rPr>
      </w:pPr>
      <w:r>
        <w:rPr>
          <w:noProof/>
        </w:rPr>
        <w:t>veicina sabiedrības informētību par Puses tiesību aktiem un standartiem, kas attiecas u</w:t>
      </w:r>
      <w:r>
        <w:rPr>
          <w:noProof/>
        </w:rPr>
        <w:t xml:space="preserve">z šo nodaļu, kā arī par izpildes un atbilstības procedūrām, ko panāk, veicot pasākumus, lai vairotu sabiedrības zināšanas un izpratni; attiecībā uz darba tiesībām un standartiem tas ietver darba ņēmējus, darba devējus un to pārstāvjus. </w:t>
      </w:r>
    </w:p>
    <w:p w:rsidR="003E022D" w:rsidRDefault="007D19D6">
      <w:pPr>
        <w:pStyle w:val="Article"/>
        <w:rPr>
          <w:noProof/>
        </w:rPr>
      </w:pPr>
      <w:r>
        <w:rPr>
          <w:noProof/>
        </w:rPr>
        <w:t>8.3. pants. Daudzpu</w:t>
      </w:r>
      <w:r>
        <w:rPr>
          <w:noProof/>
        </w:rPr>
        <w:t>sēji darba standarti un nolīgumi</w:t>
      </w:r>
    </w:p>
    <w:p w:rsidR="003E022D" w:rsidRDefault="007D19D6">
      <w:pPr>
        <w:numPr>
          <w:ilvl w:val="3"/>
          <w:numId w:val="1294"/>
        </w:numPr>
        <w:ind w:left="0" w:firstLine="0"/>
        <w:rPr>
          <w:rFonts w:cstheme="minorHAnsi"/>
          <w:noProof/>
        </w:rPr>
      </w:pPr>
      <w:r>
        <w:rPr>
          <w:noProof/>
        </w:rPr>
        <w:t>Puses apstiprina savu apņemšanos veicināt starptautiskās tirdzniecības attīstību tā, lai veicinātu pienācīgas kvalitātes nodarbinātību visiem, kā noteikts SDO 2008. gada Deklarācijā par sociālo taisnīgumu godīgai globalizāc</w:t>
      </w:r>
      <w:r>
        <w:rPr>
          <w:noProof/>
        </w:rPr>
        <w:t>ijai.</w:t>
      </w:r>
    </w:p>
    <w:p w:rsidR="003E022D" w:rsidRDefault="007D19D6">
      <w:pPr>
        <w:numPr>
          <w:ilvl w:val="3"/>
          <w:numId w:val="1294"/>
        </w:numPr>
        <w:ind w:left="0" w:firstLine="0"/>
        <w:rPr>
          <w:rFonts w:cstheme="minorHAnsi"/>
          <w:noProof/>
        </w:rPr>
      </w:pPr>
      <w:r>
        <w:rPr>
          <w:noProof/>
        </w:rPr>
        <w:t>Saskaņā ar SDO konstitūciju un SDO Deklarāciju par pamatprincipiem un pamattiesībām darbā un tās izpildes pasākumiem, kurus Starptautiskā Darba konference pieņēma 86. sesijā Ženēvā 1998. gada 18. jūnijā, katra Puse apņemas ievērot, veicināt un efektī</w:t>
      </w:r>
      <w:r>
        <w:rPr>
          <w:noProof/>
        </w:rPr>
        <w:t xml:space="preserve">vi īstenot starptautiski atzītos darba pamatstandartus, kā noteikts SDO pamatkonvencijās, proti: </w:t>
      </w:r>
    </w:p>
    <w:p w:rsidR="003E022D" w:rsidRDefault="007D19D6">
      <w:pPr>
        <w:numPr>
          <w:ilvl w:val="1"/>
          <w:numId w:val="1348"/>
        </w:numPr>
        <w:ind w:left="567" w:hanging="567"/>
        <w:rPr>
          <w:rFonts w:cstheme="minorHAnsi"/>
          <w:noProof/>
        </w:rPr>
      </w:pPr>
      <w:r>
        <w:rPr>
          <w:noProof/>
        </w:rPr>
        <w:t xml:space="preserve">biedrošanās brīvību un darba koplīguma slēgšanas sarunu tiesību faktisku atzīšanu; </w:t>
      </w:r>
    </w:p>
    <w:p w:rsidR="003E022D" w:rsidRDefault="007D19D6">
      <w:pPr>
        <w:numPr>
          <w:ilvl w:val="1"/>
          <w:numId w:val="1348"/>
        </w:numPr>
        <w:ind w:left="567" w:hanging="567"/>
        <w:rPr>
          <w:rFonts w:cstheme="minorHAnsi"/>
          <w:noProof/>
        </w:rPr>
      </w:pPr>
      <w:r>
        <w:rPr>
          <w:noProof/>
        </w:rPr>
        <w:t xml:space="preserve">jebkāda piespiedu vai obligātā darba izskaušanu; </w:t>
      </w:r>
    </w:p>
    <w:p w:rsidR="003E022D" w:rsidRDefault="007D19D6">
      <w:pPr>
        <w:numPr>
          <w:ilvl w:val="1"/>
          <w:numId w:val="1348"/>
        </w:numPr>
        <w:ind w:left="567" w:hanging="567"/>
        <w:rPr>
          <w:rFonts w:cstheme="minorHAnsi"/>
          <w:noProof/>
        </w:rPr>
      </w:pPr>
      <w:r>
        <w:rPr>
          <w:noProof/>
        </w:rPr>
        <w:t>bērnu darba faktisku atc</w:t>
      </w:r>
      <w:r>
        <w:rPr>
          <w:noProof/>
        </w:rPr>
        <w:t xml:space="preserve">elšanu un </w:t>
      </w:r>
    </w:p>
    <w:p w:rsidR="003E022D" w:rsidRDefault="007D19D6">
      <w:pPr>
        <w:numPr>
          <w:ilvl w:val="1"/>
          <w:numId w:val="1348"/>
        </w:numPr>
        <w:ind w:left="567" w:hanging="567"/>
        <w:rPr>
          <w:rFonts w:cstheme="minorHAnsi"/>
          <w:noProof/>
        </w:rPr>
      </w:pPr>
      <w:r>
        <w:rPr>
          <w:noProof/>
        </w:rPr>
        <w:t xml:space="preserve">diskriminācijas izskaušanu attiecībā uz nodarbinātību un profesiju. </w:t>
      </w:r>
    </w:p>
    <w:p w:rsidR="003E022D" w:rsidRDefault="007D19D6">
      <w:pPr>
        <w:numPr>
          <w:ilvl w:val="3"/>
          <w:numId w:val="1294"/>
        </w:numPr>
        <w:ind w:left="0" w:firstLine="0"/>
        <w:rPr>
          <w:rFonts w:cstheme="minorHAnsi"/>
          <w:noProof/>
        </w:rPr>
      </w:pPr>
      <w:r>
        <w:rPr>
          <w:noProof/>
        </w:rPr>
        <w:t xml:space="preserve">Katra Puse pastāvīgi un neatlaidīgi cenšas ratificēt SDO pamatkonvencijas, ja tas vēl nav izdarīts. </w:t>
      </w:r>
    </w:p>
    <w:p w:rsidR="003E022D" w:rsidRDefault="007D19D6">
      <w:pPr>
        <w:numPr>
          <w:ilvl w:val="3"/>
          <w:numId w:val="1294"/>
        </w:numPr>
        <w:ind w:left="0" w:firstLine="0"/>
        <w:rPr>
          <w:rFonts w:cstheme="minorHAnsi"/>
          <w:noProof/>
        </w:rPr>
      </w:pPr>
      <w:r>
        <w:rPr>
          <w:noProof/>
        </w:rPr>
        <w:t xml:space="preserve">Puses regulāri un vajadzības gadījumā apmainās ar informāciju par </w:t>
      </w:r>
      <w:r>
        <w:rPr>
          <w:noProof/>
        </w:rPr>
        <w:t>dalībvalstu un Apvienotās Karalistes attiecīgo situāciju un sasniegto attiecībā uz SDO konvenciju vai protokolu, kurus SDO klasificējusi kā atjauninātus, un citu attiecīgo starptautisko instrumentu ratifikāciju.</w:t>
      </w:r>
    </w:p>
    <w:p w:rsidR="003E022D" w:rsidRDefault="007D19D6">
      <w:pPr>
        <w:numPr>
          <w:ilvl w:val="3"/>
          <w:numId w:val="1294"/>
        </w:numPr>
        <w:ind w:left="0" w:firstLine="0"/>
        <w:rPr>
          <w:rFonts w:cstheme="minorHAnsi"/>
          <w:noProof/>
        </w:rPr>
      </w:pPr>
      <w:r>
        <w:rPr>
          <w:noProof/>
        </w:rPr>
        <w:t>Katra Puse apņemas efektīvi īstenot visas SD</w:t>
      </w:r>
      <w:r>
        <w:rPr>
          <w:noProof/>
        </w:rPr>
        <w:t>O konvencijas, kuras ir ratificējusi attiecīgi Apvienotā Karaliste un Savienības dalībvalstis, un dažādos Eiropas Sociālās hartas noteikumus, kurus ir pieņēmušas attiecīgi Savienības dalībvalstis un Apvienotā Karaliste kā Eiropas Padomes dalībvalstis</w:t>
      </w:r>
      <w:r>
        <w:rPr>
          <w:rStyle w:val="FootnoteReference"/>
          <w:rFonts w:cstheme="minorHAnsi"/>
          <w:noProof/>
        </w:rPr>
        <w:footnoteReference w:id="63"/>
      </w:r>
      <w:r>
        <w:rPr>
          <w:noProof/>
        </w:rPr>
        <w:t xml:space="preserve">. </w:t>
      </w:r>
    </w:p>
    <w:p w:rsidR="003E022D" w:rsidRDefault="007D19D6">
      <w:pPr>
        <w:numPr>
          <w:ilvl w:val="3"/>
          <w:numId w:val="1294"/>
        </w:numPr>
        <w:ind w:left="0" w:firstLine="0"/>
        <w:rPr>
          <w:rFonts w:cstheme="minorHAnsi"/>
          <w:noProof/>
        </w:rPr>
      </w:pPr>
      <w:r>
        <w:rPr>
          <w:noProof/>
        </w:rPr>
        <w:t>Ka</w:t>
      </w:r>
      <w:r>
        <w:rPr>
          <w:noProof/>
        </w:rPr>
        <w:t>tra Puse ar savu tiesību un prakses palīdzību turpina veicināt SDO programmu pienācīgas kvalitātes nodarbinātībai, kas izklāstīta SDO 2008. gada Deklarācijā par sociālo taisnīgumu godīgai globalizācijai (“SDO programma pienācīgas kvalitātes nodarbinātībai”</w:t>
      </w:r>
      <w:r>
        <w:rPr>
          <w:noProof/>
        </w:rPr>
        <w:t xml:space="preserve">), un saskaņā ar attiecīgajām SDO konvencijām un citām starptautiskām saistībām, jo īpaši attiecībā uz: </w:t>
      </w:r>
    </w:p>
    <w:p w:rsidR="003E022D" w:rsidRDefault="007D19D6">
      <w:pPr>
        <w:numPr>
          <w:ilvl w:val="0"/>
          <w:numId w:val="1349"/>
        </w:numPr>
        <w:ind w:left="567" w:hanging="567"/>
        <w:rPr>
          <w:rFonts w:cstheme="minorHAnsi"/>
          <w:noProof/>
        </w:rPr>
      </w:pPr>
      <w:r>
        <w:rPr>
          <w:noProof/>
        </w:rPr>
        <w:t>pienācīgiem darba apstākļiem visiem, cita starpā attiecībā uz algām un izpeļņu, darba laiku, grūtniecības un dzemdību atvaļinājumu un citiem darba nosa</w:t>
      </w:r>
      <w:r>
        <w:rPr>
          <w:noProof/>
        </w:rPr>
        <w:t xml:space="preserve">cījumiem; </w:t>
      </w:r>
    </w:p>
    <w:p w:rsidR="003E022D" w:rsidRDefault="007D19D6">
      <w:pPr>
        <w:numPr>
          <w:ilvl w:val="0"/>
          <w:numId w:val="1349"/>
        </w:numPr>
        <w:ind w:left="567" w:hanging="567"/>
        <w:rPr>
          <w:rFonts w:cstheme="minorHAnsi"/>
          <w:noProof/>
        </w:rPr>
      </w:pPr>
      <w:r>
        <w:rPr>
          <w:noProof/>
        </w:rPr>
        <w:t xml:space="preserve">veselības aizsardzību un drošību darbā, tostarp darba traumu vai arodslimību novēršanu, un kompensāciju šādu traumu vai slimību gadījumā; un </w:t>
      </w:r>
    </w:p>
    <w:p w:rsidR="003E022D" w:rsidRDefault="007D19D6">
      <w:pPr>
        <w:numPr>
          <w:ilvl w:val="0"/>
          <w:numId w:val="1349"/>
        </w:numPr>
        <w:ind w:left="567" w:hanging="567"/>
        <w:rPr>
          <w:rFonts w:cstheme="minorHAnsi"/>
          <w:noProof/>
        </w:rPr>
      </w:pPr>
      <w:r>
        <w:rPr>
          <w:noProof/>
        </w:rPr>
        <w:t>nediskrimināciju attiecībā uz darba apstākļiem, tostarp migrējošiem darba ņēmējiem.</w:t>
      </w:r>
    </w:p>
    <w:p w:rsidR="003E022D" w:rsidRDefault="007D19D6">
      <w:pPr>
        <w:numPr>
          <w:ilvl w:val="3"/>
          <w:numId w:val="1294"/>
        </w:numPr>
        <w:ind w:left="0" w:firstLine="0"/>
        <w:rPr>
          <w:rFonts w:cstheme="minorHAnsi"/>
          <w:noProof/>
        </w:rPr>
      </w:pPr>
      <w:r>
        <w:rPr>
          <w:noProof/>
        </w:rPr>
        <w:t>Katra Puse aizsargā</w:t>
      </w:r>
      <w:r>
        <w:rPr>
          <w:noProof/>
        </w:rPr>
        <w:t xml:space="preserve"> un veicina sociālo dialogu darba jautājumos starp darba ņēmējiem, darba devējiem un to attiecīgajām organizācijām, kā arī ar pārvaldes iestādēm. </w:t>
      </w:r>
    </w:p>
    <w:p w:rsidR="003E022D" w:rsidRDefault="007D19D6">
      <w:pPr>
        <w:numPr>
          <w:ilvl w:val="3"/>
          <w:numId w:val="1294"/>
        </w:numPr>
        <w:ind w:left="0" w:firstLine="0"/>
        <w:rPr>
          <w:rFonts w:cstheme="minorHAnsi"/>
          <w:noProof/>
        </w:rPr>
      </w:pPr>
      <w:r>
        <w:rPr>
          <w:noProof/>
        </w:rPr>
        <w:t>Puses sadarbojas attiecībā uz darba politikas un pasākumu aspektiem, kuri saistīti ar tirdzniecību, tostarp v</w:t>
      </w:r>
      <w:r>
        <w:rPr>
          <w:noProof/>
        </w:rPr>
        <w:t xml:space="preserve">ajadzības gadījumā daudzpusējos forumos, piemēram, SDO ietvaros. Šāda sadarbība cita starpā var attiekties uz: </w:t>
      </w:r>
    </w:p>
    <w:p w:rsidR="003E022D" w:rsidRDefault="007D19D6">
      <w:pPr>
        <w:numPr>
          <w:ilvl w:val="1"/>
          <w:numId w:val="1350"/>
        </w:numPr>
        <w:ind w:left="567" w:hanging="567"/>
        <w:rPr>
          <w:rFonts w:cstheme="minorHAnsi"/>
          <w:noProof/>
        </w:rPr>
      </w:pPr>
      <w:r>
        <w:rPr>
          <w:noProof/>
        </w:rPr>
        <w:t xml:space="preserve">fundamentālo, prioritāro un citu atjaunināto SDO konvenciju īstenošanas aspektiem, kas saistīti ar tirdzniecību; </w:t>
      </w:r>
    </w:p>
    <w:p w:rsidR="003E022D" w:rsidRDefault="007D19D6">
      <w:pPr>
        <w:numPr>
          <w:ilvl w:val="1"/>
          <w:numId w:val="1350"/>
        </w:numPr>
        <w:ind w:left="567" w:hanging="567"/>
        <w:rPr>
          <w:rFonts w:cstheme="minorHAnsi"/>
          <w:noProof/>
        </w:rPr>
      </w:pPr>
      <w:r>
        <w:rPr>
          <w:noProof/>
        </w:rPr>
        <w:t>ar tirdzniecību saistītiem asp</w:t>
      </w:r>
      <w:r>
        <w:rPr>
          <w:noProof/>
        </w:rPr>
        <w:t>ektiem SDO programmā pienācīgas kvalitātes nodarbinātībai, tostarp uz saikni starp tirdzniecību un pilnīgu un produktīvu nodarbinātību, darba tirgus pielāgošanu, darba pamatstandartiem, pienācīgas kvalitātes nodarbinātību globālajās piegādes ķēdēs, sociālo</w:t>
      </w:r>
      <w:r>
        <w:rPr>
          <w:noProof/>
        </w:rPr>
        <w:t xml:space="preserve"> aizsardzību un sociālo iekļaušanu, sociālo dialogu un dzimumu līdztiesību;</w:t>
      </w:r>
    </w:p>
    <w:p w:rsidR="003E022D" w:rsidRDefault="007D19D6">
      <w:pPr>
        <w:numPr>
          <w:ilvl w:val="1"/>
          <w:numId w:val="1350"/>
        </w:numPr>
        <w:ind w:left="567" w:hanging="567"/>
        <w:rPr>
          <w:rFonts w:cstheme="minorHAnsi"/>
          <w:noProof/>
        </w:rPr>
      </w:pPr>
      <w:r>
        <w:rPr>
          <w:noProof/>
        </w:rPr>
        <w:t>darba tiesību un standartu ietekmi uz tirdzniecību un investīcijām vai tirdzniecības un investīciju tiesību ietekmi uz darbu;</w:t>
      </w:r>
    </w:p>
    <w:p w:rsidR="003E022D" w:rsidRDefault="007D19D6">
      <w:pPr>
        <w:numPr>
          <w:ilvl w:val="1"/>
          <w:numId w:val="1350"/>
        </w:numPr>
        <w:ind w:left="567" w:hanging="567"/>
        <w:rPr>
          <w:rFonts w:cstheme="minorHAnsi"/>
          <w:noProof/>
        </w:rPr>
      </w:pPr>
      <w:r>
        <w:rPr>
          <w:noProof/>
        </w:rPr>
        <w:t xml:space="preserve">dialogu un informācijas apmaiņu par darba noteikumiem </w:t>
      </w:r>
      <w:r>
        <w:rPr>
          <w:noProof/>
        </w:rPr>
        <w:t>Pušu attiecīgo tirdzniecības nolīgumu kontekstā un šo noteikumu īstenošanu un</w:t>
      </w:r>
    </w:p>
    <w:p w:rsidR="003E022D" w:rsidRDefault="007D19D6">
      <w:pPr>
        <w:numPr>
          <w:ilvl w:val="1"/>
          <w:numId w:val="1350"/>
        </w:numPr>
        <w:ind w:left="567" w:hanging="567"/>
        <w:rPr>
          <w:rFonts w:cstheme="minorHAnsi"/>
          <w:noProof/>
        </w:rPr>
      </w:pPr>
      <w:r>
        <w:rPr>
          <w:noProof/>
        </w:rPr>
        <w:t>jebkādu citu sadarbības veidu, ko uzskata par atbilstošu.</w:t>
      </w:r>
    </w:p>
    <w:p w:rsidR="003E022D" w:rsidRDefault="007D19D6">
      <w:pPr>
        <w:numPr>
          <w:ilvl w:val="3"/>
          <w:numId w:val="1294"/>
        </w:numPr>
        <w:ind w:left="0" w:firstLine="0"/>
        <w:rPr>
          <w:rFonts w:cstheme="minorHAnsi"/>
          <w:noProof/>
        </w:rPr>
      </w:pPr>
      <w:r>
        <w:rPr>
          <w:noProof/>
        </w:rPr>
        <w:t>Apzinot sadarbības jomas un veicot sadarbības pasākumus, Puses apsver visus darba ņēmēju, darba devēju un pilsoniskās sa</w:t>
      </w:r>
      <w:r>
        <w:rPr>
          <w:noProof/>
        </w:rPr>
        <w:t>biedrības organizāciju pārstāvju sniegtos viedokļus.</w:t>
      </w:r>
    </w:p>
    <w:p w:rsidR="003E022D" w:rsidRDefault="007D19D6">
      <w:pPr>
        <w:pStyle w:val="Article"/>
        <w:rPr>
          <w:noProof/>
        </w:rPr>
      </w:pPr>
      <w:r>
        <w:rPr>
          <w:noProof/>
        </w:rPr>
        <w:t>8.4. pants. Daudzpusēji nolīgumi vides jomā</w:t>
      </w:r>
    </w:p>
    <w:p w:rsidR="003E022D" w:rsidRDefault="007D19D6">
      <w:pPr>
        <w:numPr>
          <w:ilvl w:val="6"/>
          <w:numId w:val="1294"/>
        </w:numPr>
        <w:ind w:left="0" w:firstLine="0"/>
        <w:rPr>
          <w:rFonts w:cstheme="minorHAnsi"/>
          <w:noProof/>
        </w:rPr>
      </w:pPr>
      <w:r>
        <w:rPr>
          <w:noProof/>
        </w:rPr>
        <w:t>Puses atzīst ANO Vides asamblejas (</w:t>
      </w:r>
      <w:r>
        <w:rPr>
          <w:i/>
          <w:noProof/>
        </w:rPr>
        <w:t>UNEA</w:t>
      </w:r>
      <w:r>
        <w:rPr>
          <w:noProof/>
        </w:rPr>
        <w:t>) ANO Vides programmas (</w:t>
      </w:r>
      <w:r>
        <w:rPr>
          <w:i/>
          <w:noProof/>
        </w:rPr>
        <w:t>UNEP</w:t>
      </w:r>
      <w:r>
        <w:rPr>
          <w:noProof/>
        </w:rPr>
        <w:t>) un daudzpusējās vides pārvaldības un nolīgumu svarīgumu starptautiskās sabiedrības atbildē</w:t>
      </w:r>
      <w:r>
        <w:rPr>
          <w:noProof/>
        </w:rPr>
        <w:t xml:space="preserve"> uz globālām vai reģionālām vides problēmām un uzsver vajadzību palielināt tirdzniecības un vides politikas, noteikumu un pasākumu savstarpējo atbalstu. </w:t>
      </w:r>
    </w:p>
    <w:p w:rsidR="003E022D" w:rsidRDefault="007D19D6">
      <w:pPr>
        <w:numPr>
          <w:ilvl w:val="6"/>
          <w:numId w:val="1294"/>
        </w:numPr>
        <w:ind w:left="0" w:firstLine="0"/>
        <w:rPr>
          <w:rFonts w:cstheme="minorHAnsi"/>
          <w:noProof/>
        </w:rPr>
      </w:pPr>
      <w:r>
        <w:rPr>
          <w:noProof/>
        </w:rPr>
        <w:t xml:space="preserve">Ņemot vērā 1. punktu, katra Puse apņemas efektīvi īstenot daudzpusējos vides nolīgumus, protokolus un </w:t>
      </w:r>
      <w:r>
        <w:rPr>
          <w:noProof/>
        </w:rPr>
        <w:t xml:space="preserve">grozījumus, ko tā ir ratificējusi savās tiesībās un praksē. </w:t>
      </w:r>
    </w:p>
    <w:p w:rsidR="003E022D" w:rsidRDefault="007D19D6">
      <w:pPr>
        <w:numPr>
          <w:ilvl w:val="6"/>
          <w:numId w:val="1294"/>
        </w:numPr>
        <w:ind w:left="0" w:firstLine="0"/>
        <w:rPr>
          <w:rFonts w:cstheme="minorHAnsi"/>
          <w:noProof/>
        </w:rPr>
      </w:pPr>
      <w:r>
        <w:rPr>
          <w:noProof/>
        </w:rPr>
        <w:t xml:space="preserve">Puses regulāri un vajadzības gadījumā apmainās ar informāciju par šādiem jautājumiem: </w:t>
      </w:r>
    </w:p>
    <w:p w:rsidR="003E022D" w:rsidRDefault="007D19D6">
      <w:pPr>
        <w:numPr>
          <w:ilvl w:val="1"/>
          <w:numId w:val="1346"/>
        </w:numPr>
        <w:ind w:left="567" w:hanging="567"/>
        <w:rPr>
          <w:rFonts w:cstheme="minorHAnsi"/>
          <w:noProof/>
        </w:rPr>
      </w:pPr>
      <w:r>
        <w:rPr>
          <w:noProof/>
        </w:rPr>
        <w:t xml:space="preserve">to situācija attiecībā uz daudzpusējo vides nolīgumu, tostarp to protokolu un grozījumu, ratifikāciju un </w:t>
      </w:r>
      <w:r>
        <w:rPr>
          <w:noProof/>
        </w:rPr>
        <w:t>īstenošanu;</w:t>
      </w:r>
    </w:p>
    <w:p w:rsidR="003E022D" w:rsidRDefault="007D19D6">
      <w:pPr>
        <w:numPr>
          <w:ilvl w:val="1"/>
          <w:numId w:val="1346"/>
        </w:numPr>
        <w:ind w:left="567" w:hanging="567"/>
        <w:rPr>
          <w:rFonts w:cstheme="minorHAnsi"/>
          <w:noProof/>
        </w:rPr>
      </w:pPr>
      <w:r>
        <w:rPr>
          <w:noProof/>
        </w:rPr>
        <w:t>notiekošas sarunas par jauniem daudzpusējiem vides nolīgumiem un</w:t>
      </w:r>
    </w:p>
    <w:p w:rsidR="003E022D" w:rsidRDefault="007D19D6">
      <w:pPr>
        <w:numPr>
          <w:ilvl w:val="1"/>
          <w:numId w:val="1346"/>
        </w:numPr>
        <w:ind w:left="567" w:hanging="567"/>
        <w:rPr>
          <w:rFonts w:cstheme="minorHAnsi"/>
          <w:noProof/>
        </w:rPr>
      </w:pPr>
      <w:r>
        <w:rPr>
          <w:noProof/>
        </w:rPr>
        <w:t>katras Puses attiecīgais viedoklis par to, vai kļūt par vēl citu daudzpusēju vides nolīgumu pusi.</w:t>
      </w:r>
    </w:p>
    <w:p w:rsidR="003E022D" w:rsidRDefault="007D19D6">
      <w:pPr>
        <w:numPr>
          <w:ilvl w:val="6"/>
          <w:numId w:val="1294"/>
        </w:numPr>
        <w:ind w:left="0" w:firstLine="0"/>
        <w:rPr>
          <w:rFonts w:cstheme="minorHAnsi"/>
          <w:noProof/>
        </w:rPr>
      </w:pPr>
      <w:r>
        <w:rPr>
          <w:noProof/>
        </w:rPr>
        <w:t xml:space="preserve">Puses atkārtoti apstiprina katras Puses tiesības pieņemt vai saglabāt pasākumus, </w:t>
      </w:r>
      <w:r>
        <w:rPr>
          <w:noProof/>
        </w:rPr>
        <w:t>lai veicinātu to daudzpusējo vides nolīgumu mērķu sasniegšanu, kuros tā ir puse. Puses atgādina, ka pasākumus, kas pieņemti vai izpildīti, lai īstenotu šādus daudzpusējus vides nolīgumus, var pamatot saskaņā ar XII sadaļas [Izņēmumi] EXC.1. pantu [Vispārēj</w:t>
      </w:r>
      <w:r>
        <w:rPr>
          <w:noProof/>
        </w:rPr>
        <w:t xml:space="preserve">i izņēmumi]. </w:t>
      </w:r>
    </w:p>
    <w:p w:rsidR="003E022D" w:rsidRDefault="007D19D6">
      <w:pPr>
        <w:numPr>
          <w:ilvl w:val="6"/>
          <w:numId w:val="1294"/>
        </w:numPr>
        <w:ind w:left="0" w:firstLine="0"/>
        <w:rPr>
          <w:rFonts w:cstheme="minorHAnsi"/>
          <w:noProof/>
        </w:rPr>
      </w:pPr>
      <w:r>
        <w:rPr>
          <w:noProof/>
        </w:rPr>
        <w:t>Puses sadarbojas attiecībā uz vides politikas un pasākumu aspektiem, kuri saistīti ar tirdzniecību, tostarp – attiecīgā gadījumā – tādos daudzpusējos forumos kā ANO Augsta līmeņa politiskais forums ilgtspējīgas attīstības jautājumos, ANO Vide</w:t>
      </w:r>
      <w:r>
        <w:rPr>
          <w:noProof/>
        </w:rPr>
        <w:t>s asambleja (</w:t>
      </w:r>
      <w:r>
        <w:rPr>
          <w:i/>
          <w:noProof/>
        </w:rPr>
        <w:t>UNEA</w:t>
      </w:r>
      <w:r>
        <w:rPr>
          <w:noProof/>
        </w:rPr>
        <w:t>), daudzpusējie vides nolīgumi, Starptautiskā Civilās aviācijas organizācija (</w:t>
      </w:r>
      <w:r>
        <w:rPr>
          <w:i/>
          <w:noProof/>
        </w:rPr>
        <w:t>ICAO</w:t>
      </w:r>
      <w:r>
        <w:rPr>
          <w:noProof/>
        </w:rPr>
        <w:t xml:space="preserve">) vai PTO. Šāda sadarbība cita starpā var attiekties uz: </w:t>
      </w:r>
    </w:p>
    <w:p w:rsidR="003E022D" w:rsidRDefault="007D19D6">
      <w:pPr>
        <w:numPr>
          <w:ilvl w:val="1"/>
          <w:numId w:val="1345"/>
        </w:numPr>
        <w:ind w:left="567" w:hanging="567"/>
        <w:rPr>
          <w:rFonts w:cstheme="minorHAnsi"/>
          <w:noProof/>
        </w:rPr>
      </w:pPr>
      <w:r>
        <w:rPr>
          <w:noProof/>
        </w:rPr>
        <w:t>iniciatīvām attiecībā uz ilgtspējīgu ražošanu un patēriņu, tostarp iniciatīvām, kuru mērķis ir veic</w:t>
      </w:r>
      <w:r>
        <w:rPr>
          <w:noProof/>
        </w:rPr>
        <w:t xml:space="preserve">ināt aprites ekonomiku, zaļo izaugsmi un piesārņojuma mazināšanu; </w:t>
      </w:r>
    </w:p>
    <w:p w:rsidR="003E022D" w:rsidRDefault="007D19D6">
      <w:pPr>
        <w:numPr>
          <w:ilvl w:val="1"/>
          <w:numId w:val="1345"/>
        </w:numPr>
        <w:ind w:left="567" w:hanging="567"/>
        <w:rPr>
          <w:rFonts w:cstheme="minorHAnsi"/>
          <w:noProof/>
        </w:rPr>
      </w:pPr>
      <w:r>
        <w:rPr>
          <w:noProof/>
        </w:rPr>
        <w:t xml:space="preserve">iniciatīvām, lai veicinātu vides preces un pakalpojumus, tostarp novēršot saistītos tarifu un netarifu šķēršļus; </w:t>
      </w:r>
    </w:p>
    <w:p w:rsidR="003E022D" w:rsidRDefault="007D19D6">
      <w:pPr>
        <w:numPr>
          <w:ilvl w:val="1"/>
          <w:numId w:val="1345"/>
        </w:numPr>
        <w:ind w:left="567" w:hanging="567"/>
        <w:rPr>
          <w:rFonts w:cstheme="minorHAnsi"/>
          <w:noProof/>
        </w:rPr>
      </w:pPr>
      <w:r>
        <w:rPr>
          <w:noProof/>
        </w:rPr>
        <w:t>vides tiesību un standartu ietekmi uz tirdzniecību un investīcijām vai tird</w:t>
      </w:r>
      <w:r>
        <w:rPr>
          <w:noProof/>
        </w:rPr>
        <w:t xml:space="preserve">zniecības un investīciju tiesību ietekmi uz vidi; </w:t>
      </w:r>
    </w:p>
    <w:p w:rsidR="003E022D" w:rsidRDefault="007D19D6">
      <w:pPr>
        <w:numPr>
          <w:ilvl w:val="1"/>
          <w:numId w:val="1345"/>
        </w:numPr>
        <w:ind w:left="567" w:hanging="567"/>
        <w:rPr>
          <w:rFonts w:cstheme="minorHAnsi"/>
          <w:noProof/>
        </w:rPr>
      </w:pPr>
      <w:r>
        <w:rPr>
          <w:noProof/>
        </w:rPr>
        <w:t>Čikāgā 1944. gada 7. decembrī pieņemtās Konvencijas par starptautisko civilo aviāciju 16. pielikuma un citu pasākumu īstenošanu, lai samazinātu aviācijas ietekmi uz vidi, tostarp gaisa satiksmes pārvaldība</w:t>
      </w:r>
      <w:r>
        <w:rPr>
          <w:noProof/>
        </w:rPr>
        <w:t>s jomā, un</w:t>
      </w:r>
    </w:p>
    <w:p w:rsidR="003E022D" w:rsidRDefault="007D19D6">
      <w:pPr>
        <w:numPr>
          <w:ilvl w:val="1"/>
          <w:numId w:val="1345"/>
        </w:numPr>
        <w:ind w:left="567" w:hanging="567"/>
        <w:rPr>
          <w:rFonts w:cstheme="minorHAnsi"/>
          <w:noProof/>
        </w:rPr>
      </w:pPr>
      <w:r>
        <w:rPr>
          <w:noProof/>
        </w:rPr>
        <w:t>citiem ar tirdzniecību saistītiem daudzpusēju vides nolīgumu aspektiem, tostarp to protokoliem, grozījumiem un īstenošanu.</w:t>
      </w:r>
    </w:p>
    <w:p w:rsidR="003E022D" w:rsidRDefault="007D19D6">
      <w:pPr>
        <w:numPr>
          <w:ilvl w:val="6"/>
          <w:numId w:val="1294"/>
        </w:numPr>
        <w:ind w:left="0" w:firstLine="0"/>
        <w:rPr>
          <w:rFonts w:cstheme="minorHAnsi"/>
          <w:noProof/>
        </w:rPr>
      </w:pPr>
      <w:r>
        <w:rPr>
          <w:noProof/>
        </w:rPr>
        <w:t>Sadarbība atbilstīgi 5. punktam var ietvert tehniskas apmaiņas, informācijas un paraugprakses apmaiņas, pētniecības projek</w:t>
      </w:r>
      <w:r>
        <w:rPr>
          <w:noProof/>
        </w:rPr>
        <w:t>tus, pētījumus, ziņojumus, konferences un darbseminārus.</w:t>
      </w:r>
    </w:p>
    <w:p w:rsidR="003E022D" w:rsidRDefault="007D19D6">
      <w:pPr>
        <w:numPr>
          <w:ilvl w:val="6"/>
          <w:numId w:val="1294"/>
        </w:numPr>
        <w:ind w:left="0" w:firstLine="0"/>
        <w:rPr>
          <w:rFonts w:cstheme="minorHAnsi"/>
          <w:noProof/>
        </w:rPr>
      </w:pPr>
      <w:r>
        <w:rPr>
          <w:noProof/>
        </w:rPr>
        <w:t>Puses apsver sabiedrības un ieinteresēto personu sniegtos viedokļus vai devumu attiecībā uz sadarbības pasākumu definēšanu un īstenošanu, un tās pēc tam vajadzības gadījumā var iesaistīt šādas ieinte</w:t>
      </w:r>
      <w:r>
        <w:rPr>
          <w:noProof/>
        </w:rPr>
        <w:t xml:space="preserve">resētās personas minētajās darbībās. </w:t>
      </w:r>
    </w:p>
    <w:p w:rsidR="003E022D" w:rsidRDefault="007D19D6">
      <w:pPr>
        <w:pStyle w:val="Article"/>
        <w:rPr>
          <w:noProof/>
        </w:rPr>
      </w:pPr>
      <w:r>
        <w:rPr>
          <w:noProof/>
        </w:rPr>
        <w:t>8.5. pants. Tirdzniecība un klimata pārmaiņas</w:t>
      </w:r>
    </w:p>
    <w:p w:rsidR="003E022D" w:rsidRDefault="007D19D6">
      <w:pPr>
        <w:numPr>
          <w:ilvl w:val="3"/>
          <w:numId w:val="1293"/>
        </w:numPr>
        <w:ind w:left="0" w:firstLine="0"/>
        <w:rPr>
          <w:rFonts w:cstheme="minorHAnsi"/>
          <w:noProof/>
        </w:rPr>
      </w:pPr>
      <w:r>
        <w:rPr>
          <w:noProof/>
        </w:rPr>
        <w:t xml:space="preserve">Puses atzīst, cik svarīgi ir steidzami rīkoties, lai cīnītos pret klimata pārmaiņām un to ietekmi, un tirdzniecības un investīciju nozīmi šā mērķa sasniegšanā atbilstīgi </w:t>
      </w:r>
      <w:r>
        <w:rPr>
          <w:i/>
          <w:iCs/>
          <w:noProof/>
        </w:rPr>
        <w:t>UN</w:t>
      </w:r>
      <w:r>
        <w:rPr>
          <w:i/>
          <w:iCs/>
          <w:noProof/>
        </w:rPr>
        <w:t>FCCC</w:t>
      </w:r>
      <w:r>
        <w:rPr>
          <w:noProof/>
        </w:rPr>
        <w:t xml:space="preserve">, Apvienoto Nāciju Organizācijas Vispārējās konvencijas par klimata pārmaiņām Pušu konferences 21. sesijā Parīzē 2015. gada 12. decembrī pieņemtā Parīzes nolīguma (“Parīzes nolīgums”) nolūkam un mērķiem, kā arī citiem daudzpusējiem vides nolīgumiem un </w:t>
      </w:r>
      <w:r>
        <w:rPr>
          <w:noProof/>
        </w:rPr>
        <w:t xml:space="preserve">daudzpusējiem instrumentiem klimata pārmaiņu jomā. </w:t>
      </w:r>
    </w:p>
    <w:p w:rsidR="003E022D" w:rsidRDefault="007D19D6">
      <w:pPr>
        <w:numPr>
          <w:ilvl w:val="3"/>
          <w:numId w:val="1293"/>
        </w:numPr>
        <w:ind w:left="0" w:firstLine="0"/>
        <w:rPr>
          <w:rFonts w:cstheme="minorHAnsi"/>
          <w:noProof/>
        </w:rPr>
      </w:pPr>
      <w:r>
        <w:rPr>
          <w:noProof/>
        </w:rPr>
        <w:t xml:space="preserve">Ņemot vērā 1. punktu, katra Puse: </w:t>
      </w:r>
    </w:p>
    <w:p w:rsidR="003E022D" w:rsidRDefault="007D19D6">
      <w:pPr>
        <w:numPr>
          <w:ilvl w:val="0"/>
          <w:numId w:val="1351"/>
        </w:numPr>
        <w:ind w:left="567" w:hanging="567"/>
        <w:rPr>
          <w:rFonts w:cstheme="minorHAnsi"/>
          <w:noProof/>
        </w:rPr>
      </w:pPr>
      <w:r>
        <w:rPr>
          <w:noProof/>
        </w:rPr>
        <w:t xml:space="preserve">apņemas efektīvi īstenot </w:t>
      </w:r>
      <w:r>
        <w:rPr>
          <w:i/>
          <w:iCs/>
          <w:noProof/>
        </w:rPr>
        <w:t>UNFCCC</w:t>
      </w:r>
      <w:r>
        <w:rPr>
          <w:noProof/>
        </w:rPr>
        <w:t xml:space="preserve"> un pieņemto Parīzes nolīgumu, saskaņā ar kuru viens no galvenajiem mērķiem ir stiprināt globālo reakciju uz klimata pārmaiņām un noturēt </w:t>
      </w:r>
      <w:r>
        <w:rPr>
          <w:noProof/>
        </w:rPr>
        <w:t>temperatūras paaugstināšanos pasaulē krietni zem 2°C salīdzinājumā ar pirmsindustriālo līmeni, kā arī turpināt centienus ierobežot temperatūras paaugstināšanos līdz 1,5ºC salīdzinājumā ar pirmsindustriālo līmeni;</w:t>
      </w:r>
    </w:p>
    <w:p w:rsidR="003E022D" w:rsidRDefault="007D19D6">
      <w:pPr>
        <w:numPr>
          <w:ilvl w:val="0"/>
          <w:numId w:val="1351"/>
        </w:numPr>
        <w:ind w:left="567" w:hanging="567"/>
        <w:rPr>
          <w:rFonts w:cstheme="minorHAnsi"/>
          <w:noProof/>
        </w:rPr>
      </w:pPr>
      <w:r>
        <w:rPr>
          <w:noProof/>
        </w:rPr>
        <w:t xml:space="preserve">veicina tirdzniecības un klimata politikas </w:t>
      </w:r>
      <w:r>
        <w:rPr>
          <w:noProof/>
        </w:rPr>
        <w:t xml:space="preserve">un pasākumu savstarpēju atbalstu, tādējādi veicinot pāreju uz resursefektīvu ekonomiku ar zemu siltumnīcefekta gāzu emisiju līmeni un klimatnoturīgu attīstību; </w:t>
      </w:r>
    </w:p>
    <w:p w:rsidR="003E022D" w:rsidRDefault="007D19D6">
      <w:pPr>
        <w:numPr>
          <w:ilvl w:val="0"/>
          <w:numId w:val="1351"/>
        </w:numPr>
        <w:ind w:left="567" w:hanging="567"/>
        <w:rPr>
          <w:rFonts w:cstheme="minorHAnsi"/>
          <w:noProof/>
        </w:rPr>
      </w:pPr>
      <w:r>
        <w:rPr>
          <w:noProof/>
        </w:rPr>
        <w:t>veicina šķēršļu novēršanu tirdzniecībai ar tādām precēm un pakalpojumiem un ieguldījumiem tādās</w:t>
      </w:r>
      <w:r>
        <w:rPr>
          <w:noProof/>
        </w:rPr>
        <w:t xml:space="preserve"> precēs un pakalpojumos, kas ir īpaši svarīgi, lai mazinātu klimata pārmaiņas un pielāgotos tām, piemēram, atjaunojamo energoresursu enerģija, energoefektīvi produkti un pakalpojumi, piemēram, novēršot tarifu un netarifu šķēršļus vai pieņemot politikas reg</w:t>
      </w:r>
      <w:r>
        <w:rPr>
          <w:noProof/>
        </w:rPr>
        <w:t>ulējumu, kurš veicina vislabāko pieejamo risinājumu izmantošanu.</w:t>
      </w:r>
    </w:p>
    <w:p w:rsidR="003E022D" w:rsidRDefault="007D19D6">
      <w:pPr>
        <w:numPr>
          <w:ilvl w:val="3"/>
          <w:numId w:val="1293"/>
        </w:numPr>
        <w:ind w:left="0" w:firstLine="0"/>
        <w:rPr>
          <w:rFonts w:cstheme="minorHAnsi"/>
          <w:noProof/>
        </w:rPr>
      </w:pPr>
      <w:r>
        <w:rPr>
          <w:noProof/>
        </w:rPr>
        <w:t xml:space="preserve">Puses sadarbojas, lai stiprinātu sadarbību ar tirdzniecību saistītos klimata pārmaiņu politikas un pasākumu aspektos attiecīgi divpusēji, reģionāli un starptautiskos forumos, tostarp </w:t>
      </w:r>
      <w:r>
        <w:rPr>
          <w:i/>
          <w:iCs/>
          <w:noProof/>
        </w:rPr>
        <w:t>UNFCCC</w:t>
      </w:r>
      <w:r>
        <w:rPr>
          <w:noProof/>
        </w:rPr>
        <w:t xml:space="preserve">, </w:t>
      </w:r>
      <w:r>
        <w:rPr>
          <w:noProof/>
        </w:rPr>
        <w:t>PTO, Monreālas protokolā par ozona slāni noārdošām vielām, kas pieņemts Monreālā 1987. gada 26. augustā (“Monreālas protokols”), Starptautiskajā Jūrniecības organizācijā (SJO) un Starptautiskajā Civilās aviācijas organizācijā (</w:t>
      </w:r>
      <w:r>
        <w:rPr>
          <w:i/>
          <w:iCs/>
          <w:noProof/>
        </w:rPr>
        <w:t>ICAO</w:t>
      </w:r>
      <w:r>
        <w:rPr>
          <w:noProof/>
        </w:rPr>
        <w:t>). Šāda sadarbība cita st</w:t>
      </w:r>
      <w:r>
        <w:rPr>
          <w:noProof/>
        </w:rPr>
        <w:t xml:space="preserve">arpā var attiekties uz: </w:t>
      </w:r>
    </w:p>
    <w:p w:rsidR="003E022D" w:rsidRDefault="007D19D6">
      <w:pPr>
        <w:numPr>
          <w:ilvl w:val="0"/>
          <w:numId w:val="1352"/>
        </w:numPr>
        <w:ind w:left="567" w:hanging="567"/>
        <w:rPr>
          <w:rFonts w:cstheme="minorHAnsi"/>
          <w:noProof/>
        </w:rPr>
      </w:pPr>
      <w:r>
        <w:rPr>
          <w:noProof/>
        </w:rPr>
        <w:t>politikas dialogu un sadarbību attiecībā uz Parīzes nolīguma īstenošanu, piemēram, saistībā ar līdzekļiem, lai veicinātu noturību pret klimata pārmaiņām, atjaunojamo energoresursu enerģiju, mazoglekļa tehnoloģijas, energoefektivitā</w:t>
      </w:r>
      <w:r>
        <w:rPr>
          <w:noProof/>
        </w:rPr>
        <w:t xml:space="preserve">ti, ilgtspējīgu transportu, ilgtspējīgas un klimatnoturīgas infrastruktūras attīstību, emisiju monitoringu, starptautiskos oglekļa dioksīda emisiju tirgus; </w:t>
      </w:r>
    </w:p>
    <w:p w:rsidR="003E022D" w:rsidRDefault="007D19D6">
      <w:pPr>
        <w:numPr>
          <w:ilvl w:val="0"/>
          <w:numId w:val="1352"/>
        </w:numPr>
        <w:ind w:left="567" w:hanging="567"/>
        <w:rPr>
          <w:rFonts w:cstheme="minorHAnsi"/>
          <w:noProof/>
        </w:rPr>
      </w:pPr>
      <w:r>
        <w:rPr>
          <w:noProof/>
        </w:rPr>
        <w:t xml:space="preserve">atbalstu tam, ka SJO izstrādā un pieņem vērienīgus un efektīvus siltumnīcefekta gāzu emisiju samazināšanas pasākumus, kas jāīsteno kuģiem, kuri iesaistīti starptautiskajā tirdzniecībā; </w:t>
      </w:r>
    </w:p>
    <w:p w:rsidR="003E022D" w:rsidRDefault="007D19D6">
      <w:pPr>
        <w:numPr>
          <w:ilvl w:val="0"/>
          <w:numId w:val="1352"/>
        </w:numPr>
        <w:ind w:left="567" w:hanging="567"/>
        <w:rPr>
          <w:rFonts w:cstheme="minorHAnsi"/>
          <w:noProof/>
        </w:rPr>
      </w:pPr>
      <w:r>
        <w:rPr>
          <w:noProof/>
        </w:rPr>
        <w:t xml:space="preserve">atbalstu tam, ka </w:t>
      </w:r>
      <w:r>
        <w:rPr>
          <w:i/>
          <w:noProof/>
        </w:rPr>
        <w:t>ICAO</w:t>
      </w:r>
      <w:r>
        <w:rPr>
          <w:noProof/>
        </w:rPr>
        <w:t xml:space="preserve"> izstrādā un pieņem vērienīgus un efektīvus siltu</w:t>
      </w:r>
      <w:r>
        <w:rPr>
          <w:noProof/>
        </w:rPr>
        <w:t xml:space="preserve">mnīcefekta gāzu emisiju samazināšanas pasākumus; </w:t>
      </w:r>
    </w:p>
    <w:p w:rsidR="003E022D" w:rsidRDefault="007D19D6">
      <w:pPr>
        <w:numPr>
          <w:ilvl w:val="0"/>
          <w:numId w:val="1352"/>
        </w:numPr>
        <w:ind w:left="567" w:hanging="567"/>
        <w:rPr>
          <w:rFonts w:cstheme="minorHAnsi"/>
          <w:noProof/>
        </w:rPr>
      </w:pPr>
      <w:r>
        <w:rPr>
          <w:noProof/>
        </w:rPr>
        <w:t>atbalstu vērienīgai ozona slāni noārdošo vielu izmantošanas pakāpeniskai izbeigšanai un fluorogļūdeņražu izmantošanas pakāpeniskai samazināšanai saskaņā ar Monreālas protokolu, veicot pasākumus, lai kontrol</w:t>
      </w:r>
      <w:r>
        <w:rPr>
          <w:noProof/>
        </w:rPr>
        <w:t xml:space="preserve">ētu to ražošanu, patēriņu un tirdzniecību; videi draudzīgu alternatīvu ieviešanu; drošības un citu attiecīgu standartu atjaunināšanu, kā arī Monreālas protokolā reglamentēto vielu nelikumīgas tirdzniecības apkarošanu. </w:t>
      </w:r>
    </w:p>
    <w:p w:rsidR="003E022D" w:rsidRDefault="007D19D6">
      <w:pPr>
        <w:pStyle w:val="Article"/>
        <w:rPr>
          <w:noProof/>
        </w:rPr>
      </w:pPr>
      <w:r>
        <w:rPr>
          <w:noProof/>
        </w:rPr>
        <w:t>8.6. pants. Tirdzniecība un bioloģisk</w:t>
      </w:r>
      <w:r>
        <w:rPr>
          <w:noProof/>
        </w:rPr>
        <w:t>ā daudzveidība</w:t>
      </w:r>
    </w:p>
    <w:p w:rsidR="003E022D" w:rsidRDefault="007D19D6">
      <w:pPr>
        <w:numPr>
          <w:ilvl w:val="6"/>
          <w:numId w:val="1293"/>
        </w:numPr>
        <w:ind w:left="0" w:firstLine="0"/>
        <w:rPr>
          <w:rFonts w:cstheme="minorHAnsi"/>
          <w:noProof/>
        </w:rPr>
      </w:pPr>
      <w:r>
        <w:rPr>
          <w:noProof/>
        </w:rPr>
        <w:t>Puses atzīst, cik svarīgi ir saglabāt un ilgtspējīgi izmantot bioloģisko daudzveidību un tirdzniecības nozīmīgumu šo mērķu sasniegšanā, tostarp veicinot ilgtspējīgu tirdzniecību vai kontrolējot vai ierobežojot apdraudēto sugu tirdzniecību, s</w:t>
      </w:r>
      <w:r>
        <w:rPr>
          <w:noProof/>
        </w:rPr>
        <w:t>askaņā ar attiecīgajiem daudzpusējiem nolīgumiem vides jomā, kuru puses tās ir, un saskaņā ar to pieņemtajiem lēmumiem, jo īpaši Konvenciju par bioloģisko daudzveidību un tās protokoliem un Vašingtonā 1973. gada 3. martā pieņemto Konvenciju par starptautis</w:t>
      </w:r>
      <w:r>
        <w:rPr>
          <w:noProof/>
        </w:rPr>
        <w:t>ko tirdzniecību ar apdraudētajām savvaļas dzīvnieku un augu sugām (</w:t>
      </w:r>
      <w:r>
        <w:rPr>
          <w:i/>
          <w:iCs/>
          <w:noProof/>
        </w:rPr>
        <w:t>CITES</w:t>
      </w:r>
      <w:r>
        <w:rPr>
          <w:noProof/>
        </w:rPr>
        <w:t xml:space="preserve">). </w:t>
      </w:r>
    </w:p>
    <w:p w:rsidR="003E022D" w:rsidRDefault="007D19D6">
      <w:pPr>
        <w:numPr>
          <w:ilvl w:val="6"/>
          <w:numId w:val="1293"/>
        </w:numPr>
        <w:ind w:left="0" w:firstLine="0"/>
        <w:rPr>
          <w:rFonts w:cstheme="minorHAnsi"/>
          <w:noProof/>
        </w:rPr>
      </w:pPr>
      <w:r>
        <w:rPr>
          <w:noProof/>
        </w:rPr>
        <w:t xml:space="preserve">Ņemot vērā 1. punktu, katra Puse: </w:t>
      </w:r>
    </w:p>
    <w:p w:rsidR="003E022D" w:rsidRDefault="007D19D6">
      <w:pPr>
        <w:numPr>
          <w:ilvl w:val="0"/>
          <w:numId w:val="1353"/>
        </w:numPr>
        <w:ind w:left="567" w:hanging="567"/>
        <w:rPr>
          <w:rFonts w:cstheme="minorHAnsi"/>
          <w:noProof/>
        </w:rPr>
      </w:pPr>
      <w:r>
        <w:rPr>
          <w:noProof/>
        </w:rPr>
        <w:t>īsteno efektīvus pasākumus, lai apkarotu savvaļas dzīvnieku un augu nelikumīgu tirdzniecību, tostarp vajadzības gadījumā attiecībā uz trešām vals</w:t>
      </w:r>
      <w:r>
        <w:rPr>
          <w:noProof/>
        </w:rPr>
        <w:t xml:space="preserve">tīm; </w:t>
      </w:r>
    </w:p>
    <w:p w:rsidR="003E022D" w:rsidRDefault="007D19D6">
      <w:pPr>
        <w:numPr>
          <w:ilvl w:val="0"/>
          <w:numId w:val="1353"/>
        </w:numPr>
        <w:ind w:left="567" w:hanging="567"/>
        <w:rPr>
          <w:rFonts w:cstheme="minorHAnsi"/>
          <w:noProof/>
        </w:rPr>
      </w:pPr>
      <w:r>
        <w:rPr>
          <w:noProof/>
        </w:rPr>
        <w:t xml:space="preserve">veicināt </w:t>
      </w:r>
      <w:r>
        <w:rPr>
          <w:i/>
          <w:noProof/>
        </w:rPr>
        <w:t>CITES</w:t>
      </w:r>
      <w:r>
        <w:rPr>
          <w:noProof/>
        </w:rPr>
        <w:t xml:space="preserve"> kā bioloģiskās daudzveidības saglabāšanas un ilgtspējīgas pārvaldības instrumenta izmantošanu, tostarp iekļaujot </w:t>
      </w:r>
      <w:r>
        <w:rPr>
          <w:i/>
          <w:noProof/>
        </w:rPr>
        <w:t>CITES</w:t>
      </w:r>
      <w:r>
        <w:rPr>
          <w:noProof/>
        </w:rPr>
        <w:t xml:space="preserve"> papildinājumos dzīvnieku un augu sugas tajos gadījumos, kad konkrēto sugu saglabāšana tiek uzskatīta par apdraudētu </w:t>
      </w:r>
      <w:r>
        <w:rPr>
          <w:noProof/>
        </w:rPr>
        <w:t>starptautiskās tirdzniecības dēļ;</w:t>
      </w:r>
    </w:p>
    <w:p w:rsidR="003E022D" w:rsidRDefault="007D19D6">
      <w:pPr>
        <w:numPr>
          <w:ilvl w:val="0"/>
          <w:numId w:val="1353"/>
        </w:numPr>
        <w:ind w:left="567" w:hanging="567"/>
        <w:rPr>
          <w:rFonts w:cstheme="minorHAnsi"/>
          <w:noProof/>
        </w:rPr>
      </w:pPr>
      <w:r>
        <w:rPr>
          <w:noProof/>
        </w:rPr>
        <w:t>sekmē tādu produktu tirdzniecību, kas iegūti, ilgtspējīgi izmantojot bioloģiskos resursus, un kas veicina bioloģiskās daudzveidības saglabāšanu,</w:t>
      </w:r>
    </w:p>
    <w:p w:rsidR="003E022D" w:rsidRDefault="007D19D6">
      <w:pPr>
        <w:numPr>
          <w:ilvl w:val="0"/>
          <w:numId w:val="1353"/>
        </w:numPr>
        <w:ind w:left="567" w:hanging="567"/>
        <w:rPr>
          <w:rFonts w:cstheme="minorHAnsi"/>
          <w:noProof/>
        </w:rPr>
      </w:pPr>
      <w:r>
        <w:rPr>
          <w:noProof/>
        </w:rPr>
        <w:t>turpina veikt pasākumus, lai saglabātu bioloģisko daudzveidību, ja tā ir pakļ</w:t>
      </w:r>
      <w:r>
        <w:rPr>
          <w:noProof/>
        </w:rPr>
        <w:t>auta spiedienam, kurš saistīts ar tirdzniecību un ieguldījumiem, jo īpaši, veicot pasākumus, lai novērstu invazīvu svešzemju sugu izplatīšanos.</w:t>
      </w:r>
    </w:p>
    <w:p w:rsidR="003E022D" w:rsidRDefault="007D19D6">
      <w:pPr>
        <w:numPr>
          <w:ilvl w:val="6"/>
          <w:numId w:val="1293"/>
        </w:numPr>
        <w:ind w:left="0" w:firstLine="0"/>
        <w:rPr>
          <w:rFonts w:cstheme="minorHAnsi"/>
          <w:noProof/>
        </w:rPr>
      </w:pPr>
      <w:r>
        <w:rPr>
          <w:noProof/>
        </w:rPr>
        <w:t>Puses sadarbojas ar tirdzniecību saistītos jautājumos, kuri ir būtiski šim pantam, tostarp vajadzības gadījumā t</w:t>
      </w:r>
      <w:r>
        <w:rPr>
          <w:noProof/>
        </w:rPr>
        <w:t xml:space="preserve">ādos daudzpusējos forumos kā </w:t>
      </w:r>
      <w:r>
        <w:rPr>
          <w:i/>
          <w:iCs/>
          <w:noProof/>
        </w:rPr>
        <w:t>CITES</w:t>
      </w:r>
      <w:r>
        <w:rPr>
          <w:noProof/>
        </w:rPr>
        <w:t xml:space="preserve"> un Konvencija par bioloģisko daudzveidību. Šāda sadarbība cita starpā var attiekties uz: tirdzniecību ar savvaļas dzīvniekiem un augiem un dabas resursiem, ekosistēmu un saistīto pakalpojumu izvērtēšanu un novērtēšanu, pi</w:t>
      </w:r>
      <w:r>
        <w:rPr>
          <w:noProof/>
        </w:rPr>
        <w:t xml:space="preserve">ekļuvi ģenētiskajiem resursiem un godīgu un vienlīdzīgu to ieguvumu sadali, kuri gūti no to izmantošanas saskaņā ar Konvencijas par bioloģisko daudzveidību Nagojas protokolu par piekļuvi ģenētiskajiem resursiem un godīgu un vienlīdzīgu to ieguvumu sadali, </w:t>
      </w:r>
      <w:r>
        <w:rPr>
          <w:noProof/>
        </w:rPr>
        <w:t xml:space="preserve">kuri iegūti no to izmantošanas, kas pieņemts Nagojā 2010. gada 29. oktobrī. </w:t>
      </w:r>
    </w:p>
    <w:p w:rsidR="003E022D" w:rsidRDefault="007D19D6">
      <w:pPr>
        <w:pStyle w:val="Article"/>
        <w:rPr>
          <w:noProof/>
        </w:rPr>
      </w:pPr>
      <w:r>
        <w:rPr>
          <w:noProof/>
        </w:rPr>
        <w:t>8.7. pants. Tirdzniecība un meži</w:t>
      </w:r>
    </w:p>
    <w:p w:rsidR="003E022D" w:rsidRDefault="007D19D6">
      <w:pPr>
        <w:numPr>
          <w:ilvl w:val="3"/>
          <w:numId w:val="1292"/>
        </w:numPr>
        <w:ind w:left="0" w:firstLine="0"/>
        <w:rPr>
          <w:rFonts w:cstheme="minorHAnsi"/>
          <w:noProof/>
        </w:rPr>
      </w:pPr>
      <w:r>
        <w:rPr>
          <w:noProof/>
        </w:rPr>
        <w:t>Puses atzīst, cik svarīgi ir saglabāt un ilgtspējīgi apsaimniekot mežus, lai nodrošinātu vides funkcijas un pavērtu ekonomiskās un sociālās iespēj</w:t>
      </w:r>
      <w:r>
        <w:rPr>
          <w:noProof/>
        </w:rPr>
        <w:t xml:space="preserve">as esošajām un nākamajām paaudzēm, kā arī atzīst tirdzniecības nozīmi šā mērķa sasniegšanā. </w:t>
      </w:r>
    </w:p>
    <w:p w:rsidR="003E022D" w:rsidRDefault="007D19D6">
      <w:pPr>
        <w:numPr>
          <w:ilvl w:val="3"/>
          <w:numId w:val="1292"/>
        </w:numPr>
        <w:ind w:left="0" w:firstLine="0"/>
        <w:rPr>
          <w:rFonts w:cstheme="minorHAnsi"/>
          <w:noProof/>
        </w:rPr>
      </w:pPr>
      <w:r>
        <w:rPr>
          <w:noProof/>
        </w:rPr>
        <w:t xml:space="preserve">Ņemot vērā 1. punktu un atbilstīgi savām starptautiskajām saistībām, katra Puse: </w:t>
      </w:r>
    </w:p>
    <w:p w:rsidR="003E022D" w:rsidRDefault="007D19D6">
      <w:pPr>
        <w:numPr>
          <w:ilvl w:val="0"/>
          <w:numId w:val="1354"/>
        </w:numPr>
        <w:ind w:left="567" w:hanging="567"/>
        <w:rPr>
          <w:rFonts w:cstheme="minorHAnsi"/>
          <w:noProof/>
        </w:rPr>
      </w:pPr>
      <w:r>
        <w:rPr>
          <w:noProof/>
        </w:rPr>
        <w:t xml:space="preserve">turpina īstenot pasākumus, lai apkarotu nelikumīgu mežizstrādi un ar to saistītu tirdzniecību, tostarp vajadzības gadījumā attiecībā uz trešām valstīm, un sekmē tirdzniecību ar likumīgi iegūtiem meža produktiem; </w:t>
      </w:r>
    </w:p>
    <w:p w:rsidR="003E022D" w:rsidRDefault="007D19D6">
      <w:pPr>
        <w:numPr>
          <w:ilvl w:val="0"/>
          <w:numId w:val="1354"/>
        </w:numPr>
        <w:ind w:left="567" w:hanging="567"/>
        <w:rPr>
          <w:rFonts w:cstheme="minorHAnsi"/>
          <w:noProof/>
        </w:rPr>
      </w:pPr>
      <w:r>
        <w:rPr>
          <w:noProof/>
        </w:rPr>
        <w:t>sekmē mežu saglabāšanu un ilgtspējīgu apsai</w:t>
      </w:r>
      <w:r>
        <w:rPr>
          <w:noProof/>
        </w:rPr>
        <w:t xml:space="preserve">mniekošanu un koksnes un koksnes izstrādājumu, kas iegūti saskaņā ar ieguves valsts tiesībām un no ilgtspējīgi apsaimniekotiem mežiem, tirdzniecību un patēriņu, un </w:t>
      </w:r>
    </w:p>
    <w:p w:rsidR="003E022D" w:rsidRDefault="007D19D6">
      <w:pPr>
        <w:numPr>
          <w:ilvl w:val="0"/>
          <w:numId w:val="1354"/>
        </w:numPr>
        <w:ind w:left="567" w:hanging="567"/>
        <w:rPr>
          <w:rFonts w:cstheme="minorHAnsi"/>
          <w:noProof/>
        </w:rPr>
      </w:pPr>
      <w:r>
        <w:rPr>
          <w:noProof/>
        </w:rPr>
        <w:t>apmainās ar otru Pusi ar informāciju par iniciatīvām, kas saistītas ar tirdzniecību, ilgtsp</w:t>
      </w:r>
      <w:r>
        <w:rPr>
          <w:noProof/>
        </w:rPr>
        <w:t>ējīgas mežu apsaimniekošanas, mežu pārvaldības un meža seguma saglabāšanas jomā, un Puses sadarbojas, lai maksimāli palielinātu to attiecīgo savstarpēji interesējošo politiku ietekmi un savstarpējo atbalstu.</w:t>
      </w:r>
    </w:p>
    <w:p w:rsidR="003E022D" w:rsidRDefault="007D19D6">
      <w:pPr>
        <w:numPr>
          <w:ilvl w:val="0"/>
          <w:numId w:val="1292"/>
        </w:numPr>
        <w:ind w:left="0" w:firstLine="0"/>
        <w:rPr>
          <w:rFonts w:cstheme="minorHAnsi"/>
          <w:noProof/>
        </w:rPr>
      </w:pPr>
      <w:r>
        <w:rPr>
          <w:noProof/>
        </w:rPr>
        <w:t>Puses sadarbojas, lai stiprinātu to sadarbību ar</w:t>
      </w:r>
      <w:r>
        <w:rPr>
          <w:noProof/>
        </w:rPr>
        <w:t xml:space="preserve"> tirdzniecību saistītos ilgtspējīgas mežu apsaimniekošanas, meža seguma saglabāšanas un nelikumīgas mežizstrādes aspektos, tostarp vajadzības gadījumā daudzpusējos forumos. </w:t>
      </w:r>
    </w:p>
    <w:p w:rsidR="003E022D" w:rsidRDefault="007D19D6">
      <w:pPr>
        <w:pStyle w:val="Article"/>
        <w:rPr>
          <w:noProof/>
        </w:rPr>
      </w:pPr>
      <w:r>
        <w:rPr>
          <w:noProof/>
        </w:rPr>
        <w:t>8.8. pants. Tirdzniecība un jūras bioloģisko resursu un akvakultūras ilgtspējīga p</w:t>
      </w:r>
      <w:r>
        <w:rPr>
          <w:noProof/>
        </w:rPr>
        <w:t>ārvaldība</w:t>
      </w:r>
    </w:p>
    <w:p w:rsidR="003E022D" w:rsidRDefault="007D19D6">
      <w:pPr>
        <w:numPr>
          <w:ilvl w:val="3"/>
          <w:numId w:val="1292"/>
        </w:numPr>
        <w:ind w:left="0" w:firstLine="0"/>
        <w:rPr>
          <w:rFonts w:cstheme="minorHAnsi"/>
          <w:noProof/>
        </w:rPr>
      </w:pPr>
      <w:r>
        <w:rPr>
          <w:noProof/>
        </w:rPr>
        <w:t>Puses atzīst, cik svarīgi ir saglabāt un ilgtspējīgi pārvaldīt jūras bioloģisko resursus un ekosistēmas, kā arī veicināt atbildīgu un ilgtspējīgu akvakultūru, un atzīst tirdzniecības nozīmi šo mērķu sasniegšanā.</w:t>
      </w:r>
    </w:p>
    <w:p w:rsidR="003E022D" w:rsidRDefault="007D19D6">
      <w:pPr>
        <w:numPr>
          <w:ilvl w:val="3"/>
          <w:numId w:val="1292"/>
        </w:numPr>
        <w:ind w:left="0" w:firstLine="0"/>
        <w:rPr>
          <w:rFonts w:cstheme="minorHAnsi"/>
          <w:noProof/>
        </w:rPr>
      </w:pPr>
      <w:r>
        <w:rPr>
          <w:noProof/>
        </w:rPr>
        <w:t>Ņemot vērā 1. punktu, katra Puse:</w:t>
      </w:r>
    </w:p>
    <w:p w:rsidR="003E022D" w:rsidRDefault="007D19D6">
      <w:pPr>
        <w:numPr>
          <w:ilvl w:val="0"/>
          <w:numId w:val="1355"/>
        </w:numPr>
        <w:ind w:left="567" w:hanging="567"/>
        <w:rPr>
          <w:rFonts w:cstheme="minorHAnsi"/>
          <w:noProof/>
        </w:rPr>
      </w:pPr>
      <w:r>
        <w:rPr>
          <w:noProof/>
        </w:rPr>
        <w:t>apņemas rīkoties saskanīgi un attiecīgā gadījumā ievērot attiecīgos ANO un Pārtikas un lauksaimniecības organizācijas (</w:t>
      </w:r>
      <w:r>
        <w:rPr>
          <w:i/>
          <w:iCs/>
          <w:noProof/>
        </w:rPr>
        <w:t>FAO</w:t>
      </w:r>
      <w:r>
        <w:rPr>
          <w:noProof/>
        </w:rPr>
        <w:t>) nolīgumus, Apvienoto Nāciju Organizācijas Jūras tiesību konvenciju, Nolīgumu par 1982. gada 10. decembra Apvienoto Nāciju Jūras ties</w:t>
      </w:r>
      <w:r>
        <w:rPr>
          <w:noProof/>
        </w:rPr>
        <w:t xml:space="preserve">ību konvencijas īstenošanu attiecībā uz transzonālo zivju krājumu un tālu migrējošo zivju krājumu saglabāšanu un apsaimniekošanu, kas pieņemts Ņujorkā 1995. gada 4. augustā, </w:t>
      </w:r>
      <w:r>
        <w:rPr>
          <w:i/>
          <w:iCs/>
          <w:noProof/>
        </w:rPr>
        <w:t>FAO</w:t>
      </w:r>
      <w:r>
        <w:rPr>
          <w:noProof/>
        </w:rPr>
        <w:t xml:space="preserve"> Nolīgumu par zvejas kuģu atbilstības veicināšanu starptautiskajiem saglabāšana</w:t>
      </w:r>
      <w:r>
        <w:rPr>
          <w:noProof/>
        </w:rPr>
        <w:t xml:space="preserve">s un pārvaldības pasākumiem atklātā jūrā, kas pieņemts Romā 1993. gada 24. novembrī, </w:t>
      </w:r>
      <w:r>
        <w:rPr>
          <w:i/>
          <w:iCs/>
          <w:noProof/>
        </w:rPr>
        <w:t>FAO</w:t>
      </w:r>
      <w:r>
        <w:rPr>
          <w:noProof/>
        </w:rPr>
        <w:t xml:space="preserve"> Atbildīgas zivsaimniecības rīcības kodeksu un </w:t>
      </w:r>
      <w:r>
        <w:rPr>
          <w:i/>
          <w:iCs/>
          <w:noProof/>
        </w:rPr>
        <w:t>FAO</w:t>
      </w:r>
      <w:r>
        <w:rPr>
          <w:noProof/>
        </w:rPr>
        <w:t xml:space="preserve"> Nolīgumu par ostas valsts pasākumiem, lai aizkavētu, novērstu un izskaustu nelegālu, nereģistrētu un neregulētu (NNN)</w:t>
      </w:r>
      <w:r>
        <w:rPr>
          <w:noProof/>
        </w:rPr>
        <w:t xml:space="preserve"> zveju, kas apstiprināts FAO konferences 36. sesijā Romā 2009. gada 22. novembrī, kā arī piedalīties </w:t>
      </w:r>
      <w:r>
        <w:rPr>
          <w:i/>
          <w:iCs/>
          <w:noProof/>
        </w:rPr>
        <w:t>FAO</w:t>
      </w:r>
      <w:r>
        <w:rPr>
          <w:noProof/>
        </w:rPr>
        <w:t xml:space="preserve"> iniciatīvā attiecībā uz Globālo zvejas kuģu, transporta saldētājkuģu un apgādes kuģu reģistru;</w:t>
      </w:r>
    </w:p>
    <w:p w:rsidR="003E022D" w:rsidRDefault="007D19D6">
      <w:pPr>
        <w:numPr>
          <w:ilvl w:val="0"/>
          <w:numId w:val="1355"/>
        </w:numPr>
        <w:ind w:left="567" w:hanging="567"/>
        <w:rPr>
          <w:rFonts w:cstheme="minorHAnsi"/>
          <w:noProof/>
        </w:rPr>
      </w:pPr>
      <w:r>
        <w:rPr>
          <w:noProof/>
        </w:rPr>
        <w:t>veicina ilgtspējīgu zivsaimniecību un labu zivsaimniecīb</w:t>
      </w:r>
      <w:r>
        <w:rPr>
          <w:noProof/>
        </w:rPr>
        <w:t>as pārvaldību, aktīvi piedaloties to attiecīgo starptautisko organizāciju vai struktūru darbā, kurās tās ir dalībnieces, novērotājas vai sadarbības partneres, kas nav līgumslēdzējas puses, tostarp reģionālo zvejniecības pārvaldības organizāciju (RZPO) darb</w:t>
      </w:r>
      <w:r>
        <w:rPr>
          <w:noProof/>
        </w:rPr>
        <w:t xml:space="preserve">ā, vajadzības gadījumā efektīvi uzraugot, kontrolējot vai nodrošinot RZPO rezolūciju, ieteikumu vai pasākumu izpildi, un īstenojot savas nozvejas dokumentāciju vai sertifikācijas shēmas un ostas valsts pasākumus; </w:t>
      </w:r>
    </w:p>
    <w:p w:rsidR="003E022D" w:rsidRDefault="007D19D6">
      <w:pPr>
        <w:numPr>
          <w:ilvl w:val="0"/>
          <w:numId w:val="1355"/>
        </w:numPr>
        <w:ind w:left="567" w:hanging="567"/>
        <w:rPr>
          <w:rFonts w:cstheme="minorHAnsi"/>
          <w:noProof/>
        </w:rPr>
      </w:pPr>
      <w:r>
        <w:rPr>
          <w:noProof/>
        </w:rPr>
        <w:t>pieņem un uztur savus attiecīgos efektīvos</w:t>
      </w:r>
      <w:r>
        <w:rPr>
          <w:noProof/>
        </w:rPr>
        <w:t xml:space="preserve"> instrumentus NNN zvejas apkarošanai, tostarp pasākumus, kuru mērķis ir izslēgt NNN zvejas produktus no tirdzniecības plūsmām, un šajā nolūkā sadarbojas;</w:t>
      </w:r>
    </w:p>
    <w:p w:rsidR="003E022D" w:rsidRDefault="007D19D6">
      <w:pPr>
        <w:numPr>
          <w:ilvl w:val="0"/>
          <w:numId w:val="1355"/>
        </w:numPr>
        <w:ind w:left="567" w:hanging="567"/>
        <w:rPr>
          <w:rFonts w:cstheme="minorHAnsi"/>
          <w:noProof/>
        </w:rPr>
      </w:pPr>
      <w:r>
        <w:rPr>
          <w:noProof/>
        </w:rPr>
        <w:t xml:space="preserve">veicina ilgtspējīgas un atbildīgas akvakultūras attīstību, tostarp vajadzības gadījumā attiecībā uz </w:t>
      </w:r>
      <w:r>
        <w:rPr>
          <w:i/>
          <w:noProof/>
        </w:rPr>
        <w:t>FA</w:t>
      </w:r>
      <w:r>
        <w:rPr>
          <w:i/>
          <w:noProof/>
        </w:rPr>
        <w:t>O</w:t>
      </w:r>
      <w:r>
        <w:rPr>
          <w:noProof/>
        </w:rPr>
        <w:t xml:space="preserve"> Atbildīgas zivsaimniecības rīcības kodeksā ietverto mērķu un principu īstenošanu.</w:t>
      </w:r>
    </w:p>
    <w:p w:rsidR="003E022D" w:rsidRDefault="007D19D6">
      <w:pPr>
        <w:numPr>
          <w:ilvl w:val="3"/>
          <w:numId w:val="1292"/>
        </w:numPr>
        <w:ind w:left="0" w:firstLine="0"/>
        <w:rPr>
          <w:rFonts w:cstheme="minorHAnsi"/>
          <w:noProof/>
        </w:rPr>
      </w:pPr>
      <w:r>
        <w:rPr>
          <w:noProof/>
        </w:rPr>
        <w:t>Puses sadarbojas zvejniecības un akvakultūras politikas un pasākumu saglabāšanas un ar tirdzniecību saistītu aspektu jomā, tostarp attiecīgi PTO, RZPO un citos daudzpusējos</w:t>
      </w:r>
      <w:r>
        <w:rPr>
          <w:noProof/>
        </w:rPr>
        <w:t xml:space="preserve"> forumos, lai veicinātu ilgtspējīgu zvejas un akvakultūras praksi un ilgtspējīgi pārvaldītu zvejas un akvakultūras darbību rezultātā iegūtu zivju produktu tirdzniecību.</w:t>
      </w:r>
    </w:p>
    <w:p w:rsidR="003E022D" w:rsidRDefault="007D19D6">
      <w:pPr>
        <w:numPr>
          <w:ilvl w:val="3"/>
          <w:numId w:val="1292"/>
        </w:numPr>
        <w:ind w:left="0" w:firstLine="0"/>
        <w:rPr>
          <w:rFonts w:cstheme="minorHAnsi"/>
          <w:noProof/>
        </w:rPr>
      </w:pPr>
      <w:r>
        <w:rPr>
          <w:noProof/>
        </w:rPr>
        <w:t xml:space="preserve">Šis pants neskar otrās daļas V temata [Zvejniecība] noteikumus. </w:t>
      </w:r>
    </w:p>
    <w:p w:rsidR="003E022D" w:rsidRDefault="007D19D6">
      <w:pPr>
        <w:pStyle w:val="Article"/>
        <w:rPr>
          <w:noProof/>
        </w:rPr>
      </w:pPr>
      <w:r>
        <w:rPr>
          <w:noProof/>
        </w:rPr>
        <w:t>8.9. pants. Ilgtspējīg</w:t>
      </w:r>
      <w:r>
        <w:rPr>
          <w:noProof/>
        </w:rPr>
        <w:t>u attīstību veicinoša tirdzniecība un ieguldījumi</w:t>
      </w:r>
    </w:p>
    <w:p w:rsidR="003E022D" w:rsidRDefault="007D19D6">
      <w:pPr>
        <w:numPr>
          <w:ilvl w:val="6"/>
          <w:numId w:val="1292"/>
        </w:numPr>
        <w:ind w:left="0" w:firstLine="0"/>
        <w:rPr>
          <w:rFonts w:cstheme="minorHAnsi"/>
          <w:noProof/>
        </w:rPr>
      </w:pPr>
      <w:r>
        <w:rPr>
          <w:noProof/>
        </w:rPr>
        <w:t xml:space="preserve">Puses apstiprina savu apņemšanos ar tirdzniecības un investīciju palīdzību sekmēt ilgtspējīgas attīstības mērķa sasniegšanu ekonomikas, sociālajā un vides jomā. </w:t>
      </w:r>
    </w:p>
    <w:p w:rsidR="003E022D" w:rsidRDefault="007D19D6">
      <w:pPr>
        <w:numPr>
          <w:ilvl w:val="6"/>
          <w:numId w:val="1292"/>
        </w:numPr>
        <w:ind w:left="0" w:firstLine="0"/>
        <w:rPr>
          <w:rFonts w:cstheme="minorHAnsi"/>
          <w:noProof/>
        </w:rPr>
      </w:pPr>
      <w:r>
        <w:rPr>
          <w:noProof/>
        </w:rPr>
        <w:t>Saskaņā ar 1. punktu Puses turpina veicināt:</w:t>
      </w:r>
      <w:r>
        <w:rPr>
          <w:noProof/>
        </w:rPr>
        <w:t xml:space="preserve"> </w:t>
      </w:r>
    </w:p>
    <w:p w:rsidR="003E022D" w:rsidRDefault="007D19D6">
      <w:pPr>
        <w:numPr>
          <w:ilvl w:val="0"/>
          <w:numId w:val="1356"/>
        </w:numPr>
        <w:ind w:left="567" w:hanging="567"/>
        <w:rPr>
          <w:rFonts w:cstheme="minorHAnsi"/>
          <w:noProof/>
        </w:rPr>
      </w:pPr>
      <w:r>
        <w:rPr>
          <w:noProof/>
        </w:rPr>
        <w:t>tirdzniecības un ieguldījumu politiku, ar kuru tiek atbalstīti pienācīga darba nodrošināšanas programmā noteiktie četri stratēģiskie mērķi, kas atbilst SDO 2008. gada Deklarācijai par sociālo taisnīgumu taisnīgai globalizācijai, tostarp attiecībā uz izti</w:t>
      </w:r>
      <w:r>
        <w:rPr>
          <w:noProof/>
        </w:rPr>
        <w:t>kas minimumu, darba aizsardzību un citiem ar darba apstākļiem saistītiem aspektiem;</w:t>
      </w:r>
    </w:p>
    <w:p w:rsidR="003E022D" w:rsidRDefault="007D19D6">
      <w:pPr>
        <w:numPr>
          <w:ilvl w:val="0"/>
          <w:numId w:val="1356"/>
        </w:numPr>
        <w:ind w:left="567" w:hanging="567"/>
        <w:rPr>
          <w:rFonts w:cstheme="minorHAnsi"/>
          <w:noProof/>
        </w:rPr>
      </w:pPr>
      <w:r>
        <w:rPr>
          <w:noProof/>
        </w:rPr>
        <w:t xml:space="preserve">tirdzniecību ar tādām precēm un pakalpojumiem un ieguldījumus tādās precēs un pakalpojumos kā atjaunojamo energoresursu enerģija un energoefektīvi produkti un pakalpojumi, </w:t>
      </w:r>
      <w:r>
        <w:rPr>
          <w:noProof/>
        </w:rPr>
        <w:t xml:space="preserve">tostarp novēršot ar to saistītos netarifu šķēršļus vai pieņemot politikas regulējumu, kurš veicina vislabāko pieejamo risinājumu izmantošanu; </w:t>
      </w:r>
    </w:p>
    <w:p w:rsidR="003E022D" w:rsidRDefault="007D19D6">
      <w:pPr>
        <w:numPr>
          <w:ilvl w:val="0"/>
          <w:numId w:val="1356"/>
        </w:numPr>
        <w:ind w:left="567" w:hanging="567"/>
        <w:rPr>
          <w:rFonts w:cstheme="minorHAnsi"/>
          <w:noProof/>
        </w:rPr>
      </w:pPr>
      <w:r>
        <w:rPr>
          <w:noProof/>
        </w:rPr>
        <w:t>tādu preču un pakalpojumu tirdzniecību, kuri palīdz uzlabot sociālos apstākļus un ieviest videi draudzīgu praksi,</w:t>
      </w:r>
      <w:r>
        <w:rPr>
          <w:noProof/>
        </w:rPr>
        <w:t xml:space="preserve"> tostarp tādas preces uz pakalpojumus, kam piemēro brīvprātīgās ilgtspējas nodrošināšanas shēmas, piemēram, godīgas un ētiskas tirdzniecības shēmas un ekomarķējumus; un</w:t>
      </w:r>
    </w:p>
    <w:p w:rsidR="003E022D" w:rsidRDefault="007D19D6">
      <w:pPr>
        <w:numPr>
          <w:ilvl w:val="0"/>
          <w:numId w:val="1356"/>
        </w:numPr>
        <w:ind w:left="567" w:hanging="567"/>
        <w:rPr>
          <w:rFonts w:cstheme="minorHAnsi"/>
          <w:noProof/>
        </w:rPr>
      </w:pPr>
      <w:r>
        <w:rPr>
          <w:noProof/>
        </w:rPr>
        <w:t>sadarbību daudzpusējos forumos šajā pantā minētajos jautājumos.</w:t>
      </w:r>
    </w:p>
    <w:p w:rsidR="003E022D" w:rsidRDefault="007D19D6">
      <w:pPr>
        <w:numPr>
          <w:ilvl w:val="6"/>
          <w:numId w:val="1292"/>
        </w:numPr>
        <w:ind w:left="0" w:firstLine="0"/>
        <w:rPr>
          <w:rFonts w:cstheme="minorHAnsi"/>
          <w:noProof/>
        </w:rPr>
      </w:pPr>
      <w:r>
        <w:rPr>
          <w:noProof/>
        </w:rPr>
        <w:t>Puses atzīst, cik svarī</w:t>
      </w:r>
      <w:r>
        <w:rPr>
          <w:noProof/>
        </w:rPr>
        <w:t xml:space="preserve">gi ir risināt konkrētus ilgtspējīgas attīstības jautājumus, pārskatot, uzraugot un novērtējot iespējamo darbību potenciālo ietekmi ekonomikas, sociālajā un vides jomā, ņemot vērā ieinteresēto personu viedokļus. </w:t>
      </w:r>
    </w:p>
    <w:p w:rsidR="003E022D" w:rsidRDefault="007D19D6">
      <w:pPr>
        <w:pStyle w:val="Article"/>
        <w:rPr>
          <w:noProof/>
        </w:rPr>
      </w:pPr>
      <w:r>
        <w:rPr>
          <w:noProof/>
        </w:rPr>
        <w:t>8.10. pants. Tirdzniecība un atbildīga piegā</w:t>
      </w:r>
      <w:r>
        <w:rPr>
          <w:noProof/>
        </w:rPr>
        <w:t>des ķēdes pārvaldība</w:t>
      </w:r>
    </w:p>
    <w:p w:rsidR="003E022D" w:rsidRDefault="007D19D6">
      <w:pPr>
        <w:numPr>
          <w:ilvl w:val="3"/>
          <w:numId w:val="1290"/>
        </w:numPr>
        <w:ind w:left="0" w:firstLine="0"/>
        <w:rPr>
          <w:rFonts w:cstheme="minorHAnsi"/>
          <w:noProof/>
        </w:rPr>
      </w:pPr>
      <w:r>
        <w:rPr>
          <w:noProof/>
        </w:rPr>
        <w:t xml:space="preserve">Puses atzīst piegādes ķēžu atbildīgas pārvaldības nozīmi, izmantojot atbildīgas darījumdarbības un korporatīvas sociālas atbildības praksi, un tirdzniecības nozīmi šā mērķa sasniegšanā. </w:t>
      </w:r>
    </w:p>
    <w:p w:rsidR="003E022D" w:rsidRDefault="007D19D6">
      <w:pPr>
        <w:numPr>
          <w:ilvl w:val="3"/>
          <w:numId w:val="1290"/>
        </w:numPr>
        <w:ind w:left="0" w:firstLine="0"/>
        <w:rPr>
          <w:rFonts w:cstheme="minorHAnsi"/>
          <w:noProof/>
        </w:rPr>
      </w:pPr>
      <w:r>
        <w:rPr>
          <w:noProof/>
        </w:rPr>
        <w:t xml:space="preserve">Ņemot vērā 1. punktu, katra Puse: </w:t>
      </w:r>
    </w:p>
    <w:p w:rsidR="003E022D" w:rsidRDefault="007D19D6">
      <w:pPr>
        <w:numPr>
          <w:ilvl w:val="0"/>
          <w:numId w:val="1357"/>
        </w:numPr>
        <w:ind w:left="567" w:hanging="567"/>
        <w:rPr>
          <w:rFonts w:cstheme="minorHAnsi"/>
          <w:noProof/>
        </w:rPr>
      </w:pPr>
      <w:r>
        <w:rPr>
          <w:noProof/>
        </w:rPr>
        <w:t>sekmē korpora</w:t>
      </w:r>
      <w:r>
        <w:rPr>
          <w:noProof/>
        </w:rPr>
        <w:t>tīvu sociālu atbildību un atbildīgu darījumdarbību, tostarp nodrošinot atbalstošus politikas regulējumus, kas mudina uzņēmumus izmantot attiecīgo praksi, un</w:t>
      </w:r>
    </w:p>
    <w:p w:rsidR="003E022D" w:rsidRDefault="007D19D6">
      <w:pPr>
        <w:numPr>
          <w:ilvl w:val="0"/>
          <w:numId w:val="1357"/>
        </w:numPr>
        <w:ind w:left="567" w:hanging="567"/>
        <w:rPr>
          <w:rFonts w:cstheme="minorHAnsi"/>
          <w:noProof/>
        </w:rPr>
      </w:pPr>
      <w:r>
        <w:rPr>
          <w:noProof/>
        </w:rPr>
        <w:t>atbalsta pievienošanos attiecīgajiem starptautiskajiem instrumentiem, piemēram, ESAO vadlīnijām dau</w:t>
      </w:r>
      <w:r>
        <w:rPr>
          <w:noProof/>
        </w:rPr>
        <w:t>dznacionāliem uzņēmumiem, SDO Trīspusējai deklarācijai par principiem attiecībā uz daudznacionāliem uzņēmumiem un sociālo politiku, ANO Globālajam līgumam un ANO Vadošajiem principiem uzņēmējdarbībai un cilvēktiesībām, un to īstenošanu, turpmākos pasākumus</w:t>
      </w:r>
      <w:r>
        <w:rPr>
          <w:noProof/>
        </w:rPr>
        <w:t xml:space="preserve"> un izplatīšanu. </w:t>
      </w:r>
    </w:p>
    <w:p w:rsidR="003E022D" w:rsidRDefault="007D19D6">
      <w:pPr>
        <w:numPr>
          <w:ilvl w:val="3"/>
          <w:numId w:val="1290"/>
        </w:numPr>
        <w:ind w:left="0" w:firstLine="0"/>
        <w:rPr>
          <w:rFonts w:cstheme="minorHAnsi"/>
          <w:noProof/>
        </w:rPr>
      </w:pPr>
      <w:r>
        <w:rPr>
          <w:noProof/>
        </w:rPr>
        <w:t>Puses atzīst, cik lietderīgas ir starptautiskas, katras nozares specifiskai atbilstošas pamatnostādnes korporatīvas sociālas atbildības un atbildīgas darījumdarbības jomā, un mudina kopīgi rīkoties šajā jomā. Saistībā ar ESAO Pienācīgas pārbaudes vadlīnijā</w:t>
      </w:r>
      <w:r>
        <w:rPr>
          <w:noProof/>
        </w:rPr>
        <w:t xml:space="preserve">m attiecībā uz atbildīgām izrakteņu piegādes ķēdēm no konfliktu skartām un augsta riska teritorijām un to papildinājumiem Puses arī īsteno pasākumus, lai veicinātu minēto vadlīniju pārņemšanu. </w:t>
      </w:r>
    </w:p>
    <w:p w:rsidR="003E022D" w:rsidRDefault="007D19D6">
      <w:pPr>
        <w:numPr>
          <w:ilvl w:val="3"/>
          <w:numId w:val="1290"/>
        </w:numPr>
        <w:ind w:left="0" w:firstLine="0"/>
        <w:rPr>
          <w:rFonts w:cstheme="minorHAnsi"/>
          <w:noProof/>
        </w:rPr>
      </w:pPr>
      <w:r>
        <w:rPr>
          <w:noProof/>
        </w:rPr>
        <w:t>Puses sadarbojas, lai stiprinātu sadarbību ar tirdzniecību sai</w:t>
      </w:r>
      <w:r>
        <w:rPr>
          <w:noProof/>
        </w:rPr>
        <w:t>stītos aspektos tajos jautājumos, uz kuriem attiecas šis pants, tostarp vajadzības gadījumos sadarbojoties divpusējos forumos, tai skaitā apmainoties ar informāciju, paraugpraksi un iesaistes iniciatīvām.</w:t>
      </w:r>
    </w:p>
    <w:p w:rsidR="003E022D" w:rsidRDefault="007D19D6">
      <w:pPr>
        <w:pStyle w:val="Article"/>
        <w:rPr>
          <w:noProof/>
        </w:rPr>
      </w:pPr>
      <w:r>
        <w:rPr>
          <w:noProof/>
        </w:rPr>
        <w:t>8.11. pants. Strīdu izšķiršana</w:t>
      </w:r>
    </w:p>
    <w:p w:rsidR="003E022D" w:rsidRDefault="007D19D6">
      <w:pPr>
        <w:numPr>
          <w:ilvl w:val="6"/>
          <w:numId w:val="1290"/>
        </w:numPr>
        <w:ind w:left="0" w:firstLine="0"/>
        <w:rPr>
          <w:rFonts w:cstheme="minorHAnsi"/>
          <w:noProof/>
        </w:rPr>
      </w:pPr>
      <w:r>
        <w:rPr>
          <w:noProof/>
        </w:rPr>
        <w:t>Puses dara visu iesp</w:t>
      </w:r>
      <w:r>
        <w:rPr>
          <w:noProof/>
        </w:rPr>
        <w:t>ējamo, izmantojot dialogu, apspriešanos, informācijas apmaiņu un sadarbību, lai risinātu jebkādas domstarpības par šīs nodaļas piemērošanu.</w:t>
      </w:r>
    </w:p>
    <w:p w:rsidR="003E022D" w:rsidRDefault="007D19D6">
      <w:pPr>
        <w:numPr>
          <w:ilvl w:val="6"/>
          <w:numId w:val="1290"/>
        </w:numPr>
        <w:ind w:left="0" w:firstLine="0"/>
        <w:rPr>
          <w:rFonts w:cstheme="minorHAnsi"/>
          <w:noProof/>
        </w:rPr>
      </w:pPr>
      <w:r>
        <w:rPr>
          <w:noProof/>
        </w:rPr>
        <w:t>Atkāpjoties no sestās daļas [Strīdu izšķiršana un horizontālie noteikumi] I sadaļas [Strīdu izšķiršana], ja starp Pu</w:t>
      </w:r>
      <w:r>
        <w:rPr>
          <w:noProof/>
        </w:rPr>
        <w:t xml:space="preserve">sēm rodas domstarpības par šīs nodaļas piemērošanu, tad Puses izmanto tikai tās procedūras, kas noteiktas saskaņā ar 9.1. pantu [Apspriedes] un 9.2. pantu [Ekspertu grupa]. </w:t>
      </w:r>
    </w:p>
    <w:p w:rsidR="003E022D" w:rsidRDefault="007D19D6">
      <w:pPr>
        <w:pStyle w:val="Chapter"/>
        <w:rPr>
          <w:noProof/>
        </w:rPr>
      </w:pPr>
      <w:r>
        <w:rPr>
          <w:noProof/>
        </w:rPr>
        <w:t>Devītā nodaļa. Horizontālie un institucionālie noteikumi</w:t>
      </w:r>
    </w:p>
    <w:p w:rsidR="003E022D" w:rsidRDefault="007D19D6">
      <w:pPr>
        <w:pStyle w:val="Article"/>
        <w:rPr>
          <w:noProof/>
        </w:rPr>
      </w:pPr>
      <w:r>
        <w:rPr>
          <w:noProof/>
        </w:rPr>
        <w:t>9.1. pants. Apspriedes</w:t>
      </w:r>
    </w:p>
    <w:p w:rsidR="003E022D" w:rsidRDefault="007D19D6">
      <w:pPr>
        <w:numPr>
          <w:ilvl w:val="3"/>
          <w:numId w:val="1289"/>
        </w:numPr>
        <w:ind w:left="0" w:firstLine="0"/>
        <w:rPr>
          <w:rFonts w:cstheme="minorHAnsi"/>
          <w:noProof/>
        </w:rPr>
      </w:pPr>
      <w:r>
        <w:rPr>
          <w:noProof/>
        </w:rPr>
        <w:t>Pu</w:t>
      </w:r>
      <w:r>
        <w:rPr>
          <w:noProof/>
        </w:rPr>
        <w:t xml:space="preserve">se var lūgt apspriedes ar otru Pusi par jebkuru jautājumu, kas rodas saistībā ar 1. nodaļas [Vispārīgi noteikumi] 1.1. panta [Principi un mērķi] 3. punktu, 6. nodaļu [Darba un sociālie standarti], 7. nodaļu [Vide un klimats] un 8. nodaļu [Citi instrumenti </w:t>
      </w:r>
      <w:r>
        <w:rPr>
          <w:noProof/>
        </w:rPr>
        <w:t>tirdzniecībai un ilgtspējīgai attīstībai], otrai Pusei iesniedzot rakstisku pieprasījumu. Prasītāja Puse savā rakstiskajā pieprasījumā norāda pieprasījuma iemeslus un pamatojumu, tostarp attiecīgos pasākumus, precizējot noteikumus, kurus tā uzskata par pie</w:t>
      </w:r>
      <w:r>
        <w:rPr>
          <w:noProof/>
        </w:rPr>
        <w:t>mērojamiem. Apspriedes jāuzsāk nekavējoties, tiklīdz Puse iesniegusi pieprasījumu rīkot apspriešanos, un jebkurā gadījumā ne vēlāk kā 30 dienas pēc pieprasījuma iesniegšanas dienas, ja vien Puses nevienojas par ilgāku laikposmu.</w:t>
      </w:r>
    </w:p>
    <w:p w:rsidR="003E022D" w:rsidRDefault="007D19D6">
      <w:pPr>
        <w:numPr>
          <w:ilvl w:val="3"/>
          <w:numId w:val="1289"/>
        </w:numPr>
        <w:ind w:left="0" w:firstLine="0"/>
        <w:rPr>
          <w:rFonts w:cstheme="minorHAnsi"/>
          <w:noProof/>
        </w:rPr>
      </w:pPr>
      <w:r>
        <w:rPr>
          <w:noProof/>
        </w:rPr>
        <w:t>Puses apspriežas, lai panāk</w:t>
      </w:r>
      <w:r>
        <w:rPr>
          <w:noProof/>
        </w:rPr>
        <w:t>tu savstarpēji apmierinošu jautājuma risinājumu. Apspriežu laikā katra Puse sniedz otrai Pusei pietiekamu informāciju, kas ir tās rīcībā, lai ļautu pilnībā pārbaudīt uzdotos jautājumus. Katra Puse cenšas nodrošināt to savu kompetento iestāžu, kurām ir zinā</w:t>
      </w:r>
      <w:r>
        <w:rPr>
          <w:noProof/>
        </w:rPr>
        <w:t>tība apspriežamajā jautājumā, personāla dalību apspriedēs.</w:t>
      </w:r>
    </w:p>
    <w:p w:rsidR="003E022D" w:rsidRDefault="007D19D6">
      <w:pPr>
        <w:numPr>
          <w:ilvl w:val="3"/>
          <w:numId w:val="1289"/>
        </w:numPr>
        <w:ind w:left="0" w:firstLine="0"/>
        <w:rPr>
          <w:rFonts w:cstheme="minorHAnsi"/>
          <w:noProof/>
        </w:rPr>
      </w:pPr>
      <w:r>
        <w:rPr>
          <w:noProof/>
        </w:rPr>
        <w:t>Jautājumos, kas saistīti ar daudzpusējiem nolīgumiem vai instrumentiem, kuri minēti 1.1. panta [Principi un mērķi] 3. punktā, 6. nodaļā [Darba un sociālie standarti], 7. nodaļā [Vide un klimats] un</w:t>
      </w:r>
      <w:r>
        <w:rPr>
          <w:noProof/>
        </w:rPr>
        <w:t xml:space="preserve"> 8. nodaļā [Citi instrumenti tirdzniecībai un ilgtspējīgai attīstībai], Puses ņem vērā no SDO vai attiecīgām struktūrām vai organizācijām, kas izveidotas atbilstīgi daudzpusējiem nolīgumiem vides jomā, pieejamo informāciju. Attiecīgā gadījumā Puses kopīgi </w:t>
      </w:r>
      <w:r>
        <w:rPr>
          <w:noProof/>
        </w:rPr>
        <w:t>konsultējas ar šādām organizācijām vai to struktūrām, vai ar jebkuru citu ekspertu vai struktūru, ko tās uzskata par piemērotu. </w:t>
      </w:r>
    </w:p>
    <w:p w:rsidR="003E022D" w:rsidRDefault="007D19D6">
      <w:pPr>
        <w:numPr>
          <w:ilvl w:val="3"/>
          <w:numId w:val="1289"/>
        </w:numPr>
        <w:ind w:left="0" w:firstLine="0"/>
        <w:rPr>
          <w:rFonts w:cstheme="minorHAnsi"/>
          <w:noProof/>
        </w:rPr>
      </w:pPr>
      <w:r>
        <w:rPr>
          <w:noProof/>
        </w:rPr>
        <w:t>Katra Puse vajadzības gadījumā var lūgt viedokli vietējām konsultantu grupām, kas minētas INST.7. pantā [Vietējās konsultantu g</w:t>
      </w:r>
      <w:r>
        <w:rPr>
          <w:noProof/>
        </w:rPr>
        <w:t xml:space="preserve">rupas], vai citu ekspertu padomu. </w:t>
      </w:r>
    </w:p>
    <w:p w:rsidR="003E022D" w:rsidRDefault="007D19D6">
      <w:pPr>
        <w:numPr>
          <w:ilvl w:val="3"/>
          <w:numId w:val="1289"/>
        </w:numPr>
        <w:ind w:left="0" w:firstLine="0"/>
        <w:rPr>
          <w:rFonts w:cstheme="minorHAnsi"/>
          <w:noProof/>
        </w:rPr>
      </w:pPr>
      <w:r>
        <w:rPr>
          <w:noProof/>
        </w:rPr>
        <w:t>Visus Pušu panāktos risinājumus publisko. </w:t>
      </w:r>
    </w:p>
    <w:p w:rsidR="003E022D" w:rsidRDefault="007D19D6">
      <w:pPr>
        <w:pStyle w:val="Article"/>
        <w:rPr>
          <w:noProof/>
        </w:rPr>
      </w:pPr>
      <w:r>
        <w:rPr>
          <w:noProof/>
        </w:rPr>
        <w:t>9.2. pants. Ekspertu grupa</w:t>
      </w:r>
    </w:p>
    <w:p w:rsidR="003E022D" w:rsidRDefault="007D19D6">
      <w:pPr>
        <w:numPr>
          <w:ilvl w:val="6"/>
          <w:numId w:val="1289"/>
        </w:numPr>
        <w:ind w:left="0" w:firstLine="0"/>
        <w:rPr>
          <w:rFonts w:cstheme="minorHAnsi"/>
          <w:noProof/>
        </w:rPr>
      </w:pPr>
      <w:r>
        <w:rPr>
          <w:noProof/>
        </w:rPr>
        <w:t>Par ikvienu jautājumu, kas nav apmierinoši atrisināts, izmantojot 9.1. pantā [Apspriedes] norādīto apspriešanos, Puse 90 dienu laikā pēc šajā pantā minētā pieprasījuma rīkot apspriešanos saņemšanas, iesniedzot rakstisku pieprasījumu otrai Pusei, var piepra</w:t>
      </w:r>
      <w:r>
        <w:rPr>
          <w:noProof/>
        </w:rPr>
        <w:t>sīt ekspertu grupas sasaukšanu minētā jautājuma izskatīšanai. Pieprasījumā norāda izskatāmo pasākumu un tādā veidā, kas pietiekami skaidri atspoguļo sūdzību, precizē un izskaidro, kādā veidā minētais pasākums neatbilst attiecīgajā nodaļā vai nodaļās paredz</w:t>
      </w:r>
      <w:r>
        <w:rPr>
          <w:noProof/>
        </w:rPr>
        <w:t xml:space="preserve">ētajiem noteikumiem. </w:t>
      </w:r>
    </w:p>
    <w:p w:rsidR="003E022D" w:rsidRDefault="007D19D6">
      <w:pPr>
        <w:numPr>
          <w:ilvl w:val="6"/>
          <w:numId w:val="1289"/>
        </w:numPr>
        <w:ind w:left="0" w:firstLine="0"/>
        <w:rPr>
          <w:rFonts w:cstheme="minorHAnsi"/>
          <w:noProof/>
        </w:rPr>
      </w:pPr>
      <w:r>
        <w:rPr>
          <w:noProof/>
        </w:rPr>
        <w:t>Ekspertu grupā ir trīs locekļi.</w:t>
      </w:r>
    </w:p>
    <w:p w:rsidR="003E022D" w:rsidRDefault="007D19D6">
      <w:pPr>
        <w:numPr>
          <w:ilvl w:val="6"/>
          <w:numId w:val="1289"/>
        </w:numPr>
        <w:ind w:left="0" w:firstLine="0"/>
        <w:rPr>
          <w:rFonts w:cstheme="minorHAnsi"/>
          <w:noProof/>
        </w:rPr>
      </w:pPr>
      <w:r>
        <w:rPr>
          <w:noProof/>
        </w:rPr>
        <w:t>Tirdzniecības specializētā komiteja jautājumos par vienlīdzīgiem apstākļiem atvērtai un godīgai konkurencei un ilgtspējīgai attīstībai savā pirmajā sanāksmē pēc šā nolīguma stāšanās spēkā izveido saraks</w:t>
      </w:r>
      <w:r>
        <w:rPr>
          <w:noProof/>
        </w:rPr>
        <w:t>tu ar vismaz 15 personām, kuras vēlas un spēj darboties kā grupas locekļi. Katra Puse nosauc vismaz piecas personas, kuras ietver sarakstā kā grupas locekļus. Turklāt Puses nosauc arī vismaz piecas personas, kuras nav nevienas Puses valstspiederīgie un kur</w:t>
      </w:r>
      <w:r>
        <w:rPr>
          <w:noProof/>
        </w:rPr>
        <w:t>as vēlas un spēj darboties kā ekspertu grupas priekšsēdētājs. Tirdzniecības specializētā komiteja jautājumos par vienlīdzīgiem apstākļiem atvērtai un godīgai konkurencei un ilgtspējīgai attīstībai nodrošina to, ka saraksts tiek atjaunināts un ka ekspertu s</w:t>
      </w:r>
      <w:r>
        <w:rPr>
          <w:noProof/>
        </w:rPr>
        <w:t xml:space="preserve">kaits tajā vienmēr ir vismaz 15. </w:t>
      </w:r>
    </w:p>
    <w:p w:rsidR="003E022D" w:rsidRDefault="007D19D6">
      <w:pPr>
        <w:numPr>
          <w:ilvl w:val="6"/>
          <w:numId w:val="1289"/>
        </w:numPr>
        <w:ind w:left="0" w:firstLine="0"/>
        <w:rPr>
          <w:rFonts w:cstheme="minorHAnsi"/>
          <w:noProof/>
        </w:rPr>
      </w:pPr>
      <w:r>
        <w:rPr>
          <w:noProof/>
        </w:rPr>
        <w:t>Ekspertiem, kas ierosināti kā grupas locekļi, jābūt specializētām zināšanām vai pieredzei darba vai vides tiesībās, citos jautājumos, uz kuriem attiecas attiecīgā nodaļa vai nodaļas, vai strīdu izšķiršanā, kas rodas saistī</w:t>
      </w:r>
      <w:r>
        <w:rPr>
          <w:noProof/>
        </w:rPr>
        <w:t>bā ar starptautiskiem nolīgumiem. Viņi rīkojas patstāvīgi un nesaņem norādījumus no kādas organizācijas vai valdības jautājumos, kas attiecas uz strīdiem. Viņi nav saistīti ar kādu no Pusēm, un nesaņem norādes no tām. Tās nav personas, kas ir Savienības ie</w:t>
      </w:r>
      <w:r>
        <w:rPr>
          <w:noProof/>
        </w:rPr>
        <w:t>stāžu, kādas dalībvalsts valdības vai Apvienotās Karalistes valdības locekļi, ierēdņi vai citi darbinieki.</w:t>
      </w:r>
    </w:p>
    <w:p w:rsidR="003E022D" w:rsidRDefault="007D19D6">
      <w:pPr>
        <w:numPr>
          <w:ilvl w:val="6"/>
          <w:numId w:val="1289"/>
        </w:numPr>
        <w:ind w:left="0" w:firstLine="0"/>
        <w:rPr>
          <w:rFonts w:cstheme="minorHAnsi"/>
          <w:noProof/>
        </w:rPr>
      </w:pPr>
      <w:r>
        <w:rPr>
          <w:noProof/>
        </w:rPr>
        <w:t>Ja vien Puses piecu dienu laikā no ekspertu grupas izveidošanas dienas nevienojas citādi, tās pilnvaras ir:</w:t>
      </w:r>
    </w:p>
    <w:p w:rsidR="003E022D" w:rsidRDefault="007D19D6">
      <w:pPr>
        <w:rPr>
          <w:rFonts w:cstheme="minorHAnsi"/>
          <w:i/>
          <w:iCs/>
          <w:noProof/>
        </w:rPr>
      </w:pPr>
      <w:r>
        <w:rPr>
          <w:i/>
          <w:iCs/>
          <w:noProof/>
        </w:rPr>
        <w:t>“ņemot vērā attiecīgos noteikumus, izskat</w:t>
      </w:r>
      <w:r>
        <w:rPr>
          <w:i/>
          <w:iCs/>
          <w:noProof/>
        </w:rPr>
        <w:t>īt jautājumu, kas minēts pieprasījumā par ekspertu grupas izveidi, un saskaņā ar šo pantu sniegt ziņojumu, kurā ietverti konstatējumi par pasākuma atbilstību attiecīgajiem noteikumiem.” </w:t>
      </w:r>
    </w:p>
    <w:p w:rsidR="003E022D" w:rsidRDefault="007D19D6">
      <w:pPr>
        <w:numPr>
          <w:ilvl w:val="6"/>
          <w:numId w:val="1289"/>
        </w:numPr>
        <w:ind w:left="0" w:firstLine="0"/>
        <w:rPr>
          <w:rFonts w:cstheme="minorHAnsi"/>
          <w:noProof/>
        </w:rPr>
      </w:pPr>
      <w:r>
        <w:rPr>
          <w:noProof/>
        </w:rPr>
        <w:t>Attiecībā uz jautājumiem, kas saistīti ar daudzpusējiem standartiem v</w:t>
      </w:r>
      <w:r>
        <w:rPr>
          <w:noProof/>
        </w:rPr>
        <w:t>ai nolīgumiem, kas aptverti šajā sadaļā, ekspertu grupai būtu jālūdz informācija no SDO vai attiecīgajām struktūrām, kas izveidotas saskaņā ar šiem nolīgumiem, tostarp visi attiecīgie pieejamie interpretējošie norādījumi, konstatējumi vai lēmumi, kurus pie</w:t>
      </w:r>
      <w:r>
        <w:rPr>
          <w:noProof/>
        </w:rPr>
        <w:t>ņēmusi SDO un minētās struktūras.</w:t>
      </w:r>
    </w:p>
    <w:p w:rsidR="003E022D" w:rsidRDefault="007D19D6">
      <w:pPr>
        <w:numPr>
          <w:ilvl w:val="6"/>
          <w:numId w:val="1289"/>
        </w:numPr>
        <w:ind w:left="0" w:firstLine="0"/>
        <w:rPr>
          <w:rFonts w:cstheme="minorHAnsi"/>
          <w:noProof/>
        </w:rPr>
      </w:pPr>
      <w:r>
        <w:rPr>
          <w:noProof/>
        </w:rPr>
        <w:t>Ekspertu grupa var pieprasīt un saņemt rakstiskus iesniegumus vai jebkādu citu informāciju no personām, kam ir attiecīgā informācija vai speciālās zināšanas. </w:t>
      </w:r>
    </w:p>
    <w:p w:rsidR="003E022D" w:rsidRDefault="007D19D6">
      <w:pPr>
        <w:numPr>
          <w:ilvl w:val="6"/>
          <w:numId w:val="1289"/>
        </w:numPr>
        <w:ind w:left="0" w:firstLine="0"/>
        <w:rPr>
          <w:rFonts w:cstheme="minorHAnsi"/>
          <w:noProof/>
        </w:rPr>
      </w:pPr>
      <w:r>
        <w:rPr>
          <w:noProof/>
        </w:rPr>
        <w:t>Ekspertu grupa dara pieejamu katrai Pusei šādu informāciju, ļau</w:t>
      </w:r>
      <w:r>
        <w:rPr>
          <w:noProof/>
        </w:rPr>
        <w:t xml:space="preserve">jot tām 20 dienu laikā pēc saņemšanas iesniegt piezīmes. </w:t>
      </w:r>
    </w:p>
    <w:p w:rsidR="003E022D" w:rsidRDefault="007D19D6">
      <w:pPr>
        <w:numPr>
          <w:ilvl w:val="6"/>
          <w:numId w:val="1289"/>
        </w:numPr>
        <w:ind w:left="0" w:firstLine="0"/>
        <w:rPr>
          <w:rFonts w:cstheme="minorHAnsi"/>
          <w:noProof/>
        </w:rPr>
      </w:pPr>
      <w:r>
        <w:rPr>
          <w:noProof/>
        </w:rPr>
        <w:t>Ekspertu grupa sniedz Pusēm starpposma ziņojumu un galīgo ziņojumu, norādot konstatētos faktus, tās lēmumus par jautājumu, tostarp par to, vai atbildētāja Puse ir ievērojusi savas saistības atbilstoši attiecīgajai nodaļai vai nodaļām, un jebkādu tās konsta</w:t>
      </w:r>
      <w:r>
        <w:rPr>
          <w:noProof/>
        </w:rPr>
        <w:t xml:space="preserve">tējumu un lēmumu loģisko pamatojumu. Lielākai noteiktībai – Puses ir vienisprātis, ka gadījumos, kad ekspertu grupa savā ziņojumā sniedz ieteikumus, atbildētājai Pusei nav jāievēro šie ieteikumi, lai nodrošinātu atbilstību nolīgumam. </w:t>
      </w:r>
    </w:p>
    <w:p w:rsidR="003E022D" w:rsidRDefault="007D19D6">
      <w:pPr>
        <w:numPr>
          <w:ilvl w:val="6"/>
          <w:numId w:val="1289"/>
        </w:numPr>
        <w:ind w:left="0" w:firstLine="0"/>
        <w:rPr>
          <w:rFonts w:cstheme="minorHAnsi"/>
          <w:noProof/>
        </w:rPr>
      </w:pPr>
      <w:r>
        <w:rPr>
          <w:noProof/>
        </w:rPr>
        <w:t> Ekspertu grupa snied</w:t>
      </w:r>
      <w:r>
        <w:rPr>
          <w:noProof/>
        </w:rPr>
        <w:t xml:space="preserve">z Pusēm starpposma ziņojumu 100 dienu laikā pēc ekspertu grupas izveides dienas. Ja ekspertu grupa uzskata, ka šo termiņu nevar ievērot, ekspertu grupas priekšsēdētājs par to rakstveidā paziņo Pusēm, norādot kavēšanās iemeslus un dienu, kad ekspertu grupa </w:t>
      </w:r>
      <w:r>
        <w:rPr>
          <w:noProof/>
        </w:rPr>
        <w:t>plāno iesniegt starpposma ziņojumu. Ekspertu grupa savu starpposma ziņojumu nekādā gadījumā nesniedz vēlāk kā 125 dienu laikā pēc ekspertu grupas izveides dienas. </w:t>
      </w:r>
    </w:p>
    <w:p w:rsidR="003E022D" w:rsidRDefault="007D19D6">
      <w:pPr>
        <w:numPr>
          <w:ilvl w:val="6"/>
          <w:numId w:val="1289"/>
        </w:numPr>
        <w:ind w:left="0" w:firstLine="0"/>
        <w:rPr>
          <w:rFonts w:cstheme="minorHAnsi"/>
          <w:noProof/>
        </w:rPr>
      </w:pPr>
      <w:r>
        <w:rPr>
          <w:noProof/>
        </w:rPr>
        <w:t> Katra Puse 25 dienu laikā pēc starpposma ziņojuma saņemšanas var iesniegt ekspertu grupai p</w:t>
      </w:r>
      <w:r>
        <w:rPr>
          <w:noProof/>
        </w:rPr>
        <w:t>amatotu pieprasījumu pārskatīt konkrētus starpposma ziņojuma aspektus. Puse var sniegt piezīmes par otras Puses pieprasījumu 15 dienu laikā pēc pieprasījuma iesniegšanas. </w:t>
      </w:r>
    </w:p>
    <w:p w:rsidR="003E022D" w:rsidRDefault="007D19D6">
      <w:pPr>
        <w:numPr>
          <w:ilvl w:val="6"/>
          <w:numId w:val="1289"/>
        </w:numPr>
        <w:ind w:left="0" w:firstLine="0"/>
        <w:rPr>
          <w:rFonts w:cstheme="minorHAnsi"/>
          <w:noProof/>
        </w:rPr>
      </w:pPr>
      <w:r>
        <w:rPr>
          <w:noProof/>
        </w:rPr>
        <w:t> Pēc šo piezīmju izskatīšanas ekspertu grupa sagatavo galīgo ziņojumu. Ja 11. punktā</w:t>
      </w:r>
      <w:r>
        <w:rPr>
          <w:noProof/>
        </w:rPr>
        <w:t xml:space="preserve"> minētajā laikposmā nav iesniegts pieprasījums pārskatīt konkrētus starpposma ziņojuma aspektus, tad starpposma ziņojums kļūst par ekspertu grupas galīgo ziņojumu. </w:t>
      </w:r>
    </w:p>
    <w:p w:rsidR="003E022D" w:rsidRDefault="007D19D6">
      <w:pPr>
        <w:numPr>
          <w:ilvl w:val="6"/>
          <w:numId w:val="1289"/>
        </w:numPr>
        <w:ind w:left="0" w:firstLine="0"/>
        <w:rPr>
          <w:rFonts w:cstheme="minorHAnsi"/>
          <w:noProof/>
        </w:rPr>
      </w:pPr>
      <w:r>
        <w:rPr>
          <w:noProof/>
        </w:rPr>
        <w:t> Ekspertu grupa sniedz Pusēm savu galīgo ziņojumu 175 dienu laikā pēc ekspertu grupas izvei</w:t>
      </w:r>
      <w:r>
        <w:rPr>
          <w:noProof/>
        </w:rPr>
        <w:t>des dienas. Ja ekspertu grupa uzskata, ka šo termiņu nav iespējams ievērot, tad ekspertu grupas priekšsēdētājs par to rakstveidā paziņo Pusēm, norādot kavēšanās iemeslus un dienu, kad ekspertu grupa plāno iesniegt galīgo ziņojumu. Ekspertu grupa savu galīg</w:t>
      </w:r>
      <w:r>
        <w:rPr>
          <w:noProof/>
        </w:rPr>
        <w:t>o ziņojumu nekādā gadījumā nesniedz vēlāk kā 195 dienu laikā pēc ekspertu grupas izveides dienas. </w:t>
      </w:r>
    </w:p>
    <w:p w:rsidR="003E022D" w:rsidRDefault="007D19D6">
      <w:pPr>
        <w:numPr>
          <w:ilvl w:val="6"/>
          <w:numId w:val="1289"/>
        </w:numPr>
        <w:ind w:left="0" w:firstLine="0"/>
        <w:rPr>
          <w:rFonts w:cstheme="minorHAnsi"/>
          <w:noProof/>
        </w:rPr>
      </w:pPr>
      <w:r>
        <w:rPr>
          <w:noProof/>
        </w:rPr>
        <w:t> Galīgais ziņojums ietver jebkura Pušu rakstiska pieprasījuma par starpposma ziņojumu apspriešanu un skaidri iztirzā Pušu piezīmes. </w:t>
      </w:r>
    </w:p>
    <w:p w:rsidR="003E022D" w:rsidRDefault="007D19D6">
      <w:pPr>
        <w:numPr>
          <w:ilvl w:val="6"/>
          <w:numId w:val="1289"/>
        </w:numPr>
        <w:ind w:left="0" w:firstLine="0"/>
        <w:rPr>
          <w:rFonts w:cstheme="minorHAnsi"/>
          <w:noProof/>
        </w:rPr>
      </w:pPr>
      <w:r>
        <w:rPr>
          <w:noProof/>
        </w:rPr>
        <w:t> Puses publisko galīgo z</w:t>
      </w:r>
      <w:r>
        <w:rPr>
          <w:noProof/>
        </w:rPr>
        <w:t>iņojumu 15 dienu laikā pēc tam, kad ekspertu grupa to iesniegusi. </w:t>
      </w:r>
    </w:p>
    <w:p w:rsidR="003E022D" w:rsidRDefault="007D19D6">
      <w:pPr>
        <w:numPr>
          <w:ilvl w:val="6"/>
          <w:numId w:val="1289"/>
        </w:numPr>
        <w:ind w:left="0" w:firstLine="0"/>
        <w:rPr>
          <w:rFonts w:cstheme="minorHAnsi"/>
          <w:noProof/>
        </w:rPr>
      </w:pPr>
      <w:r>
        <w:rPr>
          <w:noProof/>
        </w:rPr>
        <w:t>Ja ekspertu grupas galīgajā ziņojumā ir noteikts, ka Puse nav izpildījusi savus pienākumus saskaņā ar attiecīgo nodaļu vai nodaļām, tad Puses 90 dienu laikā pēc galīgā ziņojuma iesniegšanas</w:t>
      </w:r>
      <w:r>
        <w:rPr>
          <w:noProof/>
        </w:rPr>
        <w:t xml:space="preserve"> apspriež pienācīgus pasākumus, kas jāīsteno, ņemot vērā ekspertu grupas ziņojumu. Ne vēlāk kā 105 dienas pēc tam, kad ziņojums tika iesniegts Pusēm, atbildētāja Puse informē savas iekšzemes konsultantu grupas, kas izveidotas saskaņā ar INST.7. pantu [Viet</w:t>
      </w:r>
      <w:r>
        <w:rPr>
          <w:noProof/>
        </w:rPr>
        <w:t xml:space="preserve">ējās konsultantu grupas], un prasītājas Pusi par savu lēmumu attiecībā uz visiem pasākumiem, kuri ir jāīsteno. </w:t>
      </w:r>
    </w:p>
    <w:p w:rsidR="003E022D" w:rsidRDefault="007D19D6">
      <w:pPr>
        <w:numPr>
          <w:ilvl w:val="6"/>
          <w:numId w:val="1289"/>
        </w:numPr>
        <w:ind w:left="0" w:firstLine="0"/>
        <w:rPr>
          <w:rFonts w:cstheme="minorHAnsi"/>
          <w:noProof/>
        </w:rPr>
      </w:pPr>
      <w:r>
        <w:rPr>
          <w:noProof/>
        </w:rPr>
        <w:t> Turpmākos pasākumus pēc ekspertu grupas ziņojuma uzrauga Tirdzniecības specializētā komiteja jautājumos par vienlīdzīgiem apstākļiem atvērtai u</w:t>
      </w:r>
      <w:r>
        <w:rPr>
          <w:noProof/>
        </w:rPr>
        <w:t>n godīgai konkurencei un ilgtspējīgai attīstībai. Pušu vietējās konsultantu grupas, kas izveidotas saskaņā ar INST.7. pantu [Vietējās konsultantu grupas], šajā sakarā var iesniegt apsvērumus Tirdzniecības specializētajai komitejai jautājumos par vienlīdzīg</w:t>
      </w:r>
      <w:r>
        <w:rPr>
          <w:noProof/>
        </w:rPr>
        <w:t xml:space="preserve">iem apstākļiem atvērtai un godīgai konkurencei un ilgtspējīgai attīstībai. </w:t>
      </w:r>
    </w:p>
    <w:p w:rsidR="003E022D" w:rsidRDefault="007D19D6">
      <w:pPr>
        <w:numPr>
          <w:ilvl w:val="6"/>
          <w:numId w:val="1289"/>
        </w:numPr>
        <w:ind w:left="0" w:firstLine="0"/>
        <w:rPr>
          <w:rFonts w:cstheme="minorHAnsi"/>
          <w:noProof/>
        </w:rPr>
      </w:pPr>
      <w:r>
        <w:rPr>
          <w:noProof/>
        </w:rPr>
        <w:t>Ja Pusēm ir atšķirīgi viedokļi par kāda pasākuma, kas veikts, lai novērstu neatbilstību, esību vai atbilstību attiecīgajiem noteikumiem, tad prasītāja Puse var iesniegt rakstisku p</w:t>
      </w:r>
      <w:r>
        <w:rPr>
          <w:noProof/>
        </w:rPr>
        <w:t xml:space="preserve">ieprasījumu sākotnējai ekspertu grupai izlemt šo jautājumu. Pieprasījumā norāda visus izskatāmos pasākumus un tādā veidā, kas pietiekami skaidri atspoguļo sūdzību, paskaidro, kādā veidā minētais pasākums neatbilst attiecīgajiem noteikumiem. Ekspertu grupa </w:t>
      </w:r>
      <w:r>
        <w:rPr>
          <w:noProof/>
        </w:rPr>
        <w:t xml:space="preserve">iesniedz savus konstatējumus Pusēm 45 dienu laikā pēc pieprasījuma iesniegšanas dienas. </w:t>
      </w:r>
    </w:p>
    <w:p w:rsidR="003E022D" w:rsidRDefault="007D19D6">
      <w:pPr>
        <w:numPr>
          <w:ilvl w:val="6"/>
          <w:numId w:val="1289"/>
        </w:numPr>
        <w:ind w:left="0" w:firstLine="0"/>
        <w:rPr>
          <w:rFonts w:cstheme="minorHAnsi"/>
          <w:noProof/>
        </w:rPr>
      </w:pPr>
      <w:r>
        <w:rPr>
          <w:noProof/>
        </w:rPr>
        <w:t>Ja vien šajā pantā nav noteikts citādi, INST.14. panta [Arbitrāža] 1. punktu, INST.29. pantu [Šķīrējtiesas lēmumi un nolēmumi], INST.30. pantu [Šķīrējtiesas procesu ap</w:t>
      </w:r>
      <w:r>
        <w:rPr>
          <w:noProof/>
        </w:rPr>
        <w:t>turēšana un izbeigšana], INST.31. pantu [Savstarpēji saskaņots risinājums], INST.32. pantu [Laikposmi], INST.34. pantu [Izmaksas], INST.15. pantu [Šķīrējtiesas izveide] vai INST.28. pantu [Šķīrējtiesnešu aizstāšana], kā arī INST PIELIKUMU [Strīdu izšķiršan</w:t>
      </w:r>
      <w:r>
        <w:rPr>
          <w:noProof/>
        </w:rPr>
        <w:t xml:space="preserve">as reglaments] un INST-X PIELIKUMU [Šķīrējtiesnešu rīcības kodekss] piemēro </w:t>
      </w:r>
      <w:r>
        <w:rPr>
          <w:i/>
          <w:iCs/>
          <w:noProof/>
        </w:rPr>
        <w:t>mutatis mutandis</w:t>
      </w:r>
      <w:r>
        <w:rPr>
          <w:noProof/>
        </w:rPr>
        <w:t>. </w:t>
      </w:r>
    </w:p>
    <w:p w:rsidR="003E022D" w:rsidRDefault="007D19D6">
      <w:pPr>
        <w:pStyle w:val="Article"/>
        <w:rPr>
          <w:noProof/>
        </w:rPr>
      </w:pPr>
      <w:r>
        <w:rPr>
          <w:noProof/>
        </w:rPr>
        <w:t>9.3. pants. Ekspertu grupa aizsardzības līmeņa nepazemināšanas jomās</w:t>
      </w:r>
    </w:p>
    <w:p w:rsidR="003E022D" w:rsidRDefault="007D19D6">
      <w:pPr>
        <w:numPr>
          <w:ilvl w:val="3"/>
          <w:numId w:val="1297"/>
        </w:numPr>
        <w:ind w:left="0" w:firstLine="0"/>
        <w:rPr>
          <w:rFonts w:cstheme="minorHAnsi"/>
          <w:noProof/>
        </w:rPr>
      </w:pPr>
      <w:r>
        <w:rPr>
          <w:noProof/>
        </w:rPr>
        <w:t>Strīdiem starp Pusēm, kuri attiecas uz 6. nodaļas [Darba un sociālie standarti] un 7. nodaļa</w:t>
      </w:r>
      <w:r>
        <w:rPr>
          <w:noProof/>
        </w:rPr>
        <w:t>s [Vide un klimats] noteikumu interpretāciju un piemērošanu, piemēro 9.2. pantu [Ekspertu grupa].</w:t>
      </w:r>
    </w:p>
    <w:p w:rsidR="003E022D" w:rsidRDefault="007D19D6">
      <w:pPr>
        <w:numPr>
          <w:ilvl w:val="3"/>
          <w:numId w:val="1297"/>
        </w:numPr>
        <w:ind w:left="0" w:firstLine="0"/>
        <w:rPr>
          <w:rFonts w:cstheme="minorHAnsi"/>
          <w:noProof/>
        </w:rPr>
      </w:pPr>
      <w:r>
        <w:rPr>
          <w:noProof/>
        </w:rPr>
        <w:t xml:space="preserve">Attiecībā uz šiem strīdiem – papildus pantiem, kas uzskaitīti 9.2. panta [Ekspertu grupa] 19. punktā, </w:t>
      </w:r>
      <w:r>
        <w:rPr>
          <w:i/>
          <w:iCs/>
          <w:noProof/>
        </w:rPr>
        <w:t>mutatis mutandis</w:t>
      </w:r>
      <w:r>
        <w:rPr>
          <w:noProof/>
        </w:rPr>
        <w:t xml:space="preserve"> piemēro INST.24. pantu [Tiesiskās aizsa</w:t>
      </w:r>
      <w:r>
        <w:rPr>
          <w:noProof/>
        </w:rPr>
        <w:t>rdzības pagaidu līdzekļi] un INST.25. pantu [Jebkura pasākuma, kas veikts, lai nodrošinātu atbilstību pēc pagaidu tiesiskās aizsardzības līdzekļu pasludināšanas, pārbaude].</w:t>
      </w:r>
    </w:p>
    <w:p w:rsidR="003E022D" w:rsidRDefault="007D19D6">
      <w:pPr>
        <w:numPr>
          <w:ilvl w:val="3"/>
          <w:numId w:val="1297"/>
        </w:numPr>
        <w:ind w:left="0" w:firstLine="0"/>
        <w:rPr>
          <w:rFonts w:cstheme="minorHAnsi"/>
          <w:noProof/>
        </w:rPr>
      </w:pPr>
      <w:r>
        <w:rPr>
          <w:noProof/>
        </w:rPr>
        <w:t>Puses atzīst, ka gadījumos, kad atbildētāja Puses izvēlas neveikt nekādas darbības,</w:t>
      </w:r>
      <w:r>
        <w:rPr>
          <w:noProof/>
        </w:rPr>
        <w:t xml:space="preserve"> lai nodrošinātu atbilstību ekspertu grupas ziņojumam un šim nolīgumam, prasītājai Pusei arī turpmāk ir pieejami visi saskaņā ar INST.24. pantu [Tiesiskās aizsardzības pagaidu līdzekļi] atļautie tiesiskās aizsardzības līdzekļi.</w:t>
      </w:r>
    </w:p>
    <w:p w:rsidR="003E022D" w:rsidRDefault="007D19D6">
      <w:pPr>
        <w:pStyle w:val="Article"/>
        <w:rPr>
          <w:noProof/>
        </w:rPr>
      </w:pPr>
      <w:r>
        <w:rPr>
          <w:noProof/>
        </w:rPr>
        <w:t>9.4. pants. Līdzsvara atjaun</w:t>
      </w:r>
      <w:r>
        <w:rPr>
          <w:noProof/>
        </w:rPr>
        <w:t>ošana</w:t>
      </w:r>
    </w:p>
    <w:p w:rsidR="003E022D" w:rsidRDefault="007D19D6">
      <w:pPr>
        <w:numPr>
          <w:ilvl w:val="6"/>
          <w:numId w:val="1297"/>
        </w:numPr>
        <w:ind w:left="0" w:firstLine="0"/>
        <w:rPr>
          <w:rFonts w:cstheme="minorHAnsi"/>
          <w:noProof/>
        </w:rPr>
      </w:pPr>
      <w:r>
        <w:rPr>
          <w:noProof/>
        </w:rPr>
        <w:t>Puses atzīst katras Puses tiesības noteikt savu turpmāko politiku un prioritātes attiecībā uz darba un sociālo, vides vai klimata aizsardzību vai attiecībā uz subsīdiju kontroli veidā, kas atbilst katras Puses starptautiskajām saistībām, tostarp sais</w:t>
      </w:r>
      <w:r>
        <w:rPr>
          <w:noProof/>
        </w:rPr>
        <w:t>tībām saskaņā ar šo nolīgumu. Vienlaikus Puses atzīst, ka būtiskas atšķirības šajās jomās var ietekmēt tirdzniecību vai investīcijas starp Pusēm tādā veidā, kas maina apstākļus, kuri ir bijuši šā nolīguma noslēgšanas pamatā.</w:t>
      </w:r>
    </w:p>
    <w:p w:rsidR="003E022D" w:rsidRDefault="007D19D6">
      <w:pPr>
        <w:numPr>
          <w:ilvl w:val="6"/>
          <w:numId w:val="1297"/>
        </w:numPr>
        <w:ind w:left="0" w:firstLine="0"/>
        <w:rPr>
          <w:rFonts w:cstheme="minorHAnsi"/>
          <w:noProof/>
        </w:rPr>
      </w:pPr>
      <w:r>
        <w:rPr>
          <w:noProof/>
        </w:rPr>
        <w:t>Ja būtiskas atšķirības Pušu sta</w:t>
      </w:r>
      <w:r>
        <w:rPr>
          <w:noProof/>
        </w:rPr>
        <w:t>rpā 1. punktā minētajās jomās rada būtisku ietekmi uz Pušu savstarpējo tirdzniecību vai investīcijām, jebkura Puse var veikt līdzsvara atjaunošanas pasākumus stāvokļa uzlabošanai. Šādu pasākumu apjoms un ilgums nedrīkst pārsniegt līmeni, kas ir obligāti ne</w:t>
      </w:r>
      <w:r>
        <w:rPr>
          <w:noProof/>
        </w:rPr>
        <w:t>pieciešams un samērīgs stāvokļa labošanai. Priekšroku dod tādiem pasākumiem, kas vismazāk traucē šā nolīguma darbību. Puses novērtējums par šādu ietekmi ir balstīts uz ticamiem pierādījumiem, nevis tikai uz pieņēmumiem vai maz ticamu iespējamību.</w:t>
      </w:r>
    </w:p>
    <w:p w:rsidR="003E022D" w:rsidRDefault="007D19D6">
      <w:pPr>
        <w:numPr>
          <w:ilvl w:val="6"/>
          <w:numId w:val="1297"/>
        </w:numPr>
        <w:ind w:left="0" w:firstLine="0"/>
        <w:rPr>
          <w:rFonts w:cstheme="minorHAnsi"/>
          <w:noProof/>
        </w:rPr>
      </w:pPr>
      <w:r>
        <w:rPr>
          <w:noProof/>
        </w:rPr>
        <w:t>Līdzsvara</w:t>
      </w:r>
      <w:r>
        <w:rPr>
          <w:noProof/>
        </w:rPr>
        <w:t xml:space="preserve"> atjaunošanas pasākumiem, kas veikti saskaņā ar 2. punktu, piemēro šādas procedūras: </w:t>
      </w:r>
    </w:p>
    <w:p w:rsidR="003E022D" w:rsidRDefault="007D19D6">
      <w:pPr>
        <w:numPr>
          <w:ilvl w:val="0"/>
          <w:numId w:val="1358"/>
        </w:numPr>
        <w:ind w:left="567" w:hanging="567"/>
        <w:rPr>
          <w:rFonts w:cstheme="minorHAnsi"/>
          <w:noProof/>
        </w:rPr>
      </w:pPr>
      <w:r>
        <w:rPr>
          <w:noProof/>
        </w:rPr>
        <w:t>Attiecīgā Puse bez kavēšanās ar Partnerības padomes starpniecību informē otru Pusi par līdzsvara atjaunošanas pasākumiem, kurus tā plāno veikt, sniedzot visu attiecīgo in</w:t>
      </w:r>
      <w:r>
        <w:rPr>
          <w:noProof/>
        </w:rPr>
        <w:t>formāciju. Puses nekavējoties sāk apspriešanos. Apspriešanos uzskata par pabeigtu 14 dienu laikā no paziņojuma sniegšanas dienas, ja vien tā nav kopīgi pabeigta pirms minētā termiņa.</w:t>
      </w:r>
    </w:p>
    <w:p w:rsidR="003E022D" w:rsidRDefault="007D19D6">
      <w:pPr>
        <w:numPr>
          <w:ilvl w:val="0"/>
          <w:numId w:val="1358"/>
        </w:numPr>
        <w:ind w:left="567" w:hanging="567"/>
        <w:rPr>
          <w:rFonts w:cstheme="minorHAnsi"/>
          <w:noProof/>
        </w:rPr>
      </w:pPr>
      <w:r>
        <w:rPr>
          <w:noProof/>
        </w:rPr>
        <w:t>Ja netiek rasts abpusēji pieņemams risinājums, attiecīgā Puse var pieņemt</w:t>
      </w:r>
      <w:r>
        <w:rPr>
          <w:noProof/>
        </w:rPr>
        <w:t xml:space="preserve"> līdzsvara atjaunošanas pasākumus ne ātrāk kā piecas dienas pēc apspriešanās beigām, ja vien informētā Puse tajā pašā piecu dienu laikposmā saskaņā ar INST.14. panta [Arbitrāža]</w:t>
      </w:r>
      <w:r>
        <w:rPr>
          <w:rStyle w:val="FootnoteReference"/>
          <w:rFonts w:cstheme="minorHAnsi"/>
          <w:noProof/>
          <w:lang w:val="fr-BE"/>
        </w:rPr>
        <w:footnoteReference w:id="64"/>
      </w:r>
      <w:r>
        <w:rPr>
          <w:noProof/>
        </w:rPr>
        <w:t xml:space="preserve"> 2. punktu otrai Pusei iesniegtā rakstiskā pieprasījumā nepieprasa izveidot šķ</w:t>
      </w:r>
      <w:r>
        <w:rPr>
          <w:noProof/>
        </w:rPr>
        <w:t xml:space="preserve">īrējtiesu, lai izlemtu, vai paziņotie līdzsvara atjaunošanas pasākumi atbilst šā panta 2. punktam. </w:t>
      </w:r>
    </w:p>
    <w:p w:rsidR="003E022D" w:rsidRDefault="007D19D6">
      <w:pPr>
        <w:numPr>
          <w:ilvl w:val="0"/>
          <w:numId w:val="1358"/>
        </w:numPr>
        <w:ind w:left="567" w:hanging="567"/>
        <w:rPr>
          <w:rFonts w:cstheme="minorHAnsi"/>
          <w:noProof/>
        </w:rPr>
      </w:pPr>
      <w:r>
        <w:rPr>
          <w:noProof/>
        </w:rPr>
        <w:t>Šķīrējtiesa savu galīgo nolēmumu sniedz 30 dienu laikā pēc tās izveides. Ja šķīrējtiesa minētajā laikposmā galīgo nolēmumu nesniedz, attiecīgā Puse var pieņ</w:t>
      </w:r>
      <w:r>
        <w:rPr>
          <w:noProof/>
        </w:rPr>
        <w:t>emt līdzsvara atjaunošanas pasākumus ne ātrāk kā trīs dienas pēc minētā 30 dienu laikposma beigām. Tādā gadījumā otra Puse var veikt pretpasākumus, kas ir samērīgi pieņemtajiem līdzsvara atjaunošanas pasākumiem, līdz šķīrējtiesa būs pieņēmusi galīgo nolēmu</w:t>
      </w:r>
      <w:r>
        <w:rPr>
          <w:noProof/>
        </w:rPr>
        <w:t xml:space="preserve">mu. Priekšroku dod tādiem pretpasākumiem, kas vismazāk traucē šā nolīguma darbību. Šādiem pretpasākumiem, kurus var pieņemt ne ātrāk kā trīs dienas pēc konsultēšanās pabeigšanas, </w:t>
      </w:r>
      <w:r>
        <w:rPr>
          <w:i/>
          <w:noProof/>
        </w:rPr>
        <w:t>mutatis mutandis</w:t>
      </w:r>
      <w:r>
        <w:rPr>
          <w:noProof/>
        </w:rPr>
        <w:t xml:space="preserve"> piemēro a) apakšpunktu.</w:t>
      </w:r>
    </w:p>
    <w:p w:rsidR="003E022D" w:rsidRDefault="007D19D6">
      <w:pPr>
        <w:numPr>
          <w:ilvl w:val="0"/>
          <w:numId w:val="1358"/>
        </w:numPr>
        <w:ind w:left="567" w:hanging="567"/>
        <w:rPr>
          <w:rFonts w:cstheme="minorHAnsi"/>
          <w:noProof/>
        </w:rPr>
      </w:pPr>
      <w:r>
        <w:rPr>
          <w:noProof/>
        </w:rPr>
        <w:t>Ja šķīrējtiesa ir konstatējusi, ka l</w:t>
      </w:r>
      <w:r>
        <w:rPr>
          <w:noProof/>
        </w:rPr>
        <w:t xml:space="preserve">īdzsvara atjaunošanas pasākumi atbilst 2. punktam, attiecīgā Puse var pieņemt šos līdzsvara atjaunošanas pasākumus atbilstīgi otrai Pusei paziņotajam. </w:t>
      </w:r>
    </w:p>
    <w:p w:rsidR="003E022D" w:rsidRDefault="007D19D6">
      <w:pPr>
        <w:numPr>
          <w:ilvl w:val="0"/>
          <w:numId w:val="1358"/>
        </w:numPr>
        <w:ind w:left="567" w:hanging="567"/>
        <w:rPr>
          <w:rFonts w:cstheme="minorHAnsi"/>
          <w:noProof/>
        </w:rPr>
      </w:pPr>
      <w:r>
        <w:rPr>
          <w:noProof/>
        </w:rPr>
        <w:t xml:space="preserve">Ja šķīrējtiesa ir konstatējusi, ka līdzsvara atjaunošanas pasākumi 2. punktam neatbilst, attiecīgā Puse </w:t>
      </w:r>
      <w:r>
        <w:rPr>
          <w:noProof/>
        </w:rPr>
        <w:t>trīs dienu laikā pēc nolēmuma pasludināšanas paziņo prasītājai Pusei par pasākumiem</w:t>
      </w:r>
      <w:r>
        <w:rPr>
          <w:rStyle w:val="FootnoteReference"/>
          <w:rFonts w:cstheme="minorHAnsi"/>
          <w:noProof/>
          <w:lang w:val="fr-BE"/>
        </w:rPr>
        <w:footnoteReference w:id="65"/>
      </w:r>
      <w:r>
        <w:rPr>
          <w:noProof/>
        </w:rPr>
        <w:t xml:space="preserve">, kurus tā plāno pieņemt, lai izpildītu šķīrējtiesas nolēmumu. Ja prasītāja Puse uzskata, ka paziņotie pasākumi neatbilst šķīrējtiesas nolēmumam, </w:t>
      </w:r>
      <w:r>
        <w:rPr>
          <w:i/>
          <w:iCs/>
          <w:noProof/>
        </w:rPr>
        <w:t>mutatis mutandis</w:t>
      </w:r>
      <w:r>
        <w:rPr>
          <w:noProof/>
        </w:rPr>
        <w:t xml:space="preserve"> piemēro INST.23. panta [Atbilstības pārskatīšana] 2. punktu, INST.24. pantu [Tiesiskās aizsardzības pagaidu līdzekļi]</w:t>
      </w:r>
      <w:r>
        <w:rPr>
          <w:rStyle w:val="FootnoteReference"/>
          <w:rFonts w:cstheme="minorHAnsi"/>
          <w:noProof/>
          <w:lang w:val="fr-BE"/>
        </w:rPr>
        <w:footnoteReference w:id="66"/>
      </w:r>
      <w:r>
        <w:rPr>
          <w:noProof/>
        </w:rPr>
        <w:t xml:space="preserve"> un INST.25. pantu [Jebkura pasākuma, kas veikts, lai nodrošinātu atbilstību pēc pagaidu tiesiskās aizsardzības līdzekļu pasludināšanas, </w:t>
      </w:r>
      <w:r>
        <w:rPr>
          <w:noProof/>
        </w:rPr>
        <w:t>pārbaude]. Procedūras saskaņā ar INST.23. panta [Atbilstības pārskatīšana] 2. punktu, INST.24. pantu [Tiesiskās aizsardzības pagaidu līdzekļi] un INST.25. pantu [Jebkura pasākuma, kas veikts, lai nodrošinātu atbilstību pēc pagaidu tiesiskās aizsardzības lī</w:t>
      </w:r>
      <w:r>
        <w:rPr>
          <w:noProof/>
        </w:rPr>
        <w:t xml:space="preserve">dzekļu pasludināšanas, pārbaude] neaptur paziņoto pasākumu piemērošanu saskaņā ar šo punktu. </w:t>
      </w:r>
    </w:p>
    <w:p w:rsidR="003E022D" w:rsidRDefault="007D19D6">
      <w:pPr>
        <w:numPr>
          <w:ilvl w:val="0"/>
          <w:numId w:val="1358"/>
        </w:numPr>
        <w:ind w:left="567" w:hanging="567"/>
        <w:rPr>
          <w:rFonts w:cstheme="minorHAnsi"/>
          <w:noProof/>
        </w:rPr>
      </w:pPr>
      <w:r>
        <w:rPr>
          <w:noProof/>
        </w:rPr>
        <w:t>Ja līdzsvara atjaunošanas pasākumi tika pieņemti pirms šķīrējtiesas nolēmuma saskaņā ar c) apakšpunktu, jebkuri pretpasākumi, kas pieņemti saskaņā ar minēto apakš</w:t>
      </w:r>
      <w:r>
        <w:rPr>
          <w:noProof/>
        </w:rPr>
        <w:t>punktu, tiek atcelti nekavējoties un nekādā gadījumā vēlāk kā piecas dienas pēc šķīrējtiesas nolēmuma pieņemšanas.</w:t>
      </w:r>
    </w:p>
    <w:p w:rsidR="003E022D" w:rsidRDefault="007D19D6">
      <w:pPr>
        <w:numPr>
          <w:ilvl w:val="0"/>
          <w:numId w:val="1358"/>
        </w:numPr>
        <w:ind w:left="567" w:hanging="567"/>
        <w:rPr>
          <w:rFonts w:cstheme="minorHAnsi"/>
          <w:noProof/>
        </w:rPr>
      </w:pPr>
      <w:r>
        <w:rPr>
          <w:noProof/>
        </w:rPr>
        <w:t>Puse neatsaucas uz PTO nolīgumu vai kādu citu starptautisku nolīgumu, lai liegtu otrai Pusei veikt pasākumus saskaņā ar 2. un 3. punktu, t. s</w:t>
      </w:r>
      <w:r>
        <w:rPr>
          <w:noProof/>
        </w:rPr>
        <w:t>k. gadījumos, kad minētie pasākumi ir šajā nolīgumā paredzēto saistību izpildes apturēšana.</w:t>
      </w:r>
    </w:p>
    <w:p w:rsidR="003E022D" w:rsidRDefault="007D19D6">
      <w:pPr>
        <w:numPr>
          <w:ilvl w:val="0"/>
          <w:numId w:val="1358"/>
        </w:numPr>
        <w:ind w:left="567" w:hanging="567"/>
        <w:rPr>
          <w:rFonts w:cstheme="minorHAnsi"/>
          <w:noProof/>
        </w:rPr>
      </w:pPr>
      <w:r>
        <w:rPr>
          <w:noProof/>
        </w:rPr>
        <w:t>Ja informētā Puse pieprasījumu saskaņā ar b) apakšpunktu neiesniedz šajā apakšpunktā paredzētajā laikposmā, minētā Puse var, bez iespējas pirms tam konsultēties sas</w:t>
      </w:r>
      <w:r>
        <w:rPr>
          <w:noProof/>
        </w:rPr>
        <w:t>kaņā ar INST.13. pantu [Konsultēšanās], uzsākt arbitrāžas procedūru, kas minēta INST.14. pantā [Arbitrāža]. Šķīrējtiesa uzskata šo jautājumu par steidzamu lietu INST.19. panta [Steidzamas procedūras] izpratnē.</w:t>
      </w:r>
    </w:p>
    <w:p w:rsidR="003E022D" w:rsidRDefault="007D19D6">
      <w:pPr>
        <w:numPr>
          <w:ilvl w:val="3"/>
          <w:numId w:val="1297"/>
        </w:numPr>
        <w:ind w:left="0" w:firstLine="0"/>
        <w:rPr>
          <w:rFonts w:cstheme="minorHAnsi"/>
          <w:noProof/>
        </w:rPr>
      </w:pPr>
      <w:r>
        <w:rPr>
          <w:noProof/>
        </w:rPr>
        <w:t>Lai noturīgāk nodrošinātu atbilstošu līdzsvaru</w:t>
      </w:r>
      <w:r>
        <w:rPr>
          <w:noProof/>
        </w:rPr>
        <w:t xml:space="preserve"> starp Pušu uzņemtajām saistībām šajā nolīgumā, jebkura no Pusēm var ne ātrāk kā četrus gadus pēc šā nolīguma stāšanās spēkā pieprasīt pārskatīt šā nolīguma pirmā temata [Tirdzniecība] darbību. Puses var vienoties pārskatīšanā iekļaut citus šā nolīguma tem</w:t>
      </w:r>
      <w:r>
        <w:rPr>
          <w:noProof/>
        </w:rPr>
        <w:t xml:space="preserve">atus. </w:t>
      </w:r>
    </w:p>
    <w:p w:rsidR="003E022D" w:rsidRDefault="007D19D6">
      <w:pPr>
        <w:numPr>
          <w:ilvl w:val="3"/>
          <w:numId w:val="1297"/>
        </w:numPr>
        <w:ind w:left="0" w:firstLine="0"/>
        <w:rPr>
          <w:rFonts w:cstheme="minorHAnsi"/>
          <w:noProof/>
        </w:rPr>
      </w:pPr>
      <w:r>
        <w:rPr>
          <w:noProof/>
        </w:rPr>
        <w:t>Šādu pārskatīšanu uzsāk pēc Puses pieprasījuma, ja šī Puse uzskata, ka viena vai abas Puses ir bieži veikušas pasākumus saskaņā ar 2. vai 3. punktu, vai ja pasākums, kas būtiski ietekmē tirdzniecību vai investīcijas Pušu starpā, ir piemērots 12 mēne</w:t>
      </w:r>
      <w:r>
        <w:rPr>
          <w:noProof/>
        </w:rPr>
        <w:t>šus. Šajā punktā attiecīgie pasākumi ir tie, kurus šķīrējtiesa nav apstrīdējusi vai nav uzskatījusi par pilnīgi nevajadzīgiem saskaņā ar 3. punkta d) vai h) apakšpunktu. Šo pārskatīšanu var sākt ātrāk nekā četrus gadus pēc šā nolīguma stāšanās spēkā.</w:t>
      </w:r>
    </w:p>
    <w:p w:rsidR="003E022D" w:rsidRDefault="007D19D6">
      <w:pPr>
        <w:numPr>
          <w:ilvl w:val="3"/>
          <w:numId w:val="1297"/>
        </w:numPr>
        <w:ind w:left="0" w:firstLine="0"/>
        <w:rPr>
          <w:rFonts w:cstheme="minorHAnsi"/>
          <w:noProof/>
        </w:rPr>
      </w:pPr>
      <w:r>
        <w:rPr>
          <w:noProof/>
        </w:rPr>
        <w:t>Saska</w:t>
      </w:r>
      <w:r>
        <w:rPr>
          <w:noProof/>
        </w:rPr>
        <w:t>ņā ar 4. vai 5. punktu pieprasīto pārskatīšanu sāk trīs mēnešu laikā pēc pieprasījuma iesniegšanas un pabeidz sešu mēnešu laikā.</w:t>
      </w:r>
    </w:p>
    <w:p w:rsidR="003E022D" w:rsidRDefault="007D19D6">
      <w:pPr>
        <w:numPr>
          <w:ilvl w:val="3"/>
          <w:numId w:val="1297"/>
        </w:numPr>
        <w:ind w:left="0" w:firstLine="0"/>
        <w:rPr>
          <w:rFonts w:cstheme="minorHAnsi"/>
          <w:noProof/>
        </w:rPr>
      </w:pPr>
      <w:r>
        <w:rPr>
          <w:noProof/>
        </w:rPr>
        <w:t>Pārskatīšanu, pamatojoties uz 4. vai 5. punktu, var atkārtot ne biežāk kā reizi četros gados pēc iepriekšējās pārskatīšanas pab</w:t>
      </w:r>
      <w:r>
        <w:rPr>
          <w:noProof/>
        </w:rPr>
        <w:t xml:space="preserve">eigšanas. Ja Puse ir pieprasījusi pārskatīšanu saskaņā ar 4. vai 5. punktu, tā nevar pieprasīt papildu pārskatīšanu nedz saskaņā ar 4. punktu, nedz 5. punktu vismaz četrus gadus pēc iepriekšējās pārskatīšanas pabeigšanas vai attiecīgā gadījumā pēc jebkāda </w:t>
      </w:r>
      <w:r>
        <w:rPr>
          <w:noProof/>
        </w:rPr>
        <w:t>grozoša nolīguma stāšanās spēkā.</w:t>
      </w:r>
    </w:p>
    <w:p w:rsidR="003E022D" w:rsidRDefault="007D19D6">
      <w:pPr>
        <w:numPr>
          <w:ilvl w:val="3"/>
          <w:numId w:val="1297"/>
        </w:numPr>
        <w:ind w:left="0" w:firstLine="0"/>
        <w:rPr>
          <w:rFonts w:cstheme="minorHAnsi"/>
          <w:noProof/>
        </w:rPr>
      </w:pPr>
      <w:r>
        <w:rPr>
          <w:noProof/>
        </w:rPr>
        <w:t>Pārskatīšanā izskata, vai šis nolīgums nodrošina pienācīgu līdzsvaru starp Pušu tiesībām un pienākumiem, jo īpaši attiecībā uz pirmā temata [Tirdzniecība] darbību, un vai tādēļ ir nepieciešams grozīt šā nolīguma noteikumus.</w:t>
      </w:r>
      <w:r>
        <w:rPr>
          <w:noProof/>
        </w:rPr>
        <w:t xml:space="preserve"> </w:t>
      </w:r>
    </w:p>
    <w:p w:rsidR="003E022D" w:rsidRDefault="007D19D6">
      <w:pPr>
        <w:numPr>
          <w:ilvl w:val="3"/>
          <w:numId w:val="1297"/>
        </w:numPr>
        <w:ind w:left="0" w:firstLine="0"/>
        <w:rPr>
          <w:rFonts w:cstheme="minorHAnsi"/>
          <w:noProof/>
        </w:rPr>
      </w:pPr>
      <w:r>
        <w:rPr>
          <w:noProof/>
        </w:rPr>
        <w:t>Partnerības padome var nolemt, ka pārskatīšanas rezultātā nav nepieciešama nekāda rīcība. Tomēr, ja Puses uzskata, ka pēc pārskatīšanas ir nepieciešams grozīt šo nolīgumu, Puses dara visu iespējamo, lai risinātu sarunas un noslēgtu nolīgumu, ar ko veic v</w:t>
      </w:r>
      <w:r>
        <w:rPr>
          <w:noProof/>
        </w:rPr>
        <w:t xml:space="preserve">ajadzīgos grozījumus. Šādas sarunas attiecas tikai uz pārskatīšanā apzinātajiem jautājumiem. </w:t>
      </w:r>
    </w:p>
    <w:p w:rsidR="003E022D" w:rsidRDefault="007D19D6">
      <w:pPr>
        <w:numPr>
          <w:ilvl w:val="3"/>
          <w:numId w:val="1297"/>
        </w:numPr>
        <w:ind w:left="0" w:firstLine="0"/>
        <w:rPr>
          <w:rFonts w:cstheme="minorHAnsi"/>
          <w:noProof/>
        </w:rPr>
      </w:pPr>
      <w:r>
        <w:rPr>
          <w:noProof/>
        </w:rPr>
        <w:t>Ja 9. punktā minētais grozošais nolīgums netiek pieņemts viena gada laikā no dienas, kad Puses sāka sarunas, jebkura no Pusēm var paziņot par nolīguma pirmā temat</w:t>
      </w:r>
      <w:r>
        <w:rPr>
          <w:noProof/>
        </w:rPr>
        <w:t>a [Tirdzniecība] vai jebkura cita temata, kas iekļauts pārskatīšanā, darbības izbeigšanu vai Puses var nolemt turpināt sarunas. Ja Puse izbeidz pirmā temata [Tirdzniecība] darbību, tajā pašā dienā tiek izbeigta trešā temata [Autotransports] darbība. Izbeig</w:t>
      </w:r>
      <w:r>
        <w:rPr>
          <w:noProof/>
        </w:rPr>
        <w:t xml:space="preserve">šana stājas spēkā trīs mēnešus pēc šāda paziņojuma dienas. </w:t>
      </w:r>
    </w:p>
    <w:p w:rsidR="003E022D" w:rsidRDefault="007D19D6">
      <w:pPr>
        <w:numPr>
          <w:ilvl w:val="3"/>
          <w:numId w:val="1297"/>
        </w:numPr>
        <w:ind w:left="0" w:firstLine="0"/>
        <w:rPr>
          <w:rFonts w:cstheme="minorHAnsi"/>
          <w:noProof/>
        </w:rPr>
      </w:pPr>
      <w:r>
        <w:rPr>
          <w:noProof/>
        </w:rPr>
        <w:t>Ja pirmā temata [Tirdzniecība] darbību izbeidz saskaņā ar 10. punktu, tajā pašā dienā tiek izbeigta otrā temata [Aviācija] darbība, ja vien Puses nevienojas integrēt XI sadaļas [Vienlīdzīgi apstāk</w:t>
      </w:r>
      <w:r>
        <w:rPr>
          <w:noProof/>
        </w:rPr>
        <w:t xml:space="preserve">ļi atvērtai un godīgai konkurencei un ilgtspējīgai attīstībai] attiecīgās daļas otrajā tematā [Aviācija]. </w:t>
      </w:r>
    </w:p>
    <w:p w:rsidR="003E022D" w:rsidRDefault="007D19D6">
      <w:pPr>
        <w:numPr>
          <w:ilvl w:val="3"/>
          <w:numId w:val="1297"/>
        </w:numPr>
        <w:ind w:left="0" w:firstLine="0"/>
        <w:rPr>
          <w:rFonts w:asciiTheme="majorHAnsi" w:hAnsiTheme="majorHAnsi"/>
          <w:noProof/>
        </w:rPr>
      </w:pPr>
      <w:r>
        <w:rPr>
          <w:noProof/>
        </w:rPr>
        <w:t>4.–9. punktam nepiemēro sestā temata [Strīdu izšķiršana un horizontālie noteikumi] I sadaļu [Strīdu izšķiršana].</w:t>
      </w:r>
    </w:p>
    <w:p w:rsidR="003E022D" w:rsidRDefault="007D19D6">
      <w:pPr>
        <w:pStyle w:val="Title1"/>
        <w:rPr>
          <w:noProof/>
        </w:rPr>
      </w:pPr>
      <w:bookmarkStart w:id="186" w:name="_Toc59988349"/>
      <w:r>
        <w:rPr>
          <w:noProof/>
        </w:rPr>
        <w:t>XII sadaļa. Izņēmumi</w:t>
      </w:r>
      <w:bookmarkEnd w:id="186"/>
    </w:p>
    <w:p w:rsidR="003E022D" w:rsidRDefault="007D19D6">
      <w:pPr>
        <w:pStyle w:val="Article"/>
        <w:rPr>
          <w:rFonts w:ascii="Times New Roman" w:eastAsia="Times New Roman" w:hAnsi="Times New Roman" w:cs="Times New Roman"/>
          <w:bCs/>
          <w:noProof/>
          <w:sz w:val="24"/>
          <w:szCs w:val="24"/>
        </w:rPr>
      </w:pPr>
      <w:r>
        <w:rPr>
          <w:noProof/>
        </w:rPr>
        <w:t>EXC.</w:t>
      </w:r>
      <w:r>
        <w:rPr>
          <w:noProof/>
        </w:rPr>
        <w:fldChar w:fldCharType="begin"/>
      </w:r>
      <w:r>
        <w:rPr>
          <w:noProof/>
        </w:rPr>
        <w:instrText xml:space="preserve"> SEQ Articl</w:instrText>
      </w:r>
      <w:r>
        <w:rPr>
          <w:noProof/>
        </w:rPr>
        <w:instrText xml:space="preserve">esFINPROV </w:instrText>
      </w:r>
      <w:r>
        <w:rPr>
          <w:noProof/>
        </w:rPr>
        <w:fldChar w:fldCharType="separate"/>
      </w:r>
      <w:r>
        <w:rPr>
          <w:noProof/>
        </w:rPr>
        <w:t>1</w:t>
      </w:r>
      <w:r>
        <w:rPr>
          <w:noProof/>
        </w:rPr>
        <w:fldChar w:fldCharType="end"/>
      </w:r>
      <w:r>
        <w:rPr>
          <w:noProof/>
        </w:rPr>
        <w:t>. pants. Vispārēji izņēmumi</w:t>
      </w:r>
    </w:p>
    <w:p w:rsidR="003E022D" w:rsidRDefault="007D19D6">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rPr>
      </w:pPr>
      <w:r>
        <w:rPr>
          <w:noProof/>
        </w:rPr>
        <w:t>Nekas otrās daļas pirmā temata I sadaļas pirmajā nodaļā [Valsts režīms un preču tirgus pieejamība] un piektajā nodaļā [Muita un tirdzniecības atvieglošana], otrās daļas pirmā temata VIII sadaļā [Enerģētika un izejv</w:t>
      </w:r>
      <w:r>
        <w:rPr>
          <w:noProof/>
        </w:rPr>
        <w:t>ielas], otrās daļas pirmā temata XI sadaļas ceturtajā nodaļā [Valsts uzņēmumi], otrās daļas pirmā temata III sadaļā [Digitālā tirdzniecība] un otrās daļas pirmā temata II sadaļas otrajā nodaļā [Investīciju liberalizācija] nav interpretējams kā šķērslis, ka</w:t>
      </w:r>
      <w:r>
        <w:rPr>
          <w:noProof/>
        </w:rPr>
        <w:t xml:space="preserve">s liedz Pusei pieņemt vai saglabāt pasākumus, kuri ir saderīgi ar </w:t>
      </w:r>
      <w:r>
        <w:rPr>
          <w:i/>
          <w:iCs/>
          <w:noProof/>
        </w:rPr>
        <w:t>GATT</w:t>
      </w:r>
      <w:r>
        <w:rPr>
          <w:noProof/>
        </w:rPr>
        <w:t xml:space="preserve"> 1994 XX pantu. Šajā nolūkā </w:t>
      </w:r>
      <w:r>
        <w:rPr>
          <w:i/>
          <w:iCs/>
          <w:noProof/>
        </w:rPr>
        <w:t>GATT</w:t>
      </w:r>
      <w:r>
        <w:rPr>
          <w:noProof/>
        </w:rPr>
        <w:t xml:space="preserve"> 1994 XX pants, t. sk. tā piezīmes un papildnoteikumi, </w:t>
      </w:r>
      <w:r>
        <w:rPr>
          <w:i/>
          <w:iCs/>
          <w:noProof/>
        </w:rPr>
        <w:t>mutatis mutandis</w:t>
      </w:r>
      <w:r>
        <w:rPr>
          <w:noProof/>
        </w:rPr>
        <w:t xml:space="preserve"> tiek iekļauti šajā nolīgumā un kļūst par tā daļu.</w:t>
      </w:r>
    </w:p>
    <w:p w:rsidR="003E022D" w:rsidRDefault="003E022D">
      <w:pPr>
        <w:pStyle w:val="ListParagraph"/>
        <w:pBdr>
          <w:top w:val="nil"/>
          <w:left w:val="nil"/>
          <w:bottom w:val="nil"/>
          <w:right w:val="nil"/>
          <w:between w:val="nil"/>
          <w:bar w:val="nil"/>
        </w:pBdr>
        <w:tabs>
          <w:tab w:val="left" w:pos="567"/>
        </w:tabs>
        <w:spacing w:after="0"/>
        <w:rPr>
          <w:rFonts w:cstheme="minorHAnsi"/>
          <w:noProof/>
        </w:rPr>
      </w:pPr>
    </w:p>
    <w:p w:rsidR="003E022D" w:rsidRDefault="007D19D6">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rPr>
      </w:pPr>
      <w:r>
        <w:rPr>
          <w:noProof/>
        </w:rPr>
        <w:t>Ievērojot prasību, ka šādus pasākumus nepiemēro tādā veidā, kas radītu patvaļīgu vai neattaisnojamu diskrimināciju starp valstīm, kurās pastāv līdzīgi apstākļi, vai slēptus ierobežojumus investīciju liberalizācijai vai pakalpojumu tirdzniecībai, nekas otrā</w:t>
      </w:r>
      <w:r>
        <w:rPr>
          <w:noProof/>
        </w:rPr>
        <w:t>s daļas pirmā temata VIII sadaļā [Enerģētika un izejvielas], otrās daļas pirmā temata XI sadaļas ceturtajā nodaļā [Valsts uzņēmumi], otrās daļas pirmā temata III sadaļā [Digitālā tirdzniecība], otrās daļas pirmā temata II sadaļā [Pakalpojumi un investīcija</w:t>
      </w:r>
      <w:r>
        <w:rPr>
          <w:noProof/>
        </w:rPr>
        <w:t xml:space="preserve">s] un otrās daļas pirmā temata IV sadaļā </w:t>
      </w:r>
      <w:bookmarkStart w:id="187" w:name="_Toc32669390"/>
      <w:r>
        <w:rPr>
          <w:noProof/>
        </w:rPr>
        <w:t>[Kapitāla aprite, maksājumi, pārvedumi un pagaidu aizsardzības pasākumi]</w:t>
      </w:r>
      <w:bookmarkEnd w:id="187"/>
      <w:r>
        <w:rPr>
          <w:noProof/>
        </w:rPr>
        <w:t xml:space="preserve"> nav interpretējams kā šķērslis, kas liedz Pusei pieņemt vai īstenot pasākumus, kas nepieciešami:</w:t>
      </w:r>
    </w:p>
    <w:p w:rsidR="003E022D" w:rsidRDefault="003E022D">
      <w:pPr>
        <w:pStyle w:val="ListParagraph"/>
        <w:pBdr>
          <w:top w:val="nil"/>
          <w:left w:val="nil"/>
          <w:bottom w:val="nil"/>
          <w:right w:val="nil"/>
          <w:between w:val="nil"/>
          <w:bar w:val="nil"/>
        </w:pBdr>
        <w:tabs>
          <w:tab w:val="left" w:pos="567"/>
        </w:tabs>
        <w:spacing w:after="0"/>
        <w:rPr>
          <w:rFonts w:cstheme="minorHAnsi"/>
          <w:noProof/>
        </w:rPr>
      </w:pPr>
    </w:p>
    <w:p w:rsidR="003E022D" w:rsidRDefault="007D19D6">
      <w:pPr>
        <w:pStyle w:val="ListParagraph"/>
        <w:numPr>
          <w:ilvl w:val="0"/>
          <w:numId w:val="505"/>
        </w:numPr>
        <w:tabs>
          <w:tab w:val="left" w:pos="567"/>
        </w:tabs>
        <w:autoSpaceDE w:val="0"/>
        <w:autoSpaceDN w:val="0"/>
        <w:adjustRightInd w:val="0"/>
        <w:ind w:left="567" w:hanging="567"/>
        <w:contextualSpacing w:val="0"/>
        <w:rPr>
          <w:noProof/>
        </w:rPr>
      </w:pPr>
      <w:r>
        <w:rPr>
          <w:noProof/>
        </w:rPr>
        <w:t>sabiedriskās drošības vai sabiedrības morāle</w:t>
      </w:r>
      <w:r>
        <w:rPr>
          <w:noProof/>
        </w:rPr>
        <w:t>s aizsardzībai vai sabiedriskās kārtības uzturēšanai</w:t>
      </w:r>
      <w:r>
        <w:rPr>
          <w:rStyle w:val="FootnoteReference"/>
          <w:noProof/>
        </w:rPr>
        <w:footnoteReference w:id="67"/>
      </w:r>
      <w:r>
        <w:rPr>
          <w:noProof/>
        </w:rPr>
        <w:t>;</w:t>
      </w:r>
    </w:p>
    <w:p w:rsidR="003E022D" w:rsidRDefault="007D19D6">
      <w:pPr>
        <w:pStyle w:val="ListParagraph"/>
        <w:numPr>
          <w:ilvl w:val="0"/>
          <w:numId w:val="505"/>
        </w:numPr>
        <w:tabs>
          <w:tab w:val="left" w:pos="1560"/>
        </w:tabs>
        <w:autoSpaceDE w:val="0"/>
        <w:autoSpaceDN w:val="0"/>
        <w:adjustRightInd w:val="0"/>
        <w:ind w:left="567" w:hanging="567"/>
        <w:contextualSpacing w:val="0"/>
        <w:rPr>
          <w:noProof/>
        </w:rPr>
      </w:pPr>
      <w:r>
        <w:rPr>
          <w:noProof/>
        </w:rPr>
        <w:t>cilvēku, dzīvnieku un augu dzīvības vai veselības aizsardzībai;</w:t>
      </w:r>
    </w:p>
    <w:p w:rsidR="003E022D" w:rsidRDefault="007D19D6">
      <w:pPr>
        <w:pStyle w:val="ListParagraph"/>
        <w:numPr>
          <w:ilvl w:val="0"/>
          <w:numId w:val="505"/>
        </w:numPr>
        <w:autoSpaceDE w:val="0"/>
        <w:autoSpaceDN w:val="0"/>
        <w:adjustRightInd w:val="0"/>
        <w:ind w:left="567" w:hanging="567"/>
        <w:contextualSpacing w:val="0"/>
        <w:rPr>
          <w:noProof/>
        </w:rPr>
      </w:pPr>
      <w:r>
        <w:rPr>
          <w:noProof/>
        </w:rPr>
        <w:t>lai nodrošinātu tiesību aktu vai noteikumu, kuri nav nesaderīgi ar šā nolīguma nosacījumiem, ievērošanu, ieskaitot tos, kas attiecas uz:</w:t>
      </w:r>
    </w:p>
    <w:p w:rsidR="003E022D" w:rsidRDefault="007D19D6">
      <w:pPr>
        <w:numPr>
          <w:ilvl w:val="0"/>
          <w:numId w:val="509"/>
        </w:numPr>
        <w:spacing w:after="160" w:line="259" w:lineRule="auto"/>
        <w:ind w:left="1276" w:hanging="567"/>
        <w:rPr>
          <w:rFonts w:eastAsia="Calibri" w:cs="Calibri"/>
          <w:noProof/>
        </w:rPr>
      </w:pPr>
      <w:r>
        <w:rPr>
          <w:noProof/>
        </w:rPr>
        <w:t>krāpnieciskas vai maldinošas prakses novēršanu vai līgumsaistību neizpildes sekām,</w:t>
      </w:r>
    </w:p>
    <w:p w:rsidR="003E022D" w:rsidRDefault="007D19D6">
      <w:pPr>
        <w:numPr>
          <w:ilvl w:val="0"/>
          <w:numId w:val="509"/>
        </w:numPr>
        <w:spacing w:after="160" w:line="259" w:lineRule="auto"/>
        <w:ind w:left="1276" w:hanging="567"/>
        <w:rPr>
          <w:rFonts w:eastAsia="Calibri" w:cs="Calibri"/>
          <w:noProof/>
        </w:rPr>
      </w:pPr>
      <w:r>
        <w:rPr>
          <w:noProof/>
        </w:rPr>
        <w:t>personu privātuma aizsardzību saistībā ar personas datu apstrādi un izplatīšanu un individuālu dokumentu un kontu konfidencialitātes aizsardzību; un</w:t>
      </w:r>
    </w:p>
    <w:p w:rsidR="003E022D" w:rsidRDefault="007D19D6">
      <w:pPr>
        <w:numPr>
          <w:ilvl w:val="0"/>
          <w:numId w:val="509"/>
        </w:numPr>
        <w:spacing w:after="160" w:line="259" w:lineRule="auto"/>
        <w:ind w:left="1276" w:hanging="567"/>
        <w:rPr>
          <w:noProof/>
        </w:rPr>
      </w:pPr>
      <w:r>
        <w:rPr>
          <w:noProof/>
        </w:rPr>
        <w:t>drošību.</w:t>
      </w:r>
    </w:p>
    <w:p w:rsidR="003E022D" w:rsidRDefault="007D19D6">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rPr>
      </w:pPr>
      <w:r>
        <w:rPr>
          <w:noProof/>
        </w:rPr>
        <w:t xml:space="preserve">Lielākai noteiktībai Puses saprot, ka tādā mērā, ciktāl šādi pasākumi ir citādi nesaderīgi ar iepriekš minēto nodaļu, iedaļu vai sadaļu noteikumiem: </w:t>
      </w:r>
    </w:p>
    <w:p w:rsidR="003E022D" w:rsidRDefault="003E022D">
      <w:pPr>
        <w:tabs>
          <w:tab w:val="left" w:pos="567"/>
        </w:tabs>
        <w:autoSpaceDE w:val="0"/>
        <w:autoSpaceDN w:val="0"/>
        <w:adjustRightInd w:val="0"/>
        <w:rPr>
          <w:rFonts w:cstheme="minorHAnsi"/>
          <w:noProof/>
        </w:rPr>
      </w:pPr>
    </w:p>
    <w:p w:rsidR="003E022D" w:rsidRDefault="007D19D6">
      <w:pPr>
        <w:pStyle w:val="ListParagraph"/>
        <w:numPr>
          <w:ilvl w:val="0"/>
          <w:numId w:val="506"/>
        </w:numPr>
        <w:tabs>
          <w:tab w:val="left" w:pos="993"/>
        </w:tabs>
        <w:autoSpaceDE w:val="0"/>
        <w:autoSpaceDN w:val="0"/>
        <w:adjustRightInd w:val="0"/>
        <w:ind w:left="567" w:hanging="567"/>
        <w:contextualSpacing w:val="0"/>
        <w:rPr>
          <w:noProof/>
        </w:rPr>
      </w:pPr>
      <w:r>
        <w:rPr>
          <w:noProof/>
        </w:rPr>
        <w:t xml:space="preserve">pasākumi, kas minēti </w:t>
      </w:r>
      <w:r>
        <w:rPr>
          <w:i/>
          <w:iCs/>
          <w:noProof/>
        </w:rPr>
        <w:t>GATT</w:t>
      </w:r>
      <w:r>
        <w:rPr>
          <w:noProof/>
        </w:rPr>
        <w:t> 1994 XX panta b) punktā un šā panta 2. punkta b) apakšpunktā, ietver vides pasā</w:t>
      </w:r>
      <w:r>
        <w:rPr>
          <w:noProof/>
        </w:rPr>
        <w:t xml:space="preserve">kumus, kuri nepieciešami cilvēku, dzīvnieku vai augu dzīvības un veselības aizsardzībai; </w:t>
      </w:r>
    </w:p>
    <w:p w:rsidR="003E022D" w:rsidRDefault="007D19D6">
      <w:pPr>
        <w:pStyle w:val="ListParagraph"/>
        <w:numPr>
          <w:ilvl w:val="0"/>
          <w:numId w:val="506"/>
        </w:numPr>
        <w:tabs>
          <w:tab w:val="left" w:pos="1134"/>
        </w:tabs>
        <w:autoSpaceDE w:val="0"/>
        <w:autoSpaceDN w:val="0"/>
        <w:adjustRightInd w:val="0"/>
        <w:ind w:left="567" w:hanging="567"/>
        <w:contextualSpacing w:val="0"/>
        <w:rPr>
          <w:rFonts w:eastAsia="Times New Roman" w:cstheme="minorHAnsi"/>
          <w:noProof/>
        </w:rPr>
      </w:pPr>
      <w:r>
        <w:rPr>
          <w:i/>
          <w:noProof/>
        </w:rPr>
        <w:t>GATT</w:t>
      </w:r>
      <w:r>
        <w:rPr>
          <w:noProof/>
        </w:rPr>
        <w:t xml:space="preserve"> 1994 XX panta g) punktu piemēro pasākumiem, kas saistīti ar dzīvo un nedzīvo izsmeļamo dabas resursu saglabāšanu; kā arī </w:t>
      </w:r>
    </w:p>
    <w:p w:rsidR="003E022D" w:rsidRDefault="007D19D6">
      <w:pPr>
        <w:pStyle w:val="Corps"/>
        <w:numPr>
          <w:ilvl w:val="0"/>
          <w:numId w:val="506"/>
        </w:numPr>
        <w:tabs>
          <w:tab w:val="left" w:pos="709"/>
        </w:tabs>
        <w:spacing w:after="0" w:line="240" w:lineRule="auto"/>
        <w:ind w:left="567" w:hanging="567"/>
        <w:jc w:val="both"/>
        <w:rPr>
          <w:rFonts w:asciiTheme="minorHAnsi" w:hAnsiTheme="minorHAnsi" w:cstheme="minorHAnsi"/>
          <w:noProof/>
        </w:rPr>
      </w:pPr>
      <w:r>
        <w:rPr>
          <w:rFonts w:asciiTheme="minorHAnsi" w:hAnsiTheme="minorHAnsi"/>
          <w:noProof/>
        </w:rPr>
        <w:t>uz pasākumiem, kas pieņemti daudzpusēju</w:t>
      </w:r>
      <w:r>
        <w:rPr>
          <w:rFonts w:asciiTheme="minorHAnsi" w:hAnsiTheme="minorHAnsi"/>
          <w:noProof/>
        </w:rPr>
        <w:t xml:space="preserve"> nolīgumu vides jomā īstenošanai, var attiekties </w:t>
      </w:r>
      <w:r>
        <w:rPr>
          <w:rFonts w:asciiTheme="minorHAnsi" w:hAnsiTheme="minorHAnsi"/>
          <w:i/>
          <w:iCs/>
          <w:noProof/>
        </w:rPr>
        <w:t>GATT</w:t>
      </w:r>
      <w:r>
        <w:rPr>
          <w:rFonts w:asciiTheme="minorHAnsi" w:hAnsiTheme="minorHAnsi"/>
          <w:noProof/>
        </w:rPr>
        <w:t xml:space="preserve"> 1994 XX panta b) vai g) punkts vai šā panta 2. punkta b) apakšpunkts. </w:t>
      </w:r>
    </w:p>
    <w:p w:rsidR="003E022D" w:rsidRDefault="003E022D">
      <w:pPr>
        <w:pStyle w:val="Corps"/>
        <w:tabs>
          <w:tab w:val="left" w:pos="567"/>
        </w:tabs>
        <w:spacing w:after="0" w:line="240" w:lineRule="auto"/>
        <w:jc w:val="both"/>
        <w:rPr>
          <w:rFonts w:asciiTheme="minorHAnsi" w:hAnsiTheme="minorHAnsi" w:cstheme="minorHAnsi"/>
          <w:noProof/>
        </w:rPr>
      </w:pPr>
    </w:p>
    <w:p w:rsidR="003E022D" w:rsidRDefault="007D19D6">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rPr>
      </w:pPr>
      <w:r>
        <w:rPr>
          <w:noProof/>
        </w:rPr>
        <w:t xml:space="preserve">Pirms Puse veic jebkādus pasākumus, kas paredzēti </w:t>
      </w:r>
      <w:r>
        <w:rPr>
          <w:i/>
          <w:noProof/>
        </w:rPr>
        <w:t>GATT</w:t>
      </w:r>
      <w:r>
        <w:rPr>
          <w:noProof/>
        </w:rPr>
        <w:t xml:space="preserve"> 1994 XX panta i) un j) punktā, minētā Puse sniedz otrai Pusei visu </w:t>
      </w:r>
      <w:r>
        <w:rPr>
          <w:noProof/>
        </w:rPr>
        <w:t xml:space="preserve">attiecīgo informāciju nolūkā rast abām Pusēm pieņemamu risinājumu. Ja no informācijas sniegšanas brīža 30 dienu laikā nav panākta vienošanās, Puse var piemērot attiecīgos pasākumus. Ārkārtēju un kritisku apstākļu dēļ, kuros nepieciešama tūlītēja rīcība un </w:t>
      </w:r>
      <w:r>
        <w:rPr>
          <w:noProof/>
        </w:rPr>
        <w:t>iepriekšēja informēšana vai izskatīšana nav iespējama, Puse, kas paredzējusi pasākumus veikt, var nekavējoties piemērot piesardzības pasākumus, kuri nepieciešami situācijas risināšanai. Minētā Puse par to nekavējoties informē otru Pusi.</w:t>
      </w:r>
    </w:p>
    <w:p w:rsidR="003E022D" w:rsidRDefault="007D19D6">
      <w:pPr>
        <w:pStyle w:val="Article"/>
        <w:rPr>
          <w:noProof/>
        </w:rPr>
      </w:pPr>
      <w:r>
        <w:rPr>
          <w:noProof/>
        </w:rPr>
        <w:t>EXC.</w:t>
      </w:r>
      <w:r>
        <w:rPr>
          <w:noProof/>
        </w:rPr>
        <w:fldChar w:fldCharType="begin"/>
      </w:r>
      <w:r>
        <w:rPr>
          <w:noProof/>
        </w:rPr>
        <w:instrText xml:space="preserve"> SEQ ArticlesFI</w:instrText>
      </w:r>
      <w:r>
        <w:rPr>
          <w:noProof/>
        </w:rPr>
        <w:instrText xml:space="preserve">NPROV </w:instrText>
      </w:r>
      <w:r>
        <w:rPr>
          <w:noProof/>
        </w:rPr>
        <w:fldChar w:fldCharType="separate"/>
      </w:r>
      <w:r>
        <w:rPr>
          <w:noProof/>
        </w:rPr>
        <w:t>2</w:t>
      </w:r>
      <w:r>
        <w:rPr>
          <w:noProof/>
        </w:rPr>
        <w:fldChar w:fldCharType="end"/>
      </w:r>
      <w:r>
        <w:rPr>
          <w:noProof/>
        </w:rPr>
        <w:t>. pants. Nodokļu politika</w:t>
      </w:r>
    </w:p>
    <w:p w:rsidR="003E022D" w:rsidRDefault="007D19D6">
      <w:pPr>
        <w:pBdr>
          <w:top w:val="nil"/>
          <w:left w:val="nil"/>
          <w:bottom w:val="nil"/>
          <w:right w:val="nil"/>
          <w:between w:val="nil"/>
          <w:bar w:val="nil"/>
        </w:pBdr>
        <w:tabs>
          <w:tab w:val="left" w:pos="567"/>
        </w:tabs>
        <w:spacing w:after="0"/>
        <w:rPr>
          <w:rFonts w:eastAsia="Calibri" w:cstheme="minorHAnsi"/>
          <w:noProof/>
          <w:color w:val="000000"/>
          <w:u w:color="000000"/>
          <w:bdr w:val="nil"/>
        </w:rPr>
      </w:pPr>
      <w:r>
        <w:rPr>
          <w:noProof/>
        </w:rPr>
        <w:t>1.</w:t>
      </w:r>
      <w:r>
        <w:rPr>
          <w:noProof/>
        </w:rPr>
        <w:tab/>
        <w:t>Nekas otrās daļas pirmā temata I līdz VII sadaļā, VIII sadaļas ceturtajā nodaļā [Enerģētika un izejvielas], otrās daļas pirmā temata IX līdz XII sadaļā vai otrās daļas sestajā tematā [Citi noteikumi] neietekmē Savienī</w:t>
      </w:r>
      <w:r>
        <w:rPr>
          <w:noProof/>
        </w:rPr>
        <w:t>bas vai tās dalībvalstu un Apvienotās Karalistes tiesības un pienākumus, kas izriet no jebkuras nodokļu konvencijas.</w:t>
      </w:r>
      <w:r>
        <w:rPr>
          <w:noProof/>
          <w:color w:val="000000"/>
          <w:u w:color="000000"/>
          <w:bdr w:val="nil"/>
        </w:rPr>
        <w:t xml:space="preserve"> Ja pastāv neatbilstība starp šo nolīgumu un kādu šādu nodokļu konvenciju, tad, ciktāl pastāv neatbilstība, prevalē nodokļu konvencija. Atti</w:t>
      </w:r>
      <w:r>
        <w:rPr>
          <w:noProof/>
          <w:color w:val="000000"/>
          <w:u w:color="000000"/>
          <w:bdr w:val="nil"/>
        </w:rPr>
        <w:t>ecībā uz nodokļu konvenciju starp Savienību vai tās dalībvalstīm un Apvienoto Karalisti attiecīgās kompetentās iestādes saskaņā ar šo nolīgumu un minēto nodokļu konvenciju kopīgi nosaka, vai pastāv neatbilstība starp šo nolīgumu un nodokļu konvenciju</w:t>
      </w:r>
      <w:r>
        <w:rPr>
          <w:rFonts w:eastAsia="Calibri" w:cstheme="minorHAnsi"/>
          <w:b/>
          <w:noProof/>
          <w:color w:val="000000"/>
          <w:sz w:val="24"/>
          <w:u w:color="000000"/>
          <w:bdr w:val="nil"/>
          <w:vertAlign w:val="superscript"/>
          <w:lang w:eastAsia="fr-BE"/>
        </w:rPr>
        <w:footnoteReference w:id="68"/>
      </w:r>
      <w:r>
        <w:rPr>
          <w:noProof/>
          <w:color w:val="000000"/>
          <w:u w:color="000000"/>
          <w:bdr w:val="nil"/>
        </w:rPr>
        <w:t xml:space="preserve">. </w:t>
      </w:r>
    </w:p>
    <w:p w:rsidR="003E022D" w:rsidRDefault="003E022D">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3E022D" w:rsidRDefault="007D19D6">
      <w:pPr>
        <w:pBdr>
          <w:top w:val="nil"/>
          <w:left w:val="nil"/>
          <w:bottom w:val="nil"/>
          <w:right w:val="nil"/>
          <w:between w:val="nil"/>
          <w:bar w:val="nil"/>
        </w:pBdr>
        <w:tabs>
          <w:tab w:val="left" w:pos="567"/>
        </w:tabs>
        <w:spacing w:after="0"/>
        <w:rPr>
          <w:rFonts w:eastAsia="Calibri" w:cstheme="minorHAnsi"/>
          <w:noProof/>
          <w:color w:val="000000"/>
          <w:u w:color="000000"/>
          <w:bdr w:val="nil"/>
        </w:rPr>
      </w:pPr>
      <w:r>
        <w:rPr>
          <w:noProof/>
          <w:color w:val="000000"/>
          <w:u w:color="000000"/>
          <w:bdr w:val="nil"/>
        </w:rPr>
        <w:t>2.</w:t>
      </w:r>
      <w:r>
        <w:rPr>
          <w:noProof/>
        </w:rPr>
        <w:tab/>
      </w:r>
      <w:r>
        <w:rPr>
          <w:noProof/>
          <w:color w:val="000000"/>
          <w:u w:color="000000"/>
          <w:bdr w:val="nil"/>
        </w:rPr>
        <w:t xml:space="preserve">Otrās daļas pirmā temata II sadaļas otrajā nodaļas [Investīciju liberalizācija] SERVIN.2.4. pantu un otrās daļas pirmā temata II sadaļas trešās nodaļas [Pakalpojumu pārrobežu tirdzniecība] SERVIN.3.4. pantu nepiemēro priekšrocībai, kas noteikta saskaņā </w:t>
      </w:r>
      <w:r>
        <w:rPr>
          <w:noProof/>
          <w:color w:val="000000"/>
          <w:u w:color="000000"/>
          <w:bdr w:val="nil"/>
        </w:rPr>
        <w:t>ar nodokļu konvenciju.</w:t>
      </w:r>
    </w:p>
    <w:p w:rsidR="003E022D" w:rsidRDefault="003E022D">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3E022D" w:rsidRDefault="007D19D6">
      <w:pPr>
        <w:tabs>
          <w:tab w:val="left" w:pos="567"/>
        </w:tabs>
        <w:spacing w:after="0"/>
        <w:rPr>
          <w:rFonts w:eastAsia="Calibri" w:cstheme="minorHAnsi"/>
          <w:noProof/>
          <w:color w:val="000000"/>
          <w:u w:color="000000"/>
          <w:bdr w:val="nil"/>
        </w:rPr>
      </w:pPr>
      <w:r>
        <w:rPr>
          <w:noProof/>
          <w:color w:val="000000"/>
          <w:u w:color="000000"/>
          <w:bdr w:val="nil"/>
        </w:rPr>
        <w:t>3.</w:t>
      </w:r>
      <w:r>
        <w:rPr>
          <w:noProof/>
        </w:rPr>
        <w:tab/>
        <w:t>Ievērojot prasību, ka nodokļu pasākumus nepiemēro tādā veidā, kas radītu patvaļīgu vai neattaisnojamu diskrimināciju starp valstīm, kurās pastāv līdzīgi apstākļi, vai slēptus ierobežojumus tirdzniecībai un investīcijām, nekas otr</w:t>
      </w:r>
      <w:r>
        <w:rPr>
          <w:noProof/>
        </w:rPr>
        <w:t>ās daļas pirmā temata I līdz VII sadaļā, VIII sadaļas ceturtajā nodaļā [Enerģētika un izejvielas], IX līdz XII sadaļā vai otrās daļas sestajā tematā [Citi noteikumi] nav interpretējams kā šķērslis, kas liedz Pusei pieņemt, paturēt spēkā vai īstenot jebkuru</w:t>
      </w:r>
      <w:r>
        <w:rPr>
          <w:noProof/>
        </w:rPr>
        <w:t xml:space="preserve"> pasākumu:</w:t>
      </w:r>
      <w:r>
        <w:rPr>
          <w:noProof/>
          <w:color w:val="000000"/>
          <w:u w:color="000000"/>
          <w:bdr w:val="nil"/>
        </w:rPr>
        <w:t xml:space="preserve"> </w:t>
      </w:r>
    </w:p>
    <w:p w:rsidR="003E022D" w:rsidRDefault="003E022D">
      <w:pPr>
        <w:tabs>
          <w:tab w:val="left" w:pos="567"/>
        </w:tabs>
        <w:spacing w:after="0"/>
        <w:rPr>
          <w:rFonts w:eastAsia="Calibri" w:cstheme="minorHAnsi"/>
          <w:noProof/>
          <w:color w:val="000000"/>
          <w:u w:color="000000"/>
          <w:bdr w:val="nil"/>
          <w:lang w:eastAsia="fr-BE"/>
        </w:rPr>
      </w:pPr>
    </w:p>
    <w:p w:rsidR="003E022D" w:rsidRDefault="007D19D6">
      <w:pPr>
        <w:numPr>
          <w:ilvl w:val="0"/>
          <w:numId w:val="508"/>
        </w:numPr>
        <w:tabs>
          <w:tab w:val="left" w:pos="709"/>
        </w:tabs>
        <w:spacing w:after="0"/>
        <w:ind w:left="567" w:hanging="567"/>
        <w:rPr>
          <w:rFonts w:eastAsia="Calibri" w:cstheme="minorHAnsi"/>
          <w:noProof/>
          <w:color w:val="000000"/>
          <w:u w:color="000000"/>
          <w:bdr w:val="nil"/>
        </w:rPr>
      </w:pPr>
      <w:r>
        <w:rPr>
          <w:noProof/>
          <w:color w:val="000000"/>
          <w:u w:color="000000"/>
          <w:bdr w:val="nil"/>
        </w:rPr>
        <w:t>ar mērķi nodrošināt tiešo nodokļu taisnīgu vai iedarbīgu</w:t>
      </w:r>
      <w:r>
        <w:rPr>
          <w:rFonts w:eastAsia="Calibri" w:cstheme="minorHAnsi"/>
          <w:b/>
          <w:noProof/>
          <w:color w:val="000000"/>
          <w:sz w:val="24"/>
          <w:u w:color="000000"/>
          <w:bdr w:val="nil"/>
          <w:vertAlign w:val="superscript"/>
          <w:lang w:eastAsia="fr-BE"/>
        </w:rPr>
        <w:footnoteReference w:id="69"/>
      </w:r>
      <w:r>
        <w:rPr>
          <w:noProof/>
          <w:color w:val="000000"/>
          <w:u w:color="000000"/>
          <w:bdr w:val="nil"/>
        </w:rPr>
        <w:t xml:space="preserve"> uzlikšanu vai iekasēšanu vai</w:t>
      </w:r>
    </w:p>
    <w:p w:rsidR="003E022D" w:rsidRDefault="007D19D6">
      <w:pPr>
        <w:numPr>
          <w:ilvl w:val="0"/>
          <w:numId w:val="508"/>
        </w:numPr>
        <w:spacing w:after="0"/>
        <w:ind w:left="567" w:hanging="567"/>
        <w:rPr>
          <w:rFonts w:eastAsia="Times New Roman" w:cstheme="minorHAnsi"/>
          <w:noProof/>
          <w:color w:val="000000"/>
          <w:u w:color="000000"/>
          <w:bdr w:val="nil"/>
        </w:rPr>
      </w:pPr>
      <w:r>
        <w:rPr>
          <w:noProof/>
          <w:u w:color="000000"/>
          <w:bdr w:val="nil"/>
        </w:rPr>
        <w:t>kas nošķir nodokļu maksātājus, kuri nav vienādā situācijā, it īpaši saistībā ar viņu dzīvesvietu vai vietu, kur ieguldīts viņu kapitāls.</w:t>
      </w:r>
    </w:p>
    <w:p w:rsidR="003E022D" w:rsidRDefault="003E022D">
      <w:pPr>
        <w:pBdr>
          <w:top w:val="nil"/>
          <w:left w:val="nil"/>
          <w:bottom w:val="nil"/>
          <w:right w:val="nil"/>
          <w:between w:val="nil"/>
          <w:bar w:val="nil"/>
        </w:pBdr>
        <w:spacing w:after="0"/>
        <w:rPr>
          <w:rFonts w:eastAsia="Calibri" w:cstheme="minorHAnsi"/>
          <w:noProof/>
          <w:color w:val="000000"/>
          <w:u w:color="000000"/>
          <w:bdr w:val="nil"/>
          <w:lang w:eastAsia="fr-BE"/>
        </w:rPr>
      </w:pPr>
    </w:p>
    <w:p w:rsidR="003E022D" w:rsidRDefault="007D19D6">
      <w:pPr>
        <w:pBdr>
          <w:top w:val="nil"/>
          <w:left w:val="nil"/>
          <w:bottom w:val="nil"/>
          <w:right w:val="nil"/>
          <w:between w:val="nil"/>
          <w:bar w:val="nil"/>
        </w:pBdr>
        <w:spacing w:after="0"/>
        <w:ind w:left="567" w:hanging="567"/>
        <w:jc w:val="left"/>
        <w:rPr>
          <w:rFonts w:eastAsia="Calibri" w:cstheme="minorHAnsi"/>
          <w:noProof/>
          <w:color w:val="000000"/>
          <w:u w:color="000000"/>
          <w:bdr w:val="nil"/>
        </w:rPr>
      </w:pPr>
      <w:r>
        <w:rPr>
          <w:noProof/>
          <w:color w:val="000000"/>
          <w:u w:color="000000"/>
          <w:bdr w:val="nil"/>
        </w:rPr>
        <w:t>4.</w:t>
      </w:r>
      <w:r>
        <w:rPr>
          <w:noProof/>
        </w:rPr>
        <w:tab/>
      </w:r>
      <w:r>
        <w:rPr>
          <w:noProof/>
          <w:color w:val="000000"/>
          <w:u w:color="000000"/>
          <w:bdr w:val="nil"/>
        </w:rPr>
        <w:t>Šajā pantā:</w:t>
      </w:r>
    </w:p>
    <w:p w:rsidR="003E022D" w:rsidRDefault="003E022D">
      <w:pPr>
        <w:pBdr>
          <w:top w:val="nil"/>
          <w:left w:val="nil"/>
          <w:bottom w:val="nil"/>
          <w:right w:val="nil"/>
          <w:between w:val="nil"/>
          <w:bar w:val="nil"/>
        </w:pBdr>
        <w:spacing w:after="0"/>
        <w:ind w:left="567" w:hanging="567"/>
        <w:jc w:val="left"/>
        <w:rPr>
          <w:rFonts w:eastAsia="Times New Roman" w:cstheme="minorHAnsi"/>
          <w:noProof/>
          <w:color w:val="000000"/>
          <w:u w:color="000000"/>
          <w:bdr w:val="nil"/>
          <w:lang w:eastAsia="fr-BE"/>
        </w:rPr>
      </w:pPr>
    </w:p>
    <w:p w:rsidR="003E022D" w:rsidRDefault="007D19D6">
      <w:pPr>
        <w:pStyle w:val="ListParagraph"/>
        <w:numPr>
          <w:ilvl w:val="0"/>
          <w:numId w:val="510"/>
        </w:numPr>
        <w:tabs>
          <w:tab w:val="left" w:pos="993"/>
        </w:tabs>
        <w:autoSpaceDE w:val="0"/>
        <w:autoSpaceDN w:val="0"/>
        <w:adjustRightInd w:val="0"/>
        <w:ind w:left="567" w:hanging="567"/>
        <w:contextualSpacing w:val="0"/>
        <w:rPr>
          <w:noProof/>
        </w:rPr>
      </w:pPr>
      <w:r>
        <w:rPr>
          <w:noProof/>
        </w:rPr>
        <w:t>“rezidences vieta” ir rezidences vieta nodokļu vajadzībām;</w:t>
      </w:r>
    </w:p>
    <w:p w:rsidR="003E022D" w:rsidRDefault="007D19D6">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rPr>
      </w:pPr>
      <w:r>
        <w:rPr>
          <w:noProof/>
        </w:rPr>
        <w:t>“nodokļu konvencija” ir konvencija par nodokļu dubultas uzlikšanas novēršanu vai cits starptautisks nolīgums vai vienošanās, kas pilnīgi vai galvenokārt attiecas uz nodokļiem,</w:t>
      </w:r>
      <w:r>
        <w:rPr>
          <w:noProof/>
          <w:color w:val="000000"/>
          <w:u w:color="000000"/>
          <w:bdr w:val="nil"/>
        </w:rPr>
        <w:t xml:space="preserve"> un</w:t>
      </w:r>
    </w:p>
    <w:p w:rsidR="003E022D" w:rsidRDefault="007D19D6">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rPr>
      </w:pPr>
      <w:r>
        <w:rPr>
          <w:noProof/>
        </w:rPr>
        <w:t xml:space="preserve">"tiešie nodokļi” </w:t>
      </w:r>
      <w:r>
        <w:rPr>
          <w:noProof/>
        </w:rPr>
        <w:t>ietver visus ienākuma vai kapitāla nodokļus, tai skaitā nodokļus par ieguvumiem no īpašuma atsavināšanas, īpašuma, mantojuma un dāvinājuma nodokļus, algas un uzņēmuma maksātās darba samaksas nodokļus, kā arī kapitāla novērtēšanas nodokļus.</w:t>
      </w:r>
    </w:p>
    <w:p w:rsidR="003E022D" w:rsidRDefault="007D19D6">
      <w:pPr>
        <w:pStyle w:val="Article"/>
        <w:rPr>
          <w:rFonts w:eastAsia="Times New Roman"/>
          <w:noProof/>
        </w:rPr>
      </w:pPr>
      <w:r>
        <w:rPr>
          <w:noProof/>
        </w:rPr>
        <w:t>EXC.</w:t>
      </w:r>
      <w:r>
        <w:rPr>
          <w:noProof/>
        </w:rPr>
        <w:fldChar w:fldCharType="begin"/>
      </w:r>
      <w:r>
        <w:rPr>
          <w:noProof/>
        </w:rPr>
        <w:instrText xml:space="preserve"> SEQ ArticlesFINPROV </w:instrText>
      </w:r>
      <w:r>
        <w:rPr>
          <w:noProof/>
        </w:rPr>
        <w:fldChar w:fldCharType="separate"/>
      </w:r>
      <w:r>
        <w:rPr>
          <w:noProof/>
        </w:rPr>
        <w:t>3</w:t>
      </w:r>
      <w:r>
        <w:rPr>
          <w:noProof/>
        </w:rPr>
        <w:fldChar w:fldCharType="end"/>
      </w:r>
      <w:r>
        <w:rPr>
          <w:noProof/>
        </w:rPr>
        <w:t>. pants. PTO atbrīvojumi</w:t>
      </w:r>
    </w:p>
    <w:p w:rsidR="003E022D" w:rsidRDefault="007D19D6">
      <w:pPr>
        <w:pStyle w:val="Corps"/>
        <w:spacing w:after="0" w:line="240" w:lineRule="auto"/>
        <w:jc w:val="both"/>
        <w:rPr>
          <w:rFonts w:asciiTheme="minorHAnsi" w:hAnsiTheme="minorHAnsi" w:cstheme="minorHAnsi"/>
          <w:noProof/>
        </w:rPr>
      </w:pPr>
      <w:r>
        <w:rPr>
          <w:noProof/>
        </w:rPr>
        <w:t>Ja pienākums, kas noteikts šā nolīguma otrās daļas pirmā temata I līdz XII sadaļā un otrās daļas sestajā tematā [Citi noteikumi], pēc būtības ir līdzvērtīgs PTO līgumā ietvertam pienākumam, jebkurš pasākums</w:t>
      </w:r>
      <w:r>
        <w:rPr>
          <w:noProof/>
        </w:rPr>
        <w:t>, kas atbilst atbrīvojumam, kurš pieņemts, ievērojot PTO līguma IX pantu, tiek uzskatīts par atbilstīgu pēc būtības līdzvērtīgajam šā nolīguma noteikumam.</w:t>
      </w:r>
    </w:p>
    <w:p w:rsidR="003E022D" w:rsidRDefault="007D19D6">
      <w:pPr>
        <w:pStyle w:val="Article"/>
        <w:rPr>
          <w:noProof/>
        </w:rPr>
      </w:pPr>
      <w:r>
        <w:rPr>
          <w:noProof/>
        </w:rPr>
        <w:t xml:space="preserve">EXC.4. pants. Izņēmumi drošības apsvērumu dēļ </w:t>
      </w:r>
    </w:p>
    <w:p w:rsidR="003E022D" w:rsidRDefault="007D19D6">
      <w:pPr>
        <w:rPr>
          <w:rFonts w:eastAsia="Calibri" w:cs="Calibri"/>
          <w:noProof/>
        </w:rPr>
      </w:pPr>
      <w:r>
        <w:rPr>
          <w:noProof/>
        </w:rPr>
        <w:t>Nekas šā nolīguma otrās daļas pirmā temata I līdz XII </w:t>
      </w:r>
      <w:r>
        <w:rPr>
          <w:noProof/>
        </w:rPr>
        <w:t>sadaļā un otrās daļas sestajā tematā [Citi noteikumi] nav interpretējams kā:</w:t>
      </w:r>
    </w:p>
    <w:p w:rsidR="003E022D" w:rsidRDefault="007D19D6">
      <w:pPr>
        <w:pStyle w:val="ListParagraph"/>
        <w:numPr>
          <w:ilvl w:val="0"/>
          <w:numId w:val="511"/>
        </w:numPr>
        <w:tabs>
          <w:tab w:val="left" w:pos="993"/>
        </w:tabs>
        <w:autoSpaceDE w:val="0"/>
        <w:autoSpaceDN w:val="0"/>
        <w:adjustRightInd w:val="0"/>
        <w:ind w:left="567" w:hanging="567"/>
        <w:contextualSpacing w:val="0"/>
        <w:rPr>
          <w:noProof/>
        </w:rPr>
      </w:pPr>
      <w:r>
        <w:rPr>
          <w:noProof/>
        </w:rPr>
        <w:t>prasība Pusei sniegt jebkādu informāciju vai atļaut piekļūt tai, ja Puse uzskata, ka tās izpaušana ir pretrunā Puses būtiskām drošības interesēm, vai</w:t>
      </w:r>
    </w:p>
    <w:p w:rsidR="003E022D" w:rsidRDefault="007D19D6">
      <w:pPr>
        <w:pStyle w:val="ListParagraph"/>
        <w:numPr>
          <w:ilvl w:val="0"/>
          <w:numId w:val="511"/>
        </w:numPr>
        <w:tabs>
          <w:tab w:val="left" w:pos="993"/>
        </w:tabs>
        <w:autoSpaceDE w:val="0"/>
        <w:autoSpaceDN w:val="0"/>
        <w:adjustRightInd w:val="0"/>
        <w:ind w:left="567" w:hanging="567"/>
        <w:contextualSpacing w:val="0"/>
        <w:rPr>
          <w:rFonts w:eastAsia="Calibri" w:cs="Calibri"/>
          <w:noProof/>
        </w:rPr>
      </w:pPr>
      <w:r>
        <w:rPr>
          <w:noProof/>
        </w:rPr>
        <w:t>šķērslis, kas attur Pusi no r</w:t>
      </w:r>
      <w:r>
        <w:rPr>
          <w:noProof/>
        </w:rPr>
        <w:t>īcības, ko tā uzskata par nepieciešamu būtisko drošības interešu aizsardzībai:</w:t>
      </w:r>
    </w:p>
    <w:p w:rsidR="003E022D" w:rsidRDefault="007D19D6">
      <w:pPr>
        <w:numPr>
          <w:ilvl w:val="0"/>
          <w:numId w:val="512"/>
        </w:numPr>
        <w:spacing w:after="160" w:line="259" w:lineRule="auto"/>
        <w:ind w:left="1276" w:hanging="567"/>
        <w:rPr>
          <w:rFonts w:eastAsia="Calibri" w:cs="Calibri"/>
          <w:noProof/>
        </w:rPr>
      </w:pPr>
      <w:r>
        <w:rPr>
          <w:noProof/>
        </w:rPr>
        <w:t>saistībā ar ieroču, munīcijas un militārā inventāra ražošanu vai transportu un citu preču un materiālu ražošanu, transportu un darījumiem, pakalpojumiem un tehnoloģiju, un saimn</w:t>
      </w:r>
      <w:r>
        <w:rPr>
          <w:noProof/>
        </w:rPr>
        <w:t>ieciskajām darbībām, ko tieši vai netieši veic nolūkā apgādāt militāru formējumu;</w:t>
      </w:r>
    </w:p>
    <w:p w:rsidR="003E022D" w:rsidRDefault="007D19D6">
      <w:pPr>
        <w:numPr>
          <w:ilvl w:val="0"/>
          <w:numId w:val="512"/>
        </w:numPr>
        <w:spacing w:after="160" w:line="259" w:lineRule="auto"/>
        <w:ind w:left="1276" w:hanging="567"/>
        <w:rPr>
          <w:rFonts w:eastAsia="Calibri" w:cs="Calibri"/>
          <w:noProof/>
        </w:rPr>
      </w:pPr>
      <w:r>
        <w:rPr>
          <w:noProof/>
        </w:rPr>
        <w:t>saistībā ar materiāliem, kas neitronu iedarbībā pārvēršas par skaldmateriāliem, un kodoltermiskajai sintēzei izmantojamiem materiāliem vai materiāliem, no kuriem iegūst šādus</w:t>
      </w:r>
      <w:r>
        <w:rPr>
          <w:noProof/>
        </w:rPr>
        <w:t xml:space="preserve"> materiālus; vai</w:t>
      </w:r>
    </w:p>
    <w:p w:rsidR="003E022D" w:rsidRDefault="007D19D6">
      <w:pPr>
        <w:numPr>
          <w:ilvl w:val="0"/>
          <w:numId w:val="512"/>
        </w:numPr>
        <w:spacing w:after="160" w:line="259" w:lineRule="auto"/>
        <w:ind w:left="1276" w:hanging="567"/>
        <w:rPr>
          <w:rFonts w:eastAsia="Calibri" w:cs="Calibri"/>
          <w:noProof/>
        </w:rPr>
      </w:pPr>
      <w:r>
        <w:rPr>
          <w:noProof/>
        </w:rPr>
        <w:t>kara laikā vai citā starptautisko attiecību ārkārtas situācijā; vai</w:t>
      </w:r>
    </w:p>
    <w:p w:rsidR="003E022D" w:rsidRDefault="007D19D6">
      <w:pPr>
        <w:numPr>
          <w:ilvl w:val="0"/>
          <w:numId w:val="511"/>
        </w:numPr>
        <w:spacing w:after="160" w:line="259" w:lineRule="auto"/>
        <w:ind w:left="567" w:hanging="567"/>
        <w:rPr>
          <w:rFonts w:eastAsia="Calibri" w:cs="Calibri"/>
          <w:noProof/>
        </w:rPr>
      </w:pPr>
      <w:r>
        <w:rPr>
          <w:noProof/>
        </w:rPr>
        <w:t xml:space="preserve">šķērslis, kas attur Pusi rīkoties saskaņā ar tās saistībām, kas paredzētas ANO Statūtos, starptautiskā miera un drošības uzturēšanai. </w:t>
      </w:r>
    </w:p>
    <w:p w:rsidR="003E022D" w:rsidRDefault="007D19D6">
      <w:pPr>
        <w:pStyle w:val="Article"/>
        <w:rPr>
          <w:rFonts w:cs="Times New Roman"/>
          <w:noProof/>
        </w:rPr>
      </w:pPr>
      <w:r>
        <w:rPr>
          <w:rStyle w:val="ArticleChar"/>
          <w:noProof/>
        </w:rPr>
        <w:t>EXC.5. pants.:</w:t>
      </w:r>
      <w:bookmarkStart w:id="188" w:name="_Toc29896282"/>
      <w:r>
        <w:rPr>
          <w:rStyle w:val="ArticleChar"/>
          <w:noProof/>
        </w:rPr>
        <w:t xml:space="preserve"> Konfidenciāla informā</w:t>
      </w:r>
      <w:r>
        <w:rPr>
          <w:rStyle w:val="ArticleChar"/>
          <w:noProof/>
        </w:rPr>
        <w:t>cija</w:t>
      </w:r>
      <w:bookmarkEnd w:id="188"/>
      <w:r>
        <w:rPr>
          <w:noProof/>
        </w:rPr>
        <w:t xml:space="preserve"> </w:t>
      </w:r>
    </w:p>
    <w:p w:rsidR="003E022D" w:rsidRDefault="007D19D6">
      <w:pPr>
        <w:rPr>
          <w:rFonts w:eastAsia="Calibri" w:cs="Calibri"/>
          <w:noProof/>
        </w:rPr>
      </w:pPr>
      <w:r>
        <w:rPr>
          <w:noProof/>
        </w:rPr>
        <w:t>1.</w:t>
      </w:r>
      <w:r>
        <w:rPr>
          <w:noProof/>
        </w:rPr>
        <w:tab/>
        <w:t>Nekas šā nolīguma otrās daļas pirmā temata I līdz X sadaļā, XI sadaļā, izņemot XI sadaļas LPFS.2.26. pantu [Nodokļu standarti], un XII sadaļā vai otrās daļas sestajā tematā [Citi noteikumi] nav interpretējams kā prasība Pusei darīt pieejamu konfid</w:t>
      </w:r>
      <w:r>
        <w:rPr>
          <w:noProof/>
        </w:rPr>
        <w:t>enciālu informāciju, kuras izpaušana traucētu tiesībaizsardzībai vai kā citādi būtu pretrunā sabiedrības interesēm, vai skartu konkrētu publisku vai privātu uzņēmumu likumīgas komerciālās intereses, izņemot gadījumus, kad šķīrējtiesa pieprasa sniegt konfid</w:t>
      </w:r>
      <w:r>
        <w:rPr>
          <w:noProof/>
        </w:rPr>
        <w:t>enciālu informāciju strīdu izšķiršanas procedūrā saskaņā ar sestās daļas I sadaļu [Strīdu izšķiršana], vai ja ekspertu grupai ir nepieciešama šāda konfidenciāla informācija procedūrā saskaņā ar LPFS.9.2. pantu [Ekspertu grupa] vai LPFS.9.3. pantu [Ekspertu</w:t>
      </w:r>
      <w:r>
        <w:rPr>
          <w:noProof/>
        </w:rPr>
        <w:t xml:space="preserve"> grupa aizsardzības līmeņa nepazemināšanas jomās].  Šādos gadījumos šķīrējtiesa vai — attiecīgā gadījumā — ekspertu grupa nodrošina konfidencialitātes pilnīgu aizsardzību saskaņā ar INST-X PIELIKUMU [Reglaments]. </w:t>
      </w:r>
    </w:p>
    <w:p w:rsidR="003E022D" w:rsidRDefault="007D19D6">
      <w:pPr>
        <w:rPr>
          <w:noProof/>
        </w:rPr>
      </w:pPr>
      <w:r>
        <w:rPr>
          <w:noProof/>
        </w:rPr>
        <w:t>2.</w:t>
      </w:r>
      <w:r>
        <w:rPr>
          <w:noProof/>
        </w:rPr>
        <w:tab/>
        <w:t>Ja Puse Partnerības padomei vai komitej</w:t>
      </w:r>
      <w:r>
        <w:rPr>
          <w:noProof/>
        </w:rPr>
        <w:t>ām iesniedz informāciju, kura saskaņā ar tās normatīvajiem aktiem tiek uzskatīta par konfidenciālu, tad otra Puse šo informāciju uzskata par konfidenciālu, ja vien iesniedzēja Puse nepiekrīt citādai attieksmei.</w:t>
      </w:r>
    </w:p>
    <w:p w:rsidR="003E022D" w:rsidRDefault="007D19D6">
      <w:pPr>
        <w:spacing w:after="0"/>
        <w:rPr>
          <w:rFonts w:asciiTheme="majorHAnsi" w:hAnsiTheme="majorHAnsi"/>
          <w:noProof/>
        </w:rPr>
      </w:pPr>
      <w:r>
        <w:rPr>
          <w:noProof/>
        </w:rPr>
        <w:br w:type="page"/>
      </w:r>
    </w:p>
    <w:p w:rsidR="003E022D" w:rsidRDefault="007D19D6">
      <w:pPr>
        <w:pStyle w:val="Heading"/>
        <w:rPr>
          <w:noProof/>
        </w:rPr>
      </w:pPr>
      <w:bookmarkStart w:id="189" w:name="_Toc59988350"/>
      <w:r>
        <w:rPr>
          <w:noProof/>
        </w:rPr>
        <w:t>OTRAIS TEMATS. AVIĀCIJA</w:t>
      </w:r>
      <w:bookmarkEnd w:id="189"/>
    </w:p>
    <w:p w:rsidR="003E022D" w:rsidRDefault="007D19D6">
      <w:pPr>
        <w:pStyle w:val="Title1"/>
        <w:rPr>
          <w:noProof/>
        </w:rPr>
      </w:pPr>
      <w:bookmarkStart w:id="190" w:name="_Toc32669254"/>
      <w:bookmarkStart w:id="191" w:name="_Toc31740834"/>
      <w:bookmarkStart w:id="192" w:name="_Toc35449552"/>
      <w:bookmarkStart w:id="193" w:name="_Toc33194726"/>
      <w:bookmarkStart w:id="194" w:name="_Toc33194109"/>
      <w:bookmarkStart w:id="195" w:name="_Toc33178553"/>
      <w:bookmarkStart w:id="196" w:name="_Toc59556524"/>
      <w:bookmarkStart w:id="197" w:name="_Toc59988351"/>
      <w:r>
        <w:rPr>
          <w:noProof/>
        </w:rPr>
        <w:t>I sadaļa.</w:t>
      </w:r>
      <w:bookmarkEnd w:id="190"/>
      <w:bookmarkEnd w:id="191"/>
      <w:r>
        <w:rPr>
          <w:noProof/>
        </w:rPr>
        <w:t xml:space="preserve"> </w:t>
      </w:r>
      <w:bookmarkEnd w:id="192"/>
      <w:bookmarkEnd w:id="193"/>
      <w:bookmarkEnd w:id="194"/>
      <w:bookmarkEnd w:id="195"/>
      <w:r>
        <w:rPr>
          <w:noProof/>
        </w:rPr>
        <w:t>Gaisa tra</w:t>
      </w:r>
      <w:r>
        <w:rPr>
          <w:noProof/>
        </w:rPr>
        <w:t>nsports</w:t>
      </w:r>
      <w:bookmarkEnd w:id="196"/>
      <w:bookmarkEnd w:id="197"/>
    </w:p>
    <w:p w:rsidR="003E022D" w:rsidRDefault="007D19D6">
      <w:pPr>
        <w:pStyle w:val="Article"/>
        <w:rPr>
          <w:noProof/>
        </w:rPr>
      </w:pPr>
      <w:r>
        <w:rPr>
          <w:noProof/>
        </w:rPr>
        <w:t>AIRTRN.1. pants. Definīcijas</w:t>
      </w:r>
    </w:p>
    <w:p w:rsidR="003E022D" w:rsidRDefault="007D19D6">
      <w:pPr>
        <w:pStyle w:val="Default"/>
        <w:rPr>
          <w:noProof/>
          <w:sz w:val="22"/>
          <w:szCs w:val="22"/>
        </w:rPr>
      </w:pPr>
      <w:r>
        <w:rPr>
          <w:noProof/>
          <w:sz w:val="22"/>
          <w:szCs w:val="22"/>
        </w:rPr>
        <w:t>Šajā sadaļā piemēro šādas definīcijas:</w:t>
      </w:r>
    </w:p>
    <w:p w:rsidR="003E022D" w:rsidRDefault="007D19D6">
      <w:pPr>
        <w:pStyle w:val="Default"/>
        <w:rPr>
          <w:noProof/>
          <w:sz w:val="22"/>
          <w:szCs w:val="22"/>
        </w:rPr>
      </w:pPr>
      <w:r>
        <w:rPr>
          <w:noProof/>
          <w:sz w:val="22"/>
          <w:szCs w:val="22"/>
        </w:rPr>
        <w:t xml:space="preserve"> </w:t>
      </w:r>
    </w:p>
    <w:p w:rsidR="003E022D" w:rsidRDefault="007D19D6">
      <w:pPr>
        <w:ind w:left="567" w:hanging="567"/>
        <w:rPr>
          <w:noProof/>
        </w:rPr>
      </w:pPr>
      <w:r>
        <w:rPr>
          <w:noProof/>
        </w:rPr>
        <w:t>a)</w:t>
      </w:r>
      <w:r>
        <w:rPr>
          <w:noProof/>
        </w:rPr>
        <w:tab/>
        <w:t>“gaisa pārvadātājs” ir gaisa transporta uzņēmums ar derīgu licenci vai tās ekvivalentu;</w:t>
      </w:r>
    </w:p>
    <w:p w:rsidR="003E022D" w:rsidRDefault="007D19D6">
      <w:pPr>
        <w:ind w:left="567" w:hanging="567"/>
        <w:rPr>
          <w:noProof/>
        </w:rPr>
      </w:pPr>
      <w:r>
        <w:rPr>
          <w:noProof/>
        </w:rPr>
        <w:t xml:space="preserve">b) </w:t>
      </w:r>
      <w:r>
        <w:rPr>
          <w:noProof/>
        </w:rPr>
        <w:tab/>
        <w:t xml:space="preserve">“Savienības gaisa pārvadātājs” ir gaisa pārvadātājs, kas atbilst AIRTRN.6. panta </w:t>
      </w:r>
      <w:r>
        <w:rPr>
          <w:noProof/>
        </w:rPr>
        <w:t>[Darbības atļaujas un tehniskās atļaujas] 1. punkta b) apakšpunktā izklāstītajiem nosacījumiem;</w:t>
      </w:r>
    </w:p>
    <w:p w:rsidR="003E022D" w:rsidRDefault="007D19D6">
      <w:pPr>
        <w:ind w:left="567" w:hanging="567"/>
        <w:rPr>
          <w:noProof/>
        </w:rPr>
      </w:pPr>
      <w:r>
        <w:rPr>
          <w:noProof/>
        </w:rPr>
        <w:t xml:space="preserve">c) </w:t>
      </w:r>
      <w:r>
        <w:rPr>
          <w:noProof/>
        </w:rPr>
        <w:tab/>
        <w:t>“Apvienotās Karalistes gaisa pārvadātājs” ir gaisa pārvadātājs, kas atbilst AIRTRN.6. panta [Darbības atļaujas un tehniskās atļaujas] 1. vai 2. punkta a) ap</w:t>
      </w:r>
      <w:r>
        <w:rPr>
          <w:noProof/>
        </w:rPr>
        <w:t xml:space="preserve">akšpunktā izklāstītajiem nosacījumiem; </w:t>
      </w:r>
    </w:p>
    <w:p w:rsidR="003E022D" w:rsidRDefault="007D19D6">
      <w:pPr>
        <w:ind w:left="567" w:hanging="567"/>
        <w:rPr>
          <w:rFonts w:cstheme="minorHAnsi"/>
          <w:noProof/>
        </w:rPr>
      </w:pPr>
      <w:r>
        <w:rPr>
          <w:noProof/>
        </w:rPr>
        <w:t>d)</w:t>
      </w:r>
      <w:r>
        <w:rPr>
          <w:noProof/>
        </w:rPr>
        <w:tab/>
        <w:t>“aeronavigācijas pakalpojumi” ir gaisa satiksmes pakalpojumi, sakaru, navigācijas un pārraudzības pakalpojumi, meteoroloģiskie pakalpojumi aeronavigācijai un aeronavigācijas informācijas pakalpojumi;</w:t>
      </w:r>
    </w:p>
    <w:p w:rsidR="003E022D" w:rsidRDefault="007D19D6">
      <w:pPr>
        <w:ind w:left="567" w:hanging="567"/>
        <w:rPr>
          <w:rFonts w:cstheme="minorHAnsi"/>
          <w:noProof/>
        </w:rPr>
      </w:pPr>
      <w:r>
        <w:rPr>
          <w:noProof/>
        </w:rPr>
        <w:t>e)</w:t>
      </w:r>
      <w:r>
        <w:rPr>
          <w:noProof/>
        </w:rPr>
        <w:tab/>
        <w:t>“gaisa kuģ</w:t>
      </w:r>
      <w:r>
        <w:rPr>
          <w:noProof/>
        </w:rPr>
        <w:t>a ekspluatanta apliecība” ir pārvadātājam izdots dokuments, kas apstiprina, ka attiecīgajam gaisa pārvadātājam ir profesionalitāte un struktūra, kas garantē gaisa kuģu drošu ekspluatāciju apliecībā norādītajās aviācijas darbībās;</w:t>
      </w:r>
    </w:p>
    <w:p w:rsidR="003E022D" w:rsidRDefault="007D19D6">
      <w:pPr>
        <w:ind w:left="567" w:hanging="567"/>
        <w:rPr>
          <w:rFonts w:cstheme="minorHAnsi"/>
          <w:noProof/>
        </w:rPr>
      </w:pPr>
      <w:r>
        <w:rPr>
          <w:noProof/>
        </w:rPr>
        <w:t>f)</w:t>
      </w:r>
      <w:r>
        <w:rPr>
          <w:noProof/>
        </w:rPr>
        <w:tab/>
        <w:t>“gaisa satiksmes pārval</w:t>
      </w:r>
      <w:r>
        <w:rPr>
          <w:noProof/>
        </w:rPr>
        <w:t>dība” ir gaisā un uz zemes veicamo funkciju kopums (gaisa satiksmes pakalpojumi, gaisa telpas pārvaldība un gaisa satiksmes plūsmas pārvaldība), kas vajadzīgs, lai nodrošinātu drošu un efektīvu gaisa kuģu kustību visās darbības fāzēs;</w:t>
      </w:r>
    </w:p>
    <w:p w:rsidR="003E022D" w:rsidRDefault="007D19D6">
      <w:pPr>
        <w:ind w:left="567" w:hanging="567"/>
        <w:rPr>
          <w:rFonts w:cstheme="minorHAnsi"/>
          <w:noProof/>
        </w:rPr>
      </w:pPr>
      <w:r>
        <w:rPr>
          <w:noProof/>
        </w:rPr>
        <w:t>g)</w:t>
      </w:r>
      <w:r>
        <w:rPr>
          <w:noProof/>
        </w:rPr>
        <w:tab/>
        <w:t>“gaisa transports”</w:t>
      </w:r>
      <w:r>
        <w:rPr>
          <w:noProof/>
        </w:rPr>
        <w:t xml:space="preserve"> ir par atlīdzību vai nomā publiski piedāvāta pasažieru, bagāžas, kravas un pasta atsevišķi vai apvienojumā veikta pārvadāšana gaisa kuģos; </w:t>
      </w:r>
    </w:p>
    <w:p w:rsidR="003E022D" w:rsidRDefault="007D19D6">
      <w:pPr>
        <w:ind w:left="567" w:hanging="567"/>
        <w:rPr>
          <w:rFonts w:cstheme="minorHAnsi"/>
          <w:noProof/>
        </w:rPr>
      </w:pPr>
      <w:r>
        <w:rPr>
          <w:noProof/>
        </w:rPr>
        <w:t>h)</w:t>
      </w:r>
      <w:r>
        <w:rPr>
          <w:noProof/>
        </w:rPr>
        <w:tab/>
        <w:t>“valsts piederības noteikšana” ir konstatēšana, ka pārvadātājs, kurš piedāvā sniegt gaisa transporta pakalpojumu</w:t>
      </w:r>
      <w:r>
        <w:rPr>
          <w:noProof/>
        </w:rPr>
        <w:t xml:space="preserve">s saskaņā ar šo sadaļu, izpilda AIRTRN.6. panta [Darbības atļaujas un tehniskās atļaujas] prasības, kas attiecas uz tā atrašanos īpašumā, faktisko vadību un galveno darbības vietu; </w:t>
      </w:r>
    </w:p>
    <w:p w:rsidR="003E022D" w:rsidRDefault="007D19D6">
      <w:pPr>
        <w:ind w:left="567" w:hanging="567"/>
        <w:rPr>
          <w:rFonts w:cstheme="minorHAnsi"/>
          <w:noProof/>
        </w:rPr>
      </w:pPr>
      <w:r>
        <w:rPr>
          <w:noProof/>
        </w:rPr>
        <w:t>i)</w:t>
      </w:r>
      <w:r>
        <w:rPr>
          <w:noProof/>
        </w:rPr>
        <w:tab/>
        <w:t>“kompetentās iestādes” Apvienotajai Karalistei ir Apvienotās Karalistes</w:t>
      </w:r>
      <w:r>
        <w:rPr>
          <w:noProof/>
        </w:rPr>
        <w:t xml:space="preserve"> varas iestādes, kas atbild par regulatīvajām un administratīvajām funkcijām, kuras Apvienotajai Karalistei jāpilda saskaņā ar šo sadaļu, bet Savienībai – Savienības un dalībvalstu varas iestādes, kas atbild par regulatīvajām un administratīvajām funkcijām</w:t>
      </w:r>
      <w:r>
        <w:rPr>
          <w:noProof/>
        </w:rPr>
        <w:t>, kuras Savienībai jāpilda saskaņā ar šo sadaļu; un Savienībai — Savienības un dalībvalstu varas iestādes, kas atbild par regulatīvajām un administratīvajām funkcijām, kuras Savienībai jāpilda saskaņā ar šo sadaļu;</w:t>
      </w:r>
    </w:p>
    <w:p w:rsidR="003E022D" w:rsidRDefault="007D19D6">
      <w:pPr>
        <w:ind w:left="567" w:hanging="567"/>
        <w:rPr>
          <w:rFonts w:cstheme="minorHAnsi"/>
          <w:noProof/>
        </w:rPr>
      </w:pPr>
      <w:r>
        <w:rPr>
          <w:noProof/>
        </w:rPr>
        <w:t>j)</w:t>
      </w:r>
      <w:r>
        <w:rPr>
          <w:noProof/>
        </w:rPr>
        <w:tab/>
        <w:t>“konvencija” ir 1944. gada 7. decembrī</w:t>
      </w:r>
      <w:r>
        <w:rPr>
          <w:noProof/>
        </w:rPr>
        <w:t xml:space="preserve"> Čikāgā parakstītā Konvencija par starptautisko civilo aviāciju, kurā ietilpst: </w:t>
      </w:r>
    </w:p>
    <w:p w:rsidR="003E022D" w:rsidRDefault="007D19D6">
      <w:pPr>
        <w:ind w:left="1276" w:hanging="567"/>
        <w:rPr>
          <w:noProof/>
        </w:rPr>
      </w:pPr>
      <w:r>
        <w:rPr>
          <w:noProof/>
        </w:rPr>
        <w:t>i)</w:t>
      </w:r>
      <w:r>
        <w:rPr>
          <w:noProof/>
        </w:rPr>
        <w:tab/>
        <w:t>grozījumi, kas stājušies spēkā saskaņā ar Konvencijas 94. panta a) apakšpunktu un ko ratificējušas gan Apvienotā Karaliste, gan attiecīgā dalībvalsts vai attiecīgās dalībva</w:t>
      </w:r>
      <w:r>
        <w:rPr>
          <w:noProof/>
        </w:rPr>
        <w:t xml:space="preserve">lstis – kā kurā gadījumā, un </w:t>
      </w:r>
    </w:p>
    <w:p w:rsidR="003E022D" w:rsidRDefault="007D19D6">
      <w:pPr>
        <w:ind w:left="1276" w:hanging="567"/>
        <w:rPr>
          <w:noProof/>
        </w:rPr>
      </w:pPr>
      <w:r>
        <w:rPr>
          <w:noProof/>
        </w:rPr>
        <w:t>ii)</w:t>
      </w:r>
      <w:r>
        <w:rPr>
          <w:noProof/>
        </w:rPr>
        <w:tab/>
        <w:t xml:space="preserve">tās pielikumi vai to grozījumi, kas pieņemti saskaņā ar Konvencijas 90. pantu, tādā mērā, cik pielikums vai grozījums tajā brīdī darbojas gan Apvienotajai Karalistei, gan dalībvalstij vai dalībvalstīm, kā kurā gadījumā; </w:t>
      </w:r>
    </w:p>
    <w:p w:rsidR="003E022D" w:rsidRDefault="007D19D6">
      <w:pPr>
        <w:rPr>
          <w:rFonts w:cstheme="minorHAnsi"/>
          <w:noProof/>
        </w:rPr>
      </w:pPr>
      <w:r>
        <w:rPr>
          <w:noProof/>
        </w:rPr>
        <w:t>k</w:t>
      </w:r>
      <w:r>
        <w:rPr>
          <w:noProof/>
        </w:rPr>
        <w:t>)</w:t>
      </w:r>
      <w:r>
        <w:rPr>
          <w:noProof/>
        </w:rPr>
        <w:tab/>
        <w:t>“diskriminācija” ir jebkāda veida diferenciācija bez objektīva pamatojuma attiecībā uz gaisa pārvadājumu pakalpojumu vajadzībām pielietoto preču piegādi vai pakalpojumu, tostarp sabiedrisko pakalpojumu, sniegšanu vai attiecībā uz publisko iestāžu attieks</w:t>
      </w:r>
      <w:r>
        <w:rPr>
          <w:noProof/>
        </w:rPr>
        <w:t xml:space="preserve">mi saistībā ar šādiem pakalpojumiem; </w:t>
      </w:r>
    </w:p>
    <w:p w:rsidR="003E022D" w:rsidRDefault="007D19D6">
      <w:pPr>
        <w:ind w:left="567" w:hanging="567"/>
        <w:rPr>
          <w:rFonts w:cstheme="minorHAnsi"/>
          <w:noProof/>
        </w:rPr>
      </w:pPr>
      <w:r>
        <w:rPr>
          <w:noProof/>
        </w:rPr>
        <w:t>l)</w:t>
      </w:r>
      <w:r>
        <w:rPr>
          <w:noProof/>
        </w:rPr>
        <w:tab/>
        <w:t>“faktiska kontrole” ir attiecības, ko veido tiesības, līgumi vai citi līdzekļi, kas atsevišķi vai kopā, ņemot vērā attiecīgus faktiskus vai juridiskus apsvērumus, dod iespēju tieši vai netieši izšķirīgi ietekmēt uzņ</w:t>
      </w:r>
      <w:r>
        <w:rPr>
          <w:noProof/>
        </w:rPr>
        <w:t xml:space="preserve">ēmumu, it sevišķi: </w:t>
      </w:r>
    </w:p>
    <w:p w:rsidR="003E022D" w:rsidRDefault="007D19D6">
      <w:pPr>
        <w:ind w:left="1276" w:hanging="567"/>
        <w:rPr>
          <w:noProof/>
        </w:rPr>
      </w:pPr>
      <w:r>
        <w:rPr>
          <w:noProof/>
        </w:rPr>
        <w:t>i)</w:t>
      </w:r>
      <w:r>
        <w:rPr>
          <w:noProof/>
        </w:rPr>
        <w:tab/>
        <w:t>tiesības izmantot visus uzņēmuma aktīvus vai daļu no tiem;</w:t>
      </w:r>
    </w:p>
    <w:p w:rsidR="003E022D" w:rsidRDefault="007D19D6">
      <w:pPr>
        <w:ind w:left="1276" w:hanging="567"/>
        <w:rPr>
          <w:noProof/>
        </w:rPr>
      </w:pPr>
      <w:r>
        <w:rPr>
          <w:noProof/>
        </w:rPr>
        <w:t>ii)</w:t>
      </w:r>
      <w:r>
        <w:rPr>
          <w:noProof/>
        </w:rPr>
        <w:tab/>
        <w:t>tiesības vai līgumi, kas piešķir izšķirīgu ietekmi uz uzņēmumu vadības struktūru sastāvu, balsošanu vai lēmumiem vai kā citādi izšķirīgi ietekmē uzņēmuma darbību;</w:t>
      </w:r>
    </w:p>
    <w:p w:rsidR="003E022D" w:rsidRDefault="007D19D6">
      <w:pPr>
        <w:ind w:left="567" w:hanging="567"/>
        <w:rPr>
          <w:rFonts w:cstheme="minorHAnsi"/>
          <w:noProof/>
        </w:rPr>
      </w:pPr>
      <w:r>
        <w:rPr>
          <w:noProof/>
        </w:rPr>
        <w:t>m)</w:t>
      </w:r>
      <w:r>
        <w:rPr>
          <w:noProof/>
        </w:rPr>
        <w:tab/>
        <w:t>“sag</w:t>
      </w:r>
      <w:r>
        <w:rPr>
          <w:noProof/>
        </w:rPr>
        <w:t>atavotības konstatējums” ir atzinums, ka pārvadātājam, kurš piedāvā sniegt gaisa transporta pakalpojumus saskaņā ar šo sadaļu, ir apmierinošas finansiālās iespējas un piemērota vadības pieredze tādu pakalpojumu sniegšanā un tas ir gatavs izpildīt normatīvo</w:t>
      </w:r>
      <w:r>
        <w:rPr>
          <w:noProof/>
        </w:rPr>
        <w:t xml:space="preserve"> aktu prasības un prasības, kas reglamentē tādu pakalpojumu sniegšanu; </w:t>
      </w:r>
    </w:p>
    <w:p w:rsidR="003E022D" w:rsidRDefault="007D19D6">
      <w:pPr>
        <w:ind w:left="567" w:hanging="567"/>
        <w:rPr>
          <w:rFonts w:cstheme="minorHAnsi"/>
          <w:noProof/>
        </w:rPr>
      </w:pPr>
      <w:r>
        <w:rPr>
          <w:noProof/>
        </w:rPr>
        <w:t>n)</w:t>
      </w:r>
      <w:r>
        <w:rPr>
          <w:noProof/>
        </w:rPr>
        <w:tab/>
        <w:t>“pilnas izmaksas” ir pakalpojuma sniegšanas izmaksas, kurām var būt pieskaitītas pienācīgas kapitālieguldījumu un aktīvu amortizācijas procentu summas, kā arī uzturēšanas, ekspluatā</w:t>
      </w:r>
      <w:r>
        <w:rPr>
          <w:noProof/>
        </w:rPr>
        <w:t>cijas, pārvaldības un administrēšanas izmaksas;</w:t>
      </w:r>
    </w:p>
    <w:p w:rsidR="003E022D" w:rsidRDefault="007D19D6">
      <w:pPr>
        <w:ind w:left="567" w:hanging="567"/>
        <w:rPr>
          <w:noProof/>
        </w:rPr>
      </w:pPr>
      <w:r>
        <w:rPr>
          <w:noProof/>
        </w:rPr>
        <w:t xml:space="preserve">o) </w:t>
      </w:r>
      <w:r>
        <w:rPr>
          <w:noProof/>
        </w:rPr>
        <w:tab/>
        <w:t xml:space="preserve">“ICAO” ir Apvienoto Nāciju Organizācijas Starptautiskā civilās aviācijas organizācija; </w:t>
      </w:r>
    </w:p>
    <w:p w:rsidR="003E022D" w:rsidRDefault="007D19D6">
      <w:pPr>
        <w:ind w:left="567" w:hanging="567"/>
        <w:rPr>
          <w:rFonts w:cstheme="minorHAnsi"/>
          <w:noProof/>
        </w:rPr>
      </w:pPr>
      <w:r>
        <w:rPr>
          <w:noProof/>
        </w:rPr>
        <w:t>p)</w:t>
      </w:r>
      <w:r>
        <w:rPr>
          <w:noProof/>
        </w:rPr>
        <w:tab/>
        <w:t>“galvenā darbības vieta” ir vieta, kur atrodas gaisa pārvadātāja valde vai reģistrēts birojs, kurā tiek veiktas g</w:t>
      </w:r>
      <w:r>
        <w:rPr>
          <w:noProof/>
        </w:rPr>
        <w:t xml:space="preserve">aisa pārvadātāja galvenās finansiālās funkcijas un tā darbības vadība, ieskaitot nepārtrauktu lidojumderīguma uzraudzību; </w:t>
      </w:r>
    </w:p>
    <w:p w:rsidR="003E022D" w:rsidRDefault="007D19D6">
      <w:pPr>
        <w:ind w:left="567" w:hanging="567"/>
        <w:rPr>
          <w:rFonts w:cstheme="minorHAnsi"/>
          <w:noProof/>
        </w:rPr>
      </w:pPr>
      <w:r>
        <w:rPr>
          <w:noProof/>
        </w:rPr>
        <w:t>q)</w:t>
      </w:r>
      <w:r>
        <w:rPr>
          <w:noProof/>
        </w:rPr>
        <w:tab/>
        <w:t>“peronpārbaude” ir kontrole, kurā Puses kompetentā iestāde vai tās ieceltie pārstāvji otras Puses gaisa kuģī un tā ārpusē pārlieci</w:t>
      </w:r>
      <w:r>
        <w:rPr>
          <w:noProof/>
        </w:rPr>
        <w:t>nās par gaisa kuģa un apkalpes locekļu attiecīgo dokumentu derīgumu un gaisa kuģa un tā iekārtu acīmredzamo stāvokli;</w:t>
      </w:r>
    </w:p>
    <w:p w:rsidR="003E022D" w:rsidRDefault="007D19D6">
      <w:pPr>
        <w:ind w:left="567" w:hanging="567"/>
        <w:rPr>
          <w:noProof/>
        </w:rPr>
      </w:pPr>
      <w:r>
        <w:rPr>
          <w:noProof/>
        </w:rPr>
        <w:t>r)</w:t>
      </w:r>
      <w:r>
        <w:rPr>
          <w:noProof/>
        </w:rPr>
        <w:tab/>
        <w:t>“pašpakalpojumi” ir apkalpošana uz zemes, ko gaisa pārvadātājs veic tieši sev vai citam gaisa pārvadātājam, kurā</w:t>
      </w:r>
    </w:p>
    <w:p w:rsidR="003E022D" w:rsidRDefault="007D19D6">
      <w:pPr>
        <w:ind w:left="1276" w:hanging="567"/>
        <w:rPr>
          <w:noProof/>
        </w:rPr>
      </w:pPr>
      <w:r>
        <w:rPr>
          <w:noProof/>
        </w:rPr>
        <w:t xml:space="preserve"> i)</w:t>
      </w:r>
      <w:r>
        <w:rPr>
          <w:noProof/>
        </w:rPr>
        <w:tab/>
        <w:t>vienam ir līdzdalī</w:t>
      </w:r>
      <w:r>
        <w:rPr>
          <w:noProof/>
        </w:rPr>
        <w:t>bas vairākums otrā vai</w:t>
      </w:r>
    </w:p>
    <w:p w:rsidR="003E022D" w:rsidRDefault="007D19D6">
      <w:pPr>
        <w:ind w:left="1276" w:hanging="567"/>
        <w:rPr>
          <w:noProof/>
        </w:rPr>
      </w:pPr>
      <w:r>
        <w:rPr>
          <w:noProof/>
        </w:rPr>
        <w:t xml:space="preserve"> ii)</w:t>
      </w:r>
      <w:r>
        <w:rPr>
          <w:noProof/>
        </w:rPr>
        <w:tab/>
        <w:t>kādai vienai struktūrai ir līdzdalības vairākums katrā no tām;</w:t>
      </w:r>
    </w:p>
    <w:p w:rsidR="003E022D" w:rsidRDefault="007D19D6">
      <w:pPr>
        <w:ind w:left="567" w:hanging="567"/>
        <w:rPr>
          <w:noProof/>
        </w:rPr>
      </w:pPr>
      <w:r>
        <w:rPr>
          <w:noProof/>
        </w:rPr>
        <w:t xml:space="preserve">s) </w:t>
      </w:r>
      <w:r>
        <w:rPr>
          <w:noProof/>
        </w:rPr>
        <w:tab/>
        <w:t xml:space="preserve">“regulāri gaisa transporta pakalpojumi” ir sabiedrības locekļiem rezervēšanai tieši pieejami gaisa transporta pakalpojumi, ko plāno un par atlīdzību izpilda pēc </w:t>
      </w:r>
      <w:r>
        <w:rPr>
          <w:noProof/>
        </w:rPr>
        <w:t>publiskota kustības saraksta vai kas ir tik regulāri un bieži, ka veido acīmredzami sistemātisku virkni, un papildreisi regulāro reisu pārslogojuma gadījumā.</w:t>
      </w:r>
    </w:p>
    <w:p w:rsidR="003E022D" w:rsidRDefault="007D19D6">
      <w:pPr>
        <w:ind w:left="567" w:hanging="567"/>
        <w:rPr>
          <w:noProof/>
        </w:rPr>
      </w:pPr>
      <w:r>
        <w:rPr>
          <w:noProof/>
        </w:rPr>
        <w:t>t)</w:t>
      </w:r>
      <w:r>
        <w:rPr>
          <w:noProof/>
        </w:rPr>
        <w:tab/>
        <w:t>“nekomerciāla nosēšanās” ir nosēšanās, kuras iemesls nav gaisa transporta pasažieru, bagāžas, k</w:t>
      </w:r>
      <w:r>
        <w:rPr>
          <w:noProof/>
        </w:rPr>
        <w:t xml:space="preserve">ravas un/vai pasta uzņemšana vai izlaišana; </w:t>
      </w:r>
    </w:p>
    <w:p w:rsidR="003E022D" w:rsidRDefault="007D19D6">
      <w:pPr>
        <w:ind w:left="567" w:hanging="567"/>
        <w:rPr>
          <w:noProof/>
        </w:rPr>
      </w:pPr>
      <w:r>
        <w:rPr>
          <w:noProof/>
        </w:rPr>
        <w:t>u)</w:t>
      </w:r>
      <w:r>
        <w:rPr>
          <w:noProof/>
        </w:rPr>
        <w:tab/>
        <w:t>“tarifs" ir cena, likme vai maksa par gaisa transporta pasažieru, bagāžas un/vai kravu (izņemot pastu) pārvadāšanu (ieskaitot citus ar to saistītus transporta veidus), ko prasa gaisa pārvadātāji, ieskaitot to</w:t>
      </w:r>
      <w:r>
        <w:rPr>
          <w:noProof/>
        </w:rPr>
        <w:t xml:space="preserve"> aģentus, kā arī tādas cenas, likmes vai maksas pieejamības nosacījumi;</w:t>
      </w:r>
    </w:p>
    <w:p w:rsidR="003E022D" w:rsidRDefault="007D19D6">
      <w:pPr>
        <w:ind w:left="567" w:hanging="567"/>
        <w:rPr>
          <w:noProof/>
        </w:rPr>
      </w:pPr>
      <w:r>
        <w:rPr>
          <w:noProof/>
        </w:rPr>
        <w:t xml:space="preserve"> v)</w:t>
      </w:r>
      <w:r>
        <w:rPr>
          <w:noProof/>
        </w:rPr>
        <w:tab/>
        <w:t xml:space="preserve">“lietošanas maksa” ir maksa, ko gaisa pārvadātājam prasa par lidostas, aeronavigācijas (ieskaitot lidošanu pāri) vai aviācijas drošības iekārtu vai pakalpojumu izmantošanu, </w:t>
      </w:r>
      <w:r>
        <w:rPr>
          <w:noProof/>
        </w:rPr>
        <w:t>ieskaitot ar to saistītu pakalpojumu un iekārtu izmantošanu, vai maksa, kas saistīta ar vidi, ieskaitot troksni, un maksa par vietējā gaisa kvalitātes problēmu risināšanu lidostās un to apkaimē;</w:t>
      </w:r>
    </w:p>
    <w:p w:rsidR="003E022D" w:rsidRDefault="007D19D6">
      <w:pPr>
        <w:pStyle w:val="Article"/>
        <w:rPr>
          <w:noProof/>
        </w:rPr>
      </w:pPr>
      <w:r>
        <w:rPr>
          <w:noProof/>
        </w:rPr>
        <w:t xml:space="preserve"> AIRTRN.2. pants. Maršrutu saraksts</w:t>
      </w:r>
    </w:p>
    <w:p w:rsidR="003E022D" w:rsidRDefault="007D19D6">
      <w:pPr>
        <w:rPr>
          <w:noProof/>
        </w:rPr>
      </w:pPr>
      <w:r>
        <w:rPr>
          <w:noProof/>
        </w:rPr>
        <w:t>1.</w:t>
      </w:r>
      <w:r>
        <w:rPr>
          <w:noProof/>
        </w:rPr>
        <w:tab/>
        <w:t>Ievērojot AIRTRN.3. pu</w:t>
      </w:r>
      <w:r>
        <w:rPr>
          <w:noProof/>
        </w:rPr>
        <w:t>nktu [Satiksmes tiesības], Savienība Apvienotajai Karalistei dod tiesības Apvienotās Karalistes gaisa pārvadātājiem gaisa transportā darboties šādos maršrutos:</w:t>
      </w:r>
    </w:p>
    <w:p w:rsidR="003E022D" w:rsidRDefault="007D19D6">
      <w:pPr>
        <w:rPr>
          <w:noProof/>
        </w:rPr>
      </w:pPr>
      <w:r>
        <w:rPr>
          <w:noProof/>
        </w:rPr>
        <w:t>punkti Apvienotās Karalistes teritorijā – starppunkti – punkti Savienības teritorijā – punkti ci</w:t>
      </w:r>
      <w:r>
        <w:rPr>
          <w:noProof/>
        </w:rPr>
        <w:t>tur.</w:t>
      </w:r>
    </w:p>
    <w:p w:rsidR="003E022D" w:rsidRDefault="007D19D6">
      <w:pPr>
        <w:rPr>
          <w:noProof/>
        </w:rPr>
      </w:pPr>
      <w:r>
        <w:rPr>
          <w:noProof/>
        </w:rPr>
        <w:t>2.</w:t>
      </w:r>
      <w:r>
        <w:rPr>
          <w:noProof/>
        </w:rPr>
        <w:tab/>
        <w:t>Ievērojot AIRTRN.3. punktu [Satiksmes tiesības], Apvienotā Karaliste dod Savienībai tiesības Savienības pārvadātājiem gaisa transportā darboties šādos maršrutos:</w:t>
      </w:r>
    </w:p>
    <w:p w:rsidR="003E022D" w:rsidRDefault="007D19D6">
      <w:pPr>
        <w:rPr>
          <w:noProof/>
        </w:rPr>
      </w:pPr>
      <w:r>
        <w:rPr>
          <w:noProof/>
        </w:rPr>
        <w:t>punkti Savienības teritorijā – starppunkti – punkti Apvienotās Karalistes teritorijā –</w:t>
      </w:r>
      <w:r>
        <w:rPr>
          <w:noProof/>
        </w:rPr>
        <w:t xml:space="preserve"> punkti citur.</w:t>
      </w:r>
    </w:p>
    <w:p w:rsidR="003E022D" w:rsidRDefault="007D19D6">
      <w:pPr>
        <w:pStyle w:val="Article"/>
        <w:rPr>
          <w:noProof/>
        </w:rPr>
      </w:pPr>
      <w:r>
        <w:rPr>
          <w:noProof/>
        </w:rPr>
        <w:t>AIRTRN.3. pants. Satiksmes tiesības</w:t>
      </w:r>
    </w:p>
    <w:p w:rsidR="003E022D" w:rsidRDefault="007D19D6">
      <w:pPr>
        <w:rPr>
          <w:noProof/>
        </w:rPr>
      </w:pPr>
      <w:r>
        <w:rPr>
          <w:noProof/>
        </w:rPr>
        <w:t>1.</w:t>
      </w:r>
      <w:r>
        <w:rPr>
          <w:noProof/>
        </w:rPr>
        <w:tab/>
        <w:t>Katra Puse dod otrai Pusei tiesības tās attiecīgajiem gaisa pārvadātājiem gaisa transporta darbībai AIRTRN.2. pantā [Maršrutu saraksts] norādītajos maršrutos</w:t>
      </w:r>
    </w:p>
    <w:p w:rsidR="003E022D" w:rsidRDefault="007D19D6">
      <w:pPr>
        <w:ind w:left="567" w:hanging="567"/>
        <w:rPr>
          <w:rFonts w:cstheme="minorHAnsi"/>
          <w:noProof/>
        </w:rPr>
      </w:pPr>
      <w:r>
        <w:rPr>
          <w:noProof/>
        </w:rPr>
        <w:t>a) lidot pāri tās teritorijai bez nosēšanās,</w:t>
      </w:r>
    </w:p>
    <w:p w:rsidR="003E022D" w:rsidRDefault="007D19D6">
      <w:pPr>
        <w:ind w:left="567" w:hanging="567"/>
        <w:rPr>
          <w:rFonts w:cstheme="minorHAnsi"/>
          <w:noProof/>
        </w:rPr>
      </w:pPr>
      <w:r>
        <w:rPr>
          <w:noProof/>
        </w:rPr>
        <w:t>b) tās teritorijā nosēsties nekomerciālos nolūkos.</w:t>
      </w:r>
    </w:p>
    <w:p w:rsidR="003E022D" w:rsidRDefault="007D19D6">
      <w:pPr>
        <w:rPr>
          <w:noProof/>
        </w:rPr>
      </w:pPr>
      <w:r>
        <w:rPr>
          <w:noProof/>
        </w:rPr>
        <w:t>2.</w:t>
      </w:r>
      <w:r>
        <w:rPr>
          <w:noProof/>
        </w:rPr>
        <w:tab/>
        <w:t xml:space="preserve">Apvienotajai Karalistei ir tiesības tās pārvadātājiem nosēsties Savienības teritorijā, lai sniegtu regulārus un neregulārus gaisa transporta pakalpojumus starp jebkuriem punktiem Apvienotās Karalistes </w:t>
      </w:r>
      <w:r>
        <w:rPr>
          <w:noProof/>
        </w:rPr>
        <w:t>teritorijā un jebkuriem punktiem Savienības teritorijā (trešās un ceturtās brīvības satiksmes tiesības).</w:t>
      </w:r>
    </w:p>
    <w:p w:rsidR="003E022D" w:rsidRDefault="007D19D6">
      <w:pPr>
        <w:rPr>
          <w:rFonts w:cstheme="minorHAnsi"/>
          <w:noProof/>
        </w:rPr>
      </w:pPr>
      <w:r>
        <w:rPr>
          <w:noProof/>
        </w:rPr>
        <w:t>3.</w:t>
      </w:r>
      <w:r>
        <w:rPr>
          <w:noProof/>
        </w:rPr>
        <w:tab/>
        <w:t>Savienībai ir tiesības tās pārvadātājiem nosēsties Apvienotās Karalistes teritorijā, lai sniegtu regulārus un neregulārus gaisa transporta pakalpoju</w:t>
      </w:r>
      <w:r>
        <w:rPr>
          <w:noProof/>
        </w:rPr>
        <w:t>mus starp jebkuriem punktiem Savienības teritorijā un jebkuriem punktiem Apvienotās Karalistes teritorijā (trešās un ceturtās brīvības satiksmes tiesības).</w:t>
      </w:r>
    </w:p>
    <w:p w:rsidR="003E022D" w:rsidRDefault="007D19D6">
      <w:pPr>
        <w:autoSpaceDE w:val="0"/>
        <w:autoSpaceDN w:val="0"/>
        <w:adjustRightInd w:val="0"/>
        <w:rPr>
          <w:rFonts w:eastAsia="Calibri" w:cstheme="minorHAnsi"/>
          <w:noProof/>
        </w:rPr>
      </w:pPr>
      <w:r>
        <w:rPr>
          <w:noProof/>
        </w:rPr>
        <w:t xml:space="preserve">4. </w:t>
      </w:r>
      <w:r>
        <w:rPr>
          <w:noProof/>
        </w:rPr>
        <w:tab/>
      </w:r>
      <w:r>
        <w:rPr>
          <w:noProof/>
        </w:rPr>
        <w:t xml:space="preserve">Neatkarīgi no 1., 2. un 3. punkta un neskarot 9. punktu, dalībvalstis un Apvienotā Karaliste, ievērojot Pušu attiecīgos iekšējos noteikumus un procedūras, </w:t>
      </w:r>
      <w:bookmarkStart w:id="198" w:name="_Hlk57403281"/>
      <w:r>
        <w:rPr>
          <w:noProof/>
        </w:rPr>
        <w:t xml:space="preserve">var divpusēji nolīgt kārtību, kādā tās </w:t>
      </w:r>
      <w:bookmarkEnd w:id="198"/>
      <w:r>
        <w:rPr>
          <w:noProof/>
        </w:rPr>
        <w:t>saskaņā ar šo nolīgumu viena otrai piešķir šādas tiesības:</w:t>
      </w:r>
    </w:p>
    <w:p w:rsidR="003E022D" w:rsidRDefault="007D19D6">
      <w:pPr>
        <w:ind w:left="567" w:hanging="567"/>
        <w:rPr>
          <w:rFonts w:cstheme="minorHAnsi"/>
          <w:noProof/>
        </w:rPr>
      </w:pPr>
      <w:r>
        <w:rPr>
          <w:noProof/>
        </w:rPr>
        <w:t>a)</w:t>
      </w:r>
      <w:r>
        <w:rPr>
          <w:noProof/>
        </w:rPr>
        <w:tab/>
      </w:r>
      <w:r>
        <w:rPr>
          <w:noProof/>
        </w:rPr>
        <w:t>Apvienotajai Karalistei – tās gaisa pārvadātāju tiesības nolaisties attiecīgās dalībvalsts teritorijā, lai sniegtu regulārus un neregulārus kravu gaisa transporta pakalpojumus starp punktiem šīs dalībvalsts teritorijā un punktiem trešā valstī tāda pakalpoj</w:t>
      </w:r>
      <w:r>
        <w:rPr>
          <w:noProof/>
        </w:rPr>
        <w:t>uma ietvaros, kura sākumpunkts vai beigupunkts ir Apvienotās Karalistes teritorijā (piektās brīvības satiksmes tiesības);</w:t>
      </w:r>
    </w:p>
    <w:p w:rsidR="003E022D" w:rsidRDefault="007D19D6">
      <w:pPr>
        <w:ind w:left="567" w:hanging="567"/>
        <w:rPr>
          <w:rFonts w:cstheme="minorHAnsi"/>
          <w:noProof/>
        </w:rPr>
      </w:pPr>
      <w:r>
        <w:rPr>
          <w:noProof/>
        </w:rPr>
        <w:t>b)</w:t>
      </w:r>
      <w:r>
        <w:rPr>
          <w:noProof/>
        </w:rPr>
        <w:tab/>
        <w:t>attiecīgajai dalībvalstij – Savienības gaisa pārvadātāju tiesības nolaisties Apvienotās Karalistes teritorijā, lai sniegtu regulāru</w:t>
      </w:r>
      <w:r>
        <w:rPr>
          <w:noProof/>
        </w:rPr>
        <w:t>s un neregulārus kravu gaisa transporta pakalpojumus starp punktiem Apvienotās Karalistes teritorijā un punktiem trešā valstī tāda pakalpojuma ietvaros, kura sākumpunkts vai beigupunkts ir minētās dalībvalsts teritorijā (piektās brīvības satiksmes tiesības</w:t>
      </w:r>
      <w:r>
        <w:rPr>
          <w:noProof/>
        </w:rPr>
        <w:t xml:space="preserve">).  </w:t>
      </w:r>
    </w:p>
    <w:p w:rsidR="003E022D" w:rsidRDefault="007D19D6">
      <w:pPr>
        <w:autoSpaceDE w:val="0"/>
        <w:autoSpaceDN w:val="0"/>
        <w:adjustRightInd w:val="0"/>
        <w:rPr>
          <w:rFonts w:eastAsia="Calibri" w:cstheme="minorHAnsi"/>
          <w:noProof/>
        </w:rPr>
      </w:pPr>
      <w:r>
        <w:rPr>
          <w:noProof/>
        </w:rPr>
        <w:t xml:space="preserve">5. </w:t>
      </w:r>
      <w:r>
        <w:rPr>
          <w:noProof/>
        </w:rPr>
        <w:tab/>
        <w:t>Saskaņā ar 4. punktu savstarpēji piešķirtās tiesības regulē šīs sadaļas noteikumi.</w:t>
      </w:r>
    </w:p>
    <w:p w:rsidR="003E022D" w:rsidRDefault="007D19D6">
      <w:pPr>
        <w:rPr>
          <w:noProof/>
          <w:color w:val="4F81BD" w:themeColor="accent1"/>
        </w:rPr>
      </w:pPr>
      <w:bookmarkStart w:id="199" w:name="_Hlk50544358"/>
      <w:r>
        <w:rPr>
          <w:noProof/>
        </w:rPr>
        <w:t>6.</w:t>
      </w:r>
      <w:r>
        <w:rPr>
          <w:noProof/>
        </w:rPr>
        <w:tab/>
        <w:t>Neviena no Pusēm vienpusēji neierobežo saskaņā ar 2., 3. un 4. punktu sniegto gaisa transporta pakalpojumu apjomu, pārvadāšanas jaudu, biežumu, regularitāti, mar</w:t>
      </w:r>
      <w:r>
        <w:rPr>
          <w:noProof/>
        </w:rPr>
        <w:t>šrutēšanu, sākumpunktu vai beigupunktu un gaisa kuģu tipu, ko tiem izmanto otras Puses gaisa pārvadātāji, atskaitot gadījumus, kad tas tiek nediskriminējoši prasīts muitas, tehnisku, operatīvu, gaisa satiksmes pārvaldības, drošības, vides vai veselības aiz</w:t>
      </w:r>
      <w:r>
        <w:rPr>
          <w:noProof/>
        </w:rPr>
        <w:t>sardzības apsvērumu dēļ, vai ja šajā sadaļā nav noteikts citādi.</w:t>
      </w:r>
    </w:p>
    <w:bookmarkEnd w:id="199"/>
    <w:p w:rsidR="003E022D" w:rsidRDefault="007D19D6">
      <w:pPr>
        <w:rPr>
          <w:noProof/>
        </w:rPr>
      </w:pPr>
      <w:r>
        <w:rPr>
          <w:noProof/>
        </w:rPr>
        <w:t>7.</w:t>
      </w:r>
      <w:r>
        <w:rPr>
          <w:noProof/>
        </w:rPr>
        <w:tab/>
        <w:t>Šī sadaļa nav uztverama tā, ka tā Apvienotās Karalistes pārvadātājiem dotu tiesības kādas ES dalībvalsts teritorijā uzņemt gaisa kuģī pasažierus, bagāžu, kravu vai pastu pārvadāšanai par a</w:t>
      </w:r>
      <w:r>
        <w:rPr>
          <w:noProof/>
        </w:rPr>
        <w:t>tlīdzību un ar ceļamērķi citā minētās dalībvalsts vai citas dalībvalsts teritorijas punktā.</w:t>
      </w:r>
    </w:p>
    <w:p w:rsidR="003E022D" w:rsidRDefault="007D19D6">
      <w:pPr>
        <w:rPr>
          <w:noProof/>
        </w:rPr>
      </w:pPr>
      <w:r>
        <w:rPr>
          <w:noProof/>
        </w:rPr>
        <w:t>8.</w:t>
      </w:r>
      <w:r>
        <w:rPr>
          <w:noProof/>
        </w:rPr>
        <w:tab/>
        <w:t>Šī sadaļa nav uztverama tā, ka tā Savienības gaisa pārvadātājiem dotu tiesības Apvienotās Karalistes teritorijā pārvadāšanai par atlīdzību un ar ceļamērķi citā A</w:t>
      </w:r>
      <w:r>
        <w:rPr>
          <w:noProof/>
        </w:rPr>
        <w:t>pvienotās Karalistes teritorijas punktā uzņemt gaisa kuģī pasažierus, bagāžu, kravu vai pastu.</w:t>
      </w:r>
    </w:p>
    <w:p w:rsidR="003E022D" w:rsidRDefault="007D19D6">
      <w:pPr>
        <w:rPr>
          <w:noProof/>
          <w:color w:val="000000" w:themeColor="text1"/>
        </w:rPr>
      </w:pPr>
      <w:r>
        <w:rPr>
          <w:noProof/>
        </w:rPr>
        <w:t>9.</w:t>
      </w:r>
      <w:r>
        <w:rPr>
          <w:noProof/>
        </w:rPr>
        <w:tab/>
        <w:t>Ievērojot Pušu attiecīgos iekšējos noteikumus un procedūras, Apvienotās Karalistes un dalībvalstu kompetentās iestādes var atļaut neregulārus gaisa transporta</w:t>
      </w:r>
      <w:r>
        <w:rPr>
          <w:noProof/>
        </w:rPr>
        <w:t xml:space="preserve"> pakalpojumus, uz kuriem neattiecas šajā pantā noteiktās tiesības, ja aiz tiem neslēpjas regulāri pakalpojumi, un var divpusēji noteikt kārtību par to, kādas procedūras ievērojamas gaisa pārvadātāju pieprasījumu izskatīšanā un lēmumu pieņemšanā par tiem. </w:t>
      </w:r>
    </w:p>
    <w:p w:rsidR="003E022D" w:rsidRDefault="007D19D6">
      <w:pPr>
        <w:pStyle w:val="Article"/>
        <w:rPr>
          <w:noProof/>
        </w:rPr>
      </w:pPr>
      <w:r>
        <w:rPr>
          <w:noProof/>
        </w:rPr>
        <w:t>AIRTRN.4. pants. Kodu koplietošana un bloku rezervēšana</w:t>
      </w:r>
    </w:p>
    <w:p w:rsidR="003E022D" w:rsidRDefault="007D19D6">
      <w:pPr>
        <w:rPr>
          <w:noProof/>
        </w:rPr>
      </w:pPr>
      <w:r>
        <w:rPr>
          <w:noProof/>
        </w:rPr>
        <w:t>1.</w:t>
      </w:r>
      <w:r>
        <w:rPr>
          <w:noProof/>
        </w:rPr>
        <w:tab/>
        <w:t>Gaisa transporta pakalpojumos saskaņā ar AIRTRN.3. pantu [Satiksmes tiesības] var šādi izmantot bloku rezervēšanu vai kodu koplietošanu:</w:t>
      </w:r>
    </w:p>
    <w:p w:rsidR="003E022D" w:rsidRDefault="007D19D6">
      <w:pPr>
        <w:ind w:left="567" w:hanging="567"/>
        <w:rPr>
          <w:rFonts w:cstheme="minorHAnsi"/>
          <w:noProof/>
        </w:rPr>
      </w:pPr>
      <w:r>
        <w:rPr>
          <w:noProof/>
        </w:rPr>
        <w:t>a)</w:t>
      </w:r>
      <w:r>
        <w:rPr>
          <w:noProof/>
        </w:rPr>
        <w:tab/>
        <w:t>Apvienotās Karalistes gaisa pārvadātājs var būt par komer</w:t>
      </w:r>
      <w:r>
        <w:rPr>
          <w:noProof/>
        </w:rPr>
        <w:t>cpārvadātāju apkalpojošam pārvadātājam, kurš ir Savienības gaisa pārvadātājs vai Apvienotās Karalistes gaisa pārvadātājs, vai trešās valsts apkalpojošam pārvadātājam, kuram saskaņā ar Savienības tiesību aktiem vai attiecīgā gadījumā saskaņā ar attiecīgās d</w:t>
      </w:r>
      <w:r>
        <w:rPr>
          <w:noProof/>
        </w:rPr>
        <w:t>alībvalsts vai attiecīgo dalībvalstu tiesību aktiem ir nepieciešamās satiksmes tiesības, kā arī tiesības tās gaisa pārvadātājiem minētās tiesības izlietot attiecīgajā nolīgtajā kārtībā;</w:t>
      </w:r>
    </w:p>
    <w:p w:rsidR="003E022D" w:rsidRDefault="007D19D6">
      <w:pPr>
        <w:ind w:left="567" w:hanging="567"/>
        <w:rPr>
          <w:rFonts w:cstheme="minorHAnsi"/>
          <w:noProof/>
        </w:rPr>
      </w:pPr>
      <w:r>
        <w:rPr>
          <w:noProof/>
        </w:rPr>
        <w:t>b)</w:t>
      </w:r>
      <w:r>
        <w:rPr>
          <w:noProof/>
        </w:rPr>
        <w:tab/>
        <w:t>Savienības gaisa pārvadātājs var būt par komercpārvadātāju apkalpoj</w:t>
      </w:r>
      <w:r>
        <w:rPr>
          <w:noProof/>
        </w:rPr>
        <w:t>ošam pārvadātājam, kurš ir Savienības gaisa pārvadātājs vai Apvienotās Karalistes gaisa pārvadātājs, vai trešās valsts apkalpojošam pārvadātājam, kuram saskaņā ar Apvienotās Karalistes tiesību aktiem ir nepieciešamās satiksmes tiesības, kā arī tiesības tās</w:t>
      </w:r>
      <w:r>
        <w:rPr>
          <w:noProof/>
        </w:rPr>
        <w:t xml:space="preserve"> gaisa pārvadātājiem minētās tiesības izlietot attiecīgajā nolīgtajā kārtībā;</w:t>
      </w:r>
    </w:p>
    <w:p w:rsidR="003E022D" w:rsidRDefault="007D19D6">
      <w:pPr>
        <w:ind w:left="567" w:hanging="567"/>
        <w:rPr>
          <w:rFonts w:cstheme="minorHAnsi"/>
          <w:noProof/>
        </w:rPr>
      </w:pPr>
      <w:r>
        <w:rPr>
          <w:noProof/>
        </w:rPr>
        <w:t>c)</w:t>
      </w:r>
      <w:r>
        <w:rPr>
          <w:noProof/>
        </w:rPr>
        <w:tab/>
        <w:t>Apvienotās Karalistes gaisa pārvadātājs var būt par apkalpojošo pārvadātāju komercpārvadātājam, kurš ir Savienības gaisa pārvadātājs vai Apvienotās Karalistes gaisa pārvadātāj</w:t>
      </w:r>
      <w:r>
        <w:rPr>
          <w:noProof/>
        </w:rPr>
        <w:t>s, vai trešās valsts komercpārvadātājam, kuram saskaņā ar Savienības tiesību aktiem vai attiecīgā gadījumā saskaņā ar attiecīgās dalībvalsts vai attiecīgo dalībvalstu tiesību aktiem ir nepieciešamās tiesības attiecīgi vienoties par attiecīgo kārtību;</w:t>
      </w:r>
    </w:p>
    <w:p w:rsidR="003E022D" w:rsidRDefault="007D19D6">
      <w:pPr>
        <w:ind w:left="567" w:hanging="567"/>
        <w:rPr>
          <w:rFonts w:cstheme="minorHAnsi"/>
          <w:noProof/>
        </w:rPr>
      </w:pPr>
      <w:r>
        <w:rPr>
          <w:noProof/>
        </w:rPr>
        <w:t>d)</w:t>
      </w:r>
      <w:r>
        <w:rPr>
          <w:noProof/>
        </w:rPr>
        <w:tab/>
        <w:t>Sa</w:t>
      </w:r>
      <w:r>
        <w:rPr>
          <w:noProof/>
        </w:rPr>
        <w:t>vienības gaisa pārvadātājs var būt par apkalpojošo pārvadātāju komercpārvadātājam, kurš ir Savienības gaisa pārvadātājs vai Apvienotās Karalistes gaisa pārvadātājs, vai trešās valsts komercpārvadātājam, kuram saskaņā ar Apvienotās Karalistes tiesību aktiem</w:t>
      </w:r>
      <w:r>
        <w:rPr>
          <w:noProof/>
        </w:rPr>
        <w:t xml:space="preserve"> ir nepieciešamās tiesības vienoties par attiecīgo kārtību;</w:t>
      </w:r>
    </w:p>
    <w:p w:rsidR="003E022D" w:rsidRDefault="007D19D6">
      <w:pPr>
        <w:ind w:left="567" w:hanging="567"/>
        <w:rPr>
          <w:rFonts w:cstheme="minorHAnsi"/>
          <w:noProof/>
        </w:rPr>
      </w:pPr>
      <w:r>
        <w:rPr>
          <w:noProof/>
        </w:rPr>
        <w:t>e)</w:t>
      </w:r>
      <w:r>
        <w:rPr>
          <w:noProof/>
        </w:rPr>
        <w:tab/>
        <w:t>šā punkta a)–d) apakšpunktā noteiktās kārtības ietvaros vienas Puses gaisa pārvadātājs var nolīgtā bloku rezervēšanas vai kodu koplietošanas kārtībā darboties kā komercpārvadātājs, starp jebkur</w:t>
      </w:r>
      <w:r>
        <w:rPr>
          <w:noProof/>
        </w:rPr>
        <w:t>iem diviem punktiem veicot pārvadājumus, kuru sākumpunkts un beigupunkts atrodas otras Puses teritorijā, ja tiek izpildīti šādi nosacījumi:</w:t>
      </w:r>
    </w:p>
    <w:p w:rsidR="003E022D" w:rsidRDefault="007D19D6">
      <w:pPr>
        <w:ind w:left="1276" w:hanging="567"/>
        <w:rPr>
          <w:noProof/>
        </w:rPr>
      </w:pPr>
      <w:r>
        <w:rPr>
          <w:noProof/>
        </w:rPr>
        <w:t>i)</w:t>
      </w:r>
      <w:r>
        <w:rPr>
          <w:noProof/>
        </w:rPr>
        <w:tab/>
        <w:t>šā punkta attiecīgi a) vai b) apakšpunktā paredzētie nosacījumi par apkalpojošo pārvadātāju; un</w:t>
      </w:r>
    </w:p>
    <w:p w:rsidR="003E022D" w:rsidRDefault="007D19D6">
      <w:pPr>
        <w:ind w:left="1276" w:hanging="567"/>
        <w:rPr>
          <w:noProof/>
        </w:rPr>
      </w:pPr>
      <w:r>
        <w:rPr>
          <w:noProof/>
        </w:rPr>
        <w:t>ii)</w:t>
      </w:r>
      <w:r>
        <w:rPr>
          <w:noProof/>
        </w:rPr>
        <w:tab/>
        <w:t xml:space="preserve">attiecīgais </w:t>
      </w:r>
      <w:r>
        <w:rPr>
          <w:noProof/>
        </w:rPr>
        <w:t>transporta pakalpojums ietilpst komercpārvadātāja pārvadājumos starp kādu punktu tā Puses teritorijā un minēto beigupunktu otras Puses teritorijā.</w:t>
      </w:r>
    </w:p>
    <w:p w:rsidR="003E022D" w:rsidRDefault="007D19D6">
      <w:pPr>
        <w:rPr>
          <w:noProof/>
        </w:rPr>
      </w:pPr>
      <w:r>
        <w:rPr>
          <w:noProof/>
        </w:rPr>
        <w:t>2.</w:t>
      </w:r>
      <w:r>
        <w:rPr>
          <w:noProof/>
        </w:rPr>
        <w:tab/>
        <w:t>Vienas Puses gaisa pārvadātājs var būt komercpārvadātājs bloku rezervēšanā vai kodu koplietošanā pārvadāju</w:t>
      </w:r>
      <w:r>
        <w:rPr>
          <w:noProof/>
        </w:rPr>
        <w:t>mos starp jebkuriem diviem punktiem, no kuriem viens atrodas otras Puses teritorijā, otrs – trešā valstī, ja tiek izpildīti šādi nosacījumi:</w:t>
      </w:r>
    </w:p>
    <w:p w:rsidR="003E022D" w:rsidRDefault="007D19D6">
      <w:pPr>
        <w:ind w:left="567" w:hanging="567"/>
        <w:rPr>
          <w:rFonts w:cstheme="minorHAnsi"/>
          <w:noProof/>
        </w:rPr>
      </w:pPr>
      <w:r>
        <w:rPr>
          <w:noProof/>
        </w:rPr>
        <w:t>a)</w:t>
      </w:r>
      <w:r>
        <w:rPr>
          <w:noProof/>
        </w:rPr>
        <w:tab/>
        <w:t>pēc vajadzības 1. punkta a) apakšpunkta vai b) apakšpunkta nosacījumi par apkalpojošo pārvadātāju; un</w:t>
      </w:r>
    </w:p>
    <w:p w:rsidR="003E022D" w:rsidRDefault="007D19D6">
      <w:pPr>
        <w:ind w:left="567" w:hanging="567"/>
        <w:rPr>
          <w:noProof/>
        </w:rPr>
      </w:pPr>
      <w:r>
        <w:rPr>
          <w:noProof/>
        </w:rPr>
        <w:t xml:space="preserve">b) </w:t>
      </w:r>
      <w:r>
        <w:rPr>
          <w:noProof/>
        </w:rPr>
        <w:tab/>
        <w:t>attiec</w:t>
      </w:r>
      <w:r>
        <w:rPr>
          <w:noProof/>
        </w:rPr>
        <w:t>īgais transporta pakalpojums ietilpst komercpārvadātāja pārvadājumos starp kādu punktu tā Puses teritorijā un minēto punktu trešā valstī.</w:t>
      </w:r>
    </w:p>
    <w:p w:rsidR="003E022D" w:rsidRDefault="007D19D6">
      <w:pPr>
        <w:rPr>
          <w:noProof/>
        </w:rPr>
      </w:pPr>
      <w:r>
        <w:rPr>
          <w:noProof/>
        </w:rPr>
        <w:t>3.</w:t>
      </w:r>
      <w:r>
        <w:rPr>
          <w:noProof/>
        </w:rPr>
        <w:tab/>
        <w:t>Pārdodot katru biļeti, kas saistīta ar šajā pantā norādīto kārtību, pircēju pie rezervēšanas informē, kura pārvadāt</w:t>
      </w:r>
      <w:r>
        <w:rPr>
          <w:noProof/>
        </w:rPr>
        <w:t xml:space="preserve">ājs apkalpos katru pārvadājuma daļu. Ja tas nav iespējams vai ja pēc rezervēšanas notiek izmaiņas, pasažierim dara zināmu apkalpojošā pārvadātāja identitāti, tiklīdz tā ir noteikta. Katrā gadījumā apkalpojošā(-o) pārvadātāja(-u) identitāti pasažierim dara </w:t>
      </w:r>
      <w:r>
        <w:rPr>
          <w:noProof/>
        </w:rPr>
        <w:t>zināmu pie reģistrācijas vai, ja netiek prasīta reģistrēšanās savienotam reisam, pirms iekāpšanas.</w:t>
      </w:r>
    </w:p>
    <w:p w:rsidR="003E022D" w:rsidRDefault="007D19D6">
      <w:pPr>
        <w:rPr>
          <w:noProof/>
        </w:rPr>
      </w:pPr>
      <w:r>
        <w:rPr>
          <w:noProof/>
        </w:rPr>
        <w:t>4.</w:t>
      </w:r>
      <w:r>
        <w:rPr>
          <w:noProof/>
        </w:rPr>
        <w:tab/>
        <w:t>Puses var prasīt, lai to kompetentās iestādes šajā pantā norādīto kārtību apstiprina, pārbaudot atbilstību tajā izklāstītajiem nosacījumiem un citām šā no</w:t>
      </w:r>
      <w:r>
        <w:rPr>
          <w:noProof/>
        </w:rPr>
        <w:t>līguma prasībām, it īpaši konkurences un drošuma un drošības ziņā.</w:t>
      </w:r>
    </w:p>
    <w:p w:rsidR="003E022D" w:rsidRDefault="007D19D6">
      <w:pPr>
        <w:rPr>
          <w:noProof/>
        </w:rPr>
      </w:pPr>
      <w:r>
        <w:rPr>
          <w:noProof/>
        </w:rPr>
        <w:t>5.</w:t>
      </w:r>
      <w:r>
        <w:rPr>
          <w:noProof/>
        </w:rPr>
        <w:tab/>
        <w:t>Kodu koplietošanas vai bloku rezervēšanas dēl nekādā gadījumā Pušu gaisa pārvadātāji uz šā nolīguma pamata nevar izmantot satiksmes tiesības, kas nav noteiktas AIRTRN.3. pantā [Satiksmes</w:t>
      </w:r>
      <w:r>
        <w:rPr>
          <w:noProof/>
        </w:rPr>
        <w:t xml:space="preserve"> tiesības].</w:t>
      </w:r>
    </w:p>
    <w:p w:rsidR="003E022D" w:rsidRDefault="007D19D6">
      <w:pPr>
        <w:pStyle w:val="Article"/>
        <w:rPr>
          <w:noProof/>
        </w:rPr>
      </w:pPr>
      <w:r>
        <w:rPr>
          <w:noProof/>
        </w:rPr>
        <w:t>AIRTRN.5. pants. Darbības elastīgums</w:t>
      </w:r>
    </w:p>
    <w:p w:rsidR="003E022D" w:rsidRDefault="007D19D6">
      <w:pPr>
        <w:rPr>
          <w:noProof/>
        </w:rPr>
      </w:pPr>
      <w:r>
        <w:rPr>
          <w:noProof/>
        </w:rPr>
        <w:t>Tiesības, ko Puses viena otrai piešķir saskaņā ar AIRTRN.3. panta [Satiksmes tiesības] 2., 3. un 4. punktu, tajā noteiktajās robežās ietver visas šīs prerogatīvas:</w:t>
      </w:r>
    </w:p>
    <w:p w:rsidR="003E022D" w:rsidRDefault="007D19D6">
      <w:pPr>
        <w:ind w:left="567" w:hanging="567"/>
        <w:rPr>
          <w:rFonts w:cstheme="minorHAnsi"/>
          <w:noProof/>
        </w:rPr>
      </w:pPr>
      <w:r>
        <w:rPr>
          <w:noProof/>
        </w:rPr>
        <w:t>a)</w:t>
      </w:r>
      <w:r>
        <w:rPr>
          <w:noProof/>
        </w:rPr>
        <w:tab/>
        <w:t>veikt reisus vienā vai abos virzienos;</w:t>
      </w:r>
    </w:p>
    <w:p w:rsidR="003E022D" w:rsidRDefault="007D19D6">
      <w:pPr>
        <w:ind w:left="567" w:hanging="567"/>
        <w:rPr>
          <w:rFonts w:cstheme="minorHAnsi"/>
          <w:noProof/>
        </w:rPr>
      </w:pPr>
      <w:r>
        <w:rPr>
          <w:noProof/>
        </w:rPr>
        <w:t>b</w:t>
      </w:r>
      <w:r>
        <w:rPr>
          <w:noProof/>
        </w:rPr>
        <w:t>)</w:t>
      </w:r>
      <w:r>
        <w:rPr>
          <w:noProof/>
        </w:rPr>
        <w:tab/>
        <w:t>apvienot dažādus reisa numurus vienā gaisa kuģa darbībā;</w:t>
      </w:r>
    </w:p>
    <w:p w:rsidR="003E022D" w:rsidRDefault="007D19D6">
      <w:pPr>
        <w:ind w:left="567" w:hanging="567"/>
        <w:rPr>
          <w:rFonts w:cstheme="minorHAnsi"/>
          <w:noProof/>
        </w:rPr>
      </w:pPr>
      <w:r>
        <w:rPr>
          <w:noProof/>
        </w:rPr>
        <w:t>c)</w:t>
      </w:r>
      <w:r>
        <w:rPr>
          <w:noProof/>
        </w:rPr>
        <w:tab/>
        <w:t>apkalpot maršrutu saraksta punktus jebkurā kombinācijā un secībā;</w:t>
      </w:r>
    </w:p>
    <w:p w:rsidR="003E022D" w:rsidRDefault="007D19D6">
      <w:pPr>
        <w:ind w:left="567" w:hanging="567"/>
        <w:rPr>
          <w:rFonts w:cstheme="minorHAnsi"/>
          <w:noProof/>
        </w:rPr>
      </w:pPr>
      <w:r>
        <w:rPr>
          <w:noProof/>
        </w:rPr>
        <w:t>d)</w:t>
      </w:r>
      <w:r>
        <w:rPr>
          <w:noProof/>
        </w:rPr>
        <w:tab/>
        <w:t>gaisa pārvadātājam jebkurā punktā pārcelt pārvadājumus uz citu savu gaisa kuģi (gaisa kuģa maiņa);</w:t>
      </w:r>
    </w:p>
    <w:p w:rsidR="003E022D" w:rsidRDefault="007D19D6">
      <w:pPr>
        <w:ind w:left="567" w:hanging="567"/>
        <w:rPr>
          <w:rFonts w:cstheme="minorHAnsi"/>
          <w:noProof/>
        </w:rPr>
      </w:pPr>
      <w:r>
        <w:rPr>
          <w:noProof/>
        </w:rPr>
        <w:t>e)</w:t>
      </w:r>
      <w:r>
        <w:rPr>
          <w:noProof/>
        </w:rPr>
        <w:tab/>
        <w:t>veikt starpnosēšanos je</w:t>
      </w:r>
      <w:r>
        <w:rPr>
          <w:noProof/>
        </w:rPr>
        <w:t>bkuros punktos katras Puses teritorijā vai ārpus tās;</w:t>
      </w:r>
    </w:p>
    <w:p w:rsidR="003E022D" w:rsidRDefault="007D19D6">
      <w:pPr>
        <w:ind w:left="567" w:hanging="567"/>
        <w:rPr>
          <w:rFonts w:cstheme="minorHAnsi"/>
          <w:noProof/>
        </w:rPr>
      </w:pPr>
      <w:r>
        <w:rPr>
          <w:noProof/>
        </w:rPr>
        <w:t>f)</w:t>
      </w:r>
      <w:r>
        <w:rPr>
          <w:noProof/>
        </w:rPr>
        <w:tab/>
        <w:t>lidot tranzītā caur otras Puses teritoriju;</w:t>
      </w:r>
    </w:p>
    <w:p w:rsidR="003E022D" w:rsidRDefault="007D19D6">
      <w:pPr>
        <w:ind w:left="567" w:hanging="567"/>
        <w:rPr>
          <w:rFonts w:cstheme="minorHAnsi"/>
          <w:noProof/>
        </w:rPr>
      </w:pPr>
      <w:r>
        <w:rPr>
          <w:noProof/>
        </w:rPr>
        <w:t>g)</w:t>
      </w:r>
      <w:r>
        <w:rPr>
          <w:noProof/>
        </w:rPr>
        <w:tab/>
        <w:t>apvienot pārvadājumus vienā gaisa kuģī, neņemot vērā, kur pārvadājumi sākas;</w:t>
      </w:r>
    </w:p>
    <w:p w:rsidR="003E022D" w:rsidRDefault="007D19D6">
      <w:pPr>
        <w:ind w:left="567" w:hanging="567"/>
        <w:rPr>
          <w:rFonts w:cstheme="minorHAnsi"/>
          <w:noProof/>
        </w:rPr>
      </w:pPr>
      <w:r>
        <w:rPr>
          <w:noProof/>
        </w:rPr>
        <w:t>h)</w:t>
      </w:r>
      <w:r>
        <w:rPr>
          <w:noProof/>
        </w:rPr>
        <w:tab/>
        <w:t>vienā pārvadājumā apkalpot vairāk nekā vienu punktu (terminālu kopapkalp</w:t>
      </w:r>
      <w:r>
        <w:rPr>
          <w:noProof/>
        </w:rPr>
        <w:t>ošana).</w:t>
      </w:r>
    </w:p>
    <w:p w:rsidR="003E022D" w:rsidRDefault="007D19D6">
      <w:pPr>
        <w:pStyle w:val="Article"/>
        <w:rPr>
          <w:noProof/>
        </w:rPr>
      </w:pPr>
      <w:r>
        <w:rPr>
          <w:noProof/>
        </w:rPr>
        <w:t>AIRTRN.6. pants. Darbības atļaujas un tehniskās atļaujas</w:t>
      </w:r>
    </w:p>
    <w:p w:rsidR="003E022D" w:rsidRDefault="007D19D6">
      <w:pPr>
        <w:rPr>
          <w:noProof/>
        </w:rPr>
      </w:pPr>
      <w:r>
        <w:rPr>
          <w:noProof/>
        </w:rPr>
        <w:t>1.</w:t>
      </w:r>
      <w:r>
        <w:rPr>
          <w:noProof/>
        </w:rPr>
        <w:tab/>
      </w:r>
      <w:bookmarkStart w:id="200" w:name="_Hlk49519856"/>
      <w:r>
        <w:rPr>
          <w:noProof/>
        </w:rPr>
        <w:t>Saņemot darbības atļaujas pieprasījumu noteiktā formā un veidā no vienas Puses gaisa pārvadātāja gaisa transporta pakalpojumu sniegšanai saskaņā ar šo sadaļu, attiecīgās pilnvaras un/vai t</w:t>
      </w:r>
      <w:r>
        <w:rPr>
          <w:noProof/>
        </w:rPr>
        <w:t>ehniskās atļaujas otra Puse piešķir ar minimālu procesuālu kavēšanos</w:t>
      </w:r>
      <w:bookmarkEnd w:id="200"/>
      <w:r>
        <w:rPr>
          <w:noProof/>
        </w:rPr>
        <w:t>, ja ir izpildīti visi tālāk minētie nosacījumi,</w:t>
      </w:r>
    </w:p>
    <w:p w:rsidR="003E022D" w:rsidRDefault="007D19D6">
      <w:pPr>
        <w:ind w:left="567" w:hanging="567"/>
        <w:rPr>
          <w:rFonts w:cstheme="minorHAnsi"/>
          <w:noProof/>
        </w:rPr>
      </w:pPr>
      <w:r>
        <w:rPr>
          <w:noProof/>
        </w:rPr>
        <w:t>a)</w:t>
      </w:r>
      <w:r>
        <w:rPr>
          <w:noProof/>
        </w:rPr>
        <w:tab/>
        <w:t>Apvienotās Karalistes gaisa pārvadātāja gadījumā:</w:t>
      </w:r>
    </w:p>
    <w:p w:rsidR="003E022D" w:rsidRDefault="007D19D6">
      <w:pPr>
        <w:ind w:left="1276" w:hanging="567"/>
        <w:rPr>
          <w:noProof/>
        </w:rPr>
      </w:pPr>
      <w:r>
        <w:rPr>
          <w:noProof/>
        </w:rPr>
        <w:t>i)</w:t>
      </w:r>
      <w:r>
        <w:rPr>
          <w:noProof/>
        </w:rPr>
        <w:tab/>
        <w:t>gaisa pārvadātāja īpašnieks tieši vai ar līdzdalības vairākumu un faktiskais izrīko</w:t>
      </w:r>
      <w:r>
        <w:rPr>
          <w:noProof/>
        </w:rPr>
        <w:t>tājs ir Apvienotā Karaliste vai tās valstspiederīgie, vai tie kopā;</w:t>
      </w:r>
    </w:p>
    <w:p w:rsidR="003E022D" w:rsidRDefault="007D19D6">
      <w:pPr>
        <w:ind w:left="1276" w:hanging="567"/>
        <w:rPr>
          <w:noProof/>
        </w:rPr>
      </w:pPr>
      <w:r>
        <w:rPr>
          <w:noProof/>
        </w:rPr>
        <w:t>ii)</w:t>
      </w:r>
      <w:r>
        <w:rPr>
          <w:noProof/>
        </w:rPr>
        <w:tab/>
        <w:t>gaisa pārvadātāja galvenā darbības vieta ir Apvienotās Karalistes teritorijā, un tas ir licencēts saskaņā ar Apvienotās Karalistes tiesību aktiem; un</w:t>
      </w:r>
    </w:p>
    <w:p w:rsidR="003E022D" w:rsidRDefault="007D19D6">
      <w:pPr>
        <w:ind w:left="1276" w:hanging="567"/>
        <w:rPr>
          <w:noProof/>
        </w:rPr>
      </w:pPr>
      <w:r>
        <w:rPr>
          <w:noProof/>
        </w:rPr>
        <w:t>iii)</w:t>
      </w:r>
      <w:r>
        <w:rPr>
          <w:noProof/>
        </w:rPr>
        <w:tab/>
        <w:t xml:space="preserve">gaisa pārvadātājam ir </w:t>
      </w:r>
      <w:r>
        <w:rPr>
          <w:noProof/>
        </w:rPr>
        <w:t>Apvienotās Karalistes kompetentās iestādes izdota gaisa kuģa ekspluatanta apliecība, kas ir skaidri identificējama, un minētā iestāde īsteno un uztur faktisku regulatīvu gaisa pārvadātāja vadību;</w:t>
      </w:r>
    </w:p>
    <w:p w:rsidR="003E022D" w:rsidRDefault="007D19D6">
      <w:pPr>
        <w:ind w:left="567" w:hanging="567"/>
        <w:rPr>
          <w:rFonts w:cstheme="minorHAnsi"/>
          <w:noProof/>
        </w:rPr>
      </w:pPr>
      <w:r>
        <w:rPr>
          <w:noProof/>
        </w:rPr>
        <w:t>b)</w:t>
      </w:r>
      <w:r>
        <w:rPr>
          <w:noProof/>
        </w:rPr>
        <w:tab/>
        <w:t>Savienības gaisa pārvadātāja gadījumā:</w:t>
      </w:r>
    </w:p>
    <w:p w:rsidR="003E022D" w:rsidRDefault="007D19D6">
      <w:pPr>
        <w:ind w:left="1276" w:hanging="567"/>
        <w:rPr>
          <w:noProof/>
        </w:rPr>
      </w:pPr>
      <w:r>
        <w:rPr>
          <w:noProof/>
        </w:rPr>
        <w:t>i)</w:t>
      </w:r>
      <w:r>
        <w:rPr>
          <w:noProof/>
        </w:rPr>
        <w:tab/>
        <w:t>gaisa pārvadātā</w:t>
      </w:r>
      <w:r>
        <w:rPr>
          <w:noProof/>
        </w:rPr>
        <w:t>ja īpašnieki tieši vai ar līdzdalības vairākumu un faktiskais izrīkotājs ir viena vai vairākas no dalībvalstīm, citas Eiropas Brīvās tirdzniecības asociācijas dalībvalstis, Šveice, tādu valstu piederīgie vai šo kombinācija;</w:t>
      </w:r>
    </w:p>
    <w:p w:rsidR="003E022D" w:rsidRDefault="007D19D6">
      <w:pPr>
        <w:ind w:left="1276" w:hanging="567"/>
        <w:rPr>
          <w:noProof/>
        </w:rPr>
      </w:pPr>
      <w:r>
        <w:rPr>
          <w:noProof/>
        </w:rPr>
        <w:t>ii)</w:t>
      </w:r>
      <w:r>
        <w:rPr>
          <w:noProof/>
        </w:rPr>
        <w:tab/>
        <w:t xml:space="preserve">gaisa pārvadātāja galvenā </w:t>
      </w:r>
      <w:r>
        <w:rPr>
          <w:noProof/>
        </w:rPr>
        <w:t>darbības vieta ir Savienības teritorijā, un tam ir derīga darbības licence saskaņā ar Savienības tiesību aktiem; un</w:t>
      </w:r>
    </w:p>
    <w:p w:rsidR="003E022D" w:rsidRDefault="007D19D6">
      <w:pPr>
        <w:ind w:left="1276" w:hanging="567"/>
        <w:rPr>
          <w:noProof/>
        </w:rPr>
      </w:pPr>
      <w:r>
        <w:rPr>
          <w:noProof/>
        </w:rPr>
        <w:t>iii)</w:t>
      </w:r>
      <w:r>
        <w:rPr>
          <w:noProof/>
        </w:rPr>
        <w:tab/>
        <w:t>gaisa pārvadātājam ir Savienības vai kādas dalībvalsts kompetentās iestādes izdota gaisa kuģa ekspluatanta apliecība, kas ir skaidri id</w:t>
      </w:r>
      <w:r>
        <w:rPr>
          <w:noProof/>
        </w:rPr>
        <w:t>entificējama, un minētā iestāde īsteno un uztur faktisku regulatīvu gaisa pārvadātāja vadību;</w:t>
      </w:r>
    </w:p>
    <w:p w:rsidR="003E022D" w:rsidRDefault="007D19D6">
      <w:pPr>
        <w:ind w:left="567" w:hanging="567"/>
        <w:rPr>
          <w:noProof/>
        </w:rPr>
      </w:pPr>
      <w:r>
        <w:rPr>
          <w:noProof/>
        </w:rPr>
        <w:t>c)</w:t>
      </w:r>
      <w:r>
        <w:rPr>
          <w:noProof/>
        </w:rPr>
        <w:tab/>
        <w:t>tiek ievēroti AIRTRN.18. pants [Aviācijas drošums] un AIRTRN.19. pants [Aviācijas drošība]; un</w:t>
      </w:r>
    </w:p>
    <w:p w:rsidR="003E022D" w:rsidRDefault="007D19D6">
      <w:pPr>
        <w:ind w:left="567" w:hanging="567"/>
        <w:rPr>
          <w:noProof/>
        </w:rPr>
      </w:pPr>
      <w:r>
        <w:rPr>
          <w:noProof/>
        </w:rPr>
        <w:t>d)</w:t>
      </w:r>
      <w:r>
        <w:rPr>
          <w:noProof/>
        </w:rPr>
        <w:tab/>
        <w:t>gaisa pārvadātājs izpilda normatīvajos aktos paredzētos nosac</w:t>
      </w:r>
      <w:r>
        <w:rPr>
          <w:noProof/>
        </w:rPr>
        <w:t>ījumus, kurus parasti starptautiskajam gaisa transportam piemēro Puse, kura izskata pieteikumu(-us).</w:t>
      </w:r>
    </w:p>
    <w:p w:rsidR="003E022D" w:rsidRDefault="007D19D6">
      <w:pPr>
        <w:spacing w:after="200" w:line="276" w:lineRule="auto"/>
        <w:rPr>
          <w:rFonts w:eastAsia="Calibri" w:cstheme="minorHAnsi"/>
          <w:noProof/>
        </w:rPr>
      </w:pPr>
      <w:r>
        <w:rPr>
          <w:noProof/>
        </w:rPr>
        <w:t xml:space="preserve">2. </w:t>
      </w:r>
      <w:r>
        <w:rPr>
          <w:noProof/>
        </w:rPr>
        <w:tab/>
        <w:t>Neatkarīgi no 1. punkta a) apakšpunkta i) punkta Apvienotās Karalistes gaisa pārvadātājiem piešķir attiecīgas darbības pilnvaras un atļaujas, ja ir izp</w:t>
      </w:r>
      <w:r>
        <w:rPr>
          <w:noProof/>
        </w:rPr>
        <w:t>ildīti visi šie nosacījumi:</w:t>
      </w:r>
    </w:p>
    <w:p w:rsidR="003E022D" w:rsidRDefault="007D19D6">
      <w:pPr>
        <w:ind w:left="567" w:hanging="567"/>
        <w:rPr>
          <w:rFonts w:eastAsia="Calibri" w:cstheme="minorHAnsi"/>
          <w:noProof/>
        </w:rPr>
      </w:pPr>
      <w:r>
        <w:rPr>
          <w:noProof/>
        </w:rPr>
        <w:t>a)</w:t>
      </w:r>
      <w:r>
        <w:rPr>
          <w:noProof/>
        </w:rPr>
        <w:tab/>
        <w:t>ir ievēroti 1. punkta a) apakšpunkta ii) un iii) punkta un c) un d) apakšpunkta nosacījumi;</w:t>
      </w:r>
    </w:p>
    <w:p w:rsidR="003E022D" w:rsidRDefault="007D19D6">
      <w:pPr>
        <w:ind w:left="567" w:hanging="567"/>
        <w:rPr>
          <w:rFonts w:eastAsia="Calibri" w:cstheme="minorHAnsi"/>
          <w:noProof/>
        </w:rPr>
      </w:pPr>
      <w:r>
        <w:rPr>
          <w:noProof/>
        </w:rPr>
        <w:t>b)</w:t>
      </w:r>
      <w:r>
        <w:rPr>
          <w:noProof/>
        </w:rPr>
        <w:tab/>
        <w:t>gaisa pārvadātāja īpašnieki tieši vai ar līdzdalības vairākumu un faktiskais izrīkotājs ir viena vai vairākas no dalībvalstīm, cit</w:t>
      </w:r>
      <w:r>
        <w:rPr>
          <w:noProof/>
        </w:rPr>
        <w:t>as Eiropas Brīvās tirdzniecības asociācijas dalībvalstis, Šveice, tādu valstu piederīgie vai šo kombinācija, vieni paši vai kopā ar Apvienoto Karalisti un/vai Apvienotās Karalistes valstspiederīgajiem;</w:t>
      </w:r>
    </w:p>
    <w:p w:rsidR="003E022D" w:rsidRDefault="007D19D6">
      <w:pPr>
        <w:ind w:left="567" w:hanging="567"/>
        <w:rPr>
          <w:rFonts w:cstheme="minorHAnsi"/>
          <w:noProof/>
        </w:rPr>
      </w:pPr>
      <w:r>
        <w:rPr>
          <w:noProof/>
        </w:rPr>
        <w:t>c)</w:t>
      </w:r>
      <w:r>
        <w:rPr>
          <w:noProof/>
        </w:rPr>
        <w:tab/>
        <w:t>pārejas perioda beigu dienā gaisa pārvadātājam biju</w:t>
      </w:r>
      <w:r>
        <w:rPr>
          <w:noProof/>
        </w:rPr>
        <w:t xml:space="preserve">si saskaņā ar Savienības tiesību aktiem derīga darbības licence. </w:t>
      </w:r>
    </w:p>
    <w:p w:rsidR="003E022D" w:rsidRDefault="007D19D6">
      <w:pPr>
        <w:rPr>
          <w:noProof/>
        </w:rPr>
      </w:pPr>
      <w:r>
        <w:rPr>
          <w:noProof/>
        </w:rPr>
        <w:t>3.</w:t>
      </w:r>
      <w:r>
        <w:rPr>
          <w:noProof/>
        </w:rPr>
        <w:tab/>
        <w:t xml:space="preserve">Šā panta 1. un 2. punktā izpildē faktiskas regulatīvās vadības pierādījumi ir šādi, bet ne tikai šie: </w:t>
      </w:r>
    </w:p>
    <w:p w:rsidR="003E022D" w:rsidRDefault="007D19D6">
      <w:pPr>
        <w:rPr>
          <w:noProof/>
        </w:rPr>
      </w:pPr>
      <w:r>
        <w:rPr>
          <w:noProof/>
        </w:rPr>
        <w:t>a)</w:t>
      </w:r>
      <w:r>
        <w:rPr>
          <w:noProof/>
        </w:rPr>
        <w:tab/>
        <w:t>attiecīgajam gaisa pārvadātājam ir kompetentās iestādes izdota derīga darbības li</w:t>
      </w:r>
      <w:r>
        <w:rPr>
          <w:noProof/>
        </w:rPr>
        <w:t xml:space="preserve">cence vai atļauja un pārvadātājs atbilst tās Puses kritērijiem, kura izdod darbības licenci vai atļauju sniegt starptautiskus gaisa transporta pakalpojumus; un </w:t>
      </w:r>
    </w:p>
    <w:p w:rsidR="003E022D" w:rsidRDefault="007D19D6">
      <w:pPr>
        <w:rPr>
          <w:noProof/>
        </w:rPr>
      </w:pPr>
      <w:r>
        <w:rPr>
          <w:noProof/>
        </w:rPr>
        <w:t>b)</w:t>
      </w:r>
      <w:r>
        <w:rPr>
          <w:noProof/>
        </w:rPr>
        <w:tab/>
        <w:t xml:space="preserve">minētajai Pusei ir un tā minētajam gaisa pārvadātājam piemēro </w:t>
      </w:r>
      <w:r>
        <w:rPr>
          <w:i/>
          <w:noProof/>
        </w:rPr>
        <w:t>ICAO</w:t>
      </w:r>
      <w:r>
        <w:rPr>
          <w:noProof/>
        </w:rPr>
        <w:t xml:space="preserve"> standartiem atbilstošas d</w:t>
      </w:r>
      <w:r>
        <w:rPr>
          <w:noProof/>
        </w:rPr>
        <w:t>rošuma un drošības pārraudzības programmas.</w:t>
      </w:r>
    </w:p>
    <w:p w:rsidR="003E022D" w:rsidRDefault="007D19D6">
      <w:pPr>
        <w:rPr>
          <w:noProof/>
        </w:rPr>
      </w:pPr>
      <w:r>
        <w:rPr>
          <w:noProof/>
        </w:rPr>
        <w:t>4.</w:t>
      </w:r>
      <w:r>
        <w:rPr>
          <w:noProof/>
        </w:rPr>
        <w:tab/>
        <w:t>Piešķirot darbības atļaujas un tehniskās atļaujas, Puses pret visiem gaisa pārvadātājiem izturas nediskriminējoši.</w:t>
      </w:r>
    </w:p>
    <w:p w:rsidR="003E022D" w:rsidRDefault="007D19D6">
      <w:pPr>
        <w:rPr>
          <w:noProof/>
        </w:rPr>
      </w:pPr>
      <w:r>
        <w:rPr>
          <w:noProof/>
        </w:rPr>
        <w:t>5.</w:t>
      </w:r>
      <w:r>
        <w:rPr>
          <w:noProof/>
        </w:rPr>
        <w:tab/>
        <w:t>Saņēmusi darbības atļaujas pieprasījumu no Puses gaisa pārvadātāja, otra Puse atzīst sagata</w:t>
      </w:r>
      <w:r>
        <w:rPr>
          <w:noProof/>
        </w:rPr>
        <w:t>votības vai valsts piederības konstatējumus, vai abus, kurus par attiecīgo gaisa pārvadātāju ir sagatavojusi pirmā Puse, tā, it kā konstatējumus būtu sagatavojušas tās pašas kompetentās iestādes, un jautājumu tālāk neskata, izņemot tā, kā noteikts AIRTRN.8</w:t>
      </w:r>
      <w:r>
        <w:rPr>
          <w:noProof/>
        </w:rPr>
        <w:t>. panta [Darbības atļaujas atteikšana, atsaukšana, apturēšana vai ierobežošana] 3. punktā.</w:t>
      </w:r>
    </w:p>
    <w:p w:rsidR="003E022D" w:rsidRDefault="007D19D6">
      <w:pPr>
        <w:pStyle w:val="Article"/>
        <w:rPr>
          <w:noProof/>
        </w:rPr>
      </w:pPr>
      <w:r>
        <w:rPr>
          <w:noProof/>
        </w:rPr>
        <w:t>AIRTRN.7. pants. Darbības plāni, programmas un grafiki</w:t>
      </w:r>
    </w:p>
    <w:p w:rsidR="003E022D" w:rsidRDefault="007D19D6">
      <w:pPr>
        <w:spacing w:after="0"/>
        <w:rPr>
          <w:i/>
          <w:noProof/>
        </w:rPr>
      </w:pPr>
      <w:r>
        <w:rPr>
          <w:noProof/>
        </w:rPr>
        <w:t>Pieprasīt darīt zināmus saskaņā ar šo sadaļu sniedzamu gaisa transporta pakalpojumu darba plānus, programmas v</w:t>
      </w:r>
      <w:r>
        <w:rPr>
          <w:noProof/>
        </w:rPr>
        <w:t xml:space="preserve">ai grafikus Puse var tikai informācijai. Ja kāda no Pusēm tādu ziņošanu pieprasa, tā otras Puses gaisa transporta starpniekiem un gaisa pārvadātājiem mazina paziņošanas prasību un procedūru administratīvo slodzi. </w:t>
      </w:r>
    </w:p>
    <w:p w:rsidR="003E022D" w:rsidRDefault="007D19D6">
      <w:pPr>
        <w:pStyle w:val="Article"/>
        <w:rPr>
          <w:noProof/>
        </w:rPr>
      </w:pPr>
      <w:r>
        <w:rPr>
          <w:noProof/>
        </w:rPr>
        <w:t>AIRTRN.8. pants. Darbības atļaujas atteikš</w:t>
      </w:r>
      <w:r>
        <w:rPr>
          <w:noProof/>
        </w:rPr>
        <w:t>ana, atsaukšana, apturēšana vai ierobežošana</w:t>
      </w:r>
    </w:p>
    <w:p w:rsidR="003E022D" w:rsidRDefault="007D19D6">
      <w:pPr>
        <w:rPr>
          <w:noProof/>
        </w:rPr>
      </w:pPr>
      <w:r>
        <w:rPr>
          <w:noProof/>
        </w:rPr>
        <w:t>1.</w:t>
      </w:r>
      <w:r>
        <w:rPr>
          <w:noProof/>
        </w:rPr>
        <w:tab/>
        <w:t>Savienība var vērsties pret kādu Apvienotās Karalistes gaisa pārvadātāju saskaņā ar šā panta 3., 4. un 5. punktu jebkurā no šiem gadījumiem:</w:t>
      </w:r>
    </w:p>
    <w:p w:rsidR="003E022D" w:rsidRDefault="007D19D6">
      <w:pPr>
        <w:ind w:left="567" w:hanging="567"/>
        <w:rPr>
          <w:noProof/>
        </w:rPr>
      </w:pPr>
      <w:r>
        <w:rPr>
          <w:noProof/>
        </w:rPr>
        <w:t>a)</w:t>
      </w:r>
      <w:r>
        <w:rPr>
          <w:noProof/>
        </w:rPr>
        <w:tab/>
        <w:t>nav izpildīts kāds nosacījums pilnvarā vai atļaujā, kas piešķirt</w:t>
      </w:r>
      <w:r>
        <w:rPr>
          <w:noProof/>
        </w:rPr>
        <w:t>a saskaņā ar AIRTRN.6. panta [Darbības atļaujas un tehniskās atļaujas] 1. punkta a) apakšpunktu;</w:t>
      </w:r>
    </w:p>
    <w:p w:rsidR="003E022D" w:rsidRDefault="007D19D6">
      <w:pPr>
        <w:ind w:left="567" w:hanging="567"/>
        <w:rPr>
          <w:rFonts w:cstheme="minorHAnsi"/>
          <w:noProof/>
        </w:rPr>
      </w:pPr>
      <w:r>
        <w:rPr>
          <w:noProof/>
        </w:rPr>
        <w:t>b)</w:t>
      </w:r>
      <w:r>
        <w:rPr>
          <w:noProof/>
        </w:rPr>
        <w:tab/>
        <w:t>nav izpildīts kāds nosacījums pilnvarā vai atļaujā, kas piešķirta saskaņā ar AIRTRN.6. panta [Darbības atļaujas un tehniskās atļaujas] 2. punktu;</w:t>
      </w:r>
    </w:p>
    <w:p w:rsidR="003E022D" w:rsidRDefault="007D19D6">
      <w:pPr>
        <w:ind w:left="567" w:hanging="567"/>
        <w:rPr>
          <w:noProof/>
        </w:rPr>
      </w:pPr>
      <w:r>
        <w:rPr>
          <w:noProof/>
        </w:rPr>
        <w:t>c)</w:t>
      </w:r>
      <w:r>
        <w:rPr>
          <w:noProof/>
        </w:rPr>
        <w:tab/>
        <w:t>pārvadā</w:t>
      </w:r>
      <w:r>
        <w:rPr>
          <w:noProof/>
        </w:rPr>
        <w:t>tājs nav ievērojis AIRTRN.10. pantā [Atbilstība normatīvajiem aktiem] norādītos normatīvos aktus; vai</w:t>
      </w:r>
    </w:p>
    <w:p w:rsidR="003E022D" w:rsidRDefault="007D19D6">
      <w:pPr>
        <w:ind w:left="567" w:hanging="567"/>
        <w:rPr>
          <w:noProof/>
        </w:rPr>
      </w:pPr>
      <w:r>
        <w:rPr>
          <w:noProof/>
        </w:rPr>
        <w:t>d)</w:t>
      </w:r>
      <w:r>
        <w:rPr>
          <w:noProof/>
        </w:rPr>
        <w:tab/>
        <w:t>tāda rīcība ir vajadzīga, lai novērstu slimību, pasargātu no tās izplatīšanās vai to ierobežotu, vai citādi aizsargātu sabiedrības veselību.</w:t>
      </w:r>
    </w:p>
    <w:p w:rsidR="003E022D" w:rsidRDefault="007D19D6">
      <w:pPr>
        <w:rPr>
          <w:noProof/>
        </w:rPr>
      </w:pPr>
      <w:r>
        <w:rPr>
          <w:noProof/>
        </w:rPr>
        <w:t>2.</w:t>
      </w:r>
      <w:r>
        <w:rPr>
          <w:noProof/>
        </w:rPr>
        <w:tab/>
        <w:t>Apvieno</w:t>
      </w:r>
      <w:r>
        <w:rPr>
          <w:noProof/>
        </w:rPr>
        <w:t>tā Karaliste var vērsties pret Savienības pārvadātāju saskaņā ar šā panta 3., 4. un 5. punktu katrā no šiem gadījumiem:</w:t>
      </w:r>
    </w:p>
    <w:p w:rsidR="003E022D" w:rsidRDefault="007D19D6">
      <w:pPr>
        <w:ind w:left="567" w:hanging="567"/>
        <w:rPr>
          <w:noProof/>
        </w:rPr>
      </w:pPr>
      <w:r>
        <w:rPr>
          <w:noProof/>
        </w:rPr>
        <w:t>a)</w:t>
      </w:r>
      <w:r>
        <w:rPr>
          <w:noProof/>
        </w:rPr>
        <w:tab/>
        <w:t>nav izpildīts kāds no AIRTRN.6. panta [Darbības atļaujas un tehniskās atļaujas] 1. punkta b) apakšpunkta nosacījumiem;</w:t>
      </w:r>
    </w:p>
    <w:p w:rsidR="003E022D" w:rsidRDefault="007D19D6">
      <w:pPr>
        <w:ind w:left="567" w:hanging="567"/>
        <w:rPr>
          <w:noProof/>
        </w:rPr>
      </w:pPr>
      <w:r>
        <w:rPr>
          <w:noProof/>
        </w:rPr>
        <w:t>b)</w:t>
      </w:r>
      <w:r>
        <w:rPr>
          <w:noProof/>
        </w:rPr>
        <w:tab/>
        <w:t>pārvadātājs</w:t>
      </w:r>
      <w:r>
        <w:rPr>
          <w:noProof/>
        </w:rPr>
        <w:t xml:space="preserve"> nav izpildījis šīs sadaļas AIRTRN.10. pantā [Atbilstība normatīvajiem aktiem] norādītos normatīvos aktus; vai</w:t>
      </w:r>
    </w:p>
    <w:p w:rsidR="003E022D" w:rsidRDefault="007D19D6">
      <w:pPr>
        <w:ind w:left="567" w:hanging="567"/>
        <w:rPr>
          <w:noProof/>
        </w:rPr>
      </w:pPr>
      <w:r>
        <w:rPr>
          <w:noProof/>
        </w:rPr>
        <w:t>c)</w:t>
      </w:r>
      <w:r>
        <w:rPr>
          <w:noProof/>
        </w:rPr>
        <w:tab/>
        <w:t>tāda rīcība ir vajadzīga, lai novērstu slimību, pasargātu no tās izplatīšanās vai to ierobežotu, vai citādi aizsargātu sabiedrības veselību.</w:t>
      </w:r>
    </w:p>
    <w:p w:rsidR="003E022D" w:rsidRDefault="007D19D6">
      <w:pPr>
        <w:rPr>
          <w:noProof/>
        </w:rPr>
      </w:pPr>
      <w:bookmarkStart w:id="201" w:name="_Hlk58933299"/>
      <w:r>
        <w:rPr>
          <w:noProof/>
        </w:rPr>
        <w:t>3.</w:t>
      </w:r>
      <w:r>
        <w:rPr>
          <w:noProof/>
        </w:rPr>
        <w:tab/>
        <w:t xml:space="preserve">Ja vienai Pusei ir dibināts iemesls uzskatīt, ka otras Puses pārvadātājs ir kādā no attiecīgi 1. vai 2. punktā norādītajām situācijām un ka šajā sakarā ir jārīkojas, minētā Puse iespējami drīz rakstiski paziņo otrai Pusei plānotās darbības atļaujas vai </w:t>
      </w:r>
      <w:r>
        <w:rPr>
          <w:noProof/>
        </w:rPr>
        <w:t>tehniskās atļaujas atteikšanas, apturēšanas vai ierobežošanas iemeslus un pieprasa konsultēšanos.</w:t>
      </w:r>
    </w:p>
    <w:p w:rsidR="003E022D" w:rsidRDefault="007D19D6">
      <w:pPr>
        <w:rPr>
          <w:noProof/>
          <w:color w:val="000000" w:themeColor="text1"/>
        </w:rPr>
      </w:pPr>
      <w:bookmarkStart w:id="202" w:name="_Hlk58862109"/>
      <w:bookmarkEnd w:id="201"/>
      <w:r>
        <w:rPr>
          <w:noProof/>
        </w:rPr>
        <w:t>4.</w:t>
      </w:r>
      <w:r>
        <w:rPr>
          <w:noProof/>
        </w:rPr>
        <w:tab/>
        <w:t>Konsultēšanos sāk, kolīdz iespējams, bet ne vēlāk kā 30 dienas pēc pieprasījuma saņemšanas. Ja apmierinoša vienošanās netiek panākta trīsdesmit 30 dienās v</w:t>
      </w:r>
      <w:r>
        <w:rPr>
          <w:noProof/>
        </w:rPr>
        <w:t>ai tādā laikposmā no konsultēšanās sākuma, par kādu ir vienošanās, vai netiek veikts korektīvais pasākums, par kuru ir vienošanās, Pusei, kura pieprasījusi konsultēšanos, ir pamats veikt darbības ar nolūku atteikt, atsaukt, apturēt vai ierobežot attiecīgā(</w:t>
      </w:r>
      <w:r>
        <w:rPr>
          <w:noProof/>
        </w:rPr>
        <w:t>-o) gaisa pārvadātāja(-u) darbības atļaujas vai tehniskās atļaujas vai tām izvirzīt nosacījumus, lai nodrošinātu atbilstību AIRTRN.6. panta [Darbības atļaujas un tehniskās atļaujas] un AIRTRN.10. panta [Atbilstība normatīvajiem aktiem] noteikumiem. Ja ir v</w:t>
      </w:r>
      <w:r>
        <w:rPr>
          <w:noProof/>
        </w:rPr>
        <w:t>eikti pasākumi, lai atteiktu, atsauktu, apturētu vai ierobežotu gaisa pārvadātāja darbības atļauju vai tehnisko atļauju, Puse var vērsties šķīrējtiesā saskaņā ar INST.14. pantu [Arbitrāža], pirms tam neizmantojot konsultēšanos saskaņā ar INST.13. pantu [Ko</w:t>
      </w:r>
      <w:r>
        <w:rPr>
          <w:noProof/>
        </w:rPr>
        <w:t>nsultēšanās]. Šķīrējtiesa uzskata šo jautājumu par steidzamu lietu INST.19. panta [Steidzamas procedūras] izpratnē. Pēc Puses pieprasījuma šķīrējtiesa var dot rīkojumu līdz galīgam nolēmumam noteikt pagaidu aizsardzības pasākumus, ieskaitot kādas Puses sas</w:t>
      </w:r>
      <w:r>
        <w:rPr>
          <w:noProof/>
        </w:rPr>
        <w:t>kaņā ar šo pantu noteiktu pasākumu grozīšanu vai apturēšanu.</w:t>
      </w:r>
      <w:bookmarkEnd w:id="202"/>
    </w:p>
    <w:p w:rsidR="003E022D" w:rsidRDefault="007D19D6">
      <w:pPr>
        <w:rPr>
          <w:noProof/>
        </w:rPr>
      </w:pPr>
      <w:r>
        <w:rPr>
          <w:noProof/>
        </w:rPr>
        <w:t>5.</w:t>
      </w:r>
      <w:r>
        <w:rPr>
          <w:noProof/>
        </w:rPr>
        <w:tab/>
        <w:t>Neatkarīgi no 3. un 4. punkta gadījumos, kas minēti 1. punkta c) un d) apakšpunktā un 2. punkta b) un c) apakšpunktā, Puse var veikt tūlītējus vai steidzamus pasākumus, ja to prasa ārkārtas si</w:t>
      </w:r>
      <w:r>
        <w:rPr>
          <w:noProof/>
        </w:rPr>
        <w:t>tuācija vai lai novērstu neatbilstības turpināšanos.  Šajā punktā neatbilstības turpināšanās nozīmē, ka neatbilstības jautājums Pušu kompetento iestāžu starpā jau izvirzīts.</w:t>
      </w:r>
    </w:p>
    <w:p w:rsidR="003E022D" w:rsidRDefault="007D19D6">
      <w:pPr>
        <w:spacing w:after="0"/>
        <w:rPr>
          <w:rFonts w:ascii="Times New Roman" w:hAnsi="Times New Roman" w:cs="Times New Roman"/>
          <w:noProof/>
          <w:sz w:val="24"/>
          <w:szCs w:val="24"/>
        </w:rPr>
      </w:pPr>
      <w:r>
        <w:rPr>
          <w:noProof/>
        </w:rPr>
        <w:t>6.</w:t>
      </w:r>
      <w:r>
        <w:rPr>
          <w:noProof/>
        </w:rPr>
        <w:tab/>
        <w:t>Šis pants neskar pirmā temata XI sadaļas [Vienlīdzīgi apstākļi atvērtai un godī</w:t>
      </w:r>
      <w:r>
        <w:rPr>
          <w:noProof/>
        </w:rPr>
        <w:t xml:space="preserve">gai konkurencei un ilgtspējīgai attīstībai], AIRTRN.11. panta [Nediskriminēšana] 4. punkta, AIRTRN.18. panta [Aviācijas drošums] 4., 6. un 8. punkta un AIRTRN.19. panta [Aviācijas drošība] 12. punkta noteikumus un sestās daļas I sadaļā [Strīdu izšķiršana] </w:t>
      </w:r>
      <w:r>
        <w:rPr>
          <w:noProof/>
        </w:rPr>
        <w:t>noteikto strīdu izšķiršanas procedūru un tās rezultātā noteiktos pasākumus.</w:t>
      </w:r>
    </w:p>
    <w:p w:rsidR="003E022D" w:rsidRDefault="007D19D6">
      <w:pPr>
        <w:pStyle w:val="Article"/>
        <w:rPr>
          <w:noProof/>
        </w:rPr>
      </w:pPr>
      <w:r>
        <w:rPr>
          <w:noProof/>
        </w:rPr>
        <w:t>AIRTRN.9. pants. Gaisa pārvadātāju piederība un vadība</w:t>
      </w:r>
    </w:p>
    <w:p w:rsidR="003E022D" w:rsidRDefault="007D19D6">
      <w:pPr>
        <w:rPr>
          <w:noProof/>
          <w:color w:val="000000" w:themeColor="text1"/>
        </w:rPr>
      </w:pPr>
      <w:r>
        <w:rPr>
          <w:noProof/>
        </w:rPr>
        <w:t xml:space="preserve">Puses atzīst iespējamo ieguvumu no to attiecīgo gaisa pārvadātāju piederības un vadības tālākas liberalizēšanas. Puses </w:t>
      </w:r>
      <w:r>
        <w:rPr>
          <w:noProof/>
        </w:rPr>
        <w:t xml:space="preserve">vienojas Specializētajā gaisa transporta komitejā izskatīt iespējas savstarpēji liberalizēt savu gaisa pārvadātāju piederību un vadību 12 mēnešu laikā pēc šā nolīguma stāšanās spēkā un pēc tam 12 mēnešu laikā kopš šāda pieprasījuma saņemšanas no vienas no </w:t>
      </w:r>
      <w:r>
        <w:rPr>
          <w:noProof/>
        </w:rPr>
        <w:t>Pusēm. Izskatīšanas rezultātā Puses var nolemt šo sadaļu grozīt.</w:t>
      </w:r>
    </w:p>
    <w:p w:rsidR="003E022D" w:rsidRDefault="007D19D6">
      <w:pPr>
        <w:pStyle w:val="Article"/>
        <w:rPr>
          <w:noProof/>
        </w:rPr>
      </w:pPr>
      <w:r>
        <w:rPr>
          <w:noProof/>
        </w:rPr>
        <w:t>AIRTRN.10. pants. Atbilstība normatīvajiem aktiem</w:t>
      </w:r>
    </w:p>
    <w:p w:rsidR="003E022D" w:rsidRDefault="007D19D6">
      <w:pPr>
        <w:spacing w:after="0"/>
        <w:rPr>
          <w:noProof/>
          <w:color w:val="4F81BD" w:themeColor="accent1"/>
        </w:rPr>
      </w:pPr>
      <w:r>
        <w:rPr>
          <w:noProof/>
        </w:rPr>
        <w:t>1.</w:t>
      </w:r>
      <w:r>
        <w:rPr>
          <w:noProof/>
        </w:rPr>
        <w:tab/>
        <w:t xml:space="preserve">Puses normatīvos aktus par starptautiskajā gaisa transportā iesaistītu gaisa kuģu ielaišanu, darbību tās teritorijā vai izlidošanu no tās </w:t>
      </w:r>
      <w:r>
        <w:rPr>
          <w:noProof/>
        </w:rPr>
        <w:t>otras Puses gaisa pārvadātāji attiecīgi ievēro, ielidojot tās teritorijā, tajā darbojoties vai izlidojot no tās.</w:t>
      </w:r>
    </w:p>
    <w:p w:rsidR="003E022D" w:rsidRDefault="003E022D">
      <w:pPr>
        <w:spacing w:after="0"/>
        <w:rPr>
          <w:noProof/>
        </w:rPr>
      </w:pPr>
    </w:p>
    <w:p w:rsidR="003E022D" w:rsidRDefault="007D19D6">
      <w:pPr>
        <w:spacing w:after="0"/>
        <w:rPr>
          <w:noProof/>
          <w:color w:val="4F81BD" w:themeColor="accent1"/>
        </w:rPr>
      </w:pPr>
      <w:r>
        <w:rPr>
          <w:noProof/>
        </w:rPr>
        <w:t>2.</w:t>
      </w:r>
      <w:r>
        <w:rPr>
          <w:noProof/>
        </w:rPr>
        <w:tab/>
        <w:t>Puses normatīvos aktus par gaisa kuģu pasažieru, apkalpes, bagāžas, kravas vai pasta ielaišanu, darbību tās teritorijā vai aizvešanu no tās</w:t>
      </w:r>
      <w:r>
        <w:rPr>
          <w:noProof/>
        </w:rPr>
        <w:t xml:space="preserve"> (ieskaitot noteikumus par iebraukšanu, formalitātēm, imigrāciju, pasēm, muitu un karantīnu vai pasta noteikumus pasta gadījumā) attiecībā uz otras Puses gaisa pārvadātāju vestiem pasažieriem, apkalpi, bagāžu, kravu vai pastu ievēro, attiecīgi ierodoties o</w:t>
      </w:r>
      <w:r>
        <w:rPr>
          <w:noProof/>
        </w:rPr>
        <w:t xml:space="preserve">tras Puses teritorijā, tajā darbojoties vai to pametot. </w:t>
      </w:r>
    </w:p>
    <w:p w:rsidR="003E022D" w:rsidRDefault="003E022D">
      <w:pPr>
        <w:spacing w:after="0"/>
        <w:rPr>
          <w:noProof/>
        </w:rPr>
      </w:pPr>
    </w:p>
    <w:p w:rsidR="003E022D" w:rsidRDefault="007D19D6">
      <w:pPr>
        <w:rPr>
          <w:noProof/>
          <w:u w:val="single"/>
        </w:rPr>
      </w:pPr>
      <w:r>
        <w:rPr>
          <w:noProof/>
        </w:rPr>
        <w:t>3.</w:t>
      </w:r>
      <w:r>
        <w:rPr>
          <w:noProof/>
        </w:rPr>
        <w:tab/>
        <w:t>Puses savā attiecīgajā teritorijā atļauj otras Puses gaisa pārvadātājiem veikt piemērotus pasākumus, kuru nolūks ir nodrošināt, ka tiek pārvadātas tikai personas, kurām ir ceļošanas dokumenti, ka</w:t>
      </w:r>
      <w:r>
        <w:rPr>
          <w:noProof/>
        </w:rPr>
        <w:t>s vajadzīgi, lai ielidotu vai atrastos tranzītā otras Puses teritorijā.</w:t>
      </w:r>
    </w:p>
    <w:p w:rsidR="003E022D" w:rsidRDefault="007D19D6">
      <w:pPr>
        <w:spacing w:after="0"/>
        <w:jc w:val="center"/>
        <w:rPr>
          <w:iCs/>
          <w:noProof/>
        </w:rPr>
      </w:pPr>
      <w:r>
        <w:rPr>
          <w:noProof/>
        </w:rPr>
        <w:t>AIRTRN.11. pants. Nediskriminēšana</w:t>
      </w:r>
    </w:p>
    <w:p w:rsidR="003E022D" w:rsidRDefault="003E022D">
      <w:pPr>
        <w:spacing w:after="0"/>
        <w:rPr>
          <w:noProof/>
        </w:rPr>
      </w:pPr>
    </w:p>
    <w:p w:rsidR="003E022D" w:rsidRDefault="007D19D6">
      <w:pPr>
        <w:spacing w:after="0"/>
        <w:rPr>
          <w:noProof/>
        </w:rPr>
      </w:pPr>
      <w:r>
        <w:rPr>
          <w:noProof/>
        </w:rPr>
        <w:t>1.</w:t>
      </w:r>
      <w:r>
        <w:rPr>
          <w:noProof/>
        </w:rPr>
        <w:tab/>
        <w:t>Neskarot pirmā temata XI sadaļu [Vienlīdzīgi apstākļi atvērtai un godīgai konkurencei un ilgtspējīgai attīstībai], Puses savās attiecīgajās juris</w:t>
      </w:r>
      <w:r>
        <w:rPr>
          <w:noProof/>
        </w:rPr>
        <w:t>dikcijās izskauž visu veidu diskrimināciju, kas varētu nelabvēlīgi ietekmēt otras Puses gaisa pārvadātāju godīgas un vienlīdzīgas iespējas konkurēt šajā sadaļā paredzēto tiesību īstenošanā.</w:t>
      </w:r>
    </w:p>
    <w:p w:rsidR="003E022D" w:rsidRDefault="003E022D">
      <w:pPr>
        <w:spacing w:after="0"/>
        <w:rPr>
          <w:iCs/>
          <w:noProof/>
        </w:rPr>
      </w:pPr>
    </w:p>
    <w:p w:rsidR="003E022D" w:rsidRDefault="007D19D6">
      <w:pPr>
        <w:spacing w:after="0"/>
        <w:rPr>
          <w:iCs/>
          <w:noProof/>
        </w:rPr>
      </w:pPr>
      <w:r>
        <w:rPr>
          <w:noProof/>
        </w:rPr>
        <w:t>2.</w:t>
      </w:r>
      <w:r>
        <w:rPr>
          <w:noProof/>
        </w:rPr>
        <w:tab/>
        <w:t>Puse (“ierosinātāja Puse”) var rīkoties saskaņā ar 3.–6. punkt</w:t>
      </w:r>
      <w:r>
        <w:rPr>
          <w:noProof/>
        </w:rPr>
        <w:t>u, ja tā uzskata, ka tās gaisa pārvadātāju godīgās un vienlīdzīgās iespējas konkurēt šajā sadaļā paredzēto tiesību īstenošanā nelabvēlīgi ietekmē ar 1. punktu aizliegtā diskriminācija.</w:t>
      </w:r>
    </w:p>
    <w:p w:rsidR="003E022D" w:rsidRDefault="003E022D">
      <w:pPr>
        <w:spacing w:after="0"/>
        <w:rPr>
          <w:iCs/>
          <w:noProof/>
        </w:rPr>
      </w:pPr>
    </w:p>
    <w:p w:rsidR="003E022D" w:rsidRDefault="007D19D6">
      <w:pPr>
        <w:spacing w:after="0"/>
        <w:rPr>
          <w:iCs/>
          <w:noProof/>
        </w:rPr>
      </w:pPr>
      <w:r>
        <w:rPr>
          <w:noProof/>
        </w:rPr>
        <w:t>3.</w:t>
      </w:r>
      <w:r>
        <w:rPr>
          <w:noProof/>
        </w:rPr>
        <w:tab/>
        <w:t>Ierosinātāja Puse iesniedz rakstisku pieprasījumu konsultēties ar o</w:t>
      </w:r>
      <w:r>
        <w:rPr>
          <w:noProof/>
        </w:rPr>
        <w:t>tru Pusi (“atbildētāja Puse”). Konsultēšanās sākas ne vēlāk kā 30 dienas pēc pieprasījuma saņemšanas, ja Puses nav vienojušās citādi.</w:t>
      </w:r>
    </w:p>
    <w:p w:rsidR="003E022D" w:rsidRDefault="003E022D">
      <w:pPr>
        <w:spacing w:after="0"/>
        <w:rPr>
          <w:iCs/>
          <w:noProof/>
        </w:rPr>
      </w:pPr>
    </w:p>
    <w:p w:rsidR="003E022D" w:rsidRDefault="007D19D6">
      <w:pPr>
        <w:spacing w:after="0"/>
        <w:rPr>
          <w:noProof/>
        </w:rPr>
      </w:pPr>
      <w:bookmarkStart w:id="203" w:name="_Hlk58862146"/>
      <w:r>
        <w:rPr>
          <w:noProof/>
        </w:rPr>
        <w:t>4.</w:t>
      </w:r>
      <w:r>
        <w:rPr>
          <w:noProof/>
        </w:rPr>
        <w:tab/>
        <w:t>Ja ierosinātāja Puse un atbildētāja Puse nespēj panākt vienošanos par jautājumu 60 dienu laikā pēc 3. punktā minētā pi</w:t>
      </w:r>
      <w:r>
        <w:rPr>
          <w:noProof/>
        </w:rPr>
        <w:t>eprasījuma konsultēties saņemšanas, ierosinātāja Puse var veikt pasākumus pret visiem tiem gaisa pārvadātājiem vai to daļu, kuri guvuši labumu no 1. punktā aizliegtās diskriminācijas, tostarp pasākumus, ar kuriem atsaka, atsauc, aptur attiecīgo gaisa pārva</w:t>
      </w:r>
      <w:r>
        <w:rPr>
          <w:noProof/>
        </w:rPr>
        <w:t>dātāju darbības atļaujas vai tehniskās atļaujas, piemēro tām nosacījumus vai ierobežo tās.</w:t>
      </w:r>
    </w:p>
    <w:bookmarkEnd w:id="203"/>
    <w:p w:rsidR="003E022D" w:rsidRDefault="003E022D">
      <w:pPr>
        <w:spacing w:after="0"/>
        <w:rPr>
          <w:noProof/>
        </w:rPr>
      </w:pPr>
    </w:p>
    <w:p w:rsidR="003E022D" w:rsidRDefault="007D19D6">
      <w:pPr>
        <w:spacing w:after="0"/>
        <w:rPr>
          <w:noProof/>
          <w:color w:val="000000" w:themeColor="text1"/>
        </w:rPr>
      </w:pPr>
      <w:r>
        <w:rPr>
          <w:noProof/>
          <w:color w:val="000000" w:themeColor="text1"/>
        </w:rPr>
        <w:t>5.</w:t>
      </w:r>
      <w:r>
        <w:rPr>
          <w:noProof/>
        </w:rPr>
        <w:tab/>
      </w:r>
      <w:r>
        <w:rPr>
          <w:noProof/>
          <w:color w:val="000000" w:themeColor="text1"/>
        </w:rPr>
        <w:t>Saskaņā ar 4. punktu veiktie pasākumi ir piemēroti, samērīgi un ierobežoti līdz apjomam un laikam, kas ir obligāti nepieciešams nolūkā mazināt kaitējumu ierosinā</w:t>
      </w:r>
      <w:r>
        <w:rPr>
          <w:noProof/>
          <w:color w:val="000000" w:themeColor="text1"/>
        </w:rPr>
        <w:t>tājas Puses gaisa pārvadātājiem un mazināt nepamatoto priekšrocību, ko ir ieguvuši tie gaisa pārvadātāji, pret kuriem minētos pasākumus vērš.</w:t>
      </w:r>
    </w:p>
    <w:p w:rsidR="003E022D" w:rsidRDefault="003E022D">
      <w:pPr>
        <w:spacing w:after="0"/>
        <w:rPr>
          <w:noProof/>
        </w:rPr>
      </w:pPr>
    </w:p>
    <w:p w:rsidR="003E022D" w:rsidRDefault="007D19D6">
      <w:pPr>
        <w:rPr>
          <w:noProof/>
        </w:rPr>
      </w:pPr>
      <w:r>
        <w:rPr>
          <w:noProof/>
        </w:rPr>
        <w:t>6.</w:t>
      </w:r>
      <w:r>
        <w:rPr>
          <w:noProof/>
        </w:rPr>
        <w:tab/>
        <w:t xml:space="preserve">Ja konsultēšanās nav atrisinājusi jautājumu vai ja ir veikti pasākumi saskaņā ar 4. punktu, Puse var vērsties </w:t>
      </w:r>
      <w:r>
        <w:rPr>
          <w:noProof/>
        </w:rPr>
        <w:t>šķīrējtiesā saskaņā ar INST.14. pantu [Arbitrāža], iepriekš neizmantojot konsultēšanos saskaņā ar INST.13. pantu [Konsultēšanās]. Šķīrējtiesa uzskata šo jautājumu par steidzamu lietu INST.19. panta [Steidzamas procedūras] izpratnē. Pēc Puses pieprasījuma š</w:t>
      </w:r>
      <w:r>
        <w:rPr>
          <w:noProof/>
        </w:rPr>
        <w:t>ķīrējtiesa var dot rīkojumu līdz galīgam nolēmumam noteikt pagaidu aizsardzības pasākumus, ieskaitot kādas Puses saskaņā ar šo pantu noteiktu pasākumu grozīšanu vai apturēšanu.</w:t>
      </w:r>
    </w:p>
    <w:p w:rsidR="003E022D" w:rsidRDefault="007D19D6">
      <w:pPr>
        <w:rPr>
          <w:noProof/>
        </w:rPr>
      </w:pPr>
      <w:r>
        <w:rPr>
          <w:noProof/>
        </w:rPr>
        <w:t>7. Neatkarīgi no 2. punkta Puses neveic darbības saskaņā ar 3.–6. punktu saistī</w:t>
      </w:r>
      <w:r>
        <w:rPr>
          <w:noProof/>
        </w:rPr>
        <w:t>bā ar rīcību, kas ietilpst pirmā temata XI sadaļas [Vienlīdzīgi apstākļi atvērtai un godīgai konkurencei un ilgtspējīgai attīstībai] darbības jomā.</w:t>
      </w:r>
    </w:p>
    <w:p w:rsidR="003E022D" w:rsidRDefault="007D19D6">
      <w:pPr>
        <w:pStyle w:val="Article"/>
        <w:rPr>
          <w:noProof/>
        </w:rPr>
      </w:pPr>
      <w:r>
        <w:rPr>
          <w:noProof/>
        </w:rPr>
        <w:t>AIRTRN.12. pants. Saimnieciskā darbība</w:t>
      </w:r>
    </w:p>
    <w:p w:rsidR="003E022D" w:rsidRDefault="007D19D6">
      <w:pPr>
        <w:rPr>
          <w:noProof/>
        </w:rPr>
      </w:pPr>
      <w:r>
        <w:rPr>
          <w:noProof/>
        </w:rPr>
        <w:t>1.</w:t>
      </w:r>
      <w:r>
        <w:rPr>
          <w:noProof/>
        </w:rPr>
        <w:tab/>
        <w:t>Puses ir vienisprātis, ka šķēršļi pārvadātāju saimnieciskajai darb</w:t>
      </w:r>
      <w:r>
        <w:rPr>
          <w:noProof/>
        </w:rPr>
        <w:t>ībai mazina ieguvumu, ko nosaka šī sadaļa. Puses vienojas sadarboties, lai noņemtu šķēršļus abu Pušu pārvadātāju saimnieciskajai darbībai, kad tie var traucēt komercpārvadājumiem, kropļot konkurenci vai ietekmēt vienādās iespējas konkurēt.</w:t>
      </w:r>
    </w:p>
    <w:p w:rsidR="003E022D" w:rsidRDefault="007D19D6">
      <w:pPr>
        <w:rPr>
          <w:noProof/>
        </w:rPr>
      </w:pPr>
      <w:r>
        <w:rPr>
          <w:noProof/>
        </w:rPr>
        <w:t>2.</w:t>
      </w:r>
      <w:r>
        <w:rPr>
          <w:noProof/>
        </w:rPr>
        <w:tab/>
        <w:t xml:space="preserve">Specializētā </w:t>
      </w:r>
      <w:r>
        <w:rPr>
          <w:noProof/>
        </w:rPr>
        <w:t>gaisa transporta komiteja uzrauga, kā veicas pārvadātāju saimnieciskās darbības šķēršļu faktiskā noņemšana.</w:t>
      </w:r>
    </w:p>
    <w:p w:rsidR="003E022D" w:rsidRDefault="007D19D6">
      <w:pPr>
        <w:pStyle w:val="Article"/>
        <w:rPr>
          <w:noProof/>
        </w:rPr>
      </w:pPr>
      <w:r>
        <w:rPr>
          <w:noProof/>
        </w:rPr>
        <w:t>AIRTRN.13. pants. Komercpārvadājumi</w:t>
      </w:r>
    </w:p>
    <w:p w:rsidR="003E022D" w:rsidRDefault="007D19D6">
      <w:pPr>
        <w:rPr>
          <w:noProof/>
        </w:rPr>
      </w:pPr>
      <w:r>
        <w:rPr>
          <w:noProof/>
        </w:rPr>
        <w:t>1.</w:t>
      </w:r>
      <w:r>
        <w:rPr>
          <w:noProof/>
        </w:rPr>
        <w:tab/>
        <w:t>Puses viena otrai piešķir 2.–7. punktā noteiktās tiesības. Šo tiesību izlietošanā nevienas Puses pārvadātājie</w:t>
      </w:r>
      <w:r>
        <w:rPr>
          <w:noProof/>
        </w:rPr>
        <w:t>m netiek prasīts saglabāt vietēju sponsoru.</w:t>
      </w:r>
    </w:p>
    <w:p w:rsidR="003E022D" w:rsidRDefault="007D19D6">
      <w:pPr>
        <w:rPr>
          <w:noProof/>
        </w:rPr>
      </w:pPr>
      <w:r>
        <w:rPr>
          <w:noProof/>
        </w:rPr>
        <w:t>2.</w:t>
      </w:r>
      <w:r>
        <w:rPr>
          <w:noProof/>
        </w:rPr>
        <w:tab/>
        <w:t>Par pārvadātāju pārstāvjiem:</w:t>
      </w:r>
    </w:p>
    <w:p w:rsidR="003E022D" w:rsidRDefault="007D19D6">
      <w:pPr>
        <w:ind w:left="567" w:hanging="567"/>
        <w:rPr>
          <w:noProof/>
        </w:rPr>
      </w:pPr>
      <w:r>
        <w:rPr>
          <w:noProof/>
        </w:rPr>
        <w:t>a) biroju un objektu izveidošanu, ko vienas Puses pārvadātāji veic otras Puses teritorijā, cik tā nepieciešama pakalpojumu sniegšanai saskaņā ar šo sadaļu, atļauj bez ierobežojumie</w:t>
      </w:r>
      <w:r>
        <w:rPr>
          <w:noProof/>
        </w:rPr>
        <w:t>m un diskriminācijas;</w:t>
      </w:r>
    </w:p>
    <w:p w:rsidR="003E022D" w:rsidRDefault="007D19D6">
      <w:pPr>
        <w:ind w:left="567" w:hanging="567"/>
        <w:rPr>
          <w:noProof/>
        </w:rPr>
      </w:pPr>
      <w:r>
        <w:rPr>
          <w:noProof/>
        </w:rPr>
        <w:t>b) neskarot drošuma un drošības noteikumus, ja tādi biroji un objekti atrodas lidostā, uz tiem var attiekties vietas pieejamības ierobežojumi;</w:t>
      </w:r>
    </w:p>
    <w:p w:rsidR="003E022D" w:rsidRDefault="007D19D6">
      <w:pPr>
        <w:ind w:left="567" w:hanging="567"/>
        <w:rPr>
          <w:noProof/>
        </w:rPr>
      </w:pPr>
      <w:r>
        <w:rPr>
          <w:noProof/>
        </w:rPr>
        <w:t>c)</w:t>
      </w:r>
      <w:r>
        <w:rPr>
          <w:noProof/>
        </w:rPr>
        <w:tab/>
        <w:t>katra Puse saskaņā ar saviem normatīvajiem aktiem par iebraukšanu, pastāvīgu uzturēšanos</w:t>
      </w:r>
      <w:r>
        <w:rPr>
          <w:noProof/>
        </w:rPr>
        <w:t xml:space="preserve"> un nodarbināšanu ļauj otras Puses pārvadātājiem atļaujas devējas Puses teritorijā ievest un uzturēt savu pārvaldības, pārdošanas, tehnisko, operatīvo un citādu speciālo personālu, ko pārvadātājs dibināti uzskata par nepieciešamu gaisa transporta pakalpoju</w:t>
      </w:r>
      <w:r>
        <w:rPr>
          <w:noProof/>
        </w:rPr>
        <w:t xml:space="preserve">mu sniegšanai saskaņā ar šo sadaļu. </w:t>
      </w:r>
      <w:bookmarkStart w:id="204" w:name="_Hlk58948331"/>
      <w:bookmarkEnd w:id="204"/>
      <w:r>
        <w:rPr>
          <w:noProof/>
        </w:rPr>
        <w:t>Ja šajā punktā minētajam personālam, ieskaitot personālu, kas veic noteiktus pagaidu pienākumus, ir vajadzīgas darba atļaujas, Puses atļauju pieprasījumus izskata ātri, ievērojot attiecīgos normatīvos aktus.</w:t>
      </w:r>
    </w:p>
    <w:p w:rsidR="003E022D" w:rsidRDefault="007D19D6">
      <w:pPr>
        <w:rPr>
          <w:noProof/>
        </w:rPr>
      </w:pPr>
      <w:r>
        <w:rPr>
          <w:noProof/>
        </w:rPr>
        <w:t>3.</w:t>
      </w:r>
      <w:r>
        <w:rPr>
          <w:noProof/>
        </w:rPr>
        <w:tab/>
        <w:t>Apkalpoša</w:t>
      </w:r>
      <w:r>
        <w:rPr>
          <w:noProof/>
        </w:rPr>
        <w:t>nā uz zemes:</w:t>
      </w:r>
    </w:p>
    <w:p w:rsidR="003E022D" w:rsidRDefault="007D19D6">
      <w:pPr>
        <w:ind w:left="567" w:hanging="567"/>
        <w:rPr>
          <w:noProof/>
        </w:rPr>
      </w:pPr>
      <w:r>
        <w:rPr>
          <w:noProof/>
        </w:rPr>
        <w:t>a) katra Puse atļauj otras Puses pārvadātājiem veikt pašpakalpojumus tās teritorijā vienīgi ar tādiem ierobežojumiem, kas pamatoti ar drošuma vai drošības apsvērumiem vai citādi izriet no fiziskiem vai ekspluatācijas ierobežojumiem;</w:t>
      </w:r>
    </w:p>
    <w:p w:rsidR="003E022D" w:rsidRDefault="007D19D6">
      <w:pPr>
        <w:ind w:left="567" w:hanging="567"/>
        <w:rPr>
          <w:noProof/>
        </w:rPr>
      </w:pPr>
      <w:r>
        <w:rPr>
          <w:noProof/>
        </w:rPr>
        <w:t>b) Puse ne</w:t>
      </w:r>
      <w:r>
        <w:rPr>
          <w:noProof/>
        </w:rPr>
        <w:t>liek otras Puses pārvadātājiem izvēlēties vienu vai vairākus apkalpošanas uz zemes pakalpojumu sniedzējus no tiem, kas darbojas tirgū saskaņā ar tās Puses normatīvajiem aktiem, kurā pakalpojumi tiek sniegti;</w:t>
      </w:r>
    </w:p>
    <w:p w:rsidR="003E022D" w:rsidRDefault="007D19D6">
      <w:pPr>
        <w:ind w:left="567" w:hanging="567"/>
        <w:rPr>
          <w:noProof/>
        </w:rPr>
      </w:pPr>
      <w:r>
        <w:rPr>
          <w:noProof/>
        </w:rPr>
        <w:t>c)</w:t>
      </w:r>
      <w:r>
        <w:rPr>
          <w:noProof/>
        </w:rPr>
        <w:tab/>
        <w:t xml:space="preserve">neskarot a) apakšpunktu, ja Puses normatīvie </w:t>
      </w:r>
      <w:r>
        <w:rPr>
          <w:noProof/>
        </w:rPr>
        <w:t>akti limitē vai kādā veidā ierobežo brīvu konkurenci starp apkalpošanas uz zemes pakalpojumu sniedzējiem, Puse nodrošina, ka otras Puses pārvadātājiem ir pieejami visi nepieciešamie apkalpošanas uz zemes pakalpojumi un tos sniedz ar noteikumiem, kas nav ma</w:t>
      </w:r>
      <w:r>
        <w:rPr>
          <w:noProof/>
        </w:rPr>
        <w:t>zāk izdevīgi par noteikumiem, ar kuriem tos sniedz citiem pārvadātājiem.</w:t>
      </w:r>
    </w:p>
    <w:p w:rsidR="003E022D" w:rsidRDefault="007D19D6">
      <w:pPr>
        <w:ind w:left="720" w:hanging="720"/>
        <w:rPr>
          <w:noProof/>
          <w:u w:val="single"/>
        </w:rPr>
      </w:pPr>
      <w:r>
        <w:rPr>
          <w:noProof/>
        </w:rPr>
        <w:t>4.</w:t>
      </w:r>
      <w:r>
        <w:rPr>
          <w:noProof/>
        </w:rPr>
        <w:tab/>
        <w:t>Laika nišu piešķiršanā katra Puse nodrošina, ka tās noteikumi, vadlīnijas un procedūras, kas skar laika nišu piešķiršanu lidostās tās teritorijā, tiek piemērotas pārredzami, efektī</w:t>
      </w:r>
      <w:r>
        <w:rPr>
          <w:noProof/>
        </w:rPr>
        <w:t>vi, nediskriminējoši un laicīgi.</w:t>
      </w:r>
    </w:p>
    <w:p w:rsidR="003E022D" w:rsidRDefault="007D19D6">
      <w:pPr>
        <w:rPr>
          <w:noProof/>
        </w:rPr>
      </w:pPr>
      <w:r>
        <w:rPr>
          <w:noProof/>
        </w:rPr>
        <w:t>5.</w:t>
      </w:r>
      <w:r>
        <w:rPr>
          <w:noProof/>
        </w:rPr>
        <w:tab/>
        <w:t xml:space="preserve">Par vietējiem izdevumiem un līdzekļu un peļņas pārvedumiem: </w:t>
      </w:r>
    </w:p>
    <w:p w:rsidR="003E022D" w:rsidRDefault="007D19D6">
      <w:pPr>
        <w:ind w:left="567" w:hanging="567"/>
        <w:rPr>
          <w:noProof/>
          <w:color w:val="FF0000"/>
        </w:rPr>
      </w:pPr>
      <w:r>
        <w:rPr>
          <w:noProof/>
        </w:rPr>
        <w:t>a)</w:t>
      </w:r>
      <w:r>
        <w:rPr>
          <w:noProof/>
        </w:rPr>
        <w:tab/>
        <w:t>šajā sadaļā regulētajiem jautājumiem piemēro pirmā temata IV sadaļas [Kapitāla plūsma, maksājumi, pārvedumi un pagaidu aizsardzības pasākumi] noteikumus, ne</w:t>
      </w:r>
      <w:r>
        <w:rPr>
          <w:noProof/>
        </w:rPr>
        <w:t>skarot AIRTRN.6. pantu [Darbības atļaujas un tehniskās atļaujas];</w:t>
      </w:r>
    </w:p>
    <w:p w:rsidR="003E022D" w:rsidRDefault="007D19D6">
      <w:pPr>
        <w:ind w:left="567" w:hanging="567"/>
        <w:rPr>
          <w:noProof/>
        </w:rPr>
      </w:pPr>
      <w:r>
        <w:rPr>
          <w:noProof/>
        </w:rPr>
        <w:t>b)</w:t>
      </w:r>
      <w:r>
        <w:rPr>
          <w:noProof/>
        </w:rPr>
        <w:tab/>
        <w:t>Puses viena otrai piešķir c)–e) apakšpunktā noteikto labumu;</w:t>
      </w:r>
    </w:p>
    <w:p w:rsidR="003E022D" w:rsidRDefault="007D19D6">
      <w:pPr>
        <w:ind w:left="567" w:hanging="567"/>
        <w:rPr>
          <w:noProof/>
        </w:rPr>
      </w:pPr>
      <w:r>
        <w:rPr>
          <w:noProof/>
        </w:rPr>
        <w:t>c) Pušu pārvadātāju veiktā transporta un radniecīgo pakalpojumu pārdošana un pirkšana pēc pārvadātāju ieskatiem ir atļauta ste</w:t>
      </w:r>
      <w:r>
        <w:rPr>
          <w:noProof/>
        </w:rPr>
        <w:t>rliņu mārciņās, ja pārdošana vai pirkšana notiek Apvienotās Karalistes teritorijā, un, ja pārdošana vai pirkšana notiek kādas dalībvalsts teritorijā, minētās dalībvalsts valūtā;</w:t>
      </w:r>
    </w:p>
    <w:p w:rsidR="003E022D" w:rsidRDefault="007D19D6">
      <w:pPr>
        <w:ind w:left="567" w:hanging="567"/>
        <w:rPr>
          <w:noProof/>
        </w:rPr>
      </w:pPr>
      <w:r>
        <w:rPr>
          <w:noProof/>
        </w:rPr>
        <w:t xml:space="preserve">d) katras Puses pārvadātājiem ir atļauts vietējos izdevumus pēc saviem </w:t>
      </w:r>
      <w:r>
        <w:rPr>
          <w:noProof/>
        </w:rPr>
        <w:t>ieskatiem izdarīt vietējā valūtā;</w:t>
      </w:r>
    </w:p>
    <w:p w:rsidR="003E022D" w:rsidRDefault="007D19D6">
      <w:pPr>
        <w:spacing w:after="0"/>
        <w:ind w:left="567" w:hanging="567"/>
        <w:rPr>
          <w:noProof/>
        </w:rPr>
      </w:pPr>
      <w:r>
        <w:rPr>
          <w:noProof/>
        </w:rPr>
        <w:t>e) katras Puses pārvadātājiem ir atļauts pēc pieprasījuma jebkurā brīdī jebkādā veidā uz to izraudzītu valsti pārvest otras Puses teritorijā no gaisa transporta pakalpojumu pārdošanas un radniecīgām ar gaisa transportu tie</w:t>
      </w:r>
      <w:r>
        <w:rPr>
          <w:noProof/>
        </w:rPr>
        <w:t xml:space="preserve">ši saistītām darbībām gūtus ieņēmumus, kas pārsniedz vietēji izmaksātās summas. Tūlītēja konvertācija un pārvešana tiek atļauta bez ierobežojumiem un nodokļiem pēc valūtas tirgus kursa, ko kārtējiem darījumiem un pārvedumiem piemēro dienā, kad pārvadātājs </w:t>
      </w:r>
      <w:r>
        <w:rPr>
          <w:noProof/>
        </w:rPr>
        <w:t xml:space="preserve">iesniedz sākotnējo pārskaitījuma pieprasījumu, un uz tiem neattiecas nekāda maksa, izņemot tādu, kādu parasti bankas nosaka par tādu konvertēšanu un pārvešanu. </w:t>
      </w:r>
    </w:p>
    <w:p w:rsidR="003E022D" w:rsidRDefault="003E022D">
      <w:pPr>
        <w:spacing w:after="0"/>
        <w:ind w:left="720" w:hanging="720"/>
        <w:rPr>
          <w:noProof/>
        </w:rPr>
      </w:pPr>
    </w:p>
    <w:p w:rsidR="003E022D" w:rsidRDefault="007D19D6">
      <w:pPr>
        <w:ind w:left="720" w:hanging="720"/>
        <w:rPr>
          <w:noProof/>
        </w:rPr>
      </w:pPr>
      <w:r>
        <w:rPr>
          <w:noProof/>
        </w:rPr>
        <w:t>6.</w:t>
      </w:r>
      <w:r>
        <w:rPr>
          <w:noProof/>
        </w:rPr>
        <w:tab/>
        <w:t>Par intermodālajiem pārvadājumiem:</w:t>
      </w:r>
    </w:p>
    <w:p w:rsidR="003E022D" w:rsidRDefault="007D19D6">
      <w:pPr>
        <w:ind w:left="567" w:hanging="567"/>
        <w:rPr>
          <w:noProof/>
        </w:rPr>
      </w:pPr>
      <w:r>
        <w:rPr>
          <w:noProof/>
        </w:rPr>
        <w:t>a)</w:t>
      </w:r>
      <w:r>
        <w:rPr>
          <w:noProof/>
        </w:rPr>
        <w:tab/>
        <w:t>pasažieru pārvadājumos Puses uz zemes transporta paka</w:t>
      </w:r>
      <w:r>
        <w:rPr>
          <w:noProof/>
        </w:rPr>
        <w:t>lpojumu sniedzējiem neattiecina normatīvos aktus, kas reglamentē gaisa transportu, ja pamats ir vienīgi tāds, ka zemes transportu pārvadātājs piedāvā savā vārdā;</w:t>
      </w:r>
    </w:p>
    <w:p w:rsidR="003E022D" w:rsidRDefault="007D19D6">
      <w:pPr>
        <w:ind w:left="567" w:hanging="567"/>
        <w:rPr>
          <w:noProof/>
        </w:rPr>
      </w:pPr>
      <w:r>
        <w:rPr>
          <w:noProof/>
        </w:rPr>
        <w:t>b)</w:t>
      </w:r>
      <w:r>
        <w:rPr>
          <w:noProof/>
        </w:rPr>
        <w:tab/>
        <w:t>ievērojot pirmā temata II sadaļā [PAKALPOJUMI UN INVESTĪCIJAS] un tās pielikumos, kā arī tr</w:t>
      </w:r>
      <w:r>
        <w:rPr>
          <w:noProof/>
        </w:rPr>
        <w:t>ešā temata I sadaļā [Kravu autopārvadājumi] un tās pielikumos izklāstītos nosacījumus un kvalifikācijas, katras Puses gaisa pārvadātājiem tiek atļauts bez ierobežojumiem starptautiskajā gaisa transportā izmantot zemes transportu kravu pārvadāšanai uz punkt</w:t>
      </w:r>
      <w:r>
        <w:rPr>
          <w:noProof/>
        </w:rPr>
        <w:t xml:space="preserve">iem un no punktiem Pušu teritorijā vai trešās valstīs, arī pārvadāšanai uz visām lidostām ar muitošanas telpām un no tām, attiecīgā gadījumā ietverot arī tiesības pārvadāt kravas, kas saskaņā ar piemērojamiem normatīvajiem aktiem ir muitas kontrolē. Tādām </w:t>
      </w:r>
      <w:r>
        <w:rPr>
          <w:noProof/>
        </w:rPr>
        <w:t>kravām, vai tās pārvadā ar zemes transportu vai gaisa transportu, lidostā ir pieejama muitošana un muitas aprīkojums. Pārvadātāji drīkst izvēlēties paši veikt zemes transporta pārvadājumus vai tos, ieskaitot kodu koplietošanu, nodrošināt, nosakot kārtību k</w:t>
      </w:r>
      <w:r>
        <w:rPr>
          <w:noProof/>
        </w:rPr>
        <w:t>opā ar citiem zemes transporta pakalpojumu sniedzējiem, kā arī izmantot zemes transporta pakalpojumus, ko sniedz citi gaisa transporta pakalpojumu sniedzēji un netieši kravu gaisa transporta pakalpojumu sniedzēji. Tādus intermodālus kravu transporta pakalp</w:t>
      </w:r>
      <w:r>
        <w:rPr>
          <w:noProof/>
        </w:rPr>
        <w:t xml:space="preserve">ojumus var piedāvāt kā tiešu jaukto transporta pakalpojumu par vienotu gaisa un zemes transporta maksu, ar noteikumu, ka nosūtītāji tiek informēti par transporta veidu. </w:t>
      </w:r>
    </w:p>
    <w:p w:rsidR="003E022D" w:rsidRDefault="007D19D6">
      <w:pPr>
        <w:ind w:left="720" w:hanging="720"/>
        <w:rPr>
          <w:noProof/>
        </w:rPr>
      </w:pPr>
      <w:r>
        <w:rPr>
          <w:noProof/>
        </w:rPr>
        <w:t>7.</w:t>
      </w:r>
      <w:r>
        <w:rPr>
          <w:noProof/>
        </w:rPr>
        <w:tab/>
        <w:t>Par nomu:</w:t>
      </w:r>
    </w:p>
    <w:p w:rsidR="003E022D" w:rsidRDefault="007D19D6">
      <w:pPr>
        <w:ind w:left="567" w:hanging="567"/>
        <w:rPr>
          <w:noProof/>
        </w:rPr>
      </w:pPr>
      <w:r>
        <w:rPr>
          <w:noProof/>
        </w:rPr>
        <w:t>a)</w:t>
      </w:r>
      <w:r>
        <w:rPr>
          <w:noProof/>
        </w:rPr>
        <w:tab/>
        <w:t>Puses viena otras pārvadātājiem piešķir tiesības sniegt gaisa transpor</w:t>
      </w:r>
      <w:r>
        <w:rPr>
          <w:noProof/>
        </w:rPr>
        <w:t>ta pakalpojumus saskaņā ar AIRTRN.3. pantu [Satiksmes tiesības] visos šajos veidos:</w:t>
      </w:r>
    </w:p>
    <w:p w:rsidR="003E022D" w:rsidRDefault="007D19D6">
      <w:pPr>
        <w:ind w:left="1276" w:hanging="567"/>
        <w:rPr>
          <w:noProof/>
        </w:rPr>
      </w:pPr>
      <w:r>
        <w:rPr>
          <w:noProof/>
        </w:rPr>
        <w:t>i)</w:t>
      </w:r>
      <w:r>
        <w:rPr>
          <w:noProof/>
        </w:rPr>
        <w:tab/>
        <w:t>izmantojot gaisa kuģi, ko bez apkalpes nomā no jebkura iznomātāja;</w:t>
      </w:r>
    </w:p>
    <w:p w:rsidR="003E022D" w:rsidRDefault="007D19D6">
      <w:pPr>
        <w:ind w:left="1276" w:hanging="567"/>
        <w:rPr>
          <w:noProof/>
        </w:rPr>
      </w:pPr>
      <w:r>
        <w:rPr>
          <w:noProof/>
        </w:rPr>
        <w:t>ii)</w:t>
      </w:r>
      <w:r>
        <w:rPr>
          <w:noProof/>
        </w:rPr>
        <w:tab/>
        <w:t xml:space="preserve">Apvienotās Karalistes pārvadātājiem – izmantojot gaisa kuģus, ko ar apkalpi nomā no citiem Pušu </w:t>
      </w:r>
      <w:r>
        <w:rPr>
          <w:noProof/>
        </w:rPr>
        <w:t>pārvadātājiem;</w:t>
      </w:r>
    </w:p>
    <w:p w:rsidR="003E022D" w:rsidRDefault="007D19D6">
      <w:pPr>
        <w:ind w:left="1276" w:hanging="567"/>
        <w:rPr>
          <w:noProof/>
        </w:rPr>
      </w:pPr>
      <w:r>
        <w:rPr>
          <w:noProof/>
        </w:rPr>
        <w:t>iii)</w:t>
      </w:r>
      <w:r>
        <w:rPr>
          <w:noProof/>
        </w:rPr>
        <w:tab/>
        <w:t>Savienības pārvadātājiem – izmantojot gaisa kuģus, ko ar apkalpi nomā no citiem Savienības pārvadātājiem;</w:t>
      </w:r>
    </w:p>
    <w:p w:rsidR="003E022D" w:rsidRDefault="007D19D6">
      <w:pPr>
        <w:ind w:left="1276" w:hanging="567"/>
        <w:rPr>
          <w:noProof/>
        </w:rPr>
      </w:pPr>
      <w:r>
        <w:rPr>
          <w:noProof/>
        </w:rPr>
        <w:t>iv)</w:t>
      </w:r>
      <w:r>
        <w:rPr>
          <w:noProof/>
        </w:rPr>
        <w:tab/>
        <w:t>izmantojot gaisa kuģus, ko ar apkalpi nomā no pārvadātājiem, kas nav norādīti attiecīgi ii) un iii) apakšpunktā, ja nomu attai</w:t>
      </w:r>
      <w:r>
        <w:rPr>
          <w:noProof/>
        </w:rPr>
        <w:t>sno ārkārtējas vajadzības, sezonālas pārvadāšanas jaudas vajadzības vai nomnieka darbības grūtības un nomas ilgums nepārsniedz laiku, kas nepieciešams vienīgi minēto vajadzību apmierināšanai vai minēto grūtību pārvarēšanai;</w:t>
      </w:r>
    </w:p>
    <w:p w:rsidR="003E022D" w:rsidRDefault="007D19D6">
      <w:pPr>
        <w:ind w:left="567" w:hanging="567"/>
        <w:rPr>
          <w:noProof/>
        </w:rPr>
      </w:pPr>
      <w:r>
        <w:rPr>
          <w:noProof/>
        </w:rPr>
        <w:t>b)</w:t>
      </w:r>
      <w:r>
        <w:rPr>
          <w:noProof/>
        </w:rPr>
        <w:tab/>
        <w:t>Puses var pieprasīt, ka to ko</w:t>
      </w:r>
      <w:r>
        <w:rPr>
          <w:noProof/>
        </w:rPr>
        <w:t>mpetentajām iestādēm ir jāapstiprina nomāšanas kārtība, lai pārbaudītu atbilstību šajā punktā paredzētajiem nosacījumiem un piemērojamajām drošuma un drošības prasībām;</w:t>
      </w:r>
    </w:p>
    <w:p w:rsidR="003E022D" w:rsidRDefault="007D19D6">
      <w:pPr>
        <w:ind w:left="567" w:hanging="567"/>
        <w:rPr>
          <w:noProof/>
        </w:rPr>
      </w:pPr>
      <w:r>
        <w:rPr>
          <w:noProof/>
        </w:rPr>
        <w:t>c) taču, ja Puse pieprasa šādu apstiprinājumu, tā cenšas paātrināt apstiprināšanas proc</w:t>
      </w:r>
      <w:r>
        <w:rPr>
          <w:noProof/>
        </w:rPr>
        <w:t xml:space="preserve">edūras un attiecīgajiem pārvadātājiem mazināt administratīvo slodzi; </w:t>
      </w:r>
    </w:p>
    <w:p w:rsidR="003E022D" w:rsidRDefault="007D19D6">
      <w:pPr>
        <w:ind w:left="567" w:hanging="567"/>
        <w:rPr>
          <w:noProof/>
        </w:rPr>
      </w:pPr>
      <w:r>
        <w:rPr>
          <w:noProof/>
        </w:rPr>
        <w:t>d) šā punkta noteikumi neskar nevienas Puses normatīvos aktus par minētās Puses pārvadātāju veikto gaisa kuģu nomu.</w:t>
      </w:r>
    </w:p>
    <w:p w:rsidR="003E022D" w:rsidRDefault="007D19D6">
      <w:pPr>
        <w:pStyle w:val="Article"/>
        <w:rPr>
          <w:noProof/>
        </w:rPr>
      </w:pPr>
      <w:r>
        <w:rPr>
          <w:noProof/>
        </w:rPr>
        <w:t>AIRTRN.14. pants. Fiskāli noteikumi</w:t>
      </w:r>
    </w:p>
    <w:p w:rsidR="003E022D" w:rsidRDefault="007D19D6">
      <w:pPr>
        <w:rPr>
          <w:noProof/>
        </w:rPr>
      </w:pPr>
      <w:r>
        <w:rPr>
          <w:noProof/>
        </w:rPr>
        <w:t>1.</w:t>
      </w:r>
      <w:r>
        <w:rPr>
          <w:noProof/>
        </w:rPr>
        <w:tab/>
        <w:t>Ierodoties vienas Puses teritor</w:t>
      </w:r>
      <w:r>
        <w:rPr>
          <w:noProof/>
        </w:rPr>
        <w:t xml:space="preserve">ijā, gaisa kuģi, kas iesaistīts otras Puses pārvadātāju starptautiskajā gaisa transportā, </w:t>
      </w:r>
      <w:bookmarkStart w:id="205" w:name="_Hlk54700961"/>
      <w:r>
        <w:rPr>
          <w:noProof/>
        </w:rPr>
        <w:t>tā parasto aprīkojumu</w:t>
      </w:r>
      <w:bookmarkEnd w:id="205"/>
      <w:r>
        <w:rPr>
          <w:noProof/>
        </w:rPr>
        <w:t>, degvielu, smērvielas, tehniskos palīgmateriālus patēriņam, zemes aprīkojumu, rezerves daļas (ieskaitot dzinējus), gaisa kuģa krājumus (ieskaito</w:t>
      </w:r>
      <w:r>
        <w:rPr>
          <w:noProof/>
        </w:rPr>
        <w:t xml:space="preserve">t, bet ne tikai, tādus priekšmetus kā pārtiku, dzērienus un alkoholu, tabakas izstrādājumus un citus ražojumus, kas paredzēti lidojuma laikā ierobežotā daudzumā pārdošanai pasažieriem vai pasažieriem patērēšanai) un citus priekšmetus, kas </w:t>
      </w:r>
      <w:bookmarkStart w:id="206" w:name="_Hlk54702346"/>
      <w:r>
        <w:rPr>
          <w:noProof/>
        </w:rPr>
        <w:t>paredzēti izmanto</w:t>
      </w:r>
      <w:r>
        <w:rPr>
          <w:noProof/>
        </w:rPr>
        <w:t>šanai vai ko izmanto tikai starptautiskajā gaisa transportā iesaistīta gaisa kuģa ekspluatācijā vai apkalpošanā</w:t>
      </w:r>
      <w:bookmarkEnd w:id="206"/>
      <w:r>
        <w:rPr>
          <w:noProof/>
        </w:rPr>
        <w:t xml:space="preserve">, uz savstarpības pamata un </w:t>
      </w:r>
      <w:bookmarkStart w:id="207" w:name="_Hlk54702384"/>
      <w:r>
        <w:rPr>
          <w:noProof/>
        </w:rPr>
        <w:t>ar nosacījumu, ka aprīkojums un krājumi paliek gaisa kuģī</w:t>
      </w:r>
      <w:bookmarkEnd w:id="207"/>
      <w:r>
        <w:rPr>
          <w:noProof/>
        </w:rPr>
        <w:t>, atbrīvo no visiem importa ierobežojumiem, mantas nodokļiem</w:t>
      </w:r>
      <w:r>
        <w:rPr>
          <w:noProof/>
        </w:rPr>
        <w:t xml:space="preserve"> un kapitāla nodokļiem, muitas nodokļiem, akcīzes nodokļiem, inspekcijas maksas, pievienotās vērtības nodokļa (PVN) un tamlīdzīgiem netiešajiem nodokļiem, kā arī tamlīdzīgas maksas un nodevām, ko uzliek Savienības valstu un pašvaldību iestādes.</w:t>
      </w:r>
    </w:p>
    <w:p w:rsidR="003E022D" w:rsidRDefault="007D19D6">
      <w:pPr>
        <w:rPr>
          <w:noProof/>
        </w:rPr>
      </w:pPr>
      <w:r>
        <w:rPr>
          <w:noProof/>
        </w:rPr>
        <w:t>2.</w:t>
      </w:r>
      <w:r>
        <w:rPr>
          <w:noProof/>
        </w:rPr>
        <w:tab/>
        <w:t>Atbrīvoj</w:t>
      </w:r>
      <w:r>
        <w:rPr>
          <w:noProof/>
        </w:rPr>
        <w:t>umu no 1. punktā minētajiem nodokļiem, nodevām un maksām uz savstarpības pamata piemēro šādām precēm:</w:t>
      </w:r>
    </w:p>
    <w:p w:rsidR="003E022D" w:rsidRDefault="007D19D6">
      <w:pPr>
        <w:spacing w:after="0"/>
        <w:ind w:left="567" w:hanging="567"/>
        <w:rPr>
          <w:noProof/>
        </w:rPr>
      </w:pPr>
      <w:r>
        <w:rPr>
          <w:noProof/>
        </w:rPr>
        <w:t>a)</w:t>
      </w:r>
      <w:r>
        <w:rPr>
          <w:noProof/>
        </w:rPr>
        <w:tab/>
      </w:r>
      <w:bookmarkStart w:id="208" w:name="_Hlk54703012"/>
      <w:r>
        <w:rPr>
          <w:noProof/>
        </w:rPr>
        <w:t>gaisa kuģa krājumiem, kas ievesti vai piegādāti Puses teritorijā un samērīgā daudzumā iekrauti gaisa kuģī, lai tos izmantotu otras Puses pārvadātāja iz</w:t>
      </w:r>
      <w:r>
        <w:rPr>
          <w:noProof/>
        </w:rPr>
        <w:t>lidojošā gaisa kuģī, ko izmanto starptautiskajā gaisa transportā, arī tad, ja šos krājumus paredzēts izmantot lidojuma posmā, kas notiks virs minētās teritorijas;</w:t>
      </w:r>
      <w:bookmarkEnd w:id="208"/>
    </w:p>
    <w:p w:rsidR="003E022D" w:rsidRDefault="003E022D">
      <w:pPr>
        <w:spacing w:after="0"/>
        <w:ind w:left="567" w:hanging="567"/>
        <w:rPr>
          <w:noProof/>
        </w:rPr>
      </w:pPr>
    </w:p>
    <w:p w:rsidR="003E022D" w:rsidRDefault="007D19D6">
      <w:pPr>
        <w:spacing w:after="0"/>
        <w:ind w:left="567" w:hanging="567"/>
        <w:rPr>
          <w:noProof/>
        </w:rPr>
      </w:pPr>
      <w:r>
        <w:rPr>
          <w:noProof/>
        </w:rPr>
        <w:t>b)</w:t>
      </w:r>
      <w:r>
        <w:rPr>
          <w:noProof/>
        </w:rPr>
        <w:tab/>
      </w:r>
      <w:bookmarkStart w:id="209" w:name="_Hlk54701008"/>
      <w:bookmarkStart w:id="210" w:name="_Hlk54701028"/>
      <w:bookmarkEnd w:id="209"/>
      <w:bookmarkEnd w:id="210"/>
      <w:r>
        <w:rPr>
          <w:noProof/>
        </w:rPr>
        <w:t>zemes aprīkojumam un rezerves daļām (ieskaitot dzinējus), kas ievesti Puses teritorijā, l</w:t>
      </w:r>
      <w:r>
        <w:rPr>
          <w:noProof/>
        </w:rPr>
        <w:t>ai apkalpotu, veiktu tehnisko apkopi vai remontētu tādu otras Puses pārvadātāja gaisa kuģi, kas tiek izmantots starptautiskajā gaisa transportā;</w:t>
      </w:r>
    </w:p>
    <w:p w:rsidR="003E022D" w:rsidRDefault="003E022D">
      <w:pPr>
        <w:spacing w:after="0"/>
        <w:ind w:left="567" w:hanging="567"/>
        <w:rPr>
          <w:noProof/>
        </w:rPr>
      </w:pPr>
    </w:p>
    <w:p w:rsidR="003E022D" w:rsidRDefault="007D19D6">
      <w:pPr>
        <w:spacing w:after="0"/>
        <w:ind w:left="567" w:hanging="567"/>
        <w:rPr>
          <w:noProof/>
        </w:rPr>
      </w:pPr>
      <w:r>
        <w:rPr>
          <w:noProof/>
        </w:rPr>
        <w:t>c)</w:t>
      </w:r>
      <w:r>
        <w:rPr>
          <w:noProof/>
        </w:rPr>
        <w:tab/>
      </w:r>
      <w:bookmarkStart w:id="211" w:name="_Hlk54704071"/>
      <w:r>
        <w:rPr>
          <w:noProof/>
        </w:rPr>
        <w:t>smērvielām un izlietojamiem tehniskās apkopes materiāliem, bet ne degvielai, kurus ieved vai piegādā šīs Pu</w:t>
      </w:r>
      <w:r>
        <w:rPr>
          <w:noProof/>
        </w:rPr>
        <w:t>ses teritorijā izmantošanai otras Puses pārvadātāja gaisa kuģī, kuru izmanto starptautiskā gaisa transportā, arī tad, ja minētos materiālus domāts izmantot brauciena daļā, kas paredzēta virs minētās teritorijas;</w:t>
      </w:r>
      <w:bookmarkEnd w:id="211"/>
      <w:r>
        <w:rPr>
          <w:noProof/>
        </w:rPr>
        <w:t xml:space="preserve"> un</w:t>
      </w:r>
    </w:p>
    <w:p w:rsidR="003E022D" w:rsidRDefault="003E022D">
      <w:pPr>
        <w:spacing w:after="0"/>
        <w:ind w:left="567" w:hanging="567"/>
        <w:rPr>
          <w:noProof/>
        </w:rPr>
      </w:pPr>
    </w:p>
    <w:p w:rsidR="003E022D" w:rsidRDefault="007D19D6">
      <w:pPr>
        <w:ind w:left="567" w:hanging="567"/>
        <w:rPr>
          <w:noProof/>
        </w:rPr>
      </w:pPr>
      <w:r>
        <w:rPr>
          <w:noProof/>
        </w:rPr>
        <w:t>d)</w:t>
      </w:r>
      <w:r>
        <w:rPr>
          <w:noProof/>
        </w:rPr>
        <w:tab/>
      </w:r>
      <w:bookmarkStart w:id="212" w:name="_Hlk54701888"/>
      <w:r>
        <w:rPr>
          <w:noProof/>
        </w:rPr>
        <w:t>iespieddarbiem, kā noteikts katras Pu</w:t>
      </w:r>
      <w:r>
        <w:rPr>
          <w:noProof/>
        </w:rPr>
        <w:t>ses muitas tiesību aktos, kas ir ievesti vai piegādāti vienas Puses teritorijā un iekrauti gaisa kuģī, lai tos izmantotu otras Puses pārvadātāja izlidojošā gaisa kuģī, kas iesaistīts starptautiskajā gaisa transportā, arī tad, ja šos krājumus paredzēts izma</w:t>
      </w:r>
      <w:r>
        <w:rPr>
          <w:noProof/>
        </w:rPr>
        <w:t>ntot lidojuma posmā, kas notiks virs minētās teritorijas.</w:t>
      </w:r>
      <w:bookmarkEnd w:id="212"/>
      <w:r>
        <w:rPr>
          <w:noProof/>
        </w:rPr>
        <w:t xml:space="preserve"> </w:t>
      </w:r>
    </w:p>
    <w:p w:rsidR="003E022D" w:rsidRDefault="007D19D6">
      <w:pPr>
        <w:rPr>
          <w:noProof/>
        </w:rPr>
      </w:pPr>
      <w:r>
        <w:rPr>
          <w:noProof/>
        </w:rPr>
        <w:t>3.</w:t>
      </w:r>
      <w:r>
        <w:rPr>
          <w:noProof/>
        </w:rPr>
        <w:tab/>
        <w:t>Gaisa kuģa aprīkojumu, kā arī 1. punktā minētos materiālus, krājumus un rezerves daļas, kas parasti paliek Puses pārvadātāja ekspluatētā gaisa kuģī, drīkst izkraut otras Puses teritorijā vienīgi</w:t>
      </w:r>
      <w:r>
        <w:rPr>
          <w:noProof/>
        </w:rPr>
        <w:t xml:space="preserve"> ar minētās Puses muitas atļauju, un var prasīt, lai tie tiktu uzglabāti muitas uzraudzībā vai kontrolē līdz atkārtotai izvešanai vai citādai realizācijai saskaņā ar piemērojamajiem noteikumiem.</w:t>
      </w:r>
    </w:p>
    <w:p w:rsidR="003E022D" w:rsidRDefault="007D19D6">
      <w:pPr>
        <w:rPr>
          <w:noProof/>
          <w:color w:val="FF0000"/>
        </w:rPr>
      </w:pPr>
      <w:r>
        <w:rPr>
          <w:noProof/>
        </w:rPr>
        <w:t>4.</w:t>
      </w:r>
      <w:r>
        <w:rPr>
          <w:noProof/>
        </w:rPr>
        <w:tab/>
        <w:t>Šajā pantā paredzētos atbrīvojumus no muitas, valsts akcīz</w:t>
      </w:r>
      <w:r>
        <w:rPr>
          <w:noProof/>
        </w:rPr>
        <w:t xml:space="preserve">es un tamlīdzīgas valsts noteiktas maksas var izmantot arī tad, kad vienas Puses pārvadātājam ar citu(-iem) pārvadātāju(-iem) ir nolīgta kārtība, kādā šā panta 1. un 2. punktā minētie priekšmeti nomājami vai nododami otras Puses teritorijā, ar nosacījumu, </w:t>
      </w:r>
      <w:r>
        <w:rPr>
          <w:noProof/>
        </w:rPr>
        <w:t xml:space="preserve">ka šim(-iem) citam(-iem) pārvadātājam(-iem) otra Puse piešķir līdzīgu atbrīvojumu. </w:t>
      </w:r>
    </w:p>
    <w:p w:rsidR="003E022D" w:rsidRDefault="007D19D6">
      <w:pPr>
        <w:rPr>
          <w:noProof/>
        </w:rPr>
      </w:pPr>
      <w:r>
        <w:rPr>
          <w:noProof/>
        </w:rPr>
        <w:t>5.</w:t>
      </w:r>
      <w:r>
        <w:rPr>
          <w:noProof/>
        </w:rPr>
        <w:tab/>
        <w:t>Šī sadaļa nekādi neliedz nevienai no Pusēm gaisa transporta pakalpojumu posmā starp diviem punktiem tās teritorijā, kuros ir atļauta iekāpšana vai izkāpšana, uzlikt nodo</w:t>
      </w:r>
      <w:r>
        <w:rPr>
          <w:noProof/>
        </w:rPr>
        <w:t>kļus, nodevas vai maksu precēm, ko pārdod citādi nekā pasažieriem patērēšanai gaisa kuģī.</w:t>
      </w:r>
    </w:p>
    <w:p w:rsidR="003E022D" w:rsidRDefault="007D19D6">
      <w:pPr>
        <w:rPr>
          <w:noProof/>
        </w:rPr>
      </w:pPr>
      <w:r>
        <w:rPr>
          <w:noProof/>
        </w:rPr>
        <w:t>6.</w:t>
      </w:r>
      <w:r>
        <w:rPr>
          <w:noProof/>
        </w:rPr>
        <w:tab/>
        <w:t>Bagāžu un kravas, kas tiešā tranzītā šķērso Puses teritoriju, atbrīvo no nodokļiem, muitas un tamlīdzīgiem maksājumiem.</w:t>
      </w:r>
    </w:p>
    <w:p w:rsidR="003E022D" w:rsidRDefault="007D19D6">
      <w:pPr>
        <w:rPr>
          <w:noProof/>
        </w:rPr>
      </w:pPr>
      <w:r>
        <w:rPr>
          <w:noProof/>
        </w:rPr>
        <w:t>7.</w:t>
      </w:r>
      <w:r>
        <w:rPr>
          <w:noProof/>
        </w:rPr>
        <w:tab/>
        <w:t>Var prasīt, lai 2. punktā minētais aprīk</w:t>
      </w:r>
      <w:r>
        <w:rPr>
          <w:noProof/>
        </w:rPr>
        <w:t>ojums un krājumi glabājas kompetento iestāžu uzraudzībā un kontrolē.</w:t>
      </w:r>
    </w:p>
    <w:p w:rsidR="003E022D" w:rsidRDefault="007D19D6">
      <w:pPr>
        <w:rPr>
          <w:noProof/>
        </w:rPr>
      </w:pPr>
      <w:r>
        <w:rPr>
          <w:noProof/>
        </w:rPr>
        <w:t>8.</w:t>
      </w:r>
      <w:r>
        <w:rPr>
          <w:noProof/>
        </w:rPr>
        <w:tab/>
        <w:t>Šī sadaļa neskar starp Apvienoto Karalisti un dalībvalstīm noslēgto spēkā esošo nolīgumu noteikumus par dubultas ienākuma nodokļu un kapitāla nodokļu uzlikšanas novēršanu.</w:t>
      </w:r>
    </w:p>
    <w:p w:rsidR="003E022D" w:rsidRDefault="007D19D6">
      <w:pPr>
        <w:rPr>
          <w:noProof/>
        </w:rPr>
      </w:pPr>
      <w:r>
        <w:rPr>
          <w:noProof/>
        </w:rPr>
        <w:t>9.</w:t>
      </w:r>
      <w:r>
        <w:rPr>
          <w:noProof/>
        </w:rPr>
        <w:tab/>
        <w:t>Atbrīvoju</w:t>
      </w:r>
      <w:r>
        <w:rPr>
          <w:noProof/>
        </w:rPr>
        <w:t>ms no muitas nodokļiem, valsts akcīzes nodokļiem un tamlīdzīgas valsts uzliktas maksas neattiecas uz maksu, kuras pamatā ir tādu pakalpojumu izmaksas, kurus vienas Puses pārvadātājam sniedz otras Puses teritorijā.</w:t>
      </w:r>
    </w:p>
    <w:p w:rsidR="003E022D" w:rsidRDefault="007D19D6">
      <w:pPr>
        <w:pStyle w:val="Article"/>
        <w:rPr>
          <w:noProof/>
        </w:rPr>
      </w:pPr>
      <w:r>
        <w:rPr>
          <w:noProof/>
        </w:rPr>
        <w:t>AIRTRN.15. pants. Lietošanas maksa</w:t>
      </w:r>
    </w:p>
    <w:p w:rsidR="003E022D" w:rsidRDefault="007D19D6">
      <w:pPr>
        <w:rPr>
          <w:noProof/>
        </w:rPr>
      </w:pPr>
      <w:r>
        <w:rPr>
          <w:noProof/>
        </w:rPr>
        <w:t>1.</w:t>
      </w:r>
      <w:r>
        <w:rPr>
          <w:noProof/>
        </w:rPr>
        <w:tab/>
      </w:r>
      <w:r>
        <w:rPr>
          <w:noProof/>
        </w:rPr>
        <w:t>Lietošanas maksa, ko kompetentās iestādes vai struktūras var uzlikt otras Puses pārvadātājiem par aeronavigācijas un gaisa satiksmes vadības izmantošanu, ir saistīta ar izmaksām un ir nediskriminējoša. Katrā gadījumā tādu lietošanas maksu otras Puses pārva</w:t>
      </w:r>
      <w:r>
        <w:rPr>
          <w:noProof/>
        </w:rPr>
        <w:t>dātājiem aprēķina pēc noteikumiem, kas nav mazāk izdevīgi kā vislabvēlīgākie noteikumi, kuri maksas piemērošanas brīdī līdzīgos apstākļos ir pieejami citiem pārvadātājiem.</w:t>
      </w:r>
    </w:p>
    <w:p w:rsidR="003E022D" w:rsidRDefault="007D19D6">
      <w:pPr>
        <w:rPr>
          <w:noProof/>
        </w:rPr>
      </w:pPr>
      <w:r>
        <w:rPr>
          <w:noProof/>
        </w:rPr>
        <w:t>2.</w:t>
      </w:r>
      <w:r>
        <w:rPr>
          <w:noProof/>
        </w:rPr>
        <w:tab/>
        <w:t>Neskarot AIRTRN.13. panta [Komercdarbība] 5. punktu, katra Puse nodrošina, ka, iz</w:t>
      </w:r>
      <w:r>
        <w:rPr>
          <w:noProof/>
        </w:rPr>
        <w:t xml:space="preserve">ņemot 1. punktā minēto, lietošanas maksa, ko var uzlikt otras Puses pārvadātājiem, ir taisnīga, mērena, nav nepamatoti diskriminējoša un ir taisnīgi sadalīta pa lietotāju kategorijām. Lietošanas maksa, ko piemēro otras Puses pārvadātājiem, var atspoguļot, </w:t>
      </w:r>
      <w:r>
        <w:rPr>
          <w:noProof/>
        </w:rPr>
        <w:t>bet ne pārsniegt visas izmaksas, kas rodas, nodrošinot atbilstošu lidostu, lidostas vides un aviācijas drošības aprīkojumu un pakalpojumus lidostā vai lidostu sistēmā. Tāda maksa var ietvert samērīgu peļņu no aktīviem pēc amortizācijas atskaitīšanas. Objek</w:t>
      </w:r>
      <w:r>
        <w:rPr>
          <w:noProof/>
        </w:rPr>
        <w:t>tus un pakalpojumus, par ko piemēro lietošanas maksu, nodrošina efektīvi un ekonomiski. Katrā gadījumā tādu lietošanas maksu otras Puses pārvadātājiem aprēķina pēc noteikumiem, kas nav mazāk izdevīgi kā vislabvēlīgākie noteikumi, kuri maksas piemērošanas b</w:t>
      </w:r>
      <w:r>
        <w:rPr>
          <w:noProof/>
        </w:rPr>
        <w:t>rīdī līdzīgos apstākļos ir pieejami citiem pārvadātājiem.</w:t>
      </w:r>
    </w:p>
    <w:p w:rsidR="003E022D" w:rsidRDefault="007D19D6">
      <w:pPr>
        <w:rPr>
          <w:noProof/>
        </w:rPr>
      </w:pPr>
      <w:r>
        <w:rPr>
          <w:noProof/>
        </w:rPr>
        <w:t>3.</w:t>
      </w:r>
      <w:r>
        <w:rPr>
          <w:noProof/>
        </w:rPr>
        <w:tab/>
        <w:t>Lai nodrošinātu 1. un 2. punktā noteikto principu pareizu piemērošanu, katra Puse nodrošina konsultēšanos starp kompetentajām maksas uzlicējām iestādēm vai struktūrām tās teritorijā un pārvadātāj</w:t>
      </w:r>
      <w:r>
        <w:rPr>
          <w:noProof/>
        </w:rPr>
        <w:t>iem, kuri izmanto attiecīgos pakalpojumus un objektus, un kompetento maksas uzlicēju iestāžu vai struktūru un pārvadātāju apmaiņu ar nepieciešamo informāciju. Katra Puse gādā, ka kompetentās maksas uzlicējas iestādes paziņo lietotājiem par ierosinājumiem m</w:t>
      </w:r>
      <w:r>
        <w:rPr>
          <w:noProof/>
        </w:rPr>
        <w:t>ainīt lietošanas maksu, lai viņi varētu paust viedokli, pirms notiek kādas pārmaiņas.</w:t>
      </w:r>
    </w:p>
    <w:p w:rsidR="003E022D" w:rsidRDefault="007D19D6">
      <w:pPr>
        <w:pStyle w:val="Article"/>
        <w:rPr>
          <w:noProof/>
        </w:rPr>
      </w:pPr>
      <w:r>
        <w:rPr>
          <w:noProof/>
        </w:rPr>
        <w:t>AIRTRN.16. pants. Tarifi</w:t>
      </w:r>
    </w:p>
    <w:p w:rsidR="003E022D" w:rsidRDefault="007D19D6">
      <w:pPr>
        <w:rPr>
          <w:noProof/>
        </w:rPr>
      </w:pPr>
      <w:r>
        <w:rPr>
          <w:noProof/>
        </w:rPr>
        <w:t>1.</w:t>
      </w:r>
      <w:r>
        <w:rPr>
          <w:noProof/>
        </w:rPr>
        <w:tab/>
        <w:t>Puses ļauj pārvadātājiem brīvi noteikt tarifus uz brīvas un godīgas konkurences pamata saskaņā ar šo sadaļu.</w:t>
      </w:r>
    </w:p>
    <w:p w:rsidR="003E022D" w:rsidRDefault="007D19D6">
      <w:pPr>
        <w:rPr>
          <w:noProof/>
        </w:rPr>
      </w:pPr>
      <w:r>
        <w:rPr>
          <w:noProof/>
        </w:rPr>
        <w:t>2.</w:t>
      </w:r>
      <w:r>
        <w:rPr>
          <w:noProof/>
        </w:rPr>
        <w:tab/>
        <w:t>Viena otras pārvadātāju tarifu</w:t>
      </w:r>
      <w:r>
        <w:rPr>
          <w:noProof/>
        </w:rPr>
        <w:t>s Puses nepakļauj apstiprināšanai.</w:t>
      </w:r>
    </w:p>
    <w:p w:rsidR="003E022D" w:rsidRDefault="007D19D6">
      <w:pPr>
        <w:pStyle w:val="Article"/>
        <w:rPr>
          <w:noProof/>
        </w:rPr>
      </w:pPr>
      <w:r>
        <w:rPr>
          <w:noProof/>
        </w:rPr>
        <w:t>AIRTRN.17. pants. Statistika</w:t>
      </w:r>
    </w:p>
    <w:p w:rsidR="003E022D" w:rsidRDefault="007D19D6">
      <w:pPr>
        <w:rPr>
          <w:noProof/>
        </w:rPr>
      </w:pPr>
      <w:r>
        <w:rPr>
          <w:noProof/>
        </w:rPr>
        <w:t>1.</w:t>
      </w:r>
      <w:r>
        <w:rPr>
          <w:noProof/>
        </w:rPr>
        <w:tab/>
        <w:t>Lai uzlabotu savstarpēju apmaiņu ar statistikas informāciju, kas saistīta ar gaisa transportu saskaņā ar šo sadaļu, Puses sadarbojas Specializētajā gaisa transporta komitejā.</w:t>
      </w:r>
    </w:p>
    <w:p w:rsidR="003E022D" w:rsidRDefault="007D19D6">
      <w:pPr>
        <w:rPr>
          <w:noProof/>
        </w:rPr>
      </w:pPr>
      <w:r>
        <w:rPr>
          <w:noProof/>
        </w:rPr>
        <w:t>2.</w:t>
      </w:r>
      <w:r>
        <w:rPr>
          <w:noProof/>
        </w:rPr>
        <w:tab/>
        <w:t xml:space="preserve">Katra Puse </w:t>
      </w:r>
      <w:r>
        <w:rPr>
          <w:noProof/>
        </w:rPr>
        <w:t>pēc pieprasījuma sniedz otrai Pusei pieejamos statistikas datus, kas nav konfidenciāli un nav slepenota komercinformācija, saistībā ar satiksmes pakalpojumiem, kurus sniedz saskaņā ar šo sadaļu, kā prasa Pušu attiecīgie normatīvie akti, bez diskriminācijas</w:t>
      </w:r>
      <w:r>
        <w:rPr>
          <w:noProof/>
        </w:rPr>
        <w:t xml:space="preserve"> un tā, kā var pamatoti pieprasīt.</w:t>
      </w:r>
    </w:p>
    <w:p w:rsidR="003E022D" w:rsidRDefault="007D19D6">
      <w:pPr>
        <w:pStyle w:val="Article"/>
        <w:rPr>
          <w:noProof/>
        </w:rPr>
      </w:pPr>
      <w:r>
        <w:rPr>
          <w:noProof/>
        </w:rPr>
        <w:t>AIRTRN.18. pants. Aviācijas drošums</w:t>
      </w:r>
    </w:p>
    <w:p w:rsidR="003E022D" w:rsidRDefault="007D19D6">
      <w:pPr>
        <w:rPr>
          <w:noProof/>
        </w:rPr>
      </w:pPr>
      <w:r>
        <w:rPr>
          <w:noProof/>
        </w:rPr>
        <w:t>1.</w:t>
      </w:r>
      <w:r>
        <w:rPr>
          <w:noProof/>
        </w:rPr>
        <w:tab/>
        <w:t xml:space="preserve">Puses atkārtoti apstiprina ciešas sadarbības nozīmi aviācijas drošuma jomā. </w:t>
      </w:r>
    </w:p>
    <w:p w:rsidR="003E022D" w:rsidRDefault="007D19D6">
      <w:pPr>
        <w:rPr>
          <w:noProof/>
        </w:rPr>
      </w:pPr>
      <w:r>
        <w:rPr>
          <w:noProof/>
        </w:rPr>
        <w:t>2.</w:t>
      </w:r>
      <w:r>
        <w:rPr>
          <w:noProof/>
        </w:rPr>
        <w:tab/>
        <w:t>Lidojumderīguma apliecības, kompetences apliecības un licences, kuras izdevusi vai par derīgu atzinusi</w:t>
      </w:r>
      <w:r>
        <w:rPr>
          <w:noProof/>
        </w:rPr>
        <w:t xml:space="preserve"> viena Puse un kuras joprojām ir spēkā, otra Puse un tās kompetentās iestādes atzīst par derīgām gaisa transporta pakalpojumu sniegšanai atbilstoši šai sadaļai, ja apliecības vai licences izdotas vai atzītas par derīgām, ievērojot vismaz attiecīgos starpta</w:t>
      </w:r>
      <w:r>
        <w:rPr>
          <w:noProof/>
        </w:rPr>
        <w:t>utiskos standartus, kas noteikti saskaņā ar konvenciju, un atbilstīgi tiem.</w:t>
      </w:r>
    </w:p>
    <w:p w:rsidR="003E022D" w:rsidRDefault="007D19D6">
      <w:pPr>
        <w:rPr>
          <w:noProof/>
        </w:rPr>
      </w:pPr>
      <w:bookmarkStart w:id="213" w:name="_Hlk58933478"/>
      <w:r>
        <w:rPr>
          <w:noProof/>
        </w:rPr>
        <w:t>3.</w:t>
      </w:r>
      <w:r>
        <w:rPr>
          <w:noProof/>
        </w:rPr>
        <w:tab/>
        <w:t>Katra Puse jebkurā brīdī var pieprasīt konsultēšanos par otras Puses uzturētajiem un pārvaldītajiem drošuma standartiem jomās, kas saistītas ar aeronavigācijas iekārtām, lidojum</w:t>
      </w:r>
      <w:r>
        <w:rPr>
          <w:noProof/>
        </w:rPr>
        <w:t>a apkalpi, gaisa kuģiem un gaisa kuģu ekspluatāciju. Konsultēšanās sarīkojama 30 dienās pēc pieprasījuma iesniegšanas.</w:t>
      </w:r>
    </w:p>
    <w:p w:rsidR="003E022D" w:rsidRDefault="007D19D6">
      <w:pPr>
        <w:rPr>
          <w:noProof/>
        </w:rPr>
      </w:pPr>
      <w:bookmarkStart w:id="214" w:name="_Hlk58862413"/>
      <w:bookmarkEnd w:id="213"/>
      <w:r>
        <w:rPr>
          <w:noProof/>
        </w:rPr>
        <w:t>4.</w:t>
      </w:r>
      <w:r>
        <w:rPr>
          <w:noProof/>
        </w:rPr>
        <w:tab/>
        <w:t>Ja pēc konsultēšanās viena Puse konstatē, ka otra Puse 2. punktā minētajās jomās faktiski neuztur un nepiemēro drošuma standartus, kas</w:t>
      </w:r>
      <w:r>
        <w:rPr>
          <w:noProof/>
        </w:rPr>
        <w:t xml:space="preserve"> ir vismaz līdzvērtīgi minimālajiem standartiem, kuri attiecīgajā laikā noteikti saskaņā ar Konvenciju, pirmā Puse paziņo otrai Pusei par konstatējumiem un par pasākumiem, ko uzskata par vajadzīgiem, lai nodrošinātu atbilstību šiem minimālajiem standartiem</w:t>
      </w:r>
      <w:r>
        <w:rPr>
          <w:noProof/>
        </w:rPr>
        <w:t>, un otra Puse veic attiecīgus koriģējošus pasākumus. Ja 15 dienās vai citādā termiņā, par ko ir vienošanās, otra Puse nav veikusi pienācīgus korektīvos pasākumus, pieprasītājai Pusei ir pamats atteikt, atsaukt, apturēt vai ierobežot transporta pakalpojumu</w:t>
      </w:r>
      <w:r>
        <w:rPr>
          <w:noProof/>
        </w:rPr>
        <w:t xml:space="preserve"> sniedzēju, kuru drošumu pārrauga otra Puse, darbības atļaujas vai tehniskās atļaujas vai izvirzīt tām nosacījumus, vai citādi atteikt, atsaukt, apturēt vai ierobežot tādu darbību vai izvirzīt tai nosacījumus.</w:t>
      </w:r>
    </w:p>
    <w:bookmarkEnd w:id="214"/>
    <w:p w:rsidR="003E022D" w:rsidRDefault="007D19D6">
      <w:pPr>
        <w:rPr>
          <w:noProof/>
        </w:rPr>
      </w:pPr>
      <w:r>
        <w:rPr>
          <w:noProof/>
        </w:rPr>
        <w:t>5.</w:t>
      </w:r>
      <w:r>
        <w:rPr>
          <w:noProof/>
        </w:rPr>
        <w:tab/>
        <w:t>Gaisa kuģi, ko vienas Puses pārvadātājs(-i)</w:t>
      </w:r>
      <w:r>
        <w:rPr>
          <w:noProof/>
        </w:rPr>
        <w:t xml:space="preserve"> vai vienas Puses pārvadātāja(-u) vārdā ekspluatē nolīgtā nomāšanas kārtībā, var pakļaut peronpārbaudei, ja tā neizraisa nepamatotu gaisa kuģa ekspluatācijas kavējumu.</w:t>
      </w:r>
    </w:p>
    <w:p w:rsidR="003E022D" w:rsidRDefault="007D19D6">
      <w:pPr>
        <w:rPr>
          <w:noProof/>
        </w:rPr>
      </w:pPr>
      <w:bookmarkStart w:id="215" w:name="_Hlk58862463"/>
      <w:r>
        <w:rPr>
          <w:noProof/>
        </w:rPr>
        <w:t>6.</w:t>
      </w:r>
      <w:r>
        <w:rPr>
          <w:noProof/>
        </w:rPr>
        <w:tab/>
        <w:t>Peronpārbaudē vai peronpārbaužu virknē var rasties:</w:t>
      </w:r>
    </w:p>
    <w:p w:rsidR="003E022D" w:rsidRDefault="007D19D6">
      <w:pPr>
        <w:tabs>
          <w:tab w:val="left" w:pos="567"/>
        </w:tabs>
        <w:ind w:left="567" w:hanging="567"/>
        <w:rPr>
          <w:noProof/>
        </w:rPr>
      </w:pPr>
      <w:r>
        <w:rPr>
          <w:noProof/>
        </w:rPr>
        <w:t>a) nopietnas aizdomas, ka gaisa k</w:t>
      </w:r>
      <w:r>
        <w:rPr>
          <w:noProof/>
        </w:rPr>
        <w:t xml:space="preserve">uģis vai gaisa kuģa ekspluatācija neatbilst minimālajiem standartiem, kas attiecīgajā laikā ir noteikti saskaņā ar Konvenciju, vai </w:t>
      </w:r>
    </w:p>
    <w:p w:rsidR="003E022D" w:rsidRDefault="007D19D6">
      <w:pPr>
        <w:tabs>
          <w:tab w:val="left" w:pos="567"/>
        </w:tabs>
        <w:ind w:left="567" w:hanging="567"/>
        <w:rPr>
          <w:noProof/>
        </w:rPr>
      </w:pPr>
      <w:r>
        <w:rPr>
          <w:noProof/>
        </w:rPr>
        <w:t>b)</w:t>
      </w:r>
      <w:r>
        <w:rPr>
          <w:noProof/>
        </w:rPr>
        <w:tab/>
      </w:r>
      <w:r>
        <w:rPr>
          <w:noProof/>
        </w:rPr>
        <w:t xml:space="preserve">nopietnas aizdomas, ka netiek faktiski uzturēti un pārvaldīti saskaņā ar Konvenciju tajā laikā noteiktie drošuma standarti. </w:t>
      </w:r>
    </w:p>
    <w:p w:rsidR="003E022D" w:rsidRDefault="007D19D6">
      <w:pPr>
        <w:rPr>
          <w:noProof/>
          <w:u w:val="single"/>
        </w:rPr>
      </w:pPr>
      <w:r>
        <w:rPr>
          <w:noProof/>
        </w:rPr>
        <w:t>Gadījumā, kad peronpārbaudi(-es) veikusī Puse konstatē nopietnas aizdomas, kas norādītas a) vai b) apakšpunktā, tā par aizdomām paz</w:t>
      </w:r>
      <w:r>
        <w:rPr>
          <w:noProof/>
        </w:rPr>
        <w:t>iņo otras Puses kompetentajām iestādēm, kuras atbild par gaisa kuģa ekspluatējošā pārvadātāja drošuma pārraudzību, un dara tām zināmus pasākumus, ko uzskata par nepieciešamiem, lai nodrošinātu atbilstību šiem minimālajiem standartiem. Ja 15 dienās vai term</w:t>
      </w:r>
      <w:r>
        <w:rPr>
          <w:noProof/>
        </w:rPr>
        <w:t>iņā, par ko panākta vienošanās, netiek veikti pienācīgi koriģējoši pasākumi, pirmā Puse var atteikt, atsaukt, apturēt, piemērot nosacījumus vai ierobežot darbības atļaujas vai tehniskās atļaujas, vai kā citādi atteikt, atsaukt, apturēt, noteikt nosacījumus</w:t>
      </w:r>
      <w:r>
        <w:rPr>
          <w:noProof/>
        </w:rPr>
        <w:t xml:space="preserve"> vai ierobežot gaisa kuģa ekspluatējošā pārvadātāja darbību.</w:t>
      </w:r>
      <w:bookmarkEnd w:id="215"/>
    </w:p>
    <w:p w:rsidR="003E022D" w:rsidRDefault="007D19D6">
      <w:pPr>
        <w:rPr>
          <w:noProof/>
          <w:color w:val="FF0000"/>
        </w:rPr>
      </w:pPr>
      <w:r>
        <w:rPr>
          <w:noProof/>
        </w:rPr>
        <w:t>7.</w:t>
      </w:r>
      <w:r>
        <w:rPr>
          <w:noProof/>
        </w:rPr>
        <w:tab/>
        <w:t>Ja tiek liegta piekļuve peronpārbaudes nolūkā gaisa kuģim, kuru vienas Puses pārvadātājs(-i) ekspluatē saskaņā ar 5. punktu, otra Puse var secināt, ka rodas 6. punktā minētās nopietnās aizdoma</w:t>
      </w:r>
      <w:r>
        <w:rPr>
          <w:noProof/>
        </w:rPr>
        <w:t>s, un rīkoties saskaņā ar 6. punktu.</w:t>
      </w:r>
    </w:p>
    <w:p w:rsidR="003E022D" w:rsidRDefault="007D19D6">
      <w:pPr>
        <w:rPr>
          <w:noProof/>
        </w:rPr>
      </w:pPr>
      <w:bookmarkStart w:id="216" w:name="_Hlk58862646"/>
      <w:r>
        <w:rPr>
          <w:noProof/>
        </w:rPr>
        <w:t>8.</w:t>
      </w:r>
      <w:r>
        <w:rPr>
          <w:noProof/>
        </w:rPr>
        <w:tab/>
        <w:t>Katra Puse patur tiesības tūlītēji atsaukt, apturēt vai ierobežot darbības atļaujas vai tehniskās atļaujas vai citādi apturēt vai ierobežot otras Puses pārvadātāja(-u) darbību, ja pirmā Puse pēc peronpārbaudes, peron</w:t>
      </w:r>
      <w:r>
        <w:rPr>
          <w:noProof/>
        </w:rPr>
        <w:t>pārbaužu virknes, piekļuves peronpārbaudēm atteikuma, konsultēšanās vai citādi secina, ka tūlītēja rīcība ir būtiska pārvadātāja darbības drošumam. Puse, kura veic tādus pasākumus, tūlīt informē otru Pusi, paskaidrojot savas rīcības iemeslus.</w:t>
      </w:r>
    </w:p>
    <w:bookmarkEnd w:id="216"/>
    <w:p w:rsidR="003E022D" w:rsidRDefault="007D19D6">
      <w:pPr>
        <w:rPr>
          <w:noProof/>
        </w:rPr>
      </w:pPr>
      <w:r>
        <w:rPr>
          <w:noProof/>
        </w:rPr>
        <w:t xml:space="preserve">9. </w:t>
      </w:r>
      <w:r>
        <w:rPr>
          <w:noProof/>
        </w:rPr>
        <w:tab/>
        <w:t>Pasākumi,</w:t>
      </w:r>
      <w:r>
        <w:rPr>
          <w:noProof/>
        </w:rPr>
        <w:t xml:space="preserve"> ko viena Puse veic saskaņā ar 4., 6. vai 8. punktu, tiek izbeigti, kolīdz zudis iemesls tos veikt.</w:t>
      </w:r>
    </w:p>
    <w:p w:rsidR="003E022D" w:rsidRDefault="007D19D6">
      <w:pPr>
        <w:rPr>
          <w:noProof/>
        </w:rPr>
      </w:pPr>
      <w:bookmarkStart w:id="217" w:name="_Hlk58933593"/>
      <w:r>
        <w:rPr>
          <w:noProof/>
        </w:rPr>
        <w:t>10.</w:t>
      </w:r>
      <w:r>
        <w:rPr>
          <w:noProof/>
        </w:rPr>
        <w:tab/>
        <w:t xml:space="preserve">Ja Puse ir veikusi pasākumus saskaņā ar 4., 6. vai 8. punktu, domstarpību gadījumā Puse var vērsties šķīrējtiesā saskaņā ar INST.14. pantu [Arbitrāža], </w:t>
      </w:r>
      <w:r>
        <w:rPr>
          <w:noProof/>
        </w:rPr>
        <w:t>neizmantojot konsultēšanos saskaņā ar INST.13. pantu [Konsultēšanās]. Šķīrējtiesa uzskata šo jautājumu par steidzamu lietu INST.19. panta [Steidzamas procedūras] izpratnē. Pēc sūdzētājas Puses pieprasījuma šķīrējtiesa var dot rīkojumu līdz galīgam nolēmuma</w:t>
      </w:r>
      <w:r>
        <w:rPr>
          <w:noProof/>
        </w:rPr>
        <w:t>m noteikt pagaidu aizsardzības pasākumus, ieskaitot kādas Puses saskaņā ar šo pantu noteiktu pasākumu grozīšanu vai apturēšanu.</w:t>
      </w:r>
    </w:p>
    <w:p w:rsidR="003E022D" w:rsidRDefault="007D19D6">
      <w:pPr>
        <w:pStyle w:val="Article"/>
        <w:rPr>
          <w:noProof/>
        </w:rPr>
      </w:pPr>
      <w:bookmarkStart w:id="218" w:name="_Hlk50115279"/>
      <w:bookmarkEnd w:id="217"/>
      <w:r>
        <w:rPr>
          <w:noProof/>
        </w:rPr>
        <w:t>AIRTRN.19. pants. Aviācijas drošība</w:t>
      </w:r>
    </w:p>
    <w:p w:rsidR="003E022D" w:rsidRDefault="007D19D6">
      <w:pPr>
        <w:rPr>
          <w:noProof/>
        </w:rPr>
      </w:pPr>
      <w:r>
        <w:rPr>
          <w:noProof/>
        </w:rPr>
        <w:t>1.</w:t>
      </w:r>
      <w:r>
        <w:rPr>
          <w:noProof/>
        </w:rPr>
        <w:tab/>
        <w:t>Puses pēc pieprasījuma viena otrai sniedz visu vajadzīgo palīdzību, lai mazinātu briesmas</w:t>
      </w:r>
      <w:r>
        <w:rPr>
          <w:noProof/>
        </w:rPr>
        <w:t xml:space="preserve"> civilās aviācijas drošībai, cita starpā novēršot civilo gaisa kuģu nelikumīgu sagrābšanu un citas nelikumīgas darbības pret gaisa kuģu, to pasažieru un apkalpju, lidostu un aeronavigācijas iekārtu drošību, kā arī citādas briesmas civilās aviācijas drošība</w:t>
      </w:r>
      <w:r>
        <w:rPr>
          <w:noProof/>
        </w:rPr>
        <w:t>i.</w:t>
      </w:r>
    </w:p>
    <w:p w:rsidR="003E022D" w:rsidRDefault="007D19D6">
      <w:pPr>
        <w:rPr>
          <w:noProof/>
        </w:rPr>
      </w:pPr>
      <w:r>
        <w:rPr>
          <w:noProof/>
        </w:rPr>
        <w:t>2.</w:t>
      </w:r>
      <w:r>
        <w:rPr>
          <w:noProof/>
        </w:rPr>
        <w:tab/>
        <w:t xml:space="preserve">Savstarpējās attiecībās Puses rīkojas saskaņā ar </w:t>
      </w:r>
      <w:r>
        <w:rPr>
          <w:i/>
          <w:noProof/>
        </w:rPr>
        <w:t>ICAO</w:t>
      </w:r>
      <w:r>
        <w:rPr>
          <w:noProof/>
        </w:rPr>
        <w:t xml:space="preserve"> noteiktajiem aviācijas drošības standartiem. Tās pieprasa, lai to reģistros iekļautie gaisa kuģu ekspluatanti un to teritorijā atrodošos lidostu ekspluatanti rīkojas vismaz saskaņā ar minētajiem a</w:t>
      </w:r>
      <w:r>
        <w:rPr>
          <w:noProof/>
        </w:rPr>
        <w:t>viācijas drošības standartiem. Katra Puse pēc pieprasījuma otrai Pusei dara zināmas atšķirības starp tās normatīvajiem aktiem un praksi un šajā punktā minētajiem aviācijas drošības standartiem. Katra Puse jebkurā brīdī var pieprasīt nekavējoties rīkot kons</w:t>
      </w:r>
      <w:r>
        <w:rPr>
          <w:noProof/>
        </w:rPr>
        <w:t>ultēšanos ar otru Pusi, lai apspriestu minētās domstarpības.</w:t>
      </w:r>
    </w:p>
    <w:p w:rsidR="003E022D" w:rsidRDefault="007D19D6">
      <w:pPr>
        <w:rPr>
          <w:noProof/>
        </w:rPr>
      </w:pPr>
      <w:r>
        <w:rPr>
          <w:noProof/>
        </w:rPr>
        <w:t>3.</w:t>
      </w:r>
      <w:r>
        <w:rPr>
          <w:noProof/>
        </w:rPr>
        <w:tab/>
        <w:t>Katra Puse nodrošina, ka tās teritorijā tiek veikti iedarbīgi pasākumi, lai aizsargātu civilo aviāciju pret nelikumīgu iejaukšanos, ieskaitot, bet ne tikai, pasažieru un viņu rokas bagāžas, re</w:t>
      </w:r>
      <w:r>
        <w:rPr>
          <w:noProof/>
        </w:rPr>
        <w:t>ģistrētās bagāžas pārbaudi, personu, kas nav pasažieri, ieskaitot apkalpi, un priekšmetu, kurus viņi pārvadā, pārbaudi un drošības kontroli, kravas, pasta, lidojuma laikā patērējamo krājumu un lidostu krājumu pārmeklēšanu un drošības kontroli, kā arī kontr</w:t>
      </w:r>
      <w:r>
        <w:rPr>
          <w:noProof/>
        </w:rPr>
        <w:t>olējamo teritoriju un ierobežotu lidojumu zonu piekļuves kontroli. Katra Puse piekrīt, ka ir jāievēro otras Puses drošības noteikumi, kas saistīti ar gaisa kuģu uzņemšanu, darbību tās teritorijā vai aizlidošanu no tās.</w:t>
      </w:r>
    </w:p>
    <w:p w:rsidR="003E022D" w:rsidRDefault="007D19D6">
      <w:pPr>
        <w:rPr>
          <w:noProof/>
        </w:rPr>
      </w:pPr>
      <w:r>
        <w:rPr>
          <w:noProof/>
        </w:rPr>
        <w:t>4.</w:t>
      </w:r>
      <w:r>
        <w:rPr>
          <w:noProof/>
        </w:rPr>
        <w:tab/>
        <w:t xml:space="preserve">Puses cenšas vislielākā mērā </w:t>
      </w:r>
      <w:r>
        <w:rPr>
          <w:noProof/>
        </w:rPr>
        <w:t>sadarboties aviācijas drošības jautājumos, apmainīties ar informāciju par apdraudējumu, neaizsargātību un risku, vienojoties par piemērotu klasificētas informācijas drošas nodošanas, izmantošanas, glabāšanas un iznīcināšanas kārtību, apspriest un savā star</w:t>
      </w:r>
      <w:r>
        <w:rPr>
          <w:noProof/>
        </w:rPr>
        <w:t>pā kopīgot paraugpraksi, drošības iekārtu darbības un atklāšanas standartus, atbilstības uzraudzības paraugpraksi un rezultātus, kā arī sadarboties citās jomās, ko Puses var būt noteikušas. Puses galvenokārt cenšas izstrādāt un uzturēt kārtību sadarbībai s</w:t>
      </w:r>
      <w:r>
        <w:rPr>
          <w:noProof/>
        </w:rPr>
        <w:t>tarp tehniskajiem ekspertiem aviācijas drošības standartu izstrādē un atzīšanā ar mērķi veicināt sadarbību, samazināt administratīvo dublēšanos un veicināt agrīnu paziņošanu un iepriekšēju apspriešanos par jaunām drošības iniciatīvām un prasībām.</w:t>
      </w:r>
      <w:r>
        <w:rPr>
          <w:noProof/>
          <w:u w:val="single"/>
        </w:rPr>
        <w:t xml:space="preserve"> </w:t>
      </w:r>
    </w:p>
    <w:p w:rsidR="003E022D" w:rsidRDefault="007D19D6">
      <w:pPr>
        <w:rPr>
          <w:noProof/>
        </w:rPr>
      </w:pPr>
      <w:r>
        <w:rPr>
          <w:noProof/>
        </w:rPr>
        <w:t>5.</w:t>
      </w:r>
      <w:r>
        <w:rPr>
          <w:noProof/>
        </w:rPr>
        <w:tab/>
        <w:t>Katra</w:t>
      </w:r>
      <w:r>
        <w:rPr>
          <w:noProof/>
        </w:rPr>
        <w:t xml:space="preserve"> Puse pēc pieprasījuma dara pieejamus otrai Pusei </w:t>
      </w:r>
      <w:r>
        <w:rPr>
          <w:i/>
          <w:noProof/>
        </w:rPr>
        <w:t>ICAO</w:t>
      </w:r>
      <w:r>
        <w:rPr>
          <w:noProof/>
        </w:rPr>
        <w:t xml:space="preserve"> revīzijas rezultātus un kontrolētās valsts korektīvos pasākumus, ja ir savstarpēja vienošanās par attiecīgu tādas informācijas drošas pārsūtīšanas, izmantošanas, glabāšanas un iznīcināšanas kārtību.</w:t>
      </w:r>
    </w:p>
    <w:p w:rsidR="003E022D" w:rsidRDefault="007D19D6">
      <w:pPr>
        <w:rPr>
          <w:noProof/>
          <w:color w:val="000000" w:themeColor="text1"/>
        </w:rPr>
      </w:pPr>
      <w:r>
        <w:rPr>
          <w:noProof/>
          <w:color w:val="000000" w:themeColor="text1"/>
        </w:rPr>
        <w:t>6.</w:t>
      </w:r>
      <w:r>
        <w:rPr>
          <w:noProof/>
        </w:rPr>
        <w:tab/>
      </w:r>
      <w:r>
        <w:rPr>
          <w:noProof/>
          <w:color w:val="000000" w:themeColor="text1"/>
        </w:rPr>
        <w:t>Puses vienojas sadarboties drošības pārbaužu jomā, ko tās veic kādas Puses teritorijā, ieviešot mehānismus, ieskaitot administratīvu kārtību, informācijas savstarpējai apmaiņai par tādu drošības pārbaužu rezultātiem. Puses apņemas atsaucīgi izskatīt lūgum</w:t>
      </w:r>
      <w:r>
        <w:rPr>
          <w:noProof/>
          <w:color w:val="000000" w:themeColor="text1"/>
        </w:rPr>
        <w:t>us novērotāja statusā piedalīties otras Puses rīkotās drošības pārbaudēs.</w:t>
      </w:r>
    </w:p>
    <w:p w:rsidR="003E022D" w:rsidRDefault="007D19D6">
      <w:pPr>
        <w:rPr>
          <w:noProof/>
        </w:rPr>
      </w:pPr>
      <w:r>
        <w:rPr>
          <w:noProof/>
        </w:rPr>
        <w:t>7.</w:t>
      </w:r>
      <w:r>
        <w:rPr>
          <w:noProof/>
        </w:rPr>
        <w:tab/>
        <w:t>Izpildot 9. punktu un pilnībā ievērojot un respektējot otras Puses suverenitāti, Puse var pieņemt drošības pasākumus ieceļošanai tās teritorijā. Ja iespējams, minētā Puse ņem vērā</w:t>
      </w:r>
      <w:r>
        <w:rPr>
          <w:noProof/>
        </w:rPr>
        <w:t xml:space="preserve"> drošības pasākumus, kurus jau piemēro otra Puse, un otras Puses viedokli. Katra Puse atzīst, ka šis pants nekādi neierobežo nevienas Puses tiesības atteikt tās teritorijā ielidot reisam(-iem), ko tā uzskata par bīstamu(-iem) tās drošībai.</w:t>
      </w:r>
    </w:p>
    <w:p w:rsidR="003E022D" w:rsidRDefault="007D19D6">
      <w:pPr>
        <w:rPr>
          <w:noProof/>
        </w:rPr>
      </w:pPr>
      <w:r>
        <w:rPr>
          <w:noProof/>
        </w:rPr>
        <w:t>8.</w:t>
      </w:r>
      <w:r>
        <w:rPr>
          <w:noProof/>
        </w:rPr>
        <w:tab/>
        <w:t>Puse var veik</w:t>
      </w:r>
      <w:r>
        <w:rPr>
          <w:noProof/>
        </w:rPr>
        <w:t>t ārkārtas pasākumus, lai novērstu specifiskas briesmas drošībai. Par tādiem pasākumiem tūlīt paziņo otrai Pusei.  Neskarot vajadzību veikt tūlītējus pasākumus, lai aizsargātu aviācijas drošību, Puse, apsverot drošības pasākumus, novērtē iespējamo negatīvo</w:t>
      </w:r>
      <w:r>
        <w:rPr>
          <w:noProof/>
        </w:rPr>
        <w:t xml:space="preserve"> ietekmi uz starptautisko gaisa transportu un, ja likums ļauj, šo ietekmi ņem vērā, nosakot, kādi pasākumi ir nepieciešami un piemēroti drošības problēmu risināšanai.</w:t>
      </w:r>
    </w:p>
    <w:p w:rsidR="003E022D" w:rsidRDefault="007D19D6">
      <w:pPr>
        <w:rPr>
          <w:noProof/>
        </w:rPr>
      </w:pPr>
      <w:r>
        <w:rPr>
          <w:noProof/>
        </w:rPr>
        <w:t>9.</w:t>
      </w:r>
      <w:r>
        <w:rPr>
          <w:noProof/>
        </w:rPr>
        <w:tab/>
        <w:t>Gaisa transporta pakalpojumos, kuru ceļamērķis ir tās teritorijā, Puse nevar prasīt dr</w:t>
      </w:r>
      <w:r>
        <w:rPr>
          <w:noProof/>
        </w:rPr>
        <w:t xml:space="preserve">ošības pasākumu īstenošanu otras Puses teritorijā. Ja kāda Puse uzskata, ka specifiska apdraudējuma dēļ papildus pasākumiem, kuri jau ir spēkā otras Puses teritorijā, ir steidzami jāīsteno pagaidu pasākumi, tā informē otru Pusi par apdraudējuma īpatnībām, </w:t>
      </w:r>
      <w:r>
        <w:rPr>
          <w:noProof/>
        </w:rPr>
        <w:t>ciktāl tas saskan ar drošības informācijas aizsardzību, un par ierosinātajiem pasākumiem. Otra Puse tādu priekšlikumu objektīvi apsver un var nolemt īstenot papildu pasākumus tā, kā uzskata par vajadzīgu.  Tādi pasākumi ir samērīgi un uz noteiktu laiku.</w:t>
      </w:r>
    </w:p>
    <w:p w:rsidR="003E022D" w:rsidRDefault="007D19D6">
      <w:pPr>
        <w:rPr>
          <w:noProof/>
        </w:rPr>
      </w:pPr>
      <w:r>
        <w:rPr>
          <w:noProof/>
        </w:rPr>
        <w:t>10</w:t>
      </w:r>
      <w:r>
        <w:rPr>
          <w:noProof/>
        </w:rPr>
        <w:t>.</w:t>
      </w:r>
      <w:r>
        <w:rPr>
          <w:noProof/>
        </w:rPr>
        <w:tab/>
        <w:t>Ja notiek incidents, kas saistīts ar civila gaisa kuģa nelikumīgu sagrābšanu, vai pastāv tādas briesmas, vai notiek citas nelikumīgas darbības pret gaisa kuģa, pasažieru un apkalpes, lidostas vai aeronavigācijas objektu drošību, Puses viena otrai palīdz,</w:t>
      </w:r>
      <w:r>
        <w:rPr>
          <w:noProof/>
        </w:rPr>
        <w:t xml:space="preserve"> atvieglinot saziņu un veicot citus piemērotus pasākumus, lai ātri un droši tādu incidentu vai briesmas likvidētu.</w:t>
      </w:r>
    </w:p>
    <w:p w:rsidR="003E022D" w:rsidRDefault="007D19D6">
      <w:pPr>
        <w:rPr>
          <w:noProof/>
        </w:rPr>
      </w:pPr>
      <w:r>
        <w:rPr>
          <w:noProof/>
        </w:rPr>
        <w:t>11.</w:t>
      </w:r>
      <w:r>
        <w:rPr>
          <w:noProof/>
        </w:rPr>
        <w:tab/>
        <w:t>Katra Puse veic visus pasākumus, ko uzskata par lietderīgiem, lai nodrošinātu, ka gaisa kuģis, kurš nelikumīgi sagrābts vai pret kuru vei</w:t>
      </w:r>
      <w:r>
        <w:rPr>
          <w:noProof/>
        </w:rPr>
        <w:t>ktas citas nelikumīgas darbības, un kurš atrodas uz zemes tās teritorijā, tiek aizturēts uz zemes, ja vien gaisa kuģa nepieciešamību izlidot nenosaka augstāks pienākums aizsargāt cilvēku dzīvību. Ja ir lietderīgi, tādus pasākumus veic uz Pušu konsultēšanās</w:t>
      </w:r>
      <w:r>
        <w:rPr>
          <w:noProof/>
        </w:rPr>
        <w:t xml:space="preserve"> pamata. </w:t>
      </w:r>
    </w:p>
    <w:p w:rsidR="003E022D" w:rsidRDefault="007D19D6">
      <w:pPr>
        <w:rPr>
          <w:noProof/>
        </w:rPr>
      </w:pPr>
      <w:bookmarkStart w:id="219" w:name="_Hlk58862714"/>
      <w:r>
        <w:rPr>
          <w:noProof/>
        </w:rPr>
        <w:t>12.</w:t>
      </w:r>
      <w:r>
        <w:rPr>
          <w:noProof/>
        </w:rPr>
        <w:tab/>
        <w:t xml:space="preserve">Ja Pusei ir dibināts iemesls uzskatīt, ka otra Puse neievēro šā panta noteikumus, pirmā var pieprasīt tūlītēju konsultēšanos ar otru Pusi. Konsultēšanās sākas 30 dienu laikā pēc pieprasījuma saņemšanas. Ja 15 dienās vai ilgākā norunātā laikā </w:t>
      </w:r>
      <w:r>
        <w:rPr>
          <w:noProof/>
        </w:rPr>
        <w:t>pēc pieprasījuma saņemšanas netiek panākta apmierinoša vienošanās, Pusei, kura pieprasījusi konsultēšanos, ir iemesls veikt darbības, lai atteiktu, atsauktu, apturētu vai ierobežotu otras Puses pārvadātāja(-u) darbības atļauju(-as) un tehnisko(-ās) atļauju</w:t>
      </w:r>
      <w:r>
        <w:rPr>
          <w:noProof/>
        </w:rPr>
        <w:t>(-as) vai tai(-ām) izvirzītu nosacījumus ar mērķi nodrošināt atbilstību šā panta noteikumiem. Ārkārtējas situācijas dēļ vai nolūkā novērst turpmāku neatbilstību šā panta noteikumiem Puse var veikt pagaidu pasākumus pirms šajā punktā minētā 15 dienu termiņa</w:t>
      </w:r>
      <w:r>
        <w:rPr>
          <w:noProof/>
        </w:rPr>
        <w:t xml:space="preserve"> beigām.</w:t>
      </w:r>
      <w:bookmarkEnd w:id="219"/>
    </w:p>
    <w:p w:rsidR="003E022D" w:rsidRDefault="007D19D6">
      <w:pPr>
        <w:rPr>
          <w:noProof/>
        </w:rPr>
      </w:pPr>
      <w:r>
        <w:rPr>
          <w:noProof/>
        </w:rPr>
        <w:t>13.</w:t>
      </w:r>
      <w:bookmarkEnd w:id="218"/>
      <w:r>
        <w:rPr>
          <w:noProof/>
        </w:rPr>
        <w:tab/>
        <w:t>Darbību, kas tiek veikta saskaņā ar 8. punktu, izbeidz, ja attiecīgā Puse uzskata, ka darbība vairs nav vajadzīga vai ir aizstāta ar citiem pasākumiem, kas mazina briesmas.  Darbību, kas tiek veikta saskaņā ar 12. punktu, izbeidz, kad otra Pus</w:t>
      </w:r>
      <w:r>
        <w:rPr>
          <w:noProof/>
        </w:rPr>
        <w:t>e izpilda šā panta noteikumus.  Ja darbība tiek veikta saskaņā ar 8. vai 12. punktu, to var izbeigt, Pusēm vienojoties.</w:t>
      </w:r>
    </w:p>
    <w:p w:rsidR="003E022D" w:rsidRDefault="007D19D6">
      <w:pPr>
        <w:rPr>
          <w:noProof/>
          <w:color w:val="FF0000"/>
        </w:rPr>
      </w:pPr>
      <w:r>
        <w:rPr>
          <w:noProof/>
        </w:rPr>
        <w:t>14.</w:t>
      </w:r>
      <w:r>
        <w:rPr>
          <w:noProof/>
        </w:rPr>
        <w:tab/>
        <w:t>Ja ir veikti pasākumi vai darbības saskaņā ar 7., 8., 9. vai 12. punktu, Puse var izmantot sestās daļas I sadaļā [Strīdu izšķiršana]</w:t>
      </w:r>
      <w:r>
        <w:rPr>
          <w:noProof/>
        </w:rPr>
        <w:t xml:space="preserve"> paredzētos strīdu izšķiršanas noteikumus. Šķīrējtiesa uzskata šo jautājumu par steidzamu lietu INST.19. panta [Steidzamas procedūras] izpratnē.</w:t>
      </w:r>
    </w:p>
    <w:p w:rsidR="003E022D" w:rsidRDefault="007D19D6">
      <w:pPr>
        <w:pStyle w:val="Article"/>
        <w:rPr>
          <w:noProof/>
        </w:rPr>
      </w:pPr>
      <w:r>
        <w:rPr>
          <w:noProof/>
        </w:rPr>
        <w:t>AIRTRN.20. pants. Gaisa satiksmes pārvaldība</w:t>
      </w:r>
    </w:p>
    <w:p w:rsidR="003E022D" w:rsidRDefault="007D19D6">
      <w:pPr>
        <w:rPr>
          <w:noProof/>
        </w:rPr>
      </w:pPr>
      <w:r>
        <w:rPr>
          <w:noProof/>
        </w:rPr>
        <w:t>1.</w:t>
      </w:r>
      <w:r>
        <w:rPr>
          <w:noProof/>
        </w:rPr>
        <w:tab/>
        <w:t xml:space="preserve">Puses un to attiecīgās kompetentās iestādes un aeronavigācijas </w:t>
      </w:r>
      <w:r>
        <w:rPr>
          <w:noProof/>
        </w:rPr>
        <w:t>pakalpojumu sniedzēji sadarbojas tā, lai Eiropas reģionā veicinātu drošu un efektīvu gaisa satiksmes darbību. Puses cenšas panākt viena otras pakalpojumu sniedzēju sadarbspēju.</w:t>
      </w:r>
    </w:p>
    <w:p w:rsidR="003E022D" w:rsidRDefault="007D19D6">
      <w:pPr>
        <w:rPr>
          <w:noProof/>
        </w:rPr>
      </w:pPr>
      <w:r>
        <w:rPr>
          <w:noProof/>
        </w:rPr>
        <w:t>2.</w:t>
      </w:r>
      <w:r>
        <w:rPr>
          <w:noProof/>
        </w:rPr>
        <w:tab/>
        <w:t>Lai optimizētu lidojumu vispārējo efektivitāti, samazinātu izmaksas, mazināt</w:t>
      </w:r>
      <w:r>
        <w:rPr>
          <w:noProof/>
        </w:rPr>
        <w:t>u vides ietekmējumu un Pušu pastāvošo gaisa satiksmes pārvaldības sistēmu starpā uzlabotu drošību un gaisa satiksmes plūsmu jaudas, Puses vienojas sadarboties jautājumos, kas attiecas uz aeronavigācijas pakalpojumu un tīkla funkciju darbību un maksas notei</w:t>
      </w:r>
      <w:r>
        <w:rPr>
          <w:noProof/>
        </w:rPr>
        <w:t xml:space="preserve">kšanu. </w:t>
      </w:r>
    </w:p>
    <w:p w:rsidR="003E022D" w:rsidRDefault="007D19D6">
      <w:pPr>
        <w:rPr>
          <w:noProof/>
        </w:rPr>
      </w:pPr>
      <w:r>
        <w:rPr>
          <w:noProof/>
        </w:rPr>
        <w:t>3.</w:t>
      </w:r>
      <w:r>
        <w:rPr>
          <w:noProof/>
        </w:rPr>
        <w:tab/>
        <w:t>Lai optimizētu lidojumu efektivitāti ar mērķi uzlabot gaisa satiksmes paredzamību, punktualitāti un pakalpojumu nepārtrauktību, Puses vienojas veicināt savu aeronavigācijas pakalpojumu sniedzēju sadarbību lidojumu datu apmaiņā un satiksmes plūsm</w:t>
      </w:r>
      <w:r>
        <w:rPr>
          <w:noProof/>
        </w:rPr>
        <w:t>u koordinēšanā.</w:t>
      </w:r>
    </w:p>
    <w:p w:rsidR="003E022D" w:rsidRDefault="007D19D6">
      <w:pPr>
        <w:rPr>
          <w:noProof/>
        </w:rPr>
      </w:pPr>
      <w:r>
        <w:rPr>
          <w:noProof/>
        </w:rPr>
        <w:t>4.</w:t>
      </w:r>
      <w:r>
        <w:rPr>
          <w:noProof/>
        </w:rPr>
        <w:tab/>
        <w:t xml:space="preserve">Puses vienojas sadarboties savās gaisa satiksmes pārvaldības modernizācijas programmās, ieskaitot pētniecības, izstrādes un ieviešanas darbības, un veicināt vienai otras dalību validācijas un demonstrācijas pasākumos ar mērķi nodrošināt </w:t>
      </w:r>
      <w:r>
        <w:rPr>
          <w:noProof/>
        </w:rPr>
        <w:t>vispārēju sadarbspēju.</w:t>
      </w:r>
    </w:p>
    <w:p w:rsidR="003E022D" w:rsidRDefault="007D19D6">
      <w:pPr>
        <w:pStyle w:val="Article"/>
        <w:rPr>
          <w:noProof/>
        </w:rPr>
      </w:pPr>
      <w:r>
        <w:rPr>
          <w:noProof/>
        </w:rPr>
        <w:t>AIRTRN.21. pants. Pārvadātāju līgumatbildība</w:t>
      </w:r>
    </w:p>
    <w:p w:rsidR="003E022D" w:rsidRDefault="007D19D6">
      <w:pPr>
        <w:rPr>
          <w:noProof/>
          <w:u w:val="single"/>
        </w:rPr>
      </w:pPr>
      <w:r>
        <w:rPr>
          <w:noProof/>
        </w:rPr>
        <w:t>Puses atkārtoti apliecina savus pienākumus, kurus uzņēmušās atbilstīgi 1999. gada 28. maijā Monreālā pieņemtajai Konvencijai par dažu starptautiskā gaisa transporta noteikumu unifikāciju (</w:t>
      </w:r>
      <w:r>
        <w:rPr>
          <w:noProof/>
        </w:rPr>
        <w:t>Monreālas konvencijai).</w:t>
      </w:r>
    </w:p>
    <w:p w:rsidR="003E022D" w:rsidRDefault="007D19D6">
      <w:pPr>
        <w:pStyle w:val="Article"/>
        <w:rPr>
          <w:noProof/>
        </w:rPr>
      </w:pPr>
      <w:r>
        <w:rPr>
          <w:noProof/>
        </w:rPr>
        <w:t>AIRTRN.22. pants. Patērētāju tiesību aizsardzība</w:t>
      </w:r>
    </w:p>
    <w:p w:rsidR="003E022D" w:rsidRDefault="007D19D6">
      <w:pPr>
        <w:rPr>
          <w:noProof/>
          <w:color w:val="000000" w:themeColor="text1"/>
        </w:rPr>
      </w:pPr>
      <w:r>
        <w:rPr>
          <w:noProof/>
        </w:rPr>
        <w:t>1.</w:t>
      </w:r>
      <w:r>
        <w:rPr>
          <w:noProof/>
        </w:rPr>
        <w:tab/>
        <w:t>Pušu kopīgs mērķis ir augsta patērētāju aizsardzības līmeņa sasniegšana, un tās sadarbojas, lai to panāktu.</w:t>
      </w:r>
    </w:p>
    <w:p w:rsidR="003E022D" w:rsidRDefault="007D19D6">
      <w:pPr>
        <w:rPr>
          <w:noProof/>
          <w:color w:val="000000" w:themeColor="text1"/>
        </w:rPr>
      </w:pPr>
      <w:r>
        <w:rPr>
          <w:noProof/>
          <w:color w:val="000000" w:themeColor="text1"/>
        </w:rPr>
        <w:t>2.</w:t>
      </w:r>
      <w:r>
        <w:rPr>
          <w:noProof/>
        </w:rPr>
        <w:tab/>
      </w:r>
      <w:r>
        <w:rPr>
          <w:noProof/>
          <w:color w:val="000000" w:themeColor="text1"/>
        </w:rPr>
        <w:t>Puses nodrošina, ka tiek veikti iedarbīgi un nediskriminējoši pasākum</w:t>
      </w:r>
      <w:r>
        <w:rPr>
          <w:noProof/>
          <w:color w:val="000000" w:themeColor="text1"/>
        </w:rPr>
        <w:t>i, kas gaisa transportā aizsargā patērētāju intereses. Šādi pasākumi aptver pienācīgu piekļuvi informācijai, palīdzību, arī invalīdiem un cilvēkiem ar ierobežotu spēju pārvietoties, atmaksāšanu un attiecīgā gadījumā kompensāciju iekāpšanas atteikuma, atcel</w:t>
      </w:r>
      <w:r>
        <w:rPr>
          <w:noProof/>
          <w:color w:val="000000" w:themeColor="text1"/>
        </w:rPr>
        <w:t xml:space="preserve">šanas vai kavēšanās gadījumā un efektīvas sūdzību izskatīšanas procedūras. </w:t>
      </w:r>
    </w:p>
    <w:p w:rsidR="003E022D" w:rsidRDefault="007D19D6">
      <w:pPr>
        <w:rPr>
          <w:noProof/>
        </w:rPr>
      </w:pPr>
      <w:r>
        <w:rPr>
          <w:noProof/>
          <w:color w:val="000000" w:themeColor="text1"/>
        </w:rPr>
        <w:t>3.</w:t>
      </w:r>
      <w:r>
        <w:rPr>
          <w:noProof/>
        </w:rPr>
        <w:tab/>
        <w:t>Puses viena ar otru apspriež jautājumus, kas saistīti ar patērētāju aizsardzību, kā arī apspriež savus plānotos pasākumus šajā sakarā.</w:t>
      </w:r>
    </w:p>
    <w:p w:rsidR="003E022D" w:rsidRDefault="007D19D6">
      <w:pPr>
        <w:pStyle w:val="Article"/>
        <w:rPr>
          <w:noProof/>
        </w:rPr>
      </w:pPr>
      <w:r>
        <w:rPr>
          <w:noProof/>
        </w:rPr>
        <w:t xml:space="preserve">AIRTRN.23. pants. Saistība ar citiem </w:t>
      </w:r>
      <w:r>
        <w:rPr>
          <w:noProof/>
        </w:rPr>
        <w:t>nolīgumiem</w:t>
      </w:r>
    </w:p>
    <w:p w:rsidR="003E022D" w:rsidRDefault="007D19D6">
      <w:pPr>
        <w:rPr>
          <w:noProof/>
        </w:rPr>
      </w:pPr>
      <w:r>
        <w:rPr>
          <w:noProof/>
        </w:rPr>
        <w:t>1.</w:t>
      </w:r>
      <w:r>
        <w:rPr>
          <w:noProof/>
        </w:rPr>
        <w:tab/>
        <w:t>Šis nolīgums aizstāj agrākus Apvienotās Karalistes un dalībvalstu nolīgumus un nolīgto kārtību jautājumos, uz kuriem attiecas šī sadaļa, ciktāl tos neaizstāj Savienības tiesību akti.</w:t>
      </w:r>
    </w:p>
    <w:p w:rsidR="003E022D" w:rsidRDefault="007D19D6">
      <w:pPr>
        <w:rPr>
          <w:noProof/>
        </w:rPr>
      </w:pPr>
      <w:r>
        <w:rPr>
          <w:noProof/>
        </w:rPr>
        <w:t>2.</w:t>
      </w:r>
      <w:r>
        <w:rPr>
          <w:noProof/>
        </w:rPr>
        <w:tab/>
        <w:t xml:space="preserve">Apvienotā Karaliste un dalībvalsts nedrīkst viena otrai </w:t>
      </w:r>
      <w:r>
        <w:rPr>
          <w:noProof/>
        </w:rPr>
        <w:t>piešķirt tiesības, kas saistītas ar gaisa transportu uz to attiecīgajām teritorijām, no tām vai to teritorijā, ja tās nav skaidri noteiktas šajā sadaļā, izņemot AIRTRN.3. panta 4. un 9. punktā [Satiksmes tiesības] noteiktās.</w:t>
      </w:r>
    </w:p>
    <w:p w:rsidR="003E022D" w:rsidRDefault="007D19D6">
      <w:pPr>
        <w:rPr>
          <w:noProof/>
        </w:rPr>
      </w:pPr>
      <w:r>
        <w:rPr>
          <w:noProof/>
        </w:rPr>
        <w:t>3.</w:t>
      </w:r>
      <w:r>
        <w:rPr>
          <w:noProof/>
        </w:rPr>
        <w:tab/>
        <w:t>Ja Puses kļūst par cita daud</w:t>
      </w:r>
      <w:r>
        <w:rPr>
          <w:noProof/>
        </w:rPr>
        <w:t xml:space="preserve">zpusēja nolīguma pusēm vai apstiprina </w:t>
      </w:r>
      <w:r>
        <w:rPr>
          <w:i/>
          <w:noProof/>
        </w:rPr>
        <w:t>ICAO</w:t>
      </w:r>
      <w:r>
        <w:rPr>
          <w:noProof/>
        </w:rPr>
        <w:t xml:space="preserve"> vai citas starptautiskas organizācijas pieņemtu lēmumu, kas skar šīs sadaļas jautājumus, tās konsultējas Specializētajā gaisa transporta komitejā, lai noteiktu, vai šī sadaļa ir pārskatāma nolūkā ņemt vērā minētās</w:t>
      </w:r>
      <w:r>
        <w:rPr>
          <w:noProof/>
        </w:rPr>
        <w:t xml:space="preserve"> pārmaiņas.</w:t>
      </w:r>
    </w:p>
    <w:p w:rsidR="003E022D" w:rsidRDefault="007D19D6">
      <w:pPr>
        <w:rPr>
          <w:noProof/>
        </w:rPr>
      </w:pPr>
      <w:r>
        <w:rPr>
          <w:noProof/>
        </w:rPr>
        <w:t>4.</w:t>
      </w:r>
      <w:r>
        <w:rPr>
          <w:noProof/>
        </w:rPr>
        <w:tab/>
        <w:t>Šī sadaļa nekādi neietekmē to, vai ir spēkā un ir piemērojamas pastāvošas un turpmākas dalībvalstu un Apvienotās Karalistes vienošanās par to attiecīgā suverenitātē esošām teritorijām, uz kurām neattiecas FINPROV.1. pants [Teritoriālā piemēr</w:t>
      </w:r>
      <w:r>
        <w:rPr>
          <w:noProof/>
        </w:rPr>
        <w:t xml:space="preserve">ošana]. </w:t>
      </w:r>
    </w:p>
    <w:p w:rsidR="003E022D" w:rsidRDefault="007D19D6">
      <w:pPr>
        <w:rPr>
          <w:noProof/>
        </w:rPr>
      </w:pPr>
      <w:r>
        <w:rPr>
          <w:noProof/>
        </w:rPr>
        <w:t>5.</w:t>
      </w:r>
      <w:r>
        <w:rPr>
          <w:noProof/>
        </w:rPr>
        <w:tab/>
        <w:t>Šī sadaļa nekādi neietekmē tiesības, kas Apvienotajai Karalistei un dalībvalstīm pieejamas saskaņā ar 1956. gada 30. aprīlī Parīzē parakstīto Daudzpusējo nolīgumu par neregulāro gaisa transporta pakalpojumu komerctiesībām Eiropā, ciktāl tās pār</w:t>
      </w:r>
      <w:r>
        <w:rPr>
          <w:noProof/>
        </w:rPr>
        <w:t>sniedz šajā sadaļā noteiktās tiesības.</w:t>
      </w:r>
    </w:p>
    <w:p w:rsidR="003E022D" w:rsidRDefault="007D19D6">
      <w:pPr>
        <w:pStyle w:val="Article"/>
        <w:rPr>
          <w:noProof/>
        </w:rPr>
      </w:pPr>
      <w:r>
        <w:rPr>
          <w:noProof/>
        </w:rPr>
        <w:t>AIRTRN.24. pants.  Apturēšana un izbeigšana</w:t>
      </w:r>
    </w:p>
    <w:p w:rsidR="003E022D" w:rsidRDefault="007D19D6">
      <w:pPr>
        <w:rPr>
          <w:noProof/>
        </w:rPr>
      </w:pPr>
      <w:r>
        <w:rPr>
          <w:noProof/>
        </w:rPr>
        <w:t>1.</w:t>
      </w:r>
      <w:r>
        <w:rPr>
          <w:noProof/>
        </w:rPr>
        <w:tab/>
        <w:t xml:space="preserve">Šīs sadaļas darbības pilnīgu vai daļēju apturēšanu saskaņā ar INST.24. pantu [Tiesiskās aizsardzības pagaidu līdzekļi neatbilstības gadījumā] var īstenot ne agrāk kā no </w:t>
      </w:r>
      <w:r>
        <w:rPr>
          <w:noProof/>
        </w:rPr>
        <w:t>Starptautiskās gaisa transporta asociācijas (</w:t>
      </w:r>
      <w:r>
        <w:rPr>
          <w:i/>
          <w:iCs/>
          <w:noProof/>
        </w:rPr>
        <w:t>IATA</w:t>
      </w:r>
      <w:r>
        <w:rPr>
          <w:noProof/>
        </w:rPr>
        <w:t>) satiksmes sezonas pirmās dienas pēc sezonas, kurā par apturēšanu paziņots.</w:t>
      </w:r>
    </w:p>
    <w:p w:rsidR="003E022D" w:rsidRDefault="007D19D6">
      <w:pPr>
        <w:rPr>
          <w:noProof/>
        </w:rPr>
      </w:pPr>
      <w:r>
        <w:rPr>
          <w:noProof/>
        </w:rPr>
        <w:t>2.</w:t>
      </w:r>
      <w:r>
        <w:rPr>
          <w:noProof/>
        </w:rPr>
        <w:tab/>
        <w:t>Pēc šā nolīguma izbeigšanas saskaņā ar FINPROV.8. pantu [Izbeigšana] vai pēc šīs sadaļas izbeigšanas saskaņā ar AIRTRN.25. pant</w:t>
      </w:r>
      <w:r>
        <w:rPr>
          <w:noProof/>
        </w:rPr>
        <w:t>u [Šīs sadaļas darbības izbeigšana] vai OTH.10. pantu [Otrās daļas izbeigšana], vai FISH.17. pantu [Izbeigšana] noteikumus, kas reglamentē šīs sadaļas darbības jomā ietilpstošos jautājumus, turpina piemērot pēc izbeigšanas dienas, kura minēta FINPROV.8. pa</w:t>
      </w:r>
      <w:r>
        <w:rPr>
          <w:noProof/>
        </w:rPr>
        <w:t xml:space="preserve">ntā [Izbeigšana] vai AIRTRN.25. pantā [Šīs sadaļas darbības izbeigšana], vai OTH.10. pantā [Otrās daļas izbeigšana], vai FISH.17. pantā [Izbeigšana], līdz tajā dienā ritošās </w:t>
      </w:r>
      <w:r>
        <w:rPr>
          <w:i/>
          <w:iCs/>
          <w:noProof/>
        </w:rPr>
        <w:t>IATA</w:t>
      </w:r>
      <w:r>
        <w:rPr>
          <w:noProof/>
        </w:rPr>
        <w:t xml:space="preserve"> satiksmes sezonas beigām.</w:t>
      </w:r>
    </w:p>
    <w:p w:rsidR="003E022D" w:rsidRDefault="007D19D6">
      <w:pPr>
        <w:rPr>
          <w:noProof/>
        </w:rPr>
      </w:pPr>
      <w:r>
        <w:rPr>
          <w:noProof/>
        </w:rPr>
        <w:t>3.</w:t>
      </w:r>
      <w:r>
        <w:rPr>
          <w:noProof/>
        </w:rPr>
        <w:tab/>
        <w:t xml:space="preserve">Puse, kura pilnīgi vai daļēji aptur šīs sadaļas </w:t>
      </w:r>
      <w:r>
        <w:rPr>
          <w:noProof/>
        </w:rPr>
        <w:t xml:space="preserve">darbību vai izbeidz šo nolīgumu vai šo sadaļu, par to informē </w:t>
      </w:r>
      <w:r>
        <w:rPr>
          <w:i/>
          <w:iCs/>
          <w:noProof/>
        </w:rPr>
        <w:t>ICAO</w:t>
      </w:r>
      <w:r>
        <w:rPr>
          <w:noProof/>
        </w:rPr>
        <w:t>.</w:t>
      </w:r>
    </w:p>
    <w:p w:rsidR="003E022D" w:rsidRDefault="007D19D6">
      <w:pPr>
        <w:pStyle w:val="Article"/>
        <w:rPr>
          <w:noProof/>
        </w:rPr>
      </w:pPr>
      <w:r>
        <w:rPr>
          <w:noProof/>
        </w:rPr>
        <w:t>AIRTRN.25. pants. Šīs sadaļas darbības izbeigšana</w:t>
      </w:r>
    </w:p>
    <w:p w:rsidR="003E022D" w:rsidRDefault="007D19D6">
      <w:pPr>
        <w:rPr>
          <w:noProof/>
        </w:rPr>
      </w:pPr>
      <w:r>
        <w:rPr>
          <w:noProof/>
        </w:rPr>
        <w:t>Neskarot FINPROV.8. pantu [Izbeigšana], OTH.10. pantu [Otrās daļas darbības izbeigšana] un FISH.17. pantu [Izbeigšana], katra Puse var jeb</w:t>
      </w:r>
      <w:r>
        <w:rPr>
          <w:noProof/>
        </w:rPr>
        <w:t>kurā laikā izbeigt šīs sadaļas piemērošanu, ar diplomātisko kanālu starpniecību iesniedzot rakstisku paziņojumu. Šādā gadījumā šī sadaļa zaudē spēku devītā mēneša pirmajā dienā pēc paziņojuma nosūtīšanas dienas.</w:t>
      </w:r>
    </w:p>
    <w:p w:rsidR="003E022D" w:rsidRDefault="007D19D6">
      <w:pPr>
        <w:pStyle w:val="Article"/>
        <w:rPr>
          <w:noProof/>
        </w:rPr>
      </w:pPr>
      <w:r>
        <w:rPr>
          <w:noProof/>
        </w:rPr>
        <w:t>AIRTRN.26. pants. Nolīguma reģistrācija</w:t>
      </w:r>
    </w:p>
    <w:p w:rsidR="003E022D" w:rsidRDefault="007D19D6">
      <w:pPr>
        <w:rPr>
          <w:noProof/>
        </w:rPr>
      </w:pPr>
      <w:r>
        <w:rPr>
          <w:noProof/>
        </w:rPr>
        <w:t>Šo n</w:t>
      </w:r>
      <w:r>
        <w:rPr>
          <w:noProof/>
        </w:rPr>
        <w:t xml:space="preserve">olīgumu un tā grozījumus, ciktāl tas ir būtiski, reģistrē </w:t>
      </w:r>
      <w:r>
        <w:rPr>
          <w:i/>
          <w:noProof/>
        </w:rPr>
        <w:t>ICAO</w:t>
      </w:r>
      <w:r>
        <w:rPr>
          <w:noProof/>
        </w:rPr>
        <w:t xml:space="preserve"> saskaņā ar konvencijas 83. pantu.</w:t>
      </w:r>
    </w:p>
    <w:p w:rsidR="003E022D" w:rsidRDefault="007D19D6">
      <w:pPr>
        <w:spacing w:after="0" w:line="276" w:lineRule="auto"/>
        <w:jc w:val="left"/>
        <w:rPr>
          <w:rFonts w:asciiTheme="majorHAnsi" w:hAnsiTheme="majorHAnsi" w:cstheme="minorHAnsi"/>
          <w:i/>
          <w:caps/>
          <w:noProof/>
        </w:rPr>
      </w:pPr>
      <w:bookmarkStart w:id="220" w:name="_Toc59556525"/>
      <w:r>
        <w:rPr>
          <w:noProof/>
        </w:rPr>
        <w:br w:type="page"/>
      </w:r>
    </w:p>
    <w:p w:rsidR="003E022D" w:rsidRDefault="007D19D6">
      <w:pPr>
        <w:pStyle w:val="Title1"/>
        <w:rPr>
          <w:noProof/>
        </w:rPr>
      </w:pPr>
      <w:bookmarkStart w:id="221" w:name="_Toc59988352"/>
      <w:r>
        <w:rPr>
          <w:noProof/>
        </w:rPr>
        <w:t xml:space="preserve">II sadaļa. </w:t>
      </w:r>
      <w:bookmarkEnd w:id="220"/>
      <w:r>
        <w:rPr>
          <w:noProof/>
        </w:rPr>
        <w:t>Aviācijas drošums</w:t>
      </w:r>
      <w:bookmarkEnd w:id="221"/>
    </w:p>
    <w:p w:rsidR="003E022D" w:rsidRDefault="007D19D6">
      <w:pPr>
        <w:pStyle w:val="Article"/>
        <w:rPr>
          <w:noProof/>
        </w:rPr>
      </w:pPr>
      <w:r>
        <w:rPr>
          <w:noProof/>
        </w:rPr>
        <w:t>AVSAF.1. pants. Mērķi</w:t>
      </w:r>
    </w:p>
    <w:p w:rsidR="003E022D" w:rsidRDefault="007D19D6">
      <w:pPr>
        <w:rPr>
          <w:noProof/>
        </w:rPr>
      </w:pPr>
      <w:r>
        <w:rPr>
          <w:noProof/>
        </w:rPr>
        <w:t>Šīs sadaļas mērķi ir šādi:</w:t>
      </w:r>
    </w:p>
    <w:p w:rsidR="003E022D" w:rsidRDefault="007D19D6">
      <w:pPr>
        <w:numPr>
          <w:ilvl w:val="0"/>
          <w:numId w:val="379"/>
        </w:numPr>
        <w:ind w:left="567" w:hanging="567"/>
        <w:rPr>
          <w:rFonts w:cstheme="minorHAnsi"/>
          <w:noProof/>
        </w:rPr>
      </w:pPr>
      <w:r>
        <w:rPr>
          <w:noProof/>
        </w:rPr>
        <w:t>ļaut savstarpēji atzīt, kā noteikts šīs sadaļas pielikumos, katras Puses kompet</w:t>
      </w:r>
      <w:r>
        <w:rPr>
          <w:noProof/>
        </w:rPr>
        <w:t>ento iestāžu vai apstiprināto organizāciju sagatavotos atbilstības atzinumus un izdotos apliecinājumus;</w:t>
      </w:r>
    </w:p>
    <w:p w:rsidR="003E022D" w:rsidRDefault="007D19D6">
      <w:pPr>
        <w:numPr>
          <w:ilvl w:val="0"/>
          <w:numId w:val="379"/>
        </w:numPr>
        <w:ind w:left="567" w:hanging="567"/>
        <w:rPr>
          <w:rFonts w:cstheme="minorHAnsi"/>
          <w:noProof/>
        </w:rPr>
      </w:pPr>
      <w:r>
        <w:rPr>
          <w:noProof/>
        </w:rPr>
        <w:t>veicināt sadarbību nolūkā panākt augstu civilās aviācijas drošumu un atbilstību vides prasībām;</w:t>
      </w:r>
    </w:p>
    <w:p w:rsidR="003E022D" w:rsidRDefault="007D19D6">
      <w:pPr>
        <w:numPr>
          <w:ilvl w:val="0"/>
          <w:numId w:val="379"/>
        </w:numPr>
        <w:ind w:left="567" w:hanging="567"/>
        <w:rPr>
          <w:rFonts w:cstheme="minorHAnsi"/>
          <w:noProof/>
        </w:rPr>
      </w:pPr>
      <w:r>
        <w:rPr>
          <w:noProof/>
        </w:rPr>
        <w:t>sekmēt civilās aviācijas nozares daudzvalstu dimensiju;</w:t>
      </w:r>
    </w:p>
    <w:p w:rsidR="003E022D" w:rsidRDefault="007D19D6">
      <w:pPr>
        <w:numPr>
          <w:ilvl w:val="0"/>
          <w:numId w:val="379"/>
        </w:numPr>
        <w:ind w:left="567" w:hanging="567"/>
        <w:rPr>
          <w:noProof/>
        </w:rPr>
      </w:pPr>
      <w:r>
        <w:rPr>
          <w:noProof/>
        </w:rPr>
        <w:t>atvieglināt un veicināt civilās aeronavigācijas ražojumu un pakalpojumu brīvu plūsmu.</w:t>
      </w:r>
    </w:p>
    <w:p w:rsidR="003E022D" w:rsidRDefault="007D19D6">
      <w:pPr>
        <w:pStyle w:val="Article"/>
        <w:rPr>
          <w:noProof/>
        </w:rPr>
      </w:pPr>
      <w:r>
        <w:rPr>
          <w:noProof/>
        </w:rPr>
        <w:t>AVSAF.2. pants. Definīcijas</w:t>
      </w:r>
    </w:p>
    <w:p w:rsidR="003E022D" w:rsidRDefault="007D19D6">
      <w:pPr>
        <w:rPr>
          <w:noProof/>
        </w:rPr>
      </w:pPr>
      <w:r>
        <w:rPr>
          <w:noProof/>
        </w:rPr>
        <w:t>Šajā sadaļā piemēro šādas definīcijas:</w:t>
      </w:r>
    </w:p>
    <w:p w:rsidR="003E022D" w:rsidRDefault="007D19D6">
      <w:pPr>
        <w:numPr>
          <w:ilvl w:val="0"/>
          <w:numId w:val="380"/>
        </w:numPr>
        <w:ind w:left="567" w:hanging="567"/>
        <w:rPr>
          <w:rFonts w:cstheme="minorHAnsi"/>
          <w:noProof/>
        </w:rPr>
      </w:pPr>
      <w:r>
        <w:rPr>
          <w:noProof/>
        </w:rPr>
        <w:t>“apstiprinātā organizācija” ir juridiska persona, kuru kādas Puses kompetentā iestāde apstiprinājusi ar</w:t>
      </w:r>
      <w:r>
        <w:rPr>
          <w:noProof/>
        </w:rPr>
        <w:t xml:space="preserve"> šīs sadaļas darbības jomu saistītu tiesību īstenošanai;</w:t>
      </w:r>
    </w:p>
    <w:p w:rsidR="003E022D" w:rsidRDefault="007D19D6">
      <w:pPr>
        <w:numPr>
          <w:ilvl w:val="0"/>
          <w:numId w:val="380"/>
        </w:numPr>
        <w:ind w:left="567" w:hanging="567"/>
        <w:rPr>
          <w:rFonts w:cstheme="minorHAnsi"/>
          <w:noProof/>
        </w:rPr>
      </w:pPr>
      <w:r>
        <w:rPr>
          <w:noProof/>
        </w:rPr>
        <w:t>“sertifikāts” ir jebkurš apstiprinājums, licence vai cits dokuments, kas izdots kā atzinums par to, ka civilās aeronavigācijas ražojums, organizācija vai juridiska vai fiziska persona atbilst piemēro</w:t>
      </w:r>
      <w:r>
        <w:rPr>
          <w:noProof/>
        </w:rPr>
        <w:t>jamajām prasībām, kas noteiktas Puses normatīvajos aktos;</w:t>
      </w:r>
    </w:p>
    <w:p w:rsidR="003E022D" w:rsidRDefault="007D19D6">
      <w:pPr>
        <w:numPr>
          <w:ilvl w:val="0"/>
          <w:numId w:val="380"/>
        </w:numPr>
        <w:ind w:left="567" w:hanging="567"/>
        <w:rPr>
          <w:rFonts w:cstheme="minorHAnsi"/>
          <w:noProof/>
        </w:rPr>
      </w:pPr>
      <w:r>
        <w:rPr>
          <w:noProof/>
        </w:rPr>
        <w:t>“civilās aeronavigācijas ražojums” ir civilās aviācijas gaisa kuģis, gaisa kuģa dzinējs vai gaisa kuģa propelleris, vai montāžas mezgls, ierīce, daļa vai komponents, kas tajā uzstādīts vai ko tajā p</w:t>
      </w:r>
      <w:r>
        <w:rPr>
          <w:noProof/>
        </w:rPr>
        <w:t>aredzēts uzstādīt;</w:t>
      </w:r>
    </w:p>
    <w:p w:rsidR="003E022D" w:rsidRDefault="007D19D6">
      <w:pPr>
        <w:numPr>
          <w:ilvl w:val="0"/>
          <w:numId w:val="380"/>
        </w:numPr>
        <w:ind w:left="567" w:hanging="567"/>
        <w:rPr>
          <w:rFonts w:cstheme="minorHAnsi"/>
          <w:noProof/>
        </w:rPr>
      </w:pPr>
      <w:r>
        <w:rPr>
          <w:noProof/>
        </w:rPr>
        <w:t>“kompetentā iestāde” ir pārvaldes iestāde vai struktūrvienība, kas atbild par civilās aviācijas drošumu un ko Puse šīs sadaļas izpildei izraudzījusi veikt šādas funkcijas:</w:t>
      </w:r>
    </w:p>
    <w:p w:rsidR="003E022D" w:rsidRDefault="007D19D6">
      <w:pPr>
        <w:numPr>
          <w:ilvl w:val="0"/>
          <w:numId w:val="381"/>
        </w:numPr>
        <w:ind w:left="1276" w:hanging="567"/>
        <w:rPr>
          <w:noProof/>
          <w:color w:val="000000"/>
          <w:u w:color="000000"/>
          <w:bdr w:val="nil"/>
        </w:rPr>
      </w:pPr>
      <w:r>
        <w:rPr>
          <w:noProof/>
          <w:color w:val="000000"/>
          <w:u w:color="000000"/>
          <w:bdr w:val="nil"/>
        </w:rPr>
        <w:t xml:space="preserve">novērtēt tās pārraudzībā esošo civilās aeronavigācijas ražojumu, </w:t>
      </w:r>
      <w:r>
        <w:rPr>
          <w:noProof/>
          <w:color w:val="000000"/>
          <w:u w:color="000000"/>
          <w:bdr w:val="nil"/>
        </w:rPr>
        <w:t>organizāciju, iekārtu, darbību un pakalpojumu atbilstību piemērojamajām prasībām, kas noteiktas attiecīgās Puses normatīvajos un administratīvajos aktos;</w:t>
      </w:r>
    </w:p>
    <w:p w:rsidR="003E022D" w:rsidRDefault="007D19D6">
      <w:pPr>
        <w:numPr>
          <w:ilvl w:val="0"/>
          <w:numId w:val="381"/>
        </w:numPr>
        <w:ind w:left="1276" w:hanging="567"/>
        <w:rPr>
          <w:noProof/>
          <w:color w:val="000000"/>
          <w:u w:color="000000"/>
          <w:bdr w:val="nil"/>
        </w:rPr>
      </w:pPr>
      <w:r>
        <w:rPr>
          <w:noProof/>
          <w:color w:val="000000"/>
          <w:u w:color="000000"/>
          <w:bdr w:val="nil"/>
        </w:rPr>
        <w:t>uzraudzīt, vai to atbilstība minētajām prasībām ir pastāvīga; un</w:t>
      </w:r>
    </w:p>
    <w:p w:rsidR="003E022D" w:rsidRDefault="007D19D6">
      <w:pPr>
        <w:numPr>
          <w:ilvl w:val="0"/>
          <w:numId w:val="381"/>
        </w:numPr>
        <w:ind w:left="1276" w:hanging="567"/>
        <w:rPr>
          <w:noProof/>
          <w:color w:val="000000"/>
          <w:u w:color="000000"/>
          <w:bdr w:val="nil"/>
        </w:rPr>
      </w:pPr>
      <w:r>
        <w:rPr>
          <w:noProof/>
        </w:rPr>
        <w:t xml:space="preserve">veikt izpildes panākšanas darbības, </w:t>
      </w:r>
      <w:r>
        <w:rPr>
          <w:noProof/>
        </w:rPr>
        <w:t>lai nodrošinātu to atbilstību minētajām prasībām;</w:t>
      </w:r>
    </w:p>
    <w:p w:rsidR="003E022D" w:rsidRDefault="007D19D6">
      <w:pPr>
        <w:numPr>
          <w:ilvl w:val="0"/>
          <w:numId w:val="380"/>
        </w:numPr>
        <w:ind w:left="567" w:hanging="567"/>
        <w:rPr>
          <w:rFonts w:cstheme="minorHAnsi"/>
          <w:noProof/>
        </w:rPr>
      </w:pPr>
      <w:r>
        <w:rPr>
          <w:noProof/>
        </w:rPr>
        <w:t>“atbilstības atzinumi” ir tādi konstatējumi par Puses noteiktajos normatīvajos aktos piemērojamām prasībām, kuri ir tādu darbību rezultāts kā testēšana, pārbaudes, kvalificēšana, apstiprināšana un uzraudzīb</w:t>
      </w:r>
      <w:r>
        <w:rPr>
          <w:noProof/>
        </w:rPr>
        <w:t>a;</w:t>
      </w:r>
    </w:p>
    <w:p w:rsidR="003E022D" w:rsidRDefault="007D19D6">
      <w:pPr>
        <w:numPr>
          <w:ilvl w:val="0"/>
          <w:numId w:val="380"/>
        </w:numPr>
        <w:ind w:left="567" w:hanging="567"/>
        <w:rPr>
          <w:rFonts w:cstheme="minorHAnsi"/>
          <w:noProof/>
        </w:rPr>
      </w:pPr>
      <w:r>
        <w:rPr>
          <w:noProof/>
        </w:rPr>
        <w:t xml:space="preserve">“uzraudzība” ir Puses kompetentās iestādes veikta regulāra novērošana, kuras mērķis ir pārliecināties par pastāvīgu atbilstību piemērojamajām prasībām, kas noteiktas attiecīgās Puses normatīvajos aktos; </w:t>
      </w:r>
    </w:p>
    <w:p w:rsidR="003E022D" w:rsidRDefault="007D19D6">
      <w:pPr>
        <w:numPr>
          <w:ilvl w:val="0"/>
          <w:numId w:val="380"/>
        </w:numPr>
        <w:ind w:left="567" w:hanging="567"/>
        <w:rPr>
          <w:rFonts w:cstheme="minorHAnsi"/>
          <w:noProof/>
        </w:rPr>
      </w:pPr>
      <w:r>
        <w:rPr>
          <w:noProof/>
        </w:rPr>
        <w:t>“tehniskais pārstāvis” Savienībai ir Eiropas Savi</w:t>
      </w:r>
      <w:r>
        <w:rPr>
          <w:noProof/>
        </w:rPr>
        <w:t>enības Aviācijas drošības aģentūra (“</w:t>
      </w:r>
      <w:r>
        <w:rPr>
          <w:i/>
          <w:noProof/>
        </w:rPr>
        <w:t>EASA</w:t>
      </w:r>
      <w:r>
        <w:rPr>
          <w:noProof/>
        </w:rPr>
        <w:t>”) vai tās pienākumu pārņēmējs un Apvienotajai Karalistei – “United Kingdom Civil Aviation Authority” (“</w:t>
      </w:r>
      <w:r>
        <w:rPr>
          <w:i/>
          <w:noProof/>
        </w:rPr>
        <w:t>CAA</w:t>
      </w:r>
      <w:r>
        <w:rPr>
          <w:noProof/>
        </w:rPr>
        <w:t>”) vai tās pienākumu pārņēmējs;</w:t>
      </w:r>
    </w:p>
    <w:p w:rsidR="003E022D" w:rsidRDefault="007D19D6">
      <w:pPr>
        <w:numPr>
          <w:ilvl w:val="0"/>
          <w:numId w:val="380"/>
        </w:numPr>
        <w:ind w:left="567" w:hanging="567"/>
        <w:rPr>
          <w:rFonts w:cstheme="minorHAnsi"/>
          <w:noProof/>
        </w:rPr>
      </w:pPr>
      <w:r>
        <w:rPr>
          <w:noProof/>
        </w:rPr>
        <w:t>“konvencija” ir 1944. gada 7. decembrī Čikāgā parakstītā Konvencija par star</w:t>
      </w:r>
      <w:r>
        <w:rPr>
          <w:noProof/>
        </w:rPr>
        <w:t>ptautisko civilo aviāciju, kurā ietilpst:</w:t>
      </w:r>
    </w:p>
    <w:p w:rsidR="003E022D" w:rsidRDefault="007D19D6">
      <w:pPr>
        <w:numPr>
          <w:ilvl w:val="0"/>
          <w:numId w:val="382"/>
        </w:numPr>
        <w:ind w:left="1276" w:hanging="567"/>
        <w:rPr>
          <w:noProof/>
          <w:color w:val="000000"/>
          <w:u w:color="000000"/>
          <w:bdr w:val="nil"/>
        </w:rPr>
      </w:pPr>
      <w:r>
        <w:rPr>
          <w:noProof/>
          <w:color w:val="000000"/>
          <w:u w:color="000000"/>
          <w:bdr w:val="nil"/>
        </w:rPr>
        <w:t>grozījumi, kas stājušies spēkā saskaņā ar Konvencijas 94. panta a) apakšpunktu un ko ratificējušas gan Apvienotā Karaliste, gan attiecīgā dalībvalsts vai attiecīgās dalībvalstis – kā kurā gadījumā, un</w:t>
      </w:r>
    </w:p>
    <w:p w:rsidR="003E022D" w:rsidRDefault="007D19D6">
      <w:pPr>
        <w:numPr>
          <w:ilvl w:val="0"/>
          <w:numId w:val="382"/>
        </w:numPr>
        <w:ind w:left="1276" w:hanging="567"/>
        <w:rPr>
          <w:noProof/>
          <w:color w:val="000000"/>
          <w:u w:color="000000"/>
          <w:bdr w:val="nil"/>
        </w:rPr>
      </w:pPr>
      <w:r>
        <w:rPr>
          <w:noProof/>
          <w:color w:val="000000"/>
          <w:u w:color="000000"/>
          <w:bdr w:val="nil"/>
        </w:rPr>
        <w:t>tās pielikumi</w:t>
      </w:r>
      <w:r>
        <w:rPr>
          <w:noProof/>
          <w:color w:val="000000"/>
          <w:u w:color="000000"/>
          <w:bdr w:val="nil"/>
        </w:rPr>
        <w:t xml:space="preserve"> vai to grozījumi, kas pieņemti saskaņā ar Konvencijas 90. pantu, tādā mērā, cik pielikums vai grozījums tajā brīdī darbojas gan Apvienotajai Karalistei, gan dalībvalstij vai dalībvalstīm, kā kurā gadījumā;</w:t>
      </w:r>
    </w:p>
    <w:p w:rsidR="003E022D" w:rsidRDefault="007D19D6">
      <w:pPr>
        <w:pStyle w:val="Article"/>
        <w:rPr>
          <w:noProof/>
        </w:rPr>
      </w:pPr>
      <w:r>
        <w:rPr>
          <w:noProof/>
        </w:rPr>
        <w:t>AVSAF.3. pants Darbības joma un īstenošana</w:t>
      </w:r>
    </w:p>
    <w:p w:rsidR="003E022D" w:rsidRDefault="007D19D6">
      <w:pPr>
        <w:rPr>
          <w:noProof/>
        </w:rPr>
      </w:pPr>
      <w:r>
        <w:rPr>
          <w:noProof/>
        </w:rPr>
        <w:t>1.</w:t>
      </w:r>
      <w:r>
        <w:rPr>
          <w:noProof/>
        </w:rPr>
        <w:tab/>
        <w:t>Pus</w:t>
      </w:r>
      <w:r>
        <w:rPr>
          <w:noProof/>
        </w:rPr>
        <w:t>es var sadarboties šādās jomās:</w:t>
      </w:r>
    </w:p>
    <w:p w:rsidR="003E022D" w:rsidRDefault="007D19D6">
      <w:pPr>
        <w:numPr>
          <w:ilvl w:val="0"/>
          <w:numId w:val="383"/>
        </w:numPr>
        <w:ind w:left="567" w:hanging="567"/>
        <w:rPr>
          <w:rFonts w:cstheme="minorHAnsi"/>
          <w:noProof/>
        </w:rPr>
      </w:pPr>
      <w:r>
        <w:rPr>
          <w:noProof/>
        </w:rPr>
        <w:t>civilās aeronavigācijas ražojumu lidojumderīguma sertifikāti un uzraudzība;</w:t>
      </w:r>
    </w:p>
    <w:p w:rsidR="003E022D" w:rsidRDefault="007D19D6">
      <w:pPr>
        <w:numPr>
          <w:ilvl w:val="0"/>
          <w:numId w:val="383"/>
        </w:numPr>
        <w:ind w:left="567" w:hanging="567"/>
        <w:rPr>
          <w:rFonts w:cstheme="minorHAnsi"/>
          <w:noProof/>
        </w:rPr>
      </w:pPr>
      <w:r>
        <w:rPr>
          <w:noProof/>
        </w:rPr>
        <w:t>civilās aeronavigācijas ražojumu vides sertifikāti un testēšana attiecībā uz atbilstību vides prasībām;</w:t>
      </w:r>
    </w:p>
    <w:p w:rsidR="003E022D" w:rsidRDefault="007D19D6">
      <w:pPr>
        <w:numPr>
          <w:ilvl w:val="0"/>
          <w:numId w:val="383"/>
        </w:numPr>
        <w:ind w:left="567" w:hanging="567"/>
        <w:rPr>
          <w:noProof/>
        </w:rPr>
      </w:pPr>
      <w:r>
        <w:rPr>
          <w:noProof/>
        </w:rPr>
        <w:t>konstrukcijas un ražošanas sertifikāti un ko</w:t>
      </w:r>
      <w:r>
        <w:rPr>
          <w:noProof/>
        </w:rPr>
        <w:t>nstruēšanas un ražošanas organizāciju uzraudzība;</w:t>
      </w:r>
    </w:p>
    <w:p w:rsidR="003E022D" w:rsidRDefault="007D19D6">
      <w:pPr>
        <w:numPr>
          <w:ilvl w:val="0"/>
          <w:numId w:val="383"/>
        </w:numPr>
        <w:ind w:left="567" w:hanging="567"/>
        <w:rPr>
          <w:rFonts w:cstheme="minorHAnsi"/>
          <w:noProof/>
        </w:rPr>
      </w:pPr>
      <w:r>
        <w:rPr>
          <w:noProof/>
        </w:rPr>
        <w:t>apkopes organizāciju sertifikāti un apkopes organizāciju uzraudzība;</w:t>
      </w:r>
    </w:p>
    <w:p w:rsidR="003E022D" w:rsidRDefault="007D19D6">
      <w:pPr>
        <w:numPr>
          <w:ilvl w:val="0"/>
          <w:numId w:val="383"/>
        </w:numPr>
        <w:ind w:left="567" w:hanging="567"/>
        <w:rPr>
          <w:rFonts w:cstheme="minorHAnsi"/>
          <w:noProof/>
        </w:rPr>
      </w:pPr>
      <w:r>
        <w:rPr>
          <w:noProof/>
        </w:rPr>
        <w:t>personāla licencēšana un apmācība;</w:t>
      </w:r>
    </w:p>
    <w:p w:rsidR="003E022D" w:rsidRDefault="007D19D6">
      <w:pPr>
        <w:numPr>
          <w:ilvl w:val="0"/>
          <w:numId w:val="383"/>
        </w:numPr>
        <w:ind w:left="567" w:hanging="567"/>
        <w:rPr>
          <w:rFonts w:cstheme="minorHAnsi"/>
          <w:noProof/>
        </w:rPr>
      </w:pPr>
      <w:r>
        <w:rPr>
          <w:noProof/>
        </w:rPr>
        <w:t>lidojumu trenažieru kvalifikācijas izvērtēšana;</w:t>
      </w:r>
    </w:p>
    <w:p w:rsidR="003E022D" w:rsidRDefault="007D19D6">
      <w:pPr>
        <w:numPr>
          <w:ilvl w:val="0"/>
          <w:numId w:val="383"/>
        </w:numPr>
        <w:ind w:left="567" w:hanging="567"/>
        <w:rPr>
          <w:rFonts w:cstheme="minorHAnsi"/>
          <w:noProof/>
        </w:rPr>
      </w:pPr>
      <w:r>
        <w:rPr>
          <w:noProof/>
        </w:rPr>
        <w:t xml:space="preserve">gaisa kuģa darbība, </w:t>
      </w:r>
    </w:p>
    <w:p w:rsidR="003E022D" w:rsidRDefault="007D19D6">
      <w:pPr>
        <w:numPr>
          <w:ilvl w:val="0"/>
          <w:numId w:val="383"/>
        </w:numPr>
        <w:ind w:left="567" w:hanging="567"/>
        <w:rPr>
          <w:rFonts w:cstheme="minorHAnsi"/>
          <w:noProof/>
        </w:rPr>
      </w:pPr>
      <w:r>
        <w:rPr>
          <w:noProof/>
        </w:rPr>
        <w:t>gaisa satiksmes pārvaldība un aer</w:t>
      </w:r>
      <w:r>
        <w:rPr>
          <w:noProof/>
        </w:rPr>
        <w:t>onavigācijas pakalpojumi;</w:t>
      </w:r>
    </w:p>
    <w:p w:rsidR="003E022D" w:rsidRDefault="007D19D6">
      <w:pPr>
        <w:numPr>
          <w:ilvl w:val="0"/>
          <w:numId w:val="383"/>
        </w:numPr>
        <w:ind w:left="567" w:hanging="567"/>
        <w:rPr>
          <w:noProof/>
        </w:rPr>
      </w:pPr>
      <w:r>
        <w:rPr>
          <w:noProof/>
        </w:rPr>
        <w:t>citas ar aviācijas drošumu saistītas jomas, uz kurām attiecas Konvencijas pielikumi.</w:t>
      </w:r>
    </w:p>
    <w:p w:rsidR="003E022D" w:rsidRDefault="007D19D6">
      <w:pPr>
        <w:rPr>
          <w:noProof/>
        </w:rPr>
      </w:pPr>
      <w:r>
        <w:rPr>
          <w:noProof/>
        </w:rPr>
        <w:t>2.</w:t>
      </w:r>
      <w:r>
        <w:rPr>
          <w:noProof/>
        </w:rPr>
        <w:tab/>
        <w:t xml:space="preserve">Šīs sadaļas darbības jomu nosaka pielikumos, kas attiecas uz katru 1. punktā minēto sadarbības jomu. </w:t>
      </w:r>
    </w:p>
    <w:p w:rsidR="003E022D" w:rsidRDefault="007D19D6">
      <w:pPr>
        <w:rPr>
          <w:noProof/>
        </w:rPr>
      </w:pPr>
      <w:r>
        <w:rPr>
          <w:noProof/>
        </w:rPr>
        <w:t>3.</w:t>
      </w:r>
      <w:r>
        <w:rPr>
          <w:noProof/>
        </w:rPr>
        <w:tab/>
        <w:t>Specializētā aviācijas drošuma komite</w:t>
      </w:r>
      <w:r>
        <w:rPr>
          <w:noProof/>
        </w:rPr>
        <w:t>ja 2. punktā minētos pielikumus var pieņemt tikai tad, ja katra Puse ir konstatējusi, ka otras Puses civilās aviācijas standarti, noteikumi, prakse, procedūras un sistēmas nodrošina pietiekami līdzvērtīgu drošumu, kas ļauj akceptēt tās kompetentās iestādes</w:t>
      </w:r>
      <w:r>
        <w:rPr>
          <w:noProof/>
        </w:rPr>
        <w:t xml:space="preserve"> vai minētās kompetentās iestādes apstiprinātu organizāciju sniegtos atbilstības atzinumus un izdotās apliecības.</w:t>
      </w:r>
    </w:p>
    <w:p w:rsidR="003E022D" w:rsidRDefault="007D19D6">
      <w:pPr>
        <w:rPr>
          <w:noProof/>
        </w:rPr>
      </w:pPr>
      <w:r>
        <w:rPr>
          <w:noProof/>
        </w:rPr>
        <w:t>4.</w:t>
      </w:r>
      <w:r>
        <w:rPr>
          <w:noProof/>
        </w:rPr>
        <w:tab/>
        <w:t>Katrā 2. punktā minētajā pielikumā apraksta atbilstības atzinumu un apliecinājumu savstarpējas atzīšanas noteikumus, nosacījumus un veidu u</w:t>
      </w:r>
      <w:r>
        <w:rPr>
          <w:noProof/>
        </w:rPr>
        <w:t>n, ja vajadzīgs, pārejas kārtību.</w:t>
      </w:r>
    </w:p>
    <w:p w:rsidR="003E022D" w:rsidRDefault="007D19D6">
      <w:pPr>
        <w:rPr>
          <w:noProof/>
        </w:rPr>
      </w:pPr>
      <w:r>
        <w:rPr>
          <w:noProof/>
        </w:rPr>
        <w:t>5.</w:t>
      </w:r>
      <w:r>
        <w:rPr>
          <w:noProof/>
        </w:rPr>
        <w:tab/>
        <w:t>Tehniskie pārstāvji var izstrādāt katra atsevišķa pielikuma īstenošanas kārtību. Tehniskās atšķirības starp Pušu civilās aviācijas standartiem, noteikumiem, praksi, procedūrām un sistēmām aplūko 2. punktā norādītajos pi</w:t>
      </w:r>
      <w:r>
        <w:rPr>
          <w:noProof/>
        </w:rPr>
        <w:t>elikumos un īstenošanas kārtībā.</w:t>
      </w:r>
    </w:p>
    <w:p w:rsidR="003E022D" w:rsidRDefault="007D19D6">
      <w:pPr>
        <w:pStyle w:val="Article"/>
        <w:rPr>
          <w:noProof/>
        </w:rPr>
      </w:pPr>
      <w:r>
        <w:rPr>
          <w:noProof/>
        </w:rPr>
        <w:t>AVSAF.4. pants. Vispārīgi pienākumi</w:t>
      </w:r>
    </w:p>
    <w:p w:rsidR="003E022D" w:rsidRDefault="007D19D6">
      <w:pPr>
        <w:rPr>
          <w:rFonts w:cstheme="minorHAnsi"/>
          <w:noProof/>
        </w:rPr>
      </w:pPr>
      <w:r>
        <w:rPr>
          <w:noProof/>
        </w:rPr>
        <w:t>1.</w:t>
      </w:r>
      <w:r>
        <w:rPr>
          <w:noProof/>
        </w:rPr>
        <w:tab/>
        <w:t xml:space="preserve">Katra Puse saskaņā ar AVSAF.3. panta [Darbības joma un īstenošana] 2. punktā norādītajos pielikumos izklāstītajiem noteikumiem akceptē otras Puses kompetento iestāžu vai apstiprināto </w:t>
      </w:r>
      <w:r>
        <w:rPr>
          <w:noProof/>
        </w:rPr>
        <w:t>organizāciju izdotos atbilstības atzinumus un apliecinājumus.</w:t>
      </w:r>
    </w:p>
    <w:p w:rsidR="003E022D" w:rsidRDefault="007D19D6">
      <w:pPr>
        <w:rPr>
          <w:rFonts w:cstheme="minorHAnsi"/>
          <w:noProof/>
        </w:rPr>
      </w:pPr>
      <w:r>
        <w:rPr>
          <w:noProof/>
        </w:rPr>
        <w:t>2.</w:t>
      </w:r>
      <w:r>
        <w:rPr>
          <w:noProof/>
        </w:rPr>
        <w:tab/>
        <w:t>Šī sadaļa nekādi nav pamats Pušu standartu vai tehnisko noteikumu abpusējai atzīšanai.</w:t>
      </w:r>
    </w:p>
    <w:p w:rsidR="003E022D" w:rsidRDefault="007D19D6">
      <w:pPr>
        <w:rPr>
          <w:noProof/>
        </w:rPr>
      </w:pPr>
      <w:r>
        <w:rPr>
          <w:noProof/>
        </w:rPr>
        <w:t>3.</w:t>
      </w:r>
      <w:r>
        <w:rPr>
          <w:noProof/>
        </w:rPr>
        <w:tab/>
        <w:t>Katra Puse nodrošina savu attiecīgo kompetento iestāžu spēju pildīt savus pienākumus un pienākumu izp</w:t>
      </w:r>
      <w:r>
        <w:rPr>
          <w:noProof/>
        </w:rPr>
        <w:t>ildi saskaņā ar šo sadaļu.</w:t>
      </w:r>
    </w:p>
    <w:p w:rsidR="003E022D" w:rsidRDefault="007D19D6">
      <w:pPr>
        <w:pStyle w:val="Article"/>
        <w:rPr>
          <w:noProof/>
        </w:rPr>
      </w:pPr>
      <w:r>
        <w:rPr>
          <w:noProof/>
        </w:rPr>
        <w:t>AVSAF.5. pants. Regulatīvo pilnvaru paturēšana</w:t>
      </w:r>
    </w:p>
    <w:p w:rsidR="003E022D" w:rsidRDefault="007D19D6">
      <w:pPr>
        <w:rPr>
          <w:rFonts w:cstheme="minorHAnsi"/>
          <w:noProof/>
        </w:rPr>
      </w:pPr>
      <w:r>
        <w:rPr>
          <w:noProof/>
        </w:rPr>
        <w:t>Šī sadaļa nekādi nav uztverama tā, ka tā ierobežotu Puses pilnvaras ar normatīviem un administratīviem pasākumiem noteikt tādu aizsardzības līmeni, kādu tā uzskata par atbilstošu dro</w:t>
      </w:r>
      <w:r>
        <w:rPr>
          <w:noProof/>
        </w:rPr>
        <w:t>šumam un videi.</w:t>
      </w:r>
    </w:p>
    <w:p w:rsidR="003E022D" w:rsidRDefault="007D19D6">
      <w:pPr>
        <w:pStyle w:val="Article"/>
        <w:rPr>
          <w:noProof/>
        </w:rPr>
      </w:pPr>
      <w:r>
        <w:rPr>
          <w:noProof/>
        </w:rPr>
        <w:t>AVSAF.6. pants. Aizsardzības pasākumi</w:t>
      </w:r>
    </w:p>
    <w:p w:rsidR="003E022D" w:rsidRDefault="007D19D6">
      <w:pPr>
        <w:rPr>
          <w:rFonts w:cstheme="minorHAnsi"/>
          <w:noProof/>
        </w:rPr>
      </w:pPr>
      <w:r>
        <w:rPr>
          <w:noProof/>
        </w:rPr>
        <w:t>1.</w:t>
      </w:r>
      <w:r>
        <w:rPr>
          <w:noProof/>
        </w:rPr>
        <w:tab/>
        <w:t>Katra Puse var veikt pienācīgus un tūlītējus pasākumus, ja uzskata, ka pastāv pamatots risks, ka civilās aeronavigācijas ražojums, pakalpojums vai kāda darbība, uz ko attiecas šī sadaļa, var apdraudē</w:t>
      </w:r>
      <w:r>
        <w:rPr>
          <w:noProof/>
        </w:rPr>
        <w:t>t drošumu vai vidi, neatbilst tās piemērojamajiem normatīvajiem vai administratīvajiem pasākumiem vai kā citādi neatbilst kādai prasībai, kas ietilpst piemērojamā šīs sadaļas pielikuma darbības jomā.</w:t>
      </w:r>
    </w:p>
    <w:p w:rsidR="003E022D" w:rsidRDefault="007D19D6">
      <w:pPr>
        <w:rPr>
          <w:noProof/>
        </w:rPr>
      </w:pPr>
      <w:r>
        <w:rPr>
          <w:noProof/>
        </w:rPr>
        <w:t>2.</w:t>
      </w:r>
      <w:r>
        <w:rPr>
          <w:noProof/>
        </w:rPr>
        <w:tab/>
        <w:t>Ja viena Puse veic pasākumus atbilstīgi 1. punktam, t</w:t>
      </w:r>
      <w:r>
        <w:rPr>
          <w:noProof/>
        </w:rPr>
        <w:t>ā rakstveidā informē otru Pusi 15 darba dienas pirms attiecīgo pasākumu veikšanas, sniedzot pamatojumu.</w:t>
      </w:r>
    </w:p>
    <w:p w:rsidR="003E022D" w:rsidRDefault="007D19D6">
      <w:pPr>
        <w:pStyle w:val="Article"/>
        <w:rPr>
          <w:noProof/>
        </w:rPr>
      </w:pPr>
      <w:r>
        <w:rPr>
          <w:noProof/>
        </w:rPr>
        <w:t>AVSAF.7. pants. Saziņa</w:t>
      </w:r>
    </w:p>
    <w:p w:rsidR="003E022D" w:rsidRDefault="007D19D6">
      <w:pPr>
        <w:rPr>
          <w:rFonts w:cstheme="minorHAnsi"/>
          <w:noProof/>
        </w:rPr>
      </w:pPr>
      <w:r>
        <w:rPr>
          <w:noProof/>
        </w:rPr>
        <w:t>1.</w:t>
      </w:r>
      <w:r>
        <w:rPr>
          <w:noProof/>
        </w:rPr>
        <w:tab/>
        <w:t>Puses ieceļ un viena otrai dara zināmu kontaktpunktu saziņai par šīs sadaļas īstenošanu. Visa saziņa notiek angliski.</w:t>
      </w:r>
    </w:p>
    <w:p w:rsidR="003E022D" w:rsidRDefault="007D19D6">
      <w:pPr>
        <w:rPr>
          <w:rFonts w:cstheme="minorHAnsi"/>
          <w:noProof/>
        </w:rPr>
      </w:pPr>
      <w:r>
        <w:rPr>
          <w:noProof/>
        </w:rPr>
        <w:t>2.</w:t>
      </w:r>
      <w:r>
        <w:rPr>
          <w:noProof/>
        </w:rPr>
        <w:tab/>
        <w:t>Puses</w:t>
      </w:r>
      <w:r>
        <w:rPr>
          <w:noProof/>
        </w:rPr>
        <w:t xml:space="preserve"> viena otrai dara zināmu kompetento iestāžu sarakstu un vēlāk sarakstu atjaunina katrreiz, kad kļuvis nepieciešams.</w:t>
      </w:r>
    </w:p>
    <w:p w:rsidR="003E022D" w:rsidRDefault="007D19D6">
      <w:pPr>
        <w:pStyle w:val="Article"/>
        <w:rPr>
          <w:noProof/>
        </w:rPr>
      </w:pPr>
      <w:r>
        <w:rPr>
          <w:noProof/>
        </w:rPr>
        <w:t>AVSAF.8. pants. Pārredzamība, sadarbība tiesiskajā regulēšanā un savstarpēja palīdzība</w:t>
      </w:r>
    </w:p>
    <w:p w:rsidR="003E022D" w:rsidRDefault="007D19D6">
      <w:pPr>
        <w:rPr>
          <w:rFonts w:cstheme="minorHAnsi"/>
          <w:noProof/>
        </w:rPr>
      </w:pPr>
      <w:r>
        <w:rPr>
          <w:noProof/>
        </w:rPr>
        <w:t>1.</w:t>
      </w:r>
      <w:r>
        <w:rPr>
          <w:noProof/>
        </w:rPr>
        <w:tab/>
        <w:t xml:space="preserve">Katra Puse nodrošina otras Puses pastāvīgu </w:t>
      </w:r>
      <w:r>
        <w:rPr>
          <w:noProof/>
        </w:rPr>
        <w:t>informēšanu par saviem normatīvajiem aktiem, kas saistīti ar šo sadaļu, un par būtiskām izmaiņām minētajos normatīvajos aktos.</w:t>
      </w:r>
    </w:p>
    <w:p w:rsidR="003E022D" w:rsidRDefault="007D19D6">
      <w:pPr>
        <w:rPr>
          <w:rFonts w:cstheme="minorHAnsi"/>
          <w:noProof/>
        </w:rPr>
      </w:pPr>
      <w:r>
        <w:rPr>
          <w:noProof/>
        </w:rPr>
        <w:t>2.</w:t>
      </w:r>
      <w:r>
        <w:rPr>
          <w:noProof/>
        </w:rPr>
        <w:tab/>
        <w:t>Puses iespēju robežās viena otru informē par ierosināto savu normatīvo aktu, standartu un prasību, kā arī apliecinājumu izdoša</w:t>
      </w:r>
      <w:r>
        <w:rPr>
          <w:noProof/>
        </w:rPr>
        <w:t>nas sistēmu būtisku pārskatīšanu, ja pārskatīšana var ietekmēt šo sadaļu. Iespēju robežās tās viena otrai dod iespēju izteikt piezīmes par pārskatīšanu un tādas piezīmes pienācīgi izskata.</w:t>
      </w:r>
    </w:p>
    <w:p w:rsidR="003E022D" w:rsidRDefault="007D19D6">
      <w:pPr>
        <w:rPr>
          <w:rFonts w:cstheme="minorHAnsi"/>
          <w:noProof/>
        </w:rPr>
      </w:pPr>
      <w:r>
        <w:rPr>
          <w:noProof/>
        </w:rPr>
        <w:t>3.</w:t>
      </w:r>
      <w:r>
        <w:rPr>
          <w:noProof/>
        </w:rPr>
        <w:tab/>
        <w:t>Lai izmeklētu un risinātu specifiskus drošuma jautājumus, katras</w:t>
      </w:r>
      <w:r>
        <w:rPr>
          <w:noProof/>
        </w:rPr>
        <w:t xml:space="preserve"> Puses kompetentās iestādes var atļaut otras Puses kompetentajām iestādēm piedalīties kā novērotājām vienai otras veiktajās pārraudzības darbībās tā, kā norādīts piemērojamajā šīs sadaļas pielikumā.</w:t>
      </w:r>
    </w:p>
    <w:p w:rsidR="003E022D" w:rsidRDefault="007D19D6">
      <w:pPr>
        <w:rPr>
          <w:rFonts w:cstheme="minorHAnsi"/>
          <w:noProof/>
        </w:rPr>
      </w:pPr>
      <w:r>
        <w:rPr>
          <w:noProof/>
        </w:rPr>
        <w:t>4.</w:t>
      </w:r>
      <w:r>
        <w:rPr>
          <w:noProof/>
        </w:rPr>
        <w:tab/>
        <w:t>Uzraudzības un pārbaudes vajadzībām katras Puses kompe</w:t>
      </w:r>
      <w:r>
        <w:rPr>
          <w:noProof/>
        </w:rPr>
        <w:t>tentās iestādes, ja nepieciešams, palīdz otras Puses kompetentajām iestādēm netraucēti piekļūt tās pārraugāmajām regulētajām struktūrām.</w:t>
      </w:r>
    </w:p>
    <w:p w:rsidR="003E022D" w:rsidRDefault="007D19D6">
      <w:pPr>
        <w:rPr>
          <w:rFonts w:cstheme="minorHAnsi"/>
          <w:noProof/>
        </w:rPr>
      </w:pPr>
      <w:r>
        <w:rPr>
          <w:noProof/>
        </w:rPr>
        <w:t>5.</w:t>
      </w:r>
      <w:r>
        <w:rPr>
          <w:noProof/>
        </w:rPr>
        <w:tab/>
        <w:t>Lai nodrošinātu katras Puses pastāvīgu uzticēšanos otras Puses atbilstības atzīšanas procesiem, katrs tehniskais pār</w:t>
      </w:r>
      <w:r>
        <w:rPr>
          <w:noProof/>
        </w:rPr>
        <w:t>stāvis var kā novērotājs piedalīties otra pārstāvja pārraudzības darbībās šīs sadaļas pielikumos noteiktajā kārtībā. Piedalīšanās nenozīmē sistemātisku dalību otras Puses pārraudzības darbībās.</w:t>
      </w:r>
    </w:p>
    <w:p w:rsidR="003E022D" w:rsidRDefault="007D19D6">
      <w:pPr>
        <w:pStyle w:val="Article"/>
        <w:rPr>
          <w:noProof/>
        </w:rPr>
      </w:pPr>
      <w:r>
        <w:rPr>
          <w:noProof/>
        </w:rPr>
        <w:t>AVSAF.9. pants. Drošības informācijas apmaiņa</w:t>
      </w:r>
    </w:p>
    <w:p w:rsidR="003E022D" w:rsidRDefault="007D19D6">
      <w:pPr>
        <w:rPr>
          <w:rFonts w:cstheme="minorHAnsi"/>
          <w:noProof/>
        </w:rPr>
      </w:pPr>
      <w:r>
        <w:rPr>
          <w:noProof/>
        </w:rPr>
        <w:t>Neskarot AVSAF.1</w:t>
      </w:r>
      <w:r>
        <w:rPr>
          <w:noProof/>
        </w:rPr>
        <w:t>1. pantu [Konfidencialitāte un datu un informācijas aizsardzība], ievērojot savus piemērojamos tiesību aktus, Puses:</w:t>
      </w:r>
    </w:p>
    <w:p w:rsidR="003E022D" w:rsidRDefault="007D19D6">
      <w:pPr>
        <w:numPr>
          <w:ilvl w:val="0"/>
          <w:numId w:val="384"/>
        </w:numPr>
        <w:ind w:left="567" w:hanging="567"/>
        <w:rPr>
          <w:rFonts w:cstheme="minorHAnsi"/>
          <w:noProof/>
        </w:rPr>
      </w:pPr>
      <w:r>
        <w:rPr>
          <w:noProof/>
        </w:rPr>
        <w:t>pēc pieprasījuma laikus viena otrai sniedz saviem tehniskajiem pārstāvjiem pieejamo informāciju par negadījumiem, nopietniem incidentiem va</w:t>
      </w:r>
      <w:r>
        <w:rPr>
          <w:noProof/>
        </w:rPr>
        <w:t>i atgadījumiem saistībā ar civilās aeronavigācijas ražojumiem, pakalpojumiem vai darbībām, uz ko attiecas šīs sadaļas pielikumi; un</w:t>
      </w:r>
    </w:p>
    <w:p w:rsidR="003E022D" w:rsidRDefault="007D19D6">
      <w:pPr>
        <w:numPr>
          <w:ilvl w:val="0"/>
          <w:numId w:val="384"/>
        </w:numPr>
        <w:ind w:left="567" w:hanging="567"/>
        <w:rPr>
          <w:bCs/>
          <w:noProof/>
          <w:sz w:val="24"/>
          <w:szCs w:val="24"/>
        </w:rPr>
      </w:pPr>
      <w:r>
        <w:rPr>
          <w:noProof/>
        </w:rPr>
        <w:t>apmainās ar citu drošības informāciju saskaņā ar tehnisko pārstāvju vienošanos.</w:t>
      </w:r>
    </w:p>
    <w:p w:rsidR="003E022D" w:rsidRDefault="007D19D6">
      <w:pPr>
        <w:pStyle w:val="Article"/>
        <w:rPr>
          <w:noProof/>
        </w:rPr>
      </w:pPr>
      <w:r>
        <w:rPr>
          <w:noProof/>
        </w:rPr>
        <w:t>AVSAF.10. pants. Sadarbība izpildes nodrošin</w:t>
      </w:r>
      <w:r>
        <w:rPr>
          <w:noProof/>
        </w:rPr>
        <w:t>āšanā</w:t>
      </w:r>
    </w:p>
    <w:p w:rsidR="003E022D" w:rsidRDefault="007D19D6">
      <w:pPr>
        <w:rPr>
          <w:noProof/>
        </w:rPr>
      </w:pPr>
      <w:r>
        <w:rPr>
          <w:noProof/>
        </w:rPr>
        <w:t>Puses ar savu tehnisko pārstāvju vai kompetento iestāžu starpniecību pēc pieprasījuma, ievērojot piemērojamos normatīvos aktus, kā arī ņemot vērā vajadzīgo resursu pieejamību, nodrošina savstarpēju sadarbību un palīdzību izmeklēšanā vai izpildes darb</w:t>
      </w:r>
      <w:r>
        <w:rPr>
          <w:noProof/>
        </w:rPr>
        <w:t>ībās gadījumos, kad ir pieņēmumi vai aizdomas par šīs sadaļas darbības jomā ietilpstošo normatīvo aktu pārkāpumu. Turklāt katra Puse tūdaļ paziņo otrai Pusei par katru izmeklēšanu, kas skar abu Pušu intereses.</w:t>
      </w:r>
    </w:p>
    <w:p w:rsidR="003E022D" w:rsidRDefault="007D19D6">
      <w:pPr>
        <w:pStyle w:val="Article"/>
        <w:rPr>
          <w:noProof/>
        </w:rPr>
      </w:pPr>
      <w:r>
        <w:rPr>
          <w:noProof/>
        </w:rPr>
        <w:t xml:space="preserve">AVSAF.11. pants. Konfidencialitāte un datu un </w:t>
      </w:r>
      <w:r>
        <w:rPr>
          <w:noProof/>
        </w:rPr>
        <w:t>informācijas aizsardzība</w:t>
      </w:r>
    </w:p>
    <w:p w:rsidR="003E022D" w:rsidRDefault="007D19D6">
      <w:pPr>
        <w:rPr>
          <w:rFonts w:cstheme="minorHAnsi"/>
          <w:noProof/>
        </w:rPr>
      </w:pPr>
      <w:r>
        <w:rPr>
          <w:noProof/>
        </w:rPr>
        <w:t>1.</w:t>
      </w:r>
      <w:r>
        <w:rPr>
          <w:noProof/>
        </w:rPr>
        <w:tab/>
        <w:t>Katra Puse saskaņā ar saviem normatīvajiem aktiem nodrošina no otras Puses saskaņā ar šo sadaļu saņemto datu un informācijas konfidencialitāti. Puse, kura datus un informāciju saņem, tos var izmantot tikai šīs sadaļas piemērošan</w:t>
      </w:r>
      <w:r>
        <w:rPr>
          <w:noProof/>
        </w:rPr>
        <w:t>ā.</w:t>
      </w:r>
    </w:p>
    <w:p w:rsidR="003E022D" w:rsidRDefault="007D19D6">
      <w:pPr>
        <w:rPr>
          <w:rFonts w:cstheme="minorHAnsi"/>
          <w:noProof/>
        </w:rPr>
      </w:pPr>
      <w:r>
        <w:rPr>
          <w:noProof/>
        </w:rPr>
        <w:t>2.</w:t>
      </w:r>
      <w:r>
        <w:rPr>
          <w:noProof/>
        </w:rPr>
        <w:tab/>
        <w:t>Galvenais, ievērojot savus attiecīgos normatīvos aktus, Puses neizpauž trešai personai, nenodod atklātībai un neļauj savām kompetentajām iestādēm izpaust trešai personai un nodot atklātībai nekādus datus un informāciju, ko saņēmušas no otras Puses sa</w:t>
      </w:r>
      <w:r>
        <w:rPr>
          <w:noProof/>
        </w:rPr>
        <w:t>skaņā ar šo sadaļu un kas uzskatāma par komercnoslēpumu, intelektuālo īpašumu, konfidenciālu komercinformāciju vai finansiālu informāciju, īpašniekdatiem vai informāciju, kas saistīta ar notiekošu izmeklēšanu. Tādus datus un informāciju tālab uzskata par k</w:t>
      </w:r>
      <w:r>
        <w:rPr>
          <w:noProof/>
        </w:rPr>
        <w:t>onfidenciāliem.</w:t>
      </w:r>
    </w:p>
    <w:p w:rsidR="003E022D" w:rsidRDefault="007D19D6">
      <w:pPr>
        <w:rPr>
          <w:rFonts w:cstheme="minorHAnsi"/>
          <w:noProof/>
        </w:rPr>
      </w:pPr>
      <w:r>
        <w:rPr>
          <w:noProof/>
        </w:rPr>
        <w:t>3.</w:t>
      </w:r>
      <w:r>
        <w:rPr>
          <w:noProof/>
        </w:rPr>
        <w:tab/>
        <w:t>Puse vai Puses kompetentā iestāde, sniedzot otrai Pusei vai otras Puses kompetentajai iestādei datus vai informāciju, var norādīt, kurus datus vai informāciju uzskata par konfidenciālu un neizpaužamu. Tādā gadījumā Puse vai tās kompetent</w:t>
      </w:r>
      <w:r>
        <w:rPr>
          <w:noProof/>
        </w:rPr>
        <w:t>ā iestāde datus vai informāciju skaidri iezīmē kā konfidenciālu.</w:t>
      </w:r>
    </w:p>
    <w:p w:rsidR="003E022D" w:rsidRDefault="007D19D6">
      <w:pPr>
        <w:rPr>
          <w:rFonts w:cstheme="minorHAnsi"/>
          <w:noProof/>
        </w:rPr>
      </w:pPr>
      <w:r>
        <w:rPr>
          <w:noProof/>
        </w:rPr>
        <w:t>4.</w:t>
      </w:r>
      <w:r>
        <w:rPr>
          <w:noProof/>
        </w:rPr>
        <w:tab/>
        <w:t>Ja viena Puse nepiekrīt otras Puses vai tās kompetentās iestādes saskaņā ar 3. punktu norādītajam, pirmā Puse var pieprasīt konsultēšanos ar otru Pusi, lai atrisinātu šo problēmu.</w:t>
      </w:r>
    </w:p>
    <w:p w:rsidR="003E022D" w:rsidRDefault="007D19D6">
      <w:pPr>
        <w:rPr>
          <w:rFonts w:cstheme="minorHAnsi"/>
          <w:noProof/>
        </w:rPr>
      </w:pPr>
      <w:r>
        <w:rPr>
          <w:noProof/>
        </w:rPr>
        <w:t>5.</w:t>
      </w:r>
      <w:r>
        <w:rPr>
          <w:noProof/>
        </w:rPr>
        <w:tab/>
        <w:t>Katra</w:t>
      </w:r>
      <w:r>
        <w:rPr>
          <w:noProof/>
        </w:rPr>
        <w:t xml:space="preserve"> Puse veic visus nepieciešamos piesardzības pasākumus, lai saskaņā ar šo sadaļu saņemtos datus un informāciju pasargātu no neatļautas izpaušanas.</w:t>
      </w:r>
    </w:p>
    <w:p w:rsidR="003E022D" w:rsidRDefault="007D19D6">
      <w:pPr>
        <w:rPr>
          <w:rFonts w:cstheme="minorHAnsi"/>
          <w:noProof/>
        </w:rPr>
      </w:pPr>
      <w:r>
        <w:rPr>
          <w:noProof/>
        </w:rPr>
        <w:t>6.</w:t>
      </w:r>
      <w:r>
        <w:rPr>
          <w:noProof/>
        </w:rPr>
        <w:tab/>
        <w:t>Puse, kas saskaņā ar šo sadaļu saņem datus un informāciju no otras Puses, neiegūst nekādas tādu datu un inf</w:t>
      </w:r>
      <w:r>
        <w:rPr>
          <w:noProof/>
        </w:rPr>
        <w:t>ormācijas īpašumtiesības, kuru pamats būtu to saņemšana no otras Puses.</w:t>
      </w:r>
    </w:p>
    <w:p w:rsidR="003E022D" w:rsidRDefault="007D19D6">
      <w:pPr>
        <w:pStyle w:val="Article"/>
        <w:rPr>
          <w:noProof/>
        </w:rPr>
      </w:pPr>
      <w:r>
        <w:rPr>
          <w:noProof/>
        </w:rPr>
        <w:t>AVSAF.12. pants. Sadaļas pielikumu pieņemšana un grozīšana</w:t>
      </w:r>
    </w:p>
    <w:p w:rsidR="003E022D" w:rsidRDefault="007D19D6">
      <w:pPr>
        <w:rPr>
          <w:rFonts w:cstheme="minorHAnsi"/>
          <w:noProof/>
        </w:rPr>
      </w:pPr>
      <w:r>
        <w:rPr>
          <w:noProof/>
        </w:rPr>
        <w:t>Specializētā aviācijas drošuma komiteja var grozīt šīs sadaļas AVSAF-1 pielikumu [Sertifikācija lidojumderīguma un vides jomā</w:t>
      </w:r>
      <w:r>
        <w:rPr>
          <w:noProof/>
        </w:rPr>
        <w:t>], pieņemt vai grozīt pielikumus tā, kā noteikts AVSAF.3. panta [Darbības joma un īstenošana] 2. punktā, un svītrot pielikumus.</w:t>
      </w:r>
    </w:p>
    <w:p w:rsidR="003E022D" w:rsidRDefault="007D19D6">
      <w:pPr>
        <w:pStyle w:val="Article"/>
        <w:rPr>
          <w:noProof/>
        </w:rPr>
      </w:pPr>
      <w:r>
        <w:rPr>
          <w:noProof/>
        </w:rPr>
        <w:t>AVSAF.13. pants. Izdevumu segšana</w:t>
      </w:r>
    </w:p>
    <w:p w:rsidR="003E022D" w:rsidRDefault="007D19D6">
      <w:pPr>
        <w:rPr>
          <w:rFonts w:cstheme="minorHAnsi"/>
          <w:noProof/>
        </w:rPr>
      </w:pPr>
      <w:r>
        <w:rPr>
          <w:noProof/>
        </w:rPr>
        <w:t>Katra Puse cenšas nodrošināt, ka nodevas vai maksa, ko Puse vai tās tehniskais pārstāvis nosak</w:t>
      </w:r>
      <w:r>
        <w:rPr>
          <w:noProof/>
        </w:rPr>
        <w:t>a juridiskai vai fiziskai personai, uz kuras darbībām attiecas šī sadaļa, ir taisnīgas, pamatotas un samērīgas ar sniegtajiem pakalpojumiem un nerada šķēršļus tirdzniecībai.</w:t>
      </w:r>
    </w:p>
    <w:p w:rsidR="003E022D" w:rsidRDefault="007D19D6">
      <w:pPr>
        <w:pStyle w:val="Article"/>
        <w:rPr>
          <w:noProof/>
        </w:rPr>
      </w:pPr>
      <w:r>
        <w:rPr>
          <w:noProof/>
        </w:rPr>
        <w:t>AVSAF.14. pants. Citi nolīgumi un agrākā kārtība</w:t>
      </w:r>
    </w:p>
    <w:p w:rsidR="003E022D" w:rsidRDefault="007D19D6">
      <w:pPr>
        <w:rPr>
          <w:rFonts w:cstheme="minorHAnsi"/>
          <w:noProof/>
        </w:rPr>
      </w:pPr>
      <w:r>
        <w:rPr>
          <w:noProof/>
        </w:rPr>
        <w:t>1.</w:t>
      </w:r>
      <w:r>
        <w:rPr>
          <w:noProof/>
        </w:rPr>
        <w:tab/>
        <w:t>Šim nolīgumam stājoties spēkā,</w:t>
      </w:r>
      <w:r>
        <w:rPr>
          <w:noProof/>
        </w:rPr>
        <w:t xml:space="preserve"> šī sadaļa aizstāj visus Apvienotās Karalistes un dalībvalstu divpusējos aviācijas drošības nolīgumus un nolīgto kārtību visos šīs sadaļas aptvertajos jautājumos, kas īstenoti saskaņā ar AVSAF.3. pantu [Darbības joma un īstenošana].</w:t>
      </w:r>
    </w:p>
    <w:p w:rsidR="003E022D" w:rsidRDefault="007D19D6">
      <w:pPr>
        <w:rPr>
          <w:rFonts w:cstheme="minorHAnsi"/>
          <w:noProof/>
        </w:rPr>
      </w:pPr>
      <w:r>
        <w:rPr>
          <w:noProof/>
        </w:rPr>
        <w:t>2.</w:t>
      </w:r>
      <w:r>
        <w:rPr>
          <w:noProof/>
        </w:rPr>
        <w:tab/>
        <w:t xml:space="preserve">Tehniskie pārstāvji </w:t>
      </w:r>
      <w:r>
        <w:rPr>
          <w:noProof/>
        </w:rPr>
        <w:t>veic nepieciešamos pasākumus, lai tiktu attiecīgi pārskatīta vai izbeigta to starpā agrāk nolīgtā kārtība.</w:t>
      </w:r>
    </w:p>
    <w:p w:rsidR="003E022D" w:rsidRDefault="007D19D6">
      <w:pPr>
        <w:rPr>
          <w:rFonts w:cstheme="minorHAnsi"/>
          <w:noProof/>
        </w:rPr>
      </w:pPr>
      <w:r>
        <w:rPr>
          <w:noProof/>
        </w:rPr>
        <w:t>3.</w:t>
      </w:r>
      <w:r>
        <w:rPr>
          <w:noProof/>
        </w:rPr>
        <w:tab/>
        <w:t>Ievērojot 1. un 2. punktu, šī sadaļa nekādi neietekmē Pušu tiesības un pienākumus, ko nosaka citi starptautiski nolīgumi.</w:t>
      </w:r>
    </w:p>
    <w:p w:rsidR="003E022D" w:rsidRDefault="007D19D6">
      <w:pPr>
        <w:pStyle w:val="Article"/>
        <w:rPr>
          <w:noProof/>
        </w:rPr>
      </w:pPr>
      <w:r>
        <w:rPr>
          <w:noProof/>
        </w:rPr>
        <w:t>AVSAF.15. pants. Savstar</w:t>
      </w:r>
      <w:r>
        <w:rPr>
          <w:noProof/>
        </w:rPr>
        <w:t>pējas akceptēšanas pienākumu izpildes apturēšana</w:t>
      </w:r>
    </w:p>
    <w:p w:rsidR="003E022D" w:rsidRDefault="007D19D6">
      <w:pPr>
        <w:rPr>
          <w:rFonts w:cstheme="minorHAnsi"/>
          <w:noProof/>
        </w:rPr>
      </w:pPr>
      <w:r>
        <w:rPr>
          <w:noProof/>
        </w:rPr>
        <w:t>1.</w:t>
      </w:r>
      <w:r>
        <w:rPr>
          <w:noProof/>
        </w:rPr>
        <w:tab/>
        <w:t>Pusei ir tiesības pilnīgi vai daļēji apturēt AVSAF.4. panta [Vispārīgi pienākumi] 1. punktā noteikto akceptēšanas pienākumu izpildi, ja otra Puse būtiski nepilda pienākumus, ko tai uzliek šī sadaļa.</w:t>
      </w:r>
    </w:p>
    <w:p w:rsidR="003E022D" w:rsidRDefault="007D19D6">
      <w:pPr>
        <w:rPr>
          <w:rFonts w:cstheme="minorHAnsi"/>
          <w:noProof/>
        </w:rPr>
      </w:pPr>
      <w:r>
        <w:rPr>
          <w:noProof/>
        </w:rPr>
        <w:t>2.</w:t>
      </w:r>
      <w:r>
        <w:rPr>
          <w:noProof/>
        </w:rPr>
        <w:tab/>
        <w:t>Pi</w:t>
      </w:r>
      <w:r>
        <w:rPr>
          <w:noProof/>
        </w:rPr>
        <w:t>rms Puse izlieto tiesības apturēt akceptēšanas pienākumu izpildi, tā pieprasa konsultēšanos, lai panāktu, ka otra Puse īsteno korektīvus pasākumus. Konsultējoties Puses attiecīgā gadījumā apsver apturēšanas sekas.</w:t>
      </w:r>
    </w:p>
    <w:p w:rsidR="003E022D" w:rsidRDefault="007D19D6">
      <w:pPr>
        <w:rPr>
          <w:rFonts w:cstheme="minorHAnsi"/>
          <w:noProof/>
        </w:rPr>
      </w:pPr>
      <w:r>
        <w:rPr>
          <w:noProof/>
        </w:rPr>
        <w:t>3.</w:t>
      </w:r>
      <w:r>
        <w:rPr>
          <w:noProof/>
        </w:rPr>
        <w:tab/>
        <w:t>Šā panta dotās tiesības izlietojamas ti</w:t>
      </w:r>
      <w:r>
        <w:rPr>
          <w:noProof/>
        </w:rPr>
        <w:t>kai tad, ja otra Puse pienācīgā laikā pēc konsultēšanās neveic korektīvus pasākumus. Ja Puse izmanto kādas šā panta dotās tiesības, tā rakstveidā paziņo otrai Pusei par savu nodomu apturēt akceptēšanas pienākumu izpildi un sniedz sīku informāciju par aptur</w:t>
      </w:r>
      <w:r>
        <w:rPr>
          <w:noProof/>
        </w:rPr>
        <w:t>ēšanas iemesliem.</w:t>
      </w:r>
    </w:p>
    <w:p w:rsidR="003E022D" w:rsidRDefault="007D19D6">
      <w:pPr>
        <w:rPr>
          <w:rFonts w:cstheme="minorHAnsi"/>
          <w:noProof/>
        </w:rPr>
      </w:pPr>
      <w:r>
        <w:rPr>
          <w:noProof/>
        </w:rPr>
        <w:t>4.</w:t>
      </w:r>
      <w:r>
        <w:rPr>
          <w:noProof/>
        </w:rPr>
        <w:tab/>
        <w:t>Apturēšana stājas spēkā 30 dienas pēc paziņošanas dienas, ja pirms šā termiņa beigām Puse, kura apturēšanu ierosinājusi, rakstveidā nepaziņo otrai Pusei, ka atsauc savu paziņojumu.</w:t>
      </w:r>
    </w:p>
    <w:p w:rsidR="003E022D" w:rsidRDefault="007D19D6">
      <w:pPr>
        <w:rPr>
          <w:rFonts w:cstheme="minorHAnsi"/>
          <w:noProof/>
        </w:rPr>
      </w:pPr>
      <w:r>
        <w:rPr>
          <w:noProof/>
        </w:rPr>
        <w:t>5.</w:t>
      </w:r>
      <w:r>
        <w:rPr>
          <w:noProof/>
        </w:rPr>
        <w:tab/>
        <w:t>Apturēšana neietekmē to atbilstības atzinumu un apl</w:t>
      </w:r>
      <w:r>
        <w:rPr>
          <w:noProof/>
        </w:rPr>
        <w:t>iecinājumu derīgumu, kurus otras Puses kompetentās iestādes vai apstiprinātās organizācijas sagatavojušas un izdevušas pirms dienas, kad apturēšana stājusies spēkā. Spēkā stājušos apturēšanu var atcelt tūlīt pēc Pušu apmainīšanās ar diplomātiskajām notām p</w:t>
      </w:r>
      <w:r>
        <w:rPr>
          <w:noProof/>
        </w:rPr>
        <w:t>ar to.</w:t>
      </w:r>
    </w:p>
    <w:p w:rsidR="003E022D" w:rsidRDefault="007D19D6">
      <w:pPr>
        <w:jc w:val="center"/>
        <w:rPr>
          <w:noProof/>
          <w:color w:val="000000"/>
        </w:rPr>
      </w:pPr>
      <w:r>
        <w:rPr>
          <w:noProof/>
          <w:color w:val="000000"/>
        </w:rPr>
        <w:t>AVSAF.16. pants. Šīs sadaļas darbības izbeigšana</w:t>
      </w:r>
    </w:p>
    <w:p w:rsidR="003E022D" w:rsidRDefault="007D19D6">
      <w:pPr>
        <w:rPr>
          <w:rFonts w:asciiTheme="majorHAnsi" w:hAnsiTheme="majorHAnsi"/>
          <w:noProof/>
        </w:rPr>
      </w:pPr>
      <w:r>
        <w:rPr>
          <w:noProof/>
        </w:rPr>
        <w:t>Neskarot FINPROV.8. pantu [Izbeigšana], OTH.10. pantu [Otrās daļas darbības izbeigšana] un FISH.17. pantu [Izbeigšana], katra Puse var jebkurā laikā izbeigt šīs sadaļas piemērošanu, ar diplomātisko ka</w:t>
      </w:r>
      <w:r>
        <w:rPr>
          <w:noProof/>
        </w:rPr>
        <w:t>nālu starpniecību iesniedzot rakstisku paziņojumu.</w:t>
      </w:r>
      <w:r>
        <w:rPr>
          <w:noProof/>
          <w:color w:val="000000"/>
        </w:rPr>
        <w:t xml:space="preserve"> Šādā gadījumā šī sadaļa zaudē spēku devītā mēneša pirmajā dienā pēc paziņojuma nosūtīšanas dienas.</w:t>
      </w:r>
    </w:p>
    <w:p w:rsidR="003E022D" w:rsidRDefault="007D19D6">
      <w:pPr>
        <w:spacing w:after="0"/>
        <w:rPr>
          <w:noProof/>
          <w:szCs w:val="32"/>
        </w:rPr>
      </w:pPr>
      <w:r>
        <w:rPr>
          <w:noProof/>
        </w:rPr>
        <w:br w:type="page"/>
      </w:r>
    </w:p>
    <w:p w:rsidR="003E022D" w:rsidRDefault="007D19D6">
      <w:pPr>
        <w:pStyle w:val="Heading"/>
        <w:rPr>
          <w:noProof/>
        </w:rPr>
      </w:pPr>
      <w:bookmarkStart w:id="222" w:name="_Toc59988353"/>
      <w:r>
        <w:rPr>
          <w:noProof/>
        </w:rPr>
        <w:t>TREŠAIS TEMATS. AUTOTRANSPORTS</w:t>
      </w:r>
      <w:bookmarkEnd w:id="222"/>
    </w:p>
    <w:p w:rsidR="003E022D" w:rsidRDefault="007D19D6">
      <w:pPr>
        <w:pStyle w:val="Title1"/>
        <w:rPr>
          <w:noProof/>
        </w:rPr>
      </w:pPr>
      <w:bookmarkStart w:id="223" w:name="_Toc59988354"/>
      <w:r>
        <w:rPr>
          <w:noProof/>
        </w:rPr>
        <w:t>I sadaļa. Kravu autopārvadājumi</w:t>
      </w:r>
      <w:bookmarkEnd w:id="223"/>
      <w:r>
        <w:rPr>
          <w:noProof/>
        </w:rPr>
        <w:t xml:space="preserve"> </w:t>
      </w:r>
    </w:p>
    <w:p w:rsidR="003E022D" w:rsidRDefault="007D19D6">
      <w:pPr>
        <w:pStyle w:val="Article"/>
        <w:rPr>
          <w:noProof/>
        </w:rPr>
      </w:pPr>
      <w:r>
        <w:rPr>
          <w:noProof/>
        </w:rPr>
        <w:t xml:space="preserve">ROAD.1. pants. Mērķis </w:t>
      </w:r>
    </w:p>
    <w:p w:rsidR="003E022D" w:rsidRDefault="007D19D6">
      <w:pPr>
        <w:numPr>
          <w:ilvl w:val="0"/>
          <w:numId w:val="385"/>
        </w:numPr>
        <w:ind w:left="0"/>
        <w:rPr>
          <w:noProof/>
        </w:rPr>
      </w:pPr>
      <w:r>
        <w:rPr>
          <w:noProof/>
        </w:rPr>
        <w:t xml:space="preserve">Šīs sadaļas mērķis ir kravu autopārvadājumos nodrošināt nepārtrauktu savienojamību starp Pušu teritorijām, caur tām un tajās un izklāstīt noteikumus, kas piemērojami tādai pārvadāšanai. </w:t>
      </w:r>
    </w:p>
    <w:p w:rsidR="003E022D" w:rsidRDefault="007D19D6">
      <w:pPr>
        <w:numPr>
          <w:ilvl w:val="0"/>
          <w:numId w:val="385"/>
        </w:numPr>
        <w:ind w:left="0"/>
        <w:rPr>
          <w:rFonts w:asciiTheme="minorHAnsi" w:hAnsiTheme="minorHAnsi"/>
          <w:noProof/>
        </w:rPr>
      </w:pPr>
      <w:r>
        <w:rPr>
          <w:noProof/>
        </w:rPr>
        <w:t>Puses vienojas šīs sadaļas piemērošanā neveikt diskriminējošus pasāku</w:t>
      </w:r>
      <w:r>
        <w:rPr>
          <w:noProof/>
        </w:rPr>
        <w:t>mus.</w:t>
      </w:r>
      <w:r>
        <w:rPr>
          <w:rFonts w:asciiTheme="minorHAnsi" w:hAnsiTheme="minorHAnsi"/>
          <w:noProof/>
        </w:rPr>
        <w:t xml:space="preserve"> </w:t>
      </w:r>
    </w:p>
    <w:p w:rsidR="003E022D" w:rsidRDefault="007D19D6">
      <w:pPr>
        <w:numPr>
          <w:ilvl w:val="0"/>
          <w:numId w:val="385"/>
        </w:numPr>
        <w:ind w:left="0"/>
        <w:rPr>
          <w:noProof/>
          <w:color w:val="000000" w:themeColor="text1"/>
        </w:rPr>
      </w:pPr>
      <w:r>
        <w:rPr>
          <w:noProof/>
        </w:rPr>
        <w:t>Šī sadaļa nekādi neietekmē kravu autopārvadājumus Puses teritorijā, ko veic tajā iedibināts kravu autopārvadātājs.</w:t>
      </w:r>
      <w:r>
        <w:rPr>
          <w:noProof/>
          <w:color w:val="000000" w:themeColor="text1"/>
        </w:rPr>
        <w:t xml:space="preserve"> </w:t>
      </w:r>
    </w:p>
    <w:p w:rsidR="003E022D" w:rsidRDefault="007D19D6">
      <w:pPr>
        <w:pStyle w:val="Article"/>
        <w:rPr>
          <w:noProof/>
        </w:rPr>
      </w:pPr>
      <w:r>
        <w:rPr>
          <w:noProof/>
        </w:rPr>
        <w:t xml:space="preserve">ROAD.2. pants. Piemērošanas joma </w:t>
      </w:r>
    </w:p>
    <w:p w:rsidR="003E022D" w:rsidRDefault="007D19D6">
      <w:pPr>
        <w:numPr>
          <w:ilvl w:val="0"/>
          <w:numId w:val="386"/>
        </w:numPr>
        <w:ind w:left="0"/>
        <w:rPr>
          <w:rFonts w:asciiTheme="minorHAnsi" w:hAnsiTheme="minorHAnsi"/>
          <w:noProof/>
        </w:rPr>
      </w:pPr>
      <w:r>
        <w:rPr>
          <w:noProof/>
        </w:rPr>
        <w:t>Šī sadaļa attiecas uz komerciāliem kravu autopārvadājumiem starp Pušu teritorijām, caur tām un tajās</w:t>
      </w:r>
      <w:r>
        <w:rPr>
          <w:noProof/>
        </w:rPr>
        <w:t xml:space="preserve"> un neskar Eiropas Transporta ministru konferences ieviesto noteikumu piemērošanu.</w:t>
      </w:r>
      <w:r>
        <w:rPr>
          <w:rFonts w:asciiTheme="minorHAnsi" w:hAnsiTheme="minorHAnsi"/>
          <w:noProof/>
        </w:rPr>
        <w:t xml:space="preserve">  </w:t>
      </w:r>
    </w:p>
    <w:p w:rsidR="003E022D" w:rsidRDefault="007D19D6">
      <w:pPr>
        <w:numPr>
          <w:ilvl w:val="0"/>
          <w:numId w:val="386"/>
        </w:numPr>
        <w:ind w:left="0"/>
        <w:rPr>
          <w:noProof/>
          <w:color w:val="000000" w:themeColor="text1"/>
        </w:rPr>
      </w:pPr>
      <w:r>
        <w:rPr>
          <w:noProof/>
        </w:rPr>
        <w:t>Kravu autopārvadājumus, par kuriem netiek saņemta tieša vai netieša atlīdzība, kuri tieši vai netieši nenes ienākumus transportlīdzekļa vadītājam vai citiem un nav saistīt</w:t>
      </w:r>
      <w:r>
        <w:rPr>
          <w:noProof/>
        </w:rPr>
        <w:t>i ar profesionālu darbību, uzskata par nekomerciāliem kravu pārvadājumiem.</w:t>
      </w:r>
      <w:r>
        <w:rPr>
          <w:noProof/>
          <w:color w:val="000000" w:themeColor="text1"/>
        </w:rPr>
        <w:t xml:space="preserve"> </w:t>
      </w:r>
    </w:p>
    <w:p w:rsidR="003E022D" w:rsidRDefault="007D19D6">
      <w:pPr>
        <w:pStyle w:val="Article"/>
        <w:rPr>
          <w:noProof/>
        </w:rPr>
      </w:pPr>
      <w:r>
        <w:rPr>
          <w:noProof/>
        </w:rPr>
        <w:t xml:space="preserve">ROAD.3. pants. Definīcijas </w:t>
      </w:r>
    </w:p>
    <w:p w:rsidR="003E022D" w:rsidRDefault="007D19D6">
      <w:pPr>
        <w:rPr>
          <w:noProof/>
        </w:rPr>
      </w:pPr>
      <w:r>
        <w:rPr>
          <w:noProof/>
        </w:rPr>
        <w:t>Šajā sadaļā un papildus otrās daļas pirmā temata II sadaļas [Pakalpojumi un investīcijas] pirmās nodaļas [SERVIN.1.2. panta] definīcijām piemēro šādas d</w:t>
      </w:r>
      <w:r>
        <w:rPr>
          <w:noProof/>
        </w:rPr>
        <w:t xml:space="preserve">efinīcijas: </w:t>
      </w:r>
    </w:p>
    <w:p w:rsidR="003E022D" w:rsidRDefault="007D19D6">
      <w:pPr>
        <w:numPr>
          <w:ilvl w:val="0"/>
          <w:numId w:val="387"/>
        </w:numPr>
        <w:ind w:left="567" w:hanging="567"/>
        <w:rPr>
          <w:noProof/>
        </w:rPr>
      </w:pPr>
      <w:r>
        <w:rPr>
          <w:noProof/>
        </w:rPr>
        <w:t>“transportlīdzeklis” ir kādas Puses teritorijā reģistrēts mehānisks transportlīdzeklis vai sakabināti transportlīdzekļi, kuros ir kādas Puses teritorijā reģistrēts mehānisks transportlīdzeklis, un tāds(-i), ko izmanto vienīgi kravu pārvadāšana</w:t>
      </w:r>
      <w:r>
        <w:rPr>
          <w:noProof/>
        </w:rPr>
        <w:t xml:space="preserve">i;   </w:t>
      </w:r>
    </w:p>
    <w:p w:rsidR="003E022D" w:rsidRDefault="007D19D6">
      <w:pPr>
        <w:numPr>
          <w:ilvl w:val="0"/>
          <w:numId w:val="387"/>
        </w:numPr>
        <w:ind w:left="567" w:hanging="567"/>
        <w:rPr>
          <w:rFonts w:asciiTheme="minorHAnsi" w:hAnsiTheme="minorHAnsi"/>
          <w:noProof/>
        </w:rPr>
      </w:pPr>
      <w:r>
        <w:rPr>
          <w:noProof/>
        </w:rPr>
        <w:t>“autopārvadātājs” ir fiziska vai juridiska persona, kas komerciālos nolūkos veic kravu pārvadāšanu ar transportlīdzekli;</w:t>
      </w:r>
      <w:r>
        <w:rPr>
          <w:rFonts w:asciiTheme="minorHAnsi" w:hAnsiTheme="minorHAnsi"/>
          <w:noProof/>
        </w:rPr>
        <w:t xml:space="preserve">  </w:t>
      </w:r>
    </w:p>
    <w:p w:rsidR="003E022D" w:rsidRDefault="007D19D6">
      <w:pPr>
        <w:numPr>
          <w:ilvl w:val="0"/>
          <w:numId w:val="387"/>
        </w:numPr>
        <w:ind w:left="567" w:hanging="567"/>
        <w:rPr>
          <w:rFonts w:asciiTheme="minorHAnsi" w:hAnsiTheme="minorHAnsi"/>
          <w:noProof/>
        </w:rPr>
      </w:pPr>
      <w:r>
        <w:rPr>
          <w:rFonts w:asciiTheme="minorHAnsi" w:hAnsiTheme="minorHAnsi"/>
          <w:noProof/>
        </w:rPr>
        <w:t>“Puses kravu autopārvadātājs” ir kravu autopārvadātājs, kurš ir Puses teritorijā iedibināta juridiska persona vai Puses fiziska</w:t>
      </w:r>
      <w:r>
        <w:rPr>
          <w:rFonts w:asciiTheme="minorHAnsi" w:hAnsiTheme="minorHAnsi"/>
          <w:noProof/>
        </w:rPr>
        <w:t xml:space="preserve"> persona; </w:t>
      </w:r>
    </w:p>
    <w:p w:rsidR="003E022D" w:rsidRDefault="007D19D6">
      <w:pPr>
        <w:numPr>
          <w:ilvl w:val="0"/>
          <w:numId w:val="387"/>
        </w:numPr>
        <w:ind w:left="567" w:hanging="567"/>
        <w:rPr>
          <w:rFonts w:asciiTheme="minorHAnsi" w:hAnsiTheme="minorHAnsi"/>
          <w:noProof/>
        </w:rPr>
      </w:pPr>
      <w:r>
        <w:rPr>
          <w:rFonts w:asciiTheme="minorHAnsi" w:hAnsiTheme="minorHAnsi"/>
          <w:noProof/>
        </w:rPr>
        <w:t xml:space="preserve">“iedibinājuma Puse” ir Puse, kurā kravu autopārvadātājs ir iedibināts;    </w:t>
      </w:r>
    </w:p>
    <w:p w:rsidR="003E022D" w:rsidRDefault="007D19D6">
      <w:pPr>
        <w:numPr>
          <w:ilvl w:val="0"/>
          <w:numId w:val="387"/>
        </w:numPr>
        <w:ind w:left="567" w:hanging="567"/>
        <w:rPr>
          <w:rFonts w:asciiTheme="minorHAnsi" w:hAnsiTheme="minorHAnsi"/>
          <w:noProof/>
        </w:rPr>
      </w:pPr>
      <w:r>
        <w:rPr>
          <w:rFonts w:asciiTheme="minorHAnsi" w:hAnsiTheme="minorHAnsi"/>
          <w:noProof/>
        </w:rPr>
        <w:t>“transportlīdzekļa vadītājs” ir persona, kas vada transportlīdzekli kaut īsu laiku vai tiek vesta transportlīdzeklī, ja tās pienākumos ir tā vadīšana vajadzības gadījumā;</w:t>
      </w:r>
      <w:r>
        <w:rPr>
          <w:rFonts w:asciiTheme="minorHAnsi" w:hAnsiTheme="minorHAnsi"/>
          <w:noProof/>
        </w:rPr>
        <w:t xml:space="preserve">  </w:t>
      </w:r>
    </w:p>
    <w:p w:rsidR="003E022D" w:rsidRDefault="007D19D6">
      <w:pPr>
        <w:numPr>
          <w:ilvl w:val="0"/>
          <w:numId w:val="387"/>
        </w:numPr>
        <w:ind w:left="567" w:hanging="567"/>
        <w:rPr>
          <w:rFonts w:asciiTheme="minorHAnsi" w:hAnsiTheme="minorHAnsi"/>
          <w:noProof/>
        </w:rPr>
      </w:pPr>
      <w:r>
        <w:rPr>
          <w:rFonts w:asciiTheme="minorHAnsi" w:hAnsiTheme="minorHAnsi"/>
          <w:noProof/>
        </w:rPr>
        <w:t xml:space="preserve">“tranzīts” ir transportlīdzekļu kustība cauri Puses teritorijai bez preču iekraušanas vai izkraušanas; </w:t>
      </w:r>
    </w:p>
    <w:p w:rsidR="003E022D" w:rsidRDefault="007D19D6">
      <w:pPr>
        <w:numPr>
          <w:ilvl w:val="0"/>
          <w:numId w:val="387"/>
        </w:numPr>
        <w:ind w:left="567" w:hanging="567"/>
        <w:rPr>
          <w:noProof/>
        </w:rPr>
      </w:pPr>
      <w:r>
        <w:rPr>
          <w:rFonts w:asciiTheme="minorHAnsi" w:hAnsiTheme="minorHAnsi"/>
          <w:noProof/>
        </w:rPr>
        <w:t xml:space="preserve"> </w:t>
      </w:r>
      <w:r>
        <w:rPr>
          <w:noProof/>
        </w:rPr>
        <w:t xml:space="preserve">“regulatīvi pasākumi” ir: </w:t>
      </w:r>
    </w:p>
    <w:p w:rsidR="003E022D" w:rsidRDefault="007D19D6">
      <w:pPr>
        <w:numPr>
          <w:ilvl w:val="0"/>
          <w:numId w:val="396"/>
        </w:numPr>
        <w:ind w:left="1276" w:hanging="567"/>
        <w:rPr>
          <w:noProof/>
        </w:rPr>
      </w:pPr>
      <w:r>
        <w:rPr>
          <w:noProof/>
        </w:rPr>
        <w:t>Savienībai:</w:t>
      </w:r>
    </w:p>
    <w:p w:rsidR="003E022D" w:rsidRDefault="007D19D6">
      <w:pPr>
        <w:numPr>
          <w:ilvl w:val="1"/>
          <w:numId w:val="398"/>
        </w:numPr>
        <w:spacing w:after="200" w:line="276" w:lineRule="auto"/>
        <w:ind w:left="2138" w:hanging="709"/>
        <w:jc w:val="left"/>
        <w:rPr>
          <w:noProof/>
        </w:rPr>
      </w:pPr>
      <w:r>
        <w:rPr>
          <w:noProof/>
        </w:rPr>
        <w:t>regulas un direktīvas, kā paredzēts Līguma par Eiropas Savienības darbību (LESD) 288. pantā, un</w:t>
      </w:r>
    </w:p>
    <w:p w:rsidR="003E022D" w:rsidRDefault="007D19D6">
      <w:pPr>
        <w:numPr>
          <w:ilvl w:val="1"/>
          <w:numId w:val="398"/>
        </w:numPr>
        <w:spacing w:after="200" w:line="276" w:lineRule="auto"/>
        <w:ind w:left="2138" w:hanging="709"/>
        <w:jc w:val="left"/>
        <w:rPr>
          <w:noProof/>
        </w:rPr>
      </w:pPr>
      <w:r>
        <w:rPr>
          <w:noProof/>
        </w:rPr>
        <w:t>īstenošanas a</w:t>
      </w:r>
      <w:r>
        <w:rPr>
          <w:noProof/>
        </w:rPr>
        <w:t>kti un deleģētie akti, ko nosaka attiecīgi LESD 290. un 291. pantā,</w:t>
      </w:r>
    </w:p>
    <w:p w:rsidR="003E022D" w:rsidRDefault="007D19D6">
      <w:pPr>
        <w:ind w:left="1276" w:hanging="567"/>
        <w:rPr>
          <w:noProof/>
        </w:rPr>
      </w:pPr>
      <w:r>
        <w:rPr>
          <w:noProof/>
        </w:rPr>
        <w:t>ii) Apvienotajai Karalistei:</w:t>
      </w:r>
    </w:p>
    <w:p w:rsidR="003E022D" w:rsidRDefault="007D19D6">
      <w:pPr>
        <w:numPr>
          <w:ilvl w:val="0"/>
          <w:numId w:val="397"/>
        </w:numPr>
        <w:spacing w:after="200" w:line="276" w:lineRule="auto"/>
        <w:ind w:left="2138" w:hanging="709"/>
        <w:jc w:val="left"/>
        <w:rPr>
          <w:rFonts w:asciiTheme="minorHAnsi" w:hAnsiTheme="minorHAnsi" w:cstheme="minorHAnsi"/>
          <w:noProof/>
        </w:rPr>
      </w:pPr>
      <w:r>
        <w:rPr>
          <w:rFonts w:asciiTheme="minorHAnsi" w:hAnsiTheme="minorHAnsi"/>
          <w:noProof/>
        </w:rPr>
        <w:t>primārie tiesību akti;</w:t>
      </w:r>
    </w:p>
    <w:p w:rsidR="003E022D" w:rsidRDefault="007D19D6">
      <w:pPr>
        <w:numPr>
          <w:ilvl w:val="0"/>
          <w:numId w:val="397"/>
        </w:numPr>
        <w:spacing w:after="200" w:line="276" w:lineRule="auto"/>
        <w:ind w:left="2138" w:hanging="709"/>
        <w:jc w:val="left"/>
        <w:rPr>
          <w:noProof/>
          <w:color w:val="000000" w:themeColor="text1"/>
        </w:rPr>
      </w:pPr>
      <w:r>
        <w:rPr>
          <w:noProof/>
        </w:rPr>
        <w:t>sekundārie tiesību akti.</w:t>
      </w:r>
    </w:p>
    <w:p w:rsidR="003E022D" w:rsidRDefault="007D19D6">
      <w:pPr>
        <w:pStyle w:val="Article"/>
        <w:rPr>
          <w:noProof/>
        </w:rPr>
      </w:pPr>
      <w:r>
        <w:rPr>
          <w:noProof/>
        </w:rPr>
        <w:t>ROAD.4. pants. Kravu pārvadāšana starp Pušu teritorijām, caur tām un tajās</w:t>
      </w:r>
    </w:p>
    <w:p w:rsidR="003E022D" w:rsidRDefault="007D19D6">
      <w:pPr>
        <w:numPr>
          <w:ilvl w:val="0"/>
          <w:numId w:val="393"/>
        </w:numPr>
        <w:ind w:left="0" w:firstLine="0"/>
        <w:rPr>
          <w:noProof/>
          <w:color w:val="000000" w:themeColor="text1"/>
        </w:rPr>
      </w:pPr>
      <w:r>
        <w:rPr>
          <w:noProof/>
          <w:color w:val="000000" w:themeColor="text1"/>
        </w:rPr>
        <w:t xml:space="preserve">Ja ir izpildīti 2. punkta </w:t>
      </w:r>
      <w:r>
        <w:rPr>
          <w:noProof/>
          <w:color w:val="000000" w:themeColor="text1"/>
        </w:rPr>
        <w:t>nosacījumi, kravu autopārvadātāji var veikt:</w:t>
      </w:r>
    </w:p>
    <w:p w:rsidR="003E022D" w:rsidRDefault="007D19D6">
      <w:pPr>
        <w:numPr>
          <w:ilvl w:val="0"/>
          <w:numId w:val="388"/>
        </w:numPr>
        <w:ind w:left="567" w:hanging="567"/>
        <w:rPr>
          <w:rFonts w:asciiTheme="minorHAnsi" w:hAnsiTheme="minorHAnsi"/>
          <w:noProof/>
        </w:rPr>
      </w:pPr>
      <w:r>
        <w:rPr>
          <w:noProof/>
        </w:rPr>
        <w:t>braucienus ar kravu transportlīdzeklī no vienas iedibinājuma Puses teritorijas uz otras Puses teritoriju un otrādi tranzītā vai bez tranzīta caur trešās valsts teritoriju;</w:t>
      </w:r>
    </w:p>
    <w:p w:rsidR="003E022D" w:rsidRDefault="007D19D6">
      <w:pPr>
        <w:numPr>
          <w:ilvl w:val="0"/>
          <w:numId w:val="388"/>
        </w:numPr>
        <w:ind w:left="567" w:hanging="567"/>
        <w:rPr>
          <w:rFonts w:asciiTheme="minorHAnsi" w:hAnsiTheme="minorHAnsi"/>
          <w:noProof/>
        </w:rPr>
      </w:pPr>
      <w:r>
        <w:rPr>
          <w:rFonts w:asciiTheme="minorHAnsi" w:hAnsiTheme="minorHAnsi"/>
          <w:noProof/>
        </w:rPr>
        <w:t>braucienus ar kravu transportlīdzeklī n</w:t>
      </w:r>
      <w:r>
        <w:rPr>
          <w:rFonts w:asciiTheme="minorHAnsi" w:hAnsiTheme="minorHAnsi"/>
          <w:noProof/>
        </w:rPr>
        <w:t>o vienas iedibinājuma Puses teritorijas uz tās pašas Puses teritoriju tranzītā caur otras Puses teritoriju;</w:t>
      </w:r>
    </w:p>
    <w:p w:rsidR="003E022D" w:rsidRDefault="007D19D6">
      <w:pPr>
        <w:numPr>
          <w:ilvl w:val="0"/>
          <w:numId w:val="388"/>
        </w:numPr>
        <w:ind w:left="567" w:hanging="567"/>
        <w:rPr>
          <w:rFonts w:asciiTheme="minorHAnsi" w:hAnsiTheme="minorHAnsi"/>
          <w:noProof/>
        </w:rPr>
      </w:pPr>
      <w:r>
        <w:rPr>
          <w:rFonts w:asciiTheme="minorHAnsi" w:hAnsiTheme="minorHAnsi"/>
          <w:noProof/>
        </w:rPr>
        <w:t>braucienus ar kravu transportlīdzeklī uz iedibinājuma Puses teritoriju vai no tās tranzītā caur otras Puses teritoriju;</w:t>
      </w:r>
    </w:p>
    <w:p w:rsidR="003E022D" w:rsidRDefault="007D19D6">
      <w:pPr>
        <w:numPr>
          <w:ilvl w:val="0"/>
          <w:numId w:val="388"/>
        </w:numPr>
        <w:ind w:left="567" w:hanging="567"/>
        <w:rPr>
          <w:noProof/>
          <w:color w:val="000000" w:themeColor="text1"/>
        </w:rPr>
      </w:pPr>
      <w:r>
        <w:rPr>
          <w:noProof/>
        </w:rPr>
        <w:t>braucieni bez kravas transpo</w:t>
      </w:r>
      <w:r>
        <w:rPr>
          <w:noProof/>
        </w:rPr>
        <w:t>rtlīdzeklī, kas saistīts ar a)–c) apakšpunktā norādītajiem braucieniem.</w:t>
      </w:r>
    </w:p>
    <w:p w:rsidR="003E022D" w:rsidRDefault="007D19D6">
      <w:pPr>
        <w:numPr>
          <w:ilvl w:val="0"/>
          <w:numId w:val="410"/>
        </w:numPr>
        <w:ind w:left="0" w:firstLine="0"/>
        <w:rPr>
          <w:noProof/>
        </w:rPr>
      </w:pPr>
      <w:r>
        <w:rPr>
          <w:noProof/>
        </w:rPr>
        <w:t xml:space="preserve">Puses kravu autopārvadātāji 1. punktā minēto braucienu var veikt tikai tad, ja: </w:t>
      </w:r>
    </w:p>
    <w:p w:rsidR="003E022D" w:rsidRDefault="007D19D6">
      <w:pPr>
        <w:numPr>
          <w:ilvl w:val="0"/>
          <w:numId w:val="394"/>
        </w:numPr>
        <w:ind w:left="567" w:hanging="567"/>
        <w:rPr>
          <w:noProof/>
        </w:rPr>
      </w:pPr>
      <w:r>
        <w:rPr>
          <w:noProof/>
        </w:rPr>
        <w:t xml:space="preserve">tiem ir derīga licence, kas izdota saskaņā ar ROAD.5. pantu [Prasības pārvadātājiem], izņemot ROAD.6. pantā [Atbrīvojumi no licencēšanas prasībām] minētos gadījumus, un  </w:t>
      </w:r>
    </w:p>
    <w:p w:rsidR="003E022D" w:rsidRDefault="007D19D6">
      <w:pPr>
        <w:numPr>
          <w:ilvl w:val="0"/>
          <w:numId w:val="394"/>
        </w:numPr>
        <w:ind w:left="567" w:hanging="567"/>
        <w:rPr>
          <w:noProof/>
        </w:rPr>
      </w:pPr>
      <w:r>
        <w:rPr>
          <w:noProof/>
        </w:rPr>
        <w:t xml:space="preserve">un braucienu veic vadītāji, kuriem ir arodprasmes apliecība saskaņā ar ROAD.7. panta </w:t>
      </w:r>
      <w:r>
        <w:rPr>
          <w:noProof/>
        </w:rPr>
        <w:t xml:space="preserve">1. punktu [Prasības vadītājiem]. </w:t>
      </w:r>
    </w:p>
    <w:p w:rsidR="003E022D" w:rsidRDefault="007D19D6">
      <w:pPr>
        <w:numPr>
          <w:ilvl w:val="0"/>
          <w:numId w:val="395"/>
        </w:numPr>
        <w:ind w:left="0" w:firstLine="0"/>
        <w:rPr>
          <w:rFonts w:asciiTheme="minorHAnsi" w:eastAsia="Arial" w:hAnsiTheme="minorHAnsi" w:cstheme="minorHAnsi"/>
          <w:noProof/>
          <w:color w:val="000000" w:themeColor="text1"/>
        </w:rPr>
      </w:pPr>
      <w:r>
        <w:rPr>
          <w:rFonts w:asciiTheme="minorHAnsi" w:hAnsiTheme="minorHAnsi"/>
          <w:noProof/>
        </w:rPr>
        <w:t>Ievērojot 6. punktu un ar noteikumu, ka ir izpildīti 2. punkta nosacījumi, Apvienotās Karalistes kravu autopārvadātāji var veikt ne vairāk kā divus braucienus ar kravu no vienas Savienības dalībvalsts uz citu Savienības da</w:t>
      </w:r>
      <w:r>
        <w:rPr>
          <w:rFonts w:asciiTheme="minorHAnsi" w:hAnsiTheme="minorHAnsi"/>
          <w:noProof/>
        </w:rPr>
        <w:t>lībvalsti, neatgriežoties Apvienotās Karalistes teritorijā, ar noteikumu, ka braucieni seko braucienam no Apvienotās Karalistes teritorijas, kas atļauts ar 1. punkta a) apakšpunktu.</w:t>
      </w:r>
    </w:p>
    <w:p w:rsidR="003E022D" w:rsidRDefault="007D19D6">
      <w:pPr>
        <w:numPr>
          <w:ilvl w:val="0"/>
          <w:numId w:val="395"/>
        </w:numPr>
        <w:ind w:left="0" w:firstLine="0"/>
        <w:rPr>
          <w:rFonts w:asciiTheme="minorHAnsi" w:eastAsia="Arial" w:hAnsiTheme="minorHAnsi" w:cstheme="minorHAnsi"/>
          <w:noProof/>
        </w:rPr>
      </w:pPr>
      <w:r>
        <w:rPr>
          <w:rFonts w:asciiTheme="minorHAnsi" w:hAnsiTheme="minorHAnsi"/>
          <w:noProof/>
        </w:rPr>
        <w:t>Neskarot 5. punktu, ievērojot 6. punktu un ar noteikumu, ka tiek izpildīti</w:t>
      </w:r>
      <w:r>
        <w:rPr>
          <w:rFonts w:asciiTheme="minorHAnsi" w:hAnsiTheme="minorHAnsi"/>
          <w:noProof/>
        </w:rPr>
        <w:t xml:space="preserve"> 2. punkta nosacījumi, Apvienotās Karalistes kravu autopārvadātāji var veikt vienu braucienu ar kravu vienas Savienības dalībvalsts teritorijā, ar noteikumu, ka šī darbība:</w:t>
      </w:r>
    </w:p>
    <w:p w:rsidR="003E022D" w:rsidRDefault="007D19D6">
      <w:pPr>
        <w:numPr>
          <w:ilvl w:val="0"/>
          <w:numId w:val="411"/>
        </w:numPr>
        <w:ind w:left="567" w:hanging="567"/>
        <w:rPr>
          <w:rFonts w:asciiTheme="minorHAnsi" w:hAnsiTheme="minorHAnsi"/>
          <w:noProof/>
        </w:rPr>
      </w:pPr>
      <w:r>
        <w:rPr>
          <w:noProof/>
        </w:rPr>
        <w:t>seko braucienam no Apvienotās Karalistes teritorijas, kas atļauts 1. punkta a) apak</w:t>
      </w:r>
      <w:r>
        <w:rPr>
          <w:noProof/>
        </w:rPr>
        <w:t>špunktā,</w:t>
      </w:r>
      <w:r>
        <w:rPr>
          <w:rFonts w:asciiTheme="minorHAnsi" w:hAnsiTheme="minorHAnsi"/>
          <w:noProof/>
        </w:rPr>
        <w:t xml:space="preserve"> un</w:t>
      </w:r>
    </w:p>
    <w:p w:rsidR="003E022D" w:rsidRDefault="007D19D6">
      <w:pPr>
        <w:numPr>
          <w:ilvl w:val="0"/>
          <w:numId w:val="411"/>
        </w:numPr>
        <w:ind w:left="567" w:hanging="567"/>
        <w:rPr>
          <w:rFonts w:asciiTheme="minorHAnsi" w:eastAsia="Arial" w:hAnsiTheme="minorHAnsi" w:cstheme="minorHAnsi"/>
          <w:noProof/>
        </w:rPr>
      </w:pPr>
      <w:r>
        <w:rPr>
          <w:rFonts w:asciiTheme="minorHAnsi" w:hAnsiTheme="minorHAnsi"/>
          <w:noProof/>
        </w:rPr>
        <w:t>notiek septiņu dienu laikā pēc a) apakšpunktā norādītajā braucienā pārvadāto preču izkraušanas minētās Savienības dalībvalsts teritorijā.</w:t>
      </w:r>
    </w:p>
    <w:p w:rsidR="003E022D" w:rsidRDefault="007D19D6">
      <w:pPr>
        <w:numPr>
          <w:ilvl w:val="0"/>
          <w:numId w:val="395"/>
        </w:numPr>
        <w:spacing w:after="0" w:line="276" w:lineRule="auto"/>
        <w:contextualSpacing/>
        <w:jc w:val="left"/>
        <w:rPr>
          <w:rFonts w:asciiTheme="minorHAnsi" w:eastAsia="Arial" w:hAnsiTheme="minorHAnsi" w:cstheme="minorHAnsi"/>
          <w:noProof/>
        </w:rPr>
      </w:pPr>
      <w:r>
        <w:rPr>
          <w:rFonts w:asciiTheme="minorHAnsi" w:hAnsiTheme="minorHAnsi"/>
          <w:noProof/>
        </w:rPr>
        <w:t>Ievērojot 6. punktu un ar noteikumu, ka ir izpildīti 2. punkta nosacījumi, Ziemeļīrijā iedibināti Apvienot</w:t>
      </w:r>
      <w:r>
        <w:rPr>
          <w:rFonts w:asciiTheme="minorHAnsi" w:hAnsiTheme="minorHAnsi"/>
          <w:noProof/>
        </w:rPr>
        <w:t>ās Karalistes kravu autopārvadātāji var veikt ne vairāk kā divus braucienus ar kravu Īrijas teritorijā, ja šīs darbības:</w:t>
      </w:r>
    </w:p>
    <w:p w:rsidR="003E022D" w:rsidRDefault="003E022D">
      <w:pPr>
        <w:spacing w:after="0" w:line="276" w:lineRule="auto"/>
        <w:ind w:left="720"/>
        <w:contextualSpacing/>
        <w:jc w:val="left"/>
        <w:rPr>
          <w:rFonts w:asciiTheme="minorHAnsi" w:eastAsia="Arial" w:hAnsiTheme="minorHAnsi" w:cstheme="minorHAnsi"/>
          <w:noProof/>
        </w:rPr>
      </w:pPr>
    </w:p>
    <w:p w:rsidR="003E022D" w:rsidRDefault="007D19D6">
      <w:pPr>
        <w:numPr>
          <w:ilvl w:val="0"/>
          <w:numId w:val="412"/>
        </w:numPr>
        <w:ind w:left="567" w:hanging="567"/>
        <w:rPr>
          <w:rFonts w:asciiTheme="minorHAnsi" w:hAnsiTheme="minorHAnsi"/>
          <w:noProof/>
        </w:rPr>
      </w:pPr>
      <w:r>
        <w:rPr>
          <w:rFonts w:asciiTheme="minorHAnsi" w:hAnsiTheme="minorHAnsi"/>
          <w:noProof/>
        </w:rPr>
        <w:t>seko braucienam no Ziemeļīrijas teritorijas, kas atļauts 1. punkta a) apakšpunktā, un</w:t>
      </w:r>
    </w:p>
    <w:p w:rsidR="003E022D" w:rsidRDefault="007D19D6">
      <w:pPr>
        <w:numPr>
          <w:ilvl w:val="0"/>
          <w:numId w:val="412"/>
        </w:numPr>
        <w:ind w:left="567" w:hanging="567"/>
        <w:rPr>
          <w:rFonts w:asciiTheme="minorHAnsi" w:eastAsia="Arial" w:hAnsiTheme="minorHAnsi" w:cstheme="minorHAnsi"/>
          <w:noProof/>
        </w:rPr>
      </w:pPr>
      <w:r>
        <w:rPr>
          <w:noProof/>
        </w:rPr>
        <w:t xml:space="preserve">notiek septiņu dienu laikā pēc a) apakšpunktā </w:t>
      </w:r>
      <w:r>
        <w:rPr>
          <w:noProof/>
        </w:rPr>
        <w:t>minētajā braucienā pārvadāto preču izkraušanas Īrijas teritorijā.</w:t>
      </w:r>
    </w:p>
    <w:p w:rsidR="003E022D" w:rsidRDefault="007D19D6">
      <w:pPr>
        <w:numPr>
          <w:ilvl w:val="0"/>
          <w:numId w:val="395"/>
        </w:numPr>
        <w:ind w:left="0" w:firstLine="0"/>
        <w:rPr>
          <w:rFonts w:asciiTheme="minorHAnsi" w:eastAsia="Arial" w:hAnsiTheme="minorHAnsi" w:cstheme="minorHAnsi"/>
          <w:noProof/>
        </w:rPr>
      </w:pPr>
      <w:r>
        <w:rPr>
          <w:rFonts w:asciiTheme="minorHAnsi" w:hAnsiTheme="minorHAnsi"/>
          <w:noProof/>
        </w:rPr>
        <w:t>Apvienotās Karalistes kravu autopārvadātājiem pirms atgriešanās Apvienotās Karalistes teritorijā atļauti ne vairāk kā divi braucieni Savienības teritorijā saskaņā ar 3., 4. un 5. punktu.</w:t>
      </w:r>
    </w:p>
    <w:p w:rsidR="003E022D" w:rsidRDefault="007D19D6">
      <w:pPr>
        <w:numPr>
          <w:ilvl w:val="0"/>
          <w:numId w:val="395"/>
        </w:numPr>
        <w:ind w:left="0" w:firstLine="0"/>
        <w:rPr>
          <w:rFonts w:asciiTheme="minorHAnsi" w:eastAsia="Arial" w:hAnsiTheme="minorHAnsi" w:cstheme="minorHAnsi"/>
          <w:noProof/>
          <w:color w:val="000000" w:themeColor="text1"/>
        </w:rPr>
      </w:pPr>
      <w:r>
        <w:rPr>
          <w:rFonts w:asciiTheme="minorHAnsi" w:hAnsiTheme="minorHAnsi"/>
          <w:noProof/>
        </w:rPr>
        <w:t xml:space="preserve">Ja </w:t>
      </w:r>
      <w:r>
        <w:rPr>
          <w:rFonts w:asciiTheme="minorHAnsi" w:hAnsiTheme="minorHAnsi"/>
          <w:noProof/>
        </w:rPr>
        <w:t>tiek izpildīti 2. punkta nosacījumi, Savienības kravu autopārvadātāji var veikt ne vairāk kā divus braucienus ar kravu Apvienotās Karalistes teritorijā, ja šīs darbības:</w:t>
      </w:r>
    </w:p>
    <w:p w:rsidR="003E022D" w:rsidRDefault="007D19D6">
      <w:pPr>
        <w:numPr>
          <w:ilvl w:val="0"/>
          <w:numId w:val="413"/>
        </w:numPr>
        <w:ind w:left="567" w:hanging="567"/>
        <w:rPr>
          <w:rFonts w:asciiTheme="minorHAnsi" w:hAnsiTheme="minorHAnsi"/>
          <w:noProof/>
        </w:rPr>
      </w:pPr>
      <w:r>
        <w:rPr>
          <w:rFonts w:asciiTheme="minorHAnsi" w:hAnsiTheme="minorHAnsi"/>
          <w:noProof/>
        </w:rPr>
        <w:t>seko braucienam no Savienības teritorijas, kas atļauts 1. punkta a) apakšpunktā, un</w:t>
      </w:r>
    </w:p>
    <w:p w:rsidR="003E022D" w:rsidRDefault="007D19D6">
      <w:pPr>
        <w:numPr>
          <w:ilvl w:val="0"/>
          <w:numId w:val="413"/>
        </w:numPr>
        <w:ind w:left="567" w:hanging="567"/>
        <w:rPr>
          <w:rFonts w:asciiTheme="minorHAnsi" w:eastAsia="Arial" w:hAnsiTheme="minorHAnsi" w:cstheme="minorHAnsi"/>
          <w:noProof/>
          <w:color w:val="000000" w:themeColor="text1"/>
        </w:rPr>
      </w:pPr>
      <w:r>
        <w:rPr>
          <w:rFonts w:asciiTheme="minorHAnsi" w:hAnsiTheme="minorHAnsi"/>
          <w:noProof/>
        </w:rPr>
        <w:t>no</w:t>
      </w:r>
      <w:r>
        <w:rPr>
          <w:rFonts w:asciiTheme="minorHAnsi" w:hAnsiTheme="minorHAnsi"/>
          <w:noProof/>
        </w:rPr>
        <w:t>tiek septiņu dienu laikā pēc a) apakšpunktā minētajā braucienā pārvadāto preču izkraušanas Apvienotās Karalistes teritorijā.</w:t>
      </w:r>
    </w:p>
    <w:p w:rsidR="003E022D" w:rsidRDefault="007D19D6">
      <w:pPr>
        <w:pStyle w:val="Article"/>
        <w:rPr>
          <w:noProof/>
        </w:rPr>
      </w:pPr>
      <w:r>
        <w:rPr>
          <w:noProof/>
        </w:rPr>
        <w:t>ROAD.5. pants. Prasības pārvadātājiem</w:t>
      </w:r>
    </w:p>
    <w:p w:rsidR="003E022D" w:rsidRDefault="007D19D6">
      <w:pPr>
        <w:numPr>
          <w:ilvl w:val="0"/>
          <w:numId w:val="389"/>
        </w:numPr>
        <w:ind w:left="0"/>
        <w:rPr>
          <w:noProof/>
          <w:color w:val="000000" w:themeColor="text1"/>
        </w:rPr>
      </w:pPr>
      <w:r>
        <w:rPr>
          <w:noProof/>
        </w:rPr>
        <w:t>Puses autopārvadātājiem, kas veic ROAD.4. pantā [Kravu pārvadāšana starp Pušu teritorijām, ca</w:t>
      </w:r>
      <w:r>
        <w:rPr>
          <w:noProof/>
        </w:rPr>
        <w:t>ur tām un tajās] norādīto braucienu, ir derīga licence, kas izdota saskaņā ar šā panta 2. punktu.</w:t>
      </w:r>
      <w:r>
        <w:rPr>
          <w:noProof/>
          <w:color w:val="000000" w:themeColor="text1"/>
        </w:rPr>
        <w:t xml:space="preserve">  </w:t>
      </w:r>
    </w:p>
    <w:p w:rsidR="003E022D" w:rsidRDefault="007D19D6">
      <w:pPr>
        <w:numPr>
          <w:ilvl w:val="0"/>
          <w:numId w:val="389"/>
        </w:numPr>
        <w:ind w:left="0"/>
        <w:rPr>
          <w:rFonts w:asciiTheme="minorHAnsi" w:hAnsiTheme="minorHAnsi"/>
          <w:noProof/>
        </w:rPr>
      </w:pPr>
      <w:r>
        <w:rPr>
          <w:noProof/>
        </w:rPr>
        <w:t>Licences saskaņā ar Pušu tiesību aktiem izdod tikai kravu autopārvadātājiem, kuri atbilst ROAD-1 pielikuma A daļas 1. iedaļā izklāstītajām prasībām, kas reg</w:t>
      </w:r>
      <w:r>
        <w:rPr>
          <w:noProof/>
        </w:rPr>
        <w:t>lamentē kravu autopārvadātāja profesionālās darbības atļaušanu un veikšanu.</w:t>
      </w:r>
      <w:r>
        <w:rPr>
          <w:rFonts w:asciiTheme="minorHAnsi" w:hAnsiTheme="minorHAnsi"/>
          <w:noProof/>
        </w:rPr>
        <w:t xml:space="preserve"> </w:t>
      </w:r>
    </w:p>
    <w:p w:rsidR="003E022D" w:rsidRDefault="007D19D6">
      <w:pPr>
        <w:numPr>
          <w:ilvl w:val="0"/>
          <w:numId w:val="389"/>
        </w:numPr>
        <w:ind w:left="0"/>
        <w:rPr>
          <w:noProof/>
          <w:color w:val="000000" w:themeColor="text1"/>
        </w:rPr>
      </w:pPr>
      <w:r>
        <w:rPr>
          <w:noProof/>
        </w:rPr>
        <w:t xml:space="preserve">Transportlīdzeklī glabā apliecinātu licences kopiju, ko uzrāda pēc katras Puses pilnvarotu inspekcijas darbinieku pieprasījuma. </w:t>
      </w:r>
      <w:r>
        <w:rPr>
          <w:noProof/>
          <w:color w:val="000000" w:themeColor="text1"/>
        </w:rPr>
        <w:t xml:space="preserve"> Licence un apliecinātās kopijas atbilst vienam vai</w:t>
      </w:r>
      <w:r>
        <w:rPr>
          <w:noProof/>
          <w:color w:val="000000" w:themeColor="text1"/>
        </w:rPr>
        <w:t xml:space="preserve"> abiem paraugiem ROAD-1. pielikuma A daļas ROAD.A.1.3. papildinājumā, kur izklāstīti arī tās izmantošanas nosacījumi. Licencē ir vismaz divi no ROAD-1. pielikuma A daļas ROAD.A.1.4. papildinājumā uzskaitītajiem aizsardzības elementiem.</w:t>
      </w:r>
    </w:p>
    <w:p w:rsidR="003E022D" w:rsidRDefault="007D19D6">
      <w:pPr>
        <w:numPr>
          <w:ilvl w:val="0"/>
          <w:numId w:val="389"/>
        </w:numPr>
        <w:ind w:left="0"/>
        <w:rPr>
          <w:noProof/>
          <w:color w:val="000000" w:themeColor="text1"/>
        </w:rPr>
      </w:pPr>
      <w:r>
        <w:rPr>
          <w:noProof/>
          <w:color w:val="000000" w:themeColor="text1"/>
        </w:rPr>
        <w:t>Kravu autopārvadātāj</w:t>
      </w:r>
      <w:r>
        <w:rPr>
          <w:noProof/>
          <w:color w:val="000000" w:themeColor="text1"/>
        </w:rPr>
        <w:t>i atbilst prasībām, kas izklāstītas ROAD-1. pielikuma A daļas 2. iedaļā, kur noteiktas prasības transportlīdzekļu vadītāju norīkošanai darbā braucienā, kas norādīts ROAD.4. panta 3.–7. punktā [Kravu pārvadāšana starp Pušu teritorijām, caur tām un tajās].</w:t>
      </w:r>
    </w:p>
    <w:p w:rsidR="003E022D" w:rsidRDefault="007D19D6">
      <w:pPr>
        <w:pStyle w:val="Article"/>
        <w:rPr>
          <w:noProof/>
        </w:rPr>
      </w:pPr>
      <w:r>
        <w:rPr>
          <w:noProof/>
        </w:rPr>
        <w:t>R</w:t>
      </w:r>
      <w:r>
        <w:rPr>
          <w:noProof/>
        </w:rPr>
        <w:t xml:space="preserve">OAD.6. pants. Atbrīvojumi no licencēšanas prasības </w:t>
      </w:r>
    </w:p>
    <w:p w:rsidR="003E022D" w:rsidRDefault="007D19D6">
      <w:pPr>
        <w:rPr>
          <w:noProof/>
        </w:rPr>
      </w:pPr>
      <w:r>
        <w:rPr>
          <w:noProof/>
        </w:rPr>
        <w:t xml:space="preserve">Bez pārvadāšanai derīgas licences, uz ko norādīts 5. pantā [Prasības pārvadātājiem], drīkst veikt šādu veidu kravu pārvadāšanu un braucienus bez kravas: </w:t>
      </w:r>
    </w:p>
    <w:p w:rsidR="003E022D" w:rsidRDefault="007D19D6">
      <w:pPr>
        <w:numPr>
          <w:ilvl w:val="0"/>
          <w:numId w:val="390"/>
        </w:numPr>
        <w:ind w:left="567" w:hanging="567"/>
        <w:rPr>
          <w:noProof/>
        </w:rPr>
      </w:pPr>
      <w:r>
        <w:rPr>
          <w:noProof/>
        </w:rPr>
        <w:t xml:space="preserve">pasta pārvadāšana kā universālais pakalpojums; </w:t>
      </w:r>
    </w:p>
    <w:p w:rsidR="003E022D" w:rsidRDefault="007D19D6">
      <w:pPr>
        <w:numPr>
          <w:ilvl w:val="0"/>
          <w:numId w:val="390"/>
        </w:numPr>
        <w:ind w:left="567" w:hanging="567"/>
        <w:rPr>
          <w:rFonts w:asciiTheme="minorHAnsi" w:hAnsiTheme="minorHAnsi"/>
          <w:noProof/>
        </w:rPr>
      </w:pPr>
      <w:r>
        <w:rPr>
          <w:noProof/>
        </w:rPr>
        <w:t>bo</w:t>
      </w:r>
      <w:r>
        <w:rPr>
          <w:noProof/>
        </w:rPr>
        <w:t>jātu vai avarējušu transportlīdzekļu transportēšana;</w:t>
      </w:r>
      <w:r>
        <w:rPr>
          <w:rFonts w:asciiTheme="minorHAnsi" w:hAnsiTheme="minorHAnsi"/>
          <w:noProof/>
        </w:rPr>
        <w:t xml:space="preserve"> </w:t>
      </w:r>
    </w:p>
    <w:p w:rsidR="003E022D" w:rsidRDefault="007D19D6">
      <w:pPr>
        <w:numPr>
          <w:ilvl w:val="0"/>
          <w:numId w:val="390"/>
        </w:numPr>
        <w:ind w:left="567" w:hanging="567"/>
        <w:rPr>
          <w:rFonts w:asciiTheme="minorHAnsi" w:hAnsiTheme="minorHAnsi"/>
          <w:noProof/>
        </w:rPr>
      </w:pPr>
      <w:r>
        <w:rPr>
          <w:rFonts w:asciiTheme="minorHAnsi" w:hAnsiTheme="minorHAnsi"/>
          <w:noProof/>
        </w:rPr>
        <w:t xml:space="preserve">līdz 2022. gada 20. februārim — kravu pārvadājumi ar mehāniskajiem transportlīdzekļiem, kuru pilnmasa, ieskaitot piekabes, nepārsniedz 3,5 t; </w:t>
      </w:r>
    </w:p>
    <w:p w:rsidR="003E022D" w:rsidRDefault="007D19D6">
      <w:pPr>
        <w:numPr>
          <w:ilvl w:val="0"/>
          <w:numId w:val="390"/>
        </w:numPr>
        <w:ind w:left="567" w:hanging="567"/>
        <w:rPr>
          <w:rFonts w:asciiTheme="minorHAnsi" w:hAnsiTheme="minorHAnsi"/>
          <w:noProof/>
        </w:rPr>
      </w:pPr>
      <w:r>
        <w:rPr>
          <w:rFonts w:asciiTheme="minorHAnsi" w:hAnsiTheme="minorHAnsi"/>
          <w:noProof/>
        </w:rPr>
        <w:t>no 2022. gada 21. februāra — kravu pārvadājumi ar mehāniska</w:t>
      </w:r>
      <w:r>
        <w:rPr>
          <w:rFonts w:asciiTheme="minorHAnsi" w:hAnsiTheme="minorHAnsi"/>
          <w:noProof/>
        </w:rPr>
        <w:t xml:space="preserve">jiem transportlīdzekļiem, kuru pilnmasa, ieskaitot piekabes, nepārsniedz 2,5 t; </w:t>
      </w:r>
    </w:p>
    <w:p w:rsidR="003E022D" w:rsidRDefault="007D19D6">
      <w:pPr>
        <w:numPr>
          <w:ilvl w:val="0"/>
          <w:numId w:val="390"/>
        </w:numPr>
        <w:ind w:left="567" w:hanging="567"/>
        <w:rPr>
          <w:noProof/>
          <w:color w:val="000000" w:themeColor="text1"/>
        </w:rPr>
      </w:pPr>
      <w:r>
        <w:rPr>
          <w:noProof/>
        </w:rPr>
        <w:t>medicīniskajai aprūpei ārkārtējas palīdzības sniegšanā, sevišķi dabas katastrofās un humanitārajā palīdzībā, vajadzīgo zāļu, ierīču, iekārtu un citu priekšmetu pārvadāšana;</w:t>
      </w:r>
      <w:r>
        <w:rPr>
          <w:noProof/>
          <w:color w:val="000000" w:themeColor="text1"/>
        </w:rPr>
        <w:t xml:space="preserve">  </w:t>
      </w:r>
    </w:p>
    <w:p w:rsidR="003E022D" w:rsidRDefault="007D19D6">
      <w:pPr>
        <w:numPr>
          <w:ilvl w:val="0"/>
          <w:numId w:val="390"/>
        </w:numPr>
        <w:ind w:left="567" w:hanging="567"/>
        <w:rPr>
          <w:noProof/>
        </w:rPr>
      </w:pPr>
      <w:r>
        <w:rPr>
          <w:noProof/>
        </w:rPr>
        <w:t xml:space="preserve">kravu vešana transportlīdzekļos, ja tiek izpildīti šādi nosacījumi:  </w:t>
      </w:r>
    </w:p>
    <w:p w:rsidR="003E022D" w:rsidRDefault="007D19D6">
      <w:pPr>
        <w:numPr>
          <w:ilvl w:val="1"/>
          <w:numId w:val="390"/>
        </w:numPr>
        <w:spacing w:after="282" w:line="268" w:lineRule="auto"/>
        <w:ind w:hanging="720"/>
        <w:rPr>
          <w:noProof/>
        </w:rPr>
      </w:pPr>
      <w:r>
        <w:rPr>
          <w:noProof/>
        </w:rPr>
        <w:t xml:space="preserve">vestā krava ir kravas autopārvadātāja īpašums vai autopārvadātājs to ir pārdevis, nopircis, iznomājis vai nomā, saražojis, ieguvis, apstrādājis vai salabojis;  </w:t>
      </w:r>
    </w:p>
    <w:p w:rsidR="003E022D" w:rsidRDefault="007D19D6">
      <w:pPr>
        <w:numPr>
          <w:ilvl w:val="1"/>
          <w:numId w:val="390"/>
        </w:numPr>
        <w:spacing w:after="282" w:line="268" w:lineRule="auto"/>
        <w:ind w:hanging="720"/>
        <w:rPr>
          <w:noProof/>
        </w:rPr>
      </w:pPr>
      <w:r>
        <w:rPr>
          <w:noProof/>
        </w:rPr>
        <w:t>brauciena mērķis ir aizve</w:t>
      </w:r>
      <w:r>
        <w:rPr>
          <w:noProof/>
        </w:rPr>
        <w:t xml:space="preserve">st kravu uz kravas autopārvadātāja teritoriju vai no tās vai pārvietot starp teritorijām vai ārpus tām savām vajadzībām;  </w:t>
      </w:r>
    </w:p>
    <w:p w:rsidR="003E022D" w:rsidRDefault="007D19D6">
      <w:pPr>
        <w:numPr>
          <w:ilvl w:val="1"/>
          <w:numId w:val="390"/>
        </w:numPr>
        <w:spacing w:after="282" w:line="268" w:lineRule="auto"/>
        <w:ind w:hanging="720"/>
        <w:rPr>
          <w:noProof/>
        </w:rPr>
      </w:pPr>
      <w:r>
        <w:rPr>
          <w:noProof/>
        </w:rPr>
        <w:t xml:space="preserve">transportlīdzekļus, ko izmanto tādai pārvadāšanai, vada kravu autopārvadātāja nodarbinātais vai tā rīcībā nodotais personāls saskaņā ar līgumsaistībām;   </w:t>
      </w:r>
    </w:p>
    <w:p w:rsidR="003E022D" w:rsidRDefault="007D19D6">
      <w:pPr>
        <w:numPr>
          <w:ilvl w:val="1"/>
          <w:numId w:val="390"/>
        </w:numPr>
        <w:spacing w:after="282" w:line="268" w:lineRule="auto"/>
        <w:ind w:hanging="720"/>
        <w:rPr>
          <w:noProof/>
        </w:rPr>
      </w:pPr>
      <w:r>
        <w:rPr>
          <w:noProof/>
        </w:rPr>
        <w:t xml:space="preserve">kravas ved transportlīdzekļi, kas pieder kravu autopārvadātājam, kuri tos iegādājušies uz nomaksu vai nomā;  </w:t>
      </w:r>
    </w:p>
    <w:p w:rsidR="003E022D" w:rsidRDefault="007D19D6">
      <w:pPr>
        <w:numPr>
          <w:ilvl w:val="1"/>
          <w:numId w:val="390"/>
        </w:numPr>
        <w:spacing w:after="247" w:line="268" w:lineRule="auto"/>
        <w:ind w:hanging="720"/>
        <w:rPr>
          <w:noProof/>
        </w:rPr>
      </w:pPr>
      <w:r>
        <w:rPr>
          <w:noProof/>
        </w:rPr>
        <w:t xml:space="preserve">šāda pārvadāšana tikai papildina kravu autopārvadātāja vispārējo darbību; </w:t>
      </w:r>
    </w:p>
    <w:p w:rsidR="003E022D" w:rsidRDefault="007D19D6">
      <w:pPr>
        <w:numPr>
          <w:ilvl w:val="0"/>
          <w:numId w:val="390"/>
        </w:numPr>
        <w:ind w:left="567" w:hanging="567"/>
        <w:rPr>
          <w:noProof/>
          <w:color w:val="000000" w:themeColor="text1"/>
        </w:rPr>
      </w:pPr>
      <w:r>
        <w:rPr>
          <w:noProof/>
        </w:rPr>
        <w:t>kravu pārvadāšana ar mehāniskajiem transportlīdzekļiem, kuru maksimālai</w:t>
      </w:r>
      <w:r>
        <w:rPr>
          <w:noProof/>
        </w:rPr>
        <w:t>s atļautais ātrums nepārsniedz 40 km/h.</w:t>
      </w:r>
      <w:r>
        <w:rPr>
          <w:noProof/>
          <w:color w:val="000000" w:themeColor="text1"/>
        </w:rPr>
        <w:t xml:space="preserve"> </w:t>
      </w:r>
    </w:p>
    <w:p w:rsidR="003E022D" w:rsidRDefault="007D19D6">
      <w:pPr>
        <w:pStyle w:val="Article"/>
        <w:rPr>
          <w:noProof/>
        </w:rPr>
      </w:pPr>
      <w:r>
        <w:rPr>
          <w:noProof/>
        </w:rPr>
        <w:t>ROAD.7. pants. Prasības vadītājiem</w:t>
      </w:r>
    </w:p>
    <w:p w:rsidR="003E022D" w:rsidRDefault="007D19D6">
      <w:pPr>
        <w:rPr>
          <w:noProof/>
        </w:rPr>
      </w:pPr>
      <w:r>
        <w:rPr>
          <w:noProof/>
          <w:color w:val="000000" w:themeColor="text1"/>
        </w:rPr>
        <w:t>1.</w:t>
      </w:r>
      <w:r>
        <w:rPr>
          <w:noProof/>
        </w:rPr>
        <w:tab/>
        <w:t xml:space="preserve">Transportlīdzekļu vadītājiem, kas veic ROAD.4. pantā </w:t>
      </w:r>
      <w:bookmarkStart w:id="224" w:name="_Hlk57658644"/>
      <w:r>
        <w:rPr>
          <w:noProof/>
        </w:rPr>
        <w:t>[Kravu pārvadāšana starp Pušu teritorijām, caur tām un tajās]</w:t>
      </w:r>
      <w:bookmarkEnd w:id="224"/>
      <w:r>
        <w:rPr>
          <w:noProof/>
        </w:rPr>
        <w:t xml:space="preserve"> norādītos braucienus: </w:t>
      </w:r>
    </w:p>
    <w:p w:rsidR="003E022D" w:rsidRDefault="007D19D6">
      <w:pPr>
        <w:numPr>
          <w:ilvl w:val="0"/>
          <w:numId w:val="391"/>
        </w:numPr>
        <w:ind w:left="567" w:hanging="567"/>
        <w:rPr>
          <w:noProof/>
        </w:rPr>
      </w:pPr>
      <w:r>
        <w:rPr>
          <w:noProof/>
        </w:rPr>
        <w:t>ir arodprasmes apliecība, kas izdota sa</w:t>
      </w:r>
      <w:r>
        <w:rPr>
          <w:noProof/>
        </w:rPr>
        <w:t xml:space="preserve">skaņā ar ROAD-1. pielikuma B daļas 1. iedaļu, un </w:t>
      </w:r>
    </w:p>
    <w:p w:rsidR="003E022D" w:rsidRDefault="007D19D6">
      <w:pPr>
        <w:numPr>
          <w:ilvl w:val="0"/>
          <w:numId w:val="391"/>
        </w:numPr>
        <w:ind w:left="567" w:hanging="567"/>
        <w:rPr>
          <w:noProof/>
        </w:rPr>
      </w:pPr>
      <w:r>
        <w:rPr>
          <w:noProof/>
        </w:rPr>
        <w:t xml:space="preserve">viņi ievēro noteikumus par transportlīdzekļa vadīšanas un darba laiku, atpūtas laikposmiem, pārtraukumiem un tahogrāfu izmantošanu saskaņā ar ROAD-1. pielikuma B daļas 2.–4. iedaļu.    </w:t>
      </w:r>
    </w:p>
    <w:p w:rsidR="003E022D" w:rsidRDefault="007D19D6">
      <w:pPr>
        <w:rPr>
          <w:noProof/>
          <w:color w:val="FF0000"/>
        </w:rPr>
      </w:pPr>
      <w:r>
        <w:rPr>
          <w:noProof/>
          <w:color w:val="000000" w:themeColor="text1"/>
        </w:rPr>
        <w:t>2.</w:t>
      </w:r>
      <w:r>
        <w:rPr>
          <w:noProof/>
        </w:rPr>
        <w:tab/>
        <w:t>Uz starptautiskaj</w:t>
      </w:r>
      <w:r>
        <w:rPr>
          <w:noProof/>
        </w:rPr>
        <w:t>iem autopārvadājumiem, ko daļēji veic ārpus Pušu teritorijas, visā braucienā 1. punkta b) apakšpunkta vietā attiecas Ženēvā 1970. gada 1. jūlijā noslēgtais Eiropas Līgums par transportlīdzekļu apkalpju darbu starptautiskajos autopārvadājumos (</w:t>
      </w:r>
      <w:r>
        <w:rPr>
          <w:i/>
          <w:iCs/>
          <w:noProof/>
        </w:rPr>
        <w:t>AETR</w:t>
      </w:r>
      <w:r>
        <w:rPr>
          <w:noProof/>
        </w:rPr>
        <w:t>).</w:t>
      </w:r>
    </w:p>
    <w:p w:rsidR="003E022D" w:rsidRDefault="007D19D6">
      <w:pPr>
        <w:pStyle w:val="Article"/>
        <w:rPr>
          <w:noProof/>
        </w:rPr>
      </w:pPr>
      <w:r>
        <w:rPr>
          <w:noProof/>
        </w:rPr>
        <w:t>ROAD.8</w:t>
      </w:r>
      <w:r>
        <w:rPr>
          <w:noProof/>
        </w:rPr>
        <w:t xml:space="preserve">. pants. Prasības transportlīdzekļiem </w:t>
      </w:r>
    </w:p>
    <w:p w:rsidR="003E022D" w:rsidRDefault="007D19D6">
      <w:pPr>
        <w:numPr>
          <w:ilvl w:val="0"/>
          <w:numId w:val="392"/>
        </w:numPr>
        <w:ind w:left="0"/>
        <w:rPr>
          <w:noProof/>
        </w:rPr>
      </w:pPr>
      <w:r>
        <w:rPr>
          <w:noProof/>
        </w:rPr>
        <w:t>Puse neatsaka un neliedz tās teritorijā izmantot transportlīdzekli, kas veic ROAD.4. pantā [Kravu pārvadāšana starp Pušu teritorijām, caur tām un tajās] minēto braucienu, ja transportlīdzeklis atbilst ROAD-1. pielikum</w:t>
      </w:r>
      <w:r>
        <w:rPr>
          <w:noProof/>
        </w:rPr>
        <w:t xml:space="preserve">a C daļas 1. iedaļā noteiktajām prasībām. </w:t>
      </w:r>
    </w:p>
    <w:p w:rsidR="003E022D" w:rsidRDefault="007D19D6">
      <w:pPr>
        <w:numPr>
          <w:ilvl w:val="0"/>
          <w:numId w:val="392"/>
        </w:numPr>
        <w:ind w:left="0"/>
        <w:rPr>
          <w:noProof/>
        </w:rPr>
      </w:pPr>
      <w:r>
        <w:rPr>
          <w:noProof/>
        </w:rPr>
        <w:t>Transportlīdzekļus, kas veic ROAD.4. pantā [Kravu pārvadāšana starp Pušu teritorijām, caur tām un tajās] minētos braucienus, aprīko ar tahogrāfu, kas projektēts, uzstādīts, izmantots, testēts un kontrolēts saskaņā</w:t>
      </w:r>
      <w:r>
        <w:rPr>
          <w:noProof/>
        </w:rPr>
        <w:t xml:space="preserve"> ar ROAD-1. pielikuma C daļas 2. iedaļu.  </w:t>
      </w:r>
    </w:p>
    <w:p w:rsidR="003E022D" w:rsidRDefault="007D19D6">
      <w:pPr>
        <w:pStyle w:val="Article"/>
        <w:rPr>
          <w:noProof/>
        </w:rPr>
      </w:pPr>
      <w:r>
        <w:rPr>
          <w:noProof/>
        </w:rPr>
        <w:t xml:space="preserve">ROAD.9. pants. Ceļu satiksmes noteikumi </w:t>
      </w:r>
    </w:p>
    <w:p w:rsidR="003E022D" w:rsidRDefault="007D19D6">
      <w:pPr>
        <w:rPr>
          <w:noProof/>
          <w:color w:val="000000" w:themeColor="text1"/>
        </w:rPr>
      </w:pPr>
      <w:r>
        <w:rPr>
          <w:noProof/>
        </w:rPr>
        <w:t>Transportlīdzekļu vadītāji, kuri pārvadā kravas saskaņā ar šo sadaļu, otras Puses teritorijā ievēro minētajā teritorijā ceļu satiksmē spēkā esošos valsts normatīvos aktus.</w:t>
      </w:r>
    </w:p>
    <w:p w:rsidR="003E022D" w:rsidRDefault="007D19D6">
      <w:pPr>
        <w:pStyle w:val="Article"/>
        <w:rPr>
          <w:noProof/>
        </w:rPr>
      </w:pPr>
      <w:r>
        <w:rPr>
          <w:noProof/>
        </w:rPr>
        <w:t>ROAD.10. pants. Tiesību aktu izstrāde un Specializētā autotransporta komiteja</w:t>
      </w:r>
    </w:p>
    <w:p w:rsidR="003E022D" w:rsidRDefault="007D19D6">
      <w:pPr>
        <w:rPr>
          <w:noProof/>
        </w:rPr>
      </w:pPr>
      <w:r>
        <w:rPr>
          <w:noProof/>
        </w:rPr>
        <w:t>1.</w:t>
      </w:r>
      <w:r>
        <w:rPr>
          <w:rFonts w:ascii="Times New Roman" w:hAnsi="Times New Roman"/>
          <w:noProof/>
          <w:sz w:val="14"/>
        </w:rPr>
        <w:t xml:space="preserve"> </w:t>
      </w:r>
      <w:r>
        <w:rPr>
          <w:noProof/>
        </w:rPr>
        <w:tab/>
        <w:t>Ja Puse ierosina jaunu regulatīvu pasākumu jomā, uz ko attiecas ROAD-1. pielikums, tā:</w:t>
      </w:r>
    </w:p>
    <w:p w:rsidR="003E022D" w:rsidRDefault="007D19D6">
      <w:pPr>
        <w:numPr>
          <w:ilvl w:val="0"/>
          <w:numId w:val="414"/>
        </w:numPr>
        <w:ind w:left="567" w:hanging="567"/>
        <w:rPr>
          <w:rFonts w:asciiTheme="minorHAnsi" w:hAnsiTheme="minorHAnsi"/>
          <w:noProof/>
        </w:rPr>
      </w:pPr>
      <w:r>
        <w:rPr>
          <w:rFonts w:asciiTheme="minorHAnsi" w:hAnsiTheme="minorHAnsi"/>
          <w:noProof/>
        </w:rPr>
        <w:t>cik drīz iespējams, paziņo otrai Pusei par ierosināto regulatīvo pasākumu;</w:t>
      </w:r>
    </w:p>
    <w:p w:rsidR="003E022D" w:rsidRDefault="007D19D6">
      <w:pPr>
        <w:numPr>
          <w:ilvl w:val="0"/>
          <w:numId w:val="414"/>
        </w:numPr>
        <w:ind w:left="567" w:hanging="567"/>
        <w:rPr>
          <w:noProof/>
        </w:rPr>
      </w:pPr>
      <w:r>
        <w:rPr>
          <w:noProof/>
        </w:rPr>
        <w:t>otru Pusi pa</w:t>
      </w:r>
      <w:r>
        <w:rPr>
          <w:noProof/>
        </w:rPr>
        <w:t>stāvīgi informē par regulatīvā pasākuma īstenošanos.</w:t>
      </w:r>
    </w:p>
    <w:p w:rsidR="003E022D" w:rsidRDefault="007D19D6">
      <w:pPr>
        <w:rPr>
          <w:noProof/>
        </w:rPr>
      </w:pPr>
      <w:r>
        <w:rPr>
          <w:noProof/>
        </w:rPr>
        <w:t>2.</w:t>
      </w:r>
      <w:r>
        <w:rPr>
          <w:rFonts w:ascii="Times New Roman" w:hAnsi="Times New Roman"/>
          <w:noProof/>
          <w:sz w:val="14"/>
          <w:szCs w:val="14"/>
        </w:rPr>
        <w:t xml:space="preserve"> </w:t>
      </w:r>
      <w:r>
        <w:rPr>
          <w:noProof/>
        </w:rPr>
        <w:tab/>
        <w:t>Pēc vienas Puses pieprasījuma Specializētajā autotransporta komitejā ne vēlāk kā divus mēnešus pēc pieprasījuma iesniegšanas tiek sarīkota viedokļu apmaiņa par to, vai ierosinātais jaunais regulatīva</w:t>
      </w:r>
      <w:r>
        <w:rPr>
          <w:noProof/>
        </w:rPr>
        <w:t>is pasākums piemērojams ROAD.4. pantā [Kravu pārvadāšana starp Pušu teritorijām, caur tām un tajās] norādītajiem braucieniem.</w:t>
      </w:r>
    </w:p>
    <w:p w:rsidR="003E022D" w:rsidRDefault="007D19D6">
      <w:pPr>
        <w:rPr>
          <w:noProof/>
        </w:rPr>
      </w:pPr>
      <w:r>
        <w:rPr>
          <w:noProof/>
        </w:rPr>
        <w:t>3.</w:t>
      </w:r>
      <w:r>
        <w:rPr>
          <w:noProof/>
        </w:rPr>
        <w:tab/>
        <w:t>Ja Puse pieņem jaunu regulatīvu pasākumu, kas norādīts 1. punktā, tā par to paziņo otrai Pusei un nedēļas laikā pēc tā publicēš</w:t>
      </w:r>
      <w:r>
        <w:rPr>
          <w:noProof/>
        </w:rPr>
        <w:t>anas iesniedz jaunā regulatīvā pasākuma tekstu.</w:t>
      </w:r>
    </w:p>
    <w:p w:rsidR="003E022D" w:rsidRDefault="007D19D6">
      <w:pPr>
        <w:rPr>
          <w:noProof/>
        </w:rPr>
      </w:pPr>
      <w:r>
        <w:rPr>
          <w:noProof/>
        </w:rPr>
        <w:t>4.</w:t>
      </w:r>
      <w:r>
        <w:rPr>
          <w:noProof/>
        </w:rPr>
        <w:tab/>
      </w:r>
      <w:r>
        <w:rPr>
          <w:noProof/>
        </w:rPr>
        <w:t>Specializētā autotransporta komiteja tiekas, lai pēc kādas Puses pieprasījuma apspriestu katru jaunu pieņemtu regulatīvu pasākumu divu mēnešu laikā pēc pieprasījuma iesniegšanas, neatkarīgi no tā, vai paziņojums ir sniegts saskaņā ar 1. vai 3. punktu vai i</w:t>
      </w:r>
      <w:r>
        <w:rPr>
          <w:noProof/>
        </w:rPr>
        <w:t xml:space="preserve">r notikusi apspriešanās saskaņā ar 2. punktu. </w:t>
      </w:r>
    </w:p>
    <w:p w:rsidR="003E022D" w:rsidRDefault="007D19D6">
      <w:pPr>
        <w:rPr>
          <w:noProof/>
        </w:rPr>
      </w:pPr>
      <w:r>
        <w:rPr>
          <w:noProof/>
        </w:rPr>
        <w:t>5.</w:t>
      </w:r>
      <w:r>
        <w:rPr>
          <w:rFonts w:ascii="Times New Roman" w:hAnsi="Times New Roman"/>
          <w:noProof/>
          <w:sz w:val="14"/>
        </w:rPr>
        <w:t xml:space="preserve"> </w:t>
      </w:r>
      <w:r>
        <w:rPr>
          <w:noProof/>
        </w:rPr>
        <w:tab/>
        <w:t>Specializētā autotransporta komiteja var:</w:t>
      </w:r>
    </w:p>
    <w:p w:rsidR="003E022D" w:rsidRDefault="007D19D6">
      <w:pPr>
        <w:numPr>
          <w:ilvl w:val="0"/>
          <w:numId w:val="415"/>
        </w:numPr>
        <w:ind w:left="567" w:hanging="567"/>
        <w:rPr>
          <w:rFonts w:asciiTheme="minorHAnsi" w:hAnsiTheme="minorHAnsi"/>
          <w:noProof/>
        </w:rPr>
      </w:pPr>
      <w:r>
        <w:rPr>
          <w:noProof/>
        </w:rPr>
        <w:t>grozīt ROAD-1. pielikumu, ņemot vērā regulējuma un/vai tehnoloģijas attīstību vai nodrošinot apmierinošu šīs sadaļas īstenošanu;</w:t>
      </w:r>
    </w:p>
    <w:p w:rsidR="003E022D" w:rsidRDefault="007D19D6">
      <w:pPr>
        <w:numPr>
          <w:ilvl w:val="0"/>
          <w:numId w:val="415"/>
        </w:numPr>
        <w:ind w:left="567" w:hanging="567"/>
        <w:rPr>
          <w:rFonts w:asciiTheme="minorHAnsi" w:hAnsiTheme="minorHAnsi"/>
          <w:noProof/>
        </w:rPr>
      </w:pPr>
      <w:r>
        <w:rPr>
          <w:rFonts w:asciiTheme="minorHAnsi" w:hAnsiTheme="minorHAnsi"/>
          <w:noProof/>
        </w:rPr>
        <w:t>apstiprināt, ka grozījumi, kas izd</w:t>
      </w:r>
      <w:r>
        <w:rPr>
          <w:rFonts w:asciiTheme="minorHAnsi" w:hAnsiTheme="minorHAnsi"/>
          <w:noProof/>
        </w:rPr>
        <w:t xml:space="preserve">arīti ar jauno regulatīvo pasākumu, atbilst ROAD-1. pielikumam; vai </w:t>
      </w:r>
    </w:p>
    <w:p w:rsidR="003E022D" w:rsidRDefault="007D19D6">
      <w:pPr>
        <w:numPr>
          <w:ilvl w:val="0"/>
          <w:numId w:val="415"/>
        </w:numPr>
        <w:ind w:left="567" w:hanging="567"/>
        <w:rPr>
          <w:noProof/>
        </w:rPr>
      </w:pPr>
      <w:r>
        <w:rPr>
          <w:noProof/>
        </w:rPr>
        <w:t>pieņemt lēmumu par citiem pasākumiem, kuru mērķis ir nodrošināt šīs sadaļas pareizu darbību.</w:t>
      </w:r>
    </w:p>
    <w:p w:rsidR="003E022D" w:rsidRDefault="007D19D6">
      <w:pPr>
        <w:pStyle w:val="Article"/>
        <w:rPr>
          <w:noProof/>
        </w:rPr>
      </w:pPr>
      <w:r>
        <w:rPr>
          <w:noProof/>
        </w:rPr>
        <w:t xml:space="preserve">ROAD.11. pants. Korektīvie pasākumi </w:t>
      </w:r>
    </w:p>
    <w:p w:rsidR="003E022D" w:rsidRDefault="007D19D6">
      <w:pPr>
        <w:rPr>
          <w:noProof/>
        </w:rPr>
      </w:pPr>
      <w:r>
        <w:rPr>
          <w:noProof/>
        </w:rPr>
        <w:t>1.</w:t>
      </w:r>
      <w:r>
        <w:rPr>
          <w:noProof/>
        </w:rPr>
        <w:tab/>
        <w:t xml:space="preserve">Ja kāda Puse uzskata, ka otra Puse ir pieņēmusi jaunu </w:t>
      </w:r>
      <w:r>
        <w:rPr>
          <w:noProof/>
        </w:rPr>
        <w:t>regulatīvu pasākumu, kas neatbilst ROAD-1. pielikuma prasībām, īpaši gadījumos, kad Specializētā autotransporta komiteja nav pieņēmusi lēmumu saskaņā ar 10. panta [Tiesību aktu izstrāde un Specializētā autotransporta komiteja] 5. punktu, un otra Puse jaunā</w:t>
      </w:r>
      <w:r>
        <w:rPr>
          <w:noProof/>
        </w:rPr>
        <w:t xml:space="preserve"> regulatīvā pasākuma noteikumus tomēr piemēro Puses autopārvadātājiem, vadītājiem vai transportlīdzekļiem, Puse, paziņojusi otrai Pusei, var pieņemt pienācīgus korektīvos pasākumus, ieskaitot šā nolīguma vai kāda papildu nolīguma noteikto pienākumu izpilde</w:t>
      </w:r>
      <w:r>
        <w:rPr>
          <w:noProof/>
        </w:rPr>
        <w:t>s apturēšanu, ar nosacījumu, ka šādi pasākumi:</w:t>
      </w:r>
    </w:p>
    <w:p w:rsidR="003E022D" w:rsidRDefault="007D19D6">
      <w:pPr>
        <w:numPr>
          <w:ilvl w:val="0"/>
          <w:numId w:val="416"/>
        </w:numPr>
        <w:ind w:left="567" w:hanging="567"/>
        <w:rPr>
          <w:rFonts w:asciiTheme="minorHAnsi" w:hAnsiTheme="minorHAnsi"/>
          <w:noProof/>
        </w:rPr>
      </w:pPr>
      <w:r>
        <w:rPr>
          <w:noProof/>
        </w:rPr>
        <w:t>nepārsniedz apmēru, kas līdzvērtīgs zudumam vai samazinājumam, ko izraisījis otras Puses pieņemtais jaunais regulatīvais pasākums, kurš neatbilst ROAD-1. pielikuma prasībām;</w:t>
      </w:r>
      <w:r>
        <w:rPr>
          <w:rFonts w:asciiTheme="minorHAnsi" w:hAnsiTheme="minorHAnsi"/>
          <w:noProof/>
        </w:rPr>
        <w:t xml:space="preserve"> un</w:t>
      </w:r>
    </w:p>
    <w:p w:rsidR="003E022D" w:rsidRDefault="007D19D6">
      <w:pPr>
        <w:numPr>
          <w:ilvl w:val="0"/>
          <w:numId w:val="416"/>
        </w:numPr>
        <w:ind w:left="567" w:hanging="567"/>
        <w:rPr>
          <w:noProof/>
        </w:rPr>
      </w:pPr>
      <w:r>
        <w:rPr>
          <w:noProof/>
        </w:rPr>
        <w:t xml:space="preserve">stājas spēkā ne agrāk kā </w:t>
      </w:r>
      <w:r>
        <w:rPr>
          <w:noProof/>
        </w:rPr>
        <w:t>7 dienas pēc Puses, kura plāno veikt šādus pasākumus, paziņojuma otrai Pusei saskaņā ar šo punktu.</w:t>
      </w:r>
    </w:p>
    <w:p w:rsidR="003E022D" w:rsidRDefault="007D19D6">
      <w:pPr>
        <w:rPr>
          <w:noProof/>
        </w:rPr>
      </w:pPr>
      <w:r>
        <w:rPr>
          <w:noProof/>
        </w:rPr>
        <w:t>2.</w:t>
      </w:r>
      <w:r>
        <w:rPr>
          <w:noProof/>
        </w:rPr>
        <w:tab/>
        <w:t xml:space="preserve">Attiecīgos korektīvos pasākumus beidz piemērot: </w:t>
      </w:r>
    </w:p>
    <w:p w:rsidR="003E022D" w:rsidRDefault="007D19D6">
      <w:pPr>
        <w:numPr>
          <w:ilvl w:val="0"/>
          <w:numId w:val="417"/>
        </w:numPr>
        <w:ind w:left="567" w:hanging="567"/>
        <w:rPr>
          <w:rFonts w:asciiTheme="minorHAnsi" w:hAnsiTheme="minorHAnsi"/>
          <w:noProof/>
        </w:rPr>
      </w:pPr>
      <w:r>
        <w:rPr>
          <w:rFonts w:asciiTheme="minorHAnsi" w:hAnsiTheme="minorHAnsi"/>
          <w:noProof/>
        </w:rPr>
        <w:t>ja Puse, kura pasākumus veikusi, ir pārliecinājusies, ka otra Puse pilda pienākumus, ko uzliek šī sadaļa;</w:t>
      </w:r>
      <w:r>
        <w:rPr>
          <w:rFonts w:asciiTheme="minorHAnsi" w:hAnsiTheme="minorHAnsi"/>
          <w:noProof/>
        </w:rPr>
        <w:t xml:space="preserve"> vai</w:t>
      </w:r>
    </w:p>
    <w:p w:rsidR="003E022D" w:rsidRDefault="007D19D6">
      <w:pPr>
        <w:numPr>
          <w:ilvl w:val="0"/>
          <w:numId w:val="417"/>
        </w:numPr>
        <w:ind w:left="567" w:hanging="567"/>
        <w:rPr>
          <w:noProof/>
        </w:rPr>
      </w:pPr>
      <w:r>
        <w:rPr>
          <w:noProof/>
        </w:rPr>
        <w:t xml:space="preserve">pakļaujoties šķīrējtiesas nolēmumam. </w:t>
      </w:r>
    </w:p>
    <w:p w:rsidR="003E022D" w:rsidRDefault="007D19D6">
      <w:pPr>
        <w:numPr>
          <w:ilvl w:val="0"/>
          <w:numId w:val="392"/>
        </w:numPr>
        <w:ind w:left="0"/>
        <w:rPr>
          <w:noProof/>
        </w:rPr>
      </w:pPr>
      <w:r>
        <w:rPr>
          <w:noProof/>
        </w:rPr>
        <w:t>Puse neatsaucas uz PTO nolīgumu un citiem starptautiskiem nolīgumiem, lai liegtu otrai Pusei apturēt šā panta noteiktos pienākumus.</w:t>
      </w:r>
    </w:p>
    <w:p w:rsidR="003E022D" w:rsidRDefault="007D19D6">
      <w:pPr>
        <w:pStyle w:val="Article"/>
        <w:rPr>
          <w:noProof/>
        </w:rPr>
      </w:pPr>
      <w:r>
        <w:rPr>
          <w:noProof/>
        </w:rPr>
        <w:t>ROAD.12. pants. Nodokļi</w:t>
      </w:r>
    </w:p>
    <w:p w:rsidR="003E022D" w:rsidRDefault="007D19D6">
      <w:pPr>
        <w:numPr>
          <w:ilvl w:val="0"/>
          <w:numId w:val="418"/>
        </w:numPr>
        <w:ind w:left="0"/>
        <w:rPr>
          <w:noProof/>
        </w:rPr>
      </w:pPr>
      <w:r>
        <w:rPr>
          <w:noProof/>
        </w:rPr>
        <w:t xml:space="preserve">Transportlīdzekļi, ko izmanto kravu pārvadāšanai saskaņā </w:t>
      </w:r>
      <w:r>
        <w:rPr>
          <w:noProof/>
        </w:rPr>
        <w:t xml:space="preserve">ar šo sadaļu, ir atbrīvoti no nodokļiem un maksas, ko uzliek par transportlīdzekļu īpašumu vai kustību otras Puses teritorijā. </w:t>
      </w:r>
    </w:p>
    <w:p w:rsidR="003E022D" w:rsidRDefault="007D19D6">
      <w:pPr>
        <w:numPr>
          <w:ilvl w:val="0"/>
          <w:numId w:val="418"/>
        </w:numPr>
        <w:ind w:left="0"/>
        <w:rPr>
          <w:noProof/>
        </w:rPr>
      </w:pPr>
      <w:r>
        <w:rPr>
          <w:noProof/>
        </w:rPr>
        <w:t xml:space="preserve">Šā panta 1. punktā norādītais atbrīvojums neattiecas: </w:t>
      </w:r>
    </w:p>
    <w:p w:rsidR="003E022D" w:rsidRDefault="007D19D6">
      <w:pPr>
        <w:numPr>
          <w:ilvl w:val="0"/>
          <w:numId w:val="419"/>
        </w:numPr>
        <w:ind w:left="567" w:hanging="567"/>
        <w:rPr>
          <w:rFonts w:asciiTheme="minorHAnsi" w:hAnsiTheme="minorHAnsi"/>
          <w:noProof/>
        </w:rPr>
      </w:pPr>
      <w:r>
        <w:rPr>
          <w:noProof/>
        </w:rPr>
        <w:t>uz nodokli un maksu par degvielas patērēšanu,</w:t>
      </w:r>
      <w:r>
        <w:rPr>
          <w:rFonts w:asciiTheme="minorHAnsi" w:hAnsiTheme="minorHAnsi"/>
          <w:noProof/>
        </w:rPr>
        <w:t xml:space="preserve"> </w:t>
      </w:r>
    </w:p>
    <w:p w:rsidR="003E022D" w:rsidRDefault="007D19D6">
      <w:pPr>
        <w:numPr>
          <w:ilvl w:val="0"/>
          <w:numId w:val="419"/>
        </w:numPr>
        <w:ind w:left="567" w:hanging="567"/>
        <w:rPr>
          <w:rFonts w:asciiTheme="minorHAnsi" w:hAnsiTheme="minorHAnsi"/>
          <w:noProof/>
        </w:rPr>
      </w:pPr>
      <w:r>
        <w:rPr>
          <w:rFonts w:asciiTheme="minorHAnsi" w:hAnsiTheme="minorHAnsi"/>
          <w:noProof/>
        </w:rPr>
        <w:t>uz maksu par ceļa vai ceļu</w:t>
      </w:r>
      <w:r>
        <w:rPr>
          <w:rFonts w:asciiTheme="minorHAnsi" w:hAnsiTheme="minorHAnsi"/>
          <w:noProof/>
        </w:rPr>
        <w:t xml:space="preserve"> tīkla lietošanu,</w:t>
      </w:r>
    </w:p>
    <w:p w:rsidR="003E022D" w:rsidRDefault="007D19D6">
      <w:pPr>
        <w:numPr>
          <w:ilvl w:val="0"/>
          <w:numId w:val="419"/>
        </w:numPr>
        <w:ind w:left="567" w:hanging="567"/>
        <w:rPr>
          <w:rFonts w:asciiTheme="minorHAnsi" w:hAnsiTheme="minorHAnsi" w:cstheme="minorHAnsi"/>
          <w:noProof/>
        </w:rPr>
      </w:pPr>
      <w:r>
        <w:rPr>
          <w:rFonts w:asciiTheme="minorHAnsi" w:hAnsiTheme="minorHAnsi"/>
          <w:noProof/>
        </w:rPr>
        <w:t xml:space="preserve">uz maksu par atsevišķu tiltu, tuneļu un pārceltuvju lietošanu. </w:t>
      </w:r>
    </w:p>
    <w:p w:rsidR="003E022D" w:rsidRDefault="007D19D6">
      <w:pPr>
        <w:numPr>
          <w:ilvl w:val="0"/>
          <w:numId w:val="418"/>
        </w:numPr>
        <w:ind w:left="0"/>
        <w:rPr>
          <w:noProof/>
        </w:rPr>
      </w:pPr>
      <w:r>
        <w:rPr>
          <w:noProof/>
        </w:rPr>
        <w:t>Degviela, kas ir transportlīdzekļu standarttvertnēs un īpašos uz laiku ielaistos konteineros, ko tieši izmanto piedziņai un attiecīgā gadījumā saldēšanas sistēmu un citu sist</w:t>
      </w:r>
      <w:r>
        <w:rPr>
          <w:noProof/>
        </w:rPr>
        <w:t>ēmu darbināšanai pārvadāšanas laikā, kā arī mehāniskajos transportlīdzekļos esošās smērvielas, kas vajadzīgas to normālai darbībai brauciena laikā, ir brīvas no muitas un citiem nodokļiem un maksas, kā PVN un akcīzes nodokļa, un uz tām neattiecas nekādi ie</w:t>
      </w:r>
      <w:r>
        <w:rPr>
          <w:noProof/>
        </w:rPr>
        <w:t xml:space="preserve">vešanas ierobežojumi. </w:t>
      </w:r>
    </w:p>
    <w:p w:rsidR="003E022D" w:rsidRDefault="007D19D6">
      <w:pPr>
        <w:numPr>
          <w:ilvl w:val="0"/>
          <w:numId w:val="418"/>
        </w:numPr>
        <w:ind w:left="0"/>
        <w:rPr>
          <w:noProof/>
        </w:rPr>
      </w:pPr>
      <w:r>
        <w:rPr>
          <w:noProof/>
          <w:lang w:val="fr-BE" w:eastAsia="fr-BE"/>
        </w:rPr>
        <mc:AlternateContent>
          <mc:Choice Requires="wpg">
            <w:drawing>
              <wp:anchor distT="0" distB="0" distL="114300" distR="114300" simplePos="0" relativeHeight="251608576" behindDoc="0" locked="0" layoutInCell="1" allowOverlap="1">
                <wp:simplePos x="0" y="0"/>
                <wp:positionH relativeFrom="page">
                  <wp:posOffset>457200</wp:posOffset>
                </wp:positionH>
                <wp:positionV relativeFrom="page">
                  <wp:posOffset>914399</wp:posOffset>
                </wp:positionV>
                <wp:extent cx="9144" cy="184404"/>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9144" cy="184404"/>
                          <a:chOff x="0" y="0"/>
                          <a:chExt cx="9144" cy="184404"/>
                        </a:xfrm>
                      </wpg:grpSpPr>
                      <wps:wsp>
                        <wps:cNvPr id="3" name="Shape 1267"/>
                        <wps:cNvSpPr/>
                        <wps:spPr>
                          <a:xfrm>
                            <a:off x="0" y="0"/>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636254" id="Group 2" o:spid="_x0000_s1026" style="position:absolute;margin-left:36pt;margin-top:1in;width:.7pt;height:14.5pt;z-index:251608576;mso-position-horizontal-relative:page;mso-position-vertical-relative:page" coordsize="914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">
                <v:shape id="Shape 1267" o:spid="_x0000_s1027" style="position:absolute;width:9144;height:184404;visibility:visible;mso-wrap-style:square;v-text-anchor:top" coordsize="914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" path="m,l9144,r,184404l,184404,,e" fillcolor="black" stroked="f" strokeweight="0">
                  <v:stroke miterlimit="83231f" joinstyle="miter"/>
                  <v:path arrowok="t" textboxrect="0,0,9144,184404"/>
                </v:shape>
                <w10:wrap type="square" anchorx="page" anchory="page"/>
              </v:group>
            </w:pict>
          </mc:Fallback>
        </mc:AlternateContent>
      </w:r>
      <w:r>
        <w:rPr>
          <w:noProof/>
          <w:lang w:val="fr-BE" w:eastAsia="fr-BE"/>
        </w:rPr>
        <mc:AlternateContent>
          <mc:Choice Requires="wpg">
            <w:drawing>
              <wp:anchor distT="0" distB="0" distL="114300" distR="114300" simplePos="0" relativeHeight="251610624" behindDoc="0" locked="0" layoutInCell="1" allowOverlap="1">
                <wp:simplePos x="0" y="0"/>
                <wp:positionH relativeFrom="page">
                  <wp:posOffset>457200</wp:posOffset>
                </wp:positionH>
                <wp:positionV relativeFrom="page">
                  <wp:posOffset>3130626</wp:posOffset>
                </wp:positionV>
                <wp:extent cx="9144" cy="2261921"/>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9144" cy="2261921"/>
                          <a:chOff x="0" y="0"/>
                          <a:chExt cx="9144" cy="2261921"/>
                        </a:xfrm>
                      </wpg:grpSpPr>
                      <wps:wsp>
                        <wps:cNvPr id="5" name="Shape 1269"/>
                        <wps:cNvSpPr/>
                        <wps:spPr>
                          <a:xfrm>
                            <a:off x="0" y="0"/>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1270"/>
                        <wps:cNvSpPr/>
                        <wps:spPr>
                          <a:xfrm>
                            <a:off x="0" y="1298753"/>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1271"/>
                        <wps:cNvSpPr/>
                        <wps:spPr>
                          <a:xfrm>
                            <a:off x="0" y="21019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60638B" id="Group 4" o:spid="_x0000_s1026" style="position:absolute;margin-left:36pt;margin-top:246.5pt;width:.7pt;height:178.1pt;z-index:251610624;mso-position-horizontal-relative:page;mso-position-vertical-relative:page" coordsize="91,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">
                <v:shape id="Shape 1269" o:spid="_x0000_s1027" style="position:absolute;width:91;height:11158;visibility:visible;mso-wrap-style:square;v-text-anchor:top" coordsize="9144,11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" path="m,l9144,r,1115873l,1115873,,e" fillcolor="black" stroked="f" strokeweight="0">
                  <v:stroke miterlimit="83231f" joinstyle="miter"/>
                  <v:path arrowok="t" textboxrect="0,0,9144,1115873"/>
                </v:shape>
                <v:shape id="Shape 1270" o:spid="_x0000_s1028" style="position:absolute;top:12987;width:91;height:4816;visibility:visible;mso-wrap-style:square;v-text-anchor:top" coordsize="9144,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" path="m,l9144,r,481584l,481584,,e" fillcolor="black" stroked="f" strokeweight="0">
                  <v:stroke miterlimit="83231f" joinstyle="miter"/>
                  <v:path arrowok="t" textboxrect="0,0,9144,481584"/>
                </v:shape>
                <v:shape id="Shape 1271" o:spid="_x0000_s1029" style="position:absolute;top:2101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" path="m,l9144,r,160020l,160020,,e" fillcolor="black" stroked="f" strokeweight="0">
                  <v:stroke miterlimit="83231f" joinstyle="miter"/>
                  <v:path arrowok="t" textboxrect="0,0,9144,160020"/>
                </v:shape>
                <w10:wrap type="square" anchorx="page" anchory="page"/>
              </v:group>
            </w:pict>
          </mc:Fallback>
        </mc:AlternateContent>
      </w:r>
      <w:r>
        <w:rPr>
          <w:noProof/>
        </w:rPr>
        <w:t>Rezerves daļas, ko ieved transportlīdzekļa remontam vienas Puses teritorijā un kas ir reģistrētas vai laistas apgrozībā otras Puses teritorijā, ieved ar pagaidu atbrīvojumu no muitas nodokļa un bez ievešanas aizliegumiem un ierobež</w:t>
      </w:r>
      <w:r>
        <w:rPr>
          <w:noProof/>
        </w:rPr>
        <w:t>ojumiem.</w:t>
      </w:r>
      <w:r>
        <w:rPr>
          <w:rFonts w:asciiTheme="minorHAnsi" w:hAnsiTheme="minorHAnsi"/>
          <w:noProof/>
        </w:rPr>
        <w:t xml:space="preserve"> Nomainītajām daļām piemēro muitas nodokli un citus nodokļus (PVN), un tās izved atpakaļ vai iznīcina otras Puses muitas uzraudzībā. </w:t>
      </w:r>
    </w:p>
    <w:p w:rsidR="003E022D" w:rsidRDefault="007D19D6">
      <w:pPr>
        <w:pStyle w:val="Article"/>
        <w:rPr>
          <w:noProof/>
        </w:rPr>
      </w:pPr>
      <w:r>
        <w:rPr>
          <w:noProof/>
        </w:rPr>
        <w:t>ROAD.13. pants.</w:t>
      </w:r>
      <w:r>
        <w:rPr>
          <w:noProof/>
          <w:color w:val="000000" w:themeColor="text1"/>
        </w:rPr>
        <w:t xml:space="preserve"> </w:t>
      </w:r>
      <w:r>
        <w:rPr>
          <w:noProof/>
        </w:rPr>
        <w:t xml:space="preserve">Pienākumi citās sadaļās </w:t>
      </w:r>
    </w:p>
    <w:p w:rsidR="003E022D" w:rsidRDefault="007D19D6">
      <w:pPr>
        <w:rPr>
          <w:noProof/>
        </w:rPr>
      </w:pPr>
      <w:r>
        <w:rPr>
          <w:noProof/>
        </w:rPr>
        <w:t>Otrās daļas pirmā temata II sadaļas trešās nodaļas SERVIN.3.2. pants [Piekļuve tirgum] un SERVIN.3.4. pants [Valsts režīms] tiek iekļauti šajā sadaļā un kļūst par tās sastāvdaļu, un attiecas uz režīmu kravu autopārvadātājiem, kuri veic braucienus saskaņā a</w:t>
      </w:r>
      <w:r>
        <w:rPr>
          <w:noProof/>
        </w:rPr>
        <w:t xml:space="preserve">r ROAD.4. pantu [Kravu pārvadāšana starp Pušu teritorijām, caur tām un tajās]. </w:t>
      </w:r>
    </w:p>
    <w:p w:rsidR="003E022D" w:rsidRDefault="007D19D6">
      <w:pPr>
        <w:pStyle w:val="Article"/>
        <w:rPr>
          <w:noProof/>
        </w:rPr>
      </w:pPr>
      <w:r>
        <w:rPr>
          <w:noProof/>
        </w:rPr>
        <w:t>ROAD.14. pants. Šīs sadaļas darbības izbeigšana</w:t>
      </w:r>
    </w:p>
    <w:p w:rsidR="003E022D" w:rsidRDefault="007D19D6">
      <w:pPr>
        <w:numPr>
          <w:ilvl w:val="0"/>
          <w:numId w:val="418"/>
        </w:numPr>
        <w:ind w:left="0"/>
        <w:rPr>
          <w:rFonts w:asciiTheme="minorHAnsi" w:eastAsia="Arial" w:hAnsiTheme="minorHAnsi" w:cstheme="minorHAnsi"/>
          <w:noProof/>
        </w:rPr>
      </w:pPr>
      <w:r>
        <w:rPr>
          <w:noProof/>
        </w:rPr>
        <w:t xml:space="preserve"> Neskarot FINPROV.8. pantu [Izbeigšana], OTH.10. pantu [Otrās daļas darbības izbeigšana] un FISH.17. pantu [Izbeigšana], katra P</w:t>
      </w:r>
      <w:r>
        <w:rPr>
          <w:noProof/>
        </w:rPr>
        <w:t>use var jebkurā laikā izbeigt šīs sadaļas piemērošanu, ar diplomātisko kanālu starpniecību iesniedzot rakstisku paziņojumu. Šādā gadījumā šī sadaļa zaudē spēku devītā mēneša pirmajā dienā pēc paziņojuma nosūtīšanas dienas.</w:t>
      </w:r>
    </w:p>
    <w:p w:rsidR="003E022D" w:rsidRDefault="007D19D6">
      <w:pPr>
        <w:pStyle w:val="Title1"/>
        <w:rPr>
          <w:noProof/>
        </w:rPr>
      </w:pPr>
      <w:bookmarkStart w:id="225" w:name="_Toc59395488"/>
      <w:bookmarkStart w:id="226" w:name="_Toc59988355"/>
      <w:r>
        <w:rPr>
          <w:noProof/>
        </w:rPr>
        <w:t>II sadaļa. Pasažieru autopārvadāj</w:t>
      </w:r>
      <w:r>
        <w:rPr>
          <w:noProof/>
        </w:rPr>
        <w:t>umi</w:t>
      </w:r>
      <w:bookmarkEnd w:id="225"/>
      <w:bookmarkEnd w:id="226"/>
      <w:r>
        <w:rPr>
          <w:noProof/>
        </w:rPr>
        <w:t xml:space="preserve"> </w:t>
      </w:r>
    </w:p>
    <w:p w:rsidR="003E022D" w:rsidRDefault="007D19D6">
      <w:pPr>
        <w:pStyle w:val="Article"/>
        <w:rPr>
          <w:noProof/>
        </w:rPr>
      </w:pPr>
      <w:r>
        <w:rPr>
          <w:noProof/>
        </w:rPr>
        <w:t xml:space="preserve">X pants. Darbības joma </w:t>
      </w:r>
    </w:p>
    <w:p w:rsidR="003E022D" w:rsidRDefault="007D19D6">
      <w:pPr>
        <w:numPr>
          <w:ilvl w:val="0"/>
          <w:numId w:val="399"/>
        </w:numPr>
        <w:ind w:left="0"/>
        <w:rPr>
          <w:noProof/>
        </w:rPr>
      </w:pPr>
      <w:r>
        <w:rPr>
          <w:noProof/>
        </w:rPr>
        <w:t>Šīs sadaļas mērķis ir pasažieru autopārvadājumos nodrošināt nepārtrauktu savienojamību starp Pušu teritorijām, caur tām un tajās un izklāstīt noteikumus, kas piemērojami tādai pārvadāšanai.</w:t>
      </w:r>
      <w:r>
        <w:rPr>
          <w:b/>
          <w:noProof/>
          <w:color w:val="000000" w:themeColor="text1"/>
          <w:vertAlign w:val="superscript"/>
        </w:rPr>
        <w:t xml:space="preserve"> </w:t>
      </w:r>
      <w:r>
        <w:rPr>
          <w:noProof/>
        </w:rPr>
        <w:t>To piemēro regulārajiem un speciālaji</w:t>
      </w:r>
      <w:r>
        <w:rPr>
          <w:noProof/>
        </w:rPr>
        <w:t>em regulāriem pasažieru pārvadājumiem ar autobusiem starp Pušu teritorijām, tajās un caur tām.</w:t>
      </w:r>
    </w:p>
    <w:p w:rsidR="003E022D" w:rsidRDefault="007D19D6">
      <w:pPr>
        <w:numPr>
          <w:ilvl w:val="0"/>
          <w:numId w:val="399"/>
        </w:numPr>
        <w:ind w:left="0"/>
        <w:rPr>
          <w:rFonts w:asciiTheme="minorHAnsi" w:hAnsiTheme="minorHAnsi"/>
          <w:noProof/>
        </w:rPr>
      </w:pPr>
      <w:r>
        <w:rPr>
          <w:noProof/>
        </w:rPr>
        <w:t>Puses vienojas šīs sadaļas piemērošanā neveikt diskriminējošus pasākumus.</w:t>
      </w:r>
      <w:r>
        <w:rPr>
          <w:rFonts w:asciiTheme="minorHAnsi" w:hAnsiTheme="minorHAnsi"/>
          <w:noProof/>
        </w:rPr>
        <w:t xml:space="preserve"> </w:t>
      </w:r>
    </w:p>
    <w:p w:rsidR="003E022D" w:rsidRDefault="007D19D6">
      <w:pPr>
        <w:numPr>
          <w:ilvl w:val="0"/>
          <w:numId w:val="399"/>
        </w:numPr>
        <w:ind w:left="0"/>
        <w:rPr>
          <w:noProof/>
          <w:color w:val="000000" w:themeColor="text1"/>
        </w:rPr>
      </w:pPr>
      <w:r>
        <w:rPr>
          <w:noProof/>
        </w:rPr>
        <w:t>Šī sadaļa nekādi neietekmē pasažieru pārvadāšanu vienas Puses teritorijā, ko veic tajā</w:t>
      </w:r>
      <w:r>
        <w:rPr>
          <w:noProof/>
        </w:rPr>
        <w:t xml:space="preserve"> iedibināts pasažieru autopārvadātājs.</w:t>
      </w:r>
      <w:r>
        <w:rPr>
          <w:noProof/>
          <w:color w:val="000000" w:themeColor="text1"/>
        </w:rPr>
        <w:t xml:space="preserve"> </w:t>
      </w:r>
    </w:p>
    <w:p w:rsidR="003E022D" w:rsidRDefault="007D19D6">
      <w:pPr>
        <w:pStyle w:val="Article"/>
        <w:rPr>
          <w:noProof/>
        </w:rPr>
      </w:pPr>
      <w:r>
        <w:rPr>
          <w:noProof/>
        </w:rPr>
        <w:t xml:space="preserve">X+1. pants. Definīcijas </w:t>
      </w:r>
    </w:p>
    <w:p w:rsidR="003E022D" w:rsidRDefault="007D19D6">
      <w:pPr>
        <w:rPr>
          <w:noProof/>
        </w:rPr>
      </w:pPr>
      <w:r>
        <w:rPr>
          <w:noProof/>
        </w:rPr>
        <w:t xml:space="preserve">Šajā sadaļā un papildus otrās daļas pirmā temata II sadaļas [Pakalpojumi un investīcijas] pirmās nodaļas SERVIN.1.2. panta definīcijām piemēro šādas definīcijas: </w:t>
      </w:r>
    </w:p>
    <w:p w:rsidR="003E022D" w:rsidRDefault="007D19D6">
      <w:pPr>
        <w:numPr>
          <w:ilvl w:val="0"/>
          <w:numId w:val="400"/>
        </w:numPr>
        <w:ind w:left="567" w:hanging="567"/>
        <w:rPr>
          <w:rFonts w:asciiTheme="minorHAnsi" w:hAnsiTheme="minorHAnsi"/>
          <w:noProof/>
        </w:rPr>
      </w:pPr>
      <w:r>
        <w:rPr>
          <w:noProof/>
        </w:rPr>
        <w:t>“autobusi" ir transportlīdze</w:t>
      </w:r>
      <w:r>
        <w:rPr>
          <w:noProof/>
        </w:rPr>
        <w:t>kļi, kuru uzbūve un aprīkojums ir piemērots un paredzēts vairāk nekā deviņu personu, ieskaitot vadītāju, pārvadāšanai;</w:t>
      </w:r>
      <w:r>
        <w:rPr>
          <w:rFonts w:asciiTheme="minorHAnsi" w:hAnsiTheme="minorHAnsi"/>
          <w:noProof/>
        </w:rPr>
        <w:t xml:space="preserve">     </w:t>
      </w:r>
    </w:p>
    <w:p w:rsidR="003E022D" w:rsidRDefault="007D19D6">
      <w:pPr>
        <w:numPr>
          <w:ilvl w:val="0"/>
          <w:numId w:val="400"/>
        </w:numPr>
        <w:ind w:left="567" w:hanging="567"/>
        <w:rPr>
          <w:rFonts w:asciiTheme="minorHAnsi" w:hAnsiTheme="minorHAnsi"/>
          <w:noProof/>
        </w:rPr>
      </w:pPr>
      <w:r>
        <w:rPr>
          <w:rFonts w:asciiTheme="minorHAnsi" w:hAnsiTheme="minorHAnsi"/>
          <w:noProof/>
        </w:rPr>
        <w:t xml:space="preserve">“pasažieru pārvadāšanas pakalpojumi” ir pārvadāšanas pakalpojumi sabiedrībai vai konkrētām lietotāju kategorijām, kurus pa autoceļiem ar autobusiem sniedz par maksu no pārvadātās personas vai pārvadājumu organizētāja; </w:t>
      </w:r>
    </w:p>
    <w:p w:rsidR="003E022D" w:rsidRDefault="007D19D6">
      <w:pPr>
        <w:numPr>
          <w:ilvl w:val="0"/>
          <w:numId w:val="400"/>
        </w:numPr>
        <w:ind w:left="567" w:hanging="567"/>
        <w:rPr>
          <w:rFonts w:asciiTheme="minorHAnsi" w:hAnsiTheme="minorHAnsi"/>
          <w:noProof/>
        </w:rPr>
      </w:pPr>
      <w:r>
        <w:rPr>
          <w:rFonts w:asciiTheme="minorHAnsi" w:hAnsiTheme="minorHAnsi"/>
          <w:noProof/>
        </w:rPr>
        <w:t>“pasažieru autopārvadātājs” ir fizisk</w:t>
      </w:r>
      <w:r>
        <w:rPr>
          <w:rFonts w:asciiTheme="minorHAnsi" w:hAnsiTheme="minorHAnsi"/>
          <w:noProof/>
        </w:rPr>
        <w:t xml:space="preserve">a persona vai juridiska persona, kam pašai ir juridiska personība vai kas pakļaujas iestādei, kura ir juridiska persona, un kas sniedz pasažieru pārvadāšanas pakalpojumus; </w:t>
      </w:r>
    </w:p>
    <w:p w:rsidR="003E022D" w:rsidRDefault="007D19D6">
      <w:pPr>
        <w:numPr>
          <w:ilvl w:val="0"/>
          <w:numId w:val="400"/>
        </w:numPr>
        <w:ind w:left="567" w:hanging="567"/>
        <w:rPr>
          <w:rFonts w:asciiTheme="minorHAnsi" w:hAnsiTheme="minorHAnsi"/>
          <w:noProof/>
        </w:rPr>
      </w:pPr>
      <w:r>
        <w:rPr>
          <w:rFonts w:asciiTheme="minorHAnsi" w:hAnsiTheme="minorHAnsi"/>
          <w:noProof/>
        </w:rPr>
        <w:t>“Puses pasažieru autopārvadātājs” ir pasažieru autopārvadātājs, kurš ir Puses terit</w:t>
      </w:r>
      <w:r>
        <w:rPr>
          <w:rFonts w:asciiTheme="minorHAnsi" w:hAnsiTheme="minorHAnsi"/>
          <w:noProof/>
        </w:rPr>
        <w:t xml:space="preserve">orijā iedibināta juridiska persona vai Puses fiziska persona;  </w:t>
      </w:r>
    </w:p>
    <w:p w:rsidR="003E022D" w:rsidRDefault="007D19D6">
      <w:pPr>
        <w:numPr>
          <w:ilvl w:val="0"/>
          <w:numId w:val="400"/>
        </w:numPr>
        <w:ind w:left="567" w:hanging="567"/>
        <w:rPr>
          <w:rFonts w:asciiTheme="minorHAnsi" w:hAnsiTheme="minorHAnsi"/>
          <w:noProof/>
        </w:rPr>
      </w:pPr>
      <w:r>
        <w:rPr>
          <w:rFonts w:asciiTheme="minorHAnsi" w:hAnsiTheme="minorHAnsi"/>
          <w:noProof/>
        </w:rPr>
        <w:t xml:space="preserve">“regulārie pārvadājumi” ir pasažieru pārvadāšanas pakalpojumi, ko noteiktā biežumā sniedz noteiktos maršrutos, kur pasažierus var uzņemt un izlaist iepriekš noteiktās pieturvietās; </w:t>
      </w:r>
    </w:p>
    <w:p w:rsidR="003E022D" w:rsidRDefault="007D19D6">
      <w:pPr>
        <w:numPr>
          <w:ilvl w:val="0"/>
          <w:numId w:val="400"/>
        </w:numPr>
        <w:ind w:left="567" w:hanging="567"/>
        <w:rPr>
          <w:noProof/>
          <w:color w:val="000000" w:themeColor="text1"/>
        </w:rPr>
      </w:pPr>
      <w:r>
        <w:rPr>
          <w:noProof/>
        </w:rPr>
        <w:t>“speciālie</w:t>
      </w:r>
      <w:r>
        <w:rPr>
          <w:noProof/>
        </w:rPr>
        <w:t xml:space="preserve"> regulārie pārvadājumi" neatkarīgi no tā, kas tos organizē, ir noteiktu pasažieru kategoriju pārvadājumi, kas izslēdz citu pasažieru transportēšanu, tādā mērā, kādā tie atbilst regulāriem pārvadājumiem noteiktajiem kritērijiem.</w:t>
      </w:r>
      <w:r>
        <w:rPr>
          <w:noProof/>
          <w:color w:val="000000" w:themeColor="text1"/>
        </w:rPr>
        <w:t xml:space="preserve"> Speciālajos regulārajos pārv</w:t>
      </w:r>
      <w:r>
        <w:rPr>
          <w:noProof/>
          <w:color w:val="000000" w:themeColor="text1"/>
        </w:rPr>
        <w:t xml:space="preserve">adājumos ietilpst: </w:t>
      </w:r>
    </w:p>
    <w:p w:rsidR="003E022D" w:rsidRDefault="007D19D6">
      <w:pPr>
        <w:numPr>
          <w:ilvl w:val="1"/>
          <w:numId w:val="390"/>
        </w:numPr>
        <w:spacing w:after="282" w:line="268" w:lineRule="auto"/>
        <w:ind w:hanging="720"/>
        <w:rPr>
          <w:noProof/>
        </w:rPr>
      </w:pPr>
      <w:r>
        <w:rPr>
          <w:noProof/>
        </w:rPr>
        <w:t>darbinieku pārvadāšana no mājām uz darbu un otrādi,</w:t>
      </w:r>
    </w:p>
    <w:p w:rsidR="003E022D" w:rsidRDefault="007D19D6">
      <w:pPr>
        <w:numPr>
          <w:ilvl w:val="1"/>
          <w:numId w:val="390"/>
        </w:numPr>
        <w:spacing w:after="282" w:line="268" w:lineRule="auto"/>
        <w:ind w:hanging="720"/>
        <w:rPr>
          <w:noProof/>
          <w:color w:val="000000" w:themeColor="text1"/>
        </w:rPr>
      </w:pPr>
      <w:r>
        <w:rPr>
          <w:noProof/>
        </w:rPr>
        <w:t>skolēnu un studentu pārvadāšana uz mācību iestādi un atpakaļ.</w:t>
      </w:r>
      <w:r>
        <w:rPr>
          <w:noProof/>
          <w:color w:val="000000" w:themeColor="text1"/>
        </w:rPr>
        <w:t xml:space="preserve"> </w:t>
      </w:r>
    </w:p>
    <w:p w:rsidR="003E022D" w:rsidRDefault="007D19D6">
      <w:pPr>
        <w:spacing w:after="180" w:line="248" w:lineRule="auto"/>
        <w:ind w:left="152"/>
        <w:rPr>
          <w:noProof/>
          <w:color w:val="000000" w:themeColor="text1"/>
        </w:rPr>
      </w:pPr>
      <w:r>
        <w:rPr>
          <w:noProof/>
          <w:color w:val="000000" w:themeColor="text1"/>
        </w:rPr>
        <w:t>Speciālo regulāro pārvadājumu mainīšanās atbilstoši lietotāju vajadzībām neietekmē to klasificēšanu pie regulārajiem pārv</w:t>
      </w:r>
      <w:r>
        <w:rPr>
          <w:noProof/>
          <w:color w:val="000000" w:themeColor="text1"/>
        </w:rPr>
        <w:t xml:space="preserve">adājumiem; </w:t>
      </w:r>
    </w:p>
    <w:p w:rsidR="003E022D" w:rsidRDefault="007D19D6">
      <w:pPr>
        <w:numPr>
          <w:ilvl w:val="0"/>
          <w:numId w:val="400"/>
        </w:numPr>
        <w:ind w:left="567" w:hanging="567"/>
        <w:rPr>
          <w:noProof/>
        </w:rPr>
      </w:pPr>
      <w:r>
        <w:rPr>
          <w:noProof/>
        </w:rPr>
        <w:t xml:space="preserve">“koncerns” ir kāds no šiem: </w:t>
      </w:r>
    </w:p>
    <w:p w:rsidR="003E022D" w:rsidRDefault="007D19D6">
      <w:pPr>
        <w:numPr>
          <w:ilvl w:val="0"/>
          <w:numId w:val="486"/>
        </w:numPr>
        <w:spacing w:after="282" w:line="268" w:lineRule="auto"/>
        <w:ind w:hanging="720"/>
        <w:rPr>
          <w:noProof/>
        </w:rPr>
      </w:pPr>
      <w:r>
        <w:rPr>
          <w:noProof/>
        </w:rPr>
        <w:t xml:space="preserve">viena vai vairākas saistītas fiziskas vai juridiskas personas un fiziskas vai juridiskas personas, kas ir to vecāki vai mātesuzņēmumi; </w:t>
      </w:r>
    </w:p>
    <w:p w:rsidR="003E022D" w:rsidRDefault="007D19D6">
      <w:pPr>
        <w:numPr>
          <w:ilvl w:val="0"/>
          <w:numId w:val="486"/>
        </w:numPr>
        <w:spacing w:after="282" w:line="268" w:lineRule="auto"/>
        <w:ind w:hanging="720"/>
        <w:rPr>
          <w:noProof/>
        </w:rPr>
      </w:pPr>
      <w:r>
        <w:rPr>
          <w:noProof/>
        </w:rPr>
        <w:t xml:space="preserve">viena vai vairākas saistītas fiziskas vai juridiskas personas, kurām vienas un tās pašas fiziskās vai juridiskās personas ir vecāki vai mātesuzņēmumi; </w:t>
      </w:r>
    </w:p>
    <w:p w:rsidR="003E022D" w:rsidRDefault="007D19D6">
      <w:pPr>
        <w:numPr>
          <w:ilvl w:val="0"/>
          <w:numId w:val="400"/>
        </w:numPr>
        <w:ind w:left="567" w:hanging="567"/>
        <w:rPr>
          <w:noProof/>
          <w:color w:val="000000" w:themeColor="text1"/>
        </w:rPr>
      </w:pPr>
      <w:r>
        <w:rPr>
          <w:noProof/>
        </w:rPr>
        <w:t>“nolīgums “Interbus”” ir 2003. gada 1. janvārī spēkā stājies Nolīgums par pasažieru neregulārajiem starp</w:t>
      </w:r>
      <w:r>
        <w:rPr>
          <w:noProof/>
        </w:rPr>
        <w:t>tautiskajiem pārvadājumiem ar autobusiem, ar vēlākiem grozījumiem;</w:t>
      </w:r>
      <w:r>
        <w:rPr>
          <w:noProof/>
          <w:color w:val="000000" w:themeColor="text1"/>
        </w:rPr>
        <w:t xml:space="preserve"> </w:t>
      </w:r>
    </w:p>
    <w:p w:rsidR="003E022D" w:rsidRDefault="007D19D6">
      <w:pPr>
        <w:numPr>
          <w:ilvl w:val="0"/>
          <w:numId w:val="400"/>
        </w:numPr>
        <w:ind w:left="567" w:hanging="567"/>
        <w:rPr>
          <w:noProof/>
          <w:color w:val="000000" w:themeColor="text1"/>
        </w:rPr>
      </w:pPr>
      <w:r>
        <w:rPr>
          <w:noProof/>
          <w:color w:val="000000" w:themeColor="text1"/>
        </w:rPr>
        <w:t xml:space="preserve">“tranzīts” ir autobusu kustība cauri kādas Puses teritorijai bez pasažieru uzņemšanas un izlaišanas. </w:t>
      </w:r>
    </w:p>
    <w:p w:rsidR="003E022D" w:rsidRDefault="007D19D6">
      <w:pPr>
        <w:numPr>
          <w:ilvl w:val="0"/>
          <w:numId w:val="400"/>
        </w:numPr>
        <w:ind w:left="567" w:hanging="567"/>
        <w:rPr>
          <w:noProof/>
          <w:color w:val="000000" w:themeColor="text1"/>
        </w:rPr>
      </w:pPr>
      <w:r>
        <w:rPr>
          <w:rFonts w:asciiTheme="minorHAnsi" w:hAnsiTheme="minorHAnsi"/>
          <w:noProof/>
          <w:color w:val="000000" w:themeColor="text1"/>
        </w:rPr>
        <w:t>“neregulāri pārvadājumi” ir pārvadājumi, kas nav regulāri pārvadājumi vai speciāli reg</w:t>
      </w:r>
      <w:r>
        <w:rPr>
          <w:rFonts w:asciiTheme="minorHAnsi" w:hAnsiTheme="minorHAnsi"/>
          <w:noProof/>
          <w:color w:val="000000" w:themeColor="text1"/>
        </w:rPr>
        <w:t>ulāri pārvadājumi un ko galvenokārt raksturo tas, ka tajos pārvadā pasažieru grupas, kas savāktas pēc klienta vai pasažieru autopārvadātāja iniciatīvas.</w:t>
      </w:r>
    </w:p>
    <w:p w:rsidR="003E022D" w:rsidRDefault="007D19D6">
      <w:pPr>
        <w:pStyle w:val="Article"/>
        <w:rPr>
          <w:noProof/>
        </w:rPr>
      </w:pPr>
      <w:r>
        <w:rPr>
          <w:noProof/>
        </w:rPr>
        <w:t>X+2. pants.</w:t>
      </w:r>
      <w:bookmarkStart w:id="227" w:name="_Hlk57717444"/>
      <w:r>
        <w:rPr>
          <w:noProof/>
        </w:rPr>
        <w:t xml:space="preserve"> Pasažieru pārvadājumi ar autobusiem starp Pušu teritorijām, caur tām un tajās </w:t>
      </w:r>
    </w:p>
    <w:bookmarkEnd w:id="227"/>
    <w:p w:rsidR="003E022D" w:rsidRDefault="007D19D6">
      <w:pPr>
        <w:numPr>
          <w:ilvl w:val="0"/>
          <w:numId w:val="420"/>
        </w:numPr>
        <w:ind w:left="0"/>
        <w:rPr>
          <w:rFonts w:asciiTheme="minorHAnsi" w:hAnsiTheme="minorHAnsi"/>
          <w:noProof/>
        </w:rPr>
      </w:pPr>
      <w:r>
        <w:rPr>
          <w:noProof/>
        </w:rPr>
        <w:t>Puses pasaži</w:t>
      </w:r>
      <w:r>
        <w:rPr>
          <w:noProof/>
        </w:rPr>
        <w:t xml:space="preserve">eru autopārvadātāji, sniedzot regulārus un speciālus regulārus pakalpojumus, var veikt braucienus ar pasažieriem no vienas Puses teritorijas uz otras Puses teritoriju tranzītā vai bez tranzīta caur trešās valsts teritoriju un ar šiem braucieniem saistītus </w:t>
      </w:r>
      <w:r>
        <w:rPr>
          <w:noProof/>
        </w:rPr>
        <w:t>braucienus bez pasažieriem.</w:t>
      </w:r>
      <w:r>
        <w:rPr>
          <w:rFonts w:asciiTheme="minorHAnsi" w:hAnsiTheme="minorHAnsi"/>
          <w:noProof/>
        </w:rPr>
        <w:t xml:space="preserve"> </w:t>
      </w:r>
    </w:p>
    <w:p w:rsidR="003E022D" w:rsidRDefault="007D19D6">
      <w:pPr>
        <w:numPr>
          <w:ilvl w:val="0"/>
          <w:numId w:val="420"/>
        </w:numPr>
        <w:ind w:left="0"/>
        <w:rPr>
          <w:rFonts w:asciiTheme="minorHAnsi" w:hAnsiTheme="minorHAnsi"/>
          <w:noProof/>
        </w:rPr>
      </w:pPr>
      <w:r>
        <w:rPr>
          <w:noProof/>
        </w:rPr>
        <w:t xml:space="preserve">Puses pasažieru autopārvadātāji, veicot regulāros un speciālos regulāros pārvadājumus, var veikt braucienus ar kravu no pasažieru autopārvadātāja iedibinājuma Puses teritorijas uz tās pašas Puses teritoriju tranzītā caur otras </w:t>
      </w:r>
      <w:r>
        <w:rPr>
          <w:noProof/>
        </w:rPr>
        <w:t>Puses teritoriju, kā arī braucienus bez kravas, kas saistīti ar tādiem braucieniem.</w:t>
      </w:r>
      <w:r>
        <w:rPr>
          <w:rFonts w:asciiTheme="minorHAnsi" w:hAnsiTheme="minorHAnsi"/>
          <w:noProof/>
        </w:rPr>
        <w:t xml:space="preserve"> </w:t>
      </w:r>
    </w:p>
    <w:p w:rsidR="003E022D" w:rsidRDefault="007D19D6">
      <w:pPr>
        <w:numPr>
          <w:ilvl w:val="0"/>
          <w:numId w:val="420"/>
        </w:numPr>
        <w:ind w:left="0"/>
        <w:rPr>
          <w:rFonts w:asciiTheme="minorHAnsi" w:hAnsiTheme="minorHAnsi"/>
          <w:noProof/>
        </w:rPr>
      </w:pPr>
      <w:r>
        <w:rPr>
          <w:rFonts w:asciiTheme="minorHAnsi" w:hAnsiTheme="minorHAnsi"/>
          <w:noProof/>
        </w:rPr>
        <w:t xml:space="preserve">Vienas Puses pasažieru autopārvadātājs nedrīkst veikt regulārus vai speciālus regulārus pārvadājumus, kuru sākumpunkts un beigupunkts ir otras Puses teritorijā.  </w:t>
      </w:r>
    </w:p>
    <w:p w:rsidR="003E022D" w:rsidRDefault="007D19D6">
      <w:pPr>
        <w:numPr>
          <w:ilvl w:val="0"/>
          <w:numId w:val="420"/>
        </w:numPr>
        <w:ind w:left="0"/>
        <w:rPr>
          <w:rFonts w:asciiTheme="minorHAnsi" w:hAnsiTheme="minorHAnsi"/>
          <w:noProof/>
        </w:rPr>
      </w:pPr>
      <w:r>
        <w:rPr>
          <w:noProof/>
        </w:rPr>
        <w:t>Ja 1. pu</w:t>
      </w:r>
      <w:r>
        <w:rPr>
          <w:noProof/>
        </w:rPr>
        <w:t>nktā minētais pasažieru pārvadājums ir daļa no transportēšanas uz tās Puses teritoriju vai no tās, kurā pasažieru autopārvadātājs ir iedibināts, pasažierus var uzņemt vai izlaist maršrutā otras Puses teritorijā ar noteikumu, ka apstāšanās ir atļauta saskaņ</w:t>
      </w:r>
      <w:r>
        <w:rPr>
          <w:noProof/>
        </w:rPr>
        <w:t>ā ar minētajā teritorijā piemērojamiem noteikumiem.</w:t>
      </w:r>
      <w:r>
        <w:rPr>
          <w:rFonts w:asciiTheme="minorHAnsi" w:hAnsiTheme="minorHAnsi"/>
          <w:noProof/>
        </w:rPr>
        <w:t xml:space="preserve">  </w:t>
      </w:r>
    </w:p>
    <w:p w:rsidR="003E022D" w:rsidRDefault="007D19D6">
      <w:pPr>
        <w:numPr>
          <w:ilvl w:val="0"/>
          <w:numId w:val="420"/>
        </w:numPr>
        <w:ind w:left="0"/>
        <w:rPr>
          <w:rFonts w:asciiTheme="minorHAnsi" w:hAnsiTheme="minorHAnsi"/>
          <w:noProof/>
        </w:rPr>
      </w:pPr>
      <w:r>
        <w:rPr>
          <w:rFonts w:asciiTheme="minorHAnsi" w:hAnsiTheme="minorHAnsi"/>
          <w:noProof/>
        </w:rPr>
        <w:t>Ja šajā pantā minētais pasažieru pārvadājums ir daļa no regulāriem vai speciāliem regulāriem starptautiskiem pārvadājumiem starp Īriju un Apvienoto Karalisti un attiecas uz Ziemeļīriju, vienā Pusē uzņem</w:t>
      </w:r>
      <w:r>
        <w:rPr>
          <w:rFonts w:asciiTheme="minorHAnsi" w:hAnsiTheme="minorHAnsi"/>
          <w:noProof/>
        </w:rPr>
        <w:t xml:space="preserve">t un izlaist pasažierus drīkst otrā Pusē iedibināts pasažieru autopārvadātājs. </w:t>
      </w:r>
    </w:p>
    <w:p w:rsidR="003E022D" w:rsidRDefault="007D19D6">
      <w:pPr>
        <w:numPr>
          <w:ilvl w:val="0"/>
          <w:numId w:val="420"/>
        </w:numPr>
        <w:ind w:left="0"/>
        <w:rPr>
          <w:noProof/>
          <w:color w:val="000000" w:themeColor="text1"/>
        </w:rPr>
      </w:pPr>
      <w:r>
        <w:rPr>
          <w:noProof/>
        </w:rPr>
        <w:t>Vienas Puses teritorijā iedibināti pasažieru autopārvadātāji var īslaicīgi sniegt neregulārus pārvadājumus Īrijas salā, uzņemot un izlaižot pasažierus otras Puses teritorijā.</w:t>
      </w:r>
    </w:p>
    <w:p w:rsidR="003E022D" w:rsidRDefault="007D19D6">
      <w:pPr>
        <w:numPr>
          <w:ilvl w:val="0"/>
          <w:numId w:val="420"/>
        </w:numPr>
        <w:ind w:left="0"/>
        <w:rPr>
          <w:rFonts w:asciiTheme="minorHAnsi" w:hAnsiTheme="minorHAnsi"/>
          <w:noProof/>
        </w:rPr>
      </w:pPr>
      <w:r>
        <w:rPr>
          <w:rFonts w:asciiTheme="minorHAnsi" w:hAnsiTheme="minorHAnsi"/>
          <w:noProof/>
        </w:rPr>
        <w:t>P</w:t>
      </w:r>
      <w:r>
        <w:rPr>
          <w:rFonts w:asciiTheme="minorHAnsi" w:hAnsiTheme="minorHAnsi"/>
          <w:noProof/>
        </w:rPr>
        <w:t>asažieru autopārvadātāji neregulāros pārvadājumos var veikt braucienu ar pasažieriem no vienas Puses teritorijas caur otras Puses teritoriju uz tādu teritoriju, kas nav nolīguma “Interbus” līgumslēdzējas puses teritorija, kā arī ar to saistītu braucienu be</w:t>
      </w:r>
      <w:r>
        <w:rPr>
          <w:rFonts w:asciiTheme="minorHAnsi" w:hAnsiTheme="minorHAnsi"/>
          <w:noProof/>
        </w:rPr>
        <w:t>z pasažieriem.</w:t>
      </w:r>
    </w:p>
    <w:p w:rsidR="003E022D" w:rsidRDefault="007D19D6">
      <w:pPr>
        <w:numPr>
          <w:ilvl w:val="0"/>
          <w:numId w:val="420"/>
        </w:numPr>
        <w:ind w:left="0"/>
        <w:rPr>
          <w:noProof/>
          <w:color w:val="000000" w:themeColor="text1"/>
        </w:rPr>
      </w:pPr>
      <w:r>
        <w:rPr>
          <w:noProof/>
        </w:rPr>
        <w:t>Šajā pantā norādītos pasažieru pārvadāšanas pakalpojumus izdara ar autobusiem, kas reģistrēti Pusē, kurā pasažieru autopārvadātājs ir iedibināts vai pastāvīgi dzīvo.</w:t>
      </w:r>
      <w:r>
        <w:rPr>
          <w:noProof/>
          <w:color w:val="000000" w:themeColor="text1"/>
        </w:rPr>
        <w:t xml:space="preserve"> Šie autobusi atbilst tehniskajiem standartiem, kas noteikti nolīguma “Inter</w:t>
      </w:r>
      <w:r>
        <w:rPr>
          <w:noProof/>
          <w:color w:val="000000" w:themeColor="text1"/>
        </w:rPr>
        <w:t>bus” 2. pielikumā.</w:t>
      </w:r>
    </w:p>
    <w:p w:rsidR="003E022D" w:rsidRDefault="007D19D6">
      <w:pPr>
        <w:pStyle w:val="Article"/>
        <w:rPr>
          <w:noProof/>
        </w:rPr>
      </w:pPr>
      <w:r>
        <w:rPr>
          <w:noProof/>
        </w:rPr>
        <w:t xml:space="preserve">X+3. pants. X+2. pantā minēto pakalpojumu sniegšanas nosacījumi </w:t>
      </w:r>
    </w:p>
    <w:p w:rsidR="003E022D" w:rsidRDefault="007D19D6">
      <w:pPr>
        <w:numPr>
          <w:ilvl w:val="0"/>
          <w:numId w:val="421"/>
        </w:numPr>
        <w:ind w:left="0"/>
        <w:rPr>
          <w:rFonts w:asciiTheme="minorHAnsi" w:hAnsiTheme="minorHAnsi"/>
          <w:noProof/>
        </w:rPr>
      </w:pPr>
      <w:r>
        <w:rPr>
          <w:noProof/>
        </w:rPr>
        <w:t>Regulārie pārvadājumi ir atļauti ikvienam Puses pasažieru autopārvadātājam, taču attiecīgos gadījumos vajadzīga obligāta rezervācija.</w:t>
      </w:r>
      <w:r>
        <w:rPr>
          <w:rFonts w:asciiTheme="minorHAnsi" w:hAnsiTheme="minorHAnsi"/>
          <w:noProof/>
        </w:rPr>
        <w:t xml:space="preserve"> </w:t>
      </w:r>
    </w:p>
    <w:p w:rsidR="003E022D" w:rsidRDefault="007D19D6">
      <w:pPr>
        <w:numPr>
          <w:ilvl w:val="0"/>
          <w:numId w:val="421"/>
        </w:numPr>
        <w:ind w:left="0"/>
        <w:rPr>
          <w:noProof/>
          <w:color w:val="000000" w:themeColor="text1"/>
        </w:rPr>
      </w:pPr>
      <w:r>
        <w:rPr>
          <w:noProof/>
        </w:rPr>
        <w:t>Regulārajiem un speciālajiem regulāra</w:t>
      </w:r>
      <w:r>
        <w:rPr>
          <w:noProof/>
        </w:rPr>
        <w:t>jiem pārvadājumiem vajadzīga atļauja saskaņā ar X+4. pantu un 6. punktu.</w:t>
      </w:r>
      <w:r>
        <w:rPr>
          <w:noProof/>
          <w:color w:val="000000" w:themeColor="text1"/>
        </w:rPr>
        <w:t xml:space="preserve"> </w:t>
      </w:r>
    </w:p>
    <w:p w:rsidR="003E022D" w:rsidRDefault="007D19D6">
      <w:pPr>
        <w:numPr>
          <w:ilvl w:val="0"/>
          <w:numId w:val="421"/>
        </w:numPr>
        <w:ind w:left="0"/>
        <w:rPr>
          <w:rFonts w:asciiTheme="minorHAnsi" w:hAnsiTheme="minorHAnsi"/>
          <w:noProof/>
        </w:rPr>
      </w:pPr>
      <w:r>
        <w:rPr>
          <w:noProof/>
        </w:rPr>
        <w:t>Izmaiņas pārvadāšanas nosacījumos neietekmē pārvadājuma piederību pie regulāriem pārvadājumiem.</w:t>
      </w:r>
      <w:r>
        <w:rPr>
          <w:rFonts w:asciiTheme="minorHAnsi" w:hAnsiTheme="minorHAnsi"/>
          <w:noProof/>
        </w:rPr>
        <w:t xml:space="preserve"> </w:t>
      </w:r>
    </w:p>
    <w:p w:rsidR="003E022D" w:rsidRDefault="007D19D6">
      <w:pPr>
        <w:numPr>
          <w:ilvl w:val="0"/>
          <w:numId w:val="421"/>
        </w:numPr>
        <w:ind w:left="0"/>
        <w:rPr>
          <w:noProof/>
          <w:color w:val="000000" w:themeColor="text1"/>
        </w:rPr>
      </w:pPr>
      <w:r>
        <w:rPr>
          <w:noProof/>
        </w:rPr>
        <w:t>Uz paralēlu vai pagaidu pārvadājumu organizēšanu, kas apkalpo to pašu pasažieru kopum</w:t>
      </w:r>
      <w:r>
        <w:rPr>
          <w:noProof/>
        </w:rPr>
        <w:t>u, ko pastāvošie regulārie pārvadājumi, neapstāšanos atsevišķās pieturvietās un apstāšanos papildu pieturvietās pastāvošo regulāro pārvadājumu maršrutos attiecas tie paši noteikumi, kurus piemēro pastāvošajiem regulārajiem pārvadājumiem.</w:t>
      </w:r>
      <w:r>
        <w:rPr>
          <w:noProof/>
          <w:color w:val="000000" w:themeColor="text1"/>
        </w:rPr>
        <w:t xml:space="preserve"> </w:t>
      </w:r>
    </w:p>
    <w:p w:rsidR="003E022D" w:rsidRDefault="007D19D6">
      <w:pPr>
        <w:numPr>
          <w:ilvl w:val="0"/>
          <w:numId w:val="421"/>
        </w:numPr>
        <w:ind w:left="0"/>
        <w:rPr>
          <w:rFonts w:asciiTheme="minorHAnsi" w:hAnsiTheme="minorHAnsi"/>
          <w:noProof/>
        </w:rPr>
      </w:pPr>
      <w:r>
        <w:rPr>
          <w:noProof/>
          <w:color w:val="000000" w:themeColor="text1"/>
        </w:rPr>
        <w:t xml:space="preserve">Piemēro nolīguma </w:t>
      </w:r>
      <w:r>
        <w:rPr>
          <w:noProof/>
          <w:color w:val="000000" w:themeColor="text1"/>
        </w:rPr>
        <w:t>“Interbus” V iedaļu [Sociālie noteikumi] un VI iedaļu [Muitas un fiskālie noteikumi], kā arī tā I pielikumu [Nosacījumi, kas attiecas uz pasažieru autopārvadātājiem] un II pielikumu [Tehniskie standarti autobusiem].</w:t>
      </w:r>
      <w:r>
        <w:rPr>
          <w:rFonts w:asciiTheme="minorHAnsi" w:hAnsiTheme="minorHAnsi"/>
          <w:noProof/>
        </w:rPr>
        <w:t xml:space="preserve"> </w:t>
      </w:r>
    </w:p>
    <w:p w:rsidR="003E022D" w:rsidRDefault="007D19D6">
      <w:pPr>
        <w:numPr>
          <w:ilvl w:val="0"/>
          <w:numId w:val="421"/>
        </w:numPr>
        <w:ind w:left="0"/>
        <w:rPr>
          <w:rFonts w:asciiTheme="minorHAnsi" w:hAnsiTheme="minorHAnsi"/>
          <w:noProof/>
        </w:rPr>
      </w:pPr>
      <w:r>
        <w:rPr>
          <w:noProof/>
        </w:rPr>
        <w:t>Sešu mēnešu laikposmam no šā nolīguma s</w:t>
      </w:r>
      <w:r>
        <w:rPr>
          <w:noProof/>
        </w:rPr>
        <w:t>pēkā stāšanās dienas speciāliem regulāriem pārvadājumiem nav vajadzīga atļauja, ja uz tiem attiecas līgums starp organizatoru un pasažieru autopārvadātāju.</w:t>
      </w:r>
    </w:p>
    <w:p w:rsidR="003E022D" w:rsidRDefault="007D19D6">
      <w:pPr>
        <w:numPr>
          <w:ilvl w:val="0"/>
          <w:numId w:val="421"/>
        </w:numPr>
        <w:ind w:left="0"/>
        <w:rPr>
          <w:rFonts w:asciiTheme="minorHAnsi" w:hAnsiTheme="minorHAnsi" w:cstheme="minorHAnsi"/>
          <w:noProof/>
          <w:color w:val="FF0000"/>
        </w:rPr>
      </w:pPr>
      <w:r>
        <w:rPr>
          <w:noProof/>
        </w:rPr>
        <w:t xml:space="preserve">Neregulāriem pakalpojumiem, uz kuriem attiecas šī sadaļa, saskaņā ar X+2. pantu atļauja nav </w:t>
      </w:r>
      <w:r>
        <w:rPr>
          <w:noProof/>
        </w:rPr>
        <w:t>vajadzīga.</w:t>
      </w:r>
      <w:r>
        <w:rPr>
          <w:noProof/>
          <w:color w:val="000000" w:themeColor="text1"/>
        </w:rPr>
        <w:t xml:space="preserve"> Tomēr paralēlo vai pagaidu pārvadājumu organizēšanai, kas ir līdzīgi pastāvošiem regulāriem pārvadājumiem un apkalpo tos pašus pasažierus, jāsaņem atļauja saskaņā ar nolīguma “Interbus” VIII sadaļu.</w:t>
      </w:r>
    </w:p>
    <w:p w:rsidR="003E022D" w:rsidRDefault="007D19D6">
      <w:pPr>
        <w:pStyle w:val="Article"/>
        <w:rPr>
          <w:noProof/>
        </w:rPr>
      </w:pPr>
      <w:r>
        <w:rPr>
          <w:noProof/>
        </w:rPr>
        <w:t xml:space="preserve">X+4. pants. Atļaujas piešķiršana  </w:t>
      </w:r>
    </w:p>
    <w:p w:rsidR="003E022D" w:rsidRDefault="007D19D6">
      <w:pPr>
        <w:numPr>
          <w:ilvl w:val="0"/>
          <w:numId w:val="401"/>
        </w:numPr>
        <w:ind w:left="0"/>
        <w:rPr>
          <w:rFonts w:asciiTheme="minorHAnsi" w:hAnsiTheme="minorHAnsi"/>
          <w:noProof/>
        </w:rPr>
      </w:pPr>
      <w:r>
        <w:rPr>
          <w:noProof/>
        </w:rPr>
        <w:t xml:space="preserve">Atļaujas </w:t>
      </w:r>
      <w:r>
        <w:rPr>
          <w:noProof/>
        </w:rPr>
        <w:t>veikt X+2. pantā minētos pārvadājumus izdod tās Puses kompetentā iestāde, kuras teritorijā pasažieru autopārvadātājs ir iedibināts (“atļaujas izdevējiestāde”).</w:t>
      </w:r>
      <w:r>
        <w:rPr>
          <w:rFonts w:asciiTheme="minorHAnsi" w:hAnsiTheme="minorHAnsi"/>
          <w:noProof/>
        </w:rPr>
        <w:t xml:space="preserve"> </w:t>
      </w:r>
    </w:p>
    <w:p w:rsidR="003E022D" w:rsidRDefault="007D19D6">
      <w:pPr>
        <w:numPr>
          <w:ilvl w:val="0"/>
          <w:numId w:val="401"/>
        </w:numPr>
        <w:ind w:left="0"/>
        <w:rPr>
          <w:rFonts w:asciiTheme="minorHAnsi" w:hAnsiTheme="minorHAnsi"/>
          <w:noProof/>
        </w:rPr>
      </w:pPr>
      <w:r>
        <w:rPr>
          <w:noProof/>
        </w:rPr>
        <w:t>Ja pasažieru autopārvadātājs ir iedibināts Savienībā, atļaujas izdevējiestāde ir tās dalībvalst</w:t>
      </w:r>
      <w:r>
        <w:rPr>
          <w:noProof/>
        </w:rPr>
        <w:t>s kompetentā iestāde, kuras teritorijā ir pārvadājumu sākumpunkts vai beigupunkts.</w:t>
      </w:r>
      <w:r>
        <w:rPr>
          <w:rFonts w:asciiTheme="minorHAnsi" w:hAnsiTheme="minorHAnsi"/>
          <w:noProof/>
        </w:rPr>
        <w:t xml:space="preserve"> </w:t>
      </w:r>
    </w:p>
    <w:p w:rsidR="003E022D" w:rsidRDefault="007D19D6">
      <w:pPr>
        <w:numPr>
          <w:ilvl w:val="0"/>
          <w:numId w:val="401"/>
        </w:numPr>
        <w:ind w:left="0"/>
        <w:rPr>
          <w:noProof/>
        </w:rPr>
      </w:pPr>
      <w:r>
        <w:rPr>
          <w:noProof/>
        </w:rPr>
        <w:t>Ja X+2. pantā minētos pārvadājumus plāno veikt pasažieru autopārvadātāju koncerns, atļaujas izdevējiestāde ir kompetentā iestāde, kurai tiek adresēts pieprasījums saskaņā a</w:t>
      </w:r>
      <w:r>
        <w:rPr>
          <w:noProof/>
        </w:rPr>
        <w:t xml:space="preserve">r X+5. panta 1. punkta otro daļu. </w:t>
      </w:r>
    </w:p>
    <w:p w:rsidR="003E022D" w:rsidRDefault="007D19D6">
      <w:pPr>
        <w:numPr>
          <w:ilvl w:val="0"/>
          <w:numId w:val="401"/>
        </w:numPr>
        <w:ind w:left="0"/>
        <w:rPr>
          <w:noProof/>
        </w:rPr>
      </w:pPr>
      <w:r>
        <w:rPr>
          <w:noProof/>
        </w:rPr>
        <w:t>Atļauju izdod ar pasažieru autopārvadātāja nosaukumu vai vārdu, un tā nav nododama citai personai. Tomēr atļauju saņēmušais pasažieru autopārvadātājs ar atļaujas izdevējiestādes piekrišanu var pārvadājumiem izmantojot apa</w:t>
      </w:r>
      <w:r>
        <w:rPr>
          <w:noProof/>
        </w:rPr>
        <w:t xml:space="preserve">kšuzņēmēju, ja tāda iespēja atbilst Puses tiesību normām. Tādā gadījumā atļaujā norāda apakšuzņēmēja nosaukumu un lomu. Apakšuzņēmējs ir Puses pasažieru autopārvadātājs un atbilst visiem šīs sadaļas noteikumiem. </w:t>
      </w:r>
    </w:p>
    <w:p w:rsidR="003E022D" w:rsidRDefault="007D19D6">
      <w:pPr>
        <w:rPr>
          <w:noProof/>
        </w:rPr>
      </w:pPr>
      <w:r>
        <w:rPr>
          <w:noProof/>
        </w:rPr>
        <w:t>Pasažieru autopārvadātāju koncernam, kas pl</w:t>
      </w:r>
      <w:r>
        <w:rPr>
          <w:noProof/>
        </w:rPr>
        <w:t>āno sniegt X+2. pantā minētos pakalpojumus, atļauju izdod ar visu koncerna pasažieru autopārvadātāju nosaukumiem vai vārdiem, un atļaujā nosauc visus minētos pārvadātājus. To izdod pasažieru autopārvadātājiem, kuriem Puses pārējie pasažieru autopārvadātāji</w:t>
      </w:r>
      <w:r>
        <w:rPr>
          <w:noProof/>
        </w:rPr>
        <w:t xml:space="preserve"> to uzticējuši saņemt un kuri to ir pieprasījuši, un pārējiem pasažieru autopārvadātājiem izdod apliecinātas kopijas. </w:t>
      </w:r>
    </w:p>
    <w:p w:rsidR="003E022D" w:rsidRDefault="007D19D6">
      <w:pPr>
        <w:numPr>
          <w:ilvl w:val="0"/>
          <w:numId w:val="401"/>
        </w:numPr>
        <w:ind w:left="0"/>
        <w:rPr>
          <w:noProof/>
        </w:rPr>
      </w:pPr>
      <w:r>
        <w:rPr>
          <w:noProof/>
        </w:rPr>
        <w:t>Neskarot X+6. panta 3. punktu, atļaujas derīguma termiņš nepārsniedz piecus gadus. Pēc pieprasījuma iesniedzēja pieprasījuma vai ar to Pu</w:t>
      </w:r>
      <w:r>
        <w:rPr>
          <w:noProof/>
        </w:rPr>
        <w:t xml:space="preserve">šu kompetento iestāžu abpusēju piekrišanu, kuru teritorijā tiek uzņemti vai izlaisti pasažieri, šo termiņu var saīsināt. </w:t>
      </w:r>
    </w:p>
    <w:p w:rsidR="003E022D" w:rsidRDefault="007D19D6">
      <w:pPr>
        <w:numPr>
          <w:ilvl w:val="0"/>
          <w:numId w:val="401"/>
        </w:numPr>
        <w:ind w:left="0"/>
        <w:rPr>
          <w:noProof/>
        </w:rPr>
      </w:pPr>
      <w:r>
        <w:rPr>
          <w:noProof/>
        </w:rPr>
        <w:t xml:space="preserve">Atļaujās norāda šādu informāciju: </w:t>
      </w:r>
    </w:p>
    <w:p w:rsidR="003E022D" w:rsidRDefault="007D19D6">
      <w:pPr>
        <w:numPr>
          <w:ilvl w:val="0"/>
          <w:numId w:val="402"/>
        </w:numPr>
        <w:ind w:left="567" w:hanging="567"/>
        <w:rPr>
          <w:rFonts w:asciiTheme="minorHAnsi" w:hAnsiTheme="minorHAnsi"/>
          <w:noProof/>
        </w:rPr>
      </w:pPr>
      <w:r>
        <w:rPr>
          <w:noProof/>
        </w:rPr>
        <w:t>pārvadājuma veids;</w:t>
      </w:r>
      <w:r>
        <w:rPr>
          <w:rFonts w:asciiTheme="minorHAnsi" w:hAnsiTheme="minorHAnsi"/>
          <w:noProof/>
        </w:rPr>
        <w:t xml:space="preserve"> </w:t>
      </w:r>
    </w:p>
    <w:p w:rsidR="003E022D" w:rsidRDefault="007D19D6">
      <w:pPr>
        <w:numPr>
          <w:ilvl w:val="0"/>
          <w:numId w:val="402"/>
        </w:numPr>
        <w:ind w:left="567" w:hanging="567"/>
        <w:rPr>
          <w:rFonts w:asciiTheme="minorHAnsi" w:hAnsiTheme="minorHAnsi"/>
          <w:noProof/>
        </w:rPr>
      </w:pPr>
      <w:r>
        <w:rPr>
          <w:rFonts w:asciiTheme="minorHAnsi" w:hAnsiTheme="minorHAnsi"/>
          <w:noProof/>
        </w:rPr>
        <w:t xml:space="preserve">pārvadājuma maršruts, norādot sākumpunktu un beigupunktu; </w:t>
      </w:r>
    </w:p>
    <w:p w:rsidR="003E022D" w:rsidRDefault="007D19D6">
      <w:pPr>
        <w:numPr>
          <w:ilvl w:val="0"/>
          <w:numId w:val="402"/>
        </w:numPr>
        <w:ind w:left="567" w:hanging="567"/>
        <w:rPr>
          <w:rFonts w:asciiTheme="minorHAnsi" w:hAnsiTheme="minorHAnsi"/>
          <w:noProof/>
        </w:rPr>
      </w:pPr>
      <w:r>
        <w:rPr>
          <w:rFonts w:asciiTheme="minorHAnsi" w:hAnsiTheme="minorHAnsi"/>
          <w:noProof/>
        </w:rPr>
        <w:t>atļaujas derīguma te</w:t>
      </w:r>
      <w:r>
        <w:rPr>
          <w:rFonts w:asciiTheme="minorHAnsi" w:hAnsiTheme="minorHAnsi"/>
          <w:noProof/>
        </w:rPr>
        <w:t>rmiņš;</w:t>
      </w:r>
    </w:p>
    <w:p w:rsidR="003E022D" w:rsidRDefault="007D19D6">
      <w:pPr>
        <w:numPr>
          <w:ilvl w:val="0"/>
          <w:numId w:val="402"/>
        </w:numPr>
        <w:ind w:left="567" w:hanging="567"/>
        <w:rPr>
          <w:noProof/>
        </w:rPr>
      </w:pPr>
      <w:r>
        <w:rPr>
          <w:noProof/>
        </w:rPr>
        <w:t xml:space="preserve">pieturvietas un kustības grafiks. </w:t>
      </w:r>
    </w:p>
    <w:p w:rsidR="003E022D" w:rsidRDefault="007D19D6">
      <w:pPr>
        <w:numPr>
          <w:ilvl w:val="0"/>
          <w:numId w:val="403"/>
        </w:numPr>
        <w:ind w:left="0"/>
        <w:rPr>
          <w:noProof/>
        </w:rPr>
      </w:pPr>
      <w:r>
        <w:rPr>
          <w:noProof/>
        </w:rPr>
        <w:t>Atļaujas atbilst ROAD-2. pielikumā noteiktajam paraugam.</w:t>
      </w:r>
      <w:r>
        <w:rPr>
          <w:noProof/>
          <w:color w:val="000000" w:themeColor="text1"/>
        </w:rPr>
        <w:t xml:space="preserve"> </w:t>
      </w:r>
    </w:p>
    <w:p w:rsidR="003E022D" w:rsidRDefault="007D19D6">
      <w:pPr>
        <w:numPr>
          <w:ilvl w:val="0"/>
          <w:numId w:val="403"/>
        </w:numPr>
        <w:ind w:left="0"/>
        <w:rPr>
          <w:noProof/>
        </w:rPr>
      </w:pPr>
      <w:r>
        <w:rPr>
          <w:noProof/>
        </w:rPr>
        <w:t xml:space="preserve">Puses pasažieru autopārvadātājs, kas veic X+2. pantā minēto pakalpojumu, pagaidu vajadzībām un ārkārtējā situācijā var izmantot papildu transportlīdzekļus. </w:t>
      </w:r>
      <w:r>
        <w:rPr>
          <w:noProof/>
        </w:rPr>
        <w:t xml:space="preserve">Papildu transportlīdzekļus var izmantot tikai ar tiem pašiem nosacījumiem, kas noteikti 6. punktā minētajās atļaujās. </w:t>
      </w:r>
    </w:p>
    <w:p w:rsidR="003E022D" w:rsidRDefault="007D19D6">
      <w:pPr>
        <w:rPr>
          <w:noProof/>
        </w:rPr>
      </w:pPr>
      <w:r>
        <w:rPr>
          <w:noProof/>
        </w:rPr>
        <w:t>Šajā gadījumā papildus X+10. panta 1. un 2. punktā minētajiem dokumentiem pasažieru autopārvadātājs nodrošina, ka starp pasažieru autopār</w:t>
      </w:r>
      <w:r>
        <w:rPr>
          <w:noProof/>
        </w:rPr>
        <w:t>vadātāju, kas veic regulāros vai speciālos regulāros pārvadājumus, un uzņēmumu, kas nodrošina papildu transportlīdzekļus, noslēgtā līguma kopija vai līdzvērtīgs dokuments tiek pārvadāti transportlīdzeklī un uzrādīti pēc pilnvarota kontroles darbinieka piep</w:t>
      </w:r>
      <w:r>
        <w:rPr>
          <w:noProof/>
        </w:rPr>
        <w:t xml:space="preserve">rasījuma. </w:t>
      </w:r>
    </w:p>
    <w:p w:rsidR="003E022D" w:rsidRDefault="007D19D6">
      <w:pPr>
        <w:pStyle w:val="Article"/>
        <w:rPr>
          <w:noProof/>
        </w:rPr>
      </w:pPr>
      <w:r>
        <w:rPr>
          <w:noProof/>
        </w:rPr>
        <w:t xml:space="preserve">X+5. pants. Atļaujas pieprasījuma iesniegšana </w:t>
      </w:r>
    </w:p>
    <w:p w:rsidR="003E022D" w:rsidRDefault="007D19D6">
      <w:pPr>
        <w:numPr>
          <w:ilvl w:val="0"/>
          <w:numId w:val="404"/>
        </w:numPr>
        <w:ind w:left="0"/>
        <w:rPr>
          <w:noProof/>
        </w:rPr>
      </w:pPr>
      <w:r>
        <w:rPr>
          <w:noProof/>
        </w:rPr>
        <w:t xml:space="preserve">Atļaujas pieprasījumu Puses pasažieru autopārvadātājs iesniedz X+4. panta 1. punktā minētajai izdevējiestādei. </w:t>
      </w:r>
    </w:p>
    <w:p w:rsidR="003E022D" w:rsidRDefault="007D19D6">
      <w:pPr>
        <w:rPr>
          <w:noProof/>
        </w:rPr>
      </w:pPr>
      <w:r>
        <w:rPr>
          <w:noProof/>
        </w:rPr>
        <w:t>Par katru pakalpojumu iesniedz tikai vienu pieprasījumu. X+4. panta 3. punktā minētajo</w:t>
      </w:r>
      <w:r>
        <w:rPr>
          <w:noProof/>
        </w:rPr>
        <w:t xml:space="preserve">s gadījumos pieprasījumu iesniedz pārvadātājs, kuram pārējie pārvadātāji to uzticējuši. Pieprasījumu adresē tās Puses atļaujas izdevējiestādei, kurā ir iedibināts pasažieru autopārvadātājs, kas pieprasījumu iesniedz. </w:t>
      </w:r>
    </w:p>
    <w:p w:rsidR="003E022D" w:rsidRDefault="007D19D6">
      <w:pPr>
        <w:numPr>
          <w:ilvl w:val="0"/>
          <w:numId w:val="404"/>
        </w:numPr>
        <w:ind w:left="0"/>
        <w:rPr>
          <w:noProof/>
          <w:color w:val="000000" w:themeColor="text1"/>
        </w:rPr>
      </w:pPr>
      <w:r>
        <w:rPr>
          <w:noProof/>
        </w:rPr>
        <w:t>Atļaujas pieprasījumu iesniedz pēc ROA</w:t>
      </w:r>
      <w:r>
        <w:rPr>
          <w:noProof/>
        </w:rPr>
        <w:t>D-3. pielikumā noteiktā parauga.</w:t>
      </w:r>
      <w:r>
        <w:rPr>
          <w:noProof/>
          <w:color w:val="000000" w:themeColor="text1"/>
        </w:rPr>
        <w:t xml:space="preserve"> </w:t>
      </w:r>
    </w:p>
    <w:p w:rsidR="003E022D" w:rsidRDefault="007D19D6">
      <w:pPr>
        <w:numPr>
          <w:ilvl w:val="0"/>
          <w:numId w:val="404"/>
        </w:numPr>
        <w:ind w:left="0"/>
        <w:rPr>
          <w:noProof/>
          <w:color w:val="000000" w:themeColor="text1"/>
        </w:rPr>
      </w:pPr>
      <w:r>
        <w:rPr>
          <w:noProof/>
        </w:rPr>
        <w:t>Pasažieru autopārvadātājs, kas iesniedz atļaujas pieprasījumu, sniedz papildu informāciju, ko uzskata par būtisku vai ko pieprasa izdevējiestāde, it īpaši ROAD-3. pielikumā uzskaitītos dokumentus.</w:t>
      </w:r>
      <w:r>
        <w:rPr>
          <w:noProof/>
          <w:color w:val="000000" w:themeColor="text1"/>
        </w:rPr>
        <w:t xml:space="preserve"> </w:t>
      </w:r>
    </w:p>
    <w:p w:rsidR="003E022D" w:rsidRDefault="007D19D6">
      <w:pPr>
        <w:pStyle w:val="Article"/>
        <w:rPr>
          <w:noProof/>
        </w:rPr>
      </w:pPr>
      <w:r>
        <w:rPr>
          <w:noProof/>
        </w:rPr>
        <w:t>X+6. pants. Atļaujas doš</w:t>
      </w:r>
      <w:r>
        <w:rPr>
          <w:noProof/>
        </w:rPr>
        <w:t xml:space="preserve">ana </w:t>
      </w:r>
    </w:p>
    <w:p w:rsidR="003E022D" w:rsidRDefault="007D19D6">
      <w:pPr>
        <w:numPr>
          <w:ilvl w:val="0"/>
          <w:numId w:val="405"/>
        </w:numPr>
        <w:ind w:left="0"/>
        <w:rPr>
          <w:noProof/>
        </w:rPr>
      </w:pPr>
      <w:r>
        <w:rPr>
          <w:noProof/>
        </w:rPr>
        <w:t>Atļaujas izdod pēc vienošanās ar to Pušu kompetentajām iestādēm, kuru teritorijā notiek pasažieru iekāpšana vai izkāpšana. Atļaujas izdevējiestāde šīm kompetentajām iestādēm, kā arī kompetentajām iestādēm, kuru teritorija tiek šķērsota, bet kurās neti</w:t>
      </w:r>
      <w:r>
        <w:rPr>
          <w:noProof/>
        </w:rPr>
        <w:t xml:space="preserve">ek uzņemti vai izlaisti pasažieri, nosūta pieprasījuma kopiju kopā ar visu citu saistīto dokumentu kopijām un savu novērtējumu. </w:t>
      </w:r>
    </w:p>
    <w:p w:rsidR="003E022D" w:rsidRDefault="007D19D6">
      <w:pPr>
        <w:rPr>
          <w:noProof/>
        </w:rPr>
      </w:pPr>
      <w:r>
        <w:rPr>
          <w:noProof/>
        </w:rPr>
        <w:t>Šā punkta pirmajā daļā minētās kompetentās iestādes Savienībā ir kompetentās iestādes dalībvalstīs, kuru teritorijā tiek uzņemt</w:t>
      </w:r>
      <w:r>
        <w:rPr>
          <w:noProof/>
        </w:rPr>
        <w:t xml:space="preserve">i vai izlaisti pasažieri, un kompetentās iestādes dalībvalstīs, kuru teritorija tiek šķērsota, bet kurās netiek uzņemti vai izlaisti pasažieri. </w:t>
      </w:r>
    </w:p>
    <w:p w:rsidR="003E022D" w:rsidRDefault="007D19D6">
      <w:pPr>
        <w:numPr>
          <w:ilvl w:val="0"/>
          <w:numId w:val="405"/>
        </w:numPr>
        <w:ind w:left="0"/>
        <w:rPr>
          <w:noProof/>
        </w:rPr>
      </w:pPr>
      <w:r>
        <w:rPr>
          <w:noProof/>
        </w:rPr>
        <w:t>Kompetentās iestādes, kuru piekrišana lūgta, četru mēnešu laikā paziņo atļaujas izdevējiestādei savu lēmumu par</w:t>
      </w:r>
      <w:r>
        <w:rPr>
          <w:noProof/>
        </w:rPr>
        <w:t xml:space="preserve"> pieprasījumu. Šo termiņu aprēķina no piekrišanas lūguma saņemšanas datuma, kas norādīts saņemšanas apstiprinājumā. Ja kompetentās iestādes, kuru piekrišana ir lūgta, pieņem noraidošu lēmumu, tajā iekļauj pienācīgu pamatojumu. Ja atļaujas izdevējiestāde če</w:t>
      </w:r>
      <w:r>
        <w:rPr>
          <w:noProof/>
        </w:rPr>
        <w:t>tru mēnešu laikā nesaņem atbildi, tiek uzskatīts, ka kompetentās iestādes, ar kurām notikusi apspriešanās, ir devušas piekrišanu, un atļaujas izdevējiestāde var atļauju piešķirt.</w:t>
      </w:r>
    </w:p>
    <w:p w:rsidR="003E022D" w:rsidRDefault="007D19D6">
      <w:pPr>
        <w:rPr>
          <w:noProof/>
        </w:rPr>
      </w:pPr>
      <w:r>
        <w:rPr>
          <w:noProof/>
        </w:rPr>
        <w:t xml:space="preserve">Kompetentās iestādes, kuru teritorija tiek šķērsota, neuzņemot un neizlaižot </w:t>
      </w:r>
      <w:r>
        <w:rPr>
          <w:noProof/>
        </w:rPr>
        <w:t>pasažierus, četru mēnešu laikā var iesniegt atļaujas izdevējiestādei piezīmes.</w:t>
      </w:r>
    </w:p>
    <w:p w:rsidR="003E022D" w:rsidRDefault="007D19D6">
      <w:pPr>
        <w:numPr>
          <w:ilvl w:val="0"/>
          <w:numId w:val="405"/>
        </w:numPr>
        <w:ind w:left="0"/>
        <w:rPr>
          <w:noProof/>
          <w:color w:val="000000" w:themeColor="text1"/>
        </w:rPr>
      </w:pPr>
      <w:r>
        <w:rPr>
          <w:noProof/>
          <w:color w:val="000000" w:themeColor="text1"/>
        </w:rPr>
        <w:t>Uz pakalpojumiem, kas atļauti saskaņā ar Eiropas Parlamenta un Padomes Regulu (EK) Nr. 1073/2009</w:t>
      </w:r>
      <w:r>
        <w:rPr>
          <w:rStyle w:val="FootnoteReference"/>
          <w:noProof/>
          <w:color w:val="000000" w:themeColor="text1"/>
        </w:rPr>
        <w:footnoteReference w:id="70"/>
      </w:r>
      <w:r>
        <w:rPr>
          <w:noProof/>
          <w:color w:val="000000" w:themeColor="text1"/>
        </w:rPr>
        <w:t xml:space="preserve"> pirms pārejas perioda beigām un kam atļauja beidzas pārejas perioda beigās, att</w:t>
      </w:r>
      <w:r>
        <w:rPr>
          <w:noProof/>
          <w:color w:val="000000" w:themeColor="text1"/>
        </w:rPr>
        <w:t xml:space="preserve">iecas šādi noteikumi: </w:t>
      </w:r>
    </w:p>
    <w:p w:rsidR="003E022D" w:rsidRDefault="007D19D6">
      <w:pPr>
        <w:numPr>
          <w:ilvl w:val="0"/>
          <w:numId w:val="422"/>
        </w:numPr>
        <w:ind w:left="567" w:hanging="567"/>
        <w:rPr>
          <w:rFonts w:asciiTheme="minorHAnsi" w:hAnsiTheme="minorHAnsi"/>
          <w:noProof/>
        </w:rPr>
      </w:pPr>
      <w:r>
        <w:rPr>
          <w:noProof/>
        </w:rPr>
        <w:t>ja, ievērojot izmaiņas, kas nepieciešamas X+2. panta prasību izpildei, darbības nosacījumi ir tādi paši kā tie, kas noteikti atļaujā, kura piešķirta saskaņā ar Regulu (EK) Nr. 1073/2009, attiecīgā atļaujas izdevējiestāde saskaņā ar š</w:t>
      </w:r>
      <w:r>
        <w:rPr>
          <w:noProof/>
        </w:rPr>
        <w:t>o sadaļu pēc pieprasījuma vai citādi var izdot autopārvadātājam attiecīgu atļauju, ko piešķir saskaņā ar šo sadaļu.</w:t>
      </w:r>
      <w:r>
        <w:rPr>
          <w:rFonts w:asciiTheme="minorHAnsi" w:hAnsiTheme="minorHAnsi"/>
          <w:noProof/>
        </w:rPr>
        <w:t xml:space="preserve"> Ja tāda atļauja tiek izdota, tiek uzskatīts, ka ir saņemta to kompetento iestāžu piekrišana, kuru teritorijā tiek uzņemti vai izlaisti pasaž</w:t>
      </w:r>
      <w:r>
        <w:rPr>
          <w:rFonts w:asciiTheme="minorHAnsi" w:hAnsiTheme="minorHAnsi"/>
          <w:noProof/>
        </w:rPr>
        <w:t xml:space="preserve">ieri, kā norādīts 2. punktā. Minētās kompetentās iestādes un kompetentās iestādes, kuru teritoriju šķērso, neuzņemot un neizlaižot pasažierus, jebkurā brīdī var atļaujas izdevējiestādei darīt zināmas piezīmes, ja tām tādas ir; </w:t>
      </w:r>
    </w:p>
    <w:p w:rsidR="003E022D" w:rsidRDefault="007D19D6">
      <w:pPr>
        <w:numPr>
          <w:ilvl w:val="0"/>
          <w:numId w:val="422"/>
        </w:numPr>
        <w:ind w:left="567" w:hanging="567"/>
        <w:rPr>
          <w:noProof/>
          <w:color w:val="000000" w:themeColor="text1"/>
        </w:rPr>
      </w:pPr>
      <w:r>
        <w:rPr>
          <w:noProof/>
        </w:rPr>
        <w:t>ja piemēro a) apakšpunktu, a</w:t>
      </w:r>
      <w:r>
        <w:rPr>
          <w:noProof/>
        </w:rPr>
        <w:t>ttiecīgās saskaņā ar šo sadaļu piešķirtās atļaujas derīguma termiņš nepārsniedz derīguma termiņa pēdējo dienu, kas noteikta agrāk saskaņā ar Regulu (EK) Nr. 1073/2009 piešķirtajā atļaujā.</w:t>
      </w:r>
    </w:p>
    <w:p w:rsidR="003E022D" w:rsidRDefault="007D19D6">
      <w:pPr>
        <w:numPr>
          <w:ilvl w:val="0"/>
          <w:numId w:val="405"/>
        </w:numPr>
        <w:ind w:left="0"/>
        <w:rPr>
          <w:noProof/>
        </w:rPr>
      </w:pPr>
      <w:r>
        <w:rPr>
          <w:noProof/>
        </w:rPr>
        <w:t>Lēmumu par pieprasījumu izdevējiestāde pieņem ne vēlāk kā sešus mēne</w:t>
      </w:r>
      <w:r>
        <w:rPr>
          <w:noProof/>
        </w:rPr>
        <w:t xml:space="preserve">šus pēc dienas, kurā pasažieru autopārvadātājs pieprasījumu iesniedzis. </w:t>
      </w:r>
    </w:p>
    <w:p w:rsidR="003E022D" w:rsidRDefault="007D19D6">
      <w:pPr>
        <w:numPr>
          <w:ilvl w:val="0"/>
          <w:numId w:val="405"/>
        </w:numPr>
        <w:ind w:left="0"/>
        <w:rPr>
          <w:noProof/>
        </w:rPr>
      </w:pPr>
      <w:r>
        <w:rPr>
          <w:noProof/>
        </w:rPr>
        <w:t xml:space="preserve">Atļauju nepiešķir, ja: </w:t>
      </w:r>
    </w:p>
    <w:p w:rsidR="003E022D" w:rsidRDefault="007D19D6">
      <w:pPr>
        <w:numPr>
          <w:ilvl w:val="0"/>
          <w:numId w:val="423"/>
        </w:numPr>
        <w:ind w:left="567" w:hanging="567"/>
        <w:rPr>
          <w:rFonts w:asciiTheme="minorHAnsi" w:hAnsiTheme="minorHAnsi"/>
          <w:noProof/>
        </w:rPr>
      </w:pPr>
      <w:r>
        <w:rPr>
          <w:noProof/>
        </w:rPr>
        <w:t>pieprasījuma iesniedzējs pārvadājumus, kas ir pieprasījuma priekšmets, nespēj veikt ar tam tieši pieejamo aprīkojumu;</w:t>
      </w:r>
      <w:r>
        <w:rPr>
          <w:rFonts w:asciiTheme="minorHAnsi" w:hAnsiTheme="minorHAnsi"/>
          <w:noProof/>
        </w:rPr>
        <w:t xml:space="preserve"> </w:t>
      </w:r>
    </w:p>
    <w:p w:rsidR="003E022D" w:rsidRDefault="007D19D6">
      <w:pPr>
        <w:numPr>
          <w:ilvl w:val="0"/>
          <w:numId w:val="423"/>
        </w:numPr>
        <w:ind w:left="567" w:hanging="567"/>
        <w:rPr>
          <w:rFonts w:asciiTheme="minorHAnsi" w:hAnsiTheme="minorHAnsi"/>
          <w:noProof/>
        </w:rPr>
      </w:pPr>
      <w:r>
        <w:rPr>
          <w:rFonts w:asciiTheme="minorHAnsi" w:hAnsiTheme="minorHAnsi"/>
          <w:noProof/>
        </w:rPr>
        <w:t>pieprasījuma iesniedzējs nav nodrošinājis atbilstību valsts vai starptautiskajiem autotransporta tiesību aktiem, sevišķi nosacījumiem un prasībām, kas attiecas uz pasažieru starptautisko autopārvadājumu atļaujām, vai ir izdarījis nopietnus Puses autotransp</w:t>
      </w:r>
      <w:r>
        <w:rPr>
          <w:rFonts w:asciiTheme="minorHAnsi" w:hAnsiTheme="minorHAnsi"/>
          <w:noProof/>
        </w:rPr>
        <w:t xml:space="preserve">orta tiesību aktu pārkāpumus, sevišķi attiecībā uz transportlīdzekļiem piemērojamajiem noteikumiem un noteikumiem par transportlīdzekļa vadīšanas laiku un transportlīdzekļa vadītāju atpūtas periodiem; </w:t>
      </w:r>
    </w:p>
    <w:p w:rsidR="003E022D" w:rsidRDefault="007D19D6">
      <w:pPr>
        <w:numPr>
          <w:ilvl w:val="0"/>
          <w:numId w:val="423"/>
        </w:numPr>
        <w:ind w:left="567" w:hanging="567"/>
        <w:rPr>
          <w:rFonts w:asciiTheme="minorHAnsi" w:hAnsiTheme="minorHAnsi"/>
          <w:noProof/>
        </w:rPr>
      </w:pPr>
      <w:r>
        <w:rPr>
          <w:rFonts w:asciiTheme="minorHAnsi" w:hAnsiTheme="minorHAnsi"/>
          <w:noProof/>
        </w:rPr>
        <w:t>atļaujas pagarināšanas pieprasījuma gadījumā nav ievēr</w:t>
      </w:r>
      <w:r>
        <w:rPr>
          <w:rFonts w:asciiTheme="minorHAnsi" w:hAnsiTheme="minorHAnsi"/>
          <w:noProof/>
        </w:rPr>
        <w:t xml:space="preserve">oti atļaujas piešķiršanas nosacījumi; </w:t>
      </w:r>
    </w:p>
    <w:p w:rsidR="003E022D" w:rsidRDefault="007D19D6">
      <w:pPr>
        <w:numPr>
          <w:ilvl w:val="0"/>
          <w:numId w:val="423"/>
        </w:numPr>
        <w:ind w:left="567" w:hanging="567"/>
        <w:rPr>
          <w:noProof/>
        </w:rPr>
      </w:pPr>
      <w:r>
        <w:rPr>
          <w:noProof/>
        </w:rPr>
        <w:t>kāda Puse uz detalizētas analīzes pamata nolemj, ka attiecīgie pārvadājumi attiecīgajos tiešās satiksmes iecirkņos nopietni apdraudētu tādu līdzīgu pārvadājumu dzīvotspēju, uz kuriem attiecas viens vai vairāki sabiedr</w:t>
      </w:r>
      <w:r>
        <w:rPr>
          <w:noProof/>
        </w:rPr>
        <w:t>isko pakalpojumu līgumi, kas atbilst attiecīgās Puses tiesību aktiem. Šādā gadījumā Puse izstrādā nediskriminējošus kritērijus, pēc kuriem noteikt, vai pārvadājumi, par kuriem iesniegts pieprasījums, nopietni apdraudētu minēto līdzīgo pārvadājumu dzīvotspē</w:t>
      </w:r>
      <w:r>
        <w:rPr>
          <w:noProof/>
        </w:rPr>
        <w:t xml:space="preserve">ju, un dara tos zināmus otrai 1. punktā minētajai Pusei; vai </w:t>
      </w:r>
    </w:p>
    <w:p w:rsidR="003E022D" w:rsidRDefault="007D19D6">
      <w:pPr>
        <w:numPr>
          <w:ilvl w:val="0"/>
          <w:numId w:val="423"/>
        </w:numPr>
        <w:ind w:left="567" w:hanging="567"/>
        <w:rPr>
          <w:noProof/>
        </w:rPr>
      </w:pPr>
      <w:r>
        <w:rPr>
          <w:noProof/>
        </w:rPr>
        <w:t xml:space="preserve">kāda Puse, pamatojoties uz detalizētu analīzi, nolemj, ka pakalpojuma galvenais mērķis nav pārvadāt pasažierus starp punktiem, kas atrodas Pušu teritorijā. </w:t>
      </w:r>
    </w:p>
    <w:p w:rsidR="003E022D" w:rsidRDefault="007D19D6">
      <w:pPr>
        <w:ind w:left="567"/>
        <w:rPr>
          <w:noProof/>
        </w:rPr>
      </w:pPr>
      <w:r>
        <w:rPr>
          <w:noProof/>
        </w:rPr>
        <w:t>Kad ārkārtēju apstākļu dēļ, ko nav bi</w:t>
      </w:r>
      <w:r>
        <w:rPr>
          <w:noProof/>
        </w:rPr>
        <w:t>jis iespējams paredzēt atļaujas piešķiršanas brīdī, pārvadājums attiecīgos tiešās satiksmes iecirkņos nopietni apdraud tādu līdzīgu pakalpojumu sniegšanas dzīvotspēju, uz kuriem attiecas viens vai vairāki saskaņā ar kādas Puses tiesību aktiem noslēgti sabi</w:t>
      </w:r>
      <w:r>
        <w:rPr>
          <w:noProof/>
        </w:rPr>
        <w:t xml:space="preserve">edrisko pakalpojumu līgumi, Puse ar otras Puses piekrišanu var apturēt vai anulēt atļauju veikt starptautisko autobusu pārvadājumu, sešus mēnešus pirms tam par to brīdinājusi pasažieru autopārvadātāju. </w:t>
      </w:r>
    </w:p>
    <w:p w:rsidR="003E022D" w:rsidRDefault="007D19D6">
      <w:pPr>
        <w:ind w:left="567"/>
        <w:rPr>
          <w:noProof/>
        </w:rPr>
      </w:pPr>
      <w:r>
        <w:rPr>
          <w:noProof/>
        </w:rPr>
        <w:t>Nav iemesla pieprasījumu noraidīt tādēļ vien, ka kāds</w:t>
      </w:r>
      <w:r>
        <w:rPr>
          <w:noProof/>
        </w:rPr>
        <w:t xml:space="preserve"> vienas Puses pasažieru autopārvadātājs piedāvā zemākas cenas nekā citi pasažieru autopārvadātāji vai ka attiecīgajā savienojumā jau darbojas citi pasažieru autopārvadātāji. </w:t>
      </w:r>
    </w:p>
    <w:p w:rsidR="003E022D" w:rsidRDefault="007D19D6">
      <w:pPr>
        <w:numPr>
          <w:ilvl w:val="0"/>
          <w:numId w:val="424"/>
        </w:numPr>
        <w:ind w:left="0" w:firstLine="0"/>
        <w:rPr>
          <w:noProof/>
        </w:rPr>
      </w:pPr>
      <w:r>
        <w:rPr>
          <w:noProof/>
        </w:rPr>
        <w:t>Pabeigusi 1.–5. punktā noteikto procedūru, atļaujas izdevējiestāde piešķir atļauj</w:t>
      </w:r>
      <w:r>
        <w:rPr>
          <w:noProof/>
        </w:rPr>
        <w:t xml:space="preserve">u vai oficiāli noraida pieprasījumu. </w:t>
      </w:r>
    </w:p>
    <w:p w:rsidR="003E022D" w:rsidRDefault="007D19D6">
      <w:pPr>
        <w:rPr>
          <w:noProof/>
        </w:rPr>
      </w:pPr>
      <w:r>
        <w:rPr>
          <w:noProof/>
        </w:rPr>
        <w:t xml:space="preserve">Lēmumā pieprasījumu noraidīt izklāsta noraidīšanas iemeslus. Puses nodrošina, ka transporta uzņēmumiem tiek dota iespēja sūdzēties, ja to pieprasījums tiek noraidīts. </w:t>
      </w:r>
    </w:p>
    <w:p w:rsidR="003E022D" w:rsidRDefault="007D19D6">
      <w:pPr>
        <w:rPr>
          <w:noProof/>
        </w:rPr>
      </w:pPr>
      <w:r>
        <w:rPr>
          <w:noProof/>
        </w:rPr>
        <w:t>Atļaujas izdevējiestāde par savu lēmumu informē ot</w:t>
      </w:r>
      <w:r>
        <w:rPr>
          <w:noProof/>
        </w:rPr>
        <w:t xml:space="preserve">ras Puses kompetentās iestādes un nosūta tām katras atļaujas kopiju. </w:t>
      </w:r>
    </w:p>
    <w:p w:rsidR="003E022D" w:rsidRDefault="007D19D6">
      <w:pPr>
        <w:pStyle w:val="Article"/>
        <w:rPr>
          <w:noProof/>
        </w:rPr>
      </w:pPr>
      <w:r>
        <w:rPr>
          <w:noProof/>
        </w:rPr>
        <w:t xml:space="preserve">X+7. pants. Atļaujas pagarināšana un izmaiņas </w:t>
      </w:r>
    </w:p>
    <w:p w:rsidR="003E022D" w:rsidRDefault="007D19D6">
      <w:pPr>
        <w:numPr>
          <w:ilvl w:val="0"/>
          <w:numId w:val="406"/>
        </w:numPr>
        <w:ind w:left="0"/>
        <w:rPr>
          <w:noProof/>
        </w:rPr>
      </w:pPr>
      <w:r>
        <w:rPr>
          <w:noProof/>
        </w:rPr>
        <w:t>X+6. pantu pēc analoģijas piemēro atļaujas pagarināšanas pieprasījumiem vai pieprasījumiem mainīt nosacījumos, ar kuriem veicami pārvadājum</w:t>
      </w:r>
      <w:r>
        <w:rPr>
          <w:noProof/>
        </w:rPr>
        <w:t xml:space="preserve">i, kam vajadzīga atļauja. </w:t>
      </w:r>
    </w:p>
    <w:p w:rsidR="003E022D" w:rsidRDefault="007D19D6">
      <w:pPr>
        <w:numPr>
          <w:ilvl w:val="0"/>
          <w:numId w:val="406"/>
        </w:numPr>
        <w:ind w:left="0"/>
        <w:rPr>
          <w:noProof/>
        </w:rPr>
      </w:pPr>
      <w:r>
        <w:rPr>
          <w:noProof/>
        </w:rPr>
        <w:t>Ja spēkā esošās atļaujas termiņš beidzas sešu mēnešu laikā no šā nolīguma spēkā stāšanās dienas, tad termiņš, kurā X+6. panta 2. punktā minētās kompetentās iestādes atļaujas izdevējiestādei dara zināmu savu piekrišanu vai piezīme</w:t>
      </w:r>
      <w:r>
        <w:rPr>
          <w:noProof/>
        </w:rPr>
        <w:t xml:space="preserve">s par pieprasījumu saskaņā ar minēto pantu, ir divi mēneši. </w:t>
      </w:r>
    </w:p>
    <w:p w:rsidR="003E022D" w:rsidRDefault="007D19D6">
      <w:pPr>
        <w:numPr>
          <w:ilvl w:val="0"/>
          <w:numId w:val="406"/>
        </w:numPr>
        <w:ind w:left="0"/>
        <w:rPr>
          <w:noProof/>
        </w:rPr>
      </w:pPr>
      <w:r>
        <w:rPr>
          <w:noProof/>
        </w:rPr>
        <w:t>Ja pārvadājumu veikšanas nosacījumos tiek izdarītas sīkas korekcijas intervālos, braukšanas maksā, kustības grafikā u. tml., atļaujas izdevējiestādei tikai jāiesniedz otras Puses kompetentajai ie</w:t>
      </w:r>
      <w:r>
        <w:rPr>
          <w:noProof/>
        </w:rPr>
        <w:t xml:space="preserve">stādei informācija par izmaiņām. Kustības grafiku vai intervālu izmaiņas, kas ietekmē laiku, kad tiek veikta kontrole uz robežām starp Pusēm vai uz robežām ar trešām valstīm, neuzskata par sīkām izmaiņām. </w:t>
      </w:r>
    </w:p>
    <w:p w:rsidR="003E022D" w:rsidRDefault="007D19D6">
      <w:pPr>
        <w:pStyle w:val="Article"/>
        <w:rPr>
          <w:noProof/>
        </w:rPr>
      </w:pPr>
      <w:r>
        <w:rPr>
          <w:noProof/>
        </w:rPr>
        <w:t>X+8. pants. Atļaujas spēka zaudēšana</w:t>
      </w:r>
      <w:r>
        <w:rPr>
          <w:noProof/>
          <w:color w:val="FF0000"/>
        </w:rPr>
        <w:t xml:space="preserve"> </w:t>
      </w:r>
    </w:p>
    <w:p w:rsidR="003E022D" w:rsidRDefault="007D19D6">
      <w:pPr>
        <w:numPr>
          <w:ilvl w:val="0"/>
          <w:numId w:val="407"/>
        </w:numPr>
        <w:ind w:left="0"/>
        <w:rPr>
          <w:noProof/>
        </w:rPr>
      </w:pPr>
      <w:r>
        <w:rPr>
          <w:noProof/>
        </w:rPr>
        <w:t>Neskarot X+6. panta 3. punktu, X+2. pantā norādītā pārvadāšanas atļauja zaudē spēku derīguma termiņa beigās vai trīs mēnešus pēc tam, kad atļaujas izdevējiestāde no atļaujas turētāja saņēmusi paziņojumu par nodomu izbeigt pārvadāšanu. Tādā paziņojumā iekļa</w:t>
      </w:r>
      <w:r>
        <w:rPr>
          <w:noProof/>
        </w:rPr>
        <w:t xml:space="preserve">uj pienācīgu pamatojumu. </w:t>
      </w:r>
    </w:p>
    <w:p w:rsidR="003E022D" w:rsidRDefault="007D19D6">
      <w:pPr>
        <w:numPr>
          <w:ilvl w:val="0"/>
          <w:numId w:val="407"/>
        </w:numPr>
        <w:ind w:left="0"/>
        <w:rPr>
          <w:noProof/>
        </w:rPr>
      </w:pPr>
      <w:r>
        <w:rPr>
          <w:noProof/>
        </w:rPr>
        <w:t xml:space="preserve">Ja pieprasījums pēc pakalpojuma vairs nepastāv, 1. punktā paredzētais paziņošanas periods ir viens mēnesis. </w:t>
      </w:r>
    </w:p>
    <w:p w:rsidR="003E022D" w:rsidRDefault="007D19D6">
      <w:pPr>
        <w:numPr>
          <w:ilvl w:val="0"/>
          <w:numId w:val="407"/>
        </w:numPr>
        <w:ind w:left="0"/>
        <w:rPr>
          <w:noProof/>
        </w:rPr>
      </w:pPr>
      <w:r>
        <w:rPr>
          <w:noProof/>
        </w:rPr>
        <w:t xml:space="preserve">Atļaujas izdevējiestāde paziņo otras Puses kompetentajām iestādēm, ka atļauja zaudējusi spēku. </w:t>
      </w:r>
    </w:p>
    <w:p w:rsidR="003E022D" w:rsidRDefault="007D19D6">
      <w:pPr>
        <w:numPr>
          <w:ilvl w:val="0"/>
          <w:numId w:val="407"/>
        </w:numPr>
        <w:ind w:left="0"/>
        <w:rPr>
          <w:noProof/>
        </w:rPr>
      </w:pPr>
      <w:r>
        <w:rPr>
          <w:noProof/>
        </w:rPr>
        <w:t>Atļaujas turētājs informē</w:t>
      </w:r>
      <w:r>
        <w:rPr>
          <w:noProof/>
        </w:rPr>
        <w:t xml:space="preserve"> attiecīgā pakalpojuma izmantotājus par tā sniegšanas izbeigšanu vienu mēnesi iepriekš, izmantojot attiecīgus plašsaziņas līdzekļus. </w:t>
      </w:r>
    </w:p>
    <w:p w:rsidR="003E022D" w:rsidRDefault="007D19D6">
      <w:pPr>
        <w:pStyle w:val="Article"/>
        <w:rPr>
          <w:noProof/>
        </w:rPr>
      </w:pPr>
      <w:r>
        <w:rPr>
          <w:noProof/>
        </w:rPr>
        <w:t>X+9. pants. Pārvadātāju pienākumi</w:t>
      </w:r>
      <w:r>
        <w:rPr>
          <w:noProof/>
          <w:color w:val="FF0000"/>
        </w:rPr>
        <w:t xml:space="preserve"> </w:t>
      </w:r>
    </w:p>
    <w:p w:rsidR="003E022D" w:rsidRDefault="007D19D6">
      <w:pPr>
        <w:numPr>
          <w:ilvl w:val="0"/>
          <w:numId w:val="408"/>
        </w:numPr>
        <w:ind w:left="0"/>
        <w:rPr>
          <w:noProof/>
        </w:rPr>
      </w:pPr>
      <w:r>
        <w:rPr>
          <w:noProof/>
        </w:rPr>
        <w:t>Izņemot nepārvaramas varas gadījumu, Puses pasažieru autopārvadātājs, kas veic X+2. pan</w:t>
      </w:r>
      <w:r>
        <w:rPr>
          <w:noProof/>
        </w:rPr>
        <w:t>tā minētos pārvadājumus, pārvadājumu sāk nekavējoties un līdz atļaujas derīguma beigām veic visus pasākumus, kas garantē transporta pakalpojumu, kurš atbilst nepārtrauktības, regularitātes un pārvadāšanas jaudas standartiem un nosacījumiem, kas norādīti sa</w:t>
      </w:r>
      <w:r>
        <w:rPr>
          <w:noProof/>
        </w:rPr>
        <w:t>skaņā ar X+4. panta 6. punktu un ROAD-2. pielikumu.</w:t>
      </w:r>
      <w:r>
        <w:rPr>
          <w:noProof/>
          <w:color w:val="000000" w:themeColor="text1"/>
        </w:rPr>
        <w:t xml:space="preserve"> </w:t>
      </w:r>
    </w:p>
    <w:p w:rsidR="003E022D" w:rsidRDefault="007D19D6">
      <w:pPr>
        <w:numPr>
          <w:ilvl w:val="0"/>
          <w:numId w:val="408"/>
        </w:numPr>
        <w:ind w:left="0"/>
        <w:rPr>
          <w:noProof/>
        </w:rPr>
      </w:pPr>
      <w:r>
        <w:rPr>
          <w:noProof/>
        </w:rPr>
        <w:t>Puses pasažieru autopārvadātājs pārvadājuma maršrutu, autobusu pieturvietas, kustības grafiku, braukšanas maksu un pārvadāšanas nosacījumus atspoguļo tā, lai nodrošinātu, ka informācija ir viegli pieejam</w:t>
      </w:r>
      <w:r>
        <w:rPr>
          <w:noProof/>
        </w:rPr>
        <w:t xml:space="preserve">a visiem lietotājiem. </w:t>
      </w:r>
    </w:p>
    <w:p w:rsidR="003E022D" w:rsidRDefault="007D19D6">
      <w:pPr>
        <w:numPr>
          <w:ilvl w:val="0"/>
          <w:numId w:val="408"/>
        </w:numPr>
        <w:ind w:left="0"/>
        <w:rPr>
          <w:noProof/>
        </w:rPr>
      </w:pPr>
      <w:r>
        <w:rPr>
          <w:noProof/>
        </w:rPr>
        <w:t xml:space="preserve">Pusēm ir iespēja izdarīt izmaiņas ekspluatācijas noteikumos, kas reglamentē X+2. pantā norādītos pakalpojumus, vienojoties savā starpā un ar atļaujas turētāju. </w:t>
      </w:r>
    </w:p>
    <w:p w:rsidR="003E022D" w:rsidRDefault="007D19D6">
      <w:pPr>
        <w:pStyle w:val="Article"/>
        <w:rPr>
          <w:noProof/>
        </w:rPr>
      </w:pPr>
      <w:r>
        <w:rPr>
          <w:noProof/>
        </w:rPr>
        <w:t xml:space="preserve">X+10. pants. Autobusā glabājamie dokumenti </w:t>
      </w:r>
    </w:p>
    <w:p w:rsidR="003E022D" w:rsidRDefault="007D19D6">
      <w:pPr>
        <w:numPr>
          <w:ilvl w:val="0"/>
          <w:numId w:val="409"/>
        </w:numPr>
        <w:ind w:left="0"/>
        <w:rPr>
          <w:noProof/>
        </w:rPr>
      </w:pPr>
      <w:r>
        <w:rPr>
          <w:noProof/>
        </w:rPr>
        <w:t>Neskarot X+4. panta 8. punkt</w:t>
      </w:r>
      <w:r>
        <w:rPr>
          <w:noProof/>
        </w:rPr>
        <w:t xml:space="preserve">u, autobusā glabā un pēc attiecīgi pilnvarota inspektora pieprasījuma uzrāda X+2. pantā norādīto pārvadājumu atļauju vai tās apliecinātu kopiju un pārvadātāja starptautiskai pasažieru pārvadāšanai ar autobusiem, kas izdota saskaņā ar valsts vai Savienības </w:t>
      </w:r>
      <w:r>
        <w:rPr>
          <w:noProof/>
        </w:rPr>
        <w:t xml:space="preserve">tiesību normām, vai tās apliecinātu kopiju. </w:t>
      </w:r>
    </w:p>
    <w:p w:rsidR="003E022D" w:rsidRDefault="007D19D6">
      <w:pPr>
        <w:numPr>
          <w:ilvl w:val="0"/>
          <w:numId w:val="409"/>
        </w:numPr>
        <w:ind w:left="0"/>
        <w:rPr>
          <w:noProof/>
        </w:rPr>
      </w:pPr>
      <w:r>
        <w:rPr>
          <w:noProof/>
        </w:rPr>
        <w:t>Neskarot 1. punktu, kā arī X+4. panta 8. punktu, speciālo regulāro pārvadājumu gadījumā transportlīdzeklī glabā un pēc pieprasījuma attiecīgi pilnvarotam kontroles darbiniekam uzrāda starp pasažieru autopārvadāj</w:t>
      </w:r>
      <w:r>
        <w:rPr>
          <w:noProof/>
        </w:rPr>
        <w:t xml:space="preserve">umu organizētāju un pārvadātāju noslēgto līgumu vai tā kopiju, kā arī dokumentu, kas apliecina, ka speciālo regulāro pārvadājumu pasažieri ir īpaša pasažieru kategorija, no kuras izslēgti citi pasažieri, un minētie dokumenti arī ir kontroles dokumenti. </w:t>
      </w:r>
    </w:p>
    <w:p w:rsidR="003E022D" w:rsidRDefault="007D19D6">
      <w:pPr>
        <w:numPr>
          <w:ilvl w:val="0"/>
          <w:numId w:val="409"/>
        </w:numPr>
        <w:ind w:left="0"/>
        <w:rPr>
          <w:rFonts w:asciiTheme="minorHAnsi" w:hAnsiTheme="minorHAnsi" w:cstheme="minorHAnsi"/>
          <w:noProof/>
        </w:rPr>
      </w:pPr>
      <w:r>
        <w:rPr>
          <w:rFonts w:asciiTheme="minorHAnsi" w:hAnsiTheme="minorHAnsi"/>
          <w:noProof/>
        </w:rPr>
        <w:t>Pa</w:t>
      </w:r>
      <w:r>
        <w:rPr>
          <w:rFonts w:asciiTheme="minorHAnsi" w:hAnsiTheme="minorHAnsi"/>
          <w:noProof/>
        </w:rPr>
        <w:t>sažieru autopārvadātājiem, kas sniedz neregulārus pakalpojumus saskaņā ar X+2. panta 6. un 7. punktu, ir klāt pēc ROAD-4. pielikuma parauga aizpildīts brauciena formulārs. Brauciena formulāru grāmatiņas izsniedz tās teritorijas kompetentā iestāde, kurā pār</w:t>
      </w:r>
      <w:r>
        <w:rPr>
          <w:rFonts w:asciiTheme="minorHAnsi" w:hAnsiTheme="minorHAnsi"/>
          <w:noProof/>
        </w:rPr>
        <w:t>vadātājs ir reģistrēts, vai kompetentās iestādes norīkotas struktūras.</w:t>
      </w:r>
    </w:p>
    <w:p w:rsidR="003E022D" w:rsidRDefault="007D19D6">
      <w:pPr>
        <w:pStyle w:val="Article"/>
        <w:rPr>
          <w:noProof/>
        </w:rPr>
      </w:pPr>
      <w:r>
        <w:rPr>
          <w:noProof/>
        </w:rPr>
        <w:t xml:space="preserve">X+11. pants. Ceļu satiksmes noteikumi </w:t>
      </w:r>
    </w:p>
    <w:p w:rsidR="003E022D" w:rsidRDefault="007D19D6">
      <w:pPr>
        <w:rPr>
          <w:noProof/>
          <w:color w:val="000000" w:themeColor="text1"/>
        </w:rPr>
      </w:pPr>
      <w:r>
        <w:rPr>
          <w:noProof/>
        </w:rPr>
        <w:t>Autobusu vadītāji, kas nodarbojas ar pasažieru pārvadāšanu saskaņā ar šo sadaļu, otras Puses teritorijā ievēro valsts normatīvos aktus, kas minēta</w:t>
      </w:r>
      <w:r>
        <w:rPr>
          <w:noProof/>
        </w:rPr>
        <w:t>jā teritorijā ir spēkā ceļu satiksmē.</w:t>
      </w:r>
      <w:r>
        <w:rPr>
          <w:noProof/>
          <w:color w:val="000000" w:themeColor="text1"/>
        </w:rPr>
        <w:t xml:space="preserve"> </w:t>
      </w:r>
    </w:p>
    <w:p w:rsidR="003E022D" w:rsidRDefault="007D19D6">
      <w:pPr>
        <w:pStyle w:val="Article"/>
        <w:rPr>
          <w:noProof/>
        </w:rPr>
      </w:pPr>
      <w:r>
        <w:rPr>
          <w:noProof/>
        </w:rPr>
        <w:t xml:space="preserve">X+12. pants. Piemērošanas joma </w:t>
      </w:r>
    </w:p>
    <w:p w:rsidR="003E022D" w:rsidRDefault="007D19D6">
      <w:pPr>
        <w:rPr>
          <w:noProof/>
          <w:color w:val="4F81BD" w:themeColor="accent1"/>
        </w:rPr>
      </w:pPr>
      <w:r>
        <w:rPr>
          <w:noProof/>
        </w:rPr>
        <w:t xml:space="preserve">Šīs sadaļas noteikumus vairs nepiemēro no dienas, kad attiecībā uz Apvienoto Karalisti stājas spēkā nolīguma “Interbus” protokols par regulārajiem un speciālajiem starptautiskajiem </w:t>
      </w:r>
      <w:r>
        <w:rPr>
          <w:noProof/>
        </w:rPr>
        <w:t>pasažieru pārvadājumiem ar autobusiem, vai sešus mēnešus pēc minētā protokola stāšanās spēkā attiecībā uz Savienību, atkarībā no tā, kas notiek agrāk, izņemot darbības saskaņā ar X+2. panta 2. punktu; X+2. panta 5. punktu; X+2. panta 6. punktu un X+2. pant</w:t>
      </w:r>
      <w:r>
        <w:rPr>
          <w:noProof/>
        </w:rPr>
        <w:t>a 7. punktu.</w:t>
      </w:r>
    </w:p>
    <w:p w:rsidR="003E022D" w:rsidRDefault="007D19D6">
      <w:pPr>
        <w:pStyle w:val="Article"/>
        <w:rPr>
          <w:noProof/>
        </w:rPr>
      </w:pPr>
      <w:r>
        <w:rPr>
          <w:noProof/>
        </w:rPr>
        <w:t xml:space="preserve">X+13. pants. Pienākumi citās sadaļās </w:t>
      </w:r>
    </w:p>
    <w:p w:rsidR="003E022D" w:rsidRDefault="007D19D6">
      <w:pPr>
        <w:rPr>
          <w:noProof/>
        </w:rPr>
      </w:pPr>
      <w:r>
        <w:rPr>
          <w:noProof/>
        </w:rPr>
        <w:t>Otrās daļas pirmā temata II sadaļas trešās nodaļas SERVIN.3.2. pants [Piekļuve tirgum] un SERVIN.3.4. pants [Valsts režīms] tiek iekļauti šajā sadaļā un kļūst par tās sastāvdaļu, un attiecas uz režīmu auto</w:t>
      </w:r>
      <w:r>
        <w:rPr>
          <w:noProof/>
        </w:rPr>
        <w:t xml:space="preserve">pārvadātājiem, kuri veic braucienus saskaņā ar šīs sadaļas X+2. pantu. </w:t>
      </w:r>
    </w:p>
    <w:p w:rsidR="003E022D" w:rsidRDefault="007D19D6">
      <w:pPr>
        <w:pStyle w:val="Article"/>
        <w:rPr>
          <w:noProof/>
        </w:rPr>
      </w:pPr>
      <w:r>
        <w:rPr>
          <w:noProof/>
        </w:rPr>
        <w:t xml:space="preserve">X+14. pants. Specializētā komiteja </w:t>
      </w:r>
    </w:p>
    <w:p w:rsidR="003E022D" w:rsidRDefault="007D19D6">
      <w:pPr>
        <w:spacing w:after="0"/>
        <w:rPr>
          <w:rFonts w:asciiTheme="majorHAnsi" w:hAnsiTheme="majorHAnsi"/>
          <w:noProof/>
        </w:rPr>
      </w:pPr>
      <w:r>
        <w:rPr>
          <w:noProof/>
        </w:rPr>
        <w:t>Specializētā autotransporta komiteja var grozīt ROAD-2., ROAD-3. un ROAD-4. pielikumu, ņemot vērā regulējuma pārmaiņas.</w:t>
      </w:r>
      <w:r>
        <w:rPr>
          <w:noProof/>
          <w:color w:val="000000" w:themeColor="text1"/>
        </w:rPr>
        <w:t xml:space="preserve"> Tā var noteikt pasākumus, ka</w:t>
      </w:r>
      <w:r>
        <w:rPr>
          <w:noProof/>
          <w:color w:val="000000" w:themeColor="text1"/>
        </w:rPr>
        <w:t>s attiecas uz šīs sadaļas īstenošanu.</w:t>
      </w:r>
    </w:p>
    <w:p w:rsidR="003E022D" w:rsidRDefault="007D19D6">
      <w:pPr>
        <w:spacing w:after="0"/>
        <w:rPr>
          <w:noProof/>
          <w:szCs w:val="32"/>
        </w:rPr>
      </w:pPr>
      <w:r>
        <w:rPr>
          <w:noProof/>
        </w:rPr>
        <w:br w:type="page"/>
      </w:r>
    </w:p>
    <w:p w:rsidR="003E022D" w:rsidRDefault="007D19D6">
      <w:pPr>
        <w:pStyle w:val="Heading"/>
        <w:rPr>
          <w:noProof/>
        </w:rPr>
      </w:pPr>
      <w:bookmarkStart w:id="228" w:name="_Toc59988356"/>
      <w:r>
        <w:rPr>
          <w:noProof/>
        </w:rPr>
        <w:t>CETURTAIS TEMATS. SOCIĀLĀ NODROŠINĀJUMA KOORDINĀCIJA UN VĪZAS ĪSTERMIŅA APMEKLĒJUMIEM</w:t>
      </w:r>
      <w:bookmarkEnd w:id="228"/>
    </w:p>
    <w:p w:rsidR="003E022D" w:rsidRDefault="007D19D6">
      <w:pPr>
        <w:pStyle w:val="Title1"/>
        <w:rPr>
          <w:noProof/>
        </w:rPr>
      </w:pPr>
      <w:bookmarkStart w:id="229" w:name="_Toc59641762"/>
      <w:bookmarkStart w:id="230" w:name="_Toc59988357"/>
      <w:r>
        <w:rPr>
          <w:noProof/>
        </w:rPr>
        <w:t>I sadaļa. Sociālā nodrošinājuma koordinācija</w:t>
      </w:r>
      <w:bookmarkEnd w:id="229"/>
      <w:bookmarkEnd w:id="230"/>
    </w:p>
    <w:p w:rsidR="003E022D" w:rsidRDefault="007D19D6">
      <w:pPr>
        <w:pStyle w:val="Article"/>
        <w:rPr>
          <w:noProof/>
        </w:rPr>
      </w:pPr>
      <w:r>
        <w:rPr>
          <w:noProof/>
        </w:rPr>
        <w:t>Ch.SSC.1. pants. Pārskats</w:t>
      </w:r>
    </w:p>
    <w:p w:rsidR="003E022D" w:rsidRDefault="007D19D6">
      <w:pPr>
        <w:rPr>
          <w:rFonts w:asciiTheme="majorHAnsi" w:eastAsia="Arial" w:hAnsiTheme="majorHAnsi" w:cs="Arial"/>
          <w:b/>
          <w:noProof/>
        </w:rPr>
      </w:pPr>
      <w:r>
        <w:rPr>
          <w:noProof/>
        </w:rPr>
        <w:t xml:space="preserve">Dalībvalstis un Apvienotā Karaliste koordinē savas sociālā </w:t>
      </w:r>
      <w:r>
        <w:rPr>
          <w:noProof/>
        </w:rPr>
        <w:t>nodrošinājuma sistēmas saskaņā ar Protokolu par sociālā nodrošinājuma koordinēšanu, lai nodrošinātu personu, uz kurām attiecas šīs sistēmas, tiesības uz sociālo nodrošinājumu.</w:t>
      </w:r>
    </w:p>
    <w:p w:rsidR="003E022D" w:rsidRDefault="007D19D6">
      <w:pPr>
        <w:pStyle w:val="Article"/>
        <w:rPr>
          <w:noProof/>
        </w:rPr>
      </w:pPr>
      <w:r>
        <w:rPr>
          <w:noProof/>
        </w:rPr>
        <w:t>Ch.SSC.2. pants. Likumīga dzīvesvieta</w:t>
      </w:r>
    </w:p>
    <w:p w:rsidR="003E022D" w:rsidRDefault="007D19D6">
      <w:pPr>
        <w:rPr>
          <w:rFonts w:eastAsia="Calibri" w:cs="Calibri"/>
          <w:noProof/>
          <w:color w:val="000000"/>
        </w:rPr>
      </w:pPr>
      <w:r>
        <w:rPr>
          <w:noProof/>
          <w:color w:val="000000"/>
        </w:rPr>
        <w:t>1.</w:t>
      </w:r>
      <w:r>
        <w:rPr>
          <w:noProof/>
        </w:rPr>
        <w:tab/>
        <w:t xml:space="preserve">Protokolu par sociālā nodrošinājuma </w:t>
      </w:r>
      <w:r>
        <w:rPr>
          <w:noProof/>
        </w:rPr>
        <w:t>koordinēšanu piemēro personām, kas likumīgi dzīvo kādā dalībvalstī vai Apvienotajā Karalistē.</w:t>
      </w:r>
    </w:p>
    <w:p w:rsidR="003E022D" w:rsidRDefault="007D19D6">
      <w:pPr>
        <w:rPr>
          <w:rFonts w:asciiTheme="majorHAnsi" w:eastAsia="Arial" w:hAnsiTheme="majorHAnsi" w:cs="Arial"/>
          <w:noProof/>
          <w:color w:val="000000"/>
        </w:rPr>
      </w:pPr>
      <w:r>
        <w:rPr>
          <w:noProof/>
          <w:color w:val="000000"/>
        </w:rPr>
        <w:t>2.</w:t>
      </w:r>
      <w:r>
        <w:rPr>
          <w:noProof/>
        </w:rPr>
        <w:tab/>
        <w:t>Šā panta 1. punkts neskar tiesības uz naudas pabalstiem, kas attiecas uz iepriekšējiem tādu personu likumīgas dzīvesvietas periodiem, uz kurām attiecas Protoko</w:t>
      </w:r>
      <w:r>
        <w:rPr>
          <w:noProof/>
        </w:rPr>
        <w:t>la par sociālā nodrošinājuma koordinēšanu SSC.2. pants [Personas, uz kurām attiecas šis protokols].</w:t>
      </w:r>
    </w:p>
    <w:p w:rsidR="003E022D" w:rsidRDefault="007D19D6">
      <w:pPr>
        <w:pStyle w:val="Article"/>
        <w:rPr>
          <w:noProof/>
        </w:rPr>
      </w:pPr>
      <w:r>
        <w:rPr>
          <w:noProof/>
        </w:rPr>
        <w:t>Ch.SSC.3. pants. Pārrobežu situācijas</w:t>
      </w:r>
    </w:p>
    <w:p w:rsidR="003E022D" w:rsidRDefault="007D19D6">
      <w:pPr>
        <w:rPr>
          <w:rFonts w:eastAsia="Calibri" w:cs="Calibri"/>
          <w:noProof/>
          <w:color w:val="000000"/>
        </w:rPr>
      </w:pPr>
      <w:r>
        <w:rPr>
          <w:noProof/>
          <w:color w:val="000000"/>
        </w:rPr>
        <w:t>1.</w:t>
      </w:r>
      <w:r>
        <w:rPr>
          <w:noProof/>
        </w:rPr>
        <w:tab/>
      </w:r>
      <w:r>
        <w:rPr>
          <w:noProof/>
          <w:color w:val="000000"/>
        </w:rPr>
        <w:t>Protokolu par sociālā nodrošinājuma koordinēšanu piemēro tikai situācijās, kas rodas starp vienu vai vairākām Savie</w:t>
      </w:r>
      <w:r>
        <w:rPr>
          <w:noProof/>
          <w:color w:val="000000"/>
        </w:rPr>
        <w:t>nības dalībvalstīm un Apvienoto Karalisti.</w:t>
      </w:r>
    </w:p>
    <w:p w:rsidR="003E022D" w:rsidRDefault="007D19D6">
      <w:pPr>
        <w:rPr>
          <w:rFonts w:asciiTheme="majorHAnsi" w:eastAsia="Arial" w:hAnsiTheme="majorHAnsi" w:cs="Arial"/>
          <w:noProof/>
          <w:color w:val="000000"/>
        </w:rPr>
      </w:pPr>
      <w:r>
        <w:rPr>
          <w:noProof/>
          <w:color w:val="000000"/>
        </w:rPr>
        <w:t>2.</w:t>
      </w:r>
      <w:r>
        <w:rPr>
          <w:noProof/>
        </w:rPr>
        <w:tab/>
      </w:r>
      <w:r>
        <w:rPr>
          <w:noProof/>
          <w:color w:val="000000"/>
        </w:rPr>
        <w:t>Protokolu par sociālā nodrošinājuma koordinēšanu nepiemēro personām, kuru stāvoklis visos aspektos attiecas vai nu uz Apvienoto Karalisti, vai uz dalībvalstīm.</w:t>
      </w:r>
    </w:p>
    <w:p w:rsidR="003E022D" w:rsidRDefault="007D19D6">
      <w:pPr>
        <w:pStyle w:val="Article"/>
        <w:rPr>
          <w:noProof/>
        </w:rPr>
      </w:pPr>
      <w:r>
        <w:rPr>
          <w:noProof/>
        </w:rPr>
        <w:t>Ch.SSC.4. pants. Imigrācijas pieteikumi</w:t>
      </w:r>
    </w:p>
    <w:p w:rsidR="003E022D" w:rsidRDefault="007D19D6">
      <w:pPr>
        <w:spacing w:after="0"/>
        <w:rPr>
          <w:rFonts w:eastAsia="Calibri" w:cs="Calibri"/>
          <w:noProof/>
        </w:rPr>
      </w:pPr>
      <w:r>
        <w:rPr>
          <w:noProof/>
        </w:rPr>
        <w:t xml:space="preserve">Protokolu </w:t>
      </w:r>
      <w:r>
        <w:rPr>
          <w:noProof/>
        </w:rPr>
        <w:t>par sociālā nodrošinājuma koordinēšanu piemēro, neskarot dalībvalsts vai Apvienotās Karalistes tiesības iekasēt veselības aprūpes maksu saskaņā ar valsts tiesību aktiem saistībā ar pieteikumu atļaujai ieceļot, uzturēties, strādāt vai dzīvot šajā valstī.</w:t>
      </w:r>
    </w:p>
    <w:p w:rsidR="003E022D" w:rsidRDefault="003E022D">
      <w:pPr>
        <w:spacing w:after="0"/>
        <w:rPr>
          <w:rFonts w:eastAsia="Calibri" w:cs="Calibri"/>
          <w:noProof/>
        </w:rPr>
      </w:pPr>
    </w:p>
    <w:p w:rsidR="003E022D" w:rsidRDefault="007D19D6">
      <w:pPr>
        <w:pStyle w:val="Title1"/>
        <w:rPr>
          <w:noProof/>
        </w:rPr>
      </w:pPr>
      <w:bookmarkStart w:id="231" w:name="_Toc59988358"/>
      <w:r>
        <w:rPr>
          <w:noProof/>
        </w:rPr>
        <w:t>I</w:t>
      </w:r>
      <w:r>
        <w:rPr>
          <w:noProof/>
        </w:rPr>
        <w:t>I sadaļa. Vīzas īstermiņa apmeklējumiem</w:t>
      </w:r>
      <w:bookmarkEnd w:id="231"/>
    </w:p>
    <w:p w:rsidR="003E022D" w:rsidRDefault="007D19D6">
      <w:pPr>
        <w:pStyle w:val="Article"/>
        <w:rPr>
          <w:noProof/>
        </w:rPr>
      </w:pPr>
      <w:r>
        <w:rPr>
          <w:noProof/>
        </w:rPr>
        <w:t>VSTV.1. pants Vīzas īstermiņa apmeklējumiem</w:t>
      </w:r>
    </w:p>
    <w:p w:rsidR="003E022D" w:rsidRDefault="007D19D6">
      <w:pPr>
        <w:rPr>
          <w:rFonts w:eastAsia="Calibri" w:cs="Calibri"/>
          <w:noProof/>
          <w:color w:val="000000"/>
        </w:rPr>
      </w:pPr>
      <w:r>
        <w:rPr>
          <w:noProof/>
          <w:color w:val="000000"/>
        </w:rPr>
        <w:t>1.</w:t>
      </w:r>
      <w:r>
        <w:rPr>
          <w:noProof/>
        </w:rPr>
        <w:tab/>
      </w:r>
      <w:r>
        <w:rPr>
          <w:noProof/>
          <w:color w:val="000000"/>
        </w:rPr>
        <w:t>Puses atzīmē, ka šā nolīguma spēkā stāšanās dienā abas Puses paredz bezvīzu ceļošanu īstermiņa apmeklējumiem attiecībā uz saviem valstspiederīgajiem saskaņā ar saviem tiesību aktiem.   Katra Puse laikus un, ja iespējams, vismaz trīs mēnešus pirms šādas pra</w:t>
      </w:r>
      <w:r>
        <w:rPr>
          <w:noProof/>
          <w:color w:val="000000"/>
        </w:rPr>
        <w:t xml:space="preserve">sības stāšanās spēkā paziņo otrai Pusei par jebkādu nodomu otras Puses valstspiederīgajiem noteikt vīzas prasību īstermiņa apmeklējumiem.  </w:t>
      </w:r>
    </w:p>
    <w:p w:rsidR="003E022D" w:rsidRDefault="007D19D6">
      <w:pPr>
        <w:rPr>
          <w:rFonts w:eastAsia="Calibri" w:cs="Calibri"/>
          <w:noProof/>
          <w:color w:val="000000"/>
        </w:rPr>
      </w:pPr>
      <w:r>
        <w:rPr>
          <w:noProof/>
          <w:color w:val="000000"/>
        </w:rPr>
        <w:t>2.</w:t>
      </w:r>
      <w:r>
        <w:rPr>
          <w:noProof/>
        </w:rPr>
        <w:tab/>
      </w:r>
      <w:r>
        <w:rPr>
          <w:noProof/>
          <w:color w:val="000000"/>
        </w:rPr>
        <w:t>Ievērojot 3. punktu un FINPROV.10. pantu [Savienības paplašināšanās nākotnē], gadījumā, ja Apvienotā Karaliste no</w:t>
      </w:r>
      <w:r>
        <w:rPr>
          <w:noProof/>
          <w:color w:val="000000"/>
        </w:rPr>
        <w:t xml:space="preserve">lemj dalībvalsts valstspiederīgajiem piemērot vīzas prasību īstermiņa apmeklējumiem, šāda prasība attiecas uz visu dalībvalstu valstspiederīgajiem. </w:t>
      </w:r>
    </w:p>
    <w:p w:rsidR="003E022D" w:rsidRDefault="007D19D6">
      <w:pPr>
        <w:rPr>
          <w:rFonts w:eastAsia="Calibri" w:cs="Calibri"/>
          <w:noProof/>
          <w:color w:val="000000"/>
        </w:rPr>
      </w:pPr>
      <w:r>
        <w:rPr>
          <w:noProof/>
          <w:color w:val="000000"/>
        </w:rPr>
        <w:t>3.</w:t>
      </w:r>
      <w:r>
        <w:rPr>
          <w:noProof/>
        </w:rPr>
        <w:tab/>
      </w:r>
      <w:r>
        <w:rPr>
          <w:noProof/>
          <w:color w:val="000000"/>
        </w:rPr>
        <w:t>Šis pants neskar vienošanās, kas panāktas starp Apvienoto Karalisti un Īriju par kopējo ceļošanas telpu.</w:t>
      </w:r>
    </w:p>
    <w:p w:rsidR="003E022D" w:rsidRDefault="007D19D6">
      <w:pPr>
        <w:pStyle w:val="Heading"/>
        <w:rPr>
          <w:noProof/>
        </w:rPr>
      </w:pPr>
      <w:r>
        <w:rPr>
          <w:noProof/>
        </w:rPr>
        <w:br w:type="page"/>
      </w:r>
      <w:bookmarkStart w:id="232" w:name="_Toc59988359"/>
      <w:r>
        <w:rPr>
          <w:noProof/>
        </w:rPr>
        <w:t>PIEKTAIS TEMATS. ZVEJNIECĪBA</w:t>
      </w:r>
      <w:bookmarkEnd w:id="232"/>
    </w:p>
    <w:p w:rsidR="003E022D" w:rsidRDefault="007D19D6">
      <w:pPr>
        <w:pStyle w:val="Chapter"/>
        <w:rPr>
          <w:noProof/>
        </w:rPr>
      </w:pPr>
      <w:r>
        <w:rPr>
          <w:noProof/>
        </w:rPr>
        <w:t>Pirmā nodaļa. Ievadnoteikumi</w:t>
      </w:r>
    </w:p>
    <w:p w:rsidR="003E022D" w:rsidRDefault="007D19D6">
      <w:pPr>
        <w:pStyle w:val="Article"/>
        <w:rPr>
          <w:noProof/>
        </w:rPr>
      </w:pPr>
      <w:r>
        <w:rPr>
          <w:noProof/>
        </w:rPr>
        <w:t>FISH.1. pants. Piekrastes valstu suverēnās tiesības, ko īsteno Puses</w:t>
      </w:r>
    </w:p>
    <w:p w:rsidR="003E022D" w:rsidRDefault="007D19D6">
      <w:pPr>
        <w:rPr>
          <w:noProof/>
          <w:sz w:val="18"/>
          <w:szCs w:val="18"/>
        </w:rPr>
      </w:pPr>
      <w:r>
        <w:rPr>
          <w:noProof/>
        </w:rPr>
        <w:t>Puses apstiprina, ka piekrastes valstu suverēnās tiesības, ko Puses īsteno to ūdeņos mītošo dzīvo resursu izpētīšanas, izmantoš</w:t>
      </w:r>
      <w:r>
        <w:rPr>
          <w:noProof/>
        </w:rPr>
        <w:t>anas, saglabāšanas un pārvaldības nolūkā, būtu jāizmanto, ievērojot starptautisko tiesību, tai skaitā Apvienoto Nāciju Organizācijas 1982. gada 10. decembra Jūras tiesību konvencijas, principus, un saskaņā ar šiem principiem.</w:t>
      </w:r>
    </w:p>
    <w:p w:rsidR="003E022D" w:rsidRDefault="007D19D6">
      <w:pPr>
        <w:pStyle w:val="Article"/>
        <w:rPr>
          <w:noProof/>
          <w:lang w:val="fr-BE"/>
        </w:rPr>
      </w:pPr>
      <w:r>
        <w:rPr>
          <w:noProof/>
          <w:lang w:val="fr-BE"/>
        </w:rPr>
        <w:t>FISH.2. pants. Mērķi un princi</w:t>
      </w:r>
      <w:r>
        <w:rPr>
          <w:noProof/>
          <w:lang w:val="fr-BE"/>
        </w:rPr>
        <w:t xml:space="preserve">pi </w:t>
      </w:r>
    </w:p>
    <w:p w:rsidR="003E022D" w:rsidRDefault="007D19D6">
      <w:pPr>
        <w:rPr>
          <w:noProof/>
          <w:lang w:val="fr-BE"/>
        </w:rPr>
      </w:pPr>
      <w:r>
        <w:rPr>
          <w:noProof/>
          <w:lang w:val="fr-BE"/>
        </w:rPr>
        <w:t xml:space="preserve">1. </w:t>
      </w:r>
      <w:r>
        <w:rPr>
          <w:noProof/>
          <w:lang w:val="fr-BE"/>
        </w:rPr>
        <w:tab/>
        <w:t>Puses sadarbojas, lai nodrošinātu, ka kopīgo krājumu zvejas darbības to attiecīgajos ūdeņos ir ilgtermiņā vidiski ilgtspējīgas, veicina ekonomiskos un sociālos ieguvumus, turklāt tiek veiktas, pilnībā ievērojot neatkarīgu piekrastes valstu tiesības</w:t>
      </w:r>
      <w:r>
        <w:rPr>
          <w:noProof/>
          <w:lang w:val="fr-BE"/>
        </w:rPr>
        <w:t xml:space="preserve"> un saistības, ko īsteno Puses.</w:t>
      </w:r>
    </w:p>
    <w:p w:rsidR="003E022D" w:rsidRDefault="007D19D6">
      <w:pPr>
        <w:rPr>
          <w:noProof/>
          <w:lang w:val="fr-BE"/>
        </w:rPr>
      </w:pPr>
      <w:r>
        <w:rPr>
          <w:noProof/>
          <w:lang w:val="fr-BE"/>
        </w:rPr>
        <w:t xml:space="preserve">2. </w:t>
      </w:r>
      <w:r>
        <w:rPr>
          <w:noProof/>
          <w:lang w:val="fr-BE"/>
        </w:rPr>
        <w:tab/>
        <w:t>Pusēm ir kopīgs mērķis izmantot kopīgos krājumus tādā intensitātē, kas paredzēta, lai uzturētu un pakāpeniski atjaunotu izmantojamo sugu populācijas virs biomasas līmeņa, kas var nodrošināt maksimālo ilgtspējīgas ieguves</w:t>
      </w:r>
      <w:r>
        <w:rPr>
          <w:noProof/>
          <w:lang w:val="fr-BE"/>
        </w:rPr>
        <w:t xml:space="preserve"> apjomu. </w:t>
      </w:r>
    </w:p>
    <w:p w:rsidR="003E022D" w:rsidRDefault="007D19D6">
      <w:pPr>
        <w:widowControl w:val="0"/>
        <w:pBdr>
          <w:top w:val="nil"/>
          <w:left w:val="nil"/>
          <w:bottom w:val="nil"/>
          <w:right w:val="nil"/>
          <w:between w:val="nil"/>
        </w:pBdr>
        <w:spacing w:before="248"/>
        <w:ind w:left="426" w:hanging="426"/>
        <w:rPr>
          <w:rFonts w:eastAsia="Calibri" w:cs="Calibri"/>
          <w:noProof/>
          <w:lang w:val="fr-BE"/>
        </w:rPr>
      </w:pPr>
      <w:r>
        <w:rPr>
          <w:noProof/>
          <w:lang w:val="fr-BE"/>
        </w:rPr>
        <w:t xml:space="preserve">3.         Puses ņem vērā šādus principus: </w:t>
      </w:r>
    </w:p>
    <w:p w:rsidR="003E022D" w:rsidRDefault="007D19D6">
      <w:pPr>
        <w:numPr>
          <w:ilvl w:val="0"/>
          <w:numId w:val="1365"/>
        </w:numPr>
        <w:ind w:left="567" w:hanging="567"/>
        <w:rPr>
          <w:rFonts w:eastAsia="Calibri" w:cs="Calibri"/>
          <w:noProof/>
          <w:lang w:val="fr-BE"/>
        </w:rPr>
      </w:pPr>
      <w:r>
        <w:rPr>
          <w:noProof/>
          <w:lang w:val="fr-BE"/>
        </w:rPr>
        <w:t xml:space="preserve">piemērot piesardzīgu pieeju zvejniecības pārvaldībā;  </w:t>
      </w:r>
    </w:p>
    <w:p w:rsidR="003E022D" w:rsidRDefault="007D19D6">
      <w:pPr>
        <w:numPr>
          <w:ilvl w:val="0"/>
          <w:numId w:val="1365"/>
        </w:numPr>
        <w:ind w:left="567" w:hanging="567"/>
        <w:rPr>
          <w:rFonts w:eastAsia="Calibri" w:cs="Calibri"/>
          <w:noProof/>
          <w:lang w:val="fr-BE"/>
        </w:rPr>
      </w:pPr>
      <w:r>
        <w:rPr>
          <w:noProof/>
          <w:lang w:val="fr-BE"/>
        </w:rPr>
        <w:t>veicināt ilgtermiņa (vidisko, sociālo un ekonomisko) ilgtspēju un kopīgo krājumu optimālu izmantošanu;</w:t>
      </w:r>
    </w:p>
    <w:p w:rsidR="003E022D" w:rsidRDefault="007D19D6">
      <w:pPr>
        <w:numPr>
          <w:ilvl w:val="0"/>
          <w:numId w:val="1365"/>
        </w:numPr>
        <w:ind w:left="567" w:hanging="567"/>
        <w:rPr>
          <w:rFonts w:eastAsia="Calibri" w:cs="Calibri"/>
          <w:noProof/>
          <w:lang w:val="fr-BE"/>
        </w:rPr>
      </w:pPr>
      <w:r>
        <w:rPr>
          <w:noProof/>
          <w:lang w:val="fr-BE"/>
        </w:rPr>
        <w:t xml:space="preserve">zvejniecībā piemērojamos saglabāšanas un </w:t>
      </w:r>
      <w:r>
        <w:rPr>
          <w:noProof/>
          <w:lang w:val="fr-BE"/>
        </w:rPr>
        <w:t>pārvaldības lēmumus balstīt uz labākajiem pieejamajiem zinātniskajiem ieteikumiem, galvenokārt tiem, ko sniegusi Starptautiskā Jūras pētniecības padome (</w:t>
      </w:r>
      <w:r>
        <w:rPr>
          <w:i/>
          <w:iCs/>
          <w:noProof/>
          <w:lang w:val="fr-BE"/>
        </w:rPr>
        <w:t>ICES</w:t>
      </w:r>
      <w:r>
        <w:rPr>
          <w:noProof/>
          <w:lang w:val="fr-BE"/>
        </w:rPr>
        <w:t>);</w:t>
      </w:r>
    </w:p>
    <w:p w:rsidR="003E022D" w:rsidRDefault="007D19D6">
      <w:pPr>
        <w:numPr>
          <w:ilvl w:val="0"/>
          <w:numId w:val="1365"/>
        </w:numPr>
        <w:ind w:left="567" w:hanging="567"/>
        <w:rPr>
          <w:rFonts w:eastAsia="Calibri" w:cs="Calibri"/>
          <w:noProof/>
          <w:lang w:val="fr-BE"/>
        </w:rPr>
      </w:pPr>
      <w:r>
        <w:rPr>
          <w:noProof/>
          <w:lang w:val="fr-BE"/>
        </w:rPr>
        <w:t>nodrošināt zvejniecību selektivitāti, lai tādējādi aizsargātu zivju mazuļus un zivju nārsta baru</w:t>
      </w:r>
      <w:r>
        <w:rPr>
          <w:noProof/>
          <w:lang w:val="fr-BE"/>
        </w:rPr>
        <w:t>s, nepieļautu un samazinātu nevēlamu piezveju;</w:t>
      </w:r>
    </w:p>
    <w:p w:rsidR="003E022D" w:rsidRDefault="007D19D6">
      <w:pPr>
        <w:numPr>
          <w:ilvl w:val="0"/>
          <w:numId w:val="1365"/>
        </w:numPr>
        <w:ind w:left="567" w:hanging="567"/>
        <w:rPr>
          <w:rFonts w:eastAsia="Calibri" w:cs="Calibri"/>
          <w:noProof/>
          <w:lang w:val="fr-BE"/>
        </w:rPr>
      </w:pPr>
      <w:r>
        <w:rPr>
          <w:noProof/>
          <w:lang w:val="fr-BE"/>
        </w:rPr>
        <w:t xml:space="preserve">pienācīgi ņemt vērā un līdz minimumam samazināt zvejas kaitīgo ietekmi uz jūras ekosistēmu un pienācīgi ņemt vērā vajadzību saglabāt jūras bioloģisko daudzveidību; </w:t>
      </w:r>
    </w:p>
    <w:p w:rsidR="003E022D" w:rsidRDefault="007D19D6">
      <w:pPr>
        <w:numPr>
          <w:ilvl w:val="0"/>
          <w:numId w:val="1365"/>
        </w:numPr>
        <w:ind w:left="567" w:hanging="567"/>
        <w:rPr>
          <w:rFonts w:eastAsia="Calibri" w:cs="Calibri"/>
          <w:noProof/>
          <w:lang w:val="fr-BE"/>
        </w:rPr>
      </w:pPr>
      <w:r>
        <w:rPr>
          <w:noProof/>
          <w:lang w:val="fr-BE"/>
        </w:rPr>
        <w:t>dzīvo jūras resursu saglabāšanā un zvejas re</w:t>
      </w:r>
      <w:r>
        <w:rPr>
          <w:noProof/>
          <w:lang w:val="fr-BE"/>
        </w:rPr>
        <w:t>sursu pārvaldībā piemērot samērīgus un nediskriminējošus pasākumus, vienlaikus saglabājot Pušu regulatīvo autonomiju;</w:t>
      </w:r>
    </w:p>
    <w:p w:rsidR="003E022D" w:rsidRDefault="007D19D6">
      <w:pPr>
        <w:numPr>
          <w:ilvl w:val="0"/>
          <w:numId w:val="1365"/>
        </w:numPr>
        <w:ind w:left="567" w:hanging="567"/>
        <w:rPr>
          <w:rFonts w:eastAsia="Calibri" w:cs="Calibri"/>
          <w:noProof/>
          <w:lang w:val="fr-BE"/>
        </w:rPr>
      </w:pPr>
      <w:r>
        <w:rPr>
          <w:noProof/>
          <w:lang w:val="fr-BE"/>
        </w:rPr>
        <w:t>nodrošināt, ka tiek vākti un savlaicīgi kopīgoti pilnīgi un pareizi dati, kas ir kopīgo krājumu saglabāšanai un zvejniecību pārvaldībai re</w:t>
      </w:r>
      <w:r>
        <w:rPr>
          <w:noProof/>
          <w:lang w:val="fr-BE"/>
        </w:rPr>
        <w:t>levanti;</w:t>
      </w:r>
    </w:p>
    <w:p w:rsidR="003E022D" w:rsidRDefault="007D19D6">
      <w:pPr>
        <w:numPr>
          <w:ilvl w:val="0"/>
          <w:numId w:val="1365"/>
        </w:numPr>
        <w:ind w:left="567" w:hanging="567"/>
        <w:rPr>
          <w:rFonts w:eastAsia="Calibri" w:cs="Calibri"/>
          <w:noProof/>
          <w:lang w:val="fr-BE"/>
        </w:rPr>
      </w:pPr>
      <w:r>
        <w:rPr>
          <w:noProof/>
          <w:lang w:val="fr-BE"/>
        </w:rPr>
        <w:t>nodrošināt atbilstību zvejniecībā piemērojamajiem saglabāšanas un pārvaldības pasākumiem un apkarot nelegālu, nereģistrētu un neregulētu zveju, un</w:t>
      </w:r>
    </w:p>
    <w:p w:rsidR="003E022D" w:rsidRDefault="007D19D6">
      <w:pPr>
        <w:numPr>
          <w:ilvl w:val="0"/>
          <w:numId w:val="1365"/>
        </w:numPr>
        <w:ind w:left="567" w:hanging="567"/>
        <w:rPr>
          <w:rFonts w:eastAsia="Calibri" w:cs="Calibri"/>
          <w:noProof/>
          <w:lang w:val="fr-BE"/>
        </w:rPr>
      </w:pPr>
      <w:r>
        <w:rPr>
          <w:noProof/>
          <w:lang w:val="fr-BE"/>
        </w:rPr>
        <w:t>nodrošināt visu saskaņoto pasākumu savlaicīgu ieviešanu Pušu tiesiskajā regulējumā.</w:t>
      </w:r>
    </w:p>
    <w:p w:rsidR="003E022D" w:rsidRDefault="007D19D6">
      <w:pPr>
        <w:pStyle w:val="Article"/>
        <w:rPr>
          <w:noProof/>
        </w:rPr>
      </w:pPr>
      <w:r>
        <w:rPr>
          <w:noProof/>
        </w:rPr>
        <w:t>FISH.3. pants. D</w:t>
      </w:r>
      <w:r>
        <w:rPr>
          <w:noProof/>
        </w:rPr>
        <w:t xml:space="preserve">efinīcijas </w:t>
      </w:r>
    </w:p>
    <w:p w:rsidR="003E022D" w:rsidRDefault="007D19D6">
      <w:pPr>
        <w:numPr>
          <w:ilvl w:val="0"/>
          <w:numId w:val="1367"/>
        </w:numPr>
        <w:ind w:left="0" w:firstLine="0"/>
        <w:rPr>
          <w:rFonts w:asciiTheme="minorHAnsi" w:hAnsiTheme="minorHAnsi" w:cstheme="minorHAnsi"/>
          <w:noProof/>
        </w:rPr>
      </w:pPr>
      <w:r>
        <w:rPr>
          <w:rFonts w:asciiTheme="minorHAnsi" w:hAnsiTheme="minorHAnsi"/>
          <w:noProof/>
        </w:rPr>
        <w:t xml:space="preserve">Šajā tematā piemēro šādas definīcijas: </w:t>
      </w:r>
    </w:p>
    <w:p w:rsidR="003E022D" w:rsidRDefault="007D19D6">
      <w:pPr>
        <w:numPr>
          <w:ilvl w:val="0"/>
          <w:numId w:val="1366"/>
        </w:numPr>
        <w:ind w:left="567" w:hanging="567"/>
        <w:rPr>
          <w:rFonts w:asciiTheme="minorHAnsi" w:hAnsiTheme="minorHAnsi" w:cstheme="minorHAnsi"/>
          <w:noProof/>
        </w:rPr>
      </w:pPr>
      <w:r>
        <w:rPr>
          <w:rFonts w:asciiTheme="minorHAnsi" w:hAnsiTheme="minorHAnsi"/>
          <w:noProof/>
        </w:rPr>
        <w:t>(Puses) “EEZ” saskaņā ar Apvienoto Nāciju Organizācijas 1982. gada 10. decembra Jūras tiesību konvenciju ir:</w:t>
      </w:r>
    </w:p>
    <w:p w:rsidR="003E022D" w:rsidRDefault="007D19D6">
      <w:pPr>
        <w:numPr>
          <w:ilvl w:val="1"/>
          <w:numId w:val="136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 xml:space="preserve">Savienības gadījumā – tās dalībvalstu Eiropas teritorijai piegulošās ekskluzīvās ekonomikas </w:t>
      </w:r>
      <w:r>
        <w:rPr>
          <w:rFonts w:asciiTheme="minorHAnsi" w:hAnsiTheme="minorHAnsi"/>
          <w:noProof/>
          <w:color w:val="000000"/>
          <w:u w:color="000000"/>
          <w:bdr w:val="nil"/>
        </w:rPr>
        <w:t>zonas, ko noteikušas dalībvalstis,</w:t>
      </w:r>
    </w:p>
    <w:p w:rsidR="003E022D" w:rsidRDefault="007D19D6">
      <w:pPr>
        <w:numPr>
          <w:ilvl w:val="1"/>
          <w:numId w:val="136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ekskluzīvā ekonomikas zona, ko noteikusi Apvienotā Karaliste;</w:t>
      </w:r>
    </w:p>
    <w:p w:rsidR="003E022D" w:rsidRDefault="007D19D6">
      <w:pPr>
        <w:numPr>
          <w:ilvl w:val="0"/>
          <w:numId w:val="1366"/>
        </w:numPr>
        <w:ind w:left="567" w:hanging="567"/>
        <w:rPr>
          <w:rFonts w:asciiTheme="minorHAnsi" w:hAnsiTheme="minorHAnsi" w:cstheme="minorHAnsi"/>
          <w:noProof/>
        </w:rPr>
      </w:pPr>
      <w:r>
        <w:rPr>
          <w:rFonts w:asciiTheme="minorHAnsi" w:hAnsiTheme="minorHAnsi"/>
          <w:noProof/>
        </w:rPr>
        <w:t>“piesardzīga pieeja zvejniecības pārvaldībā” ir pieeja, saskaņā ar kuru atbilstošas zinātniskās informācijas trūkums netiek izmantots par pamatojumu, lai atlik</w:t>
      </w:r>
      <w:r>
        <w:rPr>
          <w:rFonts w:asciiTheme="minorHAnsi" w:hAnsiTheme="minorHAnsi"/>
          <w:noProof/>
        </w:rPr>
        <w:t>tu vai neveiktu pārvaldības pasākumus, kuru mērķis ir saglabāt mērķsugas, saistītās vai atkarīgās sugas, nemērķa sugas un to vidi;</w:t>
      </w:r>
    </w:p>
    <w:p w:rsidR="003E022D" w:rsidRDefault="007D19D6">
      <w:pPr>
        <w:numPr>
          <w:ilvl w:val="0"/>
          <w:numId w:val="1366"/>
        </w:numPr>
        <w:ind w:left="567" w:hanging="567"/>
        <w:rPr>
          <w:rFonts w:asciiTheme="minorHAnsi" w:hAnsiTheme="minorHAnsi" w:cstheme="minorHAnsi"/>
          <w:noProof/>
        </w:rPr>
      </w:pPr>
      <w:r>
        <w:rPr>
          <w:rFonts w:asciiTheme="minorHAnsi" w:hAnsiTheme="minorHAnsi"/>
          <w:noProof/>
        </w:rPr>
        <w:t>“kopīgi krājumi” ir jebkāda veida zivis, arī jebkāda veida gliemji un vēžveidīgie, kas sastopami Pušu ūdeņos;</w:t>
      </w:r>
    </w:p>
    <w:p w:rsidR="003E022D" w:rsidRDefault="007D19D6">
      <w:pPr>
        <w:numPr>
          <w:ilvl w:val="0"/>
          <w:numId w:val="1366"/>
        </w:numPr>
        <w:ind w:left="567" w:hanging="567"/>
        <w:rPr>
          <w:rFonts w:asciiTheme="minorHAnsi" w:hAnsiTheme="minorHAnsi" w:cstheme="minorHAnsi"/>
          <w:noProof/>
        </w:rPr>
      </w:pPr>
      <w:r>
        <w:rPr>
          <w:rFonts w:asciiTheme="minorHAnsi" w:hAnsiTheme="minorHAnsi"/>
          <w:noProof/>
        </w:rPr>
        <w:t>“KPN” ir kopējā</w:t>
      </w:r>
      <w:r>
        <w:rPr>
          <w:rFonts w:asciiTheme="minorHAnsi" w:hAnsiTheme="minorHAnsi"/>
          <w:noProof/>
        </w:rPr>
        <w:t xml:space="preserve"> pieļaujamā nozveja, kas ir maksimālais daudzums, kādu noteiktā periodā var nozvejot no konkrēti definēta krājuma (vai krājumiem);</w:t>
      </w:r>
    </w:p>
    <w:p w:rsidR="003E022D" w:rsidRDefault="007D19D6">
      <w:pPr>
        <w:numPr>
          <w:ilvl w:val="0"/>
          <w:numId w:val="1366"/>
        </w:numPr>
        <w:ind w:left="567" w:hanging="567"/>
        <w:rPr>
          <w:rFonts w:asciiTheme="minorHAnsi" w:hAnsiTheme="minorHAnsi" w:cstheme="minorHAnsi"/>
          <w:noProof/>
        </w:rPr>
      </w:pPr>
      <w:r>
        <w:rPr>
          <w:rFonts w:asciiTheme="minorHAnsi" w:hAnsiTheme="minorHAnsi"/>
          <w:noProof/>
        </w:rPr>
        <w:t>“ārpuskvotas krājumi” ir krājumi, ko nepārvalda ar KPN palīdzību;</w:t>
      </w:r>
    </w:p>
    <w:p w:rsidR="003E022D" w:rsidRDefault="007D19D6">
      <w:pPr>
        <w:numPr>
          <w:ilvl w:val="0"/>
          <w:numId w:val="1366"/>
        </w:numPr>
        <w:ind w:left="567" w:hanging="567"/>
        <w:rPr>
          <w:rFonts w:asciiTheme="minorHAnsi" w:hAnsiTheme="minorHAnsi" w:cstheme="minorHAnsi"/>
          <w:noProof/>
        </w:rPr>
      </w:pPr>
      <w:r>
        <w:rPr>
          <w:rFonts w:asciiTheme="minorHAnsi" w:hAnsiTheme="minorHAnsi"/>
          <w:noProof/>
        </w:rPr>
        <w:t>(Puses) “teritoriālā jūra” saskaņā ar Apvienoto Nāciju Orga</w:t>
      </w:r>
      <w:r>
        <w:rPr>
          <w:rFonts w:asciiTheme="minorHAnsi" w:hAnsiTheme="minorHAnsi"/>
          <w:noProof/>
        </w:rPr>
        <w:t xml:space="preserve">nizācijas 1982. gada 10. decembra Jūras tiesību konvenciju ir: </w:t>
      </w:r>
    </w:p>
    <w:p w:rsidR="003E022D" w:rsidRDefault="007D19D6">
      <w:pPr>
        <w:numPr>
          <w:ilvl w:val="1"/>
          <w:numId w:val="136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Savienības gadījumā – atkāpjoties no FINPROV.1. panta [Teritoriālā darbības joma] 1. punkta, tās dalībvalstu Eiropas teritorijai piegulošā teritoriālā jūra, ko noteikušas dalībvalstis,</w:t>
      </w:r>
    </w:p>
    <w:p w:rsidR="003E022D" w:rsidRDefault="007D19D6">
      <w:pPr>
        <w:numPr>
          <w:ilvl w:val="1"/>
          <w:numId w:val="1366"/>
        </w:numPr>
        <w:ind w:left="1276" w:hanging="567"/>
        <w:rPr>
          <w:rFonts w:asciiTheme="minorHAnsi" w:hAnsiTheme="minorHAnsi"/>
          <w:noProof/>
          <w:color w:val="000000"/>
          <w:u w:color="000000"/>
          <w:bdr w:val="nil"/>
        </w:rPr>
      </w:pPr>
      <w:r>
        <w:rPr>
          <w:rFonts w:asciiTheme="minorHAnsi" w:hAnsiTheme="minorHAnsi"/>
          <w:noProof/>
          <w:color w:val="000000"/>
          <w:u w:color="000000"/>
          <w:bdr w:val="nil"/>
        </w:rPr>
        <w:t>teritor</w:t>
      </w:r>
      <w:r>
        <w:rPr>
          <w:rFonts w:asciiTheme="minorHAnsi" w:hAnsiTheme="minorHAnsi"/>
          <w:noProof/>
          <w:color w:val="000000"/>
          <w:u w:color="000000"/>
          <w:bdr w:val="nil"/>
        </w:rPr>
        <w:t>iālā jūra, ko noteikusi Apvienotā Karaliste;</w:t>
      </w:r>
    </w:p>
    <w:p w:rsidR="003E022D" w:rsidRDefault="007D19D6">
      <w:pPr>
        <w:numPr>
          <w:ilvl w:val="0"/>
          <w:numId w:val="1366"/>
        </w:numPr>
        <w:ind w:left="567" w:hanging="567"/>
        <w:rPr>
          <w:rFonts w:asciiTheme="minorHAnsi" w:hAnsiTheme="minorHAnsi" w:cstheme="minorHAnsi"/>
          <w:noProof/>
        </w:rPr>
      </w:pPr>
      <w:r>
        <w:rPr>
          <w:rFonts w:asciiTheme="minorHAnsi" w:hAnsiTheme="minorHAnsi"/>
          <w:noProof/>
        </w:rPr>
        <w:t>(Puses) “ūdeņi” ir:</w:t>
      </w:r>
    </w:p>
    <w:p w:rsidR="003E022D" w:rsidRDefault="007D19D6">
      <w:pPr>
        <w:numPr>
          <w:ilvl w:val="0"/>
          <w:numId w:val="1381"/>
        </w:numPr>
        <w:ind w:left="1276" w:hanging="567"/>
        <w:rPr>
          <w:rFonts w:asciiTheme="majorHAnsi" w:eastAsia="Calibri" w:hAnsiTheme="majorHAnsi" w:cstheme="majorHAnsi"/>
          <w:noProof/>
        </w:rPr>
      </w:pPr>
      <w:r>
        <w:rPr>
          <w:rFonts w:asciiTheme="majorHAnsi" w:hAnsiTheme="majorHAnsi"/>
          <w:noProof/>
        </w:rPr>
        <w:t>attiecībā uz Savienību – atkāpjoties no FINPROV.1. panta [Teritoriālā darbības joma] 1. punkta, dalībvalstu EEZ un to teritoriālās jūras;</w:t>
      </w:r>
    </w:p>
    <w:p w:rsidR="003E022D" w:rsidRDefault="007D19D6">
      <w:pPr>
        <w:numPr>
          <w:ilvl w:val="0"/>
          <w:numId w:val="1381"/>
        </w:numPr>
        <w:ind w:left="1276" w:hanging="567"/>
        <w:rPr>
          <w:rFonts w:asciiTheme="majorHAnsi" w:eastAsia="Calibri" w:hAnsiTheme="majorHAnsi" w:cstheme="majorHAnsi"/>
          <w:noProof/>
        </w:rPr>
      </w:pPr>
      <w:r>
        <w:rPr>
          <w:rFonts w:asciiTheme="majorHAnsi" w:hAnsiTheme="majorHAnsi"/>
          <w:noProof/>
        </w:rPr>
        <w:t>attiecībā uz Apvienoto Karalisti – tās EEZ un tās ter</w:t>
      </w:r>
      <w:r>
        <w:rPr>
          <w:rFonts w:asciiTheme="majorHAnsi" w:hAnsiTheme="majorHAnsi"/>
          <w:noProof/>
        </w:rPr>
        <w:t>itoriālā jūra, izņemot Gērnsijas Teritoriālajai Vienībai, Džērsijas Teritoriālajai Vienībai un Menas Salai piegulošo teritoriālo jūru FISH.8. panta [Piekļuve ūdeņiem], FISH.9. panta [Kompensējoši pasākumi, kas veicami piekļuves atsaukšanas vai samazināšana</w:t>
      </w:r>
      <w:r>
        <w:rPr>
          <w:rFonts w:asciiTheme="majorHAnsi" w:hAnsiTheme="majorHAnsi"/>
          <w:noProof/>
        </w:rPr>
        <w:t>s gadījumā] un FISH.4. pielikuma [Protokols par piekļuvi ūdeņiem] nolūkā;</w:t>
      </w:r>
    </w:p>
    <w:p w:rsidR="003E022D" w:rsidRDefault="007D19D6">
      <w:pPr>
        <w:numPr>
          <w:ilvl w:val="0"/>
          <w:numId w:val="1366"/>
        </w:numPr>
        <w:ind w:left="567" w:hanging="567"/>
        <w:rPr>
          <w:rFonts w:asciiTheme="minorHAnsi" w:hAnsiTheme="minorHAnsi" w:cstheme="minorHAnsi"/>
          <w:noProof/>
        </w:rPr>
      </w:pPr>
      <w:r>
        <w:rPr>
          <w:rFonts w:asciiTheme="minorHAnsi" w:hAnsiTheme="minorHAnsi"/>
          <w:noProof/>
        </w:rPr>
        <w:t xml:space="preserve">(Puses) “kuģis” ir: </w:t>
      </w:r>
    </w:p>
    <w:p w:rsidR="003E022D" w:rsidRDefault="007D19D6">
      <w:pPr>
        <w:numPr>
          <w:ilvl w:val="0"/>
          <w:numId w:val="1382"/>
        </w:numPr>
        <w:ind w:left="1276" w:hanging="567"/>
        <w:rPr>
          <w:rFonts w:asciiTheme="majorHAnsi" w:eastAsia="Calibri" w:hAnsiTheme="majorHAnsi" w:cstheme="majorHAnsi"/>
          <w:noProof/>
        </w:rPr>
      </w:pPr>
      <w:r>
        <w:rPr>
          <w:rFonts w:asciiTheme="majorHAnsi" w:hAnsiTheme="majorHAnsi"/>
          <w:noProof/>
        </w:rPr>
        <w:t>Apvienotās Karalistes gadījumā – zvejas kuģis, kas peld ar Apvienotās Karalistes karogu, ir reģistrēts Apvienotajā Karalistē, Gērnsijas Teritoriālajā Vienībā, Dž</w:t>
      </w:r>
      <w:r>
        <w:rPr>
          <w:rFonts w:asciiTheme="majorHAnsi" w:hAnsiTheme="majorHAnsi"/>
          <w:noProof/>
        </w:rPr>
        <w:t xml:space="preserve">ērsijas Teritoriālajā Vienībā vai Menas Salā un kam ir Apvienotās Karalistes zivsaimniecības pārvaldes izdota licence, </w:t>
      </w:r>
    </w:p>
    <w:p w:rsidR="003E022D" w:rsidRDefault="007D19D6">
      <w:pPr>
        <w:numPr>
          <w:ilvl w:val="0"/>
          <w:numId w:val="1382"/>
        </w:numPr>
        <w:ind w:left="1276" w:hanging="567"/>
        <w:rPr>
          <w:rFonts w:asciiTheme="majorHAnsi" w:eastAsia="Calibri" w:hAnsiTheme="majorHAnsi" w:cstheme="majorHAnsi"/>
          <w:noProof/>
        </w:rPr>
      </w:pPr>
      <w:r>
        <w:rPr>
          <w:noProof/>
        </w:rPr>
        <w:t>Savienības gadījumā – zvejas kuģis, kas peld ar dalībvalsts karogu un ir reģistrēts Savienībā.</w:t>
      </w:r>
    </w:p>
    <w:p w:rsidR="003E022D" w:rsidRDefault="007D19D6">
      <w:pPr>
        <w:pStyle w:val="Chapter"/>
        <w:rPr>
          <w:noProof/>
        </w:rPr>
      </w:pPr>
      <w:r>
        <w:rPr>
          <w:noProof/>
        </w:rPr>
        <w:t>Otrā nodaļa. Saglabāšana un ilgtspējīga i</w:t>
      </w:r>
      <w:r>
        <w:rPr>
          <w:noProof/>
        </w:rPr>
        <w:t>zmantošana</w:t>
      </w:r>
    </w:p>
    <w:p w:rsidR="003E022D" w:rsidRDefault="007D19D6">
      <w:pPr>
        <w:pStyle w:val="Article"/>
        <w:rPr>
          <w:noProof/>
        </w:rPr>
      </w:pPr>
      <w:r>
        <w:rPr>
          <w:noProof/>
        </w:rPr>
        <w:t>FISH.4. pants. Zvejniecības pārvaldība</w:t>
      </w:r>
    </w:p>
    <w:p w:rsidR="003E022D" w:rsidRDefault="007D19D6">
      <w:pPr>
        <w:rPr>
          <w:rFonts w:eastAsia="Calibri" w:cs="Calibri"/>
          <w:noProof/>
        </w:rPr>
      </w:pPr>
      <w:r>
        <w:rPr>
          <w:noProof/>
        </w:rPr>
        <w:t xml:space="preserve">1. </w:t>
      </w:r>
      <w:r>
        <w:rPr>
          <w:noProof/>
        </w:rPr>
        <w:tab/>
        <w:t>Katra Puse lemj par visiem pasākumiem, kas tās ūdeņos piemērojami, tiecoties sasniegt FISH.2. panta [Mērķi un principi] 1. un 2. punktā noteiktos mērķus un ievērojot FISH.2. panta [Mērķi un principi] 3.</w:t>
      </w:r>
      <w:r>
        <w:rPr>
          <w:noProof/>
        </w:rPr>
        <w:t> punktā minētos principus.</w:t>
      </w:r>
    </w:p>
    <w:p w:rsidR="003E022D" w:rsidRDefault="007D19D6">
      <w:pPr>
        <w:rPr>
          <w:rFonts w:eastAsia="Calibri" w:cs="Calibri"/>
          <w:noProof/>
          <w:color w:val="0000E1"/>
        </w:rPr>
      </w:pPr>
      <w:r>
        <w:rPr>
          <w:noProof/>
        </w:rPr>
        <w:t xml:space="preserve">2. </w:t>
      </w:r>
      <w:r>
        <w:rPr>
          <w:noProof/>
        </w:rPr>
        <w:tab/>
        <w:t>Pasākumus, kas minēti 1. punktā, Puse balsta uz labākajiem pieejamajiem zinātniskajiem ieteikumiem.</w:t>
      </w:r>
      <w:r>
        <w:rPr>
          <w:noProof/>
          <w:color w:val="0000E1"/>
        </w:rPr>
        <w:t xml:space="preserve"> </w:t>
      </w:r>
    </w:p>
    <w:p w:rsidR="003E022D" w:rsidRDefault="007D19D6">
      <w:pPr>
        <w:rPr>
          <w:rFonts w:asciiTheme="minorHAnsi" w:hAnsiTheme="minorHAnsi" w:cstheme="minorHAnsi"/>
          <w:noProof/>
        </w:rPr>
      </w:pPr>
      <w:r>
        <w:rPr>
          <w:noProof/>
        </w:rPr>
        <w:t>Pasākumus, kas minēti 1. punktā, Puse savos ūdeņos nepiemēro otras Puses kuģiem, ja vien tā saviem kuģiem nepiemēro tos pašu</w:t>
      </w:r>
      <w:r>
        <w:rPr>
          <w:noProof/>
        </w:rPr>
        <w:t>s pasākumus.</w:t>
      </w:r>
    </w:p>
    <w:p w:rsidR="003E022D" w:rsidRDefault="007D19D6">
      <w:pPr>
        <w:rPr>
          <w:rFonts w:asciiTheme="minorHAnsi" w:hAnsiTheme="minorHAnsi" w:cstheme="minorHAnsi"/>
          <w:noProof/>
        </w:rPr>
      </w:pPr>
      <w:r>
        <w:rPr>
          <w:rFonts w:asciiTheme="minorHAnsi" w:hAnsiTheme="minorHAnsi"/>
          <w:noProof/>
        </w:rPr>
        <w:t>Otrā daļa neskar Pušu saistības, kas noteiktas Nolīgumā par ostas valsts pasākumiem, Ziemeļaustrumu Atlantijas zvejniecības komisijas kontroles un izpildes panākšanas shēmā, Ziemeļrietumu Atlantijas zvejniecības organizācijas saglabāšanas un i</w:t>
      </w:r>
      <w:r>
        <w:rPr>
          <w:rFonts w:asciiTheme="minorHAnsi" w:hAnsiTheme="minorHAnsi"/>
          <w:noProof/>
        </w:rPr>
        <w:t>zpildes panākšanas pasākumos un Starptautiskās Atlantijas tunzivju saglabāšanas komisijas Ieteikumā 18-09 par ostas valsts pasākumiem, kas veicami, lai aizkavētu, novērstu un izskaustu nelegālu, nereģistrētu un neregulētu zveju.</w:t>
      </w:r>
    </w:p>
    <w:p w:rsidR="003E022D" w:rsidRDefault="007D19D6">
      <w:pPr>
        <w:rPr>
          <w:rFonts w:asciiTheme="minorHAnsi" w:hAnsiTheme="minorHAnsi" w:cstheme="minorHAnsi"/>
          <w:noProof/>
        </w:rPr>
      </w:pPr>
      <w:r>
        <w:rPr>
          <w:rFonts w:asciiTheme="minorHAnsi" w:hAnsiTheme="minorHAnsi"/>
          <w:noProof/>
        </w:rPr>
        <w:t>Specializētā zvejniecības k</w:t>
      </w:r>
      <w:r>
        <w:rPr>
          <w:rFonts w:asciiTheme="minorHAnsi" w:hAnsiTheme="minorHAnsi"/>
          <w:noProof/>
        </w:rPr>
        <w:t>omiteja var grozīt trešajā daļā minēto jau iepriekš esošo starptautisko saistību sarakstu.</w:t>
      </w:r>
    </w:p>
    <w:p w:rsidR="003E022D" w:rsidRDefault="007D19D6">
      <w:pPr>
        <w:rPr>
          <w:rFonts w:eastAsia="Calibri" w:cs="Calibri"/>
          <w:noProof/>
        </w:rPr>
      </w:pPr>
      <w:r>
        <w:rPr>
          <w:rFonts w:asciiTheme="minorHAnsi" w:hAnsiTheme="minorHAnsi"/>
          <w:noProof/>
        </w:rPr>
        <w:t xml:space="preserve">3. </w:t>
      </w:r>
      <w:r>
        <w:rPr>
          <w:noProof/>
        </w:rPr>
        <w:tab/>
      </w:r>
      <w:r>
        <w:rPr>
          <w:noProof/>
        </w:rPr>
        <w:t xml:space="preserve">Par jauniem pasākumiem, kas minēti 1. punktā un var ietekmēt otras Puses kuģus, katra Puse paziņo otrai Pusei pirms minēto pasākumu piemērošanas, dodot otrai Pusei pietiekami daudz laika izteikt piezīmes vai prasīt skaidrojumus. </w:t>
      </w:r>
    </w:p>
    <w:p w:rsidR="003E022D" w:rsidRDefault="007D19D6">
      <w:pPr>
        <w:pStyle w:val="Article"/>
        <w:rPr>
          <w:noProof/>
        </w:rPr>
      </w:pPr>
      <w:r>
        <w:rPr>
          <w:noProof/>
        </w:rPr>
        <w:t>FISH.5. pants. Atļaujas, a</w:t>
      </w:r>
      <w:r>
        <w:rPr>
          <w:noProof/>
        </w:rPr>
        <w:t>tbilstība un izpildes panākšana</w:t>
      </w:r>
    </w:p>
    <w:p w:rsidR="003E022D" w:rsidRDefault="007D19D6">
      <w:pPr>
        <w:rPr>
          <w:noProof/>
        </w:rPr>
      </w:pPr>
      <w:r>
        <w:rPr>
          <w:noProof/>
        </w:rPr>
        <w:t>1.</w:t>
      </w:r>
      <w:r>
        <w:rPr>
          <w:noProof/>
        </w:rPr>
        <w:tab/>
        <w:t>Ja kuģiem ir atbilstīgi FISH.8. pantam [Piekļuve ūdeņiem] un FISH.10. pantam [Piekļuve Gērnsijas Teritoriālās Vienības, Džērsijas Teritoriālās Vienības un Menas Salas ūdeņiem] piešķirta piekļuve, kas ļauj zvejot otras Pus</w:t>
      </w:r>
      <w:r>
        <w:rPr>
          <w:noProof/>
        </w:rPr>
        <w:t>es ūdeņos:</w:t>
      </w:r>
    </w:p>
    <w:p w:rsidR="003E022D" w:rsidRDefault="007D19D6">
      <w:pPr>
        <w:numPr>
          <w:ilvl w:val="0"/>
          <w:numId w:val="1364"/>
        </w:numPr>
        <w:ind w:left="567" w:hanging="567"/>
        <w:rPr>
          <w:rFonts w:eastAsia="Calibri" w:cs="Calibri"/>
          <w:noProof/>
        </w:rPr>
      </w:pPr>
      <w:r>
        <w:rPr>
          <w:noProof/>
        </w:rPr>
        <w:t>katra Puse laikus nosūta otrai Pusei sarakstu ar kuģiem, kuriem šī Puse vēlas saņemt zvejas atļaujas vai licences, un</w:t>
      </w:r>
    </w:p>
    <w:p w:rsidR="003E022D" w:rsidRDefault="007D19D6">
      <w:pPr>
        <w:numPr>
          <w:ilvl w:val="0"/>
          <w:numId w:val="1364"/>
        </w:numPr>
        <w:ind w:left="567" w:hanging="567"/>
        <w:rPr>
          <w:noProof/>
          <w:lang w:val="fr-BE"/>
        </w:rPr>
      </w:pPr>
      <w:r>
        <w:rPr>
          <w:noProof/>
          <w:lang w:val="fr-BE"/>
        </w:rPr>
        <w:t xml:space="preserve">otra Puse izdod zvejas atļaujas vai licences. </w:t>
      </w:r>
    </w:p>
    <w:p w:rsidR="003E022D" w:rsidRDefault="007D19D6">
      <w:pPr>
        <w:rPr>
          <w:rFonts w:eastAsia="Calibri" w:cs="Calibri"/>
          <w:noProof/>
          <w:lang w:val="fr-BE"/>
        </w:rPr>
      </w:pPr>
      <w:r>
        <w:rPr>
          <w:noProof/>
          <w:lang w:val="fr-BE"/>
        </w:rPr>
        <w:t xml:space="preserve">2. </w:t>
      </w:r>
      <w:r>
        <w:rPr>
          <w:noProof/>
          <w:lang w:val="fr-BE"/>
        </w:rPr>
        <w:tab/>
        <w:t>Katra Puse veic visus pasākumus, kas vajadzīgi, lai nodrošinātu, ka tās kuģi</w:t>
      </w:r>
      <w:r>
        <w:rPr>
          <w:noProof/>
          <w:lang w:val="fr-BE"/>
        </w:rPr>
        <w:t xml:space="preserve"> ievēro noteikumus, kuri minētajiem kuģiem piemērojami otras Puses ūdeņos, tai skaitā atļaujas vai licences nosacījumus.</w:t>
      </w:r>
    </w:p>
    <w:p w:rsidR="003E022D" w:rsidRDefault="007D19D6">
      <w:pPr>
        <w:pStyle w:val="Chapter"/>
        <w:rPr>
          <w:noProof/>
          <w:lang w:val="fr-BE"/>
        </w:rPr>
      </w:pPr>
      <w:r>
        <w:rPr>
          <w:noProof/>
          <w:lang w:val="fr-BE"/>
        </w:rPr>
        <w:t xml:space="preserve">Trešā nodaļa. Vienošanās par piekļuvi ūdeņiem un resursiem </w:t>
      </w:r>
    </w:p>
    <w:p w:rsidR="003E022D" w:rsidRDefault="007D19D6">
      <w:pPr>
        <w:pStyle w:val="Article"/>
        <w:rPr>
          <w:noProof/>
        </w:rPr>
      </w:pPr>
      <w:r>
        <w:rPr>
          <w:noProof/>
        </w:rPr>
        <w:t>FISH.6. pants. Zvejas iespējas</w:t>
      </w:r>
    </w:p>
    <w:p w:rsidR="003E022D" w:rsidRDefault="007D19D6">
      <w:pPr>
        <w:numPr>
          <w:ilvl w:val="0"/>
          <w:numId w:val="1361"/>
        </w:numPr>
        <w:ind w:left="0" w:firstLine="0"/>
        <w:rPr>
          <w:rFonts w:eastAsia="Calibri" w:cs="Calibri"/>
          <w:noProof/>
        </w:rPr>
      </w:pPr>
      <w:r>
        <w:rPr>
          <w:noProof/>
        </w:rPr>
        <w:t>Katru gadu līdz 31. janvārim Puses sadarboja</w:t>
      </w:r>
      <w:r>
        <w:rPr>
          <w:noProof/>
        </w:rPr>
        <w:t>s, lai sastādītu grafiku, kādā notiek apspriešanās ar mērķi vienoties par FISH.1. pielikumā uzskaitīto krājumu KPN nākamajam gadam vai gadiem. Minētajā grafikā ņem vērā citas ikgadējas piekrastes valstu apspriešanās, kuras skar vienu vai abas Puses.</w:t>
      </w:r>
    </w:p>
    <w:p w:rsidR="003E022D" w:rsidRDefault="007D19D6">
      <w:pPr>
        <w:numPr>
          <w:ilvl w:val="0"/>
          <w:numId w:val="1361"/>
        </w:numPr>
        <w:ind w:left="0" w:firstLine="0"/>
        <w:rPr>
          <w:rFonts w:eastAsia="Calibri" w:cs="Calibri"/>
          <w:noProof/>
        </w:rPr>
      </w:pPr>
      <w:r>
        <w:rPr>
          <w:noProof/>
        </w:rPr>
        <w:t xml:space="preserve">Puses </w:t>
      </w:r>
      <w:r>
        <w:rPr>
          <w:noProof/>
        </w:rPr>
        <w:t>ik gadus apspriežas, lai katru gadu līdz 10. decembrim vienotos par FISH.1. pielikumā uzskaitīto krājumu KPN nākamajam gadam. Tas nozīmē, ka agrīna apmainīšanās ar viedokļiem par prioritātēm notiek, tiklīdz ir saņemts ieteikums par KPN apjomu. Par minētajā</w:t>
      </w:r>
      <w:r>
        <w:rPr>
          <w:noProof/>
        </w:rPr>
        <w:t xml:space="preserve">m KPN Puses vienojas: </w:t>
      </w:r>
    </w:p>
    <w:p w:rsidR="003E022D" w:rsidRDefault="007D19D6">
      <w:pPr>
        <w:numPr>
          <w:ilvl w:val="1"/>
          <w:numId w:val="1361"/>
        </w:numPr>
        <w:ind w:left="567" w:hanging="567"/>
        <w:rPr>
          <w:rFonts w:eastAsia="Calibri" w:cs="Calibri"/>
          <w:noProof/>
        </w:rPr>
      </w:pPr>
      <w:r>
        <w:rPr>
          <w:noProof/>
        </w:rPr>
        <w:t>pamatojoties uz labākajiem pieejamajiem zinātniskajiem ieteikumiem, kā arī citiem relevantiem faktoriem, tai skaitā sociālekonomiskiem aspektiem, un</w:t>
      </w:r>
    </w:p>
    <w:p w:rsidR="003E022D" w:rsidRDefault="007D19D6">
      <w:pPr>
        <w:numPr>
          <w:ilvl w:val="1"/>
          <w:numId w:val="1361"/>
        </w:numPr>
        <w:ind w:left="567" w:hanging="567"/>
        <w:rPr>
          <w:rFonts w:eastAsia="Calibri" w:cs="Calibri"/>
          <w:noProof/>
        </w:rPr>
      </w:pPr>
      <w:r>
        <w:rPr>
          <w:noProof/>
        </w:rPr>
        <w:t>saskaņā ar jebkādām piemērojamajām saglabāšanas un pārvaldības daudzgadu stratēģijām</w:t>
      </w:r>
      <w:r>
        <w:rPr>
          <w:noProof/>
        </w:rPr>
        <w:t xml:space="preserve">, par kurām Puses vienojušās. </w:t>
      </w:r>
    </w:p>
    <w:p w:rsidR="003E022D" w:rsidRDefault="007D19D6">
      <w:pPr>
        <w:numPr>
          <w:ilvl w:val="0"/>
          <w:numId w:val="1361"/>
        </w:numPr>
        <w:ind w:left="0" w:firstLine="0"/>
        <w:rPr>
          <w:rFonts w:eastAsia="Calibri" w:cs="Calibri"/>
          <w:noProof/>
        </w:rPr>
      </w:pPr>
      <w:r>
        <w:rPr>
          <w:noProof/>
        </w:rPr>
        <w:t xml:space="preserve">Pušu daļas no KPN, kas noteiktas FISH.1. pielikumā uzskaitītajiem krājumiem, Pusēm iedala saskaņā ar minētajā pielikumā noteiktajām kvotu daļām. </w:t>
      </w:r>
    </w:p>
    <w:p w:rsidR="003E022D" w:rsidRDefault="007D19D6">
      <w:pPr>
        <w:numPr>
          <w:ilvl w:val="0"/>
          <w:numId w:val="1361"/>
        </w:numPr>
        <w:ind w:left="0" w:firstLine="0"/>
        <w:rPr>
          <w:rFonts w:eastAsia="Calibri" w:cs="Calibri"/>
          <w:noProof/>
        </w:rPr>
      </w:pPr>
      <w:r>
        <w:rPr>
          <w:noProof/>
        </w:rPr>
        <w:t xml:space="preserve">Ikgadējās apspriešanās cita starpā var aplūkot: </w:t>
      </w:r>
    </w:p>
    <w:p w:rsidR="003E022D" w:rsidRDefault="007D19D6">
      <w:pPr>
        <w:numPr>
          <w:ilvl w:val="1"/>
          <w:numId w:val="1361"/>
        </w:numPr>
        <w:ind w:left="567" w:hanging="567"/>
        <w:rPr>
          <w:rFonts w:eastAsia="Calibri" w:cs="Calibri"/>
          <w:noProof/>
        </w:rPr>
      </w:pPr>
      <w:r>
        <w:rPr>
          <w:noProof/>
        </w:rPr>
        <w:t>vienas Puses KPN daļu daļēju n</w:t>
      </w:r>
      <w:r>
        <w:rPr>
          <w:noProof/>
        </w:rPr>
        <w:t>odošanu otrai Pusei;</w:t>
      </w:r>
    </w:p>
    <w:p w:rsidR="003E022D" w:rsidRDefault="007D19D6">
      <w:pPr>
        <w:numPr>
          <w:ilvl w:val="1"/>
          <w:numId w:val="1361"/>
        </w:numPr>
        <w:ind w:left="567" w:hanging="567"/>
        <w:rPr>
          <w:rFonts w:eastAsia="Calibri" w:cs="Calibri"/>
          <w:noProof/>
        </w:rPr>
      </w:pPr>
      <w:r>
        <w:rPr>
          <w:noProof/>
        </w:rPr>
        <w:t>sarakstu ar krājumiem, kuros zvejot ir aizliegts;</w:t>
      </w:r>
    </w:p>
    <w:p w:rsidR="003E022D" w:rsidRDefault="007D19D6">
      <w:pPr>
        <w:numPr>
          <w:ilvl w:val="1"/>
          <w:numId w:val="1361"/>
        </w:numPr>
        <w:ind w:left="567" w:hanging="567"/>
        <w:rPr>
          <w:rFonts w:eastAsia="Calibri" w:cs="Calibri"/>
          <w:noProof/>
        </w:rPr>
      </w:pPr>
      <w:r>
        <w:rPr>
          <w:noProof/>
        </w:rPr>
        <w:t>KPN noteikšanu krājumiem, kas nav uzskaitīti FISH.1. pielikumā vai FISH.2. pielikumā, un Pušu attiecīgās daļas no minētajiem krājumiem;</w:t>
      </w:r>
    </w:p>
    <w:p w:rsidR="003E022D" w:rsidRDefault="007D19D6">
      <w:pPr>
        <w:numPr>
          <w:ilvl w:val="1"/>
          <w:numId w:val="1361"/>
        </w:numPr>
        <w:ind w:left="567" w:hanging="567"/>
        <w:rPr>
          <w:rFonts w:eastAsia="Calibri" w:cs="Calibri"/>
          <w:noProof/>
        </w:rPr>
      </w:pPr>
      <w:r>
        <w:rPr>
          <w:noProof/>
        </w:rPr>
        <w:t>zvejniecības pārvaldības pasākumus, attiecīgā gad</w:t>
      </w:r>
      <w:r>
        <w:rPr>
          <w:noProof/>
        </w:rPr>
        <w:t xml:space="preserve">ījumā arī zvejas piepūles limitus; </w:t>
      </w:r>
    </w:p>
    <w:p w:rsidR="003E022D" w:rsidRDefault="007D19D6">
      <w:pPr>
        <w:numPr>
          <w:ilvl w:val="1"/>
          <w:numId w:val="1361"/>
        </w:numPr>
        <w:ind w:left="567" w:hanging="567"/>
        <w:rPr>
          <w:rFonts w:eastAsia="Calibri" w:cs="Calibri"/>
          <w:noProof/>
        </w:rPr>
      </w:pPr>
      <w:r>
        <w:rPr>
          <w:noProof/>
        </w:rPr>
        <w:t>citus krājumus, kuros Puses ir savstarpēji ieinteresētas, bet kuri šā temata pielikumos nav uzskaitīti.</w:t>
      </w:r>
    </w:p>
    <w:p w:rsidR="003E022D" w:rsidRDefault="007D19D6">
      <w:pPr>
        <w:numPr>
          <w:ilvl w:val="0"/>
          <w:numId w:val="1361"/>
        </w:numPr>
        <w:ind w:left="0" w:firstLine="0"/>
        <w:rPr>
          <w:rFonts w:eastAsia="Calibri" w:cs="Calibri"/>
          <w:noProof/>
        </w:rPr>
      </w:pPr>
      <w:r>
        <w:rPr>
          <w:noProof/>
        </w:rPr>
        <w:t xml:space="preserve">Puses var apspriesties, lai vienotos par grozītām KPN, ja kāda no Pusēm to pieprasa. </w:t>
      </w:r>
    </w:p>
    <w:p w:rsidR="003E022D" w:rsidRDefault="007D19D6">
      <w:pPr>
        <w:numPr>
          <w:ilvl w:val="0"/>
          <w:numId w:val="1361"/>
        </w:numPr>
        <w:ind w:left="0" w:firstLine="0"/>
        <w:rPr>
          <w:rFonts w:eastAsia="Calibri" w:cs="Calibri"/>
          <w:noProof/>
        </w:rPr>
      </w:pPr>
      <w:r>
        <w:rPr>
          <w:noProof/>
        </w:rPr>
        <w:t>Tiek sagatavots rakstisks prot</w:t>
      </w:r>
      <w:r>
        <w:rPr>
          <w:noProof/>
        </w:rPr>
        <w:t>okols, kurā dokumentē saskaņā ar šo pantu notikušo apspriešanos rezultātā panākto vienošanos starp Pusēm un kuru paraksta abu Pušu delegāciju vadītāji.</w:t>
      </w:r>
    </w:p>
    <w:p w:rsidR="003E022D" w:rsidRDefault="007D19D6">
      <w:pPr>
        <w:numPr>
          <w:ilvl w:val="0"/>
          <w:numId w:val="1361"/>
        </w:numPr>
        <w:ind w:left="0" w:firstLine="0"/>
        <w:rPr>
          <w:rFonts w:eastAsia="Calibri" w:cs="Calibri"/>
          <w:noProof/>
        </w:rPr>
      </w:pPr>
      <w:r>
        <w:rPr>
          <w:noProof/>
        </w:rPr>
        <w:t>Katra Puse pietiekami laikus pirms FISH.3. pielikumā uzskaitīto krājumu KPN noteikšanas vai grozīšanas p</w:t>
      </w:r>
      <w:r>
        <w:rPr>
          <w:noProof/>
        </w:rPr>
        <w:t xml:space="preserve">aziņo par to otrai Pusei. </w:t>
      </w:r>
    </w:p>
    <w:p w:rsidR="003E022D" w:rsidRDefault="007D19D6">
      <w:pPr>
        <w:numPr>
          <w:ilvl w:val="0"/>
          <w:numId w:val="1361"/>
        </w:numPr>
        <w:ind w:left="0" w:firstLine="0"/>
        <w:rPr>
          <w:rFonts w:eastAsia="Calibri" w:cs="Calibri"/>
          <w:noProof/>
        </w:rPr>
      </w:pPr>
      <w:r>
        <w:rPr>
          <w:noProof/>
        </w:rPr>
        <w:t xml:space="preserve">Puses vienojas izveidot mehānismu, kas izmantojams brīvprātīgai, gada laikā veiktai zvejas iespēju nodošanai starp Pusēm, kam jānotiek katru gadu. Par šā mehānisma elementiem lemj Specializētā zvejniecības komiteja. Puses apsver </w:t>
      </w:r>
      <w:r>
        <w:rPr>
          <w:noProof/>
        </w:rPr>
        <w:t>iespēju ar šā mehānisma starpniecību par tirgus vērtību darīt pieejamas zvejas iespējas attiecībā uz krājumiem, no kuriem zvejo vai saskaņā ar prognozēm zvejos nepietiekamā apmērā.</w:t>
      </w:r>
    </w:p>
    <w:p w:rsidR="003E022D" w:rsidRDefault="007D19D6">
      <w:pPr>
        <w:pStyle w:val="Article"/>
        <w:rPr>
          <w:noProof/>
        </w:rPr>
      </w:pPr>
      <w:r>
        <w:rPr>
          <w:noProof/>
        </w:rPr>
        <w:t>FISH.7. pants. Provizoriskas KPN</w:t>
      </w:r>
    </w:p>
    <w:p w:rsidR="003E022D" w:rsidRDefault="007D19D6">
      <w:pPr>
        <w:numPr>
          <w:ilvl w:val="0"/>
          <w:numId w:val="1368"/>
        </w:numPr>
        <w:ind w:left="0" w:firstLine="0"/>
        <w:rPr>
          <w:rFonts w:asciiTheme="majorHAnsi" w:eastAsia="Calibri" w:hAnsiTheme="majorHAnsi" w:cstheme="majorHAnsi"/>
          <w:noProof/>
        </w:rPr>
      </w:pPr>
      <w:r>
        <w:rPr>
          <w:noProof/>
        </w:rPr>
        <w:t>Ja Puses līdz 10. decembrim nav vienojušās</w:t>
      </w:r>
      <w:r>
        <w:rPr>
          <w:noProof/>
        </w:rPr>
        <w:t xml:space="preserve"> par FISH.1. pielikumā vai FISH.2.A vai B pielikumā uzskaitīta krājuma KPN, tās nekavējoties atsāk apspriešanos ar pastāvīgu mērķi vienoties par KPN.</w:t>
      </w:r>
      <w:r>
        <w:rPr>
          <w:rFonts w:asciiTheme="majorHAnsi" w:hAnsiTheme="majorHAnsi"/>
          <w:noProof/>
        </w:rPr>
        <w:t xml:space="preserve"> Puses sazinās bieži, lai izsmeltu visas iespējas panākt vienošanos pēc iespējas īsākā laikā. </w:t>
      </w:r>
    </w:p>
    <w:p w:rsidR="003E022D" w:rsidRDefault="003E022D">
      <w:pPr>
        <w:pStyle w:val="ListParagraph"/>
        <w:spacing w:before="240"/>
        <w:ind w:left="360"/>
        <w:rPr>
          <w:rFonts w:asciiTheme="majorHAnsi" w:eastAsia="Calibri" w:hAnsiTheme="majorHAnsi" w:cstheme="majorHAnsi"/>
          <w:noProof/>
        </w:rPr>
      </w:pPr>
    </w:p>
    <w:p w:rsidR="003E022D" w:rsidRDefault="007D19D6">
      <w:pPr>
        <w:numPr>
          <w:ilvl w:val="0"/>
          <w:numId w:val="1368"/>
        </w:numPr>
        <w:ind w:left="0" w:firstLine="0"/>
        <w:rPr>
          <w:rFonts w:asciiTheme="majorHAnsi" w:eastAsia="Calibri" w:hAnsiTheme="majorHAnsi" w:cstheme="majorHAnsi"/>
          <w:noProof/>
        </w:rPr>
      </w:pPr>
      <w:r>
        <w:rPr>
          <w:noProof/>
        </w:rPr>
        <w:t xml:space="preserve">Ja vienošanās par kāda FISH.1. pielikumā vai FISH.2.A un B pielikumā uzskaitīta krājuma KPN 20. decembrī joprojām nav panākta, katra Puse nosaka provizorisku KPN, kas atbilst </w:t>
      </w:r>
      <w:r>
        <w:rPr>
          <w:i/>
          <w:iCs/>
          <w:noProof/>
        </w:rPr>
        <w:t>ICES</w:t>
      </w:r>
      <w:r>
        <w:rPr>
          <w:noProof/>
        </w:rPr>
        <w:t xml:space="preserve"> ieteiktajam apjomam un ir piemērojama no 1. janvāra.</w:t>
      </w:r>
      <w:r>
        <w:rPr>
          <w:rFonts w:asciiTheme="majorHAnsi" w:hAnsiTheme="majorHAnsi"/>
          <w:noProof/>
        </w:rPr>
        <w:t xml:space="preserve"> </w:t>
      </w:r>
    </w:p>
    <w:p w:rsidR="003E022D" w:rsidRDefault="007D19D6">
      <w:pPr>
        <w:numPr>
          <w:ilvl w:val="0"/>
          <w:numId w:val="1368"/>
        </w:numPr>
        <w:ind w:left="0" w:firstLine="0"/>
        <w:rPr>
          <w:rFonts w:asciiTheme="majorHAnsi" w:eastAsia="Calibri" w:hAnsiTheme="majorHAnsi" w:cstheme="majorHAnsi"/>
          <w:noProof/>
        </w:rPr>
      </w:pPr>
      <w:r>
        <w:rPr>
          <w:noProof/>
        </w:rPr>
        <w:t>Atkāpjoties no 2. punk</w:t>
      </w:r>
      <w:r>
        <w:rPr>
          <w:noProof/>
        </w:rPr>
        <w:t>ta, īpašo krājumu KPN nosaka saskaņā ar pamatnostādnēm, kas pieņemtas saskaņā ar 5. punktu.</w:t>
      </w:r>
      <w:r>
        <w:rPr>
          <w:rFonts w:asciiTheme="majorHAnsi" w:hAnsiTheme="majorHAnsi"/>
          <w:noProof/>
        </w:rPr>
        <w:t xml:space="preserve"> </w:t>
      </w:r>
    </w:p>
    <w:p w:rsidR="003E022D" w:rsidRDefault="007D19D6">
      <w:pPr>
        <w:numPr>
          <w:ilvl w:val="0"/>
          <w:numId w:val="1368"/>
        </w:numPr>
        <w:ind w:left="0" w:firstLine="0"/>
        <w:rPr>
          <w:rFonts w:asciiTheme="majorHAnsi" w:eastAsia="Calibri" w:hAnsiTheme="majorHAnsi" w:cstheme="majorHAnsi"/>
          <w:noProof/>
        </w:rPr>
      </w:pPr>
      <w:r>
        <w:rPr>
          <w:rFonts w:asciiTheme="majorHAnsi" w:hAnsiTheme="majorHAnsi"/>
          <w:noProof/>
        </w:rPr>
        <w:t>Šajā pantā “īpašie krājumi” ir:</w:t>
      </w:r>
    </w:p>
    <w:p w:rsidR="003E022D" w:rsidRDefault="007D19D6">
      <w:pPr>
        <w:numPr>
          <w:ilvl w:val="0"/>
          <w:numId w:val="1369"/>
        </w:numPr>
        <w:ind w:left="567" w:hanging="567"/>
        <w:rPr>
          <w:rFonts w:asciiTheme="minorHAnsi" w:hAnsiTheme="minorHAnsi" w:cstheme="minorHAnsi"/>
          <w:noProof/>
        </w:rPr>
      </w:pPr>
      <w:r>
        <w:rPr>
          <w:rFonts w:asciiTheme="minorHAnsi" w:hAnsiTheme="minorHAnsi"/>
          <w:noProof/>
        </w:rPr>
        <w:t xml:space="preserve">krājumi, attiecībā uz kuriem </w:t>
      </w:r>
      <w:r>
        <w:rPr>
          <w:rFonts w:asciiTheme="minorHAnsi" w:hAnsiTheme="minorHAnsi"/>
          <w:i/>
          <w:iCs/>
          <w:noProof/>
        </w:rPr>
        <w:t>ICES</w:t>
      </w:r>
      <w:r>
        <w:rPr>
          <w:rFonts w:asciiTheme="minorHAnsi" w:hAnsiTheme="minorHAnsi"/>
          <w:noProof/>
        </w:rPr>
        <w:t xml:space="preserve"> ieteikusi nulles apjoma KPN; </w:t>
      </w:r>
    </w:p>
    <w:p w:rsidR="003E022D" w:rsidRDefault="007D19D6">
      <w:pPr>
        <w:numPr>
          <w:ilvl w:val="0"/>
          <w:numId w:val="1369"/>
        </w:numPr>
        <w:ind w:left="567" w:hanging="567"/>
        <w:rPr>
          <w:rFonts w:asciiTheme="minorHAnsi" w:hAnsiTheme="minorHAnsi" w:cstheme="minorHAnsi"/>
          <w:noProof/>
        </w:rPr>
      </w:pPr>
      <w:r>
        <w:rPr>
          <w:rFonts w:asciiTheme="minorHAnsi" w:hAnsiTheme="minorHAnsi"/>
          <w:noProof/>
        </w:rPr>
        <w:t xml:space="preserve">krājumi, kurus apzvejo jauktu sugu zvejniecībā, ja minētais krājums vai cits krājums, ko apzvejo tajā pašā zvejniecībā, ir jutīgs, vai </w:t>
      </w:r>
    </w:p>
    <w:p w:rsidR="003E022D" w:rsidRDefault="007D19D6">
      <w:pPr>
        <w:numPr>
          <w:ilvl w:val="0"/>
          <w:numId w:val="1369"/>
        </w:numPr>
        <w:ind w:left="567" w:hanging="567"/>
        <w:rPr>
          <w:rFonts w:asciiTheme="majorHAnsi" w:eastAsia="Calibri" w:hAnsiTheme="majorHAnsi" w:cstheme="majorHAnsi"/>
          <w:noProof/>
        </w:rPr>
      </w:pPr>
      <w:r>
        <w:rPr>
          <w:noProof/>
        </w:rPr>
        <w:t>citi krājumi, kuriem Pušu ieskatā ir vajadzīga īpaša pieeja.</w:t>
      </w:r>
    </w:p>
    <w:p w:rsidR="003E022D" w:rsidRDefault="007D19D6">
      <w:pPr>
        <w:numPr>
          <w:ilvl w:val="0"/>
          <w:numId w:val="1368"/>
        </w:numPr>
        <w:ind w:left="0" w:firstLine="0"/>
        <w:rPr>
          <w:rFonts w:asciiTheme="minorHAnsi" w:hAnsiTheme="minorHAnsi"/>
          <w:noProof/>
        </w:rPr>
      </w:pPr>
      <w:r>
        <w:rPr>
          <w:noProof/>
        </w:rPr>
        <w:t>Specializētā zvejniecības komiteja līdz 2021. gada 1. jūlij</w:t>
      </w:r>
      <w:r>
        <w:rPr>
          <w:noProof/>
        </w:rPr>
        <w:t>am pieņem pamatnostādnes par to, kā nosakāmas īpašo krājumu provizoriskās KPN.</w:t>
      </w:r>
    </w:p>
    <w:p w:rsidR="003E022D" w:rsidRDefault="007D19D6">
      <w:pPr>
        <w:numPr>
          <w:ilvl w:val="0"/>
          <w:numId w:val="1368"/>
        </w:numPr>
        <w:ind w:left="0" w:firstLine="0"/>
        <w:rPr>
          <w:rFonts w:asciiTheme="minorHAnsi" w:hAnsiTheme="minorHAnsi"/>
          <w:noProof/>
        </w:rPr>
      </w:pPr>
      <w:r>
        <w:rPr>
          <w:rFonts w:asciiTheme="minorHAnsi" w:hAnsiTheme="minorHAnsi"/>
          <w:noProof/>
        </w:rPr>
        <w:t xml:space="preserve">Katru gadu, kad saņemts </w:t>
      </w:r>
      <w:r>
        <w:rPr>
          <w:rFonts w:asciiTheme="minorHAnsi" w:hAnsiTheme="minorHAnsi"/>
          <w:i/>
          <w:iCs/>
          <w:noProof/>
        </w:rPr>
        <w:t>ICES</w:t>
      </w:r>
      <w:r>
        <w:rPr>
          <w:rFonts w:asciiTheme="minorHAnsi" w:hAnsiTheme="minorHAnsi"/>
          <w:noProof/>
        </w:rPr>
        <w:t xml:space="preserve"> ieteikums par KPN, Puses prioritārā kārtā apspriežas par īpašajiem krājumiem un par to, kā katra Puse provizorisko KPN noteikšanā piemēro saskaņā ar</w:t>
      </w:r>
      <w:r>
        <w:rPr>
          <w:rFonts w:asciiTheme="minorHAnsi" w:hAnsiTheme="minorHAnsi"/>
          <w:noProof/>
        </w:rPr>
        <w:t xml:space="preserve"> 5. punktu noteiktās pamatnostādnes.</w:t>
      </w:r>
    </w:p>
    <w:p w:rsidR="003E022D" w:rsidRDefault="007D19D6">
      <w:pPr>
        <w:numPr>
          <w:ilvl w:val="0"/>
          <w:numId w:val="1368"/>
        </w:numPr>
        <w:ind w:left="0" w:firstLine="0"/>
        <w:rPr>
          <w:rFonts w:asciiTheme="minorHAnsi" w:hAnsiTheme="minorHAnsi"/>
          <w:noProof/>
        </w:rPr>
      </w:pPr>
      <w:r>
        <w:rPr>
          <w:rFonts w:asciiTheme="minorHAnsi" w:hAnsiTheme="minorHAnsi"/>
          <w:noProof/>
        </w:rPr>
        <w:t xml:space="preserve">Katra Puse nosaka savu daļu no katras provizoriskās KPN, un tā nepārsniedz tās daļu, kas noteikta atbilstošajā pielikumā. </w:t>
      </w:r>
    </w:p>
    <w:p w:rsidR="003E022D" w:rsidRDefault="007D19D6">
      <w:pPr>
        <w:numPr>
          <w:ilvl w:val="0"/>
          <w:numId w:val="1368"/>
        </w:numPr>
        <w:ind w:left="0" w:firstLine="0"/>
        <w:rPr>
          <w:rFonts w:asciiTheme="minorHAnsi" w:hAnsiTheme="minorHAnsi" w:cstheme="minorHAnsi"/>
          <w:noProof/>
        </w:rPr>
      </w:pPr>
      <w:r>
        <w:rPr>
          <w:rFonts w:asciiTheme="minorHAnsi" w:hAnsiTheme="minorHAnsi"/>
          <w:noProof/>
        </w:rPr>
        <w:t>Provizoriskās KPN un daļas, kas minētas 2., 3. un 7. punktā, piemēro līdz brīdim, kad panākta vi</w:t>
      </w:r>
      <w:r>
        <w:rPr>
          <w:rFonts w:asciiTheme="minorHAnsi" w:hAnsiTheme="minorHAnsi"/>
          <w:noProof/>
        </w:rPr>
        <w:t>enošanās saskaņā ar 1. punktu.</w:t>
      </w:r>
    </w:p>
    <w:p w:rsidR="003E022D" w:rsidRDefault="007D19D6">
      <w:pPr>
        <w:numPr>
          <w:ilvl w:val="0"/>
          <w:numId w:val="1368"/>
        </w:numPr>
        <w:ind w:left="0" w:firstLine="0"/>
        <w:rPr>
          <w:rFonts w:asciiTheme="majorHAnsi" w:eastAsia="Calibri" w:hAnsiTheme="majorHAnsi" w:cstheme="majorHAnsi"/>
          <w:noProof/>
        </w:rPr>
      </w:pPr>
      <w:r>
        <w:rPr>
          <w:noProof/>
        </w:rPr>
        <w:t>Katra Puse tūlīt paziņo otrai Pusei savu provizorisko KPN, kas noteikta saskaņā ar 2. un 3. punktu, un savu katras minētās KPN provizorisko daļu, kas noteikta saskaņā ar 7. punktu.</w:t>
      </w:r>
    </w:p>
    <w:p w:rsidR="003E022D" w:rsidRDefault="007D19D6">
      <w:pPr>
        <w:pStyle w:val="Article"/>
        <w:rPr>
          <w:noProof/>
        </w:rPr>
      </w:pPr>
      <w:r>
        <w:rPr>
          <w:noProof/>
        </w:rPr>
        <w:t xml:space="preserve">FISH.8. pants. Piekļuve ūdeņiem </w:t>
      </w:r>
    </w:p>
    <w:p w:rsidR="003E022D" w:rsidRDefault="007D19D6">
      <w:pPr>
        <w:numPr>
          <w:ilvl w:val="0"/>
          <w:numId w:val="1370"/>
        </w:numPr>
        <w:ind w:left="0" w:firstLine="0"/>
        <w:rPr>
          <w:rFonts w:asciiTheme="majorHAnsi" w:hAnsiTheme="majorHAnsi"/>
          <w:noProof/>
        </w:rPr>
      </w:pPr>
      <w:r>
        <w:rPr>
          <w:rFonts w:asciiTheme="majorHAnsi" w:hAnsiTheme="majorHAnsi"/>
          <w:noProof/>
        </w:rPr>
        <w:t>Ja vienošan</w:t>
      </w:r>
      <w:r>
        <w:rPr>
          <w:rFonts w:asciiTheme="majorHAnsi" w:hAnsiTheme="majorHAnsi"/>
          <w:noProof/>
        </w:rPr>
        <w:t xml:space="preserve">ās par KPN ir panākta, katra Puse piešķir otras Puses kuģiem piekļuvi, kas ļauj konkrētajā gadā zvejot tās ūdeņos attiecīgajos </w:t>
      </w:r>
      <w:r>
        <w:rPr>
          <w:rFonts w:asciiTheme="majorHAnsi" w:hAnsiTheme="majorHAnsi"/>
          <w:i/>
          <w:iCs/>
          <w:noProof/>
        </w:rPr>
        <w:t>ICES</w:t>
      </w:r>
      <w:r>
        <w:rPr>
          <w:rFonts w:asciiTheme="majorHAnsi" w:hAnsiTheme="majorHAnsi"/>
          <w:noProof/>
        </w:rPr>
        <w:t xml:space="preserve"> apakšapgabalos. </w:t>
      </w:r>
      <w:r>
        <w:rPr>
          <w:noProof/>
        </w:rPr>
        <w:t>Piekļuvi piešķir tādā apmērā un ar tādiem nosacījumiem, kas noteikti minētajās ikgadējās apspriešanās.</w:t>
      </w:r>
    </w:p>
    <w:p w:rsidR="003E022D" w:rsidRDefault="007D19D6">
      <w:pPr>
        <w:numPr>
          <w:ilvl w:val="0"/>
          <w:numId w:val="1370"/>
        </w:numPr>
        <w:ind w:left="0" w:firstLine="0"/>
        <w:rPr>
          <w:rFonts w:asciiTheme="majorHAnsi" w:hAnsiTheme="majorHAnsi" w:cstheme="majorHAnsi"/>
          <w:noProof/>
        </w:rPr>
      </w:pPr>
      <w:r>
        <w:rPr>
          <w:noProof/>
        </w:rPr>
        <w:t>Ikgad</w:t>
      </w:r>
      <w:r>
        <w:rPr>
          <w:noProof/>
        </w:rPr>
        <w:t>ējās apspriešanās Puses var vienoties par tālākiem īpašiem piekļuves nosacījumiem, kas attiecas uz:</w:t>
      </w:r>
    </w:p>
    <w:p w:rsidR="003E022D" w:rsidRDefault="007D19D6">
      <w:pPr>
        <w:numPr>
          <w:ilvl w:val="1"/>
          <w:numId w:val="1361"/>
        </w:numPr>
        <w:ind w:left="567" w:hanging="567"/>
        <w:rPr>
          <w:rFonts w:asciiTheme="majorHAnsi" w:hAnsiTheme="majorHAnsi" w:cstheme="majorHAnsi"/>
          <w:noProof/>
        </w:rPr>
      </w:pPr>
      <w:r>
        <w:rPr>
          <w:noProof/>
        </w:rPr>
        <w:t>zvejas iespējām, par kurām panākta vienošanās;</w:t>
      </w:r>
    </w:p>
    <w:p w:rsidR="003E022D" w:rsidRDefault="007D19D6">
      <w:pPr>
        <w:numPr>
          <w:ilvl w:val="1"/>
          <w:numId w:val="1361"/>
        </w:numPr>
        <w:ind w:left="567" w:hanging="567"/>
        <w:rPr>
          <w:rFonts w:asciiTheme="majorHAnsi" w:hAnsiTheme="majorHAnsi" w:cstheme="majorHAnsi"/>
          <w:noProof/>
        </w:rPr>
      </w:pPr>
      <w:r>
        <w:rPr>
          <w:noProof/>
        </w:rPr>
        <w:t>visām daudzgadu stratēģijām, kas attiecībā uz ārpuskvotas krājumiem izstrādātas saskaņā ar FISH.16. panta [Sp</w:t>
      </w:r>
      <w:r>
        <w:rPr>
          <w:noProof/>
        </w:rPr>
        <w:t>ecializētā zvejniecības komiteja] 1. punkta c) apakšpunktu,</w:t>
      </w:r>
      <w:r>
        <w:rPr>
          <w:rFonts w:asciiTheme="majorHAnsi" w:hAnsiTheme="majorHAnsi"/>
          <w:noProof/>
        </w:rPr>
        <w:t xml:space="preserve"> un</w:t>
      </w:r>
    </w:p>
    <w:p w:rsidR="003E022D" w:rsidRDefault="007D19D6">
      <w:pPr>
        <w:numPr>
          <w:ilvl w:val="1"/>
          <w:numId w:val="1361"/>
        </w:numPr>
        <w:ind w:left="567" w:hanging="567"/>
        <w:rPr>
          <w:rFonts w:asciiTheme="majorHAnsi" w:hAnsiTheme="majorHAnsi" w:cstheme="majorHAnsi"/>
          <w:noProof/>
        </w:rPr>
      </w:pPr>
      <w:r>
        <w:rPr>
          <w:noProof/>
        </w:rPr>
        <w:t>visiem tehniskajiem un saglabāšanas pasākumiem, par kuriem Puses vienojušās, neskarot FISH.4. pantu [Zvejniecības pārvaldība].</w:t>
      </w:r>
    </w:p>
    <w:p w:rsidR="003E022D" w:rsidRDefault="007D19D6">
      <w:pPr>
        <w:numPr>
          <w:ilvl w:val="0"/>
          <w:numId w:val="1370"/>
        </w:numPr>
        <w:ind w:left="0" w:firstLine="0"/>
        <w:rPr>
          <w:rFonts w:asciiTheme="majorHAnsi" w:hAnsiTheme="majorHAnsi"/>
          <w:noProof/>
        </w:rPr>
      </w:pPr>
      <w:r>
        <w:rPr>
          <w:rFonts w:asciiTheme="majorHAnsi" w:hAnsiTheme="majorHAnsi"/>
          <w:noProof/>
        </w:rPr>
        <w:t>Ikgadējās apspriešanās, tai skaitā apspriešanās par šā panta 1. pu</w:t>
      </w:r>
      <w:r>
        <w:rPr>
          <w:rFonts w:asciiTheme="majorHAnsi" w:hAnsiTheme="majorHAnsi"/>
          <w:noProof/>
        </w:rPr>
        <w:t xml:space="preserve">nktā minēto piekļuves apjomu un nosacījumiem, Puses risina godprātīgi un ar mērķi nodrošināt abpusēji pieņemamu līdzsvaru starp abu Pušu interesēm. </w:t>
      </w:r>
    </w:p>
    <w:p w:rsidR="003E022D" w:rsidRDefault="007D19D6">
      <w:pPr>
        <w:numPr>
          <w:ilvl w:val="0"/>
          <w:numId w:val="1370"/>
        </w:numPr>
        <w:ind w:left="0" w:firstLine="0"/>
        <w:rPr>
          <w:rFonts w:asciiTheme="majorHAnsi" w:hAnsiTheme="majorHAnsi" w:cstheme="majorHAnsi"/>
          <w:noProof/>
        </w:rPr>
      </w:pPr>
      <w:r>
        <w:rPr>
          <w:rFonts w:asciiTheme="majorHAnsi" w:hAnsiTheme="majorHAnsi"/>
          <w:noProof/>
        </w:rPr>
        <w:t>Konkrētāk, apspriešanos rezultātā katrai Pusei parasti būtu jāpiešķir:</w:t>
      </w:r>
    </w:p>
    <w:p w:rsidR="003E022D" w:rsidRDefault="007D19D6">
      <w:pPr>
        <w:numPr>
          <w:ilvl w:val="0"/>
          <w:numId w:val="1372"/>
        </w:numPr>
        <w:ind w:left="567" w:hanging="567"/>
        <w:rPr>
          <w:rFonts w:asciiTheme="majorHAnsi" w:eastAsia="Calibri" w:hAnsiTheme="majorHAnsi" w:cstheme="majorHAnsi"/>
          <w:noProof/>
        </w:rPr>
      </w:pPr>
      <w:r>
        <w:rPr>
          <w:noProof/>
        </w:rPr>
        <w:t xml:space="preserve">piekļuve, kas savstarpēji ļauj </w:t>
      </w:r>
      <w:r>
        <w:rPr>
          <w:noProof/>
        </w:rPr>
        <w:t>zvejot FISH.1. pielikumā un FISH.2.A, B un F pielikumā uzskaitītajos krājumos otras Puses EEZ (vai, ja piekļuve piešķirta saskaņā ar c) apakšpunktu, minētajā apakšpunktā minētajās EEZ un rajonos) apjomā, kurš ir pamatoti samērīgs ar Pušu attiecīgajām daļām</w:t>
      </w:r>
      <w:r>
        <w:rPr>
          <w:noProof/>
        </w:rPr>
        <w:t xml:space="preserve"> no KPN;</w:t>
      </w:r>
      <w:r>
        <w:rPr>
          <w:rFonts w:asciiTheme="majorHAnsi" w:hAnsiTheme="majorHAnsi"/>
          <w:noProof/>
        </w:rPr>
        <w:t xml:space="preserve"> </w:t>
      </w:r>
    </w:p>
    <w:p w:rsidR="003E022D" w:rsidRDefault="007D19D6">
      <w:pPr>
        <w:numPr>
          <w:ilvl w:val="0"/>
          <w:numId w:val="1372"/>
        </w:numPr>
        <w:ind w:left="567" w:hanging="567"/>
        <w:rPr>
          <w:rFonts w:asciiTheme="majorHAnsi" w:eastAsia="Calibri" w:hAnsiTheme="majorHAnsi" w:cstheme="majorHAnsi"/>
          <w:noProof/>
        </w:rPr>
      </w:pPr>
      <w:r>
        <w:rPr>
          <w:noProof/>
        </w:rPr>
        <w:t>piekļuve, kas savstarpēji ļauj zvejot ārpuskvotas krājumos otras Puses EEZ (vai, ja piekļuve piešķirta saskaņā ar c) apakšpunktu, minētajā apakšpunktā minētajās EEZ un rajonos) apjomā, kurš ir vismaz vienāds ar tonnās izteiktu vidējo apjomu, kādu</w:t>
      </w:r>
      <w:r>
        <w:rPr>
          <w:noProof/>
        </w:rPr>
        <w:t xml:space="preserve"> attiecīgā Puse otras Puses ūdeņos nozvejojusi 2012.–2016. gada periodā,</w:t>
      </w:r>
      <w:r>
        <w:rPr>
          <w:rFonts w:asciiTheme="majorHAnsi" w:hAnsiTheme="majorHAnsi"/>
          <w:noProof/>
        </w:rPr>
        <w:t xml:space="preserve"> un</w:t>
      </w:r>
    </w:p>
    <w:p w:rsidR="003E022D" w:rsidRDefault="007D19D6">
      <w:pPr>
        <w:numPr>
          <w:ilvl w:val="0"/>
          <w:numId w:val="1372"/>
        </w:numPr>
        <w:ind w:left="567" w:hanging="567"/>
        <w:rPr>
          <w:rFonts w:asciiTheme="majorHAnsi" w:eastAsia="Calibri" w:hAnsiTheme="majorHAnsi" w:cstheme="majorHAnsi"/>
          <w:noProof/>
        </w:rPr>
      </w:pPr>
      <w:r>
        <w:rPr>
          <w:rFonts w:asciiTheme="majorHAnsi" w:hAnsiTheme="majorHAnsi"/>
          <w:noProof/>
        </w:rPr>
        <w:t xml:space="preserve">piekļuve Pušu ūdeņiem, kas atrodas sešu līdz divpadsmit jūras jūdžu attālumā no bāzes līnijas </w:t>
      </w:r>
      <w:r>
        <w:rPr>
          <w:rFonts w:asciiTheme="majorHAnsi" w:hAnsiTheme="majorHAnsi"/>
          <w:i/>
          <w:iCs/>
          <w:noProof/>
        </w:rPr>
        <w:t>ICES</w:t>
      </w:r>
      <w:r>
        <w:rPr>
          <w:rFonts w:asciiTheme="majorHAnsi" w:hAnsiTheme="majorHAnsi"/>
          <w:noProof/>
        </w:rPr>
        <w:t xml:space="preserve"> 4.c un 7.d–g rajonā, nosacījumiem atbilstošiem kuģiem tādā apmērā, kādā piekļuve </w:t>
      </w:r>
      <w:r>
        <w:rPr>
          <w:rFonts w:asciiTheme="majorHAnsi" w:hAnsiTheme="majorHAnsi"/>
          <w:noProof/>
        </w:rPr>
        <w:t xml:space="preserve">minētajiem ūdeņiem Savienības zvejas kuģiem un Apvienotās Karalistes zvejas kuģiem bija 2020. gada 31. decembrī. </w:t>
      </w:r>
    </w:p>
    <w:p w:rsidR="003E022D" w:rsidRDefault="007D19D6">
      <w:pPr>
        <w:ind w:left="567"/>
        <w:rPr>
          <w:rFonts w:asciiTheme="majorHAnsi" w:eastAsia="Calibri" w:hAnsiTheme="majorHAnsi" w:cstheme="majorHAnsi"/>
          <w:noProof/>
        </w:rPr>
      </w:pPr>
      <w:r>
        <w:rPr>
          <w:noProof/>
        </w:rPr>
        <w:t>Šā punkta c) apakšpunktā “nosacījumiem atbilstošs kuģis” ir Puses kuģis, kas iepriekšējā teikumā minētajā zonā zvejojis četros gados 2012.–201</w:t>
      </w:r>
      <w:r>
        <w:rPr>
          <w:noProof/>
        </w:rPr>
        <w:t>6. gada periodā, vai šāda kuģa tiešs aizstājējkuģis.</w:t>
      </w:r>
    </w:p>
    <w:p w:rsidR="003E022D" w:rsidRDefault="007D19D6">
      <w:pPr>
        <w:spacing w:after="160" w:line="252" w:lineRule="auto"/>
        <w:rPr>
          <w:rFonts w:asciiTheme="majorHAnsi" w:eastAsia="Calibri" w:hAnsiTheme="majorHAnsi" w:cstheme="majorHAnsi"/>
          <w:noProof/>
        </w:rPr>
      </w:pPr>
      <w:r>
        <w:rPr>
          <w:rFonts w:asciiTheme="majorHAnsi" w:hAnsiTheme="majorHAnsi"/>
          <w:noProof/>
        </w:rPr>
        <w:t>Ikgadējās apspriešanās, kas minētas c) apakšpunktā, var aplūkot tādus jautājumus kā atbilstošas finansiālas saistības un kvotu nodošana starp Pusēm.</w:t>
      </w:r>
    </w:p>
    <w:p w:rsidR="003E022D" w:rsidRDefault="007D19D6">
      <w:pPr>
        <w:numPr>
          <w:ilvl w:val="0"/>
          <w:numId w:val="1370"/>
        </w:numPr>
        <w:ind w:left="0" w:firstLine="0"/>
        <w:rPr>
          <w:rFonts w:asciiTheme="majorHAnsi" w:eastAsia="Calibri" w:hAnsiTheme="majorHAnsi" w:cstheme="majorHAnsi"/>
          <w:noProof/>
        </w:rPr>
      </w:pPr>
      <w:r>
        <w:rPr>
          <w:rFonts w:asciiTheme="majorHAnsi" w:hAnsiTheme="majorHAnsi"/>
          <w:noProof/>
        </w:rPr>
        <w:t>Kamēr tiek piemērota provizoriska KPN un vienošanās pa</w:t>
      </w:r>
      <w:r>
        <w:rPr>
          <w:rFonts w:asciiTheme="majorHAnsi" w:hAnsiTheme="majorHAnsi"/>
          <w:noProof/>
        </w:rPr>
        <w:t xml:space="preserve">r KPN nav panākta, Puses piešķir šādu provizorisku piekļuvi, kas ļauj zvejot attiecīgajos </w:t>
      </w:r>
      <w:r>
        <w:rPr>
          <w:rFonts w:asciiTheme="majorHAnsi" w:hAnsiTheme="majorHAnsi"/>
          <w:i/>
          <w:iCs/>
          <w:noProof/>
        </w:rPr>
        <w:t>ICES</w:t>
      </w:r>
      <w:r>
        <w:rPr>
          <w:rFonts w:asciiTheme="majorHAnsi" w:hAnsiTheme="majorHAnsi"/>
          <w:noProof/>
        </w:rPr>
        <w:t xml:space="preserve"> apakšapgabalos:</w:t>
      </w:r>
    </w:p>
    <w:p w:rsidR="003E022D" w:rsidRDefault="007D19D6">
      <w:pPr>
        <w:numPr>
          <w:ilvl w:val="0"/>
          <w:numId w:val="1391"/>
        </w:numPr>
        <w:rPr>
          <w:rFonts w:asciiTheme="majorHAnsi" w:eastAsia="Calibri" w:hAnsiTheme="majorHAnsi" w:cstheme="majorHAnsi"/>
          <w:noProof/>
        </w:rPr>
      </w:pPr>
      <w:r>
        <w:rPr>
          <w:noProof/>
        </w:rPr>
        <w:t xml:space="preserve">attiecībā uz FISH.1. pielikumā uzskaitītajiem krājumiem un ārpuskvotas krājumiem – no 1. janvāra līdz 31. martam 4. punkta a) un b) apakšpunktā </w:t>
      </w:r>
      <w:r>
        <w:rPr>
          <w:noProof/>
        </w:rPr>
        <w:t>paredzētajā apjomā;</w:t>
      </w:r>
      <w:r>
        <w:rPr>
          <w:rFonts w:asciiTheme="majorHAnsi" w:hAnsiTheme="majorHAnsi"/>
          <w:noProof/>
        </w:rPr>
        <w:t xml:space="preserve"> </w:t>
      </w:r>
    </w:p>
    <w:p w:rsidR="003E022D" w:rsidRDefault="007D19D6">
      <w:pPr>
        <w:numPr>
          <w:ilvl w:val="0"/>
          <w:numId w:val="1391"/>
        </w:numPr>
        <w:rPr>
          <w:rFonts w:asciiTheme="majorHAnsi" w:eastAsia="Calibri" w:hAnsiTheme="majorHAnsi" w:cstheme="majorHAnsi"/>
          <w:noProof/>
        </w:rPr>
      </w:pPr>
      <w:r>
        <w:rPr>
          <w:noProof/>
        </w:rPr>
        <w:t>attiecībā uz FISH.2. pielikumā uzskaitītiem krājumiem – no 1. janvāra līdz 14. februārim 4. punkta a) apakšpunktā paredzētajā apjomā,</w:t>
      </w:r>
      <w:r>
        <w:rPr>
          <w:rFonts w:asciiTheme="majorHAnsi" w:hAnsiTheme="majorHAnsi"/>
          <w:noProof/>
        </w:rPr>
        <w:t xml:space="preserve"> un</w:t>
      </w:r>
    </w:p>
    <w:p w:rsidR="003E022D" w:rsidRDefault="007D19D6">
      <w:pPr>
        <w:numPr>
          <w:ilvl w:val="0"/>
          <w:numId w:val="1391"/>
        </w:numPr>
        <w:rPr>
          <w:rFonts w:asciiTheme="majorHAnsi" w:eastAsia="Calibri" w:hAnsiTheme="majorHAnsi" w:cstheme="majorHAnsi"/>
          <w:noProof/>
        </w:rPr>
      </w:pPr>
      <w:r>
        <w:rPr>
          <w:noProof/>
        </w:rPr>
        <w:t>attiecībā uz piekļuvi, kas ļauj zvejot sešu līdz divpadsmit jūras jūdžu zonā, – piekļuvi saskaņā a</w:t>
      </w:r>
      <w:r>
        <w:rPr>
          <w:noProof/>
        </w:rPr>
        <w:t>r 4. punkta c) apakšpunktu no 1. janvāra līdz 31. janvārim tādā apjomā, kas vienāds ar tonnās izteiktu vidējo apjomu, kas minētajā zonā nozvejots iepriekšējos 3 mēnešos.</w:t>
      </w:r>
    </w:p>
    <w:p w:rsidR="003E022D" w:rsidRDefault="007D19D6">
      <w:pPr>
        <w:spacing w:before="240"/>
        <w:rPr>
          <w:rFonts w:asciiTheme="majorHAnsi" w:eastAsia="Calibri" w:hAnsiTheme="majorHAnsi" w:cstheme="majorHAnsi"/>
          <w:noProof/>
        </w:rPr>
      </w:pPr>
      <w:r>
        <w:rPr>
          <w:rFonts w:asciiTheme="majorHAnsi" w:hAnsiTheme="majorHAnsi"/>
          <w:noProof/>
        </w:rPr>
        <w:t>Šāda piekļuve katram attiecīgajam krājumam, kas minēts a) un b) apakšpunktā, ir propor</w:t>
      </w:r>
      <w:r>
        <w:rPr>
          <w:rFonts w:asciiTheme="majorHAnsi" w:hAnsiTheme="majorHAnsi"/>
          <w:noProof/>
        </w:rPr>
        <w:t xml:space="preserve">cionāla vidējai procentuālajai daļai no Puses daļas no ikgadējās KPN, kādu attiecīgās Puses kuģi nozvejojuši otras Puses ūdeņos attiecīgajos </w:t>
      </w:r>
      <w:r>
        <w:rPr>
          <w:rFonts w:asciiTheme="majorHAnsi" w:hAnsiTheme="majorHAnsi"/>
          <w:i/>
          <w:iCs/>
          <w:noProof/>
        </w:rPr>
        <w:t>ICES</w:t>
      </w:r>
      <w:r>
        <w:rPr>
          <w:rFonts w:asciiTheme="majorHAnsi" w:hAnsiTheme="majorHAnsi"/>
          <w:noProof/>
        </w:rPr>
        <w:t xml:space="preserve"> apakšapgabalos tajā pašā periodā iepriekšējo trīs kalendārajos gados. To pašu </w:t>
      </w:r>
      <w:r>
        <w:rPr>
          <w:rFonts w:asciiTheme="majorHAnsi" w:hAnsiTheme="majorHAnsi"/>
          <w:i/>
          <w:iCs/>
          <w:noProof/>
        </w:rPr>
        <w:t>mutatis mutandis</w:t>
      </w:r>
      <w:r>
        <w:rPr>
          <w:rFonts w:asciiTheme="majorHAnsi" w:hAnsiTheme="majorHAnsi"/>
          <w:noProof/>
        </w:rPr>
        <w:t xml:space="preserve"> piemēro piekļuv</w:t>
      </w:r>
      <w:r>
        <w:rPr>
          <w:rFonts w:asciiTheme="majorHAnsi" w:hAnsiTheme="majorHAnsi"/>
          <w:noProof/>
        </w:rPr>
        <w:t xml:space="preserve">ei, kas ļauj zvejot ārpuskvotas krājumos. </w:t>
      </w:r>
    </w:p>
    <w:p w:rsidR="003E022D" w:rsidRDefault="007D19D6">
      <w:pPr>
        <w:rPr>
          <w:rFonts w:asciiTheme="majorHAnsi" w:eastAsia="Calibri" w:hAnsiTheme="majorHAnsi" w:cstheme="majorHAnsi"/>
          <w:noProof/>
          <w:color w:val="0000FF"/>
        </w:rPr>
      </w:pPr>
      <w:r>
        <w:rPr>
          <w:noProof/>
        </w:rPr>
        <w:t>Attiecībā uz šā punkta c) apakšpunktā minēto situāciju līdz 15. janvārim, attiecībā uz FISH.2. pielikumā uzskaitītajiem krājumiem līdz 31. janvārim un attiecībā uz visiem citiem krājumiem līdz 15. martam katra Pus</w:t>
      </w:r>
      <w:r>
        <w:rPr>
          <w:noProof/>
        </w:rPr>
        <w:t>e paziņo otrai Pusei ūdeņiem dotās piekļuves apjoma un nosacījumu izmaiņas, kas attiecībā uz c) apakšpunktā minēto situāciju būs piemērojamas no 1. februāra, attiecībā uz FISH.2. pielikumā uzskaitītajiem krājumiem – no 15. februāra un attiecībā uz visiem c</w:t>
      </w:r>
      <w:r>
        <w:rPr>
          <w:noProof/>
        </w:rPr>
        <w:t xml:space="preserve">itiem krājumiem attiecīgajos </w:t>
      </w:r>
      <w:r>
        <w:rPr>
          <w:i/>
          <w:iCs/>
          <w:noProof/>
        </w:rPr>
        <w:t>ICES</w:t>
      </w:r>
      <w:r>
        <w:rPr>
          <w:noProof/>
        </w:rPr>
        <w:t xml:space="preserve"> apakšapgabalos – no 1. aprīļa.</w:t>
      </w:r>
    </w:p>
    <w:p w:rsidR="003E022D" w:rsidRDefault="007D19D6">
      <w:pPr>
        <w:numPr>
          <w:ilvl w:val="0"/>
          <w:numId w:val="1370"/>
        </w:numPr>
        <w:ind w:left="0" w:firstLine="0"/>
        <w:rPr>
          <w:rFonts w:asciiTheme="majorHAnsi" w:hAnsiTheme="majorHAnsi"/>
          <w:noProof/>
        </w:rPr>
      </w:pPr>
      <w:r>
        <w:rPr>
          <w:noProof/>
        </w:rPr>
        <w:t xml:space="preserve">Neskarot FISH.7. panta [Provizoriskas KPN] 1. un 8. punktu, </w:t>
      </w:r>
      <w:bookmarkStart w:id="233" w:name="_Hlk58969373"/>
      <w:r>
        <w:rPr>
          <w:noProof/>
        </w:rPr>
        <w:t>pēc viena mēneša attiecībā uz 5. punkta c) apakšpunktā minēto situāciju, pēc pusotra mēneša attiecībā uz FISH.2. pielikumā uzskaitī</w:t>
      </w:r>
      <w:r>
        <w:rPr>
          <w:noProof/>
        </w:rPr>
        <w:t>tajiem krājumiem un pēc trim mēnešiem attiecībā uz visiem citiem krājumiem Puses cenšas vienoties par tālāku provizoriskās piekļuves kārtību atbilstošā ģeogrāfiskajā līmenī ar mērķi panākt, lai zvejas darbību pārtraukumi būtu pēc iespējas minimāli.</w:t>
      </w:r>
      <w:bookmarkEnd w:id="233"/>
    </w:p>
    <w:p w:rsidR="003E022D" w:rsidRDefault="003E022D">
      <w:pPr>
        <w:rPr>
          <w:rFonts w:eastAsia="Calibri" w:cs="Calibri"/>
          <w:noProof/>
        </w:rPr>
      </w:pPr>
    </w:p>
    <w:p w:rsidR="003E022D" w:rsidRDefault="007D19D6">
      <w:pPr>
        <w:numPr>
          <w:ilvl w:val="0"/>
          <w:numId w:val="1370"/>
        </w:numPr>
        <w:ind w:left="0" w:firstLine="0"/>
        <w:rPr>
          <w:rFonts w:asciiTheme="majorHAnsi" w:hAnsiTheme="majorHAnsi" w:cstheme="majorHAnsi"/>
          <w:noProof/>
        </w:rPr>
      </w:pPr>
      <w:r>
        <w:rPr>
          <w:rFonts w:asciiTheme="majorHAnsi" w:hAnsiTheme="majorHAnsi"/>
          <w:noProof/>
        </w:rPr>
        <w:t>Kad Pu</w:t>
      </w:r>
      <w:r>
        <w:rPr>
          <w:rFonts w:asciiTheme="majorHAnsi" w:hAnsiTheme="majorHAnsi"/>
          <w:noProof/>
        </w:rPr>
        <w:t>se piešķir piekļuvi saskaņā ar 1. punktu, tā var ņemt vērā individuālu kuģu vai kuģu grupu atbilstību piemērojamajiem noteikumiem tās ūdeņos iepriekšējā gadā un pasākumus, ko otra Puse iepriekšējā gadā veikusi, ievērojot FISH.5. panta [Atļaujas, atbilstība</w:t>
      </w:r>
      <w:r>
        <w:rPr>
          <w:rFonts w:asciiTheme="majorHAnsi" w:hAnsiTheme="majorHAnsi"/>
          <w:noProof/>
        </w:rPr>
        <w:t xml:space="preserve"> un izpildes panākšana] 2. punktu.</w:t>
      </w:r>
    </w:p>
    <w:p w:rsidR="003E022D" w:rsidRDefault="007D19D6">
      <w:pPr>
        <w:numPr>
          <w:ilvl w:val="0"/>
          <w:numId w:val="1370"/>
        </w:numPr>
        <w:ind w:left="0" w:firstLine="0"/>
        <w:rPr>
          <w:rFonts w:asciiTheme="majorHAnsi" w:eastAsia="Calibri" w:hAnsiTheme="majorHAnsi" w:cstheme="majorHAnsi"/>
          <w:noProof/>
        </w:rPr>
      </w:pPr>
      <w:r>
        <w:rPr>
          <w:noProof/>
        </w:rPr>
        <w:t>Šo pantu piemēro, ņemot vērā FISH.4. pielikumu [Protokols par piekļuvi ūdeņiem].</w:t>
      </w:r>
    </w:p>
    <w:p w:rsidR="003E022D" w:rsidRDefault="007D19D6">
      <w:pPr>
        <w:pStyle w:val="Article"/>
        <w:rPr>
          <w:noProof/>
          <w:color w:val="0000E1"/>
        </w:rPr>
      </w:pPr>
      <w:r>
        <w:rPr>
          <w:noProof/>
        </w:rPr>
        <w:t>FISH.9. pants. Kompensējoši pasākumi, kas veicami piekļuves atsaukšanas vai samazināšanas gadījumā</w:t>
      </w:r>
      <w:r>
        <w:rPr>
          <w:noProof/>
          <w:color w:val="0000E1"/>
        </w:rPr>
        <w:t xml:space="preserve"> </w:t>
      </w:r>
    </w:p>
    <w:p w:rsidR="003E022D" w:rsidRDefault="007D19D6">
      <w:pPr>
        <w:rPr>
          <w:rFonts w:eastAsia="Calibri" w:cs="Calibri"/>
          <w:noProof/>
          <w:color w:val="0000FF"/>
        </w:rPr>
      </w:pPr>
      <w:r>
        <w:rPr>
          <w:noProof/>
        </w:rPr>
        <w:t>1.</w:t>
      </w:r>
      <w:r>
        <w:rPr>
          <w:noProof/>
        </w:rPr>
        <w:tab/>
        <w:t>Pēc Puses (“uzņēmēja Puse”) paziņojum</w:t>
      </w:r>
      <w:r>
        <w:rPr>
          <w:noProof/>
        </w:rPr>
        <w:t>a, kas sniegts saskaņā ar FISH.8. panta [Piekļuve ūdeņiem] 5. punktu, otra Puse (“zvejotāja Puse”) drīkst veikt kompensējošus pasākumus, kas ir samērīgi ar ekonomisko un sociālo ietekmi, ko radījušas ūdeņiem dotās piekļuves apjoma un nosacījumu izmaiņas. Š</w:t>
      </w:r>
      <w:r>
        <w:rPr>
          <w:noProof/>
        </w:rPr>
        <w:t xml:space="preserve">ādu ietekmi mēra, pamatojoties uz uzticamiem pierādījumiem, nevis tikai uz pieņēmumiem vai maz ticamām iespējām. Dodot priekšroku tādiem kompensējošiem pasākumiem, kas šā nolīguma darbību traucētu vismazāk, zvejotāja Puse drīkst pilnībā vai daļēji apturēt </w:t>
      </w:r>
      <w:r>
        <w:rPr>
          <w:noProof/>
        </w:rPr>
        <w:t>piekļuvi saviem ūdeņiem un preferenciāla tarifa režīmu, kas zvejniecības produktiem piešķirts saskaņā ar GOODS.5. pantu [Muitas nodokļu aizliegums].</w:t>
      </w:r>
    </w:p>
    <w:p w:rsidR="003E022D" w:rsidRDefault="007D19D6">
      <w:pPr>
        <w:rPr>
          <w:rFonts w:eastAsia="Calibri" w:cs="Calibri"/>
          <w:noProof/>
          <w:color w:val="0000FF"/>
        </w:rPr>
      </w:pPr>
      <w:r>
        <w:rPr>
          <w:noProof/>
        </w:rPr>
        <w:t>2.</w:t>
      </w:r>
      <w:r>
        <w:rPr>
          <w:noProof/>
          <w:color w:val="0000FF"/>
        </w:rPr>
        <w:t xml:space="preserve"> </w:t>
      </w:r>
      <w:r>
        <w:rPr>
          <w:noProof/>
        </w:rPr>
        <w:t xml:space="preserve">Kompensējošs pasākums, kas minēts 1. punktā, var stāties spēkā ne agrāk kā septiņas dienas pēc tam, kas </w:t>
      </w:r>
      <w:r>
        <w:rPr>
          <w:noProof/>
        </w:rPr>
        <w:t>zvejotāja Puse ir nosūtījusi uzņēmējai Pusei paziņojumu par plānoto apturēšanu saskaņā ar 1. punktu, bet nekādā gadījumā ne agrāk kā 1. februārī attiecībā uz FISH.8. panta [Piekļuve ūdeņiem] 5. punkta c) apakšpunktā minēto situāciju, 15. februārī attiecībā</w:t>
      </w:r>
      <w:r>
        <w:rPr>
          <w:noProof/>
        </w:rPr>
        <w:t xml:space="preserve"> uz FISH.2. pielikumā uzskaitītajiem krājumiem un 1. aprīlī attiecībā uz citiem krājumiem. Puses apspriežas specializētajā komitejā, lai panāktu savstarpēji pieņemamu risinājumu. Minētajā paziņojumā norāda:</w:t>
      </w:r>
    </w:p>
    <w:p w:rsidR="003E022D" w:rsidRDefault="007D19D6">
      <w:pPr>
        <w:numPr>
          <w:ilvl w:val="1"/>
          <w:numId w:val="1368"/>
        </w:numPr>
        <w:ind w:left="567" w:hanging="567"/>
        <w:rPr>
          <w:rFonts w:asciiTheme="minorHAnsi" w:hAnsiTheme="minorHAnsi" w:cstheme="minorHAnsi"/>
          <w:noProof/>
        </w:rPr>
      </w:pPr>
      <w:r>
        <w:rPr>
          <w:rFonts w:asciiTheme="minorHAnsi" w:hAnsiTheme="minorHAnsi"/>
          <w:noProof/>
        </w:rPr>
        <w:t xml:space="preserve">datumu, no kura zvejotāja Puse plāno apturēšanu, </w:t>
      </w:r>
      <w:r>
        <w:rPr>
          <w:rFonts w:asciiTheme="minorHAnsi" w:hAnsiTheme="minorHAnsi"/>
          <w:noProof/>
        </w:rPr>
        <w:t>un</w:t>
      </w:r>
    </w:p>
    <w:p w:rsidR="003E022D" w:rsidRDefault="007D19D6">
      <w:pPr>
        <w:numPr>
          <w:ilvl w:val="1"/>
          <w:numId w:val="1368"/>
        </w:numPr>
        <w:ind w:left="567" w:hanging="567"/>
        <w:rPr>
          <w:rFonts w:asciiTheme="minorHAnsi" w:hAnsiTheme="minorHAnsi" w:cstheme="minorHAnsi"/>
          <w:noProof/>
        </w:rPr>
      </w:pPr>
      <w:r>
        <w:rPr>
          <w:rFonts w:asciiTheme="minorHAnsi" w:hAnsiTheme="minorHAnsi"/>
          <w:noProof/>
        </w:rPr>
        <w:t>saistības, kuru izpilde jāaptur, un plānotās apturēšanas līmeni.</w:t>
      </w:r>
    </w:p>
    <w:p w:rsidR="003E022D" w:rsidRDefault="007D19D6">
      <w:pPr>
        <w:rPr>
          <w:rFonts w:eastAsia="Calibri" w:cs="Calibri"/>
          <w:noProof/>
          <w:color w:val="0000FF"/>
        </w:rPr>
      </w:pPr>
      <w:r>
        <w:rPr>
          <w:noProof/>
        </w:rPr>
        <w:t>3.           Pēc tam, kad kompensējošie pasākumi ir paziņoti saskaņā ar 2. punktu, uzņēmēja Puse var prasīt izveidot šķīrējtiesu atbilstīgi sestās daļas I sadaļas [Strīdu izšķiršana] INST.</w:t>
      </w:r>
      <w:r>
        <w:rPr>
          <w:noProof/>
        </w:rPr>
        <w:t>14. pantam [Šķīrējtiesas procedūra], iepriekš neizmantojot apspriešanos saskaņā ar INST.13. pantu [Apspriešanās]. Šķīrējtiesa var vienīgi pārskatīt kompensējošo pasākumu atbilstību 1. punktam. Šķīrējtiesa jautājumu uzskata par steidzamu sestās daļas I sada</w:t>
      </w:r>
      <w:r>
        <w:rPr>
          <w:noProof/>
        </w:rPr>
        <w:t xml:space="preserve">ļas [Strīdu izšķiršana] INST.19. panta [Steidzama tiesvedība] nolūkā. </w:t>
      </w:r>
    </w:p>
    <w:p w:rsidR="003E022D" w:rsidRDefault="007D19D6">
      <w:pPr>
        <w:rPr>
          <w:rFonts w:eastAsia="Calibri" w:cs="Calibri"/>
          <w:noProof/>
          <w:color w:val="0000FF"/>
        </w:rPr>
      </w:pPr>
      <w:r>
        <w:rPr>
          <w:noProof/>
        </w:rPr>
        <w:t>4.</w:t>
      </w:r>
      <w:r>
        <w:rPr>
          <w:noProof/>
          <w:color w:val="0000FF"/>
        </w:rPr>
        <w:t xml:space="preserve"> </w:t>
      </w:r>
      <w:r>
        <w:rPr>
          <w:noProof/>
        </w:rPr>
        <w:t xml:space="preserve"> Kad 1. punktā minēto kompensējošo pasākumu veikšanas nosacījumi vairs nav izpildīti, šādus pasākumus tūlīt atsauc.</w:t>
      </w:r>
    </w:p>
    <w:p w:rsidR="003E022D" w:rsidRDefault="007D19D6">
      <w:pPr>
        <w:rPr>
          <w:rFonts w:eastAsia="Calibri" w:cs="Calibri"/>
          <w:noProof/>
          <w:color w:val="0000FF"/>
        </w:rPr>
      </w:pPr>
      <w:r>
        <w:rPr>
          <w:noProof/>
        </w:rPr>
        <w:t>5.</w:t>
      </w:r>
      <w:r>
        <w:rPr>
          <w:noProof/>
        </w:rPr>
        <w:tab/>
        <w:t xml:space="preserve">Ja 3. punkta minētajā procedūrā izdarīts konstatējums pret </w:t>
      </w:r>
      <w:r>
        <w:rPr>
          <w:noProof/>
        </w:rPr>
        <w:t>zvejotāju Pusi, uzņēmēja Puse var lūgt šķīrējtiesai 30 dienu laikā pēc tās nolēmuma noteikt līmeni, kādā apturama šajā nolīgumā paredzēto saistību izpilde un kas nepārsniedz līmeni, kurš līdzvērtīgs kompensējošo pasākumu piemērošanas izraisītajam zudumam v</w:t>
      </w:r>
      <w:r>
        <w:rPr>
          <w:noProof/>
        </w:rPr>
        <w:t>ai samazinājumam, ja tā uzskata, ka kompensējošo pasākumu neatbilstība 1. punktam ir būtiska. Lūgumā ierosina izpildes apturēšanas līmeni, kas ir saskaņā ar 1. punktā noteiktajiem principiem un visiem attiecīgajiem principiem, kas izklāstīti INST.34.C pant</w:t>
      </w:r>
      <w:r>
        <w:rPr>
          <w:noProof/>
        </w:rPr>
        <w:t>ā [Saistību apturēšana LPFS.3.12. panta 12. punkta, FISH.9. panta 5. punkta un FISH.14. panta 7. punkta nolūkā]. Šajā nolīgumā paredzēto saistību apturēšanu līmenī, kas ir saskaņā ar šķīrējtiesas noteikto apturēšanas līmeni, uzņēmēja Puse drīkst piemērot n</w:t>
      </w:r>
      <w:r>
        <w:rPr>
          <w:noProof/>
        </w:rPr>
        <w:t>e drīzāk kā 15 dienas pēc šāda nolēmuma.</w:t>
      </w:r>
    </w:p>
    <w:p w:rsidR="003E022D" w:rsidRDefault="003E022D">
      <w:pPr>
        <w:spacing w:before="251"/>
        <w:ind w:right="28"/>
        <w:contextualSpacing/>
        <w:rPr>
          <w:rFonts w:eastAsia="Calibri" w:cs="Calibri"/>
          <w:noProof/>
          <w:color w:val="0000FF"/>
        </w:rPr>
      </w:pPr>
    </w:p>
    <w:p w:rsidR="003E022D" w:rsidRDefault="007D19D6">
      <w:pPr>
        <w:rPr>
          <w:rFonts w:eastAsia="Calibri" w:cs="Calibri"/>
          <w:noProof/>
        </w:rPr>
      </w:pPr>
      <w:r>
        <w:rPr>
          <w:noProof/>
        </w:rPr>
        <w:t>6.           PTO nolīgumu vai jebkādu citu starptautisku nolīgumu Puse neizmanto par pamatojumu, lai liegtu otrai Pusei apturēt saistību izpildi saskaņā ar šo pantu.</w:t>
      </w:r>
    </w:p>
    <w:p w:rsidR="003E022D" w:rsidRDefault="007D19D6">
      <w:pPr>
        <w:pStyle w:val="Article"/>
        <w:rPr>
          <w:noProof/>
        </w:rPr>
      </w:pPr>
      <w:r>
        <w:rPr>
          <w:rStyle w:val="ArticleChar"/>
          <w:noProof/>
        </w:rPr>
        <w:t xml:space="preserve">FISH.10. pants. Piekļuve Gērnsijas Teritoriālās </w:t>
      </w:r>
      <w:r>
        <w:rPr>
          <w:rStyle w:val="ArticleChar"/>
          <w:noProof/>
        </w:rPr>
        <w:t>Vienības, Džērsijas Teritoriālās Vienības un Menas Salas ūdeņiem</w:t>
      </w:r>
    </w:p>
    <w:p w:rsidR="003E022D" w:rsidRDefault="007D19D6">
      <w:pPr>
        <w:rPr>
          <w:rFonts w:eastAsia="Calibri" w:cs="Calibri"/>
          <w:noProof/>
        </w:rPr>
      </w:pPr>
      <w:r>
        <w:rPr>
          <w:noProof/>
        </w:rPr>
        <w:t>1.</w:t>
      </w:r>
      <w:r>
        <w:rPr>
          <w:noProof/>
        </w:rPr>
        <w:tab/>
        <w:t>Atkāpjoties no FISH.8. panta [Piekļuve ūdeņiem] 1. un 3.–7. punkta, FISH.9. panta [Kompensējoši pasākumi, kas veicami piekļuves atsaukšanas vai samazināšanas gadījumā] un FISH.4. pielikuma</w:t>
      </w:r>
      <w:r>
        <w:rPr>
          <w:noProof/>
        </w:rPr>
        <w:t xml:space="preserve"> [Protokols par piekļuvi ūdeņiem], katra Puse piešķir otras Puses kuģiem piekļuvi, kas ļauj zvejot tās ūdeņos un atspoguļo to zvejas darbību faktisko apmēru un raksturu, par kādām tā var pierādīt, ka nosacījumiem atbilstoši otras Puses kuģi tās veikuši ūde</w:t>
      </w:r>
      <w:r>
        <w:rPr>
          <w:noProof/>
        </w:rPr>
        <w:t xml:space="preserve">ņos periodā, kas sākas 2017. gada 1. februārī un beidzas 2020. gada 31. janvārī, un saskaņā ar jebkādu līgumā noteiktu kārtību, kas pastāvēja 2020. gada 31. janvārī. </w:t>
      </w:r>
    </w:p>
    <w:p w:rsidR="003E022D" w:rsidRDefault="007D19D6">
      <w:pPr>
        <w:rPr>
          <w:rFonts w:eastAsia="Calibri" w:cs="Calibri"/>
          <w:noProof/>
        </w:rPr>
      </w:pPr>
      <w:r>
        <w:rPr>
          <w:noProof/>
        </w:rPr>
        <w:t>2.</w:t>
      </w:r>
      <w:r>
        <w:rPr>
          <w:noProof/>
        </w:rPr>
        <w:tab/>
        <w:t>Šajā pantā un tiktāl, cik uz šajā pantā noteikto piekļuves kārtību attiecas citi šā te</w:t>
      </w:r>
      <w:r>
        <w:rPr>
          <w:noProof/>
        </w:rPr>
        <w:t>mata panti:</w:t>
      </w:r>
    </w:p>
    <w:p w:rsidR="003E022D" w:rsidRDefault="007D19D6">
      <w:pPr>
        <w:numPr>
          <w:ilvl w:val="0"/>
          <w:numId w:val="1393"/>
        </w:numPr>
        <w:rPr>
          <w:rFonts w:asciiTheme="minorHAnsi" w:hAnsiTheme="minorHAnsi" w:cstheme="minorHAnsi"/>
          <w:noProof/>
        </w:rPr>
      </w:pPr>
      <w:r>
        <w:rPr>
          <w:rFonts w:asciiTheme="minorHAnsi" w:hAnsiTheme="minorHAnsi"/>
          <w:noProof/>
        </w:rPr>
        <w:t>“nosacījumiem atbilstošs kuģis” attiecībā uz zvejas darbību, ko veic Gērnsijas Teritoriālajai Vienībai, Džērsijas Teritoriālajai Vienībai, Menas Salai vai dalībvalstij piegulošos ūdeņos, ir ikviens kuģis, kas attiecīgajai teritorijai vai attiec</w:t>
      </w:r>
      <w:r>
        <w:rPr>
          <w:rFonts w:asciiTheme="minorHAnsi" w:hAnsiTheme="minorHAnsi"/>
          <w:noProof/>
        </w:rPr>
        <w:t>īgajai dalībvalstij piegulošajā teritoriālajā jūrā jebkurā no trim 12 mēnešu periodiem, kas beidzas 31. janvārī, laikposmā no 2017. gada 1. februāra līdz 2020. gada 31. janvārim ir zvejojis vairāk nekā 10 dienas;</w:t>
      </w:r>
    </w:p>
    <w:p w:rsidR="003E022D" w:rsidRDefault="007D19D6">
      <w:pPr>
        <w:numPr>
          <w:ilvl w:val="0"/>
          <w:numId w:val="1393"/>
        </w:numPr>
        <w:rPr>
          <w:rFonts w:asciiTheme="minorHAnsi" w:hAnsiTheme="minorHAnsi" w:cstheme="minorHAnsi"/>
          <w:noProof/>
        </w:rPr>
      </w:pPr>
      <w:r>
        <w:rPr>
          <w:rFonts w:asciiTheme="minorHAnsi" w:hAnsiTheme="minorHAnsi"/>
          <w:noProof/>
        </w:rPr>
        <w:t>(Puses) “kuģis” attiecībā uz Apvienoto Kara</w:t>
      </w:r>
      <w:r>
        <w:rPr>
          <w:rFonts w:asciiTheme="minorHAnsi" w:hAnsiTheme="minorHAnsi"/>
          <w:noProof/>
        </w:rPr>
        <w:t>listi ir zvejas kuģis, kas peld ar Apvienotās Karalistes karogu, ir reģistrēts Gērnsijas Teritoriālajā Vienībā, Džērsijas Teritoriālajā Vienībā vai Menas Salā un kam ir Apvienotās Karalistes zivsaimniecības pārvaldes izdota licence;</w:t>
      </w:r>
    </w:p>
    <w:p w:rsidR="003E022D" w:rsidRDefault="007D19D6">
      <w:pPr>
        <w:numPr>
          <w:ilvl w:val="0"/>
          <w:numId w:val="1393"/>
        </w:numPr>
        <w:rPr>
          <w:rFonts w:asciiTheme="minorHAnsi" w:hAnsiTheme="minorHAnsi" w:cstheme="minorHAnsi"/>
          <w:noProof/>
        </w:rPr>
      </w:pPr>
      <w:r>
        <w:rPr>
          <w:rFonts w:asciiTheme="minorHAnsi" w:hAnsiTheme="minorHAnsi"/>
          <w:noProof/>
        </w:rPr>
        <w:t>(Puses) “ūdeņi”:</w:t>
      </w:r>
    </w:p>
    <w:p w:rsidR="003E022D" w:rsidRDefault="007D19D6">
      <w:pPr>
        <w:numPr>
          <w:ilvl w:val="2"/>
          <w:numId w:val="1379"/>
        </w:numPr>
        <w:ind w:left="1276" w:hanging="567"/>
        <w:rPr>
          <w:rFonts w:eastAsia="Calibri" w:cs="Calibri"/>
          <w:noProof/>
        </w:rPr>
      </w:pPr>
      <w:r>
        <w:rPr>
          <w:noProof/>
        </w:rPr>
        <w:t>attiec</w:t>
      </w:r>
      <w:r>
        <w:rPr>
          <w:noProof/>
        </w:rPr>
        <w:t>ībā uz Savienību – dalībvalstij piegulošā teritoriālā jūra, un</w:t>
      </w:r>
    </w:p>
    <w:p w:rsidR="003E022D" w:rsidRDefault="007D19D6">
      <w:pPr>
        <w:numPr>
          <w:ilvl w:val="2"/>
          <w:numId w:val="1379"/>
        </w:numPr>
        <w:ind w:left="1276" w:hanging="567"/>
        <w:rPr>
          <w:rFonts w:eastAsia="Calibri" w:cs="Calibri"/>
          <w:noProof/>
        </w:rPr>
      </w:pPr>
      <w:r>
        <w:rPr>
          <w:noProof/>
        </w:rPr>
        <w:t>attiecībā uz Apvienoto Karalisti – Gērnsijas Teritoriālajai Vienībai, Džērsijas Teritoriālajai Vienībai un Menas Salai piegulošā teritoriālā jūra.</w:t>
      </w:r>
    </w:p>
    <w:p w:rsidR="003E022D" w:rsidRDefault="007D19D6">
      <w:pPr>
        <w:rPr>
          <w:rFonts w:eastAsia="Calibri" w:cs="Calibri"/>
          <w:noProof/>
        </w:rPr>
      </w:pPr>
      <w:r>
        <w:rPr>
          <w:noProof/>
        </w:rPr>
        <w:t>3.</w:t>
      </w:r>
      <w:r>
        <w:rPr>
          <w:noProof/>
        </w:rPr>
        <w:tab/>
        <w:t>Pēc jebkuras Puses pieprasījuma Partnerības</w:t>
      </w:r>
      <w:r>
        <w:rPr>
          <w:noProof/>
        </w:rPr>
        <w:t xml:space="preserve"> padome 90 dienu laikā pēc šā nolīguma stāšanās spēkā lemj par to, ka 30 dienas pēc šāda lēmuma šo pantu, FISH.11. pantu [Paziņošanas termiņi, kas saistīti ar zvejniecības produktu importēšanu un tiešu izkraušanu] un jebkādus citus šā temata noteikumus, ci</w:t>
      </w:r>
      <w:r>
        <w:rPr>
          <w:noProof/>
        </w:rPr>
        <w:t>ktāl tie attiecas uz minētajos pantos paredzēto kārtību, kā arī OTH.9. panta [Ģeogrāfiskā piemērošana] 3.–5. punktu pārstāj piemērot attiecībā uz vienu vai vairākām no šādām teritorijām: Gērnsijas Teritoriālā Vienība, Džērsijas Teritoriālā Vienība un Menas</w:t>
      </w:r>
      <w:r>
        <w:rPr>
          <w:noProof/>
        </w:rPr>
        <w:t xml:space="preserve"> Sala.</w:t>
      </w:r>
    </w:p>
    <w:p w:rsidR="003E022D" w:rsidRDefault="007D19D6">
      <w:pPr>
        <w:rPr>
          <w:rFonts w:eastAsia="Calibri" w:cs="Calibri"/>
          <w:noProof/>
        </w:rPr>
      </w:pPr>
      <w:r>
        <w:rPr>
          <w:noProof/>
        </w:rPr>
        <w:t>4.</w:t>
      </w:r>
      <w:r>
        <w:rPr>
          <w:noProof/>
        </w:rPr>
        <w:tab/>
        <w:t>Partnerības padome var nolemt grozīt šo pantu, FISH.11. pantu [Paziņošanas termiņi, kas saistīti ar zvejniecības produktu importēšanu un tiešu izkraušanu] un jebkādus citus šā temata noteikumus, ciktāl tie attiecas uz minētajos pantos paredzēto k</w:t>
      </w:r>
      <w:r>
        <w:rPr>
          <w:noProof/>
        </w:rPr>
        <w:t>ārtību.</w:t>
      </w:r>
    </w:p>
    <w:p w:rsidR="003E022D" w:rsidRDefault="007D19D6">
      <w:pPr>
        <w:pStyle w:val="Article"/>
        <w:rPr>
          <w:noProof/>
        </w:rPr>
      </w:pPr>
      <w:r>
        <w:rPr>
          <w:noProof/>
        </w:rPr>
        <w:t>FISH.11. pants. Paziņošanas termiņi, kas saistīti ar zvejniecības produktu importēšanu un tiešu izkraušanu</w:t>
      </w:r>
    </w:p>
    <w:p w:rsidR="003E022D" w:rsidRDefault="007D19D6">
      <w:pPr>
        <w:numPr>
          <w:ilvl w:val="0"/>
          <w:numId w:val="1380"/>
        </w:numPr>
        <w:ind w:left="0" w:firstLine="0"/>
        <w:rPr>
          <w:rFonts w:eastAsia="Calibri" w:cs="Calibri"/>
          <w:noProof/>
        </w:rPr>
      </w:pPr>
      <w:r>
        <w:rPr>
          <w:noProof/>
        </w:rPr>
        <w:t>Zvejniecības produktiem, ko kuģi, kas peld ar Apvienotās Karalistes karogu un ir reģistrēti Gērnsijas Teritoriālajā Vienībā vai Džērsijas Ter</w:t>
      </w:r>
      <w:r>
        <w:rPr>
          <w:noProof/>
        </w:rPr>
        <w:t xml:space="preserve">itoriālajā Vienībā, nozvejojuši minētajām teritorijām piegulošajā teritoriālajā jūrā vai kādai dalībvalstij piegulošajā teritoriālajā jūrā, piemēro šādus paziņošanas termiņus:   </w:t>
      </w:r>
    </w:p>
    <w:p w:rsidR="003E022D" w:rsidRDefault="007D19D6">
      <w:pPr>
        <w:numPr>
          <w:ilvl w:val="0"/>
          <w:numId w:val="1378"/>
        </w:numPr>
        <w:ind w:left="567" w:hanging="567"/>
        <w:rPr>
          <w:rFonts w:eastAsia="Calibri" w:cs="Calibri"/>
          <w:noProof/>
        </w:rPr>
      </w:pPr>
      <w:r>
        <w:rPr>
          <w:noProof/>
        </w:rPr>
        <w:t>iepriekšēju paziņojumu sniedz trīs līdz piecas stundas pirms svaigu zvejniecī</w:t>
      </w:r>
      <w:r>
        <w:rPr>
          <w:noProof/>
        </w:rPr>
        <w:t xml:space="preserve">bas produktu izkraušanas Savienības teritorijā; </w:t>
      </w:r>
    </w:p>
    <w:p w:rsidR="003E022D" w:rsidRDefault="007D19D6">
      <w:pPr>
        <w:numPr>
          <w:ilvl w:val="0"/>
          <w:numId w:val="1378"/>
        </w:numPr>
        <w:ind w:left="567" w:hanging="567"/>
        <w:rPr>
          <w:rFonts w:eastAsia="Calibri" w:cs="Calibri"/>
          <w:noProof/>
        </w:rPr>
      </w:pPr>
      <w:r>
        <w:rPr>
          <w:noProof/>
        </w:rPr>
        <w:t>iepriekšēju paziņojumu par validētu nozvejas sertifikātu, kas vajadzīgs zvejniecības produktu sūtījumu tiešai pārvietošanai pa jūru, sniedz vienu līdz trīs stundas pirms aplēstā ierašanās laika vietā, kurā n</w:t>
      </w:r>
      <w:r>
        <w:rPr>
          <w:noProof/>
        </w:rPr>
        <w:t>otiek ievešana Savienības teritorijā.</w:t>
      </w:r>
    </w:p>
    <w:p w:rsidR="003E022D" w:rsidRDefault="007D19D6">
      <w:pPr>
        <w:numPr>
          <w:ilvl w:val="0"/>
          <w:numId w:val="1380"/>
        </w:numPr>
        <w:ind w:left="0" w:firstLine="0"/>
        <w:rPr>
          <w:rFonts w:eastAsia="Calibri" w:cs="Calibri"/>
          <w:noProof/>
        </w:rPr>
      </w:pPr>
      <w:r>
        <w:rPr>
          <w:noProof/>
        </w:rPr>
        <w:t>Tikai šajā pantā “zvejniecības produkti” ir visu sugu jūras zivis, gliemji un vēžveidīgie.</w:t>
      </w:r>
    </w:p>
    <w:p w:rsidR="003E022D" w:rsidRDefault="007D19D6">
      <w:pPr>
        <w:pStyle w:val="Article"/>
        <w:rPr>
          <w:noProof/>
        </w:rPr>
      </w:pPr>
      <w:r>
        <w:rPr>
          <w:noProof/>
        </w:rPr>
        <w:t>FISH.12. pants. Pārvaldības apgabalu salāgošana</w:t>
      </w:r>
    </w:p>
    <w:p w:rsidR="003E022D" w:rsidRDefault="007D19D6">
      <w:pPr>
        <w:rPr>
          <w:rFonts w:eastAsia="Calibri" w:cs="Calibri"/>
          <w:noProof/>
        </w:rPr>
      </w:pPr>
      <w:r>
        <w:rPr>
          <w:noProof/>
        </w:rPr>
        <w:t xml:space="preserve">1. </w:t>
      </w:r>
      <w:r>
        <w:rPr>
          <w:noProof/>
        </w:rPr>
        <w:tab/>
        <w:t xml:space="preserve">Puses līdz 2021. gada 1. jūlijam lūdz </w:t>
      </w:r>
      <w:r>
        <w:rPr>
          <w:i/>
          <w:iCs/>
          <w:noProof/>
        </w:rPr>
        <w:t>ICES</w:t>
      </w:r>
      <w:r>
        <w:rPr>
          <w:noProof/>
        </w:rPr>
        <w:t xml:space="preserve"> sniegt ieteikumu par pārvaldības</w:t>
      </w:r>
      <w:r>
        <w:rPr>
          <w:noProof/>
        </w:rPr>
        <w:t xml:space="preserve"> apgabalu salāgošanu ar novērtēšanas vienībām, ko </w:t>
      </w:r>
      <w:r>
        <w:rPr>
          <w:i/>
          <w:iCs/>
          <w:noProof/>
        </w:rPr>
        <w:t>ICES</w:t>
      </w:r>
      <w:r>
        <w:rPr>
          <w:noProof/>
        </w:rPr>
        <w:t xml:space="preserve"> izmanto attiecībā uz krājumiem, kuri FISH.1. pielikumā apzīmēti ar zvaigznīti.</w:t>
      </w:r>
    </w:p>
    <w:p w:rsidR="003E022D" w:rsidRDefault="007D19D6">
      <w:pPr>
        <w:rPr>
          <w:rFonts w:eastAsia="Calibri" w:cs="Calibri"/>
          <w:noProof/>
        </w:rPr>
      </w:pPr>
      <w:r>
        <w:rPr>
          <w:noProof/>
        </w:rPr>
        <w:t xml:space="preserve">2. </w:t>
      </w:r>
      <w:r>
        <w:rPr>
          <w:noProof/>
        </w:rPr>
        <w:tab/>
        <w:t>Sešos mēnešos no 1. punktā minētā ieteikuma saņemšanas Puses kopīgi izskata minēto ieteikumu un kopīgi apsver attiecīg</w:t>
      </w:r>
      <w:r>
        <w:rPr>
          <w:noProof/>
        </w:rPr>
        <w:t>o krājumu pārvaldības apgabalu korekcijas, lai vienotos par izrietošajām izmaiņām, kas jāizdara FISH.1. pielikumā iekļautajā krājumu un daļu sarakstā.</w:t>
      </w:r>
    </w:p>
    <w:p w:rsidR="003E022D" w:rsidRDefault="007D19D6">
      <w:pPr>
        <w:pStyle w:val="Article"/>
        <w:rPr>
          <w:noProof/>
        </w:rPr>
      </w:pPr>
      <w:r>
        <w:rPr>
          <w:noProof/>
        </w:rPr>
        <w:t>FISH.13. pants. Dažu citu krājumu KPN daļas</w:t>
      </w:r>
    </w:p>
    <w:p w:rsidR="003E022D" w:rsidRDefault="007D19D6">
      <w:pPr>
        <w:numPr>
          <w:ilvl w:val="0"/>
          <w:numId w:val="1373"/>
        </w:numPr>
        <w:ind w:left="0" w:firstLine="0"/>
        <w:rPr>
          <w:rFonts w:eastAsia="Calibri" w:cs="Calibri"/>
          <w:noProof/>
        </w:rPr>
      </w:pPr>
      <w:r>
        <w:rPr>
          <w:noProof/>
        </w:rPr>
        <w:t xml:space="preserve">Pušu attiecīgās dažu citu krājumu KPN daļas ir noteiktas </w:t>
      </w:r>
      <w:r>
        <w:rPr>
          <w:noProof/>
        </w:rPr>
        <w:t>FISH.2. pielikumā.</w:t>
      </w:r>
    </w:p>
    <w:p w:rsidR="003E022D" w:rsidRDefault="007D19D6">
      <w:pPr>
        <w:numPr>
          <w:ilvl w:val="0"/>
          <w:numId w:val="1373"/>
        </w:numPr>
        <w:ind w:left="0" w:firstLine="0"/>
        <w:rPr>
          <w:rFonts w:eastAsia="Calibri" w:cs="Calibri"/>
          <w:noProof/>
        </w:rPr>
      </w:pPr>
      <w:r>
        <w:rPr>
          <w:noProof/>
        </w:rPr>
        <w:t xml:space="preserve">Katra Puse paziņo visām attiecīgajām valstīm un starptautiskajām organizācijām savas daļas, kas atbilst FISH.2.A–D pielikumā noteiktajai sadales kārtībai. </w:t>
      </w:r>
    </w:p>
    <w:p w:rsidR="003E022D" w:rsidRDefault="007D19D6">
      <w:pPr>
        <w:numPr>
          <w:ilvl w:val="0"/>
          <w:numId w:val="1373"/>
        </w:numPr>
        <w:ind w:left="0" w:firstLine="0"/>
        <w:rPr>
          <w:rFonts w:eastAsia="Calibri" w:cs="Calibri"/>
          <w:noProof/>
        </w:rPr>
      </w:pPr>
      <w:r>
        <w:rPr>
          <w:noProof/>
        </w:rPr>
        <w:t>Visas secīgas izmaiņas minētajās daļās FISH.2.C un D pielikumā ir jautājums, ko i</w:t>
      </w:r>
      <w:r>
        <w:rPr>
          <w:noProof/>
        </w:rPr>
        <w:t>zskata attiecīgajos daudzpusīgajos forumos.</w:t>
      </w:r>
    </w:p>
    <w:p w:rsidR="003E022D" w:rsidRDefault="007D19D6">
      <w:pPr>
        <w:numPr>
          <w:ilvl w:val="0"/>
          <w:numId w:val="1373"/>
        </w:numPr>
        <w:ind w:left="0" w:firstLine="0"/>
        <w:rPr>
          <w:rFonts w:eastAsia="Calibri" w:cs="Calibri"/>
          <w:noProof/>
        </w:rPr>
      </w:pPr>
      <w:r>
        <w:rPr>
          <w:noProof/>
        </w:rPr>
        <w:t>Neskarot Partnerības padomes pilnvaras, kas noteiktas FISH.16. panta [Specializētā zvejniecības komiteja] 3. punktā, visas secīgas izmaiņas FISH.2.A un B pielikumā noteiktajās daļās pēc 2026. gada 30. jūnija ir j</w:t>
      </w:r>
      <w:r>
        <w:rPr>
          <w:noProof/>
        </w:rPr>
        <w:t>autājums, ko izskata attiecīgajos daudzpusīgajos forumos.</w:t>
      </w:r>
    </w:p>
    <w:p w:rsidR="003E022D" w:rsidRDefault="007D19D6">
      <w:pPr>
        <w:numPr>
          <w:ilvl w:val="0"/>
          <w:numId w:val="1373"/>
        </w:numPr>
        <w:ind w:left="0" w:firstLine="0"/>
        <w:rPr>
          <w:rFonts w:eastAsia="Calibri" w:cs="Calibri"/>
          <w:noProof/>
        </w:rPr>
      </w:pPr>
      <w:r>
        <w:rPr>
          <w:noProof/>
        </w:rPr>
        <w:t xml:space="preserve">Abas Puses attiecīgo FISH.2.A–D pielikumā minēto krājumu pārvaldībai pieiet saskaņā ar mērķiem un principiem, kas noteikti FISH.2. pantā [Mērķi un principi].  </w:t>
      </w:r>
    </w:p>
    <w:p w:rsidR="003E022D" w:rsidRDefault="007D19D6">
      <w:pPr>
        <w:pStyle w:val="Chapter"/>
        <w:rPr>
          <w:noProof/>
        </w:rPr>
      </w:pPr>
      <w:r>
        <w:rPr>
          <w:noProof/>
        </w:rPr>
        <w:t xml:space="preserve">Ceturtā nodaļa. Pārvaldības kārtība </w:t>
      </w:r>
    </w:p>
    <w:p w:rsidR="003E022D" w:rsidRDefault="007D19D6">
      <w:pPr>
        <w:pStyle w:val="Article"/>
        <w:rPr>
          <w:rFonts w:cs="Calibri"/>
          <w:noProof/>
        </w:rPr>
      </w:pPr>
      <w:r>
        <w:rPr>
          <w:noProof/>
        </w:rPr>
        <w:t>FISH.14. pants. Korektīvie pasākumi un strīdu izšķiršana</w:t>
      </w:r>
    </w:p>
    <w:p w:rsidR="003E022D" w:rsidRDefault="007D19D6">
      <w:pPr>
        <w:numPr>
          <w:ilvl w:val="0"/>
          <w:numId w:val="1375"/>
        </w:numPr>
        <w:ind w:left="0" w:firstLine="0"/>
        <w:rPr>
          <w:rFonts w:eastAsia="Calibri" w:cs="Calibri"/>
          <w:noProof/>
        </w:rPr>
      </w:pPr>
      <w:r>
        <w:rPr>
          <w:noProof/>
        </w:rPr>
        <w:t>Sakarā ar vienas Puses (“atbildētāja Puse”) iespējamo neatbilstību šim tematam (kas nav saistīta ar iespējamām neatbilstībām, uz kurām attiecas 2. punkts) otra Puse (“prasītāja Puse”) pēc paziņošanas</w:t>
      </w:r>
      <w:r>
        <w:rPr>
          <w:noProof/>
        </w:rPr>
        <w:t xml:space="preserve"> atbildētājai Pusei drīkst:</w:t>
      </w:r>
    </w:p>
    <w:p w:rsidR="003E022D" w:rsidRDefault="007D19D6">
      <w:pPr>
        <w:numPr>
          <w:ilvl w:val="3"/>
          <w:numId w:val="1384"/>
        </w:numPr>
        <w:ind w:left="567" w:hanging="567"/>
        <w:rPr>
          <w:rFonts w:eastAsia="Calibri" w:cs="Calibri"/>
          <w:noProof/>
        </w:rPr>
      </w:pPr>
      <w:r>
        <w:rPr>
          <w:noProof/>
        </w:rPr>
        <w:t>pilnībā vai daļēji apturēt piekļuvi saviem ūdeņiem un preferenciāla tarifa režīmu, kas saskaņā ar GOODS.5. pantu [Muitas nodokļu aizliegums] piešķirts zvejniecības produktiem, un</w:t>
      </w:r>
    </w:p>
    <w:p w:rsidR="003E022D" w:rsidRDefault="007D19D6">
      <w:pPr>
        <w:numPr>
          <w:ilvl w:val="3"/>
          <w:numId w:val="1384"/>
        </w:numPr>
        <w:ind w:left="567" w:hanging="567"/>
        <w:rPr>
          <w:rFonts w:eastAsia="Calibri" w:cs="Calibri"/>
          <w:noProof/>
        </w:rPr>
      </w:pPr>
      <w:r>
        <w:rPr>
          <w:noProof/>
        </w:rPr>
        <w:t>ja tā uzskata, ka a) apakšpunktā minētā apturēšan</w:t>
      </w:r>
      <w:r>
        <w:rPr>
          <w:noProof/>
        </w:rPr>
        <w:t>a nav samērīga ar iespējamās neatbilstības radīto ekonomisko un sociālo ietekmi, – pilnībā vai daļēji apturēt preferenciāla tarifa režīmu, kas saskaņā ar GOODS.5. pantu [Muitas nodokļu aizliegums] piešķirts citām precēm, un</w:t>
      </w:r>
    </w:p>
    <w:p w:rsidR="003E022D" w:rsidRDefault="007D19D6">
      <w:pPr>
        <w:numPr>
          <w:ilvl w:val="3"/>
          <w:numId w:val="1384"/>
        </w:numPr>
        <w:ind w:left="567" w:hanging="567"/>
        <w:rPr>
          <w:rFonts w:eastAsia="Calibri" w:cs="Calibri"/>
          <w:noProof/>
        </w:rPr>
      </w:pPr>
      <w:r>
        <w:rPr>
          <w:noProof/>
        </w:rPr>
        <w:t>ja tā uzskata, ka a) un b) apakš</w:t>
      </w:r>
      <w:r>
        <w:rPr>
          <w:noProof/>
        </w:rPr>
        <w:t>punktā minētā apturēšana nav samērīga ar iespējamās neatbilstības radīto ekonomisko un sociālo ietekmi, – pilnībā vai daļēji apturēt to saistību izpildi, kas noteiktas otrās daļas [Ekonomiskā partnerība] pirmajā tematā [Tirdzniecība], izņemot XI sadaļu [Vi</w:t>
      </w:r>
      <w:r>
        <w:rPr>
          <w:noProof/>
        </w:rPr>
        <w:t>enlīdzīgi apstākļi atvērtai un godīgai konkurencei un ilgtspējīgai attīstībai]. Ja pirmā temata [Tirdzniecība] piemērošana ir apturēta pilnībā, aptur arī trešā temata [Autotransports] piemērošanu.</w:t>
      </w:r>
    </w:p>
    <w:p w:rsidR="003E022D" w:rsidRDefault="007D19D6">
      <w:pPr>
        <w:numPr>
          <w:ilvl w:val="0"/>
          <w:numId w:val="1375"/>
        </w:numPr>
        <w:ind w:left="0" w:firstLine="0"/>
        <w:rPr>
          <w:rFonts w:eastAsia="Calibri" w:cs="Calibri"/>
          <w:noProof/>
        </w:rPr>
      </w:pPr>
      <w:bookmarkStart w:id="234" w:name="_Hlk58348613"/>
      <w:r>
        <w:rPr>
          <w:noProof/>
        </w:rPr>
        <w:t>Sakarā ar Puses (“atbildētāja Puse”) iespējamu neatbilstību</w:t>
      </w:r>
      <w:r>
        <w:rPr>
          <w:noProof/>
        </w:rPr>
        <w:t xml:space="preserve"> FISH.10. pantam [Piekļuve Gērnsijas Teritoriālās Vienības, Džērsijas Teritoriālās Vienības un Menas Salas ūdeņiem], FISH.11. pantam [Paziņošanas termiņi, kas saistīti ar zvejniecības produktu importēšanu un tiešu izkraušanu] vai kādiem citiem šā temata no</w:t>
      </w:r>
      <w:r>
        <w:rPr>
          <w:noProof/>
        </w:rPr>
        <w:t xml:space="preserve">teikumiem, ciktāl tie ir saistīti ar minētajos pantos paredzēto kārtību, otra Puse (“prasītāja Puse”) pēc paziņošanas atbildētājai Pusei: </w:t>
      </w:r>
    </w:p>
    <w:p w:rsidR="003E022D" w:rsidRDefault="007D19D6">
      <w:pPr>
        <w:numPr>
          <w:ilvl w:val="1"/>
          <w:numId w:val="1375"/>
        </w:numPr>
        <w:ind w:left="567" w:hanging="567"/>
        <w:rPr>
          <w:rFonts w:eastAsia="Calibri" w:cs="Calibri"/>
          <w:noProof/>
        </w:rPr>
      </w:pPr>
      <w:r>
        <w:rPr>
          <w:noProof/>
        </w:rPr>
        <w:t>drīkst pilnībā vai daļēji apturēt piekļuvi saviem ūdeņiem tādā nozīmē, kā noteikts FISH.10. pantā [Piekļuve Gērnsijas</w:t>
      </w:r>
      <w:r>
        <w:rPr>
          <w:noProof/>
        </w:rPr>
        <w:t xml:space="preserve"> Teritoriālās Vienības, Džērsijas Teritoriālās Vienības un Menas Salas ūdeņiem];</w:t>
      </w:r>
    </w:p>
    <w:p w:rsidR="003E022D" w:rsidRDefault="007D19D6">
      <w:pPr>
        <w:numPr>
          <w:ilvl w:val="1"/>
          <w:numId w:val="1375"/>
        </w:numPr>
        <w:ind w:left="567" w:hanging="567"/>
        <w:rPr>
          <w:rFonts w:eastAsia="Calibri" w:cs="Calibri"/>
          <w:noProof/>
        </w:rPr>
      </w:pPr>
      <w:r>
        <w:rPr>
          <w:noProof/>
        </w:rPr>
        <w:t>ja tā uzskata, ka a) apakšpunktā minētā apturēšana nav samērīga ar iespējamās neatbilstības radīto ekonomisko un sociālo ietekmi, tā drīkst pilnībā vai daļēji apturēt preferen</w:t>
      </w:r>
      <w:r>
        <w:rPr>
          <w:noProof/>
        </w:rPr>
        <w:t xml:space="preserve">ciāla tarifa režīmu, kas saskaņā ar GOODS.5. pantu [Muitas nodokļu aizliegums] piešķirts zvejniecības produktiem; </w:t>
      </w:r>
    </w:p>
    <w:p w:rsidR="003E022D" w:rsidRDefault="007D19D6">
      <w:pPr>
        <w:numPr>
          <w:ilvl w:val="1"/>
          <w:numId w:val="1375"/>
        </w:numPr>
        <w:ind w:left="567" w:hanging="567"/>
        <w:rPr>
          <w:rFonts w:eastAsia="Calibri" w:cs="Calibri"/>
          <w:noProof/>
        </w:rPr>
      </w:pPr>
      <w:r>
        <w:rPr>
          <w:noProof/>
        </w:rPr>
        <w:t>ja tā uzskata, ka a) un b) apakšpunktā minētā apturēšana nav samērīga ar iespējamās neatbilstības radīto ekonomisko un sociālo ietekmi, – pil</w:t>
      </w:r>
      <w:r>
        <w:rPr>
          <w:noProof/>
        </w:rPr>
        <w:t>nībā vai daļēji apturēt preferenciāla tarifa režīmu, kas saskaņā ar GOODS.5. pantu [Muitas nodokļu aizliegums] piešķirts citām precēm, un</w:t>
      </w:r>
    </w:p>
    <w:p w:rsidR="003E022D" w:rsidRDefault="007D19D6">
      <w:pPr>
        <w:rPr>
          <w:rFonts w:eastAsia="Calibri" w:cs="Calibri"/>
          <w:noProof/>
          <w:color w:val="0000E1"/>
        </w:rPr>
      </w:pPr>
      <w:r>
        <w:rPr>
          <w:noProof/>
        </w:rPr>
        <w:t>atkāpjoties no 1. punkta, korektīvos pasākumus, kuri ietekmē kārtību, kas noteikta saskaņā ar FISH.10. pantu [Piekļuve</w:t>
      </w:r>
      <w:r>
        <w:rPr>
          <w:noProof/>
        </w:rPr>
        <w:t xml:space="preserve"> Gērnsijas Teritoriālās Vienības, Džērsijas Teritoriālās Vienības un Menas Salas ūdeņiem], FISH.11. pantu [Paziņošanas termiņi, kas saistīti ar zvejniecības produktu importēšanu un tiešu izkraušanu] vai kādiem citiem šā temata noteikumiem, ciktāl tie ir sa</w:t>
      </w:r>
      <w:r>
        <w:rPr>
          <w:noProof/>
        </w:rPr>
        <w:t>istīti ar minētajos pantos paredzēto kārtību, var neveikt sakarā ar Puses iespējamu neatbilstību šā temata noteikumiem, kas ar minēto kārtību nav saistīti.</w:t>
      </w:r>
    </w:p>
    <w:p w:rsidR="003E022D" w:rsidRDefault="007D19D6">
      <w:pPr>
        <w:rPr>
          <w:rFonts w:eastAsia="Calibri" w:cs="Calibri"/>
          <w:noProof/>
          <w:color w:val="0000E1"/>
        </w:rPr>
      </w:pPr>
      <w:r>
        <w:rPr>
          <w:noProof/>
        </w:rPr>
        <w:t>3.</w:t>
      </w:r>
      <w:r>
        <w:rPr>
          <w:noProof/>
        </w:rPr>
        <w:tab/>
        <w:t xml:space="preserve">Pasākumi, kas minēti 1. un 2. punktā, </w:t>
      </w:r>
      <w:bookmarkStart w:id="235" w:name="_Hlk58409723"/>
      <w:bookmarkEnd w:id="234"/>
      <w:r>
        <w:rPr>
          <w:noProof/>
        </w:rPr>
        <w:t>ir proporcionāli atbildētājas Puses iespējamajai neatbilstī</w:t>
      </w:r>
      <w:r>
        <w:rPr>
          <w:noProof/>
        </w:rPr>
        <w:t xml:space="preserve">bai un tās radītajai ekonomiskajai un sociālajai ietekmei. </w:t>
      </w:r>
    </w:p>
    <w:p w:rsidR="003E022D" w:rsidRDefault="007D19D6">
      <w:pPr>
        <w:rPr>
          <w:rFonts w:eastAsia="Calibri" w:cs="Calibri"/>
          <w:noProof/>
        </w:rPr>
      </w:pPr>
      <w:r>
        <w:rPr>
          <w:noProof/>
        </w:rPr>
        <w:t>4.</w:t>
      </w:r>
      <w:r>
        <w:rPr>
          <w:noProof/>
        </w:rPr>
        <w:tab/>
        <w:t>Pasākums, kas minēts 1. un 2. punktā, var stāties spēkā ne agrāk kā septiņas kalendārās dienas pēc tam, kad prasītāja Puse ir sniegusi atbildētājai Pusei paziņojumu par ierosināto apturēšanu. P</w:t>
      </w:r>
      <w:r>
        <w:rPr>
          <w:noProof/>
        </w:rPr>
        <w:t>uses apspriežas Specializētajā zvejniecības komitejā, lai panāktu savstarpēji pieņemamu risinājumu. Minētajā paziņojumā norāda:</w:t>
      </w:r>
    </w:p>
    <w:p w:rsidR="003E022D" w:rsidRDefault="007D19D6">
      <w:pPr>
        <w:numPr>
          <w:ilvl w:val="3"/>
          <w:numId w:val="1385"/>
        </w:numPr>
        <w:ind w:left="567" w:hanging="567"/>
        <w:rPr>
          <w:rFonts w:asciiTheme="minorHAnsi" w:hAnsiTheme="minorHAnsi" w:cstheme="minorHAnsi"/>
          <w:noProof/>
        </w:rPr>
      </w:pPr>
      <w:r>
        <w:rPr>
          <w:rFonts w:asciiTheme="minorHAnsi" w:hAnsiTheme="minorHAnsi"/>
          <w:noProof/>
        </w:rPr>
        <w:t>veidu, ko prasītāja Puse uzskata par veidu, kādā atbildētāja Puse nav panākusi atbilstību;</w:t>
      </w:r>
    </w:p>
    <w:p w:rsidR="003E022D" w:rsidRDefault="007D19D6">
      <w:pPr>
        <w:numPr>
          <w:ilvl w:val="3"/>
          <w:numId w:val="1385"/>
        </w:numPr>
        <w:ind w:left="567" w:hanging="567"/>
        <w:rPr>
          <w:rFonts w:asciiTheme="minorHAnsi" w:hAnsiTheme="minorHAnsi" w:cstheme="minorHAnsi"/>
          <w:noProof/>
          <w:lang w:val="fr-BE"/>
        </w:rPr>
      </w:pPr>
      <w:r>
        <w:rPr>
          <w:rFonts w:asciiTheme="minorHAnsi" w:hAnsiTheme="minorHAnsi"/>
          <w:noProof/>
          <w:lang w:val="fr-BE"/>
        </w:rPr>
        <w:t xml:space="preserve">datumu, no kura prasītāja Puse plāno </w:t>
      </w:r>
      <w:r>
        <w:rPr>
          <w:rFonts w:asciiTheme="minorHAnsi" w:hAnsiTheme="minorHAnsi"/>
          <w:noProof/>
          <w:lang w:val="fr-BE"/>
        </w:rPr>
        <w:t>apturēšanu, un</w:t>
      </w:r>
    </w:p>
    <w:p w:rsidR="003E022D" w:rsidRDefault="007D19D6">
      <w:pPr>
        <w:numPr>
          <w:ilvl w:val="3"/>
          <w:numId w:val="1385"/>
        </w:numPr>
        <w:ind w:left="567" w:hanging="567"/>
        <w:rPr>
          <w:rFonts w:asciiTheme="minorHAnsi" w:hAnsiTheme="minorHAnsi" w:cstheme="minorHAnsi"/>
          <w:noProof/>
        </w:rPr>
      </w:pPr>
      <w:r>
        <w:rPr>
          <w:rFonts w:asciiTheme="minorHAnsi" w:hAnsiTheme="minorHAnsi"/>
          <w:noProof/>
        </w:rPr>
        <w:t>paredzētās apturēšanas līmeni.</w:t>
      </w:r>
    </w:p>
    <w:p w:rsidR="003E022D" w:rsidRDefault="007D19D6">
      <w:pPr>
        <w:rPr>
          <w:rFonts w:asciiTheme="minorHAnsi" w:hAnsiTheme="minorHAnsi" w:cstheme="minorHAnsi"/>
          <w:noProof/>
        </w:rPr>
      </w:pPr>
      <w:r>
        <w:rPr>
          <w:noProof/>
        </w:rPr>
        <w:t xml:space="preserve">5.       Prasītājai Pusei 14 dienu laikā pēc 4. punktā minētā paziņojuma jāceļ prasība par atbildētājas Puses iespējamo neatbilstību šim tematam, kas minēta 1. un 2. punktā, un jāprasa izveidot šķīrējtiesu </w:t>
      </w:r>
      <w:r>
        <w:rPr>
          <w:noProof/>
        </w:rPr>
        <w:t>saskaņā ar sestās daļas I sadaļas [Strīdu izšķiršana] INST.14. pantu [Šķīrējtiesas procedūra]. Šķīrējtiesā saskaņā ar šo pantu vēršas bez iepriekšējas apspriešanās saskaņā ar INST.13. pantu [Apspriešanās]. Šķīrējtiesa jautājumu uzskata par steidzamu sestās</w:t>
      </w:r>
      <w:r>
        <w:rPr>
          <w:noProof/>
        </w:rPr>
        <w:t xml:space="preserve"> daļas I sadaļas [Strīdu izšķiršana] INST.19. panta [Steidzama tiesvedība] nolūkā.</w:t>
      </w:r>
    </w:p>
    <w:p w:rsidR="003E022D" w:rsidRDefault="007D19D6">
      <w:pPr>
        <w:rPr>
          <w:rFonts w:asciiTheme="minorHAnsi" w:hAnsiTheme="minorHAnsi" w:cstheme="minorHAnsi"/>
          <w:noProof/>
        </w:rPr>
      </w:pPr>
      <w:r>
        <w:rPr>
          <w:rFonts w:asciiTheme="minorHAnsi" w:hAnsiTheme="minorHAnsi"/>
          <w:noProof/>
        </w:rPr>
        <w:t>6.</w:t>
      </w:r>
      <w:r>
        <w:rPr>
          <w:noProof/>
        </w:rPr>
        <w:tab/>
      </w:r>
      <w:r>
        <w:rPr>
          <w:rFonts w:asciiTheme="minorHAnsi" w:hAnsiTheme="minorHAnsi"/>
          <w:noProof/>
        </w:rPr>
        <w:t>Apturēšanu pārstāj piemērot, kad:</w:t>
      </w:r>
    </w:p>
    <w:p w:rsidR="003E022D" w:rsidRDefault="007D19D6">
      <w:pPr>
        <w:numPr>
          <w:ilvl w:val="0"/>
          <w:numId w:val="1377"/>
        </w:numPr>
        <w:ind w:left="567" w:hanging="567"/>
        <w:rPr>
          <w:rFonts w:asciiTheme="minorHAnsi" w:hAnsiTheme="minorHAnsi" w:cstheme="minorHAnsi"/>
          <w:noProof/>
        </w:rPr>
      </w:pPr>
      <w:r>
        <w:rPr>
          <w:rFonts w:asciiTheme="minorHAnsi" w:hAnsiTheme="minorHAnsi"/>
          <w:noProof/>
        </w:rPr>
        <w:t xml:space="preserve">prasītāja Puse ir pārliecinājusies, ka atbildētāja Puse pilda savas attiecīgās saistības, kas paredzētas šajā tematā, vai </w:t>
      </w:r>
    </w:p>
    <w:p w:rsidR="003E022D" w:rsidRDefault="007D19D6">
      <w:pPr>
        <w:numPr>
          <w:ilvl w:val="0"/>
          <w:numId w:val="1377"/>
        </w:numPr>
        <w:ind w:left="567" w:hanging="567"/>
        <w:rPr>
          <w:rFonts w:asciiTheme="minorHAnsi" w:hAnsiTheme="minorHAnsi" w:cstheme="minorHAnsi"/>
          <w:noProof/>
        </w:rPr>
      </w:pPr>
      <w:r>
        <w:rPr>
          <w:rFonts w:asciiTheme="minorHAnsi" w:hAnsiTheme="minorHAnsi"/>
          <w:noProof/>
        </w:rPr>
        <w:t>šķīrējtiesa i</w:t>
      </w:r>
      <w:r>
        <w:rPr>
          <w:rFonts w:asciiTheme="minorHAnsi" w:hAnsiTheme="minorHAnsi"/>
          <w:noProof/>
        </w:rPr>
        <w:t>r nolēmusi, ka atbildētāja Puse ir izpildījusi savas attiecīgās saistības, kas paredzētas šajā tematā.</w:t>
      </w:r>
    </w:p>
    <w:p w:rsidR="003E022D" w:rsidRDefault="007D19D6">
      <w:pPr>
        <w:rPr>
          <w:rFonts w:asciiTheme="minorHAnsi" w:hAnsiTheme="minorHAnsi" w:cstheme="minorHAnsi"/>
          <w:noProof/>
        </w:rPr>
      </w:pPr>
      <w:r>
        <w:rPr>
          <w:rFonts w:asciiTheme="minorHAnsi" w:hAnsiTheme="minorHAnsi"/>
          <w:noProof/>
        </w:rPr>
        <w:t>7.</w:t>
      </w:r>
      <w:r>
        <w:rPr>
          <w:noProof/>
        </w:rPr>
        <w:tab/>
      </w:r>
      <w:r>
        <w:rPr>
          <w:rFonts w:asciiTheme="minorHAnsi" w:hAnsiTheme="minorHAnsi"/>
          <w:noProof/>
        </w:rPr>
        <w:t>Pēc 5. punktā minētajā procedūrā izdarīta konstatējuma pret prasītāju Pusi atbildētāja Puse var lūgt šķīrējtiesai 30 dienu laikā pēc tās nolēmuma note</w:t>
      </w:r>
      <w:r>
        <w:rPr>
          <w:rFonts w:asciiTheme="minorHAnsi" w:hAnsiTheme="minorHAnsi"/>
          <w:noProof/>
        </w:rPr>
        <w:t>ikt līmeni, kādā apturama šajā nolīgumā paredzēto saistību izpilde un kas nepārsniedz līmeni, kurš līdzvērtīgs kompensējošo pasākumu piemērošanas izraisītajam zudumam vai samazinājumam, ja tā uzskata, ka kompensējošo pasākumu neatbilstība 1. vai 2. punktam</w:t>
      </w:r>
      <w:r>
        <w:rPr>
          <w:rFonts w:asciiTheme="minorHAnsi" w:hAnsiTheme="minorHAnsi"/>
          <w:noProof/>
        </w:rPr>
        <w:t xml:space="preserve"> ir būtiska. </w:t>
      </w:r>
      <w:r>
        <w:rPr>
          <w:noProof/>
        </w:rPr>
        <w:t>Lūgumā ierosina izpildes apturēšanas līmeni, kas ir saskaņā ar 1. vai 2. punktā noteiktajiem principiem un visiem attiecīgajiem principiem, kas izklāstīti INST.34.C pantā [Saistību apturēšana OTHS.3.12. panta 12. punkta, FISH.9. panta 5. punkt</w:t>
      </w:r>
      <w:r>
        <w:rPr>
          <w:noProof/>
        </w:rPr>
        <w:t>a un FISH.14. panta 7. punkta nolūkā].</w:t>
      </w:r>
      <w:r>
        <w:rPr>
          <w:rFonts w:asciiTheme="minorHAnsi" w:hAnsiTheme="minorHAnsi"/>
          <w:noProof/>
        </w:rPr>
        <w:t xml:space="preserve"> Šajā nolīgumā paredzēto saistību izpildes apturēšanu līmenī, kas ir saskaņā ar šķīrējtiesas noteikto apturēšanas līmeni, atbildētāja Puse drīkst piemērot ne drīzāk kā 15 dienas pēc šāda nolēmuma.</w:t>
      </w:r>
    </w:p>
    <w:p w:rsidR="003E022D" w:rsidRDefault="007D19D6">
      <w:pPr>
        <w:rPr>
          <w:rFonts w:asciiTheme="minorHAnsi" w:hAnsiTheme="minorHAnsi" w:cstheme="minorHAnsi"/>
          <w:noProof/>
        </w:rPr>
      </w:pPr>
      <w:r>
        <w:rPr>
          <w:rFonts w:asciiTheme="minorHAnsi" w:hAnsiTheme="minorHAnsi"/>
          <w:noProof/>
        </w:rPr>
        <w:t>8.</w:t>
      </w:r>
      <w:r>
        <w:rPr>
          <w:noProof/>
        </w:rPr>
        <w:tab/>
      </w:r>
      <w:r>
        <w:rPr>
          <w:rFonts w:asciiTheme="minorHAnsi" w:hAnsiTheme="minorHAnsi"/>
          <w:noProof/>
        </w:rPr>
        <w:t>PTO nolīgumu vai j</w:t>
      </w:r>
      <w:r>
        <w:rPr>
          <w:rFonts w:asciiTheme="minorHAnsi" w:hAnsiTheme="minorHAnsi"/>
          <w:noProof/>
        </w:rPr>
        <w:t>ebkādu citu starptautisku nolīgumu Puse neizmanto par pamatojumu, lai liegtu otrai Pusei apturēt saistību izpildi saskaņā ar šo pantu.</w:t>
      </w:r>
    </w:p>
    <w:bookmarkEnd w:id="235"/>
    <w:p w:rsidR="003E022D" w:rsidRDefault="007D19D6">
      <w:pPr>
        <w:pStyle w:val="Article"/>
        <w:rPr>
          <w:noProof/>
        </w:rPr>
      </w:pPr>
      <w:r>
        <w:rPr>
          <w:noProof/>
        </w:rPr>
        <w:t>FISH.15. pants. Datu kopīgošana</w:t>
      </w:r>
    </w:p>
    <w:p w:rsidR="003E022D" w:rsidRDefault="007D19D6">
      <w:pPr>
        <w:rPr>
          <w:rFonts w:asciiTheme="minorHAnsi" w:hAnsiTheme="minorHAnsi" w:cstheme="minorHAnsi"/>
          <w:noProof/>
        </w:rPr>
      </w:pPr>
      <w:r>
        <w:rPr>
          <w:rFonts w:asciiTheme="minorHAnsi" w:hAnsiTheme="minorHAnsi"/>
          <w:noProof/>
        </w:rPr>
        <w:t xml:space="preserve">Šā temata īstenošanai vajadzīgo informāciju Puses kopīgo saskaņā ar katras Puses tiesību </w:t>
      </w:r>
      <w:r>
        <w:rPr>
          <w:rFonts w:asciiTheme="minorHAnsi" w:hAnsiTheme="minorHAnsi"/>
          <w:noProof/>
        </w:rPr>
        <w:t>aktiem.</w:t>
      </w:r>
    </w:p>
    <w:p w:rsidR="003E022D" w:rsidRDefault="007D19D6">
      <w:pPr>
        <w:pStyle w:val="Article"/>
        <w:rPr>
          <w:noProof/>
        </w:rPr>
      </w:pPr>
      <w:r>
        <w:rPr>
          <w:noProof/>
        </w:rPr>
        <w:t xml:space="preserve">FISH.16. pants. Specializētā zvejniecības komiteja </w:t>
      </w:r>
    </w:p>
    <w:p w:rsidR="003E022D" w:rsidRDefault="007D19D6">
      <w:pPr>
        <w:numPr>
          <w:ilvl w:val="0"/>
          <w:numId w:val="1363"/>
        </w:numPr>
        <w:ind w:left="0" w:firstLine="0"/>
        <w:rPr>
          <w:rFonts w:eastAsia="Calibri" w:cs="Calibri"/>
          <w:noProof/>
        </w:rPr>
      </w:pPr>
      <w:r>
        <w:rPr>
          <w:noProof/>
        </w:rPr>
        <w:t>Specializētā zvejniecības komiteja jo īpaši var:</w:t>
      </w:r>
    </w:p>
    <w:p w:rsidR="003E022D" w:rsidRDefault="007D19D6">
      <w:pPr>
        <w:numPr>
          <w:ilvl w:val="0"/>
          <w:numId w:val="1362"/>
        </w:numPr>
        <w:ind w:left="567" w:hanging="567"/>
        <w:rPr>
          <w:rFonts w:asciiTheme="minorHAnsi" w:hAnsiTheme="minorHAnsi" w:cstheme="minorHAnsi"/>
          <w:noProof/>
        </w:rPr>
      </w:pPr>
      <w:r>
        <w:rPr>
          <w:noProof/>
        </w:rPr>
        <w:t>nodrošināt forumu diskusijām un sadarbībai, kas saistīta ar ilgtspējīgu zvejniecības pārvaldību;</w:t>
      </w:r>
    </w:p>
    <w:p w:rsidR="003E022D" w:rsidRDefault="007D19D6">
      <w:pPr>
        <w:numPr>
          <w:ilvl w:val="0"/>
          <w:numId w:val="1362"/>
        </w:numPr>
        <w:ind w:left="567" w:hanging="567"/>
        <w:rPr>
          <w:rFonts w:asciiTheme="minorHAnsi" w:hAnsiTheme="minorHAnsi" w:cstheme="minorHAnsi"/>
          <w:noProof/>
        </w:rPr>
      </w:pPr>
      <w:r>
        <w:rPr>
          <w:rFonts w:asciiTheme="minorHAnsi" w:hAnsiTheme="minorHAnsi"/>
          <w:noProof/>
        </w:rPr>
        <w:t>apsvērt iespēju izstrādāt daudzgadu saglabāšanas u</w:t>
      </w:r>
      <w:r>
        <w:rPr>
          <w:rFonts w:asciiTheme="minorHAnsi" w:hAnsiTheme="minorHAnsi"/>
          <w:noProof/>
        </w:rPr>
        <w:t>n pārvaldības stratēģijas, kas kalpo par pamatu KPN un citu pārvaldības pasākumu noteikšanai;</w:t>
      </w:r>
    </w:p>
    <w:p w:rsidR="003E022D" w:rsidRDefault="007D19D6">
      <w:pPr>
        <w:numPr>
          <w:ilvl w:val="0"/>
          <w:numId w:val="1362"/>
        </w:numPr>
        <w:ind w:left="567" w:hanging="567"/>
        <w:rPr>
          <w:rFonts w:eastAsia="Calibri" w:cs="Calibri"/>
          <w:noProof/>
        </w:rPr>
      </w:pPr>
      <w:r>
        <w:rPr>
          <w:noProof/>
        </w:rPr>
        <w:t xml:space="preserve">izstrādāt ārpuskvotas krājumu saglabāšanas un pārvaldības daudzgadu stratēģijas, kas minētas FISH.8. panta [Piekļuve ūdeņiem] 2. punkta b) apakšpunktā; </w:t>
      </w:r>
    </w:p>
    <w:p w:rsidR="003E022D" w:rsidRDefault="007D19D6">
      <w:pPr>
        <w:numPr>
          <w:ilvl w:val="0"/>
          <w:numId w:val="1362"/>
        </w:numPr>
        <w:ind w:left="567" w:hanging="567"/>
        <w:rPr>
          <w:rFonts w:asciiTheme="minorHAnsi" w:hAnsiTheme="minorHAnsi" w:cstheme="minorHAnsi"/>
          <w:noProof/>
        </w:rPr>
      </w:pPr>
      <w:r>
        <w:rPr>
          <w:rFonts w:asciiTheme="minorHAnsi" w:hAnsiTheme="minorHAnsi"/>
          <w:noProof/>
        </w:rPr>
        <w:t xml:space="preserve">apsvērt zvejniecības pārvaldības un saglabāšanas pasākumus, tai skaitā ārkārtas pasākumus un zvejas selektivitātes nodrošināšanas pasākumus;  </w:t>
      </w:r>
    </w:p>
    <w:p w:rsidR="003E022D" w:rsidRDefault="007D19D6">
      <w:pPr>
        <w:numPr>
          <w:ilvl w:val="0"/>
          <w:numId w:val="1362"/>
        </w:numPr>
        <w:ind w:left="567" w:hanging="567"/>
        <w:rPr>
          <w:rFonts w:eastAsia="Calibri" w:cs="Calibri"/>
          <w:noProof/>
        </w:rPr>
      </w:pPr>
      <w:r>
        <w:rPr>
          <w:noProof/>
        </w:rPr>
        <w:t>apsvērt pieejas datu vākšanai zinātnes un zvejniecības pārvaldības nolūkos, šādu datu kopīgošanai (kas ietver uzr</w:t>
      </w:r>
      <w:r>
        <w:rPr>
          <w:noProof/>
        </w:rPr>
        <w:t>audzībai, kontrolei un atbilstības panākšanai relevantu informāciju) un apspriedēm ar zinātniskajām struktūrām par labāko pieejamo zinātnisko ieteikumu;</w:t>
      </w:r>
    </w:p>
    <w:p w:rsidR="003E022D" w:rsidRDefault="007D19D6">
      <w:pPr>
        <w:numPr>
          <w:ilvl w:val="0"/>
          <w:numId w:val="1362"/>
        </w:numPr>
        <w:ind w:left="567" w:hanging="567"/>
        <w:rPr>
          <w:rFonts w:asciiTheme="minorHAnsi" w:hAnsiTheme="minorHAnsi" w:cstheme="minorHAnsi"/>
          <w:noProof/>
        </w:rPr>
      </w:pPr>
      <w:r>
        <w:rPr>
          <w:noProof/>
        </w:rPr>
        <w:t>apsvērt pasākumus, ar ko panāk atbilstību piemērojamajiem noteikumiem, tai skaitā kopīgas kontroles, uz</w:t>
      </w:r>
      <w:r>
        <w:rPr>
          <w:noProof/>
        </w:rPr>
        <w:t>raudzības un pārraudzības programmas un datu apmaiņu, kas atvieglo zvejas iespēju izmantojuma uzraudzību, kontroli un izpildi;</w:t>
      </w:r>
    </w:p>
    <w:p w:rsidR="003E022D" w:rsidRDefault="007D19D6">
      <w:pPr>
        <w:numPr>
          <w:ilvl w:val="0"/>
          <w:numId w:val="1362"/>
        </w:numPr>
        <w:ind w:left="567" w:hanging="567"/>
        <w:rPr>
          <w:rFonts w:eastAsia="Calibri" w:cs="Calibri"/>
          <w:noProof/>
        </w:rPr>
      </w:pPr>
      <w:r>
        <w:rPr>
          <w:noProof/>
        </w:rPr>
        <w:t xml:space="preserve">izstrādāt pamatnostādnes par FISH.7. panta [Provizoriskas KPN] 5. punktā minēto KPN noteikšanu; </w:t>
      </w:r>
    </w:p>
    <w:p w:rsidR="003E022D" w:rsidRDefault="007D19D6">
      <w:pPr>
        <w:numPr>
          <w:ilvl w:val="0"/>
          <w:numId w:val="1362"/>
        </w:numPr>
        <w:ind w:left="567" w:hanging="567"/>
        <w:rPr>
          <w:rFonts w:asciiTheme="minorHAnsi" w:hAnsiTheme="minorHAnsi" w:cstheme="minorHAnsi"/>
          <w:noProof/>
        </w:rPr>
      </w:pPr>
      <w:r>
        <w:rPr>
          <w:noProof/>
        </w:rPr>
        <w:t>veikt ikgadējo apspriešanos saga</w:t>
      </w:r>
      <w:r>
        <w:rPr>
          <w:noProof/>
        </w:rPr>
        <w:t>tavošanas darbus;</w:t>
      </w:r>
      <w:r>
        <w:rPr>
          <w:rFonts w:asciiTheme="minorHAnsi" w:hAnsiTheme="minorHAnsi"/>
          <w:noProof/>
        </w:rPr>
        <w:t xml:space="preserve"> </w:t>
      </w:r>
    </w:p>
    <w:p w:rsidR="003E022D" w:rsidRDefault="007D19D6">
      <w:pPr>
        <w:numPr>
          <w:ilvl w:val="0"/>
          <w:numId w:val="1362"/>
        </w:numPr>
        <w:ind w:left="567" w:hanging="567"/>
        <w:rPr>
          <w:rFonts w:asciiTheme="minorHAnsi" w:hAnsiTheme="minorHAnsi" w:cstheme="minorHAnsi"/>
          <w:noProof/>
        </w:rPr>
      </w:pPr>
      <w:r>
        <w:rPr>
          <w:rFonts w:asciiTheme="minorHAnsi" w:hAnsiTheme="minorHAnsi"/>
          <w:noProof/>
        </w:rPr>
        <w:t xml:space="preserve">izskatīt jautājumus, kas saistīti ar izkraušanas ostu apstiprināšanu, tai skaitā iespējām atvieglot savlaicīgus Pušu paziņojumus par šādiem apstiprinājumiem un par visām izmaiņām minētajos apstiprinājumos; </w:t>
      </w:r>
    </w:p>
    <w:p w:rsidR="003E022D" w:rsidRDefault="007D19D6">
      <w:pPr>
        <w:numPr>
          <w:ilvl w:val="0"/>
          <w:numId w:val="1362"/>
        </w:numPr>
        <w:ind w:left="567" w:hanging="567"/>
        <w:rPr>
          <w:rFonts w:eastAsia="Calibri" w:cs="Calibri"/>
          <w:noProof/>
        </w:rPr>
      </w:pPr>
      <w:r>
        <w:rPr>
          <w:noProof/>
        </w:rPr>
        <w:t>noteikt termiņus, kādā paziņoj</w:t>
      </w:r>
      <w:r>
        <w:rPr>
          <w:noProof/>
        </w:rPr>
        <w:t>ami FISH.4. panta [Zvejniecības pārvaldība] 3. punktā minētie pasākumi un nosūtāmi FISH.5. panta [Atļaujas, atbilstība un izpildes panākšana] 1. punktā minētie kuģu saraksti un FISH.6. panta [Zvejas iespējas] 7. punktā minētais paziņojums;</w:t>
      </w:r>
    </w:p>
    <w:p w:rsidR="003E022D" w:rsidRDefault="007D19D6">
      <w:pPr>
        <w:numPr>
          <w:ilvl w:val="0"/>
          <w:numId w:val="1362"/>
        </w:numPr>
        <w:ind w:left="567" w:hanging="567"/>
        <w:rPr>
          <w:rFonts w:eastAsia="Calibri" w:cs="Calibri"/>
          <w:noProof/>
        </w:rPr>
      </w:pPr>
      <w:r>
        <w:rPr>
          <w:noProof/>
        </w:rPr>
        <w:t>nodrošināt forum</w:t>
      </w:r>
      <w:r>
        <w:rPr>
          <w:noProof/>
        </w:rPr>
        <w:t>u apspriedēm, kas noteiktas FISH.9. panta [Kompensējoši pasākumi] 2. punktā un FISH.14. panta [Korektīvie pasākumi] 4. punktā;</w:t>
      </w:r>
    </w:p>
    <w:p w:rsidR="003E022D" w:rsidRDefault="007D19D6">
      <w:pPr>
        <w:numPr>
          <w:ilvl w:val="0"/>
          <w:numId w:val="1362"/>
        </w:numPr>
        <w:ind w:left="567" w:hanging="567"/>
        <w:rPr>
          <w:rFonts w:eastAsia="Calibri" w:cs="Calibri"/>
          <w:noProof/>
        </w:rPr>
      </w:pPr>
      <w:r>
        <w:rPr>
          <w:noProof/>
        </w:rPr>
        <w:t xml:space="preserve">izstrādāt pamatnostādnes, kas atvieglo FISH.8. panta [Piekļuve ūdeņiem] praktisko piemērošanu; </w:t>
      </w:r>
    </w:p>
    <w:p w:rsidR="003E022D" w:rsidRDefault="007D19D6">
      <w:pPr>
        <w:numPr>
          <w:ilvl w:val="0"/>
          <w:numId w:val="1362"/>
        </w:numPr>
        <w:ind w:left="567" w:hanging="567"/>
        <w:rPr>
          <w:rFonts w:eastAsia="Calibri" w:cs="Calibri"/>
          <w:noProof/>
        </w:rPr>
      </w:pPr>
      <w:r>
        <w:rPr>
          <w:noProof/>
        </w:rPr>
        <w:t>izstrādāt mehānismu par zvejas ie</w:t>
      </w:r>
      <w:r>
        <w:rPr>
          <w:noProof/>
        </w:rPr>
        <w:t>spēju brīvprātīgu nodošanu starp Pusēm gada laikā, kas minēts FISH.6. panta [Zvejas iespējas] 8. punktā, un</w:t>
      </w:r>
    </w:p>
    <w:p w:rsidR="003E022D" w:rsidRDefault="007D19D6">
      <w:pPr>
        <w:numPr>
          <w:ilvl w:val="0"/>
          <w:numId w:val="1362"/>
        </w:numPr>
        <w:ind w:left="567" w:hanging="567"/>
        <w:rPr>
          <w:rFonts w:asciiTheme="majorHAnsi" w:eastAsia="Times New Roman" w:hAnsiTheme="majorHAnsi" w:cstheme="majorHAnsi"/>
          <w:noProof/>
        </w:rPr>
      </w:pPr>
      <w:r>
        <w:rPr>
          <w:noProof/>
        </w:rPr>
        <w:t xml:space="preserve">apsvērt FISH.10. panta [Piekļuve Gērnsijas Teritoriālās Vienības, Džērsijas Teritoriālās Vienības un Menas Salas ūdeņiem] un </w:t>
      </w:r>
      <w:r>
        <w:rPr>
          <w:rFonts w:asciiTheme="majorHAnsi" w:hAnsiTheme="majorHAnsi"/>
          <w:noProof/>
        </w:rPr>
        <w:t>FISH.11. panta [Paziņoš</w:t>
      </w:r>
      <w:r>
        <w:rPr>
          <w:rFonts w:asciiTheme="majorHAnsi" w:hAnsiTheme="majorHAnsi"/>
          <w:noProof/>
        </w:rPr>
        <w:t>anas termiņi, kas saistīti ar zvejniecības produktu importēšanu un tiešu izkraušanu] piemērošanu un īstenošanu.</w:t>
      </w:r>
    </w:p>
    <w:p w:rsidR="003E022D" w:rsidRDefault="007D19D6">
      <w:pPr>
        <w:rPr>
          <w:rFonts w:asciiTheme="minorHAnsi" w:hAnsiTheme="minorHAnsi" w:cstheme="minorHAnsi"/>
          <w:noProof/>
        </w:rPr>
      </w:pPr>
      <w:r>
        <w:rPr>
          <w:rFonts w:asciiTheme="minorHAnsi" w:hAnsiTheme="minorHAnsi"/>
          <w:noProof/>
        </w:rPr>
        <w:t>2.</w:t>
      </w:r>
      <w:bookmarkStart w:id="236" w:name="_Hlk58097685"/>
      <w:r>
        <w:rPr>
          <w:noProof/>
        </w:rPr>
        <w:tab/>
      </w:r>
      <w:r>
        <w:rPr>
          <w:rFonts w:asciiTheme="minorHAnsi" w:hAnsiTheme="minorHAnsi"/>
          <w:noProof/>
        </w:rPr>
        <w:t>Specializētā zvejniecības komiteja var pieņemt pasākumus, tai skaitā lēmumus un ieteikumus:</w:t>
      </w:r>
    </w:p>
    <w:p w:rsidR="003E022D" w:rsidRDefault="007D19D6">
      <w:pPr>
        <w:numPr>
          <w:ilvl w:val="3"/>
          <w:numId w:val="1386"/>
        </w:numPr>
        <w:ind w:left="567" w:hanging="567"/>
        <w:rPr>
          <w:rFonts w:eastAsia="Calibri" w:cs="Calibri"/>
          <w:noProof/>
        </w:rPr>
      </w:pPr>
      <w:r>
        <w:rPr>
          <w:noProof/>
        </w:rPr>
        <w:t xml:space="preserve">par jautājumiem, par kuriem Puses vienojušās pēc </w:t>
      </w:r>
      <w:r>
        <w:rPr>
          <w:noProof/>
        </w:rPr>
        <w:t>apspriešanās saskaņā ar FISH.6. pantu [Zvejas iespējas];</w:t>
      </w:r>
    </w:p>
    <w:p w:rsidR="003E022D" w:rsidRDefault="007D19D6">
      <w:pPr>
        <w:numPr>
          <w:ilvl w:val="3"/>
          <w:numId w:val="1386"/>
        </w:numPr>
        <w:ind w:left="567" w:hanging="567"/>
        <w:rPr>
          <w:rFonts w:eastAsia="Calibri" w:cs="Calibri"/>
          <w:noProof/>
        </w:rPr>
      </w:pPr>
      <w:r>
        <w:rPr>
          <w:noProof/>
        </w:rPr>
        <w:t xml:space="preserve">saistībā ar jebkuru no šā panta 1. punkta b), c), d), e), f), g), i), j), l), m) un n) apakšpunktā minētajiem jautājumiem; </w:t>
      </w:r>
    </w:p>
    <w:p w:rsidR="003E022D" w:rsidRDefault="007D19D6">
      <w:pPr>
        <w:numPr>
          <w:ilvl w:val="3"/>
          <w:numId w:val="1386"/>
        </w:numPr>
        <w:ind w:left="567" w:hanging="567"/>
        <w:rPr>
          <w:rFonts w:eastAsia="Calibri" w:cs="Calibri"/>
          <w:noProof/>
        </w:rPr>
      </w:pPr>
      <w:r>
        <w:rPr>
          <w:noProof/>
        </w:rPr>
        <w:t xml:space="preserve">grozīt jau esošo starptautisko saistību sarakstu, kas minēts FISH.4. panta </w:t>
      </w:r>
      <w:r>
        <w:rPr>
          <w:noProof/>
        </w:rPr>
        <w:t>[Zvejniecības pārvaldība] 2. punktā,</w:t>
      </w:r>
    </w:p>
    <w:p w:rsidR="003E022D" w:rsidRDefault="007D19D6">
      <w:pPr>
        <w:numPr>
          <w:ilvl w:val="3"/>
          <w:numId w:val="1386"/>
        </w:numPr>
        <w:ind w:left="567" w:hanging="567"/>
        <w:rPr>
          <w:rFonts w:eastAsia="Calibri" w:cs="Calibri"/>
          <w:noProof/>
        </w:rPr>
      </w:pPr>
      <w:r>
        <w:rPr>
          <w:noProof/>
        </w:rPr>
        <w:t>saistībā ar jebkuru citu sadarbības aspektu ilgtspējīgas zvejniecības pārvaldības jomā saskaņā ar šo tematu, un</w:t>
      </w:r>
      <w:bookmarkEnd w:id="236"/>
    </w:p>
    <w:p w:rsidR="003E022D" w:rsidRDefault="007D19D6">
      <w:pPr>
        <w:numPr>
          <w:ilvl w:val="3"/>
          <w:numId w:val="1386"/>
        </w:numPr>
        <w:ind w:left="567" w:hanging="567"/>
        <w:rPr>
          <w:rFonts w:eastAsia="Calibri" w:cs="Calibri"/>
          <w:noProof/>
        </w:rPr>
      </w:pPr>
      <w:r>
        <w:rPr>
          <w:noProof/>
        </w:rPr>
        <w:t>par pārskatīšanas nosacījumiem saskaņā ar FISH.18. pantu [Pārskatīšana].</w:t>
      </w:r>
    </w:p>
    <w:p w:rsidR="003E022D" w:rsidRDefault="007D19D6">
      <w:pPr>
        <w:rPr>
          <w:noProof/>
        </w:rPr>
      </w:pPr>
      <w:r>
        <w:rPr>
          <w:noProof/>
        </w:rPr>
        <w:t xml:space="preserve">3. </w:t>
      </w:r>
      <w:r>
        <w:rPr>
          <w:noProof/>
        </w:rPr>
        <w:tab/>
        <w:t>Partnerības padome ir pilnvaro</w:t>
      </w:r>
      <w:r>
        <w:rPr>
          <w:noProof/>
        </w:rPr>
        <w:t xml:space="preserve">ta grozīt FISH.1., FISH.2. un FISH.3. pielikumu. </w:t>
      </w:r>
    </w:p>
    <w:p w:rsidR="003E022D" w:rsidRDefault="007D19D6">
      <w:pPr>
        <w:pStyle w:val="Article"/>
        <w:rPr>
          <w:noProof/>
        </w:rPr>
      </w:pPr>
      <w:bookmarkStart w:id="237" w:name="_3rdcrjn"/>
      <w:bookmarkEnd w:id="237"/>
      <w:r>
        <w:rPr>
          <w:noProof/>
        </w:rPr>
        <w:t>FISH.17. pants. Izbeigšana</w:t>
      </w:r>
    </w:p>
    <w:p w:rsidR="003E022D" w:rsidRDefault="007D19D6">
      <w:pPr>
        <w:numPr>
          <w:ilvl w:val="0"/>
          <w:numId w:val="1374"/>
        </w:numPr>
        <w:ind w:left="0" w:firstLine="0"/>
        <w:rPr>
          <w:noProof/>
          <w:color w:val="0000E1"/>
        </w:rPr>
      </w:pPr>
      <w:r>
        <w:rPr>
          <w:noProof/>
        </w:rPr>
        <w:t>Neskarot FINPROV.8. pantu [Nolīguma izbeigšana] vai OTH.10. pantu [Otrās daļas izbeigšana], katra Puse var jebkurā laikā izbeigt šā temata piemērošanu, ar diplomātisko kanālu star</w:t>
      </w:r>
      <w:r>
        <w:rPr>
          <w:noProof/>
        </w:rPr>
        <w:t>pniecību iesniedzot rakstisku paziņojumu. Tādā gadījumā pirmais temats [Tirdzniecība], otrais temats [Aviācija], trešais temats [Autotransports] un šis temats [Zvejniecība] pārstāj būt spēkā pirmajā dienā devītajā mēnesī pēc paziņošanas datuma.</w:t>
      </w:r>
    </w:p>
    <w:p w:rsidR="003E022D" w:rsidRDefault="007D19D6">
      <w:pPr>
        <w:rPr>
          <w:noProof/>
          <w:color w:val="0000E1"/>
        </w:rPr>
      </w:pPr>
      <w:r>
        <w:rPr>
          <w:noProof/>
        </w:rPr>
        <w:t>2.     Ja š</w:t>
      </w:r>
      <w:r>
        <w:rPr>
          <w:noProof/>
        </w:rPr>
        <w:t>ā temata piemērošana tiek izbeigta, ievērojot 1. punktu, FINPROV.8. pantu [Nolīguma izbeigšana] vai OTH.10. pantu [Otrās daļas izbeigšana], saistības, ko Puses saskaņā ar šo tematu uzņēmušās attiecībā uz kārtējo gadu laikā, kad temats pārstāj būt spēkā, tu</w:t>
      </w:r>
      <w:r>
        <w:rPr>
          <w:noProof/>
        </w:rPr>
        <w:t>rpina piemērot līdz gada beigām.</w:t>
      </w:r>
      <w:r>
        <w:rPr>
          <w:noProof/>
          <w:color w:val="0000E1"/>
        </w:rPr>
        <w:t xml:space="preserve"> </w:t>
      </w:r>
    </w:p>
    <w:p w:rsidR="003E022D" w:rsidRDefault="007D19D6">
      <w:pPr>
        <w:rPr>
          <w:rFonts w:ascii="Arial" w:hAnsi="Arial" w:cs="Arial"/>
          <w:noProof/>
        </w:rPr>
      </w:pPr>
      <w:r>
        <w:rPr>
          <w:noProof/>
        </w:rPr>
        <w:t>3.</w:t>
      </w:r>
      <w:r>
        <w:rPr>
          <w:noProof/>
        </w:rPr>
        <w:tab/>
        <w:t xml:space="preserve">Neatkarīgi no 1. punkta otrais temats [Aviācija] var palikt spēkā, ja Puses vienojas integrēt </w:t>
      </w:r>
      <w:r>
        <w:rPr>
          <w:rFonts w:asciiTheme="majorHAnsi" w:hAnsiTheme="majorHAnsi"/>
          <w:noProof/>
        </w:rPr>
        <w:t>XI sadaļas [Vienlīdzīgi apstākļi atvērtai un godīgai konkurencei un ilgtspējīgai attīstībai]</w:t>
      </w:r>
      <w:r>
        <w:rPr>
          <w:noProof/>
        </w:rPr>
        <w:t xml:space="preserve"> attiecīgās daļas.</w:t>
      </w:r>
    </w:p>
    <w:p w:rsidR="003E022D" w:rsidRDefault="007D19D6">
      <w:pPr>
        <w:rPr>
          <w:rFonts w:eastAsia="Calibri" w:cs="Calibri"/>
          <w:noProof/>
        </w:rPr>
      </w:pPr>
      <w:r>
        <w:rPr>
          <w:noProof/>
        </w:rPr>
        <w:t>4.</w:t>
      </w:r>
      <w:r>
        <w:rPr>
          <w:noProof/>
        </w:rPr>
        <w:tab/>
        <w:t>Atkāpjoties</w:t>
      </w:r>
      <w:r>
        <w:rPr>
          <w:noProof/>
        </w:rPr>
        <w:t xml:space="preserve"> no 1.–3. punkta un neskarot FINPROV.8. pantu [Nolīguma izbeigšana] vai OTH.10. pantu [Otrās daļas izbeigšana]: </w:t>
      </w:r>
    </w:p>
    <w:p w:rsidR="003E022D" w:rsidRDefault="007D19D6">
      <w:pPr>
        <w:ind w:left="567" w:hanging="567"/>
        <w:rPr>
          <w:rFonts w:eastAsia="Calibri" w:cs="Calibri"/>
          <w:noProof/>
        </w:rPr>
      </w:pPr>
      <w:r>
        <w:rPr>
          <w:noProof/>
        </w:rPr>
        <w:t>a) ja vien Puses nav vienojušās citādi, FISH.10. pants [Piekļuve Gērnsijas Teritoriālās Vienības, Džērsijas Teritoriālās Vienības un Menas Sala</w:t>
      </w:r>
      <w:r>
        <w:rPr>
          <w:noProof/>
        </w:rPr>
        <w:t>s ūdeņiem], FISH.11. pants [Paziņošanas termiņi, kas saistīti ar zvejniecības produktu importēšanu un tiešu izkraušanu] un jebkādi citi šā temata noteikumi, ciktāl tie ir saistīti ar minētajos pantos paredzēto kārtību, paliek spēkā līdz:</w:t>
      </w:r>
    </w:p>
    <w:p w:rsidR="003E022D" w:rsidRDefault="007D19D6">
      <w:pPr>
        <w:numPr>
          <w:ilvl w:val="2"/>
          <w:numId w:val="1387"/>
        </w:numPr>
        <w:ind w:left="1276" w:hanging="567"/>
        <w:rPr>
          <w:rFonts w:asciiTheme="minorHAnsi" w:hAnsiTheme="minorHAnsi"/>
          <w:noProof/>
          <w:color w:val="000000"/>
          <w:u w:color="000000"/>
          <w:bdr w:val="nil"/>
        </w:rPr>
      </w:pPr>
      <w:r>
        <w:rPr>
          <w:noProof/>
        </w:rPr>
        <w:t xml:space="preserve">dienai, kad kāda </w:t>
      </w:r>
      <w:r>
        <w:rPr>
          <w:noProof/>
        </w:rPr>
        <w:t>no Pusēm izbeidz to piemērošanu, otrai Pusei par izbeigšanu rakstiski paziņojot trīs gadus iepriekš,</w:t>
      </w:r>
      <w:r>
        <w:rPr>
          <w:rFonts w:asciiTheme="minorHAnsi" w:hAnsiTheme="minorHAnsi"/>
          <w:noProof/>
          <w:color w:val="000000"/>
          <w:u w:color="000000"/>
          <w:bdr w:val="nil"/>
        </w:rPr>
        <w:t xml:space="preserve"> vai</w:t>
      </w:r>
    </w:p>
    <w:p w:rsidR="003E022D" w:rsidRDefault="007D19D6">
      <w:pPr>
        <w:numPr>
          <w:ilvl w:val="2"/>
          <w:numId w:val="1387"/>
        </w:numPr>
        <w:ind w:left="1276" w:hanging="567"/>
        <w:rPr>
          <w:rFonts w:eastAsia="Calibri" w:cs="Calibri"/>
          <w:noProof/>
        </w:rPr>
      </w:pPr>
      <w:r>
        <w:rPr>
          <w:noProof/>
        </w:rPr>
        <w:t>dienai, kurā pārstāj būt spēkā OTH.9. panta [Ģeogrāfiskā piemērošana] 3.–5. punkts, ja tas notiek agrāk;</w:t>
      </w:r>
    </w:p>
    <w:p w:rsidR="003E022D" w:rsidRDefault="007D19D6">
      <w:pPr>
        <w:ind w:left="567" w:hanging="567"/>
        <w:rPr>
          <w:rFonts w:eastAsia="Calibri" w:cs="Calibri"/>
          <w:noProof/>
        </w:rPr>
      </w:pPr>
      <w:r>
        <w:rPr>
          <w:noProof/>
        </w:rPr>
        <w:t>b)</w:t>
      </w:r>
      <w:r>
        <w:rPr>
          <w:noProof/>
        </w:rPr>
        <w:tab/>
        <w:t>šā panta 4. punkta a) apakšpunkta i) punkta</w:t>
      </w:r>
      <w:r>
        <w:rPr>
          <w:noProof/>
        </w:rPr>
        <w:t xml:space="preserve"> nolūkā paziņojumu par izbeigšanu var sniegt attiecībā uz vienu vai vairākām no šādām teritorijām: Gērnsijas Teritoriālā Vienība, Džērsijas Teritoriālā Vienība un Menas Sala, bet FISH.10. pants [Piekļuve Gērnsijas Teritoriālās Vienības, Džērsijas Teritoriā</w:t>
      </w:r>
      <w:r>
        <w:rPr>
          <w:noProof/>
        </w:rPr>
        <w:t>lās Vienības un Menas Salas ūdeņiem], FISH.11. pants [Paziņošanas termiņi, kas saistīti ar zvejniecības produktu importēšanu un tiešu izkraušanu] un jebkādi citi šā temata noteikumi, ciktāl tie ir saistīti ar minētajos pantos paredzēto kārtību, paliek spēk</w:t>
      </w:r>
      <w:r>
        <w:rPr>
          <w:noProof/>
        </w:rPr>
        <w:t>ā attiecībā uz teritorijām, attiecībā uz kurām paziņojums par izbeigšanu nav iesniegts; un</w:t>
      </w:r>
    </w:p>
    <w:p w:rsidR="003E022D" w:rsidRDefault="007D19D6">
      <w:pPr>
        <w:numPr>
          <w:ilvl w:val="0"/>
          <w:numId w:val="1377"/>
        </w:numPr>
        <w:ind w:left="567" w:hanging="567"/>
        <w:rPr>
          <w:rFonts w:eastAsia="Calibri" w:cs="Calibri"/>
          <w:noProof/>
        </w:rPr>
      </w:pPr>
      <w:r>
        <w:rPr>
          <w:noProof/>
        </w:rPr>
        <w:t>šā panta 4. punkta a) apakšpunkta ii) punkta nolūkā, ja šā nolīguma OTH.9. panta [Ģeogrāfiskā piemērošana] 3.–5. punkts pārstāj būt spēkā attiecībā uz vienu vai vair</w:t>
      </w:r>
      <w:r>
        <w:rPr>
          <w:noProof/>
        </w:rPr>
        <w:t>ākām (bet ne visām) no šādām teritorijām: Gērnsijas Teritoriālā Vienība, Džērsijas Teritoriālā Vienība un Menas Sala, tad FISH.10. pants [Piekļuve Gērnsijas Teritoriālās Vienības, Džērsijas Teritoriālās Vienības un Menas Salas ūdeņiem], FISH.11. pants [Paz</w:t>
      </w:r>
      <w:r>
        <w:rPr>
          <w:noProof/>
        </w:rPr>
        <w:t>iņošanas termiņi, kas saistīti ar zvejniecības produktu importēšanu un tiešu izkraušanu] un jebkādi citi šā temata noteikumi, ciktāl tie ir saistīti ar minētajos pantos paredzēto kārtību, paliek spēkā attiecībā uz teritorijām, attiecībā uz kurām paliek spē</w:t>
      </w:r>
      <w:r>
        <w:rPr>
          <w:noProof/>
        </w:rPr>
        <w:t>kā šā nolīguma OTH.9. panta [Ģeogrāfiskā piemērošana] 3.–5. punkts.</w:t>
      </w:r>
    </w:p>
    <w:p w:rsidR="003E022D" w:rsidRDefault="007D19D6">
      <w:pPr>
        <w:pStyle w:val="Article"/>
        <w:rPr>
          <w:noProof/>
        </w:rPr>
      </w:pPr>
      <w:r>
        <w:rPr>
          <w:noProof/>
        </w:rPr>
        <w:t>FISH.18. pants. Pārskatīšanas klauzula</w:t>
      </w:r>
    </w:p>
    <w:p w:rsidR="003E022D" w:rsidRDefault="007D19D6">
      <w:pPr>
        <w:numPr>
          <w:ilvl w:val="0"/>
          <w:numId w:val="1371"/>
        </w:numPr>
        <w:ind w:left="0" w:firstLine="0"/>
        <w:rPr>
          <w:rFonts w:eastAsia="Calibri" w:cs="Calibri"/>
          <w:noProof/>
        </w:rPr>
      </w:pPr>
      <w:r>
        <w:rPr>
          <w:noProof/>
        </w:rPr>
        <w:t>Četrus gadus pēc tam, kad beidzies FISH.4. pielikuma [Protokols piekļuvi ūdeņiem] 1. pantā minētais pielāgošanās periods, Puses Partnerības padomē ko</w:t>
      </w:r>
      <w:r>
        <w:rPr>
          <w:noProof/>
        </w:rPr>
        <w:t>pīgi pārskata šā temata īstenošanu, lai apsvērtu, vai kārtību, arī attiecībā uz piekļuvi ūdeņiem, var vēl vairāk kodificēt un pastiprināt.</w:t>
      </w:r>
    </w:p>
    <w:p w:rsidR="003E022D" w:rsidRDefault="007D19D6">
      <w:pPr>
        <w:numPr>
          <w:ilvl w:val="0"/>
          <w:numId w:val="1371"/>
        </w:numPr>
        <w:ind w:left="0" w:firstLine="0"/>
        <w:rPr>
          <w:rFonts w:eastAsia="Calibri" w:cs="Calibri"/>
          <w:noProof/>
        </w:rPr>
      </w:pPr>
      <w:r>
        <w:rPr>
          <w:noProof/>
        </w:rPr>
        <w:t>Šādu pārskatīšanu var atkārtot ik pēc četriem gadiem pēc pirmās pārskatīšanas pabeigšanas.</w:t>
      </w:r>
    </w:p>
    <w:p w:rsidR="003E022D" w:rsidRDefault="007D19D6">
      <w:pPr>
        <w:numPr>
          <w:ilvl w:val="0"/>
          <w:numId w:val="1371"/>
        </w:numPr>
        <w:ind w:left="0" w:firstLine="0"/>
        <w:rPr>
          <w:rFonts w:eastAsia="Calibri" w:cs="Calibri"/>
          <w:noProof/>
        </w:rPr>
      </w:pPr>
      <w:r>
        <w:rPr>
          <w:noProof/>
        </w:rPr>
        <w:t xml:space="preserve">Pārskatīšanas kārtību </w:t>
      </w:r>
      <w:r>
        <w:rPr>
          <w:noProof/>
        </w:rPr>
        <w:t>Puses nolemj iepriekš ar Specializētās zvejniecības komitejas starpniecību.</w:t>
      </w:r>
    </w:p>
    <w:p w:rsidR="003E022D" w:rsidRDefault="007D19D6">
      <w:pPr>
        <w:numPr>
          <w:ilvl w:val="0"/>
          <w:numId w:val="1371"/>
        </w:numPr>
        <w:ind w:left="0" w:firstLine="0"/>
        <w:rPr>
          <w:rFonts w:eastAsia="Calibri" w:cs="Calibri"/>
          <w:noProof/>
        </w:rPr>
      </w:pPr>
      <w:r>
        <w:rPr>
          <w:noProof/>
        </w:rPr>
        <w:t>Pārskatīšana jo īpaši dod iespēju attiecībā uz iepriekšējiem gadiem izvērtēt:</w:t>
      </w:r>
    </w:p>
    <w:p w:rsidR="003E022D" w:rsidRDefault="007D19D6">
      <w:pPr>
        <w:numPr>
          <w:ilvl w:val="1"/>
          <w:numId w:val="1389"/>
        </w:numPr>
        <w:ind w:left="567" w:hanging="567"/>
        <w:rPr>
          <w:rFonts w:eastAsia="Calibri" w:cs="Calibri"/>
          <w:noProof/>
        </w:rPr>
      </w:pPr>
      <w:r>
        <w:rPr>
          <w:noProof/>
        </w:rPr>
        <w:t>noteikumus par savstarpēju piekļuvi Pušu ūdeņiem saskaņā ar FISH.8. pantu [Piekļuve ūdeņiem];</w:t>
      </w:r>
    </w:p>
    <w:p w:rsidR="003E022D" w:rsidRDefault="007D19D6">
      <w:pPr>
        <w:numPr>
          <w:ilvl w:val="1"/>
          <w:numId w:val="1389"/>
        </w:numPr>
        <w:ind w:left="567" w:hanging="567"/>
        <w:rPr>
          <w:rFonts w:eastAsia="Calibri" w:cs="Calibri"/>
          <w:noProof/>
        </w:rPr>
      </w:pPr>
      <w:r>
        <w:rPr>
          <w:noProof/>
        </w:rPr>
        <w:t>FISH.1.,</w:t>
      </w:r>
      <w:r>
        <w:rPr>
          <w:noProof/>
        </w:rPr>
        <w:t xml:space="preserve"> 2. un 3. pielikumā noteiktās KPN daļas;</w:t>
      </w:r>
    </w:p>
    <w:p w:rsidR="003E022D" w:rsidRDefault="007D19D6">
      <w:pPr>
        <w:numPr>
          <w:ilvl w:val="1"/>
          <w:numId w:val="1389"/>
        </w:numPr>
        <w:ind w:left="567" w:hanging="567"/>
        <w:rPr>
          <w:rFonts w:eastAsia="Calibri" w:cs="Calibri"/>
          <w:noProof/>
        </w:rPr>
      </w:pPr>
      <w:r>
        <w:rPr>
          <w:noProof/>
        </w:rPr>
        <w:t>to zvejas iespēju skaitu un apmēru, kuru nodošana bijusi daļa no ikgadējām apspriešanām saskaņā ar FISH.6. panta [Zvejas iespējas] 4. punktu, un jebkādu nodošanu, kas notikusi saskaņā ar FISH.6. panta [Zvejas iespēj</w:t>
      </w:r>
      <w:r>
        <w:rPr>
          <w:noProof/>
        </w:rPr>
        <w:t xml:space="preserve">as] 8. punktu; </w:t>
      </w:r>
    </w:p>
    <w:p w:rsidR="003E022D" w:rsidRDefault="007D19D6">
      <w:pPr>
        <w:numPr>
          <w:ilvl w:val="1"/>
          <w:numId w:val="1389"/>
        </w:numPr>
        <w:ind w:left="567" w:hanging="567"/>
        <w:rPr>
          <w:rFonts w:eastAsia="Calibri" w:cs="Calibri"/>
          <w:noProof/>
        </w:rPr>
      </w:pPr>
      <w:r>
        <w:rPr>
          <w:noProof/>
        </w:rPr>
        <w:t>ikgadējo KPN svārstības;</w:t>
      </w:r>
    </w:p>
    <w:p w:rsidR="003E022D" w:rsidRDefault="007D19D6">
      <w:pPr>
        <w:numPr>
          <w:ilvl w:val="1"/>
          <w:numId w:val="1389"/>
        </w:numPr>
        <w:ind w:left="567" w:hanging="567"/>
        <w:rPr>
          <w:rFonts w:eastAsia="Calibri" w:cs="Calibri"/>
          <w:noProof/>
        </w:rPr>
      </w:pPr>
      <w:r>
        <w:rPr>
          <w:noProof/>
        </w:rPr>
        <w:t>abu Pušu atbilstību šā temata noteikumiem un katras Puses kuģu atbilstību noteikumiem, kas minētajiem kuģiem piemērojami laikā, kad tie atrodas otras Puses ūdeņos;</w:t>
      </w:r>
    </w:p>
    <w:p w:rsidR="003E022D" w:rsidRDefault="007D19D6">
      <w:pPr>
        <w:numPr>
          <w:ilvl w:val="1"/>
          <w:numId w:val="1389"/>
        </w:numPr>
        <w:ind w:left="567" w:hanging="567"/>
        <w:rPr>
          <w:rFonts w:eastAsia="Calibri" w:cs="Calibri"/>
          <w:noProof/>
          <w:lang w:val="fr-BE"/>
        </w:rPr>
      </w:pPr>
      <w:r>
        <w:rPr>
          <w:noProof/>
          <w:lang w:val="fr-BE"/>
        </w:rPr>
        <w:t>saskaņā ar šo tematu notiekošās sadarbības veidu un</w:t>
      </w:r>
      <w:r>
        <w:rPr>
          <w:noProof/>
          <w:lang w:val="fr-BE"/>
        </w:rPr>
        <w:t xml:space="preserve"> apmēru un</w:t>
      </w:r>
    </w:p>
    <w:p w:rsidR="003E022D" w:rsidRDefault="007D19D6">
      <w:pPr>
        <w:numPr>
          <w:ilvl w:val="1"/>
          <w:numId w:val="1389"/>
        </w:numPr>
        <w:ind w:left="567" w:hanging="567"/>
        <w:rPr>
          <w:rFonts w:eastAsia="Calibri" w:cs="Calibri"/>
          <w:noProof/>
          <w:lang w:val="fr-BE"/>
        </w:rPr>
      </w:pPr>
      <w:r>
        <w:rPr>
          <w:noProof/>
          <w:lang w:val="fr-BE"/>
        </w:rPr>
        <w:t>jebkādus citus elementus, kurus Puses var iepriekš nolemt Specializētajā zvejniecības komitejā.</w:t>
      </w:r>
    </w:p>
    <w:p w:rsidR="003E022D" w:rsidRDefault="007D19D6">
      <w:pPr>
        <w:pStyle w:val="Article"/>
        <w:rPr>
          <w:noProof/>
        </w:rPr>
      </w:pPr>
      <w:bookmarkStart w:id="238" w:name="_26in1rg"/>
      <w:bookmarkEnd w:id="238"/>
      <w:r>
        <w:rPr>
          <w:noProof/>
        </w:rPr>
        <w:t>FISH.19. pants. Saistība ar citiem nolīgumiem</w:t>
      </w:r>
    </w:p>
    <w:p w:rsidR="003E022D" w:rsidRDefault="007D19D6">
      <w:pPr>
        <w:numPr>
          <w:ilvl w:val="0"/>
          <w:numId w:val="1388"/>
        </w:numPr>
        <w:ind w:left="0" w:firstLine="0"/>
        <w:rPr>
          <w:rFonts w:eastAsia="Calibri" w:cs="Calibri"/>
          <w:noProof/>
        </w:rPr>
      </w:pPr>
      <w:r>
        <w:rPr>
          <w:noProof/>
        </w:rPr>
        <w:t>Ņemot vērā 2. punktu, šis temats neskar citas spēkā esošas vienošanās par zveju, ko vienas Puses jurisd</w:t>
      </w:r>
      <w:r>
        <w:rPr>
          <w:noProof/>
        </w:rPr>
        <w:t>ikcijā esošajā teritorijā veic otras Puses kuģi.</w:t>
      </w:r>
    </w:p>
    <w:p w:rsidR="003E022D" w:rsidRDefault="007D19D6">
      <w:pPr>
        <w:numPr>
          <w:ilvl w:val="0"/>
          <w:numId w:val="1388"/>
        </w:numPr>
        <w:ind w:left="0" w:firstLine="0"/>
        <w:rPr>
          <w:rFonts w:eastAsia="Calibri" w:cs="Calibri"/>
          <w:noProof/>
        </w:rPr>
      </w:pPr>
      <w:r>
        <w:rPr>
          <w:noProof/>
        </w:rPr>
        <w:t>Šis temats izbeidz un aizstāj jebkādus esošus nolīgumus vai vienošanās attiecībā uz zveju, ko Savienības zvejas kuģi veic Gērnsijas Teritoriālajai Vienībai, Džērsijas Teritoriālajai Vienībai, Menas Salai pie</w:t>
      </w:r>
      <w:r>
        <w:rPr>
          <w:noProof/>
        </w:rPr>
        <w:t>gulošos ūdeņos, un attiecībā uz zveju, ko Apvienotās Karalistes kuģi, kas reģistrēti Gērnsijas Teritoriālajā Vienībā, Džērsijas Teritoriālajā Vienībā vai Menas Salā, veic kādai dalībvalstij piegulošos ūdeņos. Tomēr tad, ja Partnerības padome saskaņā ar 10.</w:t>
      </w:r>
      <w:r>
        <w:rPr>
          <w:noProof/>
        </w:rPr>
        <w:t xml:space="preserve"> panta [Piekļuve Gērnsijas Teritoriālās Vienības, Džērsijas Teritoriālās Vienības un Menas Salas ūdeņiem] 3. punktu ir pieņēmusi lēmumu, ka nolīgumu pārstāj piemērot attiecībā uz Gērnsijas Teritoriālo Vienību, Džērsijas Teritoriālo Vienību vai Menas Salu, </w:t>
      </w:r>
      <w:r>
        <w:rPr>
          <w:noProof/>
        </w:rPr>
        <w:t>attiecīgie nolīgumi vai vienošanās netiek izbeigtas un aizstātas attiecībā uz teritoriju vai teritorijām, par kurām šāds lēmums pieņemts.</w:t>
      </w:r>
    </w:p>
    <w:p w:rsidR="003E022D" w:rsidRDefault="007D19D6">
      <w:pPr>
        <w:pStyle w:val="Heading"/>
        <w:rPr>
          <w:noProof/>
        </w:rPr>
      </w:pPr>
      <w:bookmarkStart w:id="239" w:name="_Toc59988360"/>
      <w:r>
        <w:rPr>
          <w:noProof/>
        </w:rPr>
        <w:t>SESTAIS TEMATS CITI NOTEIKUMI</w:t>
      </w:r>
      <w:bookmarkEnd w:id="239"/>
    </w:p>
    <w:p w:rsidR="003E022D" w:rsidRDefault="007D19D6">
      <w:pPr>
        <w:pStyle w:val="Article"/>
        <w:rPr>
          <w:noProof/>
        </w:rPr>
      </w:pPr>
      <w:r>
        <w:rPr>
          <w:noProof/>
        </w:rPr>
        <w:t>OTH.1. pants. Definīcijas</w:t>
      </w:r>
    </w:p>
    <w:p w:rsidR="003E022D" w:rsidRDefault="007D19D6">
      <w:pPr>
        <w:rPr>
          <w:noProof/>
          <w:u w:color="000000"/>
        </w:rPr>
      </w:pPr>
      <w:r>
        <w:rPr>
          <w:noProof/>
        </w:rPr>
        <w:t xml:space="preserve">Ja vien nav norādīts citādi, šā nolīguma </w:t>
      </w:r>
      <w:r>
        <w:rPr>
          <w:noProof/>
          <w:u w:color="000000"/>
        </w:rPr>
        <w:t>otrajā daļā</w:t>
      </w:r>
      <w:r>
        <w:rPr>
          <w:noProof/>
        </w:rPr>
        <w:t xml:space="preserve">, </w:t>
      </w:r>
      <w:r>
        <w:rPr>
          <w:noProof/>
          <w:u w:color="000000"/>
        </w:rPr>
        <w:t>Protokol</w:t>
      </w:r>
      <w:r>
        <w:rPr>
          <w:noProof/>
          <w:u w:color="000000"/>
        </w:rPr>
        <w:t>ā par savstarpēju administratīvo palīdzību muitas lietās un Protokolā par administratīvo sadarbību un krāpšanas apkarošanu pievienotās vērtības nodokļa jomā un par savstarpējo palīdzību prasījumu piedziņā saistībā ar nodokļiem un nodevām</w:t>
      </w:r>
      <w:r>
        <w:rPr>
          <w:noProof/>
        </w:rPr>
        <w:t xml:space="preserve"> piemēro šādas defi</w:t>
      </w:r>
      <w:r>
        <w:rPr>
          <w:noProof/>
        </w:rPr>
        <w:t>nīcijas:</w:t>
      </w:r>
    </w:p>
    <w:p w:rsidR="003E022D" w:rsidRDefault="007D19D6">
      <w:pPr>
        <w:pStyle w:val="ListParagraph"/>
        <w:numPr>
          <w:ilvl w:val="0"/>
          <w:numId w:val="514"/>
        </w:numPr>
        <w:ind w:left="567" w:hanging="567"/>
        <w:contextualSpacing w:val="0"/>
        <w:rPr>
          <w:noProof/>
        </w:rPr>
      </w:pPr>
      <w:r>
        <w:rPr>
          <w:noProof/>
        </w:rPr>
        <w:t xml:space="preserve">“lauksaimniecības prece” ir Nolīguma par lauksaimniecību </w:t>
      </w:r>
      <w:r>
        <w:rPr>
          <w:noProof/>
          <w:u w:color="000000"/>
        </w:rPr>
        <w:t>1. pielikumā</w:t>
      </w:r>
      <w:r>
        <w:rPr>
          <w:noProof/>
        </w:rPr>
        <w:t xml:space="preserve"> uzskaitīts produkts;</w:t>
      </w:r>
    </w:p>
    <w:p w:rsidR="003E022D" w:rsidRDefault="007D19D6">
      <w:pPr>
        <w:pStyle w:val="ListParagraph"/>
        <w:numPr>
          <w:ilvl w:val="0"/>
          <w:numId w:val="514"/>
        </w:numPr>
        <w:ind w:left="567" w:hanging="567"/>
        <w:contextualSpacing w:val="0"/>
        <w:rPr>
          <w:noProof/>
        </w:rPr>
      </w:pPr>
      <w:r>
        <w:rPr>
          <w:noProof/>
        </w:rPr>
        <w:t>“muitas dienests” ir:</w:t>
      </w:r>
    </w:p>
    <w:p w:rsidR="003E022D" w:rsidRDefault="007D19D6">
      <w:pPr>
        <w:numPr>
          <w:ilvl w:val="0"/>
          <w:numId w:val="517"/>
        </w:numPr>
        <w:spacing w:after="160" w:line="259" w:lineRule="auto"/>
        <w:ind w:left="1276" w:hanging="567"/>
        <w:rPr>
          <w:rFonts w:eastAsia="Calibri" w:cs="Calibri"/>
          <w:noProof/>
        </w:rPr>
      </w:pPr>
      <w:r>
        <w:rPr>
          <w:noProof/>
        </w:rPr>
        <w:t xml:space="preserve">attiecībā uz Savienību – Eiropas Komisijas dienesti, kas atbildīgi par muitas jautājumiem, vai attiecīgā gadījumā muitas pārvaldes un </w:t>
      </w:r>
      <w:r>
        <w:rPr>
          <w:noProof/>
        </w:rPr>
        <w:t xml:space="preserve">citas iestādes, kuras dalībvalstīs ir pilnvarotas piemērot un izpildīt tiesību aktus muitas jomā, un </w:t>
      </w:r>
    </w:p>
    <w:p w:rsidR="003E022D" w:rsidRDefault="007D19D6">
      <w:pPr>
        <w:numPr>
          <w:ilvl w:val="0"/>
          <w:numId w:val="517"/>
        </w:numPr>
        <w:spacing w:after="160" w:line="259" w:lineRule="auto"/>
        <w:ind w:left="1276" w:hanging="567"/>
        <w:rPr>
          <w:rFonts w:eastAsia="Calibri" w:cs="Calibri"/>
          <w:noProof/>
        </w:rPr>
      </w:pPr>
      <w:r>
        <w:rPr>
          <w:noProof/>
        </w:rPr>
        <w:t>attiecībā uz Apvienoto Karalisti – Viņas Majestātes Ieņēmumu un muitas dienests (</w:t>
      </w:r>
      <w:r>
        <w:rPr>
          <w:i/>
          <w:noProof/>
        </w:rPr>
        <w:t>Her Majesty’s Revenue and Customs</w:t>
      </w:r>
      <w:r>
        <w:rPr>
          <w:noProof/>
        </w:rPr>
        <w:t xml:space="preserve">) un citas iestādes, kas ir atbildīgas par muitas jautājumiem. </w:t>
      </w:r>
    </w:p>
    <w:p w:rsidR="003E022D" w:rsidRDefault="007D19D6">
      <w:pPr>
        <w:pStyle w:val="ListParagraph"/>
        <w:numPr>
          <w:ilvl w:val="0"/>
          <w:numId w:val="514"/>
        </w:numPr>
        <w:ind w:left="567" w:hanging="567"/>
        <w:contextualSpacing w:val="0"/>
        <w:rPr>
          <w:noProof/>
        </w:rPr>
      </w:pPr>
      <w:r>
        <w:rPr>
          <w:noProof/>
        </w:rPr>
        <w:t>“muitas nodoklis” ir jebkāds nodoklis vai jebkāda veida maksājums, ko uzliek precēm, tās importējot, vai saistībā ar preču importēšanu, taču tas neietver:</w:t>
      </w:r>
    </w:p>
    <w:p w:rsidR="003E022D" w:rsidRDefault="007D19D6">
      <w:pPr>
        <w:numPr>
          <w:ilvl w:val="0"/>
          <w:numId w:val="521"/>
        </w:numPr>
        <w:spacing w:after="160" w:line="259" w:lineRule="auto"/>
        <w:rPr>
          <w:rFonts w:eastAsia="Calibri" w:cs="Calibri"/>
          <w:noProof/>
        </w:rPr>
      </w:pPr>
      <w:r>
        <w:rPr>
          <w:noProof/>
        </w:rPr>
        <w:t xml:space="preserve">maksājumu, kas līdzvērtīgs iekšējam nodoklim, kuru uzliek saskaņā ar </w:t>
      </w:r>
      <w:r>
        <w:rPr>
          <w:noProof/>
          <w:u w:color="000000"/>
        </w:rPr>
        <w:t>GOODS.4. pantu [Valsts režīms iekšējo nodokļu un regulējuma jomā]</w:t>
      </w:r>
      <w:r>
        <w:rPr>
          <w:noProof/>
        </w:rPr>
        <w:t xml:space="preserve">; </w:t>
      </w:r>
    </w:p>
    <w:p w:rsidR="003E022D" w:rsidRDefault="007D19D6">
      <w:pPr>
        <w:numPr>
          <w:ilvl w:val="0"/>
          <w:numId w:val="521"/>
        </w:numPr>
        <w:spacing w:after="160" w:line="259" w:lineRule="auto"/>
        <w:ind w:left="1276" w:hanging="567"/>
        <w:rPr>
          <w:rFonts w:eastAsia="Calibri" w:cs="Calibri"/>
          <w:noProof/>
        </w:rPr>
      </w:pPr>
      <w:r>
        <w:rPr>
          <w:noProof/>
        </w:rPr>
        <w:t xml:space="preserve">attiecīgi antidempinga, īpašu aizsardzības pasākumu, kompensācijas vai aizsardzības maksājumu, ko piemēro saskaņā ar </w:t>
      </w:r>
      <w:r>
        <w:rPr>
          <w:i/>
          <w:noProof/>
        </w:rPr>
        <w:t>GA</w:t>
      </w:r>
      <w:r>
        <w:rPr>
          <w:i/>
          <w:noProof/>
        </w:rPr>
        <w:t>TT</w:t>
      </w:r>
      <w:r>
        <w:rPr>
          <w:noProof/>
        </w:rPr>
        <w:t> 1994, Antidempinga nolīgumu, Nolīgumu par lauksaimniecību, Nolīgumu par subsīdijām un kompensācijas pasākumiem vai Nolīgumu par aizsardzības pasākumiem vai</w:t>
      </w:r>
      <w:r>
        <w:rPr>
          <w:noProof/>
        </w:rPr>
        <w:tab/>
      </w:r>
    </w:p>
    <w:p w:rsidR="003E022D" w:rsidRDefault="007D19D6">
      <w:pPr>
        <w:numPr>
          <w:ilvl w:val="0"/>
          <w:numId w:val="521"/>
        </w:numPr>
        <w:spacing w:after="160" w:line="259" w:lineRule="auto"/>
        <w:ind w:left="1276" w:hanging="567"/>
        <w:rPr>
          <w:noProof/>
        </w:rPr>
      </w:pPr>
      <w:r>
        <w:rPr>
          <w:noProof/>
        </w:rPr>
        <w:t>maksas vai citus maksājumus, ko uzliek importam vai saistībā ar importu un kas nepārsniedz snieg</w:t>
      </w:r>
      <w:r>
        <w:rPr>
          <w:noProof/>
        </w:rPr>
        <w:t xml:space="preserve">to pakalpojumu aptuvenās izmaksas; </w:t>
      </w:r>
    </w:p>
    <w:p w:rsidR="003E022D" w:rsidRDefault="007D19D6">
      <w:pPr>
        <w:pStyle w:val="ListParagraph"/>
        <w:numPr>
          <w:ilvl w:val="0"/>
          <w:numId w:val="514"/>
        </w:numPr>
        <w:ind w:left="567" w:hanging="567"/>
        <w:contextualSpacing w:val="0"/>
        <w:rPr>
          <w:noProof/>
        </w:rPr>
      </w:pPr>
      <w:r>
        <w:rPr>
          <w:noProof/>
        </w:rPr>
        <w:t>“CPC” ir Centrālā preču klasifikācija (Apvienoto Nāciju Organizācijas Statistikas biroja Starptautisko Ekonomikas un sociālo lietu komitejas statistikas dokumentu M sērija, Nr. 77, Ņujorka, 1991. gads);</w:t>
      </w:r>
    </w:p>
    <w:p w:rsidR="003E022D" w:rsidRDefault="007D19D6">
      <w:pPr>
        <w:pStyle w:val="ListParagraph"/>
        <w:numPr>
          <w:ilvl w:val="0"/>
          <w:numId w:val="514"/>
        </w:numPr>
        <w:ind w:left="567" w:hanging="567"/>
        <w:contextualSpacing w:val="0"/>
        <w:rPr>
          <w:noProof/>
        </w:rPr>
      </w:pPr>
      <w:r>
        <w:rPr>
          <w:noProof/>
        </w:rPr>
        <w:t xml:space="preserve"> “esošs” nozīmē s</w:t>
      </w:r>
      <w:r>
        <w:rPr>
          <w:noProof/>
        </w:rPr>
        <w:t>pēkā esošs šā nolīguma spēkā stāšanās dienā;</w:t>
      </w:r>
    </w:p>
    <w:p w:rsidR="003E022D" w:rsidRDefault="007D19D6">
      <w:pPr>
        <w:pStyle w:val="ListParagraph"/>
        <w:numPr>
          <w:ilvl w:val="0"/>
          <w:numId w:val="514"/>
        </w:numPr>
        <w:ind w:left="567" w:hanging="567"/>
        <w:contextualSpacing w:val="0"/>
        <w:rPr>
          <w:noProof/>
        </w:rPr>
      </w:pPr>
      <w:r>
        <w:rPr>
          <w:noProof/>
        </w:rPr>
        <w:t xml:space="preserve">“Puses preces” ir iekšzemes ražojumi </w:t>
      </w:r>
      <w:r>
        <w:rPr>
          <w:i/>
          <w:noProof/>
        </w:rPr>
        <w:t>GATT</w:t>
      </w:r>
      <w:r>
        <w:rPr>
          <w:noProof/>
        </w:rPr>
        <w:t> 1994 izpratnē un ietver minētās Puses noteiktas izcelsmes preces;</w:t>
      </w:r>
    </w:p>
    <w:p w:rsidR="003E022D" w:rsidRDefault="007D19D6">
      <w:pPr>
        <w:pStyle w:val="ListParagraph"/>
        <w:numPr>
          <w:ilvl w:val="0"/>
          <w:numId w:val="514"/>
        </w:numPr>
        <w:ind w:left="567" w:hanging="567"/>
        <w:contextualSpacing w:val="0"/>
        <w:rPr>
          <w:noProof/>
        </w:rPr>
      </w:pPr>
      <w:r>
        <w:rPr>
          <w:noProof/>
        </w:rPr>
        <w:t>“Harmonizētā sistēma” jeb (“HS”) ir Preču aprakstīšanas un kodēšanas harmonizētā sistēma, ko izstrādāju</w:t>
      </w:r>
      <w:r>
        <w:rPr>
          <w:noProof/>
        </w:rPr>
        <w:t xml:space="preserve">si Pasaules Muitas organizācija, ieskaitot visas juridiskās piezīmes un grozījumus; </w:t>
      </w:r>
    </w:p>
    <w:p w:rsidR="003E022D" w:rsidRDefault="007D19D6">
      <w:pPr>
        <w:pStyle w:val="ListParagraph"/>
        <w:numPr>
          <w:ilvl w:val="0"/>
          <w:numId w:val="514"/>
        </w:numPr>
        <w:ind w:left="567" w:hanging="567"/>
        <w:contextualSpacing w:val="0"/>
        <w:rPr>
          <w:noProof/>
        </w:rPr>
      </w:pPr>
      <w:r>
        <w:rPr>
          <w:noProof/>
        </w:rPr>
        <w:t>“pozīcija” ir pirmie četri cipari Harmonizētās sistēmas tarifa klasifikācijas numurā;</w:t>
      </w:r>
    </w:p>
    <w:p w:rsidR="003E022D" w:rsidRDefault="007D19D6">
      <w:pPr>
        <w:pStyle w:val="ListParagraph"/>
        <w:numPr>
          <w:ilvl w:val="0"/>
          <w:numId w:val="514"/>
        </w:numPr>
        <w:ind w:left="567" w:hanging="567"/>
        <w:contextualSpacing w:val="0"/>
        <w:rPr>
          <w:noProof/>
        </w:rPr>
      </w:pPr>
      <w:r>
        <w:rPr>
          <w:noProof/>
        </w:rPr>
        <w:t>“juridiska persona” ir jebkurš tiesību subjekts, kas noteiktā kārtībā izveidots vai c</w:t>
      </w:r>
      <w:r>
        <w:rPr>
          <w:noProof/>
        </w:rPr>
        <w:t>itādi organizēts saskaņā ar spēkā esošajiem tiesību aktiem peļņas gūšanai vai citā nolūkā un kas pieder privātai personai vai valstij, t. sk. jebkāda korporācija, fonds, pilnsabiedrība, kopuzņēmums, viena dalībnieka uzņēmums vai asociācija;</w:t>
      </w:r>
    </w:p>
    <w:p w:rsidR="003E022D" w:rsidRDefault="007D19D6">
      <w:pPr>
        <w:pStyle w:val="ListParagraph"/>
        <w:numPr>
          <w:ilvl w:val="0"/>
          <w:numId w:val="514"/>
        </w:numPr>
        <w:ind w:left="567" w:hanging="567"/>
        <w:contextualSpacing w:val="0"/>
        <w:rPr>
          <w:noProof/>
        </w:rPr>
      </w:pPr>
      <w:r>
        <w:rPr>
          <w:noProof/>
        </w:rPr>
        <w:t>“pasākums” ir p</w:t>
      </w:r>
      <w:r>
        <w:rPr>
          <w:noProof/>
        </w:rPr>
        <w:t>uses pasākums likuma, normas, noteikumu, procedūras, lēmuma, administratīva akta, prasības vai prakses vai kādā citā formā</w:t>
      </w:r>
      <w:r>
        <w:rPr>
          <w:noProof/>
          <w:vertAlign w:val="superscript"/>
        </w:rPr>
        <w:footnoteReference w:id="71"/>
      </w:r>
      <w:r>
        <w:rPr>
          <w:noProof/>
        </w:rPr>
        <w:t>;</w:t>
      </w:r>
    </w:p>
    <w:p w:rsidR="003E022D" w:rsidRDefault="007D19D6">
      <w:pPr>
        <w:pStyle w:val="ListParagraph"/>
        <w:numPr>
          <w:ilvl w:val="0"/>
          <w:numId w:val="514"/>
        </w:numPr>
        <w:ind w:left="567" w:hanging="567"/>
        <w:contextualSpacing w:val="0"/>
        <w:rPr>
          <w:noProof/>
        </w:rPr>
      </w:pPr>
      <w:r>
        <w:rPr>
          <w:noProof/>
        </w:rPr>
        <w:t>“Puses pasākumi” ir visi pasākumi, kurus pieņēmušas vai paturējušas spēkā:</w:t>
      </w:r>
    </w:p>
    <w:p w:rsidR="003E022D" w:rsidRDefault="007D19D6">
      <w:pPr>
        <w:numPr>
          <w:ilvl w:val="0"/>
          <w:numId w:val="518"/>
        </w:numPr>
        <w:spacing w:after="160" w:line="259" w:lineRule="auto"/>
        <w:ind w:left="1276" w:hanging="567"/>
        <w:rPr>
          <w:rFonts w:eastAsia="Calibri" w:cs="Calibri"/>
          <w:noProof/>
        </w:rPr>
      </w:pPr>
      <w:r>
        <w:rPr>
          <w:noProof/>
        </w:rPr>
        <w:t>centrālās, reģionālās vai vietējās valdības vai iestādes</w:t>
      </w:r>
      <w:r>
        <w:rPr>
          <w:noProof/>
        </w:rPr>
        <w:t>, un</w:t>
      </w:r>
    </w:p>
    <w:p w:rsidR="003E022D" w:rsidRDefault="007D19D6">
      <w:pPr>
        <w:numPr>
          <w:ilvl w:val="0"/>
          <w:numId w:val="518"/>
        </w:numPr>
        <w:spacing w:after="160" w:line="259" w:lineRule="auto"/>
        <w:ind w:left="1276" w:hanging="567"/>
        <w:rPr>
          <w:noProof/>
        </w:rPr>
      </w:pPr>
      <w:r>
        <w:rPr>
          <w:noProof/>
        </w:rPr>
        <w:t xml:space="preserve">nevalstiskas struktūras, kas īsteno centrālās, reģiona vai vietējās valdības vai iestāžu deleģētās pilnvaras; </w:t>
      </w:r>
    </w:p>
    <w:p w:rsidR="003E022D" w:rsidRDefault="007D19D6">
      <w:pPr>
        <w:ind w:left="720"/>
        <w:rPr>
          <w:noProof/>
          <w:sz w:val="24"/>
        </w:rPr>
      </w:pPr>
      <w:r>
        <w:rPr>
          <w:noProof/>
        </w:rPr>
        <w:t>“Puses pasākumi” ietver pasākumus, ko pieņēmušas vai paturējušas spēkā i) un ii) apakšpunktā uzskaitītās struktūras, tieši vai netieši dodot</w:t>
      </w:r>
      <w:r>
        <w:rPr>
          <w:noProof/>
        </w:rPr>
        <w:t xml:space="preserve"> norādījumus, vadot vai kontrolējot citu struktūru rīcību attiecībā uz minētajiem pasākumiem;</w:t>
      </w:r>
    </w:p>
    <w:p w:rsidR="003E022D" w:rsidRDefault="007D19D6">
      <w:pPr>
        <w:pStyle w:val="ListParagraph"/>
        <w:numPr>
          <w:ilvl w:val="0"/>
          <w:numId w:val="514"/>
        </w:numPr>
        <w:ind w:left="567" w:hanging="567"/>
        <w:contextualSpacing w:val="0"/>
        <w:rPr>
          <w:noProof/>
        </w:rPr>
      </w:pPr>
      <w:r>
        <w:rPr>
          <w:noProof/>
        </w:rPr>
        <w:t>“Puses fiziska persona” ir</w:t>
      </w:r>
      <w:r>
        <w:rPr>
          <w:rStyle w:val="FootnoteReference"/>
          <w:noProof/>
        </w:rPr>
        <w:footnoteReference w:id="72"/>
      </w:r>
      <w:r>
        <w:rPr>
          <w:noProof/>
        </w:rPr>
        <w:t xml:space="preserve">: </w:t>
      </w:r>
    </w:p>
    <w:p w:rsidR="003E022D" w:rsidRDefault="007D19D6">
      <w:pPr>
        <w:numPr>
          <w:ilvl w:val="0"/>
          <w:numId w:val="1359"/>
        </w:numPr>
        <w:spacing w:after="160" w:line="259" w:lineRule="auto"/>
        <w:rPr>
          <w:rFonts w:eastAsia="Calibri" w:cs="Calibri"/>
          <w:noProof/>
        </w:rPr>
      </w:pPr>
      <w:r>
        <w:rPr>
          <w:noProof/>
        </w:rPr>
        <w:t>attiecībā uz Eiropas Savienību – dalībvalsts pilsonis saskaņā ar tās tiesību aktiem</w:t>
      </w:r>
      <w:r>
        <w:rPr>
          <w:rStyle w:val="FootnoteReference"/>
          <w:noProof/>
        </w:rPr>
        <w:footnoteReference w:id="73"/>
      </w:r>
      <w:r>
        <w:rPr>
          <w:noProof/>
        </w:rPr>
        <w:t xml:space="preserve">; un </w:t>
      </w:r>
    </w:p>
    <w:p w:rsidR="003E022D" w:rsidRDefault="007D19D6">
      <w:pPr>
        <w:numPr>
          <w:ilvl w:val="0"/>
          <w:numId w:val="1359"/>
        </w:numPr>
        <w:spacing w:after="160" w:line="259" w:lineRule="auto"/>
        <w:rPr>
          <w:noProof/>
        </w:rPr>
      </w:pPr>
      <w:r>
        <w:rPr>
          <w:noProof/>
        </w:rPr>
        <w:t>attiecībā uz Apvienoto Karalisti – Lielbri</w:t>
      </w:r>
      <w:r>
        <w:rPr>
          <w:noProof/>
        </w:rPr>
        <w:t>tānijas pilsonis;</w:t>
      </w:r>
    </w:p>
    <w:p w:rsidR="003E022D" w:rsidRDefault="007D19D6">
      <w:pPr>
        <w:pStyle w:val="ListParagraph"/>
        <w:numPr>
          <w:ilvl w:val="0"/>
          <w:numId w:val="514"/>
        </w:numPr>
        <w:ind w:left="567" w:hanging="567"/>
        <w:contextualSpacing w:val="0"/>
        <w:rPr>
          <w:noProof/>
          <w:lang w:val="fr-BE"/>
        </w:rPr>
      </w:pPr>
      <w:r>
        <w:rPr>
          <w:noProof/>
          <w:lang w:val="fr-BE"/>
        </w:rPr>
        <w:t>“persona” ir fiziska vai juridiska persona;</w:t>
      </w:r>
    </w:p>
    <w:p w:rsidR="003E022D" w:rsidRDefault="007D19D6">
      <w:pPr>
        <w:pStyle w:val="ListParagraph"/>
        <w:numPr>
          <w:ilvl w:val="0"/>
          <w:numId w:val="514"/>
        </w:numPr>
        <w:ind w:left="567" w:hanging="567"/>
        <w:contextualSpacing w:val="0"/>
        <w:rPr>
          <w:noProof/>
          <w:lang w:val="fr-BE"/>
        </w:rPr>
      </w:pPr>
      <w:r>
        <w:rPr>
          <w:noProof/>
          <w:lang w:val="fr-BE"/>
        </w:rPr>
        <w:t>“sanitārs vai fitosanitārs pasākums” ir ikviens</w:t>
      </w:r>
      <w:r>
        <w:rPr>
          <w:noProof/>
          <w:u w:color="000000"/>
          <w:lang w:val="fr-BE"/>
        </w:rPr>
        <w:t xml:space="preserve"> </w:t>
      </w:r>
      <w:r>
        <w:rPr>
          <w:i/>
          <w:noProof/>
          <w:u w:color="000000"/>
          <w:lang w:val="fr-BE"/>
        </w:rPr>
        <w:t>SPS</w:t>
      </w:r>
      <w:r>
        <w:rPr>
          <w:noProof/>
          <w:u w:color="000000"/>
          <w:lang w:val="fr-BE"/>
        </w:rPr>
        <w:t xml:space="preserve"> līguma A pielikuma 1. punktā</w:t>
      </w:r>
      <w:r>
        <w:rPr>
          <w:noProof/>
          <w:lang w:val="fr-BE"/>
        </w:rPr>
        <w:t xml:space="preserve"> minēts pasākums;</w:t>
      </w:r>
    </w:p>
    <w:p w:rsidR="003E022D" w:rsidRDefault="007D19D6">
      <w:pPr>
        <w:pStyle w:val="ListParagraph"/>
        <w:numPr>
          <w:ilvl w:val="0"/>
          <w:numId w:val="514"/>
        </w:numPr>
        <w:ind w:left="567" w:hanging="567"/>
        <w:contextualSpacing w:val="0"/>
        <w:rPr>
          <w:noProof/>
          <w:lang w:val="fr-BE"/>
        </w:rPr>
      </w:pPr>
      <w:r>
        <w:rPr>
          <w:noProof/>
          <w:lang w:val="fr-BE"/>
        </w:rPr>
        <w:t xml:space="preserve">“trešā valsts” ir valsts vai teritorija ārpus šā nolīguma teritoriālās piemērošanas jomas; </w:t>
      </w:r>
    </w:p>
    <w:p w:rsidR="003E022D" w:rsidRDefault="007D19D6">
      <w:pPr>
        <w:pStyle w:val="ListParagraph"/>
        <w:numPr>
          <w:ilvl w:val="0"/>
          <w:numId w:val="514"/>
        </w:numPr>
        <w:ind w:left="567" w:hanging="567"/>
        <w:contextualSpacing w:val="0"/>
        <w:rPr>
          <w:noProof/>
          <w:lang w:val="fr-BE"/>
        </w:rPr>
      </w:pPr>
      <w:r>
        <w:rPr>
          <w:noProof/>
          <w:lang w:val="fr-BE"/>
        </w:rPr>
        <w:t xml:space="preserve">“Vīnes Konvencija par starptautisko līgumu tiesībām” ir Vīnes Konvencija par starptautisko līgumu tiesībām, kas parakstīta Vīnē 1969. gada 23. maijā; un </w:t>
      </w:r>
    </w:p>
    <w:p w:rsidR="003E022D" w:rsidRDefault="007D19D6">
      <w:pPr>
        <w:pStyle w:val="ListParagraph"/>
        <w:numPr>
          <w:ilvl w:val="0"/>
          <w:numId w:val="514"/>
        </w:numPr>
        <w:ind w:left="567" w:hanging="567"/>
        <w:contextualSpacing w:val="0"/>
        <w:rPr>
          <w:noProof/>
        </w:rPr>
      </w:pPr>
      <w:r>
        <w:rPr>
          <w:noProof/>
        </w:rPr>
        <w:t>“PTO” ir Pasaules Tirdzniecības organizācija.</w:t>
      </w:r>
    </w:p>
    <w:p w:rsidR="003E022D" w:rsidRDefault="007D19D6">
      <w:pPr>
        <w:pStyle w:val="Article"/>
        <w:rPr>
          <w:noProof/>
        </w:rPr>
      </w:pPr>
      <w:r>
        <w:rPr>
          <w:noProof/>
        </w:rPr>
        <w:t>OTH.2. pants. PTO nolīgumi</w:t>
      </w:r>
    </w:p>
    <w:p w:rsidR="003E022D" w:rsidRDefault="007D19D6">
      <w:pPr>
        <w:rPr>
          <w:noProof/>
          <w:u w:color="000000"/>
        </w:rPr>
      </w:pPr>
      <w:r>
        <w:rPr>
          <w:noProof/>
        </w:rPr>
        <w:t xml:space="preserve">Šajā nolīgumā PTO nolīgumus sauc šādi: </w:t>
      </w:r>
    </w:p>
    <w:p w:rsidR="003E022D" w:rsidRDefault="007D19D6">
      <w:pPr>
        <w:pStyle w:val="ListParagraph"/>
        <w:numPr>
          <w:ilvl w:val="0"/>
          <w:numId w:val="515"/>
        </w:numPr>
        <w:ind w:left="567" w:hanging="567"/>
        <w:contextualSpacing w:val="0"/>
        <w:rPr>
          <w:noProof/>
        </w:rPr>
      </w:pPr>
      <w:r>
        <w:rPr>
          <w:noProof/>
        </w:rPr>
        <w:t>“Nolīgums par lauksaimniecību” ir Nolīgums par lauksaimniecību, kas ietverts PTO līguma 1.A pielikumā;</w:t>
      </w:r>
    </w:p>
    <w:p w:rsidR="003E022D" w:rsidRDefault="007D19D6">
      <w:pPr>
        <w:pStyle w:val="ListParagraph"/>
        <w:numPr>
          <w:ilvl w:val="0"/>
          <w:numId w:val="515"/>
        </w:numPr>
        <w:ind w:left="567" w:hanging="567"/>
        <w:contextualSpacing w:val="0"/>
        <w:rPr>
          <w:noProof/>
        </w:rPr>
      </w:pPr>
      <w:r>
        <w:rPr>
          <w:noProof/>
        </w:rPr>
        <w:t>“Antidempinga nolīgums” ir Nolīgums par 1994. gada Vispārējās vienošanās par tarifiem un tirdzniecību VI panta īs</w:t>
      </w:r>
      <w:r>
        <w:rPr>
          <w:noProof/>
        </w:rPr>
        <w:t>tenošanu;</w:t>
      </w:r>
    </w:p>
    <w:p w:rsidR="003E022D" w:rsidRDefault="007D19D6">
      <w:pPr>
        <w:pStyle w:val="ListParagraph"/>
        <w:numPr>
          <w:ilvl w:val="0"/>
          <w:numId w:val="515"/>
        </w:numPr>
        <w:ind w:left="567" w:hanging="567"/>
        <w:contextualSpacing w:val="0"/>
        <w:rPr>
          <w:noProof/>
        </w:rPr>
      </w:pPr>
      <w:r>
        <w:rPr>
          <w:noProof/>
        </w:rPr>
        <w:t>“GATS” ir Vispārējais līgums par pakalpojumu tirdzniecību, kas ietverts PTO līguma 1.B pielikumā;</w:t>
      </w:r>
    </w:p>
    <w:p w:rsidR="003E022D" w:rsidRDefault="007D19D6">
      <w:pPr>
        <w:pStyle w:val="ListParagraph"/>
        <w:numPr>
          <w:ilvl w:val="0"/>
          <w:numId w:val="515"/>
        </w:numPr>
        <w:ind w:left="567" w:hanging="567"/>
        <w:contextualSpacing w:val="0"/>
        <w:rPr>
          <w:noProof/>
        </w:rPr>
      </w:pPr>
      <w:r>
        <w:rPr>
          <w:noProof/>
        </w:rPr>
        <w:t>“GATT 1994” ir 1994. gada Vispārējā vienošanās par tarifiem un tirdzniecību, kas ietverta PTO nolīguma 1.A pielikumā;</w:t>
      </w:r>
    </w:p>
    <w:p w:rsidR="003E022D" w:rsidRDefault="007D19D6">
      <w:pPr>
        <w:pStyle w:val="ListParagraph"/>
        <w:numPr>
          <w:ilvl w:val="0"/>
          <w:numId w:val="515"/>
        </w:numPr>
        <w:ind w:left="567" w:hanging="567"/>
        <w:contextualSpacing w:val="0"/>
        <w:rPr>
          <w:noProof/>
        </w:rPr>
      </w:pPr>
      <w:r>
        <w:rPr>
          <w:noProof/>
        </w:rPr>
        <w:t>“GPA” ir Nolīguma par valsts i</w:t>
      </w:r>
      <w:r>
        <w:rPr>
          <w:noProof/>
        </w:rPr>
        <w:t>epirkumu, kas ietverts PTO līguma 4. pielikumā</w:t>
      </w:r>
      <w:r>
        <w:rPr>
          <w:rStyle w:val="FootnoteReference"/>
          <w:noProof/>
        </w:rPr>
        <w:footnoteReference w:id="74"/>
      </w:r>
      <w:r>
        <w:rPr>
          <w:noProof/>
        </w:rPr>
        <w:t>;</w:t>
      </w:r>
    </w:p>
    <w:p w:rsidR="003E022D" w:rsidRDefault="007D19D6">
      <w:pPr>
        <w:pStyle w:val="ListParagraph"/>
        <w:numPr>
          <w:ilvl w:val="0"/>
          <w:numId w:val="515"/>
        </w:numPr>
        <w:ind w:left="567" w:hanging="567"/>
        <w:contextualSpacing w:val="0"/>
        <w:rPr>
          <w:noProof/>
        </w:rPr>
      </w:pPr>
      <w:r>
        <w:rPr>
          <w:noProof/>
        </w:rPr>
        <w:t>“Vienošanās par aizsardzības pasākumiem” ir Vienošanās par aizsardzības pasākumiem, kas ietverta PTO līguma 1.A pielikumā;</w:t>
      </w:r>
    </w:p>
    <w:p w:rsidR="003E022D" w:rsidRDefault="007D19D6">
      <w:pPr>
        <w:pStyle w:val="ListParagraph"/>
        <w:numPr>
          <w:ilvl w:val="0"/>
          <w:numId w:val="515"/>
        </w:numPr>
        <w:ind w:left="567" w:hanging="567"/>
        <w:contextualSpacing w:val="0"/>
        <w:rPr>
          <w:noProof/>
        </w:rPr>
      </w:pPr>
      <w:r>
        <w:rPr>
          <w:noProof/>
        </w:rPr>
        <w:t xml:space="preserve">“SKP nolīgums” ir Nolīgums par subsīdijām un kompensācijas pasākumiem, kas ietverts </w:t>
      </w:r>
      <w:r>
        <w:rPr>
          <w:noProof/>
        </w:rPr>
        <w:t>PTO līguma 1.A pielikumā;</w:t>
      </w:r>
    </w:p>
    <w:p w:rsidR="003E022D" w:rsidRDefault="007D19D6">
      <w:pPr>
        <w:pStyle w:val="ListParagraph"/>
        <w:numPr>
          <w:ilvl w:val="0"/>
          <w:numId w:val="515"/>
        </w:numPr>
        <w:ind w:left="567" w:hanging="567"/>
        <w:contextualSpacing w:val="0"/>
        <w:rPr>
          <w:noProof/>
        </w:rPr>
      </w:pPr>
      <w:r>
        <w:rPr>
          <w:noProof/>
        </w:rPr>
        <w:t>“SPS līgums” ir Līgums par sanitāro un fitosanitāro pasākumu piemērošanu, kas ietverts PTO līguma 1.A pielikumā;</w:t>
      </w:r>
    </w:p>
    <w:p w:rsidR="003E022D" w:rsidRDefault="007D19D6">
      <w:pPr>
        <w:pStyle w:val="ListParagraph"/>
        <w:numPr>
          <w:ilvl w:val="0"/>
          <w:numId w:val="515"/>
        </w:numPr>
        <w:ind w:left="567" w:hanging="567"/>
        <w:contextualSpacing w:val="0"/>
        <w:rPr>
          <w:noProof/>
        </w:rPr>
      </w:pPr>
      <w:r>
        <w:rPr>
          <w:noProof/>
        </w:rPr>
        <w:t>“TBT nolīgums” ir Nolīgums par tehniskajiem šķēršļiem tirdzniecībā, kas ietverts PTO līguma 1. pielikumā;</w:t>
      </w:r>
    </w:p>
    <w:p w:rsidR="003E022D" w:rsidRDefault="007D19D6">
      <w:pPr>
        <w:pStyle w:val="ListParagraph"/>
        <w:numPr>
          <w:ilvl w:val="0"/>
          <w:numId w:val="515"/>
        </w:numPr>
        <w:ind w:left="567" w:hanging="567"/>
        <w:contextualSpacing w:val="0"/>
        <w:rPr>
          <w:noProof/>
        </w:rPr>
      </w:pPr>
      <w:r>
        <w:rPr>
          <w:noProof/>
        </w:rPr>
        <w:t>“TRIPS līgu</w:t>
      </w:r>
      <w:r>
        <w:rPr>
          <w:noProof/>
        </w:rPr>
        <w:t>ms” ir Līgums par intelektuālā īpašuma tiesību komercaspektiem, kas ietverts PTO līguma 1.C pielikumā; un</w:t>
      </w:r>
    </w:p>
    <w:p w:rsidR="003E022D" w:rsidRDefault="007D19D6">
      <w:pPr>
        <w:pStyle w:val="ListParagraph"/>
        <w:numPr>
          <w:ilvl w:val="0"/>
          <w:numId w:val="515"/>
        </w:numPr>
        <w:ind w:left="567" w:hanging="567"/>
        <w:contextualSpacing w:val="0"/>
        <w:rPr>
          <w:noProof/>
        </w:rPr>
      </w:pPr>
      <w:r>
        <w:rPr>
          <w:noProof/>
        </w:rPr>
        <w:t>“PTO līgums” ir 1994. gada 15. aprīlī parakstītais Marakešas Līgums par Pasaules tirdzniecības organizācijas izveidošanu.</w:t>
      </w:r>
    </w:p>
    <w:p w:rsidR="003E022D" w:rsidRDefault="007D19D6">
      <w:pPr>
        <w:pStyle w:val="Article"/>
        <w:rPr>
          <w:noProof/>
        </w:rPr>
      </w:pPr>
      <w:r>
        <w:rPr>
          <w:noProof/>
        </w:rPr>
        <w:t>OTH.3. pants. Brīvās tirdzni</w:t>
      </w:r>
      <w:r>
        <w:rPr>
          <w:noProof/>
        </w:rPr>
        <w:t>ecības zonas izveide</w:t>
      </w:r>
    </w:p>
    <w:p w:rsidR="003E022D" w:rsidRDefault="007D19D6">
      <w:pPr>
        <w:rPr>
          <w:noProof/>
        </w:rPr>
      </w:pPr>
      <w:r>
        <w:rPr>
          <w:noProof/>
        </w:rPr>
        <w:t xml:space="preserve">Atbilstīgi </w:t>
      </w:r>
      <w:r>
        <w:rPr>
          <w:i/>
          <w:noProof/>
        </w:rPr>
        <w:t>GATT</w:t>
      </w:r>
      <w:r>
        <w:rPr>
          <w:noProof/>
        </w:rPr>
        <w:t xml:space="preserve"> 1994 XXIV pantam un GATS V pantam Puses ar šo izveido brīvās tirdzniecības zonu.</w:t>
      </w:r>
    </w:p>
    <w:p w:rsidR="003E022D" w:rsidRDefault="007D19D6">
      <w:pPr>
        <w:pStyle w:val="Article"/>
        <w:rPr>
          <w:noProof/>
        </w:rPr>
      </w:pPr>
      <w:r>
        <w:rPr>
          <w:noProof/>
        </w:rPr>
        <w:t xml:space="preserve">OTH.4. pants. Saistība ar PTO nolīgumu </w:t>
      </w:r>
    </w:p>
    <w:p w:rsidR="003E022D" w:rsidRDefault="007D19D6">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rPr>
      </w:pPr>
      <w:r>
        <w:rPr>
          <w:noProof/>
        </w:rPr>
        <w:t xml:space="preserve">Puses apstiprina savas tiesības un pienākumus vienai pret otru atbilstoši PTO līgumam un citiem nolīgumiem, kuru puses tās ir. </w:t>
      </w:r>
    </w:p>
    <w:p w:rsidR="003E022D" w:rsidRDefault="003E022D">
      <w:pPr>
        <w:pStyle w:val="ListParagraph"/>
        <w:pBdr>
          <w:top w:val="nil"/>
          <w:left w:val="nil"/>
          <w:bottom w:val="nil"/>
          <w:right w:val="nil"/>
          <w:between w:val="nil"/>
          <w:bar w:val="nil"/>
        </w:pBdr>
        <w:tabs>
          <w:tab w:val="left" w:pos="567"/>
        </w:tabs>
        <w:spacing w:after="0"/>
        <w:rPr>
          <w:rFonts w:cs="Times New Roman"/>
          <w:noProof/>
        </w:rPr>
      </w:pPr>
    </w:p>
    <w:p w:rsidR="003E022D" w:rsidRDefault="007D19D6">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rPr>
      </w:pPr>
      <w:r>
        <w:rPr>
          <w:noProof/>
        </w:rPr>
        <w:t xml:space="preserve">Neko </w:t>
      </w:r>
      <w:r>
        <w:rPr>
          <w:noProof/>
          <w:u w:color="000000"/>
        </w:rPr>
        <w:t>šajā nolīgumā</w:t>
      </w:r>
      <w:r>
        <w:rPr>
          <w:noProof/>
        </w:rPr>
        <w:t xml:space="preserve"> neinterpretē kā prasību Pusēm rīkoties neatbilstoši to saistībām saskaņā ar PTO līgumu. </w:t>
      </w:r>
    </w:p>
    <w:p w:rsidR="003E022D" w:rsidRDefault="007D19D6">
      <w:pPr>
        <w:pStyle w:val="Article"/>
        <w:rPr>
          <w:rFonts w:cs="Times New Roman"/>
          <w:noProof/>
        </w:rPr>
      </w:pPr>
      <w:bookmarkStart w:id="240" w:name="_Toc32759800"/>
      <w:bookmarkStart w:id="241" w:name="_Toc33171949"/>
      <w:bookmarkEnd w:id="240"/>
      <w:r>
        <w:rPr>
          <w:noProof/>
        </w:rPr>
        <w:t>OTH.4.a </w:t>
      </w:r>
      <w:r>
        <w:rPr>
          <w:rStyle w:val="ArticleChar"/>
          <w:noProof/>
        </w:rPr>
        <w:t>pants</w:t>
      </w:r>
      <w:r>
        <w:rPr>
          <w:noProof/>
        </w:rPr>
        <w:t>.</w:t>
      </w:r>
      <w:r>
        <w:rPr>
          <w:rStyle w:val="ArticleChar"/>
          <w:noProof/>
        </w:rPr>
        <w:t xml:space="preserve"> </w:t>
      </w:r>
      <w:bookmarkStart w:id="242" w:name="_Toc32759801"/>
      <w:r>
        <w:rPr>
          <w:rStyle w:val="ArticleChar"/>
          <w:noProof/>
        </w:rPr>
        <w:t xml:space="preserve">PTO </w:t>
      </w:r>
      <w:r>
        <w:rPr>
          <w:rStyle w:val="ArticleChar"/>
          <w:noProof/>
        </w:rPr>
        <w:t>judikatūra</w:t>
      </w:r>
      <w:bookmarkEnd w:id="241"/>
      <w:bookmarkEnd w:id="242"/>
      <w:r>
        <w:rPr>
          <w:noProof/>
        </w:rPr>
        <w:t xml:space="preserve"> </w:t>
      </w:r>
    </w:p>
    <w:p w:rsidR="003E022D" w:rsidRDefault="007D19D6">
      <w:pPr>
        <w:rPr>
          <w:rFonts w:eastAsia="Calibri" w:cs="Times New Roman"/>
          <w:noProof/>
        </w:rPr>
      </w:pPr>
      <w:r>
        <w:rPr>
          <w:noProof/>
        </w:rPr>
        <w:t xml:space="preserve">Interpretējot un piemērojot </w:t>
      </w:r>
      <w:r>
        <w:rPr>
          <w:noProof/>
          <w:u w:color="000000"/>
        </w:rPr>
        <w:t>šīs daļas</w:t>
      </w:r>
      <w:r>
        <w:rPr>
          <w:noProof/>
        </w:rPr>
        <w:t xml:space="preserve"> noteikumus, ņem vērā attiecīgās interpretācijas PTO ekspertu grupu un Apelācijas institūcijas ziņojumos, ko pieņēmusi PTO Domstarpību izšķiršanas padome, kā arī šķīrējtiesas nolēmumos saskaņā ar Vienošanos </w:t>
      </w:r>
      <w:r>
        <w:rPr>
          <w:noProof/>
        </w:rPr>
        <w:t>par strīdu izšķiršanu.</w:t>
      </w:r>
    </w:p>
    <w:p w:rsidR="003E022D" w:rsidRDefault="007D19D6">
      <w:pPr>
        <w:pStyle w:val="Article"/>
        <w:rPr>
          <w:noProof/>
        </w:rPr>
      </w:pPr>
      <w:r>
        <w:rPr>
          <w:noProof/>
        </w:rPr>
        <w:t>OTH.5. pants. Pienākumu izpilde</w:t>
      </w:r>
    </w:p>
    <w:p w:rsidR="003E022D" w:rsidRDefault="007D19D6">
      <w:pPr>
        <w:pStyle w:val="NormalWeb"/>
        <w:spacing w:after="0"/>
        <w:rPr>
          <w:rFonts w:asciiTheme="minorHAnsi" w:hAnsiTheme="minorHAnsi"/>
          <w:noProof/>
          <w:sz w:val="22"/>
          <w:szCs w:val="22"/>
        </w:rPr>
      </w:pPr>
      <w:r>
        <w:rPr>
          <w:rFonts w:asciiTheme="minorHAnsi" w:hAnsiTheme="minorHAnsi"/>
          <w:noProof/>
          <w:sz w:val="22"/>
          <w:szCs w:val="22"/>
        </w:rPr>
        <w:t xml:space="preserve">Katra Puse pieņem vispārējus vai īpašus pasākumus, kas vajadzīgi tās pienākumu izpildei saskaņā ar </w:t>
      </w:r>
      <w:r>
        <w:rPr>
          <w:rFonts w:asciiTheme="minorHAnsi" w:hAnsiTheme="minorHAnsi"/>
          <w:noProof/>
          <w:sz w:val="22"/>
          <w:szCs w:val="22"/>
          <w:u w:color="000000"/>
        </w:rPr>
        <w:t>šo daļu</w:t>
      </w:r>
      <w:r>
        <w:rPr>
          <w:rFonts w:asciiTheme="minorHAnsi" w:hAnsiTheme="minorHAnsi"/>
          <w:noProof/>
          <w:sz w:val="22"/>
          <w:szCs w:val="22"/>
        </w:rPr>
        <w:t xml:space="preserve">, tai skaitā pasākumus, lai nodrošinātu, ka tās centrālā valdība, reģiona valdība vai vietējās </w:t>
      </w:r>
      <w:r>
        <w:rPr>
          <w:rFonts w:asciiTheme="minorHAnsi" w:hAnsiTheme="minorHAnsi"/>
          <w:noProof/>
          <w:sz w:val="22"/>
          <w:szCs w:val="22"/>
        </w:rPr>
        <w:t>valdības un iestādes, kā arī nevalstiskās struktūras, īstenojot tām deleģētās pilnvaras, ievēro šīs daļas noteikumus.</w:t>
      </w:r>
    </w:p>
    <w:p w:rsidR="003E022D" w:rsidRDefault="007D19D6">
      <w:pPr>
        <w:pStyle w:val="Article"/>
        <w:rPr>
          <w:noProof/>
        </w:rPr>
      </w:pPr>
      <w:r>
        <w:rPr>
          <w:noProof/>
        </w:rPr>
        <w:t>OTH.7. pants. Atsauces uz tiesību aktiem un citiem nolīgumiem</w:t>
      </w:r>
    </w:p>
    <w:p w:rsidR="003E022D" w:rsidRDefault="007D19D6">
      <w:pPr>
        <w:pStyle w:val="ListParagraph"/>
        <w:numPr>
          <w:ilvl w:val="0"/>
          <w:numId w:val="519"/>
        </w:numPr>
        <w:pBdr>
          <w:top w:val="nil"/>
          <w:left w:val="nil"/>
          <w:bottom w:val="nil"/>
          <w:right w:val="nil"/>
          <w:between w:val="nil"/>
          <w:bar w:val="nil"/>
        </w:pBdr>
        <w:tabs>
          <w:tab w:val="left" w:pos="0"/>
        </w:tabs>
        <w:spacing w:after="0"/>
        <w:ind w:left="0" w:firstLine="0"/>
        <w:contextualSpacing w:val="0"/>
        <w:rPr>
          <w:rFonts w:cs="Times New Roman"/>
          <w:noProof/>
        </w:rPr>
      </w:pPr>
      <w:r>
        <w:rPr>
          <w:noProof/>
        </w:rPr>
        <w:t xml:space="preserve">Ja vien nav norādīts citādi – ja </w:t>
      </w:r>
      <w:r>
        <w:rPr>
          <w:noProof/>
          <w:u w:color="000000"/>
        </w:rPr>
        <w:t>šajā daļā</w:t>
      </w:r>
      <w:r>
        <w:rPr>
          <w:noProof/>
        </w:rPr>
        <w:t xml:space="preserve"> ir atsauce uz Puses normatīvajiem aktiem, minētie normatīvie akti ietver to grozījumus. </w:t>
      </w:r>
    </w:p>
    <w:p w:rsidR="003E022D" w:rsidRDefault="003E022D">
      <w:pPr>
        <w:pStyle w:val="ListParagraph"/>
        <w:pBdr>
          <w:top w:val="nil"/>
          <w:left w:val="nil"/>
          <w:bottom w:val="nil"/>
          <w:right w:val="nil"/>
          <w:between w:val="nil"/>
          <w:bar w:val="nil"/>
        </w:pBdr>
        <w:tabs>
          <w:tab w:val="left" w:pos="567"/>
        </w:tabs>
        <w:spacing w:after="0"/>
        <w:rPr>
          <w:rFonts w:cs="Times New Roman"/>
          <w:noProof/>
        </w:rPr>
      </w:pPr>
    </w:p>
    <w:p w:rsidR="003E022D" w:rsidRDefault="007D19D6">
      <w:pPr>
        <w:pStyle w:val="ListParagraph"/>
        <w:pBdr>
          <w:top w:val="nil"/>
          <w:left w:val="nil"/>
          <w:bottom w:val="nil"/>
          <w:right w:val="nil"/>
          <w:between w:val="nil"/>
          <w:bar w:val="nil"/>
        </w:pBdr>
        <w:tabs>
          <w:tab w:val="left" w:pos="567"/>
        </w:tabs>
        <w:spacing w:after="0"/>
        <w:ind w:left="0"/>
        <w:rPr>
          <w:rFonts w:cs="Times New Roman"/>
          <w:noProof/>
        </w:rPr>
      </w:pPr>
      <w:r>
        <w:rPr>
          <w:noProof/>
        </w:rPr>
        <w:t>2.</w:t>
      </w:r>
      <w:r>
        <w:rPr>
          <w:noProof/>
        </w:rPr>
        <w:tab/>
        <w:t xml:space="preserve">Ja vien nav norādīts citādi, atsauce uz starptautiskiem nolīgumiem vai to pilnīga vai daļēja iekļaušana </w:t>
      </w:r>
      <w:r>
        <w:rPr>
          <w:noProof/>
          <w:u w:color="000000"/>
        </w:rPr>
        <w:t>šajā daļā</w:t>
      </w:r>
      <w:r>
        <w:rPr>
          <w:noProof/>
        </w:rPr>
        <w:t xml:space="preserve"> ietver arī šo nolīgumu grozījumus vai tos aizstā</w:t>
      </w:r>
      <w:r>
        <w:rPr>
          <w:noProof/>
        </w:rPr>
        <w:t>jošos nolīgumus, kas stājas spēkā attiecībā uz abām Pusēm šā nolīguma parakstīšanas dienā vai pēc tam. Ja šādu grozījumu vai aizstājošu nolīgumu rezultātā rodas jautājums par šīs daļas noteikumu īstenošanu vai piemērošanu, Puses pēc vienas Puses pieprasīju</w:t>
      </w:r>
      <w:r>
        <w:rPr>
          <w:noProof/>
        </w:rPr>
        <w:t>ma var savstarpēji apspriesties nolūkā rast nepieciešamo abpusēji apmierinošo risinājumu šim jautājumam.</w:t>
      </w:r>
    </w:p>
    <w:p w:rsidR="003E022D" w:rsidRDefault="007D19D6">
      <w:pPr>
        <w:pStyle w:val="Article"/>
        <w:rPr>
          <w:noProof/>
        </w:rPr>
      </w:pPr>
      <w:r>
        <w:rPr>
          <w:noProof/>
        </w:rPr>
        <w:t>OTH.8. pants. Partnerības padomes uzdevumi otrajā daļā</w:t>
      </w:r>
    </w:p>
    <w:p w:rsidR="003E022D" w:rsidRDefault="007D19D6">
      <w:pPr>
        <w:contextualSpacing/>
        <w:rPr>
          <w:noProof/>
        </w:rPr>
      </w:pPr>
      <w:r>
        <w:rPr>
          <w:noProof/>
        </w:rPr>
        <w:t>Partnerības padome var:</w:t>
      </w:r>
    </w:p>
    <w:p w:rsidR="003E022D" w:rsidRDefault="003E022D">
      <w:pPr>
        <w:contextualSpacing/>
        <w:rPr>
          <w:noProof/>
        </w:rPr>
      </w:pPr>
    </w:p>
    <w:p w:rsidR="003E022D" w:rsidRDefault="007D19D6">
      <w:pPr>
        <w:numPr>
          <w:ilvl w:val="0"/>
          <w:numId w:val="516"/>
        </w:numPr>
        <w:ind w:left="567" w:hanging="567"/>
        <w:rPr>
          <w:noProof/>
        </w:rPr>
      </w:pPr>
      <w:r>
        <w:rPr>
          <w:noProof/>
        </w:rPr>
        <w:t>pieņemt lēmumus grozīt:</w:t>
      </w:r>
    </w:p>
    <w:p w:rsidR="003E022D" w:rsidRDefault="007D19D6">
      <w:pPr>
        <w:numPr>
          <w:ilvl w:val="0"/>
          <w:numId w:val="520"/>
        </w:numPr>
        <w:spacing w:after="160" w:line="259" w:lineRule="auto"/>
        <w:ind w:left="1276" w:hanging="567"/>
        <w:rPr>
          <w:rFonts w:eastAsia="Calibri" w:cs="Calibri"/>
          <w:noProof/>
        </w:rPr>
      </w:pPr>
      <w:r>
        <w:rPr>
          <w:noProof/>
          <w:u w:color="000000"/>
        </w:rPr>
        <w:t xml:space="preserve">Otrās daļas pirmā temata I sadaļas otro nodaļu </w:t>
      </w:r>
      <w:r>
        <w:rPr>
          <w:noProof/>
          <w:u w:color="000000"/>
        </w:rPr>
        <w:t>[Izcelsmes noteikumi]</w:t>
      </w:r>
      <w:r>
        <w:rPr>
          <w:noProof/>
        </w:rPr>
        <w:t xml:space="preserve"> un tās pielikumus saskaņā ar </w:t>
      </w:r>
      <w:r>
        <w:rPr>
          <w:noProof/>
          <w:u w:color="000000"/>
        </w:rPr>
        <w:t>ORIG.31. pantu [Šīs nodaļas un tās pielikumu grozīšana]</w:t>
      </w:r>
      <w:r>
        <w:rPr>
          <w:noProof/>
        </w:rPr>
        <w:t>;</w:t>
      </w:r>
    </w:p>
    <w:p w:rsidR="003E022D" w:rsidRDefault="007D19D6">
      <w:pPr>
        <w:numPr>
          <w:ilvl w:val="0"/>
          <w:numId w:val="520"/>
        </w:numPr>
        <w:spacing w:after="160" w:line="259" w:lineRule="auto"/>
        <w:ind w:left="1276" w:hanging="567"/>
        <w:rPr>
          <w:rFonts w:eastAsia="Calibri" w:cs="Calibri"/>
          <w:noProof/>
        </w:rPr>
      </w:pPr>
      <w:r>
        <w:rPr>
          <w:noProof/>
        </w:rPr>
        <w:t xml:space="preserve">pasākumus, kas izklāstīti </w:t>
      </w:r>
      <w:r>
        <w:rPr>
          <w:noProof/>
          <w:u w:color="000000"/>
        </w:rPr>
        <w:t>TBT-[XX] un TBT-[ZZ] pielikumos</w:t>
      </w:r>
      <w:r>
        <w:rPr>
          <w:noProof/>
        </w:rPr>
        <w:t xml:space="preserve">, saskaņā ar </w:t>
      </w:r>
      <w:r>
        <w:rPr>
          <w:noProof/>
          <w:u w:color="000000"/>
        </w:rPr>
        <w:t>TBT.9. panta 8. punktu [Sadarbība tirgus uzraudzības un nepārtikas preču nekai</w:t>
      </w:r>
      <w:r>
        <w:rPr>
          <w:noProof/>
          <w:u w:color="000000"/>
        </w:rPr>
        <w:t>tīguma un atbilstības jomā]</w:t>
      </w:r>
      <w:r>
        <w:rPr>
          <w:noProof/>
        </w:rPr>
        <w:t>;</w:t>
      </w:r>
    </w:p>
    <w:p w:rsidR="003E022D" w:rsidRDefault="007D19D6">
      <w:pPr>
        <w:numPr>
          <w:ilvl w:val="0"/>
          <w:numId w:val="520"/>
        </w:numPr>
        <w:spacing w:after="160" w:line="259" w:lineRule="auto"/>
        <w:ind w:left="1276" w:hanging="567"/>
        <w:rPr>
          <w:noProof/>
        </w:rPr>
      </w:pPr>
      <w:r>
        <w:rPr>
          <w:noProof/>
          <w:u w:color="000000"/>
        </w:rPr>
        <w:t>A un B papildinājumus</w:t>
      </w:r>
      <w:r>
        <w:rPr>
          <w:noProof/>
        </w:rPr>
        <w:t xml:space="preserve"> saskaņā ar </w:t>
      </w:r>
      <w:r>
        <w:rPr>
          <w:noProof/>
          <w:u w:color="000000"/>
        </w:rPr>
        <w:t>TBT-5. pielikuma [VĪNA TIRDZNIECĪBA] 2. panta [Produktu definīcijas, vīndarības metodes un procesi] 3. punktu</w:t>
      </w:r>
      <w:r>
        <w:rPr>
          <w:noProof/>
        </w:rPr>
        <w:t>;</w:t>
      </w:r>
    </w:p>
    <w:p w:rsidR="003E022D" w:rsidRDefault="007D19D6">
      <w:pPr>
        <w:numPr>
          <w:ilvl w:val="0"/>
          <w:numId w:val="520"/>
        </w:numPr>
        <w:spacing w:after="160" w:line="259" w:lineRule="auto"/>
        <w:ind w:left="1276" w:hanging="567"/>
        <w:rPr>
          <w:rFonts w:eastAsia="Calibri" w:cs="Calibri"/>
          <w:noProof/>
        </w:rPr>
      </w:pPr>
      <w:r>
        <w:rPr>
          <w:noProof/>
          <w:u w:color="000000"/>
        </w:rPr>
        <w:t>C papildinājumu</w:t>
      </w:r>
      <w:r>
        <w:rPr>
          <w:noProof/>
        </w:rPr>
        <w:t xml:space="preserve"> saskaņā ar </w:t>
      </w:r>
      <w:r>
        <w:rPr>
          <w:noProof/>
          <w:u w:color="000000"/>
        </w:rPr>
        <w:t>TBT-5 pielikuma [VĪNA TIRDZNIECĪBA] 3. panta [Sertifikāc</w:t>
      </w:r>
      <w:r>
        <w:rPr>
          <w:noProof/>
          <w:u w:color="000000"/>
        </w:rPr>
        <w:t>ijas prasības importam Pušu attiecīgajās teritorijās] 3. punktu</w:t>
      </w:r>
      <w:r>
        <w:rPr>
          <w:noProof/>
        </w:rPr>
        <w:t>;</w:t>
      </w:r>
    </w:p>
    <w:p w:rsidR="003E022D" w:rsidRDefault="007D19D6">
      <w:pPr>
        <w:numPr>
          <w:ilvl w:val="0"/>
          <w:numId w:val="520"/>
        </w:numPr>
        <w:spacing w:after="160" w:line="259" w:lineRule="auto"/>
        <w:ind w:left="1276" w:hanging="567"/>
        <w:rPr>
          <w:rFonts w:eastAsia="Calibri" w:cs="Calibri"/>
          <w:noProof/>
        </w:rPr>
      </w:pPr>
      <w:r>
        <w:rPr>
          <w:noProof/>
          <w:u w:color="000000"/>
        </w:rPr>
        <w:t>A, B, C un D papildinājumus</w:t>
      </w:r>
      <w:r>
        <w:rPr>
          <w:noProof/>
        </w:rPr>
        <w:t xml:space="preserve"> saskaņā ar </w:t>
      </w:r>
      <w:r>
        <w:rPr>
          <w:noProof/>
          <w:u w:color="000000"/>
        </w:rPr>
        <w:t>TBT-4 pielikuma [BIOLOĢISKIE PRODUKTI] 1. pantu [Mērķis un darbības joma]</w:t>
      </w:r>
      <w:r>
        <w:rPr>
          <w:noProof/>
        </w:rPr>
        <w:t>;</w:t>
      </w:r>
    </w:p>
    <w:p w:rsidR="003E022D" w:rsidRDefault="007D19D6">
      <w:pPr>
        <w:numPr>
          <w:ilvl w:val="0"/>
          <w:numId w:val="520"/>
        </w:numPr>
        <w:spacing w:after="160" w:line="259" w:lineRule="auto"/>
        <w:ind w:left="1276" w:hanging="567"/>
        <w:rPr>
          <w:rFonts w:eastAsia="Calibri" w:cs="Calibri"/>
          <w:noProof/>
        </w:rPr>
      </w:pPr>
      <w:r>
        <w:rPr>
          <w:noProof/>
          <w:u w:color="000000"/>
        </w:rPr>
        <w:t>1. līdz 3. papildinājumu</w:t>
      </w:r>
      <w:r>
        <w:rPr>
          <w:noProof/>
        </w:rPr>
        <w:t xml:space="preserve"> saskaņā ar </w:t>
      </w:r>
      <w:r>
        <w:rPr>
          <w:noProof/>
          <w:u w:color="000000"/>
        </w:rPr>
        <w:t>1. pantu [Definīcijas] un 2. pantu [TBT-2</w:t>
      </w:r>
      <w:r>
        <w:rPr>
          <w:noProof/>
          <w:u w:color="000000"/>
        </w:rPr>
        <w:t>. pielikuma [ZĀLES] piemērošanas joma attiecībā uz produktiem]</w:t>
      </w:r>
      <w:r>
        <w:rPr>
          <w:noProof/>
        </w:rPr>
        <w:t>;</w:t>
      </w:r>
    </w:p>
    <w:p w:rsidR="003E022D" w:rsidRDefault="007D19D6">
      <w:pPr>
        <w:numPr>
          <w:ilvl w:val="0"/>
          <w:numId w:val="520"/>
        </w:numPr>
        <w:spacing w:after="160" w:line="259" w:lineRule="auto"/>
        <w:ind w:left="1276" w:hanging="567"/>
        <w:rPr>
          <w:rFonts w:cs="Calibri"/>
          <w:noProof/>
        </w:rPr>
      </w:pPr>
      <w:r>
        <w:rPr>
          <w:noProof/>
        </w:rPr>
        <w:t xml:space="preserve"> </w:t>
      </w:r>
      <w:r>
        <w:rPr>
          <w:noProof/>
          <w:u w:color="000000"/>
        </w:rPr>
        <w:t>Pielikumu par atzītiem uzņēmējiem</w:t>
      </w:r>
      <w:r>
        <w:rPr>
          <w:noProof/>
        </w:rPr>
        <w:t xml:space="preserve">, </w:t>
      </w:r>
      <w:r>
        <w:rPr>
          <w:noProof/>
          <w:u w:color="000000"/>
        </w:rPr>
        <w:t>Protokolu par savstarpēju administratīvo palīdzību muitas lietās</w:t>
      </w:r>
      <w:r>
        <w:rPr>
          <w:noProof/>
        </w:rPr>
        <w:t xml:space="preserve">, </w:t>
      </w:r>
      <w:r>
        <w:rPr>
          <w:noProof/>
          <w:u w:color="000000"/>
        </w:rPr>
        <w:t>Protokolu par krāpšanas apkarošanu pievienotās vērtības nodokļa jomā un par savstarpējo pa</w:t>
      </w:r>
      <w:r>
        <w:rPr>
          <w:noProof/>
          <w:u w:color="000000"/>
        </w:rPr>
        <w:t>līdzību prasījumu piedziņā saistībā ar nodokļiem un nodevām</w:t>
      </w:r>
      <w:r>
        <w:rPr>
          <w:noProof/>
        </w:rPr>
        <w:t xml:space="preserve">, un preču sarakstu, kas noteikts </w:t>
      </w:r>
      <w:r>
        <w:rPr>
          <w:noProof/>
          <w:u w:color="000000"/>
        </w:rPr>
        <w:t>CUSTMS.16. panta [Pagaidu ievešana] 2. punktā</w:t>
      </w:r>
      <w:r>
        <w:rPr>
          <w:noProof/>
        </w:rPr>
        <w:t xml:space="preserve">, saskaņā ar </w:t>
      </w:r>
      <w:r>
        <w:rPr>
          <w:noProof/>
          <w:u w:color="000000"/>
        </w:rPr>
        <w:t>CUSTMS.21. pantu [Grozījumi];</w:t>
      </w:r>
    </w:p>
    <w:p w:rsidR="003E022D" w:rsidRDefault="007D19D6">
      <w:pPr>
        <w:numPr>
          <w:ilvl w:val="0"/>
          <w:numId w:val="520"/>
        </w:numPr>
        <w:spacing w:after="160" w:line="259" w:lineRule="auto"/>
        <w:ind w:left="1276" w:hanging="567"/>
        <w:rPr>
          <w:rFonts w:cs="Calibri"/>
          <w:noProof/>
        </w:rPr>
      </w:pPr>
      <w:r>
        <w:rPr>
          <w:noProof/>
        </w:rPr>
        <w:t xml:space="preserve">attiecīgo apakšiedaļu zem </w:t>
      </w:r>
      <w:r>
        <w:rPr>
          <w:noProof/>
          <w:u w:color="000000"/>
        </w:rPr>
        <w:t>PPROC-1. PIELIKUMA B. iedaļas</w:t>
      </w:r>
      <w:r>
        <w:rPr>
          <w:noProof/>
        </w:rPr>
        <w:t xml:space="preserve"> saskaņā ar </w:t>
      </w:r>
      <w:r>
        <w:rPr>
          <w:noProof/>
          <w:u w:color="000000"/>
        </w:rPr>
        <w:t>PPROC.18</w:t>
      </w:r>
      <w:r>
        <w:rPr>
          <w:noProof/>
          <w:u w:color="000000"/>
        </w:rPr>
        <w:t>. pantu [PPROC-1. PIELIKUMA B. iedaļas grozījumi]</w:t>
      </w:r>
      <w:r>
        <w:rPr>
          <w:noProof/>
        </w:rPr>
        <w:t>;</w:t>
      </w:r>
    </w:p>
    <w:p w:rsidR="003E022D" w:rsidRDefault="007D19D6">
      <w:pPr>
        <w:numPr>
          <w:ilvl w:val="0"/>
          <w:numId w:val="520"/>
        </w:numPr>
        <w:spacing w:after="160" w:line="259" w:lineRule="auto"/>
        <w:ind w:left="1276" w:hanging="567"/>
        <w:rPr>
          <w:rFonts w:cs="Calibri"/>
          <w:noProof/>
        </w:rPr>
      </w:pPr>
      <w:r>
        <w:rPr>
          <w:noProof/>
          <w:u w:color="000000"/>
        </w:rPr>
        <w:t>ENER-1. pielikumu [ENERĢIJAS PREČU, OGĻŪDEŅRAŽU UN IZEJVIELU SARAKSTI], ENER-2. pielikumu [ENERĢIJA UN VIDISKĀS SUBSĪDIJAS] un ENER-3. pielikumu [TREŠO PERSONU PIEKĻUVES NEPIEMĒROŠANA UN ĪPAŠUMTIESĪBU NODA</w:t>
      </w:r>
      <w:r>
        <w:rPr>
          <w:noProof/>
          <w:u w:color="000000"/>
        </w:rPr>
        <w:t>LĪŠANA INFRASTRUKTŪRAI]</w:t>
      </w:r>
      <w:r>
        <w:rPr>
          <w:noProof/>
        </w:rPr>
        <w:t xml:space="preserve"> saskaņā ar </w:t>
      </w:r>
      <w:r>
        <w:rPr>
          <w:noProof/>
          <w:u w:color="000000"/>
        </w:rPr>
        <w:t>ENER 31. pantu [Efektīva īstenošana un grozījumi]</w:t>
      </w:r>
      <w:r>
        <w:rPr>
          <w:noProof/>
        </w:rPr>
        <w:t xml:space="preserve">; </w:t>
      </w:r>
    </w:p>
    <w:p w:rsidR="003E022D" w:rsidRDefault="007D19D6">
      <w:pPr>
        <w:numPr>
          <w:ilvl w:val="0"/>
          <w:numId w:val="520"/>
        </w:numPr>
        <w:spacing w:after="160" w:line="259" w:lineRule="auto"/>
        <w:ind w:left="1276" w:hanging="567"/>
        <w:rPr>
          <w:rFonts w:cs="Calibri"/>
          <w:noProof/>
        </w:rPr>
      </w:pPr>
      <w:r>
        <w:rPr>
          <w:noProof/>
          <w:u w:color="000000"/>
        </w:rPr>
        <w:t>3. nodaļas [Subsīdiju kontrole] LPFS.3.2. panta [Piemērošanas joma un izņēmumi] 4. punktu</w:t>
      </w:r>
      <w:r>
        <w:rPr>
          <w:noProof/>
        </w:rPr>
        <w:t xml:space="preserve"> saskaņā ar šo </w:t>
      </w:r>
      <w:r>
        <w:rPr>
          <w:noProof/>
          <w:u w:color="000000"/>
        </w:rPr>
        <w:t>punktu, LPFS.3.3. panta [Vispārējas tautsaimnieciskas nozīmes pak</w:t>
      </w:r>
      <w:r>
        <w:rPr>
          <w:noProof/>
          <w:u w:color="000000"/>
        </w:rPr>
        <w:t>alpojumi] 2. punkta trešo teikumu</w:t>
      </w:r>
      <w:r>
        <w:rPr>
          <w:noProof/>
        </w:rPr>
        <w:t xml:space="preserve"> saskaņā ar</w:t>
      </w:r>
      <w:r>
        <w:rPr>
          <w:noProof/>
          <w:u w:color="000000"/>
        </w:rPr>
        <w:t xml:space="preserve"> šā punkta ceturto teikumu, LPFS.3.3. panta [Vispārējas tautsaimnieciskas nozīmes pakalpojumi] 3. punktu</w:t>
      </w:r>
      <w:r>
        <w:rPr>
          <w:noProof/>
        </w:rPr>
        <w:t xml:space="preserve"> saskaņā ar </w:t>
      </w:r>
      <w:r>
        <w:rPr>
          <w:noProof/>
          <w:u w:color="000000"/>
        </w:rPr>
        <w:t>šo punktu, LPFS.3.5. pantu [Aizliegtas subsīdijas un subsīdijas, uz kurām attiecas nosacījumi]</w:t>
      </w:r>
      <w:r>
        <w:rPr>
          <w:noProof/>
        </w:rPr>
        <w:t xml:space="preserve"> s</w:t>
      </w:r>
      <w:r>
        <w:rPr>
          <w:noProof/>
        </w:rPr>
        <w:t xml:space="preserve">askaņā ar </w:t>
      </w:r>
      <w:r>
        <w:rPr>
          <w:noProof/>
          <w:u w:color="000000"/>
        </w:rPr>
        <w:t>minētā panta 1. punktu un LPFS.3.11. pantu [Atgūšana] saskaņā minētā panta 7. punktu;</w:t>
      </w:r>
    </w:p>
    <w:p w:rsidR="003E022D" w:rsidRDefault="007D19D6">
      <w:pPr>
        <w:numPr>
          <w:ilvl w:val="0"/>
          <w:numId w:val="520"/>
        </w:numPr>
        <w:spacing w:after="160" w:line="259" w:lineRule="auto"/>
        <w:ind w:left="1276" w:hanging="567"/>
        <w:rPr>
          <w:rFonts w:cs="Calibri"/>
          <w:noProof/>
        </w:rPr>
      </w:pPr>
      <w:r>
        <w:rPr>
          <w:noProof/>
        </w:rPr>
        <w:t>FISH.10. pantu [Piekļuve Gērnsijas Teritoriālās Vienības, Džērsijas Teritoriālās Vienības un Menas Salas ūdeņiem], FISH.11. pantu [Paziņošanas termiņi, kas sais</w:t>
      </w:r>
      <w:r>
        <w:rPr>
          <w:noProof/>
        </w:rPr>
        <w:t>tīti ar zvejniecības produktu importēšanu un tiešu izkraušanu] un jebkuru citu noteikumu piektajā tematā [Zvejniecība] saskaņā ar FISH.10. panta [Piekļuve Gērnsijas Teritoriālās Vienības, Džērsijas Teritoriālās Vienības un Menas Salas ūdeņiem] 4. punktu;</w:t>
      </w:r>
    </w:p>
    <w:p w:rsidR="003E022D" w:rsidRDefault="007D19D6">
      <w:pPr>
        <w:numPr>
          <w:ilvl w:val="0"/>
          <w:numId w:val="520"/>
        </w:numPr>
        <w:spacing w:after="160" w:line="259" w:lineRule="auto"/>
        <w:ind w:left="1276" w:hanging="567"/>
        <w:rPr>
          <w:rFonts w:cs="Calibri"/>
          <w:noProof/>
        </w:rPr>
      </w:pPr>
      <w:r>
        <w:rPr>
          <w:noProof/>
        </w:rPr>
        <w:t>FISH.1, FISH.2 un FISH.3. pielikumus saskaņā ar FISH.16. panta [Specializētā zvejniecības komiteja] 3. punktu;</w:t>
      </w:r>
    </w:p>
    <w:p w:rsidR="003E022D" w:rsidRDefault="007D19D6">
      <w:pPr>
        <w:numPr>
          <w:ilvl w:val="0"/>
          <w:numId w:val="520"/>
        </w:numPr>
        <w:spacing w:after="160" w:line="259" w:lineRule="auto"/>
        <w:ind w:left="1276" w:hanging="567"/>
        <w:rPr>
          <w:i/>
          <w:noProof/>
        </w:rPr>
      </w:pPr>
      <w:r>
        <w:rPr>
          <w:noProof/>
        </w:rPr>
        <w:t xml:space="preserve">ikvienu citu noteikumu, protokolu, papildinājumu vai pielikumu, ja </w:t>
      </w:r>
      <w:r>
        <w:rPr>
          <w:noProof/>
          <w:u w:color="000000"/>
        </w:rPr>
        <w:t>šā nolīguma otrajā daļā</w:t>
      </w:r>
      <w:r>
        <w:rPr>
          <w:noProof/>
        </w:rPr>
        <w:t xml:space="preserve"> ir skaidri paredzēta iespēja pieņemt šādu lēmumu;</w:t>
      </w:r>
    </w:p>
    <w:p w:rsidR="003E022D" w:rsidRDefault="007D19D6">
      <w:pPr>
        <w:numPr>
          <w:ilvl w:val="0"/>
          <w:numId w:val="516"/>
        </w:numPr>
        <w:ind w:left="567" w:hanging="567"/>
        <w:rPr>
          <w:noProof/>
        </w:rPr>
      </w:pPr>
      <w:r>
        <w:rPr>
          <w:noProof/>
        </w:rPr>
        <w:t>pieņ</w:t>
      </w:r>
      <w:r>
        <w:rPr>
          <w:noProof/>
        </w:rPr>
        <w:t xml:space="preserve">emt lēmumus par </w:t>
      </w:r>
      <w:r>
        <w:rPr>
          <w:noProof/>
          <w:u w:color="000000"/>
        </w:rPr>
        <w:t>šā nolīguma otrās daļas</w:t>
      </w:r>
      <w:r>
        <w:rPr>
          <w:noProof/>
        </w:rPr>
        <w:t xml:space="preserve"> noteikumu interpretāciju.</w:t>
      </w:r>
    </w:p>
    <w:p w:rsidR="003E022D" w:rsidRDefault="007D19D6">
      <w:pPr>
        <w:pStyle w:val="Article"/>
        <w:rPr>
          <w:noProof/>
        </w:rPr>
      </w:pPr>
      <w:r>
        <w:rPr>
          <w:noProof/>
        </w:rPr>
        <w:t xml:space="preserve">OTH.9. pants. Ģeogrāfiskā piemērošana </w:t>
      </w:r>
    </w:p>
    <w:p w:rsidR="003E022D" w:rsidRDefault="007D19D6">
      <w:pPr>
        <w:rPr>
          <w:rFonts w:eastAsia="Calibri" w:cs="Calibri"/>
          <w:noProof/>
        </w:rPr>
      </w:pPr>
      <w:r>
        <w:rPr>
          <w:noProof/>
        </w:rPr>
        <w:t xml:space="preserve">1. </w:t>
      </w:r>
      <w:r>
        <w:rPr>
          <w:noProof/>
        </w:rPr>
        <w:tab/>
        <w:t>Šā nolīguma noteikumus par tarifa režīmu precēm, tai skaitā izcelsmes noteikumus un šā režīma pagaidu apturēšanu, Savienības gadījumā piemēro arī t</w:t>
      </w:r>
      <w:r>
        <w:rPr>
          <w:noProof/>
        </w:rPr>
        <w:t>ām Savienības muitas teritorijas zonām, kuras definētas 4. pantā Eiropas Parlamenta un Padomes Regulā (ES) Nr. 952/2013</w:t>
      </w:r>
      <w:r>
        <w:rPr>
          <w:rStyle w:val="FootnoteReference"/>
          <w:noProof/>
        </w:rPr>
        <w:footnoteReference w:id="75"/>
      </w:r>
      <w:r>
        <w:rPr>
          <w:noProof/>
        </w:rPr>
        <w:t xml:space="preserve">, uz kurām neattiecas </w:t>
      </w:r>
      <w:r>
        <w:rPr>
          <w:noProof/>
          <w:u w:color="000000"/>
        </w:rPr>
        <w:t>septītās daļas [Nobeiguma noteikumi] FINPROV.1.(a) pants [Teritoriālā piemērošana]</w:t>
      </w:r>
      <w:r>
        <w:rPr>
          <w:noProof/>
        </w:rPr>
        <w:t>.</w:t>
      </w:r>
      <w:r>
        <w:rPr>
          <w:noProof/>
        </w:rPr>
        <w:tab/>
      </w:r>
    </w:p>
    <w:p w:rsidR="003E022D" w:rsidRDefault="007D19D6">
      <w:pPr>
        <w:spacing w:before="100" w:beforeAutospacing="1"/>
        <w:rPr>
          <w:rFonts w:eastAsia="Calibri" w:cs="Calibri"/>
          <w:noProof/>
        </w:rPr>
      </w:pPr>
      <w:r>
        <w:rPr>
          <w:noProof/>
        </w:rPr>
        <w:t xml:space="preserve">2. </w:t>
      </w:r>
      <w:r>
        <w:rPr>
          <w:noProof/>
        </w:rPr>
        <w:tab/>
        <w:t xml:space="preserve">Neskarot </w:t>
      </w:r>
      <w:r>
        <w:rPr>
          <w:noProof/>
          <w:u w:color="000000"/>
        </w:rPr>
        <w:t>FINPROV.1. panta</w:t>
      </w:r>
      <w:r>
        <w:rPr>
          <w:noProof/>
          <w:u w:color="000000"/>
        </w:rPr>
        <w:t xml:space="preserve"> [Teritoriālā piemērošana] 2., 3 un 4. punktu</w:t>
      </w:r>
      <w:r>
        <w:rPr>
          <w:noProof/>
        </w:rPr>
        <w:t xml:space="preserve"> Pušu tiesības un pienākumi atbilstoši šai daļai attiecas arī uz visām teritorijām ārpus katras Puses teritoriālajiem ūdeņiem, tostarp to jūras gultni un jūras grunti, attiecībā uz kurām minētajai Pusei ir suver</w:t>
      </w:r>
      <w:r>
        <w:rPr>
          <w:noProof/>
        </w:rPr>
        <w:t>ēnas tiesības vai jurisdikcija saskaņā ar starptautisko tiesību normām, tostarp Apvienoto Nāciju Organizācijas Jūras tiesību konvenciju, kas parakstīta Montegobejā 1982. gada 10. decembrī, un Puses normatīvajiem aktiem, kuri atbilst starptautisko tiesību n</w:t>
      </w:r>
      <w:r>
        <w:rPr>
          <w:noProof/>
        </w:rPr>
        <w:t>ormām</w:t>
      </w:r>
      <w:r>
        <w:rPr>
          <w:rStyle w:val="FootnoteReference"/>
          <w:noProof/>
        </w:rPr>
        <w:footnoteReference w:id="76"/>
      </w:r>
      <w:r>
        <w:rPr>
          <w:noProof/>
        </w:rPr>
        <w:t>.</w:t>
      </w:r>
    </w:p>
    <w:p w:rsidR="003E022D" w:rsidRDefault="007D19D6">
      <w:pPr>
        <w:spacing w:before="100" w:beforeAutospacing="1"/>
        <w:rPr>
          <w:rFonts w:eastAsia="Calibri" w:cs="Calibri"/>
          <w:noProof/>
        </w:rPr>
      </w:pPr>
      <w:r>
        <w:rPr>
          <w:noProof/>
        </w:rPr>
        <w:t xml:space="preserve">3.  </w:t>
      </w:r>
      <w:r>
        <w:rPr>
          <w:noProof/>
        </w:rPr>
        <w:tab/>
        <w:t xml:space="preserve">Ņemot vērā 4. punkta paredzētos izņēmumus, </w:t>
      </w:r>
      <w:r>
        <w:rPr>
          <w:noProof/>
          <w:u w:color="000000"/>
        </w:rPr>
        <w:t>IV sadaļas [Preču tirdzniecība] 1. nodaļu [Valsts režīms un preču tirgus pieejamība], 2. nodaļu [Izcelsmes noteikumi] un 5. nodaļu [Muita un tirdzniecības atvieglošana]</w:t>
      </w:r>
      <w:r>
        <w:rPr>
          <w:noProof/>
        </w:rPr>
        <w:t xml:space="preserve"> un minēto nodaļu protokolus un </w:t>
      </w:r>
      <w:r>
        <w:rPr>
          <w:noProof/>
        </w:rPr>
        <w:t xml:space="preserve">pielikumus attiecībā uz Apvienoto Karalisti piemēro arī teritorijām, kas minētas </w:t>
      </w:r>
      <w:r>
        <w:rPr>
          <w:noProof/>
          <w:u w:color="000000"/>
        </w:rPr>
        <w:t>FINPROV.1. panta [Teritoriālā darbības joma] 2. punktā</w:t>
      </w:r>
      <w:r>
        <w:rPr>
          <w:noProof/>
        </w:rPr>
        <w:t xml:space="preserve">. Šim nolūkam teritorijas, kas minētas </w:t>
      </w:r>
      <w:r>
        <w:rPr>
          <w:noProof/>
          <w:u w:color="000000"/>
        </w:rPr>
        <w:t>FINPROV.1. panta [Teritoriālā darbības joma] 2. punktā</w:t>
      </w:r>
      <w:r>
        <w:rPr>
          <w:noProof/>
        </w:rPr>
        <w:t>, uzskata par Apvienotās Kar</w:t>
      </w:r>
      <w:r>
        <w:rPr>
          <w:noProof/>
        </w:rPr>
        <w:t xml:space="preserve">alistes muitas teritorijas daļu. </w:t>
      </w:r>
      <w:r>
        <w:rPr>
          <w:noProof/>
          <w:u w:color="000000"/>
        </w:rPr>
        <w:t>FINPROV.1. panta [Teritoriālā darbības joma] 2. punktā</w:t>
      </w:r>
      <w:r>
        <w:rPr>
          <w:noProof/>
        </w:rPr>
        <w:t xml:space="preserve"> minēto teritoriju muitas dienesti ir atbildīgi par šo nodaļu, kā arī šo nodaļu protokolu un pielikumu piemērošanu un īstenošanu to attiecīgajās teritorijās. Atsauces uz</w:t>
      </w:r>
      <w:r>
        <w:rPr>
          <w:noProof/>
        </w:rPr>
        <w:t xml:space="preserve"> “muitas dienestu” minētajos noteikumos lasa attiecīgi. Tomēr pieprasījumus un paziņojumus, kas iesniegti saskaņā ar šīm nodaļām, kā arī šo nodaļu protokoliem un pielikumiem, pārvalda Apvienotās Karalistes muitas dienests.</w:t>
      </w:r>
    </w:p>
    <w:p w:rsidR="003E022D" w:rsidRDefault="007D19D6">
      <w:pPr>
        <w:spacing w:before="100" w:beforeAutospacing="1"/>
        <w:rPr>
          <w:rFonts w:eastAsia="Calibri" w:cs="Calibri"/>
          <w:noProof/>
        </w:rPr>
      </w:pPr>
      <w:r>
        <w:rPr>
          <w:noProof/>
        </w:rPr>
        <w:t xml:space="preserve">4. </w:t>
      </w:r>
      <w:r>
        <w:rPr>
          <w:noProof/>
        </w:rPr>
        <w:tab/>
      </w:r>
      <w:r>
        <w:rPr>
          <w:noProof/>
          <w:u w:color="000000"/>
        </w:rPr>
        <w:t>Otrās daļas pirmā temata I sa</w:t>
      </w:r>
      <w:r>
        <w:rPr>
          <w:noProof/>
          <w:u w:color="000000"/>
        </w:rPr>
        <w:t>daļas [Preču tirdzniecība] 5. nodaļas [Muita un tirdzniecības atvieglošana] CUSTMS.9. pantu [Atzītie uzņēmēji], CUSTMS-1. PIELIKUMU [Atzītie uzņēmēji] un Protokolu par administratīvo sadarbību un krāpšanas apkarošanu pievienotās vērtības nodokļa jomā un pa</w:t>
      </w:r>
      <w:r>
        <w:rPr>
          <w:noProof/>
          <w:u w:color="000000"/>
        </w:rPr>
        <w:t>r savstarpējo palīdzību prasījumu piedziņā saistībā ar nodokļiem un nodevām</w:t>
      </w:r>
      <w:r>
        <w:rPr>
          <w:noProof/>
        </w:rPr>
        <w:t xml:space="preserve"> nepiemēro Džērsijas Teritoriālajai Vienībai un Gērnsijas Teritoriālajai Vienībai; </w:t>
      </w:r>
    </w:p>
    <w:p w:rsidR="003E022D" w:rsidRDefault="007D19D6">
      <w:pPr>
        <w:spacing w:before="100" w:beforeAutospacing="1"/>
        <w:rPr>
          <w:rFonts w:eastAsia="Calibri" w:cs="Calibri"/>
          <w:noProof/>
        </w:rPr>
      </w:pPr>
      <w:r>
        <w:rPr>
          <w:noProof/>
          <w:color w:val="000000"/>
        </w:rPr>
        <w:t>5.</w:t>
      </w:r>
      <w:r>
        <w:rPr>
          <w:noProof/>
        </w:rPr>
        <w:t xml:space="preserve"> </w:t>
      </w:r>
      <w:r>
        <w:rPr>
          <w:noProof/>
        </w:rPr>
        <w:tab/>
      </w:r>
      <w:r>
        <w:rPr>
          <w:noProof/>
          <w:u w:color="000000"/>
        </w:rPr>
        <w:t>Otrās daļas pirmā temata IV sadaļas [Preču tirdzniecība] 3. nodaļu [SFS] un 4. nodaļu [</w:t>
      </w:r>
      <w:r>
        <w:rPr>
          <w:i/>
          <w:noProof/>
          <w:u w:color="000000"/>
        </w:rPr>
        <w:t>TBT</w:t>
      </w:r>
      <w:r>
        <w:rPr>
          <w:noProof/>
          <w:u w:color="000000"/>
        </w:rPr>
        <w:t>]</w:t>
      </w:r>
      <w:r>
        <w:rPr>
          <w:noProof/>
        </w:rPr>
        <w:t xml:space="preserve">, </w:t>
      </w:r>
      <w:r>
        <w:rPr>
          <w:noProof/>
        </w:rPr>
        <w:t xml:space="preserve">kā arī šo nodaļu pielikumus attiecībā uz Apvienoto Karalisti piemēro arī teritorijām, kas minētas </w:t>
      </w:r>
      <w:r>
        <w:rPr>
          <w:noProof/>
          <w:u w:color="000000"/>
        </w:rPr>
        <w:t>FINPROV.1. panta [Teritoriālā darbības joma] 2. punktā</w:t>
      </w:r>
      <w:r>
        <w:rPr>
          <w:noProof/>
        </w:rPr>
        <w:t xml:space="preserve">. </w:t>
      </w:r>
      <w:r>
        <w:rPr>
          <w:noProof/>
          <w:u w:color="000000"/>
        </w:rPr>
        <w:t>FINPROV.1. panta [Teritoriālā darbības joma] 2. punktā</w:t>
      </w:r>
      <w:r>
        <w:rPr>
          <w:noProof/>
        </w:rPr>
        <w:t xml:space="preserve"> minēto teritoriju dienesti ir atbildīgi par šo </w:t>
      </w:r>
      <w:r>
        <w:rPr>
          <w:noProof/>
        </w:rPr>
        <w:t>nodaļu, kā arī šo nodaļu pielikumu piemērošanu un īstenošanu to attiecīgajās teritorijās un attiecīgās atsauces lasa attiecīgi. Tomēr pieprasījumus un paziņojumus, kas iesniegti saskaņā ar šīm nodaļām, kā arī šo nodaļu pielikumiem, pārvalda Apvienotās Kara</w:t>
      </w:r>
      <w:r>
        <w:rPr>
          <w:noProof/>
        </w:rPr>
        <w:t>listes dienesti.</w:t>
      </w:r>
    </w:p>
    <w:p w:rsidR="003E022D" w:rsidRDefault="007D19D6">
      <w:pPr>
        <w:rPr>
          <w:rFonts w:asciiTheme="minorHAnsi" w:hAnsiTheme="minorHAnsi" w:cstheme="minorHAnsi"/>
          <w:noProof/>
        </w:rPr>
      </w:pPr>
      <w:r>
        <w:rPr>
          <w:rFonts w:asciiTheme="minorHAnsi" w:hAnsiTheme="minorHAnsi"/>
          <w:noProof/>
        </w:rPr>
        <w:t xml:space="preserve">6. </w:t>
      </w:r>
      <w:r>
        <w:rPr>
          <w:noProof/>
        </w:rPr>
        <w:tab/>
      </w:r>
      <w:r>
        <w:rPr>
          <w:rFonts w:asciiTheme="minorHAnsi" w:hAnsiTheme="minorHAnsi"/>
          <w:noProof/>
        </w:rPr>
        <w:t>Neskarot FINPROV.8. pantu [Izbeigšana] un OTH.10. pantu [Otrās daļas izbeigšana], ja vien Puses nevienojas citādi, šā panta 3. līdz 5. punkts paliek spēkā līdz agrākajam no šādiem termiņiem:</w:t>
      </w:r>
    </w:p>
    <w:p w:rsidR="003E022D" w:rsidRDefault="007D19D6">
      <w:pPr>
        <w:numPr>
          <w:ilvl w:val="0"/>
          <w:numId w:val="1360"/>
        </w:numPr>
        <w:ind w:left="567" w:hanging="567"/>
        <w:rPr>
          <w:rFonts w:eastAsia="Calibri" w:cs="Calibri"/>
          <w:iCs/>
          <w:noProof/>
        </w:rPr>
      </w:pPr>
      <w:r>
        <w:rPr>
          <w:noProof/>
        </w:rPr>
        <w:t xml:space="preserve">trīs gadu termiņa izbeigšanās pēc rakstiska </w:t>
      </w:r>
      <w:r>
        <w:rPr>
          <w:noProof/>
        </w:rPr>
        <w:t>paziņojuma otrai Pusei par izbeigšanu; vai</w:t>
      </w:r>
    </w:p>
    <w:p w:rsidR="003E022D" w:rsidRDefault="007D19D6">
      <w:pPr>
        <w:numPr>
          <w:ilvl w:val="0"/>
          <w:numId w:val="1360"/>
        </w:numPr>
        <w:ind w:left="567" w:hanging="567"/>
        <w:rPr>
          <w:rFonts w:eastAsia="Calibri" w:cs="Calibri"/>
          <w:iCs/>
          <w:noProof/>
        </w:rPr>
      </w:pPr>
      <w:r>
        <w:rPr>
          <w:noProof/>
        </w:rPr>
        <w:t>diena, kad spēku zaudē</w:t>
      </w:r>
      <w:r>
        <w:rPr>
          <w:rFonts w:asciiTheme="minorHAnsi" w:hAnsiTheme="minorHAnsi"/>
          <w:noProof/>
        </w:rPr>
        <w:t xml:space="preserve"> FISH.10. pants [Piekļuve Gērnsijas Teritoriālās Vienības, Džērsijas Teritoriālās Vienības vai Menas Salas ūdeņiem], FISH.11. pants [Paziņošanas termiņi, kas saistīti ar zvejniecības produktu importēšanu un tiešu izkraušanu]</w:t>
      </w:r>
      <w:r>
        <w:rPr>
          <w:noProof/>
        </w:rPr>
        <w:t xml:space="preserve"> un jebkurš cits piektā temata [</w:t>
      </w:r>
      <w:r>
        <w:rPr>
          <w:noProof/>
        </w:rPr>
        <w:t>Zvejniecība] noteikums, ciktāl tas attiecas uz minētajos pantos paredzēto režīmu.</w:t>
      </w:r>
    </w:p>
    <w:p w:rsidR="003E022D" w:rsidRDefault="007D19D6">
      <w:pPr>
        <w:rPr>
          <w:rFonts w:eastAsia="Calibri" w:cs="Calibri"/>
          <w:iCs/>
          <w:noProof/>
        </w:rPr>
      </w:pPr>
      <w:r>
        <w:rPr>
          <w:noProof/>
        </w:rPr>
        <w:t xml:space="preserve">7. </w:t>
      </w:r>
      <w:r>
        <w:rPr>
          <w:noProof/>
        </w:rPr>
        <w:tab/>
        <w:t>Šā panta 6. punkta a) apakšpunkta nolūkā paziņojumu par izbeigšanu var sniegt attiecībā uz vienu vai vairākām no šīm teritorijām: Gērnsijas Teritoriālā Vienība, Džērsijas</w:t>
      </w:r>
      <w:r>
        <w:rPr>
          <w:noProof/>
        </w:rPr>
        <w:t xml:space="preserve"> Teritoriālā Vienība vai Menas Sala, un šā panta 3. līdz 5. punkts paliek spēkā attiecībā uz tām teritorijām, par kurām nav sniegts paziņojums par izbeigšanu.</w:t>
      </w:r>
    </w:p>
    <w:p w:rsidR="003E022D" w:rsidRDefault="007D19D6">
      <w:pPr>
        <w:spacing w:before="100" w:beforeAutospacing="1"/>
        <w:rPr>
          <w:rFonts w:eastAsia="Calibri" w:cs="Calibri"/>
          <w:iCs/>
          <w:noProof/>
        </w:rPr>
      </w:pPr>
      <w:r>
        <w:rPr>
          <w:noProof/>
        </w:rPr>
        <w:t>8.</w:t>
      </w:r>
      <w:r>
        <w:rPr>
          <w:noProof/>
        </w:rPr>
        <w:tab/>
        <w:t>Panta 6. punkta b) apakšpunkta nolūkā, ja FISH.10. pants [Piekļuve Gērnsijas Teritoriālās Vien</w:t>
      </w:r>
      <w:r>
        <w:rPr>
          <w:noProof/>
        </w:rPr>
        <w:t>ības, Džērsijas Teritoriālās Vienības vai Menas Salas ūdeņiem], FISH.11. pants [Paziņošanas termiņi, kas saistīti ar zvejniecības produktu importēšanu un tiešu izkraušanu] un jebkurš cits piektā temata [Zvejniecība] noteikums, ciktāl tas attiecas uz minēta</w:t>
      </w:r>
      <w:r>
        <w:rPr>
          <w:noProof/>
        </w:rPr>
        <w:t>jos pantos paredzēto režīmu, zaudē spēku attiecībā uz vienu vai vairākām (bet ne visām) šādām teritorijām: Gērnsijas Teritoriālā Vienība, Džērsijas Teritoriālā Vienība vai Menas Sala, šā panta 3. līdz 5. punkts paliek spēkā attiecībā uz tām teritorijām, ku</w:t>
      </w:r>
      <w:r>
        <w:rPr>
          <w:noProof/>
        </w:rPr>
        <w:t>rās spēkā paliek FISH.10. pants [Piekļuve Gērnsijas Teritoriālās Vienības, Džērsijas Teritoriālās Vienības vai Menas Salas ūdeņiem], FISH.11. pants [Paziņošanas termiņi, kas saistīti ar zvejniecības produktu importēšanu un tiešu izkraušanu] un jebkurš cits</w:t>
      </w:r>
      <w:r>
        <w:rPr>
          <w:noProof/>
        </w:rPr>
        <w:t xml:space="preserve"> piektā temata [Zvejniecība] noteikums, ciktāl tas attiecas uz minētajos pantos paredzēto režīmu.</w:t>
      </w:r>
    </w:p>
    <w:p w:rsidR="003E022D" w:rsidRDefault="007D19D6">
      <w:pPr>
        <w:pStyle w:val="Article"/>
        <w:rPr>
          <w:noProof/>
        </w:rPr>
      </w:pPr>
      <w:r>
        <w:rPr>
          <w:noProof/>
        </w:rPr>
        <w:t>OTH.10. pants. Otrās daļas izbeigšana</w:t>
      </w:r>
    </w:p>
    <w:p w:rsidR="003E022D" w:rsidRDefault="007D19D6">
      <w:pPr>
        <w:pStyle w:val="ListParagraph"/>
        <w:pBdr>
          <w:top w:val="nil"/>
          <w:left w:val="nil"/>
          <w:bottom w:val="nil"/>
          <w:right w:val="nil"/>
          <w:between w:val="nil"/>
          <w:bar w:val="nil"/>
        </w:pBdr>
        <w:tabs>
          <w:tab w:val="left" w:pos="0"/>
        </w:tabs>
        <w:spacing w:after="0"/>
        <w:ind w:left="0"/>
        <w:contextualSpacing w:val="0"/>
        <w:rPr>
          <w:noProof/>
        </w:rPr>
      </w:pPr>
      <w:r>
        <w:rPr>
          <w:noProof/>
        </w:rPr>
        <w:t>Neskarot FINPROV.8. pantu [Izbeigšana], katra Puse var jebkurā laikā izbeigt šīs daļas piemērošanu, ar diplomātisko kanā</w:t>
      </w:r>
      <w:r>
        <w:rPr>
          <w:noProof/>
        </w:rPr>
        <w:t xml:space="preserve">lu starpniecību iesniedzot rakstisku paziņojumu. Šādā gadījumā </w:t>
      </w:r>
      <w:r>
        <w:rPr>
          <w:noProof/>
          <w:u w:color="000000"/>
        </w:rPr>
        <w:t>šī daļa</w:t>
      </w:r>
      <w:r>
        <w:rPr>
          <w:noProof/>
        </w:rPr>
        <w:t xml:space="preserve"> zaudē spēku devītā mēneša pirmajā dienā pēc paziņošanas dienas. </w:t>
      </w:r>
      <w:r>
        <w:rPr>
          <w:noProof/>
          <w:u w:color="000000"/>
        </w:rPr>
        <w:t>Ceturtā temata [Sociālā nodrošinājuma koordinācija un vīzas īstermiņa ceļojumiem]</w:t>
      </w:r>
      <w:r>
        <w:rPr>
          <w:noProof/>
        </w:rPr>
        <w:t xml:space="preserve"> un </w:t>
      </w:r>
      <w:r>
        <w:rPr>
          <w:noProof/>
          <w:u w:color="000000"/>
        </w:rPr>
        <w:t xml:space="preserve">Protokola par sociālā nodrošinājuma </w:t>
      </w:r>
      <w:r>
        <w:rPr>
          <w:noProof/>
          <w:u w:color="000000"/>
        </w:rPr>
        <w:t>koordināciju</w:t>
      </w:r>
      <w:r>
        <w:rPr>
          <w:noProof/>
        </w:rPr>
        <w:t xml:space="preserve"> piemērošanu neizbeidz saskaņā ar šo pantu.</w:t>
      </w:r>
    </w:p>
    <w:p w:rsidR="003E022D" w:rsidRDefault="007D19D6">
      <w:pPr>
        <w:spacing w:after="0"/>
        <w:rPr>
          <w:rFonts w:asciiTheme="majorHAnsi" w:hAnsiTheme="majorHAnsi"/>
          <w:noProof/>
        </w:rPr>
      </w:pPr>
      <w:r>
        <w:rPr>
          <w:noProof/>
        </w:rPr>
        <w:br w:type="page"/>
      </w:r>
    </w:p>
    <w:p w:rsidR="003E022D" w:rsidRDefault="007D19D6">
      <w:pPr>
        <w:pStyle w:val="Heading1"/>
        <w:rPr>
          <w:noProof/>
        </w:rPr>
      </w:pPr>
      <w:bookmarkStart w:id="243" w:name="_Toc59988361"/>
      <w:r>
        <w:rPr>
          <w:noProof/>
        </w:rPr>
        <w:t>TREŠĀ DAĻA. TIESĪBAIZSARDZĪBAS IESTĀŽU UN TIESU IESTĀŽU SADARBĪBA KRIMINĀLLIETĀS</w:t>
      </w:r>
      <w:bookmarkEnd w:id="243"/>
    </w:p>
    <w:p w:rsidR="003E022D" w:rsidRDefault="007D19D6">
      <w:pPr>
        <w:pStyle w:val="Title1"/>
        <w:rPr>
          <w:noProof/>
          <w:lang w:val="fr-BE"/>
        </w:rPr>
      </w:pPr>
      <w:bookmarkStart w:id="244" w:name="_Toc57809455"/>
      <w:bookmarkStart w:id="245" w:name="_Toc58920205"/>
      <w:bookmarkStart w:id="246" w:name="_Toc58949195"/>
      <w:bookmarkStart w:id="247" w:name="_Toc59988362"/>
      <w:r>
        <w:rPr>
          <w:noProof/>
          <w:lang w:val="fr-BE"/>
        </w:rPr>
        <w:t>I sadaļa. Vispārīgi noteikumi</w:t>
      </w:r>
      <w:bookmarkEnd w:id="244"/>
      <w:bookmarkEnd w:id="245"/>
      <w:bookmarkEnd w:id="246"/>
      <w:bookmarkEnd w:id="247"/>
    </w:p>
    <w:p w:rsidR="003E022D" w:rsidRDefault="007D19D6">
      <w:pPr>
        <w:pStyle w:val="Article"/>
        <w:rPr>
          <w:noProof/>
        </w:rPr>
      </w:pPr>
      <w:bookmarkStart w:id="248" w:name="_Toc58920206"/>
      <w:r>
        <w:rPr>
          <w:noProof/>
          <w:lang w:val="fr-BE"/>
        </w:rPr>
        <w:t xml:space="preserve">LAW.GEN.1. pants. </w:t>
      </w:r>
      <w:r>
        <w:rPr>
          <w:noProof/>
        </w:rPr>
        <w:t>Mērķis</w:t>
      </w:r>
      <w:bookmarkEnd w:id="248"/>
    </w:p>
    <w:p w:rsidR="003E022D" w:rsidRDefault="007D19D6">
      <w:pPr>
        <w:numPr>
          <w:ilvl w:val="0"/>
          <w:numId w:val="4"/>
        </w:numPr>
        <w:ind w:left="0" w:firstLine="0"/>
        <w:rPr>
          <w:rFonts w:cstheme="minorHAnsi"/>
          <w:noProof/>
        </w:rPr>
      </w:pPr>
      <w:r>
        <w:rPr>
          <w:noProof/>
        </w:rPr>
        <w:t>Šīs daļas mērķis ir nodrošināt tiesībaizsardzību un tiesu iest</w:t>
      </w:r>
      <w:r>
        <w:rPr>
          <w:noProof/>
        </w:rPr>
        <w:t xml:space="preserve">āžu sadarbību starp dalībvalstīm un Savienības iestādēm, struktūrām, birojiem un aģentūrām, no vienas puses, un Apvienoto Karalisti, no otras puses, saistībā ar noziedzīgu nodarījumu novēršanu, izmeklēšanu, atklāšanu un saukšanu pie atbildības par tiem un </w:t>
      </w:r>
      <w:r>
        <w:rPr>
          <w:noProof/>
        </w:rPr>
        <w:t>kriminālsodu izpildi, un nelikumīgi iegūtu līdzekļu legalizēšanas un terorisma finansēšanas novēršanu un apkarošanu.</w:t>
      </w:r>
    </w:p>
    <w:p w:rsidR="003E022D" w:rsidRDefault="007D19D6">
      <w:pPr>
        <w:numPr>
          <w:ilvl w:val="0"/>
          <w:numId w:val="4"/>
        </w:numPr>
        <w:ind w:left="0" w:firstLine="0"/>
        <w:rPr>
          <w:rFonts w:cstheme="minorHAnsi"/>
          <w:noProof/>
        </w:rPr>
      </w:pPr>
      <w:r>
        <w:rPr>
          <w:noProof/>
        </w:rPr>
        <w:t>Šo daļu piemēro tikai tiesībaizsardzībai un tiesu iestāžu sadarbībai krimināllietās, kura notiek vienīgi starp Apvienoto Karalisti, no vien</w:t>
      </w:r>
      <w:r>
        <w:rPr>
          <w:noProof/>
        </w:rPr>
        <w:t>as puses, un Savienību un dalībvalstīm, no otras puses. To nepiemēro situācijām, kas rodas starp dalībvalstīm vai starp dalībvalstīm un Savienības iestādēm, struktūrām, birojiem un aģentūrām, kā arī to nepiemēro par valsts drošības aizsardzību atbildīgo ie</w:t>
      </w:r>
      <w:r>
        <w:rPr>
          <w:noProof/>
        </w:rPr>
        <w:t>stāžu veiktām darbībām minētajā jomā.</w:t>
      </w:r>
    </w:p>
    <w:p w:rsidR="003E022D" w:rsidRDefault="007D19D6">
      <w:pPr>
        <w:pStyle w:val="Article"/>
        <w:rPr>
          <w:noProof/>
        </w:rPr>
      </w:pPr>
      <w:bookmarkStart w:id="249" w:name="_Toc58920207"/>
      <w:r>
        <w:rPr>
          <w:noProof/>
        </w:rPr>
        <w:t>LAW.GEN.2. pants. Definīcijas</w:t>
      </w:r>
      <w:bookmarkEnd w:id="249"/>
    </w:p>
    <w:p w:rsidR="003E022D" w:rsidRDefault="007D19D6">
      <w:pPr>
        <w:rPr>
          <w:rFonts w:cstheme="minorHAnsi"/>
          <w:noProof/>
        </w:rPr>
      </w:pPr>
      <w:r>
        <w:rPr>
          <w:noProof/>
        </w:rPr>
        <w:t xml:space="preserve">Šajā </w:t>
      </w:r>
      <w:r>
        <w:rPr>
          <w:noProof/>
          <w:u w:color="000000"/>
        </w:rPr>
        <w:t>Daļā</w:t>
      </w:r>
      <w:r>
        <w:rPr>
          <w:noProof/>
        </w:rPr>
        <w:t xml:space="preserve"> piemēro šādas definīcijas.</w:t>
      </w:r>
    </w:p>
    <w:p w:rsidR="003E022D" w:rsidRDefault="007D19D6">
      <w:pPr>
        <w:numPr>
          <w:ilvl w:val="1"/>
          <w:numId w:val="3"/>
        </w:numPr>
        <w:ind w:left="567" w:hanging="567"/>
        <w:rPr>
          <w:rFonts w:cstheme="minorHAnsi"/>
          <w:noProof/>
        </w:rPr>
      </w:pPr>
      <w:r>
        <w:rPr>
          <w:noProof/>
        </w:rPr>
        <w:t>“trešā valsts” ir valsts, kas neietilpst iepriekš minētajā valsts definīcijā;</w:t>
      </w:r>
    </w:p>
    <w:p w:rsidR="003E022D" w:rsidRDefault="007D19D6">
      <w:pPr>
        <w:numPr>
          <w:ilvl w:val="1"/>
          <w:numId w:val="3"/>
        </w:numPr>
        <w:ind w:left="567" w:hanging="567"/>
        <w:rPr>
          <w:rFonts w:cstheme="minorHAnsi"/>
          <w:noProof/>
        </w:rPr>
      </w:pPr>
      <w:r>
        <w:rPr>
          <w:noProof/>
        </w:rPr>
        <w:t>“īpašas personas datu kategorijas” ir personas dati, kas atklāj rases vai</w:t>
      </w:r>
      <w:r>
        <w:rPr>
          <w:noProof/>
        </w:rPr>
        <w:t xml:space="preserve"> etnisko piederību, politiskos uzskatus, reliģisko vai filozofisko pārliecību vai dalību arodbiedrībās, ģenētiskie dati, biometriskie dati, kas apstrādāti fiziskas personas unikālai identifikācijai, veselības dati vai dati par fiziskas personas dzimumdzīvi</w:t>
      </w:r>
      <w:r>
        <w:rPr>
          <w:noProof/>
        </w:rPr>
        <w:t xml:space="preserve"> vai seksuālo orientāciju;</w:t>
      </w:r>
    </w:p>
    <w:p w:rsidR="003E022D" w:rsidRDefault="007D19D6">
      <w:pPr>
        <w:numPr>
          <w:ilvl w:val="1"/>
          <w:numId w:val="3"/>
        </w:numPr>
        <w:ind w:left="567" w:hanging="567"/>
        <w:rPr>
          <w:rFonts w:cstheme="minorHAnsi"/>
          <w:noProof/>
        </w:rPr>
      </w:pPr>
      <w:r>
        <w:rPr>
          <w:noProof/>
        </w:rPr>
        <w:t xml:space="preserve">“ģenētiskie dati” ir visi personas dati, kas attiecas uz fiziskas personas ģenētiskajām pazīmēm, kuras ir pārmantotas vai iegūtas, un kas, izrietot jo īpaši no attiecīgās fiziskās personas bioloģiskā parauga analīzes, sniedz </w:t>
      </w:r>
      <w:r>
        <w:rPr>
          <w:noProof/>
        </w:rPr>
        <w:t>unikālu informāciju par minētās fiziskās personas fizioloģiju vai veselību;</w:t>
      </w:r>
    </w:p>
    <w:p w:rsidR="003E022D" w:rsidRDefault="007D19D6">
      <w:pPr>
        <w:numPr>
          <w:ilvl w:val="1"/>
          <w:numId w:val="3"/>
        </w:numPr>
        <w:ind w:left="567" w:hanging="567"/>
        <w:rPr>
          <w:rFonts w:cstheme="minorHAnsi"/>
          <w:noProof/>
        </w:rPr>
      </w:pPr>
      <w:r>
        <w:rPr>
          <w:noProof/>
        </w:rPr>
        <w:t>“biometriskie dati” ir personas dati pēc specifiskas tehniskas apstrādes, kuri attiecas uz fiziskas personas fiziskajām, fizioloģiskajām vai uzvedības pazīmēm, kas ļauj veikt vai a</w:t>
      </w:r>
      <w:r>
        <w:rPr>
          <w:noProof/>
        </w:rPr>
        <w:t>pstiprina minētās fiziskās personas unikālu identifikāciju, piemēram, sejas attēli vai daktiloskopiskie dati;</w:t>
      </w:r>
    </w:p>
    <w:p w:rsidR="003E022D" w:rsidRDefault="007D19D6">
      <w:pPr>
        <w:numPr>
          <w:ilvl w:val="1"/>
          <w:numId w:val="3"/>
        </w:numPr>
        <w:ind w:left="567" w:hanging="567"/>
        <w:rPr>
          <w:rFonts w:cstheme="minorHAnsi"/>
          <w:noProof/>
        </w:rPr>
      </w:pPr>
      <w:r>
        <w:rPr>
          <w:noProof/>
        </w:rPr>
        <w:t>“apstrāde” ir jebkura ar personas datiem vai personas datu kopumiem veikta darbība vai darbību kopums, ko veic ar vai bez automatizētiem līdzekļie</w:t>
      </w:r>
      <w:r>
        <w:rPr>
          <w:noProof/>
        </w:rPr>
        <w:t>m, piemēram, vākšana, reģistrācija, organizēšana, strukturēšana, glabāšana, pielāgošana vai pārveidošana, atgūšana, aplūkošana, izmantošana, izpaušana, nosūtot, izplatot vai citādi darot tos pieejamus, saskaņošana vai kombinēšana, ierobežošana, dzēšana vai</w:t>
      </w:r>
      <w:r>
        <w:rPr>
          <w:noProof/>
        </w:rPr>
        <w:t xml:space="preserve"> iznīcināšana;</w:t>
      </w:r>
    </w:p>
    <w:p w:rsidR="003E022D" w:rsidRDefault="007D19D6">
      <w:pPr>
        <w:numPr>
          <w:ilvl w:val="1"/>
          <w:numId w:val="3"/>
        </w:numPr>
        <w:ind w:left="567" w:hanging="567"/>
        <w:rPr>
          <w:rFonts w:cstheme="minorHAnsi"/>
          <w:noProof/>
        </w:rPr>
      </w:pPr>
      <w:r>
        <w:rPr>
          <w:noProof/>
        </w:rPr>
        <w:t>“personas datu aizsardzības pārkāpums” ir drošības pārkāpums, kura rezultātā notiek nejauša vai nelikumīga nosūtīto, uzglabāto vai citādi apstrādāto personas datu iznīcināšana, nozaudēšana, pārveidošana, neatļauta izpaušana vai piekļuve tiem</w:t>
      </w:r>
      <w:r>
        <w:rPr>
          <w:noProof/>
        </w:rPr>
        <w:t xml:space="preserve">; </w:t>
      </w:r>
    </w:p>
    <w:p w:rsidR="003E022D" w:rsidRDefault="007D19D6">
      <w:pPr>
        <w:numPr>
          <w:ilvl w:val="1"/>
          <w:numId w:val="3"/>
        </w:numPr>
        <w:ind w:left="567" w:hanging="567"/>
        <w:rPr>
          <w:rFonts w:cstheme="minorHAnsi"/>
          <w:noProof/>
        </w:rPr>
      </w:pPr>
      <w:r>
        <w:rPr>
          <w:noProof/>
        </w:rPr>
        <w:t>“kartotēka” ir jebkurš strukturēts personas datu kopums, kas ir pieejams saskaņā ar konkrētiem kritērijiem, neatkarīgi no tā, vai datu kopums ir centralizēts, decentralizēts vai izkliedēts, pamatojoties uz funkcionālu vai ģeogrāfisku motivāciju;</w:t>
      </w:r>
    </w:p>
    <w:p w:rsidR="003E022D" w:rsidRDefault="007D19D6">
      <w:pPr>
        <w:numPr>
          <w:ilvl w:val="1"/>
          <w:numId w:val="3"/>
        </w:numPr>
        <w:ind w:left="567" w:hanging="567"/>
        <w:rPr>
          <w:rFonts w:eastAsia="Calibri" w:cstheme="minorHAnsi"/>
          <w:noProof/>
        </w:rPr>
      </w:pPr>
      <w:r>
        <w:rPr>
          <w:noProof/>
        </w:rPr>
        <w:t>“Specia</w:t>
      </w:r>
      <w:r>
        <w:rPr>
          <w:noProof/>
        </w:rPr>
        <w:t xml:space="preserve">lizētā komiteja tiesībaizsardzības un tiesu iestāžu sadarbības jomā” ir komiteja ar minēto nosaukumu, kas izveidota ar </w:t>
      </w:r>
      <w:r>
        <w:rPr>
          <w:noProof/>
          <w:u w:color="000000"/>
        </w:rPr>
        <w:t>INST.2. pantu [Komitejas]</w:t>
      </w:r>
      <w:r>
        <w:rPr>
          <w:noProof/>
        </w:rPr>
        <w:t>.</w:t>
      </w:r>
    </w:p>
    <w:p w:rsidR="003E022D" w:rsidRDefault="007D19D6">
      <w:pPr>
        <w:pStyle w:val="Article"/>
        <w:rPr>
          <w:noProof/>
        </w:rPr>
      </w:pPr>
      <w:bookmarkStart w:id="250" w:name="_Toc58920208"/>
      <w:r>
        <w:rPr>
          <w:noProof/>
        </w:rPr>
        <w:t>LAW.GEN.3. pants. Cilvēktiesību un pamatbrīvību aizsardzība</w:t>
      </w:r>
      <w:bookmarkEnd w:id="250"/>
    </w:p>
    <w:p w:rsidR="003E022D" w:rsidRDefault="007D19D6">
      <w:pPr>
        <w:numPr>
          <w:ilvl w:val="0"/>
          <w:numId w:val="121"/>
        </w:numPr>
        <w:ind w:left="0" w:firstLine="0"/>
        <w:rPr>
          <w:rFonts w:cstheme="minorHAnsi"/>
          <w:noProof/>
          <w:u w:val="single"/>
        </w:rPr>
      </w:pPr>
      <w:r>
        <w:rPr>
          <w:noProof/>
        </w:rPr>
        <w:t>Šajā daļā paredzētā sadarbība balstās uz Pušu un d</w:t>
      </w:r>
      <w:r>
        <w:rPr>
          <w:noProof/>
        </w:rPr>
        <w:t>alībvalstu daudzgadīgām tradīcijām demokrātijas un tiesiskuma ievērošanā un personu pamattiesību un brīvību aizsardzībā, tai skaitā to, kas noteiktas Vispārējā cilvēktiesību deklarācijā un Eiropas Cilvēktiesību un pamatbrīvību aizsardzības konvencijā, un u</w:t>
      </w:r>
      <w:r>
        <w:rPr>
          <w:noProof/>
        </w:rPr>
        <w:t>z to, cik svarīga ir minētajā konvencijā ietverto tiesību un brīvību īstenošana iekšzemē.</w:t>
      </w:r>
    </w:p>
    <w:p w:rsidR="003E022D" w:rsidRDefault="007D19D6">
      <w:pPr>
        <w:numPr>
          <w:ilvl w:val="0"/>
          <w:numId w:val="121"/>
        </w:numPr>
        <w:ind w:left="0" w:firstLine="0"/>
        <w:rPr>
          <w:rFonts w:cstheme="minorHAnsi"/>
          <w:noProof/>
        </w:rPr>
      </w:pPr>
      <w:r>
        <w:rPr>
          <w:noProof/>
        </w:rPr>
        <w:t>Nekas šajā daļā nemaina pienākumu ievērot pamattiesības un tiesiskos principus, kas jo īpaši atspoguļoti Eiropas Cilvēktiesību un pamatbrīvību aizsardzības konvencijā</w:t>
      </w:r>
      <w:r>
        <w:rPr>
          <w:noProof/>
        </w:rPr>
        <w:t xml:space="preserve"> un Savienības gadījumā – Eiropas Savienības Pamattiesību hartā.</w:t>
      </w:r>
    </w:p>
    <w:p w:rsidR="003E022D" w:rsidRDefault="007D19D6">
      <w:pPr>
        <w:pStyle w:val="Article"/>
        <w:rPr>
          <w:noProof/>
          <w:lang w:val="fr-BE"/>
        </w:rPr>
      </w:pPr>
      <w:bookmarkStart w:id="251" w:name="_Toc58920209"/>
      <w:r>
        <w:rPr>
          <w:noProof/>
          <w:lang w:val="fr-BE"/>
        </w:rPr>
        <w:t>LAW.GEN.4. pants. Personas datu aizsardzība</w:t>
      </w:r>
      <w:bookmarkEnd w:id="251"/>
    </w:p>
    <w:p w:rsidR="003E022D" w:rsidRDefault="007D19D6">
      <w:pPr>
        <w:numPr>
          <w:ilvl w:val="0"/>
          <w:numId w:val="1"/>
        </w:numPr>
        <w:ind w:left="0" w:firstLine="0"/>
        <w:rPr>
          <w:rFonts w:cstheme="minorHAnsi"/>
          <w:noProof/>
          <w:lang w:val="fr-BE"/>
        </w:rPr>
      </w:pPr>
      <w:r>
        <w:rPr>
          <w:noProof/>
          <w:lang w:val="fr-BE"/>
        </w:rPr>
        <w:t>Šajā daļā paredzētā sadarbība balstās uz Pušu daudzgadīgām apņemšanās nodrošināt personas datu augsta līmeņa aizsardzību.</w:t>
      </w:r>
    </w:p>
    <w:p w:rsidR="003E022D" w:rsidRDefault="007D19D6">
      <w:pPr>
        <w:numPr>
          <w:ilvl w:val="0"/>
          <w:numId w:val="1"/>
        </w:numPr>
        <w:ind w:left="0" w:firstLine="0"/>
        <w:rPr>
          <w:rFonts w:cstheme="minorHAnsi"/>
          <w:noProof/>
          <w:lang w:val="fr-BE"/>
        </w:rPr>
      </w:pPr>
      <w:r>
        <w:rPr>
          <w:noProof/>
          <w:lang w:val="fr-BE"/>
        </w:rPr>
        <w:t>Lai atspoguļotu šo augsto</w:t>
      </w:r>
      <w:r>
        <w:rPr>
          <w:noProof/>
          <w:lang w:val="fr-BE"/>
        </w:rPr>
        <w:t xml:space="preserve"> aizsardzības līmeni, Puses nodrošina, ka saskaņā ar šo daļu apstrādātiem personas datiem Pušu attiecīgajos datu aizsardzības režīmos piemēro efektīvus pasākumus, tai skaitā turpmāk minētos:</w:t>
      </w:r>
    </w:p>
    <w:p w:rsidR="003E022D" w:rsidRDefault="007D19D6">
      <w:pPr>
        <w:numPr>
          <w:ilvl w:val="0"/>
          <w:numId w:val="120"/>
        </w:numPr>
        <w:ind w:left="567" w:hanging="567"/>
        <w:rPr>
          <w:rFonts w:cstheme="minorHAnsi"/>
          <w:noProof/>
          <w:lang w:val="fr-BE"/>
        </w:rPr>
      </w:pPr>
      <w:r>
        <w:rPr>
          <w:noProof/>
          <w:lang w:val="fr-BE"/>
        </w:rPr>
        <w:t>personas datus apstrādā likumīgi un godprātīgi, ievērojot datu mi</w:t>
      </w:r>
      <w:r>
        <w:rPr>
          <w:noProof/>
          <w:lang w:val="fr-BE"/>
        </w:rPr>
        <w:t>nimizēšanas, nolūka ierobežojuma, precizitātes un glabāšanas ierobežojuma principus;</w:t>
      </w:r>
    </w:p>
    <w:p w:rsidR="003E022D" w:rsidRDefault="007D19D6">
      <w:pPr>
        <w:numPr>
          <w:ilvl w:val="0"/>
          <w:numId w:val="120"/>
        </w:numPr>
        <w:ind w:left="567" w:hanging="567"/>
        <w:rPr>
          <w:rFonts w:cstheme="minorHAnsi"/>
          <w:noProof/>
          <w:lang w:val="fr-BE"/>
        </w:rPr>
      </w:pPr>
      <w:r>
        <w:rPr>
          <w:noProof/>
          <w:lang w:val="fr-BE"/>
        </w:rPr>
        <w:t>īpašu personas datu kategoriju apstrāde ir atļauta tikai tādā mērā, ciktāl tas ir nepieciešams, un uz to attiecas atbilstoši aizsardzības pasākumi, kas pielāgoti apstrādes</w:t>
      </w:r>
      <w:r>
        <w:rPr>
          <w:noProof/>
          <w:lang w:val="fr-BE"/>
        </w:rPr>
        <w:t xml:space="preserve"> konkrētajiem riskiem;</w:t>
      </w:r>
    </w:p>
    <w:p w:rsidR="003E022D" w:rsidRDefault="007D19D6">
      <w:pPr>
        <w:numPr>
          <w:ilvl w:val="0"/>
          <w:numId w:val="120"/>
        </w:numPr>
        <w:ind w:left="567" w:hanging="567"/>
        <w:rPr>
          <w:rFonts w:cstheme="minorHAnsi"/>
          <w:noProof/>
          <w:lang w:val="fr-BE"/>
        </w:rPr>
      </w:pPr>
      <w:r>
        <w:rPr>
          <w:noProof/>
          <w:lang w:val="fr-BE"/>
        </w:rPr>
        <w:t>tiek nodrošināts apstrādes riskam atbilstošs drošības līmenis ar attiecīgiem tehniskiem un organizatoriskiem pasākumiem, jo īpaši attiecībā uz īpašu kategoriju personas datu apstrādi;</w:t>
      </w:r>
    </w:p>
    <w:p w:rsidR="003E022D" w:rsidRDefault="007D19D6">
      <w:pPr>
        <w:numPr>
          <w:ilvl w:val="0"/>
          <w:numId w:val="120"/>
        </w:numPr>
        <w:ind w:left="567" w:hanging="567"/>
        <w:rPr>
          <w:rFonts w:cstheme="minorHAnsi"/>
          <w:noProof/>
          <w:lang w:val="fr-BE"/>
        </w:rPr>
      </w:pPr>
      <w:r>
        <w:rPr>
          <w:noProof/>
          <w:lang w:val="fr-BE"/>
        </w:rPr>
        <w:t>datu subjektiem ir piešķirtas īstenojamas tiesība</w:t>
      </w:r>
      <w:r>
        <w:rPr>
          <w:noProof/>
          <w:lang w:val="fr-BE"/>
        </w:rPr>
        <w:t>s piekļūt datiem, tos labot un dzēst, piemērojot iespējamus likumā paredzētus ierobežojumus, kas ir demokrātiskā sabiedrībā vajadzīgi un samērīgi pasākumi, lai aizsargātu svarīgus publisko interešu mērķus;</w:t>
      </w:r>
    </w:p>
    <w:p w:rsidR="003E022D" w:rsidRDefault="007D19D6">
      <w:pPr>
        <w:numPr>
          <w:ilvl w:val="0"/>
          <w:numId w:val="120"/>
        </w:numPr>
        <w:ind w:left="567" w:hanging="567"/>
        <w:rPr>
          <w:rFonts w:cstheme="minorHAnsi"/>
          <w:noProof/>
          <w:lang w:val="fr-BE"/>
        </w:rPr>
      </w:pPr>
      <w:r>
        <w:rPr>
          <w:noProof/>
          <w:lang w:val="fr-BE"/>
        </w:rPr>
        <w:t>datu aizsardzības pārkāpuma gadījumā, kuri rada ri</w:t>
      </w:r>
      <w:r>
        <w:rPr>
          <w:noProof/>
          <w:lang w:val="fr-BE"/>
        </w:rPr>
        <w:t>sku fizisku personu tiesībām un brīvībām, kompetentajai uzraudzības iestādei bez nepamatotas kavēšanās tiek paziņots par pārkāpumu; ja pārkāpums varētu radīt augstu risku fizisku personu tiesībām un brīvībām, tiek informēti arī datu subjekti, piemērojot ie</w:t>
      </w:r>
      <w:r>
        <w:rPr>
          <w:noProof/>
          <w:lang w:val="fr-BE"/>
        </w:rPr>
        <w:t>spējamus likumā paredzētus ierobežojumus, kas ir demokrātiskā sabiedrībā vajadzīgi un samērīgi pasākumi, lai aizsargātu svarīgus publisko interešu mērķus;</w:t>
      </w:r>
    </w:p>
    <w:p w:rsidR="003E022D" w:rsidRDefault="007D19D6">
      <w:pPr>
        <w:numPr>
          <w:ilvl w:val="0"/>
          <w:numId w:val="120"/>
        </w:numPr>
        <w:ind w:left="567" w:hanging="567"/>
        <w:rPr>
          <w:rFonts w:cstheme="minorHAnsi"/>
          <w:noProof/>
          <w:lang w:val="fr-BE"/>
        </w:rPr>
      </w:pPr>
      <w:r>
        <w:rPr>
          <w:noProof/>
          <w:lang w:val="fr-BE"/>
        </w:rPr>
        <w:t>datu tālāka nosūtīšana uz trešo valsti ir atļauta tikai, ievērojot nosūtīšanai atbilstošus nosacījumu</w:t>
      </w:r>
      <w:r>
        <w:rPr>
          <w:noProof/>
          <w:lang w:val="fr-BE"/>
        </w:rPr>
        <w:t>s un pasākumus, kas nodrošina to, ka netiek apdraudēts aizsardzības līmenis;</w:t>
      </w:r>
    </w:p>
    <w:p w:rsidR="003E022D" w:rsidRDefault="007D19D6">
      <w:pPr>
        <w:numPr>
          <w:ilvl w:val="0"/>
          <w:numId w:val="120"/>
        </w:numPr>
        <w:ind w:left="567" w:hanging="567"/>
        <w:rPr>
          <w:rFonts w:cstheme="minorHAnsi"/>
          <w:noProof/>
          <w:lang w:val="fr-BE"/>
        </w:rPr>
      </w:pPr>
      <w:r>
        <w:rPr>
          <w:noProof/>
          <w:lang w:val="fr-BE"/>
        </w:rPr>
        <w:t>datu aizsardzības pasākumu ievērošanas uzraudzību un datu aizsardzības pasākumu izpildi nodrošina neatkarīgas iestādes; un</w:t>
      </w:r>
    </w:p>
    <w:p w:rsidR="003E022D" w:rsidRDefault="007D19D6">
      <w:pPr>
        <w:numPr>
          <w:ilvl w:val="0"/>
          <w:numId w:val="120"/>
        </w:numPr>
        <w:ind w:left="567" w:hanging="567"/>
        <w:rPr>
          <w:rFonts w:cstheme="minorHAnsi"/>
          <w:noProof/>
          <w:lang w:val="fr-BE"/>
        </w:rPr>
      </w:pPr>
      <w:r>
        <w:rPr>
          <w:noProof/>
          <w:lang w:val="fr-BE"/>
        </w:rPr>
        <w:t>datu subjektiem ir piešķirtas īstenojamas tiesības uz ef</w:t>
      </w:r>
      <w:r>
        <w:rPr>
          <w:noProof/>
          <w:lang w:val="fr-BE"/>
        </w:rPr>
        <w:t>ektīvu aizsardzību administratīvā kārtā vai tiesā gadījumos, kad ir pārkāpti datu aizsardzības pasākumi.</w:t>
      </w:r>
    </w:p>
    <w:p w:rsidR="003E022D" w:rsidRDefault="007D19D6">
      <w:pPr>
        <w:numPr>
          <w:ilvl w:val="0"/>
          <w:numId w:val="1"/>
        </w:numPr>
        <w:ind w:left="0" w:firstLine="0"/>
        <w:rPr>
          <w:rFonts w:cstheme="minorHAnsi"/>
          <w:noProof/>
        </w:rPr>
      </w:pPr>
      <w:r>
        <w:rPr>
          <w:noProof/>
          <w:lang w:val="fr-BE"/>
        </w:rPr>
        <w:t>Apvienotā Karaliste, no vienas puses, un Savienība, darbojoties arī jebkuras tās dalībvalsts uzdevumā, no otras puses, paziņo Specializētajai komitejai</w:t>
      </w:r>
      <w:r>
        <w:rPr>
          <w:noProof/>
          <w:lang w:val="fr-BE"/>
        </w:rPr>
        <w:t xml:space="preserve"> tiesībaizsardzības un tiesu iestāžu sadarbības jomā uzraudzības iestādes, kuras atbildīgas par to, ka tiek pārraudzīta to datu aizsardzības noteikumu īstenošana un nodrošināta atbilstība tiem, kuri piemērojami sadarbībai saskaņā ar šo daļu. </w:t>
      </w:r>
      <w:r>
        <w:rPr>
          <w:noProof/>
        </w:rPr>
        <w:t>Uzraudzības ie</w:t>
      </w:r>
      <w:r>
        <w:rPr>
          <w:noProof/>
        </w:rPr>
        <w:t>stādes sadarbojas, lai nodrošinātu atbilstību šai daļai.</w:t>
      </w:r>
    </w:p>
    <w:p w:rsidR="003E022D" w:rsidRDefault="007D19D6">
      <w:pPr>
        <w:numPr>
          <w:ilvl w:val="0"/>
          <w:numId w:val="1"/>
        </w:numPr>
        <w:ind w:left="0" w:firstLine="0"/>
        <w:rPr>
          <w:rFonts w:cstheme="minorHAnsi"/>
          <w:noProof/>
        </w:rPr>
      </w:pPr>
      <w:r>
        <w:rPr>
          <w:noProof/>
        </w:rPr>
        <w:t xml:space="preserve">Šajā </w:t>
      </w:r>
      <w:bookmarkStart w:id="252" w:name="_Hlk54429065"/>
      <w:r>
        <w:rPr>
          <w:noProof/>
        </w:rPr>
        <w:t>daļā</w:t>
      </w:r>
      <w:bookmarkEnd w:id="252"/>
      <w:r>
        <w:rPr>
          <w:noProof/>
        </w:rPr>
        <w:t xml:space="preserve"> izklāstītos noteikumus par personas datu aizsardzību piemēro personas datu apstrādei, kas pilnībā vai daļēji veikta ar automatizētiem līdzekļiem, un tādu personas datu apstrādei, kuri veido</w:t>
      </w:r>
      <w:r>
        <w:rPr>
          <w:noProof/>
        </w:rPr>
        <w:t xml:space="preserve"> daļu no kartotēkas vai ir paredzēti, lai veidotu daļu no kartotēkas, ja apstrādi neveic ar automatizētiem līdzekļiem.</w:t>
      </w:r>
    </w:p>
    <w:p w:rsidR="003E022D" w:rsidRDefault="007D19D6">
      <w:pPr>
        <w:numPr>
          <w:ilvl w:val="0"/>
          <w:numId w:val="1"/>
        </w:numPr>
        <w:ind w:left="0" w:firstLine="0"/>
        <w:rPr>
          <w:rFonts w:cstheme="minorHAnsi"/>
          <w:noProof/>
        </w:rPr>
      </w:pPr>
      <w:r>
        <w:rPr>
          <w:noProof/>
        </w:rPr>
        <w:t>Šis pants neskar jebkādu īpašu šīs daļas noteikumu piemērošanu attiecībā uz personas datu apstrādi.</w:t>
      </w:r>
    </w:p>
    <w:p w:rsidR="003E022D" w:rsidRDefault="007D19D6">
      <w:pPr>
        <w:pStyle w:val="Article"/>
        <w:rPr>
          <w:noProof/>
        </w:rPr>
      </w:pPr>
      <w:bookmarkStart w:id="253" w:name="_Toc58920210"/>
      <w:r>
        <w:rPr>
          <w:noProof/>
        </w:rPr>
        <w:t>LAW.GEN.5. pants. Sadarbības tvērums,</w:t>
      </w:r>
      <w:r>
        <w:rPr>
          <w:noProof/>
        </w:rPr>
        <w:t xml:space="preserve"> ja kāda dalībvalsts vairs nepiedalās analogos pasākumos saskaņā ar Savienības tiesībām</w:t>
      </w:r>
      <w:bookmarkEnd w:id="253"/>
    </w:p>
    <w:p w:rsidR="003E022D" w:rsidRDefault="007D19D6">
      <w:pPr>
        <w:numPr>
          <w:ilvl w:val="0"/>
          <w:numId w:val="5"/>
        </w:numPr>
        <w:ind w:left="0" w:firstLine="0"/>
        <w:rPr>
          <w:rFonts w:cstheme="minorHAnsi"/>
          <w:noProof/>
        </w:rPr>
      </w:pPr>
      <w:r>
        <w:rPr>
          <w:noProof/>
        </w:rPr>
        <w:t>Šo pantu piemēro gadījumos, kad kāda dalībvalsts pārtrauc piedalīties to Savienības tiesību aktu noteikumu īstenošanā vai izmantot to sniegtās tiesības saistībā ar ties</w:t>
      </w:r>
      <w:r>
        <w:rPr>
          <w:noProof/>
        </w:rPr>
        <w:t>ībaizsardzību un tiesu iestāžu sadarbību krimināllietās, kas ir analogi jebkuriem šīs daļas attiecīgajiem noteikumiem.</w:t>
      </w:r>
    </w:p>
    <w:p w:rsidR="003E022D" w:rsidRDefault="007D19D6">
      <w:pPr>
        <w:numPr>
          <w:ilvl w:val="0"/>
          <w:numId w:val="5"/>
        </w:numPr>
        <w:ind w:left="0" w:firstLine="0"/>
        <w:rPr>
          <w:rFonts w:cstheme="minorHAnsi"/>
          <w:noProof/>
        </w:rPr>
      </w:pPr>
      <w:r>
        <w:rPr>
          <w:noProof/>
        </w:rPr>
        <w:t>Apvienotā Karaliste var rakstiski paziņot Savienībai par savu nodomu pārtraukt šīs daļas attiecīgo noteikumu piemērošanu attiecībā uz min</w:t>
      </w:r>
      <w:r>
        <w:rPr>
          <w:noProof/>
        </w:rPr>
        <w:t>ēto dalībvalsti.</w:t>
      </w:r>
    </w:p>
    <w:p w:rsidR="003E022D" w:rsidRDefault="007D19D6">
      <w:pPr>
        <w:numPr>
          <w:ilvl w:val="0"/>
          <w:numId w:val="5"/>
        </w:numPr>
        <w:ind w:left="0" w:firstLine="0"/>
        <w:rPr>
          <w:rFonts w:cstheme="minorHAnsi"/>
          <w:noProof/>
        </w:rPr>
      </w:pPr>
      <w:r>
        <w:rPr>
          <w:noProof/>
        </w:rPr>
        <w:t>Saskaņā ar 2. punktu sniegts paziņojums stājas spēkā tajā norādītajā dienā, kas nav agrāk par dienu, kurā dalībvalsts beidz piedalīties 1. punktā minēto Savienības tiesību aktu noteikumu īstenošanā vai izmantot to sniegtās tiesības.</w:t>
      </w:r>
    </w:p>
    <w:p w:rsidR="003E022D" w:rsidRDefault="007D19D6">
      <w:pPr>
        <w:numPr>
          <w:ilvl w:val="0"/>
          <w:numId w:val="5"/>
        </w:numPr>
        <w:ind w:left="0" w:firstLine="0"/>
        <w:rPr>
          <w:rFonts w:cstheme="minorHAnsi"/>
          <w:noProof/>
        </w:rPr>
      </w:pPr>
      <w:r>
        <w:rPr>
          <w:noProof/>
        </w:rPr>
        <w:t>Ja Apv</w:t>
      </w:r>
      <w:r>
        <w:rPr>
          <w:noProof/>
        </w:rPr>
        <w:t>ienotā Karaliste saskaņā ar šo pantu paziņo par savu nodomu pārtraukt šīs daļas attiecīgo noteikumu piemērošanu, Specializētā komiteja tiesībaizsardzības un tiesu iestāžu sadarbības jomā tiekas, lai lemtu par to, kādi pasākumi ir vajadzīgi, lai nodrošinātu</w:t>
      </w:r>
      <w:r>
        <w:rPr>
          <w:noProof/>
        </w:rPr>
        <w:t>, ka jebkura saskaņā ar šo daļu uzsāktā sadarbība, ko ietekmē pārtraukšana, tiek pienācīgi pabeigta. Jebkurā gadījumā attiecībā uz visiem personas datiem, kas iegūti sadarbībā saskaņā ar šīs daļas attiecīgajiem noteikumiem pirms to piemērošanas pārtraukšan</w:t>
      </w:r>
      <w:r>
        <w:rPr>
          <w:noProof/>
        </w:rPr>
        <w:t>as, Puses nodrošina, ka pēc piemērošanas izbeigšanas tiek saglabāts aizsardzības līmenis, atbilstoši kuram personas dati tika nosūtīti.</w:t>
      </w:r>
    </w:p>
    <w:p w:rsidR="003E022D" w:rsidRDefault="007D19D6">
      <w:pPr>
        <w:numPr>
          <w:ilvl w:val="0"/>
          <w:numId w:val="5"/>
        </w:numPr>
        <w:ind w:left="0" w:firstLine="0"/>
        <w:rPr>
          <w:rFonts w:cstheme="minorHAnsi"/>
          <w:noProof/>
        </w:rPr>
      </w:pPr>
      <w:r>
        <w:rPr>
          <w:noProof/>
        </w:rPr>
        <w:t>Savienība, izmantojot diplomātiskos kanālus, rakstiski paziņo Apvienotajai Karalistei dienu, kad dalībvalsts atsāks pied</w:t>
      </w:r>
      <w:r>
        <w:rPr>
          <w:noProof/>
        </w:rPr>
        <w:t>alīties konkrēto Savienības tiesību aktu noteikumu īstenošanā vai izmantot to sniegtās tiesības. Attiecīgo šīs daļas noteikumu piemērošanu atsāk minētajā dienā vai vēlāk tā mēneša pirmajā dienā, kurš seko paziņojuma sniegšanas dienai.</w:t>
      </w:r>
    </w:p>
    <w:p w:rsidR="003E022D" w:rsidRDefault="007D19D6">
      <w:pPr>
        <w:numPr>
          <w:ilvl w:val="0"/>
          <w:numId w:val="5"/>
        </w:numPr>
        <w:ind w:left="0" w:firstLine="0"/>
        <w:rPr>
          <w:rFonts w:cstheme="minorHAnsi"/>
          <w:noProof/>
        </w:rPr>
      </w:pPr>
      <w:r>
        <w:rPr>
          <w:noProof/>
        </w:rPr>
        <w:t>Lai atvieglotu šā pan</w:t>
      </w:r>
      <w:r>
        <w:rPr>
          <w:noProof/>
        </w:rPr>
        <w:t>ta piemērošanu, Savienība informē Apvienoto Karalisti gadījumos, kad kāda dalībvalsts pārtrauc piedalīties to Savienības tiesību aktu noteikumu īstenošanā vai izmantot to sniegtās tiesības saistībā ar tiesībaizsardzību un tiesu iestāžu sadarbību kriminālli</w:t>
      </w:r>
      <w:r>
        <w:rPr>
          <w:noProof/>
        </w:rPr>
        <w:t>etās, kas ir analogi šīs daļas attiecīgajiem noteikumiem.</w:t>
      </w:r>
    </w:p>
    <w:p w:rsidR="003E022D" w:rsidRDefault="007D19D6">
      <w:pPr>
        <w:pStyle w:val="Title1"/>
        <w:rPr>
          <w:noProof/>
        </w:rPr>
      </w:pPr>
      <w:bookmarkStart w:id="254" w:name="_Toc57809456"/>
      <w:bookmarkStart w:id="255" w:name="_Toc58920211"/>
      <w:bookmarkStart w:id="256" w:name="_Toc58949196"/>
      <w:bookmarkStart w:id="257" w:name="_Toc59472711"/>
      <w:bookmarkStart w:id="258" w:name="_Toc59988363"/>
      <w:r>
        <w:rPr>
          <w:noProof/>
        </w:rPr>
        <w:t>II sadaļa. Apmaiņa ar DNS, pirkstu nospiedumu un transportlīdzekļu reģistrācijas datiem</w:t>
      </w:r>
      <w:bookmarkEnd w:id="254"/>
      <w:bookmarkEnd w:id="255"/>
      <w:bookmarkEnd w:id="256"/>
      <w:bookmarkEnd w:id="257"/>
      <w:bookmarkEnd w:id="258"/>
      <w:r>
        <w:rPr>
          <w:noProof/>
        </w:rPr>
        <w:t xml:space="preserve"> </w:t>
      </w:r>
    </w:p>
    <w:p w:rsidR="003E022D" w:rsidRDefault="007D19D6">
      <w:pPr>
        <w:pStyle w:val="Article"/>
        <w:rPr>
          <w:noProof/>
        </w:rPr>
      </w:pPr>
      <w:bookmarkStart w:id="259" w:name="_Toc29895910"/>
      <w:bookmarkStart w:id="260" w:name="_Toc58920212"/>
      <w:r>
        <w:rPr>
          <w:noProof/>
        </w:rPr>
        <w:t>LAW.PRUM.5. pants.</w:t>
      </w:r>
      <w:bookmarkEnd w:id="259"/>
      <w:r>
        <w:rPr>
          <w:noProof/>
        </w:rPr>
        <w:t xml:space="preserve"> Mērķis</w:t>
      </w:r>
      <w:bookmarkEnd w:id="260"/>
    </w:p>
    <w:p w:rsidR="003E022D" w:rsidRDefault="007D19D6">
      <w:pPr>
        <w:rPr>
          <w:rFonts w:cstheme="minorHAnsi"/>
          <w:noProof/>
        </w:rPr>
      </w:pPr>
      <w:r>
        <w:rPr>
          <w:noProof/>
        </w:rPr>
        <w:t>Šīs sadaļas mērķis ir izveidot savstarpēju sadarbību starp Apvienotās Karalistes, n</w:t>
      </w:r>
      <w:r>
        <w:rPr>
          <w:noProof/>
        </w:rPr>
        <w:t>o vienas puses, un dalībvalstu, no otras puses, kompetentajām tiesībaizsardzības iestādēm automatizētai DNS profilu, daktiloskopisko datu un konkrētu iekšzemes transportlīdzekļu reģistrācijas datu nosūtīšanai.</w:t>
      </w:r>
    </w:p>
    <w:p w:rsidR="003E022D" w:rsidRDefault="007D19D6">
      <w:pPr>
        <w:pStyle w:val="Article"/>
        <w:rPr>
          <w:noProof/>
        </w:rPr>
      </w:pPr>
      <w:bookmarkStart w:id="261" w:name="_Toc58920213"/>
      <w:r>
        <w:rPr>
          <w:noProof/>
        </w:rPr>
        <w:t>LAW.PRUM.6. pants. Definīcijas</w:t>
      </w:r>
      <w:bookmarkEnd w:id="261"/>
    </w:p>
    <w:p w:rsidR="003E022D" w:rsidRDefault="007D19D6">
      <w:pPr>
        <w:rPr>
          <w:rFonts w:cstheme="minorHAnsi"/>
          <w:noProof/>
        </w:rPr>
      </w:pPr>
      <w:r>
        <w:rPr>
          <w:noProof/>
        </w:rPr>
        <w:t>Šajā sadaļā pie</w:t>
      </w:r>
      <w:r>
        <w:rPr>
          <w:noProof/>
        </w:rPr>
        <w:t>mēro šādas definīcijas:</w:t>
      </w:r>
    </w:p>
    <w:p w:rsidR="003E022D" w:rsidRDefault="007D19D6">
      <w:pPr>
        <w:numPr>
          <w:ilvl w:val="1"/>
          <w:numId w:val="7"/>
        </w:numPr>
        <w:ind w:left="567" w:hanging="567"/>
        <w:rPr>
          <w:rFonts w:cstheme="minorHAnsi"/>
          <w:noProof/>
        </w:rPr>
      </w:pPr>
      <w:r>
        <w:rPr>
          <w:noProof/>
        </w:rPr>
        <w:t>“kompetenta tiesībaizsardzības iestāde" ir iekšzemes policija, muita vai cita iestāde, kura ar iekšzemes tiesību aktiem ir pilnvarota konstatēt, novērst un izmeklēt nodarījumus vai noziedzīgas darbības, kā arī īstenot varu un izmant</w:t>
      </w:r>
      <w:r>
        <w:rPr>
          <w:noProof/>
        </w:rPr>
        <w:t>ot piespiedu līdzekļus saistībā ar tādām darbībām; šajā sadaļā aģentūras, struktūras vai citas vienības, kas īpaši nodarbojas ar valsts drošības jautājumiem, nav kompetentās tiesībaizsardzības iestādes;</w:t>
      </w:r>
    </w:p>
    <w:p w:rsidR="003E022D" w:rsidRDefault="007D19D6">
      <w:pPr>
        <w:numPr>
          <w:ilvl w:val="1"/>
          <w:numId w:val="7"/>
        </w:numPr>
        <w:ind w:left="567" w:hanging="567"/>
        <w:rPr>
          <w:rFonts w:cstheme="minorHAnsi"/>
          <w:noProof/>
        </w:rPr>
      </w:pPr>
      <w:r>
        <w:rPr>
          <w:noProof/>
        </w:rPr>
        <w:t xml:space="preserve">"meklēšana" un "salīdzināšana", kā noteikts </w:t>
      </w:r>
      <w:r>
        <w:rPr>
          <w:noProof/>
          <w:u w:color="000000"/>
        </w:rPr>
        <w:t>LAW.PRUM.</w:t>
      </w:r>
      <w:r>
        <w:rPr>
          <w:noProof/>
          <w:u w:color="000000"/>
        </w:rPr>
        <w:t>8. pantā [Automatizēta DNS profilu meklēšana]</w:t>
      </w:r>
      <w:r>
        <w:rPr>
          <w:noProof/>
        </w:rPr>
        <w:t xml:space="preserve">, </w:t>
      </w:r>
      <w:r>
        <w:rPr>
          <w:noProof/>
          <w:u w:color="000000"/>
        </w:rPr>
        <w:t>LAW.PRUM.9. pantā [Automatizēta DNS profilu salīdzināšana]</w:t>
      </w:r>
      <w:r>
        <w:rPr>
          <w:noProof/>
        </w:rPr>
        <w:t xml:space="preserve">, </w:t>
      </w:r>
      <w:r>
        <w:rPr>
          <w:noProof/>
          <w:u w:color="000000"/>
        </w:rPr>
        <w:t>LAW.PRUM.12. pantā [Automatizēta daktiloskopisko datu meklēšana]</w:t>
      </w:r>
      <w:r>
        <w:rPr>
          <w:noProof/>
        </w:rPr>
        <w:t xml:space="preserve"> un </w:t>
      </w:r>
      <w:r>
        <w:rPr>
          <w:noProof/>
          <w:u w:color="000000"/>
        </w:rPr>
        <w:t>LAW.PRUM.17. pantā [Īstenošanas pasākumi]</w:t>
      </w:r>
      <w:r>
        <w:rPr>
          <w:noProof/>
        </w:rPr>
        <w:t>, ir procedūras, lai attiecīgi noskaidro</w:t>
      </w:r>
      <w:r>
        <w:rPr>
          <w:noProof/>
        </w:rPr>
        <w:t>tu, vai DNS dati vai daktiloskopiskie dati, ko viena dalībvalsts ir darījusi zināmus, attiecīgi saskan ar DNS datiem vai daktiloskopiskajiem datiem, kas glabājas kādas valsts, vairāku valstu vai visu pārējo valstu datubāzēs;</w:t>
      </w:r>
    </w:p>
    <w:p w:rsidR="003E022D" w:rsidRDefault="007D19D6">
      <w:pPr>
        <w:numPr>
          <w:ilvl w:val="1"/>
          <w:numId w:val="7"/>
        </w:numPr>
        <w:ind w:left="567" w:hanging="567"/>
        <w:rPr>
          <w:rFonts w:cstheme="minorHAnsi"/>
          <w:noProof/>
        </w:rPr>
      </w:pPr>
      <w:r>
        <w:rPr>
          <w:noProof/>
        </w:rPr>
        <w:t>“automatizēta meklēšana”, kā no</w:t>
      </w:r>
      <w:r>
        <w:rPr>
          <w:noProof/>
        </w:rPr>
        <w:t xml:space="preserve">teikts </w:t>
      </w:r>
      <w:r>
        <w:rPr>
          <w:noProof/>
          <w:u w:color="000000"/>
        </w:rPr>
        <w:t>LAW.PRUM.15. pantā [Automatizēta transportlīdzekļu reģistrācijas datu meklēšana]</w:t>
      </w:r>
      <w:r>
        <w:rPr>
          <w:noProof/>
        </w:rPr>
        <w:t>, ir tiešsaistes piekļuves procedūra datu meklēšanai vienas, vairāku vai visu pārējo valstu datubāzēs;</w:t>
      </w:r>
    </w:p>
    <w:p w:rsidR="003E022D" w:rsidRDefault="007D19D6">
      <w:pPr>
        <w:numPr>
          <w:ilvl w:val="1"/>
          <w:numId w:val="7"/>
        </w:numPr>
        <w:ind w:left="567" w:hanging="567"/>
        <w:rPr>
          <w:rFonts w:cstheme="minorHAnsi"/>
          <w:noProof/>
        </w:rPr>
      </w:pPr>
      <w:r>
        <w:rPr>
          <w:noProof/>
        </w:rPr>
        <w:t>“DNS nekodētā daļa” ir tās hromosomu daļas, kurās nav ģenētiskas i</w:t>
      </w:r>
      <w:r>
        <w:rPr>
          <w:noProof/>
        </w:rPr>
        <w:t>nformācijas, t. i., par ko nav zināms, ka tajās būtu informācija par funkcionālām organisma īpašībām;</w:t>
      </w:r>
    </w:p>
    <w:p w:rsidR="003E022D" w:rsidRDefault="007D19D6">
      <w:pPr>
        <w:numPr>
          <w:ilvl w:val="1"/>
          <w:numId w:val="7"/>
        </w:numPr>
        <w:ind w:left="567" w:hanging="567"/>
        <w:rPr>
          <w:rFonts w:cstheme="minorHAnsi"/>
          <w:noProof/>
        </w:rPr>
      </w:pPr>
      <w:r>
        <w:rPr>
          <w:noProof/>
        </w:rPr>
        <w:t>"DNS profils " ir burtu vai ciparu kods, kurā ir atveidots analizētā cilvēka DNS parauga nekodētās daļas identifikācijas parametru komplekss, t.i., konkrē</w:t>
      </w:r>
      <w:r>
        <w:rPr>
          <w:noProof/>
        </w:rPr>
        <w:t>ta molekulu struktūra dažādās DNS vietās (loci);</w:t>
      </w:r>
    </w:p>
    <w:p w:rsidR="003E022D" w:rsidRDefault="007D19D6">
      <w:pPr>
        <w:numPr>
          <w:ilvl w:val="1"/>
          <w:numId w:val="7"/>
        </w:numPr>
        <w:ind w:left="567" w:hanging="567"/>
        <w:rPr>
          <w:rFonts w:eastAsia="Times New Roman" w:cstheme="minorHAnsi"/>
          <w:noProof/>
        </w:rPr>
      </w:pPr>
      <w:r>
        <w:rPr>
          <w:noProof/>
        </w:rPr>
        <w:t>“DNS atsauces dati” ir DNS profils un atsauces numurs; DNS atsauces datos ietilpst vienīgi DNS profili, ko veido to DNS nekodētā daļa un atsauces numurs; DNS atsauces datos neietilpst dati, pēc kuriem var ti</w:t>
      </w:r>
      <w:r>
        <w:rPr>
          <w:noProof/>
        </w:rPr>
        <w:t>eši noteikt datu subjektu; DNS atsauces dati, kas nav saistīti ar konkrētu fizisku personu (“neidentificēti DNS profili”), ir atpazīstami kā tādi.</w:t>
      </w:r>
    </w:p>
    <w:p w:rsidR="003E022D" w:rsidRDefault="007D19D6">
      <w:pPr>
        <w:numPr>
          <w:ilvl w:val="1"/>
          <w:numId w:val="7"/>
        </w:numPr>
        <w:ind w:left="567" w:hanging="567"/>
        <w:rPr>
          <w:rFonts w:eastAsia="Times New Roman" w:cstheme="minorHAnsi"/>
          <w:noProof/>
          <w:lang w:val="fr-BE"/>
        </w:rPr>
      </w:pPr>
      <w:r>
        <w:rPr>
          <w:noProof/>
          <w:lang w:val="fr-BE"/>
        </w:rPr>
        <w:t>“atsauces DNS profils” ir identificētas personas DNS profils;</w:t>
      </w:r>
    </w:p>
    <w:p w:rsidR="003E022D" w:rsidRDefault="007D19D6">
      <w:pPr>
        <w:numPr>
          <w:ilvl w:val="1"/>
          <w:numId w:val="7"/>
        </w:numPr>
        <w:ind w:left="567" w:hanging="567"/>
        <w:rPr>
          <w:rFonts w:eastAsia="Times New Roman" w:cstheme="minorHAnsi"/>
          <w:noProof/>
          <w:lang w:val="fr-BE"/>
        </w:rPr>
      </w:pPr>
      <w:r>
        <w:rPr>
          <w:noProof/>
          <w:lang w:val="fr-BE"/>
        </w:rPr>
        <w:t>“neidentificēts DNS profils” ir DNS profils, ko</w:t>
      </w:r>
      <w:r>
        <w:rPr>
          <w:noProof/>
          <w:lang w:val="fr-BE"/>
        </w:rPr>
        <w:t xml:space="preserve"> iegūst no lietiskiem pierādījumiem, kuri ir iegūti, izmeklējot noziedzīgus nodarījumus, un kas ir raksturīgs kādai vēl neidentificētai personai;</w:t>
      </w:r>
    </w:p>
    <w:p w:rsidR="003E022D" w:rsidRDefault="007D19D6">
      <w:pPr>
        <w:numPr>
          <w:ilvl w:val="1"/>
          <w:numId w:val="7"/>
        </w:numPr>
        <w:ind w:left="567" w:hanging="567"/>
        <w:rPr>
          <w:rFonts w:cstheme="minorHAnsi"/>
          <w:noProof/>
          <w:lang w:val="fr-BE"/>
        </w:rPr>
      </w:pPr>
      <w:r>
        <w:rPr>
          <w:noProof/>
          <w:lang w:val="fr-BE"/>
        </w:rPr>
        <w:t>“atzīme” ir valsts izdarīts marķējums kādā DNS profilā, kas atrodas tās iekšzemes datubāzē, tāpēc, ka ir atras</w:t>
      </w:r>
      <w:r>
        <w:rPr>
          <w:noProof/>
          <w:lang w:val="fr-BE"/>
        </w:rPr>
        <w:t>ta konkrētā DNS profila atbilsme kādas citas valsts meklētos vai salīdzinātos datos;</w:t>
      </w:r>
    </w:p>
    <w:p w:rsidR="003E022D" w:rsidRDefault="007D19D6">
      <w:pPr>
        <w:numPr>
          <w:ilvl w:val="1"/>
          <w:numId w:val="7"/>
        </w:numPr>
        <w:ind w:left="567" w:hanging="567"/>
        <w:rPr>
          <w:rFonts w:eastAsia="Times New Roman" w:cstheme="minorHAnsi"/>
          <w:noProof/>
          <w:lang w:val="fr-BE"/>
        </w:rPr>
      </w:pPr>
      <w:r>
        <w:rPr>
          <w:noProof/>
          <w:lang w:val="fr-BE"/>
        </w:rPr>
        <w:t>“daktiloskopiskie dati” ir pirkstu nospiedumu attēli, latentu pirkstu nospiedumu attēli, plaukstu nospiedumi, latentu plaukstu nospiedumu attēli, kā arī tādu attēlu šablon</w:t>
      </w:r>
      <w:r>
        <w:rPr>
          <w:noProof/>
          <w:lang w:val="fr-BE"/>
        </w:rPr>
        <w:t>i (kodēti), kas glabājas automatizētās datubāzēs un ar ko tajās darbojas;</w:t>
      </w:r>
    </w:p>
    <w:p w:rsidR="003E022D" w:rsidRDefault="007D19D6">
      <w:pPr>
        <w:numPr>
          <w:ilvl w:val="1"/>
          <w:numId w:val="7"/>
        </w:numPr>
        <w:ind w:left="567" w:hanging="567"/>
        <w:rPr>
          <w:rFonts w:eastAsia="Times New Roman" w:cstheme="minorHAnsi"/>
          <w:noProof/>
          <w:lang w:val="fr-BE"/>
        </w:rPr>
      </w:pPr>
      <w:r>
        <w:rPr>
          <w:noProof/>
          <w:lang w:val="fr-BE"/>
        </w:rPr>
        <w:t>“daktiloskopiskie atsauces dati” ir daktiloskopiskie dati un atsauces numurs; daktiloskopiskajos atsauces datos neietilpst dati, pēc kuriem var tieši noteikt datu subjektu; daktilosk</w:t>
      </w:r>
      <w:r>
        <w:rPr>
          <w:noProof/>
          <w:lang w:val="fr-BE"/>
        </w:rPr>
        <w:t xml:space="preserve">opiskie atsauces dati, kas nav saistīti ar konkrētu fizisku personu (“neidentificēti daktiloskopiskie dati”), ir atpazīstami kā tādi; </w:t>
      </w:r>
    </w:p>
    <w:p w:rsidR="003E022D" w:rsidRDefault="007D19D6">
      <w:pPr>
        <w:numPr>
          <w:ilvl w:val="1"/>
          <w:numId w:val="7"/>
        </w:numPr>
        <w:ind w:left="567" w:hanging="567"/>
        <w:rPr>
          <w:rFonts w:cstheme="minorHAnsi"/>
          <w:noProof/>
        </w:rPr>
      </w:pPr>
      <w:r>
        <w:rPr>
          <w:noProof/>
          <w:lang w:val="fr-BE"/>
        </w:rPr>
        <w:t>“transportlīdzekļu reģistrācijas dati” ir datu kopums, kas aprakstīts</w:t>
      </w:r>
      <w:r>
        <w:rPr>
          <w:noProof/>
          <w:u w:color="000000"/>
          <w:lang w:val="fr-BE"/>
        </w:rPr>
        <w:t xml:space="preserve"> LAW-1. </w:t>
      </w:r>
      <w:r>
        <w:rPr>
          <w:noProof/>
          <w:u w:color="000000"/>
        </w:rPr>
        <w:t>PIELIKUMA 3. nodaļā</w:t>
      </w:r>
      <w:r>
        <w:rPr>
          <w:noProof/>
        </w:rPr>
        <w:t>;</w:t>
      </w:r>
    </w:p>
    <w:p w:rsidR="003E022D" w:rsidRDefault="007D19D6">
      <w:pPr>
        <w:numPr>
          <w:ilvl w:val="1"/>
          <w:numId w:val="7"/>
        </w:numPr>
        <w:ind w:left="567" w:hanging="567"/>
        <w:rPr>
          <w:rFonts w:cstheme="minorHAnsi"/>
          <w:noProof/>
        </w:rPr>
      </w:pPr>
      <w:r>
        <w:rPr>
          <w:noProof/>
        </w:rPr>
        <w:t>"konkrēta lieta", kā mi</w:t>
      </w:r>
      <w:r>
        <w:rPr>
          <w:noProof/>
        </w:rPr>
        <w:t xml:space="preserve">nēts </w:t>
      </w:r>
      <w:r>
        <w:rPr>
          <w:noProof/>
          <w:u w:color="000000"/>
        </w:rPr>
        <w:t>LAW.PRUM.8. panta [Automatizēta DNS profilu meklēšana]</w:t>
      </w:r>
      <w:r>
        <w:rPr>
          <w:noProof/>
        </w:rPr>
        <w:t xml:space="preserve"> 1. punkta otrajā teikumā, </w:t>
      </w:r>
      <w:r>
        <w:rPr>
          <w:noProof/>
          <w:u w:color="000000"/>
        </w:rPr>
        <w:t>LAW.PRUM.12. panta [Automatizēta daktiloskopisko datu meklēšana]</w:t>
      </w:r>
      <w:r>
        <w:rPr>
          <w:noProof/>
        </w:rPr>
        <w:t xml:space="preserve"> 1. punkta otrajā teikumā un </w:t>
      </w:r>
      <w:r>
        <w:rPr>
          <w:noProof/>
          <w:u w:color="000000"/>
        </w:rPr>
        <w:t>LAW.PRUM.15. panta [Automatizēta transportlīdzekļu reģistrācijas datu meklēša</w:t>
      </w:r>
      <w:r>
        <w:rPr>
          <w:noProof/>
          <w:u w:color="000000"/>
        </w:rPr>
        <w:t>na]</w:t>
      </w:r>
      <w:r>
        <w:rPr>
          <w:noProof/>
        </w:rPr>
        <w:t xml:space="preserve"> 1. punktā, ir konkrētas, saistībā ar izmeklēšanu vai kriminālvajāšanu izmeklējamas lietas. Ja lietā ir vairāk nekā viens DNS profils, vairāk nekā viena daktiloskopisko datu vienība vai vairāk nekā viena transportlīdzekļa reģistrācijas datu vienība, tos</w:t>
      </w:r>
      <w:r>
        <w:rPr>
          <w:noProof/>
        </w:rPr>
        <w:t xml:space="preserve"> var pārsūtīt kopā kā vienu pieprasījumu; </w:t>
      </w:r>
    </w:p>
    <w:p w:rsidR="003E022D" w:rsidRDefault="007D19D6">
      <w:pPr>
        <w:numPr>
          <w:ilvl w:val="1"/>
          <w:numId w:val="7"/>
        </w:numPr>
        <w:ind w:left="567" w:hanging="567"/>
        <w:rPr>
          <w:rFonts w:cstheme="minorHAnsi"/>
          <w:noProof/>
        </w:rPr>
      </w:pPr>
      <w:r>
        <w:rPr>
          <w:noProof/>
        </w:rPr>
        <w:t>"laboratorijas darbība" ir pasākumi, kas veikti laboratorijā, atrodot un atjaunojot pēdas uz priekšmetiem, kā arī izstrādājot, analizējot un interpretējot tiesu ekspertīžu pierādījumus attiecībā uz DNS profiliem u</w:t>
      </w:r>
      <w:r>
        <w:rPr>
          <w:noProof/>
        </w:rPr>
        <w:t>n daktiloskopiskajiem datiem, lai sniegtu ekspertu atzinumu vai apmainītos ar tiesu ekspertīžu pierādījumiem;</w:t>
      </w:r>
    </w:p>
    <w:p w:rsidR="003E022D" w:rsidRDefault="007D19D6">
      <w:pPr>
        <w:numPr>
          <w:ilvl w:val="1"/>
          <w:numId w:val="7"/>
        </w:numPr>
        <w:ind w:left="567" w:hanging="567"/>
        <w:rPr>
          <w:rFonts w:cstheme="minorHAnsi"/>
          <w:noProof/>
        </w:rPr>
      </w:pPr>
      <w:r>
        <w:rPr>
          <w:noProof/>
        </w:rPr>
        <w:t>“laboratorijas darbību rezultāti” ir analīžu rezultāti un ar tiem tieši saistīta interpretācija;</w:t>
      </w:r>
    </w:p>
    <w:p w:rsidR="003E022D" w:rsidRDefault="007D19D6">
      <w:pPr>
        <w:numPr>
          <w:ilvl w:val="1"/>
          <w:numId w:val="7"/>
        </w:numPr>
        <w:ind w:left="567" w:hanging="567"/>
        <w:rPr>
          <w:rFonts w:cstheme="minorHAnsi"/>
          <w:noProof/>
        </w:rPr>
      </w:pPr>
      <w:r>
        <w:rPr>
          <w:noProof/>
        </w:rPr>
        <w:t xml:space="preserve">"tiesu ekspertīžu pakalpojumu sniedzēji " ir </w:t>
      </w:r>
      <w:r>
        <w:rPr>
          <w:noProof/>
        </w:rPr>
        <w:t>visas organizācijas – publiskas vai privātas –, kas pēc kompetentu tiesībaizsardzības vai tiesu iestāžu pieprasījuma veic laboratoriju darbības;</w:t>
      </w:r>
    </w:p>
    <w:p w:rsidR="003E022D" w:rsidRDefault="007D19D6">
      <w:pPr>
        <w:numPr>
          <w:ilvl w:val="1"/>
          <w:numId w:val="7"/>
        </w:numPr>
        <w:ind w:left="567" w:hanging="567"/>
        <w:rPr>
          <w:rFonts w:cstheme="minorHAnsi"/>
          <w:noProof/>
        </w:rPr>
      </w:pPr>
      <w:r>
        <w:rPr>
          <w:noProof/>
        </w:rPr>
        <w:t>“iekšzemes akreditācijas iestāde” ir vienīgā iestāde valstī, kura veic akreditāciju, pamatojoties uz attiecīgās</w:t>
      </w:r>
      <w:r>
        <w:rPr>
          <w:noProof/>
        </w:rPr>
        <w:t xml:space="preserve"> valsts piešķirtajām pilnvarām.</w:t>
      </w:r>
    </w:p>
    <w:p w:rsidR="003E022D" w:rsidRDefault="007D19D6">
      <w:pPr>
        <w:pStyle w:val="Article"/>
        <w:rPr>
          <w:noProof/>
        </w:rPr>
      </w:pPr>
      <w:bookmarkStart w:id="262" w:name="_Ref31670154"/>
      <w:bookmarkStart w:id="263" w:name="_Toc58920214"/>
      <w:r>
        <w:rPr>
          <w:noProof/>
        </w:rPr>
        <w:t>LAW.PRUM.</w:t>
      </w:r>
      <w:bookmarkEnd w:id="262"/>
      <w:r>
        <w:rPr>
          <w:noProof/>
        </w:rPr>
        <w:t>7. pants. Iekšzemes DNS analīzes datņu izveide</w:t>
      </w:r>
      <w:bookmarkEnd w:id="263"/>
    </w:p>
    <w:p w:rsidR="003E022D" w:rsidRDefault="007D19D6">
      <w:pPr>
        <w:numPr>
          <w:ilvl w:val="6"/>
          <w:numId w:val="7"/>
        </w:numPr>
        <w:ind w:left="0" w:firstLine="0"/>
        <w:rPr>
          <w:rFonts w:eastAsia="Times New Roman" w:cstheme="minorHAnsi"/>
          <w:noProof/>
        </w:rPr>
      </w:pPr>
      <w:r>
        <w:rPr>
          <w:noProof/>
        </w:rPr>
        <w:t>Valstis izveido un uztur iekšzemes DNS analīzes datnes noziedzīgu nodarījumu izmeklēšanas vajadzībām.</w:t>
      </w:r>
    </w:p>
    <w:p w:rsidR="003E022D" w:rsidRDefault="007D19D6">
      <w:pPr>
        <w:numPr>
          <w:ilvl w:val="6"/>
          <w:numId w:val="7"/>
        </w:numPr>
        <w:ind w:left="0" w:firstLine="0"/>
        <w:rPr>
          <w:rFonts w:eastAsia="Times New Roman" w:cstheme="minorHAnsi"/>
          <w:noProof/>
        </w:rPr>
      </w:pPr>
      <w:r>
        <w:rPr>
          <w:noProof/>
        </w:rPr>
        <w:t>Šīs sadaļas īstenošanas nolūkos valstis nodrošina DNS atsauces dat</w:t>
      </w:r>
      <w:r>
        <w:rPr>
          <w:noProof/>
        </w:rPr>
        <w:t>u pieejamību no to iekšzemes DNS analīzes datnēm, kas minētas 1. punktā.</w:t>
      </w:r>
    </w:p>
    <w:p w:rsidR="003E022D" w:rsidRDefault="007D19D6">
      <w:pPr>
        <w:numPr>
          <w:ilvl w:val="6"/>
          <w:numId w:val="7"/>
        </w:numPr>
        <w:ind w:left="0" w:firstLine="0"/>
        <w:rPr>
          <w:rFonts w:eastAsia="Times New Roman" w:cstheme="minorHAnsi"/>
          <w:noProof/>
        </w:rPr>
      </w:pPr>
      <w:r>
        <w:rPr>
          <w:noProof/>
        </w:rPr>
        <w:t xml:space="preserve">Valstis paziņo iekšzemes DNS analīzes datnes, kurām piemēro </w:t>
      </w:r>
      <w:r>
        <w:rPr>
          <w:noProof/>
          <w:u w:color="000000"/>
        </w:rPr>
        <w:t>LAW.PRUM.7. pantu [Valstu DNS analīzes datņu izveide]</w:t>
      </w:r>
      <w:r>
        <w:rPr>
          <w:noProof/>
        </w:rPr>
        <w:t xml:space="preserve"> līdz </w:t>
      </w:r>
      <w:r>
        <w:rPr>
          <w:noProof/>
          <w:u w:color="000000"/>
        </w:rPr>
        <w:t>LAW.PRUM.10. pantu [Šūnu materiāla iegūšana un DNS profilu snieg</w:t>
      </w:r>
      <w:r>
        <w:rPr>
          <w:noProof/>
          <w:u w:color="000000"/>
        </w:rPr>
        <w:t>šana]</w:t>
      </w:r>
      <w:r>
        <w:rPr>
          <w:noProof/>
        </w:rPr>
        <w:t xml:space="preserve"> un </w:t>
      </w:r>
      <w:r>
        <w:rPr>
          <w:noProof/>
          <w:u w:color="000000"/>
        </w:rPr>
        <w:t>LAW.PRUM.13. pantu [Valsts kontaktpunkti]</w:t>
      </w:r>
      <w:r>
        <w:rPr>
          <w:noProof/>
        </w:rPr>
        <w:t xml:space="preserve">, </w:t>
      </w:r>
      <w:r>
        <w:rPr>
          <w:noProof/>
          <w:u w:color="000000"/>
        </w:rPr>
        <w:t>LAW.PRUM.14. pantu [Papildu personas datu un citu datu sniegšana]</w:t>
      </w:r>
      <w:r>
        <w:rPr>
          <w:noProof/>
        </w:rPr>
        <w:t xml:space="preserve"> un </w:t>
      </w:r>
      <w:r>
        <w:rPr>
          <w:noProof/>
          <w:u w:color="000000"/>
        </w:rPr>
        <w:t>LAW.PRUM.17. pantu [Īstenošanas pasākumi]</w:t>
      </w:r>
      <w:r>
        <w:rPr>
          <w:noProof/>
        </w:rPr>
        <w:t xml:space="preserve">, un </w:t>
      </w:r>
      <w:r>
        <w:rPr>
          <w:noProof/>
          <w:u w:color="000000"/>
        </w:rPr>
        <w:t>LAW.PRUM.8. panta [Automatizēta DNS profilu meklēšana] 1. punktā</w:t>
      </w:r>
      <w:r>
        <w:rPr>
          <w:noProof/>
        </w:rPr>
        <w:t xml:space="preserve"> minētās automatizētās me</w:t>
      </w:r>
      <w:r>
        <w:rPr>
          <w:noProof/>
        </w:rPr>
        <w:t>klēšanas nosacījumus.</w:t>
      </w:r>
    </w:p>
    <w:p w:rsidR="003E022D" w:rsidRDefault="007D19D6">
      <w:pPr>
        <w:pStyle w:val="Article"/>
        <w:rPr>
          <w:noProof/>
        </w:rPr>
      </w:pPr>
      <w:bookmarkStart w:id="264" w:name="_Ref31670415"/>
      <w:bookmarkStart w:id="265" w:name="_Ref31741698"/>
      <w:bookmarkStart w:id="266" w:name="_Toc58920215"/>
      <w:r>
        <w:rPr>
          <w:noProof/>
        </w:rPr>
        <w:t>LAW.PRUM.8. pants</w:t>
      </w:r>
      <w:bookmarkEnd w:id="264"/>
      <w:bookmarkEnd w:id="265"/>
      <w:r>
        <w:rPr>
          <w:noProof/>
        </w:rPr>
        <w:t>. Automatizēta DNS profilu meklēšana</w:t>
      </w:r>
      <w:bookmarkEnd w:id="266"/>
    </w:p>
    <w:p w:rsidR="003E022D" w:rsidRDefault="007D19D6">
      <w:pPr>
        <w:pStyle w:val="ListParagraph"/>
        <w:numPr>
          <w:ilvl w:val="6"/>
          <w:numId w:val="10"/>
        </w:numPr>
        <w:pBdr>
          <w:top w:val="nil"/>
          <w:left w:val="nil"/>
          <w:bottom w:val="nil"/>
          <w:right w:val="nil"/>
          <w:between w:val="nil"/>
          <w:bar w:val="nil"/>
        </w:pBdr>
        <w:spacing w:line="276" w:lineRule="auto"/>
        <w:ind w:left="0" w:firstLine="0"/>
        <w:contextualSpacing w:val="0"/>
        <w:rPr>
          <w:rFonts w:asciiTheme="minorHAnsi" w:eastAsia="Times New Roman" w:hAnsiTheme="minorHAnsi" w:cstheme="minorHAnsi"/>
          <w:noProof/>
        </w:rPr>
      </w:pPr>
      <w:r>
        <w:rPr>
          <w:rFonts w:asciiTheme="minorHAnsi" w:hAnsiTheme="minorHAnsi"/>
          <w:noProof/>
        </w:rPr>
        <w:t xml:space="preserve">Noziedzīgu nodarījumu izmeklēšanai valstis ļauj citu valstu kontaktpunktiem, kas minēti </w:t>
      </w:r>
      <w:r>
        <w:rPr>
          <w:rFonts w:asciiTheme="minorHAnsi" w:hAnsiTheme="minorHAnsi"/>
          <w:noProof/>
          <w:u w:color="000000"/>
        </w:rPr>
        <w:t>LAW.PRUM.13. pantā [Valsts kontaktpunkti]</w:t>
      </w:r>
      <w:r>
        <w:rPr>
          <w:rFonts w:asciiTheme="minorHAnsi" w:hAnsiTheme="minorHAnsi"/>
          <w:noProof/>
        </w:rPr>
        <w:t>, piekļūt DNS atsauces datiem to DNS analīzes datnē</w:t>
      </w:r>
      <w:r>
        <w:rPr>
          <w:rFonts w:asciiTheme="minorHAnsi" w:hAnsiTheme="minorHAnsi"/>
          <w:noProof/>
        </w:rPr>
        <w:t>s, ļaujot veikt automatizētu meklēšanu, salīdzinot DNS profilus. Meklēšanas var veikt tikai atsevišķos gadījumos un saskaņā ar tās pieprasījuma iesniedzējas valsts iekšzemes tiesību aktiem.</w:t>
      </w:r>
    </w:p>
    <w:p w:rsidR="003E022D" w:rsidRDefault="007D19D6">
      <w:pPr>
        <w:numPr>
          <w:ilvl w:val="6"/>
          <w:numId w:val="10"/>
        </w:numPr>
        <w:ind w:left="0" w:firstLine="0"/>
        <w:rPr>
          <w:rFonts w:eastAsia="Times New Roman" w:cstheme="minorHAnsi"/>
          <w:noProof/>
        </w:rPr>
      </w:pPr>
      <w:r>
        <w:rPr>
          <w:noProof/>
        </w:rPr>
        <w:t xml:space="preserve">Ja automatizētajā meklēšanā parādās, ka meklētajam DNS profilam </w:t>
      </w:r>
      <w:r>
        <w:rPr>
          <w:noProof/>
        </w:rPr>
        <w:t>atrasti atbilstīgi pieprasījuma saņēmējas valsts datnē esoši DNS profili, pieprasījuma saņēmēja valsts automātiski nosūta pieprasījuma iesniedzējas valsts kontaktpunktam atrastās atbilsmes DNS atsauces datus. Ja atbilsmes neatrod, par to nosūta automātisku</w:t>
      </w:r>
      <w:r>
        <w:rPr>
          <w:noProof/>
        </w:rPr>
        <w:t xml:space="preserve"> paziņojumu</w:t>
      </w:r>
    </w:p>
    <w:p w:rsidR="003E022D" w:rsidRDefault="007D19D6">
      <w:pPr>
        <w:pStyle w:val="Article"/>
        <w:rPr>
          <w:noProof/>
        </w:rPr>
      </w:pPr>
      <w:bookmarkStart w:id="267" w:name="_Ref31671393"/>
      <w:bookmarkStart w:id="268" w:name="_Ref31741784"/>
      <w:bookmarkStart w:id="269" w:name="_Toc58920216"/>
      <w:r>
        <w:rPr>
          <w:noProof/>
        </w:rPr>
        <w:t>LAW.PRUM.</w:t>
      </w:r>
      <w:bookmarkEnd w:id="267"/>
      <w:bookmarkEnd w:id="268"/>
      <w:r>
        <w:rPr>
          <w:noProof/>
        </w:rPr>
        <w:t>9. pants. Automatizēta DNS profilu salīdzināšana</w:t>
      </w:r>
      <w:bookmarkEnd w:id="269"/>
    </w:p>
    <w:p w:rsidR="003E022D" w:rsidRDefault="007D19D6">
      <w:pPr>
        <w:numPr>
          <w:ilvl w:val="6"/>
          <w:numId w:val="11"/>
        </w:numPr>
        <w:ind w:left="0" w:firstLine="0"/>
        <w:rPr>
          <w:rFonts w:eastAsia="Times New Roman" w:cstheme="minorHAnsi"/>
          <w:noProof/>
        </w:rPr>
      </w:pPr>
      <w:r>
        <w:rPr>
          <w:noProof/>
        </w:rPr>
        <w:t>Noziedzīgu nodarījumu izmeklēšanai valstis, izmantojot to valsts kontaktpunktus un ievērojot starp attiecīgajām valstīm savstarpēji pieņemtus praktiskus pasākumus, salīdzina to neidentif</w:t>
      </w:r>
      <w:r>
        <w:rPr>
          <w:noProof/>
        </w:rPr>
        <w:t>icēto DNS profilu DNS profilus ar visiem DNS profiliem, kas atrodami citos iekšzemes DNS analīzes datņu atsauces datos. DNS profilus sniedz un salīdzina automatizēti. Neidentificētus DNS profilus salīdzināšanai sniedz vienīgi gadījumos, kas paredzēti piepr</w:t>
      </w:r>
      <w:r>
        <w:rPr>
          <w:noProof/>
        </w:rPr>
        <w:t>asījuma iesniedzējas valsts iekšzemes tiesību aktos.</w:t>
      </w:r>
    </w:p>
    <w:p w:rsidR="003E022D" w:rsidRDefault="007D19D6">
      <w:pPr>
        <w:numPr>
          <w:ilvl w:val="6"/>
          <w:numId w:val="11"/>
        </w:numPr>
        <w:ind w:left="0" w:firstLine="0"/>
        <w:rPr>
          <w:rFonts w:eastAsia="Times New Roman" w:cstheme="minorHAnsi"/>
          <w:noProof/>
        </w:rPr>
      </w:pPr>
      <w:r>
        <w:rPr>
          <w:noProof/>
        </w:rPr>
        <w:t>Ja valsts 1. punktā minētās salīdzināšanas rezultātā konstatē, ka kāds no citas valsts sniegtajiem DNS profiliem atbilst kādam DNS profilam DNS analīzes datnē, tā nekavējoties sniedz otras valsts kontakt</w:t>
      </w:r>
      <w:r>
        <w:rPr>
          <w:noProof/>
        </w:rPr>
        <w:t>punktam atrastās atbilstības DNS atsauces datus.</w:t>
      </w:r>
    </w:p>
    <w:p w:rsidR="003E022D" w:rsidRDefault="007D19D6">
      <w:pPr>
        <w:pStyle w:val="Article"/>
        <w:rPr>
          <w:noProof/>
        </w:rPr>
      </w:pPr>
      <w:bookmarkStart w:id="270" w:name="_Ref31672322"/>
      <w:bookmarkStart w:id="271" w:name="_Toc58920217"/>
      <w:r>
        <w:rPr>
          <w:noProof/>
        </w:rPr>
        <w:t>LAW.PRUM.</w:t>
      </w:r>
      <w:bookmarkEnd w:id="270"/>
      <w:r>
        <w:rPr>
          <w:noProof/>
        </w:rPr>
        <w:t>10. pants. Šūnu materiāla iegūšana un DNS profilu sniegšana</w:t>
      </w:r>
      <w:bookmarkEnd w:id="271"/>
    </w:p>
    <w:p w:rsidR="003E022D" w:rsidRDefault="007D19D6">
      <w:pPr>
        <w:rPr>
          <w:rFonts w:cstheme="minorHAnsi"/>
          <w:noProof/>
        </w:rPr>
      </w:pPr>
      <w:r>
        <w:rPr>
          <w:noProof/>
        </w:rPr>
        <w:t>Ja notiekošā izmeklēšanā vai kriminālprocesā nav pieejams tādas konkrētas fiziskas personas DNS profils, kas atrodas pieprasījuma saņēmēja</w:t>
      </w:r>
      <w:r>
        <w:rPr>
          <w:noProof/>
        </w:rPr>
        <w:t>s valsts teritorijā, tad šī valsts nodrošina tiesisku atbalstu, iegūstot un izpētot minētās fiziskās personas šūnu materiālu un iegūto DNS profilu sniedzot pieprasījuma iesniedzējai valstij, ja:</w:t>
      </w:r>
    </w:p>
    <w:p w:rsidR="003E022D" w:rsidRDefault="007D19D6">
      <w:pPr>
        <w:numPr>
          <w:ilvl w:val="1"/>
          <w:numId w:val="8"/>
        </w:numPr>
        <w:ind w:left="567" w:hanging="567"/>
        <w:rPr>
          <w:rFonts w:cstheme="minorHAnsi"/>
          <w:noProof/>
        </w:rPr>
      </w:pPr>
      <w:r>
        <w:rPr>
          <w:noProof/>
        </w:rPr>
        <w:t>pieprasījuma iesniedzēja valsts precīzi norāda, kādam nolūkam</w:t>
      </w:r>
      <w:r>
        <w:rPr>
          <w:noProof/>
        </w:rPr>
        <w:t xml:space="preserve"> informācija vajadzīga;</w:t>
      </w:r>
    </w:p>
    <w:p w:rsidR="003E022D" w:rsidRDefault="007D19D6">
      <w:pPr>
        <w:numPr>
          <w:ilvl w:val="1"/>
          <w:numId w:val="8"/>
        </w:numPr>
        <w:ind w:left="567" w:hanging="567"/>
        <w:rPr>
          <w:rFonts w:cstheme="minorHAnsi"/>
          <w:noProof/>
        </w:rPr>
      </w:pPr>
      <w:r>
        <w:rPr>
          <w:noProof/>
        </w:rPr>
        <w:t>pieprasījuma iesniedzēja valsts iesniedz izmeklēšanas orderi vai kompetentās iestādes izsniegtu paziņojumu atbilstīgi šīs valsts iekšzemes tiesību aktiem, kurā norādīts, ka prasības saistībā ar šūnu materiāla ieguvi un izpēti tiks i</w:t>
      </w:r>
      <w:r>
        <w:rPr>
          <w:noProof/>
        </w:rPr>
        <w:t>zpildītas, ja attiecīgā fiziskā persona atradīsies pieprasījuma iesniedzējas valsts teritorijā; un</w:t>
      </w:r>
    </w:p>
    <w:p w:rsidR="003E022D" w:rsidRDefault="007D19D6">
      <w:pPr>
        <w:numPr>
          <w:ilvl w:val="1"/>
          <w:numId w:val="8"/>
        </w:numPr>
        <w:ind w:left="567" w:hanging="567"/>
        <w:rPr>
          <w:rFonts w:cstheme="minorHAnsi"/>
          <w:noProof/>
        </w:rPr>
      </w:pPr>
      <w:r>
        <w:rPr>
          <w:noProof/>
        </w:rPr>
        <w:t xml:space="preserve">atbilstīgi pieprasījuma saņēmējas valsts tiesību aktiem ir izpildītas prasības attiecībā uz šūnu materiāla ieguvi un izpēti un iegūtā DNS profila sniegšanu. </w:t>
      </w:r>
    </w:p>
    <w:p w:rsidR="003E022D" w:rsidRDefault="007D19D6">
      <w:pPr>
        <w:pStyle w:val="Article"/>
        <w:rPr>
          <w:noProof/>
        </w:rPr>
      </w:pPr>
      <w:bookmarkStart w:id="272" w:name="_Toc58920218"/>
      <w:r>
        <w:rPr>
          <w:noProof/>
        </w:rPr>
        <w:t>LAW.PRUM.11. pants. Daktiloskopiskie dati</w:t>
      </w:r>
      <w:bookmarkEnd w:id="272"/>
    </w:p>
    <w:p w:rsidR="003E022D" w:rsidRDefault="007D19D6">
      <w:pPr>
        <w:rPr>
          <w:rFonts w:eastAsia="Times New Roman" w:cstheme="minorHAnsi"/>
          <w:b/>
          <w:noProof/>
          <w:u w:val="single"/>
        </w:rPr>
      </w:pPr>
      <w:r>
        <w:rPr>
          <w:noProof/>
        </w:rPr>
        <w:t xml:space="preserve">Lai īstenotu šo sadaļu, valstis nodrošina, ka iekšzemes automatizētajām pirkstu nospiedumu identificēšanas sistēmām, kas izveidotas, lai novērstu un izmeklētu noziedzīgus nodarījumus, ir pieejami daktiloskopiskie </w:t>
      </w:r>
      <w:r>
        <w:rPr>
          <w:noProof/>
        </w:rPr>
        <w:t>atsauces dati no datnes.</w:t>
      </w:r>
    </w:p>
    <w:p w:rsidR="003E022D" w:rsidRDefault="007D19D6">
      <w:pPr>
        <w:pStyle w:val="Article"/>
        <w:rPr>
          <w:noProof/>
        </w:rPr>
      </w:pPr>
      <w:bookmarkStart w:id="273" w:name="_Ref31671428"/>
      <w:bookmarkStart w:id="274" w:name="_Toc58920219"/>
      <w:r>
        <w:rPr>
          <w:noProof/>
        </w:rPr>
        <w:t>LAW.PRUM.</w:t>
      </w:r>
      <w:bookmarkEnd w:id="273"/>
      <w:r>
        <w:rPr>
          <w:noProof/>
        </w:rPr>
        <w:t>12. pants. Automatizēta daktiloskopisko datu meklēšana</w:t>
      </w:r>
      <w:bookmarkEnd w:id="274"/>
    </w:p>
    <w:p w:rsidR="003E022D" w:rsidRDefault="007D19D6">
      <w:pPr>
        <w:numPr>
          <w:ilvl w:val="6"/>
          <w:numId w:val="12"/>
        </w:numPr>
        <w:ind w:left="0" w:firstLine="0"/>
        <w:rPr>
          <w:rFonts w:eastAsia="Times New Roman" w:cstheme="minorHAnsi"/>
          <w:noProof/>
        </w:rPr>
      </w:pPr>
      <w:r>
        <w:rPr>
          <w:noProof/>
        </w:rPr>
        <w:t xml:space="preserve">Noziedzīgu nodarījumu novēršanai un izmeklēšanai valstis ļauj citu valstu valsts kontaktpunktiem, kā minēts </w:t>
      </w:r>
      <w:r>
        <w:rPr>
          <w:noProof/>
          <w:u w:color="000000"/>
        </w:rPr>
        <w:t>LAW.PRUM.13. pantā [Valstu kontaktpunkti]</w:t>
      </w:r>
      <w:r>
        <w:rPr>
          <w:noProof/>
        </w:rPr>
        <w:t>, piekļūt atsauces</w:t>
      </w:r>
      <w:r>
        <w:rPr>
          <w:noProof/>
        </w:rPr>
        <w:t xml:space="preserve"> datiem to automatizētajās pirkstu nospiedumu identifikācijas sistēmās, kas izveidotas šim mērķim, ļaujot veikt automatizētu meklēšanu, salīdzinot daktiloskopiskos datus. Meklēšanas var veikt tikai atsevišķos gadījumos un saskaņā ar tās pieprasījuma iesnie</w:t>
      </w:r>
      <w:r>
        <w:rPr>
          <w:noProof/>
        </w:rPr>
        <w:t>dzējas valsts iekšzemes tiesību aktiem.</w:t>
      </w:r>
    </w:p>
    <w:p w:rsidR="003E022D" w:rsidRDefault="007D19D6">
      <w:pPr>
        <w:numPr>
          <w:ilvl w:val="6"/>
          <w:numId w:val="12"/>
        </w:numPr>
        <w:ind w:left="0" w:firstLine="0"/>
        <w:rPr>
          <w:rFonts w:eastAsia="Times New Roman" w:cstheme="minorHAnsi"/>
          <w:noProof/>
        </w:rPr>
      </w:pPr>
      <w:r>
        <w:rPr>
          <w:noProof/>
        </w:rPr>
        <w:t>Daktiloskopisko datu atbilstības ar pieprasījuma saņēmējas valsts atsauces datiem apstiprināšanu veic pieprasījuma iesniedzējas valsts kontaktpunkts, izmantojot automatizēti sniegtus atsauces datus, kuri vajadzīgi pr</w:t>
      </w:r>
      <w:r>
        <w:rPr>
          <w:noProof/>
        </w:rPr>
        <w:t xml:space="preserve">ecīzas atbilstības noteikšanai. </w:t>
      </w:r>
    </w:p>
    <w:p w:rsidR="003E022D" w:rsidRDefault="007D19D6">
      <w:pPr>
        <w:pStyle w:val="Article"/>
        <w:rPr>
          <w:noProof/>
        </w:rPr>
      </w:pPr>
      <w:bookmarkStart w:id="275" w:name="_Toc58920220"/>
      <w:r>
        <w:rPr>
          <w:noProof/>
        </w:rPr>
        <w:t>LAW.PRUM.13. pants. Valsts kontaktpunkti</w:t>
      </w:r>
      <w:bookmarkEnd w:id="275"/>
    </w:p>
    <w:p w:rsidR="003E022D" w:rsidRDefault="007D19D6">
      <w:pPr>
        <w:numPr>
          <w:ilvl w:val="6"/>
          <w:numId w:val="13"/>
        </w:numPr>
        <w:ind w:left="0" w:firstLine="0"/>
        <w:rPr>
          <w:rFonts w:eastAsia="Times New Roman" w:cstheme="minorHAnsi"/>
          <w:noProof/>
        </w:rPr>
      </w:pPr>
      <w:r>
        <w:rPr>
          <w:noProof/>
        </w:rPr>
        <w:t xml:space="preserve">Katra valsts izraugās valsts kontaktpunktu, lai varētu sniegt datus, kas minēti </w:t>
      </w:r>
      <w:r>
        <w:rPr>
          <w:noProof/>
          <w:u w:color="000000"/>
        </w:rPr>
        <w:t>LAW.PRUM.8. pantā [Automatizēta DNS profilu meklēšana]</w:t>
      </w:r>
      <w:r>
        <w:rPr>
          <w:noProof/>
        </w:rPr>
        <w:t xml:space="preserve">, </w:t>
      </w:r>
      <w:r>
        <w:rPr>
          <w:noProof/>
          <w:u w:color="000000"/>
        </w:rPr>
        <w:t>LAW.PRUM.9. pantā [Automatizēta DNS profilu sa</w:t>
      </w:r>
      <w:r>
        <w:rPr>
          <w:noProof/>
          <w:u w:color="000000"/>
        </w:rPr>
        <w:t>līdzināšana]</w:t>
      </w:r>
      <w:r>
        <w:rPr>
          <w:noProof/>
        </w:rPr>
        <w:t xml:space="preserve"> un </w:t>
      </w:r>
      <w:r>
        <w:rPr>
          <w:noProof/>
          <w:u w:color="000000"/>
        </w:rPr>
        <w:t>LAW.PRUM.12. pantā [Automatizēta daktiloskopisko datu meklēšana]</w:t>
      </w:r>
      <w:r>
        <w:rPr>
          <w:noProof/>
        </w:rPr>
        <w:t xml:space="preserve">. </w:t>
      </w:r>
    </w:p>
    <w:p w:rsidR="003E022D" w:rsidRDefault="007D19D6">
      <w:pPr>
        <w:numPr>
          <w:ilvl w:val="6"/>
          <w:numId w:val="13"/>
        </w:numPr>
        <w:ind w:left="0" w:firstLine="0"/>
        <w:rPr>
          <w:rFonts w:eastAsia="Times New Roman" w:cstheme="minorHAnsi"/>
          <w:noProof/>
        </w:rPr>
      </w:pPr>
      <w:r>
        <w:rPr>
          <w:noProof/>
        </w:rPr>
        <w:t xml:space="preserve">Attiecībā uz dalībvalstīm šajā sadaļā par valsts kontaktpunktiem uzskata izraudzītos valsts kontaktpunktus analogai datu apmaiņai Savienībā. </w:t>
      </w:r>
    </w:p>
    <w:p w:rsidR="003E022D" w:rsidRDefault="007D19D6">
      <w:pPr>
        <w:numPr>
          <w:ilvl w:val="6"/>
          <w:numId w:val="13"/>
        </w:numPr>
        <w:ind w:left="0" w:firstLine="0"/>
        <w:rPr>
          <w:rFonts w:eastAsia="Times New Roman" w:cstheme="minorHAnsi"/>
          <w:noProof/>
        </w:rPr>
      </w:pPr>
      <w:r>
        <w:rPr>
          <w:noProof/>
        </w:rPr>
        <w:t xml:space="preserve">Valsts kontaktpunktu pilnvaras </w:t>
      </w:r>
      <w:r>
        <w:rPr>
          <w:noProof/>
        </w:rPr>
        <w:t xml:space="preserve">reglamentē piemērojamie iekšzemes tiesību akti. </w:t>
      </w:r>
    </w:p>
    <w:p w:rsidR="003E022D" w:rsidRDefault="007D19D6">
      <w:pPr>
        <w:pStyle w:val="Article"/>
        <w:rPr>
          <w:noProof/>
          <w:lang w:val="fr-BE"/>
        </w:rPr>
      </w:pPr>
      <w:bookmarkStart w:id="276" w:name="_Toc58920221"/>
      <w:r>
        <w:rPr>
          <w:noProof/>
          <w:lang w:val="fr-BE"/>
        </w:rPr>
        <w:t>LAW.PRUM.14. pants. Papildu personas datu un citu datu sniegšana</w:t>
      </w:r>
      <w:bookmarkEnd w:id="276"/>
    </w:p>
    <w:p w:rsidR="003E022D" w:rsidRDefault="007D19D6">
      <w:pPr>
        <w:rPr>
          <w:rFonts w:eastAsia="Times New Roman" w:cstheme="minorHAnsi"/>
          <w:noProof/>
          <w:lang w:val="fr-BE"/>
        </w:rPr>
      </w:pPr>
      <w:r>
        <w:rPr>
          <w:noProof/>
          <w:lang w:val="fr-BE"/>
        </w:rPr>
        <w:t xml:space="preserve">Ja procedūru, kas minētas </w:t>
      </w:r>
      <w:r>
        <w:rPr>
          <w:noProof/>
          <w:u w:color="000000"/>
          <w:lang w:val="fr-BE"/>
        </w:rPr>
        <w:t>LAW.PRUM.8. pantā [Automatizēta DNS profilu meklēšana]</w:t>
      </w:r>
      <w:r>
        <w:rPr>
          <w:noProof/>
          <w:lang w:val="fr-BE"/>
        </w:rPr>
        <w:t xml:space="preserve">, </w:t>
      </w:r>
      <w:r>
        <w:rPr>
          <w:noProof/>
          <w:u w:color="000000"/>
          <w:lang w:val="fr-BE"/>
        </w:rPr>
        <w:t>LAW.PRUM.9. pantā [Automatizēta DNS profilu salīdzināšana]</w:t>
      </w:r>
      <w:r>
        <w:rPr>
          <w:noProof/>
          <w:lang w:val="fr-BE"/>
        </w:rPr>
        <w:t xml:space="preserve"> u</w:t>
      </w:r>
      <w:r>
        <w:rPr>
          <w:noProof/>
          <w:lang w:val="fr-BE"/>
        </w:rPr>
        <w:t xml:space="preserve">n </w:t>
      </w:r>
      <w:r>
        <w:rPr>
          <w:noProof/>
          <w:u w:color="000000"/>
          <w:lang w:val="fr-BE"/>
        </w:rPr>
        <w:t>LAW.PRUM.12. pantā [Automatizēta daktiloskopisko datu meklēšana]</w:t>
      </w:r>
      <w:r>
        <w:rPr>
          <w:noProof/>
          <w:lang w:val="fr-BE"/>
        </w:rPr>
        <w:t xml:space="preserve">, rezultātā atrod DNS profilu vai daktiloskopisko datu atbilstību, papildu pieejamo personas datu vai citu datu, kuri saistīti ar atsauces datiem, sniegšanu, neskarot </w:t>
      </w:r>
      <w:r>
        <w:rPr>
          <w:noProof/>
          <w:u w:color="000000"/>
          <w:lang w:val="fr-BE"/>
        </w:rPr>
        <w:t>LAW.PRUM.17. panta [Īst</w:t>
      </w:r>
      <w:r>
        <w:rPr>
          <w:noProof/>
          <w:u w:color="000000"/>
          <w:lang w:val="fr-BE"/>
        </w:rPr>
        <w:t>enošanas pasākumi]</w:t>
      </w:r>
      <w:r>
        <w:rPr>
          <w:noProof/>
          <w:lang w:val="fr-BE"/>
        </w:rPr>
        <w:t xml:space="preserve"> 1. punktu reglamentē pieprasījuma saņēmējas valsts iekšzemes tiesību akti, tostarp tiesiskās palīdzības noteikumi. </w:t>
      </w:r>
    </w:p>
    <w:p w:rsidR="003E022D" w:rsidRDefault="007D19D6">
      <w:pPr>
        <w:pStyle w:val="Article"/>
        <w:rPr>
          <w:noProof/>
          <w:lang w:val="fr-BE"/>
        </w:rPr>
      </w:pPr>
      <w:bookmarkStart w:id="277" w:name="_Ref31671463"/>
      <w:bookmarkStart w:id="278" w:name="_Toc58920222"/>
      <w:r>
        <w:rPr>
          <w:noProof/>
          <w:lang w:val="fr-BE"/>
        </w:rPr>
        <w:t>LAW.PRUM.</w:t>
      </w:r>
      <w:bookmarkEnd w:id="277"/>
      <w:r>
        <w:rPr>
          <w:noProof/>
          <w:lang w:val="fr-BE"/>
        </w:rPr>
        <w:t>15. pants. Automatizēta transportlīdzekļu reģistrācijas datu meklēšana</w:t>
      </w:r>
      <w:bookmarkEnd w:id="278"/>
    </w:p>
    <w:p w:rsidR="003E022D" w:rsidRDefault="007D19D6">
      <w:pPr>
        <w:numPr>
          <w:ilvl w:val="6"/>
          <w:numId w:val="14"/>
        </w:numPr>
        <w:ind w:left="0" w:firstLine="0"/>
        <w:rPr>
          <w:rFonts w:cstheme="minorHAnsi"/>
          <w:noProof/>
          <w:lang w:val="fr-BE"/>
        </w:rPr>
      </w:pPr>
      <w:r>
        <w:rPr>
          <w:noProof/>
          <w:lang w:val="fr-BE"/>
        </w:rPr>
        <w:t>Lai novērstu un izmeklētu noziedzīgus nodarījumus, vērstos pret citiem nodarījumiem, kas ir pieprasījuma iesniedzējas valsts tiesu vai prokuroru jurisdikcijā, kā arī lai uzturētu sabiedrisko drošību, valstis nodrošina 2. punktā minēto citu valstu valsts ko</w:t>
      </w:r>
      <w:r>
        <w:rPr>
          <w:noProof/>
          <w:lang w:val="fr-BE"/>
        </w:rPr>
        <w:t xml:space="preserve">ntaktpunktiem piekļuvi turpmāk minētajiem iekšzemes transportlīdzekļu reģistrācijas datiem, atsevišķos gadījumos pilnvarojot veikt automātiskās meklēšanas: </w:t>
      </w:r>
    </w:p>
    <w:p w:rsidR="003E022D" w:rsidRDefault="007D19D6">
      <w:pPr>
        <w:numPr>
          <w:ilvl w:val="1"/>
          <w:numId w:val="9"/>
        </w:numPr>
        <w:ind w:left="567" w:hanging="567"/>
        <w:rPr>
          <w:rFonts w:cstheme="minorHAnsi"/>
          <w:noProof/>
        </w:rPr>
      </w:pPr>
      <w:r>
        <w:rPr>
          <w:noProof/>
        </w:rPr>
        <w:t>īpašnieku vai turētāju datiem; un</w:t>
      </w:r>
    </w:p>
    <w:p w:rsidR="003E022D" w:rsidRDefault="007D19D6">
      <w:pPr>
        <w:numPr>
          <w:ilvl w:val="1"/>
          <w:numId w:val="9"/>
        </w:numPr>
        <w:ind w:left="567" w:hanging="567"/>
        <w:rPr>
          <w:rFonts w:cstheme="minorHAnsi"/>
          <w:noProof/>
          <w:lang w:val="de-DE"/>
        </w:rPr>
      </w:pPr>
      <w:r>
        <w:rPr>
          <w:noProof/>
          <w:lang w:val="de-DE"/>
        </w:rPr>
        <w:t xml:space="preserve">datiem, kas attiecas uz transportlīdzekļiem. </w:t>
      </w:r>
    </w:p>
    <w:p w:rsidR="003E022D" w:rsidRDefault="007D19D6">
      <w:pPr>
        <w:rPr>
          <w:rFonts w:eastAsia="Times New Roman" w:cstheme="minorHAnsi"/>
          <w:noProof/>
          <w:lang w:val="de-DE"/>
        </w:rPr>
      </w:pPr>
      <w:r>
        <w:rPr>
          <w:noProof/>
          <w:lang w:val="de-DE"/>
        </w:rPr>
        <w:t>2.</w:t>
      </w:r>
      <w:r>
        <w:rPr>
          <w:noProof/>
          <w:lang w:val="de-DE"/>
        </w:rPr>
        <w:tab/>
        <w:t>Meklēšanu atbils</w:t>
      </w:r>
      <w:r>
        <w:rPr>
          <w:noProof/>
          <w:lang w:val="de-DE"/>
        </w:rPr>
        <w:t>toši 1. punktam var veikt, vienīgi izmantojot pilnu šasijas numuru vai pilnu reģistrācijas numuru un saskaņā ar pieprasījuma iesniedzēja valsts iekšzemes tiesību aktiem.</w:t>
      </w:r>
    </w:p>
    <w:p w:rsidR="003E022D" w:rsidRDefault="007D19D6">
      <w:pPr>
        <w:rPr>
          <w:rFonts w:eastAsia="Times New Roman" w:cstheme="minorHAnsi"/>
          <w:noProof/>
          <w:lang w:val="de-DE"/>
        </w:rPr>
      </w:pPr>
      <w:r>
        <w:rPr>
          <w:noProof/>
          <w:lang w:val="de-DE"/>
        </w:rPr>
        <w:t>3.</w:t>
      </w:r>
      <w:r>
        <w:rPr>
          <w:noProof/>
          <w:lang w:val="de-DE"/>
        </w:rPr>
        <w:tab/>
        <w:t>Katra valsts, lai varētu sniegt 1. punktā minētos datus, izraugās valsts kontaktpun</w:t>
      </w:r>
      <w:r>
        <w:rPr>
          <w:noProof/>
          <w:lang w:val="de-DE"/>
        </w:rPr>
        <w:t xml:space="preserve">ktu pieprasījumu saņemšanai no citām valstīm. Valsts kontaktpunktu pilnvaras reglamentē piemērojamie iekšzemes tiesību akti. </w:t>
      </w:r>
    </w:p>
    <w:p w:rsidR="003E022D" w:rsidRDefault="007D19D6">
      <w:pPr>
        <w:pStyle w:val="Article"/>
        <w:rPr>
          <w:noProof/>
          <w:lang w:val="de-DE"/>
        </w:rPr>
      </w:pPr>
      <w:bookmarkStart w:id="279" w:name="_Toc58920223"/>
      <w:r>
        <w:rPr>
          <w:noProof/>
          <w:lang w:val="de-DE"/>
        </w:rPr>
        <w:t>LAW.PRUM.16. pants. Tādu tiesu ekspertīžu pakalpojumu sniedzēju akreditācija, kuri veic laboratoriju darbības</w:t>
      </w:r>
      <w:bookmarkEnd w:id="279"/>
    </w:p>
    <w:p w:rsidR="003E022D" w:rsidRDefault="007D19D6">
      <w:pPr>
        <w:numPr>
          <w:ilvl w:val="6"/>
          <w:numId w:val="15"/>
        </w:numPr>
        <w:ind w:left="0" w:firstLine="0"/>
        <w:rPr>
          <w:rFonts w:cstheme="minorHAnsi"/>
          <w:noProof/>
          <w:lang w:val="de-DE"/>
        </w:rPr>
      </w:pPr>
      <w:r>
        <w:rPr>
          <w:noProof/>
          <w:lang w:val="de-DE"/>
        </w:rPr>
        <w:t xml:space="preserve">Valstis nodrošina, </w:t>
      </w:r>
      <w:r>
        <w:rPr>
          <w:noProof/>
          <w:lang w:val="de-DE"/>
        </w:rPr>
        <w:t>ka to iekšzemes akreditācijas struktūras akreditē tos tiesu ekspertīžu pakalpojumu sniedzējus, kas veic laboratoriju darbības, kā atbilstīgus EN ISO/IEC 17025.</w:t>
      </w:r>
    </w:p>
    <w:p w:rsidR="003E022D" w:rsidRDefault="007D19D6">
      <w:pPr>
        <w:numPr>
          <w:ilvl w:val="6"/>
          <w:numId w:val="15"/>
        </w:numPr>
        <w:ind w:left="0" w:firstLine="0"/>
        <w:rPr>
          <w:rFonts w:cstheme="minorHAnsi"/>
          <w:noProof/>
          <w:lang w:val="de-DE"/>
        </w:rPr>
      </w:pPr>
      <w:r>
        <w:rPr>
          <w:noProof/>
          <w:lang w:val="de-DE"/>
        </w:rPr>
        <w:t>Katra valsts nodrošina, ka tās par noziedzīgu nodarījumu novēršanu, atklāšanu un izmeklēšanu atb</w:t>
      </w:r>
      <w:r>
        <w:rPr>
          <w:noProof/>
          <w:lang w:val="de-DE"/>
        </w:rPr>
        <w:t xml:space="preserve">ildīgās iestādes atzītu, ka darba rezultāti, kurus ieguvuši akreditēti tiesu ekspertīžu pakalpojumu sniedzēji, kas veic laboratoriju darbības citās valstīs, ir vienlīdz uzticami kā rezultāti, kurus ieguvis iekšzemes tiesu ekspertīžu pakalpojumu sniedzējs, </w:t>
      </w:r>
      <w:r>
        <w:rPr>
          <w:noProof/>
          <w:lang w:val="de-DE"/>
        </w:rPr>
        <w:t>kas veic laboratoriju darbības un kas ir akreditēts kā atbilstīgs EN ISO/IEC 17025.</w:t>
      </w:r>
    </w:p>
    <w:p w:rsidR="003E022D" w:rsidRDefault="007D19D6">
      <w:pPr>
        <w:numPr>
          <w:ilvl w:val="6"/>
          <w:numId w:val="15"/>
        </w:numPr>
        <w:ind w:left="0" w:firstLine="0"/>
        <w:rPr>
          <w:rFonts w:cstheme="minorHAnsi"/>
          <w:noProof/>
          <w:lang w:val="de-DE"/>
        </w:rPr>
      </w:pPr>
      <w:r>
        <w:rPr>
          <w:noProof/>
          <w:lang w:val="de-DE"/>
        </w:rPr>
        <w:t xml:space="preserve">Apvienotās Karalistes kompetentās tiesībaizsardzības iestādes neveic meklēšanas un automatizētu salīdzināšanu saskaņā ar </w:t>
      </w:r>
      <w:r>
        <w:rPr>
          <w:noProof/>
          <w:u w:color="000000"/>
          <w:lang w:val="de-DE"/>
        </w:rPr>
        <w:t>LAW.PRUM.8. pantu [Automatizēta DNS profilu meklēša</w:t>
      </w:r>
      <w:r>
        <w:rPr>
          <w:noProof/>
          <w:u w:color="000000"/>
          <w:lang w:val="de-DE"/>
        </w:rPr>
        <w:t>na]</w:t>
      </w:r>
      <w:r>
        <w:rPr>
          <w:noProof/>
          <w:lang w:val="de-DE"/>
        </w:rPr>
        <w:t xml:space="preserve">, </w:t>
      </w:r>
      <w:r>
        <w:rPr>
          <w:noProof/>
          <w:u w:color="000000"/>
          <w:lang w:val="de-DE"/>
        </w:rPr>
        <w:t>LAW.PRUM.9. pantu [Automatizēta DNS profilu salīdzināšana]</w:t>
      </w:r>
      <w:r>
        <w:rPr>
          <w:noProof/>
          <w:lang w:val="de-DE"/>
        </w:rPr>
        <w:t xml:space="preserve"> un </w:t>
      </w:r>
      <w:r>
        <w:rPr>
          <w:noProof/>
          <w:u w:color="000000"/>
          <w:lang w:val="de-DE"/>
        </w:rPr>
        <w:t>LAW.PRUM.12. pantu [Automatizēta daktiloskopisko datu meklēšana]</w:t>
      </w:r>
      <w:r>
        <w:rPr>
          <w:noProof/>
          <w:lang w:val="de-DE"/>
        </w:rPr>
        <w:t>, pirms Apvienotā Karaliste nav īstenojusi un piemērojusi šā panta 1. punktā minētos pasākumus.</w:t>
      </w:r>
    </w:p>
    <w:p w:rsidR="003E022D" w:rsidRDefault="007D19D6">
      <w:pPr>
        <w:numPr>
          <w:ilvl w:val="6"/>
          <w:numId w:val="15"/>
        </w:numPr>
        <w:ind w:left="0" w:firstLine="0"/>
        <w:rPr>
          <w:rFonts w:cstheme="minorHAnsi"/>
          <w:noProof/>
          <w:lang w:val="de-DE"/>
        </w:rPr>
      </w:pPr>
      <w:r>
        <w:rPr>
          <w:noProof/>
          <w:lang w:val="de-DE"/>
        </w:rPr>
        <w:t>Panta 1. un 2. punkts neietek</w:t>
      </w:r>
      <w:r>
        <w:rPr>
          <w:noProof/>
          <w:lang w:val="de-DE"/>
        </w:rPr>
        <w:t>mē iekšzemes noteikumus par pierādījumu novērtēšanu tiesvedībā.</w:t>
      </w:r>
    </w:p>
    <w:p w:rsidR="003E022D" w:rsidRDefault="007D19D6">
      <w:pPr>
        <w:numPr>
          <w:ilvl w:val="6"/>
          <w:numId w:val="15"/>
        </w:numPr>
        <w:ind w:left="0" w:firstLine="0"/>
        <w:rPr>
          <w:rFonts w:cstheme="minorHAnsi"/>
          <w:noProof/>
          <w:lang w:val="de-DE"/>
        </w:rPr>
      </w:pPr>
      <w:r>
        <w:rPr>
          <w:noProof/>
          <w:lang w:val="de-DE"/>
        </w:rPr>
        <w:t>Apvienotā Karaliste paziņo Specializētajai komitejai tiesībaizsardzības un tiesu iestāžu sadarbības jomā to galveno noteikumu tekstu, kas pieņemti šā panta noteikumu īstenošanai un piemērošana</w:t>
      </w:r>
      <w:r>
        <w:rPr>
          <w:noProof/>
          <w:lang w:val="de-DE"/>
        </w:rPr>
        <w:t xml:space="preserve">i. </w:t>
      </w:r>
    </w:p>
    <w:p w:rsidR="003E022D" w:rsidRDefault="007D19D6">
      <w:pPr>
        <w:pStyle w:val="Article"/>
        <w:rPr>
          <w:noProof/>
        </w:rPr>
      </w:pPr>
      <w:bookmarkStart w:id="280" w:name="_Toc58920224"/>
      <w:r>
        <w:rPr>
          <w:noProof/>
        </w:rPr>
        <w:t>LAW.PRUM.17. pants. Īstenošanas pasākumi</w:t>
      </w:r>
      <w:bookmarkEnd w:id="280"/>
    </w:p>
    <w:p w:rsidR="003E022D" w:rsidRDefault="007D19D6">
      <w:pPr>
        <w:numPr>
          <w:ilvl w:val="0"/>
          <w:numId w:val="6"/>
        </w:numPr>
        <w:ind w:left="0" w:firstLine="0"/>
        <w:rPr>
          <w:rFonts w:cstheme="minorHAnsi"/>
          <w:noProof/>
        </w:rPr>
      </w:pPr>
      <w:bookmarkStart w:id="281" w:name="_Hlk57118839"/>
      <w:r>
        <w:rPr>
          <w:noProof/>
        </w:rPr>
        <w:t>Šajā sadaļā minētajos nolūkos valstis citu valstu kompetentajām tiesībaizsardzības iestādēm visu kategoriju datus dara pieejamus meklēšanai un salīdzināšanai ar tādiem pašiem nosacījumiem, ar kādiem tie ir pieej</w:t>
      </w:r>
      <w:r>
        <w:rPr>
          <w:noProof/>
        </w:rPr>
        <w:t>ami meklēšanai un salīdzināšanai iekšzemes kompetentajām tiesībaizsardzības iestādēm. Šajā sadaļā minētajos nolūkos valstis citu valstu kompetentajām tiesībaizsardzības iestādēm sniedz papildu pieejamos personas datus vai citus datus, kuri saistīti ar atsa</w:t>
      </w:r>
      <w:r>
        <w:rPr>
          <w:noProof/>
        </w:rPr>
        <w:t xml:space="preserve">uces datiem, kā minēts </w:t>
      </w:r>
      <w:r>
        <w:rPr>
          <w:noProof/>
          <w:u w:color="000000"/>
        </w:rPr>
        <w:t>LAW.PRUM.14. pantā [Papildu personas datu un citu datu sniegšana]</w:t>
      </w:r>
      <w:r>
        <w:rPr>
          <w:noProof/>
        </w:rPr>
        <w:t>, ar tādiem pašiem nosacījumiem, kā tos sniedzot iekšzemes iestādēm.</w:t>
      </w:r>
    </w:p>
    <w:bookmarkEnd w:id="281"/>
    <w:p w:rsidR="003E022D" w:rsidRDefault="007D19D6">
      <w:pPr>
        <w:numPr>
          <w:ilvl w:val="0"/>
          <w:numId w:val="6"/>
        </w:numPr>
        <w:ind w:left="0" w:firstLine="0"/>
        <w:rPr>
          <w:rFonts w:cstheme="minorHAnsi"/>
          <w:noProof/>
        </w:rPr>
      </w:pPr>
      <w:r>
        <w:rPr>
          <w:noProof/>
        </w:rPr>
        <w:t xml:space="preserve">Lai īstenotu procedūras, kas minētas </w:t>
      </w:r>
      <w:r>
        <w:rPr>
          <w:noProof/>
          <w:u w:color="000000"/>
        </w:rPr>
        <w:t>LAW.PRUM.8. pantā [Automatizēta DNS profilu meklēšana], LAW.PR</w:t>
      </w:r>
      <w:r>
        <w:rPr>
          <w:noProof/>
          <w:u w:color="000000"/>
        </w:rPr>
        <w:t>UM.9. pantā [Automatizēta DNS profilu salīdzināšana], LAW.PRUM.12. pantu [Automatizēta daktiloskopisko datu meklēšana]</w:t>
      </w:r>
      <w:r>
        <w:rPr>
          <w:noProof/>
        </w:rPr>
        <w:t xml:space="preserve"> un </w:t>
      </w:r>
      <w:r>
        <w:rPr>
          <w:noProof/>
          <w:u w:color="000000"/>
        </w:rPr>
        <w:t>LAW.PRUM.15. pantā [Automatizēta transportlīdzekļu reģistrācijas datu meklēšana],</w:t>
      </w:r>
      <w:r>
        <w:rPr>
          <w:noProof/>
        </w:rPr>
        <w:t xml:space="preserve"> </w:t>
      </w:r>
      <w:r>
        <w:rPr>
          <w:noProof/>
          <w:u w:color="000000"/>
        </w:rPr>
        <w:t>LAW-1. PIELIKUMĀ</w:t>
      </w:r>
      <w:r>
        <w:rPr>
          <w:noProof/>
        </w:rPr>
        <w:t xml:space="preserve"> nosaka tehniskās un procedūras spec</w:t>
      </w:r>
      <w:r>
        <w:rPr>
          <w:noProof/>
        </w:rPr>
        <w:t>ifikācijas.</w:t>
      </w:r>
    </w:p>
    <w:p w:rsidR="003E022D" w:rsidRDefault="007D19D6">
      <w:pPr>
        <w:numPr>
          <w:ilvl w:val="0"/>
          <w:numId w:val="6"/>
        </w:numPr>
        <w:ind w:left="0" w:firstLine="0"/>
        <w:rPr>
          <w:rFonts w:cstheme="minorHAnsi"/>
          <w:noProof/>
        </w:rPr>
      </w:pPr>
      <w:r>
        <w:rPr>
          <w:noProof/>
        </w:rPr>
        <w:t>Deklarācijas, ko dalībvalstis iesniegušas saskaņā ar Padomes Lēmumu 2008/615/TI</w:t>
      </w:r>
      <w:r>
        <w:rPr>
          <w:rFonts w:cstheme="minorHAnsi"/>
          <w:noProof/>
          <w:vertAlign w:val="superscript"/>
          <w:lang w:val="en-IE"/>
        </w:rPr>
        <w:footnoteReference w:id="77"/>
      </w:r>
      <w:r>
        <w:rPr>
          <w:noProof/>
        </w:rPr>
        <w:t xml:space="preserve"> un Lēmumu 2008/616/TI</w:t>
      </w:r>
      <w:r>
        <w:rPr>
          <w:rFonts w:cstheme="minorHAnsi"/>
          <w:noProof/>
          <w:vertAlign w:val="superscript"/>
          <w:lang w:val="en-IE"/>
        </w:rPr>
        <w:footnoteReference w:id="78"/>
      </w:r>
      <w:r>
        <w:rPr>
          <w:noProof/>
        </w:rPr>
        <w:t xml:space="preserve">, piemēro arī to attiecībās ar Apvienoto Karalisti. </w:t>
      </w:r>
    </w:p>
    <w:p w:rsidR="003E022D" w:rsidRDefault="007D19D6">
      <w:pPr>
        <w:pStyle w:val="Article"/>
        <w:rPr>
          <w:noProof/>
          <w:lang w:val="fr-BE"/>
        </w:rPr>
      </w:pPr>
      <w:bookmarkStart w:id="282" w:name="_Toc58920225"/>
      <w:bookmarkStart w:id="283" w:name="_Hlk57116334"/>
      <w:r>
        <w:rPr>
          <w:noProof/>
          <w:lang w:val="fr-BE"/>
        </w:rPr>
        <w:t xml:space="preserve">LAW.PRUM.18. pants. </w:t>
      </w:r>
      <w:r>
        <w:rPr>
          <w:i/>
          <w:noProof/>
          <w:lang w:val="fr-BE"/>
        </w:rPr>
        <w:t>Ex ante</w:t>
      </w:r>
      <w:r>
        <w:rPr>
          <w:noProof/>
          <w:lang w:val="fr-BE"/>
        </w:rPr>
        <w:t xml:space="preserve"> izvērtēšana</w:t>
      </w:r>
      <w:bookmarkEnd w:id="282"/>
      <w:r>
        <w:rPr>
          <w:noProof/>
          <w:lang w:val="fr-BE"/>
        </w:rPr>
        <w:t xml:space="preserve"> </w:t>
      </w:r>
    </w:p>
    <w:p w:rsidR="003E022D" w:rsidRDefault="007D19D6">
      <w:pPr>
        <w:numPr>
          <w:ilvl w:val="6"/>
          <w:numId w:val="16"/>
        </w:numPr>
        <w:ind w:left="0" w:firstLine="0"/>
        <w:rPr>
          <w:rFonts w:cstheme="minorHAnsi"/>
          <w:noProof/>
          <w:lang w:val="fr-BE"/>
        </w:rPr>
      </w:pPr>
      <w:r>
        <w:rPr>
          <w:noProof/>
          <w:lang w:val="fr-BE"/>
        </w:rPr>
        <w:t>Lai pārliecinātos, vai Apvienotā Karaliste ir i</w:t>
      </w:r>
      <w:r>
        <w:rPr>
          <w:noProof/>
          <w:lang w:val="fr-BE"/>
        </w:rPr>
        <w:t xml:space="preserve">zpildījusi nosacījumus, kas izklāstīti </w:t>
      </w:r>
      <w:r>
        <w:rPr>
          <w:noProof/>
          <w:u w:color="000000"/>
          <w:lang w:val="fr-BE"/>
        </w:rPr>
        <w:t>LAW.PRUM.17. pantā [Īstenošanas pasākumi]</w:t>
      </w:r>
      <w:r>
        <w:rPr>
          <w:noProof/>
          <w:lang w:val="fr-BE"/>
        </w:rPr>
        <w:t xml:space="preserve"> un </w:t>
      </w:r>
      <w:r>
        <w:rPr>
          <w:noProof/>
          <w:u w:color="000000"/>
          <w:lang w:val="fr-BE"/>
        </w:rPr>
        <w:t>LAW-1. PIELIKUMĀ</w:t>
      </w:r>
      <w:r>
        <w:rPr>
          <w:noProof/>
          <w:lang w:val="fr-BE"/>
        </w:rPr>
        <w:t xml:space="preserve">, notiks izvērtējuma inspekcija un izmēģinājuma darbības tādā apmērā, kāds noteikts </w:t>
      </w:r>
      <w:r>
        <w:rPr>
          <w:noProof/>
          <w:u w:color="000000"/>
          <w:lang w:val="fr-BE"/>
        </w:rPr>
        <w:t>LAW-1. PIELIKUMĀ</w:t>
      </w:r>
      <w:r>
        <w:rPr>
          <w:noProof/>
          <w:lang w:val="fr-BE"/>
        </w:rPr>
        <w:t xml:space="preserve">, ņemot vērā apstākļus un mehānismus un saskaņā ar apstākļiem un mehānismiem, kuriem ir piekritusi Apvienotā Karaliste. Jebkurā gadījumā saistībā ar datu meklēšanu atbilstoši </w:t>
      </w:r>
      <w:r>
        <w:rPr>
          <w:noProof/>
          <w:u w:color="000000"/>
          <w:lang w:val="fr-BE"/>
        </w:rPr>
        <w:t>LAW.PRUM.15. pantam [Automatizēta transportlīdzekļu reģistrācijas datu meklēšana]</w:t>
      </w:r>
      <w:r>
        <w:rPr>
          <w:noProof/>
          <w:lang w:val="fr-BE"/>
        </w:rPr>
        <w:t xml:space="preserve"> veic izmēģinājuma darbības. </w:t>
      </w:r>
    </w:p>
    <w:p w:rsidR="003E022D" w:rsidRDefault="007D19D6">
      <w:pPr>
        <w:numPr>
          <w:ilvl w:val="6"/>
          <w:numId w:val="16"/>
        </w:numPr>
        <w:ind w:left="0" w:firstLine="0"/>
        <w:rPr>
          <w:rFonts w:cstheme="minorHAnsi"/>
          <w:noProof/>
          <w:lang w:val="fr-BE"/>
        </w:rPr>
      </w:pPr>
      <w:r>
        <w:rPr>
          <w:noProof/>
          <w:lang w:val="fr-BE"/>
        </w:rPr>
        <w:t>Pamatojoties uz vispārēju izvērtējuma ziņojumu par izvērtējuma inspekcijas un attiecīgā gadījumā izmēģinājuma darbībām, kā minēts 1. punktā, Savienība nosaka dienu vai dienas, no kuras vai kurām dalībvalstis saskaņā ar šo sada</w:t>
      </w:r>
      <w:r>
        <w:rPr>
          <w:noProof/>
          <w:lang w:val="fr-BE"/>
        </w:rPr>
        <w:t>ļu var sniegt personas datus Apvienotajai Karalistei.</w:t>
      </w:r>
    </w:p>
    <w:p w:rsidR="003E022D" w:rsidRDefault="007D19D6">
      <w:pPr>
        <w:numPr>
          <w:ilvl w:val="6"/>
          <w:numId w:val="16"/>
        </w:numPr>
        <w:ind w:left="0" w:firstLine="0"/>
        <w:rPr>
          <w:rFonts w:cstheme="minorHAnsi"/>
          <w:noProof/>
          <w:lang w:val="fr-BE"/>
        </w:rPr>
      </w:pPr>
      <w:r>
        <w:rPr>
          <w:noProof/>
          <w:lang w:val="fr-BE"/>
        </w:rPr>
        <w:t xml:space="preserve">Kamēr nav saņemti 1. punktā minētā izvērtējuma rezultāti, dalībvalstis no šā nolīguma spēkā stāšanās dienas var sniegt Apvienotajai Karalistei personas datus, kā minēts </w:t>
      </w:r>
      <w:r>
        <w:rPr>
          <w:noProof/>
          <w:u w:color="000000"/>
          <w:lang w:val="fr-BE"/>
        </w:rPr>
        <w:t>LAW.PRUM.8. pantā [Automatizēta D</w:t>
      </w:r>
      <w:r>
        <w:rPr>
          <w:noProof/>
          <w:u w:color="000000"/>
          <w:lang w:val="fr-BE"/>
        </w:rPr>
        <w:t>NS profilu meklēšana]</w:t>
      </w:r>
      <w:r>
        <w:rPr>
          <w:noProof/>
          <w:lang w:val="fr-BE"/>
        </w:rPr>
        <w:t xml:space="preserve">, </w:t>
      </w:r>
      <w:r>
        <w:rPr>
          <w:noProof/>
          <w:u w:color="000000"/>
          <w:lang w:val="fr-BE"/>
        </w:rPr>
        <w:t>LAW.PRUM.9. pantā [Automatizēta DNS profilu salīdzināšana]</w:t>
      </w:r>
      <w:r>
        <w:rPr>
          <w:noProof/>
          <w:lang w:val="fr-BE"/>
        </w:rPr>
        <w:t xml:space="preserve">, </w:t>
      </w:r>
      <w:r>
        <w:rPr>
          <w:noProof/>
          <w:u w:color="000000"/>
          <w:lang w:val="fr-BE"/>
        </w:rPr>
        <w:t>LAW.PRUM.12. pantā [Automatizēta daktiloskopisko datu meklēšana]</w:t>
      </w:r>
      <w:r>
        <w:rPr>
          <w:noProof/>
          <w:lang w:val="fr-BE"/>
        </w:rPr>
        <w:t xml:space="preserve"> un </w:t>
      </w:r>
      <w:r>
        <w:rPr>
          <w:noProof/>
          <w:u w:color="000000"/>
          <w:lang w:val="fr-BE"/>
        </w:rPr>
        <w:t>LAW.PRUM.14. pantā [Papildu personas datu un citu datu sniegšana]</w:t>
      </w:r>
      <w:r>
        <w:rPr>
          <w:noProof/>
          <w:lang w:val="fr-BE"/>
        </w:rPr>
        <w:t>, līdz dienai vai dienām, ko Savienība n</w:t>
      </w:r>
      <w:r>
        <w:rPr>
          <w:noProof/>
          <w:lang w:val="fr-BE"/>
        </w:rPr>
        <w:t>oteikusi saskaņā ar šā panta 2. punktu, taču ne ilgāk kā divus mēnešus pēc šā nolīguma spēkā stāšanās dienas. Specializētā komiteja tiesībaizsardzības un tiesu iestāžu sadarbības jomā var pagarināt šo laikposmu vienu reizi par ne vairāk kā deviņiem mēnešie</w:t>
      </w:r>
      <w:r>
        <w:rPr>
          <w:noProof/>
          <w:lang w:val="fr-BE"/>
        </w:rPr>
        <w:t xml:space="preserve">m. </w:t>
      </w:r>
    </w:p>
    <w:p w:rsidR="003E022D" w:rsidRDefault="007D19D6">
      <w:pPr>
        <w:pStyle w:val="Article"/>
        <w:rPr>
          <w:noProof/>
          <w:lang w:val="fr-BE"/>
        </w:rPr>
      </w:pPr>
      <w:bookmarkStart w:id="284" w:name="_Toc58920226"/>
      <w:r>
        <w:rPr>
          <w:rStyle w:val="null1"/>
          <w:bCs/>
          <w:noProof/>
          <w:lang w:val="fr-BE"/>
        </w:rPr>
        <w:t>LAW.PRUM.19. pants. Apturēšana un nepiemērošana</w:t>
      </w:r>
      <w:bookmarkEnd w:id="284"/>
    </w:p>
    <w:p w:rsidR="003E022D" w:rsidRDefault="007D19D6">
      <w:pPr>
        <w:numPr>
          <w:ilvl w:val="6"/>
          <w:numId w:val="119"/>
        </w:numPr>
        <w:ind w:left="0" w:firstLine="0"/>
        <w:rPr>
          <w:rFonts w:cstheme="minorHAnsi"/>
          <w:noProof/>
        </w:rPr>
      </w:pPr>
      <w:r>
        <w:rPr>
          <w:noProof/>
          <w:lang w:val="fr-BE"/>
        </w:rPr>
        <w:t>Gadījumā, ja</w:t>
      </w:r>
      <w:r>
        <w:rPr>
          <w:rStyle w:val="null1"/>
          <w:bCs/>
          <w:noProof/>
          <w:lang w:val="fr-BE"/>
        </w:rPr>
        <w:t xml:space="preserve"> Savienība uzskata par nepieciešamu grozīt šo sadaļu tāpēc, ka Savienības tiesības attiecībā uz šīs sadaļas priekšmetu ir būtiski grozītas vai arī tiek gatavoti būtiski to grozījumi, tā var at</w:t>
      </w:r>
      <w:r>
        <w:rPr>
          <w:rStyle w:val="null1"/>
          <w:bCs/>
          <w:noProof/>
          <w:lang w:val="fr-BE"/>
        </w:rPr>
        <w:t>tiecīgi informēt Apvienoto Karalisti nolūkā vienoties par šā nolīguma oficiālu grozījumu</w:t>
      </w:r>
      <w:r>
        <w:rPr>
          <w:noProof/>
          <w:lang w:val="fr-BE"/>
        </w:rPr>
        <w:t xml:space="preserve"> attiecībā uz šo sadaļu. </w:t>
      </w:r>
      <w:r>
        <w:rPr>
          <w:noProof/>
        </w:rPr>
        <w:t>Pēc šāda paziņojuma Puses sāk apspriesties.</w:t>
      </w:r>
    </w:p>
    <w:p w:rsidR="003E022D" w:rsidRDefault="007D19D6">
      <w:pPr>
        <w:numPr>
          <w:ilvl w:val="6"/>
          <w:numId w:val="119"/>
        </w:numPr>
        <w:ind w:left="0" w:firstLine="0"/>
        <w:rPr>
          <w:rFonts w:cstheme="minorHAnsi"/>
          <w:noProof/>
        </w:rPr>
      </w:pPr>
      <w:r>
        <w:rPr>
          <w:noProof/>
        </w:rPr>
        <w:t xml:space="preserve">Ja </w:t>
      </w:r>
      <w:r>
        <w:rPr>
          <w:rStyle w:val="null1"/>
          <w:bCs/>
          <w:noProof/>
        </w:rPr>
        <w:t>deviņu mēnešu laikā pēc minētā paziņojuma Puses nav panākušas vienošanos par šīs sadaļas grozīju</w:t>
      </w:r>
      <w:r>
        <w:rPr>
          <w:rStyle w:val="null1"/>
          <w:bCs/>
          <w:noProof/>
        </w:rPr>
        <w:t>miem, Savienība var nolemt apturēt šīs sadaļas vai jebkura šīs sadaļas noteikuma piemērošanu uz laiku līdz deviņiem mēnešiem</w:t>
      </w:r>
      <w:r>
        <w:rPr>
          <w:noProof/>
        </w:rPr>
        <w:t>.</w:t>
      </w:r>
      <w:r>
        <w:rPr>
          <w:rStyle w:val="null1"/>
          <w:bCs/>
          <w:noProof/>
        </w:rPr>
        <w:t xml:space="preserve"> Pirms minētā laikposma beigām Puses var vienoties par apturēšanas pagarināšanu uz papildu laikposmu līdz deviņiem mēnešiem. Ja pēc</w:t>
      </w:r>
      <w:r>
        <w:rPr>
          <w:rStyle w:val="null1"/>
          <w:bCs/>
          <w:noProof/>
        </w:rPr>
        <w:t xml:space="preserve"> apturēšanas perioda beigām Puses nav panākušas vienošanos par šīs sadaļas grozījumiem, tās apturētos noteikumus vairs nepiemēro no tā mēneša pirmās dienas, kurš seko apturēšanas perioda beigām, izņemot gadījumu, kad Savienība informē Apvienoto Karalisti p</w:t>
      </w:r>
      <w:r>
        <w:rPr>
          <w:rStyle w:val="null1"/>
          <w:bCs/>
          <w:noProof/>
        </w:rPr>
        <w:t>ar to, ka tā vairs nevēlas grozīt šo sadaļu</w:t>
      </w:r>
      <w:r>
        <w:rPr>
          <w:noProof/>
        </w:rPr>
        <w:t>. Tādā gadījumā atjauno šīs sadaļas apturēto noteikumu darbību.</w:t>
      </w:r>
    </w:p>
    <w:p w:rsidR="003E022D" w:rsidRDefault="007D19D6">
      <w:pPr>
        <w:numPr>
          <w:ilvl w:val="6"/>
          <w:numId w:val="119"/>
        </w:numPr>
        <w:ind w:left="0" w:firstLine="0"/>
        <w:rPr>
          <w:rFonts w:cstheme="minorHAnsi"/>
          <w:bCs/>
          <w:noProof/>
        </w:rPr>
      </w:pPr>
      <w:r>
        <w:rPr>
          <w:noProof/>
        </w:rPr>
        <w:t xml:space="preserve">Ja saskaņā ar šo pantu ir apturēti kādi šīs sadaļas noteikumi, Specializētā komiteja tiesībaizsardzības un tiesu iestāžu sadarbības jomā tiekas, lai </w:t>
      </w:r>
      <w:r>
        <w:rPr>
          <w:noProof/>
        </w:rPr>
        <w:t>lemtu par to, kādi pasākumi ir vajadzīgi, lai nodrošinātu, ka jebkura saskaņā ar šo sadaļu uzsāktā sadarbība, ko ietekmē apturēšana, tiek pienācīgi pabeigta. Jebkurā gadījumā attiecībā uz visiem personas datiem, kas iegūti sadarbībā saskaņā ar šo sadaļu, p</w:t>
      </w:r>
      <w:r>
        <w:rPr>
          <w:noProof/>
        </w:rPr>
        <w:t xml:space="preserve">irms apturēšanas skartos noteikumus provizoriski pārstāja piemērot, Puses nodrošina, ka pēc apturēšanas stāšanās spēkā tiek saglabāts aizsardzības līmenis, atbilstoši kuram personas dati tika pārsūtīti. </w:t>
      </w:r>
      <w:bookmarkStart w:id="285" w:name="_ARTICLE_5_1"/>
      <w:bookmarkStart w:id="286" w:name="_ARTICLE_6_1"/>
      <w:bookmarkEnd w:id="285"/>
      <w:bookmarkEnd w:id="286"/>
    </w:p>
    <w:p w:rsidR="003E022D" w:rsidRDefault="007D19D6">
      <w:pPr>
        <w:pStyle w:val="Title1"/>
        <w:rPr>
          <w:noProof/>
          <w:lang w:val="fr-BE"/>
        </w:rPr>
      </w:pPr>
      <w:bookmarkStart w:id="287" w:name="_Toc29895917"/>
      <w:bookmarkStart w:id="288" w:name="_Toc33194190"/>
      <w:bookmarkStart w:id="289" w:name="_Toc33194813"/>
      <w:bookmarkStart w:id="290" w:name="_Toc34676371"/>
      <w:bookmarkStart w:id="291" w:name="_Toc35449637"/>
      <w:bookmarkStart w:id="292" w:name="_Toc57809457"/>
      <w:bookmarkStart w:id="293" w:name="_Toc58920227"/>
      <w:bookmarkStart w:id="294" w:name="_Toc58949197"/>
      <w:bookmarkStart w:id="295" w:name="_Toc59472712"/>
      <w:bookmarkStart w:id="296" w:name="_Toc59988364"/>
      <w:bookmarkEnd w:id="283"/>
      <w:r>
        <w:rPr>
          <w:noProof/>
          <w:lang w:val="fr-BE"/>
        </w:rPr>
        <w:t>III sadaļa. Pasažieru datu reģistra datu pārsūtīšana</w:t>
      </w:r>
      <w:r>
        <w:rPr>
          <w:noProof/>
          <w:lang w:val="fr-BE"/>
        </w:rPr>
        <w:t xml:space="preserve"> un apstrāde</w:t>
      </w:r>
      <w:bookmarkEnd w:id="287"/>
      <w:bookmarkEnd w:id="288"/>
      <w:bookmarkEnd w:id="289"/>
      <w:bookmarkEnd w:id="290"/>
      <w:bookmarkEnd w:id="291"/>
      <w:bookmarkEnd w:id="292"/>
      <w:bookmarkEnd w:id="293"/>
      <w:bookmarkEnd w:id="294"/>
      <w:bookmarkEnd w:id="295"/>
      <w:bookmarkEnd w:id="296"/>
    </w:p>
    <w:p w:rsidR="003E022D" w:rsidRDefault="007D19D6">
      <w:pPr>
        <w:pStyle w:val="Article"/>
        <w:rPr>
          <w:noProof/>
        </w:rPr>
      </w:pPr>
      <w:bookmarkStart w:id="297" w:name="_Toc58920228"/>
      <w:r>
        <w:rPr>
          <w:noProof/>
        </w:rPr>
        <w:t>LAW.PNR.18. pants. Darbības joma</w:t>
      </w:r>
      <w:bookmarkEnd w:id="297"/>
    </w:p>
    <w:p w:rsidR="003E022D" w:rsidRDefault="007D19D6">
      <w:pPr>
        <w:numPr>
          <w:ilvl w:val="0"/>
          <w:numId w:val="35"/>
        </w:numPr>
        <w:ind w:left="0" w:firstLine="0"/>
        <w:rPr>
          <w:rFonts w:cstheme="minorHAnsi"/>
          <w:noProof/>
        </w:rPr>
      </w:pPr>
      <w:r>
        <w:rPr>
          <w:noProof/>
        </w:rPr>
        <w:t>Šajā sadaļā izklāstīti noteikumi, atbilstoši kuriem Apvienotās Karalistes kompetentās iestādes var pārsūtīt, apstrādāt un izmantot pasažieru datu reģistra datus lidojumiem starp Savienību un Apvienoto Karalisti</w:t>
      </w:r>
      <w:r>
        <w:rPr>
          <w:noProof/>
        </w:rPr>
        <w:t>, un noteikti īpaši aizsardzības pasākumi šajā sakarā.</w:t>
      </w:r>
    </w:p>
    <w:p w:rsidR="003E022D" w:rsidRDefault="007D19D6">
      <w:pPr>
        <w:numPr>
          <w:ilvl w:val="0"/>
          <w:numId w:val="35"/>
        </w:numPr>
        <w:ind w:left="0" w:firstLine="0"/>
        <w:rPr>
          <w:rFonts w:cstheme="minorHAnsi"/>
          <w:noProof/>
        </w:rPr>
      </w:pPr>
      <w:r>
        <w:rPr>
          <w:noProof/>
        </w:rPr>
        <w:t>Šo sadaļu piemēro gaisa pārvadātājiem, kuri veic pasažieru gaisa pārvadājumus starp Savienību un Apvienoto Karalisti.</w:t>
      </w:r>
    </w:p>
    <w:p w:rsidR="003E022D" w:rsidRDefault="007D19D6">
      <w:pPr>
        <w:numPr>
          <w:ilvl w:val="0"/>
          <w:numId w:val="35"/>
        </w:numPr>
        <w:ind w:left="0" w:firstLine="0"/>
        <w:rPr>
          <w:rFonts w:cstheme="minorHAnsi"/>
          <w:noProof/>
        </w:rPr>
      </w:pPr>
      <w:r>
        <w:rPr>
          <w:noProof/>
        </w:rPr>
        <w:t xml:space="preserve">Šo sadaļu piemēro arī gaisa pārvadātājiem, kas ir reģistrēti vai glabā datus </w:t>
      </w:r>
      <w:r>
        <w:rPr>
          <w:noProof/>
        </w:rPr>
        <w:t>Savienībā un veic pasažieru gaisa pārvadājumus uz Apvienoto Karalisti vai no tās.</w:t>
      </w:r>
    </w:p>
    <w:p w:rsidR="003E022D" w:rsidRDefault="007D19D6">
      <w:pPr>
        <w:numPr>
          <w:ilvl w:val="0"/>
          <w:numId w:val="35"/>
        </w:numPr>
        <w:ind w:left="0" w:firstLine="0"/>
        <w:rPr>
          <w:rFonts w:cstheme="minorHAnsi"/>
          <w:noProof/>
        </w:rPr>
      </w:pPr>
      <w:r>
        <w:rPr>
          <w:noProof/>
        </w:rPr>
        <w:t>Šajā sadaļā ir paredzēta arī policijas un tiesu iestāžu sadarbība krimināllietās starp Apvienoto Karalisti un Savienību attiecībā uz PDR datiem.</w:t>
      </w:r>
    </w:p>
    <w:p w:rsidR="003E022D" w:rsidRDefault="007D19D6">
      <w:pPr>
        <w:pStyle w:val="Article"/>
        <w:rPr>
          <w:noProof/>
        </w:rPr>
      </w:pPr>
      <w:bookmarkStart w:id="298" w:name="_ARTICLE_10_1"/>
      <w:bookmarkStart w:id="299" w:name="_Toc58920229"/>
      <w:bookmarkEnd w:id="298"/>
      <w:r>
        <w:rPr>
          <w:noProof/>
        </w:rPr>
        <w:t>LAW.PNR.19. pants. Definīcija</w:t>
      </w:r>
      <w:r>
        <w:rPr>
          <w:noProof/>
        </w:rPr>
        <w:t>s</w:t>
      </w:r>
      <w:bookmarkEnd w:id="299"/>
    </w:p>
    <w:p w:rsidR="003E022D" w:rsidRDefault="007D19D6">
      <w:pPr>
        <w:rPr>
          <w:rFonts w:cstheme="minorHAnsi"/>
          <w:noProof/>
        </w:rPr>
      </w:pPr>
      <w:r>
        <w:rPr>
          <w:noProof/>
        </w:rPr>
        <w:t>Šajā sadaļā piemēro šādas definīcijas:</w:t>
      </w:r>
    </w:p>
    <w:p w:rsidR="003E022D" w:rsidRDefault="007D19D6">
      <w:pPr>
        <w:numPr>
          <w:ilvl w:val="1"/>
          <w:numId w:val="17"/>
        </w:numPr>
        <w:ind w:left="567" w:hanging="567"/>
        <w:rPr>
          <w:rFonts w:cstheme="minorHAnsi"/>
          <w:noProof/>
        </w:rPr>
      </w:pPr>
      <w:r>
        <w:rPr>
          <w:noProof/>
        </w:rPr>
        <w:t>“gaisa pārvadātājs" ir gaisa transporta uzņēmums, kuram ir derīga darbības licence vai līdzvērtīgs dokuments, kas tam ļauj pa gaisu pārvadāt pasažierus starp Apvienoto Karalisti un Savienību;</w:t>
      </w:r>
    </w:p>
    <w:p w:rsidR="003E022D" w:rsidRDefault="007D19D6">
      <w:pPr>
        <w:numPr>
          <w:ilvl w:val="1"/>
          <w:numId w:val="17"/>
        </w:numPr>
        <w:ind w:left="567" w:hanging="567"/>
        <w:rPr>
          <w:rFonts w:cstheme="minorHAnsi"/>
          <w:noProof/>
        </w:rPr>
      </w:pPr>
      <w:r>
        <w:rPr>
          <w:noProof/>
        </w:rPr>
        <w:t>“pasažieru datu reģistr</w:t>
      </w:r>
      <w:r>
        <w:rPr>
          <w:noProof/>
        </w:rPr>
        <w:t>s" ("PDR") ir ikviena pasažiera ceļošanas datu reģistrs, kurā ir iekļauta informācija, kas vajadzīga, lai rezervējošie un iesaistītie gaisa pārvadātāji varētu veikt katras personas personīgi vai tās vārdā pieteikta ceļojuma rezervācijas apstrādi un kontrol</w:t>
      </w:r>
      <w:r>
        <w:rPr>
          <w:noProof/>
        </w:rPr>
        <w:t>i, un kurš iekļauts vai nu rezervācijas sistēmās, izlidošanas kontroles sistēmās (ko izmanto, lai reģistrētu pasažierus lidojumiem), vai līdzvērtīgās sistēmās, kas nodrošina tādas pašas funkcijas; konkrēti šajā sadaļā PDR datus veido elementi, kas izklāstī</w:t>
      </w:r>
      <w:r>
        <w:rPr>
          <w:noProof/>
        </w:rPr>
        <w:t xml:space="preserve">ti </w:t>
      </w:r>
      <w:r>
        <w:rPr>
          <w:noProof/>
          <w:u w:color="000000"/>
        </w:rPr>
        <w:t>LAW-2. PIELIKUMĀ</w:t>
      </w:r>
      <w:r>
        <w:rPr>
          <w:noProof/>
        </w:rPr>
        <w:t>;</w:t>
      </w:r>
    </w:p>
    <w:p w:rsidR="003E022D" w:rsidRDefault="007D19D6">
      <w:pPr>
        <w:numPr>
          <w:ilvl w:val="1"/>
          <w:numId w:val="17"/>
        </w:numPr>
        <w:ind w:left="567" w:hanging="567"/>
        <w:rPr>
          <w:rFonts w:cstheme="minorHAnsi"/>
          <w:noProof/>
        </w:rPr>
      </w:pPr>
      <w:bookmarkStart w:id="300" w:name="_Hlk54429721"/>
      <w:r>
        <w:rPr>
          <w:noProof/>
        </w:rPr>
        <w:t xml:space="preserve">“Apvienotās Karalistes kompetentā iestāde” Apvienotās Karalistes iestāde, kura atbildīga par PDR datu saņemšanu un apstrādi saņemšanu un apstrādi saskaņā ar šo nolīgumu; </w:t>
      </w:r>
      <w:bookmarkEnd w:id="300"/>
      <w:r>
        <w:rPr>
          <w:noProof/>
        </w:rPr>
        <w:t>Ja Apvienotajai Karalistei ir vairāk nekā viena kompetentā iestād</w:t>
      </w:r>
      <w:r>
        <w:rPr>
          <w:noProof/>
        </w:rPr>
        <w:t xml:space="preserve">e, tā nodrošina pasažieru datu vienloga sistēmu, kas ļauj gaisa pārvadātājiem pārsūtīt PDR datus vienam datu pārsūtīšanas ievades punktam, un norīko vienu kontaktpunktu pieprasījumu saņemšanai un iesniegšanai atbilstoši </w:t>
      </w:r>
      <w:r>
        <w:rPr>
          <w:noProof/>
          <w:u w:color="000000"/>
        </w:rPr>
        <w:t>LAW.PNR.22. pantam [Policijas un tie</w:t>
      </w:r>
      <w:r>
        <w:rPr>
          <w:noProof/>
          <w:u w:color="000000"/>
        </w:rPr>
        <w:t>su iestāžu sadarbība]</w:t>
      </w:r>
      <w:r>
        <w:rPr>
          <w:noProof/>
        </w:rPr>
        <w:t>;</w:t>
      </w:r>
    </w:p>
    <w:p w:rsidR="003E022D" w:rsidRDefault="007D19D6">
      <w:pPr>
        <w:numPr>
          <w:ilvl w:val="1"/>
          <w:numId w:val="17"/>
        </w:numPr>
        <w:ind w:left="567" w:hanging="567"/>
        <w:rPr>
          <w:rFonts w:cstheme="minorHAnsi"/>
          <w:noProof/>
        </w:rPr>
      </w:pPr>
      <w:r>
        <w:rPr>
          <w:noProof/>
        </w:rPr>
        <w:t>“pasažieru informācijas vienības" ("PIU") ir dalībvalstu izveidotas vai izraudzītas vienības, kas ir atbildīgas par PDR datu saņemšanu un apstrādi;</w:t>
      </w:r>
    </w:p>
    <w:p w:rsidR="003E022D" w:rsidRDefault="007D19D6">
      <w:pPr>
        <w:numPr>
          <w:ilvl w:val="1"/>
          <w:numId w:val="17"/>
        </w:numPr>
        <w:ind w:left="567" w:hanging="567"/>
        <w:rPr>
          <w:rFonts w:eastAsia="Arial" w:cstheme="minorHAnsi"/>
          <w:noProof/>
        </w:rPr>
      </w:pPr>
      <w:r>
        <w:rPr>
          <w:noProof/>
        </w:rPr>
        <w:t xml:space="preserve">“terorisms” ir jebkurš nodarījums, kas uzskaitīts </w:t>
      </w:r>
      <w:r>
        <w:rPr>
          <w:noProof/>
          <w:u w:color="000000"/>
        </w:rPr>
        <w:t>LAW-7. PIELIKUMĀ</w:t>
      </w:r>
      <w:r>
        <w:rPr>
          <w:noProof/>
        </w:rPr>
        <w:t>;</w:t>
      </w:r>
    </w:p>
    <w:p w:rsidR="003E022D" w:rsidRDefault="007D19D6">
      <w:pPr>
        <w:numPr>
          <w:ilvl w:val="1"/>
          <w:numId w:val="17"/>
        </w:numPr>
        <w:ind w:left="567" w:hanging="567"/>
        <w:rPr>
          <w:rFonts w:eastAsia="Arial" w:cstheme="minorHAnsi"/>
          <w:noProof/>
        </w:rPr>
      </w:pPr>
      <w:r>
        <w:rPr>
          <w:noProof/>
        </w:rPr>
        <w:t>"smagi noziegumi"</w:t>
      </w:r>
      <w:r>
        <w:rPr>
          <w:noProof/>
        </w:rPr>
        <w:t xml:space="preserve"> ir jebkurš nodarījums, par kuru var piemērot brīvības atņemšanas sodu vai ar brīvības atņemšanu saistītu drošības līdzekli, kura maksimālais ilgums ir vismaz trīs gadi, saskaņā ar Apvienotās Karalistes iekšzemes tiesību aktiem;</w:t>
      </w:r>
    </w:p>
    <w:p w:rsidR="003E022D" w:rsidRDefault="007D19D6">
      <w:pPr>
        <w:pStyle w:val="Article"/>
        <w:rPr>
          <w:noProof/>
        </w:rPr>
      </w:pPr>
      <w:bookmarkStart w:id="301" w:name="_ARTICLE_11_1"/>
      <w:bookmarkStart w:id="302" w:name="_Ref31731123"/>
      <w:bookmarkStart w:id="303" w:name="_Toc58920230"/>
      <w:bookmarkEnd w:id="301"/>
      <w:r>
        <w:rPr>
          <w:noProof/>
        </w:rPr>
        <w:t>LAW.PNR.20. pants</w:t>
      </w:r>
      <w:bookmarkEnd w:id="302"/>
      <w:r>
        <w:rPr>
          <w:noProof/>
        </w:rPr>
        <w:t>. PDR datu</w:t>
      </w:r>
      <w:r>
        <w:rPr>
          <w:noProof/>
        </w:rPr>
        <w:t xml:space="preserve"> izmantošanas nolūks</w:t>
      </w:r>
      <w:bookmarkEnd w:id="303"/>
    </w:p>
    <w:p w:rsidR="003E022D" w:rsidRDefault="007D19D6">
      <w:pPr>
        <w:numPr>
          <w:ilvl w:val="0"/>
          <w:numId w:val="18"/>
        </w:numPr>
        <w:ind w:left="0" w:firstLine="0"/>
        <w:rPr>
          <w:rFonts w:cstheme="minorHAnsi"/>
          <w:noProof/>
        </w:rPr>
      </w:pPr>
      <w:r>
        <w:rPr>
          <w:noProof/>
        </w:rPr>
        <w:t>Apvienotā Karaliste nodrošina, ka saskaņā ar šo sadaļu saņemtos PDR datus apstrādā vienīgi, lai novērstu, atklātu, izmeklētu terorismu vai smagus noziegumus vai sauktu pie atbildības par tiem, un lai pārraudzītu PDR datu apstrādi, ievē</w:t>
      </w:r>
      <w:r>
        <w:rPr>
          <w:noProof/>
        </w:rPr>
        <w:t>rojot šā nolīguma noteikumus.</w:t>
      </w:r>
    </w:p>
    <w:p w:rsidR="003E022D" w:rsidRDefault="007D19D6">
      <w:pPr>
        <w:numPr>
          <w:ilvl w:val="0"/>
          <w:numId w:val="18"/>
        </w:numPr>
        <w:ind w:left="0" w:firstLine="0"/>
        <w:rPr>
          <w:rFonts w:cstheme="minorHAnsi"/>
          <w:noProof/>
        </w:rPr>
      </w:pPr>
      <w:r>
        <w:rPr>
          <w:noProof/>
        </w:rPr>
        <w:t xml:space="preserve"> Izņēmuma gadījumos Apvienotās Karalistes kompetentā iestāde var apstrādāt PDR datus, ja tas ir vajadzīgs, lai aizsargātu kādas fiziskas personas vitālas intereses, piemēram:</w:t>
      </w:r>
    </w:p>
    <w:p w:rsidR="003E022D" w:rsidRDefault="007D19D6">
      <w:pPr>
        <w:numPr>
          <w:ilvl w:val="1"/>
          <w:numId w:val="18"/>
        </w:numPr>
        <w:ind w:left="567" w:hanging="567"/>
        <w:rPr>
          <w:rFonts w:cstheme="minorHAnsi"/>
          <w:noProof/>
        </w:rPr>
      </w:pPr>
      <w:r>
        <w:rPr>
          <w:noProof/>
        </w:rPr>
        <w:t>dzīvības apdraudējuma vai nopietna ievainojuma risk</w:t>
      </w:r>
      <w:r>
        <w:rPr>
          <w:noProof/>
        </w:rPr>
        <w:t>a gadījumā; vai</w:t>
      </w:r>
    </w:p>
    <w:p w:rsidR="003E022D" w:rsidRDefault="007D19D6">
      <w:pPr>
        <w:numPr>
          <w:ilvl w:val="1"/>
          <w:numId w:val="18"/>
        </w:numPr>
        <w:ind w:left="567" w:hanging="567"/>
        <w:rPr>
          <w:rFonts w:cstheme="minorHAnsi"/>
          <w:noProof/>
        </w:rPr>
      </w:pPr>
      <w:r>
        <w:rPr>
          <w:noProof/>
        </w:rPr>
        <w:t>būtiska sabiedrības veselības apdraudējuma gadījumā, jo īpaši saskaņā ar starptautiski atzītiem standartiem.</w:t>
      </w:r>
    </w:p>
    <w:p w:rsidR="003E022D" w:rsidRDefault="007D19D6">
      <w:pPr>
        <w:numPr>
          <w:ilvl w:val="0"/>
          <w:numId w:val="18"/>
        </w:numPr>
        <w:ind w:left="0" w:firstLine="0"/>
        <w:rPr>
          <w:rFonts w:cstheme="minorHAnsi"/>
          <w:noProof/>
        </w:rPr>
      </w:pPr>
      <w:r>
        <w:rPr>
          <w:noProof/>
        </w:rPr>
        <w:t>Apvienotās Karalistes kompetentā iestāde var arī apstrādāt PDR datus, katru gadījumu izskatot atsevišķi, ja attiecīgo PDR datu izpa</w:t>
      </w:r>
      <w:r>
        <w:rPr>
          <w:noProof/>
        </w:rPr>
        <w:t>ušanu pieprasa Apvienotās Karalistes tiesa vai administratīvā tiesa tiesvedībā, kas ir tieši saistīta ar jebkuru</w:t>
      </w:r>
      <w:r>
        <w:rPr>
          <w:rStyle w:val="Bodytext20"/>
          <w:noProof/>
        </w:rPr>
        <w:t>1. punktā minētu</w:t>
      </w:r>
      <w:r>
        <w:rPr>
          <w:noProof/>
        </w:rPr>
        <w:t xml:space="preserve"> nolūku.</w:t>
      </w:r>
    </w:p>
    <w:p w:rsidR="003E022D" w:rsidRDefault="007D19D6">
      <w:pPr>
        <w:pStyle w:val="Article"/>
        <w:rPr>
          <w:noProof/>
        </w:rPr>
      </w:pPr>
      <w:bookmarkStart w:id="304" w:name="_Toc29895922"/>
      <w:bookmarkStart w:id="305" w:name="_Toc58920231"/>
      <w:r>
        <w:rPr>
          <w:noProof/>
        </w:rPr>
        <w:t xml:space="preserve">LAW.PNR.21. pants. </w:t>
      </w:r>
      <w:bookmarkEnd w:id="304"/>
      <w:r>
        <w:rPr>
          <w:noProof/>
        </w:rPr>
        <w:t>PDR datu sniegšanas nodrošināšana</w:t>
      </w:r>
      <w:bookmarkEnd w:id="305"/>
    </w:p>
    <w:p w:rsidR="003E022D" w:rsidRDefault="007D19D6">
      <w:pPr>
        <w:numPr>
          <w:ilvl w:val="0"/>
          <w:numId w:val="19"/>
        </w:numPr>
        <w:ind w:left="0" w:firstLine="0"/>
        <w:rPr>
          <w:rFonts w:cstheme="minorHAnsi"/>
          <w:noProof/>
        </w:rPr>
      </w:pPr>
      <w:r>
        <w:rPr>
          <w:noProof/>
        </w:rPr>
        <w:t>Savienība nodrošina, lai gaisa pārvadātājiem netiktu liegts PDR da</w:t>
      </w:r>
      <w:r>
        <w:rPr>
          <w:noProof/>
        </w:rPr>
        <w:t>tus pārsūtīt Apvienotās Karalistes kompetentajai iestādei saskaņā ar šo sadaļu.</w:t>
      </w:r>
    </w:p>
    <w:p w:rsidR="003E022D" w:rsidRDefault="007D19D6">
      <w:pPr>
        <w:numPr>
          <w:ilvl w:val="0"/>
          <w:numId w:val="19"/>
        </w:numPr>
        <w:ind w:left="0" w:firstLine="0"/>
        <w:rPr>
          <w:rFonts w:eastAsia="Arial" w:cstheme="minorHAnsi"/>
          <w:noProof/>
        </w:rPr>
      </w:pPr>
      <w:r>
        <w:rPr>
          <w:noProof/>
        </w:rPr>
        <w:t>Savienība nodrošina, ka gaisa pārvadātāji var PDR datus pārsūtīt Apvienotās Karalistes kompetentajai iestādei ar pilnvarotu pārstāvju starpniecību, kuri rīkojas gaisa pārvadātā</w:t>
      </w:r>
      <w:r>
        <w:rPr>
          <w:noProof/>
        </w:rPr>
        <w:t>ja vārdā un atbildībā saskaņā ar šo sadaļu.</w:t>
      </w:r>
    </w:p>
    <w:p w:rsidR="003E022D" w:rsidRDefault="007D19D6">
      <w:pPr>
        <w:numPr>
          <w:ilvl w:val="0"/>
          <w:numId w:val="19"/>
        </w:numPr>
        <w:ind w:left="0" w:firstLine="0"/>
        <w:rPr>
          <w:rFonts w:cstheme="minorHAnsi"/>
          <w:noProof/>
        </w:rPr>
      </w:pPr>
      <w:r>
        <w:rPr>
          <w:noProof/>
        </w:rPr>
        <w:t>Apvienotā Karaliste nepieprasa gaisa pārvadātājam sniegt PDR datu elementus, kurus gaisa pārvadātājs neapkopo vai neglabā saistībā ar rezervācijas veikšanu.</w:t>
      </w:r>
    </w:p>
    <w:p w:rsidR="003E022D" w:rsidRDefault="007D19D6">
      <w:pPr>
        <w:numPr>
          <w:ilvl w:val="0"/>
          <w:numId w:val="19"/>
        </w:numPr>
        <w:ind w:left="0" w:firstLine="0"/>
        <w:rPr>
          <w:rFonts w:cstheme="minorHAnsi"/>
          <w:noProof/>
        </w:rPr>
      </w:pPr>
      <w:r>
        <w:rPr>
          <w:noProof/>
        </w:rPr>
        <w:t>Apvienotā Karaliste, datus, ko tai saskaņā ar šo sadaļu</w:t>
      </w:r>
      <w:r>
        <w:rPr>
          <w:noProof/>
        </w:rPr>
        <w:t xml:space="preserve"> pārsūtījis gaisa pārvadātājs, pēc to saņemšanas nekavējoties dzēš, ja šie dati nav uzskaitīti </w:t>
      </w:r>
      <w:r>
        <w:rPr>
          <w:noProof/>
          <w:u w:color="000000"/>
        </w:rPr>
        <w:t>LAW-2. PIELIKUMĀ</w:t>
      </w:r>
      <w:r>
        <w:rPr>
          <w:noProof/>
        </w:rPr>
        <w:t>.</w:t>
      </w:r>
    </w:p>
    <w:p w:rsidR="003E022D" w:rsidRDefault="007D19D6">
      <w:pPr>
        <w:pStyle w:val="Article"/>
        <w:rPr>
          <w:noProof/>
          <w:lang w:val="fr-BE"/>
        </w:rPr>
      </w:pPr>
      <w:bookmarkStart w:id="306" w:name="_Toc29895926"/>
      <w:bookmarkStart w:id="307" w:name="_Toc58920232"/>
      <w:r>
        <w:rPr>
          <w:noProof/>
          <w:lang w:val="fr-BE"/>
        </w:rPr>
        <w:t>LAW.PNR.22. pants. Policijas un tiesu iestāžu sadarbība</w:t>
      </w:r>
      <w:bookmarkEnd w:id="306"/>
      <w:bookmarkEnd w:id="307"/>
    </w:p>
    <w:p w:rsidR="003E022D" w:rsidRDefault="007D19D6">
      <w:pPr>
        <w:numPr>
          <w:ilvl w:val="0"/>
          <w:numId w:val="122"/>
        </w:numPr>
        <w:ind w:left="0" w:firstLine="0"/>
        <w:rPr>
          <w:rFonts w:eastAsia="Arial" w:cstheme="minorHAnsi"/>
          <w:noProof/>
          <w:lang w:val="fr-BE"/>
        </w:rPr>
      </w:pPr>
      <w:r>
        <w:rPr>
          <w:noProof/>
          <w:lang w:val="fr-BE"/>
        </w:rPr>
        <w:t xml:space="preserve">Apvienotā Karaliste dalās ar Eiropolu vai </w:t>
      </w:r>
      <w:r>
        <w:rPr>
          <w:i/>
          <w:noProof/>
          <w:lang w:val="fr-BE"/>
        </w:rPr>
        <w:t>Eurojust</w:t>
      </w:r>
      <w:r>
        <w:rPr>
          <w:noProof/>
          <w:lang w:val="fr-BE"/>
        </w:rPr>
        <w:t>, to attiecīgo pilnvaru ietvaros, vai</w:t>
      </w:r>
      <w:r>
        <w:rPr>
          <w:noProof/>
          <w:lang w:val="fr-BE"/>
        </w:rPr>
        <w:t xml:space="preserve"> dalībvalstu pasažieru informācijas vienībām ar visu attiecīgo un saistīto analītisko informāciju, kas satur PDR datus, konkrētos gadījumos un iespējami drīz, ja tas nepieciešams, lai novērstu, atklātu, izmeklētu terorismu vai smagus noziegumus vai sauktu </w:t>
      </w:r>
      <w:r>
        <w:rPr>
          <w:noProof/>
          <w:lang w:val="fr-BE"/>
        </w:rPr>
        <w:t>pie atbildības par tiem.</w:t>
      </w:r>
    </w:p>
    <w:p w:rsidR="003E022D" w:rsidRDefault="007D19D6">
      <w:pPr>
        <w:numPr>
          <w:ilvl w:val="0"/>
          <w:numId w:val="122"/>
        </w:numPr>
        <w:ind w:left="0" w:firstLine="0"/>
        <w:rPr>
          <w:rFonts w:cstheme="minorHAnsi"/>
          <w:b/>
          <w:noProof/>
          <w:u w:val="single"/>
          <w:lang w:val="fr-BE"/>
        </w:rPr>
      </w:pPr>
      <w:r>
        <w:rPr>
          <w:noProof/>
          <w:lang w:val="fr-BE"/>
        </w:rPr>
        <w:t xml:space="preserve">Pēc Eiropola vai </w:t>
      </w:r>
      <w:r>
        <w:rPr>
          <w:i/>
          <w:noProof/>
          <w:lang w:val="fr-BE"/>
        </w:rPr>
        <w:t>Eurojust</w:t>
      </w:r>
      <w:r>
        <w:rPr>
          <w:noProof/>
          <w:lang w:val="fr-BE"/>
        </w:rPr>
        <w:t xml:space="preserve"> to attiecīgo pilnvaru ietvaros vai dalībvalsts pasažieru informācijas vienības lūguma Apvienotās Karalistes kompetentā iestāde konkrētos gadījumos dalās ar PDR datiem, minēto datu apstrādes rezultātiem vai</w:t>
      </w:r>
      <w:r>
        <w:rPr>
          <w:noProof/>
          <w:lang w:val="fr-BE"/>
        </w:rPr>
        <w:t xml:space="preserve"> analītisku informāciju, kas satur PDR datus, ja tas nepieciešams, lai novērstu, atklātu, izmeklētu teroristu nodarījumus vai smagus noziegumus vai sauktu pie atbildības par tiem.</w:t>
      </w:r>
    </w:p>
    <w:p w:rsidR="003E022D" w:rsidRDefault="007D19D6">
      <w:pPr>
        <w:numPr>
          <w:ilvl w:val="0"/>
          <w:numId w:val="122"/>
        </w:numPr>
        <w:ind w:left="0" w:firstLine="0"/>
        <w:rPr>
          <w:rFonts w:cstheme="minorHAnsi"/>
          <w:noProof/>
          <w:lang w:val="fr-BE"/>
        </w:rPr>
      </w:pPr>
      <w:r>
        <w:rPr>
          <w:noProof/>
          <w:lang w:val="fr-BE"/>
        </w:rPr>
        <w:t>Dalībvalstu pasažieru informācijas vienības dalās ar Apvienotās Karalistes k</w:t>
      </w:r>
      <w:r>
        <w:rPr>
          <w:noProof/>
          <w:lang w:val="fr-BE"/>
        </w:rPr>
        <w:t>ompetento iestādi ar visu attiecīgo un saistīto analītisko informāciju, kas satur PDR datus, konkrētos gadījumos un iespējami drīz, ja tas nepieciešams, lai novērstu, atklātu, izmeklētu terorismu vai smagus noziegumus vai sauktu pie atbildības par tiem.</w:t>
      </w:r>
    </w:p>
    <w:p w:rsidR="003E022D" w:rsidRDefault="007D19D6">
      <w:pPr>
        <w:numPr>
          <w:ilvl w:val="0"/>
          <w:numId w:val="122"/>
        </w:numPr>
        <w:ind w:left="0" w:firstLine="0"/>
        <w:rPr>
          <w:rFonts w:cstheme="minorHAnsi"/>
          <w:noProof/>
          <w:lang w:val="fr-BE"/>
        </w:rPr>
      </w:pPr>
      <w:r>
        <w:rPr>
          <w:noProof/>
          <w:lang w:val="fr-BE"/>
        </w:rPr>
        <w:t>Pē</w:t>
      </w:r>
      <w:r>
        <w:rPr>
          <w:noProof/>
          <w:lang w:val="fr-BE"/>
        </w:rPr>
        <w:t>c Apvienotās Karalistes kompetentās iestādes lūguma dalībvalstu pasažieru informācijas vienības konkrētos gadījumos dalās ar PDR datiem, minēto datu apstrādes rezultātiem vai analītisku informāciju, kas satur PDR datus, ja tas nepieciešams, lai novērstu, a</w:t>
      </w:r>
      <w:r>
        <w:rPr>
          <w:noProof/>
          <w:lang w:val="fr-BE"/>
        </w:rPr>
        <w:t>tklātu, izmeklētu terorismu vai smagus noziegumus vai sauktu pie atbildības par tiem.</w:t>
      </w:r>
    </w:p>
    <w:p w:rsidR="003E022D" w:rsidRDefault="007D19D6">
      <w:pPr>
        <w:numPr>
          <w:ilvl w:val="0"/>
          <w:numId w:val="122"/>
        </w:numPr>
        <w:ind w:left="0" w:firstLine="0"/>
        <w:rPr>
          <w:rFonts w:cstheme="minorHAnsi"/>
          <w:noProof/>
          <w:lang w:val="fr-BE"/>
        </w:rPr>
      </w:pPr>
      <w:r>
        <w:rPr>
          <w:noProof/>
          <w:lang w:val="fr-BE"/>
        </w:rPr>
        <w:t>Puses nodrošina to, ka 1. līdz 4. punktā minēto informāciju sniedz saskaņā ar nolīgumiem un ievērojot vienošanās par tiesību aizsardzību vai informācijas apmaiņu starp Ap</w:t>
      </w:r>
      <w:r>
        <w:rPr>
          <w:noProof/>
          <w:lang w:val="fr-BE"/>
        </w:rPr>
        <w:t xml:space="preserve">vienoto Karalisti un Eiropolu, </w:t>
      </w:r>
      <w:r>
        <w:rPr>
          <w:i/>
          <w:noProof/>
          <w:lang w:val="fr-BE"/>
        </w:rPr>
        <w:t>Eurojust</w:t>
      </w:r>
      <w:r>
        <w:rPr>
          <w:noProof/>
          <w:lang w:val="fr-BE"/>
        </w:rPr>
        <w:t xml:space="preserve"> vai attiecīgo dalībvalsti. Konkrēti, informācijas apmaiņa ar Eiropolu saskaņā ar šo pantu notiek, izmantojot drošo sakaru līniju, kas izveidota informācijas apmaiņai ar Eiropola starpniecību.</w:t>
      </w:r>
    </w:p>
    <w:p w:rsidR="003E022D" w:rsidRDefault="007D19D6">
      <w:pPr>
        <w:numPr>
          <w:ilvl w:val="0"/>
          <w:numId w:val="122"/>
        </w:numPr>
        <w:ind w:left="0" w:firstLine="0"/>
        <w:rPr>
          <w:rFonts w:cstheme="minorHAnsi"/>
          <w:noProof/>
          <w:lang w:val="fr-BE"/>
        </w:rPr>
      </w:pPr>
      <w:r>
        <w:rPr>
          <w:noProof/>
          <w:lang w:val="fr-BE"/>
        </w:rPr>
        <w:t>Apvienotās Karalistes ko</w:t>
      </w:r>
      <w:r>
        <w:rPr>
          <w:noProof/>
          <w:lang w:val="fr-BE"/>
        </w:rPr>
        <w:t>mpetentā iestāde un dalībvalstu pasažieru informācijas vienības nodrošina, ka apmaiņa atbilstoši 1. līdz 4. punktam notiek tikai ar minimālo nepieciešamo PDR datu apjomu.</w:t>
      </w:r>
    </w:p>
    <w:p w:rsidR="003E022D" w:rsidRDefault="007D19D6">
      <w:pPr>
        <w:pStyle w:val="Article"/>
        <w:rPr>
          <w:noProof/>
          <w:lang w:val="fr-BE"/>
        </w:rPr>
      </w:pPr>
      <w:bookmarkStart w:id="308" w:name="_Toc29895928"/>
      <w:bookmarkStart w:id="309" w:name="_Toc58920233"/>
      <w:r>
        <w:rPr>
          <w:noProof/>
          <w:lang w:val="fr-BE"/>
        </w:rPr>
        <w:t>LAW.PNR.23. pants</w:t>
      </w:r>
      <w:bookmarkEnd w:id="308"/>
      <w:r>
        <w:rPr>
          <w:noProof/>
          <w:lang w:val="fr-BE"/>
        </w:rPr>
        <w:t>. Diskriminācijas aizliegums</w:t>
      </w:r>
      <w:bookmarkEnd w:id="309"/>
    </w:p>
    <w:p w:rsidR="003E022D" w:rsidRDefault="007D19D6">
      <w:pPr>
        <w:rPr>
          <w:rFonts w:cstheme="minorHAnsi"/>
          <w:noProof/>
          <w:lang w:val="fr-BE"/>
        </w:rPr>
      </w:pPr>
      <w:r>
        <w:rPr>
          <w:noProof/>
          <w:lang w:val="fr-BE"/>
        </w:rPr>
        <w:t>Apvienotā Karaliste nodrošina, ka PDR d</w:t>
      </w:r>
      <w:r>
        <w:rPr>
          <w:noProof/>
          <w:lang w:val="fr-BE"/>
        </w:rPr>
        <w:t>atu apstrādei piemērojamie aizsardzības pasākumi attiecas uz visām fiziskajām personām vienlīdzīgi, nepieļaujot pretlikumīgu diskrimināciju.</w:t>
      </w:r>
    </w:p>
    <w:p w:rsidR="003E022D" w:rsidRDefault="007D19D6">
      <w:pPr>
        <w:pStyle w:val="Article"/>
        <w:rPr>
          <w:noProof/>
          <w:lang w:val="fr-BE"/>
        </w:rPr>
      </w:pPr>
      <w:bookmarkStart w:id="310" w:name="_Toc29895930"/>
      <w:bookmarkStart w:id="311" w:name="_Toc58920234"/>
      <w:r>
        <w:rPr>
          <w:noProof/>
          <w:lang w:val="fr-BE"/>
        </w:rPr>
        <w:t>LAW.PNR.24. pants</w:t>
      </w:r>
      <w:bookmarkEnd w:id="310"/>
      <w:r>
        <w:rPr>
          <w:noProof/>
          <w:lang w:val="fr-BE"/>
        </w:rPr>
        <w:t>. Īpašu kategoriju personas datu izmantošana</w:t>
      </w:r>
      <w:bookmarkEnd w:id="311"/>
    </w:p>
    <w:p w:rsidR="003E022D" w:rsidRDefault="007D19D6">
      <w:pPr>
        <w:rPr>
          <w:rFonts w:cstheme="minorHAnsi"/>
          <w:noProof/>
          <w:lang w:val="fr-BE"/>
        </w:rPr>
      </w:pPr>
      <w:r>
        <w:rPr>
          <w:noProof/>
          <w:lang w:val="fr-BE"/>
        </w:rPr>
        <w:t xml:space="preserve">Saskaņā ar šo sadaļu </w:t>
      </w:r>
      <w:r>
        <w:rPr>
          <w:rStyle w:val="Bodytext20"/>
          <w:noProof/>
          <w:lang w:val="fr-BE"/>
        </w:rPr>
        <w:t>ir</w:t>
      </w:r>
      <w:r>
        <w:rPr>
          <w:noProof/>
          <w:lang w:val="fr-BE"/>
        </w:rPr>
        <w:t xml:space="preserve"> aizliegta visu īpašu kategoriju personas datu apstrāde. Tādā apmērā, ciktāl jebkādi PDR datos, ko pārsūta Apvienotās Karalistes kompetentajai iestādei, ir ietverti īpašu kategoriju personas dati, Apvienotās Karalistes kompetentā iestāde šādus datus dzēš.</w:t>
      </w:r>
    </w:p>
    <w:p w:rsidR="003E022D" w:rsidRDefault="007D19D6">
      <w:pPr>
        <w:pStyle w:val="Article"/>
        <w:rPr>
          <w:noProof/>
          <w:lang w:val="fr-BE"/>
        </w:rPr>
      </w:pPr>
      <w:bookmarkStart w:id="312" w:name="_Toc29895932"/>
      <w:bookmarkStart w:id="313" w:name="_Toc58920235"/>
      <w:r>
        <w:rPr>
          <w:noProof/>
          <w:lang w:val="fr-BE"/>
        </w:rPr>
        <w:t>LAW.PNR.25. pants</w:t>
      </w:r>
      <w:bookmarkEnd w:id="312"/>
      <w:r>
        <w:rPr>
          <w:noProof/>
          <w:lang w:val="fr-BE"/>
        </w:rPr>
        <w:t>. Datu drošība un integritāte</w:t>
      </w:r>
      <w:bookmarkEnd w:id="313"/>
    </w:p>
    <w:p w:rsidR="003E022D" w:rsidRDefault="007D19D6">
      <w:pPr>
        <w:numPr>
          <w:ilvl w:val="0"/>
          <w:numId w:val="20"/>
        </w:numPr>
        <w:ind w:left="0" w:firstLine="0"/>
        <w:rPr>
          <w:rFonts w:cstheme="minorHAnsi"/>
          <w:noProof/>
        </w:rPr>
      </w:pPr>
      <w:r>
        <w:rPr>
          <w:noProof/>
        </w:rPr>
        <w:t>Apvienotā Karaliste īsteno regulatīvus, procesuālus vai tehniskus pasākumus, lai aizsargātu PDR datus pret nejaušu, prettiesisku vai neatļautu piekļuvi, apstrādi vai nozaudēšanu.</w:t>
      </w:r>
    </w:p>
    <w:p w:rsidR="003E022D" w:rsidRDefault="007D19D6">
      <w:pPr>
        <w:numPr>
          <w:ilvl w:val="0"/>
          <w:numId w:val="20"/>
        </w:numPr>
        <w:ind w:left="0" w:firstLine="0"/>
        <w:rPr>
          <w:rFonts w:cstheme="minorHAnsi"/>
          <w:noProof/>
        </w:rPr>
      </w:pPr>
      <w:r>
        <w:rPr>
          <w:noProof/>
        </w:rPr>
        <w:t xml:space="preserve">Apvienotā Karaliste nodrošina </w:t>
      </w:r>
      <w:r>
        <w:rPr>
          <w:noProof/>
        </w:rPr>
        <w:t>datu atbilstības pārbaudi, kā arī aizsardzību, drošību, konfidencialitāti un integritāti. Šim nolūkam Apvienotā Karaliste:</w:t>
      </w:r>
    </w:p>
    <w:p w:rsidR="003E022D" w:rsidRDefault="007D19D6">
      <w:pPr>
        <w:numPr>
          <w:ilvl w:val="1"/>
          <w:numId w:val="20"/>
        </w:numPr>
        <w:ind w:left="567" w:hanging="567"/>
        <w:rPr>
          <w:rFonts w:cstheme="minorHAnsi"/>
          <w:noProof/>
        </w:rPr>
      </w:pPr>
      <w:r>
        <w:rPr>
          <w:noProof/>
        </w:rPr>
        <w:t>piemēro šifrēšanas, autorizēšanas un dokumentēšanas procedūras attiecībā uz PDR datiem;</w:t>
      </w:r>
    </w:p>
    <w:p w:rsidR="003E022D" w:rsidRDefault="007D19D6">
      <w:pPr>
        <w:numPr>
          <w:ilvl w:val="1"/>
          <w:numId w:val="20"/>
        </w:numPr>
        <w:ind w:left="567" w:hanging="567"/>
        <w:rPr>
          <w:rFonts w:cstheme="minorHAnsi"/>
          <w:noProof/>
        </w:rPr>
      </w:pPr>
      <w:r>
        <w:rPr>
          <w:noProof/>
        </w:rPr>
        <w:t>nodrošina piekļuvi PDR datiem vienīgi pilnvar</w:t>
      </w:r>
      <w:r>
        <w:rPr>
          <w:noProof/>
        </w:rPr>
        <w:t>otām amatpersonām;</w:t>
      </w:r>
    </w:p>
    <w:p w:rsidR="003E022D" w:rsidRDefault="007D19D6">
      <w:pPr>
        <w:numPr>
          <w:ilvl w:val="1"/>
          <w:numId w:val="20"/>
        </w:numPr>
        <w:ind w:left="567" w:hanging="567"/>
        <w:rPr>
          <w:rFonts w:cstheme="minorHAnsi"/>
          <w:noProof/>
        </w:rPr>
      </w:pPr>
      <w:r>
        <w:rPr>
          <w:noProof/>
        </w:rPr>
        <w:t>glabā PDR datus fiziski drošā vidē, kas ir aizsargāta ar piekļuves kontroli; un</w:t>
      </w:r>
    </w:p>
    <w:p w:rsidR="003E022D" w:rsidRDefault="007D19D6">
      <w:pPr>
        <w:numPr>
          <w:ilvl w:val="1"/>
          <w:numId w:val="20"/>
        </w:numPr>
        <w:ind w:left="567" w:hanging="567"/>
        <w:rPr>
          <w:rFonts w:cstheme="minorHAnsi"/>
          <w:noProof/>
        </w:rPr>
      </w:pPr>
      <w:r>
        <w:rPr>
          <w:noProof/>
        </w:rPr>
        <w:t xml:space="preserve">izveido mehānismu, kas nodrošina, ka PDR datu vaicājumi tiek veikti saskaņā ar </w:t>
      </w:r>
      <w:r>
        <w:rPr>
          <w:noProof/>
          <w:u w:color="000000"/>
        </w:rPr>
        <w:t>LAW.PNR.20. pantu [PDR datu izmantošanas nolūks</w:t>
      </w:r>
      <w:r>
        <w:rPr>
          <w:noProof/>
        </w:rPr>
        <w:t>].</w:t>
      </w:r>
    </w:p>
    <w:p w:rsidR="003E022D" w:rsidRDefault="007D19D6">
      <w:pPr>
        <w:numPr>
          <w:ilvl w:val="0"/>
          <w:numId w:val="20"/>
        </w:numPr>
        <w:ind w:left="0" w:firstLine="0"/>
        <w:rPr>
          <w:rFonts w:cstheme="minorHAnsi"/>
          <w:noProof/>
        </w:rPr>
      </w:pPr>
      <w:r>
        <w:rPr>
          <w:noProof/>
        </w:rPr>
        <w:t>Ja fiziskas personas PDR dat</w:t>
      </w:r>
      <w:r>
        <w:rPr>
          <w:noProof/>
        </w:rPr>
        <w:t>iem piekļūst vai tos izpauž bez atļaujas, Apvienotā Karaliste veic pasākumus, lai informētu attiecīgo fizisko personu, mazinātu radītā kaitējuma risku un veiktu koriģējošos pasākumus.</w:t>
      </w:r>
    </w:p>
    <w:p w:rsidR="003E022D" w:rsidRDefault="007D19D6">
      <w:pPr>
        <w:numPr>
          <w:ilvl w:val="0"/>
          <w:numId w:val="20"/>
        </w:numPr>
        <w:ind w:left="0" w:firstLine="0"/>
        <w:rPr>
          <w:rFonts w:cstheme="minorHAnsi"/>
          <w:noProof/>
        </w:rPr>
      </w:pPr>
      <w:r>
        <w:rPr>
          <w:noProof/>
        </w:rPr>
        <w:t>Apvienotās Karalistes kompetentā iestāde nekavējoties informē Specializē</w:t>
      </w:r>
      <w:r>
        <w:rPr>
          <w:noProof/>
        </w:rPr>
        <w:t>to komiteju tiesībaizsardzības un tiesu iestāžu sadarbības jomā par visiem nopietniem starpgadījumiem attiecībā uz nejaušu, prettiesisku vai neatļautu piekļuvi PDR datiem, to apstrādi vai nozaudēšanu.</w:t>
      </w:r>
    </w:p>
    <w:p w:rsidR="003E022D" w:rsidRDefault="007D19D6">
      <w:pPr>
        <w:numPr>
          <w:ilvl w:val="0"/>
          <w:numId w:val="20"/>
        </w:numPr>
        <w:ind w:left="0" w:firstLine="0"/>
        <w:rPr>
          <w:rFonts w:cstheme="minorHAnsi"/>
          <w:noProof/>
        </w:rPr>
      </w:pPr>
      <w:r>
        <w:rPr>
          <w:noProof/>
        </w:rPr>
        <w:t>Apvienotā Karaliste nodrošina to, ka par jebkuru datu d</w:t>
      </w:r>
      <w:r>
        <w:rPr>
          <w:noProof/>
        </w:rPr>
        <w:t>rošības pārkāpumu, īpaši jebkuru pārkāpumu, kas rada nejaušu vai nelikumīgu iznīcināšanu vai nejaušu nozaudēšanu, izmainīšanu, neatļautu izpaušanu vai piekļuvi datiem vai jebkādas citas nelikumīgas apstrādes formas, piemēro efektīvus un atturošus koriģējoš</w:t>
      </w:r>
      <w:r>
        <w:rPr>
          <w:noProof/>
        </w:rPr>
        <w:t>us pasākumus, kas var ietvertas sankcijas.</w:t>
      </w:r>
    </w:p>
    <w:p w:rsidR="003E022D" w:rsidRDefault="007D19D6">
      <w:pPr>
        <w:pStyle w:val="Article"/>
        <w:rPr>
          <w:noProof/>
        </w:rPr>
      </w:pPr>
      <w:bookmarkStart w:id="314" w:name="_Toc29895936"/>
      <w:bookmarkStart w:id="315" w:name="_Toc58920236"/>
      <w:r>
        <w:rPr>
          <w:noProof/>
        </w:rPr>
        <w:t>LAW.PNR.26. pants. Pārredzamība un pasažieru informēšana</w:t>
      </w:r>
      <w:bookmarkEnd w:id="314"/>
      <w:bookmarkEnd w:id="315"/>
    </w:p>
    <w:p w:rsidR="003E022D" w:rsidRDefault="007D19D6">
      <w:pPr>
        <w:numPr>
          <w:ilvl w:val="0"/>
          <w:numId w:val="21"/>
        </w:numPr>
        <w:ind w:left="0" w:firstLine="0"/>
        <w:rPr>
          <w:rFonts w:cstheme="minorHAnsi"/>
          <w:noProof/>
        </w:rPr>
      </w:pPr>
      <w:r>
        <w:rPr>
          <w:noProof/>
        </w:rPr>
        <w:t>Apvienotās Karalistes kompetentā iestāde tās tīmekļa vietnē dara pieejamu šādu informāciju:</w:t>
      </w:r>
    </w:p>
    <w:p w:rsidR="003E022D" w:rsidRDefault="007D19D6">
      <w:pPr>
        <w:numPr>
          <w:ilvl w:val="0"/>
          <w:numId w:val="27"/>
        </w:numPr>
        <w:ind w:left="567" w:hanging="567"/>
        <w:rPr>
          <w:rFonts w:cstheme="minorHAnsi"/>
          <w:noProof/>
        </w:rPr>
      </w:pPr>
      <w:r>
        <w:rPr>
          <w:noProof/>
        </w:rPr>
        <w:t>sarakstu ar tiesību aktiem, kas atļauj PDR datu vākšanu;</w:t>
      </w:r>
    </w:p>
    <w:p w:rsidR="003E022D" w:rsidRDefault="007D19D6">
      <w:pPr>
        <w:numPr>
          <w:ilvl w:val="0"/>
          <w:numId w:val="27"/>
        </w:numPr>
        <w:ind w:left="567" w:hanging="567"/>
        <w:rPr>
          <w:rFonts w:cstheme="minorHAnsi"/>
          <w:noProof/>
        </w:rPr>
      </w:pPr>
      <w:r>
        <w:rPr>
          <w:noProof/>
        </w:rPr>
        <w:t xml:space="preserve">PDR </w:t>
      </w:r>
      <w:r>
        <w:rPr>
          <w:noProof/>
        </w:rPr>
        <w:t>datu vākšanas nolūkus);</w:t>
      </w:r>
    </w:p>
    <w:p w:rsidR="003E022D" w:rsidRDefault="007D19D6">
      <w:pPr>
        <w:numPr>
          <w:ilvl w:val="0"/>
          <w:numId w:val="27"/>
        </w:numPr>
        <w:ind w:left="567" w:hanging="567"/>
        <w:rPr>
          <w:rFonts w:cstheme="minorHAnsi"/>
          <w:noProof/>
        </w:rPr>
      </w:pPr>
      <w:r>
        <w:rPr>
          <w:noProof/>
        </w:rPr>
        <w:t>informāciju par PDR datu aizsardzību;</w:t>
      </w:r>
    </w:p>
    <w:p w:rsidR="003E022D" w:rsidRDefault="007D19D6">
      <w:pPr>
        <w:numPr>
          <w:ilvl w:val="0"/>
          <w:numId w:val="27"/>
        </w:numPr>
        <w:ind w:left="567" w:hanging="567"/>
        <w:rPr>
          <w:rFonts w:cstheme="minorHAnsi"/>
          <w:noProof/>
        </w:rPr>
      </w:pPr>
      <w:r>
        <w:rPr>
          <w:noProof/>
        </w:rPr>
        <w:t>informāciju par to, kā un cik lielā mērā PDR datus var izpaust;</w:t>
      </w:r>
    </w:p>
    <w:p w:rsidR="003E022D" w:rsidRDefault="007D19D6">
      <w:pPr>
        <w:numPr>
          <w:ilvl w:val="0"/>
          <w:numId w:val="27"/>
        </w:numPr>
        <w:ind w:left="567" w:hanging="567"/>
        <w:rPr>
          <w:rFonts w:cstheme="minorHAnsi"/>
          <w:noProof/>
        </w:rPr>
      </w:pPr>
      <w:r>
        <w:rPr>
          <w:noProof/>
        </w:rPr>
        <w:t>informāciju par tiesībām uz piekļuvi datiem, to labošanu, papildināšanu un tiesību aizsardzību; un</w:t>
      </w:r>
    </w:p>
    <w:p w:rsidR="003E022D" w:rsidRDefault="007D19D6">
      <w:pPr>
        <w:numPr>
          <w:ilvl w:val="0"/>
          <w:numId w:val="27"/>
        </w:numPr>
        <w:ind w:left="567" w:hanging="567"/>
        <w:rPr>
          <w:rFonts w:cstheme="minorHAnsi"/>
          <w:noProof/>
        </w:rPr>
      </w:pPr>
      <w:r>
        <w:rPr>
          <w:noProof/>
        </w:rPr>
        <w:t>kontaktinformāciju uzziņām.</w:t>
      </w:r>
    </w:p>
    <w:p w:rsidR="003E022D" w:rsidRDefault="007D19D6">
      <w:pPr>
        <w:numPr>
          <w:ilvl w:val="0"/>
          <w:numId w:val="21"/>
        </w:numPr>
        <w:ind w:left="0" w:firstLine="0"/>
        <w:rPr>
          <w:rFonts w:cstheme="minorHAnsi"/>
          <w:noProof/>
        </w:rPr>
      </w:pPr>
      <w:r>
        <w:rPr>
          <w:noProof/>
        </w:rPr>
        <w:t>Pus</w:t>
      </w:r>
      <w:r>
        <w:rPr>
          <w:noProof/>
        </w:rPr>
        <w:t>es sadarbojas ar ieinteresētajām trešajām personām, piemēram, aviācijas un gaisa pārvadājumu nozari, lai rezervēšanas laikā veicinātu pārredzamību attiecībā uz PDR datu vākšanas, apstrādes un izmantošanas nolūku un to, kā pieprasīt piekļuvi, labošanu un ti</w:t>
      </w:r>
      <w:r>
        <w:rPr>
          <w:noProof/>
        </w:rPr>
        <w:t>esisko aizsardzību. Gaisa pārvadātāji sniedz pasažieriem skaidru un jēgpilnu informāciju par PDR datu pārsūtīšanu saskaņā ar šo sadaļu, tai skaitā informāciju par saņēmēju iestādi, pārsūtīšanas nolūku un tiesībām pieprasīt no saņēmējas iestādes piekļuvi pā</w:t>
      </w:r>
      <w:r>
        <w:rPr>
          <w:noProof/>
        </w:rPr>
        <w:t>rsūtītajiem pasažiera personas datiem un to labošanu.</w:t>
      </w:r>
    </w:p>
    <w:p w:rsidR="003E022D" w:rsidRDefault="007D19D6">
      <w:pPr>
        <w:numPr>
          <w:ilvl w:val="0"/>
          <w:numId w:val="21"/>
        </w:numPr>
        <w:ind w:left="0" w:firstLine="0"/>
        <w:rPr>
          <w:rFonts w:cstheme="minorHAnsi"/>
          <w:noProof/>
        </w:rPr>
      </w:pPr>
      <w:r>
        <w:rPr>
          <w:noProof/>
        </w:rPr>
        <w:t>Ja PDR dati, kas saglabāti saskaņā ar LAW.PNR.28. pantu [PDR datu saglabāšana] ir izmantoti, ievērojot LAW.PNR.29. panta [Nosacījumi PDR izmantošanai] nosacījumus, vai ir izpausti saskaņā ar LAW.PNR.31.</w:t>
      </w:r>
      <w:r>
        <w:rPr>
          <w:noProof/>
        </w:rPr>
        <w:t> pantu [Informācijas izpaušana Apvienotajā Karalistē] vai LAW.PNR.32. pantu [Informācijas izpaušana ārpus Apvienotās Karalistes], Apvienotā Karaliste attiecīgos pasažierus pieņemamā termiņā informē rakstiski un individuāli, tiklīdz šāds paziņojums vairs ne</w:t>
      </w:r>
      <w:r>
        <w:rPr>
          <w:noProof/>
        </w:rPr>
        <w:t>var traucēt izmeklēšanai, ko veic attiecīgās publiskās iestādes – tādā apmērā, ciktāl attiecīgā pasažieru kontaktinformācija ir pieejama vai to var izgūt, pieliekot saprātīgas pūles. Paziņojumā iekļauj informāciju par to, kā konkrētā fiziskā persona var iz</w:t>
      </w:r>
      <w:r>
        <w:rPr>
          <w:noProof/>
        </w:rPr>
        <w:t>mantot administratīvas pārsūdzības procedūras vai vērsties tiesā.</w:t>
      </w:r>
    </w:p>
    <w:p w:rsidR="003E022D" w:rsidRDefault="007D19D6">
      <w:pPr>
        <w:pStyle w:val="Article"/>
        <w:rPr>
          <w:noProof/>
        </w:rPr>
      </w:pPr>
      <w:bookmarkStart w:id="316" w:name="_ARTICLE_23"/>
      <w:bookmarkStart w:id="317" w:name="_Toc29895944"/>
      <w:bookmarkStart w:id="318" w:name="_Ref31042025"/>
      <w:bookmarkStart w:id="319" w:name="_Ref31046937"/>
      <w:bookmarkStart w:id="320" w:name="_Ref31057113"/>
      <w:bookmarkStart w:id="321" w:name="_Toc58920237"/>
      <w:bookmarkEnd w:id="316"/>
      <w:r>
        <w:rPr>
          <w:noProof/>
        </w:rPr>
        <w:t>LAW.PNR.27. pants.</w:t>
      </w:r>
      <w:bookmarkEnd w:id="317"/>
      <w:bookmarkEnd w:id="318"/>
      <w:bookmarkEnd w:id="319"/>
      <w:bookmarkEnd w:id="320"/>
      <w:r>
        <w:rPr>
          <w:noProof/>
        </w:rPr>
        <w:t xml:space="preserve"> </w:t>
      </w:r>
      <w:bookmarkStart w:id="322" w:name="_Toc29895945"/>
      <w:r>
        <w:rPr>
          <w:noProof/>
        </w:rPr>
        <w:t>PDR datu automatizēta apstrāde</w:t>
      </w:r>
      <w:bookmarkEnd w:id="321"/>
      <w:bookmarkEnd w:id="322"/>
    </w:p>
    <w:p w:rsidR="003E022D" w:rsidRDefault="007D19D6">
      <w:pPr>
        <w:numPr>
          <w:ilvl w:val="0"/>
          <w:numId w:val="22"/>
        </w:numPr>
        <w:ind w:left="0" w:firstLine="0"/>
        <w:rPr>
          <w:rFonts w:cstheme="minorHAnsi"/>
          <w:noProof/>
        </w:rPr>
      </w:pPr>
      <w:r>
        <w:rPr>
          <w:noProof/>
        </w:rPr>
        <w:t>Apvienotās Karalistes kompetentā iestāde nodrošina, ka ikvienas PDR datu automatizētas apstrādes pamatā ir nediskriminējoši, iepriekš noteik</w:t>
      </w:r>
      <w:r>
        <w:rPr>
          <w:noProof/>
        </w:rPr>
        <w:t>ti specifiski un uzticami modeļi un kritēriji, kas tai ļauj:</w:t>
      </w:r>
    </w:p>
    <w:p w:rsidR="003E022D" w:rsidRDefault="007D19D6">
      <w:pPr>
        <w:numPr>
          <w:ilvl w:val="0"/>
          <w:numId w:val="28"/>
        </w:numPr>
        <w:ind w:left="567" w:hanging="567"/>
        <w:rPr>
          <w:rFonts w:cstheme="minorHAnsi"/>
          <w:noProof/>
        </w:rPr>
      </w:pPr>
      <w:r>
        <w:rPr>
          <w:noProof/>
        </w:rPr>
        <w:t>sasniegt rezultātu, pievēršoties fiziskām personām, kuras varētu būt pamatoti turētas aizdomās par iesaistīšanos vai līdzdalību terorismā vai smagos noziegumos, vai</w:t>
      </w:r>
    </w:p>
    <w:p w:rsidR="003E022D" w:rsidRDefault="007D19D6">
      <w:pPr>
        <w:numPr>
          <w:ilvl w:val="0"/>
          <w:numId w:val="28"/>
        </w:numPr>
        <w:ind w:left="567" w:hanging="567"/>
        <w:rPr>
          <w:rFonts w:cstheme="minorHAnsi"/>
          <w:noProof/>
        </w:rPr>
      </w:pPr>
      <w:r>
        <w:rPr>
          <w:noProof/>
        </w:rPr>
        <w:t xml:space="preserve">izņēmuma apstākļos aizsargātu </w:t>
      </w:r>
      <w:r>
        <w:rPr>
          <w:noProof/>
        </w:rPr>
        <w:t xml:space="preserve">ikvienas fiziskas personas vitālas intereses, kā izklāstīts </w:t>
      </w:r>
      <w:r>
        <w:rPr>
          <w:rStyle w:val="Bodytext20"/>
          <w:noProof/>
          <w:u w:color="000000"/>
        </w:rPr>
        <w:t>LAW.PNR.20. panta [PDR datu izmantošanas nolūks]</w:t>
      </w:r>
      <w:r>
        <w:rPr>
          <w:noProof/>
        </w:rPr>
        <w:t xml:space="preserve"> </w:t>
      </w:r>
      <w:r>
        <w:rPr>
          <w:noProof/>
          <w:u w:color="000000"/>
        </w:rPr>
        <w:t>2. punktā</w:t>
      </w:r>
      <w:r>
        <w:rPr>
          <w:noProof/>
        </w:rPr>
        <w:t>.</w:t>
      </w:r>
    </w:p>
    <w:p w:rsidR="003E022D" w:rsidRDefault="007D19D6">
      <w:pPr>
        <w:numPr>
          <w:ilvl w:val="0"/>
          <w:numId w:val="22"/>
        </w:numPr>
        <w:ind w:left="0" w:firstLine="0"/>
        <w:rPr>
          <w:rFonts w:cstheme="minorHAnsi"/>
          <w:noProof/>
        </w:rPr>
      </w:pPr>
      <w:r>
        <w:rPr>
          <w:noProof/>
        </w:rPr>
        <w:t>Apvienotās Karalistes kompetentā iestāde nodrošina, ka datubāzes, ar kurām tiek salīdzināti PDR dati, ir uzticamas, atjauninātas un apro</w:t>
      </w:r>
      <w:r>
        <w:rPr>
          <w:noProof/>
        </w:rPr>
        <w:t xml:space="preserve">bežojas ar tām, ko tā izmanto saistībā ar mērķiem, kas izklāstīti LAW.PNR.20. pantā </w:t>
      </w:r>
      <w:r>
        <w:rPr>
          <w:rStyle w:val="Bodytext20"/>
          <w:noProof/>
          <w:u w:color="000000"/>
        </w:rPr>
        <w:t>[PDR datu izmantošanas nolūks]</w:t>
      </w:r>
      <w:r>
        <w:rPr>
          <w:noProof/>
        </w:rPr>
        <w:t>.</w:t>
      </w:r>
    </w:p>
    <w:p w:rsidR="003E022D" w:rsidRDefault="007D19D6">
      <w:pPr>
        <w:numPr>
          <w:ilvl w:val="0"/>
          <w:numId w:val="22"/>
        </w:numPr>
        <w:ind w:left="0" w:firstLine="0"/>
        <w:rPr>
          <w:rFonts w:cstheme="minorHAnsi"/>
          <w:noProof/>
        </w:rPr>
      </w:pPr>
      <w:r>
        <w:rPr>
          <w:noProof/>
        </w:rPr>
        <w:t>Apvienotā Karaliste nepieņem nekādus lēmumus, kas būtiski nelabvēlīgi ietekmē fizisku personu, pamatojoties vienīgi uz PDR datu automatizētu</w:t>
      </w:r>
      <w:r>
        <w:rPr>
          <w:noProof/>
        </w:rPr>
        <w:t xml:space="preserve"> apstrādi.</w:t>
      </w:r>
    </w:p>
    <w:p w:rsidR="003E022D" w:rsidRDefault="007D19D6">
      <w:pPr>
        <w:pStyle w:val="Article"/>
        <w:rPr>
          <w:noProof/>
        </w:rPr>
      </w:pPr>
      <w:bookmarkStart w:id="323" w:name="_ARTICLE_24_1"/>
      <w:bookmarkStart w:id="324" w:name="_Toc29895946"/>
      <w:bookmarkStart w:id="325" w:name="_Ref31041106"/>
      <w:bookmarkStart w:id="326" w:name="_Ref31041544"/>
      <w:bookmarkStart w:id="327" w:name="_Ref31041977"/>
      <w:bookmarkStart w:id="328" w:name="_Ref31046629"/>
      <w:bookmarkStart w:id="329" w:name="_Ref31046912"/>
      <w:bookmarkStart w:id="330" w:name="_Ref31057614"/>
      <w:bookmarkStart w:id="331" w:name="_Toc58920238"/>
      <w:bookmarkEnd w:id="323"/>
      <w:r>
        <w:rPr>
          <w:noProof/>
        </w:rPr>
        <w:t>LAW.PNR.28. pants.</w:t>
      </w:r>
      <w:bookmarkEnd w:id="324"/>
      <w:bookmarkEnd w:id="325"/>
      <w:bookmarkEnd w:id="326"/>
      <w:bookmarkEnd w:id="327"/>
      <w:bookmarkEnd w:id="328"/>
      <w:bookmarkEnd w:id="329"/>
      <w:bookmarkEnd w:id="330"/>
      <w:r>
        <w:rPr>
          <w:noProof/>
        </w:rPr>
        <w:t xml:space="preserve"> </w:t>
      </w:r>
      <w:bookmarkStart w:id="332" w:name="_Toc29895947"/>
      <w:r>
        <w:rPr>
          <w:noProof/>
        </w:rPr>
        <w:t>PDR datu saglabāšana</w:t>
      </w:r>
      <w:bookmarkEnd w:id="331"/>
      <w:bookmarkEnd w:id="332"/>
    </w:p>
    <w:p w:rsidR="003E022D" w:rsidRDefault="007D19D6">
      <w:pPr>
        <w:numPr>
          <w:ilvl w:val="0"/>
          <w:numId w:val="23"/>
        </w:numPr>
        <w:ind w:left="0" w:firstLine="0"/>
        <w:rPr>
          <w:rFonts w:cstheme="minorHAnsi"/>
          <w:noProof/>
        </w:rPr>
      </w:pPr>
      <w:r>
        <w:rPr>
          <w:noProof/>
        </w:rPr>
        <w:t xml:space="preserve">Apvienotā Karaliste neuzglabā PDR datus ilgāk par pieciem gadiem no šo datu saņemšanas dienas. </w:t>
      </w:r>
    </w:p>
    <w:p w:rsidR="003E022D" w:rsidRDefault="007D19D6">
      <w:pPr>
        <w:numPr>
          <w:ilvl w:val="0"/>
          <w:numId w:val="23"/>
        </w:numPr>
        <w:ind w:left="0" w:firstLine="0"/>
        <w:rPr>
          <w:rFonts w:cstheme="minorHAnsi"/>
          <w:noProof/>
        </w:rPr>
      </w:pPr>
      <w:r>
        <w:rPr>
          <w:noProof/>
        </w:rPr>
        <w:t>Ne vēlāk kā sešus mēnešus pēc 1. punktā minēto PDR datu pārsūtīšanas, visus PDR datus depersonalizē, maskējot</w:t>
      </w:r>
      <w:r>
        <w:rPr>
          <w:noProof/>
        </w:rPr>
        <w:t xml:space="preserve"> šādus datu elementus, ar kuru palīdzību varētu tieši identificēt pasažieri, uz kuru attiecas PDR dati, vai jebkuru citu fizisku personu:</w:t>
      </w:r>
    </w:p>
    <w:p w:rsidR="003E022D" w:rsidRDefault="007D19D6">
      <w:pPr>
        <w:numPr>
          <w:ilvl w:val="0"/>
          <w:numId w:val="29"/>
        </w:numPr>
        <w:ind w:left="567" w:hanging="567"/>
        <w:rPr>
          <w:rFonts w:cstheme="minorHAnsi"/>
          <w:noProof/>
        </w:rPr>
      </w:pPr>
      <w:r>
        <w:rPr>
          <w:noProof/>
        </w:rPr>
        <w:t>vārdi un uzvārdi, ieskaitot citu PDR iekļauto pasažieru vārdus, uzvārdus un PDR iekļauto kopā ceļojošo pasažieru skait</w:t>
      </w:r>
      <w:r>
        <w:rPr>
          <w:noProof/>
        </w:rPr>
        <w:t>u;</w:t>
      </w:r>
    </w:p>
    <w:p w:rsidR="003E022D" w:rsidRDefault="007D19D6">
      <w:pPr>
        <w:numPr>
          <w:ilvl w:val="0"/>
          <w:numId w:val="29"/>
        </w:numPr>
        <w:ind w:left="567" w:hanging="567"/>
        <w:rPr>
          <w:rFonts w:cstheme="minorHAnsi"/>
          <w:noProof/>
        </w:rPr>
      </w:pPr>
      <w:r>
        <w:rPr>
          <w:noProof/>
        </w:rPr>
        <w:t>pasažiera, personas, kura veica rezervāciju pasažierim, personu, ar kuru starpniecību var sazināties ar aviopasažieri, un personas, kuras jāinformē ārkārtas situācijā, adreses, tālruņa numuris un elektroniskā kontaktinformācija;</w:t>
      </w:r>
    </w:p>
    <w:p w:rsidR="003E022D" w:rsidRDefault="007D19D6">
      <w:pPr>
        <w:numPr>
          <w:ilvl w:val="0"/>
          <w:numId w:val="29"/>
        </w:numPr>
        <w:ind w:left="567" w:hanging="567"/>
        <w:rPr>
          <w:rFonts w:cstheme="minorHAnsi"/>
          <w:noProof/>
        </w:rPr>
      </w:pPr>
      <w:r>
        <w:rPr>
          <w:noProof/>
        </w:rPr>
        <w:t xml:space="preserve">visa pieejamā </w:t>
      </w:r>
      <w:r>
        <w:rPr>
          <w:noProof/>
        </w:rPr>
        <w:t>maksājumu/rēķinu informācija tādā apmērā, ciktāl tā satur jebkādu informāciju, ar kuras palīdzību varētu identificēt fizisku personu;</w:t>
      </w:r>
    </w:p>
    <w:p w:rsidR="003E022D" w:rsidRDefault="007D19D6">
      <w:pPr>
        <w:numPr>
          <w:ilvl w:val="0"/>
          <w:numId w:val="29"/>
        </w:numPr>
        <w:ind w:left="567" w:hanging="567"/>
        <w:rPr>
          <w:rFonts w:cstheme="minorHAnsi"/>
          <w:noProof/>
        </w:rPr>
      </w:pPr>
      <w:r>
        <w:rPr>
          <w:noProof/>
        </w:rPr>
        <w:t>bieži lidojošas personas (</w:t>
      </w:r>
      <w:r>
        <w:rPr>
          <w:i/>
          <w:noProof/>
        </w:rPr>
        <w:t>Frequent Flyer</w:t>
      </w:r>
      <w:r>
        <w:rPr>
          <w:noProof/>
        </w:rPr>
        <w:t>) informācija;</w:t>
      </w:r>
    </w:p>
    <w:p w:rsidR="003E022D" w:rsidRDefault="007D19D6">
      <w:pPr>
        <w:numPr>
          <w:ilvl w:val="0"/>
          <w:numId w:val="29"/>
        </w:numPr>
        <w:ind w:left="567" w:hanging="567"/>
        <w:rPr>
          <w:rFonts w:cstheme="minorHAnsi"/>
          <w:noProof/>
        </w:rPr>
      </w:pPr>
      <w:r>
        <w:rPr>
          <w:noProof/>
        </w:rPr>
        <w:t>cita papildu informācija (</w:t>
      </w:r>
      <w:r>
        <w:rPr>
          <w:i/>
          <w:noProof/>
        </w:rPr>
        <w:t>other supplementary information</w:t>
      </w:r>
      <w:r>
        <w:rPr>
          <w:noProof/>
        </w:rPr>
        <w:t xml:space="preserve"> — </w:t>
      </w:r>
      <w:r>
        <w:rPr>
          <w:i/>
          <w:noProof/>
        </w:rPr>
        <w:t>OSI</w:t>
      </w:r>
      <w:r>
        <w:rPr>
          <w:noProof/>
        </w:rPr>
        <w:t xml:space="preserve">), </w:t>
      </w:r>
      <w:r>
        <w:rPr>
          <w:noProof/>
        </w:rPr>
        <w:t>īpašu pakalpojumu informācija (</w:t>
      </w:r>
      <w:r>
        <w:rPr>
          <w:i/>
          <w:noProof/>
        </w:rPr>
        <w:t>special service information</w:t>
      </w:r>
      <w:r>
        <w:rPr>
          <w:noProof/>
        </w:rPr>
        <w:t xml:space="preserve"> — </w:t>
      </w:r>
      <w:r>
        <w:rPr>
          <w:i/>
          <w:noProof/>
        </w:rPr>
        <w:t>SSI</w:t>
      </w:r>
      <w:r>
        <w:rPr>
          <w:noProof/>
        </w:rPr>
        <w:t>) un īpašu pakalpojumu pieprasījuma (</w:t>
      </w:r>
      <w:r>
        <w:rPr>
          <w:i/>
          <w:noProof/>
        </w:rPr>
        <w:t>special service request</w:t>
      </w:r>
      <w:r>
        <w:rPr>
          <w:noProof/>
        </w:rPr>
        <w:t xml:space="preserve"> — </w:t>
      </w:r>
      <w:r>
        <w:rPr>
          <w:i/>
          <w:noProof/>
        </w:rPr>
        <w:t>SSR</w:t>
      </w:r>
      <w:r>
        <w:rPr>
          <w:noProof/>
        </w:rPr>
        <w:t>) informācija tādā apmērā, ciktāl tā satur jebkādu informāciju, ar kuras palīdzību varētu identificēt fizisku personu; un</w:t>
      </w:r>
    </w:p>
    <w:p w:rsidR="003E022D" w:rsidRDefault="007D19D6">
      <w:pPr>
        <w:numPr>
          <w:ilvl w:val="0"/>
          <w:numId w:val="29"/>
        </w:numPr>
        <w:ind w:left="567" w:hanging="567"/>
        <w:rPr>
          <w:rFonts w:cstheme="minorHAnsi"/>
          <w:noProof/>
        </w:rPr>
      </w:pPr>
      <w:r>
        <w:rPr>
          <w:noProof/>
        </w:rPr>
        <w:t>iepr</w:t>
      </w:r>
      <w:r>
        <w:rPr>
          <w:noProof/>
        </w:rPr>
        <w:t>iekšējas pasažieru informācijas (</w:t>
      </w:r>
      <w:r>
        <w:rPr>
          <w:i/>
          <w:noProof/>
        </w:rPr>
        <w:t>advance passenger information</w:t>
      </w:r>
      <w:r>
        <w:rPr>
          <w:noProof/>
        </w:rPr>
        <w:t xml:space="preserve"> – API) dati.</w:t>
      </w:r>
    </w:p>
    <w:p w:rsidR="003E022D" w:rsidRDefault="007D19D6">
      <w:pPr>
        <w:numPr>
          <w:ilvl w:val="0"/>
          <w:numId w:val="23"/>
        </w:numPr>
        <w:ind w:left="0" w:firstLine="0"/>
        <w:rPr>
          <w:rFonts w:eastAsia="Arial" w:cstheme="minorHAnsi"/>
          <w:noProof/>
        </w:rPr>
      </w:pPr>
      <w:r>
        <w:rPr>
          <w:noProof/>
        </w:rPr>
        <w:t xml:space="preserve">Apvienotās Karalistes kompetentā iestāde var noņemt PDR datu maskējumu tikai tad, ja tas nepieciešams nolūkiem, kas izklāstīti </w:t>
      </w:r>
      <w:r>
        <w:rPr>
          <w:noProof/>
          <w:u w:color="000000"/>
        </w:rPr>
        <w:t>LAW.PNR.20. pantā [PDR datu izmantošanas nolūks]</w:t>
      </w:r>
      <w:r>
        <w:rPr>
          <w:noProof/>
        </w:rPr>
        <w:t>. Šād</w:t>
      </w:r>
      <w:r>
        <w:rPr>
          <w:noProof/>
        </w:rPr>
        <w:t xml:space="preserve">i PDR dati bez maskējuma ir pieejami tikai ierobežotam skaitam īpaši pilnvarotu amatpersonu. </w:t>
      </w:r>
    </w:p>
    <w:p w:rsidR="003E022D" w:rsidRDefault="007D19D6">
      <w:pPr>
        <w:numPr>
          <w:ilvl w:val="0"/>
          <w:numId w:val="23"/>
        </w:numPr>
        <w:ind w:left="0" w:firstLine="0"/>
        <w:rPr>
          <w:rFonts w:cstheme="minorHAnsi"/>
          <w:noProof/>
        </w:rPr>
      </w:pPr>
      <w:r>
        <w:rPr>
          <w:noProof/>
        </w:rPr>
        <w:t>Neatkarīgi no 1. punkta, Apvienotā Karaliste dzēš pasažieru PDR datus pēc viņu izceļošanas no valsts, izņemot gadījumus, kad riska novērtējumā norādīta nepiecieša</w:t>
      </w:r>
      <w:r>
        <w:rPr>
          <w:noProof/>
        </w:rPr>
        <w:t>mība saglabāt šādus PDR datus. Lai konstatētu minēto nepieciešamību, Apvienotā Karaliste identificē objektīvus pierādījumus, kas varētu liecināt par to, ka konkrēti pasažieri rada risku saistībā ar cīņu pret terorismu un smagiem noziegumiem.</w:t>
      </w:r>
    </w:p>
    <w:p w:rsidR="003E022D" w:rsidRDefault="007D19D6">
      <w:pPr>
        <w:numPr>
          <w:ilvl w:val="0"/>
          <w:numId w:val="23"/>
        </w:numPr>
        <w:ind w:left="0" w:firstLine="0"/>
        <w:rPr>
          <w:rFonts w:cstheme="minorHAnsi"/>
          <w:noProof/>
        </w:rPr>
      </w:pPr>
      <w:r>
        <w:rPr>
          <w:noProof/>
        </w:rPr>
        <w:t>Panta 4. punkt</w:t>
      </w:r>
      <w:r>
        <w:rPr>
          <w:noProof/>
        </w:rPr>
        <w:t>a nolūkos, ja vien informācija nav pieejama tieši izceļošanas dienā, par izceļošanas dienu būtu jāuzskata tā perioda pēdējā diena, kad beidzas attiecīgā pasažiera maksimālā likumīgā uzturēšanās Apvienotajā Karalistē.</w:t>
      </w:r>
    </w:p>
    <w:p w:rsidR="003E022D" w:rsidRDefault="007D19D6">
      <w:pPr>
        <w:numPr>
          <w:ilvl w:val="0"/>
          <w:numId w:val="23"/>
        </w:numPr>
        <w:ind w:left="0" w:firstLine="0"/>
        <w:rPr>
          <w:rStyle w:val="Bodytext20"/>
          <w:rFonts w:cstheme="minorHAnsi"/>
          <w:noProof/>
        </w:rPr>
      </w:pPr>
      <w:r>
        <w:rPr>
          <w:noProof/>
        </w:rPr>
        <w:t>Saskaņā ar šo pantu saglabātus datus iz</w:t>
      </w:r>
      <w:r>
        <w:rPr>
          <w:noProof/>
        </w:rPr>
        <w:t>manto, ievērojot LAW.PNR.29. panta [Nosacījumi PDR izmantošanai] nosacījumus.</w:t>
      </w:r>
    </w:p>
    <w:p w:rsidR="003E022D" w:rsidRDefault="007D19D6">
      <w:pPr>
        <w:numPr>
          <w:ilvl w:val="0"/>
          <w:numId w:val="23"/>
        </w:numPr>
        <w:ind w:left="0" w:firstLine="0"/>
        <w:rPr>
          <w:rFonts w:cstheme="minorHAnsi"/>
          <w:noProof/>
        </w:rPr>
      </w:pPr>
      <w:r>
        <w:rPr>
          <w:noProof/>
        </w:rPr>
        <w:t>Neatkarīga administratīva struktūra Apvienotajā Karalistē katru gadu novērtē Apvienotās Karalistes kompetentās iestādes pieeju attiecībā uz nepieciešamību saglabāt PDR datus sask</w:t>
      </w:r>
      <w:r>
        <w:rPr>
          <w:noProof/>
        </w:rPr>
        <w:t>aņā ar 4. punktu.</w:t>
      </w:r>
    </w:p>
    <w:p w:rsidR="003E022D" w:rsidRDefault="007D19D6">
      <w:pPr>
        <w:numPr>
          <w:ilvl w:val="0"/>
          <w:numId w:val="23"/>
        </w:numPr>
        <w:ind w:left="0" w:firstLine="0"/>
        <w:rPr>
          <w:rFonts w:cstheme="minorHAnsi"/>
          <w:noProof/>
        </w:rPr>
      </w:pPr>
      <w:r>
        <w:rPr>
          <w:noProof/>
        </w:rPr>
        <w:t>Neatkarīgi no 1., 2. un 4. punkta, Apvienotā Karaliste var saglabāt datus, kas vajadzīgi kādai konkrētai rīcībai, pārskatīšanai, izmeklēšanai, izpildes darbībai, tiesvedībai vai sodu izpildei, līdz attiecīgā darbība ir pabeigta.</w:t>
      </w:r>
    </w:p>
    <w:p w:rsidR="003E022D" w:rsidRDefault="007D19D6">
      <w:pPr>
        <w:numPr>
          <w:ilvl w:val="0"/>
          <w:numId w:val="23"/>
        </w:numPr>
        <w:ind w:left="0" w:firstLine="0"/>
        <w:rPr>
          <w:rFonts w:cstheme="minorHAnsi"/>
          <w:noProof/>
        </w:rPr>
      </w:pPr>
      <w:r>
        <w:rPr>
          <w:noProof/>
        </w:rPr>
        <w:t>Apvienotā</w:t>
      </w:r>
      <w:r>
        <w:rPr>
          <w:noProof/>
        </w:rPr>
        <w:t xml:space="preserve"> Karaliste dzēš PDR datus pēc PDR datu uzglabāšanas termiņa beigām.</w:t>
      </w:r>
    </w:p>
    <w:p w:rsidR="003E022D" w:rsidRDefault="007D19D6">
      <w:pPr>
        <w:numPr>
          <w:ilvl w:val="0"/>
          <w:numId w:val="23"/>
        </w:numPr>
        <w:ind w:left="0" w:firstLine="0"/>
        <w:rPr>
          <w:rFonts w:cstheme="minorHAnsi"/>
          <w:noProof/>
        </w:rPr>
      </w:pPr>
      <w:r>
        <w:rPr>
          <w:noProof/>
        </w:rPr>
        <w:t>Īpašo apstākļu dēļ, kas Apvienotajai Karalistei liedz veikt tehniskos pielāgojumus, kas nepieciešami, lai tās PDR apstrādes sistēmas, kuras Apvienotā Karaliste izmantoja laikā, kad tās sis</w:t>
      </w:r>
      <w:r>
        <w:rPr>
          <w:noProof/>
        </w:rPr>
        <w:t>tēmām piemēroja Savienības tiesību aktus, pārveidotu sistēmās, kas ļautu PDR datus dzēst saskaņā ar 4. punktu, piemēro 11. pantu.</w:t>
      </w:r>
    </w:p>
    <w:p w:rsidR="003E022D" w:rsidRDefault="007D19D6">
      <w:pPr>
        <w:numPr>
          <w:ilvl w:val="0"/>
          <w:numId w:val="23"/>
        </w:numPr>
        <w:ind w:left="0" w:firstLine="0"/>
        <w:rPr>
          <w:rFonts w:cstheme="minorHAnsi"/>
          <w:noProof/>
        </w:rPr>
      </w:pPr>
      <w:r>
        <w:rPr>
          <w:noProof/>
        </w:rPr>
        <w:t>Kamēr Apvienotā Karaliste iespējami drīz ieviesīs tehniskos pielāgojumus, Apvienotā Karaliste var atkāpties no 4. punkta pagai</w:t>
      </w:r>
      <w:r>
        <w:rPr>
          <w:noProof/>
        </w:rPr>
        <w:t>du kārtā uz pagaidu posmu, kura ilgums ir noteikts 13. punktā. Pagaidu posmā Apvienotās Karalistes kompetentā iestāde, piemērojot šādus papildu aizsardzības pasākumus, nepieļauj to PDR datu izmantošanu, kuri ir jādzēš saskaņā ar 4. punktu:</w:t>
      </w:r>
    </w:p>
    <w:p w:rsidR="003E022D" w:rsidRDefault="007D19D6">
      <w:pPr>
        <w:numPr>
          <w:ilvl w:val="0"/>
          <w:numId w:val="126"/>
        </w:numPr>
        <w:ind w:left="567" w:hanging="567"/>
        <w:rPr>
          <w:rFonts w:cstheme="minorHAnsi"/>
          <w:noProof/>
        </w:rPr>
      </w:pPr>
      <w:r>
        <w:rPr>
          <w:noProof/>
        </w:rPr>
        <w:t>PDR dati ir piee</w:t>
      </w:r>
      <w:r>
        <w:rPr>
          <w:noProof/>
        </w:rPr>
        <w:t>jami tikai ierobežotam pilnvaroto amatpersonu skaitam un tikai tad, kad ir nepieciešams noteikt, vai PDR dati būtu jādzēš saskaņā ar 4. punktu;</w:t>
      </w:r>
    </w:p>
    <w:p w:rsidR="003E022D" w:rsidRDefault="007D19D6">
      <w:pPr>
        <w:numPr>
          <w:ilvl w:val="0"/>
          <w:numId w:val="126"/>
        </w:numPr>
        <w:ind w:left="567" w:hanging="567"/>
        <w:rPr>
          <w:rFonts w:cstheme="minorHAnsi"/>
          <w:noProof/>
        </w:rPr>
      </w:pPr>
      <w:r>
        <w:rPr>
          <w:noProof/>
        </w:rPr>
        <w:t xml:space="preserve">pieprasījumu izmantot PDR datus atsaka gadījumos, kad dati ir jādzēš saskaņā ar 4. punktu, un minētajiem datiem </w:t>
      </w:r>
      <w:r>
        <w:rPr>
          <w:noProof/>
        </w:rPr>
        <w:t>nepiešķir turpmāku piekļuvi, ja šā punkta d) apakšpunktā minētā dokumentācija norāda uz to, ka iepriekš ir ticis atteikts pieprasījums izmantot datus;</w:t>
      </w:r>
    </w:p>
    <w:p w:rsidR="003E022D" w:rsidRDefault="007D19D6">
      <w:pPr>
        <w:numPr>
          <w:ilvl w:val="0"/>
          <w:numId w:val="126"/>
        </w:numPr>
        <w:ind w:left="567" w:hanging="567"/>
        <w:rPr>
          <w:rFonts w:cstheme="minorHAnsi"/>
          <w:noProof/>
        </w:rPr>
      </w:pPr>
      <w:r>
        <w:rPr>
          <w:noProof/>
        </w:rPr>
        <w:t>PDR datu dzēšanu nodrošina pēc iespējas drīz, cenšoties sasniegt rezultātu un ņemot vērā 10. punktā minēt</w:t>
      </w:r>
      <w:r>
        <w:rPr>
          <w:noProof/>
        </w:rPr>
        <w:t>os īpašos apstākļus; un</w:t>
      </w:r>
    </w:p>
    <w:p w:rsidR="003E022D" w:rsidRDefault="007D19D6">
      <w:pPr>
        <w:numPr>
          <w:ilvl w:val="0"/>
          <w:numId w:val="126"/>
        </w:numPr>
        <w:ind w:left="567" w:hanging="567"/>
        <w:rPr>
          <w:rFonts w:cstheme="minorHAnsi"/>
          <w:noProof/>
        </w:rPr>
      </w:pPr>
      <w:r>
        <w:rPr>
          <w:noProof/>
        </w:rPr>
        <w:t xml:space="preserve">turpmāk uzskaitītos faktus dokumentē saskaņā ar </w:t>
      </w:r>
      <w:r>
        <w:rPr>
          <w:noProof/>
          <w:u w:color="000000"/>
        </w:rPr>
        <w:t>LAW.PNR.30. pantu [PDR datu apstrādes reģistrēšana un dokumentēšana]</w:t>
      </w:r>
      <w:r>
        <w:rPr>
          <w:noProof/>
        </w:rPr>
        <w:t>, un šādu dokumentāciju dara pieejamu šā panta 7. punktā minētajai neatkarīgajai administratīvajai struktūrai:</w:t>
      </w:r>
    </w:p>
    <w:p w:rsidR="003E022D" w:rsidRDefault="007D19D6">
      <w:pPr>
        <w:numPr>
          <w:ilvl w:val="2"/>
          <w:numId w:val="128"/>
        </w:numPr>
        <w:ind w:left="1276" w:hanging="567"/>
        <w:rPr>
          <w:rFonts w:cstheme="minorHAnsi"/>
          <w:noProof/>
        </w:rPr>
      </w:pPr>
      <w:r>
        <w:rPr>
          <w:noProof/>
        </w:rPr>
        <w:t xml:space="preserve">visi </w:t>
      </w:r>
      <w:r>
        <w:rPr>
          <w:noProof/>
        </w:rPr>
        <w:t>pieprasījumi izmantot PDR datus;</w:t>
      </w:r>
    </w:p>
    <w:p w:rsidR="003E022D" w:rsidRDefault="007D19D6">
      <w:pPr>
        <w:numPr>
          <w:ilvl w:val="2"/>
          <w:numId w:val="128"/>
        </w:numPr>
        <w:ind w:left="1276" w:hanging="567"/>
        <w:rPr>
          <w:rFonts w:cstheme="minorHAnsi"/>
          <w:noProof/>
        </w:rPr>
      </w:pPr>
      <w:r>
        <w:rPr>
          <w:noProof/>
        </w:rPr>
        <w:t>piekļuves PDR datiem datums un laiks, lai novērtētu, vai bija vajadzīga PDR datu dzēšana;</w:t>
      </w:r>
    </w:p>
    <w:p w:rsidR="003E022D" w:rsidRDefault="007D19D6">
      <w:pPr>
        <w:numPr>
          <w:ilvl w:val="2"/>
          <w:numId w:val="128"/>
        </w:numPr>
        <w:ind w:left="1276" w:hanging="567"/>
        <w:rPr>
          <w:rFonts w:cstheme="minorHAnsi"/>
          <w:noProof/>
        </w:rPr>
      </w:pPr>
      <w:r>
        <w:rPr>
          <w:noProof/>
        </w:rPr>
        <w:t>fakts, ka pieprasījums izmantot PDR datus tika atteikts, pamatojoties uz to, ka PDR datus būtu vajadzējis dzēst saskaņā ar 4. punktu,</w:t>
      </w:r>
      <w:r>
        <w:rPr>
          <w:noProof/>
        </w:rPr>
        <w:t xml:space="preserve"> norādot atteikuma datumu un laiku, un</w:t>
      </w:r>
    </w:p>
    <w:p w:rsidR="003E022D" w:rsidRDefault="007D19D6">
      <w:pPr>
        <w:numPr>
          <w:ilvl w:val="2"/>
          <w:numId w:val="128"/>
        </w:numPr>
        <w:ind w:left="1276" w:hanging="567"/>
        <w:rPr>
          <w:rFonts w:cstheme="minorHAnsi"/>
          <w:noProof/>
        </w:rPr>
      </w:pPr>
      <w:r>
        <w:rPr>
          <w:noProof/>
        </w:rPr>
        <w:t>PDR datu dzēšanas datums un laiks saskaņā ar šā punkta c) apakšpunktu.</w:t>
      </w:r>
    </w:p>
    <w:p w:rsidR="003E022D" w:rsidRDefault="007D19D6">
      <w:pPr>
        <w:numPr>
          <w:ilvl w:val="0"/>
          <w:numId w:val="23"/>
        </w:numPr>
        <w:ind w:left="0" w:firstLine="0"/>
        <w:rPr>
          <w:rFonts w:cstheme="minorHAnsi"/>
          <w:noProof/>
        </w:rPr>
      </w:pPr>
      <w:r>
        <w:rPr>
          <w:noProof/>
        </w:rPr>
        <w:t>Apvienotā Karaliste deviņus mēnešus pēc šā nolīguma stāšanās spēkā un vēlreiz pēc viena gada, ja pagaidu posms ir pagarināts par vienu gadu, Speci</w:t>
      </w:r>
      <w:r>
        <w:rPr>
          <w:noProof/>
        </w:rPr>
        <w:t>alizētajai komitejai tiesībaizsardzības un tiesu iestāžu sadarbības jomā iesniedz:</w:t>
      </w:r>
    </w:p>
    <w:p w:rsidR="003E022D" w:rsidRDefault="007D19D6">
      <w:pPr>
        <w:numPr>
          <w:ilvl w:val="0"/>
          <w:numId w:val="127"/>
        </w:numPr>
        <w:ind w:left="567" w:hanging="567"/>
        <w:rPr>
          <w:rFonts w:cstheme="minorHAnsi"/>
          <w:noProof/>
        </w:rPr>
      </w:pPr>
      <w:r>
        <w:rPr>
          <w:noProof/>
        </w:rPr>
        <w:t xml:space="preserve">šā panta7. punktā minētās neatkarīgās administratīvās struktūras ziņojumu, kurā iekļauj Apvienotās Karalistes uzraudzības iestādes, kas minēta </w:t>
      </w:r>
      <w:r>
        <w:rPr>
          <w:noProof/>
          <w:u w:color="000000"/>
        </w:rPr>
        <w:t>LAW.GEN.4. panta [Personas dat</w:t>
      </w:r>
      <w:r>
        <w:rPr>
          <w:noProof/>
          <w:u w:color="000000"/>
        </w:rPr>
        <w:t>u aizsardzība] 3. punktā</w:t>
      </w:r>
      <w:r>
        <w:rPr>
          <w:noProof/>
        </w:rPr>
        <w:t>, atzinumu par to, vai ir efektīvi piemēroti šā panta 11. punktā noteiktie aizsardzības pasākumi; un</w:t>
      </w:r>
    </w:p>
    <w:p w:rsidR="003E022D" w:rsidRDefault="007D19D6">
      <w:pPr>
        <w:numPr>
          <w:ilvl w:val="0"/>
          <w:numId w:val="127"/>
        </w:numPr>
        <w:ind w:left="567" w:hanging="567"/>
        <w:rPr>
          <w:rFonts w:cstheme="minorHAnsi"/>
          <w:noProof/>
        </w:rPr>
      </w:pPr>
      <w:r>
        <w:rPr>
          <w:noProof/>
        </w:rPr>
        <w:t>Apvienotās Karalistes novērtējumu par to, vai joprojām pastāv šā panta 10. punktā minētie īpašie apstākļi, un to centienu aprakstu,</w:t>
      </w:r>
      <w:r>
        <w:rPr>
          <w:noProof/>
        </w:rPr>
        <w:t xml:space="preserve"> kas veikti, lai pārveidotu Apvienotās Karalistes PDR apstrādes sistēmas sistēmās, kuras ļautu PDR datus dzēst saskaņā ar šā panta 4. punktu.</w:t>
      </w:r>
    </w:p>
    <w:p w:rsidR="003E022D" w:rsidRDefault="007D19D6">
      <w:pPr>
        <w:numPr>
          <w:ilvl w:val="0"/>
          <w:numId w:val="23"/>
        </w:numPr>
        <w:ind w:left="0" w:firstLine="0"/>
        <w:rPr>
          <w:rFonts w:cstheme="minorHAnsi"/>
          <w:noProof/>
        </w:rPr>
      </w:pPr>
      <w:r>
        <w:rPr>
          <w:noProof/>
        </w:rPr>
        <w:t xml:space="preserve">Specializētā komiteja tiesībaizsardzības un tiesu iestāžu sadarbības jomā tiekas viena gada laikā pēc šā nolīguma </w:t>
      </w:r>
      <w:r>
        <w:rPr>
          <w:noProof/>
        </w:rPr>
        <w:t>stāšanās spēkā, lai izskatītu saskaņā ar 12. punktu sniegto ziņojumu un novērtējumu. Ja joprojām pastāv 10. punktā minētie īpašie apstākļi, Partnerības padome 11. punktā minēto pagaidu posmu pagarina par vienu gadu. Partnerības padome pagaidu posmu pagarin</w:t>
      </w:r>
      <w:r>
        <w:rPr>
          <w:noProof/>
        </w:rPr>
        <w:t>a par vienu pēdējo gadu ar tādiem pašiem nosacījumiem un saskaņā ar to pašu procedūru kā pirmajam pagarinājumam gadījumā, kad ir panākts būtisks progress, lai arī vēl nav bijis iespējams pārveidot Apvienotās Karalistes PDR apstrādes sistēmas sistēmās, kura</w:t>
      </w:r>
      <w:r>
        <w:rPr>
          <w:noProof/>
        </w:rPr>
        <w:t>s ļautu PDR datus dzēst saskaņā ar 4. punktu.</w:t>
      </w:r>
    </w:p>
    <w:p w:rsidR="003E022D" w:rsidRDefault="007D19D6">
      <w:pPr>
        <w:numPr>
          <w:ilvl w:val="0"/>
          <w:numId w:val="23"/>
        </w:numPr>
        <w:ind w:left="0" w:firstLine="0"/>
        <w:rPr>
          <w:rFonts w:cstheme="minorHAnsi"/>
          <w:noProof/>
        </w:rPr>
      </w:pPr>
      <w:r>
        <w:rPr>
          <w:noProof/>
        </w:rPr>
        <w:t>Ja Apvienotā Karaliste uzskata, ka Partnerības padomes atteikums piešķirt kādu no minētajiem pagarinājumiem nav bijis pamatots, tā var apturēt šīs sadaļas darbību, paziņojot vienu mēnesi iepriekš.</w:t>
      </w:r>
    </w:p>
    <w:p w:rsidR="003E022D" w:rsidRDefault="007D19D6">
      <w:pPr>
        <w:numPr>
          <w:ilvl w:val="0"/>
          <w:numId w:val="23"/>
        </w:numPr>
        <w:ind w:left="0" w:firstLine="0"/>
        <w:rPr>
          <w:rFonts w:cstheme="minorHAnsi"/>
          <w:noProof/>
        </w:rPr>
      </w:pPr>
      <w:r>
        <w:rPr>
          <w:noProof/>
        </w:rPr>
        <w:t>Šā nolīguma s</w:t>
      </w:r>
      <w:r>
        <w:rPr>
          <w:noProof/>
        </w:rPr>
        <w:t>pēkā stāšanās dienas trešajā gadadienā pārstāj piemērot 10. un 14. punktu.</w:t>
      </w:r>
    </w:p>
    <w:p w:rsidR="003E022D" w:rsidRDefault="007D19D6">
      <w:pPr>
        <w:pStyle w:val="Article"/>
        <w:rPr>
          <w:noProof/>
        </w:rPr>
      </w:pPr>
      <w:bookmarkStart w:id="333" w:name="_ARTICLE_25"/>
      <w:bookmarkStart w:id="334" w:name="_Toc29895948"/>
      <w:bookmarkStart w:id="335" w:name="_Ref31041145"/>
      <w:bookmarkStart w:id="336" w:name="_Ref31041421"/>
      <w:bookmarkStart w:id="337" w:name="_Ref31046288"/>
      <w:bookmarkStart w:id="338" w:name="_Ref31057641"/>
      <w:bookmarkStart w:id="339" w:name="_Toc58920239"/>
      <w:bookmarkEnd w:id="333"/>
      <w:r>
        <w:rPr>
          <w:noProof/>
        </w:rPr>
        <w:t>LAW.PNR.29. pants.</w:t>
      </w:r>
      <w:bookmarkEnd w:id="334"/>
      <w:bookmarkEnd w:id="335"/>
      <w:bookmarkEnd w:id="336"/>
      <w:bookmarkEnd w:id="337"/>
      <w:bookmarkEnd w:id="338"/>
      <w:r>
        <w:rPr>
          <w:noProof/>
        </w:rPr>
        <w:t xml:space="preserve"> </w:t>
      </w:r>
      <w:bookmarkStart w:id="340" w:name="_Toc29895949"/>
      <w:r>
        <w:rPr>
          <w:noProof/>
        </w:rPr>
        <w:t>PDR datu izmantošanas nosacījumi</w:t>
      </w:r>
      <w:bookmarkEnd w:id="339"/>
      <w:bookmarkEnd w:id="340"/>
    </w:p>
    <w:p w:rsidR="003E022D" w:rsidRDefault="007D19D6">
      <w:pPr>
        <w:numPr>
          <w:ilvl w:val="0"/>
          <w:numId w:val="129"/>
        </w:numPr>
        <w:ind w:left="0" w:firstLine="0"/>
        <w:rPr>
          <w:rStyle w:val="Bodytext20"/>
          <w:rFonts w:cstheme="minorHAnsi"/>
          <w:noProof/>
        </w:rPr>
      </w:pPr>
      <w:r>
        <w:rPr>
          <w:noProof/>
        </w:rPr>
        <w:t xml:space="preserve">Apvienotās Karalistes kompetentā iestāde PDR datus, kas saglabāti saskaņā ar </w:t>
      </w:r>
      <w:r>
        <w:rPr>
          <w:rStyle w:val="Bodytext20"/>
          <w:noProof/>
        </w:rPr>
        <w:t>LAW.PNR.28. pantu [PDR datu saglabāšana]</w:t>
      </w:r>
      <w:r>
        <w:rPr>
          <w:noProof/>
        </w:rPr>
        <w:t xml:space="preserve">, var izmantot citiem nolūkiem, kas nav drošība un robežkontroles pārbaudes, tai skaitā jebkāda datu izpaušana atbilstoši </w:t>
      </w:r>
      <w:r>
        <w:rPr>
          <w:rStyle w:val="Bodytext20"/>
          <w:noProof/>
        </w:rPr>
        <w:t>LAW.PNR.31. pantam [Informācijas izpaušana Apvienotajā Karalistē]</w:t>
      </w:r>
      <w:r>
        <w:rPr>
          <w:noProof/>
        </w:rPr>
        <w:t xml:space="preserve"> un LAW.PNR.32. pantam [Informācijas izpaušana ārpus Apvienotās Karal</w:t>
      </w:r>
      <w:r>
        <w:rPr>
          <w:noProof/>
        </w:rPr>
        <w:t xml:space="preserve">istes], tikai tad, ja jauni apstākļi ar objektīvu pamatojumu norāda uz to, ka viena pasažiera vai vairāku pasažieru PDR dati var sniegt reālu ieguldījumu to mērķu sasniegšanā, kas izklāstīti </w:t>
      </w:r>
      <w:r>
        <w:rPr>
          <w:rStyle w:val="Bodytext20"/>
          <w:noProof/>
        </w:rPr>
        <w:t>LAW.PNR.20. pantā [PDR datu izmantošanas nolūks]</w:t>
      </w:r>
      <w:r>
        <w:rPr>
          <w:noProof/>
        </w:rPr>
        <w:t>.</w:t>
      </w:r>
    </w:p>
    <w:p w:rsidR="003E022D" w:rsidRDefault="007D19D6">
      <w:pPr>
        <w:numPr>
          <w:ilvl w:val="0"/>
          <w:numId w:val="129"/>
        </w:numPr>
        <w:ind w:left="0" w:firstLine="0"/>
        <w:rPr>
          <w:rFonts w:cstheme="minorHAnsi"/>
          <w:noProof/>
        </w:rPr>
      </w:pPr>
      <w:r>
        <w:rPr>
          <w:noProof/>
        </w:rPr>
        <w:t>Apvienotā Karal</w:t>
      </w:r>
      <w:r>
        <w:rPr>
          <w:noProof/>
        </w:rPr>
        <w:t>istes kompetentajai iestādei izmantojot PDR datus saskaņā ar 1. punktu, šādai izmantošanai piemēro iepriekšēju pārbaudi, ko veic tiesa vai neatkarīga administratīva iestāde Apvienotajā Karalistē, pamatojoties uz Apvienotās Karalistes kompetentās iestādes p</w:t>
      </w:r>
      <w:r>
        <w:rPr>
          <w:noProof/>
        </w:rPr>
        <w:t>amatotu pieteikumu, kuru tā iesniegusi atbilstoši iekšzemes tiesiskā regulējuma procedūrām noziedzīga nodarījuma novēršanai, atklāšanai vai kriminālvajāšanai, izņemot:</w:t>
      </w:r>
    </w:p>
    <w:p w:rsidR="003E022D" w:rsidRDefault="007D19D6">
      <w:pPr>
        <w:numPr>
          <w:ilvl w:val="0"/>
          <w:numId w:val="30"/>
        </w:numPr>
        <w:ind w:left="567" w:hanging="567"/>
        <w:rPr>
          <w:rFonts w:cstheme="minorHAnsi"/>
          <w:noProof/>
        </w:rPr>
      </w:pPr>
      <w:r>
        <w:rPr>
          <w:noProof/>
        </w:rPr>
        <w:t>atbilstoši pamatotus steidzamības gadījumus vai</w:t>
      </w:r>
    </w:p>
    <w:p w:rsidR="003E022D" w:rsidRDefault="007D19D6">
      <w:pPr>
        <w:numPr>
          <w:ilvl w:val="0"/>
          <w:numId w:val="30"/>
        </w:numPr>
        <w:ind w:left="567" w:hanging="567"/>
        <w:rPr>
          <w:rFonts w:cstheme="minorHAnsi"/>
          <w:noProof/>
        </w:rPr>
      </w:pPr>
      <w:r>
        <w:rPr>
          <w:noProof/>
        </w:rPr>
        <w:t>iepriekš noteikto modeļu un kritēriju, k</w:t>
      </w:r>
      <w:r>
        <w:rPr>
          <w:noProof/>
        </w:rPr>
        <w:t>uri ir PDR datu automatizētas apstrādes pamatā, uzticamības un pieņemamības pārbaudes nolūkā vai lai noteiktu jaunus modeļus un kritērijus šādai apstrādei.</w:t>
      </w:r>
    </w:p>
    <w:p w:rsidR="003E022D" w:rsidRDefault="007D19D6">
      <w:pPr>
        <w:pStyle w:val="Article"/>
        <w:rPr>
          <w:noProof/>
        </w:rPr>
      </w:pPr>
      <w:bookmarkStart w:id="341" w:name="_Toc29895950"/>
      <w:bookmarkStart w:id="342" w:name="_Ref31046353"/>
      <w:bookmarkStart w:id="343" w:name="_Ref31046578"/>
      <w:bookmarkStart w:id="344" w:name="_Toc58920240"/>
      <w:r>
        <w:rPr>
          <w:noProof/>
        </w:rPr>
        <w:t>LAW.PNR.30. pants.</w:t>
      </w:r>
      <w:bookmarkEnd w:id="341"/>
      <w:bookmarkEnd w:id="342"/>
      <w:bookmarkEnd w:id="343"/>
      <w:r>
        <w:rPr>
          <w:noProof/>
        </w:rPr>
        <w:t xml:space="preserve"> </w:t>
      </w:r>
      <w:bookmarkStart w:id="345" w:name="_Toc29895951"/>
      <w:r>
        <w:rPr>
          <w:noProof/>
        </w:rPr>
        <w:t>PDR datu apstrādes reģistrēšana un dokumentēšana</w:t>
      </w:r>
      <w:bookmarkEnd w:id="344"/>
      <w:bookmarkEnd w:id="345"/>
    </w:p>
    <w:p w:rsidR="003E022D" w:rsidRDefault="007D19D6">
      <w:pPr>
        <w:rPr>
          <w:rFonts w:cstheme="minorHAnsi"/>
          <w:noProof/>
        </w:rPr>
      </w:pPr>
      <w:r>
        <w:rPr>
          <w:noProof/>
        </w:rPr>
        <w:t>Apvienotās Karalistes kompetentā</w:t>
      </w:r>
      <w:r>
        <w:rPr>
          <w:noProof/>
        </w:rPr>
        <w:t xml:space="preserve"> iestāde reģistrē un dokumentē visu PDR datu apstrādi. Tā šādus reģistrus vai dokumentāciju izmanto vienīgi, lai:</w:t>
      </w:r>
    </w:p>
    <w:p w:rsidR="003E022D" w:rsidRDefault="007D19D6">
      <w:pPr>
        <w:numPr>
          <w:ilvl w:val="0"/>
          <w:numId w:val="31"/>
        </w:numPr>
        <w:ind w:left="567" w:hanging="567"/>
        <w:rPr>
          <w:rFonts w:cstheme="minorHAnsi"/>
          <w:noProof/>
        </w:rPr>
      </w:pPr>
      <w:r>
        <w:rPr>
          <w:noProof/>
        </w:rPr>
        <w:t>uzraudzītu un pārbaudītu datu apstrādes likumību;</w:t>
      </w:r>
    </w:p>
    <w:p w:rsidR="003E022D" w:rsidRDefault="007D19D6">
      <w:pPr>
        <w:numPr>
          <w:ilvl w:val="0"/>
          <w:numId w:val="31"/>
        </w:numPr>
        <w:ind w:left="567" w:hanging="567"/>
        <w:rPr>
          <w:rFonts w:cstheme="minorHAnsi"/>
          <w:noProof/>
        </w:rPr>
      </w:pPr>
      <w:r>
        <w:rPr>
          <w:noProof/>
        </w:rPr>
        <w:t>nodrošinātu pienācīgu datu integritāti;</w:t>
      </w:r>
    </w:p>
    <w:p w:rsidR="003E022D" w:rsidRDefault="007D19D6">
      <w:pPr>
        <w:numPr>
          <w:ilvl w:val="0"/>
          <w:numId w:val="31"/>
        </w:numPr>
        <w:ind w:left="567" w:hanging="567"/>
        <w:rPr>
          <w:rFonts w:cstheme="minorHAnsi"/>
          <w:noProof/>
        </w:rPr>
      </w:pPr>
      <w:r>
        <w:rPr>
          <w:noProof/>
        </w:rPr>
        <w:t>nodrošinātu datu apstrādes drošību; un</w:t>
      </w:r>
    </w:p>
    <w:p w:rsidR="003E022D" w:rsidRDefault="007D19D6">
      <w:pPr>
        <w:numPr>
          <w:ilvl w:val="0"/>
          <w:numId w:val="31"/>
        </w:numPr>
        <w:ind w:left="567" w:hanging="567"/>
        <w:rPr>
          <w:rFonts w:cstheme="minorHAnsi"/>
          <w:noProof/>
        </w:rPr>
      </w:pPr>
      <w:r>
        <w:rPr>
          <w:noProof/>
        </w:rPr>
        <w:t>nodrošinātu p</w:t>
      </w:r>
      <w:r>
        <w:rPr>
          <w:noProof/>
        </w:rPr>
        <w:t>ārraudzību.</w:t>
      </w:r>
    </w:p>
    <w:p w:rsidR="003E022D" w:rsidRDefault="007D19D6">
      <w:pPr>
        <w:pStyle w:val="Article"/>
        <w:rPr>
          <w:noProof/>
        </w:rPr>
      </w:pPr>
      <w:bookmarkStart w:id="346" w:name="_ARTICLE_27"/>
      <w:bookmarkStart w:id="347" w:name="_Toc29895952"/>
      <w:bookmarkStart w:id="348" w:name="_Ref31041182"/>
      <w:bookmarkStart w:id="349" w:name="_Ref31041580"/>
      <w:bookmarkStart w:id="350" w:name="_Ref31057701"/>
      <w:bookmarkStart w:id="351" w:name="_Ref31057915"/>
      <w:bookmarkStart w:id="352" w:name="_Toc58920241"/>
      <w:bookmarkEnd w:id="346"/>
      <w:r>
        <w:rPr>
          <w:noProof/>
        </w:rPr>
        <w:t>LAW.PNR.31. pants.</w:t>
      </w:r>
      <w:bookmarkEnd w:id="347"/>
      <w:bookmarkEnd w:id="348"/>
      <w:bookmarkEnd w:id="349"/>
      <w:bookmarkEnd w:id="350"/>
      <w:bookmarkEnd w:id="351"/>
      <w:r>
        <w:rPr>
          <w:noProof/>
        </w:rPr>
        <w:t xml:space="preserve"> </w:t>
      </w:r>
      <w:bookmarkStart w:id="353" w:name="_Toc29895953"/>
      <w:r>
        <w:rPr>
          <w:noProof/>
        </w:rPr>
        <w:t>Informācijas izpaušana Apvienotajā Karalistē</w:t>
      </w:r>
      <w:bookmarkEnd w:id="352"/>
      <w:bookmarkEnd w:id="353"/>
    </w:p>
    <w:p w:rsidR="003E022D" w:rsidRDefault="007D19D6">
      <w:pPr>
        <w:pStyle w:val="ListParagraph"/>
        <w:numPr>
          <w:ilvl w:val="0"/>
          <w:numId w:val="24"/>
        </w:numPr>
        <w:spacing w:line="276" w:lineRule="auto"/>
        <w:ind w:left="0" w:firstLine="0"/>
        <w:contextualSpacing w:val="0"/>
        <w:rPr>
          <w:rFonts w:asciiTheme="minorHAnsi" w:hAnsiTheme="minorHAnsi" w:cstheme="minorHAnsi"/>
          <w:noProof/>
        </w:rPr>
      </w:pPr>
      <w:r>
        <w:rPr>
          <w:rFonts w:asciiTheme="minorHAnsi" w:hAnsiTheme="minorHAnsi"/>
          <w:noProof/>
        </w:rPr>
        <w:t>Apvienotās Karalistes kompetentā iestāde neizpauž PDR datus citām Apvienotās Karalistes publiskajām iestādēm, ja nav izpildīti šādi nosacījumi:</w:t>
      </w:r>
    </w:p>
    <w:p w:rsidR="003E022D" w:rsidRDefault="007D19D6">
      <w:pPr>
        <w:numPr>
          <w:ilvl w:val="0"/>
          <w:numId w:val="32"/>
        </w:numPr>
        <w:ind w:left="567" w:hanging="567"/>
        <w:rPr>
          <w:rFonts w:cstheme="minorHAnsi"/>
          <w:noProof/>
        </w:rPr>
      </w:pPr>
      <w:r>
        <w:rPr>
          <w:noProof/>
        </w:rPr>
        <w:t>PDR datus izpauž tām publiskajām ies</w:t>
      </w:r>
      <w:r>
        <w:rPr>
          <w:noProof/>
        </w:rPr>
        <w:t xml:space="preserve">tādēm, kuru funkcijas ir tieši saistītas ar </w:t>
      </w:r>
      <w:r>
        <w:rPr>
          <w:noProof/>
          <w:u w:color="000000"/>
        </w:rPr>
        <w:t>LAW.PNR.20. pantā [PDR datu izmantošanas nolūks]</w:t>
      </w:r>
      <w:r>
        <w:rPr>
          <w:noProof/>
        </w:rPr>
        <w:t xml:space="preserve"> izklāstītajiem nolūkiem;</w:t>
      </w:r>
    </w:p>
    <w:p w:rsidR="003E022D" w:rsidRDefault="007D19D6">
      <w:pPr>
        <w:numPr>
          <w:ilvl w:val="0"/>
          <w:numId w:val="32"/>
        </w:numPr>
        <w:ind w:left="567" w:hanging="567"/>
        <w:rPr>
          <w:rFonts w:cstheme="minorHAnsi"/>
          <w:noProof/>
        </w:rPr>
      </w:pPr>
      <w:r>
        <w:rPr>
          <w:noProof/>
        </w:rPr>
        <w:t>PDR datus izpauž tikai, pamatojoties uz katru konkrētu gadījumu;</w:t>
      </w:r>
    </w:p>
    <w:p w:rsidR="003E022D" w:rsidRDefault="007D19D6">
      <w:pPr>
        <w:numPr>
          <w:ilvl w:val="0"/>
          <w:numId w:val="32"/>
        </w:numPr>
        <w:ind w:left="567" w:hanging="567"/>
        <w:rPr>
          <w:rFonts w:cstheme="minorHAnsi"/>
          <w:noProof/>
        </w:rPr>
      </w:pPr>
      <w:r>
        <w:rPr>
          <w:noProof/>
        </w:rPr>
        <w:t xml:space="preserve">datu izpaušana ir nepieciešama konkrētos apstākļos </w:t>
      </w:r>
      <w:r>
        <w:rPr>
          <w:rStyle w:val="Bodytext20"/>
          <w:noProof/>
          <w:u w:color="000000"/>
        </w:rPr>
        <w:t>LAW.PNR.20. pantā [PDR</w:t>
      </w:r>
      <w:r>
        <w:rPr>
          <w:rStyle w:val="Bodytext20"/>
          <w:noProof/>
          <w:u w:color="000000"/>
        </w:rPr>
        <w:t xml:space="preserve"> datu izmantošanas nolūks]</w:t>
      </w:r>
      <w:r>
        <w:rPr>
          <w:noProof/>
        </w:rPr>
        <w:t xml:space="preserve"> izklāstītajiem nolūkiem;</w:t>
      </w:r>
    </w:p>
    <w:p w:rsidR="003E022D" w:rsidRDefault="007D19D6">
      <w:pPr>
        <w:numPr>
          <w:ilvl w:val="0"/>
          <w:numId w:val="32"/>
        </w:numPr>
        <w:ind w:left="567" w:hanging="567"/>
        <w:rPr>
          <w:rFonts w:cstheme="minorHAnsi"/>
          <w:noProof/>
        </w:rPr>
      </w:pPr>
      <w:r>
        <w:rPr>
          <w:noProof/>
        </w:rPr>
        <w:t>tiek izpausts tikai minimālais nepieciešamais PDR datu apjoms;</w:t>
      </w:r>
    </w:p>
    <w:p w:rsidR="003E022D" w:rsidRDefault="007D19D6">
      <w:pPr>
        <w:numPr>
          <w:ilvl w:val="0"/>
          <w:numId w:val="32"/>
        </w:numPr>
        <w:ind w:left="567" w:hanging="567"/>
        <w:rPr>
          <w:rFonts w:cstheme="minorHAnsi"/>
          <w:noProof/>
        </w:rPr>
      </w:pPr>
      <w:r>
        <w:rPr>
          <w:noProof/>
        </w:rPr>
        <w:t>publiskā iestāde, kura saņem datus, nodrošina līdzvērtīgus aizsardzības pasākumus tiem, kas minēti šajā sadaļā; un</w:t>
      </w:r>
    </w:p>
    <w:p w:rsidR="003E022D" w:rsidRDefault="007D19D6">
      <w:pPr>
        <w:numPr>
          <w:ilvl w:val="0"/>
          <w:numId w:val="32"/>
        </w:numPr>
        <w:ind w:left="567" w:hanging="567"/>
        <w:rPr>
          <w:rFonts w:cstheme="minorHAnsi"/>
          <w:noProof/>
        </w:rPr>
      </w:pPr>
      <w:r>
        <w:rPr>
          <w:noProof/>
        </w:rPr>
        <w:t>publiskā iestāde, kura saņ</w:t>
      </w:r>
      <w:r>
        <w:rPr>
          <w:noProof/>
        </w:rPr>
        <w:t>em datus, neizpauž PDR datus citai struktūrai, izņemot gadījumu, ja šādu izpaušanu atļauj Apvienotās Karalistes kompetentā iestāde, ievērojot nosacījumus, kas paredzēti šajā punktā.</w:t>
      </w:r>
    </w:p>
    <w:p w:rsidR="003E022D" w:rsidRDefault="007D19D6">
      <w:pPr>
        <w:numPr>
          <w:ilvl w:val="0"/>
          <w:numId w:val="24"/>
        </w:numPr>
        <w:ind w:left="0" w:firstLine="0"/>
        <w:rPr>
          <w:rFonts w:cstheme="minorHAnsi"/>
          <w:noProof/>
        </w:rPr>
      </w:pPr>
      <w:r>
        <w:rPr>
          <w:noProof/>
        </w:rPr>
        <w:t>Pārsūtot analītisku informāciju, kurā ietverti saskaņā ar šo sadaļu iegūti</w:t>
      </w:r>
      <w:r>
        <w:rPr>
          <w:noProof/>
        </w:rPr>
        <w:t xml:space="preserve"> PDR dati, piemēro šajā pantā noteiktos aizsardzības pasākumus.</w:t>
      </w:r>
    </w:p>
    <w:p w:rsidR="003E022D" w:rsidRDefault="007D19D6">
      <w:pPr>
        <w:pStyle w:val="Article"/>
        <w:rPr>
          <w:noProof/>
        </w:rPr>
      </w:pPr>
      <w:bookmarkStart w:id="354" w:name="_ARTICLE_28_1"/>
      <w:bookmarkStart w:id="355" w:name="_Toc29895954"/>
      <w:bookmarkStart w:id="356" w:name="_Ref31041606"/>
      <w:bookmarkStart w:id="357" w:name="_Ref31046395"/>
      <w:bookmarkStart w:id="358" w:name="_Ref31046640"/>
      <w:bookmarkStart w:id="359" w:name="_Ref31057742"/>
      <w:bookmarkStart w:id="360" w:name="_Ref31057929"/>
      <w:bookmarkStart w:id="361" w:name="_Toc58920242"/>
      <w:bookmarkEnd w:id="354"/>
      <w:r>
        <w:rPr>
          <w:noProof/>
        </w:rPr>
        <w:t>LAW.PNR.32. pants.</w:t>
      </w:r>
      <w:bookmarkEnd w:id="355"/>
      <w:bookmarkEnd w:id="356"/>
      <w:bookmarkEnd w:id="357"/>
      <w:bookmarkEnd w:id="358"/>
      <w:bookmarkEnd w:id="359"/>
      <w:bookmarkEnd w:id="360"/>
      <w:r>
        <w:rPr>
          <w:noProof/>
        </w:rPr>
        <w:t xml:space="preserve"> </w:t>
      </w:r>
      <w:bookmarkStart w:id="362" w:name="_Toc29895955"/>
      <w:r>
        <w:rPr>
          <w:noProof/>
        </w:rPr>
        <w:t>Informācijas izpaušana ārpus Apvienotās Karalistes</w:t>
      </w:r>
      <w:bookmarkEnd w:id="361"/>
      <w:bookmarkEnd w:id="362"/>
    </w:p>
    <w:p w:rsidR="003E022D" w:rsidRDefault="007D19D6">
      <w:pPr>
        <w:numPr>
          <w:ilvl w:val="0"/>
          <w:numId w:val="25"/>
        </w:numPr>
        <w:ind w:left="0" w:firstLine="0"/>
        <w:rPr>
          <w:rFonts w:cstheme="minorHAnsi"/>
          <w:noProof/>
        </w:rPr>
      </w:pPr>
      <w:r>
        <w:rPr>
          <w:noProof/>
        </w:rPr>
        <w:t xml:space="preserve">Apvienotā Karaliste nodrošina, ka Apvienotās Karalistes kompetentā iestāde neizpauž PDR datus trešo valstu </w:t>
      </w:r>
      <w:bookmarkStart w:id="363" w:name="_Hlk54439590"/>
      <w:r>
        <w:rPr>
          <w:noProof/>
        </w:rPr>
        <w:t>publiskajām</w:t>
      </w:r>
      <w:bookmarkEnd w:id="363"/>
      <w:r>
        <w:rPr>
          <w:noProof/>
        </w:rPr>
        <w:t xml:space="preserve"> ies</w:t>
      </w:r>
      <w:r>
        <w:rPr>
          <w:noProof/>
        </w:rPr>
        <w:t>tādēm, ja nav izpildīti šādi nosacījumi:</w:t>
      </w:r>
    </w:p>
    <w:p w:rsidR="003E022D" w:rsidRDefault="007D19D6">
      <w:pPr>
        <w:numPr>
          <w:ilvl w:val="0"/>
          <w:numId w:val="33"/>
        </w:numPr>
        <w:ind w:left="567" w:hanging="567"/>
        <w:rPr>
          <w:rFonts w:cstheme="minorHAnsi"/>
          <w:noProof/>
        </w:rPr>
      </w:pPr>
      <w:r>
        <w:rPr>
          <w:noProof/>
        </w:rPr>
        <w:t xml:space="preserve">PDR datus izpauž tām publiskajām iestādēm, kuru funkcijas ir tieši saistītas ar </w:t>
      </w:r>
      <w:r>
        <w:rPr>
          <w:noProof/>
          <w:u w:color="000000"/>
        </w:rPr>
        <w:t>LAW.PNR.20. pantā [PDR datu izmantošanas nolūks]</w:t>
      </w:r>
      <w:r>
        <w:rPr>
          <w:noProof/>
        </w:rPr>
        <w:t xml:space="preserve"> izklāstītajiem nolūkiem;</w:t>
      </w:r>
    </w:p>
    <w:p w:rsidR="003E022D" w:rsidRDefault="007D19D6">
      <w:pPr>
        <w:numPr>
          <w:ilvl w:val="0"/>
          <w:numId w:val="33"/>
        </w:numPr>
        <w:ind w:left="567" w:hanging="567"/>
        <w:rPr>
          <w:rFonts w:cstheme="minorHAnsi"/>
          <w:noProof/>
        </w:rPr>
      </w:pPr>
      <w:r>
        <w:rPr>
          <w:noProof/>
        </w:rPr>
        <w:t>PDR datus izpauž tikai, pamatojoties uz katru konkrētu gadīju</w:t>
      </w:r>
      <w:r>
        <w:rPr>
          <w:noProof/>
        </w:rPr>
        <w:t>mu;</w:t>
      </w:r>
    </w:p>
    <w:p w:rsidR="003E022D" w:rsidRDefault="007D19D6">
      <w:pPr>
        <w:numPr>
          <w:ilvl w:val="0"/>
          <w:numId w:val="33"/>
        </w:numPr>
        <w:ind w:left="567" w:hanging="567"/>
        <w:rPr>
          <w:rFonts w:cstheme="minorHAnsi"/>
          <w:noProof/>
        </w:rPr>
      </w:pPr>
      <w:r>
        <w:rPr>
          <w:noProof/>
        </w:rPr>
        <w:t xml:space="preserve">PDR datus izpauž tikai, ja tas vajadzīgs LAW.PNR.20. pantā </w:t>
      </w:r>
      <w:r>
        <w:rPr>
          <w:noProof/>
          <w:u w:color="000000"/>
        </w:rPr>
        <w:t>[PDR datu izmantošanas nolūks]</w:t>
      </w:r>
      <w:r>
        <w:rPr>
          <w:noProof/>
        </w:rPr>
        <w:t xml:space="preserve"> izklāstītajiem nolūkiem;</w:t>
      </w:r>
    </w:p>
    <w:p w:rsidR="003E022D" w:rsidRDefault="007D19D6">
      <w:pPr>
        <w:numPr>
          <w:ilvl w:val="0"/>
          <w:numId w:val="33"/>
        </w:numPr>
        <w:ind w:left="567" w:hanging="567"/>
        <w:rPr>
          <w:rFonts w:cstheme="minorHAnsi"/>
          <w:noProof/>
        </w:rPr>
      </w:pPr>
      <w:r>
        <w:rPr>
          <w:noProof/>
        </w:rPr>
        <w:t>tiek izpausts tikai minimālais nepieciešamais PDR datu apjoms; un</w:t>
      </w:r>
    </w:p>
    <w:p w:rsidR="003E022D" w:rsidRDefault="007D19D6">
      <w:pPr>
        <w:numPr>
          <w:ilvl w:val="0"/>
          <w:numId w:val="33"/>
        </w:numPr>
        <w:ind w:left="567" w:hanging="567"/>
        <w:rPr>
          <w:rFonts w:cstheme="minorHAnsi"/>
          <w:noProof/>
        </w:rPr>
      </w:pPr>
      <w:r>
        <w:rPr>
          <w:noProof/>
        </w:rPr>
        <w:t xml:space="preserve">trešā valsts, kurai PDR dati tiek izpausti, ir noslēgusi tādu nolīgumu </w:t>
      </w:r>
      <w:r>
        <w:rPr>
          <w:noProof/>
        </w:rPr>
        <w:t>ar Savienību, kurā paredzēta personas datu aizsardzība, kas līdzvērtīga šajā nolīgumā paredzētajai, vai uz trešo valsti attiecas Eiropas Komisijas saskaņā ar Savienības tiesībām pieņemts lēmums, kurā konstatēts, ka trešā valsts nodrošina datu aizsardzību p</w:t>
      </w:r>
      <w:r>
        <w:rPr>
          <w:noProof/>
        </w:rPr>
        <w:t>ietiekamā līmenī Savienības tiesību aktu izpratnē.</w:t>
      </w:r>
    </w:p>
    <w:p w:rsidR="003E022D" w:rsidRDefault="007D19D6">
      <w:pPr>
        <w:numPr>
          <w:ilvl w:val="0"/>
          <w:numId w:val="25"/>
        </w:numPr>
        <w:ind w:left="0" w:firstLine="0"/>
        <w:rPr>
          <w:rFonts w:eastAsia="Arial" w:cstheme="minorHAnsi"/>
          <w:noProof/>
        </w:rPr>
      </w:pPr>
      <w:r>
        <w:rPr>
          <w:noProof/>
        </w:rPr>
        <w:t>Kā izņēmumu no 1. punkta e) apakšpunkta Apvienotās Karalistes kompetentā iestāde var pārsūtīt PDR datus trešai valstij, ja</w:t>
      </w:r>
    </w:p>
    <w:p w:rsidR="003E022D" w:rsidRDefault="007D19D6">
      <w:pPr>
        <w:numPr>
          <w:ilvl w:val="0"/>
          <w:numId w:val="192"/>
        </w:numPr>
        <w:ind w:left="567" w:hanging="567"/>
        <w:rPr>
          <w:rFonts w:cstheme="minorHAnsi"/>
          <w:noProof/>
        </w:rPr>
      </w:pPr>
      <w:r>
        <w:rPr>
          <w:noProof/>
        </w:rPr>
        <w:t xml:space="preserve">minētās iestādes vadītājs vai vadītāja īpaši pilnvarota augsta ranga amatpersona </w:t>
      </w:r>
      <w:r>
        <w:rPr>
          <w:noProof/>
        </w:rPr>
        <w:t>uzskata, ka izpaušana ir nepieciešama, lai novērstu un izmeklētu nopietnus un nenovēršamus draudus sabiedrības drošībai vai lai aizsargātu kādas fiziskas personas vitālas intereses; un</w:t>
      </w:r>
    </w:p>
    <w:p w:rsidR="003E022D" w:rsidRDefault="007D19D6">
      <w:pPr>
        <w:numPr>
          <w:ilvl w:val="0"/>
          <w:numId w:val="192"/>
        </w:numPr>
        <w:ind w:left="567" w:hanging="567"/>
        <w:rPr>
          <w:rFonts w:eastAsia="Arial" w:cstheme="minorHAnsi"/>
          <w:noProof/>
        </w:rPr>
      </w:pPr>
      <w:r>
        <w:rPr>
          <w:noProof/>
        </w:rPr>
        <w:t>trešā valsts atbilstoši vienošanās, nolīgumam vai citādi sniedz rakstis</w:t>
      </w:r>
      <w:r>
        <w:rPr>
          <w:noProof/>
        </w:rPr>
        <w:t>ku apliecinājumu par to, ka informācija tiks aizsargāta, ievērojot aizsardzības pasākumus, kas atbilstoši Apvienotās Karalistes tiesību aktiem piemērojami no Savienības saņemto PDR datu apstrādei, tai skaitā šajā sadaļā izklāstītos aizsardzības pasākumus.</w:t>
      </w:r>
    </w:p>
    <w:p w:rsidR="003E022D" w:rsidRDefault="007D19D6">
      <w:pPr>
        <w:numPr>
          <w:ilvl w:val="0"/>
          <w:numId w:val="25"/>
        </w:numPr>
        <w:ind w:left="0" w:firstLine="0"/>
        <w:rPr>
          <w:rFonts w:eastAsia="Arial" w:cstheme="minorHAnsi"/>
          <w:noProof/>
        </w:rPr>
      </w:pPr>
      <w:r>
        <w:rPr>
          <w:noProof/>
        </w:rPr>
        <w:t xml:space="preserve">Datu pārsūtīšanu saskaņā ar šā panta 2. punktu dokumentē. Šādu dokumentāciju pēc pieprasījuma dara pieejamu uzraudzības iestādei, kas minēta </w:t>
      </w:r>
      <w:r>
        <w:rPr>
          <w:noProof/>
          <w:u w:color="000000"/>
        </w:rPr>
        <w:t>LAW.GEN.4. panta [Personas datu aizsardzība] 3. punktā</w:t>
      </w:r>
      <w:r>
        <w:rPr>
          <w:noProof/>
        </w:rPr>
        <w:t>, tostarp pārsūtīšanas datumu un laiku, informāciju par saņēm</w:t>
      </w:r>
      <w:r>
        <w:rPr>
          <w:noProof/>
        </w:rPr>
        <w:t>ēju kompetento iestādi, pārsūtīšanas pamatojumu un pārsūtītos PDR datus.</w:t>
      </w:r>
    </w:p>
    <w:p w:rsidR="003E022D" w:rsidRDefault="007D19D6">
      <w:pPr>
        <w:numPr>
          <w:ilvl w:val="0"/>
          <w:numId w:val="25"/>
        </w:numPr>
        <w:ind w:left="0" w:firstLine="0"/>
        <w:rPr>
          <w:rFonts w:cstheme="minorHAnsi"/>
          <w:noProof/>
        </w:rPr>
      </w:pPr>
      <w:r>
        <w:rPr>
          <w:noProof/>
        </w:rPr>
        <w:t>Ja saskaņā ar 1. vai 2. punktu Apvienotās Karalistes kompetentā iestāde izpauž PDR datus, kuri savākti saskaņā ar šo sadaļu un kuru izcelsme ir kādā dalībvalstī, Apvienotās Karalistes</w:t>
      </w:r>
      <w:r>
        <w:rPr>
          <w:noProof/>
        </w:rPr>
        <w:t xml:space="preserve"> kompetentā iestāde pēc iespējas drīzāk informē minētās dalībvalsts iestādes par datu izpaušanu. Apvienotā Karaliste sniedz šo paziņojumu saskaņā ar nolīgumiem un ievērojot vienošanās par tiesību aizsardzību vai informācijas apmaiņu starp Apvienoto Karalis</w:t>
      </w:r>
      <w:r>
        <w:rPr>
          <w:noProof/>
        </w:rPr>
        <w:t>ti un minēto dalībvalsti.</w:t>
      </w:r>
    </w:p>
    <w:p w:rsidR="003E022D" w:rsidRDefault="007D19D6">
      <w:pPr>
        <w:numPr>
          <w:ilvl w:val="0"/>
          <w:numId w:val="25"/>
        </w:numPr>
        <w:ind w:left="0" w:firstLine="0"/>
        <w:rPr>
          <w:rFonts w:cstheme="minorHAnsi"/>
          <w:noProof/>
        </w:rPr>
      </w:pPr>
      <w:r>
        <w:rPr>
          <w:noProof/>
        </w:rPr>
        <w:t>Pārsūtot analītisku informāciju, kurā ietverti saskaņā ar šo sadaļu iegūti PDR dati, piemēro šajā pantā noteiktos aizsardzības pasākumus.</w:t>
      </w:r>
    </w:p>
    <w:p w:rsidR="003E022D" w:rsidRDefault="007D19D6">
      <w:pPr>
        <w:pStyle w:val="Article"/>
        <w:rPr>
          <w:noProof/>
        </w:rPr>
      </w:pPr>
      <w:bookmarkStart w:id="364" w:name="_ARTICLE_29_1"/>
      <w:bookmarkStart w:id="365" w:name="_Toc29895956"/>
      <w:bookmarkStart w:id="366" w:name="_Ref31041814"/>
      <w:bookmarkStart w:id="367" w:name="_Ref31046097"/>
      <w:bookmarkStart w:id="368" w:name="_Ref31046417"/>
      <w:bookmarkStart w:id="369" w:name="_Ref31046696"/>
      <w:bookmarkStart w:id="370" w:name="_Toc58920243"/>
      <w:bookmarkEnd w:id="364"/>
      <w:r>
        <w:rPr>
          <w:noProof/>
        </w:rPr>
        <w:t>LAW.PNR.33. pants.</w:t>
      </w:r>
      <w:bookmarkEnd w:id="365"/>
      <w:bookmarkEnd w:id="366"/>
      <w:bookmarkEnd w:id="367"/>
      <w:bookmarkEnd w:id="368"/>
      <w:bookmarkEnd w:id="369"/>
      <w:r>
        <w:rPr>
          <w:noProof/>
        </w:rPr>
        <w:t xml:space="preserve"> </w:t>
      </w:r>
      <w:bookmarkStart w:id="371" w:name="_Toc29895957"/>
      <w:r>
        <w:rPr>
          <w:noProof/>
        </w:rPr>
        <w:t>Pārsūtīšanas veids</w:t>
      </w:r>
      <w:bookmarkEnd w:id="370"/>
      <w:bookmarkEnd w:id="371"/>
    </w:p>
    <w:p w:rsidR="003E022D" w:rsidRDefault="007D19D6">
      <w:pPr>
        <w:rPr>
          <w:rFonts w:cstheme="minorHAnsi"/>
          <w:noProof/>
        </w:rPr>
      </w:pPr>
      <w:r>
        <w:rPr>
          <w:noProof/>
        </w:rPr>
        <w:t>Gaisa pārvadātāji pārsūta PDR datus Apvienotās Karalis</w:t>
      </w:r>
      <w:r>
        <w:rPr>
          <w:noProof/>
        </w:rPr>
        <w:t>tes kompetentajai iestādei, tikai izmantojot “push” metodi: proti, gaisa pārvadātāji pārsūta PDR datus Apvienotās Karalistes kompetentās iestādes datubāzei un saskaņā ar turpmāk minētajām procedūrām, kuras gaisa pārvadātajiem ir jāievēro un ar kurām viņi:</w:t>
      </w:r>
    </w:p>
    <w:p w:rsidR="003E022D" w:rsidRDefault="007D19D6">
      <w:pPr>
        <w:numPr>
          <w:ilvl w:val="0"/>
          <w:numId w:val="34"/>
        </w:numPr>
        <w:ind w:left="567" w:hanging="567"/>
        <w:rPr>
          <w:rFonts w:cstheme="minorHAnsi"/>
          <w:noProof/>
        </w:rPr>
      </w:pPr>
      <w:r>
        <w:rPr>
          <w:noProof/>
        </w:rPr>
        <w:t xml:space="preserve">PDR datus pārsūta elektroniski saskaņā ar Apvienotās Karalistes kompetentās iestādes tehniskajām prasībām vai tehniskas kļūmes gadījumā – izmantojot jebkuru citu piemērotu </w:t>
      </w:r>
      <w:r>
        <w:rPr>
          <w:rStyle w:val="Bodytext20"/>
          <w:noProof/>
        </w:rPr>
        <w:t>līdzekli, kas nodrošina datu atbilstīgu drošības līmeni</w:t>
      </w:r>
      <w:r>
        <w:rPr>
          <w:noProof/>
        </w:rPr>
        <w:t>;</w:t>
      </w:r>
    </w:p>
    <w:p w:rsidR="003E022D" w:rsidRDefault="007D19D6">
      <w:pPr>
        <w:numPr>
          <w:ilvl w:val="0"/>
          <w:numId w:val="34"/>
        </w:numPr>
        <w:ind w:left="567" w:hanging="567"/>
        <w:rPr>
          <w:rFonts w:cstheme="minorHAnsi"/>
          <w:noProof/>
        </w:rPr>
      </w:pPr>
      <w:r>
        <w:rPr>
          <w:noProof/>
        </w:rPr>
        <w:t>PDR datus pārsūta, izmantoj</w:t>
      </w:r>
      <w:r>
        <w:rPr>
          <w:noProof/>
        </w:rPr>
        <w:t>ot savstarpēji pieņemamu ziņojumapmaiņas formātu; un</w:t>
      </w:r>
    </w:p>
    <w:p w:rsidR="003E022D" w:rsidRDefault="007D19D6">
      <w:pPr>
        <w:numPr>
          <w:ilvl w:val="0"/>
          <w:numId w:val="34"/>
        </w:numPr>
        <w:ind w:left="567" w:hanging="567"/>
        <w:rPr>
          <w:rFonts w:cstheme="minorHAnsi"/>
          <w:noProof/>
        </w:rPr>
      </w:pPr>
      <w:r>
        <w:rPr>
          <w:noProof/>
        </w:rPr>
        <w:t>PDR datus pārsūta drošā veidā, izmantojot kopīgus protokolus, kurus pieprasa Apvienotās Karalistes kompetentā iestāde.</w:t>
      </w:r>
    </w:p>
    <w:p w:rsidR="003E022D" w:rsidRDefault="007D19D6">
      <w:pPr>
        <w:pStyle w:val="Article"/>
        <w:rPr>
          <w:noProof/>
        </w:rPr>
      </w:pPr>
      <w:bookmarkStart w:id="372" w:name="_Toc58920244"/>
      <w:r>
        <w:rPr>
          <w:noProof/>
        </w:rPr>
        <w:t xml:space="preserve">LAW.PNR.34. pants. </w:t>
      </w:r>
      <w:bookmarkStart w:id="373" w:name="_Toc29895959"/>
      <w:r>
        <w:rPr>
          <w:noProof/>
        </w:rPr>
        <w:t>Datu pārsūtīšanas biežums</w:t>
      </w:r>
      <w:bookmarkEnd w:id="372"/>
      <w:bookmarkEnd w:id="373"/>
    </w:p>
    <w:p w:rsidR="003E022D" w:rsidRDefault="007D19D6">
      <w:pPr>
        <w:numPr>
          <w:ilvl w:val="0"/>
          <w:numId w:val="124"/>
        </w:numPr>
        <w:ind w:left="0" w:firstLine="0"/>
        <w:rPr>
          <w:rFonts w:eastAsia="Arial" w:cstheme="minorHAnsi"/>
          <w:noProof/>
        </w:rPr>
      </w:pPr>
      <w:r>
        <w:rPr>
          <w:noProof/>
        </w:rPr>
        <w:t>Apvienotās Karalistes kompetentā iestād</w:t>
      </w:r>
      <w:r>
        <w:rPr>
          <w:noProof/>
        </w:rPr>
        <w:t>e pieprasa gaisa pārvadātājiem pārsūtīt PDR datus:</w:t>
      </w:r>
    </w:p>
    <w:p w:rsidR="003E022D" w:rsidRDefault="007D19D6">
      <w:pPr>
        <w:numPr>
          <w:ilvl w:val="0"/>
          <w:numId w:val="125"/>
        </w:numPr>
        <w:ind w:left="567" w:hanging="567"/>
        <w:rPr>
          <w:rFonts w:cstheme="minorHAnsi"/>
          <w:noProof/>
        </w:rPr>
      </w:pPr>
      <w:r>
        <w:rPr>
          <w:noProof/>
        </w:rPr>
        <w:t>sākotnēji ne agrāk kā 96 stundas pirms paredzētā regulārā reisa izlidošanas laika; un</w:t>
      </w:r>
    </w:p>
    <w:p w:rsidR="003E022D" w:rsidRDefault="007D19D6">
      <w:pPr>
        <w:numPr>
          <w:ilvl w:val="0"/>
          <w:numId w:val="125"/>
        </w:numPr>
        <w:ind w:left="567" w:hanging="567"/>
        <w:rPr>
          <w:rFonts w:eastAsia="Arial" w:cstheme="minorHAnsi"/>
          <w:b/>
          <w:noProof/>
        </w:rPr>
      </w:pPr>
      <w:r>
        <w:rPr>
          <w:noProof/>
        </w:rPr>
        <w:t>ne vairāk kā piecas reizes, kā norādījusi Apvienotās Karalistes kompetentā iestāde.</w:t>
      </w:r>
    </w:p>
    <w:p w:rsidR="003E022D" w:rsidRDefault="007D19D6">
      <w:pPr>
        <w:numPr>
          <w:ilvl w:val="0"/>
          <w:numId w:val="124"/>
        </w:numPr>
        <w:ind w:left="0" w:firstLine="0"/>
        <w:rPr>
          <w:rFonts w:cstheme="minorHAnsi"/>
          <w:noProof/>
        </w:rPr>
      </w:pPr>
      <w:r>
        <w:rPr>
          <w:noProof/>
        </w:rPr>
        <w:t>Apvienotās Karalistes kompetentā ie</w:t>
      </w:r>
      <w:r>
        <w:rPr>
          <w:noProof/>
        </w:rPr>
        <w:t>stāde atļauj gaisa pārvadātājiem ierobežot 1. punkta b) apakšpunktā minēto datu pārsūtīšanu, to attiecinot vienīgi uz minētā punkta a) apakšpunktā norādītās PDR datu pārsūtīšanas atjaunināšanu.</w:t>
      </w:r>
    </w:p>
    <w:p w:rsidR="003E022D" w:rsidRDefault="007D19D6">
      <w:pPr>
        <w:numPr>
          <w:ilvl w:val="0"/>
          <w:numId w:val="124"/>
        </w:numPr>
        <w:ind w:left="0" w:firstLine="0"/>
        <w:rPr>
          <w:rFonts w:cstheme="minorHAnsi"/>
          <w:noProof/>
        </w:rPr>
      </w:pPr>
      <w:r>
        <w:rPr>
          <w:noProof/>
        </w:rPr>
        <w:t>Apvienotās Karalistes kompetentā iestāde paziņo gaisa pārvadāt</w:t>
      </w:r>
      <w:r>
        <w:rPr>
          <w:noProof/>
        </w:rPr>
        <w:t>ājiem noteiktos laikus datu pārsūtīšanai.</w:t>
      </w:r>
    </w:p>
    <w:p w:rsidR="003E022D" w:rsidRDefault="007D19D6">
      <w:pPr>
        <w:numPr>
          <w:ilvl w:val="0"/>
          <w:numId w:val="124"/>
        </w:numPr>
        <w:ind w:left="0" w:firstLine="0"/>
        <w:rPr>
          <w:rFonts w:cstheme="minorHAnsi"/>
          <w:noProof/>
        </w:rPr>
      </w:pPr>
      <w:r>
        <w:rPr>
          <w:noProof/>
        </w:rPr>
        <w:t xml:space="preserve">Īpašos gadījumos, ja tiek norādīts, ka ir nepieciešama papildu piekļuve PDR datiem, lai reaģētu uz konkrētiem draudiem saistībā ar </w:t>
      </w:r>
      <w:r>
        <w:rPr>
          <w:noProof/>
          <w:u w:color="000000"/>
        </w:rPr>
        <w:t>LAW.PNR.20. pantā [PDR datu izmantošanas nolūks]</w:t>
      </w:r>
      <w:r>
        <w:rPr>
          <w:noProof/>
        </w:rPr>
        <w:t xml:space="preserve"> izklāstītajiem nolūkiem, Apvienotā</w:t>
      </w:r>
      <w:r>
        <w:rPr>
          <w:noProof/>
        </w:rPr>
        <w:t xml:space="preserve">s Karalistes kompetentā iestāde var pieprasīt gaisa pārvadātājam sniegt tai PDR datus pirms paredzētās datu pārsūtīšanas, tās laikā vai pēc tās. Īstenojot minētās tiesības, Apvienotās Karalistes kompetentā iestāde rīkojas saprātīgi un samērīgi, izmantojot </w:t>
      </w:r>
      <w:r>
        <w:rPr>
          <w:noProof/>
        </w:rPr>
        <w:t>datu pārsūtīšanas metodi, kas minēta L</w:t>
      </w:r>
      <w:r>
        <w:rPr>
          <w:noProof/>
          <w:u w:color="000000"/>
        </w:rPr>
        <w:t>AW.PNR.33. pantā [Pārsūtīšanas veids]</w:t>
      </w:r>
      <w:r>
        <w:rPr>
          <w:noProof/>
        </w:rPr>
        <w:t>.</w:t>
      </w:r>
    </w:p>
    <w:p w:rsidR="003E022D" w:rsidRDefault="007D19D6">
      <w:pPr>
        <w:pStyle w:val="Article"/>
        <w:rPr>
          <w:noProof/>
        </w:rPr>
      </w:pPr>
      <w:bookmarkStart w:id="374" w:name="_Toc29895962"/>
      <w:bookmarkStart w:id="375" w:name="_Toc58920245"/>
      <w:r>
        <w:rPr>
          <w:noProof/>
        </w:rPr>
        <w:t>LAW.PNR.35. pants</w:t>
      </w:r>
      <w:bookmarkEnd w:id="374"/>
      <w:r>
        <w:rPr>
          <w:noProof/>
        </w:rPr>
        <w:t xml:space="preserve">. </w:t>
      </w:r>
      <w:bookmarkStart w:id="376" w:name="_Toc29895963"/>
      <w:r>
        <w:rPr>
          <w:noProof/>
        </w:rPr>
        <w:t>Sadarbība</w:t>
      </w:r>
      <w:bookmarkEnd w:id="375"/>
      <w:bookmarkEnd w:id="376"/>
    </w:p>
    <w:p w:rsidR="003E022D" w:rsidRDefault="007D19D6">
      <w:pPr>
        <w:rPr>
          <w:rFonts w:cstheme="minorHAnsi"/>
          <w:noProof/>
        </w:rPr>
      </w:pPr>
      <w:r>
        <w:rPr>
          <w:noProof/>
        </w:rPr>
        <w:t>Apvienotās Karalistes kompetentā iestāde un attiecīgās dalībvalstu iestādes sadarbojas, lai nodrošinātu savu PDR datu apstrādes režīmu saskaņotību tād</w:t>
      </w:r>
      <w:r>
        <w:rPr>
          <w:noProof/>
        </w:rPr>
        <w:t>ā veidā, kas stiprina personu drošību Apvienotajā Karalistē, Savienībā un citur.</w:t>
      </w:r>
    </w:p>
    <w:p w:rsidR="003E022D" w:rsidRDefault="007D19D6">
      <w:pPr>
        <w:pStyle w:val="Article"/>
        <w:rPr>
          <w:noProof/>
        </w:rPr>
      </w:pPr>
      <w:bookmarkStart w:id="377" w:name="_Toc29895964"/>
      <w:bookmarkStart w:id="378" w:name="_Toc58920246"/>
      <w:r>
        <w:rPr>
          <w:noProof/>
        </w:rPr>
        <w:t>LAW.PNR.36. pants</w:t>
      </w:r>
      <w:bookmarkEnd w:id="377"/>
      <w:r>
        <w:rPr>
          <w:noProof/>
        </w:rPr>
        <w:t xml:space="preserve">. </w:t>
      </w:r>
      <w:bookmarkStart w:id="379" w:name="_Toc29895965"/>
      <w:r>
        <w:rPr>
          <w:noProof/>
        </w:rPr>
        <w:t>Atkāpju neesamība</w:t>
      </w:r>
      <w:bookmarkEnd w:id="378"/>
      <w:bookmarkEnd w:id="379"/>
    </w:p>
    <w:p w:rsidR="003E022D" w:rsidRDefault="007D19D6">
      <w:pPr>
        <w:rPr>
          <w:rFonts w:cstheme="minorHAnsi"/>
          <w:noProof/>
        </w:rPr>
      </w:pPr>
      <w:r>
        <w:rPr>
          <w:noProof/>
        </w:rPr>
        <w:t>Šo sadaļu neinterpretē kā atkāpi no kāda pienākuma starp Apvienoto Karalisti un dalībvalstīm vai trešām valstīm iesniegt lūgumu vai atbild</w:t>
      </w:r>
      <w:r>
        <w:rPr>
          <w:noProof/>
        </w:rPr>
        <w:t>ēt uz lūgumu savstarpējas palīdzības instrumenta ietvaros.</w:t>
      </w:r>
    </w:p>
    <w:p w:rsidR="003E022D" w:rsidRDefault="007D19D6">
      <w:pPr>
        <w:pStyle w:val="Article"/>
        <w:rPr>
          <w:noProof/>
        </w:rPr>
      </w:pPr>
      <w:bookmarkStart w:id="380" w:name="_Toc29895966"/>
      <w:bookmarkStart w:id="381" w:name="_Toc58920247"/>
      <w:r>
        <w:rPr>
          <w:noProof/>
        </w:rPr>
        <w:t>LAW.PNR.37. pants</w:t>
      </w:r>
      <w:bookmarkEnd w:id="380"/>
      <w:r>
        <w:rPr>
          <w:noProof/>
        </w:rPr>
        <w:t xml:space="preserve">. </w:t>
      </w:r>
      <w:bookmarkStart w:id="382" w:name="_Toc29895967"/>
      <w:r>
        <w:rPr>
          <w:noProof/>
        </w:rPr>
        <w:t>Apspriešanās un pārskatīšana</w:t>
      </w:r>
      <w:bookmarkEnd w:id="381"/>
      <w:bookmarkEnd w:id="382"/>
    </w:p>
    <w:p w:rsidR="003E022D" w:rsidRDefault="007D19D6">
      <w:pPr>
        <w:numPr>
          <w:ilvl w:val="0"/>
          <w:numId w:val="26"/>
        </w:numPr>
        <w:ind w:left="0" w:firstLine="0"/>
        <w:rPr>
          <w:rFonts w:cstheme="minorHAnsi"/>
          <w:noProof/>
        </w:rPr>
      </w:pPr>
      <w:r>
        <w:rPr>
          <w:noProof/>
        </w:rPr>
        <w:t>Puses informē viena otru par visiem pasākumiem, kurus paredzēts ieviest un kuri var ietekmēt šo sadaļu.</w:t>
      </w:r>
    </w:p>
    <w:p w:rsidR="003E022D" w:rsidRDefault="007D19D6">
      <w:pPr>
        <w:numPr>
          <w:ilvl w:val="0"/>
          <w:numId w:val="26"/>
        </w:numPr>
        <w:ind w:left="0" w:firstLine="0"/>
        <w:rPr>
          <w:rFonts w:cstheme="minorHAnsi"/>
          <w:noProof/>
        </w:rPr>
      </w:pPr>
      <w:r>
        <w:rPr>
          <w:noProof/>
        </w:rPr>
        <w:t>Veicot šīs sadaļas kopīgu pārskatīšanu, kā mi</w:t>
      </w:r>
      <w:r>
        <w:rPr>
          <w:noProof/>
        </w:rPr>
        <w:t xml:space="preserve">nēts </w:t>
      </w:r>
      <w:r>
        <w:rPr>
          <w:noProof/>
          <w:u w:color="000000"/>
        </w:rPr>
        <w:t>LAW.OTHER.135. panta [Pārskatīšana un izvērtēšana] 1. punktā</w:t>
      </w:r>
      <w:r>
        <w:rPr>
          <w:noProof/>
        </w:rPr>
        <w:t>, Puses īpašu uzmanību pievērš PDR datu apstrādes un saglabāšanas nepieciešamībai un samērīgumam attiecībā pret katru no L</w:t>
      </w:r>
      <w:r>
        <w:rPr>
          <w:noProof/>
          <w:u w:color="000000"/>
        </w:rPr>
        <w:t>AW.PNR.20. pantā [PDR datu izmantošanas nolūks]</w:t>
      </w:r>
      <w:r>
        <w:rPr>
          <w:noProof/>
        </w:rPr>
        <w:t xml:space="preserve"> izklāstītajiem nolūki</w:t>
      </w:r>
      <w:r>
        <w:rPr>
          <w:noProof/>
        </w:rPr>
        <w:t xml:space="preserve">em. Kopīgā pārskatīšana ietver arī pārbaudi, kā Apvienotās Karalistes kompetentā iestāde ir nodrošinājusi, ka </w:t>
      </w:r>
      <w:r>
        <w:rPr>
          <w:noProof/>
          <w:u w:color="000000"/>
        </w:rPr>
        <w:t>LAW.PNR.27. pantā [PDR datu automatizēta apstrāde]</w:t>
      </w:r>
      <w:r>
        <w:rPr>
          <w:noProof/>
        </w:rPr>
        <w:t xml:space="preserve"> minētie iepriekš noteiktie modeļi, kritēriji un datubāzes ir uzticamas, saistītas un aktuālas, </w:t>
      </w:r>
      <w:r>
        <w:rPr>
          <w:noProof/>
        </w:rPr>
        <w:t>ņemot vērā statistikas datus.</w:t>
      </w:r>
    </w:p>
    <w:p w:rsidR="003E022D" w:rsidRDefault="007D19D6">
      <w:pPr>
        <w:pStyle w:val="Article"/>
        <w:rPr>
          <w:noProof/>
        </w:rPr>
      </w:pPr>
      <w:bookmarkStart w:id="383" w:name="_Toc58920248"/>
      <w:bookmarkStart w:id="384" w:name="_Hlk54439414"/>
      <w:r>
        <w:rPr>
          <w:noProof/>
        </w:rPr>
        <w:t>LAW.PNR 38. pants. Sadarbības saskaņā ar šo sadaļu apturēšana</w:t>
      </w:r>
      <w:bookmarkEnd w:id="383"/>
    </w:p>
    <w:p w:rsidR="003E022D" w:rsidRDefault="007D19D6">
      <w:pPr>
        <w:numPr>
          <w:ilvl w:val="0"/>
          <w:numId w:val="123"/>
        </w:numPr>
        <w:ind w:left="0" w:firstLine="0"/>
        <w:rPr>
          <w:rFonts w:cstheme="minorHAnsi"/>
          <w:noProof/>
        </w:rPr>
      </w:pPr>
      <w:r>
        <w:rPr>
          <w:noProof/>
        </w:rPr>
        <w:t>Ja kāda no Pusēm uzskata, ka šīs sadaļas turpmāka piemērošana vairs nav lietderīga, tā var attiecīgi informēt otru Pusi par savu nodomu apturēt šīs sadaļas piemēroš</w:t>
      </w:r>
      <w:r>
        <w:rPr>
          <w:noProof/>
        </w:rPr>
        <w:t>anu. Pēc šāda paziņojuma Puses sāk apspriesties.</w:t>
      </w:r>
    </w:p>
    <w:p w:rsidR="003E022D" w:rsidRDefault="007D19D6">
      <w:pPr>
        <w:numPr>
          <w:ilvl w:val="0"/>
          <w:numId w:val="123"/>
        </w:numPr>
        <w:ind w:left="0" w:firstLine="0"/>
        <w:rPr>
          <w:rFonts w:cstheme="minorHAnsi"/>
          <w:noProof/>
        </w:rPr>
      </w:pPr>
      <w:r>
        <w:rPr>
          <w:noProof/>
        </w:rPr>
        <w:t xml:space="preserve">Ja 6 mēnešu laikā </w:t>
      </w:r>
      <w:r>
        <w:rPr>
          <w:noProof/>
          <w:bdr w:val="none" w:sz="0" w:space="0" w:color="auto" w:frame="1"/>
        </w:rPr>
        <w:t>pēc minētā paziņojuma Puses nav panākušas risinājumu, katra Puse var nolemt apturēt šīs sadaļas piemērošanu uz laiku līdz 6 mēnešiem</w:t>
      </w:r>
      <w:r>
        <w:rPr>
          <w:noProof/>
        </w:rPr>
        <w:t>.</w:t>
      </w:r>
      <w:r>
        <w:rPr>
          <w:noProof/>
          <w:bdr w:val="none" w:sz="0" w:space="0" w:color="auto" w:frame="1"/>
        </w:rPr>
        <w:t xml:space="preserve"> Pirms minētā laikposma beigām Puses var vienoties par a</w:t>
      </w:r>
      <w:r>
        <w:rPr>
          <w:noProof/>
          <w:bdr w:val="none" w:sz="0" w:space="0" w:color="auto" w:frame="1"/>
        </w:rPr>
        <w:t xml:space="preserve">pturēšanas pagarināšanu uz papildu laikposmu līdz 6 mēnešiem. Ja pēc apturēšanas perioda beigām Puses nav panākušas vienošanos par šo sadaļu, šo sadaļu vairs nepiemēro no tā mēneša pirmās dienas, kurš seko apturēšanas perioda beigām, izņemot gadījumu, kad </w:t>
      </w:r>
      <w:r>
        <w:rPr>
          <w:noProof/>
          <w:bdr w:val="none" w:sz="0" w:space="0" w:color="auto" w:frame="1"/>
        </w:rPr>
        <w:t>paziņojumu sniegusī Puse informē otru Pusi par to, ka tā vēlas atsaukt paziņojumu</w:t>
      </w:r>
      <w:r>
        <w:rPr>
          <w:noProof/>
        </w:rPr>
        <w:t>. Tādā gadījumā atjauno šīs sadaļas noteikumu darbību.</w:t>
      </w:r>
    </w:p>
    <w:p w:rsidR="003E022D" w:rsidRDefault="007D19D6">
      <w:pPr>
        <w:numPr>
          <w:ilvl w:val="0"/>
          <w:numId w:val="123"/>
        </w:numPr>
        <w:ind w:left="0" w:firstLine="0"/>
        <w:rPr>
          <w:rFonts w:eastAsia="Times New Roman" w:cstheme="minorHAnsi"/>
          <w:b/>
          <w:noProof/>
          <w:u w:val="single"/>
          <w:bdr w:val="none" w:sz="0" w:space="0" w:color="auto" w:frame="1"/>
        </w:rPr>
      </w:pPr>
      <w:r>
        <w:rPr>
          <w:noProof/>
        </w:rPr>
        <w:t xml:space="preserve">Ja saskaņā ar šo pantu ir apturēta šī sadaļa, Specializētā komiteja tiesībaizsardzības un tiesu iestāžu sadarbības jomā </w:t>
      </w:r>
      <w:r>
        <w:rPr>
          <w:noProof/>
        </w:rPr>
        <w:t>tiekas, lai lemtu par to, kādi pasākumi ir vajadzīgi, lai nodrošinātu, ka jebkura saskaņā ar šo sadaļu uzsāktā sadarbība, ko ietekmē apturēšana, tiek pienācīgi pabeigta.</w:t>
      </w:r>
      <w:r>
        <w:rPr>
          <w:noProof/>
          <w:bdr w:val="none" w:sz="0" w:space="0" w:color="auto" w:frame="1"/>
        </w:rPr>
        <w:t xml:space="preserve"> Jebkurā gadījumā attiecībā uz visiem personas datiem, kas iegūti sadarbībā saskaņā ar </w:t>
      </w:r>
      <w:r>
        <w:rPr>
          <w:noProof/>
          <w:bdr w:val="none" w:sz="0" w:space="0" w:color="auto" w:frame="1"/>
        </w:rPr>
        <w:t>šo sadaļu, pirms apturēšanas skartos noteikumus provizoriski pārstāja piemērot, Puses nodrošina, ka pēc apturēšanas stāšanās spēkā tiek saglabāts aizsardzības līmenis, atbilstoši kuram personas dati tika pārsūtīti.</w:t>
      </w:r>
    </w:p>
    <w:p w:rsidR="003E022D" w:rsidRDefault="007D19D6">
      <w:pPr>
        <w:spacing w:after="0" w:line="276" w:lineRule="auto"/>
        <w:jc w:val="left"/>
        <w:rPr>
          <w:rFonts w:asciiTheme="majorHAnsi" w:hAnsiTheme="majorHAnsi" w:cstheme="minorHAnsi"/>
          <w:i/>
          <w:caps/>
          <w:noProof/>
        </w:rPr>
      </w:pPr>
      <w:bookmarkStart w:id="385" w:name="_Toc57809458"/>
      <w:bookmarkStart w:id="386" w:name="_Toc58920249"/>
      <w:bookmarkStart w:id="387" w:name="_Toc58949198"/>
      <w:bookmarkStart w:id="388" w:name="_Toc59472713"/>
      <w:bookmarkEnd w:id="384"/>
      <w:r>
        <w:rPr>
          <w:noProof/>
        </w:rPr>
        <w:br w:type="page"/>
      </w:r>
    </w:p>
    <w:p w:rsidR="003E022D" w:rsidRDefault="007D19D6">
      <w:pPr>
        <w:pStyle w:val="Title1"/>
        <w:rPr>
          <w:noProof/>
        </w:rPr>
      </w:pPr>
      <w:bookmarkStart w:id="389" w:name="_Toc59988365"/>
      <w:r>
        <w:rPr>
          <w:noProof/>
        </w:rPr>
        <w:t xml:space="preserve">IV sadaļa. Sadarbība operatīvās </w:t>
      </w:r>
      <w:r>
        <w:rPr>
          <w:noProof/>
        </w:rPr>
        <w:t>informācijas jomā</w:t>
      </w:r>
      <w:bookmarkEnd w:id="385"/>
      <w:bookmarkEnd w:id="386"/>
      <w:bookmarkEnd w:id="387"/>
      <w:bookmarkEnd w:id="388"/>
      <w:bookmarkEnd w:id="389"/>
      <w:r>
        <w:rPr>
          <w:noProof/>
        </w:rPr>
        <w:t xml:space="preserve"> </w:t>
      </w:r>
    </w:p>
    <w:p w:rsidR="003E022D" w:rsidRDefault="007D19D6">
      <w:pPr>
        <w:pStyle w:val="Article"/>
        <w:rPr>
          <w:noProof/>
        </w:rPr>
      </w:pPr>
      <w:bookmarkStart w:id="390" w:name="_Toc58920250"/>
      <w:r>
        <w:rPr>
          <w:noProof/>
        </w:rPr>
        <w:t>LAW.OPCO.1. pants. Sadarbība operatīvās informācijas jomā</w:t>
      </w:r>
      <w:bookmarkEnd w:id="390"/>
      <w:r>
        <w:rPr>
          <w:noProof/>
        </w:rPr>
        <w:t xml:space="preserve"> </w:t>
      </w:r>
    </w:p>
    <w:p w:rsidR="003E022D" w:rsidRDefault="007D19D6">
      <w:pPr>
        <w:numPr>
          <w:ilvl w:val="0"/>
          <w:numId w:val="130"/>
        </w:numPr>
        <w:ind w:left="0" w:firstLine="0"/>
        <w:rPr>
          <w:rFonts w:eastAsia="Times New Roman" w:cstheme="minorHAnsi"/>
          <w:iCs/>
          <w:noProof/>
        </w:rPr>
      </w:pPr>
      <w:bookmarkStart w:id="391" w:name="_Hlk54613560"/>
      <w:r>
        <w:rPr>
          <w:noProof/>
        </w:rPr>
        <w:t xml:space="preserve">Šīs sadaļas mērķis ir Pusēm nodrošināt, </w:t>
      </w:r>
      <w:bookmarkStart w:id="392" w:name="_Hlk54705817"/>
      <w:r>
        <w:rPr>
          <w:noProof/>
        </w:rPr>
        <w:t xml:space="preserve">ka </w:t>
      </w:r>
      <w:bookmarkStart w:id="393" w:name="_Hlk54706183"/>
      <w:r>
        <w:rPr>
          <w:noProof/>
        </w:rPr>
        <w:t xml:space="preserve">Apvienotās Karalistes un dalībvalstu </w:t>
      </w:r>
      <w:bookmarkEnd w:id="392"/>
      <w:bookmarkEnd w:id="393"/>
      <w:r>
        <w:rPr>
          <w:noProof/>
        </w:rPr>
        <w:t>kompetentās iestādēm ir iespēja, ievērojot to iekšzemes tiesību aktu nosacījumus un to pilnvaru ie</w:t>
      </w:r>
      <w:r>
        <w:rPr>
          <w:noProof/>
        </w:rPr>
        <w:t>tvaros, un tādā mērā, ciktāl tas nav noteikts citās šīs daļas sadaļās,</w:t>
      </w:r>
      <w:r>
        <w:rPr>
          <w:b/>
          <w:iCs/>
          <w:noProof/>
        </w:rPr>
        <w:t xml:space="preserve"> </w:t>
      </w:r>
      <w:r>
        <w:rPr>
          <w:noProof/>
        </w:rPr>
        <w:t>sniegt savstarpēju palīdzību, nodrošinot attiecīgo informāciju turpmāk minētajiem nolūkiem:</w:t>
      </w:r>
    </w:p>
    <w:p w:rsidR="003E022D" w:rsidRDefault="007D19D6">
      <w:pPr>
        <w:numPr>
          <w:ilvl w:val="0"/>
          <w:numId w:val="185"/>
        </w:numPr>
        <w:ind w:left="567" w:hanging="567"/>
        <w:rPr>
          <w:rFonts w:cstheme="minorHAnsi"/>
          <w:noProof/>
        </w:rPr>
      </w:pPr>
      <w:r>
        <w:rPr>
          <w:noProof/>
        </w:rPr>
        <w:t>noziedzīgu nodarījumu novēršana, izmeklēšana, atklāšana vai kriminālvajāšana;</w:t>
      </w:r>
    </w:p>
    <w:p w:rsidR="003E022D" w:rsidRDefault="007D19D6">
      <w:pPr>
        <w:numPr>
          <w:ilvl w:val="0"/>
          <w:numId w:val="185"/>
        </w:numPr>
        <w:ind w:left="567" w:hanging="567"/>
        <w:rPr>
          <w:rFonts w:cstheme="minorHAnsi"/>
          <w:noProof/>
        </w:rPr>
      </w:pPr>
      <w:r>
        <w:rPr>
          <w:noProof/>
        </w:rPr>
        <w:t>kriminālsodu iz</w:t>
      </w:r>
      <w:r>
        <w:rPr>
          <w:noProof/>
        </w:rPr>
        <w:t>pilde;</w:t>
      </w:r>
    </w:p>
    <w:p w:rsidR="003E022D" w:rsidRDefault="007D19D6">
      <w:pPr>
        <w:numPr>
          <w:ilvl w:val="0"/>
          <w:numId w:val="185"/>
        </w:numPr>
        <w:ind w:left="567" w:hanging="567"/>
        <w:rPr>
          <w:rFonts w:cstheme="minorHAnsi"/>
          <w:noProof/>
        </w:rPr>
      </w:pPr>
      <w:r>
        <w:rPr>
          <w:noProof/>
        </w:rPr>
        <w:t>aizsardzība pret sabiedriskās drošības apdraudējumiem un to novēršana, un</w:t>
      </w:r>
    </w:p>
    <w:p w:rsidR="003E022D" w:rsidRDefault="007D19D6">
      <w:pPr>
        <w:numPr>
          <w:ilvl w:val="0"/>
          <w:numId w:val="185"/>
        </w:numPr>
        <w:ind w:left="567" w:hanging="567"/>
        <w:rPr>
          <w:rFonts w:eastAsia="Times New Roman" w:cstheme="minorHAnsi"/>
          <w:iCs/>
          <w:noProof/>
        </w:rPr>
      </w:pPr>
      <w:r>
        <w:rPr>
          <w:noProof/>
        </w:rPr>
        <w:t>nelikumīgi iegūtu līdzekļu legalizācijas un terorisma finansēšanas novēršana un apkarošana.</w:t>
      </w:r>
    </w:p>
    <w:p w:rsidR="003E022D" w:rsidRDefault="007D19D6">
      <w:pPr>
        <w:numPr>
          <w:ilvl w:val="0"/>
          <w:numId w:val="130"/>
        </w:numPr>
        <w:ind w:left="0" w:firstLine="0"/>
        <w:rPr>
          <w:rFonts w:cstheme="minorHAnsi"/>
          <w:noProof/>
        </w:rPr>
      </w:pPr>
      <w:r>
        <w:rPr>
          <w:noProof/>
        </w:rPr>
        <w:t xml:space="preserve">Šajā sadaļā “kompetentā iestāde" ir iekšzemes policija, muita vai cita </w:t>
      </w:r>
      <w:r>
        <w:rPr>
          <w:noProof/>
          <w:color w:val="000000"/>
        </w:rPr>
        <w:t>iestāde</w:t>
      </w:r>
      <w:r>
        <w:rPr>
          <w:noProof/>
        </w:rPr>
        <w:t>, kur</w:t>
      </w:r>
      <w:r>
        <w:rPr>
          <w:noProof/>
        </w:rPr>
        <w:t>a atbilstoši iekšzemes tiesību aktiem ir kompetenta veikt darbības 1. punktā izklāstītajos nolūkos.</w:t>
      </w:r>
    </w:p>
    <w:p w:rsidR="003E022D" w:rsidRDefault="007D19D6">
      <w:pPr>
        <w:numPr>
          <w:ilvl w:val="0"/>
          <w:numId w:val="130"/>
        </w:numPr>
        <w:ind w:left="0" w:firstLine="0"/>
        <w:rPr>
          <w:rFonts w:eastAsia="Calibri" w:cstheme="minorHAnsi"/>
          <w:noProof/>
          <w:color w:val="000000"/>
        </w:rPr>
      </w:pPr>
      <w:r>
        <w:rPr>
          <w:noProof/>
        </w:rPr>
        <w:t>Informāciju, tai skaitā</w:t>
      </w:r>
      <w:r>
        <w:rPr>
          <w:noProof/>
          <w:color w:val="000000"/>
        </w:rPr>
        <w:t xml:space="preserve"> informāciju par meklēšanā izsludinātām un pazudušām personām un priekšmetiem, var pieprasīt </w:t>
      </w:r>
      <w:bookmarkStart w:id="394" w:name="_Hlk54706227"/>
      <w:r>
        <w:rPr>
          <w:noProof/>
          <w:color w:val="000000"/>
        </w:rPr>
        <w:t>Apvienotās Karalistes un dalībvalsts</w:t>
      </w:r>
      <w:bookmarkEnd w:id="394"/>
      <w:r>
        <w:rPr>
          <w:noProof/>
          <w:color w:val="000000"/>
        </w:rPr>
        <w:t xml:space="preserve"> kom</w:t>
      </w:r>
      <w:r>
        <w:rPr>
          <w:noProof/>
          <w:color w:val="000000"/>
        </w:rPr>
        <w:t>petentā iestāde, vai to var spontāni sniegt kādai Apvienotās Karalistes un dalībvalsts kompetentajai iestādei. Informāciju var sniegt, atbildot uz pieprasījumu, vai spontāni, ievērojot to iekšzemes tiesību aktu nosacījumus, kurus piemēro informācijas snied</w:t>
      </w:r>
      <w:r>
        <w:rPr>
          <w:noProof/>
          <w:color w:val="000000"/>
        </w:rPr>
        <w:t>zējai kompetentajai iestādei, un iestādei rīkojoties savu pilnvaru ietvaros.</w:t>
      </w:r>
    </w:p>
    <w:p w:rsidR="003E022D" w:rsidRDefault="007D19D6">
      <w:pPr>
        <w:numPr>
          <w:ilvl w:val="0"/>
          <w:numId w:val="130"/>
        </w:numPr>
        <w:ind w:left="0" w:firstLine="0"/>
        <w:rPr>
          <w:rFonts w:eastAsia="Calibri" w:cstheme="minorHAnsi"/>
          <w:noProof/>
          <w:color w:val="000000"/>
        </w:rPr>
      </w:pPr>
      <w:r>
        <w:rPr>
          <w:noProof/>
          <w:color w:val="000000"/>
        </w:rPr>
        <w:t xml:space="preserve">Informāciju var pieprasīt un sniegt tādā apmērā, ciktāl to iekšzemes tiesību aktu nosacījumos, </w:t>
      </w:r>
      <w:bookmarkStart w:id="395" w:name="_Hlk54706272"/>
      <w:r>
        <w:rPr>
          <w:noProof/>
          <w:color w:val="000000"/>
        </w:rPr>
        <w:t xml:space="preserve">kurus piemēro informācijas pieprasītājai vai sniedzējai kompetentajai iestādei, </w:t>
      </w:r>
      <w:bookmarkEnd w:id="395"/>
      <w:r>
        <w:rPr>
          <w:noProof/>
          <w:color w:val="000000"/>
        </w:rPr>
        <w:t xml:space="preserve">nav </w:t>
      </w:r>
      <w:r>
        <w:rPr>
          <w:noProof/>
          <w:color w:val="000000"/>
        </w:rPr>
        <w:t xml:space="preserve">noteikts, ka informācijas pieprasīšana vai sniegšana ir jāveic vai </w:t>
      </w:r>
      <w:r>
        <w:rPr>
          <w:noProof/>
        </w:rPr>
        <w:t>jāvirza</w:t>
      </w:r>
      <w:r>
        <w:rPr>
          <w:noProof/>
          <w:color w:val="000000"/>
        </w:rPr>
        <w:t xml:space="preserve"> ar tiesu iestāžu starpniecību.</w:t>
      </w:r>
    </w:p>
    <w:p w:rsidR="003E022D" w:rsidRDefault="007D19D6">
      <w:pPr>
        <w:numPr>
          <w:ilvl w:val="0"/>
          <w:numId w:val="130"/>
        </w:numPr>
        <w:ind w:left="0" w:firstLine="0"/>
        <w:rPr>
          <w:rFonts w:cstheme="minorHAnsi"/>
          <w:noProof/>
        </w:rPr>
      </w:pPr>
      <w:r>
        <w:rPr>
          <w:noProof/>
          <w:color w:val="000000"/>
        </w:rPr>
        <w:t xml:space="preserve">Steidzamos gadījumos informācijas sniedzēja kompetentā iestāde atbild uz pieprasījumu vai sniedz informāciju </w:t>
      </w:r>
      <w:r>
        <w:rPr>
          <w:noProof/>
        </w:rPr>
        <w:t>spontāni un iespējami drīz.</w:t>
      </w:r>
    </w:p>
    <w:p w:rsidR="003E022D" w:rsidRDefault="007D19D6">
      <w:pPr>
        <w:numPr>
          <w:ilvl w:val="0"/>
          <w:numId w:val="130"/>
        </w:numPr>
        <w:ind w:left="0" w:firstLine="0"/>
        <w:rPr>
          <w:rFonts w:eastAsia="Times New Roman" w:cstheme="minorHAnsi"/>
          <w:iCs/>
          <w:noProof/>
          <w:u w:val="single"/>
        </w:rPr>
      </w:pPr>
      <w:r>
        <w:rPr>
          <w:noProof/>
        </w:rPr>
        <w:t xml:space="preserve">Informācijas </w:t>
      </w:r>
      <w:r>
        <w:rPr>
          <w:noProof/>
        </w:rPr>
        <w:t>pieprasītājas valsts kompetentā iestāde saskaņā ar attiecīgajiem iekšzemes tiesību aktiem pieprasījuma iesniegšanas laikā vai vēlāk var lūgt informācijas sniedzējas valsts piekrišanu informācijas izmantošanai pierādījumu sniegšanas nolūkos tiesvedībā tiesu</w:t>
      </w:r>
      <w:r>
        <w:rPr>
          <w:noProof/>
        </w:rPr>
        <w:t xml:space="preserve"> iestādē. Informācijas sniedzējas valsts, ievērojot </w:t>
      </w:r>
      <w:r>
        <w:rPr>
          <w:noProof/>
          <w:u w:color="000000"/>
        </w:rPr>
        <w:t>VIII sadaļas [Savstarpēja tiesiskā palīdzība]</w:t>
      </w:r>
      <w:r>
        <w:rPr>
          <w:noProof/>
        </w:rPr>
        <w:t xml:space="preserve"> nosacījumus un tai piemērojamos iekšzemes tiesību aktu nosacījumus, var piekrist informācijas izmantošanai pierādījumu sniegšanas nolūkos informācijas piepras</w:t>
      </w:r>
      <w:r>
        <w:rPr>
          <w:noProof/>
        </w:rPr>
        <w:t xml:space="preserve">ītājas valsts tiesu iestādē. Tāpat, ja informācija ir sniegta spontāni, informācijas sniedzēja valsts var piekrist informācijas izmantošanai pierādījumu sniegšanas nolūkos tiesvedībā informācijas pieprasītājas valsts tiesu iestādē. Gadījumos, kad nav dota </w:t>
      </w:r>
      <w:r>
        <w:rPr>
          <w:noProof/>
        </w:rPr>
        <w:t>piekrišana saskaņā ar šo punktu, saņemto informāciju neizmanto pierādījumu sniegšanas nolūkos tiesvedībā tiesu iestādē.</w:t>
      </w:r>
    </w:p>
    <w:p w:rsidR="003E022D" w:rsidRDefault="007D19D6">
      <w:pPr>
        <w:numPr>
          <w:ilvl w:val="0"/>
          <w:numId w:val="130"/>
        </w:numPr>
        <w:ind w:left="0" w:firstLine="0"/>
        <w:rPr>
          <w:rFonts w:cstheme="minorHAnsi"/>
          <w:noProof/>
        </w:rPr>
      </w:pPr>
      <w:r>
        <w:rPr>
          <w:noProof/>
        </w:rPr>
        <w:t xml:space="preserve">Informācijas sniedzēja kompetentā iestāde atbilstoši attiecīgajiem valsts tiesību aktiem var paredzēt nosacījumus sniegtās informācijas </w:t>
      </w:r>
      <w:r>
        <w:rPr>
          <w:noProof/>
        </w:rPr>
        <w:t>izmantošanai.</w:t>
      </w:r>
    </w:p>
    <w:p w:rsidR="003E022D" w:rsidRDefault="007D19D6">
      <w:pPr>
        <w:numPr>
          <w:ilvl w:val="0"/>
          <w:numId w:val="130"/>
        </w:numPr>
        <w:ind w:left="0" w:firstLine="0"/>
        <w:rPr>
          <w:rFonts w:cstheme="minorHAnsi"/>
          <w:noProof/>
        </w:rPr>
      </w:pPr>
      <w:bookmarkStart w:id="396" w:name="_Hlk56502351"/>
      <w:r>
        <w:rPr>
          <w:noProof/>
        </w:rPr>
        <w:t>Kompetentā iestāde saskaņā ar šo sadaļu var sniegt jebkāda veida informāciju, kas ir tās rīcībā, ievērojot tai piemērojamo iekšzemes tiesību aktu nosacījumus, un iestādei rīkojoties savu pilnvaru ietvaros.</w:t>
      </w:r>
      <w:r>
        <w:rPr>
          <w:noProof/>
          <w:color w:val="000000"/>
        </w:rPr>
        <w:t xml:space="preserve"> </w:t>
      </w:r>
      <w:r>
        <w:rPr>
          <w:noProof/>
        </w:rPr>
        <w:t>Tas var ietvert informāciju no citie</w:t>
      </w:r>
      <w:r>
        <w:rPr>
          <w:noProof/>
        </w:rPr>
        <w:t>m avotiem tikai tad, ja minētās informācijas tālākpārsūtīšana ir atļauta saskaņā ar regulējumu, atbilstoši kuram informācijas sniedzēja kompetentā iestāde to ir ieguvusi.</w:t>
      </w:r>
      <w:bookmarkEnd w:id="396"/>
    </w:p>
    <w:p w:rsidR="003E022D" w:rsidRDefault="007D19D6">
      <w:pPr>
        <w:numPr>
          <w:ilvl w:val="0"/>
          <w:numId w:val="130"/>
        </w:numPr>
        <w:ind w:left="0" w:firstLine="0"/>
        <w:rPr>
          <w:rFonts w:cstheme="minorHAnsi"/>
          <w:noProof/>
        </w:rPr>
      </w:pPr>
      <w:r>
        <w:rPr>
          <w:noProof/>
        </w:rPr>
        <w:t>Informāciju saskaņā ar šo sadaļu var sniegt, izmantojot jebkuru piemērotu sakaru kanā</w:t>
      </w:r>
      <w:r>
        <w:rPr>
          <w:noProof/>
        </w:rPr>
        <w:t>lu, tai skaitā drošu sakaru līniju informācijas sniegšanai ar Eiropola starpniecību.</w:t>
      </w:r>
    </w:p>
    <w:p w:rsidR="003E022D" w:rsidRDefault="007D19D6">
      <w:pPr>
        <w:numPr>
          <w:ilvl w:val="0"/>
          <w:numId w:val="130"/>
        </w:numPr>
        <w:ind w:left="0" w:firstLine="0"/>
        <w:rPr>
          <w:rFonts w:cstheme="minorHAnsi"/>
          <w:noProof/>
        </w:rPr>
      </w:pPr>
      <w:r>
        <w:rPr>
          <w:noProof/>
        </w:rPr>
        <w:t>Šis pants</w:t>
      </w:r>
      <w:r>
        <w:rPr>
          <w:noProof/>
          <w:color w:val="000000"/>
        </w:rPr>
        <w:t xml:space="preserve"> neskar</w:t>
      </w:r>
      <w:r>
        <w:rPr>
          <w:noProof/>
        </w:rPr>
        <w:t xml:space="preserve"> divpusēju nolīgumu</w:t>
      </w:r>
      <w:r>
        <w:rPr>
          <w:b/>
          <w:iCs/>
          <w:noProof/>
        </w:rPr>
        <w:t xml:space="preserve"> </w:t>
      </w:r>
      <w:r>
        <w:rPr>
          <w:noProof/>
        </w:rPr>
        <w:t xml:space="preserve">starp </w:t>
      </w:r>
      <w:bookmarkStart w:id="397" w:name="_Hlk54706299"/>
      <w:r>
        <w:rPr>
          <w:noProof/>
        </w:rPr>
        <w:t>Apvienoto Karalisti un dalībvalstīm</w:t>
      </w:r>
      <w:bookmarkEnd w:id="397"/>
      <w:r>
        <w:rPr>
          <w:noProof/>
        </w:rPr>
        <w:t xml:space="preserve"> darbību vai noslēgšanu, ar nosacījumu, ka dalībvalstis rīkojas saskaņā ar Savienības tiesībām. Tas neskar arī citas Apvienotās Karalistes vai dalībvalstu kompetento iestāžu pilnvaras atbilstoši piemērojamajām iekšzemes vai starptautiskajām tiesībām, lai 1</w:t>
      </w:r>
      <w:r>
        <w:rPr>
          <w:noProof/>
        </w:rPr>
        <w:t>. punktā izklāstītajos nolūkos sniegtu palīdzību, apmainoties ar informāciju.</w:t>
      </w:r>
      <w:bookmarkEnd w:id="391"/>
    </w:p>
    <w:p w:rsidR="003E022D" w:rsidRDefault="007D19D6">
      <w:pPr>
        <w:pStyle w:val="Title1"/>
        <w:rPr>
          <w:noProof/>
        </w:rPr>
      </w:pPr>
      <w:bookmarkStart w:id="398" w:name="_Toc57809459"/>
      <w:bookmarkStart w:id="399" w:name="_Toc57978899"/>
      <w:bookmarkStart w:id="400" w:name="_Toc58920251"/>
      <w:bookmarkStart w:id="401" w:name="_Toc58949199"/>
      <w:bookmarkStart w:id="402" w:name="_Toc59472714"/>
      <w:bookmarkStart w:id="403" w:name="_Toc59988366"/>
      <w:r>
        <w:rPr>
          <w:noProof/>
        </w:rPr>
        <w:t>V sadaļa. Sadarbība ar Eiropolu</w:t>
      </w:r>
      <w:bookmarkEnd w:id="398"/>
      <w:bookmarkEnd w:id="399"/>
      <w:bookmarkEnd w:id="400"/>
      <w:bookmarkEnd w:id="401"/>
      <w:bookmarkEnd w:id="402"/>
      <w:bookmarkEnd w:id="403"/>
    </w:p>
    <w:p w:rsidR="003E022D" w:rsidRDefault="007D19D6">
      <w:pPr>
        <w:pStyle w:val="Article"/>
        <w:rPr>
          <w:noProof/>
        </w:rPr>
      </w:pPr>
      <w:bookmarkStart w:id="404" w:name="_Toc58920252"/>
      <w:r>
        <w:rPr>
          <w:noProof/>
        </w:rPr>
        <w:t>LAW.EUROPOL.46. pants. Mērķis</w:t>
      </w:r>
      <w:bookmarkEnd w:id="404"/>
    </w:p>
    <w:p w:rsidR="003E022D" w:rsidRDefault="007D19D6">
      <w:pPr>
        <w:rPr>
          <w:rFonts w:cstheme="minorHAnsi"/>
          <w:noProof/>
        </w:rPr>
      </w:pPr>
      <w:r>
        <w:rPr>
          <w:noProof/>
        </w:rPr>
        <w:t xml:space="preserve">Šīs sadaļas mērķis ir izveidot sadarbības attiecības starp Eiropolu un Apvienotās Karalistes kompetentajām iestādēm </w:t>
      </w:r>
      <w:r>
        <w:rPr>
          <w:noProof/>
        </w:rPr>
        <w:t>nolūkā atbalstīt un stiprināt dalībvalstu un Apvienotās Karalistes darbības, kā arī to savstarpējo sadarbību, novēršot un apkarojot smagus noziegumus, terorismu un citus noziedzības veidus, kas skar vispārējās intereses, uz kurām attiecas Savienības politi</w:t>
      </w:r>
      <w:r>
        <w:rPr>
          <w:noProof/>
        </w:rPr>
        <w:t xml:space="preserve">ka, kā minēts </w:t>
      </w:r>
      <w:r>
        <w:rPr>
          <w:noProof/>
          <w:u w:color="000000"/>
        </w:rPr>
        <w:t>LAW.EUROPOL.48. pantā [Noziegumu veidi]</w:t>
      </w:r>
      <w:r>
        <w:rPr>
          <w:noProof/>
        </w:rPr>
        <w:t>.</w:t>
      </w:r>
    </w:p>
    <w:p w:rsidR="003E022D" w:rsidRDefault="007D19D6">
      <w:pPr>
        <w:pStyle w:val="Article"/>
        <w:rPr>
          <w:noProof/>
        </w:rPr>
      </w:pPr>
      <w:bookmarkStart w:id="405" w:name="_30j0zll"/>
      <w:bookmarkStart w:id="406" w:name="_Toc58920253"/>
      <w:bookmarkEnd w:id="405"/>
      <w:r>
        <w:rPr>
          <w:noProof/>
        </w:rPr>
        <w:t>LAW.EUROPOL.47. pants. Definīcijas</w:t>
      </w:r>
      <w:bookmarkEnd w:id="406"/>
      <w:r>
        <w:rPr>
          <w:noProof/>
        </w:rPr>
        <w:t xml:space="preserve"> </w:t>
      </w:r>
    </w:p>
    <w:p w:rsidR="003E022D" w:rsidRDefault="007D19D6">
      <w:pPr>
        <w:rPr>
          <w:rFonts w:cstheme="minorHAnsi"/>
          <w:noProof/>
        </w:rPr>
      </w:pPr>
      <w:r>
        <w:rPr>
          <w:noProof/>
        </w:rPr>
        <w:t>Šajā sadaļā piemēro šādas definīcijas:</w:t>
      </w:r>
    </w:p>
    <w:p w:rsidR="003E022D" w:rsidRDefault="007D19D6">
      <w:pPr>
        <w:numPr>
          <w:ilvl w:val="0"/>
          <w:numId w:val="136"/>
        </w:numPr>
        <w:ind w:left="567" w:hanging="567"/>
        <w:rPr>
          <w:rFonts w:cstheme="minorHAnsi"/>
          <w:noProof/>
        </w:rPr>
      </w:pPr>
      <w:r>
        <w:rPr>
          <w:noProof/>
          <w:color w:val="000000"/>
        </w:rPr>
        <w:t>“Eiropols” ir Eiropas Savienības Aģentūra tiesībaizsardzības sadarbībai, kas izveidota ar Regulu (ES) </w:t>
      </w:r>
      <w:r>
        <w:rPr>
          <w:noProof/>
        </w:rPr>
        <w:t>2016/794</w:t>
      </w:r>
      <w:r>
        <w:rPr>
          <w:rFonts w:cstheme="minorHAnsi"/>
          <w:noProof/>
          <w:lang w:val="fr-BE"/>
        </w:rPr>
        <w:footnoteReference w:id="79"/>
      </w:r>
      <w:r>
        <w:rPr>
          <w:noProof/>
        </w:rPr>
        <w:t xml:space="preserve"> (“Eiropola reg</w:t>
      </w:r>
      <w:r>
        <w:rPr>
          <w:noProof/>
        </w:rPr>
        <w:t>ula”);</w:t>
      </w:r>
    </w:p>
    <w:p w:rsidR="003E022D" w:rsidRDefault="007D19D6">
      <w:pPr>
        <w:numPr>
          <w:ilvl w:val="0"/>
          <w:numId w:val="136"/>
        </w:numPr>
        <w:ind w:left="567" w:hanging="567"/>
        <w:rPr>
          <w:rFonts w:cstheme="minorHAnsi"/>
          <w:noProof/>
          <w:color w:val="000000"/>
        </w:rPr>
      </w:pPr>
      <w:bookmarkStart w:id="407" w:name="_Hlk57720821"/>
      <w:r>
        <w:rPr>
          <w:noProof/>
        </w:rPr>
        <w:t xml:space="preserve">“kompetentā iestāde” </w:t>
      </w:r>
      <w:r>
        <w:rPr>
          <w:noProof/>
          <w:color w:val="000000"/>
        </w:rPr>
        <w:t>attiecībā uz Savienību ir Eiropols un attiecībā uz Apvienoto Karalisti – iekšzemes tiesībaizsardzības iestāde, kas saskaņā ar iekšzemes tiesību aktiem ir atbildīga par noziedzīgu nodarījumu novēršanu un apkarošanu;</w:t>
      </w:r>
    </w:p>
    <w:p w:rsidR="003E022D" w:rsidRDefault="007D19D6">
      <w:pPr>
        <w:pStyle w:val="Article"/>
        <w:rPr>
          <w:noProof/>
        </w:rPr>
      </w:pPr>
      <w:bookmarkStart w:id="408" w:name="_Toc58920254"/>
      <w:bookmarkEnd w:id="407"/>
      <w:r>
        <w:rPr>
          <w:noProof/>
        </w:rPr>
        <w:t>LAW.EUROPOL.48. pants. Noziegumu veidi</w:t>
      </w:r>
      <w:bookmarkEnd w:id="408"/>
      <w:r>
        <w:rPr>
          <w:noProof/>
        </w:rPr>
        <w:t xml:space="preserve"> </w:t>
      </w:r>
    </w:p>
    <w:p w:rsidR="003E022D" w:rsidRDefault="007D19D6">
      <w:pPr>
        <w:numPr>
          <w:ilvl w:val="0"/>
          <w:numId w:val="131"/>
        </w:numPr>
        <w:ind w:left="0" w:firstLine="0"/>
        <w:rPr>
          <w:rFonts w:cstheme="minorHAnsi"/>
          <w:noProof/>
        </w:rPr>
      </w:pPr>
      <w:r>
        <w:rPr>
          <w:noProof/>
        </w:rPr>
        <w:t xml:space="preserve">Saskaņā ar šo sadaļu izveidotā sadarbība ir saistīta ar to noziegumu veidiem, kas ir Eiropola kompetencē un uzskaitīti </w:t>
      </w:r>
      <w:r>
        <w:rPr>
          <w:noProof/>
          <w:u w:color="000000"/>
        </w:rPr>
        <w:t>LAW-3. PIELIKUMĀ</w:t>
      </w:r>
      <w:r>
        <w:rPr>
          <w:noProof/>
        </w:rPr>
        <w:t>, ieskaitot saistītus noziedzīgus nodarījumus.</w:t>
      </w:r>
    </w:p>
    <w:p w:rsidR="003E022D" w:rsidRDefault="007D19D6">
      <w:pPr>
        <w:numPr>
          <w:ilvl w:val="0"/>
          <w:numId w:val="131"/>
        </w:numPr>
        <w:ind w:left="0" w:firstLine="0"/>
        <w:rPr>
          <w:rFonts w:cstheme="minorHAnsi"/>
          <w:noProof/>
        </w:rPr>
      </w:pPr>
      <w:r>
        <w:rPr>
          <w:noProof/>
        </w:rPr>
        <w:t xml:space="preserve">Saistīti noziedzīgi nodarījumi ir </w:t>
      </w:r>
      <w:r>
        <w:rPr>
          <w:noProof/>
        </w:rPr>
        <w:t>noziedzīgi nodarījumi, kas izdarīti, lai sagādātu 1. punktā minēto noziedzīgo nodarījumu izdarīšanai nepieciešamos līdzekļus, noziedzīgi nodarījumi, kas izdarīti, lai veicinātu vai veiktu šādus noziegumus, un noziedzīgi nodarījumi, kas izdarīti, lai nodroš</w:t>
      </w:r>
      <w:r>
        <w:rPr>
          <w:noProof/>
        </w:rPr>
        <w:t>inātu šādu noziegumu nesodāmību.</w:t>
      </w:r>
    </w:p>
    <w:p w:rsidR="003E022D" w:rsidRDefault="007D19D6">
      <w:pPr>
        <w:numPr>
          <w:ilvl w:val="0"/>
          <w:numId w:val="131"/>
        </w:numPr>
        <w:ind w:left="0" w:firstLine="0"/>
        <w:rPr>
          <w:rFonts w:cstheme="minorHAnsi"/>
          <w:noProof/>
        </w:rPr>
      </w:pPr>
      <w:r>
        <w:rPr>
          <w:noProof/>
        </w:rPr>
        <w:t>Ja tiek grozīts saraksts ar to noziegumu veidiem, kas saskaņā ar Savienības tiesībām ir Eiropola kompetencē, Specializētā komiteja tiesībaizsardzības un tiesu iestāžu sadarbības jomā var, pamatojoties uz Savienības priekšli</w:t>
      </w:r>
      <w:r>
        <w:rPr>
          <w:noProof/>
        </w:rPr>
        <w:t xml:space="preserve">kumu, attiecīgi grozīt </w:t>
      </w:r>
      <w:r>
        <w:rPr>
          <w:noProof/>
          <w:u w:color="000000"/>
        </w:rPr>
        <w:t>LAW-3. PIELIKUMU</w:t>
      </w:r>
      <w:r>
        <w:rPr>
          <w:noProof/>
        </w:rPr>
        <w:t xml:space="preserve"> no dienas, kad stājas spēkā izmaiņas Eiropola kompetencē. </w:t>
      </w:r>
    </w:p>
    <w:p w:rsidR="003E022D" w:rsidRDefault="007D19D6">
      <w:pPr>
        <w:pStyle w:val="Article"/>
        <w:rPr>
          <w:noProof/>
        </w:rPr>
      </w:pPr>
      <w:bookmarkStart w:id="409" w:name="_Toc58920255"/>
      <w:r>
        <w:rPr>
          <w:noProof/>
        </w:rPr>
        <w:t>LAW.EUROPOL.49. pants. Sadarbības jomas</w:t>
      </w:r>
      <w:bookmarkEnd w:id="409"/>
    </w:p>
    <w:p w:rsidR="003E022D" w:rsidRDefault="007D19D6">
      <w:pPr>
        <w:rPr>
          <w:rFonts w:cstheme="minorHAnsi"/>
          <w:noProof/>
        </w:rPr>
      </w:pPr>
      <w:r>
        <w:rPr>
          <w:noProof/>
        </w:rPr>
        <w:t>Papildus personas datu apmaiņai, ievērojot šīs sadaļas nosacījumus, un saskaņā ar Eiropola uzdevumiem, kas izklāstīti</w:t>
      </w:r>
      <w:r>
        <w:rPr>
          <w:noProof/>
        </w:rPr>
        <w:t xml:space="preserve"> Eiropola regulā, sadarbība it īpaši var ietvert: </w:t>
      </w:r>
    </w:p>
    <w:p w:rsidR="003E022D" w:rsidRDefault="007D19D6">
      <w:pPr>
        <w:numPr>
          <w:ilvl w:val="1"/>
          <w:numId w:val="144"/>
        </w:numPr>
        <w:ind w:left="567" w:hanging="567"/>
        <w:rPr>
          <w:rFonts w:cstheme="minorHAnsi"/>
          <w:noProof/>
        </w:rPr>
      </w:pPr>
      <w:r>
        <w:rPr>
          <w:noProof/>
        </w:rPr>
        <w:t>apmaiņu ar informāciju, piemēram, speciālajām zināšanām,</w:t>
      </w:r>
    </w:p>
    <w:p w:rsidR="003E022D" w:rsidRDefault="007D19D6">
      <w:pPr>
        <w:numPr>
          <w:ilvl w:val="1"/>
          <w:numId w:val="144"/>
        </w:numPr>
        <w:ind w:left="567" w:hanging="567"/>
        <w:rPr>
          <w:rFonts w:cstheme="minorHAnsi"/>
          <w:noProof/>
        </w:rPr>
      </w:pPr>
      <w:r>
        <w:rPr>
          <w:noProof/>
        </w:rPr>
        <w:t xml:space="preserve">vispārējās situācijas ziņojumus, </w:t>
      </w:r>
    </w:p>
    <w:p w:rsidR="003E022D" w:rsidRDefault="007D19D6">
      <w:pPr>
        <w:numPr>
          <w:ilvl w:val="1"/>
          <w:numId w:val="144"/>
        </w:numPr>
        <w:ind w:left="567" w:hanging="567"/>
        <w:rPr>
          <w:rFonts w:cstheme="minorHAnsi"/>
          <w:noProof/>
        </w:rPr>
      </w:pPr>
      <w:r>
        <w:rPr>
          <w:noProof/>
        </w:rPr>
        <w:t>stratēģiskās analīzes rezultātus,</w:t>
      </w:r>
    </w:p>
    <w:p w:rsidR="003E022D" w:rsidRDefault="007D19D6">
      <w:pPr>
        <w:numPr>
          <w:ilvl w:val="1"/>
          <w:numId w:val="144"/>
        </w:numPr>
        <w:ind w:left="567" w:hanging="567"/>
        <w:rPr>
          <w:rFonts w:cstheme="minorHAnsi"/>
          <w:noProof/>
        </w:rPr>
      </w:pPr>
      <w:r>
        <w:rPr>
          <w:noProof/>
        </w:rPr>
        <w:t xml:space="preserve">informāciju par kriminālizmeklēšanas procedūrām, </w:t>
      </w:r>
    </w:p>
    <w:p w:rsidR="003E022D" w:rsidRDefault="007D19D6">
      <w:pPr>
        <w:numPr>
          <w:ilvl w:val="1"/>
          <w:numId w:val="144"/>
        </w:numPr>
        <w:ind w:left="567" w:hanging="567"/>
        <w:rPr>
          <w:rFonts w:cstheme="minorHAnsi"/>
          <w:noProof/>
        </w:rPr>
      </w:pPr>
      <w:r>
        <w:rPr>
          <w:noProof/>
        </w:rPr>
        <w:t>informāciju par noziedzības no</w:t>
      </w:r>
      <w:r>
        <w:rPr>
          <w:noProof/>
        </w:rPr>
        <w:t xml:space="preserve">vēršanas metodēm, </w:t>
      </w:r>
    </w:p>
    <w:p w:rsidR="003E022D" w:rsidRDefault="007D19D6">
      <w:pPr>
        <w:numPr>
          <w:ilvl w:val="1"/>
          <w:numId w:val="144"/>
        </w:numPr>
        <w:ind w:left="567" w:hanging="567"/>
        <w:rPr>
          <w:rFonts w:cstheme="minorHAnsi"/>
          <w:noProof/>
        </w:rPr>
      </w:pPr>
      <w:r>
        <w:rPr>
          <w:noProof/>
        </w:rPr>
        <w:t>līdzdalību apmācības pasākumos, un</w:t>
      </w:r>
    </w:p>
    <w:p w:rsidR="003E022D" w:rsidRDefault="007D19D6">
      <w:pPr>
        <w:numPr>
          <w:ilvl w:val="1"/>
          <w:numId w:val="144"/>
        </w:numPr>
        <w:ind w:left="567" w:hanging="567"/>
        <w:rPr>
          <w:rFonts w:cstheme="minorHAnsi"/>
          <w:noProof/>
        </w:rPr>
      </w:pPr>
      <w:r>
        <w:rPr>
          <w:noProof/>
        </w:rPr>
        <w:t>padomu un atbalsta sniegšanu atsevišķu lietu kriminālizmeklēšanā, kā arī operatīvo sadarbību.</w:t>
      </w:r>
    </w:p>
    <w:p w:rsidR="003E022D" w:rsidRDefault="007D19D6">
      <w:pPr>
        <w:pStyle w:val="Article"/>
        <w:rPr>
          <w:noProof/>
        </w:rPr>
      </w:pPr>
      <w:bookmarkStart w:id="410" w:name="_Toc58920256"/>
      <w:r>
        <w:rPr>
          <w:noProof/>
        </w:rPr>
        <w:t>LAW.EUROPOL.50. pants. Valsts kontaktpunkti un sadarbības koordinatori</w:t>
      </w:r>
      <w:bookmarkEnd w:id="410"/>
    </w:p>
    <w:p w:rsidR="003E022D" w:rsidRDefault="007D19D6">
      <w:pPr>
        <w:numPr>
          <w:ilvl w:val="0"/>
          <w:numId w:val="137"/>
        </w:numPr>
        <w:ind w:left="0" w:firstLine="0"/>
        <w:rPr>
          <w:rFonts w:cstheme="minorHAnsi"/>
          <w:noProof/>
        </w:rPr>
      </w:pPr>
      <w:r>
        <w:rPr>
          <w:noProof/>
        </w:rPr>
        <w:t>Apvienotā Karaliste norīko valsts kon</w:t>
      </w:r>
      <w:r>
        <w:rPr>
          <w:noProof/>
        </w:rPr>
        <w:t xml:space="preserve">taktpunktu, kas darbojas kā centrālais kontaktpunkts starp Eiropolu un Apvienotās Karalistes kompetentajām iestādēm. </w:t>
      </w:r>
    </w:p>
    <w:p w:rsidR="003E022D" w:rsidRDefault="007D19D6">
      <w:pPr>
        <w:numPr>
          <w:ilvl w:val="0"/>
          <w:numId w:val="137"/>
        </w:numPr>
        <w:ind w:left="0" w:firstLine="0"/>
        <w:rPr>
          <w:rFonts w:cstheme="minorHAnsi"/>
          <w:noProof/>
        </w:rPr>
      </w:pPr>
      <w:r>
        <w:rPr>
          <w:noProof/>
        </w:rPr>
        <w:t>Informācijas apmaiņa starp Eiropolu un Apvienotās Karalistes kompetentajām iestādēm notiek starp Eiropolu un valsts kontaktpunktu, kas min</w:t>
      </w:r>
      <w:r>
        <w:rPr>
          <w:noProof/>
        </w:rPr>
        <w:t xml:space="preserve">ēts 1. punktā. Tomēr tas neizslēdz tiešu informācijas apmaiņu starp Eiropolu un Apvienotās Karalistes kompetentajām iestādēm, ja to par lietderīgu uzskata Eiropols un attiecīgās kompetentās iestādes. </w:t>
      </w:r>
    </w:p>
    <w:p w:rsidR="003E022D" w:rsidRDefault="007D19D6">
      <w:pPr>
        <w:numPr>
          <w:ilvl w:val="0"/>
          <w:numId w:val="137"/>
        </w:numPr>
        <w:ind w:left="0" w:firstLine="0"/>
        <w:rPr>
          <w:rFonts w:cstheme="minorHAnsi"/>
          <w:noProof/>
        </w:rPr>
      </w:pPr>
      <w:r>
        <w:rPr>
          <w:noProof/>
        </w:rPr>
        <w:t>Valsts kontaktpunkts ir arī centrālais kontaktpunkts at</w:t>
      </w:r>
      <w:r>
        <w:rPr>
          <w:noProof/>
        </w:rPr>
        <w:t>tiecībā uz personas datu pārskatīšanu, labošanu un dzēšanu.</w:t>
      </w:r>
    </w:p>
    <w:p w:rsidR="003E022D" w:rsidRDefault="007D19D6">
      <w:pPr>
        <w:numPr>
          <w:ilvl w:val="0"/>
          <w:numId w:val="137"/>
        </w:numPr>
        <w:ind w:left="0" w:firstLine="0"/>
        <w:rPr>
          <w:rFonts w:cstheme="minorHAnsi"/>
          <w:noProof/>
        </w:rPr>
      </w:pPr>
      <w:r>
        <w:rPr>
          <w:noProof/>
        </w:rPr>
        <w:t>Lai veicinātu ar šo sadaļu izveidoto sadarbību, Apvienotā Karaliste norīko uz Eiropolu vienu vai vairākus sadarbības koordinatorus. Eiropols var norīkot vienu vai vairākus sadarbības koordinatorus</w:t>
      </w:r>
      <w:r>
        <w:rPr>
          <w:noProof/>
        </w:rPr>
        <w:t xml:space="preserve"> uz Apvienoto Karalisti.</w:t>
      </w:r>
    </w:p>
    <w:p w:rsidR="003E022D" w:rsidRDefault="007D19D6">
      <w:pPr>
        <w:numPr>
          <w:ilvl w:val="0"/>
          <w:numId w:val="137"/>
        </w:numPr>
        <w:ind w:left="0" w:firstLine="0"/>
        <w:rPr>
          <w:rFonts w:cstheme="minorHAnsi"/>
          <w:noProof/>
        </w:rPr>
      </w:pPr>
      <w:bookmarkStart w:id="411" w:name="_Hlk57188818"/>
      <w:r>
        <w:rPr>
          <w:noProof/>
        </w:rPr>
        <w:t>Apvienotā Karaliste nodrošina, ka tās sadarbības koordinatoriem ir ātra un – kur tas tehniski iespējams –, tieša piekļuve attiecīgajām Apvienotās Karalistes iekšzemes datubāzēm, kas ir nepieciešamas viņu uzdevumu izpildei.</w:t>
      </w:r>
    </w:p>
    <w:p w:rsidR="003E022D" w:rsidRDefault="007D19D6">
      <w:pPr>
        <w:numPr>
          <w:ilvl w:val="0"/>
          <w:numId w:val="137"/>
        </w:numPr>
        <w:ind w:left="0" w:firstLine="0"/>
        <w:rPr>
          <w:rFonts w:cstheme="minorHAnsi"/>
          <w:noProof/>
        </w:rPr>
      </w:pPr>
      <w:bookmarkStart w:id="412" w:name="_1fob9te"/>
      <w:bookmarkEnd w:id="411"/>
      <w:bookmarkEnd w:id="412"/>
      <w:r>
        <w:rPr>
          <w:noProof/>
        </w:rPr>
        <w:t>Sadarbīb</w:t>
      </w:r>
      <w:r>
        <w:rPr>
          <w:noProof/>
        </w:rPr>
        <w:t xml:space="preserve">as koordinatoru skaitu, viņu uzdevumu aprakstu, viņu tiesības un pienākumus un saistītās izmaksas reglamentē sadarbības vienošanās, kas noslēgtas starp Eiropolu un Apvienotās Karalistes kompetentajām iestādēm un minētas </w:t>
      </w:r>
      <w:r>
        <w:rPr>
          <w:noProof/>
          <w:u w:color="000000"/>
        </w:rPr>
        <w:t>LAW.EUROPOL.59. pantā [Sadarbības un</w:t>
      </w:r>
      <w:r>
        <w:rPr>
          <w:noProof/>
          <w:u w:color="000000"/>
        </w:rPr>
        <w:t xml:space="preserve"> administratīvās vienošanās]</w:t>
      </w:r>
      <w:r>
        <w:rPr>
          <w:noProof/>
        </w:rPr>
        <w:t xml:space="preserve">. </w:t>
      </w:r>
    </w:p>
    <w:p w:rsidR="003E022D" w:rsidRDefault="007D19D6">
      <w:pPr>
        <w:numPr>
          <w:ilvl w:val="0"/>
          <w:numId w:val="137"/>
        </w:numPr>
        <w:ind w:left="0" w:firstLine="0"/>
        <w:rPr>
          <w:rFonts w:cstheme="minorHAnsi"/>
          <w:noProof/>
        </w:rPr>
      </w:pPr>
      <w:r>
        <w:rPr>
          <w:noProof/>
        </w:rPr>
        <w:t>Apvienotās Karalistes sadarbības koordinatorus un Apvienotās Karalistes kompetento iestāžu pārstāvjus var uzaicināt piedalīties operatīvajās sanāksmēs. Dalībvalstu sadarbības koordinatori un trešo valstu sadarbības koordinato</w:t>
      </w:r>
      <w:r>
        <w:rPr>
          <w:noProof/>
        </w:rPr>
        <w:t xml:space="preserve">ri, dalībvalstu un trešo valstu kompetento iestāžu pārstāvji, Eiropola darbinieki un citas ieinteresētās personas var piedalīties sanāksmēs, ko organizē Apvienotās Karalistes sadarbības koordinatori vai kompetentās iestādes. </w:t>
      </w:r>
    </w:p>
    <w:p w:rsidR="003E022D" w:rsidRDefault="007D19D6">
      <w:pPr>
        <w:pStyle w:val="Article"/>
        <w:rPr>
          <w:noProof/>
        </w:rPr>
      </w:pPr>
      <w:bookmarkStart w:id="413" w:name="_3znysh7"/>
      <w:bookmarkStart w:id="414" w:name="_Toc58920257"/>
      <w:bookmarkEnd w:id="413"/>
      <w:r>
        <w:rPr>
          <w:noProof/>
        </w:rPr>
        <w:t>LAW.EUROPOL.51. pants. Informā</w:t>
      </w:r>
      <w:r>
        <w:rPr>
          <w:noProof/>
        </w:rPr>
        <w:t>cijas apmaiņa</w:t>
      </w:r>
      <w:bookmarkEnd w:id="414"/>
      <w:r>
        <w:rPr>
          <w:noProof/>
        </w:rPr>
        <w:t xml:space="preserve"> </w:t>
      </w:r>
    </w:p>
    <w:p w:rsidR="003E022D" w:rsidRDefault="007D19D6">
      <w:pPr>
        <w:numPr>
          <w:ilvl w:val="0"/>
          <w:numId w:val="139"/>
        </w:numPr>
        <w:ind w:left="0" w:firstLine="0"/>
        <w:rPr>
          <w:rFonts w:cstheme="minorHAnsi"/>
          <w:noProof/>
        </w:rPr>
      </w:pPr>
      <w:r>
        <w:rPr>
          <w:noProof/>
        </w:rPr>
        <w:t>Informācijas apmaiņa starp kompetentajām iestādēm atbilst šīs sadaļas mērķim un noteikumiem. Personas datus apstrādā tikai 2. punktā minētajos konkrētajos nolūkos.</w:t>
      </w:r>
    </w:p>
    <w:p w:rsidR="003E022D" w:rsidRDefault="007D19D6">
      <w:pPr>
        <w:numPr>
          <w:ilvl w:val="0"/>
          <w:numId w:val="139"/>
        </w:numPr>
        <w:ind w:left="0" w:firstLine="0"/>
        <w:rPr>
          <w:rFonts w:cstheme="minorHAnsi"/>
          <w:noProof/>
        </w:rPr>
      </w:pPr>
      <w:r>
        <w:rPr>
          <w:noProof/>
        </w:rPr>
        <w:t>Kompetentās iestādes vēlākais personas datu pārsūtīšanas brīdī skaidri norāda konkrēto nolūku vai nolūkus, kuriem personas dati tiek pārsūtīti. Pārsūtot datus Eiropolam, šādas pārsūtīšanas nolūku vai nolūkus norāda saskaņā ar konkrētajiem apstrādes nolūkie</w:t>
      </w:r>
      <w:r>
        <w:rPr>
          <w:noProof/>
        </w:rPr>
        <w:t>m, kas noteikti Eiropola regulā. Ja datu pārsūtītāja kompetentā iestāde nav to izdarījusi, datu saņēmēja kompetentā iestāde, vienojoties ar datu pārsūtītāju iestādi, apstrādā personas datus, lai noteiktu to būtiskumu, kā arī nolūku vai nolūkus, kādā tie tu</w:t>
      </w:r>
      <w:r>
        <w:rPr>
          <w:noProof/>
        </w:rPr>
        <w:t xml:space="preserve">rpmāk jāapstrādā. Kompetentās iestādes var apstrādāt personas datus citam nolūkam, nekā nolūks, kuram tie tika sniegta, vienīgi tad, ja datu pārsūtītāja iestāde ir atļāvusi to darīt. </w:t>
      </w:r>
    </w:p>
    <w:p w:rsidR="003E022D" w:rsidRDefault="007D19D6">
      <w:pPr>
        <w:numPr>
          <w:ilvl w:val="0"/>
          <w:numId w:val="139"/>
        </w:numPr>
        <w:ind w:left="0" w:firstLine="0"/>
        <w:rPr>
          <w:rFonts w:cstheme="minorHAnsi"/>
          <w:noProof/>
          <w:color w:val="000000"/>
        </w:rPr>
      </w:pPr>
      <w:r>
        <w:rPr>
          <w:noProof/>
        </w:rPr>
        <w:t>Personas datu saņēmējas kompetentās iestādes pauž apņemšanos ar apliecin</w:t>
      </w:r>
      <w:r>
        <w:rPr>
          <w:noProof/>
        </w:rPr>
        <w:t xml:space="preserve">ājumu, ka šādus datus </w:t>
      </w:r>
      <w:r>
        <w:rPr>
          <w:noProof/>
          <w:color w:val="000000"/>
        </w:rPr>
        <w:t xml:space="preserve">apstrādās vienīgi nolūkam, kuram tie pārsūtīti. Personas datus dzēš, tiklīdz tie vairs nav vajadzīgi nolūkam, kuram tie tika pārsūtīti. </w:t>
      </w:r>
    </w:p>
    <w:p w:rsidR="003E022D" w:rsidRDefault="007D19D6">
      <w:pPr>
        <w:numPr>
          <w:ilvl w:val="0"/>
          <w:numId w:val="139"/>
        </w:numPr>
        <w:ind w:left="0" w:firstLine="0"/>
        <w:rPr>
          <w:rFonts w:cstheme="minorHAnsi"/>
          <w:noProof/>
          <w:color w:val="000000"/>
        </w:rPr>
      </w:pPr>
      <w:r>
        <w:rPr>
          <w:noProof/>
          <w:color w:val="000000"/>
        </w:rPr>
        <w:t>Eiropols un Apvienotās Karalistes kompetentās iestādes bez liekas kavēšanās un jebkurā gadījumā n</w:t>
      </w:r>
      <w:r>
        <w:rPr>
          <w:noProof/>
          <w:color w:val="000000"/>
        </w:rPr>
        <w:t xml:space="preserve">e vēlāk kā sešus mēnešus pēc personas datu saņemšanas nosaka, vai un kādā apmērā minētie personas dati ir vajadzīgi nolūkam, kuram tie tika pārsūtīti, un attiecīgi informē par to datu pārsūtītāju iestādi. </w:t>
      </w:r>
    </w:p>
    <w:p w:rsidR="003E022D" w:rsidRDefault="007D19D6">
      <w:pPr>
        <w:pStyle w:val="Article"/>
        <w:rPr>
          <w:noProof/>
        </w:rPr>
      </w:pPr>
      <w:bookmarkStart w:id="415" w:name="_Toc58920258"/>
      <w:r>
        <w:rPr>
          <w:noProof/>
        </w:rPr>
        <w:t>LAW.EUROPOL.52. pants. Ierobežojumi attiecībā uz p</w:t>
      </w:r>
      <w:r>
        <w:rPr>
          <w:noProof/>
        </w:rPr>
        <w:t>iekļuvi pārsūtītajiem personas datiem un to turpmāku izmantošanu</w:t>
      </w:r>
      <w:bookmarkEnd w:id="415"/>
      <w:r>
        <w:rPr>
          <w:noProof/>
        </w:rPr>
        <w:t xml:space="preserve"> </w:t>
      </w:r>
    </w:p>
    <w:p w:rsidR="003E022D" w:rsidRDefault="007D19D6">
      <w:pPr>
        <w:numPr>
          <w:ilvl w:val="0"/>
          <w:numId w:val="138"/>
        </w:numPr>
        <w:ind w:left="0" w:firstLine="0"/>
        <w:rPr>
          <w:rFonts w:cstheme="minorHAnsi"/>
          <w:noProof/>
        </w:rPr>
      </w:pPr>
      <w:r>
        <w:rPr>
          <w:noProof/>
          <w:color w:val="000000"/>
        </w:rPr>
        <w:t>Datu pārsūtītāja kompetentā iestāde personas datu pārsūtīšanas brīdī var vispārīgi vai konkrēti norādīt jebkādus ierobežojumus attiecībā uz piekļuvi tiem vai to izmantošanu, tai skaitā attie</w:t>
      </w:r>
      <w:r>
        <w:rPr>
          <w:noProof/>
          <w:color w:val="000000"/>
        </w:rPr>
        <w:t xml:space="preserve">cībā uz to tālāku pārsūtīšanu, dzēšanu vai iznīcināšanu pēc noteikta laika vai to turpmāku apstrādi. </w:t>
      </w:r>
      <w:r>
        <w:rPr>
          <w:noProof/>
        </w:rPr>
        <w:t xml:space="preserve">Ja </w:t>
      </w:r>
      <w:r>
        <w:rPr>
          <w:noProof/>
          <w:color w:val="000000"/>
        </w:rPr>
        <w:t>vajadzība pēc šādiem ierobežojumiem kļūst acīmredzama pēc personas datu pārsūtīšanas, tad datu pārsūtītāja kompetentā iestāde attiecīgi informē datu saņ</w:t>
      </w:r>
      <w:r>
        <w:rPr>
          <w:noProof/>
          <w:color w:val="000000"/>
        </w:rPr>
        <w:t>ēmēju kompetento iestādi</w:t>
      </w:r>
      <w:r>
        <w:rPr>
          <w:noProof/>
        </w:rPr>
        <w:t>.</w:t>
      </w:r>
    </w:p>
    <w:p w:rsidR="003E022D" w:rsidRDefault="007D19D6">
      <w:pPr>
        <w:numPr>
          <w:ilvl w:val="0"/>
          <w:numId w:val="138"/>
        </w:numPr>
        <w:ind w:left="0" w:firstLine="0"/>
        <w:rPr>
          <w:rFonts w:cstheme="minorHAnsi"/>
          <w:noProof/>
        </w:rPr>
      </w:pPr>
      <w:r>
        <w:rPr>
          <w:noProof/>
        </w:rPr>
        <w:t>Datu saņēmēja kompetentā iestāde ievēro visus ierobežojumus attiecībā uz piekļuvi personas datiem vai to turpmāku izmantošanu, ko norādījusi datu pārsūtītāja kompetentā iestāde, kā aprakstīts 1. punktā.</w:t>
      </w:r>
    </w:p>
    <w:p w:rsidR="003E022D" w:rsidRDefault="007D19D6">
      <w:pPr>
        <w:numPr>
          <w:ilvl w:val="0"/>
          <w:numId w:val="138"/>
        </w:numPr>
        <w:ind w:left="0" w:firstLine="0"/>
        <w:rPr>
          <w:rFonts w:cstheme="minorHAnsi"/>
          <w:noProof/>
          <w:color w:val="000000"/>
        </w:rPr>
      </w:pPr>
      <w:bookmarkStart w:id="416" w:name="_2et92p0"/>
      <w:bookmarkEnd w:id="416"/>
      <w:r>
        <w:rPr>
          <w:noProof/>
        </w:rPr>
        <w:t xml:space="preserve">Katra Puse </w:t>
      </w:r>
      <w:r>
        <w:rPr>
          <w:noProof/>
          <w:color w:val="000000"/>
        </w:rPr>
        <w:t>cenšas nodrošinā</w:t>
      </w:r>
      <w:r>
        <w:rPr>
          <w:noProof/>
          <w:color w:val="000000"/>
        </w:rPr>
        <w:t>t, ka saskaņā ar šo sadaļu pārsūtītā informācija ir savākta un uzglabāta un pārsūtīta saskaņā ar tās attiecīgo tiesisko regulējumu</w:t>
      </w:r>
      <w:r>
        <w:rPr>
          <w:noProof/>
        </w:rPr>
        <w:t>.</w:t>
      </w:r>
      <w:r>
        <w:rPr>
          <w:noProof/>
          <w:color w:val="000000"/>
        </w:rPr>
        <w:t xml:space="preserve"> Katra Puse iespēju robežās nodrošina, ka šāda informācijas nav iegūta, pārkāpjot cilvēktiesības. Tāpat šāda informācija nav </w:t>
      </w:r>
      <w:r>
        <w:rPr>
          <w:noProof/>
          <w:color w:val="000000"/>
        </w:rPr>
        <w:t xml:space="preserve">pārsūtīta, ja – ciktāl tas pamatoti paredzams –, to varētu izmantot nolūkā pieprasīt, piespriest vai izpildīt nāvessodu vai īstenot jebkāda veida nežēlīgu vai necilvēcīgu rīcību. </w:t>
      </w:r>
    </w:p>
    <w:p w:rsidR="003E022D" w:rsidRDefault="007D19D6">
      <w:pPr>
        <w:pStyle w:val="Article"/>
        <w:rPr>
          <w:noProof/>
        </w:rPr>
      </w:pPr>
      <w:bookmarkStart w:id="417" w:name="_tyjcwt"/>
      <w:bookmarkStart w:id="418" w:name="_Toc58920259"/>
      <w:bookmarkEnd w:id="417"/>
      <w:r>
        <w:rPr>
          <w:noProof/>
        </w:rPr>
        <w:t>LAW.EUROPOL.53. pants. Dažādas datu subjektu kategorijas</w:t>
      </w:r>
      <w:bookmarkEnd w:id="418"/>
      <w:r>
        <w:rPr>
          <w:noProof/>
        </w:rPr>
        <w:t xml:space="preserve"> </w:t>
      </w:r>
    </w:p>
    <w:p w:rsidR="003E022D" w:rsidRDefault="007D19D6">
      <w:pPr>
        <w:numPr>
          <w:ilvl w:val="0"/>
          <w:numId w:val="134"/>
        </w:numPr>
        <w:ind w:left="0" w:firstLine="0"/>
        <w:rPr>
          <w:rFonts w:cstheme="minorHAnsi"/>
          <w:noProof/>
        </w:rPr>
      </w:pPr>
      <w:r>
        <w:rPr>
          <w:noProof/>
        </w:rPr>
        <w:t>Personas datus att</w:t>
      </w:r>
      <w:r>
        <w:rPr>
          <w:noProof/>
        </w:rPr>
        <w:t>iecībā uz noziedzīgos nodarījumos cietušām personām, lieciniekiem vai citām personām, kas var sniegt informāciju par noziedzīgiem nodarījumiem, vai personām, kas jaunākas par 18 gadiem, ir aizliegts pārsūtīt, ja vien atsevišķos gadījumos šāda pārsūtīšana n</w:t>
      </w:r>
      <w:r>
        <w:rPr>
          <w:noProof/>
        </w:rPr>
        <w:t>av noteikti nepieciešama un samērīga, lai novērstu vai apkarotu noziedzīgu nodarījumu.</w:t>
      </w:r>
    </w:p>
    <w:p w:rsidR="003E022D" w:rsidRDefault="007D19D6">
      <w:pPr>
        <w:numPr>
          <w:ilvl w:val="0"/>
          <w:numId w:val="134"/>
        </w:numPr>
        <w:ind w:left="0" w:firstLine="0"/>
        <w:rPr>
          <w:rFonts w:cstheme="minorHAnsi"/>
          <w:noProof/>
        </w:rPr>
      </w:pPr>
      <w:r>
        <w:rPr>
          <w:noProof/>
        </w:rPr>
        <w:t>Apvienotā Karaliste un Eiropols katra nodrošina, ka uz personas datu apstrādi saskaņā ar 1. punktu attiecas papildu aizsardzības pasākumi, tai skaitā ierobežojumi attiec</w:t>
      </w:r>
      <w:r>
        <w:rPr>
          <w:noProof/>
        </w:rPr>
        <w:t>ībā uz piekļuvi, papildu drošības pasākumi un ierobežojumi tālākpārsūtīšanai.</w:t>
      </w:r>
    </w:p>
    <w:p w:rsidR="003E022D" w:rsidRDefault="007D19D6">
      <w:pPr>
        <w:pStyle w:val="Article"/>
        <w:rPr>
          <w:noProof/>
        </w:rPr>
      </w:pPr>
      <w:bookmarkStart w:id="419" w:name="_Toc58920260"/>
      <w:r>
        <w:rPr>
          <w:noProof/>
        </w:rPr>
        <w:t>LAW.EUROPOL.54. pants. Personas datu plūsmas starp Eiropolu un Apvienoto Karalisti veicināšana</w:t>
      </w:r>
      <w:bookmarkEnd w:id="419"/>
      <w:r>
        <w:rPr>
          <w:noProof/>
        </w:rPr>
        <w:t xml:space="preserve"> </w:t>
      </w:r>
    </w:p>
    <w:p w:rsidR="003E022D" w:rsidRDefault="007D19D6">
      <w:pPr>
        <w:rPr>
          <w:rFonts w:cstheme="minorHAnsi"/>
          <w:noProof/>
        </w:rPr>
      </w:pPr>
      <w:r>
        <w:rPr>
          <w:noProof/>
        </w:rPr>
        <w:t>Kopīgu operacionālo ieguvumu interesēs Puses cenšas turpmāk sadarboties ar mērķi n</w:t>
      </w:r>
      <w:r>
        <w:rPr>
          <w:noProof/>
        </w:rPr>
        <w:t>odrošināt, ka datu apmaiņa starp Eiropolu un Apvienotās Karalistes kompetentajām iestādēm var notikt pēc iespējas ātrāk, un apsvērt iespēju iekļaut jebkādus jaunus procesus un tehnikas sasniegumus, kas varētu palīdzēt sasniegt šo mērķi, ņemot vērā to, ka A</w:t>
      </w:r>
      <w:r>
        <w:rPr>
          <w:noProof/>
        </w:rPr>
        <w:t xml:space="preserve">pvienotā Karaliste nav dalībvalsts. </w:t>
      </w:r>
    </w:p>
    <w:p w:rsidR="003E022D" w:rsidRDefault="007D19D6">
      <w:pPr>
        <w:pStyle w:val="Article"/>
        <w:rPr>
          <w:noProof/>
        </w:rPr>
      </w:pPr>
      <w:bookmarkStart w:id="420" w:name="_3dy6vkm"/>
      <w:bookmarkStart w:id="421" w:name="_Toc58920261"/>
      <w:bookmarkStart w:id="422" w:name="_Hlk57191167"/>
      <w:bookmarkEnd w:id="420"/>
      <w:r>
        <w:rPr>
          <w:noProof/>
        </w:rPr>
        <w:t>LAW.EUROPOL.55. pants. Informācijas avota ticamības un informācijas precizitātes novērtējums</w:t>
      </w:r>
      <w:bookmarkEnd w:id="421"/>
      <w:r>
        <w:rPr>
          <w:noProof/>
        </w:rPr>
        <w:t xml:space="preserve"> </w:t>
      </w:r>
    </w:p>
    <w:p w:rsidR="003E022D" w:rsidRDefault="007D19D6">
      <w:pPr>
        <w:numPr>
          <w:ilvl w:val="0"/>
          <w:numId w:val="133"/>
        </w:numPr>
        <w:ind w:left="0" w:firstLine="0"/>
        <w:rPr>
          <w:rFonts w:cstheme="minorHAnsi"/>
          <w:noProof/>
        </w:rPr>
      </w:pPr>
      <w:r>
        <w:rPr>
          <w:noProof/>
        </w:rPr>
        <w:t>Kompetentās iestādes, cik vien tas iespējams un vēlākais informācijas pārsūtīšanas brīdī norāda informācijas avota uzticamību</w:t>
      </w:r>
      <w:r>
        <w:rPr>
          <w:noProof/>
        </w:rPr>
        <w:t>, pamatojoties uz šādiem kritērijiem:</w:t>
      </w:r>
    </w:p>
    <w:p w:rsidR="003E022D" w:rsidRDefault="007D19D6">
      <w:pPr>
        <w:numPr>
          <w:ilvl w:val="0"/>
          <w:numId w:val="142"/>
        </w:numPr>
        <w:ind w:left="567" w:hanging="567"/>
        <w:rPr>
          <w:rFonts w:cstheme="minorHAnsi"/>
          <w:noProof/>
          <w:color w:val="000000"/>
        </w:rPr>
      </w:pPr>
      <w:bookmarkStart w:id="423" w:name="_Hlk57191283"/>
      <w:bookmarkEnd w:id="422"/>
      <w:r>
        <w:rPr>
          <w:noProof/>
          <w:color w:val="000000"/>
        </w:rPr>
        <w:t>ja nav šaubu par avota autentiskumu, uzticamību un kompetenci vai ja informāciju</w:t>
      </w:r>
      <w:r>
        <w:rPr>
          <w:noProof/>
        </w:rPr>
        <w:t xml:space="preserve"> ir sniedzis </w:t>
      </w:r>
      <w:r>
        <w:rPr>
          <w:noProof/>
          <w:color w:val="000000"/>
        </w:rPr>
        <w:t>avots, kurš visos gadījumos ir apstiprinājies kā ticams</w:t>
      </w:r>
      <w:r>
        <w:rPr>
          <w:noProof/>
        </w:rPr>
        <w:t>;</w:t>
      </w:r>
    </w:p>
    <w:bookmarkEnd w:id="423"/>
    <w:p w:rsidR="003E022D" w:rsidRDefault="007D19D6">
      <w:pPr>
        <w:numPr>
          <w:ilvl w:val="0"/>
          <w:numId w:val="142"/>
        </w:numPr>
        <w:ind w:left="567" w:hanging="567"/>
        <w:rPr>
          <w:rFonts w:cstheme="minorHAnsi"/>
          <w:noProof/>
        </w:rPr>
      </w:pPr>
      <w:r>
        <w:rPr>
          <w:noProof/>
          <w:color w:val="000000"/>
        </w:rPr>
        <w:t>ja</w:t>
      </w:r>
      <w:r>
        <w:rPr>
          <w:noProof/>
        </w:rPr>
        <w:t xml:space="preserve"> informāciju ir sniedzis avots, kurš vairākumā gadījumu ir apstipr</w:t>
      </w:r>
      <w:r>
        <w:rPr>
          <w:noProof/>
        </w:rPr>
        <w:t>inājies kā ticams;</w:t>
      </w:r>
    </w:p>
    <w:p w:rsidR="003E022D" w:rsidRDefault="007D19D6">
      <w:pPr>
        <w:numPr>
          <w:ilvl w:val="0"/>
          <w:numId w:val="142"/>
        </w:numPr>
        <w:ind w:left="567" w:hanging="567"/>
        <w:rPr>
          <w:rFonts w:cstheme="minorHAnsi"/>
          <w:noProof/>
        </w:rPr>
      </w:pPr>
      <w:r>
        <w:rPr>
          <w:noProof/>
        </w:rPr>
        <w:t>ja informāciju ir sniedzis avots, kurš vairākumā gadījumu ir izrādījies neuzticams;</w:t>
      </w:r>
    </w:p>
    <w:p w:rsidR="003E022D" w:rsidRDefault="007D19D6">
      <w:pPr>
        <w:numPr>
          <w:ilvl w:val="0"/>
          <w:numId w:val="142"/>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rPr>
      </w:pPr>
      <w:r>
        <w:rPr>
          <w:noProof/>
          <w:color w:val="000000"/>
        </w:rPr>
        <w:t>ja avota uzticamību nav iespējams novērtēt.</w:t>
      </w:r>
    </w:p>
    <w:p w:rsidR="003E022D" w:rsidRDefault="007D19D6">
      <w:pPr>
        <w:numPr>
          <w:ilvl w:val="0"/>
          <w:numId w:val="133"/>
        </w:numPr>
        <w:ind w:left="0" w:firstLine="0"/>
        <w:rPr>
          <w:rFonts w:cstheme="minorHAnsi"/>
          <w:noProof/>
        </w:rPr>
      </w:pPr>
      <w:r>
        <w:rPr>
          <w:noProof/>
        </w:rPr>
        <w:t xml:space="preserve">Kompetentās iestādes, cik vien tas iespējams un vēlākais informācijas pārsūtīšanas brīdī norāda informācijas </w:t>
      </w:r>
      <w:r>
        <w:rPr>
          <w:noProof/>
        </w:rPr>
        <w:t>pareizību, pamatojoties uz šādiem kritērijiem:</w:t>
      </w:r>
    </w:p>
    <w:p w:rsidR="003E022D" w:rsidRDefault="007D19D6">
      <w:pPr>
        <w:numPr>
          <w:ilvl w:val="0"/>
          <w:numId w:val="141"/>
        </w:numPr>
        <w:ind w:left="567" w:hanging="567"/>
        <w:rPr>
          <w:rFonts w:cstheme="minorHAnsi"/>
          <w:noProof/>
        </w:rPr>
      </w:pPr>
      <w:r>
        <w:rPr>
          <w:noProof/>
        </w:rPr>
        <w:t xml:space="preserve">informācija, par kuras pareizību nav šaubu; </w:t>
      </w:r>
    </w:p>
    <w:p w:rsidR="003E022D" w:rsidRDefault="007D19D6">
      <w:pPr>
        <w:numPr>
          <w:ilvl w:val="0"/>
          <w:numId w:val="141"/>
        </w:numPr>
        <w:ind w:left="567" w:hanging="567"/>
        <w:rPr>
          <w:rFonts w:cstheme="minorHAnsi"/>
          <w:noProof/>
        </w:rPr>
      </w:pPr>
      <w:r>
        <w:rPr>
          <w:noProof/>
        </w:rPr>
        <w:t>informācija, kas ir zināma personīgi informācijas avotam, bet nav personīgi zināma ierēdnim, kas to virza tālāk;</w:t>
      </w:r>
    </w:p>
    <w:p w:rsidR="003E022D" w:rsidRDefault="007D19D6">
      <w:pPr>
        <w:numPr>
          <w:ilvl w:val="0"/>
          <w:numId w:val="141"/>
        </w:numPr>
        <w:ind w:left="567" w:hanging="567"/>
        <w:rPr>
          <w:rFonts w:cstheme="minorHAnsi"/>
          <w:noProof/>
        </w:rPr>
      </w:pPr>
      <w:r>
        <w:rPr>
          <w:noProof/>
        </w:rPr>
        <w:t xml:space="preserve">informācija, kas nav zināma personīgi informācijas </w:t>
      </w:r>
      <w:r>
        <w:rPr>
          <w:noProof/>
        </w:rPr>
        <w:t>avotam, bet ko apstiprina cita jau reģistrēta informācija;</w:t>
      </w:r>
    </w:p>
    <w:p w:rsidR="003E022D" w:rsidRDefault="007D19D6">
      <w:pPr>
        <w:numPr>
          <w:ilvl w:val="0"/>
          <w:numId w:val="141"/>
        </w:numPr>
        <w:ind w:left="567" w:hanging="567"/>
        <w:rPr>
          <w:rFonts w:cstheme="minorHAnsi"/>
          <w:noProof/>
          <w:color w:val="000000"/>
        </w:rPr>
      </w:pPr>
      <w:r>
        <w:rPr>
          <w:noProof/>
        </w:rPr>
        <w:t>informācija,</w:t>
      </w:r>
      <w:r>
        <w:rPr>
          <w:noProof/>
          <w:color w:val="000000"/>
        </w:rPr>
        <w:t xml:space="preserve"> kas nav zināma personīgi informācijas avotam un ko nav iespējams apstiprināt</w:t>
      </w:r>
      <w:r>
        <w:rPr>
          <w:noProof/>
        </w:rPr>
        <w:t>.</w:t>
      </w:r>
    </w:p>
    <w:p w:rsidR="003E022D" w:rsidRDefault="007D19D6">
      <w:pPr>
        <w:numPr>
          <w:ilvl w:val="0"/>
          <w:numId w:val="133"/>
        </w:numPr>
        <w:ind w:left="0" w:firstLine="0"/>
        <w:rPr>
          <w:rFonts w:cstheme="minorHAnsi"/>
          <w:noProof/>
        </w:rPr>
      </w:pPr>
      <w:r>
        <w:rPr>
          <w:noProof/>
        </w:rPr>
        <w:t>Ja datu saņēmēja kompetentā iestāde, pamatojoties uz tās rīcībā jau esošo informāciju, secina, ka informāc</w:t>
      </w:r>
      <w:r>
        <w:rPr>
          <w:noProof/>
        </w:rPr>
        <w:t>ijas vai tās avota novērtējumam, ko datu pārsūtītāja kompetentā iestāde sniegusi saskaņā ar 1. un 2. punktu, ir nepieciešams labojums, tā informē minēto kompetento iestādi un cenšas vienoties par novērtējuma grozījumu.</w:t>
      </w:r>
      <w:r>
        <w:rPr>
          <w:noProof/>
          <w:color w:val="000000"/>
        </w:rPr>
        <w:t xml:space="preserve"> Datu saņēmēja kompetentā iestāde bez </w:t>
      </w:r>
      <w:r>
        <w:rPr>
          <w:noProof/>
          <w:color w:val="000000"/>
        </w:rPr>
        <w:t>šādas vienošanās negroza saņemtās informācijas vai tās avota novērtējumu.</w:t>
      </w:r>
    </w:p>
    <w:p w:rsidR="003E022D" w:rsidRDefault="007D19D6">
      <w:pPr>
        <w:numPr>
          <w:ilvl w:val="0"/>
          <w:numId w:val="133"/>
        </w:numPr>
        <w:ind w:left="0" w:firstLine="0"/>
        <w:rPr>
          <w:rFonts w:cstheme="minorHAnsi"/>
          <w:noProof/>
        </w:rPr>
      </w:pPr>
      <w:r>
        <w:rPr>
          <w:noProof/>
        </w:rPr>
        <w:t>Ja viena kompetentā iestāde saņem informāciju bez novērtējuma, tā cenšas, cik vien tas iespējams un ja iespējams, vienojoties ar datu pārsūtītāju kompetento iestādi, novērtēt avota u</w:t>
      </w:r>
      <w:r>
        <w:rPr>
          <w:noProof/>
        </w:rPr>
        <w:t>zticamību vai informācijas pareizību, pamatojoties uz tās rīcībā jau esošo informāciju.</w:t>
      </w:r>
    </w:p>
    <w:p w:rsidR="003E022D" w:rsidRDefault="007D19D6">
      <w:pPr>
        <w:numPr>
          <w:ilvl w:val="0"/>
          <w:numId w:val="133"/>
        </w:numPr>
        <w:ind w:left="0" w:firstLine="0"/>
        <w:rPr>
          <w:rFonts w:cstheme="minorHAnsi"/>
          <w:noProof/>
        </w:rPr>
      </w:pPr>
      <w:r>
        <w:rPr>
          <w:noProof/>
        </w:rPr>
        <w:t xml:space="preserve">Ja nav iespējams veikt ticamu novērtējumu, informāciju izvērtē, kā noteikts 1. punkta d) apakšpunktā un 2. punkta d) apakšpunktā. </w:t>
      </w:r>
    </w:p>
    <w:p w:rsidR="003E022D" w:rsidRDefault="007D19D6">
      <w:pPr>
        <w:pStyle w:val="Article"/>
        <w:rPr>
          <w:noProof/>
        </w:rPr>
      </w:pPr>
      <w:bookmarkStart w:id="424" w:name="_1t3h5sf"/>
      <w:bookmarkStart w:id="425" w:name="_Toc58920262"/>
      <w:bookmarkEnd w:id="424"/>
      <w:r>
        <w:rPr>
          <w:noProof/>
        </w:rPr>
        <w:t>LAW.EUROPOL.56. pants. Informācijas a</w:t>
      </w:r>
      <w:r>
        <w:rPr>
          <w:noProof/>
        </w:rPr>
        <w:t>pmaiņas drošība</w:t>
      </w:r>
      <w:bookmarkEnd w:id="425"/>
    </w:p>
    <w:p w:rsidR="003E022D" w:rsidRDefault="007D19D6">
      <w:pPr>
        <w:numPr>
          <w:ilvl w:val="0"/>
          <w:numId w:val="140"/>
        </w:numPr>
        <w:ind w:left="0" w:firstLine="0"/>
        <w:rPr>
          <w:rFonts w:cstheme="minorHAnsi"/>
          <w:noProof/>
        </w:rPr>
      </w:pPr>
      <w:r>
        <w:rPr>
          <w:noProof/>
          <w:color w:val="000000"/>
        </w:rPr>
        <w:t xml:space="preserve">Tehniskos un organizatoriskos pasākumus, kuri ieviesti nolūkā nodrošināt informācijas apmaiņas drošību saskaņā ar šo sadaļu, nosaka administratīvas vienošanās starp Eiropolu un Apvienotās Karalistes kompetentajām iestādēm, kas minētas </w:t>
      </w:r>
      <w:r>
        <w:rPr>
          <w:noProof/>
          <w:color w:val="000000"/>
          <w:u w:color="000000"/>
        </w:rPr>
        <w:t>LAW.E</w:t>
      </w:r>
      <w:r>
        <w:rPr>
          <w:noProof/>
          <w:color w:val="000000"/>
          <w:u w:color="000000"/>
        </w:rPr>
        <w:t>UROPOL.59. pantā [Sadarbības un administratīvās vienošanās]</w:t>
      </w:r>
      <w:r>
        <w:rPr>
          <w:noProof/>
          <w:color w:val="000000"/>
        </w:rPr>
        <w:t>.</w:t>
      </w:r>
    </w:p>
    <w:p w:rsidR="003E022D" w:rsidRDefault="007D19D6">
      <w:pPr>
        <w:numPr>
          <w:ilvl w:val="0"/>
          <w:numId w:val="140"/>
        </w:numPr>
        <w:ind w:left="0" w:firstLine="0"/>
        <w:rPr>
          <w:rFonts w:cstheme="minorHAnsi"/>
          <w:noProof/>
          <w:color w:val="000000"/>
        </w:rPr>
      </w:pPr>
      <w:r>
        <w:rPr>
          <w:noProof/>
        </w:rPr>
        <w:t>Puses vienojas izveidot, īstenot un izmantot drošu sakaru līniju informācijas apmaiņai starp Eiropolu un Apvienotās Karalistes kompetentajām iestādēm.</w:t>
      </w:r>
      <w:r>
        <w:rPr>
          <w:noProof/>
          <w:color w:val="000000"/>
        </w:rPr>
        <w:t xml:space="preserve"> </w:t>
      </w:r>
    </w:p>
    <w:p w:rsidR="003E022D" w:rsidRDefault="007D19D6">
      <w:pPr>
        <w:numPr>
          <w:ilvl w:val="0"/>
          <w:numId w:val="140"/>
        </w:numPr>
        <w:ind w:left="0" w:firstLine="0"/>
        <w:rPr>
          <w:rFonts w:cstheme="minorHAnsi"/>
          <w:noProof/>
        </w:rPr>
      </w:pPr>
      <w:r>
        <w:rPr>
          <w:noProof/>
        </w:rPr>
        <w:t>Administratīvās vienošanās starp Eiropolu u</w:t>
      </w:r>
      <w:r>
        <w:rPr>
          <w:noProof/>
        </w:rPr>
        <w:t xml:space="preserve">n Apvienotās Karalistes kompetentajām iestādēm, kas minētas </w:t>
      </w:r>
      <w:r>
        <w:rPr>
          <w:noProof/>
          <w:u w:color="000000"/>
        </w:rPr>
        <w:t>LAW.EUROPOL.58. pantā [Apmaiņa ar klasificētu un sensitīvu neklasificētu informāciju]</w:t>
      </w:r>
      <w:r>
        <w:rPr>
          <w:noProof/>
        </w:rPr>
        <w:t>, reglamentē drošās sakaru līnijas izmantošanas noteikumus un nosacījumus.</w:t>
      </w:r>
      <w:r>
        <w:rPr>
          <w:noProof/>
          <w:color w:val="000000"/>
        </w:rPr>
        <w:t xml:space="preserve"> </w:t>
      </w:r>
    </w:p>
    <w:p w:rsidR="003E022D" w:rsidRDefault="007D19D6">
      <w:pPr>
        <w:pStyle w:val="Article"/>
        <w:rPr>
          <w:noProof/>
        </w:rPr>
      </w:pPr>
      <w:bookmarkStart w:id="426" w:name="_Toc58920263"/>
      <w:r>
        <w:rPr>
          <w:noProof/>
        </w:rPr>
        <w:t xml:space="preserve">LAW.EUROPOL.57. pants. Atbildība </w:t>
      </w:r>
      <w:r>
        <w:rPr>
          <w:noProof/>
        </w:rPr>
        <w:t>par neatļautu vai nepareizu datu apstrādi</w:t>
      </w:r>
      <w:bookmarkEnd w:id="426"/>
    </w:p>
    <w:p w:rsidR="003E022D" w:rsidRDefault="007D19D6">
      <w:pPr>
        <w:numPr>
          <w:ilvl w:val="0"/>
          <w:numId w:val="132"/>
        </w:numPr>
        <w:ind w:left="0" w:firstLine="0"/>
        <w:rPr>
          <w:rFonts w:cstheme="minorHAnsi"/>
          <w:noProof/>
        </w:rPr>
      </w:pPr>
      <w:r>
        <w:rPr>
          <w:noProof/>
        </w:rPr>
        <w:t>Kompetentās iestādes saskaņā ar attiecīgo tām saistošo tiesisko regulējumu ir atbildīgas par jebkuriem zaudējumiem, kas fiziskai personai nodarīti juridisku vai faktisku kļūdu dēļ informācijā, ar kuru notikusi apma</w:t>
      </w:r>
      <w:r>
        <w:rPr>
          <w:noProof/>
        </w:rPr>
        <w:t xml:space="preserve">iņa. Ne Eiropols, ne Apvienotās Karalistes kompetentās iestādes, lai izvairītos no atbildības pret cietušo personu saskaņā ar attiecīgo tām saistošo tiesisko regulējumu, nevar atsaukties uz to, ka attiecīgā cita kompetentā iestāde ir pārsūtījusi nepareizu </w:t>
      </w:r>
      <w:r>
        <w:rPr>
          <w:noProof/>
        </w:rPr>
        <w:t xml:space="preserve">informāciju. </w:t>
      </w:r>
    </w:p>
    <w:p w:rsidR="003E022D" w:rsidRDefault="007D19D6">
      <w:pPr>
        <w:numPr>
          <w:ilvl w:val="0"/>
          <w:numId w:val="132"/>
        </w:numPr>
        <w:ind w:left="0" w:firstLine="0"/>
        <w:rPr>
          <w:rFonts w:cstheme="minorHAnsi"/>
          <w:noProof/>
        </w:rPr>
      </w:pPr>
      <w:r>
        <w:rPr>
          <w:noProof/>
        </w:rPr>
        <w:t>Ja Eiropolam vai Apvienotās Karalistes kompetentajām iestādēm ir piespriests maksāt kompensāciju par to, ka kāda no tām ir izmantojusi otras Puses kļūdaini paziņoju informāciju vai informāciju, kas paziņota otras Puses saistību nepildīšanas r</w:t>
      </w:r>
      <w:r>
        <w:rPr>
          <w:noProof/>
        </w:rPr>
        <w:t>ezultātā, kompensācijas summu, kuru saskaņā ar 1. punktu izmaksājis Eiropols vai Apvienotās Karalistes kompetentās iestādes, otra Puse atmaksā, izņemot gadījumus, kad informācija tikusi izmantota, pārkāpjot šīs sadaļas noteikumus.</w:t>
      </w:r>
    </w:p>
    <w:p w:rsidR="003E022D" w:rsidRDefault="007D19D6">
      <w:pPr>
        <w:numPr>
          <w:ilvl w:val="0"/>
          <w:numId w:val="132"/>
        </w:numPr>
        <w:ind w:left="0" w:firstLine="0"/>
        <w:rPr>
          <w:rFonts w:cstheme="minorHAnsi"/>
          <w:noProof/>
        </w:rPr>
      </w:pPr>
      <w:r>
        <w:rPr>
          <w:noProof/>
        </w:rPr>
        <w:t xml:space="preserve">Eiropols un Apvienotās Karalistes kompetentās iestādes cita citai nepieprasa atlīdzināt zaudējumus, kuri ir radušies kā sods vai kuri nav faktiskā kaitējuma kompensācija saskaņā ar 1. un 2. punktu. </w:t>
      </w:r>
    </w:p>
    <w:p w:rsidR="003E022D" w:rsidRDefault="007D19D6">
      <w:pPr>
        <w:pStyle w:val="Article"/>
        <w:rPr>
          <w:noProof/>
        </w:rPr>
      </w:pPr>
      <w:bookmarkStart w:id="427" w:name="_Toc58920264"/>
      <w:r>
        <w:rPr>
          <w:noProof/>
        </w:rPr>
        <w:t>LAW.EUROPOL.58. pants. Apmaiņa ar klasificētu un sensitīv</w:t>
      </w:r>
      <w:r>
        <w:rPr>
          <w:noProof/>
        </w:rPr>
        <w:t>u neklasificētu informāciju</w:t>
      </w:r>
      <w:bookmarkEnd w:id="427"/>
    </w:p>
    <w:p w:rsidR="003E022D" w:rsidRDefault="007D19D6">
      <w:pPr>
        <w:rPr>
          <w:rFonts w:cstheme="minorHAnsi"/>
          <w:noProof/>
        </w:rPr>
      </w:pPr>
      <w:r>
        <w:rPr>
          <w:noProof/>
        </w:rPr>
        <w:t xml:space="preserve">Apmaiņu ar klasificētu un sensitīvu neklasificētu informāciju un tās aizsardzību, ja tas nepieciešams saskaņā ar šo sadaļu, reglamentē sadarbības un administratīva vienošanās, kas minēta </w:t>
      </w:r>
      <w:r>
        <w:rPr>
          <w:noProof/>
          <w:u w:color="000000"/>
        </w:rPr>
        <w:t>LAW.EUROPOL.59. pantā [Sadarbības un admi</w:t>
      </w:r>
      <w:r>
        <w:rPr>
          <w:noProof/>
          <w:u w:color="000000"/>
        </w:rPr>
        <w:t>nistratīvās vienošanās]</w:t>
      </w:r>
      <w:r>
        <w:rPr>
          <w:noProof/>
        </w:rPr>
        <w:t xml:space="preserve"> un noslēgta starp Eiropolu un Apvienotās Karalistes kompetentajām iestādēm.</w:t>
      </w:r>
    </w:p>
    <w:p w:rsidR="003E022D" w:rsidRDefault="007D19D6">
      <w:pPr>
        <w:pStyle w:val="Article"/>
        <w:rPr>
          <w:noProof/>
        </w:rPr>
      </w:pPr>
      <w:bookmarkStart w:id="428" w:name="_4d34og8"/>
      <w:bookmarkStart w:id="429" w:name="_2s8eyo1"/>
      <w:bookmarkStart w:id="430" w:name="_Toc58920265"/>
      <w:bookmarkEnd w:id="428"/>
      <w:bookmarkEnd w:id="429"/>
      <w:r>
        <w:rPr>
          <w:noProof/>
        </w:rPr>
        <w:t>LAW.EUROPOL.59. pants. Sadarbības un administratīvās vienošanās</w:t>
      </w:r>
      <w:bookmarkEnd w:id="430"/>
    </w:p>
    <w:p w:rsidR="003E022D" w:rsidRDefault="007D19D6">
      <w:pPr>
        <w:numPr>
          <w:ilvl w:val="3"/>
          <w:numId w:val="140"/>
        </w:numPr>
        <w:ind w:left="0" w:firstLine="0"/>
        <w:rPr>
          <w:rFonts w:cstheme="minorHAnsi"/>
          <w:noProof/>
        </w:rPr>
      </w:pPr>
      <w:r>
        <w:rPr>
          <w:noProof/>
        </w:rPr>
        <w:t>Uz Apvienotās Karalistes un Eiropola sadarbības elementiem, kas atbilstīgi papildina un īste</w:t>
      </w:r>
      <w:r>
        <w:rPr>
          <w:noProof/>
        </w:rPr>
        <w:t xml:space="preserve">no šīs sadaļas noteikumus, attiecas sadarbības vienošanās un administratīvas vienošanās, kuras noslēgtas starp Eiropolu un Apvienotās Karalistes kompetentajām iestādēm attiecīgi saskaņā ar Eiropola regulas 23. panta 4. punktu un 25. panta 1. punktu. </w:t>
      </w:r>
    </w:p>
    <w:p w:rsidR="003E022D" w:rsidRDefault="007D19D6">
      <w:pPr>
        <w:numPr>
          <w:ilvl w:val="3"/>
          <w:numId w:val="140"/>
        </w:numPr>
        <w:ind w:left="0" w:firstLine="0"/>
        <w:rPr>
          <w:rFonts w:cstheme="minorHAnsi"/>
          <w:noProof/>
        </w:rPr>
      </w:pPr>
      <w:r>
        <w:rPr>
          <w:noProof/>
        </w:rPr>
        <w:t>Neska</w:t>
      </w:r>
      <w:r>
        <w:rPr>
          <w:noProof/>
        </w:rPr>
        <w:t>rot nevienu šīs sadaļas noteikumu un vienlaikus atspoguļojot Apvienotās Karalistes kā trešās valsts statusu, Eiropols un Apvienotās Karalistes kompetentās iestādes, ievērojot Eiropola valdes lēmumu, attiecīgi darba vienošanās vai administratīvajā vienošanā</w:t>
      </w:r>
      <w:r>
        <w:rPr>
          <w:noProof/>
        </w:rPr>
        <w:t>s iekļauj noteikumus, kas papildina vai īsteno šo sadaļu un jo īpaši ļauj:</w:t>
      </w:r>
    </w:p>
    <w:p w:rsidR="003E022D" w:rsidRDefault="007D19D6">
      <w:pPr>
        <w:numPr>
          <w:ilvl w:val="0"/>
          <w:numId w:val="143"/>
        </w:numPr>
        <w:ind w:left="567" w:hanging="567"/>
        <w:rPr>
          <w:rFonts w:cstheme="minorHAnsi"/>
          <w:noProof/>
        </w:rPr>
      </w:pPr>
      <w:r>
        <w:rPr>
          <w:noProof/>
        </w:rPr>
        <w:t>noturēt apspriedes starp Eiropolu un vienu vai vairākiem Apvienotās Karalistes valsts kontaktpunkta pārstāvjiem par politikas jautājumiem un kopīgu interešu jautājumiem nolūkā sasni</w:t>
      </w:r>
      <w:r>
        <w:rPr>
          <w:noProof/>
        </w:rPr>
        <w:t>egt to mērķus un koordinēt to attiecīgās darbības, un veicināt sadarbību starp Eiropolu un Apvienotās Karalistes kompetentajām iestādēm;</w:t>
      </w:r>
    </w:p>
    <w:p w:rsidR="003E022D" w:rsidRDefault="007D19D6">
      <w:pPr>
        <w:numPr>
          <w:ilvl w:val="0"/>
          <w:numId w:val="143"/>
        </w:numPr>
        <w:ind w:left="567" w:hanging="567"/>
        <w:rPr>
          <w:rFonts w:cstheme="minorHAnsi"/>
          <w:noProof/>
        </w:rPr>
      </w:pPr>
      <w:r>
        <w:rPr>
          <w:noProof/>
        </w:rPr>
        <w:t>vienam vai vairākiem Apvienotās Karalistes pārstāvjiem kā novērotājam(-iem) piedalīties konkrētās Eiropola vienību vadī</w:t>
      </w:r>
      <w:r>
        <w:rPr>
          <w:noProof/>
        </w:rPr>
        <w:t xml:space="preserve">tāju sanāksmēs saskaņā ar šādu sanāksmju reglamentu; </w:t>
      </w:r>
    </w:p>
    <w:p w:rsidR="003E022D" w:rsidRDefault="007D19D6">
      <w:pPr>
        <w:numPr>
          <w:ilvl w:val="0"/>
          <w:numId w:val="143"/>
        </w:numPr>
        <w:ind w:left="567" w:hanging="567"/>
        <w:rPr>
          <w:rFonts w:cstheme="minorHAnsi"/>
          <w:noProof/>
          <w:color w:val="000000"/>
        </w:rPr>
      </w:pPr>
      <w:r>
        <w:rPr>
          <w:noProof/>
        </w:rPr>
        <w:t>vienu vai vairākus Apvienotās Karalistes pārstāvjus iesaistīt operatīvās analīzes projektos saskaņā ar noteikumiem, ko pieņēmušas attiecīgās Eiropola pārvaldības struktūras;</w:t>
      </w:r>
      <w:r>
        <w:rPr>
          <w:noProof/>
          <w:color w:val="000000"/>
        </w:rPr>
        <w:t xml:space="preserve"> </w:t>
      </w:r>
    </w:p>
    <w:p w:rsidR="003E022D" w:rsidRDefault="007D19D6">
      <w:pPr>
        <w:numPr>
          <w:ilvl w:val="0"/>
          <w:numId w:val="143"/>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rPr>
      </w:pPr>
      <w:r>
        <w:rPr>
          <w:noProof/>
          <w:color w:val="000000"/>
        </w:rPr>
        <w:t>ietverot sadarbības koordin</w:t>
      </w:r>
      <w:r>
        <w:rPr>
          <w:noProof/>
          <w:color w:val="000000"/>
        </w:rPr>
        <w:t xml:space="preserve">atoru uzdevumu aprakstu, viņu tiesības un pienākumus un saistītās izmaksas; vai </w:t>
      </w:r>
    </w:p>
    <w:p w:rsidR="003E022D" w:rsidRDefault="007D19D6">
      <w:pPr>
        <w:numPr>
          <w:ilvl w:val="0"/>
          <w:numId w:val="143"/>
        </w:numPr>
        <w:ind w:left="567" w:hanging="567"/>
        <w:rPr>
          <w:rFonts w:cstheme="minorHAnsi"/>
          <w:noProof/>
          <w:color w:val="000000"/>
        </w:rPr>
      </w:pPr>
      <w:r>
        <w:rPr>
          <w:noProof/>
        </w:rPr>
        <w:t>īstenot sadarbību starp Apvienotās Karalistes kompetentajām iestādēm un Eiropolu privātuma vai drošības pārkāpumu gadījumā.</w:t>
      </w:r>
      <w:r>
        <w:rPr>
          <w:noProof/>
          <w:color w:val="000000"/>
        </w:rPr>
        <w:t xml:space="preserve"> </w:t>
      </w:r>
    </w:p>
    <w:p w:rsidR="003E022D" w:rsidRDefault="007D19D6">
      <w:pPr>
        <w:pStyle w:val="ListParagraph"/>
        <w:numPr>
          <w:ilvl w:val="3"/>
          <w:numId w:val="140"/>
        </w:numPr>
        <w:spacing w:line="276" w:lineRule="auto"/>
        <w:ind w:left="0" w:firstLine="0"/>
        <w:rPr>
          <w:rFonts w:asciiTheme="minorHAnsi" w:hAnsiTheme="minorHAnsi" w:cstheme="minorHAnsi"/>
          <w:noProof/>
        </w:rPr>
      </w:pPr>
      <w:r>
        <w:rPr>
          <w:rFonts w:asciiTheme="minorHAnsi" w:hAnsiTheme="minorHAnsi"/>
          <w:noProof/>
        </w:rPr>
        <w:t>Sadarbības un administratīvās vienošanās būtību va</w:t>
      </w:r>
      <w:r>
        <w:rPr>
          <w:rFonts w:asciiTheme="minorHAnsi" w:hAnsiTheme="minorHAnsi"/>
          <w:noProof/>
        </w:rPr>
        <w:t xml:space="preserve">r noteikt vienā dokumentā. </w:t>
      </w:r>
    </w:p>
    <w:p w:rsidR="003E022D" w:rsidRDefault="007D19D6">
      <w:pPr>
        <w:pStyle w:val="Article"/>
        <w:rPr>
          <w:noProof/>
        </w:rPr>
      </w:pPr>
      <w:bookmarkStart w:id="431" w:name="_17dp8vu"/>
      <w:bookmarkStart w:id="432" w:name="_Toc58920266"/>
      <w:bookmarkEnd w:id="431"/>
      <w:r>
        <w:rPr>
          <w:noProof/>
        </w:rPr>
        <w:t>LAW.EUROPOL.60. pants. Paziņojums par īstenošanu</w:t>
      </w:r>
      <w:bookmarkEnd w:id="432"/>
    </w:p>
    <w:p w:rsidR="003E022D" w:rsidRDefault="007D19D6">
      <w:pPr>
        <w:numPr>
          <w:ilvl w:val="0"/>
          <w:numId w:val="135"/>
        </w:numPr>
        <w:ind w:left="0" w:firstLine="0"/>
        <w:rPr>
          <w:rFonts w:cstheme="minorHAnsi"/>
          <w:noProof/>
        </w:rPr>
      </w:pPr>
      <w:r>
        <w:rPr>
          <w:noProof/>
        </w:rPr>
        <w:t>Apvienotā Karaliste un Eiropols katrs dara publiski pieejamu dokumentu, kurā saprotamā veidā izklāstīti noteikumi par saskaņā ar šo sadaļu pārsūtīto personas datu apstrādi, tai sk</w:t>
      </w:r>
      <w:r>
        <w:rPr>
          <w:noProof/>
        </w:rPr>
        <w:t>aitā pieejamajiem līdzekļiem datu subjektu tiesību īstenošanai, un nodrošina, ka šā dokumenta kopija tiek iesniegta otrai pusei.</w:t>
      </w:r>
    </w:p>
    <w:p w:rsidR="003E022D" w:rsidRDefault="007D19D6">
      <w:pPr>
        <w:numPr>
          <w:ilvl w:val="0"/>
          <w:numId w:val="135"/>
        </w:numPr>
        <w:spacing w:line="276" w:lineRule="auto"/>
        <w:ind w:left="0" w:firstLine="0"/>
        <w:rPr>
          <w:rFonts w:cstheme="minorHAnsi"/>
          <w:noProof/>
        </w:rPr>
      </w:pPr>
      <w:r>
        <w:rPr>
          <w:noProof/>
        </w:rPr>
        <w:t xml:space="preserve">Ja tas vēl nav izdarīts, Apvienotā Karaliste un Eiropols pieņem noteikumus, kuros precizē, kā praksē tiks panākta atbilstība </w:t>
      </w:r>
      <w:r>
        <w:rPr>
          <w:noProof/>
        </w:rPr>
        <w:t>noteikumiem par personas datu apstrādi. Apvienotā Karaliste un Eiropols viena otrai un attiecīgajām uzraudzības iestādēm nosūta minēto noteikumu kopiju.</w:t>
      </w:r>
    </w:p>
    <w:p w:rsidR="003E022D" w:rsidRDefault="007D19D6">
      <w:pPr>
        <w:pStyle w:val="Article"/>
        <w:rPr>
          <w:noProof/>
        </w:rPr>
      </w:pPr>
      <w:bookmarkStart w:id="433" w:name="_Toc58920267"/>
      <w:r>
        <w:rPr>
          <w:noProof/>
        </w:rPr>
        <w:t>LAW.EUROPOL.61. pants. Eiropola pilnvaras</w:t>
      </w:r>
      <w:bookmarkEnd w:id="433"/>
    </w:p>
    <w:p w:rsidR="003E022D" w:rsidRDefault="007D19D6">
      <w:pPr>
        <w:rPr>
          <w:rFonts w:cstheme="minorHAnsi"/>
          <w:noProof/>
        </w:rPr>
      </w:pPr>
      <w:r>
        <w:rPr>
          <w:noProof/>
        </w:rPr>
        <w:t xml:space="preserve">Neko šajā sadaļā neinterpretē kā Eiropolam uzliktu pienākumu </w:t>
      </w:r>
      <w:r>
        <w:rPr>
          <w:noProof/>
        </w:rPr>
        <w:t xml:space="preserve">sadarboties ar Apvienotās Karalistes kompetentajām iestādēm ārpus Eiropola kompetences, kā noteikts attiecīgajos Savienības tiesībās. </w:t>
      </w:r>
    </w:p>
    <w:p w:rsidR="003E022D" w:rsidRDefault="007D19D6">
      <w:pPr>
        <w:spacing w:after="0" w:line="276" w:lineRule="auto"/>
        <w:jc w:val="left"/>
        <w:rPr>
          <w:rFonts w:asciiTheme="majorHAnsi" w:hAnsiTheme="majorHAnsi" w:cstheme="minorHAnsi"/>
          <w:i/>
          <w:caps/>
          <w:noProof/>
        </w:rPr>
      </w:pPr>
      <w:bookmarkStart w:id="434" w:name="_Toc34676374"/>
      <w:bookmarkStart w:id="435" w:name="_Toc35449640"/>
      <w:bookmarkStart w:id="436" w:name="_Toc57809460"/>
      <w:bookmarkStart w:id="437" w:name="_Toc58920268"/>
      <w:bookmarkStart w:id="438" w:name="_Toc58949200"/>
      <w:bookmarkStart w:id="439" w:name="_Toc59472715"/>
      <w:r>
        <w:rPr>
          <w:noProof/>
        </w:rPr>
        <w:br w:type="page"/>
      </w:r>
    </w:p>
    <w:p w:rsidR="003E022D" w:rsidRDefault="007D19D6">
      <w:pPr>
        <w:pStyle w:val="Title1"/>
        <w:rPr>
          <w:noProof/>
        </w:rPr>
      </w:pPr>
      <w:bookmarkStart w:id="440" w:name="_Toc59988367"/>
      <w:r>
        <w:rPr>
          <w:noProof/>
        </w:rPr>
        <w:t>VI sadaļa. Sadarbība ar Eurojust</w:t>
      </w:r>
      <w:bookmarkEnd w:id="434"/>
      <w:bookmarkEnd w:id="435"/>
      <w:bookmarkEnd w:id="436"/>
      <w:bookmarkEnd w:id="437"/>
      <w:bookmarkEnd w:id="438"/>
      <w:bookmarkEnd w:id="439"/>
      <w:bookmarkEnd w:id="440"/>
    </w:p>
    <w:p w:rsidR="003E022D" w:rsidRDefault="007D19D6">
      <w:pPr>
        <w:pStyle w:val="Article"/>
        <w:rPr>
          <w:noProof/>
        </w:rPr>
      </w:pPr>
      <w:bookmarkStart w:id="441" w:name="_Toc58920269"/>
      <w:r>
        <w:rPr>
          <w:noProof/>
        </w:rPr>
        <w:t>LAW.EUROJUST.61. pants. Mērķis</w:t>
      </w:r>
      <w:bookmarkEnd w:id="441"/>
    </w:p>
    <w:p w:rsidR="003E022D" w:rsidRDefault="007D19D6">
      <w:pPr>
        <w:rPr>
          <w:rFonts w:cstheme="minorHAnsi"/>
          <w:noProof/>
        </w:rPr>
      </w:pPr>
      <w:r>
        <w:rPr>
          <w:noProof/>
        </w:rPr>
        <w:t>Šīs sadaļas mērķis ir izveidot sadarbību starp Eurojust</w:t>
      </w:r>
      <w:r>
        <w:rPr>
          <w:noProof/>
        </w:rPr>
        <w:t xml:space="preserve"> un Apvienotās Karalistes kompetentajām iestādēm to smago noziegumu apkarošanā, kas minēti </w:t>
      </w:r>
      <w:r>
        <w:rPr>
          <w:noProof/>
          <w:u w:color="000000"/>
        </w:rPr>
        <w:t>LAW.EUROJUST.63. pantā [Noziegumu veidi]</w:t>
      </w:r>
      <w:r>
        <w:rPr>
          <w:noProof/>
        </w:rPr>
        <w:t>.</w:t>
      </w:r>
    </w:p>
    <w:p w:rsidR="003E022D" w:rsidRDefault="007D19D6">
      <w:pPr>
        <w:pStyle w:val="Article"/>
        <w:rPr>
          <w:noProof/>
        </w:rPr>
      </w:pPr>
      <w:bookmarkStart w:id="442" w:name="_Toc58920270"/>
      <w:r>
        <w:rPr>
          <w:noProof/>
        </w:rPr>
        <w:t>LAW.EUROJUST.62. pants. Definīcijas</w:t>
      </w:r>
      <w:bookmarkEnd w:id="442"/>
    </w:p>
    <w:p w:rsidR="003E022D" w:rsidRDefault="007D19D6">
      <w:pPr>
        <w:rPr>
          <w:rFonts w:cstheme="minorHAnsi"/>
          <w:noProof/>
        </w:rPr>
      </w:pPr>
      <w:r>
        <w:rPr>
          <w:noProof/>
        </w:rPr>
        <w:t>Šajā sadaļā piemēro šādas definīcijas:</w:t>
      </w:r>
    </w:p>
    <w:p w:rsidR="003E022D" w:rsidRDefault="007D19D6">
      <w:pPr>
        <w:numPr>
          <w:ilvl w:val="0"/>
          <w:numId w:val="38"/>
        </w:numPr>
        <w:ind w:left="567" w:hanging="567"/>
        <w:rPr>
          <w:rFonts w:cstheme="minorHAnsi"/>
          <w:noProof/>
        </w:rPr>
      </w:pPr>
      <w:r>
        <w:rPr>
          <w:noProof/>
        </w:rPr>
        <w:t xml:space="preserve">"Eurojust" ir Eiropas Savienības Aģentūra tiesu </w:t>
      </w:r>
      <w:r>
        <w:rPr>
          <w:noProof/>
        </w:rPr>
        <w:t>iestāžu sadarbībai krimināllietās, kas izveidota ar Regulu (ES) 2018/1727</w:t>
      </w:r>
      <w:r>
        <w:rPr>
          <w:rStyle w:val="FootnoteReference"/>
          <w:rFonts w:cstheme="minorHAnsi"/>
          <w:noProof/>
          <w:lang w:val="en-IE"/>
        </w:rPr>
        <w:footnoteReference w:id="80"/>
      </w:r>
      <w:r>
        <w:rPr>
          <w:noProof/>
        </w:rPr>
        <w:t xml:space="preserve"> ("Eurojust regula");</w:t>
      </w:r>
    </w:p>
    <w:p w:rsidR="003E022D" w:rsidRDefault="007D19D6">
      <w:pPr>
        <w:numPr>
          <w:ilvl w:val="0"/>
          <w:numId w:val="38"/>
        </w:numPr>
        <w:ind w:left="567" w:hanging="567"/>
        <w:rPr>
          <w:rFonts w:cstheme="minorHAnsi"/>
          <w:noProof/>
        </w:rPr>
      </w:pPr>
      <w:r>
        <w:rPr>
          <w:noProof/>
        </w:rPr>
        <w:t xml:space="preserve">“kompetentā iestāde” attiecībā uz Savienību ir Eurojust, ko pārstāv Kolēģija vai valsts loceklis, un attiecībā uz Apvienoto Karalisti – iekšzemes iestāde, kuras pienākumi saskaņā ar iekšzemes tiesību aktiem ir saistīti ar noziedzīgu nodarījumu izmeklēšanu </w:t>
      </w:r>
      <w:r>
        <w:rPr>
          <w:noProof/>
        </w:rPr>
        <w:t xml:space="preserve">un saukšanu pie atbildības par tiem; </w:t>
      </w:r>
    </w:p>
    <w:p w:rsidR="003E022D" w:rsidRDefault="007D19D6">
      <w:pPr>
        <w:numPr>
          <w:ilvl w:val="0"/>
          <w:numId w:val="38"/>
        </w:numPr>
        <w:ind w:left="567" w:hanging="567"/>
        <w:rPr>
          <w:rFonts w:cstheme="minorHAnsi"/>
          <w:noProof/>
        </w:rPr>
      </w:pPr>
      <w:r>
        <w:rPr>
          <w:noProof/>
        </w:rPr>
        <w:t xml:space="preserve">“Kolēģija” ir </w:t>
      </w:r>
      <w:r>
        <w:rPr>
          <w:i/>
          <w:noProof/>
        </w:rPr>
        <w:t>Eurojust</w:t>
      </w:r>
      <w:r>
        <w:rPr>
          <w:noProof/>
        </w:rPr>
        <w:t xml:space="preserve"> Kolēģija, kā minēts </w:t>
      </w:r>
      <w:r>
        <w:rPr>
          <w:i/>
          <w:noProof/>
        </w:rPr>
        <w:t>Eurojust</w:t>
      </w:r>
      <w:r>
        <w:rPr>
          <w:noProof/>
        </w:rPr>
        <w:t xml:space="preserve"> regulā;</w:t>
      </w:r>
    </w:p>
    <w:p w:rsidR="003E022D" w:rsidRDefault="007D19D6">
      <w:pPr>
        <w:numPr>
          <w:ilvl w:val="0"/>
          <w:numId w:val="38"/>
        </w:numPr>
        <w:ind w:left="567" w:hanging="567"/>
        <w:rPr>
          <w:rFonts w:cstheme="minorHAnsi"/>
          <w:noProof/>
        </w:rPr>
      </w:pPr>
      <w:r>
        <w:rPr>
          <w:noProof/>
        </w:rPr>
        <w:t xml:space="preserve">“valsts pārstāvis” ir valsts pārstāvis, ko uz </w:t>
      </w:r>
      <w:r>
        <w:rPr>
          <w:i/>
          <w:noProof/>
        </w:rPr>
        <w:t>Eurojust</w:t>
      </w:r>
      <w:r>
        <w:rPr>
          <w:noProof/>
        </w:rPr>
        <w:t xml:space="preserve"> norīkojusi katra dalībvalsts, kā minēts </w:t>
      </w:r>
      <w:r>
        <w:rPr>
          <w:i/>
          <w:noProof/>
        </w:rPr>
        <w:t>Eurojust</w:t>
      </w:r>
      <w:r>
        <w:rPr>
          <w:noProof/>
        </w:rPr>
        <w:t xml:space="preserve"> regulā;</w:t>
      </w:r>
    </w:p>
    <w:p w:rsidR="003E022D" w:rsidRDefault="007D19D6">
      <w:pPr>
        <w:numPr>
          <w:ilvl w:val="0"/>
          <w:numId w:val="38"/>
        </w:numPr>
        <w:ind w:left="567" w:hanging="567"/>
        <w:rPr>
          <w:rFonts w:cstheme="minorHAnsi"/>
          <w:noProof/>
        </w:rPr>
      </w:pPr>
      <w:r>
        <w:rPr>
          <w:noProof/>
        </w:rPr>
        <w:t>“palīgs” ir persona, kas var palīdzēt valsts p</w:t>
      </w:r>
      <w:r>
        <w:rPr>
          <w:noProof/>
        </w:rPr>
        <w:t xml:space="preserve">ārstāvim un valsts pārstāvja vietniekam vai sadarbības prokuroram, kā attiecīgi minēts </w:t>
      </w:r>
      <w:r>
        <w:rPr>
          <w:i/>
          <w:noProof/>
        </w:rPr>
        <w:t>Eurojust</w:t>
      </w:r>
      <w:r>
        <w:rPr>
          <w:noProof/>
        </w:rPr>
        <w:t xml:space="preserve"> regulā un </w:t>
      </w:r>
      <w:r>
        <w:rPr>
          <w:noProof/>
          <w:u w:color="000000"/>
        </w:rPr>
        <w:t>LAW.EUROJUST.66. panta [Sadarbības prokurors]</w:t>
      </w:r>
      <w:r>
        <w:rPr>
          <w:noProof/>
        </w:rPr>
        <w:t xml:space="preserve"> 3. punktā.</w:t>
      </w:r>
    </w:p>
    <w:p w:rsidR="003E022D" w:rsidRDefault="007D19D6">
      <w:pPr>
        <w:numPr>
          <w:ilvl w:val="0"/>
          <w:numId w:val="38"/>
        </w:numPr>
        <w:ind w:left="567" w:hanging="567"/>
        <w:rPr>
          <w:rFonts w:cstheme="minorHAnsi"/>
          <w:noProof/>
        </w:rPr>
      </w:pPr>
      <w:r>
        <w:rPr>
          <w:noProof/>
        </w:rPr>
        <w:t xml:space="preserve">“sadarbības prokurors” ir prokurors, ko uz </w:t>
      </w:r>
      <w:r>
        <w:rPr>
          <w:i/>
          <w:noProof/>
        </w:rPr>
        <w:t>Eurojust</w:t>
      </w:r>
      <w:r>
        <w:rPr>
          <w:noProof/>
        </w:rPr>
        <w:t xml:space="preserve"> norīkojusi Apvienotā Karaliste, uz viņa s</w:t>
      </w:r>
      <w:r>
        <w:rPr>
          <w:noProof/>
        </w:rPr>
        <w:t>tatusu attiecas Apvienotās Karalistes iekšzemes tiesības par prokuroru statusu;</w:t>
      </w:r>
    </w:p>
    <w:p w:rsidR="003E022D" w:rsidRDefault="007D19D6">
      <w:pPr>
        <w:numPr>
          <w:ilvl w:val="0"/>
          <w:numId w:val="38"/>
        </w:numPr>
        <w:ind w:left="567" w:hanging="567"/>
        <w:rPr>
          <w:rFonts w:cstheme="minorHAnsi"/>
          <w:strike/>
          <w:noProof/>
        </w:rPr>
      </w:pPr>
      <w:r>
        <w:rPr>
          <w:noProof/>
        </w:rPr>
        <w:t xml:space="preserve">“tiesnesis koordinators” ir tiesnesis, ko </w:t>
      </w:r>
      <w:r>
        <w:rPr>
          <w:i/>
          <w:noProof/>
        </w:rPr>
        <w:t>Eurojust</w:t>
      </w:r>
      <w:r>
        <w:rPr>
          <w:noProof/>
        </w:rPr>
        <w:t xml:space="preserve"> norīkojis uz Apvienoto Karalisti saskaņā ar </w:t>
      </w:r>
      <w:r>
        <w:rPr>
          <w:noProof/>
          <w:u w:color="000000"/>
        </w:rPr>
        <w:t>LAW.EUROJUST.67 . pantu [Tiesnesis koordinators];</w:t>
      </w:r>
    </w:p>
    <w:p w:rsidR="003E022D" w:rsidRDefault="007D19D6">
      <w:pPr>
        <w:numPr>
          <w:ilvl w:val="0"/>
          <w:numId w:val="38"/>
        </w:numPr>
        <w:ind w:left="567" w:hanging="567"/>
        <w:rPr>
          <w:rFonts w:cstheme="minorHAnsi"/>
          <w:strike/>
          <w:noProof/>
        </w:rPr>
      </w:pPr>
      <w:r>
        <w:rPr>
          <w:noProof/>
        </w:rPr>
        <w:t>“iekšzemes korespondents terori</w:t>
      </w:r>
      <w:r>
        <w:rPr>
          <w:noProof/>
        </w:rPr>
        <w:t xml:space="preserve">sma jautājumos” ir kontaktpunkts, ko Apvienotā Karaliste norīkojusi saskaņā ar </w:t>
      </w:r>
      <w:r>
        <w:rPr>
          <w:noProof/>
          <w:u w:color="000000"/>
        </w:rPr>
        <w:t>LAW.EUROJUST.65. pantu [Eurojust kontaktpunkts]</w:t>
      </w:r>
      <w:r>
        <w:rPr>
          <w:noProof/>
        </w:rPr>
        <w:t xml:space="preserve"> un kas atbildīgs par sarakstes saistībā ar terorisma jautājumiem apstrādi.</w:t>
      </w:r>
    </w:p>
    <w:p w:rsidR="003E022D" w:rsidRDefault="007D19D6">
      <w:pPr>
        <w:pStyle w:val="Article"/>
        <w:rPr>
          <w:noProof/>
        </w:rPr>
      </w:pPr>
      <w:bookmarkStart w:id="443" w:name="_Ref32426612"/>
      <w:bookmarkStart w:id="444" w:name="_Toc58920271"/>
      <w:r>
        <w:rPr>
          <w:noProof/>
        </w:rPr>
        <w:t>LAW.EUROJUST.63. pants</w:t>
      </w:r>
      <w:bookmarkEnd w:id="443"/>
      <w:r>
        <w:rPr>
          <w:noProof/>
        </w:rPr>
        <w:t>. Noziegumu veidi</w:t>
      </w:r>
      <w:bookmarkEnd w:id="444"/>
    </w:p>
    <w:p w:rsidR="003E022D" w:rsidRDefault="007D19D6">
      <w:pPr>
        <w:numPr>
          <w:ilvl w:val="0"/>
          <w:numId w:val="39"/>
        </w:numPr>
        <w:ind w:left="0" w:firstLine="0"/>
        <w:rPr>
          <w:rFonts w:cstheme="minorHAnsi"/>
          <w:noProof/>
        </w:rPr>
      </w:pPr>
      <w:r>
        <w:rPr>
          <w:noProof/>
        </w:rPr>
        <w:t xml:space="preserve">Saskaņā ar šo </w:t>
      </w:r>
      <w:r>
        <w:rPr>
          <w:noProof/>
        </w:rPr>
        <w:t xml:space="preserve">sadaļu izveidotā sadarbība ir saistīta ar to smago noziegumu veidiem, kas ir </w:t>
      </w:r>
      <w:r>
        <w:rPr>
          <w:i/>
          <w:noProof/>
        </w:rPr>
        <w:t>Eurojust</w:t>
      </w:r>
      <w:r>
        <w:rPr>
          <w:noProof/>
        </w:rPr>
        <w:t xml:space="preserve"> kompetencē un uzskaitīti </w:t>
      </w:r>
      <w:r>
        <w:rPr>
          <w:noProof/>
          <w:u w:color="000000"/>
        </w:rPr>
        <w:t>LAW-4. PIELIKUMĀ</w:t>
      </w:r>
      <w:r>
        <w:rPr>
          <w:noProof/>
        </w:rPr>
        <w:t>, ieskaitot saistītus noziedzīgus nodarījumus.</w:t>
      </w:r>
    </w:p>
    <w:p w:rsidR="003E022D" w:rsidRDefault="007D19D6">
      <w:pPr>
        <w:numPr>
          <w:ilvl w:val="0"/>
          <w:numId w:val="39"/>
        </w:numPr>
        <w:ind w:left="0" w:firstLine="0"/>
        <w:rPr>
          <w:rFonts w:cstheme="minorHAnsi"/>
          <w:noProof/>
        </w:rPr>
      </w:pPr>
      <w:r>
        <w:rPr>
          <w:noProof/>
        </w:rPr>
        <w:t>Saistīti noziedzīgi nodarījumi ir noziedzīgi nodarījumi, kas izdarīti, lai sagādāt</w:t>
      </w:r>
      <w:r>
        <w:rPr>
          <w:noProof/>
        </w:rPr>
        <w:t>u 1. punktā minēto smago noziegumu izdarīšanai nepieciešamos līdzekļus, noziedzīgi nodarījumi, kas izdarīti, lai veicinātu vai veiktu šādus smagus noziegumus, un noziedzīgi nodarījumi, kas izdarīti, lai nodrošinātu šādu smagu noziegumu nesodāmību.</w:t>
      </w:r>
    </w:p>
    <w:p w:rsidR="003E022D" w:rsidRDefault="007D19D6">
      <w:pPr>
        <w:numPr>
          <w:ilvl w:val="0"/>
          <w:numId w:val="39"/>
        </w:numPr>
        <w:ind w:left="0" w:firstLine="0"/>
        <w:rPr>
          <w:rFonts w:cstheme="minorHAnsi"/>
          <w:noProof/>
        </w:rPr>
      </w:pPr>
      <w:r>
        <w:rPr>
          <w:noProof/>
        </w:rPr>
        <w:t xml:space="preserve">Ja tiek </w:t>
      </w:r>
      <w:r>
        <w:rPr>
          <w:noProof/>
        </w:rPr>
        <w:t xml:space="preserve">grozīts saraksts ar to smago noziegumu veidiem, kas saskaņā ar Savienības tiesībām ir </w:t>
      </w:r>
      <w:r>
        <w:rPr>
          <w:i/>
          <w:noProof/>
        </w:rPr>
        <w:t>Eurojust</w:t>
      </w:r>
      <w:r>
        <w:rPr>
          <w:noProof/>
        </w:rPr>
        <w:t xml:space="preserve"> kompetencē, Specializētā komiteja tiesībaizsardzības un tiesu iestāžu sadarbības jomā var, pamatojoties uz Savienības priekšlikumu, attiecīgi grozīt </w:t>
      </w:r>
      <w:r>
        <w:rPr>
          <w:noProof/>
          <w:u w:color="000000"/>
        </w:rPr>
        <w:t>LAW-4. PIELI</w:t>
      </w:r>
      <w:r>
        <w:rPr>
          <w:noProof/>
          <w:u w:color="000000"/>
        </w:rPr>
        <w:t>KUMU</w:t>
      </w:r>
      <w:r>
        <w:rPr>
          <w:noProof/>
        </w:rPr>
        <w:t xml:space="preserve"> no dienas, kad stājas spēkā izmaiņas </w:t>
      </w:r>
      <w:r>
        <w:rPr>
          <w:i/>
          <w:noProof/>
        </w:rPr>
        <w:t>Eurojust</w:t>
      </w:r>
      <w:r>
        <w:rPr>
          <w:noProof/>
        </w:rPr>
        <w:t xml:space="preserve"> kompetencē.</w:t>
      </w:r>
    </w:p>
    <w:p w:rsidR="003E022D" w:rsidRDefault="007D19D6">
      <w:pPr>
        <w:pStyle w:val="Article"/>
        <w:rPr>
          <w:noProof/>
        </w:rPr>
      </w:pPr>
      <w:bookmarkStart w:id="445" w:name="_ARTICLE_62"/>
      <w:bookmarkStart w:id="446" w:name="_Toc58920272"/>
      <w:bookmarkEnd w:id="445"/>
      <w:r>
        <w:rPr>
          <w:noProof/>
        </w:rPr>
        <w:t xml:space="preserve">LAW.EUROJUST.64. pants. </w:t>
      </w:r>
      <w:bookmarkStart w:id="447" w:name="_Toc29896023"/>
      <w:r>
        <w:rPr>
          <w:noProof/>
        </w:rPr>
        <w:t>Sadarbības jomas</w:t>
      </w:r>
      <w:bookmarkEnd w:id="446"/>
      <w:bookmarkEnd w:id="447"/>
    </w:p>
    <w:p w:rsidR="003E022D" w:rsidRDefault="007D19D6">
      <w:pPr>
        <w:rPr>
          <w:rFonts w:cstheme="minorHAnsi"/>
          <w:noProof/>
        </w:rPr>
      </w:pPr>
      <w:r>
        <w:rPr>
          <w:noProof/>
        </w:rPr>
        <w:t xml:space="preserve">Puses nodrošina, ka Eurojust un Apvienotās Karalistes kompetentās iestādes sadarbojas </w:t>
      </w:r>
      <w:r>
        <w:rPr>
          <w:i/>
          <w:noProof/>
        </w:rPr>
        <w:t>Eurojust</w:t>
      </w:r>
      <w:r>
        <w:rPr>
          <w:noProof/>
        </w:rPr>
        <w:t xml:space="preserve"> regulas 2. un 54. pantā un šajā sadaļā noteiktajās darbības jomās. </w:t>
      </w:r>
    </w:p>
    <w:p w:rsidR="003E022D" w:rsidRDefault="007D19D6">
      <w:pPr>
        <w:pStyle w:val="Article"/>
        <w:rPr>
          <w:noProof/>
        </w:rPr>
      </w:pPr>
      <w:bookmarkStart w:id="448" w:name="_Ref32426500"/>
      <w:bookmarkStart w:id="449" w:name="_Toc58920273"/>
      <w:r>
        <w:rPr>
          <w:noProof/>
        </w:rPr>
        <w:t>LAW.EUROJUST.65. pants</w:t>
      </w:r>
      <w:bookmarkEnd w:id="448"/>
      <w:r>
        <w:rPr>
          <w:noProof/>
        </w:rPr>
        <w:t xml:space="preserve">. </w:t>
      </w:r>
      <w:r>
        <w:rPr>
          <w:i/>
          <w:noProof/>
        </w:rPr>
        <w:t>Eurojust</w:t>
      </w:r>
      <w:r>
        <w:rPr>
          <w:noProof/>
        </w:rPr>
        <w:t xml:space="preserve"> kontaktpunkti</w:t>
      </w:r>
      <w:bookmarkEnd w:id="449"/>
    </w:p>
    <w:p w:rsidR="003E022D" w:rsidRDefault="007D19D6">
      <w:pPr>
        <w:numPr>
          <w:ilvl w:val="0"/>
          <w:numId w:val="40"/>
        </w:numPr>
        <w:ind w:left="0" w:firstLine="0"/>
        <w:rPr>
          <w:rFonts w:cstheme="minorHAnsi"/>
          <w:noProof/>
        </w:rPr>
      </w:pPr>
      <w:r>
        <w:rPr>
          <w:noProof/>
        </w:rPr>
        <w:t>Apvienotā Karaliste izveido vai ieceļ vismaz vienu Eurojust kontaktpunktu Apvienotās Karalistes kompetentajās iestādēs.</w:t>
      </w:r>
    </w:p>
    <w:p w:rsidR="003E022D" w:rsidRDefault="007D19D6">
      <w:pPr>
        <w:numPr>
          <w:ilvl w:val="0"/>
          <w:numId w:val="40"/>
        </w:numPr>
        <w:ind w:left="0" w:firstLine="0"/>
        <w:rPr>
          <w:rFonts w:cstheme="minorHAnsi"/>
          <w:strike/>
          <w:noProof/>
        </w:rPr>
      </w:pPr>
      <w:r>
        <w:rPr>
          <w:noProof/>
        </w:rPr>
        <w:t xml:space="preserve">Apvienotā Karaliste </w:t>
      </w:r>
      <w:r>
        <w:rPr>
          <w:noProof/>
        </w:rPr>
        <w:t>vienu no saviem kontaktpunktiem izraugās par Apvienotās Karalistes iekšzemes korespondentu terorisma jautājumos.</w:t>
      </w:r>
    </w:p>
    <w:p w:rsidR="003E022D" w:rsidRDefault="007D19D6">
      <w:pPr>
        <w:pStyle w:val="Article"/>
        <w:rPr>
          <w:noProof/>
        </w:rPr>
      </w:pPr>
      <w:bookmarkStart w:id="450" w:name="_ARTICLE_63"/>
      <w:bookmarkStart w:id="451" w:name="_Toc29896024"/>
      <w:bookmarkStart w:id="452" w:name="_Ref31043088"/>
      <w:bookmarkStart w:id="453" w:name="_Ref31058384"/>
      <w:bookmarkStart w:id="454" w:name="_Toc58920274"/>
      <w:bookmarkEnd w:id="450"/>
      <w:r>
        <w:rPr>
          <w:noProof/>
        </w:rPr>
        <w:t>LAW.EUROJUST.66. pants.</w:t>
      </w:r>
      <w:bookmarkEnd w:id="451"/>
      <w:bookmarkEnd w:id="452"/>
      <w:bookmarkEnd w:id="453"/>
      <w:r>
        <w:rPr>
          <w:noProof/>
        </w:rPr>
        <w:t xml:space="preserve"> </w:t>
      </w:r>
      <w:bookmarkStart w:id="455" w:name="_Toc29896025"/>
      <w:r>
        <w:rPr>
          <w:noProof/>
        </w:rPr>
        <w:t>Sadarbības prokurors</w:t>
      </w:r>
      <w:bookmarkEnd w:id="454"/>
      <w:r>
        <w:rPr>
          <w:noProof/>
        </w:rPr>
        <w:t xml:space="preserve"> </w:t>
      </w:r>
      <w:bookmarkEnd w:id="455"/>
    </w:p>
    <w:p w:rsidR="003E022D" w:rsidRDefault="007D19D6">
      <w:pPr>
        <w:numPr>
          <w:ilvl w:val="0"/>
          <w:numId w:val="41"/>
        </w:numPr>
        <w:ind w:left="0" w:firstLine="0"/>
        <w:rPr>
          <w:rFonts w:cstheme="minorHAnsi"/>
          <w:noProof/>
        </w:rPr>
      </w:pPr>
      <w:r>
        <w:rPr>
          <w:noProof/>
        </w:rPr>
        <w:t xml:space="preserve">Lai veicinātu ar šo sadaļu izveidoto sadarbību, Apvienotā Karaliste norīko uz </w:t>
      </w:r>
      <w:r>
        <w:rPr>
          <w:i/>
          <w:noProof/>
        </w:rPr>
        <w:t>Eurojust</w:t>
      </w:r>
      <w:r>
        <w:rPr>
          <w:noProof/>
        </w:rPr>
        <w:t xml:space="preserve"> sadarbības</w:t>
      </w:r>
      <w:r>
        <w:rPr>
          <w:noProof/>
        </w:rPr>
        <w:t xml:space="preserve"> prokuroru.</w:t>
      </w:r>
    </w:p>
    <w:p w:rsidR="003E022D" w:rsidRDefault="007D19D6">
      <w:pPr>
        <w:numPr>
          <w:ilvl w:val="0"/>
          <w:numId w:val="41"/>
        </w:numPr>
        <w:ind w:left="0" w:firstLine="0"/>
        <w:rPr>
          <w:rFonts w:cstheme="minorHAnsi"/>
          <w:noProof/>
        </w:rPr>
      </w:pPr>
      <w:r>
        <w:rPr>
          <w:noProof/>
        </w:rPr>
        <w:t>Norīkojuma pilnvaras un ilgumu nosaka Apvienotā Karaliste.</w:t>
      </w:r>
    </w:p>
    <w:p w:rsidR="003E022D" w:rsidRDefault="007D19D6">
      <w:pPr>
        <w:numPr>
          <w:ilvl w:val="0"/>
          <w:numId w:val="41"/>
        </w:numPr>
        <w:ind w:left="0" w:firstLine="0"/>
        <w:rPr>
          <w:rFonts w:cstheme="minorHAnsi"/>
          <w:noProof/>
        </w:rPr>
      </w:pPr>
      <w:r>
        <w:rPr>
          <w:noProof/>
        </w:rPr>
        <w:t xml:space="preserve">Sadarbības prokuroram, atkarīgā no sadarbības apjoma, var palīdzēt ne vairāk kā pieci palīgi. Ja nepieciešams, palīgs var aizstāt sadarbības prokuroru vai rīkoties sadarbības prokurora </w:t>
      </w:r>
      <w:r>
        <w:rPr>
          <w:noProof/>
        </w:rPr>
        <w:t xml:space="preserve">vārdā. </w:t>
      </w:r>
    </w:p>
    <w:p w:rsidR="003E022D" w:rsidRDefault="007D19D6">
      <w:pPr>
        <w:numPr>
          <w:ilvl w:val="0"/>
          <w:numId w:val="41"/>
        </w:numPr>
        <w:ind w:left="0" w:firstLine="0"/>
        <w:rPr>
          <w:rFonts w:cstheme="minorHAnsi"/>
          <w:noProof/>
        </w:rPr>
      </w:pPr>
      <w:r>
        <w:rPr>
          <w:noProof/>
        </w:rPr>
        <w:t xml:space="preserve">Apvienotā Karaliste informē </w:t>
      </w:r>
      <w:r>
        <w:rPr>
          <w:i/>
          <w:noProof/>
        </w:rPr>
        <w:t>Eurojust</w:t>
      </w:r>
      <w:r>
        <w:rPr>
          <w:noProof/>
        </w:rPr>
        <w:t xml:space="preserve"> par sadarbības prokurora un sadarbības prokurora palīgu pilnvaru tiesu varas jomā būtību un apjomu Apvienotajā Karalistē, lai veiktu savus uzdevumus saskaņā ar šo sadaļu. Apvienotā Karaliste nosaka sava sadarbīb</w:t>
      </w:r>
      <w:r>
        <w:rPr>
          <w:noProof/>
        </w:rPr>
        <w:t>as prokurora un sadarbības prokurora palīgu kompetenci rīkoties attiecībā uz ārvalstu tiesu iestādēm.</w:t>
      </w:r>
    </w:p>
    <w:p w:rsidR="003E022D" w:rsidRDefault="007D19D6">
      <w:pPr>
        <w:numPr>
          <w:ilvl w:val="0"/>
          <w:numId w:val="41"/>
        </w:numPr>
        <w:ind w:left="0" w:firstLine="0"/>
        <w:rPr>
          <w:rFonts w:cstheme="minorHAnsi"/>
          <w:noProof/>
        </w:rPr>
      </w:pPr>
      <w:r>
        <w:rPr>
          <w:noProof/>
        </w:rPr>
        <w:t xml:space="preserve">Sadarbības prokuroram un sadarbības prokurora palīgiem ir piekļuve informācijai valsts sodāmības reģistrā vai jebkurā citā Apvienotās Karalistes reģistrā </w:t>
      </w:r>
      <w:r>
        <w:rPr>
          <w:noProof/>
        </w:rPr>
        <w:t>– saskaņā ar iekšzemes tiesību aktiem tāpat kā līdzvērtīgas kompetences prokuroram vai personai.</w:t>
      </w:r>
    </w:p>
    <w:p w:rsidR="003E022D" w:rsidRDefault="007D19D6">
      <w:pPr>
        <w:numPr>
          <w:ilvl w:val="0"/>
          <w:numId w:val="41"/>
        </w:numPr>
        <w:ind w:left="0" w:firstLine="0"/>
        <w:rPr>
          <w:rFonts w:cstheme="minorHAnsi"/>
          <w:noProof/>
        </w:rPr>
      </w:pPr>
      <w:r>
        <w:rPr>
          <w:noProof/>
        </w:rPr>
        <w:t>Sadarbības prokuroram un sadarbības prokurora palīgiem ir pilnvaras tieši sazināties ar Apvienotās Karalistes kompetentajām iestādēm.</w:t>
      </w:r>
    </w:p>
    <w:p w:rsidR="003E022D" w:rsidRDefault="007D19D6">
      <w:pPr>
        <w:numPr>
          <w:ilvl w:val="0"/>
          <w:numId w:val="41"/>
        </w:numPr>
        <w:ind w:left="0" w:firstLine="0"/>
        <w:rPr>
          <w:rFonts w:cstheme="minorHAnsi"/>
          <w:noProof/>
        </w:rPr>
      </w:pPr>
      <w:r>
        <w:rPr>
          <w:noProof/>
        </w:rPr>
        <w:t>Panta 3. punktā minēto pa</w:t>
      </w:r>
      <w:r>
        <w:rPr>
          <w:noProof/>
        </w:rPr>
        <w:t xml:space="preserve">līgu skaitu, sadarbības prokurora un sadarbības prokurora palīgu uzdevumu aprakstu, viņu tiesības un pienākumus un saistītās izmaksas reglamentē sadarbības vienošanās, kas noslēgtas starp </w:t>
      </w:r>
      <w:r>
        <w:rPr>
          <w:i/>
          <w:noProof/>
        </w:rPr>
        <w:t>Eurojust</w:t>
      </w:r>
      <w:r>
        <w:rPr>
          <w:noProof/>
        </w:rPr>
        <w:t xml:space="preserve"> un Apvienotās Karalistes kompetentajām iestādēm un minētas </w:t>
      </w:r>
      <w:r>
        <w:rPr>
          <w:noProof/>
          <w:u w:color="000000"/>
        </w:rPr>
        <w:t>LAW.EUROJUST.75. pantā [Sadarbības vienošanās]</w:t>
      </w:r>
      <w:r>
        <w:rPr>
          <w:noProof/>
        </w:rPr>
        <w:t>.</w:t>
      </w:r>
    </w:p>
    <w:p w:rsidR="003E022D" w:rsidRDefault="007D19D6">
      <w:pPr>
        <w:numPr>
          <w:ilvl w:val="0"/>
          <w:numId w:val="41"/>
        </w:numPr>
        <w:ind w:left="0" w:firstLine="0"/>
        <w:rPr>
          <w:rFonts w:cstheme="minorHAnsi"/>
          <w:noProof/>
        </w:rPr>
      </w:pPr>
      <w:r>
        <w:rPr>
          <w:noProof/>
        </w:rPr>
        <w:t xml:space="preserve">Sadarbības prokurora un sadarbības prokurora palīgu darba dokumentus kā neaizskaramus glabā Eurojust. </w:t>
      </w:r>
    </w:p>
    <w:p w:rsidR="003E022D" w:rsidRDefault="007D19D6">
      <w:pPr>
        <w:pStyle w:val="Article"/>
        <w:rPr>
          <w:strike/>
          <w:noProof/>
        </w:rPr>
      </w:pPr>
      <w:bookmarkStart w:id="456" w:name="_Toc58920275"/>
      <w:r>
        <w:rPr>
          <w:noProof/>
        </w:rPr>
        <w:t>LAW.EUROJUST.67. pants. Tiesnesis koordinators</w:t>
      </w:r>
      <w:bookmarkEnd w:id="456"/>
    </w:p>
    <w:p w:rsidR="003E022D" w:rsidRDefault="007D19D6">
      <w:pPr>
        <w:numPr>
          <w:ilvl w:val="0"/>
          <w:numId w:val="42"/>
        </w:numPr>
        <w:ind w:left="0" w:firstLine="0"/>
        <w:rPr>
          <w:rFonts w:cstheme="minorHAnsi"/>
          <w:noProof/>
        </w:rPr>
      </w:pPr>
      <w:r>
        <w:rPr>
          <w:noProof/>
        </w:rPr>
        <w:t>Lai veicinātu tiesu iestāžu sadarbību ar Apvienoto Karalis</w:t>
      </w:r>
      <w:r>
        <w:rPr>
          <w:noProof/>
        </w:rPr>
        <w:t xml:space="preserve">ti lietās, kurās </w:t>
      </w:r>
      <w:r>
        <w:rPr>
          <w:i/>
          <w:noProof/>
        </w:rPr>
        <w:t>Eurojust</w:t>
      </w:r>
      <w:r>
        <w:rPr>
          <w:noProof/>
        </w:rPr>
        <w:t xml:space="preserve"> sniedz palīdzību, </w:t>
      </w:r>
      <w:r>
        <w:rPr>
          <w:i/>
          <w:noProof/>
        </w:rPr>
        <w:t>Eurojust</w:t>
      </w:r>
      <w:r>
        <w:rPr>
          <w:noProof/>
        </w:rPr>
        <w:t xml:space="preserve"> saskaņā ar </w:t>
      </w:r>
      <w:r>
        <w:rPr>
          <w:i/>
          <w:noProof/>
        </w:rPr>
        <w:t>Eurojust</w:t>
      </w:r>
      <w:r>
        <w:rPr>
          <w:noProof/>
        </w:rPr>
        <w:t xml:space="preserve"> regulas 53. pantu var norīkot uz Apvienoto Karalisti tiesnesi koordinatoru.</w:t>
      </w:r>
    </w:p>
    <w:p w:rsidR="003E022D" w:rsidRDefault="007D19D6">
      <w:pPr>
        <w:numPr>
          <w:ilvl w:val="0"/>
          <w:numId w:val="42"/>
        </w:numPr>
        <w:ind w:left="0" w:firstLine="0"/>
        <w:rPr>
          <w:rFonts w:cstheme="minorHAnsi"/>
          <w:strike/>
          <w:noProof/>
        </w:rPr>
      </w:pPr>
      <w:r>
        <w:rPr>
          <w:noProof/>
        </w:rPr>
        <w:t>Panta 1. punktā minētā tiesneša koordinatora uzdevumu aprakstu, tiesneša koordinatora tiesības un pienākumu</w:t>
      </w:r>
      <w:r>
        <w:rPr>
          <w:noProof/>
        </w:rPr>
        <w:t xml:space="preserve">s un saistītās izmaksas reglamentē sadarbības vienošanās, kas noslēgtas starp </w:t>
      </w:r>
      <w:r>
        <w:rPr>
          <w:i/>
          <w:noProof/>
        </w:rPr>
        <w:t>Eurojust</w:t>
      </w:r>
      <w:r>
        <w:rPr>
          <w:noProof/>
        </w:rPr>
        <w:t xml:space="preserve"> un Apvienotās Karalistes kompetentajām iestādēm un minētas </w:t>
      </w:r>
      <w:r>
        <w:rPr>
          <w:noProof/>
          <w:u w:color="000000"/>
        </w:rPr>
        <w:t>LAW.EUROJUST.75. pantā [Sadarbības vienošanās]</w:t>
      </w:r>
      <w:r>
        <w:rPr>
          <w:noProof/>
        </w:rPr>
        <w:t>.</w:t>
      </w:r>
    </w:p>
    <w:p w:rsidR="003E022D" w:rsidRDefault="007D19D6">
      <w:pPr>
        <w:pStyle w:val="Article"/>
        <w:rPr>
          <w:noProof/>
        </w:rPr>
      </w:pPr>
      <w:bookmarkStart w:id="457" w:name="_Toc29896030"/>
      <w:bookmarkStart w:id="458" w:name="_Toc58920276"/>
      <w:r>
        <w:rPr>
          <w:noProof/>
        </w:rPr>
        <w:t>LAW.EUROJUST.68. pants</w:t>
      </w:r>
      <w:bookmarkEnd w:id="457"/>
      <w:r>
        <w:rPr>
          <w:noProof/>
        </w:rPr>
        <w:t xml:space="preserve">. </w:t>
      </w:r>
      <w:bookmarkStart w:id="459" w:name="_Toc29896031"/>
      <w:r>
        <w:rPr>
          <w:noProof/>
        </w:rPr>
        <w:t>Operatīvās un stratēģiskās sanāksmes</w:t>
      </w:r>
      <w:bookmarkEnd w:id="458"/>
      <w:bookmarkEnd w:id="459"/>
    </w:p>
    <w:p w:rsidR="003E022D" w:rsidRDefault="007D19D6">
      <w:pPr>
        <w:numPr>
          <w:ilvl w:val="0"/>
          <w:numId w:val="43"/>
        </w:numPr>
        <w:ind w:left="0" w:firstLine="0"/>
        <w:rPr>
          <w:rFonts w:cstheme="minorHAnsi"/>
          <w:noProof/>
        </w:rPr>
      </w:pPr>
      <w:r>
        <w:rPr>
          <w:noProof/>
        </w:rPr>
        <w:t>S</w:t>
      </w:r>
      <w:r>
        <w:rPr>
          <w:noProof/>
        </w:rPr>
        <w:t xml:space="preserve">adarbības prokurors, sadarbības prokurora palīgi un citu Apvienotās Karalistes kompetento iestāžu, tai skaitā </w:t>
      </w:r>
      <w:r>
        <w:rPr>
          <w:i/>
          <w:noProof/>
        </w:rPr>
        <w:t>Eurojust</w:t>
      </w:r>
      <w:r>
        <w:rPr>
          <w:noProof/>
        </w:rPr>
        <w:t xml:space="preserve"> kontaktpunkta, pārstāvji pēc </w:t>
      </w:r>
      <w:r>
        <w:rPr>
          <w:i/>
          <w:noProof/>
        </w:rPr>
        <w:t>Eurojust</w:t>
      </w:r>
      <w:r>
        <w:rPr>
          <w:noProof/>
        </w:rPr>
        <w:t xml:space="preserve"> priekšsēdētāja uzaicinājuma var piedalīties sanāksmēs par stratēģiskiem jautājumiem un sanāksmēs pa</w:t>
      </w:r>
      <w:r>
        <w:rPr>
          <w:noProof/>
        </w:rPr>
        <w:t>r operatīvajiem jautājumiem – ar attiecīgo valsts pārstāvju piekrišanu.</w:t>
      </w:r>
    </w:p>
    <w:p w:rsidR="003E022D" w:rsidRDefault="007D19D6">
      <w:pPr>
        <w:numPr>
          <w:ilvl w:val="0"/>
          <w:numId w:val="43"/>
        </w:numPr>
        <w:ind w:left="0" w:firstLine="0"/>
        <w:rPr>
          <w:rFonts w:cstheme="minorHAnsi"/>
          <w:noProof/>
        </w:rPr>
      </w:pPr>
      <w:r>
        <w:rPr>
          <w:noProof/>
        </w:rPr>
        <w:t>Valsts pārstāvji, viņu vietnieki un palīgi, Eurojust administratīvais direktors un</w:t>
      </w:r>
      <w:r>
        <w:rPr>
          <w:i/>
          <w:noProof/>
        </w:rPr>
        <w:t xml:space="preserve"> Eurojust</w:t>
      </w:r>
      <w:r>
        <w:rPr>
          <w:noProof/>
        </w:rPr>
        <w:t xml:space="preserve"> darbinieki var piedalīties sanāksmēs, ko organizē sadarbības prokurors vai sadarbības prokur</w:t>
      </w:r>
      <w:r>
        <w:rPr>
          <w:noProof/>
        </w:rPr>
        <w:t xml:space="preserve">ora palīgi vai citas Apvienotās Karalistes kompetentās iestādes, tai skaitā </w:t>
      </w:r>
      <w:r>
        <w:rPr>
          <w:i/>
          <w:noProof/>
        </w:rPr>
        <w:t>Eurojust</w:t>
      </w:r>
      <w:r>
        <w:rPr>
          <w:noProof/>
        </w:rPr>
        <w:t xml:space="preserve"> kontaktpunkts.</w:t>
      </w:r>
    </w:p>
    <w:p w:rsidR="003E022D" w:rsidRDefault="007D19D6">
      <w:pPr>
        <w:pStyle w:val="Article"/>
        <w:rPr>
          <w:noProof/>
        </w:rPr>
      </w:pPr>
      <w:bookmarkStart w:id="460" w:name="_Toc29896032"/>
      <w:bookmarkStart w:id="461" w:name="_Toc58920277"/>
      <w:r>
        <w:rPr>
          <w:noProof/>
        </w:rPr>
        <w:t>LAW.EUROJUST.69. pants</w:t>
      </w:r>
      <w:bookmarkEnd w:id="460"/>
      <w:r>
        <w:rPr>
          <w:noProof/>
        </w:rPr>
        <w:t xml:space="preserve">. Nepersondatu </w:t>
      </w:r>
      <w:bookmarkStart w:id="462" w:name="_Toc29896033"/>
      <w:r>
        <w:rPr>
          <w:noProof/>
        </w:rPr>
        <w:t>apmaiņa</w:t>
      </w:r>
      <w:bookmarkEnd w:id="461"/>
      <w:bookmarkEnd w:id="462"/>
      <w:r>
        <w:rPr>
          <w:noProof/>
        </w:rPr>
        <w:t xml:space="preserve"> </w:t>
      </w:r>
    </w:p>
    <w:p w:rsidR="003E022D" w:rsidRDefault="007D19D6">
      <w:pPr>
        <w:rPr>
          <w:rFonts w:cstheme="minorHAnsi"/>
          <w:bCs/>
          <w:noProof/>
        </w:rPr>
      </w:pPr>
      <w:r>
        <w:rPr>
          <w:i/>
          <w:noProof/>
        </w:rPr>
        <w:t>Eurojust</w:t>
      </w:r>
      <w:r>
        <w:rPr>
          <w:noProof/>
        </w:rPr>
        <w:t xml:space="preserve"> un Apvienotās Karalistes kompetentās iestādes var apmainīties ar visiem nepersondatiem, ciktāl minēti</w:t>
      </w:r>
      <w:r>
        <w:rPr>
          <w:noProof/>
        </w:rPr>
        <w:t xml:space="preserve">e dati ir vajadzīgi sadarbībai atbilstoši šai sadaļai, un ievērojot jebkādus ierobežojumus atbilstīgi LAW.EUROJUST.74. pantam [Apmaiņa ar klasificētu un sensitīvu neklasificētu informāciju]. </w:t>
      </w:r>
    </w:p>
    <w:p w:rsidR="003E022D" w:rsidRDefault="007D19D6">
      <w:pPr>
        <w:pStyle w:val="Article"/>
        <w:rPr>
          <w:noProof/>
        </w:rPr>
      </w:pPr>
      <w:bookmarkStart w:id="463" w:name="_Article_9"/>
      <w:bookmarkStart w:id="464" w:name="_ARTICLE_68"/>
      <w:bookmarkStart w:id="465" w:name="_Toc29896034"/>
      <w:bookmarkStart w:id="466" w:name="_Ref32427956"/>
      <w:bookmarkStart w:id="467" w:name="_Toc58920278"/>
      <w:bookmarkEnd w:id="463"/>
      <w:bookmarkEnd w:id="464"/>
      <w:r>
        <w:rPr>
          <w:noProof/>
        </w:rPr>
        <w:t>LAW.EUROJUST.70. pants.</w:t>
      </w:r>
      <w:bookmarkEnd w:id="465"/>
      <w:bookmarkEnd w:id="466"/>
      <w:r>
        <w:rPr>
          <w:noProof/>
        </w:rPr>
        <w:t xml:space="preserve"> </w:t>
      </w:r>
      <w:bookmarkStart w:id="468" w:name="_Toc29896035"/>
      <w:r>
        <w:rPr>
          <w:noProof/>
        </w:rPr>
        <w:t>Personas datu apmaiņa</w:t>
      </w:r>
      <w:bookmarkEnd w:id="467"/>
      <w:bookmarkEnd w:id="468"/>
    </w:p>
    <w:p w:rsidR="003E022D" w:rsidRDefault="007D19D6">
      <w:pPr>
        <w:numPr>
          <w:ilvl w:val="0"/>
          <w:numId w:val="37"/>
        </w:numPr>
        <w:tabs>
          <w:tab w:val="clear" w:pos="720"/>
        </w:tabs>
        <w:ind w:left="0" w:firstLine="0"/>
        <w:rPr>
          <w:rFonts w:cstheme="minorHAnsi"/>
          <w:noProof/>
        </w:rPr>
      </w:pPr>
      <w:r>
        <w:rPr>
          <w:noProof/>
        </w:rPr>
        <w:t>Personas datus, ko</w:t>
      </w:r>
      <w:r>
        <w:rPr>
          <w:noProof/>
        </w:rPr>
        <w:t xml:space="preserve"> kompetentās iestādes pieprasa un saņem saskaņā ar šo sadaļu, tās apstrādā vienīgi mērķiem, kuri noteikti LAW.EUROJUST.61. </w:t>
      </w:r>
      <w:hyperlink w:anchor="_ARTICLE_3" w:history="1">
        <w:r>
          <w:rPr>
            <w:rStyle w:val="Bodytext20"/>
            <w:noProof/>
          </w:rPr>
          <w:t>pantā</w:t>
        </w:r>
      </w:hyperlink>
      <w:r>
        <w:rPr>
          <w:noProof/>
        </w:rPr>
        <w:t xml:space="preserve"> </w:t>
      </w:r>
      <w:r>
        <w:rPr>
          <w:rStyle w:val="Bodytext20"/>
          <w:noProof/>
        </w:rPr>
        <w:t>[Mērķis], šā panta 2. punktā minētajos konkrētajos nolūkos un ievērojot šā panta 3. punktā minēto</w:t>
      </w:r>
      <w:r>
        <w:rPr>
          <w:rStyle w:val="Bodytext20"/>
          <w:noProof/>
        </w:rPr>
        <w:t>s ierobežojumus attiecībā uz piekļuvi vai turpmāku izmantošanu</w:t>
      </w:r>
      <w:r>
        <w:rPr>
          <w:noProof/>
        </w:rPr>
        <w:t>.</w:t>
      </w:r>
    </w:p>
    <w:p w:rsidR="003E022D" w:rsidRDefault="007D19D6">
      <w:pPr>
        <w:numPr>
          <w:ilvl w:val="0"/>
          <w:numId w:val="37"/>
        </w:numPr>
        <w:tabs>
          <w:tab w:val="clear" w:pos="720"/>
        </w:tabs>
        <w:ind w:left="0" w:firstLine="0"/>
        <w:rPr>
          <w:rFonts w:cstheme="minorHAnsi"/>
          <w:noProof/>
        </w:rPr>
      </w:pPr>
      <w:r>
        <w:rPr>
          <w:noProof/>
        </w:rPr>
        <w:t>Datu pārsūtītāja kompetentā iestāde vēlākais personas datu pārsūtīšanas brīdī skaidri norāda konkrēto nolūku vai nolūkus, kuriem dati tiek pārsūtīti.</w:t>
      </w:r>
    </w:p>
    <w:p w:rsidR="003E022D" w:rsidRDefault="007D19D6">
      <w:pPr>
        <w:numPr>
          <w:ilvl w:val="0"/>
          <w:numId w:val="37"/>
        </w:numPr>
        <w:tabs>
          <w:tab w:val="clear" w:pos="720"/>
        </w:tabs>
        <w:ind w:left="0" w:firstLine="0"/>
        <w:rPr>
          <w:rFonts w:cstheme="minorHAnsi"/>
          <w:noProof/>
        </w:rPr>
      </w:pPr>
      <w:r>
        <w:rPr>
          <w:noProof/>
        </w:rPr>
        <w:t>Datu pārsūtītāja kompetentā iestāde person</w:t>
      </w:r>
      <w:r>
        <w:rPr>
          <w:noProof/>
        </w:rPr>
        <w:t>as datu pārsūtīšanas brīdī var vispārīgi vai konkrēti norādīt jebkādus ierobežojumus attiecībā uz piekļuvi tiem vai to izmantošanu, tai skaitā attiecībā uz to tālāku pārsūtīšanu, dzēšanu vai iznīcināšanu pēc noteikta laika vai to turpmāku apstrādi. Ja vaja</w:t>
      </w:r>
      <w:r>
        <w:rPr>
          <w:noProof/>
        </w:rPr>
        <w:t>dzība pēc šādiem ierobežojumiem kļūst acīmredzama pēc personas datu sniegšanas, tad datu pārsūtītāja iestāde attiecīgi informē datu saņēmēju iestādi.</w:t>
      </w:r>
    </w:p>
    <w:p w:rsidR="003E022D" w:rsidRDefault="007D19D6">
      <w:pPr>
        <w:numPr>
          <w:ilvl w:val="0"/>
          <w:numId w:val="37"/>
        </w:numPr>
        <w:tabs>
          <w:tab w:val="clear" w:pos="720"/>
        </w:tabs>
        <w:ind w:left="0" w:firstLine="0"/>
        <w:rPr>
          <w:rFonts w:cstheme="minorHAnsi"/>
          <w:noProof/>
        </w:rPr>
      </w:pPr>
      <w:r>
        <w:rPr>
          <w:noProof/>
        </w:rPr>
        <w:t>Datu saņēmēja kompetentā iestāde ievēro visus ierobežojumus attiecībā uz piekļuvi personas datiem vai to t</w:t>
      </w:r>
      <w:r>
        <w:rPr>
          <w:noProof/>
        </w:rPr>
        <w:t xml:space="preserve">urpmāku izmantošanu, ko norādījusi datu pārsūtītāja kompetentā iestāde, kā noteikts 3. punktā. </w:t>
      </w:r>
    </w:p>
    <w:p w:rsidR="003E022D" w:rsidRDefault="007D19D6">
      <w:pPr>
        <w:pStyle w:val="Article"/>
        <w:rPr>
          <w:noProof/>
        </w:rPr>
      </w:pPr>
      <w:bookmarkStart w:id="469" w:name="_Toc29896036"/>
      <w:bookmarkStart w:id="470" w:name="_Toc58920279"/>
      <w:r>
        <w:rPr>
          <w:noProof/>
        </w:rPr>
        <w:t>LAW.EUROJUST.71. pants</w:t>
      </w:r>
      <w:bookmarkEnd w:id="469"/>
      <w:r>
        <w:rPr>
          <w:noProof/>
        </w:rPr>
        <w:t xml:space="preserve">. </w:t>
      </w:r>
      <w:bookmarkStart w:id="471" w:name="_Toc29896037"/>
      <w:r>
        <w:rPr>
          <w:noProof/>
        </w:rPr>
        <w:t>Pārsūtīšanas kanāli</w:t>
      </w:r>
      <w:bookmarkEnd w:id="470"/>
      <w:bookmarkEnd w:id="471"/>
    </w:p>
    <w:p w:rsidR="003E022D" w:rsidRDefault="007D19D6">
      <w:pPr>
        <w:numPr>
          <w:ilvl w:val="0"/>
          <w:numId w:val="44"/>
        </w:numPr>
        <w:ind w:left="0" w:firstLine="0"/>
        <w:rPr>
          <w:rFonts w:cstheme="minorHAnsi"/>
          <w:noProof/>
        </w:rPr>
      </w:pPr>
      <w:r>
        <w:rPr>
          <w:noProof/>
        </w:rPr>
        <w:t>Informācijas apmaiņa notiek:</w:t>
      </w:r>
    </w:p>
    <w:p w:rsidR="003E022D" w:rsidRDefault="007D19D6">
      <w:pPr>
        <w:numPr>
          <w:ilvl w:val="0"/>
          <w:numId w:val="145"/>
        </w:numPr>
        <w:ind w:left="567" w:hanging="567"/>
        <w:rPr>
          <w:rFonts w:cstheme="minorHAnsi"/>
          <w:noProof/>
        </w:rPr>
      </w:pPr>
      <w:r>
        <w:rPr>
          <w:noProof/>
        </w:rPr>
        <w:t>starp sadarbības prokuroru vai sadarbības prokurora palīgiem vai, ja tāds nav iecelts v</w:t>
      </w:r>
      <w:r>
        <w:rPr>
          <w:noProof/>
        </w:rPr>
        <w:t xml:space="preserve">ai citādi pieejams – Apvienotās Karalistes kontaktpunktu </w:t>
      </w:r>
      <w:r>
        <w:rPr>
          <w:i/>
          <w:noProof/>
        </w:rPr>
        <w:t>Eurojust</w:t>
      </w:r>
      <w:r>
        <w:rPr>
          <w:noProof/>
        </w:rPr>
        <w:t xml:space="preserve"> un attiecīgajiem valsts pārstāvjiem vai Kolēģiju; </w:t>
      </w:r>
    </w:p>
    <w:p w:rsidR="003E022D" w:rsidRDefault="007D19D6">
      <w:pPr>
        <w:numPr>
          <w:ilvl w:val="0"/>
          <w:numId w:val="145"/>
        </w:numPr>
        <w:ind w:left="567" w:hanging="567"/>
        <w:rPr>
          <w:rFonts w:cstheme="minorHAnsi"/>
          <w:noProof/>
        </w:rPr>
      </w:pPr>
      <w:r>
        <w:rPr>
          <w:noProof/>
        </w:rPr>
        <w:t xml:space="preserve">ja </w:t>
      </w:r>
      <w:r>
        <w:rPr>
          <w:i/>
          <w:noProof/>
        </w:rPr>
        <w:t>Eurojust</w:t>
      </w:r>
      <w:r>
        <w:rPr>
          <w:noProof/>
        </w:rPr>
        <w:t xml:space="preserve"> uz Apvienoto Karalisti ir norīkojis tiesnesi koordinatoru – starp tiesnesi koordinatoru un jebkuru Apvienotās Karalistes kompetento iestādi; šajā gadījumā sadarbības prokuroru informē par ikvienu šādu informācijas apmaiņu; vai</w:t>
      </w:r>
    </w:p>
    <w:p w:rsidR="003E022D" w:rsidRDefault="007D19D6">
      <w:pPr>
        <w:numPr>
          <w:ilvl w:val="0"/>
          <w:numId w:val="145"/>
        </w:numPr>
        <w:ind w:left="567" w:hanging="567"/>
        <w:rPr>
          <w:rFonts w:cstheme="minorHAnsi"/>
          <w:noProof/>
        </w:rPr>
      </w:pPr>
      <w:r>
        <w:rPr>
          <w:noProof/>
        </w:rPr>
        <w:t>tieši starp Apvienotās Karal</w:t>
      </w:r>
      <w:r>
        <w:rPr>
          <w:noProof/>
        </w:rPr>
        <w:t>istes kompetento iestādi un attiecīgajiem valsts locekļiem vai Kolēģiju; šajā gadījumā sadarbības prokuroru un attiecīgā gadījumā tiesnesi koordinatoru informē par ikvienu šādu informācijas apmaiņu.</w:t>
      </w:r>
    </w:p>
    <w:p w:rsidR="003E022D" w:rsidRDefault="007D19D6">
      <w:pPr>
        <w:numPr>
          <w:ilvl w:val="0"/>
          <w:numId w:val="44"/>
        </w:numPr>
        <w:ind w:left="0" w:firstLine="0"/>
        <w:rPr>
          <w:rFonts w:cstheme="minorHAnsi"/>
          <w:noProof/>
        </w:rPr>
      </w:pPr>
      <w:r>
        <w:rPr>
          <w:i/>
          <w:noProof/>
        </w:rPr>
        <w:t>Eurojust</w:t>
      </w:r>
      <w:r>
        <w:rPr>
          <w:noProof/>
        </w:rPr>
        <w:t xml:space="preserve"> un Apvienotās Karalistes kompetentās iestādes va</w:t>
      </w:r>
      <w:r>
        <w:rPr>
          <w:noProof/>
        </w:rPr>
        <w:t>r vienoties konkrētos gadījumos izmantot informācijas apmaiņai citus kanālus.</w:t>
      </w:r>
    </w:p>
    <w:p w:rsidR="003E022D" w:rsidRDefault="007D19D6">
      <w:pPr>
        <w:numPr>
          <w:ilvl w:val="0"/>
          <w:numId w:val="44"/>
        </w:numPr>
        <w:ind w:left="0" w:firstLine="0"/>
        <w:rPr>
          <w:rFonts w:cstheme="minorHAnsi"/>
          <w:noProof/>
        </w:rPr>
      </w:pPr>
      <w:r>
        <w:rPr>
          <w:i/>
          <w:noProof/>
        </w:rPr>
        <w:t>Eurojust</w:t>
      </w:r>
      <w:r>
        <w:rPr>
          <w:noProof/>
        </w:rPr>
        <w:t xml:space="preserve"> un Apvienotās Karalistes kompetentās iestādes nodrošina, ka to attiecīgie pārstāvji ir pilnvaroti apmainīties ar informāciju attiecīgā līmenī saskaņā ar attiecīgi Apvien</w:t>
      </w:r>
      <w:r>
        <w:rPr>
          <w:noProof/>
        </w:rPr>
        <w:t xml:space="preserve">otās Karalistes tiesībām un </w:t>
      </w:r>
      <w:r>
        <w:rPr>
          <w:i/>
          <w:noProof/>
        </w:rPr>
        <w:t>Eurojust</w:t>
      </w:r>
      <w:r>
        <w:rPr>
          <w:noProof/>
        </w:rPr>
        <w:t xml:space="preserve"> regulu un ka to pārstāvji ir atbilstoši pārbaudīti. </w:t>
      </w:r>
    </w:p>
    <w:p w:rsidR="003E022D" w:rsidRDefault="007D19D6">
      <w:pPr>
        <w:pStyle w:val="Article"/>
        <w:rPr>
          <w:strike/>
          <w:noProof/>
        </w:rPr>
      </w:pPr>
      <w:bookmarkStart w:id="472" w:name="_Article_15"/>
      <w:bookmarkStart w:id="473" w:name="_ARTICLE_74"/>
      <w:bookmarkStart w:id="474" w:name="_Toc58920280"/>
      <w:bookmarkStart w:id="475" w:name="_Toc29896064"/>
      <w:bookmarkEnd w:id="472"/>
      <w:bookmarkEnd w:id="473"/>
      <w:r>
        <w:rPr>
          <w:noProof/>
        </w:rPr>
        <w:t>LAW.EUROJUST.72. pants. Tālākpārsūtīšana</w:t>
      </w:r>
      <w:bookmarkEnd w:id="474"/>
    </w:p>
    <w:p w:rsidR="003E022D" w:rsidRDefault="007D19D6">
      <w:pPr>
        <w:rPr>
          <w:rFonts w:cstheme="minorHAnsi"/>
          <w:noProof/>
        </w:rPr>
      </w:pPr>
      <w:r>
        <w:rPr>
          <w:noProof/>
        </w:rPr>
        <w:t xml:space="preserve">Apvienotās Karalistes kompetentās iestādes un </w:t>
      </w:r>
      <w:r>
        <w:rPr>
          <w:i/>
          <w:noProof/>
        </w:rPr>
        <w:t>Eurojust</w:t>
      </w:r>
      <w:r>
        <w:rPr>
          <w:noProof/>
        </w:rPr>
        <w:t xml:space="preserve"> nesniedz nekādu otras iestādes sniegtu informāciju nevienai trešai val</w:t>
      </w:r>
      <w:r>
        <w:rPr>
          <w:noProof/>
        </w:rPr>
        <w:t xml:space="preserve">stij vai starptautiskai organizācijai bez attiecīgās informāciju sniegušās Apvienotās Karalistes kompetentās iestādes vai </w:t>
      </w:r>
      <w:r>
        <w:rPr>
          <w:i/>
          <w:noProof/>
        </w:rPr>
        <w:t>Eurojust</w:t>
      </w:r>
      <w:r>
        <w:rPr>
          <w:noProof/>
        </w:rPr>
        <w:t xml:space="preserve"> piekrišanas un bez atbilstošiem aizsardzības līdzekļiem datu aizsardzībai.</w:t>
      </w:r>
    </w:p>
    <w:p w:rsidR="003E022D" w:rsidRDefault="007D19D6">
      <w:pPr>
        <w:pStyle w:val="Article"/>
        <w:rPr>
          <w:noProof/>
        </w:rPr>
      </w:pPr>
      <w:bookmarkStart w:id="476" w:name="_Toc58920281"/>
      <w:r>
        <w:rPr>
          <w:noProof/>
        </w:rPr>
        <w:t>LAW.EUROJUST.</w:t>
      </w:r>
      <w:bookmarkEnd w:id="475"/>
      <w:r>
        <w:rPr>
          <w:noProof/>
        </w:rPr>
        <w:t xml:space="preserve">73. pants. </w:t>
      </w:r>
      <w:bookmarkStart w:id="477" w:name="_Toc29896065"/>
      <w:r>
        <w:rPr>
          <w:noProof/>
        </w:rPr>
        <w:t>Atbildība par neatļautu va</w:t>
      </w:r>
      <w:r>
        <w:rPr>
          <w:noProof/>
        </w:rPr>
        <w:t>i nepareizu datu apstrādi</w:t>
      </w:r>
      <w:bookmarkEnd w:id="476"/>
      <w:bookmarkEnd w:id="477"/>
    </w:p>
    <w:p w:rsidR="003E022D" w:rsidRDefault="007D19D6">
      <w:pPr>
        <w:numPr>
          <w:ilvl w:val="0"/>
          <w:numId w:val="36"/>
        </w:numPr>
        <w:ind w:left="0" w:firstLine="0"/>
        <w:rPr>
          <w:rFonts w:cstheme="minorHAnsi"/>
          <w:noProof/>
        </w:rPr>
      </w:pPr>
      <w:r>
        <w:rPr>
          <w:noProof/>
        </w:rPr>
        <w:t xml:space="preserve">Kompetentās iestādes saskaņā ar attiecīgo tām saistošo tiesisko regulējumu ir atbildīgas par jebkuriem zaudējumiem, kas fiziskai personai nodarīti juridisku vai faktisku kļūdu dēļ informācijā, ar kuru notikusi apmaiņa. Ne </w:t>
      </w:r>
      <w:r>
        <w:rPr>
          <w:i/>
          <w:noProof/>
        </w:rPr>
        <w:t>Eurojust</w:t>
      </w:r>
      <w:r>
        <w:rPr>
          <w:noProof/>
        </w:rPr>
        <w:t xml:space="preserve">, ne Apvienotās Karalistes kompetentās iestādes, lai izvairītos no atbildības pret cietušo personu saskaņā ar attiecīgo tām saistošo tiesisko regulējumu, nevar atsaukties uz to, ka attiecīgā cita kompetentā iestāde ir pārsūtījusi nepareizu informāciju. </w:t>
      </w:r>
    </w:p>
    <w:p w:rsidR="003E022D" w:rsidRDefault="007D19D6">
      <w:pPr>
        <w:numPr>
          <w:ilvl w:val="0"/>
          <w:numId w:val="36"/>
        </w:numPr>
        <w:ind w:left="0" w:firstLine="0"/>
        <w:rPr>
          <w:rFonts w:cstheme="minorHAnsi"/>
          <w:noProof/>
          <w:color w:val="0070C0"/>
        </w:rPr>
      </w:pPr>
      <w:r>
        <w:rPr>
          <w:noProof/>
        </w:rPr>
        <w:t>Ja</w:t>
      </w:r>
      <w:r>
        <w:rPr>
          <w:noProof/>
        </w:rPr>
        <w:t xml:space="preserve"> kādai no kompetentajām iestādēm ir piespriests maksāt kompensācija par to, ka tā izmantojusi otras Puses kļūdaini paziņoju informāciju vai informāciju, kas paziņota otras Puses saistību nepildīšanas rezultātā, kompensācijas summu, kuru saskaņā ar 1. punkt</w:t>
      </w:r>
      <w:r>
        <w:rPr>
          <w:noProof/>
        </w:rPr>
        <w:t>u izmaksājusi minētā kompetentā iestāde, otra Puse atmaksā, izņemot gadījumus, kad informācija tikusi izmantota, pārkāpjot šīs sadaļas noteikumus.</w:t>
      </w:r>
    </w:p>
    <w:p w:rsidR="003E022D" w:rsidRDefault="007D19D6">
      <w:pPr>
        <w:numPr>
          <w:ilvl w:val="0"/>
          <w:numId w:val="36"/>
        </w:numPr>
        <w:ind w:left="0" w:firstLine="0"/>
        <w:rPr>
          <w:rFonts w:cstheme="minorHAnsi"/>
          <w:noProof/>
        </w:rPr>
      </w:pPr>
      <w:r>
        <w:rPr>
          <w:i/>
          <w:noProof/>
        </w:rPr>
        <w:t>Eurojust</w:t>
      </w:r>
      <w:r>
        <w:rPr>
          <w:noProof/>
        </w:rPr>
        <w:t xml:space="preserve"> un Apvienotās Karalistes kompetentās iestādes cita citai nepieprasa atlīdzināt zaudējumus, kuri ir r</w:t>
      </w:r>
      <w:r>
        <w:rPr>
          <w:noProof/>
        </w:rPr>
        <w:t xml:space="preserve">adušies kā sods vai kuri nav faktiskā kaitējuma kompensācija saskaņā ar 1. un 2. punktu. </w:t>
      </w:r>
    </w:p>
    <w:p w:rsidR="003E022D" w:rsidRDefault="007D19D6">
      <w:pPr>
        <w:pStyle w:val="Article"/>
        <w:rPr>
          <w:noProof/>
        </w:rPr>
      </w:pPr>
      <w:bookmarkStart w:id="478" w:name="_ARTICLE_82"/>
      <w:bookmarkStart w:id="479" w:name="_Toc29896062"/>
      <w:bookmarkStart w:id="480" w:name="_Ref31042965"/>
      <w:bookmarkStart w:id="481" w:name="_Ref31058269"/>
      <w:bookmarkStart w:id="482" w:name="_Toc58920282"/>
      <w:bookmarkStart w:id="483" w:name="_Hlk54872092"/>
      <w:bookmarkEnd w:id="478"/>
      <w:r>
        <w:rPr>
          <w:noProof/>
        </w:rPr>
        <w:t>LAW.EUROJUST.</w:t>
      </w:r>
      <w:bookmarkEnd w:id="479"/>
      <w:bookmarkEnd w:id="480"/>
      <w:bookmarkEnd w:id="481"/>
      <w:r>
        <w:rPr>
          <w:noProof/>
        </w:rPr>
        <w:t xml:space="preserve">74. pants. </w:t>
      </w:r>
      <w:bookmarkStart w:id="484" w:name="_Toc29896006"/>
      <w:bookmarkStart w:id="485" w:name="_Toc29896063"/>
      <w:r>
        <w:rPr>
          <w:noProof/>
        </w:rPr>
        <w:t>Apmaiņa ar</w:t>
      </w:r>
      <w:bookmarkEnd w:id="484"/>
      <w:r>
        <w:rPr>
          <w:noProof/>
        </w:rPr>
        <w:t xml:space="preserve"> klasificētu un sensitīvu neklasificētu informāciju</w:t>
      </w:r>
      <w:bookmarkEnd w:id="482"/>
      <w:r>
        <w:rPr>
          <w:noProof/>
        </w:rPr>
        <w:t xml:space="preserve"> </w:t>
      </w:r>
      <w:bookmarkEnd w:id="485"/>
    </w:p>
    <w:p w:rsidR="003E022D" w:rsidRDefault="007D19D6">
      <w:pPr>
        <w:rPr>
          <w:rFonts w:cstheme="minorHAnsi"/>
          <w:noProof/>
        </w:rPr>
      </w:pPr>
      <w:r>
        <w:rPr>
          <w:noProof/>
        </w:rPr>
        <w:t>Apmaiņu ar klasificētu un sensitīvu neklasificētu informāciju un tās aizsardzīb</w:t>
      </w:r>
      <w:r>
        <w:rPr>
          <w:noProof/>
        </w:rPr>
        <w:t xml:space="preserve">u, ja tas nepieciešams saskaņā ar šo sadaļu, reglamentē sadarbības vienošanās, kas minēta </w:t>
      </w:r>
      <w:r>
        <w:rPr>
          <w:noProof/>
          <w:u w:color="000000"/>
        </w:rPr>
        <w:t>LAW.EUROJUST.75. pantā [Sadarbības vienošanās]</w:t>
      </w:r>
      <w:r>
        <w:rPr>
          <w:noProof/>
        </w:rPr>
        <w:t xml:space="preserve"> un noslēgta starp </w:t>
      </w:r>
      <w:r>
        <w:rPr>
          <w:i/>
          <w:noProof/>
        </w:rPr>
        <w:t>Eurojust</w:t>
      </w:r>
      <w:r>
        <w:rPr>
          <w:noProof/>
        </w:rPr>
        <w:t xml:space="preserve"> un Apvienotās Karalistes kompetentajām iestādēm.</w:t>
      </w:r>
      <w:bookmarkEnd w:id="483"/>
    </w:p>
    <w:p w:rsidR="003E022D" w:rsidRDefault="007D19D6">
      <w:pPr>
        <w:pStyle w:val="Article"/>
        <w:rPr>
          <w:noProof/>
        </w:rPr>
      </w:pPr>
      <w:bookmarkStart w:id="486" w:name="_ARTICLE_85"/>
      <w:bookmarkStart w:id="487" w:name="_Toc29896066"/>
      <w:bookmarkStart w:id="488" w:name="_Ref31042895"/>
      <w:bookmarkStart w:id="489" w:name="_Ref31058146"/>
      <w:bookmarkStart w:id="490" w:name="_Ref31058192"/>
      <w:bookmarkStart w:id="491" w:name="_Toc58920283"/>
      <w:bookmarkEnd w:id="486"/>
      <w:r>
        <w:rPr>
          <w:noProof/>
        </w:rPr>
        <w:t>LAW.EUROJUST.</w:t>
      </w:r>
      <w:bookmarkEnd w:id="487"/>
      <w:bookmarkEnd w:id="488"/>
      <w:bookmarkEnd w:id="489"/>
      <w:bookmarkEnd w:id="490"/>
      <w:r>
        <w:rPr>
          <w:noProof/>
        </w:rPr>
        <w:t xml:space="preserve">75. pants. </w:t>
      </w:r>
      <w:bookmarkStart w:id="492" w:name="_Toc29896067"/>
      <w:r>
        <w:rPr>
          <w:noProof/>
        </w:rPr>
        <w:t>Sadarbības vienošan</w:t>
      </w:r>
      <w:r>
        <w:rPr>
          <w:noProof/>
        </w:rPr>
        <w:t>ās</w:t>
      </w:r>
      <w:bookmarkEnd w:id="491"/>
      <w:bookmarkEnd w:id="492"/>
    </w:p>
    <w:p w:rsidR="003E022D" w:rsidRDefault="007D19D6">
      <w:pPr>
        <w:rPr>
          <w:rFonts w:cstheme="minorHAnsi"/>
          <w:noProof/>
        </w:rPr>
      </w:pPr>
      <w:r>
        <w:rPr>
          <w:noProof/>
        </w:rPr>
        <w:t xml:space="preserve">Uz Pušu sadarbības kārtību, kas atbilstīgi papildina un īsteno šīs sadaļas noteikumus, attiecas sadarbības vienošanās, kura noslēgta starp </w:t>
      </w:r>
      <w:r>
        <w:rPr>
          <w:i/>
          <w:noProof/>
        </w:rPr>
        <w:t>Eurojust</w:t>
      </w:r>
      <w:r>
        <w:rPr>
          <w:noProof/>
        </w:rPr>
        <w:t xml:space="preserve"> un Apvienotās Karalistes kompetentajām iestādēm saskaņā ar </w:t>
      </w:r>
      <w:r>
        <w:rPr>
          <w:i/>
          <w:noProof/>
        </w:rPr>
        <w:t>Eurojust</w:t>
      </w:r>
      <w:r>
        <w:rPr>
          <w:noProof/>
        </w:rPr>
        <w:t xml:space="preserve"> regulas 47. panta 3. punktu un 56. pa</w:t>
      </w:r>
      <w:r>
        <w:rPr>
          <w:noProof/>
        </w:rPr>
        <w:t xml:space="preserve">nta 3. punktu. </w:t>
      </w:r>
    </w:p>
    <w:p w:rsidR="003E022D" w:rsidRDefault="007D19D6">
      <w:pPr>
        <w:pStyle w:val="Article"/>
        <w:rPr>
          <w:noProof/>
        </w:rPr>
      </w:pPr>
      <w:bookmarkStart w:id="493" w:name="_Article_29"/>
      <w:bookmarkStart w:id="494" w:name="_Toc58920284"/>
      <w:bookmarkEnd w:id="493"/>
      <w:r>
        <w:rPr>
          <w:noProof/>
        </w:rPr>
        <w:t xml:space="preserve">LAW.EUROJUST.76. pants. </w:t>
      </w:r>
      <w:r>
        <w:rPr>
          <w:i/>
          <w:noProof/>
        </w:rPr>
        <w:t>Eurojust</w:t>
      </w:r>
      <w:r>
        <w:rPr>
          <w:noProof/>
        </w:rPr>
        <w:t xml:space="preserve"> pilnvaras</w:t>
      </w:r>
      <w:bookmarkEnd w:id="494"/>
    </w:p>
    <w:p w:rsidR="003E022D" w:rsidRDefault="007D19D6">
      <w:pPr>
        <w:rPr>
          <w:rFonts w:cstheme="minorHAnsi"/>
          <w:noProof/>
        </w:rPr>
      </w:pPr>
      <w:r>
        <w:rPr>
          <w:noProof/>
        </w:rPr>
        <w:t xml:space="preserve">Neko šajā sadaļā neinterpretē kā </w:t>
      </w:r>
      <w:r>
        <w:rPr>
          <w:i/>
          <w:noProof/>
        </w:rPr>
        <w:t>Eurojust</w:t>
      </w:r>
      <w:r>
        <w:rPr>
          <w:noProof/>
        </w:rPr>
        <w:t xml:space="preserve"> uzliktu pienākumu sadarboties ar Apvienotās Karalistes kompetentajām iestādēm ārpus </w:t>
      </w:r>
      <w:r>
        <w:rPr>
          <w:i/>
          <w:noProof/>
        </w:rPr>
        <w:t>Eurojust</w:t>
      </w:r>
      <w:r>
        <w:rPr>
          <w:noProof/>
        </w:rPr>
        <w:t xml:space="preserve"> kompetences, kā noteikts attiecīgajos Savienības tiesību aktos. </w:t>
      </w:r>
    </w:p>
    <w:p w:rsidR="003E022D" w:rsidRDefault="007D19D6">
      <w:pPr>
        <w:pStyle w:val="Title1"/>
        <w:rPr>
          <w:noProof/>
        </w:rPr>
      </w:pPr>
      <w:bookmarkStart w:id="495" w:name="_Ref31023609"/>
      <w:bookmarkStart w:id="496" w:name="_Toc33194194"/>
      <w:bookmarkStart w:id="497" w:name="_Toc33194817"/>
      <w:bookmarkStart w:id="498" w:name="_Toc34676375"/>
      <w:bookmarkStart w:id="499" w:name="_Toc35449641"/>
      <w:bookmarkStart w:id="500" w:name="_Toc58920285"/>
      <w:bookmarkStart w:id="501" w:name="_Toc58949201"/>
      <w:bookmarkStart w:id="502" w:name="_Toc59472716"/>
      <w:bookmarkStart w:id="503" w:name="_Toc59988368"/>
      <w:r>
        <w:rPr>
          <w:noProof/>
        </w:rPr>
        <w:t>VII sadaļa. Nodošana</w:t>
      </w:r>
      <w:bookmarkEnd w:id="495"/>
      <w:bookmarkEnd w:id="496"/>
      <w:bookmarkEnd w:id="497"/>
      <w:bookmarkEnd w:id="498"/>
      <w:bookmarkEnd w:id="499"/>
      <w:bookmarkEnd w:id="500"/>
      <w:bookmarkEnd w:id="501"/>
      <w:bookmarkEnd w:id="502"/>
      <w:bookmarkEnd w:id="503"/>
      <w:r>
        <w:rPr>
          <w:noProof/>
        </w:rPr>
        <w:t xml:space="preserve"> </w:t>
      </w:r>
    </w:p>
    <w:p w:rsidR="003E022D" w:rsidRDefault="007D19D6">
      <w:pPr>
        <w:pStyle w:val="Article"/>
        <w:rPr>
          <w:noProof/>
        </w:rPr>
      </w:pPr>
      <w:bookmarkStart w:id="504" w:name="_Toc29896072"/>
      <w:bookmarkStart w:id="505" w:name="_Toc58920286"/>
      <w:r>
        <w:rPr>
          <w:noProof/>
        </w:rPr>
        <w:t>LAW.SURR.76. pants</w:t>
      </w:r>
      <w:bookmarkEnd w:id="504"/>
      <w:r>
        <w:rPr>
          <w:noProof/>
        </w:rPr>
        <w:t xml:space="preserve">. </w:t>
      </w:r>
      <w:bookmarkStart w:id="506" w:name="_Toc29896073"/>
      <w:r>
        <w:rPr>
          <w:noProof/>
        </w:rPr>
        <w:t>Mērķis</w:t>
      </w:r>
      <w:bookmarkEnd w:id="505"/>
      <w:bookmarkEnd w:id="506"/>
    </w:p>
    <w:p w:rsidR="003E022D" w:rsidRDefault="007D19D6">
      <w:pPr>
        <w:rPr>
          <w:rFonts w:cstheme="minorHAnsi"/>
          <w:noProof/>
        </w:rPr>
      </w:pPr>
      <w:r>
        <w:rPr>
          <w:noProof/>
        </w:rPr>
        <w:t>Šīs sadaļas mērķis ir nodrošināt, ka izdošanas sistēma starp dalībvalstīm, no vienas puses, un Apvienoto Karalisti, no otras puses, balstās u</w:t>
      </w:r>
      <w:r>
        <w:rPr>
          <w:noProof/>
        </w:rPr>
        <w:t>z nodošanas mehānismu, pamatojoties uz apcietināšanas orderi saskaņā ar šīs sadaļas noteikumiem.</w:t>
      </w:r>
    </w:p>
    <w:p w:rsidR="003E022D" w:rsidRDefault="007D19D6">
      <w:pPr>
        <w:pStyle w:val="Article"/>
        <w:rPr>
          <w:noProof/>
        </w:rPr>
      </w:pPr>
      <w:bookmarkStart w:id="507" w:name="_Toc58920287"/>
      <w:r>
        <w:rPr>
          <w:noProof/>
        </w:rPr>
        <w:t>LAW.SURR.77. pants. Proporcionalitātes princips</w:t>
      </w:r>
      <w:bookmarkEnd w:id="507"/>
    </w:p>
    <w:p w:rsidR="003E022D" w:rsidRDefault="007D19D6">
      <w:pPr>
        <w:rPr>
          <w:rFonts w:cstheme="minorHAnsi"/>
          <w:noProof/>
        </w:rPr>
      </w:pPr>
      <w:r>
        <w:rPr>
          <w:noProof/>
        </w:rPr>
        <w:t>Sadarbība, izmantojot apcietināšanas orderi, ir nepieciešama un samērīga, ņemot vērā pieprasītās personas tiesī</w:t>
      </w:r>
      <w:r>
        <w:rPr>
          <w:noProof/>
        </w:rPr>
        <w:t>bas un cietušo intereses, un nodarījuma smagumu, iespējamo sodu, ko par šo nodarījumu varētu piemērot, un iespēju, ka valsts veic pasākumus, kuri ir mazāk ierobežojoši nekā pieprasītās personas nodošana, it īpaši nolūkā izvairīties no nevajadzīgi ilgiem pi</w:t>
      </w:r>
      <w:r>
        <w:rPr>
          <w:noProof/>
        </w:rPr>
        <w:t>rmstiesas apcietinājuma periodiem.</w:t>
      </w:r>
    </w:p>
    <w:p w:rsidR="003E022D" w:rsidRDefault="007D19D6">
      <w:pPr>
        <w:pStyle w:val="Article"/>
        <w:rPr>
          <w:noProof/>
        </w:rPr>
      </w:pPr>
      <w:bookmarkStart w:id="508" w:name="_Article_2"/>
      <w:bookmarkStart w:id="509" w:name="_ARTICLE_89"/>
      <w:bookmarkStart w:id="510" w:name="_Toc29896074"/>
      <w:bookmarkStart w:id="511" w:name="_Ref31043458"/>
      <w:bookmarkStart w:id="512" w:name="_Ref31058839"/>
      <w:bookmarkStart w:id="513" w:name="_Ref31058957"/>
      <w:bookmarkStart w:id="514" w:name="_Toc58920288"/>
      <w:bookmarkEnd w:id="508"/>
      <w:bookmarkEnd w:id="509"/>
      <w:r>
        <w:rPr>
          <w:noProof/>
        </w:rPr>
        <w:t>LAW.SURR.78. pants.</w:t>
      </w:r>
      <w:bookmarkEnd w:id="510"/>
      <w:bookmarkEnd w:id="511"/>
      <w:bookmarkEnd w:id="512"/>
      <w:bookmarkEnd w:id="513"/>
      <w:r>
        <w:rPr>
          <w:noProof/>
        </w:rPr>
        <w:t xml:space="preserve"> </w:t>
      </w:r>
      <w:bookmarkStart w:id="515" w:name="_Toc29896075"/>
      <w:r>
        <w:rPr>
          <w:noProof/>
        </w:rPr>
        <w:t>Definīcijas</w:t>
      </w:r>
      <w:bookmarkEnd w:id="514"/>
      <w:bookmarkEnd w:id="515"/>
    </w:p>
    <w:p w:rsidR="003E022D" w:rsidRDefault="007D19D6">
      <w:pPr>
        <w:rPr>
          <w:rFonts w:cstheme="minorHAnsi"/>
          <w:noProof/>
        </w:rPr>
      </w:pPr>
      <w:r>
        <w:rPr>
          <w:noProof/>
        </w:rPr>
        <w:t>Šajā sadaļā piemēro šādas definīcijas:</w:t>
      </w:r>
    </w:p>
    <w:p w:rsidR="003E022D" w:rsidRDefault="007D19D6">
      <w:pPr>
        <w:numPr>
          <w:ilvl w:val="1"/>
          <w:numId w:val="51"/>
        </w:numPr>
        <w:ind w:left="567" w:hanging="567"/>
        <w:rPr>
          <w:rFonts w:cstheme="minorHAnsi"/>
          <w:noProof/>
        </w:rPr>
      </w:pPr>
      <w:r>
        <w:rPr>
          <w:noProof/>
        </w:rPr>
        <w:t xml:space="preserve">“apcietināšanas orderis” ir tiesas nolēmums, ko izsniedz valsts, lai cita valsts apcietinātu un nodotu pieprasīto personu kriminālvajāšanas veikšanai </w:t>
      </w:r>
      <w:r>
        <w:rPr>
          <w:noProof/>
        </w:rPr>
        <w:t>vai lai izpildītu brīvības atņemšanas sodu, vai arī lai piemērotu ar brīvības atņemšanu saistītu drošības līdzekli;</w:t>
      </w:r>
    </w:p>
    <w:p w:rsidR="003E022D" w:rsidRDefault="007D19D6">
      <w:pPr>
        <w:numPr>
          <w:ilvl w:val="1"/>
          <w:numId w:val="51"/>
        </w:numPr>
        <w:ind w:left="567" w:hanging="567"/>
        <w:rPr>
          <w:rFonts w:cstheme="minorHAnsi"/>
          <w:noProof/>
        </w:rPr>
      </w:pPr>
      <w:r>
        <w:rPr>
          <w:noProof/>
        </w:rPr>
        <w:t xml:space="preserve">“tiesas iestāde” ir iestāde jeb saskaņā ar iekšzemes tiesību aktiem – tiesnesis, tiesa vai prokurors. Prokuroru uzskata par tiesu sistēmas </w:t>
      </w:r>
      <w:r>
        <w:rPr>
          <w:noProof/>
        </w:rPr>
        <w:t>iestādi tikai tādā apmērā, ciktāl to paredz iekšzemes tiesību akti;</w:t>
      </w:r>
    </w:p>
    <w:p w:rsidR="003E022D" w:rsidRDefault="007D19D6">
      <w:pPr>
        <w:numPr>
          <w:ilvl w:val="1"/>
          <w:numId w:val="51"/>
        </w:numPr>
        <w:ind w:left="567" w:hanging="567"/>
        <w:rPr>
          <w:rFonts w:cstheme="minorHAnsi"/>
          <w:noProof/>
        </w:rPr>
      </w:pPr>
      <w:r>
        <w:rPr>
          <w:noProof/>
        </w:rPr>
        <w:t>“izpildes tiesu iestāde” ir izpildes valsts tiesu iestāde, kas ir kompetenta izpildīt apcietināšanas orderi, pamatojoties uz minētās valsts iekšzemes tiesību aktiem;</w:t>
      </w:r>
    </w:p>
    <w:p w:rsidR="003E022D" w:rsidRDefault="007D19D6">
      <w:pPr>
        <w:numPr>
          <w:ilvl w:val="1"/>
          <w:numId w:val="51"/>
        </w:numPr>
        <w:ind w:left="567" w:hanging="567"/>
        <w:rPr>
          <w:rFonts w:cstheme="minorHAnsi"/>
          <w:noProof/>
        </w:rPr>
      </w:pPr>
      <w:r>
        <w:rPr>
          <w:noProof/>
        </w:rPr>
        <w:t>“izsniegšanas tiesu ie</w:t>
      </w:r>
      <w:r>
        <w:rPr>
          <w:noProof/>
        </w:rPr>
        <w:t>stāde” ir izsniegšanas valsts tiesu iestāde, kas ir kompetenta izsniegt apcietināšanas orderi, pamatojoties uz minētās valsts iekšzemes tiesību aktiem;</w:t>
      </w:r>
    </w:p>
    <w:p w:rsidR="003E022D" w:rsidRDefault="007D19D6">
      <w:pPr>
        <w:pStyle w:val="Article"/>
        <w:rPr>
          <w:noProof/>
        </w:rPr>
      </w:pPr>
      <w:bookmarkStart w:id="516" w:name="_ARTICLE_90"/>
      <w:bookmarkStart w:id="517" w:name="_Toc29896076"/>
      <w:bookmarkStart w:id="518" w:name="_Ref31043342"/>
      <w:bookmarkStart w:id="519" w:name="_Ref31043373"/>
      <w:bookmarkStart w:id="520" w:name="_Ref31043475"/>
      <w:bookmarkStart w:id="521" w:name="_Ref31043495"/>
      <w:bookmarkStart w:id="522" w:name="_Ref31044179"/>
      <w:bookmarkStart w:id="523" w:name="_Ref31044224"/>
      <w:bookmarkStart w:id="524" w:name="_Ref31044314"/>
      <w:bookmarkStart w:id="525" w:name="_Ref31044787"/>
      <w:bookmarkStart w:id="526" w:name="_Ref31044910"/>
      <w:bookmarkStart w:id="527" w:name="_Ref31058673"/>
      <w:bookmarkStart w:id="528" w:name="_Ref31058717"/>
      <w:bookmarkStart w:id="529" w:name="_Ref31058976"/>
      <w:bookmarkStart w:id="530" w:name="_Ref31059015"/>
      <w:bookmarkStart w:id="531" w:name="_Ref31060182"/>
      <w:bookmarkStart w:id="532" w:name="_Ref31060271"/>
      <w:bookmarkStart w:id="533" w:name="_Ref31060345"/>
      <w:bookmarkStart w:id="534" w:name="_Ref31060785"/>
      <w:bookmarkStart w:id="535" w:name="_Ref31061088"/>
      <w:bookmarkStart w:id="536" w:name="_Ref31662388"/>
      <w:bookmarkStart w:id="537" w:name="_Ref31664504"/>
      <w:bookmarkStart w:id="538" w:name="_Ref31664680"/>
      <w:bookmarkStart w:id="539" w:name="_Toc58920289"/>
      <w:bookmarkEnd w:id="516"/>
      <w:r>
        <w:rPr>
          <w:noProof/>
        </w:rPr>
        <w:t>LAW.SURR.79. </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Pr>
          <w:noProof/>
        </w:rPr>
        <w:t xml:space="preserve">pants. </w:t>
      </w:r>
      <w:bookmarkStart w:id="540" w:name="_Toc29896077"/>
      <w:r>
        <w:rPr>
          <w:noProof/>
        </w:rPr>
        <w:t>Darbības joma</w:t>
      </w:r>
      <w:bookmarkEnd w:id="539"/>
      <w:bookmarkEnd w:id="540"/>
    </w:p>
    <w:p w:rsidR="003E022D" w:rsidRDefault="007D19D6">
      <w:pPr>
        <w:numPr>
          <w:ilvl w:val="6"/>
          <w:numId w:val="46"/>
        </w:numPr>
        <w:ind w:left="0" w:firstLine="0"/>
        <w:rPr>
          <w:rFonts w:cstheme="minorHAnsi"/>
          <w:noProof/>
        </w:rPr>
      </w:pPr>
      <w:r>
        <w:rPr>
          <w:noProof/>
        </w:rPr>
        <w:t>Apcietināšanas orderi var izsniegt par darbībām, par kurām izsniegšana</w:t>
      </w:r>
      <w:r>
        <w:rPr>
          <w:noProof/>
        </w:rPr>
        <w:t>s valsts tiesībās paredzēts brīvības atņemšanas sods vai ar brīvības atņemšanu saistīts drošības līdzeklis, kura maksimālais ilgums ir vismaz 12 mēneši, vai par jau piespriestu sodu vai jau piemērotu drošības līdzekli, kuru ilgums ir vismaz četri mēneši.</w:t>
      </w:r>
    </w:p>
    <w:p w:rsidR="003E022D" w:rsidRDefault="007D19D6">
      <w:pPr>
        <w:numPr>
          <w:ilvl w:val="6"/>
          <w:numId w:val="46"/>
        </w:numPr>
        <w:ind w:left="0" w:firstLine="0"/>
        <w:rPr>
          <w:rFonts w:cstheme="minorHAnsi"/>
          <w:noProof/>
        </w:rPr>
      </w:pPr>
      <w:r>
        <w:rPr>
          <w:noProof/>
        </w:rPr>
        <w:t>N</w:t>
      </w:r>
      <w:r>
        <w:rPr>
          <w:noProof/>
        </w:rPr>
        <w:t>eskarot 3. un 4. punktu, nodošana ir pakļauta nosacījumam, ka darbības, par kurām izsniegts apcietināšanas orderis, uzskata par nodarījumu saskaņā ar izpildes valsts tiesībām neatkarīgi no tā sastāva elementiem vai kvalifikācijas.</w:t>
      </w:r>
    </w:p>
    <w:p w:rsidR="003E022D" w:rsidRDefault="007D19D6">
      <w:pPr>
        <w:numPr>
          <w:ilvl w:val="6"/>
          <w:numId w:val="46"/>
        </w:numPr>
        <w:ind w:left="0" w:firstLine="0"/>
        <w:rPr>
          <w:rFonts w:cstheme="minorHAnsi"/>
          <w:noProof/>
        </w:rPr>
      </w:pPr>
      <w:r>
        <w:rPr>
          <w:noProof/>
        </w:rPr>
        <w:t>Ievērojot LAW.SURR.80. pa</w:t>
      </w:r>
      <w:r>
        <w:rPr>
          <w:noProof/>
        </w:rPr>
        <w:t>ntu [Apcietināšanas ordera obligātas neizpildīšanas pamats], LAW.SURR.81. panta [Cits apcietināšanas ordera neizpildīšanas pamats] 1. punkta b) līdz h) apakšpunktu, LAW.SURR.82. pantu [Izņēmums politiska nodarījuma gadījumā], LAW.SURR.83. pantu [Izņēmums s</w:t>
      </w:r>
      <w:r>
        <w:rPr>
          <w:noProof/>
        </w:rPr>
        <w:t>aistībā ar valstspiederību] un LAW.SURR.84. pantu [Garantijas, kas izsniegšanas valstij jāsniedz īpašos gadījumos], valsts neatsaka tāda apcietināšanas ordera izpildi, kas izsniegts saistībā ar turpmāk minētajām darbībām, ja par šādām darbībām ir paredzēts</w:t>
      </w:r>
      <w:r>
        <w:rPr>
          <w:noProof/>
        </w:rPr>
        <w:t xml:space="preserve"> brīvības atņemšanas sods vai ar brīvības atņemšanu saistīts drošības līdzeklis, kura maksimālais ilgums ir vismaz 12 mēneši: </w:t>
      </w:r>
    </w:p>
    <w:p w:rsidR="003E022D" w:rsidRDefault="007D19D6">
      <w:pPr>
        <w:numPr>
          <w:ilvl w:val="0"/>
          <w:numId w:val="81"/>
        </w:numPr>
        <w:ind w:left="567" w:hanging="567"/>
        <w:rPr>
          <w:rFonts w:cstheme="minorHAnsi"/>
          <w:noProof/>
        </w:rPr>
      </w:pPr>
      <w:r>
        <w:rPr>
          <w:noProof/>
        </w:rPr>
        <w:t>ikvienas personas darbībām, kura palīdz kādai personu grupai, kas darbojas ar kopēju mērķi – veikt vienu vai vairākus nodarījumus</w:t>
      </w:r>
      <w:r>
        <w:rPr>
          <w:noProof/>
        </w:rPr>
        <w:t xml:space="preserve"> terorisma jomā, kā minēts 1. un 2. pantā Eiropas Konvencijā par terorisma apkarošanu, kura parakstīta Strasbūrā 1977. gada 27. janvārī, vai saistībā ar nelikumīgu narkotiku un psihotropo vielu tirdzniecību, vai slepkavību, smagu miesas bojājumu nodarīšanu</w:t>
      </w:r>
      <w:r>
        <w:rPr>
          <w:noProof/>
        </w:rPr>
        <w:t>, nolaupīšanu, nelikumīgu brīvības atņemšanu, ķīlnieku sagrābšanu vai izvarošanu – pat, ja šī persona nepiedalās faktiskajā attiecīgā nodarījuma vai nodarījumu veikšanā; šādām darbībām jābūt tīšam un veiktām, personai apzinoties, ka viņas dalība palīdzēs g</w:t>
      </w:r>
      <w:r>
        <w:rPr>
          <w:noProof/>
        </w:rPr>
        <w:t xml:space="preserve">rupas kriminālo darbību veikšanai; vai </w:t>
      </w:r>
    </w:p>
    <w:p w:rsidR="003E022D" w:rsidRDefault="007D19D6">
      <w:pPr>
        <w:numPr>
          <w:ilvl w:val="0"/>
          <w:numId w:val="81"/>
        </w:numPr>
        <w:ind w:left="567" w:hanging="567"/>
        <w:rPr>
          <w:rFonts w:cstheme="minorHAnsi"/>
          <w:noProof/>
        </w:rPr>
      </w:pPr>
      <w:r>
        <w:rPr>
          <w:noProof/>
        </w:rPr>
        <w:t xml:space="preserve">terorismu, kā definēts </w:t>
      </w:r>
      <w:r>
        <w:rPr>
          <w:noProof/>
          <w:u w:color="000000"/>
        </w:rPr>
        <w:t>LAW-7. PIELIKUMĀ</w:t>
      </w:r>
      <w:r>
        <w:rPr>
          <w:noProof/>
        </w:rPr>
        <w:t>.</w:t>
      </w:r>
    </w:p>
    <w:p w:rsidR="003E022D" w:rsidRDefault="007D19D6">
      <w:pPr>
        <w:numPr>
          <w:ilvl w:val="6"/>
          <w:numId w:val="46"/>
        </w:numPr>
        <w:ind w:left="0" w:firstLine="0"/>
        <w:rPr>
          <w:rFonts w:cstheme="minorHAnsi"/>
          <w:noProof/>
        </w:rPr>
      </w:pPr>
      <w:r>
        <w:rPr>
          <w:noProof/>
        </w:rPr>
        <w:t>Apvienotā Karaliste un Savienība, darbojoties jebkuras tās dalībvalsts uzdevumā, katra var paziņot Specializētajai komitejai tiesībaizsardzības un tiesu iestāžu sadarbības jom</w:t>
      </w:r>
      <w:r>
        <w:rPr>
          <w:noProof/>
        </w:rPr>
        <w:t xml:space="preserve">ā, ka, pamatojoties uz savstarpību, 2. punktā minētais abpusējas sodāmības nosacījums netiks piemērots, ar nosacījumu, ka ordera pamatā esošais noziedzīgais nodarījums ir: </w:t>
      </w:r>
    </w:p>
    <w:p w:rsidR="003E022D" w:rsidRDefault="007D19D6">
      <w:pPr>
        <w:numPr>
          <w:ilvl w:val="0"/>
          <w:numId w:val="146"/>
        </w:numPr>
        <w:ind w:left="567" w:hanging="567"/>
        <w:rPr>
          <w:rFonts w:cstheme="minorHAnsi"/>
          <w:noProof/>
        </w:rPr>
      </w:pPr>
      <w:r>
        <w:rPr>
          <w:noProof/>
        </w:rPr>
        <w:t>viens no 5. punktā uzskaitītajiem nodarījumiem, kā tas definēts izsniegšanas valsts</w:t>
      </w:r>
      <w:r>
        <w:rPr>
          <w:noProof/>
        </w:rPr>
        <w:t xml:space="preserve"> tiesību aktos, un</w:t>
      </w:r>
    </w:p>
    <w:p w:rsidR="003E022D" w:rsidRDefault="007D19D6">
      <w:pPr>
        <w:numPr>
          <w:ilvl w:val="0"/>
          <w:numId w:val="146"/>
        </w:numPr>
        <w:ind w:left="567" w:hanging="567"/>
        <w:rPr>
          <w:rFonts w:cstheme="minorHAnsi"/>
          <w:noProof/>
        </w:rPr>
      </w:pPr>
      <w:r>
        <w:rPr>
          <w:noProof/>
        </w:rPr>
        <w:t>izsniegšanas valstī par to var piemērot brīvības atņemšanas sodu vai ar brīvības atņemšanu saistītu drošības līdzekli, kura maksimālais ilgums ir vismaz trīs gadi.</w:t>
      </w:r>
    </w:p>
    <w:p w:rsidR="003E022D" w:rsidRDefault="007D19D6">
      <w:pPr>
        <w:pStyle w:val="ListParagraph"/>
        <w:numPr>
          <w:ilvl w:val="6"/>
          <w:numId w:val="46"/>
        </w:numPr>
        <w:spacing w:line="276" w:lineRule="auto"/>
        <w:ind w:left="0" w:firstLine="0"/>
        <w:contextualSpacing w:val="0"/>
        <w:rPr>
          <w:rFonts w:asciiTheme="minorHAnsi" w:hAnsiTheme="minorHAnsi" w:cstheme="minorHAnsi"/>
          <w:noProof/>
        </w:rPr>
      </w:pPr>
      <w:r>
        <w:rPr>
          <w:rFonts w:asciiTheme="minorHAnsi" w:hAnsiTheme="minorHAnsi"/>
          <w:noProof/>
        </w:rPr>
        <w:t>Nodarījumi, kas minēti 4. Punktā, ir šādi:</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dalība noziedzīgā </w:t>
      </w:r>
      <w:r>
        <w:rPr>
          <w:rFonts w:asciiTheme="minorHAnsi" w:hAnsiTheme="minorHAnsi"/>
          <w:noProof/>
        </w:rPr>
        <w:t>organizācijā;</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terorismu, kā definēts </w:t>
      </w:r>
      <w:r>
        <w:rPr>
          <w:rFonts w:asciiTheme="minorHAnsi" w:hAnsiTheme="minorHAnsi"/>
          <w:noProof/>
          <w:u w:color="000000"/>
        </w:rPr>
        <w:t>LAW-7. PIELIKUMĀ</w:t>
      </w:r>
      <w:r>
        <w:rPr>
          <w:rFonts w:asciiTheme="minorHAnsi" w:hAnsiTheme="minorHAnsi"/>
          <w:noProof/>
        </w:rPr>
        <w:t>.</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cilvēku tirdzniecība;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bērnu seksuāla izmantošana un bērnu pornogrāfija;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narkotisku un psihotropu vielu nelikumīga tirdzniecība;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ieroču, munīcijas un sprāgstvielu nelikumīga tirdzniecība;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korupcija, tai</w:t>
      </w:r>
      <w:r>
        <w:rPr>
          <w:rFonts w:asciiTheme="minorHAnsi" w:hAnsiTheme="minorHAnsi"/>
          <w:noProof/>
        </w:rPr>
        <w:t xml:space="preserve"> skaitā kukuļošana;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krāpšana, ieskaitot krāpšanu, kas apdraud Apvienotās Karalistes, Savienības dalībvalsts finanšu intereses;</w:t>
      </w:r>
      <w:r>
        <w:rPr>
          <w:rFonts w:asciiTheme="minorHAnsi" w:hAnsiTheme="minorHAnsi"/>
          <w:b/>
          <w:noProof/>
        </w:rPr>
        <w:t xml:space="preserve"> </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noziedzīgi iegūtu līdzekļu legalizēšana;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naudas viltošana;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datornoziegumi;</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noziegumi pret vidi, tostarp apdraudētu dzīvnieku un </w:t>
      </w:r>
      <w:r>
        <w:rPr>
          <w:rFonts w:asciiTheme="minorHAnsi" w:hAnsiTheme="minorHAnsi"/>
          <w:noProof/>
        </w:rPr>
        <w:t>augu sugu un šķirņu nelikumīga tirdzniecība;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nelikumīgas ieceļošanas un uzturēšanās veicināšana; </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slepkavība; </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smagi miesas bojājumi;</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cilvēku orgānu un audu nelikumīga tirdzniecība;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personas nolaupīšana, nelikumīga brīvības atņemšana un ķīlnieku sagrābšana</w:t>
      </w:r>
      <w:r>
        <w:rPr>
          <w:rFonts w:asciiTheme="minorHAnsi" w:hAnsiTheme="minorHAnsi"/>
          <w:noProof/>
        </w:rPr>
        <w:t>;</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rasisms un ksenofobija;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organizēta vai bruņota laupīšana;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kultūras priekšmetu, tostarp senlietu un mākslas darbu, nelikumīga tirdzniecība;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krāpšana;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rekets un izspiešana;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izstrādājumu viltošana un pirātisms;</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administratīvu dokumentu viltošana un </w:t>
      </w:r>
      <w:r>
        <w:rPr>
          <w:rFonts w:asciiTheme="minorHAnsi" w:hAnsiTheme="minorHAnsi"/>
          <w:noProof/>
        </w:rPr>
        <w:t>tirdzniecība;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maksāšanas līdzekļu viltošana;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hormonu un citu augšanas veicinātāju nelikumīga tirdzniecība;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kodolmateriālu vai radioaktīvu materiālu nelikumīga tirdzniecība; </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zagtu transportlīdzekļu tirdzniecība;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izvarošana;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ļaunprātīga dedzināšana;</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noziegumi, kuri ir Starptautiskās Krimināltiesas jurisdikcijā;</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gaisa kuģa vai kuģa vai kosmosa kuģa nelikumīga sagrābšana un</w:t>
      </w:r>
    </w:p>
    <w:p w:rsidR="003E022D" w:rsidRDefault="007D19D6">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sabotāža. </w:t>
      </w:r>
    </w:p>
    <w:p w:rsidR="003E022D" w:rsidRDefault="007D19D6">
      <w:pPr>
        <w:pStyle w:val="Article"/>
        <w:rPr>
          <w:noProof/>
        </w:rPr>
      </w:pPr>
      <w:bookmarkStart w:id="541" w:name="_ARTICLE_91"/>
      <w:bookmarkStart w:id="542" w:name="_Toc29896078"/>
      <w:bookmarkStart w:id="543" w:name="_Ref31043218"/>
      <w:bookmarkStart w:id="544" w:name="_Toc58920290"/>
      <w:bookmarkEnd w:id="541"/>
      <w:r>
        <w:rPr>
          <w:noProof/>
        </w:rPr>
        <w:t>LAW.SURR.80. pants.</w:t>
      </w:r>
      <w:bookmarkEnd w:id="542"/>
      <w:bookmarkEnd w:id="543"/>
      <w:r>
        <w:rPr>
          <w:noProof/>
        </w:rPr>
        <w:t xml:space="preserve"> </w:t>
      </w:r>
      <w:bookmarkStart w:id="545" w:name="_Toc29896079"/>
      <w:r>
        <w:rPr>
          <w:noProof/>
        </w:rPr>
        <w:t>Apcietināšanas ordera obligātas neizpildīšanas pamats</w:t>
      </w:r>
      <w:bookmarkEnd w:id="544"/>
      <w:bookmarkEnd w:id="545"/>
    </w:p>
    <w:p w:rsidR="003E022D" w:rsidRDefault="007D19D6">
      <w:pPr>
        <w:rPr>
          <w:rFonts w:cstheme="minorHAnsi"/>
          <w:noProof/>
        </w:rPr>
      </w:pPr>
      <w:r>
        <w:rPr>
          <w:noProof/>
        </w:rPr>
        <w:t>Apcietināšanas ordera izpildi atsaka:</w:t>
      </w:r>
    </w:p>
    <w:p w:rsidR="003E022D" w:rsidRDefault="007D19D6">
      <w:pPr>
        <w:numPr>
          <w:ilvl w:val="1"/>
          <w:numId w:val="52"/>
        </w:numPr>
        <w:ind w:left="567" w:hanging="567"/>
        <w:rPr>
          <w:rFonts w:cstheme="minorHAnsi"/>
          <w:noProof/>
        </w:rPr>
      </w:pPr>
      <w:r>
        <w:rPr>
          <w:noProof/>
        </w:rPr>
        <w:t>ja uz no</w:t>
      </w:r>
      <w:r>
        <w:rPr>
          <w:noProof/>
        </w:rPr>
        <w:t>darījumu, kas ir par iemeslu apcietināšanas orderim, attiecas amnestija izpildes valstī, ja šīs valsts jurisdikcijā bija kriminālvajāšanas uzsākšana par attiecīgo nodarījumu saskaņā ar tās krimināllikumu;</w:t>
      </w:r>
    </w:p>
    <w:p w:rsidR="003E022D" w:rsidRDefault="007D19D6">
      <w:pPr>
        <w:numPr>
          <w:ilvl w:val="1"/>
          <w:numId w:val="52"/>
        </w:numPr>
        <w:ind w:left="567" w:hanging="567"/>
        <w:rPr>
          <w:rFonts w:cstheme="minorHAnsi"/>
          <w:noProof/>
        </w:rPr>
      </w:pPr>
      <w:r>
        <w:rPr>
          <w:noProof/>
        </w:rPr>
        <w:t>ja izpildes tiesu iestāde ir informēta par to, ka p</w:t>
      </w:r>
      <w:r>
        <w:rPr>
          <w:noProof/>
        </w:rPr>
        <w:t>ieprasītajai personai par tām pašām darbībām galīgais spriedums ir pasludināts citā valstī, ar nosacījumu, ka notiesāšanas gadījumā sods jau ir izciests, persona to izcieš vai sodu vairs nevar izpildīt atbilstīgi sprieduma pasludinājušās valsts tiesību akt</w:t>
      </w:r>
      <w:r>
        <w:rPr>
          <w:noProof/>
        </w:rPr>
        <w:t xml:space="preserve">iem; vai </w:t>
      </w:r>
    </w:p>
    <w:p w:rsidR="003E022D" w:rsidRDefault="007D19D6">
      <w:pPr>
        <w:numPr>
          <w:ilvl w:val="1"/>
          <w:numId w:val="52"/>
        </w:numPr>
        <w:ind w:left="567" w:hanging="567"/>
        <w:rPr>
          <w:rFonts w:cstheme="minorHAnsi"/>
          <w:noProof/>
        </w:rPr>
      </w:pPr>
      <w:r>
        <w:rPr>
          <w:noProof/>
        </w:rPr>
        <w:t xml:space="preserve">ja personai, par kuru ir izsniegts apcietināšanas orderis, ņemot vērā personas vecumu, nevar iestāties kriminālatbildība par darbībām, kas ir apcietināšanas ordera pamatā, saskaņā ar izpildes valsts tiesībām. </w:t>
      </w:r>
    </w:p>
    <w:p w:rsidR="003E022D" w:rsidRDefault="007D19D6">
      <w:pPr>
        <w:pStyle w:val="Article"/>
        <w:rPr>
          <w:noProof/>
        </w:rPr>
      </w:pPr>
      <w:bookmarkStart w:id="546" w:name="_ARTICLE_92"/>
      <w:bookmarkStart w:id="547" w:name="_Toc29896080"/>
      <w:bookmarkStart w:id="548" w:name="_Ref31043244"/>
      <w:bookmarkStart w:id="549" w:name="_Ref31043955"/>
      <w:bookmarkStart w:id="550" w:name="_Ref31044087"/>
      <w:bookmarkStart w:id="551" w:name="_Ref31044210"/>
      <w:bookmarkStart w:id="552" w:name="_Ref31044725"/>
      <w:bookmarkStart w:id="553" w:name="_Ref31044968"/>
      <w:bookmarkStart w:id="554" w:name="_Ref31058474"/>
      <w:bookmarkStart w:id="555" w:name="_Ref31058503"/>
      <w:bookmarkStart w:id="556" w:name="_Ref31059715"/>
      <w:bookmarkStart w:id="557" w:name="_Ref31059944"/>
      <w:bookmarkStart w:id="558" w:name="_Ref31060245"/>
      <w:bookmarkStart w:id="559" w:name="_Ref31060663"/>
      <w:bookmarkStart w:id="560" w:name="_Ref31061214"/>
      <w:bookmarkStart w:id="561" w:name="_Toc58920291"/>
      <w:bookmarkEnd w:id="546"/>
      <w:r>
        <w:rPr>
          <w:noProof/>
        </w:rPr>
        <w:t>LAW.SURR.81. </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Pr>
          <w:noProof/>
        </w:rPr>
        <w:t xml:space="preserve">pants. </w:t>
      </w:r>
      <w:bookmarkStart w:id="562" w:name="_Toc29896081"/>
      <w:r>
        <w:rPr>
          <w:noProof/>
        </w:rPr>
        <w:t>Cits apcietināša</w:t>
      </w:r>
      <w:r>
        <w:rPr>
          <w:noProof/>
        </w:rPr>
        <w:t>nas ordera neizpildīšanas pamats</w:t>
      </w:r>
      <w:bookmarkEnd w:id="561"/>
      <w:bookmarkEnd w:id="562"/>
    </w:p>
    <w:p w:rsidR="003E022D" w:rsidRDefault="007D19D6">
      <w:pPr>
        <w:numPr>
          <w:ilvl w:val="0"/>
          <w:numId w:val="53"/>
        </w:numPr>
        <w:ind w:left="0" w:firstLine="0"/>
        <w:rPr>
          <w:rFonts w:cstheme="minorHAnsi"/>
          <w:noProof/>
        </w:rPr>
      </w:pPr>
      <w:r>
        <w:rPr>
          <w:noProof/>
        </w:rPr>
        <w:t>Apcietināšanas ordera izpildi var atteikt:</w:t>
      </w:r>
    </w:p>
    <w:p w:rsidR="003E022D" w:rsidRDefault="007D19D6">
      <w:pPr>
        <w:numPr>
          <w:ilvl w:val="1"/>
          <w:numId w:val="53"/>
        </w:numPr>
        <w:ind w:left="567" w:hanging="567"/>
        <w:rPr>
          <w:rFonts w:cstheme="minorHAnsi"/>
          <w:noProof/>
        </w:rPr>
      </w:pPr>
      <w:r>
        <w:rPr>
          <w:noProof/>
        </w:rPr>
        <w:t xml:space="preserve">ja vienā no gadījumiem, kas minēti </w:t>
      </w:r>
      <w:r>
        <w:rPr>
          <w:noProof/>
          <w:u w:color="000000"/>
        </w:rPr>
        <w:t>LAW.SURR.79. panta [Piemērošanas joma] 2. punktā</w:t>
      </w:r>
      <w:r>
        <w:rPr>
          <w:noProof/>
        </w:rPr>
        <w:t>, darbību, kas ir apcietināšanas ordera pamatā, neuzskata par pārkāpumu saskaņā ar izpildes valst</w:t>
      </w:r>
      <w:r>
        <w:rPr>
          <w:noProof/>
        </w:rPr>
        <w:t>s tiesību aktiem; tomēr attiecībā uz nodokļiem vai nodevām, muitu un valūtas maiņu apcietināšanas ordera izpildi nedrīkst atteikt, pamatojoties uz to, ka izpildes valsts tiesību akti neparedz tādus pašus nodokļus vai nodevas vai tajos nav ietverti tādi paš</w:t>
      </w:r>
      <w:r>
        <w:rPr>
          <w:noProof/>
        </w:rPr>
        <w:t xml:space="preserve">i noteikumi par nodokļiem, nodevām, muitu un valūtas maiņas noteikumiem kā izdošanas valsts tiesību aktos; </w:t>
      </w:r>
    </w:p>
    <w:p w:rsidR="003E022D" w:rsidRDefault="007D19D6">
      <w:pPr>
        <w:numPr>
          <w:ilvl w:val="1"/>
          <w:numId w:val="53"/>
        </w:numPr>
        <w:ind w:left="567" w:hanging="567"/>
        <w:rPr>
          <w:rFonts w:cstheme="minorHAnsi"/>
          <w:noProof/>
        </w:rPr>
      </w:pPr>
      <w:r>
        <w:rPr>
          <w:noProof/>
        </w:rPr>
        <w:t>ja izpildes valstī veic personas, par kuru ir izsniegts apcietināšanas orderis, kriminālvajāšanu par to pašu darbību, kas ir apcietināšanas ordera p</w:t>
      </w:r>
      <w:r>
        <w:rPr>
          <w:noProof/>
        </w:rPr>
        <w:t>amatā;</w:t>
      </w:r>
    </w:p>
    <w:p w:rsidR="003E022D" w:rsidRDefault="007D19D6">
      <w:pPr>
        <w:numPr>
          <w:ilvl w:val="1"/>
          <w:numId w:val="53"/>
        </w:numPr>
        <w:ind w:left="567" w:hanging="567"/>
        <w:rPr>
          <w:rFonts w:cstheme="minorHAnsi"/>
          <w:noProof/>
        </w:rPr>
      </w:pPr>
      <w:r>
        <w:rPr>
          <w:noProof/>
        </w:rPr>
        <w:t xml:space="preserve">ja izpildes valsts tiesu iestādes ir nolēmušas vai nu neveikt kriminālvajāšanu attiecībā uz nodarījumu, kas ir apcietināšanas ordera pamatā, vai procesu apturēt vai ja valstī attiecībā uz pieprasīto personu par tām pašām darbībām ir pieņemts galīgs </w:t>
      </w:r>
      <w:r>
        <w:rPr>
          <w:noProof/>
        </w:rPr>
        <w:t>spriedums, kas liedz procesu turpināt;</w:t>
      </w:r>
    </w:p>
    <w:p w:rsidR="003E022D" w:rsidRDefault="007D19D6">
      <w:pPr>
        <w:numPr>
          <w:ilvl w:val="1"/>
          <w:numId w:val="53"/>
        </w:numPr>
        <w:ind w:left="567" w:hanging="567"/>
        <w:rPr>
          <w:rFonts w:cstheme="minorHAnsi"/>
          <w:noProof/>
        </w:rPr>
      </w:pPr>
      <w:r>
        <w:rPr>
          <w:noProof/>
        </w:rPr>
        <w:t>ja ir iestājies noilgums saukšanai pie kriminālatbildības vai sodīšanai atbilstoši izpildes valsts tiesībām un uz darbībām attiecas šīs valsts jurisdikcija saskaņā ar tās krimināllikumu;</w:t>
      </w:r>
    </w:p>
    <w:p w:rsidR="003E022D" w:rsidRDefault="007D19D6">
      <w:pPr>
        <w:numPr>
          <w:ilvl w:val="1"/>
          <w:numId w:val="53"/>
        </w:numPr>
        <w:ind w:left="567" w:hanging="567"/>
        <w:rPr>
          <w:rFonts w:cstheme="minorHAnsi"/>
          <w:noProof/>
        </w:rPr>
      </w:pPr>
      <w:r>
        <w:rPr>
          <w:noProof/>
        </w:rPr>
        <w:t>ja izpildes tiesu iestāde ir i</w:t>
      </w:r>
      <w:r>
        <w:rPr>
          <w:noProof/>
        </w:rPr>
        <w:t>nformēta par to, ka pieprasītajai personai par tām pašām darbībām galīgais spriedums ir pasludināts trešā valstī, ar nosacījumu, ka notiesāšanas gadījumā sods jau ir izciests, persona to izcieš vai sodu vairs nevar izpildīt atbilstīgi sprieduma pasludināju</w:t>
      </w:r>
      <w:r>
        <w:rPr>
          <w:noProof/>
        </w:rPr>
        <w:t>šās valsts tiesību aktiem;</w:t>
      </w:r>
    </w:p>
    <w:p w:rsidR="003E022D" w:rsidRDefault="007D19D6">
      <w:pPr>
        <w:numPr>
          <w:ilvl w:val="1"/>
          <w:numId w:val="53"/>
        </w:numPr>
        <w:ind w:left="567" w:hanging="567"/>
        <w:rPr>
          <w:rFonts w:cstheme="minorHAnsi"/>
          <w:noProof/>
        </w:rPr>
      </w:pPr>
      <w:r>
        <w:rPr>
          <w:noProof/>
        </w:rPr>
        <w:t>ja apcietināšanas orderis ir izsniegts brīvības atņemšanas soda vai ar brīvības atņemšanu saistīta drošības līdzekļa izpildei, un pieprasītā persona paliek izpildes valstī, ir izpildes valsts pilsonis vai rezidents un šī valsts a</w:t>
      </w:r>
      <w:r>
        <w:rPr>
          <w:noProof/>
        </w:rPr>
        <w:t>pņemas izpildīt spriedumu vai piespiedu līdzekli saskaņā ar tās iekšzemes tiesību aktiem; ja nepieciešama pieprasītās personas piekrišana soda vai ar brīvības atņemšanu saistīta drošības līdzekļa izpildes nodošanai izpildes valstij, izpildes valsts var att</w:t>
      </w:r>
      <w:r>
        <w:rPr>
          <w:noProof/>
        </w:rPr>
        <w:t>eikties izpildīt apcietināšanas orderi tikai pēc tam, kad pieprasītā persona ir piekritusi soda vai ar brīvības atņemšanu saistītā drošības līdzekļa izpildes nodošanai;</w:t>
      </w:r>
    </w:p>
    <w:p w:rsidR="003E022D" w:rsidRDefault="007D19D6">
      <w:pPr>
        <w:numPr>
          <w:ilvl w:val="1"/>
          <w:numId w:val="53"/>
        </w:numPr>
        <w:ind w:left="567" w:hanging="567"/>
        <w:rPr>
          <w:rFonts w:cstheme="minorHAnsi"/>
          <w:noProof/>
        </w:rPr>
      </w:pPr>
      <w:r>
        <w:rPr>
          <w:noProof/>
        </w:rPr>
        <w:t>ja apcietināšanas orderis attiecas uz nodarījumiem, kuri:</w:t>
      </w:r>
    </w:p>
    <w:p w:rsidR="003E022D" w:rsidRDefault="007D19D6">
      <w:pPr>
        <w:pStyle w:val="Point"/>
        <w:numPr>
          <w:ilvl w:val="2"/>
          <w:numId w:val="567"/>
        </w:numPr>
        <w:rPr>
          <w:rFonts w:cstheme="minorHAnsi"/>
          <w:noProof/>
        </w:rPr>
      </w:pPr>
      <w:r>
        <w:rPr>
          <w:noProof/>
        </w:rPr>
        <w:t xml:space="preserve">saskaņā ar izpildes valsts </w:t>
      </w:r>
      <w:r>
        <w:rPr>
          <w:noProof/>
        </w:rPr>
        <w:t>tiesību aktiem atzīti par pilnīgi vai daļēji izdarītiem izpildes valsts teritorijā vai vietā, ko par tādu uzskata;</w:t>
      </w:r>
    </w:p>
    <w:p w:rsidR="003E022D" w:rsidRDefault="007D19D6">
      <w:pPr>
        <w:numPr>
          <w:ilvl w:val="2"/>
          <w:numId w:val="128"/>
        </w:numPr>
        <w:ind w:left="1276" w:hanging="567"/>
        <w:rPr>
          <w:rFonts w:cstheme="minorHAnsi"/>
          <w:noProof/>
        </w:rPr>
      </w:pPr>
      <w:r>
        <w:rPr>
          <w:noProof/>
        </w:rPr>
        <w:t>veikti ārpus izsniegšanas valsts teritorijas, un izpildes valsts tiesību akti neļauj veikt kriminālvajāšanu par tādiem pašiem nodarījumiem, j</w:t>
      </w:r>
      <w:r>
        <w:rPr>
          <w:noProof/>
        </w:rPr>
        <w:t>a tie izdarīti ārpus tās teritorijas;</w:t>
      </w:r>
    </w:p>
    <w:p w:rsidR="003E022D" w:rsidRDefault="007D19D6">
      <w:pPr>
        <w:numPr>
          <w:ilvl w:val="1"/>
          <w:numId w:val="53"/>
        </w:numPr>
        <w:ind w:left="567" w:hanging="567"/>
        <w:rPr>
          <w:rFonts w:cstheme="minorHAnsi"/>
          <w:noProof/>
        </w:rPr>
      </w:pPr>
      <w:r>
        <w:rPr>
          <w:noProof/>
        </w:rPr>
        <w:t>ja, pamatojoties uz objektīviem apstākļiem, ir iemesls domāt, ka minētais apcietināšanas orderis ir izsniegts, lai veiktu personas vajāšanu vai sodīšanu tās dzimuma, rases, reliģijas, etniskās izcelsmes, valstiskās pie</w:t>
      </w:r>
      <w:r>
        <w:rPr>
          <w:noProof/>
        </w:rPr>
        <w:t>derības, valodas, politisko uzskatu vai seksuālās orientācijas dēļ, vai ka šīs personas stāvokli varētu pasliktināt kāda no minētajiem iemesliem dēļ;</w:t>
      </w:r>
    </w:p>
    <w:p w:rsidR="003E022D" w:rsidRDefault="007D19D6">
      <w:pPr>
        <w:numPr>
          <w:ilvl w:val="1"/>
          <w:numId w:val="53"/>
        </w:numPr>
        <w:ind w:left="567" w:hanging="567"/>
        <w:rPr>
          <w:rFonts w:cstheme="minorHAnsi"/>
          <w:noProof/>
        </w:rPr>
      </w:pPr>
      <w:r>
        <w:rPr>
          <w:noProof/>
        </w:rPr>
        <w:t>ja apcietināšanas orderis ir izsniegts brīvības atņemšanas soda vai ar brīvības atņemšanu saistīta drošība</w:t>
      </w:r>
      <w:r>
        <w:rPr>
          <w:noProof/>
        </w:rPr>
        <w:t>s līdzekļa izpildei un nolēmums pieņemts aizmuguriski, izņemot gadījumus, kad apcietināšanas orderī norādīts, ka saskaņā ar turpmākām izsniegšanas valsts iekšzemes tiesību aktos paredzētām procesuālajām prasībām attiecīgā persona:</w:t>
      </w:r>
    </w:p>
    <w:p w:rsidR="003E022D" w:rsidRDefault="007D19D6">
      <w:pPr>
        <w:pStyle w:val="Point"/>
        <w:numPr>
          <w:ilvl w:val="2"/>
          <w:numId w:val="567"/>
        </w:numPr>
        <w:rPr>
          <w:rFonts w:cstheme="minorHAnsi"/>
          <w:noProof/>
        </w:rPr>
      </w:pPr>
      <w:r>
        <w:rPr>
          <w:noProof/>
        </w:rPr>
        <w:t>vai nu savlaicīgi:</w:t>
      </w:r>
    </w:p>
    <w:p w:rsidR="003E022D" w:rsidRDefault="007D19D6">
      <w:pPr>
        <w:numPr>
          <w:ilvl w:val="2"/>
          <w:numId w:val="144"/>
        </w:numPr>
        <w:spacing w:after="200" w:line="276" w:lineRule="auto"/>
        <w:ind w:left="2138" w:hanging="709"/>
        <w:jc w:val="left"/>
        <w:rPr>
          <w:rFonts w:cstheme="minorHAnsi"/>
          <w:noProof/>
        </w:rPr>
      </w:pPr>
      <w:r>
        <w:rPr>
          <w:noProof/>
        </w:rPr>
        <w:t>saņēma</w:t>
      </w:r>
      <w:r>
        <w:rPr>
          <w:noProof/>
        </w:rPr>
        <w:t xml:space="preserve"> pavēsti un tādējādi tika informēta par tās lietas izskatīšanas plānoto dienu un vietu, kurā pieņemts spriedums, vai ar citiem līdzekļiem saņēma oficiālu informāciju par minētās lietas izskatīšanas plānoto dienu un vietu tādā veidā, ka ir nepārprotami kons</w:t>
      </w:r>
      <w:r>
        <w:rPr>
          <w:noProof/>
        </w:rPr>
        <w:t>tatēts, ka attiecīgā persona zināja par paredzēto dienu un vietu lietas izskatīšanai,</w:t>
      </w:r>
    </w:p>
    <w:p w:rsidR="003E022D" w:rsidRDefault="007D19D6">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un</w:t>
      </w:r>
    </w:p>
    <w:p w:rsidR="003E022D" w:rsidRDefault="007D19D6">
      <w:pPr>
        <w:numPr>
          <w:ilvl w:val="2"/>
          <w:numId w:val="144"/>
        </w:numPr>
        <w:spacing w:after="200" w:line="276" w:lineRule="auto"/>
        <w:ind w:left="2138" w:hanging="709"/>
        <w:jc w:val="left"/>
        <w:rPr>
          <w:rFonts w:cstheme="minorHAnsi"/>
          <w:noProof/>
        </w:rPr>
      </w:pPr>
      <w:r>
        <w:rPr>
          <w:noProof/>
        </w:rPr>
        <w:t>tika informēta par to, ka spriedums var tikt pieņemts aizmuguriski;</w:t>
      </w:r>
    </w:p>
    <w:p w:rsidR="003E022D" w:rsidRDefault="007D19D6">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vai</w:t>
      </w:r>
    </w:p>
    <w:p w:rsidR="003E022D" w:rsidRDefault="007D19D6">
      <w:pPr>
        <w:pStyle w:val="Point"/>
        <w:numPr>
          <w:ilvl w:val="2"/>
          <w:numId w:val="128"/>
        </w:numPr>
        <w:ind w:left="1276" w:hanging="567"/>
        <w:rPr>
          <w:rFonts w:cstheme="minorHAnsi"/>
          <w:noProof/>
        </w:rPr>
      </w:pPr>
      <w:r>
        <w:rPr>
          <w:noProof/>
        </w:rPr>
        <w:t xml:space="preserve">zinādama par paredzēto dienu un vietu lietas izskatīšanai, bija pilnvarojusi attiecīgās </w:t>
      </w:r>
      <w:r>
        <w:rPr>
          <w:noProof/>
        </w:rPr>
        <w:t>personas vai valsts norīkotu juristu aizstāvēt viņu lietas izskatīšanā, un minētais jurists patiešām aizstāvēja attiecīgo personu minētajā lietas izskatīšanā;</w:t>
      </w:r>
    </w:p>
    <w:p w:rsidR="003E022D" w:rsidRDefault="007D19D6">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vai</w:t>
      </w:r>
    </w:p>
    <w:p w:rsidR="003E022D" w:rsidRDefault="007D19D6">
      <w:pPr>
        <w:pStyle w:val="Point"/>
        <w:numPr>
          <w:ilvl w:val="2"/>
          <w:numId w:val="128"/>
        </w:numPr>
        <w:ind w:left="1276" w:hanging="567"/>
        <w:rPr>
          <w:rFonts w:cstheme="minorHAnsi"/>
          <w:noProof/>
        </w:rPr>
      </w:pPr>
      <w:r>
        <w:rPr>
          <w:noProof/>
        </w:rPr>
        <w:t>ir saņēmusi spriedumu un, būdama skaidri informēta par tiesībām uz lietas atkārtotu izskatīša</w:t>
      </w:r>
      <w:r>
        <w:rPr>
          <w:noProof/>
        </w:rPr>
        <w:t>nu vai pārsūdzību, kurā personai ir tiesības piedalīties un kura dod iespēju lietu, tostarp jaunus pierādījumus, atkārtoti izskatīt pēc būtības, un kuras rezultātā sākotnējais spriedums varētu tikt atcelts:</w:t>
      </w:r>
    </w:p>
    <w:p w:rsidR="003E022D" w:rsidRDefault="007D19D6">
      <w:pPr>
        <w:numPr>
          <w:ilvl w:val="0"/>
          <w:numId w:val="190"/>
        </w:numPr>
        <w:spacing w:after="200" w:line="276" w:lineRule="auto"/>
        <w:ind w:left="2138" w:hanging="709"/>
        <w:jc w:val="left"/>
        <w:rPr>
          <w:rFonts w:cstheme="minorHAnsi"/>
          <w:noProof/>
        </w:rPr>
      </w:pPr>
      <w:r>
        <w:rPr>
          <w:noProof/>
        </w:rPr>
        <w:t>persona skaidri paziņojusi, ka neapstrīd nolēmumu</w:t>
      </w:r>
      <w:r>
        <w:rPr>
          <w:noProof/>
        </w:rPr>
        <w:t>;</w:t>
      </w:r>
    </w:p>
    <w:p w:rsidR="003E022D" w:rsidRDefault="007D19D6">
      <w:pPr>
        <w:pStyle w:val="List1"/>
        <w:spacing w:before="0" w:beforeAutospacing="0" w:after="240" w:afterAutospacing="0" w:line="276" w:lineRule="auto"/>
        <w:ind w:left="1701" w:hanging="261"/>
        <w:jc w:val="both"/>
        <w:rPr>
          <w:rFonts w:asciiTheme="minorHAnsi" w:hAnsiTheme="minorHAnsi" w:cstheme="minorHAnsi"/>
          <w:noProof/>
          <w:sz w:val="22"/>
          <w:szCs w:val="22"/>
        </w:rPr>
      </w:pPr>
      <w:r>
        <w:rPr>
          <w:rFonts w:asciiTheme="minorHAnsi" w:hAnsiTheme="minorHAnsi"/>
          <w:noProof/>
          <w:sz w:val="22"/>
          <w:szCs w:val="22"/>
        </w:rPr>
        <w:t>vai</w:t>
      </w:r>
    </w:p>
    <w:p w:rsidR="003E022D" w:rsidRDefault="007D19D6">
      <w:pPr>
        <w:numPr>
          <w:ilvl w:val="0"/>
          <w:numId w:val="190"/>
        </w:numPr>
        <w:spacing w:after="200" w:line="276" w:lineRule="auto"/>
        <w:ind w:left="2138" w:hanging="709"/>
        <w:jc w:val="left"/>
        <w:rPr>
          <w:rFonts w:cstheme="minorHAnsi"/>
          <w:noProof/>
        </w:rPr>
      </w:pPr>
      <w:r>
        <w:rPr>
          <w:noProof/>
        </w:rPr>
        <w:t>attiecīgajā termiņā nav lūgusi lietas atkārtotu izskatīšanu vai pārsūdzību;</w:t>
      </w:r>
    </w:p>
    <w:p w:rsidR="003E022D" w:rsidRDefault="007D19D6">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vai</w:t>
      </w:r>
    </w:p>
    <w:p w:rsidR="003E022D" w:rsidRDefault="007D19D6">
      <w:pPr>
        <w:pStyle w:val="Point"/>
        <w:numPr>
          <w:ilvl w:val="2"/>
          <w:numId w:val="128"/>
        </w:numPr>
        <w:ind w:left="1276" w:hanging="567"/>
        <w:rPr>
          <w:rFonts w:cstheme="minorHAnsi"/>
          <w:noProof/>
        </w:rPr>
      </w:pPr>
      <w:r>
        <w:rPr>
          <w:noProof/>
        </w:rPr>
        <w:t>nav saņēmusi nolēmumu, bet:</w:t>
      </w:r>
    </w:p>
    <w:p w:rsidR="003E022D" w:rsidRDefault="007D19D6">
      <w:pPr>
        <w:numPr>
          <w:ilvl w:val="0"/>
          <w:numId w:val="191"/>
        </w:numPr>
        <w:spacing w:after="200" w:line="276" w:lineRule="auto"/>
        <w:ind w:left="2138" w:hanging="709"/>
        <w:jc w:val="left"/>
        <w:rPr>
          <w:rFonts w:cstheme="minorHAnsi"/>
          <w:noProof/>
        </w:rPr>
      </w:pPr>
      <w:r>
        <w:rPr>
          <w:noProof/>
        </w:rPr>
        <w:t xml:space="preserve">nolēmums personai tiks izsniegts tūlīt pēc nodošanas un persona tiks skaidri informēta par viņas tiesībām uz lietas atkārtotu izskatīšanu vai </w:t>
      </w:r>
      <w:r>
        <w:rPr>
          <w:noProof/>
        </w:rPr>
        <w:t>pārsūdzību, kurā viņai ir tiesības piedalīties un kura dod iespēju lietu, tostarp jaunus pierādījumus, atkārtoti izskatīt pēc būtības, un kuras rezultātā sākotnējais nolēmums varētu tikt atcelts;</w:t>
      </w:r>
    </w:p>
    <w:p w:rsidR="003E022D" w:rsidRDefault="007D19D6">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un</w:t>
      </w:r>
    </w:p>
    <w:p w:rsidR="003E022D" w:rsidRDefault="007D19D6">
      <w:pPr>
        <w:numPr>
          <w:ilvl w:val="0"/>
          <w:numId w:val="191"/>
        </w:numPr>
        <w:spacing w:after="200" w:line="276" w:lineRule="auto"/>
        <w:ind w:left="2138" w:hanging="709"/>
        <w:jc w:val="left"/>
        <w:rPr>
          <w:rFonts w:cstheme="minorHAnsi"/>
          <w:noProof/>
        </w:rPr>
      </w:pPr>
      <w:r>
        <w:rPr>
          <w:noProof/>
        </w:rPr>
        <w:t>tiks informēta par termiņu, kādā personai jāpieprasa šāda</w:t>
      </w:r>
      <w:r>
        <w:rPr>
          <w:noProof/>
        </w:rPr>
        <w:t xml:space="preserve"> lietas atkārtota izskatīšana vai pārsūdzība, kā minēts atbilstīgajā apcietināšanas orderī. </w:t>
      </w:r>
    </w:p>
    <w:p w:rsidR="003E022D" w:rsidRDefault="007D19D6">
      <w:pPr>
        <w:rPr>
          <w:rFonts w:cstheme="minorHAnsi"/>
          <w:noProof/>
        </w:rPr>
      </w:pPr>
      <w:r>
        <w:rPr>
          <w:noProof/>
        </w:rPr>
        <w:t xml:space="preserve">2. </w:t>
      </w:r>
      <w:r>
        <w:rPr>
          <w:noProof/>
        </w:rPr>
        <w:tab/>
        <w:t>Ja apcietināšanas orderis ir izdots, lai izpildītu brīvības atņemšanas sodu vai piemērotu ar brīvības atņemšanu saistītu drošības līdzekli atbilstīgi 1. punkta</w:t>
      </w:r>
      <w:r>
        <w:rPr>
          <w:noProof/>
        </w:rPr>
        <w:t xml:space="preserve"> i) apakšpunkta iv) punktā paredzētajiem nosacījumiem, un ja attiecīgā persona nav iepriekš saņēmusi nekādu oficiālu informāciju par to, ka pret viņu ir ierosināta krimināllieta, tad attiecīgā persona, kad viņa tiek informēta par apcietināšanas ordera satu</w:t>
      </w:r>
      <w:r>
        <w:rPr>
          <w:noProof/>
        </w:rPr>
        <w:t>ru, var lūgt pirms nodošanas saņemt sprieduma kopiju. Tūlīt pēc tam, kad tā ir informēta par šādu lūgumu, izsniegšanas iestāde attiecīgajai personai ar izpildes iestādes starpniecību nodrošina sprieduma kopiju. Attiecīgās personas lūgums nekavē ne nodošana</w:t>
      </w:r>
      <w:r>
        <w:rPr>
          <w:noProof/>
        </w:rPr>
        <w:t>s procedūru, ne lēmumu izpildīt apcietināšanas orderi. Sprieduma nodrošināšana attiecīgajai personai notiek tikai informācijas nolūkos; to neuzskata par sprieduma oficiālu izsniegšanu, un tā neskar nekādus termiņus, ko piemēro lūgumam par lietas atkārotu i</w:t>
      </w:r>
      <w:r>
        <w:rPr>
          <w:noProof/>
        </w:rPr>
        <w:t>zskatīšanu vai pārsūdzību.</w:t>
      </w:r>
    </w:p>
    <w:p w:rsidR="003E022D" w:rsidRDefault="007D19D6">
      <w:pPr>
        <w:rPr>
          <w:rFonts w:eastAsia="Arial Unicode MS" w:cstheme="minorHAnsi"/>
          <w:noProof/>
          <w:color w:val="000000"/>
          <w:u w:color="000000"/>
          <w:bdr w:val="nil"/>
        </w:rPr>
      </w:pPr>
      <w:r>
        <w:rPr>
          <w:noProof/>
        </w:rPr>
        <w:t xml:space="preserve">3. </w:t>
      </w:r>
      <w:r>
        <w:rPr>
          <w:noProof/>
        </w:rPr>
        <w:tab/>
      </w:r>
      <w:r>
        <w:rPr>
          <w:noProof/>
          <w:color w:val="000000"/>
          <w:u w:color="000000"/>
          <w:bdr w:val="nil"/>
        </w:rPr>
        <w:t>Ja personu nodod atbilstīgi 1. punkta i) apakšpunkta iv) punktā paredzētajiem nosacījumiem un ja attiecīgā persona ir lūgusi lietas atkārtotu izskatīšanu vai pārsūdzību, līdz tiesvedības pabeigšanai šādas personas, kura gaida</w:t>
      </w:r>
      <w:r>
        <w:rPr>
          <w:noProof/>
          <w:color w:val="000000"/>
          <w:u w:color="000000"/>
          <w:bdr w:val="nil"/>
        </w:rPr>
        <w:t xml:space="preserve"> lietas atkārtotu izskatīšanu vai pārsūdzības pabeigšanu, apcietinājumu pārskata saskaņā ar izsniegšanas valsts iekšzemes tiesību aktiem vai nu parastajā kārtībā, vai arī pēc attiecīgās personas lūguma. Šāda pārskatīšana jo īpaši ietver iespēju apcietināju</w:t>
      </w:r>
      <w:r>
        <w:rPr>
          <w:noProof/>
          <w:color w:val="000000"/>
          <w:u w:color="000000"/>
          <w:bdr w:val="nil"/>
        </w:rPr>
        <w:t>mu apturēt vai pārtraukt. Lietas atkārtota izskatīšana vai pārsūdzība sākas pienācīgā laikā pēc nodošanas.</w:t>
      </w:r>
    </w:p>
    <w:p w:rsidR="003E022D" w:rsidRDefault="007D19D6">
      <w:pPr>
        <w:pStyle w:val="Article"/>
        <w:rPr>
          <w:noProof/>
        </w:rPr>
      </w:pPr>
      <w:bookmarkStart w:id="563" w:name="_ARTICLE_93"/>
      <w:bookmarkStart w:id="564" w:name="_Toc29896082"/>
      <w:bookmarkStart w:id="565" w:name="_Ref31043269"/>
      <w:bookmarkStart w:id="566" w:name="_Ref31043650"/>
      <w:bookmarkStart w:id="567" w:name="_Ref31043967"/>
      <w:bookmarkStart w:id="568" w:name="_Ref31044105"/>
      <w:bookmarkStart w:id="569" w:name="_Ref31044327"/>
      <w:bookmarkStart w:id="570" w:name="_Ref31044796"/>
      <w:bookmarkStart w:id="571" w:name="_Ref31044981"/>
      <w:bookmarkStart w:id="572" w:name="_Ref31058542"/>
      <w:bookmarkStart w:id="573" w:name="_Ref31059258"/>
      <w:bookmarkStart w:id="574" w:name="_Ref31059742"/>
      <w:bookmarkStart w:id="575" w:name="_Ref31060018"/>
      <w:bookmarkStart w:id="576" w:name="_Ref31060366"/>
      <w:bookmarkStart w:id="577" w:name="_Ref31060853"/>
      <w:bookmarkStart w:id="578" w:name="_Ref31061230"/>
      <w:bookmarkStart w:id="579" w:name="_Toc58920292"/>
      <w:bookmarkEnd w:id="563"/>
      <w:r>
        <w:rPr>
          <w:noProof/>
        </w:rPr>
        <w:t>LAW.SURR.82. </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Pr>
          <w:noProof/>
        </w:rPr>
        <w:t xml:space="preserve">pants. </w:t>
      </w:r>
      <w:bookmarkStart w:id="580" w:name="_Toc29896083"/>
      <w:r>
        <w:rPr>
          <w:noProof/>
        </w:rPr>
        <w:t>Izņēmums politiska nodarījuma gadījumā</w:t>
      </w:r>
      <w:bookmarkEnd w:id="579"/>
      <w:bookmarkEnd w:id="580"/>
    </w:p>
    <w:p w:rsidR="003E022D" w:rsidRDefault="007D19D6">
      <w:pPr>
        <w:numPr>
          <w:ilvl w:val="6"/>
          <w:numId w:val="54"/>
        </w:numPr>
        <w:ind w:left="0" w:firstLine="0"/>
        <w:rPr>
          <w:rFonts w:cstheme="minorHAnsi"/>
          <w:noProof/>
        </w:rPr>
      </w:pPr>
      <w:r>
        <w:rPr>
          <w:noProof/>
        </w:rPr>
        <w:t>Apcietināšanas ordera izpildi nevar atteikt, pamatojoties uz to, ka izpildes valsts nodarī</w:t>
      </w:r>
      <w:r>
        <w:rPr>
          <w:noProof/>
        </w:rPr>
        <w:t>jumu var uzskatīt par politisku nodarījumu, par nodarījumu saistībā ar politisku nodarījumu vai nodarījumu, kas veikts politisku motīvu ietekmē.</w:t>
      </w:r>
    </w:p>
    <w:p w:rsidR="003E022D" w:rsidRDefault="007D19D6">
      <w:pPr>
        <w:numPr>
          <w:ilvl w:val="0"/>
          <w:numId w:val="54"/>
        </w:numPr>
        <w:ind w:left="0" w:firstLine="0"/>
        <w:rPr>
          <w:rFonts w:cstheme="minorHAnsi"/>
          <w:noProof/>
        </w:rPr>
      </w:pPr>
      <w:r>
        <w:rPr>
          <w:noProof/>
        </w:rPr>
        <w:t xml:space="preserve">Tomēr Apvienotā Karaliste un Savienība, darbojoties jebkuras tās dalībvalsts uzdevumā, katra var informēt </w:t>
      </w:r>
      <w:r>
        <w:rPr>
          <w:noProof/>
        </w:rPr>
        <w:t>Specializēto komiteju tiesībaizsardzības un tiesu iestāžu sadarbības jomā par to, ka 1. punkts tiks piemērots vienīgi attiecībā uz:</w:t>
      </w:r>
    </w:p>
    <w:p w:rsidR="003E022D" w:rsidRDefault="007D19D6">
      <w:pPr>
        <w:numPr>
          <w:ilvl w:val="1"/>
          <w:numId w:val="54"/>
        </w:numPr>
        <w:ind w:left="567" w:hanging="567"/>
        <w:rPr>
          <w:rFonts w:cstheme="minorHAnsi"/>
          <w:noProof/>
        </w:rPr>
      </w:pPr>
      <w:r>
        <w:rPr>
          <w:noProof/>
        </w:rPr>
        <w:t>nodarījumiem, kas minēti Eiropas Konvencijā par terorisma apkarošanu 1. un 2. pantā;</w:t>
      </w:r>
    </w:p>
    <w:p w:rsidR="003E022D" w:rsidRDefault="007D19D6">
      <w:pPr>
        <w:numPr>
          <w:ilvl w:val="1"/>
          <w:numId w:val="54"/>
        </w:numPr>
        <w:ind w:left="567" w:hanging="567"/>
        <w:rPr>
          <w:rFonts w:cstheme="minorHAnsi"/>
          <w:noProof/>
        </w:rPr>
      </w:pPr>
      <w:r>
        <w:rPr>
          <w:noProof/>
        </w:rPr>
        <w:t>nodarījumiem sazvērestībā vai apvienībā</w:t>
      </w:r>
      <w:r>
        <w:rPr>
          <w:noProof/>
        </w:rPr>
        <w:t xml:space="preserve"> ar noziedzīgu grupu nolūkā izdarīt vienu vai vairākus nodarījumus, kuri minēti Eiropas Konvencijas par terorisma apkarošanu 1. un 2. pantā, ja minētie nodarījumi sazvērestībā vai apvienībā atbilst šā nolīguma </w:t>
      </w:r>
      <w:r>
        <w:rPr>
          <w:noProof/>
          <w:u w:color="000000"/>
        </w:rPr>
        <w:t>LAW.SURR.79. panta [Piemērošanas joma] 3. punk</w:t>
      </w:r>
      <w:r>
        <w:rPr>
          <w:noProof/>
          <w:u w:color="000000"/>
        </w:rPr>
        <w:t>tā</w:t>
      </w:r>
      <w:r>
        <w:rPr>
          <w:noProof/>
        </w:rPr>
        <w:t xml:space="preserve"> sniegtajam darbību aprakstam; un</w:t>
      </w:r>
    </w:p>
    <w:p w:rsidR="003E022D" w:rsidRDefault="007D19D6">
      <w:pPr>
        <w:numPr>
          <w:ilvl w:val="1"/>
          <w:numId w:val="54"/>
        </w:numPr>
        <w:ind w:left="567" w:hanging="567"/>
        <w:rPr>
          <w:rFonts w:cstheme="minorHAnsi"/>
          <w:noProof/>
        </w:rPr>
      </w:pPr>
      <w:r>
        <w:rPr>
          <w:noProof/>
        </w:rPr>
        <w:t xml:space="preserve">terorismu, kā definēts šā nolīguma </w:t>
      </w:r>
      <w:r>
        <w:rPr>
          <w:noProof/>
          <w:u w:color="000000"/>
        </w:rPr>
        <w:t>LAW-7. PIELIKUMĀ</w:t>
      </w:r>
      <w:r>
        <w:rPr>
          <w:noProof/>
        </w:rPr>
        <w:t>.</w:t>
      </w:r>
    </w:p>
    <w:p w:rsidR="003E022D" w:rsidRDefault="007D19D6">
      <w:pPr>
        <w:numPr>
          <w:ilvl w:val="0"/>
          <w:numId w:val="54"/>
        </w:numPr>
        <w:ind w:left="0" w:firstLine="0"/>
        <w:rPr>
          <w:rFonts w:cstheme="minorHAnsi"/>
          <w:noProof/>
        </w:rPr>
      </w:pPr>
      <w:r>
        <w:rPr>
          <w:noProof/>
        </w:rPr>
        <w:t>Ja apcietināšanas orderi ir izdevusi valsts, kura sniegusi 2. punktā minēto paziņojumu, vai valsts, kuras vārdā šāds paziņojums ir sniegts, apcietināšanas ordera izpil</w:t>
      </w:r>
      <w:r>
        <w:rPr>
          <w:noProof/>
        </w:rPr>
        <w:t xml:space="preserve">des valsts var piemērot savstarpību. </w:t>
      </w:r>
    </w:p>
    <w:p w:rsidR="003E022D" w:rsidRDefault="007D19D6">
      <w:pPr>
        <w:pStyle w:val="Article"/>
        <w:rPr>
          <w:noProof/>
        </w:rPr>
      </w:pPr>
      <w:bookmarkStart w:id="581" w:name="_ARTICLE_94"/>
      <w:bookmarkStart w:id="582" w:name="_Toc29896084"/>
      <w:bookmarkStart w:id="583" w:name="_Ref31043299"/>
      <w:bookmarkStart w:id="584" w:name="_Ref31043835"/>
      <w:bookmarkStart w:id="585" w:name="_Ref31043983"/>
      <w:bookmarkStart w:id="586" w:name="_Ref31044115"/>
      <w:bookmarkStart w:id="587" w:name="_Ref31044342"/>
      <w:bookmarkStart w:id="588" w:name="_Ref31044370"/>
      <w:bookmarkStart w:id="589" w:name="_Ref31044809"/>
      <w:bookmarkStart w:id="590" w:name="_Ref31044992"/>
      <w:bookmarkStart w:id="591" w:name="_Ref31058572"/>
      <w:bookmarkStart w:id="592" w:name="_Ref31059582"/>
      <w:bookmarkStart w:id="593" w:name="_Ref31059765"/>
      <w:bookmarkStart w:id="594" w:name="_Ref31059781"/>
      <w:bookmarkStart w:id="595" w:name="_Ref31060089"/>
      <w:bookmarkStart w:id="596" w:name="_Ref31060384"/>
      <w:bookmarkStart w:id="597" w:name="_Ref31060443"/>
      <w:bookmarkStart w:id="598" w:name="_Ref31060876"/>
      <w:bookmarkStart w:id="599" w:name="_Ref31061248"/>
      <w:bookmarkStart w:id="600" w:name="_Toc58920293"/>
      <w:bookmarkEnd w:id="581"/>
      <w:r>
        <w:rPr>
          <w:noProof/>
        </w:rPr>
        <w:t>LAW.SURR.83. </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Pr>
          <w:noProof/>
        </w:rPr>
        <w:t xml:space="preserve">pants. </w:t>
      </w:r>
      <w:bookmarkStart w:id="601" w:name="_Toc29896085"/>
      <w:r>
        <w:rPr>
          <w:noProof/>
        </w:rPr>
        <w:t>Izņēmums saistībā ar valstspiederību</w:t>
      </w:r>
      <w:bookmarkEnd w:id="600"/>
      <w:bookmarkEnd w:id="601"/>
    </w:p>
    <w:p w:rsidR="003E022D" w:rsidRDefault="007D19D6">
      <w:pPr>
        <w:numPr>
          <w:ilvl w:val="6"/>
          <w:numId w:val="55"/>
        </w:numPr>
        <w:ind w:left="0" w:firstLine="0"/>
        <w:rPr>
          <w:rFonts w:cstheme="minorHAnsi"/>
          <w:noProof/>
        </w:rPr>
      </w:pPr>
      <w:r>
        <w:rPr>
          <w:noProof/>
        </w:rPr>
        <w:t>Apcietināšanas ordera izpildi nevar atteikt, pamatojoties uz to, ka pieprasītā persona ir izpildes valsts valstspiederīgais.</w:t>
      </w:r>
    </w:p>
    <w:p w:rsidR="003E022D" w:rsidRDefault="007D19D6">
      <w:pPr>
        <w:numPr>
          <w:ilvl w:val="6"/>
          <w:numId w:val="55"/>
        </w:numPr>
        <w:ind w:left="0" w:firstLine="0"/>
        <w:rPr>
          <w:rFonts w:cstheme="minorHAnsi"/>
          <w:noProof/>
        </w:rPr>
      </w:pPr>
      <w:r>
        <w:rPr>
          <w:noProof/>
        </w:rPr>
        <w:t>Apvienotā Karaliste un Savienība, da</w:t>
      </w:r>
      <w:r>
        <w:rPr>
          <w:noProof/>
        </w:rPr>
        <w:t>rbojoties jebkuras tās dalībvalsts uzdevumā, katra var informēt Specializēto komiteju tiesībaizsardzības un tiesu iestāžu sadarbības jomā par to, ka to valstspiederīgie netiks nodoti vai ka tās valstspiederīgo nodošana tiks atļauta, vienīgi ievērojot atsev</w:t>
      </w:r>
      <w:r>
        <w:rPr>
          <w:noProof/>
        </w:rPr>
        <w:t>išķus konkrētus nosacījumus. Paziņojums jāsniedz, pamatojoties uz iemesliem saistībā ar Apvienotās Karalistes vai tās valsts, kuras uzdevumā sniegts paziņojums, pamatprincipiem vai iekšzemes tiesību sistēmā pieņemto praksi. Šādā gadījumā Savienība, darbojo</w:t>
      </w:r>
      <w:r>
        <w:rPr>
          <w:noProof/>
        </w:rPr>
        <w:t>ties jebkuras tās dalībvalsts uzdevumā, vai Apvienotā Karaliste attiecīgā gadījumā var pieņemamā termiņā pēc otras Puses paziņojuma saņemšanas informēt Specializēto komiteju tiesībaizsardzības un tiesu iestāžu sadarbības jomā par to, ka attiecīgi dalībvals</w:t>
      </w:r>
      <w:r>
        <w:rPr>
          <w:noProof/>
        </w:rPr>
        <w:t>tu vai Apvienotās Karalistes izpildes tiesu iestādes var atteikties nodot savu valstspiederīgo minētajai valstij vai ka nodošanu atļaus, vienīgi ievērojot atsevišķus konkrētus nosacījumus.</w:t>
      </w:r>
      <w:r>
        <w:rPr>
          <w:noProof/>
          <w:color w:val="FF0000"/>
        </w:rPr>
        <w:t xml:space="preserve"> </w:t>
      </w:r>
    </w:p>
    <w:p w:rsidR="003E022D" w:rsidRDefault="007D19D6">
      <w:pPr>
        <w:rPr>
          <w:rFonts w:cstheme="minorHAnsi"/>
          <w:noProof/>
        </w:rPr>
      </w:pPr>
      <w:r>
        <w:rPr>
          <w:noProof/>
        </w:rPr>
        <w:t>3.</w:t>
      </w:r>
      <w:r>
        <w:rPr>
          <w:noProof/>
        </w:rPr>
        <w:tab/>
        <w:t>Apstākļos, kad valsts ir atteikusies izpildīt apcietināšanas or</w:t>
      </w:r>
      <w:r>
        <w:rPr>
          <w:noProof/>
        </w:rPr>
        <w:t>deri, pamatojoties uz to, ka – Apvienotās Karalistes gadījumā – tā ir sniegusi paziņojumu, vai – dalībvalsts gadījumā – Savienība dalībvalsts uzdevumā ir sniegusi paziņojumu, kā minēts 2. punktā, minētā valsts, ņemot vērā izsniegšanas valsts viedokli, apsv</w:t>
      </w:r>
      <w:r>
        <w:rPr>
          <w:noProof/>
        </w:rPr>
        <w:t>er tādas tiesvedības sākšanu pret savu valstspiederīgo, kas būtu samērīga ar apcietināšanas ordera priekšmetu. Apstākļos, kad tiesu iestāde nolemj neuzsākt šādu tiesvedību, apcietināšanas ordera pamatā esošā nodarījumā cietušajam jābūt iespējai saņemt info</w:t>
      </w:r>
      <w:r>
        <w:rPr>
          <w:noProof/>
        </w:rPr>
        <w:t xml:space="preserve">rmāciju par lēmumu saskaņā ar piemērojamajām iekšzemes tiesībām. </w:t>
      </w:r>
    </w:p>
    <w:p w:rsidR="003E022D" w:rsidRDefault="007D19D6">
      <w:pPr>
        <w:pStyle w:val="ListParagraph"/>
        <w:numPr>
          <w:ilvl w:val="0"/>
          <w:numId w:val="491"/>
        </w:numPr>
        <w:pBdr>
          <w:top w:val="nil"/>
          <w:left w:val="nil"/>
          <w:bottom w:val="nil"/>
          <w:right w:val="nil"/>
          <w:between w:val="nil"/>
          <w:bar w:val="nil"/>
        </w:pBdr>
        <w:tabs>
          <w:tab w:val="clear" w:pos="720"/>
        </w:tabs>
        <w:ind w:left="0" w:firstLine="0"/>
        <w:contextualSpacing w:val="0"/>
        <w:rPr>
          <w:rFonts w:cstheme="minorHAnsi"/>
          <w:noProof/>
        </w:rPr>
      </w:pPr>
      <w:r>
        <w:rPr>
          <w:noProof/>
        </w:rPr>
        <w:t>Ja saskaņā ar 3. punktu kādas valsts kompetentās iestādes uzsāk tiesvedību pret savu valstspiederīgo, minētā valsts nodrošina, ka tās kompetentās iestādes var veikt attiecīgus pasākumus, lai</w:t>
      </w:r>
      <w:r>
        <w:rPr>
          <w:noProof/>
        </w:rPr>
        <w:t xml:space="preserve"> palīdzētu cietušajiem un lieciniekiem apstākļos, kad cietušais vai liecinieks ir citas valsts rezidents, jo īpaši attiecībā uz tiesvedības norisi. </w:t>
      </w:r>
    </w:p>
    <w:p w:rsidR="003E022D" w:rsidRDefault="007D19D6">
      <w:pPr>
        <w:pStyle w:val="Article"/>
        <w:rPr>
          <w:noProof/>
        </w:rPr>
      </w:pPr>
      <w:bookmarkStart w:id="602" w:name="_ARTICLE_95"/>
      <w:bookmarkStart w:id="603" w:name="_Toc29896086"/>
      <w:bookmarkStart w:id="604" w:name="_Ref31043313"/>
      <w:bookmarkStart w:id="605" w:name="_Ref31043668"/>
      <w:bookmarkStart w:id="606" w:name="_Ref31044001"/>
      <w:bookmarkStart w:id="607" w:name="_Ref31044136"/>
      <w:bookmarkStart w:id="608" w:name="_Ref31058629"/>
      <w:bookmarkStart w:id="609" w:name="_Ref31059380"/>
      <w:bookmarkStart w:id="610" w:name="_Ref31059809"/>
      <w:bookmarkStart w:id="611" w:name="_Ref31060111"/>
      <w:bookmarkStart w:id="612" w:name="_Toc58920294"/>
      <w:bookmarkEnd w:id="602"/>
      <w:r>
        <w:rPr>
          <w:noProof/>
        </w:rPr>
        <w:t>LAW.SURR.84. </w:t>
      </w:r>
      <w:bookmarkEnd w:id="603"/>
      <w:bookmarkEnd w:id="604"/>
      <w:bookmarkEnd w:id="605"/>
      <w:bookmarkEnd w:id="606"/>
      <w:bookmarkEnd w:id="607"/>
      <w:bookmarkEnd w:id="608"/>
      <w:bookmarkEnd w:id="609"/>
      <w:bookmarkEnd w:id="610"/>
      <w:bookmarkEnd w:id="611"/>
      <w:r>
        <w:rPr>
          <w:noProof/>
        </w:rPr>
        <w:t xml:space="preserve">pants. </w:t>
      </w:r>
      <w:bookmarkStart w:id="613" w:name="_Toc29896087"/>
      <w:r>
        <w:rPr>
          <w:noProof/>
        </w:rPr>
        <w:t>Garantijas, kas izsniegšanas valstij jāsniedz īpašos gadījumos</w:t>
      </w:r>
      <w:bookmarkEnd w:id="612"/>
      <w:bookmarkEnd w:id="613"/>
    </w:p>
    <w:p w:rsidR="003E022D" w:rsidRDefault="007D19D6">
      <w:pPr>
        <w:rPr>
          <w:rFonts w:cstheme="minorHAnsi"/>
          <w:noProof/>
        </w:rPr>
      </w:pPr>
      <w:r>
        <w:rPr>
          <w:noProof/>
        </w:rPr>
        <w:t xml:space="preserve">Izpildes tiesu iestāde var izpildīt apcietināšanas orderi, sniedzot šādus garantijas: </w:t>
      </w:r>
    </w:p>
    <w:p w:rsidR="003E022D" w:rsidRDefault="007D19D6">
      <w:pPr>
        <w:numPr>
          <w:ilvl w:val="1"/>
          <w:numId w:val="47"/>
        </w:numPr>
        <w:ind w:left="567" w:hanging="567"/>
        <w:rPr>
          <w:rFonts w:cstheme="minorHAnsi"/>
          <w:noProof/>
        </w:rPr>
      </w:pPr>
      <w:r>
        <w:rPr>
          <w:noProof/>
        </w:rPr>
        <w:t>ja par nodarījumu apcietināšanas ordera pamatā izsniegšanas valstī ir paredzēts brīvības atņemšanas sods vai ar brīvības atņemšanu saistīts drošības līdzeklis uz mūžu, t</w:t>
      </w:r>
      <w:r>
        <w:rPr>
          <w:noProof/>
        </w:rPr>
        <w:t>ad izpildes valsts var minētā apcietināšanas ordera izpildi pakļaut nosacījumam, ka izsniegšanas valsts sniedz garantijas, ko izpildes valsts uzskata par pietiekamām, ka izsniegšanas valsts pārskatīs noteikto sodu vai līdzekli pēc pieprasījuma vai vēlākais</w:t>
      </w:r>
      <w:r>
        <w:rPr>
          <w:noProof/>
        </w:rPr>
        <w:t xml:space="preserve"> pēc 20 gadiem, vai tā veicinās apžēlošanas pasākumu piemērošanu, ko saskaņā ar izsniegšanas valsts tiesībām vai praksi personai ir tiesības lūgt ar mērķi nepiemērot šādu sodu vai līdzekli;</w:t>
      </w:r>
      <w:bookmarkStart w:id="614" w:name="_ARTICLE_96"/>
      <w:bookmarkStart w:id="615" w:name="_Toc29896088"/>
      <w:bookmarkStart w:id="616" w:name="_Ref31044737"/>
      <w:bookmarkStart w:id="617" w:name="_Ref31044945"/>
      <w:bookmarkStart w:id="618" w:name="_Ref31060689"/>
      <w:bookmarkStart w:id="619" w:name="_Ref31061163"/>
      <w:bookmarkEnd w:id="614"/>
    </w:p>
    <w:p w:rsidR="003E022D" w:rsidRDefault="007D19D6">
      <w:pPr>
        <w:numPr>
          <w:ilvl w:val="1"/>
          <w:numId w:val="47"/>
        </w:numPr>
        <w:ind w:left="567" w:hanging="567"/>
        <w:rPr>
          <w:rFonts w:cstheme="minorHAnsi"/>
          <w:noProof/>
        </w:rPr>
      </w:pPr>
      <w:r>
        <w:rPr>
          <w:noProof/>
        </w:rPr>
        <w:t xml:space="preserve">ja persona, attiecībā uz kuru ir izsniegts apcietināšanas orderis </w:t>
      </w:r>
      <w:r>
        <w:rPr>
          <w:noProof/>
        </w:rPr>
        <w:t>tās kriminālvajāšanai, ir izpildes valsts valstspiederīgais vai rezidents, tad minētās personas nodošanu var pakļaut nosacījumam, ka personu pēc nopratināšanas nogādā atpakaļ izpildes valstī, lai tā izciestu brīvības atņemšanas sodu vai piespiedu līdzekli,</w:t>
      </w:r>
      <w:r>
        <w:rPr>
          <w:noProof/>
        </w:rPr>
        <w:t xml:space="preserve"> kas tai piespriests izsniegšanas valstī; ja nepieciešama pieprasītās personas piekrišana soda vai ar brīvības atņemšanu saistīta drošības līdzekļa izpildes nodošanai izpildes valstij, – garantija, ka personai, kas atgriežama uz izpildes valsti soda izcieš</w:t>
      </w:r>
      <w:r>
        <w:rPr>
          <w:noProof/>
        </w:rPr>
        <w:t>anai, piemēro nosacījumu, ka nepieciešama pieprasītās personas piekrišana pēc nopratināšanas tikt atgrieztai izpildes valstī;</w:t>
      </w:r>
    </w:p>
    <w:p w:rsidR="003E022D" w:rsidRDefault="007D19D6">
      <w:pPr>
        <w:numPr>
          <w:ilvl w:val="1"/>
          <w:numId w:val="47"/>
        </w:numPr>
        <w:ind w:left="567" w:hanging="567"/>
        <w:rPr>
          <w:rFonts w:cstheme="minorHAnsi"/>
          <w:noProof/>
        </w:rPr>
      </w:pPr>
      <w:r>
        <w:rPr>
          <w:noProof/>
        </w:rPr>
        <w:t>ja ir pamatots iemesls uzskatīt, ka pastāv reāls apdraudējums pieprasītās personas pamattiesību ievērošanai, izpildes tiesu iestād</w:t>
      </w:r>
      <w:r>
        <w:rPr>
          <w:noProof/>
        </w:rPr>
        <w:t>e, pirms tā pieņem lēmumu par apcietināšanas ordera izpildi, attiecīgā gadījumā var pieprasīt papildu garantijas attiecībā uz izturēšanos pret pieprasīto personu pēc tās nodošanas.</w:t>
      </w:r>
    </w:p>
    <w:p w:rsidR="003E022D" w:rsidRDefault="007D19D6">
      <w:pPr>
        <w:pStyle w:val="Article"/>
        <w:rPr>
          <w:noProof/>
        </w:rPr>
      </w:pPr>
      <w:bookmarkStart w:id="620" w:name="_ARTICLE_97"/>
      <w:bookmarkStart w:id="621" w:name="_Toc29896090"/>
      <w:bookmarkStart w:id="622" w:name="_Ref31043865"/>
      <w:bookmarkStart w:id="623" w:name="_Ref31044819"/>
      <w:bookmarkStart w:id="624" w:name="_Ref31044923"/>
      <w:bookmarkStart w:id="625" w:name="_Ref31045003"/>
      <w:bookmarkStart w:id="626" w:name="_Ref31059612"/>
      <w:bookmarkStart w:id="627" w:name="_Ref31060901"/>
      <w:bookmarkStart w:id="628" w:name="_Ref31061106"/>
      <w:bookmarkStart w:id="629" w:name="_Ref31061267"/>
      <w:bookmarkStart w:id="630" w:name="_Toc58920295"/>
      <w:bookmarkEnd w:id="615"/>
      <w:bookmarkEnd w:id="616"/>
      <w:bookmarkEnd w:id="617"/>
      <w:bookmarkEnd w:id="618"/>
      <w:bookmarkEnd w:id="619"/>
      <w:bookmarkEnd w:id="620"/>
      <w:r>
        <w:rPr>
          <w:noProof/>
        </w:rPr>
        <w:t>LAW.SURR.85. </w:t>
      </w:r>
      <w:bookmarkEnd w:id="621"/>
      <w:bookmarkEnd w:id="622"/>
      <w:bookmarkEnd w:id="623"/>
      <w:bookmarkEnd w:id="624"/>
      <w:bookmarkEnd w:id="625"/>
      <w:bookmarkEnd w:id="626"/>
      <w:bookmarkEnd w:id="627"/>
      <w:bookmarkEnd w:id="628"/>
      <w:bookmarkEnd w:id="629"/>
      <w:r>
        <w:rPr>
          <w:noProof/>
        </w:rPr>
        <w:t xml:space="preserve">pants. </w:t>
      </w:r>
      <w:bookmarkStart w:id="631" w:name="_Toc29896091"/>
      <w:r>
        <w:rPr>
          <w:noProof/>
        </w:rPr>
        <w:t>Centrālās iestādes iesaistīšana</w:t>
      </w:r>
      <w:bookmarkEnd w:id="630"/>
      <w:bookmarkEnd w:id="631"/>
    </w:p>
    <w:p w:rsidR="003E022D" w:rsidRDefault="007D19D6">
      <w:pPr>
        <w:numPr>
          <w:ilvl w:val="6"/>
          <w:numId w:val="56"/>
        </w:numPr>
        <w:ind w:left="0" w:firstLine="0"/>
        <w:rPr>
          <w:rFonts w:cstheme="minorHAnsi"/>
          <w:noProof/>
        </w:rPr>
      </w:pPr>
      <w:r>
        <w:rPr>
          <w:noProof/>
        </w:rPr>
        <w:t xml:space="preserve">Apvienotā Karaliste un </w:t>
      </w:r>
      <w:r>
        <w:rPr>
          <w:noProof/>
        </w:rPr>
        <w:t>Savienība, darbojoties jebkuras tās dalībvalsts uzdevumā, katra var informēt Specializēto komiteju tiesībaizsardzības un tiesu iestāžu sadarbības jomā par tās centrālo iestādi Apvienotās Karalistes gadījumā un katras valsts centrālo iestādi Savienības gadī</w:t>
      </w:r>
      <w:r>
        <w:rPr>
          <w:noProof/>
        </w:rPr>
        <w:t>jumā pēc tam, kad šāda iestāde ir norīkota, vai, ja to paredz attiecīgās valsts tiesību sistēma – par vairāk nekā vienu centrālo iestādi, kas palīdz kompetentajām tiesu iestādēm.</w:t>
      </w:r>
    </w:p>
    <w:p w:rsidR="003E022D" w:rsidRDefault="007D19D6">
      <w:pPr>
        <w:numPr>
          <w:ilvl w:val="6"/>
          <w:numId w:val="56"/>
        </w:numPr>
        <w:ind w:left="0" w:firstLine="0"/>
        <w:rPr>
          <w:rFonts w:cstheme="minorHAnsi"/>
          <w:noProof/>
        </w:rPr>
      </w:pPr>
      <w:r>
        <w:rPr>
          <w:noProof/>
        </w:rPr>
        <w:t>Informējot Specializēto komiteju tiesībaizsardzības un tiesu iestāžu sadarbīb</w:t>
      </w:r>
      <w:r>
        <w:rPr>
          <w:noProof/>
        </w:rPr>
        <w:t>as jomā saskaņā ar 1. punktu, Apvienotā Karaliste un Savienība, darbojoties jebkuras tās dalībvalsts uzdevumā, katra var norādīt, ka attiecīgās valsts tiesu sistēmas organizācijas dēļ centrālā iestāde vai centrālās iestādes ir atbildīgas par apcietināšanas</w:t>
      </w:r>
      <w:r>
        <w:rPr>
          <w:noProof/>
        </w:rPr>
        <w:t xml:space="preserve"> orderu administratīvo pārsūtīšanu un saņemšanu, kā arī par visu pārējo oficiālo saraksti saistībā ar apcietināšanas orderu administratīvo pārsūtīšanu un saņemšanu. Šāda norāde ir saistoša visām izsniegšanas valsts iestādēm. </w:t>
      </w:r>
    </w:p>
    <w:p w:rsidR="003E022D" w:rsidRDefault="007D19D6">
      <w:pPr>
        <w:pStyle w:val="Article"/>
        <w:rPr>
          <w:noProof/>
        </w:rPr>
      </w:pPr>
      <w:bookmarkStart w:id="632" w:name="_ARTICLE_98"/>
      <w:bookmarkStart w:id="633" w:name="_Toc29896092"/>
      <w:bookmarkStart w:id="634" w:name="_Ref31043683"/>
      <w:bookmarkStart w:id="635" w:name="_Ref31043919"/>
      <w:bookmarkStart w:id="636" w:name="_Ref31043939"/>
      <w:bookmarkStart w:id="637" w:name="_Ref31044056"/>
      <w:bookmarkStart w:id="638" w:name="_Ref31044067"/>
      <w:bookmarkStart w:id="639" w:name="_Ref31044831"/>
      <w:bookmarkStart w:id="640" w:name="_Ref31044932"/>
      <w:bookmarkStart w:id="641" w:name="_Ref31059422"/>
      <w:bookmarkStart w:id="642" w:name="_Ref31059654"/>
      <w:bookmarkStart w:id="643" w:name="_Ref31059683"/>
      <w:bookmarkStart w:id="644" w:name="_Ref31059894"/>
      <w:bookmarkStart w:id="645" w:name="_Ref31059921"/>
      <w:bookmarkStart w:id="646" w:name="_Ref31060922"/>
      <w:bookmarkStart w:id="647" w:name="_Ref31061134"/>
      <w:bookmarkStart w:id="648" w:name="_Toc58920296"/>
      <w:bookmarkEnd w:id="632"/>
      <w:r>
        <w:rPr>
          <w:noProof/>
        </w:rPr>
        <w:t>LAW.SURR.86. </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Pr>
          <w:noProof/>
        </w:rPr>
        <w:t xml:space="preserve">pants. </w:t>
      </w:r>
      <w:bookmarkStart w:id="649" w:name="_Toc29896093"/>
      <w:r>
        <w:rPr>
          <w:noProof/>
        </w:rPr>
        <w:t>Apcietināš</w:t>
      </w:r>
      <w:r>
        <w:rPr>
          <w:noProof/>
        </w:rPr>
        <w:t>anas ordera saturs un forma</w:t>
      </w:r>
      <w:bookmarkEnd w:id="648"/>
      <w:bookmarkEnd w:id="649"/>
    </w:p>
    <w:p w:rsidR="003E022D" w:rsidRDefault="007D19D6">
      <w:pPr>
        <w:numPr>
          <w:ilvl w:val="6"/>
          <w:numId w:val="57"/>
        </w:numPr>
        <w:ind w:left="0" w:firstLine="0"/>
        <w:rPr>
          <w:rFonts w:cstheme="minorHAnsi"/>
          <w:noProof/>
        </w:rPr>
      </w:pPr>
      <w:r>
        <w:rPr>
          <w:noProof/>
        </w:rPr>
        <w:t xml:space="preserve">Apcietināšanas orderis ietver šādu informāciju, kas izkārtota formā, kas norādīta </w:t>
      </w:r>
      <w:r>
        <w:rPr>
          <w:noProof/>
          <w:u w:color="000000"/>
        </w:rPr>
        <w:t>LAW-5. PIELIKUMĀ</w:t>
      </w:r>
      <w:r>
        <w:rPr>
          <w:noProof/>
        </w:rPr>
        <w:t>:</w:t>
      </w:r>
    </w:p>
    <w:p w:rsidR="003E022D" w:rsidRDefault="007D19D6">
      <w:pPr>
        <w:numPr>
          <w:ilvl w:val="1"/>
          <w:numId w:val="75"/>
        </w:numPr>
        <w:ind w:left="567" w:hanging="567"/>
        <w:rPr>
          <w:rFonts w:cstheme="minorHAnsi"/>
          <w:noProof/>
        </w:rPr>
      </w:pPr>
      <w:r>
        <w:rPr>
          <w:noProof/>
        </w:rPr>
        <w:t>pieprasītās personas identitāte un valstspiederība;</w:t>
      </w:r>
    </w:p>
    <w:p w:rsidR="003E022D" w:rsidRDefault="007D19D6">
      <w:pPr>
        <w:numPr>
          <w:ilvl w:val="1"/>
          <w:numId w:val="75"/>
        </w:numPr>
        <w:ind w:left="567" w:hanging="567"/>
        <w:rPr>
          <w:rFonts w:cstheme="minorHAnsi"/>
          <w:noProof/>
        </w:rPr>
      </w:pPr>
      <w:r>
        <w:rPr>
          <w:noProof/>
        </w:rPr>
        <w:t>izsniegšanas tiesu iestādes nosaukums, adrese, tālruņa un faksa numurs un e-</w:t>
      </w:r>
      <w:r>
        <w:rPr>
          <w:noProof/>
        </w:rPr>
        <w:t>pasta adrese;</w:t>
      </w:r>
    </w:p>
    <w:p w:rsidR="003E022D" w:rsidRDefault="007D19D6">
      <w:pPr>
        <w:numPr>
          <w:ilvl w:val="1"/>
          <w:numId w:val="75"/>
        </w:numPr>
        <w:ind w:left="567" w:hanging="567"/>
        <w:rPr>
          <w:rFonts w:cstheme="minorHAnsi"/>
          <w:noProof/>
        </w:rPr>
      </w:pPr>
      <w:r>
        <w:rPr>
          <w:noProof/>
        </w:rPr>
        <w:t xml:space="preserve">pierādījums tam, ka pastāv izpildāms spriedums, apcietināšanas orderis vai jebkāds cits izpildāms tiesas nolēmums ar tādu pašu spēku, kas ietilpst </w:t>
      </w:r>
      <w:r>
        <w:rPr>
          <w:noProof/>
          <w:u w:color="000000"/>
        </w:rPr>
        <w:t>LAW.SURR.79. panta [Piemērošanas joma]</w:t>
      </w:r>
      <w:r>
        <w:rPr>
          <w:noProof/>
        </w:rPr>
        <w:t xml:space="preserve"> tvērumā; </w:t>
      </w:r>
    </w:p>
    <w:p w:rsidR="003E022D" w:rsidRDefault="007D19D6">
      <w:pPr>
        <w:numPr>
          <w:ilvl w:val="1"/>
          <w:numId w:val="75"/>
        </w:numPr>
        <w:ind w:left="567" w:hanging="567"/>
        <w:rPr>
          <w:rFonts w:cstheme="minorHAnsi"/>
          <w:noProof/>
        </w:rPr>
      </w:pPr>
      <w:r>
        <w:rPr>
          <w:noProof/>
        </w:rPr>
        <w:t>nodarījuma veids un juridiskā kvalifikācija, j</w:t>
      </w:r>
      <w:r>
        <w:rPr>
          <w:noProof/>
        </w:rPr>
        <w:t xml:space="preserve">o īpaši attiecībā uz </w:t>
      </w:r>
      <w:r>
        <w:rPr>
          <w:noProof/>
          <w:u w:color="000000"/>
        </w:rPr>
        <w:t>LAW.SURR.79. pantu [Piemērošanas joma]</w:t>
      </w:r>
      <w:r>
        <w:rPr>
          <w:noProof/>
        </w:rPr>
        <w:t xml:space="preserve">; </w:t>
      </w:r>
    </w:p>
    <w:p w:rsidR="003E022D" w:rsidRDefault="007D19D6">
      <w:pPr>
        <w:numPr>
          <w:ilvl w:val="1"/>
          <w:numId w:val="75"/>
        </w:numPr>
        <w:ind w:left="567" w:hanging="567"/>
        <w:rPr>
          <w:rFonts w:cstheme="minorHAnsi"/>
          <w:noProof/>
        </w:rPr>
      </w:pPr>
      <w:r>
        <w:rPr>
          <w:noProof/>
        </w:rPr>
        <w:t>to apstākļu apraksts, kādos tika veikts nodarījums, tostarp laiks, vieta un pieprasītās personas līdzdalības veids nodarījumā;</w:t>
      </w:r>
    </w:p>
    <w:p w:rsidR="003E022D" w:rsidRDefault="007D19D6">
      <w:pPr>
        <w:numPr>
          <w:ilvl w:val="1"/>
          <w:numId w:val="75"/>
        </w:numPr>
        <w:ind w:left="567" w:hanging="567"/>
        <w:rPr>
          <w:rFonts w:cstheme="minorHAnsi"/>
          <w:noProof/>
        </w:rPr>
      </w:pPr>
      <w:r>
        <w:rPr>
          <w:noProof/>
        </w:rPr>
        <w:t>piespriestais sods, ja spriedums ir galīgs, vai sodu robežas, ko pa</w:t>
      </w:r>
      <w:r>
        <w:rPr>
          <w:noProof/>
        </w:rPr>
        <w:t>r nodarījumu paredz izsniegšanas valsts tiesības; un</w:t>
      </w:r>
    </w:p>
    <w:p w:rsidR="003E022D" w:rsidRDefault="007D19D6">
      <w:pPr>
        <w:numPr>
          <w:ilvl w:val="1"/>
          <w:numId w:val="75"/>
        </w:numPr>
        <w:ind w:left="567" w:hanging="567"/>
        <w:rPr>
          <w:rFonts w:cstheme="minorHAnsi"/>
          <w:noProof/>
        </w:rPr>
      </w:pPr>
      <w:r>
        <w:rPr>
          <w:noProof/>
        </w:rPr>
        <w:t>ja iespējams, citas nodarījuma sekas.</w:t>
      </w:r>
    </w:p>
    <w:p w:rsidR="003E022D" w:rsidRDefault="007D19D6">
      <w:pPr>
        <w:numPr>
          <w:ilvl w:val="0"/>
          <w:numId w:val="75"/>
        </w:numPr>
        <w:ind w:left="0" w:firstLine="0"/>
        <w:rPr>
          <w:rFonts w:cstheme="minorHAnsi"/>
          <w:noProof/>
        </w:rPr>
      </w:pPr>
      <w:r>
        <w:rPr>
          <w:noProof/>
        </w:rPr>
        <w:t>Apcietināšanas orderi pārtulko izpildes valsts oficiālajā valodā vai vienā no tās oficiālajām valodām. Apvienotā Karaliste un Savienība, darbojoties jebkuras tās dal</w:t>
      </w:r>
      <w:r>
        <w:rPr>
          <w:noProof/>
        </w:rPr>
        <w:t xml:space="preserve">ībvalsts uzdevumā, katra var paziņot Specializētajai komitejai tiesībaizsardzības un tiesu iestāžu sadarbības jomā, ka tiks pieņemts tulkojums vienā vai vairākās citās valsts oficiālajās valodās. </w:t>
      </w:r>
    </w:p>
    <w:p w:rsidR="003E022D" w:rsidRDefault="007D19D6">
      <w:pPr>
        <w:pStyle w:val="Article"/>
        <w:rPr>
          <w:noProof/>
        </w:rPr>
      </w:pPr>
      <w:bookmarkStart w:id="650" w:name="_Article_12"/>
      <w:bookmarkStart w:id="651" w:name="_ARTICLE_99_Transmission"/>
      <w:bookmarkStart w:id="652" w:name="_Toc29896094"/>
      <w:bookmarkStart w:id="653" w:name="_Ref31044040"/>
      <w:bookmarkStart w:id="654" w:name="_Ref31059869"/>
      <w:bookmarkStart w:id="655" w:name="_Toc58920297"/>
      <w:bookmarkEnd w:id="650"/>
      <w:bookmarkEnd w:id="651"/>
      <w:r>
        <w:rPr>
          <w:noProof/>
        </w:rPr>
        <w:t>LAW.SURR.87. pants.</w:t>
      </w:r>
      <w:bookmarkEnd w:id="652"/>
      <w:bookmarkEnd w:id="653"/>
      <w:bookmarkEnd w:id="654"/>
      <w:r>
        <w:rPr>
          <w:noProof/>
        </w:rPr>
        <w:t xml:space="preserve"> </w:t>
      </w:r>
      <w:bookmarkStart w:id="656" w:name="_Toc29896095"/>
      <w:r>
        <w:rPr>
          <w:noProof/>
        </w:rPr>
        <w:t>Apcietināšanas ordera pārsūtīšana</w:t>
      </w:r>
      <w:bookmarkEnd w:id="655"/>
      <w:bookmarkEnd w:id="656"/>
    </w:p>
    <w:p w:rsidR="003E022D" w:rsidRDefault="007D19D6">
      <w:pPr>
        <w:rPr>
          <w:rFonts w:cstheme="minorHAnsi"/>
          <w:noProof/>
        </w:rPr>
      </w:pPr>
      <w:r>
        <w:rPr>
          <w:noProof/>
        </w:rPr>
        <w:t>Ja ir</w:t>
      </w:r>
      <w:r>
        <w:rPr>
          <w:noProof/>
        </w:rPr>
        <w:t xml:space="preserve"> zināma pieprasītās personas atrašanās vieta, izsniegšanas tiesas iestāde var pārsūtīt apcietināšanas orderi tieši izpildes tiesu iestādei. </w:t>
      </w:r>
    </w:p>
    <w:p w:rsidR="003E022D" w:rsidRDefault="007D19D6">
      <w:pPr>
        <w:pStyle w:val="Article"/>
        <w:rPr>
          <w:noProof/>
        </w:rPr>
      </w:pPr>
      <w:bookmarkStart w:id="657" w:name="_Toc29896096"/>
      <w:bookmarkStart w:id="658" w:name="_Toc58920298"/>
      <w:r>
        <w:rPr>
          <w:noProof/>
        </w:rPr>
        <w:t>LAW.SURR.88. pants</w:t>
      </w:r>
      <w:bookmarkEnd w:id="657"/>
      <w:r>
        <w:rPr>
          <w:noProof/>
        </w:rPr>
        <w:t xml:space="preserve">. </w:t>
      </w:r>
      <w:bookmarkStart w:id="659" w:name="_Toc29896097"/>
      <w:r>
        <w:rPr>
          <w:noProof/>
        </w:rPr>
        <w:t>Apcietināšanas ordera pārsūtīšanas kārtība</w:t>
      </w:r>
      <w:bookmarkEnd w:id="658"/>
      <w:bookmarkEnd w:id="659"/>
    </w:p>
    <w:p w:rsidR="003E022D" w:rsidRDefault="007D19D6">
      <w:pPr>
        <w:numPr>
          <w:ilvl w:val="0"/>
          <w:numId w:val="58"/>
        </w:numPr>
        <w:ind w:left="0" w:firstLine="0"/>
        <w:rPr>
          <w:rFonts w:cstheme="minorHAnsi"/>
          <w:noProof/>
        </w:rPr>
      </w:pPr>
      <w:r>
        <w:rPr>
          <w:noProof/>
        </w:rPr>
        <w:t>Ja izsniegšanas tiesu iestādei nav zināms, kura iest</w:t>
      </w:r>
      <w:r>
        <w:rPr>
          <w:noProof/>
        </w:rPr>
        <w:t>āde ir kompetentā izpildes tiesu iestāde, tā veic vajadzīgos pieprasījumus, lai iegūtu šo informāciju no izpildes valsts.</w:t>
      </w:r>
    </w:p>
    <w:p w:rsidR="003E022D" w:rsidRDefault="007D19D6">
      <w:pPr>
        <w:numPr>
          <w:ilvl w:val="0"/>
          <w:numId w:val="58"/>
        </w:numPr>
        <w:ind w:left="0" w:firstLine="0"/>
        <w:rPr>
          <w:rFonts w:cstheme="minorHAnsi"/>
          <w:noProof/>
        </w:rPr>
      </w:pPr>
      <w:r>
        <w:rPr>
          <w:noProof/>
        </w:rPr>
        <w:t>Izsniegšanas tiesu iestāde var lūgt Starptautisko Kriminālpolicijas organizāciju (Interpolu) pārsūtīt apcietināšanas orderi.</w:t>
      </w:r>
    </w:p>
    <w:p w:rsidR="003E022D" w:rsidRDefault="007D19D6">
      <w:pPr>
        <w:numPr>
          <w:ilvl w:val="0"/>
          <w:numId w:val="58"/>
        </w:numPr>
        <w:ind w:left="0" w:firstLine="0"/>
        <w:rPr>
          <w:rFonts w:cstheme="minorHAnsi"/>
          <w:noProof/>
        </w:rPr>
      </w:pPr>
      <w:r>
        <w:rPr>
          <w:noProof/>
        </w:rPr>
        <w:t>Izsniegša</w:t>
      </w:r>
      <w:r>
        <w:rPr>
          <w:noProof/>
        </w:rPr>
        <w:t>nas tiesu iestāde var apcietināšanas orderi pārsūtīt tālāk ar ikvienu drošu līdzekli, ar kuru var iegūt rakstisku dokumentu apstākļos, kas ļauj izpildes valstij noteikt apcietināšanas ordera autentiskumu.</w:t>
      </w:r>
    </w:p>
    <w:p w:rsidR="003E022D" w:rsidRDefault="007D19D6">
      <w:pPr>
        <w:numPr>
          <w:ilvl w:val="0"/>
          <w:numId w:val="58"/>
        </w:numPr>
        <w:ind w:left="0" w:firstLine="0"/>
        <w:rPr>
          <w:rFonts w:cstheme="minorHAnsi"/>
          <w:noProof/>
        </w:rPr>
      </w:pPr>
      <w:r>
        <w:rPr>
          <w:noProof/>
        </w:rPr>
        <w:t>Visas grūtības, kas saistītas ar ikviena apcietināš</w:t>
      </w:r>
      <w:r>
        <w:rPr>
          <w:noProof/>
        </w:rPr>
        <w:t>anas ordera izpildei vajadzīga dokumenta pārsūtīšanu vai autentiskumu, risina tiešos sakaros starp iesaistītajām tiesu iestādēm vai attiecīgos gadījumos piedaloties valstu centrālajām iestādēm.</w:t>
      </w:r>
    </w:p>
    <w:p w:rsidR="003E022D" w:rsidRDefault="007D19D6">
      <w:pPr>
        <w:numPr>
          <w:ilvl w:val="0"/>
          <w:numId w:val="58"/>
        </w:numPr>
        <w:ind w:left="0" w:firstLine="0"/>
        <w:rPr>
          <w:rFonts w:cstheme="minorHAnsi"/>
          <w:noProof/>
        </w:rPr>
      </w:pPr>
      <w:r>
        <w:rPr>
          <w:noProof/>
        </w:rPr>
        <w:t>Ja iestāde, kas saņem apcietināšanas orderi, nav kompetenta ar</w:t>
      </w:r>
      <w:r>
        <w:rPr>
          <w:noProof/>
        </w:rPr>
        <w:t xml:space="preserve"> to rīkoties, tā automātiski apcietināšanas orderi pārsūta tālāk kompetentajai iestādei tās valstī un par to informē izsniegšanas tiesu iestādi.</w:t>
      </w:r>
    </w:p>
    <w:p w:rsidR="003E022D" w:rsidRDefault="007D19D6">
      <w:pPr>
        <w:pStyle w:val="Article"/>
        <w:rPr>
          <w:noProof/>
        </w:rPr>
      </w:pPr>
      <w:bookmarkStart w:id="660" w:name="_Toc58920299"/>
      <w:r>
        <w:rPr>
          <w:noProof/>
        </w:rPr>
        <w:t>LAW.SURR.89. pants. Pieprasītās personas tiesības</w:t>
      </w:r>
      <w:bookmarkEnd w:id="660"/>
    </w:p>
    <w:p w:rsidR="003E022D" w:rsidRDefault="007D19D6">
      <w:pPr>
        <w:numPr>
          <w:ilvl w:val="0"/>
          <w:numId w:val="79"/>
        </w:numPr>
        <w:ind w:left="0" w:firstLine="0"/>
        <w:rPr>
          <w:rFonts w:cstheme="minorHAnsi"/>
          <w:noProof/>
        </w:rPr>
      </w:pPr>
      <w:r>
        <w:rPr>
          <w:noProof/>
        </w:rPr>
        <w:t xml:space="preserve">Ja pieprasīto personu apcietina apcietināšanas ordera izpildes nolūkā, izpildes tiesu iestāde saskaņā ar tās iekšzemes tiesību aktiem informē minēto personu par apcietināšanas orderi un tā saturu un par iespēju piekrist nodošanai izsniegšanas valstij. </w:t>
      </w:r>
    </w:p>
    <w:p w:rsidR="003E022D" w:rsidRDefault="007D19D6">
      <w:pPr>
        <w:numPr>
          <w:ilvl w:val="0"/>
          <w:numId w:val="79"/>
        </w:numPr>
        <w:ind w:left="0" w:firstLine="0"/>
        <w:rPr>
          <w:rFonts w:cstheme="minorHAnsi"/>
          <w:noProof/>
        </w:rPr>
      </w:pPr>
      <w:r>
        <w:rPr>
          <w:noProof/>
        </w:rPr>
        <w:t>Pie</w:t>
      </w:r>
      <w:r>
        <w:rPr>
          <w:noProof/>
        </w:rPr>
        <w:t>prasītajai personai, kas apcietināta apcietināšanas ordera izpildes nolūkā un kas nerunā tiesvedības valodā vai nesaprot to, ir tiesības saskaņā ar izpildes valsts iekšzemes tiesību aktiem saņemt tulka palīdzību vai saņemt rakstisku tulkojumu pieprasītās p</w:t>
      </w:r>
      <w:r>
        <w:rPr>
          <w:noProof/>
        </w:rPr>
        <w:t xml:space="preserve">ersonas dzimtajā valodā vai jebkurā citā valodā, kurā minēta persona runā vai kuru tā saprot. </w:t>
      </w:r>
    </w:p>
    <w:p w:rsidR="003E022D" w:rsidRDefault="007D19D6">
      <w:pPr>
        <w:numPr>
          <w:ilvl w:val="0"/>
          <w:numId w:val="79"/>
        </w:numPr>
        <w:ind w:left="0" w:firstLine="0"/>
        <w:rPr>
          <w:rFonts w:cstheme="minorHAnsi"/>
          <w:noProof/>
        </w:rPr>
      </w:pPr>
      <w:r>
        <w:rPr>
          <w:noProof/>
        </w:rPr>
        <w:t>Pieprasītajai personai pēc apcietināšanas ir tiesības uz jurista palīdzību saskaņā ar izpildes valsts iekšzemes tiesību aktiem.</w:t>
      </w:r>
    </w:p>
    <w:p w:rsidR="003E022D" w:rsidRDefault="007D19D6">
      <w:pPr>
        <w:numPr>
          <w:ilvl w:val="0"/>
          <w:numId w:val="487"/>
        </w:numPr>
        <w:ind w:left="0" w:firstLine="0"/>
        <w:rPr>
          <w:rFonts w:cstheme="minorHAnsi"/>
          <w:noProof/>
        </w:rPr>
      </w:pPr>
      <w:r>
        <w:rPr>
          <w:noProof/>
        </w:rPr>
        <w:t>Pieprasīto personu informē par tā</w:t>
      </w:r>
      <w:r>
        <w:rPr>
          <w:noProof/>
        </w:rPr>
        <w:t xml:space="preserve">s tiesībām uz izsniegšanas valstī ieceltu juristu, kurš palīdzētu juristam izpildes valstī ar apcietināšanas orderi saistītajā tiesvedībā. Šis punkts neskar termiņus, kas noteikti </w:t>
      </w:r>
      <w:r>
        <w:rPr>
          <w:noProof/>
          <w:u w:color="000000"/>
        </w:rPr>
        <w:t>LAW.SURR.101. pantā [Personas nodošanas termiņi].</w:t>
      </w:r>
      <w:r>
        <w:rPr>
          <w:noProof/>
        </w:rPr>
        <w:t> </w:t>
      </w:r>
    </w:p>
    <w:p w:rsidR="003E022D" w:rsidRDefault="007D19D6">
      <w:pPr>
        <w:numPr>
          <w:ilvl w:val="0"/>
          <w:numId w:val="487"/>
        </w:numPr>
        <w:ind w:left="0" w:firstLine="0"/>
        <w:rPr>
          <w:rFonts w:cstheme="minorHAnsi"/>
          <w:noProof/>
        </w:rPr>
      </w:pPr>
      <w:r>
        <w:rPr>
          <w:noProof/>
        </w:rPr>
        <w:t>Pieprasītajai personai, k</w:t>
      </w:r>
      <w:r>
        <w:rPr>
          <w:noProof/>
        </w:rPr>
        <w:t xml:space="preserve">ura ir arestēta, ir tiesības uz to, ka minētās personas valstspiederības valsts konsulārās iestādes vai, ja minētā persona ir bezvalstnieks – tās valsts konsulārās iestādes, kurā šī persona parasti dzīvo –, bez liekas kavēšanās tiek informētas par arestu, </w:t>
      </w:r>
      <w:r>
        <w:rPr>
          <w:noProof/>
        </w:rPr>
        <w:t>un persona, ja tā to vēlas, var sazināties ar minētajām iestādēm.</w:t>
      </w:r>
    </w:p>
    <w:p w:rsidR="003E022D" w:rsidRDefault="007D19D6">
      <w:pPr>
        <w:pStyle w:val="Article"/>
        <w:rPr>
          <w:noProof/>
        </w:rPr>
      </w:pPr>
      <w:bookmarkStart w:id="661" w:name="_Toc29896098"/>
      <w:bookmarkStart w:id="662" w:name="_Toc58920300"/>
      <w:r>
        <w:rPr>
          <w:noProof/>
        </w:rPr>
        <w:t>LAW.SURR.90. pants</w:t>
      </w:r>
      <w:bookmarkEnd w:id="661"/>
      <w:r>
        <w:rPr>
          <w:noProof/>
        </w:rPr>
        <w:t xml:space="preserve">. </w:t>
      </w:r>
      <w:bookmarkStart w:id="663" w:name="_Toc29896099"/>
      <w:r>
        <w:rPr>
          <w:noProof/>
        </w:rPr>
        <w:t>Personas turēšana apcietinājumā</w:t>
      </w:r>
      <w:bookmarkEnd w:id="662"/>
      <w:bookmarkEnd w:id="663"/>
    </w:p>
    <w:p w:rsidR="003E022D" w:rsidRDefault="007D19D6">
      <w:pPr>
        <w:rPr>
          <w:rFonts w:cstheme="minorHAnsi"/>
          <w:noProof/>
        </w:rPr>
      </w:pPr>
      <w:r>
        <w:rPr>
          <w:noProof/>
        </w:rPr>
        <w:t>Ja personu apcietina, pamatojoties uz apcietināšanas orderi, izpildes tiesu iestāde lemj par to, vai pieprasītajai personai ir jāpaliek ap</w:t>
      </w:r>
      <w:r>
        <w:rPr>
          <w:noProof/>
        </w:rPr>
        <w:t>cietinājumā saskaņā ar izpildes valsts tiesībām. Personu var provizoriski atbrīvot ikvienā brīdī saskaņā ar izpildes valsts iekšzemes tiesību aktiem ar noteikumu, ka minētās valsts kompetentā iestāde veic visus pasākumus, ko tā uzskata par vajadzīgiem, lai</w:t>
      </w:r>
      <w:r>
        <w:rPr>
          <w:noProof/>
        </w:rPr>
        <w:t xml:space="preserve"> novērstu personas bēgšanu. </w:t>
      </w:r>
    </w:p>
    <w:p w:rsidR="003E022D" w:rsidRDefault="007D19D6">
      <w:pPr>
        <w:pStyle w:val="Article"/>
        <w:rPr>
          <w:noProof/>
        </w:rPr>
      </w:pPr>
      <w:bookmarkStart w:id="664" w:name="_ARTICLE_102"/>
      <w:bookmarkStart w:id="665" w:name="_Toc29896100"/>
      <w:bookmarkStart w:id="666" w:name="_Ref31043602"/>
      <w:bookmarkStart w:id="667" w:name="_Ref31043896"/>
      <w:bookmarkStart w:id="668" w:name="_Ref31044843"/>
      <w:bookmarkStart w:id="669" w:name="_Ref31045019"/>
      <w:bookmarkStart w:id="670" w:name="_Ref31059185"/>
      <w:bookmarkStart w:id="671" w:name="_Ref31059634"/>
      <w:bookmarkStart w:id="672" w:name="_Ref31060951"/>
      <w:bookmarkStart w:id="673" w:name="_Ref31061294"/>
      <w:bookmarkStart w:id="674" w:name="_Toc58920301"/>
      <w:bookmarkEnd w:id="664"/>
      <w:r>
        <w:rPr>
          <w:noProof/>
        </w:rPr>
        <w:t>LAW.SURR.91. </w:t>
      </w:r>
      <w:bookmarkEnd w:id="665"/>
      <w:bookmarkEnd w:id="666"/>
      <w:bookmarkEnd w:id="667"/>
      <w:bookmarkEnd w:id="668"/>
      <w:bookmarkEnd w:id="669"/>
      <w:bookmarkEnd w:id="670"/>
      <w:bookmarkEnd w:id="671"/>
      <w:bookmarkEnd w:id="672"/>
      <w:bookmarkEnd w:id="673"/>
      <w:r>
        <w:rPr>
          <w:noProof/>
        </w:rPr>
        <w:t xml:space="preserve">pants. </w:t>
      </w:r>
      <w:bookmarkStart w:id="675" w:name="_Toc29896101"/>
      <w:r>
        <w:rPr>
          <w:noProof/>
        </w:rPr>
        <w:t>Piekrišana nodošanai</w:t>
      </w:r>
      <w:bookmarkEnd w:id="674"/>
      <w:bookmarkEnd w:id="675"/>
    </w:p>
    <w:p w:rsidR="003E022D" w:rsidRDefault="007D19D6">
      <w:pPr>
        <w:numPr>
          <w:ilvl w:val="0"/>
          <w:numId w:val="77"/>
        </w:numPr>
        <w:ind w:left="0" w:firstLine="0"/>
        <w:rPr>
          <w:rFonts w:cstheme="minorHAnsi"/>
          <w:noProof/>
        </w:rPr>
      </w:pPr>
      <w:r>
        <w:rPr>
          <w:noProof/>
        </w:rPr>
        <w:t xml:space="preserve">Ja apcietinātā persona norāda, ka tā piekrīt nodošanai, šī piekrišana un attiecīgā gadījumā noteikta atteikšanās no tiesībām, ko paredz “specialitātes princips”, kurš minēts </w:t>
      </w:r>
      <w:r>
        <w:rPr>
          <w:noProof/>
          <w:u w:color="000000"/>
        </w:rPr>
        <w:t>LAW.SURR.105</w:t>
      </w:r>
      <w:r>
        <w:rPr>
          <w:noProof/>
          <w:u w:color="000000"/>
        </w:rPr>
        <w:t>. panta [Iespējamā kriminālvajāšana par citiem nodarījumiem]</w:t>
      </w:r>
      <w:r>
        <w:rPr>
          <w:noProof/>
        </w:rPr>
        <w:t xml:space="preserve"> 2. punktā, jāpauž izpildes tiesu iestādē saskaņā ar izpildes valsts iekšzemes tiesību aktiem. </w:t>
      </w:r>
    </w:p>
    <w:p w:rsidR="003E022D" w:rsidRDefault="007D19D6">
      <w:pPr>
        <w:numPr>
          <w:ilvl w:val="0"/>
          <w:numId w:val="77"/>
        </w:numPr>
        <w:ind w:left="0" w:firstLine="0"/>
        <w:rPr>
          <w:rFonts w:cstheme="minorHAnsi"/>
          <w:noProof/>
        </w:rPr>
      </w:pPr>
      <w:r>
        <w:rPr>
          <w:noProof/>
        </w:rPr>
        <w:t>Katra valsts pieņem pasākumus, lai nodrošinātu to, ka 1. punktā minēto piekrišanu un attiecīgā gadīj</w:t>
      </w:r>
      <w:r>
        <w:rPr>
          <w:noProof/>
        </w:rPr>
        <w:t>umā atteikšanos konstatē tādā veidā, kas liecina par to, ka attiecīgā persona to ir izteikusi brīvprātīgi un pilnībā apzinoties sekas. Šajā nolūkā pieprasītajai personai ir tiesības uz jurista palīdzību.</w:t>
      </w:r>
    </w:p>
    <w:p w:rsidR="003E022D" w:rsidRDefault="007D19D6">
      <w:pPr>
        <w:numPr>
          <w:ilvl w:val="0"/>
          <w:numId w:val="77"/>
        </w:numPr>
        <w:ind w:left="0" w:firstLine="0"/>
        <w:rPr>
          <w:rFonts w:cstheme="minorHAnsi"/>
          <w:noProof/>
        </w:rPr>
      </w:pPr>
      <w:r>
        <w:rPr>
          <w:noProof/>
        </w:rPr>
        <w:t>Piekrišanu un attiecīgā gadījumā atteikšanos, kas mi</w:t>
      </w:r>
      <w:r>
        <w:rPr>
          <w:noProof/>
        </w:rPr>
        <w:t>nēta 1. punktā, oficiāli reģistrē protokolā saskaņā ar procedūru, kas paredzēta izpildes valsts iekšzemes tiesību aktos.</w:t>
      </w:r>
    </w:p>
    <w:p w:rsidR="003E022D" w:rsidRDefault="007D19D6">
      <w:pPr>
        <w:numPr>
          <w:ilvl w:val="0"/>
          <w:numId w:val="77"/>
        </w:numPr>
        <w:ind w:left="0" w:firstLine="0"/>
        <w:rPr>
          <w:rFonts w:cstheme="minorHAnsi"/>
          <w:noProof/>
        </w:rPr>
      </w:pPr>
      <w:r>
        <w:rPr>
          <w:noProof/>
        </w:rPr>
        <w:t>Piekrišanu principā nevar atsaukt. Katra valsts var paredzēt, ka piekrišanu un attiecīgā gadījumā atteikšanos, kas minēta šā panta 1. p</w:t>
      </w:r>
      <w:r>
        <w:rPr>
          <w:noProof/>
        </w:rPr>
        <w:t>unktā, var atsaukt saskaņā ar tās iekšzemes tiesību aktu piemērojamiem noteikumiem. Šādā gadījumā laika posmu starp piekrišanu un tās atsaukšanu neņem vērā, nosakot termiņus, kas paredzēti LAW.SURR.101. pantā [Personas nodošanas termiņi].</w:t>
      </w:r>
      <w:r>
        <w:rPr>
          <w:rStyle w:val="Bodytext20"/>
          <w:noProof/>
        </w:rPr>
        <w:t xml:space="preserve"> Apvienotā Karalis</w:t>
      </w:r>
      <w:r>
        <w:rPr>
          <w:rStyle w:val="Bodytext20"/>
          <w:noProof/>
        </w:rPr>
        <w:t xml:space="preserve">te un Savienība, darbojoties jebkuras tās dalībvalsts uzdevumā, katra var </w:t>
      </w:r>
      <w:r>
        <w:rPr>
          <w:noProof/>
        </w:rPr>
        <w:t>paziņot Specializētajai komitejai tiesībaizsardzības un tiesu iestāžu sadarbības jomā,</w:t>
      </w:r>
      <w:r>
        <w:rPr>
          <w:rStyle w:val="Bodytext20"/>
          <w:noProof/>
        </w:rPr>
        <w:t xml:space="preserve"> ka tā vēlas izmantot šo iespēju, norādot </w:t>
      </w:r>
      <w:r>
        <w:rPr>
          <w:noProof/>
        </w:rPr>
        <w:t xml:space="preserve">procedūras, kuras izpildot, ir iespējama piekrišanas </w:t>
      </w:r>
      <w:r>
        <w:rPr>
          <w:noProof/>
        </w:rPr>
        <w:t>atsaukšana, un visus grozījumus minētajās procedūrās</w:t>
      </w:r>
      <w:r>
        <w:rPr>
          <w:b/>
          <w:noProof/>
        </w:rPr>
        <w:t>.</w:t>
      </w:r>
      <w:r>
        <w:rPr>
          <w:noProof/>
        </w:rPr>
        <w:t xml:space="preserve"> </w:t>
      </w:r>
    </w:p>
    <w:p w:rsidR="003E022D" w:rsidRDefault="007D19D6">
      <w:pPr>
        <w:pStyle w:val="Article"/>
        <w:rPr>
          <w:noProof/>
        </w:rPr>
      </w:pPr>
      <w:bookmarkStart w:id="676" w:name="_Toc29896102"/>
      <w:bookmarkStart w:id="677" w:name="_Toc58920302"/>
      <w:r>
        <w:rPr>
          <w:noProof/>
        </w:rPr>
        <w:t>LAW.SURR.92. pants</w:t>
      </w:r>
      <w:bookmarkEnd w:id="676"/>
      <w:r>
        <w:rPr>
          <w:noProof/>
        </w:rPr>
        <w:t xml:space="preserve">. </w:t>
      </w:r>
      <w:bookmarkStart w:id="678" w:name="_Toc29896103"/>
      <w:r>
        <w:rPr>
          <w:noProof/>
        </w:rPr>
        <w:t>Pieprasītās personas uzklausīšana</w:t>
      </w:r>
      <w:bookmarkEnd w:id="677"/>
      <w:bookmarkEnd w:id="678"/>
    </w:p>
    <w:p w:rsidR="003E022D" w:rsidRDefault="007D19D6">
      <w:pPr>
        <w:rPr>
          <w:rFonts w:cstheme="minorHAnsi"/>
          <w:noProof/>
        </w:rPr>
      </w:pPr>
      <w:r>
        <w:rPr>
          <w:noProof/>
        </w:rPr>
        <w:t xml:space="preserve">Ja apcietinātā persona nepiekrīt nodošanai, kā paredzēts LAW.SURR.91. pantā [Piekrišana nodošanai], minētajai personai ir tiesības, ka to uzklausa </w:t>
      </w:r>
      <w:r>
        <w:rPr>
          <w:noProof/>
        </w:rPr>
        <w:t xml:space="preserve">izpildes tiesu iestāde saskaņā ar izpildes valsts tiesībām. </w:t>
      </w:r>
    </w:p>
    <w:p w:rsidR="003E022D" w:rsidRDefault="007D19D6">
      <w:pPr>
        <w:pStyle w:val="Article"/>
        <w:rPr>
          <w:noProof/>
        </w:rPr>
      </w:pPr>
      <w:bookmarkStart w:id="679" w:name="_Toc29896104"/>
      <w:bookmarkStart w:id="680" w:name="_Toc58920303"/>
      <w:r>
        <w:rPr>
          <w:noProof/>
        </w:rPr>
        <w:t>LAW.SURR.93. pants</w:t>
      </w:r>
      <w:bookmarkEnd w:id="679"/>
      <w:r>
        <w:rPr>
          <w:noProof/>
        </w:rPr>
        <w:t xml:space="preserve">. </w:t>
      </w:r>
      <w:bookmarkStart w:id="681" w:name="_Toc29896105"/>
      <w:r>
        <w:rPr>
          <w:noProof/>
        </w:rPr>
        <w:t>Lēmums par nodošanu</w:t>
      </w:r>
      <w:bookmarkEnd w:id="680"/>
      <w:bookmarkEnd w:id="681"/>
    </w:p>
    <w:p w:rsidR="003E022D" w:rsidRDefault="007D19D6">
      <w:pPr>
        <w:numPr>
          <w:ilvl w:val="0"/>
          <w:numId w:val="59"/>
        </w:numPr>
        <w:ind w:left="0" w:firstLine="0"/>
        <w:rPr>
          <w:rFonts w:cstheme="minorHAnsi"/>
          <w:noProof/>
        </w:rPr>
      </w:pPr>
      <w:r>
        <w:rPr>
          <w:noProof/>
        </w:rPr>
        <w:t>Izpildes tiesu iestāde pieņem lēmumu par to, vai persona ir nododama, ievērojot šajā sadaļā noteiktos termiņus un saskaņā ar tajā definētajiem nosacījumiem</w:t>
      </w:r>
      <w:r>
        <w:rPr>
          <w:noProof/>
        </w:rPr>
        <w:t xml:space="preserve">, it īpaši </w:t>
      </w:r>
      <w:r>
        <w:rPr>
          <w:noProof/>
          <w:u w:color="000000"/>
        </w:rPr>
        <w:t>LAW.SURR 77. pantā [Proporcionalitātes princips]</w:t>
      </w:r>
      <w:r>
        <w:rPr>
          <w:noProof/>
        </w:rPr>
        <w:t xml:space="preserve"> noteikto proporcionalitātes principu.</w:t>
      </w:r>
    </w:p>
    <w:p w:rsidR="003E022D" w:rsidRDefault="007D19D6">
      <w:pPr>
        <w:numPr>
          <w:ilvl w:val="0"/>
          <w:numId w:val="59"/>
        </w:numPr>
        <w:ind w:left="0" w:firstLine="0"/>
        <w:rPr>
          <w:rFonts w:cstheme="minorHAnsi"/>
          <w:noProof/>
        </w:rPr>
      </w:pPr>
      <w:r>
        <w:rPr>
          <w:noProof/>
        </w:rPr>
        <w:t>Ja izpildes tiesu iestāde uzskata, ka informācija, ko paziņojusi izsniegšanas valsts, ir nepietiekama, lai ļautu pieņemt lēmumu par nodošanu, tā lūdz, lai ste</w:t>
      </w:r>
      <w:r>
        <w:rPr>
          <w:noProof/>
        </w:rPr>
        <w:t xml:space="preserve">idzami piegādā vajadzīgo papildu informāciju, konkrēti to, kas attiecas uz </w:t>
      </w:r>
      <w:r>
        <w:rPr>
          <w:noProof/>
          <w:u w:color="000000"/>
        </w:rPr>
        <w:t>LAW.SURR.</w:t>
      </w:r>
      <w:r>
        <w:rPr>
          <w:noProof/>
        </w:rPr>
        <w:t xml:space="preserve"> </w:t>
      </w:r>
      <w:r>
        <w:rPr>
          <w:noProof/>
          <w:u w:color="000000"/>
        </w:rPr>
        <w:t>77. pantu [Proporcionalitātes princips]</w:t>
      </w:r>
      <w:r>
        <w:rPr>
          <w:noProof/>
        </w:rPr>
        <w:t xml:space="preserve">, no </w:t>
      </w:r>
      <w:r>
        <w:rPr>
          <w:noProof/>
          <w:u w:color="000000"/>
        </w:rPr>
        <w:t>[LAW.SURR.80. pantu [Apcietināšanas ordera obligātas neizpildīšanas pamats]</w:t>
      </w:r>
      <w:r>
        <w:rPr>
          <w:noProof/>
        </w:rPr>
        <w:t xml:space="preserve"> līdz </w:t>
      </w:r>
      <w:r>
        <w:rPr>
          <w:noProof/>
          <w:u w:color="000000"/>
        </w:rPr>
        <w:t>LAW.SURR.82. pantu [Izņēmums politiska nodarīj</w:t>
      </w:r>
      <w:r>
        <w:rPr>
          <w:noProof/>
          <w:u w:color="000000"/>
        </w:rPr>
        <w:t>uma gadījumā]</w:t>
      </w:r>
      <w:r>
        <w:rPr>
          <w:noProof/>
        </w:rPr>
        <w:t xml:space="preserve"> noteikumiem, </w:t>
      </w:r>
      <w:r>
        <w:rPr>
          <w:noProof/>
          <w:u w:color="000000"/>
        </w:rPr>
        <w:t>LAW.SURR.84. pantu [Garantijas, kas izsniegšanas valstij jāsniedz īpašos gadījumos]</w:t>
      </w:r>
      <w:r>
        <w:rPr>
          <w:noProof/>
        </w:rPr>
        <w:t xml:space="preserve"> un </w:t>
      </w:r>
      <w:r>
        <w:rPr>
          <w:iCs/>
          <w:noProof/>
        </w:rPr>
        <w:t>LAW.SURR.86. pantu [Apcietināšanas ordera saturs un forma]</w:t>
      </w:r>
      <w:r>
        <w:rPr>
          <w:noProof/>
        </w:rPr>
        <w:t>, un tā var noteikt termiņu tās saņemšanai, ņemot vērā to, ka ir vajadzīgs ievērot t</w:t>
      </w:r>
      <w:r>
        <w:rPr>
          <w:noProof/>
        </w:rPr>
        <w:t>ermiņus, kas noteikti</w:t>
      </w:r>
      <w:r>
        <w:rPr>
          <w:noProof/>
          <w:u w:color="000000"/>
        </w:rPr>
        <w:t xml:space="preserve"> LAW.SURR.95. pantā [Termiņi un kārtība, kādos pieņem lēmumu izpildīt apcietināšanas orderi]</w:t>
      </w:r>
      <w:r>
        <w:rPr>
          <w:noProof/>
        </w:rPr>
        <w:t xml:space="preserve">. </w:t>
      </w:r>
    </w:p>
    <w:p w:rsidR="003E022D" w:rsidRDefault="007D19D6">
      <w:pPr>
        <w:numPr>
          <w:ilvl w:val="0"/>
          <w:numId w:val="59"/>
        </w:numPr>
        <w:ind w:left="0" w:firstLine="0"/>
        <w:rPr>
          <w:rFonts w:cstheme="minorHAnsi"/>
          <w:noProof/>
        </w:rPr>
      </w:pPr>
      <w:r>
        <w:rPr>
          <w:noProof/>
        </w:rPr>
        <w:t xml:space="preserve">Izsniegšanas tiesu iestāde var jebkurā laikā pārsūtīt ikvienu papildu derīgu informāciju izpildes tiesu iestādei. </w:t>
      </w:r>
    </w:p>
    <w:p w:rsidR="003E022D" w:rsidRDefault="007D19D6">
      <w:pPr>
        <w:pStyle w:val="Article"/>
        <w:rPr>
          <w:noProof/>
        </w:rPr>
      </w:pPr>
      <w:bookmarkStart w:id="682" w:name="_Toc29896106"/>
      <w:bookmarkStart w:id="683" w:name="_Toc58920304"/>
      <w:r>
        <w:rPr>
          <w:noProof/>
        </w:rPr>
        <w:t>LAW.SURR.94. pants</w:t>
      </w:r>
      <w:bookmarkEnd w:id="682"/>
      <w:r>
        <w:rPr>
          <w:noProof/>
        </w:rPr>
        <w:t xml:space="preserve">. </w:t>
      </w:r>
      <w:bookmarkStart w:id="684" w:name="_Toc29896107"/>
      <w:r>
        <w:rPr>
          <w:noProof/>
        </w:rPr>
        <w:t>Lēmum</w:t>
      </w:r>
      <w:r>
        <w:rPr>
          <w:noProof/>
        </w:rPr>
        <w:t>s vairāku pieprasījumu gadījumā</w:t>
      </w:r>
      <w:bookmarkEnd w:id="683"/>
      <w:bookmarkEnd w:id="684"/>
    </w:p>
    <w:p w:rsidR="003E022D" w:rsidRDefault="007D19D6">
      <w:pPr>
        <w:numPr>
          <w:ilvl w:val="0"/>
          <w:numId w:val="48"/>
        </w:numPr>
        <w:ind w:left="0" w:firstLine="0"/>
        <w:rPr>
          <w:rFonts w:cstheme="minorHAnsi"/>
          <w:iCs/>
          <w:noProof/>
        </w:rPr>
      </w:pPr>
      <w:r>
        <w:rPr>
          <w:noProof/>
        </w:rPr>
        <w:t>Ja divas vai vairākas valstis ir izsniegušas Eiropas apcietināšanas orderi vai apcietināšanas orderi, kas attiecas uz vienu un to pašu personu, lēmumu par to, kuru apcietināšanas orderi izpildīt, pieņem izpildes tiesu iestād</w:t>
      </w:r>
      <w:r>
        <w:rPr>
          <w:noProof/>
        </w:rPr>
        <w:t>e, pienācīgi ņemot vērā visus apstākļus , jo īpaši nodarījumu relatīvo smagumu un izdarīšanas vietu, apcietināšanas ordera vai Eiropas apcietināšanas ordera attiecīgo datumu un to, vai orderi izsniegti kriminālvajāšanas nolūkos vai brīvības atņemšanas soda</w:t>
      </w:r>
      <w:r>
        <w:rPr>
          <w:noProof/>
        </w:rPr>
        <w:t xml:space="preserve"> vai drošības līdzekļa izpildei, un dalībvalstu juridiskos pienākumus, kas izriet no Savienības tiesībām it īpaši attiecībā uz pārvietošanās brīvību un diskriminācijas pilsonības dēļ aizliegumu.</w:t>
      </w:r>
    </w:p>
    <w:p w:rsidR="003E022D" w:rsidRDefault="007D19D6">
      <w:pPr>
        <w:numPr>
          <w:ilvl w:val="0"/>
          <w:numId w:val="48"/>
        </w:numPr>
        <w:ind w:left="0" w:firstLine="0"/>
        <w:rPr>
          <w:rFonts w:cstheme="minorHAnsi"/>
          <w:noProof/>
        </w:rPr>
      </w:pPr>
      <w:r>
        <w:rPr>
          <w:noProof/>
        </w:rPr>
        <w:t xml:space="preserve">Dalībvalsts izpildes tiesu iestāde var lūgt </w:t>
      </w:r>
      <w:r>
        <w:rPr>
          <w:i/>
          <w:noProof/>
        </w:rPr>
        <w:t>Eurojust</w:t>
      </w:r>
      <w:r>
        <w:rPr>
          <w:noProof/>
        </w:rPr>
        <w:t xml:space="preserve"> padomu, kad tā izdara izvēli, kas paredzēta 1. punktā.</w:t>
      </w:r>
    </w:p>
    <w:p w:rsidR="003E022D" w:rsidRDefault="007D19D6">
      <w:pPr>
        <w:numPr>
          <w:ilvl w:val="0"/>
          <w:numId w:val="48"/>
        </w:numPr>
        <w:ind w:left="0" w:firstLine="0"/>
        <w:rPr>
          <w:rFonts w:cstheme="minorHAnsi"/>
          <w:noProof/>
        </w:rPr>
      </w:pPr>
      <w:r>
        <w:rPr>
          <w:noProof/>
        </w:rPr>
        <w:t>Konflikta gadījumā starp apcietināšanas orderi un izdošanas lūgumu, ko iesniegusi trešā valsts, lēmumu par to, vai priekšroka dodama apcietināšanas orderim vai izdošanas lūgumam, pieņem izpildes valst</w:t>
      </w:r>
      <w:r>
        <w:rPr>
          <w:noProof/>
        </w:rPr>
        <w:t>s kompetentā iestāde, pienācīgi ņemot vērā visus apstākļus, īpaši tos, kas minēti 1. punktā, un tos, kas minēti piemērojamajā konvencijā.</w:t>
      </w:r>
    </w:p>
    <w:p w:rsidR="003E022D" w:rsidRDefault="007D19D6">
      <w:pPr>
        <w:numPr>
          <w:ilvl w:val="0"/>
          <w:numId w:val="48"/>
        </w:numPr>
        <w:ind w:left="0" w:firstLine="0"/>
        <w:rPr>
          <w:rFonts w:cstheme="minorHAnsi"/>
          <w:noProof/>
        </w:rPr>
      </w:pPr>
      <w:r>
        <w:rPr>
          <w:noProof/>
        </w:rPr>
        <w:t xml:space="preserve">Šis pants neskar valstu pienākumus saskaņā ar Starptautiskās Krimināltiesas statūtiem. </w:t>
      </w:r>
    </w:p>
    <w:p w:rsidR="003E022D" w:rsidRDefault="007D19D6">
      <w:pPr>
        <w:pStyle w:val="Article"/>
        <w:rPr>
          <w:noProof/>
        </w:rPr>
      </w:pPr>
      <w:bookmarkStart w:id="685" w:name="_Article_20"/>
      <w:bookmarkStart w:id="686" w:name="_ARTICLE_107"/>
      <w:bookmarkStart w:id="687" w:name="_ARTICLE_106"/>
      <w:bookmarkStart w:id="688" w:name="_Toc29896108"/>
      <w:bookmarkStart w:id="689" w:name="_Ref31043549"/>
      <w:bookmarkStart w:id="690" w:name="_Ref31043696"/>
      <w:bookmarkStart w:id="691" w:name="_Ref31043781"/>
      <w:bookmarkStart w:id="692" w:name="_Ref31043794"/>
      <w:bookmarkStart w:id="693" w:name="_Ref31044165"/>
      <w:bookmarkStart w:id="694" w:name="_Ref31044355"/>
      <w:bookmarkStart w:id="695" w:name="_Ref31044857"/>
      <w:bookmarkStart w:id="696" w:name="_Ref31045033"/>
      <w:bookmarkStart w:id="697" w:name="_Ref31059103"/>
      <w:bookmarkStart w:id="698" w:name="_Ref31059442"/>
      <w:bookmarkStart w:id="699" w:name="_Ref31059530"/>
      <w:bookmarkStart w:id="700" w:name="_Ref31059543"/>
      <w:bookmarkStart w:id="701" w:name="_Ref31060152"/>
      <w:bookmarkStart w:id="702" w:name="_Ref31060411"/>
      <w:bookmarkStart w:id="703" w:name="_Ref31060979"/>
      <w:bookmarkStart w:id="704" w:name="_Ref31061312"/>
      <w:bookmarkStart w:id="705" w:name="_Toc58920305"/>
      <w:bookmarkEnd w:id="685"/>
      <w:bookmarkEnd w:id="686"/>
      <w:bookmarkEnd w:id="687"/>
      <w:r>
        <w:rPr>
          <w:noProof/>
        </w:rPr>
        <w:t>LAW.SURR.95. </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rPr>
          <w:noProof/>
        </w:rPr>
        <w:t xml:space="preserve">pants. </w:t>
      </w:r>
      <w:bookmarkStart w:id="706" w:name="_Toc29896109"/>
      <w:r>
        <w:rPr>
          <w:noProof/>
        </w:rPr>
        <w:t>Termiņi un</w:t>
      </w:r>
      <w:r>
        <w:rPr>
          <w:noProof/>
        </w:rPr>
        <w:t xml:space="preserve"> kārtība, kādos pieņem lēmumu izpildīt apcietināšanas orderi</w:t>
      </w:r>
      <w:bookmarkEnd w:id="705"/>
      <w:bookmarkEnd w:id="706"/>
    </w:p>
    <w:p w:rsidR="003E022D" w:rsidRDefault="007D19D6">
      <w:pPr>
        <w:numPr>
          <w:ilvl w:val="0"/>
          <w:numId w:val="60"/>
        </w:numPr>
        <w:ind w:left="0" w:firstLine="0"/>
        <w:rPr>
          <w:rFonts w:cstheme="minorHAnsi"/>
          <w:noProof/>
        </w:rPr>
      </w:pPr>
      <w:r>
        <w:rPr>
          <w:noProof/>
        </w:rPr>
        <w:t>Apcietināšanas orderi izskata un izpilda steidzamības kārtā.</w:t>
      </w:r>
    </w:p>
    <w:p w:rsidR="003E022D" w:rsidRDefault="007D19D6">
      <w:pPr>
        <w:numPr>
          <w:ilvl w:val="0"/>
          <w:numId w:val="60"/>
        </w:numPr>
        <w:ind w:left="0" w:firstLine="0"/>
        <w:rPr>
          <w:rFonts w:cstheme="minorHAnsi"/>
          <w:noProof/>
        </w:rPr>
      </w:pPr>
      <w:r>
        <w:rPr>
          <w:noProof/>
        </w:rPr>
        <w:t>Gadījumos, kad pieprasītā persona piekrīt tās nodošanai, galīgo lēmumu par apcietināšanas ordera izpildi pieņem desmit dienu laikā pēc</w:t>
      </w:r>
      <w:r>
        <w:rPr>
          <w:noProof/>
        </w:rPr>
        <w:t xml:space="preserve"> piekrišanas sniegšanas.</w:t>
      </w:r>
    </w:p>
    <w:p w:rsidR="003E022D" w:rsidRDefault="007D19D6">
      <w:pPr>
        <w:numPr>
          <w:ilvl w:val="0"/>
          <w:numId w:val="60"/>
        </w:numPr>
        <w:ind w:left="0" w:firstLine="0"/>
        <w:rPr>
          <w:rFonts w:cstheme="minorHAnsi"/>
          <w:noProof/>
        </w:rPr>
      </w:pPr>
      <w:r>
        <w:rPr>
          <w:noProof/>
        </w:rPr>
        <w:t>Pārējos gadījumos galīgo lēmumu par apcietināšanas ordera izpildi pieņem 60 dienu laikā pēc pieprasītās personas apcietināšanas.</w:t>
      </w:r>
    </w:p>
    <w:p w:rsidR="003E022D" w:rsidRDefault="007D19D6">
      <w:pPr>
        <w:numPr>
          <w:ilvl w:val="0"/>
          <w:numId w:val="60"/>
        </w:numPr>
        <w:ind w:left="0" w:firstLine="0"/>
        <w:rPr>
          <w:rFonts w:cstheme="minorHAnsi"/>
          <w:noProof/>
        </w:rPr>
      </w:pPr>
      <w:r>
        <w:rPr>
          <w:noProof/>
        </w:rPr>
        <w:t>Īpašos gadījumos, kad apcietināšanas orderi nevar izpildīt termiņos, kas paredzēti 2. vai 3. punktā, i</w:t>
      </w:r>
      <w:r>
        <w:rPr>
          <w:noProof/>
        </w:rPr>
        <w:t>zpildes tiesu iestāde nekavējoties par minēto faktu informē izsniegšanas tiesu iestādi, norādot kavēšanās iemeslus. Šādā gadījumā termiņu var pagarināt par 30 dienām.</w:t>
      </w:r>
    </w:p>
    <w:p w:rsidR="003E022D" w:rsidRDefault="007D19D6">
      <w:pPr>
        <w:numPr>
          <w:ilvl w:val="0"/>
          <w:numId w:val="60"/>
        </w:numPr>
        <w:ind w:left="0" w:firstLine="0"/>
        <w:rPr>
          <w:rFonts w:cstheme="minorHAnsi"/>
          <w:noProof/>
        </w:rPr>
      </w:pPr>
      <w:r>
        <w:rPr>
          <w:noProof/>
        </w:rPr>
        <w:t>Kamēr izpildes tiesu iestāde nav pieņēmusi galīgo lēmumu par apcietināšanas orderi, tā no</w:t>
      </w:r>
      <w:r>
        <w:rPr>
          <w:noProof/>
        </w:rPr>
        <w:t>drošina to, ka materiālie nosacījumi, kas nepieciešami faktiskai personas nodošanai, būtu ievēroti arī turpmāk.</w:t>
      </w:r>
    </w:p>
    <w:p w:rsidR="003E022D" w:rsidRDefault="007D19D6">
      <w:pPr>
        <w:numPr>
          <w:ilvl w:val="0"/>
          <w:numId w:val="60"/>
        </w:numPr>
        <w:ind w:left="0" w:firstLine="0"/>
        <w:rPr>
          <w:rFonts w:cstheme="minorHAnsi"/>
          <w:noProof/>
        </w:rPr>
      </w:pPr>
      <w:r>
        <w:rPr>
          <w:noProof/>
        </w:rPr>
        <w:t xml:space="preserve">Ikviena atteikšanās izpildīt apcietināšanas orderi ir jāpamato. </w:t>
      </w:r>
    </w:p>
    <w:p w:rsidR="003E022D" w:rsidRDefault="007D19D6">
      <w:pPr>
        <w:pStyle w:val="Article"/>
        <w:rPr>
          <w:noProof/>
        </w:rPr>
      </w:pPr>
      <w:bookmarkStart w:id="707" w:name="_Toc29896110"/>
      <w:bookmarkStart w:id="708" w:name="_Toc58920306"/>
      <w:r>
        <w:rPr>
          <w:noProof/>
        </w:rPr>
        <w:t>LAW.SURR.96. pants</w:t>
      </w:r>
      <w:bookmarkEnd w:id="707"/>
      <w:r>
        <w:rPr>
          <w:noProof/>
        </w:rPr>
        <w:t xml:space="preserve">. </w:t>
      </w:r>
      <w:bookmarkStart w:id="709" w:name="_Toc29896111"/>
      <w:r>
        <w:rPr>
          <w:noProof/>
        </w:rPr>
        <w:t>Stāvoklis līdz lēmuma pieņemšanai</w:t>
      </w:r>
      <w:bookmarkEnd w:id="708"/>
      <w:bookmarkEnd w:id="709"/>
    </w:p>
    <w:p w:rsidR="003E022D" w:rsidRDefault="007D19D6">
      <w:pPr>
        <w:numPr>
          <w:ilvl w:val="0"/>
          <w:numId w:val="61"/>
        </w:numPr>
        <w:ind w:left="0" w:firstLine="0"/>
        <w:rPr>
          <w:rFonts w:cstheme="minorHAnsi"/>
          <w:noProof/>
        </w:rPr>
      </w:pPr>
      <w:r>
        <w:rPr>
          <w:noProof/>
        </w:rPr>
        <w:t>Ja apcietināšanas orderis</w:t>
      </w:r>
      <w:r>
        <w:rPr>
          <w:noProof/>
        </w:rPr>
        <w:t xml:space="preserve"> ir izsniegts kriminālvajāšanas nolūkos, izpildes tiesu iestāde:</w:t>
      </w:r>
    </w:p>
    <w:p w:rsidR="003E022D" w:rsidRDefault="007D19D6">
      <w:pPr>
        <w:numPr>
          <w:ilvl w:val="1"/>
          <w:numId w:val="61"/>
        </w:numPr>
        <w:ind w:left="567" w:hanging="567"/>
        <w:rPr>
          <w:noProof/>
        </w:rPr>
      </w:pPr>
      <w:r>
        <w:rPr>
          <w:noProof/>
        </w:rPr>
        <w:t>vai nu piekrīt, ka pieprasīto personu uzklausa saskaņā ar LAW.SURR.97. pantu [Personas noklausīšanās līdz lēmuma pieņemšanai]; vai</w:t>
      </w:r>
    </w:p>
    <w:p w:rsidR="003E022D" w:rsidRDefault="007D19D6">
      <w:pPr>
        <w:numPr>
          <w:ilvl w:val="1"/>
          <w:numId w:val="61"/>
        </w:numPr>
        <w:ind w:left="567" w:hanging="567"/>
        <w:rPr>
          <w:rFonts w:cstheme="minorHAnsi"/>
          <w:noProof/>
        </w:rPr>
      </w:pPr>
      <w:r>
        <w:rPr>
          <w:noProof/>
        </w:rPr>
        <w:t>piekrīt pieprasītās personas pagaidu pārvietošanai.</w:t>
      </w:r>
    </w:p>
    <w:p w:rsidR="003E022D" w:rsidRDefault="007D19D6">
      <w:pPr>
        <w:pStyle w:val="ListParagraph"/>
        <w:numPr>
          <w:ilvl w:val="0"/>
          <w:numId w:val="61"/>
        </w:numPr>
        <w:spacing w:line="276" w:lineRule="auto"/>
        <w:ind w:left="0" w:firstLine="0"/>
        <w:contextualSpacing w:val="0"/>
        <w:rPr>
          <w:rFonts w:asciiTheme="minorHAnsi" w:hAnsiTheme="minorHAnsi" w:cstheme="minorHAnsi"/>
          <w:noProof/>
        </w:rPr>
      </w:pPr>
      <w:r>
        <w:rPr>
          <w:rFonts w:asciiTheme="minorHAnsi" w:hAnsiTheme="minorHAnsi"/>
          <w:noProof/>
        </w:rPr>
        <w:t xml:space="preserve">Pagaidu </w:t>
      </w:r>
      <w:r>
        <w:rPr>
          <w:rFonts w:asciiTheme="minorHAnsi" w:hAnsiTheme="minorHAnsi"/>
          <w:noProof/>
        </w:rPr>
        <w:t>pārvietošanas nosacījumus un termiņu nosaka, izsniegšanas un izpildes iestādēm savstarpēji vienojoties.</w:t>
      </w:r>
    </w:p>
    <w:p w:rsidR="003E022D" w:rsidRDefault="007D19D6">
      <w:pPr>
        <w:pStyle w:val="ListParagraph"/>
        <w:numPr>
          <w:ilvl w:val="0"/>
          <w:numId w:val="61"/>
        </w:numPr>
        <w:spacing w:line="276" w:lineRule="auto"/>
        <w:ind w:left="0" w:firstLine="0"/>
        <w:contextualSpacing w:val="0"/>
        <w:rPr>
          <w:rFonts w:asciiTheme="minorHAnsi" w:hAnsiTheme="minorHAnsi" w:cstheme="minorHAnsi"/>
          <w:noProof/>
        </w:rPr>
      </w:pPr>
      <w:r>
        <w:rPr>
          <w:rFonts w:asciiTheme="minorHAnsi" w:hAnsiTheme="minorHAnsi"/>
          <w:noProof/>
        </w:rPr>
        <w:t xml:space="preserve">Pagaidu pārvietošanas gadījumā personai ir jābūt iespējai atgriezties izpildes valstī, lai piedalītos sēdēs, kas ir nodošanas procedūras daļa un kas uz </w:t>
      </w:r>
      <w:r>
        <w:rPr>
          <w:rFonts w:asciiTheme="minorHAnsi" w:hAnsiTheme="minorHAnsi"/>
          <w:noProof/>
        </w:rPr>
        <w:t xml:space="preserve">to attiecas. </w:t>
      </w:r>
    </w:p>
    <w:p w:rsidR="003E022D" w:rsidRDefault="007D19D6">
      <w:pPr>
        <w:pStyle w:val="Article"/>
        <w:rPr>
          <w:noProof/>
        </w:rPr>
      </w:pPr>
      <w:bookmarkStart w:id="710" w:name="_Article_22"/>
      <w:bookmarkStart w:id="711" w:name="_ARTICLE_108"/>
      <w:bookmarkStart w:id="712" w:name="_Toc29896112"/>
      <w:bookmarkStart w:id="713" w:name="_Ref31043758"/>
      <w:bookmarkStart w:id="714" w:name="_Ref31059506"/>
      <w:bookmarkStart w:id="715" w:name="_Toc58920307"/>
      <w:bookmarkEnd w:id="710"/>
      <w:bookmarkEnd w:id="711"/>
      <w:r>
        <w:rPr>
          <w:noProof/>
        </w:rPr>
        <w:t>LAW.SURR.97. pants.</w:t>
      </w:r>
      <w:bookmarkEnd w:id="712"/>
      <w:bookmarkEnd w:id="713"/>
      <w:bookmarkEnd w:id="714"/>
      <w:r>
        <w:rPr>
          <w:noProof/>
        </w:rPr>
        <w:t xml:space="preserve"> </w:t>
      </w:r>
      <w:bookmarkStart w:id="716" w:name="_Toc29896113"/>
      <w:r>
        <w:rPr>
          <w:noProof/>
        </w:rPr>
        <w:t>Personas uzklausīšana līdz lēmuma pieņemšanai</w:t>
      </w:r>
      <w:bookmarkEnd w:id="715"/>
      <w:bookmarkEnd w:id="716"/>
    </w:p>
    <w:p w:rsidR="003E022D" w:rsidRDefault="007D19D6">
      <w:pPr>
        <w:numPr>
          <w:ilvl w:val="0"/>
          <w:numId w:val="62"/>
        </w:numPr>
        <w:ind w:left="0" w:firstLine="0"/>
        <w:rPr>
          <w:rFonts w:cstheme="minorHAnsi"/>
          <w:noProof/>
        </w:rPr>
      </w:pPr>
      <w:r>
        <w:rPr>
          <w:noProof/>
        </w:rPr>
        <w:t>Pieprasīto personu uzklausa tiesu iestāde. Šajā nolūkā pieprasītajai personai palīdz jurists, kas norīkots saskaņā ar izpildes valsts tiesību aktiem.</w:t>
      </w:r>
    </w:p>
    <w:p w:rsidR="003E022D" w:rsidRDefault="007D19D6">
      <w:pPr>
        <w:numPr>
          <w:ilvl w:val="0"/>
          <w:numId w:val="62"/>
        </w:numPr>
        <w:ind w:left="0" w:firstLine="0"/>
        <w:rPr>
          <w:rFonts w:cstheme="minorHAnsi"/>
          <w:noProof/>
        </w:rPr>
      </w:pPr>
      <w:r>
        <w:rPr>
          <w:noProof/>
        </w:rPr>
        <w:t xml:space="preserve">Pieprasīto personu </w:t>
      </w:r>
      <w:r>
        <w:rPr>
          <w:noProof/>
        </w:rPr>
        <w:t>uzklausa saskaņā ar izpildes valsts tiesībām un saskaņā ar nosacījumiem, ko nosaka, izsniegšanas un izpildes iestādēm savstarpēji vienojoties.</w:t>
      </w:r>
    </w:p>
    <w:p w:rsidR="003E022D" w:rsidRDefault="007D19D6">
      <w:pPr>
        <w:numPr>
          <w:ilvl w:val="0"/>
          <w:numId w:val="62"/>
        </w:numPr>
        <w:ind w:left="0" w:firstLine="0"/>
        <w:rPr>
          <w:rFonts w:cstheme="minorHAnsi"/>
          <w:noProof/>
        </w:rPr>
      </w:pPr>
      <w:r>
        <w:rPr>
          <w:noProof/>
        </w:rPr>
        <w:t xml:space="preserve">Kompetentā izpildes iestāde var uzdot citai savas valsts tiesu iestādei piedalīties pieprasītās personas uzklausīšanā, lai nodrošinātu šā panta piemērošanu. </w:t>
      </w:r>
    </w:p>
    <w:p w:rsidR="003E022D" w:rsidRDefault="007D19D6">
      <w:pPr>
        <w:pStyle w:val="Article"/>
        <w:rPr>
          <w:noProof/>
        </w:rPr>
      </w:pPr>
      <w:bookmarkStart w:id="717" w:name="_Toc29896114"/>
      <w:bookmarkStart w:id="718" w:name="_Toc58920308"/>
      <w:r>
        <w:rPr>
          <w:noProof/>
        </w:rPr>
        <w:t>LAW.SURR.98. pants</w:t>
      </w:r>
      <w:bookmarkEnd w:id="717"/>
      <w:r>
        <w:rPr>
          <w:noProof/>
        </w:rPr>
        <w:t xml:space="preserve">. </w:t>
      </w:r>
      <w:bookmarkStart w:id="719" w:name="_Toc29896115"/>
      <w:r>
        <w:rPr>
          <w:noProof/>
        </w:rPr>
        <w:t>Privilēģijas un neaizskaramība</w:t>
      </w:r>
      <w:bookmarkEnd w:id="718"/>
      <w:bookmarkEnd w:id="719"/>
    </w:p>
    <w:p w:rsidR="003E022D" w:rsidRDefault="007D19D6">
      <w:pPr>
        <w:numPr>
          <w:ilvl w:val="0"/>
          <w:numId w:val="63"/>
        </w:numPr>
        <w:ind w:left="0" w:firstLine="0"/>
        <w:rPr>
          <w:rFonts w:cstheme="minorHAnsi"/>
          <w:noProof/>
        </w:rPr>
      </w:pPr>
      <w:r>
        <w:rPr>
          <w:noProof/>
        </w:rPr>
        <w:t>Ja pieprasītajai personai noteiktas privilēģija</w:t>
      </w:r>
      <w:r>
        <w:rPr>
          <w:noProof/>
        </w:rPr>
        <w:t xml:space="preserve">s vai neaizskaramība attiecībā uz izpildes valsts jurisdikciju vai izpildi, tad </w:t>
      </w:r>
      <w:r>
        <w:rPr>
          <w:noProof/>
          <w:u w:color="000000"/>
        </w:rPr>
        <w:t>LAW.SURR.95. pantā [Termiņi un kārtība, kādos pieņem lēmumu izpildīt apcietināšanas orderi]</w:t>
      </w:r>
      <w:r>
        <w:rPr>
          <w:noProof/>
        </w:rPr>
        <w:t xml:space="preserve"> paredzēto termiņu tecējums sākas tikai tad, kad vai ja izpildes tiesu iestādi inform</w:t>
      </w:r>
      <w:r>
        <w:rPr>
          <w:noProof/>
        </w:rPr>
        <w:t xml:space="preserve">ē par to, ka privilēģijas un neaizskaramība ir atcelta. </w:t>
      </w:r>
    </w:p>
    <w:p w:rsidR="003E022D" w:rsidRDefault="007D19D6">
      <w:pPr>
        <w:numPr>
          <w:ilvl w:val="0"/>
          <w:numId w:val="63"/>
        </w:numPr>
        <w:ind w:left="0" w:firstLine="0"/>
        <w:rPr>
          <w:rFonts w:cstheme="minorHAnsi"/>
          <w:noProof/>
        </w:rPr>
      </w:pPr>
      <w:r>
        <w:rPr>
          <w:noProof/>
        </w:rPr>
        <w:t>Izpildes valsts nodrošina, ka materiālie nosacījumi, kas vajadzīgi faktiskai personas nodošanai, turpina būt ievēroti tad, kad persona vairs nebauda šādas privilēģijas vai neaizskaramību.</w:t>
      </w:r>
    </w:p>
    <w:p w:rsidR="003E022D" w:rsidRDefault="007D19D6">
      <w:pPr>
        <w:numPr>
          <w:ilvl w:val="0"/>
          <w:numId w:val="63"/>
        </w:numPr>
        <w:ind w:left="0" w:firstLine="0"/>
        <w:rPr>
          <w:rFonts w:cstheme="minorHAnsi"/>
          <w:noProof/>
        </w:rPr>
      </w:pPr>
      <w:r>
        <w:rPr>
          <w:noProof/>
        </w:rPr>
        <w:t>Ja tiesības</w:t>
      </w:r>
      <w:r>
        <w:rPr>
          <w:noProof/>
        </w:rPr>
        <w:t xml:space="preserve"> atcelt privilēģijas vai neaizskaramību ir izpildes valstij, tad izpildes tiesu iestāde lūdz minētajai iestādei nekavējoties īstenot minētās tiesības. Ja tiesības atcelt privilēģijas vai neaizskaramību ir citas valsts, trešās valsts vai starptautiskas orga</w:t>
      </w:r>
      <w:r>
        <w:rPr>
          <w:noProof/>
        </w:rPr>
        <w:t xml:space="preserve">nizācijas iestādei, tad izsniegšanas tiesu iestāde lūdz minētajai iestādei īstenot minētās tiesības. </w:t>
      </w:r>
    </w:p>
    <w:p w:rsidR="003E022D" w:rsidRDefault="007D19D6">
      <w:pPr>
        <w:pStyle w:val="Article"/>
        <w:rPr>
          <w:noProof/>
        </w:rPr>
      </w:pPr>
      <w:bookmarkStart w:id="720" w:name="_Toc29896116"/>
      <w:bookmarkStart w:id="721" w:name="_Toc58920309"/>
      <w:r>
        <w:rPr>
          <w:noProof/>
        </w:rPr>
        <w:t>LAW.SURR.99. pants</w:t>
      </w:r>
      <w:bookmarkEnd w:id="720"/>
      <w:r>
        <w:rPr>
          <w:noProof/>
        </w:rPr>
        <w:t xml:space="preserve">. </w:t>
      </w:r>
      <w:bookmarkStart w:id="722" w:name="_Toc29896117"/>
      <w:r>
        <w:rPr>
          <w:noProof/>
        </w:rPr>
        <w:t>Starptautisko saistību konkurence</w:t>
      </w:r>
      <w:bookmarkEnd w:id="721"/>
      <w:bookmarkEnd w:id="722"/>
    </w:p>
    <w:p w:rsidR="003E022D" w:rsidRDefault="007D19D6">
      <w:pPr>
        <w:numPr>
          <w:ilvl w:val="0"/>
          <w:numId w:val="80"/>
        </w:numPr>
        <w:ind w:left="0" w:firstLine="0"/>
        <w:rPr>
          <w:rFonts w:cstheme="minorHAnsi"/>
          <w:noProof/>
        </w:rPr>
      </w:pPr>
      <w:r>
        <w:rPr>
          <w:noProof/>
        </w:rPr>
        <w:t>Šis nolīgums neietekmē izpildes valsts saistības, ja pieprasīto personu šai valstij ir izdevusi treš</w:t>
      </w:r>
      <w:r>
        <w:rPr>
          <w:noProof/>
        </w:rPr>
        <w:t>ā valsts un ja šo personu aizsargā tā nolīguma noteikumi, saskaņā ar kuru šī persona izdota, attiecībā uz specialitātes principu. Izpildes valsts veic visus vajadzīgos pasākumus, lai nekavējoties pieprasītu tās trešās valsts piekrišanu, kura pieprasīto per</w:t>
      </w:r>
      <w:r>
        <w:rPr>
          <w:noProof/>
        </w:rPr>
        <w:t xml:space="preserve">sonu izdevusi, tā, lai pieprasīto personu varētu nodot valstij, kas izsniegusi apcietināšanas orderi. Termiņu, kas minēti LAW.SURR.95. pantā [Termiņi un kārtība, kādos pieņem lēmumu izpildīt apcietināšanas orderi], tecējums sākas tikai no dienas, no kuras </w:t>
      </w:r>
      <w:r>
        <w:rPr>
          <w:noProof/>
        </w:rPr>
        <w:t xml:space="preserve">beidz piemērot specialitātes principu. </w:t>
      </w:r>
    </w:p>
    <w:p w:rsidR="003E022D" w:rsidRDefault="007D19D6">
      <w:pPr>
        <w:numPr>
          <w:ilvl w:val="0"/>
          <w:numId w:val="80"/>
        </w:numPr>
        <w:ind w:left="0" w:firstLine="0"/>
        <w:rPr>
          <w:rFonts w:cstheme="minorHAnsi"/>
          <w:noProof/>
        </w:rPr>
      </w:pPr>
      <w:r>
        <w:rPr>
          <w:noProof/>
        </w:rPr>
        <w:t xml:space="preserve">Līdz trešā valsts, kas personu izdevusi, pieņem lēmumu, izpildes valsts nodrošina, ka materiālie nosacījumi, kas vajadzīgi faktiskai personas nodošanai, būt ievēroti arī turpmāk. </w:t>
      </w:r>
    </w:p>
    <w:p w:rsidR="003E022D" w:rsidRDefault="007D19D6">
      <w:pPr>
        <w:pStyle w:val="Article"/>
        <w:rPr>
          <w:noProof/>
        </w:rPr>
      </w:pPr>
      <w:bookmarkStart w:id="723" w:name="_Toc29896118"/>
      <w:bookmarkStart w:id="724" w:name="_Toc58920310"/>
      <w:r>
        <w:rPr>
          <w:noProof/>
        </w:rPr>
        <w:t>LAW.SURR.100. pants</w:t>
      </w:r>
      <w:bookmarkEnd w:id="723"/>
      <w:r>
        <w:rPr>
          <w:noProof/>
        </w:rPr>
        <w:t xml:space="preserve">. </w:t>
      </w:r>
      <w:bookmarkStart w:id="725" w:name="_Toc29896119"/>
      <w:r>
        <w:rPr>
          <w:noProof/>
        </w:rPr>
        <w:t>Lēmuma paziņoša</w:t>
      </w:r>
      <w:r>
        <w:rPr>
          <w:noProof/>
        </w:rPr>
        <w:t>na</w:t>
      </w:r>
      <w:bookmarkEnd w:id="724"/>
      <w:bookmarkEnd w:id="725"/>
    </w:p>
    <w:p w:rsidR="003E022D" w:rsidRDefault="007D19D6">
      <w:pPr>
        <w:rPr>
          <w:rFonts w:cstheme="minorHAnsi"/>
          <w:noProof/>
        </w:rPr>
      </w:pPr>
      <w:r>
        <w:rPr>
          <w:noProof/>
        </w:rPr>
        <w:t xml:space="preserve">Izpildes tiesu iestāde nekavējoties paziņo izsniegšanas tiesu iestādei lēmumu par rīcību apcietināšanas ordera sakarā. </w:t>
      </w:r>
    </w:p>
    <w:p w:rsidR="003E022D" w:rsidRDefault="007D19D6">
      <w:pPr>
        <w:pStyle w:val="Article"/>
        <w:rPr>
          <w:noProof/>
        </w:rPr>
      </w:pPr>
      <w:bookmarkStart w:id="726" w:name="_Toc29896120"/>
      <w:bookmarkStart w:id="727" w:name="_Toc58920311"/>
      <w:r>
        <w:rPr>
          <w:noProof/>
        </w:rPr>
        <w:t>LAW.SURR.101. pants</w:t>
      </w:r>
      <w:bookmarkEnd w:id="726"/>
      <w:r>
        <w:rPr>
          <w:noProof/>
        </w:rPr>
        <w:t xml:space="preserve">. </w:t>
      </w:r>
      <w:bookmarkStart w:id="728" w:name="_Toc29896121"/>
      <w:r>
        <w:rPr>
          <w:noProof/>
        </w:rPr>
        <w:t>Personas nodošanas termiņi</w:t>
      </w:r>
      <w:bookmarkEnd w:id="727"/>
      <w:bookmarkEnd w:id="728"/>
    </w:p>
    <w:p w:rsidR="003E022D" w:rsidRDefault="007D19D6">
      <w:pPr>
        <w:numPr>
          <w:ilvl w:val="0"/>
          <w:numId w:val="64"/>
        </w:numPr>
        <w:ind w:left="0" w:firstLine="0"/>
        <w:rPr>
          <w:rFonts w:cstheme="minorHAnsi"/>
          <w:noProof/>
        </w:rPr>
      </w:pPr>
      <w:r>
        <w:rPr>
          <w:noProof/>
        </w:rPr>
        <w:t>Pieprasīto personu nodod iespējami ātri dienā, par kuru vienojas iesaistītās iestādes</w:t>
      </w:r>
      <w:r>
        <w:rPr>
          <w:noProof/>
        </w:rPr>
        <w:t>.</w:t>
      </w:r>
    </w:p>
    <w:p w:rsidR="003E022D" w:rsidRDefault="007D19D6">
      <w:pPr>
        <w:numPr>
          <w:ilvl w:val="0"/>
          <w:numId w:val="64"/>
        </w:numPr>
        <w:ind w:left="0" w:firstLine="0"/>
        <w:rPr>
          <w:rFonts w:cstheme="minorHAnsi"/>
          <w:noProof/>
        </w:rPr>
      </w:pPr>
      <w:r>
        <w:rPr>
          <w:noProof/>
        </w:rPr>
        <w:t>Pieprasīto personu nodod ne vēlāk kā desmit dienas pēc galīgā lēmuma pieņemšanas par apcietināšanas ordera izpildi.</w:t>
      </w:r>
    </w:p>
    <w:p w:rsidR="003E022D" w:rsidRDefault="007D19D6">
      <w:pPr>
        <w:numPr>
          <w:ilvl w:val="0"/>
          <w:numId w:val="64"/>
        </w:numPr>
        <w:ind w:left="0" w:firstLine="0"/>
        <w:rPr>
          <w:rFonts w:cstheme="minorHAnsi"/>
          <w:noProof/>
        </w:rPr>
      </w:pPr>
      <w:r>
        <w:rPr>
          <w:noProof/>
        </w:rPr>
        <w:t>Ja pieprasītās personas nodošanu 2. punktā minētajā termiņā traucē apstākļi, ko nekontrolē neviena valsts, tad izpildes un izsniegšanas ti</w:t>
      </w:r>
      <w:r>
        <w:rPr>
          <w:noProof/>
        </w:rPr>
        <w:t>esu iestādes nekavējoties savstarpēji sazinās un vienojas par jaunu nodošanas dienu. Šajā gadījumā nodošana notiek desmit dienu laikā no dienas, par kuru panākta jaunā vienošanās.</w:t>
      </w:r>
    </w:p>
    <w:p w:rsidR="003E022D" w:rsidRDefault="007D19D6">
      <w:pPr>
        <w:numPr>
          <w:ilvl w:val="0"/>
          <w:numId w:val="64"/>
        </w:numPr>
        <w:ind w:left="0" w:firstLine="0"/>
        <w:rPr>
          <w:rFonts w:cstheme="minorHAnsi"/>
          <w:noProof/>
        </w:rPr>
      </w:pPr>
      <w:r>
        <w:rPr>
          <w:noProof/>
        </w:rPr>
        <w:t xml:space="preserve">Nodošanu izņēmuma gadījumā var uz laiku atlikt nopietnu humānu iemeslu dēļ, </w:t>
      </w:r>
      <w:r>
        <w:rPr>
          <w:noProof/>
        </w:rPr>
        <w:t>piemēram, ja ir pamatoti iemesli domāt, ka nodošana acīmredzami apdraudētu pieprasītās personas dzīvību vai veselību. Apcietināšanas ordera izpilde notiek iespējami drīz pēc tam, kad minētie iemesli beidz pastāvēt. Izpildes tiesu iestāde par to nekavējotie</w:t>
      </w:r>
      <w:r>
        <w:rPr>
          <w:noProof/>
        </w:rPr>
        <w:t>s informē izsniegšanas tiesu iestādi un vienojas par jaunu nodošanas dienu. Šajā gadījumā nodošana notiek desmit dienu laikā no dienas, par kuru panākta jaunā vienošanās.</w:t>
      </w:r>
    </w:p>
    <w:p w:rsidR="003E022D" w:rsidRDefault="007D19D6">
      <w:pPr>
        <w:numPr>
          <w:ilvl w:val="0"/>
          <w:numId w:val="64"/>
        </w:numPr>
        <w:ind w:left="0" w:firstLine="0"/>
        <w:rPr>
          <w:rFonts w:cstheme="minorHAnsi"/>
          <w:noProof/>
        </w:rPr>
      </w:pPr>
      <w:r>
        <w:rPr>
          <w:noProof/>
        </w:rPr>
        <w:t>Beidzoties 2. līdz 4. punktā minētajiem termiņiem, ja pieprasīta persona joprojām atr</w:t>
      </w:r>
      <w:r>
        <w:rPr>
          <w:noProof/>
        </w:rPr>
        <w:t>odas apcietinājumā, minēto personu atbrīvo. Izpildes un izsniegšanas tiesu iestādes savstarpēji sazinās, tiklīdz izrādās, ka persona ir jāatbrīvo saskaņā ar šo punktu, un vienojas par minētās personas nodošanas kārtību.</w:t>
      </w:r>
    </w:p>
    <w:p w:rsidR="003E022D" w:rsidRDefault="007D19D6">
      <w:pPr>
        <w:pStyle w:val="Article"/>
        <w:rPr>
          <w:noProof/>
        </w:rPr>
      </w:pPr>
      <w:bookmarkStart w:id="729" w:name="_Toc29896122"/>
      <w:bookmarkStart w:id="730" w:name="_Toc58920312"/>
      <w:r>
        <w:rPr>
          <w:noProof/>
        </w:rPr>
        <w:t>LAW.PRUM.</w:t>
      </w:r>
      <w:bookmarkEnd w:id="729"/>
      <w:r>
        <w:rPr>
          <w:noProof/>
        </w:rPr>
        <w:t xml:space="preserve">102. pants. </w:t>
      </w:r>
      <w:bookmarkStart w:id="731" w:name="_Toc29896123"/>
      <w:r>
        <w:rPr>
          <w:noProof/>
        </w:rPr>
        <w:t>Nodošanas atlik</w:t>
      </w:r>
      <w:r>
        <w:rPr>
          <w:noProof/>
        </w:rPr>
        <w:t>šana vai pakļaušana nosacījumiem</w:t>
      </w:r>
      <w:bookmarkEnd w:id="730"/>
      <w:bookmarkEnd w:id="731"/>
    </w:p>
    <w:p w:rsidR="003E022D" w:rsidRDefault="007D19D6">
      <w:pPr>
        <w:numPr>
          <w:ilvl w:val="0"/>
          <w:numId w:val="65"/>
        </w:numPr>
        <w:ind w:left="0" w:firstLine="0"/>
        <w:rPr>
          <w:rFonts w:cstheme="minorHAnsi"/>
          <w:noProof/>
        </w:rPr>
      </w:pPr>
      <w:r>
        <w:rPr>
          <w:noProof/>
        </w:rPr>
        <w:t>Izpildes tiesu iestāde pēc lēmuma izpildīt apcietināšanas orderi var atlikt pieprasītās personas nodošanu tā, lai varētu veikt pieprasītās personas kriminālvajāšanu izpildes valstī vai, ja tā jau notiesāta – tā, lai piepras</w:t>
      </w:r>
      <w:r>
        <w:rPr>
          <w:noProof/>
        </w:rPr>
        <w:t>ītā persona izpildes valsts teritorijā varētu izciest sodu par darbību, kas nav darbība, kura minēta apcietināšanas orderī.</w:t>
      </w:r>
    </w:p>
    <w:p w:rsidR="003E022D" w:rsidRDefault="007D19D6">
      <w:pPr>
        <w:numPr>
          <w:ilvl w:val="0"/>
          <w:numId w:val="65"/>
        </w:numPr>
        <w:ind w:left="0" w:firstLine="0"/>
        <w:rPr>
          <w:rFonts w:cstheme="minorHAnsi"/>
          <w:noProof/>
        </w:rPr>
      </w:pPr>
      <w:r>
        <w:rPr>
          <w:noProof/>
        </w:rPr>
        <w:t>Tā vietā, lai atliktu nodošanu, izpildes tiesu iestāde var uz laiku nodot pieprasīto personu izsniegšanas valstij saskaņā ar nosacīj</w:t>
      </w:r>
      <w:r>
        <w:rPr>
          <w:noProof/>
        </w:rPr>
        <w:t xml:space="preserve">umiem, ko nosaka izpildes un izsniegšanas tiesu iestādes, savstarpēji vienojoties. Vienošanos izdara rakstiski, un nosacījumi ir saistoši visām izsniegšanas valsts iestādēm. </w:t>
      </w:r>
    </w:p>
    <w:p w:rsidR="003E022D" w:rsidRDefault="007D19D6">
      <w:pPr>
        <w:pStyle w:val="Article"/>
        <w:rPr>
          <w:noProof/>
        </w:rPr>
      </w:pPr>
      <w:bookmarkStart w:id="732" w:name="_Article_28"/>
      <w:bookmarkStart w:id="733" w:name="_ARTICLE_114"/>
      <w:bookmarkStart w:id="734" w:name="_Toc29896124"/>
      <w:bookmarkStart w:id="735" w:name="_Ref31044752"/>
      <w:bookmarkStart w:id="736" w:name="_Ref31044957"/>
      <w:bookmarkStart w:id="737" w:name="_Ref31060716"/>
      <w:bookmarkStart w:id="738" w:name="_Ref31061182"/>
      <w:bookmarkStart w:id="739" w:name="_Toc58920313"/>
      <w:bookmarkEnd w:id="732"/>
      <w:bookmarkEnd w:id="733"/>
      <w:r>
        <w:rPr>
          <w:noProof/>
        </w:rPr>
        <w:t>LAW.SURR.</w:t>
      </w:r>
      <w:bookmarkEnd w:id="734"/>
      <w:bookmarkEnd w:id="735"/>
      <w:bookmarkEnd w:id="736"/>
      <w:bookmarkEnd w:id="737"/>
      <w:bookmarkEnd w:id="738"/>
      <w:r>
        <w:rPr>
          <w:noProof/>
        </w:rPr>
        <w:t xml:space="preserve">103. pants. </w:t>
      </w:r>
      <w:bookmarkStart w:id="740" w:name="_Toc29896125"/>
      <w:r>
        <w:rPr>
          <w:noProof/>
        </w:rPr>
        <w:t>Tranzīts</w:t>
      </w:r>
      <w:bookmarkEnd w:id="739"/>
      <w:bookmarkEnd w:id="740"/>
    </w:p>
    <w:p w:rsidR="003E022D" w:rsidRDefault="007D19D6">
      <w:pPr>
        <w:numPr>
          <w:ilvl w:val="6"/>
          <w:numId w:val="66"/>
        </w:numPr>
        <w:ind w:left="0" w:firstLine="0"/>
        <w:rPr>
          <w:rFonts w:cstheme="minorHAnsi"/>
          <w:noProof/>
        </w:rPr>
      </w:pPr>
      <w:r>
        <w:rPr>
          <w:noProof/>
        </w:rPr>
        <w:t xml:space="preserve">Ikviena valsts atļauj pieprasītās personas, kuru </w:t>
      </w:r>
      <w:r>
        <w:rPr>
          <w:noProof/>
        </w:rPr>
        <w:t>nodod, tranzītu cauri tās teritorijai, ar nosacījumu, ka tai ir sniegta informācija par:</w:t>
      </w:r>
    </w:p>
    <w:p w:rsidR="003E022D" w:rsidRDefault="007D19D6">
      <w:pPr>
        <w:numPr>
          <w:ilvl w:val="1"/>
          <w:numId w:val="76"/>
        </w:numPr>
        <w:ind w:left="567" w:hanging="567"/>
        <w:rPr>
          <w:noProof/>
        </w:rPr>
      </w:pPr>
      <w:r>
        <w:rPr>
          <w:noProof/>
        </w:rPr>
        <w:t>personas, par kuru izsniegts apcietināšanas orderis, identitāti un valstspiederību;</w:t>
      </w:r>
    </w:p>
    <w:p w:rsidR="003E022D" w:rsidRDefault="007D19D6">
      <w:pPr>
        <w:numPr>
          <w:ilvl w:val="1"/>
          <w:numId w:val="76"/>
        </w:numPr>
        <w:ind w:left="567" w:hanging="567"/>
        <w:rPr>
          <w:noProof/>
        </w:rPr>
      </w:pPr>
      <w:r>
        <w:rPr>
          <w:noProof/>
        </w:rPr>
        <w:t>apcietināšanas ordera esamību;</w:t>
      </w:r>
    </w:p>
    <w:p w:rsidR="003E022D" w:rsidRDefault="007D19D6">
      <w:pPr>
        <w:numPr>
          <w:ilvl w:val="1"/>
          <w:numId w:val="76"/>
        </w:numPr>
        <w:ind w:left="567" w:hanging="567"/>
        <w:rPr>
          <w:noProof/>
        </w:rPr>
      </w:pPr>
      <w:r>
        <w:rPr>
          <w:noProof/>
        </w:rPr>
        <w:t>nodarījuma veidu un juridisko kvalifikāciju; un</w:t>
      </w:r>
    </w:p>
    <w:p w:rsidR="003E022D" w:rsidRDefault="007D19D6">
      <w:pPr>
        <w:numPr>
          <w:ilvl w:val="1"/>
          <w:numId w:val="76"/>
        </w:numPr>
        <w:ind w:left="567" w:hanging="567"/>
        <w:rPr>
          <w:rFonts w:cstheme="minorHAnsi"/>
          <w:noProof/>
        </w:rPr>
      </w:pPr>
      <w:r>
        <w:rPr>
          <w:noProof/>
        </w:rPr>
        <w:t>to a</w:t>
      </w:r>
      <w:r>
        <w:rPr>
          <w:noProof/>
        </w:rPr>
        <w:t>pstākļu aprakstu, kādos tika izdarīts nodarījums, arī laiku un vietu.</w:t>
      </w:r>
    </w:p>
    <w:p w:rsidR="003E022D" w:rsidRDefault="007D19D6">
      <w:pPr>
        <w:numPr>
          <w:ilvl w:val="0"/>
          <w:numId w:val="76"/>
        </w:numPr>
        <w:ind w:left="0" w:firstLine="0"/>
        <w:rPr>
          <w:rFonts w:cstheme="minorHAnsi"/>
          <w:noProof/>
        </w:rPr>
      </w:pPr>
      <w:r>
        <w:rPr>
          <w:noProof/>
        </w:rPr>
        <w:t xml:space="preserve">Valsts, kuras vārdā ir sniegts paziņojums saskaņā ar </w:t>
      </w:r>
      <w:r>
        <w:rPr>
          <w:noProof/>
          <w:u w:color="000000"/>
        </w:rPr>
        <w:t>LAW.SURR.83. panta [Izņēmums saistībā ar valstspiederību]</w:t>
      </w:r>
      <w:r>
        <w:rPr>
          <w:noProof/>
        </w:rPr>
        <w:t xml:space="preserve"> 2. punktu ar mērķi, ka tās valstspiederīgie netiks nodoti vai ka to nodošan</w:t>
      </w:r>
      <w:r>
        <w:rPr>
          <w:noProof/>
        </w:rPr>
        <w:t xml:space="preserve">a tiks atļauta, vienīgi ievērojot atsevišķus konkrētus nosacījumus, var, ievērojot šos pašus noteikumus, atteikt tās valstspiederīgo tranzītu cauri tās teritorijai vai pakļaut to tādiem pašiem nosacījumiem. </w:t>
      </w:r>
    </w:p>
    <w:p w:rsidR="003E022D" w:rsidRDefault="007D19D6">
      <w:pPr>
        <w:numPr>
          <w:ilvl w:val="0"/>
          <w:numId w:val="76"/>
        </w:numPr>
        <w:ind w:left="0" w:firstLine="0"/>
        <w:rPr>
          <w:rFonts w:cstheme="minorHAnsi"/>
          <w:noProof/>
        </w:rPr>
      </w:pPr>
      <w:r>
        <w:rPr>
          <w:noProof/>
        </w:rPr>
        <w:t>Valstis izraugās iestādi, kas ir atbildīga par t</w:t>
      </w:r>
      <w:r>
        <w:rPr>
          <w:noProof/>
        </w:rPr>
        <w:t>ranzīta pieprasījumu un vajadzīgo dokumentu saņemšanu, kā arī par ikvienas oficiālas sarakstes, kas attiecas uz tranzīta pieprasījumiem, saņemšanu.</w:t>
      </w:r>
    </w:p>
    <w:p w:rsidR="003E022D" w:rsidRDefault="007D19D6">
      <w:pPr>
        <w:numPr>
          <w:ilvl w:val="0"/>
          <w:numId w:val="76"/>
        </w:numPr>
        <w:ind w:left="0" w:firstLine="0"/>
        <w:rPr>
          <w:rFonts w:cstheme="minorHAnsi"/>
          <w:noProof/>
        </w:rPr>
      </w:pPr>
      <w:r>
        <w:rPr>
          <w:noProof/>
        </w:rPr>
        <w:t>Tranzīta pieprasījumu un informāciju, kas minēta 1. punktā, var adresēt iestādei, kuru izraugās saskaņā ar 3</w:t>
      </w:r>
      <w:r>
        <w:rPr>
          <w:noProof/>
        </w:rPr>
        <w:t>. punktu, ar ikvienu līdzekli, ar kuru var iegūt rakstisku dokumentu. Tranzīta valsts savu lēmumu paziņo tādā pašā veidā.</w:t>
      </w:r>
    </w:p>
    <w:p w:rsidR="003E022D" w:rsidRDefault="007D19D6">
      <w:pPr>
        <w:numPr>
          <w:ilvl w:val="0"/>
          <w:numId w:val="76"/>
        </w:numPr>
        <w:ind w:left="0" w:firstLine="0"/>
        <w:rPr>
          <w:rFonts w:cstheme="minorHAnsi"/>
          <w:noProof/>
        </w:rPr>
      </w:pPr>
      <w:r>
        <w:rPr>
          <w:noProof/>
        </w:rPr>
        <w:t>Šo pantu nepiemēro gaisa pārvadājumiem bez paredzētām pieturām. Tomēr, ja notiek neparedzēta nolaišanās, izsniegšanas valsts saskaņā a</w:t>
      </w:r>
      <w:r>
        <w:rPr>
          <w:noProof/>
        </w:rPr>
        <w:t>r 3. punktu izraudzītajai iestādei sniedz informāciju, kas minēta 1. punktā.</w:t>
      </w:r>
    </w:p>
    <w:p w:rsidR="003E022D" w:rsidRDefault="007D19D6">
      <w:pPr>
        <w:numPr>
          <w:ilvl w:val="0"/>
          <w:numId w:val="76"/>
        </w:numPr>
        <w:ind w:left="0" w:firstLine="0"/>
        <w:rPr>
          <w:rFonts w:cstheme="minorHAnsi"/>
          <w:noProof/>
        </w:rPr>
      </w:pPr>
      <w:r>
        <w:rPr>
          <w:noProof/>
        </w:rPr>
        <w:t xml:space="preserve">Ja tranzīts attiecas uz personu, kas valstij ir jāizdod no trešās valsts, </w:t>
      </w:r>
      <w:r>
        <w:rPr>
          <w:i/>
          <w:noProof/>
        </w:rPr>
        <w:t>mutatis mutandis</w:t>
      </w:r>
      <w:r>
        <w:rPr>
          <w:noProof/>
        </w:rPr>
        <w:t xml:space="preserve"> piemēro šo pantu. Jo īpaši atsauces uz apcietināšanas orderi uzskata par atsacēm uz izdo</w:t>
      </w:r>
      <w:r>
        <w:rPr>
          <w:noProof/>
        </w:rPr>
        <w:t xml:space="preserve">šanas lūgumu. </w:t>
      </w:r>
    </w:p>
    <w:p w:rsidR="003E022D" w:rsidRDefault="007D19D6">
      <w:pPr>
        <w:pStyle w:val="Article"/>
        <w:rPr>
          <w:noProof/>
        </w:rPr>
      </w:pPr>
      <w:bookmarkStart w:id="741" w:name="_Toc29896126"/>
      <w:bookmarkStart w:id="742" w:name="_Toc58920314"/>
      <w:r>
        <w:rPr>
          <w:noProof/>
        </w:rPr>
        <w:t>LAW.PRUM.</w:t>
      </w:r>
      <w:bookmarkEnd w:id="741"/>
      <w:r>
        <w:rPr>
          <w:noProof/>
        </w:rPr>
        <w:t xml:space="preserve">104. pants. </w:t>
      </w:r>
      <w:bookmarkStart w:id="743" w:name="_Toc29896127"/>
      <w:r>
        <w:rPr>
          <w:noProof/>
        </w:rPr>
        <w:t>Laikposma, kas pavadīts apcietinājumā izpildes valstī, ieskaitīšana</w:t>
      </w:r>
      <w:bookmarkEnd w:id="742"/>
      <w:bookmarkEnd w:id="743"/>
    </w:p>
    <w:p w:rsidR="003E022D" w:rsidRDefault="007D19D6">
      <w:pPr>
        <w:numPr>
          <w:ilvl w:val="0"/>
          <w:numId w:val="67"/>
        </w:numPr>
        <w:ind w:left="0" w:firstLine="0"/>
        <w:rPr>
          <w:rFonts w:cstheme="minorHAnsi"/>
          <w:noProof/>
        </w:rPr>
      </w:pPr>
      <w:r>
        <w:rPr>
          <w:noProof/>
        </w:rPr>
        <w:t xml:space="preserve">Izsniegšanas valsts ieskaita visus apcietinājuma termiņus, kas izciesti apcietināšanas ordera izpildes rezultātā, kopējā brīvības atņemšanas laikā, kas </w:t>
      </w:r>
      <w:r>
        <w:rPr>
          <w:noProof/>
        </w:rPr>
        <w:t>būtu jāizcieš izsniegšanas valstī brīvības atņemšanas soda vai piespiedu līdzekļa piespriešanas rezultātā.</w:t>
      </w:r>
    </w:p>
    <w:p w:rsidR="003E022D" w:rsidRDefault="007D19D6">
      <w:pPr>
        <w:numPr>
          <w:ilvl w:val="0"/>
          <w:numId w:val="67"/>
        </w:numPr>
        <w:ind w:left="0" w:firstLine="0"/>
        <w:rPr>
          <w:rFonts w:cstheme="minorHAnsi"/>
          <w:noProof/>
        </w:rPr>
      </w:pPr>
      <w:r>
        <w:rPr>
          <w:noProof/>
        </w:rPr>
        <w:t>Visu informāciju par laikposmu, kādu persona, kas pieprasīta, pamatojoties uz apcietināšanas orderi, atradusies apcietinājumā, izpildes tiesu iestāde</w:t>
      </w:r>
      <w:r>
        <w:rPr>
          <w:noProof/>
        </w:rPr>
        <w:t xml:space="preserve"> vai centrālā iestāde, kas izraudzīta atbilstoši </w:t>
      </w:r>
      <w:r>
        <w:rPr>
          <w:noProof/>
          <w:u w:color="000000"/>
        </w:rPr>
        <w:t>LAW.SURR.85. pantam [Centrālās iestādes iesaistīšana]</w:t>
      </w:r>
      <w:r>
        <w:rPr>
          <w:noProof/>
        </w:rPr>
        <w:t xml:space="preserve">, iesniedz izsniegšanas tiesu iestādei nodošanas brīdī. </w:t>
      </w:r>
    </w:p>
    <w:p w:rsidR="003E022D" w:rsidRDefault="007D19D6">
      <w:pPr>
        <w:pStyle w:val="Article"/>
        <w:rPr>
          <w:noProof/>
        </w:rPr>
      </w:pPr>
      <w:bookmarkStart w:id="744" w:name="_Article_30"/>
      <w:bookmarkStart w:id="745" w:name="_ARTICLE_117"/>
      <w:bookmarkStart w:id="746" w:name="_ARTICLE_116"/>
      <w:bookmarkStart w:id="747" w:name="_Toc58920315"/>
      <w:bookmarkEnd w:id="744"/>
      <w:bookmarkEnd w:id="745"/>
      <w:bookmarkEnd w:id="746"/>
      <w:r>
        <w:rPr>
          <w:noProof/>
        </w:rPr>
        <w:t xml:space="preserve">LAW.SURR.105. pants. </w:t>
      </w:r>
      <w:bookmarkStart w:id="748" w:name="_Toc29896129"/>
      <w:r>
        <w:rPr>
          <w:noProof/>
        </w:rPr>
        <w:t>Iespējamā kriminālvajāšana par citiem nodarījumiem</w:t>
      </w:r>
      <w:bookmarkEnd w:id="747"/>
      <w:bookmarkEnd w:id="748"/>
    </w:p>
    <w:p w:rsidR="003E022D" w:rsidRDefault="007D19D6">
      <w:pPr>
        <w:numPr>
          <w:ilvl w:val="0"/>
          <w:numId w:val="68"/>
        </w:numPr>
        <w:ind w:left="0" w:firstLine="0"/>
        <w:rPr>
          <w:rFonts w:cstheme="minorHAnsi"/>
          <w:noProof/>
        </w:rPr>
      </w:pPr>
      <w:r>
        <w:rPr>
          <w:noProof/>
        </w:rPr>
        <w:t>Apvienotā Karaliste un Sa</w:t>
      </w:r>
      <w:r>
        <w:rPr>
          <w:noProof/>
        </w:rPr>
        <w:t xml:space="preserve">vienība, darbojoties jebkuras tās dalībvalsts uzdevumā, katra var informēt Specializēto komiteju tiesībaizsardzības un tiesu iestāžu sadarbības jomā par to, ka tās attiecībās ar citām dalībvalstīm, kuras sniegušas tādu pašu paziņojumu, uzskata, ka ir dota </w:t>
      </w:r>
      <w:r>
        <w:rPr>
          <w:noProof/>
        </w:rPr>
        <w:t>piekrišana personas kriminālvajāšanai, notiesāšanai vai apcietināšanai brīvības atņemšanas soda vai piespiedu līdzekļa izpildei par nodarījumu, kas izdarīts pirms personas nodošanas un kas nav nodarījums, par kuru minētā persona nodota, ja vien īpašā gadīj</w:t>
      </w:r>
      <w:r>
        <w:rPr>
          <w:noProof/>
        </w:rPr>
        <w:t>umā izpildes tiesu iestāde neparedz citādi tās lēmumā par nodošanu.</w:t>
      </w:r>
    </w:p>
    <w:p w:rsidR="003E022D" w:rsidRDefault="007D19D6">
      <w:pPr>
        <w:numPr>
          <w:ilvl w:val="0"/>
          <w:numId w:val="68"/>
        </w:numPr>
        <w:ind w:left="0" w:firstLine="0"/>
        <w:rPr>
          <w:rFonts w:cstheme="minorHAnsi"/>
          <w:noProof/>
        </w:rPr>
      </w:pPr>
      <w:r>
        <w:rPr>
          <w:noProof/>
        </w:rPr>
        <w:t>Izņemot gadījumus, kas paredzēti 1. un 3. punktā, nevar veikt nodotās personas kriminālvajāšanu, to notiesāt vai tai atņemt brīvību par nodarījumu, kas veikts pirms minētās personas nodoša</w:t>
      </w:r>
      <w:r>
        <w:rPr>
          <w:noProof/>
        </w:rPr>
        <w:t>nas un kas nav nodarījums, par kuru persona nodota.</w:t>
      </w:r>
    </w:p>
    <w:p w:rsidR="003E022D" w:rsidRDefault="007D19D6">
      <w:pPr>
        <w:numPr>
          <w:ilvl w:val="0"/>
          <w:numId w:val="68"/>
        </w:numPr>
        <w:ind w:left="0" w:firstLine="0"/>
        <w:rPr>
          <w:rFonts w:cstheme="minorHAnsi"/>
          <w:noProof/>
        </w:rPr>
      </w:pPr>
      <w:r>
        <w:rPr>
          <w:noProof/>
        </w:rPr>
        <w:t>Šā panta 2. punktu nepiemēro šādos gadījumos:</w:t>
      </w:r>
    </w:p>
    <w:p w:rsidR="003E022D" w:rsidRDefault="007D19D6">
      <w:pPr>
        <w:numPr>
          <w:ilvl w:val="1"/>
          <w:numId w:val="68"/>
        </w:numPr>
        <w:ind w:left="567" w:hanging="567"/>
        <w:rPr>
          <w:noProof/>
        </w:rPr>
      </w:pPr>
      <w:r>
        <w:rPr>
          <w:noProof/>
        </w:rPr>
        <w:t xml:space="preserve">persona, kurai ir bijusi iespēja atstāt tās valsts teritoriju, kurai minētā persona nodota, nav to izdarījusi 45 dienu laikā no minētās personas galīgās </w:t>
      </w:r>
      <w:r>
        <w:rPr>
          <w:noProof/>
        </w:rPr>
        <w:t>atbrīvošanas, vai ir atgriezusies minētajā teritorijā pēc tās atstāšanas;</w:t>
      </w:r>
    </w:p>
    <w:p w:rsidR="003E022D" w:rsidRDefault="007D19D6">
      <w:pPr>
        <w:numPr>
          <w:ilvl w:val="1"/>
          <w:numId w:val="68"/>
        </w:numPr>
        <w:ind w:left="567" w:hanging="567"/>
        <w:rPr>
          <w:noProof/>
        </w:rPr>
      </w:pPr>
      <w:r>
        <w:rPr>
          <w:noProof/>
        </w:rPr>
        <w:t>nodarījums nav sodāms ar brīvības atņemšanas sodu vai piespiedu līdzekli;</w:t>
      </w:r>
    </w:p>
    <w:p w:rsidR="003E022D" w:rsidRDefault="007D19D6">
      <w:pPr>
        <w:numPr>
          <w:ilvl w:val="1"/>
          <w:numId w:val="68"/>
        </w:numPr>
        <w:ind w:left="567" w:hanging="567"/>
        <w:rPr>
          <w:noProof/>
        </w:rPr>
      </w:pPr>
      <w:r>
        <w:rPr>
          <w:noProof/>
        </w:rPr>
        <w:t>kriminālprocess neļauj piemērot pasākumus, kas ierobežotu personas brīvību;</w:t>
      </w:r>
    </w:p>
    <w:p w:rsidR="003E022D" w:rsidRDefault="007D19D6">
      <w:pPr>
        <w:numPr>
          <w:ilvl w:val="1"/>
          <w:numId w:val="68"/>
        </w:numPr>
        <w:ind w:left="567" w:hanging="567"/>
        <w:rPr>
          <w:noProof/>
        </w:rPr>
      </w:pPr>
      <w:r>
        <w:rPr>
          <w:noProof/>
        </w:rPr>
        <w:t>personu varētu pakļaut sodam vai</w:t>
      </w:r>
      <w:r>
        <w:rPr>
          <w:noProof/>
        </w:rPr>
        <w:t xml:space="preserve"> pasākumam, kas nav saistīts ar brīvības atņemšanu, jo īpaši naudassodam vai kādam pasākumam, kas to aizstāj naudassodu, pat ja tas varētu ierobežot personas brīvību;</w:t>
      </w:r>
    </w:p>
    <w:p w:rsidR="003E022D" w:rsidRDefault="007D19D6">
      <w:pPr>
        <w:numPr>
          <w:ilvl w:val="1"/>
          <w:numId w:val="68"/>
        </w:numPr>
        <w:ind w:left="567" w:hanging="567"/>
        <w:rPr>
          <w:rFonts w:cstheme="minorHAnsi"/>
          <w:noProof/>
        </w:rPr>
      </w:pPr>
      <w:r>
        <w:rPr>
          <w:noProof/>
        </w:rPr>
        <w:t>persona ir piekritusi, ka to nodod, attiecīgos gadījumos vienlaikus atteikdamās no specia</w:t>
      </w:r>
      <w:r>
        <w:rPr>
          <w:noProof/>
        </w:rPr>
        <w:t xml:space="preserve">litātes principa saskaņā ar </w:t>
      </w:r>
      <w:r>
        <w:rPr>
          <w:noProof/>
          <w:u w:color="000000"/>
        </w:rPr>
        <w:t>LAW.SURR.91. pantu [Piekrišana nodošanai]</w:t>
      </w:r>
      <w:r>
        <w:rPr>
          <w:noProof/>
        </w:rPr>
        <w:t xml:space="preserve">; </w:t>
      </w:r>
    </w:p>
    <w:p w:rsidR="003E022D" w:rsidRDefault="007D19D6">
      <w:pPr>
        <w:numPr>
          <w:ilvl w:val="1"/>
          <w:numId w:val="68"/>
        </w:numPr>
        <w:ind w:left="567" w:hanging="567"/>
        <w:rPr>
          <w:rFonts w:cstheme="minorHAnsi"/>
          <w:noProof/>
        </w:rPr>
      </w:pPr>
      <w:r>
        <w:rPr>
          <w:noProof/>
        </w:rPr>
        <w:t>persona pēc tās nodošanas ir noteikti atteikusies no tiesībām piemērot specialitātes principu attiecībā uz noteiktiem nodarījumiem pirms personas nodošanas; atteikšanās jāizdara izsnie</w:t>
      </w:r>
      <w:r>
        <w:rPr>
          <w:noProof/>
        </w:rPr>
        <w:t>gšanas valsts kompetentā tiesu iestādē un jāreģistrē protokolā saskaņā ar minētās valsts iekšzemes tiesību aktiem; atteikšanās jāformulē tā, lai skaidri norādītu, ka attiecīgā persona to ir izteikusi brīvprātīgi un pilnībā apzinoties sekas; šajā nolūkā per</w:t>
      </w:r>
      <w:r>
        <w:rPr>
          <w:noProof/>
        </w:rPr>
        <w:t xml:space="preserve">sonai ir tiesības uz jurista palīdzību; un </w:t>
      </w:r>
    </w:p>
    <w:p w:rsidR="003E022D" w:rsidRDefault="007D19D6">
      <w:pPr>
        <w:numPr>
          <w:ilvl w:val="1"/>
          <w:numId w:val="68"/>
        </w:numPr>
        <w:ind w:left="567" w:hanging="567"/>
        <w:rPr>
          <w:rFonts w:cstheme="minorHAnsi"/>
          <w:noProof/>
        </w:rPr>
      </w:pPr>
      <w:r>
        <w:rPr>
          <w:noProof/>
        </w:rPr>
        <w:t>izpildes tiesu iestāde, kas nodevusi personu, dod savu piekrišanu saskaņā ar šā panta 4. punktu.</w:t>
      </w:r>
    </w:p>
    <w:p w:rsidR="003E022D" w:rsidRDefault="007D19D6">
      <w:pPr>
        <w:numPr>
          <w:ilvl w:val="0"/>
          <w:numId w:val="68"/>
        </w:numPr>
        <w:ind w:left="0" w:firstLine="0"/>
        <w:rPr>
          <w:rFonts w:cstheme="minorHAnsi"/>
          <w:noProof/>
        </w:rPr>
      </w:pPr>
      <w:r>
        <w:rPr>
          <w:noProof/>
        </w:rPr>
        <w:t xml:space="preserve">Piekrišanas </w:t>
      </w:r>
      <w:r>
        <w:rPr>
          <w:rStyle w:val="Bodytext20"/>
          <w:noProof/>
        </w:rPr>
        <w:t>pieprasījumu iesniedz izpildes tiesu iestādei kopā ar informāciju, kas minēta LAW.SURR.86. panta [Apcie</w:t>
      </w:r>
      <w:r>
        <w:rPr>
          <w:rStyle w:val="Bodytext20"/>
          <w:noProof/>
        </w:rPr>
        <w:t xml:space="preserve">tināšanas ordera saturs un forma] 1. punktā, un </w:t>
      </w:r>
      <w:r>
        <w:rPr>
          <w:noProof/>
        </w:rPr>
        <w:t>tulkojumu,</w:t>
      </w:r>
      <w:r>
        <w:rPr>
          <w:rStyle w:val="Bodytext20"/>
          <w:noProof/>
        </w:rPr>
        <w:t xml:space="preserve"> kā noteikts LAW.SURR.86. panta [Apcietināšanas ordera saturs un forma] 2. punktā. Piekrišanu sniedz, ja uz nodarījumu, par kuru to prasa, attiecas nodošana saskaņā ar šīs sadaļas noteikumiem. </w:t>
      </w:r>
      <w:r>
        <w:rPr>
          <w:noProof/>
        </w:rPr>
        <w:t>Piekr</w:t>
      </w:r>
      <w:r>
        <w:rPr>
          <w:noProof/>
        </w:rPr>
        <w:t>išanu atsaka LAW.SURR.80. pantā [Apcietināšanas ordera obligātas neizpildīšanas pamats] minēto iemeslu dēļ, un citādi to var atteikt tikai LAW.SURR.81. pantā [Cits apcietināšanas ordera neizpildīšanas pamats] vai LAW.SURR.82. panta [Izņēmums politiska noda</w:t>
      </w:r>
      <w:r>
        <w:rPr>
          <w:noProof/>
        </w:rPr>
        <w:t>rījuma gadījumā] 2. punktā un LAW.SURR.83. panta [Izņēmums saistībā ar valstspiederību] 2. punktā minēto iemeslu dēļ.</w:t>
      </w:r>
      <w:r>
        <w:rPr>
          <w:rStyle w:val="Bodytext20"/>
          <w:noProof/>
        </w:rPr>
        <w:t xml:space="preserve"> Lēmumu pieņem ne vēlāk kā 30 dienu laikā pēc pieprasījuma saņemšanas. </w:t>
      </w:r>
      <w:r>
        <w:rPr>
          <w:noProof/>
        </w:rPr>
        <w:t>Situācijās, kas izklāstītas LAW.SURR.84. pantā [Garantijas, kas izsn</w:t>
      </w:r>
      <w:r>
        <w:rPr>
          <w:noProof/>
        </w:rPr>
        <w:t xml:space="preserve">iegšanas valstij jāsniedz īpašos gadījumos], izsniegšanas valstij ir jāsniedz pantā noteiktās garantijas. </w:t>
      </w:r>
    </w:p>
    <w:p w:rsidR="003E022D" w:rsidRDefault="007D19D6">
      <w:pPr>
        <w:pStyle w:val="Article"/>
        <w:rPr>
          <w:noProof/>
        </w:rPr>
      </w:pPr>
      <w:bookmarkStart w:id="749" w:name="_Article_31"/>
      <w:bookmarkStart w:id="750" w:name="_Toc29896130"/>
      <w:bookmarkStart w:id="751" w:name="_Ref31044880"/>
      <w:bookmarkStart w:id="752" w:name="_Ref31061035"/>
      <w:bookmarkStart w:id="753" w:name="_Toc58920316"/>
      <w:bookmarkEnd w:id="749"/>
      <w:r>
        <w:rPr>
          <w:noProof/>
        </w:rPr>
        <w:t>LAW.SURR.</w:t>
      </w:r>
      <w:bookmarkEnd w:id="750"/>
      <w:bookmarkEnd w:id="751"/>
      <w:bookmarkEnd w:id="752"/>
      <w:r>
        <w:rPr>
          <w:noProof/>
        </w:rPr>
        <w:t xml:space="preserve">106. pants. </w:t>
      </w:r>
      <w:bookmarkStart w:id="754" w:name="_Toc29896131"/>
      <w:r>
        <w:rPr>
          <w:noProof/>
        </w:rPr>
        <w:t>Nodošana vai vēlāka izdošana</w:t>
      </w:r>
      <w:bookmarkEnd w:id="753"/>
      <w:bookmarkEnd w:id="754"/>
    </w:p>
    <w:p w:rsidR="003E022D" w:rsidRDefault="007D19D6">
      <w:pPr>
        <w:numPr>
          <w:ilvl w:val="0"/>
          <w:numId w:val="70"/>
        </w:numPr>
        <w:ind w:left="0" w:firstLine="0"/>
        <w:rPr>
          <w:rFonts w:cstheme="minorHAnsi"/>
          <w:noProof/>
        </w:rPr>
      </w:pPr>
      <w:r>
        <w:rPr>
          <w:noProof/>
        </w:rPr>
        <w:t>Apvienotā Karaliste un Savienība, darbojoties jebkuras tās dalībvalsts uzdevumā, katra var informēt</w:t>
      </w:r>
      <w:r>
        <w:rPr>
          <w:noProof/>
        </w:rPr>
        <w:t xml:space="preserve"> Specializēto komiteju tiesībaizsardzības un tiesu iestāžu sadarbības jomā par to, ka tās attiecībās ar citām dalībvalstīm, kuras sniegušas tādu pašu paziņojumu, uzskata, ka ir dota piekrišana personas nodošanai valstij, kas nav izpildes valsts, saskaņā ar</w:t>
      </w:r>
      <w:r>
        <w:rPr>
          <w:noProof/>
        </w:rPr>
        <w:t xml:space="preserve"> apcietināšanas orderi vai Eiropas apcietināšanas orderi, kas izsniegts par nodarījumu, kas izdarīts pirms minētās personas nodošanas, ja vien īpašā gadījumā izpildes tiesu iestāde neparedz citādi tās lēmumā par nodošanu.</w:t>
      </w:r>
    </w:p>
    <w:p w:rsidR="003E022D" w:rsidRDefault="007D19D6">
      <w:pPr>
        <w:numPr>
          <w:ilvl w:val="0"/>
          <w:numId w:val="70"/>
        </w:numPr>
        <w:ind w:left="0" w:firstLine="0"/>
        <w:rPr>
          <w:rFonts w:cstheme="minorHAnsi"/>
          <w:noProof/>
        </w:rPr>
      </w:pPr>
      <w:r>
        <w:rPr>
          <w:noProof/>
        </w:rPr>
        <w:t>Katrā gadījumā bez izpildes valsts</w:t>
      </w:r>
      <w:r>
        <w:rPr>
          <w:noProof/>
        </w:rPr>
        <w:t xml:space="preserve"> piekrišanas personu, kas nodota izsniegšanas valstij, pamatojoties uz apcietināšanas orderi vai Eiropas apcietināšanas orderi, var nodot valstij, kas nav izpildes valsts, uz apcietināšanas ordera vai Eiropas apcietināšanas ordera pamata, kas izsniegts par</w:t>
      </w:r>
      <w:r>
        <w:rPr>
          <w:noProof/>
        </w:rPr>
        <w:t xml:space="preserve"> nodarījumu, kurš izdarīts pirms personas nodošanas, šādos gadījumos:</w:t>
      </w:r>
    </w:p>
    <w:p w:rsidR="003E022D" w:rsidRDefault="007D19D6">
      <w:pPr>
        <w:numPr>
          <w:ilvl w:val="1"/>
          <w:numId w:val="69"/>
        </w:numPr>
        <w:ind w:left="567" w:hanging="567"/>
        <w:rPr>
          <w:noProof/>
        </w:rPr>
      </w:pPr>
      <w:r>
        <w:rPr>
          <w:noProof/>
        </w:rPr>
        <w:t>pieprasītā persona, kurai ir bijusi iespēja atstāt tās valsts teritoriju, kurai minētā persona nodota, nav to izdarījusi 45 dienu laikā no minētās personas galīgās atbrīvošanas, vai ir a</w:t>
      </w:r>
      <w:r>
        <w:rPr>
          <w:noProof/>
        </w:rPr>
        <w:t>tgriezusies minētajā teritorijā pēc tās atstāšanas;</w:t>
      </w:r>
    </w:p>
    <w:p w:rsidR="003E022D" w:rsidRDefault="007D19D6">
      <w:pPr>
        <w:numPr>
          <w:ilvl w:val="1"/>
          <w:numId w:val="69"/>
        </w:numPr>
        <w:ind w:left="567" w:hanging="567"/>
        <w:rPr>
          <w:rFonts w:cstheme="minorHAnsi"/>
          <w:noProof/>
        </w:rPr>
      </w:pPr>
      <w:r>
        <w:rPr>
          <w:noProof/>
        </w:rPr>
        <w:t xml:space="preserve">pieprasītā persona piekrīt, ka to nodod valstij, kas nav izpildes valsts, pamatojoties uz apcietināšanas orderi vai Eiropas apcietināšanas orderi; piekrišana jāsniedz izsniegšanas valsts kompetentā tiesu </w:t>
      </w:r>
      <w:r>
        <w:rPr>
          <w:noProof/>
        </w:rPr>
        <w:t>iestādē un jāreģistrē protokolā saskaņā ar minētās valsts iekšzemes tiesību aktiem. Tā jāsastāda tādā veidā, kas liecina par to, ka persona to ir izteikusi brīvprātīgi un pilnībā apzinoties sekas. šajā nolūkā pieprasītajai personai ir tiesības uz jurista p</w:t>
      </w:r>
      <w:r>
        <w:rPr>
          <w:noProof/>
        </w:rPr>
        <w:t xml:space="preserve">alīdzību; un </w:t>
      </w:r>
    </w:p>
    <w:p w:rsidR="003E022D" w:rsidRDefault="007D19D6">
      <w:pPr>
        <w:numPr>
          <w:ilvl w:val="1"/>
          <w:numId w:val="69"/>
        </w:numPr>
        <w:ind w:left="567" w:hanging="567"/>
        <w:rPr>
          <w:rFonts w:cstheme="minorHAnsi"/>
          <w:noProof/>
        </w:rPr>
      </w:pPr>
      <w:r>
        <w:rPr>
          <w:noProof/>
        </w:rPr>
        <w:t xml:space="preserve">ja uz pieprasīto personu neattiecas specialitātes princips saskaņā ar </w:t>
      </w:r>
      <w:r>
        <w:rPr>
          <w:noProof/>
          <w:u w:color="000000"/>
        </w:rPr>
        <w:t>LAW.SURR.105. panta [Iespējamā kriminālvajāšana par citiem nodarījumiem] 3. punkta</w:t>
      </w:r>
      <w:r>
        <w:rPr>
          <w:noProof/>
        </w:rPr>
        <w:t xml:space="preserve"> a), e), f) vai g) apakšpunktu.</w:t>
      </w:r>
    </w:p>
    <w:p w:rsidR="003E022D" w:rsidRDefault="007D19D6">
      <w:pPr>
        <w:numPr>
          <w:ilvl w:val="0"/>
          <w:numId w:val="71"/>
        </w:numPr>
        <w:ind w:left="0" w:firstLine="0"/>
        <w:rPr>
          <w:rFonts w:cstheme="minorHAnsi"/>
          <w:noProof/>
        </w:rPr>
      </w:pPr>
      <w:r>
        <w:rPr>
          <w:noProof/>
        </w:rPr>
        <w:t>Izpildes tiesu iestāde piekrīt nodošanai citai valstij sas</w:t>
      </w:r>
      <w:r>
        <w:rPr>
          <w:noProof/>
        </w:rPr>
        <w:t>kaņā ar šādiem noteikumiem:</w:t>
      </w:r>
    </w:p>
    <w:p w:rsidR="003E022D" w:rsidRDefault="007D19D6">
      <w:pPr>
        <w:numPr>
          <w:ilvl w:val="1"/>
          <w:numId w:val="71"/>
        </w:numPr>
        <w:ind w:left="567" w:hanging="567"/>
        <w:rPr>
          <w:rFonts w:cstheme="minorHAnsi"/>
          <w:noProof/>
        </w:rPr>
      </w:pPr>
      <w:r>
        <w:rPr>
          <w:noProof/>
        </w:rPr>
        <w:t xml:space="preserve">piekrišanas pieprasījumu iesniedz saskaņā ar </w:t>
      </w:r>
      <w:r>
        <w:rPr>
          <w:noProof/>
          <w:u w:color="000000"/>
        </w:rPr>
        <w:t>LAW.SURR.87. pantu [Apcietināšanas ordera pārsūtīšana]</w:t>
      </w:r>
      <w:r>
        <w:rPr>
          <w:noProof/>
        </w:rPr>
        <w:t xml:space="preserve">, kopā ar informāciju, kas minēta </w:t>
      </w:r>
      <w:r>
        <w:rPr>
          <w:noProof/>
          <w:u w:color="000000"/>
        </w:rPr>
        <w:t>LAW.SURR.86. panta [Apcietināšanas ordera saturs un forma] 1. punktā</w:t>
      </w:r>
      <w:r>
        <w:rPr>
          <w:noProof/>
        </w:rPr>
        <w:t>, un tulkojumu, kā noteikts</w:t>
      </w:r>
      <w:r>
        <w:rPr>
          <w:noProof/>
        </w:rPr>
        <w:t xml:space="preserve"> </w:t>
      </w:r>
      <w:r>
        <w:rPr>
          <w:noProof/>
          <w:u w:color="000000"/>
        </w:rPr>
        <w:t>LAW.SURR.86. panta [Apcietināšanas ordera saturs un forma] 2. punktā</w:t>
      </w:r>
      <w:r>
        <w:rPr>
          <w:noProof/>
        </w:rPr>
        <w:t xml:space="preserve">; </w:t>
      </w:r>
    </w:p>
    <w:p w:rsidR="003E022D" w:rsidRDefault="007D19D6">
      <w:pPr>
        <w:numPr>
          <w:ilvl w:val="1"/>
          <w:numId w:val="71"/>
        </w:numPr>
        <w:ind w:left="567" w:hanging="567"/>
        <w:rPr>
          <w:noProof/>
        </w:rPr>
      </w:pPr>
      <w:r>
        <w:rPr>
          <w:noProof/>
        </w:rPr>
        <w:t>piekrišanu sniedz, ja uz nodarījumu, par kuru to prasa, attiecas nodošana saskaņā ar šā nolīguma noteikumiem;</w:t>
      </w:r>
    </w:p>
    <w:p w:rsidR="003E022D" w:rsidRDefault="007D19D6">
      <w:pPr>
        <w:numPr>
          <w:ilvl w:val="1"/>
          <w:numId w:val="71"/>
        </w:numPr>
        <w:ind w:left="567" w:hanging="567"/>
        <w:rPr>
          <w:noProof/>
        </w:rPr>
      </w:pPr>
      <w:r>
        <w:rPr>
          <w:noProof/>
        </w:rPr>
        <w:t xml:space="preserve">lēmumu pieņem ne vēlāk kā 30 dienu laikā pēc pieprasījuma saņemšanas; un </w:t>
      </w:r>
    </w:p>
    <w:p w:rsidR="003E022D" w:rsidRDefault="007D19D6">
      <w:pPr>
        <w:numPr>
          <w:ilvl w:val="1"/>
          <w:numId w:val="71"/>
        </w:numPr>
        <w:ind w:left="567" w:hanging="567"/>
        <w:rPr>
          <w:rFonts w:cstheme="minorHAnsi"/>
          <w:noProof/>
        </w:rPr>
      </w:pPr>
      <w:r>
        <w:rPr>
          <w:noProof/>
        </w:rPr>
        <w:t xml:space="preserve">Piekrišanu atsaka </w:t>
      </w:r>
      <w:r>
        <w:rPr>
          <w:noProof/>
          <w:u w:color="000000"/>
        </w:rPr>
        <w:t>LAW.SURR.80. pantā [Apcietināšanas ordera obligātas neizpildīšanas pamats]</w:t>
      </w:r>
      <w:r>
        <w:rPr>
          <w:noProof/>
        </w:rPr>
        <w:t xml:space="preserve"> minēto iemeslu dēļ, un citādi to var atteikt tikai </w:t>
      </w:r>
      <w:r>
        <w:rPr>
          <w:noProof/>
          <w:u w:color="000000"/>
        </w:rPr>
        <w:t>LAW.SURR.81. pantā [Cits apcietināšanas ordera neizpildīšanas pamats]</w:t>
      </w:r>
      <w:r>
        <w:rPr>
          <w:noProof/>
        </w:rPr>
        <w:t xml:space="preserve">, </w:t>
      </w:r>
      <w:r>
        <w:rPr>
          <w:noProof/>
          <w:u w:color="000000"/>
        </w:rPr>
        <w:t>LAW.SURR.82. panta [Izņēmums politiska no</w:t>
      </w:r>
      <w:r>
        <w:rPr>
          <w:noProof/>
          <w:u w:color="000000"/>
        </w:rPr>
        <w:t>darījuma gadījumā] 2. punktā</w:t>
      </w:r>
      <w:r>
        <w:rPr>
          <w:noProof/>
        </w:rPr>
        <w:t xml:space="preserve"> un </w:t>
      </w:r>
      <w:r>
        <w:rPr>
          <w:noProof/>
          <w:u w:color="000000"/>
        </w:rPr>
        <w:t>LAW.SURR.83. panta [Izņēmums saistībā ar valstspiederību] 2. punktā</w:t>
      </w:r>
      <w:r>
        <w:rPr>
          <w:noProof/>
        </w:rPr>
        <w:t xml:space="preserve"> minēto iemeslu dēļ. </w:t>
      </w:r>
    </w:p>
    <w:p w:rsidR="003E022D" w:rsidRDefault="007D19D6">
      <w:pPr>
        <w:numPr>
          <w:ilvl w:val="0"/>
          <w:numId w:val="71"/>
        </w:numPr>
        <w:ind w:left="0" w:firstLine="0"/>
        <w:rPr>
          <w:rFonts w:cstheme="minorHAnsi"/>
          <w:noProof/>
        </w:rPr>
      </w:pPr>
      <w:r>
        <w:rPr>
          <w:noProof/>
        </w:rPr>
        <w:t>Situācijās, kas minētas</w:t>
      </w:r>
      <w:r>
        <w:rPr>
          <w:noProof/>
          <w:u w:color="000000"/>
        </w:rPr>
        <w:t xml:space="preserve"> LAW.SURR.84. pantā [Garantijas, kas izsniegšanas valstij jāsniedz īpašos gadījumos]</w:t>
      </w:r>
      <w:r>
        <w:rPr>
          <w:noProof/>
        </w:rPr>
        <w:t>, izsniegšanas valsts sniedz</w:t>
      </w:r>
      <w:r>
        <w:rPr>
          <w:noProof/>
        </w:rPr>
        <w:t xml:space="preserve"> pantā noteiktās garantijas. </w:t>
      </w:r>
    </w:p>
    <w:p w:rsidR="003E022D" w:rsidRDefault="007D19D6">
      <w:pPr>
        <w:numPr>
          <w:ilvl w:val="0"/>
          <w:numId w:val="71"/>
        </w:numPr>
        <w:ind w:left="0" w:firstLine="0"/>
        <w:rPr>
          <w:rFonts w:cstheme="minorHAnsi"/>
          <w:noProof/>
        </w:rPr>
      </w:pPr>
      <w:r>
        <w:rPr>
          <w:noProof/>
        </w:rPr>
        <w:t xml:space="preserve">Neatkarīgi no 1. punkta, personu, kas nodota uz apcietināšanas ordera pamata, neizdod trešajai valstij bez tās valsts, kas nodevusi personu, kompetentās iestādes piekrišanas. Šādu piekrišanu sniedz saskaņā ar konvencijām, kas </w:t>
      </w:r>
      <w:r>
        <w:rPr>
          <w:noProof/>
        </w:rPr>
        <w:t xml:space="preserve">ir saistošas minētajai valstij, kā arī ar tās iekšzemes tiesību aktiem. </w:t>
      </w:r>
    </w:p>
    <w:p w:rsidR="003E022D" w:rsidRDefault="007D19D6">
      <w:pPr>
        <w:pStyle w:val="Article"/>
        <w:rPr>
          <w:noProof/>
        </w:rPr>
      </w:pPr>
      <w:bookmarkStart w:id="755" w:name="_Toc29896132"/>
      <w:bookmarkStart w:id="756" w:name="_Toc58920317"/>
      <w:r>
        <w:rPr>
          <w:noProof/>
        </w:rPr>
        <w:t>LAW.PRUM.</w:t>
      </w:r>
      <w:bookmarkEnd w:id="755"/>
      <w:r>
        <w:rPr>
          <w:noProof/>
        </w:rPr>
        <w:t xml:space="preserve">107. pants. </w:t>
      </w:r>
      <w:bookmarkStart w:id="757" w:name="_Toc29896133"/>
      <w:r>
        <w:rPr>
          <w:noProof/>
        </w:rPr>
        <w:t>Priekšmetu nodošana</w:t>
      </w:r>
      <w:bookmarkEnd w:id="756"/>
      <w:bookmarkEnd w:id="757"/>
    </w:p>
    <w:p w:rsidR="003E022D" w:rsidRDefault="007D19D6">
      <w:pPr>
        <w:numPr>
          <w:ilvl w:val="6"/>
          <w:numId w:val="72"/>
        </w:numPr>
        <w:ind w:left="0" w:firstLine="0"/>
        <w:rPr>
          <w:rFonts w:cstheme="minorHAnsi"/>
          <w:noProof/>
        </w:rPr>
      </w:pPr>
      <w:r>
        <w:rPr>
          <w:noProof/>
        </w:rPr>
        <w:t xml:space="preserve">Pēc izsniegšanas tiesu iestādes pieprasījuma vai pēc tās pašas iniciatīvas, izpildu tiesu iestāde saskaņā ar tās iekšzemes tiesību aktiem, </w:t>
      </w:r>
      <w:r>
        <w:rPr>
          <w:noProof/>
        </w:rPr>
        <w:t>izņem un nodod priekšmetus:</w:t>
      </w:r>
    </w:p>
    <w:p w:rsidR="003E022D" w:rsidRDefault="007D19D6">
      <w:pPr>
        <w:numPr>
          <w:ilvl w:val="1"/>
          <w:numId w:val="73"/>
        </w:numPr>
        <w:ind w:left="567" w:hanging="567"/>
        <w:rPr>
          <w:noProof/>
        </w:rPr>
      </w:pPr>
      <w:r>
        <w:rPr>
          <w:noProof/>
        </w:rPr>
        <w:t>kas var kalpot par pierādījumiem vai</w:t>
      </w:r>
    </w:p>
    <w:p w:rsidR="003E022D" w:rsidRDefault="007D19D6">
      <w:pPr>
        <w:numPr>
          <w:ilvl w:val="1"/>
          <w:numId w:val="73"/>
        </w:numPr>
        <w:ind w:left="567" w:hanging="567"/>
        <w:rPr>
          <w:rFonts w:cstheme="minorHAnsi"/>
          <w:noProof/>
        </w:rPr>
      </w:pPr>
      <w:r>
        <w:rPr>
          <w:noProof/>
        </w:rPr>
        <w:t>ko pieprasītā persona ieguvusi nodarījuma rezultātā.</w:t>
      </w:r>
    </w:p>
    <w:p w:rsidR="003E022D" w:rsidRDefault="007D19D6">
      <w:pPr>
        <w:numPr>
          <w:ilvl w:val="0"/>
          <w:numId w:val="73"/>
        </w:numPr>
        <w:ind w:left="0" w:firstLine="0"/>
        <w:rPr>
          <w:rFonts w:cstheme="minorHAnsi"/>
          <w:noProof/>
        </w:rPr>
      </w:pPr>
      <w:r>
        <w:rPr>
          <w:noProof/>
        </w:rPr>
        <w:t>Priekšmetus, kas minēti 1. punktā, nodod pat tad, ja apcietināšanas orderi nevar izpildīt pieprasītās personas nāves vai bēgšanas dēļ.</w:t>
      </w:r>
    </w:p>
    <w:p w:rsidR="003E022D" w:rsidRDefault="007D19D6">
      <w:pPr>
        <w:numPr>
          <w:ilvl w:val="0"/>
          <w:numId w:val="73"/>
        </w:numPr>
        <w:ind w:left="0" w:firstLine="0"/>
        <w:rPr>
          <w:rFonts w:cstheme="minorHAnsi"/>
          <w:noProof/>
        </w:rPr>
      </w:pPr>
      <w:r>
        <w:rPr>
          <w:noProof/>
        </w:rPr>
        <w:t xml:space="preserve">Ja </w:t>
      </w:r>
      <w:r>
        <w:rPr>
          <w:noProof/>
        </w:rPr>
        <w:t>priekšmetus, kas minēti 1. punktā, var apķīlāt vai konfiscēt izpildes valsts teritorijā, tad minētā valsts var, ja priekšmeti ir vajadzīgi iesāktā kriminālprocesā, uz laiku tos paturēt vai nodot tālāk izsniegšanas valstij ar noteikumu, ka tos atdos atpakaļ</w:t>
      </w:r>
      <w:r>
        <w:rPr>
          <w:noProof/>
        </w:rPr>
        <w:t>.</w:t>
      </w:r>
    </w:p>
    <w:p w:rsidR="003E022D" w:rsidRDefault="007D19D6">
      <w:pPr>
        <w:numPr>
          <w:ilvl w:val="0"/>
          <w:numId w:val="73"/>
        </w:numPr>
        <w:ind w:left="0" w:firstLine="0"/>
        <w:rPr>
          <w:rFonts w:cstheme="minorHAnsi"/>
          <w:noProof/>
        </w:rPr>
      </w:pPr>
      <w:r>
        <w:rPr>
          <w:noProof/>
        </w:rPr>
        <w:t xml:space="preserve">Saglabājas izpildes valsts vai trešo personu iegūtas tiesības uz priekšmetiem, kas minēti 1. punktā. Ja pastāv šādas tiesības, izsniegšanas valsts priekšmetus bez maksas nosūta atpakaļ izpildes valstij tūlīt pēc tam, kad kriminālprocess ir pabeigts. </w:t>
      </w:r>
    </w:p>
    <w:p w:rsidR="003E022D" w:rsidRDefault="007D19D6">
      <w:pPr>
        <w:pStyle w:val="Article"/>
        <w:rPr>
          <w:noProof/>
        </w:rPr>
      </w:pPr>
      <w:bookmarkStart w:id="758" w:name="_Toc29896134"/>
      <w:bookmarkStart w:id="759" w:name="_Toc58920318"/>
      <w:r>
        <w:rPr>
          <w:noProof/>
        </w:rPr>
        <w:t>LAW</w:t>
      </w:r>
      <w:r>
        <w:rPr>
          <w:noProof/>
        </w:rPr>
        <w:t>.PRUM.</w:t>
      </w:r>
      <w:bookmarkEnd w:id="758"/>
      <w:r>
        <w:rPr>
          <w:noProof/>
        </w:rPr>
        <w:t xml:space="preserve">108. pants. </w:t>
      </w:r>
      <w:bookmarkStart w:id="760" w:name="_Toc29896135"/>
      <w:r>
        <w:rPr>
          <w:noProof/>
        </w:rPr>
        <w:t>Izdevumi</w:t>
      </w:r>
      <w:bookmarkEnd w:id="759"/>
      <w:bookmarkEnd w:id="760"/>
    </w:p>
    <w:p w:rsidR="003E022D" w:rsidRDefault="007D19D6">
      <w:pPr>
        <w:numPr>
          <w:ilvl w:val="0"/>
          <w:numId w:val="74"/>
        </w:numPr>
        <w:ind w:left="0" w:firstLine="0"/>
        <w:rPr>
          <w:rFonts w:cstheme="minorHAnsi"/>
          <w:noProof/>
        </w:rPr>
      </w:pPr>
      <w:r>
        <w:rPr>
          <w:noProof/>
        </w:rPr>
        <w:t>Izdevumus, kas izpildes valsts teritorijā radušies, izpildot apcietināšanas orderi, uzņemas segt minētā valsts.</w:t>
      </w:r>
    </w:p>
    <w:p w:rsidR="003E022D" w:rsidRDefault="007D19D6">
      <w:pPr>
        <w:numPr>
          <w:ilvl w:val="0"/>
          <w:numId w:val="74"/>
        </w:numPr>
        <w:ind w:left="0" w:firstLine="0"/>
        <w:rPr>
          <w:rFonts w:cstheme="minorHAnsi"/>
          <w:noProof/>
        </w:rPr>
      </w:pPr>
      <w:r>
        <w:rPr>
          <w:noProof/>
        </w:rPr>
        <w:t xml:space="preserve">Citus izdevumus uzņemas segt izsniegšanas valsts. </w:t>
      </w:r>
    </w:p>
    <w:p w:rsidR="003E022D" w:rsidRDefault="007D19D6">
      <w:pPr>
        <w:pStyle w:val="Article"/>
        <w:rPr>
          <w:noProof/>
        </w:rPr>
      </w:pPr>
      <w:bookmarkStart w:id="761" w:name="_Article_34"/>
      <w:bookmarkStart w:id="762" w:name="_ARTICLE_120"/>
      <w:bookmarkStart w:id="763" w:name="_Toc29896136"/>
      <w:bookmarkStart w:id="764" w:name="_Ref31044768"/>
      <w:bookmarkStart w:id="765" w:name="_Ref31045043"/>
      <w:bookmarkStart w:id="766" w:name="_Ref31060756"/>
      <w:bookmarkStart w:id="767" w:name="_Ref31061333"/>
      <w:bookmarkStart w:id="768" w:name="_Toc58920319"/>
      <w:bookmarkEnd w:id="761"/>
      <w:bookmarkEnd w:id="762"/>
      <w:r>
        <w:rPr>
          <w:noProof/>
        </w:rPr>
        <w:t>LAW.SURR.</w:t>
      </w:r>
      <w:bookmarkEnd w:id="763"/>
      <w:bookmarkEnd w:id="764"/>
      <w:bookmarkEnd w:id="765"/>
      <w:bookmarkEnd w:id="766"/>
      <w:bookmarkEnd w:id="767"/>
      <w:r>
        <w:rPr>
          <w:noProof/>
        </w:rPr>
        <w:t xml:space="preserve">109. pants. </w:t>
      </w:r>
      <w:bookmarkStart w:id="769" w:name="_Toc29896137"/>
      <w:r>
        <w:rPr>
          <w:noProof/>
        </w:rPr>
        <w:t>Attiecības ar citiem juridiskajiem aktiem</w:t>
      </w:r>
      <w:bookmarkEnd w:id="768"/>
      <w:bookmarkEnd w:id="769"/>
    </w:p>
    <w:p w:rsidR="003E022D" w:rsidRDefault="007D19D6">
      <w:pPr>
        <w:numPr>
          <w:ilvl w:val="0"/>
          <w:numId w:val="49"/>
        </w:numPr>
        <w:ind w:left="0" w:firstLine="0"/>
        <w:rPr>
          <w:rFonts w:cstheme="minorHAnsi"/>
          <w:noProof/>
        </w:rPr>
      </w:pPr>
      <w:r>
        <w:rPr>
          <w:noProof/>
        </w:rPr>
        <w:t>Neskarot to piemērošanu attiecībās starp valstīm un trešām valstīm, šī sadaļa no šā nolīguma spēkā stāšanās dienas aizstāj atbilstošos noteikumus turpmāk uzskaitītajās konvencijās, ko piemēro izdošanas jomā attiecībās starp Apvienoto Karalisti, no vienas p</w:t>
      </w:r>
      <w:r>
        <w:rPr>
          <w:noProof/>
        </w:rPr>
        <w:t>uses, un dalībvalstīm, no otras puses:</w:t>
      </w:r>
    </w:p>
    <w:p w:rsidR="003E022D" w:rsidRDefault="007D19D6">
      <w:pPr>
        <w:numPr>
          <w:ilvl w:val="1"/>
          <w:numId w:val="49"/>
        </w:numPr>
        <w:ind w:left="567" w:hanging="567"/>
        <w:rPr>
          <w:rFonts w:cstheme="minorHAnsi"/>
          <w:noProof/>
        </w:rPr>
      </w:pPr>
      <w:r>
        <w:rPr>
          <w:noProof/>
        </w:rPr>
        <w:t xml:space="preserve">Eiropas konvencija par izdošanu, kas parakstīta Parīzē 1957. gada 13. decembrī, un tās papildprotokoli; un </w:t>
      </w:r>
    </w:p>
    <w:p w:rsidR="003E022D" w:rsidRDefault="007D19D6">
      <w:pPr>
        <w:numPr>
          <w:ilvl w:val="1"/>
          <w:numId w:val="49"/>
        </w:numPr>
        <w:ind w:left="567" w:hanging="567"/>
        <w:rPr>
          <w:rFonts w:cstheme="minorHAnsi"/>
          <w:noProof/>
        </w:rPr>
      </w:pPr>
      <w:r>
        <w:rPr>
          <w:noProof/>
        </w:rPr>
        <w:t>Eiropas Konvencija par terorisma apkarošanu, ciktāl tā attiecas uz izdošanu.</w:t>
      </w:r>
      <w:r>
        <w:rPr>
          <w:b/>
          <w:noProof/>
        </w:rPr>
        <w:t xml:space="preserve"> </w:t>
      </w:r>
    </w:p>
    <w:p w:rsidR="003E022D" w:rsidRDefault="007D19D6">
      <w:pPr>
        <w:numPr>
          <w:ilvl w:val="0"/>
          <w:numId w:val="49"/>
        </w:numPr>
        <w:ind w:left="0" w:firstLine="0"/>
        <w:rPr>
          <w:rFonts w:cstheme="minorHAnsi"/>
          <w:noProof/>
        </w:rPr>
      </w:pPr>
      <w:r>
        <w:rPr>
          <w:noProof/>
        </w:rPr>
        <w:t>Ja konvencijas, kas minēti 1. p</w:t>
      </w:r>
      <w:r>
        <w:rPr>
          <w:noProof/>
        </w:rPr>
        <w:t xml:space="preserve">unktā, piemēro tādām valstu teritorijām vai tādām teritorijām, par kuru ārlietām valstis ir atbildīgas, kurām šo sadaļu nepiemēro, minētās konvencijas turpina regulēt attiecības starp šīm teritorijām un citām valstīm. </w:t>
      </w:r>
    </w:p>
    <w:p w:rsidR="003E022D" w:rsidRDefault="007D19D6">
      <w:pPr>
        <w:pStyle w:val="Article"/>
        <w:rPr>
          <w:noProof/>
        </w:rPr>
      </w:pPr>
      <w:bookmarkStart w:id="770" w:name="_Article_35"/>
      <w:bookmarkStart w:id="771" w:name="_ARTICLE_121"/>
      <w:bookmarkStart w:id="772" w:name="_Article_123"/>
      <w:bookmarkStart w:id="773" w:name="_Article_122"/>
      <w:bookmarkStart w:id="774" w:name="_Toc29896140"/>
      <w:bookmarkStart w:id="775" w:name="_Toc58920320"/>
      <w:bookmarkEnd w:id="770"/>
      <w:bookmarkEnd w:id="771"/>
      <w:bookmarkEnd w:id="772"/>
      <w:bookmarkEnd w:id="773"/>
      <w:r>
        <w:rPr>
          <w:noProof/>
        </w:rPr>
        <w:t>LAW.SURR.</w:t>
      </w:r>
      <w:bookmarkEnd w:id="774"/>
      <w:r>
        <w:rPr>
          <w:noProof/>
        </w:rPr>
        <w:t>110. pants. Paziņojumu</w:t>
      </w:r>
      <w:bookmarkStart w:id="776" w:name="_Toc29896141"/>
      <w:r>
        <w:rPr>
          <w:noProof/>
        </w:rPr>
        <w:t xml:space="preserve"> pārsk</w:t>
      </w:r>
      <w:r>
        <w:rPr>
          <w:noProof/>
        </w:rPr>
        <w:t>atīšana</w:t>
      </w:r>
      <w:bookmarkEnd w:id="775"/>
      <w:bookmarkEnd w:id="776"/>
    </w:p>
    <w:p w:rsidR="003E022D" w:rsidRDefault="007D19D6">
      <w:pPr>
        <w:rPr>
          <w:rFonts w:cstheme="minorHAnsi"/>
          <w:noProof/>
        </w:rPr>
      </w:pPr>
      <w:r>
        <w:rPr>
          <w:noProof/>
        </w:rPr>
        <w:t xml:space="preserve">Veicot šīs sadaļas kopīgu pārskatīšanu, kā minēts </w:t>
      </w:r>
      <w:r>
        <w:rPr>
          <w:rStyle w:val="Bodytext20"/>
          <w:noProof/>
        </w:rPr>
        <w:t>LAW.OTHER.135. panta [Pārskatīšana un izvērtēšana] 1. punktā</w:t>
      </w:r>
      <w:r>
        <w:rPr>
          <w:noProof/>
        </w:rPr>
        <w:t xml:space="preserve">, Puses apsver nepieciešamību saglabāt paziņojumus, kas sniegti saskaņā ar LAW.SURR.79. panta [Piemērošanas joma] 4. punktu, </w:t>
      </w:r>
      <w:r>
        <w:rPr>
          <w:rStyle w:val="Bodytext20"/>
          <w:noProof/>
        </w:rPr>
        <w:t>LAW.SURR.82. </w:t>
      </w:r>
      <w:r>
        <w:rPr>
          <w:rStyle w:val="Bodytext20"/>
          <w:noProof/>
        </w:rPr>
        <w:t>panta [Izņēmums politiska nodarījuma gadījumā] 2. punktu</w:t>
      </w:r>
      <w:r>
        <w:rPr>
          <w:noProof/>
        </w:rPr>
        <w:t xml:space="preserve"> un </w:t>
      </w:r>
      <w:r>
        <w:rPr>
          <w:rStyle w:val="Bodytext20"/>
          <w:noProof/>
        </w:rPr>
        <w:t>LAW.SURR.83. panta [Izņēmums saistībā ar valstspiederību] 2. punktu</w:t>
      </w:r>
      <w:r>
        <w:rPr>
          <w:noProof/>
        </w:rPr>
        <w:t>.</w:t>
      </w:r>
      <w:r>
        <w:rPr>
          <w:rStyle w:val="Bodytext20"/>
          <w:noProof/>
        </w:rPr>
        <w:t xml:space="preserve"> Ja LAW.SURR.83. panta [Izņēmums saistībā ar valstspiederību] 2. punktā minētie paziņojumi</w:t>
      </w:r>
      <w:r>
        <w:rPr>
          <w:noProof/>
        </w:rPr>
        <w:t xml:space="preserve"> netiek atjaunināti, to termiņš beidza</w:t>
      </w:r>
      <w:r>
        <w:rPr>
          <w:noProof/>
        </w:rPr>
        <w:t xml:space="preserve">s piecus gadus pēc šā nolīguma stāšanās spēkā. Paziņojumus, kas minēti </w:t>
      </w:r>
      <w:r>
        <w:rPr>
          <w:rStyle w:val="bodytext21"/>
          <w:noProof/>
        </w:rPr>
        <w:t xml:space="preserve">LAW.SURR.83. panta [Izņēmums saistībā ar valstspiederību] 2. punktā var atjaunot vai iesniegt no jauna tikai trīs mēnešu laikā pirms </w:t>
      </w:r>
      <w:r>
        <w:rPr>
          <w:noProof/>
        </w:rPr>
        <w:t>šā nolīguma spēkā stāšanās dienas piektās gadadienas</w:t>
      </w:r>
      <w:r>
        <w:rPr>
          <w:noProof/>
        </w:rPr>
        <w:t xml:space="preserve"> un pēc tam reizi piecos gados, ja minētajā laikā ir izpildīti </w:t>
      </w:r>
      <w:r>
        <w:rPr>
          <w:rStyle w:val="bodytext21"/>
          <w:noProof/>
        </w:rPr>
        <w:t>LAW.SURR.83. panta [Izņēmums saistībā ar valstspiederību] 2. punktā minētie nosacījumi.</w:t>
      </w:r>
      <w:r>
        <w:rPr>
          <w:rStyle w:val="bodytext21"/>
          <w:noProof/>
          <w:u w:val="single"/>
        </w:rPr>
        <w:t xml:space="preserve"> </w:t>
      </w:r>
    </w:p>
    <w:p w:rsidR="003E022D" w:rsidRDefault="007D19D6">
      <w:pPr>
        <w:pStyle w:val="Article"/>
        <w:rPr>
          <w:noProof/>
        </w:rPr>
      </w:pPr>
      <w:bookmarkStart w:id="777" w:name="_Toc29896142"/>
      <w:bookmarkStart w:id="778" w:name="_Toc58920321"/>
      <w:r>
        <w:rPr>
          <w:noProof/>
        </w:rPr>
        <w:t>LAW.PRUM.</w:t>
      </w:r>
      <w:bookmarkEnd w:id="777"/>
      <w:r>
        <w:rPr>
          <w:noProof/>
        </w:rPr>
        <w:t xml:space="preserve">111. pants. </w:t>
      </w:r>
      <w:bookmarkStart w:id="779" w:name="_Toc29896143"/>
      <w:r>
        <w:rPr>
          <w:noProof/>
        </w:rPr>
        <w:t>Spēkā esoši/izpildāmi apcietināšanas orderi nepiemērošanas gadījumā</w:t>
      </w:r>
      <w:bookmarkEnd w:id="778"/>
      <w:bookmarkEnd w:id="779"/>
    </w:p>
    <w:p w:rsidR="003E022D" w:rsidRDefault="007D19D6">
      <w:pPr>
        <w:rPr>
          <w:rFonts w:cstheme="minorHAnsi"/>
          <w:noProof/>
        </w:rPr>
      </w:pPr>
      <w:r>
        <w:rPr>
          <w:noProof/>
        </w:rPr>
        <w:t xml:space="preserve">Neatkarīgi no </w:t>
      </w:r>
      <w:r>
        <w:rPr>
          <w:noProof/>
          <w:u w:color="000000"/>
        </w:rPr>
        <w:t>L</w:t>
      </w:r>
      <w:r>
        <w:rPr>
          <w:noProof/>
          <w:u w:color="000000"/>
        </w:rPr>
        <w:t>AW.GEN.5. panta [Sadarbības tvērums, ja kāda dalībvalsts vairs nepiedalās analogos pasākumos saskaņā ar Savienības tiesībām]</w:t>
      </w:r>
      <w:r>
        <w:rPr>
          <w:noProof/>
        </w:rPr>
        <w:t xml:space="preserve">; </w:t>
      </w:r>
      <w:r>
        <w:rPr>
          <w:rStyle w:val="Bodytext20"/>
          <w:noProof/>
        </w:rPr>
        <w:t>LAW.OTHER.136. panta [Apturēšana un nepiemērošana]</w:t>
      </w:r>
      <w:r>
        <w:rPr>
          <w:noProof/>
        </w:rPr>
        <w:t xml:space="preserve"> un LAW.OTHER.137. panta [Izbeigšana], šīs sadaļas noteikumus piemēro apcietināš</w:t>
      </w:r>
      <w:r>
        <w:rPr>
          <w:noProof/>
        </w:rPr>
        <w:t>anas orderiem gadījumos, kad pieprasītā persona ir apcietināta pirms iestājās šīs sadaļas nepiemērošana apcietināšanas ordera izpildes nolūkā, neatkarīgi no izpildes tiesu iestādes lēmuma par to, vai pieprasītā persona ir jāpatur apcietinājumā vai uz laiku</w:t>
      </w:r>
      <w:r>
        <w:rPr>
          <w:noProof/>
        </w:rPr>
        <w:t xml:space="preserve"> jāatbrīvo. </w:t>
      </w:r>
    </w:p>
    <w:p w:rsidR="003E022D" w:rsidRDefault="007D19D6">
      <w:pPr>
        <w:pStyle w:val="Article"/>
        <w:rPr>
          <w:noProof/>
        </w:rPr>
      </w:pPr>
      <w:bookmarkStart w:id="780" w:name="_Toc58920322"/>
      <w:r>
        <w:rPr>
          <w:noProof/>
        </w:rPr>
        <w:t>LAW.SURR.112. pants. Piemērošana spēkā esošiem aresta orderiem</w:t>
      </w:r>
      <w:bookmarkEnd w:id="780"/>
    </w:p>
    <w:p w:rsidR="003E022D" w:rsidRDefault="007D19D6">
      <w:pPr>
        <w:rPr>
          <w:rFonts w:cstheme="minorHAnsi"/>
          <w:noProof/>
        </w:rPr>
      </w:pPr>
      <w:r>
        <w:rPr>
          <w:noProof/>
        </w:rPr>
        <w:t>Šo sadaļu piemēro Eiropas apcietināšanas orderiem, kas izsniegti saskaņā ar Padomes Pamatlēmumu 2002/584/TI</w:t>
      </w:r>
      <w:r>
        <w:rPr>
          <w:rFonts w:cstheme="minorHAnsi"/>
          <w:noProof/>
          <w:vertAlign w:val="superscript"/>
          <w:lang w:val="en-IE" w:eastAsia="en-GB" w:bidi="fr-BE"/>
        </w:rPr>
        <w:footnoteReference w:id="81"/>
      </w:r>
      <w:r>
        <w:rPr>
          <w:noProof/>
        </w:rPr>
        <w:t xml:space="preserve"> un ko kāda valsts ir izsniegusi pirms pārejas perioda beigām gadījumos,</w:t>
      </w:r>
      <w:r>
        <w:rPr>
          <w:noProof/>
        </w:rPr>
        <w:t xml:space="preserve"> kad pieprasītā persona nav apcietināta ar nolūku izpildīt orderi pirms pārejas perioda beigām.</w:t>
      </w:r>
    </w:p>
    <w:p w:rsidR="003E022D" w:rsidRDefault="007D19D6">
      <w:pPr>
        <w:pStyle w:val="Title1"/>
        <w:rPr>
          <w:noProof/>
        </w:rPr>
      </w:pPr>
      <w:bookmarkStart w:id="781" w:name="_Toc57809462"/>
      <w:bookmarkStart w:id="782" w:name="_Toc58920323"/>
      <w:bookmarkStart w:id="783" w:name="_Toc58949202"/>
      <w:bookmarkStart w:id="784" w:name="_Toc59472717"/>
      <w:bookmarkStart w:id="785" w:name="_Toc59988369"/>
      <w:r>
        <w:rPr>
          <w:noProof/>
        </w:rPr>
        <w:t>VIII sadaļa. Savstarpējā palīdzība</w:t>
      </w:r>
      <w:bookmarkEnd w:id="781"/>
      <w:bookmarkEnd w:id="782"/>
      <w:bookmarkEnd w:id="783"/>
      <w:bookmarkEnd w:id="784"/>
      <w:bookmarkEnd w:id="785"/>
      <w:r>
        <w:rPr>
          <w:noProof/>
        </w:rPr>
        <w:t xml:space="preserve"> </w:t>
      </w:r>
    </w:p>
    <w:p w:rsidR="003E022D" w:rsidRDefault="007D19D6">
      <w:pPr>
        <w:pStyle w:val="Article"/>
        <w:rPr>
          <w:noProof/>
        </w:rPr>
      </w:pPr>
      <w:bookmarkStart w:id="786" w:name="_Toc58920324"/>
      <w:r>
        <w:rPr>
          <w:noProof/>
        </w:rPr>
        <w:t>LAW.MUTAS.113. pants. Mērķis</w:t>
      </w:r>
      <w:bookmarkEnd w:id="786"/>
    </w:p>
    <w:p w:rsidR="003E022D" w:rsidRDefault="007D19D6">
      <w:pPr>
        <w:numPr>
          <w:ilvl w:val="0"/>
          <w:numId w:val="154"/>
        </w:numPr>
        <w:ind w:left="0" w:firstLine="0"/>
        <w:rPr>
          <w:rFonts w:cstheme="minorHAnsi"/>
          <w:noProof/>
          <w:color w:val="000000"/>
        </w:rPr>
      </w:pPr>
      <w:r>
        <w:rPr>
          <w:noProof/>
        </w:rPr>
        <w:t>Šīs sadaļas mērķis ir papildināt tos noteikumus un atvieglot to piemērošanu starp dalībvalstīm,</w:t>
      </w:r>
      <w:r>
        <w:rPr>
          <w:noProof/>
        </w:rPr>
        <w:t xml:space="preserve"> no vienas puses, un Apvienoto Karalisti, no otras puses, kuri ietverti šādos aktos:</w:t>
      </w:r>
    </w:p>
    <w:p w:rsidR="003E022D" w:rsidRDefault="007D19D6">
      <w:pPr>
        <w:numPr>
          <w:ilvl w:val="1"/>
          <w:numId w:val="154"/>
        </w:numPr>
        <w:ind w:left="567" w:hanging="567"/>
        <w:rPr>
          <w:noProof/>
        </w:rPr>
      </w:pPr>
      <w:r>
        <w:rPr>
          <w:noProof/>
        </w:rPr>
        <w:t>Eiropas Konvencija par savstarpējo palīdzību krimināllietās, kas parakstīta Strasbūrā 1959. gada 20. aprīlī, turpmāk "Eiropas Savstarpējās palīdzības konvencija";</w:t>
      </w:r>
    </w:p>
    <w:p w:rsidR="003E022D" w:rsidRDefault="007D19D6">
      <w:pPr>
        <w:numPr>
          <w:ilvl w:val="1"/>
          <w:numId w:val="154"/>
        </w:numPr>
        <w:ind w:left="567" w:hanging="567"/>
        <w:rPr>
          <w:rFonts w:cstheme="minorHAnsi"/>
          <w:noProof/>
          <w:color w:val="000000"/>
        </w:rPr>
      </w:pPr>
      <w:r>
        <w:rPr>
          <w:noProof/>
        </w:rPr>
        <w:t xml:space="preserve">Eiropas </w:t>
      </w:r>
      <w:r>
        <w:rPr>
          <w:noProof/>
        </w:rPr>
        <w:t>Savstarpējās palīdzības konvencijas Papildu protokols, kas parakstīts Strasbūrā 1978. gada 17. martā,</w:t>
      </w:r>
      <w:r>
        <w:rPr>
          <w:noProof/>
          <w:color w:val="000000"/>
        </w:rPr>
        <w:t xml:space="preserve"> un</w:t>
      </w:r>
    </w:p>
    <w:p w:rsidR="003E022D" w:rsidRDefault="007D19D6">
      <w:pPr>
        <w:numPr>
          <w:ilvl w:val="1"/>
          <w:numId w:val="154"/>
        </w:numPr>
        <w:ind w:left="567" w:hanging="567"/>
        <w:rPr>
          <w:rFonts w:cstheme="minorHAnsi"/>
          <w:noProof/>
          <w:color w:val="000000"/>
        </w:rPr>
      </w:pPr>
      <w:r>
        <w:rPr>
          <w:noProof/>
        </w:rPr>
        <w:t>Eiropas Savstarpējās palīdzības konvencijas Otrais papildu protokols, kas parakstīts Strasbūrā 2001. gada 8. novembrī.</w:t>
      </w:r>
    </w:p>
    <w:p w:rsidR="003E022D" w:rsidRDefault="007D19D6">
      <w:pPr>
        <w:numPr>
          <w:ilvl w:val="0"/>
          <w:numId w:val="154"/>
        </w:numPr>
        <w:ind w:left="0" w:firstLine="0"/>
        <w:rPr>
          <w:rFonts w:cstheme="minorHAnsi"/>
          <w:noProof/>
          <w:color w:val="000000"/>
        </w:rPr>
      </w:pPr>
      <w:r>
        <w:rPr>
          <w:noProof/>
        </w:rPr>
        <w:t xml:space="preserve">Šī sadaļa neskar </w:t>
      </w:r>
      <w:r>
        <w:rPr>
          <w:noProof/>
          <w:u w:color="000000"/>
        </w:rPr>
        <w:t>IX sadaļas [Apm</w:t>
      </w:r>
      <w:r>
        <w:rPr>
          <w:noProof/>
          <w:u w:color="000000"/>
        </w:rPr>
        <w:t>aiņa ar informāciju, kas izgūta no sodāmības reģistra]</w:t>
      </w:r>
      <w:r>
        <w:rPr>
          <w:noProof/>
        </w:rPr>
        <w:t xml:space="preserve"> noteikumus, kas prevalē pār šo sadaļu.</w:t>
      </w:r>
    </w:p>
    <w:p w:rsidR="003E022D" w:rsidRDefault="007D19D6">
      <w:pPr>
        <w:pStyle w:val="Article"/>
        <w:rPr>
          <w:noProof/>
        </w:rPr>
      </w:pPr>
      <w:bookmarkStart w:id="787" w:name="_Toc58920325"/>
      <w:r>
        <w:rPr>
          <w:noProof/>
        </w:rPr>
        <w:t>LAW.MUTAS.114. pants. Kompetentās iestādes definīcija</w:t>
      </w:r>
      <w:bookmarkEnd w:id="787"/>
    </w:p>
    <w:p w:rsidR="003E022D" w:rsidRDefault="007D19D6">
      <w:pPr>
        <w:rPr>
          <w:rFonts w:cstheme="minorHAnsi"/>
          <w:noProof/>
        </w:rPr>
      </w:pPr>
      <w:bookmarkStart w:id="788" w:name="_gjdgxs"/>
      <w:bookmarkEnd w:id="788"/>
      <w:r>
        <w:rPr>
          <w:noProof/>
        </w:rPr>
        <w:t>Šajā sadaļā “kompetentā iestāde” ir jebkura iestāde, kas ir kompetenta nosūtīt vai saņemt savstarpējās palīd</w:t>
      </w:r>
      <w:r>
        <w:rPr>
          <w:noProof/>
        </w:rPr>
        <w:t>zības lūgumus saskaņā ar Eiropas Savstarpējās palīdzības konvencijas un tās protokolu noteikumiem un kā valstis noteikušas to attiecīgajās deklarācijās, kuras adresētas Eiropas Padomes ģenerālsekretāram. Jēdziens “kompetentās iestādes” ietver arī Savienība</w:t>
      </w:r>
      <w:r>
        <w:rPr>
          <w:noProof/>
        </w:rPr>
        <w:t xml:space="preserve">s struktūras, kas paziņotas saskaņā ar </w:t>
      </w:r>
      <w:r>
        <w:rPr>
          <w:noProof/>
          <w:u w:color="000000"/>
        </w:rPr>
        <w:t>LAW.OTHER.134. panta [Paziņojumi] 7. punkta</w:t>
      </w:r>
      <w:r>
        <w:rPr>
          <w:noProof/>
        </w:rPr>
        <w:t xml:space="preserve"> c) apakšpunktu; attiecībā uz šādām Savienības struktūrām attiecīgi piemēro šīs nodaļas noteikumus.</w:t>
      </w:r>
    </w:p>
    <w:p w:rsidR="003E022D" w:rsidRDefault="007D19D6">
      <w:pPr>
        <w:pStyle w:val="Article"/>
        <w:rPr>
          <w:noProof/>
        </w:rPr>
      </w:pPr>
      <w:bookmarkStart w:id="789" w:name="_Toc58920326"/>
      <w:r>
        <w:rPr>
          <w:noProof/>
        </w:rPr>
        <w:t>LAW.MUTAS.115. pants. Savstarpējas palīdzības lūguma veidlapa</w:t>
      </w:r>
      <w:bookmarkEnd w:id="789"/>
    </w:p>
    <w:p w:rsidR="003E022D" w:rsidRDefault="007D19D6">
      <w:pPr>
        <w:numPr>
          <w:ilvl w:val="6"/>
          <w:numId w:val="153"/>
        </w:numPr>
        <w:ind w:left="0" w:firstLine="0"/>
        <w:rPr>
          <w:rFonts w:cstheme="minorHAnsi"/>
          <w:noProof/>
          <w:color w:val="000000"/>
        </w:rPr>
      </w:pPr>
      <w:r>
        <w:rPr>
          <w:noProof/>
        </w:rPr>
        <w:t>Specializētā</w:t>
      </w:r>
      <w:r>
        <w:rPr>
          <w:noProof/>
        </w:rPr>
        <w:t xml:space="preserve"> komiteja tiesībaizsardzības un tiesu iestāžu sadarbības jomā izstrādā standarta veidlapu savstarpējās palīdzības lūgumiem, pieņemot šā nolīguma pielikumu.</w:t>
      </w:r>
    </w:p>
    <w:p w:rsidR="003E022D" w:rsidRDefault="007D19D6">
      <w:pPr>
        <w:numPr>
          <w:ilvl w:val="6"/>
          <w:numId w:val="153"/>
        </w:numPr>
        <w:ind w:left="0" w:firstLine="0"/>
        <w:rPr>
          <w:rFonts w:cstheme="minorHAnsi"/>
          <w:noProof/>
          <w:color w:val="000000"/>
        </w:rPr>
      </w:pPr>
      <w:r>
        <w:rPr>
          <w:noProof/>
        </w:rPr>
        <w:t xml:space="preserve">Ja Specializētā komiteja tiesībaizsardzības un tiesu iestāžu sadarbības jomā ir pieņēmusi lēmumu </w:t>
      </w:r>
      <w:r>
        <w:rPr>
          <w:noProof/>
        </w:rPr>
        <w:t>saskaņā ar 1. punktu, savstarpējās palīdzības lūgumus iesniedz, izmantojot standarta veidlapu.</w:t>
      </w:r>
    </w:p>
    <w:p w:rsidR="003E022D" w:rsidRDefault="007D19D6">
      <w:pPr>
        <w:numPr>
          <w:ilvl w:val="6"/>
          <w:numId w:val="153"/>
        </w:numPr>
        <w:ind w:left="0" w:firstLine="0"/>
        <w:rPr>
          <w:rFonts w:cstheme="minorHAnsi"/>
          <w:noProof/>
          <w:color w:val="000000"/>
        </w:rPr>
      </w:pPr>
      <w:r>
        <w:rPr>
          <w:noProof/>
        </w:rPr>
        <w:t>Specializētā komiteja tiesībaizsardzības un tiesu iestāžu sadarbības jomā var nepieciešamības gadījumā grozīt standarta veidlapu savstarpējās palīdzības lūgumiem</w:t>
      </w:r>
      <w:r>
        <w:rPr>
          <w:noProof/>
        </w:rPr>
        <w:t>.</w:t>
      </w:r>
    </w:p>
    <w:p w:rsidR="003E022D" w:rsidRDefault="007D19D6">
      <w:pPr>
        <w:pStyle w:val="Article"/>
        <w:rPr>
          <w:noProof/>
        </w:rPr>
      </w:pPr>
      <w:bookmarkStart w:id="790" w:name="_Toc58920327"/>
      <w:r>
        <w:rPr>
          <w:noProof/>
        </w:rPr>
        <w:t>LAW.MUTAS.116. pants. Nosacījumi savstarpējas palīdzības lūgumam</w:t>
      </w:r>
      <w:bookmarkEnd w:id="790"/>
    </w:p>
    <w:p w:rsidR="003E022D" w:rsidRDefault="007D19D6">
      <w:pPr>
        <w:numPr>
          <w:ilvl w:val="6"/>
          <w:numId w:val="155"/>
        </w:numPr>
        <w:ind w:left="0" w:firstLine="0"/>
        <w:rPr>
          <w:rFonts w:cstheme="minorHAnsi"/>
          <w:noProof/>
          <w:color w:val="000000"/>
        </w:rPr>
      </w:pPr>
      <w:bookmarkStart w:id="791" w:name="_Hlk55063349"/>
      <w:r>
        <w:rPr>
          <w:noProof/>
        </w:rPr>
        <w:t>Pieprasītājas valsts kompetentā iestāde savstarpējās palīdzības lūgumu var iesniegt tikai tad, ja ir izpildīti šādi nosacījumi:</w:t>
      </w:r>
    </w:p>
    <w:p w:rsidR="003E022D" w:rsidRDefault="007D19D6">
      <w:pPr>
        <w:numPr>
          <w:ilvl w:val="1"/>
          <w:numId w:val="154"/>
        </w:numPr>
        <w:ind w:left="567" w:hanging="567"/>
        <w:rPr>
          <w:noProof/>
        </w:rPr>
      </w:pPr>
      <w:r>
        <w:rPr>
          <w:noProof/>
        </w:rPr>
        <w:t>lūgums ir vajadzīgs un samērīgs ar tiesas procesa mērķi, ņemo</w:t>
      </w:r>
      <w:r>
        <w:rPr>
          <w:noProof/>
        </w:rPr>
        <w:t>t vērā aizdomās turētās vai apsūdzētās personas tiesības, un</w:t>
      </w:r>
    </w:p>
    <w:p w:rsidR="003E022D" w:rsidRDefault="007D19D6">
      <w:pPr>
        <w:numPr>
          <w:ilvl w:val="1"/>
          <w:numId w:val="154"/>
        </w:numPr>
        <w:ind w:left="567" w:hanging="567"/>
        <w:rPr>
          <w:rFonts w:cstheme="minorHAnsi"/>
          <w:noProof/>
          <w:color w:val="000000"/>
        </w:rPr>
      </w:pPr>
      <w:r>
        <w:rPr>
          <w:noProof/>
        </w:rPr>
        <w:t>lūgumā norādīto(-s) izmeklēšanas pasākumu vai izmeklēšanas pasākumus tādos pašos apstākļos būtu iespējams norīkot līdzīgā vietējā lietā.</w:t>
      </w:r>
    </w:p>
    <w:p w:rsidR="003E022D" w:rsidRDefault="007D19D6">
      <w:pPr>
        <w:numPr>
          <w:ilvl w:val="6"/>
          <w:numId w:val="155"/>
        </w:numPr>
        <w:ind w:left="0" w:firstLine="0"/>
        <w:rPr>
          <w:rFonts w:cstheme="minorHAnsi"/>
          <w:noProof/>
        </w:rPr>
      </w:pPr>
      <w:r>
        <w:rPr>
          <w:noProof/>
        </w:rPr>
        <w:t>Lūguma saņēmēja valsts var apspriesties ar lūguma iesniedz</w:t>
      </w:r>
      <w:r>
        <w:rPr>
          <w:noProof/>
        </w:rPr>
        <w:t>ēju valsti, ja lūguma saņēmējas valsts kompetentā iestāde uzskata, ka 1. punkta nosacījumi nav izpildīti. Pēc apspriešanās pieprasītājas valsts kompetentā iestāde var nolemt atsaukt savstarpējās palīdzības lūgumu.</w:t>
      </w:r>
    </w:p>
    <w:p w:rsidR="003E022D" w:rsidRDefault="007D19D6">
      <w:pPr>
        <w:pStyle w:val="Article"/>
        <w:rPr>
          <w:noProof/>
        </w:rPr>
      </w:pPr>
      <w:bookmarkStart w:id="792" w:name="_Toc58920328"/>
      <w:bookmarkEnd w:id="791"/>
      <w:r>
        <w:rPr>
          <w:noProof/>
        </w:rPr>
        <w:t>LAW.MUTAS.117. pants. Citāda veida izmeklē</w:t>
      </w:r>
      <w:r>
        <w:rPr>
          <w:noProof/>
        </w:rPr>
        <w:t>šanas pasākumu izmantošana</w:t>
      </w:r>
      <w:bookmarkEnd w:id="792"/>
    </w:p>
    <w:p w:rsidR="003E022D" w:rsidRDefault="007D19D6">
      <w:pPr>
        <w:numPr>
          <w:ilvl w:val="2"/>
          <w:numId w:val="151"/>
        </w:numPr>
        <w:ind w:left="0" w:firstLine="0"/>
        <w:rPr>
          <w:rFonts w:cstheme="minorHAnsi"/>
          <w:noProof/>
          <w:color w:val="000000"/>
        </w:rPr>
      </w:pPr>
      <w:r>
        <w:rPr>
          <w:noProof/>
        </w:rPr>
        <w:t>Kad vien iespējams, lūguma saņēmējas valsts kompetentā iestāde apsver iespēju izmantot citu izmeklēšanas pasākumu, nekā savstarpējās palīdzības lūgumā norādītais pasākums, ja:</w:t>
      </w:r>
    </w:p>
    <w:p w:rsidR="003E022D" w:rsidRDefault="007D19D6">
      <w:pPr>
        <w:numPr>
          <w:ilvl w:val="0"/>
          <w:numId w:val="150"/>
        </w:numPr>
        <w:ind w:left="567" w:hanging="567"/>
        <w:rPr>
          <w:rFonts w:cstheme="minorHAnsi"/>
          <w:noProof/>
          <w:color w:val="000000"/>
        </w:rPr>
      </w:pPr>
      <w:r>
        <w:rPr>
          <w:noProof/>
        </w:rPr>
        <w:t xml:space="preserve">lūgumā norādītais izmeklēšanas pasākums nepastāv </w:t>
      </w:r>
      <w:r>
        <w:rPr>
          <w:noProof/>
        </w:rPr>
        <w:t>lūguma saņēmējas valsts tiesību aktos;</w:t>
      </w:r>
      <w:r>
        <w:rPr>
          <w:noProof/>
          <w:color w:val="000000"/>
        </w:rPr>
        <w:t xml:space="preserve"> vai</w:t>
      </w:r>
    </w:p>
    <w:p w:rsidR="003E022D" w:rsidRDefault="007D19D6">
      <w:pPr>
        <w:numPr>
          <w:ilvl w:val="0"/>
          <w:numId w:val="150"/>
        </w:numPr>
        <w:ind w:left="567" w:hanging="567"/>
        <w:rPr>
          <w:rFonts w:cstheme="minorHAnsi"/>
          <w:noProof/>
          <w:color w:val="000000"/>
        </w:rPr>
      </w:pPr>
      <w:r>
        <w:rPr>
          <w:noProof/>
        </w:rPr>
        <w:t>lūgumā norādītais izmeklēšanas pasākums nebūtu pieejams līdzīgā vietējā lietā.</w:t>
      </w:r>
    </w:p>
    <w:p w:rsidR="003E022D" w:rsidRDefault="007D19D6">
      <w:pPr>
        <w:numPr>
          <w:ilvl w:val="2"/>
          <w:numId w:val="151"/>
        </w:numPr>
        <w:ind w:left="0" w:firstLine="0"/>
        <w:rPr>
          <w:rFonts w:cstheme="minorHAnsi"/>
          <w:noProof/>
          <w:color w:val="000000"/>
        </w:rPr>
      </w:pPr>
      <w:r>
        <w:rPr>
          <w:noProof/>
          <w:color w:val="000000"/>
        </w:rPr>
        <w:t xml:space="preserve">Neskarot atteikuma iemeslus saskaņā ar Eiropas Savstarpējās palīdzības konvenciju un tās protokoliem un </w:t>
      </w:r>
      <w:r>
        <w:rPr>
          <w:noProof/>
          <w:color w:val="000000"/>
          <w:u w:color="000000"/>
        </w:rPr>
        <w:t>LAW.MUTAS.119. pantu [</w:t>
      </w:r>
      <w:r>
        <w:rPr>
          <w:i/>
          <w:noProof/>
          <w:color w:val="000000"/>
          <w:u w:color="000000"/>
        </w:rPr>
        <w:t>Ne bis i</w:t>
      </w:r>
      <w:r>
        <w:rPr>
          <w:i/>
          <w:noProof/>
          <w:color w:val="000000"/>
          <w:u w:color="000000"/>
        </w:rPr>
        <w:t>n idem</w:t>
      </w:r>
      <w:r>
        <w:rPr>
          <w:noProof/>
          <w:color w:val="000000"/>
          <w:u w:color="000000"/>
        </w:rPr>
        <w:t xml:space="preserve"> princips]</w:t>
      </w:r>
      <w:r>
        <w:rPr>
          <w:noProof/>
          <w:color w:val="000000"/>
        </w:rPr>
        <w:t>, šā panta 1. punktu nepiemēro šādiem izmeklēšanas pasākumiem, kuri vienmēr ir pieejami saskaņā ar pieprasītājas valsts tiesību aktiem:</w:t>
      </w:r>
    </w:p>
    <w:p w:rsidR="003E022D" w:rsidRDefault="007D19D6">
      <w:pPr>
        <w:numPr>
          <w:ilvl w:val="0"/>
          <w:numId w:val="147"/>
        </w:numPr>
        <w:ind w:left="567" w:hanging="567"/>
        <w:rPr>
          <w:noProof/>
        </w:rPr>
      </w:pPr>
      <w:r>
        <w:rPr>
          <w:noProof/>
        </w:rPr>
        <w:t>tādas informācijas iegūšana, kas atrodas policijas vai tiesu iestāžu datubāzēs un lūguma saņēmējas valst</w:t>
      </w:r>
      <w:r>
        <w:rPr>
          <w:noProof/>
        </w:rPr>
        <w:t>s kompetentajai iestādei ir tieši pieejama kriminālprocesā;</w:t>
      </w:r>
    </w:p>
    <w:p w:rsidR="003E022D" w:rsidRDefault="007D19D6">
      <w:pPr>
        <w:numPr>
          <w:ilvl w:val="0"/>
          <w:numId w:val="147"/>
        </w:numPr>
        <w:ind w:left="567" w:hanging="567"/>
        <w:rPr>
          <w:noProof/>
        </w:rPr>
      </w:pPr>
      <w:r>
        <w:rPr>
          <w:noProof/>
        </w:rPr>
        <w:t>liecinieka, eksperta, cietušā, aizdomās turētā vai apsūdzētā, vai trešās personas nopratināšana lūguma saņēmējas valsts teritorijā;</w:t>
      </w:r>
    </w:p>
    <w:p w:rsidR="003E022D" w:rsidRDefault="007D19D6">
      <w:pPr>
        <w:numPr>
          <w:ilvl w:val="0"/>
          <w:numId w:val="147"/>
        </w:numPr>
        <w:ind w:left="567" w:hanging="567"/>
        <w:rPr>
          <w:noProof/>
        </w:rPr>
      </w:pPr>
      <w:r>
        <w:rPr>
          <w:noProof/>
        </w:rPr>
        <w:t>jebkāds izmeklēšanas pasākums, kas nav piespiedu pasākums, kā no</w:t>
      </w:r>
      <w:r>
        <w:rPr>
          <w:noProof/>
        </w:rPr>
        <w:t>teikts lūguma saņēmējas valsts tiesību aktos; un</w:t>
      </w:r>
    </w:p>
    <w:p w:rsidR="003E022D" w:rsidRDefault="007D19D6">
      <w:pPr>
        <w:numPr>
          <w:ilvl w:val="0"/>
          <w:numId w:val="147"/>
        </w:numPr>
        <w:ind w:left="567" w:hanging="567"/>
        <w:rPr>
          <w:rFonts w:cstheme="minorHAnsi"/>
          <w:noProof/>
          <w:color w:val="000000"/>
        </w:rPr>
      </w:pPr>
      <w:r>
        <w:rPr>
          <w:noProof/>
        </w:rPr>
        <w:t>tādu personu identificēšana, kas ir konkrēta tālruņa numura abonenti vai kam ir piešķirta konkrēta IP adrese.</w:t>
      </w:r>
    </w:p>
    <w:p w:rsidR="003E022D" w:rsidRDefault="007D19D6">
      <w:pPr>
        <w:numPr>
          <w:ilvl w:val="2"/>
          <w:numId w:val="151"/>
        </w:numPr>
        <w:ind w:left="0" w:firstLine="0"/>
        <w:rPr>
          <w:rFonts w:cstheme="minorHAnsi"/>
          <w:noProof/>
        </w:rPr>
      </w:pPr>
      <w:r>
        <w:rPr>
          <w:noProof/>
        </w:rPr>
        <w:t>Lūguma saņēmējas valsts kompetentā iestāde var izmantot arī citu izmeklēšanas pasākumu, nekā savs</w:t>
      </w:r>
      <w:r>
        <w:rPr>
          <w:noProof/>
        </w:rPr>
        <w:t>tarpējās palīdzības lūgumā norādītais pasākums, ja ar lūguma saņēmējas valsts kompetentās iestādes izraudzīto izmeklēšanas pasākumu var sasniegt tādu pašu rezultātu, taču ar līdzekļiem, kas prasa mazāku iejaukšanos nekā lūgumā norādītais izmeklēšanas pasāk</w:t>
      </w:r>
      <w:r>
        <w:rPr>
          <w:noProof/>
        </w:rPr>
        <w:t>ums.</w:t>
      </w:r>
    </w:p>
    <w:p w:rsidR="003E022D" w:rsidRDefault="007D19D6">
      <w:pPr>
        <w:numPr>
          <w:ilvl w:val="2"/>
          <w:numId w:val="151"/>
        </w:numPr>
        <w:ind w:left="0" w:firstLine="0"/>
        <w:rPr>
          <w:rFonts w:cstheme="minorHAnsi"/>
          <w:noProof/>
        </w:rPr>
      </w:pPr>
      <w:r>
        <w:rPr>
          <w:noProof/>
        </w:rPr>
        <w:t>Ja lūguma saņēmējas valsts kompetentā iestāde nolemj izmantot pasākumu, kas nav savstarpējās palīdzības lūgumā norādītais pasākums, kā minēts 1. un 3. punktā, tā vispirms informē pieprasītājas valsts kompetento iestādi, kura var nolemt attiecīgo lūgum</w:t>
      </w:r>
      <w:r>
        <w:rPr>
          <w:noProof/>
        </w:rPr>
        <w:t>u atsaukt vai papildināt</w:t>
      </w:r>
    </w:p>
    <w:p w:rsidR="003E022D" w:rsidRDefault="007D19D6">
      <w:pPr>
        <w:numPr>
          <w:ilvl w:val="2"/>
          <w:numId w:val="151"/>
        </w:numPr>
        <w:ind w:left="0" w:firstLine="0"/>
        <w:rPr>
          <w:rFonts w:cstheme="minorHAnsi"/>
          <w:noProof/>
          <w:color w:val="000000"/>
        </w:rPr>
      </w:pPr>
      <w:r>
        <w:rPr>
          <w:noProof/>
        </w:rPr>
        <w:t>Ja lūgumā noradītais izmeklēšanas pasākums nepastāv lūguma saņēmējas valsts tiesību aktos vai nebūtu pieejams līdzīgā vietējā lietā un ja nepastāv neviens cits izmeklēšanas pasākums, kam būtu tāds pats rezultāts kā lūgtajam izmeklē</w:t>
      </w:r>
      <w:r>
        <w:rPr>
          <w:noProof/>
        </w:rPr>
        <w:t>šanas pasākumam, lūguma saņēmējas valsts kompetentā iestāde informē pieprasītājas valsts kompetento iestādi, ka lūgto palīdzību nav iespējams sniegt.</w:t>
      </w:r>
    </w:p>
    <w:p w:rsidR="003E022D" w:rsidRDefault="007D19D6">
      <w:pPr>
        <w:pStyle w:val="Article"/>
        <w:rPr>
          <w:noProof/>
        </w:rPr>
      </w:pPr>
      <w:bookmarkStart w:id="793" w:name="_Toc58920329"/>
      <w:r>
        <w:rPr>
          <w:noProof/>
        </w:rPr>
        <w:t>LAW.MUTAS.118. pants. Pienākums informēt</w:t>
      </w:r>
      <w:bookmarkEnd w:id="793"/>
    </w:p>
    <w:p w:rsidR="003E022D" w:rsidRDefault="007D19D6">
      <w:pPr>
        <w:rPr>
          <w:rFonts w:cstheme="minorHAnsi"/>
          <w:noProof/>
          <w:color w:val="000000"/>
        </w:rPr>
      </w:pPr>
      <w:r>
        <w:rPr>
          <w:noProof/>
        </w:rPr>
        <w:t xml:space="preserve">Lūguma saņēmējas valsts kompetentā iestāde informē pieprasītājas </w:t>
      </w:r>
      <w:r>
        <w:rPr>
          <w:noProof/>
        </w:rPr>
        <w:t>valsts kompetento iestādi, izmantojot jebkādus pieejamos līdzekļus un bez liekas kavēšanās, ja:</w:t>
      </w:r>
    </w:p>
    <w:p w:rsidR="003E022D" w:rsidRDefault="007D19D6">
      <w:pPr>
        <w:numPr>
          <w:ilvl w:val="1"/>
          <w:numId w:val="148"/>
        </w:numPr>
        <w:ind w:left="567" w:hanging="567"/>
        <w:rPr>
          <w:noProof/>
        </w:rPr>
      </w:pPr>
      <w:r>
        <w:rPr>
          <w:noProof/>
        </w:rPr>
        <w:t>savstarpējās palīdzības lūgumu nav iespējams izpildīt tādēļ, ka lūgums ir noformēts nepilnīgi vai acīmredzami nepareizi; vai</w:t>
      </w:r>
    </w:p>
    <w:p w:rsidR="003E022D" w:rsidRDefault="007D19D6">
      <w:pPr>
        <w:numPr>
          <w:ilvl w:val="1"/>
          <w:numId w:val="148"/>
        </w:numPr>
        <w:ind w:left="567" w:hanging="567"/>
        <w:rPr>
          <w:rFonts w:cstheme="minorHAnsi"/>
          <w:noProof/>
          <w:color w:val="000000"/>
        </w:rPr>
      </w:pPr>
      <w:r>
        <w:rPr>
          <w:noProof/>
        </w:rPr>
        <w:t xml:space="preserve">lūguma saņēmējas valsts kompetentā </w:t>
      </w:r>
      <w:r>
        <w:rPr>
          <w:noProof/>
        </w:rPr>
        <w:t>iestāde savstarpējās palīdzības lūguma izpildes gaitā bez papildu noskaidrošanas secina, ka varētu būt lietderīgi veikt izmeklēšanas pasākumus, kas sākotnēji nebija paredzēti vai ko nebija iespējams paredzēt laikā, kad tika gatavots savstarpējās palīdzības</w:t>
      </w:r>
      <w:r>
        <w:rPr>
          <w:noProof/>
        </w:rPr>
        <w:t xml:space="preserve"> lūgums, lai pieprasītājas valsts kompetentā iestāde konkrētā lietā varētu veikt turpmākas darbības.</w:t>
      </w:r>
    </w:p>
    <w:p w:rsidR="003E022D" w:rsidRDefault="007D19D6">
      <w:pPr>
        <w:pStyle w:val="Article"/>
        <w:rPr>
          <w:noProof/>
        </w:rPr>
      </w:pPr>
      <w:bookmarkStart w:id="794" w:name="_Toc58920330"/>
      <w:r>
        <w:rPr>
          <w:noProof/>
        </w:rPr>
        <w:t xml:space="preserve">LAW.MUTAS.119. pants. </w:t>
      </w:r>
      <w:r>
        <w:rPr>
          <w:i/>
          <w:noProof/>
        </w:rPr>
        <w:t>Ne bis in idem princips</w:t>
      </w:r>
      <w:bookmarkEnd w:id="794"/>
    </w:p>
    <w:p w:rsidR="003E022D" w:rsidRDefault="007D19D6">
      <w:pPr>
        <w:rPr>
          <w:rFonts w:cstheme="minorHAnsi"/>
          <w:b/>
          <w:noProof/>
          <w:color w:val="000000"/>
        </w:rPr>
      </w:pPr>
      <w:r>
        <w:rPr>
          <w:noProof/>
        </w:rPr>
        <w:t>Papildus Eiropas Savstarpējās palīdzības konvencijā un tās protokolos minētajiem atteikuma pamatojumiem savst</w:t>
      </w:r>
      <w:r>
        <w:rPr>
          <w:noProof/>
        </w:rPr>
        <w:t>arpējo palīdzību var atteikt, ja personai, attiecībā uz kuru pieprasītājā valstī attiecas kriminālizmeklēšana, kriminālvajāšana vai cits process, tostarp tiesvedības process, attiecībā uz tām pašām darbībām citā valstī ir pasludināts galīgais spriedums, ar</w:t>
      </w:r>
      <w:r>
        <w:rPr>
          <w:noProof/>
        </w:rPr>
        <w:t xml:space="preserve"> nosacījumu, ka notiesāšanas gadījumā sods jau ir izciests, persona to izcieš vai sodu vairs nevar izpildīt atbilstīgi sprieduma pasludinājušās valsts tiesību aktiem.</w:t>
      </w:r>
    </w:p>
    <w:p w:rsidR="003E022D" w:rsidRDefault="007D19D6">
      <w:pPr>
        <w:pStyle w:val="Article"/>
        <w:rPr>
          <w:noProof/>
        </w:rPr>
      </w:pPr>
      <w:bookmarkStart w:id="795" w:name="_Toc58920331"/>
      <w:r>
        <w:rPr>
          <w:noProof/>
        </w:rPr>
        <w:t>LAW.MUTAS.120. pants. Termiņi</w:t>
      </w:r>
      <w:bookmarkEnd w:id="795"/>
    </w:p>
    <w:p w:rsidR="003E022D" w:rsidRDefault="007D19D6">
      <w:pPr>
        <w:numPr>
          <w:ilvl w:val="0"/>
          <w:numId w:val="149"/>
        </w:numPr>
        <w:ind w:left="0" w:firstLine="0"/>
        <w:rPr>
          <w:rFonts w:cstheme="minorHAnsi"/>
          <w:noProof/>
        </w:rPr>
      </w:pPr>
      <w:r>
        <w:rPr>
          <w:noProof/>
        </w:rPr>
        <w:t>Lūguma saņēmēja valsts lēmumu par savstarpējās palīdzības l</w:t>
      </w:r>
      <w:r>
        <w:rPr>
          <w:noProof/>
        </w:rPr>
        <w:t>ūguma izpildi pieņem pēc iespējas ātrāk un jebkurā gadījumā ne vēlāk kā 45 dienas pēc lūguma saņemšanas, un informē par savu lēmumu pieprasītāju valsti.</w:t>
      </w:r>
    </w:p>
    <w:p w:rsidR="003E022D" w:rsidRDefault="007D19D6">
      <w:pPr>
        <w:numPr>
          <w:ilvl w:val="0"/>
          <w:numId w:val="149"/>
        </w:numPr>
        <w:ind w:left="0" w:firstLine="0"/>
        <w:rPr>
          <w:rFonts w:cstheme="minorHAnsi"/>
          <w:noProof/>
          <w:color w:val="000000"/>
        </w:rPr>
      </w:pPr>
      <w:r>
        <w:rPr>
          <w:noProof/>
        </w:rPr>
        <w:t>Savstarpējās palīdzības lūgumu izpilda pēc iespējas ātrāk un jebkurā gadījumā ne vēlāk kā 90 dienas pēc</w:t>
      </w:r>
      <w:r>
        <w:rPr>
          <w:noProof/>
        </w:rPr>
        <w:t xml:space="preserve"> šā panta 1. punktā minētā lēmuma pieņemšanas vai pēc tam, kad notikusi apspriešanās, kas minēta </w:t>
      </w:r>
      <w:r>
        <w:rPr>
          <w:noProof/>
          <w:u w:color="000000"/>
        </w:rPr>
        <w:t>LAW.MUTAS 116. panta [Nosacījumi savstarpējas palīdzības lūgumam] 2. punktā</w:t>
      </w:r>
      <w:r>
        <w:rPr>
          <w:noProof/>
        </w:rPr>
        <w:t>.</w:t>
      </w:r>
    </w:p>
    <w:p w:rsidR="003E022D" w:rsidRDefault="007D19D6">
      <w:pPr>
        <w:numPr>
          <w:ilvl w:val="0"/>
          <w:numId w:val="149"/>
        </w:numPr>
        <w:ind w:left="0" w:firstLine="0"/>
        <w:rPr>
          <w:rFonts w:cstheme="minorHAnsi"/>
          <w:noProof/>
        </w:rPr>
      </w:pPr>
      <w:r>
        <w:rPr>
          <w:noProof/>
        </w:rPr>
        <w:t xml:space="preserve">Ja savstarpējās palīdzības lūgumā ir norādīts, ka procesuālo termiņu, nodarījuma </w:t>
      </w:r>
      <w:r>
        <w:rPr>
          <w:noProof/>
        </w:rPr>
        <w:t>smaguma vai citu īpaši steidzamu apstākļu dēļ ir vajadzīgs īsāks termiņš nekā 1. vai 2. punktā paredzētie, vai ja ir norādīts, ka savstarpējās palīdzības pasākums jāveic konkrētā dienā, tad lūguma saņēmēja valsts, cik vien iespējams, ievēro šādu lūgumu.</w:t>
      </w:r>
    </w:p>
    <w:p w:rsidR="003E022D" w:rsidRDefault="007D19D6">
      <w:pPr>
        <w:numPr>
          <w:ilvl w:val="0"/>
          <w:numId w:val="149"/>
        </w:numPr>
        <w:ind w:left="0" w:firstLine="0"/>
        <w:rPr>
          <w:rFonts w:cstheme="minorHAnsi"/>
          <w:noProof/>
        </w:rPr>
      </w:pPr>
      <w:r>
        <w:rPr>
          <w:noProof/>
        </w:rPr>
        <w:t>Ja</w:t>
      </w:r>
      <w:r>
        <w:rPr>
          <w:noProof/>
        </w:rPr>
        <w:t xml:space="preserve"> savstarpējās palīdzības lūgums ir iesniegts, lai pieņemtu pagaidu pasākumus saskaņā ar Eiropas Savstarpējās palīdzības konvencijas Otrā papildprotokola 24. pantu, lūguma saņēmējas valsts kompetentā iestāde pieņem lēmumu par pagaidu pasākumu un paziņo minē</w:t>
      </w:r>
      <w:r>
        <w:rPr>
          <w:noProof/>
        </w:rPr>
        <w:t>to lēmumu pieprasītājas valsts kompetentajai iestādei iespējami drīz pēc lūguma saņemšanas.</w:t>
      </w:r>
      <w:r>
        <w:rPr>
          <w:noProof/>
          <w:color w:val="000000"/>
        </w:rPr>
        <w:t xml:space="preserve"> </w:t>
      </w:r>
      <w:r>
        <w:rPr>
          <w:noProof/>
        </w:rPr>
        <w:t>Pirms atcelt jebkādus pagaidu pasākumus, kas veikti saskaņā ar šo pantu, lūguma saņēmējas valsts kompetentā iestāde, kad vien iespējams, dod pieprasītājas valsts ko</w:t>
      </w:r>
      <w:r>
        <w:rPr>
          <w:noProof/>
        </w:rPr>
        <w:t>mpetentajai iestādei iespēju izklāstīt tās pamatojumu pasākuma turpināšanai.</w:t>
      </w:r>
    </w:p>
    <w:p w:rsidR="003E022D" w:rsidRDefault="007D19D6">
      <w:pPr>
        <w:numPr>
          <w:ilvl w:val="0"/>
          <w:numId w:val="149"/>
        </w:numPr>
        <w:ind w:left="0" w:firstLine="0"/>
        <w:rPr>
          <w:rFonts w:cstheme="minorHAnsi"/>
          <w:noProof/>
        </w:rPr>
      </w:pPr>
      <w:r>
        <w:rPr>
          <w:noProof/>
        </w:rPr>
        <w:t xml:space="preserve">Ja konkrētā gadījumā nav iespējams ievērot 1., 2. vai 3. punktā noteiktos konkrētos termiņus vai 3. punktā noteikto konkrēto datumu, vai ja kavējas lēmuma par pagaidu pasākumu </w:t>
      </w:r>
      <w:r>
        <w:rPr>
          <w:noProof/>
        </w:rPr>
        <w:t xml:space="preserve">veikšanu saskaņā ar 4. punktu pieņemšana, lūguma saņēmējas valsts kompetentā iestāde nekavējoties un izmantojot jebkādus pieejamos līdzekļus informē pieprasītājas valsts kompetento iestādi, norādot kavēšanās iemeslus, un apspriežas ar pieprasītājas valsts </w:t>
      </w:r>
      <w:r>
        <w:rPr>
          <w:noProof/>
        </w:rPr>
        <w:t>kompetento iestādi par piemērotu termiņu savstarpējās palīdzības lūguma izpildei.</w:t>
      </w:r>
    </w:p>
    <w:p w:rsidR="003E022D" w:rsidRDefault="007D19D6">
      <w:pPr>
        <w:numPr>
          <w:ilvl w:val="0"/>
          <w:numId w:val="149"/>
        </w:numPr>
        <w:ind w:left="0" w:firstLine="0"/>
        <w:rPr>
          <w:rFonts w:cstheme="minorHAnsi"/>
          <w:noProof/>
          <w:color w:val="000000"/>
        </w:rPr>
      </w:pPr>
      <w:bookmarkStart w:id="796" w:name="_Hlk57201041"/>
      <w:r>
        <w:rPr>
          <w:noProof/>
        </w:rPr>
        <w:t>Šajā pantā minētos termiņus nepiemēro, ja savstarpējās palīdzības lūgums ir iesniegts saistībā ar jebkuru no turpmāk minētajiem nodarījumiem un pārkāpumiem, kuri ietilpst Eir</w:t>
      </w:r>
      <w:r>
        <w:rPr>
          <w:noProof/>
        </w:rPr>
        <w:t>opas Savstarpējās palīdzības konvencijas un tās protokolu darbības jomā, kā tas definēts pieprasītājas valsts tiesību aktos:</w:t>
      </w:r>
    </w:p>
    <w:bookmarkEnd w:id="796"/>
    <w:p w:rsidR="003E022D" w:rsidRDefault="007D19D6">
      <w:pPr>
        <w:numPr>
          <w:ilvl w:val="1"/>
          <w:numId w:val="156"/>
        </w:numPr>
        <w:ind w:left="567" w:hanging="567"/>
        <w:rPr>
          <w:noProof/>
        </w:rPr>
      </w:pPr>
      <w:r>
        <w:rPr>
          <w:noProof/>
        </w:rPr>
        <w:t>atļautā braukšanas ātruma pārsniegšana, ja tās rezultātā nav nodarīts kaitējums citai personai vai iestājusies tās nāve, un ja ātru</w:t>
      </w:r>
      <w:r>
        <w:rPr>
          <w:noProof/>
        </w:rPr>
        <w:t>ma pārsniegšana nav bijusi būtiska;</w:t>
      </w:r>
    </w:p>
    <w:p w:rsidR="003E022D" w:rsidRDefault="007D19D6">
      <w:pPr>
        <w:numPr>
          <w:ilvl w:val="1"/>
          <w:numId w:val="156"/>
        </w:numPr>
        <w:ind w:left="567" w:hanging="567"/>
        <w:rPr>
          <w:noProof/>
        </w:rPr>
      </w:pPr>
      <w:r>
        <w:rPr>
          <w:noProof/>
        </w:rPr>
        <w:t>drošības jostas nelietošana;</w:t>
      </w:r>
    </w:p>
    <w:p w:rsidR="003E022D" w:rsidRDefault="007D19D6">
      <w:pPr>
        <w:numPr>
          <w:ilvl w:val="1"/>
          <w:numId w:val="156"/>
        </w:numPr>
        <w:ind w:left="567" w:hanging="567"/>
        <w:rPr>
          <w:noProof/>
        </w:rPr>
      </w:pPr>
      <w:r>
        <w:rPr>
          <w:noProof/>
        </w:rPr>
        <w:t>sarkanā gaismas signāla vai cita obligāta apstāšanās signāla neievērošana;</w:t>
      </w:r>
    </w:p>
    <w:p w:rsidR="003E022D" w:rsidRDefault="007D19D6">
      <w:pPr>
        <w:numPr>
          <w:ilvl w:val="1"/>
          <w:numId w:val="156"/>
        </w:numPr>
        <w:ind w:left="567" w:hanging="567"/>
        <w:rPr>
          <w:noProof/>
        </w:rPr>
      </w:pPr>
      <w:r>
        <w:rPr>
          <w:noProof/>
        </w:rPr>
        <w:t xml:space="preserve">aizsargķiveres nelietošana; vai </w:t>
      </w:r>
    </w:p>
    <w:p w:rsidR="003E022D" w:rsidRDefault="007D19D6">
      <w:pPr>
        <w:numPr>
          <w:ilvl w:val="1"/>
          <w:numId w:val="156"/>
        </w:numPr>
        <w:ind w:left="567" w:hanging="567"/>
        <w:rPr>
          <w:rFonts w:cstheme="minorHAnsi"/>
          <w:noProof/>
        </w:rPr>
      </w:pPr>
      <w:r>
        <w:rPr>
          <w:noProof/>
        </w:rPr>
        <w:t xml:space="preserve">braukšanas joslas neatļauta izmantošana (piemēram, avārijas joslas, sabiedriskajam </w:t>
      </w:r>
      <w:r>
        <w:rPr>
          <w:noProof/>
        </w:rPr>
        <w:t>transportam paredzētas joslas vai ceļu darbiem slēgtas joslas neatļauta izmantošana).</w:t>
      </w:r>
    </w:p>
    <w:p w:rsidR="003E022D" w:rsidRDefault="007D19D6">
      <w:pPr>
        <w:numPr>
          <w:ilvl w:val="0"/>
          <w:numId w:val="149"/>
        </w:numPr>
        <w:ind w:left="0" w:firstLine="0"/>
        <w:rPr>
          <w:rFonts w:cstheme="minorHAnsi"/>
          <w:noProof/>
        </w:rPr>
      </w:pPr>
      <w:r>
        <w:rPr>
          <w:noProof/>
          <w:color w:val="000000"/>
        </w:rPr>
        <w:t xml:space="preserve">Specializētā komiteja tiesībaizsardzības un tiesu iestāžu sadarbības jomā nodrošina 6. punkta darbības pārskatīšanu. </w:t>
      </w:r>
      <w:r>
        <w:rPr>
          <w:noProof/>
        </w:rPr>
        <w:t>Tai trīs gadu laikā pēc šā nolīguma stāšanās spēkā ir</w:t>
      </w:r>
      <w:r>
        <w:rPr>
          <w:noProof/>
        </w:rPr>
        <w:t xml:space="preserve"> jānosaka termiņi lūgumiem, uz kuriem attiecas 6. punkts, ņemot vērā lūgumu daudzumu.</w:t>
      </w:r>
      <w:r>
        <w:rPr>
          <w:noProof/>
          <w:color w:val="000000"/>
        </w:rPr>
        <w:t xml:space="preserve"> Tā var arī pieņemt lēmumu par to, ka 6. punktu vairs nepiemēro.</w:t>
      </w:r>
    </w:p>
    <w:p w:rsidR="003E022D" w:rsidRDefault="007D19D6">
      <w:pPr>
        <w:pStyle w:val="Article"/>
        <w:rPr>
          <w:noProof/>
        </w:rPr>
      </w:pPr>
      <w:bookmarkStart w:id="797" w:name="_Toc58920332"/>
      <w:r>
        <w:rPr>
          <w:noProof/>
        </w:rPr>
        <w:t>LAW.MUTAS.121. pants. Savstarpējās palīdzības pieprasījumu nodošana</w:t>
      </w:r>
      <w:bookmarkEnd w:id="797"/>
    </w:p>
    <w:p w:rsidR="003E022D" w:rsidRDefault="007D19D6">
      <w:pPr>
        <w:numPr>
          <w:ilvl w:val="0"/>
          <w:numId w:val="152"/>
        </w:numPr>
        <w:ind w:left="0" w:firstLine="0"/>
        <w:rPr>
          <w:rFonts w:cstheme="minorHAnsi"/>
          <w:noProof/>
          <w:color w:val="000000"/>
        </w:rPr>
      </w:pPr>
      <w:r>
        <w:rPr>
          <w:noProof/>
          <w:color w:val="000000"/>
        </w:rPr>
        <w:t>Papildus Eiropas Savstarpējās palīdzīb</w:t>
      </w:r>
      <w:r>
        <w:rPr>
          <w:noProof/>
          <w:color w:val="000000"/>
        </w:rPr>
        <w:t>as konvencijā un tās protokolos minētajiem saziņas kanāliem, ja to noteikumos ir paredzēta tieša nosūtīšana, prokurori Apvienotajā Karalistē savstarpējās palīdzības lūgumus var arī tieši nosūtīt dalībvalstu kompetentajām iestādēm.</w:t>
      </w:r>
    </w:p>
    <w:p w:rsidR="003E022D" w:rsidRDefault="007D19D6">
      <w:pPr>
        <w:numPr>
          <w:ilvl w:val="0"/>
          <w:numId w:val="152"/>
        </w:numPr>
        <w:ind w:left="0" w:firstLine="0"/>
        <w:rPr>
          <w:rFonts w:cstheme="minorHAnsi"/>
          <w:noProof/>
          <w:color w:val="000000"/>
        </w:rPr>
      </w:pPr>
      <w:r>
        <w:rPr>
          <w:noProof/>
          <w:color w:val="000000"/>
        </w:rPr>
        <w:t>Papildus Eiropas Savstarp</w:t>
      </w:r>
      <w:r>
        <w:rPr>
          <w:noProof/>
          <w:color w:val="000000"/>
        </w:rPr>
        <w:t xml:space="preserve">ējās palīdzības konvencijā un tās protokolos minētajiem saziņas kanāliem, steidzamos gadījumos jebkuru savstarpējas tiesiskās palīdzības lūgumu, kā arī spontānu informāciju var nosūtīt ar Eiropola vai </w:t>
      </w:r>
      <w:r>
        <w:rPr>
          <w:i/>
          <w:noProof/>
          <w:color w:val="000000"/>
        </w:rPr>
        <w:t>Eurojust</w:t>
      </w:r>
      <w:r>
        <w:rPr>
          <w:noProof/>
          <w:color w:val="000000"/>
        </w:rPr>
        <w:t xml:space="preserve"> starpniecību saskaņā ar šā nolīguma attiecīgo </w:t>
      </w:r>
      <w:r>
        <w:rPr>
          <w:noProof/>
          <w:color w:val="000000"/>
        </w:rPr>
        <w:t>sadaļu noteikumiem.</w:t>
      </w:r>
    </w:p>
    <w:p w:rsidR="003E022D" w:rsidRDefault="007D19D6">
      <w:pPr>
        <w:pStyle w:val="Article"/>
        <w:rPr>
          <w:noProof/>
        </w:rPr>
      </w:pPr>
      <w:bookmarkStart w:id="798" w:name="_Toc58920333"/>
      <w:r>
        <w:rPr>
          <w:noProof/>
        </w:rPr>
        <w:t>LAW.MUTAS.122. pants. Kopējas izmeklēšanas grupas</w:t>
      </w:r>
      <w:bookmarkEnd w:id="798"/>
    </w:p>
    <w:p w:rsidR="003E022D" w:rsidRDefault="007D19D6">
      <w:pPr>
        <w:rPr>
          <w:rFonts w:cstheme="minorHAnsi"/>
          <w:noProof/>
        </w:rPr>
      </w:pPr>
      <w:r>
        <w:rPr>
          <w:noProof/>
          <w:color w:val="000000"/>
        </w:rPr>
        <w:t xml:space="preserve">Ja valstu kompetentās iestādes izveido kopēju izmeklēšanas grupu, attiecības starp dalībvalstīm kopējā izmeklēšanas grupā reglamentē Savienības tiesības, neatkarīgi no juridiskā pamata, </w:t>
      </w:r>
      <w:r>
        <w:rPr>
          <w:noProof/>
          <w:color w:val="000000"/>
        </w:rPr>
        <w:t>kas minēts Nolīgumā par kopējas izmeklēšanas grupas izveidi</w:t>
      </w:r>
      <w:r>
        <w:rPr>
          <w:noProof/>
        </w:rPr>
        <w:t>.</w:t>
      </w:r>
    </w:p>
    <w:p w:rsidR="003E022D" w:rsidRDefault="007D19D6">
      <w:pPr>
        <w:pStyle w:val="Title1"/>
        <w:rPr>
          <w:noProof/>
        </w:rPr>
      </w:pPr>
      <w:bookmarkStart w:id="799" w:name="_Toc57809463"/>
      <w:bookmarkStart w:id="800" w:name="_Toc58920334"/>
      <w:bookmarkStart w:id="801" w:name="_Toc58949203"/>
      <w:bookmarkStart w:id="802" w:name="_Toc59472718"/>
      <w:bookmarkStart w:id="803" w:name="_Toc59988370"/>
      <w:r>
        <w:rPr>
          <w:noProof/>
        </w:rPr>
        <w:t>IX sadaļa. Apmaiņa ar informāciju no sodāmības reģistra</w:t>
      </w:r>
      <w:bookmarkEnd w:id="799"/>
      <w:bookmarkEnd w:id="800"/>
      <w:bookmarkEnd w:id="801"/>
      <w:bookmarkEnd w:id="802"/>
      <w:bookmarkEnd w:id="803"/>
    </w:p>
    <w:p w:rsidR="003E022D" w:rsidRDefault="007D19D6">
      <w:pPr>
        <w:pStyle w:val="Article"/>
        <w:rPr>
          <w:noProof/>
        </w:rPr>
      </w:pPr>
      <w:bookmarkStart w:id="804" w:name="_Toc58920335"/>
      <w:r>
        <w:rPr>
          <w:noProof/>
        </w:rPr>
        <w:t>LAW.EXINF.120. pants. Mērķis</w:t>
      </w:r>
      <w:bookmarkEnd w:id="804"/>
      <w:r>
        <w:rPr>
          <w:noProof/>
        </w:rPr>
        <w:t xml:space="preserve"> </w:t>
      </w:r>
    </w:p>
    <w:p w:rsidR="003E022D" w:rsidRDefault="007D19D6">
      <w:pPr>
        <w:numPr>
          <w:ilvl w:val="0"/>
          <w:numId w:val="162"/>
        </w:numPr>
        <w:ind w:left="0" w:firstLine="0"/>
        <w:rPr>
          <w:rFonts w:cstheme="minorHAnsi"/>
          <w:noProof/>
          <w:color w:val="000000"/>
        </w:rPr>
      </w:pPr>
      <w:r>
        <w:rPr>
          <w:noProof/>
        </w:rPr>
        <w:t>Šīs sadaļas mērķis ir nodrošināt no sodāmības reģistra izgūtas informācijas apmaiņu starp dalībvalstīm, no vi</w:t>
      </w:r>
      <w:r>
        <w:rPr>
          <w:noProof/>
        </w:rPr>
        <w:t>enas puses, un Apvienoto Karalisti, no otras puses.</w:t>
      </w:r>
      <w:r>
        <w:rPr>
          <w:noProof/>
          <w:color w:val="000000"/>
        </w:rPr>
        <w:t xml:space="preserve"> </w:t>
      </w:r>
    </w:p>
    <w:p w:rsidR="003E022D" w:rsidRDefault="007D19D6">
      <w:pPr>
        <w:numPr>
          <w:ilvl w:val="0"/>
          <w:numId w:val="162"/>
        </w:numPr>
        <w:ind w:left="0" w:firstLine="0"/>
        <w:rPr>
          <w:rFonts w:cstheme="minorHAnsi"/>
          <w:noProof/>
          <w:color w:val="000000"/>
        </w:rPr>
      </w:pPr>
      <w:r>
        <w:rPr>
          <w:noProof/>
          <w:color w:val="000000"/>
        </w:rPr>
        <w:t>Attiecībās starp Apvienoto Karalisti un dalībvalstīm šīs sadaļas noteikumi:</w:t>
      </w:r>
    </w:p>
    <w:p w:rsidR="003E022D" w:rsidRDefault="007D19D6">
      <w:pPr>
        <w:numPr>
          <w:ilvl w:val="0"/>
          <w:numId w:val="159"/>
        </w:numPr>
        <w:ind w:left="567" w:hanging="567"/>
        <w:rPr>
          <w:noProof/>
        </w:rPr>
      </w:pPr>
      <w:r>
        <w:rPr>
          <w:noProof/>
        </w:rPr>
        <w:t>papildina Eiropas Konvencijas par savstarpējo palīdzību krimināllietās 13. pantu un 22. panta 2. punktu un tās 1978. gada 17. m</w:t>
      </w:r>
      <w:r>
        <w:rPr>
          <w:noProof/>
        </w:rPr>
        <w:t>arta un 2001. gada 8. novembra papildu protokolus; un</w:t>
      </w:r>
    </w:p>
    <w:p w:rsidR="003E022D" w:rsidRDefault="007D19D6">
      <w:pPr>
        <w:numPr>
          <w:ilvl w:val="0"/>
          <w:numId w:val="159"/>
        </w:numPr>
        <w:ind w:left="567" w:hanging="567"/>
        <w:rPr>
          <w:rFonts w:cstheme="minorHAnsi"/>
          <w:noProof/>
          <w:color w:val="000000"/>
        </w:rPr>
      </w:pPr>
      <w:r>
        <w:rPr>
          <w:noProof/>
        </w:rPr>
        <w:t>aizstāj Eiropas Konvencijas par savstarpējo palīdzību krimināllietās 22. panta 1. punktu, kas papildināts ar 1978. gada 17. marta papildu protokola 4. pantu.</w:t>
      </w:r>
      <w:r>
        <w:rPr>
          <w:noProof/>
          <w:color w:val="000000"/>
        </w:rPr>
        <w:t xml:space="preserve"> </w:t>
      </w:r>
    </w:p>
    <w:p w:rsidR="003E022D" w:rsidRDefault="007D19D6">
      <w:pPr>
        <w:numPr>
          <w:ilvl w:val="0"/>
          <w:numId w:val="162"/>
        </w:numPr>
        <w:ind w:left="0" w:firstLine="0"/>
        <w:rPr>
          <w:rFonts w:cstheme="minorHAnsi"/>
          <w:noProof/>
          <w:color w:val="000000"/>
        </w:rPr>
      </w:pPr>
      <w:r>
        <w:rPr>
          <w:noProof/>
          <w:color w:val="000000"/>
        </w:rPr>
        <w:t>Attiecībās starp vienu dalībvalstis, no vie</w:t>
      </w:r>
      <w:r>
        <w:rPr>
          <w:noProof/>
          <w:color w:val="000000"/>
        </w:rPr>
        <w:t>nas puses, un Apvienoto Karalisti, no otras puses, katra puse atsakās no tiesībām izmantot savas atrunas attiecībā uz Eiropas Konvencijas par savstarpējo palīdzību krimināllietās 13. pantu un tās 1978. gada 17. marta Papildu protokola 4. pantu.</w:t>
      </w:r>
    </w:p>
    <w:p w:rsidR="003E022D" w:rsidRDefault="007D19D6">
      <w:pPr>
        <w:pStyle w:val="Article"/>
        <w:rPr>
          <w:noProof/>
        </w:rPr>
      </w:pPr>
      <w:bookmarkStart w:id="805" w:name="_Toc58920336"/>
      <w:r>
        <w:rPr>
          <w:noProof/>
        </w:rPr>
        <w:t>LAW.EXINF.1</w:t>
      </w:r>
      <w:r>
        <w:rPr>
          <w:noProof/>
        </w:rPr>
        <w:t>21. pants. Definīcijas</w:t>
      </w:r>
      <w:bookmarkEnd w:id="805"/>
    </w:p>
    <w:p w:rsidR="003E022D" w:rsidRDefault="007D19D6">
      <w:pPr>
        <w:rPr>
          <w:rFonts w:cstheme="minorHAnsi"/>
          <w:noProof/>
        </w:rPr>
      </w:pPr>
      <w:r>
        <w:rPr>
          <w:noProof/>
        </w:rPr>
        <w:t>Šajā sadaļā piemēro šādas definīcijas:</w:t>
      </w:r>
    </w:p>
    <w:p w:rsidR="003E022D" w:rsidRDefault="007D19D6">
      <w:pPr>
        <w:numPr>
          <w:ilvl w:val="0"/>
          <w:numId w:val="165"/>
        </w:numPr>
        <w:ind w:left="567" w:hanging="567"/>
        <w:rPr>
          <w:noProof/>
        </w:rPr>
      </w:pPr>
      <w:r>
        <w:rPr>
          <w:noProof/>
        </w:rPr>
        <w:t xml:space="preserve">“notiesājošs spriedums” ir jebkurš krimināltiesas pieņemts galīgs lēmums, ar ko fizisku personu notiesā par noziedzīgu nodarījumu, ciktāl šāds lēmums ir iekļauts notiesāšanas valsts sodāmības reģistrā; </w:t>
      </w:r>
    </w:p>
    <w:p w:rsidR="003E022D" w:rsidRDefault="007D19D6">
      <w:pPr>
        <w:numPr>
          <w:ilvl w:val="0"/>
          <w:numId w:val="165"/>
        </w:numPr>
        <w:ind w:left="567" w:hanging="567"/>
        <w:rPr>
          <w:noProof/>
        </w:rPr>
      </w:pPr>
      <w:r>
        <w:rPr>
          <w:noProof/>
        </w:rPr>
        <w:t>“kriminālprocess” ir pirmstiesas stadija, tiesas stad</w:t>
      </w:r>
      <w:r>
        <w:rPr>
          <w:noProof/>
        </w:rPr>
        <w:t xml:space="preserve">ija un notiesājošā sprieduma izpilde; </w:t>
      </w:r>
    </w:p>
    <w:p w:rsidR="003E022D" w:rsidRDefault="007D19D6">
      <w:pPr>
        <w:numPr>
          <w:ilvl w:val="0"/>
          <w:numId w:val="165"/>
        </w:numPr>
        <w:ind w:left="567" w:hanging="567"/>
        <w:rPr>
          <w:rFonts w:cstheme="minorHAnsi"/>
          <w:noProof/>
          <w:color w:val="000000"/>
        </w:rPr>
      </w:pPr>
      <w:r>
        <w:rPr>
          <w:noProof/>
        </w:rPr>
        <w:t>„sodāmības reģistrs” ir iekšzemes reģistrs vai valsts reģistri, kuros apkopotas sodāmības saskaņā ar valsts tiesību aktiem.</w:t>
      </w:r>
      <w:r>
        <w:rPr>
          <w:strike/>
          <w:noProof/>
          <w:color w:val="000000"/>
        </w:rPr>
        <w:t xml:space="preserve"> </w:t>
      </w:r>
    </w:p>
    <w:p w:rsidR="003E022D" w:rsidRDefault="007D19D6">
      <w:pPr>
        <w:pStyle w:val="Article"/>
        <w:rPr>
          <w:noProof/>
        </w:rPr>
      </w:pPr>
      <w:bookmarkStart w:id="806" w:name="_Toc58920337"/>
      <w:bookmarkStart w:id="807" w:name="_Hlk57119244"/>
      <w:r>
        <w:rPr>
          <w:noProof/>
        </w:rPr>
        <w:t>LAW.EXINF.122. pants. Centrālās iestādes</w:t>
      </w:r>
      <w:bookmarkEnd w:id="806"/>
    </w:p>
    <w:p w:rsidR="003E022D" w:rsidRDefault="007D19D6">
      <w:pPr>
        <w:rPr>
          <w:rFonts w:cstheme="minorHAnsi"/>
          <w:noProof/>
          <w:color w:val="000000"/>
        </w:rPr>
      </w:pPr>
      <w:r>
        <w:rPr>
          <w:noProof/>
        </w:rPr>
        <w:t xml:space="preserve">Katra valsts izraugās vienu vai vairākas centrālās </w:t>
      </w:r>
      <w:r>
        <w:rPr>
          <w:noProof/>
        </w:rPr>
        <w:t>iestādes, kas ir kompetentas apmainīties ar informāciju, kura ir izgūta no sodāmības reģistra saskaņā ar šo sadaļu, un par apmaiņu, kas minēta Eiropas Konvencijas par savstarpējo palīdzību krimināllietās 22. panta 2. punktā.</w:t>
      </w:r>
    </w:p>
    <w:p w:rsidR="003E022D" w:rsidRDefault="007D19D6">
      <w:pPr>
        <w:pStyle w:val="Article"/>
        <w:rPr>
          <w:noProof/>
        </w:rPr>
      </w:pPr>
      <w:bookmarkStart w:id="808" w:name="_Toc58920338"/>
      <w:bookmarkEnd w:id="807"/>
      <w:r>
        <w:rPr>
          <w:noProof/>
        </w:rPr>
        <w:t>LAW.EXINF.123. pants. Paziņojum</w:t>
      </w:r>
      <w:r>
        <w:rPr>
          <w:noProof/>
        </w:rPr>
        <w:t>i</w:t>
      </w:r>
      <w:bookmarkEnd w:id="808"/>
    </w:p>
    <w:p w:rsidR="003E022D" w:rsidRDefault="007D19D6">
      <w:pPr>
        <w:numPr>
          <w:ilvl w:val="0"/>
          <w:numId w:val="164"/>
        </w:numPr>
        <w:ind w:left="0" w:firstLine="0"/>
        <w:rPr>
          <w:rFonts w:cstheme="minorHAnsi"/>
          <w:noProof/>
        </w:rPr>
      </w:pPr>
      <w:r>
        <w:rPr>
          <w:noProof/>
        </w:rPr>
        <w:t>Katra valsts veic vajadzīgos pasākumus, lai nodrošinātu to, ka, sniedzot informāciju attiecīgas valsts sodāmības reģistram, informācijai par visiem tās teritorijā pasludinātajiem notiesājošiem spriedumiem ir pievienota informācija par notiesātās personas</w:t>
      </w:r>
      <w:r>
        <w:rPr>
          <w:noProof/>
        </w:rPr>
        <w:t xml:space="preserve"> valstspiederību vai valstspiederībām, ja minētā persona ir kādas citas valsts valstspiederīgais.</w:t>
      </w:r>
    </w:p>
    <w:p w:rsidR="003E022D" w:rsidRDefault="007D19D6">
      <w:pPr>
        <w:numPr>
          <w:ilvl w:val="0"/>
          <w:numId w:val="164"/>
        </w:numPr>
        <w:ind w:left="0" w:firstLine="0"/>
        <w:rPr>
          <w:rFonts w:cstheme="minorHAnsi"/>
          <w:noProof/>
        </w:rPr>
      </w:pPr>
      <w:r>
        <w:rPr>
          <w:noProof/>
        </w:rPr>
        <w:t>Katras valsts centrālā iestāde informē jebkuras citas valsts centrālo iestādi par visiem tās teritorijā pasludinātajiem notiesājošiem spriedumiem attiecībā un</w:t>
      </w:r>
      <w:r>
        <w:rPr>
          <w:noProof/>
        </w:rPr>
        <w:t xml:space="preserve"> minētās citas valsts valstspiederīgajiem, kā arī par visiem turpmākajiem sodāmības reģistrā iekļautās informācijas grozījumiem vai dzēšanu, kas veikta sodāmības reģistrā.</w:t>
      </w:r>
      <w:r>
        <w:rPr>
          <w:noProof/>
          <w:color w:val="000000"/>
        </w:rPr>
        <w:t xml:space="preserve"> </w:t>
      </w:r>
      <w:r>
        <w:rPr>
          <w:noProof/>
        </w:rPr>
        <w:t xml:space="preserve">Valsts centrālās iestādes šādu informāciju paziņo viena otrai vismaz reizi mēnesī. </w:t>
      </w:r>
    </w:p>
    <w:p w:rsidR="003E022D" w:rsidRDefault="007D19D6">
      <w:pPr>
        <w:numPr>
          <w:ilvl w:val="0"/>
          <w:numId w:val="164"/>
        </w:numPr>
        <w:ind w:left="0" w:firstLine="0"/>
        <w:rPr>
          <w:rFonts w:cstheme="minorHAnsi"/>
          <w:noProof/>
          <w:color w:val="000000"/>
        </w:rPr>
      </w:pPr>
      <w:r>
        <w:rPr>
          <w:noProof/>
        </w:rPr>
        <w:t>Ja valsts centrālajai iestādei kļūst zināms fakts, ka notiesātai personai ir divu vai vairāku citu valstu valstspiederība, tā attiecīgo informāciju nosūta katrai no šīm valstīm pat tad, ja notiesātā persona ir tās valsts valstspiederīgais, kuras teritorijā</w:t>
      </w:r>
      <w:r>
        <w:rPr>
          <w:noProof/>
        </w:rPr>
        <w:t xml:space="preserve"> tā tika notiesāta.</w:t>
      </w:r>
    </w:p>
    <w:p w:rsidR="003E022D" w:rsidRDefault="007D19D6">
      <w:pPr>
        <w:pStyle w:val="Article"/>
        <w:rPr>
          <w:noProof/>
        </w:rPr>
      </w:pPr>
      <w:bookmarkStart w:id="809" w:name="_Toc58920339"/>
      <w:r>
        <w:rPr>
          <w:noProof/>
        </w:rPr>
        <w:t>LAW.EXINF.124. pants. Notiesājošu spriedumu glabāšana</w:t>
      </w:r>
      <w:bookmarkEnd w:id="809"/>
      <w:r>
        <w:rPr>
          <w:noProof/>
        </w:rPr>
        <w:t xml:space="preserve"> </w:t>
      </w:r>
    </w:p>
    <w:p w:rsidR="003E022D" w:rsidRDefault="007D19D6">
      <w:pPr>
        <w:numPr>
          <w:ilvl w:val="1"/>
          <w:numId w:val="160"/>
        </w:numPr>
        <w:ind w:left="0" w:firstLine="0"/>
        <w:rPr>
          <w:rFonts w:cstheme="minorHAnsi"/>
          <w:noProof/>
        </w:rPr>
      </w:pPr>
      <w:r>
        <w:rPr>
          <w:noProof/>
          <w:color w:val="000000"/>
        </w:rPr>
        <w:t xml:space="preserve">Katras valsts centrālā iestāde glabā visu informāciju, kas paziņota saskaņā ar </w:t>
      </w:r>
      <w:r>
        <w:rPr>
          <w:noProof/>
          <w:color w:val="000000"/>
          <w:u w:color="000000"/>
        </w:rPr>
        <w:t>LAW.EXINF.123. pantu [Paziņojumi]</w:t>
      </w:r>
      <w:r>
        <w:rPr>
          <w:noProof/>
          <w:color w:val="000000"/>
        </w:rPr>
        <w:t xml:space="preserve">. </w:t>
      </w:r>
    </w:p>
    <w:p w:rsidR="003E022D" w:rsidRDefault="007D19D6">
      <w:pPr>
        <w:numPr>
          <w:ilvl w:val="1"/>
          <w:numId w:val="160"/>
        </w:numPr>
        <w:ind w:left="0" w:firstLine="0"/>
        <w:rPr>
          <w:rFonts w:cstheme="minorHAnsi"/>
          <w:noProof/>
        </w:rPr>
      </w:pPr>
      <w:r>
        <w:rPr>
          <w:noProof/>
        </w:rPr>
        <w:t>Katras valsts centrālā iestāde nodrošina, ka gadījumā, kad atbilst</w:t>
      </w:r>
      <w:r>
        <w:rPr>
          <w:noProof/>
        </w:rPr>
        <w:t xml:space="preserve">oši </w:t>
      </w:r>
      <w:r>
        <w:rPr>
          <w:noProof/>
          <w:u w:color="000000"/>
        </w:rPr>
        <w:t>LAW.EXINF.123. panta [Paziņojumi] 2. punktam</w:t>
      </w:r>
      <w:r>
        <w:rPr>
          <w:noProof/>
        </w:rPr>
        <w:t xml:space="preserve"> tiek paziņots par turpmākiem grozījumiem vai dzēšanu, tiek veikti identiski grozījumi vai dzēšana informācijā, ko glabā saskaņā ar šā panta 1. punktu.</w:t>
      </w:r>
      <w:r>
        <w:rPr>
          <w:noProof/>
          <w:color w:val="000000"/>
        </w:rPr>
        <w:t xml:space="preserve"> </w:t>
      </w:r>
    </w:p>
    <w:p w:rsidR="003E022D" w:rsidRDefault="007D19D6">
      <w:pPr>
        <w:numPr>
          <w:ilvl w:val="1"/>
          <w:numId w:val="160"/>
        </w:numPr>
        <w:ind w:left="0" w:firstLine="0"/>
        <w:rPr>
          <w:rFonts w:cstheme="minorHAnsi"/>
          <w:noProof/>
        </w:rPr>
      </w:pPr>
      <w:r>
        <w:rPr>
          <w:noProof/>
        </w:rPr>
        <w:t xml:space="preserve">Katras valsts centrālā iestāde nodrošina, ka, atbildot </w:t>
      </w:r>
      <w:r>
        <w:rPr>
          <w:noProof/>
        </w:rPr>
        <w:t xml:space="preserve">uz lūgumiem, kas sniegti atbilstoši </w:t>
      </w:r>
      <w:r>
        <w:rPr>
          <w:noProof/>
          <w:u w:color="000000"/>
        </w:rPr>
        <w:t>LAW.EXINF.125. pantam [Informācijas lūgumi]</w:t>
      </w:r>
      <w:r>
        <w:rPr>
          <w:noProof/>
        </w:rPr>
        <w:t>, tiek sniegta tikai saskaņā ar šā panta 2. punktu atjaunināta informācija.</w:t>
      </w:r>
    </w:p>
    <w:p w:rsidR="003E022D" w:rsidRDefault="007D19D6">
      <w:pPr>
        <w:pStyle w:val="Article"/>
        <w:rPr>
          <w:noProof/>
        </w:rPr>
      </w:pPr>
      <w:bookmarkStart w:id="810" w:name="_Toc58920340"/>
      <w:r>
        <w:rPr>
          <w:noProof/>
        </w:rPr>
        <w:t>LAW.EXINF.125. pants. Informācijas lūgumi</w:t>
      </w:r>
      <w:bookmarkEnd w:id="810"/>
    </w:p>
    <w:p w:rsidR="003E022D" w:rsidRDefault="007D19D6">
      <w:pPr>
        <w:numPr>
          <w:ilvl w:val="0"/>
          <w:numId w:val="161"/>
        </w:numPr>
        <w:ind w:left="0" w:firstLine="0"/>
        <w:rPr>
          <w:rFonts w:cstheme="minorHAnsi"/>
          <w:noProof/>
        </w:rPr>
      </w:pPr>
      <w:r>
        <w:rPr>
          <w:noProof/>
        </w:rPr>
        <w:t>Ja informācija no kādas valsts sodāmības reģistra tiek lūgt</w:t>
      </w:r>
      <w:r>
        <w:rPr>
          <w:noProof/>
        </w:rPr>
        <w:t>a iekšzemes vajadzībām saistībā ar kriminālprocesu pret personu vai jebkādiem citiem mērķiem, kas nav kriminālprocess, minētās valsts centrālā iestāde var saskaņā ar tās iekšzemes tiesību aktiem iesniegt citas valsts centrālajai iestādei lūgumu sniegt info</w:t>
      </w:r>
      <w:r>
        <w:rPr>
          <w:noProof/>
        </w:rPr>
        <w:t>rmāciju un ar to saistītus datus no sodāmības reģistra.</w:t>
      </w:r>
    </w:p>
    <w:p w:rsidR="003E022D" w:rsidRDefault="007D19D6">
      <w:pPr>
        <w:numPr>
          <w:ilvl w:val="0"/>
          <w:numId w:val="161"/>
        </w:numPr>
        <w:ind w:left="0" w:firstLine="0"/>
        <w:rPr>
          <w:rFonts w:cstheme="minorHAnsi"/>
          <w:noProof/>
          <w:color w:val="000000"/>
        </w:rPr>
      </w:pPr>
      <w:r>
        <w:rPr>
          <w:noProof/>
        </w:rPr>
        <w:t>Ja persona lūdz informāciju par savu sodāmību tādas valsts centrālajai iestādei, kura nav šīs personas valstspiederības valsts, tad minētā centrālā iestāde iesniedz personas valstspiederības valstij a</w:t>
      </w:r>
      <w:r>
        <w:rPr>
          <w:noProof/>
        </w:rPr>
        <w:t>ttiecīgu lūgumu sniegt informāciju un ar to saistītus datus no sodāmības reģistra, lai minēto informāciju un ar to saistītos datus varētu iekļaut uzziņā, kas izdodama attiecīgajai personai.</w:t>
      </w:r>
      <w:r>
        <w:rPr>
          <w:noProof/>
          <w:color w:val="000000"/>
        </w:rPr>
        <w:t xml:space="preserve"> </w:t>
      </w:r>
    </w:p>
    <w:p w:rsidR="003E022D" w:rsidRDefault="007D19D6">
      <w:pPr>
        <w:pStyle w:val="Article"/>
        <w:rPr>
          <w:noProof/>
        </w:rPr>
      </w:pPr>
      <w:bookmarkStart w:id="811" w:name="_Toc58920341"/>
      <w:r>
        <w:rPr>
          <w:noProof/>
        </w:rPr>
        <w:t>LAW.EXINF.126. pants. Atbildes uz lūgumiem</w:t>
      </w:r>
      <w:bookmarkEnd w:id="811"/>
      <w:r>
        <w:rPr>
          <w:noProof/>
        </w:rPr>
        <w:t xml:space="preserve"> </w:t>
      </w:r>
    </w:p>
    <w:p w:rsidR="003E022D" w:rsidRDefault="007D19D6">
      <w:pPr>
        <w:numPr>
          <w:ilvl w:val="0"/>
          <w:numId w:val="163"/>
        </w:numPr>
        <w:ind w:left="0" w:firstLine="0"/>
        <w:rPr>
          <w:rFonts w:cstheme="minorHAnsi"/>
          <w:noProof/>
          <w:color w:val="000000"/>
        </w:rPr>
      </w:pPr>
      <w:r>
        <w:rPr>
          <w:noProof/>
        </w:rPr>
        <w:t>Atbildes uz Informāci</w:t>
      </w:r>
      <w:r>
        <w:rPr>
          <w:noProof/>
        </w:rPr>
        <w:t>jas lūgumiem lūguma saņēmējas valsts centrālā iestāde nosūta pieprasītājas valsts centrālajai iestādei cik drīz vien iespējams un jebkurā gadījumā 20 darba dienu laikā no lūguma saņemšanas dienas.</w:t>
      </w:r>
    </w:p>
    <w:p w:rsidR="003E022D" w:rsidRDefault="007D19D6">
      <w:pPr>
        <w:numPr>
          <w:ilvl w:val="0"/>
          <w:numId w:val="163"/>
        </w:numPr>
        <w:ind w:left="0" w:firstLine="0"/>
        <w:rPr>
          <w:rFonts w:cstheme="minorHAnsi"/>
          <w:noProof/>
          <w:color w:val="000000"/>
        </w:rPr>
      </w:pPr>
      <w:r>
        <w:rPr>
          <w:noProof/>
          <w:color w:val="000000"/>
        </w:rPr>
        <w:t xml:space="preserve">Katras valsts centrālā iestāde uz lūgumiem, kuri iesniegti </w:t>
      </w:r>
      <w:r>
        <w:rPr>
          <w:noProof/>
          <w:color w:val="000000"/>
        </w:rPr>
        <w:t>jebkādiem citiem mērķiem, kas nav kriminālprocess, atbild saskaņā ar tās iekšzemes tiesību aktiem.</w:t>
      </w:r>
    </w:p>
    <w:p w:rsidR="003E022D" w:rsidRDefault="007D19D6">
      <w:pPr>
        <w:numPr>
          <w:ilvl w:val="0"/>
          <w:numId w:val="163"/>
        </w:numPr>
        <w:ind w:left="0" w:firstLine="0"/>
        <w:rPr>
          <w:rFonts w:cstheme="minorHAnsi"/>
          <w:noProof/>
          <w:color w:val="000000"/>
        </w:rPr>
      </w:pPr>
      <w:r>
        <w:rPr>
          <w:noProof/>
          <w:color w:val="000000"/>
        </w:rPr>
        <w:t>Neatkarīgi no 2. punkta – sniedzot atbildi uz lūgumiem, kas iesniegti saistībā ar nolūku pieņemt darbā personu profesionālai vai organizētai brīvprātīgai dar</w:t>
      </w:r>
      <w:r>
        <w:rPr>
          <w:noProof/>
          <w:color w:val="000000"/>
        </w:rPr>
        <w:t>bībai, kurā ir tieša un regulāra saskarsme ar bērniem, valstis sniedz informāciju par sodāmību par nodarījumiem, kas saistīti ar bērnu seksuālu izmantošanu un seksuālu vardarbību pret bērniem, bērnu pornogrāfiju, uzmākšanos bērniem seksuālos nolūkos, ieska</w:t>
      </w:r>
      <w:r>
        <w:rPr>
          <w:noProof/>
          <w:color w:val="000000"/>
        </w:rPr>
        <w:t>itot kūdīšanu, atbalstīšanu un līdzdalību, vai mēģinājumu izdarīt kādu no minētajiem nodarījumiem, kā arī informāciju par jebkādu aizliegumu veikt darbības, kas ietver tiešu un regulāru saskarsmi ar bērniem, ja aizlieguma pamatā ir minētais notiesājošais s</w:t>
      </w:r>
      <w:r>
        <w:rPr>
          <w:noProof/>
          <w:color w:val="000000"/>
        </w:rPr>
        <w:t>priedums</w:t>
      </w:r>
      <w:r>
        <w:rPr>
          <w:noProof/>
        </w:rPr>
        <w:t>.</w:t>
      </w:r>
      <w:r>
        <w:rPr>
          <w:noProof/>
          <w:color w:val="000000"/>
        </w:rPr>
        <w:t xml:space="preserve"> </w:t>
      </w:r>
    </w:p>
    <w:p w:rsidR="003E022D" w:rsidRDefault="007D19D6">
      <w:pPr>
        <w:pStyle w:val="Article"/>
        <w:rPr>
          <w:noProof/>
        </w:rPr>
      </w:pPr>
      <w:bookmarkStart w:id="812" w:name="_Toc58920342"/>
      <w:r>
        <w:rPr>
          <w:noProof/>
        </w:rPr>
        <w:t>LAW.EXINF.127. pants. Saziņas kanāli</w:t>
      </w:r>
      <w:bookmarkEnd w:id="812"/>
    </w:p>
    <w:p w:rsidR="003E022D" w:rsidRDefault="007D19D6">
      <w:pPr>
        <w:rPr>
          <w:rFonts w:cstheme="minorHAnsi"/>
          <w:noProof/>
        </w:rPr>
      </w:pPr>
      <w:r>
        <w:rPr>
          <w:noProof/>
        </w:rPr>
        <w:t xml:space="preserve">No sodāmības reģistra izgūtas informācijas apmaiņa starp valstīm notiek elektroniski saskaņā ar tehniskajām un procedūras specifikācijām, kas izklāstītas </w:t>
      </w:r>
      <w:r>
        <w:rPr>
          <w:noProof/>
          <w:u w:color="000000"/>
        </w:rPr>
        <w:t>LAW-6. PIELIKUMĀ</w:t>
      </w:r>
      <w:r>
        <w:rPr>
          <w:noProof/>
        </w:rPr>
        <w:t>.</w:t>
      </w:r>
      <w:r>
        <w:rPr>
          <w:noProof/>
          <w:color w:val="0070C0"/>
        </w:rPr>
        <w:t xml:space="preserve"> </w:t>
      </w:r>
    </w:p>
    <w:p w:rsidR="003E022D" w:rsidRDefault="007D19D6">
      <w:pPr>
        <w:pStyle w:val="Article"/>
        <w:rPr>
          <w:noProof/>
        </w:rPr>
      </w:pPr>
      <w:bookmarkStart w:id="813" w:name="_Toc58920343"/>
      <w:r>
        <w:rPr>
          <w:noProof/>
        </w:rPr>
        <w:t>LAW.EXINF.128. pants. Personas datu</w:t>
      </w:r>
      <w:r>
        <w:rPr>
          <w:noProof/>
        </w:rPr>
        <w:t xml:space="preserve"> izmantošanas nosacījumi</w:t>
      </w:r>
      <w:bookmarkEnd w:id="813"/>
      <w:r>
        <w:rPr>
          <w:noProof/>
        </w:rPr>
        <w:t xml:space="preserve"> </w:t>
      </w:r>
    </w:p>
    <w:p w:rsidR="003E022D" w:rsidRDefault="007D19D6">
      <w:pPr>
        <w:numPr>
          <w:ilvl w:val="1"/>
          <w:numId w:val="157"/>
        </w:numPr>
        <w:ind w:left="0" w:firstLine="0"/>
        <w:rPr>
          <w:rFonts w:cstheme="minorHAnsi"/>
          <w:noProof/>
          <w:color w:val="000000"/>
        </w:rPr>
      </w:pPr>
      <w:r>
        <w:rPr>
          <w:noProof/>
        </w:rPr>
        <w:t xml:space="preserve">Katra valsts var izmantot personas datus, ko tā atbilstoši </w:t>
      </w:r>
      <w:r>
        <w:rPr>
          <w:noProof/>
          <w:u w:color="000000"/>
        </w:rPr>
        <w:t>LAW.EXINF.126. pantam [Atbildes uz lūgumiem]</w:t>
      </w:r>
      <w:r>
        <w:rPr>
          <w:noProof/>
        </w:rPr>
        <w:t xml:space="preserve"> saņēmusi kā atbildi uz savu lūgumu, var izmantot tikai tiem nolūkiem, kuriem dati pieprasīti.</w:t>
      </w:r>
      <w:r>
        <w:rPr>
          <w:noProof/>
          <w:color w:val="000000"/>
        </w:rPr>
        <w:t xml:space="preserve"> </w:t>
      </w:r>
    </w:p>
    <w:p w:rsidR="003E022D" w:rsidRDefault="007D19D6">
      <w:pPr>
        <w:numPr>
          <w:ilvl w:val="1"/>
          <w:numId w:val="157"/>
        </w:numPr>
        <w:ind w:left="0" w:firstLine="0"/>
        <w:rPr>
          <w:rFonts w:cstheme="minorHAnsi"/>
          <w:noProof/>
          <w:color w:val="000000"/>
        </w:rPr>
      </w:pPr>
      <w:r>
        <w:rPr>
          <w:noProof/>
        </w:rPr>
        <w:t>Ja informācija tika lūgta jebkā</w:t>
      </w:r>
      <w:r>
        <w:rPr>
          <w:noProof/>
        </w:rPr>
        <w:t>diem citiem mērķiem, kas nav kriminālprocess, atbilstoši LAW.EXINF.126. pantam [Atbildes uz lūgumiem] saņemtos personas datus pieprasītāja valsts drīkst izmantot saskaņā ar tās tiesību aktiem tikai, ievērojot lūguma saņēmējas valsts noteiktos ierobežojumus</w:t>
      </w:r>
      <w:r>
        <w:rPr>
          <w:noProof/>
        </w:rPr>
        <w:t xml:space="preserve">, ko tā norādījusi </w:t>
      </w:r>
      <w:r>
        <w:rPr>
          <w:noProof/>
          <w:u w:color="000000"/>
        </w:rPr>
        <w:t>LAW-6. PIELIKUMA 2. nodaļā</w:t>
      </w:r>
      <w:r>
        <w:rPr>
          <w:noProof/>
        </w:rPr>
        <w:t xml:space="preserve"> noteiktajā veidlapā.</w:t>
      </w:r>
    </w:p>
    <w:p w:rsidR="003E022D" w:rsidRDefault="007D19D6">
      <w:pPr>
        <w:numPr>
          <w:ilvl w:val="1"/>
          <w:numId w:val="157"/>
        </w:numPr>
        <w:ind w:left="0" w:firstLine="0"/>
        <w:rPr>
          <w:rFonts w:cstheme="minorHAnsi"/>
          <w:noProof/>
        </w:rPr>
      </w:pPr>
      <w:r>
        <w:rPr>
          <w:noProof/>
          <w:color w:val="000000"/>
        </w:rPr>
        <w:t xml:space="preserve">Neatkarīgi no šā panta 1. un 2. punkta personas datus, ko valsts sniegusi, atbildot uz pieprasījumu saskaņā ar </w:t>
      </w:r>
      <w:r>
        <w:rPr>
          <w:noProof/>
          <w:color w:val="000000"/>
          <w:u w:color="000000"/>
        </w:rPr>
        <w:t>LAW.EXINF.126. pantu [Atbildes uz lūgumiem]</w:t>
      </w:r>
      <w:r>
        <w:rPr>
          <w:noProof/>
          <w:color w:val="000000"/>
        </w:rPr>
        <w:t>, pieprasījuma iesniedzēja valsts v</w:t>
      </w:r>
      <w:r>
        <w:rPr>
          <w:noProof/>
          <w:color w:val="000000"/>
        </w:rPr>
        <w:t xml:space="preserve">ar izmantot, lai novērstu tūlītējus un nopietnus draudus valsts drošībai. </w:t>
      </w:r>
    </w:p>
    <w:p w:rsidR="003E022D" w:rsidRDefault="007D19D6">
      <w:pPr>
        <w:numPr>
          <w:ilvl w:val="1"/>
          <w:numId w:val="157"/>
        </w:numPr>
        <w:ind w:left="0" w:firstLine="0"/>
        <w:rPr>
          <w:rFonts w:cstheme="minorHAnsi"/>
          <w:noProof/>
        </w:rPr>
      </w:pPr>
      <w:r>
        <w:rPr>
          <w:noProof/>
        </w:rPr>
        <w:t xml:space="preserve">Katra valsts nodrošina, ka tās centrālās iestādes neizpauž personas datus, kas paziņoti atbilstoši </w:t>
      </w:r>
      <w:r>
        <w:rPr>
          <w:noProof/>
          <w:u w:color="000000"/>
        </w:rPr>
        <w:t>LAW.EXINF.123. pantam [Paziņojumi]</w:t>
      </w:r>
      <w:r>
        <w:rPr>
          <w:noProof/>
        </w:rPr>
        <w:t xml:space="preserve"> iestādēm trešās valstīs, izņemot gadījumus, kad</w:t>
      </w:r>
      <w:r>
        <w:rPr>
          <w:noProof/>
        </w:rPr>
        <w:t xml:space="preserve"> ir ievēroti šādi nosacījumi:</w:t>
      </w:r>
      <w:r>
        <w:rPr>
          <w:noProof/>
          <w:color w:val="000000"/>
        </w:rPr>
        <w:t xml:space="preserve"> </w:t>
      </w:r>
    </w:p>
    <w:p w:rsidR="003E022D" w:rsidRDefault="007D19D6">
      <w:pPr>
        <w:numPr>
          <w:ilvl w:val="1"/>
          <w:numId w:val="158"/>
        </w:numPr>
        <w:ind w:left="567" w:hanging="567"/>
        <w:rPr>
          <w:noProof/>
        </w:rPr>
      </w:pPr>
      <w:r>
        <w:rPr>
          <w:noProof/>
        </w:rPr>
        <w:t xml:space="preserve">personas datus izpauž tikai, pamatojoties uz katru konkrētu gadījumu; </w:t>
      </w:r>
    </w:p>
    <w:p w:rsidR="003E022D" w:rsidRDefault="007D19D6">
      <w:pPr>
        <w:numPr>
          <w:ilvl w:val="1"/>
          <w:numId w:val="158"/>
        </w:numPr>
        <w:ind w:left="567" w:hanging="567"/>
        <w:rPr>
          <w:noProof/>
        </w:rPr>
      </w:pPr>
      <w:r>
        <w:rPr>
          <w:noProof/>
        </w:rPr>
        <w:t xml:space="preserve">personas datus izpauž iestādēm, kuru funkcijas ir tieši saistītas ar nolūku, kuram personas dati tiek izpausti saskaņā ar šā punkta c) apakšpunktu; </w:t>
      </w:r>
    </w:p>
    <w:p w:rsidR="003E022D" w:rsidRDefault="007D19D6">
      <w:pPr>
        <w:numPr>
          <w:ilvl w:val="1"/>
          <w:numId w:val="158"/>
        </w:numPr>
        <w:ind w:left="567" w:hanging="567"/>
        <w:rPr>
          <w:rFonts w:cstheme="minorHAnsi"/>
          <w:noProof/>
          <w:color w:val="000000"/>
        </w:rPr>
      </w:pPr>
      <w:r>
        <w:rPr>
          <w:noProof/>
        </w:rPr>
        <w:t>perso</w:t>
      </w:r>
      <w:r>
        <w:rPr>
          <w:noProof/>
        </w:rPr>
        <w:t>nas datus izpauž tikai, ja tas ir nepieciešams:</w:t>
      </w:r>
      <w:r>
        <w:rPr>
          <w:noProof/>
          <w:color w:val="000000"/>
        </w:rPr>
        <w:t xml:space="preserve"> </w:t>
      </w:r>
    </w:p>
    <w:p w:rsidR="003E022D" w:rsidRDefault="007D19D6">
      <w:pPr>
        <w:pStyle w:val="Point"/>
        <w:numPr>
          <w:ilvl w:val="2"/>
          <w:numId w:val="567"/>
        </w:numPr>
        <w:rPr>
          <w:noProof/>
        </w:rPr>
      </w:pPr>
      <w:r>
        <w:rPr>
          <w:noProof/>
        </w:rPr>
        <w:t xml:space="preserve">kriminālprocesa nolūkos; </w:t>
      </w:r>
    </w:p>
    <w:p w:rsidR="003E022D" w:rsidRDefault="007D19D6">
      <w:pPr>
        <w:pStyle w:val="Point"/>
        <w:numPr>
          <w:ilvl w:val="2"/>
          <w:numId w:val="128"/>
        </w:numPr>
        <w:rPr>
          <w:noProof/>
        </w:rPr>
      </w:pPr>
      <w:r>
        <w:rPr>
          <w:noProof/>
        </w:rPr>
        <w:t xml:space="preserve">jebkādiem citiem mērķiem, kas nav kriminālprocess, vai </w:t>
      </w:r>
    </w:p>
    <w:p w:rsidR="003E022D" w:rsidRDefault="007D19D6">
      <w:pPr>
        <w:pStyle w:val="Point"/>
        <w:numPr>
          <w:ilvl w:val="2"/>
          <w:numId w:val="128"/>
        </w:numPr>
        <w:rPr>
          <w:rFonts w:cstheme="minorHAnsi"/>
          <w:noProof/>
        </w:rPr>
      </w:pPr>
      <w:r>
        <w:rPr>
          <w:noProof/>
        </w:rPr>
        <w:t>lai novērstu tūlītējus un nopietnus draudus sabiedrības drošībai;</w:t>
      </w:r>
    </w:p>
    <w:p w:rsidR="003E022D" w:rsidRDefault="007D19D6">
      <w:pPr>
        <w:numPr>
          <w:ilvl w:val="1"/>
          <w:numId w:val="158"/>
        </w:numPr>
        <w:ind w:left="567" w:hanging="567"/>
        <w:rPr>
          <w:noProof/>
        </w:rPr>
      </w:pPr>
      <w:r>
        <w:rPr>
          <w:noProof/>
          <w:color w:val="000000"/>
        </w:rPr>
        <w:t xml:space="preserve">pieprasītāja trešā valsts var izmantot personas datus tikai tam nolūkam, kuram informācija tika lūgta, un ievērojot tās valsts noteiktos ierobežojumus, kura paziņojusi personas datus atbilstoši </w:t>
      </w:r>
      <w:r>
        <w:rPr>
          <w:noProof/>
          <w:color w:val="000000"/>
          <w:u w:color="000000"/>
        </w:rPr>
        <w:t>LAW.EXINF.123. pantam [Paziņojumi]</w:t>
      </w:r>
      <w:r>
        <w:rPr>
          <w:noProof/>
          <w:color w:val="000000"/>
        </w:rPr>
        <w:t xml:space="preserve">; </w:t>
      </w:r>
      <w:r>
        <w:rPr>
          <w:noProof/>
        </w:rPr>
        <w:t xml:space="preserve">un </w:t>
      </w:r>
    </w:p>
    <w:p w:rsidR="003E022D" w:rsidRDefault="007D19D6">
      <w:pPr>
        <w:numPr>
          <w:ilvl w:val="1"/>
          <w:numId w:val="158"/>
        </w:numPr>
        <w:ind w:left="567" w:hanging="567"/>
        <w:rPr>
          <w:rFonts w:cstheme="minorHAnsi"/>
          <w:noProof/>
          <w:color w:val="000000"/>
        </w:rPr>
      </w:pPr>
      <w:r>
        <w:rPr>
          <w:noProof/>
        </w:rPr>
        <w:t xml:space="preserve">Personas datus izpauž </w:t>
      </w:r>
      <w:r>
        <w:rPr>
          <w:noProof/>
        </w:rPr>
        <w:t xml:space="preserve">tikai tad, </w:t>
      </w:r>
      <w:r>
        <w:rPr>
          <w:noProof/>
          <w:color w:val="000000"/>
        </w:rPr>
        <w:t>ja centrālā iestāde pēc tam, kad tā ir novērtējusi visus apstākļus saistībā ar personas datu nosūtīšanu uz trešo valsti, secina, ka pastāv atbilstīgi drošības pasākumi personas datu aizsardzībai</w:t>
      </w:r>
      <w:r>
        <w:rPr>
          <w:noProof/>
        </w:rPr>
        <w:t>.</w:t>
      </w:r>
      <w:r>
        <w:rPr>
          <w:noProof/>
          <w:color w:val="000000"/>
        </w:rPr>
        <w:t xml:space="preserve"> </w:t>
      </w:r>
    </w:p>
    <w:p w:rsidR="003E022D" w:rsidRDefault="007D19D6">
      <w:pPr>
        <w:numPr>
          <w:ilvl w:val="0"/>
          <w:numId w:val="488"/>
        </w:numPr>
        <w:ind w:left="0" w:firstLine="0"/>
        <w:rPr>
          <w:rFonts w:cstheme="minorHAnsi"/>
          <w:noProof/>
        </w:rPr>
      </w:pPr>
      <w:r>
        <w:rPr>
          <w:noProof/>
          <w:color w:val="000000"/>
        </w:rPr>
        <w:t>Šo pantu nepiemēro personas datiem, kurus valsts</w:t>
      </w:r>
      <w:r>
        <w:rPr>
          <w:noProof/>
          <w:color w:val="000000"/>
        </w:rPr>
        <w:t xml:space="preserve"> ieguvusi saskaņā ar šo sadaļu un kuru izcelsme ir minētajā valstī. </w:t>
      </w:r>
    </w:p>
    <w:p w:rsidR="003E022D" w:rsidRDefault="007D19D6">
      <w:pPr>
        <w:pStyle w:val="Title1"/>
        <w:rPr>
          <w:noProof/>
        </w:rPr>
      </w:pPr>
      <w:bookmarkStart w:id="814" w:name="_Toc57978900"/>
      <w:bookmarkStart w:id="815" w:name="_Toc57809464"/>
      <w:bookmarkStart w:id="816" w:name="_Toc58920344"/>
      <w:bookmarkStart w:id="817" w:name="_Toc58949204"/>
      <w:bookmarkStart w:id="818" w:name="_Toc59472719"/>
      <w:bookmarkStart w:id="819" w:name="_Toc59988371"/>
      <w:bookmarkStart w:id="820" w:name="_Hlk51926074"/>
      <w:bookmarkEnd w:id="814"/>
      <w:r>
        <w:rPr>
          <w:noProof/>
        </w:rPr>
        <w:t>X sadaļa. Nelikumīgi iegūtu līdzekļu legalizēšanas un terorisma finansēšanas apkarošana</w:t>
      </w:r>
      <w:bookmarkEnd w:id="815"/>
      <w:bookmarkEnd w:id="816"/>
      <w:bookmarkEnd w:id="817"/>
      <w:bookmarkEnd w:id="818"/>
      <w:bookmarkEnd w:id="819"/>
      <w:r>
        <w:rPr>
          <w:noProof/>
        </w:rPr>
        <w:t xml:space="preserve"> </w:t>
      </w:r>
    </w:p>
    <w:p w:rsidR="003E022D" w:rsidRDefault="007D19D6">
      <w:pPr>
        <w:pStyle w:val="Article"/>
        <w:rPr>
          <w:noProof/>
        </w:rPr>
      </w:pPr>
      <w:bookmarkStart w:id="821" w:name="_Toc58920345"/>
      <w:r>
        <w:rPr>
          <w:noProof/>
        </w:rPr>
        <w:t>LAW.AML.127. pants. Mērķis</w:t>
      </w:r>
      <w:bookmarkEnd w:id="821"/>
      <w:r>
        <w:rPr>
          <w:noProof/>
        </w:rPr>
        <w:t xml:space="preserve"> </w:t>
      </w:r>
    </w:p>
    <w:p w:rsidR="003E022D" w:rsidRDefault="007D19D6">
      <w:pPr>
        <w:rPr>
          <w:rFonts w:cstheme="minorHAnsi"/>
          <w:noProof/>
        </w:rPr>
      </w:pPr>
      <w:r>
        <w:rPr>
          <w:noProof/>
        </w:rPr>
        <w:t xml:space="preserve">Šīs sadaļas mērķis ir atbalstīt un stiprināt Savienības un Apvienotās </w:t>
      </w:r>
      <w:r>
        <w:rPr>
          <w:noProof/>
        </w:rPr>
        <w:t>Karalistes rīcību, ar ko novērš un apkaro nelikumīgi iegūtu līdzekļu legalizēšanu un terorisma finansēšanu.</w:t>
      </w:r>
    </w:p>
    <w:p w:rsidR="003E022D" w:rsidRDefault="007D19D6">
      <w:pPr>
        <w:pStyle w:val="Article"/>
        <w:rPr>
          <w:noProof/>
        </w:rPr>
      </w:pPr>
      <w:bookmarkStart w:id="822" w:name="_Toc58920346"/>
      <w:r>
        <w:rPr>
          <w:noProof/>
        </w:rPr>
        <w:t>LAW.AML.128. pants. Pasākumi, ar ko novērš un apkaro nelikumīgi iegūtu līdzekļu legalizēšanu un terorisma finansēšanu</w:t>
      </w:r>
      <w:bookmarkEnd w:id="822"/>
    </w:p>
    <w:p w:rsidR="003E022D" w:rsidRDefault="007D19D6">
      <w:pPr>
        <w:numPr>
          <w:ilvl w:val="0"/>
          <w:numId w:val="166"/>
        </w:numPr>
        <w:ind w:left="0" w:firstLine="0"/>
        <w:rPr>
          <w:rFonts w:cstheme="minorHAnsi"/>
          <w:noProof/>
        </w:rPr>
      </w:pPr>
      <w:r>
        <w:rPr>
          <w:noProof/>
        </w:rPr>
        <w:t>Puses apņemas atbalstīt starpt</w:t>
      </w:r>
      <w:r>
        <w:rPr>
          <w:noProof/>
        </w:rPr>
        <w:t>autiskos pūliņus novērst un cīnīties pret nelikumīgi iegūtu līdzekļu legalizēšanu un terorisma finansēšanu. Puses atzīst vajadzību sadarboties, lai novērstu, ka to finanšu sistēmas tiek izmantotas tādu līdzekļu legalizēšanai, kas iegūti jebkādās noziedzīgā</w:t>
      </w:r>
      <w:r>
        <w:rPr>
          <w:noProof/>
        </w:rPr>
        <w:t>s darbībās, tostarp narkotiku kontrabandā un korupcijā, kā arī lai cīnītos pret terorisma finansēšanu.</w:t>
      </w:r>
    </w:p>
    <w:p w:rsidR="003E022D" w:rsidRDefault="007D19D6">
      <w:pPr>
        <w:numPr>
          <w:ilvl w:val="0"/>
          <w:numId w:val="166"/>
        </w:numPr>
        <w:ind w:left="0" w:firstLine="0"/>
        <w:rPr>
          <w:rFonts w:cstheme="minorHAnsi"/>
          <w:noProof/>
        </w:rPr>
      </w:pPr>
      <w:r>
        <w:rPr>
          <w:noProof/>
        </w:rPr>
        <w:t>Puses apmainās ar attiecīgo informāciju saskaņā ar to attiecīgo tiesisko regulējumu.</w:t>
      </w:r>
    </w:p>
    <w:p w:rsidR="003E022D" w:rsidRDefault="007D19D6">
      <w:pPr>
        <w:numPr>
          <w:ilvl w:val="0"/>
          <w:numId w:val="166"/>
        </w:numPr>
        <w:ind w:left="0" w:firstLine="0"/>
        <w:rPr>
          <w:rFonts w:cstheme="minorHAnsi"/>
          <w:noProof/>
        </w:rPr>
      </w:pPr>
      <w:r>
        <w:rPr>
          <w:noProof/>
        </w:rPr>
        <w:t xml:space="preserve">Puses katra uztur visaptverošu režīmu cīņai pret nelikumīgi iegūtu </w:t>
      </w:r>
      <w:r>
        <w:rPr>
          <w:noProof/>
        </w:rPr>
        <w:t>līdzekļu legalizēšanu un terorisma finansēšanu un regulāri pārskata nepieciešamību pastiprināt minēto režīmu, ņemot vērā Finanšu darījumu darba grupas ieteikumu principus un mērķus.</w:t>
      </w:r>
    </w:p>
    <w:p w:rsidR="003E022D" w:rsidRDefault="007D19D6">
      <w:pPr>
        <w:pStyle w:val="Article"/>
        <w:rPr>
          <w:noProof/>
        </w:rPr>
      </w:pPr>
      <w:bookmarkStart w:id="823" w:name="_Toc58920347"/>
      <w:r>
        <w:rPr>
          <w:noProof/>
        </w:rPr>
        <w:t>LAW.AML.129. pants. Faktisko īpašumtiesību pārredzamība korporatīvās un ci</w:t>
      </w:r>
      <w:r>
        <w:rPr>
          <w:noProof/>
        </w:rPr>
        <w:t>tās juridiskās vienībās</w:t>
      </w:r>
      <w:bookmarkEnd w:id="823"/>
    </w:p>
    <w:p w:rsidR="003E022D" w:rsidRDefault="007D19D6">
      <w:pPr>
        <w:numPr>
          <w:ilvl w:val="0"/>
          <w:numId w:val="189"/>
        </w:numPr>
        <w:ind w:left="0" w:firstLine="0"/>
        <w:rPr>
          <w:rFonts w:cstheme="minorHAnsi"/>
          <w:noProof/>
        </w:rPr>
      </w:pPr>
      <w:r>
        <w:rPr>
          <w:noProof/>
        </w:rPr>
        <w:t>Šajā pantā piemēro šādas definīcijas:</w:t>
      </w:r>
    </w:p>
    <w:p w:rsidR="003E022D" w:rsidRDefault="007D19D6">
      <w:pPr>
        <w:numPr>
          <w:ilvl w:val="1"/>
          <w:numId w:val="187"/>
        </w:numPr>
        <w:ind w:left="567" w:hanging="567"/>
        <w:rPr>
          <w:rFonts w:cstheme="minorHAnsi"/>
          <w:noProof/>
          <w:color w:val="000000"/>
        </w:rPr>
      </w:pPr>
      <w:r>
        <w:rPr>
          <w:noProof/>
        </w:rPr>
        <w:t>“faktiskais īpašnieks” ir jebkura fiziska persona, kura attiecībā uz korporatīvu vienību saskaņā ar Puses normatīvajiem aktiem:</w:t>
      </w:r>
    </w:p>
    <w:p w:rsidR="003E022D" w:rsidRDefault="007D19D6">
      <w:pPr>
        <w:pStyle w:val="Point"/>
        <w:numPr>
          <w:ilvl w:val="2"/>
          <w:numId w:val="567"/>
        </w:numPr>
        <w:rPr>
          <w:rFonts w:cstheme="minorHAnsi"/>
          <w:noProof/>
        </w:rPr>
      </w:pPr>
      <w:r>
        <w:rPr>
          <w:noProof/>
        </w:rPr>
        <w:t>faktiski īsteno galējo kontroli pār vienības pārvaldīšanu vai ir t</w:t>
      </w:r>
      <w:r>
        <w:rPr>
          <w:noProof/>
        </w:rPr>
        <w:t>iesīga īstenot šādu kontroli;</w:t>
      </w:r>
    </w:p>
    <w:p w:rsidR="003E022D" w:rsidRDefault="007D19D6">
      <w:pPr>
        <w:pStyle w:val="Point"/>
        <w:numPr>
          <w:ilvl w:val="2"/>
          <w:numId w:val="128"/>
        </w:numPr>
        <w:rPr>
          <w:rFonts w:cstheme="minorHAnsi"/>
          <w:noProof/>
        </w:rPr>
      </w:pPr>
      <w:r>
        <w:rPr>
          <w:noProof/>
        </w:rPr>
        <w:t>personai tieši vai netieši pieder vai tā kontrolē vairāk nekā 25 % balsstiesību vai akciju vai cita veida līdzdalības vienībā, neskarot katras Puses tiesības noteikt zemāku robežvērtību; vai</w:t>
      </w:r>
    </w:p>
    <w:p w:rsidR="003E022D" w:rsidRDefault="007D19D6">
      <w:pPr>
        <w:pStyle w:val="Point"/>
        <w:numPr>
          <w:ilvl w:val="2"/>
          <w:numId w:val="128"/>
        </w:numPr>
        <w:rPr>
          <w:rFonts w:cstheme="minorHAnsi"/>
          <w:noProof/>
        </w:rPr>
      </w:pPr>
      <w:r>
        <w:rPr>
          <w:noProof/>
        </w:rPr>
        <w:t>citādā veidā kontrolē vienību vai i</w:t>
      </w:r>
      <w:r>
        <w:rPr>
          <w:noProof/>
        </w:rPr>
        <w:t>r tiesīga īstenot šādu kontroli.</w:t>
      </w:r>
    </w:p>
    <w:p w:rsidR="003E022D" w:rsidRDefault="007D19D6">
      <w:pPr>
        <w:ind w:left="567"/>
        <w:rPr>
          <w:rFonts w:cstheme="minorHAnsi"/>
          <w:noProof/>
        </w:rPr>
      </w:pPr>
      <w:bookmarkStart w:id="824" w:name="_Hlk56527238"/>
      <w:r>
        <w:rPr>
          <w:noProof/>
        </w:rPr>
        <w:t>Attiecībā uz tādām juridiskām vienībām kā fondi,</w:t>
      </w:r>
      <w:r>
        <w:rPr>
          <w:i/>
          <w:noProof/>
        </w:rPr>
        <w:t xml:space="preserve"> Anstalt</w:t>
      </w:r>
      <w:r>
        <w:rPr>
          <w:noProof/>
        </w:rPr>
        <w:t xml:space="preserve">, līgumsabiedrības ar ierobežotu atbildību katrai Pusei ir tiesības noteikt līdzīgus kritērijus faktiskā īpašnieka noteikšanai, vai, ja tās izvēlas to darīt: piemērot </w:t>
      </w:r>
      <w:r>
        <w:rPr>
          <w:noProof/>
          <w:u w:color="000000"/>
        </w:rPr>
        <w:t>AML.130. panta [Faktisko īpašumtiesību pārredzamība juridiskajos veidojumos] 1. punkta</w:t>
      </w:r>
      <w:r>
        <w:rPr>
          <w:noProof/>
        </w:rPr>
        <w:t xml:space="preserve"> a) apakšpunktā noteikto definīciju, ņemot vērā šādu vienību formu un struktūru.</w:t>
      </w:r>
    </w:p>
    <w:p w:rsidR="003E022D" w:rsidRDefault="007D19D6">
      <w:pPr>
        <w:ind w:left="567"/>
        <w:rPr>
          <w:rFonts w:cstheme="minorHAnsi"/>
          <w:noProof/>
        </w:rPr>
      </w:pPr>
      <w:r>
        <w:rPr>
          <w:noProof/>
        </w:rPr>
        <w:t>Lai pieņemtu lēmumu par faktisko īpašumtiesību pārredzamības atbilstošajiem līmeņiem, att</w:t>
      </w:r>
      <w:r>
        <w:rPr>
          <w:noProof/>
        </w:rPr>
        <w:t>iecībā uz juridiskām vienībām, kas nav minētas iepriekš, katra Puse ņem vērā šādu vienību dažādās formas un struktūras un nelikumīgi iegūtu līdzekļu legalizēšanas līmeņus un terorisma finansēšanas riskus, kas saistīti ar šādām vienībām;</w:t>
      </w:r>
    </w:p>
    <w:bookmarkEnd w:id="824"/>
    <w:p w:rsidR="003E022D" w:rsidRDefault="007D19D6">
      <w:pPr>
        <w:numPr>
          <w:ilvl w:val="1"/>
          <w:numId w:val="187"/>
        </w:numPr>
        <w:ind w:left="567" w:hanging="567"/>
        <w:rPr>
          <w:noProof/>
        </w:rPr>
      </w:pPr>
      <w:r>
        <w:rPr>
          <w:noProof/>
        </w:rPr>
        <w:t>“pamatinformācija p</w:t>
      </w:r>
      <w:r>
        <w:rPr>
          <w:noProof/>
        </w:rPr>
        <w:t>ar faktisko īpašnieku” ir faktiskā īpašnieka vārds un uzvārds, dzimšanas mēnesis un gads, pastāvīgās dzīvesvietas valsts un valstspiederība, kā arī faktiskā īpašnieka turētās kapitāla daļas vai īstenotās kontroles veids un apmērs;</w:t>
      </w:r>
    </w:p>
    <w:p w:rsidR="003E022D" w:rsidRDefault="007D19D6">
      <w:pPr>
        <w:numPr>
          <w:ilvl w:val="1"/>
          <w:numId w:val="187"/>
        </w:numPr>
        <w:ind w:left="567" w:hanging="567"/>
        <w:rPr>
          <w:rFonts w:cstheme="minorHAnsi"/>
          <w:noProof/>
          <w:color w:val="000000"/>
        </w:rPr>
      </w:pPr>
      <w:r>
        <w:rPr>
          <w:noProof/>
        </w:rPr>
        <w:t>“kompetentās iestādes” ir</w:t>
      </w:r>
      <w:r>
        <w:rPr>
          <w:noProof/>
        </w:rPr>
        <w:t xml:space="preserve">: </w:t>
      </w:r>
    </w:p>
    <w:p w:rsidR="003E022D" w:rsidRDefault="007D19D6">
      <w:pPr>
        <w:pStyle w:val="Point"/>
        <w:numPr>
          <w:ilvl w:val="2"/>
          <w:numId w:val="567"/>
        </w:numPr>
        <w:rPr>
          <w:noProof/>
        </w:rPr>
      </w:pPr>
      <w:r>
        <w:rPr>
          <w:noProof/>
        </w:rPr>
        <w:t>publiskas iestādes, ieskaitot finanšu ziņu vākšanas vienības, kam uzticēti pienākumi nelikumīgi iegūtu līdzekļu legalizēšanas vai terorisma finansēšanas apkarošanas jomā;</w:t>
      </w:r>
    </w:p>
    <w:p w:rsidR="003E022D" w:rsidRDefault="007D19D6">
      <w:pPr>
        <w:pStyle w:val="Point"/>
        <w:numPr>
          <w:ilvl w:val="2"/>
          <w:numId w:val="128"/>
        </w:numPr>
        <w:rPr>
          <w:noProof/>
        </w:rPr>
      </w:pPr>
      <w:r>
        <w:rPr>
          <w:noProof/>
        </w:rPr>
        <w:t>publiskas iestādes, kuru uzdevums ir veikt izmeklēšanu vai kriminālvajāšanu par ne</w:t>
      </w:r>
      <w:r>
        <w:rPr>
          <w:noProof/>
        </w:rPr>
        <w:t>likumīgi iegūtu līdzekļu legalizēšanu, saistītiem predikatīviem nodarījumiem vai terorisma finansēšanu, vai arī izsekot, aizturēt vai iesaldēt un konfiscēt nelikumīgi iegūtus līdzekļus;</w:t>
      </w:r>
    </w:p>
    <w:p w:rsidR="003E022D" w:rsidRDefault="007D19D6">
      <w:pPr>
        <w:pStyle w:val="Point"/>
        <w:numPr>
          <w:ilvl w:val="2"/>
          <w:numId w:val="128"/>
        </w:numPr>
        <w:rPr>
          <w:rFonts w:cstheme="minorHAnsi"/>
          <w:noProof/>
        </w:rPr>
      </w:pPr>
      <w:r>
        <w:rPr>
          <w:noProof/>
        </w:rPr>
        <w:t>publiskas iestādes, kuras ir atbildīgas par uzraudzību vai pārraudzību</w:t>
      </w:r>
      <w:r>
        <w:rPr>
          <w:noProof/>
        </w:rPr>
        <w:t xml:space="preserve"> ar mērķi nodrošināt atbilstību nelikumīgi iegūtu līdzekļu legalizēšanas vai terorisma finansēšanas apkarošanas prasībām. </w:t>
      </w:r>
    </w:p>
    <w:p w:rsidR="003E022D" w:rsidRDefault="007D19D6">
      <w:pPr>
        <w:pStyle w:val="ListParagraph"/>
        <w:ind w:left="567"/>
        <w:rPr>
          <w:rFonts w:asciiTheme="minorHAnsi" w:hAnsiTheme="minorHAnsi" w:cstheme="minorHAnsi"/>
          <w:noProof/>
        </w:rPr>
      </w:pPr>
      <w:r>
        <w:rPr>
          <w:rFonts w:asciiTheme="minorHAnsi" w:hAnsiTheme="minorHAnsi"/>
          <w:noProof/>
        </w:rPr>
        <w:t>Šī definīcija neskar katras Puses tiesības noteikt papildu kompetentās iestādes, kas var piekļūt informācijai par faktiskajiem īpašni</w:t>
      </w:r>
      <w:r>
        <w:rPr>
          <w:rFonts w:asciiTheme="minorHAnsi" w:hAnsiTheme="minorHAnsi"/>
          <w:noProof/>
        </w:rPr>
        <w:t>ekiem.</w:t>
      </w:r>
      <w:r>
        <w:rPr>
          <w:noProof/>
        </w:rPr>
        <w:t xml:space="preserve"> </w:t>
      </w:r>
      <w:r>
        <w:rPr>
          <w:noProof/>
        </w:rPr>
        <w:br/>
      </w:r>
    </w:p>
    <w:p w:rsidR="003E022D" w:rsidRDefault="007D19D6">
      <w:pPr>
        <w:pStyle w:val="ListParagraph"/>
        <w:numPr>
          <w:ilvl w:val="0"/>
          <w:numId w:val="489"/>
        </w:numPr>
        <w:pBdr>
          <w:top w:val="nil"/>
          <w:left w:val="nil"/>
          <w:bottom w:val="nil"/>
          <w:right w:val="nil"/>
          <w:between w:val="nil"/>
          <w:bar w:val="nil"/>
        </w:pBdr>
        <w:spacing w:after="200" w:line="276" w:lineRule="auto"/>
        <w:ind w:left="0" w:firstLine="0"/>
        <w:contextualSpacing w:val="0"/>
        <w:rPr>
          <w:rFonts w:asciiTheme="minorHAnsi" w:hAnsiTheme="minorHAnsi" w:cstheme="minorHAnsi"/>
          <w:noProof/>
        </w:rPr>
      </w:pPr>
      <w:r>
        <w:rPr>
          <w:rFonts w:asciiTheme="minorHAnsi" w:hAnsiTheme="minorHAnsi"/>
          <w:noProof/>
        </w:rPr>
        <w:t xml:space="preserve">Katra Puse nodrošina, ka juridiskās vienības to teritorijā uztur adekvātu, pareizu un aktuālu informāciju par faktiskajiem īpašniekiem. Katra Puse ievieš mehānismus, ar ko nodrošina, lai to kompetentajām iestādēm ir savlaicīga piekļuve šādai </w:t>
      </w:r>
      <w:r>
        <w:rPr>
          <w:rFonts w:asciiTheme="minorHAnsi" w:hAnsiTheme="minorHAnsi"/>
          <w:noProof/>
        </w:rPr>
        <w:t>informācijai.</w:t>
      </w:r>
    </w:p>
    <w:p w:rsidR="003E022D" w:rsidRDefault="007D19D6">
      <w:pPr>
        <w:pStyle w:val="ListParagraph"/>
        <w:numPr>
          <w:ilvl w:val="0"/>
          <w:numId w:val="490"/>
        </w:numPr>
        <w:pBdr>
          <w:top w:val="nil"/>
          <w:left w:val="nil"/>
          <w:bottom w:val="nil"/>
          <w:right w:val="nil"/>
          <w:between w:val="nil"/>
          <w:bar w:val="nil"/>
        </w:pBdr>
        <w:ind w:left="0" w:firstLine="0"/>
        <w:contextualSpacing w:val="0"/>
        <w:rPr>
          <w:noProof/>
        </w:rPr>
      </w:pPr>
      <w:r>
        <w:rPr>
          <w:noProof/>
        </w:rPr>
        <w:t xml:space="preserve">Katra Puse izveido vai uztur centrālu reģistru ar adekvātu, aktuālu un pareizu informāciju par faktiskajiem īpašniekiem. Savienības gadījumā centrālos reģistrus izveido dalībvalstu līmenī. Šis pienākums neattiecas uz biržā kotētām juridiskām </w:t>
      </w:r>
      <w:r>
        <w:rPr>
          <w:noProof/>
        </w:rPr>
        <w:t>vienībām, uz kurām attiecas informācijas izpaušanas prasības attiecībā uz pietiekamu pārredzamības līmeni. Ja kādai vienībai nav identificējams īpašnieks, reģistrā glabā alternatīvu informāciju, piemēram, paziņojumu par to, ka nav identificēt īpašnieks, va</w:t>
      </w:r>
      <w:r>
        <w:rPr>
          <w:noProof/>
        </w:rPr>
        <w:t>i ziņas par fizisko personu vai personām, kuras juridiskajā vienībā ieņem augstākās vadības amatu.</w:t>
      </w:r>
    </w:p>
    <w:p w:rsidR="003E022D" w:rsidRDefault="007D19D6">
      <w:pPr>
        <w:numPr>
          <w:ilvl w:val="0"/>
          <w:numId w:val="166"/>
        </w:numPr>
        <w:ind w:left="0" w:firstLine="0"/>
        <w:rPr>
          <w:rFonts w:cstheme="minorHAnsi"/>
          <w:noProof/>
        </w:rPr>
      </w:pPr>
      <w:r>
        <w:rPr>
          <w:noProof/>
        </w:rPr>
        <w:t>Katra Puse nodrošina, ka tās centrālajā reģistrā vai reģistros glabātā informācija bez ierobežojumiem un savlaicīgi tiek darīta pieejama tās kompetentajām ie</w:t>
      </w:r>
      <w:r>
        <w:rPr>
          <w:noProof/>
        </w:rPr>
        <w:t>stādēm.</w:t>
      </w:r>
    </w:p>
    <w:bookmarkEnd w:id="820"/>
    <w:p w:rsidR="003E022D" w:rsidRDefault="007D19D6">
      <w:pPr>
        <w:numPr>
          <w:ilvl w:val="0"/>
          <w:numId w:val="166"/>
        </w:numPr>
        <w:ind w:left="0" w:firstLine="0"/>
        <w:rPr>
          <w:rFonts w:cstheme="minorHAnsi"/>
          <w:noProof/>
        </w:rPr>
      </w:pPr>
      <w:r>
        <w:rPr>
          <w:noProof/>
        </w:rPr>
        <w:t xml:space="preserve">Katra Puse nodrošina, ka pamatinformācija par faktiskajiem īpašniekiem tiek darīta pieejama ikvienam sabiedrības loceklim. Atsevišķus izņēmumus attiecībā uz informācijas publisku pieejamību saskaņā ar šo punktu var paredzēt gadījumos, kad piekļuve </w:t>
      </w:r>
      <w:r>
        <w:rPr>
          <w:noProof/>
        </w:rPr>
        <w:t>informācijai faktisko īpašnieku pakļautu nesamērīgam riskam, piemēram, krāpšanas, nolaupīšanas, šantāžas, izspiešanas, aizskaršanas, vardarbības vai iebiedēšanas riskam, vai ja faktiskais īpašnieks ir nepilngadīgs vai citā veidā juridiski rīcībnespējīgs.</w:t>
      </w:r>
    </w:p>
    <w:p w:rsidR="003E022D" w:rsidRDefault="007D19D6">
      <w:pPr>
        <w:numPr>
          <w:ilvl w:val="0"/>
          <w:numId w:val="166"/>
        </w:numPr>
        <w:ind w:left="0" w:firstLine="0"/>
        <w:rPr>
          <w:rFonts w:cstheme="minorHAnsi"/>
          <w:noProof/>
        </w:rPr>
      </w:pPr>
      <w:r>
        <w:rPr>
          <w:noProof/>
        </w:rPr>
        <w:t>Katra Puse nodrošina iedarbīgas, samērīgas un atturošas sankcijas pret juridiskām vai fiziskām personām, kuras nepilda prasības, kas tām noteiktas saistībā ar šajā pantā minētajiem jautājumiem.</w:t>
      </w:r>
    </w:p>
    <w:p w:rsidR="003E022D" w:rsidRDefault="007D19D6">
      <w:pPr>
        <w:numPr>
          <w:ilvl w:val="0"/>
          <w:numId w:val="166"/>
        </w:numPr>
        <w:ind w:left="0" w:firstLine="0"/>
        <w:rPr>
          <w:rFonts w:cstheme="minorHAnsi"/>
          <w:noProof/>
        </w:rPr>
      </w:pPr>
      <w:r>
        <w:rPr>
          <w:noProof/>
        </w:rPr>
        <w:t>Katra Puse nodrošina, ka tas kompetentās iestādes var savlaicī</w:t>
      </w:r>
      <w:r>
        <w:rPr>
          <w:noProof/>
        </w:rPr>
        <w:t>gi un efektīvi un bez maksas sniegt 2. un 3. punktā minēto informāciju otras Puses kompetentajām iestādēm. Šim nolūkam Puses apsver veidus informācijas drošas apmaiņas nodrošināšanai.</w:t>
      </w:r>
    </w:p>
    <w:p w:rsidR="003E022D" w:rsidRDefault="007D19D6">
      <w:pPr>
        <w:pStyle w:val="Article"/>
        <w:rPr>
          <w:noProof/>
        </w:rPr>
      </w:pPr>
      <w:bookmarkStart w:id="825" w:name="_Toc58920348"/>
      <w:r>
        <w:rPr>
          <w:noProof/>
        </w:rPr>
        <w:t>LAW.AML.130. pants. Faktisko īpašumtiesību pārredzamība juridiskajos vei</w:t>
      </w:r>
      <w:r>
        <w:rPr>
          <w:noProof/>
        </w:rPr>
        <w:t>dojumos</w:t>
      </w:r>
      <w:bookmarkEnd w:id="825"/>
    </w:p>
    <w:p w:rsidR="003E022D" w:rsidRDefault="007D19D6">
      <w:pPr>
        <w:numPr>
          <w:ilvl w:val="0"/>
          <w:numId w:val="566"/>
        </w:numPr>
        <w:ind w:hanging="720"/>
        <w:rPr>
          <w:rFonts w:cstheme="minorHAnsi"/>
          <w:noProof/>
        </w:rPr>
      </w:pPr>
      <w:r>
        <w:rPr>
          <w:noProof/>
        </w:rPr>
        <w:t>Šajā pantā piemēro šādas definīcijas:</w:t>
      </w:r>
    </w:p>
    <w:p w:rsidR="003E022D" w:rsidRDefault="007D19D6">
      <w:pPr>
        <w:numPr>
          <w:ilvl w:val="1"/>
          <w:numId w:val="188"/>
        </w:numPr>
        <w:ind w:left="567" w:hanging="567"/>
        <w:rPr>
          <w:noProof/>
        </w:rPr>
      </w:pPr>
      <w:r>
        <w:rPr>
          <w:noProof/>
        </w:rPr>
        <w:t xml:space="preserve">“faktiskais īpašnieks” ir dibinātājs, trasta pārraudzītājs (ja tāds ir), pilnvarotās personas, labuma guvējs vai labuma guvēju kategorijas, ikviena persona, kurai ir līdzvērtīga pozīcija attiecībā uz juridisku </w:t>
      </w:r>
      <w:r>
        <w:rPr>
          <w:noProof/>
        </w:rPr>
        <w:t>veidojumu, kura struktūra vai funkcija ir līdzīga tieši izveidotam trastam, un visu citu fizisko personu, kas īsteno pilnīgu, efektīvu kontroli pār trastu vai līdzīgu juridisku veidojumu;</w:t>
      </w:r>
    </w:p>
    <w:p w:rsidR="003E022D" w:rsidRDefault="007D19D6">
      <w:pPr>
        <w:numPr>
          <w:ilvl w:val="1"/>
          <w:numId w:val="188"/>
        </w:numPr>
        <w:ind w:left="567" w:hanging="567"/>
        <w:rPr>
          <w:rFonts w:cstheme="minorHAnsi"/>
          <w:noProof/>
          <w:color w:val="000000"/>
        </w:rPr>
      </w:pPr>
      <w:r>
        <w:rPr>
          <w:noProof/>
        </w:rPr>
        <w:t xml:space="preserve">“kompetentās iestādes” ir: </w:t>
      </w:r>
    </w:p>
    <w:p w:rsidR="003E022D" w:rsidRDefault="007D19D6">
      <w:pPr>
        <w:pStyle w:val="Point"/>
        <w:numPr>
          <w:ilvl w:val="2"/>
          <w:numId w:val="567"/>
        </w:numPr>
        <w:rPr>
          <w:rFonts w:cstheme="minorHAnsi"/>
          <w:noProof/>
        </w:rPr>
      </w:pPr>
      <w:r>
        <w:rPr>
          <w:noProof/>
        </w:rPr>
        <w:t xml:space="preserve">publiskas iestādes, ieskaitot finanšu </w:t>
      </w:r>
      <w:r>
        <w:rPr>
          <w:noProof/>
        </w:rPr>
        <w:t>ziņu vākšanas vienības, kam uzticēti pienākumi nelikumīgi iegūtu līdzekļu legalizēšanas vai terorisma finansēšanas apkarošanas jomā;</w:t>
      </w:r>
    </w:p>
    <w:p w:rsidR="003E022D" w:rsidRDefault="007D19D6">
      <w:pPr>
        <w:pStyle w:val="Point"/>
        <w:numPr>
          <w:ilvl w:val="2"/>
          <w:numId w:val="128"/>
        </w:numPr>
        <w:rPr>
          <w:rFonts w:cstheme="minorHAnsi"/>
          <w:noProof/>
        </w:rPr>
      </w:pPr>
      <w:r>
        <w:rPr>
          <w:noProof/>
        </w:rPr>
        <w:t>publiskas iestādes, kuru uzdevums ir veikt izmeklēšanu vai kriminālvajāšanu par nelikumīgi iegūtu līdzekļu legalizēšanu, sa</w:t>
      </w:r>
      <w:r>
        <w:rPr>
          <w:noProof/>
        </w:rPr>
        <w:t>istītiem predikatīviem nodarījumiem vai terorisma finansēšanu, vai arī izsekot, aizturēt vai iesaldēt un konfiscēt nelikumīgi iegūtus līdzekļus;</w:t>
      </w:r>
    </w:p>
    <w:p w:rsidR="003E022D" w:rsidRDefault="007D19D6">
      <w:pPr>
        <w:pStyle w:val="Point"/>
        <w:numPr>
          <w:ilvl w:val="2"/>
          <w:numId w:val="128"/>
        </w:numPr>
        <w:rPr>
          <w:rFonts w:cstheme="minorHAnsi"/>
          <w:noProof/>
        </w:rPr>
      </w:pPr>
      <w:r>
        <w:rPr>
          <w:noProof/>
        </w:rPr>
        <w:t>publiskas iestādes, kuras ir atbildīgas par uzraudzību vai pārraudzību ar mērķi nodrošināt atbilstību nelikumīg</w:t>
      </w:r>
      <w:r>
        <w:rPr>
          <w:noProof/>
        </w:rPr>
        <w:t>i iegūtu līdzekļu legalizēšanas vai terorisma finansēšanas apkarošanas prasībām.</w:t>
      </w:r>
    </w:p>
    <w:p w:rsidR="003E022D" w:rsidRDefault="007D19D6">
      <w:pPr>
        <w:ind w:left="567"/>
        <w:rPr>
          <w:rFonts w:cstheme="minorHAnsi"/>
          <w:noProof/>
        </w:rPr>
      </w:pPr>
      <w:r>
        <w:rPr>
          <w:noProof/>
        </w:rPr>
        <w:t>Šī definīcija neskar katras Puses tiesības noteikt papildu kompetentās iestādes, kas var piekļūt informācijai par faktiskajiem īpašniekiem.</w:t>
      </w:r>
    </w:p>
    <w:p w:rsidR="003E022D" w:rsidRDefault="007D19D6">
      <w:pPr>
        <w:numPr>
          <w:ilvl w:val="0"/>
          <w:numId w:val="566"/>
        </w:numPr>
        <w:ind w:left="0" w:firstLine="0"/>
        <w:rPr>
          <w:rFonts w:cstheme="minorHAnsi"/>
          <w:noProof/>
        </w:rPr>
      </w:pPr>
      <w:r>
        <w:rPr>
          <w:noProof/>
        </w:rPr>
        <w:t>Katra Puse nodrošina, ka tieši izve</w:t>
      </w:r>
      <w:r>
        <w:rPr>
          <w:noProof/>
        </w:rPr>
        <w:t xml:space="preserve">idotu trastu pilnvarotās personas uztur adekvātu, pareizu un aktuālu informāciju par faktiskajiem īpašniekiem. Šos pasākumus piemēro citiem juridiskiem veidojumiem, ko katra Puse atzinusi par tādiem, kuru struktūra vai funkcija ir līdzīga trastiem. </w:t>
      </w:r>
    </w:p>
    <w:p w:rsidR="003E022D" w:rsidRDefault="007D19D6">
      <w:pPr>
        <w:numPr>
          <w:ilvl w:val="0"/>
          <w:numId w:val="566"/>
        </w:numPr>
        <w:ind w:left="0" w:firstLine="0"/>
        <w:rPr>
          <w:rFonts w:cstheme="minorHAnsi"/>
          <w:noProof/>
        </w:rPr>
      </w:pPr>
      <w:r>
        <w:rPr>
          <w:noProof/>
        </w:rPr>
        <w:t xml:space="preserve">Katra </w:t>
      </w:r>
      <w:r>
        <w:rPr>
          <w:noProof/>
        </w:rPr>
        <w:t>Puse ievieš mehānismus, ar ko nodrošina, lai to kompetentajām iestādēm ir savlaicīga piekļuve adekvātai, pareizai un aktuālai informācijai par tieši izveidotu trastu un to citu juridisko veidojumu faktiskajiem īpašniekiem, kuru struktūra vai funkcija ir lī</w:t>
      </w:r>
      <w:r>
        <w:rPr>
          <w:noProof/>
        </w:rPr>
        <w:t>dzīga trastiem tās teritorijā.</w:t>
      </w:r>
    </w:p>
    <w:p w:rsidR="003E022D" w:rsidRDefault="007D19D6">
      <w:pPr>
        <w:numPr>
          <w:ilvl w:val="0"/>
          <w:numId w:val="566"/>
        </w:numPr>
        <w:ind w:left="0" w:firstLine="0"/>
        <w:rPr>
          <w:rFonts w:cstheme="minorHAnsi"/>
          <w:noProof/>
        </w:rPr>
      </w:pPr>
      <w:r>
        <w:rPr>
          <w:noProof/>
        </w:rPr>
        <w:t>Ja ziņas par trastu vai līdzīgu juridisku veidojumu faktiskajiem īpašniekiem tiek glabātas centrālajā reģistrā, attiecīgā valsts nodrošina, ka informācija ir adekvāta, aktuāla un pareiza, un ka kompetentajām iestādēm ir savla</w:t>
      </w:r>
      <w:r>
        <w:rPr>
          <w:noProof/>
        </w:rPr>
        <w:t>icīga un neierobežota piekļuve šādai informācijai. Puses cenšas apsvērt veidus, kā piekļuvi informācijai par trastu vai līdzīgu juridisku veidojumu faktiskajiem īpašniekiem nodrošināt fiziskajām personām vai organizācijām, kuras var apliecināt leģitīmas in</w:t>
      </w:r>
      <w:r>
        <w:rPr>
          <w:noProof/>
        </w:rPr>
        <w:t xml:space="preserve">tereses iepazīties ar šādu informāciju. </w:t>
      </w:r>
    </w:p>
    <w:p w:rsidR="003E022D" w:rsidRDefault="007D19D6">
      <w:pPr>
        <w:numPr>
          <w:ilvl w:val="0"/>
          <w:numId w:val="566"/>
        </w:numPr>
        <w:ind w:left="0" w:firstLine="0"/>
        <w:rPr>
          <w:rFonts w:cstheme="minorHAnsi"/>
          <w:noProof/>
        </w:rPr>
      </w:pPr>
      <w:r>
        <w:rPr>
          <w:noProof/>
        </w:rPr>
        <w:t>Katra Puse nodrošina iedarbīgas, samērīgas un atturošas sankcijas pret juridiskām vai fiziskām personām, kuras nepilda prasības, kas tām noteiktas saistībā ar šajā pantā minētajiem jautājumiem.</w:t>
      </w:r>
    </w:p>
    <w:p w:rsidR="003E022D" w:rsidRDefault="007D19D6">
      <w:pPr>
        <w:numPr>
          <w:ilvl w:val="0"/>
          <w:numId w:val="566"/>
        </w:numPr>
        <w:ind w:left="0" w:firstLine="0"/>
        <w:rPr>
          <w:rFonts w:eastAsia="Times New Roman" w:cstheme="minorHAnsi"/>
          <w:noProof/>
        </w:rPr>
      </w:pPr>
      <w:r>
        <w:rPr>
          <w:noProof/>
        </w:rPr>
        <w:t>Katra Puse nodrošina,</w:t>
      </w:r>
      <w:r>
        <w:rPr>
          <w:noProof/>
        </w:rPr>
        <w:t xml:space="preserve"> ka tas kompetentās iestādes var savlaicīgi un efektīvi un bez maksas sniegt 3. punktā minēto informāciju otras Puses kompetentajām iestādēm. Šim nolūkam Puses apsver veidus informācijas drošas apmaiņas nodrošināšanai. </w:t>
      </w:r>
    </w:p>
    <w:p w:rsidR="003E022D" w:rsidRDefault="007D19D6">
      <w:pPr>
        <w:pStyle w:val="Title1"/>
        <w:rPr>
          <w:noProof/>
        </w:rPr>
      </w:pPr>
      <w:bookmarkStart w:id="826" w:name="_Toc57809465"/>
      <w:bookmarkStart w:id="827" w:name="_Toc57978901"/>
      <w:bookmarkStart w:id="828" w:name="_Toc58920349"/>
      <w:bookmarkStart w:id="829" w:name="_Toc58949205"/>
      <w:bookmarkStart w:id="830" w:name="_Toc59472720"/>
      <w:bookmarkStart w:id="831" w:name="_Toc59988372"/>
      <w:r>
        <w:rPr>
          <w:noProof/>
        </w:rPr>
        <w:t>XI sadaļa. Iesaldēšana un konfiskāci</w:t>
      </w:r>
      <w:r>
        <w:rPr>
          <w:noProof/>
        </w:rPr>
        <w:t>ja</w:t>
      </w:r>
      <w:bookmarkEnd w:id="826"/>
      <w:bookmarkEnd w:id="827"/>
      <w:bookmarkEnd w:id="828"/>
      <w:bookmarkEnd w:id="829"/>
      <w:bookmarkEnd w:id="830"/>
      <w:bookmarkEnd w:id="831"/>
      <w:r>
        <w:rPr>
          <w:noProof/>
        </w:rPr>
        <w:t xml:space="preserve"> </w:t>
      </w:r>
    </w:p>
    <w:p w:rsidR="003E022D" w:rsidRDefault="007D19D6">
      <w:pPr>
        <w:pStyle w:val="Article"/>
        <w:rPr>
          <w:noProof/>
        </w:rPr>
      </w:pPr>
      <w:bookmarkStart w:id="832" w:name="_Toc58920350"/>
      <w:r>
        <w:rPr>
          <w:noProof/>
        </w:rPr>
        <w:t>LAW.CONFISC.1. pants. Sadarbības mērķis un principi</w:t>
      </w:r>
      <w:bookmarkEnd w:id="832"/>
      <w:r>
        <w:rPr>
          <w:noProof/>
        </w:rPr>
        <w:t xml:space="preserve"> </w:t>
      </w:r>
    </w:p>
    <w:p w:rsidR="003E022D" w:rsidRDefault="007D19D6">
      <w:pPr>
        <w:numPr>
          <w:ilvl w:val="0"/>
          <w:numId w:val="83"/>
        </w:numPr>
        <w:ind w:left="0" w:firstLine="0"/>
        <w:rPr>
          <w:rFonts w:cstheme="minorHAnsi"/>
          <w:noProof/>
        </w:rPr>
      </w:pPr>
      <w:r>
        <w:rPr>
          <w:noProof/>
        </w:rPr>
        <w:t xml:space="preserve"> Šīs sadaļas mērķis ir paredzēt saistībā ar tiesvedību krimināllietās sadarbību starp Apvienoto Karalisti, no vienas puses, un dalībvalstīm, no otras puses, pēc iespējas plašākā mērogā izmeklēšanās u</w:t>
      </w:r>
      <w:r>
        <w:rPr>
          <w:noProof/>
        </w:rPr>
        <w:t xml:space="preserve">n procesos, kuru mērķis ir īpašuma iesaldēšana ar nolūku to vēlāk konfiscēt, un izmeklēšanās un procesos, kuru mērķis ir īpašuma konfiskācija. Tas neizslēdz citu sadarbību saskaņā ar </w:t>
      </w:r>
      <w:r>
        <w:rPr>
          <w:noProof/>
          <w:u w:color="000000"/>
        </w:rPr>
        <w:t>LAW.CONFISC.10. panta [Pienākums veikt konfiskāciju] 5. un 6. punktu</w:t>
      </w:r>
      <w:r>
        <w:rPr>
          <w:noProof/>
        </w:rPr>
        <w:t>. Šaj</w:t>
      </w:r>
      <w:r>
        <w:rPr>
          <w:noProof/>
        </w:rPr>
        <w:t>ā sadaļā paredzēta arī sadarbība ar Savienības struktūrām, ko Savienība norīkojusi šīs sadaļas vajadzībām.</w:t>
      </w:r>
    </w:p>
    <w:p w:rsidR="003E022D" w:rsidRDefault="007D19D6">
      <w:pPr>
        <w:numPr>
          <w:ilvl w:val="0"/>
          <w:numId w:val="83"/>
        </w:numPr>
        <w:ind w:left="0" w:firstLine="0"/>
        <w:rPr>
          <w:rFonts w:cstheme="minorHAnsi"/>
          <w:noProof/>
        </w:rPr>
      </w:pPr>
      <w:r>
        <w:rPr>
          <w:noProof/>
        </w:rPr>
        <w:t xml:space="preserve">Katra valsts, ievērojot šīs sadaļas noteikumus, izpilda citas valsts pieprasījumus: </w:t>
      </w:r>
    </w:p>
    <w:p w:rsidR="003E022D" w:rsidRDefault="007D19D6">
      <w:pPr>
        <w:ind w:left="567" w:hanging="567"/>
        <w:rPr>
          <w:noProof/>
        </w:rPr>
      </w:pPr>
      <w:r>
        <w:rPr>
          <w:noProof/>
        </w:rPr>
        <w:t xml:space="preserve">a) </w:t>
      </w:r>
      <w:r>
        <w:rPr>
          <w:noProof/>
        </w:rPr>
        <w:tab/>
        <w:t>par konkrētu īpašuma sastāvdaļu konfiskāciju, kā arī noziedz</w:t>
      </w:r>
      <w:r>
        <w:rPr>
          <w:noProof/>
        </w:rPr>
        <w:t xml:space="preserve">īgi iegūtu līdzekļu konfiskāciju, kuru veido prasība samaksāt naudas summu, kas atbilst noziedzīgi iegūto līdzekļu vērtībai; </w:t>
      </w:r>
    </w:p>
    <w:p w:rsidR="003E022D" w:rsidRDefault="007D19D6">
      <w:pPr>
        <w:ind w:left="567" w:hanging="567"/>
        <w:rPr>
          <w:rFonts w:cstheme="minorHAnsi"/>
          <w:noProof/>
        </w:rPr>
      </w:pPr>
      <w:r>
        <w:rPr>
          <w:noProof/>
        </w:rPr>
        <w:t xml:space="preserve">b) </w:t>
      </w:r>
      <w:r>
        <w:rPr>
          <w:noProof/>
        </w:rPr>
        <w:tab/>
        <w:t>par palīdzību izmeklēšanā un pagaidu pasākumiem attiecībā uz jebkuru no a) apakšpunktā minētajiem konfiskācijas veidiem.</w:t>
      </w:r>
    </w:p>
    <w:p w:rsidR="003E022D" w:rsidRDefault="007D19D6">
      <w:pPr>
        <w:numPr>
          <w:ilvl w:val="0"/>
          <w:numId w:val="83"/>
        </w:numPr>
        <w:ind w:left="0" w:firstLine="0"/>
        <w:rPr>
          <w:rFonts w:cstheme="minorHAnsi"/>
          <w:noProof/>
        </w:rPr>
      </w:pPr>
      <w:r>
        <w:rPr>
          <w:noProof/>
        </w:rPr>
        <w:t>Panta</w:t>
      </w:r>
      <w:r>
        <w:rPr>
          <w:noProof/>
        </w:rPr>
        <w:t xml:space="preserve"> 2. punkta b) apakšpunktā lūgto palīdzību izmeklēšanā sniedz un pagaidu pasākumus veic, ciktāl to pieļauj pieprasījuma saņēmējas valsts iekšzemes tiesību akti un saskaņā ar tiem. Ja pieprasījumā par vienu no šiem pasākumiem ir precizētas formalitātes vai p</w:t>
      </w:r>
      <w:r>
        <w:rPr>
          <w:noProof/>
        </w:rPr>
        <w:t>rocedūras, kas ir nepieciešamas atbilstoši pieprasījuma iesniedzējas valsts iekšzemes tiesību aktiem, pat ja pieprasījuma saņēmējā valstī tādas nepastāv, tā izpilda šādus pieprasījumus tiktāl, ciktāl pieprasītā darbība nav pretrunā tās iekšzemes tiesību ak</w:t>
      </w:r>
      <w:r>
        <w:rPr>
          <w:noProof/>
        </w:rPr>
        <w:t>tu pamatprincipiem.</w:t>
      </w:r>
    </w:p>
    <w:p w:rsidR="003E022D" w:rsidRDefault="007D19D6">
      <w:pPr>
        <w:numPr>
          <w:ilvl w:val="0"/>
          <w:numId w:val="83"/>
        </w:numPr>
        <w:ind w:left="0" w:firstLine="0"/>
        <w:rPr>
          <w:rFonts w:cstheme="minorHAnsi"/>
          <w:noProof/>
        </w:rPr>
      </w:pPr>
      <w:r>
        <w:rPr>
          <w:noProof/>
        </w:rPr>
        <w:t>Pieprasījuma saņēmēja valsts nodrošina, ka citas valsts iesniegtiem pieprasījumiem par noziedzīgi iegūtu līdzekļu un nozieguma rīku izsekošanu, iesaldēšanu vai izņemšanu, tiek piešķirta tāda pati prioritāte kā pieprasījumiem, kas iesnie</w:t>
      </w:r>
      <w:r>
        <w:rPr>
          <w:noProof/>
        </w:rPr>
        <w:t>gti saistībā ar iekšzemes procedūrām.</w:t>
      </w:r>
    </w:p>
    <w:p w:rsidR="003E022D" w:rsidRDefault="007D19D6">
      <w:pPr>
        <w:numPr>
          <w:ilvl w:val="0"/>
          <w:numId w:val="83"/>
        </w:numPr>
        <w:ind w:left="0" w:firstLine="0"/>
        <w:rPr>
          <w:rFonts w:cstheme="minorHAnsi"/>
          <w:noProof/>
        </w:rPr>
      </w:pPr>
      <w:r>
        <w:rPr>
          <w:noProof/>
        </w:rPr>
        <w:t>Pieprasījuma iesniedzēja valsts, pieprasot konfiskāciju, palīdzību izmeklēšanā un pagaidu pasākumus konfiskācijas nolūkā, nodrošina, ka tiek ievēroti nepieciešamības un proporcionalitātes principi.</w:t>
      </w:r>
    </w:p>
    <w:p w:rsidR="003E022D" w:rsidRDefault="007D19D6">
      <w:pPr>
        <w:numPr>
          <w:ilvl w:val="0"/>
          <w:numId w:val="83"/>
        </w:numPr>
        <w:ind w:left="0" w:firstLine="0"/>
        <w:rPr>
          <w:rFonts w:cstheme="minorHAnsi"/>
          <w:b/>
          <w:noProof/>
          <w:u w:val="single"/>
        </w:rPr>
      </w:pPr>
      <w:r>
        <w:rPr>
          <w:noProof/>
        </w:rPr>
        <w:t>Šīs sadaļas noteikum</w:t>
      </w:r>
      <w:r>
        <w:rPr>
          <w:noProof/>
        </w:rPr>
        <w:t>us piemēro to “starptautiskās sadarbības” nodaļu vietā, kas ietvertas Eiropas Padomes Konvencijā par noziedzīgi iegūtu līdzekļu legalizācijas un terorisma finansēšanas novēršanu, kā arī šo līdzekļu meklēšanu, izņemšanu un konfiskāciju, kura parakstīta Varš</w:t>
      </w:r>
      <w:r>
        <w:rPr>
          <w:noProof/>
        </w:rPr>
        <w:t xml:space="preserve">avā 2005. gada 16. maijā (“2005. gada konvencija”), un Konvencijā par noziedzīgi iegūtu līdzekļu legalizācijas novēršanu, meklēšanu, izņemšanu un konfiskāciju, kas parakstīta Strasbūrā 1990. gada 8. novembrī (“1990. gada konvencija”). Šā nolīguma </w:t>
      </w:r>
      <w:r>
        <w:rPr>
          <w:noProof/>
          <w:u w:color="000000"/>
        </w:rPr>
        <w:t>LAW.CONFI</w:t>
      </w:r>
      <w:r>
        <w:rPr>
          <w:noProof/>
          <w:u w:color="000000"/>
        </w:rPr>
        <w:t>SC.2. pants [Definīcijas]</w:t>
      </w:r>
      <w:r>
        <w:rPr>
          <w:noProof/>
        </w:rPr>
        <w:t xml:space="preserve"> aizstāj attiecīgās definīcijas 2005. gada konvencijas 1. pantā un 1990. gada konvencijas 1. pantā. Šīs sadaļas noteikumi neietekmē valstu saistības atbilstoši 2005. gada konvencijai un 1990. gada konvencijai.</w:t>
      </w:r>
    </w:p>
    <w:p w:rsidR="003E022D" w:rsidRDefault="007D19D6">
      <w:pPr>
        <w:pStyle w:val="Article"/>
        <w:rPr>
          <w:noProof/>
        </w:rPr>
      </w:pPr>
      <w:bookmarkStart w:id="833" w:name="_Toc58920351"/>
      <w:r>
        <w:rPr>
          <w:noProof/>
        </w:rPr>
        <w:t>LAW.CONFISC.2. pants.</w:t>
      </w:r>
      <w:r>
        <w:rPr>
          <w:noProof/>
        </w:rPr>
        <w:t xml:space="preserve"> Definīcijas</w:t>
      </w:r>
      <w:bookmarkEnd w:id="833"/>
    </w:p>
    <w:p w:rsidR="003E022D" w:rsidRDefault="007D19D6">
      <w:pPr>
        <w:rPr>
          <w:rFonts w:cstheme="minorHAnsi"/>
          <w:noProof/>
        </w:rPr>
      </w:pPr>
      <w:r>
        <w:rPr>
          <w:noProof/>
        </w:rPr>
        <w:t>Šajā sadaļā piemēro šādas definīcijas:</w:t>
      </w:r>
    </w:p>
    <w:p w:rsidR="003E022D" w:rsidRDefault="007D19D6">
      <w:pPr>
        <w:numPr>
          <w:ilvl w:val="0"/>
          <w:numId w:val="82"/>
        </w:numPr>
        <w:ind w:left="567" w:hanging="567"/>
        <w:rPr>
          <w:noProof/>
        </w:rPr>
      </w:pPr>
      <w:r>
        <w:rPr>
          <w:noProof/>
        </w:rPr>
        <w:t>“konfiskācija” ir pēc tiesvedības par noziedzīgu nodarījumu vai noziedzīgiem nodarījumiem tiesas uzlikts sods vai pasākums, kas beidzas ar galīgu īpašuma atņemšanu;</w:t>
      </w:r>
    </w:p>
    <w:p w:rsidR="003E022D" w:rsidRDefault="007D19D6">
      <w:pPr>
        <w:numPr>
          <w:ilvl w:val="0"/>
          <w:numId w:val="82"/>
        </w:numPr>
        <w:ind w:left="567" w:hanging="567"/>
        <w:rPr>
          <w:noProof/>
        </w:rPr>
      </w:pPr>
      <w:r>
        <w:rPr>
          <w:noProof/>
        </w:rPr>
        <w:t xml:space="preserve">“iesaldēšana” vai “izņemšana” ir </w:t>
      </w:r>
      <w:r>
        <w:rPr>
          <w:noProof/>
        </w:rPr>
        <w:t>pagaidu aizliegums nodot, iznīcināt, pārveidot, atsavināt vai pārvietot īpašumu vai īpašuma pagaidu uzraudzība vai kontrole, pamatojoties uz tiesas vai citas kompetentas iestādes izdotu rīkojumu;</w:t>
      </w:r>
    </w:p>
    <w:p w:rsidR="003E022D" w:rsidRDefault="007D19D6">
      <w:pPr>
        <w:numPr>
          <w:ilvl w:val="0"/>
          <w:numId w:val="82"/>
        </w:numPr>
        <w:ind w:left="567" w:hanging="567"/>
        <w:rPr>
          <w:noProof/>
        </w:rPr>
      </w:pPr>
      <w:r>
        <w:rPr>
          <w:noProof/>
        </w:rPr>
        <w:t>“nozieguma rīki” ir jebkāds īpašums, kurš jebkādā veidā, pil</w:t>
      </w:r>
      <w:r>
        <w:rPr>
          <w:noProof/>
        </w:rPr>
        <w:t>nīgi vai daļēji, tika izmantots vai kuru bija paredzēts izmantot, lai izdarītu noziedzīgu nodarījumu vai noziedzīgus nodarījumus;</w:t>
      </w:r>
    </w:p>
    <w:p w:rsidR="003E022D" w:rsidRDefault="007D19D6">
      <w:pPr>
        <w:numPr>
          <w:ilvl w:val="0"/>
          <w:numId w:val="82"/>
        </w:numPr>
        <w:ind w:left="567" w:hanging="567"/>
        <w:rPr>
          <w:noProof/>
        </w:rPr>
      </w:pPr>
      <w:r>
        <w:rPr>
          <w:noProof/>
        </w:rPr>
        <w:t>“tiesas iestāde” ir iestāde jeb saskaņā ar iekšzemes tiesību aktiem – tiesnesis, tiesa vai prokurors; prokuroru uzskata par ti</w:t>
      </w:r>
      <w:r>
        <w:rPr>
          <w:noProof/>
        </w:rPr>
        <w:t>esu sistēmas iestādi tikai tādā apmērā, ciktāl to paredz iekšzemes tiesību akti;</w:t>
      </w:r>
    </w:p>
    <w:p w:rsidR="003E022D" w:rsidRDefault="007D19D6">
      <w:pPr>
        <w:numPr>
          <w:ilvl w:val="0"/>
          <w:numId w:val="82"/>
        </w:numPr>
        <w:ind w:left="567" w:hanging="567"/>
        <w:rPr>
          <w:noProof/>
        </w:rPr>
      </w:pPr>
      <w:r>
        <w:rPr>
          <w:noProof/>
        </w:rPr>
        <w:t>“noziedzīgi iegūti līdzekļi” ir jebkāds saimniecisks labums, kas tieši vai netieši gūts, izdarot noziedzīgu nodarījumu, vai naudas summa, kas līdzvērtīga minētajam saimniecisk</w:t>
      </w:r>
      <w:r>
        <w:rPr>
          <w:noProof/>
        </w:rPr>
        <w:t>ajam labumam; tos var veidot jebkurš īpašums, kā tas definēts šajā pantā;</w:t>
      </w:r>
    </w:p>
    <w:p w:rsidR="003E022D" w:rsidRDefault="007D19D6">
      <w:pPr>
        <w:numPr>
          <w:ilvl w:val="0"/>
          <w:numId w:val="82"/>
        </w:numPr>
        <w:ind w:left="567" w:hanging="567"/>
        <w:rPr>
          <w:noProof/>
        </w:rPr>
      </w:pPr>
      <w:r>
        <w:rPr>
          <w:noProof/>
        </w:rPr>
        <w:t>“īpašums” ir jebkāds īpašums neatkarīgi no tā, vai tā ir ķermeniska vai bezķermeniska, kustama vai nekustama manta, un juridiski dokumenti vai instrumenti, kas apliecina īpašumtiesīb</w:t>
      </w:r>
      <w:r>
        <w:rPr>
          <w:noProof/>
        </w:rPr>
        <w:t>as uz šo īpašumu vai cita veida tiesības uz to, kuru pieprasījuma iesniedzēja valsts uzskata par:</w:t>
      </w:r>
    </w:p>
    <w:p w:rsidR="003E022D" w:rsidRDefault="007D19D6">
      <w:pPr>
        <w:pStyle w:val="Point"/>
        <w:numPr>
          <w:ilvl w:val="2"/>
          <w:numId w:val="567"/>
        </w:numPr>
        <w:rPr>
          <w:rFonts w:cstheme="minorHAnsi"/>
          <w:noProof/>
        </w:rPr>
      </w:pPr>
      <w:r>
        <w:rPr>
          <w:noProof/>
        </w:rPr>
        <w:t>noziedzīgā nodarījumā iegūtiem līdzekļiem vai šādu līdzekļu pilnas vērtības vai tikai tās daļas ekvivalentu;</w:t>
      </w:r>
    </w:p>
    <w:p w:rsidR="003E022D" w:rsidRDefault="007D19D6">
      <w:pPr>
        <w:pStyle w:val="Point"/>
        <w:numPr>
          <w:ilvl w:val="2"/>
          <w:numId w:val="128"/>
        </w:numPr>
        <w:rPr>
          <w:noProof/>
        </w:rPr>
      </w:pPr>
      <w:r>
        <w:rPr>
          <w:noProof/>
        </w:rPr>
        <w:t>noziedzīga nodarījuma rīkiem vai šādu rīku vērtīb</w:t>
      </w:r>
      <w:r>
        <w:rPr>
          <w:noProof/>
        </w:rPr>
        <w:t>u;</w:t>
      </w:r>
    </w:p>
    <w:p w:rsidR="003E022D" w:rsidRDefault="007D19D6">
      <w:pPr>
        <w:pStyle w:val="Point"/>
        <w:numPr>
          <w:ilvl w:val="2"/>
          <w:numId w:val="128"/>
        </w:numPr>
        <w:rPr>
          <w:rFonts w:cstheme="minorHAnsi"/>
          <w:noProof/>
          <w:color w:val="000000" w:themeColor="text1"/>
        </w:rPr>
      </w:pPr>
      <w:r>
        <w:rPr>
          <w:noProof/>
        </w:rPr>
        <w:t xml:space="preserve">konfiscējamu saskaņā ar jebkādiem citiem pieprasījuma iesniedzējas valsts tiesību aktu noteikumiem par konfiskācijas pilnvarām pēc procesa saistībā ar noziedzīgu nodarījumu, ieskaitot </w:t>
      </w:r>
      <w:r>
        <w:rPr>
          <w:noProof/>
          <w:color w:val="000000" w:themeColor="text1"/>
        </w:rPr>
        <w:t>konfiskāciju, ko piemēro trešai personai, paplašinātu konfiskāciju un</w:t>
      </w:r>
      <w:r>
        <w:rPr>
          <w:noProof/>
          <w:color w:val="000000" w:themeColor="text1"/>
        </w:rPr>
        <w:t xml:space="preserve"> konfiskāciju bez galīgā notiesājošā sprieduma</w:t>
      </w:r>
      <w:r>
        <w:rPr>
          <w:noProof/>
        </w:rPr>
        <w:t>.</w:t>
      </w:r>
    </w:p>
    <w:p w:rsidR="003E022D" w:rsidRDefault="007D19D6">
      <w:pPr>
        <w:pStyle w:val="Article"/>
        <w:rPr>
          <w:noProof/>
        </w:rPr>
      </w:pPr>
      <w:bookmarkStart w:id="834" w:name="_Toc58920352"/>
      <w:r>
        <w:rPr>
          <w:noProof/>
        </w:rPr>
        <w:t>LAW.CONFISC.3. pants. Pienākums sniegt palīdzību</w:t>
      </w:r>
      <w:bookmarkEnd w:id="834"/>
    </w:p>
    <w:p w:rsidR="003E022D" w:rsidRDefault="007D19D6">
      <w:pPr>
        <w:rPr>
          <w:rFonts w:cstheme="minorHAnsi"/>
          <w:noProof/>
        </w:rPr>
      </w:pPr>
      <w:r>
        <w:rPr>
          <w:noProof/>
        </w:rPr>
        <w:t>Pamatojoties uz lūgumu, valstis sniedz cita citai visplašāko palīdzību, lai identificētu un izsekotu konfiscējamus nozieguma rīkus, noziedzīgi iegūtus līdzekļu</w:t>
      </w:r>
      <w:r>
        <w:rPr>
          <w:noProof/>
        </w:rPr>
        <w:t>s un citu īpašumu. Šāda palīdzība ietver visus pasākumus, lai sniegtu un nodrošinātu pierādījumus par minēto nozieguma rīku, noziedzīgi iegūtu līdzekļu vai cita īpašuma esamību, atrašanās vietu vai pārvietošanu, veidu, juridisko statusu vai vērtību.</w:t>
      </w:r>
    </w:p>
    <w:p w:rsidR="003E022D" w:rsidRDefault="007D19D6">
      <w:pPr>
        <w:pStyle w:val="Article"/>
        <w:rPr>
          <w:noProof/>
        </w:rPr>
      </w:pPr>
      <w:bookmarkStart w:id="835" w:name="_Toc58920353"/>
      <w:r>
        <w:rPr>
          <w:noProof/>
        </w:rPr>
        <w:t>LAW.CO</w:t>
      </w:r>
      <w:r>
        <w:rPr>
          <w:noProof/>
        </w:rPr>
        <w:t>NFISC.4. pants. Informācijas pieprasījumi par bankas kontiem un glabāšanas seifiem</w:t>
      </w:r>
      <w:bookmarkEnd w:id="835"/>
    </w:p>
    <w:p w:rsidR="003E022D" w:rsidRDefault="007D19D6">
      <w:pPr>
        <w:numPr>
          <w:ilvl w:val="0"/>
          <w:numId w:val="170"/>
        </w:numPr>
        <w:ind w:left="0" w:firstLine="0"/>
        <w:rPr>
          <w:rFonts w:cstheme="minorHAnsi"/>
          <w:strike/>
          <w:noProof/>
        </w:rPr>
      </w:pPr>
      <w:r>
        <w:rPr>
          <w:noProof/>
        </w:rPr>
        <w:t>Pieprasījuma saņēmēja valsts, ievērojot šajā pantā izklāstītos nosacījumus, veic pasākumus, kas vajadzīgi, lai, atbildot uz citas valsts nosūtītu pieprasījumu, noteiktu, vai</w:t>
      </w:r>
      <w:r>
        <w:rPr>
          <w:noProof/>
        </w:rPr>
        <w:t xml:space="preserve"> fiziskai vai juridiskai personai, par kuru notiek kriminālizmeklēšana, ir viens vai vairāki jebkāda veida konti vai arī šī persona kontrolē šādus kontus jebkurā bankā, kas atrodas pieprasījuma saņēmējas valsts teritorijā, un, ja ir, par identificētajiem k</w:t>
      </w:r>
      <w:r>
        <w:rPr>
          <w:noProof/>
        </w:rPr>
        <w:t>ontiem sniedz detalizētu informāciju. Šajā detalizētajā informācijā jo īpaši ietver klienta konta turētāja vārdu/nosaukumu un IBAN numuru, un individuālo seifu gadījumā – nomnieka vārdu un uzvārdu vai unikālu identifikācijas numuru.</w:t>
      </w:r>
    </w:p>
    <w:p w:rsidR="003E022D" w:rsidRDefault="007D19D6">
      <w:pPr>
        <w:numPr>
          <w:ilvl w:val="0"/>
          <w:numId w:val="170"/>
        </w:numPr>
        <w:ind w:left="0" w:firstLine="0"/>
        <w:rPr>
          <w:rFonts w:cstheme="minorHAnsi"/>
          <w:noProof/>
        </w:rPr>
      </w:pPr>
      <w:r>
        <w:rPr>
          <w:noProof/>
        </w:rPr>
        <w:t>Panta 1. punktā noteikt</w:t>
      </w:r>
      <w:r>
        <w:rPr>
          <w:noProof/>
        </w:rPr>
        <w:t xml:space="preserve">o pienākumu piemēro tikai tādā mērā, kādā šī informācija ir pieejama bankai, kurā atrodas attiecīgais konts. </w:t>
      </w:r>
    </w:p>
    <w:p w:rsidR="003E022D" w:rsidRDefault="007D19D6">
      <w:pPr>
        <w:numPr>
          <w:ilvl w:val="0"/>
          <w:numId w:val="170"/>
        </w:numPr>
        <w:ind w:left="0" w:firstLine="0"/>
        <w:rPr>
          <w:rFonts w:cstheme="minorHAnsi"/>
          <w:noProof/>
        </w:rPr>
      </w:pPr>
      <w:r>
        <w:rPr>
          <w:noProof/>
        </w:rPr>
        <w:t xml:space="preserve">Papildus </w:t>
      </w:r>
      <w:r>
        <w:rPr>
          <w:noProof/>
          <w:u w:color="000000"/>
        </w:rPr>
        <w:t>LAW.CONFISC.25. panta [Pieprasījuma saturs]</w:t>
      </w:r>
      <w:r>
        <w:rPr>
          <w:noProof/>
        </w:rPr>
        <w:t xml:space="preserve"> prasībām pieprasījuma iesniedzēja valsts pieprasījumā: </w:t>
      </w:r>
    </w:p>
    <w:p w:rsidR="003E022D" w:rsidRDefault="007D19D6">
      <w:pPr>
        <w:numPr>
          <w:ilvl w:val="0"/>
          <w:numId w:val="171"/>
        </w:numPr>
        <w:ind w:left="567" w:hanging="567"/>
        <w:rPr>
          <w:rFonts w:cstheme="minorHAnsi"/>
          <w:noProof/>
        </w:rPr>
      </w:pPr>
      <w:r>
        <w:rPr>
          <w:noProof/>
        </w:rPr>
        <w:t>norāda, kāpēc tā uzskata, ka pieprasī</w:t>
      </w:r>
      <w:r>
        <w:rPr>
          <w:noProof/>
        </w:rPr>
        <w:t xml:space="preserve">tā informācija, ļoti iespējams, ir būtiska, noziedzīgā nodarījuma izmeklēšanai, </w:t>
      </w:r>
    </w:p>
    <w:p w:rsidR="003E022D" w:rsidRDefault="007D19D6">
      <w:pPr>
        <w:numPr>
          <w:ilvl w:val="0"/>
          <w:numId w:val="171"/>
        </w:numPr>
        <w:ind w:left="567" w:hanging="567"/>
        <w:rPr>
          <w:noProof/>
        </w:rPr>
      </w:pPr>
      <w:r>
        <w:rPr>
          <w:noProof/>
        </w:rPr>
        <w:t>paziņo iemeslus, pamatojoties uz kuriem, tā uzskata, ka pieprasījuma saņēmējas valsts teritorijā esošajās bankās ir attiecīgie konti, un pēc iespējas plašāk precizē, kuras var</w:t>
      </w:r>
      <w:r>
        <w:rPr>
          <w:noProof/>
        </w:rPr>
        <w:t xml:space="preserve">ētu būt attiecīgās bankas un konti, un </w:t>
      </w:r>
    </w:p>
    <w:p w:rsidR="003E022D" w:rsidRDefault="007D19D6">
      <w:pPr>
        <w:numPr>
          <w:ilvl w:val="0"/>
          <w:numId w:val="171"/>
        </w:numPr>
        <w:ind w:left="567" w:hanging="567"/>
        <w:rPr>
          <w:rFonts w:cstheme="minorHAnsi"/>
          <w:noProof/>
        </w:rPr>
      </w:pPr>
      <w:r>
        <w:rPr>
          <w:noProof/>
        </w:rPr>
        <w:t xml:space="preserve">nosūta visu tās rīcībā esošo papildu informāciju, kas varētu atvieglot pieprasījuma izpildi. </w:t>
      </w:r>
    </w:p>
    <w:p w:rsidR="003E022D" w:rsidRDefault="007D19D6">
      <w:pPr>
        <w:rPr>
          <w:rFonts w:cstheme="minorHAnsi"/>
          <w:noProof/>
        </w:rPr>
      </w:pPr>
      <w:r>
        <w:rPr>
          <w:noProof/>
        </w:rPr>
        <w:t>4.</w:t>
      </w:r>
      <w:r>
        <w:rPr>
          <w:noProof/>
        </w:rPr>
        <w:tab/>
        <w:t>Apvienotā Karaliste un Savienība, darbojoties jebkuras tās dalībvalsts uzdevumā, katra var paziņot Specializētajai komi</w:t>
      </w:r>
      <w:r>
        <w:rPr>
          <w:noProof/>
        </w:rPr>
        <w:t>tejai tiesībaizsardzības un tiesu iestāžu sadarbības jomā, ka šis pants tiks attiecināts uz kontiem nebanku finanšu iestādēs. Uz šādiem paziņojumiem var attiecināt savstarpības principu.</w:t>
      </w:r>
    </w:p>
    <w:p w:rsidR="003E022D" w:rsidRDefault="007D19D6">
      <w:pPr>
        <w:pStyle w:val="Article"/>
        <w:rPr>
          <w:noProof/>
        </w:rPr>
      </w:pPr>
      <w:bookmarkStart w:id="836" w:name="_Toc58920354"/>
      <w:r>
        <w:rPr>
          <w:noProof/>
        </w:rPr>
        <w:t>LAW.CONFISC.5. pants. Informācijas pieprasījumi par bankas darījumiem</w:t>
      </w:r>
      <w:bookmarkEnd w:id="836"/>
    </w:p>
    <w:p w:rsidR="003E022D" w:rsidRDefault="007D19D6">
      <w:pPr>
        <w:numPr>
          <w:ilvl w:val="1"/>
          <w:numId w:val="85"/>
        </w:numPr>
        <w:ind w:left="0" w:firstLine="0"/>
        <w:rPr>
          <w:rFonts w:cstheme="minorHAnsi"/>
          <w:noProof/>
        </w:rPr>
      </w:pPr>
      <w:r>
        <w:rPr>
          <w:noProof/>
        </w:rPr>
        <w:t xml:space="preserve">Pieprasījuma saņēmēja valsts pēc citas valsts pieprasījuma sniedz datus par konkrētiem bankas kontiem un bankas operācijām, kas ir notikušas konkrētā laikposmā, izmantojot vienu vai vairākus no pieprasījumā norādītajiem kontiem, tostarp datus par jebkuru </w:t>
      </w:r>
      <w:r>
        <w:rPr>
          <w:noProof/>
        </w:rPr>
        <w:t>sūtītāja vai saņēmēja kontu.</w:t>
      </w:r>
    </w:p>
    <w:p w:rsidR="003E022D" w:rsidRDefault="007D19D6">
      <w:pPr>
        <w:numPr>
          <w:ilvl w:val="1"/>
          <w:numId w:val="85"/>
        </w:numPr>
        <w:ind w:left="0" w:firstLine="0"/>
        <w:rPr>
          <w:rFonts w:cstheme="minorHAnsi"/>
          <w:noProof/>
        </w:rPr>
      </w:pPr>
      <w:r>
        <w:rPr>
          <w:noProof/>
        </w:rPr>
        <w:t>Panta 1. punktā noteikto pienākumu piemēro tikai tādā mērā, kādā šī informācija ir pieejama bankai, kurā atrodas attiecīgais konts.</w:t>
      </w:r>
    </w:p>
    <w:p w:rsidR="003E022D" w:rsidRDefault="007D19D6">
      <w:pPr>
        <w:numPr>
          <w:ilvl w:val="1"/>
          <w:numId w:val="85"/>
        </w:numPr>
        <w:ind w:left="0" w:firstLine="0"/>
        <w:rPr>
          <w:rFonts w:cstheme="minorHAnsi"/>
          <w:noProof/>
        </w:rPr>
      </w:pPr>
      <w:r>
        <w:rPr>
          <w:noProof/>
        </w:rPr>
        <w:t xml:space="preserve">Papildus </w:t>
      </w:r>
      <w:r>
        <w:rPr>
          <w:noProof/>
          <w:u w:color="000000"/>
        </w:rPr>
        <w:t>LAW.CONFISC.25. panta [Pieprasījuma saturs]</w:t>
      </w:r>
      <w:r>
        <w:rPr>
          <w:noProof/>
        </w:rPr>
        <w:t xml:space="preserve"> prasībām pieprasījuma iesniedzēja valsts pieprasījumā norāda, kādēļ tā pieprasīto informāciju uzskata par būtisku noziedzīgā nodarījuma izmeklēšanai.</w:t>
      </w:r>
    </w:p>
    <w:p w:rsidR="003E022D" w:rsidRDefault="007D19D6">
      <w:pPr>
        <w:numPr>
          <w:ilvl w:val="1"/>
          <w:numId w:val="85"/>
        </w:numPr>
        <w:ind w:left="0" w:firstLine="0"/>
        <w:rPr>
          <w:rFonts w:cstheme="minorHAnsi"/>
          <w:noProof/>
        </w:rPr>
      </w:pPr>
      <w:r>
        <w:rPr>
          <w:noProof/>
        </w:rPr>
        <w:t xml:space="preserve">Pieprasījuma saņēmēja valsts var šāda pieprasījuma izpildi padarīt atkarīgu no tiem pašiem nosacījumiem, </w:t>
      </w:r>
      <w:r>
        <w:rPr>
          <w:noProof/>
        </w:rPr>
        <w:t>ko piemēro attiecībā uz pieprasījumiem par meklēšanu un izņemšanu.</w:t>
      </w:r>
    </w:p>
    <w:p w:rsidR="003E022D" w:rsidRDefault="007D19D6">
      <w:pPr>
        <w:numPr>
          <w:ilvl w:val="1"/>
          <w:numId w:val="85"/>
        </w:numPr>
        <w:ind w:left="0" w:firstLine="0"/>
        <w:rPr>
          <w:rFonts w:cstheme="minorHAnsi"/>
          <w:noProof/>
        </w:rPr>
      </w:pPr>
      <w:r>
        <w:rPr>
          <w:noProof/>
        </w:rPr>
        <w:t>Apvienotā Karaliste un Savienība, darbojoties jebkuras tās dalībvalsts uzdevumā, katra var paziņot Specializētajai komitejai tiesībaizsardzības un tiesu iestāžu sadarbības jomā, ka šis pant</w:t>
      </w:r>
      <w:r>
        <w:rPr>
          <w:noProof/>
        </w:rPr>
        <w:t>s tiks attiecināts uz kontiem nebanku finanšu iestādēs. Uz šādiem paziņojumiem var attiecināt savstarpības principu.</w:t>
      </w:r>
    </w:p>
    <w:p w:rsidR="003E022D" w:rsidRDefault="007D19D6">
      <w:pPr>
        <w:pStyle w:val="Article"/>
        <w:rPr>
          <w:noProof/>
        </w:rPr>
      </w:pPr>
      <w:bookmarkStart w:id="837" w:name="_Toc58920355"/>
      <w:r>
        <w:rPr>
          <w:noProof/>
        </w:rPr>
        <w:t>LAW.CONFISC.6. pants. Pieprasījumi par bankas darījumu pārraudzību</w:t>
      </w:r>
      <w:bookmarkEnd w:id="837"/>
    </w:p>
    <w:p w:rsidR="003E022D" w:rsidRDefault="007D19D6">
      <w:pPr>
        <w:numPr>
          <w:ilvl w:val="1"/>
          <w:numId w:val="86"/>
        </w:numPr>
        <w:ind w:left="0" w:firstLine="0"/>
        <w:rPr>
          <w:rFonts w:cstheme="minorHAnsi"/>
          <w:noProof/>
        </w:rPr>
      </w:pPr>
      <w:r>
        <w:rPr>
          <w:noProof/>
        </w:rPr>
        <w:t>Pieprasījuma saņēmēja valsts nodrošina, ka pēc citas valsts pieprasījuma</w:t>
      </w:r>
      <w:r>
        <w:rPr>
          <w:noProof/>
        </w:rPr>
        <w:t xml:space="preserve"> tā spēj konkrētā laikposmā pārraudzīt bankas operācijas, ko veic, izmantojot vienu vai vairākus no pieprasījumā norādītajiem kontiem, un paziņo parraudzības rezultātus pieprasīja iesniedzējai valstij.</w:t>
      </w:r>
    </w:p>
    <w:p w:rsidR="003E022D" w:rsidRDefault="007D19D6">
      <w:pPr>
        <w:numPr>
          <w:ilvl w:val="1"/>
          <w:numId w:val="86"/>
        </w:numPr>
        <w:ind w:left="0" w:firstLine="0"/>
        <w:rPr>
          <w:rFonts w:cstheme="minorHAnsi"/>
          <w:noProof/>
        </w:rPr>
      </w:pPr>
      <w:r>
        <w:rPr>
          <w:noProof/>
        </w:rPr>
        <w:t xml:space="preserve">Papildus </w:t>
      </w:r>
      <w:r>
        <w:rPr>
          <w:noProof/>
          <w:u w:color="000000"/>
        </w:rPr>
        <w:t>LAW.CONFISC.25. panta [Pieprasījuma saturs]</w:t>
      </w:r>
      <w:r>
        <w:rPr>
          <w:noProof/>
        </w:rPr>
        <w:t xml:space="preserve"> p</w:t>
      </w:r>
      <w:r>
        <w:rPr>
          <w:noProof/>
        </w:rPr>
        <w:t>rasībām pieprasījuma iesniedzēja valsts pieprasījumā norāda, kādēļ tā pieprasīto informāciju uzskata par būtisku noziedzīgā nodarījuma izmeklēšanai.</w:t>
      </w:r>
    </w:p>
    <w:p w:rsidR="003E022D" w:rsidRDefault="007D19D6">
      <w:pPr>
        <w:numPr>
          <w:ilvl w:val="1"/>
          <w:numId w:val="86"/>
        </w:numPr>
        <w:ind w:left="0" w:firstLine="0"/>
        <w:rPr>
          <w:rFonts w:cstheme="minorHAnsi"/>
          <w:noProof/>
        </w:rPr>
      </w:pPr>
      <w:r>
        <w:rPr>
          <w:noProof/>
        </w:rPr>
        <w:t>Katrā atsevišķā gadījumā lēmumu par pārraudzību pieņem pieprasījuma saņēmējas valsts kompetentās iestādes s</w:t>
      </w:r>
      <w:r>
        <w:rPr>
          <w:noProof/>
        </w:rPr>
        <w:t>askaņā ar tās iekšzemes tiesību aktiem.</w:t>
      </w:r>
    </w:p>
    <w:p w:rsidR="003E022D" w:rsidRDefault="007D19D6">
      <w:pPr>
        <w:numPr>
          <w:ilvl w:val="1"/>
          <w:numId w:val="86"/>
        </w:numPr>
        <w:ind w:left="0" w:firstLine="0"/>
        <w:rPr>
          <w:rFonts w:cstheme="minorHAnsi"/>
          <w:noProof/>
        </w:rPr>
      </w:pPr>
      <w:r>
        <w:rPr>
          <w:noProof/>
        </w:rPr>
        <w:t>Par pārraudzības praktisko kārtību vienojas pieprasījuma iesniedzējas valsts un pieprasījuma saņēmējas valsts kompetentās iestādes.</w:t>
      </w:r>
    </w:p>
    <w:p w:rsidR="003E022D" w:rsidRDefault="007D19D6">
      <w:pPr>
        <w:numPr>
          <w:ilvl w:val="1"/>
          <w:numId w:val="86"/>
        </w:numPr>
        <w:ind w:left="0" w:firstLine="0"/>
        <w:rPr>
          <w:rFonts w:cstheme="minorHAnsi"/>
          <w:noProof/>
        </w:rPr>
      </w:pPr>
      <w:r>
        <w:rPr>
          <w:noProof/>
        </w:rPr>
        <w:t>Apvienotā Karaliste un Savienība, darbojoties jebkuras tās dalībvalsts uzdevumā, kat</w:t>
      </w:r>
      <w:r>
        <w:rPr>
          <w:noProof/>
        </w:rPr>
        <w:t>ra var paziņot Specializētajai komitejai tiesībaizsardzības un tiesu iestāžu sadarbības jomā, ka šis pants tiks attiecināts uz kontiem nebanku finanšu iestādēs. Uz šādiem paziņojumiem var attiecināt savstarpības principu.</w:t>
      </w:r>
    </w:p>
    <w:p w:rsidR="003E022D" w:rsidRDefault="007D19D6">
      <w:pPr>
        <w:pStyle w:val="Article"/>
        <w:rPr>
          <w:noProof/>
        </w:rPr>
      </w:pPr>
      <w:bookmarkStart w:id="838" w:name="_Toc58920356"/>
      <w:r>
        <w:rPr>
          <w:noProof/>
        </w:rPr>
        <w:t>LAW.CONFISC.7. pants. Spontāna inf</w:t>
      </w:r>
      <w:r>
        <w:rPr>
          <w:noProof/>
        </w:rPr>
        <w:t>ormācija</w:t>
      </w:r>
      <w:bookmarkEnd w:id="838"/>
    </w:p>
    <w:p w:rsidR="003E022D" w:rsidRDefault="007D19D6">
      <w:pPr>
        <w:rPr>
          <w:rFonts w:cstheme="minorHAnsi"/>
          <w:noProof/>
        </w:rPr>
      </w:pPr>
      <w:r>
        <w:rPr>
          <w:noProof/>
        </w:rPr>
        <w:t xml:space="preserve">Neskarot savu izmeklēšanu vai tiesvedību, valsts var bez iepriekšēja lūguma nodot citai valstij informāciju par konfiscējamiem nozieguma rīkiem, noziedzīgi iegūtiem līdzekļiem un citu īpašumu, ja tā uzskata, ka šādas informācijas izpaušana varētu </w:t>
      </w:r>
      <w:r>
        <w:rPr>
          <w:noProof/>
        </w:rPr>
        <w:t>palīdzēt saņēmējai valstij sākt vai veikt izmeklēšanu vai tiesvedību vai varētu veicināt attiecīga lūguma sniegšanu saskaņā ar šo sadaļu.</w:t>
      </w:r>
    </w:p>
    <w:p w:rsidR="003E022D" w:rsidRDefault="007D19D6">
      <w:pPr>
        <w:pStyle w:val="Article"/>
        <w:rPr>
          <w:noProof/>
        </w:rPr>
      </w:pPr>
      <w:bookmarkStart w:id="839" w:name="_Toc58920357"/>
      <w:r>
        <w:rPr>
          <w:noProof/>
        </w:rPr>
        <w:t>LAW.CONFISC.8. pants. Pienākums veikt pagaidu pasākumus</w:t>
      </w:r>
      <w:bookmarkEnd w:id="839"/>
      <w:r>
        <w:rPr>
          <w:noProof/>
        </w:rPr>
        <w:t xml:space="preserve"> </w:t>
      </w:r>
    </w:p>
    <w:p w:rsidR="003E022D" w:rsidRDefault="007D19D6">
      <w:pPr>
        <w:numPr>
          <w:ilvl w:val="1"/>
          <w:numId w:val="87"/>
        </w:numPr>
        <w:ind w:left="0" w:firstLine="0"/>
        <w:rPr>
          <w:rFonts w:cstheme="minorHAnsi"/>
          <w:noProof/>
        </w:rPr>
      </w:pPr>
      <w:r>
        <w:rPr>
          <w:noProof/>
        </w:rPr>
        <w:t>Pēc citas valsts pieprasījuma, kura sākusi noziedzīgā nodarīj</w:t>
      </w:r>
      <w:r>
        <w:rPr>
          <w:noProof/>
        </w:rPr>
        <w:t>uma izmeklēšanu vai tiesvedību, vai izmeklēšanu vai tiesvedību konfiskācijas nolūkā, pieprasījuma saņēmēja valsts veic vajadzīgos pagaidu pasākumus, piemēram, iesaldēšanu vai izņemšanu, lai novērstu jebkādus darījumus ar īpašumu, tā nodošanu vai atsavināša</w:t>
      </w:r>
      <w:r>
        <w:rPr>
          <w:noProof/>
        </w:rPr>
        <w:t xml:space="preserve">nu, ja šis īpašums vēlākā posmā varētu būt pieprasījuma par konfiskāciju priekšmets vai varētu apmierināt pieprasījumu. </w:t>
      </w:r>
    </w:p>
    <w:p w:rsidR="003E022D" w:rsidRDefault="007D19D6">
      <w:pPr>
        <w:numPr>
          <w:ilvl w:val="1"/>
          <w:numId w:val="87"/>
        </w:numPr>
        <w:ind w:left="0" w:firstLine="0"/>
        <w:rPr>
          <w:rFonts w:cstheme="minorHAnsi"/>
          <w:noProof/>
        </w:rPr>
      </w:pPr>
      <w:r>
        <w:rPr>
          <w:noProof/>
        </w:rPr>
        <w:t xml:space="preserve">Valsts, kura ir saņēmusi pieprasījumu par konfiskāciju saskaņā ar </w:t>
      </w:r>
      <w:r>
        <w:rPr>
          <w:noProof/>
          <w:u w:color="000000"/>
        </w:rPr>
        <w:t>LAW.CONFISC.10. pantu [Pienākums veikt konfiskāciju]</w:t>
      </w:r>
      <w:r>
        <w:rPr>
          <w:noProof/>
        </w:rPr>
        <w:t>, ja tas prasīts,</w:t>
      </w:r>
      <w:r>
        <w:rPr>
          <w:noProof/>
        </w:rPr>
        <w:t xml:space="preserve"> veic šā panta 1. punktā minētos pasākumus attiecībā uz jebkuru īpašumu, kas ir pieprasījuma priekšmets vai varētu apmierināt pieprasījumu. </w:t>
      </w:r>
    </w:p>
    <w:p w:rsidR="003E022D" w:rsidRDefault="007D19D6">
      <w:pPr>
        <w:numPr>
          <w:ilvl w:val="1"/>
          <w:numId w:val="87"/>
        </w:numPr>
        <w:ind w:left="0" w:firstLine="0"/>
        <w:rPr>
          <w:rFonts w:cstheme="minorHAnsi"/>
          <w:noProof/>
        </w:rPr>
      </w:pPr>
      <w:r>
        <w:rPr>
          <w:noProof/>
        </w:rPr>
        <w:t>Ja saskaņā ar šo pantu ir saņemts pieprasījums, pieprasījuma saņēmēja valsts nekavējoties veic visus vajadzīgos pas</w:t>
      </w:r>
      <w:r>
        <w:rPr>
          <w:noProof/>
        </w:rPr>
        <w:t>ākumus pieprasījuma izpildei, rīkojoties tikpat ātri un ar tādu pašu prioritāti kā līdzīgā iekšzemes lietā, un nekavējoties un izmantojot jebkurus līdzekļus, kas dod iespēju iegūt rakstisku apliecinājumu, nosūta apstiprinājumu pieprasījuma iesniedzējai val</w:t>
      </w:r>
      <w:r>
        <w:rPr>
          <w:noProof/>
        </w:rPr>
        <w:t>stij.</w:t>
      </w:r>
    </w:p>
    <w:p w:rsidR="003E022D" w:rsidRDefault="007D19D6">
      <w:pPr>
        <w:numPr>
          <w:ilvl w:val="1"/>
          <w:numId w:val="87"/>
        </w:numPr>
        <w:ind w:left="0" w:firstLine="0"/>
        <w:rPr>
          <w:rFonts w:cstheme="minorHAnsi"/>
          <w:noProof/>
        </w:rPr>
      </w:pPr>
      <w:r>
        <w:rPr>
          <w:noProof/>
        </w:rPr>
        <w:t>Ja pieprasījuma iesniedzēja valsts ir norādījusi, ka nepieciešama tūlītēja iesaldēšana, jo ir leģitīms pamats uzskatīt, ka attiecīgo īpašumu nekavējoties pārvietos vai iznīcinās, pieprasījuma saņēmēja valsts 96 stundu laikā pēc pieprasījuma saņemšana</w:t>
      </w:r>
      <w:r>
        <w:rPr>
          <w:noProof/>
        </w:rPr>
        <w:t xml:space="preserve">s veic visus vajadzīgos pasākumus pieprasījuma izpildei, un nekavējoties un izmantojot jebkurus līdzekļus, kas dod iespēju iegūt rakstisku apliecinājumu, nosūta apstiprinājumu pieprasījuma iesniedzējai valstij. </w:t>
      </w:r>
    </w:p>
    <w:p w:rsidR="003E022D" w:rsidRDefault="007D19D6">
      <w:pPr>
        <w:numPr>
          <w:ilvl w:val="1"/>
          <w:numId w:val="87"/>
        </w:numPr>
        <w:ind w:left="0" w:firstLine="0"/>
        <w:rPr>
          <w:rFonts w:cstheme="minorHAnsi"/>
          <w:noProof/>
        </w:rPr>
      </w:pPr>
      <w:r>
        <w:rPr>
          <w:noProof/>
        </w:rPr>
        <w:t>Ja pieprasījuma saņēmēja valsts nespēj ievēr</w:t>
      </w:r>
      <w:r>
        <w:rPr>
          <w:noProof/>
        </w:rPr>
        <w:t xml:space="preserve">ot 4. punktā minēto termiņu, pieprasījuma saņēmēja valsts nekavējoties informē pieprasījuma iesniedzēju valsti un apspriežas ar to par atbilstošu turpmāko rīcību. </w:t>
      </w:r>
    </w:p>
    <w:p w:rsidR="003E022D" w:rsidRDefault="007D19D6">
      <w:pPr>
        <w:numPr>
          <w:ilvl w:val="1"/>
          <w:numId w:val="87"/>
        </w:numPr>
        <w:ind w:left="0" w:firstLine="0"/>
        <w:rPr>
          <w:rFonts w:cstheme="minorHAnsi"/>
          <w:noProof/>
        </w:rPr>
      </w:pPr>
      <w:r>
        <w:rPr>
          <w:noProof/>
        </w:rPr>
        <w:t>Izbeidzoties 4. punktā minētajam termiņam, nebeidzas prasības, kas ar šo pantu izvirzītas pi</w:t>
      </w:r>
      <w:r>
        <w:rPr>
          <w:noProof/>
        </w:rPr>
        <w:t xml:space="preserve">eprasījuma saņēmējas valstij. </w:t>
      </w:r>
    </w:p>
    <w:p w:rsidR="003E022D" w:rsidRDefault="007D19D6">
      <w:pPr>
        <w:pStyle w:val="Article"/>
        <w:rPr>
          <w:noProof/>
        </w:rPr>
      </w:pPr>
      <w:bookmarkStart w:id="840" w:name="_Toc58920358"/>
      <w:r>
        <w:rPr>
          <w:noProof/>
        </w:rPr>
        <w:t>LAW.CONFISC.9. pants. Pagaidu pasākumu izpilde</w:t>
      </w:r>
      <w:bookmarkEnd w:id="840"/>
      <w:r>
        <w:rPr>
          <w:noProof/>
        </w:rPr>
        <w:t xml:space="preserve"> </w:t>
      </w:r>
    </w:p>
    <w:p w:rsidR="003E022D" w:rsidRDefault="007D19D6">
      <w:pPr>
        <w:numPr>
          <w:ilvl w:val="1"/>
          <w:numId w:val="88"/>
        </w:numPr>
        <w:ind w:left="0" w:firstLine="0"/>
        <w:rPr>
          <w:rFonts w:cstheme="minorHAnsi"/>
          <w:noProof/>
        </w:rPr>
      </w:pPr>
      <w:r>
        <w:rPr>
          <w:noProof/>
        </w:rPr>
        <w:t xml:space="preserve">Pēc pagaidu pasākumu izpildes, kuri pieprasīti atbilstoši </w:t>
      </w:r>
      <w:r>
        <w:rPr>
          <w:noProof/>
          <w:u w:color="000000"/>
        </w:rPr>
        <w:t>LAW.CONFISC.8. panta [Pienākums veikt pagaidu pasākumus] 1. punktam</w:t>
      </w:r>
      <w:r>
        <w:rPr>
          <w:noProof/>
        </w:rPr>
        <w:t>, pieprasījuma iesniedzēja valsts pēc savas iniciatīvas un cik drīz vien iespējams pieprasījuma saņēmējai valstij sniedz visu informāciju, kas var likt apšaubīt vai mainīt minēto pasākumu apjomu. Pieprasījuma iesniedzēja valsts nekavējoties sniedz arī visu</w:t>
      </w:r>
      <w:r>
        <w:rPr>
          <w:noProof/>
        </w:rPr>
        <w:t xml:space="preserve"> papildu informāciju, ko pieprasa pieprasījuma saņēmēja valsts un kas ir nepieciešama pagaidu pasākumu īstenošanai un to pēcpasākumiem. </w:t>
      </w:r>
    </w:p>
    <w:p w:rsidR="003E022D" w:rsidRDefault="007D19D6">
      <w:pPr>
        <w:numPr>
          <w:ilvl w:val="1"/>
          <w:numId w:val="88"/>
        </w:numPr>
        <w:ind w:left="0" w:firstLine="0"/>
        <w:rPr>
          <w:rFonts w:cstheme="minorHAnsi"/>
          <w:noProof/>
        </w:rPr>
      </w:pPr>
      <w:r>
        <w:rPr>
          <w:noProof/>
        </w:rPr>
        <w:t xml:space="preserve">Pirms atcelt jebkādus pagaidu pasākumus, kas veikti saskaņā ar </w:t>
      </w:r>
      <w:r>
        <w:rPr>
          <w:noProof/>
          <w:u w:color="000000"/>
        </w:rPr>
        <w:t>LAW.CONFISC.8. pantu [Pienākums veikt pagaidu pasākumus]</w:t>
      </w:r>
      <w:r>
        <w:rPr>
          <w:noProof/>
        </w:rPr>
        <w:t xml:space="preserve">, pieprasījuma saņēmējas valsts kompetentā iestāde, kad vien iespējams, dod pieprasītājas valsts kompetentajai iestādei iespēju izklāstīt tās pamatojumu pasākuma turpināšanai. </w:t>
      </w:r>
    </w:p>
    <w:p w:rsidR="003E022D" w:rsidRDefault="007D19D6">
      <w:pPr>
        <w:pStyle w:val="Article"/>
        <w:rPr>
          <w:noProof/>
        </w:rPr>
      </w:pPr>
      <w:bookmarkStart w:id="841" w:name="_Toc58920359"/>
      <w:r>
        <w:rPr>
          <w:noProof/>
        </w:rPr>
        <w:t>LAW.CONFISC.10. pants. Pienākums veikt konfiskāciju</w:t>
      </w:r>
      <w:bookmarkEnd w:id="841"/>
    </w:p>
    <w:p w:rsidR="003E022D" w:rsidRDefault="007D19D6">
      <w:pPr>
        <w:numPr>
          <w:ilvl w:val="1"/>
          <w:numId w:val="84"/>
        </w:numPr>
        <w:ind w:left="0" w:firstLine="0"/>
        <w:rPr>
          <w:rFonts w:cstheme="minorHAnsi"/>
          <w:noProof/>
        </w:rPr>
      </w:pPr>
      <w:r>
        <w:rPr>
          <w:noProof/>
        </w:rPr>
        <w:t xml:space="preserve">Valsts, kura saņēmusi </w:t>
      </w:r>
      <w:r>
        <w:rPr>
          <w:noProof/>
        </w:rPr>
        <w:t>pieprasījumu par tāda īpašuma konfiskāciju, kas atrodas tās teritorijā:</w:t>
      </w:r>
    </w:p>
    <w:p w:rsidR="003E022D" w:rsidRDefault="007D19D6">
      <w:pPr>
        <w:numPr>
          <w:ilvl w:val="0"/>
          <w:numId w:val="89"/>
        </w:numPr>
        <w:ind w:left="567" w:hanging="567"/>
        <w:rPr>
          <w:noProof/>
        </w:rPr>
      </w:pPr>
      <w:r>
        <w:rPr>
          <w:noProof/>
        </w:rPr>
        <w:t>izpilda konfiskācijas rīkojumu, ko pieprasījuma iesniedzējas valsts tiesa ir izdevusi attiecībā uz šādu īpašumu, vai</w:t>
      </w:r>
    </w:p>
    <w:p w:rsidR="003E022D" w:rsidRDefault="007D19D6">
      <w:pPr>
        <w:numPr>
          <w:ilvl w:val="0"/>
          <w:numId w:val="89"/>
        </w:numPr>
        <w:ind w:left="567" w:hanging="567"/>
        <w:rPr>
          <w:rFonts w:cstheme="minorHAnsi"/>
          <w:noProof/>
        </w:rPr>
      </w:pPr>
      <w:r>
        <w:rPr>
          <w:noProof/>
        </w:rPr>
        <w:t>iesniedz pieprasījumu savām kompetentajām iestādēm nolūkā saņemt ko</w:t>
      </w:r>
      <w:r>
        <w:rPr>
          <w:noProof/>
        </w:rPr>
        <w:t>nfiskācijas rīkojumu un, ja šāds rīkojums ir izdots, izpilda to.</w:t>
      </w:r>
    </w:p>
    <w:p w:rsidR="003E022D" w:rsidRDefault="007D19D6">
      <w:pPr>
        <w:numPr>
          <w:ilvl w:val="1"/>
          <w:numId w:val="84"/>
        </w:numPr>
        <w:ind w:left="0" w:firstLine="0"/>
        <w:rPr>
          <w:rFonts w:cstheme="minorHAnsi"/>
          <w:noProof/>
        </w:rPr>
      </w:pPr>
      <w:r>
        <w:rPr>
          <w:noProof/>
        </w:rPr>
        <w:t>Panta 1. punkta b) apakšpunkta nolūkā valstīm, kad vien nepieciešams, ir kompetence uzsākt konfiskācijas procedūras saskaņā ar to iekšzemes tiesību aktiem.</w:t>
      </w:r>
    </w:p>
    <w:p w:rsidR="003E022D" w:rsidRDefault="007D19D6">
      <w:pPr>
        <w:numPr>
          <w:ilvl w:val="1"/>
          <w:numId w:val="84"/>
        </w:numPr>
        <w:ind w:left="0" w:firstLine="0"/>
        <w:rPr>
          <w:rFonts w:cstheme="minorHAnsi"/>
          <w:noProof/>
        </w:rPr>
      </w:pPr>
      <w:r>
        <w:rPr>
          <w:noProof/>
        </w:rPr>
        <w:t>Panta 1. punktu piemēro arī konfisk</w:t>
      </w:r>
      <w:r>
        <w:rPr>
          <w:noProof/>
        </w:rPr>
        <w:t>ācijām, kuras veido prasība samaksāt naudas summu, kas atbilst noziedzīgi iegūto līdzekļu vērtībai, ja īpašums, pret kuru var izpildīt konfiskāciju, atrodas pieprasījuma saņēmējā valstī. Šādos gadījumos, izpildot konfiskāciju saskaņā ar 1. punktu, pieprasī</w:t>
      </w:r>
      <w:r>
        <w:rPr>
          <w:noProof/>
        </w:rPr>
        <w:t>juma saņēmēja valsts, ja maksājums nav saņemts, apmierina prasību ar jebkuru citu īpašumu, kas pieejams šim nolūkam.</w:t>
      </w:r>
    </w:p>
    <w:p w:rsidR="003E022D" w:rsidRDefault="007D19D6">
      <w:pPr>
        <w:numPr>
          <w:ilvl w:val="1"/>
          <w:numId w:val="84"/>
        </w:numPr>
        <w:ind w:left="0" w:firstLine="0"/>
        <w:rPr>
          <w:rFonts w:cstheme="minorHAnsi"/>
          <w:noProof/>
        </w:rPr>
      </w:pPr>
      <w:r>
        <w:rPr>
          <w:noProof/>
        </w:rPr>
        <w:t>Ja pieprasījums par konfiskāciju attiecas uz īpašuma konkrētu sastāvdaļu, pieprasījuma iesniedzēja valsts un pieprasījuma saņēmēja valsts v</w:t>
      </w:r>
      <w:r>
        <w:rPr>
          <w:noProof/>
        </w:rPr>
        <w:t>ar izpildīt konfiskāciju kā prasību samaksāt naudas summu, kas atbilst īpašuma vērtībai.</w:t>
      </w:r>
    </w:p>
    <w:p w:rsidR="003E022D" w:rsidRDefault="007D19D6">
      <w:pPr>
        <w:numPr>
          <w:ilvl w:val="1"/>
          <w:numId w:val="84"/>
        </w:numPr>
        <w:ind w:left="0" w:firstLine="0"/>
        <w:rPr>
          <w:rFonts w:cstheme="minorHAnsi"/>
          <w:noProof/>
        </w:rPr>
      </w:pPr>
      <w:r>
        <w:rPr>
          <w:noProof/>
        </w:rPr>
        <w:t>Valsts saskaņā ar tās iekšzemes tiesību aktiem pēc iespējas plašākā mērogā sadarbojas ar valsti, kura pieprasa tādu pasākumu izpildi, kas ir līdzvērtīgi konfiskācijai,</w:t>
      </w:r>
      <w:r>
        <w:rPr>
          <w:noProof/>
        </w:rPr>
        <w:t xml:space="preserve"> ja pieprasījums nav izdots procesa krimināllietās ietvaros, ciktāl šādus pasākumus attiecībā uz noziedzīgu nodarījumu ir norīkojusi pieprasījuma iesniedzējas valsts tiesu iestāde, ar nosacījumu, ka ir konstatēts, ka īpašums ir noziedzīgi iegūti līdzekļi v</w:t>
      </w:r>
      <w:r>
        <w:rPr>
          <w:noProof/>
        </w:rPr>
        <w:t>ai:</w:t>
      </w:r>
    </w:p>
    <w:p w:rsidR="003E022D" w:rsidRDefault="007D19D6">
      <w:pPr>
        <w:numPr>
          <w:ilvl w:val="0"/>
          <w:numId w:val="169"/>
        </w:numPr>
        <w:ind w:left="567" w:hanging="567"/>
        <w:rPr>
          <w:noProof/>
        </w:rPr>
      </w:pPr>
      <w:r>
        <w:rPr>
          <w:noProof/>
        </w:rPr>
        <w:t>cits īpašums, kurā pārveidoti vai pārvērsti noziedzīgi iegūtie līdzekļi;</w:t>
      </w:r>
    </w:p>
    <w:p w:rsidR="003E022D" w:rsidRDefault="007D19D6">
      <w:pPr>
        <w:numPr>
          <w:ilvl w:val="0"/>
          <w:numId w:val="169"/>
        </w:numPr>
        <w:ind w:left="567" w:hanging="567"/>
        <w:rPr>
          <w:noProof/>
        </w:rPr>
      </w:pPr>
      <w:r>
        <w:rPr>
          <w:noProof/>
        </w:rPr>
        <w:t>īpašums, kas iegūts no likumīgiem avotiem, ja noziedzīgi iegūti līdzekļi pilnībā vai daļēji apvienoti ar šādu īpašumu, līdz pat apvienoto noziedzīgi iegūto līdzekļu novērtētajai v</w:t>
      </w:r>
      <w:r>
        <w:rPr>
          <w:noProof/>
        </w:rPr>
        <w:t>ērtībai; vai</w:t>
      </w:r>
    </w:p>
    <w:p w:rsidR="003E022D" w:rsidRDefault="007D19D6">
      <w:pPr>
        <w:numPr>
          <w:ilvl w:val="0"/>
          <w:numId w:val="169"/>
        </w:numPr>
        <w:ind w:left="567" w:hanging="567"/>
        <w:rPr>
          <w:rFonts w:cstheme="minorHAnsi"/>
          <w:noProof/>
        </w:rPr>
      </w:pPr>
      <w:r>
        <w:rPr>
          <w:noProof/>
        </w:rPr>
        <w:t>labums, kas gūts no noziedzīgi iegūtiem līdzekļiem, no īpašuma, kurā pārveidoti vai pārvērsti noziedzīgi iegūtie līdzekļi, vai no īpašuma, ar ko apvienoti noziedzīgi iegūtie līdzekļi līdz pat apvienoto noziedzīgi iegūto līdzekļu novērtētajai v</w:t>
      </w:r>
      <w:r>
        <w:rPr>
          <w:noProof/>
        </w:rPr>
        <w:t>ērtībai, tādā pašā veidā un tādā pašā apjomā kā noziedzīgi iegūtie līdzekļi.</w:t>
      </w:r>
    </w:p>
    <w:p w:rsidR="003E022D" w:rsidRDefault="007D19D6">
      <w:pPr>
        <w:numPr>
          <w:ilvl w:val="1"/>
          <w:numId w:val="84"/>
        </w:numPr>
        <w:ind w:left="0" w:firstLine="0"/>
        <w:rPr>
          <w:rFonts w:cstheme="minorHAnsi"/>
          <w:noProof/>
        </w:rPr>
      </w:pPr>
      <w:r>
        <w:rPr>
          <w:noProof/>
        </w:rPr>
        <w:t>Panta 5. punktā minētie pasākumi ietver pasākumus, kas ļauj īpašumu un aktīvus izņemt, arestēt vai konfiscēt, iesniedzot prasību civiltiesā.</w:t>
      </w:r>
    </w:p>
    <w:p w:rsidR="003E022D" w:rsidRDefault="007D19D6">
      <w:pPr>
        <w:numPr>
          <w:ilvl w:val="1"/>
          <w:numId w:val="84"/>
        </w:numPr>
        <w:ind w:left="0" w:firstLine="0"/>
        <w:rPr>
          <w:rFonts w:cstheme="minorHAnsi"/>
          <w:noProof/>
        </w:rPr>
      </w:pPr>
      <w:r>
        <w:rPr>
          <w:noProof/>
        </w:rPr>
        <w:t>Pieprasījuma saņēmēja valsts nekavējot</w:t>
      </w:r>
      <w:r>
        <w:rPr>
          <w:noProof/>
        </w:rPr>
        <w:t>ies pieņem lēmumu par konfiskācijas rīkojuma izpildi un, neskarot šā panta 8. punktu, ne vēlāk kā 45 dienu laikā pēc pieprasījuma saņemšanas. Pieprasījuma saņēmēja valsts nekavējoties un izmantojot jebkurus līdzekļus, kas dod iespēju iegūt rakstisku apliec</w:t>
      </w:r>
      <w:r>
        <w:rPr>
          <w:noProof/>
        </w:rPr>
        <w:t xml:space="preserve">inājumu, nosūta apstiprinājumu pieprasījuma iesniedzējai valstij. Izņemot gadījumus, kad saskaņā ar </w:t>
      </w:r>
      <w:r>
        <w:rPr>
          <w:noProof/>
          <w:u w:color="000000"/>
        </w:rPr>
        <w:t>LAW.CONFISC.17. pantu [Atlikšana]</w:t>
      </w:r>
      <w:r>
        <w:rPr>
          <w:noProof/>
        </w:rPr>
        <w:t xml:space="preserve"> pastāv atlikšanas iemesli, pieprasījuma saņēmēja valsts veic konkrētus pasākumus, kas nepieciešami, lai konfiskācijas rīko</w:t>
      </w:r>
      <w:r>
        <w:rPr>
          <w:noProof/>
        </w:rPr>
        <w:t>jumu izpildītu bez kavēšanās un vismaz tikpat ātri un tādā pašā prioritārā kārtā kā līdzīgā iekšzemes lietā.</w:t>
      </w:r>
    </w:p>
    <w:p w:rsidR="003E022D" w:rsidRDefault="007D19D6">
      <w:pPr>
        <w:numPr>
          <w:ilvl w:val="1"/>
          <w:numId w:val="84"/>
        </w:numPr>
        <w:ind w:left="0" w:firstLine="0"/>
        <w:rPr>
          <w:rFonts w:cstheme="minorHAnsi"/>
          <w:noProof/>
        </w:rPr>
      </w:pPr>
      <w:r>
        <w:rPr>
          <w:noProof/>
        </w:rPr>
        <w:t>Ja pieprasījuma saņēmēja valsts nespēj ievērot 7. punktā minēto termiņu, pieprasījuma saņēmēja valsts nekavējoties informē pieprasījuma iesniedzēju</w:t>
      </w:r>
      <w:r>
        <w:rPr>
          <w:noProof/>
        </w:rPr>
        <w:t xml:space="preserve"> valsti un apspriežas ar to par atbilstošu turpmāko rīcību.</w:t>
      </w:r>
    </w:p>
    <w:p w:rsidR="003E022D" w:rsidRDefault="007D19D6">
      <w:pPr>
        <w:numPr>
          <w:ilvl w:val="1"/>
          <w:numId w:val="84"/>
        </w:numPr>
        <w:ind w:left="0" w:firstLine="0"/>
        <w:rPr>
          <w:rFonts w:cstheme="minorHAnsi"/>
          <w:noProof/>
        </w:rPr>
      </w:pPr>
      <w:r>
        <w:rPr>
          <w:noProof/>
        </w:rPr>
        <w:t>Izbeidzoties 7. punktā minētajam termiņam, nebeidzas prasības, kas ar šo pantu izvirzītas pieprasījuma saņēmējas valstij.</w:t>
      </w:r>
    </w:p>
    <w:p w:rsidR="003E022D" w:rsidRDefault="007D19D6">
      <w:pPr>
        <w:pStyle w:val="Article"/>
        <w:rPr>
          <w:noProof/>
        </w:rPr>
      </w:pPr>
      <w:bookmarkStart w:id="842" w:name="_Toc58920360"/>
      <w:r>
        <w:rPr>
          <w:noProof/>
        </w:rPr>
        <w:t>LAW.CONFISC.11. pants. Konfiskācijas izpilde</w:t>
      </w:r>
      <w:bookmarkEnd w:id="842"/>
      <w:r>
        <w:rPr>
          <w:noProof/>
        </w:rPr>
        <w:t xml:space="preserve"> </w:t>
      </w:r>
    </w:p>
    <w:p w:rsidR="003E022D" w:rsidRDefault="007D19D6">
      <w:pPr>
        <w:numPr>
          <w:ilvl w:val="1"/>
          <w:numId w:val="90"/>
        </w:numPr>
        <w:ind w:left="0" w:firstLine="0"/>
        <w:rPr>
          <w:rFonts w:cstheme="minorHAnsi"/>
          <w:noProof/>
        </w:rPr>
      </w:pPr>
      <w:r>
        <w:rPr>
          <w:noProof/>
        </w:rPr>
        <w:t>Procedūras konfiskācijas pan</w:t>
      </w:r>
      <w:r>
        <w:rPr>
          <w:noProof/>
        </w:rPr>
        <w:t xml:space="preserve">ākšanai un izpildei saskaņā ar </w:t>
      </w:r>
      <w:r>
        <w:rPr>
          <w:noProof/>
          <w:u w:color="000000"/>
        </w:rPr>
        <w:t>LAW.CONFISC.10. pantu [Pienākums veikt konfiskāciju]</w:t>
      </w:r>
      <w:r>
        <w:rPr>
          <w:noProof/>
        </w:rPr>
        <w:t xml:space="preserve"> reglamentē pieprasījuma saņēmējas valsts iekšzemes tiesību akti.</w:t>
      </w:r>
    </w:p>
    <w:p w:rsidR="003E022D" w:rsidRDefault="007D19D6">
      <w:pPr>
        <w:numPr>
          <w:ilvl w:val="1"/>
          <w:numId w:val="90"/>
        </w:numPr>
        <w:ind w:left="0" w:firstLine="0"/>
        <w:rPr>
          <w:rFonts w:cstheme="minorHAnsi"/>
          <w:noProof/>
        </w:rPr>
      </w:pPr>
      <w:r>
        <w:rPr>
          <w:noProof/>
        </w:rPr>
        <w:t>Pieprasījuma saņēmējai valstij ir saistoši konstatētie fakti, ciktāl tie ir izklāstīti notiesājošā spriedum</w:t>
      </w:r>
      <w:r>
        <w:rPr>
          <w:noProof/>
        </w:rPr>
        <w:t>ā vai tiesas nolēmumā, ko pasludinājusi pieprasījuma iesniedzējas valsts tiesa, vai ciktāl šāda notiesājoša sprieduma vai tiesas nolēmuma pamatā ir minētie fakti.</w:t>
      </w:r>
    </w:p>
    <w:p w:rsidR="003E022D" w:rsidRDefault="007D19D6">
      <w:pPr>
        <w:numPr>
          <w:ilvl w:val="1"/>
          <w:numId w:val="90"/>
        </w:numPr>
        <w:ind w:left="0" w:firstLine="0"/>
        <w:rPr>
          <w:rFonts w:cstheme="minorHAnsi"/>
          <w:noProof/>
        </w:rPr>
      </w:pPr>
      <w:r>
        <w:rPr>
          <w:noProof/>
        </w:rPr>
        <w:t>Ja konfiskāciju veido prasība samaksāt naudas summu, pieprasījuma saņēmējas valsts kompetentā</w:t>
      </w:r>
      <w:r>
        <w:rPr>
          <w:noProof/>
        </w:rPr>
        <w:t xml:space="preserve"> iestāde konvertē tās summu minētās valsts valūtā pēc valūtas maiņas kursa, kas ir piemērojams brīdī, kad tiek pieņemts lēmums par konfiskācijas izpildi.</w:t>
      </w:r>
    </w:p>
    <w:p w:rsidR="003E022D" w:rsidRDefault="007D19D6">
      <w:pPr>
        <w:pStyle w:val="Article"/>
        <w:rPr>
          <w:noProof/>
        </w:rPr>
      </w:pPr>
      <w:bookmarkStart w:id="843" w:name="_Toc58920361"/>
      <w:r>
        <w:rPr>
          <w:noProof/>
        </w:rPr>
        <w:t>LAW.CONFISC.12. pants. Konfiscētais īpašums</w:t>
      </w:r>
      <w:bookmarkEnd w:id="843"/>
    </w:p>
    <w:p w:rsidR="003E022D" w:rsidRDefault="007D19D6">
      <w:pPr>
        <w:numPr>
          <w:ilvl w:val="0"/>
          <w:numId w:val="91"/>
        </w:numPr>
        <w:ind w:left="0" w:firstLine="0"/>
        <w:rPr>
          <w:rFonts w:cstheme="minorHAnsi"/>
          <w:noProof/>
        </w:rPr>
      </w:pPr>
      <w:r>
        <w:rPr>
          <w:noProof/>
        </w:rPr>
        <w:t>Ievērojot šā panta 2. un 3. punktu, ar īpašumu, kas konfis</w:t>
      </w:r>
      <w:r>
        <w:rPr>
          <w:noProof/>
        </w:rPr>
        <w:t xml:space="preserve">cēts saskaņā ar </w:t>
      </w:r>
      <w:r>
        <w:rPr>
          <w:noProof/>
          <w:u w:color="000000"/>
        </w:rPr>
        <w:t>LAW.CONFISC.10. pantu [Pienākums veikt konfiskāciju]</w:t>
      </w:r>
      <w:r>
        <w:rPr>
          <w:noProof/>
        </w:rPr>
        <w:t xml:space="preserve"> un </w:t>
      </w:r>
      <w:r>
        <w:rPr>
          <w:noProof/>
          <w:u w:color="000000"/>
        </w:rPr>
        <w:t>LAW.CONFISC.11. pantu [Konfiskācijas izpilde]</w:t>
      </w:r>
      <w:r>
        <w:rPr>
          <w:noProof/>
        </w:rPr>
        <w:t>, pieprasījuma saņēmēja valsts rīkojas atbilstoši tās iekšzemes tiesību aktiem un administratīvajām procedūrām.</w:t>
      </w:r>
    </w:p>
    <w:p w:rsidR="003E022D" w:rsidRDefault="007D19D6">
      <w:pPr>
        <w:numPr>
          <w:ilvl w:val="0"/>
          <w:numId w:val="91"/>
        </w:numPr>
        <w:ind w:left="0" w:firstLine="0"/>
        <w:rPr>
          <w:rFonts w:cstheme="minorHAnsi"/>
          <w:noProof/>
        </w:rPr>
      </w:pPr>
      <w:r>
        <w:rPr>
          <w:noProof/>
        </w:rPr>
        <w:t>Ja pieprasījuma saņēmēja va</w:t>
      </w:r>
      <w:r>
        <w:rPr>
          <w:noProof/>
        </w:rPr>
        <w:t xml:space="preserve">lsts saskaņā ar </w:t>
      </w:r>
      <w:r>
        <w:rPr>
          <w:noProof/>
          <w:u w:color="000000"/>
        </w:rPr>
        <w:t>LAW.CONFISC.10. pantu [Pienākums veikt konfiskāciju]</w:t>
      </w:r>
      <w:r>
        <w:rPr>
          <w:noProof/>
        </w:rPr>
        <w:t xml:space="preserve"> rīkojas citas valsts iesniegta pieprasījuma sakarā, tā, ciktāl to ļauj tās iekšzemes tiesību akti un ja tas pieprasīts, prioritāri apsver konfiscētā īpašuma atgriešanu pieprasījuma iesnie</w:t>
      </w:r>
      <w:r>
        <w:rPr>
          <w:noProof/>
        </w:rPr>
        <w:t>dzējai valstij, lai tā varētu sniegt kompensāciju noziegumā cietušajiem vai atgriezt šādu īpašumu tā likumīgajiem īpašniekiem.</w:t>
      </w:r>
    </w:p>
    <w:p w:rsidR="003E022D" w:rsidRDefault="007D19D6">
      <w:pPr>
        <w:numPr>
          <w:ilvl w:val="0"/>
          <w:numId w:val="91"/>
        </w:numPr>
        <w:ind w:left="0" w:firstLine="0"/>
        <w:rPr>
          <w:rFonts w:cstheme="minorHAnsi"/>
          <w:noProof/>
        </w:rPr>
      </w:pPr>
      <w:r>
        <w:rPr>
          <w:noProof/>
        </w:rPr>
        <w:t xml:space="preserve">Ja pieprasījuma saņēmēja valsts saskaņā ar </w:t>
      </w:r>
      <w:r>
        <w:rPr>
          <w:noProof/>
          <w:u w:color="000000"/>
        </w:rPr>
        <w:t>LAW.CONFISC.10. pantu [Pienākums veikt konfiskāciju]</w:t>
      </w:r>
      <w:r>
        <w:rPr>
          <w:noProof/>
        </w:rPr>
        <w:t xml:space="preserve"> rīkojas citas valsts iesniegta pieprasījuma sakarā, un pēc tam, kad tā ir ņēmusi vērā cietušā tiesības uz īpašuma restitūciju vai kompensāciju saskaņā ar šā panta 2. punktu, pieprasījuma saņēmēja valsts ar konfiskācijas rīkojuma izpildes rezultātā iegūto </w:t>
      </w:r>
      <w:r>
        <w:rPr>
          <w:noProof/>
        </w:rPr>
        <w:t>naudu rīkojas šādi:</w:t>
      </w:r>
    </w:p>
    <w:p w:rsidR="003E022D" w:rsidRDefault="007D19D6">
      <w:pPr>
        <w:numPr>
          <w:ilvl w:val="0"/>
          <w:numId w:val="92"/>
        </w:numPr>
        <w:ind w:left="567" w:hanging="567"/>
        <w:rPr>
          <w:noProof/>
        </w:rPr>
      </w:pPr>
      <w:r>
        <w:rPr>
          <w:noProof/>
        </w:rPr>
        <w:t>ja naudas summa ir vienāda ar vai mazāka par 10 000 EUR, tā pienākas pieprasījuma saņēmējai valstij; vai</w:t>
      </w:r>
    </w:p>
    <w:p w:rsidR="003E022D" w:rsidRDefault="007D19D6">
      <w:pPr>
        <w:numPr>
          <w:ilvl w:val="0"/>
          <w:numId w:val="92"/>
        </w:numPr>
        <w:ind w:left="567" w:hanging="567"/>
        <w:rPr>
          <w:rFonts w:cstheme="minorHAnsi"/>
          <w:noProof/>
        </w:rPr>
      </w:pPr>
      <w:r>
        <w:rPr>
          <w:noProof/>
        </w:rPr>
        <w:t xml:space="preserve">ja naudas summa ir lielāka par 10 000 EUR, pieprasījuma saņēmēja valsts 50 % no atgūtās summas pārskaita pieprasījuma iesniedzējai </w:t>
      </w:r>
      <w:r>
        <w:rPr>
          <w:noProof/>
        </w:rPr>
        <w:t xml:space="preserve">valstij. </w:t>
      </w:r>
    </w:p>
    <w:p w:rsidR="003E022D" w:rsidRDefault="007D19D6">
      <w:pPr>
        <w:numPr>
          <w:ilvl w:val="0"/>
          <w:numId w:val="91"/>
        </w:numPr>
        <w:ind w:left="0" w:firstLine="0"/>
        <w:rPr>
          <w:rFonts w:cstheme="minorHAnsi"/>
          <w:noProof/>
        </w:rPr>
      </w:pPr>
      <w:r>
        <w:rPr>
          <w:noProof/>
        </w:rPr>
        <w:t xml:space="preserve">Neatkarīgi no 3. punkta pieprasījuma iesniedzēja valsts un pieprasījuma saņēmēja valsts var atsevišķos gadījumos īpaši apsvērt iespēju noslēgt citus šādus nolīgumus vai vienošanās par īpašuma nodošanu, ko tās uzskata par piemērotām. </w:t>
      </w:r>
    </w:p>
    <w:p w:rsidR="003E022D" w:rsidRDefault="007D19D6">
      <w:pPr>
        <w:pStyle w:val="Article"/>
        <w:rPr>
          <w:noProof/>
        </w:rPr>
      </w:pPr>
      <w:bookmarkStart w:id="844" w:name="_Toc58920362"/>
      <w:r>
        <w:rPr>
          <w:noProof/>
        </w:rPr>
        <w:t>LAW.CONFISC.</w:t>
      </w:r>
      <w:r>
        <w:rPr>
          <w:noProof/>
        </w:rPr>
        <w:t>13. pants. Tiesības uz izpildi un konfiskācijas maksimālā summa</w:t>
      </w:r>
      <w:bookmarkEnd w:id="844"/>
    </w:p>
    <w:p w:rsidR="003E022D" w:rsidRDefault="007D19D6">
      <w:pPr>
        <w:numPr>
          <w:ilvl w:val="1"/>
          <w:numId w:val="93"/>
        </w:numPr>
        <w:ind w:left="0" w:firstLine="0"/>
        <w:rPr>
          <w:rFonts w:cstheme="minorHAnsi"/>
          <w:noProof/>
        </w:rPr>
      </w:pPr>
      <w:r>
        <w:rPr>
          <w:noProof/>
        </w:rPr>
        <w:t xml:space="preserve">Saskaņā ar </w:t>
      </w:r>
      <w:r>
        <w:rPr>
          <w:noProof/>
          <w:u w:color="000000"/>
        </w:rPr>
        <w:t>LAW.CONFISC.10. pantu [Pienākums veikt konfiskāciju]</w:t>
      </w:r>
      <w:r>
        <w:rPr>
          <w:noProof/>
        </w:rPr>
        <w:t xml:space="preserve"> iesniegts pieprasījums par konfiskāciju neskar pieprasījuma iesniedzējas valsts tiesības pašai izpildīt konfiskācijas rīkojumu.</w:t>
      </w:r>
    </w:p>
    <w:p w:rsidR="003E022D" w:rsidRDefault="007D19D6">
      <w:pPr>
        <w:numPr>
          <w:ilvl w:val="1"/>
          <w:numId w:val="93"/>
        </w:numPr>
        <w:ind w:left="0" w:firstLine="0"/>
        <w:rPr>
          <w:rFonts w:cstheme="minorHAnsi"/>
          <w:noProof/>
        </w:rPr>
      </w:pPr>
      <w:r>
        <w:rPr>
          <w:noProof/>
        </w:rPr>
        <w:t>Neko šajā sadaļā neinterpretē kā atļauju, ka konfiskācijas kopējā vērtība var pārsniegt naudas summu, kas norādīta konfiskācijas rīkojumā. Ja kāda valsts konstatē, ka šāda situācija varētu rasties, attiecīgās valstis apspriežas, lai izvairītos no šādām sek</w:t>
      </w:r>
      <w:r>
        <w:rPr>
          <w:noProof/>
        </w:rPr>
        <w:t>ām.</w:t>
      </w:r>
    </w:p>
    <w:p w:rsidR="003E022D" w:rsidRDefault="007D19D6">
      <w:pPr>
        <w:pStyle w:val="Article"/>
        <w:rPr>
          <w:noProof/>
        </w:rPr>
      </w:pPr>
      <w:bookmarkStart w:id="845" w:name="_Toc58920363"/>
      <w:r>
        <w:rPr>
          <w:noProof/>
        </w:rPr>
        <w:t>LAW.CONFISC.14. pants. Brīvības atņemšana ar aizmugurisku spriedumu</w:t>
      </w:r>
      <w:bookmarkEnd w:id="845"/>
      <w:r>
        <w:rPr>
          <w:noProof/>
        </w:rPr>
        <w:t xml:space="preserve"> </w:t>
      </w:r>
    </w:p>
    <w:p w:rsidR="003E022D" w:rsidRDefault="007D19D6">
      <w:pPr>
        <w:rPr>
          <w:rFonts w:cstheme="minorHAnsi"/>
          <w:noProof/>
        </w:rPr>
      </w:pPr>
      <w:r>
        <w:rPr>
          <w:noProof/>
        </w:rPr>
        <w:t xml:space="preserve">Pieprasījuma saņēmēja valsts, reaģējot uz pieprasījumu, kas iesniegts saskaņā ar </w:t>
      </w:r>
      <w:r>
        <w:rPr>
          <w:noProof/>
          <w:u w:color="000000"/>
        </w:rPr>
        <w:t>LAW.CONFISC.10. pantu [Pienākums veikt konfiskāciju]</w:t>
      </w:r>
      <w:r>
        <w:rPr>
          <w:noProof/>
        </w:rPr>
        <w:t>, bez pieprasījuma iesniedzējas valsts piekrišanas</w:t>
      </w:r>
      <w:r>
        <w:rPr>
          <w:noProof/>
        </w:rPr>
        <w:t xml:space="preserve"> ar aizmugurisku spriedumu nepiemēro brīvības atņemšanu vai jebkādus citus pasākumus, kuri ierobežo personas brīvību.</w:t>
      </w:r>
    </w:p>
    <w:p w:rsidR="003E022D" w:rsidRDefault="007D19D6">
      <w:pPr>
        <w:pStyle w:val="Article"/>
        <w:rPr>
          <w:noProof/>
        </w:rPr>
      </w:pPr>
      <w:bookmarkStart w:id="846" w:name="_Toc58920364"/>
      <w:r>
        <w:rPr>
          <w:noProof/>
        </w:rPr>
        <w:t>LAW.CONFISC.15. pants. Atteikuma pamatojums</w:t>
      </w:r>
      <w:bookmarkEnd w:id="846"/>
      <w:r>
        <w:rPr>
          <w:noProof/>
        </w:rPr>
        <w:t xml:space="preserve"> </w:t>
      </w:r>
    </w:p>
    <w:p w:rsidR="003E022D" w:rsidRDefault="007D19D6">
      <w:pPr>
        <w:numPr>
          <w:ilvl w:val="0"/>
          <w:numId w:val="94"/>
        </w:numPr>
        <w:ind w:left="0" w:firstLine="0"/>
        <w:rPr>
          <w:rFonts w:cstheme="minorHAnsi"/>
          <w:noProof/>
        </w:rPr>
      </w:pPr>
      <w:r>
        <w:rPr>
          <w:noProof/>
        </w:rPr>
        <w:t xml:space="preserve">Sadarbību saskaņā ar šo sadaļu var atteikt šādos gadījumos: </w:t>
      </w:r>
    </w:p>
    <w:p w:rsidR="003E022D" w:rsidRDefault="007D19D6">
      <w:pPr>
        <w:numPr>
          <w:ilvl w:val="0"/>
          <w:numId w:val="167"/>
        </w:numPr>
        <w:ind w:left="567" w:hanging="567"/>
        <w:rPr>
          <w:noProof/>
        </w:rPr>
      </w:pPr>
      <w:r>
        <w:rPr>
          <w:noProof/>
        </w:rPr>
        <w:t xml:space="preserve">pieprasījuma saņēmēja valsts uzskata, ka pieprasījuma izpilde būtu pretrunā </w:t>
      </w:r>
      <w:r>
        <w:rPr>
          <w:i/>
          <w:noProof/>
        </w:rPr>
        <w:t>ne bis in idem</w:t>
      </w:r>
      <w:r>
        <w:rPr>
          <w:noProof/>
        </w:rPr>
        <w:t xml:space="preserve"> principam; vai </w:t>
      </w:r>
    </w:p>
    <w:p w:rsidR="003E022D" w:rsidRDefault="007D19D6">
      <w:pPr>
        <w:numPr>
          <w:ilvl w:val="0"/>
          <w:numId w:val="167"/>
        </w:numPr>
        <w:ind w:left="567" w:hanging="567"/>
        <w:rPr>
          <w:rFonts w:cstheme="minorHAnsi"/>
          <w:noProof/>
        </w:rPr>
      </w:pPr>
      <w:r>
        <w:rPr>
          <w:noProof/>
        </w:rPr>
        <w:t>nodarījums, ar ko saistīts pieprasījums, nav kvalificējams kā nodarījums saskaņā ar pieprasījuma saņēmējas valsts iekšzemes tiesību aktiem, ja tas iz</w:t>
      </w:r>
      <w:r>
        <w:rPr>
          <w:noProof/>
        </w:rPr>
        <w:t xml:space="preserve">darīts tās jurisdikcijā; tomēr šis atteikuma pamats attiecas uz sadarbību saskaņā ar noteikumiem no </w:t>
      </w:r>
      <w:r>
        <w:rPr>
          <w:noProof/>
          <w:u w:color="000000"/>
        </w:rPr>
        <w:t>LAW.CONFISC.3. panta [Pienākums sniegt palīdzību]</w:t>
      </w:r>
      <w:r>
        <w:rPr>
          <w:noProof/>
        </w:rPr>
        <w:t xml:space="preserve"> līdz </w:t>
      </w:r>
      <w:r>
        <w:rPr>
          <w:noProof/>
          <w:u w:color="000000"/>
        </w:rPr>
        <w:t>LAW.CONFISC.7. pantam [Spontāna informācija]</w:t>
      </w:r>
      <w:r>
        <w:rPr>
          <w:noProof/>
        </w:rPr>
        <w:t xml:space="preserve"> tikai tiktāl, ciktāl pieprasītā palīdzība ietver piespie</w:t>
      </w:r>
      <w:r>
        <w:rPr>
          <w:noProof/>
        </w:rPr>
        <w:t xml:space="preserve">du pasākumus. </w:t>
      </w:r>
    </w:p>
    <w:p w:rsidR="003E022D" w:rsidRDefault="007D19D6">
      <w:pPr>
        <w:numPr>
          <w:ilvl w:val="0"/>
          <w:numId w:val="94"/>
        </w:numPr>
        <w:ind w:left="0" w:firstLine="0"/>
        <w:rPr>
          <w:rFonts w:cstheme="minorHAnsi"/>
          <w:noProof/>
        </w:rPr>
      </w:pPr>
      <w:r>
        <w:rPr>
          <w:noProof/>
        </w:rPr>
        <w:t>Apvienotā Karaliste un Savienība, darbojoties jebkuras tās dalībvalsts uzdevumā, katra var paziņot Specializētajai komitejai tiesībaizsardzības un tiesu iestāžu sadarbības jomā, ka, pamatojoties uz savstarpību, šā panta 1. punkta b) apakšpun</w:t>
      </w:r>
      <w:r>
        <w:rPr>
          <w:noProof/>
        </w:rPr>
        <w:t xml:space="preserve">ktā minētais abpusējas sodāmības nosacījums netiks piemērots, ar nosacījumu, ka pieprasījuma pamatā esošais noziedzīgais nodarījums ir: </w:t>
      </w:r>
    </w:p>
    <w:p w:rsidR="003E022D" w:rsidRDefault="007D19D6">
      <w:pPr>
        <w:pStyle w:val="ListParagraph"/>
        <w:numPr>
          <w:ilvl w:val="0"/>
          <w:numId w:val="172"/>
        </w:numPr>
        <w:spacing w:line="276" w:lineRule="auto"/>
        <w:ind w:left="567" w:hanging="567"/>
        <w:contextualSpacing w:val="0"/>
        <w:rPr>
          <w:rFonts w:asciiTheme="minorHAnsi" w:hAnsiTheme="minorHAnsi" w:cstheme="minorHAnsi"/>
          <w:noProof/>
        </w:rPr>
      </w:pPr>
      <w:r>
        <w:rPr>
          <w:rFonts w:asciiTheme="minorHAnsi" w:hAnsiTheme="minorHAnsi"/>
          <w:noProof/>
        </w:rPr>
        <w:t xml:space="preserve">viens no </w:t>
      </w:r>
      <w:r>
        <w:rPr>
          <w:rFonts w:asciiTheme="minorHAnsi" w:hAnsiTheme="minorHAnsi"/>
          <w:noProof/>
          <w:u w:color="000000"/>
        </w:rPr>
        <w:t>LAW.SURR 79. panta [Piemērošanas joma] 4. punktā</w:t>
      </w:r>
      <w:r>
        <w:rPr>
          <w:rFonts w:asciiTheme="minorHAnsi" w:hAnsiTheme="minorHAnsi"/>
          <w:noProof/>
        </w:rPr>
        <w:t xml:space="preserve"> uzskaitītajiem nodarījumiem, kā tas definēts pieprasījuma ies</w:t>
      </w:r>
      <w:r>
        <w:rPr>
          <w:rFonts w:asciiTheme="minorHAnsi" w:hAnsiTheme="minorHAnsi"/>
          <w:noProof/>
        </w:rPr>
        <w:t xml:space="preserve">niedzējas valsts tiesību aktos, un un </w:t>
      </w:r>
    </w:p>
    <w:p w:rsidR="003E022D" w:rsidRDefault="007D19D6">
      <w:pPr>
        <w:pStyle w:val="ListParagraph"/>
        <w:numPr>
          <w:ilvl w:val="0"/>
          <w:numId w:val="172"/>
        </w:numPr>
        <w:spacing w:line="276" w:lineRule="auto"/>
        <w:ind w:left="567" w:hanging="567"/>
        <w:contextualSpacing w:val="0"/>
        <w:rPr>
          <w:rFonts w:asciiTheme="minorHAnsi" w:hAnsiTheme="minorHAnsi" w:cstheme="minorHAnsi"/>
          <w:noProof/>
        </w:rPr>
      </w:pPr>
      <w:r>
        <w:rPr>
          <w:rFonts w:asciiTheme="minorHAnsi" w:hAnsiTheme="minorHAnsi"/>
          <w:noProof/>
        </w:rPr>
        <w:t xml:space="preserve">pieprasījuma iesniedzējas valstī par to var piemērot brīvības atņemšanas sodu vai ar brīvības atņemšanu saistītu drošības līdzekli, kura maksimālais ilgums ir vismaz trīs gadi. </w:t>
      </w:r>
    </w:p>
    <w:p w:rsidR="003E022D" w:rsidRDefault="007D19D6">
      <w:pPr>
        <w:numPr>
          <w:ilvl w:val="0"/>
          <w:numId w:val="94"/>
        </w:numPr>
        <w:ind w:left="0" w:firstLine="0"/>
        <w:rPr>
          <w:rFonts w:cstheme="minorHAnsi"/>
          <w:noProof/>
        </w:rPr>
      </w:pPr>
      <w:r>
        <w:rPr>
          <w:noProof/>
        </w:rPr>
        <w:t xml:space="preserve">Sadarbību saskaņā ar noteikumiem no </w:t>
      </w:r>
      <w:r>
        <w:rPr>
          <w:noProof/>
          <w:u w:color="000000"/>
        </w:rPr>
        <w:t>LAW</w:t>
      </w:r>
      <w:r>
        <w:rPr>
          <w:noProof/>
          <w:u w:color="000000"/>
        </w:rPr>
        <w:t>.CONFISC.3. panta [Pienākums sniegt palīdzību]</w:t>
      </w:r>
      <w:r>
        <w:rPr>
          <w:noProof/>
        </w:rPr>
        <w:t xml:space="preserve"> līdz </w:t>
      </w:r>
      <w:r>
        <w:rPr>
          <w:noProof/>
          <w:u w:color="000000"/>
        </w:rPr>
        <w:t>LAW.CONFISC.7. pantam [Spontāna informācija]</w:t>
      </w:r>
      <w:r>
        <w:rPr>
          <w:noProof/>
        </w:rPr>
        <w:t xml:space="preserve">, ciktāl pieprasītā palīdzība ietver piespiedu pasākumus, un saskaņā ar </w:t>
      </w:r>
      <w:r>
        <w:rPr>
          <w:noProof/>
          <w:u w:color="000000"/>
        </w:rPr>
        <w:t>LAW.CONFISC.8. pantu [Pienākums veikt pagaidu pasākumus]</w:t>
      </w:r>
      <w:r>
        <w:rPr>
          <w:noProof/>
        </w:rPr>
        <w:t xml:space="preserve"> un </w:t>
      </w:r>
      <w:r>
        <w:rPr>
          <w:noProof/>
          <w:u w:color="000000"/>
        </w:rPr>
        <w:t>LAW.CONFISC.9. pantu [Pagaid</w:t>
      </w:r>
      <w:r>
        <w:rPr>
          <w:noProof/>
          <w:u w:color="000000"/>
        </w:rPr>
        <w:t>u pasākumu izpilde]</w:t>
      </w:r>
      <w:r>
        <w:rPr>
          <w:noProof/>
        </w:rPr>
        <w:t xml:space="preserve"> var atteikt arī tad, ja pieprasīto pasākumu nevarētu veikt saskaņā ar pieprasījuma saņēmējas valsts iekšzemes tiesību aktiem izmeklēšanas vai tiesvedības nolūkos līdzīgā iekšzemes lietā. </w:t>
      </w:r>
    </w:p>
    <w:p w:rsidR="003E022D" w:rsidRDefault="007D19D6">
      <w:pPr>
        <w:numPr>
          <w:ilvl w:val="0"/>
          <w:numId w:val="94"/>
        </w:numPr>
        <w:ind w:left="0" w:firstLine="0"/>
        <w:rPr>
          <w:rFonts w:cstheme="minorHAnsi"/>
          <w:noProof/>
        </w:rPr>
      </w:pPr>
      <w:r>
        <w:rPr>
          <w:noProof/>
        </w:rPr>
        <w:t>Ja tas prasīts pieprasījuma saņēmējas valsts iek</w:t>
      </w:r>
      <w:r>
        <w:rPr>
          <w:noProof/>
        </w:rPr>
        <w:t xml:space="preserve">šzemes tiesību aktos, sadarbību saskaņā ar noteikumiem no </w:t>
      </w:r>
      <w:r>
        <w:rPr>
          <w:noProof/>
          <w:u w:color="000000"/>
        </w:rPr>
        <w:t>LAW.CONFISC.3. panta [Pienākums sniegt palīdzību]</w:t>
      </w:r>
      <w:r>
        <w:rPr>
          <w:noProof/>
        </w:rPr>
        <w:t xml:space="preserve"> līdz </w:t>
      </w:r>
      <w:r>
        <w:rPr>
          <w:noProof/>
          <w:u w:color="000000"/>
        </w:rPr>
        <w:t>LAW.CONFISC.7. pantam [Spontāna informācija]</w:t>
      </w:r>
      <w:r>
        <w:rPr>
          <w:noProof/>
        </w:rPr>
        <w:t xml:space="preserve">, ciktāl pieprasītā palīdzība ietver piespiedu pasākumus, un saskaņā ar </w:t>
      </w:r>
      <w:r>
        <w:rPr>
          <w:noProof/>
          <w:u w:color="000000"/>
        </w:rPr>
        <w:t>LAW.CONFISC.8. pantu [Pienā</w:t>
      </w:r>
      <w:r>
        <w:rPr>
          <w:noProof/>
          <w:u w:color="000000"/>
        </w:rPr>
        <w:t>kums veikt pagaidu pasākumus]</w:t>
      </w:r>
      <w:r>
        <w:rPr>
          <w:noProof/>
        </w:rPr>
        <w:t xml:space="preserve"> un </w:t>
      </w:r>
      <w:r>
        <w:rPr>
          <w:noProof/>
          <w:u w:color="000000"/>
        </w:rPr>
        <w:t>LAW.CONFISC.9. pantu [Pagaidu pasākumu izpilde]</w:t>
      </w:r>
      <w:r>
        <w:rPr>
          <w:noProof/>
        </w:rPr>
        <w:t xml:space="preserve"> var atteikt arī tad, ja pieprasītie pasākumi vai jebkuri citi pasākumi ar līdzīgām sekām nebūtu atļauti pieprasījuma iesniedzējas valsts tiesību aktos vai – attiecībā uz piepr</w:t>
      </w:r>
      <w:r>
        <w:rPr>
          <w:noProof/>
        </w:rPr>
        <w:t xml:space="preserve">asījuma iesniedzējas valsts kompetentajām iestādēm –, ja pieprasījumu nav atļāvusi tiesas iestāde, darbojoties saistībā ar noziedzīgiem nodarījumiem. </w:t>
      </w:r>
    </w:p>
    <w:p w:rsidR="003E022D" w:rsidRDefault="007D19D6">
      <w:pPr>
        <w:numPr>
          <w:ilvl w:val="0"/>
          <w:numId w:val="94"/>
        </w:numPr>
        <w:ind w:left="0" w:firstLine="0"/>
        <w:rPr>
          <w:rFonts w:cstheme="minorHAnsi"/>
          <w:noProof/>
        </w:rPr>
      </w:pPr>
      <w:r>
        <w:rPr>
          <w:noProof/>
        </w:rPr>
        <w:t xml:space="preserve">Sadarbību saskaņā ar noteikumiem no </w:t>
      </w:r>
      <w:r>
        <w:rPr>
          <w:noProof/>
          <w:u w:color="000000"/>
        </w:rPr>
        <w:t>LAW.CONFISC.10. panta [Pienākums veikt konfiskāciju]</w:t>
      </w:r>
      <w:r>
        <w:rPr>
          <w:noProof/>
        </w:rPr>
        <w:t xml:space="preserve"> līdz </w:t>
      </w:r>
      <w:r>
        <w:rPr>
          <w:noProof/>
          <w:u w:color="000000"/>
        </w:rPr>
        <w:t>LAW.CONFISC</w:t>
      </w:r>
      <w:r>
        <w:rPr>
          <w:noProof/>
          <w:u w:color="000000"/>
        </w:rPr>
        <w:t>.14. pantam [Brīvības atņemšana ar aizmugurisku spriedumu]</w:t>
      </w:r>
      <w:r>
        <w:rPr>
          <w:noProof/>
        </w:rPr>
        <w:t xml:space="preserve"> var atteikt arī, ja: </w:t>
      </w:r>
    </w:p>
    <w:p w:rsidR="003E022D" w:rsidRDefault="007D19D6">
      <w:pPr>
        <w:numPr>
          <w:ilvl w:val="0"/>
          <w:numId w:val="95"/>
        </w:numPr>
        <w:ind w:left="567" w:hanging="567"/>
        <w:rPr>
          <w:noProof/>
        </w:rPr>
      </w:pPr>
      <w:r>
        <w:rPr>
          <w:noProof/>
        </w:rPr>
        <w:t xml:space="preserve">saskaņā ar pieprasījuma saņēmējas valsts tiesību aktiem konfiskācija nav paredzēta attiecībā uz nodarījuma veidu, ar kuru saistīts lūgums; </w:t>
      </w:r>
    </w:p>
    <w:p w:rsidR="003E022D" w:rsidRDefault="007D19D6">
      <w:pPr>
        <w:numPr>
          <w:ilvl w:val="0"/>
          <w:numId w:val="95"/>
        </w:numPr>
        <w:ind w:left="567" w:hanging="567"/>
        <w:rPr>
          <w:rFonts w:cstheme="minorHAnsi"/>
          <w:noProof/>
        </w:rPr>
      </w:pPr>
      <w:r>
        <w:rPr>
          <w:noProof/>
        </w:rPr>
        <w:t xml:space="preserve">neskarot pienākumu saskaņā ar </w:t>
      </w:r>
      <w:r>
        <w:rPr>
          <w:noProof/>
          <w:u w:color="000000"/>
        </w:rPr>
        <w:t>LAW.CONFISC.10. panta [Pienākums veikt konfiskāciju] 3. punktu</w:t>
      </w:r>
      <w:r>
        <w:rPr>
          <w:noProof/>
        </w:rPr>
        <w:t xml:space="preserve">, tā būtu pretrunā pieprasījuma saņēmējas valsts iekšzemes tiesību aktiem attiecībā uz konfiskācijas ierobežojumiem saistībā ar saikni starp nodarījumu un: </w:t>
      </w:r>
    </w:p>
    <w:p w:rsidR="003E022D" w:rsidRDefault="007D19D6">
      <w:pPr>
        <w:pStyle w:val="Point"/>
        <w:numPr>
          <w:ilvl w:val="2"/>
          <w:numId w:val="567"/>
        </w:numPr>
        <w:rPr>
          <w:rFonts w:cstheme="minorHAnsi"/>
          <w:noProof/>
        </w:rPr>
      </w:pPr>
      <w:r>
        <w:rPr>
          <w:noProof/>
        </w:rPr>
        <w:t>ekonomisku priekšrocību, ko varētu kv</w:t>
      </w:r>
      <w:r>
        <w:rPr>
          <w:noProof/>
        </w:rPr>
        <w:t xml:space="preserve">alificēt kā no tā iegūtus noziedzīgi iegūto līdzekļus; vai </w:t>
      </w:r>
    </w:p>
    <w:p w:rsidR="003E022D" w:rsidRDefault="007D19D6">
      <w:pPr>
        <w:pStyle w:val="Point"/>
        <w:numPr>
          <w:ilvl w:val="2"/>
          <w:numId w:val="128"/>
        </w:numPr>
        <w:rPr>
          <w:rFonts w:cstheme="minorHAnsi"/>
          <w:noProof/>
        </w:rPr>
      </w:pPr>
      <w:r>
        <w:rPr>
          <w:noProof/>
        </w:rPr>
        <w:t xml:space="preserve">īpašumu, ko varētu kvalificēt kā nozieguma rīkus; </w:t>
      </w:r>
    </w:p>
    <w:p w:rsidR="003E022D" w:rsidRDefault="007D19D6">
      <w:pPr>
        <w:numPr>
          <w:ilvl w:val="0"/>
          <w:numId w:val="95"/>
        </w:numPr>
        <w:ind w:left="567" w:hanging="567"/>
        <w:rPr>
          <w:noProof/>
        </w:rPr>
      </w:pPr>
      <w:r>
        <w:rPr>
          <w:noProof/>
        </w:rPr>
        <w:t xml:space="preserve">saskaņā ar pieprasījuma saņēmējas valsts iekšzemes tiesību aktiem konfiskāciju vairs nevar piemērot vai izpildīt termiņa izbeigšanās dēļ; </w:t>
      </w:r>
    </w:p>
    <w:p w:rsidR="003E022D" w:rsidRDefault="007D19D6">
      <w:pPr>
        <w:numPr>
          <w:ilvl w:val="0"/>
          <w:numId w:val="95"/>
        </w:numPr>
        <w:ind w:left="567" w:hanging="567"/>
        <w:rPr>
          <w:rFonts w:cstheme="minorHAnsi"/>
          <w:noProof/>
        </w:rPr>
      </w:pPr>
      <w:r>
        <w:rPr>
          <w:noProof/>
        </w:rPr>
        <w:t>neskar</w:t>
      </w:r>
      <w:r>
        <w:rPr>
          <w:noProof/>
        </w:rPr>
        <w:t xml:space="preserve">ot </w:t>
      </w:r>
      <w:r>
        <w:rPr>
          <w:noProof/>
          <w:u w:color="000000"/>
        </w:rPr>
        <w:t>LAW.CONFISC.10. panta [Pienākums veikt konfiskāciju] 5. un 6. punktu</w:t>
      </w:r>
      <w:r>
        <w:rPr>
          <w:noProof/>
        </w:rPr>
        <w:t>, pieprasījums nav saistīts ar iepriekšēju notiesājošu spriedumu vai tiesas nolēmumu vai šāda nolēmuma pamatojumu, ka ir veikts nodarījums vai vairāki nodarījumi, uz kura pamata ir izdo</w:t>
      </w:r>
      <w:r>
        <w:rPr>
          <w:noProof/>
        </w:rPr>
        <w:t xml:space="preserve">ts rīkojums vai pieprasījums par konfiskāciju; </w:t>
      </w:r>
    </w:p>
    <w:p w:rsidR="003E022D" w:rsidRDefault="007D19D6">
      <w:pPr>
        <w:numPr>
          <w:ilvl w:val="0"/>
          <w:numId w:val="95"/>
        </w:numPr>
        <w:ind w:left="567" w:hanging="567"/>
        <w:rPr>
          <w:noProof/>
        </w:rPr>
      </w:pPr>
      <w:r>
        <w:rPr>
          <w:noProof/>
        </w:rPr>
        <w:t xml:space="preserve">pieprasījuma iesniedzējā valstī konfiskācija nav izpildāma vai to joprojām var pārskatīt parastajā pārsūdzības kārtībā; vai </w:t>
      </w:r>
    </w:p>
    <w:p w:rsidR="003E022D" w:rsidRDefault="007D19D6">
      <w:pPr>
        <w:numPr>
          <w:ilvl w:val="0"/>
          <w:numId w:val="95"/>
        </w:numPr>
        <w:ind w:left="567" w:hanging="567"/>
        <w:rPr>
          <w:rFonts w:cstheme="minorHAnsi"/>
          <w:noProof/>
        </w:rPr>
      </w:pPr>
      <w:r>
        <w:rPr>
          <w:noProof/>
        </w:rPr>
        <w:t>pieprasījums ir saistīts ar konfiskācijas rīkojumu, kas izriet no aizmuguriski pieņ</w:t>
      </w:r>
      <w:r>
        <w:rPr>
          <w:noProof/>
        </w:rPr>
        <w:t>emta lēmuma par personu, pret kuru ir izdots rīkojums, un pieprasījuma saņēmējas valsts ieskatā pieprasījuma iesniedzējas valsts veiktajā tiesvedībā, kas noveda pie šāda lēmuma, netika ievērotas minimālās tiesības uz aizstāvību, kuras atzītas par tādām, ka</w:t>
      </w:r>
      <w:r>
        <w:rPr>
          <w:noProof/>
        </w:rPr>
        <w:t xml:space="preserve">s pienākas ikvienai personai, pret kuru ir izvirzīta apsūdzība krimināllietā. </w:t>
      </w:r>
    </w:p>
    <w:p w:rsidR="003E022D" w:rsidRDefault="007D19D6">
      <w:pPr>
        <w:numPr>
          <w:ilvl w:val="0"/>
          <w:numId w:val="94"/>
        </w:numPr>
        <w:ind w:left="0" w:firstLine="0"/>
        <w:rPr>
          <w:rFonts w:cstheme="minorHAnsi"/>
          <w:noProof/>
        </w:rPr>
      </w:pPr>
      <w:r>
        <w:rPr>
          <w:noProof/>
        </w:rPr>
        <w:t xml:space="preserve">Panta </w:t>
      </w:r>
      <w:r>
        <w:rPr>
          <w:noProof/>
          <w:u w:color="000000"/>
        </w:rPr>
        <w:t>5. punkta f) apakšpunkta</w:t>
      </w:r>
      <w:r>
        <w:rPr>
          <w:noProof/>
        </w:rPr>
        <w:t xml:space="preserve"> nolūkos lēmumu neuzskata par aizmuguriski pieņemtu, ja: </w:t>
      </w:r>
    </w:p>
    <w:p w:rsidR="003E022D" w:rsidRDefault="007D19D6">
      <w:pPr>
        <w:numPr>
          <w:ilvl w:val="0"/>
          <w:numId w:val="96"/>
        </w:numPr>
        <w:ind w:left="567" w:hanging="567"/>
        <w:rPr>
          <w:noProof/>
        </w:rPr>
      </w:pPr>
      <w:r>
        <w:rPr>
          <w:noProof/>
        </w:rPr>
        <w:t>tas ir apstiprināts vai paziņots pēc tam, kad attiecīgā persona ir sniegusi iebildumus; v</w:t>
      </w:r>
      <w:r>
        <w:rPr>
          <w:noProof/>
        </w:rPr>
        <w:t xml:space="preserve">ai </w:t>
      </w:r>
    </w:p>
    <w:p w:rsidR="003E022D" w:rsidRDefault="007D19D6">
      <w:pPr>
        <w:numPr>
          <w:ilvl w:val="0"/>
          <w:numId w:val="96"/>
        </w:numPr>
        <w:ind w:left="567" w:hanging="567"/>
        <w:rPr>
          <w:rFonts w:cstheme="minorHAnsi"/>
          <w:noProof/>
        </w:rPr>
      </w:pPr>
      <w:r>
        <w:rPr>
          <w:noProof/>
        </w:rPr>
        <w:t xml:space="preserve">tas ir pieņemts pārsūdzības tiesvedībā, ar nosacījumu, ka pārsūdzību ir iesniegusi attiecīgā persona. </w:t>
      </w:r>
    </w:p>
    <w:p w:rsidR="003E022D" w:rsidRDefault="007D19D6">
      <w:pPr>
        <w:numPr>
          <w:ilvl w:val="0"/>
          <w:numId w:val="94"/>
        </w:numPr>
        <w:ind w:left="0" w:firstLine="0"/>
        <w:rPr>
          <w:rFonts w:cstheme="minorHAnsi"/>
          <w:noProof/>
        </w:rPr>
      </w:pPr>
      <w:r>
        <w:rPr>
          <w:noProof/>
        </w:rPr>
        <w:t>Panta 5. punkta f) apakšpunkta nolūkos apsverot, vai ir ievērotas minimālās tiesības uz aizstāvību, pieprasījuma saņēmēja valsts ņem vērā faktu, ka a</w:t>
      </w:r>
      <w:r>
        <w:rPr>
          <w:noProof/>
        </w:rPr>
        <w:t>ttiecīgā persona tīši ir centusies izvairīties no saukšanas pie atbildības, vai faktu, ka minētā persona pēc tam, kad tai bija iespēja pret aizmuguriski pieņemtu lēmumu izmantot tiesiskās aizsardzības līdzekli, izvēlējās to nedarīt. Tas pats attiecas uz ga</w:t>
      </w:r>
      <w:r>
        <w:rPr>
          <w:noProof/>
        </w:rPr>
        <w:t xml:space="preserve">dījumiem, kad attiecīgā persona pēc pienācīgi izsniegta uzaicinājuma ierasties uz tiesu, izvēlējās to nedarīt un neprasīja sēdes atlikšanu. </w:t>
      </w:r>
    </w:p>
    <w:p w:rsidR="003E022D" w:rsidRDefault="007D19D6">
      <w:pPr>
        <w:numPr>
          <w:ilvl w:val="0"/>
          <w:numId w:val="94"/>
        </w:numPr>
        <w:ind w:left="0" w:firstLine="0"/>
        <w:rPr>
          <w:rFonts w:cstheme="minorHAnsi"/>
          <w:noProof/>
        </w:rPr>
      </w:pPr>
      <w:r>
        <w:rPr>
          <w:noProof/>
        </w:rPr>
        <w:t>Valstis neatsaucas uz bankas noslēpumu kā iemeslu atteikumam sadarboties saskaņā ar šo sadaļu. Ja to prasa pieprasī</w:t>
      </w:r>
      <w:r>
        <w:rPr>
          <w:noProof/>
        </w:rPr>
        <w:t xml:space="preserve">juma saņēmējas valsts iekšzemes tiesību akti, tā var pieprasīt, ka pieprasījumu par sadarbību, kurā būtu ietverta bankas noslēpuma atcelšana, atļauj tiesas iestāde, darbojoties saistībā ar noziedzīgiem nodarījumiem. </w:t>
      </w:r>
    </w:p>
    <w:p w:rsidR="003E022D" w:rsidRDefault="007D19D6">
      <w:pPr>
        <w:pStyle w:val="ListParagraph"/>
        <w:numPr>
          <w:ilvl w:val="0"/>
          <w:numId w:val="94"/>
        </w:numPr>
        <w:spacing w:line="276" w:lineRule="auto"/>
        <w:ind w:left="0" w:firstLine="0"/>
        <w:contextualSpacing w:val="0"/>
        <w:rPr>
          <w:rFonts w:asciiTheme="minorHAnsi" w:hAnsiTheme="minorHAnsi" w:cstheme="minorHAnsi"/>
          <w:noProof/>
        </w:rPr>
      </w:pPr>
      <w:bookmarkStart w:id="847" w:name="_Hlk59525604"/>
      <w:r>
        <w:rPr>
          <w:rFonts w:asciiTheme="minorHAnsi" w:hAnsiTheme="minorHAnsi"/>
          <w:noProof/>
        </w:rPr>
        <w:t xml:space="preserve">Pieprasījuma saņēmēja valsts: </w:t>
      </w:r>
    </w:p>
    <w:p w:rsidR="003E022D" w:rsidRDefault="007D19D6">
      <w:pPr>
        <w:numPr>
          <w:ilvl w:val="0"/>
          <w:numId w:val="97"/>
        </w:numPr>
        <w:ind w:left="567" w:hanging="567"/>
        <w:rPr>
          <w:noProof/>
        </w:rPr>
      </w:pPr>
      <w:r>
        <w:rPr>
          <w:noProof/>
        </w:rPr>
        <w:t xml:space="preserve">uz faktu, ka persona, pret kuru pieprasījuma iesniedzējas valsts iestādes veic izmeklēšanu vai ir izdevušas konfiskācijas rīkojumu, ir juridiska persona, nevar atsaukties kā uz šķērsli jebkādas sadarbības nodrošināšanai saskaņā ar šo sadaļu;  </w:t>
      </w:r>
    </w:p>
    <w:p w:rsidR="003E022D" w:rsidRDefault="007D19D6">
      <w:pPr>
        <w:numPr>
          <w:ilvl w:val="0"/>
          <w:numId w:val="97"/>
        </w:numPr>
        <w:ind w:left="567" w:hanging="567"/>
        <w:rPr>
          <w:rFonts w:cstheme="minorHAnsi"/>
          <w:noProof/>
        </w:rPr>
      </w:pPr>
      <w:r>
        <w:rPr>
          <w:noProof/>
        </w:rPr>
        <w:t>uz faktu, ka</w:t>
      </w:r>
      <w:r>
        <w:rPr>
          <w:noProof/>
        </w:rPr>
        <w:t xml:space="preserve"> fiziskā persona, pret kuru izdots rīkojums par noziedzīgi iegūtu līdzekļu konfiskāciju, ir mirusi, vai juridiskā persona, pret kuru izdots rīkojums par noziedzīgi iegūtu līdzekļu konfiskāciju, vēlāk ir likvidēta, nevar atsaukties kā uz šķērsli palīdzības </w:t>
      </w:r>
      <w:r>
        <w:rPr>
          <w:noProof/>
        </w:rPr>
        <w:t xml:space="preserve">sniegšanai saskaņā ar </w:t>
      </w:r>
      <w:r>
        <w:rPr>
          <w:noProof/>
          <w:u w:color="000000"/>
        </w:rPr>
        <w:t>LAW.CONFISC.10. panta [Pienākums veikt konfiskāciju] 1. punkta a) apakšpunktu</w:t>
      </w:r>
      <w:r>
        <w:rPr>
          <w:noProof/>
        </w:rPr>
        <w:t xml:space="preserve">; vai </w:t>
      </w:r>
    </w:p>
    <w:p w:rsidR="003E022D" w:rsidRDefault="007D19D6">
      <w:pPr>
        <w:numPr>
          <w:ilvl w:val="0"/>
          <w:numId w:val="97"/>
        </w:numPr>
        <w:ind w:left="567" w:hanging="567"/>
        <w:rPr>
          <w:rFonts w:cstheme="minorHAnsi"/>
          <w:noProof/>
        </w:rPr>
      </w:pPr>
      <w:r>
        <w:rPr>
          <w:noProof/>
        </w:rPr>
        <w:t>uz faktu, ka persona, pret kuru pieprasījuma iesniedzējas valsts iestādes veic izmeklēšanu vai ir izdevušas konfiskācijas rīkojumu, pieprasījumā ir mi</w:t>
      </w:r>
      <w:r>
        <w:rPr>
          <w:noProof/>
        </w:rPr>
        <w:t xml:space="preserve">nēta gan kā attiecīgā noziedzīgā nodarījuma, gan kā nelikumīgi iegūtu līdzekļu legalizēšanas izdarītāja, nevar atsaukties kā uz šķērsli jebkādas sadarbības nodrošināšanai saskaņā ar šo sadaļu. </w:t>
      </w:r>
    </w:p>
    <w:p w:rsidR="003E022D" w:rsidRDefault="007D19D6">
      <w:pPr>
        <w:pStyle w:val="Article"/>
        <w:rPr>
          <w:noProof/>
        </w:rPr>
      </w:pPr>
      <w:bookmarkStart w:id="848" w:name="_Toc58920365"/>
      <w:bookmarkEnd w:id="847"/>
      <w:r>
        <w:rPr>
          <w:noProof/>
        </w:rPr>
        <w:t>LAW.CONFISC.16. pants. Apspriešanās un informēšana</w:t>
      </w:r>
      <w:bookmarkEnd w:id="848"/>
    </w:p>
    <w:p w:rsidR="003E022D" w:rsidRDefault="007D19D6">
      <w:pPr>
        <w:rPr>
          <w:rFonts w:cstheme="minorHAnsi"/>
          <w:noProof/>
        </w:rPr>
      </w:pPr>
      <w:r>
        <w:rPr>
          <w:noProof/>
        </w:rPr>
        <w:t>Ja ir pamat</w:t>
      </w:r>
      <w:r>
        <w:rPr>
          <w:noProof/>
        </w:rPr>
        <w:t>oti iemesli, kas ļauj uzskatīt, ka iesaldēšanas vai konfiskācijas rīkojuma izpilde radītu reālu risku pamattiesību aizsardzībai, pieprasījuma saņēmēja valsts, pirms tā pieņem lēmumu par iesaldēšanas vai konfiskācijas rīkojuma izpildi, apspriežas ar piepras</w:t>
      </w:r>
      <w:r>
        <w:rPr>
          <w:noProof/>
        </w:rPr>
        <w:t>ījuma iesniedzēju valsti un var pieprasīt sniegt jebkādu vajadzīgo informāciju.</w:t>
      </w:r>
    </w:p>
    <w:p w:rsidR="003E022D" w:rsidRDefault="007D19D6">
      <w:pPr>
        <w:pStyle w:val="Article"/>
        <w:rPr>
          <w:noProof/>
        </w:rPr>
      </w:pPr>
      <w:bookmarkStart w:id="849" w:name="_Toc58920366"/>
      <w:r>
        <w:rPr>
          <w:noProof/>
        </w:rPr>
        <w:t>LAW.CONFISC.17. pants. Atlikšana</w:t>
      </w:r>
      <w:bookmarkEnd w:id="849"/>
    </w:p>
    <w:p w:rsidR="003E022D" w:rsidRDefault="007D19D6">
      <w:pPr>
        <w:rPr>
          <w:rFonts w:cstheme="minorHAnsi"/>
          <w:noProof/>
        </w:rPr>
      </w:pPr>
      <w:r>
        <w:rPr>
          <w:noProof/>
        </w:rPr>
        <w:t>Pieprasījuma saņēmēja valsts var atlikt reaģēšanu uz pieprasījumu, ja šāda rīcība kaitētu tās iestāžu veiktai izmeklēšanai vai tiesvedībai.</w:t>
      </w:r>
    </w:p>
    <w:p w:rsidR="003E022D" w:rsidRDefault="007D19D6">
      <w:pPr>
        <w:pStyle w:val="Article"/>
        <w:rPr>
          <w:noProof/>
        </w:rPr>
      </w:pPr>
      <w:bookmarkStart w:id="850" w:name="_Toc58920367"/>
      <w:r>
        <w:rPr>
          <w:noProof/>
        </w:rPr>
        <w:t>LAW.CONFISC.18. pants. Pieprasījuma apmierināšana daļēji vai ar nosacījumiem</w:t>
      </w:r>
      <w:bookmarkEnd w:id="850"/>
    </w:p>
    <w:p w:rsidR="003E022D" w:rsidRDefault="007D19D6">
      <w:pPr>
        <w:rPr>
          <w:rFonts w:cstheme="minorHAnsi"/>
          <w:noProof/>
        </w:rPr>
      </w:pPr>
      <w:r>
        <w:rPr>
          <w:noProof/>
        </w:rPr>
        <w:t>Pirms pieprasījuma saņēmēja valsts atsaka vai atliek sadarbību saskaņā ar šo sadaļu, tā, attiecīgā gadījumā apspriedusies ar pieprasījuma iesniedzēju valsti, apsver iespēju piepra</w:t>
      </w:r>
      <w:r>
        <w:rPr>
          <w:noProof/>
        </w:rPr>
        <w:t>sījumu apmierināt daļēji vai ar tādiem nosacījumiem, kādus tā uzskata par vajadzīgiem.</w:t>
      </w:r>
    </w:p>
    <w:p w:rsidR="003E022D" w:rsidRDefault="007D19D6">
      <w:pPr>
        <w:pStyle w:val="Article"/>
        <w:rPr>
          <w:noProof/>
        </w:rPr>
      </w:pPr>
      <w:bookmarkStart w:id="851" w:name="_Toc58920368"/>
      <w:r>
        <w:rPr>
          <w:noProof/>
        </w:rPr>
        <w:t>LAW.CONFISC.19. pants. Dokumentu izsniegšana</w:t>
      </w:r>
      <w:bookmarkEnd w:id="851"/>
    </w:p>
    <w:p w:rsidR="003E022D" w:rsidRDefault="007D19D6">
      <w:pPr>
        <w:numPr>
          <w:ilvl w:val="1"/>
          <w:numId w:val="98"/>
        </w:numPr>
        <w:ind w:left="0" w:firstLine="0"/>
        <w:rPr>
          <w:rFonts w:cstheme="minorHAnsi"/>
          <w:noProof/>
        </w:rPr>
      </w:pPr>
      <w:r>
        <w:rPr>
          <w:noProof/>
        </w:rPr>
        <w:t xml:space="preserve">Valstis sniedz cita citai visplašāko savstarpējo palīdzību, izsniedzot dokumentus personām, kuras skar pagaidu pasākumi vai </w:t>
      </w:r>
      <w:r>
        <w:rPr>
          <w:noProof/>
        </w:rPr>
        <w:t>konfiskācija.</w:t>
      </w:r>
    </w:p>
    <w:p w:rsidR="003E022D" w:rsidRDefault="007D19D6">
      <w:pPr>
        <w:numPr>
          <w:ilvl w:val="1"/>
          <w:numId w:val="98"/>
        </w:numPr>
        <w:ind w:left="0" w:firstLine="0"/>
        <w:rPr>
          <w:rFonts w:cstheme="minorHAnsi"/>
          <w:noProof/>
        </w:rPr>
      </w:pPr>
      <w:r>
        <w:rPr>
          <w:noProof/>
        </w:rPr>
        <w:t>Nekas šajā pantā nav paredzēts, lai traucētu:</w:t>
      </w:r>
    </w:p>
    <w:p w:rsidR="003E022D" w:rsidRDefault="007D19D6">
      <w:pPr>
        <w:numPr>
          <w:ilvl w:val="0"/>
          <w:numId w:val="99"/>
        </w:numPr>
        <w:ind w:left="567" w:hanging="567"/>
        <w:rPr>
          <w:noProof/>
        </w:rPr>
      </w:pPr>
      <w:r>
        <w:rPr>
          <w:noProof/>
        </w:rPr>
        <w:t>iespējai tiesas dokumentus tieši nosūtīt personām ārvalstīs, izmantojot pasta kanālus; un</w:t>
      </w:r>
    </w:p>
    <w:p w:rsidR="003E022D" w:rsidRDefault="007D19D6">
      <w:pPr>
        <w:numPr>
          <w:ilvl w:val="0"/>
          <w:numId w:val="99"/>
        </w:numPr>
        <w:ind w:left="567" w:hanging="567"/>
        <w:rPr>
          <w:rFonts w:cstheme="minorHAnsi"/>
          <w:noProof/>
        </w:rPr>
      </w:pPr>
      <w:r>
        <w:rPr>
          <w:noProof/>
        </w:rPr>
        <w:t>iespējai, ka tiesu izpildītāji, amatpersonas vai citas izcelsmes valsts kompetentās iestādes tiesas dokume</w:t>
      </w:r>
      <w:r>
        <w:rPr>
          <w:noProof/>
        </w:rPr>
        <w:t>ntus izsniedz tieši ar minētās valsts konsulāro dienestu vai tiesu iestāžu (ieskaitot tiesu izpildītājus un amatpersonas) vai ar galamērķa valsts citu iestāžu starpniecību.</w:t>
      </w:r>
    </w:p>
    <w:p w:rsidR="003E022D" w:rsidRDefault="007D19D6">
      <w:pPr>
        <w:numPr>
          <w:ilvl w:val="1"/>
          <w:numId w:val="98"/>
        </w:numPr>
        <w:ind w:left="0" w:firstLine="0"/>
        <w:rPr>
          <w:rFonts w:cstheme="minorHAnsi"/>
          <w:noProof/>
        </w:rPr>
      </w:pPr>
      <w:r>
        <w:rPr>
          <w:noProof/>
        </w:rPr>
        <w:t xml:space="preserve">Izsniedzot tiesas dokumentus tādām personām ārvalstīs, kuras skar pagaidu pasākumi </w:t>
      </w:r>
      <w:r>
        <w:rPr>
          <w:noProof/>
        </w:rPr>
        <w:t>vai konfiskācijas rīkojumi, ko izdevusi nosūtītāja valsts, minētā valsts norāda, kādi tiesiskās aizsardzības līdzekļi šādām personām ir pieejami saskaņā ar tās iekšzemes tiesību aktiem.</w:t>
      </w:r>
    </w:p>
    <w:p w:rsidR="003E022D" w:rsidRDefault="007D19D6">
      <w:pPr>
        <w:pStyle w:val="Article"/>
        <w:rPr>
          <w:noProof/>
        </w:rPr>
      </w:pPr>
      <w:bookmarkStart w:id="852" w:name="_Toc58920369"/>
      <w:r>
        <w:rPr>
          <w:noProof/>
        </w:rPr>
        <w:t>LAW.CONFISC.20. pants. Ārvalstu nolēmumu atzīšana</w:t>
      </w:r>
      <w:bookmarkEnd w:id="852"/>
    </w:p>
    <w:p w:rsidR="003E022D" w:rsidRDefault="007D19D6">
      <w:pPr>
        <w:numPr>
          <w:ilvl w:val="1"/>
          <w:numId w:val="100"/>
        </w:numPr>
        <w:ind w:left="0" w:firstLine="0"/>
        <w:rPr>
          <w:rFonts w:cstheme="minorHAnsi"/>
          <w:noProof/>
        </w:rPr>
      </w:pPr>
      <w:r>
        <w:rPr>
          <w:noProof/>
        </w:rPr>
        <w:t>Izskatot pieprasījum</w:t>
      </w:r>
      <w:r>
        <w:rPr>
          <w:noProof/>
        </w:rPr>
        <w:t xml:space="preserve">u par sadarbību saskaņā ar noteikumiem no </w:t>
      </w:r>
      <w:r>
        <w:rPr>
          <w:noProof/>
          <w:u w:color="000000"/>
        </w:rPr>
        <w:t>LAW.CONFISC.8. panta [Pienākums veikt pagaidu pasākumus]</w:t>
      </w:r>
      <w:r>
        <w:rPr>
          <w:noProof/>
        </w:rPr>
        <w:t xml:space="preserve"> līdz </w:t>
      </w:r>
      <w:r>
        <w:rPr>
          <w:noProof/>
          <w:u w:color="000000"/>
        </w:rPr>
        <w:t>LAW.CONFISC.14. pantam [Brīvības atņemšana ar aizmugurisku spriedumu]</w:t>
      </w:r>
      <w:r>
        <w:rPr>
          <w:noProof/>
        </w:rPr>
        <w:t xml:space="preserve">, pieprasījuma saņēmēja valsts atzīst visus nolēmumus, ko pieprasījuma iesniedzējā </w:t>
      </w:r>
      <w:r>
        <w:rPr>
          <w:noProof/>
        </w:rPr>
        <w:t>valstī attiecībā uz trešo personu pieprasītām tiesībām ir pasludinājusi tiesas iestāde.</w:t>
      </w:r>
    </w:p>
    <w:p w:rsidR="003E022D" w:rsidRDefault="007D19D6">
      <w:pPr>
        <w:numPr>
          <w:ilvl w:val="1"/>
          <w:numId w:val="100"/>
        </w:numPr>
        <w:ind w:left="0" w:firstLine="0"/>
        <w:rPr>
          <w:rFonts w:cstheme="minorHAnsi"/>
          <w:noProof/>
        </w:rPr>
      </w:pPr>
      <w:r>
        <w:rPr>
          <w:noProof/>
        </w:rPr>
        <w:t>Atzīšanu var atteikt, ja:</w:t>
      </w:r>
    </w:p>
    <w:p w:rsidR="003E022D" w:rsidRDefault="007D19D6">
      <w:pPr>
        <w:numPr>
          <w:ilvl w:val="0"/>
          <w:numId w:val="101"/>
        </w:numPr>
        <w:ind w:left="567" w:hanging="567"/>
        <w:rPr>
          <w:noProof/>
        </w:rPr>
      </w:pPr>
      <w:r>
        <w:rPr>
          <w:noProof/>
        </w:rPr>
        <w:t>trešajām personām nebija pienācīgas iespējas aizstāvēt savas tiesības;</w:t>
      </w:r>
    </w:p>
    <w:p w:rsidR="003E022D" w:rsidRDefault="007D19D6">
      <w:pPr>
        <w:numPr>
          <w:ilvl w:val="0"/>
          <w:numId w:val="101"/>
        </w:numPr>
        <w:ind w:left="567" w:hanging="567"/>
        <w:rPr>
          <w:noProof/>
        </w:rPr>
      </w:pPr>
      <w:r>
        <w:rPr>
          <w:noProof/>
        </w:rPr>
        <w:t>lēmums nav saderīgs ar lēmumu, kas par to pašu jautājumu jau pieņemts p</w:t>
      </w:r>
      <w:r>
        <w:rPr>
          <w:noProof/>
        </w:rPr>
        <w:t xml:space="preserve">ieprasījuma saņēmējā valstī; </w:t>
      </w:r>
    </w:p>
    <w:p w:rsidR="003E022D" w:rsidRDefault="007D19D6">
      <w:pPr>
        <w:numPr>
          <w:ilvl w:val="0"/>
          <w:numId w:val="101"/>
        </w:numPr>
        <w:ind w:left="567" w:hanging="567"/>
        <w:rPr>
          <w:rFonts w:cstheme="minorHAnsi"/>
          <w:noProof/>
        </w:rPr>
      </w:pPr>
      <w:r>
        <w:rPr>
          <w:noProof/>
        </w:rPr>
        <w:t>tas nav saderīgs ar pieprasījuma saņēmējas valsts sabiedrisko kārtību, vai</w:t>
      </w:r>
    </w:p>
    <w:p w:rsidR="003E022D" w:rsidRDefault="007D19D6">
      <w:pPr>
        <w:numPr>
          <w:ilvl w:val="0"/>
          <w:numId w:val="101"/>
        </w:numPr>
        <w:ind w:left="567" w:hanging="567"/>
        <w:rPr>
          <w:rFonts w:cstheme="minorHAnsi"/>
          <w:noProof/>
        </w:rPr>
      </w:pPr>
      <w:r>
        <w:rPr>
          <w:noProof/>
        </w:rPr>
        <w:t>lēmums tika pieņemts pretēji noteikumiem par izņēmuma jurisdikciju, kas noteikti pieprasījuma saņēmējas valsts iekšzemes tiesību aktos.</w:t>
      </w:r>
    </w:p>
    <w:p w:rsidR="003E022D" w:rsidRDefault="007D19D6">
      <w:pPr>
        <w:pStyle w:val="Article"/>
        <w:rPr>
          <w:noProof/>
        </w:rPr>
      </w:pPr>
      <w:r>
        <w:rPr>
          <w:noProof/>
        </w:rPr>
        <w:t>LAW.CONFISC.21.</w:t>
      </w:r>
      <w:r>
        <w:rPr>
          <w:noProof/>
        </w:rPr>
        <w:t> pants. Iestādes</w:t>
      </w:r>
    </w:p>
    <w:p w:rsidR="003E022D" w:rsidRDefault="007D19D6">
      <w:pPr>
        <w:numPr>
          <w:ilvl w:val="0"/>
          <w:numId w:val="173"/>
        </w:numPr>
        <w:ind w:left="0" w:firstLine="0"/>
        <w:rPr>
          <w:rFonts w:eastAsia="Calibri" w:cstheme="minorHAnsi"/>
          <w:noProof/>
        </w:rPr>
      </w:pPr>
      <w:r>
        <w:rPr>
          <w:noProof/>
        </w:rPr>
        <w:t xml:space="preserve">Katra valsts izraugās centrālo iestādi, kas ir atbildīga par to pieprasījumu nosūtīšanu un atbildes sniegšanu uz tiem, kuri iesniegti saskaņā ar šo sadaļu, šādu pieprasījumu izpildi vai nosūtīšanu iestādēm, kas kompetentas tos izpildīt. </w:t>
      </w:r>
    </w:p>
    <w:p w:rsidR="003E022D" w:rsidRDefault="007D19D6">
      <w:pPr>
        <w:numPr>
          <w:ilvl w:val="0"/>
          <w:numId w:val="173"/>
        </w:numPr>
        <w:ind w:left="0" w:firstLine="0"/>
        <w:rPr>
          <w:rFonts w:cstheme="minorHAnsi"/>
          <w:iCs/>
          <w:noProof/>
        </w:rPr>
      </w:pPr>
      <w:r>
        <w:rPr>
          <w:noProof/>
        </w:rPr>
        <w:t>S</w:t>
      </w:r>
      <w:r>
        <w:rPr>
          <w:noProof/>
        </w:rPr>
        <w:t>avienība var izraudzīties Savienības struktūru, kura papildus dalībvalstu kompetentajām iestādēm var iesniegt un attiecīgā gadījumā izpildīt pieprasījumus saskaņā ar šo sadaļu. Šīs sadaļas nolūkos katru šādu pieprasījumu izskata kā kādas dalībvalsts piepra</w:t>
      </w:r>
      <w:r>
        <w:rPr>
          <w:noProof/>
        </w:rPr>
        <w:t>sījumu. Savienība var arī izraudzīties minēto Savienības struktūru kā centrālo iestādi, kas ir atbildīga par to pieprasījumu nosūtīšanu un atbildēšanu uz tiem, kurus saskaņā ar šo sadaļu iesniegusi minētā struktūra vai kuri tai iesniegti.</w:t>
      </w:r>
    </w:p>
    <w:p w:rsidR="003E022D" w:rsidRDefault="007D19D6">
      <w:pPr>
        <w:pStyle w:val="Article"/>
        <w:rPr>
          <w:noProof/>
        </w:rPr>
      </w:pPr>
      <w:bookmarkStart w:id="853" w:name="_Toc58920370"/>
      <w:r>
        <w:rPr>
          <w:noProof/>
        </w:rPr>
        <w:t>LAW.CONFISC.22. p</w:t>
      </w:r>
      <w:r>
        <w:rPr>
          <w:noProof/>
        </w:rPr>
        <w:t>ants. Tieša saziņa</w:t>
      </w:r>
      <w:bookmarkEnd w:id="853"/>
    </w:p>
    <w:p w:rsidR="003E022D" w:rsidRDefault="007D19D6">
      <w:pPr>
        <w:numPr>
          <w:ilvl w:val="0"/>
          <w:numId w:val="113"/>
        </w:numPr>
        <w:ind w:left="0" w:firstLine="0"/>
        <w:rPr>
          <w:rFonts w:cstheme="minorHAnsi"/>
          <w:noProof/>
        </w:rPr>
      </w:pPr>
      <w:r>
        <w:rPr>
          <w:noProof/>
        </w:rPr>
        <w:t xml:space="preserve">Kompetentās iestādes savā starpā sazinās tieši. </w:t>
      </w:r>
    </w:p>
    <w:p w:rsidR="003E022D" w:rsidRDefault="007D19D6">
      <w:pPr>
        <w:numPr>
          <w:ilvl w:val="0"/>
          <w:numId w:val="113"/>
        </w:numPr>
        <w:ind w:left="0" w:firstLine="0"/>
        <w:rPr>
          <w:rFonts w:cstheme="minorHAnsi"/>
          <w:noProof/>
        </w:rPr>
      </w:pPr>
      <w:r>
        <w:rPr>
          <w:noProof/>
        </w:rPr>
        <w:t xml:space="preserve">Steidzamos gadījumos pieprasījumus vai paziņojumus saskaņā ar šo sadaļu pieprasījuma iesniedzējas valsts tiesu iestādes var tieši nosūtīt pieprasījuma saņēmējas valsts tiesas iestādēm. </w:t>
      </w:r>
      <w:r>
        <w:rPr>
          <w:noProof/>
        </w:rPr>
        <w:t>Šādos gadījumos kopiju ar pieprasījuma iesniedzējas valsts centrālās iestādes starpniecību vienlaikus nosūta pieprasījuma saņēmējas valsts centrālajai iestādei.</w:t>
      </w:r>
    </w:p>
    <w:p w:rsidR="003E022D" w:rsidRDefault="007D19D6">
      <w:pPr>
        <w:numPr>
          <w:ilvl w:val="0"/>
          <w:numId w:val="113"/>
        </w:numPr>
        <w:ind w:left="0" w:firstLine="0"/>
        <w:rPr>
          <w:rFonts w:cstheme="minorHAnsi"/>
          <w:noProof/>
        </w:rPr>
      </w:pPr>
      <w:r>
        <w:rPr>
          <w:noProof/>
        </w:rPr>
        <w:t>Ja pieprasījums ir iesniegts saskaņā ar 2. punktu un iestāde nav kompetenta izskatīt pieprasīju</w:t>
      </w:r>
      <w:r>
        <w:rPr>
          <w:noProof/>
        </w:rPr>
        <w:t>mu, iestāde to nodod kompetentajai valsts iestādei un par to tieši informē pieprasījuma iesniedzēju valsti.</w:t>
      </w:r>
    </w:p>
    <w:p w:rsidR="003E022D" w:rsidRDefault="007D19D6">
      <w:pPr>
        <w:numPr>
          <w:ilvl w:val="0"/>
          <w:numId w:val="113"/>
        </w:numPr>
        <w:ind w:left="0" w:firstLine="0"/>
        <w:rPr>
          <w:rFonts w:cstheme="minorHAnsi"/>
          <w:noProof/>
        </w:rPr>
      </w:pPr>
      <w:r>
        <w:rPr>
          <w:noProof/>
        </w:rPr>
        <w:t xml:space="preserve">Pieprasījumus vai paziņojumus saskaņā ar noteikumiem no </w:t>
      </w:r>
      <w:r>
        <w:rPr>
          <w:noProof/>
          <w:u w:color="000000"/>
        </w:rPr>
        <w:t>LAW.CONFISC.3. panta [Pienākums sniegt palīdzību]</w:t>
      </w:r>
      <w:r>
        <w:rPr>
          <w:noProof/>
        </w:rPr>
        <w:t xml:space="preserve"> līdz </w:t>
      </w:r>
      <w:r>
        <w:rPr>
          <w:noProof/>
          <w:u w:color="000000"/>
        </w:rPr>
        <w:t>LAW.CONFISC.7. pantam [Spontāna infor</w:t>
      </w:r>
      <w:r>
        <w:rPr>
          <w:noProof/>
          <w:u w:color="000000"/>
        </w:rPr>
        <w:t>mācija]</w:t>
      </w:r>
      <w:r>
        <w:rPr>
          <w:noProof/>
        </w:rPr>
        <w:t>, kas neietver piespiedu pasākumus, pieprasījuma iesniedzējas valsts kompetentās iestādes var tieši nosūtīt pieprasījuma saņēmējas valsts kompetentajām iestādēm.</w:t>
      </w:r>
    </w:p>
    <w:p w:rsidR="003E022D" w:rsidRDefault="007D19D6">
      <w:pPr>
        <w:numPr>
          <w:ilvl w:val="0"/>
          <w:numId w:val="113"/>
        </w:numPr>
        <w:ind w:left="0" w:firstLine="0"/>
        <w:rPr>
          <w:rFonts w:cstheme="minorHAnsi"/>
          <w:noProof/>
        </w:rPr>
      </w:pPr>
      <w:r>
        <w:rPr>
          <w:noProof/>
        </w:rPr>
        <w:t xml:space="preserve">Pirms iesniegt oficiālu pieprasījumu, pieprasījuma iesniedzējas valsts tiesu iestādes </w:t>
      </w:r>
      <w:r>
        <w:rPr>
          <w:noProof/>
        </w:rPr>
        <w:t>var tieši nosūtīt pieprasījuma saņēmējas valsts tiesu iestādēm pieprasījumu vai paziņojumu projektu saskaņā ar šo sadaļu, lai nodrošinātu, ka oficiālo pieprasījumu var iedarbīgi izskatīt uzreiz pēc saņemšanas un ka tajā ir pietiekama informācija un aplieci</w:t>
      </w:r>
      <w:r>
        <w:rPr>
          <w:noProof/>
        </w:rPr>
        <w:t>noši dokumenti, lai tas atbilstu pieprasījuma saņēmējas valsts tiesību aktu prasībām.</w:t>
      </w:r>
    </w:p>
    <w:p w:rsidR="003E022D" w:rsidRDefault="007D19D6">
      <w:pPr>
        <w:pStyle w:val="Article"/>
        <w:rPr>
          <w:noProof/>
        </w:rPr>
      </w:pPr>
      <w:bookmarkStart w:id="854" w:name="_Toc58920371"/>
      <w:r>
        <w:rPr>
          <w:noProof/>
        </w:rPr>
        <w:t>LAW.CONFISC.23. pants. Pieprasījuma forma un valodas</w:t>
      </w:r>
      <w:bookmarkEnd w:id="854"/>
    </w:p>
    <w:p w:rsidR="003E022D" w:rsidRDefault="007D19D6">
      <w:pPr>
        <w:numPr>
          <w:ilvl w:val="1"/>
          <w:numId w:val="102"/>
        </w:numPr>
        <w:ind w:left="0" w:firstLine="0"/>
        <w:rPr>
          <w:rFonts w:cstheme="minorHAnsi"/>
          <w:noProof/>
        </w:rPr>
      </w:pPr>
      <w:r>
        <w:rPr>
          <w:noProof/>
        </w:rPr>
        <w:t>Visus pieprasījumus saskaņā ar šo sadaļu iesniedz rakstiski. Tos var nosūtīt elektroniski vai ar jebkādiem citiem tel</w:t>
      </w:r>
      <w:r>
        <w:rPr>
          <w:noProof/>
        </w:rPr>
        <w:t>esakaru līdzekļiem, ar nosacījumu, ka pieprasījuma iesniedzēja valsts ir gatava pēc pieprasījuma jebkurā laikā iesniegt šāda paziņojuma rakstisku eksemplāru un oriģinālu.</w:t>
      </w:r>
    </w:p>
    <w:p w:rsidR="003E022D" w:rsidRDefault="007D19D6">
      <w:pPr>
        <w:numPr>
          <w:ilvl w:val="1"/>
          <w:numId w:val="102"/>
        </w:numPr>
        <w:ind w:left="0" w:firstLine="0"/>
        <w:rPr>
          <w:rFonts w:cstheme="minorHAnsi"/>
          <w:noProof/>
        </w:rPr>
      </w:pPr>
      <w:r>
        <w:rPr>
          <w:noProof/>
        </w:rPr>
        <w:t>Pieprasījumus saskaņā ar 1. punktu iesniedz saņēmējas valsts oficiālajā valodā vai je</w:t>
      </w:r>
      <w:r>
        <w:rPr>
          <w:noProof/>
        </w:rPr>
        <w:t>bkurā citā valodā, ko pieprasījuma saņēmēja valsts ir norādījusi vai kas norādīta attiecībā uz to saskaņā ar 3. punktu.</w:t>
      </w:r>
    </w:p>
    <w:p w:rsidR="003E022D" w:rsidRDefault="007D19D6">
      <w:pPr>
        <w:numPr>
          <w:ilvl w:val="1"/>
          <w:numId w:val="102"/>
        </w:numPr>
        <w:ind w:left="0" w:firstLine="0"/>
        <w:rPr>
          <w:rFonts w:cstheme="minorHAnsi"/>
          <w:noProof/>
        </w:rPr>
      </w:pPr>
      <w:r>
        <w:rPr>
          <w:noProof/>
        </w:rPr>
        <w:t>Apvienotā Karaliste un Savienība, darbojoties jebkuras tās dalībvalsts uzdevumā, katra var paziņot Specializētajai komitejai tiesībaizsa</w:t>
      </w:r>
      <w:r>
        <w:rPr>
          <w:noProof/>
        </w:rPr>
        <w:t>rdzības un tiesu iestāžu sadarbības jomā par valodu vai valodām, kuras papildus minētās valsts oficiālajai valodai vai oficiālajām valodām var izmantot pieteikumu iesniegšanā saskaņā ar šo sadaļu.</w:t>
      </w:r>
    </w:p>
    <w:p w:rsidR="003E022D" w:rsidRDefault="007D19D6">
      <w:pPr>
        <w:numPr>
          <w:ilvl w:val="1"/>
          <w:numId w:val="102"/>
        </w:numPr>
        <w:ind w:left="0" w:firstLine="0"/>
        <w:rPr>
          <w:rFonts w:cstheme="minorHAnsi"/>
          <w:noProof/>
        </w:rPr>
      </w:pPr>
      <w:r>
        <w:rPr>
          <w:noProof/>
        </w:rPr>
        <w:t xml:space="preserve">Pieprasījumus par pagaidu pasākumiem saskaņā ar </w:t>
      </w:r>
      <w:r>
        <w:rPr>
          <w:noProof/>
          <w:u w:color="000000"/>
        </w:rPr>
        <w:t>LAW.CONFISC</w:t>
      </w:r>
      <w:r>
        <w:rPr>
          <w:noProof/>
          <w:u w:color="000000"/>
        </w:rPr>
        <w:t>.8. pantu [Pienākums veikt pagaidu pasākumus]</w:t>
      </w:r>
      <w:r>
        <w:rPr>
          <w:noProof/>
        </w:rPr>
        <w:t xml:space="preserve"> iesniedz, izmantojot standarta veidlapu </w:t>
      </w:r>
      <w:r>
        <w:rPr>
          <w:noProof/>
          <w:u w:color="000000"/>
        </w:rPr>
        <w:t>LAW-8. PIELIKUMĀ.</w:t>
      </w:r>
    </w:p>
    <w:p w:rsidR="003E022D" w:rsidRDefault="007D19D6">
      <w:pPr>
        <w:numPr>
          <w:ilvl w:val="1"/>
          <w:numId w:val="102"/>
        </w:numPr>
        <w:ind w:left="0" w:firstLine="0"/>
        <w:rPr>
          <w:rFonts w:cstheme="minorHAnsi"/>
          <w:noProof/>
        </w:rPr>
      </w:pPr>
      <w:r>
        <w:rPr>
          <w:noProof/>
        </w:rPr>
        <w:t xml:space="preserve">Pieprasījumus par konfiskāciju saskaņā ar </w:t>
      </w:r>
      <w:r>
        <w:rPr>
          <w:noProof/>
          <w:u w:color="000000"/>
        </w:rPr>
        <w:t>LAW.CONFISC.10. pantu [Pienākums veikt konfiskāciju]</w:t>
      </w:r>
      <w:r>
        <w:rPr>
          <w:noProof/>
        </w:rPr>
        <w:t xml:space="preserve"> iesniedz, izmantojot standarta veidlapu </w:t>
      </w:r>
      <w:r>
        <w:rPr>
          <w:noProof/>
          <w:u w:color="000000"/>
        </w:rPr>
        <w:t>LAW-8. PIELIKUMĀ</w:t>
      </w:r>
      <w:r>
        <w:rPr>
          <w:noProof/>
        </w:rPr>
        <w:t>.</w:t>
      </w:r>
    </w:p>
    <w:p w:rsidR="003E022D" w:rsidRDefault="007D19D6">
      <w:pPr>
        <w:numPr>
          <w:ilvl w:val="1"/>
          <w:numId w:val="102"/>
        </w:numPr>
        <w:ind w:left="0" w:firstLine="0"/>
        <w:rPr>
          <w:rFonts w:cstheme="minorHAnsi"/>
          <w:noProof/>
        </w:rPr>
      </w:pPr>
      <w:r>
        <w:rPr>
          <w:noProof/>
        </w:rPr>
        <w:t>Specializētā komiteja tiesībaizsardzības un tiesu iestāžu sadarbības jomā, ja nepieciešams, var grozīt 4. un 5. punktā minētās veidlapas.</w:t>
      </w:r>
    </w:p>
    <w:p w:rsidR="003E022D" w:rsidRDefault="007D19D6">
      <w:pPr>
        <w:numPr>
          <w:ilvl w:val="1"/>
          <w:numId w:val="102"/>
        </w:numPr>
        <w:ind w:left="0" w:firstLine="0"/>
        <w:rPr>
          <w:rFonts w:cstheme="minorHAnsi"/>
          <w:noProof/>
        </w:rPr>
      </w:pPr>
      <w:r>
        <w:rPr>
          <w:noProof/>
        </w:rPr>
        <w:t>Apvienotā Karaliste un Savienība, darbojoties jebkuras tās dalībvalsts uzdevumā, katra var paziņot Specializētajai ko</w:t>
      </w:r>
      <w:r>
        <w:rPr>
          <w:noProof/>
        </w:rPr>
        <w:t xml:space="preserve">mitejai tiesībaizsardzības un tiesu iestāžu sadarbības jomā, ka tai nepieciešams apliecinošo dokumentu tulkojums vienā no pieprasījuma saņēmējas valsts oficiālajām valodām, kas norādītas saskaņā ar šā panta 3. punktu. Ja pieprasījumi iesniegti saskaņā ar </w:t>
      </w:r>
      <w:r>
        <w:rPr>
          <w:noProof/>
          <w:u w:color="000000"/>
        </w:rPr>
        <w:t>L</w:t>
      </w:r>
      <w:r>
        <w:rPr>
          <w:noProof/>
          <w:u w:color="000000"/>
        </w:rPr>
        <w:t>AW.CONFISC.8. panta [Pienākums veikt pagaidu pasākumus] 4. punktu</w:t>
      </w:r>
      <w:r>
        <w:rPr>
          <w:noProof/>
        </w:rPr>
        <w:t xml:space="preserve">, šādu apliecinošo dokumentu tulkojumu pieprasījuma saņēmējai valstij var iesniegt 48 stundu laikā pēc pieprasījuma iesniegšanas, neskarot termiņus, kas noteikti </w:t>
      </w:r>
      <w:r>
        <w:rPr>
          <w:noProof/>
          <w:u w:color="000000"/>
        </w:rPr>
        <w:t>LAW.CONFISC.8. panta [Pienāku</w:t>
      </w:r>
      <w:r>
        <w:rPr>
          <w:noProof/>
          <w:u w:color="000000"/>
        </w:rPr>
        <w:t>ms veikt pagaidu pasākumus] 4. punktā</w:t>
      </w:r>
      <w:r>
        <w:rPr>
          <w:noProof/>
        </w:rPr>
        <w:t>.</w:t>
      </w:r>
    </w:p>
    <w:p w:rsidR="003E022D" w:rsidRDefault="007D19D6">
      <w:pPr>
        <w:pStyle w:val="Article"/>
        <w:rPr>
          <w:noProof/>
        </w:rPr>
      </w:pPr>
      <w:bookmarkStart w:id="855" w:name="_Toc58920372"/>
      <w:r>
        <w:rPr>
          <w:noProof/>
        </w:rPr>
        <w:t>LAW.CONFISC.24. pants. Legalizācija</w:t>
      </w:r>
      <w:bookmarkEnd w:id="855"/>
    </w:p>
    <w:p w:rsidR="003E022D" w:rsidRDefault="007D19D6">
      <w:pPr>
        <w:rPr>
          <w:rFonts w:cstheme="minorHAnsi"/>
          <w:noProof/>
        </w:rPr>
      </w:pPr>
      <w:r>
        <w:rPr>
          <w:noProof/>
        </w:rPr>
        <w:t>Dokumenti, kas nosūtīti, piemērojot šo sadaļu, ir atbrīvoti no visām legalizācijas formalitātēm.</w:t>
      </w:r>
    </w:p>
    <w:p w:rsidR="003E022D" w:rsidRDefault="007D19D6">
      <w:pPr>
        <w:pStyle w:val="Article"/>
        <w:rPr>
          <w:noProof/>
        </w:rPr>
      </w:pPr>
      <w:bookmarkStart w:id="856" w:name="_Toc58920373"/>
      <w:r>
        <w:rPr>
          <w:noProof/>
        </w:rPr>
        <w:t>LAW.CONFISC.25. pants. Pieprasījuma saturs</w:t>
      </w:r>
      <w:bookmarkEnd w:id="856"/>
      <w:r>
        <w:rPr>
          <w:noProof/>
        </w:rPr>
        <w:t xml:space="preserve"> </w:t>
      </w:r>
    </w:p>
    <w:p w:rsidR="003E022D" w:rsidRDefault="007D19D6">
      <w:pPr>
        <w:numPr>
          <w:ilvl w:val="0"/>
          <w:numId w:val="103"/>
        </w:numPr>
        <w:ind w:left="0" w:firstLine="0"/>
        <w:rPr>
          <w:rFonts w:cstheme="minorHAnsi"/>
          <w:noProof/>
        </w:rPr>
      </w:pPr>
      <w:r>
        <w:rPr>
          <w:noProof/>
        </w:rPr>
        <w:t>Visos pieprasījumos par sadarbību saskaņ</w:t>
      </w:r>
      <w:r>
        <w:rPr>
          <w:noProof/>
        </w:rPr>
        <w:t>ā ar šo sadaļu norāda šādu informāciju:</w:t>
      </w:r>
    </w:p>
    <w:p w:rsidR="003E022D" w:rsidRDefault="007D19D6">
      <w:pPr>
        <w:numPr>
          <w:ilvl w:val="1"/>
          <w:numId w:val="103"/>
        </w:numPr>
        <w:ind w:left="567" w:hanging="567"/>
        <w:rPr>
          <w:noProof/>
        </w:rPr>
      </w:pPr>
      <w:r>
        <w:rPr>
          <w:noProof/>
        </w:rPr>
        <w:t>iestāde, kas iesniedz pieprasījumu, un iestāde, kura veic izmeklēšanu vai tiesvedību;</w:t>
      </w:r>
    </w:p>
    <w:p w:rsidR="003E022D" w:rsidRDefault="007D19D6">
      <w:pPr>
        <w:numPr>
          <w:ilvl w:val="1"/>
          <w:numId w:val="103"/>
        </w:numPr>
        <w:ind w:left="567" w:hanging="567"/>
        <w:rPr>
          <w:noProof/>
        </w:rPr>
      </w:pPr>
      <w:r>
        <w:rPr>
          <w:noProof/>
        </w:rPr>
        <w:t>pieprasījuma priekšmets un pamatojums;</w:t>
      </w:r>
    </w:p>
    <w:p w:rsidR="003E022D" w:rsidRDefault="007D19D6">
      <w:pPr>
        <w:numPr>
          <w:ilvl w:val="1"/>
          <w:numId w:val="103"/>
        </w:numPr>
        <w:ind w:left="567" w:hanging="567"/>
        <w:rPr>
          <w:noProof/>
        </w:rPr>
      </w:pPr>
      <w:r>
        <w:rPr>
          <w:noProof/>
        </w:rPr>
        <w:t>jautājums, tai skaitā būtiskie fakti (piemēram, nodarījuma datums, vieta un apstākļi), ar k</w:t>
      </w:r>
      <w:r>
        <w:rPr>
          <w:noProof/>
        </w:rPr>
        <w:t>uriem saistīta izmeklēšana vai tiesvedība, izņemot pieprasījumu par paziņojumu;</w:t>
      </w:r>
    </w:p>
    <w:p w:rsidR="003E022D" w:rsidRDefault="007D19D6">
      <w:pPr>
        <w:numPr>
          <w:ilvl w:val="1"/>
          <w:numId w:val="103"/>
        </w:numPr>
        <w:ind w:left="567" w:hanging="567"/>
        <w:rPr>
          <w:rFonts w:cstheme="minorHAnsi"/>
          <w:noProof/>
        </w:rPr>
      </w:pPr>
      <w:r>
        <w:rPr>
          <w:noProof/>
        </w:rPr>
        <w:t>ciktāl sadarbība ietver piespiedu pasākumus:</w:t>
      </w:r>
    </w:p>
    <w:p w:rsidR="003E022D" w:rsidRDefault="007D19D6">
      <w:pPr>
        <w:pStyle w:val="Point"/>
        <w:numPr>
          <w:ilvl w:val="2"/>
          <w:numId w:val="567"/>
        </w:numPr>
        <w:rPr>
          <w:noProof/>
        </w:rPr>
      </w:pPr>
      <w:r>
        <w:rPr>
          <w:noProof/>
        </w:rPr>
        <w:t>tiesību normu teksts vai, ja tas nav iespējams, paziņojums par attiecīgajiem piemērojamajiem tiesību aktiem; un</w:t>
      </w:r>
    </w:p>
    <w:p w:rsidR="003E022D" w:rsidRDefault="007D19D6">
      <w:pPr>
        <w:pStyle w:val="Point"/>
        <w:numPr>
          <w:ilvl w:val="2"/>
          <w:numId w:val="128"/>
        </w:numPr>
        <w:rPr>
          <w:rFonts w:cstheme="minorHAnsi"/>
          <w:noProof/>
        </w:rPr>
      </w:pPr>
      <w:r>
        <w:rPr>
          <w:noProof/>
        </w:rPr>
        <w:t xml:space="preserve">norāde par to, ka </w:t>
      </w:r>
      <w:r>
        <w:rPr>
          <w:noProof/>
        </w:rPr>
        <w:t>pieprasīto pasākumu vai jebkurus citus pasākumus ar līdzīgām sekām varētu veikt lūguma iesniedzējas valsts teritorijā saskaņā ar tās iekšzemes tiesību aktiem;</w:t>
      </w:r>
    </w:p>
    <w:p w:rsidR="003E022D" w:rsidRDefault="007D19D6">
      <w:pPr>
        <w:numPr>
          <w:ilvl w:val="0"/>
          <w:numId w:val="101"/>
        </w:numPr>
        <w:ind w:left="567" w:hanging="567"/>
        <w:rPr>
          <w:rFonts w:cstheme="minorHAnsi"/>
          <w:noProof/>
        </w:rPr>
      </w:pPr>
      <w:r>
        <w:rPr>
          <w:noProof/>
        </w:rPr>
        <w:t>ja tas nepieciešams un ciktāl iespējams:</w:t>
      </w:r>
    </w:p>
    <w:p w:rsidR="003E022D" w:rsidRDefault="007D19D6">
      <w:pPr>
        <w:pStyle w:val="Point"/>
        <w:numPr>
          <w:ilvl w:val="2"/>
          <w:numId w:val="567"/>
        </w:numPr>
        <w:rPr>
          <w:noProof/>
        </w:rPr>
      </w:pPr>
      <w:r>
        <w:rPr>
          <w:noProof/>
        </w:rPr>
        <w:t>sīka informācija par attiecīgo personu vai personām, tai</w:t>
      </w:r>
      <w:r>
        <w:rPr>
          <w:noProof/>
        </w:rPr>
        <w:t xml:space="preserve"> skaitā vārds un uzvārds, dzimšanas datums un vieta, valstspiederība un atrašanās vieta, un juridiskas personas gadījumā – tās juridiskā adrese; un</w:t>
      </w:r>
    </w:p>
    <w:p w:rsidR="003E022D" w:rsidRDefault="007D19D6">
      <w:pPr>
        <w:pStyle w:val="Point"/>
        <w:numPr>
          <w:ilvl w:val="2"/>
          <w:numId w:val="128"/>
        </w:numPr>
        <w:rPr>
          <w:rFonts w:cstheme="minorHAnsi"/>
          <w:noProof/>
        </w:rPr>
      </w:pPr>
      <w:r>
        <w:rPr>
          <w:noProof/>
        </w:rPr>
        <w:t>īpašums, attiecībā uz kuru tiek lūgta sadarbība, tā atrašanās vieta, saistība ar attiecīgo personu vai perso</w:t>
      </w:r>
      <w:r>
        <w:rPr>
          <w:noProof/>
        </w:rPr>
        <w:t>nām, jebkāda saikne ar nodarījumu, kā arī visa pieejamā informācija par citām personām, interesēm īpašumā; un</w:t>
      </w:r>
    </w:p>
    <w:p w:rsidR="003E022D" w:rsidRDefault="007D19D6">
      <w:pPr>
        <w:numPr>
          <w:ilvl w:val="0"/>
          <w:numId w:val="101"/>
        </w:numPr>
        <w:ind w:left="567" w:hanging="567"/>
        <w:rPr>
          <w:rFonts w:cstheme="minorHAnsi"/>
          <w:noProof/>
        </w:rPr>
      </w:pPr>
      <w:r>
        <w:rPr>
          <w:noProof/>
        </w:rPr>
        <w:t>visas konkrētās procedūras, kuras pieprasījuma iesniedzēja valsts vēlas ievērot.</w:t>
      </w:r>
    </w:p>
    <w:p w:rsidR="003E022D" w:rsidRDefault="007D19D6">
      <w:pPr>
        <w:numPr>
          <w:ilvl w:val="0"/>
          <w:numId w:val="103"/>
        </w:numPr>
        <w:ind w:left="0" w:firstLine="0"/>
        <w:rPr>
          <w:rFonts w:cstheme="minorHAnsi"/>
          <w:noProof/>
        </w:rPr>
      </w:pPr>
      <w:r>
        <w:rPr>
          <w:noProof/>
        </w:rPr>
        <w:t xml:space="preserve">Pieprasījumā veikt pagaidu pasākumus saskaņā ar </w:t>
      </w:r>
      <w:r>
        <w:rPr>
          <w:noProof/>
          <w:u w:color="000000"/>
        </w:rPr>
        <w:t>LAW.CONFISC.8. pa</w:t>
      </w:r>
      <w:r>
        <w:rPr>
          <w:noProof/>
          <w:u w:color="000000"/>
        </w:rPr>
        <w:t>ntu [Pienākums veikt pagaidu pasākumus]</w:t>
      </w:r>
      <w:r>
        <w:rPr>
          <w:noProof/>
        </w:rPr>
        <w:t xml:space="preserve"> attiecībā uz tāda īpašuma izņemšanu, uz kuru var izpildīt konfiskācijas rīkojumu, ko veido prasība samaksāt naudas summu, norāda arī maksimālo summu, kuru vēlas atgūt no minētā īpašuma.</w:t>
      </w:r>
    </w:p>
    <w:p w:rsidR="003E022D" w:rsidRDefault="007D19D6">
      <w:pPr>
        <w:numPr>
          <w:ilvl w:val="0"/>
          <w:numId w:val="103"/>
        </w:numPr>
        <w:ind w:left="0" w:firstLine="0"/>
        <w:rPr>
          <w:rFonts w:cstheme="minorHAnsi"/>
          <w:noProof/>
        </w:rPr>
      </w:pPr>
      <w:r>
        <w:rPr>
          <w:noProof/>
        </w:rPr>
        <w:t>Papildus šā panta 1. punktā mi</w:t>
      </w:r>
      <w:r>
        <w:rPr>
          <w:noProof/>
        </w:rPr>
        <w:t xml:space="preserve">nētajai informācijai visos pieprasījumos saskaņā ar </w:t>
      </w:r>
      <w:r>
        <w:rPr>
          <w:noProof/>
          <w:u w:color="000000"/>
        </w:rPr>
        <w:t>LAW.CONFISC.10. pantu [Pienākums veikt konfiskāciju]</w:t>
      </w:r>
      <w:r>
        <w:rPr>
          <w:noProof/>
        </w:rPr>
        <w:t xml:space="preserve"> pievieno:</w:t>
      </w:r>
    </w:p>
    <w:p w:rsidR="003E022D" w:rsidRDefault="007D19D6">
      <w:pPr>
        <w:numPr>
          <w:ilvl w:val="0"/>
          <w:numId w:val="104"/>
        </w:numPr>
        <w:ind w:left="567" w:hanging="567"/>
        <w:rPr>
          <w:rFonts w:cstheme="minorHAnsi"/>
          <w:noProof/>
        </w:rPr>
      </w:pPr>
      <w:r>
        <w:rPr>
          <w:noProof/>
        </w:rPr>
        <w:t xml:space="preserve">attiecībā uz </w:t>
      </w:r>
      <w:r>
        <w:rPr>
          <w:noProof/>
          <w:u w:color="000000"/>
        </w:rPr>
        <w:t>LAW.CONFISC.10. panta [Pienākums veikt konfiskāciju] 1. punkta</w:t>
      </w:r>
      <w:r>
        <w:rPr>
          <w:noProof/>
        </w:rPr>
        <w:t xml:space="preserve"> a) apakšpunktu:</w:t>
      </w:r>
    </w:p>
    <w:p w:rsidR="003E022D" w:rsidRDefault="007D19D6">
      <w:pPr>
        <w:pStyle w:val="Point"/>
        <w:numPr>
          <w:ilvl w:val="2"/>
          <w:numId w:val="567"/>
        </w:numPr>
        <w:rPr>
          <w:noProof/>
        </w:rPr>
      </w:pPr>
      <w:r>
        <w:rPr>
          <w:noProof/>
        </w:rPr>
        <w:t>pieprasījuma iesniedzējas valsts tiesas izdota ko</w:t>
      </w:r>
      <w:r>
        <w:rPr>
          <w:noProof/>
        </w:rPr>
        <w:t>nfiskācijas rīkojuma apliecinātu kopiju un paziņojumu par pamatojumu, balstoties uz kuru ir izsniegts rīkojums, ja pamatojums nav norādīts pašā rīkojumā;</w:t>
      </w:r>
    </w:p>
    <w:p w:rsidR="003E022D" w:rsidRDefault="007D19D6">
      <w:pPr>
        <w:pStyle w:val="Point"/>
        <w:numPr>
          <w:ilvl w:val="2"/>
          <w:numId w:val="128"/>
        </w:numPr>
        <w:rPr>
          <w:noProof/>
        </w:rPr>
      </w:pPr>
      <w:r>
        <w:rPr>
          <w:noProof/>
        </w:rPr>
        <w:t xml:space="preserve">pieprasījuma iesniedzējas valsts kompetentās iestādes apliecinājumu par to, ka konfiskācijas rīkojums </w:t>
      </w:r>
      <w:r>
        <w:rPr>
          <w:noProof/>
        </w:rPr>
        <w:t>ir izpildāms un to nevar pārskatīt parastajā pārsūdzības kārtībā;</w:t>
      </w:r>
    </w:p>
    <w:p w:rsidR="003E022D" w:rsidRDefault="007D19D6">
      <w:pPr>
        <w:pStyle w:val="Point"/>
        <w:numPr>
          <w:ilvl w:val="2"/>
          <w:numId w:val="128"/>
        </w:numPr>
        <w:rPr>
          <w:noProof/>
        </w:rPr>
      </w:pPr>
      <w:r>
        <w:rPr>
          <w:noProof/>
        </w:rPr>
        <w:t>informāciju par to, kādā apmērā tiek pieprasīta rīkojuma izpilde; un</w:t>
      </w:r>
    </w:p>
    <w:p w:rsidR="003E022D" w:rsidRDefault="007D19D6">
      <w:pPr>
        <w:pStyle w:val="Point"/>
        <w:numPr>
          <w:ilvl w:val="2"/>
          <w:numId w:val="128"/>
        </w:numPr>
        <w:rPr>
          <w:rFonts w:cstheme="minorHAnsi"/>
          <w:noProof/>
        </w:rPr>
      </w:pPr>
      <w:r>
        <w:rPr>
          <w:noProof/>
        </w:rPr>
        <w:t>informāciju par nepieciešamību veikt jebkādus pagaidu pasākumus;</w:t>
      </w:r>
    </w:p>
    <w:p w:rsidR="003E022D" w:rsidRDefault="007D19D6">
      <w:pPr>
        <w:numPr>
          <w:ilvl w:val="0"/>
          <w:numId w:val="104"/>
        </w:numPr>
        <w:ind w:left="567" w:hanging="567"/>
        <w:rPr>
          <w:noProof/>
        </w:rPr>
      </w:pPr>
      <w:r>
        <w:rPr>
          <w:noProof/>
        </w:rPr>
        <w:t xml:space="preserve">attiecībā uz </w:t>
      </w:r>
      <w:r>
        <w:rPr>
          <w:noProof/>
          <w:u w:color="000000"/>
        </w:rPr>
        <w:t>LAW.CONFISC.10. pantu [Pienākums veikt konf</w:t>
      </w:r>
      <w:r>
        <w:rPr>
          <w:noProof/>
          <w:u w:color="000000"/>
        </w:rPr>
        <w:t>iskāciju] 1. punkta</w:t>
      </w:r>
      <w:r>
        <w:rPr>
          <w:noProof/>
        </w:rPr>
        <w:t xml:space="preserve"> b) apakšpunktu – paziņojumu par faktiem, uz kuriem pieprasījuma iesniedzēja valsts pamatojas un kuri būtu pietiekami, lai pieprasījuma saņēmēja valsts varētu izpildīt rīkojumu saskaņā ar tās iekšzemes tiesību aktiem;</w:t>
      </w:r>
    </w:p>
    <w:p w:rsidR="003E022D" w:rsidRDefault="007D19D6">
      <w:pPr>
        <w:numPr>
          <w:ilvl w:val="0"/>
          <w:numId w:val="104"/>
        </w:numPr>
        <w:ind w:left="567" w:hanging="567"/>
        <w:rPr>
          <w:rFonts w:cstheme="minorHAnsi"/>
          <w:noProof/>
        </w:rPr>
      </w:pPr>
      <w:r>
        <w:rPr>
          <w:noProof/>
        </w:rPr>
        <w:t xml:space="preserve">ja trešām personām </w:t>
      </w:r>
      <w:r>
        <w:rPr>
          <w:noProof/>
        </w:rPr>
        <w:t>ir bijusi iespēja pieprasīt to tiesību ievērošanu – dokumentus, kas to apliecina.</w:t>
      </w:r>
    </w:p>
    <w:p w:rsidR="003E022D" w:rsidRDefault="007D19D6">
      <w:pPr>
        <w:pStyle w:val="Article"/>
        <w:rPr>
          <w:noProof/>
        </w:rPr>
      </w:pPr>
      <w:bookmarkStart w:id="857" w:name="_Toc58920374"/>
      <w:r>
        <w:rPr>
          <w:noProof/>
        </w:rPr>
        <w:t>LAW.CONFISC.26. pants. Nepilnīgi pieprasījumi</w:t>
      </w:r>
      <w:bookmarkEnd w:id="857"/>
    </w:p>
    <w:p w:rsidR="003E022D" w:rsidRDefault="007D19D6">
      <w:pPr>
        <w:numPr>
          <w:ilvl w:val="1"/>
          <w:numId w:val="105"/>
        </w:numPr>
        <w:ind w:left="0" w:firstLine="0"/>
        <w:rPr>
          <w:rFonts w:cstheme="minorHAnsi"/>
          <w:noProof/>
        </w:rPr>
      </w:pPr>
      <w:r>
        <w:rPr>
          <w:noProof/>
        </w:rPr>
        <w:t>Ja pieprasījums neatbilst šīs sadaļas noteikumiem vai sniegtā informācija nav pietiekama, lai pieprasījuma saņēmēja valsts varēt</w:t>
      </w:r>
      <w:r>
        <w:rPr>
          <w:noProof/>
        </w:rPr>
        <w:t>u to izskatīt, minēta valsts var lūgt pieprasījuma iesniedzēju valsti grozīt pieprasījumu vai sniegt tajā papildu informāciju.</w:t>
      </w:r>
    </w:p>
    <w:p w:rsidR="003E022D" w:rsidRDefault="007D19D6">
      <w:pPr>
        <w:numPr>
          <w:ilvl w:val="1"/>
          <w:numId w:val="105"/>
        </w:numPr>
        <w:ind w:left="0" w:firstLine="0"/>
        <w:rPr>
          <w:rFonts w:cstheme="minorHAnsi"/>
          <w:noProof/>
        </w:rPr>
      </w:pPr>
      <w:r>
        <w:rPr>
          <w:noProof/>
        </w:rPr>
        <w:t>Pieprasījuma saņēmēja valsts var noteikt termiņu šādu grozījumu vai informācijas sniegšanai.</w:t>
      </w:r>
    </w:p>
    <w:p w:rsidR="003E022D" w:rsidRDefault="007D19D6">
      <w:pPr>
        <w:numPr>
          <w:ilvl w:val="1"/>
          <w:numId w:val="105"/>
        </w:numPr>
        <w:ind w:left="0" w:firstLine="0"/>
        <w:rPr>
          <w:rFonts w:cstheme="minorHAnsi"/>
          <w:noProof/>
        </w:rPr>
      </w:pPr>
      <w:r>
        <w:rPr>
          <w:noProof/>
        </w:rPr>
        <w:t xml:space="preserve">Kamēr nav saņemti pieprasītie grozījumi vai informācija saistībā ar pieprasījumu, kas iesniegts saskaņā ar </w:t>
      </w:r>
      <w:r>
        <w:rPr>
          <w:noProof/>
          <w:u w:color="000000"/>
        </w:rPr>
        <w:t>LAW.CONFISC.10. pantu [Pienākums veikt konfiskāciju]</w:t>
      </w:r>
      <w:r>
        <w:rPr>
          <w:noProof/>
        </w:rPr>
        <w:t>, pieprasījuma saņēmēja valsts var veikt jebkuru no pasākumiem, kuri minēti no</w:t>
      </w:r>
      <w:r>
        <w:rPr>
          <w:noProof/>
          <w:u w:color="000000"/>
        </w:rPr>
        <w:t xml:space="preserve"> LAW.CONFISC.3. pan</w:t>
      </w:r>
      <w:r>
        <w:rPr>
          <w:noProof/>
          <w:u w:color="000000"/>
        </w:rPr>
        <w:t>ta [Pienākums sniegt palīdzību]</w:t>
      </w:r>
      <w:r>
        <w:rPr>
          <w:noProof/>
        </w:rPr>
        <w:t xml:space="preserve"> līdz </w:t>
      </w:r>
      <w:r>
        <w:rPr>
          <w:noProof/>
          <w:u w:color="000000"/>
        </w:rPr>
        <w:t>LAW.CONFISC.9. pantam [Pagaidu pasākumu izpilde]</w:t>
      </w:r>
      <w:r>
        <w:rPr>
          <w:noProof/>
        </w:rPr>
        <w:t>.</w:t>
      </w:r>
    </w:p>
    <w:p w:rsidR="003E022D" w:rsidRDefault="007D19D6">
      <w:pPr>
        <w:pStyle w:val="Article"/>
        <w:rPr>
          <w:noProof/>
        </w:rPr>
      </w:pPr>
      <w:bookmarkStart w:id="858" w:name="_Toc58920375"/>
      <w:r>
        <w:rPr>
          <w:noProof/>
        </w:rPr>
        <w:t>LAW.CONFISC.27. pants. Vairāki pieprasījumi</w:t>
      </w:r>
      <w:bookmarkEnd w:id="858"/>
    </w:p>
    <w:p w:rsidR="003E022D" w:rsidRDefault="007D19D6">
      <w:pPr>
        <w:numPr>
          <w:ilvl w:val="1"/>
          <w:numId w:val="106"/>
        </w:numPr>
        <w:ind w:left="0" w:firstLine="0"/>
        <w:rPr>
          <w:rFonts w:cstheme="minorHAnsi"/>
          <w:noProof/>
        </w:rPr>
      </w:pPr>
      <w:r>
        <w:rPr>
          <w:noProof/>
        </w:rPr>
        <w:t xml:space="preserve">Ja pieprasījuma saņēmēja valsts saņem vairāk nekā vienu pieprasījumu saskaņā ar </w:t>
      </w:r>
      <w:r>
        <w:rPr>
          <w:noProof/>
          <w:u w:color="000000"/>
        </w:rPr>
        <w:t>LAW.CONFISC.8. pantu [Pienākums veikt pagaidu</w:t>
      </w:r>
      <w:r>
        <w:rPr>
          <w:noProof/>
          <w:u w:color="000000"/>
        </w:rPr>
        <w:t xml:space="preserve"> pasākumus]</w:t>
      </w:r>
      <w:r>
        <w:rPr>
          <w:noProof/>
        </w:rPr>
        <w:t xml:space="preserve"> vai </w:t>
      </w:r>
      <w:r>
        <w:rPr>
          <w:noProof/>
          <w:u w:color="000000"/>
        </w:rPr>
        <w:t>LAW.CONFISC.10. pantu [Pienākums veikt konfiskāciju]</w:t>
      </w:r>
      <w:r>
        <w:rPr>
          <w:noProof/>
        </w:rPr>
        <w:t xml:space="preserve"> attiecībā uz vienu un to pašu personu vai īpašumu, vairāki pieprasījumi nekavē minēto valsti izskatīt pieprasījumus, kuros prasīta pagaidu pasākumu veikšana.</w:t>
      </w:r>
    </w:p>
    <w:p w:rsidR="003E022D" w:rsidRDefault="007D19D6">
      <w:pPr>
        <w:numPr>
          <w:ilvl w:val="1"/>
          <w:numId w:val="106"/>
        </w:numPr>
        <w:ind w:left="0" w:firstLine="0"/>
        <w:rPr>
          <w:rFonts w:cstheme="minorHAnsi"/>
          <w:noProof/>
        </w:rPr>
      </w:pPr>
      <w:r>
        <w:rPr>
          <w:noProof/>
        </w:rPr>
        <w:t xml:space="preserve">Ja saskaņā ar </w:t>
      </w:r>
      <w:r>
        <w:rPr>
          <w:noProof/>
          <w:u w:color="000000"/>
        </w:rPr>
        <w:t>LAW.CONFISC.10. pantu [Pienākums veikt konfiskāciju]</w:t>
      </w:r>
      <w:r>
        <w:rPr>
          <w:noProof/>
        </w:rPr>
        <w:t xml:space="preserve"> ir iesniegti vairāki pieprasījumi, pieprasījuma saņēmēja valsts apsver iespēju apspriesties ar pieprasījuma iesniedzēju valsti.</w:t>
      </w:r>
    </w:p>
    <w:p w:rsidR="003E022D" w:rsidRDefault="007D19D6">
      <w:pPr>
        <w:pStyle w:val="Article"/>
        <w:rPr>
          <w:noProof/>
        </w:rPr>
      </w:pPr>
      <w:bookmarkStart w:id="859" w:name="_Toc58920376"/>
      <w:r>
        <w:rPr>
          <w:noProof/>
        </w:rPr>
        <w:t>LAW.CONFISC.28. pants. Pienākums norādīt pamatojumu</w:t>
      </w:r>
      <w:bookmarkEnd w:id="859"/>
      <w:r>
        <w:rPr>
          <w:noProof/>
        </w:rPr>
        <w:t xml:space="preserve"> </w:t>
      </w:r>
    </w:p>
    <w:p w:rsidR="003E022D" w:rsidRDefault="007D19D6">
      <w:pPr>
        <w:rPr>
          <w:rFonts w:cstheme="minorHAnsi"/>
          <w:noProof/>
        </w:rPr>
      </w:pPr>
      <w:r>
        <w:rPr>
          <w:noProof/>
        </w:rPr>
        <w:t xml:space="preserve">Pieprasījuma saņēmēja </w:t>
      </w:r>
      <w:r>
        <w:rPr>
          <w:noProof/>
        </w:rPr>
        <w:t>valsts pamato jebkuru lēmumu atteikt vai atlikt jebkādu sadarbību saskaņā ar šo sadaļu, vai piemērot tai nosacījumus.</w:t>
      </w:r>
    </w:p>
    <w:p w:rsidR="003E022D" w:rsidRDefault="007D19D6">
      <w:pPr>
        <w:pStyle w:val="Article"/>
        <w:rPr>
          <w:noProof/>
        </w:rPr>
      </w:pPr>
      <w:bookmarkStart w:id="860" w:name="_Toc58920377"/>
      <w:r>
        <w:rPr>
          <w:noProof/>
        </w:rPr>
        <w:t>LAW.CONFISC.29. pants. Informācija</w:t>
      </w:r>
      <w:bookmarkEnd w:id="860"/>
    </w:p>
    <w:p w:rsidR="003E022D" w:rsidRDefault="007D19D6">
      <w:pPr>
        <w:numPr>
          <w:ilvl w:val="0"/>
          <w:numId w:val="107"/>
        </w:numPr>
        <w:ind w:left="0" w:firstLine="0"/>
        <w:rPr>
          <w:rFonts w:cstheme="minorHAnsi"/>
          <w:noProof/>
        </w:rPr>
      </w:pPr>
      <w:r>
        <w:rPr>
          <w:noProof/>
        </w:rPr>
        <w:t>Pieprasījuma saņēmēja valsts nekavējoties informē pieprasījuma iesniedzēju valsti par:</w:t>
      </w:r>
    </w:p>
    <w:p w:rsidR="003E022D" w:rsidRDefault="007D19D6">
      <w:pPr>
        <w:numPr>
          <w:ilvl w:val="1"/>
          <w:numId w:val="108"/>
        </w:numPr>
        <w:ind w:left="567" w:hanging="567"/>
        <w:rPr>
          <w:noProof/>
        </w:rPr>
      </w:pPr>
      <w:r>
        <w:rPr>
          <w:noProof/>
        </w:rPr>
        <w:t>sākto darbību, p</w:t>
      </w:r>
      <w:r>
        <w:rPr>
          <w:noProof/>
        </w:rPr>
        <w:t>amatojoties uz pieprasījumu saskaņā ar šo sadaļu;</w:t>
      </w:r>
    </w:p>
    <w:p w:rsidR="003E022D" w:rsidRDefault="007D19D6">
      <w:pPr>
        <w:numPr>
          <w:ilvl w:val="1"/>
          <w:numId w:val="108"/>
        </w:numPr>
        <w:ind w:left="567" w:hanging="567"/>
        <w:rPr>
          <w:noProof/>
        </w:rPr>
      </w:pPr>
      <w:r>
        <w:rPr>
          <w:noProof/>
        </w:rPr>
        <w:t>pamatojoties uz pieprasījumu saskaņā ar šo sadaļu veiktās darbības galīgo rezultātu;</w:t>
      </w:r>
    </w:p>
    <w:p w:rsidR="003E022D" w:rsidRDefault="007D19D6">
      <w:pPr>
        <w:numPr>
          <w:ilvl w:val="1"/>
          <w:numId w:val="108"/>
        </w:numPr>
        <w:ind w:left="567" w:hanging="567"/>
        <w:rPr>
          <w:noProof/>
        </w:rPr>
      </w:pPr>
      <w:r>
        <w:rPr>
          <w:noProof/>
        </w:rPr>
        <w:t>lēmumu pilnībā vai daļēji atteikt vai atlikt jebkādu sadarbību saskaņā ar šo sadaļu, vai piemērot tai nosacījumus;</w:t>
      </w:r>
    </w:p>
    <w:p w:rsidR="003E022D" w:rsidRDefault="007D19D6">
      <w:pPr>
        <w:numPr>
          <w:ilvl w:val="1"/>
          <w:numId w:val="108"/>
        </w:numPr>
        <w:ind w:left="567" w:hanging="567"/>
        <w:rPr>
          <w:noProof/>
        </w:rPr>
      </w:pPr>
      <w:r>
        <w:rPr>
          <w:noProof/>
        </w:rPr>
        <w:t>visiem</w:t>
      </w:r>
      <w:r>
        <w:rPr>
          <w:noProof/>
        </w:rPr>
        <w:t xml:space="preserve"> apstākļiem, kas padara neiespējamu pieprasītās darbības veikšanu vai varētu to būtiski aizkavēt; un</w:t>
      </w:r>
    </w:p>
    <w:p w:rsidR="003E022D" w:rsidRDefault="007D19D6">
      <w:pPr>
        <w:numPr>
          <w:ilvl w:val="1"/>
          <w:numId w:val="108"/>
        </w:numPr>
        <w:ind w:left="567" w:hanging="567"/>
        <w:rPr>
          <w:rFonts w:cstheme="minorHAnsi"/>
          <w:noProof/>
        </w:rPr>
      </w:pPr>
      <w:r>
        <w:rPr>
          <w:noProof/>
        </w:rPr>
        <w:t xml:space="preserve">ja pagaidu pasākumi ir pieņemti atbilstoši pieprasījumam, kas iesniegts saskaņā ar noteikumiem no </w:t>
      </w:r>
      <w:r>
        <w:rPr>
          <w:noProof/>
          <w:u w:color="000000"/>
        </w:rPr>
        <w:t>LAW.CONFISC.3. panta [Pienākums sniegt palīdzību]</w:t>
      </w:r>
      <w:r>
        <w:rPr>
          <w:noProof/>
        </w:rPr>
        <w:t xml:space="preserve"> līdz</w:t>
      </w:r>
      <w:r>
        <w:rPr>
          <w:noProof/>
          <w:u w:color="000000"/>
        </w:rPr>
        <w:t xml:space="preserve"> LA</w:t>
      </w:r>
      <w:r>
        <w:rPr>
          <w:noProof/>
          <w:u w:color="000000"/>
        </w:rPr>
        <w:t>W.CONFISC.8. pantam [Pienākums veikt pagaidu pasākumus]</w:t>
      </w:r>
      <w:r>
        <w:rPr>
          <w:noProof/>
        </w:rPr>
        <w:t xml:space="preserve"> – tādiem iekšzemes tiesību aktu noteikumiem, kas automātiski izraisītu pagaidu pasākuma atcelšanu. </w:t>
      </w:r>
    </w:p>
    <w:p w:rsidR="003E022D" w:rsidRDefault="007D19D6">
      <w:pPr>
        <w:numPr>
          <w:ilvl w:val="0"/>
          <w:numId w:val="107"/>
        </w:numPr>
        <w:ind w:left="0" w:firstLine="0"/>
        <w:rPr>
          <w:rFonts w:cstheme="minorHAnsi"/>
          <w:noProof/>
        </w:rPr>
      </w:pPr>
      <w:r>
        <w:rPr>
          <w:noProof/>
        </w:rPr>
        <w:t>Pieprasījuma iesniedzēja valsts nekavējoties informē pieprasījuma saņēmēju valsti par:</w:t>
      </w:r>
    </w:p>
    <w:p w:rsidR="003E022D" w:rsidRDefault="007D19D6">
      <w:pPr>
        <w:numPr>
          <w:ilvl w:val="1"/>
          <w:numId w:val="109"/>
        </w:numPr>
        <w:ind w:left="567" w:hanging="567"/>
        <w:rPr>
          <w:noProof/>
        </w:rPr>
      </w:pPr>
      <w:r>
        <w:rPr>
          <w:noProof/>
        </w:rPr>
        <w:t>jebkādu pārsk</w:t>
      </w:r>
      <w:r>
        <w:rPr>
          <w:noProof/>
        </w:rPr>
        <w:t>atīšanu, lēmumu vai jebkuru citu faktu, kā dēļ konfiskācijas rīkojums vairs nav pilnībā vai daļēji izpildāms; un</w:t>
      </w:r>
    </w:p>
    <w:p w:rsidR="003E022D" w:rsidRDefault="007D19D6">
      <w:pPr>
        <w:numPr>
          <w:ilvl w:val="1"/>
          <w:numId w:val="109"/>
        </w:numPr>
        <w:ind w:left="567" w:hanging="567"/>
        <w:rPr>
          <w:noProof/>
        </w:rPr>
      </w:pPr>
      <w:r>
        <w:rPr>
          <w:noProof/>
        </w:rPr>
        <w:t>visām faktu vai juridiskām izmaiņām, kā dēļ darbība saskaņā ar šo sadaļu vairs nav pamatota.</w:t>
      </w:r>
    </w:p>
    <w:p w:rsidR="003E022D" w:rsidRDefault="007D19D6">
      <w:pPr>
        <w:numPr>
          <w:ilvl w:val="0"/>
          <w:numId w:val="107"/>
        </w:numPr>
        <w:ind w:left="0" w:firstLine="0"/>
        <w:rPr>
          <w:rFonts w:cstheme="minorHAnsi"/>
          <w:noProof/>
        </w:rPr>
      </w:pPr>
      <w:r>
        <w:rPr>
          <w:noProof/>
        </w:rPr>
        <w:t>Ja valsts, pamatojoties uz vienu un to pašu konfis</w:t>
      </w:r>
      <w:r>
        <w:rPr>
          <w:noProof/>
        </w:rPr>
        <w:t>kācijas rīkojumu, pieprasa konfiskāciju vairāk nekā vienā valstī, tā par pieprasījumu informē visas valstis, kuras skar rīkojuma izpilde.</w:t>
      </w:r>
    </w:p>
    <w:p w:rsidR="003E022D" w:rsidRDefault="007D19D6">
      <w:pPr>
        <w:pStyle w:val="Article"/>
        <w:rPr>
          <w:noProof/>
        </w:rPr>
      </w:pPr>
      <w:bookmarkStart w:id="861" w:name="_Toc58920378"/>
      <w:r>
        <w:rPr>
          <w:noProof/>
        </w:rPr>
        <w:t>LAW.CONFISC.30. pants. Izmantošanas ierobežojums</w:t>
      </w:r>
      <w:bookmarkEnd w:id="861"/>
    </w:p>
    <w:p w:rsidR="003E022D" w:rsidRDefault="007D19D6">
      <w:pPr>
        <w:numPr>
          <w:ilvl w:val="1"/>
          <w:numId w:val="110"/>
        </w:numPr>
        <w:ind w:left="0" w:firstLine="0"/>
        <w:rPr>
          <w:rFonts w:cstheme="minorHAnsi"/>
          <w:noProof/>
        </w:rPr>
      </w:pPr>
      <w:r>
        <w:rPr>
          <w:noProof/>
        </w:rPr>
        <w:t>Pieprasījuma saņēmēja valsts var pieprasījuma izpildi padarīt atkarīg</w:t>
      </w:r>
      <w:r>
        <w:rPr>
          <w:noProof/>
        </w:rPr>
        <w:t>u no nosacījuma, ka iegūto informāciju vai pierādījumus bez tās iepriekšējas piekrišanas pieprasījuma iesniedzējas valsts iestādes neizmanto vai nenosūta citās izmeklēšanās vai tiesvedībās, kas nav norādītas lūgumā.</w:t>
      </w:r>
    </w:p>
    <w:p w:rsidR="003E022D" w:rsidRDefault="007D19D6">
      <w:pPr>
        <w:numPr>
          <w:ilvl w:val="1"/>
          <w:numId w:val="110"/>
        </w:numPr>
        <w:ind w:left="0" w:firstLine="0"/>
        <w:rPr>
          <w:rFonts w:cstheme="minorHAnsi"/>
          <w:noProof/>
        </w:rPr>
      </w:pPr>
      <w:r>
        <w:rPr>
          <w:noProof/>
        </w:rPr>
        <w:t>Bez pieprasījuma saņēmējas valsts ieprie</w:t>
      </w:r>
      <w:r>
        <w:rPr>
          <w:noProof/>
        </w:rPr>
        <w:t>kšējas piekrišanas informāciju vai pierādījumus, ko tā sniegusi saskaņā ar šo sadaļu, pieprasījuma iesniedzējas valsts iestādes nedrīkst izmantot vai nosūtīt citās izmeklēšanās vai tiesvedībās, kas nav norādītas lūgumā.</w:t>
      </w:r>
    </w:p>
    <w:p w:rsidR="003E022D" w:rsidRDefault="007D19D6">
      <w:pPr>
        <w:numPr>
          <w:ilvl w:val="1"/>
          <w:numId w:val="110"/>
        </w:numPr>
        <w:ind w:left="0" w:firstLine="0"/>
        <w:rPr>
          <w:rFonts w:cstheme="minorHAnsi"/>
          <w:noProof/>
        </w:rPr>
      </w:pPr>
      <w:r>
        <w:rPr>
          <w:noProof/>
        </w:rPr>
        <w:t>Personas datus, ko dara zināmus sask</w:t>
      </w:r>
      <w:r>
        <w:rPr>
          <w:noProof/>
        </w:rPr>
        <w:t>aņā ar šo sadaļu, valsts, kurai tie ir nodoti, drīkst izmantot:</w:t>
      </w:r>
    </w:p>
    <w:p w:rsidR="003E022D" w:rsidRDefault="007D19D6">
      <w:pPr>
        <w:numPr>
          <w:ilvl w:val="0"/>
          <w:numId w:val="168"/>
        </w:numPr>
        <w:ind w:left="567" w:hanging="567"/>
        <w:rPr>
          <w:noProof/>
        </w:rPr>
      </w:pPr>
      <w:r>
        <w:rPr>
          <w:noProof/>
        </w:rPr>
        <w:t>tādas tiesvedības nolūkā, uz ko attiecas šī sadaļa;</w:t>
      </w:r>
    </w:p>
    <w:p w:rsidR="003E022D" w:rsidRDefault="007D19D6">
      <w:pPr>
        <w:numPr>
          <w:ilvl w:val="0"/>
          <w:numId w:val="168"/>
        </w:numPr>
        <w:ind w:left="567" w:hanging="567"/>
        <w:rPr>
          <w:noProof/>
        </w:rPr>
      </w:pPr>
      <w:r>
        <w:rPr>
          <w:noProof/>
        </w:rPr>
        <w:t>citās tiesas un administratīvās procedūrās, kas ir tieši saistītas ar a) apakšpunktā minēto tiesvedību;</w:t>
      </w:r>
    </w:p>
    <w:p w:rsidR="003E022D" w:rsidRDefault="007D19D6">
      <w:pPr>
        <w:numPr>
          <w:ilvl w:val="0"/>
          <w:numId w:val="168"/>
        </w:numPr>
        <w:ind w:left="567" w:hanging="567"/>
        <w:rPr>
          <w:noProof/>
        </w:rPr>
      </w:pPr>
      <w:r>
        <w:rPr>
          <w:noProof/>
        </w:rPr>
        <w:t xml:space="preserve">lai novērstu tūlītējus un nopietnus </w:t>
      </w:r>
      <w:r>
        <w:rPr>
          <w:noProof/>
        </w:rPr>
        <w:t>draudus sabiedrības drošībai; vai</w:t>
      </w:r>
    </w:p>
    <w:p w:rsidR="003E022D" w:rsidRDefault="007D19D6">
      <w:pPr>
        <w:numPr>
          <w:ilvl w:val="0"/>
          <w:numId w:val="168"/>
        </w:numPr>
        <w:ind w:left="567" w:hanging="567"/>
        <w:rPr>
          <w:rFonts w:cstheme="minorHAnsi"/>
          <w:noProof/>
        </w:rPr>
      </w:pPr>
      <w:r>
        <w:rPr>
          <w:noProof/>
        </w:rPr>
        <w:t>jebkuram citam mērķim – tikai ar datu devējas valsts iepriekšēju piekrišanu, ja vien attiecīgā valsts nav saņēmusi tās personas piekrišanu, uz ko attiecas dati.</w:t>
      </w:r>
    </w:p>
    <w:p w:rsidR="003E022D" w:rsidRDefault="007D19D6">
      <w:pPr>
        <w:numPr>
          <w:ilvl w:val="1"/>
          <w:numId w:val="110"/>
        </w:numPr>
        <w:ind w:left="0" w:firstLine="0"/>
        <w:rPr>
          <w:rFonts w:cstheme="minorHAnsi"/>
          <w:noProof/>
        </w:rPr>
      </w:pPr>
      <w:r>
        <w:rPr>
          <w:noProof/>
        </w:rPr>
        <w:t>Šo pantu piemēro arī tiem personas datiem, kas nav darīti zin</w:t>
      </w:r>
      <w:r>
        <w:rPr>
          <w:noProof/>
        </w:rPr>
        <w:t>āmi, bet saskaņā ar šo sadaļu ir iegūti citā ceļā.</w:t>
      </w:r>
    </w:p>
    <w:p w:rsidR="003E022D" w:rsidRDefault="007D19D6">
      <w:pPr>
        <w:numPr>
          <w:ilvl w:val="1"/>
          <w:numId w:val="110"/>
        </w:numPr>
        <w:ind w:left="0" w:firstLine="0"/>
        <w:rPr>
          <w:rFonts w:cstheme="minorHAnsi"/>
          <w:noProof/>
        </w:rPr>
      </w:pPr>
      <w:r>
        <w:rPr>
          <w:noProof/>
        </w:rPr>
        <w:t>Šo pantu nepiemēro personas datiem, kurus Apvienotā Karaliste vai kāda dalībvalsts ir ieguvusi saskaņā ar šo sadaļu un kuru izcelsme ir minētajā valstī.</w:t>
      </w:r>
    </w:p>
    <w:p w:rsidR="003E022D" w:rsidRDefault="007D19D6">
      <w:pPr>
        <w:pStyle w:val="Article"/>
        <w:rPr>
          <w:noProof/>
        </w:rPr>
      </w:pPr>
      <w:bookmarkStart w:id="862" w:name="_Toc58920379"/>
      <w:r>
        <w:rPr>
          <w:noProof/>
        </w:rPr>
        <w:t>LAW.CONFISC.31. pants. Konfidencialitāte</w:t>
      </w:r>
      <w:bookmarkEnd w:id="862"/>
      <w:r>
        <w:rPr>
          <w:noProof/>
        </w:rPr>
        <w:t xml:space="preserve"> </w:t>
      </w:r>
    </w:p>
    <w:p w:rsidR="003E022D" w:rsidRDefault="007D19D6">
      <w:pPr>
        <w:numPr>
          <w:ilvl w:val="1"/>
          <w:numId w:val="111"/>
        </w:numPr>
        <w:ind w:left="0" w:firstLine="0"/>
        <w:rPr>
          <w:rFonts w:cstheme="minorHAnsi"/>
          <w:noProof/>
        </w:rPr>
      </w:pPr>
      <w:r>
        <w:rPr>
          <w:noProof/>
        </w:rPr>
        <w:t>Pieprasīju</w:t>
      </w:r>
      <w:r>
        <w:rPr>
          <w:noProof/>
        </w:rPr>
        <w:t>ma iesniedzēja valsts var lūgt, lai pieprasījuma saņēmēja valsts saglabā konfidencialitāti attiecībā uz pieprasījuma faktiem un saturu, izņemot tiktāl, cik nepieciešams pieprasījuma izpildes vajadzībām. Ja pieprasījuma saņēmēja valsts nevar izpildīt konfid</w:t>
      </w:r>
      <w:r>
        <w:rPr>
          <w:noProof/>
        </w:rPr>
        <w:t>encialitātes prasību, tā nekavējoties informē pieprasījuma iesniedzēju valsti.</w:t>
      </w:r>
    </w:p>
    <w:p w:rsidR="003E022D" w:rsidRDefault="007D19D6">
      <w:pPr>
        <w:numPr>
          <w:ilvl w:val="1"/>
          <w:numId w:val="111"/>
        </w:numPr>
        <w:ind w:left="0" w:firstLine="0"/>
        <w:rPr>
          <w:rFonts w:cstheme="minorHAnsi"/>
          <w:noProof/>
        </w:rPr>
      </w:pPr>
      <w:r>
        <w:rPr>
          <w:noProof/>
        </w:rPr>
        <w:t>Pieprasījuma iesniedzēja valsts, ja tas nav pretrunā tās tiesību aktu pamatprincipiem un ja tas ir prasīts, saglabā konfidencialitāti attiecībā uz visiem pierādījumiem un inform</w:t>
      </w:r>
      <w:r>
        <w:rPr>
          <w:noProof/>
        </w:rPr>
        <w:t>āciju, ko sniegusi pieprasījuma saņēmēja valsts, izņemot tiktāl, ciktāl to izpaušana vajadzīga pieprasījumā aprakstītajai izmeklēšanai vai tiesvedībai.</w:t>
      </w:r>
    </w:p>
    <w:p w:rsidR="003E022D" w:rsidRDefault="007D19D6">
      <w:pPr>
        <w:numPr>
          <w:ilvl w:val="1"/>
          <w:numId w:val="111"/>
        </w:numPr>
        <w:ind w:left="0" w:firstLine="0"/>
        <w:rPr>
          <w:rFonts w:cstheme="minorHAnsi"/>
          <w:noProof/>
        </w:rPr>
      </w:pPr>
      <w:r>
        <w:rPr>
          <w:noProof/>
        </w:rPr>
        <w:t>Ievērojot tās iekšzemes tiesību aktu noteikumus, valsts, kas ir saņēmusi spontānu informāciju saskaņā ar</w:t>
      </w:r>
      <w:r>
        <w:rPr>
          <w:noProof/>
        </w:rPr>
        <w:t xml:space="preserve"> </w:t>
      </w:r>
      <w:r>
        <w:rPr>
          <w:noProof/>
          <w:u w:color="000000"/>
        </w:rPr>
        <w:t>LAW.CONFISC.7. pantu [Spontāna informācija]</w:t>
      </w:r>
      <w:r>
        <w:rPr>
          <w:noProof/>
        </w:rPr>
        <w:t>, izpilda visas konfidencialitātes prasības, kuras prasa valsts, kas informāciju sniegusi. Ja pieprasījuma saņēmēja valsts nevar izpildīt šādu prasību, tā nekavējoties informē pieprasījuma iesniedzēju valsti</w:t>
      </w:r>
    </w:p>
    <w:p w:rsidR="003E022D" w:rsidRDefault="007D19D6">
      <w:pPr>
        <w:pStyle w:val="Article"/>
        <w:rPr>
          <w:noProof/>
        </w:rPr>
      </w:pPr>
      <w:bookmarkStart w:id="863" w:name="_Toc58920380"/>
      <w:r>
        <w:rPr>
          <w:noProof/>
        </w:rPr>
        <w:t>LAW.</w:t>
      </w:r>
      <w:r>
        <w:rPr>
          <w:noProof/>
        </w:rPr>
        <w:t>CONFISC.32. pants. Izmaksas</w:t>
      </w:r>
      <w:bookmarkEnd w:id="863"/>
      <w:r>
        <w:rPr>
          <w:noProof/>
        </w:rPr>
        <w:t xml:space="preserve"> </w:t>
      </w:r>
    </w:p>
    <w:p w:rsidR="003E022D" w:rsidRDefault="007D19D6">
      <w:pPr>
        <w:rPr>
          <w:rFonts w:cstheme="minorHAnsi"/>
          <w:noProof/>
        </w:rPr>
      </w:pPr>
      <w:r>
        <w:rPr>
          <w:noProof/>
        </w:rPr>
        <w:t>Ar pieprasījuma izpildi saistītās parastās izmaksas sedz pieprasījuma saņēmēja valsts. Ja pieprasījuma izpildei ir nepieciešamas būtiskas vai ārkārtējas izmaksas, pieprasījuma iesniedzēja valsts apspriežas ar pieprasījuma saņēm</w:t>
      </w:r>
      <w:r>
        <w:rPr>
          <w:noProof/>
        </w:rPr>
        <w:t>ēju valsti, lai vienotos par nosacījumiem pieprasījuma izpildei un to, kā tiks segtas izmaksas.</w:t>
      </w:r>
    </w:p>
    <w:p w:rsidR="003E022D" w:rsidRDefault="007D19D6">
      <w:pPr>
        <w:pStyle w:val="Article"/>
        <w:rPr>
          <w:noProof/>
        </w:rPr>
      </w:pPr>
      <w:bookmarkStart w:id="864" w:name="_Toc58920381"/>
      <w:r>
        <w:rPr>
          <w:noProof/>
        </w:rPr>
        <w:t>LAW.CONFISC.33. pants. Zaudējumu atlīdzība</w:t>
      </w:r>
      <w:bookmarkEnd w:id="864"/>
      <w:r>
        <w:rPr>
          <w:noProof/>
        </w:rPr>
        <w:t xml:space="preserve"> </w:t>
      </w:r>
    </w:p>
    <w:p w:rsidR="003E022D" w:rsidRDefault="007D19D6">
      <w:pPr>
        <w:numPr>
          <w:ilvl w:val="1"/>
          <w:numId w:val="112"/>
        </w:numPr>
        <w:ind w:left="0" w:firstLine="0"/>
        <w:rPr>
          <w:rFonts w:cstheme="minorHAnsi"/>
          <w:noProof/>
        </w:rPr>
      </w:pPr>
      <w:r>
        <w:rPr>
          <w:noProof/>
        </w:rPr>
        <w:t xml:space="preserve">Ja kāda persona ir uzsākusi tiesvedību attiecībā uz atbildību par to zaudējumu atlīdzināšanu, kas radušies darbības </w:t>
      </w:r>
      <w:r>
        <w:rPr>
          <w:noProof/>
        </w:rPr>
        <w:t>vai bezdarbības rezultātā saistībā ar sadarbību atbilstoši šai sadaļai, attiecīgās valstis vajadzības gadījumā apsver iespēju savstarpēji apspriesties, lai noteiktu, kā sadalāma atlīdzināmo zaudējumu summu.</w:t>
      </w:r>
    </w:p>
    <w:p w:rsidR="003E022D" w:rsidRDefault="007D19D6">
      <w:pPr>
        <w:numPr>
          <w:ilvl w:val="1"/>
          <w:numId w:val="112"/>
        </w:numPr>
        <w:ind w:left="0" w:firstLine="0"/>
        <w:rPr>
          <w:rFonts w:cstheme="minorHAnsi"/>
          <w:noProof/>
        </w:rPr>
      </w:pPr>
      <w:r>
        <w:rPr>
          <w:noProof/>
        </w:rPr>
        <w:t xml:space="preserve">Valsts, kura iesaistīta tiesvedībā par zaudējumu </w:t>
      </w:r>
      <w:r>
        <w:rPr>
          <w:noProof/>
        </w:rPr>
        <w:t>atlīdzināšanu, cenšas informēt otru valsti par šādu tiesvedību, ja minētai valstij varētu būt interese šajā lietā.</w:t>
      </w:r>
    </w:p>
    <w:p w:rsidR="003E022D" w:rsidRDefault="007D19D6">
      <w:pPr>
        <w:pStyle w:val="Article"/>
        <w:rPr>
          <w:noProof/>
        </w:rPr>
      </w:pPr>
      <w:bookmarkStart w:id="865" w:name="_Toc58920382"/>
      <w:r>
        <w:rPr>
          <w:noProof/>
        </w:rPr>
        <w:t>LAW.CONFISC.34. pants. Tiesiskās aizsardzības līdzekļi</w:t>
      </w:r>
      <w:bookmarkEnd w:id="865"/>
    </w:p>
    <w:p w:rsidR="003E022D" w:rsidRDefault="007D19D6">
      <w:pPr>
        <w:numPr>
          <w:ilvl w:val="0"/>
          <w:numId w:val="174"/>
        </w:numPr>
        <w:ind w:left="0" w:firstLine="0"/>
        <w:rPr>
          <w:rFonts w:cstheme="minorHAnsi"/>
          <w:noProof/>
        </w:rPr>
      </w:pPr>
      <w:r>
        <w:rPr>
          <w:noProof/>
        </w:rPr>
        <w:t xml:space="preserve">Katra valsts nodrošina, ka personām, kuras skar pasākumi saskaņā ar </w:t>
      </w:r>
      <w:r>
        <w:rPr>
          <w:noProof/>
          <w:u w:color="000000"/>
        </w:rPr>
        <w:t>LAW.CONFISC.8. panta [Pienākums veikt pagaidu pasākumus]</w:t>
      </w:r>
      <w:r>
        <w:rPr>
          <w:noProof/>
        </w:rPr>
        <w:t xml:space="preserve"> līdz </w:t>
      </w:r>
      <w:r>
        <w:rPr>
          <w:noProof/>
          <w:u w:color="000000"/>
        </w:rPr>
        <w:t>LAW.CONFISC.11. panta [Konfiskācijas izpilde]</w:t>
      </w:r>
      <w:r>
        <w:rPr>
          <w:noProof/>
        </w:rPr>
        <w:t xml:space="preserve"> noteikumiem, ir pieejami efektīvi tiesiskās aizsardzības līdzekļi to tiesību aizsardzībai. </w:t>
      </w:r>
    </w:p>
    <w:p w:rsidR="003E022D" w:rsidRDefault="007D19D6">
      <w:pPr>
        <w:pStyle w:val="ListParagraph"/>
        <w:numPr>
          <w:ilvl w:val="0"/>
          <w:numId w:val="174"/>
        </w:numPr>
        <w:pBdr>
          <w:top w:val="nil"/>
          <w:left w:val="nil"/>
          <w:bottom w:val="nil"/>
          <w:right w:val="nil"/>
          <w:between w:val="nil"/>
          <w:bar w:val="nil"/>
        </w:pBdr>
        <w:spacing w:line="276" w:lineRule="auto"/>
        <w:ind w:left="0" w:firstLine="0"/>
        <w:contextualSpacing w:val="0"/>
        <w:rPr>
          <w:rFonts w:asciiTheme="minorHAnsi" w:hAnsiTheme="minorHAnsi" w:cstheme="minorHAnsi"/>
          <w:noProof/>
        </w:rPr>
      </w:pPr>
      <w:r>
        <w:rPr>
          <w:rFonts w:asciiTheme="minorHAnsi" w:hAnsiTheme="minorHAnsi"/>
          <w:noProof/>
        </w:rPr>
        <w:t xml:space="preserve">Saskaņā ar </w:t>
      </w:r>
      <w:r>
        <w:rPr>
          <w:rFonts w:asciiTheme="minorHAnsi" w:hAnsiTheme="minorHAnsi"/>
          <w:noProof/>
          <w:u w:color="000000"/>
        </w:rPr>
        <w:t>LAW.CONFISC.8. panta [Pienākums veikt pagaidu</w:t>
      </w:r>
      <w:r>
        <w:rPr>
          <w:rFonts w:asciiTheme="minorHAnsi" w:hAnsiTheme="minorHAnsi"/>
          <w:noProof/>
          <w:u w:color="000000"/>
        </w:rPr>
        <w:t xml:space="preserve"> pasākumus]</w:t>
      </w:r>
      <w:r>
        <w:rPr>
          <w:rFonts w:asciiTheme="minorHAnsi" w:hAnsiTheme="minorHAnsi"/>
          <w:noProof/>
        </w:rPr>
        <w:t xml:space="preserve"> līdz </w:t>
      </w:r>
      <w:r>
        <w:rPr>
          <w:rFonts w:asciiTheme="minorHAnsi" w:hAnsiTheme="minorHAnsi"/>
          <w:noProof/>
          <w:u w:color="000000"/>
        </w:rPr>
        <w:t>LAW.CONFISC.11. panta [Konfiskācijas izpilde]</w:t>
      </w:r>
      <w:r>
        <w:rPr>
          <w:rFonts w:asciiTheme="minorHAnsi" w:hAnsiTheme="minorHAnsi"/>
          <w:noProof/>
        </w:rPr>
        <w:t xml:space="preserve"> noteikumiem pieprasīto pasākumu iemeslus pēc būtības nevar apstrīdēt pieprasījuma saņēmējas valsts tiesā.</w:t>
      </w:r>
    </w:p>
    <w:p w:rsidR="003E022D" w:rsidRDefault="007D19D6">
      <w:pPr>
        <w:pStyle w:val="Title1"/>
        <w:rPr>
          <w:noProof/>
        </w:rPr>
      </w:pPr>
      <w:bookmarkStart w:id="866" w:name="_Toc29896159"/>
      <w:bookmarkStart w:id="867" w:name="_Toc33194198"/>
      <w:bookmarkStart w:id="868" w:name="_Toc33194821"/>
      <w:bookmarkStart w:id="869" w:name="_Toc34676379"/>
      <w:bookmarkStart w:id="870" w:name="_Toc35449645"/>
      <w:bookmarkStart w:id="871" w:name="_Toc57809466"/>
      <w:bookmarkStart w:id="872" w:name="_Toc58920383"/>
      <w:bookmarkStart w:id="873" w:name="_Toc58949206"/>
      <w:bookmarkStart w:id="874" w:name="_Toc59472721"/>
      <w:bookmarkStart w:id="875" w:name="_Toc59988373"/>
      <w:r>
        <w:rPr>
          <w:noProof/>
        </w:rPr>
        <w:t>XII sadaļa. Citi noteikumi</w:t>
      </w:r>
      <w:bookmarkEnd w:id="866"/>
      <w:bookmarkEnd w:id="867"/>
      <w:bookmarkEnd w:id="868"/>
      <w:bookmarkEnd w:id="869"/>
      <w:bookmarkEnd w:id="870"/>
      <w:bookmarkEnd w:id="871"/>
      <w:bookmarkEnd w:id="872"/>
      <w:bookmarkEnd w:id="873"/>
      <w:bookmarkEnd w:id="874"/>
      <w:bookmarkEnd w:id="875"/>
    </w:p>
    <w:p w:rsidR="003E022D" w:rsidRDefault="007D19D6">
      <w:pPr>
        <w:pStyle w:val="Article"/>
        <w:rPr>
          <w:noProof/>
        </w:rPr>
      </w:pPr>
      <w:bookmarkStart w:id="876" w:name="_ARTICLE_126"/>
      <w:bookmarkStart w:id="877" w:name="_Toc29896160"/>
      <w:bookmarkStart w:id="878" w:name="_Ref31043414"/>
      <w:bookmarkStart w:id="879" w:name="_Ref31043575"/>
      <w:bookmarkStart w:id="880" w:name="_Ref31043728"/>
      <w:bookmarkStart w:id="881" w:name="_Ref31044255"/>
      <w:bookmarkStart w:id="882" w:name="_Ref31058753"/>
      <w:bookmarkStart w:id="883" w:name="_Ref31059142"/>
      <w:bookmarkStart w:id="884" w:name="_Ref31059473"/>
      <w:bookmarkStart w:id="885" w:name="_Ref31060295"/>
      <w:bookmarkStart w:id="886" w:name="_Toc58920384"/>
      <w:bookmarkEnd w:id="876"/>
      <w:r>
        <w:rPr>
          <w:noProof/>
        </w:rPr>
        <w:t>LAW.OTHER.</w:t>
      </w:r>
      <w:bookmarkEnd w:id="877"/>
      <w:bookmarkEnd w:id="878"/>
      <w:bookmarkEnd w:id="879"/>
      <w:bookmarkEnd w:id="880"/>
      <w:bookmarkEnd w:id="881"/>
      <w:bookmarkEnd w:id="882"/>
      <w:bookmarkEnd w:id="883"/>
      <w:bookmarkEnd w:id="884"/>
      <w:bookmarkEnd w:id="885"/>
      <w:r>
        <w:rPr>
          <w:noProof/>
        </w:rPr>
        <w:t xml:space="preserve">134. pants. </w:t>
      </w:r>
      <w:bookmarkStart w:id="887" w:name="_Toc29896161"/>
      <w:r>
        <w:rPr>
          <w:noProof/>
        </w:rPr>
        <w:t>Paziņojumi</w:t>
      </w:r>
      <w:bookmarkEnd w:id="886"/>
      <w:bookmarkEnd w:id="887"/>
    </w:p>
    <w:p w:rsidR="003E022D" w:rsidRDefault="007D19D6">
      <w:pPr>
        <w:numPr>
          <w:ilvl w:val="0"/>
          <w:numId w:val="176"/>
        </w:numPr>
        <w:ind w:left="0" w:firstLine="0"/>
        <w:rPr>
          <w:noProof/>
        </w:rPr>
      </w:pPr>
      <w:r>
        <w:rPr>
          <w:noProof/>
        </w:rPr>
        <w:t>Līdz šā līguma spēkā stāšan</w:t>
      </w:r>
      <w:r>
        <w:rPr>
          <w:noProof/>
        </w:rPr>
        <w:t xml:space="preserve">ās dienai Savienība un Apvienotā Karaliste sniedz visus paziņojumus, kas paredzēti LAW.SURR.82. panta [Izņēmums politiska nodarījuma gadījumā] 2. punktā, LAW.SURR.83. panta [Izņēmums saistībā ar valstspiederību] 2. punktā un LAW.SURR.91. panta [Piekrišana </w:t>
      </w:r>
      <w:r>
        <w:rPr>
          <w:noProof/>
        </w:rPr>
        <w:t xml:space="preserve">nodošanai] 4. punktā, un, ciktāl tas ir iespējams, norāda, vai šāds paziņojums nav jāsniedz.   </w:t>
      </w:r>
    </w:p>
    <w:p w:rsidR="003E022D" w:rsidRDefault="007D19D6">
      <w:pPr>
        <w:pStyle w:val="null"/>
        <w:spacing w:before="0" w:beforeAutospacing="0" w:after="0" w:afterAutospacing="0"/>
        <w:jc w:val="both"/>
        <w:rPr>
          <w:noProof/>
        </w:rPr>
      </w:pPr>
      <w:r>
        <w:rPr>
          <w:rStyle w:val="null1"/>
          <w:noProof/>
        </w:rPr>
        <w:t>Ja pirmajā daļā minētajā brīdī šāds paziņojums vai norāde nav veikta attiecībā uz kādu valsti, tad paziņojumus par šo valsti var sniegt pēc iespējas ātrāk un ne</w:t>
      </w:r>
      <w:r>
        <w:rPr>
          <w:rStyle w:val="null1"/>
          <w:noProof/>
        </w:rPr>
        <w:t xml:space="preserve"> vēlāk kā divus mēnešus pēc šā nolīguma stāšanās spēkā. </w:t>
      </w:r>
    </w:p>
    <w:p w:rsidR="003E022D" w:rsidRDefault="003E022D">
      <w:pPr>
        <w:pStyle w:val="null"/>
        <w:spacing w:before="0" w:beforeAutospacing="0" w:after="0" w:afterAutospacing="0"/>
        <w:jc w:val="both"/>
        <w:rPr>
          <w:rStyle w:val="null1"/>
          <w:noProof/>
        </w:rPr>
      </w:pPr>
    </w:p>
    <w:p w:rsidR="003E022D" w:rsidRDefault="007D19D6">
      <w:pPr>
        <w:pStyle w:val="null"/>
        <w:spacing w:before="0" w:beforeAutospacing="0" w:after="0" w:afterAutospacing="0"/>
        <w:rPr>
          <w:noProof/>
        </w:rPr>
      </w:pPr>
      <w:r>
        <w:rPr>
          <w:noProof/>
        </w:rPr>
        <w:t>Šajā starpposmā jebkura valsts, attiecībā uz kuru nav sniegts paziņojums, kas paredzēts LAW.SURR.82. panta [Izņēmums politiska nodarījuma gadījumā] 2. punktā, LAW.SURR.83. panta [Izņēmums saistībā a</w:t>
      </w:r>
      <w:r>
        <w:rPr>
          <w:noProof/>
        </w:rPr>
        <w:t>r valstspiederību] 2. punktā vai LAW.SURR.91. panta [Piekrišana nodošanai] 4. punktā, un par kuru nav norādes, ka šāds paziņojums nav jāsniedz, var izmantot minētajā pantā paredzētās iespējas tā, it kā šāds paziņojums būtu sniegts attiecībā uz šo valsti.</w:t>
      </w:r>
      <w:r>
        <w:rPr>
          <w:rStyle w:val="null1"/>
          <w:noProof/>
        </w:rPr>
        <w:t xml:space="preserve"> A</w:t>
      </w:r>
      <w:r>
        <w:rPr>
          <w:rStyle w:val="null1"/>
          <w:noProof/>
        </w:rPr>
        <w:t xml:space="preserve">ttiecībā uz </w:t>
      </w:r>
      <w:r>
        <w:rPr>
          <w:rStyle w:val="null1"/>
          <w:noProof/>
          <w:u w:color="000000"/>
        </w:rPr>
        <w:t>LAW.SURR.83. panta [Izņēmums saistībā ar valstspiederību] 2. punktu</w:t>
      </w:r>
      <w:r>
        <w:rPr>
          <w:rStyle w:val="null1"/>
          <w:noProof/>
        </w:rPr>
        <w:t xml:space="preserve"> valsts var izmantot minētajā pantā paredzētās iespējas tikai tiktāl, ciktāl tas ir saderīgi ar paziņošanas kritērijiem.</w:t>
      </w:r>
      <w:r>
        <w:rPr>
          <w:noProof/>
        </w:rPr>
        <w:t xml:space="preserve"> </w:t>
      </w:r>
      <w:r>
        <w:rPr>
          <w:noProof/>
        </w:rPr>
        <w:br/>
      </w:r>
    </w:p>
    <w:p w:rsidR="003E022D" w:rsidRDefault="007D19D6">
      <w:pPr>
        <w:numPr>
          <w:ilvl w:val="0"/>
          <w:numId w:val="176"/>
        </w:numPr>
        <w:ind w:left="0" w:firstLine="0"/>
        <w:rPr>
          <w:rFonts w:cstheme="minorHAnsi"/>
          <w:noProof/>
        </w:rPr>
      </w:pPr>
      <w:r>
        <w:rPr>
          <w:noProof/>
        </w:rPr>
        <w:t xml:space="preserve">Jebkurā laikā var sniegt paziņojumus, kas minēti </w:t>
      </w:r>
      <w:r>
        <w:rPr>
          <w:noProof/>
          <w:u w:color="000000"/>
        </w:rPr>
        <w:t>LAW.S</w:t>
      </w:r>
      <w:r>
        <w:rPr>
          <w:noProof/>
          <w:u w:color="000000"/>
        </w:rPr>
        <w:t>URR.79. panta [Darbības joma] 4. punktā, LAW.SURR.85. panta [Centrālās iestādes iesaistīšana] 1. punktā, LAW.SURR.86. panta [Apcietināšanas ordera saturs un forma] 2. punktā, LAW.SURR.105. panta [Iespējamā kriminālvajāšana par citiem nodarījumiem] 1. punkt</w:t>
      </w:r>
      <w:r>
        <w:rPr>
          <w:noProof/>
          <w:u w:color="000000"/>
        </w:rPr>
        <w:t>ā, LAW.SURR.106. panta [Nodošana vai vēlāka izdošana] 1. punktā, LAW.CONFISC.4. panta [Informācijas pieprasījumi par bankas kontiem un glabāšanas seifiem] 4. punktā, LAW.CONFISC.5. panta [Informācijas pieprasījumi par bankas darījumiem] 5. punktā, LAW.CONF</w:t>
      </w:r>
      <w:r>
        <w:rPr>
          <w:noProof/>
          <w:u w:color="000000"/>
        </w:rPr>
        <w:t>ISC.6. panta [Pieprasījumi par bankas darījumu pārraudzību] 5. punktā, LAW.CONFISC 15. panta [Atteikuma pamatojums] 2. punktā un LAW.CONFISC.23. panta [Pieprasījuma forma un valodas] 3. un 7. punktā</w:t>
      </w:r>
      <w:r>
        <w:rPr>
          <w:noProof/>
        </w:rPr>
        <w:t>.</w:t>
      </w:r>
    </w:p>
    <w:p w:rsidR="003E022D" w:rsidRDefault="007D19D6">
      <w:pPr>
        <w:numPr>
          <w:ilvl w:val="0"/>
          <w:numId w:val="176"/>
        </w:numPr>
        <w:ind w:left="0" w:firstLine="0"/>
        <w:rPr>
          <w:rFonts w:cstheme="minorHAnsi"/>
          <w:noProof/>
        </w:rPr>
      </w:pPr>
      <w:r>
        <w:rPr>
          <w:noProof/>
        </w:rPr>
        <w:t xml:space="preserve">Jebkurā laikā var grozīt paziņojumus, kas minēti </w:t>
      </w:r>
      <w:r>
        <w:rPr>
          <w:noProof/>
          <w:u w:color="000000"/>
        </w:rPr>
        <w:t>LAW.SUR</w:t>
      </w:r>
      <w:r>
        <w:rPr>
          <w:noProof/>
          <w:u w:color="000000"/>
        </w:rPr>
        <w:t>R.85. panta [Centrālās iestādes iesaistīšana] 1. punktā,</w:t>
      </w:r>
      <w:r>
        <w:rPr>
          <w:noProof/>
        </w:rPr>
        <w:t xml:space="preserve">, </w:t>
      </w:r>
      <w:r>
        <w:rPr>
          <w:noProof/>
          <w:u w:color="000000"/>
        </w:rPr>
        <w:t>LAW.SURR.86. panta [Apcietināšanas ordera saturs un forma] 2. punktā</w:t>
      </w:r>
      <w:r>
        <w:rPr>
          <w:noProof/>
        </w:rPr>
        <w:t xml:space="preserve"> un </w:t>
      </w:r>
      <w:r>
        <w:rPr>
          <w:noProof/>
          <w:u w:color="000000"/>
        </w:rPr>
        <w:t>LAW.CONFISC 23. panta [Pieprasījuma forma un valodas] 3. un 7. punktā</w:t>
      </w:r>
      <w:r>
        <w:rPr>
          <w:noProof/>
        </w:rPr>
        <w:t>.</w:t>
      </w:r>
    </w:p>
    <w:p w:rsidR="003E022D" w:rsidRDefault="007D19D6">
      <w:pPr>
        <w:numPr>
          <w:ilvl w:val="0"/>
          <w:numId w:val="176"/>
        </w:numPr>
        <w:ind w:left="0" w:firstLine="0"/>
        <w:rPr>
          <w:rFonts w:cstheme="minorHAnsi"/>
          <w:noProof/>
        </w:rPr>
      </w:pPr>
      <w:r>
        <w:rPr>
          <w:noProof/>
        </w:rPr>
        <w:t xml:space="preserve">Jebkurā laikā var atsaukt paziņojumus, kas minēti </w:t>
      </w:r>
      <w:r>
        <w:rPr>
          <w:noProof/>
          <w:u w:color="000000"/>
        </w:rPr>
        <w:t>LAW.S</w:t>
      </w:r>
      <w:r>
        <w:rPr>
          <w:noProof/>
          <w:u w:color="000000"/>
        </w:rPr>
        <w:t>URR.82. panta [Izņēmums politiska nodarījuma gadījumā] 2. punktā, LAW.SURR.83. panta [Izņēmums saistībā ar valstspiederību] 2. punktā, LAW.SURR.85. panta [Centrālās iestādes iesaistīšana] 1. punktā, LAW.SURR.91. panta [Piekrišana nodošanai] 4. punktā, LAW.</w:t>
      </w:r>
      <w:r>
        <w:rPr>
          <w:noProof/>
          <w:u w:color="000000"/>
        </w:rPr>
        <w:t>CONFISC.4. panta [Informācijas pieprasījumi par bankas kontiem un glabāšanas seifiem] 4. punktā, LAW.CONFISC.5. panta [Informācijas pieprasījumi par bankas darījumiem] 5. punktā un LAW.CONFISC.6. panta [Pieprasījumi par bankas darījumu pārraudzību] 5. punk</w:t>
      </w:r>
      <w:r>
        <w:rPr>
          <w:noProof/>
          <w:u w:color="000000"/>
        </w:rPr>
        <w:t>tā</w:t>
      </w:r>
      <w:r>
        <w:rPr>
          <w:noProof/>
        </w:rPr>
        <w:t>.</w:t>
      </w:r>
    </w:p>
    <w:p w:rsidR="003E022D" w:rsidRDefault="007D19D6">
      <w:pPr>
        <w:numPr>
          <w:ilvl w:val="0"/>
          <w:numId w:val="176"/>
        </w:numPr>
        <w:ind w:left="0" w:firstLine="0"/>
        <w:rPr>
          <w:rFonts w:cstheme="minorHAnsi"/>
          <w:noProof/>
        </w:rPr>
      </w:pPr>
      <w:r>
        <w:rPr>
          <w:noProof/>
        </w:rPr>
        <w:t xml:space="preserve">Savienība informāciju par Apvienotās Karalistes sniegtajiem paziņojumiem, kas minēti </w:t>
      </w:r>
      <w:r>
        <w:rPr>
          <w:noProof/>
          <w:u w:color="000000"/>
        </w:rPr>
        <w:t>LAW.SURR.85. panta [Centrālās iestādes iesaistīšana] 1. punktā</w:t>
      </w:r>
      <w:r>
        <w:rPr>
          <w:noProof/>
        </w:rPr>
        <w:t xml:space="preserve"> publicē </w:t>
      </w:r>
      <w:r>
        <w:rPr>
          <w:i/>
          <w:noProof/>
        </w:rPr>
        <w:t>Eiropas Savienības Oficiālajā Vēstnesī</w:t>
      </w:r>
      <w:r>
        <w:rPr>
          <w:noProof/>
        </w:rPr>
        <w:t>.</w:t>
      </w:r>
    </w:p>
    <w:p w:rsidR="003E022D" w:rsidRDefault="007D19D6">
      <w:pPr>
        <w:numPr>
          <w:ilvl w:val="0"/>
          <w:numId w:val="176"/>
        </w:numPr>
        <w:ind w:left="0" w:firstLine="0"/>
        <w:rPr>
          <w:rFonts w:cstheme="minorHAnsi"/>
          <w:noProof/>
        </w:rPr>
      </w:pPr>
      <w:r>
        <w:rPr>
          <w:noProof/>
        </w:rPr>
        <w:t>Līdz šā nolīguma spēkā stāšanās dienai Apvienotā Karalis</w:t>
      </w:r>
      <w:r>
        <w:rPr>
          <w:noProof/>
        </w:rPr>
        <w:t>te paziņo Savienībai šādas iestādes:</w:t>
      </w:r>
    </w:p>
    <w:p w:rsidR="003E022D" w:rsidRDefault="007D19D6">
      <w:pPr>
        <w:numPr>
          <w:ilvl w:val="1"/>
          <w:numId w:val="114"/>
        </w:numPr>
        <w:ind w:left="567" w:hanging="567"/>
        <w:rPr>
          <w:rFonts w:eastAsia="Arial Unicode MS" w:cstheme="minorHAnsi"/>
          <w:noProof/>
          <w:color w:val="000000"/>
          <w:u w:color="000000"/>
          <w:bdr w:val="nil"/>
        </w:rPr>
      </w:pPr>
      <w:r>
        <w:rPr>
          <w:noProof/>
        </w:rPr>
        <w:t xml:space="preserve">iestāde, kas ir atbildīga par PDR datu saņemšanu un apstrādi atbilstoši </w:t>
      </w:r>
      <w:r>
        <w:rPr>
          <w:noProof/>
          <w:u w:color="000000"/>
        </w:rPr>
        <w:t>III sadaļai [Pasažieru datu reģistra (PDR) datu pārsūtīšana un apstrāde]</w:t>
      </w:r>
      <w:r>
        <w:rPr>
          <w:noProof/>
        </w:rPr>
        <w:t>;</w:t>
      </w:r>
    </w:p>
    <w:p w:rsidR="003E022D" w:rsidRDefault="007D19D6">
      <w:pPr>
        <w:numPr>
          <w:ilvl w:val="1"/>
          <w:numId w:val="114"/>
        </w:numPr>
        <w:ind w:left="567" w:hanging="567"/>
        <w:rPr>
          <w:noProof/>
        </w:rPr>
      </w:pPr>
      <w:r>
        <w:rPr>
          <w:noProof/>
        </w:rPr>
        <w:t xml:space="preserve">iestāde, ko uzskata par kompetento tiesībaizsardzības iestādi </w:t>
      </w:r>
      <w:r>
        <w:rPr>
          <w:noProof/>
          <w:u w:color="000000"/>
        </w:rPr>
        <w:t xml:space="preserve">V sadaļas </w:t>
      </w:r>
      <w:r>
        <w:rPr>
          <w:noProof/>
          <w:u w:color="000000"/>
        </w:rPr>
        <w:t>[Sadarbība ar Eiropolu]</w:t>
      </w:r>
      <w:r>
        <w:rPr>
          <w:noProof/>
        </w:rPr>
        <w:t xml:space="preserve"> nolūkos, un īss tās kompetenču apraksts;</w:t>
      </w:r>
    </w:p>
    <w:p w:rsidR="003E022D" w:rsidRDefault="007D19D6">
      <w:pPr>
        <w:numPr>
          <w:ilvl w:val="1"/>
          <w:numId w:val="114"/>
        </w:numPr>
        <w:ind w:left="567" w:hanging="567"/>
        <w:rPr>
          <w:rFonts w:eastAsia="Arial Unicode MS" w:cstheme="minorHAnsi"/>
          <w:noProof/>
          <w:color w:val="000000"/>
          <w:u w:color="000000"/>
          <w:bdr w:val="nil"/>
        </w:rPr>
      </w:pPr>
      <w:r>
        <w:rPr>
          <w:noProof/>
        </w:rPr>
        <w:t xml:space="preserve">valsts kontaktpunkts, kas norīkots atbilstoši </w:t>
      </w:r>
      <w:r>
        <w:rPr>
          <w:noProof/>
          <w:u w:color="000000"/>
        </w:rPr>
        <w:t>LAW.EUROPOL.50. panta [Valsts kontaktpunkti un sadarbības koordinatori] 1. punktam</w:t>
      </w:r>
      <w:r>
        <w:rPr>
          <w:noProof/>
        </w:rPr>
        <w:t>;</w:t>
      </w:r>
    </w:p>
    <w:p w:rsidR="003E022D" w:rsidRDefault="007D19D6">
      <w:pPr>
        <w:numPr>
          <w:ilvl w:val="1"/>
          <w:numId w:val="114"/>
        </w:numPr>
        <w:ind w:left="567" w:hanging="567"/>
        <w:rPr>
          <w:rFonts w:eastAsia="Arial Unicode MS" w:cstheme="minorHAnsi"/>
          <w:noProof/>
          <w:color w:val="000000"/>
          <w:u w:color="000000"/>
          <w:bdr w:val="nil"/>
        </w:rPr>
      </w:pPr>
      <w:r>
        <w:rPr>
          <w:noProof/>
        </w:rPr>
        <w:t xml:space="preserve">iestāde, ko uzskata par kompetento iestādi </w:t>
      </w:r>
      <w:r>
        <w:rPr>
          <w:noProof/>
          <w:u w:color="000000"/>
        </w:rPr>
        <w:t xml:space="preserve">VI sadaļas </w:t>
      </w:r>
      <w:r>
        <w:rPr>
          <w:noProof/>
          <w:u w:color="000000"/>
        </w:rPr>
        <w:t>[Sadarbība ar</w:t>
      </w:r>
      <w:r>
        <w:rPr>
          <w:i/>
          <w:noProof/>
          <w:u w:color="000000"/>
        </w:rPr>
        <w:t xml:space="preserve"> Eurojust</w:t>
      </w:r>
      <w:r>
        <w:rPr>
          <w:noProof/>
          <w:u w:color="000000"/>
        </w:rPr>
        <w:t>]</w:t>
      </w:r>
      <w:r>
        <w:rPr>
          <w:noProof/>
        </w:rPr>
        <w:t xml:space="preserve"> nolūkos, un īss tās kompetenču apraksts;</w:t>
      </w:r>
    </w:p>
    <w:p w:rsidR="003E022D" w:rsidRDefault="007D19D6">
      <w:pPr>
        <w:numPr>
          <w:ilvl w:val="1"/>
          <w:numId w:val="114"/>
        </w:numPr>
        <w:ind w:left="567" w:hanging="567"/>
        <w:rPr>
          <w:rFonts w:eastAsia="Arial Unicode MS" w:cstheme="minorHAnsi"/>
          <w:noProof/>
          <w:color w:val="000000"/>
          <w:u w:color="000000"/>
          <w:bdr w:val="nil"/>
        </w:rPr>
      </w:pPr>
      <w:r>
        <w:rPr>
          <w:noProof/>
        </w:rPr>
        <w:t xml:space="preserve">kontaktpunkts, kas norīkots atbilstoši </w:t>
      </w:r>
      <w:r>
        <w:rPr>
          <w:noProof/>
          <w:u w:color="000000"/>
        </w:rPr>
        <w:t>LAW.EUROPOL 65. panta [</w:t>
      </w:r>
      <w:r>
        <w:rPr>
          <w:i/>
          <w:noProof/>
          <w:u w:color="000000"/>
        </w:rPr>
        <w:t>Eurojust</w:t>
      </w:r>
      <w:r>
        <w:rPr>
          <w:noProof/>
          <w:u w:color="000000"/>
        </w:rPr>
        <w:t xml:space="preserve"> kontaktpunkti] 1. punktam</w:t>
      </w:r>
      <w:r>
        <w:rPr>
          <w:noProof/>
        </w:rPr>
        <w:t>;</w:t>
      </w:r>
    </w:p>
    <w:p w:rsidR="003E022D" w:rsidRDefault="007D19D6">
      <w:pPr>
        <w:numPr>
          <w:ilvl w:val="1"/>
          <w:numId w:val="114"/>
        </w:numPr>
        <w:ind w:left="567" w:hanging="567"/>
        <w:rPr>
          <w:rFonts w:eastAsia="Arial Unicode MS" w:cstheme="minorHAnsi"/>
          <w:noProof/>
          <w:color w:val="000000"/>
          <w:u w:color="000000"/>
          <w:bdr w:val="nil"/>
        </w:rPr>
      </w:pPr>
      <w:r>
        <w:rPr>
          <w:noProof/>
          <w:color w:val="000000"/>
          <w:u w:color="000000"/>
          <w:bdr w:val="nil"/>
        </w:rPr>
        <w:t>Apvienotās Karalistes iekšzemes korespondents terorisma jautājumos, kas norīkots atbilstoši L</w:t>
      </w:r>
      <w:r>
        <w:rPr>
          <w:noProof/>
          <w:color w:val="000000"/>
          <w:u w:color="000000"/>
          <w:bdr w:val="nil"/>
        </w:rPr>
        <w:t>AW.EUROPOL 65. panta [</w:t>
      </w:r>
      <w:r>
        <w:rPr>
          <w:i/>
          <w:noProof/>
          <w:color w:val="000000"/>
          <w:u w:color="000000"/>
          <w:bdr w:val="nil"/>
        </w:rPr>
        <w:t>Eurojust</w:t>
      </w:r>
      <w:r>
        <w:rPr>
          <w:noProof/>
          <w:color w:val="000000"/>
          <w:u w:color="000000"/>
          <w:bdr w:val="nil"/>
        </w:rPr>
        <w:t xml:space="preserve"> kontakpunkti] 2. punktam;</w:t>
      </w:r>
    </w:p>
    <w:p w:rsidR="003E022D" w:rsidRDefault="007D19D6">
      <w:pPr>
        <w:numPr>
          <w:ilvl w:val="1"/>
          <w:numId w:val="114"/>
        </w:numPr>
        <w:ind w:left="567" w:hanging="567"/>
        <w:rPr>
          <w:rFonts w:eastAsia="Arial Unicode MS" w:cstheme="minorHAnsi"/>
          <w:noProof/>
          <w:color w:val="000000"/>
          <w:u w:color="000000"/>
          <w:bdr w:val="nil"/>
        </w:rPr>
      </w:pPr>
      <w:r>
        <w:rPr>
          <w:noProof/>
          <w:color w:val="000000"/>
          <w:bdr w:val="nil"/>
        </w:rPr>
        <w:t xml:space="preserve">iestāde, kas saskaņā ar Apvienotās Karalistes iekšzemes tiesībām ir kompetenta izpildīt apcietināšanas orderi, kā minēts </w:t>
      </w:r>
      <w:r>
        <w:rPr>
          <w:noProof/>
          <w:color w:val="000000"/>
          <w:u w:color="000000"/>
          <w:bdr w:val="nil"/>
        </w:rPr>
        <w:t>LAW.SURR.78. panta [Definīcijas]</w:t>
      </w:r>
      <w:r>
        <w:rPr>
          <w:noProof/>
          <w:color w:val="000000"/>
          <w:bdr w:val="nil"/>
        </w:rPr>
        <w:t xml:space="preserve"> c) punktā, un iestāde, kas saskaņā ar Apvieno</w:t>
      </w:r>
      <w:r>
        <w:rPr>
          <w:noProof/>
          <w:color w:val="000000"/>
          <w:bdr w:val="nil"/>
        </w:rPr>
        <w:t xml:space="preserve">tās Karalistes iekšzemes tiesībām ir kompetenta izdot apcietināšanas orderi, kā minēts </w:t>
      </w:r>
      <w:r>
        <w:rPr>
          <w:noProof/>
          <w:color w:val="000000"/>
          <w:u w:color="000000"/>
          <w:bdr w:val="nil"/>
        </w:rPr>
        <w:t>LAW.SURR.78. panta [Definīcijas]</w:t>
      </w:r>
      <w:r>
        <w:rPr>
          <w:noProof/>
          <w:color w:val="000000"/>
          <w:bdr w:val="nil"/>
        </w:rPr>
        <w:t xml:space="preserve"> d) punktā;</w:t>
      </w:r>
    </w:p>
    <w:p w:rsidR="003E022D" w:rsidRDefault="007D19D6">
      <w:pPr>
        <w:numPr>
          <w:ilvl w:val="1"/>
          <w:numId w:val="114"/>
        </w:numPr>
        <w:ind w:left="567" w:hanging="567"/>
        <w:rPr>
          <w:rFonts w:eastAsia="Arial Unicode MS" w:cstheme="minorHAnsi"/>
          <w:noProof/>
          <w:color w:val="000000"/>
          <w:u w:color="000000"/>
          <w:bdr w:val="nil"/>
        </w:rPr>
      </w:pPr>
      <w:r>
        <w:rPr>
          <w:noProof/>
        </w:rPr>
        <w:t xml:space="preserve">iestāde, ko Apvienotā Karaliste izraudzījusies atbilstoši </w:t>
      </w:r>
      <w:r>
        <w:rPr>
          <w:noProof/>
          <w:u w:color="000000"/>
        </w:rPr>
        <w:t>LAW.SURR.103. panta [Tranzīts] 3. punktam</w:t>
      </w:r>
      <w:r>
        <w:rPr>
          <w:noProof/>
        </w:rPr>
        <w:t>;</w:t>
      </w:r>
    </w:p>
    <w:p w:rsidR="003E022D" w:rsidRDefault="007D19D6">
      <w:pPr>
        <w:numPr>
          <w:ilvl w:val="1"/>
          <w:numId w:val="114"/>
        </w:numPr>
        <w:ind w:left="567" w:hanging="567"/>
        <w:rPr>
          <w:rFonts w:eastAsia="Arial Unicode MS" w:cstheme="minorHAnsi"/>
          <w:noProof/>
          <w:color w:val="000000"/>
          <w:u w:color="000000"/>
          <w:bdr w:val="nil"/>
        </w:rPr>
      </w:pPr>
      <w:r>
        <w:rPr>
          <w:noProof/>
          <w:color w:val="000000"/>
          <w:u w:color="000000"/>
          <w:bdr w:val="nil"/>
        </w:rPr>
        <w:t>centrālā iestāde, ko Apv</w:t>
      </w:r>
      <w:r>
        <w:rPr>
          <w:noProof/>
          <w:color w:val="000000"/>
          <w:u w:color="000000"/>
          <w:bdr w:val="nil"/>
        </w:rPr>
        <w:t>ienotā Karaliste izraudzījusies atbilstoši LAW.EXINF.122. pantam [Centrālās iestādes];</w:t>
      </w:r>
    </w:p>
    <w:p w:rsidR="003E022D" w:rsidRDefault="007D19D6">
      <w:pPr>
        <w:numPr>
          <w:ilvl w:val="1"/>
          <w:numId w:val="114"/>
        </w:numPr>
        <w:ind w:left="567" w:hanging="567"/>
        <w:rPr>
          <w:rFonts w:eastAsia="Arial Unicode MS" w:cstheme="minorHAnsi"/>
          <w:noProof/>
          <w:color w:val="000000"/>
          <w:bdr w:val="nil"/>
        </w:rPr>
      </w:pPr>
      <w:r>
        <w:rPr>
          <w:noProof/>
          <w:color w:val="000000"/>
          <w:bdr w:val="nil"/>
        </w:rPr>
        <w:t xml:space="preserve">centrālā iestāde, ko Apvienotā Karaliste izraudzījusies atbilstoši </w:t>
      </w:r>
      <w:r>
        <w:rPr>
          <w:noProof/>
          <w:color w:val="000000"/>
          <w:u w:color="000000"/>
          <w:bdr w:val="nil"/>
        </w:rPr>
        <w:t>LAW.CONFISC.21. panta [Centrālās iestādes] 1. punktam</w:t>
      </w:r>
      <w:r>
        <w:rPr>
          <w:noProof/>
          <w:color w:val="000000"/>
          <w:bdr w:val="nil"/>
        </w:rPr>
        <w:t>;</w:t>
      </w:r>
    </w:p>
    <w:p w:rsidR="003E022D" w:rsidRDefault="007D19D6">
      <w:pPr>
        <w:rPr>
          <w:rFonts w:eastAsia="Arial Unicode MS" w:cstheme="minorHAnsi"/>
          <w:noProof/>
          <w:color w:val="000000"/>
          <w:bdr w:val="nil"/>
        </w:rPr>
      </w:pPr>
      <w:r>
        <w:rPr>
          <w:noProof/>
        </w:rPr>
        <w:t>Savienība informāciju par pirmajā daļā minētajā</w:t>
      </w:r>
      <w:r>
        <w:rPr>
          <w:noProof/>
        </w:rPr>
        <w:t xml:space="preserve">m iestādēm publicē </w:t>
      </w:r>
      <w:r>
        <w:rPr>
          <w:i/>
          <w:noProof/>
        </w:rPr>
        <w:t>Eiropas Savienības Oficiālajā Vēstnesī</w:t>
      </w:r>
      <w:r>
        <w:rPr>
          <w:noProof/>
        </w:rPr>
        <w:t xml:space="preserve">. </w:t>
      </w:r>
    </w:p>
    <w:p w:rsidR="003E022D" w:rsidRDefault="007D19D6">
      <w:pPr>
        <w:numPr>
          <w:ilvl w:val="0"/>
          <w:numId w:val="176"/>
        </w:numPr>
        <w:ind w:left="0" w:firstLine="0"/>
        <w:rPr>
          <w:rFonts w:cstheme="minorHAnsi"/>
          <w:noProof/>
        </w:rPr>
      </w:pPr>
      <w:r>
        <w:rPr>
          <w:noProof/>
        </w:rPr>
        <w:t>Līdz šā nolīguma spēkā stāšanās dienai Savienība attiecīgi savā vai tās dalībvalstu vārdā Apvienotajai Karalistei paziņo šādas iestādes:</w:t>
      </w:r>
    </w:p>
    <w:p w:rsidR="003E022D" w:rsidRDefault="007D19D6">
      <w:pPr>
        <w:numPr>
          <w:ilvl w:val="1"/>
          <w:numId w:val="177"/>
        </w:numPr>
        <w:ind w:left="567" w:hanging="567"/>
        <w:rPr>
          <w:rFonts w:cstheme="minorHAnsi"/>
          <w:noProof/>
        </w:rPr>
      </w:pPr>
      <w:r>
        <w:rPr>
          <w:noProof/>
        </w:rPr>
        <w:t xml:space="preserve">Pasažieru informācijas vienība, ko katra dalībvalsts ir izveidojusi vai izraudzījusies, lai saņemtu un apstrādātu PDR datus atbilstoši </w:t>
      </w:r>
      <w:r>
        <w:rPr>
          <w:noProof/>
          <w:u w:color="000000"/>
        </w:rPr>
        <w:t>III sadaļai [Pasažieru datu reģistra (PDR) datu pārsūtīšana un apstrāde]</w:t>
      </w:r>
      <w:r>
        <w:rPr>
          <w:noProof/>
        </w:rPr>
        <w:t>;</w:t>
      </w:r>
    </w:p>
    <w:p w:rsidR="003E022D" w:rsidRDefault="007D19D6">
      <w:pPr>
        <w:numPr>
          <w:ilvl w:val="1"/>
          <w:numId w:val="177"/>
        </w:numPr>
        <w:ind w:left="567" w:hanging="567"/>
        <w:rPr>
          <w:rFonts w:eastAsia="Arial Unicode MS" w:cstheme="minorHAnsi"/>
          <w:noProof/>
          <w:color w:val="000000"/>
          <w:bdr w:val="nil"/>
        </w:rPr>
      </w:pPr>
      <w:r>
        <w:rPr>
          <w:noProof/>
          <w:color w:val="000000"/>
          <w:bdr w:val="nil"/>
        </w:rPr>
        <w:t>iestāde, kas saskaņā ar katras dalībvalsts iekš</w:t>
      </w:r>
      <w:r>
        <w:rPr>
          <w:noProof/>
          <w:color w:val="000000"/>
          <w:bdr w:val="nil"/>
        </w:rPr>
        <w:t xml:space="preserve">zemes tiesībām ir kompetenta izpildīt apcietināšanas orderi, kā minēts </w:t>
      </w:r>
      <w:r>
        <w:rPr>
          <w:noProof/>
          <w:color w:val="000000"/>
          <w:u w:color="000000"/>
          <w:bdr w:val="nil"/>
        </w:rPr>
        <w:t>LAW.SURR.78. panta [Definīcijas]</w:t>
      </w:r>
      <w:r>
        <w:rPr>
          <w:noProof/>
          <w:color w:val="000000"/>
          <w:bdr w:val="nil"/>
        </w:rPr>
        <w:t xml:space="preserve"> c) punktā, un iestāde, kas saskaņā ar katras dalībvalsts iekšzemes tiesībām ir kompetenta izdot apcietināšanas orderi, kā minēts </w:t>
      </w:r>
      <w:r>
        <w:rPr>
          <w:noProof/>
          <w:color w:val="000000"/>
          <w:u w:color="000000"/>
          <w:bdr w:val="nil"/>
        </w:rPr>
        <w:t>LAW.SURR.78. pantā [Def</w:t>
      </w:r>
      <w:r>
        <w:rPr>
          <w:noProof/>
          <w:color w:val="000000"/>
          <w:u w:color="000000"/>
          <w:bdr w:val="nil"/>
        </w:rPr>
        <w:t>inīcijas]</w:t>
      </w:r>
      <w:r>
        <w:rPr>
          <w:noProof/>
          <w:color w:val="000000"/>
          <w:bdr w:val="nil"/>
        </w:rPr>
        <w:t xml:space="preserve"> d) punktā;</w:t>
      </w:r>
    </w:p>
    <w:p w:rsidR="003E022D" w:rsidRDefault="007D19D6">
      <w:pPr>
        <w:numPr>
          <w:ilvl w:val="1"/>
          <w:numId w:val="177"/>
        </w:numPr>
        <w:ind w:left="567" w:hanging="567"/>
        <w:rPr>
          <w:rFonts w:cstheme="minorHAnsi"/>
          <w:noProof/>
        </w:rPr>
      </w:pPr>
      <w:r>
        <w:rPr>
          <w:noProof/>
          <w:color w:val="000000"/>
          <w:u w:color="000000"/>
          <w:bdr w:val="nil"/>
        </w:rPr>
        <w:t>iestāde</w:t>
      </w:r>
      <w:r>
        <w:rPr>
          <w:noProof/>
        </w:rPr>
        <w:t xml:space="preserve">, ko katra dalībvalsts izraudzījusies atbilstoši </w:t>
      </w:r>
      <w:r>
        <w:rPr>
          <w:noProof/>
          <w:u w:color="000000"/>
        </w:rPr>
        <w:t>LAW.SURR.103. panta [Tranzīts] 3. punktam</w:t>
      </w:r>
      <w:r>
        <w:rPr>
          <w:noProof/>
        </w:rPr>
        <w:t>;</w:t>
      </w:r>
    </w:p>
    <w:p w:rsidR="003E022D" w:rsidRDefault="007D19D6">
      <w:pPr>
        <w:numPr>
          <w:ilvl w:val="1"/>
          <w:numId w:val="177"/>
        </w:numPr>
        <w:ind w:left="567" w:hanging="567"/>
        <w:rPr>
          <w:rFonts w:cstheme="minorHAnsi"/>
          <w:noProof/>
        </w:rPr>
      </w:pPr>
      <w:r>
        <w:rPr>
          <w:noProof/>
        </w:rPr>
        <w:t xml:space="preserve">Savienības struktūra, kas minēta </w:t>
      </w:r>
      <w:r>
        <w:rPr>
          <w:noProof/>
          <w:u w:color="000000"/>
        </w:rPr>
        <w:t>LAW.MUTAS.114. pantā [Kompetentās iestādes definīcija]</w:t>
      </w:r>
      <w:r>
        <w:rPr>
          <w:noProof/>
        </w:rPr>
        <w:t>;</w:t>
      </w:r>
    </w:p>
    <w:p w:rsidR="003E022D" w:rsidRDefault="007D19D6">
      <w:pPr>
        <w:numPr>
          <w:ilvl w:val="1"/>
          <w:numId w:val="177"/>
        </w:numPr>
        <w:ind w:left="567" w:hanging="567"/>
        <w:rPr>
          <w:rFonts w:cstheme="minorHAnsi"/>
          <w:noProof/>
        </w:rPr>
      </w:pPr>
      <w:r>
        <w:rPr>
          <w:noProof/>
        </w:rPr>
        <w:t>centrālā iestāde, ko katra dalībvalsts izraudzī</w:t>
      </w:r>
      <w:r>
        <w:rPr>
          <w:noProof/>
        </w:rPr>
        <w:t xml:space="preserve">jusies atbilstoši </w:t>
      </w:r>
      <w:r>
        <w:rPr>
          <w:noProof/>
          <w:u w:color="000000"/>
        </w:rPr>
        <w:t>LAW.EXINF.122. pantam [Centrālās iestādes]</w:t>
      </w:r>
      <w:r>
        <w:rPr>
          <w:noProof/>
        </w:rPr>
        <w:t>;</w:t>
      </w:r>
    </w:p>
    <w:p w:rsidR="003E022D" w:rsidRDefault="007D19D6">
      <w:pPr>
        <w:numPr>
          <w:ilvl w:val="1"/>
          <w:numId w:val="177"/>
        </w:numPr>
        <w:ind w:left="567" w:hanging="567"/>
        <w:rPr>
          <w:rFonts w:cstheme="minorHAnsi"/>
          <w:noProof/>
        </w:rPr>
      </w:pPr>
      <w:r>
        <w:rPr>
          <w:noProof/>
          <w:color w:val="000000"/>
          <w:bdr w:val="nil"/>
        </w:rPr>
        <w:t xml:space="preserve">centrālā iestāde, ko katra dalībvalsts izraudzījusies atbilstoši </w:t>
      </w:r>
      <w:r>
        <w:rPr>
          <w:noProof/>
          <w:color w:val="000000"/>
          <w:u w:color="000000"/>
          <w:bdr w:val="nil"/>
        </w:rPr>
        <w:t>LAW.CONFISC.21. panta [Centrālās iestādes] 1. punktam</w:t>
      </w:r>
      <w:r>
        <w:rPr>
          <w:noProof/>
          <w:color w:val="000000"/>
          <w:bdr w:val="nil"/>
        </w:rPr>
        <w:t>;</w:t>
      </w:r>
    </w:p>
    <w:p w:rsidR="003E022D" w:rsidRDefault="007D19D6">
      <w:pPr>
        <w:numPr>
          <w:ilvl w:val="1"/>
          <w:numId w:val="177"/>
        </w:numPr>
        <w:ind w:left="567" w:hanging="567"/>
        <w:rPr>
          <w:rFonts w:eastAsia="Arial Unicode MS" w:cstheme="minorHAnsi"/>
          <w:noProof/>
          <w:color w:val="000000"/>
          <w:bdr w:val="nil"/>
        </w:rPr>
      </w:pPr>
      <w:r>
        <w:rPr>
          <w:noProof/>
        </w:rPr>
        <w:t xml:space="preserve">ikviena Savienības struktūra, kas izraudzīta atbilstoši </w:t>
      </w:r>
      <w:r>
        <w:rPr>
          <w:noProof/>
          <w:u w:color="000000"/>
        </w:rPr>
        <w:t>LAW.CONFISC.21. pa</w:t>
      </w:r>
      <w:r>
        <w:rPr>
          <w:noProof/>
          <w:u w:color="000000"/>
        </w:rPr>
        <w:t>nta [Iestādes] 2. punkta</w:t>
      </w:r>
      <w:r>
        <w:rPr>
          <w:noProof/>
        </w:rPr>
        <w:t xml:space="preserve"> pirmajam teikumam, norādot, vai šī struktūra ir izraudzīta par centrālo iestādi saskaņā ar minētā punkta pēdējo teikumu.</w:t>
      </w:r>
    </w:p>
    <w:p w:rsidR="003E022D" w:rsidRDefault="007D19D6">
      <w:pPr>
        <w:numPr>
          <w:ilvl w:val="0"/>
          <w:numId w:val="176"/>
        </w:numPr>
        <w:ind w:left="0" w:firstLine="0"/>
        <w:rPr>
          <w:rFonts w:cstheme="minorHAnsi"/>
          <w:noProof/>
        </w:rPr>
      </w:pPr>
      <w:r>
        <w:rPr>
          <w:noProof/>
        </w:rPr>
        <w:t>Saskaņā ar 6. vai 7. punktu sniegtos paziņojumus var grozīt jebkurā laikā. Šādus grozījumus paziņo Specializēt</w:t>
      </w:r>
      <w:r>
        <w:rPr>
          <w:noProof/>
        </w:rPr>
        <w:t>ajai komitejai tiesībaizsardzības un tiesu iestāžu sadarbības jomā.</w:t>
      </w:r>
    </w:p>
    <w:p w:rsidR="003E022D" w:rsidRDefault="007D19D6">
      <w:pPr>
        <w:numPr>
          <w:ilvl w:val="0"/>
          <w:numId w:val="176"/>
        </w:numPr>
        <w:ind w:left="0" w:firstLine="0"/>
        <w:rPr>
          <w:rFonts w:cstheme="minorHAnsi"/>
          <w:noProof/>
        </w:rPr>
      </w:pPr>
      <w:r>
        <w:rPr>
          <w:noProof/>
        </w:rPr>
        <w:t>Attiecībā uz 6. punkta a), b), d), e), g), h), i) un j) apakšpunktu un attiecīgi 7. punktu Apvienotā Karaliste un Savienība var paziņot vairāk nekā vienu iestādi, un tās var ierobežot šādu</w:t>
      </w:r>
      <w:r>
        <w:rPr>
          <w:noProof/>
        </w:rPr>
        <w:t>s paziņojumus tikai konkrētiem nolūkiem.</w:t>
      </w:r>
    </w:p>
    <w:p w:rsidR="003E022D" w:rsidRDefault="007D19D6">
      <w:pPr>
        <w:numPr>
          <w:ilvl w:val="0"/>
          <w:numId w:val="176"/>
        </w:numPr>
        <w:ind w:left="0" w:firstLine="0"/>
        <w:rPr>
          <w:rFonts w:cstheme="minorHAnsi"/>
          <w:noProof/>
        </w:rPr>
      </w:pPr>
      <w:r>
        <w:rPr>
          <w:noProof/>
        </w:rPr>
        <w:t>Kad Savienība sniedz šajā pantā minētos paziņojumus, tā norāda, uz kuru no tās dalībvalstīm paziņojums attiecas, vai arī, ka tā sniedz paziņojumu savā vārdā.</w:t>
      </w:r>
    </w:p>
    <w:p w:rsidR="003E022D" w:rsidRDefault="007D19D6">
      <w:pPr>
        <w:pStyle w:val="Article"/>
        <w:rPr>
          <w:noProof/>
        </w:rPr>
      </w:pPr>
      <w:bookmarkStart w:id="888" w:name="_ARTICLE_128"/>
      <w:bookmarkStart w:id="889" w:name="_Toc29896164"/>
      <w:bookmarkStart w:id="890" w:name="_Ref31041881"/>
      <w:bookmarkStart w:id="891" w:name="_Ref31044299"/>
      <w:bookmarkStart w:id="892" w:name="_Ref31046861"/>
      <w:bookmarkStart w:id="893" w:name="_Ref31060325"/>
      <w:bookmarkStart w:id="894" w:name="_Toc58920385"/>
      <w:bookmarkEnd w:id="888"/>
      <w:r>
        <w:rPr>
          <w:noProof/>
        </w:rPr>
        <w:t>LAW.OTHER.</w:t>
      </w:r>
      <w:bookmarkEnd w:id="889"/>
      <w:bookmarkEnd w:id="890"/>
      <w:bookmarkEnd w:id="891"/>
      <w:bookmarkEnd w:id="892"/>
      <w:bookmarkEnd w:id="893"/>
      <w:r>
        <w:rPr>
          <w:noProof/>
        </w:rPr>
        <w:t xml:space="preserve">135. pants. </w:t>
      </w:r>
      <w:bookmarkStart w:id="895" w:name="_Toc29896165"/>
      <w:r>
        <w:rPr>
          <w:noProof/>
        </w:rPr>
        <w:t>Pārskatīšana un izvērtēšana</w:t>
      </w:r>
      <w:bookmarkEnd w:id="894"/>
      <w:bookmarkEnd w:id="895"/>
    </w:p>
    <w:p w:rsidR="003E022D" w:rsidRDefault="007D19D6">
      <w:pPr>
        <w:numPr>
          <w:ilvl w:val="0"/>
          <w:numId w:val="178"/>
        </w:numPr>
        <w:ind w:left="0" w:firstLine="0"/>
        <w:rPr>
          <w:rFonts w:cstheme="minorHAnsi"/>
          <w:noProof/>
        </w:rPr>
      </w:pPr>
      <w:r>
        <w:rPr>
          <w:noProof/>
        </w:rPr>
        <w:t>Šo daļu</w:t>
      </w:r>
      <w:r>
        <w:rPr>
          <w:noProof/>
        </w:rPr>
        <w:t xml:space="preserve"> kopīgi pārskata saskaņā ar </w:t>
      </w:r>
      <w:r>
        <w:rPr>
          <w:noProof/>
          <w:u w:color="000000"/>
        </w:rPr>
        <w:t>FINPROV.3. pantu [Pārskatīšana]</w:t>
      </w:r>
      <w:r>
        <w:rPr>
          <w:noProof/>
        </w:rPr>
        <w:t xml:space="preserve"> vai pēc vienas Puses pieprasījuma, ja Puses par to kopīgi vienojušās.</w:t>
      </w:r>
    </w:p>
    <w:p w:rsidR="003E022D" w:rsidRDefault="007D19D6">
      <w:pPr>
        <w:numPr>
          <w:ilvl w:val="0"/>
          <w:numId w:val="178"/>
        </w:numPr>
        <w:ind w:left="0" w:firstLine="0"/>
        <w:rPr>
          <w:rFonts w:cstheme="minorHAnsi"/>
          <w:noProof/>
        </w:rPr>
      </w:pPr>
      <w:r>
        <w:rPr>
          <w:noProof/>
        </w:rPr>
        <w:t>Puses iepriekš lemj par pārskatīšanas kārtību un paziņo viena otrai savu attiecīgo revīzijas darba grupu sastāvu. Revīzijas da</w:t>
      </w:r>
      <w:r>
        <w:rPr>
          <w:noProof/>
        </w:rPr>
        <w:t>rba grupās ir personas ar atbilstošām zināšanām par pārskatāmajiem jautājumiem. Ievērojot piemērojamos tiesību aktus, visiem pārskatīšanas dalībniekiem ir jāievēro apspriežu konfidencialitāte un jābūt atbilstīgām drošības pielaidēm. Šādas pārskatīšanas nol</w:t>
      </w:r>
      <w:r>
        <w:rPr>
          <w:noProof/>
        </w:rPr>
        <w:t>ūkā Apvienotā Karaliste un Savienība veic pasākumus, lai nodrošinātu pienācīgu piekļuvi attiecīgajai dokumentācijai, sistēmām un personālam.</w:t>
      </w:r>
    </w:p>
    <w:p w:rsidR="003E022D" w:rsidRDefault="007D19D6">
      <w:pPr>
        <w:numPr>
          <w:ilvl w:val="0"/>
          <w:numId w:val="178"/>
        </w:numPr>
        <w:ind w:left="0" w:firstLine="0"/>
        <w:rPr>
          <w:rFonts w:cstheme="minorHAnsi"/>
          <w:noProof/>
        </w:rPr>
      </w:pPr>
      <w:r>
        <w:rPr>
          <w:noProof/>
        </w:rPr>
        <w:t>Neskarot 2. punktu, pārskatīšanā jo īpaši izskata šīs daļas praktisko īstenošanu, interpretāciju un pilnveidošanu.</w:t>
      </w:r>
    </w:p>
    <w:p w:rsidR="003E022D" w:rsidRDefault="007D19D6">
      <w:pPr>
        <w:pStyle w:val="Article"/>
        <w:rPr>
          <w:noProof/>
        </w:rPr>
      </w:pPr>
      <w:bookmarkStart w:id="896" w:name="_ARTICLE_129"/>
      <w:bookmarkStart w:id="897" w:name="_ARTICLE_130"/>
      <w:bookmarkStart w:id="898" w:name="_Toc58920386"/>
      <w:bookmarkEnd w:id="896"/>
      <w:bookmarkEnd w:id="897"/>
      <w:r>
        <w:rPr>
          <w:noProof/>
        </w:rPr>
        <w:t>LAW.OTHER.136. pants. Nolīguma izbeigšana</w:t>
      </w:r>
      <w:bookmarkEnd w:id="898"/>
    </w:p>
    <w:p w:rsidR="003E022D" w:rsidRDefault="007D19D6">
      <w:pPr>
        <w:numPr>
          <w:ilvl w:val="3"/>
          <w:numId w:val="115"/>
        </w:numPr>
        <w:ind w:left="0" w:firstLine="0"/>
        <w:rPr>
          <w:rFonts w:cstheme="minorHAnsi"/>
          <w:noProof/>
        </w:rPr>
      </w:pPr>
      <w:r>
        <w:rPr>
          <w:noProof/>
        </w:rPr>
        <w:t>Neskarot FINPROV.8. pantu [Izbeigšana], katra Puse var jebkurā laikā izbeigt šīs daļas piemērošanu, ar diplomātisko kanālu starpniecību iesniedzot rakstisku paziņojumu. Šādā gadījumā šī daļa zaudē spēku devītā mēne</w:t>
      </w:r>
      <w:r>
        <w:rPr>
          <w:noProof/>
        </w:rPr>
        <w:t>ša pirmajā dienā pēc paziņošanas dienas.</w:t>
      </w:r>
    </w:p>
    <w:p w:rsidR="003E022D" w:rsidRDefault="007D19D6">
      <w:pPr>
        <w:numPr>
          <w:ilvl w:val="3"/>
          <w:numId w:val="115"/>
        </w:numPr>
        <w:ind w:left="0" w:firstLine="0"/>
        <w:rPr>
          <w:rFonts w:cstheme="minorHAnsi"/>
          <w:noProof/>
        </w:rPr>
      </w:pPr>
      <w:r>
        <w:rPr>
          <w:noProof/>
        </w:rPr>
        <w:t>Taču, ja šo daļu izbeidz sakarā ar to, ka Apvienotā Karaliste vai kāda dalībvalsts ir denonsējusi Eiropas Cilvēktiesību konvenciju vai tās 1., 6. vai 13. protokolu, šī daļa zaudē spēku dienā, kad šāda denonsēšana st</w:t>
      </w:r>
      <w:r>
        <w:rPr>
          <w:noProof/>
        </w:rPr>
        <w:t>ājas spēkā vai, ja paziņojums par daļas izbeigšanu ir iesniegts pēc minētās dienas – piecpadsmitajā dienā pēc šāda paziņojuma.</w:t>
      </w:r>
    </w:p>
    <w:p w:rsidR="003E022D" w:rsidRDefault="007D19D6">
      <w:pPr>
        <w:numPr>
          <w:ilvl w:val="3"/>
          <w:numId w:val="115"/>
        </w:numPr>
        <w:ind w:left="0" w:firstLine="0"/>
        <w:rPr>
          <w:rFonts w:cstheme="minorHAnsi"/>
          <w:b/>
          <w:noProof/>
          <w:u w:val="single"/>
        </w:rPr>
      </w:pPr>
      <w:r>
        <w:rPr>
          <w:noProof/>
        </w:rPr>
        <w:t>Ja viena Puse saskaņā ar šo pantu sniedz paziņojumu par izbeigšanu, Specializētā komiteja tiesībaizsardzības un tiesu iestāžu sad</w:t>
      </w:r>
      <w:r>
        <w:rPr>
          <w:noProof/>
        </w:rPr>
        <w:t>arbības jomā tiekas, lai lemtu par to, kādi pasākumi ir vajadzīgi, lai nodrošinātu, ka jebkura saskaņā ar šo daļu uzsāktā sadarbība tiek pienācīgi pabeigta. Jebkurā gadījumā attiecībā uz visiem personas datiem, kas iegūti sadarbībā saskaņā ar šo nodaļu, pi</w:t>
      </w:r>
      <w:r>
        <w:rPr>
          <w:noProof/>
        </w:rPr>
        <w:t>rms tā zaudē spēku, Puses nodrošina, ka pēc izbeigšanas stāšanās spēkā tiek saglabāts aizsardzības līmenis, atbilstoši kuram personas dati tika nosūtīti.</w:t>
      </w:r>
    </w:p>
    <w:p w:rsidR="003E022D" w:rsidRDefault="007D19D6">
      <w:pPr>
        <w:pStyle w:val="Article"/>
        <w:rPr>
          <w:noProof/>
        </w:rPr>
      </w:pPr>
      <w:bookmarkStart w:id="899" w:name="_Toc58920387"/>
      <w:r>
        <w:rPr>
          <w:noProof/>
        </w:rPr>
        <w:t>LAW.OTHER.137. pants. Nolīguma darbības apturēšana</w:t>
      </w:r>
      <w:bookmarkEnd w:id="899"/>
    </w:p>
    <w:p w:rsidR="003E022D" w:rsidRDefault="007D19D6">
      <w:pPr>
        <w:numPr>
          <w:ilvl w:val="0"/>
          <w:numId w:val="175"/>
        </w:numPr>
        <w:ind w:left="0" w:firstLine="0"/>
        <w:rPr>
          <w:rFonts w:cstheme="minorHAnsi"/>
          <w:noProof/>
        </w:rPr>
      </w:pPr>
      <w:r>
        <w:rPr>
          <w:noProof/>
        </w:rPr>
        <w:t>Ja viena Puse pieļauj būtiskus un sistēmiskus trūku</w:t>
      </w:r>
      <w:r>
        <w:rPr>
          <w:noProof/>
        </w:rPr>
        <w:t>mus attiecībā uz pamattiesību aizsardzību vai tiesiskuma principu, otra Puse var apturēt šīs daļas vai tās sadaļu piemērošanu, ar diplomātisko kanālu starpniecību iesniedzot rakstisku paziņojumu. Šādā paziņojumā norāda būtiskos un sistēmiskos trūkumus, kas</w:t>
      </w:r>
      <w:r>
        <w:rPr>
          <w:noProof/>
        </w:rPr>
        <w:t xml:space="preserve"> ir apturēšanas pamatā.</w:t>
      </w:r>
    </w:p>
    <w:p w:rsidR="003E022D" w:rsidRDefault="007D19D6">
      <w:pPr>
        <w:numPr>
          <w:ilvl w:val="0"/>
          <w:numId w:val="175"/>
        </w:numPr>
        <w:ind w:left="0" w:firstLine="0"/>
        <w:rPr>
          <w:rFonts w:cstheme="minorHAnsi"/>
          <w:bCs/>
          <w:noProof/>
        </w:rPr>
      </w:pPr>
      <w:r>
        <w:rPr>
          <w:noProof/>
        </w:rPr>
        <w:t xml:space="preserve">Ja viena Puse pieļauj būtiskus un sistēmiskus trūkumus attiecībā uz personas datu aizsardzību, tai skaitā gadījumos, kad minētie trūkumi ir noveduši pie tā, ka pārstāj piemērot attiecīgo lēmumu par aizsardzības līmeņa pietiekamību, </w:t>
      </w:r>
      <w:r>
        <w:rPr>
          <w:noProof/>
        </w:rPr>
        <w:t>otra Puse var apturēt šīs daļas vai tās sadaļu noteikumu piemērošanu, ar diplomātisko kanālu starpniecību iesniedzot rakstisku paziņojumu. Šādā paziņojumā norāda būtiskos un sistēmiskos trūkumus, kas ir apturēšanas pamatā.</w:t>
      </w:r>
    </w:p>
    <w:p w:rsidR="003E022D" w:rsidRDefault="007D19D6">
      <w:pPr>
        <w:numPr>
          <w:ilvl w:val="0"/>
          <w:numId w:val="175"/>
        </w:numPr>
        <w:ind w:left="0" w:firstLine="0"/>
        <w:rPr>
          <w:rFonts w:cstheme="minorHAnsi"/>
          <w:bCs/>
          <w:noProof/>
        </w:rPr>
      </w:pPr>
      <w:r>
        <w:rPr>
          <w:noProof/>
        </w:rPr>
        <w:t>Panta 2. punkta nolūkos “attiecīg</w:t>
      </w:r>
      <w:r>
        <w:rPr>
          <w:noProof/>
        </w:rPr>
        <w:t>ais lēmums par aizsardzības līmeņa pietiekamību” nozīmē:</w:t>
      </w:r>
    </w:p>
    <w:p w:rsidR="003E022D" w:rsidRDefault="007D19D6">
      <w:pPr>
        <w:numPr>
          <w:ilvl w:val="1"/>
          <w:numId w:val="118"/>
        </w:numPr>
        <w:ind w:left="567" w:hanging="567"/>
        <w:rPr>
          <w:noProof/>
        </w:rPr>
      </w:pPr>
      <w:r>
        <w:rPr>
          <w:noProof/>
        </w:rPr>
        <w:t>attiecībā uz Apvienoto Karalisti – lēmumu, ko Eiropas Komisija pieņēmusi saskaņā ar Direktīvas (ES) 2016/680</w:t>
      </w:r>
      <w:r>
        <w:rPr>
          <w:rStyle w:val="FootnoteReference"/>
          <w:rFonts w:cstheme="minorHAnsi"/>
          <w:bCs/>
          <w:noProof/>
          <w:lang w:val="en-IE"/>
        </w:rPr>
        <w:footnoteReference w:id="82"/>
      </w:r>
      <w:r>
        <w:rPr>
          <w:noProof/>
        </w:rPr>
        <w:t xml:space="preserve"> 36. pantu vai analogiem turpmākiem tiesību aktiem un ar ko apliecina pietiekamu aizsardzī</w:t>
      </w:r>
      <w:r>
        <w:rPr>
          <w:noProof/>
        </w:rPr>
        <w:t>bas līmeni;</w:t>
      </w:r>
    </w:p>
    <w:p w:rsidR="003E022D" w:rsidRDefault="007D19D6">
      <w:pPr>
        <w:numPr>
          <w:ilvl w:val="1"/>
          <w:numId w:val="118"/>
        </w:numPr>
        <w:ind w:left="567" w:hanging="567"/>
        <w:rPr>
          <w:rFonts w:cstheme="minorHAnsi"/>
          <w:bCs/>
          <w:noProof/>
        </w:rPr>
      </w:pPr>
      <w:r>
        <w:rPr>
          <w:noProof/>
        </w:rPr>
        <w:t>attiecībā uz Savienību – lēmumu, ko pieņēmusi Apvienotā Karaliste un ar ko apliecina pietiekamu aizsardzības līmeni datu pārsūtīšanas nolūkiem, kuri ietilpst 3. nodaļas 2018. gada Datu aizsardzības likumā</w:t>
      </w:r>
      <w:r>
        <w:rPr>
          <w:rStyle w:val="FootnoteReference"/>
          <w:rFonts w:cstheme="minorHAnsi"/>
          <w:bCs/>
          <w:noProof/>
          <w:lang w:val="en-IE"/>
        </w:rPr>
        <w:footnoteReference w:id="83"/>
      </w:r>
      <w:r>
        <w:rPr>
          <w:noProof/>
        </w:rPr>
        <w:t xml:space="preserve"> vai analogu turpmāku tiesību aktu darb</w:t>
      </w:r>
      <w:r>
        <w:rPr>
          <w:noProof/>
        </w:rPr>
        <w:t>ības jomā.</w:t>
      </w:r>
    </w:p>
    <w:p w:rsidR="003E022D" w:rsidRDefault="007D19D6">
      <w:pPr>
        <w:numPr>
          <w:ilvl w:val="0"/>
          <w:numId w:val="175"/>
        </w:numPr>
        <w:ind w:left="0" w:firstLine="0"/>
        <w:rPr>
          <w:rFonts w:cstheme="minorHAnsi"/>
          <w:bCs/>
          <w:noProof/>
        </w:rPr>
      </w:pPr>
      <w:r>
        <w:rPr>
          <w:noProof/>
        </w:rPr>
        <w:t xml:space="preserve">Saistībā ar </w:t>
      </w:r>
      <w:r>
        <w:rPr>
          <w:noProof/>
          <w:u w:color="000000"/>
        </w:rPr>
        <w:t>III sadaļas [Pasažieru datu reģistra dati]</w:t>
      </w:r>
      <w:r>
        <w:rPr>
          <w:noProof/>
        </w:rPr>
        <w:t xml:space="preserve"> vai </w:t>
      </w:r>
      <w:r>
        <w:rPr>
          <w:noProof/>
          <w:u w:color="000000"/>
        </w:rPr>
        <w:t>X sadaļas [Nelikumīgi iegūtu līdzekļu legalizēšanas un terorisma finansēšanas apkarošana]</w:t>
      </w:r>
      <w:r>
        <w:rPr>
          <w:noProof/>
        </w:rPr>
        <w:t xml:space="preserve"> apturēšanu atsauces uz “attiecīgo lēmumu par aizsardzības līmeņa pietiekamību” ietver arī:</w:t>
      </w:r>
    </w:p>
    <w:p w:rsidR="003E022D" w:rsidRDefault="007D19D6">
      <w:pPr>
        <w:numPr>
          <w:ilvl w:val="1"/>
          <w:numId w:val="116"/>
        </w:numPr>
        <w:ind w:left="567" w:hanging="567"/>
        <w:rPr>
          <w:noProof/>
        </w:rPr>
      </w:pPr>
      <w:r>
        <w:rPr>
          <w:noProof/>
        </w:rPr>
        <w:t>attie</w:t>
      </w:r>
      <w:r>
        <w:rPr>
          <w:noProof/>
        </w:rPr>
        <w:t>cībā uz Apvienoto Karalisti – lēmumu, ko Eiropas Komisija pieņēmusi saskaņā ar Vispārīgās datu aizsardzības regulas (ES) 2016/679</w:t>
      </w:r>
      <w:r>
        <w:rPr>
          <w:rStyle w:val="FootnoteReference"/>
          <w:rFonts w:cstheme="minorHAnsi"/>
          <w:bCs/>
          <w:noProof/>
          <w:lang w:val="en-IE"/>
        </w:rPr>
        <w:footnoteReference w:id="84"/>
      </w:r>
      <w:r>
        <w:rPr>
          <w:noProof/>
        </w:rPr>
        <w:t xml:space="preserve"> 45. pantu vai analogiem turpmākiem tiesību aktiem un ar ko apliecina pietiekamu aizsardzības līmeni;</w:t>
      </w:r>
    </w:p>
    <w:p w:rsidR="003E022D" w:rsidRDefault="007D19D6">
      <w:pPr>
        <w:numPr>
          <w:ilvl w:val="1"/>
          <w:numId w:val="116"/>
        </w:numPr>
        <w:ind w:left="567" w:hanging="567"/>
        <w:rPr>
          <w:rFonts w:cstheme="minorHAnsi"/>
          <w:bCs/>
          <w:noProof/>
        </w:rPr>
      </w:pPr>
      <w:r>
        <w:rPr>
          <w:noProof/>
        </w:rPr>
        <w:t>attiecībā uz Savienību –</w:t>
      </w:r>
      <w:r>
        <w:rPr>
          <w:noProof/>
        </w:rPr>
        <w:t xml:space="preserve"> lēmumu, ko pieņēmusi Apvienotā Karaliste un ar ko apliecina pietiekamu aizsardzības līmeni datu pārsūtīšanas nolūkiem, kuri ietilpst 2018. gada Datu aizsardzības likuma (vai analogu turpmāku tiesību aktu) 2. nodaļas darbības jomā.</w:t>
      </w:r>
    </w:p>
    <w:p w:rsidR="003E022D" w:rsidRDefault="007D19D6">
      <w:pPr>
        <w:numPr>
          <w:ilvl w:val="0"/>
          <w:numId w:val="175"/>
        </w:numPr>
        <w:ind w:left="0" w:firstLine="0"/>
        <w:rPr>
          <w:rFonts w:cstheme="minorHAnsi"/>
          <w:bCs/>
          <w:noProof/>
        </w:rPr>
      </w:pPr>
      <w:r>
        <w:rPr>
          <w:noProof/>
        </w:rPr>
        <w:t>Apturēšanas skartās sada</w:t>
      </w:r>
      <w:r>
        <w:rPr>
          <w:noProof/>
        </w:rPr>
        <w:t>ļas provizoriski pārstāj piemērot trešā mēneša pirmajā dienā pēc dienas, kad sniegts 1. vai 2. punktā minētais paziņojums, izņemot gadījumus, kad ne vēlāk kā divas nedēļas pirms attiecīgi minētā laikposma vai pagarinātā laikposma beigām saskaņā ar 7. punkt</w:t>
      </w:r>
      <w:r>
        <w:rPr>
          <w:noProof/>
        </w:rPr>
        <w:t xml:space="preserve">a d) apakšpunktu par apturēšanu paziņojusī Puse, izmantojot diplomātiskos kanālus, iesniedz otrai Pusei rakstisku paziņojumu par to, ka tā atsauc pirmo paziņojumu vai samazina apturēšanas tvērumu. Pēdējā gadījumā provizoriski pārstāj piemērot tikai otrajā </w:t>
      </w:r>
      <w:r>
        <w:rPr>
          <w:noProof/>
        </w:rPr>
        <w:t>paziņojumā minētās sadaļas.</w:t>
      </w:r>
    </w:p>
    <w:p w:rsidR="003E022D" w:rsidRDefault="007D19D6">
      <w:pPr>
        <w:numPr>
          <w:ilvl w:val="0"/>
          <w:numId w:val="175"/>
        </w:numPr>
        <w:ind w:left="0" w:firstLine="0"/>
        <w:rPr>
          <w:rFonts w:cstheme="minorHAnsi"/>
          <w:bCs/>
          <w:noProof/>
        </w:rPr>
      </w:pPr>
      <w:r>
        <w:rPr>
          <w:noProof/>
        </w:rPr>
        <w:t>Ja viena Puse paziņo par vienas vai vairāku šīs daļas sadaļu apturēšanu saskaņā ar 1. vai 2. punktu, otra Puse var apturēt visu pārējo sadaļu piemērošanu, trīs mēnešus iepriekš iesniedzot rakstisku paziņojumu ar diplomātisko kan</w:t>
      </w:r>
      <w:r>
        <w:rPr>
          <w:noProof/>
        </w:rPr>
        <w:t>ālu starpniecību.</w:t>
      </w:r>
    </w:p>
    <w:p w:rsidR="003E022D" w:rsidRDefault="007D19D6">
      <w:pPr>
        <w:numPr>
          <w:ilvl w:val="0"/>
          <w:numId w:val="175"/>
        </w:numPr>
        <w:ind w:left="0" w:firstLine="0"/>
        <w:rPr>
          <w:rFonts w:cstheme="minorHAnsi"/>
          <w:bCs/>
          <w:noProof/>
        </w:rPr>
      </w:pPr>
      <w:r>
        <w:rPr>
          <w:noProof/>
        </w:rPr>
        <w:t>Pēc paziņojuma par apturēšanu saskaņā ar 1. vai 2. punktu jautājumu nekavējoties iesniedz izskatīšanai Partnerības padomei. Partnerības padome izskata iespējamos risinājumus, kas ļautu Pusei, kura paziņojusi par apturēšanu, atlikt tās stā</w:t>
      </w:r>
      <w:r>
        <w:rPr>
          <w:noProof/>
        </w:rPr>
        <w:t>šanos spēkā, samazināt tās tvērumu vai atsaukt to. Šim nolūkam pēc Specializētās komitejas tiesībaizsardzības un tiesu iestāžu sadarbības jomā ieteikuma Partnerības padome var:</w:t>
      </w:r>
    </w:p>
    <w:p w:rsidR="003E022D" w:rsidRDefault="007D19D6">
      <w:pPr>
        <w:numPr>
          <w:ilvl w:val="0"/>
          <w:numId w:val="117"/>
        </w:numPr>
        <w:ind w:left="567" w:hanging="567"/>
        <w:rPr>
          <w:noProof/>
        </w:rPr>
      </w:pPr>
      <w:r>
        <w:rPr>
          <w:noProof/>
        </w:rPr>
        <w:t>saskaņot šīs daļas noteikumu vienotu interpretāciju;</w:t>
      </w:r>
    </w:p>
    <w:p w:rsidR="003E022D" w:rsidRDefault="007D19D6">
      <w:pPr>
        <w:numPr>
          <w:ilvl w:val="0"/>
          <w:numId w:val="117"/>
        </w:numPr>
        <w:ind w:left="567" w:hanging="567"/>
        <w:rPr>
          <w:noProof/>
        </w:rPr>
      </w:pPr>
      <w:r>
        <w:rPr>
          <w:noProof/>
        </w:rPr>
        <w:t>ieteikt Pusēm jebkādu piem</w:t>
      </w:r>
      <w:r>
        <w:rPr>
          <w:noProof/>
        </w:rPr>
        <w:t>ērotu rīcību;</w:t>
      </w:r>
    </w:p>
    <w:p w:rsidR="003E022D" w:rsidRDefault="007D19D6">
      <w:pPr>
        <w:numPr>
          <w:ilvl w:val="0"/>
          <w:numId w:val="117"/>
        </w:numPr>
        <w:ind w:left="567" w:hanging="567"/>
        <w:rPr>
          <w:noProof/>
        </w:rPr>
      </w:pPr>
      <w:r>
        <w:rPr>
          <w:noProof/>
        </w:rPr>
        <w:t>pieņemt atbilstīgus šīs daļas pielāgojumus, kas vajadzīgi apturēšanas pamatā esošo iemeslu risināšanai, turklāt pielāgojumu darbība nepārsniedz 12 mēnešus; un</w:t>
      </w:r>
    </w:p>
    <w:p w:rsidR="003E022D" w:rsidRDefault="007D19D6">
      <w:pPr>
        <w:numPr>
          <w:ilvl w:val="0"/>
          <w:numId w:val="117"/>
        </w:numPr>
        <w:ind w:left="567" w:hanging="567"/>
        <w:rPr>
          <w:rFonts w:cstheme="minorHAnsi"/>
          <w:bCs/>
          <w:noProof/>
        </w:rPr>
      </w:pPr>
      <w:r>
        <w:rPr>
          <w:noProof/>
        </w:rPr>
        <w:t>pagarināt 5. punktā minēto laikposmu par ne vairāk ka trim mēnešiem.</w:t>
      </w:r>
    </w:p>
    <w:p w:rsidR="003E022D" w:rsidRDefault="007D19D6">
      <w:pPr>
        <w:numPr>
          <w:ilvl w:val="0"/>
          <w:numId w:val="175"/>
        </w:numPr>
        <w:ind w:left="0" w:firstLine="0"/>
        <w:rPr>
          <w:rFonts w:cstheme="minorHAnsi"/>
          <w:bCs/>
          <w:noProof/>
          <w:u w:val="single"/>
        </w:rPr>
      </w:pPr>
      <w:r>
        <w:rPr>
          <w:noProof/>
        </w:rPr>
        <w:t>Ja kāda no Pus</w:t>
      </w:r>
      <w:r>
        <w:rPr>
          <w:noProof/>
        </w:rPr>
        <w:t>ēm saskaņā ar šo pantu sniedz paziņojumu par apturēšanu, Specializētā komiteja tiesībaizsardzības un tiesu iestāžu sadarbības jomā tiekas, lai lemtu par to, kādi pasākumi ir vajadzīgi, lai nodrošinātu, ka jebkura saskaņā ar šo daļu uzsāktā sadarbība, ko ie</w:t>
      </w:r>
      <w:r>
        <w:rPr>
          <w:noProof/>
        </w:rPr>
        <w:t>tekmē paziņojums, tiek pienācīgi pabeigta. Jebkurā gadījumā attiecībā uz visiem personas datiem, kas iegūti sadarbībā saskaņā ar šo daļu, pirms apturēšanas skartās sadaļas provizoriski pārstāja piemērot, Puses nodrošina, ka pēc apturēšanas stāšanās spēkā t</w:t>
      </w:r>
      <w:r>
        <w:rPr>
          <w:noProof/>
        </w:rPr>
        <w:t>iek saglabāts aizsardzības līmenis, atbilstoši kuram personas dati tika nosūtīti.</w:t>
      </w:r>
    </w:p>
    <w:p w:rsidR="003E022D" w:rsidRDefault="007D19D6">
      <w:pPr>
        <w:numPr>
          <w:ilvl w:val="0"/>
          <w:numId w:val="175"/>
        </w:numPr>
        <w:ind w:left="0" w:firstLine="0"/>
        <w:rPr>
          <w:rFonts w:cstheme="minorHAnsi"/>
          <w:bCs/>
          <w:noProof/>
        </w:rPr>
      </w:pPr>
      <w:r>
        <w:rPr>
          <w:noProof/>
        </w:rPr>
        <w:t xml:space="preserve">Apturēto sadaļu piemērošanu atjauno tā mēneša pirmajā dienā, kurš seko dienai, kad saskaņā ar 1. vai 2. punktu par apturēšanu paziņojusī Puse, izmantojot diplomātiskos </w:t>
      </w:r>
      <w:r>
        <w:rPr>
          <w:noProof/>
        </w:rPr>
        <w:t xml:space="preserve">kanālus, ir sniegusi rakstisku paziņojumu otrai Pusei par nodomu atjaunot apturēto sadaļu piemērošanu. Saskaņā ar 1. vai 2. punktu par apturēšanu paziņojusī Puse to dara nekavējoties, tiklīdz otras Puses pieļautie būtiskie un sistēmiskie trūkumi, kas bija </w:t>
      </w:r>
      <w:r>
        <w:rPr>
          <w:noProof/>
        </w:rPr>
        <w:t>apturēšanas pamatā, vairs nepastāv.</w:t>
      </w:r>
    </w:p>
    <w:p w:rsidR="003E022D" w:rsidRDefault="007D19D6">
      <w:pPr>
        <w:numPr>
          <w:ilvl w:val="0"/>
          <w:numId w:val="175"/>
        </w:numPr>
        <w:ind w:left="0" w:firstLine="0"/>
        <w:rPr>
          <w:rFonts w:cstheme="minorHAnsi"/>
          <w:bCs/>
          <w:noProof/>
        </w:rPr>
      </w:pPr>
      <w:r>
        <w:rPr>
          <w:noProof/>
        </w:rPr>
        <w:t>Pēc paziņojuma par nodomu atjaunot apturēto sadaļu piemērošanu saskaņā ar 9. punktu, pārējo sadaļu, kuru piemērošana apturēta saskaņā ar 6. punktu, piemērošanu atjauno vienlaikus ar to sadaļu piemērošanu, kuru piemērošan</w:t>
      </w:r>
      <w:r>
        <w:rPr>
          <w:noProof/>
        </w:rPr>
        <w:t>a bija apturējusi saskaņā ar 1. vai 2. punktu.</w:t>
      </w:r>
    </w:p>
    <w:p w:rsidR="003E022D" w:rsidRDefault="007D19D6">
      <w:pPr>
        <w:pStyle w:val="Article"/>
        <w:rPr>
          <w:noProof/>
        </w:rPr>
      </w:pPr>
      <w:bookmarkStart w:id="900" w:name="_Toc58920388"/>
      <w:r>
        <w:rPr>
          <w:noProof/>
        </w:rPr>
        <w:t>LAW.OTHER.138. pants. Izdevumi</w:t>
      </w:r>
      <w:bookmarkEnd w:id="900"/>
    </w:p>
    <w:p w:rsidR="003E022D" w:rsidRDefault="007D19D6">
      <w:pPr>
        <w:rPr>
          <w:rFonts w:cstheme="minorHAnsi"/>
          <w:noProof/>
        </w:rPr>
      </w:pPr>
      <w:r>
        <w:rPr>
          <w:noProof/>
        </w:rPr>
        <w:t>Puses un dalībvalstis, tai skaitā Pušu vai dalībvalstu iestādes, struktūras, biroji un aģentūras, sedz savus izdevumus, kuri tām radušies šīs daļas īstenošanas gaitā, ja vien šaj</w:t>
      </w:r>
      <w:r>
        <w:rPr>
          <w:noProof/>
        </w:rPr>
        <w:t>ā nolīgumā nav noteikts citādi.</w:t>
      </w:r>
    </w:p>
    <w:p w:rsidR="003E022D" w:rsidRDefault="007D19D6">
      <w:pPr>
        <w:pStyle w:val="Title1"/>
        <w:rPr>
          <w:noProof/>
        </w:rPr>
      </w:pPr>
      <w:bookmarkStart w:id="901" w:name="_Toc57809467"/>
      <w:bookmarkStart w:id="902" w:name="_Toc58920389"/>
      <w:bookmarkStart w:id="903" w:name="_Toc58949207"/>
      <w:bookmarkStart w:id="904" w:name="_Toc59472722"/>
      <w:bookmarkStart w:id="905" w:name="_Toc59988374"/>
      <w:r>
        <w:rPr>
          <w:noProof/>
        </w:rPr>
        <w:t>XIII sadaļa. Strīdu izšķiršana</w:t>
      </w:r>
      <w:bookmarkEnd w:id="901"/>
      <w:bookmarkEnd w:id="902"/>
      <w:bookmarkEnd w:id="903"/>
      <w:bookmarkEnd w:id="904"/>
      <w:bookmarkEnd w:id="905"/>
    </w:p>
    <w:p w:rsidR="003E022D" w:rsidRDefault="007D19D6">
      <w:pPr>
        <w:pStyle w:val="Article"/>
        <w:rPr>
          <w:noProof/>
        </w:rPr>
      </w:pPr>
      <w:bookmarkStart w:id="906" w:name="_Toc58920390"/>
      <w:r>
        <w:rPr>
          <w:noProof/>
        </w:rPr>
        <w:t>LAW.DS.1. pants. Mērķis</w:t>
      </w:r>
      <w:bookmarkEnd w:id="906"/>
    </w:p>
    <w:p w:rsidR="003E022D" w:rsidRDefault="007D19D6">
      <w:pPr>
        <w:rPr>
          <w:rFonts w:cstheme="minorHAnsi"/>
          <w:noProof/>
        </w:rPr>
      </w:pPr>
      <w:r>
        <w:rPr>
          <w:noProof/>
        </w:rPr>
        <w:t>Šīs sadaļas mērķis ir izveidot ātru, efektīvu un iedarbīgu mehānismu, lai izvairītos no Pušu strīdiem saistībā ar šo daļu, ietverot strīdus par šo daļu, ja to piemēro si</w:t>
      </w:r>
      <w:r>
        <w:rPr>
          <w:noProof/>
        </w:rPr>
        <w:t>tuācijām, kuras regulē citi šā nolīguma noteikumi, un atrisinātu tos, ja iespējams, ar mērķi rast savstarpēji pieņemamu risinājumu.</w:t>
      </w:r>
    </w:p>
    <w:p w:rsidR="003E022D" w:rsidRDefault="007D19D6">
      <w:pPr>
        <w:pStyle w:val="Article"/>
        <w:rPr>
          <w:noProof/>
        </w:rPr>
      </w:pPr>
      <w:bookmarkStart w:id="907" w:name="_Toc58920391"/>
      <w:r>
        <w:rPr>
          <w:noProof/>
        </w:rPr>
        <w:t>LAW.DS.2. pants. Darbības joma</w:t>
      </w:r>
      <w:bookmarkEnd w:id="907"/>
    </w:p>
    <w:p w:rsidR="003E022D" w:rsidRDefault="007D19D6">
      <w:pPr>
        <w:numPr>
          <w:ilvl w:val="0"/>
          <w:numId w:val="181"/>
        </w:numPr>
        <w:ind w:left="0" w:firstLine="0"/>
        <w:rPr>
          <w:rFonts w:cstheme="minorHAnsi"/>
          <w:noProof/>
        </w:rPr>
      </w:pPr>
      <w:r>
        <w:rPr>
          <w:noProof/>
        </w:rPr>
        <w:t>Šo sadaļu piemēro strīdiem starp Pusēm par šīs daļas noteikumiem (“aptvertie noteikumi”).</w:t>
      </w:r>
    </w:p>
    <w:p w:rsidR="003E022D" w:rsidRDefault="007D19D6">
      <w:pPr>
        <w:numPr>
          <w:ilvl w:val="0"/>
          <w:numId w:val="181"/>
        </w:numPr>
        <w:ind w:left="0" w:firstLine="0"/>
        <w:rPr>
          <w:rFonts w:cstheme="minorHAnsi"/>
          <w:noProof/>
        </w:rPr>
      </w:pPr>
      <w:r>
        <w:rPr>
          <w:noProof/>
        </w:rPr>
        <w:t>Apt</w:t>
      </w:r>
      <w:r>
        <w:rPr>
          <w:noProof/>
        </w:rPr>
        <w:t>vertie noteikumi ietver visus šīs daļas noteikumus, izņemot turpmāk minētos:</w:t>
      </w:r>
    </w:p>
    <w:p w:rsidR="003E022D" w:rsidRDefault="007D19D6">
      <w:pPr>
        <w:numPr>
          <w:ilvl w:val="0"/>
          <w:numId w:val="180"/>
        </w:numPr>
        <w:ind w:left="567" w:hanging="567"/>
        <w:rPr>
          <w:rFonts w:cstheme="minorHAnsi"/>
          <w:noProof/>
        </w:rPr>
      </w:pPr>
      <w:r>
        <w:rPr>
          <w:noProof/>
        </w:rPr>
        <w:t>LAW.GEN.5. pants [Sadarbības tvērums, ja kāda dalībvalsts vairs nepiedalās analogos pasākumos saskaņā ar Savienības tiesībām];</w:t>
      </w:r>
    </w:p>
    <w:p w:rsidR="003E022D" w:rsidRDefault="007D19D6">
      <w:pPr>
        <w:numPr>
          <w:ilvl w:val="0"/>
          <w:numId w:val="180"/>
        </w:numPr>
        <w:ind w:left="567" w:hanging="567"/>
        <w:rPr>
          <w:rFonts w:cstheme="minorHAnsi"/>
          <w:noProof/>
        </w:rPr>
      </w:pPr>
      <w:r>
        <w:rPr>
          <w:noProof/>
          <w:u w:color="000000"/>
        </w:rPr>
        <w:t>LAW.PRUM.19. pants [Apturēšana un nepiemērošana</w:t>
      </w:r>
      <w:r>
        <w:rPr>
          <w:noProof/>
        </w:rPr>
        <w:t>];</w:t>
      </w:r>
    </w:p>
    <w:p w:rsidR="003E022D" w:rsidRDefault="007D19D6">
      <w:pPr>
        <w:numPr>
          <w:ilvl w:val="0"/>
          <w:numId w:val="180"/>
        </w:numPr>
        <w:ind w:left="567" w:hanging="567"/>
        <w:rPr>
          <w:rFonts w:cstheme="minorHAnsi"/>
          <w:noProof/>
        </w:rPr>
      </w:pPr>
      <w:r>
        <w:rPr>
          <w:noProof/>
          <w:u w:color="000000"/>
        </w:rPr>
        <w:t>LA</w:t>
      </w:r>
      <w:r>
        <w:rPr>
          <w:noProof/>
          <w:u w:color="000000"/>
        </w:rPr>
        <w:t>W.PNR.28. panta [PDR datu saglabāšana] 14. punkts</w:t>
      </w:r>
      <w:r>
        <w:rPr>
          <w:noProof/>
        </w:rPr>
        <w:t>;</w:t>
      </w:r>
    </w:p>
    <w:p w:rsidR="003E022D" w:rsidRDefault="007D19D6">
      <w:pPr>
        <w:numPr>
          <w:ilvl w:val="0"/>
          <w:numId w:val="180"/>
        </w:numPr>
        <w:ind w:left="567" w:hanging="567"/>
        <w:rPr>
          <w:rFonts w:cstheme="minorHAnsi"/>
          <w:noProof/>
        </w:rPr>
      </w:pPr>
      <w:r>
        <w:rPr>
          <w:noProof/>
          <w:u w:color="000000"/>
        </w:rPr>
        <w:t>LAW.PNR.38. pants [Sadarbības saskaņā ar šo sadaļu apturēšana]</w:t>
      </w:r>
      <w:r>
        <w:rPr>
          <w:noProof/>
        </w:rPr>
        <w:t>;</w:t>
      </w:r>
    </w:p>
    <w:p w:rsidR="003E022D" w:rsidRDefault="007D19D6">
      <w:pPr>
        <w:numPr>
          <w:ilvl w:val="0"/>
          <w:numId w:val="180"/>
        </w:numPr>
        <w:ind w:left="567" w:hanging="567"/>
        <w:rPr>
          <w:rFonts w:cstheme="minorHAnsi"/>
          <w:noProof/>
        </w:rPr>
      </w:pPr>
      <w:r>
        <w:rPr>
          <w:noProof/>
          <w:u w:color="000000"/>
        </w:rPr>
        <w:t>LAW.OTHER.136. pants [Izbeigšana]</w:t>
      </w:r>
      <w:r>
        <w:rPr>
          <w:noProof/>
        </w:rPr>
        <w:t>;</w:t>
      </w:r>
    </w:p>
    <w:p w:rsidR="003E022D" w:rsidRDefault="007D19D6">
      <w:pPr>
        <w:numPr>
          <w:ilvl w:val="0"/>
          <w:numId w:val="180"/>
        </w:numPr>
        <w:ind w:left="567" w:hanging="567"/>
        <w:rPr>
          <w:rFonts w:cstheme="minorHAnsi"/>
          <w:noProof/>
        </w:rPr>
      </w:pPr>
      <w:r>
        <w:rPr>
          <w:noProof/>
          <w:u w:color="000000"/>
        </w:rPr>
        <w:t>LAW.OTHER.137. pants [Apturēšana]</w:t>
      </w:r>
      <w:r>
        <w:rPr>
          <w:noProof/>
        </w:rPr>
        <w:t xml:space="preserve"> un</w:t>
      </w:r>
    </w:p>
    <w:p w:rsidR="003E022D" w:rsidRDefault="007D19D6">
      <w:pPr>
        <w:numPr>
          <w:ilvl w:val="0"/>
          <w:numId w:val="180"/>
        </w:numPr>
        <w:ind w:left="567" w:hanging="567"/>
        <w:rPr>
          <w:rFonts w:cstheme="minorHAnsi"/>
          <w:noProof/>
        </w:rPr>
      </w:pPr>
      <w:r>
        <w:rPr>
          <w:noProof/>
          <w:u w:color="000000"/>
        </w:rPr>
        <w:t>LAW.DS.6. pants [Apturēšana]</w:t>
      </w:r>
      <w:r>
        <w:rPr>
          <w:noProof/>
        </w:rPr>
        <w:t>.</w:t>
      </w:r>
    </w:p>
    <w:p w:rsidR="003E022D" w:rsidRDefault="007D19D6">
      <w:pPr>
        <w:pStyle w:val="Article"/>
        <w:rPr>
          <w:noProof/>
        </w:rPr>
      </w:pPr>
      <w:bookmarkStart w:id="908" w:name="_Toc58920392"/>
      <w:r>
        <w:rPr>
          <w:noProof/>
        </w:rPr>
        <w:t>LAW.DS.3. pants. Ekskluzivitāte</w:t>
      </w:r>
      <w:bookmarkEnd w:id="908"/>
    </w:p>
    <w:p w:rsidR="003E022D" w:rsidRDefault="007D19D6">
      <w:pPr>
        <w:rPr>
          <w:rFonts w:eastAsia="Calibri" w:cstheme="minorHAnsi"/>
          <w:noProof/>
        </w:rPr>
      </w:pPr>
      <w:r>
        <w:rPr>
          <w:noProof/>
        </w:rPr>
        <w:t xml:space="preserve">Puses </w:t>
      </w:r>
      <w:r>
        <w:rPr>
          <w:noProof/>
        </w:rPr>
        <w:t>apņemas strīdīgus jautājumus par šīs daļas noteikumiem neiesniegt izskatīšanai citam strīdu izšķiršanas mehānismam, kas nav šajā sadaļā paredzētais mehānisms.</w:t>
      </w:r>
    </w:p>
    <w:p w:rsidR="003E022D" w:rsidRDefault="007D19D6">
      <w:pPr>
        <w:pStyle w:val="Article"/>
        <w:rPr>
          <w:noProof/>
        </w:rPr>
      </w:pPr>
      <w:bookmarkStart w:id="909" w:name="_Toc58920393"/>
      <w:r>
        <w:rPr>
          <w:noProof/>
        </w:rPr>
        <w:t>LAW.DS.4. pants. Apspriešanās</w:t>
      </w:r>
      <w:bookmarkEnd w:id="909"/>
    </w:p>
    <w:p w:rsidR="003E022D" w:rsidRDefault="007D19D6">
      <w:pPr>
        <w:numPr>
          <w:ilvl w:val="0"/>
          <w:numId w:val="182"/>
        </w:numPr>
        <w:ind w:left="0" w:firstLine="0"/>
        <w:rPr>
          <w:rFonts w:cstheme="minorHAnsi"/>
          <w:noProof/>
        </w:rPr>
      </w:pPr>
      <w:r>
        <w:rPr>
          <w:noProof/>
        </w:rPr>
        <w:t>Ja viena Puse (“prasītāja Puse”) uzskata, ka otra Puse (“atbildētāj</w:t>
      </w:r>
      <w:r>
        <w:rPr>
          <w:noProof/>
        </w:rPr>
        <w:t>a Puse”) nav pildījusi kādu pienākumu saskaņā ar šo daļu, Puses cenšas atrisināt jautājumu, labā ticībā sākot apspriesties ar mērķi panākt savstarpēji saskaņotu risinājumu.</w:t>
      </w:r>
    </w:p>
    <w:p w:rsidR="003E022D" w:rsidRDefault="007D19D6">
      <w:pPr>
        <w:numPr>
          <w:ilvl w:val="0"/>
          <w:numId w:val="182"/>
        </w:numPr>
        <w:ind w:left="0" w:firstLine="0"/>
        <w:rPr>
          <w:rFonts w:cstheme="minorHAnsi"/>
          <w:noProof/>
        </w:rPr>
      </w:pPr>
      <w:r>
        <w:rPr>
          <w:noProof/>
        </w:rPr>
        <w:t>Prasītāja Puse var pieprasīt apspriešanos, iesniedzot rakstisku pieprasījumu atbild</w:t>
      </w:r>
      <w:r>
        <w:rPr>
          <w:noProof/>
        </w:rPr>
        <w:t>ētājai Pusei. Savā rakstiskajā pieprasījumā prasītāja Puse norāda pieprasījuma iemeslus, tai skaitā apraksta darbības vai bezdarbību, ko prasītāja Puse uzskata par atbildētājas Puses pienākuma neizpildes iemeslu, precizējot noteikumus, kurus tā uzskata par</w:t>
      </w:r>
      <w:r>
        <w:rPr>
          <w:noProof/>
        </w:rPr>
        <w:t xml:space="preserve"> piemērojamiem.</w:t>
      </w:r>
    </w:p>
    <w:p w:rsidR="003E022D" w:rsidRDefault="007D19D6">
      <w:pPr>
        <w:numPr>
          <w:ilvl w:val="0"/>
          <w:numId w:val="182"/>
        </w:numPr>
        <w:ind w:left="0" w:firstLine="0"/>
        <w:rPr>
          <w:rFonts w:cstheme="minorHAnsi"/>
          <w:noProof/>
        </w:rPr>
      </w:pPr>
      <w:r>
        <w:rPr>
          <w:noProof/>
        </w:rPr>
        <w:t xml:space="preserve">Atbildētāja Puse atbildi uz pieprasījumu sniedz ātri un ne vēlāk kā divas nedēļas pēc tā izsniegšanas dienas. Apspriedes notiek regulāri trīs mēnešu laikā pēc pieprasījuma izsniegšanas dienas, kad tas izsniegts personīgi vai izmantojot </w:t>
      </w:r>
      <w:r>
        <w:rPr>
          <w:noProof/>
        </w:rPr>
        <w:t>jebkādus citus saziņas līdzekļus, par kuriem Puses ir vienojušās.</w:t>
      </w:r>
    </w:p>
    <w:p w:rsidR="003E022D" w:rsidRDefault="007D19D6">
      <w:pPr>
        <w:numPr>
          <w:ilvl w:val="0"/>
          <w:numId w:val="182"/>
        </w:numPr>
        <w:ind w:left="0" w:firstLine="0"/>
        <w:rPr>
          <w:rFonts w:eastAsia="Calibri" w:cstheme="minorHAnsi"/>
          <w:noProof/>
        </w:rPr>
      </w:pPr>
      <w:r>
        <w:rPr>
          <w:noProof/>
        </w:rPr>
        <w:t>Apspriedes uzskata par pabeigtām trīs mēnešu laikā no pieprasījuma izsniegšanas dienas, ja vien Puses nevienojas tās turpināt.</w:t>
      </w:r>
    </w:p>
    <w:p w:rsidR="003E022D" w:rsidRDefault="007D19D6">
      <w:pPr>
        <w:numPr>
          <w:ilvl w:val="0"/>
          <w:numId w:val="182"/>
        </w:numPr>
        <w:ind w:left="0" w:firstLine="0"/>
        <w:rPr>
          <w:rFonts w:eastAsia="Calibri" w:cstheme="minorHAnsi"/>
          <w:noProof/>
        </w:rPr>
      </w:pPr>
      <w:r>
        <w:rPr>
          <w:noProof/>
        </w:rPr>
        <w:t>Prasītāja Puse var pieprasīt, lai apspriedes notiktu Specializē</w:t>
      </w:r>
      <w:r>
        <w:rPr>
          <w:noProof/>
        </w:rPr>
        <w:t xml:space="preserve">tās komitejas tiesībaizsardzības un tiesu iestāžu sadarbības jomā vai Partnerības padomes ietvaros. Pirmā sanāksme notiek viena mēneša laikā pēc šā panta 2. punktā minētā pieprasījuma rīkot apspriedes iesniegšanas. Specializētā komiteja tiesībaizsardzības </w:t>
      </w:r>
      <w:r>
        <w:rPr>
          <w:noProof/>
        </w:rPr>
        <w:t>un tiesu iestāžu sadarbības jomā jebkurā laikā var nolemt nodot jautājumu izskatīšanai Partnerības padomē. Partnerības padome var pati pārņemt šā jautājuma izskatīšanu. Specializētā komiteja tiesībaizsardzības un tiesu iestāžu sadarbības jomā vai attiecīgā</w:t>
      </w:r>
      <w:r>
        <w:rPr>
          <w:noProof/>
        </w:rPr>
        <w:t xml:space="preserve"> gadījumā Partnerības padome var atrisināt strīdu, pieņemot lēmumu. Šādu lēmumu uzskata par savstarpēji saskaņotu risinājumu </w:t>
      </w:r>
      <w:r>
        <w:rPr>
          <w:noProof/>
          <w:u w:color="000000"/>
        </w:rPr>
        <w:t>LAW.DS.5. panta [Savstarpēji saskaņots risinājums]</w:t>
      </w:r>
      <w:r>
        <w:rPr>
          <w:noProof/>
        </w:rPr>
        <w:t xml:space="preserve"> nozīmē.</w:t>
      </w:r>
    </w:p>
    <w:p w:rsidR="003E022D" w:rsidRDefault="007D19D6">
      <w:pPr>
        <w:numPr>
          <w:ilvl w:val="0"/>
          <w:numId w:val="182"/>
        </w:numPr>
        <w:ind w:left="0" w:firstLine="0"/>
        <w:rPr>
          <w:rFonts w:eastAsia="Calibri" w:cstheme="minorHAnsi"/>
          <w:noProof/>
        </w:rPr>
      </w:pPr>
      <w:r>
        <w:rPr>
          <w:noProof/>
        </w:rPr>
        <w:t>Prasītāja Puse jebkurā laikā var vienpusēji atsaukt savu pieprasījumu rī</w:t>
      </w:r>
      <w:r>
        <w:rPr>
          <w:noProof/>
        </w:rPr>
        <w:t>kot apspriedes. Šādā gadījumā apspriedes nekavējoties izbeidz.</w:t>
      </w:r>
    </w:p>
    <w:p w:rsidR="003E022D" w:rsidRDefault="007D19D6">
      <w:pPr>
        <w:numPr>
          <w:ilvl w:val="0"/>
          <w:numId w:val="182"/>
        </w:numPr>
        <w:ind w:left="0" w:firstLine="0"/>
        <w:rPr>
          <w:rFonts w:eastAsia="Calibri" w:cstheme="minorHAnsi"/>
          <w:noProof/>
        </w:rPr>
      </w:pPr>
      <w:r>
        <w:rPr>
          <w:noProof/>
        </w:rPr>
        <w:t>Apspriedes un jo īpaši visa informācija, kas norādīta kā konfidenciāla, kā arī Pušu nostājas apspriežu laikā ir konfidenciālas.</w:t>
      </w:r>
    </w:p>
    <w:p w:rsidR="003E022D" w:rsidRDefault="007D19D6">
      <w:pPr>
        <w:pStyle w:val="Article"/>
        <w:rPr>
          <w:noProof/>
        </w:rPr>
      </w:pPr>
      <w:bookmarkStart w:id="910" w:name="_Toc58920394"/>
      <w:r>
        <w:rPr>
          <w:noProof/>
        </w:rPr>
        <w:t>LAW.DS.5. pants. Savstarpēji saskaņots risinājums</w:t>
      </w:r>
      <w:bookmarkEnd w:id="910"/>
    </w:p>
    <w:p w:rsidR="003E022D" w:rsidRDefault="007D19D6">
      <w:pPr>
        <w:numPr>
          <w:ilvl w:val="0"/>
          <w:numId w:val="179"/>
        </w:numPr>
        <w:ind w:left="0" w:firstLine="0"/>
        <w:rPr>
          <w:rFonts w:eastAsia="Calibri" w:cstheme="minorHAnsi"/>
          <w:noProof/>
        </w:rPr>
      </w:pPr>
      <w:r>
        <w:rPr>
          <w:noProof/>
        </w:rPr>
        <w:t>Attiecībā uz je</w:t>
      </w:r>
      <w:r>
        <w:rPr>
          <w:noProof/>
        </w:rPr>
        <w:t xml:space="preserve">bkuru strīdu, kas minēts </w:t>
      </w:r>
      <w:r>
        <w:rPr>
          <w:noProof/>
          <w:u w:color="000000"/>
        </w:rPr>
        <w:t>LAW.DS.2. pantā [Piemērošanas joma]</w:t>
      </w:r>
      <w:r>
        <w:rPr>
          <w:noProof/>
        </w:rPr>
        <w:t>, Puses jebkurā laikā var panākt savstarpēji saskaņotu risinājumu.</w:t>
      </w:r>
    </w:p>
    <w:p w:rsidR="003E022D" w:rsidRDefault="007D19D6">
      <w:pPr>
        <w:numPr>
          <w:ilvl w:val="0"/>
          <w:numId w:val="179"/>
        </w:numPr>
        <w:ind w:left="0" w:firstLine="0"/>
        <w:rPr>
          <w:rFonts w:cstheme="minorHAnsi"/>
          <w:noProof/>
        </w:rPr>
      </w:pPr>
      <w:r>
        <w:rPr>
          <w:noProof/>
        </w:rPr>
        <w:t>Savstarpēji saskaņotu risinājumu var pieņemt ar Specializētās komitejas tiesībaizsardzības un tiesu iestāžu sadarbības jomā vai P</w:t>
      </w:r>
      <w:r>
        <w:rPr>
          <w:noProof/>
        </w:rPr>
        <w:t>artnerības padomes lēmumu. Ja savstarpēji saskaņots risinājums ir Pušu vienošanās par šīs daļas noteikumu vienotu interpretāciju, minēto savstarpēji saskaņoto risinājumu pieņem ar Partnerības padomes lēmumu.</w:t>
      </w:r>
    </w:p>
    <w:p w:rsidR="003E022D" w:rsidRDefault="007D19D6">
      <w:pPr>
        <w:numPr>
          <w:ilvl w:val="0"/>
          <w:numId w:val="179"/>
        </w:numPr>
        <w:ind w:left="0" w:firstLine="0"/>
        <w:rPr>
          <w:rFonts w:cstheme="minorHAnsi"/>
          <w:noProof/>
        </w:rPr>
      </w:pPr>
      <w:r>
        <w:rPr>
          <w:noProof/>
        </w:rPr>
        <w:t>Katra Puse veic vajadzīgos pasākumus, lai īsteno</w:t>
      </w:r>
      <w:r>
        <w:rPr>
          <w:noProof/>
        </w:rPr>
        <w:t>tu savstarpēji saskaņoto risinājumu termiņā, par kuru tās vienojušās.</w:t>
      </w:r>
    </w:p>
    <w:p w:rsidR="003E022D" w:rsidRDefault="007D19D6">
      <w:pPr>
        <w:numPr>
          <w:ilvl w:val="0"/>
          <w:numId w:val="179"/>
        </w:numPr>
        <w:ind w:left="0" w:firstLine="0"/>
        <w:rPr>
          <w:rFonts w:eastAsia="Calibri" w:cstheme="minorHAnsi"/>
          <w:noProof/>
        </w:rPr>
      </w:pPr>
      <w:r>
        <w:rPr>
          <w:noProof/>
        </w:rPr>
        <w:t>Ne vēlāk kā līdz termiņa, par kuru Puses vienojušās, beigām īstenotāja Puse rakstiski informē otru Pusi par visiem pasākumiem, ko tā veikusi, lai īstenotu savstarpēji saskaņoto risinājum</w:t>
      </w:r>
      <w:r>
        <w:rPr>
          <w:noProof/>
        </w:rPr>
        <w:t>u.</w:t>
      </w:r>
    </w:p>
    <w:p w:rsidR="003E022D" w:rsidRDefault="007D19D6">
      <w:pPr>
        <w:pStyle w:val="Article"/>
        <w:rPr>
          <w:noProof/>
        </w:rPr>
      </w:pPr>
      <w:bookmarkStart w:id="911" w:name="_Toc58920395"/>
      <w:r>
        <w:rPr>
          <w:noProof/>
        </w:rPr>
        <w:t>LAW.DS.6. pants. Nolīguma darbības apturēšana</w:t>
      </w:r>
      <w:bookmarkEnd w:id="911"/>
    </w:p>
    <w:p w:rsidR="003E022D" w:rsidRDefault="007D19D6">
      <w:pPr>
        <w:numPr>
          <w:ilvl w:val="0"/>
          <w:numId w:val="183"/>
        </w:numPr>
        <w:ind w:left="0" w:firstLine="0"/>
        <w:rPr>
          <w:rFonts w:eastAsia="Calibri" w:cstheme="minorHAnsi"/>
          <w:noProof/>
        </w:rPr>
      </w:pPr>
      <w:r>
        <w:rPr>
          <w:noProof/>
        </w:rPr>
        <w:t xml:space="preserve">Ja apspriežu atbilstoši </w:t>
      </w:r>
      <w:r>
        <w:rPr>
          <w:noProof/>
          <w:u w:color="000000"/>
        </w:rPr>
        <w:t>LAW.DS.4. pantam [Apspriedes]</w:t>
      </w:r>
      <w:r>
        <w:rPr>
          <w:noProof/>
        </w:rPr>
        <w:t xml:space="preserve"> rezultātā nav panākts savstarpēji saskaņots risinājums </w:t>
      </w:r>
      <w:r>
        <w:rPr>
          <w:noProof/>
          <w:u w:color="000000"/>
        </w:rPr>
        <w:t>LAW.DS.5. panta [Savstarpēji saskaņots risinājums]</w:t>
      </w:r>
      <w:r>
        <w:rPr>
          <w:noProof/>
        </w:rPr>
        <w:t xml:space="preserve"> nozīmē, ar nosacījumu, ka prasītāja Puse nav at</w:t>
      </w:r>
      <w:r>
        <w:rPr>
          <w:noProof/>
        </w:rPr>
        <w:t xml:space="preserve">saukusi savu pieprasījumu rīkot apspriedes saskaņā ar </w:t>
      </w:r>
      <w:r>
        <w:rPr>
          <w:noProof/>
          <w:u w:color="000000"/>
        </w:rPr>
        <w:t>LAW.DS.4. panta [Apspriedes] 6. punktu</w:t>
      </w:r>
      <w:r>
        <w:rPr>
          <w:noProof/>
        </w:rPr>
        <w:t xml:space="preserve">, un ja prasītāja Puses uzskata, ka atbildētāja Puse ir pieļāvusi būtisku savu pienākumu neizpildi attiecībā uz </w:t>
      </w:r>
      <w:r>
        <w:rPr>
          <w:noProof/>
          <w:u w:color="000000"/>
        </w:rPr>
        <w:t>LAW.DS.4. panta [Apspriedes] 2. punktā</w:t>
      </w:r>
      <w:r>
        <w:rPr>
          <w:noProof/>
        </w:rPr>
        <w:t xml:space="preserve"> minētajiem ap</w:t>
      </w:r>
      <w:r>
        <w:rPr>
          <w:noProof/>
        </w:rPr>
        <w:t>tvertajiem noteikumiem, prasītāja Puse var apturēt šīs daļas sadaļu, uz kurām attiecas būtiskā neizpilde, piemērošanu, iesniedzot rakstisku paziņojumu ar diplomātisko kanālu starpniecību. Šādā paziņojumā norāda atbildētājas Puses būtisko pienākuma neizpild</w:t>
      </w:r>
      <w:r>
        <w:rPr>
          <w:noProof/>
        </w:rPr>
        <w:t>i, kas ir apturēšanas pamatā.</w:t>
      </w:r>
    </w:p>
    <w:p w:rsidR="003E022D" w:rsidRDefault="007D19D6">
      <w:pPr>
        <w:numPr>
          <w:ilvl w:val="0"/>
          <w:numId w:val="183"/>
        </w:numPr>
        <w:ind w:left="0" w:firstLine="0"/>
        <w:rPr>
          <w:rFonts w:cstheme="minorHAnsi"/>
          <w:noProof/>
        </w:rPr>
      </w:pPr>
      <w:r>
        <w:rPr>
          <w:noProof/>
        </w:rPr>
        <w:t xml:space="preserve">Apturēšanas skartās sadaļas provizoriski pārstāj piemērot trešā mēneša pirmajā dienā pēc dienas, kad sniegts 1. punktā minētais paziņojums, vai jebkurā citā dienā, par kuru Puses savstarpēji vienojušās, izņemot gadījumus, kad </w:t>
      </w:r>
      <w:r>
        <w:rPr>
          <w:noProof/>
        </w:rPr>
        <w:t xml:space="preserve">ne vēlāk kā divas nedēļas pirms minētā laikposma beigām prasītāja Puse, izmantojot diplomātiskos kanālus, iesniedz atbildētājai Pusei rakstisku paziņojumu par to, ka tā atsauc pirmo paziņojumu vai samazina apturēšanas tvērumu. Pēdējā gadījumā provizoriski </w:t>
      </w:r>
      <w:r>
        <w:rPr>
          <w:noProof/>
        </w:rPr>
        <w:t>pārstāj piemērot tikai otrajā paziņojumā minētās sadaļas.</w:t>
      </w:r>
    </w:p>
    <w:p w:rsidR="003E022D" w:rsidRDefault="007D19D6">
      <w:pPr>
        <w:numPr>
          <w:ilvl w:val="0"/>
          <w:numId w:val="183"/>
        </w:numPr>
        <w:ind w:left="0" w:firstLine="0"/>
        <w:rPr>
          <w:rFonts w:cstheme="minorHAnsi"/>
          <w:bCs/>
          <w:noProof/>
        </w:rPr>
      </w:pPr>
      <w:r>
        <w:rPr>
          <w:noProof/>
        </w:rPr>
        <w:t>Ja prasītāja Puse paziņo par vienas vai vairāku šīs daļas sadaļu apturēšanu saskaņā ar 1. punktu, atbildētāja Puse var apturēt visu pārējo sadaļu piemērošanu, trīs mēnešus iepriekš iesniedzot raksti</w:t>
      </w:r>
      <w:r>
        <w:rPr>
          <w:noProof/>
        </w:rPr>
        <w:t>sku paziņojumu ar diplomātisko kanālu starpniecību.</w:t>
      </w:r>
    </w:p>
    <w:p w:rsidR="003E022D" w:rsidRDefault="007D19D6">
      <w:pPr>
        <w:numPr>
          <w:ilvl w:val="0"/>
          <w:numId w:val="183"/>
        </w:numPr>
        <w:ind w:left="0" w:firstLine="0"/>
        <w:rPr>
          <w:rFonts w:cstheme="minorHAnsi"/>
          <w:noProof/>
        </w:rPr>
      </w:pPr>
      <w:r>
        <w:rPr>
          <w:noProof/>
        </w:rPr>
        <w:t>Ja saskaņā ar šo pantu ir sniegts paziņojums par apturēšanu, Specializētā komiteja tiesībaizsardzības un tiesu iestāžu sadarbības jomā tiekas, lai lemtu par to, kādi pasākumi ir vajadzīgi, lai nodrošinātu</w:t>
      </w:r>
      <w:r>
        <w:rPr>
          <w:noProof/>
        </w:rPr>
        <w:t>, ka jebkura saskaņā ar šo daļu uzsāktā sadarbība, ko ietekmē paziņojums, tiek pienācīgi pabeigta. Jebkurā gadījumā attiecībā uz visiem personas datiem, kas iegūti sadarbībā saskaņā ar šo daļu, pirms apturēšanas skartās sadaļas provizoriski pārstāja piemēr</w:t>
      </w:r>
      <w:r>
        <w:rPr>
          <w:noProof/>
        </w:rPr>
        <w:t>ot, Puses nodrošina, ka pēc apturēšanas stāšanās spēkā tiek saglabāts aizsardzības līmenis, atbilstoši kuram personas dati tika nosūtīti.</w:t>
      </w:r>
    </w:p>
    <w:p w:rsidR="003E022D" w:rsidRDefault="007D19D6">
      <w:pPr>
        <w:numPr>
          <w:ilvl w:val="0"/>
          <w:numId w:val="183"/>
        </w:numPr>
        <w:ind w:left="0" w:firstLine="0"/>
        <w:rPr>
          <w:rFonts w:cstheme="minorHAnsi"/>
          <w:bCs/>
          <w:noProof/>
        </w:rPr>
      </w:pPr>
      <w:r>
        <w:rPr>
          <w:noProof/>
        </w:rPr>
        <w:t>Apturēto sadaļu piemērošanu atjauno tā mēneša pirmajā dienā, kurš seko dienai, kad prasītāja Puse, izmantojot diplomāt</w:t>
      </w:r>
      <w:r>
        <w:rPr>
          <w:noProof/>
        </w:rPr>
        <w:t>iskos kanālus, ir sniegusi rakstisku paziņojumu atbildētājai Pusei par nodomu atjaunot apturēto sadaļu piemērošanu. Prasītāja Puse to dara nekavējoties, tiklīdz tā uzskata, ka būtiskā pienākuma neizpilde, kas bija apturēšanas pamatā, vairs nepastāv.</w:t>
      </w:r>
    </w:p>
    <w:p w:rsidR="003E022D" w:rsidRDefault="007D19D6">
      <w:pPr>
        <w:numPr>
          <w:ilvl w:val="0"/>
          <w:numId w:val="183"/>
        </w:numPr>
        <w:ind w:left="0" w:firstLine="0"/>
        <w:rPr>
          <w:rFonts w:cstheme="minorHAnsi"/>
          <w:noProof/>
        </w:rPr>
      </w:pPr>
      <w:r>
        <w:rPr>
          <w:noProof/>
        </w:rPr>
        <w:t>Pēc pr</w:t>
      </w:r>
      <w:r>
        <w:rPr>
          <w:noProof/>
        </w:rPr>
        <w:t xml:space="preserve">asītājas Puses paziņojuma par tās nodomu atjaunot apturēto sadaļu piemērošanu saskaņā ar 5. punktu, pārējo sadaļu, kuru piemērošanu apturējusi atbildētāja Puse saskaņā ar 3. punktu, piemērošanu atjauno vienlaikus ar to sadaļu piemērošanu, kuru piemērošanu </w:t>
      </w:r>
      <w:r>
        <w:rPr>
          <w:noProof/>
        </w:rPr>
        <w:t>prasītāja Puse bija apturējusi saskaņā ar 1. punktu.</w:t>
      </w:r>
    </w:p>
    <w:p w:rsidR="003E022D" w:rsidRDefault="007D19D6">
      <w:pPr>
        <w:pStyle w:val="Article"/>
        <w:rPr>
          <w:noProof/>
        </w:rPr>
      </w:pPr>
      <w:bookmarkStart w:id="912" w:name="_Toc58920396"/>
      <w:r>
        <w:rPr>
          <w:noProof/>
        </w:rPr>
        <w:t>LAW.DS.7. pants. Laikposmi</w:t>
      </w:r>
      <w:bookmarkEnd w:id="912"/>
    </w:p>
    <w:p w:rsidR="003E022D" w:rsidRDefault="007D19D6">
      <w:pPr>
        <w:numPr>
          <w:ilvl w:val="0"/>
          <w:numId w:val="184"/>
        </w:numPr>
        <w:ind w:left="0" w:firstLine="0"/>
        <w:rPr>
          <w:rFonts w:cstheme="minorHAnsi"/>
          <w:noProof/>
        </w:rPr>
      </w:pPr>
      <w:r>
        <w:rPr>
          <w:noProof/>
        </w:rPr>
        <w:t>Visus šajā sadaļā noteiktos laikposmus izsaka attiecīgi nedēļās vai mēnešos, skaitot no nākamās dienas pēc darbības, uz kuru tie attiecas.</w:t>
      </w:r>
    </w:p>
    <w:p w:rsidR="003E022D" w:rsidRDefault="007D19D6">
      <w:pPr>
        <w:rPr>
          <w:noProof/>
        </w:rPr>
      </w:pPr>
      <w:r>
        <w:rPr>
          <w:noProof/>
        </w:rPr>
        <w:t>2.</w:t>
      </w:r>
      <w:r>
        <w:rPr>
          <w:noProof/>
        </w:rPr>
        <w:tab/>
        <w:t>Jebkuru šajā sadaļā minēto laikpos</w:t>
      </w:r>
      <w:r>
        <w:rPr>
          <w:noProof/>
        </w:rPr>
        <w:t>mu var pagarināt, Pusēm savstarpēji vienojoties.</w:t>
      </w:r>
    </w:p>
    <w:p w:rsidR="003E022D" w:rsidRDefault="007D19D6">
      <w:pPr>
        <w:spacing w:after="0"/>
        <w:rPr>
          <w:rFonts w:asciiTheme="majorHAnsi" w:hAnsiTheme="majorHAnsi"/>
          <w:noProof/>
        </w:rPr>
      </w:pPr>
      <w:r>
        <w:rPr>
          <w:noProof/>
        </w:rPr>
        <w:br w:type="page"/>
      </w:r>
    </w:p>
    <w:p w:rsidR="003E022D" w:rsidRDefault="007D19D6">
      <w:pPr>
        <w:pStyle w:val="Heading1"/>
        <w:rPr>
          <w:noProof/>
        </w:rPr>
      </w:pPr>
      <w:bookmarkStart w:id="913" w:name="_Toc59988375"/>
      <w:r>
        <w:rPr>
          <w:noProof/>
        </w:rPr>
        <w:t>CETURTĀ DAĻA. TEMATISKĀ SADARBĪBA</w:t>
      </w:r>
      <w:bookmarkEnd w:id="913"/>
    </w:p>
    <w:p w:rsidR="003E022D" w:rsidRDefault="007D19D6">
      <w:pPr>
        <w:pStyle w:val="Title1"/>
        <w:rPr>
          <w:noProof/>
        </w:rPr>
      </w:pPr>
      <w:bookmarkStart w:id="914" w:name="_Toc59988376"/>
      <w:r>
        <w:rPr>
          <w:noProof/>
        </w:rPr>
        <w:t>I sadaļa. Veselības drošība</w:t>
      </w:r>
      <w:bookmarkEnd w:id="914"/>
    </w:p>
    <w:p w:rsidR="003E022D" w:rsidRDefault="007D19D6">
      <w:pPr>
        <w:pStyle w:val="Article"/>
        <w:rPr>
          <w:rFonts w:cs="Calibri"/>
          <w:noProof/>
        </w:rPr>
      </w:pPr>
      <w:r>
        <w:rPr>
          <w:noProof/>
        </w:rPr>
        <w:t>HS.1. pants. Sadarbība veselības drošības jomā</w:t>
      </w:r>
    </w:p>
    <w:p w:rsidR="003E022D" w:rsidRDefault="007D19D6">
      <w:pPr>
        <w:pStyle w:val="ListParagraph"/>
        <w:numPr>
          <w:ilvl w:val="0"/>
          <w:numId w:val="425"/>
        </w:numPr>
        <w:spacing w:line="276" w:lineRule="auto"/>
        <w:ind w:left="0" w:firstLine="0"/>
        <w:contextualSpacing w:val="0"/>
        <w:rPr>
          <w:rFonts w:cs="Calibri"/>
          <w:noProof/>
        </w:rPr>
      </w:pPr>
      <w:r>
        <w:rPr>
          <w:noProof/>
        </w:rPr>
        <w:t xml:space="preserve">Šajā pantā “nopietni pārrobežu veselības apdraudējumi” ir dzīvībai bīstams vai citādi nopietns bioloģiskas, ķīmiskas, ekoloģiskas vai nezināmas izcelsmes apdraudējums veselībai, kurš izplatās pāri vismaz vienas dalībvalsts un Apvienotās Karalistes robežām </w:t>
      </w:r>
      <w:r>
        <w:rPr>
          <w:noProof/>
        </w:rPr>
        <w:t xml:space="preserve">vai rada ievērojamu šādas izplatības risku. </w:t>
      </w:r>
    </w:p>
    <w:p w:rsidR="003E022D" w:rsidRDefault="007D19D6">
      <w:pPr>
        <w:pStyle w:val="ListParagraph"/>
        <w:numPr>
          <w:ilvl w:val="0"/>
          <w:numId w:val="425"/>
        </w:numPr>
        <w:spacing w:line="276" w:lineRule="auto"/>
        <w:ind w:left="0" w:firstLine="0"/>
        <w:contextualSpacing w:val="0"/>
        <w:rPr>
          <w:rFonts w:cs="Calibri"/>
          <w:noProof/>
        </w:rPr>
      </w:pPr>
      <w:r>
        <w:rPr>
          <w:noProof/>
        </w:rPr>
        <w:t xml:space="preserve">Puses informē viena otru par nopietna pārrobežu veselības apdraudējuma gadījumu, kas ietekmē otru Pusi, un cenšas to izdarīt savlaicīgi. </w:t>
      </w:r>
    </w:p>
    <w:p w:rsidR="003E022D" w:rsidRDefault="007D19D6">
      <w:pPr>
        <w:pStyle w:val="ListParagraph"/>
        <w:numPr>
          <w:ilvl w:val="0"/>
          <w:numId w:val="425"/>
        </w:numPr>
        <w:spacing w:line="276" w:lineRule="auto"/>
        <w:ind w:left="0" w:firstLine="0"/>
        <w:contextualSpacing w:val="0"/>
        <w:rPr>
          <w:rFonts w:cs="Calibri"/>
          <w:noProof/>
        </w:rPr>
      </w:pPr>
      <w:r>
        <w:rPr>
          <w:noProof/>
        </w:rPr>
        <w:t>Nopietna pārrobežu veselības apdraudējuma gadījumā Savienība, pamatojotie</w:t>
      </w:r>
      <w:r>
        <w:rPr>
          <w:noProof/>
        </w:rPr>
        <w:t xml:space="preserve">s uz Apvienotās Karalistes rakstisku pieprasījumu, var piešķirt Apvienotajai Karalistei </w:t>
      </w:r>
      <w:r>
        <w:rPr>
          <w:i/>
          <w:noProof/>
        </w:rPr>
        <w:t>ad hoc</w:t>
      </w:r>
      <w:r>
        <w:rPr>
          <w:noProof/>
        </w:rPr>
        <w:t xml:space="preserve"> piekļuvi Savienībā izveidotajai Agrīnās brīdināšanas un reaģēšanas sistēmai (“EWRS”), piekļuvi piešķir attiecībā uz konkrēto apdraudējumu, lai Pušu un dalībvalst</w:t>
      </w:r>
      <w:r>
        <w:rPr>
          <w:noProof/>
        </w:rPr>
        <w:t>u kompetentās iestādes varētu apmainīties ar attiecīgo informāciju, novērtēt sabiedrības veselības riskus un koordinēt pasākumus, kas varētu būt vajadzīgi sabiedrības veselības aizsardzībai. Savienība cenšas laikus atbildēt uz Apvienotās Karalistes rakstis</w:t>
      </w:r>
      <w:r>
        <w:rPr>
          <w:noProof/>
        </w:rPr>
        <w:t>ko pieprasījumu.</w:t>
      </w:r>
    </w:p>
    <w:p w:rsidR="003E022D" w:rsidRDefault="007D19D6">
      <w:pPr>
        <w:rPr>
          <w:rFonts w:cs="Calibri"/>
          <w:noProof/>
        </w:rPr>
      </w:pPr>
      <w:r>
        <w:rPr>
          <w:noProof/>
        </w:rPr>
        <w:t>Turklāt Savienība var aicināt Apvienoto Karalisti piedalīties Savienībā izveidotā komitejā, ko veido dalībvalstu pārstāvji ar mērķi atbalstīt informācijas apmaiņu un koordinēt ar nopietnu pārrobežu veselības apdraudējumu saistītus jautājum</w:t>
      </w:r>
      <w:r>
        <w:rPr>
          <w:noProof/>
        </w:rPr>
        <w:t xml:space="preserve">us. </w:t>
      </w:r>
    </w:p>
    <w:p w:rsidR="003E022D" w:rsidRDefault="007D19D6">
      <w:pPr>
        <w:rPr>
          <w:rFonts w:cs="Calibri"/>
          <w:noProof/>
        </w:rPr>
      </w:pPr>
      <w:r>
        <w:rPr>
          <w:noProof/>
        </w:rPr>
        <w:t xml:space="preserve">Abas vienošanās ir pagaidu vienošanās un jebkurā gadījumā nepārsniedz laikposmu, ko kāda no Pusēm pēc apspriešanās ar otru Pusi uzskata par nepieciešamu saistībā ar attiecīgo nopietno pārrobežu veselības apdraudējumu. </w:t>
      </w:r>
    </w:p>
    <w:p w:rsidR="003E022D" w:rsidRDefault="007D19D6">
      <w:pPr>
        <w:pStyle w:val="ListParagraph"/>
        <w:numPr>
          <w:ilvl w:val="0"/>
          <w:numId w:val="425"/>
        </w:numPr>
        <w:spacing w:line="276" w:lineRule="auto"/>
        <w:ind w:left="0" w:firstLine="0"/>
        <w:contextualSpacing w:val="0"/>
        <w:rPr>
          <w:noProof/>
        </w:rPr>
      </w:pPr>
      <w:r>
        <w:rPr>
          <w:noProof/>
        </w:rPr>
        <w:t>Lai veiktu 2. punktā minētās inf</w:t>
      </w:r>
      <w:r>
        <w:rPr>
          <w:noProof/>
        </w:rPr>
        <w:t>ormācijas apmaiņu un pieņemtu visus pieprasījumus, kas iesniegti saskaņā ar 3. punktu, katra Puse izraugās kontaktpunktu un par to paziņo otrai Pusei. Kontaktpunkts arī:</w:t>
      </w:r>
    </w:p>
    <w:p w:rsidR="003E022D" w:rsidRDefault="007D19D6">
      <w:pPr>
        <w:pStyle w:val="ListParagraph"/>
        <w:numPr>
          <w:ilvl w:val="1"/>
          <w:numId w:val="426"/>
        </w:numPr>
        <w:spacing w:line="276" w:lineRule="auto"/>
        <w:ind w:left="567" w:hanging="567"/>
        <w:contextualSpacing w:val="0"/>
        <w:rPr>
          <w:rFonts w:cs="Calibri"/>
          <w:noProof/>
        </w:rPr>
      </w:pPr>
      <w:r>
        <w:rPr>
          <w:noProof/>
        </w:rPr>
        <w:t>cenšas veicināt Pušu savstarpēju sapratni par to, vai apdraudējums ir nopietns pārrobe</w:t>
      </w:r>
      <w:r>
        <w:rPr>
          <w:noProof/>
        </w:rPr>
        <w:t>žu veselības apdraudējums;</w:t>
      </w:r>
    </w:p>
    <w:p w:rsidR="003E022D" w:rsidRDefault="007D19D6">
      <w:pPr>
        <w:pStyle w:val="ListParagraph"/>
        <w:numPr>
          <w:ilvl w:val="1"/>
          <w:numId w:val="426"/>
        </w:numPr>
        <w:spacing w:line="276" w:lineRule="auto"/>
        <w:ind w:left="567" w:hanging="567"/>
        <w:contextualSpacing w:val="0"/>
        <w:rPr>
          <w:rFonts w:cs="Calibri"/>
          <w:noProof/>
        </w:rPr>
      </w:pPr>
      <w:r>
        <w:rPr>
          <w:noProof/>
        </w:rPr>
        <w:t>cenšas panākt savstarpēji saskaņotus risinājumus jebkurām tehniskām problēmām, kas izriet no šīs sadaļas īstenošanas.</w:t>
      </w:r>
    </w:p>
    <w:p w:rsidR="003E022D" w:rsidRDefault="007D19D6">
      <w:pPr>
        <w:pStyle w:val="ListParagraph"/>
        <w:numPr>
          <w:ilvl w:val="0"/>
          <w:numId w:val="425"/>
        </w:numPr>
        <w:spacing w:line="276" w:lineRule="auto"/>
        <w:ind w:left="0" w:firstLine="0"/>
        <w:contextualSpacing w:val="0"/>
        <w:rPr>
          <w:rFonts w:cs="Calibri"/>
          <w:noProof/>
        </w:rPr>
      </w:pPr>
      <w:r>
        <w:rPr>
          <w:noProof/>
        </w:rPr>
        <w:t>Attiecīgajā piekļuves periodā, kas tai piešķirts saistībā ar konkrētu nopietnu pārrobežu veselības apdraudējumu</w:t>
      </w:r>
      <w:r>
        <w:rPr>
          <w:noProof/>
        </w:rPr>
        <w:t xml:space="preserve">, Apvienotā Karaliste ievēro visus piemērojamos </w:t>
      </w:r>
      <w:r>
        <w:rPr>
          <w:i/>
          <w:noProof/>
        </w:rPr>
        <w:t>EWRS</w:t>
      </w:r>
      <w:r>
        <w:rPr>
          <w:noProof/>
        </w:rPr>
        <w:t xml:space="preserve"> izmantošanas nosacījumus un 3. punktā minētās komitejas reglamentu. Ja pēc precizējošas informācijas apmaiņas starp Pusēm </w:t>
      </w:r>
    </w:p>
    <w:p w:rsidR="003E022D" w:rsidRDefault="007D19D6">
      <w:pPr>
        <w:pStyle w:val="ListParagraph"/>
        <w:numPr>
          <w:ilvl w:val="0"/>
          <w:numId w:val="427"/>
        </w:numPr>
        <w:spacing w:line="276" w:lineRule="auto"/>
        <w:ind w:left="567" w:hanging="567"/>
        <w:contextualSpacing w:val="0"/>
        <w:rPr>
          <w:rFonts w:cs="Calibri"/>
          <w:noProof/>
        </w:rPr>
      </w:pPr>
      <w:r>
        <w:rPr>
          <w:noProof/>
        </w:rPr>
        <w:t>Savienība uzskata, ka Apvienotā Karaliste nav ievērojusi iepriekš minētos nosacī</w:t>
      </w:r>
      <w:r>
        <w:rPr>
          <w:noProof/>
        </w:rPr>
        <w:t xml:space="preserve">jumus un reglamentu, Savienība var izbeigt attiecīgi Apvienotās Karalistes piekļuvi </w:t>
      </w:r>
      <w:r>
        <w:rPr>
          <w:i/>
          <w:noProof/>
        </w:rPr>
        <w:t>EWRS</w:t>
      </w:r>
      <w:r>
        <w:rPr>
          <w:noProof/>
        </w:rPr>
        <w:t xml:space="preserve"> vai tās dalību minētajā komitejā saistībā ar minētajiem draudiem;</w:t>
      </w:r>
    </w:p>
    <w:p w:rsidR="003E022D" w:rsidRDefault="007D19D6">
      <w:pPr>
        <w:pStyle w:val="ListParagraph"/>
        <w:numPr>
          <w:ilvl w:val="0"/>
          <w:numId w:val="427"/>
        </w:numPr>
        <w:spacing w:line="276" w:lineRule="auto"/>
        <w:ind w:left="567" w:hanging="567"/>
        <w:contextualSpacing w:val="0"/>
        <w:rPr>
          <w:rFonts w:cs="Calibri"/>
          <w:noProof/>
        </w:rPr>
      </w:pPr>
      <w:r>
        <w:rPr>
          <w:noProof/>
        </w:rPr>
        <w:t>Apvienotā Karaliste uzskata, ka tai nav pieņemami nosacījumi un reglaments, Apvienotā Karaliste var a</w:t>
      </w:r>
      <w:r>
        <w:rPr>
          <w:noProof/>
        </w:rPr>
        <w:t xml:space="preserve">ttiecīgi atsaukt savu dalību </w:t>
      </w:r>
      <w:r>
        <w:rPr>
          <w:i/>
          <w:noProof/>
        </w:rPr>
        <w:t>EWRS</w:t>
      </w:r>
      <w:r>
        <w:rPr>
          <w:noProof/>
        </w:rPr>
        <w:t xml:space="preserve"> vai savu dalību minētajā komitejā saistībā ar minētajiem draudiem. </w:t>
      </w:r>
    </w:p>
    <w:p w:rsidR="003E022D" w:rsidRDefault="007D19D6">
      <w:pPr>
        <w:pStyle w:val="ListParagraph"/>
        <w:numPr>
          <w:ilvl w:val="0"/>
          <w:numId w:val="425"/>
        </w:numPr>
        <w:spacing w:line="276" w:lineRule="auto"/>
        <w:ind w:left="0" w:firstLine="0"/>
        <w:contextualSpacing w:val="0"/>
        <w:rPr>
          <w:rFonts w:cs="Calibri"/>
          <w:noProof/>
        </w:rPr>
      </w:pPr>
      <w:r>
        <w:rPr>
          <w:noProof/>
        </w:rPr>
        <w:t>Ja tas ir Pušu kopīgās interesēs, Puses jautājumos par pastāvošu un jaunu veselības drošības apdraudējumu novēršanu, atklāšanu, sagatavošanos tiem un reaģ</w:t>
      </w:r>
      <w:r>
        <w:rPr>
          <w:noProof/>
        </w:rPr>
        <w:t xml:space="preserve">ēšanu uz tiem sadarbojas Starptautiskos forumos. </w:t>
      </w:r>
    </w:p>
    <w:p w:rsidR="003E022D" w:rsidRDefault="007D19D6">
      <w:pPr>
        <w:pStyle w:val="ListParagraph"/>
        <w:numPr>
          <w:ilvl w:val="0"/>
          <w:numId w:val="425"/>
        </w:numPr>
        <w:spacing w:line="276" w:lineRule="auto"/>
        <w:ind w:left="0" w:firstLine="0"/>
        <w:contextualSpacing w:val="0"/>
        <w:rPr>
          <w:rFonts w:cs="Calibri"/>
          <w:noProof/>
        </w:rPr>
      </w:pPr>
      <w:r>
        <w:rPr>
          <w:noProof/>
        </w:rPr>
        <w:t xml:space="preserve">Eiropas Slimību profilakses un kontroles centrs un attiecīgā Apvienotās Karalistes struktūra, kas atbildīga par uzraudzību, epidemioloģisko informāciju un zinātniskām konsultācijām par infekcijas slimībām, </w:t>
      </w:r>
      <w:r>
        <w:rPr>
          <w:noProof/>
        </w:rPr>
        <w:t>sadarbojas tehniskos un zinātniskos jautājumos, kuri ietilpst Pušu kopīgu interešu jomā, un var šim nolūkam noslēgt saprašanās memorandu.</w:t>
      </w:r>
    </w:p>
    <w:p w:rsidR="003E022D" w:rsidRDefault="003E022D">
      <w:pPr>
        <w:spacing w:after="0"/>
        <w:rPr>
          <w:rFonts w:asciiTheme="majorHAnsi" w:hAnsiTheme="majorHAnsi"/>
          <w:noProof/>
        </w:rPr>
      </w:pPr>
    </w:p>
    <w:p w:rsidR="003E022D" w:rsidRDefault="007D19D6">
      <w:pPr>
        <w:pStyle w:val="Title1"/>
        <w:rPr>
          <w:noProof/>
        </w:rPr>
      </w:pPr>
      <w:bookmarkStart w:id="915" w:name="_Toc59988377"/>
      <w:r>
        <w:rPr>
          <w:noProof/>
        </w:rPr>
        <w:t>II sadaļa. Kiberdrošība</w:t>
      </w:r>
      <w:bookmarkEnd w:id="915"/>
    </w:p>
    <w:p w:rsidR="003E022D" w:rsidRDefault="007D19D6">
      <w:pPr>
        <w:pStyle w:val="Article"/>
        <w:rPr>
          <w:rFonts w:cs="Calibri"/>
          <w:noProof/>
        </w:rPr>
      </w:pPr>
      <w:bookmarkStart w:id="916" w:name="_Toc32669569"/>
      <w:bookmarkStart w:id="917" w:name="_Toc33194206"/>
      <w:bookmarkStart w:id="918" w:name="_Toc33194829"/>
      <w:r>
        <w:rPr>
          <w:noProof/>
        </w:rPr>
        <w:t xml:space="preserve">CYB.1. pants. Dialogs par kiberjautājumiem </w:t>
      </w:r>
    </w:p>
    <w:p w:rsidR="003E022D" w:rsidRDefault="007D19D6">
      <w:pPr>
        <w:rPr>
          <w:rFonts w:eastAsia="Times New Roman" w:cs="Calibri"/>
          <w:noProof/>
        </w:rPr>
      </w:pPr>
      <w:r>
        <w:rPr>
          <w:noProof/>
        </w:rPr>
        <w:t>Puses cenšas izveidot regulāru dialogu, lai apmai</w:t>
      </w:r>
      <w:r>
        <w:rPr>
          <w:noProof/>
        </w:rPr>
        <w:t>nītos ar informāciju par attiecīgajām politikas norisēm, tai skaitā saistībā ar starptautisko drošību, jauno tehnoloģiju drošību, interneta pārvaldību, kiberdrošību, kiberaizsardzību un kibernoziedzību.</w:t>
      </w:r>
    </w:p>
    <w:p w:rsidR="003E022D" w:rsidRDefault="007D19D6">
      <w:pPr>
        <w:pStyle w:val="Article"/>
        <w:rPr>
          <w:rFonts w:cs="Calibri"/>
          <w:noProof/>
        </w:rPr>
      </w:pPr>
      <w:r>
        <w:rPr>
          <w:noProof/>
        </w:rPr>
        <w:t>CYB.2. pants. Sadarbība saistībā ar kiberjautājumiem</w:t>
      </w:r>
    </w:p>
    <w:p w:rsidR="003E022D" w:rsidRDefault="007D19D6">
      <w:pPr>
        <w:pStyle w:val="ListParagraph"/>
        <w:numPr>
          <w:ilvl w:val="0"/>
          <w:numId w:val="429"/>
        </w:numPr>
        <w:spacing w:line="276" w:lineRule="auto"/>
        <w:ind w:left="0" w:firstLine="0"/>
        <w:contextualSpacing w:val="0"/>
        <w:rPr>
          <w:rFonts w:cs="Calibri"/>
          <w:noProof/>
        </w:rPr>
      </w:pPr>
      <w:r>
        <w:rPr>
          <w:noProof/>
        </w:rPr>
        <w:t>Ja tas ir Pušu kopīgās interesēs, tās sadarbojas kiberjautājumu jomā, apmainoties ar paraugpraksi un īstenojot kopīgas praktiskas darbības ar mērķi veicināt un aizsargāt atvērtu, brīvu, stabilu, miermīlīgu un drošu kibertelpu, pamatojoties uz spēkā esošo s</w:t>
      </w:r>
      <w:r>
        <w:rPr>
          <w:noProof/>
        </w:rPr>
        <w:t xml:space="preserve">tarptautisko tiesību un normu piemērošanu attiecībā uz atbildīgu valsts rīcību un reģionālās kiberdrošības uzticības veidošanas pasākumiem. </w:t>
      </w:r>
    </w:p>
    <w:p w:rsidR="003E022D" w:rsidRDefault="007D19D6">
      <w:pPr>
        <w:pStyle w:val="ListParagraph"/>
        <w:numPr>
          <w:ilvl w:val="0"/>
          <w:numId w:val="429"/>
        </w:numPr>
        <w:spacing w:line="276" w:lineRule="auto"/>
        <w:ind w:left="0" w:firstLine="0"/>
        <w:contextualSpacing w:val="0"/>
        <w:rPr>
          <w:rFonts w:cs="Calibri"/>
          <w:noProof/>
        </w:rPr>
      </w:pPr>
      <w:r>
        <w:rPr>
          <w:noProof/>
        </w:rPr>
        <w:t>Puses arī cenšas sadarboties attiecīgās starptautiskajās struktūrās un forumos un cenšas stiprināt globālo kibernot</w:t>
      </w:r>
      <w:r>
        <w:rPr>
          <w:noProof/>
        </w:rPr>
        <w:t>urību un uzlabot trešo valstu spēju efektīvi apkarot kibernoziedzību.</w:t>
      </w:r>
    </w:p>
    <w:bookmarkEnd w:id="916"/>
    <w:bookmarkEnd w:id="917"/>
    <w:bookmarkEnd w:id="918"/>
    <w:p w:rsidR="003E022D" w:rsidRDefault="007D19D6">
      <w:pPr>
        <w:pStyle w:val="Article"/>
        <w:rPr>
          <w:rFonts w:cs="Calibri"/>
          <w:noProof/>
        </w:rPr>
      </w:pPr>
      <w:r>
        <w:rPr>
          <w:noProof/>
        </w:rPr>
        <w:t>CYB.3. pants. Sadarbība ar Eiropas Savienības datorapdraudējumu reaģēšanas vienību</w:t>
      </w:r>
    </w:p>
    <w:p w:rsidR="003E022D" w:rsidRDefault="007D19D6">
      <w:pPr>
        <w:rPr>
          <w:rFonts w:eastAsia="Times New Roman" w:cs="Calibri"/>
          <w:noProof/>
        </w:rPr>
      </w:pPr>
      <w:r>
        <w:rPr>
          <w:noProof/>
        </w:rPr>
        <w:t>Ar iepriekšēju ES iestāžu un aģentūru datorapdraudējumu reaģēšanas vienības (</w:t>
      </w:r>
      <w:r>
        <w:rPr>
          <w:i/>
          <w:noProof/>
        </w:rPr>
        <w:t>CERT-EU</w:t>
      </w:r>
      <w:r>
        <w:rPr>
          <w:noProof/>
        </w:rPr>
        <w:t xml:space="preserve">) valdes atļauju </w:t>
      </w:r>
      <w:r>
        <w:rPr>
          <w:i/>
          <w:noProof/>
        </w:rPr>
        <w:t>CE</w:t>
      </w:r>
      <w:r>
        <w:rPr>
          <w:i/>
          <w:noProof/>
        </w:rPr>
        <w:t>RT-EU</w:t>
      </w:r>
      <w:r>
        <w:rPr>
          <w:noProof/>
        </w:rPr>
        <w:t xml:space="preserve"> un Apvienotās Karalistes valsts datorapdraudējumu reaģēšanas vienība brīvprātīgi, savlaicīgi un savstarpēji sadarbojas, apmainoties ar informāciju par instrumentiem un metodēm, piemēram, tehniskiem paņēmieniem, taktiku un procedūrām, un paraugpraksi </w:t>
      </w:r>
      <w:r>
        <w:rPr>
          <w:noProof/>
        </w:rPr>
        <w:t>un informāciju par vispārīgiem apdraudējumiem un neaizsargātību.</w:t>
      </w:r>
    </w:p>
    <w:p w:rsidR="003E022D" w:rsidRDefault="007D19D6">
      <w:pPr>
        <w:pStyle w:val="Article"/>
        <w:rPr>
          <w:rFonts w:cs="Calibri"/>
          <w:noProof/>
        </w:rPr>
      </w:pPr>
      <w:r>
        <w:rPr>
          <w:noProof/>
        </w:rPr>
        <w:t>CYB.4. pants. Dalība sadarbības grupas, kas izveidota saskaņā ar Direktīvu (ES) 2016/1148, konkrētās darbībās</w:t>
      </w:r>
    </w:p>
    <w:p w:rsidR="003E022D" w:rsidRDefault="007D19D6">
      <w:pPr>
        <w:pStyle w:val="ListParagraph"/>
        <w:numPr>
          <w:ilvl w:val="0"/>
          <w:numId w:val="430"/>
        </w:numPr>
        <w:spacing w:line="276" w:lineRule="auto"/>
        <w:ind w:left="0" w:firstLine="0"/>
        <w:contextualSpacing w:val="0"/>
        <w:rPr>
          <w:rFonts w:cs="Calibri"/>
          <w:noProof/>
        </w:rPr>
      </w:pPr>
      <w:r>
        <w:rPr>
          <w:noProof/>
        </w:rPr>
        <w:t>Ar mērķi veicinātu sadarbību kiberdrošības jomā, vienlaikus nodrošinot Savienības</w:t>
      </w:r>
      <w:r>
        <w:rPr>
          <w:noProof/>
        </w:rPr>
        <w:t xml:space="preserve"> lēmumu pieņemšanas procesa autonomiju, Apvienotās Karalistes attiecīgās valsts iestādes var, pamatojoties uz sadarbības grupas priekšsēdētāja pēc apspriešanās ar Komisiju uzaicinājuma, ko Apvienotā Karaliste var arī lūgt, piedalīties šādās sadarbības grup</w:t>
      </w:r>
      <w:r>
        <w:rPr>
          <w:noProof/>
        </w:rPr>
        <w:t>as darbībās:</w:t>
      </w:r>
    </w:p>
    <w:p w:rsidR="003E022D" w:rsidRDefault="007D19D6">
      <w:pPr>
        <w:pStyle w:val="ListParagraph"/>
        <w:numPr>
          <w:ilvl w:val="0"/>
          <w:numId w:val="428"/>
        </w:numPr>
        <w:spacing w:line="276" w:lineRule="auto"/>
        <w:ind w:left="567" w:hanging="567"/>
        <w:contextualSpacing w:val="0"/>
        <w:rPr>
          <w:rFonts w:eastAsia="Times New Roman" w:cs="Calibri"/>
          <w:noProof/>
        </w:rPr>
      </w:pPr>
      <w:r>
        <w:rPr>
          <w:noProof/>
        </w:rPr>
        <w:t>apmainīties ar paraugpraksi spēju veidošanā, lai nodrošinātu tīklu un informācijas sistēmu drošību;</w:t>
      </w:r>
    </w:p>
    <w:p w:rsidR="003E022D" w:rsidRDefault="007D19D6">
      <w:pPr>
        <w:pStyle w:val="ListParagraph"/>
        <w:numPr>
          <w:ilvl w:val="0"/>
          <w:numId w:val="428"/>
        </w:numPr>
        <w:spacing w:line="276" w:lineRule="auto"/>
        <w:ind w:left="567" w:hanging="567"/>
        <w:contextualSpacing w:val="0"/>
        <w:rPr>
          <w:rFonts w:eastAsia="Times New Roman" w:cs="Calibri"/>
          <w:noProof/>
        </w:rPr>
      </w:pPr>
      <w:r>
        <w:rPr>
          <w:noProof/>
        </w:rPr>
        <w:t>apmainīties ar informāciju par mācībām saistībā ar tīklu un informācijas sistēmu drošību;</w:t>
      </w:r>
    </w:p>
    <w:p w:rsidR="003E022D" w:rsidRDefault="007D19D6">
      <w:pPr>
        <w:pStyle w:val="ListParagraph"/>
        <w:numPr>
          <w:ilvl w:val="0"/>
          <w:numId w:val="428"/>
        </w:numPr>
        <w:spacing w:line="276" w:lineRule="auto"/>
        <w:ind w:left="567" w:hanging="567"/>
        <w:contextualSpacing w:val="0"/>
        <w:rPr>
          <w:rFonts w:eastAsia="Times New Roman" w:cs="Calibri"/>
          <w:noProof/>
        </w:rPr>
      </w:pPr>
      <w:r>
        <w:rPr>
          <w:noProof/>
        </w:rPr>
        <w:t xml:space="preserve">apmainīties ar informāciju, pieredzi un paraugpraksi </w:t>
      </w:r>
      <w:r>
        <w:rPr>
          <w:noProof/>
        </w:rPr>
        <w:t>attiecībā uz riskiem un incidentiem;</w:t>
      </w:r>
    </w:p>
    <w:p w:rsidR="003E022D" w:rsidRDefault="007D19D6">
      <w:pPr>
        <w:pStyle w:val="ListParagraph"/>
        <w:numPr>
          <w:ilvl w:val="0"/>
          <w:numId w:val="428"/>
        </w:numPr>
        <w:spacing w:line="276" w:lineRule="auto"/>
        <w:ind w:left="567" w:hanging="567"/>
        <w:contextualSpacing w:val="0"/>
        <w:rPr>
          <w:rFonts w:eastAsia="Times New Roman" w:cs="Calibri"/>
          <w:noProof/>
        </w:rPr>
      </w:pPr>
      <w:r>
        <w:rPr>
          <w:noProof/>
        </w:rPr>
        <w:t>apmainīties ar informāciju un paraugpraksi saistībā ar informētības uzlabošanu, izglītības programmām un apmācību; un</w:t>
      </w:r>
    </w:p>
    <w:p w:rsidR="003E022D" w:rsidRDefault="007D19D6">
      <w:pPr>
        <w:pStyle w:val="ListParagraph"/>
        <w:numPr>
          <w:ilvl w:val="0"/>
          <w:numId w:val="428"/>
        </w:numPr>
        <w:spacing w:line="276" w:lineRule="auto"/>
        <w:ind w:left="567" w:hanging="567"/>
        <w:contextualSpacing w:val="0"/>
        <w:rPr>
          <w:rFonts w:eastAsia="Times New Roman" w:cs="Calibri"/>
          <w:noProof/>
        </w:rPr>
      </w:pPr>
      <w:r>
        <w:rPr>
          <w:noProof/>
        </w:rPr>
        <w:t>apmainīties ar informāciju un paraugpraksi saistībā ar pētījumiem par tīklu un informācijas sistēmu d</w:t>
      </w:r>
      <w:r>
        <w:rPr>
          <w:noProof/>
        </w:rPr>
        <w:t>rošību un pilnveidošanu.</w:t>
      </w:r>
    </w:p>
    <w:p w:rsidR="003E022D" w:rsidRDefault="007D19D6">
      <w:pPr>
        <w:pStyle w:val="ListParagraph"/>
        <w:numPr>
          <w:ilvl w:val="0"/>
          <w:numId w:val="430"/>
        </w:numPr>
        <w:spacing w:line="276" w:lineRule="auto"/>
        <w:ind w:left="0" w:firstLine="0"/>
        <w:contextualSpacing w:val="0"/>
        <w:rPr>
          <w:rFonts w:cs="Calibri"/>
          <w:noProof/>
        </w:rPr>
      </w:pPr>
      <w:r>
        <w:rPr>
          <w:noProof/>
        </w:rPr>
        <w:t>Visa apmaiņa ar informāciju, pieredzi vai paraugpraksi starp Sadarbības grupu un Apvienotās Karalistes attiecīgajām valsts iestādēm ir brīvprātīga un attiecīgā gadījumā savstarpēja.</w:t>
      </w:r>
    </w:p>
    <w:p w:rsidR="003E022D" w:rsidRDefault="007D19D6">
      <w:pPr>
        <w:pStyle w:val="Article"/>
        <w:rPr>
          <w:rFonts w:cs="Calibri"/>
          <w:noProof/>
        </w:rPr>
      </w:pPr>
      <w:r>
        <w:rPr>
          <w:noProof/>
        </w:rPr>
        <w:t>CYB.5. pants. Sadarbība ar ES Kiberdrošības aģent</w:t>
      </w:r>
      <w:r>
        <w:rPr>
          <w:noProof/>
        </w:rPr>
        <w:t>ūru (</w:t>
      </w:r>
      <w:r>
        <w:rPr>
          <w:i/>
          <w:noProof/>
        </w:rPr>
        <w:t>ENISA</w:t>
      </w:r>
      <w:r>
        <w:rPr>
          <w:noProof/>
        </w:rPr>
        <w:t>)</w:t>
      </w:r>
    </w:p>
    <w:p w:rsidR="003E022D" w:rsidRDefault="007D19D6">
      <w:pPr>
        <w:pStyle w:val="ListParagraph"/>
        <w:numPr>
          <w:ilvl w:val="0"/>
          <w:numId w:val="431"/>
        </w:numPr>
        <w:spacing w:line="276" w:lineRule="auto"/>
        <w:ind w:left="0" w:firstLine="0"/>
        <w:contextualSpacing w:val="0"/>
        <w:rPr>
          <w:rFonts w:cs="Calibri"/>
          <w:noProof/>
        </w:rPr>
      </w:pPr>
      <w:r>
        <w:rPr>
          <w:noProof/>
        </w:rPr>
        <w:t>Ar mērķi veicināt sadarbību kiberdrošības jomā, vienlaikus nodrošinot Savienības lēmumu pieņemšanas procesa autonomiju, Apvienotā Karaliste var, pamatojoties uz ES Kiberdrošības aģentūras (</w:t>
      </w:r>
      <w:r>
        <w:rPr>
          <w:i/>
          <w:noProof/>
        </w:rPr>
        <w:t>ENISA</w:t>
      </w:r>
      <w:r>
        <w:rPr>
          <w:noProof/>
        </w:rPr>
        <w:t xml:space="preserve">) valdes uzaicinājumu, ko Apvienotā Karaliste var </w:t>
      </w:r>
      <w:r>
        <w:rPr>
          <w:noProof/>
        </w:rPr>
        <w:t xml:space="preserve">arī lūgt, piedalīties </w:t>
      </w:r>
      <w:r>
        <w:rPr>
          <w:i/>
          <w:noProof/>
        </w:rPr>
        <w:t>ENISA</w:t>
      </w:r>
      <w:r>
        <w:rPr>
          <w:noProof/>
        </w:rPr>
        <w:t xml:space="preserve"> veiktās darbībās šādās jomās:</w:t>
      </w:r>
    </w:p>
    <w:p w:rsidR="003E022D" w:rsidRDefault="007D19D6">
      <w:pPr>
        <w:pStyle w:val="ListParagraph"/>
        <w:numPr>
          <w:ilvl w:val="0"/>
          <w:numId w:val="432"/>
        </w:numPr>
        <w:spacing w:line="276" w:lineRule="auto"/>
        <w:ind w:left="567" w:hanging="567"/>
        <w:contextualSpacing w:val="0"/>
        <w:rPr>
          <w:rFonts w:eastAsia="Times New Roman" w:cs="Calibri"/>
          <w:noProof/>
        </w:rPr>
      </w:pPr>
      <w:r>
        <w:rPr>
          <w:noProof/>
        </w:rPr>
        <w:t>spēju veidošana;</w:t>
      </w:r>
    </w:p>
    <w:p w:rsidR="003E022D" w:rsidRDefault="007D19D6">
      <w:pPr>
        <w:pStyle w:val="ListParagraph"/>
        <w:numPr>
          <w:ilvl w:val="0"/>
          <w:numId w:val="432"/>
        </w:numPr>
        <w:spacing w:line="276" w:lineRule="auto"/>
        <w:ind w:left="567" w:hanging="567"/>
        <w:contextualSpacing w:val="0"/>
        <w:rPr>
          <w:rFonts w:eastAsia="Times New Roman" w:cs="Calibri"/>
          <w:noProof/>
        </w:rPr>
      </w:pPr>
      <w:r>
        <w:rPr>
          <w:noProof/>
        </w:rPr>
        <w:t>zināšanas un informācija; un</w:t>
      </w:r>
    </w:p>
    <w:p w:rsidR="003E022D" w:rsidRDefault="007D19D6">
      <w:pPr>
        <w:pStyle w:val="ListParagraph"/>
        <w:numPr>
          <w:ilvl w:val="0"/>
          <w:numId w:val="432"/>
        </w:numPr>
        <w:spacing w:line="276" w:lineRule="auto"/>
        <w:ind w:left="567" w:hanging="567"/>
        <w:contextualSpacing w:val="0"/>
        <w:rPr>
          <w:rFonts w:eastAsia="Times New Roman" w:cs="Calibri"/>
          <w:noProof/>
        </w:rPr>
      </w:pPr>
      <w:r>
        <w:rPr>
          <w:noProof/>
        </w:rPr>
        <w:t>informētības uzlabošana un izglītošana.</w:t>
      </w:r>
    </w:p>
    <w:p w:rsidR="003E022D" w:rsidRDefault="007D19D6">
      <w:pPr>
        <w:pStyle w:val="ListParagraph"/>
        <w:numPr>
          <w:ilvl w:val="0"/>
          <w:numId w:val="431"/>
        </w:numPr>
        <w:spacing w:line="276" w:lineRule="auto"/>
        <w:ind w:left="0" w:firstLine="0"/>
        <w:contextualSpacing w:val="0"/>
        <w:rPr>
          <w:rFonts w:cs="Calibri"/>
          <w:noProof/>
        </w:rPr>
      </w:pPr>
      <w:r>
        <w:rPr>
          <w:noProof/>
        </w:rPr>
        <w:t xml:space="preserve">Nosacījumus Apvienotās Karalistes dalībai 1. punktā minētajās </w:t>
      </w:r>
      <w:r>
        <w:rPr>
          <w:i/>
          <w:noProof/>
        </w:rPr>
        <w:t>ENISA</w:t>
      </w:r>
      <w:r>
        <w:rPr>
          <w:noProof/>
        </w:rPr>
        <w:t xml:space="preserve"> darbībās, tai skaitā atbilstīgu finansiālo ieguldījumu, nosaka darba vienošanās, ko pēc Komisijas iepriekšēja apstiprinājuma un saskaņojuma ar Apvienoto Karalisti pieņem </w:t>
      </w:r>
      <w:r>
        <w:rPr>
          <w:i/>
          <w:noProof/>
        </w:rPr>
        <w:t>ENISA</w:t>
      </w:r>
      <w:r>
        <w:rPr>
          <w:noProof/>
        </w:rPr>
        <w:t xml:space="preserve"> valde. </w:t>
      </w:r>
    </w:p>
    <w:p w:rsidR="003E022D" w:rsidRDefault="007D19D6">
      <w:pPr>
        <w:pStyle w:val="ListParagraph"/>
        <w:numPr>
          <w:ilvl w:val="0"/>
          <w:numId w:val="431"/>
        </w:numPr>
        <w:spacing w:line="276" w:lineRule="auto"/>
        <w:ind w:left="0" w:firstLine="0"/>
        <w:contextualSpacing w:val="0"/>
        <w:rPr>
          <w:rFonts w:cs="Calibri"/>
          <w:noProof/>
        </w:rPr>
      </w:pPr>
      <w:r>
        <w:rPr>
          <w:noProof/>
        </w:rPr>
        <w:t xml:space="preserve">Apmaiņa ar informāciju, pieredzi un paraugpraksi starp </w:t>
      </w:r>
      <w:r>
        <w:rPr>
          <w:i/>
          <w:noProof/>
        </w:rPr>
        <w:t>ENISA</w:t>
      </w:r>
      <w:r>
        <w:rPr>
          <w:noProof/>
        </w:rPr>
        <w:t xml:space="preserve"> un Apvienoto Karalisti ir brīvprātīga un attiecīgā gadījumā savstarpēja. </w:t>
      </w:r>
    </w:p>
    <w:p w:rsidR="003E022D" w:rsidRDefault="003E022D">
      <w:pPr>
        <w:spacing w:after="0"/>
        <w:rPr>
          <w:rFonts w:eastAsia="Calibri" w:cs="Calibri"/>
          <w:noProof/>
        </w:rPr>
      </w:pPr>
    </w:p>
    <w:p w:rsidR="003E022D" w:rsidRDefault="007D19D6">
      <w:pPr>
        <w:spacing w:after="0"/>
        <w:rPr>
          <w:rFonts w:asciiTheme="majorHAnsi" w:hAnsiTheme="majorHAnsi"/>
          <w:noProof/>
        </w:rPr>
      </w:pPr>
      <w:r>
        <w:rPr>
          <w:noProof/>
        </w:rPr>
        <w:br w:type="page"/>
      </w:r>
    </w:p>
    <w:p w:rsidR="003E022D" w:rsidRDefault="007D19D6">
      <w:pPr>
        <w:pStyle w:val="Heading1"/>
        <w:rPr>
          <w:noProof/>
        </w:rPr>
      </w:pPr>
      <w:bookmarkStart w:id="919" w:name="_Toc59988378"/>
      <w:r>
        <w:rPr>
          <w:noProof/>
        </w:rPr>
        <w:t>PIEKTĀ DAĻA. DALĪBA SAVIENĪBAS PROGRAMMĀS, PAREIZA FINANŠU PĀRVALDĪBA UN FINANŠU NOTEIKUMI</w:t>
      </w:r>
      <w:bookmarkEnd w:id="919"/>
    </w:p>
    <w:p w:rsidR="003E022D" w:rsidRDefault="007D19D6">
      <w:pPr>
        <w:pStyle w:val="Article"/>
        <w:rPr>
          <w:noProof/>
        </w:rPr>
      </w:pPr>
      <w:r>
        <w:rPr>
          <w:noProof/>
        </w:rPr>
        <w:t>UNPRO.0.1. pants. Darbības joma</w:t>
      </w:r>
    </w:p>
    <w:p w:rsidR="003E022D" w:rsidRDefault="007D19D6">
      <w:pPr>
        <w:numPr>
          <w:ilvl w:val="0"/>
          <w:numId w:val="449"/>
        </w:numPr>
        <w:ind w:left="0" w:firstLine="0"/>
        <w:rPr>
          <w:rFonts w:cs="Calibri"/>
          <w:noProof/>
        </w:rPr>
      </w:pPr>
      <w:r>
        <w:rPr>
          <w:noProof/>
          <w:color w:val="000000"/>
        </w:rPr>
        <w:t>Šī Daļa attiecas uz Apvienotās Karalistes dalību Savien</w:t>
      </w:r>
      <w:r>
        <w:rPr>
          <w:noProof/>
          <w:color w:val="000000"/>
        </w:rPr>
        <w:t>ības programmās, to darbībās un pakalpojumos, attiecībā uz kuriem Puses ir vienojušās par Apvienotās Karalistes dalību.</w:t>
      </w:r>
    </w:p>
    <w:p w:rsidR="003E022D" w:rsidRDefault="007D19D6">
      <w:pPr>
        <w:numPr>
          <w:ilvl w:val="0"/>
          <w:numId w:val="449"/>
        </w:numPr>
        <w:ind w:left="0" w:firstLine="0"/>
        <w:rPr>
          <w:rFonts w:cs="Calibri"/>
          <w:noProof/>
        </w:rPr>
      </w:pPr>
      <w:r>
        <w:rPr>
          <w:noProof/>
          <w:color w:val="000000"/>
        </w:rPr>
        <w:t xml:space="preserve">Šo </w:t>
      </w:r>
      <w:r>
        <w:rPr>
          <w:noProof/>
          <w:color w:val="000000"/>
          <w:u w:color="000000"/>
        </w:rPr>
        <w:t>Daļu</w:t>
      </w:r>
      <w:r>
        <w:rPr>
          <w:noProof/>
          <w:color w:val="000000"/>
        </w:rPr>
        <w:t xml:space="preserve"> nepiemēro Apvienotās Karalistes dalībai Eiropas teritoriālās sadarbības mērķa kohēzijas programmās vai līdzīgās programmās ar tā</w:t>
      </w:r>
      <w:r>
        <w:rPr>
          <w:noProof/>
          <w:color w:val="000000"/>
        </w:rPr>
        <w:t>du pašu mērķi, kas notiek, pamatojoties uz vienas vai vairāku Savienības iestāžu tiesību pamataktiem, kurus piemēro minētajām programmām.</w:t>
      </w:r>
      <w:r>
        <w:rPr>
          <w:noProof/>
        </w:rPr>
        <w:t xml:space="preserve"> </w:t>
      </w:r>
    </w:p>
    <w:p w:rsidR="003E022D" w:rsidRDefault="007D19D6">
      <w:pPr>
        <w:rPr>
          <w:rFonts w:cs="Calibri"/>
          <w:noProof/>
        </w:rPr>
      </w:pPr>
      <w:r>
        <w:rPr>
          <w:noProof/>
          <w:color w:val="000000"/>
        </w:rPr>
        <w:t xml:space="preserve">Piemērojamos nosacījumus dalībai </w:t>
      </w:r>
      <w:r>
        <w:rPr>
          <w:noProof/>
          <w:color w:val="000000"/>
          <w:u w:color="000000"/>
        </w:rPr>
        <w:t>pirmajā daļā</w:t>
      </w:r>
      <w:r>
        <w:rPr>
          <w:noProof/>
          <w:color w:val="000000"/>
        </w:rPr>
        <w:t xml:space="preserve"> minētajās programmās norāda piemērojamajā pamataktā un saskaņā ar to no</w:t>
      </w:r>
      <w:r>
        <w:rPr>
          <w:noProof/>
          <w:color w:val="000000"/>
        </w:rPr>
        <w:t xml:space="preserve">slēgtajā finansēšanas nolīgumā. </w:t>
      </w:r>
      <w:r>
        <w:rPr>
          <w:noProof/>
        </w:rPr>
        <w:t xml:space="preserve">Puses vienojas par noteikumiem, kuriem ir līdzīga ietekme kā </w:t>
      </w:r>
      <w:r>
        <w:rPr>
          <w:noProof/>
          <w:u w:color="000000"/>
        </w:rPr>
        <w:t>otrajai nodaļai [Pareiza finanšu pārvaldība]</w:t>
      </w:r>
      <w:r>
        <w:rPr>
          <w:noProof/>
        </w:rPr>
        <w:t xml:space="preserve"> un kuri attiecas uz Apvienotās Karalistes dalību šajās programmās.</w:t>
      </w:r>
    </w:p>
    <w:p w:rsidR="003E022D" w:rsidRDefault="007D19D6">
      <w:pPr>
        <w:pStyle w:val="Article"/>
        <w:rPr>
          <w:noProof/>
        </w:rPr>
      </w:pPr>
      <w:r>
        <w:rPr>
          <w:noProof/>
        </w:rPr>
        <w:t xml:space="preserve">UNPRO.0.2. pants. </w:t>
      </w:r>
      <w:r>
        <w:rPr>
          <w:noProof/>
          <w:color w:val="000000"/>
        </w:rPr>
        <w:t>Definīcijas</w:t>
      </w:r>
    </w:p>
    <w:p w:rsidR="003E022D" w:rsidRDefault="007D19D6">
      <w:pPr>
        <w:rPr>
          <w:rFonts w:cs="Calibri"/>
          <w:noProof/>
        </w:rPr>
      </w:pPr>
      <w:r>
        <w:rPr>
          <w:noProof/>
          <w:color w:val="000000"/>
        </w:rPr>
        <w:t xml:space="preserve">Šajā </w:t>
      </w:r>
      <w:r>
        <w:rPr>
          <w:noProof/>
          <w:color w:val="000000"/>
          <w:u w:color="000000"/>
        </w:rPr>
        <w:t>Daļā</w:t>
      </w:r>
      <w:r>
        <w:rPr>
          <w:noProof/>
          <w:color w:val="000000"/>
        </w:rPr>
        <w:t xml:space="preserve"> piemēro šād</w:t>
      </w:r>
      <w:r>
        <w:rPr>
          <w:noProof/>
          <w:color w:val="000000"/>
        </w:rPr>
        <w:t>as definīcijas:</w:t>
      </w:r>
    </w:p>
    <w:p w:rsidR="003E022D" w:rsidRDefault="007D19D6">
      <w:pPr>
        <w:widowControl w:val="0"/>
        <w:numPr>
          <w:ilvl w:val="0"/>
          <w:numId w:val="436"/>
        </w:numPr>
        <w:tabs>
          <w:tab w:val="left" w:pos="758"/>
        </w:tabs>
        <w:spacing w:line="307" w:lineRule="exact"/>
        <w:ind w:left="567" w:hanging="567"/>
        <w:rPr>
          <w:rFonts w:eastAsia="Calibri" w:cs="Calibri"/>
          <w:noProof/>
          <w:color w:val="000000"/>
        </w:rPr>
      </w:pPr>
      <w:r>
        <w:rPr>
          <w:noProof/>
          <w:color w:val="000000"/>
        </w:rPr>
        <w:t xml:space="preserve">“pamatakts” ir: </w:t>
      </w:r>
    </w:p>
    <w:p w:rsidR="003E022D" w:rsidRDefault="007D19D6">
      <w:pPr>
        <w:widowControl w:val="0"/>
        <w:numPr>
          <w:ilvl w:val="0"/>
          <w:numId w:val="470"/>
        </w:numPr>
        <w:tabs>
          <w:tab w:val="left" w:pos="758"/>
        </w:tabs>
        <w:rPr>
          <w:rFonts w:eastAsia="Calibri" w:cs="Calibri"/>
          <w:noProof/>
          <w:color w:val="000000"/>
        </w:rPr>
      </w:pPr>
      <w:r>
        <w:rPr>
          <w:noProof/>
          <w:color w:val="000000"/>
        </w:rPr>
        <w:t>vienas vai vairāku Savienības iestāžu tiesību akts, ar ko izveido programmu vai darbību un kas nodrošina juridisko pamatu darbībai un attiecīgo Savienības budžetā iekļauto izdevumu vai no Savienības budžeta segtās budžeta g</w:t>
      </w:r>
      <w:r>
        <w:rPr>
          <w:noProof/>
          <w:color w:val="000000"/>
        </w:rPr>
        <w:t xml:space="preserve">arantijas īstenošanai, tostarp visi tā grozījumi un visi attiecīgie Savienības iestādes akti, kas to papildina vai īsteno, izņemot tos, ar kuriem pieņem darba programmas, vai </w:t>
      </w:r>
    </w:p>
    <w:p w:rsidR="003E022D" w:rsidRDefault="007D19D6">
      <w:pPr>
        <w:widowControl w:val="0"/>
        <w:numPr>
          <w:ilvl w:val="0"/>
          <w:numId w:val="470"/>
        </w:numPr>
        <w:tabs>
          <w:tab w:val="left" w:pos="758"/>
        </w:tabs>
        <w:rPr>
          <w:rFonts w:eastAsia="Calibri" w:cs="Calibri"/>
          <w:noProof/>
          <w:color w:val="000000"/>
        </w:rPr>
      </w:pPr>
      <w:r>
        <w:rPr>
          <w:noProof/>
          <w:color w:val="000000"/>
        </w:rPr>
        <w:t>vienas vai vairāku Savienības iestāžu akts, ar ko nosaka no Savienības budžeta f</w:t>
      </w:r>
      <w:r>
        <w:rPr>
          <w:noProof/>
          <w:color w:val="000000"/>
        </w:rPr>
        <w:t xml:space="preserve">inansētu darbību, kas nav programma; </w:t>
      </w:r>
    </w:p>
    <w:p w:rsidR="003E022D" w:rsidRDefault="007D19D6">
      <w:pPr>
        <w:numPr>
          <w:ilvl w:val="0"/>
          <w:numId w:val="436"/>
        </w:numPr>
        <w:ind w:left="567" w:hanging="567"/>
        <w:rPr>
          <w:rFonts w:cs="Calibri"/>
          <w:noProof/>
        </w:rPr>
      </w:pPr>
      <w:bookmarkStart w:id="920" w:name="bookmark110"/>
      <w:r>
        <w:rPr>
          <w:noProof/>
          <w:color w:val="000000"/>
        </w:rPr>
        <w:t xml:space="preserve">"finansēšanas nolīgumi" ir nolīgumi, kas saistīti ar Savienības programmām un darbībām saskaņā ar </w:t>
      </w:r>
      <w:r>
        <w:rPr>
          <w:noProof/>
          <w:color w:val="000000"/>
          <w:u w:color="000000"/>
        </w:rPr>
        <w:t>I protokolu</w:t>
      </w:r>
      <w:r>
        <w:rPr>
          <w:noProof/>
          <w:color w:val="000000"/>
        </w:rPr>
        <w:t xml:space="preserve">, ar kuriem īsteno Savienības līdzekļus, piemēram, dotāciju </w:t>
      </w:r>
      <w:r>
        <w:rPr>
          <w:noProof/>
        </w:rPr>
        <w:t>nolīgumi</w:t>
      </w:r>
      <w:r>
        <w:rPr>
          <w:noProof/>
          <w:color w:val="000000"/>
        </w:rPr>
        <w:t>, iemaksu nolīgumi, finanšu pamatpartnerī</w:t>
      </w:r>
      <w:r>
        <w:rPr>
          <w:noProof/>
          <w:color w:val="000000"/>
        </w:rPr>
        <w:t>bas nolīgumi, finansēšanas nolīgumi un garantijas nolīgumi,</w:t>
      </w:r>
      <w:r>
        <w:rPr>
          <w:noProof/>
        </w:rPr>
        <w:t xml:space="preserve"> </w:t>
      </w:r>
    </w:p>
    <w:p w:rsidR="003E022D" w:rsidRDefault="007D19D6">
      <w:pPr>
        <w:numPr>
          <w:ilvl w:val="0"/>
          <w:numId w:val="436"/>
        </w:numPr>
        <w:ind w:left="567" w:hanging="567"/>
        <w:rPr>
          <w:rFonts w:cs="Calibri"/>
          <w:noProof/>
        </w:rPr>
      </w:pPr>
      <w:r>
        <w:rPr>
          <w:noProof/>
        </w:rPr>
        <w:t>"citi noteikumi, kas attiecas uz Savienības programmas un darbības īstenošanu" ir noteikumi, kas paredzēti Eiropas Parlamenta un Padomes Regulā (ES, Euratom) 2018/1046</w:t>
      </w:r>
      <w:r>
        <w:rPr>
          <w:rFonts w:asciiTheme="minorHAnsi" w:hAnsiTheme="minorHAnsi"/>
          <w:noProof/>
          <w:vertAlign w:val="superscript"/>
        </w:rPr>
        <w:footnoteReference w:id="85"/>
      </w:r>
      <w:r>
        <w:rPr>
          <w:noProof/>
        </w:rPr>
        <w:t xml:space="preserve"> (Finanšu regula), ko piemēro Savienības vispārējam budžetam, un darba programmā </w:t>
      </w:r>
      <w:r>
        <w:rPr>
          <w:noProof/>
          <w:color w:val="000000"/>
        </w:rPr>
        <w:t>vai</w:t>
      </w:r>
      <w:r>
        <w:rPr>
          <w:noProof/>
        </w:rPr>
        <w:t xml:space="preserve"> uzaicinājumos vai citās Savienības piešķiršanas procedūrās.</w:t>
      </w:r>
    </w:p>
    <w:p w:rsidR="003E022D" w:rsidRDefault="007D19D6">
      <w:pPr>
        <w:numPr>
          <w:ilvl w:val="0"/>
          <w:numId w:val="436"/>
        </w:numPr>
        <w:ind w:left="567" w:hanging="567"/>
        <w:rPr>
          <w:rFonts w:cs="Calibri"/>
          <w:noProof/>
        </w:rPr>
      </w:pPr>
      <w:r>
        <w:rPr>
          <w:noProof/>
        </w:rPr>
        <w:t>“Savienība” ir Savienība vai Eiropas Atomenerģijas kopiena vai abas kopā – atkarībā no konteksta;</w:t>
      </w:r>
    </w:p>
    <w:p w:rsidR="003E022D" w:rsidRDefault="007D19D6">
      <w:pPr>
        <w:numPr>
          <w:ilvl w:val="0"/>
          <w:numId w:val="436"/>
        </w:numPr>
        <w:ind w:left="567" w:hanging="567"/>
        <w:rPr>
          <w:rFonts w:cs="Calibri"/>
          <w:noProof/>
        </w:rPr>
      </w:pPr>
      <w:r>
        <w:rPr>
          <w:noProof/>
        </w:rPr>
        <w:t>"Savienības p</w:t>
      </w:r>
      <w:r>
        <w:rPr>
          <w:noProof/>
        </w:rPr>
        <w:t>iešķiršanas procedūra" ir Savienības finansējuma piešķiršanas procedūra, ko uzsāk Savienība vai personas vai subjekti, kam uzticēta Savienības līdzekļu īstenošana</w:t>
      </w:r>
      <w:bookmarkEnd w:id="920"/>
      <w:r>
        <w:rPr>
          <w:noProof/>
        </w:rPr>
        <w:t>;</w:t>
      </w:r>
    </w:p>
    <w:p w:rsidR="003E022D" w:rsidRDefault="007D19D6">
      <w:pPr>
        <w:numPr>
          <w:ilvl w:val="0"/>
          <w:numId w:val="436"/>
        </w:numPr>
        <w:ind w:left="567" w:hanging="567"/>
        <w:rPr>
          <w:rFonts w:cs="Calibri"/>
          <w:noProof/>
        </w:rPr>
      </w:pPr>
      <w:r>
        <w:rPr>
          <w:noProof/>
        </w:rPr>
        <w:t>"Apvienotās Karalistes subjekts" ir jebkura veida subjekts (fiziska persona, juridiska perso</w:t>
      </w:r>
      <w:r>
        <w:rPr>
          <w:noProof/>
        </w:rPr>
        <w:t xml:space="preserve">na vai cita veida subjekts), kas var piedalīties </w:t>
      </w:r>
      <w:r>
        <w:rPr>
          <w:noProof/>
          <w:color w:val="000000"/>
        </w:rPr>
        <w:t>Savienības programmas vai darbības</w:t>
      </w:r>
      <w:r>
        <w:rPr>
          <w:noProof/>
        </w:rPr>
        <w:t xml:space="preserve"> pasākumos saskaņā ar pamataktu un kas dzīvo vai veic uzņēmējdarbību Apvienotajā Karalistē;</w:t>
      </w:r>
    </w:p>
    <w:p w:rsidR="003E022D" w:rsidRDefault="007D19D6">
      <w:pPr>
        <w:pStyle w:val="Chapter"/>
        <w:rPr>
          <w:noProof/>
        </w:rPr>
      </w:pPr>
      <w:r>
        <w:rPr>
          <w:noProof/>
        </w:rPr>
        <w:t>1. nodaļa. Apvienotās Karalistes dalība Savienības programmās un darbībās</w:t>
      </w:r>
    </w:p>
    <w:p w:rsidR="003E022D" w:rsidRDefault="007D19D6">
      <w:pPr>
        <w:pStyle w:val="Section"/>
        <w:rPr>
          <w:noProof/>
        </w:rPr>
      </w:pPr>
      <w:r>
        <w:rPr>
          <w:noProof/>
        </w:rPr>
        <w:t>1. iedaļa. Vispārīgi nosacījumi dalībai Savienības programmās un darbībās</w:t>
      </w:r>
    </w:p>
    <w:p w:rsidR="003E022D" w:rsidRDefault="007D19D6">
      <w:pPr>
        <w:pStyle w:val="Article"/>
        <w:rPr>
          <w:noProof/>
        </w:rPr>
      </w:pPr>
      <w:r>
        <w:rPr>
          <w:noProof/>
        </w:rPr>
        <w:t>UNPRO 1.3. pants. Dalības noteikšana</w:t>
      </w:r>
    </w:p>
    <w:p w:rsidR="003E022D" w:rsidRDefault="007D19D6">
      <w:pPr>
        <w:numPr>
          <w:ilvl w:val="0"/>
          <w:numId w:val="435"/>
        </w:numPr>
        <w:rPr>
          <w:rFonts w:cs="Calibri"/>
          <w:noProof/>
        </w:rPr>
      </w:pPr>
      <w:r>
        <w:rPr>
          <w:noProof/>
          <w:color w:val="000000"/>
        </w:rPr>
        <w:t>Apvienotā</w:t>
      </w:r>
      <w:r>
        <w:rPr>
          <w:noProof/>
        </w:rPr>
        <w:t xml:space="preserve"> Karaliste </w:t>
      </w:r>
      <w:r>
        <w:rPr>
          <w:noProof/>
          <w:color w:val="000000"/>
        </w:rPr>
        <w:t>piedalās un sniedz ieguldījumu Savienības programmās, darbībās vai – izņēmuma gadījumos – Savienības programmu vai darbību da</w:t>
      </w:r>
      <w:r>
        <w:rPr>
          <w:noProof/>
          <w:color w:val="000000"/>
        </w:rPr>
        <w:t xml:space="preserve">ļā, kurā var piedalīties Apvienotā Karaliste un kura ir uzskaitīta </w:t>
      </w:r>
      <w:r>
        <w:rPr>
          <w:noProof/>
          <w:color w:val="000000"/>
          <w:u w:color="000000"/>
        </w:rPr>
        <w:t>I protokolā [Programmas un pasākumi, kuros piedalās Apvienotā Karaliste]</w:t>
      </w:r>
      <w:r>
        <w:rPr>
          <w:noProof/>
          <w:color w:val="000000"/>
        </w:rPr>
        <w:t>.</w:t>
      </w:r>
    </w:p>
    <w:p w:rsidR="003E022D" w:rsidRDefault="007D19D6">
      <w:pPr>
        <w:numPr>
          <w:ilvl w:val="0"/>
          <w:numId w:val="435"/>
        </w:numPr>
        <w:rPr>
          <w:rFonts w:cs="Calibri"/>
          <w:noProof/>
        </w:rPr>
      </w:pPr>
      <w:r>
        <w:rPr>
          <w:noProof/>
          <w:color w:val="000000"/>
        </w:rPr>
        <w:t xml:space="preserve">Puses vienojas par </w:t>
      </w:r>
      <w:r>
        <w:rPr>
          <w:noProof/>
          <w:color w:val="000000"/>
          <w:u w:color="000000"/>
        </w:rPr>
        <w:t>I protokolu</w:t>
      </w:r>
      <w:r>
        <w:rPr>
          <w:noProof/>
          <w:color w:val="000000"/>
        </w:rPr>
        <w:t>. To pieņem un var grozīt Specializētā komiteja par dalību Savienības programmās.</w:t>
      </w:r>
    </w:p>
    <w:p w:rsidR="003E022D" w:rsidRDefault="007D19D6">
      <w:pPr>
        <w:numPr>
          <w:ilvl w:val="0"/>
          <w:numId w:val="435"/>
        </w:numPr>
        <w:rPr>
          <w:rFonts w:cs="Calibri"/>
          <w:noProof/>
        </w:rPr>
      </w:pPr>
      <w:r>
        <w:rPr>
          <w:noProof/>
          <w:color w:val="000000"/>
          <w:u w:color="000000"/>
        </w:rPr>
        <w:t>I p</w:t>
      </w:r>
      <w:r>
        <w:rPr>
          <w:noProof/>
          <w:color w:val="000000"/>
          <w:u w:color="000000"/>
        </w:rPr>
        <w:t>rotokolā</w:t>
      </w:r>
      <w:r>
        <w:rPr>
          <w:noProof/>
          <w:color w:val="000000"/>
        </w:rPr>
        <w:t>:</w:t>
      </w:r>
    </w:p>
    <w:p w:rsidR="003E022D" w:rsidRDefault="007D19D6">
      <w:pPr>
        <w:numPr>
          <w:ilvl w:val="0"/>
          <w:numId w:val="452"/>
        </w:numPr>
        <w:ind w:left="567" w:hanging="567"/>
        <w:rPr>
          <w:rFonts w:cs="Calibri"/>
          <w:noProof/>
        </w:rPr>
      </w:pPr>
      <w:r>
        <w:rPr>
          <w:noProof/>
        </w:rPr>
        <w:t xml:space="preserve">norāda </w:t>
      </w:r>
      <w:r>
        <w:rPr>
          <w:noProof/>
          <w:color w:val="000000"/>
        </w:rPr>
        <w:t>Savienības programmas, darbības vai – izņēmuma gadījumos – Savienības programmu vai darbību daļu, kurā Apvienotā Karaliste piedalās;</w:t>
      </w:r>
    </w:p>
    <w:p w:rsidR="003E022D" w:rsidRDefault="007D19D6">
      <w:pPr>
        <w:numPr>
          <w:ilvl w:val="0"/>
          <w:numId w:val="452"/>
        </w:numPr>
        <w:ind w:left="567" w:hanging="567"/>
        <w:rPr>
          <w:rFonts w:cs="Calibri"/>
          <w:noProof/>
        </w:rPr>
      </w:pPr>
      <w:r>
        <w:rPr>
          <w:noProof/>
          <w:color w:val="000000"/>
        </w:rPr>
        <w:t>nosaka dalības ilgumu, kas attiecas uz laikposmu, kurā Apvienotā Karaliste un Apvienotās Karalistes subjek</w:t>
      </w:r>
      <w:r>
        <w:rPr>
          <w:noProof/>
          <w:color w:val="000000"/>
        </w:rPr>
        <w:t>ti var pieteikties Savienības finansējumam vai kurā tiem var uzticēt Savienības līdzekļu īstenošanu;</w:t>
      </w:r>
    </w:p>
    <w:p w:rsidR="003E022D" w:rsidRDefault="007D19D6">
      <w:pPr>
        <w:numPr>
          <w:ilvl w:val="0"/>
          <w:numId w:val="452"/>
        </w:numPr>
        <w:ind w:left="567" w:hanging="567"/>
        <w:rPr>
          <w:rFonts w:cs="Calibri"/>
          <w:noProof/>
        </w:rPr>
      </w:pPr>
      <w:r>
        <w:rPr>
          <w:noProof/>
          <w:color w:val="000000"/>
        </w:rPr>
        <w:t>paredz konkrētus Apvienotās Karalistes un Apvienotās Karalistes subjektu dalības nosacījumus, tostarp īpašu kārtību, kādā īstenojami finanšu nosacījumi, ka</w:t>
      </w:r>
      <w:r>
        <w:rPr>
          <w:noProof/>
          <w:color w:val="000000"/>
        </w:rPr>
        <w:t xml:space="preserve">s noteikti </w:t>
      </w:r>
      <w:r>
        <w:rPr>
          <w:noProof/>
          <w:color w:val="000000"/>
          <w:u w:color="000000"/>
        </w:rPr>
        <w:t>UNPRO 2.1. pantā</w:t>
      </w:r>
      <w:r>
        <w:rPr>
          <w:noProof/>
        </w:rPr>
        <w:t xml:space="preserve"> </w:t>
      </w:r>
      <w:r>
        <w:rPr>
          <w:noProof/>
          <w:u w:color="000000"/>
        </w:rPr>
        <w:t>[Finanšu nosacījumi]</w:t>
      </w:r>
      <w:r>
        <w:rPr>
          <w:noProof/>
          <w:color w:val="000000"/>
        </w:rPr>
        <w:t xml:space="preserve">, konkrētu kārtību korekcijas mehānismam, kas noteikts </w:t>
      </w:r>
      <w:r>
        <w:rPr>
          <w:noProof/>
          <w:color w:val="000000"/>
          <w:u w:color="000000"/>
        </w:rPr>
        <w:t>UNPRO 2.2. pantā [Programmas, kurās var piemērot automātiskās korekcijas mehānismu]</w:t>
      </w:r>
      <w:r>
        <w:rPr>
          <w:noProof/>
          <w:color w:val="000000"/>
        </w:rPr>
        <w:t>, un nosacījumus dalībai struktūrās, kas izveidotas Savienības program</w:t>
      </w:r>
      <w:r>
        <w:rPr>
          <w:noProof/>
          <w:color w:val="000000"/>
        </w:rPr>
        <w:t xml:space="preserve">mu īstenošanas nolūkā. Šie nosacījumi atbilst </w:t>
      </w:r>
      <w:r>
        <w:rPr>
          <w:noProof/>
        </w:rPr>
        <w:t xml:space="preserve">šim </w:t>
      </w:r>
      <w:r>
        <w:rPr>
          <w:noProof/>
          <w:u w:color="000000"/>
        </w:rPr>
        <w:t>nolīgumam</w:t>
      </w:r>
      <w:r>
        <w:rPr>
          <w:noProof/>
        </w:rPr>
        <w:t>, kā arī vienas vai vairāku Savienības iestāžu pamataktiem un aktiem, ar kuriem izveido šādas struktūras;</w:t>
      </w:r>
    </w:p>
    <w:p w:rsidR="003E022D" w:rsidRDefault="007D19D6">
      <w:pPr>
        <w:numPr>
          <w:ilvl w:val="0"/>
          <w:numId w:val="452"/>
        </w:numPr>
        <w:ind w:left="567" w:hanging="567"/>
        <w:rPr>
          <w:rFonts w:cs="Calibri"/>
          <w:noProof/>
        </w:rPr>
      </w:pPr>
      <w:r>
        <w:rPr>
          <w:noProof/>
          <w:color w:val="000000"/>
        </w:rPr>
        <w:t xml:space="preserve">attiecīgā </w:t>
      </w:r>
      <w:r>
        <w:rPr>
          <w:noProof/>
        </w:rPr>
        <w:t xml:space="preserve">gadījumā nosaka Apvienotās Karalistes ieguldījuma summu Savienības programmā, ko </w:t>
      </w:r>
      <w:r>
        <w:rPr>
          <w:noProof/>
        </w:rPr>
        <w:t xml:space="preserve">īsteno, izmantojot finanšu instrumentu vai budžeta garantiju, un attiecīgā gadījumā nosaka īpašu kārtību, kā minēts </w:t>
      </w:r>
      <w:r>
        <w:rPr>
          <w:noProof/>
          <w:u w:color="000000"/>
        </w:rPr>
        <w:t>UNPRO 2.3. pantā [Finansējums saistībā ar programmām, ko īsteno, izmantojot finanšu instrumentus vai budžeta garantijas]</w:t>
      </w:r>
      <w:r>
        <w:rPr>
          <w:noProof/>
        </w:rPr>
        <w:t xml:space="preserve">. </w:t>
      </w:r>
    </w:p>
    <w:p w:rsidR="003E022D" w:rsidRDefault="007D19D6">
      <w:pPr>
        <w:pStyle w:val="Article"/>
        <w:rPr>
          <w:noProof/>
        </w:rPr>
      </w:pPr>
      <w:r>
        <w:rPr>
          <w:noProof/>
        </w:rPr>
        <w:t>UNPRO 1.4. pants.</w:t>
      </w:r>
      <w:r>
        <w:rPr>
          <w:noProof/>
        </w:rPr>
        <w:t xml:space="preserve"> Atbilstība programmas noteikumiem</w:t>
      </w:r>
    </w:p>
    <w:p w:rsidR="003E022D" w:rsidRDefault="007D19D6">
      <w:pPr>
        <w:numPr>
          <w:ilvl w:val="0"/>
          <w:numId w:val="471"/>
        </w:numPr>
        <w:ind w:left="0" w:firstLine="0"/>
        <w:contextualSpacing/>
        <w:rPr>
          <w:rFonts w:cs="Calibri"/>
          <w:noProof/>
          <w:color w:val="000000"/>
        </w:rPr>
      </w:pPr>
      <w:r>
        <w:rPr>
          <w:noProof/>
          <w:color w:val="000000"/>
        </w:rPr>
        <w:t xml:space="preserve">Apvienotā Karaliste piedalās </w:t>
      </w:r>
      <w:r>
        <w:rPr>
          <w:noProof/>
          <w:color w:val="000000"/>
          <w:u w:color="000000"/>
        </w:rPr>
        <w:t>I protokolā</w:t>
      </w:r>
      <w:r>
        <w:rPr>
          <w:noProof/>
          <w:color w:val="000000"/>
        </w:rPr>
        <w:t xml:space="preserve"> minētajās Savienības programmās un darbībās vai to daļās saskaņā ar šajā </w:t>
      </w:r>
      <w:r>
        <w:rPr>
          <w:noProof/>
          <w:color w:val="000000"/>
          <w:u w:color="000000"/>
        </w:rPr>
        <w:t>nolīgumā</w:t>
      </w:r>
      <w:r>
        <w:rPr>
          <w:noProof/>
          <w:color w:val="000000"/>
        </w:rPr>
        <w:t xml:space="preserve"> paredzētajiem noteikumiem, pamataktiem un citiem noteikumiem, kuri attiecas uz Savienības programm</w:t>
      </w:r>
      <w:r>
        <w:rPr>
          <w:noProof/>
          <w:color w:val="000000"/>
        </w:rPr>
        <w:t>u un darbību īstenošanu.</w:t>
      </w:r>
    </w:p>
    <w:p w:rsidR="003E022D" w:rsidRDefault="003E022D">
      <w:pPr>
        <w:contextualSpacing/>
        <w:rPr>
          <w:rFonts w:cs="Calibri"/>
          <w:noProof/>
          <w:color w:val="000000"/>
          <w:lang w:bidi="en-US"/>
        </w:rPr>
      </w:pPr>
    </w:p>
    <w:p w:rsidR="003E022D" w:rsidRDefault="007D19D6">
      <w:pPr>
        <w:numPr>
          <w:ilvl w:val="0"/>
          <w:numId w:val="471"/>
        </w:numPr>
        <w:spacing w:after="120"/>
        <w:ind w:left="0" w:firstLine="0"/>
        <w:rPr>
          <w:rFonts w:cs="Calibri"/>
          <w:noProof/>
          <w:color w:val="000000"/>
        </w:rPr>
      </w:pPr>
      <w:r>
        <w:rPr>
          <w:noProof/>
          <w:color w:val="000000"/>
        </w:rPr>
        <w:t xml:space="preserve">Šā panta </w:t>
      </w:r>
      <w:r>
        <w:rPr>
          <w:noProof/>
          <w:color w:val="000000"/>
          <w:u w:color="000000"/>
        </w:rPr>
        <w:t>1. punktā</w:t>
      </w:r>
      <w:r>
        <w:rPr>
          <w:noProof/>
          <w:color w:val="000000"/>
        </w:rPr>
        <w:t xml:space="preserve"> minētajos noteikumos un nosacījumos tiek ietverti:</w:t>
      </w:r>
    </w:p>
    <w:p w:rsidR="003E022D" w:rsidRDefault="007D19D6">
      <w:pPr>
        <w:widowControl w:val="0"/>
        <w:numPr>
          <w:ilvl w:val="0"/>
          <w:numId w:val="437"/>
        </w:numPr>
        <w:tabs>
          <w:tab w:val="left" w:pos="729"/>
        </w:tabs>
        <w:spacing w:after="260"/>
        <w:ind w:left="737" w:hanging="357"/>
        <w:rPr>
          <w:rFonts w:eastAsia="Arial" w:cs="Calibri"/>
          <w:noProof/>
        </w:rPr>
      </w:pPr>
      <w:r>
        <w:rPr>
          <w:noProof/>
          <w:color w:val="000000"/>
        </w:rPr>
        <w:t xml:space="preserve">Apvienotās Karalistes subjektu attiecināmība un jebkurš cits attiecināmības nosacījums, kas saistīts ar Apvienoto Karalisti, jo īpaši attiecībā uz izcelsmi, </w:t>
      </w:r>
      <w:r>
        <w:rPr>
          <w:noProof/>
          <w:color w:val="000000"/>
        </w:rPr>
        <w:t>darbības vietu vai valstspiederību;</w:t>
      </w:r>
    </w:p>
    <w:p w:rsidR="003E022D" w:rsidRDefault="007D19D6">
      <w:pPr>
        <w:widowControl w:val="0"/>
        <w:numPr>
          <w:ilvl w:val="0"/>
          <w:numId w:val="437"/>
        </w:numPr>
        <w:tabs>
          <w:tab w:val="left" w:pos="729"/>
        </w:tabs>
        <w:spacing w:after="260"/>
        <w:ind w:left="737" w:hanging="357"/>
        <w:rPr>
          <w:rFonts w:eastAsia="Arial" w:cs="Calibri"/>
          <w:noProof/>
        </w:rPr>
      </w:pPr>
      <w:r>
        <w:rPr>
          <w:noProof/>
          <w:color w:val="000000"/>
        </w:rPr>
        <w:t>noteikumi un nosacījumi, kas piemērojami pieteikumu iesniegšanai, novērtēšanai un atlasei un darbību īstenošanai, ko veic attiecināmie Apvienotās Karalistes subjekti.</w:t>
      </w:r>
    </w:p>
    <w:p w:rsidR="003E022D" w:rsidRDefault="007D19D6">
      <w:pPr>
        <w:numPr>
          <w:ilvl w:val="0"/>
          <w:numId w:val="471"/>
        </w:numPr>
        <w:ind w:left="0" w:firstLine="0"/>
        <w:contextualSpacing/>
        <w:rPr>
          <w:rFonts w:eastAsia="Arial" w:cs="Calibri"/>
          <w:noProof/>
        </w:rPr>
      </w:pPr>
      <w:r>
        <w:rPr>
          <w:noProof/>
          <w:color w:val="000000"/>
        </w:rPr>
        <w:t xml:space="preserve">Noteikumi un nosacījumi, kas minēti </w:t>
      </w:r>
      <w:r>
        <w:rPr>
          <w:noProof/>
          <w:color w:val="000000"/>
          <w:u w:color="000000"/>
        </w:rPr>
        <w:t>2. punkta</w:t>
      </w:r>
      <w:r>
        <w:rPr>
          <w:noProof/>
          <w:color w:val="000000"/>
        </w:rPr>
        <w:t xml:space="preserve"> b) apak</w:t>
      </w:r>
      <w:r>
        <w:rPr>
          <w:noProof/>
          <w:color w:val="000000"/>
        </w:rPr>
        <w:t xml:space="preserve">špunktā, ir līdzvērtīgi noteikumiem un nosacījumiem, ko piemēro attiecināmajiem dalībvalstu subjektiem, izņemot pienācīgi pamatotus izņēmuma gadījumus, kā paredzēts </w:t>
      </w:r>
      <w:r>
        <w:rPr>
          <w:noProof/>
          <w:color w:val="000000"/>
          <w:u w:color="000000"/>
        </w:rPr>
        <w:t>1. punktā</w:t>
      </w:r>
      <w:r>
        <w:rPr>
          <w:noProof/>
          <w:color w:val="000000"/>
        </w:rPr>
        <w:t xml:space="preserve"> minētajos noteikumos un nosacījumos. Abas puses var vērst Specializētās komitejas</w:t>
      </w:r>
      <w:r>
        <w:rPr>
          <w:noProof/>
          <w:color w:val="000000"/>
        </w:rPr>
        <w:t xml:space="preserve"> par dalību Savienības programmās uzmanību uz to, ka ir jāapspriež pienācīgi pamatoti izņēmumi.</w:t>
      </w:r>
    </w:p>
    <w:p w:rsidR="003E022D" w:rsidRDefault="007D19D6">
      <w:pPr>
        <w:pStyle w:val="Article"/>
        <w:rPr>
          <w:noProof/>
        </w:rPr>
      </w:pPr>
      <w:r>
        <w:rPr>
          <w:noProof/>
        </w:rPr>
        <w:t xml:space="preserve">UNPRO 1.5. pants. Dalības nosacījumi </w:t>
      </w:r>
    </w:p>
    <w:p w:rsidR="003E022D" w:rsidRDefault="007D19D6">
      <w:pPr>
        <w:numPr>
          <w:ilvl w:val="0"/>
          <w:numId w:val="461"/>
        </w:numPr>
        <w:rPr>
          <w:rFonts w:cs="Calibri"/>
          <w:noProof/>
        </w:rPr>
      </w:pPr>
      <w:r>
        <w:rPr>
          <w:noProof/>
          <w:color w:val="000000"/>
        </w:rPr>
        <w:t xml:space="preserve">Apvienotā Karaliste piedalās </w:t>
      </w:r>
      <w:r>
        <w:rPr>
          <w:noProof/>
          <w:color w:val="000000"/>
          <w:u w:color="000000"/>
        </w:rPr>
        <w:t>UNPRO 0.1. pantā [Darbības joma]</w:t>
      </w:r>
      <w:r>
        <w:rPr>
          <w:noProof/>
          <w:color w:val="000000"/>
        </w:rPr>
        <w:t xml:space="preserve"> minētajā Savienības programmā vai darbībā, vai tās daļā ar n</w:t>
      </w:r>
      <w:r>
        <w:rPr>
          <w:noProof/>
          <w:color w:val="000000"/>
        </w:rPr>
        <w:t>osacījumu, ka Apvienotā Karaliste:</w:t>
      </w:r>
    </w:p>
    <w:p w:rsidR="003E022D" w:rsidRDefault="007D19D6">
      <w:pPr>
        <w:widowControl w:val="0"/>
        <w:numPr>
          <w:ilvl w:val="0"/>
          <w:numId w:val="465"/>
        </w:numPr>
        <w:tabs>
          <w:tab w:val="left" w:pos="729"/>
        </w:tabs>
        <w:spacing w:after="260" w:line="307" w:lineRule="exact"/>
        <w:rPr>
          <w:rFonts w:eastAsia="Arial" w:cs="Calibri"/>
          <w:noProof/>
          <w:color w:val="000000"/>
        </w:rPr>
      </w:pPr>
      <w:r>
        <w:rPr>
          <w:noProof/>
          <w:color w:val="000000"/>
        </w:rPr>
        <w:t>dara visu iespējamo saskaņā ar saviem tiesību aktiem, lai atvieglotu šo programmu un pasākumu vai to daļu īstenošanā iesaistīto personu, tostarp studentu, pētnieku, praktikantu vai brīvprātīgo, ieceļošanu un uzturēšanos;</w:t>
      </w:r>
    </w:p>
    <w:p w:rsidR="003E022D" w:rsidRDefault="007D19D6">
      <w:pPr>
        <w:widowControl w:val="0"/>
        <w:numPr>
          <w:ilvl w:val="0"/>
          <w:numId w:val="465"/>
        </w:numPr>
        <w:tabs>
          <w:tab w:val="left" w:pos="735"/>
        </w:tabs>
        <w:spacing w:after="260"/>
        <w:rPr>
          <w:rFonts w:eastAsia="Arial" w:cs="Calibri"/>
          <w:noProof/>
        </w:rPr>
      </w:pPr>
      <w:r>
        <w:rPr>
          <w:noProof/>
          <w:color w:val="000000"/>
        </w:rPr>
        <w:t xml:space="preserve">ciktāl tas ir Apvienotās Karalistes iestāžu kontrolē, nodrošina, ka nosacījumi </w:t>
      </w:r>
      <w:r>
        <w:rPr>
          <w:noProof/>
          <w:color w:val="000000"/>
          <w:u w:color="000000"/>
        </w:rPr>
        <w:t>a) apakšpunktā</w:t>
      </w:r>
      <w:r>
        <w:rPr>
          <w:noProof/>
          <w:color w:val="000000"/>
        </w:rPr>
        <w:t xml:space="preserve"> minētajām personām, lai piekļūtu pakalpojumiem Apvienotajā Karalistē, kas ir tieši saistīti ar programmu vai darbību īstenošanu, t. sk. jebkādi maksājumi, ir tādi</w:t>
      </w:r>
      <w:r>
        <w:rPr>
          <w:noProof/>
          <w:color w:val="000000"/>
        </w:rPr>
        <w:t xml:space="preserve"> paši kā Apvienotās Karalistes valstspiederīgajiem;</w:t>
      </w:r>
    </w:p>
    <w:p w:rsidR="003E022D" w:rsidRDefault="007D19D6">
      <w:pPr>
        <w:widowControl w:val="0"/>
        <w:numPr>
          <w:ilvl w:val="0"/>
          <w:numId w:val="465"/>
        </w:numPr>
        <w:tabs>
          <w:tab w:val="left" w:pos="735"/>
        </w:tabs>
        <w:spacing w:after="260"/>
        <w:rPr>
          <w:rFonts w:eastAsia="Arial" w:cs="Calibri"/>
          <w:noProof/>
        </w:rPr>
      </w:pPr>
      <w:r>
        <w:rPr>
          <w:noProof/>
          <w:color w:val="000000"/>
        </w:rPr>
        <w:t xml:space="preserve">attiecībā uz dalību, kas ietver klasificētas vai sensitīvas neklasificētas informācijas apmaiņu vai piekļuvi </w:t>
      </w:r>
      <w:r>
        <w:rPr>
          <w:noProof/>
        </w:rPr>
        <w:t>tai</w:t>
      </w:r>
      <w:r>
        <w:rPr>
          <w:noProof/>
          <w:color w:val="000000"/>
        </w:rPr>
        <w:t xml:space="preserve">, noslēdz attiecīgus nolīgumus saskaņā ar </w:t>
      </w:r>
      <w:r>
        <w:rPr>
          <w:noProof/>
          <w:color w:val="000000"/>
          <w:u w:color="000000"/>
        </w:rPr>
        <w:t>FINPROV.6. pantu</w:t>
      </w:r>
      <w:r>
        <w:rPr>
          <w:noProof/>
          <w:color w:val="000000"/>
        </w:rPr>
        <w:t xml:space="preserve"> [</w:t>
      </w:r>
      <w:r>
        <w:rPr>
          <w:noProof/>
          <w:color w:val="000000"/>
          <w:u w:color="000000"/>
        </w:rPr>
        <w:t>Klasificēta informācija un sensi</w:t>
      </w:r>
      <w:r>
        <w:rPr>
          <w:noProof/>
          <w:color w:val="000000"/>
          <w:u w:color="000000"/>
        </w:rPr>
        <w:t>tīva neklasificēta informācija</w:t>
      </w:r>
      <w:r>
        <w:rPr>
          <w:noProof/>
          <w:color w:val="000000"/>
        </w:rPr>
        <w:t>].</w:t>
      </w:r>
    </w:p>
    <w:p w:rsidR="003E022D" w:rsidRDefault="007D19D6">
      <w:pPr>
        <w:numPr>
          <w:ilvl w:val="0"/>
          <w:numId w:val="461"/>
        </w:numPr>
        <w:rPr>
          <w:rFonts w:cs="Calibri"/>
          <w:noProof/>
        </w:rPr>
      </w:pPr>
      <w:r>
        <w:rPr>
          <w:noProof/>
          <w:color w:val="000000"/>
        </w:rPr>
        <w:t xml:space="preserve">Attiecībā uz Apvienotās Karalistes dalību </w:t>
      </w:r>
      <w:r>
        <w:rPr>
          <w:noProof/>
          <w:color w:val="000000"/>
          <w:u w:color="000000"/>
        </w:rPr>
        <w:t>UNPRO 0.1. pantā [Darbības joma]</w:t>
      </w:r>
      <w:r>
        <w:rPr>
          <w:noProof/>
          <w:color w:val="000000"/>
        </w:rPr>
        <w:t xml:space="preserve"> minētajā Savienības programmā vai darbībā, vai tās daļā Savienība un tās dalībvalstis:</w:t>
      </w:r>
    </w:p>
    <w:p w:rsidR="003E022D" w:rsidRDefault="007D19D6">
      <w:pPr>
        <w:widowControl w:val="0"/>
        <w:numPr>
          <w:ilvl w:val="0"/>
          <w:numId w:val="466"/>
        </w:numPr>
        <w:tabs>
          <w:tab w:val="left" w:pos="735"/>
        </w:tabs>
        <w:spacing w:after="260"/>
        <w:rPr>
          <w:rFonts w:eastAsia="Arial" w:cs="Calibri"/>
          <w:noProof/>
        </w:rPr>
      </w:pPr>
      <w:r>
        <w:rPr>
          <w:noProof/>
          <w:color w:val="000000"/>
        </w:rPr>
        <w:t>dara visu iespējamo saskaņā ar Savienības vai dalībvalstu tie</w:t>
      </w:r>
      <w:r>
        <w:rPr>
          <w:noProof/>
          <w:color w:val="000000"/>
        </w:rPr>
        <w:t xml:space="preserve">sību aktiem, lai atvieglotu šo programmu un pasākumu vai to daļu īstenošanā iesaistīto Apvienotās Karalistes valstspiederīgo, tostarp studentu, pētnieku, praktikantu vai brīvprātīgo, ieceļošanu un uzturēšanos; </w:t>
      </w:r>
    </w:p>
    <w:p w:rsidR="003E022D" w:rsidRDefault="007D19D6">
      <w:pPr>
        <w:widowControl w:val="0"/>
        <w:numPr>
          <w:ilvl w:val="0"/>
          <w:numId w:val="466"/>
        </w:numPr>
        <w:tabs>
          <w:tab w:val="left" w:pos="735"/>
        </w:tabs>
        <w:spacing w:after="260"/>
        <w:rPr>
          <w:rFonts w:eastAsia="Arial" w:cs="Calibri"/>
          <w:noProof/>
        </w:rPr>
      </w:pPr>
      <w:r>
        <w:rPr>
          <w:noProof/>
          <w:color w:val="000000"/>
        </w:rPr>
        <w:t>ciktāl tas ir Savienības un dalībvalstu iestā</w:t>
      </w:r>
      <w:r>
        <w:rPr>
          <w:noProof/>
          <w:color w:val="000000"/>
        </w:rPr>
        <w:t xml:space="preserve">žu kontrolē, nodrošina, ka nosacījumi </w:t>
      </w:r>
      <w:r>
        <w:rPr>
          <w:noProof/>
          <w:color w:val="000000"/>
          <w:u w:color="000000"/>
        </w:rPr>
        <w:t>a) apakšpunktā</w:t>
      </w:r>
      <w:r>
        <w:rPr>
          <w:noProof/>
          <w:color w:val="000000"/>
        </w:rPr>
        <w:t xml:space="preserve"> minētajiem Apvienotās Karalistes valstspiederīgajiem, lai piekļūtu pakalpojumiem Savienībā, kas ir tieši saistīti ar programmu vai darbību īstenošanu, t. sk. jebkādi maksājumi, ir tādi paši kā Savienības</w:t>
      </w:r>
      <w:r>
        <w:rPr>
          <w:noProof/>
          <w:color w:val="000000"/>
        </w:rPr>
        <w:t xml:space="preserve"> pilsoņiem.</w:t>
      </w:r>
    </w:p>
    <w:p w:rsidR="003E022D" w:rsidRDefault="007D19D6">
      <w:pPr>
        <w:numPr>
          <w:ilvl w:val="0"/>
          <w:numId w:val="461"/>
        </w:numPr>
        <w:rPr>
          <w:rFonts w:cs="Calibri"/>
          <w:noProof/>
          <w:color w:val="000000"/>
        </w:rPr>
      </w:pPr>
      <w:r>
        <w:rPr>
          <w:noProof/>
          <w:color w:val="000000"/>
        </w:rPr>
        <w:t xml:space="preserve"> </w:t>
      </w:r>
      <w:r>
        <w:rPr>
          <w:noProof/>
          <w:color w:val="000000"/>
          <w:u w:color="000000"/>
        </w:rPr>
        <w:t>I protokolā</w:t>
      </w:r>
      <w:r>
        <w:rPr>
          <w:noProof/>
          <w:color w:val="000000"/>
        </w:rPr>
        <w:t xml:space="preserve">, atsaucoties uz šo </w:t>
      </w:r>
      <w:r>
        <w:rPr>
          <w:noProof/>
          <w:color w:val="000000"/>
          <w:u w:color="000000"/>
        </w:rPr>
        <w:t>pantu</w:t>
      </w:r>
      <w:r>
        <w:rPr>
          <w:noProof/>
          <w:color w:val="000000"/>
        </w:rPr>
        <w:t xml:space="preserve">, var paredzēt papildu īpašus nosacījumus, kas nepieciešami, lai Apvienotā Karaliste varētu piedalīties Savienības programmā vai darbībā, vai to daļās. </w:t>
      </w:r>
    </w:p>
    <w:p w:rsidR="003E022D" w:rsidRDefault="007D19D6">
      <w:pPr>
        <w:numPr>
          <w:ilvl w:val="0"/>
          <w:numId w:val="461"/>
        </w:numPr>
        <w:rPr>
          <w:rFonts w:cs="Calibri"/>
          <w:noProof/>
          <w:color w:val="000000"/>
        </w:rPr>
      </w:pPr>
      <w:r>
        <w:rPr>
          <w:noProof/>
          <w:color w:val="000000"/>
        </w:rPr>
        <w:t xml:space="preserve">Šis </w:t>
      </w:r>
      <w:r>
        <w:rPr>
          <w:noProof/>
          <w:color w:val="000000"/>
          <w:u w:color="000000"/>
        </w:rPr>
        <w:t>pants</w:t>
      </w:r>
      <w:r>
        <w:rPr>
          <w:noProof/>
          <w:color w:val="000000"/>
        </w:rPr>
        <w:t xml:space="preserve"> neskar </w:t>
      </w:r>
      <w:r>
        <w:rPr>
          <w:noProof/>
          <w:color w:val="000000"/>
          <w:u w:color="000000"/>
        </w:rPr>
        <w:t>UNPRO.1.4. pantu [Atbilstība programm</w:t>
      </w:r>
      <w:r>
        <w:rPr>
          <w:noProof/>
          <w:color w:val="000000"/>
          <w:u w:color="000000"/>
        </w:rPr>
        <w:t>as noteikumiem]</w:t>
      </w:r>
      <w:r>
        <w:rPr>
          <w:noProof/>
          <w:color w:val="000000"/>
        </w:rPr>
        <w:t xml:space="preserve">. </w:t>
      </w:r>
    </w:p>
    <w:p w:rsidR="003E022D" w:rsidRDefault="007D19D6">
      <w:pPr>
        <w:numPr>
          <w:ilvl w:val="0"/>
          <w:numId w:val="461"/>
        </w:numPr>
        <w:rPr>
          <w:rFonts w:cs="Calibri"/>
          <w:noProof/>
          <w:color w:val="000000"/>
        </w:rPr>
      </w:pPr>
      <w:r>
        <w:rPr>
          <w:noProof/>
          <w:color w:val="000000"/>
        </w:rPr>
        <w:t>Šis pants un UNPRO 3.1. pants [Apvienotās Karalistes dalības Savienības programmā apturēšana, ko veic Savienība] neskar arī vienošanās, kas panāktas starp Apvienoto Karalisti un Īriju par kopējo ceļošanas telpu.</w:t>
      </w:r>
    </w:p>
    <w:p w:rsidR="003E022D" w:rsidRDefault="007D19D6">
      <w:pPr>
        <w:pStyle w:val="Article"/>
        <w:rPr>
          <w:noProof/>
        </w:rPr>
      </w:pPr>
      <w:r>
        <w:rPr>
          <w:noProof/>
        </w:rPr>
        <w:t>UNPRO 1.6. pants. Apvienot</w:t>
      </w:r>
      <w:r>
        <w:rPr>
          <w:noProof/>
        </w:rPr>
        <w:t>ās Karalistes dalība programmu vai darbību pārvaldībā</w:t>
      </w:r>
    </w:p>
    <w:p w:rsidR="003E022D" w:rsidRDefault="007D19D6">
      <w:pPr>
        <w:widowControl w:val="0"/>
        <w:numPr>
          <w:ilvl w:val="0"/>
          <w:numId w:val="467"/>
        </w:numPr>
        <w:rPr>
          <w:rFonts w:eastAsia="Arial" w:cs="Calibri"/>
          <w:noProof/>
        </w:rPr>
      </w:pPr>
      <w:r>
        <w:rPr>
          <w:noProof/>
          <w:color w:val="000000"/>
        </w:rPr>
        <w:t>Apvienotās Karalistes pārstāvjiem vai ekspertiem vai Apvienotās Karalistes ieceltiem ekspertiem ir atļauts piedalīties kā novērotājiem – ja vien tas neattiecas uz punktiem, kas rezervēti tikai dalībvals</w:t>
      </w:r>
      <w:r>
        <w:rPr>
          <w:noProof/>
          <w:color w:val="000000"/>
        </w:rPr>
        <w:t xml:space="preserve">tīm, vai saistībā ar programmu vai darbību, kurā Apvienotā Karaliste nepiedalās, – komitejās, ekspertu grupu sanāksmēs vai citās līdzīgās sanāksmēs, kurās piedalās dalībvalstu pārstāvji vai eksperti vai dalībvalstu iecelti eksperti un kuras palīdz Eiropas </w:t>
      </w:r>
      <w:r>
        <w:rPr>
          <w:noProof/>
          <w:color w:val="000000"/>
        </w:rPr>
        <w:t>Komisijai īstenot un pārvaldīt programmas, darbības vai to daļas, kurās Apvienotā Karaliste piedalās saskaņā ar UNPRO 0.1. pantu [Darbības joma] vai kuras Eiropas Komisija ir izveidojusi attiecībā uz Savienības tiesību aktu īstenošanu saistībā ar minētajām</w:t>
      </w:r>
      <w:r>
        <w:rPr>
          <w:noProof/>
          <w:color w:val="000000"/>
        </w:rPr>
        <w:t xml:space="preserve"> programmām, darbībām vai to daļām. Apvienotās Karalistes pārstāvji vai eksperti vai Apvienotās Karalistes ieceltie eksperti nepiedalās balsošanā. Apvienoto Karalisti informē par balsošanas rezultātiem.</w:t>
      </w:r>
    </w:p>
    <w:p w:rsidR="003E022D" w:rsidRDefault="007D19D6">
      <w:pPr>
        <w:numPr>
          <w:ilvl w:val="0"/>
          <w:numId w:val="467"/>
        </w:numPr>
        <w:rPr>
          <w:rFonts w:cs="Calibri"/>
          <w:noProof/>
        </w:rPr>
      </w:pPr>
      <w:r>
        <w:rPr>
          <w:noProof/>
          <w:color w:val="000000"/>
        </w:rPr>
        <w:t xml:space="preserve">Ja ekspertus vai vērtētājus neieceļ, pamatojoties uz </w:t>
      </w:r>
      <w:r>
        <w:rPr>
          <w:noProof/>
          <w:color w:val="000000"/>
        </w:rPr>
        <w:t>valstspiederību, valstspiederība nav iemesls, lai izslēgtu Apvienotās Karalistes valstspiederīgos.</w:t>
      </w:r>
    </w:p>
    <w:p w:rsidR="003E022D" w:rsidRDefault="007D19D6">
      <w:pPr>
        <w:numPr>
          <w:ilvl w:val="0"/>
          <w:numId w:val="467"/>
        </w:numPr>
        <w:rPr>
          <w:rFonts w:cs="Calibri"/>
          <w:noProof/>
        </w:rPr>
      </w:pPr>
      <w:r>
        <w:rPr>
          <w:noProof/>
          <w:color w:val="000000"/>
        </w:rPr>
        <w:t xml:space="preserve">Ievērojot </w:t>
      </w:r>
      <w:r>
        <w:rPr>
          <w:noProof/>
          <w:color w:val="000000"/>
          <w:u w:color="000000"/>
        </w:rPr>
        <w:t>1. punkta</w:t>
      </w:r>
      <w:r>
        <w:rPr>
          <w:noProof/>
          <w:color w:val="000000"/>
        </w:rPr>
        <w:t xml:space="preserve"> nosacījumus, Apvienotās Karalistes pārstāvju dalību </w:t>
      </w:r>
      <w:r>
        <w:rPr>
          <w:noProof/>
          <w:color w:val="000000"/>
          <w:u w:color="000000"/>
        </w:rPr>
        <w:t>1. punktā</w:t>
      </w:r>
      <w:r>
        <w:rPr>
          <w:noProof/>
          <w:color w:val="000000"/>
        </w:rPr>
        <w:t xml:space="preserve"> minētajās sanāksmēs vai citās sanāksmēs, kas saistītas ar programmu vai dar</w:t>
      </w:r>
      <w:r>
        <w:rPr>
          <w:noProof/>
          <w:color w:val="000000"/>
        </w:rPr>
        <w:t>bību īstenošanu, reglamentē tie paši noteikumi un procedūras, ko piemēro dalībvalstu pārstāvjiem, jo īpaši attiecībā uz tiesībām uzstāties, informācijas un dokumentu saņemšanu, ja vien tas neattiecas uz punktiem, kas rezervēti tikai dalībvalstīm, vai uz ja</w:t>
      </w:r>
      <w:r>
        <w:rPr>
          <w:noProof/>
          <w:color w:val="000000"/>
        </w:rPr>
        <w:t>utājumiem, kas saistīti ar programmu vai darbību, kurā Apvienotā Karaliste nepiedalās, un uz ceļa un uzturēšanās izdevumu atlīdzināšanu.</w:t>
      </w:r>
    </w:p>
    <w:p w:rsidR="003E022D" w:rsidRDefault="007D19D6">
      <w:pPr>
        <w:numPr>
          <w:ilvl w:val="0"/>
          <w:numId w:val="467"/>
        </w:numPr>
        <w:rPr>
          <w:rFonts w:cs="Calibri"/>
          <w:noProof/>
        </w:rPr>
      </w:pPr>
      <w:r>
        <w:rPr>
          <w:noProof/>
        </w:rPr>
        <w:t xml:space="preserve"> </w:t>
      </w:r>
      <w:r>
        <w:rPr>
          <w:noProof/>
          <w:u w:color="000000"/>
        </w:rPr>
        <w:t>I protokolā</w:t>
      </w:r>
      <w:r>
        <w:rPr>
          <w:noProof/>
        </w:rPr>
        <w:t xml:space="preserve"> var noteikt </w:t>
      </w:r>
      <w:r>
        <w:rPr>
          <w:noProof/>
          <w:color w:val="000000"/>
        </w:rPr>
        <w:t>papildu</w:t>
      </w:r>
      <w:r>
        <w:rPr>
          <w:noProof/>
        </w:rPr>
        <w:t xml:space="preserve"> kārtību attiecībā uz ekspertu dalību, kā arī Apvienotās Karalistes dalību valdēs un struktūrās, kas izveidotas, lai īstenotu </w:t>
      </w:r>
      <w:r>
        <w:rPr>
          <w:noProof/>
          <w:u w:color="000000"/>
        </w:rPr>
        <w:t>I protokolā</w:t>
      </w:r>
      <w:r>
        <w:rPr>
          <w:noProof/>
        </w:rPr>
        <w:t xml:space="preserve"> minētās Savienības programmas vai darbības.</w:t>
      </w:r>
    </w:p>
    <w:p w:rsidR="003E022D" w:rsidRDefault="007D19D6">
      <w:pPr>
        <w:pStyle w:val="Section"/>
        <w:rPr>
          <w:noProof/>
        </w:rPr>
      </w:pPr>
      <w:r>
        <w:rPr>
          <w:noProof/>
        </w:rPr>
        <w:t>2. iedaļa. Dalības Savienības programmās un darbībās finansēšanas noteikum</w:t>
      </w:r>
      <w:r>
        <w:rPr>
          <w:noProof/>
        </w:rPr>
        <w:t>i</w:t>
      </w:r>
    </w:p>
    <w:p w:rsidR="003E022D" w:rsidRDefault="007D19D6">
      <w:pPr>
        <w:pStyle w:val="Article"/>
        <w:rPr>
          <w:b/>
          <w:noProof/>
        </w:rPr>
      </w:pPr>
      <w:r>
        <w:rPr>
          <w:noProof/>
          <w:shd w:val="clear" w:color="auto" w:fill="FFFFFF"/>
        </w:rPr>
        <w:t>UNPRO 2.1. pants. Finanšu nosacījumi</w:t>
      </w:r>
    </w:p>
    <w:p w:rsidR="003E022D" w:rsidRDefault="007D19D6">
      <w:pPr>
        <w:numPr>
          <w:ilvl w:val="0"/>
          <w:numId w:val="468"/>
        </w:numPr>
        <w:rPr>
          <w:rFonts w:cs="Calibri"/>
          <w:noProof/>
        </w:rPr>
      </w:pPr>
      <w:r>
        <w:rPr>
          <w:noProof/>
          <w:color w:val="000000"/>
        </w:rPr>
        <w:t>Apvienotās Karalistes vai Apvienotās Karalistes subjektu dalība Savienības programmās, darbībās vai to daļās ir atkarīga no Apvienotās Karalistes finansiālā ieguldījuma attiecīgajā finansējumā saskaņā ar Savienības bu</w:t>
      </w:r>
      <w:r>
        <w:rPr>
          <w:noProof/>
          <w:color w:val="000000"/>
        </w:rPr>
        <w:t>džetu.</w:t>
      </w:r>
    </w:p>
    <w:p w:rsidR="003E022D" w:rsidRDefault="007D19D6">
      <w:pPr>
        <w:numPr>
          <w:ilvl w:val="0"/>
          <w:numId w:val="468"/>
        </w:numPr>
        <w:rPr>
          <w:rFonts w:cs="Calibri"/>
          <w:noProof/>
        </w:rPr>
      </w:pPr>
      <w:r>
        <w:rPr>
          <w:noProof/>
          <w:color w:val="000000"/>
        </w:rPr>
        <w:t>Finansiālo ieguldījumu veido:</w:t>
      </w:r>
    </w:p>
    <w:p w:rsidR="003E022D" w:rsidRDefault="007D19D6">
      <w:pPr>
        <w:widowControl w:val="0"/>
        <w:numPr>
          <w:ilvl w:val="0"/>
          <w:numId w:val="469"/>
        </w:numPr>
        <w:tabs>
          <w:tab w:val="left" w:pos="735"/>
        </w:tabs>
        <w:spacing w:after="260" w:line="307" w:lineRule="exact"/>
        <w:rPr>
          <w:rFonts w:eastAsia="Arial" w:cs="Calibri"/>
          <w:noProof/>
        </w:rPr>
      </w:pPr>
      <w:r>
        <w:rPr>
          <w:noProof/>
          <w:color w:val="000000"/>
        </w:rPr>
        <w:t>dalības maksa un</w:t>
      </w:r>
    </w:p>
    <w:p w:rsidR="003E022D" w:rsidRDefault="007D19D6">
      <w:pPr>
        <w:widowControl w:val="0"/>
        <w:numPr>
          <w:ilvl w:val="0"/>
          <w:numId w:val="469"/>
        </w:numPr>
        <w:tabs>
          <w:tab w:val="left" w:pos="735"/>
        </w:tabs>
        <w:spacing w:after="260" w:line="307" w:lineRule="exact"/>
        <w:rPr>
          <w:rFonts w:eastAsia="Arial" w:cs="Calibri"/>
          <w:noProof/>
        </w:rPr>
      </w:pPr>
      <w:r>
        <w:rPr>
          <w:noProof/>
          <w:color w:val="000000"/>
        </w:rPr>
        <w:t>operatīvais ieguldījums.</w:t>
      </w:r>
    </w:p>
    <w:p w:rsidR="003E022D" w:rsidRDefault="007D19D6">
      <w:pPr>
        <w:numPr>
          <w:ilvl w:val="0"/>
          <w:numId w:val="468"/>
        </w:numPr>
        <w:rPr>
          <w:rFonts w:cs="Calibri"/>
          <w:noProof/>
        </w:rPr>
      </w:pPr>
      <w:r>
        <w:rPr>
          <w:noProof/>
          <w:color w:val="000000"/>
        </w:rPr>
        <w:t>Finansiālo ieguldījumu veic kā ikgadēju maksājumu, ko veic vienā vai vairākās daļās.</w:t>
      </w:r>
    </w:p>
    <w:p w:rsidR="003E022D" w:rsidRDefault="007D19D6">
      <w:pPr>
        <w:numPr>
          <w:ilvl w:val="0"/>
          <w:numId w:val="468"/>
        </w:numPr>
        <w:rPr>
          <w:rFonts w:cs="Calibri"/>
          <w:noProof/>
        </w:rPr>
      </w:pPr>
      <w:r>
        <w:rPr>
          <w:noProof/>
        </w:rPr>
        <w:t>Neskarot UNPRO.8. pantu [Dalības maksa no 2021. līdz 2026. gadam], dalības maksa ir 4 % no gada operatīvā ieguldījuma, un tai nepiemēro retrospektīvas korekcijas, izņemot attiecībā uz apturēšanu saskaņā ar UNPRO.3.1. panta [Apvienotās Karalistes dalības Sa</w:t>
      </w:r>
      <w:r>
        <w:rPr>
          <w:noProof/>
        </w:rPr>
        <w:t xml:space="preserve">vienības programmā apturēšana, ko veic Savienība] 7. punkta b) apakšpunktu un izbeigšanu saskaņā ar UNPRO.3.3. panta [Dalības programmā vai darbībā izbeigšana gadījumā, ja Savienības programmās tiek veiktas būtiskas izmaiņas] 6. punkta c) apakšpunktu. </w:t>
      </w:r>
      <w:r>
        <w:rPr>
          <w:noProof/>
          <w:color w:val="000000"/>
        </w:rPr>
        <w:t>No 2</w:t>
      </w:r>
      <w:r>
        <w:rPr>
          <w:noProof/>
          <w:color w:val="000000"/>
        </w:rPr>
        <w:t>028. gada dalības maksas līmeni var koriģēt Specializētā komiteja par dalību Savienības programmās.</w:t>
      </w:r>
    </w:p>
    <w:p w:rsidR="003E022D" w:rsidRDefault="007D19D6">
      <w:pPr>
        <w:numPr>
          <w:ilvl w:val="0"/>
          <w:numId w:val="468"/>
        </w:numPr>
        <w:rPr>
          <w:rFonts w:cs="Calibri"/>
          <w:noProof/>
        </w:rPr>
      </w:pPr>
      <w:r>
        <w:rPr>
          <w:noProof/>
          <w:color w:val="000000"/>
        </w:rPr>
        <w:t>Operatīvais ieguldījums sedz darbības un atbalsta izdevumus, un tas gan saistību, gan maksājumu apropriācijās papildina summas, kas iekļautas Eiropas Savien</w:t>
      </w:r>
      <w:r>
        <w:rPr>
          <w:noProof/>
          <w:color w:val="000000"/>
        </w:rPr>
        <w:t>ības budžetā, kurš galīgi pieņemts programmām vai darbībām, vai izņēmuma kārtā to daļām, kuras attiecīgā gadījumā palielina ārējie piešķirtie ieņēmumi, kas neizriet no finanšu iemaksām Savienības programmās un darbībās no citiem līdzekļu devējiem, kā notei</w:t>
      </w:r>
      <w:r>
        <w:rPr>
          <w:noProof/>
          <w:color w:val="000000"/>
        </w:rPr>
        <w:t xml:space="preserve">kts </w:t>
      </w:r>
      <w:r>
        <w:rPr>
          <w:noProof/>
          <w:color w:val="000000"/>
          <w:u w:color="000000"/>
        </w:rPr>
        <w:t>I protokolā</w:t>
      </w:r>
      <w:r>
        <w:rPr>
          <w:noProof/>
          <w:color w:val="000000"/>
        </w:rPr>
        <w:t xml:space="preserve">. </w:t>
      </w:r>
    </w:p>
    <w:p w:rsidR="003E022D" w:rsidRDefault="007D19D6">
      <w:pPr>
        <w:numPr>
          <w:ilvl w:val="0"/>
          <w:numId w:val="468"/>
        </w:numPr>
        <w:rPr>
          <w:rFonts w:cs="Calibri"/>
          <w:noProof/>
        </w:rPr>
      </w:pPr>
      <w:r>
        <w:rPr>
          <w:noProof/>
          <w:color w:val="000000"/>
        </w:rPr>
        <w:t xml:space="preserve">Operatīvais ieguldījums pamatojas uz iemaksu skalu, kas definēta kā attiecība starp Apvienotās Karalistes iekšzemes kopproduktu (IKP) tirgus cenās un Savienības IKP tirgus cenās. </w:t>
      </w:r>
      <w:r>
        <w:rPr>
          <w:noProof/>
        </w:rPr>
        <w:t>Piemērojamais IKP tirgus cenās ir jaunākais pieejamais Eiro</w:t>
      </w:r>
      <w:r>
        <w:rPr>
          <w:noProof/>
        </w:rPr>
        <w:t>pas Savienības Statistikas biroja (</w:t>
      </w:r>
      <w:r>
        <w:rPr>
          <w:i/>
          <w:iCs/>
          <w:noProof/>
        </w:rPr>
        <w:t>EUROSTAT</w:t>
      </w:r>
      <w:r>
        <w:rPr>
          <w:noProof/>
        </w:rPr>
        <w:t>) noteiktais tā gada 1. janvārī, kurā veikts ikgadējais maksājums, sākot ar brīdi, kad piemēro UNPRO.5.2. pantā [Sadarbība statistikas jomā] minēto kārtību un saskaņā ar šīs kārtības noteikumiem. Pirms šīs kārtība</w:t>
      </w:r>
      <w:r>
        <w:rPr>
          <w:noProof/>
        </w:rPr>
        <w:t>s piemērošanas Apvienotās Karalistes IKP ir tāds, kāds noteikts, pamatojoties uz datiem, ko sniegusi Ekonomiskās sadarbības un attīstības organizācija (ESAO).</w:t>
      </w:r>
    </w:p>
    <w:p w:rsidR="003E022D" w:rsidRDefault="007D19D6">
      <w:pPr>
        <w:numPr>
          <w:ilvl w:val="0"/>
          <w:numId w:val="468"/>
        </w:numPr>
        <w:rPr>
          <w:rFonts w:cs="Calibri"/>
          <w:noProof/>
        </w:rPr>
      </w:pPr>
      <w:r>
        <w:rPr>
          <w:noProof/>
          <w:color w:val="000000"/>
        </w:rPr>
        <w:t>Operatīvā ieguldījuma pamatā ir iemaksu skalas piemērošana sākotnējām saistību apropriācijām, kas</w:t>
      </w:r>
      <w:r>
        <w:rPr>
          <w:noProof/>
          <w:color w:val="000000"/>
        </w:rPr>
        <w:t xml:space="preserve"> palielinātas, kā aprakstīts </w:t>
      </w:r>
      <w:r>
        <w:rPr>
          <w:noProof/>
          <w:color w:val="000000"/>
          <w:u w:color="000000"/>
        </w:rPr>
        <w:t>5. punktā</w:t>
      </w:r>
      <w:r>
        <w:rPr>
          <w:noProof/>
          <w:color w:val="000000"/>
        </w:rPr>
        <w:t xml:space="preserve"> un iekļautas Savienības budžetā, kurš galīgi pieņemts attiecīgajam gadam, lai finansētu tās Savienības programmas vai darbības, vai izņēmuma kārtā to daļas, kurās Apvienotā Karaliste piedalās.</w:t>
      </w:r>
    </w:p>
    <w:p w:rsidR="003E022D" w:rsidRDefault="007D19D6">
      <w:pPr>
        <w:numPr>
          <w:ilvl w:val="0"/>
          <w:numId w:val="468"/>
        </w:numPr>
        <w:rPr>
          <w:rFonts w:cs="Calibri"/>
          <w:noProof/>
        </w:rPr>
      </w:pPr>
      <w:r>
        <w:rPr>
          <w:noProof/>
          <w:color w:val="000000"/>
        </w:rPr>
        <w:t>Programmas, darbības vai</w:t>
      </w:r>
      <w:r>
        <w:rPr>
          <w:noProof/>
          <w:color w:val="000000"/>
        </w:rPr>
        <w:t xml:space="preserve"> to daļas operatīvo ieguldījumu N. gadam var retrospektīvi koriģēt uz augšu vai uz leju vienā vai vairākos turpmākajos gados, pamatojoties uz budžeta saistībām, kas apstiprinātas par attiecīgā gada apropriācijām, to īstenošanu ar juridiskām saistībām un to</w:t>
      </w:r>
      <w:r>
        <w:rPr>
          <w:noProof/>
          <w:color w:val="000000"/>
        </w:rPr>
        <w:t xml:space="preserve"> atcelšanu.</w:t>
      </w:r>
    </w:p>
    <w:p w:rsidR="003E022D" w:rsidRDefault="007D19D6">
      <w:pPr>
        <w:rPr>
          <w:rFonts w:cs="Calibri"/>
          <w:noProof/>
        </w:rPr>
      </w:pPr>
      <w:r>
        <w:rPr>
          <w:noProof/>
          <w:color w:val="000000"/>
        </w:rPr>
        <w:t>Pirmo</w:t>
      </w:r>
      <w:r>
        <w:rPr>
          <w:noProof/>
        </w:rPr>
        <w:t xml:space="preserve"> korekciju veic N+ 1. gadā, kad sākotnējo ieguldījumu koriģē, to palielinot vai samazinot par starpību starp sākotnējo ieguldījumu un koriģēto ieguldījumu, ko aprēķina, piemērojot N. gada iemaksu skalu summai, kas sastāv no </w:t>
      </w:r>
    </w:p>
    <w:p w:rsidR="003E022D" w:rsidRDefault="007D19D6">
      <w:pPr>
        <w:numPr>
          <w:ilvl w:val="0"/>
          <w:numId w:val="458"/>
        </w:numPr>
        <w:ind w:left="567" w:hanging="567"/>
        <w:rPr>
          <w:rFonts w:cs="Calibri"/>
          <w:noProof/>
        </w:rPr>
      </w:pPr>
      <w:r>
        <w:rPr>
          <w:noProof/>
        </w:rPr>
        <w:t>budžeta saistī</w:t>
      </w:r>
      <w:r>
        <w:rPr>
          <w:noProof/>
        </w:rPr>
        <w:t>bu summas par saistību apropriācijām, kas apstiprinātas N. gadā saskaņā ar Eiropas Savienības apstiprināto budžetu, un par saistību apropriācijām, kas atbilst atceltajām saistībām, kuras atkārtoti darītas pieejamas, un</w:t>
      </w:r>
    </w:p>
    <w:p w:rsidR="003E022D" w:rsidRDefault="007D19D6">
      <w:pPr>
        <w:numPr>
          <w:ilvl w:val="0"/>
          <w:numId w:val="458"/>
        </w:numPr>
        <w:ind w:left="567" w:hanging="567"/>
        <w:rPr>
          <w:rFonts w:cs="Calibri"/>
          <w:noProof/>
        </w:rPr>
      </w:pPr>
      <w:r>
        <w:rPr>
          <w:noProof/>
        </w:rPr>
        <w:t>ārējām piešķirto ieņēmumu apropriācij</w:t>
      </w:r>
      <w:r>
        <w:rPr>
          <w:noProof/>
        </w:rPr>
        <w:t xml:space="preserve">ām, kas neizriet no citu līdzekļu devēju finanšu iemaksām Savienības programmās un darbībās, kā noteikts </w:t>
      </w:r>
      <w:r>
        <w:rPr>
          <w:noProof/>
          <w:u w:color="000000"/>
        </w:rPr>
        <w:t>I protokolā</w:t>
      </w:r>
      <w:r>
        <w:rPr>
          <w:noProof/>
        </w:rPr>
        <w:t>, un kas bija pieejamas N. gada beigās.</w:t>
      </w:r>
    </w:p>
    <w:p w:rsidR="003E022D" w:rsidRDefault="007D19D6">
      <w:pPr>
        <w:widowControl w:val="0"/>
        <w:tabs>
          <w:tab w:val="left" w:pos="355"/>
        </w:tabs>
        <w:spacing w:after="300"/>
        <w:rPr>
          <w:rFonts w:cs="Calibri"/>
          <w:noProof/>
        </w:rPr>
      </w:pPr>
      <w:r>
        <w:rPr>
          <w:noProof/>
        </w:rPr>
        <w:t>Katru nākamo gadu, līdz visas budžeta saistības, ko finansē no apropriācijām, kuras radušās no N. ga</w:t>
      </w:r>
      <w:r>
        <w:rPr>
          <w:noProof/>
        </w:rPr>
        <w:t>da, ir samaksātas vai atceltas, un ne vēlāk kā trīs gadus pēc programmas beigām vai pēc N. gadam atbilstošās daudzgadu finanšu shēmas beigām, atkarībā no tā, kurš datums ir agrāks, Savienība aprēķina N. gada ieguldījuma korekciju, samazinot Apvienotās Kara</w:t>
      </w:r>
      <w:r>
        <w:rPr>
          <w:noProof/>
        </w:rPr>
        <w:t>listes ieguldījumu par summu, kas iegūta, piemērojot N. gada iemaksu skalu saistībām, kuras katru gadu atceltas no Savienības budžeta finansētajām N. gada saistībām vai no atceltajām saistībām, kas atkal darītas pieejamas.</w:t>
      </w:r>
    </w:p>
    <w:p w:rsidR="003E022D" w:rsidRDefault="007D19D6">
      <w:pPr>
        <w:widowControl w:val="0"/>
        <w:tabs>
          <w:tab w:val="left" w:pos="355"/>
        </w:tabs>
        <w:spacing w:after="300"/>
        <w:rPr>
          <w:rFonts w:eastAsia="Arial" w:cs="Calibri"/>
          <w:noProof/>
        </w:rPr>
      </w:pPr>
      <w:r>
        <w:rPr>
          <w:noProof/>
        </w:rPr>
        <w:t>Ja tiek atceltas ārējās piešķirto</w:t>
      </w:r>
      <w:r>
        <w:rPr>
          <w:noProof/>
        </w:rPr>
        <w:t xml:space="preserve"> ieņēmumu apropriācijas, kas neizriet no citu līdzekļu devēju finanšu iemaksām Savienības programmās un darbībās, kā noteikts </w:t>
      </w:r>
      <w:r>
        <w:rPr>
          <w:noProof/>
          <w:u w:color="000000"/>
        </w:rPr>
        <w:t>I protokolā</w:t>
      </w:r>
      <w:r>
        <w:rPr>
          <w:noProof/>
        </w:rPr>
        <w:t>, Apvienotās Karalistes ieguldījumu samazina par summu, kas iegūta, atceltajai summai piemērojot N. gada iemaksu skalu.</w:t>
      </w:r>
    </w:p>
    <w:p w:rsidR="003E022D" w:rsidRDefault="007D19D6">
      <w:pPr>
        <w:widowControl w:val="0"/>
        <w:tabs>
          <w:tab w:val="left" w:pos="355"/>
        </w:tabs>
        <w:spacing w:after="300"/>
        <w:rPr>
          <w:rFonts w:eastAsia="Arial" w:cs="Calibri"/>
          <w:noProof/>
        </w:rPr>
      </w:pPr>
      <w:r>
        <w:rPr>
          <w:noProof/>
        </w:rPr>
        <w:t xml:space="preserve">N+ 2. gadā vai turpmākajos gados pēc otrajā, trešajā un ceturtajā daļā minēto korekciju veikšanas Apvienotās Karalistes ieguldījumu N. gadam samazina arī par summu, kas iegūta, reizinot Apvienotās Karalistes iemaksu N. gadam ar attiecību starp </w:t>
      </w:r>
    </w:p>
    <w:p w:rsidR="003E022D" w:rsidRDefault="007D19D6">
      <w:pPr>
        <w:numPr>
          <w:ilvl w:val="0"/>
          <w:numId w:val="459"/>
        </w:numPr>
        <w:ind w:left="567" w:hanging="567"/>
        <w:rPr>
          <w:rFonts w:cs="Calibri"/>
          <w:noProof/>
        </w:rPr>
      </w:pPr>
      <w:r>
        <w:rPr>
          <w:noProof/>
        </w:rPr>
        <w:t>N. gada ju</w:t>
      </w:r>
      <w:r>
        <w:rPr>
          <w:noProof/>
        </w:rPr>
        <w:t xml:space="preserve">ridiskajām saistībām, kuras finansē no visām saistību apropriācijām, kas pieejamas N. gadā, un kuras izriet no piešķiršanas konkursa procedūrām, </w:t>
      </w:r>
    </w:p>
    <w:p w:rsidR="003E022D" w:rsidRDefault="007D19D6">
      <w:pPr>
        <w:numPr>
          <w:ilvl w:val="0"/>
          <w:numId w:val="460"/>
        </w:numPr>
        <w:ind w:left="1276" w:hanging="567"/>
        <w:rPr>
          <w:rFonts w:cs="Calibri"/>
          <w:noProof/>
          <w:lang w:val="fr-BE"/>
        </w:rPr>
      </w:pPr>
      <w:r>
        <w:rPr>
          <w:noProof/>
          <w:lang w:val="fr-BE"/>
        </w:rPr>
        <w:t>kurās nav iekļauta Apvienotā Karaliste un Apvienotās Karalistes subjekti, vai</w:t>
      </w:r>
    </w:p>
    <w:p w:rsidR="003E022D" w:rsidRDefault="007D19D6">
      <w:pPr>
        <w:numPr>
          <w:ilvl w:val="0"/>
          <w:numId w:val="460"/>
        </w:numPr>
        <w:ind w:left="1276" w:hanging="567"/>
        <w:rPr>
          <w:rFonts w:cs="Calibri"/>
          <w:noProof/>
          <w:color w:val="000000"/>
          <w:u w:color="000000"/>
          <w:bdr w:val="nil"/>
          <w:lang w:val="fr-BE"/>
        </w:rPr>
      </w:pPr>
      <w:r>
        <w:rPr>
          <w:noProof/>
          <w:color w:val="000000"/>
          <w:u w:color="000000"/>
          <w:bdr w:val="nil"/>
          <w:lang w:val="fr-BE"/>
        </w:rPr>
        <w:t>attiecībā uz kurām Specializētā komiteja par dalību Savienības programmās saskaņā ar UNPRO.2.1.a pantā [Kvazi izslēgšana no dotācijas piešķiršanas konkursa procedūras] noteikto procedūru ir nolēmusi, ka Apvienotā Karaliste vai Apvienotās Karalistes subjekt</w:t>
      </w:r>
      <w:r>
        <w:rPr>
          <w:noProof/>
          <w:color w:val="000000"/>
          <w:u w:color="000000"/>
          <w:bdr w:val="nil"/>
          <w:lang w:val="fr-BE"/>
        </w:rPr>
        <w:t xml:space="preserve">i ir kvazi izslēgti, vai </w:t>
      </w:r>
    </w:p>
    <w:p w:rsidR="003E022D" w:rsidRDefault="007D19D6">
      <w:pPr>
        <w:numPr>
          <w:ilvl w:val="0"/>
          <w:numId w:val="460"/>
        </w:numPr>
        <w:ind w:left="1276" w:hanging="567"/>
        <w:rPr>
          <w:rFonts w:cs="Calibri"/>
          <w:noProof/>
          <w:lang w:val="fr-BE"/>
        </w:rPr>
      </w:pPr>
      <w:r>
        <w:rPr>
          <w:noProof/>
          <w:lang w:val="fr-BE"/>
        </w:rPr>
        <w:t xml:space="preserve">attiecībā uz kurām pieteikumu iesniegšanas termiņš ir beidzies </w:t>
      </w:r>
      <w:r>
        <w:rPr>
          <w:noProof/>
          <w:u w:color="000000"/>
          <w:lang w:val="fr-BE"/>
        </w:rPr>
        <w:t>UNPRO.3.1. pantā [Apvienotās Karalistes dalības Savienības programmā apturēšana, ko veic Eiropas Savienība]</w:t>
      </w:r>
      <w:r>
        <w:rPr>
          <w:noProof/>
          <w:lang w:val="fr-BE"/>
        </w:rPr>
        <w:t xml:space="preserve"> minētās apturēšanas laikā vai pēc </w:t>
      </w:r>
      <w:r>
        <w:rPr>
          <w:noProof/>
          <w:u w:color="000000"/>
          <w:lang w:val="fr-BE"/>
        </w:rPr>
        <w:t>UNPRO.3.3. pantā [Dalības</w:t>
      </w:r>
      <w:r>
        <w:rPr>
          <w:noProof/>
          <w:u w:color="000000"/>
          <w:lang w:val="fr-BE"/>
        </w:rPr>
        <w:t xml:space="preserve"> izbeigšana programmā būtisku Savienības programmas grozījumu gadījumā]</w:t>
      </w:r>
      <w:r>
        <w:rPr>
          <w:noProof/>
          <w:lang w:val="fr-BE"/>
        </w:rPr>
        <w:t xml:space="preserve"> minētās izbeigšanas, vai</w:t>
      </w:r>
    </w:p>
    <w:p w:rsidR="003E022D" w:rsidRDefault="007D19D6">
      <w:pPr>
        <w:numPr>
          <w:ilvl w:val="0"/>
          <w:numId w:val="460"/>
        </w:numPr>
        <w:ind w:left="1276" w:hanging="567"/>
        <w:rPr>
          <w:rFonts w:cs="Calibri"/>
          <w:noProof/>
          <w:lang w:val="fr-BE"/>
        </w:rPr>
      </w:pPr>
      <w:r>
        <w:rPr>
          <w:noProof/>
          <w:lang w:val="fr-BE"/>
        </w:rPr>
        <w:t>kurās Apvienotās Karalistes un Apvienotās Karalistes subjektu dalība ir ierobežota saskaņā ar UNPRO.3.5. panta [Finanšu pieauguma pārskatīšana] 3. punktu, un</w:t>
      </w:r>
    </w:p>
    <w:p w:rsidR="003E022D" w:rsidRDefault="007D19D6">
      <w:pPr>
        <w:numPr>
          <w:ilvl w:val="0"/>
          <w:numId w:val="459"/>
        </w:numPr>
        <w:ind w:left="567" w:hanging="567"/>
        <w:rPr>
          <w:rFonts w:cs="Calibri"/>
          <w:noProof/>
          <w:lang w:val="fr-BE"/>
        </w:rPr>
      </w:pPr>
      <w:r>
        <w:rPr>
          <w:noProof/>
          <w:lang w:val="fr-BE"/>
        </w:rPr>
        <w:t>t</w:t>
      </w:r>
      <w:r>
        <w:rPr>
          <w:noProof/>
          <w:lang w:val="fr-BE"/>
        </w:rPr>
        <w:t xml:space="preserve">o juridisko saistību kopsummu, kas finansētas no jebkurām saistību apropriācijām N. gadā. </w:t>
      </w:r>
    </w:p>
    <w:p w:rsidR="003E022D" w:rsidRDefault="007D19D6">
      <w:pPr>
        <w:widowControl w:val="0"/>
        <w:tabs>
          <w:tab w:val="left" w:pos="355"/>
        </w:tabs>
        <w:spacing w:after="300" w:line="307" w:lineRule="exact"/>
        <w:rPr>
          <w:rFonts w:eastAsia="Arial" w:cs="Calibri"/>
          <w:noProof/>
          <w:lang w:val="fr-BE"/>
        </w:rPr>
      </w:pPr>
      <w:r>
        <w:rPr>
          <w:noProof/>
          <w:lang w:val="fr-BE"/>
        </w:rPr>
        <w:t>Šo juridisko saistību summu aprēķina, ņemot vērā visas budžeta saistības, kas apstiprinātas N. gadā, un atskaitot saistības, kuru atcelšana ir apstiprināta N+ 1. gad</w:t>
      </w:r>
      <w:r>
        <w:rPr>
          <w:noProof/>
          <w:lang w:val="fr-BE"/>
        </w:rPr>
        <w:t>ā.</w:t>
      </w:r>
    </w:p>
    <w:p w:rsidR="003E022D" w:rsidRDefault="007D19D6">
      <w:pPr>
        <w:numPr>
          <w:ilvl w:val="0"/>
          <w:numId w:val="438"/>
        </w:numPr>
        <w:rPr>
          <w:rFonts w:cs="Calibri"/>
          <w:noProof/>
          <w:lang w:val="fr-BE"/>
        </w:rPr>
      </w:pPr>
      <w:r>
        <w:rPr>
          <w:noProof/>
          <w:color w:val="000000"/>
          <w:lang w:val="fr-BE"/>
        </w:rPr>
        <w:t>Savienība pēc pieprasījuma sniedz Apvienotajai Karalistei informāciju par tās</w:t>
      </w:r>
      <w:r>
        <w:rPr>
          <w:noProof/>
          <w:lang w:val="fr-BE"/>
        </w:rPr>
        <w:t xml:space="preserve"> finansiālo</w:t>
      </w:r>
      <w:r>
        <w:rPr>
          <w:noProof/>
          <w:color w:val="000000"/>
          <w:lang w:val="fr-BE"/>
        </w:rPr>
        <w:t xml:space="preserve"> līdzdalību, kas iekļauta ar budžetu, grāmatvedību, izpildi un novērtēšanu saistītā informācijā, kuru sniedz Savienības budžeta lēmējinstitūcijām un budžeta izpildes apstiprinātājiestādei par Savienības programmām un darbībām, kurās Apvienotā Karaliste pie</w:t>
      </w:r>
      <w:r>
        <w:rPr>
          <w:noProof/>
          <w:color w:val="000000"/>
          <w:lang w:val="fr-BE"/>
        </w:rPr>
        <w:t xml:space="preserve">dalās. Šo informāciju sniedz, pienācīgi ievērojot Savienības un Apvienotās Karalistes konfidencialitātes un datu aizsardzības noteikumus, un tā neskar informāciju, ko Apvienotā Karaliste ir tiesīga saņemt saskaņā ar šīs </w:t>
      </w:r>
      <w:r>
        <w:rPr>
          <w:noProof/>
          <w:color w:val="000000"/>
          <w:u w:color="000000"/>
          <w:lang w:val="fr-BE"/>
        </w:rPr>
        <w:t>Daļas otro nodaļu [Pareiza finanšu p</w:t>
      </w:r>
      <w:r>
        <w:rPr>
          <w:noProof/>
          <w:color w:val="000000"/>
          <w:u w:color="000000"/>
          <w:lang w:val="fr-BE"/>
        </w:rPr>
        <w:t>ārvaldība]</w:t>
      </w:r>
      <w:r>
        <w:rPr>
          <w:noProof/>
          <w:color w:val="000000"/>
          <w:lang w:val="fr-BE"/>
        </w:rPr>
        <w:t>.</w:t>
      </w:r>
    </w:p>
    <w:p w:rsidR="003E022D" w:rsidRDefault="007D19D6">
      <w:pPr>
        <w:numPr>
          <w:ilvl w:val="0"/>
          <w:numId w:val="438"/>
        </w:numPr>
        <w:rPr>
          <w:rFonts w:cs="Calibri"/>
          <w:noProof/>
          <w:lang w:val="fr-BE"/>
        </w:rPr>
      </w:pPr>
      <w:r>
        <w:rPr>
          <w:noProof/>
          <w:color w:val="000000"/>
          <w:lang w:val="fr-BE"/>
        </w:rPr>
        <w:t>Visas Apvienotās Karalistes iemaksas vai Savienības maksājumus un maksājamo vai saņemamo summu aprēķinu veic euro.</w:t>
      </w:r>
    </w:p>
    <w:p w:rsidR="003E022D" w:rsidRDefault="007D19D6">
      <w:pPr>
        <w:numPr>
          <w:ilvl w:val="0"/>
          <w:numId w:val="438"/>
        </w:numPr>
        <w:rPr>
          <w:rFonts w:cs="Calibri"/>
          <w:noProof/>
          <w:lang w:val="fr-BE"/>
        </w:rPr>
      </w:pPr>
      <w:r>
        <w:rPr>
          <w:noProof/>
          <w:color w:val="000000"/>
          <w:lang w:val="fr-BE"/>
        </w:rPr>
        <w:t xml:space="preserve">Ievērojot </w:t>
      </w:r>
      <w:r>
        <w:rPr>
          <w:noProof/>
          <w:color w:val="000000"/>
          <w:u w:color="000000"/>
          <w:lang w:val="fr-BE"/>
        </w:rPr>
        <w:t>šā panta 5. punktu un 8. punkta otro daļu</w:t>
      </w:r>
      <w:r>
        <w:rPr>
          <w:noProof/>
          <w:color w:val="000000"/>
          <w:lang w:val="fr-BE"/>
        </w:rPr>
        <w:t xml:space="preserve">, sīki izstrādāti noteikumi šā </w:t>
      </w:r>
      <w:r>
        <w:rPr>
          <w:noProof/>
          <w:color w:val="000000"/>
          <w:u w:color="000000"/>
          <w:lang w:val="fr-BE"/>
        </w:rPr>
        <w:t>panta</w:t>
      </w:r>
      <w:r>
        <w:rPr>
          <w:noProof/>
          <w:color w:val="000000"/>
          <w:lang w:val="fr-BE"/>
        </w:rPr>
        <w:t xml:space="preserve"> īstenošanai ir izklāstīti </w:t>
      </w:r>
      <w:r>
        <w:rPr>
          <w:noProof/>
          <w:color w:val="000000"/>
          <w:u w:color="000000"/>
          <w:lang w:val="fr-BE"/>
        </w:rPr>
        <w:t>UNPRO-1. PIELIK</w:t>
      </w:r>
      <w:r>
        <w:rPr>
          <w:noProof/>
          <w:color w:val="000000"/>
          <w:u w:color="000000"/>
          <w:lang w:val="fr-BE"/>
        </w:rPr>
        <w:t>UMĀ</w:t>
      </w:r>
      <w:r>
        <w:rPr>
          <w:noProof/>
          <w:color w:val="000000"/>
          <w:lang w:val="fr-BE"/>
        </w:rPr>
        <w:t xml:space="preserve"> </w:t>
      </w:r>
      <w:r>
        <w:rPr>
          <w:noProof/>
          <w:color w:val="000000"/>
          <w:u w:color="000000"/>
          <w:lang w:val="fr-BE"/>
        </w:rPr>
        <w:t>[Finansiālo nosacījumu īstenošana]</w:t>
      </w:r>
      <w:r>
        <w:rPr>
          <w:noProof/>
          <w:color w:val="000000"/>
          <w:lang w:val="fr-BE"/>
        </w:rPr>
        <w:t xml:space="preserve">. </w:t>
      </w:r>
      <w:r>
        <w:rPr>
          <w:noProof/>
          <w:color w:val="000000"/>
          <w:u w:color="000000"/>
          <w:lang w:val="fr-BE"/>
        </w:rPr>
        <w:t>UNPRO-1. pielikumu</w:t>
      </w:r>
      <w:r>
        <w:rPr>
          <w:noProof/>
          <w:color w:val="000000"/>
          <w:lang w:val="fr-BE"/>
        </w:rPr>
        <w:t xml:space="preserve"> var grozīt Specializētā komiteja par dalību Savienības programmās.</w:t>
      </w:r>
    </w:p>
    <w:p w:rsidR="003E022D" w:rsidRDefault="007D19D6">
      <w:pPr>
        <w:pStyle w:val="Article"/>
        <w:rPr>
          <w:noProof/>
          <w:lang w:val="fr-BE"/>
        </w:rPr>
      </w:pPr>
      <w:r>
        <w:rPr>
          <w:noProof/>
          <w:lang w:val="fr-BE"/>
        </w:rPr>
        <w:t>UNPRO.2.1a. pants. Kvazi izslēgšana no dotāciju piešķiršanas konkursa procedūras</w:t>
      </w:r>
    </w:p>
    <w:p w:rsidR="003E022D" w:rsidRDefault="007D19D6">
      <w:pPr>
        <w:numPr>
          <w:ilvl w:val="0"/>
          <w:numId w:val="457"/>
        </w:numPr>
        <w:ind w:left="0" w:firstLine="0"/>
        <w:rPr>
          <w:rFonts w:cs="Calibri"/>
          <w:noProof/>
          <w:vanish/>
          <w:lang w:val="fr-BE"/>
        </w:rPr>
      </w:pPr>
      <w:r>
        <w:rPr>
          <w:noProof/>
          <w:lang w:val="fr-BE"/>
        </w:rPr>
        <w:t>Ja Apvienotā Karaliste uzskata, ka daži nosacījum</w:t>
      </w:r>
      <w:r>
        <w:rPr>
          <w:noProof/>
          <w:lang w:val="fr-BE"/>
        </w:rPr>
        <w:t>i, kas paredzēti dotāciju piešķiršanas konkursa procedūrā, kvazi izslēdz Apvienotās Karalistes subjektus, Apvienotā Karaliste par to paziņo Specializētajai komitejai par dalību Savienības programmās pirms pieteikumu iesniegšanas termiņa attiecīgajā procedū</w:t>
      </w:r>
      <w:r>
        <w:rPr>
          <w:noProof/>
          <w:lang w:val="fr-BE"/>
        </w:rPr>
        <w:t>rā un sniedz pamatojumu.</w:t>
      </w:r>
    </w:p>
    <w:p w:rsidR="003E022D" w:rsidRDefault="007D19D6">
      <w:pPr>
        <w:numPr>
          <w:ilvl w:val="0"/>
          <w:numId w:val="457"/>
        </w:numPr>
        <w:ind w:left="0" w:firstLine="0"/>
        <w:rPr>
          <w:rFonts w:cs="Calibri"/>
          <w:noProof/>
          <w:lang w:val="fr-BE"/>
        </w:rPr>
      </w:pPr>
      <w:r>
        <w:rPr>
          <w:noProof/>
          <w:lang w:val="fr-BE"/>
        </w:rPr>
        <w:t xml:space="preserve">Trīs mēnešu laikā pēc pieteikumu iesniegšanas termiņa attiecīgajā piešķiršanas procedūrā Specializētā komiteja par dalību Savienības programmās izskata </w:t>
      </w:r>
      <w:r>
        <w:rPr>
          <w:noProof/>
          <w:u w:color="000000"/>
          <w:lang w:val="fr-BE"/>
        </w:rPr>
        <w:t>1. punktā</w:t>
      </w:r>
      <w:r>
        <w:rPr>
          <w:noProof/>
          <w:lang w:val="fr-BE"/>
        </w:rPr>
        <w:t xml:space="preserve"> minēto paziņojumu ar nosacījumu, ka Apvienotās Karalistes subjektu da</w:t>
      </w:r>
      <w:r>
        <w:rPr>
          <w:noProof/>
          <w:lang w:val="fr-BE"/>
        </w:rPr>
        <w:t>lības līmenis attiecīgajā piešķiršanas procedūrā ir vismaz par 25 % zemāks nekā:</w:t>
      </w:r>
    </w:p>
    <w:p w:rsidR="003E022D" w:rsidRDefault="007D19D6">
      <w:pPr>
        <w:numPr>
          <w:ilvl w:val="0"/>
          <w:numId w:val="456"/>
        </w:numPr>
        <w:ind w:left="567" w:hanging="567"/>
        <w:rPr>
          <w:rFonts w:cs="Calibri"/>
          <w:noProof/>
          <w:lang w:val="fr-BE"/>
        </w:rPr>
      </w:pPr>
      <w:r>
        <w:rPr>
          <w:noProof/>
          <w:lang w:val="fr-BE"/>
        </w:rPr>
        <w:t>Apvienotās Karalistes subjektu vidējais dalības līmenis līdzīgās piešķiršanas konkursa procedūrās, kurās nav iekļauts šāds nosacījums un kuras sāktas trīs gadu periodā pirms p</w:t>
      </w:r>
      <w:r>
        <w:rPr>
          <w:noProof/>
          <w:lang w:val="fr-BE"/>
        </w:rPr>
        <w:t>aziņošanas; vai</w:t>
      </w:r>
    </w:p>
    <w:p w:rsidR="003E022D" w:rsidRDefault="007D19D6">
      <w:pPr>
        <w:numPr>
          <w:ilvl w:val="0"/>
          <w:numId w:val="456"/>
        </w:numPr>
        <w:ind w:left="567" w:hanging="567"/>
        <w:rPr>
          <w:rFonts w:cs="Calibri"/>
          <w:noProof/>
          <w:lang w:val="fr-BE"/>
        </w:rPr>
      </w:pPr>
      <w:r>
        <w:rPr>
          <w:noProof/>
          <w:lang w:val="fr-BE"/>
        </w:rPr>
        <w:t xml:space="preserve">ja līdzīgu piešķiršanas konkursa procedūru nav, Apvienotās Karalistes subjektu vidējais dalības līmenis visās piešķiršanas konkursa procedūrās, kas uzsāktas saskaņā ar programmu vai – attiecīgā gadījumā – ar iepriekšējo programmu trīs gadu </w:t>
      </w:r>
      <w:r>
        <w:rPr>
          <w:noProof/>
          <w:lang w:val="fr-BE"/>
        </w:rPr>
        <w:t xml:space="preserve">laikā pirms paziņošanas. </w:t>
      </w:r>
    </w:p>
    <w:p w:rsidR="003E022D" w:rsidRDefault="007D19D6">
      <w:pPr>
        <w:numPr>
          <w:ilvl w:val="0"/>
          <w:numId w:val="457"/>
        </w:numPr>
        <w:ind w:left="0" w:firstLine="0"/>
        <w:rPr>
          <w:rFonts w:cs="Calibri"/>
          <w:noProof/>
          <w:lang w:val="fr-BE"/>
        </w:rPr>
      </w:pPr>
      <w:r>
        <w:rPr>
          <w:noProof/>
          <w:lang w:val="fr-BE"/>
        </w:rPr>
        <w:t xml:space="preserve">Specializētā komiteja par dalību Savienības programmās līdz </w:t>
      </w:r>
      <w:r>
        <w:rPr>
          <w:noProof/>
          <w:u w:color="000000"/>
          <w:lang w:val="fr-BE"/>
        </w:rPr>
        <w:t>2. punktā</w:t>
      </w:r>
      <w:r>
        <w:rPr>
          <w:noProof/>
          <w:lang w:val="fr-BE"/>
        </w:rPr>
        <w:t xml:space="preserve"> minētā laikposma beigām pieņem lēmumu par to, vai Apvienotās Karalistes subjekti ir kvazi izslēgti no attiecīgās piešķiršanas procedūras, ņemot vērā Apvienotās Karalistes saskaņā ar </w:t>
      </w:r>
      <w:r>
        <w:rPr>
          <w:noProof/>
          <w:u w:color="000000"/>
          <w:lang w:val="fr-BE"/>
        </w:rPr>
        <w:t>1. punktu</w:t>
      </w:r>
      <w:r>
        <w:rPr>
          <w:noProof/>
          <w:lang w:val="fr-BE"/>
        </w:rPr>
        <w:t xml:space="preserve"> sniegto pamatojumu un faktisko dalības īpatsvaru attiecīgajā pi</w:t>
      </w:r>
      <w:r>
        <w:rPr>
          <w:noProof/>
          <w:lang w:val="fr-BE"/>
        </w:rPr>
        <w:t>ešķiršanas procedūrā.</w:t>
      </w:r>
    </w:p>
    <w:p w:rsidR="003E022D" w:rsidRDefault="007D19D6">
      <w:pPr>
        <w:numPr>
          <w:ilvl w:val="0"/>
          <w:numId w:val="457"/>
        </w:numPr>
        <w:ind w:left="0" w:firstLine="0"/>
        <w:rPr>
          <w:rFonts w:cs="Calibri"/>
          <w:noProof/>
          <w:lang w:val="fr-BE"/>
        </w:rPr>
      </w:pPr>
      <w:r>
        <w:rPr>
          <w:noProof/>
          <w:u w:color="000000"/>
          <w:lang w:val="fr-BE"/>
        </w:rPr>
        <w:t>2. un 3. punkta</w:t>
      </w:r>
      <w:r>
        <w:rPr>
          <w:noProof/>
          <w:lang w:val="fr-BE"/>
        </w:rPr>
        <w:t xml:space="preserve"> nolūkiem dalības rādītājs ir attiecība starp Apvienotās Karalistes subjektu iesniegto pieteikumu skaitu un tajā pašā piešķiršanas procedūrā iesniegto pieteikumu kopējo skaitu.</w:t>
      </w:r>
    </w:p>
    <w:p w:rsidR="003E022D" w:rsidRDefault="007D19D6">
      <w:pPr>
        <w:pStyle w:val="Article"/>
        <w:rPr>
          <w:noProof/>
          <w:lang w:val="de-DE"/>
        </w:rPr>
      </w:pPr>
      <w:r>
        <w:rPr>
          <w:noProof/>
          <w:lang w:val="de-DE"/>
        </w:rPr>
        <w:t>UNPRO.2.2. pants. Programmas, kurām piemēr</w:t>
      </w:r>
      <w:r>
        <w:rPr>
          <w:noProof/>
          <w:lang w:val="de-DE"/>
        </w:rPr>
        <w:t>o automātiskas korekcijas mehānismu</w:t>
      </w:r>
    </w:p>
    <w:p w:rsidR="003E022D" w:rsidRDefault="007D19D6">
      <w:pPr>
        <w:pStyle w:val="ListParagraph"/>
        <w:numPr>
          <w:ilvl w:val="0"/>
          <w:numId w:val="493"/>
        </w:numPr>
        <w:ind w:left="0" w:firstLine="0"/>
        <w:rPr>
          <w:rFonts w:eastAsia="Arial" w:cs="Calibri"/>
          <w:noProof/>
          <w:lang w:val="de-DE"/>
        </w:rPr>
      </w:pPr>
      <w:r>
        <w:rPr>
          <w:noProof/>
          <w:lang w:val="de-DE"/>
        </w:rPr>
        <w:t>Automātiskas</w:t>
      </w:r>
      <w:r>
        <w:rPr>
          <w:noProof/>
          <w:color w:val="000000"/>
          <w:lang w:val="de-DE"/>
        </w:rPr>
        <w:t xml:space="preserve"> </w:t>
      </w:r>
      <w:r>
        <w:rPr>
          <w:noProof/>
          <w:lang w:val="de-DE"/>
        </w:rPr>
        <w:t>korekcijas</w:t>
      </w:r>
      <w:r>
        <w:rPr>
          <w:noProof/>
          <w:color w:val="000000"/>
          <w:lang w:val="de-DE"/>
        </w:rPr>
        <w:t xml:space="preserve"> mehānismu piemēro tām Savienības programmām, darbībām vai to daļām, kurām automātiskas korekcijas mehānisma piemērošana ir paredzēta I protokolā.</w:t>
      </w:r>
      <w:r>
        <w:rPr>
          <w:noProof/>
          <w:lang w:val="de-DE"/>
        </w:rPr>
        <w:t xml:space="preserve"> Šo automātiskas korekcijas mehānisma piemērošanu v</w:t>
      </w:r>
      <w:r>
        <w:rPr>
          <w:noProof/>
          <w:lang w:val="de-DE"/>
        </w:rPr>
        <w:t xml:space="preserve">ar ierobežot, attiecinot to tikai uz </w:t>
      </w:r>
      <w:r>
        <w:rPr>
          <w:noProof/>
          <w:color w:val="000000"/>
          <w:lang w:val="de-DE"/>
        </w:rPr>
        <w:t>tām programmas vai darbības daļām, kas norādītas I protokolā un ko īsteno, izmantojot dotācijas, kuru piešķiršanai tiek organizēti konkursi. Sīki izstrādātus noteikumus par to programmas vai darbības daļu identificēšanu</w:t>
      </w:r>
      <w:r>
        <w:rPr>
          <w:noProof/>
          <w:color w:val="000000"/>
          <w:lang w:val="de-DE"/>
        </w:rPr>
        <w:t xml:space="preserve">, uz kurām attiecas vai neattiecas automātiskas korekcijas mehānisms, var paredzēt </w:t>
      </w:r>
      <w:r>
        <w:rPr>
          <w:noProof/>
          <w:color w:val="000000"/>
          <w:u w:color="000000"/>
          <w:lang w:val="de-DE"/>
        </w:rPr>
        <w:t>I protokolā</w:t>
      </w:r>
      <w:r>
        <w:rPr>
          <w:noProof/>
          <w:color w:val="000000"/>
          <w:lang w:val="de-DE"/>
        </w:rPr>
        <w:t>.</w:t>
      </w:r>
    </w:p>
    <w:p w:rsidR="003E022D" w:rsidRDefault="003E022D">
      <w:pPr>
        <w:pStyle w:val="ListParagraph"/>
        <w:ind w:left="0"/>
        <w:rPr>
          <w:rFonts w:eastAsia="Arial" w:cs="Calibri"/>
          <w:noProof/>
          <w:lang w:val="de-DE" w:eastAsia="en-GB"/>
        </w:rPr>
      </w:pPr>
    </w:p>
    <w:p w:rsidR="003E022D" w:rsidRDefault="007D19D6">
      <w:pPr>
        <w:pStyle w:val="ListParagraph"/>
        <w:numPr>
          <w:ilvl w:val="0"/>
          <w:numId w:val="493"/>
        </w:numPr>
        <w:ind w:left="0" w:firstLine="0"/>
        <w:rPr>
          <w:rFonts w:eastAsia="Arial" w:cs="Calibri"/>
          <w:noProof/>
          <w:color w:val="000000"/>
          <w:lang w:val="de-DE"/>
        </w:rPr>
      </w:pPr>
      <w:r>
        <w:rPr>
          <w:noProof/>
          <w:color w:val="000000"/>
          <w:lang w:val="de-DE"/>
        </w:rPr>
        <w:t>Programmas vai darbības, vai to daļas automātiskās korekcijas summa ir starpība starp to juridisko saistību sākotnējām summām, kuras faktiski noslēgtas ar Apvi</w:t>
      </w:r>
      <w:r>
        <w:rPr>
          <w:noProof/>
          <w:color w:val="000000"/>
          <w:lang w:val="de-DE"/>
        </w:rPr>
        <w:t>enoto Karalisti vai Apvienotās Karalistes subjektiem, kas saņēmuši finansējumu no attiecīgā kalendārā gada saistību apropriācijām, un attiecīgo Apvienotās Karalistes maksāto operatīvo ieguldījumu, kas koriģēts saskaņā ar UNPRO 2.1. panta [</w:t>
      </w:r>
      <w:r>
        <w:rPr>
          <w:bCs/>
          <w:iCs/>
          <w:noProof/>
          <w:color w:val="000000"/>
          <w:shd w:val="clear" w:color="auto" w:fill="FFFFFF"/>
          <w:lang w:val="de-DE"/>
        </w:rPr>
        <w:t>Finanšu nosacījum</w:t>
      </w:r>
      <w:r>
        <w:rPr>
          <w:bCs/>
          <w:iCs/>
          <w:noProof/>
          <w:color w:val="000000"/>
          <w:shd w:val="clear" w:color="auto" w:fill="FFFFFF"/>
          <w:lang w:val="de-DE"/>
        </w:rPr>
        <w:t>i]</w:t>
      </w:r>
      <w:r>
        <w:rPr>
          <w:noProof/>
          <w:color w:val="000000"/>
          <w:lang w:val="de-DE"/>
        </w:rPr>
        <w:t xml:space="preserve"> 8. punktu, izņemot atbalsta izdevumus, kas attiecas uz to pašu laikposmu, ja šī summa ir pozitīva. </w:t>
      </w:r>
    </w:p>
    <w:p w:rsidR="003E022D" w:rsidRDefault="003E022D">
      <w:pPr>
        <w:pStyle w:val="ListParagraph"/>
        <w:ind w:left="0"/>
        <w:rPr>
          <w:rFonts w:eastAsia="Arial" w:cs="Calibri"/>
          <w:noProof/>
          <w:lang w:val="de-DE" w:eastAsia="en-GB"/>
        </w:rPr>
      </w:pPr>
    </w:p>
    <w:p w:rsidR="003E022D" w:rsidRDefault="007D19D6">
      <w:pPr>
        <w:pStyle w:val="ListParagraph"/>
        <w:numPr>
          <w:ilvl w:val="0"/>
          <w:numId w:val="493"/>
        </w:numPr>
        <w:ind w:left="0" w:firstLine="0"/>
        <w:rPr>
          <w:rFonts w:eastAsia="Arial" w:cs="Calibri"/>
          <w:noProof/>
          <w:lang w:val="de-DE"/>
        </w:rPr>
      </w:pPr>
      <w:r>
        <w:rPr>
          <w:noProof/>
          <w:lang w:val="de-DE"/>
        </w:rPr>
        <w:t xml:space="preserve">Šā panta 2. punktā minētā summa, kas katrā no diviem secīgiem gadiem pārsniedz 8 % no </w:t>
      </w:r>
      <w:r>
        <w:rPr>
          <w:noProof/>
          <w:color w:val="000000"/>
          <w:lang w:val="de-DE"/>
        </w:rPr>
        <w:t>Apvienotās Karalistes atbilstošā ieguldījuma programmā, kurš koriģ</w:t>
      </w:r>
      <w:r>
        <w:rPr>
          <w:noProof/>
          <w:color w:val="000000"/>
          <w:lang w:val="de-DE"/>
        </w:rPr>
        <w:t>ēts saskaņā ar UNPRO 2.1. panta [</w:t>
      </w:r>
      <w:r>
        <w:rPr>
          <w:bCs/>
          <w:iCs/>
          <w:noProof/>
          <w:color w:val="000000"/>
          <w:shd w:val="clear" w:color="auto" w:fill="FFFFFF"/>
          <w:lang w:val="de-DE"/>
        </w:rPr>
        <w:t>Finanšu nosacījumi</w:t>
      </w:r>
      <w:r>
        <w:rPr>
          <w:noProof/>
          <w:color w:val="000000"/>
          <w:lang w:val="de-DE"/>
        </w:rPr>
        <w:t xml:space="preserve">] 8. punktu, Apvienotajai Karalistei ir jāmaksā kā papildu ieguldījums saskaņā ar automātiskās korekcijas mehānismu par katru no diviem gadiem. </w:t>
      </w:r>
    </w:p>
    <w:p w:rsidR="003E022D" w:rsidRDefault="003E022D">
      <w:pPr>
        <w:pStyle w:val="ListParagraph"/>
        <w:ind w:left="0"/>
        <w:rPr>
          <w:rFonts w:eastAsia="Arial" w:cs="Calibri"/>
          <w:noProof/>
          <w:lang w:val="de-DE" w:eastAsia="en-GB"/>
        </w:rPr>
      </w:pPr>
    </w:p>
    <w:p w:rsidR="003E022D" w:rsidRDefault="007D19D6">
      <w:pPr>
        <w:pStyle w:val="ListParagraph"/>
        <w:numPr>
          <w:ilvl w:val="0"/>
          <w:numId w:val="493"/>
        </w:numPr>
        <w:ind w:left="0" w:firstLine="0"/>
        <w:rPr>
          <w:rFonts w:eastAsia="Arial" w:cs="Calibri"/>
          <w:noProof/>
          <w:lang w:val="de-DE"/>
        </w:rPr>
      </w:pPr>
      <w:r>
        <w:rPr>
          <w:noProof/>
          <w:lang w:val="de-DE"/>
        </w:rPr>
        <w:t>Sīki izstrādātus noteikumus par šā panta 2. punktā minēto j</w:t>
      </w:r>
      <w:r>
        <w:rPr>
          <w:noProof/>
          <w:lang w:val="de-DE"/>
        </w:rPr>
        <w:t xml:space="preserve">uridisko saistību attiecīgo summu noteikšanu, t. sk. konsorciju gadījumā, un par automātisko korekciju, var paredzēt I protokolā. </w:t>
      </w:r>
    </w:p>
    <w:p w:rsidR="003E022D" w:rsidRDefault="007D19D6">
      <w:pPr>
        <w:pStyle w:val="Article"/>
        <w:rPr>
          <w:noProof/>
          <w:lang w:val="de-DE"/>
        </w:rPr>
      </w:pPr>
      <w:r>
        <w:rPr>
          <w:noProof/>
          <w:lang w:val="de-DE"/>
        </w:rPr>
        <w:t>UNPRO.2.3. pants. Finansējums saistībā ar programmām, ko īsteno, izmantojot finanšu instrumentus vai budžeta garantijas</w:t>
      </w:r>
    </w:p>
    <w:p w:rsidR="003E022D" w:rsidRDefault="007D19D6">
      <w:pPr>
        <w:numPr>
          <w:ilvl w:val="0"/>
          <w:numId w:val="439"/>
        </w:numPr>
        <w:rPr>
          <w:rFonts w:cs="Calibri"/>
          <w:noProof/>
          <w:lang w:val="de-DE"/>
        </w:rPr>
      </w:pPr>
      <w:r>
        <w:rPr>
          <w:noProof/>
          <w:lang w:val="de-DE"/>
        </w:rPr>
        <w:t>Ja Ap</w:t>
      </w:r>
      <w:r>
        <w:rPr>
          <w:noProof/>
          <w:lang w:val="de-DE"/>
        </w:rPr>
        <w:t>vienotā Karaliste piedalās Savienības programmā, darbībā vai to daļā, ko īsteno, izmantojot finanšu instrumentu vai budžeta garantiju, Apvienotās Karalistes ieguldījumu programmās, kuras īsteno, izmantojot finanšu instrumentus vai budžeta garantijas saskaņ</w:t>
      </w:r>
      <w:r>
        <w:rPr>
          <w:noProof/>
          <w:lang w:val="de-DE"/>
        </w:rPr>
        <w:t xml:space="preserve">ā ar Savienības budžetu, ko īsteno saskaņā ar </w:t>
      </w:r>
      <w:r>
        <w:rPr>
          <w:noProof/>
          <w:color w:val="000000"/>
          <w:u w:color="000000"/>
          <w:lang w:val="de-DE"/>
        </w:rPr>
        <w:t>X</w:t>
      </w:r>
      <w:r>
        <w:rPr>
          <w:noProof/>
          <w:u w:color="000000"/>
          <w:lang w:val="de-DE"/>
        </w:rPr>
        <w:t> sadaļu Finanšu regulā</w:t>
      </w:r>
      <w:r>
        <w:rPr>
          <w:noProof/>
          <w:lang w:val="de-DE"/>
        </w:rPr>
        <w:t>, ko piemēro Savienības vispārējam budžetam, veic naudas veidā. Skaidrā naudā iemaksātā summa palielina Savienības budžeta garantiju vai finanšu instrumenta finansējumu.</w:t>
      </w:r>
    </w:p>
    <w:p w:rsidR="003E022D" w:rsidRDefault="007D19D6">
      <w:pPr>
        <w:numPr>
          <w:ilvl w:val="0"/>
          <w:numId w:val="439"/>
        </w:numPr>
        <w:rPr>
          <w:rFonts w:cs="Calibri"/>
          <w:noProof/>
          <w:lang w:val="de-DE"/>
        </w:rPr>
      </w:pPr>
      <w:bookmarkStart w:id="921" w:name="bookmark112"/>
      <w:r>
        <w:rPr>
          <w:noProof/>
          <w:color w:val="000000"/>
          <w:lang w:val="de-DE"/>
        </w:rPr>
        <w:t>Ja Apvienotā Kara</w:t>
      </w:r>
      <w:r>
        <w:rPr>
          <w:noProof/>
          <w:color w:val="000000"/>
          <w:lang w:val="de-DE"/>
        </w:rPr>
        <w:t xml:space="preserve">liste piedalās 1. punktā minētajā programmā, ko īsteno Eiropas Investīciju bankas grupa, un ja </w:t>
      </w:r>
      <w:r>
        <w:rPr>
          <w:noProof/>
          <w:lang w:val="de-DE"/>
        </w:rPr>
        <w:t>Eiropas</w:t>
      </w:r>
      <w:r>
        <w:rPr>
          <w:noProof/>
          <w:color w:val="000000"/>
          <w:lang w:val="de-DE"/>
        </w:rPr>
        <w:t xml:space="preserve"> Investīciju bankas grupai ir jāsedz zaudējumi, ko nesedz no Savienības budžeta sniegtā garantija, Apvienotā Karaliste maksā Eiropas Investīciju bankas grupai procentuālo daļu no šiem zaudējumiem, kas ir vienāda ar attiecību starp Apvienotās Karalistes iek</w:t>
      </w:r>
      <w:r>
        <w:rPr>
          <w:noProof/>
          <w:color w:val="000000"/>
          <w:lang w:val="de-DE"/>
        </w:rPr>
        <w:t xml:space="preserve">šzemes kopproduktu tirgus cenās un dalībvalstu, Apvienotās Karalistes un jebkuras citas šajā programmā iesaistītās trešās valsts iekšzemes kopprodukta summu tirgus cenās. </w:t>
      </w:r>
      <w:bookmarkEnd w:id="921"/>
      <w:r>
        <w:rPr>
          <w:noProof/>
          <w:lang w:val="de-DE"/>
        </w:rPr>
        <w:t xml:space="preserve">Piemērojamais iekšzemes kopprodukts tirgus cenās ir jaunākais pieejamais </w:t>
      </w:r>
      <w:r>
        <w:rPr>
          <w:i/>
          <w:iCs/>
          <w:noProof/>
          <w:lang w:val="de-DE"/>
        </w:rPr>
        <w:t>EUROSTAT</w:t>
      </w:r>
      <w:r>
        <w:rPr>
          <w:noProof/>
          <w:lang w:val="de-DE"/>
        </w:rPr>
        <w:t xml:space="preserve"> not</w:t>
      </w:r>
      <w:r>
        <w:rPr>
          <w:noProof/>
          <w:lang w:val="de-DE"/>
        </w:rPr>
        <w:t>eiktais tā gada 1. janvārī, kurā jāveic maksājums, tiklīdz piemēro UNPRO.5.2. pantā [Sadarbība statistikas jomā] minēto kārtību un saskaņā ar šīs kārtības noteikumiem. Pirms šīs kārtības piemērošanas Apvienotās Karalistes IKP ir tāds, kāds noteikts, pamato</w:t>
      </w:r>
      <w:r>
        <w:rPr>
          <w:noProof/>
          <w:lang w:val="de-DE"/>
        </w:rPr>
        <w:t>joties uz datiem, ko sniegusi ESAO.</w:t>
      </w:r>
    </w:p>
    <w:p w:rsidR="003E022D" w:rsidRDefault="007D19D6">
      <w:pPr>
        <w:numPr>
          <w:ilvl w:val="0"/>
          <w:numId w:val="439"/>
        </w:numPr>
        <w:rPr>
          <w:rFonts w:cs="Calibri"/>
          <w:noProof/>
          <w:lang w:val="de-DE"/>
        </w:rPr>
      </w:pPr>
      <w:r>
        <w:rPr>
          <w:noProof/>
          <w:color w:val="000000"/>
          <w:lang w:val="de-DE"/>
        </w:rPr>
        <w:t xml:space="preserve">Vajadzības gadījumā šā </w:t>
      </w:r>
      <w:r>
        <w:rPr>
          <w:noProof/>
          <w:color w:val="000000"/>
          <w:u w:color="000000"/>
          <w:lang w:val="de-DE"/>
        </w:rPr>
        <w:t>panta</w:t>
      </w:r>
      <w:r>
        <w:rPr>
          <w:noProof/>
          <w:color w:val="000000"/>
          <w:lang w:val="de-DE"/>
        </w:rPr>
        <w:t xml:space="preserve"> īstenošanas kārtību, sīkāk nosaka </w:t>
      </w:r>
      <w:r>
        <w:rPr>
          <w:noProof/>
          <w:color w:val="000000"/>
          <w:u w:color="000000"/>
          <w:lang w:val="de-DE"/>
        </w:rPr>
        <w:t>I protokolā</w:t>
      </w:r>
      <w:r>
        <w:rPr>
          <w:noProof/>
          <w:color w:val="000000"/>
          <w:lang w:val="de-DE"/>
        </w:rPr>
        <w:t>, jo īpaši nodrošinot, ka Apvienotā Karaliste saņem savu daļu no neizmantotajām iemaksām budžeta garantijās un finanšu instrumentos.</w:t>
      </w:r>
    </w:p>
    <w:p w:rsidR="003E022D" w:rsidRDefault="007D19D6">
      <w:pPr>
        <w:jc w:val="center"/>
        <w:rPr>
          <w:rFonts w:cs="Calibri"/>
          <w:i/>
          <w:noProof/>
          <w:lang w:val="de-DE"/>
        </w:rPr>
      </w:pPr>
      <w:r>
        <w:rPr>
          <w:i/>
          <w:noProof/>
          <w:lang w:val="de-DE"/>
        </w:rPr>
        <w:t xml:space="preserve">3. iedaļa. </w:t>
      </w:r>
      <w:r>
        <w:rPr>
          <w:i/>
          <w:noProof/>
          <w:lang w:val="de-DE"/>
        </w:rPr>
        <w:t>Dalības Savienības programmās apturēšana un izbeigšana</w:t>
      </w:r>
    </w:p>
    <w:p w:rsidR="003E022D" w:rsidRDefault="007D19D6">
      <w:pPr>
        <w:pStyle w:val="Article"/>
        <w:rPr>
          <w:noProof/>
          <w:lang w:val="de-DE"/>
        </w:rPr>
      </w:pPr>
      <w:r>
        <w:rPr>
          <w:noProof/>
          <w:lang w:val="de-DE"/>
        </w:rPr>
        <w:t>UNPRO.3.1. pants. Apvienotās Karalistes dalības Savienības programmā apturēšana, ko veic Savienība</w:t>
      </w:r>
    </w:p>
    <w:p w:rsidR="003E022D" w:rsidRDefault="007D19D6">
      <w:pPr>
        <w:numPr>
          <w:ilvl w:val="0"/>
          <w:numId w:val="462"/>
        </w:numPr>
        <w:rPr>
          <w:rFonts w:cs="Calibri"/>
          <w:noProof/>
          <w:lang w:val="de-DE"/>
        </w:rPr>
      </w:pPr>
      <w:r>
        <w:rPr>
          <w:noProof/>
          <w:lang w:val="de-DE"/>
        </w:rPr>
        <w:t xml:space="preserve">Savienība var vienpusēji apturēt </w:t>
      </w:r>
      <w:r>
        <w:rPr>
          <w:noProof/>
          <w:color w:val="000000"/>
          <w:lang w:val="de-DE"/>
        </w:rPr>
        <w:t>I protokola</w:t>
      </w:r>
      <w:r>
        <w:rPr>
          <w:noProof/>
          <w:lang w:val="de-DE"/>
        </w:rPr>
        <w:t xml:space="preserve"> piemērošanu attiecībā uz vienu vai vairākām Savienības pr</w:t>
      </w:r>
      <w:r>
        <w:rPr>
          <w:noProof/>
          <w:lang w:val="de-DE"/>
        </w:rPr>
        <w:t xml:space="preserve">ogrammām, darbībām vai izņēmuma kārtā to daļām saskaņā ar šo </w:t>
      </w:r>
      <w:r>
        <w:rPr>
          <w:noProof/>
          <w:color w:val="000000"/>
          <w:lang w:val="de-DE"/>
        </w:rPr>
        <w:t>pantu</w:t>
      </w:r>
      <w:r>
        <w:rPr>
          <w:noProof/>
          <w:lang w:val="de-DE"/>
        </w:rPr>
        <w:t xml:space="preserve">, ja Apvienotā Karaliste nemaksā savu finansiālo ieguldījumu saskaņā ar </w:t>
      </w:r>
      <w:r>
        <w:rPr>
          <w:noProof/>
          <w:color w:val="000000"/>
          <w:lang w:val="de-DE"/>
        </w:rPr>
        <w:t>šīs nodaļas 2. iedaļu [Dalības Savienības programmās finansēšanas noteikumi]</w:t>
      </w:r>
      <w:r>
        <w:rPr>
          <w:noProof/>
          <w:lang w:val="de-DE"/>
        </w:rPr>
        <w:t xml:space="preserve"> vai ja Apvienotā Karaliste ievieš nozīmīg</w:t>
      </w:r>
      <w:r>
        <w:rPr>
          <w:noProof/>
          <w:lang w:val="de-DE"/>
        </w:rPr>
        <w:t xml:space="preserve">as izmaiņas vienā vai vairākos nosacījumos, kas bija spēkā, kad par Apvienotās Karalistes dalību programmā, darbībā vai izņēmuma kārtā to daļā tika panākta vienošanās un tā tika iekļauta </w:t>
      </w:r>
      <w:r>
        <w:rPr>
          <w:noProof/>
          <w:color w:val="000000"/>
          <w:lang w:val="de-DE"/>
        </w:rPr>
        <w:t>I protokolā</w:t>
      </w:r>
      <w:r>
        <w:rPr>
          <w:noProof/>
          <w:lang w:val="de-DE"/>
        </w:rPr>
        <w:t>, un ja šādām izmaiņām ir nozīmīga ietekme uz to ieviešanu</w:t>
      </w:r>
      <w:r>
        <w:rPr>
          <w:noProof/>
          <w:lang w:val="de-DE"/>
        </w:rPr>
        <w:t>:</w:t>
      </w:r>
    </w:p>
    <w:p w:rsidR="003E022D" w:rsidRDefault="007D19D6">
      <w:pPr>
        <w:numPr>
          <w:ilvl w:val="0"/>
          <w:numId w:val="463"/>
        </w:numPr>
        <w:ind w:left="567" w:hanging="567"/>
        <w:rPr>
          <w:rFonts w:cs="Calibri"/>
          <w:noProof/>
          <w:lang w:val="de-DE"/>
        </w:rPr>
      </w:pPr>
      <w:r>
        <w:rPr>
          <w:noProof/>
          <w:color w:val="000000"/>
          <w:lang w:val="de-DE"/>
        </w:rPr>
        <w:t xml:space="preserve">ir mainīti šo programmu un pasākumu īstenošanā iesaistīto personu, tostarp studentu, pētnieku, praktikantu vai brīvprātīgo, ieceļošanas un </w:t>
      </w:r>
      <w:r>
        <w:rPr>
          <w:noProof/>
          <w:lang w:val="de-DE"/>
        </w:rPr>
        <w:t>uzturēšanās</w:t>
      </w:r>
      <w:r>
        <w:rPr>
          <w:noProof/>
          <w:color w:val="000000"/>
          <w:lang w:val="de-DE"/>
        </w:rPr>
        <w:t xml:space="preserve"> nosacījumi Apvienotajā Karalistē. Tas sevišķi attiecas uz gadījumiem, kad Apvienotā Karaliste ievieš tā</w:t>
      </w:r>
      <w:r>
        <w:rPr>
          <w:noProof/>
          <w:color w:val="000000"/>
          <w:lang w:val="de-DE"/>
        </w:rPr>
        <w:t>das izmaiņas savos tiesību aktos attiecībā uz šo personu ieceļošanas un uzturēšanās nosacījumiem Apvienotajā Karalistē, kas rada diskrimināciju starp dalībvalstīm;</w:t>
      </w:r>
    </w:p>
    <w:p w:rsidR="003E022D" w:rsidRDefault="007D19D6">
      <w:pPr>
        <w:numPr>
          <w:ilvl w:val="0"/>
          <w:numId w:val="463"/>
        </w:numPr>
        <w:ind w:left="567" w:hanging="567"/>
        <w:rPr>
          <w:rFonts w:cs="Calibri"/>
          <w:noProof/>
          <w:lang w:val="de-DE"/>
        </w:rPr>
      </w:pPr>
      <w:r>
        <w:rPr>
          <w:noProof/>
          <w:color w:val="000000"/>
          <w:lang w:val="de-DE"/>
        </w:rPr>
        <w:t xml:space="preserve">ir izmaiņas finanšu maksājumos, tostarp maksās, kas jāmaksā </w:t>
      </w:r>
      <w:r>
        <w:rPr>
          <w:noProof/>
          <w:color w:val="000000"/>
          <w:u w:color="000000"/>
          <w:lang w:val="de-DE"/>
        </w:rPr>
        <w:t>šā punkta a) apakšpunktā</w:t>
      </w:r>
      <w:r>
        <w:rPr>
          <w:noProof/>
          <w:color w:val="000000"/>
          <w:lang w:val="de-DE"/>
        </w:rPr>
        <w:t xml:space="preserve"> minētaj</w:t>
      </w:r>
      <w:r>
        <w:rPr>
          <w:noProof/>
          <w:color w:val="000000"/>
          <w:lang w:val="de-DE"/>
        </w:rPr>
        <w:t>ām personām, lai veiktu darbības, kas tām jāveic, lai īstenotu programmu;</w:t>
      </w:r>
    </w:p>
    <w:p w:rsidR="003E022D" w:rsidRDefault="007D19D6">
      <w:pPr>
        <w:numPr>
          <w:ilvl w:val="0"/>
          <w:numId w:val="463"/>
        </w:numPr>
        <w:ind w:left="567" w:hanging="567"/>
        <w:rPr>
          <w:rFonts w:cs="Calibri"/>
          <w:noProof/>
          <w:lang w:val="de-DE"/>
        </w:rPr>
      </w:pPr>
      <w:r>
        <w:rPr>
          <w:noProof/>
          <w:color w:val="000000"/>
          <w:lang w:val="de-DE"/>
        </w:rPr>
        <w:t>tiek mainīti UNPRO.1.5. panta [Dalības nosacījumi] 3. punktā minētie nosacījumi.</w:t>
      </w:r>
    </w:p>
    <w:p w:rsidR="003E022D" w:rsidRDefault="007D19D6">
      <w:pPr>
        <w:numPr>
          <w:ilvl w:val="0"/>
          <w:numId w:val="462"/>
        </w:numPr>
        <w:rPr>
          <w:rFonts w:cs="Calibri"/>
          <w:noProof/>
          <w:lang w:val="de-DE"/>
        </w:rPr>
      </w:pPr>
      <w:r>
        <w:rPr>
          <w:noProof/>
          <w:color w:val="000000"/>
          <w:lang w:val="de-DE"/>
        </w:rPr>
        <w:t>Savienība paziņo Specializētajai komitejai par dalību Savienības programmās savu nodomu apturēt Apvie</w:t>
      </w:r>
      <w:r>
        <w:rPr>
          <w:noProof/>
          <w:color w:val="000000"/>
          <w:lang w:val="de-DE"/>
        </w:rPr>
        <w:t>notās Karalistes dalību attiecīgajā programmā vai darbībā. Savienība nosaka dalības apturēšanas darbības jomu un sniedz pienācīgu pamatojumu. Ja vien Savienība neatsauc savu paziņojumu, apturēšana stājas spēkā 45 dienas pēc Savienības paziņojuma dienas. Di</w:t>
      </w:r>
      <w:r>
        <w:rPr>
          <w:noProof/>
          <w:color w:val="000000"/>
          <w:lang w:val="de-DE"/>
        </w:rPr>
        <w:t xml:space="preserve">ena, kurā apturēšana stājas spēkā, ir apturēšanas atsauces diena šā </w:t>
      </w:r>
      <w:r>
        <w:rPr>
          <w:noProof/>
          <w:color w:val="000000"/>
          <w:u w:color="000000"/>
          <w:lang w:val="de-DE"/>
        </w:rPr>
        <w:t>panta</w:t>
      </w:r>
      <w:r>
        <w:rPr>
          <w:noProof/>
          <w:color w:val="000000"/>
          <w:lang w:val="de-DE"/>
        </w:rPr>
        <w:t xml:space="preserve"> vajadzībām.</w:t>
      </w:r>
    </w:p>
    <w:p w:rsidR="003E022D" w:rsidRDefault="007D19D6">
      <w:pPr>
        <w:rPr>
          <w:rFonts w:cs="Calibri"/>
          <w:i/>
          <w:noProof/>
          <w:lang w:val="de-DE"/>
        </w:rPr>
      </w:pPr>
      <w:r>
        <w:rPr>
          <w:noProof/>
          <w:lang w:val="de-DE"/>
        </w:rPr>
        <w:t>Specializētā komiteja par dalību Savienības programmās pirms paziņošanas un apturēšanas un apturēšanas perioda laikā var apspriest piemērotus pasākumus, kas ļautu izvairī</w:t>
      </w:r>
      <w:r>
        <w:rPr>
          <w:noProof/>
          <w:lang w:val="de-DE"/>
        </w:rPr>
        <w:t xml:space="preserve">ties no apturēšanas vai to atcelt. Ja Specializētā komiteja par dalību Savienības programmās vienojas izvairīties no apturēšanas </w:t>
      </w:r>
      <w:r>
        <w:rPr>
          <w:noProof/>
          <w:u w:color="000000"/>
          <w:lang w:val="de-DE"/>
        </w:rPr>
        <w:t>pirmajā daļā</w:t>
      </w:r>
      <w:r>
        <w:rPr>
          <w:noProof/>
          <w:lang w:val="de-DE"/>
        </w:rPr>
        <w:t xml:space="preserve"> minētajā laikposmā, apturēšana nestājas spēkā.</w:t>
      </w:r>
    </w:p>
    <w:p w:rsidR="003E022D" w:rsidRDefault="007D19D6">
      <w:pPr>
        <w:rPr>
          <w:rFonts w:cs="Calibri"/>
          <w:noProof/>
          <w:lang w:val="de-DE"/>
        </w:rPr>
      </w:pPr>
      <w:r>
        <w:rPr>
          <w:noProof/>
          <w:lang w:val="de-DE"/>
        </w:rPr>
        <w:t>Specializētā komiteja par dalību Savienības programmās jebkurā gadī</w:t>
      </w:r>
      <w:r>
        <w:rPr>
          <w:noProof/>
          <w:lang w:val="de-DE"/>
        </w:rPr>
        <w:t>jumā 45 dienu laikā sanāk, lai apspriestu šo jautājumu.</w:t>
      </w:r>
    </w:p>
    <w:p w:rsidR="003E022D" w:rsidRDefault="007D19D6">
      <w:pPr>
        <w:numPr>
          <w:ilvl w:val="0"/>
          <w:numId w:val="440"/>
        </w:numPr>
        <w:ind w:left="0"/>
        <w:rPr>
          <w:rFonts w:cs="Calibri"/>
          <w:noProof/>
          <w:lang w:val="de-DE"/>
        </w:rPr>
      </w:pPr>
      <w:r>
        <w:rPr>
          <w:noProof/>
          <w:color w:val="000000"/>
          <w:lang w:val="de-DE"/>
        </w:rPr>
        <w:t xml:space="preserve">Sākot no apturēšanas atsauces dienas Apvienoto Karalisti neuzskata par valsti, kas piedalās Savienības programmā, darbībā vai to daļā, uz kuru attiecas apturēšana, un jo īpaši Apvienotā Karaliste vai </w:t>
      </w:r>
      <w:r>
        <w:rPr>
          <w:noProof/>
          <w:color w:val="000000"/>
          <w:lang w:val="de-DE"/>
        </w:rPr>
        <w:t xml:space="preserve">Apvienotās Karalistes subjekti vairs nav tiesīgi piedalīties saskaņā ar nosacījumiem, kas paredzēti </w:t>
      </w:r>
      <w:r>
        <w:rPr>
          <w:noProof/>
          <w:color w:val="000000"/>
          <w:u w:color="000000"/>
          <w:lang w:val="de-DE"/>
        </w:rPr>
        <w:t>UNPRO 1.4. pantā [Atbilstība programmas noteikumiem]</w:t>
      </w:r>
      <w:r>
        <w:rPr>
          <w:noProof/>
          <w:color w:val="000000"/>
          <w:lang w:val="de-DE"/>
        </w:rPr>
        <w:t xml:space="preserve"> un </w:t>
      </w:r>
      <w:r>
        <w:rPr>
          <w:noProof/>
          <w:color w:val="000000"/>
          <w:u w:color="000000"/>
          <w:lang w:val="de-DE"/>
        </w:rPr>
        <w:t>I protokolā</w:t>
      </w:r>
      <w:r>
        <w:rPr>
          <w:noProof/>
          <w:color w:val="000000"/>
          <w:lang w:val="de-DE"/>
        </w:rPr>
        <w:t xml:space="preserve"> attiecībā uz Savienības piešķiršanas procedūrām, kuras minētajā dienā vēl nav pabeigtas.</w:t>
      </w:r>
      <w:r>
        <w:rPr>
          <w:noProof/>
          <w:color w:val="000000"/>
          <w:lang w:val="de-DE"/>
        </w:rPr>
        <w:t xml:space="preserve"> Piešķiršanas procedūru uzskata par pabeigtu, ja šādas procedūras rezultātā ir uzņemtas juridiskās saistības.</w:t>
      </w:r>
    </w:p>
    <w:p w:rsidR="003E022D" w:rsidRDefault="007D19D6">
      <w:pPr>
        <w:numPr>
          <w:ilvl w:val="0"/>
          <w:numId w:val="440"/>
        </w:numPr>
        <w:ind w:left="0"/>
        <w:rPr>
          <w:rFonts w:cs="Calibri"/>
          <w:noProof/>
        </w:rPr>
      </w:pPr>
      <w:r>
        <w:rPr>
          <w:noProof/>
          <w:color w:val="000000"/>
          <w:lang w:val="de-DE"/>
        </w:rPr>
        <w:t xml:space="preserve">Dalības apturēšana neietekmē juridiskās saistības, kas uzņemtas pirms apturēšanas atsauces dienas. </w:t>
      </w:r>
      <w:r>
        <w:rPr>
          <w:noProof/>
          <w:color w:val="000000"/>
        </w:rPr>
        <w:t>Šo nolīgumu turpina piemērot minētajām juridisk</w:t>
      </w:r>
      <w:r>
        <w:rPr>
          <w:noProof/>
          <w:color w:val="000000"/>
        </w:rPr>
        <w:t>ajām saistībām.</w:t>
      </w:r>
    </w:p>
    <w:p w:rsidR="003E022D" w:rsidRDefault="007D19D6">
      <w:pPr>
        <w:numPr>
          <w:ilvl w:val="0"/>
          <w:numId w:val="440"/>
        </w:numPr>
        <w:ind w:left="0"/>
        <w:rPr>
          <w:rFonts w:cs="Calibri"/>
          <w:noProof/>
        </w:rPr>
      </w:pPr>
      <w:r>
        <w:rPr>
          <w:noProof/>
          <w:color w:val="000000"/>
        </w:rPr>
        <w:t xml:space="preserve">Tiklīdz Apvienotā Karaliste uzskata, ka ir atjaunota atbilstība dalības nosacījumiem, tā par to paziņo Savienībai un iesniedz Savienībai visus attiecīgos pierādījumus. </w:t>
      </w:r>
    </w:p>
    <w:p w:rsidR="003E022D" w:rsidRDefault="007D19D6">
      <w:pPr>
        <w:rPr>
          <w:rFonts w:cs="Calibri"/>
          <w:noProof/>
        </w:rPr>
      </w:pPr>
      <w:r>
        <w:rPr>
          <w:noProof/>
        </w:rPr>
        <w:t>Savienība 30 dienu laikā pēc minētā paziņojuma saņemšanas izvērtē šo ja</w:t>
      </w:r>
      <w:r>
        <w:rPr>
          <w:noProof/>
        </w:rPr>
        <w:t xml:space="preserve">utājumu un šajā nolūkā var pieprasīt Apvienotajai Karalistei iesniegt papildu pierādījumus. Šādu papildu pierādījumu sniegšanai vajadzīgo laiku neņem vērā kopējā izvērtēšanas periodā. </w:t>
      </w:r>
    </w:p>
    <w:p w:rsidR="003E022D" w:rsidRDefault="007D19D6">
      <w:pPr>
        <w:rPr>
          <w:rFonts w:cs="Calibri"/>
          <w:i/>
          <w:noProof/>
        </w:rPr>
      </w:pPr>
      <w:r>
        <w:rPr>
          <w:noProof/>
        </w:rPr>
        <w:t>Ja Savienība ir konstatējusi, ka ir atjaunota atbilstība dalības nosacījumiem, tā bez liekas kavēšanās paziņo Specializētajai komitejai par dalību Savienības programmās, ka apturēšana ir atcelta. Atcelšana stājas spēkā nākamajā dienā pēc paziņošanas dienas</w:t>
      </w:r>
      <w:r>
        <w:rPr>
          <w:noProof/>
        </w:rPr>
        <w:t xml:space="preserve">. </w:t>
      </w:r>
    </w:p>
    <w:p w:rsidR="003E022D" w:rsidRDefault="007D19D6">
      <w:pPr>
        <w:rPr>
          <w:rFonts w:cs="Calibri"/>
          <w:i/>
          <w:noProof/>
        </w:rPr>
      </w:pPr>
      <w:r>
        <w:rPr>
          <w:noProof/>
        </w:rPr>
        <w:t xml:space="preserve">Ja Savienība ir konstatējusi, ka atbilstība dalības nosacījumiem nav atjaunota, apturēšana paliek spēkā. </w:t>
      </w:r>
    </w:p>
    <w:p w:rsidR="003E022D" w:rsidRDefault="007D19D6">
      <w:pPr>
        <w:numPr>
          <w:ilvl w:val="0"/>
          <w:numId w:val="440"/>
        </w:numPr>
        <w:ind w:left="0"/>
        <w:rPr>
          <w:rFonts w:cs="Calibri"/>
          <w:noProof/>
          <w:color w:val="000000"/>
        </w:rPr>
      </w:pPr>
      <w:r>
        <w:rPr>
          <w:noProof/>
          <w:color w:val="000000"/>
        </w:rPr>
        <w:t>Pret Apvienoto Karalisti atkal izturas kā pret valsti, kas piedalās attiecīgajā Savienības programmā vai darbībā, un jo īpaši Apvienotajai Karalist</w:t>
      </w:r>
      <w:r>
        <w:rPr>
          <w:noProof/>
          <w:color w:val="000000"/>
        </w:rPr>
        <w:t xml:space="preserve">ei un Apvienotās Karalistes subjektiem atkal ir tiesības pretendēt saskaņā ar </w:t>
      </w:r>
      <w:r>
        <w:rPr>
          <w:noProof/>
          <w:color w:val="000000"/>
          <w:u w:color="000000"/>
        </w:rPr>
        <w:t>UNPRO 1.4. pantā [Atbilstība programmas noteikumiem]</w:t>
      </w:r>
      <w:r>
        <w:rPr>
          <w:noProof/>
          <w:color w:val="000000"/>
        </w:rPr>
        <w:t xml:space="preserve"> un </w:t>
      </w:r>
      <w:r>
        <w:rPr>
          <w:noProof/>
          <w:color w:val="000000"/>
          <w:u w:color="000000"/>
        </w:rPr>
        <w:t>I protokolā</w:t>
      </w:r>
      <w:r>
        <w:rPr>
          <w:noProof/>
          <w:color w:val="000000"/>
        </w:rPr>
        <w:t xml:space="preserve"> paredzētajiem nosacījumiem attiecībā uz Savienības piešķiršanas procedūrām saskaņā ar minēto Savienības progra</w:t>
      </w:r>
      <w:r>
        <w:rPr>
          <w:noProof/>
          <w:color w:val="000000"/>
        </w:rPr>
        <w:t xml:space="preserve">mmu vai darbību, kas sākta pēc dienas, kad stājas spēkā apturēšanas atcelšana, vai sākta pirms minētās dienas, ja pieteikumu iesniegšanas termiņš nav beidzies. </w:t>
      </w:r>
    </w:p>
    <w:p w:rsidR="003E022D" w:rsidRDefault="007D19D6">
      <w:pPr>
        <w:numPr>
          <w:ilvl w:val="0"/>
          <w:numId w:val="440"/>
        </w:numPr>
        <w:ind w:left="0"/>
        <w:rPr>
          <w:rFonts w:cs="Calibri"/>
          <w:noProof/>
        </w:rPr>
      </w:pPr>
      <w:r>
        <w:rPr>
          <w:noProof/>
          <w:color w:val="000000"/>
        </w:rPr>
        <w:t>Ja Apvienotās Karalistes dalība programmā, darbībā vai tās daļā tiek apturēta, Apvienotās Karal</w:t>
      </w:r>
      <w:r>
        <w:rPr>
          <w:noProof/>
          <w:color w:val="000000"/>
        </w:rPr>
        <w:t>istes finansiālo ieguldījumu, kas maksājams apturēšanas periodā, nosaka šādi:</w:t>
      </w:r>
    </w:p>
    <w:p w:rsidR="003E022D" w:rsidRDefault="007D19D6">
      <w:pPr>
        <w:numPr>
          <w:ilvl w:val="0"/>
          <w:numId w:val="441"/>
        </w:numPr>
        <w:ind w:left="567" w:hanging="567"/>
        <w:rPr>
          <w:rFonts w:cs="Calibri"/>
          <w:noProof/>
        </w:rPr>
      </w:pPr>
      <w:r>
        <w:rPr>
          <w:noProof/>
          <w:color w:val="000000"/>
        </w:rPr>
        <w:t>Savienība pārrēķina operatīvo ieguldījumu, izmantojot UNPRO.2.1. panta [Finanšu nosacījumi] 8. punkta piektās daļas a) apakšpunkta iii) punktā aprakstīto procedūru;</w:t>
      </w:r>
    </w:p>
    <w:p w:rsidR="003E022D" w:rsidRDefault="007D19D6">
      <w:pPr>
        <w:numPr>
          <w:ilvl w:val="0"/>
          <w:numId w:val="441"/>
        </w:numPr>
        <w:ind w:left="567" w:hanging="567"/>
        <w:rPr>
          <w:rFonts w:cs="Calibri"/>
          <w:noProof/>
        </w:rPr>
      </w:pPr>
      <w:r>
        <w:rPr>
          <w:noProof/>
        </w:rPr>
        <w:t>dalības maksu</w:t>
      </w:r>
      <w:r>
        <w:rPr>
          <w:noProof/>
        </w:rPr>
        <w:t xml:space="preserve"> koriģē atbilstīgi operatīvā ieguldījuma korekcijai.</w:t>
      </w:r>
    </w:p>
    <w:p w:rsidR="003E022D" w:rsidRDefault="007D19D6">
      <w:pPr>
        <w:pStyle w:val="Article"/>
        <w:rPr>
          <w:noProof/>
        </w:rPr>
      </w:pPr>
      <w:r>
        <w:rPr>
          <w:noProof/>
        </w:rPr>
        <w:t>UNPRO 3.2. pants. Apvienotās Karalistes dalības Savienības programmā izbeigšana, ko veic Savienība</w:t>
      </w:r>
    </w:p>
    <w:p w:rsidR="003E022D" w:rsidRDefault="007D19D6">
      <w:pPr>
        <w:numPr>
          <w:ilvl w:val="0"/>
          <w:numId w:val="442"/>
        </w:numPr>
        <w:rPr>
          <w:rFonts w:cs="Calibri"/>
          <w:noProof/>
        </w:rPr>
      </w:pPr>
      <w:r>
        <w:rPr>
          <w:noProof/>
        </w:rPr>
        <w:t xml:space="preserve">Ja vienu gadu pēc atsauces dienas, kas minēta </w:t>
      </w:r>
      <w:r>
        <w:rPr>
          <w:noProof/>
          <w:color w:val="000000"/>
        </w:rPr>
        <w:t>UNPRO.3.1. panta [Apvienotās Karalistes dalības Savienības</w:t>
      </w:r>
      <w:r>
        <w:rPr>
          <w:noProof/>
          <w:color w:val="000000"/>
        </w:rPr>
        <w:t xml:space="preserve"> programmā apturēšana, ko veic Savienība] 2. punktā</w:t>
      </w:r>
      <w:r>
        <w:rPr>
          <w:noProof/>
        </w:rPr>
        <w:t xml:space="preserve">, Savienība nav atcēlusi </w:t>
      </w:r>
      <w:r>
        <w:rPr>
          <w:noProof/>
          <w:color w:val="000000"/>
        </w:rPr>
        <w:t>UNPRO.3.1. pantā [Apvienotās Karalistes dalības apturēšana]</w:t>
      </w:r>
      <w:r>
        <w:rPr>
          <w:noProof/>
        </w:rPr>
        <w:t xml:space="preserve"> </w:t>
      </w:r>
      <w:r>
        <w:rPr>
          <w:noProof/>
          <w:color w:val="000000"/>
        </w:rPr>
        <w:t>minēto apturēšanu, Savienība vai nu:</w:t>
      </w:r>
    </w:p>
    <w:p w:rsidR="003E022D" w:rsidRDefault="007D19D6">
      <w:pPr>
        <w:numPr>
          <w:ilvl w:val="0"/>
          <w:numId w:val="455"/>
        </w:numPr>
        <w:ind w:left="567" w:hanging="567"/>
        <w:rPr>
          <w:rFonts w:cs="Calibri"/>
          <w:noProof/>
        </w:rPr>
      </w:pPr>
      <w:r>
        <w:rPr>
          <w:noProof/>
          <w:color w:val="000000"/>
        </w:rPr>
        <w:t>atkārtoti izvērtē</w:t>
      </w:r>
      <w:r>
        <w:rPr>
          <w:noProof/>
        </w:rPr>
        <w:t xml:space="preserve"> nosacījumus,</w:t>
      </w:r>
      <w:r>
        <w:rPr>
          <w:noProof/>
          <w:color w:val="000000"/>
        </w:rPr>
        <w:t xml:space="preserve"> ar kādiem tā var piedāvāt atļaut Apvienotajai Karalistei turpināt piedalīties attiecīgajās Savienības programmās, darbībās vai to daļās, un ierosina šos nosacījumus Specializētajai komitejai par dalību Savienības programmās 45 dienu laikā pēc viena gada a</w:t>
      </w:r>
      <w:r>
        <w:rPr>
          <w:noProof/>
          <w:color w:val="000000"/>
        </w:rPr>
        <w:t xml:space="preserve">pturēšanas perioda beigām, lai grozītu </w:t>
      </w:r>
      <w:r>
        <w:rPr>
          <w:noProof/>
          <w:color w:val="000000"/>
          <w:u w:color="000000"/>
        </w:rPr>
        <w:t>I protokolu</w:t>
      </w:r>
      <w:r>
        <w:rPr>
          <w:noProof/>
          <w:color w:val="000000"/>
        </w:rPr>
        <w:t xml:space="preserve">. Ja Specializētā komiteja turpmāko 45 dienu laikā nevienojas par minētajiem pasākumiem, izbeigšana stājas spēkā, kā minēts </w:t>
      </w:r>
      <w:r>
        <w:rPr>
          <w:noProof/>
          <w:color w:val="000000"/>
          <w:u w:color="000000"/>
        </w:rPr>
        <w:t>šā punkta b) apakšpunktā</w:t>
      </w:r>
      <w:r>
        <w:rPr>
          <w:noProof/>
          <w:color w:val="000000"/>
        </w:rPr>
        <w:t>; vai</w:t>
      </w:r>
    </w:p>
    <w:p w:rsidR="003E022D" w:rsidRDefault="007D19D6">
      <w:pPr>
        <w:numPr>
          <w:ilvl w:val="0"/>
          <w:numId w:val="455"/>
        </w:numPr>
        <w:ind w:left="567" w:hanging="567"/>
        <w:rPr>
          <w:rFonts w:cs="Calibri"/>
          <w:noProof/>
        </w:rPr>
      </w:pPr>
      <w:r>
        <w:rPr>
          <w:noProof/>
          <w:color w:val="000000"/>
        </w:rPr>
        <w:t>vienpusēji izbeidz I protokola piemērošanu attiecīga</w:t>
      </w:r>
      <w:r>
        <w:rPr>
          <w:noProof/>
          <w:color w:val="000000"/>
        </w:rPr>
        <w:t xml:space="preserve">jām Savienības programmām, darbībām vai to daļām saskaņā ar šo pantu, ņemot vērā </w:t>
      </w:r>
      <w:r>
        <w:rPr>
          <w:noProof/>
          <w:color w:val="000000"/>
          <w:u w:color="000000"/>
        </w:rPr>
        <w:t>UNPRO.3.1. pantā [Apvienotās Karalistes dalības apturēšana]</w:t>
      </w:r>
      <w:r>
        <w:rPr>
          <w:noProof/>
          <w:color w:val="000000"/>
        </w:rPr>
        <w:t xml:space="preserve"> minēto izmaiņu ietekmi uz programmas vai darbības, vai izņēmuma kārtā tās daļu īstenošanu vai uz nesamaksātā ieguld</w:t>
      </w:r>
      <w:r>
        <w:rPr>
          <w:noProof/>
          <w:color w:val="000000"/>
        </w:rPr>
        <w:t>ījuma summu.</w:t>
      </w:r>
    </w:p>
    <w:p w:rsidR="003E022D" w:rsidRDefault="007D19D6">
      <w:pPr>
        <w:numPr>
          <w:ilvl w:val="0"/>
          <w:numId w:val="442"/>
        </w:numPr>
        <w:rPr>
          <w:rFonts w:cs="Calibri"/>
          <w:noProof/>
        </w:rPr>
      </w:pPr>
      <w:r>
        <w:rPr>
          <w:noProof/>
          <w:color w:val="000000"/>
        </w:rPr>
        <w:t>Savienība paziņo Specializētajai komitejai par dalību Savienības programmās savu nodomu izbeigt Apvienotās Karalistes dalību vienā vai vairākās Savienības programmās vai darbībās saskaņā ar 1. punkta b) apakšpunktu. Savienība nosaka dalības iz</w:t>
      </w:r>
      <w:r>
        <w:rPr>
          <w:noProof/>
          <w:color w:val="000000"/>
        </w:rPr>
        <w:t xml:space="preserve">beigšanas darbības jomu un sniedz pienācīgu pamatojumu. Ja vien Savienība neatsauc savu paziņojumu, izbeigšana stājas spēkā 45 dienas pēc Savienības paziņojuma dienas. Diena, kurā izbeigšana stājas spēkā, ir izbeigšanas atsauces diena šā </w:t>
      </w:r>
      <w:r>
        <w:rPr>
          <w:noProof/>
          <w:color w:val="000000"/>
          <w:u w:color="000000"/>
        </w:rPr>
        <w:t>panta</w:t>
      </w:r>
      <w:r>
        <w:rPr>
          <w:noProof/>
          <w:color w:val="000000"/>
        </w:rPr>
        <w:t xml:space="preserve"> vajadzībām.</w:t>
      </w:r>
    </w:p>
    <w:p w:rsidR="003E022D" w:rsidRDefault="007D19D6">
      <w:pPr>
        <w:numPr>
          <w:ilvl w:val="0"/>
          <w:numId w:val="442"/>
        </w:numPr>
        <w:rPr>
          <w:rFonts w:cs="Calibri"/>
          <w:noProof/>
        </w:rPr>
      </w:pPr>
      <w:r>
        <w:rPr>
          <w:noProof/>
          <w:color w:val="000000"/>
        </w:rPr>
        <w:t>Sākot no izbeigšanas atsauces dienas Apvienoto Karalisti neuzskata par valsti, kas piedalās Savienības programmā vai darbībā, uz kuru attiecas izbeigšana, un jo īpaši Apvienotā Karaliste vai Apvienotās Karalistes subjekti vairs nav tiesīgi piedalīties sask</w:t>
      </w:r>
      <w:r>
        <w:rPr>
          <w:noProof/>
          <w:color w:val="000000"/>
        </w:rPr>
        <w:t xml:space="preserve">aņā ar nosacījumiem, kas paredzēti </w:t>
      </w:r>
      <w:r>
        <w:rPr>
          <w:noProof/>
          <w:color w:val="000000"/>
          <w:u w:color="000000"/>
        </w:rPr>
        <w:t>UNPRO 1.4. pantā [Atbilstība programmas noteikumiem]</w:t>
      </w:r>
      <w:r>
        <w:rPr>
          <w:noProof/>
          <w:color w:val="000000"/>
        </w:rPr>
        <w:t xml:space="preserve"> un </w:t>
      </w:r>
      <w:r>
        <w:rPr>
          <w:noProof/>
          <w:color w:val="000000"/>
          <w:u w:color="000000"/>
        </w:rPr>
        <w:t>I protokolā</w:t>
      </w:r>
      <w:r>
        <w:rPr>
          <w:noProof/>
          <w:color w:val="000000"/>
        </w:rPr>
        <w:t xml:space="preserve"> attiecībā uz Savienības piešķiršanas procedūrām, kuras minētajā dienā vēl nav pabeigtas. Piešķiršanas procedūru uzskata par pabeigtu, ja šādas procedūras</w:t>
      </w:r>
      <w:r>
        <w:rPr>
          <w:noProof/>
          <w:color w:val="000000"/>
        </w:rPr>
        <w:t xml:space="preserve"> rezultātā ir uzņemtas juridiskās saistības.</w:t>
      </w:r>
    </w:p>
    <w:p w:rsidR="003E022D" w:rsidRDefault="007D19D6">
      <w:pPr>
        <w:numPr>
          <w:ilvl w:val="0"/>
          <w:numId w:val="442"/>
        </w:numPr>
        <w:rPr>
          <w:rFonts w:cs="Calibri"/>
          <w:noProof/>
        </w:rPr>
      </w:pPr>
      <w:r>
        <w:rPr>
          <w:noProof/>
          <w:color w:val="000000"/>
        </w:rPr>
        <w:t>Dalības izbeigšana neietekmē juridiskās saistības, kas uzņemtas pirms UNPRO 3.1. panta [Apvienotās Karalistes dalības apturēšana] 2. punktā minētās apturēšanas atsauces dienas. Šo nolīgumu turpina piemērot minēt</w:t>
      </w:r>
      <w:r>
        <w:rPr>
          <w:noProof/>
          <w:color w:val="000000"/>
        </w:rPr>
        <w:t>ajām juridiskajām saistībām.</w:t>
      </w:r>
    </w:p>
    <w:p w:rsidR="003E022D" w:rsidRDefault="007D19D6">
      <w:pPr>
        <w:numPr>
          <w:ilvl w:val="0"/>
          <w:numId w:val="442"/>
        </w:numPr>
        <w:rPr>
          <w:rFonts w:cs="Calibri"/>
          <w:noProof/>
        </w:rPr>
      </w:pPr>
      <w:r>
        <w:rPr>
          <w:noProof/>
          <w:color w:val="000000"/>
        </w:rPr>
        <w:t xml:space="preserve">Ja </w:t>
      </w:r>
      <w:r>
        <w:rPr>
          <w:noProof/>
          <w:color w:val="000000"/>
          <w:u w:color="000000"/>
        </w:rPr>
        <w:t>I protokola</w:t>
      </w:r>
      <w:r>
        <w:rPr>
          <w:noProof/>
          <w:color w:val="000000"/>
        </w:rPr>
        <w:t xml:space="preserve"> vai tā daļas piemērošanu izbeidz attiecībā uz atbilstošajām programmām vai darbībām, vai izņēmuma kārtā to daļām:</w:t>
      </w:r>
    </w:p>
    <w:p w:rsidR="003E022D" w:rsidRDefault="007D19D6">
      <w:pPr>
        <w:numPr>
          <w:ilvl w:val="0"/>
          <w:numId w:val="443"/>
        </w:numPr>
        <w:ind w:left="567" w:hanging="567"/>
        <w:rPr>
          <w:rFonts w:cs="Calibri"/>
          <w:noProof/>
        </w:rPr>
      </w:pPr>
      <w:r>
        <w:rPr>
          <w:noProof/>
          <w:color w:val="000000"/>
        </w:rPr>
        <w:t>operatīvais ieguldījums, kas sedz atbalsta izdevumus, kuri saistīti ar jau uzņemtām juridiskām sai</w:t>
      </w:r>
      <w:r>
        <w:rPr>
          <w:noProof/>
          <w:color w:val="000000"/>
        </w:rPr>
        <w:t>stībām, turpina maksāt līdz minēto juridisko saistību pabeigšanai vai līdz tās daudzgadu finanšu shēmas beigām, saskaņā ar kuru juridiskās saistības ir finansētas;</w:t>
      </w:r>
    </w:p>
    <w:p w:rsidR="003E022D" w:rsidRDefault="007D19D6">
      <w:pPr>
        <w:numPr>
          <w:ilvl w:val="0"/>
          <w:numId w:val="443"/>
        </w:numPr>
        <w:ind w:left="567" w:hanging="567"/>
        <w:rPr>
          <w:rFonts w:cs="Calibri"/>
          <w:noProof/>
          <w:color w:val="000000"/>
        </w:rPr>
      </w:pPr>
      <w:r>
        <w:rPr>
          <w:noProof/>
          <w:color w:val="000000"/>
        </w:rPr>
        <w:t xml:space="preserve">turpmākajos gados neveic nekādu ieguldījumu, izņemot šā </w:t>
      </w:r>
      <w:r>
        <w:rPr>
          <w:noProof/>
          <w:color w:val="000000"/>
          <w:u w:color="000000"/>
        </w:rPr>
        <w:t>punkta a) apakšpunktā</w:t>
      </w:r>
      <w:r>
        <w:rPr>
          <w:noProof/>
          <w:color w:val="000000"/>
        </w:rPr>
        <w:t xml:space="preserve"> minētās iemaks</w:t>
      </w:r>
      <w:r>
        <w:rPr>
          <w:noProof/>
          <w:color w:val="000000"/>
        </w:rPr>
        <w:t>as.</w:t>
      </w:r>
    </w:p>
    <w:p w:rsidR="003E022D" w:rsidRDefault="007D19D6">
      <w:pPr>
        <w:pStyle w:val="Article"/>
        <w:rPr>
          <w:noProof/>
        </w:rPr>
      </w:pPr>
      <w:r>
        <w:rPr>
          <w:noProof/>
        </w:rPr>
        <w:t>UNPRO.3.3. pants. Dalības programmā vai darbībā izbeigšana gadījumā, ja Savienības programmās tiek veiktas būtiskas izmaiņas</w:t>
      </w:r>
    </w:p>
    <w:p w:rsidR="003E022D" w:rsidRDefault="007D19D6">
      <w:pPr>
        <w:numPr>
          <w:ilvl w:val="0"/>
          <w:numId w:val="444"/>
        </w:numPr>
        <w:rPr>
          <w:rFonts w:cs="Calibri"/>
          <w:noProof/>
          <w:color w:val="000000"/>
        </w:rPr>
      </w:pPr>
      <w:r>
        <w:rPr>
          <w:noProof/>
        </w:rPr>
        <w:t xml:space="preserve">Apvienotā </w:t>
      </w:r>
      <w:r>
        <w:rPr>
          <w:noProof/>
          <w:color w:val="000000"/>
        </w:rPr>
        <w:t>Karaliste var vienpusēji izbeigt dalību I protokolā minētā Savienības programmā vai darbībā vai to daļā, ja:</w:t>
      </w:r>
    </w:p>
    <w:p w:rsidR="003E022D" w:rsidRDefault="007D19D6">
      <w:pPr>
        <w:numPr>
          <w:ilvl w:val="0"/>
          <w:numId w:val="472"/>
        </w:numPr>
        <w:ind w:left="567" w:hanging="567"/>
        <w:contextualSpacing/>
        <w:rPr>
          <w:rFonts w:cs="Calibri"/>
          <w:noProof/>
          <w:color w:val="000000"/>
        </w:rPr>
      </w:pPr>
      <w:r>
        <w:rPr>
          <w:noProof/>
        </w:rPr>
        <w:t>šīs Savi</w:t>
      </w:r>
      <w:r>
        <w:rPr>
          <w:noProof/>
        </w:rPr>
        <w:t>enības programmas vai darbības pamataktu groza tādā veidā, ka nosacījumi Apvienotās Karalistes vai Apvienotās Karalistes subjektu dalībai minētajā programmā vai darbībā tiek būtiski grozīti, jo īpaši, ja tas notiek programmas vai darbības un attiecīgo darb</w:t>
      </w:r>
      <w:r>
        <w:rPr>
          <w:noProof/>
        </w:rPr>
        <w:t xml:space="preserve">ību mērķu izmaiņu rezultātā; vai </w:t>
      </w:r>
    </w:p>
    <w:p w:rsidR="003E022D" w:rsidRDefault="003E022D">
      <w:pPr>
        <w:ind w:left="567"/>
        <w:contextualSpacing/>
        <w:rPr>
          <w:rFonts w:cs="Calibri"/>
          <w:noProof/>
          <w:color w:val="000000"/>
        </w:rPr>
      </w:pPr>
    </w:p>
    <w:p w:rsidR="003E022D" w:rsidRDefault="007D19D6">
      <w:pPr>
        <w:numPr>
          <w:ilvl w:val="0"/>
          <w:numId w:val="472"/>
        </w:numPr>
        <w:ind w:left="567" w:hanging="567"/>
        <w:contextualSpacing/>
        <w:rPr>
          <w:rFonts w:cs="Calibri"/>
          <w:noProof/>
          <w:color w:val="000000"/>
        </w:rPr>
      </w:pPr>
      <w:r>
        <w:rPr>
          <w:noProof/>
        </w:rPr>
        <w:t>UNPRO.2.1. pantā [Finanšu nosacījumi] minēto saistību apropriāciju kopsummu palielina par vairāk nekā 15 % salīdzinājumā ar minētās programmas vai darbības vai to daļas, kurā piedalās Apvienotā Karaliste, sākotnējo finans</w:t>
      </w:r>
      <w:r>
        <w:rPr>
          <w:noProof/>
        </w:rPr>
        <w:t xml:space="preserve">ējumu un vai nu ir palielināts attiecīgais daudzgadu finanšu shēmas maksimālais apjoms, vai ir palielināta ārējo ieņēmumu summa, kas minēta UNPRO.2.1. panta [Finanšu nosacījumi] 5. punktā visam dalības periodam; vai </w:t>
      </w:r>
    </w:p>
    <w:p w:rsidR="003E022D" w:rsidRDefault="003E022D">
      <w:pPr>
        <w:contextualSpacing/>
        <w:rPr>
          <w:rFonts w:cs="Calibri"/>
          <w:noProof/>
          <w:color w:val="000000"/>
        </w:rPr>
      </w:pPr>
    </w:p>
    <w:p w:rsidR="003E022D" w:rsidRDefault="007D19D6">
      <w:pPr>
        <w:numPr>
          <w:ilvl w:val="0"/>
          <w:numId w:val="472"/>
        </w:numPr>
        <w:ind w:left="567" w:hanging="567"/>
        <w:contextualSpacing/>
        <w:rPr>
          <w:rFonts w:cs="Calibri"/>
          <w:noProof/>
          <w:color w:val="000000"/>
        </w:rPr>
      </w:pPr>
      <w:r>
        <w:rPr>
          <w:noProof/>
        </w:rPr>
        <w:t>Apvienotā Karaliste vai Apvienotās Kar</w:t>
      </w:r>
      <w:r>
        <w:rPr>
          <w:noProof/>
        </w:rPr>
        <w:t>alistes subjekti ir izslēgti no dalības programmas vai darbības daļā, pamatojoties uz pienācīgi pamatotiem iemesliem, un minētā izslēgšana attiecas uz saistību apropriācijām, kas pārsniedz 10 % no saistību apropriācijām Savienības budžetā, kurš galīgi pieņ</w:t>
      </w:r>
      <w:r>
        <w:rPr>
          <w:noProof/>
        </w:rPr>
        <w:t>emts minētās programmas vai darbības N. gadam.</w:t>
      </w:r>
    </w:p>
    <w:p w:rsidR="003E022D" w:rsidRDefault="003E022D">
      <w:pPr>
        <w:contextualSpacing/>
        <w:rPr>
          <w:rFonts w:cs="Calibri"/>
          <w:noProof/>
          <w:color w:val="000000"/>
        </w:rPr>
      </w:pPr>
    </w:p>
    <w:p w:rsidR="003E022D" w:rsidRDefault="007D19D6">
      <w:pPr>
        <w:numPr>
          <w:ilvl w:val="0"/>
          <w:numId w:val="444"/>
        </w:numPr>
        <w:rPr>
          <w:rFonts w:cs="Calibri"/>
          <w:noProof/>
        </w:rPr>
      </w:pPr>
      <w:r>
        <w:rPr>
          <w:noProof/>
          <w:color w:val="000000"/>
        </w:rPr>
        <w:t xml:space="preserve">Šajā nolūkā Apvienotā Karaliste ne vēlāk kā 60 dienas pēc grozījumu vai pieņemtā gada budžeta, vai to grozījumu publicēšanas </w:t>
      </w:r>
      <w:r>
        <w:rPr>
          <w:i/>
          <w:noProof/>
          <w:color w:val="000000"/>
        </w:rPr>
        <w:t>Eiropas Savienības Oficiālajā Vēstnesī</w:t>
      </w:r>
      <w:r>
        <w:rPr>
          <w:noProof/>
          <w:color w:val="000000"/>
        </w:rPr>
        <w:t xml:space="preserve"> paziņo Specializētajai komitejai par dalību Savienības programmās par nodomu izbeigt </w:t>
      </w:r>
      <w:r>
        <w:rPr>
          <w:noProof/>
          <w:color w:val="000000"/>
          <w:u w:color="000000"/>
        </w:rPr>
        <w:t>I protokola</w:t>
      </w:r>
      <w:r>
        <w:rPr>
          <w:noProof/>
          <w:color w:val="000000"/>
        </w:rPr>
        <w:t xml:space="preserve"> darbību</w:t>
      </w:r>
      <w:r>
        <w:rPr>
          <w:noProof/>
        </w:rPr>
        <w:t xml:space="preserve"> attiecībā </w:t>
      </w:r>
      <w:r>
        <w:rPr>
          <w:noProof/>
          <w:color w:val="000000"/>
        </w:rPr>
        <w:t xml:space="preserve">uz attiecīgo Savienības programmu. Apvienotā Karaliste paskaidro iemeslus, kuru dēļ Apvienotā Karaliste uzskata, ka grozījums būtiski maina </w:t>
      </w:r>
      <w:r>
        <w:rPr>
          <w:noProof/>
          <w:color w:val="000000"/>
        </w:rPr>
        <w:t xml:space="preserve">dalības nosacījumus. Specializētā komiteja par dalību Savienības programmās sanāk 45 dienu laikā pēc paziņojuma saņemšanas, lai apspriestu šo jautājumu. </w:t>
      </w:r>
    </w:p>
    <w:p w:rsidR="003E022D" w:rsidRDefault="007D19D6">
      <w:pPr>
        <w:numPr>
          <w:ilvl w:val="0"/>
          <w:numId w:val="444"/>
        </w:numPr>
        <w:rPr>
          <w:rFonts w:cs="Calibri"/>
          <w:noProof/>
        </w:rPr>
      </w:pPr>
      <w:r>
        <w:rPr>
          <w:noProof/>
          <w:color w:val="000000"/>
        </w:rPr>
        <w:t>Ja vien Apvienotā Karaliste neatsauc savu paziņojumu, izbeigšana stājas spēkā 45 dienas pēc Apvienotās</w:t>
      </w:r>
      <w:r>
        <w:rPr>
          <w:noProof/>
          <w:color w:val="000000"/>
        </w:rPr>
        <w:t xml:space="preserve"> Karalistes paziņojuma dienas. Diena, kurā izbeigšana stājas spēkā, ir atsauces diena šā </w:t>
      </w:r>
      <w:r>
        <w:rPr>
          <w:noProof/>
          <w:color w:val="000000"/>
          <w:u w:color="000000"/>
        </w:rPr>
        <w:t>panta</w:t>
      </w:r>
      <w:r>
        <w:rPr>
          <w:noProof/>
          <w:color w:val="000000"/>
        </w:rPr>
        <w:t xml:space="preserve"> vajadzībām.</w:t>
      </w:r>
    </w:p>
    <w:p w:rsidR="003E022D" w:rsidRDefault="007D19D6">
      <w:pPr>
        <w:numPr>
          <w:ilvl w:val="0"/>
          <w:numId w:val="444"/>
        </w:numPr>
        <w:rPr>
          <w:rFonts w:cs="Calibri"/>
          <w:noProof/>
        </w:rPr>
      </w:pPr>
      <w:r>
        <w:rPr>
          <w:noProof/>
          <w:color w:val="000000"/>
        </w:rPr>
        <w:t xml:space="preserve">Sākot no atsauces dienas Apvienoto Karalisti neuzskata par valsti, kas piedalās Savienības programmā vai darbībā, uz kuru attiecas izbeigšana, un jo </w:t>
      </w:r>
      <w:r>
        <w:rPr>
          <w:noProof/>
          <w:color w:val="000000"/>
        </w:rPr>
        <w:t xml:space="preserve">īpaši Apvienotā Karaliste vai Apvienotās Karalistes subjekti vairs nav tiesīgi piedalīties saskaņā ar nosacījumiem, kas paredzēti </w:t>
      </w:r>
      <w:r>
        <w:rPr>
          <w:noProof/>
          <w:color w:val="000000"/>
          <w:u w:color="000000"/>
        </w:rPr>
        <w:t>UNPRO 1.4. pantā [Atbilstība programmas noteikumiem]</w:t>
      </w:r>
      <w:r>
        <w:rPr>
          <w:noProof/>
          <w:color w:val="000000"/>
        </w:rPr>
        <w:t xml:space="preserve"> un </w:t>
      </w:r>
      <w:r>
        <w:rPr>
          <w:noProof/>
          <w:color w:val="000000"/>
          <w:u w:color="000000"/>
        </w:rPr>
        <w:t>I protokolā</w:t>
      </w:r>
      <w:r>
        <w:rPr>
          <w:noProof/>
          <w:color w:val="000000"/>
        </w:rPr>
        <w:t xml:space="preserve"> attiecībā uz Savienības piešķiršanas procedūrām, kuras min</w:t>
      </w:r>
      <w:r>
        <w:rPr>
          <w:noProof/>
          <w:color w:val="000000"/>
        </w:rPr>
        <w:t>ētajā dienā vēl nav pabeigtas. Piešķiršanas procedūru uzskata par pabeigtu, ja šādas procedūras rezultātā ir uzņemtas juridiskās saistības.</w:t>
      </w:r>
    </w:p>
    <w:p w:rsidR="003E022D" w:rsidRDefault="007D19D6">
      <w:pPr>
        <w:numPr>
          <w:ilvl w:val="0"/>
          <w:numId w:val="444"/>
        </w:numPr>
        <w:rPr>
          <w:rFonts w:cs="Calibri"/>
          <w:noProof/>
        </w:rPr>
      </w:pPr>
      <w:r>
        <w:rPr>
          <w:noProof/>
          <w:color w:val="000000"/>
        </w:rPr>
        <w:t xml:space="preserve">Dalības izbeigšana neietekmē juridiskās saistības, kas uzņemtas pirms atsauces dienas. Šo nolīgumu turpina piemērot </w:t>
      </w:r>
      <w:r>
        <w:rPr>
          <w:noProof/>
          <w:color w:val="000000"/>
        </w:rPr>
        <w:t>minētajām juridiskajām saistībām.</w:t>
      </w:r>
    </w:p>
    <w:p w:rsidR="003E022D" w:rsidRDefault="007D19D6">
      <w:pPr>
        <w:numPr>
          <w:ilvl w:val="0"/>
          <w:numId w:val="444"/>
        </w:numPr>
        <w:rPr>
          <w:rFonts w:cs="Calibri"/>
          <w:noProof/>
        </w:rPr>
      </w:pPr>
      <w:r>
        <w:rPr>
          <w:noProof/>
          <w:color w:val="000000"/>
        </w:rPr>
        <w:t xml:space="preserve">Ja attiecīgās programmas vai darbības tiek izbeigtas saskaņā ar šo </w:t>
      </w:r>
      <w:r>
        <w:rPr>
          <w:noProof/>
          <w:color w:val="000000"/>
          <w:u w:color="000000"/>
        </w:rPr>
        <w:t>pantu</w:t>
      </w:r>
      <w:r>
        <w:rPr>
          <w:noProof/>
          <w:color w:val="000000"/>
        </w:rPr>
        <w:t>:</w:t>
      </w:r>
    </w:p>
    <w:p w:rsidR="003E022D" w:rsidRDefault="007D19D6">
      <w:pPr>
        <w:numPr>
          <w:ilvl w:val="0"/>
          <w:numId w:val="445"/>
        </w:numPr>
        <w:ind w:left="567" w:hanging="567"/>
        <w:rPr>
          <w:rFonts w:cs="Calibri"/>
          <w:noProof/>
        </w:rPr>
      </w:pPr>
      <w:r>
        <w:rPr>
          <w:noProof/>
          <w:color w:val="000000"/>
        </w:rPr>
        <w:t xml:space="preserve">operatīvais ieguldījums, kas sedz atbalsta izdevumus, kuri saistīti ar jau uzņemtām juridiskām saistībām, turpina maksāt līdz minēto juridisko </w:t>
      </w:r>
      <w:r>
        <w:rPr>
          <w:noProof/>
          <w:color w:val="000000"/>
        </w:rPr>
        <w:t>saistību pabeigšanai vai līdz tās daudzgadu finanšu shēmas beigām, saskaņā ar kuru juridiskās saistības ir finansētas;</w:t>
      </w:r>
    </w:p>
    <w:p w:rsidR="003E022D" w:rsidRDefault="007D19D6">
      <w:pPr>
        <w:numPr>
          <w:ilvl w:val="0"/>
          <w:numId w:val="445"/>
        </w:numPr>
        <w:ind w:left="567" w:hanging="567"/>
        <w:rPr>
          <w:rFonts w:cs="Calibri"/>
          <w:noProof/>
          <w:color w:val="000000"/>
        </w:rPr>
      </w:pPr>
      <w:r>
        <w:rPr>
          <w:noProof/>
          <w:color w:val="000000"/>
        </w:rPr>
        <w:t>Savienība pārrēķina tā gada, kad notiek izbeigšana, operatīvo ieguldījumu, izmantojot UNPRO.2.1. panta [Finanšu nosacījumi] 8. punkta pie</w:t>
      </w:r>
      <w:r>
        <w:rPr>
          <w:noProof/>
          <w:color w:val="000000"/>
        </w:rPr>
        <w:t>ktās daļas a) apakšpunkta iii) punktā aprakstīto procedūru. Turpmākajos gados neveic nekādu ieguldījumu, izņemot šā panta a) apakšpunktā minētās iemaksas.</w:t>
      </w:r>
    </w:p>
    <w:p w:rsidR="003E022D" w:rsidRDefault="007D19D6">
      <w:pPr>
        <w:numPr>
          <w:ilvl w:val="0"/>
          <w:numId w:val="445"/>
        </w:numPr>
        <w:ind w:left="567" w:hanging="567"/>
        <w:rPr>
          <w:rFonts w:cs="Calibri"/>
          <w:noProof/>
        </w:rPr>
      </w:pPr>
      <w:r>
        <w:rPr>
          <w:noProof/>
          <w:color w:val="000000"/>
        </w:rPr>
        <w:t>dalības maksu koriģē atbilstīgi operatīvā ieguldījuma korekcijai.</w:t>
      </w:r>
    </w:p>
    <w:p w:rsidR="003E022D" w:rsidRDefault="007D19D6">
      <w:pPr>
        <w:pStyle w:val="Section"/>
        <w:rPr>
          <w:noProof/>
        </w:rPr>
      </w:pPr>
      <w:r>
        <w:rPr>
          <w:noProof/>
        </w:rPr>
        <w:t>4. iedaļa. Darbības rezultātu un fi</w:t>
      </w:r>
      <w:r>
        <w:rPr>
          <w:noProof/>
        </w:rPr>
        <w:t>nanšu pieauguma izvērtēšana</w:t>
      </w:r>
    </w:p>
    <w:p w:rsidR="003E022D" w:rsidRDefault="007D19D6">
      <w:pPr>
        <w:pStyle w:val="Article"/>
        <w:rPr>
          <w:noProof/>
        </w:rPr>
      </w:pPr>
      <w:r>
        <w:rPr>
          <w:noProof/>
        </w:rPr>
        <w:t xml:space="preserve">UNPRO.3.4. pants. Darbības rezultātu izvērtēšana </w:t>
      </w:r>
    </w:p>
    <w:p w:rsidR="003E022D" w:rsidRDefault="007D19D6">
      <w:pPr>
        <w:numPr>
          <w:ilvl w:val="0"/>
          <w:numId w:val="453"/>
        </w:numPr>
        <w:ind w:left="0" w:firstLine="0"/>
        <w:rPr>
          <w:rFonts w:cs="Calibri"/>
          <w:noProof/>
          <w:color w:val="000000"/>
        </w:rPr>
      </w:pPr>
      <w:r>
        <w:rPr>
          <w:noProof/>
          <w:color w:val="000000"/>
        </w:rPr>
        <w:t xml:space="preserve">Darbības rezultātu izvērtēšanas procedūru saskaņā ar šajā </w:t>
      </w:r>
      <w:r>
        <w:rPr>
          <w:noProof/>
          <w:color w:val="000000"/>
          <w:u w:color="000000"/>
        </w:rPr>
        <w:t>pantā</w:t>
      </w:r>
      <w:r>
        <w:rPr>
          <w:noProof/>
          <w:color w:val="000000"/>
        </w:rPr>
        <w:t xml:space="preserve"> izklāstītajiem nosacījumiem piemēro tām Savienības programmas vai darbības daļām, kurām piemēro </w:t>
      </w:r>
      <w:r>
        <w:rPr>
          <w:noProof/>
          <w:color w:val="000000"/>
          <w:u w:color="000000"/>
        </w:rPr>
        <w:t>UNPRO 2.2. pantā [</w:t>
      </w:r>
      <w:r>
        <w:rPr>
          <w:noProof/>
          <w:color w:val="000000"/>
          <w:u w:color="000000"/>
        </w:rPr>
        <w:t>Programmas, kurām piemēro automātiskās korekcijas mehānismu]</w:t>
      </w:r>
      <w:r>
        <w:rPr>
          <w:noProof/>
          <w:color w:val="000000"/>
        </w:rPr>
        <w:t xml:space="preserve"> minēto korekcijas mehānismu. </w:t>
      </w:r>
    </w:p>
    <w:p w:rsidR="003E022D" w:rsidRDefault="007D19D6">
      <w:pPr>
        <w:numPr>
          <w:ilvl w:val="0"/>
          <w:numId w:val="453"/>
        </w:numPr>
        <w:ind w:left="0" w:firstLine="0"/>
        <w:rPr>
          <w:rFonts w:cs="Calibri"/>
          <w:b/>
          <w:bCs/>
          <w:noProof/>
          <w:color w:val="000000"/>
          <w:shd w:val="clear" w:color="auto" w:fill="FFFFFF"/>
        </w:rPr>
      </w:pPr>
      <w:r>
        <w:rPr>
          <w:noProof/>
          <w:color w:val="000000"/>
        </w:rPr>
        <w:t>Apvienotā Karaliste var pieprasīt, lai Specializētā komiteja par dalību Savienības programmās sāk darbības rezultātu izvērtēšanas procedūru, ja summa, kas aprēķināta</w:t>
      </w:r>
      <w:r>
        <w:rPr>
          <w:noProof/>
          <w:color w:val="000000"/>
        </w:rPr>
        <w:t xml:space="preserve"> saskaņā ar UNPRO 2.2. panta [Programmas, kurām piemēro automātiskās korekcijas mehānismu] 2. punktā noteikto metodi, ir negatīva, vai ja šī summa pārsniedz 12 %</w:t>
      </w:r>
      <w:r>
        <w:rPr>
          <w:noProof/>
        </w:rPr>
        <w:t xml:space="preserve"> no atbilstošā </w:t>
      </w:r>
      <w:r>
        <w:rPr>
          <w:noProof/>
          <w:color w:val="000000"/>
        </w:rPr>
        <w:t>Apvienotās Karalistes ieguldījuma programmā vai darbībā, kurš koriģēts atbilstoš</w:t>
      </w:r>
      <w:r>
        <w:rPr>
          <w:noProof/>
          <w:color w:val="000000"/>
        </w:rPr>
        <w:t xml:space="preserve">i UNPRO.2.1. panta [Finanšu nosacījumi] 8. punktam. </w:t>
      </w:r>
    </w:p>
    <w:p w:rsidR="003E022D" w:rsidRDefault="007D19D6">
      <w:pPr>
        <w:numPr>
          <w:ilvl w:val="0"/>
          <w:numId w:val="453"/>
        </w:numPr>
        <w:ind w:left="0" w:firstLine="0"/>
        <w:rPr>
          <w:rFonts w:cs="Calibri"/>
          <w:noProof/>
          <w:color w:val="000000"/>
        </w:rPr>
      </w:pPr>
      <w:r>
        <w:rPr>
          <w:noProof/>
          <w:color w:val="000000"/>
        </w:rPr>
        <w:t xml:space="preserve">Specializētā </w:t>
      </w:r>
      <w:r>
        <w:rPr>
          <w:noProof/>
        </w:rPr>
        <w:t>komiteja</w:t>
      </w:r>
      <w:r>
        <w:rPr>
          <w:noProof/>
          <w:color w:val="000000"/>
        </w:rPr>
        <w:t xml:space="preserve"> par dalību Savienības programmās trīs mēnešu laikā no </w:t>
      </w:r>
      <w:r>
        <w:rPr>
          <w:noProof/>
          <w:color w:val="000000"/>
          <w:u w:color="000000"/>
        </w:rPr>
        <w:t>2. punktā</w:t>
      </w:r>
      <w:r>
        <w:rPr>
          <w:noProof/>
          <w:color w:val="000000"/>
        </w:rPr>
        <w:t xml:space="preserve"> minētā pieprasījuma dienas analizē attiecīgos ar darbības rezultātiem saistītos datus un pieņem ziņojumu, kurā ierosi</w:t>
      </w:r>
      <w:r>
        <w:rPr>
          <w:noProof/>
          <w:color w:val="000000"/>
        </w:rPr>
        <w:t xml:space="preserve">na atbilstīgus pasākumus ar darbības rezultātiem saistīto jautājumu risināšanai. </w:t>
      </w:r>
    </w:p>
    <w:p w:rsidR="003E022D" w:rsidRDefault="007D19D6">
      <w:pPr>
        <w:rPr>
          <w:rFonts w:cs="Calibri"/>
          <w:noProof/>
        </w:rPr>
      </w:pPr>
      <w:r>
        <w:rPr>
          <w:noProof/>
          <w:u w:color="000000"/>
        </w:rPr>
        <w:t>Pirmajā daļā</w:t>
      </w:r>
      <w:r>
        <w:rPr>
          <w:noProof/>
        </w:rPr>
        <w:t xml:space="preserve"> minētos pasākumus piemēro divpadsmit mēnešu laikposmā pēc ziņojuma pieņemšanas. Pēc pasākumu piemērošanas snieguma datus par attiecīgo laikposmu izmanto, lai apr</w:t>
      </w:r>
      <w:r>
        <w:rPr>
          <w:noProof/>
        </w:rPr>
        <w:t>ēķinātu starpību starp sākotnējām summām, ko paredz juridiskās saistības, kas faktiski uzņemtas ar Apvienoto Karalisti vai Apvienotās Karalistes subjektiem attiecīgajā kalendārajā gadā, un atbilstošo operatīvo ieguldījumu, ko Apvienotā Karaliste samaksājus</w:t>
      </w:r>
      <w:r>
        <w:rPr>
          <w:noProof/>
        </w:rPr>
        <w:t>i par to pašu gadu.</w:t>
      </w:r>
    </w:p>
    <w:p w:rsidR="003E022D" w:rsidRDefault="007D19D6">
      <w:pPr>
        <w:rPr>
          <w:rFonts w:cs="Calibri"/>
          <w:noProof/>
          <w:color w:val="000000"/>
        </w:rPr>
      </w:pPr>
      <w:r>
        <w:rPr>
          <w:noProof/>
        </w:rPr>
        <w:t xml:space="preserve">Ja </w:t>
      </w:r>
      <w:r>
        <w:rPr>
          <w:noProof/>
          <w:color w:val="000000"/>
        </w:rPr>
        <w:t>otrajā daļā</w:t>
      </w:r>
      <w:r>
        <w:rPr>
          <w:noProof/>
        </w:rPr>
        <w:t xml:space="preserve"> minētā starpība ir negatīva un pārsniedz 16 % no atbilstošā operatīvā ieguldījuma</w:t>
      </w:r>
      <w:r>
        <w:rPr>
          <w:noProof/>
          <w:color w:val="000000"/>
        </w:rPr>
        <w:t>,</w:t>
      </w:r>
      <w:r>
        <w:rPr>
          <w:b/>
          <w:bCs/>
          <w:i/>
          <w:iCs/>
          <w:noProof/>
          <w:color w:val="000000"/>
          <w:shd w:val="clear" w:color="auto" w:fill="FFFFFF"/>
        </w:rPr>
        <w:t xml:space="preserve"> </w:t>
      </w:r>
      <w:r>
        <w:rPr>
          <w:noProof/>
          <w:color w:val="000000"/>
        </w:rPr>
        <w:t xml:space="preserve">Apvienotā Karaliste var: </w:t>
      </w:r>
    </w:p>
    <w:p w:rsidR="003E022D" w:rsidRDefault="007D19D6">
      <w:pPr>
        <w:numPr>
          <w:ilvl w:val="0"/>
          <w:numId w:val="464"/>
        </w:numPr>
        <w:ind w:left="567" w:hanging="567"/>
        <w:rPr>
          <w:rFonts w:cs="Calibri"/>
          <w:noProof/>
          <w:color w:val="000000"/>
        </w:rPr>
      </w:pPr>
      <w:r>
        <w:rPr>
          <w:noProof/>
        </w:rPr>
        <w:t xml:space="preserve">paziņot par savu nodomu izbeigt dalību Savienības programmā vai attiecīgajā programmas daļā, par to paziņojot </w:t>
      </w:r>
      <w:r>
        <w:rPr>
          <w:noProof/>
        </w:rPr>
        <w:t>45 dienas pirms paredzētās izbeigšanas dienas, un var izbeigt savu dalību saskaņā ar UNPRO.3.3. panta [Dalības izbeigšana programmā gadījumā, ja tiek veiktas būtiskas izmaiņas Savienības programmā</w:t>
      </w:r>
      <w:r>
        <w:rPr>
          <w:noProof/>
          <w:color w:val="000000"/>
        </w:rPr>
        <w:t xml:space="preserve">] 3.–6. punktu, vai vai </w:t>
      </w:r>
    </w:p>
    <w:p w:rsidR="003E022D" w:rsidRDefault="007D19D6">
      <w:pPr>
        <w:numPr>
          <w:ilvl w:val="0"/>
          <w:numId w:val="464"/>
        </w:numPr>
        <w:ind w:left="567" w:hanging="567"/>
        <w:rPr>
          <w:rFonts w:cs="Calibri"/>
          <w:noProof/>
          <w:color w:val="000000"/>
        </w:rPr>
      </w:pPr>
      <w:r>
        <w:rPr>
          <w:noProof/>
          <w:color w:val="000000"/>
        </w:rPr>
        <w:t>lūgt Specializēto komiteju par dalī</w:t>
      </w:r>
      <w:r>
        <w:rPr>
          <w:noProof/>
          <w:color w:val="000000"/>
        </w:rPr>
        <w:t>bu Savienības programmās pieņemt turpmākus pasākumus, lai novērstu nepietiekamus rezultātus, tostarp veicot pielāgojumus attiecībā uz Apvienotās Karalistes dalību attiecīgajā Savienības programmā un koriģējot Apvienotās Karalistes turpmākos finanšu ieguldī</w:t>
      </w:r>
      <w:r>
        <w:rPr>
          <w:noProof/>
          <w:color w:val="000000"/>
        </w:rPr>
        <w:t xml:space="preserve">jumus attiecībā uz minēto programmu. </w:t>
      </w:r>
    </w:p>
    <w:p w:rsidR="003E022D" w:rsidRDefault="007D19D6">
      <w:pPr>
        <w:pStyle w:val="Article"/>
        <w:rPr>
          <w:noProof/>
        </w:rPr>
      </w:pPr>
      <w:r>
        <w:rPr>
          <w:noProof/>
        </w:rPr>
        <w:t>UNPRO.3.5. pants. Finanšu pieauguma pārskatīšana</w:t>
      </w:r>
    </w:p>
    <w:p w:rsidR="003E022D" w:rsidRDefault="007D19D6">
      <w:pPr>
        <w:numPr>
          <w:ilvl w:val="0"/>
          <w:numId w:val="454"/>
        </w:numPr>
        <w:ind w:left="0" w:firstLine="0"/>
        <w:rPr>
          <w:rFonts w:cs="Calibri"/>
          <w:noProof/>
        </w:rPr>
      </w:pPr>
      <w:r>
        <w:rPr>
          <w:noProof/>
          <w:color w:val="000000"/>
        </w:rPr>
        <w:t>Apvienotā Karaliste var paziņot Specializētajai komitejai par dalību Savienības programmās vai darbībās, ka tā iebilst pret sava ieguldījuma Savienības programmā vai dar</w:t>
      </w:r>
      <w:r>
        <w:rPr>
          <w:noProof/>
          <w:color w:val="000000"/>
        </w:rPr>
        <w:t>bībā apjomu</w:t>
      </w:r>
      <w:r>
        <w:rPr>
          <w:noProof/>
        </w:rPr>
        <w:t>, ja UNPRO.2.1. pantā [Finanšu nosacījumi] minēto saistību apropriāciju kopsummu palielina par vairāk nekā 5 % salīdzinājumā ar minētās programmas vai darbības sākotnējo finansējumu un vai nu ir palielināts attiecīgais maksimālais apjoms, vai ir</w:t>
      </w:r>
      <w:r>
        <w:rPr>
          <w:noProof/>
        </w:rPr>
        <w:t xml:space="preserve"> palielināta ārējo ieņēmumu summa, kas minēta UNPRO.2.1. panta [Finanšu nosacījumi] 5. punktā visam dalības periodam.</w:t>
      </w:r>
    </w:p>
    <w:p w:rsidR="003E022D" w:rsidRDefault="007D19D6">
      <w:pPr>
        <w:numPr>
          <w:ilvl w:val="0"/>
          <w:numId w:val="454"/>
        </w:numPr>
        <w:ind w:left="0" w:firstLine="0"/>
        <w:rPr>
          <w:rFonts w:cs="Calibri"/>
          <w:noProof/>
        </w:rPr>
      </w:pPr>
      <w:r>
        <w:rPr>
          <w:noProof/>
        </w:rPr>
        <w:t xml:space="preserve">Pirmajā punktā minēto paziņojumu sniedz 60 dienu laikā no dienas, kad </w:t>
      </w:r>
      <w:r>
        <w:rPr>
          <w:i/>
          <w:iCs/>
          <w:noProof/>
        </w:rPr>
        <w:t>Eiropas Savienības Oficiālajā Vēstnesī</w:t>
      </w:r>
      <w:r>
        <w:rPr>
          <w:noProof/>
        </w:rPr>
        <w:t xml:space="preserve"> publicēts pieņemtais gada bud</w:t>
      </w:r>
      <w:r>
        <w:rPr>
          <w:noProof/>
        </w:rPr>
        <w:t>žets vai tā grozījumi. Paziņojums neskar Apvienotās Karalistes pienākumu veikt savu iemaksu un UNPRO 2.1. panta [Finanšu nosacījumi] 8. punktā minētā korekcijas mehānisma piemērošanu.</w:t>
      </w:r>
    </w:p>
    <w:p w:rsidR="003E022D" w:rsidRDefault="007D19D6">
      <w:pPr>
        <w:numPr>
          <w:ilvl w:val="0"/>
          <w:numId w:val="454"/>
        </w:numPr>
        <w:ind w:left="0" w:firstLine="0"/>
        <w:rPr>
          <w:rFonts w:cs="Calibri"/>
          <w:noProof/>
        </w:rPr>
      </w:pPr>
      <w:r>
        <w:rPr>
          <w:noProof/>
          <w:color w:val="000000"/>
        </w:rPr>
        <w:t>Specializētā</w:t>
      </w:r>
      <w:r>
        <w:rPr>
          <w:noProof/>
        </w:rPr>
        <w:t xml:space="preserve"> komiteja</w:t>
      </w:r>
      <w:r>
        <w:rPr>
          <w:noProof/>
          <w:color w:val="000000"/>
        </w:rPr>
        <w:t xml:space="preserve"> par dalību Savienības programmās sagatavo ziņojumu</w:t>
      </w:r>
      <w:r>
        <w:rPr>
          <w:noProof/>
          <w:color w:val="000000"/>
        </w:rPr>
        <w:t>, ierosina un lemj par attiecīgu pasākumu pieņemšanu trīs mēnešu laikā</w:t>
      </w:r>
      <w:r>
        <w:rPr>
          <w:noProof/>
        </w:rPr>
        <w:t xml:space="preserve"> no šā panta </w:t>
      </w:r>
      <w:r>
        <w:rPr>
          <w:noProof/>
          <w:color w:val="000000"/>
        </w:rPr>
        <w:t>2. punktā</w:t>
      </w:r>
      <w:r>
        <w:rPr>
          <w:noProof/>
        </w:rPr>
        <w:t xml:space="preserve"> minētās paziņošanas dienas.</w:t>
      </w:r>
      <w:r>
        <w:rPr>
          <w:noProof/>
          <w:color w:val="000000"/>
        </w:rPr>
        <w:t xml:space="preserve"> Minētie pasākumi var ietvert Apvienotās Karalistes un Apvienotās Karalistes subjektu dalības ierobežošanu konkrēta tipa darbībās vai pi</w:t>
      </w:r>
      <w:r>
        <w:rPr>
          <w:noProof/>
          <w:color w:val="000000"/>
        </w:rPr>
        <w:t>ešķiršanas procedūrās vai – vajadzības gadījumā – I protokola grozīšanu. Pret Apvienotās Karalistes darbības ierobežošanu tā korekcijas mehānisma nolūkos, kas minēts UNPRO 2.1. panta [Finanšu nosacījumi] 8. punktā</w:t>
      </w:r>
      <w:r>
        <w:rPr>
          <w:noProof/>
        </w:rPr>
        <w:t>, izturas kā pret izslēgšanu.</w:t>
      </w:r>
    </w:p>
    <w:p w:rsidR="003E022D" w:rsidRDefault="007D19D6">
      <w:pPr>
        <w:numPr>
          <w:ilvl w:val="0"/>
          <w:numId w:val="454"/>
        </w:numPr>
        <w:ind w:left="0" w:firstLine="0"/>
        <w:rPr>
          <w:rFonts w:cs="Calibri"/>
          <w:noProof/>
        </w:rPr>
      </w:pPr>
      <w:r>
        <w:rPr>
          <w:noProof/>
          <w:color w:val="000000"/>
        </w:rPr>
        <w:t xml:space="preserve">Ja tiek </w:t>
      </w:r>
      <w:r>
        <w:rPr>
          <w:noProof/>
        </w:rPr>
        <w:t>izpil</w:t>
      </w:r>
      <w:r>
        <w:rPr>
          <w:noProof/>
        </w:rPr>
        <w:t>dīti nosacījumi, kas minēti UNPRO.3.3. panta [Dalības izbeigšana programmā gadījumā, ja tiek veiktas būtiskas izmaiņas Savienības programmā]</w:t>
      </w:r>
      <w:r>
        <w:rPr>
          <w:noProof/>
          <w:color w:val="000000"/>
        </w:rPr>
        <w:t xml:space="preserve"> 1. punkta b) apakšpunktā, Apvienotā Karaliste var izbeigt dalību I protokolā minētā</w:t>
      </w:r>
      <w:r>
        <w:rPr>
          <w:noProof/>
        </w:rPr>
        <w:t xml:space="preserve"> Savienības programmā vai darbīb</w:t>
      </w:r>
      <w:r>
        <w:rPr>
          <w:noProof/>
        </w:rPr>
        <w:t>ā saskaņā ar UNPRO.3.3. panta [Dalības izbeigšana programmā gadījumā, ja tiek veiktas būtiskas izmaiņas Savienības programmā] 2.–6. punktu.</w:t>
      </w:r>
    </w:p>
    <w:p w:rsidR="003E022D" w:rsidRDefault="007D19D6">
      <w:pPr>
        <w:pStyle w:val="Chapter"/>
        <w:rPr>
          <w:noProof/>
        </w:rPr>
      </w:pPr>
      <w:r>
        <w:rPr>
          <w:noProof/>
        </w:rPr>
        <w:t>2. nodaļa. Pareiza finanšu pārvaldība</w:t>
      </w:r>
    </w:p>
    <w:p w:rsidR="003E022D" w:rsidRDefault="007D19D6">
      <w:pPr>
        <w:pStyle w:val="Article"/>
        <w:rPr>
          <w:noProof/>
        </w:rPr>
      </w:pPr>
      <w:r>
        <w:rPr>
          <w:noProof/>
        </w:rPr>
        <w:t>UNPRO.4.X-1. pants Darbības joma</w:t>
      </w:r>
    </w:p>
    <w:p w:rsidR="003E022D" w:rsidRDefault="007D19D6">
      <w:pPr>
        <w:rPr>
          <w:rFonts w:eastAsia="Calibri" w:cs="Calibri"/>
          <w:noProof/>
          <w:color w:val="000000"/>
          <w:shd w:val="clear" w:color="auto" w:fill="FFFFFF"/>
        </w:rPr>
      </w:pPr>
      <w:r>
        <w:rPr>
          <w:noProof/>
          <w:color w:val="000000"/>
          <w:shd w:val="clear" w:color="auto" w:fill="FFFFFF"/>
        </w:rPr>
        <w:t>Šo nodaļu piemēro Savienības programmām, darb</w:t>
      </w:r>
      <w:r>
        <w:rPr>
          <w:noProof/>
          <w:color w:val="000000"/>
          <w:shd w:val="clear" w:color="auto" w:fill="FFFFFF"/>
        </w:rPr>
        <w:t xml:space="preserve">ībām un pakalpojumiem </w:t>
      </w:r>
      <w:r>
        <w:rPr>
          <w:noProof/>
          <w:color w:val="000000"/>
          <w:u w:color="000000"/>
          <w:shd w:val="clear" w:color="auto" w:fill="FFFFFF"/>
        </w:rPr>
        <w:t>I</w:t>
      </w:r>
      <w:r>
        <w:rPr>
          <w:noProof/>
          <w:color w:val="000000"/>
          <w:shd w:val="clear" w:color="auto" w:fill="FFFFFF"/>
        </w:rPr>
        <w:t xml:space="preserve"> un </w:t>
      </w:r>
      <w:r>
        <w:rPr>
          <w:noProof/>
          <w:color w:val="000000"/>
          <w:u w:color="000000"/>
          <w:shd w:val="clear" w:color="auto" w:fill="FFFFFF"/>
        </w:rPr>
        <w:t>II protokolā</w:t>
      </w:r>
      <w:r>
        <w:rPr>
          <w:noProof/>
          <w:color w:val="000000"/>
          <w:shd w:val="clear" w:color="auto" w:fill="FFFFFF"/>
        </w:rPr>
        <w:t xml:space="preserve"> minēto Savienības programmu ietvaros.</w:t>
      </w:r>
    </w:p>
    <w:p w:rsidR="003E022D" w:rsidRDefault="007D19D6">
      <w:pPr>
        <w:pStyle w:val="Section"/>
        <w:rPr>
          <w:noProof/>
        </w:rPr>
      </w:pPr>
      <w:r>
        <w:rPr>
          <w:noProof/>
        </w:rPr>
        <w:t>1. iedaļa. Finanšu interešu aizsardzība un atgūšana</w:t>
      </w:r>
    </w:p>
    <w:p w:rsidR="003E022D" w:rsidRDefault="007D19D6">
      <w:pPr>
        <w:pStyle w:val="Article"/>
        <w:rPr>
          <w:noProof/>
        </w:rPr>
      </w:pPr>
      <w:r>
        <w:rPr>
          <w:noProof/>
        </w:rPr>
        <w:t>UNPRO.4.X. pants. Darbības veikšana pareizas finanšu pārvaldības nolūkā</w:t>
      </w:r>
    </w:p>
    <w:p w:rsidR="003E022D" w:rsidRDefault="007D19D6">
      <w:pPr>
        <w:rPr>
          <w:rFonts w:cs="Calibri"/>
          <w:noProof/>
        </w:rPr>
      </w:pPr>
      <w:r>
        <w:rPr>
          <w:noProof/>
        </w:rPr>
        <w:t xml:space="preserve">Šīs </w:t>
      </w:r>
      <w:r>
        <w:rPr>
          <w:noProof/>
          <w:u w:color="000000"/>
        </w:rPr>
        <w:t>nodaļas</w:t>
      </w:r>
      <w:r>
        <w:rPr>
          <w:noProof/>
        </w:rPr>
        <w:t xml:space="preserve"> piemērošanas nolūkā šajā </w:t>
      </w:r>
      <w:r>
        <w:rPr>
          <w:noProof/>
          <w:u w:color="000000"/>
        </w:rPr>
        <w:t>nodaļā</w:t>
      </w:r>
      <w:r>
        <w:rPr>
          <w:noProof/>
        </w:rPr>
        <w:t xml:space="preserve"> minētās Apvienotās Karalistes un Savienības iestādes cieši sadarbojas saskaņā ar to attiecīgajiem normatīvajiem aktiem. </w:t>
      </w:r>
    </w:p>
    <w:p w:rsidR="003E022D" w:rsidRDefault="007D19D6">
      <w:pPr>
        <w:rPr>
          <w:rFonts w:cs="Calibri"/>
          <w:noProof/>
        </w:rPr>
      </w:pPr>
      <w:r>
        <w:rPr>
          <w:noProof/>
        </w:rPr>
        <w:t xml:space="preserve">Pildot savus pienākumus Apvienotās Karalistes teritorijā, Savienības pārstāvji un izmeklēšanas struktūras rīkojas saskaņā ar </w:t>
      </w:r>
      <w:r>
        <w:rPr>
          <w:noProof/>
        </w:rPr>
        <w:t>Apvienotās Karalistes tiesību aktiem.</w:t>
      </w:r>
    </w:p>
    <w:p w:rsidR="003E022D" w:rsidRDefault="007D19D6">
      <w:pPr>
        <w:pStyle w:val="Article"/>
        <w:rPr>
          <w:noProof/>
        </w:rPr>
      </w:pPr>
      <w:r>
        <w:rPr>
          <w:noProof/>
        </w:rPr>
        <w:t>UNPRO.4.1. pants. Pārskatīšanas un revīzijas</w:t>
      </w:r>
    </w:p>
    <w:p w:rsidR="003E022D" w:rsidRDefault="007D19D6">
      <w:pPr>
        <w:numPr>
          <w:ilvl w:val="0"/>
          <w:numId w:val="446"/>
        </w:numPr>
        <w:rPr>
          <w:rFonts w:cs="Calibri"/>
          <w:noProof/>
        </w:rPr>
      </w:pPr>
      <w:bookmarkStart w:id="922" w:name="bookmark114"/>
      <w:r>
        <w:rPr>
          <w:noProof/>
        </w:rPr>
        <w:t>Savienībai</w:t>
      </w:r>
      <w:r>
        <w:rPr>
          <w:noProof/>
          <w:color w:val="000000"/>
        </w:rPr>
        <w:t xml:space="preserve"> ir tiesības – kā to paredz attiecīgie finansēšanas nolīgumi un/vai līgumi un saskaņā ar vienas vai vairāku Savienības iestāžu piemērojamajiem aktiem – veikt tehni</w:t>
      </w:r>
      <w:r>
        <w:rPr>
          <w:noProof/>
          <w:color w:val="000000"/>
        </w:rPr>
        <w:t xml:space="preserve">skas, zinātniskas, finansiālas vai cita tipa pārskatīšanas un revīzijas tādu fizisku personu vai tiesību subjektu telpās, kas dzīvo vai, attiecīgi, kas veic uzņēmējdarbību Apvienotajā Karalistē un saņem Savienības finansējumu, kā arī tādas trešās personas </w:t>
      </w:r>
      <w:r>
        <w:rPr>
          <w:noProof/>
          <w:color w:val="000000"/>
        </w:rPr>
        <w:t>telpās, kas iesaistīta Savienības finansējuma īstenošanā un kas dzīvo vai veic uzņēmējdarbību Apvienotajā Karalistē. Šādas pārskatīšanas un revīzijas var veikt Savienības iestāžu un struktūru, jo īpaši Eiropas Komisijas un Eiropas Revīzijas palātas, pārstā</w:t>
      </w:r>
      <w:r>
        <w:rPr>
          <w:noProof/>
          <w:color w:val="000000"/>
        </w:rPr>
        <w:t>vji vai citas personas, ko saskaņā ar Savienības tiesību aktiem pilnvarojusi Eiropas Komisija.</w:t>
      </w:r>
      <w:bookmarkEnd w:id="922"/>
    </w:p>
    <w:p w:rsidR="003E022D" w:rsidRDefault="007D19D6">
      <w:pPr>
        <w:numPr>
          <w:ilvl w:val="0"/>
          <w:numId w:val="446"/>
        </w:numPr>
        <w:rPr>
          <w:rFonts w:cs="Calibri"/>
          <w:noProof/>
        </w:rPr>
      </w:pPr>
      <w:r>
        <w:rPr>
          <w:noProof/>
          <w:color w:val="000000"/>
        </w:rPr>
        <w:t>Savienības iestāžu un struktūru darbiniekiem, jo īpaši Eiropas Komisijas un Eiropas Revīzijas palātas darbiniekiem,</w:t>
      </w:r>
      <w:r>
        <w:rPr>
          <w:noProof/>
        </w:rPr>
        <w:t xml:space="preserve"> kā arī citām Eiropas Komisijas pilnvarotām pe</w:t>
      </w:r>
      <w:r>
        <w:rPr>
          <w:noProof/>
        </w:rPr>
        <w:t xml:space="preserve">rsonām ir atbilstīga piekļuve vietām, darbiem un dokumentiem (elektroniskā vai papīra formātā, vai abējādi), kā arī visai informācijai, kas vajadzīga, lai veiktu šādas pārskatīšanas un revīzijas, kā minēts </w:t>
      </w:r>
      <w:r>
        <w:rPr>
          <w:noProof/>
          <w:color w:val="000000"/>
        </w:rPr>
        <w:t>1. punktā</w:t>
      </w:r>
      <w:r>
        <w:rPr>
          <w:noProof/>
        </w:rPr>
        <w:t>.</w:t>
      </w:r>
      <w:r>
        <w:rPr>
          <w:noProof/>
          <w:color w:val="000000"/>
        </w:rPr>
        <w:t xml:space="preserve"> Šāda piekļuve ietver tiesības saņemt fi</w:t>
      </w:r>
      <w:r>
        <w:rPr>
          <w:noProof/>
          <w:color w:val="000000"/>
        </w:rPr>
        <w:t>ziskas vai elektroniskas kopijas un izrakstus no jebkura revidējamo fizisko vai juridisko personu vai revidējamās trešās personas rīcībā esoša dokumenta vai datu nesēja satura.</w:t>
      </w:r>
    </w:p>
    <w:p w:rsidR="003E022D" w:rsidRDefault="007D19D6">
      <w:pPr>
        <w:numPr>
          <w:ilvl w:val="0"/>
          <w:numId w:val="446"/>
        </w:numPr>
        <w:rPr>
          <w:rFonts w:cs="Calibri"/>
          <w:noProof/>
        </w:rPr>
      </w:pPr>
      <w:r>
        <w:rPr>
          <w:noProof/>
          <w:color w:val="000000"/>
        </w:rPr>
        <w:t xml:space="preserve">Apvienotā Karaliste nekavē un nerada šķēršļus </w:t>
      </w:r>
      <w:r>
        <w:rPr>
          <w:noProof/>
          <w:color w:val="000000"/>
          <w:u w:color="000000"/>
        </w:rPr>
        <w:t>2. punktā</w:t>
      </w:r>
      <w:r>
        <w:rPr>
          <w:noProof/>
          <w:color w:val="000000"/>
        </w:rPr>
        <w:t xml:space="preserve"> minēto pārstāvju un cit</w:t>
      </w:r>
      <w:r>
        <w:rPr>
          <w:noProof/>
          <w:color w:val="000000"/>
        </w:rPr>
        <w:t xml:space="preserve">u personu tiesībām ieceļot Apvienotajā Karalistē un piekļūt revidēto personu telpām, pildot šajā </w:t>
      </w:r>
      <w:r>
        <w:rPr>
          <w:noProof/>
          <w:color w:val="000000"/>
          <w:u w:color="000000"/>
        </w:rPr>
        <w:t>pantā</w:t>
      </w:r>
      <w:r>
        <w:rPr>
          <w:noProof/>
          <w:color w:val="000000"/>
        </w:rPr>
        <w:t xml:space="preserve"> minētos pienākumus.</w:t>
      </w:r>
    </w:p>
    <w:p w:rsidR="003E022D" w:rsidRDefault="007D19D6">
      <w:pPr>
        <w:numPr>
          <w:ilvl w:val="0"/>
          <w:numId w:val="446"/>
        </w:numPr>
        <w:rPr>
          <w:rFonts w:cs="Calibri"/>
          <w:noProof/>
        </w:rPr>
      </w:pPr>
      <w:r>
        <w:rPr>
          <w:noProof/>
        </w:rPr>
        <w:t xml:space="preserve">Neatkarīgi no tā, vai Apvienotās Karalistes dalība programmā vai darbībā tiek apturēta vai izbeigta vai tiek apturēta daļa šīs Daļas </w:t>
      </w:r>
      <w:r>
        <w:rPr>
          <w:noProof/>
        </w:rPr>
        <w:t>un/vai I protokola noteikumu vai visi šie noteikumi, vai tiek izbeigta šā nolīguma darbība, – pārskatīšanas un revīzijas var veikt arī pēc attiecīgās apturēšanas vai izbeigšanas spēkā stāšanās dienas saskaņā ar noteikumiem, kas paredzēti vienas vai vairāku</w:t>
      </w:r>
      <w:r>
        <w:rPr>
          <w:noProof/>
        </w:rPr>
        <w:t xml:space="preserve"> Savienības iestāžu piemērojamajos aktos, un kā paredzēts attiecīgajos finansēšanas nolīgumos un/vai līgumos, kuri attiecas uz jebkādām juridiskām saistībām, ar ko tiek īstenots Savienības budžets, par kuru Savienība vienojusies pirms attiecīgās apturēšana</w:t>
      </w:r>
      <w:r>
        <w:rPr>
          <w:noProof/>
        </w:rPr>
        <w:t>s vai izbeigšanas spēkā stāšanās dienas.</w:t>
      </w:r>
      <w:r>
        <w:rPr>
          <w:noProof/>
          <w:color w:val="000000"/>
        </w:rPr>
        <w:t xml:space="preserve"> </w:t>
      </w:r>
    </w:p>
    <w:p w:rsidR="003E022D" w:rsidRDefault="007D19D6">
      <w:pPr>
        <w:pStyle w:val="Article"/>
        <w:rPr>
          <w:noProof/>
        </w:rPr>
      </w:pPr>
      <w:r>
        <w:rPr>
          <w:noProof/>
        </w:rPr>
        <w:t>UNPRO.4.2. pants. Cīņa pret pārkāpumiem un krāpšanu, kā arī citiem noziedzīgiem nodarījumiem, kas skar Savienības finanšu intereses</w:t>
      </w:r>
    </w:p>
    <w:p w:rsidR="003E022D" w:rsidRDefault="007D19D6">
      <w:pPr>
        <w:numPr>
          <w:ilvl w:val="0"/>
          <w:numId w:val="447"/>
        </w:numPr>
        <w:rPr>
          <w:rFonts w:cs="Calibri"/>
          <w:noProof/>
        </w:rPr>
      </w:pPr>
      <w:r>
        <w:rPr>
          <w:noProof/>
          <w:color w:val="000000"/>
        </w:rPr>
        <w:t>Eiropas Komisija un Eiropas Birojs krāpšanas apkarošanai (</w:t>
      </w:r>
      <w:r>
        <w:rPr>
          <w:i/>
          <w:noProof/>
          <w:color w:val="000000"/>
        </w:rPr>
        <w:t>OLAF</w:t>
      </w:r>
      <w:r>
        <w:rPr>
          <w:noProof/>
          <w:color w:val="000000"/>
        </w:rPr>
        <w:t>) ir pilnvaroti veik</w:t>
      </w:r>
      <w:r>
        <w:rPr>
          <w:noProof/>
          <w:color w:val="000000"/>
        </w:rPr>
        <w:t xml:space="preserve">t </w:t>
      </w:r>
      <w:r>
        <w:rPr>
          <w:noProof/>
        </w:rPr>
        <w:t>administratīvas</w:t>
      </w:r>
      <w:r>
        <w:rPr>
          <w:noProof/>
          <w:color w:val="000000"/>
        </w:rPr>
        <w:t xml:space="preserve"> izmeklēšanas, cita starpā arī pārbaudes un inspekcijas uz vietas, Apvienotās Karalistes teritorijā.</w:t>
      </w:r>
      <w:r>
        <w:rPr>
          <w:noProof/>
          <w:color w:val="FF0000"/>
        </w:rPr>
        <w:t xml:space="preserve"> </w:t>
      </w:r>
      <w:r>
        <w:rPr>
          <w:noProof/>
          <w:color w:val="000000"/>
        </w:rPr>
        <w:t xml:space="preserve">Eiropas Komisija un </w:t>
      </w:r>
      <w:r>
        <w:rPr>
          <w:i/>
          <w:noProof/>
          <w:color w:val="000000"/>
        </w:rPr>
        <w:t>OLAF</w:t>
      </w:r>
      <w:r>
        <w:rPr>
          <w:noProof/>
          <w:color w:val="000000"/>
        </w:rPr>
        <w:t xml:space="preserve"> rīkojas saskaņā ar Savienības tiesību aktiem, kas reglamentē minētās pārbaudes, inspekcijas un izmeklēšanas.</w:t>
      </w:r>
    </w:p>
    <w:p w:rsidR="003E022D" w:rsidRDefault="007D19D6">
      <w:pPr>
        <w:numPr>
          <w:ilvl w:val="0"/>
          <w:numId w:val="447"/>
        </w:numPr>
        <w:rPr>
          <w:rFonts w:cs="Calibri"/>
          <w:noProof/>
        </w:rPr>
      </w:pPr>
      <w:r>
        <w:rPr>
          <w:noProof/>
          <w:color w:val="000000"/>
        </w:rPr>
        <w:t>Apvi</w:t>
      </w:r>
      <w:r>
        <w:rPr>
          <w:noProof/>
          <w:color w:val="000000"/>
        </w:rPr>
        <w:t xml:space="preserve">enotās Karalistes kompetentās iestādes saprātīgā laikposmā informē Eiropas Komisiju vai </w:t>
      </w:r>
      <w:r>
        <w:rPr>
          <w:i/>
          <w:noProof/>
          <w:color w:val="000000"/>
        </w:rPr>
        <w:t>OLAF</w:t>
      </w:r>
      <w:r>
        <w:rPr>
          <w:noProof/>
          <w:color w:val="000000"/>
        </w:rPr>
        <w:t xml:space="preserve"> par jebkuru faktu vai aizdomām, par kurām tās uzzinājušas, saistībā ar pārkāpumu vai krāpšanu, vai arī citu nelikumīgu darbību, kas skar Savienības finanšu interes</w:t>
      </w:r>
      <w:r>
        <w:rPr>
          <w:noProof/>
          <w:color w:val="000000"/>
        </w:rPr>
        <w:t>es.</w:t>
      </w:r>
    </w:p>
    <w:p w:rsidR="003E022D" w:rsidRDefault="007D19D6">
      <w:pPr>
        <w:numPr>
          <w:ilvl w:val="0"/>
          <w:numId w:val="447"/>
        </w:numPr>
        <w:rPr>
          <w:rFonts w:cs="Calibri"/>
          <w:noProof/>
        </w:rPr>
      </w:pPr>
      <w:r>
        <w:rPr>
          <w:noProof/>
          <w:color w:val="000000"/>
        </w:rPr>
        <w:t>Pārbaudes un inspekcijas uz vietas var</w:t>
      </w:r>
      <w:r>
        <w:rPr>
          <w:noProof/>
        </w:rPr>
        <w:t xml:space="preserve"> veikt visu tādu fizisku personu vai tiesību </w:t>
      </w:r>
      <w:r>
        <w:rPr>
          <w:noProof/>
          <w:color w:val="000000"/>
        </w:rPr>
        <w:t>subjektu</w:t>
      </w:r>
      <w:r>
        <w:rPr>
          <w:noProof/>
        </w:rPr>
        <w:t xml:space="preserve"> telpās, kas dzīvo vai, attiecīgi, kas veic uzņēmējdarbību Apvienotajā Karalistē un saņem Savienības finansējumu saskaņā ar finansēšanas nolīgumu vai līgumu, kā </w:t>
      </w:r>
      <w:r>
        <w:rPr>
          <w:noProof/>
        </w:rPr>
        <w:t xml:space="preserve">arī jebkuras tādas trešās personas telpās, kas iesaistīta šāda Savienības finansējuma īstenošanā un kas dzīvo vai veic uzņēmējdarbību Apvienotajā Karalistē. </w:t>
      </w:r>
      <w:r>
        <w:rPr>
          <w:noProof/>
          <w:color w:val="000000"/>
        </w:rPr>
        <w:t xml:space="preserve">Šādas pārbaudes un inspekcijas uz vietas sagatavo un veic Eiropas Komisija vai </w:t>
      </w:r>
      <w:r>
        <w:rPr>
          <w:i/>
          <w:noProof/>
          <w:color w:val="000000"/>
        </w:rPr>
        <w:t>OLAF</w:t>
      </w:r>
      <w:r>
        <w:rPr>
          <w:noProof/>
          <w:color w:val="000000"/>
        </w:rPr>
        <w:t xml:space="preserve"> ciešā sadarbībā</w:t>
      </w:r>
      <w:r>
        <w:rPr>
          <w:noProof/>
          <w:color w:val="000000"/>
        </w:rPr>
        <w:t xml:space="preserve"> ar Apvienotās Karalistes kompetento iestādi, kuru izraudzījusi Apvienotā Karaliste. Izraudzīto iestādi saprātīgā laikposmā pirms pārbaudēm un inspekcijām informē par pārbaužu un inspekciju objektu, nolūku un juridisko pamatu, lai tā varētu sniegt palīdzīb</w:t>
      </w:r>
      <w:r>
        <w:rPr>
          <w:noProof/>
          <w:color w:val="000000"/>
        </w:rPr>
        <w:t>u. Minētajā nolūkā Apvienotās Karalistes kompetento iestāžu ierēdņi var piedalīties pārbaudēs un inspekcijās uz vietas.</w:t>
      </w:r>
    </w:p>
    <w:p w:rsidR="003E022D" w:rsidRDefault="007D19D6">
      <w:pPr>
        <w:numPr>
          <w:ilvl w:val="0"/>
          <w:numId w:val="447"/>
        </w:numPr>
        <w:rPr>
          <w:rFonts w:cs="Calibri"/>
          <w:noProof/>
        </w:rPr>
      </w:pPr>
      <w:r>
        <w:rPr>
          <w:noProof/>
        </w:rPr>
        <w:t xml:space="preserve">Eiropas Komisijas un </w:t>
      </w:r>
      <w:r>
        <w:rPr>
          <w:i/>
          <w:iCs/>
          <w:noProof/>
        </w:rPr>
        <w:t>OLAF</w:t>
      </w:r>
      <w:r>
        <w:rPr>
          <w:noProof/>
        </w:rPr>
        <w:t xml:space="preserve"> pārstāvjiem ir piekļuve visai informācijai un dokumentācijai (elektroniskā vai papīra formātā, vai abējādi), k</w:t>
      </w:r>
      <w:r>
        <w:rPr>
          <w:noProof/>
        </w:rPr>
        <w:t xml:space="preserve">uri attiecas uz 3. punktā minētajām darbībām, kas nepieciešami, lai pārbaudes un inspekcijas uz vietas veiktu pienācīgi. Jo īpaši Eiropas Komisijas un </w:t>
      </w:r>
      <w:r>
        <w:rPr>
          <w:i/>
          <w:noProof/>
        </w:rPr>
        <w:t>OLAF</w:t>
      </w:r>
      <w:r>
        <w:rPr>
          <w:noProof/>
        </w:rPr>
        <w:t xml:space="preserve"> darbinieki drīkst kopēt attiecīgos dokumentus.</w:t>
      </w:r>
    </w:p>
    <w:p w:rsidR="003E022D" w:rsidRDefault="007D19D6">
      <w:pPr>
        <w:numPr>
          <w:ilvl w:val="0"/>
          <w:numId w:val="447"/>
        </w:numPr>
        <w:rPr>
          <w:rFonts w:cs="Calibri"/>
          <w:noProof/>
        </w:rPr>
      </w:pPr>
      <w:r>
        <w:rPr>
          <w:noProof/>
          <w:color w:val="000000"/>
        </w:rPr>
        <w:t xml:space="preserve">Eiropas Komisija vai </w:t>
      </w:r>
      <w:r>
        <w:rPr>
          <w:i/>
          <w:noProof/>
          <w:color w:val="000000"/>
        </w:rPr>
        <w:t>OLAF</w:t>
      </w:r>
      <w:r>
        <w:rPr>
          <w:noProof/>
          <w:color w:val="000000"/>
        </w:rPr>
        <w:t xml:space="preserve"> un Apvienotās Karalistes ko</w:t>
      </w:r>
      <w:r>
        <w:rPr>
          <w:noProof/>
          <w:color w:val="000000"/>
        </w:rPr>
        <w:t xml:space="preserve">mpetentās iestādes katrā konkrētā gadījumā atsevišķi lemj par to, vai pārbaudes un inspekcijas uz vietas </w:t>
      </w:r>
      <w:r>
        <w:rPr>
          <w:noProof/>
        </w:rPr>
        <w:t>veikt</w:t>
      </w:r>
      <w:r>
        <w:rPr>
          <w:noProof/>
          <w:color w:val="000000"/>
        </w:rPr>
        <w:t xml:space="preserve"> kopīgi, arī gadījumos, kad abas puses ir kompetentas veikt izmeklēšanas.</w:t>
      </w:r>
    </w:p>
    <w:p w:rsidR="003E022D" w:rsidRDefault="007D19D6">
      <w:pPr>
        <w:numPr>
          <w:ilvl w:val="0"/>
          <w:numId w:val="447"/>
        </w:numPr>
        <w:rPr>
          <w:rFonts w:cs="Calibri"/>
          <w:noProof/>
        </w:rPr>
      </w:pPr>
      <w:r>
        <w:rPr>
          <w:noProof/>
          <w:color w:val="000000"/>
        </w:rPr>
        <w:t>Ja persona, tiesību subjekts vai cita trešā puse, kuram piemēro pārbaudi</w:t>
      </w:r>
      <w:r>
        <w:rPr>
          <w:noProof/>
          <w:color w:val="000000"/>
        </w:rPr>
        <w:t xml:space="preserve"> vai inspekciju uz vietas, nepiekrīt pārbaudei vai inspekcijai uz vietas, Apvienotās Karalistes iestādes, rīkojoties saskaņā ar valsts tiesību aktiem, palīdz Eiropas Komisijai vai </w:t>
      </w:r>
      <w:r>
        <w:rPr>
          <w:i/>
          <w:iCs/>
          <w:noProof/>
          <w:color w:val="000000"/>
        </w:rPr>
        <w:t>OLAF</w:t>
      </w:r>
      <w:r>
        <w:rPr>
          <w:noProof/>
          <w:color w:val="000000"/>
        </w:rPr>
        <w:t>, lai tie varētu izpildīt savus pienākumus – veikt pārbaudi vai inspekci</w:t>
      </w:r>
      <w:r>
        <w:rPr>
          <w:noProof/>
          <w:color w:val="000000"/>
        </w:rPr>
        <w:t>ju uz vietas.</w:t>
      </w:r>
      <w:r>
        <w:rPr>
          <w:noProof/>
        </w:rPr>
        <w:t xml:space="preserve"> Šajā palīdzībā cita starpā ietilpst piemērotu aizsardzības pasākumu veikšana saskaņā ar valsts tiesību aktiem, tostarp pasākumi pierādījumu aizsargāšanai.</w:t>
      </w:r>
    </w:p>
    <w:p w:rsidR="003E022D" w:rsidRDefault="007D19D6">
      <w:pPr>
        <w:numPr>
          <w:ilvl w:val="0"/>
          <w:numId w:val="447"/>
        </w:numPr>
        <w:rPr>
          <w:rFonts w:cs="Calibri"/>
          <w:noProof/>
          <w:color w:val="000000"/>
        </w:rPr>
      </w:pPr>
      <w:r>
        <w:rPr>
          <w:noProof/>
          <w:color w:val="000000"/>
        </w:rPr>
        <w:t xml:space="preserve">Eiropas Komisija vai </w:t>
      </w:r>
      <w:r>
        <w:rPr>
          <w:i/>
          <w:noProof/>
          <w:color w:val="000000"/>
        </w:rPr>
        <w:t>OLAF</w:t>
      </w:r>
      <w:r>
        <w:rPr>
          <w:noProof/>
          <w:color w:val="000000"/>
        </w:rPr>
        <w:t xml:space="preserve"> informē Apvienotās Karalistes kompetentās iestādes par šādu pārbaužu un inspekciju rezultātu. Jo īpaši Eiropas Komisija vai </w:t>
      </w:r>
      <w:r>
        <w:rPr>
          <w:i/>
          <w:noProof/>
          <w:color w:val="000000"/>
        </w:rPr>
        <w:t>OLAF</w:t>
      </w:r>
      <w:r>
        <w:rPr>
          <w:noProof/>
          <w:color w:val="000000"/>
        </w:rPr>
        <w:t xml:space="preserve"> iespējami drīz ziņo Apvienotās Karalistes kompetentajai iestādei par jebkuru faktu vai aizdomām saistībā ar pārkāpumu, par ko </w:t>
      </w:r>
      <w:r>
        <w:rPr>
          <w:noProof/>
          <w:color w:val="000000"/>
        </w:rPr>
        <w:t>tie uzzinājuši, veicot pārbaudi vai inspekciju uz vietas.</w:t>
      </w:r>
    </w:p>
    <w:p w:rsidR="003E022D" w:rsidRDefault="007D19D6">
      <w:pPr>
        <w:numPr>
          <w:ilvl w:val="0"/>
          <w:numId w:val="447"/>
        </w:numPr>
        <w:rPr>
          <w:rFonts w:cs="Calibri"/>
          <w:noProof/>
        </w:rPr>
      </w:pPr>
      <w:r>
        <w:rPr>
          <w:noProof/>
          <w:color w:val="000000"/>
        </w:rPr>
        <w:t>Neskarot Apvienotās Karalistes tiesību piemērošanu, Eiropas Komisija var noteikt administratīvus pasākumus un sankcijas fiziskām vai juridiskām personām, kuras piedalās programmas vai darbības īsten</w:t>
      </w:r>
      <w:r>
        <w:rPr>
          <w:noProof/>
          <w:color w:val="000000"/>
        </w:rPr>
        <w:t>ošanā saskaņā ar Savienības tiesību aktiem.</w:t>
      </w:r>
    </w:p>
    <w:p w:rsidR="003E022D" w:rsidRDefault="007D19D6">
      <w:pPr>
        <w:numPr>
          <w:ilvl w:val="0"/>
          <w:numId w:val="447"/>
        </w:numPr>
        <w:rPr>
          <w:rFonts w:cs="Calibri"/>
          <w:noProof/>
          <w:color w:val="000000"/>
        </w:rPr>
      </w:pPr>
      <w:r>
        <w:rPr>
          <w:noProof/>
          <w:color w:val="000000"/>
        </w:rPr>
        <w:t xml:space="preserve">Šā </w:t>
      </w:r>
      <w:r>
        <w:rPr>
          <w:noProof/>
          <w:color w:val="000000"/>
          <w:u w:color="000000"/>
        </w:rPr>
        <w:t>panta</w:t>
      </w:r>
      <w:r>
        <w:rPr>
          <w:noProof/>
          <w:color w:val="000000"/>
        </w:rPr>
        <w:t xml:space="preserve"> pienācīgas īstenošanas nolūkos Eiropas Komisija vai </w:t>
      </w:r>
      <w:r>
        <w:rPr>
          <w:i/>
          <w:noProof/>
          <w:color w:val="000000"/>
        </w:rPr>
        <w:t>OLAF</w:t>
      </w:r>
      <w:r>
        <w:rPr>
          <w:noProof/>
          <w:color w:val="000000"/>
        </w:rPr>
        <w:t xml:space="preserve"> un Apvienotās Karalistes kompetentās iestādes regulāri apmainās ar informāciju un – ja kāda no šā nolīguma pusēm to pieprasa – savā starpā apsprie</w:t>
      </w:r>
      <w:r>
        <w:rPr>
          <w:noProof/>
          <w:color w:val="000000"/>
        </w:rPr>
        <w:t>žas, ja vien to neaizliedz Savienības tiesību akti vai Apvienotās Karalistes normatīvie akti.</w:t>
      </w:r>
    </w:p>
    <w:p w:rsidR="003E022D" w:rsidRDefault="007D19D6">
      <w:pPr>
        <w:numPr>
          <w:ilvl w:val="0"/>
          <w:numId w:val="447"/>
        </w:numPr>
        <w:rPr>
          <w:rFonts w:cs="Calibri"/>
          <w:noProof/>
          <w:color w:val="000000"/>
        </w:rPr>
      </w:pPr>
      <w:r>
        <w:rPr>
          <w:noProof/>
          <w:color w:val="000000"/>
        </w:rPr>
        <w:t xml:space="preserve">Efektīvas sadarbības un informācijas apmaiņas atvieglināšanai ar </w:t>
      </w:r>
      <w:r>
        <w:rPr>
          <w:i/>
          <w:noProof/>
          <w:color w:val="000000"/>
        </w:rPr>
        <w:t>OLAF</w:t>
      </w:r>
      <w:r>
        <w:rPr>
          <w:noProof/>
          <w:color w:val="000000"/>
        </w:rPr>
        <w:t xml:space="preserve"> Apvienotā Karaliste izraugās kontaktpunktu.</w:t>
      </w:r>
    </w:p>
    <w:p w:rsidR="003E022D" w:rsidRDefault="007D19D6">
      <w:pPr>
        <w:numPr>
          <w:ilvl w:val="0"/>
          <w:numId w:val="447"/>
        </w:numPr>
        <w:rPr>
          <w:rFonts w:cs="Calibri"/>
          <w:noProof/>
          <w:color w:val="000000"/>
        </w:rPr>
      </w:pPr>
      <w:r>
        <w:rPr>
          <w:noProof/>
          <w:color w:val="000000"/>
        </w:rPr>
        <w:t xml:space="preserve">Informācijas apmaiņa starp Eiropas Komisiju vai </w:t>
      </w:r>
      <w:r>
        <w:rPr>
          <w:i/>
          <w:noProof/>
          <w:color w:val="000000"/>
        </w:rPr>
        <w:t>OLAF</w:t>
      </w:r>
      <w:r>
        <w:rPr>
          <w:noProof/>
          <w:color w:val="000000"/>
        </w:rPr>
        <w:t xml:space="preserve"> un Apvienotās Karalistes kompetentajām iestādēm notiek atbilstoši piemērojamām konfidencialitātes prasībām. Informācijas apmaiņā iekļautos persondatus aizsargā saskaņā ar piemērojamajiem noteikumiem.</w:t>
      </w:r>
    </w:p>
    <w:p w:rsidR="003E022D" w:rsidRDefault="007D19D6">
      <w:pPr>
        <w:numPr>
          <w:ilvl w:val="0"/>
          <w:numId w:val="447"/>
        </w:numPr>
        <w:rPr>
          <w:rFonts w:cs="Calibri"/>
          <w:noProof/>
          <w:color w:val="000000"/>
        </w:rPr>
      </w:pPr>
      <w:r>
        <w:rPr>
          <w:noProof/>
        </w:rPr>
        <w:t>Neskarot LAW.MUTAS.114. panta [Kompetentās iestādes</w:t>
      </w:r>
      <w:r>
        <w:rPr>
          <w:noProof/>
        </w:rPr>
        <w:t xml:space="preserve"> definīcija] piemērojamību, ja kāds Apvienotās Karalistes valstspiederīgais vai fiziska persona, kas dzīvo Apvienotajā Karalistē, vai tiesību subjekti, kas veic uzņēmējdarbību Apvienotajā Karalistē, saņem Savienības finansējumu saskaņā ar Savienības progra</w:t>
      </w:r>
      <w:r>
        <w:rPr>
          <w:noProof/>
        </w:rPr>
        <w:t xml:space="preserve">mmām un darbībām, kas uzskaitītas I protokolā, tieši vai netieši, tostarp saistībā ar jebkuru trešo personu, kas iesaistīta šāda Savienības finansējuma īstenošanā, Apvienotās Karalistes iestādes sadarbojas ar Savienības iestādēm vai Savienības dalībvalstu </w:t>
      </w:r>
      <w:r>
        <w:rPr>
          <w:noProof/>
        </w:rPr>
        <w:t>iestādēm, kas ir atbildīgas par tādu noziedzīgu nodarījumu, kuri skar Savienības finanšu intereses, izdarītāju un līdzdalībnieku izmeklēšanu, kriminālvajāšanu un saukšanu pie atbildības, lai ļautu tām pildīt savus pienākumus.</w:t>
      </w:r>
    </w:p>
    <w:p w:rsidR="003E022D" w:rsidRDefault="007D19D6">
      <w:pPr>
        <w:pStyle w:val="Article"/>
        <w:rPr>
          <w:rFonts w:cs="Calibri"/>
          <w:noProof/>
        </w:rPr>
      </w:pPr>
      <w:r>
        <w:rPr>
          <w:rStyle w:val="ArticleChar"/>
          <w:noProof/>
        </w:rPr>
        <w:t xml:space="preserve">UNPRO.4.3. pants. </w:t>
      </w:r>
      <w:r>
        <w:rPr>
          <w:noProof/>
        </w:rPr>
        <w:t xml:space="preserve">Grozījumi </w:t>
      </w:r>
      <w:r>
        <w:rPr>
          <w:rStyle w:val="ArticleChar"/>
          <w:noProof/>
        </w:rPr>
        <w:t>UN</w:t>
      </w:r>
      <w:r>
        <w:rPr>
          <w:rStyle w:val="ArticleChar"/>
          <w:noProof/>
        </w:rPr>
        <w:t xml:space="preserve">PRO.0.1., </w:t>
      </w:r>
      <w:r>
        <w:rPr>
          <w:rStyle w:val="ArticleChar"/>
          <w:noProof/>
          <w:color w:val="000000"/>
        </w:rPr>
        <w:t>UNPRO.4.X-1.,</w:t>
      </w:r>
      <w:r>
        <w:rPr>
          <w:rStyle w:val="ArticleChar"/>
          <w:noProof/>
        </w:rPr>
        <w:t xml:space="preserve"> UNPRO.4.1. pantā [Pārskatīšanas un revīzijas]</w:t>
      </w:r>
      <w:r>
        <w:rPr>
          <w:noProof/>
        </w:rPr>
        <w:t xml:space="preserve"> un UNPRO.4.2. pantā [Cīņa pret pārkāpumiem, krāpšanu un citiem noziedzīgiem nodarījumiem, kas skar Savienības finanšu intereses]</w:t>
      </w:r>
    </w:p>
    <w:p w:rsidR="003E022D" w:rsidRDefault="007D19D6">
      <w:pPr>
        <w:rPr>
          <w:rFonts w:cs="Calibri"/>
          <w:noProof/>
        </w:rPr>
      </w:pPr>
      <w:r>
        <w:rPr>
          <w:noProof/>
        </w:rPr>
        <w:t>Specializētā komiteja par dalību Savienības programmās va</w:t>
      </w:r>
      <w:r>
        <w:rPr>
          <w:noProof/>
        </w:rPr>
        <w:t xml:space="preserve">r grozīt </w:t>
      </w:r>
      <w:r>
        <w:rPr>
          <w:noProof/>
          <w:u w:color="000000"/>
        </w:rPr>
        <w:t>UNPRO.4.1. pantu [Pārskatīšanas un revīzijas]</w:t>
      </w:r>
      <w:r>
        <w:rPr>
          <w:noProof/>
        </w:rPr>
        <w:t xml:space="preserve"> un </w:t>
      </w:r>
      <w:r>
        <w:rPr>
          <w:noProof/>
          <w:u w:color="000000"/>
        </w:rPr>
        <w:t>UNPRO.4.2. pantu [Cīņa pret pārkāpumiem, krāpšanu un citiem noziedzīgiem nodarījumiem, kas skar Eiropas Savienības finanšu intereses]</w:t>
      </w:r>
      <w:r>
        <w:rPr>
          <w:noProof/>
        </w:rPr>
        <w:t>, jo īpaši, lai ņemtu vērā izmaiņas vienas vai vairāku Eiropas Sa</w:t>
      </w:r>
      <w:r>
        <w:rPr>
          <w:noProof/>
        </w:rPr>
        <w:t>vienības iestāžu aktos.</w:t>
      </w:r>
    </w:p>
    <w:p w:rsidR="003E022D" w:rsidRDefault="007D19D6">
      <w:pPr>
        <w:rPr>
          <w:rFonts w:cs="Calibri"/>
          <w:noProof/>
        </w:rPr>
      </w:pPr>
      <w:r>
        <w:rPr>
          <w:noProof/>
        </w:rPr>
        <w:t xml:space="preserve">Specializētā komiteja par dalību Savienības programmās var </w:t>
      </w:r>
      <w:r>
        <w:rPr>
          <w:noProof/>
          <w:color w:val="000000"/>
        </w:rPr>
        <w:t>grozīt UNPRO.0.1. pantu [Darbības joma]</w:t>
      </w:r>
      <w:r>
        <w:rPr>
          <w:noProof/>
        </w:rPr>
        <w:t xml:space="preserve"> un UNPRO.4.X-1. pantu [Darbības joma], lai šo nodaļu attiecinātu arī uz citām Savienības programmām, darbībām un pakalpojumiem.</w:t>
      </w:r>
    </w:p>
    <w:p w:rsidR="003E022D" w:rsidRDefault="007D19D6">
      <w:pPr>
        <w:pStyle w:val="Article"/>
        <w:rPr>
          <w:noProof/>
        </w:rPr>
      </w:pPr>
      <w:r>
        <w:rPr>
          <w:noProof/>
        </w:rPr>
        <w:t>UNPRO</w:t>
      </w:r>
      <w:r>
        <w:rPr>
          <w:noProof/>
        </w:rPr>
        <w:t>.4.4. pants. Atgūšana un izpilde</w:t>
      </w:r>
    </w:p>
    <w:p w:rsidR="003E022D" w:rsidRDefault="007D19D6">
      <w:pPr>
        <w:numPr>
          <w:ilvl w:val="0"/>
          <w:numId w:val="448"/>
        </w:numPr>
        <w:rPr>
          <w:rFonts w:cs="Calibri"/>
          <w:noProof/>
        </w:rPr>
      </w:pPr>
      <w:r>
        <w:rPr>
          <w:noProof/>
        </w:rPr>
        <w:t xml:space="preserve">Apvienotajā </w:t>
      </w:r>
      <w:r>
        <w:rPr>
          <w:noProof/>
          <w:color w:val="000000"/>
        </w:rPr>
        <w:t>Karalistē ir izpildāmi lēmumi, kurus pieņēmusi Eiropas Komisija un ar kuriem fiziskām vai juridiskām personām, kas nav valstis, tiek uzliktas finansiālas saistības sakarā ar jebkādiem prasījumiem, kuri izriet no</w:t>
      </w:r>
      <w:r>
        <w:rPr>
          <w:noProof/>
          <w:color w:val="000000"/>
        </w:rPr>
        <w:t xml:space="preserve"> Savienības programmām, darbībām, rīcības vai projektiem. Lēmumam pievieno rīkojumu par tā izpildi, neparedzot citas formalitātes kā vien lēmuma autentiskuma pārbaudi, ko veic valsts iestāde, kuru šajā nolūkā izraudzījusi Apvienotā Karaliste. Apvienotā Kar</w:t>
      </w:r>
      <w:r>
        <w:rPr>
          <w:noProof/>
          <w:color w:val="000000"/>
        </w:rPr>
        <w:t>aliste savu izraudzīto valsts iestādi dara</w:t>
      </w:r>
      <w:r>
        <w:rPr>
          <w:noProof/>
        </w:rPr>
        <w:t xml:space="preserve"> </w:t>
      </w:r>
      <w:r>
        <w:rPr>
          <w:noProof/>
          <w:color w:val="000000"/>
        </w:rPr>
        <w:t xml:space="preserve">zināmu Komisijai un Eiropas Savienības Tiesai. Saskaņā ar </w:t>
      </w:r>
      <w:r>
        <w:rPr>
          <w:noProof/>
          <w:color w:val="000000"/>
          <w:u w:color="000000"/>
        </w:rPr>
        <w:t>UNPRO 5.1. pantu [Saziņa un informācijas apmaiņa</w:t>
      </w:r>
      <w:r>
        <w:rPr>
          <w:noProof/>
          <w:color w:val="000000"/>
        </w:rPr>
        <w:t>] Eiropas Komisijai ir tiesības par šādiem izpildāmiem lēmumiem fiziskām personām vai tiesību subjektiem, k</w:t>
      </w:r>
      <w:r>
        <w:rPr>
          <w:noProof/>
          <w:color w:val="000000"/>
        </w:rPr>
        <w:t>as Apvienotajā Karalistē dzīvo vai, attiecīgi, veic uzņēmējdarbību, paziņot tieši. Minēto lēmumu izpilde notiek saskaņā ar Apvienotās Karalistes tiesību aktiem.</w:t>
      </w:r>
    </w:p>
    <w:p w:rsidR="003E022D" w:rsidRDefault="007D19D6">
      <w:pPr>
        <w:numPr>
          <w:ilvl w:val="0"/>
          <w:numId w:val="448"/>
        </w:numPr>
        <w:rPr>
          <w:rFonts w:cs="Calibri"/>
          <w:noProof/>
        </w:rPr>
      </w:pPr>
      <w:r>
        <w:rPr>
          <w:noProof/>
          <w:color w:val="000000"/>
        </w:rPr>
        <w:t>Tāpat kā Eiropas Komisijas lēmumi, kas minēti šā panta 1. punktā, Apvienotajā Karalistē ir piem</w:t>
      </w:r>
      <w:r>
        <w:rPr>
          <w:noProof/>
          <w:color w:val="000000"/>
        </w:rPr>
        <w:t>ērojami arī Eiropas Savienības Tiesas spriedumi un rīkojumi, kas izdoti, piemērojot šķīrējklauzulu, kas iekļauta līgumā vai nolīgumā saistībā ar Savienības programmām, darbībām vai to daļām saskaņā ar I protokolu.</w:t>
      </w:r>
    </w:p>
    <w:p w:rsidR="003E022D" w:rsidRDefault="007D19D6">
      <w:pPr>
        <w:numPr>
          <w:ilvl w:val="0"/>
          <w:numId w:val="448"/>
        </w:numPr>
        <w:rPr>
          <w:rFonts w:cs="Calibri"/>
          <w:noProof/>
        </w:rPr>
      </w:pPr>
      <w:bookmarkStart w:id="923" w:name="bookmark115"/>
      <w:r>
        <w:rPr>
          <w:noProof/>
          <w:color w:val="000000"/>
        </w:rPr>
        <w:t xml:space="preserve">Eiropas Savienības Tiesas jurisdikcijā ir </w:t>
      </w:r>
      <w:r>
        <w:rPr>
          <w:noProof/>
          <w:color w:val="000000"/>
        </w:rPr>
        <w:t xml:space="preserve">veikt </w:t>
      </w:r>
      <w:r>
        <w:rPr>
          <w:noProof/>
          <w:color w:val="000000"/>
          <w:u w:color="000000"/>
        </w:rPr>
        <w:t>1. punktā</w:t>
      </w:r>
      <w:r>
        <w:rPr>
          <w:noProof/>
          <w:color w:val="000000"/>
        </w:rPr>
        <w:t xml:space="preserve"> minēto Komisijas lēmumu likumības pārbaudi un apturēt šo lēmumu izpildi. Savukārt sūdzības par nepareizu izpildi ir Apvienotās Karalistes tiesu jurisdikcijā.</w:t>
      </w:r>
      <w:bookmarkEnd w:id="923"/>
    </w:p>
    <w:p w:rsidR="003E022D" w:rsidRDefault="007D19D6">
      <w:pPr>
        <w:pStyle w:val="Section"/>
        <w:rPr>
          <w:noProof/>
          <w:lang w:val="fr-BE"/>
        </w:rPr>
      </w:pPr>
      <w:r>
        <w:rPr>
          <w:noProof/>
          <w:lang w:val="fr-BE"/>
        </w:rPr>
        <w:t>2. iedaļa. Citi noteikumi par Savienības programmu īstenošanu</w:t>
      </w:r>
    </w:p>
    <w:p w:rsidR="003E022D" w:rsidRDefault="007D19D6">
      <w:pPr>
        <w:pStyle w:val="Article"/>
        <w:rPr>
          <w:noProof/>
          <w:lang w:val="fr-BE"/>
        </w:rPr>
      </w:pPr>
      <w:r>
        <w:rPr>
          <w:noProof/>
          <w:lang w:val="fr-BE"/>
        </w:rPr>
        <w:t xml:space="preserve">UNPRO.5.1. pants. </w:t>
      </w:r>
      <w:r>
        <w:rPr>
          <w:noProof/>
          <w:lang w:val="fr-BE"/>
        </w:rPr>
        <w:t>Saziņa un informācijas apmaiņa</w:t>
      </w:r>
    </w:p>
    <w:p w:rsidR="003E022D" w:rsidRDefault="007D19D6">
      <w:pPr>
        <w:rPr>
          <w:rFonts w:cs="Calibri"/>
          <w:noProof/>
          <w:lang w:val="fr-BE"/>
        </w:rPr>
      </w:pPr>
      <w:r>
        <w:rPr>
          <w:noProof/>
          <w:lang w:val="fr-BE"/>
        </w:rPr>
        <w:t xml:space="preserve">Savienības iestādēm un struktūrām, kas iesaistītas Savienības programmu vai darbību īstenošanā vai šādu programmu vai darbību </w:t>
      </w:r>
      <w:r>
        <w:rPr>
          <w:noProof/>
          <w:color w:val="000000"/>
          <w:lang w:val="fr-BE"/>
        </w:rPr>
        <w:t>kontrolē</w:t>
      </w:r>
      <w:r>
        <w:rPr>
          <w:noProof/>
          <w:lang w:val="fr-BE"/>
        </w:rPr>
        <w:t xml:space="preserve">, ir tiesības tieši sazināties, tostarp, izmantojot elektroniskas informācijas apmaiņas </w:t>
      </w:r>
      <w:r>
        <w:rPr>
          <w:noProof/>
          <w:lang w:val="fr-BE"/>
        </w:rPr>
        <w:t>sistēmas, ar jebkuru fizisku personu vai tiesību subjektu, kas dzīvo Apvienotajā Karalistē vai veic uzņēmējdarbību Apvienotajā Karalistē un saņem Savienības finansējumu, kā arī ar jebkuru trešo personu, kas iesaistīta Savienības finansējuma īstenošanā un k</w:t>
      </w:r>
      <w:r>
        <w:rPr>
          <w:noProof/>
          <w:lang w:val="fr-BE"/>
        </w:rPr>
        <w:t>as dzīvo vai veic uzņēmējdarbību Apvienotajā Karalistē. Šādas fiziskas personas vai tiesību subjekti un trešās puses var tiešā veidā iesniegt Savienības iestādēm un struktūrām visu attiecīgo informāciju un dokumentāciju, kas tām jāiesniedz, pamatojoties uz</w:t>
      </w:r>
      <w:r>
        <w:rPr>
          <w:noProof/>
          <w:lang w:val="fr-BE"/>
        </w:rPr>
        <w:t xml:space="preserve"> Savienības tiesību aktiem, ko piemēro Savienības programmai vai darbībai, un pamatojoties uz līgumiem vai finansēšanas nolīgumiem, kas noslēgti minētās programmas vai darbības īstenošanas nolūkā.</w:t>
      </w:r>
    </w:p>
    <w:p w:rsidR="003E022D" w:rsidRDefault="007D19D6">
      <w:pPr>
        <w:pStyle w:val="Article"/>
        <w:rPr>
          <w:noProof/>
          <w:lang w:val="fr-BE"/>
        </w:rPr>
      </w:pPr>
      <w:r>
        <w:rPr>
          <w:noProof/>
          <w:lang w:val="fr-BE"/>
        </w:rPr>
        <w:t>UNPRO.5.2. pants. Sadarbība statistikas jomā</w:t>
      </w:r>
    </w:p>
    <w:p w:rsidR="003E022D" w:rsidRDefault="007D19D6">
      <w:pPr>
        <w:rPr>
          <w:rFonts w:cs="Calibri"/>
          <w:noProof/>
          <w:lang w:val="fr-BE"/>
        </w:rPr>
      </w:pPr>
      <w:r>
        <w:rPr>
          <w:i/>
          <w:iCs/>
          <w:noProof/>
          <w:lang w:val="fr-BE"/>
        </w:rPr>
        <w:t>EUROSTAT</w:t>
      </w:r>
      <w:r>
        <w:rPr>
          <w:noProof/>
          <w:lang w:val="fr-BE"/>
        </w:rPr>
        <w:t xml:space="preserve"> un Ap</w:t>
      </w:r>
      <w:r>
        <w:rPr>
          <w:noProof/>
          <w:lang w:val="fr-BE"/>
        </w:rPr>
        <w:t xml:space="preserve">vienotās Karalistes Statistikas iestāde var vienoties par kārtību, kas ļauj sadarboties attiecīgos statistikas jautājumos un paredz, ka </w:t>
      </w:r>
      <w:r>
        <w:rPr>
          <w:i/>
          <w:iCs/>
          <w:noProof/>
          <w:lang w:val="fr-BE"/>
        </w:rPr>
        <w:t>EUROSTAT</w:t>
      </w:r>
      <w:r>
        <w:rPr>
          <w:noProof/>
          <w:lang w:val="fr-BE"/>
        </w:rPr>
        <w:t xml:space="preserve"> ar Apvienotās Karalistes Statistikas iestādes piekrišanu nodrošina statistikas datus par Apvienoto Karalisti šī</w:t>
      </w:r>
      <w:r>
        <w:rPr>
          <w:noProof/>
          <w:lang w:val="fr-BE"/>
        </w:rPr>
        <w:t>s Daļas vajadzībām, t. sk. jo īpaši datus par Apvienotās Karalistes IKP.</w:t>
      </w:r>
    </w:p>
    <w:p w:rsidR="003E022D" w:rsidRDefault="007D19D6">
      <w:pPr>
        <w:pStyle w:val="Chapter"/>
        <w:rPr>
          <w:noProof/>
          <w:lang w:val="fr-BE"/>
        </w:rPr>
      </w:pPr>
      <w:r>
        <w:rPr>
          <w:noProof/>
          <w:lang w:val="fr-BE"/>
        </w:rPr>
        <w:t>3. nodaļa. Apvienotās Karalistes piekļuve pakalpojumiem Savienības programmu ietvaros</w:t>
      </w:r>
    </w:p>
    <w:p w:rsidR="003E022D" w:rsidRDefault="007D19D6">
      <w:pPr>
        <w:pStyle w:val="Article"/>
        <w:rPr>
          <w:noProof/>
          <w:lang w:val="fr-BE"/>
        </w:rPr>
      </w:pPr>
      <w:r>
        <w:rPr>
          <w:noProof/>
          <w:lang w:val="fr-BE"/>
        </w:rPr>
        <w:tab/>
        <w:t>UNPRO.6. pants. Noteikumi par piekļuvi pakalpojumiem</w:t>
      </w:r>
    </w:p>
    <w:p w:rsidR="003E022D" w:rsidRDefault="007D19D6">
      <w:pPr>
        <w:numPr>
          <w:ilvl w:val="0"/>
          <w:numId w:val="450"/>
        </w:numPr>
        <w:ind w:left="0" w:firstLine="0"/>
        <w:rPr>
          <w:rFonts w:cs="Calibri"/>
          <w:noProof/>
          <w:color w:val="000000"/>
          <w:lang w:val="fr-BE"/>
        </w:rPr>
      </w:pPr>
      <w:r>
        <w:rPr>
          <w:noProof/>
          <w:color w:val="000000"/>
          <w:lang w:val="fr-BE"/>
        </w:rPr>
        <w:t xml:space="preserve">Ja Apvienotā </w:t>
      </w:r>
      <w:r>
        <w:rPr>
          <w:noProof/>
          <w:lang w:val="fr-BE"/>
        </w:rPr>
        <w:t>Karaliste</w:t>
      </w:r>
      <w:r>
        <w:rPr>
          <w:noProof/>
          <w:color w:val="000000"/>
          <w:lang w:val="fr-BE"/>
        </w:rPr>
        <w:t xml:space="preserve"> nepiedalās Savienība</w:t>
      </w:r>
      <w:r>
        <w:rPr>
          <w:noProof/>
          <w:color w:val="000000"/>
          <w:lang w:val="fr-BE"/>
        </w:rPr>
        <w:t>s programmā vai darbībā saskaņā ar pirmajā nodaļā [Apvienotās Karalistes dalība Savienības programmās] izklāstītajiem noteikumiem, tai tik un tā var būt piekļuve pakalpojumiem, kas tiek sniegti Savienības programmu un darbību ietvaros, ievērojot šajā nolīg</w:t>
      </w:r>
      <w:r>
        <w:rPr>
          <w:noProof/>
          <w:color w:val="000000"/>
          <w:lang w:val="fr-BE"/>
        </w:rPr>
        <w:t>umā izklāstītos noteikumus, pamataktus un visus citus noteikumus, kas saistās ar Savienības programmu un darbību īstenošanu.</w:t>
      </w:r>
    </w:p>
    <w:p w:rsidR="003E022D" w:rsidRDefault="007D19D6">
      <w:pPr>
        <w:numPr>
          <w:ilvl w:val="0"/>
          <w:numId w:val="450"/>
        </w:numPr>
        <w:ind w:left="0" w:firstLine="0"/>
        <w:rPr>
          <w:rFonts w:cs="Calibri"/>
          <w:noProof/>
          <w:color w:val="000000"/>
          <w:lang w:val="fr-BE"/>
        </w:rPr>
      </w:pPr>
      <w:r>
        <w:rPr>
          <w:noProof/>
          <w:color w:val="000000"/>
          <w:u w:color="000000"/>
          <w:lang w:val="fr-BE"/>
        </w:rPr>
        <w:t>II protokolā</w:t>
      </w:r>
      <w:r>
        <w:rPr>
          <w:noProof/>
          <w:color w:val="000000"/>
          <w:lang w:val="fr-BE"/>
        </w:rPr>
        <w:t xml:space="preserve"> </w:t>
      </w:r>
      <w:r>
        <w:rPr>
          <w:noProof/>
          <w:color w:val="000000"/>
          <w:u w:color="000000"/>
          <w:lang w:val="fr-BE"/>
        </w:rPr>
        <w:t>[Apvienotās Karalistes piekļuve pakalpojumiem, kas izveidoti saskaņā ar konkrētām programmām un darbībām]</w:t>
      </w:r>
      <w:r>
        <w:rPr>
          <w:noProof/>
          <w:color w:val="000000"/>
          <w:lang w:val="fr-BE"/>
        </w:rPr>
        <w:t xml:space="preserve"> attiecīgā ga</w:t>
      </w:r>
      <w:r>
        <w:rPr>
          <w:noProof/>
          <w:color w:val="000000"/>
          <w:lang w:val="fr-BE"/>
        </w:rPr>
        <w:t>dījumā:</w:t>
      </w:r>
    </w:p>
    <w:p w:rsidR="003E022D" w:rsidRDefault="007D19D6">
      <w:pPr>
        <w:numPr>
          <w:ilvl w:val="0"/>
          <w:numId w:val="451"/>
        </w:numPr>
        <w:ind w:left="567" w:hanging="567"/>
        <w:rPr>
          <w:rFonts w:cs="Calibri"/>
          <w:noProof/>
          <w:lang w:val="fr-BE"/>
        </w:rPr>
      </w:pPr>
      <w:r>
        <w:rPr>
          <w:noProof/>
          <w:color w:val="000000"/>
          <w:lang w:val="fr-BE"/>
        </w:rPr>
        <w:t>nosaka tos pakalpojumus saskaņā ar Savienības programmām un darbībām, kuriem Apvienotā Karaliste</w:t>
      </w:r>
      <w:r>
        <w:rPr>
          <w:noProof/>
          <w:lang w:val="fr-BE"/>
        </w:rPr>
        <w:t xml:space="preserve"> </w:t>
      </w:r>
      <w:r>
        <w:rPr>
          <w:noProof/>
          <w:color w:val="000000"/>
          <w:lang w:val="fr-BE"/>
        </w:rPr>
        <w:t>un Apvienotās Karalistes subjekti var piekļūt;</w:t>
      </w:r>
    </w:p>
    <w:p w:rsidR="003E022D" w:rsidRDefault="007D19D6">
      <w:pPr>
        <w:numPr>
          <w:ilvl w:val="0"/>
          <w:numId w:val="451"/>
        </w:numPr>
        <w:ind w:left="567" w:hanging="567"/>
        <w:rPr>
          <w:rFonts w:asciiTheme="majorHAnsi" w:hAnsiTheme="majorHAnsi" w:cstheme="majorHAnsi"/>
          <w:noProof/>
        </w:rPr>
      </w:pPr>
      <w:r>
        <w:rPr>
          <w:noProof/>
          <w:color w:val="000000"/>
          <w:lang w:val="fr-BE"/>
        </w:rPr>
        <w:t>paredz konkrētus noteikumus par Apvienotās Karalistes un Apvienotās Karalistes subjektu piekļuvi.</w:t>
      </w:r>
      <w:r>
        <w:rPr>
          <w:rFonts w:asciiTheme="majorHAnsi" w:hAnsiTheme="majorHAnsi"/>
          <w:noProof/>
          <w:color w:val="000000"/>
          <w:lang w:val="fr-BE"/>
        </w:rPr>
        <w:t xml:space="preserve"> </w:t>
      </w:r>
      <w:r>
        <w:rPr>
          <w:rFonts w:asciiTheme="majorHAnsi" w:hAnsiTheme="majorHAnsi"/>
          <w:noProof/>
        </w:rPr>
        <w:t>Šie no</w:t>
      </w:r>
      <w:r>
        <w:rPr>
          <w:rFonts w:asciiTheme="majorHAnsi" w:hAnsiTheme="majorHAnsi"/>
          <w:noProof/>
        </w:rPr>
        <w:t>teikumi atbilst šajā nolīgumā un pamataktos paredzētajiem noteikumiem;</w:t>
      </w:r>
    </w:p>
    <w:p w:rsidR="003E022D" w:rsidRDefault="007D19D6">
      <w:pPr>
        <w:numPr>
          <w:ilvl w:val="0"/>
          <w:numId w:val="451"/>
        </w:numPr>
        <w:ind w:left="567" w:hanging="567"/>
        <w:rPr>
          <w:rFonts w:asciiTheme="majorHAnsi" w:hAnsiTheme="majorHAnsi" w:cstheme="majorHAnsi"/>
          <w:noProof/>
        </w:rPr>
      </w:pPr>
      <w:r>
        <w:rPr>
          <w:rFonts w:asciiTheme="majorHAnsi" w:hAnsiTheme="majorHAnsi"/>
          <w:noProof/>
        </w:rPr>
        <w:t>attiecīgā gadījumā – paredz Apvienotās Karalistes finansiālo ieguldījumu vai ieguldījumu natūrā pakalpojumā, ko sniedz saskaņā ar Savienības programmām un darbībām.</w:t>
      </w:r>
    </w:p>
    <w:p w:rsidR="003E022D" w:rsidRDefault="007D19D6">
      <w:pPr>
        <w:numPr>
          <w:ilvl w:val="0"/>
          <w:numId w:val="450"/>
        </w:numPr>
        <w:ind w:left="0" w:firstLine="0"/>
        <w:rPr>
          <w:rFonts w:asciiTheme="majorHAnsi" w:hAnsiTheme="majorHAnsi" w:cstheme="majorHAnsi"/>
          <w:noProof/>
          <w:color w:val="000000"/>
        </w:rPr>
      </w:pPr>
      <w:r>
        <w:rPr>
          <w:rFonts w:asciiTheme="majorHAnsi" w:hAnsiTheme="majorHAnsi"/>
          <w:noProof/>
          <w:color w:val="000000"/>
          <w:u w:color="000000"/>
        </w:rPr>
        <w:t>II protokolu</w:t>
      </w:r>
      <w:r>
        <w:rPr>
          <w:rFonts w:asciiTheme="majorHAnsi" w:hAnsiTheme="majorHAnsi"/>
          <w:noProof/>
          <w:color w:val="000000"/>
        </w:rPr>
        <w:t xml:space="preserve"> pieņem </w:t>
      </w:r>
      <w:r>
        <w:rPr>
          <w:rFonts w:asciiTheme="majorHAnsi" w:hAnsiTheme="majorHAnsi"/>
          <w:noProof/>
          <w:color w:val="000000"/>
        </w:rPr>
        <w:t xml:space="preserve">un var grozīt Specializētā komiteja par dalību Savienības programmās. </w:t>
      </w:r>
    </w:p>
    <w:p w:rsidR="003E022D" w:rsidRDefault="007D19D6">
      <w:pPr>
        <w:numPr>
          <w:ilvl w:val="0"/>
          <w:numId w:val="450"/>
        </w:numPr>
        <w:ind w:left="0" w:firstLine="0"/>
        <w:rPr>
          <w:rFonts w:asciiTheme="majorHAnsi" w:hAnsiTheme="majorHAnsi" w:cstheme="majorHAnsi"/>
          <w:noProof/>
        </w:rPr>
      </w:pPr>
      <w:r>
        <w:rPr>
          <w:rFonts w:asciiTheme="majorHAnsi" w:hAnsiTheme="majorHAnsi"/>
          <w:noProof/>
        </w:rPr>
        <w:t>Apvienotajai Karalistei un publiskiem un privātiem kosmosa kuģu īpašniekiem un operatoriem, kas darbojas Apvienotajā Karalistē vai no tās, ir piekļuve Lēmuma Nr. 541/2014 5. panta 1. pu</w:t>
      </w:r>
      <w:r>
        <w:rPr>
          <w:rFonts w:asciiTheme="majorHAnsi" w:hAnsiTheme="majorHAnsi"/>
          <w:noProof/>
        </w:rPr>
        <w:t>nktā minētajiem pakalpojumiem saskaņā ar šā lēmuma 5. panta 2. punktu līdz brīdim, kad noteikumi par līdzīgu piekļuvi ir iekļauti II protokolā, vai līdz 2021. gada 31. decembrim.</w:t>
      </w:r>
    </w:p>
    <w:p w:rsidR="003E022D" w:rsidRDefault="007D19D6">
      <w:pPr>
        <w:pStyle w:val="Chapter"/>
        <w:rPr>
          <w:noProof/>
        </w:rPr>
      </w:pPr>
      <w:r>
        <w:rPr>
          <w:noProof/>
        </w:rPr>
        <w:t>4. nodaļa. [Pārskatīšanas]</w:t>
      </w:r>
    </w:p>
    <w:p w:rsidR="003E022D" w:rsidRDefault="007D19D6">
      <w:pPr>
        <w:pStyle w:val="Article"/>
        <w:rPr>
          <w:noProof/>
        </w:rPr>
      </w:pPr>
      <w:r>
        <w:rPr>
          <w:noProof/>
        </w:rPr>
        <w:t>UNPRO.7. pants. [</w:t>
      </w:r>
      <w:r>
        <w:rPr>
          <w:i/>
          <w:noProof/>
        </w:rPr>
        <w:t>Pārskatīšanas klauzula</w:t>
      </w:r>
      <w:r>
        <w:rPr>
          <w:noProof/>
        </w:rPr>
        <w:t>]</w:t>
      </w:r>
    </w:p>
    <w:p w:rsidR="003E022D" w:rsidRDefault="007D19D6">
      <w:pPr>
        <w:rPr>
          <w:rFonts w:cs="Calibri"/>
          <w:noProof/>
        </w:rPr>
      </w:pPr>
      <w:r>
        <w:rPr>
          <w:noProof/>
        </w:rPr>
        <w:t>Četrus gadus pēc tam, kad I un II protokols kļūst piemērojams, Specializētā komiteja par dalību Savienības programmās pārskata tā īstenošanu, pamatojoties uz datiem par Apvienotās Karalistes subjektu dalību netiešās un tiešās darbībās saskaņā ar programmu,</w:t>
      </w:r>
      <w:r>
        <w:rPr>
          <w:noProof/>
        </w:rPr>
        <w:t xml:space="preserve"> programmas daļām vai darbībām un pakalpojumiem saskaņā ar I un II protokolu.</w:t>
      </w:r>
    </w:p>
    <w:p w:rsidR="003E022D" w:rsidRDefault="007D19D6">
      <w:pPr>
        <w:rPr>
          <w:rFonts w:cs="Calibri"/>
          <w:noProof/>
        </w:rPr>
      </w:pPr>
      <w:r>
        <w:rPr>
          <w:noProof/>
        </w:rPr>
        <w:t>Ja to pieprasa kāda no pusēm, Specializētā komiteja par dalību Savienības programmās apspriež izmaiņas vai ierosinātās izmaiņas, kas skar nosacījumus Apvienotās Karalistes dalība</w:t>
      </w:r>
      <w:r>
        <w:rPr>
          <w:noProof/>
        </w:rPr>
        <w:t xml:space="preserve">i jebkurā no programmām vai programmu daļām, darbībās un pakalpojumos, kas uzskaitīti </w:t>
      </w:r>
      <w:r>
        <w:rPr>
          <w:noProof/>
          <w:u w:color="000000"/>
        </w:rPr>
        <w:t>I un II protokolā</w:t>
      </w:r>
      <w:r>
        <w:rPr>
          <w:noProof/>
        </w:rPr>
        <w:t>, un – vajadzības gadījumā – var ierosināt attiecīgus pasākumus šā nolīguma darbības jomā.</w:t>
      </w:r>
    </w:p>
    <w:p w:rsidR="003E022D" w:rsidRDefault="007D19D6">
      <w:pPr>
        <w:pStyle w:val="Chapter"/>
        <w:rPr>
          <w:noProof/>
        </w:rPr>
      </w:pPr>
      <w:r>
        <w:rPr>
          <w:noProof/>
        </w:rPr>
        <w:t>5. nodaļa. Dalības maksa no 2021. līdz 2026. gadam</w:t>
      </w:r>
    </w:p>
    <w:p w:rsidR="003E022D" w:rsidRDefault="007D19D6">
      <w:pPr>
        <w:pStyle w:val="Article"/>
        <w:rPr>
          <w:noProof/>
        </w:rPr>
      </w:pPr>
      <w:r>
        <w:rPr>
          <w:noProof/>
        </w:rPr>
        <w:t>UNPRO.8. pa</w:t>
      </w:r>
      <w:r>
        <w:rPr>
          <w:noProof/>
        </w:rPr>
        <w:t>nts. Dalības maksa no 2021. līdz 2026. gadam</w:t>
      </w:r>
    </w:p>
    <w:p w:rsidR="003E022D" w:rsidRDefault="007D19D6">
      <w:pPr>
        <w:tabs>
          <w:tab w:val="left" w:pos="1486"/>
        </w:tabs>
        <w:spacing w:line="360" w:lineRule="auto"/>
        <w:rPr>
          <w:rFonts w:cs="Calibri"/>
          <w:noProof/>
          <w:color w:val="000000"/>
        </w:rPr>
      </w:pPr>
      <w:r>
        <w:rPr>
          <w:noProof/>
        </w:rPr>
        <w:t>UNPRO.2.1. panta [Finanšu nosacījumi] 4. punktā minētā dalības maksa 2021.–2026. gadā ir šāda.</w:t>
      </w:r>
    </w:p>
    <w:p w:rsidR="003E022D" w:rsidRDefault="007D19D6">
      <w:pPr>
        <w:tabs>
          <w:tab w:val="left" w:pos="1486"/>
        </w:tabs>
        <w:spacing w:after="0" w:line="360" w:lineRule="auto"/>
        <w:rPr>
          <w:rFonts w:cs="Calibri"/>
          <w:noProof/>
          <w:color w:val="000000"/>
        </w:rPr>
      </w:pPr>
      <w:r>
        <w:rPr>
          <w:noProof/>
          <w:color w:val="000000"/>
        </w:rPr>
        <w:t>2021. gadā: 0,5 %</w:t>
      </w:r>
    </w:p>
    <w:p w:rsidR="003E022D" w:rsidRDefault="007D19D6">
      <w:pPr>
        <w:tabs>
          <w:tab w:val="left" w:pos="1486"/>
        </w:tabs>
        <w:spacing w:after="0" w:line="360" w:lineRule="auto"/>
        <w:rPr>
          <w:rFonts w:cs="Calibri"/>
          <w:noProof/>
          <w:color w:val="000000"/>
        </w:rPr>
      </w:pPr>
      <w:r>
        <w:rPr>
          <w:noProof/>
          <w:color w:val="000000"/>
        </w:rPr>
        <w:t>2022. gadā: 1 %</w:t>
      </w:r>
    </w:p>
    <w:p w:rsidR="003E022D" w:rsidRDefault="007D19D6">
      <w:pPr>
        <w:tabs>
          <w:tab w:val="left" w:pos="1486"/>
        </w:tabs>
        <w:spacing w:after="0" w:line="360" w:lineRule="auto"/>
        <w:rPr>
          <w:rFonts w:cs="Calibri"/>
          <w:noProof/>
          <w:color w:val="000000"/>
        </w:rPr>
      </w:pPr>
      <w:r>
        <w:rPr>
          <w:noProof/>
          <w:color w:val="000000"/>
        </w:rPr>
        <w:t>2023. gadā: 1,5 %</w:t>
      </w:r>
    </w:p>
    <w:p w:rsidR="003E022D" w:rsidRDefault="007D19D6">
      <w:pPr>
        <w:tabs>
          <w:tab w:val="left" w:pos="1486"/>
        </w:tabs>
        <w:spacing w:after="0" w:line="360" w:lineRule="auto"/>
        <w:rPr>
          <w:rFonts w:cs="Calibri"/>
          <w:noProof/>
          <w:color w:val="000000"/>
        </w:rPr>
      </w:pPr>
      <w:r>
        <w:rPr>
          <w:noProof/>
          <w:color w:val="000000"/>
        </w:rPr>
        <w:t>2024. gadā: 2 %</w:t>
      </w:r>
    </w:p>
    <w:p w:rsidR="003E022D" w:rsidRDefault="007D19D6">
      <w:pPr>
        <w:tabs>
          <w:tab w:val="left" w:pos="1486"/>
        </w:tabs>
        <w:spacing w:after="0" w:line="360" w:lineRule="auto"/>
        <w:rPr>
          <w:rFonts w:cs="Calibri"/>
          <w:noProof/>
          <w:color w:val="000000"/>
        </w:rPr>
      </w:pPr>
      <w:r>
        <w:rPr>
          <w:noProof/>
          <w:color w:val="000000"/>
        </w:rPr>
        <w:t>2025. gadā: 2,5 %</w:t>
      </w:r>
    </w:p>
    <w:p w:rsidR="003E022D" w:rsidRDefault="007D19D6">
      <w:pPr>
        <w:rPr>
          <w:noProof/>
        </w:rPr>
      </w:pPr>
      <w:r>
        <w:rPr>
          <w:noProof/>
          <w:color w:val="000000"/>
        </w:rPr>
        <w:t>2026. gadā: 3 %.</w:t>
      </w:r>
    </w:p>
    <w:p w:rsidR="003E022D" w:rsidRDefault="007D19D6">
      <w:pPr>
        <w:spacing w:after="0"/>
        <w:rPr>
          <w:rFonts w:asciiTheme="majorHAnsi" w:hAnsiTheme="majorHAnsi"/>
          <w:noProof/>
        </w:rPr>
      </w:pPr>
      <w:r>
        <w:rPr>
          <w:noProof/>
        </w:rPr>
        <w:br w:type="page"/>
      </w:r>
    </w:p>
    <w:p w:rsidR="003E022D" w:rsidRDefault="007D19D6">
      <w:pPr>
        <w:pStyle w:val="Heading1"/>
        <w:rPr>
          <w:noProof/>
        </w:rPr>
      </w:pPr>
      <w:bookmarkStart w:id="924" w:name="_Toc59988379"/>
      <w:r>
        <w:rPr>
          <w:noProof/>
        </w:rPr>
        <w:t>SESTĀ DAĻA.</w:t>
      </w:r>
      <w:r>
        <w:rPr>
          <w:noProof/>
        </w:rPr>
        <w:t xml:space="preserve"> STRĪDU IZŠĶIRŠANA UN HORIZONTĀLIE NOTEIKUMI</w:t>
      </w:r>
      <w:bookmarkEnd w:id="924"/>
    </w:p>
    <w:p w:rsidR="003E022D" w:rsidRDefault="007D19D6">
      <w:pPr>
        <w:pStyle w:val="Title1"/>
        <w:rPr>
          <w:noProof/>
        </w:rPr>
      </w:pPr>
      <w:bookmarkStart w:id="925" w:name="_Toc59988380"/>
      <w:r>
        <w:rPr>
          <w:noProof/>
        </w:rPr>
        <w:t>I sadaļa. Strīdu izšķiršana</w:t>
      </w:r>
      <w:bookmarkEnd w:id="925"/>
    </w:p>
    <w:p w:rsidR="003E022D" w:rsidRDefault="007D19D6">
      <w:pPr>
        <w:pStyle w:val="Chapter"/>
        <w:rPr>
          <w:noProof/>
        </w:rPr>
      </w:pPr>
      <w:r>
        <w:rPr>
          <w:noProof/>
        </w:rPr>
        <w:t>1. nodaļa. Vispārīgi noteikumi</w:t>
      </w:r>
    </w:p>
    <w:p w:rsidR="003E022D" w:rsidRDefault="007D19D6">
      <w:pPr>
        <w:pStyle w:val="Article"/>
        <w:rPr>
          <w:noProof/>
        </w:rPr>
      </w:pPr>
      <w:r>
        <w:rPr>
          <w:noProof/>
        </w:rPr>
        <w:t>INST.9. pants. Mērķis</w:t>
      </w:r>
    </w:p>
    <w:p w:rsidR="003E022D" w:rsidRDefault="007D19D6">
      <w:pPr>
        <w:rPr>
          <w:rFonts w:cstheme="minorHAnsi"/>
          <w:noProof/>
        </w:rPr>
      </w:pPr>
      <w:r>
        <w:rPr>
          <w:noProof/>
        </w:rPr>
        <w:t>Šīs sadaļas mērķis ir noteikt efektīvu un lietderīgu mehānismu, lai novērstu un atrisinātu strīdus starp Pusēm par to, kā interpre</w:t>
      </w:r>
      <w:r>
        <w:rPr>
          <w:noProof/>
        </w:rPr>
        <w:t>tēt un piemērot šo nolīgumu un jebkuru papildinošu nolīgumu, ar nolūku rast, ja tas ir iespējams, savstarpēji saskaņotu risinājumu.</w:t>
      </w:r>
    </w:p>
    <w:p w:rsidR="003E022D" w:rsidRDefault="007D19D6">
      <w:pPr>
        <w:pStyle w:val="Article"/>
        <w:rPr>
          <w:noProof/>
        </w:rPr>
      </w:pPr>
      <w:r>
        <w:rPr>
          <w:noProof/>
        </w:rPr>
        <w:t>INST.10. pants. Darbības joma</w:t>
      </w:r>
    </w:p>
    <w:p w:rsidR="003E022D" w:rsidRDefault="007D19D6">
      <w:pPr>
        <w:spacing w:line="259" w:lineRule="auto"/>
        <w:rPr>
          <w:rFonts w:eastAsia="Calibri" w:cstheme="minorHAnsi"/>
          <w:noProof/>
        </w:rPr>
      </w:pPr>
      <w:r>
        <w:rPr>
          <w:noProof/>
        </w:rPr>
        <w:t>1.</w:t>
      </w:r>
      <w:r>
        <w:rPr>
          <w:noProof/>
        </w:rPr>
        <w:tab/>
        <w:t xml:space="preserve">Šo sadaļu, ievērojot </w:t>
      </w:r>
      <w:r>
        <w:rPr>
          <w:noProof/>
          <w:u w:color="000000"/>
        </w:rPr>
        <w:t>2., 3., 4. un 5. punktu</w:t>
      </w:r>
      <w:r>
        <w:rPr>
          <w:noProof/>
        </w:rPr>
        <w:t>, piemēro attiecībā uz strīdiem starp Pusēm par</w:t>
      </w:r>
      <w:r>
        <w:rPr>
          <w:noProof/>
        </w:rPr>
        <w:t xml:space="preserve"> šā nolīguma vai jebkura papildinoša nolīguma noteikumu interpretāciju un piemērošanu (“aptvertie noteikumi”).</w:t>
      </w:r>
    </w:p>
    <w:p w:rsidR="003E022D" w:rsidRDefault="007D19D6">
      <w:pPr>
        <w:spacing w:line="259" w:lineRule="auto"/>
        <w:rPr>
          <w:rFonts w:eastAsia="Calibri" w:cstheme="minorHAnsi"/>
          <w:noProof/>
        </w:rPr>
      </w:pPr>
      <w:r>
        <w:rPr>
          <w:noProof/>
        </w:rPr>
        <w:t>2.</w:t>
      </w:r>
      <w:r>
        <w:rPr>
          <w:noProof/>
        </w:rPr>
        <w:tab/>
        <w:t xml:space="preserve">Aptvertie noteikumi ietver visus šā nolīguma un jebkura papildinošā nolīguma noteikumus, izņemot: </w:t>
      </w:r>
    </w:p>
    <w:p w:rsidR="003E022D" w:rsidRDefault="007D19D6">
      <w:pPr>
        <w:numPr>
          <w:ilvl w:val="0"/>
          <w:numId w:val="495"/>
        </w:numPr>
        <w:ind w:left="567" w:hanging="567"/>
        <w:rPr>
          <w:rFonts w:cstheme="minorHAnsi"/>
          <w:noProof/>
        </w:rPr>
      </w:pPr>
      <w:r>
        <w:rPr>
          <w:noProof/>
        </w:rPr>
        <w:t>otrās daļas pirmā temata I sadaļas GOODS.17</w:t>
      </w:r>
      <w:r>
        <w:rPr>
          <w:noProof/>
        </w:rPr>
        <w:t>. panta [Tirdzniecības aizsardzības instrumenti] 1.–6. punktu un GOODS.21. pantu [Kultūras īpašums],</w:t>
      </w:r>
    </w:p>
    <w:p w:rsidR="003E022D" w:rsidRDefault="007D19D6">
      <w:pPr>
        <w:numPr>
          <w:ilvl w:val="0"/>
          <w:numId w:val="495"/>
        </w:numPr>
        <w:ind w:left="567" w:hanging="567"/>
        <w:rPr>
          <w:rFonts w:cstheme="minorHAnsi"/>
          <w:noProof/>
        </w:rPr>
      </w:pPr>
      <w:r>
        <w:rPr>
          <w:noProof/>
        </w:rPr>
        <w:t>TBT-X pielikums [Zāles],</w:t>
      </w:r>
    </w:p>
    <w:p w:rsidR="003E022D" w:rsidRDefault="007D19D6">
      <w:pPr>
        <w:numPr>
          <w:ilvl w:val="0"/>
          <w:numId w:val="495"/>
        </w:numPr>
        <w:ind w:left="567" w:hanging="567"/>
        <w:rPr>
          <w:rFonts w:cstheme="minorHAnsi"/>
          <w:noProof/>
        </w:rPr>
      </w:pPr>
      <w:r>
        <w:rPr>
          <w:noProof/>
        </w:rPr>
        <w:t>otrās daļas pirmā temata VII sadaļu [Mazie un vidējie uzņēmumi],</w:t>
      </w:r>
    </w:p>
    <w:p w:rsidR="003E022D" w:rsidRDefault="007D19D6">
      <w:pPr>
        <w:numPr>
          <w:ilvl w:val="0"/>
          <w:numId w:val="495"/>
        </w:numPr>
        <w:ind w:left="567" w:hanging="567"/>
        <w:rPr>
          <w:rFonts w:cstheme="minorHAnsi"/>
          <w:noProof/>
        </w:rPr>
      </w:pPr>
      <w:r>
        <w:rPr>
          <w:noProof/>
        </w:rPr>
        <w:t>otrās daļas pirmā temata X sadaļu [Laba regulatīvā prakse un regu</w:t>
      </w:r>
      <w:r>
        <w:rPr>
          <w:noProof/>
        </w:rPr>
        <w:t>latīvā sadarbība],</w:t>
      </w:r>
    </w:p>
    <w:p w:rsidR="003E022D" w:rsidRDefault="007D19D6">
      <w:pPr>
        <w:numPr>
          <w:ilvl w:val="0"/>
          <w:numId w:val="495"/>
        </w:numPr>
        <w:ind w:left="567" w:hanging="567"/>
        <w:rPr>
          <w:rFonts w:cstheme="minorHAnsi"/>
          <w:noProof/>
        </w:rPr>
      </w:pPr>
      <w:r>
        <w:rPr>
          <w:noProof/>
        </w:rPr>
        <w:t>1. nodaļas [Vispārīgi noteikumi] LPFS.1.1. panta [Principi un mērķi] 1., 2. un 4. punktu un LPFS.1.2. panta [Tiesības reglamentēt, piesardzības pieeja, un zinātniskā un tehniskā informācija] 1. un 3. punktu, 2. nodaļu [Konkurences politi</w:t>
      </w:r>
      <w:r>
        <w:rPr>
          <w:noProof/>
        </w:rPr>
        <w:t>ka], 3. nodaļas [Subsīdiju kontrole] LPFS.3.9. pantu [Neatkarīga iestāde vai struktūra un sadarbība] un LPFS.3.10. pantu [Tiesas], un otrās daļas pirmā temata XI sadaļas [Vienlīdzīgi apstākļi atvērtai un godīgai konkurencei un ilgtspējīgai attīstībai] 5. n</w:t>
      </w:r>
      <w:r>
        <w:rPr>
          <w:noProof/>
        </w:rPr>
        <w:t>odaļu [Nodokļi] un otrās daļas pirmā temata XI sadaļas [Vienlīdzīgi apstākļi atvērtai un godīgai konkurencei un ilgtspējīgai attīstībai] 9. nodaļas [Horizontālie un institucionālie noteikumi] LPFS.9.4. panta [Līdzsvara atjaunošana] 4.–9. punktu,</w:t>
      </w:r>
    </w:p>
    <w:p w:rsidR="003E022D" w:rsidRDefault="007D19D6">
      <w:pPr>
        <w:numPr>
          <w:ilvl w:val="0"/>
          <w:numId w:val="495"/>
        </w:numPr>
        <w:ind w:left="567" w:hanging="567"/>
        <w:rPr>
          <w:rFonts w:cstheme="minorHAnsi"/>
          <w:noProof/>
        </w:rPr>
      </w:pPr>
      <w:r>
        <w:rPr>
          <w:noProof/>
        </w:rPr>
        <w:t>trešo daļu</w:t>
      </w:r>
      <w:r>
        <w:rPr>
          <w:noProof/>
        </w:rPr>
        <w:t xml:space="preserve"> [Tiesībaizsardzības iestāžu un tiesu iestāžu sadarbība krimināllietās] , ietverot gadījumus, kad to piemēro situācijās, ko reglamentē citi šā nolīguma noteikumi, </w:t>
      </w:r>
    </w:p>
    <w:p w:rsidR="003E022D" w:rsidRDefault="007D19D6">
      <w:pPr>
        <w:numPr>
          <w:ilvl w:val="0"/>
          <w:numId w:val="495"/>
        </w:numPr>
        <w:ind w:left="567" w:hanging="567"/>
        <w:rPr>
          <w:rFonts w:cstheme="minorHAnsi"/>
          <w:noProof/>
        </w:rPr>
      </w:pPr>
      <w:r>
        <w:rPr>
          <w:noProof/>
        </w:rPr>
        <w:t>ceturto daļu [Tematiskā sadarbība],</w:t>
      </w:r>
    </w:p>
    <w:p w:rsidR="003E022D" w:rsidRDefault="007D19D6">
      <w:pPr>
        <w:numPr>
          <w:ilvl w:val="0"/>
          <w:numId w:val="495"/>
        </w:numPr>
        <w:ind w:left="567" w:hanging="567"/>
        <w:rPr>
          <w:rFonts w:cstheme="minorHAnsi"/>
          <w:noProof/>
        </w:rPr>
      </w:pPr>
      <w:r>
        <w:rPr>
          <w:noProof/>
        </w:rPr>
        <w:t xml:space="preserve">sestās daļas [Strīdu izšķiršana un horizontālie </w:t>
      </w:r>
      <w:r>
        <w:rPr>
          <w:noProof/>
        </w:rPr>
        <w:t>noteikumi] II sadaļu [Sadarbības pamats],</w:t>
      </w:r>
    </w:p>
    <w:p w:rsidR="003E022D" w:rsidRDefault="007D19D6">
      <w:pPr>
        <w:numPr>
          <w:ilvl w:val="0"/>
          <w:numId w:val="495"/>
        </w:numPr>
        <w:ind w:left="567" w:hanging="567"/>
        <w:rPr>
          <w:rFonts w:cstheme="minorHAnsi"/>
          <w:noProof/>
          <w:lang w:val="fr-BE"/>
        </w:rPr>
      </w:pPr>
      <w:r>
        <w:rPr>
          <w:noProof/>
          <w:lang w:val="fr-BE"/>
        </w:rPr>
        <w:t>septītās daļas FINPROV.10.A pantu [Pagaidu noteikumi personas datu nosūtīšanai uz Apvienoto Karalisti] un</w:t>
      </w:r>
    </w:p>
    <w:p w:rsidR="003E022D" w:rsidRDefault="007D19D6">
      <w:pPr>
        <w:numPr>
          <w:ilvl w:val="0"/>
          <w:numId w:val="495"/>
        </w:numPr>
        <w:ind w:left="567" w:hanging="567"/>
        <w:rPr>
          <w:rFonts w:cstheme="minorHAnsi"/>
          <w:noProof/>
          <w:lang w:val="fr-BE"/>
        </w:rPr>
      </w:pPr>
      <w:r>
        <w:rPr>
          <w:noProof/>
          <w:lang w:val="fr-BE"/>
        </w:rPr>
        <w:t>Nolīgumu par drošības procedūrām klasificētas informācijas apmaiņai un aizsardzībai;</w:t>
      </w:r>
    </w:p>
    <w:p w:rsidR="003E022D" w:rsidRDefault="007D19D6">
      <w:pPr>
        <w:spacing w:line="259" w:lineRule="auto"/>
        <w:rPr>
          <w:rFonts w:eastAsia="Calibri" w:cstheme="minorHAnsi"/>
          <w:noProof/>
          <w:lang w:val="fr-BE"/>
        </w:rPr>
      </w:pPr>
      <w:r>
        <w:rPr>
          <w:noProof/>
          <w:lang w:val="fr-BE"/>
        </w:rPr>
        <w:t>3.</w:t>
      </w:r>
      <w:r>
        <w:rPr>
          <w:noProof/>
          <w:lang w:val="fr-BE"/>
        </w:rPr>
        <w:tab/>
        <w:t>Puse var vērsties Pa</w:t>
      </w:r>
      <w:r>
        <w:rPr>
          <w:noProof/>
          <w:lang w:val="fr-BE"/>
        </w:rPr>
        <w:t xml:space="preserve">rtnerības padomē, lai izšķirtu strīdu attiecībā uz saistībām, ko rada </w:t>
      </w:r>
      <w:r>
        <w:rPr>
          <w:noProof/>
          <w:u w:color="000000"/>
          <w:lang w:val="fr-BE"/>
        </w:rPr>
        <w:t>2. punktā</w:t>
      </w:r>
      <w:r>
        <w:rPr>
          <w:noProof/>
          <w:lang w:val="fr-BE"/>
        </w:rPr>
        <w:t xml:space="preserve"> minētie noteikumi.</w:t>
      </w:r>
    </w:p>
    <w:p w:rsidR="003E022D" w:rsidRDefault="007D19D6">
      <w:pPr>
        <w:spacing w:line="259" w:lineRule="auto"/>
        <w:rPr>
          <w:rFonts w:eastAsia="Calibri" w:cstheme="minorHAnsi"/>
          <w:noProof/>
          <w:lang w:val="fr-BE"/>
        </w:rPr>
      </w:pPr>
      <w:r>
        <w:rPr>
          <w:noProof/>
          <w:lang w:val="fr-BE"/>
        </w:rPr>
        <w:t>4.</w:t>
      </w:r>
      <w:r>
        <w:rPr>
          <w:noProof/>
          <w:lang w:val="fr-BE"/>
        </w:rPr>
        <w:tab/>
        <w:t xml:space="preserve">Šā panta </w:t>
      </w:r>
      <w:r>
        <w:rPr>
          <w:noProof/>
          <w:u w:color="000000"/>
          <w:lang w:val="fr-BE"/>
        </w:rPr>
        <w:t>2. punktā</w:t>
      </w:r>
      <w:r>
        <w:rPr>
          <w:noProof/>
          <w:lang w:val="fr-BE"/>
        </w:rPr>
        <w:t xml:space="preserve"> minētajiem noteikumiem piemēro </w:t>
      </w:r>
      <w:r>
        <w:rPr>
          <w:noProof/>
          <w:u w:color="000000"/>
          <w:lang w:val="fr-BE"/>
        </w:rPr>
        <w:t>INST.11 pantu [Ekskluzivitāte]</w:t>
      </w:r>
      <w:r>
        <w:rPr>
          <w:noProof/>
          <w:lang w:val="fr-BE"/>
        </w:rPr>
        <w:t>.</w:t>
      </w:r>
    </w:p>
    <w:p w:rsidR="003E022D" w:rsidRDefault="007D19D6">
      <w:pPr>
        <w:spacing w:line="259" w:lineRule="auto"/>
        <w:rPr>
          <w:rFonts w:eastAsia="Calibri" w:cstheme="minorHAnsi"/>
          <w:noProof/>
          <w:lang w:val="fr-BE"/>
        </w:rPr>
      </w:pPr>
      <w:r>
        <w:rPr>
          <w:noProof/>
          <w:lang w:val="fr-BE"/>
        </w:rPr>
        <w:t>5.</w:t>
      </w:r>
      <w:r>
        <w:rPr>
          <w:noProof/>
          <w:lang w:val="fr-BE"/>
        </w:rPr>
        <w:tab/>
        <w:t xml:space="preserve">Neatkarīgi no </w:t>
      </w:r>
      <w:r>
        <w:rPr>
          <w:noProof/>
          <w:u w:color="000000"/>
          <w:lang w:val="fr-BE"/>
        </w:rPr>
        <w:t>1. un 2. punkta</w:t>
      </w:r>
      <w:r>
        <w:rPr>
          <w:noProof/>
          <w:lang w:val="fr-BE"/>
        </w:rPr>
        <w:t xml:space="preserve"> šo sadaļu nepiemēro strīdiem par </w:t>
      </w:r>
      <w:r>
        <w:rPr>
          <w:noProof/>
          <w:u w:color="000000"/>
          <w:lang w:val="fr-BE"/>
        </w:rPr>
        <w:t>Protokola par sociālā nodrošinājuma koordināciju vai tā pielikumu</w:t>
      </w:r>
      <w:r>
        <w:rPr>
          <w:noProof/>
          <w:lang w:val="fr-BE"/>
        </w:rPr>
        <w:t xml:space="preserve"> noteikumu interpretāciju un piemērošanu atsevišķos gadījumos.</w:t>
      </w:r>
    </w:p>
    <w:p w:rsidR="003E022D" w:rsidRDefault="007D19D6">
      <w:pPr>
        <w:pStyle w:val="Article"/>
        <w:rPr>
          <w:noProof/>
          <w:lang w:val="fr-BE"/>
        </w:rPr>
      </w:pPr>
      <w:r>
        <w:rPr>
          <w:noProof/>
          <w:lang w:val="fr-BE"/>
        </w:rPr>
        <w:t>INST.11. pants. Ekskluzivitāte</w:t>
      </w:r>
    </w:p>
    <w:p w:rsidR="003E022D" w:rsidRDefault="007D19D6">
      <w:pPr>
        <w:spacing w:line="259" w:lineRule="auto"/>
        <w:rPr>
          <w:rFonts w:eastAsia="Calibri" w:cstheme="minorHAnsi"/>
          <w:noProof/>
          <w:lang w:val="fr-BE"/>
        </w:rPr>
      </w:pPr>
      <w:r>
        <w:rPr>
          <w:noProof/>
          <w:lang w:val="fr-BE"/>
        </w:rPr>
        <w:t>Puses apņemas neiesniegt strīdu starp tām par šā nolīguma vai jebkura papildinoša nolīguma noteik</w:t>
      </w:r>
      <w:r>
        <w:rPr>
          <w:noProof/>
          <w:lang w:val="fr-BE"/>
        </w:rPr>
        <w:t>umu interpretāciju vai piemērošanu nevienam citam tādam strīdu izšķiršanas mehānismam, kurš nav paredzēts šajā nolīgumā.</w:t>
      </w:r>
    </w:p>
    <w:p w:rsidR="003E022D" w:rsidRDefault="007D19D6">
      <w:pPr>
        <w:pStyle w:val="Article"/>
        <w:rPr>
          <w:noProof/>
          <w:lang w:val="fr-BE"/>
        </w:rPr>
      </w:pPr>
      <w:r>
        <w:rPr>
          <w:noProof/>
          <w:lang w:val="fr-BE"/>
        </w:rPr>
        <w:t>INST.12. pants. Foruma izvēle gadījumā, ja pastāv būtībā līdzvērtīgi pienākumi saskaņā ar citu starptautisku nolīgumu</w:t>
      </w:r>
    </w:p>
    <w:p w:rsidR="003E022D" w:rsidRDefault="007D19D6">
      <w:pPr>
        <w:spacing w:line="259" w:lineRule="auto"/>
        <w:rPr>
          <w:rFonts w:eastAsia="Calibri" w:cstheme="minorHAnsi"/>
          <w:noProof/>
          <w:lang w:val="fr-BE"/>
        </w:rPr>
      </w:pPr>
      <w:r>
        <w:rPr>
          <w:noProof/>
          <w:lang w:val="fr-BE"/>
        </w:rPr>
        <w:t>1.</w:t>
      </w:r>
      <w:r>
        <w:rPr>
          <w:noProof/>
          <w:lang w:val="fr-BE"/>
        </w:rPr>
        <w:tab/>
        <w:t>Ja strīds roda</w:t>
      </w:r>
      <w:r>
        <w:rPr>
          <w:noProof/>
          <w:lang w:val="fr-BE"/>
        </w:rPr>
        <w:t>s attiecībā uz kādu pasākumu, ar ko, iespējams, tiek pārkāptas šajā nolīgumā vai jebkurā papildinošajā nolīgumā noteiktās saistības un praktiski līdzvērtīgas saistības saskaņā ar citu starptautisku nolīgumu, kurā abas Puses ir dalībnieces, tostarp PTO līgu</w:t>
      </w:r>
      <w:r>
        <w:rPr>
          <w:noProof/>
          <w:lang w:val="fr-BE"/>
        </w:rPr>
        <w:t xml:space="preserve">mu, tad forumu strīda izšķiršanai izvēlas tā Puse, kura vēlas izmantot tiesisko aizsardzību. </w:t>
      </w:r>
    </w:p>
    <w:p w:rsidR="003E022D" w:rsidRDefault="007D19D6">
      <w:pPr>
        <w:spacing w:line="259" w:lineRule="auto"/>
        <w:rPr>
          <w:rFonts w:eastAsia="Calibri" w:cstheme="minorHAnsi"/>
          <w:noProof/>
          <w:lang w:val="fr-BE"/>
        </w:rPr>
      </w:pPr>
      <w:r>
        <w:rPr>
          <w:noProof/>
          <w:lang w:val="fr-BE"/>
        </w:rPr>
        <w:t>2.</w:t>
      </w:r>
      <w:r>
        <w:rPr>
          <w:noProof/>
          <w:lang w:val="fr-BE"/>
        </w:rPr>
        <w:tab/>
        <w:t>Kad Puse ir izvēlējusies forumu un tajā sākusi strīdu izšķiršanas procedūras saskaņā ar šo sadaļu vai saskaņā ar citu starptautisku nolīgumu, šī Puse nesāk šād</w:t>
      </w:r>
      <w:r>
        <w:rPr>
          <w:noProof/>
          <w:lang w:val="fr-BE"/>
        </w:rPr>
        <w:t>as procedūras saskaņā ar otru nolīgumu attiecībā uz konkrēto pasākumu, kas minēts 1. punktā, ja vien pirmajā izvēlētajā forumā nav iespējams taisīt spriedumus procesuālu vai ar jurisdikciju saistītu iemeslu dēļ.</w:t>
      </w:r>
    </w:p>
    <w:p w:rsidR="003E022D" w:rsidRDefault="007D19D6">
      <w:pPr>
        <w:spacing w:line="259" w:lineRule="auto"/>
        <w:rPr>
          <w:rFonts w:eastAsia="Calibri" w:cstheme="minorHAnsi"/>
          <w:noProof/>
        </w:rPr>
      </w:pPr>
      <w:r>
        <w:rPr>
          <w:noProof/>
        </w:rPr>
        <w:t>3.</w:t>
      </w:r>
      <w:r>
        <w:rPr>
          <w:noProof/>
        </w:rPr>
        <w:tab/>
        <w:t>Šajā pantā:</w:t>
      </w:r>
    </w:p>
    <w:p w:rsidR="003E022D" w:rsidRDefault="007D19D6">
      <w:pPr>
        <w:numPr>
          <w:ilvl w:val="0"/>
          <w:numId w:val="496"/>
        </w:numPr>
        <w:ind w:left="567" w:hanging="567"/>
        <w:rPr>
          <w:rFonts w:cstheme="minorHAnsi"/>
          <w:noProof/>
        </w:rPr>
      </w:pPr>
      <w:r>
        <w:rPr>
          <w:noProof/>
        </w:rPr>
        <w:t>strīdu izšķiršanas procedūras</w:t>
      </w:r>
      <w:r>
        <w:rPr>
          <w:noProof/>
        </w:rPr>
        <w:t xml:space="preserve"> saskaņā ar šo sadaļu uzskata par uzsāktām, kad kāda Puse pieprasa izveidot šķīrējtiesu saskaņā ar </w:t>
      </w:r>
      <w:r>
        <w:rPr>
          <w:noProof/>
          <w:u w:color="000000"/>
        </w:rPr>
        <w:t>INST.14. pantu [Šķīrējtiesas procedūras]</w:t>
      </w:r>
      <w:r>
        <w:rPr>
          <w:noProof/>
        </w:rPr>
        <w:t>;</w:t>
      </w:r>
    </w:p>
    <w:p w:rsidR="003E022D" w:rsidRDefault="007D19D6">
      <w:pPr>
        <w:numPr>
          <w:ilvl w:val="0"/>
          <w:numId w:val="496"/>
        </w:numPr>
        <w:ind w:left="567" w:hanging="567"/>
        <w:rPr>
          <w:rFonts w:cstheme="minorHAnsi"/>
          <w:noProof/>
        </w:rPr>
      </w:pPr>
      <w:r>
        <w:rPr>
          <w:noProof/>
        </w:rPr>
        <w:t xml:space="preserve">strīdu izšķiršanas procedūras saskaņā ar PTO līgumu uzskata par uzsāktām, kad kāda Puse pieprasa izveidot ekspertu </w:t>
      </w:r>
      <w:r>
        <w:rPr>
          <w:noProof/>
        </w:rPr>
        <w:t>grupu saskaņā ar PTO Vienošanās par noteikumiem un procedūrām, kas reglamentē strīdu izšķiršanu, 6. pantu; un</w:t>
      </w:r>
    </w:p>
    <w:p w:rsidR="003E022D" w:rsidRDefault="007D19D6">
      <w:pPr>
        <w:numPr>
          <w:ilvl w:val="0"/>
          <w:numId w:val="496"/>
        </w:numPr>
        <w:ind w:left="567" w:hanging="567"/>
        <w:rPr>
          <w:rFonts w:eastAsia="Times New Roman" w:cstheme="minorHAnsi"/>
          <w:noProof/>
        </w:rPr>
      </w:pPr>
      <w:r>
        <w:rPr>
          <w:noProof/>
        </w:rPr>
        <w:t>strīdu izšķiršanas procedūras saskaņā ar jebkuru citu nolīgumu uzskata par uzsāktām, tās ir uzsāktas saskaņā ar minētā nolīguma attiecīgajiem note</w:t>
      </w:r>
      <w:r>
        <w:rPr>
          <w:noProof/>
        </w:rPr>
        <w:t xml:space="preserve">ikumiem. </w:t>
      </w:r>
    </w:p>
    <w:p w:rsidR="003E022D" w:rsidRDefault="007D19D6">
      <w:pPr>
        <w:spacing w:after="160" w:line="259" w:lineRule="auto"/>
        <w:rPr>
          <w:rFonts w:eastAsia="Calibri" w:cstheme="minorHAnsi"/>
          <w:noProof/>
        </w:rPr>
      </w:pPr>
      <w:r>
        <w:rPr>
          <w:noProof/>
        </w:rPr>
        <w:t>4.</w:t>
      </w:r>
      <w:r>
        <w:rPr>
          <w:noProof/>
        </w:rPr>
        <w:tab/>
        <w:t>Neskarot 2. punktu, nekas šajā nolīgumā vai jebkurā papildinošā nolīgumā neliedz Pusei apturēt saistību izpildi, ja to atļāvusi PTO strīdu izšķiršanas struktūra vai ja tas atļauts saskaņā ar cita starptautiska nolīguma, kurā Puses ir dalībniec</w:t>
      </w:r>
      <w:r>
        <w:rPr>
          <w:noProof/>
        </w:rPr>
        <w:t>es, strīdu izšķiršanas procedūrām. PTO nolīgumu vai jebkādu citu starptautisko nolīgumu starp Pusēm neizmanto par pamatojumu, lai liegtu Pusei apturēt saistību izpildi saskaņā ar šo sadaļu.</w:t>
      </w:r>
    </w:p>
    <w:p w:rsidR="003E022D" w:rsidRDefault="007D19D6">
      <w:pPr>
        <w:pStyle w:val="Chapter"/>
        <w:rPr>
          <w:b/>
          <w:bCs/>
          <w:i/>
          <w:iCs/>
          <w:noProof/>
          <w:u w:val="single"/>
        </w:rPr>
      </w:pPr>
      <w:r>
        <w:rPr>
          <w:noProof/>
        </w:rPr>
        <w:t>2. nodaļa. Procedūra</w:t>
      </w:r>
    </w:p>
    <w:p w:rsidR="003E022D" w:rsidRDefault="007D19D6">
      <w:pPr>
        <w:pStyle w:val="Article"/>
        <w:rPr>
          <w:noProof/>
        </w:rPr>
      </w:pPr>
      <w:r>
        <w:rPr>
          <w:noProof/>
        </w:rPr>
        <w:t>INST.13. pants. Apspriešanās</w:t>
      </w:r>
    </w:p>
    <w:p w:rsidR="003E022D" w:rsidRDefault="007D19D6">
      <w:pPr>
        <w:spacing w:line="259" w:lineRule="auto"/>
        <w:rPr>
          <w:rFonts w:eastAsia="Calibri" w:cstheme="minorHAnsi"/>
          <w:noProof/>
        </w:rPr>
      </w:pPr>
      <w:r>
        <w:rPr>
          <w:noProof/>
        </w:rPr>
        <w:t>1.</w:t>
      </w:r>
      <w:r>
        <w:rPr>
          <w:noProof/>
        </w:rPr>
        <w:tab/>
        <w:t>Ja Puse (“pra</w:t>
      </w:r>
      <w:r>
        <w:rPr>
          <w:noProof/>
        </w:rPr>
        <w:t>sītāja Puse”) uzskata, ka otra Puse (“atbildētāja Puse”) nav izpildījusi kādu pienākumu saskaņā ar šo nolīgumu vai saskaņā ar jebkuru papildinošo nolīgumu, Puses cenšas atrisināt šo jautājumu, sākot apspriešanos labā ticībā, lai panāktu savstarpēji saskaņo</w:t>
      </w:r>
      <w:r>
        <w:rPr>
          <w:noProof/>
        </w:rPr>
        <w:t>tu risinājumu.</w:t>
      </w:r>
    </w:p>
    <w:p w:rsidR="003E022D" w:rsidRDefault="007D19D6">
      <w:pPr>
        <w:spacing w:line="259" w:lineRule="auto"/>
        <w:rPr>
          <w:rFonts w:eastAsia="Calibri" w:cstheme="minorHAnsi"/>
          <w:noProof/>
        </w:rPr>
      </w:pPr>
      <w:r>
        <w:rPr>
          <w:noProof/>
        </w:rPr>
        <w:t>2.</w:t>
      </w:r>
      <w:r>
        <w:rPr>
          <w:noProof/>
        </w:rPr>
        <w:tab/>
        <w:t xml:space="preserve">Prasītāja Puse var pieprasīt apspriešanos, iesniedzot rakstisku pieprasījumu atbildētājai Pusei. Prasītāja Puse savā rakstiskajā pieprasījumā norāda pieprasījuma iemeslus, tostarp attiecīgos pasākumus un pieprasījuma juridisko pamatu, un </w:t>
      </w:r>
      <w:r>
        <w:rPr>
          <w:noProof/>
        </w:rPr>
        <w:t>aptvertos noteikumus, kurus tā uzskata par piemērojamiem.</w:t>
      </w:r>
    </w:p>
    <w:p w:rsidR="003E022D" w:rsidRDefault="007D19D6">
      <w:pPr>
        <w:spacing w:line="259" w:lineRule="auto"/>
        <w:rPr>
          <w:rFonts w:eastAsia="Calibri" w:cstheme="minorHAnsi"/>
          <w:noProof/>
        </w:rPr>
      </w:pPr>
      <w:r>
        <w:rPr>
          <w:noProof/>
        </w:rPr>
        <w:t>3.</w:t>
      </w:r>
      <w:r>
        <w:rPr>
          <w:noProof/>
        </w:rPr>
        <w:tab/>
        <w:t>Atbildētāja Puse atbild uz pieprasījumu nekavējoties, un jebkurā gadījumā ne vēlāk kā 10 dienas pēc tā saņemšanas dienas. Apspriešanos rīko 30 dienās no pieprasījuma iesniegšanas dienas personīgi</w:t>
      </w:r>
      <w:r>
        <w:rPr>
          <w:noProof/>
        </w:rPr>
        <w:t xml:space="preserve"> vai izmantojot jebkādus citus saziņas līdzekļus, par kuriem Puses ir vienojušās. Ja apspriešanās notiek personīgi, tā notiek atbildētājas Puses teritorijā, ja vien Puses nevienojas citādi.</w:t>
      </w:r>
    </w:p>
    <w:p w:rsidR="003E022D" w:rsidRDefault="007D19D6">
      <w:pPr>
        <w:spacing w:line="259" w:lineRule="auto"/>
        <w:rPr>
          <w:rFonts w:eastAsia="Calibri" w:cstheme="minorHAnsi"/>
          <w:noProof/>
        </w:rPr>
      </w:pPr>
      <w:r>
        <w:rPr>
          <w:noProof/>
        </w:rPr>
        <w:t>4.</w:t>
      </w:r>
      <w:r>
        <w:rPr>
          <w:noProof/>
        </w:rPr>
        <w:tab/>
      </w:r>
      <w:r>
        <w:rPr>
          <w:noProof/>
        </w:rPr>
        <w:t xml:space="preserve">Apspriešanos uzskata par pabeigtu 30 dienās no pieprasījuma saņemšanas dienas, ja vien abas Puses nevienojas to turpināt. </w:t>
      </w:r>
    </w:p>
    <w:p w:rsidR="003E022D" w:rsidRDefault="007D19D6">
      <w:pPr>
        <w:spacing w:line="259" w:lineRule="auto"/>
        <w:rPr>
          <w:rFonts w:eastAsia="Calibri" w:cstheme="minorHAnsi"/>
          <w:noProof/>
        </w:rPr>
      </w:pPr>
      <w:r>
        <w:rPr>
          <w:noProof/>
        </w:rPr>
        <w:t>5.</w:t>
      </w:r>
      <w:r>
        <w:rPr>
          <w:noProof/>
        </w:rPr>
        <w:tab/>
        <w:t xml:space="preserve">Apspriešanās steidzamos jautājumos, tostarp tādos, kas attiecas uz ātrbojīgām precēm vai sezonas precēm vai pakalpojumiem, notiek </w:t>
      </w:r>
      <w:r>
        <w:rPr>
          <w:noProof/>
        </w:rPr>
        <w:t>20 dienu laikā no pieprasījuma iesniegšanas dienas. Apspriešanos uzskata par pabeigtu minētajās 20 dienās, ja vien abas Puses nevienojas to turpināt.</w:t>
      </w:r>
    </w:p>
    <w:p w:rsidR="003E022D" w:rsidRDefault="007D19D6">
      <w:pPr>
        <w:spacing w:line="259" w:lineRule="auto"/>
        <w:rPr>
          <w:rFonts w:eastAsia="Calibri" w:cstheme="minorHAnsi"/>
          <w:noProof/>
        </w:rPr>
      </w:pPr>
      <w:r>
        <w:rPr>
          <w:noProof/>
        </w:rPr>
        <w:t>6.</w:t>
      </w:r>
      <w:r>
        <w:rPr>
          <w:noProof/>
        </w:rPr>
        <w:tab/>
        <w:t>Katra Puse sniedz pietiekamu faktisko informāciju, lai varētu pilnībā pārbaudīt aplūkojamo pasākumu, to</w:t>
      </w:r>
      <w:r>
        <w:rPr>
          <w:noProof/>
        </w:rPr>
        <w:t>starp pārbaudīt to, kā šis pasākums varētu ietekmēt šā nolīguma vai jebkura papildinošā nolīguma piemērošanu. Katra Puse cenšas nodrošināt to savu kompetento iestāžu, kurām ir zinātība apspriežamajā jautājumā, personāla dalību apspriedēs.</w:t>
      </w:r>
    </w:p>
    <w:p w:rsidR="003E022D" w:rsidRDefault="007D19D6">
      <w:pPr>
        <w:spacing w:line="259" w:lineRule="auto"/>
        <w:rPr>
          <w:rFonts w:eastAsia="Calibri" w:cstheme="minorHAnsi"/>
          <w:noProof/>
        </w:rPr>
      </w:pPr>
      <w:r>
        <w:rPr>
          <w:noProof/>
        </w:rPr>
        <w:t>7.</w:t>
      </w:r>
      <w:r>
        <w:rPr>
          <w:noProof/>
        </w:rPr>
        <w:tab/>
        <w:t>Attiecībā uz v</w:t>
      </w:r>
      <w:r>
        <w:rPr>
          <w:noProof/>
        </w:rPr>
        <w:t>isiem strīdiem, kas skar jomu, kura nav otrās daļas pirmā temata vai sestā tematā I līdz VII sadaļa, VIII sadaļas ceturtā nodaļa [Enerģētika un izejvielas], IX līdz XII sadaļa, pēc prasītājas Puses pieprasījuma šā panta 3. punktā minētās apspriedes rīko sp</w:t>
      </w:r>
      <w:r>
        <w:rPr>
          <w:noProof/>
        </w:rPr>
        <w:t>ecializētajā komitejā vai Partnerības padomē. Specializētā komiteja jebkurā laikā var lemt nodot jautājumu Partnerības padomei. Partnerības padome var pati pārņemt šā jautājuma izskatīšanu. Specializētā komiteja vai attiecīgā gadījumā Partnerības padome va</w:t>
      </w:r>
      <w:r>
        <w:rPr>
          <w:noProof/>
        </w:rPr>
        <w:t>r izšķirt strīdu, pieņemot attiecīgu lēmumu. Piemēro šā panta 3. punktā minētos laikposmus. Sanāksmju norises vietu reglamentē specializētās komitejas vai attiecīgā gadījumā Partnerības padomes reglaments.</w:t>
      </w:r>
    </w:p>
    <w:p w:rsidR="003E022D" w:rsidRDefault="007D19D6">
      <w:pPr>
        <w:spacing w:line="259" w:lineRule="auto"/>
        <w:rPr>
          <w:rFonts w:eastAsia="Calibri" w:cstheme="minorHAnsi"/>
          <w:noProof/>
        </w:rPr>
      </w:pPr>
      <w:r>
        <w:rPr>
          <w:noProof/>
        </w:rPr>
        <w:t>8.</w:t>
      </w:r>
      <w:r>
        <w:rPr>
          <w:noProof/>
        </w:rPr>
        <w:tab/>
        <w:t>Apspriešanās un jo īpaši visa par konfidenciālu</w:t>
      </w:r>
      <w:r>
        <w:rPr>
          <w:noProof/>
        </w:rPr>
        <w:t xml:space="preserve"> noteiktā informācija un Pušu tās gaitā ieņemtā nostāja ir konfidenciāla un neskar nevienas Puses tiesības jebkuros turpmākajos procesos.</w:t>
      </w:r>
    </w:p>
    <w:p w:rsidR="003E022D" w:rsidRDefault="007D19D6">
      <w:pPr>
        <w:pStyle w:val="Article"/>
        <w:rPr>
          <w:noProof/>
        </w:rPr>
      </w:pPr>
      <w:r>
        <w:rPr>
          <w:noProof/>
        </w:rPr>
        <w:t>INST.14. pants. Šķīrējtiesas procedūra</w:t>
      </w:r>
    </w:p>
    <w:p w:rsidR="003E022D" w:rsidRDefault="007D19D6">
      <w:pPr>
        <w:spacing w:line="259" w:lineRule="auto"/>
        <w:rPr>
          <w:rFonts w:eastAsia="Calibri" w:cstheme="minorHAnsi"/>
          <w:noProof/>
        </w:rPr>
      </w:pPr>
      <w:r>
        <w:rPr>
          <w:noProof/>
        </w:rPr>
        <w:t>1.</w:t>
      </w:r>
      <w:r>
        <w:rPr>
          <w:noProof/>
        </w:rPr>
        <w:tab/>
        <w:t>Prasītāja Puse var pieprasīt izveidot šķīrējtiesu, ja:</w:t>
      </w:r>
    </w:p>
    <w:p w:rsidR="003E022D" w:rsidRDefault="007D19D6">
      <w:pPr>
        <w:numPr>
          <w:ilvl w:val="0"/>
          <w:numId w:val="497"/>
        </w:numPr>
        <w:ind w:left="567" w:hanging="567"/>
        <w:rPr>
          <w:rFonts w:cstheme="minorHAnsi"/>
          <w:noProof/>
        </w:rPr>
      </w:pPr>
      <w:r>
        <w:rPr>
          <w:noProof/>
        </w:rPr>
        <w:t xml:space="preserve">atbildētāja Puse uz </w:t>
      </w:r>
      <w:r>
        <w:rPr>
          <w:noProof/>
        </w:rPr>
        <w:t>lūgumu par apspriešanos nesniedz atbildi 10 dienu laikā no tā saņemšanas dienas;</w:t>
      </w:r>
    </w:p>
    <w:p w:rsidR="003E022D" w:rsidRDefault="007D19D6">
      <w:pPr>
        <w:numPr>
          <w:ilvl w:val="0"/>
          <w:numId w:val="497"/>
        </w:numPr>
        <w:ind w:left="567" w:hanging="567"/>
        <w:rPr>
          <w:rFonts w:cstheme="minorHAnsi"/>
          <w:noProof/>
        </w:rPr>
      </w:pPr>
      <w:r>
        <w:rPr>
          <w:noProof/>
        </w:rPr>
        <w:t xml:space="preserve">apspriešanās nenotiek </w:t>
      </w:r>
      <w:r>
        <w:rPr>
          <w:noProof/>
          <w:u w:color="000000"/>
        </w:rPr>
        <w:t>INST.13 panta 3., 4. vai 5. punktā [Apspriešanās]</w:t>
      </w:r>
      <w:r>
        <w:rPr>
          <w:noProof/>
        </w:rPr>
        <w:t xml:space="preserve"> minētajos laikposmos; </w:t>
      </w:r>
    </w:p>
    <w:p w:rsidR="003E022D" w:rsidRDefault="007D19D6">
      <w:pPr>
        <w:numPr>
          <w:ilvl w:val="0"/>
          <w:numId w:val="497"/>
        </w:numPr>
        <w:ind w:left="567" w:hanging="567"/>
        <w:rPr>
          <w:rFonts w:cstheme="minorHAnsi"/>
          <w:noProof/>
        </w:rPr>
      </w:pPr>
      <w:r>
        <w:rPr>
          <w:noProof/>
        </w:rPr>
        <w:t>Puses vienojas neapspriesties vai</w:t>
      </w:r>
    </w:p>
    <w:p w:rsidR="003E022D" w:rsidRDefault="007D19D6">
      <w:pPr>
        <w:numPr>
          <w:ilvl w:val="0"/>
          <w:numId w:val="497"/>
        </w:numPr>
        <w:ind w:left="567" w:hanging="567"/>
        <w:rPr>
          <w:rFonts w:eastAsia="Calibri" w:cstheme="minorHAnsi"/>
          <w:noProof/>
        </w:rPr>
      </w:pPr>
      <w:r>
        <w:rPr>
          <w:noProof/>
        </w:rPr>
        <w:t>apspriešanās ir pabeigta, nepanākot savstarpēj</w:t>
      </w:r>
      <w:r>
        <w:rPr>
          <w:noProof/>
        </w:rPr>
        <w:t xml:space="preserve">i saskaņotu risinājumu. </w:t>
      </w:r>
    </w:p>
    <w:p w:rsidR="003E022D" w:rsidRDefault="007D19D6">
      <w:pPr>
        <w:spacing w:line="259" w:lineRule="auto"/>
        <w:rPr>
          <w:rFonts w:eastAsia="Calibri" w:cstheme="minorHAnsi"/>
          <w:noProof/>
        </w:rPr>
      </w:pPr>
      <w:r>
        <w:rPr>
          <w:noProof/>
        </w:rPr>
        <w:t xml:space="preserve"> 2.</w:t>
      </w:r>
      <w:r>
        <w:rPr>
          <w:noProof/>
        </w:rPr>
        <w:tab/>
        <w:t>Pieprasījumu izveidot šķīrējtiesu iesniedz, iesniedzot rakstisku pieprasījumu atbildētājai Pusei. Prasītāja Puse savā pieprasījumā skaidri norāda aplūkojamo pasākumu un tādā veidā, kas pietiekami skaidri atspoguļo sūdzības juri</w:t>
      </w:r>
      <w:r>
        <w:rPr>
          <w:noProof/>
        </w:rPr>
        <w:t>disko pamatu, paskaidro, kādā veidā minētais pasākums pārkāpj aptvertos noteikumus.</w:t>
      </w:r>
    </w:p>
    <w:p w:rsidR="003E022D" w:rsidRDefault="007D19D6">
      <w:pPr>
        <w:pStyle w:val="Article"/>
        <w:rPr>
          <w:noProof/>
        </w:rPr>
      </w:pPr>
      <w:r>
        <w:rPr>
          <w:noProof/>
        </w:rPr>
        <w:t>INST.15. pants. Šķīrējtiesas izveide</w:t>
      </w:r>
    </w:p>
    <w:p w:rsidR="003E022D" w:rsidRDefault="007D19D6">
      <w:pPr>
        <w:widowControl w:val="0"/>
        <w:tabs>
          <w:tab w:val="left" w:pos="604"/>
        </w:tabs>
        <w:autoSpaceDE w:val="0"/>
        <w:autoSpaceDN w:val="0"/>
        <w:spacing w:after="160" w:line="259" w:lineRule="auto"/>
        <w:rPr>
          <w:rFonts w:eastAsia="Arial" w:cstheme="minorHAnsi"/>
          <w:noProof/>
        </w:rPr>
      </w:pPr>
      <w:r>
        <w:rPr>
          <w:noProof/>
        </w:rPr>
        <w:t>1.</w:t>
      </w:r>
      <w:r>
        <w:rPr>
          <w:noProof/>
        </w:rPr>
        <w:tab/>
        <w:t>Šķīrējtiesā ir trīs šķīrējtiesneši.</w:t>
      </w:r>
    </w:p>
    <w:p w:rsidR="003E022D" w:rsidRDefault="007D19D6">
      <w:pPr>
        <w:widowControl w:val="0"/>
        <w:tabs>
          <w:tab w:val="left" w:pos="604"/>
        </w:tabs>
        <w:autoSpaceDE w:val="0"/>
        <w:autoSpaceDN w:val="0"/>
        <w:spacing w:after="160" w:line="276" w:lineRule="auto"/>
        <w:ind w:right="109"/>
        <w:rPr>
          <w:rFonts w:eastAsia="Arial" w:cstheme="minorHAnsi"/>
          <w:noProof/>
        </w:rPr>
      </w:pPr>
      <w:r>
        <w:rPr>
          <w:noProof/>
        </w:rPr>
        <w:t>2.</w:t>
      </w:r>
      <w:r>
        <w:rPr>
          <w:noProof/>
        </w:rPr>
        <w:tab/>
        <w:t>Ne vēlāk kā 10 dienas pēc tam, kad iesniegts pieprasījums izveidot šķīrējtiesu, Puses apsprie</w:t>
      </w:r>
      <w:r>
        <w:rPr>
          <w:noProof/>
        </w:rPr>
        <w:t>žas, lai vienotos par šķīrējtiesas sastāvu.</w:t>
      </w:r>
    </w:p>
    <w:p w:rsidR="003E022D" w:rsidRDefault="007D19D6">
      <w:pPr>
        <w:widowControl w:val="0"/>
        <w:tabs>
          <w:tab w:val="left" w:pos="604"/>
        </w:tabs>
        <w:autoSpaceDE w:val="0"/>
        <w:autoSpaceDN w:val="0"/>
        <w:spacing w:after="160" w:line="276" w:lineRule="auto"/>
        <w:ind w:right="109"/>
        <w:rPr>
          <w:rFonts w:eastAsia="Arial" w:cstheme="minorHAnsi"/>
          <w:noProof/>
        </w:rPr>
      </w:pPr>
      <w:r>
        <w:rPr>
          <w:noProof/>
        </w:rPr>
        <w:t>3.</w:t>
      </w:r>
      <w:r>
        <w:rPr>
          <w:noProof/>
        </w:rPr>
        <w:tab/>
        <w:t>Ja Puses par šķīrējtiesas sastāvu nevienojas šā panta 2. punktā noteiktajā laikposmā, tad katra Puse ne vēlāk kā piecas dienas pēc 2. punktā noteiktā laikposma beigām ieceļ šķīrējtiesnesi, izraugoties no minēt</w:t>
      </w:r>
      <w:r>
        <w:rPr>
          <w:noProof/>
        </w:rPr>
        <w:t>ās Puses kandidātu apakšsaraksta, kas sagatavots saskaņā ar INST.27. pantu [Šķīrējtiesnešu saraksti]. Ja Puse minētajā laikposmā neieceļ šķīrējtiesnesi no sava apakšsaraksta, tad Partnerības padomes līdzpriekšsēdētājs no prasītājas Puses ne vēlāk kā piecas</w:t>
      </w:r>
      <w:r>
        <w:rPr>
          <w:noProof/>
        </w:rPr>
        <w:t xml:space="preserve"> dienas pēc minētā laikposma beigām lozējot izraugās šķīrējtiesnesi no tās Puses, kura nav iecēlusi šķīrējtiesnesi, kandidātu apakšsaraksta. Partnerības padomes līdzpriekšsēdētājs no prasītājas Puses var šādu šķīrējtiesneša izraudzīšanos lozējot deleģēt.</w:t>
      </w:r>
    </w:p>
    <w:p w:rsidR="003E022D" w:rsidRDefault="007D19D6">
      <w:pPr>
        <w:widowControl w:val="0"/>
        <w:tabs>
          <w:tab w:val="left" w:pos="604"/>
        </w:tabs>
        <w:autoSpaceDE w:val="0"/>
        <w:autoSpaceDN w:val="0"/>
        <w:spacing w:after="160" w:line="276" w:lineRule="auto"/>
        <w:ind w:right="109"/>
        <w:rPr>
          <w:rFonts w:eastAsia="Arial" w:cstheme="minorHAnsi"/>
          <w:noProof/>
        </w:rPr>
      </w:pPr>
      <w:r>
        <w:rPr>
          <w:noProof/>
        </w:rPr>
        <w:t>4</w:t>
      </w:r>
      <w:r>
        <w:rPr>
          <w:noProof/>
        </w:rPr>
        <w:t>.</w:t>
      </w:r>
      <w:r>
        <w:rPr>
          <w:noProof/>
        </w:rPr>
        <w:tab/>
        <w:t>Ja Puses nevienojas par šķīrējtiesas priekšsēdētāju šā panta 2. punktā noteiktajā laikposmā, tad Partnerības padomes līdzpriekšsēdētājs no prasītājas Puses ne vēlāk kā piecas dienas pēc minētā laikposma beigām lozējot izraugās šķīrējtiesas priekšsēdētāju</w:t>
      </w:r>
      <w:r>
        <w:rPr>
          <w:noProof/>
        </w:rPr>
        <w:t xml:space="preserve"> no priekšsēdētāju apakšsaraksta, kas izveidots saskaņā ar INST.27. pantu [Šķīrējtiesnešu saraksti]. Partnerības padomes līdzpriekšsēdētājs no prasītājas Puses var šādu priekšsēdētāja izraudzīšanos lozējot deleģēt.</w:t>
      </w:r>
    </w:p>
    <w:p w:rsidR="003E022D" w:rsidRDefault="007D19D6">
      <w:pPr>
        <w:widowControl w:val="0"/>
        <w:tabs>
          <w:tab w:val="left" w:pos="604"/>
        </w:tabs>
        <w:autoSpaceDE w:val="0"/>
        <w:autoSpaceDN w:val="0"/>
        <w:spacing w:after="160" w:line="276" w:lineRule="auto"/>
        <w:ind w:right="109"/>
        <w:rPr>
          <w:rFonts w:eastAsia="Arial" w:cstheme="minorHAnsi"/>
          <w:noProof/>
        </w:rPr>
      </w:pPr>
      <w:r>
        <w:rPr>
          <w:noProof/>
        </w:rPr>
        <w:t>5.</w:t>
      </w:r>
      <w:r>
        <w:rPr>
          <w:noProof/>
        </w:rPr>
        <w:tab/>
        <w:t>Ja kāds no sarakstiem, kas paredzēti I</w:t>
      </w:r>
      <w:r>
        <w:rPr>
          <w:noProof/>
        </w:rPr>
        <w:t>NST.27. pantā [Šķīrējtiesnešu saraksti], nav izveidots vai brīdī, kad tiek iesniegts pieprasījums saskaņā ar šā panta 3. vai 4. punktu, tajā nav pietiekami daudz uzvārdu, tad šķīrējtiesnešus izvēlas lozējot no to personu loka, kuras oficiāli ierosinājusi v</w:t>
      </w:r>
      <w:r>
        <w:rPr>
          <w:noProof/>
        </w:rPr>
        <w:t>iena Puse vai abas Puses saskaņā ar INST-X. pielikumu [Reglaments].</w:t>
      </w:r>
    </w:p>
    <w:p w:rsidR="003E022D" w:rsidRDefault="007D19D6">
      <w:pPr>
        <w:widowControl w:val="0"/>
        <w:tabs>
          <w:tab w:val="left" w:pos="604"/>
        </w:tabs>
        <w:autoSpaceDE w:val="0"/>
        <w:autoSpaceDN w:val="0"/>
        <w:spacing w:after="160" w:line="278" w:lineRule="auto"/>
        <w:ind w:right="109"/>
        <w:rPr>
          <w:rFonts w:eastAsia="Arial" w:cstheme="minorHAnsi"/>
          <w:noProof/>
        </w:rPr>
      </w:pPr>
      <w:r>
        <w:rPr>
          <w:noProof/>
        </w:rPr>
        <w:t>6.</w:t>
      </w:r>
      <w:r>
        <w:rPr>
          <w:noProof/>
        </w:rPr>
        <w:tab/>
        <w:t xml:space="preserve">Šķīrējtiesas izveidošanas diena ir diena, kurā pēdējais no trim šķīrējtiesnešiem ir paziņojis Pusēm, ka piekrīt iecelšanai amatā saskaņā ar </w:t>
      </w:r>
      <w:r>
        <w:rPr>
          <w:noProof/>
          <w:u w:color="000000"/>
        </w:rPr>
        <w:t>INST-X. pielikumu [Reglaments]</w:t>
      </w:r>
      <w:r>
        <w:rPr>
          <w:noProof/>
        </w:rPr>
        <w:t>.</w:t>
      </w:r>
    </w:p>
    <w:p w:rsidR="003E022D" w:rsidRDefault="007D19D6">
      <w:pPr>
        <w:pStyle w:val="Article"/>
        <w:rPr>
          <w:noProof/>
        </w:rPr>
      </w:pPr>
      <w:r>
        <w:rPr>
          <w:noProof/>
        </w:rPr>
        <w:t>INST.16. pant</w:t>
      </w:r>
      <w:r>
        <w:rPr>
          <w:noProof/>
        </w:rPr>
        <w:t>s. Prasības šķīrējtiesnešiem</w:t>
      </w:r>
    </w:p>
    <w:p w:rsidR="003E022D" w:rsidRDefault="007D19D6">
      <w:pPr>
        <w:widowControl w:val="0"/>
        <w:numPr>
          <w:ilvl w:val="0"/>
          <w:numId w:val="494"/>
        </w:numPr>
        <w:tabs>
          <w:tab w:val="left" w:pos="567"/>
        </w:tabs>
        <w:autoSpaceDE w:val="0"/>
        <w:autoSpaceDN w:val="0"/>
        <w:spacing w:before="94" w:after="160" w:line="259" w:lineRule="auto"/>
        <w:ind w:left="0" w:firstLine="0"/>
        <w:jc w:val="left"/>
        <w:rPr>
          <w:rFonts w:eastAsia="Arial" w:cstheme="minorHAnsi"/>
          <w:noProof/>
        </w:rPr>
      </w:pPr>
      <w:r>
        <w:rPr>
          <w:noProof/>
        </w:rPr>
        <w:t>Visi šķīrējtiesneši:</w:t>
      </w:r>
    </w:p>
    <w:p w:rsidR="003E022D" w:rsidRDefault="007D19D6">
      <w:pPr>
        <w:numPr>
          <w:ilvl w:val="0"/>
          <w:numId w:val="498"/>
        </w:numPr>
        <w:ind w:left="567" w:hanging="567"/>
        <w:rPr>
          <w:rFonts w:cstheme="minorHAnsi"/>
          <w:noProof/>
        </w:rPr>
      </w:pPr>
      <w:r>
        <w:rPr>
          <w:noProof/>
        </w:rPr>
        <w:t xml:space="preserve">ir pierādījuši speciālās zināšanas tiesībās un starptautiskajā tirdzniecībā, tostarp konkrētos jautājumos, uz kuriem attiecas otrās daļas pirmā temata [Tirdzniecība] I līdz VII sadaļa, VIII sadaļas ceturtā </w:t>
      </w:r>
      <w:r>
        <w:rPr>
          <w:noProof/>
        </w:rPr>
        <w:t>nodaļa [Enerģētika un izejvielas], IX līdz XII sadaļa] vai otrās daļas sestais temats [Citi noteikumi], vai tiesībās un visos citos jautājumos, uz ko attiecas šis nolīgums vai jebkurš papildinošais nolīgums, un priekšsēdētājam ir arī pieredze strīdu izšķir</w:t>
      </w:r>
      <w:r>
        <w:rPr>
          <w:noProof/>
        </w:rPr>
        <w:t>šanas procedūrās;</w:t>
      </w:r>
    </w:p>
    <w:p w:rsidR="003E022D" w:rsidRDefault="007D19D6">
      <w:pPr>
        <w:numPr>
          <w:ilvl w:val="0"/>
          <w:numId w:val="498"/>
        </w:numPr>
        <w:ind w:left="567" w:hanging="567"/>
        <w:rPr>
          <w:rFonts w:cstheme="minorHAnsi"/>
          <w:noProof/>
        </w:rPr>
      </w:pPr>
      <w:r>
        <w:rPr>
          <w:noProof/>
        </w:rPr>
        <w:t>nav saistīti ar kādu no Pusēm, un nesaņem norādes no tām;</w:t>
      </w:r>
    </w:p>
    <w:p w:rsidR="003E022D" w:rsidRDefault="007D19D6">
      <w:pPr>
        <w:numPr>
          <w:ilvl w:val="0"/>
          <w:numId w:val="498"/>
        </w:numPr>
        <w:ind w:left="567" w:hanging="567"/>
        <w:rPr>
          <w:rFonts w:cstheme="minorHAnsi"/>
          <w:noProof/>
        </w:rPr>
      </w:pPr>
      <w:r>
        <w:rPr>
          <w:noProof/>
        </w:rPr>
        <w:t>rīkojas patstāvīgi un nesaņem norādījumus no kādas organizācijas vai valdības jautājumos, kas attiecas uz strīdiem un</w:t>
      </w:r>
    </w:p>
    <w:p w:rsidR="003E022D" w:rsidRDefault="007D19D6">
      <w:pPr>
        <w:numPr>
          <w:ilvl w:val="0"/>
          <w:numId w:val="498"/>
        </w:numPr>
        <w:ind w:left="567" w:hanging="567"/>
        <w:rPr>
          <w:rFonts w:eastAsia="Arial" w:cstheme="minorHAnsi"/>
          <w:noProof/>
          <w:lang w:val="de-DE"/>
        </w:rPr>
      </w:pPr>
      <w:r>
        <w:rPr>
          <w:noProof/>
          <w:lang w:val="de-DE"/>
        </w:rPr>
        <w:t xml:space="preserve">atbilst </w:t>
      </w:r>
      <w:r>
        <w:rPr>
          <w:noProof/>
          <w:u w:color="000000"/>
          <w:lang w:val="de-DE"/>
        </w:rPr>
        <w:t>INST-X. pielikumam [Rīcības kodekss].]</w:t>
      </w:r>
    </w:p>
    <w:p w:rsidR="003E022D" w:rsidRDefault="007D19D6">
      <w:pPr>
        <w:tabs>
          <w:tab w:val="left" w:pos="567"/>
        </w:tabs>
        <w:spacing w:before="1" w:line="259" w:lineRule="auto"/>
        <w:rPr>
          <w:rFonts w:eastAsia="Calibri" w:cstheme="minorHAnsi"/>
          <w:noProof/>
          <w:lang w:val="de-DE"/>
        </w:rPr>
      </w:pPr>
      <w:r>
        <w:rPr>
          <w:noProof/>
          <w:lang w:val="de-DE"/>
        </w:rPr>
        <w:t>2.</w:t>
      </w:r>
      <w:r>
        <w:rPr>
          <w:noProof/>
          <w:lang w:val="de-DE"/>
        </w:rPr>
        <w:tab/>
        <w:t xml:space="preserve">Visi </w:t>
      </w:r>
      <w:r>
        <w:rPr>
          <w:noProof/>
          <w:lang w:val="de-DE"/>
        </w:rPr>
        <w:t>šķīrējtiesneši ir personas, kuru neatkarība nav apšaubāma, kurām ir vajadzīgā kvalifikācija, lai tās varētu ieņemt augstus amatus tiesu iestādēs attiecīgajās valstīs vai kuras ir juristi ar atzītu kompetenci.</w:t>
      </w:r>
    </w:p>
    <w:p w:rsidR="003E022D" w:rsidRDefault="007D19D6">
      <w:pPr>
        <w:tabs>
          <w:tab w:val="left" w:pos="567"/>
        </w:tabs>
        <w:spacing w:before="1" w:line="259" w:lineRule="auto"/>
        <w:rPr>
          <w:rFonts w:eastAsia="Calibri" w:cstheme="minorHAnsi"/>
          <w:noProof/>
          <w:lang w:val="de-DE"/>
        </w:rPr>
      </w:pPr>
      <w:r>
        <w:rPr>
          <w:noProof/>
          <w:lang w:val="de-DE"/>
        </w:rPr>
        <w:t>3.</w:t>
      </w:r>
      <w:r>
        <w:rPr>
          <w:noProof/>
          <w:lang w:val="de-DE"/>
        </w:rPr>
        <w:tab/>
        <w:t>Ņemot vērā konkrētā strīda priekšmetu, Puses</w:t>
      </w:r>
      <w:r>
        <w:rPr>
          <w:noProof/>
          <w:lang w:val="de-DE"/>
        </w:rPr>
        <w:t xml:space="preserve"> var vienoties atkāpties no </w:t>
      </w:r>
      <w:r>
        <w:rPr>
          <w:noProof/>
          <w:u w:color="000000"/>
          <w:lang w:val="de-DE"/>
        </w:rPr>
        <w:t>1. punkta a) apakšpunktā</w:t>
      </w:r>
      <w:r>
        <w:rPr>
          <w:noProof/>
          <w:lang w:val="de-DE"/>
        </w:rPr>
        <w:t xml:space="preserve"> minētajām prasībām.</w:t>
      </w:r>
    </w:p>
    <w:p w:rsidR="003E022D" w:rsidRDefault="007D19D6">
      <w:pPr>
        <w:pStyle w:val="Article"/>
        <w:rPr>
          <w:noProof/>
          <w:lang w:val="de-DE"/>
        </w:rPr>
      </w:pPr>
      <w:r>
        <w:rPr>
          <w:noProof/>
          <w:lang w:val="de-DE"/>
        </w:rPr>
        <w:t>INST.17. pants. Šķīrējtiesas funkcijas</w:t>
      </w:r>
    </w:p>
    <w:p w:rsidR="003E022D" w:rsidRDefault="007D19D6">
      <w:pPr>
        <w:widowControl w:val="0"/>
        <w:autoSpaceDE w:val="0"/>
        <w:autoSpaceDN w:val="0"/>
        <w:spacing w:after="160" w:line="259" w:lineRule="auto"/>
        <w:ind w:left="185"/>
        <w:jc w:val="left"/>
        <w:rPr>
          <w:rFonts w:eastAsia="Arial" w:cstheme="minorHAnsi"/>
          <w:noProof/>
          <w:lang w:val="de-DE"/>
        </w:rPr>
      </w:pPr>
      <w:r>
        <w:rPr>
          <w:noProof/>
          <w:lang w:val="de-DE"/>
        </w:rPr>
        <w:t>Šķīrējtiesa:</w:t>
      </w:r>
    </w:p>
    <w:p w:rsidR="003E022D" w:rsidRDefault="007D19D6">
      <w:pPr>
        <w:numPr>
          <w:ilvl w:val="0"/>
          <w:numId w:val="499"/>
        </w:numPr>
        <w:ind w:left="567" w:hanging="567"/>
        <w:rPr>
          <w:rFonts w:cstheme="minorHAnsi"/>
          <w:noProof/>
          <w:lang w:val="de-DE"/>
        </w:rPr>
      </w:pPr>
      <w:r>
        <w:rPr>
          <w:noProof/>
          <w:lang w:val="de-DE"/>
        </w:rPr>
        <w:t xml:space="preserve">objektīvi izvērtē tai izskatīšanai iesniegto jautājumu, tostarp objektīvi izvērtē lietas apstākļus un aplūkojamo pasākumu </w:t>
      </w:r>
      <w:r>
        <w:rPr>
          <w:noProof/>
          <w:lang w:val="de-DE"/>
        </w:rPr>
        <w:t>piemērojamību un atbilstību aptvertajiem noteikumiem;</w:t>
      </w:r>
    </w:p>
    <w:p w:rsidR="003E022D" w:rsidRDefault="007D19D6">
      <w:pPr>
        <w:numPr>
          <w:ilvl w:val="0"/>
          <w:numId w:val="499"/>
        </w:numPr>
        <w:ind w:left="567" w:hanging="567"/>
        <w:rPr>
          <w:rFonts w:cstheme="minorHAnsi"/>
          <w:noProof/>
          <w:lang w:val="de-DE"/>
        </w:rPr>
      </w:pPr>
      <w:r>
        <w:rPr>
          <w:noProof/>
          <w:lang w:val="de-DE"/>
        </w:rPr>
        <w:t>savos lēmumos un nolēmumos izklāsta faktu un tiesību konstatējumus un visu tās izdarīto konstatējumu loģisko pamatojumu un</w:t>
      </w:r>
    </w:p>
    <w:p w:rsidR="003E022D" w:rsidRDefault="007D19D6">
      <w:pPr>
        <w:numPr>
          <w:ilvl w:val="0"/>
          <w:numId w:val="499"/>
        </w:numPr>
        <w:ind w:left="567" w:hanging="567"/>
        <w:rPr>
          <w:rFonts w:eastAsia="Arial" w:cstheme="minorHAnsi"/>
          <w:noProof/>
          <w:lang w:val="de-DE"/>
        </w:rPr>
      </w:pPr>
      <w:r>
        <w:rPr>
          <w:noProof/>
          <w:lang w:val="de-DE"/>
        </w:rPr>
        <w:t>tai vajadzētu regulāri apspriesties ar Pusēm un sniegt pietiekamas iespējas, la</w:t>
      </w:r>
      <w:r>
        <w:rPr>
          <w:noProof/>
          <w:lang w:val="de-DE"/>
        </w:rPr>
        <w:t>i panāktu savstarpēji saskaņotu risinājumu.</w:t>
      </w:r>
    </w:p>
    <w:p w:rsidR="003E022D" w:rsidRDefault="007D19D6">
      <w:pPr>
        <w:pStyle w:val="Article"/>
        <w:rPr>
          <w:noProof/>
          <w:lang w:val="de-DE"/>
        </w:rPr>
      </w:pPr>
      <w:r>
        <w:rPr>
          <w:noProof/>
          <w:lang w:val="de-DE"/>
        </w:rPr>
        <w:t>INST.18. pants. Darba uzdevums</w:t>
      </w:r>
    </w:p>
    <w:p w:rsidR="003E022D" w:rsidRDefault="007D19D6">
      <w:pPr>
        <w:widowControl w:val="0"/>
        <w:tabs>
          <w:tab w:val="left" w:pos="542"/>
        </w:tabs>
        <w:autoSpaceDE w:val="0"/>
        <w:autoSpaceDN w:val="0"/>
        <w:spacing w:before="93" w:after="160" w:line="278" w:lineRule="auto"/>
        <w:ind w:right="108"/>
        <w:rPr>
          <w:rFonts w:eastAsia="Arial" w:cstheme="minorHAnsi"/>
          <w:noProof/>
          <w:lang w:val="de-DE"/>
        </w:rPr>
      </w:pPr>
      <w:r>
        <w:rPr>
          <w:noProof/>
          <w:lang w:val="de-DE"/>
        </w:rPr>
        <w:t>1.</w:t>
      </w:r>
      <w:r>
        <w:rPr>
          <w:noProof/>
          <w:lang w:val="de-DE"/>
        </w:rPr>
        <w:tab/>
        <w:t>Ja vien Puses ne vēlāk kā piecas dienas pēc šķīrējtiesas izveidošanas nevienojas citādi, šķīrējtiesas darba uzdevums ir:</w:t>
      </w:r>
    </w:p>
    <w:p w:rsidR="003E022D" w:rsidRDefault="007D19D6">
      <w:pPr>
        <w:spacing w:line="276" w:lineRule="auto"/>
        <w:ind w:left="905" w:right="107"/>
        <w:rPr>
          <w:rFonts w:eastAsia="Calibri" w:cstheme="minorHAnsi"/>
          <w:i/>
          <w:noProof/>
          <w:lang w:val="de-DE"/>
        </w:rPr>
      </w:pPr>
      <w:r>
        <w:rPr>
          <w:i/>
          <w:noProof/>
          <w:lang w:val="de-DE"/>
        </w:rPr>
        <w:t>“ņemot vērā attiecīgos šā nolīguma vai papildinošā nolīgu</w:t>
      </w:r>
      <w:r>
        <w:rPr>
          <w:i/>
          <w:noProof/>
          <w:lang w:val="de-DE"/>
        </w:rPr>
        <w:t xml:space="preserve">ma aptvertos noteikumus, izskatīt šķīrējtiesas izveidošanas pieprasījumā minēto jautājumu, lemt par aplūkojamā pasākuma atbilstību </w:t>
      </w:r>
      <w:r>
        <w:rPr>
          <w:i/>
          <w:noProof/>
          <w:u w:color="000000"/>
          <w:lang w:val="de-DE"/>
        </w:rPr>
        <w:t>INST.10. pantā [Darbības joma]</w:t>
      </w:r>
      <w:r>
        <w:rPr>
          <w:i/>
          <w:noProof/>
          <w:lang w:val="de-DE"/>
        </w:rPr>
        <w:t xml:space="preserve"> minētajiem noteikumiem un pieņemt nolēmumu saskaņā ar </w:t>
      </w:r>
      <w:r>
        <w:rPr>
          <w:i/>
          <w:noProof/>
          <w:u w:color="000000"/>
          <w:lang w:val="de-DE"/>
        </w:rPr>
        <w:t>INST.20. pantu [Šķīrējtiesas nolēmums]</w:t>
      </w:r>
      <w:r>
        <w:rPr>
          <w:i/>
          <w:noProof/>
          <w:lang w:val="de-DE"/>
        </w:rPr>
        <w:t>”.</w:t>
      </w:r>
    </w:p>
    <w:p w:rsidR="003E022D" w:rsidRDefault="007D19D6">
      <w:pPr>
        <w:widowControl w:val="0"/>
        <w:tabs>
          <w:tab w:val="left" w:pos="542"/>
        </w:tabs>
        <w:autoSpaceDE w:val="0"/>
        <w:autoSpaceDN w:val="0"/>
        <w:spacing w:after="160" w:line="276" w:lineRule="auto"/>
        <w:ind w:right="112"/>
        <w:rPr>
          <w:rFonts w:eastAsia="Arial" w:cstheme="minorHAnsi"/>
          <w:noProof/>
          <w:lang w:val="de-DE"/>
        </w:rPr>
      </w:pPr>
      <w:r>
        <w:rPr>
          <w:noProof/>
          <w:lang w:val="de-DE"/>
        </w:rPr>
        <w:t>2.</w:t>
      </w:r>
      <w:r>
        <w:rPr>
          <w:noProof/>
          <w:lang w:val="de-DE"/>
        </w:rPr>
        <w:tab/>
        <w:t xml:space="preserve">Ja Puses vienojas par citu darba uzdevumu, kas nav minēts </w:t>
      </w:r>
      <w:r>
        <w:rPr>
          <w:noProof/>
          <w:u w:color="000000"/>
          <w:lang w:val="de-DE"/>
        </w:rPr>
        <w:t>1. punktā</w:t>
      </w:r>
      <w:r>
        <w:rPr>
          <w:noProof/>
          <w:lang w:val="de-DE"/>
        </w:rPr>
        <w:t>, tās 1. punktā minētajā laikposmā paziņo šķīrējtiesai saskaņoto darba uzdevumu.</w:t>
      </w:r>
    </w:p>
    <w:p w:rsidR="003E022D" w:rsidRDefault="007D19D6">
      <w:pPr>
        <w:pStyle w:val="Article"/>
        <w:rPr>
          <w:noProof/>
          <w:lang w:val="de-DE"/>
        </w:rPr>
      </w:pPr>
      <w:r>
        <w:rPr>
          <w:noProof/>
          <w:lang w:val="de-DE"/>
        </w:rPr>
        <w:t>INST.19. pants. Steidzama tiesvedība</w:t>
      </w:r>
    </w:p>
    <w:p w:rsidR="003E022D" w:rsidRDefault="007D19D6">
      <w:pPr>
        <w:widowControl w:val="0"/>
        <w:tabs>
          <w:tab w:val="left" w:pos="567"/>
        </w:tabs>
        <w:autoSpaceDE w:val="0"/>
        <w:autoSpaceDN w:val="0"/>
        <w:spacing w:after="160" w:line="276" w:lineRule="auto"/>
        <w:ind w:right="105"/>
        <w:rPr>
          <w:rFonts w:eastAsia="Arial" w:cstheme="minorHAnsi"/>
          <w:noProof/>
          <w:lang w:val="de-DE"/>
        </w:rPr>
      </w:pPr>
      <w:r>
        <w:rPr>
          <w:noProof/>
          <w:lang w:val="de-DE"/>
        </w:rPr>
        <w:t>1.</w:t>
      </w:r>
      <w:r>
        <w:rPr>
          <w:noProof/>
          <w:lang w:val="de-DE"/>
        </w:rPr>
        <w:tab/>
        <w:t>Ja kāda Puse to pieprasa, šķīrējtiesa ne vēlāk kā 10 dienu laikā</w:t>
      </w:r>
      <w:r>
        <w:rPr>
          <w:noProof/>
          <w:lang w:val="de-DE"/>
        </w:rPr>
        <w:t xml:space="preserve"> pēc tās izveidošanas pieņem lēmumu par to, vai lieta skar steidzamus jautājumus.</w:t>
      </w:r>
    </w:p>
    <w:p w:rsidR="003E022D" w:rsidRDefault="007D19D6">
      <w:pPr>
        <w:widowControl w:val="0"/>
        <w:tabs>
          <w:tab w:val="left" w:pos="567"/>
        </w:tabs>
        <w:autoSpaceDE w:val="0"/>
        <w:autoSpaceDN w:val="0"/>
        <w:spacing w:after="160" w:line="276" w:lineRule="auto"/>
        <w:ind w:right="105"/>
        <w:rPr>
          <w:rFonts w:eastAsia="Arial" w:cstheme="minorHAnsi"/>
          <w:noProof/>
          <w:lang w:val="de-DE"/>
        </w:rPr>
      </w:pPr>
      <w:r>
        <w:rPr>
          <w:noProof/>
          <w:lang w:val="de-DE"/>
        </w:rPr>
        <w:t>2.</w:t>
      </w:r>
      <w:r>
        <w:rPr>
          <w:noProof/>
          <w:lang w:val="de-DE"/>
        </w:rPr>
        <w:tab/>
        <w:t xml:space="preserve">Steidzamos gadījumos </w:t>
      </w:r>
      <w:r>
        <w:rPr>
          <w:noProof/>
          <w:u w:color="000000"/>
          <w:lang w:val="de-DE"/>
        </w:rPr>
        <w:t>INST.20 pantā [Šķīrējtiesas nolēmums]</w:t>
      </w:r>
      <w:r>
        <w:rPr>
          <w:noProof/>
          <w:lang w:val="de-DE"/>
        </w:rPr>
        <w:t xml:space="preserve"> noteiktie piemērojamie laikposmi ir puse no tur noteiktā laika.  </w:t>
      </w:r>
    </w:p>
    <w:p w:rsidR="003E022D" w:rsidRDefault="007D19D6">
      <w:pPr>
        <w:pStyle w:val="Article"/>
        <w:rPr>
          <w:noProof/>
          <w:lang w:val="de-DE"/>
        </w:rPr>
      </w:pPr>
      <w:r>
        <w:rPr>
          <w:noProof/>
          <w:lang w:val="de-DE"/>
        </w:rPr>
        <w:t>INST.20. pants. Šķīrējtiesas nolēmums</w:t>
      </w:r>
    </w:p>
    <w:p w:rsidR="003E022D" w:rsidRDefault="007D19D6">
      <w:pPr>
        <w:spacing w:after="160" w:line="259" w:lineRule="auto"/>
        <w:rPr>
          <w:rFonts w:eastAsia="Calibri" w:cstheme="minorHAnsi"/>
          <w:noProof/>
          <w:lang w:val="de-DE"/>
        </w:rPr>
      </w:pPr>
      <w:r>
        <w:rPr>
          <w:noProof/>
          <w:lang w:val="de-DE"/>
        </w:rPr>
        <w:t xml:space="preserve">1. </w:t>
      </w:r>
      <w:r>
        <w:rPr>
          <w:noProof/>
          <w:lang w:val="de-DE"/>
        </w:rPr>
        <w:tab/>
        <w:t>Šķīr</w:t>
      </w:r>
      <w:r>
        <w:rPr>
          <w:noProof/>
          <w:lang w:val="de-DE"/>
        </w:rPr>
        <w:t>ējtiesa starpposma ziņojumu Pusēm iesniedz 100 dienās pēc šķīrējtiesas izveides. Ja šķīrējtiesa uzskata, ka šo termiņu nevar ievērot, tad tās priekšsēdētājs par to rakstveidā paziņo Pusēm, norādot kavēšanās iemeslus un dienu, kad šķīrējtiesa plāno sniegt s</w:t>
      </w:r>
      <w:r>
        <w:rPr>
          <w:noProof/>
          <w:lang w:val="de-DE"/>
        </w:rPr>
        <w:t>tarpposma ziņojumu. Šķīrējtiesa starpposma ziņojumu nekādā gadījumā nesniedz vēlāk kā 130 dienas pēc šķīrējtiesas izveides.</w:t>
      </w:r>
    </w:p>
    <w:p w:rsidR="003E022D" w:rsidRDefault="007D19D6">
      <w:pPr>
        <w:spacing w:line="259" w:lineRule="auto"/>
        <w:rPr>
          <w:rFonts w:eastAsia="Calibri" w:cstheme="minorHAnsi"/>
          <w:noProof/>
          <w:lang w:val="de-DE"/>
        </w:rPr>
      </w:pPr>
      <w:r>
        <w:rPr>
          <w:noProof/>
          <w:lang w:val="de-DE"/>
        </w:rPr>
        <w:t>2.</w:t>
      </w:r>
      <w:r>
        <w:rPr>
          <w:noProof/>
          <w:lang w:val="de-DE"/>
        </w:rPr>
        <w:tab/>
        <w:t>Katra Puse 14 dienās pēc starpposma ziņojuma saņemšanas var iesniegt šķīrējtiesai rakstisku pieprasījumu pārskatīt konkrētus star</w:t>
      </w:r>
      <w:r>
        <w:rPr>
          <w:noProof/>
          <w:lang w:val="de-DE"/>
        </w:rPr>
        <w:t>pposma ziņojuma aspektus. Puse var sniegt piezīmes par otras Puses pieprasījumu sešās dienās pēc pieprasījuma iesniegšanas.</w:t>
      </w:r>
    </w:p>
    <w:p w:rsidR="003E022D" w:rsidRDefault="007D19D6">
      <w:pPr>
        <w:spacing w:line="259" w:lineRule="auto"/>
        <w:rPr>
          <w:rFonts w:eastAsia="Calibri" w:cstheme="minorHAnsi"/>
          <w:noProof/>
          <w:lang w:val="de-DE"/>
        </w:rPr>
      </w:pPr>
      <w:r>
        <w:rPr>
          <w:noProof/>
          <w:lang w:val="de-DE"/>
        </w:rPr>
        <w:t>3.</w:t>
      </w:r>
      <w:r>
        <w:rPr>
          <w:noProof/>
          <w:lang w:val="de-DE"/>
        </w:rPr>
        <w:tab/>
        <w:t>Ja 2. punktā minētajā laikposmā nav iesniegts rakstisks pieprasījums pārskatīt konkrētus starpposma ziņojuma aspektus, tad starpp</w:t>
      </w:r>
      <w:r>
        <w:rPr>
          <w:noProof/>
          <w:lang w:val="de-DE"/>
        </w:rPr>
        <w:t xml:space="preserve">osma ziņojums kļūst par šķīrējtiesas nolēmumu. </w:t>
      </w:r>
    </w:p>
    <w:p w:rsidR="003E022D" w:rsidRDefault="007D19D6">
      <w:pPr>
        <w:spacing w:line="259" w:lineRule="auto"/>
        <w:rPr>
          <w:rFonts w:eastAsia="Calibri" w:cstheme="minorHAnsi"/>
          <w:noProof/>
          <w:lang w:val="de-DE"/>
        </w:rPr>
      </w:pPr>
      <w:r>
        <w:rPr>
          <w:noProof/>
          <w:lang w:val="de-DE"/>
        </w:rPr>
        <w:t>4.</w:t>
      </w:r>
      <w:r>
        <w:rPr>
          <w:noProof/>
          <w:lang w:val="de-DE"/>
        </w:rPr>
        <w:tab/>
        <w:t>Šķīrējtiesa savu nolēmumu Pusēm iesniedz 130 dienās no šķīrējtiesas izveides. Ja šķīrējtiesa uzskata, ka šo termiņu nav iespējams ievērot, šķīrējtiesas priekšsēdētājs par to rakstveidā paziņo Pusēm, norādo</w:t>
      </w:r>
      <w:r>
        <w:rPr>
          <w:noProof/>
          <w:lang w:val="de-DE"/>
        </w:rPr>
        <w:t>t kavēšanās iemeslus un dienu, kad šķīrējtiesa plāno sniegt nolēmumu. Šķīrējtiesa savu nolēmumu nekādā gadījumā nesniedz vēlāk kā 160 dienas pēc šķīrējtiesas izveides.</w:t>
      </w:r>
    </w:p>
    <w:p w:rsidR="003E022D" w:rsidRDefault="007D19D6">
      <w:pPr>
        <w:spacing w:line="259" w:lineRule="auto"/>
        <w:rPr>
          <w:rFonts w:eastAsia="Calibri" w:cstheme="minorHAnsi"/>
          <w:noProof/>
          <w:lang w:val="de-DE"/>
        </w:rPr>
      </w:pPr>
      <w:r>
        <w:rPr>
          <w:noProof/>
          <w:lang w:val="de-DE"/>
        </w:rPr>
        <w:t>5.</w:t>
      </w:r>
      <w:r>
        <w:rPr>
          <w:noProof/>
          <w:lang w:val="de-DE"/>
        </w:rPr>
        <w:tab/>
        <w:t>Nolēmums ietver jebkura Pušu rakstiska pieprasījuma par starpposma ziņojumu apsprieša</w:t>
      </w:r>
      <w:r>
        <w:rPr>
          <w:noProof/>
          <w:lang w:val="de-DE"/>
        </w:rPr>
        <w:t xml:space="preserve">nu un skaidri iztirzā Pušu piezīmes. </w:t>
      </w:r>
    </w:p>
    <w:p w:rsidR="003E022D" w:rsidRDefault="007D19D6">
      <w:pPr>
        <w:spacing w:line="259" w:lineRule="auto"/>
        <w:rPr>
          <w:rFonts w:eastAsia="Calibri" w:cstheme="minorHAnsi"/>
          <w:noProof/>
          <w:lang w:val="de-DE"/>
        </w:rPr>
      </w:pPr>
      <w:r>
        <w:rPr>
          <w:noProof/>
          <w:lang w:val="de-DE"/>
        </w:rPr>
        <w:t xml:space="preserve">6. Lielākai noteiktībai – INST.17. pantā [Šķīrējtiesas funkcijas], INST.18. pantā [Darba uzdevums], INST.28 pantā [Šķīrējtiesnešu aizstāšana] un INST.29. panta [Šķīrējtiesas nolēmumi un lēmumi] 1., 3., 4. un 6. punktā </w:t>
      </w:r>
      <w:r>
        <w:rPr>
          <w:noProof/>
          <w:lang w:val="de-DE"/>
        </w:rPr>
        <w:t>minētais ‘nolēmums’ vai ‘nolēmumi’ nozīmē arī šķīrējtiesas starpposma ziņojumu.</w:t>
      </w:r>
    </w:p>
    <w:p w:rsidR="003E022D" w:rsidRDefault="007D19D6">
      <w:pPr>
        <w:pStyle w:val="Chapter"/>
        <w:rPr>
          <w:noProof/>
        </w:rPr>
      </w:pPr>
      <w:r>
        <w:rPr>
          <w:noProof/>
        </w:rPr>
        <w:t>3. nodaļa. Atbilstība</w:t>
      </w:r>
    </w:p>
    <w:p w:rsidR="003E022D" w:rsidRDefault="007D19D6">
      <w:pPr>
        <w:pStyle w:val="Article"/>
        <w:rPr>
          <w:noProof/>
        </w:rPr>
      </w:pPr>
      <w:r>
        <w:rPr>
          <w:noProof/>
        </w:rPr>
        <w:t>INST.21. pants. Atbilstības nodrošināšanas pasākumi</w:t>
      </w:r>
    </w:p>
    <w:p w:rsidR="003E022D" w:rsidRDefault="007D19D6">
      <w:pPr>
        <w:spacing w:line="259" w:lineRule="auto"/>
        <w:rPr>
          <w:rFonts w:eastAsia="Calibri" w:cstheme="minorHAnsi"/>
          <w:noProof/>
        </w:rPr>
      </w:pPr>
      <w:r>
        <w:rPr>
          <w:noProof/>
        </w:rPr>
        <w:t>1.</w:t>
      </w:r>
      <w:r>
        <w:rPr>
          <w:noProof/>
        </w:rPr>
        <w:tab/>
        <w:t xml:space="preserve">Ja savā nolēmumā, kas minēts </w:t>
      </w:r>
      <w:r>
        <w:rPr>
          <w:noProof/>
          <w:u w:color="000000"/>
        </w:rPr>
        <w:t>INST.20. panta [Šķīrējtiesas nolēmums] 1. punktā</w:t>
      </w:r>
      <w:r>
        <w:rPr>
          <w:noProof/>
        </w:rPr>
        <w:t xml:space="preserve">, šķīrējtiesa </w:t>
      </w:r>
      <w:r>
        <w:rPr>
          <w:noProof/>
        </w:rPr>
        <w:t>konstatē, ka atbildētāja Puse nav izpildījusi kādu pienākumu saskaņā ar šo nolīgumu vai saskaņā ar jebkuru papildinošo nolīgumu, tad minētā Puse veic vajadzīgos pasākumus, lai nekavējoties nodrošinātu atbilstību šķīrējtiesas nolēmumu nolūkā panākt atbilstī</w:t>
      </w:r>
      <w:r>
        <w:rPr>
          <w:noProof/>
        </w:rPr>
        <w:t>bu aptvertajiem noteikumiem.</w:t>
      </w:r>
    </w:p>
    <w:p w:rsidR="003E022D" w:rsidRDefault="007D19D6">
      <w:pPr>
        <w:spacing w:line="259" w:lineRule="auto"/>
        <w:rPr>
          <w:rFonts w:eastAsia="Calibri" w:cstheme="minorHAnsi"/>
          <w:noProof/>
        </w:rPr>
      </w:pPr>
      <w:r>
        <w:rPr>
          <w:noProof/>
        </w:rPr>
        <w:t>2.</w:t>
      </w:r>
      <w:r>
        <w:rPr>
          <w:noProof/>
        </w:rPr>
        <w:tab/>
        <w:t xml:space="preserve">Atbildētāja Puse ne vēlāk kā 30 dienas pēc nolēmuma pasludināšanas paziņo prasītājai Pusei par pasākumiem, ko tā ir veikusi vai plāno veikt, lai nodrošinātu atbilstību. </w:t>
      </w:r>
    </w:p>
    <w:p w:rsidR="003E022D" w:rsidRDefault="007D19D6">
      <w:pPr>
        <w:pStyle w:val="Article"/>
        <w:rPr>
          <w:noProof/>
        </w:rPr>
      </w:pPr>
      <w:r>
        <w:rPr>
          <w:noProof/>
        </w:rPr>
        <w:t>INST.22. pants. Samērīgs laikposms</w:t>
      </w:r>
    </w:p>
    <w:p w:rsidR="003E022D" w:rsidRDefault="007D19D6">
      <w:pPr>
        <w:spacing w:line="259" w:lineRule="auto"/>
        <w:rPr>
          <w:rFonts w:eastAsia="Calibri" w:cstheme="minorHAnsi"/>
          <w:noProof/>
        </w:rPr>
      </w:pPr>
      <w:r>
        <w:rPr>
          <w:noProof/>
        </w:rPr>
        <w:t>1.</w:t>
      </w:r>
      <w:r>
        <w:rPr>
          <w:noProof/>
        </w:rPr>
        <w:tab/>
        <w:t>Ja tūlītēja izpi</w:t>
      </w:r>
      <w:r>
        <w:rPr>
          <w:noProof/>
        </w:rPr>
        <w:t xml:space="preserve">lde nav iespējama, atbildētāja Puse ne vēlāk kā 30 dienas pēc </w:t>
      </w:r>
      <w:r>
        <w:rPr>
          <w:noProof/>
          <w:u w:color="000000"/>
        </w:rPr>
        <w:t>INST.20. panta [Šķīrējtiesas nolēmums] 1. punktā</w:t>
      </w:r>
      <w:r>
        <w:rPr>
          <w:noProof/>
        </w:rPr>
        <w:t xml:space="preserve"> minētā nolēmuma pasludināšanas paziņo prasītājai Pusei samērīgā laikposma ilgumu, kas tai būs vajadzīgs, lai nodrošinātu atbilstību ar nolēmumu, </w:t>
      </w:r>
      <w:r>
        <w:rPr>
          <w:noProof/>
        </w:rPr>
        <w:t xml:space="preserve">kas minēts </w:t>
      </w:r>
      <w:r>
        <w:rPr>
          <w:noProof/>
          <w:u w:color="000000"/>
        </w:rPr>
        <w:t>INST.20. panta [Šķīrējtiesas nolēmums] 1. punktā</w:t>
      </w:r>
      <w:r>
        <w:rPr>
          <w:noProof/>
        </w:rPr>
        <w:t>. Puses cenšas vienoties par samērīgā laikposma ilgumu, lai panāktu atbilstību.</w:t>
      </w:r>
    </w:p>
    <w:p w:rsidR="003E022D" w:rsidRDefault="007D19D6">
      <w:pPr>
        <w:spacing w:line="259" w:lineRule="auto"/>
        <w:rPr>
          <w:rFonts w:eastAsia="Calibri" w:cstheme="minorHAnsi"/>
          <w:noProof/>
        </w:rPr>
      </w:pPr>
      <w:r>
        <w:rPr>
          <w:noProof/>
        </w:rPr>
        <w:t>2.</w:t>
      </w:r>
      <w:r>
        <w:rPr>
          <w:noProof/>
        </w:rPr>
        <w:tab/>
        <w:t>Ja Puses nav vienojušās par samērīgā laikposma ilgumu, prasītāja Puse ne agrāk kā 20 dienas pēc 1. punktā minētā p</w:t>
      </w:r>
      <w:r>
        <w:rPr>
          <w:noProof/>
        </w:rPr>
        <w:t>aziņojuma sniegšanas var rakstiski pieprasīt sākotnējai šķīrējtiesai noteikt samērīgā laikposma ilgumu. Šķīrējtiesa paziņo savu lēmumu Pusēm 20 dienās no pieprasījuma iesniegšanas dienas.</w:t>
      </w:r>
    </w:p>
    <w:p w:rsidR="003E022D" w:rsidRDefault="007D19D6">
      <w:pPr>
        <w:spacing w:line="259" w:lineRule="auto"/>
        <w:rPr>
          <w:rFonts w:eastAsia="Calibri" w:cstheme="minorHAnsi"/>
          <w:noProof/>
        </w:rPr>
      </w:pPr>
      <w:r>
        <w:rPr>
          <w:noProof/>
        </w:rPr>
        <w:t>3.</w:t>
      </w:r>
      <w:r>
        <w:rPr>
          <w:noProof/>
        </w:rPr>
        <w:tab/>
        <w:t>Atbildētāja Puse vismaz vienu mēnesi pirms samērīgā laikposma bei</w:t>
      </w:r>
      <w:r>
        <w:rPr>
          <w:noProof/>
        </w:rPr>
        <w:t xml:space="preserve">gām iesniedz prasītājai Pusei rakstisku paziņojumu par to, kā virzās </w:t>
      </w:r>
      <w:r>
        <w:rPr>
          <w:noProof/>
          <w:u w:color="000000"/>
        </w:rPr>
        <w:t>INST.20. panta [Šķīrējtiesas nolēmums] 1. punktā</w:t>
      </w:r>
      <w:r>
        <w:rPr>
          <w:noProof/>
        </w:rPr>
        <w:t xml:space="preserve"> minētā nolēmuma izpilde. </w:t>
      </w:r>
    </w:p>
    <w:p w:rsidR="003E022D" w:rsidRDefault="007D19D6">
      <w:pPr>
        <w:spacing w:line="259" w:lineRule="auto"/>
        <w:ind w:left="720" w:hanging="720"/>
        <w:rPr>
          <w:rFonts w:eastAsia="Calibri" w:cstheme="minorHAnsi"/>
          <w:noProof/>
        </w:rPr>
      </w:pPr>
      <w:r>
        <w:rPr>
          <w:noProof/>
        </w:rPr>
        <w:t>4.</w:t>
      </w:r>
      <w:r>
        <w:rPr>
          <w:noProof/>
        </w:rPr>
        <w:tab/>
        <w:t>Puses var vienoties par samērīgā laikposma pagarināšanu.</w:t>
      </w:r>
    </w:p>
    <w:p w:rsidR="003E022D" w:rsidRDefault="007D19D6">
      <w:pPr>
        <w:pStyle w:val="Article"/>
        <w:rPr>
          <w:noProof/>
        </w:rPr>
      </w:pPr>
      <w:r>
        <w:rPr>
          <w:noProof/>
        </w:rPr>
        <w:t>INST.23. pants. Atbilstības pārskatīšana</w:t>
      </w:r>
    </w:p>
    <w:p w:rsidR="003E022D" w:rsidRDefault="007D19D6">
      <w:pPr>
        <w:spacing w:line="259" w:lineRule="auto"/>
        <w:rPr>
          <w:rFonts w:eastAsia="Calibri" w:cstheme="minorHAnsi"/>
          <w:noProof/>
        </w:rPr>
      </w:pPr>
      <w:r>
        <w:rPr>
          <w:noProof/>
        </w:rPr>
        <w:t>1.</w:t>
      </w:r>
      <w:r>
        <w:rPr>
          <w:noProof/>
        </w:rPr>
        <w:tab/>
        <w:t>Atbildēt</w:t>
      </w:r>
      <w:r>
        <w:rPr>
          <w:noProof/>
        </w:rPr>
        <w:t xml:space="preserve">āja Puse ne vēlāk kā samērīgā laikposma beigās paziņo prasītājai Pusei par visiem pasākumiem, ko tā veikusi, lai izpildītu </w:t>
      </w:r>
      <w:r>
        <w:rPr>
          <w:noProof/>
          <w:u w:color="000000"/>
        </w:rPr>
        <w:t>INST.20 panta [Šķīrējtiesas nolēmums] 1. punktā</w:t>
      </w:r>
      <w:r>
        <w:rPr>
          <w:noProof/>
        </w:rPr>
        <w:t xml:space="preserve"> minēto nolēmumu. </w:t>
      </w:r>
    </w:p>
    <w:p w:rsidR="003E022D" w:rsidRDefault="007D19D6">
      <w:pPr>
        <w:spacing w:line="259" w:lineRule="auto"/>
        <w:rPr>
          <w:rFonts w:eastAsia="Calibri" w:cstheme="minorHAnsi"/>
          <w:noProof/>
        </w:rPr>
      </w:pPr>
      <w:r>
        <w:rPr>
          <w:noProof/>
        </w:rPr>
        <w:t>2.</w:t>
      </w:r>
      <w:r>
        <w:rPr>
          <w:noProof/>
        </w:rPr>
        <w:tab/>
        <w:t>Ja Pusēm ir atšķirīgi viedokļi par jebkāda pasākuma, kas veikts,</w:t>
      </w:r>
      <w:r>
        <w:rPr>
          <w:noProof/>
        </w:rPr>
        <w:t xml:space="preserve"> lai izpildītu nolēmumu, pastāvēšanu vai atbilstību aptvertajiem noteikumiem, tad prasītāja Puse var iesniegt rakstveida pieprasījumu sākotnējai šķīrējtiesai izlemt šo jautājumu. Pieprasījumā norāda visus aplūkojamos pasākumus un tādā veidā, kas pietiekami</w:t>
      </w:r>
      <w:r>
        <w:rPr>
          <w:noProof/>
        </w:rPr>
        <w:t xml:space="preserve"> atspoguļo sūdzības juridisko pamatu, paskaidro, kādā veidā minētais pasākums pārkāpj aptvertos noteikumus. Šķīrējtiesa paziņo savu lēmumu Pusēm 45 dienās no pieprasījuma iesniegšanas dienas.</w:t>
      </w:r>
    </w:p>
    <w:p w:rsidR="003E022D" w:rsidRDefault="007D19D6">
      <w:pPr>
        <w:jc w:val="center"/>
        <w:rPr>
          <w:rFonts w:eastAsia="Calibri" w:cs="Calibri"/>
          <w:noProof/>
        </w:rPr>
      </w:pPr>
      <w:r>
        <w:rPr>
          <w:noProof/>
        </w:rPr>
        <w:t>INST.24. pants. Pagaidu tiesiskās aizsardzības līdzekļi</w:t>
      </w:r>
    </w:p>
    <w:p w:rsidR="003E022D" w:rsidRDefault="007D19D6">
      <w:pPr>
        <w:spacing w:line="259" w:lineRule="auto"/>
        <w:rPr>
          <w:rFonts w:eastAsia="Calibri" w:cs="Calibri"/>
          <w:noProof/>
        </w:rPr>
      </w:pPr>
      <w:r>
        <w:rPr>
          <w:noProof/>
        </w:rPr>
        <w:t>1.</w:t>
      </w:r>
      <w:r>
        <w:rPr>
          <w:noProof/>
        </w:rPr>
        <w:tab/>
        <w:t>Atbil</w:t>
      </w:r>
      <w:r>
        <w:rPr>
          <w:noProof/>
        </w:rPr>
        <w:t>dētāja Puse pēc prasītājas Puses pieprasījuma un pēc apspriešanās ar to iesniedz pagaidu kompensācijas piedāvājumu, ja:</w:t>
      </w:r>
    </w:p>
    <w:p w:rsidR="003E022D" w:rsidRDefault="007D19D6">
      <w:pPr>
        <w:spacing w:line="259" w:lineRule="auto"/>
        <w:rPr>
          <w:rFonts w:eastAsia="Calibri" w:cs="Calibri"/>
          <w:noProof/>
        </w:rPr>
      </w:pPr>
      <w:r>
        <w:rPr>
          <w:noProof/>
        </w:rPr>
        <w:t>a)</w:t>
      </w:r>
      <w:r>
        <w:rPr>
          <w:noProof/>
        </w:rPr>
        <w:tab/>
        <w:t xml:space="preserve">atbildētāja Puse sniedz paziņojumu prasītājai Pusei, ka nav iespējams izpildīt nolēmumu, kas minēts INST.20. panta [Šķīrējtiesas </w:t>
      </w:r>
      <w:r>
        <w:rPr>
          <w:noProof/>
        </w:rPr>
        <w:t>nolēmums] 1. punktā , vai</w:t>
      </w:r>
    </w:p>
    <w:p w:rsidR="003E022D" w:rsidRDefault="007D19D6">
      <w:pPr>
        <w:spacing w:line="259" w:lineRule="auto"/>
        <w:rPr>
          <w:rFonts w:eastAsia="Calibri" w:cs="Calibri"/>
          <w:noProof/>
        </w:rPr>
      </w:pPr>
      <w:r>
        <w:rPr>
          <w:noProof/>
        </w:rPr>
        <w:t>b)</w:t>
      </w:r>
      <w:r>
        <w:rPr>
          <w:noProof/>
        </w:rPr>
        <w:tab/>
        <w:t>atbildētāja Puse INST.21. pantā [Atbilstības nodrošināšanas pasākumi] minētajā termiņā vai pirms samērīgā laikposma beigām neiesniedz paziņojumu par pasākumu, kas veikts, lai nodrošinātu atbilstību, vai</w:t>
      </w:r>
    </w:p>
    <w:p w:rsidR="003E022D" w:rsidRDefault="007D19D6">
      <w:pPr>
        <w:spacing w:line="259" w:lineRule="auto"/>
        <w:rPr>
          <w:rFonts w:eastAsia="Calibri" w:cs="Calibri"/>
          <w:noProof/>
        </w:rPr>
      </w:pPr>
      <w:r>
        <w:rPr>
          <w:noProof/>
        </w:rPr>
        <w:t>c)</w:t>
      </w:r>
      <w:r>
        <w:rPr>
          <w:noProof/>
        </w:rPr>
        <w:tab/>
        <w:t>šķīrējtiesa konstatē,</w:t>
      </w:r>
      <w:r>
        <w:rPr>
          <w:noProof/>
        </w:rPr>
        <w:t xml:space="preserve"> ka nav veikti pasākumi nolēmuma izpildei vai ka pasākumi, kas veikti izpildei, nav saderīgi ar aptvertajiem noteikumiem.</w:t>
      </w:r>
    </w:p>
    <w:p w:rsidR="003E022D" w:rsidRDefault="007D19D6">
      <w:pPr>
        <w:spacing w:line="259" w:lineRule="auto"/>
        <w:rPr>
          <w:rFonts w:eastAsia="Calibri" w:cs="Calibri"/>
          <w:noProof/>
        </w:rPr>
      </w:pPr>
      <w:r>
        <w:rPr>
          <w:noProof/>
        </w:rPr>
        <w:t>2.</w:t>
      </w:r>
      <w:r>
        <w:rPr>
          <w:noProof/>
        </w:rPr>
        <w:tab/>
        <w:t>Pie jebkura no 1. punkta a), b) un c) apakšpunktā minētajiem nosacījumiem prasītāja Puse var sniegt rakstisku paziņojumu atbildētāj</w:t>
      </w:r>
      <w:r>
        <w:rPr>
          <w:noProof/>
        </w:rPr>
        <w:t xml:space="preserve">ai Pusei, ka tā plāno apturēt saistību izpildi, ko paredz aptvertie noteikumi, ja: </w:t>
      </w:r>
    </w:p>
    <w:p w:rsidR="003E022D" w:rsidRDefault="007D19D6">
      <w:pPr>
        <w:spacing w:line="259" w:lineRule="auto"/>
        <w:rPr>
          <w:rFonts w:eastAsia="Calibri" w:cs="Calibri"/>
          <w:noProof/>
        </w:rPr>
      </w:pPr>
      <w:r>
        <w:rPr>
          <w:noProof/>
        </w:rPr>
        <w:t>a)</w:t>
      </w:r>
      <w:r>
        <w:rPr>
          <w:noProof/>
        </w:rPr>
        <w:tab/>
        <w:t>prasītāja Puse nolemj neiesniegt pieprasījumu saskaņā ar 1. punktu vai</w:t>
      </w:r>
    </w:p>
    <w:p w:rsidR="003E022D" w:rsidRDefault="007D19D6">
      <w:pPr>
        <w:spacing w:line="259" w:lineRule="auto"/>
        <w:rPr>
          <w:rFonts w:eastAsia="Calibri" w:cs="Times New Roman"/>
          <w:b/>
          <w:noProof/>
          <w:u w:val="single"/>
        </w:rPr>
      </w:pPr>
      <w:r>
        <w:rPr>
          <w:noProof/>
        </w:rPr>
        <w:t>b)</w:t>
      </w:r>
      <w:r>
        <w:rPr>
          <w:noProof/>
        </w:rPr>
        <w:tab/>
        <w:t>Puses nevienojas par pagaidu kompensāciju 20 dienās pēc samērīgā laikposma beigām vai pēc šķīrē</w:t>
      </w:r>
      <w:r>
        <w:rPr>
          <w:noProof/>
        </w:rPr>
        <w:t>jtiesas lēmuma pasludināšanas saskaņā ar INST.23. pantu [Atbilstības pārskatīšana], ja ir iesniegts pieprasījums saskaņā ar 1. punktu.</w:t>
      </w:r>
    </w:p>
    <w:p w:rsidR="003E022D" w:rsidRDefault="007D19D6">
      <w:pPr>
        <w:spacing w:line="259" w:lineRule="auto"/>
        <w:rPr>
          <w:rFonts w:eastAsia="Calibri" w:cs="Calibri"/>
          <w:noProof/>
        </w:rPr>
      </w:pPr>
      <w:r>
        <w:rPr>
          <w:noProof/>
        </w:rPr>
        <w:t xml:space="preserve">Paziņojumā norāda paredzamās saistību izpildes apturēšanas līmeni. </w:t>
      </w:r>
    </w:p>
    <w:p w:rsidR="003E022D" w:rsidRDefault="007D19D6">
      <w:pPr>
        <w:rPr>
          <w:rFonts w:eastAsia="Calibri" w:cs="Calibri"/>
          <w:noProof/>
        </w:rPr>
      </w:pPr>
      <w:r>
        <w:rPr>
          <w:noProof/>
        </w:rPr>
        <w:t>3.  Uz saistību izpildes apturēšanu attiecas šādi nos</w:t>
      </w:r>
      <w:r>
        <w:rPr>
          <w:noProof/>
        </w:rPr>
        <w:t>acījumi:</w:t>
      </w:r>
    </w:p>
    <w:p w:rsidR="003E022D" w:rsidRDefault="007D19D6">
      <w:pPr>
        <w:rPr>
          <w:rFonts w:eastAsia="Calibri" w:cs="Calibri"/>
          <w:noProof/>
        </w:rPr>
      </w:pPr>
      <w:r>
        <w:rPr>
          <w:noProof/>
        </w:rPr>
        <w:t>a) saskaņā ar šo pantu nevar apturēt saistības, kas izriet no otrās daļas ceturtā temata [Sociālā nodrošinājuma koordinēšana un vīzas īstermiņa ceļojumiem], Protokola par sociālā nodrošinājuma koordinēšanu vai tā pielikumiem vai piektās daļas [Sav</w:t>
      </w:r>
      <w:r>
        <w:rPr>
          <w:noProof/>
        </w:rPr>
        <w:t>ienības programmas];</w:t>
      </w:r>
    </w:p>
    <w:p w:rsidR="003E022D" w:rsidRDefault="007D19D6">
      <w:pPr>
        <w:rPr>
          <w:rFonts w:eastAsia="Calibri" w:cs="Calibri"/>
          <w:noProof/>
        </w:rPr>
      </w:pPr>
      <w:r>
        <w:rPr>
          <w:noProof/>
        </w:rPr>
        <w:t>b) atkāpjoties no a) punkta, pienākumus saskaņā ar piekto daļu [Savienības programmas] var apturēt tikai tad, ja INST.20. panta [Šķīrējtiesas nolēmums] 1. punktā minētais nolēmums attiecas uz piektās daļas [Savienības programmas] inter</w:t>
      </w:r>
      <w:r>
        <w:rPr>
          <w:noProof/>
        </w:rPr>
        <w:t>pretāciju un īstenošanu;</w:t>
      </w:r>
    </w:p>
    <w:p w:rsidR="003E022D" w:rsidRDefault="007D19D6">
      <w:pPr>
        <w:rPr>
          <w:rFonts w:eastAsia="Calibri" w:cs="Calibri"/>
          <w:noProof/>
        </w:rPr>
      </w:pPr>
      <w:r>
        <w:rPr>
          <w:noProof/>
        </w:rPr>
        <w:t>c) saistības ārpus piektās daļas [Savienības programmas] nevar apturēt, ja INST.20. panta [Šķīrējtiesas nolēmums] 1. punktā minētais nolēmums attiecas uz piektās daļas [Savienības programmu] interpretāciju un īstenošanu; un</w:t>
      </w:r>
    </w:p>
    <w:p w:rsidR="003E022D" w:rsidRDefault="007D19D6">
      <w:pPr>
        <w:rPr>
          <w:rFonts w:eastAsia="Calibri" w:cs="Calibri"/>
          <w:noProof/>
        </w:rPr>
      </w:pPr>
      <w:r>
        <w:rPr>
          <w:noProof/>
        </w:rPr>
        <w:t>d) otrā</w:t>
      </w:r>
      <w:r>
        <w:rPr>
          <w:noProof/>
        </w:rPr>
        <w:t xml:space="preserve">s daļas pirmā temata II sadaļas [Pakalpojumi un investīcijas] saistības attiecībā uz finanšu pakalpojumiem nevar apturēt saskaņā ar šo pantu, ja vien INST.20. panta [Šķīrējtiesas nolēmums] 1. punktā minētais nolēmums neattiecas uz otrās daļas pirmā temata </w:t>
      </w:r>
      <w:r>
        <w:rPr>
          <w:noProof/>
        </w:rPr>
        <w:t>II sadaļas [Pakalpojumi un investīcijas] saistību interpretāciju un piemērošanu attiecībā uz finanšu pakalpojumiem.</w:t>
      </w:r>
    </w:p>
    <w:p w:rsidR="003E022D" w:rsidRDefault="007D19D6">
      <w:pPr>
        <w:spacing w:line="259" w:lineRule="auto"/>
        <w:rPr>
          <w:rFonts w:eastAsia="Calibri" w:cs="Calibri"/>
          <w:noProof/>
        </w:rPr>
      </w:pPr>
      <w:bookmarkStart w:id="926" w:name="_kl48gv1wfb1s"/>
      <w:bookmarkEnd w:id="926"/>
      <w:r>
        <w:rPr>
          <w:noProof/>
        </w:rPr>
        <w:t xml:space="preserve">4. </w:t>
      </w:r>
      <w:r>
        <w:rPr>
          <w:noProof/>
        </w:rPr>
        <w:tab/>
        <w:t>Ja Puse turpina neievērot nolēmumu, ko pieņēmusi šķīrējtiesa, kas izveidota saskaņā ar iepriekš starp Pusēm noslēgtu nolīgumu, otra Puse</w:t>
      </w:r>
      <w:r>
        <w:rPr>
          <w:noProof/>
        </w:rPr>
        <w:t xml:space="preserve"> var apturēt to saistību izpildi, uz kurām attiecas INST.10. pantā [Darbības joma] minētie noteikumi. Izņemot 3. punkta a) apakšpunkta noteikumu, visus noteikumus par pagaidu tiesiskās aizsardzības līdzekļiem neievērošanas gadījumā un par šādu pasākumu pār</w:t>
      </w:r>
      <w:r>
        <w:rPr>
          <w:noProof/>
        </w:rPr>
        <w:t>skatīšanu reglamentē iepriekšējais nolīgums.</w:t>
      </w:r>
    </w:p>
    <w:p w:rsidR="003E022D" w:rsidRDefault="007D19D6">
      <w:pPr>
        <w:widowControl w:val="0"/>
        <w:spacing w:after="0"/>
        <w:rPr>
          <w:rFonts w:eastAsia="Calibri" w:cs="Calibri"/>
          <w:noProof/>
        </w:rPr>
      </w:pPr>
      <w:bookmarkStart w:id="927" w:name="_erokd8baxtr2"/>
      <w:bookmarkStart w:id="928" w:name="_3hprqqj8mrjb"/>
      <w:bookmarkStart w:id="929" w:name="_po88pcjsloi0"/>
      <w:bookmarkEnd w:id="927"/>
      <w:bookmarkEnd w:id="928"/>
      <w:bookmarkEnd w:id="929"/>
      <w:r>
        <w:rPr>
          <w:noProof/>
        </w:rPr>
        <w:t>5.</w:t>
      </w:r>
      <w:r>
        <w:rPr>
          <w:noProof/>
        </w:rPr>
        <w:tab/>
        <w:t xml:space="preserve">Saistību izpildes apturēšana nepārsniedz tādu apmēru, kas līdzvērtīgs pārkāpuma izraisītajam zudumam vai samazinājumam. </w:t>
      </w:r>
    </w:p>
    <w:p w:rsidR="003E022D" w:rsidRDefault="007D19D6">
      <w:pPr>
        <w:spacing w:before="100" w:beforeAutospacing="1" w:after="100" w:afterAutospacing="1"/>
        <w:rPr>
          <w:rFonts w:eastAsia="Calibri" w:cs="Calibri"/>
          <w:noProof/>
        </w:rPr>
      </w:pPr>
      <w:r>
        <w:rPr>
          <w:noProof/>
        </w:rPr>
        <w:t>6.</w:t>
      </w:r>
      <w:r>
        <w:rPr>
          <w:noProof/>
        </w:rPr>
        <w:tab/>
        <w:t>Ja šķīrējtiesa ir konstatējusi otrās daļas pirmā temata [Tirdzniecības] vai trešā te</w:t>
      </w:r>
      <w:r>
        <w:rPr>
          <w:noProof/>
        </w:rPr>
        <w:t xml:space="preserve">mata [Autotransports] pārkāpumu, apturēšanu var piemērot citā sadaļā tajā pašā tematā, kurā šķīrējtiesa ir konstatējusi pārkāpumu, jo īpaši, ja prasītāja puse uzskata, ka šāda apturēšana efektīvi veicina atbilstību. </w:t>
      </w:r>
    </w:p>
    <w:p w:rsidR="003E022D" w:rsidRDefault="007D19D6">
      <w:pPr>
        <w:spacing w:before="100" w:beforeAutospacing="1" w:after="100" w:afterAutospacing="1"/>
        <w:rPr>
          <w:rFonts w:eastAsia="Calibri" w:cs="Calibri"/>
          <w:noProof/>
        </w:rPr>
      </w:pPr>
      <w:r>
        <w:rPr>
          <w:noProof/>
        </w:rPr>
        <w:t>7.</w:t>
      </w:r>
      <w:r>
        <w:rPr>
          <w:noProof/>
        </w:rPr>
        <w:tab/>
        <w:t xml:space="preserve">Ja šķīrējtiesa ir konstatējusi otrā </w:t>
      </w:r>
      <w:r>
        <w:rPr>
          <w:noProof/>
        </w:rPr>
        <w:t>temata [Aviācija] pārkāpumu:</w:t>
      </w:r>
    </w:p>
    <w:p w:rsidR="003E022D" w:rsidRDefault="007D19D6">
      <w:pPr>
        <w:spacing w:before="100" w:beforeAutospacing="1" w:after="100" w:afterAutospacing="1"/>
        <w:rPr>
          <w:rFonts w:eastAsia="Calibri" w:cs="Calibri"/>
          <w:noProof/>
        </w:rPr>
      </w:pPr>
      <w:r>
        <w:rPr>
          <w:noProof/>
        </w:rPr>
        <w:t>a) prasītājai pusei vispirms būtu jācenšas apturēt tās pašas sadaļas saistības, kurā šķīrējtiesa ir konstatējusi pārkāpumu;</w:t>
      </w:r>
    </w:p>
    <w:p w:rsidR="003E022D" w:rsidRDefault="007D19D6">
      <w:pPr>
        <w:spacing w:before="100" w:beforeAutospacing="1" w:after="100" w:afterAutospacing="1"/>
        <w:rPr>
          <w:rFonts w:eastAsia="Calibri" w:cs="Calibri"/>
          <w:noProof/>
        </w:rPr>
      </w:pPr>
      <w:r>
        <w:rPr>
          <w:noProof/>
        </w:rPr>
        <w:t>b) ja prasītāja puse uzskata, ka nav iespējams vai nav efektīvi apturēt tās pašas sadaļas saistības, ku</w:t>
      </w:r>
      <w:r>
        <w:rPr>
          <w:noProof/>
        </w:rPr>
        <w:t>rā šķīrējtiesa ir konstatējusi pārkāpumu, tā var apturēt saistības, kas noteiktas tā paša temata citā sadaļā.</w:t>
      </w:r>
    </w:p>
    <w:p w:rsidR="003E022D" w:rsidRDefault="007D19D6">
      <w:pPr>
        <w:spacing w:before="100" w:beforeAutospacing="1" w:after="100" w:afterAutospacing="1"/>
        <w:rPr>
          <w:rFonts w:eastAsia="Calibri" w:cs="Calibri"/>
          <w:noProof/>
        </w:rPr>
      </w:pPr>
      <w:r>
        <w:rPr>
          <w:noProof/>
        </w:rPr>
        <w:t>8.</w:t>
      </w:r>
      <w:r>
        <w:rPr>
          <w:noProof/>
        </w:rPr>
        <w:tab/>
        <w:t>Ja šķīrējtiesa ir konstatējusi otrās daļas pirmā temata [Tirdzniecība], otrā temata [Aviācija], trešā temata [Autotransports] vai piektā temata</w:t>
      </w:r>
      <w:r>
        <w:rPr>
          <w:noProof/>
        </w:rPr>
        <w:t xml:space="preserve"> [Zvejniecība] pārkāpumu un ja prasītāja puse uzskata, ka nav iespējams vai nav efektīvi apturēt tā paša temata saistību izpildi, kurā šķīrējtiesa ir konstatējusi pārkāpumu, un ka apstākļi ir pietiekami nopietni, tā var apturēt saistību izpildi saskaņā ar </w:t>
      </w:r>
      <w:r>
        <w:rPr>
          <w:noProof/>
        </w:rPr>
        <w:t xml:space="preserve">citiem aptvertajiem noteikumiem. </w:t>
      </w:r>
    </w:p>
    <w:p w:rsidR="003E022D" w:rsidRDefault="007D19D6">
      <w:pPr>
        <w:spacing w:before="100" w:beforeAutospacing="1" w:after="100" w:afterAutospacing="1"/>
        <w:rPr>
          <w:rFonts w:eastAsia="Calibri" w:cs="Calibri"/>
          <w:noProof/>
        </w:rPr>
      </w:pPr>
      <w:r>
        <w:rPr>
          <w:noProof/>
        </w:rPr>
        <w:t>9.</w:t>
      </w:r>
      <w:r>
        <w:rPr>
          <w:noProof/>
        </w:rPr>
        <w:tab/>
        <w:t>Attiecībā uz 7. punkta b) apakšpunktu un 8. punktu prasītāja Puse norāda sava lēmuma iemeslus.</w:t>
      </w:r>
    </w:p>
    <w:p w:rsidR="003E022D" w:rsidRDefault="007D19D6">
      <w:pPr>
        <w:spacing w:line="259" w:lineRule="auto"/>
        <w:rPr>
          <w:rFonts w:eastAsia="Calibri" w:cs="Calibri"/>
          <w:b/>
          <w:strike/>
          <w:noProof/>
          <w:color w:val="4A86E8"/>
        </w:rPr>
      </w:pPr>
      <w:r>
        <w:rPr>
          <w:noProof/>
        </w:rPr>
        <w:t>10.</w:t>
      </w:r>
      <w:r>
        <w:rPr>
          <w:noProof/>
        </w:rPr>
        <w:tab/>
        <w:t xml:space="preserve">Prasītāja Puse var apturēt saistību izpildi 10 dienas pēc 2. punktā minētā paziņojuma sniegšanas dienas, ja vien </w:t>
      </w:r>
      <w:r>
        <w:rPr>
          <w:noProof/>
        </w:rPr>
        <w:t>atbildētāja Puse nav iesniegusi pieprasījumu saskaņā ar 11. punktu.</w:t>
      </w:r>
    </w:p>
    <w:p w:rsidR="003E022D" w:rsidRDefault="007D19D6">
      <w:pPr>
        <w:spacing w:line="259" w:lineRule="auto"/>
        <w:rPr>
          <w:rFonts w:eastAsia="Calibri" w:cs="Calibri"/>
          <w:noProof/>
        </w:rPr>
      </w:pPr>
      <w:r>
        <w:rPr>
          <w:noProof/>
        </w:rPr>
        <w:t>11.</w:t>
      </w:r>
      <w:r>
        <w:rPr>
          <w:noProof/>
        </w:rPr>
        <w:tab/>
        <w:t xml:space="preserve">Ja atbildētāja Puse uzskata, ka paziņotais saistību izpildes apturēšanas apmērs pārsniedz apmēru, kas līdzvērtīgs pārkāpuma izraisītajam zudumam vai samazinājumam, vai ka nav ievēroti </w:t>
      </w:r>
      <w:r>
        <w:rPr>
          <w:noProof/>
        </w:rPr>
        <w:t>principi un procedūras, kas izklāstītas 7. punkta b) apakšpunktā, 8. punktā vai 9. punktā, tā var iesniegt rakstisku pieprasījumu sākotnējai šķīrējtiesai pirms 10. punktā noteiktā 10 dienu laikposma beigām, lai lemtu par šo jautājumu. Šķīrējtiesa paziņo Pu</w:t>
      </w:r>
      <w:r>
        <w:rPr>
          <w:noProof/>
        </w:rPr>
        <w:t>sēm savu lēmumu par saistību izpildes apturēšanas līmeni 30 dienās no pieprasījuma dienas. Saistību izpildi neaptur, kamēr šķīrējtiesa nav paziņojusi lēmumu. Saistību izpildi aptur atbilstoši minētajam lēmumam.</w:t>
      </w:r>
    </w:p>
    <w:p w:rsidR="003E022D" w:rsidRDefault="007D19D6">
      <w:pPr>
        <w:rPr>
          <w:rFonts w:eastAsia="Calibri" w:cs="Calibri"/>
          <w:noProof/>
          <w:color w:val="1F497D"/>
        </w:rPr>
      </w:pPr>
      <w:r>
        <w:rPr>
          <w:noProof/>
        </w:rPr>
        <w:t xml:space="preserve">12. </w:t>
      </w:r>
      <w:r>
        <w:rPr>
          <w:noProof/>
        </w:rPr>
        <w:tab/>
        <w:t>Šķīrējtiesa, rīkojoties saskaņā ar 11. p</w:t>
      </w:r>
      <w:r>
        <w:rPr>
          <w:noProof/>
        </w:rPr>
        <w:t>unktu, nepārbauda apturamo saistību būtību, bet nosaka, vai šādas apturēšanas apjoms pārsniedz līmeni, kas līdzvērtīgs pārkāpuma izraisītajam zudumam vai samazinājumam. Tomēr, ja jautājums, kas nodots izskatīšanai šķīrējtiesā, ietver prasību par to, ka nav</w:t>
      </w:r>
      <w:r>
        <w:rPr>
          <w:noProof/>
        </w:rPr>
        <w:t xml:space="preserve"> ievēroti 7. punkta b) apakšpunktā, 8. punktā vai 9. punktā izklāstītie principi un procedūras, šķīrējtiesa izskata minēto prasību. Ja šķīrējtiesa konstatē, ka minētie principi un procedūras nav ievēroti, prasītāja puse tos piemēro saskaņā ar 7. punkta b) </w:t>
      </w:r>
      <w:r>
        <w:rPr>
          <w:noProof/>
        </w:rPr>
        <w:t>apakšpunktu, 8. punktu un 9. punktu. Puses pieņem šķīrējtiesas nolēmumu kā galīgu un nelūdz otru šķīrējtiesas procedūru. Šis punkts nekādā gadījumā neaizkavē dienu, no kuras prasītājai Pusei ir tiesības apturēt šajā pantā paredzēto saistību izpildi.</w:t>
      </w:r>
    </w:p>
    <w:p w:rsidR="003E022D" w:rsidRDefault="007D19D6">
      <w:pPr>
        <w:spacing w:line="259" w:lineRule="auto"/>
        <w:rPr>
          <w:rFonts w:eastAsia="Calibri" w:cs="Calibri"/>
          <w:noProof/>
        </w:rPr>
      </w:pPr>
      <w:r>
        <w:rPr>
          <w:noProof/>
        </w:rPr>
        <w:t>13.</w:t>
      </w:r>
      <w:r>
        <w:rPr>
          <w:noProof/>
        </w:rPr>
        <w:tab/>
        <w:t>Ša</w:t>
      </w:r>
      <w:r>
        <w:rPr>
          <w:noProof/>
        </w:rPr>
        <w:t>jā pantā minētajai saistību izpildes apturēšanai vai kompensācijai ir pagaidu raksturs, un to nepiemēro pēc tam, kad:</w:t>
      </w:r>
    </w:p>
    <w:p w:rsidR="003E022D" w:rsidRDefault="007D19D6">
      <w:pPr>
        <w:spacing w:line="259" w:lineRule="auto"/>
        <w:rPr>
          <w:rFonts w:eastAsia="Calibri" w:cs="Calibri"/>
          <w:noProof/>
        </w:rPr>
      </w:pPr>
      <w:r>
        <w:rPr>
          <w:noProof/>
        </w:rPr>
        <w:t xml:space="preserve">a) </w:t>
      </w:r>
      <w:r>
        <w:rPr>
          <w:noProof/>
        </w:rPr>
        <w:tab/>
        <w:t xml:space="preserve">Puses ir panākušas savstarpēji saskaņotu risinājumu saskaņā ar INST.31. pantu [Savstarpēji saskaņots risinājums]; </w:t>
      </w:r>
    </w:p>
    <w:p w:rsidR="003E022D" w:rsidRDefault="007D19D6">
      <w:pPr>
        <w:spacing w:line="259" w:lineRule="auto"/>
        <w:rPr>
          <w:rFonts w:eastAsia="Calibri" w:cs="Calibri"/>
          <w:noProof/>
        </w:rPr>
      </w:pPr>
      <w:r>
        <w:rPr>
          <w:noProof/>
        </w:rPr>
        <w:t xml:space="preserve">b) </w:t>
      </w:r>
      <w:r>
        <w:rPr>
          <w:noProof/>
        </w:rPr>
        <w:tab/>
        <w:t>Puses ir vienoj</w:t>
      </w:r>
      <w:r>
        <w:rPr>
          <w:noProof/>
        </w:rPr>
        <w:t>ušās, ka pasākumi, kas veikti, lai panāktu atbilstību, nodrošina atbildētājas Puses atbilstību aptvertajiem noteikumiem vai</w:t>
      </w:r>
    </w:p>
    <w:p w:rsidR="003E022D" w:rsidRDefault="007D19D6">
      <w:pPr>
        <w:spacing w:line="259" w:lineRule="auto"/>
        <w:rPr>
          <w:rFonts w:eastAsia="Calibri" w:cs="Calibri"/>
          <w:strike/>
          <w:noProof/>
        </w:rPr>
      </w:pPr>
      <w:r>
        <w:rPr>
          <w:noProof/>
        </w:rPr>
        <w:t>c)</w:t>
      </w:r>
      <w:r>
        <w:rPr>
          <w:noProof/>
        </w:rPr>
        <w:tab/>
        <w:t>jebkurš veiktais atbilstības nodrošināšanas pasākums, ko šķīrējtiesa uzskata par nesaderīgu ar aptvertajiem noteikumiem, ir atsau</w:t>
      </w:r>
      <w:r>
        <w:rPr>
          <w:noProof/>
        </w:rPr>
        <w:t>kts vai grozīts tā, lai nodrošinātu atbildētājas Puses atbilstību minētajiem aptvertajiem noteikumiem.</w:t>
      </w:r>
    </w:p>
    <w:p w:rsidR="003E022D" w:rsidRDefault="003E022D">
      <w:pPr>
        <w:spacing w:line="259" w:lineRule="auto"/>
        <w:rPr>
          <w:rFonts w:eastAsia="Calibri" w:cstheme="minorHAnsi"/>
          <w:noProof/>
        </w:rPr>
      </w:pPr>
    </w:p>
    <w:p w:rsidR="003E022D" w:rsidRDefault="007D19D6">
      <w:pPr>
        <w:pStyle w:val="Article"/>
        <w:rPr>
          <w:noProof/>
        </w:rPr>
      </w:pPr>
      <w:r>
        <w:rPr>
          <w:noProof/>
        </w:rPr>
        <w:t>INST.25. pants. Jebkura pasākuma, kas veikts, lai nodrošinātu atbilstību pēc pagaidu tiesiskās aizsardzības līdzekļu pasludināšanas, pārbaude</w:t>
      </w:r>
    </w:p>
    <w:p w:rsidR="003E022D" w:rsidRDefault="007D19D6">
      <w:pPr>
        <w:spacing w:line="259" w:lineRule="auto"/>
        <w:rPr>
          <w:rFonts w:eastAsia="Calibri" w:cstheme="minorHAnsi"/>
          <w:noProof/>
        </w:rPr>
      </w:pPr>
      <w:r>
        <w:rPr>
          <w:noProof/>
        </w:rPr>
        <w:t>1.</w:t>
      </w:r>
      <w:r>
        <w:rPr>
          <w:noProof/>
        </w:rPr>
        <w:tab/>
      </w:r>
      <w:r>
        <w:rPr>
          <w:noProof/>
        </w:rPr>
        <w:t xml:space="preserve">Atbildētāja Puse sniedz paziņojumu prasītājai Pusei par jebkuru pasākumu, ko tā veikusi, lai nodrošinātu atbilstību attiecīgi pēc saistību izpildes apturēšanas vai pēc pagaidu kompensācijas piemērošanas. Izņemot </w:t>
      </w:r>
      <w:r>
        <w:rPr>
          <w:noProof/>
          <w:u w:color="000000"/>
        </w:rPr>
        <w:t>2. punktā</w:t>
      </w:r>
      <w:r>
        <w:rPr>
          <w:noProof/>
        </w:rPr>
        <w:t xml:space="preserve"> minētos gadījumus, prasītāja Puse </w:t>
      </w:r>
      <w:r>
        <w:rPr>
          <w:noProof/>
        </w:rPr>
        <w:t xml:space="preserve">izbeidz saistību izpildes apturēšanu 30 dienās pēc paziņojuma saņemšanas. Gadījumos, kad ir piemērota kompensācija, izņemot </w:t>
      </w:r>
      <w:r>
        <w:rPr>
          <w:noProof/>
          <w:u w:color="000000"/>
        </w:rPr>
        <w:t>2. punktā</w:t>
      </w:r>
      <w:r>
        <w:rPr>
          <w:noProof/>
        </w:rPr>
        <w:t xml:space="preserve"> minētos gadījumus, atbildētāja Puse var izbeigt šādas kompensācijas piemērošanu 30 dienās no tās paziņojuma iesniegšanas p</w:t>
      </w:r>
      <w:r>
        <w:rPr>
          <w:noProof/>
        </w:rPr>
        <w:t xml:space="preserve">ar to, ka tā ir nodrošinājusi atbilstību. </w:t>
      </w:r>
    </w:p>
    <w:p w:rsidR="003E022D" w:rsidRDefault="007D19D6">
      <w:pPr>
        <w:spacing w:after="160" w:line="259" w:lineRule="auto"/>
        <w:rPr>
          <w:noProof/>
        </w:rPr>
      </w:pPr>
      <w:r>
        <w:rPr>
          <w:noProof/>
        </w:rPr>
        <w:t>2.</w:t>
      </w:r>
      <w:r>
        <w:rPr>
          <w:noProof/>
        </w:rPr>
        <w:tab/>
        <w:t>Ja Puses 30 dienās no paziņojuma saņemšanas nevienojas par to, vai paziņotais pasākums nodrošina atbildētājas Puses atbilstību attiecīgajiem noteikumiem, tad prasītāja Puse rakstiski pieprasa šķīrējtiesai sākot</w:t>
      </w:r>
      <w:r>
        <w:rPr>
          <w:noProof/>
        </w:rPr>
        <w:t>nējā sastāvā izlemt šo jautājumu. Šķīrējtiesa paziņo savu lēmumu Pusēm 46 dienās no pieprasījuma iesniegšanas dienas. Ja šķīrējtiesa lemj, ka atbilstības nodrošināšanai veiktais pasākums atbilst aptvertajiem noteikumiem, attiecīgi saistību izpildes apturēš</w:t>
      </w:r>
      <w:r>
        <w:rPr>
          <w:noProof/>
        </w:rPr>
        <w:t>ana vai kompensācija tiek izbeigta. Ja nepieciešams, saistību izpildes apturēšanas vai kompensācijas līmeni pielāgo, ņemot vērā šķīrējtiesas nolēmumu.</w:t>
      </w:r>
    </w:p>
    <w:p w:rsidR="003E022D" w:rsidRDefault="007D19D6">
      <w:pPr>
        <w:pStyle w:val="Chapter"/>
        <w:rPr>
          <w:noProof/>
        </w:rPr>
      </w:pPr>
      <w:r>
        <w:rPr>
          <w:noProof/>
        </w:rPr>
        <w:t>4. nodaļa. Kopīgi procesuālie noteikumi</w:t>
      </w:r>
    </w:p>
    <w:p w:rsidR="003E022D" w:rsidRDefault="007D19D6">
      <w:pPr>
        <w:pStyle w:val="Article"/>
        <w:rPr>
          <w:noProof/>
        </w:rPr>
      </w:pPr>
      <w:r>
        <w:rPr>
          <w:noProof/>
        </w:rPr>
        <w:t>INST.26. pants. Informācijas saņemšana</w:t>
      </w:r>
    </w:p>
    <w:p w:rsidR="003E022D" w:rsidRDefault="007D19D6">
      <w:pPr>
        <w:tabs>
          <w:tab w:val="left" w:pos="542"/>
        </w:tabs>
        <w:spacing w:after="160" w:line="276" w:lineRule="auto"/>
        <w:rPr>
          <w:rFonts w:cstheme="minorHAnsi"/>
          <w:noProof/>
        </w:rPr>
      </w:pPr>
      <w:r>
        <w:rPr>
          <w:noProof/>
        </w:rPr>
        <w:t>1.</w:t>
      </w:r>
      <w:r>
        <w:rPr>
          <w:noProof/>
        </w:rPr>
        <w:tab/>
        <w:t>Pēc vienas Puses piepra</w:t>
      </w:r>
      <w:r>
        <w:rPr>
          <w:noProof/>
        </w:rPr>
        <w:t>sījuma vai pēc savas iniciatīvas šķīrējtiesa var prasīt Pusēm sniegt būtisku informāciju, ko tā uzskata par nepieciešamu un atbilstošu. Puses nekavējoties un pilnībā atbild uz jebkuru šķīrējtiesas pieprasījumu pēc šādas informācijas.</w:t>
      </w:r>
    </w:p>
    <w:p w:rsidR="003E022D" w:rsidRDefault="007D19D6">
      <w:pPr>
        <w:tabs>
          <w:tab w:val="left" w:pos="542"/>
        </w:tabs>
        <w:spacing w:after="160" w:line="276" w:lineRule="auto"/>
        <w:rPr>
          <w:rFonts w:cstheme="minorHAnsi"/>
          <w:noProof/>
        </w:rPr>
      </w:pPr>
      <w:r>
        <w:rPr>
          <w:noProof/>
        </w:rPr>
        <w:t>2.</w:t>
      </w:r>
      <w:r>
        <w:rPr>
          <w:noProof/>
        </w:rPr>
        <w:tab/>
        <w:t>Pēc vienas Puses pi</w:t>
      </w:r>
      <w:r>
        <w:rPr>
          <w:noProof/>
        </w:rPr>
        <w:t>eprasījuma vai pēc savas iniciatīvas šķīrējtiesa var no jebkura informācijas avota iegūt būtisku informāciju, ko tā uzskata par atbilstošu. Šķīrējtiesa var arī lūgt ekspertu viedokli pēc saviem ieskatiem un, attiecīgā gadījumā, ievērojot Pušu saskaņotos no</w:t>
      </w:r>
      <w:r>
        <w:rPr>
          <w:noProof/>
        </w:rPr>
        <w:t>teikumus un nosacījumus.</w:t>
      </w:r>
    </w:p>
    <w:p w:rsidR="003E022D" w:rsidRDefault="007D19D6">
      <w:pPr>
        <w:tabs>
          <w:tab w:val="left" w:pos="542"/>
        </w:tabs>
        <w:spacing w:after="160" w:line="278" w:lineRule="auto"/>
        <w:rPr>
          <w:rFonts w:cstheme="minorHAnsi"/>
          <w:noProof/>
        </w:rPr>
      </w:pPr>
      <w:r>
        <w:rPr>
          <w:noProof/>
        </w:rPr>
        <w:t>3.</w:t>
      </w:r>
      <w:r>
        <w:rPr>
          <w:noProof/>
        </w:rPr>
        <w:tab/>
        <w:t>Šķīrējtiesa izskata amicus curiae iesniegumus no Puses fiziskām personām vai juridiskām personām, kas veic uzņēmējdarbību Pusē, saskaņā ar INST-X. pielikumu [Reglaments].</w:t>
      </w:r>
    </w:p>
    <w:p w:rsidR="003E022D" w:rsidRDefault="007D19D6">
      <w:pPr>
        <w:tabs>
          <w:tab w:val="left" w:pos="542"/>
        </w:tabs>
        <w:spacing w:after="160" w:line="278" w:lineRule="auto"/>
        <w:rPr>
          <w:rFonts w:cstheme="minorHAnsi"/>
          <w:noProof/>
        </w:rPr>
      </w:pPr>
      <w:r>
        <w:rPr>
          <w:noProof/>
        </w:rPr>
        <w:t>4.</w:t>
      </w:r>
      <w:r>
        <w:rPr>
          <w:noProof/>
        </w:rPr>
        <w:tab/>
        <w:t>Jebkādu informāciju, ko šķīrējtiesa ieguvusi saskaņā a</w:t>
      </w:r>
      <w:r>
        <w:rPr>
          <w:noProof/>
        </w:rPr>
        <w:t>r šo pantu, dara pieejamu Pusēm, un Puses par šo informāciju var iesniegt piezīmes šķīrējtiesai.</w:t>
      </w:r>
    </w:p>
    <w:p w:rsidR="003E022D" w:rsidRDefault="007D19D6">
      <w:pPr>
        <w:pStyle w:val="Article"/>
        <w:rPr>
          <w:noProof/>
        </w:rPr>
      </w:pPr>
      <w:r>
        <w:rPr>
          <w:noProof/>
        </w:rPr>
        <w:t>INST.27. pants. Šķīrējtiesnešu saraksti</w:t>
      </w:r>
    </w:p>
    <w:p w:rsidR="003E022D" w:rsidRDefault="007D19D6">
      <w:pPr>
        <w:spacing w:line="259" w:lineRule="auto"/>
        <w:rPr>
          <w:rFonts w:eastAsia="Calibri" w:cstheme="minorHAnsi"/>
          <w:noProof/>
        </w:rPr>
      </w:pPr>
      <w:r>
        <w:rPr>
          <w:noProof/>
        </w:rPr>
        <w:t>1.</w:t>
      </w:r>
      <w:r>
        <w:rPr>
          <w:noProof/>
        </w:rPr>
        <w:tab/>
        <w:t xml:space="preserve">Partnerības padome ne vēlāk kā 180 dienas pēc šā nolīguma stāšanās spēkā nāk klajā ar to personu sarakstu, kurām ir </w:t>
      </w:r>
      <w:r>
        <w:rPr>
          <w:noProof/>
        </w:rPr>
        <w:t>speciālas zināšanas konkrētās nozarēs, uz kurām attiecas šis nolīgums vai to papildinošie nolīgumi, un kuras vēlas un spēj darboties šķīrējtiesā. Sarakstā ir norādītas vismaz 15 personas, un tam ir trīs apakšsaraksti:</w:t>
      </w:r>
    </w:p>
    <w:p w:rsidR="003E022D" w:rsidRDefault="007D19D6">
      <w:pPr>
        <w:numPr>
          <w:ilvl w:val="0"/>
          <w:numId w:val="500"/>
        </w:numPr>
        <w:ind w:left="567" w:hanging="567"/>
        <w:rPr>
          <w:rFonts w:cstheme="minorHAnsi"/>
          <w:noProof/>
        </w:rPr>
      </w:pPr>
      <w:r>
        <w:rPr>
          <w:noProof/>
        </w:rPr>
        <w:t>viens personu apakšsaraksts, kas sagat</w:t>
      </w:r>
      <w:r>
        <w:rPr>
          <w:noProof/>
        </w:rPr>
        <w:t xml:space="preserve">avots, pamatojoties uz Savienības priekšlikumiem; </w:t>
      </w:r>
    </w:p>
    <w:p w:rsidR="003E022D" w:rsidRDefault="007D19D6">
      <w:pPr>
        <w:numPr>
          <w:ilvl w:val="0"/>
          <w:numId w:val="500"/>
        </w:numPr>
        <w:ind w:left="567" w:hanging="567"/>
        <w:rPr>
          <w:rFonts w:cstheme="minorHAnsi"/>
          <w:noProof/>
        </w:rPr>
      </w:pPr>
      <w:r>
        <w:rPr>
          <w:noProof/>
        </w:rPr>
        <w:t xml:space="preserve">viens personu apakšsaraksts, kas sagatavots, pamatojoties uz Apvienotās Karalistes priekšlikumiem un </w:t>
      </w:r>
    </w:p>
    <w:p w:rsidR="003E022D" w:rsidRDefault="007D19D6">
      <w:pPr>
        <w:numPr>
          <w:ilvl w:val="0"/>
          <w:numId w:val="500"/>
        </w:numPr>
        <w:ind w:left="567" w:hanging="567"/>
        <w:rPr>
          <w:rFonts w:eastAsia="Calibri" w:cstheme="minorHAnsi"/>
          <w:noProof/>
        </w:rPr>
      </w:pPr>
      <w:r>
        <w:rPr>
          <w:noProof/>
        </w:rPr>
        <w:t>viens personu apakšsaraksts, kuras nav nevienas Puses valstspiederīgie un kandidē uz šķīrējtiesas priek</w:t>
      </w:r>
      <w:r>
        <w:rPr>
          <w:noProof/>
        </w:rPr>
        <w:t>šsēdētāja amatu.</w:t>
      </w:r>
    </w:p>
    <w:p w:rsidR="003E022D" w:rsidRDefault="007D19D6">
      <w:pPr>
        <w:spacing w:line="259" w:lineRule="auto"/>
        <w:rPr>
          <w:rFonts w:eastAsia="Calibri" w:cstheme="minorHAnsi"/>
          <w:noProof/>
        </w:rPr>
      </w:pPr>
      <w:r>
        <w:rPr>
          <w:noProof/>
        </w:rPr>
        <w:t>Katrā apakšsarakstā ir norādītas vismaz piecas personas. Partnerības padome nodrošina, lai sarakstā vienmēr būtu ietverts vismaz minimālais personu skaits.</w:t>
      </w:r>
    </w:p>
    <w:p w:rsidR="003E022D" w:rsidRDefault="007D19D6">
      <w:pPr>
        <w:spacing w:line="259" w:lineRule="auto"/>
        <w:rPr>
          <w:rFonts w:eastAsia="Calibri" w:cstheme="minorHAnsi"/>
          <w:noProof/>
        </w:rPr>
      </w:pPr>
      <w:r>
        <w:rPr>
          <w:noProof/>
        </w:rPr>
        <w:t>2.</w:t>
      </w:r>
      <w:r>
        <w:rPr>
          <w:noProof/>
        </w:rPr>
        <w:tab/>
        <w:t>Partnerības padome var sagatavot papildu sarakstus ar personām, kurām ir speciāl</w:t>
      </w:r>
      <w:r>
        <w:rPr>
          <w:noProof/>
        </w:rPr>
        <w:t xml:space="preserve">as zināšanas konkrētās nozarēs, uz kurām attiecas šis nolīgums vai jebkurš papildinošais nolīgums. Pēc Pušu vienošanās šādus papildu sarakstus var izmantot, lai izveidotu šķīrējtiesas sastāvu saskaņā ar procedūru, kas noteikta INST.15. panta [Šķīrējtiesas </w:t>
      </w:r>
      <w:r>
        <w:rPr>
          <w:noProof/>
        </w:rPr>
        <w:t>izveide] 3. un 5. punktā. Papildu sarakstus veido divi apakšsaraksti:</w:t>
      </w:r>
    </w:p>
    <w:p w:rsidR="003E022D" w:rsidRDefault="007D19D6">
      <w:pPr>
        <w:numPr>
          <w:ilvl w:val="0"/>
          <w:numId w:val="501"/>
        </w:numPr>
        <w:ind w:left="567" w:hanging="567"/>
        <w:rPr>
          <w:rFonts w:cstheme="minorHAnsi"/>
          <w:noProof/>
        </w:rPr>
      </w:pPr>
      <w:r>
        <w:rPr>
          <w:noProof/>
        </w:rPr>
        <w:t>viens personu apakšsaraksts, kas sagatavots, pamatojoties uz Savienības priekšlikumiem; un</w:t>
      </w:r>
    </w:p>
    <w:p w:rsidR="003E022D" w:rsidRDefault="007D19D6">
      <w:pPr>
        <w:numPr>
          <w:ilvl w:val="0"/>
          <w:numId w:val="501"/>
        </w:numPr>
        <w:ind w:left="567" w:hanging="567"/>
        <w:rPr>
          <w:rFonts w:eastAsia="Calibri" w:cstheme="minorHAnsi"/>
          <w:noProof/>
        </w:rPr>
      </w:pPr>
      <w:r>
        <w:rPr>
          <w:noProof/>
        </w:rPr>
        <w:t>viens personu apakšsaraksts, kas sagatavots, pamatojoties uz Apvienotās Karalistes priekšlikumi</w:t>
      </w:r>
      <w:r>
        <w:rPr>
          <w:noProof/>
        </w:rPr>
        <w:t>em.</w:t>
      </w:r>
    </w:p>
    <w:p w:rsidR="003E022D" w:rsidRDefault="007D19D6">
      <w:pPr>
        <w:spacing w:line="259" w:lineRule="auto"/>
        <w:rPr>
          <w:rFonts w:eastAsia="Calibri" w:cstheme="minorHAnsi"/>
          <w:noProof/>
        </w:rPr>
      </w:pPr>
      <w:r>
        <w:rPr>
          <w:noProof/>
        </w:rPr>
        <w:t>3.</w:t>
      </w:r>
      <w:r>
        <w:rPr>
          <w:noProof/>
        </w:rPr>
        <w:tab/>
        <w:t xml:space="preserve">Šā panta </w:t>
      </w:r>
      <w:r>
        <w:rPr>
          <w:noProof/>
          <w:u w:color="000000"/>
        </w:rPr>
        <w:t>1. un 2. punktā</w:t>
      </w:r>
      <w:r>
        <w:rPr>
          <w:noProof/>
        </w:rPr>
        <w:t xml:space="preserve"> minētajos sarakstos neiekļauj personas, kas ir Savienības iestāžu vai Apvienotās Karalistes valdības vai dalībvalsts valdības locekļi, ierēdņi vai citi darbinieki. </w:t>
      </w:r>
    </w:p>
    <w:p w:rsidR="003E022D" w:rsidRDefault="007D19D6">
      <w:pPr>
        <w:pStyle w:val="Article"/>
        <w:rPr>
          <w:noProof/>
        </w:rPr>
      </w:pPr>
      <w:r>
        <w:rPr>
          <w:noProof/>
        </w:rPr>
        <w:t>INST.28. pants. Šķīrējtiesnešu aizstāšana</w:t>
      </w:r>
    </w:p>
    <w:p w:rsidR="003E022D" w:rsidRDefault="007D19D6">
      <w:pPr>
        <w:spacing w:line="259" w:lineRule="auto"/>
        <w:rPr>
          <w:rFonts w:eastAsia="Calibri" w:cstheme="minorHAnsi"/>
          <w:noProof/>
        </w:rPr>
      </w:pPr>
      <w:r>
        <w:rPr>
          <w:noProof/>
        </w:rPr>
        <w:t xml:space="preserve">Ja strīdu izšķiršanas procedūrās saskaņā ar šo sadaļu kāds šķīrējtiesnesis nespēj piedalīties, atkāpjas no amata vai ir jāaizstāj, jo minētais šķīrējtiesnesis neatbilst rīcības kodeksa prasībām, tad piemēro procedūru, kas izklāstīta </w:t>
      </w:r>
      <w:r>
        <w:rPr>
          <w:noProof/>
          <w:u w:color="000000"/>
        </w:rPr>
        <w:t>INST.15. pantā [Šķīrējt</w:t>
      </w:r>
      <w:r>
        <w:rPr>
          <w:noProof/>
          <w:u w:color="000000"/>
        </w:rPr>
        <w:t>iesas izveide]</w:t>
      </w:r>
      <w:r>
        <w:rPr>
          <w:noProof/>
        </w:rPr>
        <w:t>. Nolēmuma vai lēmuma pieņemšanas laikposmu pagarina uz laiku, kas vajadzīgs jaunā šķīrējtiesneša iecelšanai.</w:t>
      </w:r>
    </w:p>
    <w:p w:rsidR="003E022D" w:rsidRDefault="007D19D6">
      <w:pPr>
        <w:pStyle w:val="Article"/>
        <w:rPr>
          <w:noProof/>
        </w:rPr>
      </w:pPr>
      <w:r>
        <w:rPr>
          <w:noProof/>
        </w:rPr>
        <w:t>INST.29. pants. Šķīrējtiesas lēmumi un nolēmumi</w:t>
      </w:r>
    </w:p>
    <w:p w:rsidR="003E022D" w:rsidRDefault="007D19D6">
      <w:pPr>
        <w:spacing w:line="259" w:lineRule="auto"/>
        <w:rPr>
          <w:rFonts w:eastAsia="Calibri" w:cstheme="minorHAnsi"/>
          <w:noProof/>
        </w:rPr>
      </w:pPr>
      <w:r>
        <w:rPr>
          <w:noProof/>
        </w:rPr>
        <w:t>1.</w:t>
      </w:r>
      <w:r>
        <w:rPr>
          <w:noProof/>
        </w:rPr>
        <w:tab/>
        <w:t xml:space="preserve">Šķīrējtiesas apspriedes ir konfidenciālas. Šķīrējtiesa dara visu iespējamo, lai </w:t>
      </w:r>
      <w:r>
        <w:rPr>
          <w:noProof/>
        </w:rPr>
        <w:t>izstrādātu nolēmumus un pieņemtu lēmumus vienprātīgi. Ja tas nav iespējams, šķīrējtiesa lemj ar balsu vairākumu. Atšķirīgie šķīrējtiesnešu viedokļi nekādā gadījumā netiek publiskoti.</w:t>
      </w:r>
    </w:p>
    <w:p w:rsidR="003E022D" w:rsidRDefault="007D19D6">
      <w:pPr>
        <w:spacing w:line="259" w:lineRule="auto"/>
        <w:rPr>
          <w:rFonts w:eastAsia="Calibri" w:cstheme="minorHAnsi"/>
          <w:noProof/>
        </w:rPr>
      </w:pPr>
      <w:r>
        <w:rPr>
          <w:noProof/>
        </w:rPr>
        <w:t>2.</w:t>
      </w:r>
      <w:r>
        <w:rPr>
          <w:noProof/>
        </w:rPr>
        <w:tab/>
        <w:t>Šķīrējtiesas lēmumi un nolēmumi ir saistoši Savienībai un Apvienotajai</w:t>
      </w:r>
      <w:r>
        <w:rPr>
          <w:noProof/>
        </w:rPr>
        <w:t xml:space="preserve"> Karalistei. Tie nerada nekādas tiesības vai pienākumus attiecībā uz fiziskām vai juridiskām personām. </w:t>
      </w:r>
    </w:p>
    <w:p w:rsidR="003E022D" w:rsidRDefault="007D19D6">
      <w:pPr>
        <w:spacing w:after="160" w:line="259" w:lineRule="auto"/>
        <w:rPr>
          <w:noProof/>
        </w:rPr>
      </w:pPr>
      <w:r>
        <w:rPr>
          <w:noProof/>
        </w:rPr>
        <w:t>3.</w:t>
      </w:r>
      <w:r>
        <w:rPr>
          <w:noProof/>
        </w:rPr>
        <w:tab/>
        <w:t>Šķīrējtiesas lēmumi un nolēmumi nevar paplašināt vai sašaurināt Pušu tiesības un pienākumus saskaņā ar šo nolīgumu vai saskaņā ar jebkuru papildinošo</w:t>
      </w:r>
      <w:r>
        <w:rPr>
          <w:noProof/>
        </w:rPr>
        <w:t xml:space="preserve"> nolīgumu.</w:t>
      </w:r>
    </w:p>
    <w:p w:rsidR="003E022D" w:rsidRDefault="007D19D6">
      <w:pPr>
        <w:spacing w:after="160" w:line="259" w:lineRule="auto"/>
        <w:rPr>
          <w:noProof/>
        </w:rPr>
      </w:pPr>
      <w:r>
        <w:rPr>
          <w:noProof/>
        </w:rPr>
        <w:t>4.</w:t>
      </w:r>
      <w:r>
        <w:rPr>
          <w:noProof/>
        </w:rPr>
        <w:tab/>
        <w:t>Lielākai noteiktībai – šķīrējtiesai nav jurisdikcijas noteikt tāda pasākuma likumību, par kuru tiek apgalvots, ka tas ir šā nolīguma vai jebkura papildinošā nolīguma pārkāpums saskaņā ar Puses iekšzemes tiesību aktiem. Neviens šķīrējtiesas ko</w:t>
      </w:r>
      <w:r>
        <w:rPr>
          <w:noProof/>
        </w:rPr>
        <w:t>nstatējums, lemjot par strīdu starp Pusēm, neuzliek saistības nevienas Puses iekšzemes tiesām attiecībā uz to, kāda nozīme piešķirama attiecīgās Puses iekšzemes tiesību aktiem.</w:t>
      </w:r>
    </w:p>
    <w:p w:rsidR="003E022D" w:rsidRDefault="007D19D6">
      <w:pPr>
        <w:spacing w:after="160" w:line="259" w:lineRule="auto"/>
        <w:rPr>
          <w:noProof/>
        </w:rPr>
      </w:pPr>
      <w:r>
        <w:rPr>
          <w:noProof/>
        </w:rPr>
        <w:t>4A.</w:t>
      </w:r>
      <w:r>
        <w:rPr>
          <w:noProof/>
        </w:rPr>
        <w:tab/>
        <w:t>Lielākai noteiktībai – katras Puses tiesām nav jurisdikcijas strīdu izšķirš</w:t>
      </w:r>
      <w:r>
        <w:rPr>
          <w:noProof/>
        </w:rPr>
        <w:t xml:space="preserve">anā starp Pusēm saskaņā ar šo nolīgumu. </w:t>
      </w:r>
    </w:p>
    <w:p w:rsidR="003E022D" w:rsidRDefault="007D19D6">
      <w:pPr>
        <w:spacing w:after="160" w:line="259" w:lineRule="auto"/>
        <w:rPr>
          <w:noProof/>
        </w:rPr>
      </w:pPr>
      <w:r>
        <w:rPr>
          <w:noProof/>
        </w:rPr>
        <w:t>5.</w:t>
      </w:r>
      <w:r>
        <w:rPr>
          <w:noProof/>
        </w:rPr>
        <w:tab/>
        <w:t>Katra Puse šķīrējtiesas nolēmumus un lēmumus dara publiski pieejamus, ievērojot konfidenciālas informācijas aizsardzības prasības.</w:t>
      </w:r>
    </w:p>
    <w:p w:rsidR="003E022D" w:rsidRDefault="007D19D6">
      <w:pPr>
        <w:spacing w:line="259" w:lineRule="auto"/>
        <w:rPr>
          <w:rFonts w:eastAsia="Calibri" w:cstheme="minorHAnsi"/>
          <w:noProof/>
        </w:rPr>
      </w:pPr>
      <w:r>
        <w:rPr>
          <w:noProof/>
        </w:rPr>
        <w:t>6.</w:t>
      </w:r>
      <w:r>
        <w:rPr>
          <w:noProof/>
        </w:rPr>
        <w:tab/>
        <w:t>Informāciju, ko Puses iesniedz šķīrējtiesai, apstrādā saskaņā ar konfidenciali</w:t>
      </w:r>
      <w:r>
        <w:rPr>
          <w:noProof/>
        </w:rPr>
        <w:t xml:space="preserve">tātes noteikumiem, kas izklāstīti </w:t>
      </w:r>
      <w:r>
        <w:rPr>
          <w:noProof/>
          <w:u w:color="000000"/>
        </w:rPr>
        <w:t>INST-X. PIELIKUMĀ [Reglaments]</w:t>
      </w:r>
      <w:r>
        <w:rPr>
          <w:noProof/>
        </w:rPr>
        <w:t>.</w:t>
      </w:r>
    </w:p>
    <w:p w:rsidR="003E022D" w:rsidRDefault="007D19D6">
      <w:pPr>
        <w:pStyle w:val="Article"/>
        <w:rPr>
          <w:bCs/>
          <w:noProof/>
        </w:rPr>
      </w:pPr>
      <w:r>
        <w:rPr>
          <w:noProof/>
        </w:rPr>
        <w:t>INST.30. pants. Šķīrējtiesas procesu apturēšana un izbeigšana</w:t>
      </w:r>
    </w:p>
    <w:p w:rsidR="003E022D" w:rsidRDefault="007D19D6">
      <w:pPr>
        <w:spacing w:line="259" w:lineRule="auto"/>
        <w:rPr>
          <w:rFonts w:eastAsia="Calibri" w:cstheme="minorHAnsi"/>
          <w:noProof/>
        </w:rPr>
      </w:pPr>
      <w:r>
        <w:rPr>
          <w:noProof/>
        </w:rPr>
        <w:t>Pēc abu Pušu pieprasījuma šķīrējtiesa aptur savu darbu jebkurā laikā uz laiku, par ko vienojas Puses un kas nepārsniedz 12 secīg</w:t>
      </w:r>
      <w:r>
        <w:rPr>
          <w:noProof/>
        </w:rPr>
        <w:t>us mēnešus. Šķīrējtiesa atsāk darbu pirms apturēšanas perioda beigām pēc abu Pušu rakstiska pieprasījuma vai apturēšanas perioda beigās pēc jebkuras Puses rakstiska pieprasījuma. Prasītāja Puse attiecīgi sniedz paziņojumu otrai Pusei. Ja, beidzoties apturē</w:t>
      </w:r>
      <w:r>
        <w:rPr>
          <w:noProof/>
        </w:rPr>
        <w:t>šanas periodam, Puse nepieprasa atsākt šķīrējtiesas darbu, šķīrējtiesas pilnvaras zaudē spēku un strīda izšķiršanas process tiek izbeigts. Ja šķīrējtiesas darbs ir ticis apturēts, attiecīgos laikposmus pagarina uz tādu pašu laikposmu, cik ilgi šķīrējtiesas</w:t>
      </w:r>
      <w:r>
        <w:rPr>
          <w:noProof/>
        </w:rPr>
        <w:t xml:space="preserve"> darbs bijis apturēts.</w:t>
      </w:r>
    </w:p>
    <w:p w:rsidR="003E022D" w:rsidRDefault="007D19D6">
      <w:pPr>
        <w:pStyle w:val="Article"/>
        <w:rPr>
          <w:noProof/>
        </w:rPr>
      </w:pPr>
      <w:r>
        <w:rPr>
          <w:noProof/>
        </w:rPr>
        <w:t>INST.31. pants. Savstarpēji saskaņots risinājums</w:t>
      </w:r>
    </w:p>
    <w:p w:rsidR="003E022D" w:rsidRDefault="007D19D6">
      <w:pPr>
        <w:numPr>
          <w:ilvl w:val="0"/>
          <w:numId w:val="179"/>
        </w:numPr>
        <w:spacing w:after="160" w:line="259" w:lineRule="auto"/>
        <w:ind w:left="0" w:firstLine="0"/>
        <w:contextualSpacing/>
        <w:jc w:val="left"/>
        <w:rPr>
          <w:rFonts w:eastAsia="Calibri" w:cstheme="minorHAnsi"/>
          <w:noProof/>
        </w:rPr>
      </w:pPr>
      <w:r>
        <w:rPr>
          <w:noProof/>
        </w:rPr>
        <w:t xml:space="preserve">Puses jebkurā laikā var panākt savstarpēji saskaņotu risinājumu attiecībā uz jebkuru strīdu, kas minēts </w:t>
      </w:r>
      <w:r>
        <w:rPr>
          <w:noProof/>
          <w:u w:color="000000"/>
        </w:rPr>
        <w:t>INST.10. pantā [Darbības joma]</w:t>
      </w:r>
      <w:r>
        <w:rPr>
          <w:noProof/>
        </w:rPr>
        <w:t xml:space="preserve">. </w:t>
      </w:r>
    </w:p>
    <w:p w:rsidR="003E022D" w:rsidRDefault="003E022D">
      <w:pPr>
        <w:spacing w:line="259" w:lineRule="auto"/>
        <w:ind w:left="720"/>
        <w:contextualSpacing/>
        <w:rPr>
          <w:rFonts w:eastAsia="Calibri" w:cstheme="minorHAnsi"/>
          <w:noProof/>
        </w:rPr>
      </w:pPr>
    </w:p>
    <w:p w:rsidR="003E022D" w:rsidRDefault="007D19D6">
      <w:pPr>
        <w:numPr>
          <w:ilvl w:val="0"/>
          <w:numId w:val="179"/>
        </w:numPr>
        <w:spacing w:after="160" w:line="259" w:lineRule="auto"/>
        <w:ind w:left="0" w:firstLine="0"/>
        <w:contextualSpacing/>
        <w:jc w:val="left"/>
        <w:rPr>
          <w:rFonts w:eastAsia="Calibri" w:cstheme="minorHAnsi"/>
          <w:noProof/>
        </w:rPr>
      </w:pPr>
      <w:r>
        <w:rPr>
          <w:noProof/>
          <w:color w:val="000000"/>
        </w:rPr>
        <w:t>Ja šķīrējtiesas procesā tiek panākts savstarpē</w:t>
      </w:r>
      <w:r>
        <w:rPr>
          <w:noProof/>
          <w:color w:val="000000"/>
        </w:rPr>
        <w:t>ji saskaņots risinājums, Puses kopīgi paziņo saskaņoto risinājumu šķīrējtiesas priekšsēdētājam. Pēc šāda paziņojuma šķīrējtiesas process tiek izbeigts.</w:t>
      </w:r>
    </w:p>
    <w:p w:rsidR="003E022D" w:rsidRDefault="003E022D">
      <w:pPr>
        <w:spacing w:after="160" w:line="259" w:lineRule="auto"/>
        <w:ind w:left="720"/>
        <w:contextualSpacing/>
        <w:jc w:val="left"/>
        <w:rPr>
          <w:rFonts w:cstheme="minorHAnsi"/>
          <w:noProof/>
          <w:color w:val="000000"/>
        </w:rPr>
      </w:pPr>
    </w:p>
    <w:p w:rsidR="003E022D" w:rsidRDefault="007D19D6">
      <w:pPr>
        <w:numPr>
          <w:ilvl w:val="0"/>
          <w:numId w:val="179"/>
        </w:numPr>
        <w:spacing w:after="160" w:line="259" w:lineRule="auto"/>
        <w:ind w:left="0" w:firstLine="0"/>
        <w:contextualSpacing/>
        <w:jc w:val="left"/>
        <w:rPr>
          <w:rFonts w:eastAsia="Calibri" w:cstheme="minorHAnsi"/>
          <w:noProof/>
        </w:rPr>
      </w:pPr>
      <w:r>
        <w:rPr>
          <w:noProof/>
          <w:color w:val="000000"/>
        </w:rPr>
        <w:t>Risinājumu var pieņemt ar Partnerības padomes lēmumu. Savstarpēji saskaņotus risinājumus dara pieejamus</w:t>
      </w:r>
      <w:r>
        <w:rPr>
          <w:noProof/>
          <w:color w:val="000000"/>
        </w:rPr>
        <w:t xml:space="preserve"> atklātībai. Tomēr publiskotajā versijā nedrīkst iekļaut informāciju, par kuru kāda Puse ir norādījusi, ka tā ir konfidenciāla. </w:t>
      </w:r>
    </w:p>
    <w:p w:rsidR="003E022D" w:rsidRDefault="003E022D">
      <w:pPr>
        <w:spacing w:after="160" w:line="259" w:lineRule="auto"/>
        <w:ind w:left="720"/>
        <w:contextualSpacing/>
        <w:jc w:val="left"/>
        <w:rPr>
          <w:rFonts w:cstheme="minorHAnsi"/>
          <w:noProof/>
          <w:color w:val="000000"/>
        </w:rPr>
      </w:pPr>
    </w:p>
    <w:p w:rsidR="003E022D" w:rsidRDefault="007D19D6">
      <w:pPr>
        <w:numPr>
          <w:ilvl w:val="0"/>
          <w:numId w:val="179"/>
        </w:numPr>
        <w:spacing w:after="160" w:line="259" w:lineRule="auto"/>
        <w:ind w:left="0" w:firstLine="0"/>
        <w:contextualSpacing/>
        <w:jc w:val="left"/>
        <w:rPr>
          <w:rFonts w:eastAsia="Calibri" w:cstheme="minorHAnsi"/>
          <w:noProof/>
        </w:rPr>
      </w:pPr>
      <w:r>
        <w:rPr>
          <w:noProof/>
          <w:color w:val="000000"/>
        </w:rPr>
        <w:t>Katra Puse veic vajadzīgos pasākumus, lai īstenotu savstarpēji saskaņoto risinājumu termiņā, par kuru tās vienojušās.</w:t>
      </w:r>
    </w:p>
    <w:p w:rsidR="003E022D" w:rsidRDefault="003E022D">
      <w:pPr>
        <w:spacing w:after="160" w:line="259" w:lineRule="auto"/>
        <w:ind w:left="720"/>
        <w:contextualSpacing/>
        <w:jc w:val="left"/>
        <w:rPr>
          <w:rFonts w:cstheme="minorHAnsi"/>
          <w:noProof/>
          <w:color w:val="000000"/>
        </w:rPr>
      </w:pPr>
    </w:p>
    <w:p w:rsidR="003E022D" w:rsidRDefault="007D19D6">
      <w:pPr>
        <w:numPr>
          <w:ilvl w:val="0"/>
          <w:numId w:val="179"/>
        </w:numPr>
        <w:spacing w:after="160" w:line="259" w:lineRule="auto"/>
        <w:ind w:left="0" w:firstLine="0"/>
        <w:contextualSpacing/>
        <w:jc w:val="left"/>
        <w:rPr>
          <w:rFonts w:eastAsia="Calibri" w:cstheme="minorHAnsi"/>
          <w:noProof/>
        </w:rPr>
      </w:pPr>
      <w:r>
        <w:rPr>
          <w:noProof/>
          <w:color w:val="000000"/>
        </w:rPr>
        <w:t>Ne vēlā</w:t>
      </w:r>
      <w:r>
        <w:rPr>
          <w:noProof/>
          <w:color w:val="000000"/>
        </w:rPr>
        <w:t>k kā līdz termiņa, par kuru Puses vienojušās, beigām īstenojošā Puse rakstiski informē otru Pusi par visiem pasākumiem, ko tā veikusi, lai īstenotu savstarpēji saskaņoto risinājumu.</w:t>
      </w:r>
    </w:p>
    <w:p w:rsidR="003E022D" w:rsidRDefault="007D19D6">
      <w:pPr>
        <w:pStyle w:val="Article"/>
        <w:rPr>
          <w:noProof/>
        </w:rPr>
      </w:pPr>
      <w:r>
        <w:rPr>
          <w:noProof/>
        </w:rPr>
        <w:t>INST.32. pants. Laikposmi</w:t>
      </w:r>
    </w:p>
    <w:p w:rsidR="003E022D" w:rsidRDefault="007D19D6">
      <w:pPr>
        <w:spacing w:line="259" w:lineRule="auto"/>
        <w:rPr>
          <w:rFonts w:eastAsia="Calibri" w:cstheme="minorHAnsi"/>
          <w:noProof/>
        </w:rPr>
      </w:pPr>
      <w:r>
        <w:rPr>
          <w:noProof/>
        </w:rPr>
        <w:t>1.</w:t>
      </w:r>
      <w:r>
        <w:rPr>
          <w:noProof/>
        </w:rPr>
        <w:tab/>
        <w:t>Visi šajā sadaļā noteiktie laikposmi skaitāmi</w:t>
      </w:r>
      <w:r>
        <w:rPr>
          <w:noProof/>
        </w:rPr>
        <w:t xml:space="preserve"> dienās no tās dienas, kad notikusi rīcība, uz kuru tie attiecas.</w:t>
      </w:r>
    </w:p>
    <w:p w:rsidR="003E022D" w:rsidRDefault="007D19D6">
      <w:pPr>
        <w:spacing w:line="259" w:lineRule="auto"/>
        <w:rPr>
          <w:rFonts w:eastAsia="Calibri" w:cstheme="minorHAnsi"/>
          <w:noProof/>
        </w:rPr>
      </w:pPr>
      <w:r>
        <w:rPr>
          <w:noProof/>
        </w:rPr>
        <w:t>2.</w:t>
      </w:r>
      <w:r>
        <w:rPr>
          <w:noProof/>
        </w:rPr>
        <w:tab/>
        <w:t xml:space="preserve">Jebkuru šajā sadaļā minēto laikposmu var pagarināt, Pusēm savstarpēji vienojoties. </w:t>
      </w:r>
    </w:p>
    <w:p w:rsidR="003E022D" w:rsidRDefault="007D19D6">
      <w:pPr>
        <w:spacing w:line="259" w:lineRule="auto"/>
        <w:rPr>
          <w:rFonts w:eastAsia="Calibri" w:cstheme="minorHAnsi"/>
          <w:noProof/>
        </w:rPr>
      </w:pPr>
      <w:r>
        <w:rPr>
          <w:noProof/>
        </w:rPr>
        <w:t>3.</w:t>
      </w:r>
      <w:r>
        <w:rPr>
          <w:noProof/>
        </w:rPr>
        <w:tab/>
      </w:r>
      <w:r>
        <w:rPr>
          <w:noProof/>
        </w:rPr>
        <w:t xml:space="preserve">Šķīrējtiesa jebkurā laikā var ierosināt Pusēm mainīt jebkuru šajā sadaļā minēto laikposmu, norādot šāda ierosinājuma iemeslus. </w:t>
      </w:r>
    </w:p>
    <w:p w:rsidR="003E022D" w:rsidRDefault="007D19D6">
      <w:pPr>
        <w:pStyle w:val="Article"/>
        <w:rPr>
          <w:noProof/>
        </w:rPr>
      </w:pPr>
      <w:r>
        <w:rPr>
          <w:noProof/>
        </w:rPr>
        <w:t>INST.34. pants. Izmaksas</w:t>
      </w:r>
    </w:p>
    <w:p w:rsidR="003E022D" w:rsidRDefault="007D19D6">
      <w:pPr>
        <w:spacing w:line="259" w:lineRule="auto"/>
        <w:rPr>
          <w:rFonts w:eastAsia="Calibri" w:cstheme="minorHAnsi"/>
          <w:noProof/>
        </w:rPr>
      </w:pPr>
      <w:r>
        <w:rPr>
          <w:noProof/>
        </w:rPr>
        <w:t>1.</w:t>
      </w:r>
      <w:r>
        <w:rPr>
          <w:noProof/>
        </w:rPr>
        <w:tab/>
        <w:t>Katra Puse sedz savas izmaksas, kas radušās, piedaloties šķīrējtiesas procedūrā.</w:t>
      </w:r>
    </w:p>
    <w:p w:rsidR="003E022D" w:rsidRDefault="007D19D6">
      <w:pPr>
        <w:spacing w:line="259" w:lineRule="auto"/>
        <w:rPr>
          <w:rFonts w:eastAsia="Calibri" w:cstheme="minorHAnsi"/>
          <w:noProof/>
        </w:rPr>
      </w:pPr>
      <w:r>
        <w:rPr>
          <w:noProof/>
        </w:rPr>
        <w:t>2.</w:t>
      </w:r>
      <w:r>
        <w:rPr>
          <w:noProof/>
        </w:rPr>
        <w:tab/>
        <w:t xml:space="preserve">Puses kopīgi un </w:t>
      </w:r>
      <w:r>
        <w:rPr>
          <w:noProof/>
        </w:rPr>
        <w:t xml:space="preserve">vienādās daļās sedz izdevumus, kas saistīti ar organizatoriskiem jautājumiem, ieskaitot šķīrējtiesas dalībnieku atalgojumu un izdevumus. Šķīrējtiesnešu atalgojumu reglamentē </w:t>
      </w:r>
      <w:r>
        <w:rPr>
          <w:noProof/>
          <w:u w:color="000000"/>
        </w:rPr>
        <w:t>INST-X. pielikums [Reglaments]</w:t>
      </w:r>
      <w:r>
        <w:rPr>
          <w:noProof/>
        </w:rPr>
        <w:t>.</w:t>
      </w:r>
    </w:p>
    <w:p w:rsidR="003E022D" w:rsidRDefault="007D19D6">
      <w:pPr>
        <w:pStyle w:val="Article"/>
        <w:rPr>
          <w:noProof/>
        </w:rPr>
      </w:pPr>
      <w:r>
        <w:rPr>
          <w:noProof/>
        </w:rPr>
        <w:t>INST.34.A pants. Pielikumi</w:t>
      </w:r>
    </w:p>
    <w:p w:rsidR="003E022D" w:rsidRDefault="007D19D6">
      <w:pPr>
        <w:spacing w:line="259" w:lineRule="auto"/>
        <w:rPr>
          <w:rFonts w:eastAsia="Calibri" w:cstheme="minorHAnsi"/>
          <w:noProof/>
        </w:rPr>
      </w:pPr>
      <w:r>
        <w:rPr>
          <w:noProof/>
        </w:rPr>
        <w:t>1.</w:t>
      </w:r>
      <w:r>
        <w:rPr>
          <w:noProof/>
        </w:rPr>
        <w:tab/>
        <w:t>Strīdu izšķiršanas p</w:t>
      </w:r>
      <w:r>
        <w:rPr>
          <w:noProof/>
        </w:rPr>
        <w:t xml:space="preserve">rocedūras, kas izklāstītas šajā sadaļā, reglamentē reglaments, kas izklāstīts </w:t>
      </w:r>
      <w:r>
        <w:rPr>
          <w:noProof/>
          <w:u w:color="000000"/>
        </w:rPr>
        <w:t>INST-X. PIELIKUMĀ [Reglaments]</w:t>
      </w:r>
      <w:r>
        <w:rPr>
          <w:noProof/>
        </w:rPr>
        <w:t xml:space="preserve">, un tās veic saskaņā ar </w:t>
      </w:r>
      <w:r>
        <w:rPr>
          <w:noProof/>
          <w:u w:color="000000"/>
        </w:rPr>
        <w:t>INST-X. pielikumu [Rīcības kodekss]</w:t>
      </w:r>
      <w:r>
        <w:rPr>
          <w:noProof/>
        </w:rPr>
        <w:t>.</w:t>
      </w:r>
    </w:p>
    <w:p w:rsidR="003E022D" w:rsidRDefault="007D19D6">
      <w:pPr>
        <w:spacing w:line="259" w:lineRule="auto"/>
        <w:rPr>
          <w:rFonts w:eastAsia="Calibri" w:cstheme="minorHAnsi"/>
          <w:noProof/>
        </w:rPr>
      </w:pPr>
      <w:r>
        <w:rPr>
          <w:noProof/>
        </w:rPr>
        <w:t>2.</w:t>
      </w:r>
      <w:r>
        <w:rPr>
          <w:noProof/>
        </w:rPr>
        <w:tab/>
        <w:t xml:space="preserve">Partnerības padome var grozīt </w:t>
      </w:r>
      <w:r>
        <w:rPr>
          <w:noProof/>
          <w:u w:color="000000"/>
        </w:rPr>
        <w:t>INST-X. PIELIKUMU [Reglaments]</w:t>
      </w:r>
      <w:r>
        <w:rPr>
          <w:noProof/>
        </w:rPr>
        <w:t xml:space="preserve"> un </w:t>
      </w:r>
      <w:r>
        <w:rPr>
          <w:noProof/>
          <w:u w:color="000000"/>
        </w:rPr>
        <w:t>INST-X. PIELIKUMU [</w:t>
      </w:r>
      <w:r>
        <w:rPr>
          <w:noProof/>
          <w:u w:color="000000"/>
        </w:rPr>
        <w:t>Rīcības kodekss]</w:t>
      </w:r>
      <w:r>
        <w:rPr>
          <w:noProof/>
        </w:rPr>
        <w:t>.</w:t>
      </w:r>
    </w:p>
    <w:p w:rsidR="003E022D" w:rsidRDefault="007D19D6">
      <w:pPr>
        <w:pStyle w:val="Chapter"/>
        <w:rPr>
          <w:noProof/>
        </w:rPr>
      </w:pPr>
      <w:r>
        <w:rPr>
          <w:noProof/>
        </w:rPr>
        <w:t>5. nodaļa. Īpaša kārtība vienpusējiem pasākumiem</w:t>
      </w:r>
    </w:p>
    <w:p w:rsidR="003E022D" w:rsidRDefault="007D19D6">
      <w:pPr>
        <w:pStyle w:val="Article"/>
        <w:rPr>
          <w:noProof/>
        </w:rPr>
      </w:pPr>
      <w:r>
        <w:rPr>
          <w:noProof/>
        </w:rPr>
        <w:t>INST.34B. pants. Īpašas procedūras korektīviem pasākumiem un līdzsvara atjaunošanai</w:t>
      </w:r>
    </w:p>
    <w:p w:rsidR="003E022D" w:rsidRDefault="007D19D6">
      <w:pPr>
        <w:spacing w:line="259" w:lineRule="auto"/>
        <w:rPr>
          <w:rFonts w:eastAsia="Calibri" w:cstheme="minorHAnsi"/>
          <w:noProof/>
        </w:rPr>
      </w:pPr>
      <w:r>
        <w:rPr>
          <w:noProof/>
        </w:rPr>
        <w:t>1.</w:t>
      </w:r>
      <w:r>
        <w:rPr>
          <w:noProof/>
        </w:rPr>
        <w:tab/>
      </w:r>
      <w:r>
        <w:rPr>
          <w:noProof/>
        </w:rPr>
        <w:t>Lai piemērotu otrās daļas pirmā temata XI sadaļas [Vienlīdzīgi apstākļi atvērtai un godīgai konkurencei un ilgtspējīgai attīstībai] 3. nodaļas [Subsīdiju kontrole] 3.12. pantu [Korektīvie pasākumi] un 9. nodaļas [Institucionālie noteikumi] 9.4. panta [Līdz</w:t>
      </w:r>
      <w:r>
        <w:rPr>
          <w:noProof/>
        </w:rPr>
        <w:t xml:space="preserve">svara atjaunošana] 2. un 3. punktu, šo sadaļu piemēro ar šajā pantā izklāstītajām izmaiņām. </w:t>
      </w:r>
    </w:p>
    <w:p w:rsidR="003E022D" w:rsidRDefault="007D19D6">
      <w:pPr>
        <w:spacing w:line="259" w:lineRule="auto"/>
        <w:rPr>
          <w:rFonts w:eastAsia="Calibri" w:cstheme="minorHAnsi"/>
          <w:noProof/>
        </w:rPr>
      </w:pPr>
      <w:r>
        <w:rPr>
          <w:noProof/>
        </w:rPr>
        <w:t>2.</w:t>
      </w:r>
      <w:r>
        <w:rPr>
          <w:noProof/>
        </w:rPr>
        <w:tab/>
        <w:t xml:space="preserve">Atkāpjoties no INST.15. panta [Šķīrējtiesas izveide] un INST-X pielikuma [Strīdu izšķiršanas reglaments], ja Puses divu dienu laikā nevienojas par šķīrējtiesas </w:t>
      </w:r>
      <w:r>
        <w:rPr>
          <w:noProof/>
        </w:rPr>
        <w:t>sastāvu, Partnerības padomes līdzpriekšsēdētājs no prasītājas Puses ne vēlāk kā vienu dienu pēc divu dienu termiņa beigām izraugās šķīrējtiesnesi, lozējot no katras Puses apakšsaraksta, un šķīrējtiesas priekšsēdētāju, lozējot no priekšsēdētāju apakšsarakst</w:t>
      </w:r>
      <w:r>
        <w:rPr>
          <w:noProof/>
        </w:rPr>
        <w:t>a, kas izveidots saskaņā ar INST.27. pantu [Šķīrējtiesnešu saraksti]. Partnerības padomes līdzpriekšsēdētājs no prasītājas Puses var šādu šķīrējtiesneša vai šķīrējtiesas priekšsēdētāja izraudzīšanos lozējot deleģēt. Katra persona apstiprina savu pieejamību</w:t>
      </w:r>
      <w:r>
        <w:rPr>
          <w:noProof/>
        </w:rPr>
        <w:t xml:space="preserve"> abām Pusēm divu dienu laikā no dienas, kad tā tika informēta par savu iecelšanu. Organizatoriskā sanāksme, kas minēta INST-X pielikuma [Strīdu izšķiršanas reglaments] 10. punktā, notiek 2 dienu laikā pēc šķīrējtiesas izveidošanas.      </w:t>
      </w:r>
    </w:p>
    <w:p w:rsidR="003E022D" w:rsidRDefault="007D19D6">
      <w:pPr>
        <w:spacing w:line="259" w:lineRule="auto"/>
        <w:rPr>
          <w:rFonts w:eastAsia="Calibri" w:cstheme="minorHAnsi"/>
          <w:noProof/>
        </w:rPr>
      </w:pPr>
      <w:r>
        <w:rPr>
          <w:noProof/>
        </w:rPr>
        <w:t>3.</w:t>
      </w:r>
      <w:r>
        <w:rPr>
          <w:noProof/>
        </w:rPr>
        <w:tab/>
        <w:t xml:space="preserve">Atkāpjoties no </w:t>
      </w:r>
      <w:r>
        <w:rPr>
          <w:noProof/>
        </w:rPr>
        <w:t>INST-X pielikuma [Strīdu izšķiršanas reglaments] 11. punkta, prasītāja Puse iesniedz rakstisku iesniegumu ne vēlāk kā septiņas dienas pēc šķīrējtiesas izveidošanas dienas. Atbildētāja Puse iesniedz savus rakstiskos iesniegumus ne vēlāk kā septiņas dienas p</w:t>
      </w:r>
      <w:r>
        <w:rPr>
          <w:noProof/>
        </w:rPr>
        <w:t>ēc prasītājas Puses rakstiskā iesnieguma iesniegšanas dienas. Šķīrējtiesa pēc vajadzības pielāgo visus citus attiecīgos strīdu izšķiršanas procedūras termiņus, lai nodrošinātu ziņojuma savlaicīgu iesniegšanu.</w:t>
      </w:r>
    </w:p>
    <w:p w:rsidR="003E022D" w:rsidRDefault="007D19D6">
      <w:pPr>
        <w:spacing w:line="259" w:lineRule="auto"/>
        <w:rPr>
          <w:rFonts w:eastAsia="Calibri" w:cstheme="minorHAnsi"/>
          <w:noProof/>
        </w:rPr>
      </w:pPr>
      <w:r>
        <w:rPr>
          <w:noProof/>
        </w:rPr>
        <w:t>4.</w:t>
      </w:r>
      <w:r>
        <w:rPr>
          <w:noProof/>
        </w:rPr>
        <w:tab/>
        <w:t xml:space="preserve"> INST.20. pantu [Šķīrējtiesas nolēmums] nepi</w:t>
      </w:r>
      <w:r>
        <w:rPr>
          <w:noProof/>
        </w:rPr>
        <w:t>emēro, un atsauces uz nolēmumu šajā sadaļā lasa kā atsauces uz nolēmumu, kas minēts</w:t>
      </w:r>
    </w:p>
    <w:p w:rsidR="003E022D" w:rsidRDefault="007D19D6">
      <w:pPr>
        <w:pStyle w:val="ListParagraph"/>
        <w:numPr>
          <w:ilvl w:val="0"/>
          <w:numId w:val="1287"/>
        </w:numPr>
        <w:spacing w:line="259" w:lineRule="auto"/>
        <w:rPr>
          <w:rFonts w:eastAsia="Calibri" w:cstheme="minorHAnsi"/>
          <w:noProof/>
        </w:rPr>
      </w:pPr>
      <w:r>
        <w:rPr>
          <w:noProof/>
        </w:rPr>
        <w:t>XI sadaļas [Vienlīdzīgi apstākļi atvērtai un godīgai konkurencei un ilgtspējīgai attīstībai] 3. nodaļas [Subsīdiju kontrole] 3.12. panta [Korektīvi pasākumi] 10. punktā vai</w:t>
      </w:r>
    </w:p>
    <w:p w:rsidR="003E022D" w:rsidRDefault="007D19D6">
      <w:pPr>
        <w:pStyle w:val="ListParagraph"/>
        <w:numPr>
          <w:ilvl w:val="0"/>
          <w:numId w:val="1287"/>
        </w:numPr>
        <w:spacing w:line="259" w:lineRule="auto"/>
        <w:rPr>
          <w:rFonts w:eastAsia="Calibri" w:cstheme="minorHAnsi"/>
          <w:noProof/>
        </w:rPr>
      </w:pPr>
      <w:r>
        <w:rPr>
          <w:noProof/>
        </w:rPr>
        <w:t xml:space="preserve">9.4. panta 3. punkta c) apakšpunktā [Līdzsvara atjaunošana].     </w:t>
      </w:r>
    </w:p>
    <w:p w:rsidR="003E022D" w:rsidRDefault="007D19D6">
      <w:pPr>
        <w:spacing w:line="259" w:lineRule="auto"/>
        <w:rPr>
          <w:rFonts w:eastAsia="Calibri" w:cstheme="minorHAnsi"/>
          <w:noProof/>
        </w:rPr>
      </w:pPr>
      <w:r>
        <w:rPr>
          <w:noProof/>
        </w:rPr>
        <w:t>5.</w:t>
      </w:r>
      <w:r>
        <w:rPr>
          <w:noProof/>
        </w:rPr>
        <w:tab/>
        <w:t>Atkāpjoties no INST.23. panta [Atbilstības pārskatīšana] 2. punkta, šķīrējtiesa paziņo savu lēmumu Pusēm 30 dienās no pieprasījuma iesniegšanas dienas.</w:t>
      </w:r>
    </w:p>
    <w:p w:rsidR="003E022D" w:rsidRDefault="007D19D6">
      <w:pPr>
        <w:pStyle w:val="Article"/>
        <w:rPr>
          <w:noProof/>
        </w:rPr>
      </w:pPr>
      <w:r>
        <w:rPr>
          <w:noProof/>
        </w:rPr>
        <w:t>INST.34C. pants. Saistību apturēša</w:t>
      </w:r>
      <w:r>
        <w:rPr>
          <w:noProof/>
        </w:rPr>
        <w:t>na LPFS.3.12. panta 12. punkta, FISH.9. panta 5. punkta un FISH.14. panta 7. punkta nolūkā</w:t>
      </w:r>
    </w:p>
    <w:p w:rsidR="003E022D" w:rsidRDefault="007D19D6">
      <w:pPr>
        <w:spacing w:line="259" w:lineRule="auto"/>
        <w:rPr>
          <w:rFonts w:eastAsia="Calibri" w:cstheme="minorHAnsi"/>
          <w:noProof/>
        </w:rPr>
      </w:pPr>
      <w:r>
        <w:rPr>
          <w:noProof/>
        </w:rPr>
        <w:t>1.</w:t>
      </w:r>
      <w:r>
        <w:rPr>
          <w:noProof/>
        </w:rPr>
        <w:tab/>
        <w:t>Saistību apturēšanas līmenis no dienas, kad stājas spēkā korektīvie pasākumi, līdz šķīrējtiesas nolēmuma pasludināšanas dienai nepārsniedz līmeni, kas ir līdzvērt</w:t>
      </w:r>
      <w:r>
        <w:rPr>
          <w:noProof/>
        </w:rPr>
        <w:t>īgs priekšrocību zudumam vai samazinājumam saskaņā ar šo nolīgumu vai saskaņā ar papildinošu nolīgumu, ko tieši izraisa korektīvie pasākumi.</w:t>
      </w:r>
    </w:p>
    <w:p w:rsidR="003E022D" w:rsidRDefault="007D19D6">
      <w:pPr>
        <w:spacing w:line="259" w:lineRule="auto"/>
        <w:rPr>
          <w:rFonts w:eastAsia="Calibri" w:cstheme="minorHAnsi"/>
          <w:noProof/>
        </w:rPr>
      </w:pPr>
      <w:r>
        <w:rPr>
          <w:noProof/>
        </w:rPr>
        <w:t>2.</w:t>
      </w:r>
      <w:r>
        <w:rPr>
          <w:noProof/>
        </w:rPr>
        <w:tab/>
        <w:t>Saistību apturēšanas līmenis, ko pieprasījusi prasītāja Puse, un saistību apturēšanas līmenis, ko noteikusi šķīr</w:t>
      </w:r>
      <w:r>
        <w:rPr>
          <w:noProof/>
        </w:rPr>
        <w:t>ējtiesa, pamatojas uz faktiem, kas pierāda, ka zudums vai samazinājums tieši izriet no korektīvā pasākuma piemērošanas un skar konkrētas preces, pakalpojumu sniedzējus, ieguldītājus vai citus ekonomikas dalībniekus, nevis tikai uz apgalvojumiem, pieņēmumie</w:t>
      </w:r>
      <w:r>
        <w:rPr>
          <w:noProof/>
        </w:rPr>
        <w:t>m vai maz ticamām iespējām.</w:t>
      </w:r>
    </w:p>
    <w:p w:rsidR="003E022D" w:rsidRDefault="007D19D6">
      <w:pPr>
        <w:spacing w:line="259" w:lineRule="auto"/>
        <w:rPr>
          <w:rFonts w:eastAsia="Calibri" w:cstheme="minorHAnsi"/>
          <w:noProof/>
        </w:rPr>
      </w:pPr>
      <w:r>
        <w:rPr>
          <w:noProof/>
        </w:rPr>
        <w:t>3.</w:t>
      </w:r>
      <w:r>
        <w:rPr>
          <w:noProof/>
        </w:rPr>
        <w:tab/>
        <w:t>Zudušo vai samazināto priekšrocību līmenis, ko pieprasījusi prasītāja Puse vai ko noteikusi šķīrējtiesa:</w:t>
      </w:r>
    </w:p>
    <w:p w:rsidR="003E022D" w:rsidRDefault="007D19D6">
      <w:pPr>
        <w:pStyle w:val="ListParagraph"/>
        <w:numPr>
          <w:ilvl w:val="0"/>
          <w:numId w:val="1288"/>
        </w:numPr>
        <w:spacing w:line="259" w:lineRule="auto"/>
        <w:rPr>
          <w:rFonts w:eastAsia="Calibri" w:cstheme="minorHAnsi"/>
          <w:noProof/>
        </w:rPr>
      </w:pPr>
      <w:r>
        <w:rPr>
          <w:noProof/>
        </w:rPr>
        <w:t xml:space="preserve">neietver zaudējumus ar soda raksturu, procentus vai hipotētiskus peļņas vai uzņēmējdarbības iespēju zudumus; </w:t>
      </w:r>
    </w:p>
    <w:p w:rsidR="003E022D" w:rsidRDefault="007D19D6">
      <w:pPr>
        <w:pStyle w:val="ListParagraph"/>
        <w:numPr>
          <w:ilvl w:val="0"/>
          <w:numId w:val="1288"/>
        </w:numPr>
        <w:spacing w:line="259" w:lineRule="auto"/>
        <w:rPr>
          <w:rFonts w:eastAsia="Calibri" w:cstheme="minorHAnsi"/>
          <w:noProof/>
        </w:rPr>
      </w:pPr>
      <w:r>
        <w:rPr>
          <w:noProof/>
        </w:rPr>
        <w:t>to samazin</w:t>
      </w:r>
      <w:r>
        <w:rPr>
          <w:noProof/>
        </w:rPr>
        <w:t>a par jebkādu iepriekšēju nodokļu atmaksu, kaitējuma atlīdzināšanu vai citiem kompensācijas veidiem, ko attiecīgie uzņēmēji vai attiecīgā Puse jau ir saņēmusi; un</w:t>
      </w:r>
    </w:p>
    <w:p w:rsidR="003E022D" w:rsidRDefault="007D19D6">
      <w:pPr>
        <w:pStyle w:val="ListParagraph"/>
        <w:numPr>
          <w:ilvl w:val="0"/>
          <w:numId w:val="1288"/>
        </w:numPr>
        <w:spacing w:line="259" w:lineRule="auto"/>
        <w:rPr>
          <w:rFonts w:eastAsia="Calibri" w:cstheme="minorHAnsi"/>
          <w:noProof/>
        </w:rPr>
      </w:pPr>
      <w:r>
        <w:rPr>
          <w:noProof/>
        </w:rPr>
        <w:t>neietver attiecīgās Puses vai jebkuras personas vai vienības, attiecībā uz kuru tiek pieprasī</w:t>
      </w:r>
      <w:r>
        <w:rPr>
          <w:noProof/>
        </w:rPr>
        <w:t xml:space="preserve">ti tiesiskās aizsardzības līdzekļi saskaņā ar paredzēto saistību apturēšanu, apzinātas vai neuzmanīgas darbības vai bezdarbības ieguldījumu zudumā vai samazinājumā.  </w:t>
      </w:r>
    </w:p>
    <w:p w:rsidR="003E022D" w:rsidRDefault="007D19D6">
      <w:pPr>
        <w:spacing w:line="259" w:lineRule="auto"/>
        <w:rPr>
          <w:rFonts w:eastAsia="Calibri"/>
          <w:noProof/>
          <w:u w:color="000000"/>
        </w:rPr>
      </w:pPr>
      <w:r>
        <w:rPr>
          <w:noProof/>
        </w:rPr>
        <w:t>INST.34D. pants. Līdzsvara atjaunošanas, korektīvo, kompensācijas un aizsardzības pasākum</w:t>
      </w:r>
      <w:r>
        <w:rPr>
          <w:noProof/>
        </w:rPr>
        <w:t>u nosacījumi</w:t>
      </w:r>
    </w:p>
    <w:p w:rsidR="003E022D" w:rsidRDefault="007D19D6">
      <w:pPr>
        <w:spacing w:line="259" w:lineRule="auto"/>
        <w:rPr>
          <w:rFonts w:eastAsia="Calibri" w:cstheme="minorHAnsi"/>
          <w:noProof/>
        </w:rPr>
      </w:pPr>
      <w:r>
        <w:rPr>
          <w:noProof/>
        </w:rPr>
        <w:t>Ja Puse veic pasākumu saskaņā ar pirmā temata [Tirdzniecība] XI sadaļas [Vienlīdzīgi apstākļi atvērtai un godīgai konkurencei un ilgtspējīgai attīstībai] 3. nodaļas [Subsīdiju kontrole] 3.12. pantu [Korektīvie pasākumi] vai 9. nodaļas [Institu</w:t>
      </w:r>
      <w:r>
        <w:rPr>
          <w:noProof/>
        </w:rPr>
        <w:t>cionālie noteikumi] 9.4. pantu [Līdzsvara atjaunošana], trešā temata ROAD.11. pantu [Korektīvie pasākumi], otrās daļas piektā temata FISH.9. pantu [Kompensējoši pasākumi, kas veicami piekļuves atsaukšanas vai samazināšanas gadījumā] vai FISH.14. pantu [Kor</w:t>
      </w:r>
      <w:r>
        <w:rPr>
          <w:noProof/>
        </w:rPr>
        <w:t xml:space="preserve">ektīvie pasākumi un strīdu izšķiršana] vai sestās daļas III sadaļas INST.36. pantu [Aizsardzības pasākumi], šo pasākumu piemēro tikai attiecībā uz aptvertajiem notiekumiem INST.10. panta [Darbības joma] nozīmē un tas </w:t>
      </w:r>
      <w:r>
        <w:rPr>
          <w:i/>
          <w:iCs/>
          <w:noProof/>
        </w:rPr>
        <w:t>mutatis mutandis</w:t>
      </w:r>
      <w:r>
        <w:rPr>
          <w:noProof/>
        </w:rPr>
        <w:t xml:space="preserve"> atbilst INST.24. panta</w:t>
      </w:r>
      <w:r>
        <w:rPr>
          <w:noProof/>
        </w:rPr>
        <w:t xml:space="preserve"> [Pagaidu tiesiskās aizsardzības līdzekļi] 3. punktā izklāstītajiem nosacījumiem.</w:t>
      </w:r>
    </w:p>
    <w:p w:rsidR="003E022D" w:rsidRDefault="003E022D">
      <w:pPr>
        <w:spacing w:after="0" w:line="276" w:lineRule="auto"/>
        <w:jc w:val="left"/>
        <w:rPr>
          <w:rFonts w:ascii="Arial" w:eastAsia="Arial" w:hAnsi="Arial" w:cs="Arial"/>
          <w:noProof/>
          <w:lang w:eastAsia="en-GB"/>
        </w:rPr>
      </w:pPr>
    </w:p>
    <w:p w:rsidR="003E022D" w:rsidRDefault="007D19D6">
      <w:pPr>
        <w:pStyle w:val="Title1"/>
        <w:rPr>
          <w:rFonts w:ascii="Arial" w:eastAsia="Arial" w:hAnsi="Arial" w:cs="Arial"/>
          <w:i w:val="0"/>
          <w:noProof/>
        </w:rPr>
      </w:pPr>
      <w:bookmarkStart w:id="930" w:name="_heading=h.gjdgxs"/>
      <w:bookmarkStart w:id="931" w:name="_Toc59487139"/>
      <w:bookmarkStart w:id="932" w:name="_Toc59988381"/>
      <w:bookmarkEnd w:id="930"/>
      <w:r>
        <w:rPr>
          <w:noProof/>
        </w:rPr>
        <w:t>II sadaļa. Sadarbības pamats</w:t>
      </w:r>
      <w:bookmarkEnd w:id="931"/>
      <w:bookmarkEnd w:id="932"/>
      <w:r>
        <w:rPr>
          <w:noProof/>
        </w:rPr>
        <w:t xml:space="preserve"> </w:t>
      </w:r>
    </w:p>
    <w:p w:rsidR="003E022D" w:rsidRDefault="007D19D6">
      <w:pPr>
        <w:pStyle w:val="Article"/>
        <w:rPr>
          <w:b/>
          <w:noProof/>
        </w:rPr>
      </w:pPr>
      <w:r>
        <w:rPr>
          <w:noProof/>
        </w:rPr>
        <w:t>COMPROV.4. pants. Demokrātija, tiesiskums un cilvēktiesības</w:t>
      </w:r>
      <w:r>
        <w:rPr>
          <w:b/>
          <w:noProof/>
        </w:rPr>
        <w:t xml:space="preserve"> </w:t>
      </w:r>
    </w:p>
    <w:p w:rsidR="003E022D" w:rsidRDefault="007D19D6">
      <w:pPr>
        <w:rPr>
          <w:noProof/>
        </w:rPr>
      </w:pPr>
      <w:r>
        <w:rPr>
          <w:noProof/>
        </w:rPr>
        <w:t>1.</w:t>
      </w:r>
      <w:r>
        <w:rPr>
          <w:noProof/>
        </w:rPr>
        <w:tab/>
      </w:r>
      <w:r>
        <w:rPr>
          <w:noProof/>
        </w:rPr>
        <w:t>Puses turpina atbalstīt tām kopīgās demokrātijas, tiesiskuma un cilvēktiesību ievērošanas vērtības un principus, kas ir to iekšpolitikas un starptautiskās politikas pamatā. Šajā sakarā Puses atkārtoti apstiprina, ka tās ievēro Vispārējo cilvēktiesību dekla</w:t>
      </w:r>
      <w:r>
        <w:rPr>
          <w:noProof/>
        </w:rPr>
        <w:t xml:space="preserve">rāciju un starptautiskos cilvēktiesību līgumus, kuru puses tās ir. </w:t>
      </w:r>
    </w:p>
    <w:p w:rsidR="003E022D" w:rsidRDefault="007D19D6">
      <w:pPr>
        <w:rPr>
          <w:noProof/>
        </w:rPr>
      </w:pPr>
      <w:r>
        <w:rPr>
          <w:noProof/>
        </w:rPr>
        <w:t>2.</w:t>
      </w:r>
      <w:r>
        <w:rPr>
          <w:noProof/>
        </w:rPr>
        <w:tab/>
        <w:t>Puses veicina šīs kopīgās vērtības un principus starptautiskos forumos. Puses sadarbojas, veicinot šīs vērtības un principus, tostarp ar trešām valstīm vai trešās valstīs.</w:t>
      </w:r>
    </w:p>
    <w:p w:rsidR="003E022D" w:rsidRDefault="007D19D6">
      <w:pPr>
        <w:pStyle w:val="Article"/>
        <w:rPr>
          <w:b/>
          <w:noProof/>
        </w:rPr>
      </w:pPr>
      <w:r>
        <w:rPr>
          <w:noProof/>
        </w:rPr>
        <w:t>COMPROV.5. pa</w:t>
      </w:r>
      <w:r>
        <w:rPr>
          <w:noProof/>
        </w:rPr>
        <w:t>nts. Cīņa pret klimata pārmaiņām</w:t>
      </w:r>
      <w:r>
        <w:rPr>
          <w:b/>
          <w:noProof/>
        </w:rPr>
        <w:t xml:space="preserve"> </w:t>
      </w:r>
    </w:p>
    <w:p w:rsidR="003E022D" w:rsidRDefault="007D19D6">
      <w:pPr>
        <w:rPr>
          <w:noProof/>
        </w:rPr>
      </w:pPr>
      <w:r>
        <w:rPr>
          <w:noProof/>
        </w:rPr>
        <w:t>1.</w:t>
      </w:r>
      <w:r>
        <w:rPr>
          <w:noProof/>
        </w:rPr>
        <w:tab/>
        <w:t>Puses uzskata, ka klimata pārmaiņas ir eksistenciāls apdraudējums cilvēcei, un atkārtoti apliecina savu apņemšanos stiprināt globālo reakciju uz šo apdraudējumu. Savienība un Apvienotā Karaliste savā iekšpolitikā un ārp</w:t>
      </w:r>
      <w:r>
        <w:rPr>
          <w:noProof/>
        </w:rPr>
        <w:t>olitikā iekļauj cīņu pret cilvēka radītām klimata pārmaiņām, kā izklāstīts Apvienoto Nāciju Organizācijas Vispārējās konvencijas par klimata pārmaiņām (“UNFCCC”) procesā un jo īpaši Apvienoto Nāciju Organizācijas Vispārējās konvencijas par klimata pārmaiņā</w:t>
      </w:r>
      <w:r>
        <w:rPr>
          <w:noProof/>
        </w:rPr>
        <w:t xml:space="preserve">m Pušu konferences 21. sesijā pieņemtajā Parīzes nolīgumā (“Parīzes nolīgums”). Tādējādi katra Puse ievēro Parīzes nolīgumu un </w:t>
      </w:r>
      <w:r>
        <w:rPr>
          <w:i/>
          <w:noProof/>
        </w:rPr>
        <w:t>UNFCCC</w:t>
      </w:r>
      <w:r>
        <w:rPr>
          <w:noProof/>
        </w:rPr>
        <w:t xml:space="preserve"> izveidoto procesu un atturas no jebkādām darbībām vai bezdarbības, kas būtiski apdraudētu vai grautu Parīzes nolīguma un </w:t>
      </w:r>
      <w:r>
        <w:rPr>
          <w:i/>
          <w:noProof/>
        </w:rPr>
        <w:t>U</w:t>
      </w:r>
      <w:r>
        <w:rPr>
          <w:i/>
          <w:noProof/>
        </w:rPr>
        <w:t>NFCCC</w:t>
      </w:r>
      <w:r>
        <w:rPr>
          <w:noProof/>
        </w:rPr>
        <w:t xml:space="preserve"> mērķus vai nolūkus.</w:t>
      </w:r>
    </w:p>
    <w:p w:rsidR="003E022D" w:rsidRDefault="007D19D6">
      <w:pPr>
        <w:rPr>
          <w:noProof/>
        </w:rPr>
      </w:pPr>
      <w:r>
        <w:rPr>
          <w:noProof/>
        </w:rPr>
        <w:t>2.</w:t>
      </w:r>
      <w:r>
        <w:rPr>
          <w:noProof/>
        </w:rPr>
        <w:tab/>
        <w:t>Puses iestājas par cīņu pret klimata pārmaiņām starptautiskos forumos, tostarp sadarbojoties ar citām valstīm un reģioniem, lai tās izvirzītu vērienīgākus mērķus siltumnīcefekta gāzu emisiju samazināšanā.</w:t>
      </w:r>
    </w:p>
    <w:p w:rsidR="003E022D" w:rsidRDefault="007D19D6">
      <w:pPr>
        <w:pStyle w:val="Article"/>
        <w:rPr>
          <w:noProof/>
        </w:rPr>
      </w:pPr>
      <w:r>
        <w:rPr>
          <w:noProof/>
        </w:rPr>
        <w:t>COMPROV.6. pants. Cīņa</w:t>
      </w:r>
      <w:r>
        <w:rPr>
          <w:noProof/>
        </w:rPr>
        <w:t xml:space="preserve"> pret masu iznīcināšanas ieroču izplatīšanu</w:t>
      </w:r>
    </w:p>
    <w:p w:rsidR="003E022D" w:rsidRDefault="007D19D6">
      <w:pPr>
        <w:rPr>
          <w:noProof/>
        </w:rPr>
      </w:pPr>
      <w:r>
        <w:rPr>
          <w:noProof/>
        </w:rPr>
        <w:t>1.</w:t>
      </w:r>
      <w:r>
        <w:rPr>
          <w:noProof/>
        </w:rPr>
        <w:tab/>
        <w:t xml:space="preserve">Puses uzskata, ka masu iznīcināšanas ieroču (“MII”) un to nogādes līdzekļu izplatīšana gan valstīm, gan nevalstiskiem veidojumiem ir viens no nopietnākajiem draudiem starptautiskajai stabilitātei un drošībai. </w:t>
      </w:r>
      <w:r>
        <w:rPr>
          <w:noProof/>
        </w:rPr>
        <w:t>Tādēļ Puses vienojas sadarboties un sniegt savu ieguldījumu cīņā pret masu iznīcināšanas ieroču un to nogādes līdzekļu izplatīšanu, pilnībā ievērojot un valstu līmenī īstenojot saistības, kuras tās uzņēmušās starptautiskos atbruņošanās un ieroču neizplatīš</w:t>
      </w:r>
      <w:r>
        <w:rPr>
          <w:noProof/>
        </w:rPr>
        <w:t>anas līgumos un nolīgumos, kā arī citas starptautiskas saistības šajā jautājumā.</w:t>
      </w:r>
    </w:p>
    <w:p w:rsidR="003E022D" w:rsidRDefault="007D19D6">
      <w:pPr>
        <w:rPr>
          <w:noProof/>
        </w:rPr>
      </w:pPr>
      <w:r>
        <w:rPr>
          <w:noProof/>
        </w:rPr>
        <w:t>2.</w:t>
      </w:r>
      <w:r>
        <w:rPr>
          <w:noProof/>
        </w:rPr>
        <w:tab/>
        <w:t xml:space="preserve">Puses arī vienojas sadarboties cīņā pret masu iznīcināšanas ieroču un to nogādes līdzekļu izplatīšanu un sniegt savu ieguldījumu šādā veidā: </w:t>
      </w:r>
    </w:p>
    <w:p w:rsidR="003E022D" w:rsidRDefault="007D19D6">
      <w:pPr>
        <w:numPr>
          <w:ilvl w:val="0"/>
          <w:numId w:val="502"/>
        </w:numPr>
        <w:ind w:left="567" w:hanging="567"/>
        <w:rPr>
          <w:rFonts w:cstheme="minorHAnsi"/>
          <w:noProof/>
        </w:rPr>
      </w:pPr>
      <w:r>
        <w:rPr>
          <w:noProof/>
        </w:rPr>
        <w:t>veicot pasākumus, lai parakstī</w:t>
      </w:r>
      <w:r>
        <w:rPr>
          <w:noProof/>
        </w:rPr>
        <w:t>tu vai ratificētu visus citus attiecīgos starptautiskos dokumentus, vai lai tiem pievienotos un tos pilnībā īstenotu; un</w:t>
      </w:r>
    </w:p>
    <w:p w:rsidR="003E022D" w:rsidRDefault="007D19D6">
      <w:pPr>
        <w:numPr>
          <w:ilvl w:val="0"/>
          <w:numId w:val="502"/>
        </w:numPr>
        <w:ind w:left="567" w:hanging="567"/>
        <w:rPr>
          <w:rFonts w:cstheme="minorHAnsi"/>
          <w:noProof/>
        </w:rPr>
      </w:pPr>
      <w:r>
        <w:rPr>
          <w:noProof/>
        </w:rPr>
        <w:t>ieviešot efektīvas valstu eksporta kontroles sistēmas, kontrolējot gan ar MII saistītu preču eksportu, gan tranzītu, tostarp kontroli p</w:t>
      </w:r>
      <w:r>
        <w:rPr>
          <w:noProof/>
        </w:rPr>
        <w:t>ār divējāda lietojuma tehnoloģiju galīgo izmantošanu saistībā ar MII, un nosakot efektīvas sankcijas par eksporta kontroles pārkāpumiem.</w:t>
      </w:r>
    </w:p>
    <w:p w:rsidR="003E022D" w:rsidRDefault="007D19D6">
      <w:pPr>
        <w:rPr>
          <w:noProof/>
        </w:rPr>
      </w:pPr>
      <w:r>
        <w:rPr>
          <w:noProof/>
        </w:rPr>
        <w:t>3.</w:t>
      </w:r>
      <w:r>
        <w:rPr>
          <w:noProof/>
        </w:rPr>
        <w:tab/>
        <w:t>Puses vienojas izveidot regulāru dialogu par minētajiem jautājumiem.</w:t>
      </w:r>
    </w:p>
    <w:p w:rsidR="003E022D" w:rsidRDefault="007D19D6">
      <w:pPr>
        <w:pStyle w:val="Article"/>
        <w:rPr>
          <w:noProof/>
        </w:rPr>
      </w:pPr>
      <w:r>
        <w:rPr>
          <w:noProof/>
        </w:rPr>
        <w:t>COMPROV.7. pants. Kājnieku ieroči un vieglie ie</w:t>
      </w:r>
      <w:r>
        <w:rPr>
          <w:noProof/>
        </w:rPr>
        <w:t>roči, un citi parastie ieroči</w:t>
      </w:r>
      <w:r>
        <w:rPr>
          <w:b/>
          <w:noProof/>
        </w:rPr>
        <w:t xml:space="preserve"> </w:t>
      </w:r>
    </w:p>
    <w:p w:rsidR="003E022D" w:rsidRDefault="007D19D6">
      <w:pPr>
        <w:rPr>
          <w:noProof/>
        </w:rPr>
      </w:pPr>
      <w:r>
        <w:rPr>
          <w:noProof/>
        </w:rPr>
        <w:t>1.</w:t>
      </w:r>
      <w:r>
        <w:rPr>
          <w:noProof/>
        </w:rPr>
        <w:tab/>
        <w:t xml:space="preserve">Puses atzīst, ka kājnieku ieroču un vieglo ieroču (“VIKI”) un to munīcijas nelikumīga ražošana, pārvadāšana un aprite, šo ieroču un munīcijas pārmērīga uzkrāšana, to slikta pārvaldība, neatbilstīgi nodrošinātas noliktavas </w:t>
      </w:r>
      <w:r>
        <w:rPr>
          <w:noProof/>
        </w:rPr>
        <w:t>un to nekontrolēta izplatīšana joprojām nopietni apdraud mieru un starptautisko drošību.</w:t>
      </w:r>
    </w:p>
    <w:p w:rsidR="003E022D" w:rsidRDefault="007D19D6">
      <w:pPr>
        <w:rPr>
          <w:noProof/>
        </w:rPr>
      </w:pPr>
      <w:r>
        <w:rPr>
          <w:noProof/>
        </w:rPr>
        <w:t>2.</w:t>
      </w:r>
      <w:r>
        <w:rPr>
          <w:noProof/>
        </w:rPr>
        <w:tab/>
        <w:t>Puses vienojas ievērot un pilnā apjomā pildīt savas attiecīgās saistības attiecībā uz pienākumu apkarot kājnieku ieroču un vieglo ieroču (“VIKI”), tostarp to munīci</w:t>
      </w:r>
      <w:r>
        <w:rPr>
          <w:noProof/>
        </w:rPr>
        <w:t>jas, nelegālu tirdzniecību atbilstoši spēkā esošajiem starptautiskajiem nolīgumiem un ANO Drošības padomes rezolūcijām, kā arī savas attiecīgās saistības saskaņā ar citiem starptautiskiem dokumentiem, kas piemērojami šajā jomā, piemēram, ANO Rīcības progra</w:t>
      </w:r>
      <w:r>
        <w:rPr>
          <w:noProof/>
        </w:rPr>
        <w:t>mmu lai novērstu, apkarotu un izskaustu kājnieku ieroču un vieglo ieroču nelikumīgu tirdzniecību visās tās izpausmēs.</w:t>
      </w:r>
    </w:p>
    <w:p w:rsidR="003E022D" w:rsidRDefault="007D19D6">
      <w:pPr>
        <w:rPr>
          <w:noProof/>
        </w:rPr>
      </w:pPr>
      <w:r>
        <w:rPr>
          <w:noProof/>
        </w:rPr>
        <w:t>3.</w:t>
      </w:r>
      <w:r>
        <w:rPr>
          <w:noProof/>
        </w:rPr>
        <w:tab/>
        <w:t>Puses atzīst, ka iekšzemes kontroles sistēmas ir svarīgas, jo tās nodrošina parasto ieroču nodošanu saskaņā ar esošajiem starptautiskaj</w:t>
      </w:r>
      <w:r>
        <w:rPr>
          <w:noProof/>
        </w:rPr>
        <w:t>iem standartiem. Puses atzīst, ka šādu kontroli ir svarīgi atbildīgi piemērot, lai veicinātu mieru, drošību un stabilitāti starptautiskā un reģionālā mērogā, kā arī lai mazinātu cilvēku ciešanas un novērstu parasto ieroču novirzīšanu.</w:t>
      </w:r>
    </w:p>
    <w:p w:rsidR="003E022D" w:rsidRDefault="007D19D6">
      <w:pPr>
        <w:rPr>
          <w:noProof/>
        </w:rPr>
      </w:pPr>
      <w:r>
        <w:rPr>
          <w:noProof/>
        </w:rPr>
        <w:t>4.</w:t>
      </w:r>
      <w:r>
        <w:rPr>
          <w:noProof/>
        </w:rPr>
        <w:tab/>
        <w:t xml:space="preserve">Puses šajā sakarā </w:t>
      </w:r>
      <w:r>
        <w:rPr>
          <w:noProof/>
        </w:rPr>
        <w:t>apņemas pilnībā īstenot Ieroču tirdzniecības līgumu un savstarpēji sadarboties saistībā ar šo līgumu, tostarp veicinot tā vispārēju atzīšanu un pilnīgu īstenošanu visās ANO dalībvalstīs.</w:t>
      </w:r>
    </w:p>
    <w:p w:rsidR="003E022D" w:rsidRDefault="007D19D6">
      <w:pPr>
        <w:rPr>
          <w:noProof/>
        </w:rPr>
      </w:pPr>
      <w:r>
        <w:rPr>
          <w:noProof/>
        </w:rPr>
        <w:t>5.</w:t>
      </w:r>
      <w:r>
        <w:rPr>
          <w:noProof/>
        </w:rPr>
        <w:tab/>
        <w:t>Puses tādēļ apņemas sadarboties to centienos starptautiskās tirdzn</w:t>
      </w:r>
      <w:r>
        <w:rPr>
          <w:noProof/>
        </w:rPr>
        <w:t xml:space="preserve">iecības ar parastajiem ieročiem regulēšanā vai šā regulējuma uzlabošanā, kā arī novērst, apkarot un izskaust ieroču nelikumīgu tirdzniecību. </w:t>
      </w:r>
    </w:p>
    <w:p w:rsidR="003E022D" w:rsidRDefault="007D19D6">
      <w:pPr>
        <w:rPr>
          <w:noProof/>
        </w:rPr>
      </w:pPr>
      <w:r>
        <w:rPr>
          <w:noProof/>
        </w:rPr>
        <w:t>6.</w:t>
      </w:r>
      <w:r>
        <w:rPr>
          <w:noProof/>
        </w:rPr>
        <w:tab/>
        <w:t>Puses vienojas izveidot regulāru dialogu par minētajiem jautājumiem.</w:t>
      </w:r>
    </w:p>
    <w:p w:rsidR="003E022D" w:rsidRDefault="007D19D6">
      <w:pPr>
        <w:pStyle w:val="Article"/>
        <w:rPr>
          <w:noProof/>
        </w:rPr>
      </w:pPr>
      <w:r>
        <w:rPr>
          <w:noProof/>
        </w:rPr>
        <w:t>COMPROV.8. pants. Vissmagākie noziegumi, k</w:t>
      </w:r>
      <w:r>
        <w:rPr>
          <w:noProof/>
        </w:rPr>
        <w:t>as skar starptautisko sabiedrību</w:t>
      </w:r>
      <w:r>
        <w:rPr>
          <w:b/>
          <w:noProof/>
        </w:rPr>
        <w:t xml:space="preserve"> </w:t>
      </w:r>
    </w:p>
    <w:p w:rsidR="003E022D" w:rsidRDefault="007D19D6">
      <w:pPr>
        <w:rPr>
          <w:noProof/>
        </w:rPr>
      </w:pPr>
      <w:r>
        <w:rPr>
          <w:noProof/>
        </w:rPr>
        <w:t>1.</w:t>
      </w:r>
      <w:r>
        <w:rPr>
          <w:noProof/>
        </w:rPr>
        <w:tab/>
        <w:t>Puses atkārtoti apstiprina, ka vissmagākie noziegumi, kas skar starptautisko sabiedrību kopumā, nedrīkst palikt nesodīti un ka ir jānodrošina efektīva kriminālvajāšana, veicot pasākumus gan valstu līmenī, gan pastiprino</w:t>
      </w:r>
      <w:r>
        <w:rPr>
          <w:noProof/>
        </w:rPr>
        <w:t>t starptautisko sadarbību, tostarp iesaistot Starptautisko Krimināltiesu. Puses apņemas pilnībā atbalstīt Starptautiskās Krimināltiesas Romas Statūtu un saistītu dokumentu universālumu un integritāti.</w:t>
      </w:r>
    </w:p>
    <w:p w:rsidR="003E022D" w:rsidRDefault="007D19D6">
      <w:pPr>
        <w:rPr>
          <w:noProof/>
        </w:rPr>
      </w:pPr>
      <w:r>
        <w:rPr>
          <w:noProof/>
        </w:rPr>
        <w:t>2.</w:t>
      </w:r>
      <w:r>
        <w:rPr>
          <w:noProof/>
        </w:rPr>
        <w:tab/>
        <w:t>Puses vienojas izveidot regulāru dialogu par minētaj</w:t>
      </w:r>
      <w:r>
        <w:rPr>
          <w:noProof/>
        </w:rPr>
        <w:t>iem jautājumiem.</w:t>
      </w:r>
    </w:p>
    <w:p w:rsidR="003E022D" w:rsidRDefault="007D19D6">
      <w:pPr>
        <w:pStyle w:val="Article"/>
        <w:rPr>
          <w:noProof/>
        </w:rPr>
      </w:pPr>
      <w:r>
        <w:rPr>
          <w:noProof/>
        </w:rPr>
        <w:t>COMPROV.9. pants. Terorisma apkarošana</w:t>
      </w:r>
    </w:p>
    <w:p w:rsidR="003E022D" w:rsidRDefault="007D19D6">
      <w:pPr>
        <w:rPr>
          <w:noProof/>
        </w:rPr>
      </w:pPr>
      <w:r>
        <w:rPr>
          <w:noProof/>
        </w:rPr>
        <w:t>1.</w:t>
      </w:r>
      <w:r>
        <w:rPr>
          <w:noProof/>
        </w:rPr>
        <w:tab/>
        <w:t>Puses sadarbojas divpusējā, reģionālā un starptautiskā līmenī, lai novērstu un apkarotu teroraktus visos to veidos un izpausmēs saskaņā ar starptautiskajām tiesībām, tostarp starptautiskajiem prett</w:t>
      </w:r>
      <w:r>
        <w:rPr>
          <w:noProof/>
        </w:rPr>
        <w:t>erorisma nolīgumiem, attiecīgā gadījumā, starptautiskajām humanitārajām tiesībām un starptautiskajām cilvēktiesībām, kā arī saskaņā ar Apvienoto Nāciju Organizācijas Statūtu principiem.</w:t>
      </w:r>
    </w:p>
    <w:p w:rsidR="003E022D" w:rsidRDefault="007D19D6">
      <w:pPr>
        <w:rPr>
          <w:noProof/>
        </w:rPr>
      </w:pPr>
      <w:r>
        <w:rPr>
          <w:noProof/>
        </w:rPr>
        <w:t>2.</w:t>
      </w:r>
      <w:r>
        <w:rPr>
          <w:noProof/>
        </w:rPr>
        <w:tab/>
        <w:t xml:space="preserve">Puses sekmē sadarbību terorisma apkarošanas jomā, tostarp </w:t>
      </w:r>
      <w:r>
        <w:rPr>
          <w:noProof/>
        </w:rPr>
        <w:t>vardarbīga ekstrēmisma un terorisma finansēšanas novēršanā un apkarošanā, lai veicinātu savas kopējās drošības intereses, ņemot vērā Apvienoto Nāciju Organizācijas Vispārējo terorisma apkarošanas stratēģiju un attiecīgās Apvienoto Nāciju Organizācijas Droš</w:t>
      </w:r>
      <w:r>
        <w:rPr>
          <w:noProof/>
        </w:rPr>
        <w:t>ības padomes rezolūcijas, neskarot tiesībaizsardzības un tiesu iestāžu sadarbību krimināllietās un apmaiņu ar izlūkdatiem.</w:t>
      </w:r>
    </w:p>
    <w:p w:rsidR="003E022D" w:rsidRDefault="007D19D6">
      <w:pPr>
        <w:rPr>
          <w:noProof/>
        </w:rPr>
      </w:pPr>
      <w:r>
        <w:rPr>
          <w:noProof/>
        </w:rPr>
        <w:t>3.</w:t>
      </w:r>
      <w:r>
        <w:rPr>
          <w:noProof/>
        </w:rPr>
        <w:tab/>
        <w:t xml:space="preserve">Puses vienojas izveidot regulāru dialogu par šiem jautājumiem. Šā dialoga mērķis, </w:t>
      </w:r>
      <w:r>
        <w:rPr>
          <w:i/>
          <w:noProof/>
        </w:rPr>
        <w:t>inter alia</w:t>
      </w:r>
      <w:r>
        <w:rPr>
          <w:noProof/>
        </w:rPr>
        <w:t xml:space="preserve">, ir veicināt un atvieglot: </w:t>
      </w:r>
    </w:p>
    <w:p w:rsidR="003E022D" w:rsidRDefault="007D19D6">
      <w:pPr>
        <w:numPr>
          <w:ilvl w:val="0"/>
          <w:numId w:val="503"/>
        </w:numPr>
        <w:ind w:left="567" w:hanging="567"/>
        <w:rPr>
          <w:rFonts w:cstheme="minorHAnsi"/>
          <w:noProof/>
        </w:rPr>
      </w:pPr>
      <w:r>
        <w:rPr>
          <w:noProof/>
        </w:rPr>
        <w:t>apmaiņu a</w:t>
      </w:r>
      <w:r>
        <w:rPr>
          <w:noProof/>
        </w:rPr>
        <w:t xml:space="preserve">r terorisma draudu novērtējumiem; </w:t>
      </w:r>
    </w:p>
    <w:p w:rsidR="003E022D" w:rsidRDefault="007D19D6">
      <w:pPr>
        <w:numPr>
          <w:ilvl w:val="0"/>
          <w:numId w:val="503"/>
        </w:numPr>
        <w:ind w:left="567" w:hanging="567"/>
        <w:rPr>
          <w:rFonts w:cstheme="minorHAnsi"/>
          <w:noProof/>
        </w:rPr>
      </w:pPr>
      <w:r>
        <w:rPr>
          <w:noProof/>
        </w:rPr>
        <w:t xml:space="preserve">apmaiņu ar paraugpraksi un zinātību terorisma apkarošanas jomā; </w:t>
      </w:r>
    </w:p>
    <w:p w:rsidR="003E022D" w:rsidRDefault="007D19D6">
      <w:pPr>
        <w:numPr>
          <w:ilvl w:val="0"/>
          <w:numId w:val="503"/>
        </w:numPr>
        <w:ind w:left="567" w:hanging="567"/>
        <w:rPr>
          <w:rFonts w:cstheme="minorHAnsi"/>
          <w:noProof/>
        </w:rPr>
      </w:pPr>
      <w:r>
        <w:rPr>
          <w:noProof/>
        </w:rPr>
        <w:t xml:space="preserve">operatīvo sadarbību un informācijas apmaiņu un </w:t>
      </w:r>
    </w:p>
    <w:p w:rsidR="003E022D" w:rsidRDefault="007D19D6">
      <w:pPr>
        <w:numPr>
          <w:ilvl w:val="0"/>
          <w:numId w:val="503"/>
        </w:numPr>
        <w:ind w:left="567" w:hanging="567"/>
        <w:rPr>
          <w:rFonts w:cstheme="minorHAnsi"/>
          <w:noProof/>
        </w:rPr>
      </w:pPr>
      <w:r>
        <w:rPr>
          <w:noProof/>
        </w:rPr>
        <w:t>informācijas apmaiņu par sadarbību daudzpusējās organizācijās.</w:t>
      </w:r>
    </w:p>
    <w:p w:rsidR="003E022D" w:rsidRDefault="007D19D6">
      <w:pPr>
        <w:pStyle w:val="Article"/>
        <w:rPr>
          <w:noProof/>
        </w:rPr>
      </w:pPr>
      <w:r>
        <w:rPr>
          <w:noProof/>
        </w:rPr>
        <w:t xml:space="preserve">COMPROV.10. pants. Persondatu aizsardzība </w:t>
      </w:r>
    </w:p>
    <w:p w:rsidR="003E022D" w:rsidRDefault="007D19D6">
      <w:pPr>
        <w:spacing w:after="160"/>
        <w:rPr>
          <w:noProof/>
        </w:rPr>
      </w:pPr>
      <w:r>
        <w:rPr>
          <w:noProof/>
        </w:rPr>
        <w:t>1.</w:t>
      </w:r>
      <w:r>
        <w:rPr>
          <w:noProof/>
        </w:rPr>
        <w:tab/>
        <w:t xml:space="preserve">Puses apstiprina savu apņemšanos nodrošināt augstu persondatu aizsardzības līmeni. Tās cenšas sadarboties, lai veicinātu augstus starptautiskos standartus. </w:t>
      </w:r>
    </w:p>
    <w:p w:rsidR="003E022D" w:rsidRDefault="007D19D6">
      <w:pPr>
        <w:spacing w:after="160"/>
        <w:rPr>
          <w:noProof/>
        </w:rPr>
      </w:pPr>
      <w:r>
        <w:rPr>
          <w:noProof/>
        </w:rPr>
        <w:t>2.</w:t>
      </w:r>
      <w:r>
        <w:rPr>
          <w:noProof/>
        </w:rPr>
        <w:tab/>
        <w:t>Puses atzīst, ka indivīdiem ir tiesības uz persondatu un privātuma aizsardzību un ka augsti sta</w:t>
      </w:r>
      <w:r>
        <w:rPr>
          <w:noProof/>
        </w:rPr>
        <w:t>ndarti šajā ziņā veicina uzticēšanos digitālajai ekonomikai un tirdzniecības attīstībai un ir galvenais efektīvas tiesībaizsardzības sadarbības veicinātājs. Šajā nolūkā Puses apņemas atbilstīgi saviem attiecīgajiem normatīvajiem aktiem ievērot saistības, k</w:t>
      </w:r>
      <w:r>
        <w:rPr>
          <w:noProof/>
        </w:rPr>
        <w:t>o tās saistībā ar minētajām tiesībām uzņēmušās šajā nolīgumā.</w:t>
      </w:r>
    </w:p>
    <w:p w:rsidR="003E022D" w:rsidRDefault="007D19D6">
      <w:pPr>
        <w:spacing w:after="160"/>
        <w:rPr>
          <w:noProof/>
        </w:rPr>
      </w:pPr>
      <w:r>
        <w:rPr>
          <w:noProof/>
        </w:rPr>
        <w:t>3.</w:t>
      </w:r>
      <w:r>
        <w:rPr>
          <w:noProof/>
        </w:rPr>
        <w:tab/>
        <w:t>Puses sadarbojas divpusējā un daudzpusējā līmenī, vienlaikus ievērojot savus attiecīgos normatīvos aktus. Šāda sadarbība vajadzības gadījumā var ietvert dialogu, zinātības apmaiņu un sadarbīb</w:t>
      </w:r>
      <w:r>
        <w:rPr>
          <w:noProof/>
        </w:rPr>
        <w:t xml:space="preserve">u izpildes jomā attiecībā uz persondatu aizsardzību. </w:t>
      </w:r>
    </w:p>
    <w:p w:rsidR="003E022D" w:rsidRDefault="007D19D6">
      <w:pPr>
        <w:spacing w:after="160"/>
        <w:rPr>
          <w:noProof/>
        </w:rPr>
      </w:pPr>
      <w:r>
        <w:rPr>
          <w:noProof/>
        </w:rPr>
        <w:t>4.</w:t>
      </w:r>
      <w:r>
        <w:rPr>
          <w:noProof/>
        </w:rPr>
        <w:tab/>
        <w:t xml:space="preserve">Ja šis nolīgums vai jebkurš papildinošais nolīgums paredz persondatu nosūtīšanu, tad šāda nosūtīšana notiek saskaņā ar nosūtītājas Puses noteikumiem par persondatu starptautisku nosūtīšanu. Lielākai </w:t>
      </w:r>
      <w:r>
        <w:rPr>
          <w:noProof/>
        </w:rPr>
        <w:t>noteiktībai – šis punkts neskar nekādu konkrētu šā nolīguma noteikumu piemērošanu attiecībā uz persondatu nosūtīšanu, jo īpaši DIGIT.7. pantu [Personas datu un privātās dzīves aizsardzība] un LAWGEN.4. pantu [Personas datu aizsardzība], ne arī sestās daļas</w:t>
      </w:r>
      <w:r>
        <w:rPr>
          <w:noProof/>
        </w:rPr>
        <w:t xml:space="preserve"> [Strīdu izšķiršana] I sadaļu. Vajadzības gadījumā katra Puse, ievērojot savus noteikumus par persondatu starptautisku nosūtīšanu, pieliek visas pūles, lai izveidotu aizsardzības pasākumus, kas vajadzīgi persondatu nosūtīšanai, ņemot vērā Partnerības padom</w:t>
      </w:r>
      <w:r>
        <w:rPr>
          <w:noProof/>
        </w:rPr>
        <w:t>es ieteikumus saskaņā ar INST.1. panta [Partnerības padome] 4. punkta h) apakšpunktu.</w:t>
      </w:r>
    </w:p>
    <w:p w:rsidR="003E022D" w:rsidRDefault="007D19D6">
      <w:pPr>
        <w:pStyle w:val="Article"/>
        <w:rPr>
          <w:noProof/>
        </w:rPr>
      </w:pPr>
      <w:r>
        <w:rPr>
          <w:noProof/>
        </w:rPr>
        <w:t>COMPROV.11. pants. Globāla sadarbība jautājumos, kas skar kopīgas ekonomiskās, vides un sociālās intereses</w:t>
      </w:r>
    </w:p>
    <w:p w:rsidR="003E022D" w:rsidRDefault="007D19D6">
      <w:pPr>
        <w:rPr>
          <w:noProof/>
        </w:rPr>
      </w:pPr>
      <w:r>
        <w:rPr>
          <w:noProof/>
        </w:rPr>
        <w:t>1.</w:t>
      </w:r>
      <w:r>
        <w:rPr>
          <w:noProof/>
        </w:rPr>
        <w:tab/>
        <w:t>Puses atzīst globālās sadarbības nozīmi kopīgu ekonomisko, v</w:t>
      </w:r>
      <w:r>
        <w:rPr>
          <w:noProof/>
        </w:rPr>
        <w:t>ides un sociālo interešu jautājumu risināšanā. Ja tas ir to abpusējās interesēs, tās veicina daudzpusējus risinājumus kopīgām problēmām.</w:t>
      </w:r>
    </w:p>
    <w:p w:rsidR="003E022D" w:rsidRDefault="007D19D6">
      <w:pPr>
        <w:rPr>
          <w:rFonts w:ascii="Arial" w:eastAsia="Arial" w:hAnsi="Arial" w:cs="Arial"/>
          <w:noProof/>
        </w:rPr>
      </w:pPr>
      <w:r>
        <w:rPr>
          <w:noProof/>
        </w:rPr>
        <w:t>2.</w:t>
      </w:r>
      <w:r>
        <w:rPr>
          <w:noProof/>
        </w:rPr>
        <w:tab/>
        <w:t>Saglabājot savu lēmumu pieņemšanas autonomiju un neskarot citus noteikumus šajā nolīgumā vai jebkādos papildinošos n</w:t>
      </w:r>
      <w:r>
        <w:rPr>
          <w:noProof/>
        </w:rPr>
        <w:t>olīgumos, Puses cenšas sadarboties pašreizējos un nākotnes globālos jautājumos, kur tām ir kopējas intereses, piemēram, par mieru un drošību, klimata pārmaiņām, ilgtspējīgu attīstību, pārrobežu piesārņojumu, vides aizsardzību, digitalizāciju, sabiedrības v</w:t>
      </w:r>
      <w:r>
        <w:rPr>
          <w:noProof/>
        </w:rPr>
        <w:t>eselību un patērētāju aizsardzību, nodokļiem, finanšu stabilitāti un brīvu un godīgu tirdzniecību un investīcijām. Šajā nolūkā tās cenšas uzturēt pastāvīgu un efektīvu dialogu un saskaņot savu nostāju daudzpusējās organizācijās un forumos, kuros tās piedal</w:t>
      </w:r>
      <w:r>
        <w:rPr>
          <w:noProof/>
        </w:rPr>
        <w:t>ās, piemēram, Apvienoto Nāciju Organizācijā, septiņu valstu grupā (G-7) un divdesmit valstu grupā (G-20), Ekonomiskās sadarbības un attīstības organizācijā, Starptautiskajā Valūtas fondā, Pasaules Bankā un Pasaules Tirdzniecības organizācijā.</w:t>
      </w:r>
    </w:p>
    <w:p w:rsidR="003E022D" w:rsidRDefault="007D19D6">
      <w:pPr>
        <w:pStyle w:val="Article"/>
        <w:rPr>
          <w:b/>
          <w:noProof/>
        </w:rPr>
      </w:pPr>
      <w:r>
        <w:rPr>
          <w:noProof/>
        </w:rPr>
        <w:t>COMPROV.12. p</w:t>
      </w:r>
      <w:r>
        <w:rPr>
          <w:noProof/>
        </w:rPr>
        <w:t>ants. Būtiski elementi</w:t>
      </w:r>
      <w:r>
        <w:rPr>
          <w:b/>
          <w:noProof/>
        </w:rPr>
        <w:t xml:space="preserve"> </w:t>
      </w:r>
    </w:p>
    <w:p w:rsidR="003E022D" w:rsidRDefault="007D19D6">
      <w:pPr>
        <w:rPr>
          <w:noProof/>
        </w:rPr>
      </w:pPr>
      <w:r>
        <w:rPr>
          <w:noProof/>
          <w:u w:color="000000"/>
        </w:rPr>
        <w:t>COMPROV.4. panta [Demokrātija, tiesiskums un cilvēktiesības] 1. punktā, COMPROV.5. panta [Cīņa pret klimata pārmaiņām] 1. punktā un COMPROV.6. panta [Cīņa pret masu iznīcināšanas ieroču izplatīšanu] 1. punktā</w:t>
      </w:r>
      <w:r>
        <w:rPr>
          <w:noProof/>
        </w:rPr>
        <w:t>, ir būtiski elementi pa</w:t>
      </w:r>
      <w:r>
        <w:rPr>
          <w:noProof/>
        </w:rPr>
        <w:t xml:space="preserve">rtnerībā, kura izveidota ar šo nolīgumu un jebkuru papildinošo nolīgumu. </w:t>
      </w:r>
    </w:p>
    <w:p w:rsidR="003E022D" w:rsidRDefault="007D19D6">
      <w:pPr>
        <w:pStyle w:val="Title1"/>
        <w:rPr>
          <w:rFonts w:ascii="Calibri" w:eastAsia="Calibri" w:hAnsi="Calibri" w:cs="Calibri"/>
          <w:i w:val="0"/>
          <w:caps w:val="0"/>
          <w:noProof/>
        </w:rPr>
      </w:pPr>
      <w:bookmarkStart w:id="933" w:name="_Toc59487140"/>
      <w:bookmarkStart w:id="934" w:name="_Toc59988382"/>
      <w:r>
        <w:rPr>
          <w:noProof/>
        </w:rPr>
        <w:t>III sadaļa. Saistību un aizsardzības pasākumu izpilde</w:t>
      </w:r>
      <w:bookmarkEnd w:id="933"/>
      <w:bookmarkEnd w:id="934"/>
    </w:p>
    <w:p w:rsidR="003E022D" w:rsidRDefault="007D19D6">
      <w:pPr>
        <w:pStyle w:val="Article"/>
        <w:rPr>
          <w:noProof/>
        </w:rPr>
      </w:pPr>
      <w:r>
        <w:rPr>
          <w:noProof/>
        </w:rPr>
        <w:t xml:space="preserve">INST.35. pants. Tādu saistību izpilde, kas raksturotas kā būtiski elementi </w:t>
      </w:r>
    </w:p>
    <w:p w:rsidR="003E022D" w:rsidRDefault="007D19D6">
      <w:pPr>
        <w:rPr>
          <w:strike/>
          <w:noProof/>
        </w:rPr>
      </w:pPr>
      <w:r>
        <w:rPr>
          <w:noProof/>
        </w:rPr>
        <w:t>1.</w:t>
      </w:r>
      <w:r>
        <w:rPr>
          <w:noProof/>
        </w:rPr>
        <w:tab/>
      </w:r>
      <w:r>
        <w:rPr>
          <w:noProof/>
        </w:rPr>
        <w:t xml:space="preserve">Ja kāda no Pusēm uzskata, ka otra Puse nopietni un būtiski nav izpildījusi saistības, kas </w:t>
      </w:r>
      <w:r>
        <w:rPr>
          <w:noProof/>
          <w:u w:color="000000"/>
        </w:rPr>
        <w:t>COMPROV.12. pantā [Būtiski elementi]</w:t>
      </w:r>
      <w:r>
        <w:rPr>
          <w:noProof/>
        </w:rPr>
        <w:t xml:space="preserve"> aprakstītas kā būtiski elementi, tā var nolemt pilnībā vai daļēji izbeigt vai apturēt šā nolīguma vai jebkura papildinoša nolīgum</w:t>
      </w:r>
      <w:r>
        <w:rPr>
          <w:noProof/>
        </w:rPr>
        <w:t>a darbību.</w:t>
      </w:r>
    </w:p>
    <w:p w:rsidR="003E022D" w:rsidRDefault="007D19D6">
      <w:pPr>
        <w:rPr>
          <w:noProof/>
        </w:rPr>
      </w:pPr>
      <w:r>
        <w:rPr>
          <w:noProof/>
        </w:rPr>
        <w:t>2.</w:t>
      </w:r>
      <w:r>
        <w:rPr>
          <w:noProof/>
        </w:rPr>
        <w:tab/>
        <w:t>Pirms tam Puse, kas atsaucas uz minētā panta piemērošanu, pieprasa Partnerības padomei nekavējoties tikties, lai rastu savlaicīgu un savstarpēji pieņemamu risinājumu. Ja 30 dienu laikā no dienas, kad Partnerības padomei ir iesniegts pieprasīj</w:t>
      </w:r>
      <w:r>
        <w:rPr>
          <w:noProof/>
        </w:rPr>
        <w:t>ums, netiek rasts savstarpēji pieņemams risinājums, Puse var veikt 1. punktā minētos pasākumus.</w:t>
      </w:r>
    </w:p>
    <w:p w:rsidR="003E022D" w:rsidRDefault="007D19D6">
      <w:pPr>
        <w:rPr>
          <w:noProof/>
        </w:rPr>
      </w:pPr>
      <w:r>
        <w:rPr>
          <w:noProof/>
        </w:rPr>
        <w:t>3.</w:t>
      </w:r>
      <w:r>
        <w:rPr>
          <w:noProof/>
        </w:rPr>
        <w:tab/>
        <w:t xml:space="preserve">Šā panta 1. punktā minētos pasākumus veic, pilnībā ievērojot starptautiskās tiesības, un tie ir samērīgi. Prioritāti piešķir tādiem pasākumiem, kas vismazāk </w:t>
      </w:r>
      <w:r>
        <w:rPr>
          <w:noProof/>
        </w:rPr>
        <w:t>traucē šā nolīguma un jebkura papildinošā nolīguma darbību.</w:t>
      </w:r>
    </w:p>
    <w:p w:rsidR="003E022D" w:rsidRDefault="007D19D6">
      <w:pPr>
        <w:rPr>
          <w:noProof/>
        </w:rPr>
      </w:pPr>
      <w:r>
        <w:rPr>
          <w:noProof/>
        </w:rPr>
        <w:t>4.</w:t>
      </w:r>
      <w:r>
        <w:rPr>
          <w:noProof/>
        </w:rPr>
        <w:tab/>
        <w:t xml:space="preserve">Puses uzskata, ka, lai situāciju varētu uzskatīt par nopietnu un būtisku COMPROV.12. pantā [Būtiski elementi] par būtiskiem elementiem nosaukto saistību neizpildi, tās smagumam un būtībai būtu </w:t>
      </w:r>
      <w:r>
        <w:rPr>
          <w:noProof/>
        </w:rPr>
        <w:t>jābūt ārkārtas, proti, situācijai jābūt tādai, ka tiek apdraudēts miers un drošība vai ir starptautiskas sekas. Lielākai noteiktībai – darbību vai bezdarbību, kas būtiski kaitē Parīzes nolīguma priekšmetam un mērķim, vienmēr uzskata par nopietnu un būtisku</w:t>
      </w:r>
      <w:r>
        <w:rPr>
          <w:noProof/>
        </w:rPr>
        <w:t xml:space="preserve"> pārkāpumu šā panta nozīmē.</w:t>
      </w:r>
    </w:p>
    <w:p w:rsidR="003E022D" w:rsidRDefault="007D19D6">
      <w:pPr>
        <w:pStyle w:val="Article"/>
        <w:rPr>
          <w:noProof/>
        </w:rPr>
      </w:pPr>
      <w:r>
        <w:rPr>
          <w:noProof/>
        </w:rPr>
        <w:t>INST.36. pants. Aizsardzības pasākumi</w:t>
      </w:r>
    </w:p>
    <w:p w:rsidR="003E022D" w:rsidRDefault="007D19D6">
      <w:pPr>
        <w:rPr>
          <w:rFonts w:cs="Calibri"/>
          <w:noProof/>
        </w:rPr>
      </w:pPr>
      <w:r>
        <w:rPr>
          <w:noProof/>
        </w:rPr>
        <w:t>1.            Ja rodas nopietnas ekonomiskas vai ar sabiedrību vai vidi saistītas grūtības konkrētā nozarē vai reģionā, ietverot grūtības saistībā ar zveju un no zvejas atkarīgajām sabiedrīb</w:t>
      </w:r>
      <w:r>
        <w:rPr>
          <w:noProof/>
        </w:rPr>
        <w:t>ām, kas var turpināties, attiecīgā Puse var vienpusēji veikt atbilstīgus aizsardzības pasākumus. Šādu aizsardzības pasākumu apjoms un ilgums nedrīkst pārsniegt līmeni, kas ir obligāti nepieciešams stāvokļa labošanai. Priekšroka ir tādiem pasākumiem, kas vi</w:t>
      </w:r>
      <w:r>
        <w:rPr>
          <w:noProof/>
        </w:rPr>
        <w:t xml:space="preserve">smazāk traucē šā nolīguma darbību. </w:t>
      </w:r>
    </w:p>
    <w:p w:rsidR="003E022D" w:rsidRDefault="007D19D6">
      <w:pPr>
        <w:rPr>
          <w:noProof/>
        </w:rPr>
      </w:pPr>
      <w:r>
        <w:rPr>
          <w:noProof/>
        </w:rPr>
        <w:t>2.            Attiecīgā Puse bez kavēšanās informē Partnerības padomi par īstenotajiem pasākumiem un sniedz visu attiecīgo informāciju. Puses nekavējoties sāk apspriešanos Partnerības padomē, lai rastu savstarpēji pieņem</w:t>
      </w:r>
      <w:r>
        <w:rPr>
          <w:noProof/>
        </w:rPr>
        <w:t>amu risinājumu.</w:t>
      </w:r>
    </w:p>
    <w:p w:rsidR="003E022D" w:rsidRDefault="007D19D6">
      <w:pPr>
        <w:rPr>
          <w:noProof/>
        </w:rPr>
      </w:pPr>
      <w:r>
        <w:rPr>
          <w:noProof/>
        </w:rPr>
        <w:t xml:space="preserve">3.            Attiecīgā Puse nedrīkst veikt aizsardzības pasākumus, kamēr nav pagājis viens mēnesis pēc 2. punktā minētā paziņojuma, ja vien apspriešanās procedūra saskaņā ar 2. punktu nav abpusēji izbeigta pirms norādītā laikposma beigām. </w:t>
      </w:r>
      <w:r>
        <w:rPr>
          <w:noProof/>
        </w:rPr>
        <w:t>Ja ārkārtas apstākļi, kas liek rīkoties tūlīt, neļauj pirms tam veikt nekādu izskatīšanu, attiecīgā Puse var nekavējoties piemērot aizsardzības pasākumus, kas ir absolūti nepieciešami stāvokļa labošanai.</w:t>
      </w:r>
    </w:p>
    <w:p w:rsidR="003E022D" w:rsidRDefault="007D19D6">
      <w:pPr>
        <w:rPr>
          <w:noProof/>
        </w:rPr>
      </w:pPr>
      <w:r>
        <w:rPr>
          <w:noProof/>
        </w:rPr>
        <w:t>Attiecīgā Puse bez kavēšanās informē Partnerības pad</w:t>
      </w:r>
      <w:r>
        <w:rPr>
          <w:noProof/>
        </w:rPr>
        <w:t xml:space="preserve">omi par īstenotajiem pasākumiem un sniedz visu attiecīgo informāciju. </w:t>
      </w:r>
    </w:p>
    <w:p w:rsidR="003E022D" w:rsidRDefault="007D19D6">
      <w:pPr>
        <w:rPr>
          <w:noProof/>
        </w:rPr>
      </w:pPr>
      <w:r>
        <w:rPr>
          <w:noProof/>
        </w:rPr>
        <w:t>4.            Ja kādas Puses veiktais aizsardzības pasākums rada nelīdzsvarotību starp tiesībām un pienākumiem saskaņā ar šo nolīgumu, tad otra Puse var veikt samērīgus līdzsvara atjaunošanas pasākumus, kas ir obligāti nepieciešami, lai novērstu nelīdzsvar</w:t>
      </w:r>
      <w:r>
        <w:rPr>
          <w:noProof/>
        </w:rPr>
        <w:t xml:space="preserve">otību. Priekšroka ir tādiem pasākumiem, kas vismazāk traucē šā nolīguma darbību. Šādiem līdzsvara atjaunošanas pasākumiem </w:t>
      </w:r>
      <w:r>
        <w:rPr>
          <w:i/>
          <w:iCs/>
          <w:noProof/>
        </w:rPr>
        <w:t>mutatis mutandis</w:t>
      </w:r>
      <w:r>
        <w:rPr>
          <w:noProof/>
        </w:rPr>
        <w:t xml:space="preserve"> piemēro 2.–4. punktu.</w:t>
      </w:r>
    </w:p>
    <w:p w:rsidR="003E022D" w:rsidRDefault="007D19D6">
      <w:pPr>
        <w:rPr>
          <w:noProof/>
        </w:rPr>
      </w:pPr>
      <w:r>
        <w:rPr>
          <w:noProof/>
        </w:rPr>
        <w:t>5.            Katra Puse var bez iepriekšējas apspriešanās saskaņā ar INST.13. pantu [Apsprieša</w:t>
      </w:r>
      <w:r>
        <w:rPr>
          <w:noProof/>
        </w:rPr>
        <w:t>nās], uzsākt INST.14. pantā [Šķīrējtiesas procedūra] minēto šķīrējtiesas procedūru, lai apstrīdētu pasākumu, ko veikusi otra Puse, piemērojot šā panta 1. līdz 5. punktu.</w:t>
      </w:r>
    </w:p>
    <w:p w:rsidR="003E022D" w:rsidRDefault="007D19D6">
      <w:pPr>
        <w:spacing w:after="0"/>
        <w:rPr>
          <w:noProof/>
        </w:rPr>
      </w:pPr>
      <w:r>
        <w:rPr>
          <w:noProof/>
        </w:rPr>
        <w:t>6.            Šā panta 1. punktā minētos aizsardzības pasākumus un 5. punktā minētos l</w:t>
      </w:r>
      <w:r>
        <w:rPr>
          <w:noProof/>
        </w:rPr>
        <w:t>īdzsvara atjaunošanas pasākumus var veikt arī saistībā ar papildinošo nolīgumu, ja vien tajā nav paredzēts citādi.</w:t>
      </w:r>
    </w:p>
    <w:p w:rsidR="003E022D" w:rsidRDefault="007D19D6">
      <w:pPr>
        <w:spacing w:after="0"/>
        <w:rPr>
          <w:rFonts w:asciiTheme="majorHAnsi" w:hAnsiTheme="majorHAnsi"/>
          <w:noProof/>
        </w:rPr>
      </w:pPr>
      <w:r>
        <w:rPr>
          <w:noProof/>
        </w:rPr>
        <w:br w:type="page"/>
      </w:r>
    </w:p>
    <w:p w:rsidR="003E022D" w:rsidRDefault="007D19D6">
      <w:pPr>
        <w:pStyle w:val="Heading1"/>
        <w:rPr>
          <w:noProof/>
        </w:rPr>
      </w:pPr>
      <w:bookmarkStart w:id="935" w:name="_Toc59988383"/>
      <w:r>
        <w:rPr>
          <w:noProof/>
        </w:rPr>
        <w:t>SEPTĪTĀ DAĻA. NOBEIGUMA NOTEIKUMI</w:t>
      </w:r>
      <w:bookmarkEnd w:id="935"/>
    </w:p>
    <w:p w:rsidR="003E022D" w:rsidRDefault="007D19D6">
      <w:pPr>
        <w:keepNext/>
        <w:pBdr>
          <w:top w:val="nil"/>
          <w:left w:val="nil"/>
          <w:bottom w:val="nil"/>
          <w:right w:val="nil"/>
          <w:between w:val="nil"/>
        </w:pBdr>
        <w:spacing w:before="120"/>
        <w:jc w:val="center"/>
        <w:rPr>
          <w:rFonts w:eastAsia="Calibri" w:cs="Calibri"/>
          <w:noProof/>
          <w:color w:val="000000"/>
        </w:rPr>
      </w:pPr>
      <w:r>
        <w:rPr>
          <w:noProof/>
          <w:color w:val="000000"/>
        </w:rPr>
        <w:t>FINPROV.1. pants. Teritoriālā darbības joma</w:t>
      </w:r>
    </w:p>
    <w:p w:rsidR="003E022D" w:rsidRDefault="007D19D6">
      <w:pPr>
        <w:rPr>
          <w:noProof/>
        </w:rPr>
      </w:pPr>
      <w:r>
        <w:rPr>
          <w:noProof/>
        </w:rPr>
        <w:t>1.</w:t>
      </w:r>
      <w:r>
        <w:rPr>
          <w:noProof/>
        </w:rPr>
        <w:tab/>
        <w:t>Šo nolīgumu piemēro:</w:t>
      </w:r>
    </w:p>
    <w:p w:rsidR="003E022D" w:rsidRDefault="007D19D6">
      <w:pPr>
        <w:numPr>
          <w:ilvl w:val="0"/>
          <w:numId w:val="1281"/>
        </w:numPr>
        <w:ind w:left="567" w:hanging="567"/>
        <w:rPr>
          <w:noProof/>
        </w:rPr>
      </w:pPr>
      <w:r>
        <w:rPr>
          <w:noProof/>
        </w:rPr>
        <w:t>teritorijām, kurās piemēro Līgumu par</w:t>
      </w:r>
      <w:r>
        <w:rPr>
          <w:noProof/>
        </w:rPr>
        <w:t xml:space="preserve"> Eiropas Savienību, Līgumu par Eiropas Savienības darbību un Eiropas Atomenerģijas kopienas dibināšanas līgumu, un saskaņā ar minētajos līgumos paredzētajiem nosacījumiem un </w:t>
      </w:r>
    </w:p>
    <w:p w:rsidR="003E022D" w:rsidRDefault="007D19D6">
      <w:pPr>
        <w:numPr>
          <w:ilvl w:val="0"/>
          <w:numId w:val="1281"/>
        </w:numPr>
        <w:ind w:left="567" w:hanging="567"/>
        <w:rPr>
          <w:noProof/>
        </w:rPr>
      </w:pPr>
      <w:r>
        <w:rPr>
          <w:noProof/>
        </w:rPr>
        <w:t>Apvienotās Karalistes teritorijai.</w:t>
      </w:r>
    </w:p>
    <w:p w:rsidR="003E022D" w:rsidRDefault="007D19D6">
      <w:pPr>
        <w:rPr>
          <w:noProof/>
        </w:rPr>
      </w:pPr>
      <w:r>
        <w:rPr>
          <w:noProof/>
        </w:rPr>
        <w:t xml:space="preserve">2. </w:t>
      </w:r>
      <w:r>
        <w:rPr>
          <w:noProof/>
        </w:rPr>
        <w:tab/>
        <w:t>Šo nolīgumu piemēro arī Gērnsijas Teritori</w:t>
      </w:r>
      <w:r>
        <w:rPr>
          <w:noProof/>
        </w:rPr>
        <w:t>ālajai Vienībai, Džērsijas Teritoriālajai Vienībai vai Menas Salai, ciktāl tas noteikts šā nolīguma otrās daļas piektajā tematā [Zvejniecība] un sestā temata [Citi noteikumi] OTH.9. pantā [Ģeogrāfiskā piemērošana].</w:t>
      </w:r>
    </w:p>
    <w:p w:rsidR="003E022D" w:rsidRDefault="007D19D6">
      <w:pPr>
        <w:rPr>
          <w:noProof/>
        </w:rPr>
      </w:pPr>
      <w:r>
        <w:rPr>
          <w:noProof/>
        </w:rPr>
        <w:t xml:space="preserve">3. </w:t>
      </w:r>
      <w:r>
        <w:rPr>
          <w:noProof/>
        </w:rPr>
        <w:tab/>
        <w:t>Šo nolīgumu nepiemēro Gibraltāram, un</w:t>
      </w:r>
      <w:r>
        <w:rPr>
          <w:noProof/>
        </w:rPr>
        <w:t xml:space="preserve"> tas nerada nekādas sekas minētajā teritorijā.</w:t>
      </w:r>
    </w:p>
    <w:p w:rsidR="003E022D" w:rsidRDefault="007D19D6">
      <w:pPr>
        <w:rPr>
          <w:noProof/>
        </w:rPr>
      </w:pPr>
      <w:r>
        <w:rPr>
          <w:noProof/>
        </w:rPr>
        <w:t>4.</w:t>
      </w:r>
      <w:r>
        <w:rPr>
          <w:noProof/>
        </w:rPr>
        <w:tab/>
        <w:t>Šo nolīgumu nepiemēro šādām aizjūras teritorijām, kurām ir īpašas attiecības ar Apvienoto Karalisti: Angilja, Bermudu salas, Britu teritorija Antarktikā, Britu Indijas Okeāna Teritorija Britu Virdžīnu salas</w:t>
      </w:r>
      <w:r>
        <w:rPr>
          <w:noProof/>
        </w:rPr>
        <w:t>, Kaimanu salas, Folklenda salas, Montserrata, Pitkērnas, Hendersona, Dučas un Oeno salas, Svētās Helēnas sala, Debesbraukšanas sala un Tristana da Kuņas sala, Dienviddžordžija un Dienvidsendviču salas un Tērksas un Kaikosas salas.</w:t>
      </w:r>
    </w:p>
    <w:p w:rsidR="003E022D" w:rsidRDefault="007D19D6">
      <w:pPr>
        <w:keepNext/>
        <w:pBdr>
          <w:top w:val="nil"/>
          <w:left w:val="nil"/>
          <w:bottom w:val="nil"/>
          <w:right w:val="nil"/>
          <w:between w:val="nil"/>
        </w:pBdr>
        <w:spacing w:before="120"/>
        <w:jc w:val="center"/>
        <w:rPr>
          <w:rFonts w:eastAsia="Calibri" w:cs="Calibri"/>
          <w:noProof/>
          <w:color w:val="000000"/>
        </w:rPr>
      </w:pPr>
      <w:r>
        <w:rPr>
          <w:noProof/>
          <w:color w:val="000000"/>
        </w:rPr>
        <w:t>FINPROV.2. pants. Saistī</w:t>
      </w:r>
      <w:r>
        <w:rPr>
          <w:noProof/>
          <w:color w:val="000000"/>
        </w:rPr>
        <w:t xml:space="preserve">ba ar citiem nolīgumiem </w:t>
      </w:r>
    </w:p>
    <w:p w:rsidR="003E022D" w:rsidRDefault="007D19D6">
      <w:pPr>
        <w:rPr>
          <w:noProof/>
        </w:rPr>
      </w:pPr>
      <w:r>
        <w:rPr>
          <w:noProof/>
        </w:rPr>
        <w:t>Šo nolīgumu un jebkuru papildinošo nolīgumu piemēro, neskarot nevienu agrāku divpusēju nolīgumu starp Apvienoto Karalisti, no vienas puses, un Savienību un Eiropas Atomenerģijas kopienu, no otras puses. Puses atkārtoti apstiprina s</w:t>
      </w:r>
      <w:r>
        <w:rPr>
          <w:noProof/>
        </w:rPr>
        <w:t xml:space="preserve">avu pienākumu īstenot jebkuru šādu nolīgumu. </w:t>
      </w:r>
    </w:p>
    <w:p w:rsidR="003E022D" w:rsidRDefault="007D19D6">
      <w:pPr>
        <w:keepNext/>
        <w:pBdr>
          <w:top w:val="nil"/>
          <w:left w:val="nil"/>
          <w:bottom w:val="nil"/>
          <w:right w:val="nil"/>
          <w:between w:val="nil"/>
        </w:pBdr>
        <w:spacing w:before="120"/>
        <w:jc w:val="center"/>
        <w:rPr>
          <w:rFonts w:eastAsia="Calibri" w:cs="Calibri"/>
          <w:noProof/>
          <w:color w:val="000000"/>
        </w:rPr>
      </w:pPr>
      <w:bookmarkStart w:id="936" w:name="_heading=h.1fob9te"/>
      <w:bookmarkEnd w:id="936"/>
      <w:r>
        <w:rPr>
          <w:noProof/>
          <w:color w:val="000000"/>
        </w:rPr>
        <w:t>FINPROV.3. pants. Pārskatīšana</w:t>
      </w:r>
    </w:p>
    <w:p w:rsidR="003E022D" w:rsidRDefault="007D19D6">
      <w:pPr>
        <w:rPr>
          <w:noProof/>
        </w:rPr>
      </w:pPr>
      <w:r>
        <w:rPr>
          <w:noProof/>
        </w:rPr>
        <w:t>Puses kopīgi pārskata šā nolīguma un papildinošo nolīgumu īstenošanu un visus ar to saistītos jautājumus piecus gadus pēc šā nolīguma stāšanās spēkā un pēc tam reizi piecos gados.</w:t>
      </w:r>
      <w:r>
        <w:rPr>
          <w:noProof/>
        </w:rPr>
        <w:t xml:space="preserve"> </w:t>
      </w:r>
    </w:p>
    <w:p w:rsidR="003E022D" w:rsidRDefault="007D19D6">
      <w:pPr>
        <w:keepNext/>
        <w:pBdr>
          <w:top w:val="nil"/>
          <w:left w:val="nil"/>
          <w:bottom w:val="nil"/>
          <w:right w:val="nil"/>
          <w:between w:val="nil"/>
        </w:pBdr>
        <w:spacing w:before="120"/>
        <w:jc w:val="center"/>
        <w:rPr>
          <w:rFonts w:eastAsia="Calibri" w:cs="Calibri"/>
          <w:noProof/>
          <w:color w:val="000000"/>
        </w:rPr>
      </w:pPr>
      <w:bookmarkStart w:id="937" w:name="_heading=h.3znysh7"/>
      <w:bookmarkEnd w:id="937"/>
      <w:r>
        <w:rPr>
          <w:noProof/>
          <w:color w:val="000000"/>
        </w:rPr>
        <w:t>FINPROV.6. pants. Klasificēta informācija un sensitīva neklasificēta informācija</w:t>
      </w:r>
    </w:p>
    <w:p w:rsidR="003E022D" w:rsidRDefault="007D19D6">
      <w:pPr>
        <w:rPr>
          <w:noProof/>
        </w:rPr>
      </w:pPr>
      <w:r>
        <w:rPr>
          <w:noProof/>
        </w:rPr>
        <w:t xml:space="preserve">Neko šajā nolīgumā vai jebkurā papildinošā nolīgumā neinterpretē kā prasību Pusei darīt pieejamu klasificētu informāciju. </w:t>
      </w:r>
    </w:p>
    <w:p w:rsidR="003E022D" w:rsidRDefault="007D19D6">
      <w:pPr>
        <w:rPr>
          <w:noProof/>
        </w:rPr>
      </w:pPr>
      <w:r>
        <w:rPr>
          <w:noProof/>
        </w:rPr>
        <w:t>Klasificētu informāciju vai materiālus, ko Puses sniedz vai ar ko Puses apmainās saskaņā ar šo nolīgumu vai jebkuru papildinošu nolīgumu, apstrādā un aizsargā saskaņā ar Nolīgumu par drošības procedūrām klasificētas informācijas apmaiņai un aizsardzībai un</w:t>
      </w:r>
      <w:r>
        <w:rPr>
          <w:noProof/>
        </w:rPr>
        <w:t xml:space="preserve"> visiem saskaņā ar to noslēgtajiem īstenošanas pasākumiem. </w:t>
      </w:r>
    </w:p>
    <w:p w:rsidR="003E022D" w:rsidRDefault="007D19D6">
      <w:pPr>
        <w:rPr>
          <w:noProof/>
        </w:rPr>
      </w:pPr>
      <w:r>
        <w:rPr>
          <w:noProof/>
        </w:rPr>
        <w:t xml:space="preserve">Puses vienojas par apstrādes instrukcijām, lai nodrošinātu sensitīvas neklasificētas informācijas, ar kuru tās savstarpēji apmainās, aizsardzību.  </w:t>
      </w:r>
    </w:p>
    <w:p w:rsidR="003E022D" w:rsidRDefault="007D19D6">
      <w:pPr>
        <w:keepNext/>
        <w:pBdr>
          <w:top w:val="nil"/>
          <w:left w:val="nil"/>
          <w:bottom w:val="nil"/>
          <w:right w:val="nil"/>
          <w:between w:val="nil"/>
        </w:pBdr>
        <w:spacing w:before="120"/>
        <w:jc w:val="center"/>
        <w:rPr>
          <w:rFonts w:eastAsia="Calibri" w:cs="Calibri"/>
          <w:noProof/>
          <w:color w:val="000000"/>
        </w:rPr>
      </w:pPr>
      <w:bookmarkStart w:id="938" w:name="_heading=h.2et92p0"/>
      <w:bookmarkEnd w:id="938"/>
      <w:r>
        <w:rPr>
          <w:noProof/>
          <w:color w:val="000000"/>
        </w:rPr>
        <w:t>FINPROV.7. pants. Šā nolīguma neatņemamas daļas</w:t>
      </w:r>
    </w:p>
    <w:p w:rsidR="003E022D" w:rsidRDefault="007D19D6">
      <w:pPr>
        <w:rPr>
          <w:noProof/>
        </w:rPr>
      </w:pPr>
      <w:r>
        <w:rPr>
          <w:noProof/>
        </w:rPr>
        <w:t>1.</w:t>
      </w:r>
      <w:r>
        <w:rPr>
          <w:noProof/>
        </w:rPr>
        <w:tab/>
        <w:t>Šā nolīguma protokoli, pielikumi, papildinājumi un zemsvītras piezīmes ir šā nolīguma neatņemamas daļas.</w:t>
      </w:r>
    </w:p>
    <w:p w:rsidR="003E022D" w:rsidRDefault="007D19D6">
      <w:pPr>
        <w:spacing w:before="40" w:after="40" w:line="252" w:lineRule="auto"/>
        <w:rPr>
          <w:noProof/>
        </w:rPr>
      </w:pPr>
      <w:r>
        <w:rPr>
          <w:noProof/>
        </w:rPr>
        <w:t>2.</w:t>
      </w:r>
      <w:r>
        <w:rPr>
          <w:noProof/>
        </w:rPr>
        <w:tab/>
        <w:t>Visi šā nolīguma pielikumi, tostarp to papildinājumi, ir neatņemama sastāvdaļa iedaļai, nodaļai, sadaļai, tematam vai protokolam, kurā ir atsauce</w:t>
      </w:r>
      <w:r>
        <w:rPr>
          <w:noProof/>
        </w:rPr>
        <w:t xml:space="preserve"> uz minēto pielikumu vai uz kuru atsaucas minētajā pielikumā. Lielākai noteiktībai:</w:t>
      </w:r>
    </w:p>
    <w:p w:rsidR="003E022D" w:rsidRDefault="003E022D">
      <w:pPr>
        <w:spacing w:before="40" w:after="40" w:line="252" w:lineRule="auto"/>
        <w:ind w:left="360"/>
        <w:rPr>
          <w:noProof/>
        </w:rPr>
      </w:pPr>
    </w:p>
    <w:p w:rsidR="003E022D" w:rsidRDefault="007D19D6">
      <w:pPr>
        <w:numPr>
          <w:ilvl w:val="0"/>
          <w:numId w:val="1280"/>
        </w:numPr>
        <w:spacing w:after="160" w:line="252" w:lineRule="auto"/>
        <w:ind w:left="360"/>
        <w:rPr>
          <w:noProof/>
        </w:rPr>
      </w:pPr>
      <w:r>
        <w:rPr>
          <w:noProof/>
        </w:rPr>
        <w:t>Pielikums INST-X [PARTNERĪBAS PADOMES UN KOMITEJU REGLAMENTS] ir pirmās daļas III sadaļas [Noteikumi par iestādēm] neatņemama sastāvdaļa;</w:t>
      </w:r>
    </w:p>
    <w:p w:rsidR="003E022D" w:rsidRDefault="007D19D6">
      <w:pPr>
        <w:numPr>
          <w:ilvl w:val="0"/>
          <w:numId w:val="1280"/>
        </w:numPr>
        <w:spacing w:after="160" w:line="252" w:lineRule="auto"/>
        <w:ind w:left="360"/>
        <w:rPr>
          <w:noProof/>
        </w:rPr>
      </w:pPr>
      <w:bookmarkStart w:id="939" w:name="_heading=h.tyjcwt"/>
      <w:bookmarkEnd w:id="939"/>
      <w:r>
        <w:rPr>
          <w:noProof/>
        </w:rPr>
        <w:t>pielikumi ORIG-1 [IEVADPIEZĪMES P</w:t>
      </w:r>
      <w:r>
        <w:rPr>
          <w:noProof/>
        </w:rPr>
        <w:t xml:space="preserve">AR KONKRĒTIEM RAŽOJUMIEM PIEMĒROJAMAJIEM IZCELSMES NOTEIKUMIEM], ORIG-2 [KONKRĒTIEM RAŽOJUMIEM PIEMĒROJAMIE IZCELSMES NOTEIKUMI], ORIG-2A [IZCELSMES KVOTAS UN ALTERNATĪVAS KONKRĒTIEM RAŽOJUMIEM PIEMĒROJAMIEM IZCELSMES NOTEIKUMIEM ORIG-2 PIELIKUMĀ, ORIG-2B </w:t>
      </w:r>
      <w:r>
        <w:rPr>
          <w:noProof/>
        </w:rPr>
        <w:t>[KONKRĒTIEM RAŽOJUMIEM PIEMĒROJAMI PĀREJAS NOTEIKUMI ELEKTRISKAJIEM AKUMULATORIEM UN ELEKTRIFICĒTIEM TRANSPORTLĪDZEKĻIEM], ORIG-3 [PIEGĀDĀTĀJA DEKLARĀCIJA], ORIG-4 [PAZIŅOJUMA PAR IZCELSMI TEKSTS], ORIG-5 [KOPĪGĀ DEKLARĀCIJA PAR ANDORAS FIRSTISTI] un ORIG-</w:t>
      </w:r>
      <w:r>
        <w:rPr>
          <w:noProof/>
        </w:rPr>
        <w:t>6 [KOPĪGĀ DEKLARĀCIJA PAR SANMARĪNO REPUBLIKU] ir otrās daļas pirmā temata I sadaļas otrās nodaļas [Izcelsmes noteikumi] neatņemama sastāvdaļa;</w:t>
      </w:r>
    </w:p>
    <w:p w:rsidR="003E022D" w:rsidRDefault="007D19D6">
      <w:pPr>
        <w:numPr>
          <w:ilvl w:val="0"/>
          <w:numId w:val="1280"/>
        </w:numPr>
        <w:spacing w:after="160" w:line="252" w:lineRule="auto"/>
        <w:ind w:left="360"/>
        <w:rPr>
          <w:noProof/>
        </w:rPr>
      </w:pPr>
      <w:r>
        <w:rPr>
          <w:noProof/>
        </w:rPr>
        <w:t>SPS-1. pielikums [SPS.19. PANTA d) PUNKTĀ MINĒTIE KRITĒRIJI] ir otrās daļas pirmā temata I sadaļas trešās nodaļa</w:t>
      </w:r>
      <w:r>
        <w:rPr>
          <w:noProof/>
        </w:rPr>
        <w:t>s [Sanitārie un fitosanitārie pasākumi] neatņemama sastāvdaļa;</w:t>
      </w:r>
    </w:p>
    <w:p w:rsidR="003E022D" w:rsidRDefault="007D19D6">
      <w:pPr>
        <w:numPr>
          <w:ilvl w:val="0"/>
          <w:numId w:val="1280"/>
        </w:numPr>
        <w:spacing w:after="160" w:line="252" w:lineRule="auto"/>
        <w:ind w:left="360"/>
        <w:rPr>
          <w:noProof/>
        </w:rPr>
      </w:pPr>
      <w:r>
        <w:rPr>
          <w:noProof/>
        </w:rPr>
        <w:t>TBT-XX. pielikums [TBT.9. PANTA 4. PUNKTĀ MINĒTĀ KĀRTĪBA REGULĀRAI INFORMĀCIJAS APMAIŅAI SAISTĪBĀ AR NEPĀRTIKAS PREČU DROŠUMU UN SAISTĪTIEM PREVENTĪVIEM, IEROBEŽOJOŠIEM UN KOREKTĪVIEM PASĀKUMIE</w:t>
      </w:r>
      <w:r>
        <w:rPr>
          <w:noProof/>
        </w:rPr>
        <w:t>M], TBT-ZZ. pielikums [TBT.9. PANTA 5. PUNKTĀ MINĒTĀ KĀRTĪBA REGULĀRAI INFORMĀCIJAS APMAIŅAI PAR PASĀKUMIEM, KAS VEIKTI ATTIECĪBĀ UZ NEATBILSTĪGIEM NEPĀRTIKAS PRODUKTIEM, IZŅEMOT TOS, UZ KURIEM ATTIECAS TBT.9. PANTA 4. PUNKTS], TBT-1. pielikums [MEHĀNISKIE</w:t>
      </w:r>
      <w:r>
        <w:rPr>
          <w:noProof/>
        </w:rPr>
        <w:t xml:space="preserve"> TRANSPORTLĪDZEKĻI UN APRĪKOJUMS UN TO DETAĻAS], TBT-2. pielikums [ZĀLES], TBT-3. pielikums [ĶIMIKĀLIJAS], TBT-4. pielikums [BIOLOĢISKIE PRODUKTI] un TBT-5. pielikums [VĪNA TIRDZNIECĪBA] ir otrās daļas pirmā temata I sadaļas ceturtās nodaļas [Tehniski šķēr</w:t>
      </w:r>
      <w:r>
        <w:rPr>
          <w:noProof/>
        </w:rPr>
        <w:t>šļi tirdzniecībai] neatņemama sastāvdaļa;</w:t>
      </w:r>
    </w:p>
    <w:p w:rsidR="003E022D" w:rsidRDefault="007D19D6">
      <w:pPr>
        <w:numPr>
          <w:ilvl w:val="0"/>
          <w:numId w:val="1280"/>
        </w:numPr>
        <w:spacing w:after="160" w:line="252" w:lineRule="auto"/>
        <w:ind w:left="360"/>
        <w:rPr>
          <w:noProof/>
        </w:rPr>
      </w:pPr>
      <w:r>
        <w:rPr>
          <w:noProof/>
        </w:rPr>
        <w:t>CUSTMS-1. pielikums [ATZĪTIE UZŅĒMĒJI] ir otrās daļas pirmā temata I sadaļas piektās nodaļas [Muitas un tirdzniecības atvieglošana] neatņemama sastāvdaļa;</w:t>
      </w:r>
    </w:p>
    <w:p w:rsidR="003E022D" w:rsidRDefault="007D19D6">
      <w:pPr>
        <w:numPr>
          <w:ilvl w:val="0"/>
          <w:numId w:val="1280"/>
        </w:numPr>
        <w:spacing w:after="160" w:line="252" w:lineRule="auto"/>
        <w:ind w:left="360"/>
        <w:rPr>
          <w:noProof/>
        </w:rPr>
      </w:pPr>
      <w:r>
        <w:rPr>
          <w:noProof/>
        </w:rPr>
        <w:t>SERVIN-1. pielikums [SPĒKĀ ESOŠIE PASĀKUMI], SERVIN-2. piel</w:t>
      </w:r>
      <w:r>
        <w:rPr>
          <w:noProof/>
        </w:rPr>
        <w:t>ikums [NĀKOTNES PASĀKUMI], SERVIN-3. pielikums [VIESDARBINIEKI UZŅĒMDARBĪBAS VEIKŠANAS NOLŪKOS, UZŅĒMUMA IETVAROS PĀRCELTI DARBINIEKI UN ĪSTERMIŅA VIESDARBINIEKI], SERVIN-4. pielikums [LĪGUMPAKALPOJUMU SNIEDZĒJI UN NEATKARĪGIE SPECIĀLISTI], SERVIN-5. pieli</w:t>
      </w:r>
      <w:r>
        <w:rPr>
          <w:noProof/>
        </w:rPr>
        <w:t>kums [ FIZISKU PERSONU PĀRVIETOŠANĀS] un SERVIN-6. pielikums [ VADLĪNIJAS PAR PROFESIONĀLO KVALIFIKĀCIJU ATZĪŠANAS KĀRTĪBU] ir otrās daļas pirmā temata II sadaļas [Pakalpojumi un investīcijas] neatņemama sastāvdaļa;</w:t>
      </w:r>
    </w:p>
    <w:p w:rsidR="003E022D" w:rsidRDefault="007D19D6">
      <w:pPr>
        <w:numPr>
          <w:ilvl w:val="0"/>
          <w:numId w:val="1280"/>
        </w:numPr>
        <w:spacing w:after="160" w:line="252" w:lineRule="auto"/>
        <w:ind w:left="360"/>
        <w:rPr>
          <w:noProof/>
        </w:rPr>
      </w:pPr>
      <w:r>
        <w:rPr>
          <w:noProof/>
        </w:rPr>
        <w:t>PPROC-1. pielikums [PUBLISKAIS IEPIRKUMS</w:t>
      </w:r>
      <w:r>
        <w:rPr>
          <w:noProof/>
        </w:rPr>
        <w:t>] ir otrās daļas pirmā temata VI sadaļas [Publiskais iepirkums] neatņemama sastāvdaļa;</w:t>
      </w:r>
    </w:p>
    <w:p w:rsidR="003E022D" w:rsidRDefault="007D19D6">
      <w:pPr>
        <w:numPr>
          <w:ilvl w:val="0"/>
          <w:numId w:val="1280"/>
        </w:numPr>
        <w:spacing w:after="160" w:line="252" w:lineRule="auto"/>
        <w:ind w:left="360"/>
        <w:rPr>
          <w:noProof/>
        </w:rPr>
      </w:pPr>
      <w:r>
        <w:rPr>
          <w:noProof/>
        </w:rPr>
        <w:t>ENER-1. pielikums [ENERGOPRODUKTU, OGĻŪDEŅRAŽU UN IZEJVIELU SARAKSTI], ENER-2. pielikuma [SUBSĪDIJAS ENERĢĒTIKAS UN VIDES JOMĀ], ENER-3. pielikuma [TREŠO PERSONU PIEKĻUV</w:t>
      </w:r>
      <w:r>
        <w:rPr>
          <w:noProof/>
        </w:rPr>
        <w:t>ES NEPIEMĒROŠANA UN ĪPAŠUMTIESĪBU NODALĪŠANA INFRASTRUKTŪRAI] un ENER-4. pielikums [ELEKTROENERĢIJAS STARPSAVIENOTĀJU JAUDAS PIEŠĶIRŠANA NĀKAMĀS DIENAS TIRGUS LAIKPOSMĀ] ir otrās daļas pirmā temata VIII sadaļas [Enerģija] neatņemama sastāvdaļa;</w:t>
      </w:r>
    </w:p>
    <w:p w:rsidR="003E022D" w:rsidRDefault="007D19D6">
      <w:pPr>
        <w:numPr>
          <w:ilvl w:val="0"/>
          <w:numId w:val="1280"/>
        </w:numPr>
        <w:spacing w:after="160" w:line="252" w:lineRule="auto"/>
        <w:ind w:left="360"/>
        <w:rPr>
          <w:noProof/>
        </w:rPr>
      </w:pPr>
      <w:r>
        <w:rPr>
          <w:noProof/>
        </w:rPr>
        <w:t>ENER-2. pie</w:t>
      </w:r>
      <w:r>
        <w:rPr>
          <w:noProof/>
        </w:rPr>
        <w:t>likums [SUBSĪDIJAS ENERĢĒTIKAS UN VIDES JOMĀ] ir otrās daļas pirmā temata XI sadaļas [VIENLĪDZĪGI APSTĀKĻI ATVĒRTAI UN GODĪGAI KONKURENCEI UN ILGTSPĒJĪGAI ATTĪSTĪBAI] neatņemama sastāvdaļa;</w:t>
      </w:r>
    </w:p>
    <w:p w:rsidR="003E022D" w:rsidRDefault="007D19D6">
      <w:pPr>
        <w:numPr>
          <w:ilvl w:val="0"/>
          <w:numId w:val="1280"/>
        </w:numPr>
        <w:spacing w:after="160" w:line="252" w:lineRule="auto"/>
        <w:ind w:left="360"/>
        <w:rPr>
          <w:noProof/>
        </w:rPr>
      </w:pPr>
      <w:r>
        <w:rPr>
          <w:noProof/>
        </w:rPr>
        <w:t>AVSAF-1 pielikums [SERTIFIKĀCIJA LIDOJUMDERĪGUMA UN VIDES JOMĀ] un</w:t>
      </w:r>
      <w:r>
        <w:rPr>
          <w:noProof/>
        </w:rPr>
        <w:t xml:space="preserve"> jebkurš pielikums, kas pieņemts saskaņā ar AVSAF.12. pantu [Sadaļas pielikumu pieņemšana un grozīšana], ir otrās daļas otrā temata otrās sadaļas [Aviācijas drošums] neatņemama sastāvdaļa;</w:t>
      </w:r>
    </w:p>
    <w:p w:rsidR="003E022D" w:rsidRDefault="007D19D6">
      <w:pPr>
        <w:numPr>
          <w:ilvl w:val="0"/>
          <w:numId w:val="1280"/>
        </w:numPr>
        <w:spacing w:after="160" w:line="252" w:lineRule="auto"/>
        <w:ind w:left="360"/>
        <w:rPr>
          <w:noProof/>
        </w:rPr>
      </w:pPr>
      <w:r>
        <w:rPr>
          <w:noProof/>
        </w:rPr>
        <w:t>ROAD-1. pielikums [KRAVU AUTOPĀRVADĀJUMI] ir otrās daļas trešā tema</w:t>
      </w:r>
      <w:r>
        <w:rPr>
          <w:noProof/>
        </w:rPr>
        <w:t>ta I sadaļas [Kravu autopārvadājumi] neatņemama sastāvdaļa;</w:t>
      </w:r>
    </w:p>
    <w:p w:rsidR="003E022D" w:rsidRDefault="007D19D6">
      <w:pPr>
        <w:numPr>
          <w:ilvl w:val="0"/>
          <w:numId w:val="1280"/>
        </w:numPr>
        <w:spacing w:after="160" w:line="252" w:lineRule="auto"/>
        <w:ind w:left="360"/>
        <w:rPr>
          <w:noProof/>
        </w:rPr>
      </w:pPr>
      <w:r>
        <w:rPr>
          <w:noProof/>
        </w:rPr>
        <w:t>ROAD-2. pielikums [REGULĀRO UN SPECIĀLO REGULĀRO STARPTAUTISKO PĀRVADĀJUMU ATĻAUJAS PARAUGS ], ROAD-3. pielikums [REGULĀRO UN SPECIĀLO REGULĀRO STARPTAUTISKO PĀRVADĀJUMU ATĻAUJAS PIETEIKUMA PARAUG</w:t>
      </w:r>
      <w:r>
        <w:rPr>
          <w:noProof/>
        </w:rPr>
        <w:t>S] un ROAD-4. pielikums [NEREGULĀRO PĀRVADĀJUMU BRAUCIENA VEIDLAPAS PARAUGS] ir otrās daļas trešā temata II sadaļas [Pasažieru autopārvadājumi] neatņemama sastāvdaļa;</w:t>
      </w:r>
    </w:p>
    <w:p w:rsidR="003E022D" w:rsidRDefault="007D19D6">
      <w:pPr>
        <w:numPr>
          <w:ilvl w:val="0"/>
          <w:numId w:val="1280"/>
        </w:numPr>
        <w:spacing w:after="160" w:line="252" w:lineRule="auto"/>
        <w:ind w:left="360"/>
        <w:rPr>
          <w:noProof/>
        </w:rPr>
      </w:pPr>
      <w:r>
        <w:rPr>
          <w:noProof/>
        </w:rPr>
        <w:t>[</w:t>
      </w:r>
      <w:r>
        <w:rPr>
          <w:noProof/>
          <w:color w:val="000000"/>
        </w:rPr>
        <w:t>FISH.1, FISH.2, FISH.3 pielikums un </w:t>
      </w:r>
      <w:r>
        <w:rPr>
          <w:noProof/>
        </w:rPr>
        <w:t>FISH.4. pielikums [PROTOKOLS PAR PIEKĻUVI ŪDEŅIEM] </w:t>
      </w:r>
      <w:r>
        <w:rPr>
          <w:noProof/>
          <w:color w:val="000000"/>
        </w:rPr>
        <w:t>i</w:t>
      </w:r>
      <w:r>
        <w:rPr>
          <w:noProof/>
          <w:color w:val="000000"/>
        </w:rPr>
        <w:t>r otrās daļas piektā temata [Zvejniecības] neatņemama sastāvdaļa]; </w:t>
      </w:r>
    </w:p>
    <w:p w:rsidR="003E022D" w:rsidRDefault="007D19D6">
      <w:pPr>
        <w:numPr>
          <w:ilvl w:val="0"/>
          <w:numId w:val="1280"/>
        </w:numPr>
        <w:spacing w:after="160" w:line="252" w:lineRule="auto"/>
        <w:ind w:left="360"/>
        <w:rPr>
          <w:noProof/>
        </w:rPr>
      </w:pPr>
      <w:r>
        <w:rPr>
          <w:noProof/>
        </w:rPr>
        <w:t>LAW-1. pielikums [APMAIŅA AR DNS, PIRKSTU NOSPIEDUMU UN TRANSPORTLĪDZEKĻU REĢISTRĀCIJAS DATIEM] ir trešās daļas II sadaļas [Apmaiņa ar DNS, pirkstu nospiedumu un transportlīdzekļu reģistrā</w:t>
      </w:r>
      <w:r>
        <w:rPr>
          <w:noProof/>
        </w:rPr>
        <w:t>cijas datiem] neatņemama sastāvdaļa;</w:t>
      </w:r>
    </w:p>
    <w:p w:rsidR="003E022D" w:rsidRDefault="007D19D6">
      <w:pPr>
        <w:numPr>
          <w:ilvl w:val="0"/>
          <w:numId w:val="1280"/>
        </w:numPr>
        <w:spacing w:after="160" w:line="252" w:lineRule="auto"/>
        <w:ind w:left="360"/>
        <w:rPr>
          <w:noProof/>
        </w:rPr>
      </w:pPr>
      <w:r>
        <w:rPr>
          <w:noProof/>
        </w:rPr>
        <w:t>LAW-2. pielikums [PASAŽIERU DATU REĢISTRA DATI] ir trešās daļas III sadaļas [Pasažieru datu reģistra datu pārsūtīšana un apstrāde] neatņemama sastāvdaļa;</w:t>
      </w:r>
    </w:p>
    <w:p w:rsidR="003E022D" w:rsidRDefault="007D19D6">
      <w:pPr>
        <w:numPr>
          <w:ilvl w:val="0"/>
          <w:numId w:val="1280"/>
        </w:numPr>
        <w:spacing w:after="160" w:line="252" w:lineRule="auto"/>
        <w:ind w:left="360"/>
        <w:rPr>
          <w:noProof/>
        </w:rPr>
      </w:pPr>
      <w:r>
        <w:rPr>
          <w:noProof/>
        </w:rPr>
        <w:t>LAW-3. pielikums [EIROPOLA KOMPETENCĒ ESOŠO NOZIEGUMU VEIDI] ir t</w:t>
      </w:r>
      <w:r>
        <w:rPr>
          <w:noProof/>
        </w:rPr>
        <w:t>rešās daļas V sadaļas [Sadarbība ar Eiropolu] neatņemama sastāvdaļa;</w:t>
      </w:r>
    </w:p>
    <w:p w:rsidR="003E022D" w:rsidRDefault="007D19D6">
      <w:pPr>
        <w:numPr>
          <w:ilvl w:val="0"/>
          <w:numId w:val="1280"/>
        </w:numPr>
        <w:spacing w:after="160" w:line="252" w:lineRule="auto"/>
        <w:ind w:left="360"/>
        <w:rPr>
          <w:noProof/>
        </w:rPr>
      </w:pPr>
      <w:r>
        <w:rPr>
          <w:noProof/>
        </w:rPr>
        <w:t>LAW-4. pielikums [</w:t>
      </w:r>
      <w:r>
        <w:rPr>
          <w:i/>
          <w:iCs/>
          <w:noProof/>
        </w:rPr>
        <w:t>EUROJUST</w:t>
      </w:r>
      <w:r>
        <w:rPr>
          <w:noProof/>
        </w:rPr>
        <w:t xml:space="preserve"> KOMPETENCĒ ESOŠO SMAGO NOZIEGUMU VEIDI] ir trešās daļas VI sadaļas [Sadarbība ar </w:t>
      </w:r>
      <w:r>
        <w:rPr>
          <w:i/>
          <w:iCs/>
          <w:noProof/>
        </w:rPr>
        <w:t>Eurojust</w:t>
      </w:r>
      <w:r>
        <w:rPr>
          <w:noProof/>
        </w:rPr>
        <w:t>] neatņemama sastāvdaļa;</w:t>
      </w:r>
    </w:p>
    <w:p w:rsidR="003E022D" w:rsidRDefault="007D19D6">
      <w:pPr>
        <w:numPr>
          <w:ilvl w:val="0"/>
          <w:numId w:val="1280"/>
        </w:numPr>
        <w:spacing w:after="160" w:line="252" w:lineRule="auto"/>
        <w:ind w:left="360"/>
        <w:rPr>
          <w:noProof/>
        </w:rPr>
      </w:pPr>
      <w:r>
        <w:rPr>
          <w:noProof/>
        </w:rPr>
        <w:t>LAW-5. pielikums [APCIETINĀŠANAS ORDERIS] ir t</w:t>
      </w:r>
      <w:r>
        <w:rPr>
          <w:noProof/>
        </w:rPr>
        <w:t>rešās daļas VII sadaļas [Nodošana] neatņemama sastāvdaļa;</w:t>
      </w:r>
    </w:p>
    <w:p w:rsidR="003E022D" w:rsidRDefault="007D19D6">
      <w:pPr>
        <w:numPr>
          <w:ilvl w:val="0"/>
          <w:numId w:val="1280"/>
        </w:numPr>
        <w:spacing w:after="160" w:line="252" w:lineRule="auto"/>
        <w:ind w:left="360"/>
        <w:rPr>
          <w:noProof/>
        </w:rPr>
      </w:pPr>
      <w:r>
        <w:rPr>
          <w:noProof/>
        </w:rPr>
        <w:t>LAW-6. pielikums [APMAIŅA AR INFORMĀCIJU, KAS IZGŪTA NO SODĀMĪBAS REĢISTRA – TEHNISKĀS UN PROCESUĀLĀS SPECIFIKĀCIJAS] ir trešās daļas IX sadaļas [Apmaiņa ar informāciju no sodāmības reģistra] neatņe</w:t>
      </w:r>
      <w:r>
        <w:rPr>
          <w:noProof/>
        </w:rPr>
        <w:t>mama sastāvdaļa;</w:t>
      </w:r>
    </w:p>
    <w:p w:rsidR="003E022D" w:rsidRDefault="007D19D6">
      <w:pPr>
        <w:numPr>
          <w:ilvl w:val="0"/>
          <w:numId w:val="1280"/>
        </w:numPr>
        <w:spacing w:after="160" w:line="252" w:lineRule="auto"/>
        <w:ind w:left="360"/>
        <w:rPr>
          <w:noProof/>
        </w:rPr>
      </w:pPr>
      <w:r>
        <w:rPr>
          <w:noProof/>
        </w:rPr>
        <w:t>LAW-7. pielikums [TERORISMA DEFINĪCIJA] ir trešās daļas III sadaļas [Pasažieru datu reģistra datu pārsūtīšana un apstrāde], VII sadaļas [Nodošana] un XI sadaļas [Iesaldēšana un konfiskācija] neatņemama sastāvdaļa;</w:t>
      </w:r>
    </w:p>
    <w:p w:rsidR="003E022D" w:rsidRDefault="007D19D6">
      <w:pPr>
        <w:numPr>
          <w:ilvl w:val="0"/>
          <w:numId w:val="1280"/>
        </w:numPr>
        <w:spacing w:after="160" w:line="252" w:lineRule="auto"/>
        <w:ind w:left="360"/>
        <w:rPr>
          <w:noProof/>
        </w:rPr>
      </w:pPr>
      <w:r>
        <w:rPr>
          <w:noProof/>
        </w:rPr>
        <w:t>LAW-8. pielikums [IESALDĒ</w:t>
      </w:r>
      <w:r>
        <w:rPr>
          <w:noProof/>
        </w:rPr>
        <w:t>ŠANA UN KONFISKĀCIJA] ir trešās daļas XI sadaļas [Iesaldēšana un konfiskācija] neatņemama sastāvdaļa;</w:t>
      </w:r>
    </w:p>
    <w:p w:rsidR="003E022D" w:rsidRDefault="007D19D6">
      <w:pPr>
        <w:numPr>
          <w:ilvl w:val="0"/>
          <w:numId w:val="1280"/>
        </w:numPr>
        <w:spacing w:after="160" w:line="252" w:lineRule="auto"/>
        <w:ind w:left="360"/>
        <w:rPr>
          <w:noProof/>
        </w:rPr>
      </w:pPr>
      <w:r>
        <w:rPr>
          <w:noProof/>
        </w:rPr>
        <w:t xml:space="preserve">UNPRO-1. pielikums [ FINANŠU NOSACĪJUMU ĪSTENOŠANA [UNPRO.2.1.11. pants.]] ir piektās daļas [Dalības Savienības programmās, pareiza finanšu pārvaldība un </w:t>
      </w:r>
      <w:r>
        <w:rPr>
          <w:noProof/>
        </w:rPr>
        <w:t>finanšu noteikumi] pirmās nodaļas 2. iedaļas [Dalības Savienības programmās un darbībās finansēšanas noteikumi] neatņemama sastāvdaļa;</w:t>
      </w:r>
    </w:p>
    <w:p w:rsidR="003E022D" w:rsidRDefault="007D19D6">
      <w:pPr>
        <w:numPr>
          <w:ilvl w:val="0"/>
          <w:numId w:val="1280"/>
        </w:numPr>
        <w:spacing w:after="160" w:line="252" w:lineRule="auto"/>
        <w:ind w:left="360"/>
        <w:rPr>
          <w:noProof/>
        </w:rPr>
      </w:pPr>
      <w:r>
        <w:rPr>
          <w:noProof/>
        </w:rPr>
        <w:t xml:space="preserve">INST-X. pielikums [STRĪDU IZŠĶIRŠANAS REGLAMENTS] un INST-X. pielikums [ŠĶĪRĒJTIESNEŠU RĪCĪBAS KODEKSS] ir sestās daļas </w:t>
      </w:r>
      <w:r>
        <w:rPr>
          <w:noProof/>
        </w:rPr>
        <w:t>I sadaļas [Strīdu izšķiršana] neatņemama sastāvdaļa;</w:t>
      </w:r>
    </w:p>
    <w:p w:rsidR="003E022D" w:rsidRDefault="007D19D6">
      <w:pPr>
        <w:numPr>
          <w:ilvl w:val="0"/>
          <w:numId w:val="1280"/>
        </w:numPr>
        <w:spacing w:after="160" w:line="252" w:lineRule="auto"/>
        <w:ind w:left="360"/>
        <w:rPr>
          <w:noProof/>
        </w:rPr>
      </w:pPr>
      <w:r>
        <w:rPr>
          <w:noProof/>
        </w:rPr>
        <w:t>PROTOKOLA PAR ADMINISTRATĪVO SADARBĪBU UN KRĀPŠANAS APKAROŠANU PIEVIENOTĀS VĒRTĪBAS NODOKĻA JOMĀ UN PAR SAVSTARPĒJU PALĪDZĪBU PRASĪJUMU PIEDZIŅĀ SAISTĪBĀ AR NODOKĻIEM UN NODEVĀM PIELIKUMS ir Protokola pa</w:t>
      </w:r>
      <w:r>
        <w:rPr>
          <w:noProof/>
        </w:rPr>
        <w:t>r administratīvo sadarbību un krāpšanas apkarošanu pievienotās vērtības nodokļa jomā un par savstarpēju palīdzību prasījumu piedziņā saistībā ar nodokļiem un nodevām neatņemama sastāvdaļa;</w:t>
      </w:r>
    </w:p>
    <w:p w:rsidR="003E022D" w:rsidRDefault="007D19D6">
      <w:pPr>
        <w:numPr>
          <w:ilvl w:val="0"/>
          <w:numId w:val="1280"/>
        </w:numPr>
        <w:spacing w:before="40" w:after="40" w:line="252" w:lineRule="auto"/>
        <w:ind w:left="360"/>
        <w:rPr>
          <w:noProof/>
        </w:rPr>
      </w:pPr>
      <w:r>
        <w:rPr>
          <w:noProof/>
        </w:rPr>
        <w:t>SSC-1. pielikums [DAŽI NAUDAS PABALSTI, KURIEM NEPIEMĒRO ŠO PROTOKO</w:t>
      </w:r>
      <w:r>
        <w:rPr>
          <w:noProof/>
        </w:rPr>
        <w:t>LU], SSC-2. pielikums [IEROBEŽOJUMI ATTIECĪBĀ UZ TIESĪBĀM SAŅEMT PABALSTUS NATŪRĀ PAR PĀRROBEŽU DARBA ŅĒMĒJA ĢIMENES LOCEKĻIEM], SSC-3. pielikums [LIELĀKAS TIESĪBAS PENSIONĀRIEM, KAS ATGRIEŽAS KOMPETENTAJĀ VALSTĪ], SSC-4. pielikums [GADĪJUMI, KAD PROPORCIO</w:t>
      </w:r>
      <w:r>
        <w:rPr>
          <w:noProof/>
        </w:rPr>
        <w:t>NĀLO APRĒĶINU NEIZMANTO VAI TAS NAV PIEMĒROJAMS], SSC-5. pielikums [PABALSTI UN NOLĪGUMI, KAS ĻAUJ PIEMĒROT SSC.49. pantu [Viena veida pabalstu pārklāšanās]], SSC-6. pielikums [ĪPAŠI DALĪBVALSTU UN APVIENOTĀS KARALISTES TIESĪBU AKTU PIEMĒROŠANAS NOTEIKUMI]</w:t>
      </w:r>
      <w:r>
        <w:rPr>
          <w:noProof/>
        </w:rPr>
        <w:t>, SSC-7. pielikums [ĪSTENOŠANAS DAĻA] un SSC-8. pielikums [PĀREJAS NOTEIKUMI SSC.11. PANTA [Norīkotie darba ņēmēji] PIEMĒROŠANAI] un to papildinājumi ir Protokola par sociālā nodrošinājuma kooridināciju neatņemama sastāvdaļa.</w:t>
      </w:r>
    </w:p>
    <w:p w:rsidR="003E022D" w:rsidRDefault="007D19D6">
      <w:pPr>
        <w:keepNext/>
        <w:pBdr>
          <w:top w:val="nil"/>
          <w:left w:val="nil"/>
          <w:bottom w:val="nil"/>
          <w:right w:val="nil"/>
          <w:between w:val="nil"/>
        </w:pBdr>
        <w:spacing w:before="120"/>
        <w:jc w:val="center"/>
        <w:rPr>
          <w:rFonts w:eastAsia="Calibri" w:cs="Calibri"/>
          <w:noProof/>
          <w:color w:val="000000"/>
        </w:rPr>
      </w:pPr>
      <w:r>
        <w:rPr>
          <w:noProof/>
          <w:color w:val="000000"/>
        </w:rPr>
        <w:t>FINPROV.8. pants. Nolīguma izb</w:t>
      </w:r>
      <w:r>
        <w:rPr>
          <w:noProof/>
          <w:color w:val="000000"/>
        </w:rPr>
        <w:t>eigšana</w:t>
      </w:r>
    </w:p>
    <w:p w:rsidR="003E022D" w:rsidRDefault="007D19D6">
      <w:pPr>
        <w:rPr>
          <w:noProof/>
        </w:rPr>
      </w:pPr>
      <w:r>
        <w:rPr>
          <w:noProof/>
        </w:rPr>
        <w:t xml:space="preserve">Katra Puse var izbeigt šo nolīgumu, nosūtot rakstisku paziņojumu pa diplomātiskajiem kanāliem. Šis Nolīgums un jebkurš papildinošais nolīgums zaudē spēku divpadsmitā mēneša pirmajā dienā pēc paziņojuma nosūtīšanas dienas. </w:t>
      </w:r>
    </w:p>
    <w:p w:rsidR="003E022D" w:rsidRDefault="007D19D6">
      <w:pPr>
        <w:keepNext/>
        <w:pBdr>
          <w:top w:val="nil"/>
          <w:left w:val="nil"/>
          <w:bottom w:val="nil"/>
          <w:right w:val="nil"/>
          <w:between w:val="nil"/>
        </w:pBdr>
        <w:spacing w:before="120"/>
        <w:jc w:val="center"/>
        <w:rPr>
          <w:rFonts w:eastAsia="Calibri" w:cs="Calibri"/>
          <w:noProof/>
          <w:color w:val="000000"/>
        </w:rPr>
      </w:pPr>
      <w:bookmarkStart w:id="940" w:name="_heading=h.3dy6vkm"/>
      <w:bookmarkEnd w:id="940"/>
      <w:r>
        <w:rPr>
          <w:noProof/>
          <w:color w:val="000000"/>
        </w:rPr>
        <w:t>FINPROV.9. pants. Autenti</w:t>
      </w:r>
      <w:r>
        <w:rPr>
          <w:noProof/>
          <w:color w:val="000000"/>
        </w:rPr>
        <w:t>skie teksti</w:t>
      </w:r>
    </w:p>
    <w:p w:rsidR="003E022D" w:rsidRDefault="007D19D6">
      <w:pPr>
        <w:rPr>
          <w:rFonts w:eastAsia="Calibri" w:cs="Calibri"/>
          <w:noProof/>
        </w:rPr>
      </w:pPr>
      <w:r>
        <w:rPr>
          <w:noProof/>
        </w:rPr>
        <w:t>Šis nolīgums ir sagatavots divos eksemplāros angļu, bulgāru, čehu, dāņu, franču, grieķu, horvātu, nīderlandiešu, igauņu, itāļu, īru, latviešu, lietuviešu, maltiešu, poļu, portugāļu, rumāņu, slovāku, slovēņu, somu, spāņu, ungāru, vācu un zviedru</w:t>
      </w:r>
      <w:r>
        <w:rPr>
          <w:noProof/>
        </w:rPr>
        <w:t xml:space="preserve"> valodā. Līdz 2021. gada 30. aprīlim visas nolīguma valodu versijas ir pakļautas galīgai juridiskai pārskatīšanai. Neatkarīgi no iepriekšējā teikuma nolīguma angļu valodas versijas galīgās juridiskās pārskatīšanas procesu pabeidz vēlākais līdz FINPROV.11. </w:t>
      </w:r>
      <w:r>
        <w:rPr>
          <w:noProof/>
        </w:rPr>
        <w:t>panta [Stāšanās spēkā un provizoriska piemērošana] 1. punktā minētajai dienai, ja minētā diena ir pirms 2021. gada 30. aprīļa.</w:t>
      </w:r>
    </w:p>
    <w:p w:rsidR="003E022D" w:rsidRDefault="007D19D6">
      <w:pPr>
        <w:rPr>
          <w:rFonts w:eastAsia="Calibri" w:cs="Calibri"/>
          <w:noProof/>
        </w:rPr>
      </w:pPr>
      <w:r>
        <w:rPr>
          <w:noProof/>
        </w:rPr>
        <w:t xml:space="preserve">Valodu versijas, kas izriet no iepriekš minētā galīgās juridiskās pārskatīšanas procesa, </w:t>
      </w:r>
      <w:r>
        <w:rPr>
          <w:i/>
          <w:iCs/>
          <w:noProof/>
        </w:rPr>
        <w:t>ab initio</w:t>
      </w:r>
      <w:r>
        <w:rPr>
          <w:noProof/>
        </w:rPr>
        <w:t xml:space="preserve"> aizstāj parakstītās nolīguma versijas, un tās nosaka kā autentiskas un galīgas, Pusēm apmainoties ar diplomātiskām notām. </w:t>
      </w:r>
    </w:p>
    <w:p w:rsidR="003E022D" w:rsidRDefault="007D19D6">
      <w:pPr>
        <w:keepNext/>
        <w:pBdr>
          <w:top w:val="nil"/>
          <w:left w:val="nil"/>
          <w:bottom w:val="nil"/>
          <w:right w:val="nil"/>
          <w:between w:val="nil"/>
        </w:pBdr>
        <w:spacing w:before="120"/>
        <w:jc w:val="center"/>
        <w:rPr>
          <w:rFonts w:eastAsia="Calibri" w:cs="Calibri"/>
          <w:noProof/>
          <w:color w:val="000000"/>
        </w:rPr>
      </w:pPr>
      <w:r>
        <w:rPr>
          <w:noProof/>
          <w:color w:val="000000"/>
        </w:rPr>
        <w:t>FINPROV.10. pants. Turpmāka pievienošanās Savienībai</w:t>
      </w:r>
    </w:p>
    <w:p w:rsidR="003E022D" w:rsidRDefault="007D19D6">
      <w:pPr>
        <w:spacing w:line="259" w:lineRule="auto"/>
        <w:rPr>
          <w:rFonts w:eastAsia="Times New Roman" w:cs="Times New Roman"/>
          <w:noProof/>
          <w:color w:val="000000"/>
        </w:rPr>
      </w:pPr>
      <w:r>
        <w:rPr>
          <w:noProof/>
          <w:color w:val="000000"/>
        </w:rPr>
        <w:t xml:space="preserve">1. </w:t>
      </w:r>
      <w:r>
        <w:rPr>
          <w:noProof/>
        </w:rPr>
        <w:tab/>
        <w:t>Savienība paziņo Apvienotajai Karalistei par jebkuru jaunu pieteikumu par t</w:t>
      </w:r>
      <w:r>
        <w:rPr>
          <w:noProof/>
        </w:rPr>
        <w:t>rešās valsts pievienošanos Savienībai.</w:t>
      </w:r>
      <w:r>
        <w:rPr>
          <w:noProof/>
          <w:color w:val="000000"/>
        </w:rPr>
        <w:t xml:space="preserve">  </w:t>
      </w:r>
    </w:p>
    <w:p w:rsidR="003E022D" w:rsidRDefault="007D19D6">
      <w:pPr>
        <w:shd w:val="clear" w:color="auto" w:fill="FFFFFF"/>
        <w:spacing w:line="259" w:lineRule="auto"/>
        <w:rPr>
          <w:rFonts w:eastAsia="Calibri" w:cs="Times New Roman"/>
          <w:noProof/>
          <w:color w:val="000000"/>
        </w:rPr>
      </w:pPr>
      <w:r>
        <w:rPr>
          <w:noProof/>
          <w:color w:val="000000"/>
        </w:rPr>
        <w:t xml:space="preserve">2. </w:t>
      </w:r>
      <w:r>
        <w:rPr>
          <w:noProof/>
        </w:rPr>
        <w:tab/>
        <w:t>Risinot sarunas starp Savienību un trešo valsti par tās pievienošanos Savienībai</w:t>
      </w:r>
      <w:r>
        <w:rPr>
          <w:rFonts w:eastAsia="Calibri" w:cs="Times New Roman"/>
          <w:noProof/>
          <w:vertAlign w:val="superscript"/>
        </w:rPr>
        <w:footnoteReference w:id="86"/>
      </w:r>
      <w:r>
        <w:rPr>
          <w:noProof/>
        </w:rPr>
        <w:t>, Savienība cenšas:</w:t>
      </w:r>
    </w:p>
    <w:p w:rsidR="003E022D" w:rsidRDefault="007D19D6">
      <w:pPr>
        <w:shd w:val="clear" w:color="auto" w:fill="FFFFFF"/>
        <w:spacing w:line="259" w:lineRule="auto"/>
        <w:rPr>
          <w:rFonts w:eastAsia="Calibri" w:cs="Times New Roman"/>
          <w:noProof/>
          <w:color w:val="000000"/>
        </w:rPr>
      </w:pPr>
      <w:r>
        <w:rPr>
          <w:noProof/>
          <w:color w:val="000000"/>
        </w:rPr>
        <w:t>a) pēc Apvienotās Karalistes pieprasījuma un, ciktāl iespējams, sniegt informāciju par jebkuru jautājumu, uz k</w:t>
      </w:r>
      <w:r>
        <w:rPr>
          <w:noProof/>
          <w:color w:val="000000"/>
        </w:rPr>
        <w:t>o attiecas šis nolīgums un jebkurš papildinošais nolīgums, un</w:t>
      </w:r>
    </w:p>
    <w:p w:rsidR="003E022D" w:rsidRDefault="007D19D6">
      <w:pPr>
        <w:shd w:val="clear" w:color="auto" w:fill="FFFFFF"/>
        <w:spacing w:line="259" w:lineRule="auto"/>
        <w:rPr>
          <w:rFonts w:eastAsia="Calibri" w:cs="Times New Roman"/>
          <w:noProof/>
          <w:color w:val="000000"/>
        </w:rPr>
      </w:pPr>
      <w:r>
        <w:rPr>
          <w:noProof/>
          <w:color w:val="000000"/>
        </w:rPr>
        <w:t>b) ņemt vērā jebkādas Apvienotās Karalistes paustās bažas.</w:t>
      </w:r>
    </w:p>
    <w:p w:rsidR="003E022D" w:rsidRDefault="007D19D6">
      <w:pPr>
        <w:shd w:val="clear" w:color="auto" w:fill="FFFFFF"/>
        <w:spacing w:line="259" w:lineRule="auto"/>
        <w:rPr>
          <w:rFonts w:eastAsia="Calibri" w:cs="Times New Roman"/>
          <w:noProof/>
          <w:color w:val="000000"/>
        </w:rPr>
      </w:pPr>
      <w:r>
        <w:rPr>
          <w:noProof/>
          <w:color w:val="000000"/>
        </w:rPr>
        <w:t xml:space="preserve">3. </w:t>
      </w:r>
      <w:r>
        <w:rPr>
          <w:noProof/>
        </w:rPr>
        <w:tab/>
      </w:r>
      <w:r>
        <w:rPr>
          <w:noProof/>
          <w:color w:val="000000"/>
        </w:rPr>
        <w:t>Partnerības padome izskata jebkādu ietekmi, ko uz šo nolīgumu un jebkuru papildinošo nolīgumu rada trešās valsts pievienošanās Savi</w:t>
      </w:r>
      <w:r>
        <w:rPr>
          <w:noProof/>
          <w:color w:val="000000"/>
        </w:rPr>
        <w:t>enībai, pietiekami savlaicīgi pirms šādas pievienošanās dienas.</w:t>
      </w:r>
    </w:p>
    <w:p w:rsidR="003E022D" w:rsidRDefault="007D19D6">
      <w:pPr>
        <w:shd w:val="clear" w:color="auto" w:fill="FFFFFF"/>
        <w:spacing w:line="259" w:lineRule="auto"/>
        <w:rPr>
          <w:rFonts w:eastAsia="Calibri" w:cs="Times New Roman"/>
          <w:noProof/>
          <w:color w:val="000000"/>
        </w:rPr>
      </w:pPr>
      <w:r>
        <w:rPr>
          <w:noProof/>
          <w:color w:val="000000"/>
        </w:rPr>
        <w:t xml:space="preserve">4. </w:t>
      </w:r>
      <w:r>
        <w:rPr>
          <w:noProof/>
        </w:rPr>
        <w:tab/>
      </w:r>
      <w:r>
        <w:rPr>
          <w:noProof/>
          <w:color w:val="000000"/>
        </w:rPr>
        <w:t>Ciktāl tas nepieciešams, Apvienotā Karaliste un Savienība pirms nolīguma par trešās valsts pievienošanos Savienībai stāšanās spēkā:</w:t>
      </w:r>
    </w:p>
    <w:p w:rsidR="003E022D" w:rsidRDefault="007D19D6">
      <w:pPr>
        <w:shd w:val="clear" w:color="auto" w:fill="FFFFFF"/>
        <w:spacing w:line="259" w:lineRule="auto"/>
        <w:rPr>
          <w:rFonts w:eastAsia="Calibri" w:cs="Times New Roman"/>
          <w:noProof/>
          <w:color w:val="000000"/>
        </w:rPr>
      </w:pPr>
      <w:r>
        <w:rPr>
          <w:noProof/>
          <w:color w:val="000000"/>
        </w:rPr>
        <w:t>a) groza šo nolīgumu vai jebkuru papildinošo nolīgumu,</w:t>
      </w:r>
    </w:p>
    <w:p w:rsidR="003E022D" w:rsidRDefault="007D19D6">
      <w:pPr>
        <w:shd w:val="clear" w:color="auto" w:fill="FFFFFF"/>
        <w:spacing w:line="259" w:lineRule="auto"/>
        <w:rPr>
          <w:rFonts w:eastAsia="Calibri" w:cs="Times New Roman"/>
          <w:noProof/>
          <w:color w:val="000000"/>
        </w:rPr>
      </w:pPr>
      <w:r>
        <w:rPr>
          <w:noProof/>
          <w:color w:val="000000"/>
        </w:rPr>
        <w:t>b</w:t>
      </w:r>
      <w:r>
        <w:rPr>
          <w:noProof/>
          <w:color w:val="000000"/>
        </w:rPr>
        <w:t>) ar Partnerības padomes lēmumu ievieš jebkurus citus vajadzīgos pielāgojumus vai pārejas pasākumus attiecībā uz šo nolīgumu vai jebkuru papildinošo nolīgumu,</w:t>
      </w:r>
    </w:p>
    <w:p w:rsidR="003E022D" w:rsidRDefault="007D19D6">
      <w:pPr>
        <w:shd w:val="clear" w:color="auto" w:fill="FFFFFF"/>
        <w:spacing w:line="259" w:lineRule="auto"/>
        <w:rPr>
          <w:rFonts w:eastAsia="Calibri" w:cs="Times New Roman"/>
          <w:bCs/>
          <w:noProof/>
          <w:color w:val="000000"/>
        </w:rPr>
      </w:pPr>
      <w:r>
        <w:rPr>
          <w:noProof/>
          <w:color w:val="000000"/>
        </w:rPr>
        <w:t>c) Partnerības padomē pieņem lēmumu par to, vai:</w:t>
      </w:r>
    </w:p>
    <w:p w:rsidR="003E022D" w:rsidRDefault="007D19D6">
      <w:pPr>
        <w:shd w:val="clear" w:color="auto" w:fill="FFFFFF"/>
        <w:spacing w:line="259" w:lineRule="auto"/>
        <w:ind w:left="720"/>
        <w:rPr>
          <w:rFonts w:eastAsia="Calibri" w:cs="Times New Roman"/>
          <w:bCs/>
          <w:noProof/>
          <w:color w:val="000000"/>
        </w:rPr>
      </w:pPr>
      <w:r>
        <w:rPr>
          <w:bCs/>
          <w:noProof/>
          <w:color w:val="000000"/>
        </w:rPr>
        <w:t xml:space="preserve">i) piemērot VSTV.1. pantu [Vīzas īsiem </w:t>
      </w:r>
      <w:r>
        <w:rPr>
          <w:bCs/>
          <w:noProof/>
          <w:color w:val="000000"/>
        </w:rPr>
        <w:t>apmeklējumiem] minētās trešās valsts valstspiederīgajiem vai</w:t>
      </w:r>
    </w:p>
    <w:p w:rsidR="003E022D" w:rsidRDefault="007D19D6">
      <w:pPr>
        <w:shd w:val="clear" w:color="auto" w:fill="FFFFFF"/>
        <w:spacing w:line="259" w:lineRule="auto"/>
        <w:ind w:left="720"/>
        <w:rPr>
          <w:rFonts w:eastAsia="Calibri" w:cs="Times New Roman"/>
          <w:bCs/>
          <w:noProof/>
          <w:color w:val="000000"/>
        </w:rPr>
      </w:pPr>
      <w:r>
        <w:rPr>
          <w:bCs/>
          <w:noProof/>
          <w:color w:val="000000"/>
        </w:rPr>
        <w:t>ii) noteikt pārejas pasākumus attiecībā uz VSTV.1. pantu [Vīzas īsiem apmeklējumiem] saistībā ar minēto trešo valsti un tās valstspiederīgajiem, tiklīdz tā pievienosies Savienībai.</w:t>
      </w:r>
    </w:p>
    <w:p w:rsidR="003E022D" w:rsidRDefault="007D19D6">
      <w:pPr>
        <w:shd w:val="clear" w:color="auto" w:fill="FFFFFF"/>
        <w:spacing w:line="259" w:lineRule="auto"/>
        <w:rPr>
          <w:rFonts w:eastAsia="Calibri" w:cs="Times New Roman"/>
          <w:bCs/>
          <w:noProof/>
          <w:color w:val="000000"/>
        </w:rPr>
      </w:pPr>
      <w:bookmarkStart w:id="941" w:name="_Hlk59604361"/>
      <w:r>
        <w:rPr>
          <w:bCs/>
          <w:noProof/>
          <w:color w:val="000000"/>
        </w:rPr>
        <w:t xml:space="preserve">5. </w:t>
      </w:r>
      <w:r>
        <w:rPr>
          <w:noProof/>
        </w:rPr>
        <w:tab/>
      </w:r>
      <w:r>
        <w:rPr>
          <w:bCs/>
          <w:noProof/>
          <w:color w:val="000000"/>
        </w:rPr>
        <w:t>Ja, stājot</w:t>
      </w:r>
      <w:r>
        <w:rPr>
          <w:bCs/>
          <w:noProof/>
          <w:color w:val="000000"/>
        </w:rPr>
        <w:t xml:space="preserve">ies spēkā nolīgumam par attiecīgās trešās valsts pievienošanos Savienībai, nav pieņemts lēmums saskaņā ar 4. punkta c) apakšpunkta i) vai ii) punktu, VSTV.1. pantu [Vīzas īsiem apmeklējumiem] nepiemēro minētās trešās valsts valstspiederīgajiem.  </w:t>
      </w:r>
    </w:p>
    <w:bookmarkEnd w:id="941"/>
    <w:p w:rsidR="003E022D" w:rsidRDefault="007D19D6">
      <w:pPr>
        <w:shd w:val="clear" w:color="auto" w:fill="FFFFFF"/>
        <w:spacing w:line="259" w:lineRule="auto"/>
        <w:rPr>
          <w:rFonts w:eastAsia="Calibri" w:cs="Times New Roman"/>
          <w:bCs/>
          <w:noProof/>
          <w:color w:val="000000"/>
        </w:rPr>
      </w:pPr>
      <w:r>
        <w:rPr>
          <w:bCs/>
          <w:noProof/>
          <w:color w:val="000000"/>
        </w:rPr>
        <w:t xml:space="preserve">6. </w:t>
      </w:r>
      <w:r>
        <w:rPr>
          <w:noProof/>
        </w:rPr>
        <w:tab/>
      </w:r>
      <w:r>
        <w:rPr>
          <w:bCs/>
          <w:noProof/>
          <w:color w:val="000000"/>
        </w:rPr>
        <w:t>Ja Pa</w:t>
      </w:r>
      <w:r>
        <w:rPr>
          <w:bCs/>
          <w:noProof/>
          <w:color w:val="000000"/>
        </w:rPr>
        <w:t xml:space="preserve">rtnerības padome nosaka pārejas pasākumus, kā minēts 4. punkta c) apakšpunkta ii) punktā, tā norāda to ilgumu. Partnerības padome var pagarināt minēto pārejas pasākumu ilgumu. </w:t>
      </w:r>
    </w:p>
    <w:p w:rsidR="003E022D" w:rsidRDefault="007D19D6">
      <w:pPr>
        <w:shd w:val="clear" w:color="auto" w:fill="FFFFFF"/>
        <w:spacing w:line="259" w:lineRule="auto"/>
        <w:rPr>
          <w:rFonts w:eastAsia="Calibri" w:cs="Times New Roman"/>
          <w:bCs/>
          <w:noProof/>
          <w:color w:val="000000"/>
        </w:rPr>
      </w:pPr>
      <w:r>
        <w:rPr>
          <w:bCs/>
          <w:noProof/>
          <w:color w:val="000000"/>
        </w:rPr>
        <w:t xml:space="preserve">7. </w:t>
      </w:r>
      <w:r>
        <w:rPr>
          <w:noProof/>
        </w:rPr>
        <w:tab/>
      </w:r>
      <w:r>
        <w:rPr>
          <w:bCs/>
          <w:noProof/>
          <w:color w:val="000000"/>
        </w:rPr>
        <w:t>Pirms beidzas 4. punkta c) apakšpunkta ii) punktā minētie pārejas pasākumi,</w:t>
      </w:r>
      <w:r>
        <w:rPr>
          <w:bCs/>
          <w:noProof/>
          <w:color w:val="000000"/>
        </w:rPr>
        <w:t xml:space="preserve"> Partnerības padome pieņem lēmumu par to, vai piemērot VSTV.1. pantu [Vīzas īsiem apmeklējumiem] minētās trešās valsts valstspiederīgajiem no pārejas pasākumu termiņa beigām. Ja šāds lēmums nav pieņemts, VSTV.1. pantu [Vīzas īsiem apmeklējumiem] nepiemēro </w:t>
      </w:r>
      <w:r>
        <w:rPr>
          <w:bCs/>
          <w:noProof/>
          <w:color w:val="000000"/>
        </w:rPr>
        <w:t xml:space="preserve">attiecībā uz minētās trešās valsts valstspiederīgajiem no pārejas pasākumu termiņa beigām. </w:t>
      </w:r>
    </w:p>
    <w:p w:rsidR="003E022D" w:rsidRDefault="007D19D6">
      <w:pPr>
        <w:shd w:val="clear" w:color="auto" w:fill="FFFFFF"/>
        <w:spacing w:line="259" w:lineRule="auto"/>
        <w:rPr>
          <w:rFonts w:eastAsia="Calibri" w:cs="Times New Roman"/>
          <w:bCs/>
          <w:noProof/>
          <w:color w:val="000000"/>
        </w:rPr>
      </w:pPr>
      <w:r>
        <w:rPr>
          <w:bCs/>
          <w:noProof/>
          <w:color w:val="000000"/>
        </w:rPr>
        <w:t xml:space="preserve">8. </w:t>
      </w:r>
      <w:r>
        <w:rPr>
          <w:noProof/>
        </w:rPr>
        <w:tab/>
      </w:r>
      <w:r>
        <w:rPr>
          <w:bCs/>
          <w:noProof/>
          <w:color w:val="000000"/>
        </w:rPr>
        <w:t>Šā panta 4. punkta c) apakšpunkts un 5. līdz 7. punkts neskar Savienības prerogatīvas, kas izriet no tās iekšējiem tiesību aktiem.</w:t>
      </w:r>
    </w:p>
    <w:p w:rsidR="003E022D" w:rsidRDefault="007D19D6">
      <w:pPr>
        <w:shd w:val="clear" w:color="auto" w:fill="FFFFFF"/>
        <w:spacing w:line="259" w:lineRule="auto"/>
        <w:rPr>
          <w:rFonts w:eastAsia="Calibri" w:cs="Times New Roman"/>
          <w:bCs/>
          <w:noProof/>
          <w:color w:val="000000"/>
        </w:rPr>
      </w:pPr>
      <w:r>
        <w:rPr>
          <w:bCs/>
          <w:noProof/>
          <w:color w:val="000000"/>
        </w:rPr>
        <w:t xml:space="preserve">9.     </w:t>
      </w:r>
      <w:r>
        <w:rPr>
          <w:noProof/>
        </w:rPr>
        <w:tab/>
      </w:r>
      <w:r>
        <w:rPr>
          <w:bCs/>
          <w:noProof/>
          <w:color w:val="000000"/>
        </w:rPr>
        <w:t xml:space="preserve">Lielākai noteiktībai </w:t>
      </w:r>
      <w:r>
        <w:rPr>
          <w:bCs/>
          <w:noProof/>
          <w:color w:val="000000"/>
        </w:rPr>
        <w:t>– neskarot 4. punkta c) apakšpunktu un 5. līdz 7. punktu, šo nolīgumu piemēro attiecībā uz jauno Savienības dalībvalsti no dienas, kad minētā jaunā dalībvalsts pievienojas Savienībai.</w:t>
      </w:r>
      <w:r>
        <w:rPr>
          <w:noProof/>
          <w:color w:val="000000"/>
        </w:rPr>
        <w:t xml:space="preserve"> </w:t>
      </w:r>
    </w:p>
    <w:p w:rsidR="003E022D" w:rsidRDefault="007D19D6">
      <w:pPr>
        <w:keepNext/>
        <w:pBdr>
          <w:top w:val="nil"/>
          <w:left w:val="nil"/>
          <w:bottom w:val="nil"/>
          <w:right w:val="nil"/>
          <w:between w:val="nil"/>
        </w:pBdr>
        <w:spacing w:before="120"/>
        <w:jc w:val="center"/>
        <w:rPr>
          <w:rFonts w:eastAsia="Calibri" w:cs="Calibri"/>
          <w:noProof/>
          <w:color w:val="000000"/>
        </w:rPr>
      </w:pPr>
      <w:r>
        <w:rPr>
          <w:noProof/>
          <w:color w:val="000000"/>
        </w:rPr>
        <w:t>FINPROV.10A. pants. Pagaidu noteikumi personas datu nosūtīšanai uz Apvi</w:t>
      </w:r>
      <w:r>
        <w:rPr>
          <w:noProof/>
          <w:color w:val="000000"/>
        </w:rPr>
        <w:t>enoto Karalisti</w:t>
      </w:r>
    </w:p>
    <w:p w:rsidR="003E022D" w:rsidRDefault="007D19D6">
      <w:pPr>
        <w:rPr>
          <w:noProof/>
        </w:rPr>
      </w:pPr>
      <w:r>
        <w:rPr>
          <w:noProof/>
        </w:rPr>
        <w:t>1.</w:t>
      </w:r>
      <w:r>
        <w:rPr>
          <w:noProof/>
        </w:rPr>
        <w:tab/>
        <w:t xml:space="preserve">Noteiktā laikposmā personas datu nosūtīšanu no Savienības uz Apvienoto Karalisti neuzskata par pārsūtīšanu trešai valstij saskaņā ar Savienības tiesību aktiem, ar noteikumu, ka Apvienotās Karalistes datu aizsardzības tiesību akti </w:t>
      </w:r>
      <w:r>
        <w:rPr>
          <w:noProof/>
        </w:rPr>
        <w:t xml:space="preserve">2020. gada 31. decembrī, kādi tie ir saglabāti un iestrādāti Apvienotās Karalistes tiesībās ar 2018. gada Eiropas Savienības (izstāšanās) aktu un grozīti ar 2019. gada Datu aizsardzības, privātuma un elektronisko sakaru (grozījumi utt.) (izstāšanās no ES) </w:t>
      </w:r>
      <w:r>
        <w:rPr>
          <w:noProof/>
        </w:rPr>
        <w:t>noteikumiem</w:t>
      </w:r>
      <w:r>
        <w:rPr>
          <w:noProof/>
          <w:vertAlign w:val="superscript"/>
        </w:rPr>
        <w:footnoteReference w:id="87"/>
      </w:r>
      <w:r>
        <w:rPr>
          <w:noProof/>
        </w:rPr>
        <w:t xml:space="preserve"> (“piemērojamais datu aizsardzības režīms”), ir piemērojami un Apvienotā Karaliste neizmanto savas izraudzītās pilnvaras bez Savienības piekrišanas Partnerības padomes ietvaros.</w:t>
      </w:r>
    </w:p>
    <w:p w:rsidR="003E022D" w:rsidRDefault="007D19D6">
      <w:pPr>
        <w:rPr>
          <w:noProof/>
        </w:rPr>
      </w:pPr>
      <w:r>
        <w:rPr>
          <w:noProof/>
        </w:rPr>
        <w:t>2.</w:t>
      </w:r>
      <w:r>
        <w:rPr>
          <w:noProof/>
        </w:rPr>
        <w:tab/>
        <w:t>Ievērojot 3. līdz 11. punktu, 1. punktu piemēro arī personas da</w:t>
      </w:r>
      <w:r>
        <w:rPr>
          <w:noProof/>
        </w:rPr>
        <w:t>tu nosūtīšanai no Islandes, Lihtenšteinas Firstistes un Norvēģijas Karalistes uz Apvienoto Karalisti saskaņā ar Savienības tiesībām noteiktajā laikposmā, ko minētajās valstīs piemēro ar Līgumu par Eiropas Ekonomikas zonu, kas noslēgts Porto 1992. gada 2. m</w:t>
      </w:r>
      <w:r>
        <w:rPr>
          <w:noProof/>
        </w:rPr>
        <w:t xml:space="preserve">aijā, kamēr vien 1. punktu piemēro personas datu nosūtīšanai no Savienības uz Apvienoto Karalisti, ar noteikumu, ka minētās valstis rakstiski paziņo abām Pusēm par savu nepārprotamu piekrišanu šā noteikuma piemērošanai. </w:t>
      </w:r>
    </w:p>
    <w:p w:rsidR="003E022D" w:rsidRDefault="007D19D6">
      <w:pPr>
        <w:rPr>
          <w:noProof/>
        </w:rPr>
      </w:pPr>
      <w:r>
        <w:rPr>
          <w:noProof/>
        </w:rPr>
        <w:t>3.</w:t>
      </w:r>
      <w:r>
        <w:rPr>
          <w:noProof/>
        </w:rPr>
        <w:tab/>
        <w:t>Šajā pantā “izraudzītās pilnvara</w:t>
      </w:r>
      <w:r>
        <w:rPr>
          <w:noProof/>
        </w:rPr>
        <w:t>s” ir pilnvaras:</w:t>
      </w:r>
    </w:p>
    <w:p w:rsidR="003E022D" w:rsidRDefault="007D19D6">
      <w:pPr>
        <w:pStyle w:val="ListParagraph"/>
        <w:numPr>
          <w:ilvl w:val="0"/>
          <w:numId w:val="1282"/>
        </w:numPr>
        <w:rPr>
          <w:noProof/>
        </w:rPr>
      </w:pPr>
      <w:r>
        <w:rPr>
          <w:noProof/>
        </w:rPr>
        <w:t>pieņemt noteikumus saskaņā ar Apvienotās Karalistes 2018. gada Datu aizsardzības likuma 17.A, 17.C un 74.A pantu;</w:t>
      </w:r>
    </w:p>
    <w:p w:rsidR="003E022D" w:rsidRDefault="007D19D6">
      <w:pPr>
        <w:pStyle w:val="ListParagraph"/>
        <w:numPr>
          <w:ilvl w:val="0"/>
          <w:numId w:val="1282"/>
        </w:numPr>
        <w:rPr>
          <w:noProof/>
        </w:rPr>
      </w:pPr>
      <w:r>
        <w:rPr>
          <w:noProof/>
        </w:rPr>
        <w:t>izdot jaunu dokumentu, kuros noteiktas standarta datu aizsardzības klauzulas saskaņā ar Apvienotās Karalistes 2018. gada Datu</w:t>
      </w:r>
      <w:r>
        <w:rPr>
          <w:noProof/>
        </w:rPr>
        <w:t xml:space="preserve"> aizsardzības likuma 119.A pantu; </w:t>
      </w:r>
    </w:p>
    <w:p w:rsidR="003E022D" w:rsidRDefault="007D19D6">
      <w:pPr>
        <w:pStyle w:val="ListParagraph"/>
        <w:numPr>
          <w:ilvl w:val="0"/>
          <w:numId w:val="1282"/>
        </w:numPr>
        <w:rPr>
          <w:noProof/>
        </w:rPr>
      </w:pPr>
      <w:r>
        <w:rPr>
          <w:noProof/>
        </w:rPr>
        <w:t>apstiprināt jaunu rīcības kodeksa projektu saskaņā ar Apvienotās Karalistes VDAR 40. panta 5. punktu, izņemot rīcības kodeksu, uz kuru nevar paļauties, lai nodrošinātu atbilstošus aizsardzības pasākumus personas datu nosū</w:t>
      </w:r>
      <w:r>
        <w:rPr>
          <w:noProof/>
        </w:rPr>
        <w:t>tīšanai uz trešo valsti saskaņā ar Apvienotās Karalistes VDAR 46. panta 2. punkta e) apakšpunktu;</w:t>
      </w:r>
    </w:p>
    <w:p w:rsidR="003E022D" w:rsidRDefault="007D19D6">
      <w:pPr>
        <w:pStyle w:val="ListParagraph"/>
        <w:numPr>
          <w:ilvl w:val="0"/>
          <w:numId w:val="1282"/>
        </w:numPr>
        <w:rPr>
          <w:noProof/>
        </w:rPr>
      </w:pPr>
      <w:r>
        <w:rPr>
          <w:noProof/>
        </w:rPr>
        <w:t>apstiprināt jaunus sertifikācijas mehānismus saskaņā ar Apvienotās Karalistes VDAR 42. panta 5. punktu, izņemot sertifikācijas mehānismus, kurus nevar izmanto</w:t>
      </w:r>
      <w:r>
        <w:rPr>
          <w:noProof/>
        </w:rPr>
        <w:t>t, lai nodrošinātu atbilstošus aizsardzības pasākumus personas datu nosūtīšanai uz trešo valsti saskaņā ar Apvienotās Karalistes VDAR 46. panta 2. punkta f) apakšpunktu;</w:t>
      </w:r>
    </w:p>
    <w:p w:rsidR="003E022D" w:rsidRDefault="007D19D6">
      <w:pPr>
        <w:pStyle w:val="ListParagraph"/>
        <w:numPr>
          <w:ilvl w:val="0"/>
          <w:numId w:val="1282"/>
        </w:numPr>
        <w:rPr>
          <w:noProof/>
        </w:rPr>
      </w:pPr>
      <w:r>
        <w:rPr>
          <w:noProof/>
        </w:rPr>
        <w:t>apstiprināt jaunus saistošus uzņēmuma noteikumus saskaņā ar Apvienotās Karalistes VDAR</w:t>
      </w:r>
      <w:r>
        <w:rPr>
          <w:noProof/>
        </w:rPr>
        <w:t xml:space="preserve"> 47. pantu;</w:t>
      </w:r>
    </w:p>
    <w:p w:rsidR="003E022D" w:rsidRDefault="007D19D6">
      <w:pPr>
        <w:pStyle w:val="ListParagraph"/>
        <w:numPr>
          <w:ilvl w:val="0"/>
          <w:numId w:val="1282"/>
        </w:numPr>
        <w:rPr>
          <w:noProof/>
        </w:rPr>
      </w:pPr>
      <w:r>
        <w:rPr>
          <w:noProof/>
        </w:rPr>
        <w:t>apstiprināt jaunas līguma klauzulas, kas minētas Apvienotās Karalistes VDAR 46. panta 3. punkta a) apakšpunktā; vai</w:t>
      </w:r>
    </w:p>
    <w:p w:rsidR="003E022D" w:rsidRDefault="007D19D6">
      <w:pPr>
        <w:pStyle w:val="ListParagraph"/>
        <w:numPr>
          <w:ilvl w:val="0"/>
          <w:numId w:val="1282"/>
        </w:numPr>
        <w:rPr>
          <w:noProof/>
        </w:rPr>
      </w:pPr>
      <w:r>
        <w:rPr>
          <w:noProof/>
        </w:rPr>
        <w:t>atļaut jaunus administratīvus pasākumus, kas minēti Apvienotās Karalistes VDAR 46. panta 3. punkta b) apakšpunktā.</w:t>
      </w:r>
    </w:p>
    <w:p w:rsidR="003E022D" w:rsidRDefault="007D19D6">
      <w:pPr>
        <w:rPr>
          <w:noProof/>
        </w:rPr>
      </w:pPr>
      <w:r>
        <w:rPr>
          <w:noProof/>
        </w:rPr>
        <w:t>4.</w:t>
      </w:r>
      <w:r>
        <w:rPr>
          <w:noProof/>
        </w:rPr>
        <w:tab/>
      </w:r>
      <w:r>
        <w:rPr>
          <w:noProof/>
        </w:rPr>
        <w:t>“Noteiktais laikposms” sākas šā nolīguma spēkā stāšanās dienā un, ievērojot 5. punktu, beidzas:</w:t>
      </w:r>
    </w:p>
    <w:p w:rsidR="003E022D" w:rsidRDefault="007D19D6">
      <w:pPr>
        <w:pStyle w:val="ListParagraph"/>
        <w:numPr>
          <w:ilvl w:val="0"/>
          <w:numId w:val="1283"/>
        </w:numPr>
        <w:rPr>
          <w:noProof/>
        </w:rPr>
      </w:pPr>
      <w:r>
        <w:rPr>
          <w:noProof/>
        </w:rPr>
        <w:t>dienā, kad Eiropas Komisija pieņem lēmumus par aizsardzības līmeņa pietiekamību attiecībā uz Apvienoto Karalisti saskaņā ar Direktīvas (ES) 2016/680 36. panta 3</w:t>
      </w:r>
      <w:r>
        <w:rPr>
          <w:noProof/>
        </w:rPr>
        <w:t>. punktu un Regulas (ES) 2016/679 45. panta 3. punktu, vai</w:t>
      </w:r>
    </w:p>
    <w:p w:rsidR="003E022D" w:rsidRDefault="007D19D6">
      <w:pPr>
        <w:pStyle w:val="ListParagraph"/>
        <w:numPr>
          <w:ilvl w:val="0"/>
          <w:numId w:val="1283"/>
        </w:numPr>
        <w:rPr>
          <w:noProof/>
        </w:rPr>
      </w:pPr>
      <w:r>
        <w:rPr>
          <w:noProof/>
        </w:rPr>
        <w:t>dienā, kad pagājuši četri mēneši pēc noteiktā laikposma sākuma, šo termiņu pagarina vēl par diviem mēnešiem, ja vien kāda no Pusēm neiebilst;</w:t>
      </w:r>
    </w:p>
    <w:p w:rsidR="003E022D" w:rsidRDefault="007D19D6">
      <w:pPr>
        <w:rPr>
          <w:noProof/>
        </w:rPr>
      </w:pPr>
      <w:r>
        <w:rPr>
          <w:noProof/>
        </w:rPr>
        <w:t>atkarībā no tā, kurš datums ir agrāks.</w:t>
      </w:r>
    </w:p>
    <w:p w:rsidR="003E022D" w:rsidRDefault="007D19D6">
      <w:pPr>
        <w:rPr>
          <w:noProof/>
        </w:rPr>
      </w:pPr>
      <w:r>
        <w:rPr>
          <w:noProof/>
        </w:rPr>
        <w:t>5.</w:t>
      </w:r>
      <w:r>
        <w:rPr>
          <w:noProof/>
        </w:rPr>
        <w:tab/>
        <w:t xml:space="preserve">Ievērojot 6. </w:t>
      </w:r>
      <w:r>
        <w:rPr>
          <w:noProof/>
        </w:rPr>
        <w:t>un 7. punktu, ja noteiktajā laikposmā Apvienotā Karaliste groza piemērojamo datu aizsardzības režīmu vai īsteno izraudzītās pilnvaras bez Savienības piekrišanas Partnerības padomē, noteiktais laikposms beidzas dienā, kad pilnvaras tiek īstenotas vai grozīj</w:t>
      </w:r>
      <w:r>
        <w:rPr>
          <w:noProof/>
        </w:rPr>
        <w:t>ums stājas spēkā.</w:t>
      </w:r>
    </w:p>
    <w:p w:rsidR="003E022D" w:rsidRDefault="007D19D6">
      <w:pPr>
        <w:rPr>
          <w:noProof/>
        </w:rPr>
      </w:pPr>
      <w:r>
        <w:rPr>
          <w:noProof/>
        </w:rPr>
        <w:t>6.</w:t>
      </w:r>
      <w:r>
        <w:rPr>
          <w:noProof/>
        </w:rPr>
        <w:tab/>
        <w:t>Atsauces uz 1. un 5. punktā minēto izraudzīto pilnvaru īstenošanu neietver šādu pilnvaru īstenošanu, kuru sekas ir tikai saskaņošana ar attiecīgajiem Savienības datu aizsardzības tiesību aktiem.</w:t>
      </w:r>
    </w:p>
    <w:p w:rsidR="003E022D" w:rsidRDefault="007D19D6">
      <w:pPr>
        <w:rPr>
          <w:noProof/>
        </w:rPr>
      </w:pPr>
      <w:r>
        <w:rPr>
          <w:noProof/>
        </w:rPr>
        <w:t>7.</w:t>
      </w:r>
      <w:r>
        <w:rPr>
          <w:noProof/>
        </w:rPr>
        <w:tab/>
        <w:t xml:space="preserve">Jebko, kas citādi būtu uzskatāms par </w:t>
      </w:r>
      <w:r>
        <w:rPr>
          <w:noProof/>
        </w:rPr>
        <w:t>piemērojamā datu aizsardzības režīma grozījumu, un kas ir:</w:t>
      </w:r>
    </w:p>
    <w:p w:rsidR="003E022D" w:rsidRDefault="007D19D6">
      <w:pPr>
        <w:pStyle w:val="ListParagraph"/>
        <w:numPr>
          <w:ilvl w:val="0"/>
          <w:numId w:val="1284"/>
        </w:numPr>
        <w:rPr>
          <w:noProof/>
        </w:rPr>
      </w:pPr>
      <w:r>
        <w:rPr>
          <w:noProof/>
        </w:rPr>
        <w:t>izdarīts ar Savienības piekrišanu Partnerības padomē, vai</w:t>
      </w:r>
    </w:p>
    <w:p w:rsidR="003E022D" w:rsidRDefault="007D19D6">
      <w:pPr>
        <w:pStyle w:val="ListParagraph"/>
        <w:numPr>
          <w:ilvl w:val="0"/>
          <w:numId w:val="1284"/>
        </w:numPr>
        <w:rPr>
          <w:noProof/>
        </w:rPr>
      </w:pPr>
      <w:r>
        <w:rPr>
          <w:noProof/>
        </w:rPr>
        <w:t>tikai saskaņošana ar attiecīgajiem Savienības datu aizsardzības tiesību aktiem,</w:t>
      </w:r>
    </w:p>
    <w:p w:rsidR="003E022D" w:rsidRDefault="007D19D6">
      <w:pPr>
        <w:rPr>
          <w:noProof/>
        </w:rPr>
      </w:pPr>
      <w:r>
        <w:rPr>
          <w:noProof/>
        </w:rPr>
        <w:t>neuzskata par piemērojamā datu aizsardzības režīma grozījum</w:t>
      </w:r>
      <w:r>
        <w:rPr>
          <w:noProof/>
        </w:rPr>
        <w:t>u 5. punkta vajadzībām un uzskata par daļu no piemērojamā datu aizsardzības režīma 1. punkta vajadzībām.</w:t>
      </w:r>
    </w:p>
    <w:p w:rsidR="003E022D" w:rsidRDefault="007D19D6">
      <w:pPr>
        <w:rPr>
          <w:noProof/>
        </w:rPr>
      </w:pPr>
      <w:r>
        <w:rPr>
          <w:noProof/>
        </w:rPr>
        <w:t>8.</w:t>
      </w:r>
      <w:r>
        <w:rPr>
          <w:noProof/>
        </w:rPr>
        <w:tab/>
        <w:t>Piemērojot 1., 5. un 7. punktu, “Savienības piekrišana Partnerības padomē” ir:</w:t>
      </w:r>
    </w:p>
    <w:p w:rsidR="003E022D" w:rsidRDefault="007D19D6">
      <w:pPr>
        <w:pStyle w:val="ListParagraph"/>
        <w:numPr>
          <w:ilvl w:val="0"/>
          <w:numId w:val="1285"/>
        </w:numPr>
        <w:rPr>
          <w:noProof/>
        </w:rPr>
      </w:pPr>
      <w:r>
        <w:rPr>
          <w:noProof/>
        </w:rPr>
        <w:t xml:space="preserve">partnerības padomes lēmumu, kā aprakstīts 11. punktā, vai </w:t>
      </w:r>
    </w:p>
    <w:p w:rsidR="003E022D" w:rsidRDefault="007D19D6">
      <w:pPr>
        <w:pStyle w:val="ListParagraph"/>
        <w:numPr>
          <w:ilvl w:val="0"/>
          <w:numId w:val="1285"/>
        </w:numPr>
        <w:rPr>
          <w:noProof/>
        </w:rPr>
      </w:pPr>
      <w:r>
        <w:rPr>
          <w:noProof/>
        </w:rPr>
        <w:t xml:space="preserve">pieņēmums </w:t>
      </w:r>
      <w:r>
        <w:rPr>
          <w:noProof/>
        </w:rPr>
        <w:t>par piekrišanu, kā aprakstīts 10. punktā.</w:t>
      </w:r>
    </w:p>
    <w:p w:rsidR="003E022D" w:rsidRDefault="007D19D6">
      <w:pPr>
        <w:rPr>
          <w:noProof/>
        </w:rPr>
      </w:pPr>
      <w:r>
        <w:rPr>
          <w:noProof/>
        </w:rPr>
        <w:t xml:space="preserve">9.  </w:t>
      </w:r>
      <w:r>
        <w:rPr>
          <w:noProof/>
        </w:rPr>
        <w:tab/>
        <w:t>Ja Apvienotā Karaliste paziņo Savienībai, ka tā ierosina īstenot izraudzītās pilnvaras vai ierosina grozīt piemērojamo datu aizsardzības režīmu, jebkura no Pusēm piecu darba dienu laikā var pieprasīt Partnerīb</w:t>
      </w:r>
      <w:r>
        <w:rPr>
          <w:noProof/>
        </w:rPr>
        <w:t>as padomes sanāksmi, kurai jānotiek divu nedēļu laikā pēc šāda pieprasījuma.</w:t>
      </w:r>
    </w:p>
    <w:p w:rsidR="003E022D" w:rsidRDefault="007D19D6">
      <w:pPr>
        <w:rPr>
          <w:noProof/>
        </w:rPr>
      </w:pPr>
      <w:r>
        <w:rPr>
          <w:noProof/>
        </w:rPr>
        <w:t>10.</w:t>
      </w:r>
      <w:r>
        <w:rPr>
          <w:noProof/>
        </w:rPr>
        <w:tab/>
        <w:t>Ja šāda sanāksme netiek pieprasīta, uzskata, ka Savienība noteiktajā laikposmā ir devusi piekrišanu šādai īstenošanai vai grozīšanai.</w:t>
      </w:r>
    </w:p>
    <w:p w:rsidR="003E022D" w:rsidRDefault="007D19D6">
      <w:pPr>
        <w:rPr>
          <w:noProof/>
        </w:rPr>
      </w:pPr>
      <w:r>
        <w:rPr>
          <w:noProof/>
        </w:rPr>
        <w:t xml:space="preserve">11. </w:t>
      </w:r>
      <w:r>
        <w:rPr>
          <w:noProof/>
        </w:rPr>
        <w:tab/>
        <w:t xml:space="preserve">Ja šādu sanāksmi pieprasa, minētajā </w:t>
      </w:r>
      <w:r>
        <w:rPr>
          <w:noProof/>
        </w:rPr>
        <w:t>sanāksmē Partnerības padome izskata ierosināto īstenošanu vai grozījumu un var pieņemt lēmumu, norādot, ka tā piekrīt īstenošanai vai grozījumam noteiktajā laikposmā.</w:t>
      </w:r>
    </w:p>
    <w:p w:rsidR="003E022D" w:rsidRDefault="007D19D6">
      <w:pPr>
        <w:rPr>
          <w:noProof/>
        </w:rPr>
      </w:pPr>
      <w:bookmarkStart w:id="942" w:name="_gxhsehtwsxvs"/>
      <w:bookmarkEnd w:id="942"/>
      <w:r>
        <w:rPr>
          <w:noProof/>
        </w:rPr>
        <w:t>12.</w:t>
      </w:r>
      <w:r>
        <w:rPr>
          <w:noProof/>
        </w:rPr>
        <w:tab/>
        <w:t>Apvienotā Karaliste, ciktāl tas ir pamatoti iespējams, paziņo Savienībai, ja tā notei</w:t>
      </w:r>
      <w:r>
        <w:rPr>
          <w:noProof/>
        </w:rPr>
        <w:t>ktajā laikposmā noslēdz jaunu instrumentu, uz kura pamata var nosūtīt personas datus trešai valstij saskaņā ar Apvienotās Karalistes VDAR 46. panta 2. punkta a) apakšpunktu vai Apvienotās Karalistes 2018. gada Datu aizsardzības likuma 75. panta 1. punkta a</w:t>
      </w:r>
      <w:r>
        <w:rPr>
          <w:noProof/>
        </w:rPr>
        <w:t>) apakšpunktu. Pēc Apvienotās Karalistes paziņojuma saskaņā ar šo punktu Savienība var pieprasīt Partnerības padomes sanāksmes sasaukšanu, lai apspriestu attiecīgo instrumentu.</w:t>
      </w:r>
    </w:p>
    <w:p w:rsidR="003E022D" w:rsidRDefault="007D19D6">
      <w:pPr>
        <w:rPr>
          <w:noProof/>
        </w:rPr>
      </w:pPr>
      <w:r>
        <w:rPr>
          <w:noProof/>
        </w:rPr>
        <w:t>13.</w:t>
      </w:r>
      <w:r>
        <w:rPr>
          <w:noProof/>
        </w:rPr>
        <w:tab/>
        <w:t>Sestās daļas [Strīdu izšķiršana] I sadaļu nepiemēro strīdiem par šā panta i</w:t>
      </w:r>
      <w:r>
        <w:rPr>
          <w:noProof/>
        </w:rPr>
        <w:t>nterpretāciju un piemērošanu.</w:t>
      </w:r>
    </w:p>
    <w:p w:rsidR="003E022D" w:rsidRDefault="003E022D">
      <w:pPr>
        <w:spacing w:line="360" w:lineRule="auto"/>
        <w:jc w:val="left"/>
        <w:rPr>
          <w:rFonts w:ascii="Arial" w:eastAsia="Arial" w:hAnsi="Arial" w:cs="Arial"/>
          <w:b/>
          <w:bCs/>
          <w:noProof/>
          <w:color w:val="FF0000"/>
          <w:lang w:eastAsia="en-GB"/>
        </w:rPr>
      </w:pPr>
    </w:p>
    <w:p w:rsidR="003E022D" w:rsidRDefault="007D19D6">
      <w:pPr>
        <w:keepNext/>
        <w:pBdr>
          <w:top w:val="nil"/>
          <w:left w:val="nil"/>
          <w:bottom w:val="nil"/>
          <w:right w:val="nil"/>
          <w:between w:val="nil"/>
        </w:pBdr>
        <w:spacing w:before="120"/>
        <w:jc w:val="center"/>
        <w:rPr>
          <w:rFonts w:eastAsia="Calibri" w:cs="Calibri"/>
          <w:noProof/>
          <w:color w:val="000000"/>
        </w:rPr>
      </w:pPr>
      <w:r>
        <w:rPr>
          <w:noProof/>
          <w:color w:val="000000"/>
        </w:rPr>
        <w:t>FINPROV.11. pants. Stāšanās spēkā un provizoriska piemērošana</w:t>
      </w:r>
    </w:p>
    <w:p w:rsidR="003E022D" w:rsidRDefault="007D19D6">
      <w:pPr>
        <w:spacing w:after="0"/>
        <w:rPr>
          <w:rFonts w:eastAsia="Calibri" w:cs="Times New Roman"/>
          <w:noProof/>
        </w:rPr>
      </w:pPr>
      <w:r>
        <w:rPr>
          <w:noProof/>
        </w:rPr>
        <w:t xml:space="preserve">1. </w:t>
      </w:r>
      <w:r>
        <w:rPr>
          <w:noProof/>
        </w:rPr>
        <w:tab/>
        <w:t xml:space="preserve">Šis nolīgums stājas spēkā tā mēneša pirmajā dienā, kas seko mēnesim, kurā abas Puses viena otrai ir paziņojušas, ka tās ir izpildījušas savas attiecīgās </w:t>
      </w:r>
      <w:r>
        <w:rPr>
          <w:noProof/>
        </w:rPr>
        <w:t>iekšējās prasības un procedūras, kas vajadzīgas, lai paustu savu piekrišanu uzņemties saistības.</w:t>
      </w:r>
    </w:p>
    <w:p w:rsidR="003E022D" w:rsidRDefault="003E022D">
      <w:pPr>
        <w:spacing w:after="0"/>
        <w:rPr>
          <w:rFonts w:eastAsia="Calibri" w:cs="Times New Roman"/>
          <w:noProof/>
        </w:rPr>
      </w:pPr>
    </w:p>
    <w:p w:rsidR="003E022D" w:rsidRDefault="007D19D6">
      <w:pPr>
        <w:spacing w:after="0"/>
        <w:rPr>
          <w:rFonts w:eastAsia="Calibri" w:cs="Times New Roman"/>
          <w:noProof/>
        </w:rPr>
      </w:pPr>
      <w:r>
        <w:rPr>
          <w:noProof/>
        </w:rPr>
        <w:t>2.</w:t>
      </w:r>
      <w:r>
        <w:rPr>
          <w:noProof/>
        </w:rPr>
        <w:tab/>
        <w:t>Puses vienojas provizoriski piemērot šo nolīgumu no 2021. gada 1. janvāra ar noteikumu, ka pirms minētā datuma tās viena otrai ir paziņojušas, ka tās ir iz</w:t>
      </w:r>
      <w:r>
        <w:rPr>
          <w:noProof/>
        </w:rPr>
        <w:t>pildījušas savas attiecīgās iekšējās prasības un procedūras, kas vajadzīgas provizoriskai piemērošanai. Provizoriska piemērošana beidzas vienā no šādiem datumiem, atkarībā no tā, kas notiek agrāk:</w:t>
      </w:r>
    </w:p>
    <w:p w:rsidR="003E022D" w:rsidRDefault="003E022D">
      <w:pPr>
        <w:spacing w:after="0"/>
        <w:rPr>
          <w:rFonts w:eastAsia="Calibri" w:cs="Times New Roman"/>
          <w:noProof/>
        </w:rPr>
      </w:pPr>
    </w:p>
    <w:p w:rsidR="003E022D" w:rsidRDefault="007D19D6">
      <w:pPr>
        <w:pStyle w:val="ListParagraph"/>
        <w:numPr>
          <w:ilvl w:val="0"/>
          <w:numId w:val="1286"/>
        </w:numPr>
        <w:rPr>
          <w:noProof/>
        </w:rPr>
      </w:pPr>
      <w:r>
        <w:rPr>
          <w:noProof/>
        </w:rPr>
        <w:t>2021. gada 28. februārī vai citā datumā saskaņā ar Partner</w:t>
      </w:r>
      <w:r>
        <w:rPr>
          <w:noProof/>
        </w:rPr>
        <w:t>ības padomes lēmumu, vai</w:t>
      </w:r>
    </w:p>
    <w:p w:rsidR="003E022D" w:rsidRDefault="007D19D6">
      <w:pPr>
        <w:pStyle w:val="ListParagraph"/>
        <w:numPr>
          <w:ilvl w:val="0"/>
          <w:numId w:val="1286"/>
        </w:numPr>
        <w:rPr>
          <w:noProof/>
        </w:rPr>
      </w:pPr>
      <w:r>
        <w:rPr>
          <w:noProof/>
        </w:rPr>
        <w:t xml:space="preserve">1. punktā minētajā dienā. </w:t>
      </w:r>
    </w:p>
    <w:p w:rsidR="003E022D" w:rsidRDefault="007D19D6">
      <w:pPr>
        <w:rPr>
          <w:rFonts w:eastAsia="Calibri" w:cs="Calibri"/>
          <w:noProof/>
        </w:rPr>
      </w:pPr>
      <w:r>
        <w:rPr>
          <w:noProof/>
        </w:rPr>
        <w:t xml:space="preserve">3. </w:t>
      </w:r>
      <w:r>
        <w:rPr>
          <w:noProof/>
        </w:rPr>
        <w:tab/>
        <w:t xml:space="preserve">No šā nolīguma provizoriskas piemērošanas dienas Puses šajā nolīgumā atsauces uz “šā nolīguma spēkā stāšanās dienu” vai “šā nolīguma spēkā stāšanos” saprot kā atsauces uz dienu, no kuras šo nolīgumu </w:t>
      </w:r>
      <w:r>
        <w:rPr>
          <w:noProof/>
        </w:rPr>
        <w:t>piemēro provizoriski.</w:t>
      </w:r>
    </w:p>
    <w:p w:rsidR="003E022D" w:rsidRDefault="003E022D">
      <w:pPr>
        <w:pStyle w:val="Article"/>
        <w:rPr>
          <w:rFonts w:asciiTheme="majorHAnsi" w:hAnsiTheme="majorHAnsi"/>
          <w:noProof/>
        </w:rPr>
      </w:pPr>
    </w:p>
    <w:p w:rsidR="003E022D" w:rsidRDefault="003E022D">
      <w:pPr>
        <w:rPr>
          <w:noProof/>
          <w:lang w:eastAsia="en-GB" w:bidi="fr-BE"/>
        </w:rPr>
      </w:pPr>
    </w:p>
    <w:p w:rsidR="003E022D" w:rsidRDefault="007D19D6">
      <w:pPr>
        <w:spacing w:after="0" w:line="276" w:lineRule="auto"/>
        <w:jc w:val="left"/>
        <w:rPr>
          <w:noProof/>
        </w:rPr>
      </w:pPr>
      <w:r>
        <w:rPr>
          <w:noProof/>
        </w:rPr>
        <w:br w:type="page"/>
      </w:r>
    </w:p>
    <w:p w:rsidR="003E022D" w:rsidRDefault="007D19D6">
      <w:pPr>
        <w:pStyle w:val="Heading1"/>
        <w:rPr>
          <w:noProof/>
        </w:rPr>
      </w:pPr>
      <w:bookmarkStart w:id="943" w:name="_Toc59988384"/>
      <w:r>
        <w:rPr>
          <w:noProof/>
        </w:rPr>
        <w:t>PIELIKUMI</w:t>
      </w:r>
      <w:bookmarkEnd w:id="943"/>
    </w:p>
    <w:p w:rsidR="003E022D" w:rsidRDefault="007D19D6">
      <w:pPr>
        <w:pStyle w:val="ANNEX"/>
        <w:rPr>
          <w:noProof/>
        </w:rPr>
      </w:pPr>
      <w:hyperlink w:anchor="_Toc35449715" w:history="1">
        <w:bookmarkStart w:id="944" w:name="_Toc59645246"/>
        <w:bookmarkStart w:id="945" w:name="_Toc59988385"/>
        <w:r>
          <w:rPr>
            <w:noProof/>
          </w:rPr>
          <w:t>INST.PIELIKUMS.</w:t>
        </w:r>
      </w:hyperlink>
      <w:r>
        <w:rPr>
          <w:noProof/>
        </w:rPr>
        <w:t xml:space="preserve"> PARTNERĪBAS PADOMES UN KOMITEJU REGLAMENTS</w:t>
      </w:r>
      <w:bookmarkEnd w:id="944"/>
      <w:bookmarkEnd w:id="945"/>
    </w:p>
    <w:p w:rsidR="003E022D" w:rsidRDefault="007D19D6">
      <w:pPr>
        <w:spacing w:before="100" w:beforeAutospacing="1" w:after="100" w:afterAutospacing="1"/>
        <w:jc w:val="center"/>
        <w:rPr>
          <w:rFonts w:eastAsia="Times New Roman" w:cstheme="minorHAnsi"/>
          <w:noProof/>
        </w:rPr>
      </w:pPr>
      <w:r>
        <w:rPr>
          <w:noProof/>
        </w:rPr>
        <w:t>1. pants</w:t>
      </w:r>
    </w:p>
    <w:p w:rsidR="003E022D" w:rsidRDefault="007D19D6">
      <w:pPr>
        <w:spacing w:before="100" w:beforeAutospacing="1" w:after="100" w:afterAutospacing="1"/>
        <w:jc w:val="center"/>
        <w:rPr>
          <w:rFonts w:eastAsia="Times New Roman" w:cstheme="minorHAnsi"/>
          <w:noProof/>
        </w:rPr>
      </w:pPr>
      <w:r>
        <w:rPr>
          <w:noProof/>
        </w:rPr>
        <w:t xml:space="preserve">Priekšsēdētājs </w:t>
      </w:r>
    </w:p>
    <w:p w:rsidR="003E022D" w:rsidRDefault="007D19D6">
      <w:pPr>
        <w:spacing w:before="100" w:beforeAutospacing="1" w:after="100" w:afterAutospacing="1"/>
        <w:rPr>
          <w:noProof/>
        </w:rPr>
      </w:pPr>
      <w:r>
        <w:rPr>
          <w:noProof/>
        </w:rPr>
        <w:t>1.</w:t>
      </w:r>
      <w:r>
        <w:rPr>
          <w:noProof/>
        </w:rPr>
        <w:tab/>
        <w:t xml:space="preserve">Savienība un Apvienotā Karaliste viena otrai paziņo savu attiecīgo iecelto līdzpriekšsēdētāju vārdu, </w:t>
      </w:r>
      <w:r>
        <w:rPr>
          <w:noProof/>
        </w:rPr>
        <w:t xml:space="preserve">uzvārdu, amatu un kontaktinformāciju. Tiek uzskatīts, ka līdzpriekšsēdētājam ir atļauja pārstāvēt attiecīgi Savienību vai Apvienoto Karalisti līdz dienai, kad attiecīgajai otrai Pusei ir paziņots par jaunu līdzpriekšsēdētāju. </w:t>
      </w:r>
    </w:p>
    <w:p w:rsidR="003E022D" w:rsidRDefault="007D19D6">
      <w:pPr>
        <w:spacing w:before="100" w:beforeAutospacing="1" w:after="100" w:afterAutospacing="1"/>
        <w:rPr>
          <w:noProof/>
        </w:rPr>
      </w:pPr>
      <w:r>
        <w:rPr>
          <w:noProof/>
        </w:rPr>
        <w:t>2.</w:t>
      </w:r>
      <w:r>
        <w:rPr>
          <w:noProof/>
        </w:rPr>
        <w:tab/>
        <w:t>Šajā reglamentā paredzētos</w:t>
      </w:r>
      <w:r>
        <w:rPr>
          <w:noProof/>
        </w:rPr>
        <w:t xml:space="preserve"> līdzpriekšsēdētāju lēmumus pieņem, savstarpēji vienojoties. </w:t>
      </w:r>
    </w:p>
    <w:p w:rsidR="003E022D" w:rsidRDefault="007D19D6">
      <w:pPr>
        <w:spacing w:before="100" w:beforeAutospacing="1" w:after="100" w:afterAutospacing="1"/>
        <w:rPr>
          <w:rFonts w:cstheme="minorHAnsi"/>
          <w:noProof/>
        </w:rPr>
      </w:pPr>
      <w:r>
        <w:rPr>
          <w:noProof/>
        </w:rPr>
        <w:t xml:space="preserve">3. </w:t>
      </w:r>
      <w:r>
        <w:rPr>
          <w:noProof/>
        </w:rPr>
        <w:tab/>
        <w:t>Līdzpriekšsēdētāju uz konkrētu sanāksmi var aizstāt pilnvarota persona. Līdzpriekšsēdētājs vai tā pilnvarotā persona iespējami drīz informē otru līdzpriekšsēdētāju un Partnerības padomes sek</w:t>
      </w:r>
      <w:r>
        <w:rPr>
          <w:noProof/>
        </w:rPr>
        <w:t>retariātu par pilnvarojumu. Šajā reglamentā ikvienu atsauci uz līdzpriekšsēdētājiem saprot kā atsauci arī uz pilnvarotajām personām.</w:t>
      </w:r>
    </w:p>
    <w:p w:rsidR="003E022D" w:rsidRDefault="007D19D6">
      <w:pPr>
        <w:spacing w:before="100" w:beforeAutospacing="1" w:after="100" w:afterAutospacing="1"/>
        <w:jc w:val="center"/>
        <w:rPr>
          <w:rFonts w:eastAsia="Times New Roman" w:cstheme="minorHAnsi"/>
          <w:noProof/>
        </w:rPr>
      </w:pPr>
      <w:r>
        <w:rPr>
          <w:noProof/>
        </w:rPr>
        <w:t>2. pants</w:t>
      </w:r>
    </w:p>
    <w:p w:rsidR="003E022D" w:rsidRDefault="007D19D6">
      <w:pPr>
        <w:spacing w:before="100" w:beforeAutospacing="1" w:after="100" w:afterAutospacing="1"/>
        <w:jc w:val="center"/>
        <w:rPr>
          <w:rFonts w:eastAsia="Times New Roman" w:cstheme="minorHAnsi"/>
          <w:noProof/>
        </w:rPr>
      </w:pPr>
      <w:r>
        <w:rPr>
          <w:noProof/>
        </w:rPr>
        <w:t>Sekretariāts</w:t>
      </w:r>
    </w:p>
    <w:p w:rsidR="003E022D" w:rsidRDefault="007D19D6">
      <w:pPr>
        <w:spacing w:before="100" w:beforeAutospacing="1" w:after="100" w:afterAutospacing="1"/>
        <w:rPr>
          <w:rFonts w:cstheme="minorHAnsi"/>
          <w:noProof/>
        </w:rPr>
      </w:pPr>
      <w:r>
        <w:rPr>
          <w:noProof/>
        </w:rPr>
        <w:t>Partnerības padomes sekretariāta (“sekretariāts”) sastāvā ir Savienības amatpersona un Apvienotās Kar</w:t>
      </w:r>
      <w:r>
        <w:rPr>
          <w:noProof/>
        </w:rPr>
        <w:t xml:space="preserve">alistes valdības amatpersona. Sekretariāts veic uzdevumus, kas tam uzticēti ar šo reglamentu. </w:t>
      </w:r>
    </w:p>
    <w:p w:rsidR="003E022D" w:rsidRDefault="007D19D6">
      <w:pPr>
        <w:spacing w:before="100" w:beforeAutospacing="1" w:after="100" w:afterAutospacing="1"/>
        <w:rPr>
          <w:rFonts w:cstheme="minorHAnsi"/>
          <w:noProof/>
        </w:rPr>
      </w:pPr>
      <w:r>
        <w:rPr>
          <w:noProof/>
        </w:rPr>
        <w:t>Savienība un Apvienotā Karaliste paziņo viena otrai tās amatpersonas vārdu, amatu un kontaktinformāciju, kura ir Partnerības padomes sekretariāta loceklis attiec</w:t>
      </w:r>
      <w:r>
        <w:rPr>
          <w:noProof/>
        </w:rPr>
        <w:t>īgi no Savienības un Apvienotās Karalistes. Tiek uzskatīts, ka šī amatpersona turpina darboties kā sekretariāta loceklis no Savienības vai Apvienotās Karalistes līdz dienai, kad vai nu Savienība, vai Apvienotā Karaliste ir paziņojusi par jaunu locekli.</w:t>
      </w:r>
    </w:p>
    <w:p w:rsidR="003E022D" w:rsidRDefault="007D19D6">
      <w:pPr>
        <w:spacing w:before="100" w:beforeAutospacing="1" w:after="100" w:afterAutospacing="1"/>
        <w:jc w:val="center"/>
        <w:rPr>
          <w:rFonts w:eastAsia="Times New Roman" w:cstheme="minorHAnsi"/>
          <w:noProof/>
        </w:rPr>
      </w:pPr>
      <w:r>
        <w:rPr>
          <w:noProof/>
        </w:rPr>
        <w:t>3. </w:t>
      </w:r>
      <w:r>
        <w:rPr>
          <w:noProof/>
        </w:rPr>
        <w:t>pants</w:t>
      </w:r>
    </w:p>
    <w:p w:rsidR="003E022D" w:rsidRDefault="007D19D6">
      <w:pPr>
        <w:spacing w:before="100" w:beforeAutospacing="1" w:after="100" w:afterAutospacing="1"/>
        <w:jc w:val="center"/>
        <w:rPr>
          <w:rFonts w:eastAsia="Times New Roman" w:cstheme="minorHAnsi"/>
          <w:noProof/>
        </w:rPr>
      </w:pPr>
      <w:r>
        <w:rPr>
          <w:noProof/>
        </w:rPr>
        <w:t>Sanāksmes</w:t>
      </w:r>
    </w:p>
    <w:p w:rsidR="003E022D" w:rsidRDefault="007D19D6">
      <w:pPr>
        <w:spacing w:before="100" w:beforeAutospacing="1" w:after="100" w:afterAutospacing="1"/>
        <w:rPr>
          <w:rFonts w:cstheme="minorHAnsi"/>
          <w:noProof/>
        </w:rPr>
      </w:pPr>
      <w:r>
        <w:rPr>
          <w:noProof/>
        </w:rPr>
        <w:t>1.</w:t>
      </w:r>
      <w:r>
        <w:rPr>
          <w:noProof/>
        </w:rPr>
        <w:tab/>
        <w:t>Sekretariāts sasauc katru Partnerības padomes sanāksmi dienā un laikā, par kuru vienojušies līdzpriekšsēdētāji. Ja Savienība vai Apvienotā Karaliste ar sekretariāta starpniecību ir nosūtījusi pieprasījumu sasaukt sanāksmi, Partnerības pa</w:t>
      </w:r>
      <w:r>
        <w:rPr>
          <w:noProof/>
        </w:rPr>
        <w:t xml:space="preserve">dome cenšas sanākt 30 dienu laikā no šāda pieprasījuma vai šajā nolīgumā paredzētajos gadījumos — agrāk. </w:t>
      </w:r>
    </w:p>
    <w:p w:rsidR="003E022D" w:rsidRDefault="007D19D6">
      <w:pPr>
        <w:spacing w:before="100" w:beforeAutospacing="1" w:after="100" w:afterAutospacing="1"/>
        <w:rPr>
          <w:rFonts w:cstheme="minorHAnsi"/>
          <w:noProof/>
        </w:rPr>
      </w:pPr>
      <w:r>
        <w:rPr>
          <w:noProof/>
        </w:rPr>
        <w:t>2.</w:t>
      </w:r>
      <w:r>
        <w:rPr>
          <w:noProof/>
        </w:rPr>
        <w:tab/>
        <w:t>Partnerības padome rīko sanāksmes pārmaiņus Briselē un Londonā, ja vien līdzpriekšsēdētāji nelemj citādi.</w:t>
      </w:r>
    </w:p>
    <w:p w:rsidR="003E022D" w:rsidRDefault="007D19D6">
      <w:pPr>
        <w:spacing w:before="100" w:beforeAutospacing="1" w:after="100" w:afterAutospacing="1"/>
        <w:rPr>
          <w:rFonts w:cstheme="minorHAnsi"/>
          <w:noProof/>
        </w:rPr>
      </w:pPr>
      <w:r>
        <w:rPr>
          <w:noProof/>
        </w:rPr>
        <w:t>3.</w:t>
      </w:r>
      <w:r>
        <w:rPr>
          <w:noProof/>
        </w:rPr>
        <w:tab/>
        <w:t xml:space="preserve">Atkāpjoties no </w:t>
      </w:r>
      <w:r>
        <w:rPr>
          <w:noProof/>
          <w:u w:color="000000"/>
        </w:rPr>
        <w:t>2. punkta</w:t>
      </w:r>
      <w:r>
        <w:rPr>
          <w:noProof/>
        </w:rPr>
        <w:t xml:space="preserve">, līdzpriekšsēdētāji var vienoties, ka Partnerības padomes sanāksme notiek videokonferences vai telefonkonferences veidā. </w:t>
      </w:r>
    </w:p>
    <w:p w:rsidR="003E022D" w:rsidRDefault="007D19D6">
      <w:pPr>
        <w:spacing w:before="100" w:beforeAutospacing="1" w:after="100" w:afterAutospacing="1"/>
        <w:jc w:val="center"/>
        <w:rPr>
          <w:rFonts w:eastAsia="Times New Roman" w:cstheme="minorHAnsi"/>
          <w:noProof/>
        </w:rPr>
      </w:pPr>
      <w:r>
        <w:rPr>
          <w:noProof/>
        </w:rPr>
        <w:t>4. pants</w:t>
      </w:r>
    </w:p>
    <w:p w:rsidR="003E022D" w:rsidRDefault="007D19D6">
      <w:pPr>
        <w:spacing w:before="100" w:beforeAutospacing="1" w:after="100" w:afterAutospacing="1"/>
        <w:jc w:val="center"/>
        <w:rPr>
          <w:rFonts w:eastAsia="Times New Roman" w:cstheme="minorHAnsi"/>
          <w:noProof/>
        </w:rPr>
      </w:pPr>
      <w:r>
        <w:rPr>
          <w:noProof/>
        </w:rPr>
        <w:t>Dalība sanāksmēs</w:t>
      </w:r>
    </w:p>
    <w:p w:rsidR="003E022D" w:rsidRDefault="007D19D6">
      <w:pPr>
        <w:autoSpaceDE w:val="0"/>
        <w:autoSpaceDN w:val="0"/>
        <w:adjustRightInd w:val="0"/>
        <w:spacing w:after="0"/>
        <w:rPr>
          <w:rFonts w:cstheme="minorHAnsi"/>
          <w:noProof/>
          <w:color w:val="000000"/>
        </w:rPr>
      </w:pPr>
      <w:r>
        <w:rPr>
          <w:noProof/>
          <w:color w:val="000000"/>
        </w:rPr>
        <w:t>1.</w:t>
      </w:r>
      <w:r>
        <w:rPr>
          <w:noProof/>
        </w:rPr>
        <w:tab/>
      </w:r>
      <w:r>
        <w:rPr>
          <w:noProof/>
          <w:color w:val="000000"/>
        </w:rPr>
        <w:t xml:space="preserve">Samērīgu laikposmu pirms katras sanāksmes Savienība un Apvienotā Karaliste ar sekretariāta starpniecību </w:t>
      </w:r>
      <w:r>
        <w:rPr>
          <w:noProof/>
          <w:color w:val="000000"/>
        </w:rPr>
        <w:t>informē viena otru par savu attiecīgo delegāciju paredzēto sastāvu</w:t>
      </w:r>
      <w:r>
        <w:rPr>
          <w:noProof/>
        </w:rPr>
        <w:t xml:space="preserve"> un norāda katra delegācijas locekļa vārdu, uzvārdu un amatu.</w:t>
      </w:r>
    </w:p>
    <w:p w:rsidR="003E022D" w:rsidRDefault="007D19D6">
      <w:pPr>
        <w:spacing w:before="100" w:beforeAutospacing="1" w:after="100" w:afterAutospacing="1"/>
        <w:rPr>
          <w:rFonts w:cstheme="minorHAnsi"/>
          <w:noProof/>
          <w:color w:val="000000"/>
        </w:rPr>
      </w:pPr>
      <w:r>
        <w:rPr>
          <w:noProof/>
          <w:color w:val="000000"/>
        </w:rPr>
        <w:t>2.</w:t>
      </w:r>
      <w:r>
        <w:rPr>
          <w:noProof/>
        </w:rPr>
        <w:tab/>
      </w:r>
      <w:r>
        <w:rPr>
          <w:noProof/>
          <w:color w:val="000000"/>
        </w:rPr>
        <w:t>Attiecīgā gadījumā līdzpriekšsēdētāji, savstarpēji vienojoties, var uzaicināt ekspertus (t. i., nevalstiskā sektora amatperso</w:t>
      </w:r>
      <w:r>
        <w:rPr>
          <w:noProof/>
          <w:color w:val="000000"/>
        </w:rPr>
        <w:t>nas) piedalīties Partnerības padomes sanāksmēs, lai sniegtu informāciju par konkrētu jautājumu, un tikai tajās sanāksmes daļās, kurās apspriež šādus konkrētus jautājumus.</w:t>
      </w:r>
    </w:p>
    <w:p w:rsidR="003E022D" w:rsidRDefault="007D19D6">
      <w:pPr>
        <w:spacing w:before="100" w:beforeAutospacing="1" w:after="100" w:afterAutospacing="1"/>
        <w:jc w:val="center"/>
        <w:rPr>
          <w:rFonts w:eastAsia="Times New Roman" w:cstheme="minorHAnsi"/>
          <w:noProof/>
        </w:rPr>
      </w:pPr>
      <w:r>
        <w:rPr>
          <w:noProof/>
        </w:rPr>
        <w:t>5. pants</w:t>
      </w:r>
    </w:p>
    <w:p w:rsidR="003E022D" w:rsidRDefault="007D19D6">
      <w:pPr>
        <w:spacing w:before="100" w:beforeAutospacing="1" w:after="100" w:afterAutospacing="1"/>
        <w:jc w:val="center"/>
        <w:rPr>
          <w:rFonts w:eastAsia="Times New Roman" w:cstheme="minorHAnsi"/>
          <w:noProof/>
        </w:rPr>
      </w:pPr>
      <w:r>
        <w:rPr>
          <w:noProof/>
        </w:rPr>
        <w:t>Dokumenti</w:t>
      </w:r>
    </w:p>
    <w:p w:rsidR="003E022D" w:rsidRDefault="007D19D6">
      <w:pPr>
        <w:spacing w:before="100" w:beforeAutospacing="1" w:after="100" w:afterAutospacing="1"/>
        <w:rPr>
          <w:rFonts w:cstheme="minorHAnsi"/>
          <w:noProof/>
        </w:rPr>
      </w:pPr>
      <w:r>
        <w:rPr>
          <w:noProof/>
        </w:rPr>
        <w:t xml:space="preserve">Rakstiskos dokumentus, kas ir Partnerības padomes apspriežu </w:t>
      </w:r>
      <w:r>
        <w:rPr>
          <w:noProof/>
        </w:rPr>
        <w:t>pamatā, sekretariāts numurē un izplata Savienībā un Apvienotajā Karalistē.</w:t>
      </w:r>
    </w:p>
    <w:p w:rsidR="003E022D" w:rsidRDefault="007D19D6">
      <w:pPr>
        <w:spacing w:before="100" w:beforeAutospacing="1" w:after="100" w:afterAutospacing="1"/>
        <w:jc w:val="center"/>
        <w:rPr>
          <w:rFonts w:eastAsia="Times New Roman" w:cstheme="minorHAnsi"/>
          <w:noProof/>
        </w:rPr>
      </w:pPr>
      <w:r>
        <w:rPr>
          <w:noProof/>
        </w:rPr>
        <w:t>6. pants</w:t>
      </w:r>
    </w:p>
    <w:p w:rsidR="003E022D" w:rsidRDefault="007D19D6">
      <w:pPr>
        <w:spacing w:before="100" w:beforeAutospacing="1" w:after="100" w:afterAutospacing="1"/>
        <w:jc w:val="center"/>
        <w:rPr>
          <w:rFonts w:eastAsia="Times New Roman" w:cstheme="minorHAnsi"/>
          <w:noProof/>
        </w:rPr>
      </w:pPr>
      <w:r>
        <w:rPr>
          <w:noProof/>
        </w:rPr>
        <w:t>Sarakste</w:t>
      </w:r>
    </w:p>
    <w:p w:rsidR="003E022D" w:rsidRDefault="007D19D6">
      <w:pPr>
        <w:spacing w:before="100" w:beforeAutospacing="1" w:after="100" w:afterAutospacing="1"/>
        <w:rPr>
          <w:rFonts w:cstheme="minorHAnsi"/>
          <w:noProof/>
        </w:rPr>
      </w:pPr>
      <w:r>
        <w:rPr>
          <w:noProof/>
        </w:rPr>
        <w:t>1.</w:t>
      </w:r>
      <w:r>
        <w:rPr>
          <w:noProof/>
        </w:rPr>
        <w:tab/>
        <w:t>Savienība un Apvienotā Karaliste Partnerības padomei adresēto saraksti nosūta ar sekretariāta starpniecību. Šādu saraksti var nosūtīt jebkādā rakstiskās saziņas</w:t>
      </w:r>
      <w:r>
        <w:rPr>
          <w:noProof/>
        </w:rPr>
        <w:t xml:space="preserve"> veidā, arī pa elektronisko pastu.</w:t>
      </w:r>
    </w:p>
    <w:p w:rsidR="003E022D" w:rsidRDefault="007D19D6">
      <w:pPr>
        <w:spacing w:before="100" w:beforeAutospacing="1" w:after="100" w:afterAutospacing="1"/>
        <w:rPr>
          <w:rFonts w:cstheme="minorHAnsi"/>
          <w:noProof/>
          <w:color w:val="000000"/>
        </w:rPr>
      </w:pPr>
      <w:r>
        <w:rPr>
          <w:noProof/>
        </w:rPr>
        <w:t xml:space="preserve">2. </w:t>
      </w:r>
      <w:r>
        <w:rPr>
          <w:noProof/>
        </w:rPr>
        <w:tab/>
        <w:t xml:space="preserve">Sekretariāts nodrošina, ka Partnerības padomei adresētā sarakste tiek nogādāta līdzpriekšsēdētājiem un vajadzības gadījumā tiek izplatīta saskaņā ar </w:t>
      </w:r>
      <w:r>
        <w:rPr>
          <w:noProof/>
          <w:u w:color="000000"/>
        </w:rPr>
        <w:t>5. pantu</w:t>
      </w:r>
      <w:r>
        <w:rPr>
          <w:noProof/>
        </w:rPr>
        <w:t>.</w:t>
      </w:r>
      <w:r>
        <w:rPr>
          <w:noProof/>
          <w:color w:val="000000"/>
        </w:rPr>
        <w:t xml:space="preserve"> </w:t>
      </w:r>
    </w:p>
    <w:p w:rsidR="003E022D" w:rsidRDefault="007D19D6">
      <w:pPr>
        <w:spacing w:before="100" w:beforeAutospacing="1" w:after="100" w:afterAutospacing="1"/>
        <w:rPr>
          <w:rFonts w:cstheme="minorHAnsi"/>
          <w:noProof/>
        </w:rPr>
      </w:pPr>
      <w:r>
        <w:rPr>
          <w:noProof/>
          <w:color w:val="000000"/>
        </w:rPr>
        <w:t>3.</w:t>
      </w:r>
      <w:r>
        <w:rPr>
          <w:noProof/>
        </w:rPr>
        <w:tab/>
        <w:t>Visu saraksti no līdzpriekšsēdētājiem vai tieši tiem a</w:t>
      </w:r>
      <w:r>
        <w:rPr>
          <w:noProof/>
        </w:rPr>
        <w:t xml:space="preserve">dresētu saraksti pārsūta sekretariātam un vajadzības gadījumā izplata saskaņā ar 5. pantu. </w:t>
      </w:r>
    </w:p>
    <w:p w:rsidR="003E022D" w:rsidRDefault="007D19D6">
      <w:pPr>
        <w:spacing w:before="100" w:beforeAutospacing="1" w:after="100" w:afterAutospacing="1"/>
        <w:jc w:val="center"/>
        <w:rPr>
          <w:rFonts w:cstheme="minorHAnsi"/>
          <w:noProof/>
        </w:rPr>
      </w:pPr>
      <w:r>
        <w:rPr>
          <w:noProof/>
        </w:rPr>
        <w:t>7. pants</w:t>
      </w:r>
    </w:p>
    <w:p w:rsidR="003E022D" w:rsidRDefault="007D19D6">
      <w:pPr>
        <w:spacing w:before="100" w:beforeAutospacing="1" w:after="100" w:afterAutospacing="1"/>
        <w:jc w:val="center"/>
        <w:rPr>
          <w:rFonts w:cstheme="minorHAnsi"/>
          <w:noProof/>
        </w:rPr>
      </w:pPr>
      <w:r>
        <w:rPr>
          <w:noProof/>
        </w:rPr>
        <w:t>Sanāksmju darba kārtība</w:t>
      </w:r>
    </w:p>
    <w:p w:rsidR="003E022D" w:rsidRDefault="007D19D6">
      <w:pPr>
        <w:spacing w:before="100" w:beforeAutospacing="1" w:after="100" w:afterAutospacing="1"/>
        <w:rPr>
          <w:rFonts w:cstheme="minorHAnsi"/>
          <w:noProof/>
          <w:color w:val="000000"/>
        </w:rPr>
      </w:pPr>
      <w:r>
        <w:rPr>
          <w:noProof/>
        </w:rPr>
        <w:t xml:space="preserve">1. </w:t>
      </w:r>
      <w:r>
        <w:rPr>
          <w:noProof/>
        </w:rPr>
        <w:tab/>
        <w:t>Sekretariāts sagatavo katras sanāksmes provizoriskas darba kārtības projektu.</w:t>
      </w:r>
      <w:r>
        <w:rPr>
          <w:noProof/>
          <w:color w:val="000000"/>
        </w:rPr>
        <w:t xml:space="preserve"> To kopā ar attiecīgajiem dokumentiem nosūta līdzp</w:t>
      </w:r>
      <w:r>
        <w:rPr>
          <w:noProof/>
          <w:color w:val="000000"/>
        </w:rPr>
        <w:t xml:space="preserve">riekšsēdētājiem ne vēlāk kā 10 dienas pirms sanāksmes dienas. </w:t>
      </w:r>
    </w:p>
    <w:p w:rsidR="003E022D" w:rsidRDefault="007D19D6">
      <w:pPr>
        <w:autoSpaceDE w:val="0"/>
        <w:autoSpaceDN w:val="0"/>
        <w:adjustRightInd w:val="0"/>
        <w:spacing w:after="0"/>
        <w:rPr>
          <w:rFonts w:cstheme="minorHAnsi"/>
          <w:noProof/>
          <w:color w:val="000000"/>
        </w:rPr>
      </w:pPr>
      <w:r>
        <w:rPr>
          <w:noProof/>
          <w:color w:val="000000"/>
        </w:rPr>
        <w:t xml:space="preserve">2. </w:t>
      </w:r>
      <w:r>
        <w:rPr>
          <w:noProof/>
        </w:rPr>
        <w:tab/>
      </w:r>
      <w:r>
        <w:rPr>
          <w:noProof/>
          <w:color w:val="000000"/>
        </w:rPr>
        <w:t>Pagaidu darba kārtībā iekļauj jautājumus, ko pieprasījusi Savienība vai Apvienotā Karaliste. Jebkuru šādu pieprasījumu kopā ar jebkuru attiecīgu dokumentu iesniedz sekretariātam ne vēlāk kā</w:t>
      </w:r>
      <w:r>
        <w:rPr>
          <w:noProof/>
          <w:color w:val="000000"/>
        </w:rPr>
        <w:t xml:space="preserve"> 15 dienas pirms sanāksmes sākuma. </w:t>
      </w:r>
    </w:p>
    <w:p w:rsidR="003E022D" w:rsidRDefault="007D19D6">
      <w:pPr>
        <w:spacing w:before="100" w:beforeAutospacing="1" w:after="100" w:afterAutospacing="1"/>
        <w:rPr>
          <w:rFonts w:eastAsia="Times New Roman" w:cstheme="minorHAnsi"/>
          <w:noProof/>
        </w:rPr>
      </w:pPr>
      <w:r>
        <w:rPr>
          <w:noProof/>
          <w:color w:val="000000"/>
        </w:rPr>
        <w:t xml:space="preserve">3. </w:t>
      </w:r>
      <w:r>
        <w:rPr>
          <w:noProof/>
        </w:rPr>
        <w:tab/>
      </w:r>
      <w:r>
        <w:rPr>
          <w:noProof/>
          <w:color w:val="000000"/>
        </w:rPr>
        <w:t xml:space="preserve">Ne vēlāk kā 5 dienas pirms sanāksmes dienas līdzpriekšsēdētāji lemj par sanāksmes provizorisko darba kārtību. </w:t>
      </w:r>
    </w:p>
    <w:p w:rsidR="003E022D" w:rsidRDefault="007D19D6">
      <w:pPr>
        <w:autoSpaceDE w:val="0"/>
        <w:autoSpaceDN w:val="0"/>
        <w:adjustRightInd w:val="0"/>
        <w:spacing w:after="0"/>
        <w:rPr>
          <w:rFonts w:cstheme="minorHAnsi"/>
          <w:noProof/>
          <w:color w:val="000000"/>
        </w:rPr>
      </w:pPr>
      <w:r>
        <w:rPr>
          <w:noProof/>
          <w:color w:val="000000"/>
        </w:rPr>
        <w:t xml:space="preserve">4. </w:t>
      </w:r>
      <w:r>
        <w:rPr>
          <w:noProof/>
        </w:rPr>
        <w:tab/>
      </w:r>
      <w:r>
        <w:rPr>
          <w:noProof/>
          <w:color w:val="000000"/>
        </w:rPr>
        <w:t>Partnerības padome katras sanāksmes sākumā pieņem darba kārtību. Pēc Savienības vai Apvienotās Karali</w:t>
      </w:r>
      <w:r>
        <w:rPr>
          <w:noProof/>
          <w:color w:val="000000"/>
        </w:rPr>
        <w:t xml:space="preserve">stes pieprasījuma jautājumu, kas nav iekļauts provizoriskajā darba kārtībā, var iekļaut darba kārtībā vienprātīgi. </w:t>
      </w:r>
    </w:p>
    <w:p w:rsidR="003E022D" w:rsidRDefault="007D19D6">
      <w:pPr>
        <w:spacing w:before="100" w:beforeAutospacing="1" w:after="100" w:afterAutospacing="1"/>
        <w:rPr>
          <w:rFonts w:eastAsia="Times New Roman" w:cstheme="minorHAnsi"/>
          <w:noProof/>
        </w:rPr>
      </w:pPr>
      <w:r>
        <w:rPr>
          <w:noProof/>
        </w:rPr>
        <w:t>5.   </w:t>
      </w:r>
      <w:r>
        <w:rPr>
          <w:noProof/>
        </w:rPr>
        <w:tab/>
        <w:t>Līdzpriekšsēdētāji, savstarpēji vienojoties, var saīsināt vai pagarināt 1.–3. punktā norādītos termiņus, lai ņemtu vērā vajadzības kon</w:t>
      </w:r>
      <w:r>
        <w:rPr>
          <w:noProof/>
        </w:rPr>
        <w:t>krētajā gadījumā.</w:t>
      </w:r>
    </w:p>
    <w:p w:rsidR="003E022D" w:rsidRDefault="007D19D6">
      <w:pPr>
        <w:spacing w:before="100" w:beforeAutospacing="1" w:after="100" w:afterAutospacing="1"/>
        <w:jc w:val="center"/>
        <w:rPr>
          <w:rFonts w:cstheme="minorHAnsi"/>
          <w:noProof/>
        </w:rPr>
      </w:pPr>
      <w:r>
        <w:rPr>
          <w:noProof/>
        </w:rPr>
        <w:t>8. pants</w:t>
      </w:r>
    </w:p>
    <w:p w:rsidR="003E022D" w:rsidRDefault="007D19D6">
      <w:pPr>
        <w:spacing w:before="100" w:beforeAutospacing="1" w:after="100" w:afterAutospacing="1"/>
        <w:jc w:val="center"/>
        <w:rPr>
          <w:rFonts w:cstheme="minorHAnsi"/>
          <w:noProof/>
        </w:rPr>
      </w:pPr>
      <w:r>
        <w:rPr>
          <w:noProof/>
        </w:rPr>
        <w:t>Protokols</w:t>
      </w:r>
    </w:p>
    <w:p w:rsidR="003E022D" w:rsidRDefault="007D19D6">
      <w:pPr>
        <w:spacing w:before="100" w:beforeAutospacing="1" w:after="100" w:afterAutospacing="1"/>
        <w:rPr>
          <w:rFonts w:cstheme="minorHAnsi"/>
          <w:noProof/>
          <w:color w:val="000000"/>
        </w:rPr>
      </w:pPr>
      <w:r>
        <w:rPr>
          <w:noProof/>
          <w:color w:val="000000"/>
        </w:rPr>
        <w:t xml:space="preserve">1. </w:t>
      </w:r>
      <w:r>
        <w:rPr>
          <w:noProof/>
        </w:rPr>
        <w:tab/>
      </w:r>
      <w:r>
        <w:rPr>
          <w:noProof/>
          <w:color w:val="000000"/>
        </w:rPr>
        <w:t xml:space="preserve">Ja vien līdzpriekšsēdētāji nenolemj citādi, 15 dienu laikā pēc katras sanāksmes beigām amatpersona, kas pilda sanāksmes rīkotājas Puses sekretariāta locekļa pienākumus, sagatavo katras sanāksmes protokola projektu. </w:t>
      </w:r>
      <w:r>
        <w:rPr>
          <w:noProof/>
          <w:color w:val="000000"/>
        </w:rPr>
        <w:t xml:space="preserve">Protokola projektu nosūta otras Puses sekretariāta loceklim piezīmju sniegšanai. Tas var iesniegt piezīmes 7 dienu laikā no protokola projekta saņemšanas dienas. </w:t>
      </w:r>
    </w:p>
    <w:p w:rsidR="003E022D" w:rsidRDefault="007D19D6">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Protokolā parasti sniedz kopsavilkumu par katru darba kārtības jautājumu, attiecīgā gadīj</w:t>
      </w:r>
      <w:r>
        <w:rPr>
          <w:noProof/>
          <w:color w:val="000000"/>
        </w:rPr>
        <w:t xml:space="preserve">umā norādot: </w:t>
      </w:r>
    </w:p>
    <w:p w:rsidR="003E022D" w:rsidRDefault="007D19D6">
      <w:pPr>
        <w:pStyle w:val="ListParagraph"/>
        <w:numPr>
          <w:ilvl w:val="0"/>
          <w:numId w:val="984"/>
        </w:numPr>
        <w:spacing w:before="100" w:beforeAutospacing="1" w:after="100" w:afterAutospacing="1"/>
        <w:rPr>
          <w:rFonts w:cstheme="minorHAnsi"/>
          <w:noProof/>
          <w:color w:val="000000"/>
        </w:rPr>
      </w:pPr>
      <w:r>
        <w:rPr>
          <w:noProof/>
          <w:color w:val="000000"/>
        </w:rPr>
        <w:t xml:space="preserve">Partnerības padomei iesniegtos dokumentus; </w:t>
      </w:r>
    </w:p>
    <w:p w:rsidR="003E022D" w:rsidRDefault="007D19D6">
      <w:pPr>
        <w:pStyle w:val="ListParagraph"/>
        <w:numPr>
          <w:ilvl w:val="0"/>
          <w:numId w:val="984"/>
        </w:numPr>
        <w:spacing w:after="160" w:line="259" w:lineRule="auto"/>
        <w:jc w:val="left"/>
        <w:rPr>
          <w:noProof/>
        </w:rPr>
      </w:pPr>
      <w:r>
        <w:rPr>
          <w:noProof/>
        </w:rPr>
        <w:t xml:space="preserve">ikvienu paziņojumu, ko viens no līdzpriekšsēdētājiem pieprasījis iekļaut protokolā un </w:t>
      </w:r>
    </w:p>
    <w:p w:rsidR="003E022D" w:rsidRDefault="007D19D6">
      <w:pPr>
        <w:pStyle w:val="ListParagraph"/>
        <w:numPr>
          <w:ilvl w:val="0"/>
          <w:numId w:val="984"/>
        </w:numPr>
        <w:spacing w:after="160" w:line="259" w:lineRule="auto"/>
        <w:jc w:val="left"/>
        <w:rPr>
          <w:noProof/>
        </w:rPr>
      </w:pPr>
      <w:r>
        <w:rPr>
          <w:noProof/>
        </w:rPr>
        <w:t xml:space="preserve">pieņemtos lēmumus, sniegtos ieteikumus, paziņojumus, par kuriem panākta vienošanās, un pieņemtos secinājumus par konkrētiem jautājumiem. </w:t>
      </w:r>
    </w:p>
    <w:p w:rsidR="003E022D" w:rsidRDefault="007D19D6">
      <w:pPr>
        <w:rPr>
          <w:rFonts w:cstheme="minorHAnsi"/>
          <w:noProof/>
        </w:rPr>
      </w:pPr>
      <w:r>
        <w:rPr>
          <w:noProof/>
        </w:rPr>
        <w:t xml:space="preserve">3. </w:t>
      </w:r>
      <w:r>
        <w:rPr>
          <w:noProof/>
        </w:rPr>
        <w:tab/>
        <w:t xml:space="preserve">Protokola pielikumā iekļauj dalībnieku sarakstu, kurā katrai delegācijai norāda visu to personu vārdu, uzvārdu un </w:t>
      </w:r>
      <w:r>
        <w:rPr>
          <w:noProof/>
        </w:rPr>
        <w:t xml:space="preserve">amatu, kas piedalījušās sanāksmē. </w:t>
      </w:r>
    </w:p>
    <w:p w:rsidR="003E022D" w:rsidRDefault="007D19D6">
      <w:pPr>
        <w:rPr>
          <w:rFonts w:cstheme="minorHAnsi"/>
          <w:noProof/>
        </w:rPr>
      </w:pPr>
      <w:r>
        <w:rPr>
          <w:noProof/>
        </w:rPr>
        <w:t xml:space="preserve">4. </w:t>
      </w:r>
      <w:r>
        <w:rPr>
          <w:noProof/>
        </w:rPr>
        <w:tab/>
        <w:t xml:space="preserve">Sekretariāts pielāgo protokola projektu, pamatojoties uz saņemtajām piezīmēm, un pārskatīto protokola projektu līdzpriekšsēdētāji apstiprina 28 dienu laikā no sanāksmes dienas vai līdz jebkurai citai dienai, par kuru </w:t>
      </w:r>
      <w:r>
        <w:rPr>
          <w:noProof/>
        </w:rPr>
        <w:t>vienojušies līdzpriekšsēdētāji. Pēc protokola apstiprināšanas sekretariāta locekļi ar parakstu autentificē divus protokola eksemplārus. Savienība un Apvienotā Karaliste katra saņem vienu no šiem autentiskajiem eksemplāriem. Līdzpriekšsēdētāji var vienoties</w:t>
      </w:r>
      <w:r>
        <w:rPr>
          <w:noProof/>
        </w:rPr>
        <w:t xml:space="preserve">, ka šī prasība tiek izpildīta arī ar elektronisku eksemplāru parakstīšanu un apmaiņu ar tiem. </w:t>
      </w:r>
    </w:p>
    <w:p w:rsidR="003E022D" w:rsidRDefault="007D19D6">
      <w:pPr>
        <w:spacing w:before="100" w:beforeAutospacing="1" w:after="100" w:afterAutospacing="1"/>
        <w:jc w:val="center"/>
        <w:rPr>
          <w:rFonts w:eastAsia="Times New Roman" w:cstheme="minorHAnsi"/>
          <w:noProof/>
        </w:rPr>
      </w:pPr>
      <w:r>
        <w:rPr>
          <w:noProof/>
        </w:rPr>
        <w:t>9. pants</w:t>
      </w:r>
    </w:p>
    <w:p w:rsidR="003E022D" w:rsidRDefault="007D19D6">
      <w:pPr>
        <w:spacing w:before="100" w:beforeAutospacing="1" w:after="100" w:afterAutospacing="1"/>
        <w:jc w:val="center"/>
        <w:rPr>
          <w:rFonts w:eastAsia="Times New Roman" w:cstheme="minorHAnsi"/>
          <w:noProof/>
        </w:rPr>
      </w:pPr>
      <w:r>
        <w:rPr>
          <w:noProof/>
        </w:rPr>
        <w:t>Lēmumi un ieteikumi</w:t>
      </w:r>
    </w:p>
    <w:p w:rsidR="003E022D" w:rsidRDefault="007D19D6">
      <w:pPr>
        <w:rPr>
          <w:rFonts w:cstheme="minorHAnsi"/>
          <w:noProof/>
        </w:rPr>
      </w:pPr>
      <w:r>
        <w:rPr>
          <w:noProof/>
        </w:rPr>
        <w:t xml:space="preserve">1. </w:t>
      </w:r>
      <w:r>
        <w:rPr>
          <w:noProof/>
        </w:rPr>
        <w:tab/>
        <w:t xml:space="preserve">Sanāksmju starplaikā Partnerības padome var pieņemt lēmumus vai ieteikumus, izmantojot rakstisku procedūru. Līdzpriekšsēdētājs </w:t>
      </w:r>
      <w:r>
        <w:rPr>
          <w:noProof/>
        </w:rPr>
        <w:t xml:space="preserve">lēmuma vai ieteikuma projekta tekstu Partnerības padomes darba valodā rakstveidā iesniedz otram līdzpriekšsēdētājam. Otrai Pusei ir viens mēnesis vai garāks termiņš, ko norādījusi ierosinātāja Puse, lai paustu piekrišanu lēmuma vai ieteikuma projektam. Ja </w:t>
      </w:r>
      <w:r>
        <w:rPr>
          <w:noProof/>
        </w:rPr>
        <w:t>otra Puse piekrišanu nepauž, tad ierosināto lēmumu vai ieteikumu apspriež un var pieņemt nākamajā Partnerības padomes sanāksmē. Lēmumu vai ieteikumu projektus uzskata par pieņemtiem, tiklīdz otra Puse ir paudusi piekrišanu, un tos iekļauj Partnerības padom</w:t>
      </w:r>
      <w:r>
        <w:rPr>
          <w:noProof/>
        </w:rPr>
        <w:t>es nākamās sanāksmes protokolā, ievērojot 8. pantu.</w:t>
      </w:r>
    </w:p>
    <w:p w:rsidR="003E022D" w:rsidRDefault="007D19D6">
      <w:pPr>
        <w:rPr>
          <w:rFonts w:cstheme="minorHAnsi"/>
          <w:noProof/>
        </w:rPr>
      </w:pPr>
      <w:r>
        <w:rPr>
          <w:noProof/>
        </w:rPr>
        <w:t xml:space="preserve">2. </w:t>
      </w:r>
      <w:r>
        <w:rPr>
          <w:noProof/>
        </w:rPr>
        <w:tab/>
        <w:t>Ja Partnerības padome pieņem lēmumus vai ieteikumus, šādu aktu nosaukumā attiecīgi iekļauj vārdu “lēmums” vai “ieteikums”. Sekretariāts reģistrē ikvienu lēmumu vai ieteikumu ar sērijas numuru un atsau</w:t>
      </w:r>
      <w:r>
        <w:rPr>
          <w:noProof/>
        </w:rPr>
        <w:t xml:space="preserve">ci uz tā pieņemšanas datumu. </w:t>
      </w:r>
    </w:p>
    <w:p w:rsidR="003E022D" w:rsidRDefault="007D19D6">
      <w:pPr>
        <w:rPr>
          <w:rFonts w:cstheme="minorHAnsi"/>
          <w:noProof/>
        </w:rPr>
      </w:pPr>
      <w:r>
        <w:rPr>
          <w:noProof/>
        </w:rPr>
        <w:t xml:space="preserve">3. </w:t>
      </w:r>
      <w:r>
        <w:rPr>
          <w:noProof/>
        </w:rPr>
        <w:tab/>
        <w:t xml:space="preserve">Partnerības padomes pieņemtajos lēmumos norāda to spēkā stāšanās datumu.  </w:t>
      </w:r>
    </w:p>
    <w:p w:rsidR="003E022D" w:rsidRDefault="007D19D6">
      <w:pPr>
        <w:rPr>
          <w:rFonts w:cstheme="minorHAnsi"/>
          <w:noProof/>
        </w:rPr>
      </w:pPr>
      <w:r>
        <w:rPr>
          <w:noProof/>
        </w:rPr>
        <w:t xml:space="preserve">4. </w:t>
      </w:r>
      <w:r>
        <w:rPr>
          <w:noProof/>
        </w:rPr>
        <w:tab/>
        <w:t>Partnerības padomes pieņemtos lēmumus un ieteikumus sastāda divos eksemplāros autentiskajās valodās un paraksta līdzpriekšsēdētāji, un tūlīt pē</w:t>
      </w:r>
      <w:r>
        <w:rPr>
          <w:noProof/>
        </w:rPr>
        <w:t xml:space="preserve">c parakstīšanas sekretariāts tos nosūta Savienībai un Apvienotajai Karalistei. Līdzpriekšsēdētāji var vienoties, ka paraksta prasība tiek izpildīta ar elektronisku eksemplāru parakstīšanu un apmaiņu ar tiem. </w:t>
      </w:r>
    </w:p>
    <w:p w:rsidR="003E022D" w:rsidRDefault="007D19D6">
      <w:pPr>
        <w:jc w:val="center"/>
        <w:rPr>
          <w:rFonts w:cstheme="minorHAnsi"/>
          <w:noProof/>
        </w:rPr>
      </w:pPr>
      <w:r>
        <w:rPr>
          <w:noProof/>
        </w:rPr>
        <w:t>10. pants</w:t>
      </w:r>
    </w:p>
    <w:p w:rsidR="003E022D" w:rsidRDefault="007D19D6">
      <w:pPr>
        <w:spacing w:after="0" w:line="360" w:lineRule="auto"/>
        <w:jc w:val="center"/>
        <w:rPr>
          <w:rFonts w:eastAsia="Arial Unicode MS" w:cstheme="minorHAnsi"/>
          <w:bCs/>
          <w:noProof/>
        </w:rPr>
      </w:pPr>
      <w:r>
        <w:rPr>
          <w:noProof/>
        </w:rPr>
        <w:t>Pārredzamība</w:t>
      </w:r>
    </w:p>
    <w:p w:rsidR="003E022D" w:rsidRDefault="007D19D6">
      <w:pPr>
        <w:rPr>
          <w:rFonts w:cstheme="minorHAnsi"/>
          <w:noProof/>
        </w:rPr>
      </w:pPr>
      <w:r>
        <w:rPr>
          <w:noProof/>
        </w:rPr>
        <w:t>1.</w:t>
      </w:r>
      <w:r>
        <w:rPr>
          <w:noProof/>
        </w:rPr>
        <w:tab/>
      </w:r>
      <w:r>
        <w:rPr>
          <w:noProof/>
        </w:rPr>
        <w:t xml:space="preserve">Līdzpriekšsēdētāji var vienoties, ka Partnerības padomes sanāksmes ir atklātas. </w:t>
      </w:r>
    </w:p>
    <w:p w:rsidR="003E022D" w:rsidRDefault="007D19D6">
      <w:pPr>
        <w:rPr>
          <w:rFonts w:cstheme="minorHAnsi"/>
          <w:noProof/>
        </w:rPr>
      </w:pPr>
      <w:r>
        <w:rPr>
          <w:noProof/>
        </w:rPr>
        <w:t>2.</w:t>
      </w:r>
      <w:r>
        <w:rPr>
          <w:noProof/>
        </w:rPr>
        <w:tab/>
        <w:t>Katra Puse var lemt par Partnerības padomes lēmumu un ieteikumu publicēšanu savā attiecīgajā oficiālajā izdevumā tiešsaistē.</w:t>
      </w:r>
    </w:p>
    <w:p w:rsidR="003E022D" w:rsidRDefault="007D19D6">
      <w:pPr>
        <w:rPr>
          <w:rFonts w:cstheme="minorHAnsi"/>
          <w:noProof/>
        </w:rPr>
      </w:pPr>
      <w:r>
        <w:rPr>
          <w:noProof/>
        </w:rPr>
        <w:t>3.</w:t>
      </w:r>
      <w:r>
        <w:rPr>
          <w:noProof/>
        </w:rPr>
        <w:tab/>
        <w:t>Ja Savienība vai Apvienotā Karaliste iesnied</w:t>
      </w:r>
      <w:r>
        <w:rPr>
          <w:noProof/>
        </w:rPr>
        <w:t>z Partnerības padomei informāciju, kas ir konfidenciāla vai aizsargājama no izpaušanas saskaņā ar tās normatīvajiem aktiem, otra Puse uzskata saņemto informāciju par konfidenciālu.</w:t>
      </w:r>
    </w:p>
    <w:p w:rsidR="003E022D" w:rsidRDefault="007D19D6">
      <w:pPr>
        <w:rPr>
          <w:rFonts w:cstheme="minorHAnsi"/>
          <w:noProof/>
        </w:rPr>
      </w:pPr>
      <w:r>
        <w:rPr>
          <w:noProof/>
        </w:rPr>
        <w:t>4.</w:t>
      </w:r>
      <w:r>
        <w:rPr>
          <w:noProof/>
        </w:rPr>
        <w:tab/>
        <w:t>Pirms Partnerības padomes sanāksmes publisko provizorisku sanāksmes darb</w:t>
      </w:r>
      <w:r>
        <w:rPr>
          <w:noProof/>
        </w:rPr>
        <w:t xml:space="preserve">a kārtību. Sanāksmju protokolus publisko pēc to apstiprināšanas saskaņā ar </w:t>
      </w:r>
      <w:r>
        <w:rPr>
          <w:noProof/>
          <w:u w:color="000000"/>
        </w:rPr>
        <w:t>8. pantu</w:t>
      </w:r>
      <w:r>
        <w:rPr>
          <w:noProof/>
        </w:rPr>
        <w:t xml:space="preserve">. </w:t>
      </w:r>
    </w:p>
    <w:p w:rsidR="003E022D" w:rsidRDefault="007D19D6">
      <w:pPr>
        <w:rPr>
          <w:rFonts w:cstheme="minorHAnsi"/>
          <w:noProof/>
        </w:rPr>
      </w:pPr>
      <w:r>
        <w:rPr>
          <w:noProof/>
        </w:rPr>
        <w:t>5.</w:t>
      </w:r>
      <w:r>
        <w:rPr>
          <w:noProof/>
        </w:rPr>
        <w:tab/>
        <w:t xml:space="preserve">Šā panta </w:t>
      </w:r>
      <w:r>
        <w:rPr>
          <w:noProof/>
          <w:u w:color="000000"/>
        </w:rPr>
        <w:t>2.–4. punktā</w:t>
      </w:r>
      <w:r>
        <w:rPr>
          <w:noProof/>
        </w:rPr>
        <w:t xml:space="preserve"> minētos dokumentus publicē saskaņā ar piemērojamajiem abu Pušu datu aizsardzības noteikumiem. </w:t>
      </w:r>
    </w:p>
    <w:p w:rsidR="003E022D" w:rsidRDefault="007D19D6">
      <w:pPr>
        <w:jc w:val="center"/>
        <w:rPr>
          <w:rFonts w:cstheme="minorHAnsi"/>
          <w:noProof/>
        </w:rPr>
      </w:pPr>
      <w:r>
        <w:rPr>
          <w:noProof/>
        </w:rPr>
        <w:t>11. pants</w:t>
      </w:r>
    </w:p>
    <w:p w:rsidR="003E022D" w:rsidRDefault="007D19D6">
      <w:pPr>
        <w:jc w:val="center"/>
        <w:rPr>
          <w:rFonts w:cstheme="minorHAnsi"/>
          <w:noProof/>
        </w:rPr>
      </w:pPr>
      <w:r>
        <w:rPr>
          <w:noProof/>
        </w:rPr>
        <w:t>Valodas</w:t>
      </w:r>
    </w:p>
    <w:p w:rsidR="003E022D" w:rsidRDefault="007D19D6">
      <w:pPr>
        <w:rPr>
          <w:rFonts w:cstheme="minorHAnsi"/>
          <w:noProof/>
        </w:rPr>
      </w:pPr>
      <w:r>
        <w:rPr>
          <w:noProof/>
          <w:color w:val="000000"/>
        </w:rPr>
        <w:t>1.</w:t>
      </w:r>
      <w:r>
        <w:rPr>
          <w:noProof/>
        </w:rPr>
        <w:t xml:space="preserve"> </w:t>
      </w:r>
      <w:r>
        <w:rPr>
          <w:noProof/>
        </w:rPr>
        <w:tab/>
        <w:t>Partnerības padomes oficiālā</w:t>
      </w:r>
      <w:r>
        <w:rPr>
          <w:noProof/>
        </w:rPr>
        <w:t xml:space="preserve">s valodas ir Savienības un Apvienotās Karalistes oficiālās valodas. </w:t>
      </w:r>
    </w:p>
    <w:p w:rsidR="003E022D" w:rsidRDefault="007D19D6">
      <w:pPr>
        <w:rPr>
          <w:rFonts w:cstheme="minorHAnsi"/>
          <w:noProof/>
        </w:rPr>
      </w:pPr>
      <w:r>
        <w:rPr>
          <w:noProof/>
        </w:rPr>
        <w:t xml:space="preserve">2. </w:t>
      </w:r>
      <w:r>
        <w:rPr>
          <w:noProof/>
        </w:rPr>
        <w:tab/>
        <w:t>Partnerības padomes darba valoda ir angļu valoda. Ja vien līdzpriekšsēdētāji nelemj citādi, Partnerības padome parasti savās apspriedēs izmanto dokumentus, kas sagatavoti angļu valodā</w:t>
      </w:r>
      <w:r>
        <w:rPr>
          <w:noProof/>
        </w:rPr>
        <w:t>.</w:t>
      </w:r>
    </w:p>
    <w:p w:rsidR="003E022D" w:rsidRDefault="007D19D6">
      <w:pPr>
        <w:rPr>
          <w:rFonts w:cstheme="minorHAnsi"/>
          <w:noProof/>
        </w:rPr>
      </w:pPr>
      <w:r>
        <w:rPr>
          <w:noProof/>
          <w:color w:val="000000"/>
        </w:rPr>
        <w:t>3.</w:t>
      </w:r>
      <w:r>
        <w:rPr>
          <w:noProof/>
        </w:rPr>
        <w:tab/>
      </w:r>
      <w:r>
        <w:rPr>
          <w:noProof/>
          <w:color w:val="000000"/>
        </w:rPr>
        <w:t xml:space="preserve">Partnerības padome pieņem lēmumus par nolīguma grozīšanu vai interpretāciju nolīguma autentisko tekstu valodās. </w:t>
      </w:r>
      <w:r>
        <w:rPr>
          <w:noProof/>
        </w:rPr>
        <w:t xml:space="preserve">Visus pārējos Partnerības padomes lēmumus, ieskaitot tos, ar kuriem groza pašreizējo reglamentu, pieņem </w:t>
      </w:r>
      <w:r>
        <w:rPr>
          <w:noProof/>
          <w:u w:color="000000"/>
        </w:rPr>
        <w:t>2. punktā</w:t>
      </w:r>
      <w:r>
        <w:rPr>
          <w:noProof/>
        </w:rPr>
        <w:t xml:space="preserve"> minētajā darba valodā.</w:t>
      </w:r>
    </w:p>
    <w:p w:rsidR="003E022D" w:rsidRDefault="007D19D6">
      <w:pPr>
        <w:jc w:val="center"/>
        <w:rPr>
          <w:rFonts w:cstheme="minorHAnsi"/>
          <w:noProof/>
        </w:rPr>
      </w:pPr>
      <w:r>
        <w:rPr>
          <w:noProof/>
        </w:rPr>
        <w:t>12. pants</w:t>
      </w:r>
    </w:p>
    <w:p w:rsidR="003E022D" w:rsidRDefault="007D19D6">
      <w:pPr>
        <w:jc w:val="center"/>
        <w:rPr>
          <w:rFonts w:cstheme="minorHAnsi"/>
          <w:noProof/>
        </w:rPr>
      </w:pPr>
      <w:r>
        <w:rPr>
          <w:noProof/>
        </w:rPr>
        <w:t>Izdevumi</w:t>
      </w:r>
    </w:p>
    <w:p w:rsidR="003E022D" w:rsidRDefault="007D19D6">
      <w:pPr>
        <w:rPr>
          <w:rFonts w:cstheme="minorHAnsi"/>
          <w:noProof/>
        </w:rPr>
      </w:pPr>
      <w:r>
        <w:rPr>
          <w:noProof/>
        </w:rPr>
        <w:t xml:space="preserve">1. </w:t>
      </w:r>
      <w:r>
        <w:rPr>
          <w:noProof/>
        </w:rPr>
        <w:tab/>
        <w:t>Savienība un Apvienotā Karaliste katra sedz visus izdevumus, kas tām radušies saistībā ar dalību Partnerības padomes sanāksmēs.</w:t>
      </w:r>
    </w:p>
    <w:p w:rsidR="003E022D" w:rsidRDefault="007D19D6">
      <w:pPr>
        <w:rPr>
          <w:rFonts w:cstheme="minorHAnsi"/>
          <w:noProof/>
        </w:rPr>
      </w:pPr>
      <w:r>
        <w:rPr>
          <w:noProof/>
        </w:rPr>
        <w:t xml:space="preserve">2. </w:t>
      </w:r>
      <w:r>
        <w:rPr>
          <w:noProof/>
        </w:rPr>
        <w:tab/>
        <w:t>Ar sanāksmju organizēšanu un dokumentu pavairošanu saistītos izdevumus sedz sanāksmes rīkotāja puse.</w:t>
      </w:r>
    </w:p>
    <w:p w:rsidR="003E022D" w:rsidRDefault="007D19D6">
      <w:pPr>
        <w:rPr>
          <w:rFonts w:cstheme="minorHAnsi"/>
          <w:noProof/>
        </w:rPr>
      </w:pPr>
      <w:r>
        <w:rPr>
          <w:noProof/>
        </w:rPr>
        <w:t xml:space="preserve">3. </w:t>
      </w:r>
      <w:r>
        <w:rPr>
          <w:noProof/>
        </w:rPr>
        <w:tab/>
        <w:t xml:space="preserve">Izdevumus, kas saistīti ar mutisko tulkošanu sanāksmēs uz Partnerības padomes darba valodu un no tās, sedz Puse, kura šādu mutisko tulkošanu pieprasījusi. </w:t>
      </w:r>
    </w:p>
    <w:p w:rsidR="003E022D" w:rsidRDefault="007D19D6">
      <w:pPr>
        <w:rPr>
          <w:rFonts w:cstheme="minorHAnsi"/>
          <w:noProof/>
        </w:rPr>
      </w:pPr>
      <w:r>
        <w:rPr>
          <w:noProof/>
        </w:rPr>
        <w:t>3.</w:t>
      </w:r>
      <w:r>
        <w:rPr>
          <w:noProof/>
        </w:rPr>
        <w:tab/>
        <w:t>Katra Puse ir atbildīga par lēmumu un citu dokumentu tulkošanu savā/savās oficiālajā(-ās) val</w:t>
      </w:r>
      <w:r>
        <w:rPr>
          <w:noProof/>
        </w:rPr>
        <w:t xml:space="preserve">odā(-ās), ja tas nepieciešams, ievērojot </w:t>
      </w:r>
      <w:r>
        <w:rPr>
          <w:noProof/>
          <w:u w:color="000000"/>
        </w:rPr>
        <w:t>11. pantu</w:t>
      </w:r>
      <w:r>
        <w:rPr>
          <w:noProof/>
        </w:rPr>
        <w:t xml:space="preserve">, un tā sedz izdevumus, kas saistīti ar šādiem tulkojumiem.   </w:t>
      </w:r>
    </w:p>
    <w:p w:rsidR="003E022D" w:rsidRDefault="007D19D6">
      <w:pPr>
        <w:jc w:val="center"/>
        <w:rPr>
          <w:rFonts w:cstheme="minorHAnsi"/>
          <w:noProof/>
        </w:rPr>
      </w:pPr>
      <w:r>
        <w:rPr>
          <w:noProof/>
        </w:rPr>
        <w:t>13. pants</w:t>
      </w:r>
    </w:p>
    <w:p w:rsidR="003E022D" w:rsidRDefault="007D19D6">
      <w:pPr>
        <w:jc w:val="center"/>
        <w:rPr>
          <w:rFonts w:cstheme="minorHAnsi"/>
          <w:noProof/>
        </w:rPr>
      </w:pPr>
      <w:r>
        <w:rPr>
          <w:noProof/>
        </w:rPr>
        <w:t>Komitejas</w:t>
      </w:r>
    </w:p>
    <w:p w:rsidR="003E022D" w:rsidRDefault="007D19D6">
      <w:pPr>
        <w:spacing w:before="100" w:beforeAutospacing="1" w:after="100" w:afterAutospacing="1"/>
        <w:rPr>
          <w:rFonts w:eastAsia="Times New Roman" w:cstheme="minorHAnsi"/>
          <w:noProof/>
        </w:rPr>
      </w:pPr>
      <w:r>
        <w:rPr>
          <w:noProof/>
        </w:rPr>
        <w:t xml:space="preserve">1. </w:t>
      </w:r>
      <w:r>
        <w:rPr>
          <w:noProof/>
        </w:rPr>
        <w:tab/>
        <w:t xml:space="preserve">Neskarot šā panta </w:t>
      </w:r>
      <w:r>
        <w:rPr>
          <w:noProof/>
          <w:u w:color="000000"/>
        </w:rPr>
        <w:t>2. punktu</w:t>
      </w:r>
      <w:r>
        <w:rPr>
          <w:noProof/>
        </w:rPr>
        <w:t xml:space="preserve">, </w:t>
      </w:r>
      <w:r>
        <w:rPr>
          <w:noProof/>
          <w:u w:color="000000"/>
        </w:rPr>
        <w:t>1.–12. pantu</w:t>
      </w:r>
      <w:r>
        <w:rPr>
          <w:noProof/>
        </w:rPr>
        <w:t xml:space="preserve"> </w:t>
      </w:r>
      <w:r>
        <w:rPr>
          <w:i/>
          <w:iCs/>
          <w:noProof/>
        </w:rPr>
        <w:t>mutatis mutandis</w:t>
      </w:r>
      <w:r>
        <w:rPr>
          <w:noProof/>
        </w:rPr>
        <w:t xml:space="preserve"> piemēro komitejām.</w:t>
      </w:r>
    </w:p>
    <w:p w:rsidR="003E022D" w:rsidRDefault="007D19D6">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 xml:space="preserve">Komitejas informē Partnerības padomi </w:t>
      </w:r>
      <w:r>
        <w:rPr>
          <w:noProof/>
          <w:color w:val="000000"/>
        </w:rPr>
        <w:t>par saviem sanāksmju grafikiem un darba kārtību pietiekamu laiku pirms sanāksmēm un paziņo Partnerības padomei katras savas sanāksmes rezultātus un secinājumus.</w:t>
      </w:r>
    </w:p>
    <w:p w:rsidR="003E022D" w:rsidRDefault="003E022D">
      <w:pPr>
        <w:rPr>
          <w:rFonts w:cstheme="minorHAnsi"/>
          <w:noProof/>
        </w:rPr>
      </w:pPr>
    </w:p>
    <w:p w:rsidR="003E022D" w:rsidRDefault="003E022D">
      <w:pPr>
        <w:rPr>
          <w:rFonts w:cstheme="minorHAnsi"/>
          <w:noProof/>
        </w:rPr>
      </w:pPr>
    </w:p>
    <w:p w:rsidR="003E022D" w:rsidRDefault="003E022D">
      <w:pPr>
        <w:pStyle w:val="ANNEX"/>
        <w:tabs>
          <w:tab w:val="left" w:pos="600"/>
        </w:tabs>
        <w:jc w:val="both"/>
        <w:rPr>
          <w:rFonts w:cstheme="minorHAnsi"/>
          <w:noProof/>
        </w:rPr>
      </w:pPr>
    </w:p>
    <w:p w:rsidR="003E022D" w:rsidRDefault="007D19D6">
      <w:pPr>
        <w:rPr>
          <w:rFonts w:eastAsia="Century" w:cstheme="minorHAnsi"/>
          <w:i/>
          <w:noProof/>
        </w:rPr>
      </w:pPr>
      <w:r>
        <w:rPr>
          <w:noProof/>
        </w:rPr>
        <w:br w:type="page"/>
      </w:r>
    </w:p>
    <w:p w:rsidR="003E022D" w:rsidRDefault="007D19D6">
      <w:pPr>
        <w:pStyle w:val="ANNEX"/>
        <w:rPr>
          <w:rFonts w:cstheme="minorHAnsi"/>
          <w:noProof/>
        </w:rPr>
      </w:pPr>
      <w:hyperlink w:anchor="_Toc35449672" w:history="1">
        <w:bookmarkStart w:id="946" w:name="_Toc59988386"/>
        <w:r>
          <w:rPr>
            <w:noProof/>
          </w:rPr>
          <w:t>ORIG-1. PIELIKUMS.</w:t>
        </w:r>
      </w:hyperlink>
      <w:hyperlink w:anchor="_Toc35449672" w:history="1">
        <w:bookmarkStart w:id="947" w:name="_Toc59020194"/>
        <w:r>
          <w:rPr>
            <w:noProof/>
          </w:rPr>
          <w:t>IEVADPIEZĪMES PAR KONKRĒTIEM RAŽOJUMIEM PIEMĒROJAMAJIEM IZCELSMES NOTEIKUMIEM</w:t>
        </w:r>
        <w:bookmarkEnd w:id="947"/>
        <w:bookmarkEnd w:id="946"/>
      </w:hyperlink>
    </w:p>
    <w:p w:rsidR="003E022D" w:rsidRDefault="007D19D6">
      <w:pPr>
        <w:jc w:val="center"/>
        <w:rPr>
          <w:bCs/>
          <w:noProof/>
        </w:rPr>
      </w:pPr>
      <w:r>
        <w:rPr>
          <w:noProof/>
        </w:rPr>
        <w:t>1. piezīme</w:t>
      </w:r>
    </w:p>
    <w:p w:rsidR="003E022D" w:rsidRDefault="007D19D6">
      <w:pPr>
        <w:jc w:val="center"/>
        <w:rPr>
          <w:bCs/>
          <w:noProof/>
        </w:rPr>
      </w:pPr>
      <w:r>
        <w:rPr>
          <w:noProof/>
        </w:rPr>
        <w:t>Vispārīgi principi</w:t>
      </w:r>
    </w:p>
    <w:p w:rsidR="003E022D" w:rsidRDefault="007D19D6">
      <w:pPr>
        <w:numPr>
          <w:ilvl w:val="0"/>
          <w:numId w:val="764"/>
        </w:numPr>
        <w:ind w:left="0" w:firstLine="0"/>
        <w:rPr>
          <w:rFonts w:cstheme="minorHAnsi"/>
          <w:bCs/>
          <w:noProof/>
        </w:rPr>
      </w:pPr>
      <w:r>
        <w:rPr>
          <w:noProof/>
        </w:rPr>
        <w:t>Šajā pielikumā izklāstīti vispārīgie noteikumi par ORIG-2. pielikuma [Konkrētiem ražojumiem piemērojamie izcelsmes noteikumi] piemērojamajām prasībā</w:t>
      </w:r>
      <w:r>
        <w:rPr>
          <w:noProof/>
        </w:rPr>
        <w:t>m, kā paredzēts ORIG 3. panta [Vispārīgas prasības] 1. punkta c) apakšpunktā.</w:t>
      </w:r>
    </w:p>
    <w:p w:rsidR="003E022D" w:rsidRDefault="007D19D6">
      <w:pPr>
        <w:numPr>
          <w:ilvl w:val="0"/>
          <w:numId w:val="764"/>
        </w:numPr>
        <w:ind w:left="0" w:firstLine="0"/>
        <w:rPr>
          <w:rFonts w:cstheme="minorHAnsi"/>
          <w:bCs/>
          <w:noProof/>
        </w:rPr>
      </w:pPr>
      <w:r>
        <w:rPr>
          <w:noProof/>
        </w:rPr>
        <w:t xml:space="preserve">Šajā pielikumā un ORIG-2. pielikumā [Konkrētiem ražojumiem piemērojamie izcelsmes noteikumi] paredzētās prasības, kam ir jāizpildās, lai ražojumam būtu noteikta izcelsme saskaņā </w:t>
      </w:r>
      <w:r>
        <w:rPr>
          <w:noProof/>
        </w:rPr>
        <w:t>ar šā nolīguma ORIG.3. panta [Vispārīgas prasības] 1. punkta c) apakšpunktu, ir maiņa uz citu tarifa klasifikāciju, ražošanas process, nenoteiktas izcelsmes materiālu maksimālā vērtība vai svars vai jebkura cita prasība, kas norādīta šajā pielikumā un ORIG</w:t>
      </w:r>
      <w:r>
        <w:rPr>
          <w:noProof/>
        </w:rPr>
        <w:t>-2. pielikumā [Konkrētiem ražojumiem piemērojamie izcelsmes noteikumi].</w:t>
      </w:r>
    </w:p>
    <w:p w:rsidR="003E022D" w:rsidRDefault="007D19D6">
      <w:pPr>
        <w:numPr>
          <w:ilvl w:val="0"/>
          <w:numId w:val="764"/>
        </w:numPr>
        <w:ind w:left="0" w:firstLine="0"/>
        <w:rPr>
          <w:rFonts w:cstheme="minorHAnsi"/>
          <w:bCs/>
          <w:noProof/>
        </w:rPr>
      </w:pPr>
      <w:r>
        <w:rPr>
          <w:noProof/>
        </w:rPr>
        <w:t>Atsauce uz svaru konkrētiem ražojumiem piemērojamajos izcelsmes noteikumos nozīmē neto svaru, t. i., materiāla vai ražojuma svaru bez iepakojuma svara.</w:t>
      </w:r>
    </w:p>
    <w:p w:rsidR="003E022D" w:rsidRDefault="007D19D6">
      <w:pPr>
        <w:numPr>
          <w:ilvl w:val="0"/>
          <w:numId w:val="764"/>
        </w:numPr>
        <w:ind w:left="0" w:firstLine="0"/>
        <w:rPr>
          <w:rFonts w:cstheme="minorHAnsi"/>
          <w:bCs/>
          <w:noProof/>
        </w:rPr>
      </w:pPr>
      <w:r>
        <w:rPr>
          <w:noProof/>
        </w:rPr>
        <w:t>Šā pielikuma un ORIG-2. pielikum</w:t>
      </w:r>
      <w:r>
        <w:rPr>
          <w:noProof/>
        </w:rPr>
        <w:t>a [Konkrētiem ražojumiem piemērojamie izcelsmes noteikumi] pamatā ir Harmonizētā sistēma ar grozījumiem, kas izdarīti 2017. gada 1. janvārī.</w:t>
      </w:r>
    </w:p>
    <w:p w:rsidR="003E022D" w:rsidRDefault="007D19D6">
      <w:pPr>
        <w:jc w:val="center"/>
        <w:rPr>
          <w:bCs/>
          <w:noProof/>
        </w:rPr>
      </w:pPr>
      <w:r>
        <w:rPr>
          <w:noProof/>
        </w:rPr>
        <w:t>2. piezīme</w:t>
      </w:r>
    </w:p>
    <w:p w:rsidR="003E022D" w:rsidRDefault="007D19D6">
      <w:pPr>
        <w:jc w:val="center"/>
        <w:rPr>
          <w:bCs/>
          <w:noProof/>
        </w:rPr>
      </w:pPr>
      <w:r>
        <w:rPr>
          <w:noProof/>
        </w:rPr>
        <w:t>Konkrētiem ražojumiem piemērojamu izcelsmes noteikumu saraksta uzbūve</w:t>
      </w:r>
    </w:p>
    <w:p w:rsidR="003E022D" w:rsidRDefault="007D19D6">
      <w:pPr>
        <w:numPr>
          <w:ilvl w:val="0"/>
          <w:numId w:val="772"/>
        </w:numPr>
        <w:ind w:left="0" w:firstLine="0"/>
        <w:rPr>
          <w:rFonts w:cstheme="minorHAnsi"/>
          <w:bCs/>
          <w:noProof/>
        </w:rPr>
      </w:pPr>
      <w:r>
        <w:rPr>
          <w:noProof/>
        </w:rPr>
        <w:t xml:space="preserve">Piezīmes par sadaļām vai nodaļām, ja tādas ir, ir lasāmas kopā ar konkrētajiem ražojumiem piemērojamajiem izcelsmes noteikumiem attiecīgajā sadaļā, nodaļā, pozīcijā vai apakšpozīcijā. </w:t>
      </w:r>
    </w:p>
    <w:p w:rsidR="003E022D" w:rsidRDefault="007D19D6">
      <w:pPr>
        <w:numPr>
          <w:ilvl w:val="0"/>
          <w:numId w:val="772"/>
        </w:numPr>
        <w:ind w:left="0" w:firstLine="0"/>
        <w:rPr>
          <w:rFonts w:cstheme="minorHAnsi"/>
          <w:bCs/>
          <w:noProof/>
        </w:rPr>
      </w:pPr>
      <w:r>
        <w:rPr>
          <w:noProof/>
        </w:rPr>
        <w:t>Katru konkrētiem ražojumiem piemērojamo izcelsmes noteikumu, kas norādī</w:t>
      </w:r>
      <w:r>
        <w:rPr>
          <w:noProof/>
        </w:rPr>
        <w:t>ts ORIG-2. pielikuma [Konkrētiem ražojumiem piemērojamie izcelsmes noteikumi] 2. slejā, piemēro attiecīgajam ražojumam ORIG-2. pielikuma [Konkrētiem ražojumiem piemērojamie izcelsmes noteikumi] 1. slejā.</w:t>
      </w:r>
    </w:p>
    <w:p w:rsidR="003E022D" w:rsidRDefault="007D19D6">
      <w:pPr>
        <w:numPr>
          <w:ilvl w:val="0"/>
          <w:numId w:val="772"/>
        </w:numPr>
        <w:ind w:left="0" w:firstLine="0"/>
        <w:rPr>
          <w:rFonts w:cstheme="minorHAnsi"/>
          <w:bCs/>
          <w:noProof/>
        </w:rPr>
      </w:pPr>
      <w:r>
        <w:rPr>
          <w:noProof/>
        </w:rPr>
        <w:t>Ja uz ražojumu attiecas alternatīvi konkrētiem ražoj</w:t>
      </w:r>
      <w:r>
        <w:rPr>
          <w:noProof/>
        </w:rPr>
        <w:t>umiem piemērojamie izcelsmes noteikumi, ražojumam ir noteiktas Puses izcelsme, ja tas atbilst vienai no alternatīvām.</w:t>
      </w:r>
    </w:p>
    <w:p w:rsidR="003E022D" w:rsidRDefault="007D19D6">
      <w:pPr>
        <w:numPr>
          <w:ilvl w:val="0"/>
          <w:numId w:val="772"/>
        </w:numPr>
        <w:ind w:left="0" w:firstLine="0"/>
        <w:rPr>
          <w:rFonts w:cstheme="minorHAnsi"/>
          <w:bCs/>
          <w:noProof/>
        </w:rPr>
      </w:pPr>
      <w:r>
        <w:rPr>
          <w:noProof/>
        </w:rPr>
        <w:t>Ja uz ražojumu attiecas konkrētiem ražojumiem piemērojamie izcelsmes noteikumi, kas ietver vairākas prasības, ražojumam ir noteiktas Puses</w:t>
      </w:r>
      <w:r>
        <w:rPr>
          <w:noProof/>
        </w:rPr>
        <w:t xml:space="preserve"> izcelsme tikai tad, ja tas atbilst visām prasībām.</w:t>
      </w:r>
    </w:p>
    <w:p w:rsidR="003E022D" w:rsidRDefault="007D19D6">
      <w:pPr>
        <w:numPr>
          <w:ilvl w:val="0"/>
          <w:numId w:val="772"/>
        </w:numPr>
        <w:ind w:left="0" w:firstLine="0"/>
        <w:rPr>
          <w:rFonts w:cstheme="minorHAnsi"/>
          <w:bCs/>
          <w:noProof/>
        </w:rPr>
      </w:pPr>
      <w:r>
        <w:rPr>
          <w:noProof/>
        </w:rPr>
        <w:t>Šā pielikuma un ORIG-2. pielikuma [Konkrētiem ražojumiem piemērojamie izcelsmes noteikumi] nolūkos piemēro šādas definīcijas:</w:t>
      </w:r>
    </w:p>
    <w:p w:rsidR="003E022D" w:rsidRDefault="007D19D6">
      <w:pPr>
        <w:numPr>
          <w:ilvl w:val="1"/>
          <w:numId w:val="770"/>
        </w:numPr>
        <w:ind w:left="567" w:hanging="567"/>
        <w:rPr>
          <w:rFonts w:cstheme="minorHAnsi"/>
          <w:bCs/>
          <w:noProof/>
        </w:rPr>
      </w:pPr>
      <w:r>
        <w:rPr>
          <w:noProof/>
        </w:rPr>
        <w:t xml:space="preserve">“sadaļa” ir Harmonizētās sistēmas sadaļa; </w:t>
      </w:r>
    </w:p>
    <w:p w:rsidR="003E022D" w:rsidRDefault="007D19D6">
      <w:pPr>
        <w:numPr>
          <w:ilvl w:val="1"/>
          <w:numId w:val="770"/>
        </w:numPr>
        <w:ind w:left="567" w:hanging="567"/>
        <w:rPr>
          <w:rFonts w:cstheme="minorHAnsi"/>
          <w:bCs/>
          <w:noProof/>
        </w:rPr>
      </w:pPr>
      <w:r>
        <w:rPr>
          <w:noProof/>
        </w:rPr>
        <w:t>“nodaļa” ir pirmie divi cipari Harm</w:t>
      </w:r>
      <w:r>
        <w:rPr>
          <w:noProof/>
        </w:rPr>
        <w:t>onizētās sistēmas tarifa klasifikācijas numurā;</w:t>
      </w:r>
    </w:p>
    <w:p w:rsidR="003E022D" w:rsidRDefault="007D19D6">
      <w:pPr>
        <w:numPr>
          <w:ilvl w:val="1"/>
          <w:numId w:val="770"/>
        </w:numPr>
        <w:ind w:left="567" w:hanging="567"/>
        <w:rPr>
          <w:rFonts w:cstheme="minorHAnsi"/>
          <w:bCs/>
          <w:noProof/>
        </w:rPr>
      </w:pPr>
      <w:r>
        <w:rPr>
          <w:noProof/>
        </w:rPr>
        <w:t>“pozīcija” ir pirmie četri cipari Harmonizētās sistēmas tarifa klasifikācijas numurā; un</w:t>
      </w:r>
    </w:p>
    <w:p w:rsidR="003E022D" w:rsidRDefault="007D19D6">
      <w:pPr>
        <w:numPr>
          <w:ilvl w:val="1"/>
          <w:numId w:val="770"/>
        </w:numPr>
        <w:ind w:left="567" w:hanging="567"/>
        <w:rPr>
          <w:rFonts w:cstheme="minorHAnsi"/>
          <w:bCs/>
          <w:noProof/>
        </w:rPr>
      </w:pPr>
      <w:r>
        <w:rPr>
          <w:noProof/>
        </w:rPr>
        <w:t>“apakšpozīcija” ir pirmie seši cipari Harmonizētās sistēmas tarifa klasifikācijas numurā.</w:t>
      </w:r>
    </w:p>
    <w:p w:rsidR="003E022D" w:rsidRDefault="007D19D6">
      <w:pPr>
        <w:numPr>
          <w:ilvl w:val="0"/>
          <w:numId w:val="770"/>
        </w:numPr>
        <w:ind w:left="0" w:firstLine="0"/>
        <w:rPr>
          <w:rFonts w:cstheme="minorHAnsi"/>
          <w:bCs/>
          <w:noProof/>
        </w:rPr>
      </w:pPr>
      <w:r>
        <w:rPr>
          <w:noProof/>
        </w:rPr>
        <w:t>Konkrētiem ražojumiem piemēro</w:t>
      </w:r>
      <w:r>
        <w:rPr>
          <w:noProof/>
        </w:rPr>
        <w:t>jamo izcelsmes noteikumu nolūkos piemēro šādus saīsinājumus:</w:t>
      </w:r>
    </w:p>
    <w:p w:rsidR="003E022D" w:rsidRDefault="007D19D6">
      <w:pPr>
        <w:rPr>
          <w:rFonts w:cstheme="minorHAnsi"/>
          <w:bCs/>
          <w:noProof/>
        </w:rPr>
      </w:pPr>
      <w:r>
        <w:rPr>
          <w:noProof/>
        </w:rPr>
        <w:t>“</w:t>
      </w:r>
      <w:r>
        <w:rPr>
          <w:i/>
          <w:noProof/>
        </w:rPr>
        <w:t>CC</w:t>
      </w:r>
      <w:r>
        <w:rPr>
          <w:noProof/>
        </w:rPr>
        <w:t>” ir ražošana no jebkurā nodaļā, izņemot paša ražojuma nodaļu, klasificētiem nenoteiktas izcelsmes materiāliem; tas nozīmē, ka jebkuram nenoteiktas izcelsmes materiālam, ko izmanto ražojuma ra</w:t>
      </w:r>
      <w:r>
        <w:rPr>
          <w:noProof/>
        </w:rPr>
        <w:t>žošanā, ir jābūt klasificētam kādā citā nodaļā (2 ciparu līmenī Harmonizētajā sistēmā), kas nav paša ražojuma nodaļa (proti, cita nodaļa);</w:t>
      </w:r>
    </w:p>
    <w:p w:rsidR="003E022D" w:rsidRDefault="007D19D6">
      <w:pPr>
        <w:rPr>
          <w:rFonts w:cstheme="minorHAnsi"/>
          <w:bCs/>
          <w:noProof/>
        </w:rPr>
      </w:pPr>
      <w:r>
        <w:rPr>
          <w:noProof/>
        </w:rPr>
        <w:t>“</w:t>
      </w:r>
      <w:r>
        <w:rPr>
          <w:i/>
          <w:noProof/>
        </w:rPr>
        <w:t>CTH</w:t>
      </w:r>
      <w:r>
        <w:rPr>
          <w:noProof/>
        </w:rPr>
        <w:t>” ir ražošana no jebkurā pozīcijā, izņemot paša ražojuma pozīciju, klasificētiem nenoteiktas izcelsmes materiālie</w:t>
      </w:r>
      <w:r>
        <w:rPr>
          <w:noProof/>
        </w:rPr>
        <w:t>m; tas nozīmē, ka jebkuram nenoteiktas izcelsmes materiālam, ko izmanto ražojuma ražošanā, ir jābūt klasificētam kādā citā pozīcijā (4 ciparu līmenī Harmonizētajā sistēmā), kas nav paša ražojuma pozīcija (proti, cita pozīcija);</w:t>
      </w:r>
    </w:p>
    <w:p w:rsidR="003E022D" w:rsidRDefault="007D19D6">
      <w:pPr>
        <w:rPr>
          <w:rFonts w:cstheme="minorHAnsi"/>
          <w:bCs/>
          <w:noProof/>
        </w:rPr>
      </w:pPr>
      <w:r>
        <w:rPr>
          <w:noProof/>
        </w:rPr>
        <w:t>“</w:t>
      </w:r>
      <w:r>
        <w:rPr>
          <w:i/>
          <w:noProof/>
        </w:rPr>
        <w:t>CTSH</w:t>
      </w:r>
      <w:r>
        <w:rPr>
          <w:noProof/>
        </w:rPr>
        <w:t>” ir ražošana no jebkur</w:t>
      </w:r>
      <w:r>
        <w:rPr>
          <w:noProof/>
        </w:rPr>
        <w:t>ā apakšpozīcijā, izņemot paša ražojuma apakšpozīciju, klasificētiem nenoteiktas izcelsmes materiāliem; tas nozīmē, ka jebkuram nenoteiktas izcelsmes materiālam, ko izmanto ražojuma ražošanā, ir jābūt klasificētam apakšpozīcijā (6 ciparu līmenī harmonizētaj</w:t>
      </w:r>
      <w:r>
        <w:rPr>
          <w:noProof/>
        </w:rPr>
        <w:t>ā sistēmā), kas nav paša ražojuma apakšpozīcija (proti, cita apakšpozīcija).</w:t>
      </w:r>
    </w:p>
    <w:p w:rsidR="003E022D" w:rsidRDefault="007D19D6">
      <w:pPr>
        <w:jc w:val="center"/>
        <w:rPr>
          <w:bCs/>
          <w:noProof/>
        </w:rPr>
      </w:pPr>
      <w:r>
        <w:rPr>
          <w:noProof/>
        </w:rPr>
        <w:t>3. piezīme</w:t>
      </w:r>
    </w:p>
    <w:p w:rsidR="003E022D" w:rsidRDefault="007D19D6">
      <w:pPr>
        <w:jc w:val="center"/>
        <w:rPr>
          <w:bCs/>
          <w:noProof/>
        </w:rPr>
      </w:pPr>
      <w:r>
        <w:rPr>
          <w:noProof/>
        </w:rPr>
        <w:t>Konkrētiem ražojumiem piemērojamu izcelsmes noteikumu piemērošana</w:t>
      </w:r>
    </w:p>
    <w:p w:rsidR="003E022D" w:rsidRDefault="007D19D6">
      <w:pPr>
        <w:numPr>
          <w:ilvl w:val="0"/>
          <w:numId w:val="950"/>
        </w:numPr>
        <w:ind w:left="0" w:firstLine="0"/>
        <w:rPr>
          <w:rFonts w:cstheme="minorHAnsi"/>
          <w:bCs/>
          <w:noProof/>
        </w:rPr>
      </w:pPr>
      <w:r>
        <w:rPr>
          <w:noProof/>
        </w:rPr>
        <w:t>Šā nolīguma ORIG.3 panta [Vispārīgas prasības] 2. punktu par ražojumiem, kas ieguvuši noteiktas izcels</w:t>
      </w:r>
      <w:r>
        <w:rPr>
          <w:noProof/>
        </w:rPr>
        <w:t>mes statusu un ko izmanto citu ražojumu ražošanā, piemēro neatkarīgi no tā, vai minētais statuss ir iegūts tajā pašā Puses rūpnīcā, kurā šie ražojumi tiek izmantoti.</w:t>
      </w:r>
    </w:p>
    <w:p w:rsidR="003E022D" w:rsidRDefault="007D19D6">
      <w:pPr>
        <w:numPr>
          <w:ilvl w:val="0"/>
          <w:numId w:val="950"/>
        </w:numPr>
        <w:ind w:left="0" w:firstLine="0"/>
        <w:rPr>
          <w:rFonts w:cstheme="minorHAnsi"/>
          <w:bCs/>
          <w:noProof/>
        </w:rPr>
      </w:pPr>
      <w:r>
        <w:rPr>
          <w:noProof/>
        </w:rPr>
        <w:t>Ja konkrētam ražojumam piemērojamā izcelsmes noteikumā izslēgts konkrēts nenoteiktas izcel</w:t>
      </w:r>
      <w:r>
        <w:rPr>
          <w:noProof/>
        </w:rPr>
        <w:t>smes materiāls vai ja tur paredzēts, ka konkrēta nenoteiktas izcelsmes materiāla vērtība vai svars nedrīkst pārsniegt konkrētu robežvērtību, tad minētie nosacījumi neattiecas uz nenoteiktas izcelsmes materiāliem, kas Harmonizētajā sistēmā klasificēti citur</w:t>
      </w:r>
      <w:r>
        <w:rPr>
          <w:noProof/>
        </w:rPr>
        <w:t>.</w:t>
      </w:r>
    </w:p>
    <w:p w:rsidR="003E022D" w:rsidRDefault="007D19D6">
      <w:pPr>
        <w:numPr>
          <w:ilvl w:val="0"/>
          <w:numId w:val="950"/>
        </w:numPr>
        <w:ind w:left="0" w:firstLine="0"/>
        <w:rPr>
          <w:bCs/>
          <w:noProof/>
        </w:rPr>
      </w:pPr>
      <w:r>
        <w:rPr>
          <w:noProof/>
        </w:rPr>
        <w:t xml:space="preserve">1. piemērs. Ja noteikums par </w:t>
      </w:r>
      <w:r>
        <w:rPr>
          <w:rStyle w:val="normaltextrun"/>
          <w:bCs/>
          <w:noProof/>
        </w:rPr>
        <w:t>buldozeriem (HS apakšpozīcija 8429.11) paredz</w:t>
      </w:r>
      <w:r>
        <w:rPr>
          <w:noProof/>
        </w:rPr>
        <w:t>:</w:t>
      </w:r>
      <w:r>
        <w:rPr>
          <w:rStyle w:val="normaltextrun"/>
          <w:bCs/>
          <w:noProof/>
        </w:rPr>
        <w:t> </w:t>
      </w:r>
      <w:r>
        <w:rPr>
          <w:noProof/>
        </w:rPr>
        <w:t>“</w:t>
      </w:r>
      <w:r>
        <w:rPr>
          <w:i/>
          <w:noProof/>
        </w:rPr>
        <w:t>CTH</w:t>
      </w:r>
      <w:r>
        <w:rPr>
          <w:noProof/>
        </w:rPr>
        <w:t>, izņemot no nenoteiktas izcelsmes materiāliem, pozīcijā 84.31 “daļas, kas piemērotas tikai pozīcijā 84.25 līdz 84.30 minētajām mašīnām””, tad tādu nenoteiktas izcelsmes mate</w:t>
      </w:r>
      <w:r>
        <w:rPr>
          <w:noProof/>
        </w:rPr>
        <w:t xml:space="preserve">riālu izmantošana, kas klasificēti citur nekā 84.29 un 84.31, piemēram, skrūves (HS pozīcija 73.18), izolēti vadi un elektrības vadītāji (HS pozīcija 85.44) un dažāda elektronika (HS 85. nodaļa), nav ierobežota. </w:t>
      </w:r>
    </w:p>
    <w:p w:rsidR="003E022D" w:rsidRDefault="007D19D6">
      <w:pPr>
        <w:rPr>
          <w:bCs/>
          <w:noProof/>
        </w:rPr>
      </w:pPr>
      <w:r>
        <w:rPr>
          <w:noProof/>
        </w:rPr>
        <w:t>2. piemērs. Ja noteikumā attiecībā uz pozīc</w:t>
      </w:r>
      <w:r>
        <w:rPr>
          <w:noProof/>
        </w:rPr>
        <w:t>iju 35.05 (dekstrīni un citādas modificētas cietes; līmes uz cietes bāzes utt.) ir prasīts “</w:t>
      </w:r>
      <w:r>
        <w:rPr>
          <w:i/>
          <w:noProof/>
        </w:rPr>
        <w:t>CTH</w:t>
      </w:r>
      <w:r>
        <w:rPr>
          <w:noProof/>
        </w:rPr>
        <w:t>, izņemot no nenoteiktas izcelsmes materiāliem pozīcijā 11.08”, tad tādu nenoteiktas izcelsmes materiālu izmantošana, kas klasificēti citur, nevis 11.08 (cietes,</w:t>
      </w:r>
      <w:r>
        <w:rPr>
          <w:noProof/>
        </w:rPr>
        <w:t xml:space="preserve"> inulīns), piemēram, 10. nodaļas materiālu (labība), izmantošana nav ierobežota.</w:t>
      </w:r>
    </w:p>
    <w:p w:rsidR="003E022D" w:rsidRDefault="007D19D6">
      <w:pPr>
        <w:numPr>
          <w:ilvl w:val="0"/>
          <w:numId w:val="950"/>
        </w:numPr>
        <w:ind w:left="0" w:firstLine="0"/>
        <w:rPr>
          <w:rFonts w:cstheme="minorHAnsi"/>
          <w:bCs/>
          <w:noProof/>
        </w:rPr>
      </w:pPr>
      <w:r>
        <w:rPr>
          <w:noProof/>
        </w:rPr>
        <w:t>Ja konkrētiem ražojumiem piemērojamajos izcelsmes noteikumos paredzēts, ka ražojums ražojams no konkrēta materiāla, tas neliedz izmantot citus materiālus, kuri nevar atbilst š</w:t>
      </w:r>
      <w:r>
        <w:rPr>
          <w:noProof/>
        </w:rPr>
        <w:t xml:space="preserve">ai prasībai savu īpašību dēļ. </w:t>
      </w:r>
    </w:p>
    <w:p w:rsidR="003E022D" w:rsidRDefault="007D19D6">
      <w:pPr>
        <w:jc w:val="center"/>
        <w:rPr>
          <w:bCs/>
          <w:noProof/>
        </w:rPr>
      </w:pPr>
      <w:r>
        <w:rPr>
          <w:noProof/>
        </w:rPr>
        <w:t>4. piezīme</w:t>
      </w:r>
    </w:p>
    <w:p w:rsidR="003E022D" w:rsidRDefault="007D19D6">
      <w:pPr>
        <w:jc w:val="center"/>
        <w:rPr>
          <w:bCs/>
          <w:noProof/>
        </w:rPr>
      </w:pPr>
      <w:r>
        <w:rPr>
          <w:noProof/>
        </w:rPr>
        <w:t>Nenoteiktas izcelsmes materiālu maksimālās vērtības aprēķināšana</w:t>
      </w:r>
    </w:p>
    <w:p w:rsidR="003E022D" w:rsidRDefault="007D19D6">
      <w:pPr>
        <w:rPr>
          <w:rFonts w:cstheme="minorHAnsi"/>
          <w:bCs/>
          <w:noProof/>
        </w:rPr>
      </w:pPr>
      <w:r>
        <w:rPr>
          <w:noProof/>
        </w:rPr>
        <w:t>Konkrētiem ražojumiem piemērojamo izcelsmes noteikumu nolūkos piemēro šādas definīcijas:</w:t>
      </w:r>
    </w:p>
    <w:p w:rsidR="003E022D" w:rsidRDefault="007D19D6">
      <w:pPr>
        <w:numPr>
          <w:ilvl w:val="1"/>
          <w:numId w:val="770"/>
        </w:numPr>
        <w:ind w:left="567" w:hanging="567"/>
        <w:rPr>
          <w:rFonts w:cstheme="minorHAnsi"/>
          <w:bCs/>
          <w:noProof/>
        </w:rPr>
      </w:pPr>
      <w:r>
        <w:rPr>
          <w:noProof/>
        </w:rPr>
        <w:t xml:space="preserve">“muitas vērtība” ir vērtība, ko nosaka saskaņā ar Nolīguma </w:t>
      </w:r>
      <w:r>
        <w:rPr>
          <w:noProof/>
        </w:rPr>
        <w:t>par GATT 1994 VII panta īstenošanu;</w:t>
      </w:r>
    </w:p>
    <w:p w:rsidR="003E022D" w:rsidRDefault="007D19D6">
      <w:pPr>
        <w:numPr>
          <w:ilvl w:val="1"/>
          <w:numId w:val="770"/>
        </w:numPr>
        <w:ind w:left="567" w:hanging="567"/>
        <w:rPr>
          <w:rFonts w:cstheme="minorHAnsi"/>
          <w:bCs/>
          <w:noProof/>
        </w:rPr>
      </w:pPr>
      <w:r>
        <w:rPr>
          <w:i/>
          <w:noProof/>
        </w:rPr>
        <w:t>“EXW”</w:t>
      </w:r>
      <w:r>
        <w:rPr>
          <w:noProof/>
        </w:rPr>
        <w:t>“ cena” jeb “ražotāja cena” ir</w:t>
      </w:r>
    </w:p>
    <w:p w:rsidR="003E022D" w:rsidRDefault="007D19D6">
      <w:pPr>
        <w:numPr>
          <w:ilvl w:val="3"/>
          <w:numId w:val="769"/>
        </w:numPr>
        <w:ind w:left="1276" w:hanging="567"/>
        <w:rPr>
          <w:rFonts w:cstheme="minorHAnsi"/>
          <w:bCs/>
          <w:noProof/>
        </w:rPr>
      </w:pPr>
      <w:r>
        <w:rPr>
          <w:noProof/>
        </w:rPr>
        <w:t>ražojuma cena, kas samaksāta vai maksājama ražotājam, kura uzņēmumā ir veikta ražojuma pēdējā apstrāde vai pārstrāde, ar nosacījumu, ka šajā cenā ir ietverta visu izmantoto materiālu v</w:t>
      </w:r>
      <w:r>
        <w:rPr>
          <w:noProof/>
        </w:rPr>
        <w:t>ērtība un visas citas ar ražojuma ražošanu saistītās izmaksas, atskaitot visus iekšējos nodokļus, ko atmaksā vai var atmaksāt tad, ja iegūto ražojumu eksportē, vai</w:t>
      </w:r>
    </w:p>
    <w:p w:rsidR="003E022D" w:rsidRDefault="007D19D6">
      <w:pPr>
        <w:numPr>
          <w:ilvl w:val="3"/>
          <w:numId w:val="769"/>
        </w:numPr>
        <w:ind w:left="1276" w:hanging="567"/>
        <w:rPr>
          <w:rFonts w:cstheme="minorHAnsi"/>
          <w:bCs/>
          <w:noProof/>
        </w:rPr>
      </w:pPr>
      <w:r>
        <w:rPr>
          <w:noProof/>
        </w:rPr>
        <w:t>ja nav samaksātas vai maksājamas cenas vai ja faktiski samaksātā cena neatspoguļo visas ar r</w:t>
      </w:r>
      <w:r>
        <w:rPr>
          <w:noProof/>
        </w:rPr>
        <w:t>ažojuma ražošanu saistītās izmaksas, kas faktiski ir radušās ražojuma ražošanas procesā – visu izmantoto materiālu vērtība un visas citas izmaksas, kuras radušās, ražojot ražojumu eksportētājā Pusē, un tas:</w:t>
      </w:r>
    </w:p>
    <w:p w:rsidR="003E022D" w:rsidRDefault="007D19D6">
      <w:pPr>
        <w:numPr>
          <w:ilvl w:val="4"/>
          <w:numId w:val="769"/>
        </w:numPr>
        <w:spacing w:after="200" w:line="276" w:lineRule="auto"/>
        <w:ind w:left="2138" w:hanging="709"/>
        <w:jc w:val="left"/>
        <w:rPr>
          <w:rFonts w:cstheme="minorHAnsi"/>
          <w:bCs/>
          <w:noProof/>
        </w:rPr>
      </w:pPr>
      <w:r>
        <w:rPr>
          <w:noProof/>
        </w:rPr>
        <w:t xml:space="preserve">ietver pārdošanas, vispārējās un administratīvās </w:t>
      </w:r>
      <w:r>
        <w:rPr>
          <w:noProof/>
        </w:rPr>
        <w:t>izmaksas, kā arī peļņu, kuru var pamatoti attiecināt uz ražojumu un</w:t>
      </w:r>
    </w:p>
    <w:p w:rsidR="003E022D" w:rsidRDefault="007D19D6">
      <w:pPr>
        <w:numPr>
          <w:ilvl w:val="4"/>
          <w:numId w:val="769"/>
        </w:numPr>
        <w:spacing w:after="200" w:line="276" w:lineRule="auto"/>
        <w:ind w:left="2138" w:hanging="709"/>
        <w:jc w:val="left"/>
        <w:rPr>
          <w:rFonts w:cstheme="minorHAnsi"/>
          <w:bCs/>
          <w:noProof/>
        </w:rPr>
      </w:pPr>
      <w:r>
        <w:rPr>
          <w:noProof/>
        </w:rPr>
        <w:t>neietver pārvadājuma, apdrošināšanas izmaksas, kā arī visas citas izmaksas, kas ir radušās, ražojumu pārvadājot, un visus eksportētājas Puses iekšējos nodokļus, kurus atmaksā vai var atmak</w:t>
      </w:r>
      <w:r>
        <w:rPr>
          <w:noProof/>
        </w:rPr>
        <w:t>sāt, kad iegūto ražojumu eksportē.</w:t>
      </w:r>
    </w:p>
    <w:p w:rsidR="003E022D" w:rsidRDefault="007D19D6">
      <w:pPr>
        <w:numPr>
          <w:ilvl w:val="3"/>
          <w:numId w:val="769"/>
        </w:numPr>
        <w:ind w:left="1276" w:hanging="567"/>
        <w:rPr>
          <w:rFonts w:cstheme="minorHAnsi"/>
          <w:bCs/>
          <w:noProof/>
        </w:rPr>
      </w:pPr>
      <w:r>
        <w:rPr>
          <w:noProof/>
        </w:rPr>
        <w:t>Šā punkta i) apakšpunkta vajadzībām, ja pēdējā ražošanas darbība ir deleģēta citam ražotājam, tad termins “ražotājs” i) apakšpunktā attiecas uz to personu, kura nodarbina apakšuzņēmēju.</w:t>
      </w:r>
    </w:p>
    <w:p w:rsidR="003E022D" w:rsidRDefault="007D19D6">
      <w:pPr>
        <w:numPr>
          <w:ilvl w:val="1"/>
          <w:numId w:val="770"/>
        </w:numPr>
        <w:ind w:left="567" w:hanging="567"/>
        <w:rPr>
          <w:rFonts w:cstheme="minorHAnsi"/>
          <w:bCs/>
          <w:noProof/>
        </w:rPr>
      </w:pPr>
      <w:r>
        <w:rPr>
          <w:noProof/>
        </w:rPr>
        <w:t>“</w:t>
      </w:r>
      <w:r>
        <w:rPr>
          <w:i/>
          <w:noProof/>
        </w:rPr>
        <w:t>MaxNOM</w:t>
      </w:r>
      <w:r>
        <w:rPr>
          <w:noProof/>
        </w:rPr>
        <w:t>” ir nenoteiktas izcelsmes m</w:t>
      </w:r>
      <w:r>
        <w:rPr>
          <w:noProof/>
        </w:rPr>
        <w:t>ateriālu maksimālā vērtība, kas izteikta procentos un ko aprēķina pēc šādas formulas:</w:t>
      </w:r>
    </w:p>
    <w:p w:rsidR="003E022D" w:rsidRDefault="007D19D6">
      <w:pPr>
        <w:pStyle w:val="BodyText"/>
        <w:spacing w:line="276" w:lineRule="auto"/>
        <w:ind w:left="1440" w:right="1440" w:firstLine="319"/>
        <w:rPr>
          <w:rFonts w:cstheme="minorHAnsi"/>
          <w:bCs/>
          <w:noProof/>
        </w:rPr>
      </w:pPr>
      <w:r>
        <w:rPr>
          <w:noProof/>
        </w:rPr>
        <w:t xml:space="preserve"> </w:t>
      </w:r>
      <w:r>
        <w:rPr>
          <w:noProof/>
        </w:rPr>
        <w:tab/>
      </w:r>
      <w:r>
        <w:rPr>
          <w:noProof/>
        </w:rPr>
        <w:tab/>
      </w:r>
      <w:r>
        <w:rPr>
          <w:noProof/>
        </w:rPr>
        <w:tab/>
      </w:r>
      <w:r>
        <w:rPr>
          <w:noProof/>
        </w:rPr>
        <w:tab/>
      </w:r>
      <w:r>
        <w:rPr>
          <w:noProof/>
        </w:rPr>
        <w:tab/>
        <w:t xml:space="preserve">  </w:t>
      </w:r>
      <w:r>
        <w:rPr>
          <w:i/>
          <w:noProof/>
        </w:rPr>
        <w:t>VNM</w:t>
      </w:r>
    </w:p>
    <w:p w:rsidR="003E022D" w:rsidRDefault="007D19D6">
      <w:pPr>
        <w:pStyle w:val="BodyText"/>
        <w:spacing w:line="276" w:lineRule="auto"/>
        <w:ind w:left="2880" w:right="1440" w:firstLine="720"/>
        <w:rPr>
          <w:rFonts w:cstheme="minorHAnsi"/>
          <w:bCs/>
          <w:noProof/>
        </w:rPr>
      </w:pPr>
      <w:r>
        <w:rPr>
          <w:noProof/>
          <w:lang w:val="fr-BE" w:eastAsia="fr-BE"/>
        </w:rPr>
        <mc:AlternateContent>
          <mc:Choice Requires="wps">
            <w:drawing>
              <wp:anchor distT="0" distB="0" distL="114300" distR="114300" simplePos="0" relativeHeight="251611648" behindDoc="1" locked="0" layoutInCell="1" allowOverlap="1">
                <wp:simplePos x="0" y="0"/>
                <wp:positionH relativeFrom="page">
                  <wp:posOffset>4169092</wp:posOffset>
                </wp:positionH>
                <wp:positionV relativeFrom="paragraph">
                  <wp:posOffset>73660</wp:posOffset>
                </wp:positionV>
                <wp:extent cx="314960" cy="10160"/>
                <wp:effectExtent l="1905" t="190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63857" id="Rectangle 24" o:spid="_x0000_s1026" style="position:absolute;margin-left:328.25pt;margin-top:5.8pt;width:24.8pt;height:.8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rsdA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" fillcolor="black" stroked="f">
                <w10:wrap anchorx="page"/>
              </v:rect>
            </w:pict>
          </mc:Fallback>
        </mc:AlternateContent>
      </w:r>
      <w:r>
        <w:rPr>
          <w:i/>
          <w:noProof/>
        </w:rPr>
        <w:t>MaxNOM</w:t>
      </w:r>
      <w:r>
        <w:rPr>
          <w:noProof/>
        </w:rPr>
        <w:t xml:space="preserve"> (%) = </w:t>
      </w:r>
      <w:r>
        <w:rPr>
          <w:noProof/>
        </w:rPr>
        <w:tab/>
      </w:r>
      <w:r>
        <w:rPr>
          <w:noProof/>
        </w:rPr>
        <w:tab/>
        <w:t>× 100</w:t>
      </w:r>
    </w:p>
    <w:p w:rsidR="003E022D" w:rsidRDefault="007D19D6">
      <w:pPr>
        <w:pStyle w:val="BodyText"/>
        <w:spacing w:line="276" w:lineRule="auto"/>
        <w:ind w:left="1440" w:right="1440"/>
        <w:rPr>
          <w:rFonts w:cstheme="minorHAnsi"/>
          <w:bCs/>
          <w:noProof/>
        </w:rPr>
      </w:pPr>
      <w:r>
        <w:rPr>
          <w:noProof/>
        </w:rPr>
        <w:t xml:space="preserve"> </w:t>
      </w:r>
      <w:r>
        <w:rPr>
          <w:noProof/>
        </w:rPr>
        <w:tab/>
      </w:r>
      <w:r>
        <w:rPr>
          <w:noProof/>
        </w:rPr>
        <w:tab/>
      </w:r>
      <w:r>
        <w:rPr>
          <w:noProof/>
        </w:rPr>
        <w:tab/>
      </w:r>
      <w:r>
        <w:rPr>
          <w:noProof/>
        </w:rPr>
        <w:tab/>
      </w:r>
      <w:r>
        <w:rPr>
          <w:noProof/>
        </w:rPr>
        <w:tab/>
        <w:t xml:space="preserve">  </w:t>
      </w:r>
      <w:r>
        <w:rPr>
          <w:i/>
          <w:noProof/>
        </w:rPr>
        <w:t>EXW</w:t>
      </w:r>
      <w:r>
        <w:rPr>
          <w:noProof/>
        </w:rPr>
        <w:t xml:space="preserve">  </w:t>
      </w:r>
    </w:p>
    <w:p w:rsidR="003E022D" w:rsidRDefault="003E022D">
      <w:pPr>
        <w:pStyle w:val="BodyText"/>
        <w:spacing w:line="276" w:lineRule="auto"/>
        <w:ind w:right="1440"/>
        <w:rPr>
          <w:rFonts w:cstheme="minorHAnsi"/>
          <w:bCs/>
          <w:noProof/>
        </w:rPr>
      </w:pPr>
    </w:p>
    <w:p w:rsidR="003E022D" w:rsidRDefault="007D19D6">
      <w:pPr>
        <w:numPr>
          <w:ilvl w:val="1"/>
          <w:numId w:val="770"/>
        </w:numPr>
        <w:ind w:left="567" w:hanging="567"/>
        <w:rPr>
          <w:rFonts w:cstheme="minorHAnsi"/>
          <w:bCs/>
          <w:noProof/>
        </w:rPr>
      </w:pPr>
      <w:r>
        <w:rPr>
          <w:noProof/>
        </w:rPr>
        <w:t>“VNM” ir ražojuma ražošanā izmantoto nenoteiktas izcelsmes materiālu vērtība, kas ir to muitas vērtība importēšanas laikā</w:t>
      </w:r>
      <w:r>
        <w:rPr>
          <w:noProof/>
        </w:rPr>
        <w:t>, ieskaitot pārvadājuma izmaksas, attiecīgā gadījumā apdrošināšanas, iepakojuma un visas pārējās izmaksas, kas radušās, pārvadājot materiālus uz ievešanas ostu Pusē, kurā atrodas ražojuma ražotājs, ja nenoteiktas izcelsmes materiālu vērtība nav zināma un t</w:t>
      </w:r>
      <w:r>
        <w:rPr>
          <w:noProof/>
        </w:rPr>
        <w:t>o nevar noskaidrot, tad izmanto pirmo noskaidrojamo cenu, kas par nenoteiktas izcelsmes materiāliem samaksāta Savienībā vai Apvienotajā Karalistē, ražojuma ražošanā izmantoto nenoteiktas izcelsmes materiālu vērtību var aprēķināt, pamatojoties uz vidējās sv</w:t>
      </w:r>
      <w:r>
        <w:rPr>
          <w:noProof/>
        </w:rPr>
        <w:t>ērtās vērtības formulu vai citu inventāra vērtības noteikšanas metodi saskaņā ar grāmatvedības principiem, kas ir vispārpieņemti Pusē.</w:t>
      </w:r>
    </w:p>
    <w:p w:rsidR="003E022D" w:rsidRDefault="007D19D6">
      <w:pPr>
        <w:jc w:val="center"/>
        <w:rPr>
          <w:bCs/>
          <w:noProof/>
        </w:rPr>
      </w:pPr>
      <w:r>
        <w:rPr>
          <w:noProof/>
        </w:rPr>
        <w:t>5. piezīme</w:t>
      </w:r>
    </w:p>
    <w:p w:rsidR="003E022D" w:rsidRDefault="007D19D6">
      <w:pPr>
        <w:jc w:val="center"/>
        <w:rPr>
          <w:bCs/>
          <w:noProof/>
        </w:rPr>
      </w:pPr>
      <w:r>
        <w:rPr>
          <w:noProof/>
        </w:rPr>
        <w:t xml:space="preserve">To procesu definīcijas, kas minēti ORIG-2. pielikuma [Konkrētiem ražojumiem piemērojamie izcelsmes noteikumi] </w:t>
      </w:r>
      <w:r>
        <w:rPr>
          <w:noProof/>
        </w:rPr>
        <w:t>V līdz VII iedaļā</w:t>
      </w:r>
    </w:p>
    <w:p w:rsidR="003E022D" w:rsidRDefault="007D19D6">
      <w:pPr>
        <w:rPr>
          <w:rFonts w:cstheme="minorHAnsi"/>
          <w:bCs/>
          <w:noProof/>
        </w:rPr>
      </w:pPr>
      <w:r>
        <w:rPr>
          <w:noProof/>
        </w:rPr>
        <w:t>Konkrētiem ražojumiem piemērojamo izcelsmes noteikumu nolūkos piemēro šādas definīcijas:</w:t>
      </w:r>
    </w:p>
    <w:p w:rsidR="003E022D" w:rsidRDefault="007D19D6">
      <w:pPr>
        <w:numPr>
          <w:ilvl w:val="0"/>
          <w:numId w:val="768"/>
        </w:numPr>
        <w:ind w:left="567" w:hanging="567"/>
        <w:rPr>
          <w:rFonts w:cstheme="minorHAnsi"/>
          <w:bCs/>
          <w:noProof/>
        </w:rPr>
      </w:pPr>
      <w:r>
        <w:rPr>
          <w:noProof/>
        </w:rPr>
        <w:t>“biotehnoloģiska pārstrāde” ir:</w:t>
      </w:r>
    </w:p>
    <w:p w:rsidR="003E022D" w:rsidRDefault="007D19D6">
      <w:pPr>
        <w:numPr>
          <w:ilvl w:val="1"/>
          <w:numId w:val="768"/>
        </w:numPr>
        <w:ind w:left="1276" w:hanging="567"/>
        <w:rPr>
          <w:rFonts w:cstheme="minorHAnsi"/>
          <w:bCs/>
          <w:noProof/>
        </w:rPr>
      </w:pPr>
      <w:r>
        <w:rPr>
          <w:noProof/>
        </w:rPr>
        <w:t xml:space="preserve">bioloģiska vai biotehnoloģiska kultivēšana (arī šūnu kultūra), mikroorganismu (baktēriju, vīrusu (ieskaitot fāgus) </w:t>
      </w:r>
      <w:r>
        <w:rPr>
          <w:noProof/>
        </w:rPr>
        <w:t>utt.) vai cilvēku, dzīvnieku vai augu šūnu hibridizācija vai ģenētiska modifikācija un</w:t>
      </w:r>
    </w:p>
    <w:p w:rsidR="003E022D" w:rsidRDefault="007D19D6">
      <w:pPr>
        <w:numPr>
          <w:ilvl w:val="1"/>
          <w:numId w:val="768"/>
        </w:numPr>
        <w:ind w:left="1276" w:hanging="567"/>
        <w:rPr>
          <w:rFonts w:cstheme="minorHAnsi"/>
          <w:bCs/>
          <w:noProof/>
        </w:rPr>
      </w:pPr>
      <w:r>
        <w:rPr>
          <w:noProof/>
        </w:rPr>
        <w:t>šūnu vai starpšūnu struktūru (piemēram, izolētu gēnu, gēnu fragmentu un plazmīdu) iegūšana, izolācija vai attīrīšana, vai fermentācija;</w:t>
      </w:r>
    </w:p>
    <w:p w:rsidR="003E022D" w:rsidRDefault="007D19D6">
      <w:pPr>
        <w:numPr>
          <w:ilvl w:val="0"/>
          <w:numId w:val="768"/>
        </w:numPr>
        <w:ind w:left="567" w:hanging="567"/>
        <w:rPr>
          <w:rFonts w:cstheme="minorHAnsi"/>
          <w:bCs/>
          <w:noProof/>
        </w:rPr>
      </w:pPr>
      <w:r>
        <w:rPr>
          <w:noProof/>
        </w:rPr>
        <w:t>“daļiņu izmēra maiņa” ir ražojuma</w:t>
      </w:r>
      <w:r>
        <w:rPr>
          <w:noProof/>
        </w:rPr>
        <w:t xml:space="preserve"> daļiņu izmēra tīša un kontrolēta maiņa, kas nav tikai saberšana vai saspiešana, kuras rezultātā tiek iegūts ražojums ar noteiktu daļiņu izmēru, noteiktu daļiņu izmēru sadalījumu vai noteiktu virsmas laukumu, kas ir raksturīgi iegūtajam ražojumam, un ar fi</w:t>
      </w:r>
      <w:r>
        <w:rPr>
          <w:noProof/>
        </w:rPr>
        <w:t xml:space="preserve">zikālajām vai ķīmiskajām īpašībām, kuras atšķiras no izejmateriālu fizikālajām vai ķīmiskajām īpašībām; </w:t>
      </w:r>
    </w:p>
    <w:p w:rsidR="003E022D" w:rsidRDefault="007D19D6">
      <w:pPr>
        <w:numPr>
          <w:ilvl w:val="0"/>
          <w:numId w:val="768"/>
        </w:numPr>
        <w:ind w:left="567" w:hanging="567"/>
        <w:rPr>
          <w:rFonts w:cstheme="minorHAnsi"/>
          <w:bCs/>
          <w:noProof/>
        </w:rPr>
      </w:pPr>
      <w:r>
        <w:rPr>
          <w:noProof/>
        </w:rPr>
        <w:t>“ķīmiska reakcija” ir process (ieskaitot bioķīmisku pārstrādi), kura rezultātā rodas molekula ar jaunu struktūru, saraujot saites starp molekulām un ve</w:t>
      </w:r>
      <w:r>
        <w:rPr>
          <w:noProof/>
        </w:rPr>
        <w:t>idojot jaunas saites starp molekulām vai mainot atomu telpisko izvietojumu molekulā, izņemot turpmāk minēto, kas nav uzskatāms par ķīmisku reakciju šīs definīcijas nolūkos:</w:t>
      </w:r>
    </w:p>
    <w:p w:rsidR="003E022D" w:rsidRDefault="007D19D6">
      <w:pPr>
        <w:numPr>
          <w:ilvl w:val="1"/>
          <w:numId w:val="768"/>
        </w:numPr>
        <w:ind w:left="1276" w:hanging="567"/>
        <w:rPr>
          <w:rFonts w:cstheme="minorHAnsi"/>
          <w:bCs/>
          <w:noProof/>
        </w:rPr>
      </w:pPr>
      <w:r>
        <w:rPr>
          <w:noProof/>
        </w:rPr>
        <w:t>šķīdināšana ūdenī vai citos šķīdinātājos;</w:t>
      </w:r>
    </w:p>
    <w:p w:rsidR="003E022D" w:rsidRDefault="007D19D6">
      <w:pPr>
        <w:numPr>
          <w:ilvl w:val="1"/>
          <w:numId w:val="768"/>
        </w:numPr>
        <w:ind w:left="1276" w:hanging="567"/>
        <w:rPr>
          <w:rFonts w:cstheme="minorHAnsi"/>
          <w:bCs/>
          <w:noProof/>
        </w:rPr>
      </w:pPr>
      <w:r>
        <w:rPr>
          <w:noProof/>
        </w:rPr>
        <w:t>šķīdinātāju, tostarp ūdens, izdalīšanu; v</w:t>
      </w:r>
      <w:r>
        <w:rPr>
          <w:noProof/>
        </w:rPr>
        <w:t>ai</w:t>
      </w:r>
    </w:p>
    <w:p w:rsidR="003E022D" w:rsidRDefault="007D19D6">
      <w:pPr>
        <w:numPr>
          <w:ilvl w:val="1"/>
          <w:numId w:val="768"/>
        </w:numPr>
        <w:ind w:left="1276" w:hanging="567"/>
        <w:rPr>
          <w:rFonts w:cstheme="minorHAnsi"/>
          <w:bCs/>
          <w:noProof/>
        </w:rPr>
      </w:pPr>
      <w:r>
        <w:rPr>
          <w:noProof/>
        </w:rPr>
        <w:t>kristalizācijas ūdens pievienošana vai atdalīšana;</w:t>
      </w:r>
    </w:p>
    <w:p w:rsidR="003E022D" w:rsidRDefault="007D19D6">
      <w:pPr>
        <w:numPr>
          <w:ilvl w:val="0"/>
          <w:numId w:val="768"/>
        </w:numPr>
        <w:ind w:left="567" w:hanging="567"/>
        <w:rPr>
          <w:rFonts w:cstheme="minorHAnsi"/>
          <w:bCs/>
          <w:noProof/>
        </w:rPr>
      </w:pPr>
      <w:r>
        <w:rPr>
          <w:noProof/>
        </w:rPr>
        <w:t>“destilācija” ir:</w:t>
      </w:r>
    </w:p>
    <w:p w:rsidR="003E022D" w:rsidRDefault="007D19D6">
      <w:pPr>
        <w:numPr>
          <w:ilvl w:val="1"/>
          <w:numId w:val="768"/>
        </w:numPr>
        <w:ind w:left="1276" w:hanging="567"/>
        <w:rPr>
          <w:rFonts w:cstheme="minorHAnsi"/>
          <w:bCs/>
          <w:noProof/>
        </w:rPr>
      </w:pPr>
      <w:r>
        <w:rPr>
          <w:noProof/>
        </w:rPr>
        <w:t>destilācija pie atmosfēras spiediena: atdalīšanas process, kurā destilācijas kolonnā naftas eļļas tiek pārveidotas frakcijās atbilstīgi viršanas temperatūrai un tvaiks tad tiek kondens</w:t>
      </w:r>
      <w:r>
        <w:rPr>
          <w:noProof/>
        </w:rPr>
        <w:t>ēts dažādās šķidrās frakcijās; produkti, kas ražoti naftas destilācijā, var ietvert sašķidrinātu naftas gāzi, jēlbenzīnu, benzīnu, petroleju, dīzeļdegvielu vai krāšņu kurināmo, vieglās gāzeļļas un smēreļļas un</w:t>
      </w:r>
    </w:p>
    <w:p w:rsidR="003E022D" w:rsidRDefault="007D19D6">
      <w:pPr>
        <w:numPr>
          <w:ilvl w:val="1"/>
          <w:numId w:val="768"/>
        </w:numPr>
        <w:ind w:left="1276" w:hanging="567"/>
        <w:rPr>
          <w:rFonts w:cstheme="minorHAnsi"/>
          <w:bCs/>
          <w:noProof/>
        </w:rPr>
      </w:pPr>
      <w:r>
        <w:rPr>
          <w:noProof/>
        </w:rPr>
        <w:t xml:space="preserve">vakuumdestilācija: destilācija pie spiediena, </w:t>
      </w:r>
      <w:r>
        <w:rPr>
          <w:noProof/>
        </w:rPr>
        <w:t>kas ir mazāks par atmosfēras spiedienu, bet ne tik zems, ka tas būtu klasificējams kā molekulārā destilācija; vakuumdestilāciju izmanto, lai destilētu materiālus ar augstu viršanas temperatūru un termojutīgus materiālus, piemēram, naftas eļļu smagos destil</w:t>
      </w:r>
      <w:r>
        <w:rPr>
          <w:noProof/>
        </w:rPr>
        <w:t>ātus, lai ražotu vieglās līdz smagās vakuuma gāzeļļas un nosēdumus;</w:t>
      </w:r>
    </w:p>
    <w:p w:rsidR="003E022D" w:rsidRDefault="007D19D6">
      <w:pPr>
        <w:numPr>
          <w:ilvl w:val="0"/>
          <w:numId w:val="768"/>
        </w:numPr>
        <w:ind w:left="567" w:hanging="567"/>
        <w:rPr>
          <w:rFonts w:cstheme="minorHAnsi"/>
          <w:bCs/>
          <w:noProof/>
        </w:rPr>
      </w:pPr>
      <w:r>
        <w:rPr>
          <w:noProof/>
        </w:rPr>
        <w:t>“izomēru atdalīšana” ir izomēru izolēšana vai atdalīšana no izomēru maisījuma;</w:t>
      </w:r>
    </w:p>
    <w:p w:rsidR="003E022D" w:rsidRDefault="007D19D6">
      <w:pPr>
        <w:numPr>
          <w:ilvl w:val="0"/>
          <w:numId w:val="768"/>
        </w:numPr>
        <w:ind w:left="567" w:hanging="567"/>
        <w:rPr>
          <w:rFonts w:cstheme="minorHAnsi"/>
          <w:bCs/>
          <w:noProof/>
        </w:rPr>
      </w:pPr>
      <w:r>
        <w:rPr>
          <w:noProof/>
        </w:rPr>
        <w:t>“maisīšana un sajaukšana” ir apzināta un samērīgi kontrolēta materiālu maisīšana vai sajaukšana (ieskaitot di</w:t>
      </w:r>
      <w:r>
        <w:rPr>
          <w:noProof/>
        </w:rPr>
        <w:t>spersiju), izņemot atšķaidītāju pievienošanu, tikai ar mērķi panākt atbilstību iepriekš noteiktām specifikācijām, kā rezultātā tiek saražots ražojums, kura fizikālās vai ķīmiskās īpašības ir raksturīgas ražojumam vai tā lietojumam un atšķiras no izejmateri</w:t>
      </w:r>
      <w:r>
        <w:rPr>
          <w:noProof/>
        </w:rPr>
        <w:t>ālu fizikālajām vai ķīmiskajām īpašībām;</w:t>
      </w:r>
    </w:p>
    <w:p w:rsidR="003E022D" w:rsidRDefault="007D19D6">
      <w:pPr>
        <w:numPr>
          <w:ilvl w:val="0"/>
          <w:numId w:val="768"/>
        </w:numPr>
        <w:ind w:left="567" w:hanging="567"/>
        <w:rPr>
          <w:rFonts w:cstheme="minorHAnsi"/>
          <w:bCs/>
          <w:noProof/>
        </w:rPr>
      </w:pPr>
      <w:r>
        <w:rPr>
          <w:noProof/>
        </w:rPr>
        <w:t>“standarta materiālu ražošana” (tas attiecas arī uz standarta šķīdumiem) ir tāda preparāta ražošana, kurš ir piemērots analītiskām, kalibrēšanas vai atsauces vajadzībām, ar precīzu tīrības pakāpi vai proporcijām, ko</w:t>
      </w:r>
      <w:r>
        <w:rPr>
          <w:noProof/>
        </w:rPr>
        <w:t xml:space="preserve"> sertificējis ražotājs, un</w:t>
      </w:r>
    </w:p>
    <w:p w:rsidR="003E022D" w:rsidRDefault="007D19D6">
      <w:pPr>
        <w:numPr>
          <w:ilvl w:val="0"/>
          <w:numId w:val="768"/>
        </w:numPr>
        <w:ind w:left="567" w:hanging="567"/>
        <w:rPr>
          <w:rFonts w:cstheme="minorHAnsi"/>
          <w:bCs/>
          <w:noProof/>
        </w:rPr>
      </w:pPr>
      <w:r>
        <w:rPr>
          <w:noProof/>
        </w:rPr>
        <w:t>“attīrīšana” ir process, kura rezultātā tiek likvidēti vismaz 80 % no esošo piemaisījumu satura vai samazināti vai likvidēti piemaisījumi, tādējādi iegūstot preci, kas piemērota vienam vai vairākiem šādiem lietojumiem:</w:t>
      </w:r>
    </w:p>
    <w:p w:rsidR="003E022D" w:rsidRDefault="007D19D6">
      <w:pPr>
        <w:numPr>
          <w:ilvl w:val="1"/>
          <w:numId w:val="768"/>
        </w:numPr>
        <w:ind w:left="1276" w:hanging="567"/>
        <w:rPr>
          <w:rFonts w:cstheme="minorHAnsi"/>
          <w:bCs/>
          <w:noProof/>
        </w:rPr>
      </w:pPr>
      <w:r>
        <w:rPr>
          <w:noProof/>
        </w:rPr>
        <w:t>farmaceiti</w:t>
      </w:r>
      <w:r>
        <w:rPr>
          <w:noProof/>
        </w:rPr>
        <w:t>skas, medicīniskas, kosmētiskas, veterināras vai pārtikas kvalitātes vielas;</w:t>
      </w:r>
    </w:p>
    <w:p w:rsidR="003E022D" w:rsidRDefault="007D19D6">
      <w:pPr>
        <w:numPr>
          <w:ilvl w:val="1"/>
          <w:numId w:val="768"/>
        </w:numPr>
        <w:ind w:left="1276" w:hanging="567"/>
        <w:rPr>
          <w:rFonts w:cstheme="minorHAnsi"/>
          <w:bCs/>
          <w:noProof/>
        </w:rPr>
      </w:pPr>
      <w:r>
        <w:rPr>
          <w:noProof/>
        </w:rPr>
        <w:t>ķīmiskie produkti un reaģenti lietojumiem analīzē, diagnostikā vai laboratorijā;</w:t>
      </w:r>
    </w:p>
    <w:p w:rsidR="003E022D" w:rsidRDefault="007D19D6">
      <w:pPr>
        <w:numPr>
          <w:ilvl w:val="1"/>
          <w:numId w:val="768"/>
        </w:numPr>
        <w:ind w:left="1276" w:hanging="567"/>
        <w:rPr>
          <w:rFonts w:cstheme="minorHAnsi"/>
          <w:bCs/>
          <w:noProof/>
        </w:rPr>
      </w:pPr>
      <w:r>
        <w:rPr>
          <w:noProof/>
        </w:rPr>
        <w:t>mikroelektronikā izmantojami elementi un komponenti;</w:t>
      </w:r>
    </w:p>
    <w:p w:rsidR="003E022D" w:rsidRDefault="007D19D6">
      <w:pPr>
        <w:numPr>
          <w:ilvl w:val="1"/>
          <w:numId w:val="768"/>
        </w:numPr>
        <w:ind w:left="1276" w:hanging="567"/>
        <w:rPr>
          <w:rFonts w:cstheme="minorHAnsi"/>
          <w:bCs/>
          <w:noProof/>
        </w:rPr>
      </w:pPr>
      <w:r>
        <w:rPr>
          <w:noProof/>
        </w:rPr>
        <w:t>specializētie lietojumi optikā;</w:t>
      </w:r>
    </w:p>
    <w:p w:rsidR="003E022D" w:rsidRDefault="007D19D6">
      <w:pPr>
        <w:numPr>
          <w:ilvl w:val="1"/>
          <w:numId w:val="768"/>
        </w:numPr>
        <w:ind w:left="1276" w:hanging="567"/>
        <w:rPr>
          <w:rFonts w:cstheme="minorHAnsi"/>
          <w:bCs/>
          <w:noProof/>
        </w:rPr>
      </w:pPr>
      <w:r>
        <w:rPr>
          <w:noProof/>
        </w:rPr>
        <w:t>biotehnisks l</w:t>
      </w:r>
      <w:r>
        <w:rPr>
          <w:noProof/>
        </w:rPr>
        <w:t>ietojums (piemēram, šūnu kultūrā, ģenētiskajā tehnoloģijā vai par katalizatoru);</w:t>
      </w:r>
    </w:p>
    <w:p w:rsidR="003E022D" w:rsidRDefault="007D19D6">
      <w:pPr>
        <w:numPr>
          <w:ilvl w:val="1"/>
          <w:numId w:val="768"/>
        </w:numPr>
        <w:ind w:left="1276" w:hanging="567"/>
        <w:rPr>
          <w:rFonts w:cstheme="minorHAnsi"/>
          <w:bCs/>
          <w:noProof/>
        </w:rPr>
      </w:pPr>
      <w:r>
        <w:rPr>
          <w:noProof/>
        </w:rPr>
        <w:t>nesēji, ko izmanto separācijas procesā vai</w:t>
      </w:r>
    </w:p>
    <w:p w:rsidR="003E022D" w:rsidRDefault="007D19D6">
      <w:pPr>
        <w:numPr>
          <w:ilvl w:val="1"/>
          <w:numId w:val="768"/>
        </w:numPr>
        <w:ind w:left="1276" w:hanging="567"/>
        <w:rPr>
          <w:rFonts w:cstheme="minorHAnsi"/>
          <w:bCs/>
          <w:noProof/>
        </w:rPr>
      </w:pPr>
      <w:r>
        <w:rPr>
          <w:noProof/>
        </w:rPr>
        <w:t>lietojumi, kam nepieciešama kodolkvalitāte.</w:t>
      </w:r>
    </w:p>
    <w:p w:rsidR="003E022D" w:rsidRDefault="007D19D6">
      <w:pPr>
        <w:pStyle w:val="BodyText"/>
        <w:spacing w:line="276" w:lineRule="auto"/>
        <w:ind w:left="1440" w:right="1440"/>
        <w:jc w:val="center"/>
        <w:rPr>
          <w:rFonts w:cstheme="minorHAnsi"/>
          <w:bCs/>
          <w:noProof/>
        </w:rPr>
      </w:pPr>
      <w:r>
        <w:rPr>
          <w:noProof/>
        </w:rPr>
        <w:t>6. piezīme</w:t>
      </w:r>
    </w:p>
    <w:p w:rsidR="003E022D" w:rsidRDefault="007D19D6">
      <w:pPr>
        <w:spacing w:line="276" w:lineRule="auto"/>
        <w:ind w:left="1440" w:right="1440"/>
        <w:jc w:val="center"/>
        <w:rPr>
          <w:rFonts w:cstheme="minorHAnsi"/>
          <w:bCs/>
          <w:noProof/>
        </w:rPr>
      </w:pPr>
      <w:r>
        <w:rPr>
          <w:noProof/>
        </w:rPr>
        <w:t xml:space="preserve">ORIG-2. pielikuma XI iedaļā [Konkrētiem produktiem piemērojamie izcelsmes </w:t>
      </w:r>
      <w:r>
        <w:rPr>
          <w:noProof/>
        </w:rPr>
        <w:t>noteikumi ] izmantoto terminu definīcijas</w:t>
      </w:r>
    </w:p>
    <w:p w:rsidR="003E022D" w:rsidRDefault="007D19D6">
      <w:pPr>
        <w:rPr>
          <w:rFonts w:cstheme="minorHAnsi"/>
          <w:bCs/>
          <w:noProof/>
        </w:rPr>
      </w:pPr>
      <w:r>
        <w:rPr>
          <w:noProof/>
        </w:rPr>
        <w:t>Konkrētiem ražojumiem piemērojamo izcelsmes noteikumu nolūkos piemēro šādas definīcijas:</w:t>
      </w:r>
    </w:p>
    <w:p w:rsidR="003E022D" w:rsidRDefault="007D19D6">
      <w:pPr>
        <w:numPr>
          <w:ilvl w:val="0"/>
          <w:numId w:val="767"/>
        </w:numPr>
        <w:ind w:left="567" w:hanging="567"/>
        <w:jc w:val="both"/>
        <w:rPr>
          <w:rFonts w:cstheme="minorHAnsi"/>
          <w:bCs/>
          <w:noProof/>
        </w:rPr>
      </w:pPr>
      <w:r>
        <w:rPr>
          <w:noProof/>
        </w:rPr>
        <w:t>“ķīmiskās štāpeļšķiedras” ir sintētisku vai mākslīgu pavedienu grīste, štāpeļšķiedras vai atlikas, kas minētas pozīcijā 55.01</w:t>
      </w:r>
      <w:r>
        <w:rPr>
          <w:noProof/>
        </w:rPr>
        <w:t>–55.07;</w:t>
      </w:r>
    </w:p>
    <w:p w:rsidR="003E022D" w:rsidRDefault="007D19D6">
      <w:pPr>
        <w:numPr>
          <w:ilvl w:val="0"/>
          <w:numId w:val="767"/>
        </w:numPr>
        <w:ind w:left="567" w:hanging="567"/>
        <w:jc w:val="both"/>
        <w:rPr>
          <w:rFonts w:cstheme="minorHAnsi"/>
          <w:bCs/>
          <w:noProof/>
        </w:rPr>
      </w:pPr>
      <w:r>
        <w:rPr>
          <w:noProof/>
        </w:rPr>
        <w:t>“dabiskās šķiedras” attiecas uz šķiedrām, kas nav mākslīgās vai sintētiskās šķiedras un ko izmanto tikai pirmsvērpšanas posmos, ietverot atlikas, un, ja vien nav norādīts citādi, attiecas arī uz šķiedrām, kas ir kārstas, ķemmētas vai citādi apstrād</w:t>
      </w:r>
      <w:r>
        <w:rPr>
          <w:noProof/>
        </w:rPr>
        <w:t xml:space="preserve">ātas, bet nav vērptas; “dabiskās šķiedras” attiecas uz astriem pozīcijā 05.11, zīdu pozīcijā 50.02 un 50.03, vilnas šķiedrām un smalkiem vai rupjiem dzīvnieku matiem pozīcijā 51.01–51.05, kokvilnas šķiedrām pozīcijā 52.01–52.03, kā arī citām augu šķiedrām </w:t>
      </w:r>
      <w:r>
        <w:rPr>
          <w:noProof/>
        </w:rPr>
        <w:t>pozīcijā 53.01–53.05;</w:t>
      </w:r>
    </w:p>
    <w:p w:rsidR="003E022D" w:rsidRDefault="007D19D6">
      <w:pPr>
        <w:numPr>
          <w:ilvl w:val="0"/>
          <w:numId w:val="767"/>
        </w:numPr>
        <w:ind w:left="567" w:hanging="567"/>
        <w:jc w:val="both"/>
        <w:rPr>
          <w:rFonts w:cstheme="minorHAnsi"/>
          <w:bCs/>
          <w:noProof/>
        </w:rPr>
      </w:pPr>
      <w:r>
        <w:rPr>
          <w:noProof/>
        </w:rPr>
        <w:t>“apdrukāšana” ir metode, ar kuru tekstilizstrādājuma substrātam tiek pastāvīgi piešķirta objektīvi novērtējama funkcija, piemēram, krāsa, modelis vai tehniskais sniegums, izmantojot sietspiedes, gludspieduma, digitālus vai pārneses pa</w:t>
      </w:r>
      <w:r>
        <w:rPr>
          <w:noProof/>
        </w:rPr>
        <w:t>ņēmienus un</w:t>
      </w:r>
    </w:p>
    <w:p w:rsidR="003E022D" w:rsidRDefault="007D19D6">
      <w:pPr>
        <w:numPr>
          <w:ilvl w:val="0"/>
          <w:numId w:val="767"/>
        </w:numPr>
        <w:ind w:left="567" w:hanging="567"/>
        <w:jc w:val="both"/>
        <w:rPr>
          <w:rFonts w:cstheme="minorHAnsi"/>
          <w:bCs/>
          <w:noProof/>
        </w:rPr>
      </w:pPr>
      <w:r>
        <w:rPr>
          <w:noProof/>
        </w:rPr>
        <w:t>“apdrukāšana (kā atsevišķa darbība)” ir metode, ar kuru tekstilizstrādājuma substrātam tiek pastāvīgi piešķirta objektīvi novērtējama funkcija, piemēram, krāsa, modelis vai tehniskais sniegums, izmantojot sietspiedes, gludspieduma, digitālus va</w:t>
      </w:r>
      <w:r>
        <w:rPr>
          <w:noProof/>
        </w:rPr>
        <w:t>i pārneses paņēmienus apvienojumā ar vismaz divām sagatavošanas vai apdares operācijām (piemēram, mazgāšana, balināšana, merserizācija, termofiksēšana, uzkāršana, kalandrēšana, apstrāde pret saraušanos, galapstrāde, dekatēšana, piesūcināšana, lāpīšana un a</w:t>
      </w:r>
      <w:r>
        <w:rPr>
          <w:noProof/>
        </w:rPr>
        <w:t xml:space="preserve">pcirpšana, apgriešana, apsvilināšana, žāvēšana un platumošana, velšana, apstrāde ar tvaiku un saraušanās un mitrā dekatēšana), ja visu izmantoto nenoteiktas izcelsmes materiālu vērtība nepārsniedz 50 % no ražojuma </w:t>
      </w:r>
      <w:r>
        <w:rPr>
          <w:i/>
          <w:noProof/>
        </w:rPr>
        <w:t>EXW</w:t>
      </w:r>
      <w:r>
        <w:rPr>
          <w:noProof/>
        </w:rPr>
        <w:t xml:space="preserve"> cenas.</w:t>
      </w:r>
    </w:p>
    <w:p w:rsidR="003E022D" w:rsidRDefault="007D19D6">
      <w:pPr>
        <w:pStyle w:val="BodyText"/>
        <w:spacing w:line="276" w:lineRule="auto"/>
        <w:ind w:left="1440" w:right="1440"/>
        <w:jc w:val="center"/>
        <w:rPr>
          <w:rFonts w:cstheme="minorHAnsi"/>
          <w:bCs/>
          <w:noProof/>
        </w:rPr>
      </w:pPr>
      <w:r>
        <w:rPr>
          <w:noProof/>
        </w:rPr>
        <w:t>7. piezīme</w:t>
      </w:r>
    </w:p>
    <w:p w:rsidR="003E022D" w:rsidRDefault="007D19D6">
      <w:pPr>
        <w:spacing w:line="276" w:lineRule="auto"/>
        <w:ind w:left="1440" w:right="1440"/>
        <w:jc w:val="center"/>
        <w:rPr>
          <w:rFonts w:cstheme="minorHAnsi"/>
          <w:bCs/>
          <w:noProof/>
        </w:rPr>
      </w:pPr>
      <w:r>
        <w:rPr>
          <w:noProof/>
        </w:rPr>
        <w:t>Pielaides, kas piemē</w:t>
      </w:r>
      <w:r>
        <w:rPr>
          <w:noProof/>
        </w:rPr>
        <w:t>rojamas ražojumiem, kuri sastāv no diviem vai vairākiem tekstila pamatmateriāliem</w:t>
      </w:r>
    </w:p>
    <w:p w:rsidR="003E022D" w:rsidRDefault="007D19D6">
      <w:pPr>
        <w:numPr>
          <w:ilvl w:val="0"/>
          <w:numId w:val="771"/>
        </w:numPr>
        <w:ind w:left="0"/>
        <w:rPr>
          <w:rFonts w:cstheme="minorHAnsi"/>
          <w:bCs/>
          <w:noProof/>
        </w:rPr>
      </w:pPr>
      <w:r>
        <w:rPr>
          <w:noProof/>
        </w:rPr>
        <w:t xml:space="preserve">Šīs piezīmes nolūkos tekstila pamatmateriāli ir šādi: </w:t>
      </w:r>
    </w:p>
    <w:p w:rsidR="003E022D" w:rsidRDefault="007D19D6">
      <w:pPr>
        <w:numPr>
          <w:ilvl w:val="1"/>
          <w:numId w:val="771"/>
        </w:numPr>
        <w:ind w:left="567" w:hanging="567"/>
        <w:rPr>
          <w:rFonts w:cstheme="minorHAnsi"/>
          <w:bCs/>
          <w:noProof/>
        </w:rPr>
      </w:pPr>
      <w:r>
        <w:rPr>
          <w:noProof/>
        </w:rPr>
        <w:t xml:space="preserve">zīds; </w:t>
      </w:r>
    </w:p>
    <w:p w:rsidR="003E022D" w:rsidRDefault="007D19D6">
      <w:pPr>
        <w:numPr>
          <w:ilvl w:val="1"/>
          <w:numId w:val="771"/>
        </w:numPr>
        <w:ind w:left="567" w:hanging="567"/>
        <w:rPr>
          <w:rFonts w:cstheme="minorHAnsi"/>
          <w:bCs/>
          <w:noProof/>
        </w:rPr>
      </w:pPr>
      <w:r>
        <w:rPr>
          <w:noProof/>
        </w:rPr>
        <w:t xml:space="preserve">vilna; </w:t>
      </w:r>
    </w:p>
    <w:p w:rsidR="003E022D" w:rsidRDefault="007D19D6">
      <w:pPr>
        <w:numPr>
          <w:ilvl w:val="1"/>
          <w:numId w:val="771"/>
        </w:numPr>
        <w:ind w:left="567" w:hanging="567"/>
        <w:rPr>
          <w:rFonts w:cstheme="minorHAnsi"/>
          <w:bCs/>
          <w:noProof/>
        </w:rPr>
      </w:pPr>
      <w:r>
        <w:rPr>
          <w:noProof/>
        </w:rPr>
        <w:t xml:space="preserve">rupji dzīvnieku mati; </w:t>
      </w:r>
    </w:p>
    <w:p w:rsidR="003E022D" w:rsidRDefault="007D19D6">
      <w:pPr>
        <w:numPr>
          <w:ilvl w:val="1"/>
          <w:numId w:val="771"/>
        </w:numPr>
        <w:ind w:left="567" w:hanging="567"/>
        <w:rPr>
          <w:rFonts w:cstheme="minorHAnsi"/>
          <w:bCs/>
          <w:noProof/>
        </w:rPr>
      </w:pPr>
      <w:r>
        <w:rPr>
          <w:noProof/>
        </w:rPr>
        <w:t xml:space="preserve">smalki dzīvnieku mati; </w:t>
      </w:r>
    </w:p>
    <w:p w:rsidR="003E022D" w:rsidRDefault="007D19D6">
      <w:pPr>
        <w:numPr>
          <w:ilvl w:val="1"/>
          <w:numId w:val="771"/>
        </w:numPr>
        <w:ind w:left="567" w:hanging="567"/>
        <w:rPr>
          <w:rFonts w:cstheme="minorHAnsi"/>
          <w:bCs/>
          <w:noProof/>
        </w:rPr>
      </w:pPr>
      <w:r>
        <w:rPr>
          <w:noProof/>
        </w:rPr>
        <w:t xml:space="preserve">astri; </w:t>
      </w:r>
    </w:p>
    <w:p w:rsidR="003E022D" w:rsidRDefault="007D19D6">
      <w:pPr>
        <w:numPr>
          <w:ilvl w:val="1"/>
          <w:numId w:val="771"/>
        </w:numPr>
        <w:ind w:left="567" w:hanging="567"/>
        <w:rPr>
          <w:rFonts w:cstheme="minorHAnsi"/>
          <w:bCs/>
          <w:noProof/>
        </w:rPr>
      </w:pPr>
      <w:r>
        <w:rPr>
          <w:noProof/>
        </w:rPr>
        <w:t xml:space="preserve">kokvilna; </w:t>
      </w:r>
    </w:p>
    <w:p w:rsidR="003E022D" w:rsidRDefault="007D19D6">
      <w:pPr>
        <w:numPr>
          <w:ilvl w:val="1"/>
          <w:numId w:val="771"/>
        </w:numPr>
        <w:ind w:left="567" w:hanging="567"/>
        <w:rPr>
          <w:rFonts w:cstheme="minorHAnsi"/>
          <w:bCs/>
          <w:noProof/>
        </w:rPr>
      </w:pPr>
      <w:r>
        <w:rPr>
          <w:noProof/>
        </w:rPr>
        <w:t>materiāli papīra izgatavošanai un papī</w:t>
      </w:r>
      <w:r>
        <w:rPr>
          <w:noProof/>
        </w:rPr>
        <w:t xml:space="preserve">rs; </w:t>
      </w:r>
    </w:p>
    <w:p w:rsidR="003E022D" w:rsidRDefault="007D19D6">
      <w:pPr>
        <w:numPr>
          <w:ilvl w:val="1"/>
          <w:numId w:val="771"/>
        </w:numPr>
        <w:ind w:left="567" w:hanging="567"/>
        <w:rPr>
          <w:rFonts w:cstheme="minorHAnsi"/>
          <w:bCs/>
          <w:noProof/>
        </w:rPr>
      </w:pPr>
      <w:r>
        <w:rPr>
          <w:noProof/>
        </w:rPr>
        <w:t xml:space="preserve">lini; </w:t>
      </w:r>
    </w:p>
    <w:p w:rsidR="003E022D" w:rsidRDefault="007D19D6">
      <w:pPr>
        <w:numPr>
          <w:ilvl w:val="1"/>
          <w:numId w:val="771"/>
        </w:numPr>
        <w:ind w:left="567" w:hanging="567"/>
        <w:rPr>
          <w:rFonts w:cstheme="minorHAnsi"/>
          <w:bCs/>
          <w:noProof/>
        </w:rPr>
      </w:pPr>
      <w:r>
        <w:rPr>
          <w:noProof/>
        </w:rPr>
        <w:t xml:space="preserve">kaņepāji; </w:t>
      </w:r>
    </w:p>
    <w:p w:rsidR="003E022D" w:rsidRDefault="007D19D6">
      <w:pPr>
        <w:numPr>
          <w:ilvl w:val="1"/>
          <w:numId w:val="771"/>
        </w:numPr>
        <w:ind w:left="567" w:hanging="567"/>
        <w:rPr>
          <w:rFonts w:cstheme="minorHAnsi"/>
          <w:bCs/>
          <w:noProof/>
        </w:rPr>
      </w:pPr>
      <w:r>
        <w:rPr>
          <w:noProof/>
        </w:rPr>
        <w:t xml:space="preserve">džuta un citas tekstila lūksnas šķiedras; </w:t>
      </w:r>
    </w:p>
    <w:p w:rsidR="003E022D" w:rsidRDefault="007D19D6">
      <w:pPr>
        <w:numPr>
          <w:ilvl w:val="1"/>
          <w:numId w:val="771"/>
        </w:numPr>
        <w:ind w:left="567" w:hanging="567"/>
        <w:rPr>
          <w:rFonts w:cstheme="minorHAnsi"/>
          <w:bCs/>
          <w:noProof/>
        </w:rPr>
      </w:pPr>
      <w:r>
        <w:rPr>
          <w:noProof/>
        </w:rPr>
        <w:t xml:space="preserve">sizals un citas agavju ģints augu tekstilšķiedras; </w:t>
      </w:r>
    </w:p>
    <w:p w:rsidR="003E022D" w:rsidRDefault="007D19D6">
      <w:pPr>
        <w:numPr>
          <w:ilvl w:val="1"/>
          <w:numId w:val="771"/>
        </w:numPr>
        <w:ind w:left="567" w:hanging="567"/>
        <w:rPr>
          <w:rFonts w:cstheme="minorHAnsi"/>
          <w:bCs/>
          <w:noProof/>
        </w:rPr>
      </w:pPr>
      <w:r>
        <w:rPr>
          <w:noProof/>
        </w:rPr>
        <w:t xml:space="preserve">kokosšķiedra, abaka, rāmija un citas augu tekstilšķiedras; </w:t>
      </w:r>
    </w:p>
    <w:p w:rsidR="003E022D" w:rsidRDefault="007D19D6">
      <w:pPr>
        <w:numPr>
          <w:ilvl w:val="1"/>
          <w:numId w:val="771"/>
        </w:numPr>
        <w:ind w:left="567" w:hanging="567"/>
        <w:rPr>
          <w:rFonts w:cstheme="minorHAnsi"/>
          <w:bCs/>
          <w:noProof/>
        </w:rPr>
      </w:pPr>
      <w:r>
        <w:rPr>
          <w:noProof/>
        </w:rPr>
        <w:t xml:space="preserve">sintētiskie ķīmiskie pavedieni; </w:t>
      </w:r>
    </w:p>
    <w:p w:rsidR="003E022D" w:rsidRDefault="007D19D6">
      <w:pPr>
        <w:numPr>
          <w:ilvl w:val="1"/>
          <w:numId w:val="771"/>
        </w:numPr>
        <w:ind w:left="567" w:hanging="567"/>
        <w:rPr>
          <w:rFonts w:cstheme="minorHAnsi"/>
          <w:bCs/>
          <w:noProof/>
        </w:rPr>
      </w:pPr>
      <w:r>
        <w:rPr>
          <w:noProof/>
        </w:rPr>
        <w:t xml:space="preserve">mākslīgie ķīmiskie pavedieni; </w:t>
      </w:r>
    </w:p>
    <w:p w:rsidR="003E022D" w:rsidRDefault="007D19D6">
      <w:pPr>
        <w:numPr>
          <w:ilvl w:val="1"/>
          <w:numId w:val="771"/>
        </w:numPr>
        <w:ind w:left="567" w:hanging="567"/>
        <w:rPr>
          <w:rFonts w:cstheme="minorHAnsi"/>
          <w:bCs/>
          <w:noProof/>
        </w:rPr>
      </w:pPr>
      <w:r>
        <w:rPr>
          <w:noProof/>
        </w:rPr>
        <w:t xml:space="preserve">strāvvadoši </w:t>
      </w:r>
      <w:r>
        <w:rPr>
          <w:noProof/>
        </w:rPr>
        <w:t>pavedieni; uth</w:t>
      </w:r>
    </w:p>
    <w:p w:rsidR="003E022D" w:rsidRDefault="007D19D6">
      <w:pPr>
        <w:numPr>
          <w:ilvl w:val="1"/>
          <w:numId w:val="771"/>
        </w:numPr>
        <w:ind w:left="567" w:hanging="567"/>
        <w:rPr>
          <w:rFonts w:cstheme="minorHAnsi"/>
          <w:bCs/>
          <w:noProof/>
        </w:rPr>
      </w:pPr>
      <w:r>
        <w:rPr>
          <w:noProof/>
        </w:rPr>
        <w:t xml:space="preserve">sintētiskās ķīmiskās štāpeļšķiedras no polipropilēna; </w:t>
      </w:r>
    </w:p>
    <w:p w:rsidR="003E022D" w:rsidRDefault="007D19D6">
      <w:pPr>
        <w:numPr>
          <w:ilvl w:val="1"/>
          <w:numId w:val="771"/>
        </w:numPr>
        <w:ind w:left="567" w:hanging="567"/>
        <w:rPr>
          <w:rFonts w:cstheme="minorHAnsi"/>
          <w:bCs/>
          <w:noProof/>
        </w:rPr>
      </w:pPr>
      <w:r>
        <w:rPr>
          <w:noProof/>
        </w:rPr>
        <w:t xml:space="preserve">sintētiskās ķīmiskās štāpeļšķiedras no poliestera; </w:t>
      </w:r>
    </w:p>
    <w:p w:rsidR="003E022D" w:rsidRDefault="007D19D6">
      <w:pPr>
        <w:numPr>
          <w:ilvl w:val="1"/>
          <w:numId w:val="771"/>
        </w:numPr>
        <w:ind w:left="567" w:hanging="567"/>
        <w:rPr>
          <w:rFonts w:cstheme="minorHAnsi"/>
          <w:bCs/>
          <w:noProof/>
        </w:rPr>
      </w:pPr>
      <w:r>
        <w:rPr>
          <w:noProof/>
        </w:rPr>
        <w:t xml:space="preserve">sintētiskās ķīmiskās štāpeļšķiedras no poliamīda; </w:t>
      </w:r>
    </w:p>
    <w:p w:rsidR="003E022D" w:rsidRDefault="007D19D6">
      <w:pPr>
        <w:numPr>
          <w:ilvl w:val="1"/>
          <w:numId w:val="771"/>
        </w:numPr>
        <w:ind w:left="567" w:hanging="567"/>
        <w:rPr>
          <w:rFonts w:cstheme="minorHAnsi"/>
          <w:bCs/>
          <w:noProof/>
        </w:rPr>
      </w:pPr>
      <w:r>
        <w:rPr>
          <w:noProof/>
        </w:rPr>
        <w:t xml:space="preserve">sintētiskās ķīmiskās štāpeļšķiedras no poliakrilnitrila; </w:t>
      </w:r>
    </w:p>
    <w:p w:rsidR="003E022D" w:rsidRDefault="007D19D6">
      <w:pPr>
        <w:numPr>
          <w:ilvl w:val="1"/>
          <w:numId w:val="771"/>
        </w:numPr>
        <w:ind w:left="567" w:hanging="567"/>
        <w:rPr>
          <w:rFonts w:cstheme="minorHAnsi"/>
          <w:bCs/>
          <w:noProof/>
        </w:rPr>
      </w:pPr>
      <w:r>
        <w:rPr>
          <w:noProof/>
        </w:rPr>
        <w:t>sintētiskās ķīmiskās štāp</w:t>
      </w:r>
      <w:r>
        <w:rPr>
          <w:noProof/>
        </w:rPr>
        <w:t xml:space="preserve">eļšķiedras no poliimīda; </w:t>
      </w:r>
    </w:p>
    <w:p w:rsidR="003E022D" w:rsidRDefault="007D19D6">
      <w:pPr>
        <w:numPr>
          <w:ilvl w:val="1"/>
          <w:numId w:val="771"/>
        </w:numPr>
        <w:ind w:left="567" w:hanging="567"/>
        <w:rPr>
          <w:rFonts w:cstheme="minorHAnsi"/>
          <w:bCs/>
          <w:noProof/>
        </w:rPr>
      </w:pPr>
      <w:r>
        <w:rPr>
          <w:noProof/>
        </w:rPr>
        <w:t xml:space="preserve">sintētiskās ķīmiskās štāpeļšķiedras no politetrafluoretilēna; </w:t>
      </w:r>
    </w:p>
    <w:p w:rsidR="003E022D" w:rsidRDefault="007D19D6">
      <w:pPr>
        <w:numPr>
          <w:ilvl w:val="1"/>
          <w:numId w:val="771"/>
        </w:numPr>
        <w:ind w:left="567" w:hanging="567"/>
        <w:rPr>
          <w:rFonts w:cstheme="minorHAnsi"/>
          <w:bCs/>
          <w:noProof/>
        </w:rPr>
      </w:pPr>
      <w:r>
        <w:rPr>
          <w:noProof/>
        </w:rPr>
        <w:t xml:space="preserve">sintētiskās ķīmiskās štāpeļšķiedras no poli(fenilēnsulfīda); </w:t>
      </w:r>
    </w:p>
    <w:p w:rsidR="003E022D" w:rsidRDefault="007D19D6">
      <w:pPr>
        <w:numPr>
          <w:ilvl w:val="1"/>
          <w:numId w:val="771"/>
        </w:numPr>
        <w:ind w:left="567" w:hanging="567"/>
        <w:rPr>
          <w:rFonts w:cstheme="minorHAnsi"/>
          <w:bCs/>
          <w:noProof/>
        </w:rPr>
      </w:pPr>
      <w:r>
        <w:rPr>
          <w:noProof/>
        </w:rPr>
        <w:t xml:space="preserve">sintētiskās ķīmiskās štāpeļšķiedras no poli(vinilhlorīda); </w:t>
      </w:r>
    </w:p>
    <w:p w:rsidR="003E022D" w:rsidRDefault="007D19D6">
      <w:pPr>
        <w:numPr>
          <w:ilvl w:val="1"/>
          <w:numId w:val="771"/>
        </w:numPr>
        <w:ind w:left="567" w:hanging="567"/>
        <w:rPr>
          <w:rFonts w:cstheme="minorHAnsi"/>
          <w:bCs/>
          <w:noProof/>
        </w:rPr>
      </w:pPr>
      <w:r>
        <w:rPr>
          <w:noProof/>
        </w:rPr>
        <w:t xml:space="preserve">citas sintētiskās ķīmiskās štāpeļšķiedras; </w:t>
      </w:r>
    </w:p>
    <w:p w:rsidR="003E022D" w:rsidRDefault="007D19D6">
      <w:pPr>
        <w:numPr>
          <w:ilvl w:val="1"/>
          <w:numId w:val="771"/>
        </w:numPr>
        <w:ind w:left="567" w:hanging="567"/>
        <w:rPr>
          <w:rFonts w:cstheme="minorHAnsi"/>
          <w:bCs/>
          <w:noProof/>
        </w:rPr>
      </w:pPr>
      <w:r>
        <w:rPr>
          <w:noProof/>
        </w:rPr>
        <w:t>m</w:t>
      </w:r>
      <w:r>
        <w:rPr>
          <w:noProof/>
        </w:rPr>
        <w:t xml:space="preserve">ākslīgās ķīmiskās štāpeļšķiedras no viskozes; </w:t>
      </w:r>
    </w:p>
    <w:p w:rsidR="003E022D" w:rsidRDefault="007D19D6">
      <w:pPr>
        <w:numPr>
          <w:ilvl w:val="1"/>
          <w:numId w:val="771"/>
        </w:numPr>
        <w:ind w:left="567" w:hanging="567"/>
        <w:rPr>
          <w:rFonts w:cstheme="minorHAnsi"/>
          <w:bCs/>
          <w:noProof/>
        </w:rPr>
      </w:pPr>
      <w:r>
        <w:rPr>
          <w:noProof/>
        </w:rPr>
        <w:t xml:space="preserve">citas mākslīgās ķīmiskās štāpeļšķiedras; </w:t>
      </w:r>
    </w:p>
    <w:p w:rsidR="003E022D" w:rsidRDefault="007D19D6">
      <w:pPr>
        <w:numPr>
          <w:ilvl w:val="1"/>
          <w:numId w:val="771"/>
        </w:numPr>
        <w:ind w:left="567" w:hanging="567"/>
        <w:rPr>
          <w:rFonts w:cstheme="minorHAnsi"/>
          <w:bCs/>
          <w:noProof/>
        </w:rPr>
      </w:pPr>
      <w:r>
        <w:rPr>
          <w:noProof/>
        </w:rPr>
        <w:t xml:space="preserve">dzija, kas izgatavota no poliuretāna ar elastīgiem poliētera segmentiem, pozamentēta vai ne, </w:t>
      </w:r>
    </w:p>
    <w:p w:rsidR="003E022D" w:rsidRDefault="007D19D6">
      <w:pPr>
        <w:numPr>
          <w:ilvl w:val="1"/>
          <w:numId w:val="771"/>
        </w:numPr>
        <w:ind w:left="567" w:hanging="567"/>
        <w:rPr>
          <w:rFonts w:cstheme="minorHAnsi"/>
          <w:bCs/>
          <w:noProof/>
        </w:rPr>
      </w:pPr>
      <w:r>
        <w:rPr>
          <w:noProof/>
        </w:rPr>
        <w:t>dzija, kas izgatavota no poliuretāna ar elastīgiem poliestera segmentiem,</w:t>
      </w:r>
      <w:r>
        <w:rPr>
          <w:noProof/>
        </w:rPr>
        <w:t xml:space="preserve"> pozamentēta vai ne; </w:t>
      </w:r>
    </w:p>
    <w:p w:rsidR="003E022D" w:rsidRDefault="007D19D6">
      <w:pPr>
        <w:numPr>
          <w:ilvl w:val="1"/>
          <w:numId w:val="771"/>
        </w:numPr>
        <w:ind w:left="567" w:hanging="567"/>
        <w:rPr>
          <w:rFonts w:cstheme="minorHAnsi"/>
          <w:bCs/>
          <w:noProof/>
        </w:rPr>
      </w:pPr>
      <w:r>
        <w:rPr>
          <w:noProof/>
        </w:rPr>
        <w:t>pozīcijas 56.05 ražojumi (metalizēti pavedieni), kuri ietver ne vairāk kā 5 mm platu lenti, kas pamatā sastāv no alumīnija folijas vai plastmasas plēves, neatkarīgi no tā, vai tā ir ar alumīnija pulvera pārklājumu vai bez tā, un kas i</w:t>
      </w:r>
      <w:r>
        <w:rPr>
          <w:noProof/>
        </w:rPr>
        <w:t xml:space="preserve">r iestiprināta ar caurspīdīgu vai krāsainu adhezīvu starp divām plastmasas plēves kārtām; </w:t>
      </w:r>
    </w:p>
    <w:p w:rsidR="003E022D" w:rsidRDefault="007D19D6">
      <w:pPr>
        <w:numPr>
          <w:ilvl w:val="1"/>
          <w:numId w:val="771"/>
        </w:numPr>
        <w:ind w:left="567" w:hanging="567"/>
        <w:rPr>
          <w:rFonts w:cstheme="minorHAnsi"/>
          <w:bCs/>
          <w:noProof/>
        </w:rPr>
      </w:pPr>
      <w:r>
        <w:rPr>
          <w:noProof/>
        </w:rPr>
        <w:t xml:space="preserve">citi pozīcijas 56.05 ražojumi; </w:t>
      </w:r>
    </w:p>
    <w:p w:rsidR="003E022D" w:rsidRDefault="007D19D6">
      <w:pPr>
        <w:numPr>
          <w:ilvl w:val="1"/>
          <w:numId w:val="771"/>
        </w:numPr>
        <w:ind w:left="567" w:hanging="567"/>
        <w:rPr>
          <w:rFonts w:cstheme="minorHAnsi"/>
          <w:bCs/>
          <w:noProof/>
        </w:rPr>
      </w:pPr>
      <w:r>
        <w:rPr>
          <w:noProof/>
        </w:rPr>
        <w:t xml:space="preserve">stikla šķiedras un </w:t>
      </w:r>
    </w:p>
    <w:p w:rsidR="003E022D" w:rsidRDefault="007D19D6">
      <w:pPr>
        <w:numPr>
          <w:ilvl w:val="1"/>
          <w:numId w:val="771"/>
        </w:numPr>
        <w:ind w:left="567" w:hanging="567"/>
        <w:rPr>
          <w:rFonts w:cstheme="minorHAnsi"/>
          <w:bCs/>
          <w:noProof/>
        </w:rPr>
      </w:pPr>
      <w:r>
        <w:rPr>
          <w:noProof/>
        </w:rPr>
        <w:t xml:space="preserve">metāla šķiedras. </w:t>
      </w:r>
    </w:p>
    <w:p w:rsidR="003E022D" w:rsidRDefault="007D19D6">
      <w:pPr>
        <w:numPr>
          <w:ilvl w:val="0"/>
          <w:numId w:val="771"/>
        </w:numPr>
        <w:ind w:left="0"/>
        <w:rPr>
          <w:rFonts w:cstheme="minorHAnsi"/>
          <w:bCs/>
          <w:noProof/>
        </w:rPr>
      </w:pPr>
      <w:r>
        <w:rPr>
          <w:noProof/>
        </w:rPr>
        <w:t xml:space="preserve">Ja ORIG-2. pielikumā [Konkrētiem ražojumiem piemērojamie izcelsmes noteikumi] ir atsauce uz šo </w:t>
      </w:r>
      <w:r>
        <w:rPr>
          <w:noProof/>
        </w:rPr>
        <w:t>piezīmi, prasības, kas izklāstītas tā 2. slejā, nepiemēro kā pielaidi nenoteiktas izcelsmes tekstila pamatmateriāliem, kuri izmantoti ražojuma ražošanā, ja:</w:t>
      </w:r>
    </w:p>
    <w:p w:rsidR="003E022D" w:rsidRDefault="007D19D6">
      <w:pPr>
        <w:numPr>
          <w:ilvl w:val="1"/>
          <w:numId w:val="766"/>
        </w:numPr>
        <w:ind w:left="567" w:hanging="567"/>
        <w:rPr>
          <w:rFonts w:cstheme="minorHAnsi"/>
          <w:bCs/>
          <w:noProof/>
        </w:rPr>
      </w:pPr>
      <w:r>
        <w:rPr>
          <w:noProof/>
        </w:rPr>
        <w:t>ražojums satur divus vai vairākus tekstila pamatmateriālus un</w:t>
      </w:r>
    </w:p>
    <w:p w:rsidR="003E022D" w:rsidRDefault="007D19D6">
      <w:pPr>
        <w:numPr>
          <w:ilvl w:val="1"/>
          <w:numId w:val="766"/>
        </w:numPr>
        <w:ind w:left="567" w:hanging="567"/>
        <w:rPr>
          <w:rFonts w:cstheme="minorHAnsi"/>
          <w:bCs/>
          <w:noProof/>
        </w:rPr>
      </w:pPr>
      <w:r>
        <w:rPr>
          <w:noProof/>
        </w:rPr>
        <w:t xml:space="preserve">nenoteiktas izcelsmes tekstila </w:t>
      </w:r>
      <w:r>
        <w:rPr>
          <w:noProof/>
        </w:rPr>
        <w:t>pamatmateriālu kopējais svars nepārsniedz 10 % no visu izmantoto tekstila pamatmateriālu kopējā svara.</w:t>
      </w:r>
    </w:p>
    <w:p w:rsidR="003E022D" w:rsidRDefault="007D19D6">
      <w:pPr>
        <w:ind w:left="1276" w:hanging="567"/>
        <w:rPr>
          <w:rFonts w:cstheme="minorHAnsi"/>
          <w:bCs/>
          <w:noProof/>
        </w:rPr>
      </w:pPr>
      <w:r>
        <w:rPr>
          <w:noProof/>
        </w:rPr>
        <w:t>Piemērs. Vilnas audumam pozīcijā 51.12, kas satur vilnas dziju pozīcijā 51.07, sintētisko štāpeļšķiedru dziju pozīcijā 55.09 un materiālus, kas nav tekst</w:t>
      </w:r>
      <w:r>
        <w:rPr>
          <w:noProof/>
        </w:rPr>
        <w:t>ila pamatmateriāli, var izmantot nenoteiktas izcelsmes vilnas dziju, kura neatbilst ORIG-2. pielikumā [Konkrētiem ražojumiem piemērojamie izcelsmes noteikumi] noteiktajai prasībai, vai nenoteiktas izcelsmes sintētisku dziju, kas neatbilst ORIG-2. pielikumā</w:t>
      </w:r>
      <w:r>
        <w:rPr>
          <w:noProof/>
        </w:rPr>
        <w:t xml:space="preserve"> [Konkrētiem ražojumiem piemērojamie izcelsmes noteikumi] noteiktajai prasībai, vai abu minēto kombināciju, ja to kopējais svars nepārsniedz 10 % no visu tekstila pamatmateriālu svara.</w:t>
      </w:r>
    </w:p>
    <w:p w:rsidR="003E022D" w:rsidRDefault="007D19D6">
      <w:pPr>
        <w:numPr>
          <w:ilvl w:val="0"/>
          <w:numId w:val="771"/>
        </w:numPr>
        <w:ind w:left="0"/>
        <w:rPr>
          <w:rFonts w:cstheme="minorHAnsi"/>
          <w:bCs/>
          <w:noProof/>
        </w:rPr>
      </w:pPr>
      <w:r>
        <w:rPr>
          <w:noProof/>
        </w:rPr>
        <w:t xml:space="preserve">Neatkarīgi no 7. piezīmes 2. punkta b) apakšpunkta ražojumiem, kuru </w:t>
      </w:r>
      <w:r>
        <w:rPr>
          <w:noProof/>
        </w:rPr>
        <w:t>sastāvā ir “dzija, kas izgatavota no poliuretāna ar elastīgiem poliētera segmentiem, pozamentēta vai ne”, maksimālā pielaide ir 20 %. Tomēr citu nenoteiktas izcelsmes tekstila pamatmateriālu procentuālā daļa nepārsniedz 10 %.</w:t>
      </w:r>
    </w:p>
    <w:p w:rsidR="003E022D" w:rsidRDefault="007D19D6">
      <w:pPr>
        <w:numPr>
          <w:ilvl w:val="0"/>
          <w:numId w:val="771"/>
        </w:numPr>
        <w:ind w:left="0"/>
        <w:rPr>
          <w:rFonts w:cstheme="minorHAnsi"/>
          <w:bCs/>
          <w:noProof/>
        </w:rPr>
      </w:pPr>
      <w:r>
        <w:rPr>
          <w:noProof/>
        </w:rPr>
        <w:t>Neatkarīgi no 7. piezīmes 2. p</w:t>
      </w:r>
      <w:r>
        <w:rPr>
          <w:noProof/>
        </w:rPr>
        <w:t>unkta b) apakšpunkta ražojumiem, kuru sastāvā ir “ne vairāk kā 5 mm plata lente, kas pamatā sastāv no alumīnija folijas vai plastmasas plēves, neatkarīgi no tā, vai tā ir ar alumīnija pulvera pārklājumu vai bez tā, un kas ir iestiprināta ar caurspīdīgu vai</w:t>
      </w:r>
      <w:r>
        <w:rPr>
          <w:noProof/>
        </w:rPr>
        <w:t xml:space="preserve"> krāsainu adhezīvu starp divām plastmasas plēves kārtām”, maksimālā pielaide ir 30 %. Tomēr citu nenoteiktas izcelsmes tekstila pamatmateriālu procentuālā daļa nepārsniedz 10 %.</w:t>
      </w:r>
    </w:p>
    <w:p w:rsidR="003E022D" w:rsidRDefault="007D19D6">
      <w:pPr>
        <w:pStyle w:val="BodyText"/>
        <w:spacing w:line="276" w:lineRule="auto"/>
        <w:ind w:left="1440" w:right="1440"/>
        <w:jc w:val="center"/>
        <w:rPr>
          <w:rFonts w:cstheme="minorHAnsi"/>
          <w:bCs/>
          <w:noProof/>
        </w:rPr>
      </w:pPr>
      <w:r>
        <w:rPr>
          <w:noProof/>
        </w:rPr>
        <w:t>8. piezīme</w:t>
      </w:r>
    </w:p>
    <w:p w:rsidR="003E022D" w:rsidRDefault="007D19D6">
      <w:pPr>
        <w:spacing w:line="276" w:lineRule="auto"/>
        <w:ind w:left="1440" w:right="1440"/>
        <w:jc w:val="center"/>
        <w:rPr>
          <w:rFonts w:cstheme="minorHAnsi"/>
          <w:bCs/>
          <w:noProof/>
        </w:rPr>
      </w:pPr>
      <w:r>
        <w:rPr>
          <w:noProof/>
        </w:rPr>
        <w:t>Citas pielaides, kas piemērojamas konkrētiem tekstilizstrādājumiem</w:t>
      </w:r>
    </w:p>
    <w:p w:rsidR="003E022D" w:rsidRDefault="007D19D6">
      <w:pPr>
        <w:numPr>
          <w:ilvl w:val="0"/>
          <w:numId w:val="765"/>
        </w:numPr>
        <w:ind w:left="0" w:firstLine="0"/>
        <w:rPr>
          <w:rFonts w:cstheme="minorHAnsi"/>
          <w:bCs/>
          <w:noProof/>
        </w:rPr>
      </w:pPr>
      <w:r>
        <w:rPr>
          <w:noProof/>
        </w:rPr>
        <w:t xml:space="preserve">Ja ORIG-2. pielikumā [Konkrētiem ražojumiem piemērojamie izcelsmes noteikumi] ir atsauce uz šo piezīmi, var izmantot nenoteiktas izcelsmes tekstilmateriālus (izņemot oderes un starpoderes), kas neatbilst minētā pielikuma 2. slejas noteikumiem attiecībā uz </w:t>
      </w:r>
      <w:r>
        <w:rPr>
          <w:noProof/>
        </w:rPr>
        <w:t xml:space="preserve">gataviem tekstilizstrādājumiem, ja tie ir klasificēti citā pozīcijā nekā ražojums un ja to vērtība nepārsniedz 8 % no ražojuma </w:t>
      </w:r>
      <w:r>
        <w:rPr>
          <w:i/>
          <w:iCs/>
          <w:noProof/>
        </w:rPr>
        <w:t>EXW</w:t>
      </w:r>
      <w:r>
        <w:rPr>
          <w:noProof/>
        </w:rPr>
        <w:t xml:space="preserve"> cenas.</w:t>
      </w:r>
      <w:r>
        <w:rPr>
          <w:noProof/>
        </w:rPr>
        <w:tab/>
      </w:r>
    </w:p>
    <w:p w:rsidR="003E022D" w:rsidRDefault="007D19D6">
      <w:pPr>
        <w:numPr>
          <w:ilvl w:val="0"/>
          <w:numId w:val="765"/>
        </w:numPr>
        <w:ind w:left="0" w:firstLine="0"/>
        <w:rPr>
          <w:rFonts w:cstheme="minorHAnsi"/>
          <w:bCs/>
          <w:noProof/>
        </w:rPr>
      </w:pPr>
      <w:r>
        <w:rPr>
          <w:noProof/>
        </w:rPr>
        <w:t>Nenoteiktas izcelsmes materiālus, kas nav klasificēti 50. līdz 63. nodaļā, var bez ierobežojumiem izmantot 50.–63. no</w:t>
      </w:r>
      <w:r>
        <w:rPr>
          <w:noProof/>
        </w:rPr>
        <w:t>daļā klasificētu tekstilizstrādājumu ražošanā neatkarīgi no tā, vai tajos ir vai nav tekstilmateriāli.</w:t>
      </w:r>
    </w:p>
    <w:p w:rsidR="003E022D" w:rsidRDefault="007D19D6">
      <w:pPr>
        <w:ind w:left="1276" w:hanging="567"/>
        <w:rPr>
          <w:rFonts w:cstheme="minorHAnsi"/>
          <w:bCs/>
          <w:noProof/>
        </w:rPr>
      </w:pPr>
      <w:r>
        <w:rPr>
          <w:noProof/>
        </w:rPr>
        <w:t>Piemērs. Ja ORIG-2. pielikumā [Konkrētiem ražojumiem piemērojamie izcelsmes noteikumi] noteiktā prasība paredz, ka konkrētam tekstilizstrādājumam (piemēr</w:t>
      </w:r>
      <w:r>
        <w:rPr>
          <w:noProof/>
        </w:rPr>
        <w:t>am, biksēm) jāizmanto dzija, tas neliedz izmantot nenoteiktas izcelsmes metāla izstrādājumus (piemēram, pogas), jo metāla izstrādājumi nav klasificēti 50.–63. nodaļā. Šo pašu iemeslu dēļ nav liegts izmantot nenoteiktas izcelsmes rāvējslēdzējus, kaut arī rā</w:t>
      </w:r>
      <w:r>
        <w:rPr>
          <w:noProof/>
        </w:rPr>
        <w:t>vējslēdzējos parasti ietilpst tekstilmateriāli.</w:t>
      </w:r>
    </w:p>
    <w:p w:rsidR="003E022D" w:rsidRDefault="007D19D6">
      <w:pPr>
        <w:numPr>
          <w:ilvl w:val="0"/>
          <w:numId w:val="765"/>
        </w:numPr>
        <w:ind w:left="0" w:firstLine="0"/>
        <w:rPr>
          <w:rFonts w:cstheme="minorHAnsi"/>
          <w:bCs/>
          <w:noProof/>
        </w:rPr>
      </w:pPr>
      <w:r>
        <w:rPr>
          <w:noProof/>
        </w:rPr>
        <w:t>Ja ORIG-2. pielikumā [Konkrētiem ražojumiem piemērojamie izcelsmes noteikumi] noteiktā prasība nosaka nenoteiktas izcelsmes materiālu maksimālo vērtību, nenoteiktas izcelsmes materiālu vērtības aprēķināšanā ņ</w:t>
      </w:r>
      <w:r>
        <w:rPr>
          <w:noProof/>
        </w:rPr>
        <w:t>em vērā to nenoteiktas izcelsmes materiālu vērtību, kuri nav klasificēti 50.–63. nodaļā.</w:t>
      </w:r>
    </w:p>
    <w:p w:rsidR="003E022D" w:rsidRDefault="007D19D6">
      <w:pPr>
        <w:pStyle w:val="BodyText"/>
        <w:spacing w:line="276" w:lineRule="auto"/>
        <w:ind w:left="1440" w:right="1440"/>
        <w:jc w:val="center"/>
        <w:rPr>
          <w:rFonts w:cstheme="minorHAnsi"/>
          <w:bCs/>
          <w:noProof/>
        </w:rPr>
      </w:pPr>
      <w:r>
        <w:rPr>
          <w:noProof/>
        </w:rPr>
        <w:t>9. piezīme</w:t>
      </w:r>
    </w:p>
    <w:p w:rsidR="003E022D" w:rsidRDefault="007D19D6">
      <w:pPr>
        <w:spacing w:line="276" w:lineRule="auto"/>
        <w:ind w:left="1440" w:right="1440"/>
        <w:jc w:val="center"/>
        <w:rPr>
          <w:rFonts w:cstheme="minorHAnsi"/>
          <w:bCs/>
          <w:noProof/>
        </w:rPr>
      </w:pPr>
      <w:r>
        <w:rPr>
          <w:noProof/>
        </w:rPr>
        <w:t>Lauksaimniecības produkti</w:t>
      </w:r>
    </w:p>
    <w:p w:rsidR="003E022D" w:rsidRDefault="007D19D6">
      <w:pPr>
        <w:rPr>
          <w:rFonts w:cstheme="minorHAnsi"/>
          <w:bCs/>
          <w:noProof/>
        </w:rPr>
      </w:pPr>
      <w:r>
        <w:rPr>
          <w:noProof/>
        </w:rPr>
        <w:t>Lauksaimniecības produktus, kas klasificēti Harmonizētās sistēmas II sadaļā un pozīcijā 24.01 un kas audzēti vai novākti kādas Pus</w:t>
      </w:r>
      <w:r>
        <w:rPr>
          <w:noProof/>
        </w:rPr>
        <w:t>es teritorijā, uzskata par tādiem, kuru izcelsme ir minētās Puses teritorijā, pat ja tie audzēti no sēklām, sīpoliem, potcelmiem, spraudeņiem, potzariem, dzinumiem, pumpuriem vai citām augu dzīvām daļām, kas importētas no trešās valsts.</w:t>
      </w:r>
    </w:p>
    <w:p w:rsidR="003E022D" w:rsidRDefault="007D19D6">
      <w:pPr>
        <w:rPr>
          <w:rFonts w:cstheme="minorHAnsi"/>
          <w:bCs/>
          <w:noProof/>
        </w:rPr>
      </w:pPr>
      <w:r>
        <w:rPr>
          <w:noProof/>
        </w:rPr>
        <w:br w:type="page"/>
      </w:r>
    </w:p>
    <w:p w:rsidR="003E022D" w:rsidRDefault="007D19D6">
      <w:pPr>
        <w:pStyle w:val="ANNEX"/>
        <w:rPr>
          <w:rFonts w:cstheme="minorHAnsi"/>
          <w:noProof/>
        </w:rPr>
      </w:pPr>
      <w:hyperlink w:anchor="_Toc35449673" w:history="1">
        <w:bookmarkStart w:id="948" w:name="_Toc59988387"/>
        <w:r>
          <w:rPr>
            <w:noProof/>
          </w:rPr>
          <w:t>ORIG-2. PIELIKUMS.</w:t>
        </w:r>
      </w:hyperlink>
      <w:hyperlink w:anchor="_Toc35449673" w:history="1">
        <w:bookmarkStart w:id="949" w:name="_Toc59020195"/>
        <w:r>
          <w:rPr>
            <w:noProof/>
          </w:rPr>
          <w:t>KONKRĒTIEM RAŽOJUMIEM PIEMĒROJAMIE IZCELSMES NOTEIKUMI</w:t>
        </w:r>
        <w:bookmarkEnd w:id="949"/>
        <w:bookmarkEnd w:id="948"/>
      </w:hyperlink>
      <w:hyperlink w:anchor="_Toc35449673" w:history="1"/>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85"/>
        <w:gridCol w:w="7514"/>
      </w:tblGrid>
      <w:tr w:rsidR="003E022D">
        <w:tc>
          <w:tcPr>
            <w:tcW w:w="1985" w:type="dxa"/>
          </w:tcPr>
          <w:p w:rsidR="003E022D" w:rsidRDefault="007D19D6">
            <w:pPr>
              <w:rPr>
                <w:b/>
                <w:bCs/>
                <w:noProof/>
              </w:rPr>
            </w:pPr>
            <w:r>
              <w:rPr>
                <w:b/>
                <w:bCs/>
                <w:noProof/>
              </w:rPr>
              <w:t>1. sleja</w:t>
            </w:r>
          </w:p>
          <w:p w:rsidR="003E022D" w:rsidRDefault="007D19D6">
            <w:pPr>
              <w:rPr>
                <w:bCs/>
                <w:noProof/>
              </w:rPr>
            </w:pPr>
            <w:r>
              <w:rPr>
                <w:b/>
                <w:bCs/>
                <w:noProof/>
              </w:rPr>
              <w:t>Harmonizētās sistēmas klasifikācija (2017), iekļaujot konkrētu aprakstu</w:t>
            </w:r>
          </w:p>
        </w:tc>
        <w:tc>
          <w:tcPr>
            <w:tcW w:w="7514" w:type="dxa"/>
          </w:tcPr>
          <w:p w:rsidR="003E022D" w:rsidRDefault="007D19D6">
            <w:pPr>
              <w:rPr>
                <w:b/>
                <w:bCs/>
                <w:noProof/>
              </w:rPr>
            </w:pPr>
            <w:r>
              <w:rPr>
                <w:b/>
                <w:bCs/>
                <w:noProof/>
              </w:rPr>
              <w:t>2. sleja</w:t>
            </w:r>
          </w:p>
          <w:p w:rsidR="003E022D" w:rsidRDefault="007D19D6">
            <w:pPr>
              <w:rPr>
                <w:bCs/>
                <w:noProof/>
              </w:rPr>
            </w:pPr>
            <w:r>
              <w:rPr>
                <w:b/>
                <w:bCs/>
                <w:noProof/>
              </w:rPr>
              <w:t>Konkrētiem raž</w:t>
            </w:r>
            <w:r>
              <w:rPr>
                <w:b/>
                <w:bCs/>
                <w:noProof/>
              </w:rPr>
              <w:t>ojumiem piemērojamie izcelsmes noteikumi</w:t>
            </w:r>
            <w:r>
              <w:rPr>
                <w:noProof/>
              </w:rPr>
              <w:t xml:space="preserve"> </w:t>
            </w:r>
          </w:p>
        </w:tc>
      </w:tr>
      <w:tr w:rsidR="003E022D">
        <w:tc>
          <w:tcPr>
            <w:tcW w:w="1985" w:type="dxa"/>
          </w:tcPr>
          <w:p w:rsidR="003E022D" w:rsidRDefault="007D19D6">
            <w:pPr>
              <w:rPr>
                <w:b/>
                <w:bCs/>
                <w:noProof/>
              </w:rPr>
            </w:pPr>
            <w:r>
              <w:rPr>
                <w:b/>
                <w:bCs/>
                <w:noProof/>
              </w:rPr>
              <w:t>I SADAĻA</w:t>
            </w:r>
          </w:p>
        </w:tc>
        <w:tc>
          <w:tcPr>
            <w:tcW w:w="7514" w:type="dxa"/>
          </w:tcPr>
          <w:p w:rsidR="003E022D" w:rsidRDefault="007D19D6">
            <w:pPr>
              <w:rPr>
                <w:b/>
                <w:bCs/>
                <w:noProof/>
              </w:rPr>
            </w:pPr>
            <w:r>
              <w:rPr>
                <w:b/>
                <w:bCs/>
                <w:noProof/>
              </w:rPr>
              <w:t>DZĪVI DZĪVNIEKI; DZĪVNIEKU IZCELSMES PRODUKTI</w:t>
            </w:r>
          </w:p>
        </w:tc>
      </w:tr>
      <w:tr w:rsidR="003E022D">
        <w:trPr>
          <w:trHeight w:val="206"/>
        </w:trPr>
        <w:tc>
          <w:tcPr>
            <w:tcW w:w="1985" w:type="dxa"/>
          </w:tcPr>
          <w:p w:rsidR="003E022D" w:rsidRDefault="007D19D6">
            <w:pPr>
              <w:rPr>
                <w:b/>
                <w:bCs/>
                <w:noProof/>
              </w:rPr>
            </w:pPr>
            <w:r>
              <w:rPr>
                <w:b/>
                <w:bCs/>
                <w:noProof/>
              </w:rPr>
              <w:t>1. nodaļa</w:t>
            </w:r>
          </w:p>
        </w:tc>
        <w:tc>
          <w:tcPr>
            <w:tcW w:w="7514" w:type="dxa"/>
          </w:tcPr>
          <w:p w:rsidR="003E022D" w:rsidRDefault="007D19D6">
            <w:pPr>
              <w:rPr>
                <w:b/>
                <w:bCs/>
                <w:noProof/>
              </w:rPr>
            </w:pPr>
            <w:r>
              <w:rPr>
                <w:b/>
                <w:bCs/>
                <w:noProof/>
              </w:rPr>
              <w:t>Dzīvi dzīvnieki</w:t>
            </w:r>
          </w:p>
        </w:tc>
      </w:tr>
      <w:tr w:rsidR="003E022D">
        <w:tc>
          <w:tcPr>
            <w:tcW w:w="1985" w:type="dxa"/>
          </w:tcPr>
          <w:p w:rsidR="003E022D" w:rsidRDefault="007D19D6">
            <w:pPr>
              <w:rPr>
                <w:bCs/>
                <w:noProof/>
              </w:rPr>
            </w:pPr>
            <w:r>
              <w:rPr>
                <w:noProof/>
              </w:rPr>
              <w:t>01.01-01.06</w:t>
            </w:r>
          </w:p>
        </w:tc>
        <w:tc>
          <w:tcPr>
            <w:tcW w:w="7514" w:type="dxa"/>
          </w:tcPr>
          <w:p w:rsidR="003E022D" w:rsidRDefault="007D19D6">
            <w:pPr>
              <w:rPr>
                <w:bCs/>
                <w:noProof/>
              </w:rPr>
            </w:pPr>
            <w:r>
              <w:rPr>
                <w:noProof/>
              </w:rPr>
              <w:t>Visi 1. nodaļas dzīvnieki ir pilnībā iegūti.</w:t>
            </w:r>
          </w:p>
        </w:tc>
      </w:tr>
      <w:tr w:rsidR="003E022D">
        <w:trPr>
          <w:trHeight w:val="429"/>
        </w:trPr>
        <w:tc>
          <w:tcPr>
            <w:tcW w:w="1985" w:type="dxa"/>
          </w:tcPr>
          <w:p w:rsidR="003E022D" w:rsidRDefault="007D19D6">
            <w:pPr>
              <w:rPr>
                <w:b/>
                <w:noProof/>
              </w:rPr>
            </w:pPr>
            <w:r>
              <w:rPr>
                <w:b/>
                <w:noProof/>
              </w:rPr>
              <w:t>2. nodaļa</w:t>
            </w:r>
          </w:p>
        </w:tc>
        <w:tc>
          <w:tcPr>
            <w:tcW w:w="7514" w:type="dxa"/>
          </w:tcPr>
          <w:p w:rsidR="003E022D" w:rsidRDefault="007D19D6">
            <w:pPr>
              <w:rPr>
                <w:b/>
                <w:noProof/>
              </w:rPr>
            </w:pPr>
            <w:r>
              <w:rPr>
                <w:b/>
                <w:noProof/>
              </w:rPr>
              <w:t>Gaļa un ēdami gaļas subprodukti</w:t>
            </w:r>
          </w:p>
        </w:tc>
      </w:tr>
      <w:tr w:rsidR="003E022D">
        <w:tc>
          <w:tcPr>
            <w:tcW w:w="1985" w:type="dxa"/>
          </w:tcPr>
          <w:p w:rsidR="003E022D" w:rsidRDefault="007D19D6">
            <w:pPr>
              <w:rPr>
                <w:bCs/>
                <w:noProof/>
              </w:rPr>
            </w:pPr>
            <w:r>
              <w:rPr>
                <w:noProof/>
              </w:rPr>
              <w:t>02.01-02.10</w:t>
            </w:r>
          </w:p>
        </w:tc>
        <w:tc>
          <w:tcPr>
            <w:tcW w:w="7514" w:type="dxa"/>
          </w:tcPr>
          <w:p w:rsidR="003E022D" w:rsidRDefault="007D19D6">
            <w:pPr>
              <w:rPr>
                <w:bCs/>
                <w:noProof/>
              </w:rPr>
            </w:pPr>
            <w:r>
              <w:rPr>
                <w:noProof/>
              </w:rPr>
              <w:t xml:space="preserve">Ražošana, kurā </w:t>
            </w:r>
            <w:r>
              <w:rPr>
                <w:noProof/>
              </w:rPr>
              <w:t>visi izmantotie 1. un 2. nodaļā klasificētie materiāli ir pilnībā iegūti.</w:t>
            </w:r>
          </w:p>
        </w:tc>
      </w:tr>
      <w:tr w:rsidR="003E022D">
        <w:tc>
          <w:tcPr>
            <w:tcW w:w="1985" w:type="dxa"/>
          </w:tcPr>
          <w:p w:rsidR="003E022D" w:rsidRDefault="007D19D6">
            <w:pPr>
              <w:rPr>
                <w:b/>
                <w:noProof/>
              </w:rPr>
            </w:pPr>
            <w:r>
              <w:rPr>
                <w:b/>
                <w:noProof/>
              </w:rPr>
              <w:t>3. nodaļa</w:t>
            </w:r>
          </w:p>
        </w:tc>
        <w:tc>
          <w:tcPr>
            <w:tcW w:w="7514" w:type="dxa"/>
          </w:tcPr>
          <w:p w:rsidR="003E022D" w:rsidRDefault="007D19D6">
            <w:pPr>
              <w:rPr>
                <w:b/>
                <w:noProof/>
              </w:rPr>
            </w:pPr>
            <w:r>
              <w:rPr>
                <w:b/>
                <w:noProof/>
              </w:rPr>
              <w:t>Zivis un vēžveidīgie, mīkstmieši un citi ūdens bezmugurkaulnieki</w:t>
            </w:r>
          </w:p>
        </w:tc>
      </w:tr>
      <w:tr w:rsidR="003E022D">
        <w:trPr>
          <w:trHeight w:val="391"/>
        </w:trPr>
        <w:tc>
          <w:tcPr>
            <w:tcW w:w="1985" w:type="dxa"/>
          </w:tcPr>
          <w:p w:rsidR="003E022D" w:rsidRDefault="007D19D6">
            <w:pPr>
              <w:rPr>
                <w:bCs/>
                <w:noProof/>
              </w:rPr>
            </w:pPr>
            <w:r>
              <w:rPr>
                <w:noProof/>
              </w:rPr>
              <w:t>03.01-03.08</w:t>
            </w:r>
          </w:p>
        </w:tc>
        <w:tc>
          <w:tcPr>
            <w:tcW w:w="7514" w:type="dxa"/>
          </w:tcPr>
          <w:p w:rsidR="003E022D" w:rsidRDefault="007D19D6">
            <w:pPr>
              <w:rPr>
                <w:bCs/>
                <w:noProof/>
              </w:rPr>
            </w:pPr>
            <w:r>
              <w:rPr>
                <w:noProof/>
              </w:rPr>
              <w:t>Ražošana, kurā visi izmantotie 3. nodaļā klasificētie materiāli ir pilnībā iegūti.</w:t>
            </w:r>
          </w:p>
        </w:tc>
      </w:tr>
      <w:tr w:rsidR="003E022D">
        <w:tc>
          <w:tcPr>
            <w:tcW w:w="1985" w:type="dxa"/>
          </w:tcPr>
          <w:p w:rsidR="003E022D" w:rsidRDefault="007D19D6">
            <w:pPr>
              <w:rPr>
                <w:b/>
                <w:noProof/>
              </w:rPr>
            </w:pPr>
            <w:r>
              <w:rPr>
                <w:b/>
                <w:noProof/>
              </w:rPr>
              <w:t>4. nodaļa</w:t>
            </w:r>
          </w:p>
        </w:tc>
        <w:tc>
          <w:tcPr>
            <w:tcW w:w="7514" w:type="dxa"/>
          </w:tcPr>
          <w:p w:rsidR="003E022D" w:rsidRDefault="007D19D6">
            <w:pPr>
              <w:rPr>
                <w:b/>
                <w:noProof/>
              </w:rPr>
            </w:pPr>
            <w:r>
              <w:rPr>
                <w:b/>
                <w:noProof/>
              </w:rPr>
              <w:t>Piena pārstrādes produkti; putnu olas; dabiskais medus; dzīvnieku izcelsmes pārtikas produkti, kas citur nav minēti un iekļauti</w:t>
            </w:r>
          </w:p>
        </w:tc>
      </w:tr>
      <w:tr w:rsidR="003E022D">
        <w:tc>
          <w:tcPr>
            <w:tcW w:w="1985" w:type="dxa"/>
          </w:tcPr>
          <w:p w:rsidR="003E022D" w:rsidRDefault="007D19D6">
            <w:pPr>
              <w:rPr>
                <w:bCs/>
                <w:noProof/>
              </w:rPr>
            </w:pPr>
            <w:r>
              <w:rPr>
                <w:noProof/>
              </w:rPr>
              <w:t>04.01-04.10</w:t>
            </w:r>
          </w:p>
        </w:tc>
        <w:tc>
          <w:tcPr>
            <w:tcW w:w="7514" w:type="dxa"/>
          </w:tcPr>
          <w:p w:rsidR="003E022D" w:rsidRDefault="007D19D6">
            <w:pPr>
              <w:rPr>
                <w:bCs/>
                <w:noProof/>
              </w:rPr>
            </w:pPr>
            <w:r>
              <w:rPr>
                <w:noProof/>
              </w:rPr>
              <w:t xml:space="preserve">Ražošana, kurā: </w:t>
            </w:r>
          </w:p>
          <w:p w:rsidR="003E022D" w:rsidRDefault="007D19D6">
            <w:pPr>
              <w:rPr>
                <w:bCs/>
                <w:noProof/>
              </w:rPr>
            </w:pPr>
            <w:r>
              <w:rPr>
                <w:noProof/>
              </w:rPr>
              <w:t xml:space="preserve">- visi izmantotie 4. nodaļā klasificētie materiāli ir pilnībā iegūti un </w:t>
            </w:r>
          </w:p>
          <w:p w:rsidR="003E022D" w:rsidRDefault="007D19D6">
            <w:pPr>
              <w:rPr>
                <w:bCs/>
                <w:noProof/>
              </w:rPr>
            </w:pPr>
            <w:r>
              <w:rPr>
                <w:noProof/>
              </w:rPr>
              <w:t>- pozīcijā 17.01 un 17.0</w:t>
            </w:r>
            <w:r>
              <w:rPr>
                <w:noProof/>
              </w:rPr>
              <w:t>2 klasificēto nenoteiktas izcelsmes materiālu kopējais svars nepārsniedz 20 % no ražojuma svara.</w:t>
            </w:r>
          </w:p>
        </w:tc>
      </w:tr>
      <w:tr w:rsidR="003E022D">
        <w:tc>
          <w:tcPr>
            <w:tcW w:w="1985" w:type="dxa"/>
          </w:tcPr>
          <w:p w:rsidR="003E022D" w:rsidRDefault="007D19D6">
            <w:pPr>
              <w:rPr>
                <w:b/>
                <w:noProof/>
              </w:rPr>
            </w:pPr>
            <w:r>
              <w:rPr>
                <w:b/>
                <w:noProof/>
              </w:rPr>
              <w:t>5. nodaļa</w:t>
            </w:r>
          </w:p>
        </w:tc>
        <w:tc>
          <w:tcPr>
            <w:tcW w:w="7514" w:type="dxa"/>
          </w:tcPr>
          <w:p w:rsidR="003E022D" w:rsidRDefault="007D19D6">
            <w:pPr>
              <w:rPr>
                <w:b/>
                <w:noProof/>
              </w:rPr>
            </w:pPr>
            <w:r>
              <w:rPr>
                <w:b/>
                <w:noProof/>
              </w:rPr>
              <w:t>Dzīvnieku izcelsmes produkti, kas citur nav minēti un iekļauti</w:t>
            </w:r>
          </w:p>
        </w:tc>
      </w:tr>
      <w:tr w:rsidR="003E022D">
        <w:tc>
          <w:tcPr>
            <w:tcW w:w="1985" w:type="dxa"/>
          </w:tcPr>
          <w:p w:rsidR="003E022D" w:rsidRDefault="007D19D6">
            <w:pPr>
              <w:rPr>
                <w:bCs/>
                <w:noProof/>
              </w:rPr>
            </w:pPr>
            <w:r>
              <w:rPr>
                <w:noProof/>
              </w:rPr>
              <w:t>05.01-05.11</w:t>
            </w:r>
          </w:p>
        </w:tc>
        <w:tc>
          <w:tcPr>
            <w:tcW w:w="7514" w:type="dxa"/>
          </w:tcPr>
          <w:p w:rsidR="003E022D" w:rsidRDefault="007D19D6">
            <w:pPr>
              <w:rPr>
                <w:bCs/>
                <w:noProof/>
              </w:rPr>
            </w:pPr>
            <w:r>
              <w:rPr>
                <w:noProof/>
              </w:rPr>
              <w:t>Ražošana no jebkuras pozīcijas nenoteiktas izcelsmes materiāliem.</w:t>
            </w:r>
          </w:p>
        </w:tc>
      </w:tr>
      <w:tr w:rsidR="003E022D">
        <w:tc>
          <w:tcPr>
            <w:tcW w:w="1985" w:type="dxa"/>
          </w:tcPr>
          <w:p w:rsidR="003E022D" w:rsidRDefault="007D19D6">
            <w:pPr>
              <w:rPr>
                <w:b/>
                <w:noProof/>
              </w:rPr>
            </w:pPr>
            <w:r>
              <w:rPr>
                <w:b/>
                <w:noProof/>
              </w:rPr>
              <w:t xml:space="preserve">II </w:t>
            </w:r>
            <w:r>
              <w:rPr>
                <w:b/>
                <w:noProof/>
              </w:rPr>
              <w:t>SADAĻA</w:t>
            </w:r>
          </w:p>
        </w:tc>
        <w:tc>
          <w:tcPr>
            <w:tcW w:w="7514" w:type="dxa"/>
          </w:tcPr>
          <w:p w:rsidR="003E022D" w:rsidRDefault="007D19D6">
            <w:pPr>
              <w:rPr>
                <w:b/>
                <w:noProof/>
              </w:rPr>
            </w:pPr>
            <w:r>
              <w:rPr>
                <w:b/>
                <w:noProof/>
              </w:rPr>
              <w:t>AUGU VALSTS PRODUKTI</w:t>
            </w:r>
          </w:p>
        </w:tc>
      </w:tr>
      <w:tr w:rsidR="003E022D">
        <w:tc>
          <w:tcPr>
            <w:tcW w:w="1985" w:type="dxa"/>
          </w:tcPr>
          <w:p w:rsidR="003E022D" w:rsidRDefault="007D19D6">
            <w:pPr>
              <w:rPr>
                <w:b/>
                <w:noProof/>
              </w:rPr>
            </w:pPr>
            <w:r>
              <w:rPr>
                <w:b/>
                <w:noProof/>
              </w:rPr>
              <w:t>6. nodaļa</w:t>
            </w:r>
          </w:p>
        </w:tc>
        <w:tc>
          <w:tcPr>
            <w:tcW w:w="7514" w:type="dxa"/>
          </w:tcPr>
          <w:p w:rsidR="003E022D" w:rsidRDefault="007D19D6">
            <w:pPr>
              <w:rPr>
                <w:b/>
                <w:noProof/>
              </w:rPr>
            </w:pPr>
            <w:r>
              <w:rPr>
                <w:b/>
                <w:noProof/>
              </w:rPr>
              <w:t>Veģetējoši koki un citi augi; sīpoli, saknes un tamlīdzīgas augu daļas; griezti ziedi un dekoratīvi zaļumi</w:t>
            </w:r>
          </w:p>
        </w:tc>
      </w:tr>
      <w:tr w:rsidR="003E022D">
        <w:tc>
          <w:tcPr>
            <w:tcW w:w="1985" w:type="dxa"/>
          </w:tcPr>
          <w:p w:rsidR="003E022D" w:rsidRDefault="007D19D6">
            <w:pPr>
              <w:rPr>
                <w:bCs/>
                <w:noProof/>
              </w:rPr>
            </w:pPr>
            <w:r>
              <w:rPr>
                <w:noProof/>
              </w:rPr>
              <w:t>06.01-06.04</w:t>
            </w:r>
          </w:p>
        </w:tc>
        <w:tc>
          <w:tcPr>
            <w:tcW w:w="7514" w:type="dxa"/>
          </w:tcPr>
          <w:p w:rsidR="003E022D" w:rsidRDefault="007D19D6">
            <w:pPr>
              <w:rPr>
                <w:bCs/>
                <w:noProof/>
              </w:rPr>
            </w:pPr>
            <w:r>
              <w:rPr>
                <w:noProof/>
              </w:rPr>
              <w:t>Ražošana, kurā visi izmantotie 6. nodaļā klasificētie materiāli ir pilnībā iegūti.</w:t>
            </w:r>
          </w:p>
        </w:tc>
      </w:tr>
      <w:tr w:rsidR="003E022D">
        <w:tc>
          <w:tcPr>
            <w:tcW w:w="1985" w:type="dxa"/>
          </w:tcPr>
          <w:p w:rsidR="003E022D" w:rsidRDefault="007D19D6">
            <w:pPr>
              <w:rPr>
                <w:b/>
                <w:noProof/>
              </w:rPr>
            </w:pPr>
            <w:r>
              <w:rPr>
                <w:b/>
                <w:noProof/>
              </w:rPr>
              <w:t>7. nodaļa</w:t>
            </w:r>
          </w:p>
        </w:tc>
        <w:tc>
          <w:tcPr>
            <w:tcW w:w="7514" w:type="dxa"/>
          </w:tcPr>
          <w:p w:rsidR="003E022D" w:rsidRDefault="007D19D6">
            <w:pPr>
              <w:rPr>
                <w:b/>
                <w:noProof/>
              </w:rPr>
            </w:pPr>
            <w:r>
              <w:rPr>
                <w:b/>
                <w:noProof/>
              </w:rPr>
              <w:t>Ēda</w:t>
            </w:r>
            <w:r>
              <w:rPr>
                <w:b/>
                <w:noProof/>
              </w:rPr>
              <w:t>mi dārzeņi un atsevišķas saknes un bumbuļi</w:t>
            </w:r>
          </w:p>
        </w:tc>
      </w:tr>
      <w:tr w:rsidR="003E022D">
        <w:tc>
          <w:tcPr>
            <w:tcW w:w="1985" w:type="dxa"/>
          </w:tcPr>
          <w:p w:rsidR="003E022D" w:rsidRDefault="007D19D6">
            <w:pPr>
              <w:rPr>
                <w:bCs/>
                <w:noProof/>
              </w:rPr>
            </w:pPr>
            <w:r>
              <w:rPr>
                <w:noProof/>
              </w:rPr>
              <w:t>07.01-07.14</w:t>
            </w:r>
          </w:p>
        </w:tc>
        <w:tc>
          <w:tcPr>
            <w:tcW w:w="7514" w:type="dxa"/>
          </w:tcPr>
          <w:p w:rsidR="003E022D" w:rsidRDefault="007D19D6">
            <w:pPr>
              <w:rPr>
                <w:bCs/>
                <w:noProof/>
              </w:rPr>
            </w:pPr>
            <w:r>
              <w:rPr>
                <w:noProof/>
              </w:rPr>
              <w:t>Ražošana, kurā visi izmantotie 7. nodaļā klasificētie materiāli ir pilnībā iegūti.</w:t>
            </w:r>
          </w:p>
        </w:tc>
      </w:tr>
      <w:tr w:rsidR="003E022D">
        <w:tc>
          <w:tcPr>
            <w:tcW w:w="1985" w:type="dxa"/>
          </w:tcPr>
          <w:p w:rsidR="003E022D" w:rsidRDefault="007D19D6">
            <w:pPr>
              <w:rPr>
                <w:b/>
                <w:noProof/>
              </w:rPr>
            </w:pPr>
            <w:r>
              <w:rPr>
                <w:b/>
                <w:noProof/>
              </w:rPr>
              <w:t>8. nodaļa</w:t>
            </w:r>
          </w:p>
        </w:tc>
        <w:tc>
          <w:tcPr>
            <w:tcW w:w="7514" w:type="dxa"/>
          </w:tcPr>
          <w:p w:rsidR="003E022D" w:rsidRDefault="007D19D6">
            <w:pPr>
              <w:rPr>
                <w:b/>
                <w:noProof/>
              </w:rPr>
            </w:pPr>
            <w:r>
              <w:rPr>
                <w:b/>
                <w:noProof/>
              </w:rPr>
              <w:t>Ēdami augļi un rieksti; citrusaugļu un meloņu mizas</w:t>
            </w:r>
          </w:p>
        </w:tc>
      </w:tr>
      <w:tr w:rsidR="003E022D">
        <w:tc>
          <w:tcPr>
            <w:tcW w:w="1985" w:type="dxa"/>
          </w:tcPr>
          <w:p w:rsidR="003E022D" w:rsidRDefault="007D19D6">
            <w:pPr>
              <w:rPr>
                <w:bCs/>
                <w:noProof/>
              </w:rPr>
            </w:pPr>
            <w:r>
              <w:rPr>
                <w:noProof/>
              </w:rPr>
              <w:t>08.01-08.14</w:t>
            </w:r>
          </w:p>
        </w:tc>
        <w:tc>
          <w:tcPr>
            <w:tcW w:w="7514" w:type="dxa"/>
          </w:tcPr>
          <w:p w:rsidR="003E022D" w:rsidRDefault="007D19D6">
            <w:pPr>
              <w:rPr>
                <w:bCs/>
                <w:noProof/>
              </w:rPr>
            </w:pPr>
            <w:r>
              <w:rPr>
                <w:noProof/>
              </w:rPr>
              <w:t>Ražošana, kurā:</w:t>
            </w:r>
          </w:p>
          <w:p w:rsidR="003E022D" w:rsidRDefault="007D19D6">
            <w:pPr>
              <w:rPr>
                <w:bCs/>
                <w:noProof/>
              </w:rPr>
            </w:pPr>
            <w:r>
              <w:rPr>
                <w:noProof/>
              </w:rPr>
              <w:t xml:space="preserve">- visi izmantotie 8. nodaļā klasificētie materiāli ir pilnībā iegūti un </w:t>
            </w:r>
          </w:p>
          <w:p w:rsidR="003E022D" w:rsidRDefault="007D19D6">
            <w:pPr>
              <w:rPr>
                <w:bCs/>
                <w:noProof/>
              </w:rPr>
            </w:pPr>
            <w:r>
              <w:rPr>
                <w:noProof/>
              </w:rPr>
              <w:t>- pozīcijā 17.01 un 17.02 klasificēto nenoteiktas izcelsmes materiālu kopējais svars nepārsniedz 20 % no ražojuma svara.</w:t>
            </w:r>
          </w:p>
        </w:tc>
      </w:tr>
      <w:tr w:rsidR="003E022D">
        <w:tc>
          <w:tcPr>
            <w:tcW w:w="1985" w:type="dxa"/>
          </w:tcPr>
          <w:p w:rsidR="003E022D" w:rsidRDefault="007D19D6">
            <w:pPr>
              <w:rPr>
                <w:b/>
                <w:noProof/>
              </w:rPr>
            </w:pPr>
            <w:r>
              <w:rPr>
                <w:b/>
                <w:noProof/>
              </w:rPr>
              <w:t>9. nodaļa</w:t>
            </w:r>
          </w:p>
        </w:tc>
        <w:tc>
          <w:tcPr>
            <w:tcW w:w="7514" w:type="dxa"/>
          </w:tcPr>
          <w:p w:rsidR="003E022D" w:rsidRDefault="007D19D6">
            <w:pPr>
              <w:rPr>
                <w:b/>
                <w:noProof/>
              </w:rPr>
            </w:pPr>
            <w:r>
              <w:rPr>
                <w:b/>
                <w:noProof/>
              </w:rPr>
              <w:t>Kafija, tēja, mate un garšvielas</w:t>
            </w:r>
          </w:p>
        </w:tc>
      </w:tr>
      <w:tr w:rsidR="003E022D">
        <w:tc>
          <w:tcPr>
            <w:tcW w:w="1985" w:type="dxa"/>
          </w:tcPr>
          <w:p w:rsidR="003E022D" w:rsidRDefault="007D19D6">
            <w:pPr>
              <w:rPr>
                <w:bCs/>
                <w:noProof/>
              </w:rPr>
            </w:pPr>
            <w:r>
              <w:rPr>
                <w:noProof/>
              </w:rPr>
              <w:t>09.01-09.10</w:t>
            </w:r>
          </w:p>
        </w:tc>
        <w:tc>
          <w:tcPr>
            <w:tcW w:w="7514" w:type="dxa"/>
          </w:tcPr>
          <w:p w:rsidR="003E022D" w:rsidRDefault="007D19D6">
            <w:pPr>
              <w:rPr>
                <w:bCs/>
                <w:noProof/>
              </w:rPr>
            </w:pPr>
            <w:r>
              <w:rPr>
                <w:noProof/>
              </w:rPr>
              <w:t>Ražošana no jebkuras pozīcijas nenoteiktas izcelsmes materiāliem.</w:t>
            </w:r>
          </w:p>
        </w:tc>
      </w:tr>
      <w:tr w:rsidR="003E022D">
        <w:tc>
          <w:tcPr>
            <w:tcW w:w="1985" w:type="dxa"/>
          </w:tcPr>
          <w:p w:rsidR="003E022D" w:rsidRDefault="007D19D6">
            <w:pPr>
              <w:rPr>
                <w:b/>
                <w:noProof/>
              </w:rPr>
            </w:pPr>
            <w:r>
              <w:rPr>
                <w:b/>
                <w:noProof/>
              </w:rPr>
              <w:t>10. nodaļa</w:t>
            </w:r>
          </w:p>
        </w:tc>
        <w:tc>
          <w:tcPr>
            <w:tcW w:w="7514" w:type="dxa"/>
          </w:tcPr>
          <w:p w:rsidR="003E022D" w:rsidRDefault="007D19D6">
            <w:pPr>
              <w:rPr>
                <w:b/>
                <w:noProof/>
              </w:rPr>
            </w:pPr>
            <w:r>
              <w:rPr>
                <w:b/>
                <w:noProof/>
              </w:rPr>
              <w:t>Graudaugu produkti</w:t>
            </w:r>
          </w:p>
        </w:tc>
      </w:tr>
      <w:tr w:rsidR="003E022D">
        <w:tc>
          <w:tcPr>
            <w:tcW w:w="1985" w:type="dxa"/>
          </w:tcPr>
          <w:p w:rsidR="003E022D" w:rsidRDefault="007D19D6">
            <w:pPr>
              <w:rPr>
                <w:bCs/>
                <w:noProof/>
              </w:rPr>
            </w:pPr>
            <w:r>
              <w:rPr>
                <w:noProof/>
              </w:rPr>
              <w:t>10.01-10.08</w:t>
            </w:r>
          </w:p>
        </w:tc>
        <w:tc>
          <w:tcPr>
            <w:tcW w:w="7514" w:type="dxa"/>
          </w:tcPr>
          <w:p w:rsidR="003E022D" w:rsidRDefault="007D19D6">
            <w:pPr>
              <w:rPr>
                <w:bCs/>
                <w:noProof/>
              </w:rPr>
            </w:pPr>
            <w:r>
              <w:rPr>
                <w:noProof/>
              </w:rPr>
              <w:t>Ražošana, kurā visi izmantotie 10. nodaļā klasificētie materiāli ir pilnībā iegūti.</w:t>
            </w:r>
          </w:p>
        </w:tc>
      </w:tr>
      <w:tr w:rsidR="003E022D">
        <w:tc>
          <w:tcPr>
            <w:tcW w:w="1985" w:type="dxa"/>
          </w:tcPr>
          <w:p w:rsidR="003E022D" w:rsidRDefault="007D19D6">
            <w:pPr>
              <w:rPr>
                <w:b/>
                <w:noProof/>
              </w:rPr>
            </w:pPr>
            <w:r>
              <w:rPr>
                <w:b/>
                <w:noProof/>
              </w:rPr>
              <w:t>11. nodaļa</w:t>
            </w:r>
          </w:p>
        </w:tc>
        <w:tc>
          <w:tcPr>
            <w:tcW w:w="7514" w:type="dxa"/>
          </w:tcPr>
          <w:p w:rsidR="003E022D" w:rsidRDefault="007D19D6">
            <w:pPr>
              <w:rPr>
                <w:b/>
                <w:noProof/>
              </w:rPr>
            </w:pPr>
            <w:r>
              <w:rPr>
                <w:b/>
                <w:noProof/>
              </w:rPr>
              <w:t>Miltrūpniecības produkti; iesals; cietes; inulīns;</w:t>
            </w:r>
            <w:r>
              <w:rPr>
                <w:b/>
                <w:noProof/>
              </w:rPr>
              <w:t xml:space="preserve"> kviešu lipeklis</w:t>
            </w:r>
          </w:p>
        </w:tc>
      </w:tr>
      <w:tr w:rsidR="003E022D">
        <w:tc>
          <w:tcPr>
            <w:tcW w:w="1985" w:type="dxa"/>
          </w:tcPr>
          <w:p w:rsidR="003E022D" w:rsidRDefault="007D19D6">
            <w:pPr>
              <w:rPr>
                <w:bCs/>
                <w:noProof/>
              </w:rPr>
            </w:pPr>
            <w:r>
              <w:rPr>
                <w:noProof/>
              </w:rPr>
              <w:t>11.01-11.09</w:t>
            </w:r>
          </w:p>
        </w:tc>
        <w:tc>
          <w:tcPr>
            <w:tcW w:w="7514" w:type="dxa"/>
          </w:tcPr>
          <w:p w:rsidR="003E022D" w:rsidRDefault="007D19D6">
            <w:pPr>
              <w:rPr>
                <w:bCs/>
                <w:noProof/>
              </w:rPr>
            </w:pPr>
            <w:r>
              <w:rPr>
                <w:noProof/>
              </w:rPr>
              <w:t>Ražošana, kurā visi izmantotie 10. un 11. nodaļā, pozīcijā 07.01, 07.14, 23.02 un 23.03 un apakšpozīcijā 0710.10 klasificētie materiāli, ir pilnībā iegūti.</w:t>
            </w:r>
          </w:p>
        </w:tc>
      </w:tr>
      <w:tr w:rsidR="003E022D">
        <w:tc>
          <w:tcPr>
            <w:tcW w:w="1985" w:type="dxa"/>
          </w:tcPr>
          <w:p w:rsidR="003E022D" w:rsidRDefault="007D19D6">
            <w:pPr>
              <w:rPr>
                <w:b/>
                <w:noProof/>
              </w:rPr>
            </w:pPr>
            <w:r>
              <w:rPr>
                <w:b/>
                <w:noProof/>
              </w:rPr>
              <w:t>12. nodaļa</w:t>
            </w:r>
          </w:p>
        </w:tc>
        <w:tc>
          <w:tcPr>
            <w:tcW w:w="7514" w:type="dxa"/>
          </w:tcPr>
          <w:p w:rsidR="003E022D" w:rsidRDefault="007D19D6">
            <w:pPr>
              <w:rPr>
                <w:b/>
                <w:noProof/>
              </w:rPr>
            </w:pPr>
            <w:r>
              <w:rPr>
                <w:b/>
                <w:noProof/>
              </w:rPr>
              <w:t xml:space="preserve">Eļļas augu sēklas un eļļas augu augļi; dažādi graudi, </w:t>
            </w:r>
            <w:r>
              <w:rPr>
                <w:b/>
                <w:noProof/>
              </w:rPr>
              <w:t>sēklas un augļi; augi rūpnieciskām vajadzībām un ārstniecības augi; salmi un rupjā barība</w:t>
            </w:r>
          </w:p>
        </w:tc>
      </w:tr>
      <w:tr w:rsidR="003E022D">
        <w:tc>
          <w:tcPr>
            <w:tcW w:w="1985" w:type="dxa"/>
          </w:tcPr>
          <w:p w:rsidR="003E022D" w:rsidRDefault="007D19D6">
            <w:pPr>
              <w:rPr>
                <w:bCs/>
                <w:noProof/>
              </w:rPr>
            </w:pPr>
            <w:r>
              <w:rPr>
                <w:noProof/>
              </w:rPr>
              <w:t>12.01-12.14</w:t>
            </w:r>
          </w:p>
        </w:tc>
        <w:tc>
          <w:tcPr>
            <w:tcW w:w="7514" w:type="dxa"/>
          </w:tcPr>
          <w:p w:rsidR="003E022D" w:rsidRDefault="007D19D6">
            <w:pPr>
              <w:rPr>
                <w:bCs/>
                <w:noProof/>
              </w:rPr>
            </w:pPr>
            <w:r>
              <w:rPr>
                <w:i/>
                <w:noProof/>
              </w:rPr>
              <w:t>CTH</w:t>
            </w:r>
          </w:p>
        </w:tc>
      </w:tr>
      <w:tr w:rsidR="003E022D">
        <w:tc>
          <w:tcPr>
            <w:tcW w:w="1985" w:type="dxa"/>
          </w:tcPr>
          <w:p w:rsidR="003E022D" w:rsidRDefault="007D19D6">
            <w:pPr>
              <w:rPr>
                <w:b/>
                <w:noProof/>
              </w:rPr>
            </w:pPr>
            <w:r>
              <w:rPr>
                <w:b/>
                <w:noProof/>
              </w:rPr>
              <w:t>13. nodaļa</w:t>
            </w:r>
          </w:p>
        </w:tc>
        <w:tc>
          <w:tcPr>
            <w:tcW w:w="7514" w:type="dxa"/>
          </w:tcPr>
          <w:p w:rsidR="003E022D" w:rsidRDefault="007D19D6">
            <w:pPr>
              <w:rPr>
                <w:b/>
                <w:noProof/>
              </w:rPr>
            </w:pPr>
            <w:r>
              <w:rPr>
                <w:b/>
                <w:noProof/>
              </w:rPr>
              <w:t>Šellaka; sveķi un citas augu sulas un ekstrakti</w:t>
            </w:r>
          </w:p>
        </w:tc>
      </w:tr>
      <w:tr w:rsidR="003E022D">
        <w:tc>
          <w:tcPr>
            <w:tcW w:w="1985" w:type="dxa"/>
          </w:tcPr>
          <w:p w:rsidR="003E022D" w:rsidRDefault="007D19D6">
            <w:pPr>
              <w:rPr>
                <w:bCs/>
                <w:noProof/>
              </w:rPr>
            </w:pPr>
            <w:r>
              <w:rPr>
                <w:noProof/>
              </w:rPr>
              <w:t>13.01-13.02</w:t>
            </w:r>
          </w:p>
        </w:tc>
        <w:tc>
          <w:tcPr>
            <w:tcW w:w="7514" w:type="dxa"/>
          </w:tcPr>
          <w:p w:rsidR="003E022D" w:rsidRDefault="007D19D6">
            <w:pPr>
              <w:rPr>
                <w:bCs/>
                <w:noProof/>
              </w:rPr>
            </w:pPr>
            <w:r>
              <w:rPr>
                <w:noProof/>
              </w:rPr>
              <w:t>Ražošana no jebkuras pozīcijas nenoteiktas izcelsmes materiāliem, kurā pozīc</w:t>
            </w:r>
            <w:r>
              <w:rPr>
                <w:noProof/>
              </w:rPr>
              <w:t>ijā 17.01 un 17.02 klasificēto nenoteiktas izcelsmes materiālu kopējais svars nepārsniedz 20 % no ražojuma svara.</w:t>
            </w:r>
          </w:p>
        </w:tc>
      </w:tr>
      <w:tr w:rsidR="003E022D">
        <w:tc>
          <w:tcPr>
            <w:tcW w:w="1985" w:type="dxa"/>
          </w:tcPr>
          <w:p w:rsidR="003E022D" w:rsidRDefault="007D19D6">
            <w:pPr>
              <w:rPr>
                <w:b/>
                <w:noProof/>
              </w:rPr>
            </w:pPr>
            <w:r>
              <w:rPr>
                <w:b/>
                <w:noProof/>
              </w:rPr>
              <w:t>14. nodaļa</w:t>
            </w:r>
          </w:p>
        </w:tc>
        <w:tc>
          <w:tcPr>
            <w:tcW w:w="7514" w:type="dxa"/>
          </w:tcPr>
          <w:p w:rsidR="003E022D" w:rsidRDefault="007D19D6">
            <w:pPr>
              <w:rPr>
                <w:b/>
                <w:noProof/>
              </w:rPr>
            </w:pPr>
            <w:r>
              <w:rPr>
                <w:b/>
                <w:noProof/>
              </w:rPr>
              <w:t>Augu materiāli pīšanai; augu valsts produkti, kas citur nav minēti un iekļauti</w:t>
            </w:r>
          </w:p>
        </w:tc>
      </w:tr>
      <w:tr w:rsidR="003E022D">
        <w:tc>
          <w:tcPr>
            <w:tcW w:w="1985" w:type="dxa"/>
          </w:tcPr>
          <w:p w:rsidR="003E022D" w:rsidRDefault="007D19D6">
            <w:pPr>
              <w:rPr>
                <w:bCs/>
                <w:noProof/>
              </w:rPr>
            </w:pPr>
            <w:r>
              <w:rPr>
                <w:noProof/>
              </w:rPr>
              <w:t>14.01-14.04</w:t>
            </w:r>
          </w:p>
        </w:tc>
        <w:tc>
          <w:tcPr>
            <w:tcW w:w="7514" w:type="dxa"/>
          </w:tcPr>
          <w:p w:rsidR="003E022D" w:rsidRDefault="007D19D6">
            <w:pPr>
              <w:rPr>
                <w:bCs/>
                <w:noProof/>
              </w:rPr>
            </w:pPr>
            <w:r>
              <w:rPr>
                <w:noProof/>
              </w:rPr>
              <w:t xml:space="preserve">Ražošana no jebkuras pozīcijas </w:t>
            </w:r>
            <w:r>
              <w:rPr>
                <w:noProof/>
              </w:rPr>
              <w:t>nenoteiktas izcelsmes materiāliem.</w:t>
            </w:r>
          </w:p>
        </w:tc>
      </w:tr>
      <w:tr w:rsidR="003E022D">
        <w:tc>
          <w:tcPr>
            <w:tcW w:w="1985" w:type="dxa"/>
          </w:tcPr>
          <w:p w:rsidR="003E022D" w:rsidRDefault="007D19D6">
            <w:pPr>
              <w:rPr>
                <w:b/>
                <w:noProof/>
              </w:rPr>
            </w:pPr>
            <w:r>
              <w:rPr>
                <w:b/>
                <w:noProof/>
              </w:rPr>
              <w:t>III SADAĻA</w:t>
            </w:r>
          </w:p>
        </w:tc>
        <w:tc>
          <w:tcPr>
            <w:tcW w:w="7514" w:type="dxa"/>
          </w:tcPr>
          <w:p w:rsidR="003E022D" w:rsidRDefault="007D19D6">
            <w:pPr>
              <w:rPr>
                <w:b/>
                <w:noProof/>
              </w:rPr>
            </w:pPr>
            <w:r>
              <w:rPr>
                <w:b/>
                <w:noProof/>
              </w:rPr>
              <w:t>DZĪVNIEKU UN AUGU TAUKI UN EĻĻAS UN TO ŠĶELŠANĀS PRODUKTI; GATAVI PĀRTIKAS TAUKI; DZĪVNIEKU VAI AUGU VASKI</w:t>
            </w:r>
          </w:p>
        </w:tc>
      </w:tr>
      <w:tr w:rsidR="003E022D">
        <w:tc>
          <w:tcPr>
            <w:tcW w:w="1985" w:type="dxa"/>
          </w:tcPr>
          <w:p w:rsidR="003E022D" w:rsidRDefault="007D19D6">
            <w:pPr>
              <w:rPr>
                <w:b/>
                <w:noProof/>
              </w:rPr>
            </w:pPr>
            <w:r>
              <w:rPr>
                <w:b/>
                <w:noProof/>
              </w:rPr>
              <w:t>15. nodaļa</w:t>
            </w:r>
          </w:p>
        </w:tc>
        <w:tc>
          <w:tcPr>
            <w:tcW w:w="7514" w:type="dxa"/>
          </w:tcPr>
          <w:p w:rsidR="003E022D" w:rsidRDefault="007D19D6">
            <w:pPr>
              <w:rPr>
                <w:b/>
                <w:noProof/>
              </w:rPr>
            </w:pPr>
            <w:r>
              <w:rPr>
                <w:b/>
                <w:noProof/>
              </w:rPr>
              <w:t>Dzīvnieku un augu tauki un eļļas un to šķelšanās produkti; gatavi pārtikas tauki; dzīvniek</w:t>
            </w:r>
            <w:r>
              <w:rPr>
                <w:b/>
                <w:noProof/>
              </w:rPr>
              <w:t>u vai augu vaski</w:t>
            </w:r>
          </w:p>
        </w:tc>
      </w:tr>
      <w:tr w:rsidR="003E022D">
        <w:tc>
          <w:tcPr>
            <w:tcW w:w="1985" w:type="dxa"/>
          </w:tcPr>
          <w:p w:rsidR="003E022D" w:rsidRDefault="007D19D6">
            <w:pPr>
              <w:rPr>
                <w:bCs/>
                <w:noProof/>
              </w:rPr>
            </w:pPr>
            <w:r>
              <w:rPr>
                <w:noProof/>
              </w:rPr>
              <w:t>15.01-15.04</w:t>
            </w:r>
          </w:p>
        </w:tc>
        <w:tc>
          <w:tcPr>
            <w:tcW w:w="7514" w:type="dxa"/>
          </w:tcPr>
          <w:p w:rsidR="003E022D" w:rsidRDefault="007D19D6">
            <w:pPr>
              <w:rPr>
                <w:bCs/>
                <w:noProof/>
              </w:rPr>
            </w:pPr>
            <w:r>
              <w:rPr>
                <w:i/>
                <w:noProof/>
              </w:rPr>
              <w:t>CTH</w:t>
            </w:r>
          </w:p>
        </w:tc>
      </w:tr>
      <w:tr w:rsidR="003E022D">
        <w:tc>
          <w:tcPr>
            <w:tcW w:w="1985" w:type="dxa"/>
          </w:tcPr>
          <w:p w:rsidR="003E022D" w:rsidRDefault="007D19D6">
            <w:pPr>
              <w:rPr>
                <w:bCs/>
                <w:noProof/>
              </w:rPr>
            </w:pPr>
            <w:r>
              <w:rPr>
                <w:noProof/>
              </w:rPr>
              <w:t>15.05-15.06</w:t>
            </w:r>
          </w:p>
        </w:tc>
        <w:tc>
          <w:tcPr>
            <w:tcW w:w="7514" w:type="dxa"/>
          </w:tcPr>
          <w:p w:rsidR="003E022D" w:rsidRDefault="007D19D6">
            <w:pPr>
              <w:rPr>
                <w:bCs/>
                <w:noProof/>
              </w:rPr>
            </w:pPr>
            <w:r>
              <w:rPr>
                <w:noProof/>
              </w:rPr>
              <w:t>Ražošana no jebkuras pozīcijas nenoteiktas izcelsmes materiāliem.</w:t>
            </w:r>
          </w:p>
        </w:tc>
      </w:tr>
      <w:tr w:rsidR="003E022D">
        <w:tc>
          <w:tcPr>
            <w:tcW w:w="1985" w:type="dxa"/>
          </w:tcPr>
          <w:p w:rsidR="003E022D" w:rsidRDefault="007D19D6">
            <w:pPr>
              <w:rPr>
                <w:bCs/>
                <w:noProof/>
              </w:rPr>
            </w:pPr>
            <w:r>
              <w:rPr>
                <w:noProof/>
              </w:rPr>
              <w:t>15.07-15.08</w:t>
            </w:r>
          </w:p>
        </w:tc>
        <w:tc>
          <w:tcPr>
            <w:tcW w:w="7514" w:type="dxa"/>
          </w:tcPr>
          <w:p w:rsidR="003E022D" w:rsidRDefault="007D19D6">
            <w:pPr>
              <w:rPr>
                <w:bCs/>
                <w:noProof/>
              </w:rPr>
            </w:pPr>
            <w:r>
              <w:rPr>
                <w:i/>
                <w:noProof/>
              </w:rPr>
              <w:t>CTSH</w:t>
            </w:r>
          </w:p>
        </w:tc>
      </w:tr>
      <w:tr w:rsidR="003E022D">
        <w:tc>
          <w:tcPr>
            <w:tcW w:w="1985" w:type="dxa"/>
          </w:tcPr>
          <w:p w:rsidR="003E022D" w:rsidRDefault="007D19D6">
            <w:pPr>
              <w:rPr>
                <w:bCs/>
                <w:noProof/>
              </w:rPr>
            </w:pPr>
            <w:r>
              <w:rPr>
                <w:noProof/>
              </w:rPr>
              <w:t>15.09-15.10</w:t>
            </w:r>
          </w:p>
        </w:tc>
        <w:tc>
          <w:tcPr>
            <w:tcW w:w="7514" w:type="dxa"/>
          </w:tcPr>
          <w:p w:rsidR="003E022D" w:rsidRDefault="007D19D6">
            <w:pPr>
              <w:rPr>
                <w:bCs/>
                <w:noProof/>
              </w:rPr>
            </w:pPr>
            <w:r>
              <w:rPr>
                <w:noProof/>
              </w:rPr>
              <w:t>Ražošana, kurā visi izmantotie augu izcelsmes materiāli ir pilnībā iegūti.</w:t>
            </w:r>
          </w:p>
        </w:tc>
      </w:tr>
      <w:tr w:rsidR="003E022D">
        <w:tc>
          <w:tcPr>
            <w:tcW w:w="1985" w:type="dxa"/>
          </w:tcPr>
          <w:p w:rsidR="003E022D" w:rsidRDefault="007D19D6">
            <w:pPr>
              <w:rPr>
                <w:bCs/>
                <w:noProof/>
              </w:rPr>
            </w:pPr>
            <w:r>
              <w:rPr>
                <w:noProof/>
              </w:rPr>
              <w:t>15.11-15.15</w:t>
            </w:r>
          </w:p>
        </w:tc>
        <w:tc>
          <w:tcPr>
            <w:tcW w:w="7514" w:type="dxa"/>
          </w:tcPr>
          <w:p w:rsidR="003E022D" w:rsidRDefault="007D19D6">
            <w:pPr>
              <w:rPr>
                <w:bCs/>
                <w:noProof/>
              </w:rPr>
            </w:pPr>
            <w:r>
              <w:rPr>
                <w:i/>
                <w:noProof/>
              </w:rPr>
              <w:t>CTSH</w:t>
            </w:r>
          </w:p>
        </w:tc>
      </w:tr>
      <w:tr w:rsidR="003E022D">
        <w:tc>
          <w:tcPr>
            <w:tcW w:w="1985" w:type="dxa"/>
          </w:tcPr>
          <w:p w:rsidR="003E022D" w:rsidRDefault="007D19D6">
            <w:pPr>
              <w:rPr>
                <w:bCs/>
                <w:noProof/>
              </w:rPr>
            </w:pPr>
            <w:r>
              <w:rPr>
                <w:noProof/>
              </w:rPr>
              <w:t>15.16-15.17</w:t>
            </w:r>
          </w:p>
        </w:tc>
        <w:tc>
          <w:tcPr>
            <w:tcW w:w="7514" w:type="dxa"/>
          </w:tcPr>
          <w:p w:rsidR="003E022D" w:rsidRDefault="007D19D6">
            <w:pPr>
              <w:rPr>
                <w:bCs/>
                <w:noProof/>
              </w:rPr>
            </w:pPr>
            <w:r>
              <w:rPr>
                <w:i/>
                <w:noProof/>
              </w:rPr>
              <w:t>CTH</w:t>
            </w:r>
          </w:p>
        </w:tc>
      </w:tr>
      <w:tr w:rsidR="003E022D">
        <w:tc>
          <w:tcPr>
            <w:tcW w:w="1985" w:type="dxa"/>
          </w:tcPr>
          <w:p w:rsidR="003E022D" w:rsidRDefault="007D19D6">
            <w:pPr>
              <w:rPr>
                <w:bCs/>
                <w:noProof/>
              </w:rPr>
            </w:pPr>
            <w:r>
              <w:rPr>
                <w:noProof/>
              </w:rPr>
              <w:t>15.18-15.19</w:t>
            </w:r>
          </w:p>
        </w:tc>
        <w:tc>
          <w:tcPr>
            <w:tcW w:w="7514" w:type="dxa"/>
          </w:tcPr>
          <w:p w:rsidR="003E022D" w:rsidRDefault="007D19D6">
            <w:pPr>
              <w:rPr>
                <w:bCs/>
                <w:noProof/>
              </w:rPr>
            </w:pPr>
            <w:r>
              <w:rPr>
                <w:i/>
                <w:noProof/>
              </w:rPr>
              <w:t>CTSH</w:t>
            </w:r>
          </w:p>
        </w:tc>
      </w:tr>
      <w:tr w:rsidR="003E022D">
        <w:tc>
          <w:tcPr>
            <w:tcW w:w="1985" w:type="dxa"/>
          </w:tcPr>
          <w:p w:rsidR="003E022D" w:rsidRDefault="007D19D6">
            <w:pPr>
              <w:rPr>
                <w:bCs/>
                <w:noProof/>
              </w:rPr>
            </w:pPr>
            <w:r>
              <w:rPr>
                <w:noProof/>
              </w:rPr>
              <w:t>15.20</w:t>
            </w:r>
          </w:p>
        </w:tc>
        <w:tc>
          <w:tcPr>
            <w:tcW w:w="7514" w:type="dxa"/>
          </w:tcPr>
          <w:p w:rsidR="003E022D" w:rsidRDefault="007D19D6">
            <w:pPr>
              <w:rPr>
                <w:bCs/>
                <w:noProof/>
              </w:rPr>
            </w:pPr>
            <w:r>
              <w:rPr>
                <w:noProof/>
              </w:rPr>
              <w:t>Ražošana no jebkuras pozīcijas nenoteiktas izcelsmes materiāliem.</w:t>
            </w:r>
          </w:p>
        </w:tc>
      </w:tr>
      <w:tr w:rsidR="003E022D">
        <w:tc>
          <w:tcPr>
            <w:tcW w:w="1985" w:type="dxa"/>
          </w:tcPr>
          <w:p w:rsidR="003E022D" w:rsidRDefault="007D19D6">
            <w:pPr>
              <w:rPr>
                <w:bCs/>
                <w:noProof/>
              </w:rPr>
            </w:pPr>
            <w:r>
              <w:rPr>
                <w:noProof/>
              </w:rPr>
              <w:t>15.21-15.22</w:t>
            </w:r>
          </w:p>
        </w:tc>
        <w:tc>
          <w:tcPr>
            <w:tcW w:w="7514" w:type="dxa"/>
          </w:tcPr>
          <w:p w:rsidR="003E022D" w:rsidRDefault="007D19D6">
            <w:pPr>
              <w:rPr>
                <w:bCs/>
                <w:noProof/>
              </w:rPr>
            </w:pPr>
            <w:r>
              <w:rPr>
                <w:i/>
                <w:noProof/>
              </w:rPr>
              <w:t>CTSH</w:t>
            </w:r>
          </w:p>
        </w:tc>
      </w:tr>
      <w:tr w:rsidR="003E022D">
        <w:tc>
          <w:tcPr>
            <w:tcW w:w="1985" w:type="dxa"/>
          </w:tcPr>
          <w:p w:rsidR="003E022D" w:rsidRDefault="007D19D6">
            <w:pPr>
              <w:rPr>
                <w:b/>
                <w:noProof/>
              </w:rPr>
            </w:pPr>
            <w:r>
              <w:rPr>
                <w:b/>
                <w:noProof/>
              </w:rPr>
              <w:t>IV SADAĻA</w:t>
            </w:r>
          </w:p>
        </w:tc>
        <w:tc>
          <w:tcPr>
            <w:tcW w:w="7514" w:type="dxa"/>
          </w:tcPr>
          <w:p w:rsidR="003E022D" w:rsidRDefault="007D19D6">
            <w:pPr>
              <w:rPr>
                <w:b/>
                <w:noProof/>
              </w:rPr>
            </w:pPr>
            <w:r>
              <w:rPr>
                <w:b/>
                <w:noProof/>
              </w:rPr>
              <w:t>PĀRTIKAS RŪPNIECĪBAS RAŽOJUMI; DZĒRIENI, ALKOHOLISKI ŠĶIDRUMI UN ETIĶIS; TABAKA UN TABAKAS RŪPNIECISKI AIZSTĀJĒJI</w:t>
            </w:r>
          </w:p>
        </w:tc>
      </w:tr>
      <w:tr w:rsidR="003E022D">
        <w:tc>
          <w:tcPr>
            <w:tcW w:w="1985" w:type="dxa"/>
          </w:tcPr>
          <w:p w:rsidR="003E022D" w:rsidRDefault="007D19D6">
            <w:pPr>
              <w:rPr>
                <w:b/>
                <w:noProof/>
              </w:rPr>
            </w:pPr>
            <w:r>
              <w:rPr>
                <w:b/>
                <w:noProof/>
              </w:rPr>
              <w:t>16. nodaļa</w:t>
            </w:r>
          </w:p>
        </w:tc>
        <w:tc>
          <w:tcPr>
            <w:tcW w:w="7514" w:type="dxa"/>
          </w:tcPr>
          <w:p w:rsidR="003E022D" w:rsidRDefault="007D19D6">
            <w:pPr>
              <w:rPr>
                <w:b/>
                <w:noProof/>
              </w:rPr>
            </w:pPr>
            <w:r>
              <w:rPr>
                <w:b/>
                <w:noProof/>
              </w:rPr>
              <w:t>Gaļas, zivj</w:t>
            </w:r>
            <w:r>
              <w:rPr>
                <w:b/>
                <w:noProof/>
              </w:rPr>
              <w:t>u vai vēžveidīgo, mīkstmiešu vai citu ūdens bezmugurkaulnieku izstrādājumi</w:t>
            </w:r>
          </w:p>
        </w:tc>
      </w:tr>
      <w:tr w:rsidR="003E022D">
        <w:tc>
          <w:tcPr>
            <w:tcW w:w="1985" w:type="dxa"/>
          </w:tcPr>
          <w:p w:rsidR="003E022D" w:rsidRDefault="007D19D6">
            <w:pPr>
              <w:rPr>
                <w:bCs/>
                <w:noProof/>
              </w:rPr>
            </w:pPr>
            <w:r>
              <w:rPr>
                <w:noProof/>
              </w:rPr>
              <w:t>1601.00-1604.18</w:t>
            </w:r>
          </w:p>
        </w:tc>
        <w:tc>
          <w:tcPr>
            <w:tcW w:w="7514" w:type="dxa"/>
          </w:tcPr>
          <w:p w:rsidR="003E022D" w:rsidRDefault="007D19D6">
            <w:pPr>
              <w:rPr>
                <w:bCs/>
                <w:noProof/>
              </w:rPr>
            </w:pPr>
            <w:r>
              <w:rPr>
                <w:noProof/>
              </w:rPr>
              <w:t>Ražošana, kurā visi izmantotie 1., 2., 3. un 16. nodaļā klasificētie materiāli ir pilnībā iegūti</w:t>
            </w:r>
            <w:r>
              <w:rPr>
                <w:bCs/>
                <w:noProof/>
                <w:vertAlign w:val="superscript"/>
              </w:rPr>
              <w:footnoteReference w:id="88"/>
            </w:r>
            <w:r>
              <w:rPr>
                <w:noProof/>
              </w:rPr>
              <w:t>.</w:t>
            </w:r>
          </w:p>
        </w:tc>
      </w:tr>
      <w:tr w:rsidR="003E022D">
        <w:tc>
          <w:tcPr>
            <w:tcW w:w="1985" w:type="dxa"/>
          </w:tcPr>
          <w:p w:rsidR="003E022D" w:rsidRDefault="007D19D6">
            <w:pPr>
              <w:rPr>
                <w:bCs/>
                <w:noProof/>
              </w:rPr>
            </w:pPr>
            <w:r>
              <w:rPr>
                <w:noProof/>
              </w:rPr>
              <w:t>1604.19</w:t>
            </w:r>
          </w:p>
        </w:tc>
        <w:tc>
          <w:tcPr>
            <w:tcW w:w="7514" w:type="dxa"/>
          </w:tcPr>
          <w:p w:rsidR="003E022D" w:rsidRDefault="007D19D6">
            <w:pPr>
              <w:rPr>
                <w:bCs/>
                <w:noProof/>
              </w:rPr>
            </w:pPr>
            <w:r>
              <w:rPr>
                <w:i/>
                <w:noProof/>
              </w:rPr>
              <w:t>CC</w:t>
            </w:r>
          </w:p>
        </w:tc>
      </w:tr>
      <w:tr w:rsidR="003E022D">
        <w:tc>
          <w:tcPr>
            <w:tcW w:w="1985" w:type="dxa"/>
          </w:tcPr>
          <w:p w:rsidR="003E022D" w:rsidRDefault="007D19D6">
            <w:pPr>
              <w:rPr>
                <w:bCs/>
                <w:noProof/>
              </w:rPr>
            </w:pPr>
            <w:r>
              <w:rPr>
                <w:noProof/>
              </w:rPr>
              <w:t>1604.20</w:t>
            </w: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xml:space="preserve">- izstrādājumi no surimi: </w:t>
            </w:r>
          </w:p>
        </w:tc>
        <w:tc>
          <w:tcPr>
            <w:tcW w:w="7514" w:type="dxa"/>
          </w:tcPr>
          <w:p w:rsidR="003E022D" w:rsidRDefault="007D19D6">
            <w:pPr>
              <w:rPr>
                <w:bCs/>
                <w:noProof/>
              </w:rPr>
            </w:pPr>
            <w:r>
              <w:rPr>
                <w:i/>
                <w:noProof/>
              </w:rPr>
              <w:t>CC</w:t>
            </w: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noProof/>
              </w:rPr>
              <w:t>Ražošana, kurā visi izmantotie 3. un 16. nodaļā klasificētie materiāli ir pilnībā iegūti</w:t>
            </w:r>
            <w:r>
              <w:rPr>
                <w:bCs/>
                <w:noProof/>
                <w:vertAlign w:val="superscript"/>
              </w:rPr>
              <w:footnoteReference w:id="89"/>
            </w:r>
            <w:r>
              <w:rPr>
                <w:noProof/>
              </w:rPr>
              <w:t>.</w:t>
            </w:r>
          </w:p>
        </w:tc>
      </w:tr>
      <w:tr w:rsidR="003E022D">
        <w:tc>
          <w:tcPr>
            <w:tcW w:w="1985" w:type="dxa"/>
          </w:tcPr>
          <w:p w:rsidR="003E022D" w:rsidRDefault="007D19D6">
            <w:pPr>
              <w:rPr>
                <w:bCs/>
                <w:noProof/>
              </w:rPr>
            </w:pPr>
            <w:r>
              <w:rPr>
                <w:noProof/>
              </w:rPr>
              <w:t>1604.31-1605.69</w:t>
            </w:r>
          </w:p>
        </w:tc>
        <w:tc>
          <w:tcPr>
            <w:tcW w:w="7514" w:type="dxa"/>
          </w:tcPr>
          <w:p w:rsidR="003E022D" w:rsidRDefault="007D19D6">
            <w:pPr>
              <w:rPr>
                <w:bCs/>
                <w:noProof/>
              </w:rPr>
            </w:pPr>
            <w:r>
              <w:rPr>
                <w:noProof/>
              </w:rPr>
              <w:t>Ražošana, kurā visi izmantotie 3. un 16. nodaļā klasificētie materiāli ir pilnībā iegūti.</w:t>
            </w:r>
          </w:p>
        </w:tc>
      </w:tr>
      <w:tr w:rsidR="003E022D">
        <w:tc>
          <w:tcPr>
            <w:tcW w:w="1985" w:type="dxa"/>
          </w:tcPr>
          <w:p w:rsidR="003E022D" w:rsidRDefault="007D19D6">
            <w:pPr>
              <w:rPr>
                <w:b/>
                <w:noProof/>
              </w:rPr>
            </w:pPr>
            <w:r>
              <w:rPr>
                <w:b/>
                <w:noProof/>
              </w:rPr>
              <w:t>17. nodaļa</w:t>
            </w:r>
          </w:p>
        </w:tc>
        <w:tc>
          <w:tcPr>
            <w:tcW w:w="7514" w:type="dxa"/>
          </w:tcPr>
          <w:p w:rsidR="003E022D" w:rsidRDefault="007D19D6">
            <w:pPr>
              <w:rPr>
                <w:b/>
                <w:noProof/>
              </w:rPr>
            </w:pPr>
            <w:r>
              <w:rPr>
                <w:b/>
                <w:noProof/>
              </w:rPr>
              <w:t>Cukurs un cukura konditorejas izstrādājumi</w:t>
            </w:r>
          </w:p>
        </w:tc>
      </w:tr>
      <w:tr w:rsidR="003E022D">
        <w:tc>
          <w:tcPr>
            <w:tcW w:w="1985" w:type="dxa"/>
          </w:tcPr>
          <w:p w:rsidR="003E022D" w:rsidRDefault="007D19D6">
            <w:pPr>
              <w:rPr>
                <w:bCs/>
                <w:noProof/>
              </w:rPr>
            </w:pPr>
            <w:r>
              <w:rPr>
                <w:noProof/>
              </w:rPr>
              <w:t>17.01</w:t>
            </w:r>
          </w:p>
        </w:tc>
        <w:tc>
          <w:tcPr>
            <w:tcW w:w="7514" w:type="dxa"/>
          </w:tcPr>
          <w:p w:rsidR="003E022D" w:rsidRDefault="007D19D6">
            <w:pPr>
              <w:rPr>
                <w:bCs/>
                <w:noProof/>
              </w:rPr>
            </w:pPr>
            <w:r>
              <w:rPr>
                <w:i/>
                <w:noProof/>
              </w:rPr>
              <w:t>CTH</w:t>
            </w:r>
          </w:p>
        </w:tc>
      </w:tr>
      <w:tr w:rsidR="003E022D">
        <w:tc>
          <w:tcPr>
            <w:tcW w:w="1985" w:type="dxa"/>
          </w:tcPr>
          <w:p w:rsidR="003E022D" w:rsidRDefault="007D19D6">
            <w:pPr>
              <w:rPr>
                <w:bCs/>
                <w:noProof/>
              </w:rPr>
            </w:pPr>
            <w:r>
              <w:rPr>
                <w:noProof/>
              </w:rPr>
              <w:t>17.02</w:t>
            </w:r>
          </w:p>
        </w:tc>
        <w:tc>
          <w:tcPr>
            <w:tcW w:w="7514" w:type="dxa"/>
          </w:tcPr>
          <w:p w:rsidR="003E022D" w:rsidRDefault="007D19D6">
            <w:pPr>
              <w:rPr>
                <w:bCs/>
                <w:noProof/>
              </w:rPr>
            </w:pPr>
            <w:r>
              <w:rPr>
                <w:noProof/>
              </w:rPr>
              <w:t>CTH, ja izmantoto pozīcijā 11.01–11.08, 17.01 un 17.03 klasificēto nenoteiktas izcelsmes materiālu kopējais svars nepārsniedz 20 % no ražojuma svara.</w:t>
            </w:r>
          </w:p>
        </w:tc>
      </w:tr>
      <w:tr w:rsidR="003E022D">
        <w:tc>
          <w:tcPr>
            <w:tcW w:w="1985" w:type="dxa"/>
          </w:tcPr>
          <w:p w:rsidR="003E022D" w:rsidRDefault="007D19D6">
            <w:pPr>
              <w:rPr>
                <w:bCs/>
                <w:noProof/>
              </w:rPr>
            </w:pPr>
            <w:r>
              <w:rPr>
                <w:noProof/>
              </w:rPr>
              <w:t>17.03</w:t>
            </w:r>
          </w:p>
        </w:tc>
        <w:tc>
          <w:tcPr>
            <w:tcW w:w="7514" w:type="dxa"/>
          </w:tcPr>
          <w:p w:rsidR="003E022D" w:rsidRDefault="007D19D6">
            <w:pPr>
              <w:rPr>
                <w:bCs/>
                <w:noProof/>
              </w:rPr>
            </w:pPr>
            <w:r>
              <w:rPr>
                <w:i/>
                <w:noProof/>
              </w:rPr>
              <w:t>CTH</w:t>
            </w:r>
          </w:p>
        </w:tc>
      </w:tr>
      <w:tr w:rsidR="003E022D">
        <w:tc>
          <w:tcPr>
            <w:tcW w:w="1985" w:type="dxa"/>
          </w:tcPr>
          <w:p w:rsidR="003E022D" w:rsidRDefault="007D19D6">
            <w:pPr>
              <w:rPr>
                <w:bCs/>
                <w:noProof/>
              </w:rPr>
            </w:pPr>
            <w:r>
              <w:rPr>
                <w:noProof/>
              </w:rPr>
              <w:t>17.04</w:t>
            </w: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baltā šokolāde:</w:t>
            </w:r>
          </w:p>
        </w:tc>
        <w:tc>
          <w:tcPr>
            <w:tcW w:w="7514" w:type="dxa"/>
          </w:tcPr>
          <w:p w:rsidR="003E022D" w:rsidRDefault="007D19D6">
            <w:pPr>
              <w:rPr>
                <w:bCs/>
                <w:noProof/>
              </w:rPr>
            </w:pPr>
            <w:r>
              <w:rPr>
                <w:i/>
                <w:noProof/>
              </w:rPr>
              <w:t>CTH</w:t>
            </w:r>
            <w:r>
              <w:rPr>
                <w:noProof/>
              </w:rPr>
              <w:t>, ja:</w:t>
            </w:r>
          </w:p>
          <w:p w:rsidR="003E022D" w:rsidRDefault="007D19D6">
            <w:pPr>
              <w:rPr>
                <w:bCs/>
                <w:noProof/>
              </w:rPr>
            </w:pPr>
            <w:r>
              <w:rPr>
                <w:noProof/>
              </w:rPr>
              <w:t xml:space="preserve">a) visi izmantotie 4. nodaļā klasificētie </w:t>
            </w:r>
            <w:r>
              <w:rPr>
                <w:noProof/>
              </w:rPr>
              <w:t>materiāli ir pilnībā iegūti; un</w:t>
            </w:r>
          </w:p>
          <w:p w:rsidR="003E022D" w:rsidRDefault="007D19D6">
            <w:pPr>
              <w:rPr>
                <w:bCs/>
                <w:noProof/>
              </w:rPr>
            </w:pPr>
            <w:r>
              <w:rPr>
                <w:noProof/>
              </w:rPr>
              <w:t>b) i) izmantoto pozīcijā 17.01 un 17.02 klasificēto nenoteiktas izcelsmes materiālu kopējais svars nepārsniedz 40 % no ražojuma svara vai</w:t>
            </w:r>
          </w:p>
          <w:p w:rsidR="003E022D" w:rsidRDefault="007D19D6">
            <w:pPr>
              <w:rPr>
                <w:bCs/>
                <w:noProof/>
              </w:rPr>
            </w:pPr>
            <w:r>
              <w:rPr>
                <w:noProof/>
              </w:rPr>
              <w:t>ii) izmantoto pozīcijā 17.01 un 17.02 klasificēto nenoteiktas izcelsmes materiālu kopē</w:t>
            </w:r>
            <w:r>
              <w:rPr>
                <w:noProof/>
              </w:rPr>
              <w:t xml:space="preserve">jā vērtība nepārsniedz 30 % no ražojuma ražotāja cenas. </w:t>
            </w: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i/>
                <w:noProof/>
              </w:rPr>
              <w:t>CTH</w:t>
            </w:r>
            <w:r>
              <w:rPr>
                <w:noProof/>
              </w:rPr>
              <w:t>, ja:</w:t>
            </w:r>
          </w:p>
          <w:p w:rsidR="003E022D" w:rsidRDefault="007D19D6">
            <w:pPr>
              <w:rPr>
                <w:bCs/>
                <w:noProof/>
              </w:rPr>
            </w:pPr>
            <w:r>
              <w:rPr>
                <w:noProof/>
              </w:rPr>
              <w:t>- visi izmantotie 4. nodaļā klasificētie materiāli ir pilnībā iegūti un</w:t>
            </w:r>
          </w:p>
          <w:p w:rsidR="003E022D" w:rsidRDefault="007D19D6">
            <w:pPr>
              <w:rPr>
                <w:bCs/>
                <w:noProof/>
              </w:rPr>
            </w:pPr>
            <w:r>
              <w:rPr>
                <w:noProof/>
              </w:rPr>
              <w:t xml:space="preserve">- izmantoto pozīcijā 17.01 un 17.02 klasificēto nenoteiktas izcelsmes materiālu kopējais svars nepārsniedz </w:t>
            </w:r>
            <w:r>
              <w:rPr>
                <w:noProof/>
              </w:rPr>
              <w:t>40 % no ražojuma svara.</w:t>
            </w:r>
          </w:p>
        </w:tc>
      </w:tr>
      <w:tr w:rsidR="003E022D">
        <w:tc>
          <w:tcPr>
            <w:tcW w:w="1985" w:type="dxa"/>
          </w:tcPr>
          <w:p w:rsidR="003E022D" w:rsidRDefault="007D19D6">
            <w:pPr>
              <w:rPr>
                <w:b/>
                <w:noProof/>
              </w:rPr>
            </w:pPr>
            <w:r>
              <w:rPr>
                <w:b/>
                <w:noProof/>
              </w:rPr>
              <w:t>18. nodaļa</w:t>
            </w:r>
          </w:p>
        </w:tc>
        <w:tc>
          <w:tcPr>
            <w:tcW w:w="7514" w:type="dxa"/>
          </w:tcPr>
          <w:p w:rsidR="003E022D" w:rsidRDefault="007D19D6">
            <w:pPr>
              <w:rPr>
                <w:b/>
                <w:noProof/>
              </w:rPr>
            </w:pPr>
            <w:r>
              <w:rPr>
                <w:b/>
                <w:noProof/>
              </w:rPr>
              <w:t>Kakao un kakao izstrādājumi</w:t>
            </w:r>
          </w:p>
        </w:tc>
      </w:tr>
      <w:tr w:rsidR="003E022D">
        <w:tc>
          <w:tcPr>
            <w:tcW w:w="1985" w:type="dxa"/>
          </w:tcPr>
          <w:p w:rsidR="003E022D" w:rsidRDefault="007D19D6">
            <w:pPr>
              <w:rPr>
                <w:bCs/>
                <w:noProof/>
              </w:rPr>
            </w:pPr>
            <w:r>
              <w:rPr>
                <w:noProof/>
              </w:rPr>
              <w:t>18.01-18.05</w:t>
            </w:r>
          </w:p>
        </w:tc>
        <w:tc>
          <w:tcPr>
            <w:tcW w:w="7514" w:type="dxa"/>
          </w:tcPr>
          <w:p w:rsidR="003E022D" w:rsidRDefault="007D19D6">
            <w:pPr>
              <w:rPr>
                <w:bCs/>
                <w:noProof/>
              </w:rPr>
            </w:pPr>
            <w:r>
              <w:rPr>
                <w:i/>
                <w:noProof/>
              </w:rPr>
              <w:t>CTH</w:t>
            </w:r>
          </w:p>
        </w:tc>
      </w:tr>
      <w:tr w:rsidR="003E022D">
        <w:tc>
          <w:tcPr>
            <w:tcW w:w="1985" w:type="dxa"/>
          </w:tcPr>
          <w:p w:rsidR="003E022D" w:rsidRDefault="007D19D6">
            <w:pPr>
              <w:rPr>
                <w:bCs/>
                <w:noProof/>
              </w:rPr>
            </w:pPr>
            <w:r>
              <w:rPr>
                <w:noProof/>
              </w:rPr>
              <w:t>1806.10</w:t>
            </w:r>
          </w:p>
        </w:tc>
        <w:tc>
          <w:tcPr>
            <w:tcW w:w="7514" w:type="dxa"/>
          </w:tcPr>
          <w:p w:rsidR="003E022D" w:rsidRDefault="007D19D6">
            <w:pPr>
              <w:rPr>
                <w:bCs/>
                <w:noProof/>
              </w:rPr>
            </w:pPr>
            <w:r>
              <w:rPr>
                <w:i/>
                <w:noProof/>
              </w:rPr>
              <w:t>CTH</w:t>
            </w:r>
            <w:r>
              <w:rPr>
                <w:noProof/>
              </w:rPr>
              <w:t>, ja:</w:t>
            </w:r>
          </w:p>
          <w:p w:rsidR="003E022D" w:rsidRDefault="007D19D6">
            <w:pPr>
              <w:rPr>
                <w:bCs/>
                <w:noProof/>
              </w:rPr>
            </w:pPr>
            <w:r>
              <w:rPr>
                <w:noProof/>
              </w:rPr>
              <w:t>- visi izmantotie 4. nodaļā klasificētie materiāli ir pilnībā iegūti un</w:t>
            </w:r>
          </w:p>
          <w:p w:rsidR="003E022D" w:rsidRDefault="007D19D6">
            <w:pPr>
              <w:rPr>
                <w:bCs/>
                <w:noProof/>
              </w:rPr>
            </w:pPr>
            <w:r>
              <w:rPr>
                <w:noProof/>
              </w:rPr>
              <w:t>- izmantoto pozīcijā 17.01 un 17.02 klasificēto nenoteiktas izcelsmes materiālu kopēj</w:t>
            </w:r>
            <w:r>
              <w:rPr>
                <w:noProof/>
              </w:rPr>
              <w:t>ais svars nepārsniedz 40 % no ražojuma svara.</w:t>
            </w:r>
          </w:p>
        </w:tc>
      </w:tr>
      <w:tr w:rsidR="003E022D">
        <w:tc>
          <w:tcPr>
            <w:tcW w:w="1985" w:type="dxa"/>
          </w:tcPr>
          <w:p w:rsidR="003E022D" w:rsidRDefault="007D19D6">
            <w:pPr>
              <w:rPr>
                <w:bCs/>
                <w:noProof/>
              </w:rPr>
            </w:pPr>
            <w:r>
              <w:rPr>
                <w:noProof/>
              </w:rPr>
              <w:t>1806.20-1806.90</w:t>
            </w:r>
          </w:p>
        </w:tc>
        <w:tc>
          <w:tcPr>
            <w:tcW w:w="7514" w:type="dxa"/>
          </w:tcPr>
          <w:p w:rsidR="003E022D" w:rsidRDefault="007D19D6">
            <w:pPr>
              <w:rPr>
                <w:bCs/>
                <w:noProof/>
              </w:rPr>
            </w:pPr>
            <w:r>
              <w:rPr>
                <w:i/>
                <w:noProof/>
              </w:rPr>
              <w:t>CTH</w:t>
            </w:r>
            <w:r>
              <w:rPr>
                <w:noProof/>
              </w:rPr>
              <w:t>, ja:</w:t>
            </w:r>
          </w:p>
          <w:p w:rsidR="003E022D" w:rsidRDefault="007D19D6">
            <w:pPr>
              <w:rPr>
                <w:bCs/>
                <w:noProof/>
              </w:rPr>
            </w:pPr>
            <w:r>
              <w:rPr>
                <w:noProof/>
              </w:rPr>
              <w:t>a) visi izmantotie 4. nodaļā klasificētie materiāli ir pilnībā iegūti; un</w:t>
            </w:r>
          </w:p>
          <w:p w:rsidR="003E022D" w:rsidRDefault="003E022D">
            <w:pPr>
              <w:rPr>
                <w:bCs/>
                <w:noProof/>
              </w:rPr>
            </w:pPr>
          </w:p>
          <w:p w:rsidR="003E022D" w:rsidRDefault="007D19D6">
            <w:pPr>
              <w:rPr>
                <w:bCs/>
                <w:noProof/>
              </w:rPr>
            </w:pPr>
            <w:r>
              <w:rPr>
                <w:noProof/>
              </w:rPr>
              <w:t xml:space="preserve">b) i) izmantoto pozīcijā 17.01 un 17.02 klasificēto nenoteiktas izcelsmes materiālu kopējais svars </w:t>
            </w:r>
            <w:r>
              <w:rPr>
                <w:noProof/>
              </w:rPr>
              <w:t>nepārsniedz 40 % no ražojuma svara vai</w:t>
            </w:r>
          </w:p>
          <w:p w:rsidR="003E022D" w:rsidRDefault="007D19D6">
            <w:pPr>
              <w:rPr>
                <w:bCs/>
                <w:noProof/>
              </w:rPr>
            </w:pPr>
            <w:r>
              <w:rPr>
                <w:noProof/>
              </w:rPr>
              <w:t>ii) izmantoto pozīcijā 17.01 un 17.02 klasificēto nenoteiktas izcelsmes materiālu kopējā vērtība nepārsniedz 30 % no ražojuma ražotāja cenas.</w:t>
            </w:r>
          </w:p>
        </w:tc>
      </w:tr>
      <w:tr w:rsidR="003E022D">
        <w:tc>
          <w:tcPr>
            <w:tcW w:w="1985" w:type="dxa"/>
          </w:tcPr>
          <w:p w:rsidR="003E022D" w:rsidRDefault="007D19D6">
            <w:pPr>
              <w:rPr>
                <w:b/>
                <w:noProof/>
              </w:rPr>
            </w:pPr>
            <w:r>
              <w:rPr>
                <w:b/>
                <w:noProof/>
              </w:rPr>
              <w:t>19. nodaļa</w:t>
            </w:r>
          </w:p>
        </w:tc>
        <w:tc>
          <w:tcPr>
            <w:tcW w:w="7514" w:type="dxa"/>
          </w:tcPr>
          <w:p w:rsidR="003E022D" w:rsidRDefault="007D19D6">
            <w:pPr>
              <w:rPr>
                <w:b/>
                <w:noProof/>
              </w:rPr>
            </w:pPr>
            <w:r>
              <w:rPr>
                <w:b/>
                <w:noProof/>
              </w:rPr>
              <w:t>Labības, miltu, cietes vai piena izstrādājumi; miltu konditorej</w:t>
            </w:r>
            <w:r>
              <w:rPr>
                <w:b/>
                <w:noProof/>
              </w:rPr>
              <w:t>as izstrādājumi</w:t>
            </w:r>
          </w:p>
        </w:tc>
      </w:tr>
      <w:tr w:rsidR="003E022D">
        <w:tc>
          <w:tcPr>
            <w:tcW w:w="1985" w:type="dxa"/>
          </w:tcPr>
          <w:p w:rsidR="003E022D" w:rsidRDefault="007D19D6">
            <w:pPr>
              <w:rPr>
                <w:bCs/>
                <w:noProof/>
              </w:rPr>
            </w:pPr>
            <w:r>
              <w:rPr>
                <w:noProof/>
              </w:rPr>
              <w:t>19.01-19.05</w:t>
            </w:r>
          </w:p>
        </w:tc>
        <w:tc>
          <w:tcPr>
            <w:tcW w:w="7514" w:type="dxa"/>
          </w:tcPr>
          <w:p w:rsidR="003E022D" w:rsidRDefault="007D19D6">
            <w:pPr>
              <w:rPr>
                <w:bCs/>
                <w:noProof/>
              </w:rPr>
            </w:pPr>
            <w:r>
              <w:rPr>
                <w:i/>
                <w:noProof/>
              </w:rPr>
              <w:t>CTH</w:t>
            </w:r>
            <w:r>
              <w:rPr>
                <w:noProof/>
              </w:rPr>
              <w:t>, ja:</w:t>
            </w:r>
          </w:p>
          <w:p w:rsidR="003E022D" w:rsidRDefault="007D19D6">
            <w:pPr>
              <w:rPr>
                <w:bCs/>
                <w:noProof/>
              </w:rPr>
            </w:pPr>
            <w:r>
              <w:rPr>
                <w:noProof/>
              </w:rPr>
              <w:t>- visi izmantotie 4. nodaļā klasificētie materiāli ir pilnībā iegūti</w:t>
            </w:r>
          </w:p>
          <w:p w:rsidR="003E022D" w:rsidRDefault="007D19D6">
            <w:pPr>
              <w:rPr>
                <w:bCs/>
                <w:noProof/>
              </w:rPr>
            </w:pPr>
            <w:r>
              <w:rPr>
                <w:noProof/>
              </w:rPr>
              <w:t>- izmantoto 2., 3. un 16. nodaļā klasificēto nenoteiktas izcelsmes materiālu kopējais svars nepārsniedz 20 % no ražojuma svara;</w:t>
            </w:r>
          </w:p>
          <w:p w:rsidR="003E022D" w:rsidRDefault="007D19D6">
            <w:pPr>
              <w:rPr>
                <w:bCs/>
                <w:noProof/>
              </w:rPr>
            </w:pPr>
            <w:r>
              <w:rPr>
                <w:noProof/>
              </w:rPr>
              <w:t xml:space="preserve">- izmantoto pozīcijā </w:t>
            </w:r>
            <w:r>
              <w:rPr>
                <w:noProof/>
              </w:rPr>
              <w:t>10.06 un 11.08 klasificēto nenoteiktas izcelsmes materiālu kopējais svars nepārsniedz 20 % no ražojuma svara un</w:t>
            </w:r>
          </w:p>
          <w:p w:rsidR="003E022D" w:rsidRDefault="007D19D6">
            <w:pPr>
              <w:rPr>
                <w:bCs/>
                <w:noProof/>
              </w:rPr>
            </w:pPr>
            <w:r>
              <w:rPr>
                <w:noProof/>
              </w:rPr>
              <w:t>- izmantoto pozīcijā 17.01 un 17.02 klasificēto nenoteiktas izcelsmes materiālu kopējais svars nepārsniedz 40 % no ražojuma svara.</w:t>
            </w:r>
          </w:p>
        </w:tc>
      </w:tr>
      <w:tr w:rsidR="003E022D">
        <w:trPr>
          <w:trHeight w:val="299"/>
        </w:trPr>
        <w:tc>
          <w:tcPr>
            <w:tcW w:w="1985" w:type="dxa"/>
          </w:tcPr>
          <w:p w:rsidR="003E022D" w:rsidRDefault="007D19D6">
            <w:pPr>
              <w:rPr>
                <w:b/>
                <w:noProof/>
              </w:rPr>
            </w:pPr>
            <w:r>
              <w:rPr>
                <w:b/>
                <w:noProof/>
              </w:rPr>
              <w:t>20. nodaļa</w:t>
            </w:r>
          </w:p>
        </w:tc>
        <w:tc>
          <w:tcPr>
            <w:tcW w:w="7514" w:type="dxa"/>
          </w:tcPr>
          <w:p w:rsidR="003E022D" w:rsidRDefault="007D19D6">
            <w:pPr>
              <w:rPr>
                <w:b/>
                <w:noProof/>
              </w:rPr>
            </w:pPr>
            <w:r>
              <w:rPr>
                <w:b/>
                <w:noProof/>
              </w:rPr>
              <w:t>D</w:t>
            </w:r>
            <w:r>
              <w:rPr>
                <w:b/>
                <w:noProof/>
              </w:rPr>
              <w:t>ārzeņu, augļu, riekstu vai citu augu daļu izstrādājumi</w:t>
            </w:r>
          </w:p>
        </w:tc>
      </w:tr>
      <w:tr w:rsidR="003E022D">
        <w:trPr>
          <w:trHeight w:val="130"/>
        </w:trPr>
        <w:tc>
          <w:tcPr>
            <w:tcW w:w="1985" w:type="dxa"/>
          </w:tcPr>
          <w:p w:rsidR="003E022D" w:rsidRDefault="007D19D6">
            <w:pPr>
              <w:rPr>
                <w:bCs/>
                <w:noProof/>
              </w:rPr>
            </w:pPr>
            <w:r>
              <w:rPr>
                <w:noProof/>
              </w:rPr>
              <w:t>20.01</w:t>
            </w:r>
          </w:p>
        </w:tc>
        <w:tc>
          <w:tcPr>
            <w:tcW w:w="7514" w:type="dxa"/>
          </w:tcPr>
          <w:p w:rsidR="003E022D" w:rsidRDefault="007D19D6">
            <w:pPr>
              <w:rPr>
                <w:bCs/>
                <w:noProof/>
              </w:rPr>
            </w:pPr>
            <w:r>
              <w:rPr>
                <w:i/>
                <w:noProof/>
              </w:rPr>
              <w:t>CTH</w:t>
            </w:r>
          </w:p>
        </w:tc>
      </w:tr>
      <w:tr w:rsidR="003E022D">
        <w:trPr>
          <w:trHeight w:val="175"/>
        </w:trPr>
        <w:tc>
          <w:tcPr>
            <w:tcW w:w="1985" w:type="dxa"/>
          </w:tcPr>
          <w:p w:rsidR="003E022D" w:rsidRDefault="007D19D6">
            <w:pPr>
              <w:rPr>
                <w:bCs/>
                <w:noProof/>
              </w:rPr>
            </w:pPr>
            <w:r>
              <w:rPr>
                <w:noProof/>
              </w:rPr>
              <w:t>20.02-20.03</w:t>
            </w:r>
          </w:p>
        </w:tc>
        <w:tc>
          <w:tcPr>
            <w:tcW w:w="7514" w:type="dxa"/>
          </w:tcPr>
          <w:p w:rsidR="003E022D" w:rsidRDefault="007D19D6">
            <w:pPr>
              <w:rPr>
                <w:bCs/>
                <w:noProof/>
              </w:rPr>
            </w:pPr>
            <w:r>
              <w:rPr>
                <w:noProof/>
              </w:rPr>
              <w:t>Ražošana, kurā visi izmantotie 7. nodaļā klasificētie materiāli ir pilnībā iegūti.</w:t>
            </w:r>
          </w:p>
        </w:tc>
      </w:tr>
      <w:tr w:rsidR="003E022D">
        <w:trPr>
          <w:trHeight w:val="420"/>
        </w:trPr>
        <w:tc>
          <w:tcPr>
            <w:tcW w:w="1985" w:type="dxa"/>
          </w:tcPr>
          <w:p w:rsidR="003E022D" w:rsidRDefault="007D19D6">
            <w:pPr>
              <w:rPr>
                <w:bCs/>
                <w:noProof/>
              </w:rPr>
            </w:pPr>
            <w:r>
              <w:rPr>
                <w:noProof/>
              </w:rPr>
              <w:t>20.04-20.09</w:t>
            </w:r>
          </w:p>
        </w:tc>
        <w:tc>
          <w:tcPr>
            <w:tcW w:w="7514" w:type="dxa"/>
          </w:tcPr>
          <w:p w:rsidR="003E022D" w:rsidRDefault="007D19D6">
            <w:pPr>
              <w:rPr>
                <w:bCs/>
                <w:noProof/>
              </w:rPr>
            </w:pPr>
            <w:r>
              <w:rPr>
                <w:noProof/>
              </w:rPr>
              <w:t xml:space="preserve">CTH, ja izmantoto pozīcijā 17.01 un 17.02 klasificēto nenoteiktas izcelsmes </w:t>
            </w:r>
            <w:r>
              <w:rPr>
                <w:noProof/>
              </w:rPr>
              <w:t>materiālu kopējais svars nepārsniedz 40 % no ražojuma svara.</w:t>
            </w:r>
          </w:p>
        </w:tc>
      </w:tr>
      <w:tr w:rsidR="003E022D">
        <w:trPr>
          <w:trHeight w:val="208"/>
        </w:trPr>
        <w:tc>
          <w:tcPr>
            <w:tcW w:w="1985" w:type="dxa"/>
          </w:tcPr>
          <w:p w:rsidR="003E022D" w:rsidRDefault="007D19D6">
            <w:pPr>
              <w:rPr>
                <w:b/>
                <w:noProof/>
              </w:rPr>
            </w:pPr>
            <w:r>
              <w:rPr>
                <w:b/>
                <w:noProof/>
              </w:rPr>
              <w:t>21. nodaļa</w:t>
            </w:r>
          </w:p>
        </w:tc>
        <w:tc>
          <w:tcPr>
            <w:tcW w:w="7514" w:type="dxa"/>
          </w:tcPr>
          <w:p w:rsidR="003E022D" w:rsidRDefault="007D19D6">
            <w:pPr>
              <w:rPr>
                <w:b/>
                <w:noProof/>
              </w:rPr>
            </w:pPr>
            <w:r>
              <w:rPr>
                <w:b/>
                <w:noProof/>
              </w:rPr>
              <w:t>Dažādi pārtikas produkti</w:t>
            </w:r>
          </w:p>
        </w:tc>
      </w:tr>
      <w:tr w:rsidR="003E022D">
        <w:trPr>
          <w:trHeight w:val="239"/>
        </w:trPr>
        <w:tc>
          <w:tcPr>
            <w:tcW w:w="1985" w:type="dxa"/>
          </w:tcPr>
          <w:p w:rsidR="003E022D" w:rsidRDefault="007D19D6">
            <w:pPr>
              <w:rPr>
                <w:bCs/>
                <w:noProof/>
              </w:rPr>
            </w:pPr>
            <w:r>
              <w:rPr>
                <w:noProof/>
              </w:rPr>
              <w:t>21.01-21.02</w:t>
            </w:r>
          </w:p>
        </w:tc>
        <w:tc>
          <w:tcPr>
            <w:tcW w:w="7514" w:type="dxa"/>
          </w:tcPr>
          <w:p w:rsidR="003E022D" w:rsidRDefault="007D19D6">
            <w:pPr>
              <w:rPr>
                <w:bCs/>
                <w:noProof/>
              </w:rPr>
            </w:pPr>
            <w:r>
              <w:rPr>
                <w:i/>
                <w:noProof/>
              </w:rPr>
              <w:t>CTH</w:t>
            </w:r>
            <w:r>
              <w:rPr>
                <w:noProof/>
              </w:rPr>
              <w:t>, ja:</w:t>
            </w:r>
          </w:p>
          <w:p w:rsidR="003E022D" w:rsidRDefault="007D19D6">
            <w:pPr>
              <w:rPr>
                <w:bCs/>
                <w:noProof/>
              </w:rPr>
            </w:pPr>
            <w:r>
              <w:rPr>
                <w:noProof/>
              </w:rPr>
              <w:t xml:space="preserve">- visi izmantotie 4. nodaļā klasificētie materiāli ir pilnībā iegūti un </w:t>
            </w:r>
          </w:p>
          <w:p w:rsidR="003E022D" w:rsidRDefault="007D19D6">
            <w:pPr>
              <w:rPr>
                <w:bCs/>
                <w:noProof/>
              </w:rPr>
            </w:pPr>
            <w:r>
              <w:rPr>
                <w:noProof/>
              </w:rPr>
              <w:t xml:space="preserve">- izmantoto pozīcijā 17.01 un 17.02 klasificēto nenoteiktas </w:t>
            </w:r>
            <w:r>
              <w:rPr>
                <w:noProof/>
              </w:rPr>
              <w:t>izcelsmes materiālu kopējais svars nepārsniedz 20 % no ražojuma svara.</w:t>
            </w:r>
          </w:p>
        </w:tc>
      </w:tr>
      <w:tr w:rsidR="003E022D">
        <w:trPr>
          <w:trHeight w:val="116"/>
        </w:trPr>
        <w:tc>
          <w:tcPr>
            <w:tcW w:w="1985" w:type="dxa"/>
          </w:tcPr>
          <w:p w:rsidR="003E022D" w:rsidRDefault="007D19D6">
            <w:pPr>
              <w:rPr>
                <w:bCs/>
                <w:noProof/>
              </w:rPr>
            </w:pPr>
            <w:r>
              <w:rPr>
                <w:noProof/>
              </w:rPr>
              <w:t>2103.10</w:t>
            </w:r>
          </w:p>
          <w:p w:rsidR="003E022D" w:rsidRDefault="007D19D6">
            <w:pPr>
              <w:rPr>
                <w:bCs/>
                <w:noProof/>
              </w:rPr>
            </w:pPr>
            <w:r>
              <w:rPr>
                <w:noProof/>
              </w:rPr>
              <w:t>2103.20</w:t>
            </w:r>
          </w:p>
          <w:p w:rsidR="003E022D" w:rsidRDefault="007D19D6">
            <w:pPr>
              <w:rPr>
                <w:bCs/>
                <w:noProof/>
              </w:rPr>
            </w:pPr>
            <w:r>
              <w:rPr>
                <w:noProof/>
              </w:rPr>
              <w:t>2103.90</w:t>
            </w:r>
          </w:p>
        </w:tc>
        <w:tc>
          <w:tcPr>
            <w:tcW w:w="7514" w:type="dxa"/>
          </w:tcPr>
          <w:p w:rsidR="003E022D" w:rsidRDefault="007D19D6">
            <w:pPr>
              <w:rPr>
                <w:bCs/>
                <w:noProof/>
              </w:rPr>
            </w:pPr>
            <w:r>
              <w:rPr>
                <w:i/>
                <w:noProof/>
              </w:rPr>
              <w:t>CTH</w:t>
            </w:r>
            <w:r>
              <w:rPr>
                <w:noProof/>
              </w:rPr>
              <w:t xml:space="preserve"> tomēr var izmantot nenoteiktas izcelsmes sinepju pulveri vai gatavas sinepes.</w:t>
            </w:r>
          </w:p>
        </w:tc>
      </w:tr>
      <w:tr w:rsidR="003E022D">
        <w:trPr>
          <w:trHeight w:val="152"/>
        </w:trPr>
        <w:tc>
          <w:tcPr>
            <w:tcW w:w="1985" w:type="dxa"/>
          </w:tcPr>
          <w:p w:rsidR="003E022D" w:rsidRDefault="007D19D6">
            <w:pPr>
              <w:rPr>
                <w:bCs/>
                <w:noProof/>
              </w:rPr>
            </w:pPr>
            <w:r>
              <w:rPr>
                <w:noProof/>
              </w:rPr>
              <w:t>2103.30</w:t>
            </w:r>
          </w:p>
        </w:tc>
        <w:tc>
          <w:tcPr>
            <w:tcW w:w="7514" w:type="dxa"/>
          </w:tcPr>
          <w:p w:rsidR="003E022D" w:rsidRDefault="007D19D6">
            <w:pPr>
              <w:rPr>
                <w:bCs/>
                <w:noProof/>
              </w:rPr>
            </w:pPr>
            <w:r>
              <w:rPr>
                <w:noProof/>
              </w:rPr>
              <w:t>Ražošana no jebkuras pozīcijas nenoteiktas izcelsmes materiāliem.</w:t>
            </w:r>
          </w:p>
        </w:tc>
      </w:tr>
      <w:tr w:rsidR="003E022D">
        <w:trPr>
          <w:trHeight w:val="152"/>
        </w:trPr>
        <w:tc>
          <w:tcPr>
            <w:tcW w:w="1985" w:type="dxa"/>
          </w:tcPr>
          <w:p w:rsidR="003E022D" w:rsidRDefault="007D19D6">
            <w:pPr>
              <w:rPr>
                <w:bCs/>
                <w:noProof/>
              </w:rPr>
            </w:pPr>
            <w:r>
              <w:rPr>
                <w:noProof/>
              </w:rPr>
              <w:t>21.04-21.06</w:t>
            </w:r>
          </w:p>
        </w:tc>
        <w:tc>
          <w:tcPr>
            <w:tcW w:w="7514" w:type="dxa"/>
          </w:tcPr>
          <w:p w:rsidR="003E022D" w:rsidRDefault="007D19D6">
            <w:pPr>
              <w:rPr>
                <w:bCs/>
                <w:noProof/>
              </w:rPr>
            </w:pPr>
            <w:r>
              <w:rPr>
                <w:i/>
                <w:noProof/>
              </w:rPr>
              <w:t>CTH</w:t>
            </w:r>
            <w:r>
              <w:rPr>
                <w:noProof/>
              </w:rPr>
              <w:t>, ja:</w:t>
            </w:r>
          </w:p>
          <w:p w:rsidR="003E022D" w:rsidRDefault="007D19D6">
            <w:pPr>
              <w:rPr>
                <w:bCs/>
                <w:noProof/>
              </w:rPr>
            </w:pPr>
            <w:r>
              <w:rPr>
                <w:noProof/>
              </w:rPr>
              <w:t>- visi izmantotie 4. nodaļā klasificētie materiāli ir pilnībā iegūti un</w:t>
            </w:r>
          </w:p>
          <w:p w:rsidR="003E022D" w:rsidRDefault="007D19D6">
            <w:pPr>
              <w:rPr>
                <w:bCs/>
                <w:noProof/>
              </w:rPr>
            </w:pPr>
            <w:r>
              <w:rPr>
                <w:noProof/>
              </w:rPr>
              <w:t>- izmantoto pozīcijā 17.01 un 17.02 klasificēto nenoteiktas izcelsmes materiālu kopējais svars nepārsniedz 20 % no ražojuma svara.</w:t>
            </w:r>
          </w:p>
        </w:tc>
      </w:tr>
      <w:tr w:rsidR="003E022D">
        <w:trPr>
          <w:trHeight w:val="96"/>
        </w:trPr>
        <w:tc>
          <w:tcPr>
            <w:tcW w:w="1985" w:type="dxa"/>
          </w:tcPr>
          <w:p w:rsidR="003E022D" w:rsidRDefault="007D19D6">
            <w:pPr>
              <w:rPr>
                <w:b/>
                <w:noProof/>
              </w:rPr>
            </w:pPr>
            <w:r>
              <w:rPr>
                <w:b/>
                <w:noProof/>
              </w:rPr>
              <w:t>22. nodaļa</w:t>
            </w:r>
          </w:p>
        </w:tc>
        <w:tc>
          <w:tcPr>
            <w:tcW w:w="7514" w:type="dxa"/>
          </w:tcPr>
          <w:p w:rsidR="003E022D" w:rsidRDefault="007D19D6">
            <w:pPr>
              <w:rPr>
                <w:b/>
                <w:noProof/>
              </w:rPr>
            </w:pPr>
            <w:r>
              <w:rPr>
                <w:b/>
                <w:noProof/>
              </w:rPr>
              <w:t>Dzērieni, alkoholisk</w:t>
            </w:r>
            <w:r>
              <w:rPr>
                <w:b/>
                <w:noProof/>
              </w:rPr>
              <w:t>i šķidrumi un etiķis</w:t>
            </w:r>
          </w:p>
        </w:tc>
      </w:tr>
      <w:tr w:rsidR="003E022D">
        <w:trPr>
          <w:trHeight w:val="96"/>
        </w:trPr>
        <w:tc>
          <w:tcPr>
            <w:tcW w:w="1985" w:type="dxa"/>
          </w:tcPr>
          <w:p w:rsidR="003E022D" w:rsidRDefault="007D19D6">
            <w:pPr>
              <w:rPr>
                <w:bCs/>
                <w:noProof/>
              </w:rPr>
            </w:pPr>
            <w:r>
              <w:rPr>
                <w:noProof/>
              </w:rPr>
              <w:t>22.01-22.06</w:t>
            </w:r>
          </w:p>
        </w:tc>
        <w:tc>
          <w:tcPr>
            <w:tcW w:w="7514" w:type="dxa"/>
          </w:tcPr>
          <w:p w:rsidR="003E022D" w:rsidRDefault="007D19D6">
            <w:pPr>
              <w:rPr>
                <w:bCs/>
                <w:noProof/>
              </w:rPr>
            </w:pPr>
            <w:r>
              <w:rPr>
                <w:i/>
                <w:noProof/>
              </w:rPr>
              <w:t>CTH</w:t>
            </w:r>
            <w:r>
              <w:rPr>
                <w:noProof/>
              </w:rPr>
              <w:t>, izņemot no nenoteiktas izcelsmes materiāliem pozīcijā 22.07 un 22.08, ja:</w:t>
            </w:r>
          </w:p>
          <w:p w:rsidR="003E022D" w:rsidRDefault="007D19D6">
            <w:pPr>
              <w:rPr>
                <w:bCs/>
                <w:noProof/>
              </w:rPr>
            </w:pPr>
            <w:r>
              <w:rPr>
                <w:noProof/>
              </w:rPr>
              <w:t>- visi izmantotie apakšpozīcijā 0806.10, 2009.61, 2009.69 klasificētie materiāli ir pilnībā iegūti;</w:t>
            </w:r>
          </w:p>
          <w:p w:rsidR="003E022D" w:rsidRDefault="007D19D6">
            <w:pPr>
              <w:rPr>
                <w:bCs/>
                <w:noProof/>
              </w:rPr>
            </w:pPr>
            <w:r>
              <w:rPr>
                <w:noProof/>
              </w:rPr>
              <w:t xml:space="preserve">- visi izmantotie 4. nodaļā klasificētie </w:t>
            </w:r>
            <w:r>
              <w:rPr>
                <w:noProof/>
              </w:rPr>
              <w:t>materiāli ir pilnībā iegūti un</w:t>
            </w:r>
          </w:p>
          <w:p w:rsidR="003E022D" w:rsidRDefault="007D19D6">
            <w:pPr>
              <w:rPr>
                <w:bCs/>
                <w:noProof/>
              </w:rPr>
            </w:pPr>
            <w:r>
              <w:rPr>
                <w:noProof/>
              </w:rPr>
              <w:t>- izmantoto pozīcijā 17.01 un 17.02 klasificēto nenoteiktas izcelsmes materiālu kopējais svars nepārsniedz 20 % no ražojuma svara.</w:t>
            </w:r>
          </w:p>
        </w:tc>
      </w:tr>
      <w:tr w:rsidR="003E022D">
        <w:trPr>
          <w:trHeight w:val="96"/>
        </w:trPr>
        <w:tc>
          <w:tcPr>
            <w:tcW w:w="1985" w:type="dxa"/>
          </w:tcPr>
          <w:p w:rsidR="003E022D" w:rsidRDefault="007D19D6">
            <w:pPr>
              <w:rPr>
                <w:bCs/>
                <w:noProof/>
              </w:rPr>
            </w:pPr>
            <w:r>
              <w:rPr>
                <w:noProof/>
              </w:rPr>
              <w:t>22.07</w:t>
            </w:r>
          </w:p>
        </w:tc>
        <w:tc>
          <w:tcPr>
            <w:tcW w:w="7514" w:type="dxa"/>
          </w:tcPr>
          <w:p w:rsidR="003E022D" w:rsidRDefault="007D19D6">
            <w:pPr>
              <w:rPr>
                <w:bCs/>
                <w:noProof/>
              </w:rPr>
            </w:pPr>
            <w:r>
              <w:rPr>
                <w:i/>
                <w:noProof/>
              </w:rPr>
              <w:t>CTH</w:t>
            </w:r>
            <w:r>
              <w:rPr>
                <w:noProof/>
              </w:rPr>
              <w:t>, izņemot no nenoteiktas izcelsmes materiāliem pozīcijā 22.08, ja visi izmantotie 10</w:t>
            </w:r>
            <w:r>
              <w:rPr>
                <w:noProof/>
              </w:rPr>
              <w:t>. nodaļā un apakšpozīcijā 0806.10, 2009.61 un 2009.69 klasificētie materiāli ir pilnībā iegūti.</w:t>
            </w:r>
          </w:p>
        </w:tc>
      </w:tr>
      <w:tr w:rsidR="003E022D">
        <w:trPr>
          <w:trHeight w:val="96"/>
        </w:trPr>
        <w:tc>
          <w:tcPr>
            <w:tcW w:w="1985" w:type="dxa"/>
          </w:tcPr>
          <w:p w:rsidR="003E022D" w:rsidRDefault="007D19D6">
            <w:pPr>
              <w:rPr>
                <w:bCs/>
                <w:noProof/>
              </w:rPr>
            </w:pPr>
            <w:r>
              <w:rPr>
                <w:noProof/>
              </w:rPr>
              <w:t>22.08-22.09</w:t>
            </w:r>
          </w:p>
        </w:tc>
        <w:tc>
          <w:tcPr>
            <w:tcW w:w="7514" w:type="dxa"/>
          </w:tcPr>
          <w:p w:rsidR="003E022D" w:rsidRDefault="007D19D6">
            <w:pPr>
              <w:rPr>
                <w:bCs/>
                <w:noProof/>
              </w:rPr>
            </w:pPr>
            <w:r>
              <w:rPr>
                <w:i/>
                <w:noProof/>
              </w:rPr>
              <w:t>CTH</w:t>
            </w:r>
            <w:r>
              <w:rPr>
                <w:noProof/>
              </w:rPr>
              <w:t>, izņemot no nenoteiktas izcelsmes materiāliem pozīcijā 22.07 un 22.08, ja visi izmantotie apakšpozīcijā 0806.10, 2009.61 un 2009.69 klasificēti</w:t>
            </w:r>
            <w:r>
              <w:rPr>
                <w:noProof/>
              </w:rPr>
              <w:t>e materiāli ir pilnībā iegūti.</w:t>
            </w:r>
          </w:p>
        </w:tc>
      </w:tr>
      <w:tr w:rsidR="003E022D">
        <w:trPr>
          <w:trHeight w:val="96"/>
        </w:trPr>
        <w:tc>
          <w:tcPr>
            <w:tcW w:w="1985" w:type="dxa"/>
          </w:tcPr>
          <w:p w:rsidR="003E022D" w:rsidRDefault="007D19D6">
            <w:pPr>
              <w:rPr>
                <w:b/>
                <w:noProof/>
              </w:rPr>
            </w:pPr>
            <w:r>
              <w:rPr>
                <w:b/>
                <w:noProof/>
              </w:rPr>
              <w:t>23. nodaļa</w:t>
            </w:r>
          </w:p>
        </w:tc>
        <w:tc>
          <w:tcPr>
            <w:tcW w:w="7514" w:type="dxa"/>
          </w:tcPr>
          <w:p w:rsidR="003E022D" w:rsidRDefault="007D19D6">
            <w:pPr>
              <w:rPr>
                <w:b/>
                <w:noProof/>
              </w:rPr>
            </w:pPr>
            <w:r>
              <w:rPr>
                <w:b/>
                <w:noProof/>
              </w:rPr>
              <w:t>Pārtikas rūpniecības atliekas un atkritumi; gatava lopbarība</w:t>
            </w:r>
          </w:p>
        </w:tc>
      </w:tr>
      <w:tr w:rsidR="003E022D">
        <w:trPr>
          <w:trHeight w:val="132"/>
        </w:trPr>
        <w:tc>
          <w:tcPr>
            <w:tcW w:w="1985" w:type="dxa"/>
          </w:tcPr>
          <w:p w:rsidR="003E022D" w:rsidRDefault="007D19D6">
            <w:pPr>
              <w:rPr>
                <w:bCs/>
                <w:noProof/>
              </w:rPr>
            </w:pPr>
            <w:r>
              <w:rPr>
                <w:noProof/>
              </w:rPr>
              <w:t>23.01</w:t>
            </w:r>
          </w:p>
        </w:tc>
        <w:tc>
          <w:tcPr>
            <w:tcW w:w="7514" w:type="dxa"/>
          </w:tcPr>
          <w:p w:rsidR="003E022D" w:rsidRDefault="007D19D6">
            <w:pPr>
              <w:rPr>
                <w:bCs/>
                <w:noProof/>
              </w:rPr>
            </w:pPr>
            <w:r>
              <w:rPr>
                <w:i/>
                <w:noProof/>
              </w:rPr>
              <w:t>CTH</w:t>
            </w:r>
          </w:p>
        </w:tc>
      </w:tr>
      <w:tr w:rsidR="003E022D">
        <w:trPr>
          <w:trHeight w:val="132"/>
        </w:trPr>
        <w:tc>
          <w:tcPr>
            <w:tcW w:w="1985" w:type="dxa"/>
          </w:tcPr>
          <w:p w:rsidR="003E022D" w:rsidRDefault="007D19D6">
            <w:pPr>
              <w:rPr>
                <w:bCs/>
                <w:noProof/>
              </w:rPr>
            </w:pPr>
            <w:r>
              <w:rPr>
                <w:noProof/>
              </w:rPr>
              <w:t>2302.10-2303.10</w:t>
            </w:r>
          </w:p>
        </w:tc>
        <w:tc>
          <w:tcPr>
            <w:tcW w:w="7514" w:type="dxa"/>
          </w:tcPr>
          <w:p w:rsidR="003E022D" w:rsidRDefault="007D19D6">
            <w:pPr>
              <w:rPr>
                <w:bCs/>
                <w:noProof/>
              </w:rPr>
            </w:pPr>
            <w:r>
              <w:rPr>
                <w:i/>
                <w:noProof/>
              </w:rPr>
              <w:t>CTH</w:t>
            </w:r>
            <w:r>
              <w:rPr>
                <w:noProof/>
              </w:rPr>
              <w:t>, ja izmantoto 10. nodaļā klasificēto nenoteiktas izcelsmes materiālu kopējais svars nepārsniedz 20 % no ražojuma svara.</w:t>
            </w:r>
          </w:p>
        </w:tc>
      </w:tr>
      <w:tr w:rsidR="003E022D">
        <w:trPr>
          <w:trHeight w:val="132"/>
        </w:trPr>
        <w:tc>
          <w:tcPr>
            <w:tcW w:w="1985" w:type="dxa"/>
          </w:tcPr>
          <w:p w:rsidR="003E022D" w:rsidRDefault="007D19D6">
            <w:pPr>
              <w:rPr>
                <w:bCs/>
                <w:noProof/>
              </w:rPr>
            </w:pPr>
            <w:r>
              <w:rPr>
                <w:noProof/>
              </w:rPr>
              <w:t>2303.20-2308.00</w:t>
            </w:r>
          </w:p>
        </w:tc>
        <w:tc>
          <w:tcPr>
            <w:tcW w:w="7514" w:type="dxa"/>
          </w:tcPr>
          <w:p w:rsidR="003E022D" w:rsidRDefault="007D19D6">
            <w:pPr>
              <w:rPr>
                <w:bCs/>
                <w:noProof/>
              </w:rPr>
            </w:pPr>
            <w:r>
              <w:rPr>
                <w:i/>
                <w:noProof/>
              </w:rPr>
              <w:t>CTH</w:t>
            </w:r>
          </w:p>
        </w:tc>
      </w:tr>
      <w:tr w:rsidR="003E022D">
        <w:trPr>
          <w:trHeight w:val="132"/>
        </w:trPr>
        <w:tc>
          <w:tcPr>
            <w:tcW w:w="1985" w:type="dxa"/>
          </w:tcPr>
          <w:p w:rsidR="003E022D" w:rsidRDefault="007D19D6">
            <w:pPr>
              <w:rPr>
                <w:bCs/>
                <w:noProof/>
              </w:rPr>
            </w:pPr>
            <w:r>
              <w:rPr>
                <w:noProof/>
              </w:rPr>
              <w:t>23.09</w:t>
            </w:r>
          </w:p>
        </w:tc>
        <w:tc>
          <w:tcPr>
            <w:tcW w:w="7514" w:type="dxa"/>
          </w:tcPr>
          <w:p w:rsidR="003E022D" w:rsidRDefault="007D19D6">
            <w:pPr>
              <w:rPr>
                <w:bCs/>
                <w:noProof/>
              </w:rPr>
            </w:pPr>
            <w:r>
              <w:rPr>
                <w:i/>
                <w:noProof/>
              </w:rPr>
              <w:t>CTH</w:t>
            </w:r>
            <w:r>
              <w:rPr>
                <w:noProof/>
              </w:rPr>
              <w:t>, ja:</w:t>
            </w:r>
          </w:p>
          <w:p w:rsidR="003E022D" w:rsidRDefault="007D19D6">
            <w:pPr>
              <w:rPr>
                <w:bCs/>
                <w:noProof/>
              </w:rPr>
            </w:pPr>
            <w:r>
              <w:rPr>
                <w:noProof/>
              </w:rPr>
              <w:t>- visi izmantotie 2. un 4. nodaļas materiāli ir pilnībā iegūti;</w:t>
            </w:r>
          </w:p>
          <w:p w:rsidR="003E022D" w:rsidRDefault="007D19D6">
            <w:pPr>
              <w:rPr>
                <w:bCs/>
                <w:noProof/>
              </w:rPr>
            </w:pPr>
            <w:r>
              <w:rPr>
                <w:noProof/>
              </w:rPr>
              <w:t>- izmantoto pozīcijā 10</w:t>
            </w:r>
            <w:r>
              <w:rPr>
                <w:noProof/>
                <w:highlight w:val="yellow"/>
              </w:rPr>
              <w:t>.</w:t>
            </w:r>
            <w:r>
              <w:rPr>
                <w:noProof/>
              </w:rPr>
              <w:t>01 –10.04, 10.07–10.08, 11. nodaļā un pozīcijā 23.02. un 23.03 klasificēto nenoteiktas izcelsmes materiālu kopējais svars nepārsnie</w:t>
            </w:r>
            <w:r>
              <w:rPr>
                <w:noProof/>
              </w:rPr>
              <w:t>dz 20 % no ražojuma svara un</w:t>
            </w:r>
          </w:p>
          <w:p w:rsidR="003E022D" w:rsidRDefault="007D19D6">
            <w:pPr>
              <w:rPr>
                <w:bCs/>
                <w:noProof/>
              </w:rPr>
            </w:pPr>
            <w:r>
              <w:rPr>
                <w:noProof/>
              </w:rPr>
              <w:t>- izmantoto pozīcijā 17.01 un 17.02 klasificēto nenoteiktas izcelsmes materiālu kopējais svars nepārsniedz 20 % no ražojuma svara.</w:t>
            </w:r>
          </w:p>
        </w:tc>
      </w:tr>
      <w:tr w:rsidR="003E022D">
        <w:trPr>
          <w:trHeight w:val="420"/>
        </w:trPr>
        <w:tc>
          <w:tcPr>
            <w:tcW w:w="1985" w:type="dxa"/>
          </w:tcPr>
          <w:p w:rsidR="003E022D" w:rsidRDefault="007D19D6">
            <w:pPr>
              <w:rPr>
                <w:b/>
                <w:noProof/>
              </w:rPr>
            </w:pPr>
            <w:r>
              <w:rPr>
                <w:b/>
                <w:noProof/>
              </w:rPr>
              <w:t>24. nodaļa</w:t>
            </w:r>
          </w:p>
        </w:tc>
        <w:tc>
          <w:tcPr>
            <w:tcW w:w="7514" w:type="dxa"/>
          </w:tcPr>
          <w:p w:rsidR="003E022D" w:rsidRDefault="007D19D6">
            <w:pPr>
              <w:rPr>
                <w:b/>
                <w:noProof/>
              </w:rPr>
            </w:pPr>
            <w:r>
              <w:rPr>
                <w:b/>
                <w:noProof/>
              </w:rPr>
              <w:t>Tabaka un tabakas rūpnieciski aizstājēji</w:t>
            </w:r>
          </w:p>
        </w:tc>
      </w:tr>
      <w:tr w:rsidR="003E022D">
        <w:trPr>
          <w:trHeight w:val="216"/>
        </w:trPr>
        <w:tc>
          <w:tcPr>
            <w:tcW w:w="1985" w:type="dxa"/>
          </w:tcPr>
          <w:p w:rsidR="003E022D" w:rsidRDefault="007D19D6">
            <w:pPr>
              <w:rPr>
                <w:bCs/>
                <w:noProof/>
              </w:rPr>
            </w:pPr>
            <w:r>
              <w:rPr>
                <w:noProof/>
              </w:rPr>
              <w:t>24.01</w:t>
            </w:r>
          </w:p>
        </w:tc>
        <w:tc>
          <w:tcPr>
            <w:tcW w:w="7514" w:type="dxa"/>
          </w:tcPr>
          <w:p w:rsidR="003E022D" w:rsidRDefault="007D19D6">
            <w:pPr>
              <w:rPr>
                <w:bCs/>
                <w:noProof/>
              </w:rPr>
            </w:pPr>
            <w:r>
              <w:rPr>
                <w:noProof/>
              </w:rPr>
              <w:t xml:space="preserve">Ražošana, kurā visi 24.01. nodaļā </w:t>
            </w:r>
            <w:r>
              <w:rPr>
                <w:noProof/>
              </w:rPr>
              <w:t>klasificētie materiāli ir pilnībā iegūti.</w:t>
            </w:r>
          </w:p>
        </w:tc>
      </w:tr>
      <w:tr w:rsidR="003E022D">
        <w:trPr>
          <w:trHeight w:val="135"/>
        </w:trPr>
        <w:tc>
          <w:tcPr>
            <w:tcW w:w="1985" w:type="dxa"/>
          </w:tcPr>
          <w:p w:rsidR="003E022D" w:rsidRDefault="007D19D6">
            <w:pPr>
              <w:rPr>
                <w:bCs/>
                <w:noProof/>
              </w:rPr>
            </w:pPr>
            <w:r>
              <w:rPr>
                <w:noProof/>
              </w:rPr>
              <w:t>2402.10</w:t>
            </w:r>
          </w:p>
        </w:tc>
        <w:tc>
          <w:tcPr>
            <w:tcW w:w="7514" w:type="dxa"/>
          </w:tcPr>
          <w:p w:rsidR="003E022D" w:rsidRDefault="007D19D6">
            <w:pPr>
              <w:rPr>
                <w:bCs/>
                <w:noProof/>
              </w:rPr>
            </w:pPr>
            <w:r>
              <w:rPr>
                <w:noProof/>
              </w:rPr>
              <w:t>Ražošana no jebkuras pozīcijas nenoteiktas izcelsmes materiāliem, ja pozīcijā 24.01 klasificēto nenoteiktas izcelsmes materiālu kopējais svars nepārsniedz 30 % no izmantotajiem 24. nodaļas materiāliem.</w:t>
            </w:r>
          </w:p>
        </w:tc>
      </w:tr>
      <w:tr w:rsidR="003E022D">
        <w:trPr>
          <w:trHeight w:val="135"/>
        </w:trPr>
        <w:tc>
          <w:tcPr>
            <w:tcW w:w="1985" w:type="dxa"/>
          </w:tcPr>
          <w:p w:rsidR="003E022D" w:rsidRDefault="007D19D6">
            <w:pPr>
              <w:rPr>
                <w:bCs/>
                <w:noProof/>
              </w:rPr>
            </w:pPr>
            <w:r>
              <w:rPr>
                <w:noProof/>
              </w:rPr>
              <w:t>2402.20</w:t>
            </w:r>
          </w:p>
        </w:tc>
        <w:tc>
          <w:tcPr>
            <w:tcW w:w="7514" w:type="dxa"/>
          </w:tcPr>
          <w:p w:rsidR="003E022D" w:rsidRDefault="007D19D6">
            <w:pPr>
              <w:rPr>
                <w:bCs/>
                <w:noProof/>
              </w:rPr>
            </w:pPr>
            <w:r>
              <w:rPr>
                <w:noProof/>
              </w:rPr>
              <w:t>Ražošana no jebkuras pozīcijas nenoteiktas izcelsmes materiāliem, izņemot paša izstrādājuma pozīciju un apakšpozīcijas 2403.19 smēķējamo tabaku, ja vismaz 10 % pēc svara no visiem izmantotajiem pozīcijas 24.01 materiāliem ir pilnībā iegūti.</w:t>
            </w:r>
          </w:p>
        </w:tc>
      </w:tr>
      <w:tr w:rsidR="003E022D">
        <w:trPr>
          <w:trHeight w:val="417"/>
        </w:trPr>
        <w:tc>
          <w:tcPr>
            <w:tcW w:w="1985" w:type="dxa"/>
          </w:tcPr>
          <w:p w:rsidR="003E022D" w:rsidRDefault="007D19D6">
            <w:pPr>
              <w:rPr>
                <w:bCs/>
                <w:noProof/>
              </w:rPr>
            </w:pPr>
            <w:r>
              <w:rPr>
                <w:noProof/>
              </w:rPr>
              <w:t>2402.9</w:t>
            </w:r>
            <w:r>
              <w:rPr>
                <w:noProof/>
              </w:rPr>
              <w:t>0</w:t>
            </w:r>
          </w:p>
        </w:tc>
        <w:tc>
          <w:tcPr>
            <w:tcW w:w="7514" w:type="dxa"/>
          </w:tcPr>
          <w:p w:rsidR="003E022D" w:rsidRDefault="007D19D6">
            <w:pPr>
              <w:rPr>
                <w:bCs/>
                <w:noProof/>
              </w:rPr>
            </w:pPr>
            <w:r>
              <w:rPr>
                <w:noProof/>
              </w:rPr>
              <w:t>Ražošana no jebkuras pozīcijas nenoteiktas izcelsmes materiāliem, ja pozīcijā 24.01 klasificēto nenoteiktas izcelsmes materiālu kopējais svars nepārsniedz 30 % no izmantotajiem 24. nodaļas materiāliem.</w:t>
            </w:r>
          </w:p>
        </w:tc>
      </w:tr>
      <w:tr w:rsidR="003E022D">
        <w:trPr>
          <w:trHeight w:val="612"/>
        </w:trPr>
        <w:tc>
          <w:tcPr>
            <w:tcW w:w="1985" w:type="dxa"/>
          </w:tcPr>
          <w:p w:rsidR="003E022D" w:rsidRDefault="007D19D6">
            <w:pPr>
              <w:rPr>
                <w:bCs/>
                <w:noProof/>
              </w:rPr>
            </w:pPr>
            <w:r>
              <w:rPr>
                <w:noProof/>
              </w:rPr>
              <w:t>24.03</w:t>
            </w:r>
          </w:p>
        </w:tc>
        <w:tc>
          <w:tcPr>
            <w:tcW w:w="7514" w:type="dxa"/>
          </w:tcPr>
          <w:p w:rsidR="003E022D" w:rsidRDefault="007D19D6">
            <w:pPr>
              <w:rPr>
                <w:bCs/>
                <w:noProof/>
              </w:rPr>
            </w:pPr>
            <w:r>
              <w:rPr>
                <w:i/>
                <w:noProof/>
              </w:rPr>
              <w:t>CTH</w:t>
            </w:r>
            <w:r>
              <w:rPr>
                <w:noProof/>
              </w:rPr>
              <w:t>, kurā vismaz 10 svara % no visiem izmanto</w:t>
            </w:r>
            <w:r>
              <w:rPr>
                <w:noProof/>
              </w:rPr>
              <w:t>tajiem pozīcijas 24.01 materiāliem ir pilnībā iegūti.</w:t>
            </w:r>
          </w:p>
        </w:tc>
      </w:tr>
      <w:tr w:rsidR="003E022D">
        <w:tblPrEx>
          <w:tblLook w:val="04A0" w:firstRow="1" w:lastRow="0" w:firstColumn="1" w:lastColumn="0" w:noHBand="0" w:noVBand="1"/>
        </w:tblPrEx>
        <w:tc>
          <w:tcPr>
            <w:tcW w:w="1985" w:type="dxa"/>
          </w:tcPr>
          <w:p w:rsidR="003E022D" w:rsidRDefault="007D19D6">
            <w:pPr>
              <w:rPr>
                <w:b/>
                <w:noProof/>
              </w:rPr>
            </w:pPr>
            <w:r>
              <w:rPr>
                <w:b/>
                <w:noProof/>
              </w:rPr>
              <w:t>V IEDAĻA</w:t>
            </w:r>
          </w:p>
        </w:tc>
        <w:tc>
          <w:tcPr>
            <w:tcW w:w="7514" w:type="dxa"/>
          </w:tcPr>
          <w:p w:rsidR="003E022D" w:rsidRDefault="007D19D6">
            <w:pPr>
              <w:rPr>
                <w:b/>
                <w:noProof/>
              </w:rPr>
            </w:pPr>
            <w:r>
              <w:rPr>
                <w:b/>
                <w:noProof/>
              </w:rPr>
              <w:t>MINERĀLPRODUKTI</w:t>
            </w:r>
          </w:p>
          <w:p w:rsidR="003E022D" w:rsidRDefault="007D19D6">
            <w:pPr>
              <w:rPr>
                <w:b/>
                <w:noProof/>
              </w:rPr>
            </w:pPr>
            <w:r>
              <w:rPr>
                <w:b/>
                <w:noProof/>
              </w:rPr>
              <w:t>Piezīme par sadaļu: horizontālās pārstrādes noteikumu definīcijas šai sadaļai skatīt ORIG-1. pielikuma 5. piezīmē.</w:t>
            </w:r>
          </w:p>
        </w:tc>
      </w:tr>
      <w:tr w:rsidR="003E022D">
        <w:tblPrEx>
          <w:tblLook w:val="04A0" w:firstRow="1" w:lastRow="0" w:firstColumn="1" w:lastColumn="0" w:noHBand="0" w:noVBand="1"/>
        </w:tblPrEx>
        <w:tc>
          <w:tcPr>
            <w:tcW w:w="1985" w:type="dxa"/>
          </w:tcPr>
          <w:p w:rsidR="003E022D" w:rsidRDefault="007D19D6">
            <w:pPr>
              <w:rPr>
                <w:b/>
                <w:noProof/>
              </w:rPr>
            </w:pPr>
            <w:r>
              <w:rPr>
                <w:b/>
                <w:noProof/>
              </w:rPr>
              <w:t>25. nodaļa</w:t>
            </w:r>
          </w:p>
        </w:tc>
        <w:tc>
          <w:tcPr>
            <w:tcW w:w="7514" w:type="dxa"/>
          </w:tcPr>
          <w:p w:rsidR="003E022D" w:rsidRDefault="007D19D6">
            <w:pPr>
              <w:rPr>
                <w:b/>
                <w:noProof/>
              </w:rPr>
            </w:pPr>
            <w:r>
              <w:rPr>
                <w:b/>
                <w:noProof/>
              </w:rPr>
              <w:t>Sāls; sērs; zemes un akmens; apmešanas materiāli,</w:t>
            </w:r>
            <w:r>
              <w:rPr>
                <w:b/>
                <w:noProof/>
              </w:rPr>
              <w:t xml:space="preserve"> kaļķi un cements</w:t>
            </w:r>
          </w:p>
        </w:tc>
      </w:tr>
      <w:tr w:rsidR="003E022D">
        <w:tblPrEx>
          <w:tblLook w:val="04A0" w:firstRow="1" w:lastRow="0" w:firstColumn="1" w:lastColumn="0" w:noHBand="0" w:noVBand="1"/>
        </w:tblPrEx>
        <w:tc>
          <w:tcPr>
            <w:tcW w:w="1985" w:type="dxa"/>
          </w:tcPr>
          <w:p w:rsidR="003E022D" w:rsidRDefault="007D19D6">
            <w:pPr>
              <w:rPr>
                <w:bCs/>
                <w:noProof/>
              </w:rPr>
            </w:pPr>
            <w:r>
              <w:rPr>
                <w:noProof/>
              </w:rPr>
              <w:t>25.01-25.30</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70 %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26. nodaļa</w:t>
            </w:r>
          </w:p>
        </w:tc>
        <w:tc>
          <w:tcPr>
            <w:tcW w:w="7514" w:type="dxa"/>
          </w:tcPr>
          <w:p w:rsidR="003E022D" w:rsidRDefault="007D19D6">
            <w:pPr>
              <w:rPr>
                <w:b/>
                <w:noProof/>
              </w:rPr>
            </w:pPr>
            <w:r>
              <w:rPr>
                <w:b/>
                <w:noProof/>
              </w:rPr>
              <w:t>Rūdas, sārņi un pelni</w:t>
            </w:r>
          </w:p>
        </w:tc>
      </w:tr>
      <w:tr w:rsidR="003E022D">
        <w:tblPrEx>
          <w:tblLook w:val="04A0" w:firstRow="1" w:lastRow="0" w:firstColumn="1" w:lastColumn="0" w:noHBand="0" w:noVBand="1"/>
        </w:tblPrEx>
        <w:tc>
          <w:tcPr>
            <w:tcW w:w="1985" w:type="dxa"/>
          </w:tcPr>
          <w:p w:rsidR="003E022D" w:rsidRDefault="007D19D6">
            <w:pPr>
              <w:rPr>
                <w:bCs/>
                <w:noProof/>
              </w:rPr>
            </w:pPr>
            <w:r>
              <w:rPr>
                <w:noProof/>
              </w:rPr>
              <w:t>26.01-26.21</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27. nodaļa</w:t>
            </w:r>
          </w:p>
        </w:tc>
        <w:tc>
          <w:tcPr>
            <w:tcW w:w="7514" w:type="dxa"/>
          </w:tcPr>
          <w:p w:rsidR="003E022D" w:rsidRDefault="007D19D6">
            <w:pPr>
              <w:rPr>
                <w:b/>
                <w:noProof/>
              </w:rPr>
            </w:pPr>
            <w:r>
              <w:rPr>
                <w:b/>
                <w:noProof/>
              </w:rPr>
              <w:t>Minerālais kurināmais, minerāleļļas un to pārtvaices produkti; bitumenvielas; minerālvaski</w:t>
            </w:r>
          </w:p>
        </w:tc>
      </w:tr>
      <w:tr w:rsidR="003E022D">
        <w:tblPrEx>
          <w:tblLook w:val="04A0" w:firstRow="1" w:lastRow="0" w:firstColumn="1" w:lastColumn="0" w:noHBand="0" w:noVBand="1"/>
        </w:tblPrEx>
        <w:tc>
          <w:tcPr>
            <w:tcW w:w="1985" w:type="dxa"/>
          </w:tcPr>
          <w:p w:rsidR="003E022D" w:rsidRDefault="007D19D6">
            <w:pPr>
              <w:rPr>
                <w:bCs/>
                <w:noProof/>
              </w:rPr>
            </w:pPr>
            <w:r>
              <w:rPr>
                <w:noProof/>
              </w:rPr>
              <w:t>27.01-27.09</w:t>
            </w:r>
          </w:p>
        </w:tc>
        <w:tc>
          <w:tcPr>
            <w:tcW w:w="7514" w:type="dxa"/>
          </w:tcPr>
          <w:p w:rsidR="003E022D" w:rsidRDefault="007D19D6">
            <w:pPr>
              <w:rPr>
                <w:bCs/>
                <w:noProof/>
              </w:rPr>
            </w:pPr>
            <w:r>
              <w:rPr>
                <w:noProof/>
              </w:rPr>
              <w:t xml:space="preserve">Ražošana no jebkuras pozīcijas </w:t>
            </w:r>
            <w:r>
              <w:rPr>
                <w:noProof/>
              </w:rPr>
              <w:t>nenoteiktas izcelsmes materiāliem.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27.10</w:t>
            </w:r>
          </w:p>
        </w:tc>
        <w:tc>
          <w:tcPr>
            <w:tcW w:w="7514" w:type="dxa"/>
          </w:tcPr>
          <w:p w:rsidR="003E022D" w:rsidRDefault="007D19D6">
            <w:pPr>
              <w:rPr>
                <w:bCs/>
                <w:noProof/>
              </w:rPr>
            </w:pPr>
            <w:r>
              <w:rPr>
                <w:i/>
                <w:noProof/>
              </w:rPr>
              <w:t>CTH</w:t>
            </w:r>
            <w:r>
              <w:rPr>
                <w:noProof/>
              </w:rPr>
              <w:t>, izņemot no nenoteiktas izcelsmes biodīzeļa apakšpozīcijā 3824.99 un 3826.00,</w:t>
            </w:r>
          </w:p>
          <w:p w:rsidR="003E022D" w:rsidRDefault="007D19D6">
            <w:pPr>
              <w:rPr>
                <w:bCs/>
                <w:noProof/>
              </w:rPr>
            </w:pPr>
            <w:r>
              <w:rPr>
                <w:noProof/>
              </w:rPr>
              <w:t>vai</w:t>
            </w:r>
          </w:p>
          <w:p w:rsidR="003E022D" w:rsidRDefault="007D19D6">
            <w:pPr>
              <w:rPr>
                <w:bCs/>
                <w:noProof/>
              </w:rPr>
            </w:pPr>
            <w:r>
              <w:rPr>
                <w:noProof/>
              </w:rPr>
              <w:t>notikusi destilācija vai ķīmiska reakcija, ja pozīcijā 27.10 un apakšpozīcijās 3824.99 un 3826.00 klasificētais biodīzelis (iesk</w:t>
            </w:r>
            <w:r>
              <w:rPr>
                <w:noProof/>
              </w:rPr>
              <w:t>aitot hidrogenētu augu eļļu) ir iegūts ar esterificēšanu, pāresterificēšanu vai hidroattīrīšanu.</w:t>
            </w:r>
          </w:p>
        </w:tc>
      </w:tr>
      <w:tr w:rsidR="003E022D">
        <w:tblPrEx>
          <w:tblLook w:val="04A0" w:firstRow="1" w:lastRow="0" w:firstColumn="1" w:lastColumn="0" w:noHBand="0" w:noVBand="1"/>
        </w:tblPrEx>
        <w:tc>
          <w:tcPr>
            <w:tcW w:w="1985" w:type="dxa"/>
          </w:tcPr>
          <w:p w:rsidR="003E022D" w:rsidRDefault="007D19D6">
            <w:pPr>
              <w:rPr>
                <w:bCs/>
                <w:noProof/>
              </w:rPr>
            </w:pPr>
            <w:r>
              <w:rPr>
                <w:noProof/>
              </w:rPr>
              <w:t>27.11-27.15</w:t>
            </w:r>
          </w:p>
        </w:tc>
        <w:tc>
          <w:tcPr>
            <w:tcW w:w="7514" w:type="dxa"/>
          </w:tcPr>
          <w:p w:rsidR="003E022D" w:rsidRDefault="007D19D6">
            <w:pPr>
              <w:rPr>
                <w:bCs/>
                <w:noProof/>
              </w:rPr>
            </w:pPr>
            <w:r>
              <w:rPr>
                <w:noProof/>
              </w:rPr>
              <w:t>Ražošana no jebkuras pozīcijas nenoteiktas izcelsmes materiāliem.</w:t>
            </w:r>
          </w:p>
        </w:tc>
      </w:tr>
      <w:tr w:rsidR="003E022D">
        <w:tblPrEx>
          <w:tblLook w:val="04A0" w:firstRow="1" w:lastRow="0" w:firstColumn="1" w:lastColumn="0" w:noHBand="0" w:noVBand="1"/>
        </w:tblPrEx>
        <w:tc>
          <w:tcPr>
            <w:tcW w:w="1985" w:type="dxa"/>
          </w:tcPr>
          <w:p w:rsidR="003E022D" w:rsidRDefault="007D19D6">
            <w:pPr>
              <w:rPr>
                <w:b/>
                <w:noProof/>
              </w:rPr>
            </w:pPr>
            <w:r>
              <w:rPr>
                <w:b/>
                <w:noProof/>
              </w:rPr>
              <w:t>VI SADAĻA</w:t>
            </w:r>
          </w:p>
        </w:tc>
        <w:tc>
          <w:tcPr>
            <w:tcW w:w="7514" w:type="dxa"/>
          </w:tcPr>
          <w:p w:rsidR="003E022D" w:rsidRDefault="007D19D6">
            <w:pPr>
              <w:rPr>
                <w:b/>
                <w:noProof/>
              </w:rPr>
            </w:pPr>
            <w:r>
              <w:rPr>
                <w:b/>
                <w:noProof/>
              </w:rPr>
              <w:t>ĶĪMISKĀS RŪPNIECĪBAS UN TĀS SASKARNOZARU RAŽOJUMI</w:t>
            </w:r>
          </w:p>
          <w:p w:rsidR="003E022D" w:rsidRDefault="007D19D6">
            <w:pPr>
              <w:rPr>
                <w:b/>
                <w:noProof/>
              </w:rPr>
            </w:pPr>
            <w:r>
              <w:rPr>
                <w:b/>
                <w:noProof/>
              </w:rPr>
              <w:t>Piezīme par sadaļu:</w:t>
            </w:r>
            <w:r>
              <w:rPr>
                <w:b/>
                <w:noProof/>
              </w:rPr>
              <w:t xml:space="preserve"> horizontālās pārstrādes noteikumu definīcijas šai sadaļai skatīt ORIG-1. pielikuma 5. piezīmē.</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28. nodaļa </w:t>
            </w:r>
          </w:p>
        </w:tc>
        <w:tc>
          <w:tcPr>
            <w:tcW w:w="7514" w:type="dxa"/>
          </w:tcPr>
          <w:p w:rsidR="003E022D" w:rsidRDefault="007D19D6">
            <w:pPr>
              <w:rPr>
                <w:b/>
                <w:noProof/>
              </w:rPr>
            </w:pPr>
            <w:r>
              <w:rPr>
                <w:b/>
                <w:noProof/>
              </w:rPr>
              <w:t>Neorganiskās ķīmijas produkti; dārgmetālu, retzemju metālu, radioaktīvo elementu vai izotopu organiskie vai neorganiskie savienojumi</w:t>
            </w:r>
          </w:p>
        </w:tc>
      </w:tr>
      <w:tr w:rsidR="003E022D">
        <w:tblPrEx>
          <w:tblLook w:val="04A0" w:firstRow="1" w:lastRow="0" w:firstColumn="1" w:lastColumn="0" w:noHBand="0" w:noVBand="1"/>
        </w:tblPrEx>
        <w:tc>
          <w:tcPr>
            <w:tcW w:w="1985" w:type="dxa"/>
          </w:tcPr>
          <w:p w:rsidR="003E022D" w:rsidRDefault="007D19D6">
            <w:pPr>
              <w:rPr>
                <w:bCs/>
                <w:noProof/>
              </w:rPr>
            </w:pPr>
            <w:r>
              <w:rPr>
                <w:noProof/>
              </w:rPr>
              <w:t>28.01-28.53</w:t>
            </w:r>
          </w:p>
        </w:tc>
        <w:tc>
          <w:tcPr>
            <w:tcW w:w="7514" w:type="dxa"/>
          </w:tcPr>
          <w:p w:rsidR="003E022D" w:rsidRDefault="007D19D6">
            <w:pPr>
              <w:rPr>
                <w:bCs/>
                <w:noProof/>
              </w:rPr>
            </w:pPr>
            <w:r>
              <w:rPr>
                <w:i/>
                <w:noProof/>
              </w:rPr>
              <w:t>C</w:t>
            </w:r>
            <w:r>
              <w:rPr>
                <w:i/>
                <w:noProof/>
              </w:rPr>
              <w:t>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29. nodaļa </w:t>
            </w:r>
          </w:p>
        </w:tc>
        <w:tc>
          <w:tcPr>
            <w:tcW w:w="7514" w:type="dxa"/>
          </w:tcPr>
          <w:p w:rsidR="003E022D" w:rsidRDefault="007D19D6">
            <w:pPr>
              <w:rPr>
                <w:b/>
                <w:noProof/>
              </w:rPr>
            </w:pPr>
            <w:r>
              <w:rPr>
                <w:b/>
                <w:noProof/>
              </w:rPr>
              <w:t xml:space="preserve">Organiskie ķīmiskie savienojumi </w:t>
            </w:r>
          </w:p>
        </w:tc>
      </w:tr>
      <w:tr w:rsidR="003E022D">
        <w:tblPrEx>
          <w:tblLook w:val="04A0" w:firstRow="1" w:lastRow="0" w:firstColumn="1" w:lastColumn="0" w:noHBand="0" w:noVBand="1"/>
        </w:tblPrEx>
        <w:tc>
          <w:tcPr>
            <w:tcW w:w="1985" w:type="dxa"/>
          </w:tcPr>
          <w:p w:rsidR="003E022D" w:rsidRDefault="007D19D6">
            <w:pPr>
              <w:rPr>
                <w:bCs/>
                <w:noProof/>
              </w:rPr>
            </w:pPr>
            <w:r>
              <w:rPr>
                <w:noProof/>
              </w:rPr>
              <w:t>2901.10-2905.42</w:t>
            </w:r>
          </w:p>
        </w:tc>
        <w:tc>
          <w:tcPr>
            <w:tcW w:w="7514" w:type="dxa"/>
          </w:tcPr>
          <w:p w:rsidR="003E022D" w:rsidRDefault="007D19D6">
            <w:pPr>
              <w:rPr>
                <w:bCs/>
                <w:noProof/>
              </w:rPr>
            </w:pPr>
            <w:r>
              <w:rPr>
                <w:i/>
                <w:noProof/>
              </w:rPr>
              <w:t>CTSH</w:t>
            </w:r>
            <w:r>
              <w:rPr>
                <w:noProof/>
              </w:rPr>
              <w:t>,</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2905.43-2905.44</w:t>
            </w:r>
          </w:p>
        </w:tc>
        <w:tc>
          <w:tcPr>
            <w:tcW w:w="7514" w:type="dxa"/>
          </w:tcPr>
          <w:p w:rsidR="003E022D" w:rsidRDefault="007D19D6">
            <w:pPr>
              <w:rPr>
                <w:bCs/>
                <w:noProof/>
              </w:rPr>
            </w:pPr>
            <w:r>
              <w:rPr>
                <w:i/>
                <w:noProof/>
              </w:rPr>
              <w:t>CTH</w:t>
            </w:r>
            <w:r>
              <w:rPr>
                <w:noProof/>
              </w:rPr>
              <w:t xml:space="preserve">, izņemot no nenoteiktas izcelsmes </w:t>
            </w:r>
            <w:r>
              <w:rPr>
                <w:noProof/>
              </w:rPr>
              <w:t>materiāliem pozīcijā 17.02 un apakšpozīcijā 3824.60.</w:t>
            </w:r>
          </w:p>
        </w:tc>
      </w:tr>
      <w:tr w:rsidR="003E022D">
        <w:tblPrEx>
          <w:tblLook w:val="04A0" w:firstRow="1" w:lastRow="0" w:firstColumn="1" w:lastColumn="0" w:noHBand="0" w:noVBand="1"/>
        </w:tblPrEx>
        <w:tc>
          <w:tcPr>
            <w:tcW w:w="1985" w:type="dxa"/>
          </w:tcPr>
          <w:p w:rsidR="003E022D" w:rsidRDefault="007D19D6">
            <w:pPr>
              <w:rPr>
                <w:bCs/>
                <w:noProof/>
              </w:rPr>
            </w:pPr>
            <w:r>
              <w:rPr>
                <w:noProof/>
              </w:rPr>
              <w:t>2905.45</w:t>
            </w:r>
          </w:p>
        </w:tc>
        <w:tc>
          <w:tcPr>
            <w:tcW w:w="7514" w:type="dxa"/>
          </w:tcPr>
          <w:p w:rsidR="003E022D" w:rsidRDefault="007D19D6">
            <w:pPr>
              <w:rPr>
                <w:bCs/>
                <w:noProof/>
              </w:rPr>
            </w:pPr>
            <w:r>
              <w:rPr>
                <w:i/>
                <w:noProof/>
              </w:rPr>
              <w:t>CTSH</w:t>
            </w:r>
            <w:r>
              <w:rPr>
                <w:noProof/>
              </w:rPr>
              <w:t>, tomēr var izmantot paša ražojuma apakšpozīcijā klasificētus nenoteiktas izcelsmes materiālus, ja to kopējā vērtība nepārsniedz 20 % no ražojuma ražotāja cenas,</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2905.49-2942</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30. nodaļa </w:t>
            </w:r>
          </w:p>
        </w:tc>
        <w:tc>
          <w:tcPr>
            <w:tcW w:w="7514" w:type="dxa"/>
          </w:tcPr>
          <w:p w:rsidR="003E022D" w:rsidRDefault="007D19D6">
            <w:pPr>
              <w:rPr>
                <w:b/>
                <w:noProof/>
              </w:rPr>
            </w:pPr>
            <w:r>
              <w:rPr>
                <w:b/>
                <w:noProof/>
              </w:rPr>
              <w:t>Zāles</w:t>
            </w:r>
          </w:p>
        </w:tc>
      </w:tr>
      <w:tr w:rsidR="003E022D">
        <w:tblPrEx>
          <w:tblLook w:val="04A0" w:firstRow="1" w:lastRow="0" w:firstColumn="1" w:lastColumn="0" w:noHBand="0" w:noVBand="1"/>
        </w:tblPrEx>
        <w:tc>
          <w:tcPr>
            <w:tcW w:w="1985" w:type="dxa"/>
          </w:tcPr>
          <w:p w:rsidR="003E022D" w:rsidRDefault="007D19D6">
            <w:pPr>
              <w:rPr>
                <w:bCs/>
                <w:noProof/>
              </w:rPr>
            </w:pPr>
            <w:r>
              <w:rPr>
                <w:noProof/>
              </w:rPr>
              <w:t>30.01-30.06</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31. nodaļa </w:t>
            </w:r>
          </w:p>
        </w:tc>
        <w:tc>
          <w:tcPr>
            <w:tcW w:w="7514" w:type="dxa"/>
          </w:tcPr>
          <w:p w:rsidR="003E022D" w:rsidRDefault="007D19D6">
            <w:pPr>
              <w:rPr>
                <w:b/>
                <w:noProof/>
              </w:rPr>
            </w:pPr>
            <w:r>
              <w:rPr>
                <w:b/>
                <w:noProof/>
              </w:rPr>
              <w:t>Mēslošanas līdzekļi</w:t>
            </w:r>
          </w:p>
        </w:tc>
      </w:tr>
      <w:tr w:rsidR="003E022D">
        <w:tblPrEx>
          <w:tblLook w:val="04A0" w:firstRow="1" w:lastRow="0" w:firstColumn="1" w:lastColumn="0" w:noHBand="0" w:noVBand="1"/>
        </w:tblPrEx>
        <w:tc>
          <w:tcPr>
            <w:tcW w:w="1985" w:type="dxa"/>
          </w:tcPr>
          <w:p w:rsidR="003E022D" w:rsidRDefault="007D19D6">
            <w:pPr>
              <w:rPr>
                <w:bCs/>
                <w:noProof/>
              </w:rPr>
            </w:pPr>
            <w:r>
              <w:rPr>
                <w:noProof/>
              </w:rPr>
              <w:t>31.01-31.04</w:t>
            </w:r>
          </w:p>
        </w:tc>
        <w:tc>
          <w:tcPr>
            <w:tcW w:w="7514" w:type="dxa"/>
          </w:tcPr>
          <w:p w:rsidR="003E022D" w:rsidRDefault="007D19D6">
            <w:pPr>
              <w:rPr>
                <w:bCs/>
                <w:noProof/>
              </w:rPr>
            </w:pPr>
            <w:r>
              <w:rPr>
                <w:i/>
                <w:noProof/>
              </w:rPr>
              <w:t>CTH</w:t>
            </w:r>
            <w:r>
              <w:rPr>
                <w:noProof/>
              </w:rPr>
              <w:t>, tomēr var izmanto</w:t>
            </w:r>
            <w:r>
              <w:rPr>
                <w:noProof/>
              </w:rPr>
              <w:t xml:space="preserve">t arī vienā pozīcijā ar ražojumu klasificētus nenoteiktas izcelsmes materiālus, ja to kopējā vērtība nepārsniedz 20 % no ražojuma </w:t>
            </w:r>
            <w:r>
              <w:rPr>
                <w:i/>
                <w:noProof/>
              </w:rPr>
              <w:t>EXW</w:t>
            </w:r>
            <w:r>
              <w:rPr>
                <w:noProof/>
              </w:rPr>
              <w:t xml:space="preserve"> cenas,</w:t>
            </w:r>
          </w:p>
          <w:p w:rsidR="003E022D" w:rsidRDefault="007D19D6">
            <w:pPr>
              <w:rPr>
                <w:bCs/>
                <w:noProof/>
              </w:rPr>
            </w:pPr>
            <w:r>
              <w:rPr>
                <w:noProof/>
              </w:rPr>
              <w:t>vai</w:t>
            </w:r>
          </w:p>
          <w:p w:rsidR="003E022D" w:rsidRDefault="007D19D6">
            <w:pPr>
              <w:rPr>
                <w:bCs/>
                <w:noProof/>
              </w:rPr>
            </w:pPr>
            <w:r>
              <w:rPr>
                <w:i/>
                <w:noProof/>
              </w:rPr>
              <w:t>MaxNOM</w:t>
            </w:r>
            <w:r>
              <w:rPr>
                <w:noProof/>
              </w:rPr>
              <w:t xml:space="preserve"> 40 %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31.05</w:t>
            </w:r>
          </w:p>
        </w:tc>
        <w:tc>
          <w:tcPr>
            <w:tcW w:w="7514" w:type="dxa"/>
          </w:tcPr>
          <w:p w:rsidR="003E022D" w:rsidRDefault="003E022D">
            <w:pPr>
              <w:rPr>
                <w:bCs/>
                <w:noProof/>
              </w:rPr>
            </w:pPr>
          </w:p>
        </w:tc>
      </w:tr>
      <w:tr w:rsidR="003E022D">
        <w:tblPrEx>
          <w:tblLook w:val="04A0" w:firstRow="1" w:lastRow="0" w:firstColumn="1" w:lastColumn="0" w:noHBand="0" w:noVBand="1"/>
        </w:tblPrEx>
        <w:tc>
          <w:tcPr>
            <w:tcW w:w="1985" w:type="dxa"/>
          </w:tcPr>
          <w:p w:rsidR="003E022D" w:rsidRDefault="007D19D6">
            <w:pPr>
              <w:rPr>
                <w:bCs/>
                <w:noProof/>
              </w:rPr>
            </w:pPr>
            <w:r>
              <w:rPr>
                <w:noProof/>
              </w:rPr>
              <w:t>- nātrija nitrāts</w:t>
            </w:r>
          </w:p>
          <w:p w:rsidR="003E022D" w:rsidRDefault="007D19D6">
            <w:pPr>
              <w:rPr>
                <w:bCs/>
                <w:noProof/>
              </w:rPr>
            </w:pPr>
            <w:r>
              <w:rPr>
                <w:noProof/>
              </w:rPr>
              <w:t>- kalcija ciānamīds</w:t>
            </w:r>
          </w:p>
          <w:p w:rsidR="003E022D" w:rsidRDefault="007D19D6">
            <w:pPr>
              <w:rPr>
                <w:bCs/>
                <w:noProof/>
              </w:rPr>
            </w:pPr>
            <w:r>
              <w:rPr>
                <w:noProof/>
              </w:rPr>
              <w:t>- kālija sulfāts</w:t>
            </w:r>
          </w:p>
          <w:p w:rsidR="003E022D" w:rsidRDefault="007D19D6">
            <w:pPr>
              <w:rPr>
                <w:bCs/>
                <w:noProof/>
              </w:rPr>
            </w:pPr>
            <w:r>
              <w:rPr>
                <w:noProof/>
              </w:rPr>
              <w:t>- magnija un kālija sulfāts</w:t>
            </w:r>
          </w:p>
        </w:tc>
        <w:tc>
          <w:tcPr>
            <w:tcW w:w="7514" w:type="dxa"/>
          </w:tcPr>
          <w:p w:rsidR="003E022D" w:rsidRDefault="007D19D6">
            <w:pPr>
              <w:rPr>
                <w:bCs/>
                <w:noProof/>
              </w:rPr>
            </w:pPr>
            <w:r>
              <w:rPr>
                <w:i/>
                <w:noProof/>
              </w:rPr>
              <w:t>CTH</w:t>
            </w:r>
            <w:r>
              <w:rPr>
                <w:noProof/>
              </w:rPr>
              <w:t xml:space="preserve">, tomēr var izmantot arī vienā pozīcijā ar ražojumu klasificētus nenoteiktas izcelsmes materiālus, ja to kopējā vērtība nepārsniedz 20 % no ražojuma </w:t>
            </w:r>
            <w:r>
              <w:rPr>
                <w:i/>
                <w:noProof/>
              </w:rPr>
              <w:t>EXW</w:t>
            </w:r>
            <w:r>
              <w:rPr>
                <w:noProof/>
              </w:rPr>
              <w:t xml:space="preserve"> cenas, </w:t>
            </w:r>
          </w:p>
          <w:p w:rsidR="003E022D" w:rsidRDefault="007D19D6">
            <w:pPr>
              <w:rPr>
                <w:bCs/>
                <w:noProof/>
              </w:rPr>
            </w:pPr>
            <w:r>
              <w:rPr>
                <w:noProof/>
              </w:rPr>
              <w:t>vai</w:t>
            </w:r>
          </w:p>
          <w:p w:rsidR="003E022D" w:rsidRDefault="007D19D6">
            <w:pPr>
              <w:rPr>
                <w:bCs/>
                <w:noProof/>
              </w:rPr>
            </w:pPr>
            <w:r>
              <w:rPr>
                <w:i/>
                <w:noProof/>
              </w:rPr>
              <w:t>MaxNOM</w:t>
            </w:r>
            <w:r>
              <w:rPr>
                <w:noProof/>
              </w:rPr>
              <w:t xml:space="preserve"> 40 %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 citādi</w:t>
            </w:r>
          </w:p>
          <w:p w:rsidR="003E022D" w:rsidRDefault="003E022D">
            <w:pPr>
              <w:rPr>
                <w:bCs/>
                <w:noProof/>
              </w:rPr>
            </w:pPr>
          </w:p>
        </w:tc>
        <w:tc>
          <w:tcPr>
            <w:tcW w:w="7514" w:type="dxa"/>
          </w:tcPr>
          <w:p w:rsidR="003E022D" w:rsidRDefault="007D19D6">
            <w:pPr>
              <w:rPr>
                <w:bCs/>
                <w:noProof/>
              </w:rPr>
            </w:pPr>
            <w:r>
              <w:rPr>
                <w:i/>
                <w:noProof/>
              </w:rPr>
              <w:t>CTH</w:t>
            </w:r>
            <w:r>
              <w:rPr>
                <w:noProof/>
              </w:rPr>
              <w:t xml:space="preserve">, tomēr var izmantot arī vienā pozīcijā ar ražojumu klasificētus nenoteiktas izcelsmes materiālus, ja to kopējā vērtība nepārsniedz 20 % no ražojuma </w:t>
            </w:r>
            <w:r>
              <w:rPr>
                <w:i/>
                <w:noProof/>
              </w:rPr>
              <w:t>EXW</w:t>
            </w:r>
            <w:r>
              <w:rPr>
                <w:noProof/>
              </w:rPr>
              <w:t xml:space="preserve"> cenas, un visu ražošanā izmantoto nenoteiktas izcelsmes materiālu vērtība nepārsniedz 50 % no ražojuma </w:t>
            </w:r>
            <w:r>
              <w:rPr>
                <w:i/>
                <w:noProof/>
              </w:rPr>
              <w:t>EXW</w:t>
            </w:r>
            <w:r>
              <w:rPr>
                <w:noProof/>
              </w:rPr>
              <w:t xml:space="preserve"> cenas,</w:t>
            </w:r>
          </w:p>
          <w:p w:rsidR="003E022D" w:rsidRDefault="007D19D6">
            <w:pPr>
              <w:rPr>
                <w:bCs/>
                <w:noProof/>
              </w:rPr>
            </w:pPr>
            <w:r>
              <w:rPr>
                <w:noProof/>
              </w:rPr>
              <w:t>vai</w:t>
            </w:r>
          </w:p>
          <w:p w:rsidR="003E022D" w:rsidRDefault="007D19D6">
            <w:pPr>
              <w:rPr>
                <w:bCs/>
                <w:noProof/>
              </w:rPr>
            </w:pPr>
            <w:r>
              <w:rPr>
                <w:i/>
                <w:noProof/>
              </w:rPr>
              <w:t>MaxNOM</w:t>
            </w:r>
            <w:r>
              <w:rPr>
                <w:noProof/>
              </w:rPr>
              <w:t xml:space="preserve"> 40 %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32. nodaļa </w:t>
            </w:r>
          </w:p>
        </w:tc>
        <w:tc>
          <w:tcPr>
            <w:tcW w:w="7514" w:type="dxa"/>
          </w:tcPr>
          <w:p w:rsidR="003E022D" w:rsidRDefault="007D19D6">
            <w:pPr>
              <w:rPr>
                <w:b/>
                <w:noProof/>
              </w:rPr>
            </w:pPr>
            <w:r>
              <w:rPr>
                <w:b/>
                <w:noProof/>
              </w:rPr>
              <w:t>Miecvielu vai krāsu ekstrakti; tanīni un to atvasinājumi; pigmenti un citas krāsvielas; krāsas un lakas; špakteļtepes, tepes un citas mastikas; tintes</w:t>
            </w:r>
          </w:p>
        </w:tc>
      </w:tr>
      <w:tr w:rsidR="003E022D">
        <w:tblPrEx>
          <w:tblLook w:val="04A0" w:firstRow="1" w:lastRow="0" w:firstColumn="1" w:lastColumn="0" w:noHBand="0" w:noVBand="1"/>
        </w:tblPrEx>
        <w:tc>
          <w:tcPr>
            <w:tcW w:w="1985" w:type="dxa"/>
          </w:tcPr>
          <w:p w:rsidR="003E022D" w:rsidRDefault="007D19D6">
            <w:pPr>
              <w:rPr>
                <w:bCs/>
                <w:noProof/>
              </w:rPr>
            </w:pPr>
            <w:r>
              <w:rPr>
                <w:noProof/>
              </w:rPr>
              <w:t>32.01-32.15</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notikusi ķīmiska reakcija, attīrīšana,</w:t>
            </w:r>
            <w:r>
              <w:rPr>
                <w:noProof/>
              </w:rPr>
              <w:t xml:space="preserve">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33. nodaļa</w:t>
            </w:r>
          </w:p>
        </w:tc>
        <w:tc>
          <w:tcPr>
            <w:tcW w:w="7514" w:type="dxa"/>
          </w:tcPr>
          <w:p w:rsidR="003E022D" w:rsidRDefault="007D19D6">
            <w:pPr>
              <w:rPr>
                <w:b/>
                <w:noProof/>
              </w:rPr>
            </w:pPr>
            <w:r>
              <w:rPr>
                <w:b/>
                <w:noProof/>
              </w:rPr>
              <w:t>Ēteriskās eļļas un rezinoīdi; parfimērijas, kosmētikas un ķermeņa kopšanas līdzekļi</w:t>
            </w:r>
          </w:p>
        </w:tc>
      </w:tr>
      <w:tr w:rsidR="003E022D">
        <w:tblPrEx>
          <w:tblLook w:val="04A0" w:firstRow="1" w:lastRow="0" w:firstColumn="1" w:lastColumn="0" w:noHBand="0" w:noVBand="1"/>
        </w:tblPrEx>
        <w:tc>
          <w:tcPr>
            <w:tcW w:w="1985" w:type="dxa"/>
          </w:tcPr>
          <w:p w:rsidR="003E022D" w:rsidRDefault="007D19D6">
            <w:pPr>
              <w:rPr>
                <w:bCs/>
                <w:noProof/>
              </w:rPr>
            </w:pPr>
            <w:r>
              <w:rPr>
                <w:noProof/>
              </w:rPr>
              <w:t>33.01</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 xml:space="preserve">3302.10 </w:t>
            </w:r>
          </w:p>
        </w:tc>
        <w:tc>
          <w:tcPr>
            <w:tcW w:w="7514" w:type="dxa"/>
          </w:tcPr>
          <w:p w:rsidR="003E022D" w:rsidRDefault="007D19D6">
            <w:pPr>
              <w:rPr>
                <w:bCs/>
                <w:noProof/>
              </w:rPr>
            </w:pPr>
            <w:r>
              <w:rPr>
                <w:i/>
                <w:noProof/>
              </w:rPr>
              <w:t>CTH</w:t>
            </w:r>
            <w:r>
              <w:rPr>
                <w:noProof/>
              </w:rPr>
              <w:t>, tomēr var izmantot arī apakšpozīcijā 3302.10 k</w:t>
            </w:r>
            <w:r>
              <w:rPr>
                <w:noProof/>
              </w:rPr>
              <w:t xml:space="preserve">lasificētus nenoteiktas izcelsmes materiālus, ja to kopējā vērtība nepārsniedz 20 % no ražojuma </w:t>
            </w:r>
            <w:r>
              <w:rPr>
                <w:i/>
                <w:noProof/>
              </w:rPr>
              <w:t>EXW</w:t>
            </w:r>
            <w:r>
              <w:rPr>
                <w:noProof/>
              </w:rPr>
              <w:t xml:space="preserve"> cenas</w:t>
            </w:r>
          </w:p>
        </w:tc>
      </w:tr>
      <w:tr w:rsidR="003E022D">
        <w:tblPrEx>
          <w:tblLook w:val="04A0" w:firstRow="1" w:lastRow="0" w:firstColumn="1" w:lastColumn="0" w:noHBand="0" w:noVBand="1"/>
        </w:tblPrEx>
        <w:tc>
          <w:tcPr>
            <w:tcW w:w="1985" w:type="dxa"/>
          </w:tcPr>
          <w:p w:rsidR="003E022D" w:rsidRDefault="007D19D6">
            <w:pPr>
              <w:rPr>
                <w:bCs/>
                <w:noProof/>
              </w:rPr>
            </w:pPr>
            <w:r>
              <w:rPr>
                <w:noProof/>
              </w:rPr>
              <w:t xml:space="preserve">3302.90 </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notikusi ķīmiska reakcija, attīrīšana, maisīšana un sajaukšana, standarta materiālu ražošana, daļiņu izmēra maiņa, izomēru atdalīšana</w:t>
            </w:r>
            <w:r>
              <w:rPr>
                <w:noProof/>
              </w:rPr>
              <w:t xml:space="preserve">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 xml:space="preserve">33.03 </w:t>
            </w:r>
          </w:p>
        </w:tc>
        <w:tc>
          <w:tcPr>
            <w:tcW w:w="7514" w:type="dxa"/>
          </w:tcPr>
          <w:p w:rsidR="003E022D" w:rsidRDefault="007D19D6">
            <w:pPr>
              <w:rPr>
                <w:bCs/>
                <w:noProof/>
              </w:rPr>
            </w:pPr>
            <w:r>
              <w:rPr>
                <w:noProof/>
              </w:rPr>
              <w:t>Ražošana no jebkuras pozīcijas nenoteiktas izcelsmes materiāliem.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33.04 -33.07</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34. nodaļa</w:t>
            </w:r>
          </w:p>
        </w:tc>
        <w:tc>
          <w:tcPr>
            <w:tcW w:w="7514" w:type="dxa"/>
          </w:tcPr>
          <w:p w:rsidR="003E022D" w:rsidRDefault="007D19D6">
            <w:pPr>
              <w:rPr>
                <w:b/>
                <w:noProof/>
              </w:rPr>
            </w:pPr>
            <w:r>
              <w:rPr>
                <w:b/>
                <w:noProof/>
              </w:rPr>
              <w:t>Ziepes, organiskās virsmaktīvās vielas, mazgāšanas līdze</w:t>
            </w:r>
            <w:r>
              <w:rPr>
                <w:b/>
                <w:noProof/>
              </w:rPr>
              <w:t>kļi, eļļošanas līdzekļi, mākslīgie vaski, gatavi vaski, spodrināšanas vai tīrīšanas līdzekļi, sveces un tamlīdzīgi izstrādājumi, veidošanas pastas, zobtehnikas vaski un izstrādājumi zobārstniecībai uz ģipša bāzes</w:t>
            </w:r>
          </w:p>
        </w:tc>
      </w:tr>
      <w:tr w:rsidR="003E022D">
        <w:tblPrEx>
          <w:tblLook w:val="04A0" w:firstRow="1" w:lastRow="0" w:firstColumn="1" w:lastColumn="0" w:noHBand="0" w:noVBand="1"/>
        </w:tblPrEx>
        <w:tc>
          <w:tcPr>
            <w:tcW w:w="1985" w:type="dxa"/>
          </w:tcPr>
          <w:p w:rsidR="003E022D" w:rsidRDefault="007D19D6">
            <w:pPr>
              <w:rPr>
                <w:bCs/>
                <w:noProof/>
              </w:rPr>
            </w:pPr>
            <w:r>
              <w:rPr>
                <w:noProof/>
              </w:rPr>
              <w:t>34.01-34.07</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notikusi ķīmiska reakci</w:t>
            </w:r>
            <w:r>
              <w:rPr>
                <w:noProof/>
              </w:rPr>
              <w:t xml:space="preserve">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35. nodaļa </w:t>
            </w:r>
          </w:p>
        </w:tc>
        <w:tc>
          <w:tcPr>
            <w:tcW w:w="7514" w:type="dxa"/>
          </w:tcPr>
          <w:p w:rsidR="003E022D" w:rsidRDefault="007D19D6">
            <w:pPr>
              <w:rPr>
                <w:b/>
                <w:noProof/>
              </w:rPr>
            </w:pPr>
            <w:r>
              <w:rPr>
                <w:b/>
                <w:noProof/>
              </w:rPr>
              <w:t>Olbaltumvielas; modificētas cietes; līmes; fermenti</w:t>
            </w:r>
          </w:p>
        </w:tc>
      </w:tr>
      <w:tr w:rsidR="003E022D">
        <w:tblPrEx>
          <w:tblLook w:val="04A0" w:firstRow="1" w:lastRow="0" w:firstColumn="1" w:lastColumn="0" w:noHBand="0" w:noVBand="1"/>
        </w:tblPrEx>
        <w:tc>
          <w:tcPr>
            <w:tcW w:w="1985" w:type="dxa"/>
          </w:tcPr>
          <w:p w:rsidR="003E022D" w:rsidRDefault="007D19D6">
            <w:pPr>
              <w:rPr>
                <w:bCs/>
                <w:noProof/>
              </w:rPr>
            </w:pPr>
            <w:r>
              <w:rPr>
                <w:noProof/>
              </w:rPr>
              <w:t>35.01-35.04</w:t>
            </w:r>
          </w:p>
        </w:tc>
        <w:tc>
          <w:tcPr>
            <w:tcW w:w="7514" w:type="dxa"/>
          </w:tcPr>
          <w:p w:rsidR="003E022D" w:rsidRDefault="007D19D6">
            <w:pPr>
              <w:rPr>
                <w:bCs/>
                <w:noProof/>
              </w:rPr>
            </w:pPr>
            <w:r>
              <w:rPr>
                <w:i/>
                <w:noProof/>
              </w:rPr>
              <w:t>CTH</w:t>
            </w:r>
            <w:r>
              <w:rPr>
                <w:noProof/>
              </w:rPr>
              <w:t xml:space="preserve">, izņemot </w:t>
            </w:r>
            <w:r>
              <w:rPr>
                <w:noProof/>
              </w:rPr>
              <w:t>no nenoteiktas izcelsmes materiāliem 4. nodaļā.</w:t>
            </w:r>
          </w:p>
        </w:tc>
      </w:tr>
      <w:tr w:rsidR="003E022D">
        <w:tblPrEx>
          <w:tblLook w:val="04A0" w:firstRow="1" w:lastRow="0" w:firstColumn="1" w:lastColumn="0" w:noHBand="0" w:noVBand="1"/>
        </w:tblPrEx>
        <w:tc>
          <w:tcPr>
            <w:tcW w:w="1985" w:type="dxa"/>
          </w:tcPr>
          <w:p w:rsidR="003E022D" w:rsidRDefault="007D19D6">
            <w:pPr>
              <w:rPr>
                <w:bCs/>
                <w:noProof/>
              </w:rPr>
            </w:pPr>
            <w:r>
              <w:rPr>
                <w:noProof/>
              </w:rPr>
              <w:t>35.05</w:t>
            </w:r>
          </w:p>
        </w:tc>
        <w:tc>
          <w:tcPr>
            <w:tcW w:w="7514" w:type="dxa"/>
          </w:tcPr>
          <w:p w:rsidR="003E022D" w:rsidRDefault="007D19D6">
            <w:pPr>
              <w:rPr>
                <w:bCs/>
                <w:noProof/>
              </w:rPr>
            </w:pPr>
            <w:r>
              <w:rPr>
                <w:i/>
                <w:noProof/>
              </w:rPr>
              <w:t>CTH</w:t>
            </w:r>
            <w:r>
              <w:rPr>
                <w:noProof/>
              </w:rPr>
              <w:t>, izņemot no nenoteiktas izcelsmes materiāliem pozīcijā 11.08.</w:t>
            </w:r>
          </w:p>
        </w:tc>
      </w:tr>
      <w:tr w:rsidR="003E022D">
        <w:tblPrEx>
          <w:tblLook w:val="04A0" w:firstRow="1" w:lastRow="0" w:firstColumn="1" w:lastColumn="0" w:noHBand="0" w:noVBand="1"/>
        </w:tblPrEx>
        <w:tc>
          <w:tcPr>
            <w:tcW w:w="1985" w:type="dxa"/>
          </w:tcPr>
          <w:p w:rsidR="003E022D" w:rsidRDefault="007D19D6">
            <w:pPr>
              <w:rPr>
                <w:bCs/>
                <w:noProof/>
              </w:rPr>
            </w:pPr>
            <w:r>
              <w:rPr>
                <w:noProof/>
              </w:rPr>
              <w:t>35.06-35.07</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w:t>
            </w:r>
            <w:r>
              <w:rPr>
                <w:noProof/>
              </w:rPr>
              <w:t xml:space="preserve">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36. nodaļa </w:t>
            </w:r>
          </w:p>
        </w:tc>
        <w:tc>
          <w:tcPr>
            <w:tcW w:w="7514" w:type="dxa"/>
          </w:tcPr>
          <w:p w:rsidR="003E022D" w:rsidRDefault="007D19D6">
            <w:pPr>
              <w:rPr>
                <w:b/>
                <w:noProof/>
              </w:rPr>
            </w:pPr>
            <w:r>
              <w:rPr>
                <w:b/>
                <w:noProof/>
              </w:rPr>
              <w:t>Sprāgstvielas; pirotehnikas izstrādājumi; sērkociņi; pirofori sakausējumi; daži degmaisījumi</w:t>
            </w:r>
          </w:p>
        </w:tc>
      </w:tr>
      <w:tr w:rsidR="003E022D">
        <w:tblPrEx>
          <w:tblLook w:val="04A0" w:firstRow="1" w:lastRow="0" w:firstColumn="1" w:lastColumn="0" w:noHBand="0" w:noVBand="1"/>
        </w:tblPrEx>
        <w:tc>
          <w:tcPr>
            <w:tcW w:w="1985" w:type="dxa"/>
          </w:tcPr>
          <w:p w:rsidR="003E022D" w:rsidRDefault="007D19D6">
            <w:pPr>
              <w:rPr>
                <w:bCs/>
                <w:noProof/>
              </w:rPr>
            </w:pPr>
            <w:r>
              <w:rPr>
                <w:noProof/>
              </w:rPr>
              <w:t>36.01-36.06</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notikusi ķīmiska reakcija, attīrīšana, maisīšana un sajau</w:t>
            </w:r>
            <w:r>
              <w:rPr>
                <w:noProof/>
              </w:rPr>
              <w:t xml:space="preserve">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37. nodaļa </w:t>
            </w:r>
          </w:p>
        </w:tc>
        <w:tc>
          <w:tcPr>
            <w:tcW w:w="7514" w:type="dxa"/>
          </w:tcPr>
          <w:p w:rsidR="003E022D" w:rsidRDefault="007D19D6">
            <w:pPr>
              <w:rPr>
                <w:b/>
                <w:noProof/>
              </w:rPr>
            </w:pPr>
            <w:r>
              <w:rPr>
                <w:b/>
                <w:noProof/>
              </w:rPr>
              <w:t>Foto un kino preces</w:t>
            </w:r>
          </w:p>
        </w:tc>
      </w:tr>
      <w:tr w:rsidR="003E022D">
        <w:tblPrEx>
          <w:tblLook w:val="04A0" w:firstRow="1" w:lastRow="0" w:firstColumn="1" w:lastColumn="0" w:noHBand="0" w:noVBand="1"/>
        </w:tblPrEx>
        <w:tc>
          <w:tcPr>
            <w:tcW w:w="1985" w:type="dxa"/>
          </w:tcPr>
          <w:p w:rsidR="003E022D" w:rsidRDefault="007D19D6">
            <w:pPr>
              <w:rPr>
                <w:bCs/>
                <w:noProof/>
              </w:rPr>
            </w:pPr>
            <w:r>
              <w:rPr>
                <w:noProof/>
              </w:rPr>
              <w:t xml:space="preserve">37.01-37.07 </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38. nodaļa </w:t>
            </w:r>
          </w:p>
        </w:tc>
        <w:tc>
          <w:tcPr>
            <w:tcW w:w="7514" w:type="dxa"/>
          </w:tcPr>
          <w:p w:rsidR="003E022D" w:rsidRDefault="007D19D6">
            <w:pPr>
              <w:rPr>
                <w:b/>
                <w:noProof/>
              </w:rPr>
            </w:pPr>
            <w:r>
              <w:rPr>
                <w:b/>
                <w:noProof/>
              </w:rPr>
              <w:t>Jaukti ķīmiski produkti</w:t>
            </w:r>
          </w:p>
        </w:tc>
      </w:tr>
      <w:tr w:rsidR="003E022D">
        <w:tblPrEx>
          <w:tblLook w:val="04A0" w:firstRow="1" w:lastRow="0" w:firstColumn="1" w:lastColumn="0" w:noHBand="0" w:noVBand="1"/>
        </w:tblPrEx>
        <w:tc>
          <w:tcPr>
            <w:tcW w:w="1985" w:type="dxa"/>
          </w:tcPr>
          <w:p w:rsidR="003E022D" w:rsidRDefault="007D19D6">
            <w:pPr>
              <w:rPr>
                <w:bCs/>
                <w:noProof/>
              </w:rPr>
            </w:pPr>
            <w:r>
              <w:rPr>
                <w:noProof/>
              </w:rPr>
              <w:t>38.01-38.08</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notikusi ķī</w:t>
            </w:r>
            <w:r>
              <w:rPr>
                <w:noProof/>
              </w:rPr>
              <w:t xml:space="preserve">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3809.10</w:t>
            </w:r>
          </w:p>
        </w:tc>
        <w:tc>
          <w:tcPr>
            <w:tcW w:w="7514" w:type="dxa"/>
          </w:tcPr>
          <w:p w:rsidR="003E022D" w:rsidRDefault="007D19D6">
            <w:pPr>
              <w:rPr>
                <w:bCs/>
                <w:noProof/>
              </w:rPr>
            </w:pPr>
            <w:r>
              <w:rPr>
                <w:i/>
                <w:noProof/>
              </w:rPr>
              <w:t>CTH</w:t>
            </w:r>
            <w:r>
              <w:rPr>
                <w:noProof/>
              </w:rPr>
              <w:t>, izņemot no nenoteiktas izcelsmes materiāliem pozīcijā 11.08 un 35</w:t>
            </w:r>
            <w:r>
              <w:rPr>
                <w:noProof/>
              </w:rPr>
              <w:t>.05.</w:t>
            </w:r>
          </w:p>
        </w:tc>
      </w:tr>
      <w:tr w:rsidR="003E022D">
        <w:tblPrEx>
          <w:tblLook w:val="04A0" w:firstRow="1" w:lastRow="0" w:firstColumn="1" w:lastColumn="0" w:noHBand="0" w:noVBand="1"/>
        </w:tblPrEx>
        <w:tc>
          <w:tcPr>
            <w:tcW w:w="1985" w:type="dxa"/>
          </w:tcPr>
          <w:p w:rsidR="003E022D" w:rsidRDefault="007D19D6">
            <w:pPr>
              <w:rPr>
                <w:bCs/>
                <w:noProof/>
              </w:rPr>
            </w:pPr>
            <w:r>
              <w:rPr>
                <w:noProof/>
              </w:rPr>
              <w:t>3809.91-3822.00</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38.23</w:t>
            </w:r>
          </w:p>
        </w:tc>
        <w:tc>
          <w:tcPr>
            <w:tcW w:w="7514" w:type="dxa"/>
          </w:tcPr>
          <w:p w:rsidR="003E022D" w:rsidRDefault="007D19D6">
            <w:pPr>
              <w:rPr>
                <w:bCs/>
                <w:noProof/>
              </w:rPr>
            </w:pPr>
            <w:r>
              <w:rPr>
                <w:noProof/>
              </w:rPr>
              <w:t xml:space="preserve">Ražošana no jebkuras pozīcijas </w:t>
            </w:r>
            <w:r>
              <w:rPr>
                <w:noProof/>
              </w:rPr>
              <w:t>nenoteiktas izcelsmes materiāliem.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3824.10-3824.50</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rPr>
          <w:trHeight w:val="240"/>
        </w:trPr>
        <w:tc>
          <w:tcPr>
            <w:tcW w:w="1985" w:type="dxa"/>
          </w:tcPr>
          <w:p w:rsidR="003E022D" w:rsidRDefault="007D19D6">
            <w:pPr>
              <w:rPr>
                <w:bCs/>
                <w:noProof/>
              </w:rPr>
            </w:pPr>
            <w:r>
              <w:rPr>
                <w:noProof/>
              </w:rPr>
              <w:t>3824.60</w:t>
            </w:r>
          </w:p>
        </w:tc>
        <w:tc>
          <w:tcPr>
            <w:tcW w:w="7514" w:type="dxa"/>
          </w:tcPr>
          <w:p w:rsidR="003E022D" w:rsidRDefault="007D19D6">
            <w:pPr>
              <w:rPr>
                <w:bCs/>
                <w:noProof/>
              </w:rPr>
            </w:pPr>
            <w:r>
              <w:rPr>
                <w:i/>
                <w:noProof/>
              </w:rPr>
              <w:t>CTH</w:t>
            </w:r>
            <w:r>
              <w:rPr>
                <w:noProof/>
              </w:rPr>
              <w:t>, izņemot no nenoteiktas izcelsmes materiāliem apakšpozīcijā 2905.43 un 2905.44.</w:t>
            </w:r>
          </w:p>
        </w:tc>
      </w:tr>
      <w:tr w:rsidR="003E022D">
        <w:tblPrEx>
          <w:tblLook w:val="04A0" w:firstRow="1" w:lastRow="0" w:firstColumn="1" w:lastColumn="0" w:noHBand="0" w:noVBand="1"/>
        </w:tblPrEx>
        <w:trPr>
          <w:trHeight w:val="225"/>
        </w:trPr>
        <w:tc>
          <w:tcPr>
            <w:tcW w:w="1985" w:type="dxa"/>
          </w:tcPr>
          <w:p w:rsidR="003E022D" w:rsidRDefault="007D19D6">
            <w:pPr>
              <w:rPr>
                <w:bCs/>
                <w:noProof/>
              </w:rPr>
            </w:pPr>
            <w:r>
              <w:rPr>
                <w:noProof/>
              </w:rPr>
              <w:t>3824.71-3825.90</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rPr>
          <w:trHeight w:val="240"/>
        </w:trPr>
        <w:tc>
          <w:tcPr>
            <w:tcW w:w="1985" w:type="dxa"/>
          </w:tcPr>
          <w:p w:rsidR="003E022D" w:rsidRDefault="007D19D6">
            <w:pPr>
              <w:rPr>
                <w:bCs/>
                <w:noProof/>
              </w:rPr>
            </w:pPr>
            <w:r>
              <w:rPr>
                <w:noProof/>
              </w:rPr>
              <w:t>38.26</w:t>
            </w:r>
          </w:p>
        </w:tc>
        <w:tc>
          <w:tcPr>
            <w:tcW w:w="7514" w:type="dxa"/>
          </w:tcPr>
          <w:p w:rsidR="003E022D" w:rsidRDefault="007D19D6">
            <w:pPr>
              <w:rPr>
                <w:bCs/>
                <w:noProof/>
              </w:rPr>
            </w:pPr>
            <w:r>
              <w:rPr>
                <w:noProof/>
              </w:rPr>
              <w:t>Ražošana, kurā biodīzelis tiek iegūts ar pāresterificēšanu, e</w:t>
            </w:r>
            <w:r>
              <w:rPr>
                <w:noProof/>
              </w:rPr>
              <w:t>sterificēšanu vai hidroattīrīšanu.</w:t>
            </w:r>
          </w:p>
        </w:tc>
      </w:tr>
      <w:tr w:rsidR="003E022D">
        <w:tblPrEx>
          <w:tblLook w:val="04A0" w:firstRow="1" w:lastRow="0" w:firstColumn="1" w:lastColumn="0" w:noHBand="0" w:noVBand="1"/>
        </w:tblPrEx>
        <w:tc>
          <w:tcPr>
            <w:tcW w:w="1985" w:type="dxa"/>
          </w:tcPr>
          <w:p w:rsidR="003E022D" w:rsidRDefault="007D19D6">
            <w:pPr>
              <w:rPr>
                <w:b/>
                <w:noProof/>
              </w:rPr>
            </w:pPr>
            <w:r>
              <w:rPr>
                <w:b/>
                <w:noProof/>
              </w:rPr>
              <w:t>VII SADAĻA</w:t>
            </w:r>
          </w:p>
        </w:tc>
        <w:tc>
          <w:tcPr>
            <w:tcW w:w="7514" w:type="dxa"/>
          </w:tcPr>
          <w:p w:rsidR="003E022D" w:rsidRDefault="007D19D6">
            <w:pPr>
              <w:rPr>
                <w:b/>
                <w:noProof/>
              </w:rPr>
            </w:pPr>
            <w:r>
              <w:rPr>
                <w:b/>
                <w:noProof/>
              </w:rPr>
              <w:t>PLASTMASAS UN TO IZSTRĀDĀJUMI; KAUČUKS UN TĀ IZSTRĀDĀJUMI</w:t>
            </w:r>
          </w:p>
          <w:p w:rsidR="003E022D" w:rsidRDefault="007D19D6">
            <w:pPr>
              <w:rPr>
                <w:b/>
                <w:noProof/>
              </w:rPr>
            </w:pPr>
            <w:r>
              <w:rPr>
                <w:b/>
                <w:noProof/>
              </w:rPr>
              <w:t>Piezīme par sadaļu: horizontālās pārstrādes noteikumu definīcijas šai sadaļai skatīt ORIG-1. pielikuma 5. piezīmē.</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39. nodaļa </w:t>
            </w:r>
          </w:p>
        </w:tc>
        <w:tc>
          <w:tcPr>
            <w:tcW w:w="7514" w:type="dxa"/>
          </w:tcPr>
          <w:p w:rsidR="003E022D" w:rsidRDefault="007D19D6">
            <w:pPr>
              <w:rPr>
                <w:b/>
                <w:noProof/>
              </w:rPr>
            </w:pPr>
            <w:r>
              <w:rPr>
                <w:b/>
                <w:noProof/>
              </w:rPr>
              <w:t xml:space="preserve">Plastmasas un to </w:t>
            </w:r>
            <w:r>
              <w:rPr>
                <w:b/>
                <w:noProof/>
              </w:rPr>
              <w:t>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39.01-39.15</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 xml:space="preserve">notikusi ķīmiska reakcija, attīrīšana, maisīšana un sajaukšana, standarta materiālu ražošana, daļiņu izmēra maiņa, izomēru atdalīšana vai biotehnoloģiska pārstrāde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39.16-39.19</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w:t>
            </w:r>
            <w:r>
              <w:rPr>
                <w:i/>
                <w:noProof/>
              </w:rPr>
              <w:t>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39.20</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39.21-39.22</w:t>
            </w:r>
          </w:p>
        </w:tc>
        <w:tc>
          <w:tcPr>
            <w:tcW w:w="7514" w:type="dxa"/>
          </w:tcPr>
          <w:p w:rsidR="003E022D" w:rsidRDefault="007D19D6">
            <w:pPr>
              <w:rPr>
                <w:bCs/>
                <w:noProof/>
              </w:rPr>
            </w:pPr>
            <w:r>
              <w:rPr>
                <w:i/>
                <w:noProof/>
              </w:rPr>
              <w:t>CTH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3923.10-3923.50</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3923.90-3925.90</w:t>
            </w:r>
          </w:p>
        </w:tc>
        <w:tc>
          <w:tcPr>
            <w:tcW w:w="7514" w:type="dxa"/>
          </w:tcPr>
          <w:p w:rsidR="003E022D" w:rsidRDefault="007D19D6">
            <w:pPr>
              <w:rPr>
                <w:bCs/>
                <w:noProof/>
              </w:rPr>
            </w:pPr>
            <w:r>
              <w:rPr>
                <w:i/>
                <w:noProof/>
              </w:rPr>
              <w:t>CTH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39.26</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40. nodaļa</w:t>
            </w:r>
          </w:p>
        </w:tc>
        <w:tc>
          <w:tcPr>
            <w:tcW w:w="7514" w:type="dxa"/>
          </w:tcPr>
          <w:p w:rsidR="003E022D" w:rsidRDefault="007D19D6">
            <w:pPr>
              <w:rPr>
                <w:b/>
                <w:noProof/>
              </w:rPr>
            </w:pPr>
            <w:r>
              <w:rPr>
                <w:b/>
                <w:noProof/>
              </w:rPr>
              <w:t>Kaučuks un tā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40.01 -</w:t>
            </w:r>
            <w:r>
              <w:rPr>
                <w:noProof/>
              </w:rPr>
              <w:t xml:space="preserve"> 40.11</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4012.11-4012.19</w:t>
            </w:r>
          </w:p>
          <w:p w:rsidR="003E022D" w:rsidRDefault="003E022D">
            <w:pPr>
              <w:rPr>
                <w:bCs/>
                <w:noProof/>
              </w:rPr>
            </w:pPr>
          </w:p>
        </w:tc>
        <w:tc>
          <w:tcPr>
            <w:tcW w:w="7514" w:type="dxa"/>
          </w:tcPr>
          <w:p w:rsidR="003E022D" w:rsidRDefault="007D19D6">
            <w:pPr>
              <w:rPr>
                <w:bCs/>
                <w:noProof/>
              </w:rPr>
            </w:pPr>
            <w:r>
              <w:rPr>
                <w:i/>
                <w:noProof/>
              </w:rPr>
              <w:t>CTSH</w:t>
            </w:r>
          </w:p>
          <w:p w:rsidR="003E022D" w:rsidRDefault="007D19D6">
            <w:pPr>
              <w:rPr>
                <w:bCs/>
                <w:noProof/>
              </w:rPr>
            </w:pPr>
            <w:r>
              <w:rPr>
                <w:noProof/>
              </w:rPr>
              <w:t>vai</w:t>
            </w:r>
          </w:p>
          <w:p w:rsidR="003E022D" w:rsidRDefault="007D19D6">
            <w:pPr>
              <w:rPr>
                <w:bCs/>
                <w:noProof/>
              </w:rPr>
            </w:pPr>
            <w:r>
              <w:rPr>
                <w:noProof/>
              </w:rPr>
              <w:t>lietotu riepu atjaunošana.</w:t>
            </w:r>
          </w:p>
        </w:tc>
      </w:tr>
      <w:tr w:rsidR="003E022D">
        <w:tblPrEx>
          <w:tblLook w:val="04A0" w:firstRow="1" w:lastRow="0" w:firstColumn="1" w:lastColumn="0" w:noHBand="0" w:noVBand="1"/>
        </w:tblPrEx>
        <w:tc>
          <w:tcPr>
            <w:tcW w:w="1985" w:type="dxa"/>
          </w:tcPr>
          <w:p w:rsidR="003E022D" w:rsidRDefault="007D19D6">
            <w:pPr>
              <w:rPr>
                <w:bCs/>
                <w:noProof/>
              </w:rPr>
            </w:pPr>
            <w:r>
              <w:rPr>
                <w:noProof/>
              </w:rPr>
              <w:t>4012.20-4017.00</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VIII SADAĻA</w:t>
            </w:r>
          </w:p>
        </w:tc>
        <w:tc>
          <w:tcPr>
            <w:tcW w:w="7514" w:type="dxa"/>
          </w:tcPr>
          <w:p w:rsidR="003E022D" w:rsidRDefault="007D19D6">
            <w:pPr>
              <w:rPr>
                <w:b/>
                <w:noProof/>
              </w:rPr>
            </w:pPr>
            <w:r>
              <w:rPr>
                <w:b/>
                <w:noProof/>
              </w:rPr>
              <w:t xml:space="preserve">JĒLĀDAS, ĀDA, KAŽOKĀDAS UN TO IZSTRĀDĀJUMI; ZIRGLIETAS UN IEJŪGS; CEĻOJUMA PIEDERUMI, SOMAS UN TAMLĪDZĪGAS </w:t>
            </w:r>
            <w:r>
              <w:rPr>
                <w:b/>
                <w:noProof/>
              </w:rPr>
              <w:t>PRECES; IZSTRĀDĀJUMI NO DZĪVNIEKU ZARNĀM (IZŅEMOT ZĪDVĒRPĒJA PAVEDIENU)</w:t>
            </w:r>
          </w:p>
        </w:tc>
      </w:tr>
      <w:tr w:rsidR="003E022D">
        <w:tblPrEx>
          <w:tblLook w:val="04A0" w:firstRow="1" w:lastRow="0" w:firstColumn="1" w:lastColumn="0" w:noHBand="0" w:noVBand="1"/>
        </w:tblPrEx>
        <w:tc>
          <w:tcPr>
            <w:tcW w:w="1985" w:type="dxa"/>
          </w:tcPr>
          <w:p w:rsidR="003E022D" w:rsidRDefault="007D19D6">
            <w:pPr>
              <w:rPr>
                <w:b/>
                <w:noProof/>
              </w:rPr>
            </w:pPr>
            <w:r>
              <w:rPr>
                <w:b/>
                <w:noProof/>
              </w:rPr>
              <w:t>41. nodaļa</w:t>
            </w:r>
          </w:p>
        </w:tc>
        <w:tc>
          <w:tcPr>
            <w:tcW w:w="7514" w:type="dxa"/>
          </w:tcPr>
          <w:p w:rsidR="003E022D" w:rsidRDefault="007D19D6">
            <w:pPr>
              <w:rPr>
                <w:b/>
                <w:noProof/>
              </w:rPr>
            </w:pPr>
            <w:r>
              <w:rPr>
                <w:b/>
                <w:noProof/>
              </w:rPr>
              <w:t>Jēlādas (izņemot kažokādas) un āda</w:t>
            </w:r>
          </w:p>
        </w:tc>
      </w:tr>
      <w:tr w:rsidR="003E022D">
        <w:tblPrEx>
          <w:tblLook w:val="04A0" w:firstRow="1" w:lastRow="0" w:firstColumn="1" w:lastColumn="0" w:noHBand="0" w:noVBand="1"/>
        </w:tblPrEx>
        <w:tc>
          <w:tcPr>
            <w:tcW w:w="1985" w:type="dxa"/>
          </w:tcPr>
          <w:p w:rsidR="003E022D" w:rsidRDefault="007D19D6">
            <w:pPr>
              <w:rPr>
                <w:bCs/>
                <w:noProof/>
              </w:rPr>
            </w:pPr>
            <w:r>
              <w:rPr>
                <w:noProof/>
              </w:rPr>
              <w:t>41.01-4104.19</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Cs/>
                <w:noProof/>
              </w:rPr>
            </w:pPr>
            <w:r>
              <w:rPr>
                <w:noProof/>
              </w:rPr>
              <w:t>4104.41-4104.49</w:t>
            </w:r>
          </w:p>
        </w:tc>
        <w:tc>
          <w:tcPr>
            <w:tcW w:w="7514" w:type="dxa"/>
          </w:tcPr>
          <w:p w:rsidR="003E022D" w:rsidRDefault="007D19D6">
            <w:pPr>
              <w:rPr>
                <w:bCs/>
                <w:noProof/>
              </w:rPr>
            </w:pPr>
            <w:r>
              <w:rPr>
                <w:i/>
                <w:iCs/>
                <w:noProof/>
              </w:rPr>
              <w:t>CTSH</w:t>
            </w:r>
            <w:r>
              <w:rPr>
                <w:noProof/>
              </w:rPr>
              <w:t>, izņemot no nenoteiktas izcelsmes materiāliem apakšpozīcijā 4104.41-4104.49.</w:t>
            </w:r>
          </w:p>
        </w:tc>
      </w:tr>
      <w:tr w:rsidR="003E022D">
        <w:tblPrEx>
          <w:tblLook w:val="04A0" w:firstRow="1" w:lastRow="0" w:firstColumn="1" w:lastColumn="0" w:noHBand="0" w:noVBand="1"/>
        </w:tblPrEx>
        <w:tc>
          <w:tcPr>
            <w:tcW w:w="1985" w:type="dxa"/>
          </w:tcPr>
          <w:p w:rsidR="003E022D" w:rsidRDefault="007D19D6">
            <w:pPr>
              <w:rPr>
                <w:bCs/>
                <w:noProof/>
              </w:rPr>
            </w:pPr>
            <w:r>
              <w:rPr>
                <w:noProof/>
              </w:rPr>
              <w:t>4105.10</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Cs/>
                <w:noProof/>
              </w:rPr>
            </w:pPr>
            <w:r>
              <w:rPr>
                <w:noProof/>
              </w:rPr>
              <w:t>4105.30</w:t>
            </w:r>
          </w:p>
        </w:tc>
        <w:tc>
          <w:tcPr>
            <w:tcW w:w="7514" w:type="dxa"/>
          </w:tcPr>
          <w:p w:rsidR="003E022D" w:rsidRDefault="007D19D6">
            <w:pPr>
              <w:rPr>
                <w:bCs/>
                <w:noProof/>
              </w:rPr>
            </w:pPr>
            <w:r>
              <w:rPr>
                <w:i/>
                <w:noProof/>
              </w:rPr>
              <w:t>CTSH</w:t>
            </w:r>
          </w:p>
        </w:tc>
      </w:tr>
      <w:tr w:rsidR="003E022D">
        <w:tblPrEx>
          <w:tblLook w:val="04A0" w:firstRow="1" w:lastRow="0" w:firstColumn="1" w:lastColumn="0" w:noHBand="0" w:noVBand="1"/>
        </w:tblPrEx>
        <w:tc>
          <w:tcPr>
            <w:tcW w:w="1985" w:type="dxa"/>
          </w:tcPr>
          <w:p w:rsidR="003E022D" w:rsidRDefault="007D19D6">
            <w:pPr>
              <w:rPr>
                <w:bCs/>
                <w:noProof/>
              </w:rPr>
            </w:pPr>
            <w:r>
              <w:rPr>
                <w:noProof/>
              </w:rPr>
              <w:t>4106.21</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Cs/>
                <w:noProof/>
              </w:rPr>
            </w:pPr>
            <w:r>
              <w:rPr>
                <w:noProof/>
              </w:rPr>
              <w:t>4106.22</w:t>
            </w:r>
          </w:p>
        </w:tc>
        <w:tc>
          <w:tcPr>
            <w:tcW w:w="7514" w:type="dxa"/>
          </w:tcPr>
          <w:p w:rsidR="003E022D" w:rsidRDefault="007D19D6">
            <w:pPr>
              <w:rPr>
                <w:bCs/>
                <w:noProof/>
              </w:rPr>
            </w:pPr>
            <w:r>
              <w:rPr>
                <w:i/>
                <w:noProof/>
              </w:rPr>
              <w:t>CTSH</w:t>
            </w:r>
          </w:p>
        </w:tc>
      </w:tr>
      <w:tr w:rsidR="003E022D">
        <w:tblPrEx>
          <w:tblLook w:val="04A0" w:firstRow="1" w:lastRow="0" w:firstColumn="1" w:lastColumn="0" w:noHBand="0" w:noVBand="1"/>
        </w:tblPrEx>
        <w:trPr>
          <w:trHeight w:val="95"/>
        </w:trPr>
        <w:tc>
          <w:tcPr>
            <w:tcW w:w="1985" w:type="dxa"/>
          </w:tcPr>
          <w:p w:rsidR="003E022D" w:rsidRDefault="007D19D6">
            <w:pPr>
              <w:rPr>
                <w:bCs/>
                <w:noProof/>
              </w:rPr>
            </w:pPr>
            <w:r>
              <w:rPr>
                <w:noProof/>
              </w:rPr>
              <w:t>4106.31</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Cs/>
                <w:noProof/>
              </w:rPr>
            </w:pPr>
            <w:r>
              <w:rPr>
                <w:noProof/>
              </w:rPr>
              <w:t>4106.32-4106.40</w:t>
            </w:r>
          </w:p>
        </w:tc>
        <w:tc>
          <w:tcPr>
            <w:tcW w:w="7514" w:type="dxa"/>
          </w:tcPr>
          <w:p w:rsidR="003E022D" w:rsidRDefault="007D19D6">
            <w:pPr>
              <w:rPr>
                <w:bCs/>
                <w:noProof/>
              </w:rPr>
            </w:pPr>
            <w:r>
              <w:rPr>
                <w:i/>
                <w:noProof/>
              </w:rPr>
              <w:t>CTSH</w:t>
            </w:r>
          </w:p>
        </w:tc>
      </w:tr>
      <w:tr w:rsidR="003E022D">
        <w:tblPrEx>
          <w:tblLook w:val="04A0" w:firstRow="1" w:lastRow="0" w:firstColumn="1" w:lastColumn="0" w:noHBand="0" w:noVBand="1"/>
        </w:tblPrEx>
        <w:tc>
          <w:tcPr>
            <w:tcW w:w="1985" w:type="dxa"/>
          </w:tcPr>
          <w:p w:rsidR="003E022D" w:rsidRDefault="007D19D6">
            <w:pPr>
              <w:rPr>
                <w:bCs/>
                <w:noProof/>
              </w:rPr>
            </w:pPr>
            <w:r>
              <w:rPr>
                <w:noProof/>
              </w:rPr>
              <w:t>4106.91</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Cs/>
                <w:noProof/>
              </w:rPr>
            </w:pPr>
            <w:r>
              <w:rPr>
                <w:noProof/>
              </w:rPr>
              <w:t>4106.92</w:t>
            </w:r>
          </w:p>
        </w:tc>
        <w:tc>
          <w:tcPr>
            <w:tcW w:w="7514" w:type="dxa"/>
          </w:tcPr>
          <w:p w:rsidR="003E022D" w:rsidRDefault="007D19D6">
            <w:pPr>
              <w:rPr>
                <w:bCs/>
                <w:noProof/>
              </w:rPr>
            </w:pPr>
            <w:r>
              <w:rPr>
                <w:i/>
                <w:noProof/>
              </w:rPr>
              <w:t>CTSH</w:t>
            </w:r>
          </w:p>
        </w:tc>
      </w:tr>
      <w:tr w:rsidR="003E022D">
        <w:tblPrEx>
          <w:tblLook w:val="04A0" w:firstRow="1" w:lastRow="0" w:firstColumn="1" w:lastColumn="0" w:noHBand="0" w:noVBand="1"/>
        </w:tblPrEx>
        <w:tc>
          <w:tcPr>
            <w:tcW w:w="1985" w:type="dxa"/>
          </w:tcPr>
          <w:p w:rsidR="003E022D" w:rsidRDefault="007D19D6">
            <w:pPr>
              <w:rPr>
                <w:bCs/>
                <w:noProof/>
              </w:rPr>
            </w:pPr>
            <w:r>
              <w:rPr>
                <w:noProof/>
              </w:rPr>
              <w:t>41.07-41.13</w:t>
            </w:r>
          </w:p>
        </w:tc>
        <w:tc>
          <w:tcPr>
            <w:tcW w:w="7514" w:type="dxa"/>
          </w:tcPr>
          <w:p w:rsidR="003E022D" w:rsidRDefault="007D19D6">
            <w:pPr>
              <w:rPr>
                <w:bCs/>
                <w:noProof/>
              </w:rPr>
            </w:pPr>
            <w:r>
              <w:rPr>
                <w:i/>
                <w:noProof/>
              </w:rPr>
              <w:t>CTH</w:t>
            </w:r>
            <w:r>
              <w:rPr>
                <w:noProof/>
              </w:rPr>
              <w:t>, izņemot no nenoteiktas izcelsmes materiāliem apakšpozīcijā 4104.41, 4104.49, 4105.30, 4106.22, 4106.32 un 4106.92. Tomēr var izmantot apakšpozīcijās 4104.41, 4104.49, 4105.30, 4106.22, 4106.32 vai 4106.92 klasificētos nenoteiktas izcelsmes materiālus, ja</w:t>
            </w:r>
            <w:r>
              <w:rPr>
                <w:noProof/>
              </w:rPr>
              <w:t xml:space="preserve"> tie ir atkārtoti miecēti. </w:t>
            </w:r>
          </w:p>
        </w:tc>
      </w:tr>
      <w:tr w:rsidR="003E022D">
        <w:tblPrEx>
          <w:tblLook w:val="04A0" w:firstRow="1" w:lastRow="0" w:firstColumn="1" w:lastColumn="0" w:noHBand="0" w:noVBand="1"/>
        </w:tblPrEx>
        <w:tc>
          <w:tcPr>
            <w:tcW w:w="1985" w:type="dxa"/>
          </w:tcPr>
          <w:p w:rsidR="003E022D" w:rsidRDefault="007D19D6">
            <w:pPr>
              <w:rPr>
                <w:bCs/>
                <w:noProof/>
              </w:rPr>
            </w:pPr>
            <w:r>
              <w:rPr>
                <w:noProof/>
              </w:rPr>
              <w:t>4114.10</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Cs/>
                <w:noProof/>
              </w:rPr>
            </w:pPr>
            <w:r>
              <w:rPr>
                <w:noProof/>
              </w:rPr>
              <w:t>4114.20</w:t>
            </w:r>
          </w:p>
        </w:tc>
        <w:tc>
          <w:tcPr>
            <w:tcW w:w="7514" w:type="dxa"/>
          </w:tcPr>
          <w:p w:rsidR="003E022D" w:rsidRDefault="007D19D6">
            <w:pPr>
              <w:rPr>
                <w:bCs/>
                <w:noProof/>
              </w:rPr>
            </w:pPr>
            <w:r>
              <w:rPr>
                <w:i/>
                <w:noProof/>
              </w:rPr>
              <w:t>CTH</w:t>
            </w:r>
            <w:r>
              <w:rPr>
                <w:noProof/>
              </w:rPr>
              <w:t>, izņemot no apakšpozīcijā 4104.41, 4104.49, 4105.30, 4106.22, 4106.32, 4106.92 un 4107 klasificētiem nenoteiktas izcelsmes materiāliem. Tomēr apakšpozīcijā 4104.41, 4104.49, 4105.30, 4106.22, 4106.32, 4</w:t>
            </w:r>
            <w:r>
              <w:rPr>
                <w:noProof/>
              </w:rPr>
              <w:t>106.92 un pozīcijā 41.07 klasificētos nenoteiktas izcelsmes materiālus var izmantot, ja tie ir atkārtoti miecēti.</w:t>
            </w:r>
          </w:p>
        </w:tc>
      </w:tr>
      <w:tr w:rsidR="003E022D">
        <w:tblPrEx>
          <w:tblLook w:val="04A0" w:firstRow="1" w:lastRow="0" w:firstColumn="1" w:lastColumn="0" w:noHBand="0" w:noVBand="1"/>
        </w:tblPrEx>
        <w:tc>
          <w:tcPr>
            <w:tcW w:w="1985" w:type="dxa"/>
          </w:tcPr>
          <w:p w:rsidR="003E022D" w:rsidRDefault="007D19D6">
            <w:pPr>
              <w:rPr>
                <w:bCs/>
                <w:noProof/>
              </w:rPr>
            </w:pPr>
            <w:r>
              <w:rPr>
                <w:noProof/>
              </w:rPr>
              <w:t>41.15</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42. nodaļa</w:t>
            </w:r>
          </w:p>
        </w:tc>
        <w:tc>
          <w:tcPr>
            <w:tcW w:w="7514" w:type="dxa"/>
          </w:tcPr>
          <w:p w:rsidR="003E022D" w:rsidRDefault="007D19D6">
            <w:pPr>
              <w:rPr>
                <w:b/>
                <w:noProof/>
              </w:rPr>
            </w:pPr>
            <w:r>
              <w:rPr>
                <w:b/>
                <w:noProof/>
              </w:rPr>
              <w:t>Ādas izstrādājumi; zirglietas un iejūgs; ceļojuma piederumi, somas un tamlīdzīgas preces; izstrādājumi no dzīvnieku zar</w:t>
            </w:r>
            <w:r>
              <w:rPr>
                <w:b/>
                <w:noProof/>
              </w:rPr>
              <w:t>nām (izņemot zīdvērpēja pavedienu)</w:t>
            </w:r>
          </w:p>
        </w:tc>
      </w:tr>
      <w:tr w:rsidR="003E022D">
        <w:tblPrEx>
          <w:tblLook w:val="04A0" w:firstRow="1" w:lastRow="0" w:firstColumn="1" w:lastColumn="0" w:noHBand="0" w:noVBand="1"/>
        </w:tblPrEx>
        <w:tc>
          <w:tcPr>
            <w:tcW w:w="1985" w:type="dxa"/>
          </w:tcPr>
          <w:p w:rsidR="003E022D" w:rsidRDefault="007D19D6">
            <w:pPr>
              <w:rPr>
                <w:bCs/>
                <w:noProof/>
              </w:rPr>
            </w:pPr>
            <w:r>
              <w:rPr>
                <w:noProof/>
              </w:rPr>
              <w:t>42.01-42.06</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43. nodaļa</w:t>
            </w:r>
          </w:p>
        </w:tc>
        <w:tc>
          <w:tcPr>
            <w:tcW w:w="7514" w:type="dxa"/>
          </w:tcPr>
          <w:p w:rsidR="003E022D" w:rsidRDefault="007D19D6">
            <w:pPr>
              <w:rPr>
                <w:b/>
                <w:noProof/>
              </w:rPr>
            </w:pPr>
            <w:r>
              <w:rPr>
                <w:b/>
                <w:noProof/>
              </w:rPr>
              <w:t>Kažokādas un mākslīgās kažokādas; to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4301.10-4302.20</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4302.30</w:t>
            </w:r>
          </w:p>
        </w:tc>
        <w:tc>
          <w:tcPr>
            <w:tcW w:w="7514" w:type="dxa"/>
          </w:tcPr>
          <w:p w:rsidR="003E022D" w:rsidRDefault="007D19D6">
            <w:pPr>
              <w:rPr>
                <w:bCs/>
                <w:noProof/>
              </w:rPr>
            </w:pPr>
            <w:r>
              <w:rPr>
                <w:i/>
                <w:noProof/>
              </w:rPr>
              <w:t>CTSH</w:t>
            </w:r>
          </w:p>
        </w:tc>
      </w:tr>
      <w:tr w:rsidR="003E022D">
        <w:tblPrEx>
          <w:tblLook w:val="04A0" w:firstRow="1" w:lastRow="0" w:firstColumn="1" w:lastColumn="0" w:noHBand="0" w:noVBand="1"/>
        </w:tblPrEx>
        <w:tc>
          <w:tcPr>
            <w:tcW w:w="1985" w:type="dxa"/>
          </w:tcPr>
          <w:p w:rsidR="003E022D" w:rsidRDefault="007D19D6">
            <w:pPr>
              <w:rPr>
                <w:bCs/>
                <w:noProof/>
              </w:rPr>
            </w:pPr>
            <w:r>
              <w:rPr>
                <w:noProof/>
              </w:rPr>
              <w:t>43.03-43.04</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IX SADAĻA</w:t>
            </w:r>
          </w:p>
        </w:tc>
        <w:tc>
          <w:tcPr>
            <w:tcW w:w="7514" w:type="dxa"/>
          </w:tcPr>
          <w:p w:rsidR="003E022D" w:rsidRDefault="007D19D6">
            <w:pPr>
              <w:rPr>
                <w:b/>
                <w:noProof/>
              </w:rPr>
            </w:pPr>
            <w:r>
              <w:rPr>
                <w:b/>
                <w:noProof/>
              </w:rPr>
              <w:t xml:space="preserve">KOKS UN </w:t>
            </w:r>
            <w:r>
              <w:rPr>
                <w:b/>
                <w:noProof/>
              </w:rPr>
              <w:t>KOKA IZSTRĀDĀJUMI; KOKOGLE; KORĶIS UN KORĶA IZSTRĀDĀJUMI; IZSTRĀDĀJUMI NO SALMIEM, ESPARTO VAI CITIEM PINAMIEM MATERIĀLIEM; PĪTI TRAUKI UN PINUMI</w:t>
            </w:r>
          </w:p>
        </w:tc>
      </w:tr>
      <w:tr w:rsidR="003E022D">
        <w:tblPrEx>
          <w:tblLook w:val="04A0" w:firstRow="1" w:lastRow="0" w:firstColumn="1" w:lastColumn="0" w:noHBand="0" w:noVBand="1"/>
        </w:tblPrEx>
        <w:tc>
          <w:tcPr>
            <w:tcW w:w="1985" w:type="dxa"/>
          </w:tcPr>
          <w:p w:rsidR="003E022D" w:rsidRDefault="007D19D6">
            <w:pPr>
              <w:rPr>
                <w:b/>
                <w:noProof/>
              </w:rPr>
            </w:pPr>
            <w:r>
              <w:rPr>
                <w:b/>
                <w:noProof/>
              </w:rPr>
              <w:t>44. nodaļa</w:t>
            </w:r>
          </w:p>
        </w:tc>
        <w:tc>
          <w:tcPr>
            <w:tcW w:w="7514" w:type="dxa"/>
          </w:tcPr>
          <w:p w:rsidR="003E022D" w:rsidRDefault="007D19D6">
            <w:pPr>
              <w:rPr>
                <w:b/>
                <w:noProof/>
              </w:rPr>
            </w:pPr>
            <w:r>
              <w:rPr>
                <w:b/>
                <w:noProof/>
              </w:rPr>
              <w:t>Koks un koka izstrādājumi; kokogle</w:t>
            </w:r>
          </w:p>
        </w:tc>
      </w:tr>
      <w:tr w:rsidR="003E022D">
        <w:tblPrEx>
          <w:tblLook w:val="04A0" w:firstRow="1" w:lastRow="0" w:firstColumn="1" w:lastColumn="0" w:noHBand="0" w:noVBand="1"/>
        </w:tblPrEx>
        <w:tc>
          <w:tcPr>
            <w:tcW w:w="1985" w:type="dxa"/>
          </w:tcPr>
          <w:p w:rsidR="003E022D" w:rsidRDefault="007D19D6">
            <w:pPr>
              <w:rPr>
                <w:bCs/>
                <w:noProof/>
              </w:rPr>
            </w:pPr>
            <w:r>
              <w:rPr>
                <w:noProof/>
              </w:rPr>
              <w:t>44.01-44.21</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45. nodaļa</w:t>
            </w:r>
          </w:p>
        </w:tc>
        <w:tc>
          <w:tcPr>
            <w:tcW w:w="7514" w:type="dxa"/>
          </w:tcPr>
          <w:p w:rsidR="003E022D" w:rsidRDefault="007D19D6">
            <w:pPr>
              <w:rPr>
                <w:b/>
                <w:noProof/>
              </w:rPr>
            </w:pPr>
            <w:r>
              <w:rPr>
                <w:b/>
                <w:noProof/>
              </w:rPr>
              <w:t>Korķis un k</w:t>
            </w:r>
            <w:r>
              <w:rPr>
                <w:b/>
                <w:noProof/>
              </w:rPr>
              <w:t>orķa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45.01-45.04</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46. nodaļa</w:t>
            </w:r>
          </w:p>
        </w:tc>
        <w:tc>
          <w:tcPr>
            <w:tcW w:w="7514" w:type="dxa"/>
          </w:tcPr>
          <w:p w:rsidR="003E022D" w:rsidRDefault="007D19D6">
            <w:pPr>
              <w:rPr>
                <w:b/>
                <w:noProof/>
              </w:rPr>
            </w:pPr>
            <w:r>
              <w:rPr>
                <w:b/>
                <w:noProof/>
              </w:rPr>
              <w:t>Izstrādājumi no salmiem, esparto vai citiem pinamiem materiāliem; pīti trauki un pinumi</w:t>
            </w:r>
          </w:p>
        </w:tc>
      </w:tr>
      <w:tr w:rsidR="003E022D">
        <w:tblPrEx>
          <w:tblLook w:val="04A0" w:firstRow="1" w:lastRow="0" w:firstColumn="1" w:lastColumn="0" w:noHBand="0" w:noVBand="1"/>
        </w:tblPrEx>
        <w:tc>
          <w:tcPr>
            <w:tcW w:w="1985" w:type="dxa"/>
          </w:tcPr>
          <w:p w:rsidR="003E022D" w:rsidRDefault="007D19D6">
            <w:pPr>
              <w:rPr>
                <w:bCs/>
                <w:noProof/>
              </w:rPr>
            </w:pPr>
            <w:r>
              <w:rPr>
                <w:noProof/>
              </w:rPr>
              <w:t xml:space="preserve">46.01-46.02 </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X SADAĻA</w:t>
            </w:r>
          </w:p>
        </w:tc>
        <w:tc>
          <w:tcPr>
            <w:tcW w:w="7514" w:type="dxa"/>
          </w:tcPr>
          <w:p w:rsidR="003E022D" w:rsidRDefault="007D19D6">
            <w:pPr>
              <w:rPr>
                <w:b/>
                <w:noProof/>
              </w:rPr>
            </w:pPr>
            <w:r>
              <w:rPr>
                <w:b/>
                <w:noProof/>
              </w:rPr>
              <w:t xml:space="preserve">PAPĪRA MASA NO KOKSNES VAI CITA CELULOZES </w:t>
            </w:r>
            <w:r>
              <w:rPr>
                <w:b/>
                <w:noProof/>
              </w:rPr>
              <w:t>ŠĶIEDRMATERIĀLA; PĀRSTRĀDĀTS (ATKRITUMU UN MAKULATŪRAS) PAPĪRS VAI KARTONS; PAPĪRS UN KARTONS UN TO IZSTRĀDĀJUMI</w:t>
            </w:r>
          </w:p>
        </w:tc>
      </w:tr>
      <w:tr w:rsidR="003E022D">
        <w:tblPrEx>
          <w:tblLook w:val="04A0" w:firstRow="1" w:lastRow="0" w:firstColumn="1" w:lastColumn="0" w:noHBand="0" w:noVBand="1"/>
        </w:tblPrEx>
        <w:tc>
          <w:tcPr>
            <w:tcW w:w="1985" w:type="dxa"/>
          </w:tcPr>
          <w:p w:rsidR="003E022D" w:rsidRDefault="007D19D6">
            <w:pPr>
              <w:rPr>
                <w:b/>
                <w:noProof/>
              </w:rPr>
            </w:pPr>
            <w:r>
              <w:rPr>
                <w:b/>
                <w:noProof/>
              </w:rPr>
              <w:t>47. nodaļa</w:t>
            </w:r>
          </w:p>
        </w:tc>
        <w:tc>
          <w:tcPr>
            <w:tcW w:w="7514" w:type="dxa"/>
          </w:tcPr>
          <w:p w:rsidR="003E022D" w:rsidRDefault="007D19D6">
            <w:pPr>
              <w:rPr>
                <w:b/>
                <w:noProof/>
              </w:rPr>
            </w:pPr>
            <w:r>
              <w:rPr>
                <w:b/>
                <w:noProof/>
              </w:rPr>
              <w:t>Papīra masa no koksnes vai cita celulozes šķiedrmateriāla; pārstrādāts (atkritumu un makulatūras) papīrs vai kartons</w:t>
            </w:r>
          </w:p>
        </w:tc>
      </w:tr>
      <w:tr w:rsidR="003E022D">
        <w:tblPrEx>
          <w:tblLook w:val="04A0" w:firstRow="1" w:lastRow="0" w:firstColumn="1" w:lastColumn="0" w:noHBand="0" w:noVBand="1"/>
        </w:tblPrEx>
        <w:tc>
          <w:tcPr>
            <w:tcW w:w="1985" w:type="dxa"/>
          </w:tcPr>
          <w:p w:rsidR="003E022D" w:rsidRDefault="007D19D6">
            <w:pPr>
              <w:rPr>
                <w:bCs/>
                <w:noProof/>
              </w:rPr>
            </w:pPr>
            <w:r>
              <w:rPr>
                <w:noProof/>
              </w:rPr>
              <w:t>47.01-47.07</w:t>
            </w:r>
          </w:p>
        </w:tc>
        <w:tc>
          <w:tcPr>
            <w:tcW w:w="7514" w:type="dxa"/>
          </w:tcPr>
          <w:p w:rsidR="003E022D" w:rsidRDefault="007D19D6">
            <w:pPr>
              <w:rPr>
                <w:bCs/>
                <w:noProof/>
              </w:rPr>
            </w:pPr>
            <w:r>
              <w:rPr>
                <w:i/>
                <w:noProof/>
              </w:rPr>
              <w:t>C</w:t>
            </w:r>
            <w:r>
              <w:rPr>
                <w:i/>
                <w:noProof/>
              </w:rPr>
              <w:t>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48. nodaļa</w:t>
            </w:r>
          </w:p>
        </w:tc>
        <w:tc>
          <w:tcPr>
            <w:tcW w:w="7514" w:type="dxa"/>
          </w:tcPr>
          <w:p w:rsidR="003E022D" w:rsidRDefault="007D19D6">
            <w:pPr>
              <w:rPr>
                <w:b/>
                <w:noProof/>
              </w:rPr>
            </w:pPr>
            <w:r>
              <w:rPr>
                <w:b/>
                <w:noProof/>
              </w:rPr>
              <w:t>Papīrs un kartons; papīra masas, papīra vai kartona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48.01-48.23</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49. nodaļa</w:t>
            </w:r>
          </w:p>
        </w:tc>
        <w:tc>
          <w:tcPr>
            <w:tcW w:w="7514" w:type="dxa"/>
          </w:tcPr>
          <w:p w:rsidR="003E022D" w:rsidRDefault="007D19D6">
            <w:pPr>
              <w:rPr>
                <w:b/>
                <w:noProof/>
              </w:rPr>
            </w:pPr>
            <w:r>
              <w:rPr>
                <w:b/>
                <w:noProof/>
              </w:rPr>
              <w:t xml:space="preserve">Iespiestas grāmatas, laikraksti, attēli un citi poligrāfijas </w:t>
            </w:r>
          </w:p>
          <w:p w:rsidR="003E022D" w:rsidRDefault="007D19D6">
            <w:pPr>
              <w:rPr>
                <w:b/>
                <w:noProof/>
              </w:rPr>
            </w:pPr>
            <w:r>
              <w:rPr>
                <w:b/>
                <w:noProof/>
              </w:rPr>
              <w:t xml:space="preserve">rūpniecības izstrādājumi; rokraksti, </w:t>
            </w:r>
            <w:r>
              <w:rPr>
                <w:b/>
                <w:noProof/>
              </w:rPr>
              <w:t>mašīnraksti un plāni</w:t>
            </w:r>
          </w:p>
        </w:tc>
      </w:tr>
      <w:tr w:rsidR="003E022D">
        <w:tblPrEx>
          <w:tblLook w:val="04A0" w:firstRow="1" w:lastRow="0" w:firstColumn="1" w:lastColumn="0" w:noHBand="0" w:noVBand="1"/>
        </w:tblPrEx>
        <w:tc>
          <w:tcPr>
            <w:tcW w:w="1985" w:type="dxa"/>
          </w:tcPr>
          <w:p w:rsidR="003E022D" w:rsidRDefault="007D19D6">
            <w:pPr>
              <w:rPr>
                <w:bCs/>
                <w:noProof/>
              </w:rPr>
            </w:pPr>
            <w:r>
              <w:rPr>
                <w:noProof/>
              </w:rPr>
              <w:t>49.01-49.11</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XI SADAĻA</w:t>
            </w:r>
          </w:p>
        </w:tc>
        <w:tc>
          <w:tcPr>
            <w:tcW w:w="7514" w:type="dxa"/>
          </w:tcPr>
          <w:p w:rsidR="003E022D" w:rsidRDefault="007D19D6">
            <w:pPr>
              <w:rPr>
                <w:b/>
                <w:noProof/>
              </w:rPr>
            </w:pPr>
            <w:r>
              <w:rPr>
                <w:b/>
                <w:noProof/>
              </w:rPr>
              <w:t>TEKSTILS UN TEKSTILIZSTRĀDĀJUMI</w:t>
            </w:r>
          </w:p>
          <w:p w:rsidR="003E022D" w:rsidRDefault="007D19D6">
            <w:pPr>
              <w:rPr>
                <w:b/>
                <w:noProof/>
              </w:rPr>
            </w:pPr>
            <w:r>
              <w:rPr>
                <w:b/>
                <w:noProof/>
              </w:rPr>
              <w:t>Piezīme par sadaļu: izmantoto terminu definīcijas attiecībā uz pielaidēm, kas piemērojamas konkrētiem ražojumiem, kuri izgatavoti no tekstilmateriāliem,</w:t>
            </w:r>
            <w:r>
              <w:rPr>
                <w:b/>
                <w:noProof/>
              </w:rPr>
              <w:t xml:space="preserve"> skatīt ORIG-1. pielikuma 6., 7. un 8. piezīmē.</w:t>
            </w:r>
          </w:p>
        </w:tc>
      </w:tr>
      <w:tr w:rsidR="003E022D">
        <w:tc>
          <w:tcPr>
            <w:tcW w:w="1985" w:type="dxa"/>
          </w:tcPr>
          <w:p w:rsidR="003E022D" w:rsidRDefault="007D19D6">
            <w:pPr>
              <w:rPr>
                <w:b/>
                <w:noProof/>
              </w:rPr>
            </w:pPr>
            <w:r>
              <w:rPr>
                <w:b/>
                <w:noProof/>
              </w:rPr>
              <w:t>50. nodaļa</w:t>
            </w:r>
          </w:p>
        </w:tc>
        <w:tc>
          <w:tcPr>
            <w:tcW w:w="7514" w:type="dxa"/>
          </w:tcPr>
          <w:p w:rsidR="003E022D" w:rsidRDefault="007D19D6">
            <w:pPr>
              <w:rPr>
                <w:b/>
                <w:noProof/>
              </w:rPr>
            </w:pPr>
            <w:r>
              <w:rPr>
                <w:b/>
                <w:noProof/>
              </w:rPr>
              <w:t>Zīds</w:t>
            </w:r>
          </w:p>
        </w:tc>
      </w:tr>
      <w:tr w:rsidR="003E022D">
        <w:tc>
          <w:tcPr>
            <w:tcW w:w="1985" w:type="dxa"/>
          </w:tcPr>
          <w:p w:rsidR="003E022D" w:rsidRDefault="007D19D6">
            <w:pPr>
              <w:rPr>
                <w:bCs/>
                <w:noProof/>
              </w:rPr>
            </w:pPr>
            <w:r>
              <w:rPr>
                <w:noProof/>
              </w:rPr>
              <w:t>50.01-50.02</w:t>
            </w:r>
          </w:p>
        </w:tc>
        <w:tc>
          <w:tcPr>
            <w:tcW w:w="7514" w:type="dxa"/>
          </w:tcPr>
          <w:p w:rsidR="003E022D" w:rsidRDefault="007D19D6">
            <w:pPr>
              <w:rPr>
                <w:bCs/>
                <w:noProof/>
              </w:rPr>
            </w:pPr>
            <w:r>
              <w:rPr>
                <w:i/>
                <w:noProof/>
              </w:rPr>
              <w:t>CTH</w:t>
            </w:r>
          </w:p>
          <w:p w:rsidR="003E022D" w:rsidRDefault="003E022D">
            <w:pPr>
              <w:rPr>
                <w:bCs/>
                <w:noProof/>
              </w:rPr>
            </w:pPr>
          </w:p>
        </w:tc>
      </w:tr>
      <w:tr w:rsidR="003E022D">
        <w:tc>
          <w:tcPr>
            <w:tcW w:w="1985" w:type="dxa"/>
          </w:tcPr>
          <w:p w:rsidR="003E022D" w:rsidRDefault="007D19D6">
            <w:pPr>
              <w:rPr>
                <w:bCs/>
                <w:noProof/>
              </w:rPr>
            </w:pPr>
            <w:r>
              <w:rPr>
                <w:noProof/>
              </w:rPr>
              <w:t>50.03</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kārsti vai ķemmēti:</w:t>
            </w:r>
          </w:p>
        </w:tc>
        <w:tc>
          <w:tcPr>
            <w:tcW w:w="7514" w:type="dxa"/>
          </w:tcPr>
          <w:p w:rsidR="003E022D" w:rsidRDefault="007D19D6">
            <w:pPr>
              <w:rPr>
                <w:bCs/>
                <w:noProof/>
              </w:rPr>
            </w:pPr>
            <w:r>
              <w:rPr>
                <w:noProof/>
              </w:rPr>
              <w:t>Zīda atgāju kāršana vai ķemmēšana.</w:t>
            </w:r>
          </w:p>
          <w:p w:rsidR="003E022D" w:rsidRDefault="003E022D">
            <w:pPr>
              <w:rPr>
                <w:bCs/>
                <w:noProof/>
              </w:rPr>
            </w:pP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i/>
                <w:noProof/>
              </w:rPr>
              <w:t>CTH</w:t>
            </w:r>
          </w:p>
          <w:p w:rsidR="003E022D" w:rsidRDefault="003E022D">
            <w:pPr>
              <w:rPr>
                <w:bCs/>
                <w:noProof/>
              </w:rPr>
            </w:pPr>
          </w:p>
        </w:tc>
      </w:tr>
      <w:tr w:rsidR="003E022D">
        <w:tc>
          <w:tcPr>
            <w:tcW w:w="1985" w:type="dxa"/>
          </w:tcPr>
          <w:p w:rsidR="003E022D" w:rsidRDefault="007D19D6">
            <w:pPr>
              <w:rPr>
                <w:bCs/>
                <w:noProof/>
              </w:rPr>
            </w:pPr>
            <w:r>
              <w:rPr>
                <w:noProof/>
              </w:rPr>
              <w:t>50.04-50.05</w:t>
            </w:r>
          </w:p>
        </w:tc>
        <w:tc>
          <w:tcPr>
            <w:tcW w:w="7514" w:type="dxa"/>
          </w:tcPr>
          <w:p w:rsidR="003E022D" w:rsidRDefault="007D19D6">
            <w:pPr>
              <w:rPr>
                <w:bCs/>
                <w:noProof/>
              </w:rPr>
            </w:pPr>
            <w:r>
              <w:rPr>
                <w:noProof/>
              </w:rPr>
              <w:t xml:space="preserve">Dabisko šķiedru vērpšana, </w:t>
            </w:r>
          </w:p>
          <w:p w:rsidR="003E022D" w:rsidRDefault="007D19D6">
            <w:pPr>
              <w:rPr>
                <w:bCs/>
                <w:noProof/>
              </w:rPr>
            </w:pPr>
            <w:r>
              <w:rPr>
                <w:noProof/>
              </w:rPr>
              <w:t xml:space="preserve">ķīmisko vienlaidu pavedienu ekstrūzija apvienojumā ar vērpšanu, </w:t>
            </w:r>
          </w:p>
          <w:p w:rsidR="003E022D" w:rsidRDefault="007D19D6">
            <w:pPr>
              <w:rPr>
                <w:bCs/>
                <w:noProof/>
              </w:rPr>
            </w:pPr>
            <w:r>
              <w:rPr>
                <w:noProof/>
              </w:rPr>
              <w:t>ķīmisko vienlaidu pavedienu ekstrūzija apvienojumā ar šķeterēšanu</w:t>
            </w:r>
          </w:p>
          <w:p w:rsidR="003E022D" w:rsidRDefault="007D19D6">
            <w:pPr>
              <w:rPr>
                <w:bCs/>
                <w:noProof/>
              </w:rPr>
            </w:pPr>
            <w:r>
              <w:rPr>
                <w:noProof/>
              </w:rPr>
              <w:t>vai</w:t>
            </w:r>
          </w:p>
          <w:p w:rsidR="003E022D" w:rsidRDefault="007D19D6">
            <w:pPr>
              <w:rPr>
                <w:bCs/>
                <w:noProof/>
              </w:rPr>
            </w:pPr>
            <w:r>
              <w:rPr>
                <w:noProof/>
              </w:rPr>
              <w:t>šķeterēšana apvienojumā ar jebkādu mehānisku darbību.</w:t>
            </w:r>
          </w:p>
        </w:tc>
      </w:tr>
      <w:tr w:rsidR="003E022D">
        <w:tc>
          <w:tcPr>
            <w:tcW w:w="1985" w:type="dxa"/>
          </w:tcPr>
          <w:p w:rsidR="003E022D" w:rsidRDefault="007D19D6">
            <w:pPr>
              <w:rPr>
                <w:bCs/>
                <w:noProof/>
              </w:rPr>
            </w:pPr>
            <w:r>
              <w:rPr>
                <w:noProof/>
              </w:rPr>
              <w:t>50.06</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zīda dzija un dzija no zīda atlikām</w:t>
            </w:r>
          </w:p>
          <w:p w:rsidR="003E022D" w:rsidRDefault="003E022D">
            <w:pPr>
              <w:rPr>
                <w:bCs/>
                <w:noProof/>
              </w:rPr>
            </w:pPr>
          </w:p>
        </w:tc>
        <w:tc>
          <w:tcPr>
            <w:tcW w:w="7514" w:type="dxa"/>
          </w:tcPr>
          <w:p w:rsidR="003E022D" w:rsidRDefault="007D19D6">
            <w:pPr>
              <w:rPr>
                <w:bCs/>
                <w:noProof/>
              </w:rPr>
            </w:pPr>
            <w:r>
              <w:rPr>
                <w:noProof/>
              </w:rPr>
              <w:t>Dabisko šķiedru vē</w:t>
            </w:r>
            <w:r>
              <w:rPr>
                <w:noProof/>
              </w:rPr>
              <w:t xml:space="preserve">rpšana, </w:t>
            </w:r>
          </w:p>
          <w:p w:rsidR="003E022D" w:rsidRDefault="007D19D6">
            <w:pPr>
              <w:rPr>
                <w:bCs/>
                <w:noProof/>
              </w:rPr>
            </w:pPr>
            <w:r>
              <w:rPr>
                <w:noProof/>
              </w:rPr>
              <w:t xml:space="preserve">ķīmisko vienlaidu pavedienu ekstrūzija apvienojumā ar vērpšanu, </w:t>
            </w:r>
          </w:p>
          <w:p w:rsidR="003E022D" w:rsidRDefault="007D19D6">
            <w:pPr>
              <w:rPr>
                <w:bCs/>
                <w:noProof/>
              </w:rPr>
            </w:pPr>
            <w:r>
              <w:rPr>
                <w:noProof/>
              </w:rPr>
              <w:t>ķīmisko vienlaidu pavedienu ekstrūzija apvienojumā ar šķeterēšanu</w:t>
            </w:r>
          </w:p>
          <w:p w:rsidR="003E022D" w:rsidRDefault="007D19D6">
            <w:pPr>
              <w:rPr>
                <w:bCs/>
                <w:noProof/>
              </w:rPr>
            </w:pPr>
            <w:r>
              <w:rPr>
                <w:noProof/>
              </w:rPr>
              <w:t>vai</w:t>
            </w:r>
          </w:p>
          <w:p w:rsidR="003E022D" w:rsidRDefault="007D19D6">
            <w:pPr>
              <w:rPr>
                <w:bCs/>
                <w:noProof/>
              </w:rPr>
            </w:pPr>
            <w:r>
              <w:rPr>
                <w:noProof/>
              </w:rPr>
              <w:t>šķeterēšana apvienojumā ar jebkādu mehānisku darbību.</w:t>
            </w:r>
          </w:p>
        </w:tc>
      </w:tr>
      <w:tr w:rsidR="003E022D">
        <w:tc>
          <w:tcPr>
            <w:tcW w:w="1985" w:type="dxa"/>
          </w:tcPr>
          <w:p w:rsidR="003E022D" w:rsidRDefault="007D19D6">
            <w:pPr>
              <w:rPr>
                <w:bCs/>
                <w:noProof/>
              </w:rPr>
            </w:pPr>
            <w:r>
              <w:rPr>
                <w:noProof/>
              </w:rPr>
              <w:t>- zīdvērpēja pavediens</w:t>
            </w:r>
          </w:p>
          <w:p w:rsidR="003E022D" w:rsidRDefault="003E022D">
            <w:pPr>
              <w:rPr>
                <w:bCs/>
                <w:noProof/>
              </w:rPr>
            </w:pPr>
          </w:p>
        </w:tc>
        <w:tc>
          <w:tcPr>
            <w:tcW w:w="7514" w:type="dxa"/>
          </w:tcPr>
          <w:p w:rsidR="003E022D" w:rsidRDefault="007D19D6">
            <w:pPr>
              <w:rPr>
                <w:bCs/>
                <w:noProof/>
              </w:rPr>
            </w:pPr>
            <w:r>
              <w:rPr>
                <w:i/>
                <w:noProof/>
              </w:rPr>
              <w:t>CTH</w:t>
            </w:r>
          </w:p>
          <w:p w:rsidR="003E022D" w:rsidRDefault="003E022D">
            <w:pPr>
              <w:rPr>
                <w:bCs/>
                <w:noProof/>
              </w:rPr>
            </w:pPr>
          </w:p>
        </w:tc>
      </w:tr>
      <w:tr w:rsidR="003E022D">
        <w:tc>
          <w:tcPr>
            <w:tcW w:w="1985" w:type="dxa"/>
          </w:tcPr>
          <w:p w:rsidR="003E022D" w:rsidRDefault="007D19D6">
            <w:pPr>
              <w:rPr>
                <w:bCs/>
                <w:noProof/>
              </w:rPr>
            </w:pPr>
            <w:r>
              <w:rPr>
                <w:noProof/>
              </w:rPr>
              <w:t>50.07</w:t>
            </w:r>
          </w:p>
          <w:p w:rsidR="003E022D" w:rsidRDefault="003E022D">
            <w:pPr>
              <w:rPr>
                <w:bCs/>
                <w:noProof/>
              </w:rPr>
            </w:pPr>
          </w:p>
        </w:tc>
        <w:tc>
          <w:tcPr>
            <w:tcW w:w="7514" w:type="dxa"/>
          </w:tcPr>
          <w:p w:rsidR="003E022D" w:rsidRDefault="007D19D6">
            <w:pPr>
              <w:rPr>
                <w:bCs/>
                <w:noProof/>
              </w:rPr>
            </w:pPr>
            <w:r>
              <w:rPr>
                <w:noProof/>
              </w:rPr>
              <w:t xml:space="preserve">Dabisko vai ķīmisko štāpeļšķiedru vērpšana apvienojumā ar aušanu, </w:t>
            </w:r>
          </w:p>
          <w:p w:rsidR="003E022D" w:rsidRDefault="007D19D6">
            <w:pPr>
              <w:rPr>
                <w:bCs/>
                <w:noProof/>
              </w:rPr>
            </w:pPr>
            <w:r>
              <w:rPr>
                <w:noProof/>
              </w:rPr>
              <w:t xml:space="preserve">ķīmisko pavedienu dzijas ekstrūzija apvienojumā ar aušanu, </w:t>
            </w:r>
          </w:p>
          <w:p w:rsidR="003E022D" w:rsidRDefault="007D19D6">
            <w:pPr>
              <w:rPr>
                <w:bCs/>
                <w:noProof/>
              </w:rPr>
            </w:pPr>
            <w:r>
              <w:rPr>
                <w:noProof/>
              </w:rPr>
              <w:t xml:space="preserve">šķeterēšana vai jebkāda mehāniska darbība apvienojumā ar aušanu, </w:t>
            </w:r>
          </w:p>
          <w:p w:rsidR="003E022D" w:rsidRDefault="007D19D6">
            <w:pPr>
              <w:rPr>
                <w:bCs/>
                <w:noProof/>
              </w:rPr>
            </w:pPr>
            <w:r>
              <w:rPr>
                <w:noProof/>
              </w:rPr>
              <w:t xml:space="preserve">aušana apvienojumā ar krāsošanu, </w:t>
            </w:r>
          </w:p>
          <w:p w:rsidR="003E022D" w:rsidRDefault="007D19D6">
            <w:pPr>
              <w:rPr>
                <w:bCs/>
                <w:noProof/>
              </w:rPr>
            </w:pPr>
            <w:r>
              <w:rPr>
                <w:noProof/>
              </w:rPr>
              <w:t xml:space="preserve">dzijas krāsošana apvienojumā </w:t>
            </w:r>
            <w:r>
              <w:rPr>
                <w:noProof/>
              </w:rPr>
              <w:t xml:space="preserve">ar aušanu, </w:t>
            </w:r>
          </w:p>
          <w:p w:rsidR="003E022D" w:rsidRDefault="007D19D6">
            <w:pPr>
              <w:rPr>
                <w:bCs/>
                <w:noProof/>
              </w:rPr>
            </w:pPr>
            <w:r>
              <w:rPr>
                <w:noProof/>
              </w:rPr>
              <w:t>aušana apvienojumā ar apdrukāšanu</w:t>
            </w:r>
          </w:p>
          <w:p w:rsidR="003E022D" w:rsidRDefault="007D19D6">
            <w:pPr>
              <w:rPr>
                <w:bCs/>
                <w:noProof/>
              </w:rPr>
            </w:pPr>
            <w:r>
              <w:rPr>
                <w:noProof/>
              </w:rPr>
              <w:t>vai</w:t>
            </w:r>
          </w:p>
          <w:p w:rsidR="003E022D" w:rsidRDefault="007D19D6">
            <w:pPr>
              <w:rPr>
                <w:bCs/>
                <w:noProof/>
              </w:rPr>
            </w:pPr>
            <w:r>
              <w:rPr>
                <w:noProof/>
              </w:rPr>
              <w:t>apdrukāšana (kā atsevišķa darbība).</w:t>
            </w:r>
          </w:p>
        </w:tc>
      </w:tr>
      <w:tr w:rsidR="003E022D">
        <w:tc>
          <w:tcPr>
            <w:tcW w:w="1985" w:type="dxa"/>
          </w:tcPr>
          <w:p w:rsidR="003E022D" w:rsidRDefault="007D19D6">
            <w:pPr>
              <w:rPr>
                <w:b/>
                <w:noProof/>
              </w:rPr>
            </w:pPr>
            <w:r>
              <w:rPr>
                <w:b/>
                <w:noProof/>
              </w:rPr>
              <w:t>51. nodaļa</w:t>
            </w:r>
          </w:p>
        </w:tc>
        <w:tc>
          <w:tcPr>
            <w:tcW w:w="7514" w:type="dxa"/>
          </w:tcPr>
          <w:p w:rsidR="003E022D" w:rsidRDefault="007D19D6">
            <w:pPr>
              <w:rPr>
                <w:b/>
                <w:noProof/>
              </w:rPr>
            </w:pPr>
            <w:r>
              <w:rPr>
                <w:b/>
                <w:noProof/>
              </w:rPr>
              <w:t>Vilna, smalkie vai rupjie dzīvnieku mati; zirgu astru dzija un austs audums</w:t>
            </w:r>
          </w:p>
        </w:tc>
      </w:tr>
      <w:tr w:rsidR="003E022D">
        <w:tc>
          <w:tcPr>
            <w:tcW w:w="1985" w:type="dxa"/>
          </w:tcPr>
          <w:p w:rsidR="003E022D" w:rsidRDefault="007D19D6">
            <w:pPr>
              <w:rPr>
                <w:bCs/>
                <w:noProof/>
              </w:rPr>
            </w:pPr>
            <w:r>
              <w:rPr>
                <w:noProof/>
              </w:rPr>
              <w:t>51.01-51.05</w:t>
            </w:r>
          </w:p>
        </w:tc>
        <w:tc>
          <w:tcPr>
            <w:tcW w:w="7514" w:type="dxa"/>
          </w:tcPr>
          <w:p w:rsidR="003E022D" w:rsidRDefault="007D19D6">
            <w:pPr>
              <w:rPr>
                <w:bCs/>
                <w:noProof/>
              </w:rPr>
            </w:pPr>
            <w:r>
              <w:rPr>
                <w:i/>
                <w:noProof/>
              </w:rPr>
              <w:t>CTH</w:t>
            </w:r>
          </w:p>
          <w:p w:rsidR="003E022D" w:rsidRDefault="003E022D">
            <w:pPr>
              <w:rPr>
                <w:bCs/>
                <w:noProof/>
              </w:rPr>
            </w:pPr>
          </w:p>
        </w:tc>
      </w:tr>
      <w:tr w:rsidR="003E022D">
        <w:tc>
          <w:tcPr>
            <w:tcW w:w="1985" w:type="dxa"/>
          </w:tcPr>
          <w:p w:rsidR="003E022D" w:rsidRDefault="007D19D6">
            <w:pPr>
              <w:rPr>
                <w:bCs/>
                <w:noProof/>
              </w:rPr>
            </w:pPr>
            <w:r>
              <w:rPr>
                <w:noProof/>
              </w:rPr>
              <w:t>51.06-51.10</w:t>
            </w:r>
          </w:p>
        </w:tc>
        <w:tc>
          <w:tcPr>
            <w:tcW w:w="7514" w:type="dxa"/>
          </w:tcPr>
          <w:p w:rsidR="003E022D" w:rsidRDefault="007D19D6">
            <w:pPr>
              <w:rPr>
                <w:bCs/>
                <w:noProof/>
              </w:rPr>
            </w:pPr>
            <w:r>
              <w:rPr>
                <w:noProof/>
              </w:rPr>
              <w:t xml:space="preserve">Dabisko šķiedru vērpšana, </w:t>
            </w:r>
          </w:p>
          <w:p w:rsidR="003E022D" w:rsidRDefault="007D19D6">
            <w:pPr>
              <w:rPr>
                <w:bCs/>
                <w:noProof/>
              </w:rPr>
            </w:pPr>
            <w:r>
              <w:rPr>
                <w:noProof/>
              </w:rPr>
              <w:t xml:space="preserve">ķīmisko šķiedru </w:t>
            </w:r>
            <w:r>
              <w:rPr>
                <w:noProof/>
              </w:rPr>
              <w:t>ekstrūzija apvienojumā ar vērpšanu,</w:t>
            </w:r>
          </w:p>
          <w:p w:rsidR="003E022D" w:rsidRDefault="007D19D6">
            <w:pPr>
              <w:rPr>
                <w:bCs/>
                <w:noProof/>
              </w:rPr>
            </w:pPr>
            <w:r>
              <w:rPr>
                <w:noProof/>
              </w:rPr>
              <w:t>vai</w:t>
            </w:r>
          </w:p>
          <w:p w:rsidR="003E022D" w:rsidRDefault="007D19D6">
            <w:pPr>
              <w:rPr>
                <w:bCs/>
                <w:noProof/>
              </w:rPr>
            </w:pPr>
            <w:r>
              <w:rPr>
                <w:noProof/>
              </w:rPr>
              <w:t>šķeterēšana apvienojumā ar jebkādu mehānisku darbību.</w:t>
            </w:r>
          </w:p>
        </w:tc>
      </w:tr>
      <w:tr w:rsidR="003E022D">
        <w:tc>
          <w:tcPr>
            <w:tcW w:w="1985" w:type="dxa"/>
          </w:tcPr>
          <w:p w:rsidR="003E022D" w:rsidRDefault="007D19D6">
            <w:pPr>
              <w:rPr>
                <w:bCs/>
                <w:noProof/>
              </w:rPr>
            </w:pPr>
            <w:r>
              <w:rPr>
                <w:noProof/>
              </w:rPr>
              <w:t>51.11-51.13</w:t>
            </w:r>
          </w:p>
        </w:tc>
        <w:tc>
          <w:tcPr>
            <w:tcW w:w="7514" w:type="dxa"/>
          </w:tcPr>
          <w:p w:rsidR="003E022D" w:rsidRDefault="007D19D6">
            <w:pPr>
              <w:rPr>
                <w:bCs/>
                <w:noProof/>
              </w:rPr>
            </w:pPr>
            <w:r>
              <w:rPr>
                <w:noProof/>
              </w:rPr>
              <w:t xml:space="preserve">Dabisko vai ķīmisko štāpeļšķiedru vērpšana apvienojumā ar aušanu, </w:t>
            </w:r>
          </w:p>
          <w:p w:rsidR="003E022D" w:rsidRDefault="007D19D6">
            <w:pPr>
              <w:rPr>
                <w:bCs/>
                <w:noProof/>
              </w:rPr>
            </w:pPr>
            <w:r>
              <w:rPr>
                <w:noProof/>
              </w:rPr>
              <w:t xml:space="preserve">ķīmisko pavedienu dzijas ekstrūzija apvienojumā ar aušanu, </w:t>
            </w:r>
          </w:p>
          <w:p w:rsidR="003E022D" w:rsidRDefault="007D19D6">
            <w:pPr>
              <w:rPr>
                <w:bCs/>
                <w:noProof/>
              </w:rPr>
            </w:pPr>
            <w:r>
              <w:rPr>
                <w:noProof/>
              </w:rPr>
              <w:t xml:space="preserve">aušana apvienojumā ar </w:t>
            </w:r>
            <w:r>
              <w:rPr>
                <w:noProof/>
              </w:rPr>
              <w:t xml:space="preserve">krāsošanu, </w:t>
            </w:r>
          </w:p>
          <w:p w:rsidR="003E022D" w:rsidRDefault="007D19D6">
            <w:pPr>
              <w:rPr>
                <w:bCs/>
                <w:noProof/>
              </w:rPr>
            </w:pPr>
            <w:r>
              <w:rPr>
                <w:noProof/>
              </w:rPr>
              <w:t xml:space="preserve">dzijas krāsošana apvienojumā ar aušanu, </w:t>
            </w:r>
          </w:p>
          <w:p w:rsidR="003E022D" w:rsidRDefault="007D19D6">
            <w:pPr>
              <w:rPr>
                <w:bCs/>
                <w:noProof/>
              </w:rPr>
            </w:pPr>
            <w:r>
              <w:rPr>
                <w:noProof/>
              </w:rPr>
              <w:t>aušana apvienojumā ar apdrukāšanu</w:t>
            </w:r>
          </w:p>
          <w:p w:rsidR="003E022D" w:rsidRDefault="007D19D6">
            <w:pPr>
              <w:rPr>
                <w:bCs/>
                <w:noProof/>
              </w:rPr>
            </w:pPr>
            <w:r>
              <w:rPr>
                <w:noProof/>
              </w:rPr>
              <w:t>vai</w:t>
            </w:r>
          </w:p>
          <w:p w:rsidR="003E022D" w:rsidRDefault="007D19D6">
            <w:pPr>
              <w:rPr>
                <w:bCs/>
                <w:noProof/>
              </w:rPr>
            </w:pPr>
            <w:r>
              <w:rPr>
                <w:noProof/>
              </w:rPr>
              <w:t>apdrukāšana (kā atsevišķa darbība).</w:t>
            </w:r>
          </w:p>
        </w:tc>
      </w:tr>
      <w:tr w:rsidR="003E022D">
        <w:tc>
          <w:tcPr>
            <w:tcW w:w="1985" w:type="dxa"/>
          </w:tcPr>
          <w:p w:rsidR="003E022D" w:rsidRDefault="007D19D6">
            <w:pPr>
              <w:rPr>
                <w:b/>
                <w:noProof/>
              </w:rPr>
            </w:pPr>
            <w:r>
              <w:rPr>
                <w:b/>
                <w:noProof/>
              </w:rPr>
              <w:t>52. nodaļa</w:t>
            </w:r>
          </w:p>
        </w:tc>
        <w:tc>
          <w:tcPr>
            <w:tcW w:w="7514" w:type="dxa"/>
          </w:tcPr>
          <w:p w:rsidR="003E022D" w:rsidRDefault="007D19D6">
            <w:pPr>
              <w:rPr>
                <w:b/>
                <w:noProof/>
              </w:rPr>
            </w:pPr>
            <w:r>
              <w:rPr>
                <w:b/>
                <w:noProof/>
              </w:rPr>
              <w:t>Kokvilna</w:t>
            </w:r>
          </w:p>
        </w:tc>
      </w:tr>
      <w:tr w:rsidR="003E022D">
        <w:tc>
          <w:tcPr>
            <w:tcW w:w="1985" w:type="dxa"/>
          </w:tcPr>
          <w:p w:rsidR="003E022D" w:rsidRDefault="007D19D6">
            <w:pPr>
              <w:rPr>
                <w:bCs/>
                <w:noProof/>
              </w:rPr>
            </w:pPr>
            <w:r>
              <w:rPr>
                <w:noProof/>
              </w:rPr>
              <w:t>52.01-52.03</w:t>
            </w:r>
          </w:p>
        </w:tc>
        <w:tc>
          <w:tcPr>
            <w:tcW w:w="7514" w:type="dxa"/>
          </w:tcPr>
          <w:p w:rsidR="003E022D" w:rsidRDefault="007D19D6">
            <w:pPr>
              <w:rPr>
                <w:bCs/>
                <w:noProof/>
              </w:rPr>
            </w:pPr>
            <w:r>
              <w:rPr>
                <w:i/>
                <w:noProof/>
              </w:rPr>
              <w:t>CTH</w:t>
            </w:r>
          </w:p>
          <w:p w:rsidR="003E022D" w:rsidRDefault="003E022D">
            <w:pPr>
              <w:rPr>
                <w:bCs/>
                <w:noProof/>
              </w:rPr>
            </w:pPr>
          </w:p>
        </w:tc>
      </w:tr>
      <w:tr w:rsidR="003E022D">
        <w:tc>
          <w:tcPr>
            <w:tcW w:w="1985" w:type="dxa"/>
          </w:tcPr>
          <w:p w:rsidR="003E022D" w:rsidRDefault="007D19D6">
            <w:pPr>
              <w:rPr>
                <w:bCs/>
                <w:noProof/>
              </w:rPr>
            </w:pPr>
            <w:r>
              <w:rPr>
                <w:noProof/>
              </w:rPr>
              <w:t>52.04-52.07</w:t>
            </w:r>
          </w:p>
          <w:p w:rsidR="003E022D" w:rsidRDefault="003E022D">
            <w:pPr>
              <w:rPr>
                <w:bCs/>
                <w:noProof/>
              </w:rPr>
            </w:pPr>
          </w:p>
        </w:tc>
        <w:tc>
          <w:tcPr>
            <w:tcW w:w="7514" w:type="dxa"/>
          </w:tcPr>
          <w:p w:rsidR="003E022D" w:rsidRDefault="007D19D6">
            <w:pPr>
              <w:rPr>
                <w:bCs/>
                <w:noProof/>
              </w:rPr>
            </w:pPr>
            <w:r>
              <w:rPr>
                <w:noProof/>
              </w:rPr>
              <w:t xml:space="preserve">Dabisko šķiedru vērpšana, </w:t>
            </w:r>
          </w:p>
          <w:p w:rsidR="003E022D" w:rsidRDefault="007D19D6">
            <w:pPr>
              <w:rPr>
                <w:bCs/>
                <w:noProof/>
              </w:rPr>
            </w:pPr>
            <w:r>
              <w:rPr>
                <w:noProof/>
              </w:rPr>
              <w:t xml:space="preserve">ķīmisko šķiedru ekstrūzija apvienojumā ar </w:t>
            </w:r>
            <w:r>
              <w:rPr>
                <w:noProof/>
              </w:rPr>
              <w:t>vērpšanu,</w:t>
            </w:r>
          </w:p>
          <w:p w:rsidR="003E022D" w:rsidRDefault="007D19D6">
            <w:pPr>
              <w:rPr>
                <w:bCs/>
                <w:noProof/>
              </w:rPr>
            </w:pPr>
            <w:r>
              <w:rPr>
                <w:noProof/>
              </w:rPr>
              <w:t>vai</w:t>
            </w:r>
          </w:p>
          <w:p w:rsidR="003E022D" w:rsidRDefault="007D19D6">
            <w:pPr>
              <w:rPr>
                <w:bCs/>
                <w:noProof/>
              </w:rPr>
            </w:pPr>
            <w:r>
              <w:rPr>
                <w:noProof/>
              </w:rPr>
              <w:t>šķeterēšana apvienojumā ar jebkādu mehānisku darbību.</w:t>
            </w:r>
          </w:p>
        </w:tc>
      </w:tr>
      <w:tr w:rsidR="003E022D">
        <w:tc>
          <w:tcPr>
            <w:tcW w:w="1985" w:type="dxa"/>
          </w:tcPr>
          <w:p w:rsidR="003E022D" w:rsidRDefault="007D19D6">
            <w:pPr>
              <w:rPr>
                <w:bCs/>
                <w:noProof/>
              </w:rPr>
            </w:pPr>
            <w:r>
              <w:rPr>
                <w:noProof/>
              </w:rPr>
              <w:t>52.08-52.12</w:t>
            </w:r>
          </w:p>
        </w:tc>
        <w:tc>
          <w:tcPr>
            <w:tcW w:w="7514" w:type="dxa"/>
          </w:tcPr>
          <w:p w:rsidR="003E022D" w:rsidRDefault="007D19D6">
            <w:pPr>
              <w:rPr>
                <w:bCs/>
                <w:noProof/>
              </w:rPr>
            </w:pPr>
            <w:r>
              <w:rPr>
                <w:noProof/>
              </w:rPr>
              <w:t xml:space="preserve">Dabisko vai ķīmisko štāpeļšķiedru vērpšana apvienojumā ar aušanu, </w:t>
            </w:r>
          </w:p>
          <w:p w:rsidR="003E022D" w:rsidRDefault="007D19D6">
            <w:pPr>
              <w:rPr>
                <w:bCs/>
                <w:noProof/>
              </w:rPr>
            </w:pPr>
            <w:r>
              <w:rPr>
                <w:noProof/>
              </w:rPr>
              <w:t xml:space="preserve">ķīmisko pavedienu dzijas ekstrūzija apvienojumā ar aušanu, </w:t>
            </w:r>
          </w:p>
          <w:p w:rsidR="003E022D" w:rsidRDefault="007D19D6">
            <w:pPr>
              <w:rPr>
                <w:bCs/>
                <w:noProof/>
              </w:rPr>
            </w:pPr>
            <w:r>
              <w:rPr>
                <w:noProof/>
              </w:rPr>
              <w:t>šķeterēšana vai jebkāda mehāniska darbība apvien</w:t>
            </w:r>
            <w:r>
              <w:rPr>
                <w:noProof/>
              </w:rPr>
              <w:t xml:space="preserve">ojumā ar aušanu, </w:t>
            </w:r>
          </w:p>
          <w:p w:rsidR="003E022D" w:rsidRDefault="007D19D6">
            <w:pPr>
              <w:rPr>
                <w:bCs/>
                <w:noProof/>
              </w:rPr>
            </w:pPr>
            <w:r>
              <w:rPr>
                <w:noProof/>
              </w:rPr>
              <w:t xml:space="preserve">aušana apvienojumā ar krāsošanu vai pārklāšanu vai laminēšanu, </w:t>
            </w:r>
          </w:p>
          <w:p w:rsidR="003E022D" w:rsidRDefault="007D19D6">
            <w:pPr>
              <w:rPr>
                <w:bCs/>
                <w:noProof/>
              </w:rPr>
            </w:pPr>
            <w:r>
              <w:rPr>
                <w:noProof/>
              </w:rPr>
              <w:t xml:space="preserve">dzijas krāsošana apvienojumā ar aušanu, </w:t>
            </w:r>
          </w:p>
          <w:p w:rsidR="003E022D" w:rsidRDefault="007D19D6">
            <w:pPr>
              <w:rPr>
                <w:bCs/>
                <w:noProof/>
              </w:rPr>
            </w:pPr>
            <w:r>
              <w:rPr>
                <w:noProof/>
              </w:rPr>
              <w:t>aušana apvienojumā ar apdrukāšanu</w:t>
            </w:r>
          </w:p>
          <w:p w:rsidR="003E022D" w:rsidRDefault="007D19D6">
            <w:pPr>
              <w:rPr>
                <w:bCs/>
                <w:noProof/>
              </w:rPr>
            </w:pPr>
            <w:r>
              <w:rPr>
                <w:noProof/>
              </w:rPr>
              <w:t>vai</w:t>
            </w:r>
          </w:p>
          <w:p w:rsidR="003E022D" w:rsidRDefault="007D19D6">
            <w:pPr>
              <w:rPr>
                <w:bCs/>
                <w:noProof/>
              </w:rPr>
            </w:pPr>
            <w:r>
              <w:rPr>
                <w:noProof/>
              </w:rPr>
              <w:t>apdrukāšana (kā atsevišķa darbība).</w:t>
            </w:r>
          </w:p>
        </w:tc>
      </w:tr>
      <w:tr w:rsidR="003E022D">
        <w:tc>
          <w:tcPr>
            <w:tcW w:w="1985" w:type="dxa"/>
          </w:tcPr>
          <w:p w:rsidR="003E022D" w:rsidRDefault="007D19D6">
            <w:pPr>
              <w:rPr>
                <w:b/>
                <w:noProof/>
              </w:rPr>
            </w:pPr>
            <w:r>
              <w:rPr>
                <w:b/>
                <w:noProof/>
              </w:rPr>
              <w:t>53. nodaļa</w:t>
            </w:r>
          </w:p>
        </w:tc>
        <w:tc>
          <w:tcPr>
            <w:tcW w:w="7514" w:type="dxa"/>
          </w:tcPr>
          <w:p w:rsidR="003E022D" w:rsidRDefault="007D19D6">
            <w:pPr>
              <w:rPr>
                <w:b/>
                <w:noProof/>
              </w:rPr>
            </w:pPr>
            <w:r>
              <w:rPr>
                <w:b/>
                <w:noProof/>
              </w:rPr>
              <w:t xml:space="preserve">Citādas augu tekstilšķiedras; papīra pavedieni </w:t>
            </w:r>
            <w:r>
              <w:rPr>
                <w:b/>
                <w:noProof/>
              </w:rPr>
              <w:t>un audumi no papīra pavedieniem</w:t>
            </w:r>
          </w:p>
        </w:tc>
      </w:tr>
      <w:tr w:rsidR="003E022D">
        <w:tc>
          <w:tcPr>
            <w:tcW w:w="1985" w:type="dxa"/>
          </w:tcPr>
          <w:p w:rsidR="003E022D" w:rsidRDefault="007D19D6">
            <w:pPr>
              <w:rPr>
                <w:bCs/>
                <w:noProof/>
              </w:rPr>
            </w:pPr>
            <w:r>
              <w:rPr>
                <w:noProof/>
              </w:rPr>
              <w:t>53.01-53.05</w:t>
            </w:r>
          </w:p>
        </w:tc>
        <w:tc>
          <w:tcPr>
            <w:tcW w:w="7514" w:type="dxa"/>
          </w:tcPr>
          <w:p w:rsidR="003E022D" w:rsidRDefault="007D19D6">
            <w:pPr>
              <w:rPr>
                <w:bCs/>
                <w:noProof/>
              </w:rPr>
            </w:pPr>
            <w:r>
              <w:rPr>
                <w:i/>
                <w:noProof/>
              </w:rPr>
              <w:t>CTH</w:t>
            </w:r>
          </w:p>
          <w:p w:rsidR="003E022D" w:rsidRDefault="003E022D">
            <w:pPr>
              <w:rPr>
                <w:bCs/>
                <w:noProof/>
              </w:rPr>
            </w:pPr>
          </w:p>
        </w:tc>
      </w:tr>
      <w:tr w:rsidR="003E022D">
        <w:tc>
          <w:tcPr>
            <w:tcW w:w="1985" w:type="dxa"/>
          </w:tcPr>
          <w:p w:rsidR="003E022D" w:rsidRDefault="007D19D6">
            <w:pPr>
              <w:rPr>
                <w:bCs/>
                <w:noProof/>
              </w:rPr>
            </w:pPr>
            <w:r>
              <w:rPr>
                <w:noProof/>
              </w:rPr>
              <w:t>53.06-53.08</w:t>
            </w:r>
          </w:p>
        </w:tc>
        <w:tc>
          <w:tcPr>
            <w:tcW w:w="7514" w:type="dxa"/>
          </w:tcPr>
          <w:p w:rsidR="003E022D" w:rsidRDefault="007D19D6">
            <w:pPr>
              <w:rPr>
                <w:bCs/>
                <w:noProof/>
              </w:rPr>
            </w:pPr>
            <w:r>
              <w:rPr>
                <w:noProof/>
              </w:rPr>
              <w:t xml:space="preserve">Dabisko šķiedru vērpšana, </w:t>
            </w:r>
          </w:p>
          <w:p w:rsidR="003E022D" w:rsidRDefault="007D19D6">
            <w:pPr>
              <w:rPr>
                <w:bCs/>
                <w:noProof/>
              </w:rPr>
            </w:pPr>
            <w:r>
              <w:rPr>
                <w:noProof/>
              </w:rPr>
              <w:t>ķīmisko šķiedru ekstrūzija apvienojumā ar vērpšanu,</w:t>
            </w:r>
          </w:p>
          <w:p w:rsidR="003E022D" w:rsidRDefault="007D19D6">
            <w:pPr>
              <w:rPr>
                <w:bCs/>
                <w:noProof/>
              </w:rPr>
            </w:pPr>
            <w:r>
              <w:rPr>
                <w:noProof/>
              </w:rPr>
              <w:t>vai</w:t>
            </w:r>
          </w:p>
          <w:p w:rsidR="003E022D" w:rsidRDefault="007D19D6">
            <w:pPr>
              <w:rPr>
                <w:bCs/>
                <w:noProof/>
              </w:rPr>
            </w:pPr>
            <w:r>
              <w:rPr>
                <w:noProof/>
              </w:rPr>
              <w:t>šķeterēšana apvienojumā ar jebkādu mehānisku darbību.</w:t>
            </w:r>
          </w:p>
        </w:tc>
      </w:tr>
      <w:tr w:rsidR="003E022D">
        <w:tc>
          <w:tcPr>
            <w:tcW w:w="1985" w:type="dxa"/>
          </w:tcPr>
          <w:p w:rsidR="003E022D" w:rsidRDefault="007D19D6">
            <w:pPr>
              <w:rPr>
                <w:bCs/>
                <w:noProof/>
              </w:rPr>
            </w:pPr>
            <w:r>
              <w:rPr>
                <w:noProof/>
              </w:rPr>
              <w:t>53.09-53.11</w:t>
            </w:r>
          </w:p>
        </w:tc>
        <w:tc>
          <w:tcPr>
            <w:tcW w:w="7514" w:type="dxa"/>
          </w:tcPr>
          <w:p w:rsidR="003E022D" w:rsidRDefault="007D19D6">
            <w:pPr>
              <w:rPr>
                <w:bCs/>
                <w:noProof/>
              </w:rPr>
            </w:pPr>
            <w:r>
              <w:rPr>
                <w:noProof/>
              </w:rPr>
              <w:t xml:space="preserve">Dabisko vai ķīmisko štāpeļšķiedru vērpšana apvienojumā ar aušanu, </w:t>
            </w:r>
          </w:p>
          <w:p w:rsidR="003E022D" w:rsidRDefault="007D19D6">
            <w:pPr>
              <w:rPr>
                <w:bCs/>
                <w:noProof/>
              </w:rPr>
            </w:pPr>
            <w:r>
              <w:rPr>
                <w:noProof/>
              </w:rPr>
              <w:t xml:space="preserve">ķīmisko pavedienu dzijas ekstrūzija apvienojumā ar aušanu, </w:t>
            </w:r>
          </w:p>
          <w:p w:rsidR="003E022D" w:rsidRDefault="007D19D6">
            <w:pPr>
              <w:rPr>
                <w:bCs/>
                <w:noProof/>
              </w:rPr>
            </w:pPr>
            <w:r>
              <w:rPr>
                <w:noProof/>
              </w:rPr>
              <w:t xml:space="preserve">aušana apvienojumā ar krāsošanu vai pārklāšanu vai laminēšanu, </w:t>
            </w:r>
          </w:p>
          <w:p w:rsidR="003E022D" w:rsidRDefault="007D19D6">
            <w:pPr>
              <w:rPr>
                <w:bCs/>
                <w:noProof/>
              </w:rPr>
            </w:pPr>
            <w:r>
              <w:rPr>
                <w:noProof/>
              </w:rPr>
              <w:t xml:space="preserve">dzijas krāsošana apvienojumā ar aušanu, </w:t>
            </w:r>
          </w:p>
          <w:p w:rsidR="003E022D" w:rsidRDefault="007D19D6">
            <w:pPr>
              <w:rPr>
                <w:bCs/>
                <w:noProof/>
              </w:rPr>
            </w:pPr>
            <w:r>
              <w:rPr>
                <w:noProof/>
              </w:rPr>
              <w:t>aušana apvienojumā ar ap</w:t>
            </w:r>
            <w:r>
              <w:rPr>
                <w:noProof/>
              </w:rPr>
              <w:t>drukāšanu</w:t>
            </w:r>
          </w:p>
          <w:p w:rsidR="003E022D" w:rsidRDefault="007D19D6">
            <w:pPr>
              <w:rPr>
                <w:bCs/>
                <w:noProof/>
              </w:rPr>
            </w:pPr>
            <w:r>
              <w:rPr>
                <w:noProof/>
              </w:rPr>
              <w:t>vai</w:t>
            </w:r>
          </w:p>
          <w:p w:rsidR="003E022D" w:rsidRDefault="007D19D6">
            <w:pPr>
              <w:rPr>
                <w:bCs/>
                <w:noProof/>
              </w:rPr>
            </w:pPr>
            <w:r>
              <w:rPr>
                <w:noProof/>
              </w:rPr>
              <w:t>apdrukāšana (kā atsevišķa darbība).</w:t>
            </w:r>
          </w:p>
        </w:tc>
      </w:tr>
      <w:tr w:rsidR="003E022D">
        <w:tc>
          <w:tcPr>
            <w:tcW w:w="1985" w:type="dxa"/>
          </w:tcPr>
          <w:p w:rsidR="003E022D" w:rsidRDefault="007D19D6">
            <w:pPr>
              <w:rPr>
                <w:b/>
                <w:noProof/>
              </w:rPr>
            </w:pPr>
            <w:r>
              <w:rPr>
                <w:b/>
                <w:noProof/>
              </w:rPr>
              <w:t>54. nodaļa</w:t>
            </w:r>
          </w:p>
        </w:tc>
        <w:tc>
          <w:tcPr>
            <w:tcW w:w="7514" w:type="dxa"/>
          </w:tcPr>
          <w:p w:rsidR="003E022D" w:rsidRDefault="007D19D6">
            <w:pPr>
              <w:rPr>
                <w:b/>
                <w:noProof/>
              </w:rPr>
            </w:pPr>
            <w:r>
              <w:rPr>
                <w:b/>
                <w:noProof/>
              </w:rPr>
              <w:t>Ķīmiskie pavedieni; dekoratīvās lentes un tamlīdzīgi ķīmiskie tekstilmateriāli</w:t>
            </w:r>
          </w:p>
        </w:tc>
      </w:tr>
      <w:tr w:rsidR="003E022D">
        <w:tc>
          <w:tcPr>
            <w:tcW w:w="1985" w:type="dxa"/>
          </w:tcPr>
          <w:p w:rsidR="003E022D" w:rsidRDefault="007D19D6">
            <w:pPr>
              <w:rPr>
                <w:bCs/>
                <w:noProof/>
              </w:rPr>
            </w:pPr>
            <w:r>
              <w:rPr>
                <w:noProof/>
              </w:rPr>
              <w:t>54.01-54.06</w:t>
            </w:r>
          </w:p>
        </w:tc>
        <w:tc>
          <w:tcPr>
            <w:tcW w:w="7514" w:type="dxa"/>
          </w:tcPr>
          <w:p w:rsidR="003E022D" w:rsidRDefault="007D19D6">
            <w:pPr>
              <w:rPr>
                <w:bCs/>
                <w:noProof/>
              </w:rPr>
            </w:pPr>
            <w:r>
              <w:rPr>
                <w:noProof/>
              </w:rPr>
              <w:t xml:space="preserve">Dabisko šķiedru vērpšana, </w:t>
            </w:r>
          </w:p>
          <w:p w:rsidR="003E022D" w:rsidRDefault="007D19D6">
            <w:pPr>
              <w:rPr>
                <w:bCs/>
                <w:noProof/>
              </w:rPr>
            </w:pPr>
            <w:r>
              <w:rPr>
                <w:noProof/>
              </w:rPr>
              <w:t>ķīmisko šķiedru ekstrūzija apvienojumā ar vērpšanu,</w:t>
            </w:r>
          </w:p>
          <w:p w:rsidR="003E022D" w:rsidRDefault="007D19D6">
            <w:pPr>
              <w:rPr>
                <w:bCs/>
                <w:noProof/>
              </w:rPr>
            </w:pPr>
            <w:r>
              <w:rPr>
                <w:noProof/>
              </w:rPr>
              <w:t>vai</w:t>
            </w:r>
          </w:p>
          <w:p w:rsidR="003E022D" w:rsidRDefault="007D19D6">
            <w:pPr>
              <w:rPr>
                <w:bCs/>
                <w:noProof/>
              </w:rPr>
            </w:pPr>
            <w:r>
              <w:rPr>
                <w:noProof/>
              </w:rPr>
              <w:t xml:space="preserve">šķeterēšana </w:t>
            </w:r>
            <w:r>
              <w:rPr>
                <w:noProof/>
              </w:rPr>
              <w:t>apvienojumā ar jebkādu mehānisku darbību.</w:t>
            </w:r>
          </w:p>
        </w:tc>
      </w:tr>
      <w:tr w:rsidR="003E022D">
        <w:tc>
          <w:tcPr>
            <w:tcW w:w="1985" w:type="dxa"/>
          </w:tcPr>
          <w:p w:rsidR="003E022D" w:rsidRDefault="007D19D6">
            <w:pPr>
              <w:rPr>
                <w:bCs/>
                <w:noProof/>
              </w:rPr>
            </w:pPr>
            <w:r>
              <w:rPr>
                <w:noProof/>
              </w:rPr>
              <w:t>54.07-54.08</w:t>
            </w:r>
          </w:p>
        </w:tc>
        <w:tc>
          <w:tcPr>
            <w:tcW w:w="7514" w:type="dxa"/>
          </w:tcPr>
          <w:p w:rsidR="003E022D" w:rsidRDefault="007D19D6">
            <w:pPr>
              <w:rPr>
                <w:bCs/>
                <w:noProof/>
              </w:rPr>
            </w:pPr>
            <w:r>
              <w:rPr>
                <w:noProof/>
              </w:rPr>
              <w:t xml:space="preserve">Dabisko vai ķīmisko štāpeļšķiedru vērpšana apvienojumā ar aušanu, </w:t>
            </w:r>
          </w:p>
          <w:p w:rsidR="003E022D" w:rsidRDefault="007D19D6">
            <w:pPr>
              <w:rPr>
                <w:bCs/>
                <w:noProof/>
              </w:rPr>
            </w:pPr>
            <w:r>
              <w:rPr>
                <w:noProof/>
              </w:rPr>
              <w:t xml:space="preserve">ķīmisko pavedienu dzijas ekstrūzija apvienojumā ar aušanu, </w:t>
            </w:r>
          </w:p>
          <w:p w:rsidR="003E022D" w:rsidRDefault="007D19D6">
            <w:pPr>
              <w:rPr>
                <w:bCs/>
                <w:noProof/>
              </w:rPr>
            </w:pPr>
            <w:r>
              <w:rPr>
                <w:noProof/>
              </w:rPr>
              <w:t xml:space="preserve">dzijas krāsošana apvienojumā ar aušanu, </w:t>
            </w:r>
          </w:p>
          <w:p w:rsidR="003E022D" w:rsidRDefault="007D19D6">
            <w:pPr>
              <w:rPr>
                <w:bCs/>
                <w:noProof/>
              </w:rPr>
            </w:pPr>
            <w:r>
              <w:rPr>
                <w:noProof/>
              </w:rPr>
              <w:t>aušana apvienojumā ar krāsošanu v</w:t>
            </w:r>
            <w:r>
              <w:rPr>
                <w:noProof/>
              </w:rPr>
              <w:t xml:space="preserve">ai pārklāšanu vai laminēšanu, </w:t>
            </w:r>
          </w:p>
          <w:p w:rsidR="003E022D" w:rsidRDefault="007D19D6">
            <w:pPr>
              <w:rPr>
                <w:bCs/>
                <w:noProof/>
              </w:rPr>
            </w:pPr>
            <w:r>
              <w:rPr>
                <w:noProof/>
              </w:rPr>
              <w:t xml:space="preserve">šķeterēšana vai jebkāda mehāniska darbība apvienojumā ar aušanu, </w:t>
            </w:r>
          </w:p>
          <w:p w:rsidR="003E022D" w:rsidRDefault="007D19D6">
            <w:pPr>
              <w:rPr>
                <w:bCs/>
                <w:noProof/>
              </w:rPr>
            </w:pPr>
            <w:r>
              <w:rPr>
                <w:noProof/>
              </w:rPr>
              <w:t>aušana apvienojumā ar apdrukāšanu</w:t>
            </w:r>
          </w:p>
          <w:p w:rsidR="003E022D" w:rsidRDefault="007D19D6">
            <w:pPr>
              <w:rPr>
                <w:bCs/>
                <w:noProof/>
              </w:rPr>
            </w:pPr>
            <w:r>
              <w:rPr>
                <w:noProof/>
              </w:rPr>
              <w:t>vai</w:t>
            </w:r>
          </w:p>
          <w:p w:rsidR="003E022D" w:rsidRDefault="007D19D6">
            <w:pPr>
              <w:rPr>
                <w:bCs/>
                <w:noProof/>
              </w:rPr>
            </w:pPr>
            <w:r>
              <w:rPr>
                <w:noProof/>
              </w:rPr>
              <w:t>apdrukāšana (kā atsevišķa darbība).</w:t>
            </w:r>
          </w:p>
        </w:tc>
      </w:tr>
      <w:tr w:rsidR="003E022D">
        <w:tc>
          <w:tcPr>
            <w:tcW w:w="1985" w:type="dxa"/>
          </w:tcPr>
          <w:p w:rsidR="003E022D" w:rsidRDefault="007D19D6">
            <w:pPr>
              <w:rPr>
                <w:b/>
                <w:noProof/>
              </w:rPr>
            </w:pPr>
            <w:r>
              <w:rPr>
                <w:b/>
                <w:noProof/>
              </w:rPr>
              <w:t>55. nodaļa</w:t>
            </w:r>
          </w:p>
        </w:tc>
        <w:tc>
          <w:tcPr>
            <w:tcW w:w="7514" w:type="dxa"/>
          </w:tcPr>
          <w:p w:rsidR="003E022D" w:rsidRDefault="007D19D6">
            <w:pPr>
              <w:rPr>
                <w:b/>
                <w:noProof/>
              </w:rPr>
            </w:pPr>
            <w:r>
              <w:rPr>
                <w:b/>
                <w:noProof/>
              </w:rPr>
              <w:t>Ķīmiskās štāpeļšķiedras</w:t>
            </w:r>
          </w:p>
        </w:tc>
      </w:tr>
      <w:tr w:rsidR="003E022D">
        <w:tc>
          <w:tcPr>
            <w:tcW w:w="1985" w:type="dxa"/>
          </w:tcPr>
          <w:p w:rsidR="003E022D" w:rsidRDefault="007D19D6">
            <w:pPr>
              <w:rPr>
                <w:bCs/>
                <w:noProof/>
              </w:rPr>
            </w:pPr>
            <w:r>
              <w:rPr>
                <w:noProof/>
              </w:rPr>
              <w:t>55.01-55.07</w:t>
            </w:r>
          </w:p>
        </w:tc>
        <w:tc>
          <w:tcPr>
            <w:tcW w:w="7514" w:type="dxa"/>
          </w:tcPr>
          <w:p w:rsidR="003E022D" w:rsidRDefault="007D19D6">
            <w:pPr>
              <w:rPr>
                <w:bCs/>
                <w:noProof/>
              </w:rPr>
            </w:pPr>
            <w:r>
              <w:rPr>
                <w:noProof/>
              </w:rPr>
              <w:t>Ķīmisko šķiedru ekstrūzija.</w:t>
            </w:r>
          </w:p>
          <w:p w:rsidR="003E022D" w:rsidRDefault="003E022D">
            <w:pPr>
              <w:rPr>
                <w:bCs/>
                <w:noProof/>
              </w:rPr>
            </w:pPr>
          </w:p>
        </w:tc>
      </w:tr>
      <w:tr w:rsidR="003E022D">
        <w:tc>
          <w:tcPr>
            <w:tcW w:w="1985" w:type="dxa"/>
          </w:tcPr>
          <w:p w:rsidR="003E022D" w:rsidRDefault="007D19D6">
            <w:pPr>
              <w:rPr>
                <w:bCs/>
                <w:noProof/>
              </w:rPr>
            </w:pPr>
            <w:r>
              <w:rPr>
                <w:noProof/>
              </w:rPr>
              <w:t>55.08-55.11</w:t>
            </w:r>
          </w:p>
        </w:tc>
        <w:tc>
          <w:tcPr>
            <w:tcW w:w="7514" w:type="dxa"/>
          </w:tcPr>
          <w:p w:rsidR="003E022D" w:rsidRDefault="007D19D6">
            <w:pPr>
              <w:rPr>
                <w:bCs/>
                <w:noProof/>
              </w:rPr>
            </w:pPr>
            <w:r>
              <w:rPr>
                <w:noProof/>
              </w:rPr>
              <w:t xml:space="preserve">Dabisko šķiedru vērpšana, </w:t>
            </w:r>
          </w:p>
          <w:p w:rsidR="003E022D" w:rsidRDefault="007D19D6">
            <w:pPr>
              <w:rPr>
                <w:bCs/>
                <w:noProof/>
              </w:rPr>
            </w:pPr>
            <w:r>
              <w:rPr>
                <w:noProof/>
              </w:rPr>
              <w:t>ķīmisko šķiedru ekstrūzija apvienojumā ar vērpšanu,</w:t>
            </w:r>
          </w:p>
          <w:p w:rsidR="003E022D" w:rsidRDefault="007D19D6">
            <w:pPr>
              <w:rPr>
                <w:bCs/>
                <w:noProof/>
              </w:rPr>
            </w:pPr>
            <w:r>
              <w:rPr>
                <w:noProof/>
              </w:rPr>
              <w:t>vai</w:t>
            </w:r>
          </w:p>
          <w:p w:rsidR="003E022D" w:rsidRDefault="007D19D6">
            <w:pPr>
              <w:rPr>
                <w:bCs/>
                <w:noProof/>
              </w:rPr>
            </w:pPr>
            <w:r>
              <w:rPr>
                <w:noProof/>
              </w:rPr>
              <w:t>šķeterēšana apvienojumā ar jebkādu mehānisku darbību.</w:t>
            </w:r>
          </w:p>
        </w:tc>
      </w:tr>
      <w:tr w:rsidR="003E022D">
        <w:tc>
          <w:tcPr>
            <w:tcW w:w="1985" w:type="dxa"/>
          </w:tcPr>
          <w:p w:rsidR="003E022D" w:rsidRDefault="007D19D6">
            <w:pPr>
              <w:rPr>
                <w:bCs/>
                <w:noProof/>
              </w:rPr>
            </w:pPr>
            <w:r>
              <w:rPr>
                <w:noProof/>
              </w:rPr>
              <w:t>55.12-55.16</w:t>
            </w:r>
          </w:p>
        </w:tc>
        <w:tc>
          <w:tcPr>
            <w:tcW w:w="7514" w:type="dxa"/>
          </w:tcPr>
          <w:p w:rsidR="003E022D" w:rsidRDefault="007D19D6">
            <w:pPr>
              <w:rPr>
                <w:bCs/>
                <w:noProof/>
              </w:rPr>
            </w:pPr>
            <w:r>
              <w:rPr>
                <w:noProof/>
              </w:rPr>
              <w:t xml:space="preserve">Dabisko vai ķīmisko štāpeļšķiedru vērpšana apvienojumā ar aušanu, </w:t>
            </w:r>
          </w:p>
          <w:p w:rsidR="003E022D" w:rsidRDefault="007D19D6">
            <w:pPr>
              <w:rPr>
                <w:bCs/>
                <w:noProof/>
              </w:rPr>
            </w:pPr>
            <w:r>
              <w:rPr>
                <w:noProof/>
              </w:rPr>
              <w:t>ķīmisko pavedienu dzijas ek</w:t>
            </w:r>
            <w:r>
              <w:rPr>
                <w:noProof/>
              </w:rPr>
              <w:t xml:space="preserve">strūzija apvienojumā ar aušanu, </w:t>
            </w:r>
          </w:p>
          <w:p w:rsidR="003E022D" w:rsidRDefault="007D19D6">
            <w:pPr>
              <w:rPr>
                <w:bCs/>
                <w:noProof/>
              </w:rPr>
            </w:pPr>
            <w:r>
              <w:rPr>
                <w:noProof/>
              </w:rPr>
              <w:t xml:space="preserve">šķeterēšana vai jebkāda mehāniska darbība apvienojumā ar aušanu, </w:t>
            </w:r>
          </w:p>
          <w:p w:rsidR="003E022D" w:rsidRDefault="007D19D6">
            <w:pPr>
              <w:rPr>
                <w:bCs/>
                <w:noProof/>
              </w:rPr>
            </w:pPr>
            <w:r>
              <w:rPr>
                <w:noProof/>
              </w:rPr>
              <w:t xml:space="preserve">aušana apvienojumā ar krāsošanu vai pārklāšanu vai laminēšanu, </w:t>
            </w:r>
          </w:p>
          <w:p w:rsidR="003E022D" w:rsidRDefault="007D19D6">
            <w:pPr>
              <w:rPr>
                <w:bCs/>
                <w:noProof/>
              </w:rPr>
            </w:pPr>
            <w:r>
              <w:rPr>
                <w:noProof/>
              </w:rPr>
              <w:t xml:space="preserve">dzijas krāsošana apvienojumā ar aušanu, </w:t>
            </w:r>
          </w:p>
          <w:p w:rsidR="003E022D" w:rsidRDefault="007D19D6">
            <w:pPr>
              <w:rPr>
                <w:bCs/>
                <w:noProof/>
              </w:rPr>
            </w:pPr>
            <w:r>
              <w:rPr>
                <w:noProof/>
              </w:rPr>
              <w:t>aušana apvienojumā ar apdrukāšanu</w:t>
            </w:r>
          </w:p>
          <w:p w:rsidR="003E022D" w:rsidRDefault="007D19D6">
            <w:pPr>
              <w:rPr>
                <w:bCs/>
                <w:noProof/>
              </w:rPr>
            </w:pPr>
            <w:r>
              <w:rPr>
                <w:noProof/>
              </w:rPr>
              <w:t>vai</w:t>
            </w:r>
          </w:p>
          <w:p w:rsidR="003E022D" w:rsidRDefault="007D19D6">
            <w:pPr>
              <w:rPr>
                <w:bCs/>
                <w:noProof/>
              </w:rPr>
            </w:pPr>
            <w:r>
              <w:rPr>
                <w:noProof/>
              </w:rPr>
              <w:t xml:space="preserve">apdrukāšana </w:t>
            </w:r>
            <w:r>
              <w:rPr>
                <w:noProof/>
              </w:rPr>
              <w:t>(kā atsevišķa darbība).</w:t>
            </w:r>
          </w:p>
        </w:tc>
      </w:tr>
      <w:tr w:rsidR="003E022D">
        <w:tc>
          <w:tcPr>
            <w:tcW w:w="1985" w:type="dxa"/>
          </w:tcPr>
          <w:p w:rsidR="003E022D" w:rsidRDefault="007D19D6">
            <w:pPr>
              <w:rPr>
                <w:b/>
                <w:noProof/>
              </w:rPr>
            </w:pPr>
            <w:r>
              <w:rPr>
                <w:b/>
                <w:noProof/>
              </w:rPr>
              <w:t>56. nodaļa</w:t>
            </w:r>
          </w:p>
        </w:tc>
        <w:tc>
          <w:tcPr>
            <w:tcW w:w="7514" w:type="dxa"/>
          </w:tcPr>
          <w:p w:rsidR="003E022D" w:rsidRDefault="007D19D6">
            <w:pPr>
              <w:rPr>
                <w:b/>
                <w:noProof/>
              </w:rPr>
            </w:pPr>
            <w:r>
              <w:rPr>
                <w:b/>
                <w:noProof/>
              </w:rPr>
              <w:t>Vate, tūba un filcs un neaustie materiāli; speciāla dzija; auklas, tauvas, virves un troses un izstrādājumi no tiem</w:t>
            </w:r>
          </w:p>
        </w:tc>
      </w:tr>
      <w:tr w:rsidR="003E022D">
        <w:tc>
          <w:tcPr>
            <w:tcW w:w="1985" w:type="dxa"/>
          </w:tcPr>
          <w:p w:rsidR="003E022D" w:rsidRDefault="007D19D6">
            <w:pPr>
              <w:rPr>
                <w:bCs/>
                <w:noProof/>
              </w:rPr>
            </w:pPr>
            <w:r>
              <w:rPr>
                <w:noProof/>
              </w:rPr>
              <w:t>56.01</w:t>
            </w:r>
          </w:p>
        </w:tc>
        <w:tc>
          <w:tcPr>
            <w:tcW w:w="7514" w:type="dxa"/>
          </w:tcPr>
          <w:p w:rsidR="003E022D" w:rsidRDefault="007D19D6">
            <w:pPr>
              <w:rPr>
                <w:bCs/>
                <w:noProof/>
              </w:rPr>
            </w:pPr>
            <w:r>
              <w:rPr>
                <w:noProof/>
              </w:rPr>
              <w:t xml:space="preserve">Dabisko šķiedru vērpšana, </w:t>
            </w:r>
          </w:p>
          <w:p w:rsidR="003E022D" w:rsidRDefault="007D19D6">
            <w:pPr>
              <w:rPr>
                <w:bCs/>
                <w:noProof/>
              </w:rPr>
            </w:pPr>
            <w:r>
              <w:rPr>
                <w:noProof/>
              </w:rPr>
              <w:t xml:space="preserve">ķīmisko šķiedru ekstrūzija apvienojumā ar vērpšanu, </w:t>
            </w:r>
          </w:p>
          <w:p w:rsidR="003E022D" w:rsidRDefault="007D19D6">
            <w:pPr>
              <w:rPr>
                <w:bCs/>
                <w:noProof/>
              </w:rPr>
            </w:pPr>
            <w:r>
              <w:rPr>
                <w:noProof/>
              </w:rPr>
              <w:t>flokdruka apvieno</w:t>
            </w:r>
            <w:r>
              <w:rPr>
                <w:noProof/>
              </w:rPr>
              <w:t>jumā ar krāsošanu vai apdrukāšanu,</w:t>
            </w:r>
          </w:p>
          <w:p w:rsidR="003E022D" w:rsidRDefault="007D19D6">
            <w:pPr>
              <w:rPr>
                <w:bCs/>
                <w:noProof/>
              </w:rPr>
            </w:pPr>
            <w:r>
              <w:rPr>
                <w:noProof/>
              </w:rPr>
              <w:t>vai</w:t>
            </w:r>
          </w:p>
          <w:p w:rsidR="003E022D" w:rsidRDefault="007D19D6">
            <w:pPr>
              <w:rPr>
                <w:bCs/>
                <w:noProof/>
              </w:rPr>
            </w:pPr>
            <w:r>
              <w:rPr>
                <w:noProof/>
              </w:rPr>
              <w:t>pārklāšana, flokdruka, laminēšana vai metalizēšana apvienojumā ar vismaz divām sagatavošanas vai galapstrādes operācijām (piemēram, kalandrēšanu, apstrādāšanu pret saraušanos, termofiksēšanu, gala apstrādi), ja izmant</w:t>
            </w:r>
            <w:r>
              <w:rPr>
                <w:noProof/>
              </w:rPr>
              <w:t xml:space="preserve">oto nenoteiktas izcelsmes materiālu vērtība nepārsniedz 50 % no ražojuma </w:t>
            </w:r>
            <w:r>
              <w:rPr>
                <w:i/>
                <w:noProof/>
              </w:rPr>
              <w:t>EXW</w:t>
            </w:r>
            <w:r>
              <w:rPr>
                <w:noProof/>
              </w:rPr>
              <w:t xml:space="preserve"> cenas.</w:t>
            </w:r>
          </w:p>
        </w:tc>
      </w:tr>
      <w:tr w:rsidR="003E022D">
        <w:tc>
          <w:tcPr>
            <w:tcW w:w="1985" w:type="dxa"/>
          </w:tcPr>
          <w:p w:rsidR="003E022D" w:rsidRDefault="007D19D6">
            <w:pPr>
              <w:rPr>
                <w:bCs/>
                <w:noProof/>
              </w:rPr>
            </w:pPr>
            <w:r>
              <w:rPr>
                <w:noProof/>
              </w:rPr>
              <w:t>56.02</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xml:space="preserve">- adatota tūba un filcs: </w:t>
            </w:r>
          </w:p>
        </w:tc>
        <w:tc>
          <w:tcPr>
            <w:tcW w:w="7514" w:type="dxa"/>
          </w:tcPr>
          <w:p w:rsidR="003E022D" w:rsidRDefault="007D19D6">
            <w:pPr>
              <w:rPr>
                <w:bCs/>
                <w:noProof/>
              </w:rPr>
            </w:pPr>
            <w:r>
              <w:rPr>
                <w:noProof/>
              </w:rPr>
              <w:t>Ķīmisko šķiedru ekstrūzija apvienojumā ar auduma formēšanu, tomēr:</w:t>
            </w:r>
          </w:p>
          <w:p w:rsidR="003E022D" w:rsidRDefault="007D19D6">
            <w:pPr>
              <w:rPr>
                <w:bCs/>
                <w:noProof/>
              </w:rPr>
            </w:pPr>
            <w:r>
              <w:rPr>
                <w:noProof/>
              </w:rPr>
              <w:t xml:space="preserve">- nenoteiktas izcelsmes polipropilēna pavedienus pozīcijā 54.02, </w:t>
            </w:r>
          </w:p>
          <w:p w:rsidR="003E022D" w:rsidRDefault="007D19D6">
            <w:pPr>
              <w:rPr>
                <w:bCs/>
                <w:noProof/>
              </w:rPr>
            </w:pPr>
            <w:r>
              <w:rPr>
                <w:noProof/>
              </w:rPr>
              <w:t xml:space="preserve">- </w:t>
            </w:r>
            <w:r>
              <w:rPr>
                <w:noProof/>
              </w:rPr>
              <w:t>nenoteiktas izcelsmes polipropilēna šķiedras pozīcijā 55.03 vai 55.06 vai</w:t>
            </w:r>
          </w:p>
          <w:p w:rsidR="003E022D" w:rsidRDefault="007D19D6">
            <w:pPr>
              <w:rPr>
                <w:bCs/>
                <w:noProof/>
              </w:rPr>
            </w:pPr>
            <w:r>
              <w:rPr>
                <w:noProof/>
              </w:rPr>
              <w:t>nenoteiktas izcelsmes polipropilēna pavedienu grīsti pozīcijā 55.01,</w:t>
            </w:r>
          </w:p>
          <w:p w:rsidR="003E022D" w:rsidRDefault="007D19D6">
            <w:pPr>
              <w:rPr>
                <w:bCs/>
                <w:noProof/>
              </w:rPr>
            </w:pPr>
            <w:r>
              <w:rPr>
                <w:noProof/>
              </w:rPr>
              <w:t>kam viena pavediena vai šķiedras lineārais blīvums nav lielāks par 9 deciteksiem, var izmantot, ja to kopējā vērt</w:t>
            </w:r>
            <w:r>
              <w:rPr>
                <w:noProof/>
              </w:rPr>
              <w:t xml:space="preserve">ība nepārsniedz 40 % no ražojuma </w:t>
            </w:r>
            <w:r>
              <w:rPr>
                <w:i/>
                <w:noProof/>
              </w:rPr>
              <w:t>EXW</w:t>
            </w:r>
            <w:r>
              <w:rPr>
                <w:noProof/>
              </w:rPr>
              <w:t xml:space="preserve"> cenas,</w:t>
            </w:r>
          </w:p>
          <w:p w:rsidR="003E022D" w:rsidRDefault="007D19D6">
            <w:pPr>
              <w:rPr>
                <w:bCs/>
                <w:noProof/>
              </w:rPr>
            </w:pPr>
            <w:r>
              <w:rPr>
                <w:noProof/>
              </w:rPr>
              <w:t>vai</w:t>
            </w:r>
          </w:p>
          <w:p w:rsidR="003E022D" w:rsidRDefault="007D19D6">
            <w:pPr>
              <w:rPr>
                <w:bCs/>
                <w:noProof/>
              </w:rPr>
            </w:pPr>
            <w:r>
              <w:rPr>
                <w:noProof/>
              </w:rPr>
              <w:t>tikai neausta auduma veidošana no filca, kas gatavots no dabiskajām šķiedrām.</w:t>
            </w: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noProof/>
              </w:rPr>
              <w:t>Ķīmisko šķiedru ekstrūzija apvienojumā ar auduma formēšanu,</w:t>
            </w:r>
          </w:p>
          <w:p w:rsidR="003E022D" w:rsidRDefault="007D19D6">
            <w:pPr>
              <w:rPr>
                <w:bCs/>
                <w:noProof/>
              </w:rPr>
            </w:pPr>
            <w:r>
              <w:rPr>
                <w:noProof/>
              </w:rPr>
              <w:t>vai</w:t>
            </w:r>
          </w:p>
          <w:p w:rsidR="003E022D" w:rsidRDefault="007D19D6">
            <w:pPr>
              <w:rPr>
                <w:bCs/>
                <w:noProof/>
              </w:rPr>
            </w:pPr>
            <w:r>
              <w:rPr>
                <w:noProof/>
              </w:rPr>
              <w:t>tikai neausta auduma veidošana no citāda filca, kas gat</w:t>
            </w:r>
            <w:r>
              <w:rPr>
                <w:noProof/>
              </w:rPr>
              <w:t>avots no dabiskajām šķiedrām.</w:t>
            </w:r>
          </w:p>
        </w:tc>
      </w:tr>
      <w:tr w:rsidR="003E022D">
        <w:tc>
          <w:tcPr>
            <w:tcW w:w="1985" w:type="dxa"/>
          </w:tcPr>
          <w:p w:rsidR="003E022D" w:rsidRDefault="007D19D6">
            <w:pPr>
              <w:rPr>
                <w:bCs/>
                <w:noProof/>
              </w:rPr>
            </w:pPr>
            <w:r>
              <w:rPr>
                <w:noProof/>
              </w:rPr>
              <w:t>5603.11-5603.14</w:t>
            </w:r>
          </w:p>
        </w:tc>
        <w:tc>
          <w:tcPr>
            <w:tcW w:w="7514" w:type="dxa"/>
          </w:tcPr>
          <w:p w:rsidR="003E022D" w:rsidRDefault="007D19D6">
            <w:pPr>
              <w:rPr>
                <w:bCs/>
                <w:noProof/>
              </w:rPr>
            </w:pPr>
            <w:r>
              <w:rPr>
                <w:noProof/>
              </w:rPr>
              <w:t xml:space="preserve">Ražošana no </w:t>
            </w:r>
          </w:p>
          <w:p w:rsidR="003E022D" w:rsidRDefault="007D19D6">
            <w:pPr>
              <w:rPr>
                <w:bCs/>
                <w:noProof/>
              </w:rPr>
            </w:pPr>
            <w:r>
              <w:rPr>
                <w:noProof/>
              </w:rPr>
              <w:t>- virzīti vai nejauši orientētas šķiedras, vai</w:t>
            </w:r>
          </w:p>
          <w:p w:rsidR="003E022D" w:rsidRDefault="007D19D6">
            <w:pPr>
              <w:rPr>
                <w:bCs/>
                <w:noProof/>
              </w:rPr>
            </w:pPr>
            <w:r>
              <w:rPr>
                <w:noProof/>
              </w:rPr>
              <w:t>- dabiskas vai ķīmiskas izcelsmes vielām vai polimēriem,</w:t>
            </w:r>
          </w:p>
          <w:p w:rsidR="003E022D" w:rsidRDefault="007D19D6">
            <w:pPr>
              <w:rPr>
                <w:bCs/>
                <w:noProof/>
              </w:rPr>
            </w:pPr>
            <w:r>
              <w:rPr>
                <w:noProof/>
              </w:rPr>
              <w:t xml:space="preserve">abos gadījumos pēc tam iestrādājot neaustā drānā. </w:t>
            </w:r>
          </w:p>
        </w:tc>
      </w:tr>
      <w:tr w:rsidR="003E022D">
        <w:tc>
          <w:tcPr>
            <w:tcW w:w="1985" w:type="dxa"/>
          </w:tcPr>
          <w:p w:rsidR="003E022D" w:rsidRDefault="007D19D6">
            <w:pPr>
              <w:rPr>
                <w:bCs/>
                <w:noProof/>
              </w:rPr>
            </w:pPr>
            <w:r>
              <w:rPr>
                <w:noProof/>
              </w:rPr>
              <w:t>5603.91-5603.94</w:t>
            </w:r>
          </w:p>
        </w:tc>
        <w:tc>
          <w:tcPr>
            <w:tcW w:w="7514" w:type="dxa"/>
          </w:tcPr>
          <w:p w:rsidR="003E022D" w:rsidRDefault="007D19D6">
            <w:pPr>
              <w:rPr>
                <w:bCs/>
                <w:noProof/>
              </w:rPr>
            </w:pPr>
            <w:r>
              <w:rPr>
                <w:noProof/>
              </w:rPr>
              <w:t>Ražošana no</w:t>
            </w:r>
          </w:p>
          <w:p w:rsidR="003E022D" w:rsidRDefault="007D19D6">
            <w:pPr>
              <w:rPr>
                <w:bCs/>
                <w:noProof/>
              </w:rPr>
            </w:pPr>
            <w:r>
              <w:rPr>
                <w:noProof/>
              </w:rPr>
              <w:t>- virzīti va</w:t>
            </w:r>
            <w:r>
              <w:rPr>
                <w:noProof/>
              </w:rPr>
              <w:t>i nejauši orientētām štāpeļšķiedrām vai</w:t>
            </w:r>
          </w:p>
          <w:p w:rsidR="003E022D" w:rsidRDefault="007D19D6">
            <w:pPr>
              <w:rPr>
                <w:bCs/>
                <w:noProof/>
              </w:rPr>
            </w:pPr>
            <w:r>
              <w:rPr>
                <w:noProof/>
              </w:rPr>
              <w:t>- dabiskas vai ķīmiskas izcelsmes kapātiem diegiem,</w:t>
            </w:r>
          </w:p>
          <w:p w:rsidR="003E022D" w:rsidRDefault="007D19D6">
            <w:pPr>
              <w:rPr>
                <w:bCs/>
                <w:noProof/>
              </w:rPr>
            </w:pPr>
            <w:r>
              <w:rPr>
                <w:noProof/>
              </w:rPr>
              <w:t>abos gadījumos pēc tam iestrādājot neaustā drānā.</w:t>
            </w:r>
          </w:p>
        </w:tc>
      </w:tr>
      <w:tr w:rsidR="003E022D">
        <w:tc>
          <w:tcPr>
            <w:tcW w:w="1985" w:type="dxa"/>
          </w:tcPr>
          <w:p w:rsidR="003E022D" w:rsidRDefault="007D19D6">
            <w:pPr>
              <w:rPr>
                <w:bCs/>
                <w:noProof/>
              </w:rPr>
            </w:pPr>
            <w:r>
              <w:rPr>
                <w:noProof/>
              </w:rPr>
              <w:t>5604.10</w:t>
            </w:r>
          </w:p>
        </w:tc>
        <w:tc>
          <w:tcPr>
            <w:tcW w:w="7514" w:type="dxa"/>
          </w:tcPr>
          <w:p w:rsidR="003E022D" w:rsidRDefault="007D19D6">
            <w:pPr>
              <w:rPr>
                <w:bCs/>
                <w:noProof/>
              </w:rPr>
            </w:pPr>
            <w:r>
              <w:rPr>
                <w:noProof/>
              </w:rPr>
              <w:t>Ražošana no gumijas pavedieniem vai kordiem, kas nav pārklāti ar tekstilmateriāliem.</w:t>
            </w:r>
          </w:p>
          <w:p w:rsidR="003E022D" w:rsidRDefault="003E022D">
            <w:pPr>
              <w:rPr>
                <w:bCs/>
                <w:noProof/>
              </w:rPr>
            </w:pPr>
          </w:p>
        </w:tc>
      </w:tr>
      <w:tr w:rsidR="003E022D">
        <w:tc>
          <w:tcPr>
            <w:tcW w:w="1985" w:type="dxa"/>
          </w:tcPr>
          <w:p w:rsidR="003E022D" w:rsidRDefault="007D19D6">
            <w:pPr>
              <w:rPr>
                <w:bCs/>
                <w:noProof/>
              </w:rPr>
            </w:pPr>
            <w:r>
              <w:rPr>
                <w:noProof/>
              </w:rPr>
              <w:t>5604.90</w:t>
            </w:r>
          </w:p>
        </w:tc>
        <w:tc>
          <w:tcPr>
            <w:tcW w:w="7514" w:type="dxa"/>
          </w:tcPr>
          <w:p w:rsidR="003E022D" w:rsidRDefault="007D19D6">
            <w:pPr>
              <w:rPr>
                <w:bCs/>
                <w:noProof/>
              </w:rPr>
            </w:pPr>
            <w:r>
              <w:rPr>
                <w:noProof/>
              </w:rPr>
              <w:t xml:space="preserve">Dabisko šķiedru vērpšana, </w:t>
            </w:r>
          </w:p>
          <w:p w:rsidR="003E022D" w:rsidRDefault="007D19D6">
            <w:pPr>
              <w:rPr>
                <w:bCs/>
                <w:noProof/>
              </w:rPr>
            </w:pPr>
            <w:r>
              <w:rPr>
                <w:noProof/>
              </w:rPr>
              <w:t>ķīmisko šķiedru ekstrūzija apvienojumā ar vērpšanu,</w:t>
            </w:r>
          </w:p>
          <w:p w:rsidR="003E022D" w:rsidRDefault="007D19D6">
            <w:pPr>
              <w:rPr>
                <w:bCs/>
                <w:noProof/>
              </w:rPr>
            </w:pPr>
            <w:r>
              <w:rPr>
                <w:noProof/>
              </w:rPr>
              <w:t>vai</w:t>
            </w:r>
          </w:p>
          <w:p w:rsidR="003E022D" w:rsidRDefault="007D19D6">
            <w:pPr>
              <w:rPr>
                <w:bCs/>
                <w:noProof/>
              </w:rPr>
            </w:pPr>
            <w:r>
              <w:rPr>
                <w:noProof/>
              </w:rPr>
              <w:t>šķeterēšana apvienojumā ar jebkādu mehānisku darbību.</w:t>
            </w:r>
          </w:p>
          <w:p w:rsidR="003E022D" w:rsidRDefault="003E022D">
            <w:pPr>
              <w:rPr>
                <w:bCs/>
                <w:noProof/>
              </w:rPr>
            </w:pPr>
          </w:p>
        </w:tc>
      </w:tr>
      <w:tr w:rsidR="003E022D">
        <w:tc>
          <w:tcPr>
            <w:tcW w:w="1985" w:type="dxa"/>
          </w:tcPr>
          <w:p w:rsidR="003E022D" w:rsidRDefault="007D19D6">
            <w:pPr>
              <w:rPr>
                <w:bCs/>
                <w:noProof/>
              </w:rPr>
            </w:pPr>
            <w:r>
              <w:rPr>
                <w:noProof/>
              </w:rPr>
              <w:t>56.05</w:t>
            </w:r>
          </w:p>
        </w:tc>
        <w:tc>
          <w:tcPr>
            <w:tcW w:w="7514" w:type="dxa"/>
          </w:tcPr>
          <w:p w:rsidR="003E022D" w:rsidRDefault="007D19D6">
            <w:pPr>
              <w:rPr>
                <w:bCs/>
                <w:noProof/>
              </w:rPr>
            </w:pPr>
            <w:r>
              <w:rPr>
                <w:noProof/>
              </w:rPr>
              <w:t xml:space="preserve">Dabisko vai ķīmisko štāpeļšķiedru vērpšana, </w:t>
            </w:r>
          </w:p>
          <w:p w:rsidR="003E022D" w:rsidRDefault="007D19D6">
            <w:pPr>
              <w:rPr>
                <w:bCs/>
                <w:noProof/>
              </w:rPr>
            </w:pPr>
            <w:r>
              <w:rPr>
                <w:noProof/>
              </w:rPr>
              <w:t>ķīmisko šķiedru ekstrūzija apvienojumā ar vērpšanu,</w:t>
            </w:r>
          </w:p>
          <w:p w:rsidR="003E022D" w:rsidRDefault="007D19D6">
            <w:pPr>
              <w:rPr>
                <w:bCs/>
                <w:noProof/>
              </w:rPr>
            </w:pPr>
            <w:r>
              <w:rPr>
                <w:noProof/>
              </w:rPr>
              <w:t>vai</w:t>
            </w:r>
          </w:p>
          <w:p w:rsidR="003E022D" w:rsidRDefault="007D19D6">
            <w:pPr>
              <w:rPr>
                <w:bCs/>
                <w:noProof/>
              </w:rPr>
            </w:pPr>
            <w:r>
              <w:rPr>
                <w:noProof/>
              </w:rPr>
              <w:t>šķeterēšan</w:t>
            </w:r>
            <w:r>
              <w:rPr>
                <w:noProof/>
              </w:rPr>
              <w:t>a apvienojumā ar jebkādu mehānisku darbību.</w:t>
            </w:r>
          </w:p>
        </w:tc>
      </w:tr>
      <w:tr w:rsidR="003E022D">
        <w:tc>
          <w:tcPr>
            <w:tcW w:w="1985" w:type="dxa"/>
          </w:tcPr>
          <w:p w:rsidR="003E022D" w:rsidRDefault="007D19D6">
            <w:pPr>
              <w:rPr>
                <w:bCs/>
                <w:noProof/>
              </w:rPr>
            </w:pPr>
            <w:r>
              <w:rPr>
                <w:noProof/>
              </w:rPr>
              <w:t>56.06</w:t>
            </w:r>
          </w:p>
        </w:tc>
        <w:tc>
          <w:tcPr>
            <w:tcW w:w="7514" w:type="dxa"/>
          </w:tcPr>
          <w:p w:rsidR="003E022D" w:rsidRDefault="007D19D6">
            <w:pPr>
              <w:rPr>
                <w:bCs/>
                <w:noProof/>
              </w:rPr>
            </w:pPr>
            <w:r>
              <w:rPr>
                <w:noProof/>
              </w:rPr>
              <w:t xml:space="preserve">ķīmisko šķiedru ekstrūzija apvienojumā ar vērpšanu, </w:t>
            </w:r>
          </w:p>
          <w:p w:rsidR="003E022D" w:rsidRDefault="007D19D6">
            <w:pPr>
              <w:rPr>
                <w:bCs/>
                <w:noProof/>
              </w:rPr>
            </w:pPr>
            <w:r>
              <w:rPr>
                <w:noProof/>
              </w:rPr>
              <w:t xml:space="preserve">šķeterēšana apvienojumā ar pozamentēšanu, </w:t>
            </w:r>
          </w:p>
          <w:p w:rsidR="003E022D" w:rsidRDefault="007D19D6">
            <w:pPr>
              <w:rPr>
                <w:bCs/>
                <w:noProof/>
              </w:rPr>
            </w:pPr>
            <w:r>
              <w:rPr>
                <w:noProof/>
              </w:rPr>
              <w:t>Dabisko vai ķīmisko štāpeļšķiedru vērpšana,</w:t>
            </w:r>
          </w:p>
          <w:p w:rsidR="003E022D" w:rsidRDefault="007D19D6">
            <w:pPr>
              <w:rPr>
                <w:bCs/>
                <w:noProof/>
              </w:rPr>
            </w:pPr>
            <w:r>
              <w:rPr>
                <w:noProof/>
              </w:rPr>
              <w:t>vai</w:t>
            </w:r>
          </w:p>
          <w:p w:rsidR="003E022D" w:rsidRDefault="007D19D6">
            <w:pPr>
              <w:rPr>
                <w:bCs/>
                <w:noProof/>
              </w:rPr>
            </w:pPr>
            <w:r>
              <w:rPr>
                <w:noProof/>
              </w:rPr>
              <w:t>flokdruka apvienojumā ar krāsošanu.</w:t>
            </w:r>
          </w:p>
        </w:tc>
      </w:tr>
      <w:tr w:rsidR="003E022D">
        <w:tc>
          <w:tcPr>
            <w:tcW w:w="1985" w:type="dxa"/>
          </w:tcPr>
          <w:p w:rsidR="003E022D" w:rsidRDefault="007D19D6">
            <w:pPr>
              <w:rPr>
                <w:bCs/>
                <w:noProof/>
              </w:rPr>
            </w:pPr>
            <w:r>
              <w:rPr>
                <w:noProof/>
              </w:rPr>
              <w:t>56.07-56.09</w:t>
            </w:r>
          </w:p>
        </w:tc>
        <w:tc>
          <w:tcPr>
            <w:tcW w:w="7514" w:type="dxa"/>
          </w:tcPr>
          <w:p w:rsidR="003E022D" w:rsidRDefault="007D19D6">
            <w:pPr>
              <w:rPr>
                <w:bCs/>
                <w:noProof/>
              </w:rPr>
            </w:pPr>
            <w:r>
              <w:rPr>
                <w:noProof/>
              </w:rPr>
              <w:t xml:space="preserve">Dabisko </w:t>
            </w:r>
            <w:r>
              <w:rPr>
                <w:noProof/>
              </w:rPr>
              <w:t>šķiedru vērpšana,</w:t>
            </w:r>
          </w:p>
          <w:p w:rsidR="003E022D" w:rsidRDefault="007D19D6">
            <w:pPr>
              <w:rPr>
                <w:bCs/>
                <w:noProof/>
              </w:rPr>
            </w:pPr>
            <w:r>
              <w:rPr>
                <w:noProof/>
              </w:rPr>
              <w:t>vai</w:t>
            </w:r>
          </w:p>
          <w:p w:rsidR="003E022D" w:rsidRDefault="007D19D6">
            <w:pPr>
              <w:rPr>
                <w:bCs/>
                <w:noProof/>
              </w:rPr>
            </w:pPr>
            <w:r>
              <w:rPr>
                <w:noProof/>
              </w:rPr>
              <w:t>ķīmisko šķiedru ekstrūzija apvienojumā ar vērpšanu.</w:t>
            </w:r>
          </w:p>
        </w:tc>
      </w:tr>
      <w:tr w:rsidR="003E022D">
        <w:tc>
          <w:tcPr>
            <w:tcW w:w="1985" w:type="dxa"/>
          </w:tcPr>
          <w:p w:rsidR="003E022D" w:rsidRDefault="007D19D6">
            <w:pPr>
              <w:rPr>
                <w:b/>
                <w:noProof/>
              </w:rPr>
            </w:pPr>
            <w:r>
              <w:rPr>
                <w:b/>
                <w:noProof/>
              </w:rPr>
              <w:t>57. nodaļa</w:t>
            </w:r>
          </w:p>
        </w:tc>
        <w:tc>
          <w:tcPr>
            <w:tcW w:w="7514" w:type="dxa"/>
          </w:tcPr>
          <w:p w:rsidR="003E022D" w:rsidRDefault="007D19D6">
            <w:pPr>
              <w:rPr>
                <w:b/>
                <w:noProof/>
              </w:rPr>
            </w:pPr>
            <w:r>
              <w:rPr>
                <w:b/>
                <w:noProof/>
              </w:rPr>
              <w:t>Paklāji un citādas tekstilmateriālu grīdsegas</w:t>
            </w:r>
          </w:p>
          <w:p w:rsidR="003E022D" w:rsidRDefault="007D19D6">
            <w:pPr>
              <w:rPr>
                <w:b/>
                <w:noProof/>
              </w:rPr>
            </w:pPr>
            <w:r>
              <w:rPr>
                <w:b/>
                <w:noProof/>
              </w:rPr>
              <w:t xml:space="preserve">Piezīme par nodaļu: šīs nodaļas ražojumiem par pamatni var izmantot nenoteiktas izcelsmes džutas audumu. </w:t>
            </w:r>
          </w:p>
          <w:p w:rsidR="003E022D" w:rsidRDefault="003E022D">
            <w:pPr>
              <w:rPr>
                <w:b/>
                <w:noProof/>
              </w:rPr>
            </w:pPr>
          </w:p>
        </w:tc>
      </w:tr>
      <w:tr w:rsidR="003E022D">
        <w:tc>
          <w:tcPr>
            <w:tcW w:w="1985" w:type="dxa"/>
          </w:tcPr>
          <w:p w:rsidR="003E022D" w:rsidRDefault="007D19D6">
            <w:pPr>
              <w:rPr>
                <w:bCs/>
                <w:noProof/>
              </w:rPr>
            </w:pPr>
            <w:r>
              <w:rPr>
                <w:noProof/>
              </w:rPr>
              <w:t>57.01-57.05</w:t>
            </w:r>
          </w:p>
        </w:tc>
        <w:tc>
          <w:tcPr>
            <w:tcW w:w="7514" w:type="dxa"/>
          </w:tcPr>
          <w:p w:rsidR="003E022D" w:rsidRDefault="007D19D6">
            <w:pPr>
              <w:rPr>
                <w:bCs/>
                <w:noProof/>
              </w:rPr>
            </w:pPr>
            <w:r>
              <w:rPr>
                <w:noProof/>
              </w:rPr>
              <w:t>Dabi</w:t>
            </w:r>
            <w:r>
              <w:rPr>
                <w:noProof/>
              </w:rPr>
              <w:t xml:space="preserve">sko vai ķīmisko štāpeļšķiedru vērpšana apvienojumā ar aušanu vai ar stepēšanu, </w:t>
            </w:r>
          </w:p>
          <w:p w:rsidR="003E022D" w:rsidRDefault="007D19D6">
            <w:pPr>
              <w:rPr>
                <w:bCs/>
                <w:noProof/>
              </w:rPr>
            </w:pPr>
            <w:r>
              <w:rPr>
                <w:noProof/>
              </w:rPr>
              <w:t xml:space="preserve">ķīmisko pavedienu dzijas ekstrūzija apvienojumā ar aušanu vai ar stepēšanu, </w:t>
            </w:r>
          </w:p>
          <w:p w:rsidR="003E022D" w:rsidRDefault="007D19D6">
            <w:pPr>
              <w:rPr>
                <w:bCs/>
                <w:noProof/>
              </w:rPr>
            </w:pPr>
            <w:r>
              <w:rPr>
                <w:noProof/>
              </w:rPr>
              <w:t xml:space="preserve">ražošana no kokosšķiedras, sizala vai džutas dzijas vai klasiskas savērptas viskozes dzijas, </w:t>
            </w:r>
          </w:p>
          <w:p w:rsidR="003E022D" w:rsidRDefault="007D19D6">
            <w:pPr>
              <w:rPr>
                <w:bCs/>
                <w:noProof/>
              </w:rPr>
            </w:pPr>
            <w:r>
              <w:rPr>
                <w:noProof/>
              </w:rPr>
              <w:t>stepēšana apvienojumā ar krāsošanu vai apdrukāšanu,</w:t>
            </w:r>
          </w:p>
          <w:p w:rsidR="003E022D" w:rsidRDefault="007D19D6">
            <w:pPr>
              <w:rPr>
                <w:bCs/>
                <w:noProof/>
              </w:rPr>
            </w:pPr>
            <w:r>
              <w:rPr>
                <w:noProof/>
              </w:rPr>
              <w:t>ķīmisko pavedienu dzijas stepēšana un aušana apvienojumā ar pārklāšanu vai ar laminēšanu,</w:t>
            </w:r>
          </w:p>
          <w:p w:rsidR="003E022D" w:rsidRDefault="007D19D6">
            <w:pPr>
              <w:rPr>
                <w:bCs/>
                <w:noProof/>
              </w:rPr>
            </w:pPr>
            <w:r>
              <w:rPr>
                <w:noProof/>
              </w:rPr>
              <w:t>flokdruka apvienojumā ar krāsošanu vai apdrukāšanu,</w:t>
            </w:r>
          </w:p>
          <w:p w:rsidR="003E022D" w:rsidRDefault="007D19D6">
            <w:pPr>
              <w:rPr>
                <w:bCs/>
                <w:noProof/>
              </w:rPr>
            </w:pPr>
            <w:r>
              <w:rPr>
                <w:noProof/>
              </w:rPr>
              <w:t>vai</w:t>
            </w:r>
          </w:p>
          <w:p w:rsidR="003E022D" w:rsidRDefault="007D19D6">
            <w:pPr>
              <w:rPr>
                <w:bCs/>
                <w:noProof/>
              </w:rPr>
            </w:pPr>
            <w:r>
              <w:rPr>
                <w:noProof/>
              </w:rPr>
              <w:t xml:space="preserve">sintētisko šķiedru ekstrūzija apvienojumā ar paņēmieniem, </w:t>
            </w:r>
            <w:r>
              <w:rPr>
                <w:noProof/>
              </w:rPr>
              <w:t>kas nav saistīti ar aušanu, tostarp adatošanu.</w:t>
            </w:r>
          </w:p>
        </w:tc>
      </w:tr>
      <w:tr w:rsidR="003E022D">
        <w:tc>
          <w:tcPr>
            <w:tcW w:w="1985" w:type="dxa"/>
          </w:tcPr>
          <w:p w:rsidR="003E022D" w:rsidRDefault="007D19D6">
            <w:pPr>
              <w:rPr>
                <w:b/>
                <w:noProof/>
              </w:rPr>
            </w:pPr>
            <w:r>
              <w:rPr>
                <w:b/>
                <w:noProof/>
              </w:rPr>
              <w:t>58. nodaļa</w:t>
            </w:r>
          </w:p>
        </w:tc>
        <w:tc>
          <w:tcPr>
            <w:tcW w:w="7514" w:type="dxa"/>
          </w:tcPr>
          <w:p w:rsidR="003E022D" w:rsidRDefault="007D19D6">
            <w:pPr>
              <w:rPr>
                <w:b/>
                <w:noProof/>
              </w:rPr>
            </w:pPr>
            <w:r>
              <w:rPr>
                <w:b/>
                <w:noProof/>
              </w:rPr>
              <w:t>Speciāli audumi; audumi ar šūtām plūksnām; mežģīnes; gobelēni; apdares materiāli; izšuvumi</w:t>
            </w:r>
          </w:p>
        </w:tc>
      </w:tr>
      <w:tr w:rsidR="003E022D">
        <w:tc>
          <w:tcPr>
            <w:tcW w:w="1985" w:type="dxa"/>
          </w:tcPr>
          <w:p w:rsidR="003E022D" w:rsidRDefault="007D19D6">
            <w:pPr>
              <w:rPr>
                <w:bCs/>
                <w:noProof/>
              </w:rPr>
            </w:pPr>
            <w:r>
              <w:rPr>
                <w:noProof/>
              </w:rPr>
              <w:t>58.01-58.04</w:t>
            </w:r>
          </w:p>
        </w:tc>
        <w:tc>
          <w:tcPr>
            <w:tcW w:w="7514" w:type="dxa"/>
          </w:tcPr>
          <w:p w:rsidR="003E022D" w:rsidRDefault="007D19D6">
            <w:pPr>
              <w:rPr>
                <w:bCs/>
                <w:noProof/>
              </w:rPr>
            </w:pPr>
            <w:r>
              <w:rPr>
                <w:noProof/>
              </w:rPr>
              <w:t xml:space="preserve">Dabisko vai ķīmisko štāpeļšķiedru vērpšana apvienojumā ar aušanu vai ar stepēšanu, </w:t>
            </w:r>
          </w:p>
          <w:p w:rsidR="003E022D" w:rsidRDefault="007D19D6">
            <w:pPr>
              <w:rPr>
                <w:bCs/>
                <w:noProof/>
              </w:rPr>
            </w:pPr>
            <w:r>
              <w:rPr>
                <w:noProof/>
              </w:rPr>
              <w:t>ķīmisko p</w:t>
            </w:r>
            <w:r>
              <w:rPr>
                <w:noProof/>
              </w:rPr>
              <w:t xml:space="preserve">avedienu dzijas ekstrūzija apvienojumā ar aušanu vai ar stepēšanu, </w:t>
            </w:r>
          </w:p>
          <w:p w:rsidR="003E022D" w:rsidRDefault="007D19D6">
            <w:pPr>
              <w:rPr>
                <w:bCs/>
                <w:noProof/>
              </w:rPr>
            </w:pPr>
            <w:r>
              <w:rPr>
                <w:noProof/>
              </w:rPr>
              <w:t xml:space="preserve">aušana apvienojumā ar krāsošanu vai flokdruku, vai pārklāšanu, vai laminēšanu, vai metalizēšanu, </w:t>
            </w:r>
          </w:p>
          <w:p w:rsidR="003E022D" w:rsidRDefault="007D19D6">
            <w:pPr>
              <w:rPr>
                <w:bCs/>
                <w:noProof/>
              </w:rPr>
            </w:pPr>
            <w:r>
              <w:rPr>
                <w:noProof/>
              </w:rPr>
              <w:t xml:space="preserve">stepēšana apvienojumā ar krāsošanu vai apdrukāšanu, </w:t>
            </w:r>
          </w:p>
          <w:p w:rsidR="003E022D" w:rsidRDefault="007D19D6">
            <w:pPr>
              <w:rPr>
                <w:bCs/>
                <w:noProof/>
              </w:rPr>
            </w:pPr>
            <w:r>
              <w:rPr>
                <w:noProof/>
              </w:rPr>
              <w:t>flokdruka apvienojumā ar krāsošanu va</w:t>
            </w:r>
            <w:r>
              <w:rPr>
                <w:noProof/>
              </w:rPr>
              <w:t xml:space="preserve">i apdrukāšanu, </w:t>
            </w:r>
          </w:p>
          <w:p w:rsidR="003E022D" w:rsidRDefault="007D19D6">
            <w:pPr>
              <w:rPr>
                <w:bCs/>
                <w:noProof/>
              </w:rPr>
            </w:pPr>
            <w:r>
              <w:rPr>
                <w:noProof/>
              </w:rPr>
              <w:t xml:space="preserve">dzijas krāsošana apvienojumā ar aušanu, </w:t>
            </w:r>
          </w:p>
          <w:p w:rsidR="003E022D" w:rsidRDefault="007D19D6">
            <w:pPr>
              <w:rPr>
                <w:bCs/>
                <w:noProof/>
              </w:rPr>
            </w:pPr>
            <w:r>
              <w:rPr>
                <w:noProof/>
              </w:rPr>
              <w:t>aušana apvienojumā ar apdrukāšanu</w:t>
            </w:r>
          </w:p>
          <w:p w:rsidR="003E022D" w:rsidRDefault="007D19D6">
            <w:pPr>
              <w:rPr>
                <w:bCs/>
                <w:noProof/>
              </w:rPr>
            </w:pPr>
            <w:r>
              <w:rPr>
                <w:noProof/>
              </w:rPr>
              <w:t>vai</w:t>
            </w:r>
          </w:p>
          <w:p w:rsidR="003E022D" w:rsidRDefault="007D19D6">
            <w:pPr>
              <w:rPr>
                <w:bCs/>
                <w:noProof/>
              </w:rPr>
            </w:pPr>
            <w:r>
              <w:rPr>
                <w:noProof/>
              </w:rPr>
              <w:t>apdrukāšana (kā atsevišķa darbība).</w:t>
            </w:r>
          </w:p>
        </w:tc>
      </w:tr>
      <w:tr w:rsidR="003E022D">
        <w:tc>
          <w:tcPr>
            <w:tcW w:w="1985" w:type="dxa"/>
          </w:tcPr>
          <w:p w:rsidR="003E022D" w:rsidRDefault="007D19D6">
            <w:pPr>
              <w:rPr>
                <w:bCs/>
                <w:noProof/>
              </w:rPr>
            </w:pPr>
            <w:r>
              <w:rPr>
                <w:noProof/>
              </w:rPr>
              <w:t>58.05</w:t>
            </w:r>
          </w:p>
        </w:tc>
        <w:tc>
          <w:tcPr>
            <w:tcW w:w="7514" w:type="dxa"/>
          </w:tcPr>
          <w:p w:rsidR="003E022D" w:rsidRDefault="007D19D6">
            <w:pPr>
              <w:rPr>
                <w:bCs/>
                <w:noProof/>
              </w:rPr>
            </w:pPr>
            <w:r>
              <w:rPr>
                <w:i/>
                <w:noProof/>
              </w:rPr>
              <w:t>CTH</w:t>
            </w:r>
          </w:p>
          <w:p w:rsidR="003E022D" w:rsidRDefault="003E022D">
            <w:pPr>
              <w:rPr>
                <w:bCs/>
                <w:noProof/>
              </w:rPr>
            </w:pPr>
          </w:p>
        </w:tc>
      </w:tr>
      <w:tr w:rsidR="003E022D">
        <w:tc>
          <w:tcPr>
            <w:tcW w:w="1985" w:type="dxa"/>
          </w:tcPr>
          <w:p w:rsidR="003E022D" w:rsidRDefault="007D19D6">
            <w:pPr>
              <w:rPr>
                <w:bCs/>
                <w:noProof/>
              </w:rPr>
            </w:pPr>
            <w:r>
              <w:rPr>
                <w:noProof/>
              </w:rPr>
              <w:t>58.06-58.09</w:t>
            </w:r>
          </w:p>
        </w:tc>
        <w:tc>
          <w:tcPr>
            <w:tcW w:w="7514" w:type="dxa"/>
          </w:tcPr>
          <w:p w:rsidR="003E022D" w:rsidRDefault="007D19D6">
            <w:pPr>
              <w:rPr>
                <w:bCs/>
                <w:noProof/>
              </w:rPr>
            </w:pPr>
            <w:r>
              <w:rPr>
                <w:noProof/>
              </w:rPr>
              <w:t xml:space="preserve">Dabisko vai ķīmisko štāpeļšķiedru vērpšana apvienojumā ar aušanu vai ar stepēšanu, </w:t>
            </w:r>
          </w:p>
          <w:p w:rsidR="003E022D" w:rsidRDefault="007D19D6">
            <w:pPr>
              <w:rPr>
                <w:bCs/>
                <w:noProof/>
              </w:rPr>
            </w:pPr>
            <w:r>
              <w:rPr>
                <w:noProof/>
              </w:rPr>
              <w:t xml:space="preserve">ķīmisko pavedienu dzijas ekstrūzija apvienojumā ar aušanu vai ar stepēšanu, </w:t>
            </w:r>
          </w:p>
          <w:p w:rsidR="003E022D" w:rsidRDefault="007D19D6">
            <w:pPr>
              <w:rPr>
                <w:bCs/>
                <w:noProof/>
              </w:rPr>
            </w:pPr>
            <w:r>
              <w:rPr>
                <w:noProof/>
              </w:rPr>
              <w:t xml:space="preserve">aušana apvienojumā ar krāsošanu vai flokdruku, vai pārklāšanu, vai laminēšanu, vai metalizēšanu, </w:t>
            </w:r>
          </w:p>
          <w:p w:rsidR="003E022D" w:rsidRDefault="007D19D6">
            <w:pPr>
              <w:rPr>
                <w:bCs/>
                <w:noProof/>
              </w:rPr>
            </w:pPr>
            <w:r>
              <w:rPr>
                <w:noProof/>
              </w:rPr>
              <w:t xml:space="preserve">stepēšana apvienojumā ar krāsošanu vai apdrukāšanu, </w:t>
            </w:r>
          </w:p>
          <w:p w:rsidR="003E022D" w:rsidRDefault="007D19D6">
            <w:pPr>
              <w:rPr>
                <w:bCs/>
                <w:noProof/>
              </w:rPr>
            </w:pPr>
            <w:r>
              <w:rPr>
                <w:noProof/>
              </w:rPr>
              <w:t>flokdruka apvienojumā ar krā</w:t>
            </w:r>
            <w:r>
              <w:rPr>
                <w:noProof/>
              </w:rPr>
              <w:t xml:space="preserve">sošanu vai apdrukāšanu, </w:t>
            </w:r>
          </w:p>
          <w:p w:rsidR="003E022D" w:rsidRDefault="007D19D6">
            <w:pPr>
              <w:rPr>
                <w:bCs/>
                <w:noProof/>
              </w:rPr>
            </w:pPr>
            <w:r>
              <w:rPr>
                <w:noProof/>
              </w:rPr>
              <w:t xml:space="preserve">dzijas krāsošana apvienojumā ar aušanu, </w:t>
            </w:r>
          </w:p>
          <w:p w:rsidR="003E022D" w:rsidRDefault="007D19D6">
            <w:pPr>
              <w:rPr>
                <w:bCs/>
                <w:noProof/>
              </w:rPr>
            </w:pPr>
            <w:r>
              <w:rPr>
                <w:noProof/>
              </w:rPr>
              <w:t>aušana apvienojumā ar apdrukāšanu</w:t>
            </w:r>
          </w:p>
          <w:p w:rsidR="003E022D" w:rsidRDefault="007D19D6">
            <w:pPr>
              <w:rPr>
                <w:bCs/>
                <w:noProof/>
              </w:rPr>
            </w:pPr>
            <w:r>
              <w:rPr>
                <w:noProof/>
              </w:rPr>
              <w:t>vai</w:t>
            </w:r>
          </w:p>
          <w:p w:rsidR="003E022D" w:rsidRDefault="007D19D6">
            <w:pPr>
              <w:rPr>
                <w:bCs/>
                <w:noProof/>
              </w:rPr>
            </w:pPr>
            <w:r>
              <w:rPr>
                <w:noProof/>
              </w:rPr>
              <w:t>apdrukāšana (kā atsevišķa darbība).</w:t>
            </w:r>
          </w:p>
        </w:tc>
      </w:tr>
      <w:tr w:rsidR="003E022D">
        <w:tc>
          <w:tcPr>
            <w:tcW w:w="1985" w:type="dxa"/>
          </w:tcPr>
          <w:p w:rsidR="003E022D" w:rsidRDefault="007D19D6">
            <w:pPr>
              <w:rPr>
                <w:bCs/>
                <w:noProof/>
              </w:rPr>
            </w:pPr>
            <w:r>
              <w:rPr>
                <w:noProof/>
              </w:rPr>
              <w:t>58.10</w:t>
            </w:r>
          </w:p>
        </w:tc>
        <w:tc>
          <w:tcPr>
            <w:tcW w:w="7514" w:type="dxa"/>
          </w:tcPr>
          <w:p w:rsidR="003E022D" w:rsidRDefault="007D19D6">
            <w:pPr>
              <w:rPr>
                <w:bCs/>
                <w:noProof/>
              </w:rPr>
            </w:pPr>
            <w:r>
              <w:rPr>
                <w:noProof/>
              </w:rPr>
              <w:t xml:space="preserve">Izšūšana, kurā izmantoto jebkuras pozīcijas, izņemot paša ražojuma pozīciju, nenoteiktas izcelsmes materiālu </w:t>
            </w:r>
            <w:r>
              <w:rPr>
                <w:noProof/>
              </w:rPr>
              <w:t xml:space="preserve">vērtība nepārsniedz 50 % no ražojuma </w:t>
            </w:r>
            <w:r>
              <w:rPr>
                <w:i/>
                <w:noProof/>
              </w:rPr>
              <w:t>EXW</w:t>
            </w:r>
            <w:r>
              <w:rPr>
                <w:noProof/>
              </w:rPr>
              <w:t xml:space="preserve"> cenas.</w:t>
            </w:r>
          </w:p>
          <w:p w:rsidR="003E022D" w:rsidRDefault="003E022D">
            <w:pPr>
              <w:rPr>
                <w:bCs/>
                <w:noProof/>
              </w:rPr>
            </w:pPr>
          </w:p>
        </w:tc>
      </w:tr>
      <w:tr w:rsidR="003E022D">
        <w:tc>
          <w:tcPr>
            <w:tcW w:w="1985" w:type="dxa"/>
          </w:tcPr>
          <w:p w:rsidR="003E022D" w:rsidRDefault="007D19D6">
            <w:pPr>
              <w:rPr>
                <w:bCs/>
                <w:noProof/>
              </w:rPr>
            </w:pPr>
            <w:r>
              <w:rPr>
                <w:noProof/>
              </w:rPr>
              <w:t>58.11</w:t>
            </w:r>
          </w:p>
        </w:tc>
        <w:tc>
          <w:tcPr>
            <w:tcW w:w="7514" w:type="dxa"/>
          </w:tcPr>
          <w:p w:rsidR="003E022D" w:rsidRDefault="007D19D6">
            <w:pPr>
              <w:rPr>
                <w:bCs/>
                <w:noProof/>
              </w:rPr>
            </w:pPr>
            <w:r>
              <w:rPr>
                <w:noProof/>
              </w:rPr>
              <w:t xml:space="preserve">Dabisko vai ķīmisko štāpeļšķiedru vērpšana apvienojumā ar aušanu vai ar stepēšanu, </w:t>
            </w:r>
          </w:p>
          <w:p w:rsidR="003E022D" w:rsidRDefault="007D19D6">
            <w:pPr>
              <w:rPr>
                <w:bCs/>
                <w:noProof/>
              </w:rPr>
            </w:pPr>
            <w:r>
              <w:rPr>
                <w:noProof/>
              </w:rPr>
              <w:t xml:space="preserve">ķīmisko pavedienu dzijas ekstrūzija apvienojumā ar aušanu vai ar stepēšanu, </w:t>
            </w:r>
          </w:p>
          <w:p w:rsidR="003E022D" w:rsidRDefault="007D19D6">
            <w:pPr>
              <w:rPr>
                <w:bCs/>
                <w:noProof/>
              </w:rPr>
            </w:pPr>
            <w:r>
              <w:rPr>
                <w:noProof/>
              </w:rPr>
              <w:t xml:space="preserve">aušana apvienojumā ar krāsošanu vai flokdruku, vai pārklāšanu, vai laminēšanu, vai metalizēšanu, </w:t>
            </w:r>
          </w:p>
          <w:p w:rsidR="003E022D" w:rsidRDefault="007D19D6">
            <w:pPr>
              <w:rPr>
                <w:bCs/>
                <w:noProof/>
              </w:rPr>
            </w:pPr>
            <w:r>
              <w:rPr>
                <w:noProof/>
              </w:rPr>
              <w:t xml:space="preserve">stepēšana apvienojumā ar krāsošanu vai apdrukāšanu, </w:t>
            </w:r>
          </w:p>
          <w:p w:rsidR="003E022D" w:rsidRDefault="007D19D6">
            <w:pPr>
              <w:rPr>
                <w:bCs/>
                <w:noProof/>
              </w:rPr>
            </w:pPr>
            <w:r>
              <w:rPr>
                <w:noProof/>
              </w:rPr>
              <w:t xml:space="preserve">flokdruka apvienojumā ar krāsošanu vai apdrukāšanu, </w:t>
            </w:r>
          </w:p>
          <w:p w:rsidR="003E022D" w:rsidRDefault="007D19D6">
            <w:pPr>
              <w:rPr>
                <w:bCs/>
                <w:noProof/>
              </w:rPr>
            </w:pPr>
            <w:r>
              <w:rPr>
                <w:noProof/>
              </w:rPr>
              <w:t xml:space="preserve">dzijas krāsošana apvienojumā ar aušanu, </w:t>
            </w:r>
          </w:p>
          <w:p w:rsidR="003E022D" w:rsidRDefault="007D19D6">
            <w:pPr>
              <w:rPr>
                <w:bCs/>
                <w:noProof/>
              </w:rPr>
            </w:pPr>
            <w:r>
              <w:rPr>
                <w:noProof/>
              </w:rPr>
              <w:t>aušana apvi</w:t>
            </w:r>
            <w:r>
              <w:rPr>
                <w:noProof/>
              </w:rPr>
              <w:t>enojumā ar apdrukāšanu</w:t>
            </w:r>
          </w:p>
          <w:p w:rsidR="003E022D" w:rsidRDefault="007D19D6">
            <w:pPr>
              <w:rPr>
                <w:bCs/>
                <w:noProof/>
              </w:rPr>
            </w:pPr>
            <w:r>
              <w:rPr>
                <w:noProof/>
              </w:rPr>
              <w:t>vai</w:t>
            </w:r>
          </w:p>
          <w:p w:rsidR="003E022D" w:rsidRDefault="007D19D6">
            <w:pPr>
              <w:rPr>
                <w:bCs/>
                <w:noProof/>
              </w:rPr>
            </w:pPr>
            <w:r>
              <w:rPr>
                <w:noProof/>
              </w:rPr>
              <w:t>apdrukāšana (kā atsevišķa darbība).</w:t>
            </w:r>
          </w:p>
        </w:tc>
      </w:tr>
      <w:tr w:rsidR="003E022D">
        <w:tc>
          <w:tcPr>
            <w:tcW w:w="1985" w:type="dxa"/>
          </w:tcPr>
          <w:p w:rsidR="003E022D" w:rsidRDefault="007D19D6">
            <w:pPr>
              <w:rPr>
                <w:b/>
                <w:noProof/>
              </w:rPr>
            </w:pPr>
            <w:r>
              <w:rPr>
                <w:b/>
                <w:noProof/>
              </w:rPr>
              <w:t>59. nodaļa</w:t>
            </w:r>
          </w:p>
        </w:tc>
        <w:tc>
          <w:tcPr>
            <w:tcW w:w="7514" w:type="dxa"/>
          </w:tcPr>
          <w:p w:rsidR="003E022D" w:rsidRDefault="007D19D6">
            <w:pPr>
              <w:rPr>
                <w:b/>
                <w:noProof/>
              </w:rPr>
            </w:pPr>
            <w:r>
              <w:rPr>
                <w:b/>
                <w:noProof/>
              </w:rPr>
              <w:t>Impregnēti, piesūcināti, apvilkti, pārklāti vai laminēti tekstilmateriāli; rūpniecībā izmantojami tekstilizstrādājumi</w:t>
            </w:r>
          </w:p>
        </w:tc>
      </w:tr>
      <w:tr w:rsidR="003E022D">
        <w:tc>
          <w:tcPr>
            <w:tcW w:w="1985" w:type="dxa"/>
          </w:tcPr>
          <w:p w:rsidR="003E022D" w:rsidRDefault="007D19D6">
            <w:pPr>
              <w:rPr>
                <w:bCs/>
                <w:noProof/>
              </w:rPr>
            </w:pPr>
            <w:r>
              <w:rPr>
                <w:noProof/>
              </w:rPr>
              <w:t>59.01</w:t>
            </w:r>
          </w:p>
        </w:tc>
        <w:tc>
          <w:tcPr>
            <w:tcW w:w="7514" w:type="dxa"/>
          </w:tcPr>
          <w:p w:rsidR="003E022D" w:rsidRDefault="007D19D6">
            <w:pPr>
              <w:rPr>
                <w:bCs/>
                <w:noProof/>
              </w:rPr>
            </w:pPr>
            <w:r>
              <w:rPr>
                <w:noProof/>
              </w:rPr>
              <w:t>Aušana apvienojumā ar krāsošanu vai flokdruku, vai pārkl</w:t>
            </w:r>
            <w:r>
              <w:rPr>
                <w:noProof/>
              </w:rPr>
              <w:t>āšanu, vai laminēšanu, vai metalizēšanu</w:t>
            </w:r>
          </w:p>
          <w:p w:rsidR="003E022D" w:rsidRDefault="007D19D6">
            <w:pPr>
              <w:rPr>
                <w:bCs/>
                <w:noProof/>
              </w:rPr>
            </w:pPr>
            <w:r>
              <w:rPr>
                <w:noProof/>
              </w:rPr>
              <w:t>vai</w:t>
            </w:r>
          </w:p>
          <w:p w:rsidR="003E022D" w:rsidRDefault="007D19D6">
            <w:pPr>
              <w:rPr>
                <w:bCs/>
                <w:noProof/>
              </w:rPr>
            </w:pPr>
            <w:r>
              <w:rPr>
                <w:noProof/>
              </w:rPr>
              <w:t xml:space="preserve">flokdruka apvienojumā ar krāsošanu vai apdrukāšanu. </w:t>
            </w:r>
          </w:p>
        </w:tc>
      </w:tr>
      <w:tr w:rsidR="003E022D">
        <w:tc>
          <w:tcPr>
            <w:tcW w:w="1985" w:type="dxa"/>
          </w:tcPr>
          <w:p w:rsidR="003E022D" w:rsidRDefault="007D19D6">
            <w:pPr>
              <w:rPr>
                <w:bCs/>
                <w:noProof/>
              </w:rPr>
            </w:pPr>
            <w:r>
              <w:rPr>
                <w:noProof/>
              </w:rPr>
              <w:t>59.02</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kas satur ne vairāk par 90 % no svara tekstilmateriālu:</w:t>
            </w:r>
          </w:p>
        </w:tc>
        <w:tc>
          <w:tcPr>
            <w:tcW w:w="7514" w:type="dxa"/>
          </w:tcPr>
          <w:p w:rsidR="003E022D" w:rsidRDefault="007D19D6">
            <w:pPr>
              <w:rPr>
                <w:bCs/>
                <w:noProof/>
              </w:rPr>
            </w:pPr>
            <w:r>
              <w:rPr>
                <w:noProof/>
              </w:rPr>
              <w:t>Aušana.</w:t>
            </w:r>
          </w:p>
        </w:tc>
      </w:tr>
      <w:tr w:rsidR="003E022D">
        <w:tc>
          <w:tcPr>
            <w:tcW w:w="1985" w:type="dxa"/>
          </w:tcPr>
          <w:p w:rsidR="003E022D" w:rsidRDefault="007D19D6">
            <w:pPr>
              <w:rPr>
                <w:bCs/>
                <w:noProof/>
              </w:rPr>
            </w:pPr>
            <w:r>
              <w:rPr>
                <w:noProof/>
              </w:rPr>
              <w:t>- citādi:</w:t>
            </w:r>
          </w:p>
          <w:p w:rsidR="003E022D" w:rsidRDefault="003E022D">
            <w:pPr>
              <w:rPr>
                <w:bCs/>
                <w:noProof/>
              </w:rPr>
            </w:pPr>
          </w:p>
        </w:tc>
        <w:tc>
          <w:tcPr>
            <w:tcW w:w="7514" w:type="dxa"/>
          </w:tcPr>
          <w:p w:rsidR="003E022D" w:rsidRDefault="007D19D6">
            <w:pPr>
              <w:rPr>
                <w:bCs/>
                <w:noProof/>
              </w:rPr>
            </w:pPr>
            <w:r>
              <w:rPr>
                <w:noProof/>
              </w:rPr>
              <w:t>Ķīmisko šķiedru ekstrūzija apvienojumā ar aušanu.</w:t>
            </w:r>
          </w:p>
          <w:p w:rsidR="003E022D" w:rsidRDefault="003E022D">
            <w:pPr>
              <w:rPr>
                <w:bCs/>
                <w:noProof/>
              </w:rPr>
            </w:pPr>
          </w:p>
        </w:tc>
      </w:tr>
      <w:tr w:rsidR="003E022D">
        <w:tc>
          <w:tcPr>
            <w:tcW w:w="1985" w:type="dxa"/>
          </w:tcPr>
          <w:p w:rsidR="003E022D" w:rsidRDefault="007D19D6">
            <w:pPr>
              <w:rPr>
                <w:bCs/>
                <w:noProof/>
              </w:rPr>
            </w:pPr>
            <w:r>
              <w:rPr>
                <w:noProof/>
              </w:rPr>
              <w:t>59.03</w:t>
            </w:r>
          </w:p>
        </w:tc>
        <w:tc>
          <w:tcPr>
            <w:tcW w:w="7514" w:type="dxa"/>
          </w:tcPr>
          <w:p w:rsidR="003E022D" w:rsidRDefault="007D19D6">
            <w:pPr>
              <w:rPr>
                <w:bCs/>
                <w:noProof/>
              </w:rPr>
            </w:pPr>
            <w:r>
              <w:rPr>
                <w:noProof/>
              </w:rPr>
              <w:t xml:space="preserve">Aušana, adīšana, vai tamborēšana apvienojumā ar impregnēšanu vai pārklāšanu, vai apklāšanu, vai laminēšanu, vai metalizēšanu, </w:t>
            </w:r>
          </w:p>
          <w:p w:rsidR="003E022D" w:rsidRDefault="007D19D6">
            <w:pPr>
              <w:rPr>
                <w:bCs/>
                <w:noProof/>
              </w:rPr>
            </w:pPr>
            <w:r>
              <w:rPr>
                <w:noProof/>
              </w:rPr>
              <w:t>aušana apvienojumā ar apdrukāšanu vai</w:t>
            </w:r>
          </w:p>
          <w:p w:rsidR="003E022D" w:rsidRDefault="007D19D6">
            <w:pPr>
              <w:rPr>
                <w:bCs/>
                <w:noProof/>
              </w:rPr>
            </w:pPr>
            <w:r>
              <w:rPr>
                <w:noProof/>
              </w:rPr>
              <w:t>apdrukāšana (kā atsevišķa darbība).</w:t>
            </w:r>
          </w:p>
        </w:tc>
      </w:tr>
      <w:tr w:rsidR="003E022D">
        <w:tc>
          <w:tcPr>
            <w:tcW w:w="1985" w:type="dxa"/>
          </w:tcPr>
          <w:p w:rsidR="003E022D" w:rsidRDefault="007D19D6">
            <w:pPr>
              <w:rPr>
                <w:bCs/>
                <w:noProof/>
              </w:rPr>
            </w:pPr>
            <w:r>
              <w:rPr>
                <w:noProof/>
              </w:rPr>
              <w:t>59.04</w:t>
            </w:r>
          </w:p>
        </w:tc>
        <w:tc>
          <w:tcPr>
            <w:tcW w:w="7514" w:type="dxa"/>
          </w:tcPr>
          <w:p w:rsidR="003E022D" w:rsidRDefault="007D19D6">
            <w:pPr>
              <w:rPr>
                <w:bCs/>
                <w:noProof/>
              </w:rPr>
            </w:pPr>
            <w:r>
              <w:rPr>
                <w:noProof/>
              </w:rPr>
              <w:t>Kalandrēšana apvienojumā ar krāsošanu, pārklāšan</w:t>
            </w:r>
            <w:r>
              <w:rPr>
                <w:noProof/>
              </w:rPr>
              <w:t>u, laminēšanu vai metalizēšanu. Par pamatni var izmantot nenoteiktas izcelsmes džutas audumu</w:t>
            </w:r>
          </w:p>
          <w:p w:rsidR="003E022D" w:rsidRDefault="007D19D6">
            <w:pPr>
              <w:rPr>
                <w:bCs/>
                <w:noProof/>
              </w:rPr>
            </w:pPr>
            <w:r>
              <w:rPr>
                <w:noProof/>
              </w:rPr>
              <w:t>vai</w:t>
            </w:r>
          </w:p>
          <w:p w:rsidR="003E022D" w:rsidRDefault="007D19D6">
            <w:pPr>
              <w:rPr>
                <w:bCs/>
                <w:noProof/>
              </w:rPr>
            </w:pPr>
            <w:r>
              <w:rPr>
                <w:noProof/>
              </w:rPr>
              <w:t>aušana apvienojumā ar krāsošanu vai pārklāšanu, vai laminēšanu, vai metalizēšanu. Par pamatni var izmantot nenoteiktas izcelsmes džutas audumu.</w:t>
            </w:r>
          </w:p>
        </w:tc>
      </w:tr>
      <w:tr w:rsidR="003E022D">
        <w:trPr>
          <w:trHeight w:val="384"/>
        </w:trPr>
        <w:tc>
          <w:tcPr>
            <w:tcW w:w="1985" w:type="dxa"/>
          </w:tcPr>
          <w:p w:rsidR="003E022D" w:rsidRDefault="007D19D6">
            <w:pPr>
              <w:rPr>
                <w:bCs/>
                <w:noProof/>
              </w:rPr>
            </w:pPr>
            <w:r>
              <w:rPr>
                <w:noProof/>
              </w:rPr>
              <w:t>59.05</w:t>
            </w:r>
          </w:p>
          <w:p w:rsidR="003E022D" w:rsidRDefault="003E022D">
            <w:pPr>
              <w:rPr>
                <w:bCs/>
                <w:noProof/>
              </w:rPr>
            </w:pPr>
          </w:p>
        </w:tc>
        <w:tc>
          <w:tcPr>
            <w:tcW w:w="7514" w:type="dxa"/>
          </w:tcPr>
          <w:p w:rsidR="003E022D" w:rsidRDefault="003E022D">
            <w:pPr>
              <w:rPr>
                <w:bCs/>
                <w:noProof/>
              </w:rPr>
            </w:pPr>
          </w:p>
        </w:tc>
      </w:tr>
      <w:tr w:rsidR="003E022D">
        <w:trPr>
          <w:trHeight w:val="1089"/>
        </w:trPr>
        <w:tc>
          <w:tcPr>
            <w:tcW w:w="1985" w:type="dxa"/>
          </w:tcPr>
          <w:p w:rsidR="003E022D" w:rsidRDefault="007D19D6">
            <w:pPr>
              <w:rPr>
                <w:bCs/>
                <w:noProof/>
              </w:rPr>
            </w:pPr>
            <w:r>
              <w:rPr>
                <w:noProof/>
              </w:rPr>
              <w:t xml:space="preserve">- </w:t>
            </w:r>
            <w:r>
              <w:rPr>
                <w:noProof/>
              </w:rPr>
              <w:t>impregnētas, ar gumiju, plastmasu vai citiem materiāliem pārklātas vai laminētas:</w:t>
            </w:r>
          </w:p>
          <w:p w:rsidR="003E022D" w:rsidRDefault="003E022D">
            <w:pPr>
              <w:rPr>
                <w:bCs/>
                <w:noProof/>
              </w:rPr>
            </w:pPr>
          </w:p>
        </w:tc>
        <w:tc>
          <w:tcPr>
            <w:tcW w:w="7514" w:type="dxa"/>
          </w:tcPr>
          <w:p w:rsidR="003E022D" w:rsidRDefault="007D19D6">
            <w:pPr>
              <w:rPr>
                <w:bCs/>
                <w:noProof/>
              </w:rPr>
            </w:pPr>
            <w:r>
              <w:rPr>
                <w:noProof/>
              </w:rPr>
              <w:t>Aušana, adīšana vai neausta auduma veidošana apvienojumā ar impregnēšanu vai pārklāšanu, vai apklāšanu, vai laminēšanu, vai metalizēšanu.</w:t>
            </w:r>
          </w:p>
        </w:tc>
      </w:tr>
      <w:tr w:rsidR="003E022D">
        <w:trPr>
          <w:trHeight w:val="564"/>
        </w:trPr>
        <w:tc>
          <w:tcPr>
            <w:tcW w:w="1985" w:type="dxa"/>
          </w:tcPr>
          <w:p w:rsidR="003E022D" w:rsidRDefault="007D19D6">
            <w:pPr>
              <w:rPr>
                <w:bCs/>
                <w:noProof/>
              </w:rPr>
            </w:pPr>
            <w:r>
              <w:rPr>
                <w:noProof/>
              </w:rPr>
              <w:t xml:space="preserve">- citādi: </w:t>
            </w:r>
          </w:p>
        </w:tc>
        <w:tc>
          <w:tcPr>
            <w:tcW w:w="7514" w:type="dxa"/>
          </w:tcPr>
          <w:p w:rsidR="003E022D" w:rsidRDefault="007D19D6">
            <w:pPr>
              <w:rPr>
                <w:bCs/>
                <w:noProof/>
              </w:rPr>
            </w:pPr>
            <w:r>
              <w:rPr>
                <w:noProof/>
              </w:rPr>
              <w:t xml:space="preserve">Dabisko vai ķīmisko štāpeļšķiedru vērpšana apvienojumā ar aušanu, </w:t>
            </w:r>
          </w:p>
          <w:p w:rsidR="003E022D" w:rsidRDefault="007D19D6">
            <w:pPr>
              <w:rPr>
                <w:bCs/>
                <w:noProof/>
              </w:rPr>
            </w:pPr>
            <w:r>
              <w:rPr>
                <w:noProof/>
              </w:rPr>
              <w:t xml:space="preserve">ķīmisko pavedienu dzijas ekstrūzija apvienojumā ar aušanu, </w:t>
            </w:r>
          </w:p>
          <w:p w:rsidR="003E022D" w:rsidRDefault="007D19D6">
            <w:pPr>
              <w:rPr>
                <w:bCs/>
                <w:noProof/>
              </w:rPr>
            </w:pPr>
            <w:r>
              <w:rPr>
                <w:noProof/>
              </w:rPr>
              <w:t xml:space="preserve">Dabisko vai ķīmisko štāpeļšķiedru vērpšana apvienojumā ar aušanu, </w:t>
            </w:r>
          </w:p>
          <w:p w:rsidR="003E022D" w:rsidRDefault="007D19D6">
            <w:pPr>
              <w:rPr>
                <w:bCs/>
                <w:noProof/>
              </w:rPr>
            </w:pPr>
            <w:r>
              <w:rPr>
                <w:noProof/>
              </w:rPr>
              <w:t xml:space="preserve">aušana apvienojumā ar apdrukāšanu </w:t>
            </w:r>
          </w:p>
          <w:p w:rsidR="003E022D" w:rsidRDefault="007D19D6">
            <w:pPr>
              <w:rPr>
                <w:bCs/>
                <w:noProof/>
              </w:rPr>
            </w:pPr>
            <w:r>
              <w:rPr>
                <w:noProof/>
              </w:rPr>
              <w:t xml:space="preserve">vai </w:t>
            </w:r>
          </w:p>
          <w:p w:rsidR="003E022D" w:rsidRDefault="007D19D6">
            <w:pPr>
              <w:rPr>
                <w:bCs/>
                <w:noProof/>
              </w:rPr>
            </w:pPr>
            <w:r>
              <w:rPr>
                <w:noProof/>
              </w:rPr>
              <w:t>apdrukāšana (kā atsevi</w:t>
            </w:r>
            <w:r>
              <w:rPr>
                <w:noProof/>
              </w:rPr>
              <w:t xml:space="preserve">šķa darbība). </w:t>
            </w:r>
          </w:p>
        </w:tc>
      </w:tr>
      <w:tr w:rsidR="003E022D">
        <w:tc>
          <w:tcPr>
            <w:tcW w:w="1985" w:type="dxa"/>
          </w:tcPr>
          <w:p w:rsidR="003E022D" w:rsidRDefault="007D19D6">
            <w:pPr>
              <w:rPr>
                <w:bCs/>
                <w:noProof/>
              </w:rPr>
            </w:pPr>
            <w:r>
              <w:rPr>
                <w:noProof/>
              </w:rPr>
              <w:t>59.06</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adītas vai tamborētas drānas:</w:t>
            </w:r>
          </w:p>
        </w:tc>
        <w:tc>
          <w:tcPr>
            <w:tcW w:w="7514" w:type="dxa"/>
          </w:tcPr>
          <w:p w:rsidR="003E022D" w:rsidRDefault="007D19D6">
            <w:pPr>
              <w:rPr>
                <w:bCs/>
                <w:noProof/>
              </w:rPr>
            </w:pPr>
            <w:r>
              <w:rPr>
                <w:noProof/>
              </w:rPr>
              <w:t xml:space="preserve">Dabisko vai ķīmisko štāpeļšķiedru vērpšana apvienojumā ar adīšanu vai ar tamborēšanu, </w:t>
            </w:r>
          </w:p>
          <w:p w:rsidR="003E022D" w:rsidRDefault="007D19D6">
            <w:pPr>
              <w:rPr>
                <w:bCs/>
                <w:noProof/>
              </w:rPr>
            </w:pPr>
            <w:r>
              <w:rPr>
                <w:noProof/>
              </w:rPr>
              <w:t xml:space="preserve">ķīmisko pavedienu dzijas ekstrūzija apvienojumā ar adīšanu vai ar tamborēšanu, </w:t>
            </w:r>
          </w:p>
          <w:p w:rsidR="003E022D" w:rsidRDefault="007D19D6">
            <w:pPr>
              <w:rPr>
                <w:bCs/>
                <w:noProof/>
              </w:rPr>
            </w:pPr>
            <w:r>
              <w:rPr>
                <w:noProof/>
              </w:rPr>
              <w:t xml:space="preserve">adīšana vai tamborēšana </w:t>
            </w:r>
            <w:r>
              <w:rPr>
                <w:noProof/>
              </w:rPr>
              <w:t>apvienojumā ar gumijošanu vai</w:t>
            </w:r>
          </w:p>
          <w:p w:rsidR="003E022D" w:rsidRDefault="007D19D6">
            <w:pPr>
              <w:rPr>
                <w:bCs/>
                <w:noProof/>
              </w:rPr>
            </w:pPr>
            <w:r>
              <w:rPr>
                <w:noProof/>
              </w:rPr>
              <w:t>gumijošana apvienojumā ar vismaz divām sagatavošanas vai galapstrādes operācijām (piemēram, kalandrēšanu, apstrādāšanu pret saraušanos, termofiksēšanu, gala apstrādi), ja izmantoto nenoteiktas izcelsmes materiālu vērtība nepār</w:t>
            </w:r>
            <w:r>
              <w:rPr>
                <w:noProof/>
              </w:rPr>
              <w:t xml:space="preserve">sniedz 50 % no ražojuma </w:t>
            </w:r>
            <w:r>
              <w:rPr>
                <w:i/>
                <w:noProof/>
              </w:rPr>
              <w:t>EXW</w:t>
            </w:r>
            <w:r>
              <w:rPr>
                <w:noProof/>
              </w:rPr>
              <w:t xml:space="preserve"> cenas.</w:t>
            </w:r>
          </w:p>
        </w:tc>
      </w:tr>
      <w:tr w:rsidR="003E022D">
        <w:tc>
          <w:tcPr>
            <w:tcW w:w="1985" w:type="dxa"/>
          </w:tcPr>
          <w:p w:rsidR="003E022D" w:rsidRDefault="007D19D6">
            <w:pPr>
              <w:rPr>
                <w:bCs/>
                <w:noProof/>
              </w:rPr>
            </w:pPr>
            <w:r>
              <w:rPr>
                <w:noProof/>
              </w:rPr>
              <w:t>- citādi audumi no sintētisko pavedienu dzijas, kā sastāvā pēc svara ir vairāk nekā 90 % tekstilmateriāla:</w:t>
            </w:r>
          </w:p>
          <w:p w:rsidR="003E022D" w:rsidRDefault="003E022D">
            <w:pPr>
              <w:rPr>
                <w:bCs/>
                <w:noProof/>
              </w:rPr>
            </w:pPr>
          </w:p>
        </w:tc>
        <w:tc>
          <w:tcPr>
            <w:tcW w:w="7514" w:type="dxa"/>
          </w:tcPr>
          <w:p w:rsidR="003E022D" w:rsidRDefault="007D19D6">
            <w:pPr>
              <w:rPr>
                <w:bCs/>
                <w:noProof/>
              </w:rPr>
            </w:pPr>
            <w:r>
              <w:rPr>
                <w:noProof/>
              </w:rPr>
              <w:t xml:space="preserve">Ķīmisko šķiedru ekstrūzija apvienojumā ar aušanu. </w:t>
            </w: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noProof/>
              </w:rPr>
              <w:t>Aušana, adīšana vai ar aušanu nesaistīts process a</w:t>
            </w:r>
            <w:r>
              <w:rPr>
                <w:noProof/>
              </w:rPr>
              <w:t xml:space="preserve">pvienojumā ar krāsošanu vai pārklāšanu, vai gumijošanu, </w:t>
            </w:r>
          </w:p>
          <w:p w:rsidR="003E022D" w:rsidRDefault="007D19D6">
            <w:pPr>
              <w:rPr>
                <w:bCs/>
                <w:noProof/>
              </w:rPr>
            </w:pPr>
            <w:r>
              <w:rPr>
                <w:noProof/>
              </w:rPr>
              <w:t>dzijas krāsošana apvienojumā ar aušanu, adīšanu vai ar aušanu nesaistītu procesu</w:t>
            </w:r>
          </w:p>
          <w:p w:rsidR="003E022D" w:rsidRDefault="007D19D6">
            <w:pPr>
              <w:rPr>
                <w:bCs/>
                <w:noProof/>
              </w:rPr>
            </w:pPr>
            <w:r>
              <w:rPr>
                <w:noProof/>
              </w:rPr>
              <w:t>vai</w:t>
            </w:r>
          </w:p>
          <w:p w:rsidR="003E022D" w:rsidRDefault="007D19D6">
            <w:pPr>
              <w:rPr>
                <w:bCs/>
                <w:noProof/>
              </w:rPr>
            </w:pPr>
            <w:r>
              <w:rPr>
                <w:noProof/>
              </w:rPr>
              <w:t>gumijošana apvienojumā ar vismaz divām sagatavošanas vai galapstrādes operācijām (piemēram, kalandrēšanu, apstrādā</w:t>
            </w:r>
            <w:r>
              <w:rPr>
                <w:noProof/>
              </w:rPr>
              <w:t xml:space="preserve">šanu pret saraušanos, termofiksēšanu, gala apstrādi), ja izmantoto nenoteiktas izcelsmes materiālu vērtība nepārsniedz 50 % no ražojuma </w:t>
            </w:r>
            <w:r>
              <w:rPr>
                <w:i/>
                <w:noProof/>
              </w:rPr>
              <w:t>EXW</w:t>
            </w:r>
            <w:r>
              <w:rPr>
                <w:noProof/>
              </w:rPr>
              <w:t xml:space="preserve"> cenas.</w:t>
            </w:r>
          </w:p>
        </w:tc>
      </w:tr>
      <w:tr w:rsidR="003E022D">
        <w:tc>
          <w:tcPr>
            <w:tcW w:w="1985" w:type="dxa"/>
          </w:tcPr>
          <w:p w:rsidR="003E022D" w:rsidRDefault="007D19D6">
            <w:pPr>
              <w:rPr>
                <w:bCs/>
                <w:noProof/>
              </w:rPr>
            </w:pPr>
            <w:r>
              <w:rPr>
                <w:noProof/>
              </w:rPr>
              <w:t>59.07</w:t>
            </w:r>
          </w:p>
        </w:tc>
        <w:tc>
          <w:tcPr>
            <w:tcW w:w="7514" w:type="dxa"/>
          </w:tcPr>
          <w:p w:rsidR="003E022D" w:rsidRDefault="007D19D6">
            <w:pPr>
              <w:rPr>
                <w:bCs/>
                <w:noProof/>
              </w:rPr>
            </w:pPr>
            <w:r>
              <w:rPr>
                <w:noProof/>
              </w:rPr>
              <w:t>Aušana, adīšana vai neausta auduma veidošana apvienojumā ar krāsošanu vai apdrukāšanu, vai pārklāšanu,</w:t>
            </w:r>
            <w:r>
              <w:rPr>
                <w:noProof/>
              </w:rPr>
              <w:t xml:space="preserve"> vai impregnēšanu, vai apklāšanu, </w:t>
            </w:r>
          </w:p>
          <w:p w:rsidR="003E022D" w:rsidRDefault="007D19D6">
            <w:pPr>
              <w:rPr>
                <w:bCs/>
                <w:noProof/>
              </w:rPr>
            </w:pPr>
            <w:r>
              <w:rPr>
                <w:noProof/>
              </w:rPr>
              <w:t xml:space="preserve">flokdruka apvienojumā ar krāsošanu vai apdrukāšanu, </w:t>
            </w:r>
          </w:p>
          <w:p w:rsidR="003E022D" w:rsidRDefault="007D19D6">
            <w:pPr>
              <w:rPr>
                <w:bCs/>
                <w:noProof/>
              </w:rPr>
            </w:pPr>
            <w:r>
              <w:rPr>
                <w:noProof/>
              </w:rPr>
              <w:t>vai</w:t>
            </w:r>
          </w:p>
          <w:p w:rsidR="003E022D" w:rsidRDefault="007D19D6">
            <w:pPr>
              <w:rPr>
                <w:bCs/>
                <w:noProof/>
              </w:rPr>
            </w:pPr>
            <w:r>
              <w:rPr>
                <w:noProof/>
              </w:rPr>
              <w:t xml:space="preserve">apdrukāšana (kā atsevišķa darbība). </w:t>
            </w:r>
          </w:p>
        </w:tc>
      </w:tr>
      <w:tr w:rsidR="003E022D">
        <w:tc>
          <w:tcPr>
            <w:tcW w:w="1985" w:type="dxa"/>
          </w:tcPr>
          <w:p w:rsidR="003E022D" w:rsidRDefault="007D19D6">
            <w:pPr>
              <w:rPr>
                <w:bCs/>
                <w:noProof/>
              </w:rPr>
            </w:pPr>
            <w:r>
              <w:rPr>
                <w:noProof/>
              </w:rPr>
              <w:t>59.08</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gāzes lukturu kvēltīkliņi, impregnēti:</w:t>
            </w:r>
          </w:p>
          <w:p w:rsidR="003E022D" w:rsidRDefault="003E022D">
            <w:pPr>
              <w:rPr>
                <w:bCs/>
                <w:noProof/>
              </w:rPr>
            </w:pPr>
          </w:p>
        </w:tc>
        <w:tc>
          <w:tcPr>
            <w:tcW w:w="7514" w:type="dxa"/>
          </w:tcPr>
          <w:p w:rsidR="003E022D" w:rsidRDefault="007D19D6">
            <w:pPr>
              <w:rPr>
                <w:bCs/>
                <w:noProof/>
              </w:rPr>
            </w:pPr>
            <w:r>
              <w:rPr>
                <w:noProof/>
              </w:rPr>
              <w:t>Ražošana no cauruļveida trikotāžas gāzes degļiem.</w:t>
            </w:r>
          </w:p>
          <w:p w:rsidR="003E022D" w:rsidRDefault="003E022D">
            <w:pPr>
              <w:rPr>
                <w:bCs/>
                <w:noProof/>
              </w:rPr>
            </w:pP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i/>
                <w:noProof/>
              </w:rPr>
              <w:t>CTH</w:t>
            </w:r>
          </w:p>
          <w:p w:rsidR="003E022D" w:rsidRDefault="003E022D">
            <w:pPr>
              <w:rPr>
                <w:bCs/>
                <w:noProof/>
              </w:rPr>
            </w:pPr>
          </w:p>
        </w:tc>
      </w:tr>
      <w:tr w:rsidR="003E022D">
        <w:tc>
          <w:tcPr>
            <w:tcW w:w="1985" w:type="dxa"/>
          </w:tcPr>
          <w:p w:rsidR="003E022D" w:rsidRDefault="007D19D6">
            <w:pPr>
              <w:rPr>
                <w:bCs/>
                <w:noProof/>
              </w:rPr>
            </w:pPr>
            <w:r>
              <w:rPr>
                <w:noProof/>
              </w:rPr>
              <w:t>59.09-59.11</w:t>
            </w:r>
          </w:p>
        </w:tc>
        <w:tc>
          <w:tcPr>
            <w:tcW w:w="7514" w:type="dxa"/>
          </w:tcPr>
          <w:p w:rsidR="003E022D" w:rsidRDefault="007D19D6">
            <w:pPr>
              <w:rPr>
                <w:bCs/>
                <w:noProof/>
              </w:rPr>
            </w:pPr>
            <w:r>
              <w:rPr>
                <w:noProof/>
              </w:rPr>
              <w:t xml:space="preserve">Dabisko vai ķīmisko štāpeļšķiedru vērpšana apvienojumā ar aušanu, </w:t>
            </w:r>
          </w:p>
          <w:p w:rsidR="003E022D" w:rsidRDefault="007D19D6">
            <w:pPr>
              <w:rPr>
                <w:bCs/>
                <w:noProof/>
              </w:rPr>
            </w:pPr>
            <w:r>
              <w:rPr>
                <w:noProof/>
              </w:rPr>
              <w:t xml:space="preserve">ķīmisko šķiedru ekstrūzija apvienojumā ar aušanu, </w:t>
            </w:r>
          </w:p>
          <w:p w:rsidR="003E022D" w:rsidRDefault="007D19D6">
            <w:pPr>
              <w:rPr>
                <w:bCs/>
                <w:noProof/>
              </w:rPr>
            </w:pPr>
            <w:r>
              <w:rPr>
                <w:noProof/>
              </w:rPr>
              <w:t xml:space="preserve">aušana apvienojumā ar krāsošanu vai pārklāšanu vai laminēšanu, </w:t>
            </w:r>
          </w:p>
          <w:p w:rsidR="003E022D" w:rsidRDefault="007D19D6">
            <w:pPr>
              <w:rPr>
                <w:bCs/>
                <w:noProof/>
              </w:rPr>
            </w:pPr>
            <w:r>
              <w:rPr>
                <w:noProof/>
              </w:rPr>
              <w:t>vai</w:t>
            </w:r>
          </w:p>
          <w:p w:rsidR="003E022D" w:rsidRDefault="007D19D6">
            <w:pPr>
              <w:rPr>
                <w:bCs/>
                <w:noProof/>
              </w:rPr>
            </w:pPr>
            <w:r>
              <w:rPr>
                <w:noProof/>
              </w:rPr>
              <w:t xml:space="preserve">pārklāšana, flokdruka, laminēšana vai metalizēšana </w:t>
            </w:r>
            <w:r>
              <w:rPr>
                <w:noProof/>
              </w:rPr>
              <w:t>apvienojumā ar vismaz divām sagatavošanas vai galapstrādes operācijām (piemēram, kalandrēšanu, apstrādāšanu pret saraušanos, termofiksēšanu, gala apstrādi), ja izmantoto nenoteiktas izcelsmes materiālu vērtība nepārsniedz 50 % no ražojuma EXW cenas.</w:t>
            </w:r>
          </w:p>
          <w:p w:rsidR="003E022D" w:rsidRDefault="003E022D">
            <w:pPr>
              <w:rPr>
                <w:bCs/>
                <w:noProof/>
              </w:rPr>
            </w:pPr>
          </w:p>
        </w:tc>
      </w:tr>
      <w:tr w:rsidR="003E022D">
        <w:tc>
          <w:tcPr>
            <w:tcW w:w="1985" w:type="dxa"/>
          </w:tcPr>
          <w:p w:rsidR="003E022D" w:rsidRDefault="007D19D6">
            <w:pPr>
              <w:rPr>
                <w:b/>
                <w:noProof/>
              </w:rPr>
            </w:pPr>
            <w:r>
              <w:rPr>
                <w:b/>
                <w:noProof/>
              </w:rPr>
              <w:t xml:space="preserve">60. </w:t>
            </w:r>
            <w:r>
              <w:rPr>
                <w:b/>
                <w:noProof/>
              </w:rPr>
              <w:t xml:space="preserve">nodaļa </w:t>
            </w:r>
          </w:p>
        </w:tc>
        <w:tc>
          <w:tcPr>
            <w:tcW w:w="7514" w:type="dxa"/>
          </w:tcPr>
          <w:p w:rsidR="003E022D" w:rsidRDefault="007D19D6">
            <w:pPr>
              <w:rPr>
                <w:b/>
                <w:noProof/>
              </w:rPr>
            </w:pPr>
            <w:r>
              <w:rPr>
                <w:b/>
                <w:noProof/>
              </w:rPr>
              <w:t>Adītas vai tamborētas drānas</w:t>
            </w:r>
          </w:p>
        </w:tc>
      </w:tr>
      <w:tr w:rsidR="003E022D">
        <w:tc>
          <w:tcPr>
            <w:tcW w:w="1985" w:type="dxa"/>
          </w:tcPr>
          <w:p w:rsidR="003E022D" w:rsidRDefault="007D19D6">
            <w:pPr>
              <w:rPr>
                <w:bCs/>
                <w:noProof/>
              </w:rPr>
            </w:pPr>
            <w:r>
              <w:rPr>
                <w:noProof/>
              </w:rPr>
              <w:t>60.01-60.06</w:t>
            </w:r>
          </w:p>
        </w:tc>
        <w:tc>
          <w:tcPr>
            <w:tcW w:w="7514" w:type="dxa"/>
          </w:tcPr>
          <w:p w:rsidR="003E022D" w:rsidRDefault="007D19D6">
            <w:pPr>
              <w:rPr>
                <w:bCs/>
                <w:noProof/>
              </w:rPr>
            </w:pPr>
            <w:r>
              <w:rPr>
                <w:noProof/>
              </w:rPr>
              <w:t xml:space="preserve">Dabisko vai ķīmisko štāpeļšķiedru vērpšana apvienojumā ar adīšanu vai ar tamborēšanu, </w:t>
            </w:r>
          </w:p>
          <w:p w:rsidR="003E022D" w:rsidRDefault="007D19D6">
            <w:pPr>
              <w:rPr>
                <w:bCs/>
                <w:noProof/>
              </w:rPr>
            </w:pPr>
            <w:r>
              <w:rPr>
                <w:noProof/>
              </w:rPr>
              <w:t xml:space="preserve">ķīmisko pavedienu dzijas ekstrūzija apvienojumā ar adīšanu vai ar tamborēšanu, </w:t>
            </w:r>
          </w:p>
          <w:p w:rsidR="003E022D" w:rsidRDefault="007D19D6">
            <w:pPr>
              <w:rPr>
                <w:bCs/>
                <w:noProof/>
              </w:rPr>
            </w:pPr>
            <w:r>
              <w:rPr>
                <w:noProof/>
              </w:rPr>
              <w:t xml:space="preserve">adīšana vai tamborēšana apvienojumā ar </w:t>
            </w:r>
            <w:r>
              <w:rPr>
                <w:noProof/>
              </w:rPr>
              <w:t xml:space="preserve">krāsošanu vai flokdruku, vai pārklāšanu, vai laminēšanu, vai apdrukāšanu, </w:t>
            </w:r>
          </w:p>
          <w:p w:rsidR="003E022D" w:rsidRDefault="007D19D6">
            <w:pPr>
              <w:rPr>
                <w:bCs/>
                <w:noProof/>
              </w:rPr>
            </w:pPr>
            <w:r>
              <w:rPr>
                <w:noProof/>
              </w:rPr>
              <w:t xml:space="preserve">flokdruka apvienojumā ar krāsošanu vai apdrukāšanu, </w:t>
            </w:r>
          </w:p>
          <w:p w:rsidR="003E022D" w:rsidRDefault="007D19D6">
            <w:pPr>
              <w:rPr>
                <w:bCs/>
                <w:noProof/>
              </w:rPr>
            </w:pPr>
            <w:r>
              <w:rPr>
                <w:noProof/>
              </w:rPr>
              <w:t>dzijas krāsošana apvienojumā ar adīšanu vai tamborēšanu vai</w:t>
            </w:r>
          </w:p>
          <w:p w:rsidR="003E022D" w:rsidRDefault="007D19D6">
            <w:pPr>
              <w:rPr>
                <w:bCs/>
                <w:noProof/>
              </w:rPr>
            </w:pPr>
            <w:r>
              <w:rPr>
                <w:noProof/>
              </w:rPr>
              <w:t>šķeterēšana vai teksturēšana apvienojumā ar adīšanu vai tamborēšanu,</w:t>
            </w:r>
            <w:r>
              <w:rPr>
                <w:noProof/>
              </w:rPr>
              <w:t xml:space="preserve"> ja izmantotās nenoteiktas izcelsmes nešķeterētas un neteksturētas dzijas vērtība nepārsniedz 50 % no ražojuma </w:t>
            </w:r>
            <w:r>
              <w:rPr>
                <w:i/>
                <w:noProof/>
              </w:rPr>
              <w:t>EXW</w:t>
            </w:r>
            <w:r>
              <w:rPr>
                <w:noProof/>
              </w:rPr>
              <w:t xml:space="preserve"> cenas.</w:t>
            </w:r>
          </w:p>
        </w:tc>
      </w:tr>
      <w:tr w:rsidR="003E022D">
        <w:tc>
          <w:tcPr>
            <w:tcW w:w="1985" w:type="dxa"/>
          </w:tcPr>
          <w:p w:rsidR="003E022D" w:rsidRDefault="007D19D6">
            <w:pPr>
              <w:rPr>
                <w:b/>
                <w:noProof/>
              </w:rPr>
            </w:pPr>
            <w:r>
              <w:rPr>
                <w:b/>
                <w:noProof/>
              </w:rPr>
              <w:t>61. nodaļa</w:t>
            </w:r>
          </w:p>
        </w:tc>
        <w:tc>
          <w:tcPr>
            <w:tcW w:w="7514" w:type="dxa"/>
          </w:tcPr>
          <w:p w:rsidR="003E022D" w:rsidRDefault="007D19D6">
            <w:pPr>
              <w:rPr>
                <w:b/>
                <w:noProof/>
              </w:rPr>
            </w:pPr>
            <w:r>
              <w:rPr>
                <w:b/>
                <w:noProof/>
              </w:rPr>
              <w:t>Adīti vai tamborēti apģērbi un apģērba piederumi</w:t>
            </w:r>
          </w:p>
        </w:tc>
      </w:tr>
      <w:tr w:rsidR="003E022D">
        <w:tc>
          <w:tcPr>
            <w:tcW w:w="1985" w:type="dxa"/>
          </w:tcPr>
          <w:p w:rsidR="003E022D" w:rsidRDefault="007D19D6">
            <w:pPr>
              <w:rPr>
                <w:bCs/>
                <w:noProof/>
              </w:rPr>
            </w:pPr>
            <w:r>
              <w:rPr>
                <w:noProof/>
              </w:rPr>
              <w:t>61.01-61.17</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xml:space="preserve">- šūti vai citādi savienoti no diviem vai vairākiem </w:t>
            </w:r>
            <w:r>
              <w:rPr>
                <w:noProof/>
              </w:rPr>
              <w:t>adītiem vai tamborētiem auduma gabaliem, kas ir piegriezti vai uzreiz izgatavoti pēc formas:</w:t>
            </w:r>
          </w:p>
          <w:p w:rsidR="003E022D" w:rsidRDefault="003E022D">
            <w:pPr>
              <w:rPr>
                <w:bCs/>
                <w:noProof/>
              </w:rPr>
            </w:pPr>
          </w:p>
        </w:tc>
        <w:tc>
          <w:tcPr>
            <w:tcW w:w="7514" w:type="dxa"/>
          </w:tcPr>
          <w:p w:rsidR="003E022D" w:rsidRDefault="007D19D6">
            <w:pPr>
              <w:rPr>
                <w:bCs/>
                <w:noProof/>
              </w:rPr>
            </w:pPr>
            <w:r>
              <w:rPr>
                <w:noProof/>
              </w:rPr>
              <w:t>Adīšana vai tamborēšana apvienojumā ar apdari, ieskaitot auduma piegriešanu.</w:t>
            </w:r>
          </w:p>
          <w:p w:rsidR="003E022D" w:rsidRDefault="003E022D">
            <w:pPr>
              <w:rPr>
                <w:bCs/>
                <w:noProof/>
              </w:rPr>
            </w:pP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noProof/>
              </w:rPr>
              <w:t xml:space="preserve">Dabisko vai ķīmisko štāpeļšķiedru vērpšana apvienojumā ar adīšanu vai ar </w:t>
            </w:r>
            <w:r>
              <w:rPr>
                <w:noProof/>
              </w:rPr>
              <w:t xml:space="preserve">tamborēšanu, </w:t>
            </w:r>
          </w:p>
          <w:p w:rsidR="003E022D" w:rsidRDefault="007D19D6">
            <w:pPr>
              <w:rPr>
                <w:bCs/>
                <w:noProof/>
              </w:rPr>
            </w:pPr>
            <w:r>
              <w:rPr>
                <w:noProof/>
              </w:rPr>
              <w:t>ķīmisko pavedienu dzijas ekstrūzija apvienojumā ar adīšanu vai ar tamborēšanu, vai</w:t>
            </w:r>
          </w:p>
          <w:p w:rsidR="003E022D" w:rsidRDefault="007D19D6">
            <w:pPr>
              <w:rPr>
                <w:bCs/>
                <w:noProof/>
              </w:rPr>
            </w:pPr>
            <w:r>
              <w:rPr>
                <w:noProof/>
              </w:rPr>
              <w:t>adīšana un apdare vienā operācijā.</w:t>
            </w:r>
          </w:p>
        </w:tc>
      </w:tr>
      <w:tr w:rsidR="003E022D">
        <w:tc>
          <w:tcPr>
            <w:tcW w:w="1985" w:type="dxa"/>
          </w:tcPr>
          <w:p w:rsidR="003E022D" w:rsidRDefault="007D19D6">
            <w:pPr>
              <w:rPr>
                <w:b/>
                <w:noProof/>
              </w:rPr>
            </w:pPr>
            <w:r>
              <w:rPr>
                <w:b/>
                <w:noProof/>
              </w:rPr>
              <w:t>62. nodaļa</w:t>
            </w:r>
          </w:p>
        </w:tc>
        <w:tc>
          <w:tcPr>
            <w:tcW w:w="7514" w:type="dxa"/>
          </w:tcPr>
          <w:p w:rsidR="003E022D" w:rsidRDefault="007D19D6">
            <w:pPr>
              <w:rPr>
                <w:b/>
                <w:noProof/>
              </w:rPr>
            </w:pPr>
            <w:r>
              <w:rPr>
                <w:b/>
                <w:noProof/>
              </w:rPr>
              <w:t>Apģērba gabali un apģērba piederumi, kas nav adīti vai tamborēti</w:t>
            </w:r>
          </w:p>
        </w:tc>
      </w:tr>
      <w:tr w:rsidR="003E022D">
        <w:tc>
          <w:tcPr>
            <w:tcW w:w="1985" w:type="dxa"/>
          </w:tcPr>
          <w:p w:rsidR="003E022D" w:rsidRDefault="007D19D6">
            <w:pPr>
              <w:rPr>
                <w:bCs/>
                <w:noProof/>
              </w:rPr>
            </w:pPr>
            <w:r>
              <w:rPr>
                <w:noProof/>
              </w:rPr>
              <w:t xml:space="preserve">62.01 </w:t>
            </w:r>
          </w:p>
        </w:tc>
        <w:tc>
          <w:tcPr>
            <w:tcW w:w="7514" w:type="dxa"/>
          </w:tcPr>
          <w:p w:rsidR="003E022D" w:rsidRDefault="007D19D6">
            <w:pPr>
              <w:rPr>
                <w:bCs/>
                <w:noProof/>
              </w:rPr>
            </w:pPr>
            <w:r>
              <w:rPr>
                <w:noProof/>
              </w:rPr>
              <w:t>Aušana apvienojumā ar apdari, ieskaitot</w:t>
            </w:r>
            <w:r>
              <w:rPr>
                <w:noProof/>
              </w:rPr>
              <w:t xml:space="preserve"> auduma piegriešanu,</w:t>
            </w:r>
          </w:p>
          <w:p w:rsidR="003E022D" w:rsidRDefault="007D19D6">
            <w:pPr>
              <w:rPr>
                <w:bCs/>
                <w:noProof/>
              </w:rPr>
            </w:pPr>
            <w:r>
              <w:rPr>
                <w:noProof/>
              </w:rPr>
              <w:t>vai</w:t>
            </w:r>
          </w:p>
          <w:p w:rsidR="003E022D" w:rsidRDefault="007D19D6">
            <w:pPr>
              <w:rPr>
                <w:bCs/>
                <w:noProof/>
              </w:rPr>
            </w:pPr>
            <w:r>
              <w:rPr>
                <w:noProof/>
              </w:rPr>
              <w:t>apdare, ieskaitot auduma piegriešanu, pirms kā notiek apdrukāšana (kā atsevišķa darbība).</w:t>
            </w:r>
          </w:p>
        </w:tc>
      </w:tr>
      <w:tr w:rsidR="003E022D">
        <w:tc>
          <w:tcPr>
            <w:tcW w:w="1985" w:type="dxa"/>
          </w:tcPr>
          <w:p w:rsidR="003E022D" w:rsidRDefault="007D19D6">
            <w:pPr>
              <w:rPr>
                <w:bCs/>
                <w:noProof/>
              </w:rPr>
            </w:pPr>
            <w:r>
              <w:rPr>
                <w:noProof/>
              </w:rPr>
              <w:t>62.02</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izšūti:</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 xml:space="preserve">ražošana no auduma bez izšuvumiem, ja izmantotā nenoteiktas izcelsmes auduma bez izšuvumiem vērtība nepārsniedz 40 % no ražojuma </w:t>
            </w:r>
            <w:r>
              <w:rPr>
                <w:i/>
                <w:noProof/>
              </w:rPr>
              <w:t>EXW</w:t>
            </w:r>
            <w:r>
              <w:rPr>
                <w:noProof/>
              </w:rPr>
              <w:t xml:space="preserve"> cenas.</w:t>
            </w: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apdare, ieskaitot auduma piegriešanu, pir</w:t>
            </w:r>
            <w:r>
              <w:rPr>
                <w:noProof/>
              </w:rPr>
              <w:t>ms kā notiek apdrukāšana (kā atsevišķa darbība).</w:t>
            </w:r>
          </w:p>
        </w:tc>
      </w:tr>
      <w:tr w:rsidR="003E022D">
        <w:tc>
          <w:tcPr>
            <w:tcW w:w="1985" w:type="dxa"/>
          </w:tcPr>
          <w:p w:rsidR="003E022D" w:rsidRDefault="007D19D6">
            <w:pPr>
              <w:rPr>
                <w:bCs/>
                <w:noProof/>
              </w:rPr>
            </w:pPr>
            <w:r>
              <w:rPr>
                <w:noProof/>
              </w:rPr>
              <w:t>62.03</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apdare, ieskaitot auduma piegriešanu, pirms kā notiek apdrukāšana (kā atsevišķa darbība).</w:t>
            </w:r>
          </w:p>
        </w:tc>
      </w:tr>
      <w:tr w:rsidR="003E022D">
        <w:tc>
          <w:tcPr>
            <w:tcW w:w="1985" w:type="dxa"/>
          </w:tcPr>
          <w:p w:rsidR="003E022D" w:rsidRDefault="007D19D6">
            <w:pPr>
              <w:rPr>
                <w:bCs/>
                <w:noProof/>
              </w:rPr>
            </w:pPr>
            <w:r>
              <w:rPr>
                <w:noProof/>
              </w:rPr>
              <w:t>62.04</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izšūti:</w:t>
            </w:r>
          </w:p>
        </w:tc>
        <w:tc>
          <w:tcPr>
            <w:tcW w:w="7514" w:type="dxa"/>
          </w:tcPr>
          <w:p w:rsidR="003E022D" w:rsidRDefault="007D19D6">
            <w:pPr>
              <w:rPr>
                <w:bCs/>
                <w:noProof/>
              </w:rPr>
            </w:pPr>
            <w:r>
              <w:rPr>
                <w:noProof/>
              </w:rPr>
              <w:t xml:space="preserve">Aušana apvienojumā ar </w:t>
            </w:r>
            <w:r>
              <w:rPr>
                <w:noProof/>
              </w:rPr>
              <w:t>apdari, ieskaitot auduma piegriešanu,</w:t>
            </w:r>
          </w:p>
          <w:p w:rsidR="003E022D" w:rsidRDefault="007D19D6">
            <w:pPr>
              <w:rPr>
                <w:bCs/>
                <w:noProof/>
              </w:rPr>
            </w:pPr>
            <w:r>
              <w:rPr>
                <w:noProof/>
              </w:rPr>
              <w:t>vai</w:t>
            </w:r>
          </w:p>
          <w:p w:rsidR="003E022D" w:rsidRDefault="007D19D6">
            <w:pPr>
              <w:rPr>
                <w:bCs/>
                <w:noProof/>
              </w:rPr>
            </w:pPr>
            <w:r>
              <w:rPr>
                <w:noProof/>
              </w:rPr>
              <w:t xml:space="preserve">ražošana no auduma bez izšuvumiem, ja izmantotā nenoteiktas izcelsmes auduma bez izšuvumiem vērtība nepārsniedz 40 % no ražojuma </w:t>
            </w:r>
            <w:r>
              <w:rPr>
                <w:i/>
                <w:noProof/>
              </w:rPr>
              <w:t>EXW</w:t>
            </w:r>
            <w:r>
              <w:rPr>
                <w:noProof/>
              </w:rPr>
              <w:t xml:space="preserve"> cenas.</w:t>
            </w:r>
          </w:p>
        </w:tc>
      </w:tr>
      <w:tr w:rsidR="003E022D">
        <w:tc>
          <w:tcPr>
            <w:tcW w:w="1985" w:type="dxa"/>
          </w:tcPr>
          <w:p w:rsidR="003E022D" w:rsidRDefault="007D19D6">
            <w:pPr>
              <w:rPr>
                <w:bCs/>
                <w:noProof/>
              </w:rPr>
            </w:pPr>
            <w:r>
              <w:rPr>
                <w:noProof/>
              </w:rPr>
              <w:t xml:space="preserve">- citādi: </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w:t>
            </w:r>
            <w:r>
              <w:rPr>
                <w:noProof/>
              </w:rPr>
              <w:t>i</w:t>
            </w:r>
          </w:p>
          <w:p w:rsidR="003E022D" w:rsidRDefault="007D19D6">
            <w:pPr>
              <w:rPr>
                <w:bCs/>
                <w:noProof/>
              </w:rPr>
            </w:pPr>
            <w:r>
              <w:rPr>
                <w:noProof/>
              </w:rPr>
              <w:t>apdare, ieskaitot auduma piegriešanu, pirms kā notiek apdrukāšana (kā atsevišķa darbība).</w:t>
            </w:r>
          </w:p>
        </w:tc>
      </w:tr>
      <w:tr w:rsidR="003E022D">
        <w:tc>
          <w:tcPr>
            <w:tcW w:w="1985" w:type="dxa"/>
          </w:tcPr>
          <w:p w:rsidR="003E022D" w:rsidRDefault="007D19D6">
            <w:pPr>
              <w:rPr>
                <w:bCs/>
                <w:noProof/>
              </w:rPr>
            </w:pPr>
            <w:r>
              <w:rPr>
                <w:noProof/>
              </w:rPr>
              <w:t xml:space="preserve">62.05 </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apdare, ieskaitot auduma piegriešanu, pirms kā notiek apdrukāšana (kā atsevišķa darbība).</w:t>
            </w:r>
          </w:p>
        </w:tc>
      </w:tr>
      <w:tr w:rsidR="003E022D">
        <w:tc>
          <w:tcPr>
            <w:tcW w:w="1985" w:type="dxa"/>
          </w:tcPr>
          <w:p w:rsidR="003E022D" w:rsidRDefault="007D19D6">
            <w:pPr>
              <w:rPr>
                <w:bCs/>
                <w:noProof/>
              </w:rPr>
            </w:pPr>
            <w:r>
              <w:rPr>
                <w:noProof/>
              </w:rPr>
              <w:t>6</w:t>
            </w:r>
            <w:r>
              <w:rPr>
                <w:noProof/>
              </w:rPr>
              <w:t>2.06</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izšūti:</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 xml:space="preserve">ražošana no auduma bez izšuvumiem, ja izmantotā nenoteiktas izcelsmes auduma bez izšuvumiem vērtība nepārsniedz 40 % no ražojuma </w:t>
            </w:r>
            <w:r>
              <w:rPr>
                <w:i/>
                <w:noProof/>
              </w:rPr>
              <w:t>EXW</w:t>
            </w:r>
            <w:r>
              <w:rPr>
                <w:noProof/>
              </w:rPr>
              <w:t xml:space="preserve"> cenas.</w:t>
            </w:r>
          </w:p>
        </w:tc>
      </w:tr>
      <w:tr w:rsidR="003E022D">
        <w:tc>
          <w:tcPr>
            <w:tcW w:w="1985" w:type="dxa"/>
          </w:tcPr>
          <w:p w:rsidR="003E022D" w:rsidRDefault="007D19D6">
            <w:pPr>
              <w:rPr>
                <w:bCs/>
                <w:noProof/>
              </w:rPr>
            </w:pPr>
            <w:r>
              <w:rPr>
                <w:noProof/>
              </w:rPr>
              <w:t xml:space="preserve">- citādi: </w:t>
            </w:r>
          </w:p>
        </w:tc>
        <w:tc>
          <w:tcPr>
            <w:tcW w:w="7514" w:type="dxa"/>
          </w:tcPr>
          <w:p w:rsidR="003E022D" w:rsidRDefault="007D19D6">
            <w:pPr>
              <w:rPr>
                <w:bCs/>
                <w:noProof/>
              </w:rPr>
            </w:pPr>
            <w:r>
              <w:rPr>
                <w:noProof/>
              </w:rPr>
              <w:t xml:space="preserve">Aušana apvienojumā ar </w:t>
            </w:r>
            <w:r>
              <w:rPr>
                <w:noProof/>
              </w:rPr>
              <w:t>apdari, ieskaitot auduma piegriešanu,</w:t>
            </w:r>
          </w:p>
          <w:p w:rsidR="003E022D" w:rsidRDefault="007D19D6">
            <w:pPr>
              <w:rPr>
                <w:bCs/>
                <w:noProof/>
              </w:rPr>
            </w:pPr>
            <w:r>
              <w:rPr>
                <w:noProof/>
              </w:rPr>
              <w:t>vai</w:t>
            </w:r>
          </w:p>
          <w:p w:rsidR="003E022D" w:rsidRDefault="007D19D6">
            <w:pPr>
              <w:rPr>
                <w:bCs/>
                <w:noProof/>
              </w:rPr>
            </w:pPr>
            <w:r>
              <w:rPr>
                <w:noProof/>
              </w:rPr>
              <w:t>apdare, ieskaitot auduma piegriešanu, pirms kā notiek apdrukāšana (kā atsevišķa darbība).</w:t>
            </w:r>
          </w:p>
        </w:tc>
      </w:tr>
      <w:tr w:rsidR="003E022D">
        <w:tc>
          <w:tcPr>
            <w:tcW w:w="1985" w:type="dxa"/>
          </w:tcPr>
          <w:p w:rsidR="003E022D" w:rsidRDefault="007D19D6">
            <w:pPr>
              <w:rPr>
                <w:bCs/>
                <w:noProof/>
              </w:rPr>
            </w:pPr>
            <w:r>
              <w:rPr>
                <w:noProof/>
              </w:rPr>
              <w:t>62.07-62.08</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 xml:space="preserve">apdare, ieskaitot auduma piegriešanu, pirms kā </w:t>
            </w:r>
            <w:r>
              <w:rPr>
                <w:noProof/>
              </w:rPr>
              <w:t>notiek apdrukāšana (kā atsevišķa darbība).</w:t>
            </w:r>
          </w:p>
        </w:tc>
      </w:tr>
      <w:tr w:rsidR="003E022D">
        <w:tc>
          <w:tcPr>
            <w:tcW w:w="1985" w:type="dxa"/>
          </w:tcPr>
          <w:p w:rsidR="003E022D" w:rsidRDefault="007D19D6">
            <w:pPr>
              <w:rPr>
                <w:bCs/>
                <w:noProof/>
              </w:rPr>
            </w:pPr>
            <w:r>
              <w:rPr>
                <w:noProof/>
              </w:rPr>
              <w:t>62.09</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izšūti:</w:t>
            </w:r>
          </w:p>
          <w:p w:rsidR="003E022D" w:rsidRDefault="003E022D">
            <w:pPr>
              <w:rPr>
                <w:bCs/>
                <w:noProof/>
              </w:rPr>
            </w:pP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 xml:space="preserve">ražošana no auduma bez izšuvumiem, ja izmantotā nenoteiktas izcelsmes auduma bez izšuvumiem vērtība nepārsniedz 40 % no ražojuma </w:t>
            </w:r>
            <w:r>
              <w:rPr>
                <w:i/>
                <w:noProof/>
              </w:rPr>
              <w:t>EXW</w:t>
            </w:r>
            <w:r>
              <w:rPr>
                <w:noProof/>
              </w:rPr>
              <w:t xml:space="preserve"> cenas.</w:t>
            </w:r>
          </w:p>
        </w:tc>
      </w:tr>
      <w:tr w:rsidR="003E022D">
        <w:tc>
          <w:tcPr>
            <w:tcW w:w="1985" w:type="dxa"/>
          </w:tcPr>
          <w:p w:rsidR="003E022D" w:rsidRDefault="007D19D6">
            <w:pPr>
              <w:rPr>
                <w:bCs/>
                <w:noProof/>
              </w:rPr>
            </w:pPr>
            <w:r>
              <w:rPr>
                <w:noProof/>
              </w:rPr>
              <w:t xml:space="preserve">- citādi: </w:t>
            </w:r>
          </w:p>
          <w:p w:rsidR="003E022D" w:rsidRDefault="003E022D">
            <w:pPr>
              <w:rPr>
                <w:bCs/>
                <w:noProof/>
              </w:rPr>
            </w:pP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apdare, ieskaitot auduma piegriešanu, p</w:t>
            </w:r>
            <w:r>
              <w:rPr>
                <w:noProof/>
              </w:rPr>
              <w:t>irms kā notiek apdrukāšana (kā atsevišķa darbība).</w:t>
            </w:r>
          </w:p>
        </w:tc>
      </w:tr>
      <w:tr w:rsidR="003E022D">
        <w:tc>
          <w:tcPr>
            <w:tcW w:w="1985" w:type="dxa"/>
          </w:tcPr>
          <w:p w:rsidR="003E022D" w:rsidRDefault="007D19D6">
            <w:pPr>
              <w:rPr>
                <w:bCs/>
                <w:noProof/>
              </w:rPr>
            </w:pPr>
            <w:r>
              <w:rPr>
                <w:noProof/>
              </w:rPr>
              <w:t>62.10</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xml:space="preserve">- ugunsizturīgs aprīkojums no auduma ar aluminizēta poliestera folijas pārklājumu: </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 xml:space="preserve">pārklāšana vai laminēšana apvienojumā ar apdari, ieskaitot auduma piegriešanu, ja izmantotā nenoteiktas izcelsmes nepārklāta vai nelaminēta auduma vērtība nepārsniedz 40 % no ražojuma </w:t>
            </w:r>
            <w:r>
              <w:rPr>
                <w:i/>
                <w:noProof/>
              </w:rPr>
              <w:t>EXW</w:t>
            </w:r>
            <w:r>
              <w:rPr>
                <w:noProof/>
              </w:rPr>
              <w:t xml:space="preserve"> cenas. </w:t>
            </w:r>
          </w:p>
        </w:tc>
      </w:tr>
      <w:tr w:rsidR="003E022D">
        <w:tc>
          <w:tcPr>
            <w:tcW w:w="1985" w:type="dxa"/>
          </w:tcPr>
          <w:p w:rsidR="003E022D" w:rsidRDefault="007D19D6">
            <w:pPr>
              <w:rPr>
                <w:bCs/>
                <w:noProof/>
              </w:rPr>
            </w:pPr>
            <w:r>
              <w:rPr>
                <w:noProof/>
              </w:rPr>
              <w:t>- citādi:</w:t>
            </w:r>
          </w:p>
          <w:p w:rsidR="003E022D" w:rsidRDefault="003E022D">
            <w:pPr>
              <w:rPr>
                <w:bCs/>
                <w:noProof/>
              </w:rPr>
            </w:pPr>
          </w:p>
          <w:p w:rsidR="003E022D" w:rsidRDefault="003E022D">
            <w:pPr>
              <w:rPr>
                <w:bCs/>
                <w:noProof/>
              </w:rPr>
            </w:pPr>
          </w:p>
          <w:p w:rsidR="003E022D" w:rsidRDefault="003E022D">
            <w:pPr>
              <w:rPr>
                <w:bCs/>
                <w:noProof/>
              </w:rPr>
            </w:pPr>
          </w:p>
          <w:p w:rsidR="003E022D" w:rsidRDefault="003E022D">
            <w:pPr>
              <w:rPr>
                <w:bCs/>
                <w:noProof/>
              </w:rPr>
            </w:pPr>
          </w:p>
        </w:tc>
        <w:tc>
          <w:tcPr>
            <w:tcW w:w="7514" w:type="dxa"/>
          </w:tcPr>
          <w:p w:rsidR="003E022D" w:rsidRDefault="007D19D6">
            <w:pPr>
              <w:rPr>
                <w:bCs/>
                <w:noProof/>
              </w:rPr>
            </w:pPr>
            <w:r>
              <w:rPr>
                <w:noProof/>
              </w:rPr>
              <w:t>Aušana apvienojumā ar apdari, ieskaitot audum</w:t>
            </w:r>
            <w:r>
              <w:rPr>
                <w:noProof/>
              </w:rPr>
              <w:t>a piegriešanu,</w:t>
            </w:r>
          </w:p>
          <w:p w:rsidR="003E022D" w:rsidRDefault="007D19D6">
            <w:pPr>
              <w:rPr>
                <w:bCs/>
                <w:noProof/>
              </w:rPr>
            </w:pPr>
            <w:r>
              <w:rPr>
                <w:noProof/>
              </w:rPr>
              <w:t>vai</w:t>
            </w:r>
          </w:p>
          <w:p w:rsidR="003E022D" w:rsidRDefault="007D19D6">
            <w:pPr>
              <w:rPr>
                <w:bCs/>
                <w:noProof/>
              </w:rPr>
            </w:pPr>
            <w:r>
              <w:rPr>
                <w:noProof/>
              </w:rPr>
              <w:t>apdare, ieskaitot auduma piegriešanu, pirms kā notiek apdrukāšana (kā atsevišķa darbība).</w:t>
            </w:r>
          </w:p>
        </w:tc>
      </w:tr>
      <w:tr w:rsidR="003E022D">
        <w:tc>
          <w:tcPr>
            <w:tcW w:w="1985" w:type="dxa"/>
          </w:tcPr>
          <w:p w:rsidR="003E022D" w:rsidRDefault="007D19D6">
            <w:pPr>
              <w:rPr>
                <w:bCs/>
                <w:noProof/>
              </w:rPr>
            </w:pPr>
            <w:r>
              <w:rPr>
                <w:noProof/>
              </w:rPr>
              <w:t>62.11</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izšūti sieviešu vai meiteņu apģērbi:</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ražošana no auduma bez izšuvumiem,</w:t>
            </w:r>
            <w:r>
              <w:rPr>
                <w:noProof/>
              </w:rPr>
              <w:t xml:space="preserve"> ja izmantotā nenoteiktas izcelsmes auduma bez izšuvumiem vērtība nepārsniedz 40 % no ražojuma </w:t>
            </w:r>
            <w:r>
              <w:rPr>
                <w:i/>
                <w:noProof/>
              </w:rPr>
              <w:t>EXW</w:t>
            </w:r>
            <w:r>
              <w:rPr>
                <w:noProof/>
              </w:rPr>
              <w:t xml:space="preserve"> cenas.</w:t>
            </w:r>
          </w:p>
        </w:tc>
      </w:tr>
      <w:tr w:rsidR="003E022D">
        <w:tc>
          <w:tcPr>
            <w:tcW w:w="1985" w:type="dxa"/>
          </w:tcPr>
          <w:p w:rsidR="003E022D" w:rsidRDefault="007D19D6">
            <w:pPr>
              <w:rPr>
                <w:bCs/>
                <w:noProof/>
              </w:rPr>
            </w:pPr>
            <w:r>
              <w:rPr>
                <w:noProof/>
              </w:rPr>
              <w:t xml:space="preserve">- citādi: </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 xml:space="preserve">apdare, ieskaitot auduma piegriešanu, pirms kā notiek apdrukāšana (kā </w:t>
            </w:r>
            <w:r>
              <w:rPr>
                <w:noProof/>
              </w:rPr>
              <w:t>atsevišķa darbība).</w:t>
            </w:r>
          </w:p>
        </w:tc>
      </w:tr>
      <w:tr w:rsidR="003E022D">
        <w:tc>
          <w:tcPr>
            <w:tcW w:w="1985" w:type="dxa"/>
          </w:tcPr>
          <w:p w:rsidR="003E022D" w:rsidRDefault="007D19D6">
            <w:pPr>
              <w:rPr>
                <w:bCs/>
                <w:noProof/>
              </w:rPr>
            </w:pPr>
            <w:r>
              <w:rPr>
                <w:noProof/>
              </w:rPr>
              <w:t>62.12</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adīti vai tamborēti, iegūti, sašujot kopā vai citādi sastiprinot divus vai vairākus adīta vai tamborēta auduma gabalus, kas ir vai nu piegriezti pēc formas vai izgatavoti tieši pēc formas:</w:t>
            </w:r>
          </w:p>
          <w:p w:rsidR="003E022D" w:rsidRDefault="003E022D">
            <w:pPr>
              <w:rPr>
                <w:bCs/>
                <w:noProof/>
              </w:rPr>
            </w:pPr>
          </w:p>
        </w:tc>
        <w:tc>
          <w:tcPr>
            <w:tcW w:w="7514" w:type="dxa"/>
          </w:tcPr>
          <w:p w:rsidR="003E022D" w:rsidRDefault="007D19D6">
            <w:pPr>
              <w:rPr>
                <w:bCs/>
                <w:noProof/>
              </w:rPr>
            </w:pPr>
            <w:r>
              <w:rPr>
                <w:noProof/>
              </w:rPr>
              <w:t xml:space="preserve">Adīšana apvienojumā ar apdari, </w:t>
            </w:r>
            <w:r>
              <w:rPr>
                <w:noProof/>
              </w:rPr>
              <w:t>ieskaitot auduma piegriešanu</w:t>
            </w:r>
          </w:p>
          <w:p w:rsidR="003E022D" w:rsidRDefault="007D19D6">
            <w:pPr>
              <w:rPr>
                <w:bCs/>
                <w:noProof/>
              </w:rPr>
            </w:pPr>
            <w:r>
              <w:rPr>
                <w:noProof/>
              </w:rPr>
              <w:t>vai</w:t>
            </w:r>
          </w:p>
          <w:p w:rsidR="003E022D" w:rsidRDefault="007D19D6">
            <w:pPr>
              <w:rPr>
                <w:bCs/>
                <w:noProof/>
              </w:rPr>
            </w:pPr>
            <w:r>
              <w:rPr>
                <w:noProof/>
              </w:rPr>
              <w:t>apdare, ieskaitot auduma piegriešanu, pirms kā notiek apdrukāšana (kā atsevišķa darbība).</w:t>
            </w: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apdare, ieskaitot auduma piegriešanu, pirms kā notiek apdr</w:t>
            </w:r>
            <w:r>
              <w:rPr>
                <w:noProof/>
              </w:rPr>
              <w:t>ukāšana (kā atsevišķa darbība).</w:t>
            </w:r>
          </w:p>
        </w:tc>
      </w:tr>
      <w:tr w:rsidR="003E022D">
        <w:tc>
          <w:tcPr>
            <w:tcW w:w="1985" w:type="dxa"/>
          </w:tcPr>
          <w:p w:rsidR="003E022D" w:rsidRDefault="007D19D6">
            <w:pPr>
              <w:rPr>
                <w:bCs/>
                <w:noProof/>
              </w:rPr>
            </w:pPr>
            <w:r>
              <w:rPr>
                <w:noProof/>
              </w:rPr>
              <w:t>62.13-62.14</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izšūti:</w:t>
            </w:r>
          </w:p>
          <w:p w:rsidR="003E022D" w:rsidRDefault="003E022D">
            <w:pPr>
              <w:rPr>
                <w:bCs/>
                <w:noProof/>
              </w:rPr>
            </w:pPr>
          </w:p>
        </w:tc>
        <w:tc>
          <w:tcPr>
            <w:tcW w:w="7514" w:type="dxa"/>
          </w:tcPr>
          <w:p w:rsidR="003E022D" w:rsidRDefault="007D19D6">
            <w:pPr>
              <w:rPr>
                <w:bCs/>
                <w:noProof/>
              </w:rPr>
            </w:pPr>
            <w:r>
              <w:rPr>
                <w:noProof/>
              </w:rPr>
              <w:t xml:space="preserve">Aušana apvienojumā ar apdari, ieskaitot auduma piegriešanu, </w:t>
            </w:r>
          </w:p>
          <w:p w:rsidR="003E022D" w:rsidRDefault="007D19D6">
            <w:pPr>
              <w:rPr>
                <w:bCs/>
                <w:noProof/>
              </w:rPr>
            </w:pPr>
            <w:r>
              <w:rPr>
                <w:noProof/>
              </w:rPr>
              <w:t xml:space="preserve">ražošana no auduma bez izšuvumiem, ja izmantotā nenoteiktas izcelsmes auduma bez izšuvumiem vērtība nepārsniedz 40 % no ražojuma </w:t>
            </w:r>
            <w:r>
              <w:rPr>
                <w:i/>
                <w:noProof/>
              </w:rPr>
              <w:t>EXW</w:t>
            </w:r>
            <w:r>
              <w:rPr>
                <w:noProof/>
              </w:rPr>
              <w:t xml:space="preserve"> cenas,</w:t>
            </w:r>
          </w:p>
          <w:p w:rsidR="003E022D" w:rsidRDefault="007D19D6">
            <w:pPr>
              <w:rPr>
                <w:bCs/>
                <w:noProof/>
              </w:rPr>
            </w:pPr>
            <w:r>
              <w:rPr>
                <w:noProof/>
              </w:rPr>
              <w:t>vai</w:t>
            </w:r>
          </w:p>
          <w:p w:rsidR="003E022D" w:rsidRDefault="007D19D6">
            <w:pPr>
              <w:rPr>
                <w:bCs/>
                <w:noProof/>
              </w:rPr>
            </w:pPr>
            <w:r>
              <w:rPr>
                <w:noProof/>
              </w:rPr>
              <w:t>apdare, ieskaitot auduma piegriešanu, pirms kā notiek apdrukāšana (kā atsevišķa darbība).</w:t>
            </w:r>
          </w:p>
        </w:tc>
      </w:tr>
      <w:tr w:rsidR="003E022D">
        <w:tc>
          <w:tcPr>
            <w:tcW w:w="1985" w:type="dxa"/>
          </w:tcPr>
          <w:p w:rsidR="003E022D" w:rsidRDefault="007D19D6">
            <w:pPr>
              <w:rPr>
                <w:bCs/>
                <w:noProof/>
              </w:rPr>
            </w:pPr>
            <w:r>
              <w:rPr>
                <w:noProof/>
              </w:rPr>
              <w:t>- citādi:</w:t>
            </w:r>
          </w:p>
          <w:p w:rsidR="003E022D" w:rsidRDefault="003E022D">
            <w:pPr>
              <w:rPr>
                <w:bCs/>
                <w:noProof/>
              </w:rPr>
            </w:pP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apdare, ieskaitot auduma piegriešanu, pirms kā notiek apdrukāšana (kā atsevišķ</w:t>
            </w:r>
            <w:r>
              <w:rPr>
                <w:noProof/>
              </w:rPr>
              <w:t>a darbība).</w:t>
            </w:r>
          </w:p>
        </w:tc>
      </w:tr>
      <w:tr w:rsidR="003E022D">
        <w:tc>
          <w:tcPr>
            <w:tcW w:w="1985" w:type="dxa"/>
          </w:tcPr>
          <w:p w:rsidR="003E022D" w:rsidRDefault="007D19D6">
            <w:pPr>
              <w:rPr>
                <w:bCs/>
                <w:noProof/>
              </w:rPr>
            </w:pPr>
            <w:r>
              <w:rPr>
                <w:noProof/>
              </w:rPr>
              <w:t>62.15</w:t>
            </w:r>
          </w:p>
          <w:p w:rsidR="003E022D" w:rsidRDefault="003E022D">
            <w:pPr>
              <w:rPr>
                <w:bCs/>
                <w:noProof/>
              </w:rPr>
            </w:pP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apdare, ieskaitot auduma piegriešanu, pirms kā notiek apdrukāšana (kā atsevišķa darbība).</w:t>
            </w:r>
          </w:p>
        </w:tc>
      </w:tr>
      <w:tr w:rsidR="003E022D">
        <w:trPr>
          <w:trHeight w:val="570"/>
        </w:trPr>
        <w:tc>
          <w:tcPr>
            <w:tcW w:w="1985" w:type="dxa"/>
          </w:tcPr>
          <w:p w:rsidR="003E022D" w:rsidRDefault="003E022D">
            <w:pPr>
              <w:rPr>
                <w:bCs/>
                <w:noProof/>
              </w:rPr>
            </w:pPr>
          </w:p>
          <w:p w:rsidR="003E022D" w:rsidRDefault="007D19D6">
            <w:pPr>
              <w:rPr>
                <w:bCs/>
                <w:noProof/>
              </w:rPr>
            </w:pPr>
            <w:r>
              <w:rPr>
                <w:noProof/>
              </w:rPr>
              <w:t>62.16</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xml:space="preserve">- ugunsizturīgs aprīkojums no auduma ar aluminizēta poliestera folijas pārklājumu: </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pārklāšana vai laminēšana apvienojumā ar apdari, ieskaitot auduma piegriešanu, ja izmantotā nenoteiktas izce</w:t>
            </w:r>
            <w:r>
              <w:rPr>
                <w:noProof/>
              </w:rPr>
              <w:t>lsmes nepārklāta vai nelaminēta auduma vērtība nepārsniedz 40 % no ražojuma EXW cenas.</w:t>
            </w: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 xml:space="preserve"> vai</w:t>
            </w:r>
          </w:p>
          <w:p w:rsidR="003E022D" w:rsidRDefault="007D19D6">
            <w:pPr>
              <w:rPr>
                <w:bCs/>
                <w:noProof/>
              </w:rPr>
            </w:pPr>
            <w:r>
              <w:rPr>
                <w:noProof/>
              </w:rPr>
              <w:t>apdare, ieskaitot auduma piegriešanu, pirms kā notiek apdrukāšana (kā atsevišķa darbība).</w:t>
            </w:r>
          </w:p>
        </w:tc>
      </w:tr>
      <w:tr w:rsidR="003E022D">
        <w:tc>
          <w:tcPr>
            <w:tcW w:w="1985" w:type="dxa"/>
          </w:tcPr>
          <w:p w:rsidR="003E022D" w:rsidRDefault="007D19D6">
            <w:pPr>
              <w:rPr>
                <w:bCs/>
                <w:noProof/>
              </w:rPr>
            </w:pPr>
            <w:r>
              <w:rPr>
                <w:noProof/>
              </w:rPr>
              <w:t>62.17</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izšūti:</w:t>
            </w:r>
          </w:p>
          <w:p w:rsidR="003E022D" w:rsidRDefault="003E022D">
            <w:pPr>
              <w:rPr>
                <w:bCs/>
                <w:noProof/>
              </w:rPr>
            </w:pPr>
          </w:p>
        </w:tc>
        <w:tc>
          <w:tcPr>
            <w:tcW w:w="7514" w:type="dxa"/>
          </w:tcPr>
          <w:p w:rsidR="003E022D" w:rsidRDefault="007D19D6">
            <w:pPr>
              <w:rPr>
                <w:bCs/>
                <w:noProof/>
              </w:rPr>
            </w:pPr>
            <w:r>
              <w:rPr>
                <w:noProof/>
              </w:rPr>
              <w:t xml:space="preserve">Aušana apvienojumā ar apdari, ieskaitot auduma piegriešanu, </w:t>
            </w:r>
          </w:p>
          <w:p w:rsidR="003E022D" w:rsidRDefault="007D19D6">
            <w:pPr>
              <w:rPr>
                <w:bCs/>
                <w:noProof/>
              </w:rPr>
            </w:pPr>
            <w:r>
              <w:rPr>
                <w:noProof/>
              </w:rPr>
              <w:t xml:space="preserve">ražošana no auduma bez izšuvumiem, ja izmantotā nenoteiktas izcelsmes auduma bez izšuvumiem vērtība nepārsniedz 40 % no ražojuma </w:t>
            </w:r>
            <w:r>
              <w:rPr>
                <w:i/>
                <w:noProof/>
              </w:rPr>
              <w:t>EXW</w:t>
            </w:r>
            <w:r>
              <w:rPr>
                <w:noProof/>
              </w:rPr>
              <w:t xml:space="preserve"> cenas,</w:t>
            </w:r>
          </w:p>
          <w:p w:rsidR="003E022D" w:rsidRDefault="007D19D6">
            <w:pPr>
              <w:rPr>
                <w:bCs/>
                <w:noProof/>
              </w:rPr>
            </w:pPr>
            <w:r>
              <w:rPr>
                <w:noProof/>
              </w:rPr>
              <w:t>vai</w:t>
            </w:r>
          </w:p>
          <w:p w:rsidR="003E022D" w:rsidRDefault="007D19D6">
            <w:pPr>
              <w:rPr>
                <w:bCs/>
                <w:noProof/>
              </w:rPr>
            </w:pPr>
            <w:r>
              <w:rPr>
                <w:noProof/>
              </w:rPr>
              <w:t>apdare, ieskaitot auduma piegri</w:t>
            </w:r>
            <w:r>
              <w:rPr>
                <w:noProof/>
              </w:rPr>
              <w:t>ešanu, pirms kā notiek apdrukāšana (kā atsevišķa darbība).</w:t>
            </w:r>
          </w:p>
        </w:tc>
      </w:tr>
      <w:tr w:rsidR="003E022D">
        <w:tc>
          <w:tcPr>
            <w:tcW w:w="1985" w:type="dxa"/>
          </w:tcPr>
          <w:p w:rsidR="003E022D" w:rsidRDefault="007D19D6">
            <w:pPr>
              <w:rPr>
                <w:bCs/>
                <w:noProof/>
              </w:rPr>
            </w:pPr>
            <w:r>
              <w:rPr>
                <w:noProof/>
              </w:rPr>
              <w:t>- ugunsizturīgs aprīkojums no auduma ar aluminizēta poliestera folijas pārklājumu:</w:t>
            </w:r>
          </w:p>
        </w:tc>
        <w:tc>
          <w:tcPr>
            <w:tcW w:w="7514" w:type="dxa"/>
          </w:tcPr>
          <w:p w:rsidR="003E022D" w:rsidRDefault="007D19D6">
            <w:pPr>
              <w:rPr>
                <w:bCs/>
                <w:noProof/>
              </w:rPr>
            </w:pPr>
            <w:r>
              <w:rPr>
                <w:noProof/>
              </w:rPr>
              <w:t>Aušana apvienojumā ar apdari, ieskaitot auduma piegriešanu,</w:t>
            </w:r>
          </w:p>
          <w:p w:rsidR="003E022D" w:rsidRDefault="007D19D6">
            <w:pPr>
              <w:rPr>
                <w:bCs/>
                <w:noProof/>
              </w:rPr>
            </w:pPr>
            <w:r>
              <w:rPr>
                <w:noProof/>
              </w:rPr>
              <w:t>vai</w:t>
            </w:r>
          </w:p>
          <w:p w:rsidR="003E022D" w:rsidRDefault="007D19D6">
            <w:pPr>
              <w:rPr>
                <w:bCs/>
                <w:noProof/>
              </w:rPr>
            </w:pPr>
            <w:r>
              <w:rPr>
                <w:noProof/>
              </w:rPr>
              <w:t xml:space="preserve">pārklāšana vai laminēšana apvienojumā ar apdari, </w:t>
            </w:r>
            <w:r>
              <w:rPr>
                <w:noProof/>
              </w:rPr>
              <w:t>ieskaitot auduma piegriešanu, ja izmantotā nenoteiktas izcelsmes nepārklāta vai nelaminēta auduma vērtība nepārsniedz 40 % no ražojuma EXW cenas.</w:t>
            </w:r>
          </w:p>
          <w:p w:rsidR="003E022D" w:rsidRDefault="003E022D">
            <w:pPr>
              <w:rPr>
                <w:bCs/>
                <w:noProof/>
              </w:rPr>
            </w:pPr>
          </w:p>
        </w:tc>
      </w:tr>
      <w:tr w:rsidR="003E022D">
        <w:tc>
          <w:tcPr>
            <w:tcW w:w="1985" w:type="dxa"/>
          </w:tcPr>
          <w:p w:rsidR="003E022D" w:rsidRDefault="007D19D6">
            <w:pPr>
              <w:rPr>
                <w:bCs/>
                <w:noProof/>
              </w:rPr>
            </w:pPr>
            <w:r>
              <w:rPr>
                <w:noProof/>
              </w:rPr>
              <w:t>- piegrieztas starplikas apkaklēm un aprocēm:</w:t>
            </w:r>
          </w:p>
        </w:tc>
        <w:tc>
          <w:tcPr>
            <w:tcW w:w="7514" w:type="dxa"/>
          </w:tcPr>
          <w:p w:rsidR="003E022D" w:rsidRDefault="007D19D6">
            <w:pPr>
              <w:rPr>
                <w:bCs/>
                <w:noProof/>
              </w:rPr>
            </w:pPr>
            <w:r>
              <w:rPr>
                <w:i/>
                <w:noProof/>
              </w:rPr>
              <w:t>CTH</w:t>
            </w:r>
            <w:r>
              <w:rPr>
                <w:noProof/>
              </w:rPr>
              <w:t>, ja visu izmantoto nenoteiktas izcelsmes materiālu vērtība</w:t>
            </w:r>
            <w:r>
              <w:rPr>
                <w:noProof/>
              </w:rPr>
              <w:t xml:space="preserve"> nepārsniedz 40 % no ražojuma </w:t>
            </w:r>
            <w:r>
              <w:rPr>
                <w:i/>
                <w:noProof/>
              </w:rPr>
              <w:t>EXW</w:t>
            </w:r>
            <w:r>
              <w:rPr>
                <w:noProof/>
              </w:rPr>
              <w:t xml:space="preserve"> cenas.</w:t>
            </w:r>
          </w:p>
          <w:p w:rsidR="003E022D" w:rsidRDefault="003E022D">
            <w:pPr>
              <w:rPr>
                <w:bCs/>
                <w:noProof/>
              </w:rPr>
            </w:pP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noProof/>
              </w:rPr>
              <w:t>Aušana apvienojumā ar apdari, ieskaitot auduma piegriešanu.</w:t>
            </w:r>
          </w:p>
          <w:p w:rsidR="003E022D" w:rsidRDefault="003E022D">
            <w:pPr>
              <w:rPr>
                <w:bCs/>
                <w:noProof/>
              </w:rPr>
            </w:pPr>
          </w:p>
        </w:tc>
      </w:tr>
      <w:tr w:rsidR="003E022D">
        <w:tc>
          <w:tcPr>
            <w:tcW w:w="1985" w:type="dxa"/>
          </w:tcPr>
          <w:p w:rsidR="003E022D" w:rsidRDefault="007D19D6">
            <w:pPr>
              <w:rPr>
                <w:b/>
                <w:noProof/>
              </w:rPr>
            </w:pPr>
            <w:r>
              <w:rPr>
                <w:b/>
                <w:noProof/>
              </w:rPr>
              <w:t>63. nodaļa</w:t>
            </w:r>
          </w:p>
        </w:tc>
        <w:tc>
          <w:tcPr>
            <w:tcW w:w="7514" w:type="dxa"/>
          </w:tcPr>
          <w:p w:rsidR="003E022D" w:rsidRDefault="007D19D6">
            <w:pPr>
              <w:rPr>
                <w:b/>
                <w:noProof/>
              </w:rPr>
            </w:pPr>
            <w:r>
              <w:rPr>
                <w:b/>
                <w:noProof/>
              </w:rPr>
              <w:t>Citādi gatavie tekstilizstrādājumi; komplekti; valkāts apģērbs un lietoti tekstilizstrādājumi; lupatas</w:t>
            </w:r>
          </w:p>
        </w:tc>
      </w:tr>
      <w:tr w:rsidR="003E022D">
        <w:tc>
          <w:tcPr>
            <w:tcW w:w="1985" w:type="dxa"/>
          </w:tcPr>
          <w:p w:rsidR="003E022D" w:rsidRDefault="007D19D6">
            <w:pPr>
              <w:rPr>
                <w:bCs/>
                <w:noProof/>
              </w:rPr>
            </w:pPr>
            <w:r>
              <w:rPr>
                <w:noProof/>
              </w:rPr>
              <w:t>63.01-63.04</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no filca,</w:t>
            </w:r>
            <w:r>
              <w:rPr>
                <w:noProof/>
              </w:rPr>
              <w:t xml:space="preserve"> neaustām drānām:</w:t>
            </w:r>
          </w:p>
          <w:p w:rsidR="003E022D" w:rsidRDefault="003E022D">
            <w:pPr>
              <w:rPr>
                <w:bCs/>
                <w:noProof/>
              </w:rPr>
            </w:pPr>
          </w:p>
        </w:tc>
        <w:tc>
          <w:tcPr>
            <w:tcW w:w="7514" w:type="dxa"/>
          </w:tcPr>
          <w:p w:rsidR="003E022D" w:rsidRDefault="007D19D6">
            <w:pPr>
              <w:rPr>
                <w:bCs/>
                <w:noProof/>
              </w:rPr>
            </w:pPr>
            <w:r>
              <w:rPr>
                <w:noProof/>
              </w:rPr>
              <w:t>Neausta auduma veidošana apvienojumā ar apdari, ieskaitot auduma piegriešanu.</w:t>
            </w:r>
          </w:p>
          <w:p w:rsidR="003E022D" w:rsidRDefault="003E022D">
            <w:pPr>
              <w:rPr>
                <w:bCs/>
                <w:noProof/>
              </w:rPr>
            </w:pPr>
          </w:p>
        </w:tc>
      </w:tr>
      <w:tr w:rsidR="003E022D">
        <w:tc>
          <w:tcPr>
            <w:tcW w:w="1985" w:type="dxa"/>
          </w:tcPr>
          <w:p w:rsidR="003E022D" w:rsidRDefault="007D19D6">
            <w:pPr>
              <w:rPr>
                <w:bCs/>
                <w:noProof/>
              </w:rPr>
            </w:pPr>
            <w:r>
              <w:rPr>
                <w:noProof/>
              </w:rPr>
              <w:t>- citādi:</w:t>
            </w:r>
          </w:p>
          <w:p w:rsidR="003E022D" w:rsidRDefault="007D19D6">
            <w:pPr>
              <w:rPr>
                <w:bCs/>
                <w:noProof/>
              </w:rPr>
            </w:pPr>
            <w:r>
              <w:rPr>
                <w:noProof/>
              </w:rPr>
              <w:t>-- izšūti:</w:t>
            </w:r>
          </w:p>
          <w:p w:rsidR="003E022D" w:rsidRDefault="003E022D">
            <w:pPr>
              <w:rPr>
                <w:bCs/>
                <w:noProof/>
              </w:rPr>
            </w:pPr>
          </w:p>
        </w:tc>
        <w:tc>
          <w:tcPr>
            <w:tcW w:w="7514" w:type="dxa"/>
          </w:tcPr>
          <w:p w:rsidR="003E022D" w:rsidRDefault="003E022D">
            <w:pPr>
              <w:rPr>
                <w:bCs/>
                <w:noProof/>
              </w:rPr>
            </w:pPr>
          </w:p>
          <w:p w:rsidR="003E022D" w:rsidRDefault="007D19D6">
            <w:pPr>
              <w:rPr>
                <w:bCs/>
                <w:noProof/>
              </w:rPr>
            </w:pPr>
            <w:r>
              <w:rPr>
                <w:noProof/>
              </w:rPr>
              <w:t>Aušana vai adīšana, vai tamborēšana apvienojumā ar apdari, ieskaitot auduma piegriešanu,</w:t>
            </w:r>
          </w:p>
          <w:p w:rsidR="003E022D" w:rsidRDefault="007D19D6">
            <w:pPr>
              <w:rPr>
                <w:bCs/>
                <w:noProof/>
              </w:rPr>
            </w:pPr>
            <w:r>
              <w:rPr>
                <w:noProof/>
              </w:rPr>
              <w:t>vai</w:t>
            </w:r>
          </w:p>
          <w:p w:rsidR="003E022D" w:rsidRDefault="007D19D6">
            <w:pPr>
              <w:rPr>
                <w:bCs/>
                <w:noProof/>
              </w:rPr>
            </w:pPr>
            <w:r>
              <w:rPr>
                <w:noProof/>
              </w:rPr>
              <w:t xml:space="preserve">ražošana no auduma bez izšuvumiem (izņemot adītu vai tamborētu), ja izmantotā nenoteiktas izcelsmes auduma bez izšuvumiem vērtība nepārsniedz 40 % no ražojuma </w:t>
            </w:r>
            <w:r>
              <w:rPr>
                <w:i/>
                <w:noProof/>
              </w:rPr>
              <w:t>EXW</w:t>
            </w:r>
            <w:r>
              <w:rPr>
                <w:noProof/>
              </w:rPr>
              <w:t xml:space="preserve"> cenas.</w:t>
            </w:r>
          </w:p>
        </w:tc>
      </w:tr>
      <w:tr w:rsidR="003E022D">
        <w:tc>
          <w:tcPr>
            <w:tcW w:w="1985" w:type="dxa"/>
          </w:tcPr>
          <w:p w:rsidR="003E022D" w:rsidRDefault="007D19D6">
            <w:pPr>
              <w:rPr>
                <w:bCs/>
                <w:noProof/>
              </w:rPr>
            </w:pPr>
            <w:r>
              <w:rPr>
                <w:noProof/>
              </w:rPr>
              <w:t>- citādi:</w:t>
            </w:r>
          </w:p>
          <w:p w:rsidR="003E022D" w:rsidRDefault="003E022D">
            <w:pPr>
              <w:rPr>
                <w:bCs/>
                <w:noProof/>
              </w:rPr>
            </w:pPr>
          </w:p>
        </w:tc>
        <w:tc>
          <w:tcPr>
            <w:tcW w:w="7514" w:type="dxa"/>
          </w:tcPr>
          <w:p w:rsidR="003E022D" w:rsidRDefault="007D19D6">
            <w:pPr>
              <w:rPr>
                <w:bCs/>
                <w:noProof/>
              </w:rPr>
            </w:pPr>
            <w:r>
              <w:rPr>
                <w:noProof/>
              </w:rPr>
              <w:t>Aušana, adīšana, vai tamborēšana apvienojumā ar apdari, ieskaitot auduma p</w:t>
            </w:r>
            <w:r>
              <w:rPr>
                <w:noProof/>
              </w:rPr>
              <w:t>iegriešanu.</w:t>
            </w:r>
          </w:p>
          <w:p w:rsidR="003E022D" w:rsidRDefault="003E022D">
            <w:pPr>
              <w:rPr>
                <w:bCs/>
                <w:noProof/>
              </w:rPr>
            </w:pPr>
          </w:p>
        </w:tc>
      </w:tr>
      <w:tr w:rsidR="003E022D">
        <w:tc>
          <w:tcPr>
            <w:tcW w:w="1985" w:type="dxa"/>
          </w:tcPr>
          <w:p w:rsidR="003E022D" w:rsidRDefault="007D19D6">
            <w:pPr>
              <w:rPr>
                <w:bCs/>
                <w:noProof/>
              </w:rPr>
            </w:pPr>
            <w:r>
              <w:rPr>
                <w:noProof/>
              </w:rPr>
              <w:t>63.05</w:t>
            </w:r>
          </w:p>
        </w:tc>
        <w:tc>
          <w:tcPr>
            <w:tcW w:w="7514" w:type="dxa"/>
          </w:tcPr>
          <w:p w:rsidR="003E022D" w:rsidRDefault="007D19D6">
            <w:pPr>
              <w:rPr>
                <w:bCs/>
                <w:noProof/>
              </w:rPr>
            </w:pPr>
            <w:r>
              <w:rPr>
                <w:noProof/>
              </w:rPr>
              <w:t>Ķīmisko šķiedru ekstrūzija vai dabisko vai ķīmisko štāpeļšķiedru vērpšana apvienojumā ar aušanu vai adīšanu un apdari, ieskaitot auduma piegriešanu.</w:t>
            </w:r>
          </w:p>
          <w:p w:rsidR="003E022D" w:rsidRDefault="003E022D">
            <w:pPr>
              <w:rPr>
                <w:bCs/>
                <w:noProof/>
              </w:rPr>
            </w:pPr>
          </w:p>
        </w:tc>
      </w:tr>
      <w:tr w:rsidR="003E022D">
        <w:tc>
          <w:tcPr>
            <w:tcW w:w="1985" w:type="dxa"/>
          </w:tcPr>
          <w:p w:rsidR="003E022D" w:rsidRDefault="007D19D6">
            <w:pPr>
              <w:rPr>
                <w:bCs/>
                <w:noProof/>
              </w:rPr>
            </w:pPr>
            <w:r>
              <w:rPr>
                <w:noProof/>
              </w:rPr>
              <w:t>63.06</w:t>
            </w:r>
          </w:p>
          <w:p w:rsidR="003E022D" w:rsidRDefault="003E022D">
            <w:pPr>
              <w:rPr>
                <w:bCs/>
                <w:noProof/>
              </w:rPr>
            </w:pPr>
          </w:p>
        </w:tc>
        <w:tc>
          <w:tcPr>
            <w:tcW w:w="7514" w:type="dxa"/>
          </w:tcPr>
          <w:p w:rsidR="003E022D" w:rsidRDefault="003E022D">
            <w:pPr>
              <w:rPr>
                <w:bCs/>
                <w:noProof/>
              </w:rPr>
            </w:pPr>
          </w:p>
        </w:tc>
      </w:tr>
      <w:tr w:rsidR="003E022D">
        <w:tc>
          <w:tcPr>
            <w:tcW w:w="1985" w:type="dxa"/>
          </w:tcPr>
          <w:p w:rsidR="003E022D" w:rsidRDefault="007D19D6">
            <w:pPr>
              <w:rPr>
                <w:bCs/>
                <w:noProof/>
              </w:rPr>
            </w:pPr>
            <w:r>
              <w:rPr>
                <w:noProof/>
              </w:rPr>
              <w:t>- no neaustām drānām;</w:t>
            </w:r>
          </w:p>
        </w:tc>
        <w:tc>
          <w:tcPr>
            <w:tcW w:w="7514" w:type="dxa"/>
          </w:tcPr>
          <w:p w:rsidR="003E022D" w:rsidRDefault="007D19D6">
            <w:pPr>
              <w:rPr>
                <w:bCs/>
                <w:noProof/>
              </w:rPr>
            </w:pPr>
            <w:r>
              <w:rPr>
                <w:noProof/>
              </w:rPr>
              <w:t xml:space="preserve">Neausta auduma veidošana apvienojumā ar apdari, </w:t>
            </w:r>
            <w:r>
              <w:rPr>
                <w:noProof/>
              </w:rPr>
              <w:t>ieskaitot auduma piegriešanu.</w:t>
            </w:r>
          </w:p>
          <w:p w:rsidR="003E022D" w:rsidRDefault="003E022D">
            <w:pPr>
              <w:rPr>
                <w:bCs/>
                <w:noProof/>
              </w:rPr>
            </w:pPr>
          </w:p>
        </w:tc>
      </w:tr>
      <w:tr w:rsidR="003E022D">
        <w:tc>
          <w:tcPr>
            <w:tcW w:w="1985" w:type="dxa"/>
          </w:tcPr>
          <w:p w:rsidR="003E022D" w:rsidRDefault="007D19D6">
            <w:pPr>
              <w:rPr>
                <w:bCs/>
                <w:noProof/>
              </w:rPr>
            </w:pPr>
            <w:r>
              <w:rPr>
                <w:noProof/>
              </w:rPr>
              <w:t>- citādi:</w:t>
            </w:r>
          </w:p>
        </w:tc>
        <w:tc>
          <w:tcPr>
            <w:tcW w:w="7514" w:type="dxa"/>
          </w:tcPr>
          <w:p w:rsidR="003E022D" w:rsidRDefault="007D19D6">
            <w:pPr>
              <w:rPr>
                <w:bCs/>
                <w:noProof/>
              </w:rPr>
            </w:pPr>
            <w:r>
              <w:rPr>
                <w:noProof/>
              </w:rPr>
              <w:t>Aušana apvienojumā ar apdari, ieskaitot auduma piegriešanu.</w:t>
            </w:r>
          </w:p>
          <w:p w:rsidR="003E022D" w:rsidRDefault="003E022D">
            <w:pPr>
              <w:rPr>
                <w:bCs/>
                <w:noProof/>
              </w:rPr>
            </w:pPr>
          </w:p>
        </w:tc>
      </w:tr>
      <w:tr w:rsidR="003E022D">
        <w:tc>
          <w:tcPr>
            <w:tcW w:w="1985" w:type="dxa"/>
          </w:tcPr>
          <w:p w:rsidR="003E022D" w:rsidRDefault="007D19D6">
            <w:pPr>
              <w:rPr>
                <w:bCs/>
                <w:noProof/>
              </w:rPr>
            </w:pPr>
            <w:r>
              <w:rPr>
                <w:noProof/>
              </w:rPr>
              <w:t>63.07</w:t>
            </w:r>
          </w:p>
        </w:tc>
        <w:tc>
          <w:tcPr>
            <w:tcW w:w="7514" w:type="dxa"/>
          </w:tcPr>
          <w:p w:rsidR="003E022D" w:rsidRDefault="007D19D6">
            <w:pPr>
              <w:rPr>
                <w:bCs/>
                <w:noProof/>
              </w:rPr>
            </w:pPr>
            <w:r>
              <w:rPr>
                <w:i/>
                <w:noProof/>
              </w:rPr>
              <w:t>MaxNOM</w:t>
            </w:r>
            <w:r>
              <w:rPr>
                <w:noProof/>
              </w:rPr>
              <w:t xml:space="preserve"> 40 % (</w:t>
            </w:r>
            <w:r>
              <w:rPr>
                <w:i/>
                <w:noProof/>
              </w:rPr>
              <w:t>EXW</w:t>
            </w:r>
            <w:r>
              <w:rPr>
                <w:noProof/>
              </w:rPr>
              <w:t>).</w:t>
            </w:r>
          </w:p>
          <w:p w:rsidR="003E022D" w:rsidRDefault="003E022D">
            <w:pPr>
              <w:rPr>
                <w:bCs/>
                <w:noProof/>
              </w:rPr>
            </w:pPr>
          </w:p>
        </w:tc>
      </w:tr>
      <w:tr w:rsidR="003E022D">
        <w:tc>
          <w:tcPr>
            <w:tcW w:w="1985" w:type="dxa"/>
          </w:tcPr>
          <w:p w:rsidR="003E022D" w:rsidRDefault="007D19D6">
            <w:pPr>
              <w:rPr>
                <w:bCs/>
                <w:noProof/>
              </w:rPr>
            </w:pPr>
            <w:r>
              <w:rPr>
                <w:noProof/>
              </w:rPr>
              <w:t>63.08</w:t>
            </w:r>
          </w:p>
        </w:tc>
        <w:tc>
          <w:tcPr>
            <w:tcW w:w="7514" w:type="dxa"/>
          </w:tcPr>
          <w:p w:rsidR="003E022D" w:rsidRDefault="007D19D6">
            <w:pPr>
              <w:rPr>
                <w:bCs/>
                <w:noProof/>
              </w:rPr>
            </w:pPr>
            <w:r>
              <w:rPr>
                <w:noProof/>
              </w:rPr>
              <w:t xml:space="preserve">Katram priekšmetam no komplekta jāatbilst noteikumiem, kas uz to attiektos, ja tas nebūtu ietverts komplektā, tomēr nenoteiktas izcelsmes ražojumus var iekļaut, ja to kopējā vērtība nepārsniedz 15 % no komplekta </w:t>
            </w:r>
            <w:r>
              <w:rPr>
                <w:i/>
                <w:noProof/>
              </w:rPr>
              <w:t>EXW</w:t>
            </w:r>
            <w:r>
              <w:rPr>
                <w:noProof/>
              </w:rPr>
              <w:t xml:space="preserve"> cenas.</w:t>
            </w:r>
          </w:p>
          <w:p w:rsidR="003E022D" w:rsidRDefault="003E022D">
            <w:pPr>
              <w:rPr>
                <w:bCs/>
                <w:noProof/>
              </w:rPr>
            </w:pPr>
          </w:p>
        </w:tc>
      </w:tr>
      <w:tr w:rsidR="003E022D">
        <w:tc>
          <w:tcPr>
            <w:tcW w:w="1985" w:type="dxa"/>
          </w:tcPr>
          <w:p w:rsidR="003E022D" w:rsidRDefault="007D19D6">
            <w:pPr>
              <w:rPr>
                <w:bCs/>
                <w:noProof/>
              </w:rPr>
            </w:pPr>
            <w:r>
              <w:rPr>
                <w:noProof/>
              </w:rPr>
              <w:t>63.09-63.10</w:t>
            </w:r>
          </w:p>
        </w:tc>
        <w:tc>
          <w:tcPr>
            <w:tcW w:w="7514" w:type="dxa"/>
          </w:tcPr>
          <w:p w:rsidR="003E022D" w:rsidRDefault="007D19D6">
            <w:pPr>
              <w:rPr>
                <w:bCs/>
                <w:noProof/>
              </w:rPr>
            </w:pPr>
            <w:r>
              <w:rPr>
                <w:i/>
                <w:noProof/>
              </w:rPr>
              <w:t>CTH</w:t>
            </w:r>
          </w:p>
          <w:p w:rsidR="003E022D" w:rsidRDefault="003E022D">
            <w:pPr>
              <w:rPr>
                <w:bCs/>
                <w:noProof/>
              </w:rPr>
            </w:pPr>
          </w:p>
        </w:tc>
      </w:tr>
      <w:tr w:rsidR="003E022D">
        <w:tblPrEx>
          <w:tblLook w:val="04A0" w:firstRow="1" w:lastRow="0" w:firstColumn="1" w:lastColumn="0" w:noHBand="0" w:noVBand="1"/>
        </w:tblPrEx>
        <w:tc>
          <w:tcPr>
            <w:tcW w:w="1985" w:type="dxa"/>
          </w:tcPr>
          <w:p w:rsidR="003E022D" w:rsidRDefault="007D19D6">
            <w:pPr>
              <w:rPr>
                <w:b/>
                <w:noProof/>
              </w:rPr>
            </w:pPr>
            <w:r>
              <w:rPr>
                <w:b/>
                <w:noProof/>
              </w:rPr>
              <w:t>XII SADAĻA</w:t>
            </w:r>
          </w:p>
        </w:tc>
        <w:tc>
          <w:tcPr>
            <w:tcW w:w="7514" w:type="dxa"/>
          </w:tcPr>
          <w:p w:rsidR="003E022D" w:rsidRDefault="007D19D6">
            <w:pPr>
              <w:rPr>
                <w:b/>
                <w:noProof/>
              </w:rPr>
            </w:pPr>
            <w:r>
              <w:rPr>
                <w:b/>
                <w:noProof/>
              </w:rPr>
              <w:t>APAVI, GALVASSEGAS, LIETUSSARGI, SAULESSARGI, SPIEĶI, SPIEĶSĒDEKĻI, PĀTAGAS, PLETNES UN TO DAĻAS; APSTRĀDĀTAS SPALVAS UN IZSTRĀDĀJUMI NO TĀM; MĀKSLĪGIE ZIEDI; IZSTRĀDĀJUMI NO CILVĒKU MATIEM</w:t>
            </w:r>
          </w:p>
        </w:tc>
      </w:tr>
      <w:tr w:rsidR="003E022D">
        <w:tblPrEx>
          <w:tblLook w:val="04A0" w:firstRow="1" w:lastRow="0" w:firstColumn="1" w:lastColumn="0" w:noHBand="0" w:noVBand="1"/>
        </w:tblPrEx>
        <w:tc>
          <w:tcPr>
            <w:tcW w:w="1985" w:type="dxa"/>
          </w:tcPr>
          <w:p w:rsidR="003E022D" w:rsidRDefault="007D19D6">
            <w:pPr>
              <w:rPr>
                <w:b/>
                <w:noProof/>
              </w:rPr>
            </w:pPr>
            <w:r>
              <w:rPr>
                <w:b/>
                <w:noProof/>
              </w:rPr>
              <w:t>64. nodaļa</w:t>
            </w:r>
          </w:p>
        </w:tc>
        <w:tc>
          <w:tcPr>
            <w:tcW w:w="7514" w:type="dxa"/>
          </w:tcPr>
          <w:p w:rsidR="003E022D" w:rsidRDefault="007D19D6">
            <w:pPr>
              <w:rPr>
                <w:b/>
                <w:noProof/>
              </w:rPr>
            </w:pPr>
            <w:r>
              <w:rPr>
                <w:b/>
                <w:noProof/>
              </w:rPr>
              <w:t>Apavi, getras un tamlīdzīgi izstrādājumi; šādu izstrād</w:t>
            </w:r>
            <w:r>
              <w:rPr>
                <w:b/>
                <w:noProof/>
              </w:rPr>
              <w:t>ājumu daļas</w:t>
            </w:r>
          </w:p>
        </w:tc>
      </w:tr>
      <w:tr w:rsidR="003E022D">
        <w:tblPrEx>
          <w:tblLook w:val="04A0" w:firstRow="1" w:lastRow="0" w:firstColumn="1" w:lastColumn="0" w:noHBand="0" w:noVBand="1"/>
        </w:tblPrEx>
        <w:tc>
          <w:tcPr>
            <w:tcW w:w="1985" w:type="dxa"/>
          </w:tcPr>
          <w:p w:rsidR="003E022D" w:rsidRDefault="007D19D6">
            <w:pPr>
              <w:rPr>
                <w:bCs/>
                <w:noProof/>
              </w:rPr>
            </w:pPr>
            <w:r>
              <w:rPr>
                <w:noProof/>
              </w:rPr>
              <w:t>64.01-64.05</w:t>
            </w:r>
          </w:p>
        </w:tc>
        <w:tc>
          <w:tcPr>
            <w:tcW w:w="7514" w:type="dxa"/>
          </w:tcPr>
          <w:p w:rsidR="003E022D" w:rsidRDefault="007D19D6">
            <w:pPr>
              <w:rPr>
                <w:bCs/>
                <w:noProof/>
              </w:rPr>
            </w:pPr>
            <w:r>
              <w:rPr>
                <w:noProof/>
              </w:rPr>
              <w:t>Ražošana no jebkuras pozīcijas nenoteiktas izcelsmes materiāliem, izņemot nenoteiktas izcelsmes apavus, kas piestiprināti pie iekšējām pazolēm vai citām zoles sastāvdaļām pozīcijā 64.06.</w:t>
            </w:r>
          </w:p>
        </w:tc>
      </w:tr>
      <w:tr w:rsidR="003E022D">
        <w:tblPrEx>
          <w:tblLook w:val="04A0" w:firstRow="1" w:lastRow="0" w:firstColumn="1" w:lastColumn="0" w:noHBand="0" w:noVBand="1"/>
        </w:tblPrEx>
        <w:tc>
          <w:tcPr>
            <w:tcW w:w="1985" w:type="dxa"/>
          </w:tcPr>
          <w:p w:rsidR="003E022D" w:rsidRDefault="007D19D6">
            <w:pPr>
              <w:rPr>
                <w:bCs/>
                <w:noProof/>
              </w:rPr>
            </w:pPr>
            <w:r>
              <w:rPr>
                <w:noProof/>
              </w:rPr>
              <w:t>64.06</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65. nodaļa</w:t>
            </w:r>
          </w:p>
        </w:tc>
        <w:tc>
          <w:tcPr>
            <w:tcW w:w="7514" w:type="dxa"/>
          </w:tcPr>
          <w:p w:rsidR="003E022D" w:rsidRDefault="007D19D6">
            <w:pPr>
              <w:rPr>
                <w:b/>
                <w:noProof/>
              </w:rPr>
            </w:pPr>
            <w:r>
              <w:rPr>
                <w:b/>
                <w:noProof/>
              </w:rPr>
              <w:t xml:space="preserve">Galvassegas un to </w:t>
            </w:r>
            <w:r>
              <w:rPr>
                <w:b/>
                <w:noProof/>
              </w:rPr>
              <w:t>daļas</w:t>
            </w:r>
          </w:p>
        </w:tc>
      </w:tr>
      <w:tr w:rsidR="003E022D">
        <w:tblPrEx>
          <w:tblLook w:val="04A0" w:firstRow="1" w:lastRow="0" w:firstColumn="1" w:lastColumn="0" w:noHBand="0" w:noVBand="1"/>
        </w:tblPrEx>
        <w:tc>
          <w:tcPr>
            <w:tcW w:w="1985" w:type="dxa"/>
          </w:tcPr>
          <w:p w:rsidR="003E022D" w:rsidRDefault="007D19D6">
            <w:pPr>
              <w:rPr>
                <w:bCs/>
                <w:noProof/>
              </w:rPr>
            </w:pPr>
            <w:r>
              <w:rPr>
                <w:noProof/>
              </w:rPr>
              <w:t>65.01-65.07</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66. nodaļa</w:t>
            </w:r>
          </w:p>
        </w:tc>
        <w:tc>
          <w:tcPr>
            <w:tcW w:w="7514" w:type="dxa"/>
          </w:tcPr>
          <w:p w:rsidR="003E022D" w:rsidRDefault="007D19D6">
            <w:pPr>
              <w:rPr>
                <w:b/>
                <w:noProof/>
              </w:rPr>
            </w:pPr>
            <w:r>
              <w:rPr>
                <w:b/>
                <w:noProof/>
              </w:rPr>
              <w:t>Lietussargi, saulessargi, spieķi, spieķsēdekļi, pātagas, pletnes un to daļas</w:t>
            </w:r>
          </w:p>
        </w:tc>
      </w:tr>
      <w:tr w:rsidR="003E022D">
        <w:tblPrEx>
          <w:tblLook w:val="04A0" w:firstRow="1" w:lastRow="0" w:firstColumn="1" w:lastColumn="0" w:noHBand="0" w:noVBand="1"/>
        </w:tblPrEx>
        <w:tc>
          <w:tcPr>
            <w:tcW w:w="1985" w:type="dxa"/>
          </w:tcPr>
          <w:p w:rsidR="003E022D" w:rsidRDefault="007D19D6">
            <w:pPr>
              <w:rPr>
                <w:bCs/>
                <w:noProof/>
              </w:rPr>
            </w:pPr>
            <w:r>
              <w:rPr>
                <w:noProof/>
              </w:rPr>
              <w:t>66.01-66.03</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67. nodaļa</w:t>
            </w:r>
          </w:p>
        </w:tc>
        <w:tc>
          <w:tcPr>
            <w:tcW w:w="7514" w:type="dxa"/>
          </w:tcPr>
          <w:p w:rsidR="003E022D" w:rsidRDefault="007D19D6">
            <w:pPr>
              <w:rPr>
                <w:b/>
                <w:noProof/>
              </w:rPr>
            </w:pPr>
            <w:r>
              <w:rPr>
                <w:b/>
                <w:noProof/>
              </w:rPr>
              <w:t>Apstrādātas spalvas un dūnas un izstrādājumi no spalvām vai dūnām; mākslīgie ziedi; izstrādā</w:t>
            </w:r>
            <w:r>
              <w:rPr>
                <w:b/>
                <w:noProof/>
              </w:rPr>
              <w:t>jumi no cilvēku matiem</w:t>
            </w:r>
          </w:p>
        </w:tc>
      </w:tr>
      <w:tr w:rsidR="003E022D">
        <w:tblPrEx>
          <w:tblLook w:val="04A0" w:firstRow="1" w:lastRow="0" w:firstColumn="1" w:lastColumn="0" w:noHBand="0" w:noVBand="1"/>
        </w:tblPrEx>
        <w:tc>
          <w:tcPr>
            <w:tcW w:w="1985" w:type="dxa"/>
          </w:tcPr>
          <w:p w:rsidR="003E022D" w:rsidRDefault="007D19D6">
            <w:pPr>
              <w:rPr>
                <w:bCs/>
                <w:noProof/>
              </w:rPr>
            </w:pPr>
            <w:r>
              <w:rPr>
                <w:noProof/>
              </w:rPr>
              <w:t>67.01-67.04</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XIII SADAĻA</w:t>
            </w:r>
          </w:p>
        </w:tc>
        <w:tc>
          <w:tcPr>
            <w:tcW w:w="7514" w:type="dxa"/>
          </w:tcPr>
          <w:p w:rsidR="003E022D" w:rsidRDefault="007D19D6">
            <w:pPr>
              <w:rPr>
                <w:b/>
                <w:noProof/>
              </w:rPr>
            </w:pPr>
            <w:r>
              <w:rPr>
                <w:b/>
                <w:noProof/>
              </w:rPr>
              <w:t>AKMENS, ĢIPŠA, CEMENTA, AZBESTA, VIZLAS UN TAMLĪDZĪGU MATERIĀLU IZSTRĀDĀJUMI; KERAMIKAS IZSTRĀDĀJUMI; STIKLS UN STIKLA IZSTRĀDĀJUMI</w:t>
            </w:r>
          </w:p>
        </w:tc>
      </w:tr>
      <w:tr w:rsidR="003E022D">
        <w:tblPrEx>
          <w:tblLook w:val="04A0" w:firstRow="1" w:lastRow="0" w:firstColumn="1" w:lastColumn="0" w:noHBand="0" w:noVBand="1"/>
        </w:tblPrEx>
        <w:tc>
          <w:tcPr>
            <w:tcW w:w="1985" w:type="dxa"/>
          </w:tcPr>
          <w:p w:rsidR="003E022D" w:rsidRDefault="007D19D6">
            <w:pPr>
              <w:rPr>
                <w:b/>
                <w:noProof/>
              </w:rPr>
            </w:pPr>
            <w:r>
              <w:rPr>
                <w:b/>
                <w:noProof/>
              </w:rPr>
              <w:t>68. nodaļa</w:t>
            </w:r>
          </w:p>
        </w:tc>
        <w:tc>
          <w:tcPr>
            <w:tcW w:w="7514" w:type="dxa"/>
          </w:tcPr>
          <w:p w:rsidR="003E022D" w:rsidRDefault="007D19D6">
            <w:pPr>
              <w:rPr>
                <w:b/>
                <w:noProof/>
              </w:rPr>
            </w:pPr>
            <w:r>
              <w:rPr>
                <w:b/>
                <w:noProof/>
              </w:rPr>
              <w:t xml:space="preserve">Akmens, ģipša, cementa, azbesta, vizlas un tamlīdzīgu </w:t>
            </w:r>
            <w:r>
              <w:rPr>
                <w:b/>
                <w:noProof/>
              </w:rPr>
              <w:t>materiālu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68.01-68.15</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70 %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69. nodaļa</w:t>
            </w:r>
          </w:p>
        </w:tc>
        <w:tc>
          <w:tcPr>
            <w:tcW w:w="7514" w:type="dxa"/>
          </w:tcPr>
          <w:p w:rsidR="003E022D" w:rsidRDefault="007D19D6">
            <w:pPr>
              <w:rPr>
                <w:b/>
                <w:noProof/>
              </w:rPr>
            </w:pPr>
            <w:r>
              <w:rPr>
                <w:b/>
                <w:noProof/>
              </w:rPr>
              <w:t>Keramikas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69.01-69.14</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70. nodaļa</w:t>
            </w:r>
          </w:p>
        </w:tc>
        <w:tc>
          <w:tcPr>
            <w:tcW w:w="7514" w:type="dxa"/>
          </w:tcPr>
          <w:p w:rsidR="003E022D" w:rsidRDefault="007D19D6">
            <w:pPr>
              <w:rPr>
                <w:b/>
                <w:noProof/>
              </w:rPr>
            </w:pPr>
            <w:r>
              <w:rPr>
                <w:b/>
                <w:noProof/>
              </w:rPr>
              <w:t>Stikls un stikla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70.01-70.09</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70.10</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Cs/>
                <w:noProof/>
              </w:rPr>
            </w:pPr>
            <w:r>
              <w:rPr>
                <w:noProof/>
              </w:rPr>
              <w:t>70.11</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70.13</w:t>
            </w:r>
          </w:p>
        </w:tc>
        <w:tc>
          <w:tcPr>
            <w:tcW w:w="7514" w:type="dxa"/>
          </w:tcPr>
          <w:p w:rsidR="003E022D" w:rsidRDefault="007D19D6">
            <w:pPr>
              <w:rPr>
                <w:bCs/>
                <w:noProof/>
              </w:rPr>
            </w:pPr>
            <w:r>
              <w:rPr>
                <w:i/>
                <w:iCs/>
                <w:noProof/>
              </w:rPr>
              <w:t>CTH</w:t>
            </w:r>
            <w:r>
              <w:rPr>
                <w:noProof/>
              </w:rPr>
              <w:t xml:space="preserve">, </w:t>
            </w:r>
            <w:r>
              <w:rPr>
                <w:noProof/>
              </w:rPr>
              <w:t>izņemot no nenoteiktas izcelsmes materiāliem pozīcijā 70.10.</w:t>
            </w:r>
          </w:p>
        </w:tc>
      </w:tr>
      <w:tr w:rsidR="003E022D">
        <w:tblPrEx>
          <w:tblLook w:val="04A0" w:firstRow="1" w:lastRow="0" w:firstColumn="1" w:lastColumn="0" w:noHBand="0" w:noVBand="1"/>
        </w:tblPrEx>
        <w:tc>
          <w:tcPr>
            <w:tcW w:w="1985" w:type="dxa"/>
          </w:tcPr>
          <w:p w:rsidR="003E022D" w:rsidRDefault="007D19D6">
            <w:pPr>
              <w:rPr>
                <w:bCs/>
                <w:noProof/>
              </w:rPr>
            </w:pPr>
            <w:r>
              <w:rPr>
                <w:noProof/>
              </w:rPr>
              <w:t>70.14-70.20</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XIV SADAĻA</w:t>
            </w:r>
          </w:p>
        </w:tc>
        <w:tc>
          <w:tcPr>
            <w:tcW w:w="7514" w:type="dxa"/>
          </w:tcPr>
          <w:p w:rsidR="003E022D" w:rsidRDefault="007D19D6">
            <w:pPr>
              <w:rPr>
                <w:b/>
                <w:noProof/>
              </w:rPr>
            </w:pPr>
            <w:r>
              <w:rPr>
                <w:b/>
                <w:noProof/>
              </w:rPr>
              <w:t>Dabiskas vai kultivētas pērles, dārgakmeņi un pusdārgakmeņi, dārgmetāli, ar dārgmetālu plaķēti metāli un to izstrādājumi; bižutērija; monētas</w:t>
            </w:r>
          </w:p>
        </w:tc>
      </w:tr>
      <w:tr w:rsidR="003E022D">
        <w:tblPrEx>
          <w:tblLook w:val="04A0" w:firstRow="1" w:lastRow="0" w:firstColumn="1" w:lastColumn="0" w:noHBand="0" w:noVBand="1"/>
        </w:tblPrEx>
        <w:tc>
          <w:tcPr>
            <w:tcW w:w="1985" w:type="dxa"/>
          </w:tcPr>
          <w:p w:rsidR="003E022D" w:rsidRDefault="007D19D6">
            <w:pPr>
              <w:rPr>
                <w:b/>
                <w:noProof/>
              </w:rPr>
            </w:pPr>
            <w:r>
              <w:rPr>
                <w:b/>
                <w:noProof/>
              </w:rPr>
              <w:t>71. nodaļa</w:t>
            </w:r>
          </w:p>
        </w:tc>
        <w:tc>
          <w:tcPr>
            <w:tcW w:w="7514" w:type="dxa"/>
          </w:tcPr>
          <w:p w:rsidR="003E022D" w:rsidRDefault="007D19D6">
            <w:pPr>
              <w:rPr>
                <w:b/>
                <w:noProof/>
              </w:rPr>
            </w:pPr>
            <w:r>
              <w:rPr>
                <w:b/>
                <w:noProof/>
              </w:rPr>
              <w:t>Dabiskas vai kultivētas pērles, dārgakmeņi un pusdārgakmeņi, dārgmetāli, ar dārgmetālu plaķēti metāli un to izstrādājumi; bižutērija; monētas</w:t>
            </w:r>
          </w:p>
        </w:tc>
      </w:tr>
      <w:tr w:rsidR="003E022D">
        <w:tblPrEx>
          <w:tblLook w:val="04A0" w:firstRow="1" w:lastRow="0" w:firstColumn="1" w:lastColumn="0" w:noHBand="0" w:noVBand="1"/>
        </w:tblPrEx>
        <w:tc>
          <w:tcPr>
            <w:tcW w:w="1985" w:type="dxa"/>
          </w:tcPr>
          <w:p w:rsidR="003E022D" w:rsidRDefault="007D19D6">
            <w:pPr>
              <w:rPr>
                <w:bCs/>
                <w:noProof/>
              </w:rPr>
            </w:pPr>
            <w:r>
              <w:rPr>
                <w:noProof/>
              </w:rPr>
              <w:t>71.01-71.05</w:t>
            </w:r>
          </w:p>
        </w:tc>
        <w:tc>
          <w:tcPr>
            <w:tcW w:w="7514" w:type="dxa"/>
          </w:tcPr>
          <w:p w:rsidR="003E022D" w:rsidRDefault="007D19D6">
            <w:pPr>
              <w:rPr>
                <w:bCs/>
                <w:noProof/>
              </w:rPr>
            </w:pPr>
            <w:r>
              <w:rPr>
                <w:noProof/>
              </w:rPr>
              <w:t>Ražošana no jebkuras pozīcijas nenoteiktas izcelsmes materiāliem.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71.06</w:t>
            </w:r>
          </w:p>
        </w:tc>
        <w:tc>
          <w:tcPr>
            <w:tcW w:w="7514" w:type="dxa"/>
          </w:tcPr>
          <w:p w:rsidR="003E022D" w:rsidRDefault="003E022D">
            <w:pPr>
              <w:rPr>
                <w:bCs/>
                <w:noProof/>
              </w:rPr>
            </w:pPr>
          </w:p>
        </w:tc>
      </w:tr>
      <w:tr w:rsidR="003E022D">
        <w:tblPrEx>
          <w:tblLook w:val="04A0" w:firstRow="1" w:lastRow="0" w:firstColumn="1" w:lastColumn="0" w:noHBand="0" w:noVBand="1"/>
        </w:tblPrEx>
        <w:tc>
          <w:tcPr>
            <w:tcW w:w="1985" w:type="dxa"/>
          </w:tcPr>
          <w:p w:rsidR="003E022D" w:rsidRDefault="007D19D6">
            <w:pPr>
              <w:rPr>
                <w:bCs/>
                <w:noProof/>
              </w:rPr>
            </w:pPr>
            <w:r>
              <w:rPr>
                <w:noProof/>
              </w:rPr>
              <w:t xml:space="preserve">- </w:t>
            </w:r>
            <w:r>
              <w:rPr>
                <w:noProof/>
              </w:rPr>
              <w:t>neapstrādāti:</w:t>
            </w:r>
          </w:p>
        </w:tc>
        <w:tc>
          <w:tcPr>
            <w:tcW w:w="7514" w:type="dxa"/>
          </w:tcPr>
          <w:p w:rsidR="003E022D" w:rsidRDefault="007D19D6">
            <w:pPr>
              <w:rPr>
                <w:bCs/>
                <w:noProof/>
              </w:rPr>
            </w:pPr>
            <w:r>
              <w:rPr>
                <w:i/>
                <w:noProof/>
              </w:rPr>
              <w:t>CTH</w:t>
            </w:r>
            <w:r>
              <w:rPr>
                <w:noProof/>
              </w:rPr>
              <w:t>, izņemot no pozīcijā 71.06, 71.08 un 71.10 klasificētiem nenoteiktas izcelsmes materiāliem;</w:t>
            </w:r>
          </w:p>
          <w:p w:rsidR="003E022D" w:rsidRDefault="007D19D6">
            <w:pPr>
              <w:rPr>
                <w:bCs/>
                <w:noProof/>
              </w:rPr>
            </w:pPr>
            <w:r>
              <w:rPr>
                <w:noProof/>
              </w:rPr>
              <w:t>elektrolītiska, termiska vai ķīmiska pozīcijā 71.06, 71.08 un 71.10 klasificēto nenoteiktas izcelsmes dārgmetālu atdalīšana;</w:t>
            </w:r>
          </w:p>
          <w:p w:rsidR="003E022D" w:rsidRDefault="007D19D6">
            <w:pPr>
              <w:rPr>
                <w:bCs/>
                <w:noProof/>
              </w:rPr>
            </w:pPr>
            <w:r>
              <w:rPr>
                <w:noProof/>
              </w:rPr>
              <w:t xml:space="preserve">vai </w:t>
            </w:r>
          </w:p>
          <w:p w:rsidR="003E022D" w:rsidRDefault="007D19D6">
            <w:pPr>
              <w:rPr>
                <w:bCs/>
                <w:noProof/>
              </w:rPr>
            </w:pPr>
            <w:r>
              <w:rPr>
                <w:noProof/>
              </w:rPr>
              <w:t>pozīcijas 71.06,</w:t>
            </w:r>
            <w:r>
              <w:rPr>
                <w:noProof/>
              </w:rPr>
              <w:t xml:space="preserve"> 71.08 un 71.10 nenoteiktas izcelsmes dārgmetālu sakausēšana vai leģēšana savstarpēji vai ar parastajiem metāliem vai attīrīšana.</w:t>
            </w:r>
          </w:p>
        </w:tc>
      </w:tr>
      <w:tr w:rsidR="003E022D">
        <w:tblPrEx>
          <w:tblLook w:val="04A0" w:firstRow="1" w:lastRow="0" w:firstColumn="1" w:lastColumn="0" w:noHBand="0" w:noVBand="1"/>
        </w:tblPrEx>
        <w:tc>
          <w:tcPr>
            <w:tcW w:w="1985" w:type="dxa"/>
          </w:tcPr>
          <w:p w:rsidR="003E022D" w:rsidRDefault="007D19D6">
            <w:pPr>
              <w:rPr>
                <w:bCs/>
                <w:noProof/>
              </w:rPr>
            </w:pPr>
            <w:r>
              <w:rPr>
                <w:noProof/>
              </w:rPr>
              <w:t>- daļēji apstrādāti vai pulverveidā:</w:t>
            </w:r>
          </w:p>
        </w:tc>
        <w:tc>
          <w:tcPr>
            <w:tcW w:w="7514" w:type="dxa"/>
          </w:tcPr>
          <w:p w:rsidR="003E022D" w:rsidRDefault="007D19D6">
            <w:pPr>
              <w:rPr>
                <w:bCs/>
                <w:noProof/>
              </w:rPr>
            </w:pPr>
            <w:r>
              <w:rPr>
                <w:noProof/>
              </w:rPr>
              <w:t>Ražošana no nenoteiktas izcelsmes neapstrādātiem dārgmetāliem.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71.07</w:t>
            </w:r>
          </w:p>
        </w:tc>
        <w:tc>
          <w:tcPr>
            <w:tcW w:w="7514" w:type="dxa"/>
          </w:tcPr>
          <w:p w:rsidR="003E022D" w:rsidRDefault="007D19D6">
            <w:pPr>
              <w:rPr>
                <w:bCs/>
                <w:noProof/>
              </w:rPr>
            </w:pPr>
            <w:r>
              <w:rPr>
                <w:noProof/>
              </w:rPr>
              <w:t>Ražošana no jebkur</w:t>
            </w:r>
            <w:r>
              <w:rPr>
                <w:noProof/>
              </w:rPr>
              <w:t>as pozīcijas nenoteiktas izcelsmes materiāliem.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71.08</w:t>
            </w:r>
          </w:p>
        </w:tc>
        <w:tc>
          <w:tcPr>
            <w:tcW w:w="7514" w:type="dxa"/>
          </w:tcPr>
          <w:p w:rsidR="003E022D" w:rsidRDefault="003E022D">
            <w:pPr>
              <w:rPr>
                <w:bCs/>
                <w:noProof/>
              </w:rPr>
            </w:pPr>
          </w:p>
        </w:tc>
      </w:tr>
      <w:tr w:rsidR="003E022D">
        <w:tblPrEx>
          <w:tblLook w:val="04A0" w:firstRow="1" w:lastRow="0" w:firstColumn="1" w:lastColumn="0" w:noHBand="0" w:noVBand="1"/>
        </w:tblPrEx>
        <w:tc>
          <w:tcPr>
            <w:tcW w:w="1985" w:type="dxa"/>
          </w:tcPr>
          <w:p w:rsidR="003E022D" w:rsidRDefault="007D19D6">
            <w:pPr>
              <w:rPr>
                <w:bCs/>
                <w:noProof/>
              </w:rPr>
            </w:pPr>
            <w:r>
              <w:rPr>
                <w:noProof/>
              </w:rPr>
              <w:t>- neapstrādāti:</w:t>
            </w:r>
          </w:p>
        </w:tc>
        <w:tc>
          <w:tcPr>
            <w:tcW w:w="7514" w:type="dxa"/>
          </w:tcPr>
          <w:p w:rsidR="003E022D" w:rsidRDefault="007D19D6">
            <w:pPr>
              <w:rPr>
                <w:bCs/>
                <w:noProof/>
              </w:rPr>
            </w:pPr>
            <w:r>
              <w:rPr>
                <w:i/>
                <w:noProof/>
              </w:rPr>
              <w:t>CTH</w:t>
            </w:r>
            <w:r>
              <w:rPr>
                <w:noProof/>
              </w:rPr>
              <w:t xml:space="preserve">, izņemot no pozīcijā 71.06, 71.08 un 71.10 klasificētiem nenoteiktas izcelsmes materiāliem; </w:t>
            </w:r>
          </w:p>
          <w:p w:rsidR="003E022D" w:rsidRDefault="007D19D6">
            <w:pPr>
              <w:rPr>
                <w:bCs/>
                <w:noProof/>
              </w:rPr>
            </w:pPr>
            <w:r>
              <w:rPr>
                <w:noProof/>
              </w:rPr>
              <w:t>elektrolītiska, termiska vai ķīmiska pozīcijā 71.06, 71.08 un 71.10 klasificēto nenote</w:t>
            </w:r>
            <w:r>
              <w:rPr>
                <w:noProof/>
              </w:rPr>
              <w:t>iktas izcelsmes dārgmetālu atdalīšana;</w:t>
            </w:r>
          </w:p>
          <w:p w:rsidR="003E022D" w:rsidRDefault="007D19D6">
            <w:pPr>
              <w:rPr>
                <w:bCs/>
                <w:noProof/>
              </w:rPr>
            </w:pPr>
            <w:r>
              <w:rPr>
                <w:noProof/>
              </w:rPr>
              <w:t xml:space="preserve">vai </w:t>
            </w:r>
          </w:p>
          <w:p w:rsidR="003E022D" w:rsidRDefault="007D19D6">
            <w:pPr>
              <w:rPr>
                <w:bCs/>
                <w:noProof/>
              </w:rPr>
            </w:pPr>
            <w:r>
              <w:rPr>
                <w:noProof/>
              </w:rPr>
              <w:t>pozīcijas 71.06, 71.08 un 71.10 nenoteiktas izcelsmes dārgmetālu sakausēšana vai leģēšana savstarpēji vai ar parastajiem metāliem vai attīrīšana.</w:t>
            </w:r>
          </w:p>
        </w:tc>
      </w:tr>
      <w:tr w:rsidR="003E022D">
        <w:tblPrEx>
          <w:tblLook w:val="04A0" w:firstRow="1" w:lastRow="0" w:firstColumn="1" w:lastColumn="0" w:noHBand="0" w:noVBand="1"/>
        </w:tblPrEx>
        <w:tc>
          <w:tcPr>
            <w:tcW w:w="1985" w:type="dxa"/>
          </w:tcPr>
          <w:p w:rsidR="003E022D" w:rsidRDefault="007D19D6">
            <w:pPr>
              <w:rPr>
                <w:bCs/>
                <w:noProof/>
              </w:rPr>
            </w:pPr>
            <w:r>
              <w:rPr>
                <w:noProof/>
              </w:rPr>
              <w:t>- daļēji apstrādāti vai pulverveidā:</w:t>
            </w:r>
          </w:p>
        </w:tc>
        <w:tc>
          <w:tcPr>
            <w:tcW w:w="7514" w:type="dxa"/>
          </w:tcPr>
          <w:p w:rsidR="003E022D" w:rsidRDefault="007D19D6">
            <w:pPr>
              <w:rPr>
                <w:bCs/>
                <w:noProof/>
              </w:rPr>
            </w:pPr>
            <w:r>
              <w:rPr>
                <w:noProof/>
              </w:rPr>
              <w:t>Ražošana no nenoteiktas izce</w:t>
            </w:r>
            <w:r>
              <w:rPr>
                <w:noProof/>
              </w:rPr>
              <w:t>lsmes neapstrādātiem dārgmetāliem.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71.09</w:t>
            </w:r>
          </w:p>
        </w:tc>
        <w:tc>
          <w:tcPr>
            <w:tcW w:w="7514" w:type="dxa"/>
          </w:tcPr>
          <w:p w:rsidR="003E022D" w:rsidRDefault="007D19D6">
            <w:pPr>
              <w:rPr>
                <w:bCs/>
                <w:noProof/>
              </w:rPr>
            </w:pPr>
            <w:r>
              <w:rPr>
                <w:noProof/>
              </w:rPr>
              <w:t>Ražošana no jebkuras pozīcijas nenoteiktas izcelsmes materiāliem.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71.10</w:t>
            </w:r>
          </w:p>
        </w:tc>
        <w:tc>
          <w:tcPr>
            <w:tcW w:w="7514" w:type="dxa"/>
          </w:tcPr>
          <w:p w:rsidR="003E022D" w:rsidRDefault="003E022D">
            <w:pPr>
              <w:rPr>
                <w:bCs/>
                <w:noProof/>
              </w:rPr>
            </w:pPr>
          </w:p>
        </w:tc>
      </w:tr>
      <w:tr w:rsidR="003E022D">
        <w:tblPrEx>
          <w:tblLook w:val="04A0" w:firstRow="1" w:lastRow="0" w:firstColumn="1" w:lastColumn="0" w:noHBand="0" w:noVBand="1"/>
        </w:tblPrEx>
        <w:tc>
          <w:tcPr>
            <w:tcW w:w="1985" w:type="dxa"/>
          </w:tcPr>
          <w:p w:rsidR="003E022D" w:rsidRDefault="007D19D6">
            <w:pPr>
              <w:rPr>
                <w:bCs/>
                <w:noProof/>
              </w:rPr>
            </w:pPr>
            <w:r>
              <w:rPr>
                <w:noProof/>
              </w:rPr>
              <w:t>- neapstrādāti:</w:t>
            </w:r>
          </w:p>
        </w:tc>
        <w:tc>
          <w:tcPr>
            <w:tcW w:w="7514" w:type="dxa"/>
          </w:tcPr>
          <w:p w:rsidR="003E022D" w:rsidRDefault="007D19D6">
            <w:pPr>
              <w:rPr>
                <w:bCs/>
                <w:noProof/>
              </w:rPr>
            </w:pPr>
            <w:r>
              <w:rPr>
                <w:i/>
                <w:noProof/>
              </w:rPr>
              <w:t>CTH</w:t>
            </w:r>
            <w:r>
              <w:rPr>
                <w:noProof/>
              </w:rPr>
              <w:t xml:space="preserve">, izņemot no pozīcijā 71.06, 71.08 un 71.10 klasificētiem nenoteiktas izcelsmes materiāliem; </w:t>
            </w:r>
          </w:p>
          <w:p w:rsidR="003E022D" w:rsidRDefault="007D19D6">
            <w:pPr>
              <w:rPr>
                <w:bCs/>
                <w:noProof/>
              </w:rPr>
            </w:pPr>
            <w:r>
              <w:rPr>
                <w:noProof/>
              </w:rPr>
              <w:t xml:space="preserve">elektrolītiska, termiska </w:t>
            </w:r>
            <w:r>
              <w:rPr>
                <w:noProof/>
              </w:rPr>
              <w:t>vai ķīmiska pozīcijā 71.06, 71.08 un 71.10 klasificēto nenoteiktas izcelsmes dārgmetālu atdalīšana;</w:t>
            </w:r>
          </w:p>
          <w:p w:rsidR="003E022D" w:rsidRDefault="007D19D6">
            <w:pPr>
              <w:rPr>
                <w:bCs/>
                <w:noProof/>
              </w:rPr>
            </w:pPr>
            <w:r>
              <w:rPr>
                <w:noProof/>
              </w:rPr>
              <w:t xml:space="preserve">vai </w:t>
            </w:r>
          </w:p>
          <w:p w:rsidR="003E022D" w:rsidRDefault="007D19D6">
            <w:pPr>
              <w:rPr>
                <w:bCs/>
                <w:noProof/>
              </w:rPr>
            </w:pPr>
            <w:r>
              <w:rPr>
                <w:noProof/>
              </w:rPr>
              <w:t>pozīcijas 71.06, 71.08 un 71.10 nenoteiktas izcelsmes dārgmetālu sakausēšana vai leģēšana savstarpēji vai ar parastajiem metāliem vai attīrīšana.</w:t>
            </w:r>
          </w:p>
        </w:tc>
      </w:tr>
      <w:tr w:rsidR="003E022D">
        <w:tblPrEx>
          <w:tblLook w:val="04A0" w:firstRow="1" w:lastRow="0" w:firstColumn="1" w:lastColumn="0" w:noHBand="0" w:noVBand="1"/>
        </w:tblPrEx>
        <w:tc>
          <w:tcPr>
            <w:tcW w:w="1985" w:type="dxa"/>
          </w:tcPr>
          <w:p w:rsidR="003E022D" w:rsidRDefault="007D19D6">
            <w:pPr>
              <w:rPr>
                <w:bCs/>
                <w:noProof/>
              </w:rPr>
            </w:pPr>
            <w:r>
              <w:rPr>
                <w:noProof/>
              </w:rPr>
              <w:t>- da</w:t>
            </w:r>
            <w:r>
              <w:rPr>
                <w:noProof/>
              </w:rPr>
              <w:t>ļēji apstrādāti vai pulverveidā:</w:t>
            </w:r>
          </w:p>
        </w:tc>
        <w:tc>
          <w:tcPr>
            <w:tcW w:w="7514" w:type="dxa"/>
          </w:tcPr>
          <w:p w:rsidR="003E022D" w:rsidRDefault="007D19D6">
            <w:pPr>
              <w:rPr>
                <w:bCs/>
                <w:noProof/>
              </w:rPr>
            </w:pPr>
            <w:r>
              <w:rPr>
                <w:noProof/>
              </w:rPr>
              <w:t>Ražošana no nenoteiktas izcelsmes neapstrādātiem dārgmetāliem.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71.11</w:t>
            </w:r>
          </w:p>
        </w:tc>
        <w:tc>
          <w:tcPr>
            <w:tcW w:w="7514" w:type="dxa"/>
          </w:tcPr>
          <w:p w:rsidR="003E022D" w:rsidRDefault="007D19D6">
            <w:pPr>
              <w:rPr>
                <w:bCs/>
                <w:noProof/>
              </w:rPr>
            </w:pPr>
            <w:r>
              <w:rPr>
                <w:noProof/>
              </w:rPr>
              <w:t>Ražošana no jebkuras pozīcijas nenoteiktas izcelsmes materiāliem.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71.12-71.18</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rPr>
          <w:trHeight w:val="456"/>
        </w:trPr>
        <w:tc>
          <w:tcPr>
            <w:tcW w:w="1985" w:type="dxa"/>
          </w:tcPr>
          <w:p w:rsidR="003E022D" w:rsidRDefault="007D19D6">
            <w:pPr>
              <w:rPr>
                <w:bCs/>
                <w:noProof/>
              </w:rPr>
            </w:pPr>
            <w:r>
              <w:rPr>
                <w:noProof/>
              </w:rPr>
              <w:t>XV SADAĻA</w:t>
            </w:r>
          </w:p>
        </w:tc>
        <w:tc>
          <w:tcPr>
            <w:tcW w:w="7514" w:type="dxa"/>
          </w:tcPr>
          <w:p w:rsidR="003E022D" w:rsidRDefault="007D19D6">
            <w:pPr>
              <w:rPr>
                <w:bCs/>
                <w:noProof/>
              </w:rPr>
            </w:pPr>
            <w:r>
              <w:rPr>
                <w:noProof/>
              </w:rPr>
              <w:t>PARASTIE METĀLI UN PARASTO METĀLU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72. nodaļa</w:t>
            </w:r>
          </w:p>
        </w:tc>
        <w:tc>
          <w:tcPr>
            <w:tcW w:w="7514" w:type="dxa"/>
          </w:tcPr>
          <w:p w:rsidR="003E022D" w:rsidRDefault="007D19D6">
            <w:pPr>
              <w:rPr>
                <w:bCs/>
                <w:noProof/>
              </w:rPr>
            </w:pPr>
            <w:r>
              <w:rPr>
                <w:noProof/>
              </w:rPr>
              <w:t>Dzelzs un tērauds</w:t>
            </w:r>
          </w:p>
        </w:tc>
      </w:tr>
      <w:tr w:rsidR="003E022D">
        <w:tblPrEx>
          <w:tblLook w:val="04A0" w:firstRow="1" w:lastRow="0" w:firstColumn="1" w:lastColumn="0" w:noHBand="0" w:noVBand="1"/>
        </w:tblPrEx>
        <w:trPr>
          <w:trHeight w:val="401"/>
        </w:trPr>
        <w:tc>
          <w:tcPr>
            <w:tcW w:w="1985" w:type="dxa"/>
            <w:shd w:val="clear" w:color="auto" w:fill="auto"/>
          </w:tcPr>
          <w:p w:rsidR="003E022D" w:rsidRDefault="007D19D6">
            <w:pPr>
              <w:rPr>
                <w:bCs/>
                <w:noProof/>
              </w:rPr>
            </w:pPr>
            <w:r>
              <w:rPr>
                <w:noProof/>
              </w:rPr>
              <w:t>72.01-72.06</w:t>
            </w:r>
          </w:p>
        </w:tc>
        <w:tc>
          <w:tcPr>
            <w:tcW w:w="7514" w:type="dxa"/>
            <w:shd w:val="clear" w:color="auto" w:fill="auto"/>
          </w:tcPr>
          <w:p w:rsidR="003E022D" w:rsidRDefault="007D19D6">
            <w:pPr>
              <w:rPr>
                <w:bCs/>
                <w:noProof/>
              </w:rPr>
            </w:pPr>
            <w:r>
              <w:rPr>
                <w:i/>
                <w:noProof/>
              </w:rPr>
              <w:t>CTH</w:t>
            </w:r>
          </w:p>
          <w:p w:rsidR="003E022D" w:rsidRDefault="003E022D">
            <w:pPr>
              <w:rPr>
                <w:bCs/>
                <w:noProof/>
              </w:rPr>
            </w:pPr>
          </w:p>
        </w:tc>
      </w:tr>
      <w:tr w:rsidR="003E022D">
        <w:tblPrEx>
          <w:tblLook w:val="04A0" w:firstRow="1" w:lastRow="0" w:firstColumn="1" w:lastColumn="0" w:noHBand="0" w:noVBand="1"/>
        </w:tblPrEx>
        <w:trPr>
          <w:trHeight w:val="401"/>
        </w:trPr>
        <w:tc>
          <w:tcPr>
            <w:tcW w:w="1985" w:type="dxa"/>
            <w:shd w:val="clear" w:color="auto" w:fill="auto"/>
          </w:tcPr>
          <w:p w:rsidR="003E022D" w:rsidRDefault="007D19D6">
            <w:pPr>
              <w:rPr>
                <w:bCs/>
                <w:noProof/>
              </w:rPr>
            </w:pPr>
            <w:r>
              <w:rPr>
                <w:noProof/>
              </w:rPr>
              <w:t>72.07</w:t>
            </w:r>
          </w:p>
        </w:tc>
        <w:tc>
          <w:tcPr>
            <w:tcW w:w="7514" w:type="dxa"/>
            <w:shd w:val="clear" w:color="auto" w:fill="auto"/>
          </w:tcPr>
          <w:p w:rsidR="003E022D" w:rsidRDefault="007D19D6">
            <w:pPr>
              <w:rPr>
                <w:bCs/>
                <w:noProof/>
              </w:rPr>
            </w:pPr>
            <w:r>
              <w:rPr>
                <w:i/>
                <w:noProof/>
              </w:rPr>
              <w:t>CTH</w:t>
            </w:r>
            <w:r>
              <w:rPr>
                <w:noProof/>
              </w:rPr>
              <w:t>, izņemot no nenoteiktas izcelsmes materiāliem pozīcijā 72</w:t>
            </w:r>
            <w:r>
              <w:rPr>
                <w:noProof/>
                <w:highlight w:val="yellow"/>
              </w:rPr>
              <w:t>.</w:t>
            </w:r>
            <w:r>
              <w:rPr>
                <w:noProof/>
              </w:rPr>
              <w:t>06.</w:t>
            </w:r>
          </w:p>
          <w:p w:rsidR="003E022D" w:rsidRDefault="003E022D">
            <w:pPr>
              <w:rPr>
                <w:bCs/>
                <w:noProof/>
              </w:rPr>
            </w:pPr>
          </w:p>
        </w:tc>
      </w:tr>
      <w:tr w:rsidR="003E022D">
        <w:tblPrEx>
          <w:tblLook w:val="04A0" w:firstRow="1" w:lastRow="0" w:firstColumn="1" w:lastColumn="0" w:noHBand="0" w:noVBand="1"/>
        </w:tblPrEx>
        <w:trPr>
          <w:trHeight w:val="401"/>
        </w:trPr>
        <w:tc>
          <w:tcPr>
            <w:tcW w:w="1985" w:type="dxa"/>
            <w:shd w:val="clear" w:color="auto" w:fill="auto"/>
          </w:tcPr>
          <w:p w:rsidR="003E022D" w:rsidRDefault="007D19D6">
            <w:pPr>
              <w:rPr>
                <w:bCs/>
                <w:noProof/>
              </w:rPr>
            </w:pPr>
            <w:r>
              <w:rPr>
                <w:noProof/>
              </w:rPr>
              <w:t>72.08-72.17</w:t>
            </w:r>
          </w:p>
        </w:tc>
        <w:tc>
          <w:tcPr>
            <w:tcW w:w="7514" w:type="dxa"/>
            <w:shd w:val="clear" w:color="auto" w:fill="auto"/>
          </w:tcPr>
          <w:p w:rsidR="003E022D" w:rsidRDefault="007D19D6">
            <w:pPr>
              <w:rPr>
                <w:bCs/>
                <w:noProof/>
              </w:rPr>
            </w:pPr>
            <w:r>
              <w:rPr>
                <w:i/>
                <w:noProof/>
              </w:rPr>
              <w:t>CTH</w:t>
            </w:r>
            <w:r>
              <w:rPr>
                <w:noProof/>
              </w:rPr>
              <w:t>, izņemot no nenoteiktas izcelsmes materiāliem pozīcijā 72.08–72.17.</w:t>
            </w:r>
          </w:p>
          <w:p w:rsidR="003E022D" w:rsidRDefault="003E022D">
            <w:pPr>
              <w:rPr>
                <w:bCs/>
                <w:noProof/>
              </w:rPr>
            </w:pPr>
          </w:p>
        </w:tc>
      </w:tr>
      <w:tr w:rsidR="003E022D">
        <w:tblPrEx>
          <w:tblLook w:val="04A0" w:firstRow="1" w:lastRow="0" w:firstColumn="1" w:lastColumn="0" w:noHBand="0" w:noVBand="1"/>
        </w:tblPrEx>
        <w:trPr>
          <w:trHeight w:val="401"/>
        </w:trPr>
        <w:tc>
          <w:tcPr>
            <w:tcW w:w="1985" w:type="dxa"/>
            <w:shd w:val="clear" w:color="auto" w:fill="auto"/>
          </w:tcPr>
          <w:p w:rsidR="003E022D" w:rsidRDefault="007D19D6">
            <w:pPr>
              <w:rPr>
                <w:bCs/>
                <w:noProof/>
              </w:rPr>
            </w:pPr>
            <w:r>
              <w:rPr>
                <w:noProof/>
              </w:rPr>
              <w:t>72.18</w:t>
            </w:r>
          </w:p>
        </w:tc>
        <w:tc>
          <w:tcPr>
            <w:tcW w:w="7514" w:type="dxa"/>
            <w:shd w:val="clear" w:color="auto" w:fill="auto"/>
          </w:tcPr>
          <w:p w:rsidR="003E022D" w:rsidRDefault="007D19D6">
            <w:pPr>
              <w:rPr>
                <w:bCs/>
                <w:noProof/>
              </w:rPr>
            </w:pPr>
            <w:r>
              <w:rPr>
                <w:i/>
                <w:noProof/>
              </w:rPr>
              <w:t>CTH</w:t>
            </w:r>
          </w:p>
          <w:p w:rsidR="003E022D" w:rsidRDefault="003E022D">
            <w:pPr>
              <w:rPr>
                <w:bCs/>
                <w:noProof/>
              </w:rPr>
            </w:pPr>
          </w:p>
        </w:tc>
      </w:tr>
      <w:tr w:rsidR="003E022D">
        <w:tblPrEx>
          <w:tblLook w:val="04A0" w:firstRow="1" w:lastRow="0" w:firstColumn="1" w:lastColumn="0" w:noHBand="0" w:noVBand="1"/>
        </w:tblPrEx>
        <w:trPr>
          <w:trHeight w:val="401"/>
        </w:trPr>
        <w:tc>
          <w:tcPr>
            <w:tcW w:w="1985" w:type="dxa"/>
            <w:shd w:val="clear" w:color="auto" w:fill="auto"/>
          </w:tcPr>
          <w:p w:rsidR="003E022D" w:rsidRDefault="007D19D6">
            <w:pPr>
              <w:rPr>
                <w:bCs/>
                <w:noProof/>
              </w:rPr>
            </w:pPr>
            <w:r>
              <w:rPr>
                <w:noProof/>
              </w:rPr>
              <w:t>72.19-72.23</w:t>
            </w:r>
          </w:p>
        </w:tc>
        <w:tc>
          <w:tcPr>
            <w:tcW w:w="7514" w:type="dxa"/>
            <w:shd w:val="clear" w:color="auto" w:fill="auto"/>
          </w:tcPr>
          <w:p w:rsidR="003E022D" w:rsidRDefault="007D19D6">
            <w:pPr>
              <w:rPr>
                <w:bCs/>
                <w:noProof/>
              </w:rPr>
            </w:pPr>
            <w:r>
              <w:rPr>
                <w:i/>
                <w:noProof/>
              </w:rPr>
              <w:t>CTH</w:t>
            </w:r>
            <w:r>
              <w:rPr>
                <w:noProof/>
              </w:rPr>
              <w:t xml:space="preserve">, izņemot no nenoteiktas </w:t>
            </w:r>
            <w:r>
              <w:rPr>
                <w:noProof/>
              </w:rPr>
              <w:t>izcelsmes materiāliem pozīcijā 72.19–72.23.</w:t>
            </w:r>
          </w:p>
          <w:p w:rsidR="003E022D" w:rsidRDefault="003E022D">
            <w:pPr>
              <w:rPr>
                <w:bCs/>
                <w:noProof/>
              </w:rPr>
            </w:pPr>
          </w:p>
        </w:tc>
      </w:tr>
      <w:tr w:rsidR="003E022D">
        <w:tblPrEx>
          <w:tblLook w:val="04A0" w:firstRow="1" w:lastRow="0" w:firstColumn="1" w:lastColumn="0" w:noHBand="0" w:noVBand="1"/>
        </w:tblPrEx>
        <w:trPr>
          <w:trHeight w:val="401"/>
        </w:trPr>
        <w:tc>
          <w:tcPr>
            <w:tcW w:w="1985" w:type="dxa"/>
            <w:shd w:val="clear" w:color="auto" w:fill="auto"/>
          </w:tcPr>
          <w:p w:rsidR="003E022D" w:rsidRDefault="007D19D6">
            <w:pPr>
              <w:rPr>
                <w:bCs/>
                <w:noProof/>
              </w:rPr>
            </w:pPr>
            <w:r>
              <w:rPr>
                <w:noProof/>
              </w:rPr>
              <w:t>72.24</w:t>
            </w:r>
          </w:p>
        </w:tc>
        <w:tc>
          <w:tcPr>
            <w:tcW w:w="7514" w:type="dxa"/>
            <w:shd w:val="clear" w:color="auto" w:fill="auto"/>
          </w:tcPr>
          <w:p w:rsidR="003E022D" w:rsidRDefault="007D19D6">
            <w:pPr>
              <w:rPr>
                <w:bCs/>
                <w:noProof/>
              </w:rPr>
            </w:pPr>
            <w:r>
              <w:rPr>
                <w:i/>
                <w:noProof/>
              </w:rPr>
              <w:t>CTH</w:t>
            </w:r>
          </w:p>
          <w:p w:rsidR="003E022D" w:rsidRDefault="003E022D">
            <w:pPr>
              <w:rPr>
                <w:bCs/>
                <w:noProof/>
              </w:rPr>
            </w:pPr>
          </w:p>
        </w:tc>
      </w:tr>
      <w:tr w:rsidR="003E022D">
        <w:tblPrEx>
          <w:tblLook w:val="04A0" w:firstRow="1" w:lastRow="0" w:firstColumn="1" w:lastColumn="0" w:noHBand="0" w:noVBand="1"/>
        </w:tblPrEx>
        <w:trPr>
          <w:trHeight w:val="401"/>
        </w:trPr>
        <w:tc>
          <w:tcPr>
            <w:tcW w:w="1985" w:type="dxa"/>
            <w:shd w:val="clear" w:color="auto" w:fill="auto"/>
          </w:tcPr>
          <w:p w:rsidR="003E022D" w:rsidRDefault="007D19D6">
            <w:pPr>
              <w:rPr>
                <w:bCs/>
                <w:noProof/>
              </w:rPr>
            </w:pPr>
            <w:r>
              <w:rPr>
                <w:noProof/>
              </w:rPr>
              <w:t>72.25-72.29</w:t>
            </w:r>
          </w:p>
        </w:tc>
        <w:tc>
          <w:tcPr>
            <w:tcW w:w="7514" w:type="dxa"/>
            <w:shd w:val="clear" w:color="auto" w:fill="auto"/>
          </w:tcPr>
          <w:p w:rsidR="003E022D" w:rsidRDefault="007D19D6">
            <w:pPr>
              <w:rPr>
                <w:bCs/>
                <w:noProof/>
              </w:rPr>
            </w:pPr>
            <w:r>
              <w:rPr>
                <w:i/>
                <w:noProof/>
              </w:rPr>
              <w:t>CTH</w:t>
            </w:r>
            <w:r>
              <w:rPr>
                <w:noProof/>
              </w:rPr>
              <w:t>, izņemot no nenoteiktas izcelsmes materiāliem pozīcijā 72.25–72.29.</w:t>
            </w:r>
          </w:p>
          <w:p w:rsidR="003E022D" w:rsidRDefault="003E022D">
            <w:pPr>
              <w:rPr>
                <w:bCs/>
                <w:noProof/>
              </w:rPr>
            </w:pPr>
          </w:p>
        </w:tc>
      </w:tr>
      <w:tr w:rsidR="003E022D">
        <w:tblPrEx>
          <w:tblLook w:val="04A0" w:firstRow="1" w:lastRow="0" w:firstColumn="1" w:lastColumn="0" w:noHBand="0" w:noVBand="1"/>
        </w:tblPrEx>
        <w:trPr>
          <w:trHeight w:val="401"/>
        </w:trPr>
        <w:tc>
          <w:tcPr>
            <w:tcW w:w="1985" w:type="dxa"/>
            <w:shd w:val="clear" w:color="auto" w:fill="auto"/>
          </w:tcPr>
          <w:p w:rsidR="003E022D" w:rsidRDefault="007D19D6">
            <w:pPr>
              <w:rPr>
                <w:b/>
                <w:noProof/>
              </w:rPr>
            </w:pPr>
            <w:r>
              <w:rPr>
                <w:b/>
                <w:noProof/>
              </w:rPr>
              <w:t>73. nodaļa</w:t>
            </w:r>
          </w:p>
        </w:tc>
        <w:tc>
          <w:tcPr>
            <w:tcW w:w="7514" w:type="dxa"/>
            <w:shd w:val="clear" w:color="auto" w:fill="auto"/>
          </w:tcPr>
          <w:p w:rsidR="003E022D" w:rsidRDefault="007D19D6">
            <w:pPr>
              <w:rPr>
                <w:b/>
                <w:noProof/>
              </w:rPr>
            </w:pPr>
            <w:r>
              <w:rPr>
                <w:b/>
                <w:noProof/>
              </w:rPr>
              <w:t>Dzelzs vai tērauda izstrādājumi</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7301.10</w:t>
            </w:r>
          </w:p>
        </w:tc>
        <w:tc>
          <w:tcPr>
            <w:tcW w:w="7514" w:type="dxa"/>
            <w:shd w:val="clear" w:color="auto" w:fill="auto"/>
          </w:tcPr>
          <w:p w:rsidR="003E022D" w:rsidRDefault="007D19D6">
            <w:pPr>
              <w:rPr>
                <w:bCs/>
                <w:noProof/>
              </w:rPr>
            </w:pPr>
            <w:r>
              <w:rPr>
                <w:i/>
                <w:iCs/>
                <w:noProof/>
              </w:rPr>
              <w:t>CTH</w:t>
            </w:r>
            <w:r>
              <w:rPr>
                <w:noProof/>
              </w:rPr>
              <w:t xml:space="preserve">, izņemot no nenoteiktas izcelsmes materiāliem pozīcijā </w:t>
            </w:r>
            <w:r>
              <w:rPr>
                <w:noProof/>
              </w:rPr>
              <w:t>72.08–72.17.</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7301.20</w:t>
            </w:r>
          </w:p>
        </w:tc>
        <w:tc>
          <w:tcPr>
            <w:tcW w:w="7514" w:type="dxa"/>
            <w:shd w:val="clear" w:color="auto" w:fill="auto"/>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73.02</w:t>
            </w:r>
          </w:p>
        </w:tc>
        <w:tc>
          <w:tcPr>
            <w:tcW w:w="7514" w:type="dxa"/>
            <w:shd w:val="clear" w:color="auto" w:fill="auto"/>
          </w:tcPr>
          <w:p w:rsidR="003E022D" w:rsidRDefault="007D19D6">
            <w:pPr>
              <w:rPr>
                <w:bCs/>
                <w:noProof/>
              </w:rPr>
            </w:pPr>
            <w:r>
              <w:rPr>
                <w:i/>
                <w:iCs/>
                <w:noProof/>
              </w:rPr>
              <w:t>CTH</w:t>
            </w:r>
            <w:r>
              <w:rPr>
                <w:noProof/>
              </w:rPr>
              <w:t>, izņemot no nenoteiktas izcelsmes materiāliem pozīcijā 72.08–72.17.</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73.03</w:t>
            </w:r>
          </w:p>
        </w:tc>
        <w:tc>
          <w:tcPr>
            <w:tcW w:w="7514" w:type="dxa"/>
            <w:shd w:val="clear" w:color="auto" w:fill="auto"/>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73.04-73.06</w:t>
            </w:r>
          </w:p>
        </w:tc>
        <w:tc>
          <w:tcPr>
            <w:tcW w:w="7514" w:type="dxa"/>
            <w:shd w:val="clear" w:color="auto" w:fill="auto"/>
          </w:tcPr>
          <w:p w:rsidR="003E022D" w:rsidRDefault="007D19D6">
            <w:pPr>
              <w:rPr>
                <w:bCs/>
                <w:noProof/>
              </w:rPr>
            </w:pPr>
            <w:r>
              <w:rPr>
                <w:i/>
                <w:iCs/>
                <w:noProof/>
              </w:rPr>
              <w:t>CC</w:t>
            </w:r>
            <w:r>
              <w:rPr>
                <w:noProof/>
              </w:rPr>
              <w:t>, izņemot no nenoteiktas izcelsmes materiāliem pozīcijā 72.13–72.17, 72.21–72.23 un 72.25–72.29.</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73.07</w:t>
            </w:r>
          </w:p>
        </w:tc>
        <w:tc>
          <w:tcPr>
            <w:tcW w:w="7514" w:type="dxa"/>
            <w:shd w:val="clear" w:color="auto" w:fill="auto"/>
          </w:tcPr>
          <w:p w:rsidR="003E022D" w:rsidRDefault="003E022D">
            <w:pPr>
              <w:rPr>
                <w:bCs/>
                <w:noProof/>
              </w:rPr>
            </w:pP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 xml:space="preserve">- </w:t>
            </w:r>
            <w:r>
              <w:rPr>
                <w:noProof/>
              </w:rPr>
              <w:t>savienotājelementi caurulēm no nerūsējošā tērauda:</w:t>
            </w:r>
          </w:p>
        </w:tc>
        <w:tc>
          <w:tcPr>
            <w:tcW w:w="7514" w:type="dxa"/>
            <w:shd w:val="clear" w:color="auto" w:fill="auto"/>
          </w:tcPr>
          <w:p w:rsidR="003E022D" w:rsidRDefault="007D19D6">
            <w:pPr>
              <w:rPr>
                <w:bCs/>
                <w:noProof/>
              </w:rPr>
            </w:pPr>
            <w:r>
              <w:rPr>
                <w:i/>
                <w:noProof/>
              </w:rPr>
              <w:t>CTH</w:t>
            </w:r>
            <w:r>
              <w:rPr>
                <w:noProof/>
              </w:rPr>
              <w:t xml:space="preserve">, izņemot no nenoteiktas izcelsmes sagatavēm, tomēr var izmantot nenoteiktas izcelsmes sagataves, ja to vērtība nepārsniedz 50 % no ražojuma </w:t>
            </w:r>
            <w:r>
              <w:rPr>
                <w:i/>
                <w:noProof/>
              </w:rPr>
              <w:t>EXW</w:t>
            </w:r>
            <w:r>
              <w:rPr>
                <w:noProof/>
              </w:rPr>
              <w:t xml:space="preserve"> cenas.</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 citādi:</w:t>
            </w:r>
          </w:p>
        </w:tc>
        <w:tc>
          <w:tcPr>
            <w:tcW w:w="7514" w:type="dxa"/>
            <w:shd w:val="clear" w:color="auto" w:fill="auto"/>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73.08</w:t>
            </w:r>
          </w:p>
        </w:tc>
        <w:tc>
          <w:tcPr>
            <w:tcW w:w="7514" w:type="dxa"/>
            <w:shd w:val="clear" w:color="auto" w:fill="auto"/>
          </w:tcPr>
          <w:p w:rsidR="003E022D" w:rsidRDefault="007D19D6">
            <w:pPr>
              <w:rPr>
                <w:bCs/>
                <w:noProof/>
              </w:rPr>
            </w:pPr>
            <w:r>
              <w:rPr>
                <w:i/>
                <w:noProof/>
              </w:rPr>
              <w:t>CTH</w:t>
            </w:r>
            <w:r>
              <w:rPr>
                <w:noProof/>
              </w:rPr>
              <w:t xml:space="preserve">, izņemot no nenoteiktas izcelsmes materiāliem apakšpozīcijā 7301.20. </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7309.00-7315.19</w:t>
            </w:r>
          </w:p>
        </w:tc>
        <w:tc>
          <w:tcPr>
            <w:tcW w:w="7514" w:type="dxa"/>
            <w:shd w:val="clear" w:color="auto" w:fill="auto"/>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7315.20</w:t>
            </w:r>
          </w:p>
        </w:tc>
        <w:tc>
          <w:tcPr>
            <w:tcW w:w="7514" w:type="dxa"/>
            <w:shd w:val="clear" w:color="auto" w:fill="auto"/>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7315.81-7326.90</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74. nodaļa </w:t>
            </w:r>
          </w:p>
        </w:tc>
        <w:tc>
          <w:tcPr>
            <w:tcW w:w="7514" w:type="dxa"/>
          </w:tcPr>
          <w:p w:rsidR="003E022D" w:rsidRDefault="007D19D6">
            <w:pPr>
              <w:rPr>
                <w:b/>
                <w:noProof/>
              </w:rPr>
            </w:pPr>
            <w:r>
              <w:rPr>
                <w:b/>
                <w:noProof/>
              </w:rPr>
              <w:t>Varš un tā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74.01-74.02</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Cs/>
                <w:noProof/>
              </w:rPr>
            </w:pPr>
            <w:r>
              <w:rPr>
                <w:noProof/>
              </w:rPr>
              <w:t>74.03</w:t>
            </w:r>
          </w:p>
        </w:tc>
        <w:tc>
          <w:tcPr>
            <w:tcW w:w="7514" w:type="dxa"/>
          </w:tcPr>
          <w:p w:rsidR="003E022D" w:rsidRDefault="007D19D6">
            <w:pPr>
              <w:rPr>
                <w:bCs/>
                <w:noProof/>
              </w:rPr>
            </w:pPr>
            <w:r>
              <w:rPr>
                <w:noProof/>
              </w:rPr>
              <w:t xml:space="preserve">Ražošana no jebkuras pozīcijas nenoteiktas </w:t>
            </w:r>
            <w:r>
              <w:rPr>
                <w:noProof/>
              </w:rPr>
              <w:t>izcelsmes materiāliem.</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74.04-74.07</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74.08</w:t>
            </w:r>
          </w:p>
        </w:tc>
        <w:tc>
          <w:tcPr>
            <w:tcW w:w="7514" w:type="dxa"/>
            <w:shd w:val="clear" w:color="auto" w:fill="auto"/>
          </w:tcPr>
          <w:p w:rsidR="003E022D" w:rsidRDefault="007D19D6">
            <w:pPr>
              <w:rPr>
                <w:bCs/>
                <w:noProof/>
              </w:rPr>
            </w:pPr>
            <w:r>
              <w:rPr>
                <w:i/>
                <w:iCs/>
                <w:noProof/>
              </w:rPr>
              <w:t>CTH</w:t>
            </w:r>
            <w:r>
              <w:rPr>
                <w:noProof/>
              </w:rPr>
              <w:t xml:space="preserve"> un </w:t>
            </w:r>
            <w:r>
              <w:rPr>
                <w:i/>
                <w:iCs/>
                <w:noProof/>
              </w:rPr>
              <w:t>MaxNOM</w:t>
            </w:r>
            <w:r>
              <w:rPr>
                <w:noProof/>
              </w:rPr>
              <w:t xml:space="preserve"> 50 % (</w:t>
            </w:r>
            <w:r>
              <w:rPr>
                <w:i/>
                <w:iCs/>
                <w:noProof/>
              </w:rPr>
              <w:t>EXW</w:t>
            </w:r>
            <w:r>
              <w:rPr>
                <w:noProof/>
              </w:rPr>
              <w:t>).</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74.09-74.19</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75. nodaļa</w:t>
            </w:r>
          </w:p>
        </w:tc>
        <w:tc>
          <w:tcPr>
            <w:tcW w:w="7514" w:type="dxa"/>
          </w:tcPr>
          <w:p w:rsidR="003E022D" w:rsidRDefault="007D19D6">
            <w:pPr>
              <w:rPr>
                <w:b/>
                <w:noProof/>
              </w:rPr>
            </w:pPr>
            <w:r>
              <w:rPr>
                <w:b/>
                <w:noProof/>
              </w:rPr>
              <w:t>Niķelis un tā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75.01</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Cs/>
                <w:noProof/>
              </w:rPr>
            </w:pPr>
            <w:r>
              <w:rPr>
                <w:noProof/>
              </w:rPr>
              <w:t>75.02</w:t>
            </w:r>
          </w:p>
        </w:tc>
        <w:tc>
          <w:tcPr>
            <w:tcW w:w="7514" w:type="dxa"/>
          </w:tcPr>
          <w:p w:rsidR="003E022D" w:rsidRDefault="007D19D6">
            <w:pPr>
              <w:rPr>
                <w:bCs/>
                <w:noProof/>
              </w:rPr>
            </w:pPr>
            <w:r>
              <w:rPr>
                <w:noProof/>
              </w:rPr>
              <w:t>Ražošana no jebkuras pozīcijas nenoteiktas izcelsmes materiāliem.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75.03-75.08</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76. nodaļa</w:t>
            </w:r>
          </w:p>
        </w:tc>
        <w:tc>
          <w:tcPr>
            <w:tcW w:w="7514" w:type="dxa"/>
          </w:tcPr>
          <w:p w:rsidR="003E022D" w:rsidRDefault="007D19D6">
            <w:pPr>
              <w:rPr>
                <w:b/>
                <w:noProof/>
              </w:rPr>
            </w:pPr>
            <w:r>
              <w:rPr>
                <w:b/>
                <w:noProof/>
              </w:rPr>
              <w:t xml:space="preserve">Alumīnijs un </w:t>
            </w:r>
            <w:r>
              <w:rPr>
                <w:b/>
                <w:noProof/>
              </w:rPr>
              <w:t>tā izstrādājumi</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76.01</w:t>
            </w:r>
          </w:p>
        </w:tc>
        <w:tc>
          <w:tcPr>
            <w:tcW w:w="7514" w:type="dxa"/>
            <w:shd w:val="clear" w:color="auto" w:fill="auto"/>
          </w:tcPr>
          <w:p w:rsidR="003E022D" w:rsidRDefault="007D19D6">
            <w:pPr>
              <w:rPr>
                <w:bCs/>
                <w:noProof/>
              </w:rPr>
            </w:pPr>
            <w:r>
              <w:rPr>
                <w:i/>
                <w:iCs/>
                <w:noProof/>
              </w:rPr>
              <w:t>CTH</w:t>
            </w:r>
            <w:r>
              <w:rPr>
                <w:noProof/>
              </w:rPr>
              <w:t xml:space="preserve"> un </w:t>
            </w:r>
            <w:r>
              <w:rPr>
                <w:i/>
                <w:iCs/>
                <w:noProof/>
              </w:rPr>
              <w:t>MaxNOM</w:t>
            </w:r>
            <w:r>
              <w:rPr>
                <w:noProof/>
              </w:rPr>
              <w:t xml:space="preserve"> 50 % (</w:t>
            </w:r>
            <w:r>
              <w:rPr>
                <w:i/>
                <w:iCs/>
                <w:noProof/>
              </w:rPr>
              <w:t>EXW</w:t>
            </w:r>
            <w:r>
              <w:rPr>
                <w:noProof/>
              </w:rPr>
              <w:t>).</w:t>
            </w:r>
          </w:p>
          <w:p w:rsidR="003E022D" w:rsidRDefault="007D19D6">
            <w:pPr>
              <w:rPr>
                <w:bCs/>
                <w:noProof/>
              </w:rPr>
            </w:pPr>
            <w:r>
              <w:rPr>
                <w:noProof/>
              </w:rPr>
              <w:t xml:space="preserve">vai </w:t>
            </w:r>
          </w:p>
          <w:p w:rsidR="003E022D" w:rsidRDefault="007D19D6">
            <w:pPr>
              <w:rPr>
                <w:bCs/>
                <w:noProof/>
              </w:rPr>
            </w:pPr>
            <w:r>
              <w:rPr>
                <w:noProof/>
              </w:rPr>
              <w:t>Termiska vai elektrolītiska apstrāde neleģēta alumīnija vai alumīnija atgriezumiem un lūžņiem.</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76.02</w:t>
            </w:r>
          </w:p>
        </w:tc>
        <w:tc>
          <w:tcPr>
            <w:tcW w:w="7514" w:type="dxa"/>
            <w:shd w:val="clear" w:color="auto" w:fill="auto"/>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shd w:val="clear" w:color="auto" w:fill="auto"/>
          </w:tcPr>
          <w:p w:rsidR="003E022D" w:rsidRDefault="007D19D6">
            <w:pPr>
              <w:rPr>
                <w:bCs/>
                <w:noProof/>
              </w:rPr>
            </w:pPr>
            <w:r>
              <w:rPr>
                <w:noProof/>
              </w:rPr>
              <w:t>76.03-76.16</w:t>
            </w:r>
          </w:p>
        </w:tc>
        <w:tc>
          <w:tcPr>
            <w:tcW w:w="7514" w:type="dxa"/>
            <w:shd w:val="clear" w:color="auto" w:fill="auto"/>
          </w:tcPr>
          <w:p w:rsidR="003E022D" w:rsidRDefault="007D19D6">
            <w:pPr>
              <w:rPr>
                <w:bCs/>
                <w:noProof/>
              </w:rPr>
            </w:pPr>
            <w:r>
              <w:rPr>
                <w:i/>
                <w:noProof/>
              </w:rPr>
              <w:t>CTH</w:t>
            </w:r>
            <w:r>
              <w:rPr>
                <w:noProof/>
              </w:rPr>
              <w:t xml:space="preserve"> un </w:t>
            </w:r>
            <w:r>
              <w:rPr>
                <w:i/>
                <w:noProof/>
              </w:rPr>
              <w:t>MaxNOM</w:t>
            </w:r>
            <w:r>
              <w:rPr>
                <w:noProof/>
              </w:rPr>
              <w:t xml:space="preserve"> 50 % (</w:t>
            </w:r>
            <w:r>
              <w:rPr>
                <w:i/>
                <w:noProof/>
              </w:rPr>
              <w:t>EXW</w:t>
            </w:r>
            <w:r>
              <w:rPr>
                <w:noProof/>
              </w:rPr>
              <w:t>)</w:t>
            </w:r>
            <w:r>
              <w:rPr>
                <w:rStyle w:val="FootnoteReference"/>
                <w:bCs/>
                <w:noProof/>
              </w:rPr>
              <w:footnoteReference w:id="90"/>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78. nodaļa</w:t>
            </w:r>
          </w:p>
        </w:tc>
        <w:tc>
          <w:tcPr>
            <w:tcW w:w="7514" w:type="dxa"/>
          </w:tcPr>
          <w:p w:rsidR="003E022D" w:rsidRDefault="007D19D6">
            <w:pPr>
              <w:rPr>
                <w:b/>
                <w:noProof/>
              </w:rPr>
            </w:pPr>
            <w:r>
              <w:rPr>
                <w:b/>
                <w:noProof/>
              </w:rPr>
              <w:t>Svins un tā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7801.10</w:t>
            </w:r>
          </w:p>
        </w:tc>
        <w:tc>
          <w:tcPr>
            <w:tcW w:w="7514" w:type="dxa"/>
          </w:tcPr>
          <w:p w:rsidR="003E022D" w:rsidRDefault="007D19D6">
            <w:pPr>
              <w:rPr>
                <w:bCs/>
                <w:noProof/>
              </w:rPr>
            </w:pPr>
            <w:r>
              <w:rPr>
                <w:noProof/>
              </w:rPr>
              <w:t xml:space="preserve">Ražošana </w:t>
            </w:r>
            <w:r>
              <w:rPr>
                <w:noProof/>
              </w:rPr>
              <w:t>no jebkuras pozīcijas nenoteiktas izcelsmes materiāliem.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7801.91-7806.00</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79. nodaļa</w:t>
            </w:r>
          </w:p>
        </w:tc>
        <w:tc>
          <w:tcPr>
            <w:tcW w:w="7514" w:type="dxa"/>
          </w:tcPr>
          <w:p w:rsidR="003E022D" w:rsidRDefault="007D19D6">
            <w:pPr>
              <w:rPr>
                <w:b/>
                <w:noProof/>
              </w:rPr>
            </w:pPr>
            <w:r>
              <w:rPr>
                <w:b/>
                <w:noProof/>
              </w:rPr>
              <w:t>Cinks un tā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79.01-79.07</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80. nodaļa </w:t>
            </w:r>
          </w:p>
        </w:tc>
        <w:tc>
          <w:tcPr>
            <w:tcW w:w="7514" w:type="dxa"/>
          </w:tcPr>
          <w:p w:rsidR="003E022D" w:rsidRDefault="007D19D6">
            <w:pPr>
              <w:rPr>
                <w:b/>
                <w:noProof/>
              </w:rPr>
            </w:pPr>
            <w:r>
              <w:rPr>
                <w:b/>
                <w:noProof/>
              </w:rPr>
              <w:t>Alva un tās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80.01-80.07</w:t>
            </w:r>
          </w:p>
        </w:tc>
        <w:tc>
          <w:tcPr>
            <w:tcW w:w="7514" w:type="dxa"/>
          </w:tcPr>
          <w:p w:rsidR="003E022D" w:rsidRDefault="007D19D6">
            <w:pPr>
              <w:rPr>
                <w:bCs/>
                <w:noProof/>
              </w:rPr>
            </w:pPr>
            <w:r>
              <w:rPr>
                <w:i/>
                <w:noProof/>
              </w:rPr>
              <w:t>CTH</w:t>
            </w:r>
          </w:p>
        </w:tc>
      </w:tr>
      <w:tr w:rsidR="003E022D">
        <w:tblPrEx>
          <w:tblLook w:val="04A0" w:firstRow="1" w:lastRow="0" w:firstColumn="1" w:lastColumn="0" w:noHBand="0" w:noVBand="1"/>
        </w:tblPrEx>
        <w:tc>
          <w:tcPr>
            <w:tcW w:w="1985" w:type="dxa"/>
          </w:tcPr>
          <w:p w:rsidR="003E022D" w:rsidRDefault="007D19D6">
            <w:pPr>
              <w:rPr>
                <w:b/>
                <w:noProof/>
              </w:rPr>
            </w:pPr>
            <w:r>
              <w:rPr>
                <w:b/>
                <w:noProof/>
              </w:rPr>
              <w:t>81. nodaļa</w:t>
            </w:r>
          </w:p>
        </w:tc>
        <w:tc>
          <w:tcPr>
            <w:tcW w:w="7514" w:type="dxa"/>
          </w:tcPr>
          <w:p w:rsidR="003E022D" w:rsidRDefault="007D19D6">
            <w:pPr>
              <w:rPr>
                <w:b/>
                <w:noProof/>
              </w:rPr>
            </w:pPr>
            <w:r>
              <w:rPr>
                <w:b/>
                <w:noProof/>
              </w:rPr>
              <w:t>Pārējie parastie metāli; metālkeramika; to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81.01-81.13</w:t>
            </w:r>
          </w:p>
        </w:tc>
        <w:tc>
          <w:tcPr>
            <w:tcW w:w="7514" w:type="dxa"/>
          </w:tcPr>
          <w:p w:rsidR="003E022D" w:rsidRDefault="007D19D6">
            <w:pPr>
              <w:rPr>
                <w:bCs/>
                <w:noProof/>
              </w:rPr>
            </w:pPr>
            <w:r>
              <w:rPr>
                <w:noProof/>
              </w:rPr>
              <w:t>Ražošana no jebkuras pozīcijas nenoteiktas izcelsmes materiāliem.</w:t>
            </w:r>
          </w:p>
        </w:tc>
      </w:tr>
      <w:tr w:rsidR="003E022D">
        <w:tblPrEx>
          <w:tblLook w:val="04A0" w:firstRow="1" w:lastRow="0" w:firstColumn="1" w:lastColumn="0" w:noHBand="0" w:noVBand="1"/>
        </w:tblPrEx>
        <w:tc>
          <w:tcPr>
            <w:tcW w:w="1985" w:type="dxa"/>
          </w:tcPr>
          <w:p w:rsidR="003E022D" w:rsidRDefault="007D19D6">
            <w:pPr>
              <w:rPr>
                <w:b/>
                <w:noProof/>
              </w:rPr>
            </w:pPr>
            <w:r>
              <w:rPr>
                <w:b/>
                <w:noProof/>
              </w:rPr>
              <w:t>82. nodaļa</w:t>
            </w:r>
          </w:p>
        </w:tc>
        <w:tc>
          <w:tcPr>
            <w:tcW w:w="7514" w:type="dxa"/>
          </w:tcPr>
          <w:p w:rsidR="003E022D" w:rsidRDefault="007D19D6">
            <w:pPr>
              <w:rPr>
                <w:b/>
                <w:noProof/>
              </w:rPr>
            </w:pPr>
            <w:r>
              <w:rPr>
                <w:b/>
                <w:noProof/>
              </w:rPr>
              <w:t>Parasto metālu instrumenti, darbarīki, griešanas rīki, karotes un dakšiņas; to daļas no parastajiem metāliem</w:t>
            </w:r>
          </w:p>
        </w:tc>
      </w:tr>
      <w:tr w:rsidR="003E022D">
        <w:tblPrEx>
          <w:tblLook w:val="04A0" w:firstRow="1" w:lastRow="0" w:firstColumn="1" w:lastColumn="0" w:noHBand="0" w:noVBand="1"/>
        </w:tblPrEx>
        <w:tc>
          <w:tcPr>
            <w:tcW w:w="1985" w:type="dxa"/>
          </w:tcPr>
          <w:p w:rsidR="003E022D" w:rsidRDefault="007D19D6">
            <w:pPr>
              <w:rPr>
                <w:bCs/>
                <w:noProof/>
              </w:rPr>
            </w:pPr>
            <w:r>
              <w:rPr>
                <w:noProof/>
              </w:rPr>
              <w:t>8201.10-8205.70</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8205.90</w:t>
            </w:r>
          </w:p>
        </w:tc>
        <w:tc>
          <w:tcPr>
            <w:tcW w:w="7514" w:type="dxa"/>
          </w:tcPr>
          <w:p w:rsidR="003E022D" w:rsidRDefault="007D19D6">
            <w:pPr>
              <w:rPr>
                <w:bCs/>
                <w:noProof/>
              </w:rPr>
            </w:pPr>
            <w:r>
              <w:rPr>
                <w:i/>
                <w:noProof/>
              </w:rPr>
              <w:t>CTH</w:t>
            </w:r>
            <w:r>
              <w:rPr>
                <w:noProof/>
              </w:rPr>
              <w:t xml:space="preserve">, tomēr komplektā var iekļaut pozīcijā 82.05 klasificētus nenoteiktas izcelsmes instrumentus, ja to kopējā vērtība nepārsniedz 15 % no komplekta </w:t>
            </w:r>
            <w:r>
              <w:rPr>
                <w:i/>
                <w:noProof/>
              </w:rPr>
              <w:t>EXW</w:t>
            </w:r>
            <w:r>
              <w:rPr>
                <w:noProof/>
              </w:rPr>
              <w:t xml:space="preserve"> cenas.</w:t>
            </w:r>
          </w:p>
        </w:tc>
      </w:tr>
      <w:tr w:rsidR="003E022D">
        <w:tblPrEx>
          <w:tblLook w:val="04A0" w:firstRow="1" w:lastRow="0" w:firstColumn="1" w:lastColumn="0" w:noHBand="0" w:noVBand="1"/>
        </w:tblPrEx>
        <w:tc>
          <w:tcPr>
            <w:tcW w:w="1985" w:type="dxa"/>
          </w:tcPr>
          <w:p w:rsidR="003E022D" w:rsidRDefault="007D19D6">
            <w:pPr>
              <w:rPr>
                <w:bCs/>
                <w:noProof/>
              </w:rPr>
            </w:pPr>
            <w:r>
              <w:rPr>
                <w:noProof/>
              </w:rPr>
              <w:t>82.06</w:t>
            </w:r>
          </w:p>
        </w:tc>
        <w:tc>
          <w:tcPr>
            <w:tcW w:w="7514" w:type="dxa"/>
          </w:tcPr>
          <w:p w:rsidR="003E022D" w:rsidRDefault="007D19D6">
            <w:pPr>
              <w:rPr>
                <w:bCs/>
                <w:noProof/>
              </w:rPr>
            </w:pPr>
            <w:r>
              <w:rPr>
                <w:i/>
                <w:noProof/>
              </w:rPr>
              <w:t>CTH</w:t>
            </w:r>
            <w:r>
              <w:rPr>
                <w:noProof/>
              </w:rPr>
              <w:t>, izņemot no nenoteiktas izcelsmes materiāliem pozīcijā 82.02–82.05. tomēr komplektā var i</w:t>
            </w:r>
            <w:r>
              <w:rPr>
                <w:noProof/>
              </w:rPr>
              <w:t xml:space="preserve">ekļaut pozīcijā 82.02–82.05 klasificētus nenoteiktas izcelsmes instrumentus, ja to kopējā vērtība nepārsniedz 15 % no komplekta </w:t>
            </w:r>
            <w:r>
              <w:rPr>
                <w:i/>
                <w:noProof/>
              </w:rPr>
              <w:t>EXW</w:t>
            </w:r>
            <w:r>
              <w:rPr>
                <w:noProof/>
              </w:rPr>
              <w:t xml:space="preserve"> cenas.</w:t>
            </w:r>
          </w:p>
        </w:tc>
      </w:tr>
      <w:tr w:rsidR="003E022D">
        <w:tblPrEx>
          <w:tblLook w:val="04A0" w:firstRow="1" w:lastRow="0" w:firstColumn="1" w:lastColumn="0" w:noHBand="0" w:noVBand="1"/>
        </w:tblPrEx>
        <w:tc>
          <w:tcPr>
            <w:tcW w:w="1985" w:type="dxa"/>
          </w:tcPr>
          <w:p w:rsidR="003E022D" w:rsidRDefault="007D19D6">
            <w:pPr>
              <w:rPr>
                <w:bCs/>
                <w:noProof/>
              </w:rPr>
            </w:pPr>
            <w:r>
              <w:rPr>
                <w:noProof/>
              </w:rPr>
              <w:t>82.07-82.15</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iCs/>
                <w:noProof/>
              </w:rPr>
              <w:t>MaxNOM</w:t>
            </w:r>
            <w:r>
              <w:rPr>
                <w:noProof/>
              </w:rPr>
              <w:t xml:space="preserve"> 50 % (</w:t>
            </w:r>
            <w:r>
              <w:rPr>
                <w:i/>
                <w:iCs/>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83. nodaļa</w:t>
            </w:r>
          </w:p>
        </w:tc>
        <w:tc>
          <w:tcPr>
            <w:tcW w:w="7514" w:type="dxa"/>
          </w:tcPr>
          <w:p w:rsidR="003E022D" w:rsidRDefault="007D19D6">
            <w:pPr>
              <w:rPr>
                <w:b/>
                <w:noProof/>
              </w:rPr>
            </w:pPr>
            <w:r>
              <w:rPr>
                <w:b/>
                <w:noProof/>
              </w:rPr>
              <w:t>Dažādi parasto metālu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83.01-83.11</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XVI SADAĻA</w:t>
            </w:r>
          </w:p>
        </w:tc>
        <w:tc>
          <w:tcPr>
            <w:tcW w:w="7514" w:type="dxa"/>
          </w:tcPr>
          <w:p w:rsidR="003E022D" w:rsidRDefault="007D19D6">
            <w:pPr>
              <w:rPr>
                <w:b/>
                <w:noProof/>
              </w:rPr>
            </w:pPr>
            <w:r>
              <w:rPr>
                <w:b/>
                <w:noProof/>
              </w:rPr>
              <w:t>MEHĀNISMI UN MEHĀNISKAS IERĪCES; ELEKTROIEKĀRTAS; TO DAĻAS; SKAŅU IERAKSTĪŠANAS UN ATSKAŅOŠANAS APARATŪRA, TELEVĪZIJAS ATTĒLA UN SKAŅAS IERAKSTĪŠANAS UN REPRODUCĒŠANAS APARATŪRA UN ŠĀDU IZSTRĀDĀJUMU DAĻAS UN PIEDERUMI</w:t>
            </w:r>
          </w:p>
        </w:tc>
      </w:tr>
      <w:tr w:rsidR="003E022D">
        <w:tblPrEx>
          <w:tblLook w:val="04A0" w:firstRow="1" w:lastRow="0" w:firstColumn="1" w:lastColumn="0" w:noHBand="0" w:noVBand="1"/>
        </w:tblPrEx>
        <w:tc>
          <w:tcPr>
            <w:tcW w:w="1985" w:type="dxa"/>
          </w:tcPr>
          <w:p w:rsidR="003E022D" w:rsidRDefault="007D19D6">
            <w:pPr>
              <w:rPr>
                <w:b/>
                <w:noProof/>
              </w:rPr>
            </w:pPr>
            <w:r>
              <w:rPr>
                <w:b/>
                <w:noProof/>
              </w:rPr>
              <w:t>84. nodaļa</w:t>
            </w:r>
          </w:p>
        </w:tc>
        <w:tc>
          <w:tcPr>
            <w:tcW w:w="7514" w:type="dxa"/>
          </w:tcPr>
          <w:p w:rsidR="003E022D" w:rsidRDefault="007D19D6">
            <w:pPr>
              <w:rPr>
                <w:b/>
                <w:noProof/>
              </w:rPr>
            </w:pPr>
            <w:r>
              <w:rPr>
                <w:b/>
                <w:noProof/>
              </w:rPr>
              <w:t xml:space="preserve">Kodolreaktori, katli, mehānismi un mehāniskas ierīces; to daļas </w:t>
            </w:r>
          </w:p>
        </w:tc>
      </w:tr>
      <w:tr w:rsidR="003E022D">
        <w:tblPrEx>
          <w:tblLook w:val="04A0" w:firstRow="1" w:lastRow="0" w:firstColumn="1" w:lastColumn="0" w:noHBand="0" w:noVBand="1"/>
        </w:tblPrEx>
        <w:trPr>
          <w:trHeight w:val="290"/>
        </w:trPr>
        <w:tc>
          <w:tcPr>
            <w:tcW w:w="1985" w:type="dxa"/>
          </w:tcPr>
          <w:p w:rsidR="003E022D" w:rsidRDefault="007D19D6">
            <w:pPr>
              <w:rPr>
                <w:bCs/>
                <w:noProof/>
              </w:rPr>
            </w:pPr>
            <w:r>
              <w:rPr>
                <w:noProof/>
              </w:rPr>
              <w:t>84.01-84.06</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84.07-84.08</w:t>
            </w:r>
          </w:p>
        </w:tc>
        <w:tc>
          <w:tcPr>
            <w:tcW w:w="7514" w:type="dxa"/>
          </w:tcPr>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84.09-84.12</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8413.11-8415.10</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8415.20</w:t>
            </w:r>
          </w:p>
        </w:tc>
        <w:tc>
          <w:tcPr>
            <w:tcW w:w="7514" w:type="dxa"/>
          </w:tcPr>
          <w:p w:rsidR="003E022D" w:rsidRDefault="007D19D6">
            <w:pPr>
              <w:rPr>
                <w:bCs/>
                <w:noProof/>
              </w:rPr>
            </w:pPr>
            <w:r>
              <w:rPr>
                <w:i/>
                <w:noProof/>
              </w:rPr>
              <w:t>CTH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8415.81-8415.90</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84.16-84.20</w:t>
            </w:r>
          </w:p>
        </w:tc>
        <w:tc>
          <w:tcPr>
            <w:tcW w:w="7514" w:type="dxa"/>
          </w:tcPr>
          <w:p w:rsidR="003E022D" w:rsidRDefault="007D19D6">
            <w:pPr>
              <w:rPr>
                <w:bCs/>
                <w:noProof/>
              </w:rPr>
            </w:pPr>
            <w:r>
              <w:rPr>
                <w:i/>
                <w:noProof/>
              </w:rPr>
              <w:t>CTH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84.21</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84.22-84.24</w:t>
            </w:r>
          </w:p>
        </w:tc>
        <w:tc>
          <w:tcPr>
            <w:tcW w:w="7514" w:type="dxa"/>
          </w:tcPr>
          <w:p w:rsidR="003E022D" w:rsidRDefault="007D19D6">
            <w:pPr>
              <w:rPr>
                <w:bCs/>
                <w:noProof/>
              </w:rPr>
            </w:pPr>
            <w:r>
              <w:rPr>
                <w:i/>
                <w:noProof/>
              </w:rPr>
              <w:t>CTH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84.25-84.30</w:t>
            </w:r>
          </w:p>
        </w:tc>
        <w:tc>
          <w:tcPr>
            <w:tcW w:w="7514" w:type="dxa"/>
          </w:tcPr>
          <w:p w:rsidR="003E022D" w:rsidRDefault="007D19D6">
            <w:pPr>
              <w:rPr>
                <w:bCs/>
                <w:noProof/>
              </w:rPr>
            </w:pPr>
            <w:r>
              <w:rPr>
                <w:i/>
                <w:noProof/>
              </w:rPr>
              <w:t>CTH</w:t>
            </w:r>
            <w:r>
              <w:rPr>
                <w:noProof/>
              </w:rPr>
              <w:t>, izņemot no nenoteiktas izcelsmes materiāliem pozīcijā 84.31;</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84.31-84.43</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84.44-84.47</w:t>
            </w:r>
          </w:p>
        </w:tc>
        <w:tc>
          <w:tcPr>
            <w:tcW w:w="7514" w:type="dxa"/>
          </w:tcPr>
          <w:p w:rsidR="003E022D" w:rsidRDefault="007D19D6">
            <w:pPr>
              <w:rPr>
                <w:bCs/>
                <w:noProof/>
              </w:rPr>
            </w:pPr>
            <w:r>
              <w:rPr>
                <w:i/>
                <w:noProof/>
              </w:rPr>
              <w:t>CTH</w:t>
            </w:r>
            <w:r>
              <w:rPr>
                <w:noProof/>
              </w:rPr>
              <w:t>, izņemot no nenoteiktas izcelsmes materiāliem pozīcijā 84.48;</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84.48-84.55</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84.56-84.65</w:t>
            </w:r>
          </w:p>
        </w:tc>
        <w:tc>
          <w:tcPr>
            <w:tcW w:w="7514" w:type="dxa"/>
          </w:tcPr>
          <w:p w:rsidR="003E022D" w:rsidRDefault="007D19D6">
            <w:pPr>
              <w:rPr>
                <w:bCs/>
                <w:noProof/>
              </w:rPr>
            </w:pPr>
            <w:r>
              <w:rPr>
                <w:i/>
                <w:noProof/>
              </w:rPr>
              <w:t>CTH</w:t>
            </w:r>
            <w:r>
              <w:rPr>
                <w:noProof/>
              </w:rPr>
              <w:t xml:space="preserve">, izņemot no nenoteiktas </w:t>
            </w:r>
            <w:r>
              <w:rPr>
                <w:noProof/>
              </w:rPr>
              <w:t>izcelsmes materiāliem pozīcijā 84.66;</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84.66-84.68</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84.70-84.72</w:t>
            </w:r>
          </w:p>
        </w:tc>
        <w:tc>
          <w:tcPr>
            <w:tcW w:w="7514" w:type="dxa"/>
          </w:tcPr>
          <w:p w:rsidR="003E022D" w:rsidRDefault="007D19D6">
            <w:pPr>
              <w:rPr>
                <w:bCs/>
                <w:noProof/>
              </w:rPr>
            </w:pPr>
            <w:r>
              <w:rPr>
                <w:i/>
                <w:noProof/>
              </w:rPr>
              <w:t>CTH</w:t>
            </w:r>
            <w:r>
              <w:rPr>
                <w:noProof/>
              </w:rPr>
              <w:t>, izņemot no nenoteiktas izcelsmes materiāliem pozīcijā 84.73;</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84.73-84.78</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8479.10-8479.40</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8479.50</w:t>
            </w:r>
          </w:p>
        </w:tc>
        <w:tc>
          <w:tcPr>
            <w:tcW w:w="7514" w:type="dxa"/>
          </w:tcPr>
          <w:p w:rsidR="003E022D" w:rsidRDefault="007D19D6">
            <w:pPr>
              <w:rPr>
                <w:bCs/>
                <w:noProof/>
              </w:rPr>
            </w:pPr>
            <w:r>
              <w:rPr>
                <w:i/>
                <w:noProof/>
              </w:rPr>
              <w:t>CTH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8479.60-8479.82</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8479.89</w:t>
            </w:r>
          </w:p>
        </w:tc>
        <w:tc>
          <w:tcPr>
            <w:tcW w:w="7514" w:type="dxa"/>
          </w:tcPr>
          <w:p w:rsidR="003E022D" w:rsidRDefault="007D19D6">
            <w:pPr>
              <w:rPr>
                <w:bCs/>
                <w:noProof/>
              </w:rPr>
            </w:pPr>
            <w:r>
              <w:rPr>
                <w:i/>
                <w:noProof/>
              </w:rPr>
              <w:t>CTH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8479.90</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84.80</w:t>
            </w:r>
          </w:p>
        </w:tc>
        <w:tc>
          <w:tcPr>
            <w:tcW w:w="7514" w:type="dxa"/>
          </w:tcPr>
          <w:p w:rsidR="003E022D" w:rsidRDefault="007D19D6">
            <w:pPr>
              <w:rPr>
                <w:bCs/>
                <w:noProof/>
              </w:rPr>
            </w:pPr>
            <w:r>
              <w:rPr>
                <w:i/>
                <w:noProof/>
              </w:rPr>
              <w:t>CTH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84.81</w:t>
            </w:r>
          </w:p>
        </w:tc>
        <w:tc>
          <w:tcPr>
            <w:tcW w:w="7514" w:type="dxa"/>
          </w:tcPr>
          <w:p w:rsidR="003E022D" w:rsidRDefault="007D19D6">
            <w:pPr>
              <w:rPr>
                <w:bCs/>
                <w:noProof/>
              </w:rPr>
            </w:pPr>
            <w:r>
              <w:rPr>
                <w:i/>
                <w:noProof/>
              </w:rPr>
              <w:t>CTSH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84.82-84.87</w:t>
            </w:r>
          </w:p>
        </w:tc>
        <w:tc>
          <w:tcPr>
            <w:tcW w:w="7514" w:type="dxa"/>
          </w:tcPr>
          <w:p w:rsidR="003E022D" w:rsidRDefault="007D19D6">
            <w:pPr>
              <w:rPr>
                <w:bCs/>
                <w:noProof/>
              </w:rPr>
            </w:pPr>
            <w:r>
              <w:rPr>
                <w:i/>
                <w:noProof/>
              </w:rPr>
              <w:t>CTH</w:t>
            </w:r>
          </w:p>
          <w:p w:rsidR="003E022D" w:rsidRDefault="007D19D6">
            <w:pPr>
              <w:rPr>
                <w:bCs/>
                <w:noProof/>
              </w:rPr>
            </w:pPr>
            <w:r>
              <w:rPr>
                <w:noProof/>
              </w:rPr>
              <w:t xml:space="preserve"> 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85. nodaļa</w:t>
            </w:r>
          </w:p>
        </w:tc>
        <w:tc>
          <w:tcPr>
            <w:tcW w:w="7514" w:type="dxa"/>
          </w:tcPr>
          <w:p w:rsidR="003E022D" w:rsidRDefault="007D19D6">
            <w:pPr>
              <w:rPr>
                <w:b/>
                <w:noProof/>
              </w:rPr>
            </w:pPr>
            <w:r>
              <w:rPr>
                <w:b/>
                <w:noProof/>
              </w:rPr>
              <w:t>Elektroierīces un elektroiekārtas un to detaļas; skaņu ierakstīšanas un atskaņošanas aparatūra, televīzijas attēla un skaņas ierakstīšanas un reproducēšanas aparatūra un šādu izstrādāj</w:t>
            </w:r>
            <w:r>
              <w:rPr>
                <w:b/>
                <w:noProof/>
              </w:rPr>
              <w:t>umu detaļas un piederumi</w:t>
            </w:r>
          </w:p>
        </w:tc>
      </w:tr>
      <w:tr w:rsidR="003E022D">
        <w:tblPrEx>
          <w:tblLook w:val="04A0" w:firstRow="1" w:lastRow="0" w:firstColumn="1" w:lastColumn="0" w:noHBand="0" w:noVBand="1"/>
        </w:tblPrEx>
        <w:tc>
          <w:tcPr>
            <w:tcW w:w="1985" w:type="dxa"/>
          </w:tcPr>
          <w:p w:rsidR="003E022D" w:rsidRDefault="007D19D6">
            <w:pPr>
              <w:rPr>
                <w:bCs/>
                <w:noProof/>
              </w:rPr>
            </w:pPr>
            <w:r>
              <w:rPr>
                <w:noProof/>
              </w:rPr>
              <w:t>85.01-85.02</w:t>
            </w:r>
          </w:p>
        </w:tc>
        <w:tc>
          <w:tcPr>
            <w:tcW w:w="7514" w:type="dxa"/>
          </w:tcPr>
          <w:p w:rsidR="003E022D" w:rsidRDefault="007D19D6">
            <w:pPr>
              <w:rPr>
                <w:bCs/>
                <w:noProof/>
              </w:rPr>
            </w:pPr>
            <w:r>
              <w:rPr>
                <w:i/>
                <w:noProof/>
              </w:rPr>
              <w:t>CTH</w:t>
            </w:r>
            <w:r>
              <w:rPr>
                <w:noProof/>
              </w:rPr>
              <w:t>, izņemot no nenoteiktas izcelsmes materiāliem pozīcijā 85.03;</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85.03-85.06</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85.07</w:t>
            </w:r>
          </w:p>
        </w:tc>
        <w:tc>
          <w:tcPr>
            <w:tcW w:w="7514" w:type="dxa"/>
          </w:tcPr>
          <w:p w:rsidR="003E022D" w:rsidRDefault="003E022D">
            <w:pPr>
              <w:rPr>
                <w:bCs/>
                <w:noProof/>
              </w:rPr>
            </w:pPr>
          </w:p>
        </w:tc>
      </w:tr>
      <w:tr w:rsidR="003E022D">
        <w:tblPrEx>
          <w:tblLook w:val="04A0" w:firstRow="1" w:lastRow="0" w:firstColumn="1" w:lastColumn="0" w:noHBand="0" w:noVBand="1"/>
        </w:tblPrEx>
        <w:tc>
          <w:tcPr>
            <w:tcW w:w="1985" w:type="dxa"/>
            <w:shd w:val="clear" w:color="auto" w:fill="FFFFFF" w:themeFill="background1"/>
          </w:tcPr>
          <w:p w:rsidR="003E022D" w:rsidRDefault="007D19D6">
            <w:pPr>
              <w:rPr>
                <w:bCs/>
                <w:noProof/>
              </w:rPr>
            </w:pPr>
            <w:r>
              <w:rPr>
                <w:noProof/>
              </w:rPr>
              <w:t xml:space="preserve">- Akumulatori, kuros ir viens vai vairāki baterijas elementi vai bateriju </w:t>
            </w:r>
            <w:r>
              <w:rPr>
                <w:noProof/>
              </w:rPr>
              <w:t>moduļi, un shēma to savstarpējai savienošanai,</w:t>
            </w:r>
          </w:p>
          <w:p w:rsidR="003E022D" w:rsidRDefault="007D19D6">
            <w:pPr>
              <w:rPr>
                <w:bCs/>
                <w:noProof/>
              </w:rPr>
            </w:pPr>
            <w:r>
              <w:rPr>
                <w:noProof/>
              </w:rPr>
              <w:t>bieži dēvēti par “bateriju komplektiem”, ko izmanto kā primāro elektroenerģijas avotu pozīcijā 87.02, 87.03 un 87.04 minēto transportlīdzekļu piedziņai</w:t>
            </w:r>
          </w:p>
        </w:tc>
        <w:tc>
          <w:tcPr>
            <w:tcW w:w="7514" w:type="dxa"/>
            <w:shd w:val="clear" w:color="auto" w:fill="FFFFFF" w:themeFill="background1"/>
          </w:tcPr>
          <w:p w:rsidR="003E022D" w:rsidRDefault="007D19D6">
            <w:pPr>
              <w:rPr>
                <w:bCs/>
                <w:noProof/>
              </w:rPr>
            </w:pPr>
            <w:r>
              <w:rPr>
                <w:i/>
                <w:noProof/>
              </w:rPr>
              <w:t>CTH</w:t>
            </w:r>
            <w:r>
              <w:rPr>
                <w:noProof/>
              </w:rPr>
              <w:t>, izņemot no nenoteiktas izcelsmes aktīvajiem katodmat</w:t>
            </w:r>
            <w:r>
              <w:rPr>
                <w:noProof/>
              </w:rPr>
              <w:t xml:space="preserve">eriāliem, </w:t>
            </w:r>
          </w:p>
          <w:p w:rsidR="003E022D" w:rsidRDefault="007D19D6">
            <w:pPr>
              <w:rPr>
                <w:bCs/>
                <w:noProof/>
              </w:rPr>
            </w:pPr>
            <w:r>
              <w:rPr>
                <w:noProof/>
              </w:rPr>
              <w:t>vai</w:t>
            </w:r>
          </w:p>
          <w:p w:rsidR="003E022D" w:rsidRDefault="007D19D6">
            <w:pPr>
              <w:rPr>
                <w:bCs/>
                <w:noProof/>
              </w:rPr>
            </w:pPr>
            <w:r>
              <w:rPr>
                <w:i/>
                <w:noProof/>
              </w:rPr>
              <w:t>MaxNOM</w:t>
            </w:r>
            <w:r>
              <w:rPr>
                <w:noProof/>
              </w:rPr>
              <w:t xml:space="preserve"> 30 % (</w:t>
            </w:r>
            <w:r>
              <w:rPr>
                <w:i/>
                <w:noProof/>
              </w:rPr>
              <w:t>EXW</w:t>
            </w:r>
            <w:r>
              <w:rPr>
                <w:noProof/>
              </w:rPr>
              <w:t>)</w:t>
            </w:r>
            <w:r>
              <w:rPr>
                <w:bCs/>
                <w:noProof/>
                <w:vertAlign w:val="superscript"/>
              </w:rPr>
              <w:footnoteReference w:id="91"/>
            </w:r>
            <w:r>
              <w:rPr>
                <w:noProof/>
              </w:rPr>
              <w:t>.</w:t>
            </w:r>
          </w:p>
        </w:tc>
      </w:tr>
      <w:tr w:rsidR="003E022D">
        <w:tblPrEx>
          <w:tblLook w:val="04A0" w:firstRow="1" w:lastRow="0" w:firstColumn="1" w:lastColumn="0" w:noHBand="0" w:noVBand="1"/>
        </w:tblPrEx>
        <w:tc>
          <w:tcPr>
            <w:tcW w:w="1985" w:type="dxa"/>
            <w:shd w:val="clear" w:color="auto" w:fill="FFFFFF" w:themeFill="background1"/>
          </w:tcPr>
          <w:p w:rsidR="003E022D" w:rsidRDefault="007D19D6">
            <w:pPr>
              <w:rPr>
                <w:bCs/>
                <w:noProof/>
              </w:rPr>
            </w:pPr>
            <w:r>
              <w:rPr>
                <w:noProof/>
              </w:rPr>
              <w:t>- baterijas elementi, baterijas moduļi un to daļas, kas paredzēti iebūvēšanai elektriskajā akumulatorā, ko izmanto kā primāro elektroenerģijas avotu pozīcijā 87.02, 87.03 un 87.04 minēto transportlīdzekļu piedziņai</w:t>
            </w:r>
          </w:p>
        </w:tc>
        <w:tc>
          <w:tcPr>
            <w:tcW w:w="7514" w:type="dxa"/>
            <w:shd w:val="clear" w:color="auto" w:fill="FFFFFF" w:themeFill="background1"/>
          </w:tcPr>
          <w:p w:rsidR="003E022D" w:rsidRDefault="007D19D6">
            <w:pPr>
              <w:rPr>
                <w:bCs/>
                <w:noProof/>
              </w:rPr>
            </w:pPr>
            <w:r>
              <w:rPr>
                <w:i/>
                <w:noProof/>
              </w:rPr>
              <w:t>CTH</w:t>
            </w:r>
            <w:r>
              <w:rPr>
                <w:noProof/>
              </w:rPr>
              <w:t xml:space="preserve">, izņemot no nenoteiktas izcelsmes aktīvajiem katodmateriāliem, </w:t>
            </w:r>
          </w:p>
          <w:p w:rsidR="003E022D" w:rsidRDefault="007D19D6">
            <w:pPr>
              <w:rPr>
                <w:bCs/>
                <w:noProof/>
              </w:rPr>
            </w:pPr>
            <w:r>
              <w:rPr>
                <w:noProof/>
              </w:rPr>
              <w:t>vai</w:t>
            </w:r>
          </w:p>
          <w:p w:rsidR="003E022D" w:rsidRDefault="007D19D6">
            <w:pPr>
              <w:rPr>
                <w:bCs/>
                <w:noProof/>
              </w:rPr>
            </w:pPr>
            <w:r>
              <w:rPr>
                <w:i/>
                <w:noProof/>
              </w:rPr>
              <w:t>MaxNOM</w:t>
            </w:r>
            <w:r>
              <w:rPr>
                <w:noProof/>
              </w:rPr>
              <w:t xml:space="preserve"> 35 % (</w:t>
            </w:r>
            <w:r>
              <w:rPr>
                <w:i/>
                <w:noProof/>
              </w:rPr>
              <w:t>EXW</w:t>
            </w:r>
            <w:r>
              <w:rPr>
                <w:noProof/>
              </w:rPr>
              <w:t>)</w:t>
            </w:r>
            <w:r>
              <w:rPr>
                <w:bCs/>
                <w:noProof/>
                <w:vertAlign w:val="superscript"/>
              </w:rPr>
              <w:footnoteReference w:id="92"/>
            </w:r>
          </w:p>
        </w:tc>
      </w:tr>
      <w:tr w:rsidR="003E022D">
        <w:tblPrEx>
          <w:tblLook w:val="04A0" w:firstRow="1" w:lastRow="0" w:firstColumn="1" w:lastColumn="0" w:noHBand="0" w:noVBand="1"/>
        </w:tblPrEx>
        <w:tc>
          <w:tcPr>
            <w:tcW w:w="1985" w:type="dxa"/>
            <w:shd w:val="clear" w:color="auto" w:fill="FFFFFF" w:themeFill="background1"/>
          </w:tcPr>
          <w:p w:rsidR="003E022D" w:rsidRDefault="007D19D6">
            <w:pPr>
              <w:rPr>
                <w:bCs/>
                <w:noProof/>
              </w:rPr>
            </w:pPr>
            <w:r>
              <w:rPr>
                <w:noProof/>
              </w:rPr>
              <w:t>- citādi:</w:t>
            </w:r>
          </w:p>
        </w:tc>
        <w:tc>
          <w:tcPr>
            <w:tcW w:w="7514" w:type="dxa"/>
            <w:shd w:val="clear" w:color="auto" w:fill="FFFFFF" w:themeFill="background1"/>
          </w:tcPr>
          <w:p w:rsidR="003E022D" w:rsidRDefault="007D19D6">
            <w:pPr>
              <w:rPr>
                <w:bCs/>
                <w:noProof/>
              </w:rPr>
            </w:pPr>
            <w:r>
              <w:rPr>
                <w:i/>
                <w:noProof/>
              </w:rPr>
              <w:t>CTH</w:t>
            </w:r>
            <w:r>
              <w:rPr>
                <w:noProof/>
              </w:rPr>
              <w:t xml:space="preserve">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85.08-85.18</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85.19-85.21</w:t>
            </w:r>
          </w:p>
        </w:tc>
        <w:tc>
          <w:tcPr>
            <w:tcW w:w="7514" w:type="dxa"/>
          </w:tcPr>
          <w:p w:rsidR="003E022D" w:rsidRDefault="007D19D6">
            <w:pPr>
              <w:rPr>
                <w:bCs/>
                <w:noProof/>
              </w:rPr>
            </w:pPr>
            <w:r>
              <w:rPr>
                <w:i/>
                <w:noProof/>
              </w:rPr>
              <w:t>CTH</w:t>
            </w:r>
            <w:r>
              <w:rPr>
                <w:noProof/>
              </w:rPr>
              <w:t>, izņemot no nenoteiktas izcelsmes materiāliem pozīcijā 85.22;</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85.22-85.23</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85.25-85.27</w:t>
            </w:r>
          </w:p>
        </w:tc>
        <w:tc>
          <w:tcPr>
            <w:tcW w:w="7514" w:type="dxa"/>
          </w:tcPr>
          <w:p w:rsidR="003E022D" w:rsidRDefault="007D19D6">
            <w:pPr>
              <w:rPr>
                <w:bCs/>
                <w:noProof/>
              </w:rPr>
            </w:pPr>
            <w:r>
              <w:rPr>
                <w:i/>
                <w:noProof/>
              </w:rPr>
              <w:t>CTH</w:t>
            </w:r>
            <w:r>
              <w:rPr>
                <w:noProof/>
              </w:rPr>
              <w:t>, izņemot no nenoteiktas izcelsmes materiāliem pozīcijā 85.29,</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85.28-85.34</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85.35-85.37</w:t>
            </w:r>
          </w:p>
        </w:tc>
        <w:tc>
          <w:tcPr>
            <w:tcW w:w="7514" w:type="dxa"/>
          </w:tcPr>
          <w:p w:rsidR="003E022D" w:rsidRDefault="007D19D6">
            <w:pPr>
              <w:rPr>
                <w:bCs/>
                <w:noProof/>
              </w:rPr>
            </w:pPr>
            <w:r>
              <w:rPr>
                <w:i/>
                <w:noProof/>
              </w:rPr>
              <w:t>CTH</w:t>
            </w:r>
            <w:r>
              <w:rPr>
                <w:noProof/>
              </w:rPr>
              <w:t xml:space="preserve">, izņemot no nenoteiktas izcelsmes </w:t>
            </w:r>
            <w:r>
              <w:rPr>
                <w:noProof/>
              </w:rPr>
              <w:t>materiāliem pozīcijā 85.38,</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8538.10-8541.90</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8542.31-8542.39</w:t>
            </w:r>
          </w:p>
        </w:tc>
        <w:tc>
          <w:tcPr>
            <w:tcW w:w="7514" w:type="dxa"/>
          </w:tcPr>
          <w:p w:rsidR="003E022D" w:rsidRDefault="007D19D6">
            <w:pPr>
              <w:rPr>
                <w:bCs/>
                <w:noProof/>
              </w:rPr>
            </w:pPr>
            <w:r>
              <w:rPr>
                <w:i/>
                <w:noProof/>
              </w:rPr>
              <w:t>CTH</w:t>
            </w:r>
          </w:p>
          <w:p w:rsidR="003E022D" w:rsidRDefault="007D19D6">
            <w:pPr>
              <w:rPr>
                <w:bCs/>
                <w:noProof/>
              </w:rPr>
            </w:pPr>
            <w:r>
              <w:rPr>
                <w:noProof/>
              </w:rPr>
              <w:t>notiek nenoteiktas izcelsmes materiālu difūzija</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8542.90-8543.90</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85.44-85.48</w:t>
            </w:r>
          </w:p>
        </w:tc>
        <w:tc>
          <w:tcPr>
            <w:tcW w:w="7514" w:type="dxa"/>
          </w:tcPr>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XVII SADAĻA</w:t>
            </w:r>
          </w:p>
        </w:tc>
        <w:tc>
          <w:tcPr>
            <w:tcW w:w="7514" w:type="dxa"/>
          </w:tcPr>
          <w:p w:rsidR="003E022D" w:rsidRDefault="007D19D6">
            <w:pPr>
              <w:rPr>
                <w:b/>
                <w:noProof/>
              </w:rPr>
            </w:pPr>
            <w:r>
              <w:rPr>
                <w:b/>
                <w:noProof/>
              </w:rPr>
              <w:t>SATIKSMES LĪDZEKĻI UN TO APRĪKOJUMS</w:t>
            </w:r>
          </w:p>
        </w:tc>
      </w:tr>
      <w:tr w:rsidR="003E022D">
        <w:tblPrEx>
          <w:tblLook w:val="04A0" w:firstRow="1" w:lastRow="0" w:firstColumn="1" w:lastColumn="0" w:noHBand="0" w:noVBand="1"/>
        </w:tblPrEx>
        <w:tc>
          <w:tcPr>
            <w:tcW w:w="1985" w:type="dxa"/>
          </w:tcPr>
          <w:p w:rsidR="003E022D" w:rsidRDefault="007D19D6">
            <w:pPr>
              <w:rPr>
                <w:b/>
                <w:noProof/>
              </w:rPr>
            </w:pPr>
            <w:r>
              <w:rPr>
                <w:b/>
                <w:noProof/>
              </w:rPr>
              <w:t>86. nodaļa</w:t>
            </w:r>
          </w:p>
        </w:tc>
        <w:tc>
          <w:tcPr>
            <w:tcW w:w="7514" w:type="dxa"/>
          </w:tcPr>
          <w:p w:rsidR="003E022D" w:rsidRDefault="007D19D6">
            <w:pPr>
              <w:rPr>
                <w:b/>
                <w:noProof/>
              </w:rPr>
            </w:pPr>
            <w:r>
              <w:rPr>
                <w:b/>
                <w:noProof/>
              </w:rPr>
              <w:t>Dzelzceļa vai tramvaju lokomotīves, ritošais sastāvs un to daļas; dzelzceļa vai tramvaju ceļa aprīkojums un tā daļas; visu veidu mehāniskās (ieskaitot elektromehāniskās) satiksmes si</w:t>
            </w:r>
            <w:r>
              <w:rPr>
                <w:b/>
                <w:noProof/>
              </w:rPr>
              <w:t>gnalizācijas iekārtas</w:t>
            </w:r>
          </w:p>
        </w:tc>
      </w:tr>
      <w:tr w:rsidR="003E022D">
        <w:tblPrEx>
          <w:tblLook w:val="04A0" w:firstRow="1" w:lastRow="0" w:firstColumn="1" w:lastColumn="0" w:noHBand="0" w:noVBand="1"/>
        </w:tblPrEx>
        <w:tc>
          <w:tcPr>
            <w:tcW w:w="1985" w:type="dxa"/>
          </w:tcPr>
          <w:p w:rsidR="003E022D" w:rsidRDefault="007D19D6">
            <w:pPr>
              <w:rPr>
                <w:bCs/>
                <w:noProof/>
              </w:rPr>
            </w:pPr>
            <w:r>
              <w:rPr>
                <w:noProof/>
              </w:rPr>
              <w:t>86.01-86.09</w:t>
            </w:r>
          </w:p>
        </w:tc>
        <w:tc>
          <w:tcPr>
            <w:tcW w:w="7514" w:type="dxa"/>
          </w:tcPr>
          <w:p w:rsidR="003E022D" w:rsidRDefault="007D19D6">
            <w:pPr>
              <w:rPr>
                <w:bCs/>
                <w:noProof/>
              </w:rPr>
            </w:pPr>
            <w:r>
              <w:rPr>
                <w:i/>
                <w:noProof/>
              </w:rPr>
              <w:t>CTH</w:t>
            </w:r>
            <w:r>
              <w:rPr>
                <w:noProof/>
              </w:rPr>
              <w:t>, izņemot no nenoteiktas izcelsmes materiāliem pozīcijā 86.07,</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87. nodaļa</w:t>
            </w:r>
          </w:p>
        </w:tc>
        <w:tc>
          <w:tcPr>
            <w:tcW w:w="7514" w:type="dxa"/>
          </w:tcPr>
          <w:p w:rsidR="003E022D" w:rsidRDefault="007D19D6">
            <w:pPr>
              <w:rPr>
                <w:b/>
                <w:noProof/>
              </w:rPr>
            </w:pPr>
            <w:r>
              <w:rPr>
                <w:b/>
                <w:noProof/>
              </w:rPr>
              <w:t>Transportlīdzekļi, izņemot dzelzceļa vai tramvaju ritošo sastāvu, un to daļas un piederumi</w:t>
            </w:r>
          </w:p>
        </w:tc>
      </w:tr>
      <w:tr w:rsidR="003E022D">
        <w:tblPrEx>
          <w:tblLook w:val="04A0" w:firstRow="1" w:lastRow="0" w:firstColumn="1" w:lastColumn="0" w:noHBand="0" w:noVBand="1"/>
        </w:tblPrEx>
        <w:tc>
          <w:tcPr>
            <w:tcW w:w="1985" w:type="dxa"/>
          </w:tcPr>
          <w:p w:rsidR="003E022D" w:rsidRDefault="007D19D6">
            <w:pPr>
              <w:rPr>
                <w:bCs/>
                <w:noProof/>
              </w:rPr>
            </w:pPr>
            <w:r>
              <w:rPr>
                <w:noProof/>
              </w:rPr>
              <w:t>87.01</w:t>
            </w:r>
          </w:p>
        </w:tc>
        <w:tc>
          <w:tcPr>
            <w:tcW w:w="7514" w:type="dxa"/>
          </w:tcPr>
          <w:p w:rsidR="003E022D" w:rsidRDefault="007D19D6">
            <w:pPr>
              <w:rPr>
                <w:bCs/>
                <w:noProof/>
              </w:rPr>
            </w:pPr>
            <w:r>
              <w:rPr>
                <w:i/>
                <w:noProof/>
              </w:rPr>
              <w:t>MaxNOM</w:t>
            </w:r>
            <w:r>
              <w:rPr>
                <w:noProof/>
              </w:rPr>
              <w:t xml:space="preserve"> 45 %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87.02-87.04</w:t>
            </w:r>
          </w:p>
        </w:tc>
        <w:tc>
          <w:tcPr>
            <w:tcW w:w="7514" w:type="dxa"/>
          </w:tcPr>
          <w:p w:rsidR="003E022D" w:rsidRDefault="003E022D">
            <w:pPr>
              <w:rPr>
                <w:bCs/>
                <w:noProof/>
              </w:rPr>
            </w:pPr>
          </w:p>
        </w:tc>
      </w:tr>
      <w:tr w:rsidR="003E022D">
        <w:tblPrEx>
          <w:tblLook w:val="04A0" w:firstRow="1" w:lastRow="0" w:firstColumn="1" w:lastColumn="0" w:noHBand="0" w:noVBand="1"/>
        </w:tblPrEx>
        <w:tc>
          <w:tcPr>
            <w:tcW w:w="1985" w:type="dxa"/>
          </w:tcPr>
          <w:p w:rsidR="003E022D" w:rsidRDefault="007D19D6">
            <w:pPr>
              <w:rPr>
                <w:bCs/>
                <w:noProof/>
              </w:rPr>
            </w:pPr>
            <w:r>
              <w:rPr>
                <w:noProof/>
              </w:rPr>
              <w:t>- transportlīdzekļi, kuru piedziņa ir gan atgriezeniskās virzes kustības iekšdedzes virzuļmotors, gan elektriskais motors un kurus var uzlādēt, pieslēdzot pie ārēja elektroenerģijas avota (“uzlādējams hibrīds”);</w:t>
            </w:r>
          </w:p>
          <w:p w:rsidR="003E022D" w:rsidRDefault="007D19D6">
            <w:pPr>
              <w:rPr>
                <w:bCs/>
                <w:noProof/>
              </w:rPr>
            </w:pPr>
            <w:r>
              <w:rPr>
                <w:noProof/>
              </w:rPr>
              <w:t xml:space="preserve"> - citādi transportlīdzekļi, k</w:t>
            </w:r>
            <w:r>
              <w:rPr>
                <w:noProof/>
              </w:rPr>
              <w:t>uru dzinējs ir vienīgi elektriskais motors</w:t>
            </w:r>
          </w:p>
        </w:tc>
        <w:tc>
          <w:tcPr>
            <w:tcW w:w="7514" w:type="dxa"/>
          </w:tcPr>
          <w:p w:rsidR="003E022D" w:rsidRDefault="007D19D6">
            <w:pPr>
              <w:rPr>
                <w:bCs/>
                <w:noProof/>
              </w:rPr>
            </w:pPr>
            <w:r>
              <w:rPr>
                <w:i/>
                <w:noProof/>
              </w:rPr>
              <w:t>MaxNOM</w:t>
            </w:r>
            <w:r>
              <w:rPr>
                <w:noProof/>
              </w:rPr>
              <w:t xml:space="preserve"> 45 % (</w:t>
            </w:r>
            <w:r>
              <w:rPr>
                <w:i/>
                <w:noProof/>
              </w:rPr>
              <w:t>EXW</w:t>
            </w:r>
            <w:r>
              <w:rPr>
                <w:noProof/>
              </w:rPr>
              <w:t>) un pozīcijā 85.07 minētajiem bateriju komplektiem, ko izmanto kā galveno elektroenerģijas avotu transportlīdzekļa piedziņai, jābūt noteiktas izcelsmes</w:t>
            </w:r>
            <w:r>
              <w:rPr>
                <w:bCs/>
                <w:noProof/>
                <w:vertAlign w:val="superscript"/>
              </w:rPr>
              <w:footnoteReference w:id="93"/>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 citādi:</w:t>
            </w:r>
          </w:p>
        </w:tc>
        <w:tc>
          <w:tcPr>
            <w:tcW w:w="7514" w:type="dxa"/>
          </w:tcPr>
          <w:p w:rsidR="003E022D" w:rsidRDefault="007D19D6">
            <w:pPr>
              <w:rPr>
                <w:bCs/>
                <w:noProof/>
              </w:rPr>
            </w:pPr>
            <w:r>
              <w:rPr>
                <w:i/>
                <w:noProof/>
              </w:rPr>
              <w:t>MaxNOM</w:t>
            </w:r>
            <w:r>
              <w:rPr>
                <w:noProof/>
              </w:rPr>
              <w:t xml:space="preserve"> 45 % (</w:t>
            </w:r>
            <w:r>
              <w:rPr>
                <w:i/>
                <w:noProof/>
              </w:rPr>
              <w:t>EXW</w:t>
            </w:r>
            <w:r>
              <w:rPr>
                <w:noProof/>
              </w:rPr>
              <w:t>)</w:t>
            </w:r>
            <w:r>
              <w:rPr>
                <w:rStyle w:val="FootnoteReference"/>
                <w:bCs/>
                <w:noProof/>
              </w:rPr>
              <w:footnoteReference w:id="94"/>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87.05-87.0</w:t>
            </w:r>
            <w:r>
              <w:rPr>
                <w:noProof/>
              </w:rPr>
              <w:t>7</w:t>
            </w:r>
          </w:p>
        </w:tc>
        <w:tc>
          <w:tcPr>
            <w:tcW w:w="7514" w:type="dxa"/>
          </w:tcPr>
          <w:p w:rsidR="003E022D" w:rsidRDefault="007D19D6">
            <w:pPr>
              <w:rPr>
                <w:bCs/>
                <w:noProof/>
              </w:rPr>
            </w:pPr>
            <w:r>
              <w:rPr>
                <w:i/>
                <w:noProof/>
              </w:rPr>
              <w:t>MaxNOM</w:t>
            </w:r>
            <w:r>
              <w:rPr>
                <w:noProof/>
              </w:rPr>
              <w:t xml:space="preserve"> 45 %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87.08-87.11</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87.12</w:t>
            </w:r>
          </w:p>
        </w:tc>
        <w:tc>
          <w:tcPr>
            <w:tcW w:w="7514" w:type="dxa"/>
          </w:tcPr>
          <w:p w:rsidR="003E022D" w:rsidRDefault="007D19D6">
            <w:pPr>
              <w:rPr>
                <w:bCs/>
                <w:noProof/>
              </w:rPr>
            </w:pPr>
            <w:r>
              <w:rPr>
                <w:i/>
                <w:noProof/>
              </w:rPr>
              <w:t>MaxNOM</w:t>
            </w:r>
            <w:r>
              <w:rPr>
                <w:noProof/>
              </w:rPr>
              <w:t xml:space="preserve"> 45 %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Cs/>
                <w:noProof/>
              </w:rPr>
            </w:pPr>
            <w:r>
              <w:rPr>
                <w:noProof/>
              </w:rPr>
              <w:t>87.13-87.16</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88. nodaļa</w:t>
            </w:r>
          </w:p>
        </w:tc>
        <w:tc>
          <w:tcPr>
            <w:tcW w:w="7514" w:type="dxa"/>
          </w:tcPr>
          <w:p w:rsidR="003E022D" w:rsidRDefault="007D19D6">
            <w:pPr>
              <w:rPr>
                <w:b/>
                <w:noProof/>
              </w:rPr>
            </w:pPr>
            <w:r>
              <w:rPr>
                <w:b/>
                <w:noProof/>
              </w:rPr>
              <w:t>Gaisa kuģi, kosmosa kuģi un to daļas</w:t>
            </w:r>
          </w:p>
        </w:tc>
      </w:tr>
      <w:tr w:rsidR="003E022D">
        <w:tblPrEx>
          <w:tblLook w:val="04A0" w:firstRow="1" w:lastRow="0" w:firstColumn="1" w:lastColumn="0" w:noHBand="0" w:noVBand="1"/>
        </w:tblPrEx>
        <w:tc>
          <w:tcPr>
            <w:tcW w:w="1985" w:type="dxa"/>
          </w:tcPr>
          <w:p w:rsidR="003E022D" w:rsidRDefault="007D19D6">
            <w:pPr>
              <w:rPr>
                <w:bCs/>
                <w:noProof/>
              </w:rPr>
            </w:pPr>
            <w:r>
              <w:rPr>
                <w:noProof/>
              </w:rPr>
              <w:t>88.01-88.05</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89. nodaļa</w:t>
            </w:r>
          </w:p>
        </w:tc>
        <w:tc>
          <w:tcPr>
            <w:tcW w:w="7514" w:type="dxa"/>
          </w:tcPr>
          <w:p w:rsidR="003E022D" w:rsidRDefault="007D19D6">
            <w:pPr>
              <w:rPr>
                <w:b/>
                <w:noProof/>
              </w:rPr>
            </w:pPr>
            <w:r>
              <w:rPr>
                <w:b/>
                <w:noProof/>
              </w:rPr>
              <w:t xml:space="preserve">Kuģi, laivas un citi </w:t>
            </w:r>
            <w:r>
              <w:rPr>
                <w:b/>
                <w:noProof/>
              </w:rPr>
              <w:t>peldlīdzekļi</w:t>
            </w:r>
          </w:p>
        </w:tc>
      </w:tr>
      <w:tr w:rsidR="003E022D">
        <w:tblPrEx>
          <w:tblLook w:val="04A0" w:firstRow="1" w:lastRow="0" w:firstColumn="1" w:lastColumn="0" w:noHBand="0" w:noVBand="1"/>
        </w:tblPrEx>
        <w:trPr>
          <w:trHeight w:val="313"/>
        </w:trPr>
        <w:tc>
          <w:tcPr>
            <w:tcW w:w="1985" w:type="dxa"/>
          </w:tcPr>
          <w:p w:rsidR="003E022D" w:rsidRDefault="007D19D6">
            <w:pPr>
              <w:rPr>
                <w:bCs/>
                <w:noProof/>
              </w:rPr>
            </w:pPr>
            <w:r>
              <w:rPr>
                <w:noProof/>
              </w:rPr>
              <w:t>89.01-89.08</w:t>
            </w:r>
          </w:p>
        </w:tc>
        <w:tc>
          <w:tcPr>
            <w:tcW w:w="7514" w:type="dxa"/>
          </w:tcPr>
          <w:p w:rsidR="003E022D" w:rsidRDefault="007D19D6">
            <w:pPr>
              <w:rPr>
                <w:bCs/>
                <w:noProof/>
              </w:rPr>
            </w:pPr>
            <w:r>
              <w:rPr>
                <w:noProof/>
              </w:rPr>
              <w:t>CC</w:t>
            </w:r>
          </w:p>
          <w:p w:rsidR="003E022D" w:rsidRDefault="007D19D6">
            <w:pPr>
              <w:rPr>
                <w:bCs/>
                <w:noProof/>
              </w:rPr>
            </w:pPr>
            <w:r>
              <w:rPr>
                <w:noProof/>
              </w:rPr>
              <w:t>vai</w:t>
            </w:r>
          </w:p>
          <w:p w:rsidR="003E022D" w:rsidRDefault="007D19D6">
            <w:pPr>
              <w:rPr>
                <w:bCs/>
                <w:noProof/>
              </w:rPr>
            </w:pPr>
            <w:r>
              <w:rPr>
                <w:i/>
                <w:noProof/>
              </w:rPr>
              <w:t>MaxNOM</w:t>
            </w:r>
            <w:r>
              <w:rPr>
                <w:noProof/>
              </w:rPr>
              <w:t xml:space="preserve"> 40 %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XVIII SADAĻA</w:t>
            </w:r>
          </w:p>
        </w:tc>
        <w:tc>
          <w:tcPr>
            <w:tcW w:w="7514" w:type="dxa"/>
          </w:tcPr>
          <w:p w:rsidR="003E022D" w:rsidRDefault="007D19D6">
            <w:pPr>
              <w:rPr>
                <w:b/>
                <w:noProof/>
              </w:rPr>
            </w:pPr>
            <w:r>
              <w:rPr>
                <w:b/>
                <w:noProof/>
              </w:rPr>
              <w:t xml:space="preserve">OPTISKĀS IERĪCES UN APARATŪRA, FOTO UN KINO IERĪCES UN APARATŪRA, MĒRIERĪCES UN KONTROLIERĪCES UN APARATŪRA, PRECĪZIJAS INSTRUMENTI UN IEKĀRTAS, MEDICĪNAS UN ĶIRURĢISKI INSTRUMENTI UN </w:t>
            </w:r>
            <w:r>
              <w:rPr>
                <w:b/>
                <w:noProof/>
              </w:rPr>
              <w:t>APARATŪRA; PULKSTEŅI; MŪZIKAS INSTRUMENTI; TO DAĻAS UN PIEDERUMI</w:t>
            </w:r>
          </w:p>
        </w:tc>
      </w:tr>
      <w:tr w:rsidR="003E022D">
        <w:tblPrEx>
          <w:tblLook w:val="04A0" w:firstRow="1" w:lastRow="0" w:firstColumn="1" w:lastColumn="0" w:noHBand="0" w:noVBand="1"/>
        </w:tblPrEx>
        <w:tc>
          <w:tcPr>
            <w:tcW w:w="1985" w:type="dxa"/>
          </w:tcPr>
          <w:p w:rsidR="003E022D" w:rsidRDefault="007D19D6">
            <w:pPr>
              <w:rPr>
                <w:b/>
                <w:noProof/>
              </w:rPr>
            </w:pPr>
            <w:r>
              <w:rPr>
                <w:b/>
                <w:noProof/>
              </w:rPr>
              <w:t>90. nodaļa</w:t>
            </w:r>
          </w:p>
        </w:tc>
        <w:tc>
          <w:tcPr>
            <w:tcW w:w="7514" w:type="dxa"/>
          </w:tcPr>
          <w:p w:rsidR="003E022D" w:rsidRDefault="007D19D6">
            <w:pPr>
              <w:rPr>
                <w:b/>
                <w:noProof/>
              </w:rPr>
            </w:pPr>
            <w:r>
              <w:rPr>
                <w:b/>
                <w:noProof/>
              </w:rPr>
              <w:t>Optiskās ierīces un aparatūra, foto un kino ierīces un aparatūra, mērierīces un kontrolierīces un aparatūra, precīzijas instrumenti un iekārtas, medicīnas un ķirurģiski instrument</w:t>
            </w:r>
            <w:r>
              <w:rPr>
                <w:b/>
                <w:noProof/>
              </w:rPr>
              <w:t>i un aparatūra; to daļas un piederumi</w:t>
            </w:r>
          </w:p>
        </w:tc>
      </w:tr>
      <w:tr w:rsidR="003E022D">
        <w:tblPrEx>
          <w:tblLook w:val="04A0" w:firstRow="1" w:lastRow="0" w:firstColumn="1" w:lastColumn="0" w:noHBand="0" w:noVBand="1"/>
        </w:tblPrEx>
        <w:tc>
          <w:tcPr>
            <w:tcW w:w="1985" w:type="dxa"/>
          </w:tcPr>
          <w:p w:rsidR="003E022D" w:rsidRDefault="007D19D6">
            <w:pPr>
              <w:rPr>
                <w:bCs/>
                <w:noProof/>
              </w:rPr>
            </w:pPr>
            <w:r>
              <w:rPr>
                <w:noProof/>
              </w:rPr>
              <w:t>9001.10-9001.40</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9001.50</w:t>
            </w:r>
          </w:p>
        </w:tc>
        <w:tc>
          <w:tcPr>
            <w:tcW w:w="7514" w:type="dxa"/>
          </w:tcPr>
          <w:p w:rsidR="003E022D" w:rsidRDefault="007D19D6">
            <w:pPr>
              <w:rPr>
                <w:bCs/>
                <w:noProof/>
              </w:rPr>
            </w:pPr>
            <w:r>
              <w:rPr>
                <w:i/>
                <w:noProof/>
              </w:rPr>
              <w:t>CTH</w:t>
            </w:r>
          </w:p>
          <w:p w:rsidR="003E022D" w:rsidRDefault="007D19D6">
            <w:pPr>
              <w:rPr>
                <w:bCs/>
                <w:noProof/>
              </w:rPr>
            </w:pPr>
            <w:r>
              <w:rPr>
                <w:noProof/>
              </w:rPr>
              <w:t>lēcas sagataves virsmas apstrāde, iegūstot pabeigtu oftalmoloģisku lēcu, ko paredzēts ielikt brillēs, ar optisko koriģējošo jaudu;</w:t>
            </w:r>
          </w:p>
          <w:p w:rsidR="003E022D" w:rsidRDefault="007D19D6">
            <w:pPr>
              <w:rPr>
                <w:bCs/>
                <w:noProof/>
              </w:rPr>
            </w:pPr>
            <w:r>
              <w:rPr>
                <w:noProof/>
              </w:rPr>
              <w:t xml:space="preserve">lēcas pārklāšana attiecīgā apstrādē, lai uzlabotu redzamību un nodrošinātu valkātāja aizsardzību; </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9001.90-9033.00</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91. nodaļa</w:t>
            </w:r>
          </w:p>
        </w:tc>
        <w:tc>
          <w:tcPr>
            <w:tcW w:w="7514" w:type="dxa"/>
          </w:tcPr>
          <w:p w:rsidR="003E022D" w:rsidRDefault="007D19D6">
            <w:pPr>
              <w:rPr>
                <w:b/>
                <w:noProof/>
              </w:rPr>
            </w:pPr>
            <w:r>
              <w:rPr>
                <w:b/>
                <w:noProof/>
              </w:rPr>
              <w:t>Pulksteņi un to daļas</w:t>
            </w:r>
          </w:p>
        </w:tc>
      </w:tr>
      <w:tr w:rsidR="003E022D">
        <w:tblPrEx>
          <w:tblLook w:val="04A0" w:firstRow="1" w:lastRow="0" w:firstColumn="1" w:lastColumn="0" w:noHBand="0" w:noVBand="1"/>
        </w:tblPrEx>
        <w:tc>
          <w:tcPr>
            <w:tcW w:w="1985" w:type="dxa"/>
          </w:tcPr>
          <w:p w:rsidR="003E022D" w:rsidRDefault="007D19D6">
            <w:pPr>
              <w:rPr>
                <w:bCs/>
                <w:noProof/>
              </w:rPr>
            </w:pPr>
            <w:r>
              <w:rPr>
                <w:noProof/>
              </w:rPr>
              <w:t>91.01-91.14</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92. nodaļa</w:t>
            </w:r>
          </w:p>
        </w:tc>
        <w:tc>
          <w:tcPr>
            <w:tcW w:w="7514" w:type="dxa"/>
          </w:tcPr>
          <w:p w:rsidR="003E022D" w:rsidRDefault="007D19D6">
            <w:pPr>
              <w:rPr>
                <w:b/>
                <w:noProof/>
              </w:rPr>
            </w:pPr>
            <w:r>
              <w:rPr>
                <w:b/>
                <w:noProof/>
              </w:rPr>
              <w:t>Mūzikas instrumenti; to daļas un piederumi</w:t>
            </w:r>
          </w:p>
        </w:tc>
      </w:tr>
      <w:tr w:rsidR="003E022D">
        <w:tblPrEx>
          <w:tblLook w:val="04A0" w:firstRow="1" w:lastRow="0" w:firstColumn="1" w:lastColumn="0" w:noHBand="0" w:noVBand="1"/>
        </w:tblPrEx>
        <w:tc>
          <w:tcPr>
            <w:tcW w:w="1985" w:type="dxa"/>
          </w:tcPr>
          <w:p w:rsidR="003E022D" w:rsidRDefault="007D19D6">
            <w:pPr>
              <w:rPr>
                <w:bCs/>
                <w:noProof/>
              </w:rPr>
            </w:pPr>
            <w:r>
              <w:rPr>
                <w:noProof/>
              </w:rPr>
              <w:t>92.01-92.09</w:t>
            </w:r>
          </w:p>
        </w:tc>
        <w:tc>
          <w:tcPr>
            <w:tcW w:w="7514" w:type="dxa"/>
          </w:tcPr>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XIX SADAĻA</w:t>
            </w:r>
          </w:p>
        </w:tc>
        <w:tc>
          <w:tcPr>
            <w:tcW w:w="7514" w:type="dxa"/>
          </w:tcPr>
          <w:p w:rsidR="003E022D" w:rsidRDefault="007D19D6">
            <w:pPr>
              <w:rPr>
                <w:b/>
                <w:noProof/>
              </w:rPr>
            </w:pPr>
            <w:r>
              <w:rPr>
                <w:b/>
                <w:noProof/>
              </w:rPr>
              <w:t>IEROČI UN MUNĪCIJA; TO DAĻAS UN PIEDERUMI</w:t>
            </w:r>
          </w:p>
        </w:tc>
      </w:tr>
      <w:tr w:rsidR="003E022D">
        <w:tblPrEx>
          <w:tblLook w:val="04A0" w:firstRow="1" w:lastRow="0" w:firstColumn="1" w:lastColumn="0" w:noHBand="0" w:noVBand="1"/>
        </w:tblPrEx>
        <w:tc>
          <w:tcPr>
            <w:tcW w:w="1985" w:type="dxa"/>
          </w:tcPr>
          <w:p w:rsidR="003E022D" w:rsidRDefault="007D19D6">
            <w:pPr>
              <w:rPr>
                <w:b/>
                <w:noProof/>
              </w:rPr>
            </w:pPr>
            <w:r>
              <w:rPr>
                <w:b/>
                <w:noProof/>
              </w:rPr>
              <w:t>93. nodaļa</w:t>
            </w:r>
          </w:p>
        </w:tc>
        <w:tc>
          <w:tcPr>
            <w:tcW w:w="7514" w:type="dxa"/>
          </w:tcPr>
          <w:p w:rsidR="003E022D" w:rsidRDefault="007D19D6">
            <w:pPr>
              <w:rPr>
                <w:b/>
                <w:noProof/>
              </w:rPr>
            </w:pPr>
            <w:r>
              <w:rPr>
                <w:b/>
                <w:noProof/>
              </w:rPr>
              <w:t>Ieroči un munīcija; to daļas un piederumi</w:t>
            </w:r>
          </w:p>
        </w:tc>
      </w:tr>
      <w:tr w:rsidR="003E022D">
        <w:tblPrEx>
          <w:tblLook w:val="04A0" w:firstRow="1" w:lastRow="0" w:firstColumn="1" w:lastColumn="0" w:noHBand="0" w:noVBand="1"/>
        </w:tblPrEx>
        <w:tc>
          <w:tcPr>
            <w:tcW w:w="1985" w:type="dxa"/>
          </w:tcPr>
          <w:p w:rsidR="003E022D" w:rsidRDefault="007D19D6">
            <w:pPr>
              <w:rPr>
                <w:bCs/>
                <w:noProof/>
              </w:rPr>
            </w:pPr>
            <w:r>
              <w:rPr>
                <w:noProof/>
              </w:rPr>
              <w:t>93.01-93.07</w:t>
            </w:r>
          </w:p>
        </w:tc>
        <w:tc>
          <w:tcPr>
            <w:tcW w:w="7514" w:type="dxa"/>
          </w:tcPr>
          <w:p w:rsidR="003E022D" w:rsidRDefault="007D19D6">
            <w:pPr>
              <w:rPr>
                <w:bCs/>
                <w:noProof/>
              </w:rPr>
            </w:pPr>
            <w:r>
              <w:rPr>
                <w:i/>
                <w:noProof/>
              </w:rPr>
              <w:t>MaxNOM</w:t>
            </w:r>
            <w:r>
              <w:rPr>
                <w:noProof/>
              </w:rPr>
              <w:t xml:space="preserve"> 50 % (</w:t>
            </w:r>
            <w:r>
              <w:rPr>
                <w:i/>
                <w:noProof/>
              </w:rPr>
              <w:t>EXW</w:t>
            </w:r>
            <w:r>
              <w:rPr>
                <w:noProof/>
              </w:rPr>
              <w:t>).</w:t>
            </w:r>
          </w:p>
        </w:tc>
      </w:tr>
      <w:tr w:rsidR="003E022D">
        <w:tblPrEx>
          <w:tblLook w:val="04A0" w:firstRow="1" w:lastRow="0" w:firstColumn="1" w:lastColumn="0" w:noHBand="0" w:noVBand="1"/>
        </w:tblPrEx>
        <w:tc>
          <w:tcPr>
            <w:tcW w:w="1985" w:type="dxa"/>
          </w:tcPr>
          <w:p w:rsidR="003E022D" w:rsidRDefault="007D19D6">
            <w:pPr>
              <w:rPr>
                <w:b/>
                <w:noProof/>
              </w:rPr>
            </w:pPr>
            <w:r>
              <w:rPr>
                <w:b/>
                <w:noProof/>
              </w:rPr>
              <w:t>XX SADAĻA</w:t>
            </w:r>
          </w:p>
        </w:tc>
        <w:tc>
          <w:tcPr>
            <w:tcW w:w="7514" w:type="dxa"/>
          </w:tcPr>
          <w:p w:rsidR="003E022D" w:rsidRDefault="007D19D6">
            <w:pPr>
              <w:rPr>
                <w:b/>
                <w:noProof/>
              </w:rPr>
            </w:pPr>
            <w:r>
              <w:rPr>
                <w:b/>
                <w:noProof/>
              </w:rPr>
              <w:t>DAŽĀDI IZSTRĀDĀJUMI</w:t>
            </w:r>
          </w:p>
        </w:tc>
      </w:tr>
      <w:tr w:rsidR="003E022D">
        <w:tblPrEx>
          <w:tblLook w:val="04A0" w:firstRow="1" w:lastRow="0" w:firstColumn="1" w:lastColumn="0" w:noHBand="0" w:noVBand="1"/>
        </w:tblPrEx>
        <w:tc>
          <w:tcPr>
            <w:tcW w:w="1985" w:type="dxa"/>
          </w:tcPr>
          <w:p w:rsidR="003E022D" w:rsidRDefault="007D19D6">
            <w:pPr>
              <w:rPr>
                <w:b/>
                <w:noProof/>
              </w:rPr>
            </w:pPr>
            <w:r>
              <w:rPr>
                <w:b/>
                <w:noProof/>
              </w:rPr>
              <w:t xml:space="preserve">94. </w:t>
            </w:r>
            <w:r>
              <w:rPr>
                <w:b/>
                <w:noProof/>
              </w:rPr>
              <w:t>nodaļa</w:t>
            </w:r>
          </w:p>
        </w:tc>
        <w:tc>
          <w:tcPr>
            <w:tcW w:w="7514" w:type="dxa"/>
          </w:tcPr>
          <w:p w:rsidR="003E022D" w:rsidRDefault="007D19D6">
            <w:pPr>
              <w:rPr>
                <w:b/>
                <w:noProof/>
              </w:rPr>
            </w:pPr>
            <w:r>
              <w:rPr>
                <w:b/>
                <w:noProof/>
              </w:rPr>
              <w:t>Mēbeles; gultas piederumi, matrači, matraču pamati, polsterējumi un tamlīdzīgi pildīti mājas aprīkojuma izstrādājumi; lampas un apgaismes piederumi, kas citur nav minēti un iekļauti; izgaismotas izkārtnes, tablo un tamlīdzīgi izstrādājumi; saliekamā</w:t>
            </w:r>
            <w:r>
              <w:rPr>
                <w:b/>
                <w:noProof/>
              </w:rPr>
              <w:t>s būvkonstrukcijas</w:t>
            </w:r>
          </w:p>
        </w:tc>
      </w:tr>
      <w:tr w:rsidR="003E022D">
        <w:tblPrEx>
          <w:tblLook w:val="04A0" w:firstRow="1" w:lastRow="0" w:firstColumn="1" w:lastColumn="0" w:noHBand="0" w:noVBand="1"/>
        </w:tblPrEx>
        <w:tc>
          <w:tcPr>
            <w:tcW w:w="1985" w:type="dxa"/>
          </w:tcPr>
          <w:p w:rsidR="003E022D" w:rsidRDefault="007D19D6">
            <w:pPr>
              <w:rPr>
                <w:bCs/>
                <w:noProof/>
              </w:rPr>
            </w:pPr>
            <w:r>
              <w:rPr>
                <w:noProof/>
              </w:rPr>
              <w:t>94.01-94.06</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95. nodaļa</w:t>
            </w:r>
          </w:p>
        </w:tc>
        <w:tc>
          <w:tcPr>
            <w:tcW w:w="7514" w:type="dxa"/>
          </w:tcPr>
          <w:p w:rsidR="003E022D" w:rsidRDefault="007D19D6">
            <w:pPr>
              <w:rPr>
                <w:b/>
                <w:noProof/>
              </w:rPr>
            </w:pPr>
            <w:r>
              <w:rPr>
                <w:b/>
                <w:noProof/>
              </w:rPr>
              <w:t>Rotaļlietas, spēles un sporta piederumi; to daļas un piederumi</w:t>
            </w:r>
          </w:p>
        </w:tc>
      </w:tr>
      <w:tr w:rsidR="003E022D">
        <w:tblPrEx>
          <w:tblLook w:val="04A0" w:firstRow="1" w:lastRow="0" w:firstColumn="1" w:lastColumn="0" w:noHBand="0" w:noVBand="1"/>
        </w:tblPrEx>
        <w:tc>
          <w:tcPr>
            <w:tcW w:w="1985" w:type="dxa"/>
          </w:tcPr>
          <w:p w:rsidR="003E022D" w:rsidRDefault="007D19D6">
            <w:pPr>
              <w:rPr>
                <w:bCs/>
                <w:noProof/>
              </w:rPr>
            </w:pPr>
            <w:r>
              <w:rPr>
                <w:noProof/>
              </w:rPr>
              <w:t>95.03-95.08</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
                <w:noProof/>
              </w:rPr>
            </w:pPr>
            <w:r>
              <w:rPr>
                <w:b/>
                <w:noProof/>
              </w:rPr>
              <w:t>96. nodaļa</w:t>
            </w:r>
          </w:p>
        </w:tc>
        <w:tc>
          <w:tcPr>
            <w:tcW w:w="7514" w:type="dxa"/>
          </w:tcPr>
          <w:p w:rsidR="003E022D" w:rsidRDefault="007D19D6">
            <w:pPr>
              <w:rPr>
                <w:b/>
                <w:noProof/>
              </w:rPr>
            </w:pPr>
            <w:r>
              <w:rPr>
                <w:b/>
                <w:noProof/>
              </w:rPr>
              <w:t>Dažādi izstrādājumi</w:t>
            </w:r>
          </w:p>
        </w:tc>
      </w:tr>
      <w:tr w:rsidR="003E022D">
        <w:tblPrEx>
          <w:tblLook w:val="04A0" w:firstRow="1" w:lastRow="0" w:firstColumn="1" w:lastColumn="0" w:noHBand="0" w:noVBand="1"/>
        </w:tblPrEx>
        <w:tc>
          <w:tcPr>
            <w:tcW w:w="1985" w:type="dxa"/>
          </w:tcPr>
          <w:p w:rsidR="003E022D" w:rsidRDefault="007D19D6">
            <w:pPr>
              <w:rPr>
                <w:bCs/>
                <w:noProof/>
              </w:rPr>
            </w:pPr>
            <w:r>
              <w:rPr>
                <w:noProof/>
              </w:rPr>
              <w:t>96.01-96.04</w:t>
            </w: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96.05</w:t>
            </w:r>
          </w:p>
        </w:tc>
        <w:tc>
          <w:tcPr>
            <w:tcW w:w="7514" w:type="dxa"/>
          </w:tcPr>
          <w:p w:rsidR="003E022D" w:rsidRDefault="007D19D6">
            <w:pPr>
              <w:rPr>
                <w:bCs/>
                <w:noProof/>
              </w:rPr>
            </w:pPr>
            <w:r>
              <w:rPr>
                <w:noProof/>
              </w:rPr>
              <w:t xml:space="preserve">Katram priekšmetam no komplekta jāatbilst noteikumiem, kas uz to attiektos, ja tas nebūtu ietverts komplektā, ja var iekļaut nenoteiktas izcelsmes izstrādājumus, ja to kopējā vērtība nepārsniedz 15 % no komplekta </w:t>
            </w:r>
            <w:r>
              <w:rPr>
                <w:i/>
                <w:noProof/>
              </w:rPr>
              <w:t>EXW</w:t>
            </w:r>
            <w:r>
              <w:rPr>
                <w:noProof/>
              </w:rPr>
              <w:t xml:space="preserve"> cenas.</w:t>
            </w:r>
          </w:p>
        </w:tc>
      </w:tr>
      <w:tr w:rsidR="003E022D">
        <w:tblPrEx>
          <w:tblLook w:val="04A0" w:firstRow="1" w:lastRow="0" w:firstColumn="1" w:lastColumn="0" w:noHBand="0" w:noVBand="1"/>
        </w:tblPrEx>
        <w:tc>
          <w:tcPr>
            <w:tcW w:w="1985" w:type="dxa"/>
          </w:tcPr>
          <w:p w:rsidR="003E022D" w:rsidRDefault="007D19D6">
            <w:pPr>
              <w:rPr>
                <w:bCs/>
                <w:noProof/>
              </w:rPr>
            </w:pPr>
            <w:r>
              <w:rPr>
                <w:noProof/>
              </w:rPr>
              <w:t xml:space="preserve">96.06-9608.40 </w:t>
            </w:r>
          </w:p>
          <w:p w:rsidR="003E022D" w:rsidRDefault="003E022D">
            <w:pPr>
              <w:rPr>
                <w:bCs/>
                <w:noProof/>
              </w:rPr>
            </w:pP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w:t>
            </w:r>
            <w:r>
              <w:rPr>
                <w:noProof/>
              </w:rPr>
              <w:t>50 % (</w:t>
            </w:r>
            <w:r>
              <w:rPr>
                <w:i/>
                <w:noProof/>
              </w:rPr>
              <w:t>EXW</w:t>
            </w:r>
            <w:r>
              <w:rPr>
                <w:noProof/>
              </w:rPr>
              <w:t xml:space="preserve">). </w:t>
            </w:r>
          </w:p>
        </w:tc>
      </w:tr>
      <w:tr w:rsidR="003E022D">
        <w:tblPrEx>
          <w:tblLook w:val="04A0" w:firstRow="1" w:lastRow="0" w:firstColumn="1" w:lastColumn="0" w:noHBand="0" w:noVBand="1"/>
        </w:tblPrEx>
        <w:tc>
          <w:tcPr>
            <w:tcW w:w="1985" w:type="dxa"/>
          </w:tcPr>
          <w:p w:rsidR="003E022D" w:rsidRDefault="007D19D6">
            <w:pPr>
              <w:rPr>
                <w:bCs/>
                <w:noProof/>
              </w:rPr>
            </w:pPr>
            <w:r>
              <w:rPr>
                <w:noProof/>
              </w:rPr>
              <w:t>9608.50</w:t>
            </w:r>
          </w:p>
        </w:tc>
        <w:tc>
          <w:tcPr>
            <w:tcW w:w="7514" w:type="dxa"/>
          </w:tcPr>
          <w:p w:rsidR="003E022D" w:rsidRDefault="007D19D6">
            <w:pPr>
              <w:rPr>
                <w:bCs/>
                <w:noProof/>
              </w:rPr>
            </w:pPr>
            <w:r>
              <w:rPr>
                <w:noProof/>
              </w:rPr>
              <w:t xml:space="preserve">Katram priekšmetam no komplekta jāatbilst noteikumiem, kas uz to attiektos, ja tas nebūtu ietverts komplektā, ja var iekļaut nenoteiktas izcelsmes izstrādājumus, ja to kopējā vērtība nepārsniedz 15 % no komplekta </w:t>
            </w:r>
            <w:r>
              <w:rPr>
                <w:i/>
                <w:noProof/>
              </w:rPr>
              <w:t>EXW</w:t>
            </w:r>
            <w:r>
              <w:rPr>
                <w:noProof/>
              </w:rPr>
              <w:t xml:space="preserve"> cenas.</w:t>
            </w:r>
          </w:p>
        </w:tc>
      </w:tr>
      <w:tr w:rsidR="003E022D">
        <w:tblPrEx>
          <w:tblLook w:val="04A0" w:firstRow="1" w:lastRow="0" w:firstColumn="1" w:lastColumn="0" w:noHBand="0" w:noVBand="1"/>
        </w:tblPrEx>
        <w:tc>
          <w:tcPr>
            <w:tcW w:w="1985" w:type="dxa"/>
          </w:tcPr>
          <w:p w:rsidR="003E022D" w:rsidRDefault="007D19D6">
            <w:pPr>
              <w:rPr>
                <w:bCs/>
                <w:noProof/>
              </w:rPr>
            </w:pPr>
            <w:r>
              <w:rPr>
                <w:noProof/>
              </w:rPr>
              <w:t>9608.60-9</w:t>
            </w:r>
            <w:r>
              <w:rPr>
                <w:noProof/>
              </w:rPr>
              <w:t xml:space="preserve">6.20 </w:t>
            </w:r>
          </w:p>
          <w:p w:rsidR="003E022D" w:rsidRDefault="003E022D">
            <w:pPr>
              <w:rPr>
                <w:bCs/>
                <w:noProof/>
              </w:rPr>
            </w:pPr>
          </w:p>
        </w:tc>
        <w:tc>
          <w:tcPr>
            <w:tcW w:w="7514" w:type="dxa"/>
          </w:tcPr>
          <w:p w:rsidR="003E022D" w:rsidRDefault="007D19D6">
            <w:pPr>
              <w:rPr>
                <w:bCs/>
                <w:noProof/>
              </w:rPr>
            </w:pPr>
            <w:r>
              <w:rPr>
                <w:i/>
                <w:noProof/>
              </w:rPr>
              <w:t>CTH</w:t>
            </w:r>
          </w:p>
          <w:p w:rsidR="003E022D" w:rsidRDefault="007D19D6">
            <w:pPr>
              <w:rPr>
                <w:bCs/>
                <w:noProof/>
              </w:rPr>
            </w:pPr>
            <w:r>
              <w:rPr>
                <w:noProof/>
              </w:rPr>
              <w:t>vai</w:t>
            </w:r>
          </w:p>
          <w:p w:rsidR="003E022D" w:rsidRDefault="007D19D6">
            <w:pPr>
              <w:rPr>
                <w:bCs/>
                <w:noProof/>
              </w:rPr>
            </w:pPr>
            <w:r>
              <w:rPr>
                <w:i/>
                <w:noProof/>
              </w:rPr>
              <w:t>MaxNOM</w:t>
            </w:r>
            <w:r>
              <w:rPr>
                <w:noProof/>
              </w:rPr>
              <w:t xml:space="preserve"> 50 % (</w:t>
            </w:r>
            <w:r>
              <w:rPr>
                <w:i/>
                <w:noProof/>
              </w:rPr>
              <w:t>EXW</w:t>
            </w:r>
            <w:r>
              <w:rPr>
                <w:noProof/>
              </w:rPr>
              <w:t xml:space="preserve">). </w:t>
            </w:r>
          </w:p>
        </w:tc>
      </w:tr>
      <w:tr w:rsidR="003E022D">
        <w:tc>
          <w:tcPr>
            <w:tcW w:w="1985" w:type="dxa"/>
          </w:tcPr>
          <w:p w:rsidR="003E022D" w:rsidRDefault="007D19D6">
            <w:pPr>
              <w:rPr>
                <w:b/>
                <w:noProof/>
              </w:rPr>
            </w:pPr>
            <w:r>
              <w:rPr>
                <w:b/>
                <w:noProof/>
              </w:rPr>
              <w:t>XXI SADAĻA</w:t>
            </w:r>
          </w:p>
        </w:tc>
        <w:tc>
          <w:tcPr>
            <w:tcW w:w="7514" w:type="dxa"/>
          </w:tcPr>
          <w:p w:rsidR="003E022D" w:rsidRDefault="007D19D6">
            <w:pPr>
              <w:rPr>
                <w:b/>
                <w:noProof/>
              </w:rPr>
            </w:pPr>
            <w:r>
              <w:rPr>
                <w:b/>
                <w:noProof/>
              </w:rPr>
              <w:t>MĀKSLAS DARBI, KOLEKCIJU PRIEKŠMETI UN SENLIETAS</w:t>
            </w:r>
          </w:p>
        </w:tc>
      </w:tr>
      <w:tr w:rsidR="003E022D">
        <w:tc>
          <w:tcPr>
            <w:tcW w:w="1985" w:type="dxa"/>
          </w:tcPr>
          <w:p w:rsidR="003E022D" w:rsidRDefault="007D19D6">
            <w:pPr>
              <w:rPr>
                <w:b/>
                <w:noProof/>
              </w:rPr>
            </w:pPr>
            <w:r>
              <w:rPr>
                <w:b/>
                <w:noProof/>
              </w:rPr>
              <w:t>97. nodaļa</w:t>
            </w:r>
          </w:p>
        </w:tc>
        <w:tc>
          <w:tcPr>
            <w:tcW w:w="7514" w:type="dxa"/>
          </w:tcPr>
          <w:p w:rsidR="003E022D" w:rsidRDefault="007D19D6">
            <w:pPr>
              <w:rPr>
                <w:b/>
                <w:noProof/>
              </w:rPr>
            </w:pPr>
            <w:r>
              <w:rPr>
                <w:b/>
                <w:noProof/>
              </w:rPr>
              <w:t>Mākslas darbi, kolekciju priekšmeti un senlietas</w:t>
            </w:r>
          </w:p>
        </w:tc>
      </w:tr>
      <w:tr w:rsidR="003E022D">
        <w:tc>
          <w:tcPr>
            <w:tcW w:w="1985" w:type="dxa"/>
          </w:tcPr>
          <w:p w:rsidR="003E022D" w:rsidRDefault="007D19D6">
            <w:pPr>
              <w:rPr>
                <w:bCs/>
                <w:noProof/>
              </w:rPr>
            </w:pPr>
            <w:r>
              <w:rPr>
                <w:noProof/>
              </w:rPr>
              <w:t>97.01-97.06</w:t>
            </w:r>
          </w:p>
        </w:tc>
        <w:tc>
          <w:tcPr>
            <w:tcW w:w="7514" w:type="dxa"/>
          </w:tcPr>
          <w:p w:rsidR="003E022D" w:rsidRDefault="007D19D6">
            <w:pPr>
              <w:rPr>
                <w:bCs/>
                <w:noProof/>
              </w:rPr>
            </w:pPr>
            <w:r>
              <w:rPr>
                <w:i/>
                <w:noProof/>
              </w:rPr>
              <w:t>CTH</w:t>
            </w:r>
          </w:p>
        </w:tc>
      </w:tr>
    </w:tbl>
    <w:p w:rsidR="003E022D" w:rsidRDefault="007D19D6">
      <w:pPr>
        <w:rPr>
          <w:rFonts w:eastAsia="SimSun" w:cs="Times New Roman"/>
          <w:bCs/>
          <w:smallCaps/>
          <w:noProof/>
          <w:u w:val="single"/>
        </w:rPr>
      </w:pPr>
      <w:r>
        <w:rPr>
          <w:noProof/>
        </w:rPr>
        <w:br w:type="page"/>
      </w:r>
    </w:p>
    <w:p w:rsidR="003E022D" w:rsidRDefault="007D19D6">
      <w:pPr>
        <w:pStyle w:val="ANNEX"/>
        <w:rPr>
          <w:noProof/>
        </w:rPr>
      </w:pPr>
      <w:bookmarkStart w:id="950" w:name="_Toc59020196"/>
      <w:bookmarkStart w:id="951" w:name="_Toc59988388"/>
      <w:r>
        <w:rPr>
          <w:noProof/>
        </w:rPr>
        <w:t xml:space="preserve">ORIG-2A. PIELIKUMS. IZCELSMES KVOTAS UN ALTERNATĪVAS KONKRĒTIEM RAŽOJUMIEM </w:t>
      </w:r>
      <w:r>
        <w:rPr>
          <w:noProof/>
        </w:rPr>
        <w:t>PIEMĒROJAMIEM IZCELSMES NOTEIKUMIEM ORIG-2 PIELIKUMĀ [KONKRĒTIEM PRODUKTIEM PIEMĒROJAMIE IZCELSMES NOTEIKUMI]</w:t>
      </w:r>
      <w:bookmarkEnd w:id="950"/>
      <w:bookmarkEnd w:id="951"/>
    </w:p>
    <w:p w:rsidR="003E022D" w:rsidRDefault="003E022D">
      <w:pPr>
        <w:autoSpaceDE w:val="0"/>
        <w:autoSpaceDN w:val="0"/>
        <w:adjustRightInd w:val="0"/>
        <w:spacing w:after="0"/>
        <w:rPr>
          <w:rFonts w:cstheme="minorHAnsi"/>
          <w:noProof/>
        </w:rPr>
      </w:pPr>
    </w:p>
    <w:p w:rsidR="003E022D" w:rsidRDefault="007D19D6">
      <w:pPr>
        <w:autoSpaceDE w:val="0"/>
        <w:autoSpaceDN w:val="0"/>
        <w:adjustRightInd w:val="0"/>
        <w:spacing w:after="0"/>
        <w:rPr>
          <w:rFonts w:cstheme="minorHAnsi"/>
          <w:noProof/>
        </w:rPr>
      </w:pPr>
      <w:r>
        <w:rPr>
          <w:noProof/>
        </w:rPr>
        <w:t>Kopīgie noteikumi</w:t>
      </w:r>
    </w:p>
    <w:p w:rsidR="003E022D" w:rsidRDefault="003E022D">
      <w:pPr>
        <w:autoSpaceDE w:val="0"/>
        <w:autoSpaceDN w:val="0"/>
        <w:adjustRightInd w:val="0"/>
        <w:spacing w:after="0"/>
        <w:rPr>
          <w:rFonts w:cstheme="minorHAnsi"/>
          <w:noProof/>
        </w:rPr>
      </w:pPr>
    </w:p>
    <w:p w:rsidR="003E022D" w:rsidRDefault="007D19D6">
      <w:pPr>
        <w:autoSpaceDE w:val="0"/>
        <w:autoSpaceDN w:val="0"/>
        <w:adjustRightInd w:val="0"/>
        <w:spacing w:after="0"/>
        <w:rPr>
          <w:rFonts w:cstheme="minorHAnsi"/>
          <w:noProof/>
        </w:rPr>
      </w:pPr>
      <w:r>
        <w:rPr>
          <w:noProof/>
        </w:rPr>
        <w:t>1.</w:t>
      </w:r>
      <w:r>
        <w:rPr>
          <w:noProof/>
        </w:rPr>
        <w:tab/>
        <w:t>Attiecīgie izcelsmes noteikumi tabulās uzskaitītajiem ražojumiem ir alternatīvas ORIG-2. pielikumā [Konkrētiem ražojumiem p</w:t>
      </w:r>
      <w:r>
        <w:rPr>
          <w:noProof/>
        </w:rPr>
        <w:t>iemērojamie izcelsmes noteikumi] izklāstītajiem noteikumiem piemērojamās gada kvotas robežās.</w:t>
      </w:r>
    </w:p>
    <w:p w:rsidR="003E022D" w:rsidRDefault="003E022D">
      <w:pPr>
        <w:autoSpaceDE w:val="0"/>
        <w:autoSpaceDN w:val="0"/>
        <w:adjustRightInd w:val="0"/>
        <w:spacing w:after="0"/>
        <w:rPr>
          <w:rFonts w:cstheme="minorHAnsi"/>
          <w:noProof/>
        </w:rPr>
      </w:pPr>
    </w:p>
    <w:p w:rsidR="003E022D" w:rsidRDefault="007D19D6">
      <w:pPr>
        <w:autoSpaceDE w:val="0"/>
        <w:autoSpaceDN w:val="0"/>
        <w:adjustRightInd w:val="0"/>
        <w:spacing w:after="0"/>
        <w:rPr>
          <w:rFonts w:cstheme="minorHAnsi"/>
          <w:noProof/>
        </w:rPr>
      </w:pPr>
      <w:r>
        <w:rPr>
          <w:noProof/>
        </w:rPr>
        <w:t>2.</w:t>
      </w:r>
      <w:r>
        <w:rPr>
          <w:noProof/>
        </w:rPr>
        <w:tab/>
        <w:t xml:space="preserve">Paziņojumā par izcelsmi, kas sagatavots saskaņā ar </w:t>
      </w:r>
      <w:r>
        <w:rPr>
          <w:noProof/>
          <w:u w:color="000000"/>
        </w:rPr>
        <w:t>šo pielikumu</w:t>
      </w:r>
      <w:r>
        <w:rPr>
          <w:noProof/>
        </w:rPr>
        <w:t xml:space="preserve">, iekļauj šādu paziņojumu: “Izcelsmes kvotas. Noteiktas izcelsmes ražojums saskaņā ar </w:t>
      </w:r>
      <w:r>
        <w:rPr>
          <w:noProof/>
        </w:rPr>
        <w:t>ORIG-2A. pielikumu”.</w:t>
      </w:r>
    </w:p>
    <w:p w:rsidR="003E022D" w:rsidRDefault="003E022D">
      <w:pPr>
        <w:autoSpaceDE w:val="0"/>
        <w:autoSpaceDN w:val="0"/>
        <w:adjustRightInd w:val="0"/>
        <w:spacing w:after="0"/>
        <w:rPr>
          <w:rFonts w:cstheme="minorHAnsi"/>
          <w:noProof/>
        </w:rPr>
      </w:pPr>
    </w:p>
    <w:p w:rsidR="003E022D" w:rsidRDefault="007D19D6">
      <w:pPr>
        <w:autoSpaceDE w:val="0"/>
        <w:autoSpaceDN w:val="0"/>
        <w:adjustRightInd w:val="0"/>
        <w:spacing w:after="0"/>
        <w:rPr>
          <w:rFonts w:cstheme="minorHAnsi"/>
          <w:noProof/>
        </w:rPr>
      </w:pPr>
      <w:r>
        <w:rPr>
          <w:noProof/>
        </w:rPr>
        <w:t>3.</w:t>
      </w:r>
      <w:r>
        <w:rPr>
          <w:noProof/>
        </w:rPr>
        <w:tab/>
        <w:t xml:space="preserve">Savienībā visus </w:t>
      </w:r>
      <w:r>
        <w:rPr>
          <w:noProof/>
          <w:u w:color="000000"/>
        </w:rPr>
        <w:t>šajā pielikumā</w:t>
      </w:r>
      <w:r>
        <w:rPr>
          <w:noProof/>
        </w:rPr>
        <w:t xml:space="preserve"> minētos daudzumus pārvalda Eiropas Komisija, kas veic visas administratīvās darbības, kuras tā uzskata par vajadzīgām to efektīvai pārvaldībai, ievērojot piemērojamos Savienības tiesību aktus.</w:t>
      </w:r>
    </w:p>
    <w:p w:rsidR="003E022D" w:rsidRDefault="003E022D">
      <w:pPr>
        <w:autoSpaceDE w:val="0"/>
        <w:autoSpaceDN w:val="0"/>
        <w:adjustRightInd w:val="0"/>
        <w:spacing w:after="0"/>
        <w:rPr>
          <w:rFonts w:cstheme="minorHAnsi"/>
          <w:noProof/>
        </w:rPr>
      </w:pPr>
    </w:p>
    <w:p w:rsidR="003E022D" w:rsidRDefault="007D19D6">
      <w:pPr>
        <w:autoSpaceDE w:val="0"/>
        <w:autoSpaceDN w:val="0"/>
        <w:adjustRightInd w:val="0"/>
        <w:spacing w:after="0"/>
        <w:rPr>
          <w:rFonts w:cstheme="minorHAnsi"/>
          <w:noProof/>
        </w:rPr>
      </w:pPr>
      <w:r>
        <w:rPr>
          <w:noProof/>
        </w:rPr>
        <w:t>4.</w:t>
      </w:r>
      <w:r>
        <w:rPr>
          <w:noProof/>
        </w:rPr>
        <w:tab/>
        <w:t>Apv</w:t>
      </w:r>
      <w:r>
        <w:rPr>
          <w:noProof/>
        </w:rPr>
        <w:t xml:space="preserve">ienotajā Karalistē visus </w:t>
      </w:r>
      <w:r>
        <w:rPr>
          <w:noProof/>
          <w:u w:color="000000"/>
        </w:rPr>
        <w:t>šajā pielikumā</w:t>
      </w:r>
      <w:r>
        <w:rPr>
          <w:noProof/>
        </w:rPr>
        <w:t xml:space="preserve"> minētos daudzumus pārvalda muitas dienests, kas veic visas administratīvās darbības, kuras tas uzskata par vajadzīgām to efektīvai pārvaldībai, ievērojot piemērojamos Apvienotās Karalistes tiesību aktus.</w:t>
      </w:r>
    </w:p>
    <w:p w:rsidR="003E022D" w:rsidRDefault="003E022D">
      <w:pPr>
        <w:autoSpaceDE w:val="0"/>
        <w:autoSpaceDN w:val="0"/>
        <w:adjustRightInd w:val="0"/>
        <w:spacing w:after="0"/>
        <w:rPr>
          <w:rFonts w:cstheme="minorHAnsi"/>
          <w:noProof/>
        </w:rPr>
      </w:pPr>
    </w:p>
    <w:p w:rsidR="003E022D" w:rsidRDefault="007D19D6">
      <w:pPr>
        <w:autoSpaceDE w:val="0"/>
        <w:autoSpaceDN w:val="0"/>
        <w:adjustRightInd w:val="0"/>
        <w:spacing w:after="0"/>
        <w:rPr>
          <w:rFonts w:cstheme="minorHAnsi"/>
          <w:noProof/>
        </w:rPr>
      </w:pPr>
      <w:r>
        <w:rPr>
          <w:noProof/>
        </w:rPr>
        <w:t>5.</w:t>
      </w:r>
      <w:r>
        <w:rPr>
          <w:noProof/>
        </w:rPr>
        <w:tab/>
        <w:t>Importēt</w:t>
      </w:r>
      <w:r>
        <w:rPr>
          <w:noProof/>
        </w:rPr>
        <w:t>āja Puse pārvalda izcelsmes kvotas, ievērojot rindas kārtības principu, un aprēķina to ražojumu daudzumu, kas ievesti atbilstoši šīm izcelsmes kvotām, pamatojoties uz minētās Puses importu.</w:t>
      </w:r>
    </w:p>
    <w:p w:rsidR="003E022D" w:rsidRDefault="003E022D">
      <w:pPr>
        <w:autoSpaceDE w:val="0"/>
        <w:autoSpaceDN w:val="0"/>
        <w:adjustRightInd w:val="0"/>
        <w:spacing w:after="0"/>
        <w:rPr>
          <w:rFonts w:cstheme="minorHAnsi"/>
          <w:noProof/>
          <w:sz w:val="24"/>
          <w:szCs w:val="24"/>
        </w:rPr>
      </w:pPr>
    </w:p>
    <w:p w:rsidR="003E022D" w:rsidRDefault="007D19D6">
      <w:pPr>
        <w:autoSpaceDE w:val="0"/>
        <w:autoSpaceDN w:val="0"/>
        <w:adjustRightInd w:val="0"/>
        <w:spacing w:after="0"/>
        <w:rPr>
          <w:rFonts w:cstheme="minorHAnsi"/>
          <w:b/>
          <w:bCs/>
          <w:noProof/>
        </w:rPr>
      </w:pPr>
      <w:r>
        <w:rPr>
          <w:b/>
          <w:noProof/>
        </w:rPr>
        <w:t xml:space="preserve">1. iedaļa. </w:t>
      </w:r>
      <w:r>
        <w:rPr>
          <w:b/>
          <w:bCs/>
          <w:noProof/>
        </w:rPr>
        <w:t>Gada kvotu sadalījums konservētām tunzivīm</w:t>
      </w:r>
    </w:p>
    <w:p w:rsidR="003E022D" w:rsidRDefault="003E022D">
      <w:pPr>
        <w:autoSpaceDE w:val="0"/>
        <w:autoSpaceDN w:val="0"/>
        <w:adjustRightInd w:val="0"/>
        <w:spacing w:after="0"/>
        <w:rPr>
          <w:rFonts w:ascii="*Minion Pro-Bold-5461-Identity-" w:hAnsi="*Minion Pro-Bold-5461-Identity-" w:cs="*Minion Pro-Bold-5461-Identity-"/>
          <w:b/>
          <w:bCs/>
          <w:noProof/>
          <w:sz w:val="21"/>
          <w:szCs w:val="21"/>
        </w:rPr>
      </w:pP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854"/>
        <w:gridCol w:w="1580"/>
        <w:gridCol w:w="1706"/>
        <w:gridCol w:w="1729"/>
      </w:tblGrid>
      <w:tr w:rsidR="003E022D">
        <w:tc>
          <w:tcPr>
            <w:tcW w:w="1412" w:type="dxa"/>
          </w:tcPr>
          <w:p w:rsidR="003E022D" w:rsidRDefault="007D19D6">
            <w:pPr>
              <w:autoSpaceDE w:val="0"/>
              <w:autoSpaceDN w:val="0"/>
              <w:adjustRightInd w:val="0"/>
              <w:jc w:val="center"/>
              <w:rPr>
                <w:rFonts w:cstheme="minorHAnsi"/>
                <w:b/>
                <w:bCs/>
                <w:noProof/>
              </w:rPr>
            </w:pPr>
            <w:r>
              <w:rPr>
                <w:b/>
                <w:noProof/>
              </w:rPr>
              <w:t>Harmonizēt</w:t>
            </w:r>
            <w:r>
              <w:rPr>
                <w:b/>
                <w:noProof/>
              </w:rPr>
              <w:t>ās sistēmas klasifikācija (2017)</w:t>
            </w:r>
          </w:p>
        </w:tc>
        <w:tc>
          <w:tcPr>
            <w:tcW w:w="3103" w:type="dxa"/>
          </w:tcPr>
          <w:p w:rsidR="003E022D" w:rsidRDefault="007D19D6">
            <w:pPr>
              <w:autoSpaceDE w:val="0"/>
              <w:autoSpaceDN w:val="0"/>
              <w:adjustRightInd w:val="0"/>
              <w:jc w:val="center"/>
              <w:rPr>
                <w:rFonts w:cstheme="minorHAnsi"/>
                <w:b/>
                <w:bCs/>
                <w:noProof/>
              </w:rPr>
            </w:pPr>
            <w:r>
              <w:rPr>
                <w:b/>
                <w:noProof/>
              </w:rPr>
              <w:t>Ražojuma apraksts</w:t>
            </w:r>
          </w:p>
        </w:tc>
        <w:tc>
          <w:tcPr>
            <w:tcW w:w="1241" w:type="dxa"/>
          </w:tcPr>
          <w:p w:rsidR="003E022D" w:rsidRDefault="007D19D6">
            <w:pPr>
              <w:autoSpaceDE w:val="0"/>
              <w:autoSpaceDN w:val="0"/>
              <w:adjustRightInd w:val="0"/>
              <w:jc w:val="center"/>
              <w:rPr>
                <w:rFonts w:cstheme="minorHAnsi"/>
                <w:b/>
                <w:bCs/>
                <w:noProof/>
              </w:rPr>
            </w:pPr>
            <w:r>
              <w:rPr>
                <w:b/>
                <w:bCs/>
                <w:noProof/>
              </w:rPr>
              <w:t>Alternatīvais konkrētiem ražojumiem piemērojamais noteikums</w:t>
            </w:r>
          </w:p>
        </w:tc>
        <w:tc>
          <w:tcPr>
            <w:tcW w:w="1788" w:type="dxa"/>
          </w:tcPr>
          <w:p w:rsidR="003E022D" w:rsidRDefault="007D19D6">
            <w:pPr>
              <w:autoSpaceDE w:val="0"/>
              <w:autoSpaceDN w:val="0"/>
              <w:adjustRightInd w:val="0"/>
              <w:jc w:val="center"/>
              <w:rPr>
                <w:rFonts w:cstheme="minorHAnsi"/>
                <w:b/>
                <w:bCs/>
                <w:noProof/>
              </w:rPr>
            </w:pPr>
            <w:r>
              <w:rPr>
                <w:b/>
                <w:bCs/>
                <w:noProof/>
              </w:rPr>
              <w:t>Gada kvotas eksportam no Savienības uz Apvienoto Karalisti</w:t>
            </w:r>
          </w:p>
          <w:p w:rsidR="003E022D" w:rsidRDefault="007D19D6">
            <w:pPr>
              <w:autoSpaceDE w:val="0"/>
              <w:autoSpaceDN w:val="0"/>
              <w:adjustRightInd w:val="0"/>
              <w:jc w:val="center"/>
              <w:rPr>
                <w:rFonts w:cstheme="minorHAnsi"/>
                <w:b/>
                <w:bCs/>
                <w:noProof/>
              </w:rPr>
            </w:pPr>
            <w:r>
              <w:rPr>
                <w:b/>
                <w:bCs/>
                <w:noProof/>
              </w:rPr>
              <w:t>(neto svars)</w:t>
            </w:r>
          </w:p>
        </w:tc>
        <w:tc>
          <w:tcPr>
            <w:tcW w:w="1807" w:type="dxa"/>
          </w:tcPr>
          <w:p w:rsidR="003E022D" w:rsidRDefault="007D19D6">
            <w:pPr>
              <w:autoSpaceDE w:val="0"/>
              <w:autoSpaceDN w:val="0"/>
              <w:adjustRightInd w:val="0"/>
              <w:jc w:val="center"/>
              <w:rPr>
                <w:rFonts w:cstheme="minorHAnsi"/>
                <w:b/>
                <w:bCs/>
                <w:noProof/>
              </w:rPr>
            </w:pPr>
            <w:r>
              <w:rPr>
                <w:b/>
                <w:bCs/>
                <w:noProof/>
              </w:rPr>
              <w:t>Gada kvotas eksportam no Apvienotās Karalistes uz Savienību</w:t>
            </w:r>
          </w:p>
          <w:p w:rsidR="003E022D" w:rsidRDefault="007D19D6">
            <w:pPr>
              <w:autoSpaceDE w:val="0"/>
              <w:autoSpaceDN w:val="0"/>
              <w:adjustRightInd w:val="0"/>
              <w:jc w:val="center"/>
              <w:rPr>
                <w:rFonts w:cstheme="minorHAnsi"/>
                <w:b/>
                <w:bCs/>
                <w:noProof/>
              </w:rPr>
            </w:pPr>
            <w:r>
              <w:rPr>
                <w:b/>
                <w:bCs/>
                <w:noProof/>
              </w:rPr>
              <w:t>(neto svars)</w:t>
            </w:r>
          </w:p>
        </w:tc>
      </w:tr>
      <w:tr w:rsidR="003E022D">
        <w:tc>
          <w:tcPr>
            <w:tcW w:w="1412" w:type="dxa"/>
          </w:tcPr>
          <w:p w:rsidR="003E022D" w:rsidRDefault="007D19D6">
            <w:pPr>
              <w:autoSpaceDE w:val="0"/>
              <w:autoSpaceDN w:val="0"/>
              <w:adjustRightInd w:val="0"/>
              <w:rPr>
                <w:rFonts w:cstheme="minorHAnsi"/>
                <w:b/>
                <w:bCs/>
                <w:noProof/>
              </w:rPr>
            </w:pPr>
            <w:r>
              <w:rPr>
                <w:b/>
                <w:bCs/>
                <w:noProof/>
              </w:rPr>
              <w:t>1604.14</w:t>
            </w:r>
          </w:p>
        </w:tc>
        <w:tc>
          <w:tcPr>
            <w:tcW w:w="3103" w:type="dxa"/>
          </w:tcPr>
          <w:p w:rsidR="003E022D" w:rsidRDefault="007D19D6">
            <w:pPr>
              <w:autoSpaceDE w:val="0"/>
              <w:autoSpaceDN w:val="0"/>
              <w:adjustRightInd w:val="0"/>
              <w:rPr>
                <w:rFonts w:cstheme="minorHAnsi"/>
                <w:bCs/>
                <w:noProof/>
              </w:rPr>
            </w:pPr>
            <w:r>
              <w:rPr>
                <w:noProof/>
              </w:rPr>
              <w:t>sagatavotas vai konservētas tunzivis, svītrainās tunzivis un pelamīdas (</w:t>
            </w:r>
            <w:r>
              <w:rPr>
                <w:i/>
                <w:iCs/>
                <w:noProof/>
              </w:rPr>
              <w:t>Sarda spp.</w:t>
            </w:r>
            <w:r>
              <w:rPr>
                <w:noProof/>
              </w:rPr>
              <w:t>), veselas vai gabalos (izņemot maltas)</w:t>
            </w:r>
          </w:p>
        </w:tc>
        <w:tc>
          <w:tcPr>
            <w:tcW w:w="1241" w:type="dxa"/>
          </w:tcPr>
          <w:p w:rsidR="003E022D" w:rsidRDefault="007D19D6">
            <w:pPr>
              <w:autoSpaceDE w:val="0"/>
              <w:autoSpaceDN w:val="0"/>
              <w:adjustRightInd w:val="0"/>
              <w:rPr>
                <w:rFonts w:cstheme="minorHAnsi"/>
                <w:bCs/>
                <w:noProof/>
              </w:rPr>
            </w:pPr>
            <w:r>
              <w:rPr>
                <w:i/>
                <w:noProof/>
              </w:rPr>
              <w:t>CC</w:t>
            </w:r>
          </w:p>
        </w:tc>
        <w:tc>
          <w:tcPr>
            <w:tcW w:w="1788" w:type="dxa"/>
          </w:tcPr>
          <w:p w:rsidR="003E022D" w:rsidRDefault="007D19D6">
            <w:pPr>
              <w:rPr>
                <w:noProof/>
              </w:rPr>
            </w:pPr>
            <w:r>
              <w:rPr>
                <w:noProof/>
              </w:rPr>
              <w:t>3 000 tonnas</w:t>
            </w:r>
          </w:p>
          <w:p w:rsidR="003E022D" w:rsidRDefault="003E022D">
            <w:pPr>
              <w:autoSpaceDE w:val="0"/>
              <w:autoSpaceDN w:val="0"/>
              <w:adjustRightInd w:val="0"/>
              <w:rPr>
                <w:rFonts w:cstheme="minorHAnsi"/>
                <w:b/>
                <w:bCs/>
                <w:noProof/>
              </w:rPr>
            </w:pPr>
          </w:p>
        </w:tc>
        <w:tc>
          <w:tcPr>
            <w:tcW w:w="1807" w:type="dxa"/>
          </w:tcPr>
          <w:p w:rsidR="003E022D" w:rsidRDefault="007D19D6">
            <w:pPr>
              <w:rPr>
                <w:noProof/>
              </w:rPr>
            </w:pPr>
            <w:r>
              <w:rPr>
                <w:noProof/>
              </w:rPr>
              <w:t>3 000 tonnas</w:t>
            </w:r>
          </w:p>
        </w:tc>
      </w:tr>
      <w:tr w:rsidR="003E022D">
        <w:tc>
          <w:tcPr>
            <w:tcW w:w="1412" w:type="dxa"/>
          </w:tcPr>
          <w:p w:rsidR="003E022D" w:rsidRDefault="007D19D6">
            <w:pPr>
              <w:autoSpaceDE w:val="0"/>
              <w:autoSpaceDN w:val="0"/>
              <w:adjustRightInd w:val="0"/>
              <w:rPr>
                <w:rFonts w:cstheme="minorHAnsi"/>
                <w:b/>
                <w:bCs/>
                <w:noProof/>
              </w:rPr>
            </w:pPr>
            <w:r>
              <w:rPr>
                <w:b/>
                <w:bCs/>
                <w:noProof/>
              </w:rPr>
              <w:t>1604.20</w:t>
            </w:r>
          </w:p>
        </w:tc>
        <w:tc>
          <w:tcPr>
            <w:tcW w:w="7939" w:type="dxa"/>
            <w:gridSpan w:val="4"/>
          </w:tcPr>
          <w:p w:rsidR="003E022D" w:rsidRDefault="007D19D6">
            <w:pPr>
              <w:autoSpaceDE w:val="0"/>
              <w:autoSpaceDN w:val="0"/>
              <w:adjustRightInd w:val="0"/>
              <w:rPr>
                <w:noProof/>
              </w:rPr>
            </w:pPr>
            <w:r>
              <w:rPr>
                <w:noProof/>
              </w:rPr>
              <w:t>citi gatavi izstrādājumi no zivīm vai zivju konservi</w:t>
            </w:r>
          </w:p>
        </w:tc>
      </w:tr>
      <w:tr w:rsidR="003E022D">
        <w:tc>
          <w:tcPr>
            <w:tcW w:w="1412" w:type="dxa"/>
            <w:vMerge w:val="restart"/>
          </w:tcPr>
          <w:p w:rsidR="003E022D" w:rsidRDefault="003E022D">
            <w:pPr>
              <w:autoSpaceDE w:val="0"/>
              <w:autoSpaceDN w:val="0"/>
              <w:adjustRightInd w:val="0"/>
              <w:rPr>
                <w:rFonts w:eastAsia="EUAlbertina-Bold-Identity-H" w:cstheme="minorHAnsi"/>
                <w:b/>
                <w:bCs/>
                <w:noProof/>
              </w:rPr>
            </w:pPr>
          </w:p>
        </w:tc>
        <w:tc>
          <w:tcPr>
            <w:tcW w:w="3103" w:type="dxa"/>
          </w:tcPr>
          <w:p w:rsidR="003E022D" w:rsidRDefault="007D19D6">
            <w:pPr>
              <w:autoSpaceDE w:val="0"/>
              <w:autoSpaceDN w:val="0"/>
              <w:adjustRightInd w:val="0"/>
              <w:rPr>
                <w:noProof/>
              </w:rPr>
            </w:pPr>
            <w:r>
              <w:rPr>
                <w:noProof/>
              </w:rPr>
              <w:t xml:space="preserve">No tunzivīm, svītrainajām tunzivīm vai citām </w:t>
            </w:r>
            <w:r>
              <w:rPr>
                <w:i/>
                <w:noProof/>
              </w:rPr>
              <w:t>Euthynnus</w:t>
            </w:r>
            <w:r>
              <w:rPr>
                <w:noProof/>
              </w:rPr>
              <w:t xml:space="preserve"> ģints zivīm (izņemot veselas vai gabalos)</w:t>
            </w:r>
          </w:p>
        </w:tc>
        <w:tc>
          <w:tcPr>
            <w:tcW w:w="1241" w:type="dxa"/>
          </w:tcPr>
          <w:p w:rsidR="003E022D" w:rsidRDefault="007D19D6">
            <w:pPr>
              <w:rPr>
                <w:noProof/>
              </w:rPr>
            </w:pPr>
            <w:r>
              <w:rPr>
                <w:i/>
                <w:noProof/>
              </w:rPr>
              <w:t>CC</w:t>
            </w:r>
          </w:p>
        </w:tc>
        <w:tc>
          <w:tcPr>
            <w:tcW w:w="1788" w:type="dxa"/>
          </w:tcPr>
          <w:p w:rsidR="003E022D" w:rsidRDefault="007D19D6">
            <w:pPr>
              <w:rPr>
                <w:noProof/>
              </w:rPr>
            </w:pPr>
            <w:r>
              <w:rPr>
                <w:noProof/>
              </w:rPr>
              <w:t>4 000 tonnas</w:t>
            </w:r>
          </w:p>
        </w:tc>
        <w:tc>
          <w:tcPr>
            <w:tcW w:w="1807" w:type="dxa"/>
          </w:tcPr>
          <w:p w:rsidR="003E022D" w:rsidRDefault="007D19D6">
            <w:pPr>
              <w:rPr>
                <w:noProof/>
              </w:rPr>
            </w:pPr>
            <w:r>
              <w:rPr>
                <w:noProof/>
              </w:rPr>
              <w:t>4 000 tonnas</w:t>
            </w:r>
          </w:p>
        </w:tc>
      </w:tr>
      <w:tr w:rsidR="003E022D">
        <w:tc>
          <w:tcPr>
            <w:tcW w:w="1412" w:type="dxa"/>
            <w:vMerge/>
          </w:tcPr>
          <w:p w:rsidR="003E022D" w:rsidRDefault="003E022D">
            <w:pPr>
              <w:autoSpaceDE w:val="0"/>
              <w:autoSpaceDN w:val="0"/>
              <w:adjustRightInd w:val="0"/>
              <w:rPr>
                <w:rFonts w:eastAsia="EUAlbertina-Bold-Identity-H" w:cstheme="minorHAnsi"/>
                <w:b/>
                <w:bCs/>
                <w:noProof/>
              </w:rPr>
            </w:pPr>
          </w:p>
        </w:tc>
        <w:tc>
          <w:tcPr>
            <w:tcW w:w="3103" w:type="dxa"/>
          </w:tcPr>
          <w:p w:rsidR="003E022D" w:rsidRDefault="007D19D6">
            <w:pPr>
              <w:autoSpaceDE w:val="0"/>
              <w:autoSpaceDN w:val="0"/>
              <w:adjustRightInd w:val="0"/>
              <w:rPr>
                <w:noProof/>
              </w:rPr>
            </w:pPr>
            <w:r>
              <w:rPr>
                <w:noProof/>
              </w:rPr>
              <w:t>no citām zivīm</w:t>
            </w:r>
          </w:p>
        </w:tc>
        <w:tc>
          <w:tcPr>
            <w:tcW w:w="1241" w:type="dxa"/>
          </w:tcPr>
          <w:p w:rsidR="003E022D" w:rsidRDefault="007D19D6">
            <w:pPr>
              <w:rPr>
                <w:noProof/>
              </w:rPr>
            </w:pPr>
            <w:r>
              <w:rPr>
                <w:noProof/>
              </w:rPr>
              <w:t>-</w:t>
            </w:r>
          </w:p>
        </w:tc>
        <w:tc>
          <w:tcPr>
            <w:tcW w:w="1788" w:type="dxa"/>
          </w:tcPr>
          <w:p w:rsidR="003E022D" w:rsidRDefault="007D19D6">
            <w:pPr>
              <w:rPr>
                <w:noProof/>
              </w:rPr>
            </w:pPr>
            <w:r>
              <w:rPr>
                <w:noProof/>
              </w:rPr>
              <w:t>-</w:t>
            </w:r>
          </w:p>
        </w:tc>
        <w:tc>
          <w:tcPr>
            <w:tcW w:w="1807" w:type="dxa"/>
          </w:tcPr>
          <w:p w:rsidR="003E022D" w:rsidRDefault="007D19D6">
            <w:pPr>
              <w:rPr>
                <w:noProof/>
              </w:rPr>
            </w:pPr>
            <w:r>
              <w:rPr>
                <w:noProof/>
              </w:rPr>
              <w:t>-</w:t>
            </w:r>
          </w:p>
        </w:tc>
      </w:tr>
    </w:tbl>
    <w:p w:rsidR="003E022D" w:rsidRDefault="003E022D">
      <w:pPr>
        <w:autoSpaceDE w:val="0"/>
        <w:autoSpaceDN w:val="0"/>
        <w:adjustRightInd w:val="0"/>
        <w:spacing w:after="0"/>
        <w:rPr>
          <w:rFonts w:cstheme="minorHAnsi"/>
          <w:b/>
          <w:noProof/>
          <w:sz w:val="24"/>
          <w:szCs w:val="24"/>
        </w:rPr>
      </w:pPr>
    </w:p>
    <w:p w:rsidR="003E022D" w:rsidRDefault="003E022D">
      <w:pPr>
        <w:autoSpaceDE w:val="0"/>
        <w:autoSpaceDN w:val="0"/>
        <w:adjustRightInd w:val="0"/>
        <w:spacing w:after="0"/>
        <w:rPr>
          <w:rFonts w:cstheme="minorHAnsi"/>
          <w:b/>
          <w:noProof/>
          <w:sz w:val="24"/>
          <w:szCs w:val="24"/>
        </w:rPr>
      </w:pPr>
    </w:p>
    <w:p w:rsidR="003E022D" w:rsidRDefault="003E022D">
      <w:pPr>
        <w:autoSpaceDE w:val="0"/>
        <w:autoSpaceDN w:val="0"/>
        <w:adjustRightInd w:val="0"/>
        <w:spacing w:after="0"/>
        <w:rPr>
          <w:rFonts w:cstheme="minorHAnsi"/>
          <w:b/>
          <w:noProof/>
          <w:sz w:val="24"/>
          <w:szCs w:val="24"/>
        </w:rPr>
      </w:pPr>
    </w:p>
    <w:p w:rsidR="003E022D" w:rsidRDefault="003E022D">
      <w:pPr>
        <w:autoSpaceDE w:val="0"/>
        <w:autoSpaceDN w:val="0"/>
        <w:adjustRightInd w:val="0"/>
        <w:spacing w:after="0"/>
        <w:rPr>
          <w:rFonts w:cstheme="minorHAnsi"/>
          <w:b/>
          <w:noProof/>
          <w:sz w:val="24"/>
          <w:szCs w:val="24"/>
        </w:rPr>
      </w:pPr>
    </w:p>
    <w:p w:rsidR="003E022D" w:rsidRDefault="003E022D">
      <w:pPr>
        <w:autoSpaceDE w:val="0"/>
        <w:autoSpaceDN w:val="0"/>
        <w:adjustRightInd w:val="0"/>
        <w:spacing w:after="0"/>
        <w:rPr>
          <w:rFonts w:cstheme="minorHAnsi"/>
          <w:b/>
          <w:noProof/>
          <w:sz w:val="24"/>
          <w:szCs w:val="24"/>
        </w:rPr>
      </w:pPr>
    </w:p>
    <w:p w:rsidR="003E022D" w:rsidRDefault="007D19D6">
      <w:pPr>
        <w:rPr>
          <w:b/>
          <w:noProof/>
        </w:rPr>
      </w:pPr>
      <w:r>
        <w:rPr>
          <w:b/>
          <w:noProof/>
        </w:rPr>
        <w:t>2. iedaļa. Gada kvotu sadalījums alumīnija ražojumiem</w:t>
      </w:r>
      <w:r>
        <w:rPr>
          <w:rStyle w:val="FootnoteReference"/>
          <w:b/>
          <w:noProof/>
        </w:rPr>
        <w:footnoteReference w:id="95"/>
      </w:r>
    </w:p>
    <w:p w:rsidR="003E022D" w:rsidRDefault="007D19D6">
      <w:pPr>
        <w:rPr>
          <w:b/>
          <w:noProof/>
        </w:rPr>
      </w:pPr>
      <w:r>
        <w:rPr>
          <w:b/>
          <w:noProof/>
        </w:rPr>
        <w:t>1. tabula. No 2021. gada 1. janvāra līdz 2023.</w:t>
      </w:r>
      <w:r>
        <w:rPr>
          <w:b/>
          <w:noProof/>
        </w:rPr>
        <w:t xml:space="preserve"> gada 31. decembrim piemērojamās kvotas</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491"/>
        <w:gridCol w:w="1814"/>
        <w:gridCol w:w="1772"/>
        <w:gridCol w:w="1792"/>
      </w:tblGrid>
      <w:tr w:rsidR="003E022D">
        <w:tc>
          <w:tcPr>
            <w:tcW w:w="1412" w:type="dxa"/>
          </w:tcPr>
          <w:p w:rsidR="003E022D" w:rsidRDefault="007D19D6">
            <w:pPr>
              <w:autoSpaceDE w:val="0"/>
              <w:autoSpaceDN w:val="0"/>
              <w:adjustRightInd w:val="0"/>
              <w:jc w:val="center"/>
              <w:rPr>
                <w:rFonts w:cstheme="minorHAnsi"/>
                <w:b/>
                <w:bCs/>
                <w:noProof/>
              </w:rPr>
            </w:pPr>
            <w:r>
              <w:rPr>
                <w:b/>
                <w:noProof/>
              </w:rPr>
              <w:t>Harmonizētās sistēmas klasifikācija (2017)</w:t>
            </w:r>
          </w:p>
        </w:tc>
        <w:tc>
          <w:tcPr>
            <w:tcW w:w="2524" w:type="dxa"/>
          </w:tcPr>
          <w:p w:rsidR="003E022D" w:rsidRDefault="007D19D6">
            <w:pPr>
              <w:autoSpaceDE w:val="0"/>
              <w:autoSpaceDN w:val="0"/>
              <w:adjustRightInd w:val="0"/>
              <w:jc w:val="center"/>
              <w:rPr>
                <w:rFonts w:cstheme="minorHAnsi"/>
                <w:b/>
                <w:bCs/>
                <w:noProof/>
              </w:rPr>
            </w:pPr>
            <w:r>
              <w:rPr>
                <w:b/>
                <w:noProof/>
              </w:rPr>
              <w:t>Ražojuma apraksts</w:t>
            </w:r>
          </w:p>
        </w:tc>
        <w:tc>
          <w:tcPr>
            <w:tcW w:w="1820" w:type="dxa"/>
          </w:tcPr>
          <w:p w:rsidR="003E022D" w:rsidRDefault="007D19D6">
            <w:pPr>
              <w:autoSpaceDE w:val="0"/>
              <w:autoSpaceDN w:val="0"/>
              <w:adjustRightInd w:val="0"/>
              <w:jc w:val="center"/>
              <w:rPr>
                <w:rFonts w:cstheme="minorHAnsi"/>
                <w:b/>
                <w:bCs/>
                <w:noProof/>
              </w:rPr>
            </w:pPr>
            <w:r>
              <w:rPr>
                <w:b/>
                <w:bCs/>
                <w:noProof/>
              </w:rPr>
              <w:t>Alternatīvais konkrētiem ražojumiem piemērojamais noteikums</w:t>
            </w:r>
          </w:p>
        </w:tc>
        <w:tc>
          <w:tcPr>
            <w:tcW w:w="1788" w:type="dxa"/>
          </w:tcPr>
          <w:p w:rsidR="003E022D" w:rsidRDefault="007D19D6">
            <w:pPr>
              <w:autoSpaceDE w:val="0"/>
              <w:autoSpaceDN w:val="0"/>
              <w:adjustRightInd w:val="0"/>
              <w:jc w:val="center"/>
              <w:rPr>
                <w:rFonts w:cstheme="minorHAnsi"/>
                <w:b/>
                <w:bCs/>
                <w:noProof/>
              </w:rPr>
            </w:pPr>
            <w:r>
              <w:rPr>
                <w:b/>
                <w:bCs/>
                <w:noProof/>
              </w:rPr>
              <w:t>Gada kvotas eksportam no Savienības uz Apvienoto Karalisti</w:t>
            </w:r>
          </w:p>
          <w:p w:rsidR="003E022D" w:rsidRDefault="007D19D6">
            <w:pPr>
              <w:autoSpaceDE w:val="0"/>
              <w:autoSpaceDN w:val="0"/>
              <w:adjustRightInd w:val="0"/>
              <w:jc w:val="center"/>
              <w:rPr>
                <w:rFonts w:cstheme="minorHAnsi"/>
                <w:b/>
                <w:bCs/>
                <w:noProof/>
              </w:rPr>
            </w:pPr>
            <w:r>
              <w:rPr>
                <w:b/>
                <w:bCs/>
                <w:noProof/>
              </w:rPr>
              <w:t>(neto svars)</w:t>
            </w:r>
          </w:p>
        </w:tc>
        <w:tc>
          <w:tcPr>
            <w:tcW w:w="1807" w:type="dxa"/>
          </w:tcPr>
          <w:p w:rsidR="003E022D" w:rsidRDefault="007D19D6">
            <w:pPr>
              <w:autoSpaceDE w:val="0"/>
              <w:autoSpaceDN w:val="0"/>
              <w:adjustRightInd w:val="0"/>
              <w:jc w:val="center"/>
              <w:rPr>
                <w:rFonts w:cstheme="minorHAnsi"/>
                <w:b/>
                <w:bCs/>
                <w:noProof/>
              </w:rPr>
            </w:pPr>
            <w:r>
              <w:rPr>
                <w:b/>
                <w:bCs/>
                <w:noProof/>
              </w:rPr>
              <w:t xml:space="preserve">Gada kvotas eksportam </w:t>
            </w:r>
            <w:r>
              <w:rPr>
                <w:b/>
                <w:bCs/>
                <w:noProof/>
              </w:rPr>
              <w:t>no Apvienotās Karalistes uz Savienību</w:t>
            </w:r>
          </w:p>
          <w:p w:rsidR="003E022D" w:rsidRDefault="007D19D6">
            <w:pPr>
              <w:autoSpaceDE w:val="0"/>
              <w:autoSpaceDN w:val="0"/>
              <w:adjustRightInd w:val="0"/>
              <w:jc w:val="center"/>
              <w:rPr>
                <w:rFonts w:cstheme="minorHAnsi"/>
                <w:b/>
                <w:bCs/>
                <w:noProof/>
              </w:rPr>
            </w:pPr>
            <w:r>
              <w:rPr>
                <w:b/>
                <w:bCs/>
                <w:noProof/>
              </w:rPr>
              <w:t>(neto svars)</w:t>
            </w:r>
          </w:p>
        </w:tc>
      </w:tr>
      <w:tr w:rsidR="003E022D">
        <w:tc>
          <w:tcPr>
            <w:tcW w:w="1412" w:type="dxa"/>
          </w:tcPr>
          <w:p w:rsidR="003E022D" w:rsidRDefault="007D19D6">
            <w:pPr>
              <w:autoSpaceDE w:val="0"/>
              <w:autoSpaceDN w:val="0"/>
              <w:adjustRightInd w:val="0"/>
              <w:rPr>
                <w:rFonts w:eastAsia="EUAlbertina-Bold-Identity-H" w:cstheme="minorHAnsi"/>
                <w:b/>
                <w:bCs/>
                <w:noProof/>
              </w:rPr>
            </w:pPr>
            <w:r>
              <w:rPr>
                <w:b/>
                <w:bCs/>
                <w:noProof/>
              </w:rPr>
              <w:t>76.03, 76.04, 76.06, 76.08-76.16</w:t>
            </w:r>
          </w:p>
        </w:tc>
        <w:tc>
          <w:tcPr>
            <w:tcW w:w="2524" w:type="dxa"/>
          </w:tcPr>
          <w:p w:rsidR="003E022D" w:rsidRDefault="007D19D6">
            <w:pPr>
              <w:autoSpaceDE w:val="0"/>
              <w:autoSpaceDN w:val="0"/>
              <w:adjustRightInd w:val="0"/>
              <w:rPr>
                <w:rFonts w:cstheme="minorHAnsi"/>
                <w:bCs/>
                <w:noProof/>
              </w:rPr>
            </w:pPr>
            <w:r>
              <w:rPr>
                <w:noProof/>
              </w:rPr>
              <w:t>alumīnija ražojumi un izstrādājumi no alumīnija (izņemot alumīnija stiepli un alumīnija foliju)</w:t>
            </w:r>
          </w:p>
        </w:tc>
        <w:tc>
          <w:tcPr>
            <w:tcW w:w="1820" w:type="dxa"/>
          </w:tcPr>
          <w:p w:rsidR="003E022D" w:rsidRDefault="007D19D6">
            <w:pPr>
              <w:autoSpaceDE w:val="0"/>
              <w:autoSpaceDN w:val="0"/>
              <w:adjustRightInd w:val="0"/>
              <w:rPr>
                <w:rFonts w:cstheme="minorHAnsi"/>
                <w:bCs/>
                <w:noProof/>
              </w:rPr>
            </w:pPr>
            <w:r>
              <w:rPr>
                <w:i/>
                <w:noProof/>
              </w:rPr>
              <w:t>CTH</w:t>
            </w:r>
          </w:p>
        </w:tc>
        <w:tc>
          <w:tcPr>
            <w:tcW w:w="1788" w:type="dxa"/>
            <w:vMerge w:val="restart"/>
            <w:vAlign w:val="center"/>
          </w:tcPr>
          <w:p w:rsidR="003E022D" w:rsidRDefault="007D19D6">
            <w:pPr>
              <w:jc w:val="center"/>
              <w:rPr>
                <w:rFonts w:cstheme="minorHAnsi"/>
                <w:bCs/>
                <w:noProof/>
              </w:rPr>
            </w:pPr>
            <w:r>
              <w:rPr>
                <w:noProof/>
              </w:rPr>
              <w:t>95 000 tonnas</w:t>
            </w:r>
          </w:p>
        </w:tc>
        <w:tc>
          <w:tcPr>
            <w:tcW w:w="1807" w:type="dxa"/>
            <w:vMerge w:val="restart"/>
            <w:vAlign w:val="center"/>
          </w:tcPr>
          <w:p w:rsidR="003E022D" w:rsidRDefault="007D19D6">
            <w:pPr>
              <w:jc w:val="center"/>
              <w:rPr>
                <w:noProof/>
              </w:rPr>
            </w:pPr>
            <w:r>
              <w:rPr>
                <w:noProof/>
              </w:rPr>
              <w:t>95 000 tonnas</w:t>
            </w:r>
          </w:p>
        </w:tc>
      </w:tr>
      <w:tr w:rsidR="003E022D">
        <w:tc>
          <w:tcPr>
            <w:tcW w:w="1412" w:type="dxa"/>
          </w:tcPr>
          <w:p w:rsidR="003E022D" w:rsidRDefault="007D19D6">
            <w:pPr>
              <w:autoSpaceDE w:val="0"/>
              <w:autoSpaceDN w:val="0"/>
              <w:adjustRightInd w:val="0"/>
              <w:rPr>
                <w:rFonts w:cstheme="minorHAnsi"/>
                <w:b/>
                <w:bCs/>
                <w:noProof/>
              </w:rPr>
            </w:pPr>
            <w:r>
              <w:rPr>
                <w:b/>
                <w:bCs/>
                <w:noProof/>
              </w:rPr>
              <w:t>76.05</w:t>
            </w:r>
          </w:p>
        </w:tc>
        <w:tc>
          <w:tcPr>
            <w:tcW w:w="2524" w:type="dxa"/>
          </w:tcPr>
          <w:p w:rsidR="003E022D" w:rsidRDefault="007D19D6">
            <w:pPr>
              <w:autoSpaceDE w:val="0"/>
              <w:autoSpaceDN w:val="0"/>
              <w:adjustRightInd w:val="0"/>
              <w:rPr>
                <w:rFonts w:cstheme="minorHAnsi"/>
                <w:b/>
                <w:bCs/>
                <w:noProof/>
              </w:rPr>
            </w:pPr>
            <w:r>
              <w:rPr>
                <w:noProof/>
              </w:rPr>
              <w:t>alumīnija stieples</w:t>
            </w:r>
          </w:p>
        </w:tc>
        <w:tc>
          <w:tcPr>
            <w:tcW w:w="1820" w:type="dxa"/>
          </w:tcPr>
          <w:p w:rsidR="003E022D" w:rsidRDefault="007D19D6">
            <w:pPr>
              <w:rPr>
                <w:noProof/>
              </w:rPr>
            </w:pPr>
            <w:r>
              <w:rPr>
                <w:i/>
                <w:noProof/>
              </w:rPr>
              <w:t>CTH</w:t>
            </w:r>
            <w:r>
              <w:rPr>
                <w:noProof/>
              </w:rPr>
              <w:t xml:space="preserve">, izņemot no </w:t>
            </w:r>
            <w:r>
              <w:rPr>
                <w:noProof/>
              </w:rPr>
              <w:t>nenoteiktas izcelsmes materiāliem pozīcijā 76.04.</w:t>
            </w:r>
          </w:p>
        </w:tc>
        <w:tc>
          <w:tcPr>
            <w:tcW w:w="1788" w:type="dxa"/>
            <w:vMerge/>
          </w:tcPr>
          <w:p w:rsidR="003E022D" w:rsidRDefault="003E022D">
            <w:pPr>
              <w:rPr>
                <w:noProof/>
              </w:rPr>
            </w:pPr>
          </w:p>
        </w:tc>
        <w:tc>
          <w:tcPr>
            <w:tcW w:w="1807" w:type="dxa"/>
            <w:vMerge/>
          </w:tcPr>
          <w:p w:rsidR="003E022D" w:rsidRDefault="003E022D">
            <w:pPr>
              <w:rPr>
                <w:noProof/>
              </w:rPr>
            </w:pPr>
          </w:p>
        </w:tc>
      </w:tr>
      <w:tr w:rsidR="003E022D">
        <w:tc>
          <w:tcPr>
            <w:tcW w:w="1412" w:type="dxa"/>
          </w:tcPr>
          <w:p w:rsidR="003E022D" w:rsidRDefault="007D19D6">
            <w:pPr>
              <w:autoSpaceDE w:val="0"/>
              <w:autoSpaceDN w:val="0"/>
              <w:adjustRightInd w:val="0"/>
              <w:rPr>
                <w:rFonts w:eastAsia="EUAlbertina-Bold-Identity-H" w:cstheme="minorHAnsi"/>
                <w:b/>
                <w:bCs/>
                <w:noProof/>
              </w:rPr>
            </w:pPr>
            <w:r>
              <w:rPr>
                <w:b/>
                <w:bCs/>
                <w:noProof/>
              </w:rPr>
              <w:t>76.07</w:t>
            </w:r>
          </w:p>
        </w:tc>
        <w:tc>
          <w:tcPr>
            <w:tcW w:w="2524" w:type="dxa"/>
          </w:tcPr>
          <w:p w:rsidR="003E022D" w:rsidRDefault="007D19D6">
            <w:pPr>
              <w:autoSpaceDE w:val="0"/>
              <w:autoSpaceDN w:val="0"/>
              <w:adjustRightInd w:val="0"/>
              <w:rPr>
                <w:noProof/>
              </w:rPr>
            </w:pPr>
            <w:r>
              <w:rPr>
                <w:noProof/>
              </w:rPr>
              <w:t>alumīnija folija</w:t>
            </w:r>
          </w:p>
        </w:tc>
        <w:tc>
          <w:tcPr>
            <w:tcW w:w="1820" w:type="dxa"/>
          </w:tcPr>
          <w:p w:rsidR="003E022D" w:rsidRDefault="007D19D6">
            <w:pPr>
              <w:rPr>
                <w:noProof/>
              </w:rPr>
            </w:pPr>
            <w:r>
              <w:rPr>
                <w:i/>
                <w:noProof/>
              </w:rPr>
              <w:t>CTH</w:t>
            </w:r>
            <w:r>
              <w:rPr>
                <w:noProof/>
              </w:rPr>
              <w:t>, izņemot no nenoteiktas izcelsmes materiāliem pozīcijā 76.06.</w:t>
            </w:r>
          </w:p>
        </w:tc>
        <w:tc>
          <w:tcPr>
            <w:tcW w:w="1788" w:type="dxa"/>
            <w:vMerge/>
          </w:tcPr>
          <w:p w:rsidR="003E022D" w:rsidRDefault="003E022D">
            <w:pPr>
              <w:rPr>
                <w:noProof/>
              </w:rPr>
            </w:pPr>
          </w:p>
        </w:tc>
        <w:tc>
          <w:tcPr>
            <w:tcW w:w="1807" w:type="dxa"/>
            <w:vMerge/>
          </w:tcPr>
          <w:p w:rsidR="003E022D" w:rsidRDefault="003E022D">
            <w:pPr>
              <w:rPr>
                <w:noProof/>
              </w:rPr>
            </w:pPr>
          </w:p>
        </w:tc>
      </w:tr>
    </w:tbl>
    <w:p w:rsidR="003E022D" w:rsidRDefault="003E022D">
      <w:pPr>
        <w:rPr>
          <w:b/>
          <w:noProof/>
        </w:rPr>
      </w:pPr>
    </w:p>
    <w:p w:rsidR="003E022D" w:rsidRDefault="007D19D6">
      <w:pPr>
        <w:rPr>
          <w:b/>
          <w:noProof/>
        </w:rPr>
      </w:pPr>
      <w:r>
        <w:rPr>
          <w:b/>
          <w:noProof/>
        </w:rPr>
        <w:t>2. tabula. No 2024. gada 1. janvāra līdz 2026. gada 31. decembrim piemērojamās kvotas</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491"/>
        <w:gridCol w:w="1814"/>
        <w:gridCol w:w="1772"/>
        <w:gridCol w:w="1792"/>
      </w:tblGrid>
      <w:tr w:rsidR="003E022D">
        <w:tc>
          <w:tcPr>
            <w:tcW w:w="1412" w:type="dxa"/>
          </w:tcPr>
          <w:p w:rsidR="003E022D" w:rsidRDefault="007D19D6">
            <w:pPr>
              <w:autoSpaceDE w:val="0"/>
              <w:autoSpaceDN w:val="0"/>
              <w:adjustRightInd w:val="0"/>
              <w:jc w:val="center"/>
              <w:rPr>
                <w:rFonts w:cstheme="minorHAnsi"/>
                <w:b/>
                <w:bCs/>
                <w:noProof/>
              </w:rPr>
            </w:pPr>
            <w:r>
              <w:rPr>
                <w:b/>
                <w:noProof/>
              </w:rPr>
              <w:t xml:space="preserve">Harmonizētās sistēmas </w:t>
            </w:r>
            <w:r>
              <w:rPr>
                <w:b/>
                <w:noProof/>
              </w:rPr>
              <w:t>klasifikācija (2017)</w:t>
            </w:r>
          </w:p>
        </w:tc>
        <w:tc>
          <w:tcPr>
            <w:tcW w:w="2524" w:type="dxa"/>
          </w:tcPr>
          <w:p w:rsidR="003E022D" w:rsidRDefault="007D19D6">
            <w:pPr>
              <w:autoSpaceDE w:val="0"/>
              <w:autoSpaceDN w:val="0"/>
              <w:adjustRightInd w:val="0"/>
              <w:jc w:val="center"/>
              <w:rPr>
                <w:rFonts w:cstheme="minorHAnsi"/>
                <w:b/>
                <w:bCs/>
                <w:noProof/>
              </w:rPr>
            </w:pPr>
            <w:r>
              <w:rPr>
                <w:b/>
                <w:noProof/>
              </w:rPr>
              <w:t>Ražojuma apraksts</w:t>
            </w:r>
          </w:p>
        </w:tc>
        <w:tc>
          <w:tcPr>
            <w:tcW w:w="1820" w:type="dxa"/>
          </w:tcPr>
          <w:p w:rsidR="003E022D" w:rsidRDefault="007D19D6">
            <w:pPr>
              <w:autoSpaceDE w:val="0"/>
              <w:autoSpaceDN w:val="0"/>
              <w:adjustRightInd w:val="0"/>
              <w:jc w:val="center"/>
              <w:rPr>
                <w:rFonts w:cstheme="minorHAnsi"/>
                <w:b/>
                <w:bCs/>
                <w:noProof/>
              </w:rPr>
            </w:pPr>
            <w:r>
              <w:rPr>
                <w:b/>
                <w:bCs/>
                <w:noProof/>
              </w:rPr>
              <w:t>Alternatīvais konkrētiem ražojumiem piemērojamais noteikums</w:t>
            </w:r>
          </w:p>
        </w:tc>
        <w:tc>
          <w:tcPr>
            <w:tcW w:w="1788" w:type="dxa"/>
          </w:tcPr>
          <w:p w:rsidR="003E022D" w:rsidRDefault="007D19D6">
            <w:pPr>
              <w:autoSpaceDE w:val="0"/>
              <w:autoSpaceDN w:val="0"/>
              <w:adjustRightInd w:val="0"/>
              <w:jc w:val="center"/>
              <w:rPr>
                <w:rFonts w:cstheme="minorHAnsi"/>
                <w:b/>
                <w:bCs/>
                <w:noProof/>
              </w:rPr>
            </w:pPr>
            <w:r>
              <w:rPr>
                <w:b/>
                <w:bCs/>
                <w:noProof/>
              </w:rPr>
              <w:t>Gada kvotas eksportam no Savienības uz Apvienoto Karalisti</w:t>
            </w:r>
          </w:p>
          <w:p w:rsidR="003E022D" w:rsidRDefault="007D19D6">
            <w:pPr>
              <w:autoSpaceDE w:val="0"/>
              <w:autoSpaceDN w:val="0"/>
              <w:adjustRightInd w:val="0"/>
              <w:jc w:val="center"/>
              <w:rPr>
                <w:rFonts w:cstheme="minorHAnsi"/>
                <w:b/>
                <w:bCs/>
                <w:noProof/>
              </w:rPr>
            </w:pPr>
            <w:r>
              <w:rPr>
                <w:b/>
                <w:bCs/>
                <w:noProof/>
              </w:rPr>
              <w:t>(neto svars)</w:t>
            </w:r>
          </w:p>
        </w:tc>
        <w:tc>
          <w:tcPr>
            <w:tcW w:w="1807" w:type="dxa"/>
          </w:tcPr>
          <w:p w:rsidR="003E022D" w:rsidRDefault="007D19D6">
            <w:pPr>
              <w:autoSpaceDE w:val="0"/>
              <w:autoSpaceDN w:val="0"/>
              <w:adjustRightInd w:val="0"/>
              <w:jc w:val="center"/>
              <w:rPr>
                <w:rFonts w:cstheme="minorHAnsi"/>
                <w:b/>
                <w:bCs/>
                <w:noProof/>
              </w:rPr>
            </w:pPr>
            <w:r>
              <w:rPr>
                <w:b/>
                <w:bCs/>
                <w:noProof/>
              </w:rPr>
              <w:t>Gada kvotas eksportam no Apvienotās Karalistes uz Savienību</w:t>
            </w:r>
          </w:p>
          <w:p w:rsidR="003E022D" w:rsidRDefault="007D19D6">
            <w:pPr>
              <w:autoSpaceDE w:val="0"/>
              <w:autoSpaceDN w:val="0"/>
              <w:adjustRightInd w:val="0"/>
              <w:jc w:val="center"/>
              <w:rPr>
                <w:rFonts w:cstheme="minorHAnsi"/>
                <w:b/>
                <w:bCs/>
                <w:noProof/>
              </w:rPr>
            </w:pPr>
            <w:r>
              <w:rPr>
                <w:b/>
                <w:bCs/>
                <w:noProof/>
              </w:rPr>
              <w:t>(neto svars)</w:t>
            </w:r>
          </w:p>
        </w:tc>
      </w:tr>
      <w:tr w:rsidR="003E022D">
        <w:tc>
          <w:tcPr>
            <w:tcW w:w="1412" w:type="dxa"/>
          </w:tcPr>
          <w:p w:rsidR="003E022D" w:rsidRDefault="007D19D6">
            <w:pPr>
              <w:autoSpaceDE w:val="0"/>
              <w:autoSpaceDN w:val="0"/>
              <w:adjustRightInd w:val="0"/>
              <w:rPr>
                <w:rFonts w:eastAsia="EUAlbertina-Bold-Identity-H" w:cstheme="minorHAnsi"/>
                <w:b/>
                <w:bCs/>
                <w:noProof/>
              </w:rPr>
            </w:pPr>
            <w:r>
              <w:rPr>
                <w:b/>
                <w:bCs/>
                <w:noProof/>
              </w:rPr>
              <w:t xml:space="preserve">76.03, </w:t>
            </w:r>
            <w:r>
              <w:rPr>
                <w:b/>
                <w:bCs/>
                <w:noProof/>
              </w:rPr>
              <w:t>76.04, 76.06, 76.08-76.16</w:t>
            </w:r>
          </w:p>
        </w:tc>
        <w:tc>
          <w:tcPr>
            <w:tcW w:w="2524" w:type="dxa"/>
          </w:tcPr>
          <w:p w:rsidR="003E022D" w:rsidRDefault="007D19D6">
            <w:pPr>
              <w:autoSpaceDE w:val="0"/>
              <w:autoSpaceDN w:val="0"/>
              <w:adjustRightInd w:val="0"/>
              <w:rPr>
                <w:rFonts w:cstheme="minorHAnsi"/>
                <w:bCs/>
                <w:noProof/>
              </w:rPr>
            </w:pPr>
            <w:r>
              <w:rPr>
                <w:noProof/>
              </w:rPr>
              <w:t>alumīnija ražojumi un izstrādājumi no alumīnija (izņemot alumīnija stiepli un alumīnija foliju)</w:t>
            </w:r>
          </w:p>
        </w:tc>
        <w:tc>
          <w:tcPr>
            <w:tcW w:w="1820" w:type="dxa"/>
          </w:tcPr>
          <w:p w:rsidR="003E022D" w:rsidRDefault="007D19D6">
            <w:pPr>
              <w:autoSpaceDE w:val="0"/>
              <w:autoSpaceDN w:val="0"/>
              <w:adjustRightInd w:val="0"/>
              <w:rPr>
                <w:rFonts w:cstheme="minorHAnsi"/>
                <w:bCs/>
                <w:noProof/>
              </w:rPr>
            </w:pPr>
            <w:r>
              <w:rPr>
                <w:i/>
                <w:noProof/>
              </w:rPr>
              <w:t>CTH</w:t>
            </w:r>
          </w:p>
        </w:tc>
        <w:tc>
          <w:tcPr>
            <w:tcW w:w="1788" w:type="dxa"/>
            <w:vMerge w:val="restart"/>
            <w:vAlign w:val="center"/>
          </w:tcPr>
          <w:p w:rsidR="003E022D" w:rsidRDefault="007D19D6">
            <w:pPr>
              <w:jc w:val="center"/>
              <w:rPr>
                <w:rFonts w:cstheme="minorHAnsi"/>
                <w:bCs/>
                <w:noProof/>
              </w:rPr>
            </w:pPr>
            <w:r>
              <w:rPr>
                <w:noProof/>
              </w:rPr>
              <w:t>72 000 tonnas</w:t>
            </w:r>
          </w:p>
        </w:tc>
        <w:tc>
          <w:tcPr>
            <w:tcW w:w="1807" w:type="dxa"/>
            <w:vMerge w:val="restart"/>
            <w:vAlign w:val="center"/>
          </w:tcPr>
          <w:p w:rsidR="003E022D" w:rsidRDefault="007D19D6">
            <w:pPr>
              <w:jc w:val="center"/>
              <w:rPr>
                <w:noProof/>
              </w:rPr>
            </w:pPr>
            <w:r>
              <w:rPr>
                <w:noProof/>
              </w:rPr>
              <w:t>72 000 tonnas</w:t>
            </w:r>
          </w:p>
        </w:tc>
      </w:tr>
      <w:tr w:rsidR="003E022D">
        <w:tc>
          <w:tcPr>
            <w:tcW w:w="1412" w:type="dxa"/>
          </w:tcPr>
          <w:p w:rsidR="003E022D" w:rsidRDefault="007D19D6">
            <w:pPr>
              <w:autoSpaceDE w:val="0"/>
              <w:autoSpaceDN w:val="0"/>
              <w:adjustRightInd w:val="0"/>
              <w:rPr>
                <w:rFonts w:cstheme="minorHAnsi"/>
                <w:b/>
                <w:bCs/>
                <w:noProof/>
              </w:rPr>
            </w:pPr>
            <w:r>
              <w:rPr>
                <w:b/>
                <w:bCs/>
                <w:noProof/>
              </w:rPr>
              <w:t>76.05</w:t>
            </w:r>
          </w:p>
        </w:tc>
        <w:tc>
          <w:tcPr>
            <w:tcW w:w="2524" w:type="dxa"/>
          </w:tcPr>
          <w:p w:rsidR="003E022D" w:rsidRDefault="007D19D6">
            <w:pPr>
              <w:autoSpaceDE w:val="0"/>
              <w:autoSpaceDN w:val="0"/>
              <w:adjustRightInd w:val="0"/>
              <w:rPr>
                <w:rFonts w:cstheme="minorHAnsi"/>
                <w:b/>
                <w:bCs/>
                <w:noProof/>
              </w:rPr>
            </w:pPr>
            <w:r>
              <w:rPr>
                <w:noProof/>
              </w:rPr>
              <w:t>alumīnija stieples</w:t>
            </w:r>
          </w:p>
        </w:tc>
        <w:tc>
          <w:tcPr>
            <w:tcW w:w="1820" w:type="dxa"/>
          </w:tcPr>
          <w:p w:rsidR="003E022D" w:rsidRDefault="007D19D6">
            <w:pPr>
              <w:rPr>
                <w:noProof/>
              </w:rPr>
            </w:pPr>
            <w:r>
              <w:rPr>
                <w:i/>
                <w:noProof/>
              </w:rPr>
              <w:t>CTH</w:t>
            </w:r>
            <w:r>
              <w:rPr>
                <w:noProof/>
              </w:rPr>
              <w:t>, izņemot no nenoteiktas izcelsmes materiāliem pozīcijā 76.04.</w:t>
            </w:r>
          </w:p>
        </w:tc>
        <w:tc>
          <w:tcPr>
            <w:tcW w:w="1788" w:type="dxa"/>
            <w:vMerge/>
          </w:tcPr>
          <w:p w:rsidR="003E022D" w:rsidRDefault="003E022D">
            <w:pPr>
              <w:rPr>
                <w:noProof/>
              </w:rPr>
            </w:pPr>
          </w:p>
        </w:tc>
        <w:tc>
          <w:tcPr>
            <w:tcW w:w="1807" w:type="dxa"/>
            <w:vMerge/>
          </w:tcPr>
          <w:p w:rsidR="003E022D" w:rsidRDefault="003E022D">
            <w:pPr>
              <w:rPr>
                <w:noProof/>
              </w:rPr>
            </w:pPr>
          </w:p>
        </w:tc>
      </w:tr>
      <w:tr w:rsidR="003E022D">
        <w:tc>
          <w:tcPr>
            <w:tcW w:w="1412" w:type="dxa"/>
          </w:tcPr>
          <w:p w:rsidR="003E022D" w:rsidRDefault="007D19D6">
            <w:pPr>
              <w:autoSpaceDE w:val="0"/>
              <w:autoSpaceDN w:val="0"/>
              <w:adjustRightInd w:val="0"/>
              <w:rPr>
                <w:rFonts w:eastAsia="EUAlbertina-Bold-Identity-H" w:cstheme="minorHAnsi"/>
                <w:b/>
                <w:bCs/>
                <w:noProof/>
              </w:rPr>
            </w:pPr>
            <w:r>
              <w:rPr>
                <w:b/>
                <w:bCs/>
                <w:noProof/>
              </w:rPr>
              <w:t>76.07</w:t>
            </w:r>
          </w:p>
        </w:tc>
        <w:tc>
          <w:tcPr>
            <w:tcW w:w="2524" w:type="dxa"/>
          </w:tcPr>
          <w:p w:rsidR="003E022D" w:rsidRDefault="007D19D6">
            <w:pPr>
              <w:autoSpaceDE w:val="0"/>
              <w:autoSpaceDN w:val="0"/>
              <w:adjustRightInd w:val="0"/>
              <w:rPr>
                <w:noProof/>
              </w:rPr>
            </w:pPr>
            <w:r>
              <w:rPr>
                <w:noProof/>
              </w:rPr>
              <w:t>alumīnija folija</w:t>
            </w:r>
          </w:p>
        </w:tc>
        <w:tc>
          <w:tcPr>
            <w:tcW w:w="1820" w:type="dxa"/>
          </w:tcPr>
          <w:p w:rsidR="003E022D" w:rsidRDefault="007D19D6">
            <w:pPr>
              <w:rPr>
                <w:noProof/>
              </w:rPr>
            </w:pPr>
            <w:r>
              <w:rPr>
                <w:i/>
                <w:noProof/>
              </w:rPr>
              <w:t>CTH</w:t>
            </w:r>
            <w:r>
              <w:rPr>
                <w:noProof/>
              </w:rPr>
              <w:t>, izņemot no nenoteiktas izcelsmes materiāliem pozīcijā 76.06.</w:t>
            </w:r>
          </w:p>
        </w:tc>
        <w:tc>
          <w:tcPr>
            <w:tcW w:w="1788" w:type="dxa"/>
            <w:vMerge/>
          </w:tcPr>
          <w:p w:rsidR="003E022D" w:rsidRDefault="003E022D">
            <w:pPr>
              <w:rPr>
                <w:noProof/>
              </w:rPr>
            </w:pPr>
          </w:p>
        </w:tc>
        <w:tc>
          <w:tcPr>
            <w:tcW w:w="1807" w:type="dxa"/>
            <w:vMerge/>
          </w:tcPr>
          <w:p w:rsidR="003E022D" w:rsidRDefault="003E022D">
            <w:pPr>
              <w:rPr>
                <w:noProof/>
              </w:rPr>
            </w:pPr>
          </w:p>
        </w:tc>
      </w:tr>
    </w:tbl>
    <w:p w:rsidR="003E022D" w:rsidRDefault="003E022D">
      <w:pPr>
        <w:rPr>
          <w:b/>
          <w:noProof/>
        </w:rPr>
      </w:pPr>
    </w:p>
    <w:p w:rsidR="003E022D" w:rsidRDefault="007D19D6">
      <w:pPr>
        <w:rPr>
          <w:b/>
          <w:noProof/>
        </w:rPr>
      </w:pPr>
      <w:r>
        <w:rPr>
          <w:b/>
          <w:noProof/>
        </w:rPr>
        <w:t>3. tabula. No 2027. gada 1. janvāra turpmāk piemērojamās kvotas</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488"/>
        <w:gridCol w:w="1814"/>
        <w:gridCol w:w="1774"/>
        <w:gridCol w:w="1793"/>
      </w:tblGrid>
      <w:tr w:rsidR="003E022D">
        <w:tc>
          <w:tcPr>
            <w:tcW w:w="1412" w:type="dxa"/>
          </w:tcPr>
          <w:p w:rsidR="003E022D" w:rsidRDefault="007D19D6">
            <w:pPr>
              <w:autoSpaceDE w:val="0"/>
              <w:autoSpaceDN w:val="0"/>
              <w:adjustRightInd w:val="0"/>
              <w:jc w:val="center"/>
              <w:rPr>
                <w:rFonts w:cstheme="minorHAnsi"/>
                <w:b/>
                <w:bCs/>
                <w:noProof/>
              </w:rPr>
            </w:pPr>
            <w:r>
              <w:rPr>
                <w:b/>
                <w:noProof/>
              </w:rPr>
              <w:t>Harmonizētās sistēmas klasifikācija (2017)</w:t>
            </w:r>
          </w:p>
        </w:tc>
        <w:tc>
          <w:tcPr>
            <w:tcW w:w="2524" w:type="dxa"/>
          </w:tcPr>
          <w:p w:rsidR="003E022D" w:rsidRDefault="007D19D6">
            <w:pPr>
              <w:autoSpaceDE w:val="0"/>
              <w:autoSpaceDN w:val="0"/>
              <w:adjustRightInd w:val="0"/>
              <w:jc w:val="center"/>
              <w:rPr>
                <w:rFonts w:cstheme="minorHAnsi"/>
                <w:b/>
                <w:bCs/>
                <w:noProof/>
              </w:rPr>
            </w:pPr>
            <w:r>
              <w:rPr>
                <w:b/>
                <w:noProof/>
              </w:rPr>
              <w:t>Ražojuma apraksts</w:t>
            </w:r>
          </w:p>
        </w:tc>
        <w:tc>
          <w:tcPr>
            <w:tcW w:w="1820" w:type="dxa"/>
          </w:tcPr>
          <w:p w:rsidR="003E022D" w:rsidRDefault="007D19D6">
            <w:pPr>
              <w:autoSpaceDE w:val="0"/>
              <w:autoSpaceDN w:val="0"/>
              <w:adjustRightInd w:val="0"/>
              <w:jc w:val="center"/>
              <w:rPr>
                <w:rFonts w:cstheme="minorHAnsi"/>
                <w:b/>
                <w:bCs/>
                <w:noProof/>
              </w:rPr>
            </w:pPr>
            <w:r>
              <w:rPr>
                <w:b/>
                <w:bCs/>
                <w:noProof/>
              </w:rPr>
              <w:t>Alternatīvais konkrētiem ražojumiem piemēroj</w:t>
            </w:r>
            <w:r>
              <w:rPr>
                <w:b/>
                <w:bCs/>
                <w:noProof/>
              </w:rPr>
              <w:t>amais noteikums</w:t>
            </w:r>
          </w:p>
        </w:tc>
        <w:tc>
          <w:tcPr>
            <w:tcW w:w="1788" w:type="dxa"/>
          </w:tcPr>
          <w:p w:rsidR="003E022D" w:rsidRDefault="007D19D6">
            <w:pPr>
              <w:autoSpaceDE w:val="0"/>
              <w:autoSpaceDN w:val="0"/>
              <w:adjustRightInd w:val="0"/>
              <w:jc w:val="center"/>
              <w:rPr>
                <w:rFonts w:cstheme="minorHAnsi"/>
                <w:b/>
                <w:bCs/>
                <w:noProof/>
              </w:rPr>
            </w:pPr>
            <w:r>
              <w:rPr>
                <w:b/>
                <w:bCs/>
                <w:noProof/>
              </w:rPr>
              <w:t>Gada kvotas eksportam no Savienības uz Apvienoto Karalisti</w:t>
            </w:r>
          </w:p>
          <w:p w:rsidR="003E022D" w:rsidRDefault="007D19D6">
            <w:pPr>
              <w:autoSpaceDE w:val="0"/>
              <w:autoSpaceDN w:val="0"/>
              <w:adjustRightInd w:val="0"/>
              <w:jc w:val="center"/>
              <w:rPr>
                <w:rFonts w:cstheme="minorHAnsi"/>
                <w:b/>
                <w:bCs/>
                <w:noProof/>
              </w:rPr>
            </w:pPr>
            <w:r>
              <w:rPr>
                <w:b/>
                <w:bCs/>
                <w:noProof/>
              </w:rPr>
              <w:t>(neto svars)</w:t>
            </w:r>
          </w:p>
        </w:tc>
        <w:tc>
          <w:tcPr>
            <w:tcW w:w="1807" w:type="dxa"/>
          </w:tcPr>
          <w:p w:rsidR="003E022D" w:rsidRDefault="007D19D6">
            <w:pPr>
              <w:autoSpaceDE w:val="0"/>
              <w:autoSpaceDN w:val="0"/>
              <w:adjustRightInd w:val="0"/>
              <w:jc w:val="center"/>
              <w:rPr>
                <w:rFonts w:cstheme="minorHAnsi"/>
                <w:b/>
                <w:bCs/>
                <w:noProof/>
              </w:rPr>
            </w:pPr>
            <w:r>
              <w:rPr>
                <w:b/>
                <w:bCs/>
                <w:noProof/>
              </w:rPr>
              <w:t>Gada kvotas eksportam no Apvienotās Karalistes uz Savienību</w:t>
            </w:r>
          </w:p>
          <w:p w:rsidR="003E022D" w:rsidRDefault="007D19D6">
            <w:pPr>
              <w:autoSpaceDE w:val="0"/>
              <w:autoSpaceDN w:val="0"/>
              <w:adjustRightInd w:val="0"/>
              <w:jc w:val="center"/>
              <w:rPr>
                <w:rFonts w:cstheme="minorHAnsi"/>
                <w:b/>
                <w:bCs/>
                <w:noProof/>
              </w:rPr>
            </w:pPr>
            <w:r>
              <w:rPr>
                <w:b/>
                <w:bCs/>
                <w:noProof/>
              </w:rPr>
              <w:t>(neto svars)</w:t>
            </w:r>
          </w:p>
        </w:tc>
      </w:tr>
      <w:tr w:rsidR="003E022D">
        <w:tc>
          <w:tcPr>
            <w:tcW w:w="1412" w:type="dxa"/>
          </w:tcPr>
          <w:p w:rsidR="003E022D" w:rsidRDefault="007D19D6">
            <w:pPr>
              <w:autoSpaceDE w:val="0"/>
              <w:autoSpaceDN w:val="0"/>
              <w:adjustRightInd w:val="0"/>
              <w:rPr>
                <w:rFonts w:eastAsia="EUAlbertina-Bold-Identity-H" w:cstheme="minorHAnsi"/>
                <w:b/>
                <w:bCs/>
                <w:noProof/>
              </w:rPr>
            </w:pPr>
            <w:r>
              <w:rPr>
                <w:b/>
                <w:bCs/>
                <w:noProof/>
              </w:rPr>
              <w:t>76.04</w:t>
            </w:r>
          </w:p>
        </w:tc>
        <w:tc>
          <w:tcPr>
            <w:tcW w:w="2524" w:type="dxa"/>
          </w:tcPr>
          <w:p w:rsidR="003E022D" w:rsidRDefault="007D19D6">
            <w:pPr>
              <w:autoSpaceDE w:val="0"/>
              <w:autoSpaceDN w:val="0"/>
              <w:adjustRightInd w:val="0"/>
              <w:rPr>
                <w:rFonts w:cstheme="minorHAnsi"/>
                <w:bCs/>
                <w:noProof/>
              </w:rPr>
            </w:pPr>
            <w:r>
              <w:rPr>
                <w:noProof/>
              </w:rPr>
              <w:t>alumīnija stieņi un profili</w:t>
            </w:r>
          </w:p>
        </w:tc>
        <w:tc>
          <w:tcPr>
            <w:tcW w:w="1820" w:type="dxa"/>
          </w:tcPr>
          <w:p w:rsidR="003E022D" w:rsidRDefault="007D19D6">
            <w:pPr>
              <w:autoSpaceDE w:val="0"/>
              <w:autoSpaceDN w:val="0"/>
              <w:adjustRightInd w:val="0"/>
              <w:rPr>
                <w:rFonts w:cstheme="minorHAnsi"/>
                <w:bCs/>
                <w:noProof/>
              </w:rPr>
            </w:pPr>
            <w:r>
              <w:rPr>
                <w:i/>
                <w:noProof/>
              </w:rPr>
              <w:t>CTH</w:t>
            </w:r>
          </w:p>
        </w:tc>
        <w:tc>
          <w:tcPr>
            <w:tcW w:w="1788" w:type="dxa"/>
            <w:vMerge w:val="restart"/>
            <w:vAlign w:val="center"/>
          </w:tcPr>
          <w:p w:rsidR="003E022D" w:rsidRDefault="007D19D6">
            <w:pPr>
              <w:jc w:val="center"/>
              <w:rPr>
                <w:rFonts w:cstheme="minorHAnsi"/>
                <w:bCs/>
                <w:noProof/>
              </w:rPr>
            </w:pPr>
            <w:r>
              <w:rPr>
                <w:noProof/>
              </w:rPr>
              <w:t>57 500 tonnas</w:t>
            </w:r>
          </w:p>
        </w:tc>
        <w:tc>
          <w:tcPr>
            <w:tcW w:w="1807" w:type="dxa"/>
            <w:vMerge w:val="restart"/>
            <w:vAlign w:val="center"/>
          </w:tcPr>
          <w:p w:rsidR="003E022D" w:rsidRDefault="007D19D6">
            <w:pPr>
              <w:jc w:val="center"/>
              <w:rPr>
                <w:noProof/>
              </w:rPr>
            </w:pPr>
            <w:r>
              <w:rPr>
                <w:noProof/>
              </w:rPr>
              <w:t>57 500 tonnas</w:t>
            </w:r>
          </w:p>
        </w:tc>
      </w:tr>
      <w:tr w:rsidR="003E022D">
        <w:tc>
          <w:tcPr>
            <w:tcW w:w="1412" w:type="dxa"/>
          </w:tcPr>
          <w:p w:rsidR="003E022D" w:rsidRDefault="007D19D6">
            <w:pPr>
              <w:autoSpaceDE w:val="0"/>
              <w:autoSpaceDN w:val="0"/>
              <w:adjustRightInd w:val="0"/>
              <w:rPr>
                <w:rFonts w:cstheme="minorHAnsi"/>
                <w:b/>
                <w:bCs/>
                <w:noProof/>
              </w:rPr>
            </w:pPr>
            <w:r>
              <w:rPr>
                <w:b/>
                <w:bCs/>
                <w:noProof/>
              </w:rPr>
              <w:t>76.06</w:t>
            </w:r>
          </w:p>
        </w:tc>
        <w:tc>
          <w:tcPr>
            <w:tcW w:w="2524" w:type="dxa"/>
          </w:tcPr>
          <w:p w:rsidR="003E022D" w:rsidRDefault="007D19D6">
            <w:pPr>
              <w:autoSpaceDE w:val="0"/>
              <w:autoSpaceDN w:val="0"/>
              <w:adjustRightInd w:val="0"/>
              <w:rPr>
                <w:rFonts w:cstheme="minorHAnsi"/>
                <w:b/>
                <w:bCs/>
                <w:noProof/>
              </w:rPr>
            </w:pPr>
            <w:r>
              <w:rPr>
                <w:noProof/>
              </w:rPr>
              <w:t xml:space="preserve">alumīnija plātnes, </w:t>
            </w:r>
            <w:r>
              <w:rPr>
                <w:noProof/>
              </w:rPr>
              <w:t>loksnes un sloksnes, kas ir biezākas par 0,2 mm</w:t>
            </w:r>
          </w:p>
        </w:tc>
        <w:tc>
          <w:tcPr>
            <w:tcW w:w="1820" w:type="dxa"/>
          </w:tcPr>
          <w:p w:rsidR="003E022D" w:rsidRDefault="007D19D6">
            <w:pPr>
              <w:rPr>
                <w:noProof/>
              </w:rPr>
            </w:pPr>
            <w:r>
              <w:rPr>
                <w:i/>
                <w:noProof/>
              </w:rPr>
              <w:t>CTH</w:t>
            </w:r>
          </w:p>
        </w:tc>
        <w:tc>
          <w:tcPr>
            <w:tcW w:w="1788" w:type="dxa"/>
            <w:vMerge/>
            <w:vAlign w:val="center"/>
          </w:tcPr>
          <w:p w:rsidR="003E022D" w:rsidRDefault="003E022D">
            <w:pPr>
              <w:jc w:val="center"/>
              <w:rPr>
                <w:noProof/>
              </w:rPr>
            </w:pPr>
          </w:p>
        </w:tc>
        <w:tc>
          <w:tcPr>
            <w:tcW w:w="1807" w:type="dxa"/>
            <w:vMerge/>
            <w:vAlign w:val="center"/>
          </w:tcPr>
          <w:p w:rsidR="003E022D" w:rsidRDefault="003E022D">
            <w:pPr>
              <w:jc w:val="center"/>
              <w:rPr>
                <w:noProof/>
              </w:rPr>
            </w:pPr>
          </w:p>
        </w:tc>
      </w:tr>
      <w:tr w:rsidR="003E022D">
        <w:tc>
          <w:tcPr>
            <w:tcW w:w="1412" w:type="dxa"/>
          </w:tcPr>
          <w:p w:rsidR="003E022D" w:rsidRDefault="007D19D6">
            <w:pPr>
              <w:autoSpaceDE w:val="0"/>
              <w:autoSpaceDN w:val="0"/>
              <w:adjustRightInd w:val="0"/>
              <w:rPr>
                <w:rFonts w:eastAsia="EUAlbertina-Bold-Identity-H" w:cstheme="minorHAnsi"/>
                <w:b/>
                <w:bCs/>
                <w:noProof/>
              </w:rPr>
            </w:pPr>
            <w:r>
              <w:rPr>
                <w:b/>
                <w:bCs/>
                <w:noProof/>
              </w:rPr>
              <w:t>76.07</w:t>
            </w:r>
          </w:p>
        </w:tc>
        <w:tc>
          <w:tcPr>
            <w:tcW w:w="2524" w:type="dxa"/>
          </w:tcPr>
          <w:p w:rsidR="003E022D" w:rsidRDefault="007D19D6">
            <w:pPr>
              <w:autoSpaceDE w:val="0"/>
              <w:autoSpaceDN w:val="0"/>
              <w:adjustRightInd w:val="0"/>
              <w:rPr>
                <w:noProof/>
              </w:rPr>
            </w:pPr>
            <w:r>
              <w:rPr>
                <w:noProof/>
              </w:rPr>
              <w:t>alumīnija folija</w:t>
            </w:r>
          </w:p>
        </w:tc>
        <w:tc>
          <w:tcPr>
            <w:tcW w:w="1820" w:type="dxa"/>
          </w:tcPr>
          <w:p w:rsidR="003E022D" w:rsidRDefault="007D19D6">
            <w:pPr>
              <w:rPr>
                <w:noProof/>
              </w:rPr>
            </w:pPr>
            <w:r>
              <w:rPr>
                <w:i/>
                <w:noProof/>
              </w:rPr>
              <w:t>CTH</w:t>
            </w:r>
            <w:r>
              <w:rPr>
                <w:noProof/>
              </w:rPr>
              <w:t>, izņemot no nenoteiktas izcelsmes materiāliem pozīcijā 76.06.</w:t>
            </w:r>
          </w:p>
        </w:tc>
        <w:tc>
          <w:tcPr>
            <w:tcW w:w="1788" w:type="dxa"/>
            <w:vMerge/>
            <w:vAlign w:val="center"/>
          </w:tcPr>
          <w:p w:rsidR="003E022D" w:rsidRDefault="003E022D">
            <w:pPr>
              <w:jc w:val="center"/>
              <w:rPr>
                <w:noProof/>
              </w:rPr>
            </w:pPr>
          </w:p>
        </w:tc>
        <w:tc>
          <w:tcPr>
            <w:tcW w:w="1807" w:type="dxa"/>
            <w:vMerge/>
            <w:vAlign w:val="center"/>
          </w:tcPr>
          <w:p w:rsidR="003E022D" w:rsidRDefault="003E022D">
            <w:pPr>
              <w:jc w:val="center"/>
              <w:rPr>
                <w:noProof/>
              </w:rPr>
            </w:pPr>
          </w:p>
        </w:tc>
      </w:tr>
    </w:tbl>
    <w:p w:rsidR="003E022D" w:rsidRDefault="007D19D6">
      <w:pPr>
        <w:spacing w:before="100" w:beforeAutospacing="1" w:after="100" w:afterAutospacing="1"/>
        <w:rPr>
          <w:noProof/>
        </w:rPr>
      </w:pPr>
      <w:r>
        <w:rPr>
          <w:b/>
          <w:bCs/>
          <w:noProof/>
        </w:rPr>
        <w:t>Kvotu pārskatīšana 2. iedaļas 3. tabulas alumīnija ražojumiem</w:t>
      </w:r>
    </w:p>
    <w:p w:rsidR="003E022D" w:rsidRDefault="007D19D6">
      <w:pPr>
        <w:pStyle w:val="ListParagraph"/>
        <w:numPr>
          <w:ilvl w:val="0"/>
          <w:numId w:val="773"/>
        </w:numPr>
        <w:spacing w:before="100" w:beforeAutospacing="1" w:after="100" w:afterAutospacing="1"/>
        <w:ind w:left="567" w:hanging="425"/>
        <w:contextualSpacing w:val="0"/>
        <w:jc w:val="left"/>
        <w:rPr>
          <w:rFonts w:cstheme="minorHAnsi"/>
          <w:noProof/>
        </w:rPr>
      </w:pPr>
      <w:r>
        <w:rPr>
          <w:noProof/>
        </w:rPr>
        <w:t xml:space="preserve">Ne agrāk kā 5 gadus pēc šā nolīguma stāšanās </w:t>
      </w:r>
      <w:r>
        <w:rPr>
          <w:noProof/>
        </w:rPr>
        <w:t>spēkā un ne agrāk kā 5 gadus pēc šajā punktā minētās pārskatīšanas pabeigšanas Tirdzniecības partnerības komiteja pēc jebkuras Puses pieprasījuma un ar Tirdzniecības specializētās komitejas muitas sadarbības un izcelsmes noteikumu jomā palīdzību pārskata 2</w:t>
      </w:r>
      <w:r>
        <w:rPr>
          <w:noProof/>
        </w:rPr>
        <w:t>. iedaļas 3. tabulā iekļautās alumīnija kvotas. </w:t>
      </w:r>
    </w:p>
    <w:p w:rsidR="003E022D" w:rsidRDefault="007D19D6">
      <w:pPr>
        <w:pStyle w:val="ListParagraph"/>
        <w:spacing w:before="100" w:beforeAutospacing="1" w:after="100" w:afterAutospacing="1"/>
        <w:ind w:left="567" w:hanging="425"/>
        <w:rPr>
          <w:rFonts w:cstheme="minorHAnsi"/>
          <w:noProof/>
        </w:rPr>
      </w:pPr>
      <w:r>
        <w:rPr>
          <w:b/>
          <w:bCs/>
          <w:noProof/>
        </w:rPr>
        <w:t>2.     </w:t>
      </w:r>
      <w:r>
        <w:rPr>
          <w:noProof/>
        </w:rPr>
        <w:t>Šā panta 1. punktā minēto pārskatīšanu veic, pamatojoties uz pieejamo informāciju par tirgus apstākļiem abās Pusēs un informāciju par to attiecīgo ražojumu importu un eksportu.</w:t>
      </w:r>
      <w:r>
        <w:rPr>
          <w:b/>
          <w:bCs/>
          <w:noProof/>
        </w:rPr>
        <w:t xml:space="preserve"> </w:t>
      </w:r>
    </w:p>
    <w:p w:rsidR="003E022D" w:rsidRDefault="007D19D6">
      <w:pPr>
        <w:pStyle w:val="ListParagraph"/>
        <w:ind w:left="567" w:hanging="425"/>
        <w:rPr>
          <w:noProof/>
        </w:rPr>
      </w:pPr>
      <w:r>
        <w:rPr>
          <w:b/>
          <w:bCs/>
          <w:noProof/>
        </w:rPr>
        <w:t>3.     </w:t>
      </w:r>
      <w:r>
        <w:rPr>
          <w:noProof/>
        </w:rPr>
        <w:t>Pamatojoties uz rezultātiem, kas iegūti pārskatīšanā, kura veikta saskaņā ar 1. punktu, Partnerības padome var pieņemt lēmumu palielināt vai saglabāt 2. iedaļas 3. tabulā iekļauto alumīnija kvotu apjomu, mainīt darbības jomu vai sadalīt vai mainīt sadalīju</w:t>
      </w:r>
      <w:r>
        <w:rPr>
          <w:noProof/>
        </w:rPr>
        <w:t xml:space="preserve">mu starp ražojumiem. </w:t>
      </w:r>
    </w:p>
    <w:p w:rsidR="003E022D" w:rsidRDefault="003E022D">
      <w:pPr>
        <w:pStyle w:val="ListParagraph"/>
        <w:ind w:left="567" w:hanging="425"/>
        <w:rPr>
          <w:bCs/>
          <w:noProof/>
        </w:rPr>
      </w:pPr>
    </w:p>
    <w:p w:rsidR="003E022D" w:rsidRDefault="003E022D">
      <w:pPr>
        <w:pStyle w:val="ListParagraph"/>
        <w:ind w:left="567" w:hanging="425"/>
        <w:rPr>
          <w:bCs/>
          <w:noProof/>
        </w:rPr>
      </w:pPr>
    </w:p>
    <w:p w:rsidR="003E022D" w:rsidRDefault="007D19D6">
      <w:pPr>
        <w:spacing w:after="160" w:line="259" w:lineRule="auto"/>
        <w:jc w:val="left"/>
        <w:rPr>
          <w:bCs/>
          <w:noProof/>
        </w:rPr>
      </w:pPr>
      <w:r>
        <w:rPr>
          <w:noProof/>
        </w:rPr>
        <w:br w:type="page"/>
      </w:r>
    </w:p>
    <w:p w:rsidR="003E022D" w:rsidRDefault="007D19D6">
      <w:pPr>
        <w:pStyle w:val="ANNEX"/>
        <w:rPr>
          <w:i w:val="0"/>
          <w:noProof/>
        </w:rPr>
      </w:pPr>
      <w:bookmarkStart w:id="952" w:name="_Toc59988389"/>
      <w:r>
        <w:rPr>
          <w:i w:val="0"/>
          <w:noProof/>
        </w:rPr>
        <w:t>ORIG-2B. PIELIKUMS. KONKRĒTIEM RAŽOJUMIEM PIEMĒROJAMI PĀREJAS NOTEIKUMI ELEKTRISKAJIEM AKUMULATORIEM UN ELEKTRIFICĒTIEM TRANSPORTLĪDZEKĻIEM</w:t>
      </w:r>
      <w:bookmarkEnd w:id="952"/>
    </w:p>
    <w:p w:rsidR="003E022D" w:rsidRDefault="007D19D6">
      <w:pPr>
        <w:autoSpaceDE w:val="0"/>
        <w:autoSpaceDN w:val="0"/>
        <w:adjustRightInd w:val="0"/>
        <w:spacing w:after="0"/>
        <w:rPr>
          <w:rFonts w:eastAsia="Calibri" w:cs="Calibri"/>
          <w:b/>
          <w:noProof/>
        </w:rPr>
      </w:pPr>
      <w:r>
        <w:rPr>
          <w:b/>
          <w:noProof/>
        </w:rPr>
        <w:t>1. iedaļa – Konkrētiem ražojumiem piemērojamie pagaidu noteikumi, ko piemēro no šā nolīgum</w:t>
      </w:r>
      <w:r>
        <w:rPr>
          <w:b/>
          <w:noProof/>
        </w:rPr>
        <w:t>a spēkā stāšanās dienas līdz 2023. gada 31. decembrim.</w:t>
      </w:r>
    </w:p>
    <w:p w:rsidR="003E022D" w:rsidRDefault="003E022D">
      <w:pPr>
        <w:autoSpaceDE w:val="0"/>
        <w:autoSpaceDN w:val="0"/>
        <w:adjustRightInd w:val="0"/>
        <w:spacing w:after="0"/>
        <w:rPr>
          <w:rFonts w:eastAsia="Calibri" w:cs="Calibri"/>
          <w:noProof/>
        </w:rPr>
      </w:pPr>
    </w:p>
    <w:p w:rsidR="003E022D" w:rsidRDefault="007D19D6">
      <w:pPr>
        <w:autoSpaceDE w:val="0"/>
        <w:autoSpaceDN w:val="0"/>
        <w:adjustRightInd w:val="0"/>
        <w:spacing w:after="0"/>
        <w:rPr>
          <w:rFonts w:eastAsia="Calibri" w:cs="Calibri"/>
          <w:noProof/>
        </w:rPr>
      </w:pPr>
      <w:r>
        <w:rPr>
          <w:noProof/>
        </w:rPr>
        <w:t>1.</w:t>
      </w:r>
      <w:r>
        <w:rPr>
          <w:noProof/>
        </w:rPr>
        <w:tab/>
        <w:t>Ražojumiem, kas uzskaitīti turpmāk 1. slejā, no šā nolīguma stāšanās spēkā līdz 2023. gada 31. decembrim piemēro 2. slejā uzskaitītos konkrētiem ražojumiem piemērojamos noteikumus.</w:t>
      </w:r>
    </w:p>
    <w:p w:rsidR="003E022D" w:rsidRDefault="003E022D">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3E022D">
        <w:tc>
          <w:tcPr>
            <w:tcW w:w="2552" w:type="dxa"/>
          </w:tcPr>
          <w:p w:rsidR="003E022D" w:rsidRDefault="007D19D6">
            <w:pPr>
              <w:rPr>
                <w:rFonts w:eastAsia="Calibri" w:cs="Times New Roman"/>
                <w:b/>
                <w:bCs/>
                <w:noProof/>
              </w:rPr>
            </w:pPr>
            <w:r>
              <w:rPr>
                <w:b/>
                <w:bCs/>
                <w:noProof/>
              </w:rPr>
              <w:t>1. sleja</w:t>
            </w:r>
          </w:p>
          <w:p w:rsidR="003E022D" w:rsidRDefault="007D19D6">
            <w:pPr>
              <w:rPr>
                <w:rFonts w:eastAsia="Calibri" w:cs="Times New Roman"/>
                <w:bCs/>
                <w:noProof/>
              </w:rPr>
            </w:pPr>
            <w:r>
              <w:rPr>
                <w:b/>
                <w:bCs/>
                <w:noProof/>
              </w:rPr>
              <w:t>Harmonizētās sistēmas klasifikācija (2017), iekļaujot konkrētu aprakstu</w:t>
            </w:r>
          </w:p>
        </w:tc>
        <w:tc>
          <w:tcPr>
            <w:tcW w:w="6947" w:type="dxa"/>
          </w:tcPr>
          <w:p w:rsidR="003E022D" w:rsidRDefault="007D19D6">
            <w:pPr>
              <w:rPr>
                <w:rFonts w:eastAsia="Calibri" w:cs="Times New Roman"/>
                <w:b/>
                <w:bCs/>
                <w:noProof/>
              </w:rPr>
            </w:pPr>
            <w:r>
              <w:rPr>
                <w:b/>
                <w:bCs/>
                <w:noProof/>
              </w:rPr>
              <w:t>2. sleja</w:t>
            </w:r>
          </w:p>
          <w:p w:rsidR="003E022D" w:rsidRDefault="007D19D6">
            <w:pPr>
              <w:rPr>
                <w:rFonts w:eastAsia="Calibri" w:cs="Times New Roman"/>
                <w:bCs/>
                <w:noProof/>
              </w:rPr>
            </w:pPr>
            <w:r>
              <w:rPr>
                <w:b/>
                <w:bCs/>
                <w:noProof/>
              </w:rPr>
              <w:t>Konkrētiem ražojumiem piemērojamie izcelsmes noteikumi no šā nolīguma spēkā stāšanās dienas līdz 2023. gada 31. decembrim</w:t>
            </w:r>
          </w:p>
        </w:tc>
      </w:tr>
      <w:tr w:rsidR="003E022D">
        <w:tc>
          <w:tcPr>
            <w:tcW w:w="2552" w:type="dxa"/>
          </w:tcPr>
          <w:p w:rsidR="003E022D" w:rsidRDefault="007D19D6">
            <w:pPr>
              <w:rPr>
                <w:rFonts w:eastAsia="Calibri" w:cs="Times New Roman"/>
                <w:bCs/>
                <w:noProof/>
              </w:rPr>
            </w:pPr>
            <w:r>
              <w:rPr>
                <w:noProof/>
              </w:rPr>
              <w:t>85.07</w:t>
            </w:r>
          </w:p>
        </w:tc>
        <w:tc>
          <w:tcPr>
            <w:tcW w:w="6947" w:type="dxa"/>
          </w:tcPr>
          <w:p w:rsidR="003E022D" w:rsidRDefault="003E022D">
            <w:pPr>
              <w:rPr>
                <w:rFonts w:eastAsia="Calibri" w:cs="Times New Roman"/>
                <w:bCs/>
                <w:noProof/>
              </w:rPr>
            </w:pPr>
          </w:p>
        </w:tc>
      </w:tr>
      <w:tr w:rsidR="003E022D">
        <w:tc>
          <w:tcPr>
            <w:tcW w:w="2552" w:type="dxa"/>
          </w:tcPr>
          <w:p w:rsidR="003E022D" w:rsidRDefault="007D19D6">
            <w:pPr>
              <w:rPr>
                <w:rFonts w:eastAsia="Calibri" w:cs="Times New Roman"/>
                <w:bCs/>
                <w:noProof/>
              </w:rPr>
            </w:pPr>
            <w:r>
              <w:rPr>
                <w:noProof/>
              </w:rPr>
              <w:t xml:space="preserve">- akumulatori, kuros ir viens vai vairāki </w:t>
            </w:r>
            <w:r>
              <w:rPr>
                <w:noProof/>
              </w:rPr>
              <w:t>baterijas elementi vai baterijas moduļi un shēma, kas savstarpēji savieno baterijas elementus, bieži dēvēti par “bateriju komplektiem”, ko izmanto kā primāro elektroenerģijas avotu pozīcijā 87.02, 87.03 un 87.04 minēto transportlīdzekļu piedziņai</w:t>
            </w:r>
          </w:p>
        </w:tc>
        <w:tc>
          <w:tcPr>
            <w:tcW w:w="6947" w:type="dxa"/>
          </w:tcPr>
          <w:p w:rsidR="003E022D" w:rsidRDefault="007D19D6">
            <w:pPr>
              <w:rPr>
                <w:rFonts w:eastAsia="Calibri" w:cs="Times New Roman"/>
                <w:bCs/>
                <w:noProof/>
              </w:rPr>
            </w:pPr>
            <w:r>
              <w:rPr>
                <w:i/>
                <w:iCs/>
                <w:noProof/>
              </w:rPr>
              <w:t>CTSH</w:t>
            </w:r>
          </w:p>
          <w:p w:rsidR="003E022D" w:rsidRDefault="007D19D6">
            <w:pPr>
              <w:rPr>
                <w:rFonts w:eastAsia="Calibri" w:cs="Times New Roman"/>
                <w:bCs/>
                <w:noProof/>
              </w:rPr>
            </w:pPr>
            <w:r>
              <w:rPr>
                <w:noProof/>
              </w:rPr>
              <w:t>Bate</w:t>
            </w:r>
            <w:r>
              <w:rPr>
                <w:noProof/>
              </w:rPr>
              <w:t xml:space="preserve">riju komplektu mezgls no nenoteiktas izcelsmes baterijas elementiem vai baterijas moduļiem; </w:t>
            </w:r>
          </w:p>
          <w:p w:rsidR="003E022D" w:rsidRDefault="007D19D6">
            <w:pPr>
              <w:rPr>
                <w:rFonts w:eastAsia="Calibri" w:cs="Times New Roman"/>
                <w:bCs/>
                <w:noProof/>
              </w:rPr>
            </w:pPr>
            <w:r>
              <w:rPr>
                <w:noProof/>
              </w:rPr>
              <w:t>vai</w:t>
            </w:r>
          </w:p>
          <w:p w:rsidR="003E022D" w:rsidRDefault="007D19D6">
            <w:pPr>
              <w:rPr>
                <w:rFonts w:eastAsia="Calibri" w:cs="Times New Roman"/>
                <w:bCs/>
                <w:noProof/>
              </w:rPr>
            </w:pPr>
            <w:r>
              <w:rPr>
                <w:i/>
                <w:iCs/>
                <w:noProof/>
              </w:rPr>
              <w:t>MaxNOM</w:t>
            </w:r>
            <w:r>
              <w:rPr>
                <w:noProof/>
              </w:rPr>
              <w:t xml:space="preserve"> 70 % (</w:t>
            </w:r>
            <w:r>
              <w:rPr>
                <w:i/>
                <w:iCs/>
                <w:noProof/>
              </w:rPr>
              <w:t>EXW</w:t>
            </w:r>
            <w:r>
              <w:rPr>
                <w:noProof/>
              </w:rPr>
              <w:t>).</w:t>
            </w:r>
          </w:p>
        </w:tc>
      </w:tr>
      <w:tr w:rsidR="003E022D">
        <w:tc>
          <w:tcPr>
            <w:tcW w:w="2552" w:type="dxa"/>
          </w:tcPr>
          <w:p w:rsidR="003E022D" w:rsidRDefault="007D19D6">
            <w:pPr>
              <w:rPr>
                <w:rFonts w:eastAsia="Calibri" w:cs="Times New Roman"/>
                <w:bCs/>
                <w:noProof/>
              </w:rPr>
            </w:pPr>
            <w:r>
              <w:rPr>
                <w:noProof/>
              </w:rPr>
              <w:t>- baterijas elementi, baterijas moduļi un to daļas, kas paredzēti iebūvēšanai elektriskajā akumulatorā, ko izmanto kā primāro elektroenerģi</w:t>
            </w:r>
            <w:r>
              <w:rPr>
                <w:noProof/>
              </w:rPr>
              <w:t>jas avotu pozīcijā 87.02, 87.03 un 87.04 minēto transportlīdzekļu piedziņai</w:t>
            </w:r>
          </w:p>
        </w:tc>
        <w:tc>
          <w:tcPr>
            <w:tcW w:w="6947" w:type="dxa"/>
          </w:tcPr>
          <w:p w:rsidR="003E022D" w:rsidRDefault="007D19D6">
            <w:pPr>
              <w:rPr>
                <w:rFonts w:eastAsia="Calibri" w:cs="Times New Roman"/>
                <w:bCs/>
                <w:noProof/>
              </w:rPr>
            </w:pPr>
            <w:r>
              <w:rPr>
                <w:i/>
                <w:iCs/>
                <w:noProof/>
              </w:rPr>
              <w:t>CTH</w:t>
            </w:r>
            <w:r>
              <w:rPr>
                <w:noProof/>
              </w:rPr>
              <w:t xml:space="preserve"> </w:t>
            </w:r>
          </w:p>
          <w:p w:rsidR="003E022D" w:rsidRDefault="007D19D6">
            <w:pPr>
              <w:rPr>
                <w:rFonts w:eastAsia="Calibri" w:cs="Times New Roman"/>
                <w:bCs/>
                <w:noProof/>
              </w:rPr>
            </w:pPr>
            <w:r>
              <w:rPr>
                <w:noProof/>
              </w:rPr>
              <w:t>vai</w:t>
            </w:r>
          </w:p>
          <w:p w:rsidR="003E022D" w:rsidRDefault="007D19D6">
            <w:pPr>
              <w:rPr>
                <w:rFonts w:eastAsia="Calibri" w:cs="Times New Roman"/>
                <w:bCs/>
                <w:noProof/>
              </w:rPr>
            </w:pPr>
            <w:r>
              <w:rPr>
                <w:i/>
                <w:iCs/>
                <w:noProof/>
              </w:rPr>
              <w:t>MaxNOM</w:t>
            </w:r>
            <w:r>
              <w:rPr>
                <w:noProof/>
              </w:rPr>
              <w:t xml:space="preserve"> 70 % (</w:t>
            </w:r>
            <w:r>
              <w:rPr>
                <w:i/>
                <w:iCs/>
                <w:noProof/>
              </w:rPr>
              <w:t>EXW</w:t>
            </w:r>
            <w:r>
              <w:rPr>
                <w:noProof/>
              </w:rPr>
              <w:t>).</w:t>
            </w:r>
          </w:p>
        </w:tc>
      </w:tr>
      <w:tr w:rsidR="003E022D">
        <w:tc>
          <w:tcPr>
            <w:tcW w:w="2552" w:type="dxa"/>
          </w:tcPr>
          <w:p w:rsidR="003E022D" w:rsidRDefault="007D19D6">
            <w:pPr>
              <w:rPr>
                <w:rFonts w:eastAsia="Calibri" w:cs="Times New Roman"/>
                <w:bCs/>
                <w:noProof/>
              </w:rPr>
            </w:pPr>
            <w:r>
              <w:rPr>
                <w:noProof/>
              </w:rPr>
              <w:t>87.02-87.04</w:t>
            </w:r>
          </w:p>
        </w:tc>
        <w:tc>
          <w:tcPr>
            <w:tcW w:w="6947" w:type="dxa"/>
          </w:tcPr>
          <w:p w:rsidR="003E022D" w:rsidRDefault="003E022D">
            <w:pPr>
              <w:rPr>
                <w:rFonts w:eastAsia="Calibri" w:cs="Times New Roman"/>
                <w:bCs/>
                <w:noProof/>
              </w:rPr>
            </w:pPr>
          </w:p>
        </w:tc>
      </w:tr>
      <w:tr w:rsidR="003E022D">
        <w:tc>
          <w:tcPr>
            <w:tcW w:w="2552" w:type="dxa"/>
          </w:tcPr>
          <w:p w:rsidR="003E022D" w:rsidRDefault="007D19D6">
            <w:pPr>
              <w:rPr>
                <w:rFonts w:eastAsia="Calibri" w:cs="Times New Roman"/>
                <w:bCs/>
                <w:noProof/>
              </w:rPr>
            </w:pPr>
            <w:r>
              <w:rPr>
                <w:noProof/>
              </w:rPr>
              <w:t>- transportlīdzekļi, kuru piedziņa ir gan iekšdedzes motors, gan elektriskais motors un kurus nevar uzlādēt, pieslēdzot pie ārēja elektro</w:t>
            </w:r>
            <w:r>
              <w:rPr>
                <w:noProof/>
              </w:rPr>
              <w:t>enerģijas avota (“hibrīds”);</w:t>
            </w:r>
          </w:p>
          <w:p w:rsidR="003E022D" w:rsidRDefault="007D19D6">
            <w:pPr>
              <w:rPr>
                <w:rFonts w:eastAsia="Calibri" w:cs="Times New Roman"/>
                <w:bCs/>
                <w:noProof/>
              </w:rPr>
            </w:pPr>
            <w:r>
              <w:rPr>
                <w:noProof/>
              </w:rPr>
              <w:t>- transportlīdzekļi, kuru piedziņa ir gan atgriezeniskās virzes kustības iekšdedzes virzuļmotors, gan elektriskais motors un kurus var uzlādēt, pieslēdzot pie ārēja elektroenerģijas avota (“uzlādējams hibrīds”);</w:t>
            </w:r>
          </w:p>
          <w:p w:rsidR="003E022D" w:rsidRDefault="007D19D6">
            <w:pPr>
              <w:rPr>
                <w:rFonts w:eastAsia="Calibri" w:cs="Times New Roman"/>
                <w:bCs/>
                <w:noProof/>
              </w:rPr>
            </w:pPr>
            <w:r>
              <w:rPr>
                <w:noProof/>
              </w:rPr>
              <w:t xml:space="preserve"> - citādi transportlīdzekļi, kuru dzinējs ir vienīgi elektriskais motors</w:t>
            </w:r>
          </w:p>
        </w:tc>
        <w:tc>
          <w:tcPr>
            <w:tcW w:w="6947" w:type="dxa"/>
          </w:tcPr>
          <w:p w:rsidR="003E022D" w:rsidRDefault="007D19D6">
            <w:pPr>
              <w:rPr>
                <w:rFonts w:eastAsia="Calibri" w:cs="Times New Roman"/>
                <w:bCs/>
                <w:noProof/>
              </w:rPr>
            </w:pPr>
            <w:r>
              <w:rPr>
                <w:i/>
                <w:iCs/>
                <w:noProof/>
              </w:rPr>
              <w:t>MaxNOM</w:t>
            </w:r>
            <w:r>
              <w:rPr>
                <w:noProof/>
              </w:rPr>
              <w:t xml:space="preserve"> 60 % (</w:t>
            </w:r>
            <w:r>
              <w:rPr>
                <w:i/>
                <w:iCs/>
                <w:noProof/>
              </w:rPr>
              <w:t>EXW</w:t>
            </w:r>
            <w:r>
              <w:rPr>
                <w:noProof/>
              </w:rPr>
              <w:t>).</w:t>
            </w:r>
          </w:p>
        </w:tc>
      </w:tr>
    </w:tbl>
    <w:p w:rsidR="003E022D" w:rsidRDefault="003E022D">
      <w:pPr>
        <w:rPr>
          <w:rFonts w:eastAsia="Calibri" w:cs="Times New Roman"/>
          <w:noProof/>
        </w:rPr>
      </w:pPr>
    </w:p>
    <w:p w:rsidR="003E022D" w:rsidRDefault="007D19D6">
      <w:pPr>
        <w:autoSpaceDE w:val="0"/>
        <w:autoSpaceDN w:val="0"/>
        <w:adjustRightInd w:val="0"/>
        <w:spacing w:after="0"/>
        <w:rPr>
          <w:rFonts w:eastAsia="Calibri" w:cs="Calibri"/>
          <w:b/>
          <w:noProof/>
        </w:rPr>
      </w:pPr>
      <w:r>
        <w:rPr>
          <w:b/>
          <w:noProof/>
        </w:rPr>
        <w:t>2. iedaļa – Konkrētiem ražojumiem piemērojamie pagaidu noteikumi, kurus piemēro no 2024. gada 1. janvāra līdz 2026. gada 31. decembrim.</w:t>
      </w:r>
    </w:p>
    <w:p w:rsidR="003E022D" w:rsidRDefault="003E022D">
      <w:pPr>
        <w:autoSpaceDE w:val="0"/>
        <w:autoSpaceDN w:val="0"/>
        <w:adjustRightInd w:val="0"/>
        <w:spacing w:after="0"/>
        <w:rPr>
          <w:rFonts w:eastAsia="Calibri" w:cs="Calibri"/>
          <w:noProof/>
        </w:rPr>
      </w:pPr>
    </w:p>
    <w:p w:rsidR="003E022D" w:rsidRDefault="007D19D6">
      <w:pPr>
        <w:autoSpaceDE w:val="0"/>
        <w:autoSpaceDN w:val="0"/>
        <w:adjustRightInd w:val="0"/>
        <w:spacing w:after="0"/>
        <w:rPr>
          <w:rFonts w:eastAsia="Calibri" w:cs="Calibri"/>
          <w:noProof/>
        </w:rPr>
      </w:pPr>
      <w:r>
        <w:rPr>
          <w:noProof/>
        </w:rPr>
        <w:t>1.</w:t>
      </w:r>
      <w:r>
        <w:rPr>
          <w:noProof/>
        </w:rPr>
        <w:tab/>
        <w:t>Ražojumiem, kas uzskai</w:t>
      </w:r>
      <w:r>
        <w:rPr>
          <w:noProof/>
        </w:rPr>
        <w:t>tīti turpmāk 1. slejā, no 2024. gada 1. janvāra līdz 2026. gada 31. decembrim piemēro 2. slejā uzskaitītos konkrētiem ražojumiem piemērojamos noteikumus.</w:t>
      </w:r>
    </w:p>
    <w:p w:rsidR="003E022D" w:rsidRDefault="003E022D">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3E022D">
        <w:tc>
          <w:tcPr>
            <w:tcW w:w="2552" w:type="dxa"/>
          </w:tcPr>
          <w:p w:rsidR="003E022D" w:rsidRDefault="007D19D6">
            <w:pPr>
              <w:rPr>
                <w:rFonts w:eastAsia="Calibri" w:cs="Times New Roman"/>
                <w:b/>
                <w:bCs/>
                <w:noProof/>
              </w:rPr>
            </w:pPr>
            <w:r>
              <w:rPr>
                <w:b/>
                <w:bCs/>
                <w:noProof/>
              </w:rPr>
              <w:t>1. sleja</w:t>
            </w:r>
          </w:p>
          <w:p w:rsidR="003E022D" w:rsidRDefault="007D19D6">
            <w:pPr>
              <w:rPr>
                <w:rFonts w:eastAsia="Calibri" w:cs="Times New Roman"/>
                <w:bCs/>
                <w:noProof/>
              </w:rPr>
            </w:pPr>
            <w:r>
              <w:rPr>
                <w:b/>
                <w:bCs/>
                <w:noProof/>
              </w:rPr>
              <w:t>Harmonizētās sistēmas klasifikācija (2017), iekļaujot konkrētu aprakstu</w:t>
            </w:r>
          </w:p>
        </w:tc>
        <w:tc>
          <w:tcPr>
            <w:tcW w:w="6947" w:type="dxa"/>
          </w:tcPr>
          <w:p w:rsidR="003E022D" w:rsidRDefault="007D19D6">
            <w:pPr>
              <w:rPr>
                <w:rFonts w:eastAsia="Calibri" w:cs="Times New Roman"/>
                <w:b/>
                <w:bCs/>
                <w:noProof/>
              </w:rPr>
            </w:pPr>
            <w:r>
              <w:rPr>
                <w:b/>
                <w:bCs/>
                <w:noProof/>
              </w:rPr>
              <w:t>2. sleja</w:t>
            </w:r>
          </w:p>
          <w:p w:rsidR="003E022D" w:rsidRDefault="007D19D6">
            <w:pPr>
              <w:rPr>
                <w:rFonts w:eastAsia="Calibri" w:cs="Times New Roman"/>
                <w:bCs/>
                <w:noProof/>
              </w:rPr>
            </w:pPr>
            <w:r>
              <w:rPr>
                <w:b/>
                <w:noProof/>
              </w:rPr>
              <w:t xml:space="preserve">Konkrētiem </w:t>
            </w:r>
            <w:r>
              <w:rPr>
                <w:b/>
                <w:noProof/>
              </w:rPr>
              <w:t>ražojumiem piemērojamie izcelsmes noteikumi no 2024. gada 1. janvāra līdz 2026. gada 31. decembrim</w:t>
            </w:r>
          </w:p>
        </w:tc>
      </w:tr>
      <w:tr w:rsidR="003E022D">
        <w:tc>
          <w:tcPr>
            <w:tcW w:w="2552" w:type="dxa"/>
          </w:tcPr>
          <w:p w:rsidR="003E022D" w:rsidRDefault="007D19D6">
            <w:pPr>
              <w:rPr>
                <w:rFonts w:eastAsia="Calibri" w:cs="Times New Roman"/>
                <w:bCs/>
                <w:noProof/>
              </w:rPr>
            </w:pPr>
            <w:r>
              <w:rPr>
                <w:noProof/>
              </w:rPr>
              <w:t>85.07</w:t>
            </w:r>
          </w:p>
        </w:tc>
        <w:tc>
          <w:tcPr>
            <w:tcW w:w="6947" w:type="dxa"/>
          </w:tcPr>
          <w:p w:rsidR="003E022D" w:rsidRDefault="003E022D">
            <w:pPr>
              <w:rPr>
                <w:rFonts w:eastAsia="Calibri" w:cs="Times New Roman"/>
                <w:bCs/>
                <w:noProof/>
              </w:rPr>
            </w:pPr>
          </w:p>
        </w:tc>
      </w:tr>
      <w:tr w:rsidR="003E022D">
        <w:tc>
          <w:tcPr>
            <w:tcW w:w="2552" w:type="dxa"/>
          </w:tcPr>
          <w:p w:rsidR="003E022D" w:rsidRDefault="007D19D6">
            <w:pPr>
              <w:rPr>
                <w:rFonts w:eastAsia="Calibri" w:cs="Times New Roman"/>
                <w:bCs/>
                <w:noProof/>
              </w:rPr>
            </w:pPr>
            <w:r>
              <w:rPr>
                <w:noProof/>
              </w:rPr>
              <w:t>- akumulatori, kuros ir viens vai vairāki baterijas elementi vai baterijas moduļi un shēma, kas savstarpēji savieno baterijas elementus, bieži dēvēt</w:t>
            </w:r>
            <w:r>
              <w:rPr>
                <w:noProof/>
              </w:rPr>
              <w:t>i par “bateriju komplektiem”, ko izmanto kā primāro elektroenerģijas avotu pozīcijā 87.02, 87.03 un 87.04 minēto transportlīdzekļu piedziņai</w:t>
            </w:r>
          </w:p>
        </w:tc>
        <w:tc>
          <w:tcPr>
            <w:tcW w:w="6947" w:type="dxa"/>
          </w:tcPr>
          <w:p w:rsidR="003E022D" w:rsidRDefault="007D19D6">
            <w:pPr>
              <w:rPr>
                <w:rFonts w:eastAsia="Calibri" w:cs="Times New Roman"/>
                <w:bCs/>
                <w:noProof/>
              </w:rPr>
            </w:pPr>
            <w:r>
              <w:rPr>
                <w:i/>
                <w:noProof/>
              </w:rPr>
              <w:t>CTH</w:t>
            </w:r>
            <w:r>
              <w:rPr>
                <w:noProof/>
              </w:rPr>
              <w:t>, izņemot no nenoteiktas izcelsmes aktīvajiem katodmateriāliem,</w:t>
            </w:r>
          </w:p>
          <w:p w:rsidR="003E022D" w:rsidRDefault="007D19D6">
            <w:pPr>
              <w:rPr>
                <w:rFonts w:eastAsia="Calibri" w:cs="Times New Roman"/>
                <w:bCs/>
                <w:noProof/>
              </w:rPr>
            </w:pPr>
            <w:r>
              <w:rPr>
                <w:noProof/>
              </w:rPr>
              <w:t>vai</w:t>
            </w:r>
          </w:p>
          <w:p w:rsidR="003E022D" w:rsidRDefault="007D19D6">
            <w:pPr>
              <w:rPr>
                <w:rFonts w:eastAsia="Calibri" w:cs="Times New Roman"/>
                <w:bCs/>
                <w:noProof/>
              </w:rPr>
            </w:pPr>
            <w:r>
              <w:rPr>
                <w:i/>
                <w:iCs/>
                <w:noProof/>
              </w:rPr>
              <w:t>MaxNOM</w:t>
            </w:r>
            <w:r>
              <w:rPr>
                <w:noProof/>
              </w:rPr>
              <w:t xml:space="preserve"> 40 % (</w:t>
            </w:r>
            <w:r>
              <w:rPr>
                <w:i/>
                <w:iCs/>
                <w:noProof/>
              </w:rPr>
              <w:t>EXW</w:t>
            </w:r>
            <w:r>
              <w:rPr>
                <w:noProof/>
              </w:rPr>
              <w:t>).</w:t>
            </w:r>
          </w:p>
        </w:tc>
      </w:tr>
      <w:tr w:rsidR="003E022D">
        <w:tc>
          <w:tcPr>
            <w:tcW w:w="2552" w:type="dxa"/>
          </w:tcPr>
          <w:p w:rsidR="003E022D" w:rsidRDefault="007D19D6">
            <w:pPr>
              <w:rPr>
                <w:rFonts w:eastAsia="Calibri" w:cs="Times New Roman"/>
                <w:bCs/>
                <w:noProof/>
              </w:rPr>
            </w:pPr>
            <w:r>
              <w:rPr>
                <w:noProof/>
              </w:rPr>
              <w:t xml:space="preserve">- baterijas elementi, </w:t>
            </w:r>
            <w:r>
              <w:rPr>
                <w:noProof/>
              </w:rPr>
              <w:t>baterijas moduļi un to daļas, kas paredzēti iebūvēšanai elektriskajā akumulatorā, ko izmanto kā primāro elektroenerģijas avotu pozīcijā 87.02, 87.03 un 87.04 minēto transportlīdzekļu piedziņai</w:t>
            </w:r>
          </w:p>
        </w:tc>
        <w:tc>
          <w:tcPr>
            <w:tcW w:w="6947" w:type="dxa"/>
          </w:tcPr>
          <w:p w:rsidR="003E022D" w:rsidRDefault="007D19D6">
            <w:pPr>
              <w:rPr>
                <w:rFonts w:eastAsia="Calibri" w:cs="Times New Roman"/>
                <w:bCs/>
                <w:noProof/>
              </w:rPr>
            </w:pPr>
            <w:r>
              <w:rPr>
                <w:i/>
                <w:noProof/>
              </w:rPr>
              <w:t>CTH</w:t>
            </w:r>
            <w:r>
              <w:rPr>
                <w:noProof/>
              </w:rPr>
              <w:t>, izņemot no nenoteiktas izcelsmes aktīvajiem katodmateriāli</w:t>
            </w:r>
            <w:r>
              <w:rPr>
                <w:noProof/>
              </w:rPr>
              <w:t>em,</w:t>
            </w:r>
          </w:p>
          <w:p w:rsidR="003E022D" w:rsidRDefault="007D19D6">
            <w:pPr>
              <w:rPr>
                <w:rFonts w:eastAsia="Calibri" w:cs="Times New Roman"/>
                <w:bCs/>
                <w:noProof/>
              </w:rPr>
            </w:pPr>
            <w:r>
              <w:rPr>
                <w:noProof/>
              </w:rPr>
              <w:t>vai</w:t>
            </w:r>
          </w:p>
          <w:p w:rsidR="003E022D" w:rsidRDefault="007D19D6">
            <w:pPr>
              <w:rPr>
                <w:rFonts w:eastAsia="Calibri" w:cs="Times New Roman"/>
                <w:bCs/>
                <w:noProof/>
              </w:rPr>
            </w:pPr>
            <w:r>
              <w:rPr>
                <w:i/>
                <w:iCs/>
                <w:noProof/>
              </w:rPr>
              <w:t>MaxNOM</w:t>
            </w:r>
            <w:r>
              <w:rPr>
                <w:noProof/>
              </w:rPr>
              <w:t xml:space="preserve"> 50 % (</w:t>
            </w:r>
            <w:r>
              <w:rPr>
                <w:i/>
                <w:iCs/>
                <w:noProof/>
              </w:rPr>
              <w:t>EXW</w:t>
            </w:r>
            <w:r>
              <w:rPr>
                <w:noProof/>
              </w:rPr>
              <w:t>).</w:t>
            </w:r>
          </w:p>
        </w:tc>
      </w:tr>
      <w:tr w:rsidR="003E022D">
        <w:tc>
          <w:tcPr>
            <w:tcW w:w="2552" w:type="dxa"/>
          </w:tcPr>
          <w:p w:rsidR="003E022D" w:rsidRDefault="007D19D6">
            <w:pPr>
              <w:rPr>
                <w:rFonts w:eastAsia="Calibri" w:cs="Times New Roman"/>
                <w:bCs/>
                <w:noProof/>
              </w:rPr>
            </w:pPr>
            <w:r>
              <w:rPr>
                <w:noProof/>
              </w:rPr>
              <w:t>87.02-87.04</w:t>
            </w:r>
          </w:p>
        </w:tc>
        <w:tc>
          <w:tcPr>
            <w:tcW w:w="6947" w:type="dxa"/>
          </w:tcPr>
          <w:p w:rsidR="003E022D" w:rsidRDefault="003E022D">
            <w:pPr>
              <w:rPr>
                <w:rFonts w:eastAsia="Calibri" w:cs="Times New Roman"/>
                <w:bCs/>
                <w:noProof/>
              </w:rPr>
            </w:pPr>
          </w:p>
        </w:tc>
      </w:tr>
      <w:tr w:rsidR="003E022D">
        <w:tc>
          <w:tcPr>
            <w:tcW w:w="2552" w:type="dxa"/>
          </w:tcPr>
          <w:p w:rsidR="003E022D" w:rsidRDefault="007D19D6">
            <w:pPr>
              <w:rPr>
                <w:rFonts w:eastAsia="Calibri" w:cs="Times New Roman"/>
                <w:bCs/>
                <w:noProof/>
              </w:rPr>
            </w:pPr>
            <w:r>
              <w:rPr>
                <w:noProof/>
              </w:rPr>
              <w:t>- transportlīdzekļi, kuru piedziņa ir gan iekšdedzes motors, gan elektriskais motors un kurus nevar uzlādēt, pieslēdzot pie ārēja elektroenerģijas avota (“hibrīds”);</w:t>
            </w:r>
          </w:p>
          <w:p w:rsidR="003E022D" w:rsidRDefault="007D19D6">
            <w:pPr>
              <w:rPr>
                <w:rFonts w:eastAsia="Calibri" w:cs="Times New Roman"/>
                <w:bCs/>
                <w:noProof/>
              </w:rPr>
            </w:pPr>
            <w:r>
              <w:rPr>
                <w:noProof/>
              </w:rPr>
              <w:t>- transportlīdzekļi, kuru piedziņa ir gan atgrie</w:t>
            </w:r>
            <w:r>
              <w:rPr>
                <w:noProof/>
              </w:rPr>
              <w:t>zeniskās virzes kustības iekšdedzes virzuļmotors, gan elektriskais motors un kurus var uzlādēt, pieslēdzot pie ārēja elektroenerģijas avota (“uzlādējams hibrīds”);</w:t>
            </w:r>
          </w:p>
          <w:p w:rsidR="003E022D" w:rsidRDefault="007D19D6">
            <w:pPr>
              <w:rPr>
                <w:rFonts w:eastAsia="Calibri" w:cs="Times New Roman"/>
                <w:bCs/>
                <w:noProof/>
              </w:rPr>
            </w:pPr>
            <w:r>
              <w:rPr>
                <w:noProof/>
              </w:rPr>
              <w:t xml:space="preserve"> - citādi transportlīdzekļi, kuru dzinējs ir vienīgi elektriskais motors</w:t>
            </w:r>
          </w:p>
        </w:tc>
        <w:tc>
          <w:tcPr>
            <w:tcW w:w="6947" w:type="dxa"/>
          </w:tcPr>
          <w:p w:rsidR="003E022D" w:rsidRDefault="007D19D6">
            <w:pPr>
              <w:rPr>
                <w:rFonts w:eastAsia="Calibri" w:cs="Times New Roman"/>
                <w:bCs/>
                <w:noProof/>
              </w:rPr>
            </w:pPr>
            <w:r>
              <w:rPr>
                <w:i/>
                <w:iCs/>
                <w:noProof/>
              </w:rPr>
              <w:t>MaxNOM</w:t>
            </w:r>
            <w:r>
              <w:rPr>
                <w:noProof/>
              </w:rPr>
              <w:t xml:space="preserve"> 55 % (</w:t>
            </w:r>
            <w:r>
              <w:rPr>
                <w:i/>
                <w:iCs/>
                <w:noProof/>
              </w:rPr>
              <w:t>EXW</w:t>
            </w:r>
            <w:r>
              <w:rPr>
                <w:noProof/>
              </w:rPr>
              <w:t>).</w:t>
            </w:r>
          </w:p>
        </w:tc>
      </w:tr>
    </w:tbl>
    <w:p w:rsidR="003E022D" w:rsidRDefault="003E022D">
      <w:pPr>
        <w:rPr>
          <w:rFonts w:eastAsia="Calibri" w:cs="Times New Roman"/>
          <w:noProof/>
        </w:rPr>
      </w:pPr>
    </w:p>
    <w:p w:rsidR="003E022D" w:rsidRDefault="007D19D6">
      <w:pPr>
        <w:spacing w:before="100" w:beforeAutospacing="1" w:after="100" w:afterAutospacing="1"/>
        <w:rPr>
          <w:rFonts w:eastAsia="Calibri" w:cs="Times New Roman"/>
          <w:noProof/>
        </w:rPr>
      </w:pPr>
      <w:r>
        <w:rPr>
          <w:b/>
          <w:noProof/>
        </w:rPr>
        <w:t>3. iedaļa – Konkrētiem ražojumiem piemērojamo noteikumu pārskatīšana 8507. pozīcijai</w:t>
      </w:r>
      <w:r>
        <w:rPr>
          <w:b/>
          <w:bCs/>
          <w:noProof/>
        </w:rPr>
        <w:t> </w:t>
      </w:r>
    </w:p>
    <w:p w:rsidR="003E022D" w:rsidRDefault="007D19D6">
      <w:pPr>
        <w:spacing w:before="100" w:beforeAutospacing="1" w:after="100" w:afterAutospacing="1"/>
        <w:rPr>
          <w:rFonts w:eastAsia="Calibri" w:cs="Times New Roman"/>
          <w:noProof/>
        </w:rPr>
      </w:pPr>
      <w:r>
        <w:rPr>
          <w:noProof/>
        </w:rPr>
        <w:t>1.</w:t>
      </w:r>
      <w:r>
        <w:rPr>
          <w:b/>
          <w:bCs/>
          <w:noProof/>
          <w:sz w:val="14"/>
          <w:szCs w:val="14"/>
        </w:rPr>
        <w:t xml:space="preserve"> </w:t>
      </w:r>
      <w:r>
        <w:rPr>
          <w:noProof/>
        </w:rPr>
        <w:t>Ne agrāk kā 4 gadus pēc šā nolīguma stāšanās spēkā Tirdzniecības partnerības komiteja pēc jebkuras Puses pieprasījuma un ar Tirdzniecības specializētās komitejas mui</w:t>
      </w:r>
      <w:r>
        <w:rPr>
          <w:noProof/>
        </w:rPr>
        <w:t>tas sadarbības un izcelsmes noteikumu jomā palīdzību pārskata ORIG-2. pielikumā [Konkrētiem ražojumiem piemērojamie izcelsmes noteikumi] ietvertos konkrētiem ražojumiem piemērojamos noteikumus attiecībā uz 8507. pozīciju, kas piemērojami no 2027. gada 1. j</w:t>
      </w:r>
      <w:r>
        <w:rPr>
          <w:noProof/>
        </w:rPr>
        <w:t>anvāra.</w:t>
      </w:r>
    </w:p>
    <w:p w:rsidR="003E022D" w:rsidRDefault="007D19D6">
      <w:pPr>
        <w:rPr>
          <w:rFonts w:eastAsia="Calibri" w:cs="Times New Roman"/>
          <w:noProof/>
        </w:rPr>
      </w:pPr>
      <w:r>
        <w:rPr>
          <w:noProof/>
        </w:rPr>
        <w:t>2. Šā panta 1. punktā minēto pārskatīšanu veic, pamatojoties uz pieejamo informāciju par Pušu tirgiem, piemēram, par pietiekamu un piemērotu noteiktas izcelsmes materiālu pieejamību, piedāvājuma un pieprasījuma līdzsvaru un citu būtisku informāciju</w:t>
      </w:r>
      <w:r>
        <w:rPr>
          <w:noProof/>
        </w:rPr>
        <w:t>.</w:t>
      </w:r>
    </w:p>
    <w:p w:rsidR="003E022D" w:rsidRDefault="007D19D6">
      <w:pPr>
        <w:rPr>
          <w:rFonts w:eastAsia="Calibri" w:cs="Calibri"/>
          <w:b/>
          <w:noProof/>
        </w:rPr>
      </w:pPr>
      <w:r>
        <w:rPr>
          <w:noProof/>
        </w:rPr>
        <w:t xml:space="preserve">3. Pamatojoties uz pārskatīšanas, kas veikta saskaņā ar 1. punktu, rezultātiem, Partnerības padome var pieņemt lēmumu grozīt konkrētiem ražojumiem piemērojamos noteikumus pozīcijai 8507 no 2027. gada 1. janvāra, kas ietverti ORIG-2 pielikumā [Konkrētiem </w:t>
      </w:r>
      <w:r>
        <w:rPr>
          <w:noProof/>
        </w:rPr>
        <w:t>ražojumiem piemērojamie izcelsmes noteikumi] .</w:t>
      </w:r>
    </w:p>
    <w:p w:rsidR="003E022D" w:rsidRDefault="003E022D">
      <w:pPr>
        <w:pStyle w:val="ListParagraph"/>
        <w:ind w:left="567" w:hanging="425"/>
        <w:rPr>
          <w:bCs/>
          <w:noProof/>
        </w:rPr>
      </w:pPr>
    </w:p>
    <w:p w:rsidR="003E022D" w:rsidRDefault="007D19D6">
      <w:pPr>
        <w:rPr>
          <w:rFonts w:cstheme="minorHAnsi"/>
          <w:bCs/>
          <w:noProof/>
        </w:rPr>
      </w:pPr>
      <w:r>
        <w:rPr>
          <w:noProof/>
        </w:rPr>
        <w:br w:type="page"/>
      </w:r>
    </w:p>
    <w:p w:rsidR="003E022D" w:rsidRDefault="007D19D6">
      <w:pPr>
        <w:pStyle w:val="ANNEX"/>
        <w:rPr>
          <w:rFonts w:cstheme="minorHAnsi"/>
          <w:noProof/>
        </w:rPr>
      </w:pPr>
      <w:hyperlink w:anchor="_Toc35449674" w:history="1">
        <w:bookmarkStart w:id="953" w:name="_Toc59988390"/>
        <w:r>
          <w:rPr>
            <w:noProof/>
          </w:rPr>
          <w:t>ORIG-3. PIELIKUMS.</w:t>
        </w:r>
      </w:hyperlink>
      <w:hyperlink w:anchor="_Toc35449674" w:history="1">
        <w:r>
          <w:rPr>
            <w:noProof/>
          </w:rPr>
          <w:t>PIEGĀDĀTĀJA DEKLARĀCIJA</w:t>
        </w:r>
        <w:bookmarkEnd w:id="953"/>
      </w:hyperlink>
    </w:p>
    <w:p w:rsidR="003E022D" w:rsidRDefault="007D19D6">
      <w:pPr>
        <w:pStyle w:val="ListParagraph"/>
        <w:numPr>
          <w:ilvl w:val="0"/>
          <w:numId w:val="1239"/>
        </w:numPr>
        <w:spacing w:before="120" w:after="120" w:line="276" w:lineRule="auto"/>
        <w:ind w:left="360"/>
        <w:contextualSpacing w:val="0"/>
        <w:rPr>
          <w:noProof/>
        </w:rPr>
      </w:pPr>
      <w:r>
        <w:rPr>
          <w:noProof/>
        </w:rPr>
        <w:t>Piegādātāja deklarācijas saturs atbilst šajā pielikumā noteiktajam.</w:t>
      </w:r>
    </w:p>
    <w:p w:rsidR="003E022D" w:rsidRDefault="007D19D6">
      <w:pPr>
        <w:pStyle w:val="ListParagraph"/>
        <w:numPr>
          <w:ilvl w:val="0"/>
          <w:numId w:val="1239"/>
        </w:numPr>
        <w:spacing w:before="120" w:after="120" w:line="276" w:lineRule="auto"/>
        <w:ind w:left="360"/>
        <w:contextualSpacing w:val="0"/>
        <w:rPr>
          <w:noProof/>
        </w:rPr>
      </w:pPr>
      <w:r>
        <w:rPr>
          <w:noProof/>
        </w:rPr>
        <w:t>Izņemot 3. punktā minētos gadīju</w:t>
      </w:r>
      <w:r>
        <w:rPr>
          <w:noProof/>
        </w:rPr>
        <w:t>mus, piegādātājs katram ražojumu sūtījumam 1. papildinājuma noteiktajā veidā sagatavo piegādātāja deklarāciju un pievieno faktūrrēķinam vai jebkuram citam dokumentam, kurā attiecīgie produkti ir pietiekami sīki aprakstīti, lai tos varētu identificēt.</w:t>
      </w:r>
    </w:p>
    <w:p w:rsidR="003E022D" w:rsidRDefault="007D19D6">
      <w:pPr>
        <w:pStyle w:val="ListParagraph"/>
        <w:numPr>
          <w:ilvl w:val="0"/>
          <w:numId w:val="1239"/>
        </w:numPr>
        <w:spacing w:before="120" w:after="120" w:line="276" w:lineRule="auto"/>
        <w:ind w:left="360"/>
        <w:contextualSpacing w:val="0"/>
        <w:rPr>
          <w:noProof/>
        </w:rPr>
      </w:pPr>
      <w:r>
        <w:rPr>
          <w:noProof/>
        </w:rPr>
        <w:t>Ja pi</w:t>
      </w:r>
      <w:r>
        <w:rPr>
          <w:noProof/>
        </w:rPr>
        <w:t>egādātājs konkrētam klientam regulāri piegādā ražojumus, attiecībā uz kuriem paredzams, ka kādā Pusē veiktā ražošana kādu laiku paliks nemainīga, minētais piegādātājs var sniegt vienu piegādātāja deklarāciju, kas aptver vairākkārtīgus šo ražojumu sūtījumus</w:t>
      </w:r>
      <w:r>
        <w:rPr>
          <w:noProof/>
        </w:rPr>
        <w:t xml:space="preserve"> (“ilgtermiņa piegādātāja deklarācija”). Ilgtermiņa piegādātāja deklarācija parasti ir derīga ne ilgāk kā divus gadus no deklarācijas sagatavošanas dienas. Tās Puses muitas dienesti, kurā deklarāciju sagatavo, var paredzēt nosacījumus, saskaņā ar kuriem va</w:t>
      </w:r>
      <w:r>
        <w:rPr>
          <w:noProof/>
        </w:rPr>
        <w:t>r izmantot ilgākus termiņus. Ilgtermiņa piegādātāja deklarāciju piegādātājs sagatavo 2. papildinājumā norādītajā veidā, un tajā pietiekami sīki apraksta attiecīgos ražojumus, lai tos varētu identificēt. Piegādātājs nekavējoties informē klientu, ja ilgtermi</w:t>
      </w:r>
      <w:r>
        <w:rPr>
          <w:noProof/>
        </w:rPr>
        <w:t>ņa piegādātāja deklarācija vairs neattiecas uz piegādātajiem produktiem.</w:t>
      </w:r>
    </w:p>
    <w:p w:rsidR="003E022D" w:rsidRDefault="007D19D6">
      <w:pPr>
        <w:pStyle w:val="ListParagraph"/>
        <w:numPr>
          <w:ilvl w:val="0"/>
          <w:numId w:val="1239"/>
        </w:numPr>
        <w:spacing w:before="120" w:after="120" w:line="276" w:lineRule="auto"/>
        <w:ind w:left="360"/>
        <w:contextualSpacing w:val="0"/>
        <w:rPr>
          <w:noProof/>
        </w:rPr>
      </w:pPr>
      <w:r>
        <w:rPr>
          <w:noProof/>
        </w:rPr>
        <w:t>Piegādātājs, kurš sagatavo deklarāciju, ir gatavs jebkurā laikā pēc tās Puses muitas dienestu pieprasījuma, kurā deklarāciju sagatavo, iesniegt visus attiecīgos dokumentus, kas pierād</w:t>
      </w:r>
      <w:r>
        <w:rPr>
          <w:noProof/>
        </w:rPr>
        <w:t>a, ka deklarācijā sniegtā informācija ir pareiza.</w:t>
      </w:r>
    </w:p>
    <w:p w:rsidR="003E022D" w:rsidRDefault="003E022D">
      <w:pPr>
        <w:pStyle w:val="ListParagraph"/>
        <w:rPr>
          <w:noProof/>
        </w:rPr>
      </w:pPr>
    </w:p>
    <w:p w:rsidR="003E022D" w:rsidRDefault="003E022D">
      <w:pPr>
        <w:pStyle w:val="ListParagraph"/>
        <w:rPr>
          <w:rFonts w:eastAsia="Times New Roman"/>
          <w:noProof/>
        </w:rPr>
      </w:pPr>
    </w:p>
    <w:p w:rsidR="003E022D" w:rsidRDefault="007D19D6">
      <w:pPr>
        <w:jc w:val="center"/>
        <w:rPr>
          <w:b/>
          <w:bCs/>
          <w:noProof/>
        </w:rPr>
      </w:pPr>
      <w:r>
        <w:rPr>
          <w:noProof/>
        </w:rPr>
        <w:br w:type="page"/>
      </w:r>
    </w:p>
    <w:p w:rsidR="003E022D" w:rsidRDefault="007D19D6">
      <w:pPr>
        <w:jc w:val="center"/>
        <w:rPr>
          <w:b/>
          <w:bCs/>
          <w:noProof/>
        </w:rPr>
      </w:pPr>
      <w:r>
        <w:rPr>
          <w:b/>
          <w:bCs/>
          <w:noProof/>
        </w:rPr>
        <w:t>1. papildinājums</w:t>
      </w:r>
    </w:p>
    <w:p w:rsidR="003E022D" w:rsidRDefault="007D19D6">
      <w:pPr>
        <w:pStyle w:val="NormalCentered"/>
        <w:rPr>
          <w:rFonts w:ascii="Calibri" w:hAnsi="Calibri" w:cs="Calibri"/>
          <w:b/>
          <w:bCs/>
          <w:noProof/>
          <w:sz w:val="22"/>
          <w:szCs w:val="22"/>
        </w:rPr>
      </w:pPr>
      <w:r>
        <w:rPr>
          <w:rFonts w:ascii="Calibri" w:hAnsi="Calibri"/>
          <w:b/>
          <w:bCs/>
          <w:noProof/>
          <w:sz w:val="22"/>
          <w:szCs w:val="22"/>
        </w:rPr>
        <w:t>PIEGĀDĀTĀJA DEKLARĀCIJA</w:t>
      </w:r>
    </w:p>
    <w:p w:rsidR="003E022D" w:rsidRDefault="007D19D6">
      <w:pPr>
        <w:rPr>
          <w:noProof/>
        </w:rPr>
      </w:pPr>
      <w:r>
        <w:rPr>
          <w:noProof/>
        </w:rPr>
        <w:t>Piegādātāja deklarāciju, kuras teksts ir norādīts turpmāk, jāsagatavo saskaņā ar zemsvītras piezīmēm. Taču zemsvītras piezīmes nav jāpārraksta.</w:t>
      </w:r>
    </w:p>
    <w:p w:rsidR="003E022D" w:rsidRDefault="003E022D">
      <w:pPr>
        <w:rPr>
          <w:noProof/>
        </w:rPr>
      </w:pPr>
    </w:p>
    <w:p w:rsidR="003E022D" w:rsidRDefault="007D19D6">
      <w:pPr>
        <w:jc w:val="center"/>
        <w:rPr>
          <w:noProof/>
        </w:rPr>
      </w:pPr>
      <w:r>
        <w:rPr>
          <w:noProof/>
        </w:rPr>
        <w:t>PIEGĀDĀTĀJA DEKL</w:t>
      </w:r>
      <w:r>
        <w:rPr>
          <w:noProof/>
        </w:rPr>
        <w:t xml:space="preserve">ARĀCIJA </w:t>
      </w:r>
    </w:p>
    <w:p w:rsidR="003E022D" w:rsidRDefault="007D19D6">
      <w:pPr>
        <w:rPr>
          <w:noProof/>
        </w:rPr>
      </w:pPr>
      <w:r>
        <w:rPr>
          <w:noProof/>
        </w:rPr>
        <w:t>Es, apakšā parakstījies pievienotajā dokumentā norādīto ražojumu piegādātājs, apliecinu, ka:</w:t>
      </w:r>
    </w:p>
    <w:p w:rsidR="003E022D" w:rsidRDefault="007D19D6">
      <w:pPr>
        <w:pStyle w:val="ListParagraph"/>
        <w:numPr>
          <w:ilvl w:val="0"/>
          <w:numId w:val="1240"/>
        </w:numPr>
        <w:spacing w:before="120" w:after="120" w:line="276" w:lineRule="auto"/>
        <w:ind w:left="357" w:hanging="357"/>
        <w:contextualSpacing w:val="0"/>
        <w:jc w:val="left"/>
        <w:rPr>
          <w:noProof/>
        </w:rPr>
      </w:pPr>
      <w:r>
        <w:rPr>
          <w:noProof/>
        </w:rPr>
        <w:t>Šo ražojumu ražošanā [norādīt attiecīgās Puses nosaukumu] ir izmantoti šādi materiāli, kuru izcelsme nav [norādīt attiecīgās Puses nosaukumu]:</w:t>
      </w:r>
    </w:p>
    <w:tbl>
      <w:tblPr>
        <w:tblW w:w="5000" w:type="pct"/>
        <w:jc w:val="center"/>
        <w:tblCellMar>
          <w:left w:w="0" w:type="dxa"/>
          <w:right w:w="0" w:type="dxa"/>
        </w:tblCellMar>
        <w:tblLook w:val="04A0" w:firstRow="1" w:lastRow="0" w:firstColumn="1" w:lastColumn="0" w:noHBand="0" w:noVBand="1"/>
      </w:tblPr>
      <w:tblGrid>
        <w:gridCol w:w="2310"/>
        <w:gridCol w:w="2311"/>
        <w:gridCol w:w="2303"/>
        <w:gridCol w:w="7"/>
        <w:gridCol w:w="2311"/>
      </w:tblGrid>
      <w:tr w:rsidR="003E022D">
        <w:trPr>
          <w:jc w:val="center"/>
        </w:trPr>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022D" w:rsidRDefault="007D19D6">
            <w:pPr>
              <w:autoSpaceDE w:val="0"/>
              <w:autoSpaceDN w:val="0"/>
              <w:spacing w:before="60" w:after="60"/>
              <w:jc w:val="center"/>
              <w:rPr>
                <w:noProof/>
              </w:rPr>
            </w:pPr>
            <w:r>
              <w:rPr>
                <w:noProof/>
              </w:rPr>
              <w:t>Piegādāto r</w:t>
            </w:r>
            <w:r>
              <w:rPr>
                <w:noProof/>
              </w:rPr>
              <w:t>ažojumu apraksts</w:t>
            </w:r>
            <w:r>
              <w:rPr>
                <w:b/>
                <w:bCs/>
                <w:noProof/>
                <w:vertAlign w:val="superscript"/>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022D" w:rsidRDefault="007D19D6">
            <w:pPr>
              <w:autoSpaceDE w:val="0"/>
              <w:autoSpaceDN w:val="0"/>
              <w:spacing w:before="60" w:after="60"/>
              <w:jc w:val="center"/>
              <w:rPr>
                <w:noProof/>
              </w:rPr>
            </w:pPr>
            <w:r>
              <w:rPr>
                <w:noProof/>
              </w:rPr>
              <w:t>Izmantoto nenoteiktas izcelsmes materiālu apraksts</w:t>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022D" w:rsidRDefault="007D19D6">
            <w:pPr>
              <w:autoSpaceDE w:val="0"/>
              <w:autoSpaceDN w:val="0"/>
              <w:spacing w:before="60" w:after="60"/>
              <w:jc w:val="center"/>
              <w:rPr>
                <w:noProof/>
              </w:rPr>
            </w:pPr>
            <w:r>
              <w:rPr>
                <w:noProof/>
              </w:rPr>
              <w:t>Izmantoto nenoteiktas izcelsmes materiālu HS pozīcija</w:t>
            </w:r>
            <w:r>
              <w:rPr>
                <w:b/>
                <w:bCs/>
                <w:noProof/>
                <w:vertAlign w:val="superscript"/>
              </w:rPr>
              <w:t>(2)</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022D" w:rsidRDefault="007D19D6">
            <w:pPr>
              <w:autoSpaceDE w:val="0"/>
              <w:autoSpaceDN w:val="0"/>
              <w:spacing w:before="60" w:after="60"/>
              <w:jc w:val="center"/>
              <w:rPr>
                <w:noProof/>
              </w:rPr>
            </w:pPr>
            <w:r>
              <w:rPr>
                <w:noProof/>
              </w:rPr>
              <w:t>Izmantoto nenoteiktas izcelsmes materiālu vērtība</w:t>
            </w:r>
            <w:r>
              <w:rPr>
                <w:b/>
                <w:bCs/>
                <w:noProof/>
                <w:vertAlign w:val="superscript"/>
              </w:rPr>
              <w:t>(2)(3)</w:t>
            </w:r>
          </w:p>
        </w:tc>
      </w:tr>
      <w:tr w:rsidR="003E022D">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r>
      <w:tr w:rsidR="003E022D">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r>
      <w:tr w:rsidR="003E022D">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r>
      <w:tr w:rsidR="003E022D">
        <w:trPr>
          <w:jc w:val="center"/>
        </w:trPr>
        <w:tc>
          <w:tcPr>
            <w:tcW w:w="374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022D" w:rsidRDefault="007D19D6">
            <w:pPr>
              <w:autoSpaceDE w:val="0"/>
              <w:autoSpaceDN w:val="0"/>
              <w:spacing w:before="60" w:after="60"/>
              <w:jc w:val="right"/>
              <w:rPr>
                <w:noProof/>
              </w:rPr>
            </w:pPr>
            <w:r>
              <w:rPr>
                <w:noProof/>
              </w:rPr>
              <w:t>Kopējā vērtība</w:t>
            </w:r>
          </w:p>
        </w:tc>
        <w:tc>
          <w:tcPr>
            <w:tcW w:w="1254" w:type="pct"/>
            <w:gridSpan w:val="2"/>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rPr>
                <w:noProof/>
              </w:rPr>
            </w:pPr>
          </w:p>
        </w:tc>
      </w:tr>
      <w:tr w:rsidR="003E022D">
        <w:trPr>
          <w:jc w:val="center"/>
        </w:trPr>
        <w:tc>
          <w:tcPr>
            <w:tcW w:w="2070" w:type="dxa"/>
            <w:vAlign w:val="center"/>
            <w:hideMark/>
          </w:tcPr>
          <w:p w:rsidR="003E022D" w:rsidRDefault="003E022D">
            <w:pPr>
              <w:rPr>
                <w:noProof/>
              </w:rPr>
            </w:pPr>
          </w:p>
        </w:tc>
        <w:tc>
          <w:tcPr>
            <w:tcW w:w="2070" w:type="dxa"/>
            <w:vAlign w:val="center"/>
            <w:hideMark/>
          </w:tcPr>
          <w:p w:rsidR="003E022D" w:rsidRDefault="003E022D">
            <w:pPr>
              <w:rPr>
                <w:rFonts w:ascii="Times New Roman" w:eastAsia="Times New Roman" w:hAnsi="Times New Roman" w:cs="Times New Roman"/>
                <w:noProof/>
                <w:sz w:val="20"/>
                <w:szCs w:val="20"/>
              </w:rPr>
            </w:pPr>
          </w:p>
        </w:tc>
        <w:tc>
          <w:tcPr>
            <w:tcW w:w="2070" w:type="dxa"/>
            <w:vAlign w:val="center"/>
            <w:hideMark/>
          </w:tcPr>
          <w:p w:rsidR="003E022D" w:rsidRDefault="003E022D">
            <w:pPr>
              <w:rPr>
                <w:rFonts w:ascii="Times New Roman" w:eastAsia="Times New Roman" w:hAnsi="Times New Roman" w:cs="Times New Roman"/>
                <w:noProof/>
                <w:sz w:val="20"/>
                <w:szCs w:val="20"/>
              </w:rPr>
            </w:pPr>
          </w:p>
        </w:tc>
        <w:tc>
          <w:tcPr>
            <w:tcW w:w="6" w:type="dxa"/>
            <w:vAlign w:val="center"/>
            <w:hideMark/>
          </w:tcPr>
          <w:p w:rsidR="003E022D" w:rsidRDefault="003E022D">
            <w:pPr>
              <w:rPr>
                <w:rFonts w:ascii="Times New Roman" w:eastAsia="Times New Roman" w:hAnsi="Times New Roman" w:cs="Times New Roman"/>
                <w:noProof/>
                <w:sz w:val="20"/>
                <w:szCs w:val="20"/>
              </w:rPr>
            </w:pPr>
          </w:p>
        </w:tc>
        <w:tc>
          <w:tcPr>
            <w:tcW w:w="2070" w:type="dxa"/>
            <w:vAlign w:val="center"/>
            <w:hideMark/>
          </w:tcPr>
          <w:p w:rsidR="003E022D" w:rsidRDefault="003E022D">
            <w:pPr>
              <w:rPr>
                <w:rFonts w:ascii="Times New Roman" w:eastAsia="Times New Roman" w:hAnsi="Times New Roman" w:cs="Times New Roman"/>
                <w:noProof/>
                <w:sz w:val="20"/>
                <w:szCs w:val="20"/>
              </w:rPr>
            </w:pPr>
          </w:p>
        </w:tc>
      </w:tr>
    </w:tbl>
    <w:p w:rsidR="003E022D" w:rsidRDefault="007D19D6">
      <w:pPr>
        <w:pStyle w:val="ListParagraph"/>
        <w:numPr>
          <w:ilvl w:val="0"/>
          <w:numId w:val="1240"/>
        </w:numPr>
        <w:spacing w:before="120" w:after="120" w:line="276" w:lineRule="auto"/>
        <w:ind w:left="357" w:hanging="357"/>
        <w:contextualSpacing w:val="0"/>
        <w:jc w:val="left"/>
        <w:rPr>
          <w:rFonts w:cs="Calibri"/>
          <w:noProof/>
          <w:sz w:val="20"/>
          <w:szCs w:val="20"/>
        </w:rPr>
      </w:pPr>
      <w:r>
        <w:rPr>
          <w:noProof/>
        </w:rPr>
        <w:t xml:space="preserve">Visu pārējo materiālu, kas </w:t>
      </w:r>
      <w:r>
        <w:rPr>
          <w:noProof/>
        </w:rPr>
        <w:t>[norādīt attiecīgās Puses nosaukumu] izmantoti šo ražojumu ražošanā, izcelsme ir [norādīt attiecīgās Puses nosaukumu].</w:t>
      </w:r>
    </w:p>
    <w:p w:rsidR="003E022D" w:rsidRDefault="003E022D">
      <w:pPr>
        <w:pStyle w:val="ListParagraph"/>
        <w:spacing w:after="0" w:line="276" w:lineRule="auto"/>
        <w:ind w:left="360"/>
        <w:jc w:val="left"/>
        <w:rPr>
          <w:rFonts w:ascii="Times New Roman" w:eastAsia="Times New Roman" w:hAnsi="Times New Roman" w:cs="Times New Roman"/>
          <w:noProof/>
          <w:lang w:eastAsia="en-GB"/>
        </w:rPr>
      </w:pPr>
    </w:p>
    <w:p w:rsidR="003E022D" w:rsidRDefault="007D19D6">
      <w:pPr>
        <w:pStyle w:val="ListParagraph"/>
        <w:rPr>
          <w:noProof/>
        </w:rPr>
      </w:pPr>
      <w:r>
        <w:rPr>
          <w:noProof/>
        </w:rPr>
        <w:t xml:space="preserve">Es apņemos iesniegt visus citus pieprasītos pavaddokumentus. ...............................................................................................(Vieta un datums) </w:t>
      </w:r>
    </w:p>
    <w:p w:rsidR="003E022D" w:rsidRDefault="007D19D6">
      <w:pPr>
        <w:pStyle w:val="ListParagraph"/>
        <w:rPr>
          <w:noProof/>
        </w:rPr>
      </w:pPr>
      <w:r>
        <w:rPr>
          <w:noProof/>
        </w:rPr>
        <w:t>..................................................................(parakstītāja v</w:t>
      </w:r>
      <w:r>
        <w:rPr>
          <w:noProof/>
        </w:rPr>
        <w:t>ārds, uzvārds un ieņemamais amats, uzņēmuma nosaukums un adrese) ....................................................................(paraksts)(6) __________________</w:t>
      </w:r>
    </w:p>
    <w:p w:rsidR="003E022D" w:rsidRDefault="003E022D">
      <w:pPr>
        <w:pStyle w:val="NormalCentered"/>
        <w:rPr>
          <w:rFonts w:ascii="Calibri" w:hAnsi="Calibri" w:cs="Calibri"/>
          <w:b/>
          <w:bCs/>
          <w:noProof/>
          <w:sz w:val="22"/>
          <w:szCs w:val="22"/>
        </w:rPr>
      </w:pPr>
    </w:p>
    <w:p w:rsidR="003E022D" w:rsidRDefault="003E022D">
      <w:pPr>
        <w:pStyle w:val="NormalCentered"/>
        <w:rPr>
          <w:rFonts w:ascii="Calibri" w:hAnsi="Calibri" w:cs="Calibri"/>
          <w:b/>
          <w:bCs/>
          <w:noProof/>
          <w:sz w:val="22"/>
          <w:szCs w:val="22"/>
        </w:rPr>
      </w:pPr>
    </w:p>
    <w:p w:rsidR="003E022D" w:rsidRDefault="003E022D">
      <w:pPr>
        <w:pStyle w:val="NormalCentered"/>
        <w:rPr>
          <w:rFonts w:ascii="Calibri" w:hAnsi="Calibri" w:cs="Calibri"/>
          <w:b/>
          <w:bCs/>
          <w:noProof/>
          <w:sz w:val="22"/>
          <w:szCs w:val="22"/>
        </w:rPr>
      </w:pPr>
    </w:p>
    <w:p w:rsidR="003E022D" w:rsidRDefault="003E022D">
      <w:pPr>
        <w:pStyle w:val="NormalCentered"/>
        <w:rPr>
          <w:rFonts w:ascii="Calibri" w:hAnsi="Calibri" w:cs="Calibri"/>
          <w:b/>
          <w:bCs/>
          <w:noProof/>
          <w:sz w:val="22"/>
          <w:szCs w:val="22"/>
        </w:rPr>
      </w:pPr>
    </w:p>
    <w:p w:rsidR="003E022D" w:rsidRDefault="007D19D6">
      <w:pPr>
        <w:spacing w:after="160" w:line="259" w:lineRule="auto"/>
        <w:rPr>
          <w:b/>
          <w:bCs/>
          <w:noProof/>
        </w:rPr>
      </w:pPr>
      <w:r>
        <w:rPr>
          <w:noProof/>
        </w:rPr>
        <w:br w:type="page"/>
      </w:r>
    </w:p>
    <w:p w:rsidR="003E022D" w:rsidRDefault="007D19D6">
      <w:pPr>
        <w:pStyle w:val="NormalCentered"/>
        <w:rPr>
          <w:rFonts w:ascii="Calibri" w:hAnsi="Calibri" w:cs="Calibri"/>
          <w:b/>
          <w:bCs/>
          <w:noProof/>
          <w:sz w:val="22"/>
          <w:szCs w:val="22"/>
        </w:rPr>
      </w:pPr>
      <w:r>
        <w:rPr>
          <w:rFonts w:ascii="Calibri" w:hAnsi="Calibri"/>
          <w:b/>
          <w:bCs/>
          <w:noProof/>
          <w:sz w:val="22"/>
          <w:szCs w:val="22"/>
        </w:rPr>
        <w:t>2. papildinājums</w:t>
      </w:r>
    </w:p>
    <w:p w:rsidR="003E022D" w:rsidRDefault="007D19D6">
      <w:pPr>
        <w:pStyle w:val="NormalCentered"/>
        <w:rPr>
          <w:rFonts w:ascii="Calibri" w:hAnsi="Calibri" w:cs="Calibri"/>
          <w:b/>
          <w:bCs/>
          <w:noProof/>
          <w:sz w:val="22"/>
          <w:szCs w:val="22"/>
        </w:rPr>
      </w:pPr>
      <w:r>
        <w:rPr>
          <w:rFonts w:ascii="Calibri" w:hAnsi="Calibri"/>
          <w:b/>
          <w:bCs/>
          <w:noProof/>
          <w:sz w:val="22"/>
          <w:szCs w:val="22"/>
        </w:rPr>
        <w:t>ILGTERMIŅA PIEGĀDĀTĀJA DEKLARĀCIJA</w:t>
      </w:r>
    </w:p>
    <w:p w:rsidR="003E022D" w:rsidRDefault="007D19D6">
      <w:pPr>
        <w:rPr>
          <w:noProof/>
        </w:rPr>
      </w:pPr>
      <w:r>
        <w:rPr>
          <w:noProof/>
        </w:rPr>
        <w:t>Ilgtermiņa piegādātāja deklarāci</w:t>
      </w:r>
      <w:r>
        <w:rPr>
          <w:noProof/>
        </w:rPr>
        <w:t>ja, kuras teksts ir norādīts turpmāk, jāsagatavo saskaņā ar zemsvītras piezīmēm. Taču zemsvītras piezīmes nav jāpārraksta.</w:t>
      </w:r>
    </w:p>
    <w:p w:rsidR="003E022D" w:rsidRDefault="003E022D">
      <w:pPr>
        <w:rPr>
          <w:noProof/>
        </w:rPr>
      </w:pPr>
    </w:p>
    <w:p w:rsidR="003E022D" w:rsidRDefault="007D19D6">
      <w:pPr>
        <w:jc w:val="center"/>
        <w:rPr>
          <w:noProof/>
        </w:rPr>
      </w:pPr>
      <w:r>
        <w:rPr>
          <w:noProof/>
        </w:rPr>
        <w:t xml:space="preserve">ILGTERMIŅA PIEGĀDĀTĀJA DEKLARĀCIJA </w:t>
      </w:r>
    </w:p>
    <w:p w:rsidR="003E022D" w:rsidRDefault="007D19D6">
      <w:pPr>
        <w:rPr>
          <w:noProof/>
        </w:rPr>
      </w:pPr>
      <w:r>
        <w:rPr>
          <w:noProof/>
        </w:rPr>
        <w:t>Es, apakšā parakstījies pievienotajā dokumentā norādīto ražojumu, ko regulāri piegādā ..........</w:t>
      </w:r>
      <w:r>
        <w:rPr>
          <w:noProof/>
        </w:rPr>
        <w:t xml:space="preserve">.................... </w:t>
      </w:r>
      <w:r>
        <w:rPr>
          <w:b/>
          <w:bCs/>
          <w:noProof/>
          <w:vertAlign w:val="superscript"/>
        </w:rPr>
        <w:t>(4)</w:t>
      </w:r>
      <w:r>
        <w:rPr>
          <w:noProof/>
        </w:rPr>
        <w:t>piegādātājs, apliecinu, ka:</w:t>
      </w:r>
    </w:p>
    <w:p w:rsidR="003E022D" w:rsidRDefault="007D19D6">
      <w:pPr>
        <w:pStyle w:val="ListParagraph"/>
        <w:numPr>
          <w:ilvl w:val="0"/>
          <w:numId w:val="1241"/>
        </w:numPr>
        <w:spacing w:before="120" w:after="120" w:line="276" w:lineRule="auto"/>
        <w:contextualSpacing w:val="0"/>
        <w:jc w:val="left"/>
        <w:rPr>
          <w:noProof/>
        </w:rPr>
      </w:pPr>
      <w:r>
        <w:rPr>
          <w:noProof/>
        </w:rPr>
        <w:t>Šo ražojumu ražošanā [norādīt attiecīgās Puses nosaukumu] ir izmantoti šādi materiāli, kuru izcelsme nav [norādīt attiecīgās Puses nosaukumu]:</w:t>
      </w:r>
    </w:p>
    <w:tbl>
      <w:tblPr>
        <w:tblW w:w="5000" w:type="pct"/>
        <w:jc w:val="center"/>
        <w:tblCellMar>
          <w:left w:w="0" w:type="dxa"/>
          <w:right w:w="0" w:type="dxa"/>
        </w:tblCellMar>
        <w:tblLook w:val="04A0" w:firstRow="1" w:lastRow="0" w:firstColumn="1" w:lastColumn="0" w:noHBand="0" w:noVBand="1"/>
      </w:tblPr>
      <w:tblGrid>
        <w:gridCol w:w="2360"/>
        <w:gridCol w:w="2747"/>
        <w:gridCol w:w="2318"/>
        <w:gridCol w:w="1817"/>
      </w:tblGrid>
      <w:tr w:rsidR="003E022D">
        <w:trPr>
          <w:jc w:val="center"/>
        </w:trPr>
        <w:tc>
          <w:tcPr>
            <w:tcW w:w="1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022D" w:rsidRDefault="007D19D6">
            <w:pPr>
              <w:autoSpaceDE w:val="0"/>
              <w:autoSpaceDN w:val="0"/>
              <w:spacing w:before="60" w:after="60"/>
              <w:jc w:val="center"/>
              <w:rPr>
                <w:noProof/>
              </w:rPr>
            </w:pPr>
            <w:r>
              <w:rPr>
                <w:noProof/>
              </w:rPr>
              <w:t>Piegādāto ražojumu apraksts</w:t>
            </w:r>
            <w:r>
              <w:rPr>
                <w:b/>
                <w:bCs/>
                <w:noProof/>
                <w:vertAlign w:val="superscript"/>
              </w:rPr>
              <w:t>(1)</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022D" w:rsidRDefault="007D19D6">
            <w:pPr>
              <w:autoSpaceDE w:val="0"/>
              <w:autoSpaceDN w:val="0"/>
              <w:spacing w:before="60" w:after="60"/>
              <w:jc w:val="center"/>
              <w:rPr>
                <w:noProof/>
              </w:rPr>
            </w:pPr>
            <w:r>
              <w:rPr>
                <w:noProof/>
              </w:rPr>
              <w:t>Izmantoto nenoteiktas izcelsme</w:t>
            </w:r>
            <w:r>
              <w:rPr>
                <w:noProof/>
              </w:rPr>
              <w:t>s materiālu apraksts</w:t>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022D" w:rsidRDefault="007D19D6">
            <w:pPr>
              <w:autoSpaceDE w:val="0"/>
              <w:autoSpaceDN w:val="0"/>
              <w:spacing w:before="60" w:after="60"/>
              <w:jc w:val="center"/>
              <w:rPr>
                <w:noProof/>
              </w:rPr>
            </w:pPr>
            <w:r>
              <w:rPr>
                <w:noProof/>
              </w:rPr>
              <w:t>Izmantoto nenoteiktas izcelsmes materiālu HS pozīcija</w:t>
            </w:r>
            <w:r>
              <w:rPr>
                <w:b/>
                <w:bCs/>
                <w:noProof/>
                <w:vertAlign w:val="superscript"/>
              </w:rPr>
              <w:t>(2)</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022D" w:rsidRDefault="007D19D6">
            <w:pPr>
              <w:autoSpaceDE w:val="0"/>
              <w:autoSpaceDN w:val="0"/>
              <w:spacing w:before="60" w:after="60"/>
              <w:jc w:val="center"/>
              <w:rPr>
                <w:noProof/>
              </w:rPr>
            </w:pPr>
            <w:r>
              <w:rPr>
                <w:noProof/>
              </w:rPr>
              <w:t>Izmantoto nenoteiktas izcelsmes materiālu vērtība</w:t>
            </w:r>
            <w:r>
              <w:rPr>
                <w:b/>
                <w:bCs/>
                <w:noProof/>
                <w:vertAlign w:val="superscript"/>
              </w:rPr>
              <w:t>(2)(3)</w:t>
            </w:r>
          </w:p>
        </w:tc>
      </w:tr>
      <w:tr w:rsidR="003E022D">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r>
      <w:tr w:rsidR="003E022D">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r>
      <w:tr w:rsidR="003E022D">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ind w:right="-766"/>
              <w:rPr>
                <w:noProof/>
              </w:rPr>
            </w:pPr>
          </w:p>
        </w:tc>
      </w:tr>
      <w:tr w:rsidR="003E022D">
        <w:trPr>
          <w:jc w:val="center"/>
        </w:trPr>
        <w:tc>
          <w:tcPr>
            <w:tcW w:w="4017"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022D" w:rsidRDefault="007D19D6">
            <w:pPr>
              <w:autoSpaceDE w:val="0"/>
              <w:autoSpaceDN w:val="0"/>
              <w:spacing w:before="60" w:after="60"/>
              <w:jc w:val="right"/>
              <w:rPr>
                <w:noProof/>
              </w:rPr>
            </w:pPr>
            <w:r>
              <w:rPr>
                <w:noProof/>
              </w:rPr>
              <w:t>Kopējā vērtība</w:t>
            </w: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3E022D" w:rsidRDefault="003E022D">
            <w:pPr>
              <w:autoSpaceDE w:val="0"/>
              <w:autoSpaceDN w:val="0"/>
              <w:spacing w:before="60" w:after="60"/>
              <w:rPr>
                <w:noProof/>
              </w:rPr>
            </w:pPr>
          </w:p>
        </w:tc>
      </w:tr>
    </w:tbl>
    <w:p w:rsidR="003E022D" w:rsidRDefault="007D19D6">
      <w:pPr>
        <w:pStyle w:val="ListParagraph"/>
        <w:numPr>
          <w:ilvl w:val="0"/>
          <w:numId w:val="1241"/>
        </w:numPr>
        <w:spacing w:before="120" w:after="120" w:line="276" w:lineRule="auto"/>
        <w:contextualSpacing w:val="0"/>
        <w:jc w:val="left"/>
        <w:rPr>
          <w:rFonts w:eastAsia="Times New Roman" w:cs="Calibri"/>
          <w:noProof/>
          <w:sz w:val="20"/>
          <w:szCs w:val="20"/>
        </w:rPr>
      </w:pPr>
      <w:r>
        <w:rPr>
          <w:noProof/>
        </w:rPr>
        <w:t xml:space="preserve">Visu pārējo materiālu, kas [norādīt attiecīgās Puses nosaukumu] izmantoti šo ražojumu </w:t>
      </w:r>
      <w:r>
        <w:rPr>
          <w:noProof/>
        </w:rPr>
        <w:t>ražošanā, izcelsme ir Pusē [norādīt attiecīgās Puses nosaukumu].</w:t>
      </w:r>
    </w:p>
    <w:p w:rsidR="003E022D" w:rsidRDefault="003E022D">
      <w:pPr>
        <w:pStyle w:val="ListParagraph"/>
        <w:spacing w:before="120" w:after="120" w:line="276" w:lineRule="auto"/>
        <w:ind w:left="360"/>
        <w:contextualSpacing w:val="0"/>
        <w:jc w:val="left"/>
        <w:rPr>
          <w:rFonts w:ascii="Times New Roman" w:hAnsi="Times New Roman" w:cs="Times New Roman"/>
          <w:noProof/>
          <w:lang w:eastAsia="en-GB"/>
        </w:rPr>
      </w:pPr>
    </w:p>
    <w:p w:rsidR="003E022D" w:rsidRDefault="007D19D6">
      <w:pPr>
        <w:rPr>
          <w:noProof/>
        </w:rPr>
      </w:pPr>
      <w:r>
        <w:rPr>
          <w:noProof/>
        </w:rPr>
        <w:t xml:space="preserve">Šī deklarācija ir derīga visiem turpmākajiem šo ražojumu sūtījumiem, kas nosūtīti </w:t>
      </w:r>
    </w:p>
    <w:p w:rsidR="003E022D" w:rsidRDefault="007D19D6">
      <w:pPr>
        <w:rPr>
          <w:noProof/>
        </w:rPr>
      </w:pPr>
      <w:r>
        <w:rPr>
          <w:noProof/>
        </w:rPr>
        <w:t>no.........................................................................................................</w:t>
      </w:r>
      <w:r>
        <w:rPr>
          <w:noProof/>
        </w:rPr>
        <w:t xml:space="preserve">....... uz..................................................................................................................................................................................................................... (5) </w:t>
      </w:r>
    </w:p>
    <w:p w:rsidR="003E022D" w:rsidRDefault="007D19D6">
      <w:pPr>
        <w:rPr>
          <w:noProof/>
        </w:rPr>
      </w:pPr>
      <w:r>
        <w:rPr>
          <w:noProof/>
        </w:rPr>
        <w:t>Es apņemos ................</w:t>
      </w:r>
      <w:r>
        <w:rPr>
          <w:noProof/>
        </w:rPr>
        <w:t>................................................................................................................................. (4) nekavējoties informēt, ja šī deklarācija vairs nebūs derīga.</w:t>
      </w:r>
    </w:p>
    <w:p w:rsidR="003E022D" w:rsidRDefault="003E022D">
      <w:pPr>
        <w:pStyle w:val="ListParagraph"/>
        <w:rPr>
          <w:noProof/>
        </w:rPr>
      </w:pPr>
    </w:p>
    <w:p w:rsidR="003E022D" w:rsidRDefault="007D19D6">
      <w:pPr>
        <w:pStyle w:val="ListParagraph"/>
        <w:rPr>
          <w:noProof/>
        </w:rPr>
      </w:pPr>
      <w:r>
        <w:rPr>
          <w:noProof/>
        </w:rPr>
        <w:t>............................................................</w:t>
      </w:r>
      <w:r>
        <w:rPr>
          <w:noProof/>
        </w:rPr>
        <w:t xml:space="preserve">...................................(Vieta un datums) </w:t>
      </w:r>
    </w:p>
    <w:p w:rsidR="003E022D" w:rsidRDefault="007D19D6">
      <w:pPr>
        <w:pStyle w:val="ListParagraph"/>
        <w:rPr>
          <w:noProof/>
        </w:rPr>
      </w:pPr>
      <w:r>
        <w:rPr>
          <w:noProof/>
        </w:rPr>
        <w:t>..................................................................(parakstītāja vārds, uzvārds un ieņemamais amats, uzņēmuma nosaukums un adrese) ........................................................</w:t>
      </w:r>
      <w:r>
        <w:rPr>
          <w:noProof/>
        </w:rPr>
        <w:t>...................................................................(paraksts)(6)</w:t>
      </w:r>
    </w:p>
    <w:p w:rsidR="003E022D" w:rsidRDefault="003E022D">
      <w:pPr>
        <w:pStyle w:val="ListParagraph"/>
        <w:rPr>
          <w:noProof/>
        </w:rPr>
      </w:pPr>
    </w:p>
    <w:p w:rsidR="003E022D" w:rsidRDefault="003E022D">
      <w:pPr>
        <w:pStyle w:val="ListParagraph"/>
        <w:rPr>
          <w:b/>
          <w:bCs/>
          <w:noProof/>
        </w:rPr>
      </w:pPr>
    </w:p>
    <w:p w:rsidR="003E022D" w:rsidRDefault="007D19D6">
      <w:pPr>
        <w:pStyle w:val="ListParagraph"/>
        <w:spacing w:before="120" w:after="120"/>
        <w:contextualSpacing w:val="0"/>
        <w:jc w:val="center"/>
        <w:rPr>
          <w:b/>
          <w:bCs/>
          <w:noProof/>
        </w:rPr>
      </w:pPr>
      <w:r>
        <w:rPr>
          <w:b/>
          <w:bCs/>
          <w:noProof/>
        </w:rPr>
        <w:t>Zemsvītras piezīmes</w:t>
      </w:r>
    </w:p>
    <w:p w:rsidR="003E022D" w:rsidRDefault="007D19D6">
      <w:pPr>
        <w:pStyle w:val="ListParagraph"/>
        <w:spacing w:before="120" w:after="120"/>
        <w:ind w:left="0"/>
        <w:contextualSpacing w:val="0"/>
        <w:rPr>
          <w:noProof/>
        </w:rPr>
      </w:pPr>
      <w:r>
        <w:rPr>
          <w:noProof/>
        </w:rPr>
        <w:t>(1) Ja faktūrrēķins vai cits dokuments, kam pievienota deklarācija, attiecas uz dažādiem ražojumiem vai ražojumiem, kuros nenoteiktas izcelsmes materiāli</w:t>
      </w:r>
      <w:r>
        <w:rPr>
          <w:noProof/>
        </w:rPr>
        <w:t xml:space="preserve"> nav iekļauti tādā pašā apjomā, piegādātājam tie ir skaidri jānošķir.</w:t>
      </w:r>
    </w:p>
    <w:p w:rsidR="003E022D" w:rsidRDefault="007D19D6">
      <w:pPr>
        <w:pStyle w:val="ListParagraph"/>
        <w:spacing w:before="120" w:after="120"/>
        <w:ind w:left="0"/>
        <w:contextualSpacing w:val="0"/>
        <w:rPr>
          <w:noProof/>
        </w:rPr>
      </w:pPr>
      <w:r>
        <w:rPr>
          <w:noProof/>
        </w:rPr>
        <w:t xml:space="preserve">(2) Pieprasītā informācija nav jāsniedz, ja vien tā nav nepieciešama. </w:t>
      </w:r>
    </w:p>
    <w:p w:rsidR="003E022D" w:rsidRDefault="007D19D6">
      <w:pPr>
        <w:pStyle w:val="ListParagraph"/>
        <w:spacing w:before="120" w:after="120"/>
        <w:contextualSpacing w:val="0"/>
        <w:rPr>
          <w:noProof/>
        </w:rPr>
      </w:pPr>
      <w:r>
        <w:rPr>
          <w:noProof/>
        </w:rPr>
        <w:t>Piemērs.</w:t>
      </w:r>
    </w:p>
    <w:p w:rsidR="003E022D" w:rsidRDefault="007D19D6">
      <w:pPr>
        <w:pStyle w:val="ListParagraph"/>
        <w:spacing w:before="120" w:after="120"/>
        <w:contextualSpacing w:val="0"/>
        <w:rPr>
          <w:noProof/>
        </w:rPr>
      </w:pPr>
      <w:r>
        <w:rPr>
          <w:noProof/>
        </w:rPr>
        <w:t>Viens no 62. nodaļas noteikumiem attiecībā uz apģērbu paredz “Aušanu apvienojumā ar apdari, ieskaitot audu</w:t>
      </w:r>
      <w:r>
        <w:rPr>
          <w:noProof/>
        </w:rPr>
        <w:t>ma piegriešanu”. Ja šādu apģērbu ražotājs kādā Pusē izmanto no otras Puses importētu audumu, kas tur iegūts, aužot nenoteiktas izcelsmes dziju, ir pietiekami, ja piegādātājs šajā Pusē savā deklarācijā apraksta nenoteiktas izcelsmes materiālu, kas izmantots</w:t>
      </w:r>
      <w:r>
        <w:rPr>
          <w:noProof/>
        </w:rPr>
        <w:t xml:space="preserve"> kā dzija, nenorādot HS pozīciju un šādas dzijas vērtību.</w:t>
      </w:r>
    </w:p>
    <w:p w:rsidR="003E022D" w:rsidRDefault="007D19D6">
      <w:pPr>
        <w:pStyle w:val="ListParagraph"/>
        <w:spacing w:before="120" w:after="120"/>
        <w:contextualSpacing w:val="0"/>
        <w:rPr>
          <w:noProof/>
        </w:rPr>
      </w:pPr>
      <w:r>
        <w:rPr>
          <w:noProof/>
        </w:rPr>
        <w:t>HS pozīcijas 7217 dzelzs stiepļu ražotājam, kas tās ražojis no nenoteiktas izcelsmes dzelzs stieņiem, otrajā slejā jānorāda “dzelzs stieņi”. Ja minēto stiepli paredzēts izmantot tādas mašīnas ražoša</w:t>
      </w:r>
      <w:r>
        <w:rPr>
          <w:noProof/>
        </w:rPr>
        <w:t>nā, kurai noteikums paredz ierobežojumu attiecībā uz visiem izmantotajiem nenoteiktas izcelsmes materiāliem līdz noteiktai procentuālai vērtībai, trešajā slejā jānorāda nenoteiktas izcelsmes stieņu vērtība.</w:t>
      </w:r>
    </w:p>
    <w:p w:rsidR="003E022D" w:rsidRDefault="007D19D6">
      <w:pPr>
        <w:pStyle w:val="ListParagraph"/>
        <w:spacing w:before="120" w:after="120"/>
        <w:ind w:left="0"/>
        <w:contextualSpacing w:val="0"/>
        <w:rPr>
          <w:noProof/>
        </w:rPr>
      </w:pPr>
      <w:r>
        <w:rPr>
          <w:noProof/>
        </w:rPr>
        <w:t>(3) “Izmantoto nenoteiktas izcelsmes materiālu vē</w:t>
      </w:r>
      <w:r>
        <w:rPr>
          <w:noProof/>
        </w:rPr>
        <w:t>rtība” ir ražojuma ražošanā izmantoto nenoteiktas izcelsmes materiālu vērtība, kas ir to muitas vērtība importēšanas laikā, ieskaitot pārvadājuma izmaksas, attiecīgā gadījumā apdrošināšanas, iepakojuma un visas pārējās izmaksas, kas radušās, pārvadājot mat</w:t>
      </w:r>
      <w:r>
        <w:rPr>
          <w:noProof/>
        </w:rPr>
        <w:t>eriālus uz ievešanas ostu Pusē, kurā atrodas ražojuma ražotājs, ja nenoteiktas izcelsmes materiālu vērtība nav zināma un to nevar noskaidrot, tad izmanto pirmo noskaidrojamo cenu, kas par nenoteiktas izcelsmes materiāliem samaksāta Savienībā vai Apvienotaj</w:t>
      </w:r>
      <w:r>
        <w:rPr>
          <w:noProof/>
        </w:rPr>
        <w:t>ā Karalistē,</w:t>
      </w:r>
    </w:p>
    <w:p w:rsidR="003E022D" w:rsidRDefault="007D19D6">
      <w:pPr>
        <w:pStyle w:val="ListParagraph"/>
        <w:spacing w:before="120" w:after="120"/>
        <w:ind w:left="0"/>
        <w:contextualSpacing w:val="0"/>
        <w:rPr>
          <w:noProof/>
        </w:rPr>
      </w:pPr>
      <w:r>
        <w:rPr>
          <w:noProof/>
        </w:rPr>
        <w:t>(4) Klienta vārds, uzvārds (nosaukums) un adrese</w:t>
      </w:r>
    </w:p>
    <w:p w:rsidR="003E022D" w:rsidRDefault="007D19D6">
      <w:pPr>
        <w:pStyle w:val="ListParagraph"/>
        <w:spacing w:before="120" w:after="120"/>
        <w:ind w:left="0"/>
        <w:contextualSpacing w:val="0"/>
        <w:rPr>
          <w:noProof/>
        </w:rPr>
      </w:pPr>
      <w:r>
        <w:rPr>
          <w:noProof/>
        </w:rPr>
        <w:t>(5) Pievienot datumu</w:t>
      </w:r>
    </w:p>
    <w:p w:rsidR="003E022D" w:rsidRDefault="007D19D6">
      <w:pPr>
        <w:pStyle w:val="ListParagraph"/>
        <w:spacing w:before="120" w:after="120"/>
        <w:ind w:left="0"/>
        <w:contextualSpacing w:val="0"/>
        <w:rPr>
          <w:noProof/>
        </w:rPr>
      </w:pPr>
      <w:r>
        <w:rPr>
          <w:noProof/>
        </w:rPr>
        <w:t xml:space="preserve">(6) Vajadzības gadījumā </w:t>
      </w:r>
      <w:bookmarkStart w:id="954" w:name="m_-7532250599591678663__Hlk57646551"/>
      <w:bookmarkEnd w:id="954"/>
      <w:r>
        <w:rPr>
          <w:noProof/>
        </w:rPr>
        <w:t>šajā laukā var būt elektroniskais paraksts, skenēts attēls vai cits parakstītāja ar roku rakstīta paraksta vizuāls attēlojums, nevis parakstu oriģinā</w:t>
      </w:r>
      <w:r>
        <w:rPr>
          <w:noProof/>
        </w:rPr>
        <w:t xml:space="preserve">li. </w:t>
      </w:r>
    </w:p>
    <w:p w:rsidR="003E022D" w:rsidRDefault="003E022D">
      <w:pPr>
        <w:pStyle w:val="ListParagraph"/>
        <w:spacing w:before="120" w:after="120"/>
        <w:ind w:left="0"/>
        <w:contextualSpacing w:val="0"/>
        <w:rPr>
          <w:noProof/>
        </w:rPr>
      </w:pPr>
    </w:p>
    <w:p w:rsidR="003E022D" w:rsidRDefault="003E022D">
      <w:pPr>
        <w:rPr>
          <w:noProof/>
        </w:rPr>
      </w:pPr>
    </w:p>
    <w:p w:rsidR="003E022D" w:rsidRDefault="007D19D6">
      <w:pPr>
        <w:spacing w:after="160" w:line="259" w:lineRule="auto"/>
        <w:jc w:val="left"/>
        <w:rPr>
          <w:noProof/>
        </w:rPr>
      </w:pPr>
      <w:r>
        <w:rPr>
          <w:noProof/>
        </w:rPr>
        <w:br w:type="page"/>
      </w:r>
    </w:p>
    <w:p w:rsidR="003E022D" w:rsidRDefault="007D19D6">
      <w:pPr>
        <w:pStyle w:val="ANNEX"/>
        <w:rPr>
          <w:rFonts w:cstheme="minorHAnsi"/>
          <w:noProof/>
        </w:rPr>
      </w:pPr>
      <w:hyperlink w:anchor="_Toc35449674" w:history="1">
        <w:bookmarkStart w:id="955" w:name="_Toc59988391"/>
        <w:r>
          <w:rPr>
            <w:noProof/>
          </w:rPr>
          <w:t>ORIG-4. PIELIKUMS.</w:t>
        </w:r>
      </w:hyperlink>
      <w:hyperlink w:anchor="_Toc35449674" w:history="1">
        <w:bookmarkStart w:id="956" w:name="_Toc59020197"/>
        <w:r>
          <w:rPr>
            <w:noProof/>
          </w:rPr>
          <w:t>PAZIŅOJUMA PAR IZCELSMI TEKSTS</w:t>
        </w:r>
        <w:bookmarkEnd w:id="956"/>
        <w:bookmarkEnd w:id="955"/>
      </w:hyperlink>
      <w:hyperlink w:anchor="_Toc35449674" w:history="1"/>
    </w:p>
    <w:p w:rsidR="003E022D" w:rsidRDefault="007D19D6">
      <w:pPr>
        <w:tabs>
          <w:tab w:val="left" w:pos="3300"/>
        </w:tabs>
        <w:rPr>
          <w:bCs/>
          <w:noProof/>
        </w:rPr>
      </w:pPr>
      <w:r>
        <w:rPr>
          <w:noProof/>
        </w:rPr>
        <w:t>Šā nolīguma ORIG.19. pantā [Paziņojums par izcelsmi] minēto paziņojumu par izcelsmi sagatavo, izmantoj</w:t>
      </w:r>
      <w:r>
        <w:rPr>
          <w:noProof/>
        </w:rPr>
        <w:t>ot turpmāk norādīto tekstu vienā no turpmāk norādītajām valodām un saskaņā ar eksportētājas Puses normatīvajiem aktiem. Ja paziņojumu par izcelsmi raksta ar roku, lieto tinti un raksta drukātiem burtiem. Paziņojumu par izcelsmi sagatavo saskaņā ar attiecīg</w:t>
      </w:r>
      <w:r>
        <w:rPr>
          <w:noProof/>
        </w:rPr>
        <w:t xml:space="preserve">ajām zemsvītras piezīmēm. Zemsvītras piezīmes nav jāpārraksta. </w:t>
      </w:r>
    </w:p>
    <w:p w:rsidR="003E022D" w:rsidRDefault="007D19D6">
      <w:pPr>
        <w:tabs>
          <w:tab w:val="left" w:pos="3300"/>
        </w:tabs>
        <w:spacing w:after="0"/>
        <w:rPr>
          <w:bCs/>
          <w:noProof/>
        </w:rPr>
      </w:pPr>
      <w:r>
        <w:rPr>
          <w:noProof/>
        </w:rPr>
        <w:t xml:space="preserve">Teksts bulgāru valodā </w:t>
      </w:r>
    </w:p>
    <w:p w:rsidR="003E022D" w:rsidRDefault="007D19D6">
      <w:pPr>
        <w:tabs>
          <w:tab w:val="left" w:pos="3300"/>
        </w:tabs>
        <w:spacing w:after="0"/>
        <w:rPr>
          <w:bCs/>
          <w:noProof/>
        </w:rPr>
      </w:pPr>
      <w:r>
        <w:rPr>
          <w:noProof/>
        </w:rPr>
        <w:t xml:space="preserve">Teksts horvātu valodā </w:t>
      </w:r>
    </w:p>
    <w:p w:rsidR="003E022D" w:rsidRDefault="007D19D6">
      <w:pPr>
        <w:tabs>
          <w:tab w:val="left" w:pos="3300"/>
        </w:tabs>
        <w:spacing w:after="0"/>
        <w:rPr>
          <w:bCs/>
          <w:noProof/>
        </w:rPr>
      </w:pPr>
      <w:r>
        <w:rPr>
          <w:noProof/>
        </w:rPr>
        <w:t>Teksts čehu valodā</w:t>
      </w:r>
    </w:p>
    <w:p w:rsidR="003E022D" w:rsidRDefault="007D19D6">
      <w:pPr>
        <w:tabs>
          <w:tab w:val="left" w:pos="3300"/>
        </w:tabs>
        <w:spacing w:after="0"/>
        <w:rPr>
          <w:bCs/>
          <w:noProof/>
        </w:rPr>
      </w:pPr>
      <w:r>
        <w:rPr>
          <w:noProof/>
        </w:rPr>
        <w:t xml:space="preserve">Teksts dāņu valodā </w:t>
      </w:r>
    </w:p>
    <w:p w:rsidR="003E022D" w:rsidRDefault="007D19D6">
      <w:pPr>
        <w:tabs>
          <w:tab w:val="left" w:pos="3300"/>
        </w:tabs>
        <w:spacing w:after="0"/>
        <w:rPr>
          <w:bCs/>
          <w:noProof/>
        </w:rPr>
      </w:pPr>
      <w:r>
        <w:rPr>
          <w:noProof/>
        </w:rPr>
        <w:t xml:space="preserve">Teksts nīderlandiešu valodā </w:t>
      </w:r>
    </w:p>
    <w:p w:rsidR="003E022D" w:rsidRDefault="007D19D6">
      <w:pPr>
        <w:tabs>
          <w:tab w:val="left" w:pos="3300"/>
        </w:tabs>
        <w:spacing w:after="0"/>
        <w:rPr>
          <w:bCs/>
          <w:noProof/>
        </w:rPr>
      </w:pPr>
      <w:r>
        <w:rPr>
          <w:noProof/>
        </w:rPr>
        <w:t xml:space="preserve">Teksts angļu valodā </w:t>
      </w:r>
    </w:p>
    <w:p w:rsidR="003E022D" w:rsidRDefault="007D19D6">
      <w:pPr>
        <w:tabs>
          <w:tab w:val="left" w:pos="3300"/>
        </w:tabs>
        <w:spacing w:after="0"/>
        <w:rPr>
          <w:bCs/>
          <w:noProof/>
        </w:rPr>
      </w:pPr>
      <w:r>
        <w:rPr>
          <w:noProof/>
        </w:rPr>
        <w:t xml:space="preserve">Teksts igauņu valodā </w:t>
      </w:r>
    </w:p>
    <w:p w:rsidR="003E022D" w:rsidRDefault="007D19D6">
      <w:pPr>
        <w:tabs>
          <w:tab w:val="left" w:pos="3300"/>
        </w:tabs>
        <w:spacing w:after="0"/>
        <w:rPr>
          <w:bCs/>
          <w:noProof/>
        </w:rPr>
      </w:pPr>
      <w:r>
        <w:rPr>
          <w:noProof/>
        </w:rPr>
        <w:t xml:space="preserve">Teksts somu valodā </w:t>
      </w:r>
    </w:p>
    <w:p w:rsidR="003E022D" w:rsidRDefault="007D19D6">
      <w:pPr>
        <w:tabs>
          <w:tab w:val="left" w:pos="3300"/>
        </w:tabs>
        <w:spacing w:after="0"/>
        <w:rPr>
          <w:bCs/>
          <w:noProof/>
        </w:rPr>
      </w:pPr>
      <w:r>
        <w:rPr>
          <w:noProof/>
        </w:rPr>
        <w:t xml:space="preserve">Teksts franču valodā </w:t>
      </w:r>
    </w:p>
    <w:p w:rsidR="003E022D" w:rsidRDefault="007D19D6">
      <w:pPr>
        <w:tabs>
          <w:tab w:val="left" w:pos="3300"/>
        </w:tabs>
        <w:spacing w:after="0"/>
        <w:rPr>
          <w:bCs/>
          <w:noProof/>
        </w:rPr>
      </w:pPr>
      <w:r>
        <w:rPr>
          <w:noProof/>
        </w:rPr>
        <w:t xml:space="preserve">Teksts vācu valodā </w:t>
      </w:r>
    </w:p>
    <w:p w:rsidR="003E022D" w:rsidRDefault="007D19D6">
      <w:pPr>
        <w:tabs>
          <w:tab w:val="left" w:pos="3300"/>
        </w:tabs>
        <w:spacing w:after="0"/>
        <w:rPr>
          <w:bCs/>
          <w:noProof/>
        </w:rPr>
      </w:pPr>
      <w:r>
        <w:rPr>
          <w:noProof/>
        </w:rPr>
        <w:t xml:space="preserve">Teksts grieķu valodā </w:t>
      </w:r>
    </w:p>
    <w:p w:rsidR="003E022D" w:rsidRDefault="007D19D6">
      <w:pPr>
        <w:tabs>
          <w:tab w:val="left" w:pos="3300"/>
        </w:tabs>
        <w:spacing w:after="0"/>
        <w:rPr>
          <w:bCs/>
          <w:noProof/>
        </w:rPr>
      </w:pPr>
      <w:r>
        <w:rPr>
          <w:noProof/>
        </w:rPr>
        <w:t xml:space="preserve">Teksts ungāru valodā </w:t>
      </w:r>
    </w:p>
    <w:p w:rsidR="003E022D" w:rsidRDefault="007D19D6">
      <w:pPr>
        <w:tabs>
          <w:tab w:val="left" w:pos="3300"/>
        </w:tabs>
        <w:spacing w:after="0"/>
        <w:rPr>
          <w:bCs/>
          <w:noProof/>
        </w:rPr>
      </w:pPr>
      <w:r>
        <w:rPr>
          <w:noProof/>
        </w:rPr>
        <w:t xml:space="preserve">Teksts itāļu valodā </w:t>
      </w:r>
    </w:p>
    <w:p w:rsidR="003E022D" w:rsidRDefault="007D19D6">
      <w:pPr>
        <w:tabs>
          <w:tab w:val="left" w:pos="3300"/>
        </w:tabs>
        <w:spacing w:after="0"/>
        <w:rPr>
          <w:bCs/>
          <w:noProof/>
        </w:rPr>
      </w:pPr>
      <w:r>
        <w:rPr>
          <w:noProof/>
        </w:rPr>
        <w:t>Teksts latviešu valodā</w:t>
      </w:r>
    </w:p>
    <w:p w:rsidR="003E022D" w:rsidRDefault="007D19D6">
      <w:pPr>
        <w:tabs>
          <w:tab w:val="left" w:pos="3300"/>
        </w:tabs>
        <w:spacing w:after="0"/>
        <w:rPr>
          <w:bCs/>
          <w:noProof/>
        </w:rPr>
      </w:pPr>
      <w:r>
        <w:rPr>
          <w:noProof/>
        </w:rPr>
        <w:t xml:space="preserve">Teksts lietuviešu valodā </w:t>
      </w:r>
    </w:p>
    <w:p w:rsidR="003E022D" w:rsidRDefault="007D19D6">
      <w:pPr>
        <w:tabs>
          <w:tab w:val="left" w:pos="3300"/>
        </w:tabs>
        <w:spacing w:after="0"/>
        <w:rPr>
          <w:bCs/>
          <w:noProof/>
        </w:rPr>
      </w:pPr>
      <w:r>
        <w:rPr>
          <w:noProof/>
        </w:rPr>
        <w:t xml:space="preserve">Teksts maltiešu valodā </w:t>
      </w:r>
    </w:p>
    <w:p w:rsidR="003E022D" w:rsidRDefault="007D19D6">
      <w:pPr>
        <w:tabs>
          <w:tab w:val="left" w:pos="3300"/>
        </w:tabs>
        <w:spacing w:after="0"/>
        <w:rPr>
          <w:bCs/>
          <w:noProof/>
        </w:rPr>
      </w:pPr>
      <w:r>
        <w:rPr>
          <w:noProof/>
        </w:rPr>
        <w:t xml:space="preserve">Teksts poļu valodā </w:t>
      </w:r>
    </w:p>
    <w:p w:rsidR="003E022D" w:rsidRDefault="007D19D6">
      <w:pPr>
        <w:tabs>
          <w:tab w:val="left" w:pos="3300"/>
        </w:tabs>
        <w:spacing w:after="0"/>
        <w:rPr>
          <w:bCs/>
          <w:noProof/>
        </w:rPr>
      </w:pPr>
      <w:r>
        <w:rPr>
          <w:noProof/>
        </w:rPr>
        <w:t xml:space="preserve">Teksts portugāļu valodā </w:t>
      </w:r>
    </w:p>
    <w:p w:rsidR="003E022D" w:rsidRDefault="007D19D6">
      <w:pPr>
        <w:tabs>
          <w:tab w:val="left" w:pos="3300"/>
        </w:tabs>
        <w:spacing w:after="0"/>
        <w:rPr>
          <w:bCs/>
          <w:noProof/>
        </w:rPr>
      </w:pPr>
      <w:r>
        <w:rPr>
          <w:noProof/>
        </w:rPr>
        <w:t xml:space="preserve">Teksts rumāņu valodā </w:t>
      </w:r>
    </w:p>
    <w:p w:rsidR="003E022D" w:rsidRDefault="007D19D6">
      <w:pPr>
        <w:tabs>
          <w:tab w:val="left" w:pos="3300"/>
        </w:tabs>
        <w:spacing w:after="0"/>
        <w:rPr>
          <w:bCs/>
          <w:noProof/>
        </w:rPr>
      </w:pPr>
      <w:r>
        <w:rPr>
          <w:noProof/>
        </w:rPr>
        <w:t>Teksts sl</w:t>
      </w:r>
      <w:r>
        <w:rPr>
          <w:noProof/>
        </w:rPr>
        <w:t xml:space="preserve">ovāku valodā </w:t>
      </w:r>
    </w:p>
    <w:p w:rsidR="003E022D" w:rsidRDefault="007D19D6">
      <w:pPr>
        <w:tabs>
          <w:tab w:val="left" w:pos="3300"/>
        </w:tabs>
        <w:spacing w:after="0"/>
        <w:rPr>
          <w:bCs/>
          <w:noProof/>
        </w:rPr>
      </w:pPr>
      <w:r>
        <w:rPr>
          <w:noProof/>
        </w:rPr>
        <w:t xml:space="preserve">Teksts slovēņu valodā </w:t>
      </w:r>
    </w:p>
    <w:p w:rsidR="003E022D" w:rsidRDefault="007D19D6">
      <w:pPr>
        <w:tabs>
          <w:tab w:val="left" w:pos="3300"/>
        </w:tabs>
        <w:spacing w:after="0"/>
        <w:rPr>
          <w:bCs/>
          <w:noProof/>
        </w:rPr>
      </w:pPr>
      <w:r>
        <w:rPr>
          <w:noProof/>
        </w:rPr>
        <w:t>Teksts spāņu valodā</w:t>
      </w:r>
    </w:p>
    <w:p w:rsidR="003E022D" w:rsidRDefault="007D19D6">
      <w:pPr>
        <w:tabs>
          <w:tab w:val="left" w:pos="3300"/>
        </w:tabs>
        <w:spacing w:after="0"/>
        <w:rPr>
          <w:bCs/>
          <w:noProof/>
        </w:rPr>
      </w:pPr>
      <w:r>
        <w:rPr>
          <w:noProof/>
        </w:rPr>
        <w:t xml:space="preserve">Teksts zviedru valodā </w:t>
      </w:r>
    </w:p>
    <w:p w:rsidR="003E022D" w:rsidRDefault="003E022D">
      <w:pPr>
        <w:tabs>
          <w:tab w:val="left" w:pos="3300"/>
        </w:tabs>
        <w:rPr>
          <w:bCs/>
          <w:noProof/>
        </w:rPr>
      </w:pPr>
    </w:p>
    <w:p w:rsidR="003E022D" w:rsidRDefault="007D19D6">
      <w:pPr>
        <w:tabs>
          <w:tab w:val="left" w:pos="3300"/>
        </w:tabs>
        <w:rPr>
          <w:bCs/>
          <w:noProof/>
        </w:rPr>
      </w:pPr>
      <w:r>
        <w:rPr>
          <w:noProof/>
        </w:rPr>
        <w:t xml:space="preserve">(Laikposms: no___________ līdz __________ </w:t>
      </w:r>
      <w:r>
        <w:rPr>
          <w:bCs/>
          <w:noProof/>
          <w:vertAlign w:val="superscript"/>
        </w:rPr>
        <w:t>(1)</w:t>
      </w:r>
      <w:r>
        <w:rPr>
          <w:noProof/>
        </w:rPr>
        <w:t xml:space="preserve">) </w:t>
      </w:r>
    </w:p>
    <w:p w:rsidR="003E022D" w:rsidRDefault="007D19D6">
      <w:pPr>
        <w:tabs>
          <w:tab w:val="left" w:pos="3300"/>
        </w:tabs>
        <w:rPr>
          <w:bCs/>
          <w:noProof/>
        </w:rPr>
      </w:pPr>
      <w:r>
        <w:rPr>
          <w:noProof/>
        </w:rPr>
        <w:t xml:space="preserve">To ražojumu eksportētājs, kuri ietverti šajā dokumentā (eksportētāja atsauce Nr. ... </w:t>
      </w:r>
      <w:r>
        <w:rPr>
          <w:bCs/>
          <w:noProof/>
          <w:vertAlign w:val="superscript"/>
        </w:rPr>
        <w:t>(2)</w:t>
      </w:r>
      <w:r>
        <w:rPr>
          <w:noProof/>
        </w:rPr>
        <w:t>), deklarē, ka, izņemot tur, kur ir cit</w:t>
      </w:r>
      <w:r>
        <w:rPr>
          <w:noProof/>
        </w:rPr>
        <w:t xml:space="preserve">ādi skaidri noteikts, šiem ražojumiem ir preferenciāla izcelsme ... </w:t>
      </w:r>
      <w:r>
        <w:rPr>
          <w:bCs/>
          <w:noProof/>
          <w:vertAlign w:val="superscript"/>
        </w:rPr>
        <w:t xml:space="preserve">(3) </w:t>
      </w:r>
      <w:r>
        <w:rPr>
          <w:noProof/>
        </w:rPr>
        <w:t xml:space="preserve">. </w:t>
      </w:r>
    </w:p>
    <w:p w:rsidR="003E022D" w:rsidRDefault="007D19D6">
      <w:pPr>
        <w:tabs>
          <w:tab w:val="left" w:pos="3300"/>
        </w:tabs>
        <w:jc w:val="center"/>
        <w:rPr>
          <w:bCs/>
          <w:noProof/>
          <w:vertAlign w:val="superscript"/>
        </w:rPr>
      </w:pPr>
      <w:r>
        <w:rPr>
          <w:noProof/>
        </w:rPr>
        <w:t>…………………………………………………………….............................................</w:t>
      </w:r>
      <w:r>
        <w:rPr>
          <w:bCs/>
          <w:noProof/>
          <w:vertAlign w:val="superscript"/>
        </w:rPr>
        <w:t>(4)</w:t>
      </w:r>
    </w:p>
    <w:p w:rsidR="003E022D" w:rsidRDefault="007D19D6">
      <w:pPr>
        <w:tabs>
          <w:tab w:val="left" w:pos="3300"/>
        </w:tabs>
        <w:jc w:val="center"/>
        <w:rPr>
          <w:bCs/>
          <w:noProof/>
        </w:rPr>
      </w:pPr>
      <w:r>
        <w:rPr>
          <w:noProof/>
        </w:rPr>
        <w:t>(Vieta un datums)</w:t>
      </w:r>
    </w:p>
    <w:p w:rsidR="003E022D" w:rsidRDefault="007D19D6">
      <w:pPr>
        <w:tabs>
          <w:tab w:val="left" w:pos="3300"/>
        </w:tabs>
        <w:jc w:val="center"/>
        <w:rPr>
          <w:bCs/>
          <w:noProof/>
        </w:rPr>
      </w:pPr>
      <w:r>
        <w:rPr>
          <w:noProof/>
        </w:rPr>
        <w:t>…………………………………………………………….............................................</w:t>
      </w:r>
    </w:p>
    <w:p w:rsidR="003E022D" w:rsidRDefault="007D19D6">
      <w:pPr>
        <w:tabs>
          <w:tab w:val="left" w:pos="3300"/>
        </w:tabs>
        <w:jc w:val="center"/>
        <w:rPr>
          <w:bCs/>
          <w:noProof/>
        </w:rPr>
      </w:pPr>
      <w:r>
        <w:rPr>
          <w:noProof/>
        </w:rPr>
        <w:t>(Eksportētāja vārds, u</w:t>
      </w:r>
      <w:r>
        <w:rPr>
          <w:noProof/>
        </w:rPr>
        <w:t>zvārds/nosaukums)</w:t>
      </w:r>
    </w:p>
    <w:p w:rsidR="003E022D" w:rsidRDefault="003E022D">
      <w:pPr>
        <w:pBdr>
          <w:bottom w:val="single" w:sz="6" w:space="1" w:color="auto"/>
        </w:pBdr>
        <w:tabs>
          <w:tab w:val="left" w:pos="3300"/>
        </w:tabs>
        <w:rPr>
          <w:bCs/>
          <w:noProof/>
        </w:rPr>
      </w:pPr>
    </w:p>
    <w:p w:rsidR="003E022D" w:rsidRDefault="007D19D6">
      <w:pPr>
        <w:tabs>
          <w:tab w:val="left" w:pos="3300"/>
        </w:tabs>
        <w:rPr>
          <w:bCs/>
          <w:noProof/>
        </w:rPr>
      </w:pPr>
      <w:r>
        <w:rPr>
          <w:bCs/>
          <w:noProof/>
          <w:vertAlign w:val="superscript"/>
        </w:rPr>
        <w:t>1</w:t>
      </w:r>
      <w:r>
        <w:rPr>
          <w:noProof/>
        </w:rPr>
        <w:t>Ja paziņojums par izcelsmi tiek aizpildīts vairākiem sūtījumiem ar identiskiem noteiktas izcelsmes ražojumiem šā nolīguma ORIG.19. panta [Paziņojums par izcelsmi] 4. punkta b) apakšpunkta nozīmē, tad norāda laikposmu, uz kuru paziņojums</w:t>
      </w:r>
      <w:r>
        <w:rPr>
          <w:noProof/>
        </w:rPr>
        <w:t xml:space="preserve"> par izcelsmi attiecināms. Šis laikposms nepārsniedz 12 mēnešus. Visam ražojuma importam jānotiek norādītajā laikposmā. Ja laikposms nav piemērojams, šo lauku var atstāt neaizpildītu. </w:t>
      </w:r>
    </w:p>
    <w:p w:rsidR="003E022D" w:rsidRDefault="007D19D6">
      <w:pPr>
        <w:tabs>
          <w:tab w:val="left" w:pos="3300"/>
        </w:tabs>
        <w:rPr>
          <w:bCs/>
          <w:noProof/>
        </w:rPr>
      </w:pPr>
      <w:r>
        <w:rPr>
          <w:bCs/>
          <w:noProof/>
          <w:vertAlign w:val="superscript"/>
        </w:rPr>
        <w:t>2</w:t>
      </w:r>
      <w:r>
        <w:rPr>
          <w:noProof/>
        </w:rPr>
        <w:t xml:space="preserve"> Norāda atsauces numuru, pēc kura identificē eksportētāju. Savienības </w:t>
      </w:r>
      <w:r>
        <w:rPr>
          <w:noProof/>
        </w:rPr>
        <w:t>eksportētājam tas ir numurs, kas piešķirts saskaņā ar Savienības normatīvajiem aktiem. Apvienotās Karalistes eksportētājam tas ir numurs, kas piešķirts saskaņā ar Apvienotajā Karalistē piemērojamajiem normatīvajiem aktiem. Ja eksportētājam numurs nav piešķ</w:t>
      </w:r>
      <w:r>
        <w:rPr>
          <w:noProof/>
        </w:rPr>
        <w:t xml:space="preserve">irts, šo lauku var atstāt neaizpildītu. </w:t>
      </w:r>
    </w:p>
    <w:p w:rsidR="003E022D" w:rsidRDefault="007D19D6">
      <w:pPr>
        <w:tabs>
          <w:tab w:val="left" w:pos="3300"/>
        </w:tabs>
        <w:rPr>
          <w:bCs/>
          <w:noProof/>
        </w:rPr>
      </w:pPr>
      <w:r>
        <w:rPr>
          <w:bCs/>
          <w:noProof/>
          <w:vertAlign w:val="superscript"/>
        </w:rPr>
        <w:t>3</w:t>
      </w:r>
      <w:r>
        <w:rPr>
          <w:noProof/>
        </w:rPr>
        <w:t xml:space="preserve"> Norāda ražojuma izcelsmi: Apvienotā Karaliste] vai Savienība. </w:t>
      </w:r>
    </w:p>
    <w:p w:rsidR="003E022D" w:rsidRDefault="007D19D6">
      <w:pPr>
        <w:rPr>
          <w:bCs/>
          <w:noProof/>
        </w:rPr>
      </w:pPr>
      <w:r>
        <w:rPr>
          <w:bCs/>
          <w:noProof/>
          <w:vertAlign w:val="superscript"/>
        </w:rPr>
        <w:t>4</w:t>
      </w:r>
      <w:r>
        <w:rPr>
          <w:noProof/>
        </w:rPr>
        <w:t xml:space="preserve"> Vietu un datumu var izlaist, ja informācija jau ir sniegta pašā dokumentā.</w:t>
      </w:r>
    </w:p>
    <w:p w:rsidR="003E022D" w:rsidRDefault="003E022D">
      <w:pPr>
        <w:rPr>
          <w:bCs/>
          <w:noProof/>
        </w:rPr>
      </w:pPr>
    </w:p>
    <w:p w:rsidR="003E022D" w:rsidRDefault="007D19D6">
      <w:pPr>
        <w:rPr>
          <w:rFonts w:cstheme="minorHAnsi"/>
          <w:bCs/>
          <w:noProof/>
        </w:rPr>
      </w:pPr>
      <w:r>
        <w:rPr>
          <w:noProof/>
        </w:rPr>
        <w:br w:type="page"/>
      </w:r>
    </w:p>
    <w:p w:rsidR="003E022D" w:rsidRDefault="007D19D6">
      <w:pPr>
        <w:pStyle w:val="ANNEX"/>
        <w:jc w:val="both"/>
        <w:rPr>
          <w:noProof/>
        </w:rPr>
      </w:pPr>
      <w:r>
        <w:rPr>
          <w:noProof/>
        </w:rPr>
        <w:t xml:space="preserve"> </w:t>
      </w:r>
      <w:bookmarkStart w:id="957" w:name="_Toc59020198"/>
      <w:bookmarkStart w:id="958" w:name="_Toc59988392"/>
      <w:r>
        <w:rPr>
          <w:noProof/>
        </w:rPr>
        <w:t>ORIG-5. PIELIKUMS. KOPĪGĀ DEKLARĀCIJA PAR ANDORAS FIRSTISTI</w:t>
      </w:r>
      <w:bookmarkEnd w:id="957"/>
      <w:bookmarkEnd w:id="958"/>
    </w:p>
    <w:p w:rsidR="003E022D" w:rsidRDefault="007D19D6">
      <w:pPr>
        <w:numPr>
          <w:ilvl w:val="0"/>
          <w:numId w:val="947"/>
        </w:numPr>
        <w:spacing w:after="160" w:line="259" w:lineRule="auto"/>
        <w:ind w:left="0"/>
        <w:contextualSpacing/>
        <w:jc w:val="left"/>
        <w:rPr>
          <w:noProof/>
        </w:rPr>
      </w:pPr>
      <w:r>
        <w:rPr>
          <w:noProof/>
        </w:rPr>
        <w:t xml:space="preserve">Andoras </w:t>
      </w:r>
      <w:r>
        <w:rPr>
          <w:noProof/>
        </w:rPr>
        <w:t>Firstistes izcelsmes ražojumus, ko klasificē Harmonizētās sistēmas 25.–97. nodaļā, Apvienotā Karaliste atzīst par Savienības izcelsmes ražojumiem šā nolīguma nozīmē.</w:t>
      </w:r>
    </w:p>
    <w:p w:rsidR="003E022D" w:rsidRDefault="003E022D">
      <w:pPr>
        <w:contextualSpacing/>
        <w:rPr>
          <w:noProof/>
        </w:rPr>
      </w:pPr>
    </w:p>
    <w:p w:rsidR="003E022D" w:rsidRDefault="007D19D6">
      <w:pPr>
        <w:numPr>
          <w:ilvl w:val="0"/>
          <w:numId w:val="947"/>
        </w:numPr>
        <w:spacing w:after="160" w:line="259" w:lineRule="auto"/>
        <w:ind w:left="0"/>
        <w:contextualSpacing/>
        <w:jc w:val="left"/>
        <w:rPr>
          <w:noProof/>
        </w:rPr>
      </w:pPr>
      <w:r>
        <w:rPr>
          <w:noProof/>
        </w:rPr>
        <w:t xml:space="preserve">Šīs deklarācijas 1. punktu piemēro tikai tad, ja atbilstīgi muitas savienībai, kas </w:t>
      </w:r>
      <w:r>
        <w:rPr>
          <w:noProof/>
        </w:rPr>
        <w:t>izveidota ar Padomes 1990. gada 26. novembra Lēmumu 90/680/EEK par Nolīguma vēstuļu apmaiņas veidā starp Eiropas Ekonomikas kopienu un Andoras Firstisti noslēgšanu, Andoras Firstiste ražojumiem, kuru izcelsme ir Apvienotajā Karalistē, piemēro tādu pašu pre</w:t>
      </w:r>
      <w:r>
        <w:rPr>
          <w:noProof/>
        </w:rPr>
        <w:t>ferenciālu tarifa režīmu, kādu Savienība piemēro šādiem ražojumiem.</w:t>
      </w:r>
    </w:p>
    <w:p w:rsidR="003E022D" w:rsidRDefault="003E022D">
      <w:pPr>
        <w:contextualSpacing/>
        <w:rPr>
          <w:noProof/>
        </w:rPr>
      </w:pPr>
    </w:p>
    <w:p w:rsidR="003E022D" w:rsidRDefault="007D19D6">
      <w:pPr>
        <w:numPr>
          <w:ilvl w:val="0"/>
          <w:numId w:val="947"/>
        </w:numPr>
        <w:spacing w:after="160" w:line="259" w:lineRule="auto"/>
        <w:ind w:left="0"/>
        <w:contextualSpacing/>
        <w:jc w:val="left"/>
        <w:rPr>
          <w:noProof/>
        </w:rPr>
      </w:pPr>
      <w:r>
        <w:rPr>
          <w:noProof/>
        </w:rPr>
        <w:t xml:space="preserve">Šā nolīguma otrās nodaļas I sadaļas pirmā temata [Tirdzniecība] otro daļu </w:t>
      </w:r>
      <w:r>
        <w:rPr>
          <w:i/>
          <w:iCs/>
          <w:noProof/>
        </w:rPr>
        <w:t>mutatis mutandis</w:t>
      </w:r>
      <w:r>
        <w:rPr>
          <w:noProof/>
        </w:rPr>
        <w:t xml:space="preserve"> piemēro, lai noteiktu noteiktas izcelsmes statusu ražojumiem, kas minēti šīs kopīgās deklarācija</w:t>
      </w:r>
      <w:r>
        <w:rPr>
          <w:noProof/>
        </w:rPr>
        <w:t>s 1. punktā.</w:t>
      </w:r>
    </w:p>
    <w:p w:rsidR="003E022D" w:rsidRDefault="003E022D">
      <w:pPr>
        <w:ind w:left="720"/>
        <w:contextualSpacing/>
        <w:rPr>
          <w:noProof/>
        </w:rPr>
      </w:pPr>
    </w:p>
    <w:p w:rsidR="003E022D" w:rsidRDefault="003E022D">
      <w:pPr>
        <w:ind w:left="720"/>
        <w:contextualSpacing/>
        <w:rPr>
          <w:noProof/>
          <w:color w:val="0070C0"/>
        </w:rPr>
      </w:pPr>
    </w:p>
    <w:p w:rsidR="003E022D" w:rsidRDefault="007D19D6">
      <w:pPr>
        <w:rPr>
          <w:rFonts w:eastAsiaTheme="majorEastAsia" w:cstheme="majorBidi"/>
          <w:b/>
          <w:noProof/>
          <w:color w:val="0070C0"/>
          <w:szCs w:val="32"/>
        </w:rPr>
      </w:pPr>
      <w:r>
        <w:rPr>
          <w:noProof/>
        </w:rPr>
        <w:br w:type="page"/>
      </w:r>
    </w:p>
    <w:p w:rsidR="003E022D" w:rsidRDefault="007D19D6">
      <w:pPr>
        <w:pStyle w:val="ANNEX"/>
        <w:rPr>
          <w:b/>
          <w:noProof/>
        </w:rPr>
      </w:pPr>
      <w:bookmarkStart w:id="959" w:name="_Toc59020199"/>
      <w:bookmarkStart w:id="960" w:name="_Toc59988393"/>
      <w:r>
        <w:rPr>
          <w:noProof/>
        </w:rPr>
        <w:t>ORIG-6. PIELIKUMS. KOPĪGĀ DEKLARĀCIJA PAR SANMARĪNO REPUBLIKU</w:t>
      </w:r>
      <w:bookmarkEnd w:id="959"/>
      <w:bookmarkEnd w:id="960"/>
    </w:p>
    <w:p w:rsidR="003E022D" w:rsidRDefault="007D19D6">
      <w:pPr>
        <w:numPr>
          <w:ilvl w:val="0"/>
          <w:numId w:val="948"/>
        </w:numPr>
        <w:spacing w:after="160" w:line="259" w:lineRule="auto"/>
        <w:contextualSpacing/>
        <w:jc w:val="left"/>
        <w:rPr>
          <w:noProof/>
        </w:rPr>
      </w:pPr>
      <w:r>
        <w:rPr>
          <w:noProof/>
        </w:rPr>
        <w:t>Sanmarīno Republikas izcelsmes ražojumus Apvienotā Karaliste atzīst par Savienības izcelsmes ražojumiem šā nolīguma nozīmē.</w:t>
      </w:r>
    </w:p>
    <w:p w:rsidR="003E022D" w:rsidRDefault="003E022D">
      <w:pPr>
        <w:ind w:left="360"/>
        <w:contextualSpacing/>
        <w:rPr>
          <w:noProof/>
        </w:rPr>
      </w:pPr>
    </w:p>
    <w:p w:rsidR="003E022D" w:rsidRDefault="007D19D6">
      <w:pPr>
        <w:numPr>
          <w:ilvl w:val="0"/>
          <w:numId w:val="948"/>
        </w:numPr>
        <w:spacing w:after="160" w:line="259" w:lineRule="auto"/>
        <w:contextualSpacing/>
        <w:jc w:val="left"/>
        <w:rPr>
          <w:noProof/>
        </w:rPr>
      </w:pPr>
      <w:r>
        <w:rPr>
          <w:noProof/>
        </w:rPr>
        <w:t>Šīs deklarācijas 1. punktu piemēro tikai tad, ja sas</w:t>
      </w:r>
      <w:r>
        <w:rPr>
          <w:noProof/>
        </w:rPr>
        <w:t>kaņā ar Nolīgumu par sadarbību un muitas savienību starp Eiropas Kopienu un Sanmarīno Republiku, kas parakstīts Briselē 1991. gada 16. decembrī, Sanmarīno Republika piemēro Apvienotās Karalistes izcelsmes ražojumiem tādu pašu preferenciālu tarifa režīmu, k</w:t>
      </w:r>
      <w:r>
        <w:rPr>
          <w:noProof/>
        </w:rPr>
        <w:t>ādu šiem ražojumiem piemēro Savienība.</w:t>
      </w:r>
    </w:p>
    <w:p w:rsidR="003E022D" w:rsidRDefault="003E022D">
      <w:pPr>
        <w:ind w:left="720"/>
        <w:contextualSpacing/>
        <w:rPr>
          <w:noProof/>
        </w:rPr>
      </w:pPr>
    </w:p>
    <w:p w:rsidR="003E022D" w:rsidRDefault="007D19D6">
      <w:pPr>
        <w:numPr>
          <w:ilvl w:val="0"/>
          <w:numId w:val="948"/>
        </w:numPr>
        <w:spacing w:after="160" w:line="259" w:lineRule="auto"/>
        <w:contextualSpacing/>
        <w:jc w:val="left"/>
        <w:rPr>
          <w:noProof/>
        </w:rPr>
      </w:pPr>
      <w:r>
        <w:rPr>
          <w:noProof/>
        </w:rPr>
        <w:t xml:space="preserve">Šā nolīguma otrās nodaļas I sadaļas pirmā temata [Tirdzniecība] otro daļu </w:t>
      </w:r>
      <w:r>
        <w:rPr>
          <w:i/>
          <w:iCs/>
          <w:noProof/>
        </w:rPr>
        <w:t>mutatis mutandis</w:t>
      </w:r>
      <w:r>
        <w:rPr>
          <w:noProof/>
        </w:rPr>
        <w:t xml:space="preserve"> piemēro, lai noteiktu noteiktas izcelsmes statusu ražojumiem, kas minēti šīs kopīgās deklarācijas 1. punktā.</w:t>
      </w:r>
    </w:p>
    <w:p w:rsidR="003E022D" w:rsidRDefault="003E022D">
      <w:pPr>
        <w:rPr>
          <w:noProof/>
        </w:rPr>
      </w:pPr>
    </w:p>
    <w:p w:rsidR="003E022D" w:rsidRDefault="003E022D">
      <w:pPr>
        <w:pStyle w:val="ANNEX"/>
        <w:jc w:val="both"/>
        <w:rPr>
          <w:noProof/>
        </w:rPr>
      </w:pPr>
    </w:p>
    <w:p w:rsidR="003E022D" w:rsidRDefault="003E022D">
      <w:pPr>
        <w:pStyle w:val="ANNEX"/>
        <w:rPr>
          <w:noProof/>
        </w:rPr>
      </w:pPr>
    </w:p>
    <w:p w:rsidR="003E022D" w:rsidRDefault="007D19D6">
      <w:pPr>
        <w:spacing w:after="160" w:line="259" w:lineRule="auto"/>
        <w:jc w:val="left"/>
        <w:rPr>
          <w:rFonts w:eastAsia="Century" w:cs="Times New Roman"/>
          <w:i/>
          <w:noProof/>
        </w:rPr>
      </w:pPr>
      <w:r>
        <w:rPr>
          <w:noProof/>
        </w:rPr>
        <w:br w:type="page"/>
      </w:r>
    </w:p>
    <w:p w:rsidR="003E022D" w:rsidRDefault="007D19D6">
      <w:pPr>
        <w:pStyle w:val="ANNEX"/>
        <w:rPr>
          <w:bCs/>
          <w:noProof/>
        </w:rPr>
      </w:pPr>
      <w:bookmarkStart w:id="961" w:name="_Toc59020200"/>
      <w:bookmarkStart w:id="962" w:name="_Toc59988394"/>
      <w:r>
        <w:rPr>
          <w:noProof/>
        </w:rPr>
        <w:t>SPS-1. PIELIKUMS. SPS.19. PANTA d) PUNKTĀ MINĒTIE KRITĒRIJI</w:t>
      </w:r>
      <w:bookmarkEnd w:id="961"/>
      <w:bookmarkEnd w:id="962"/>
    </w:p>
    <w:p w:rsidR="003E022D" w:rsidRDefault="007D19D6">
      <w:pPr>
        <w:spacing w:after="0"/>
        <w:rPr>
          <w:rFonts w:eastAsia="Calibri" w:cs="Calibri"/>
          <w:bCs/>
          <w:noProof/>
        </w:rPr>
      </w:pPr>
      <w:r>
        <w:rPr>
          <w:noProof/>
        </w:rPr>
        <w:t>SPS.19. panta d) punktā minētie kritēriji ir šādi:</w:t>
      </w:r>
    </w:p>
    <w:p w:rsidR="003E022D" w:rsidRDefault="003E022D">
      <w:pPr>
        <w:spacing w:after="0"/>
        <w:rPr>
          <w:rFonts w:eastAsia="Calibri" w:cs="Calibri"/>
          <w:bCs/>
          <w:noProof/>
          <w:lang w:eastAsia="en-GB"/>
        </w:rPr>
      </w:pPr>
    </w:p>
    <w:p w:rsidR="003E022D" w:rsidRDefault="007D19D6">
      <w:pPr>
        <w:numPr>
          <w:ilvl w:val="0"/>
          <w:numId w:val="763"/>
        </w:numPr>
        <w:spacing w:after="229" w:line="248" w:lineRule="auto"/>
        <w:contextualSpacing/>
        <w:rPr>
          <w:rFonts w:eastAsia="Calibri" w:cs="Calibri"/>
          <w:bCs/>
          <w:noProof/>
        </w:rPr>
      </w:pPr>
      <w:r>
        <w:rPr>
          <w:noProof/>
        </w:rPr>
        <w:t>informācija, ko eksportētāja Puse darījusi pieejamu, lai iegūtu atļauju importēt konkrētu ražojumu importētājā pusē saskaņā ar šā nolīguma SPS.7</w:t>
      </w:r>
      <w:r>
        <w:rPr>
          <w:noProof/>
        </w:rPr>
        <w:t xml:space="preserve">. panta [Importa nosacījumi un procedūras] 3. punktu; </w:t>
      </w:r>
    </w:p>
    <w:p w:rsidR="003E022D" w:rsidRDefault="003E022D">
      <w:pPr>
        <w:spacing w:after="229" w:line="248" w:lineRule="auto"/>
        <w:ind w:left="720"/>
        <w:contextualSpacing/>
        <w:rPr>
          <w:rFonts w:eastAsia="Calibri" w:cs="Calibri"/>
          <w:bCs/>
          <w:noProof/>
          <w:lang w:eastAsia="en-GB"/>
        </w:rPr>
      </w:pPr>
    </w:p>
    <w:p w:rsidR="003E022D" w:rsidRDefault="007D19D6">
      <w:pPr>
        <w:numPr>
          <w:ilvl w:val="0"/>
          <w:numId w:val="763"/>
        </w:numPr>
        <w:spacing w:after="229" w:line="248" w:lineRule="auto"/>
        <w:contextualSpacing/>
        <w:rPr>
          <w:rFonts w:eastAsia="Calibri" w:cs="Calibri"/>
          <w:bCs/>
          <w:noProof/>
        </w:rPr>
      </w:pPr>
      <w:r>
        <w:rPr>
          <w:noProof/>
        </w:rPr>
        <w:t>importētājas puses veikto auditu un verifikāciju rezultāti saskaņā ar SPS.11. pantu [Revīzijas un verifikācijas];</w:t>
      </w:r>
    </w:p>
    <w:p w:rsidR="003E022D" w:rsidRDefault="003E022D">
      <w:pPr>
        <w:spacing w:after="229" w:line="248" w:lineRule="auto"/>
        <w:ind w:left="720"/>
        <w:contextualSpacing/>
        <w:rPr>
          <w:rFonts w:eastAsia="Calibri" w:cs="Calibri"/>
          <w:bCs/>
          <w:noProof/>
          <w:lang w:eastAsia="en-GB"/>
        </w:rPr>
      </w:pPr>
    </w:p>
    <w:p w:rsidR="003E022D" w:rsidRDefault="007D19D6">
      <w:pPr>
        <w:numPr>
          <w:ilvl w:val="0"/>
          <w:numId w:val="763"/>
        </w:numPr>
        <w:spacing w:after="229" w:line="248" w:lineRule="auto"/>
        <w:contextualSpacing/>
        <w:rPr>
          <w:rFonts w:eastAsia="Calibri" w:cs="Calibri"/>
          <w:bCs/>
          <w:noProof/>
        </w:rPr>
      </w:pPr>
      <w:r>
        <w:rPr>
          <w:noProof/>
        </w:rPr>
        <w:t>to neatbilstību biežums un smagums, ko importētāja puse konstatējusi attiecībā uz eks</w:t>
      </w:r>
      <w:r>
        <w:rPr>
          <w:noProof/>
        </w:rPr>
        <w:t xml:space="preserve">portētājas puses ražojumiem; </w:t>
      </w:r>
    </w:p>
    <w:p w:rsidR="003E022D" w:rsidRDefault="003E022D">
      <w:pPr>
        <w:spacing w:after="229" w:line="248" w:lineRule="auto"/>
        <w:ind w:left="720"/>
        <w:contextualSpacing/>
        <w:rPr>
          <w:rFonts w:eastAsia="Calibri" w:cs="Calibri"/>
          <w:bCs/>
          <w:noProof/>
          <w:lang w:eastAsia="en-GB"/>
        </w:rPr>
      </w:pPr>
    </w:p>
    <w:p w:rsidR="003E022D" w:rsidRDefault="007D19D6">
      <w:pPr>
        <w:numPr>
          <w:ilvl w:val="0"/>
          <w:numId w:val="763"/>
        </w:numPr>
        <w:spacing w:after="229" w:line="248" w:lineRule="auto"/>
        <w:contextualSpacing/>
        <w:rPr>
          <w:rFonts w:eastAsia="Calibri" w:cs="Calibri"/>
          <w:bCs/>
          <w:noProof/>
        </w:rPr>
      </w:pPr>
      <w:r>
        <w:rPr>
          <w:noProof/>
        </w:rPr>
        <w:t>eksportējošo uzņēmumu agrākie dati par atbilstību importētājas puses prasībām un</w:t>
      </w:r>
    </w:p>
    <w:p w:rsidR="003E022D" w:rsidRDefault="003E022D">
      <w:pPr>
        <w:spacing w:after="229" w:line="248" w:lineRule="auto"/>
        <w:ind w:left="720"/>
        <w:contextualSpacing/>
        <w:rPr>
          <w:rFonts w:eastAsia="Calibri" w:cs="Calibri"/>
          <w:bCs/>
          <w:noProof/>
          <w:lang w:eastAsia="en-GB"/>
        </w:rPr>
      </w:pPr>
    </w:p>
    <w:p w:rsidR="003E022D" w:rsidRDefault="007D19D6">
      <w:pPr>
        <w:numPr>
          <w:ilvl w:val="0"/>
          <w:numId w:val="763"/>
        </w:numPr>
        <w:spacing w:after="229" w:line="248" w:lineRule="auto"/>
        <w:contextualSpacing/>
        <w:rPr>
          <w:rFonts w:eastAsia="Calibri" w:cs="Calibri"/>
          <w:bCs/>
          <w:noProof/>
        </w:rPr>
      </w:pPr>
      <w:r>
        <w:rPr>
          <w:noProof/>
        </w:rPr>
        <w:t xml:space="preserve">pieejamie zinātniskie novērtējumi un cita attiecīga informācija par risku, kas saistīts ar preču kategorijām. </w:t>
      </w:r>
    </w:p>
    <w:p w:rsidR="003E022D" w:rsidRDefault="007D19D6">
      <w:pPr>
        <w:spacing w:after="160" w:line="259" w:lineRule="auto"/>
        <w:jc w:val="left"/>
        <w:rPr>
          <w:noProof/>
        </w:rPr>
      </w:pPr>
      <w:r>
        <w:rPr>
          <w:noProof/>
        </w:rPr>
        <w:br w:type="page"/>
      </w:r>
    </w:p>
    <w:p w:rsidR="003E022D" w:rsidRDefault="007D19D6">
      <w:pPr>
        <w:pStyle w:val="ANNEX"/>
        <w:rPr>
          <w:rFonts w:cstheme="minorHAnsi"/>
          <w:noProof/>
        </w:rPr>
      </w:pPr>
      <w:bookmarkStart w:id="963" w:name="_Toc59988395"/>
      <w:bookmarkStart w:id="964" w:name="_Toc59020201"/>
      <w:r>
        <w:rPr>
          <w:noProof/>
        </w:rPr>
        <w:t>MEHĀNISKIE TRANSPORTLĪDZEKĻI U</w:t>
      </w:r>
      <w:r>
        <w:rPr>
          <w:noProof/>
        </w:rPr>
        <w:t>N APRĪKOJUMS UN TO DETAĻAS</w:t>
      </w:r>
      <w:bookmarkEnd w:id="963"/>
    </w:p>
    <w:p w:rsidR="003E022D" w:rsidRDefault="007D19D6">
      <w:pPr>
        <w:adjustRightInd w:val="0"/>
        <w:snapToGrid w:val="0"/>
        <w:spacing w:after="0"/>
        <w:jc w:val="center"/>
        <w:rPr>
          <w:rFonts w:eastAsia="Calibri" w:cstheme="minorHAnsi"/>
          <w:noProof/>
        </w:rPr>
      </w:pPr>
      <w:r>
        <w:rPr>
          <w:noProof/>
        </w:rPr>
        <w:t>1. pants. Definīcijas</w:t>
      </w:r>
    </w:p>
    <w:p w:rsidR="003E022D" w:rsidRDefault="003E022D">
      <w:pPr>
        <w:autoSpaceDE w:val="0"/>
        <w:autoSpaceDN w:val="0"/>
        <w:adjustRightInd w:val="0"/>
        <w:spacing w:after="0"/>
        <w:rPr>
          <w:rFonts w:eastAsia="MS Mincho" w:cstheme="minorHAnsi"/>
          <w:noProof/>
          <w:lang w:eastAsia="ja-JP"/>
        </w:rPr>
      </w:pPr>
    </w:p>
    <w:p w:rsidR="003E022D" w:rsidRDefault="007D19D6">
      <w:pPr>
        <w:autoSpaceDE w:val="0"/>
        <w:autoSpaceDN w:val="0"/>
        <w:adjustRightInd w:val="0"/>
        <w:spacing w:after="0"/>
        <w:rPr>
          <w:rFonts w:eastAsia="MS Mincho" w:cstheme="minorHAnsi"/>
          <w:noProof/>
        </w:rPr>
      </w:pPr>
      <w:r>
        <w:rPr>
          <w:noProof/>
        </w:rPr>
        <w:t>1.</w:t>
      </w:r>
      <w:r>
        <w:rPr>
          <w:noProof/>
        </w:rPr>
        <w:tab/>
        <w:t>Šajā pielikumā:</w:t>
      </w:r>
    </w:p>
    <w:p w:rsidR="003E022D" w:rsidRDefault="003E022D">
      <w:pPr>
        <w:autoSpaceDE w:val="0"/>
        <w:autoSpaceDN w:val="0"/>
        <w:adjustRightInd w:val="0"/>
        <w:spacing w:after="0"/>
        <w:ind w:left="1134" w:hanging="567"/>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a)</w:t>
      </w:r>
      <w:r>
        <w:rPr>
          <w:noProof/>
        </w:rPr>
        <w:tab/>
        <w:t>“</w:t>
      </w:r>
      <w:r>
        <w:rPr>
          <w:i/>
          <w:iCs/>
          <w:noProof/>
        </w:rPr>
        <w:t>WP.29</w:t>
      </w:r>
      <w:r>
        <w:rPr>
          <w:noProof/>
        </w:rPr>
        <w:t>” ir Transportlīdzekļu noteikumu saskaņošanas pasaules forums Apvienoto Nāciju Organizācijas Eiropas Ekonomikas komisijas (ANO EEK) ietvaros,</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b)</w:t>
      </w:r>
      <w:r>
        <w:rPr>
          <w:noProof/>
        </w:rPr>
        <w:tab/>
      </w:r>
      <w:r>
        <w:rPr>
          <w:noProof/>
        </w:rPr>
        <w:t>“1958. gada nolīgums” ir Nolīgums par harmonizētu Apvienoto Nāciju Organizācijas tehnisko noteikumu pieņemšanu riteņu transportlīdzekļiem, aprīkojumam un detaļām, ko var uzstādīt un/vai izmantot riteņu transportlīdzekļos, un saskaņā ar šiem Apvienoto Nācij</w:t>
      </w:r>
      <w:r>
        <w:rPr>
          <w:noProof/>
        </w:rPr>
        <w:t xml:space="preserve">u Organizācijas noteikumiem piešķirto apstiprinājumu savstarpējās atzīšanas nosacījumiem, kas noslēgts Ženēvā 1958. gada 20. martā, ko pārvalda </w:t>
      </w:r>
      <w:r>
        <w:rPr>
          <w:i/>
          <w:iCs/>
          <w:noProof/>
        </w:rPr>
        <w:t>WP.29</w:t>
      </w:r>
      <w:r>
        <w:rPr>
          <w:noProof/>
        </w:rPr>
        <w:t>, un visi turpmākie tā grozījumi un izmaiņas;</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c)</w:t>
      </w:r>
      <w:r>
        <w:rPr>
          <w:noProof/>
        </w:rPr>
        <w:tab/>
        <w:t xml:space="preserve">"1998. gada nolīgums" ir Nolīgums par vispārēju tehnisko </w:t>
      </w:r>
      <w:r>
        <w:rPr>
          <w:noProof/>
        </w:rPr>
        <w:t xml:space="preserve">noteikumu apstiprināšanu riteņu transportlīdzekļiem, aprīkojumam un detaļām, ko var uzstādīt un/vai lietot riteņu transportlīdzekļos, kas noslēgts Ženēvā 1998. gada 25. jūnijā, ko pārvalda </w:t>
      </w:r>
      <w:r>
        <w:rPr>
          <w:i/>
          <w:iCs/>
          <w:noProof/>
        </w:rPr>
        <w:t>WP.29</w:t>
      </w:r>
      <w:r>
        <w:rPr>
          <w:noProof/>
        </w:rPr>
        <w:t>, un visi tā turpmākie grozījumi un izmaiņas;</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d)</w:t>
      </w:r>
      <w:r>
        <w:rPr>
          <w:noProof/>
        </w:rPr>
        <w:tab/>
        <w:t>“ANO noteiku</w:t>
      </w:r>
      <w:r>
        <w:rPr>
          <w:noProof/>
        </w:rPr>
        <w:t xml:space="preserve">mi” ir noteikumi, kas pieņemti saskaņā ar 1958. gada nolīgumu; </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e)</w:t>
      </w:r>
      <w:r>
        <w:rPr>
          <w:noProof/>
        </w:rPr>
        <w:tab/>
        <w:t>“</w:t>
      </w:r>
      <w:r>
        <w:rPr>
          <w:i/>
          <w:iCs/>
          <w:noProof/>
        </w:rPr>
        <w:t>GTR</w:t>
      </w:r>
      <w:r>
        <w:rPr>
          <w:noProof/>
        </w:rPr>
        <w:t>” ir vispārēji tehniskie noteikumi, kas izstrādāti un iekļauti vispārējā reģistrā saskaņā ar 1998. gada nolīgumu;</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f)</w:t>
      </w:r>
      <w:r>
        <w:rPr>
          <w:noProof/>
        </w:rPr>
        <w:tab/>
        <w:t>“HS 2017” ir Harmonizētās sistēmas nomenklatūras 2017. gada izdevu</w:t>
      </w:r>
      <w:r>
        <w:rPr>
          <w:noProof/>
        </w:rPr>
        <w:t xml:space="preserve">ms, ko izdevusi Pasaules Muitas organizācija; </w:t>
      </w:r>
    </w:p>
    <w:p w:rsidR="003E022D" w:rsidRDefault="003E022D">
      <w:pPr>
        <w:autoSpaceDE w:val="0"/>
        <w:autoSpaceDN w:val="0"/>
        <w:adjustRightInd w:val="0"/>
        <w:spacing w:after="0"/>
        <w:ind w:left="567" w:hanging="567"/>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g)</w:t>
      </w:r>
      <w:r>
        <w:rPr>
          <w:noProof/>
        </w:rPr>
        <w:tab/>
        <w:t xml:space="preserve">“tipa apstiprinājums” ir procedūra,ar ko apstiprinātājiestāde apliecina, ka transportlīdzekļa, sistēmas, sastāvdaļas vai atsevišķas tehniskas vienības tips atbilst attiecīgiem administratīviem noteikumiem </w:t>
      </w:r>
      <w:r>
        <w:rPr>
          <w:noProof/>
        </w:rPr>
        <w:t xml:space="preserve">un tehniskām prasībām; </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h)</w:t>
      </w:r>
      <w:r>
        <w:rPr>
          <w:noProof/>
        </w:rPr>
        <w:tab/>
        <w:t xml:space="preserve">“tipa apstiprinājuma sertifikāts” ir dokuments, ar ko apstiprinātājestāde oficiāli apliecina, ka ir apstiprināts transportlīdzekļa, sistēmas, sastāvdaļas vai atsevišķas tehniskas vienības tips. </w:t>
      </w:r>
    </w:p>
    <w:p w:rsidR="003E022D" w:rsidRDefault="003E022D">
      <w:pPr>
        <w:autoSpaceDE w:val="0"/>
        <w:autoSpaceDN w:val="0"/>
        <w:adjustRightInd w:val="0"/>
        <w:spacing w:after="0"/>
        <w:ind w:left="567" w:hanging="567"/>
        <w:rPr>
          <w:rFonts w:eastAsia="MS Mincho" w:cstheme="minorHAnsi"/>
          <w:noProof/>
          <w:lang w:eastAsia="ja-JP"/>
        </w:rPr>
      </w:pPr>
    </w:p>
    <w:p w:rsidR="003E022D" w:rsidRDefault="007D19D6">
      <w:pPr>
        <w:autoSpaceDE w:val="0"/>
        <w:autoSpaceDN w:val="0"/>
        <w:adjustRightInd w:val="0"/>
        <w:spacing w:after="0"/>
        <w:rPr>
          <w:rFonts w:eastAsia="MS Mincho" w:cstheme="minorHAnsi"/>
          <w:noProof/>
        </w:rPr>
      </w:pPr>
      <w:r>
        <w:rPr>
          <w:noProof/>
        </w:rPr>
        <w:t>2.</w:t>
      </w:r>
      <w:r>
        <w:rPr>
          <w:noProof/>
        </w:rPr>
        <w:tab/>
        <w:t>Šajā pielikumā minētajiem ter</w:t>
      </w:r>
      <w:r>
        <w:rPr>
          <w:noProof/>
        </w:rPr>
        <w:t xml:space="preserve">miniem ir tāda pati nozīme kā 1958. gada nolīgumā vai </w:t>
      </w:r>
      <w:r>
        <w:rPr>
          <w:i/>
          <w:iCs/>
          <w:noProof/>
        </w:rPr>
        <w:t>TBT</w:t>
      </w:r>
      <w:r>
        <w:rPr>
          <w:noProof/>
        </w:rPr>
        <w:t xml:space="preserve"> nolīguma 1. pielikumā.</w:t>
      </w:r>
    </w:p>
    <w:p w:rsidR="003E022D" w:rsidRDefault="003E022D">
      <w:pPr>
        <w:adjustRightInd w:val="0"/>
        <w:snapToGrid w:val="0"/>
        <w:spacing w:after="0"/>
        <w:rPr>
          <w:rFonts w:eastAsia="Calibri" w:cstheme="minorHAnsi"/>
          <w:noProof/>
        </w:rPr>
      </w:pPr>
    </w:p>
    <w:p w:rsidR="003E022D" w:rsidRDefault="007D19D6">
      <w:pPr>
        <w:adjustRightInd w:val="0"/>
        <w:snapToGrid w:val="0"/>
        <w:spacing w:after="0"/>
        <w:jc w:val="center"/>
        <w:rPr>
          <w:rFonts w:eastAsia="Calibri" w:cstheme="minorHAnsi"/>
          <w:noProof/>
        </w:rPr>
      </w:pPr>
      <w:r>
        <w:rPr>
          <w:noProof/>
        </w:rPr>
        <w:t>2. pants. Piemērošanas joma attiecībā uz ražojumu</w:t>
      </w:r>
    </w:p>
    <w:p w:rsidR="003E022D" w:rsidRDefault="003E022D">
      <w:pPr>
        <w:adjustRightInd w:val="0"/>
        <w:snapToGrid w:val="0"/>
        <w:spacing w:after="0"/>
        <w:jc w:val="center"/>
        <w:rPr>
          <w:rFonts w:eastAsia="Calibri" w:cstheme="minorHAnsi"/>
          <w:noProof/>
        </w:rPr>
      </w:pPr>
    </w:p>
    <w:p w:rsidR="003E022D" w:rsidRDefault="007D19D6">
      <w:pPr>
        <w:autoSpaceDE w:val="0"/>
        <w:autoSpaceDN w:val="0"/>
        <w:adjustRightInd w:val="0"/>
        <w:spacing w:after="0"/>
        <w:rPr>
          <w:rFonts w:eastAsia="MS Mincho" w:cstheme="minorHAnsi"/>
          <w:noProof/>
        </w:rPr>
      </w:pPr>
      <w:r>
        <w:rPr>
          <w:noProof/>
        </w:rPr>
        <w:t>Šis pielikums attiecas uz tirdzniecību starp Pusēm ar visu kategoriju mehāniskajiem transportlīdzekļiem, to aprīkojumu un d</w:t>
      </w:r>
      <w:r>
        <w:rPr>
          <w:noProof/>
        </w:rPr>
        <w:t>etaļām, kā noteikts 1.1. punktā ANO/EEK Konsolidētajā rezolūcijā par transportlīdzekļu konstrukciju (R.E.3)</w:t>
      </w:r>
      <w:r>
        <w:rPr>
          <w:rFonts w:eastAsia="MS Mincho" w:cstheme="minorHAnsi"/>
          <w:noProof/>
          <w:vertAlign w:val="superscript"/>
        </w:rPr>
        <w:footnoteReference w:id="96"/>
      </w:r>
      <w:r>
        <w:rPr>
          <w:noProof/>
        </w:rPr>
        <w:t xml:space="preserve"> , uz ko cita starpā attiecas HS 2017 40., 84., 85., 87. un 94. nodaļa (turpmāk “aptvertie ražojumi”).</w:t>
      </w:r>
    </w:p>
    <w:p w:rsidR="003E022D" w:rsidRDefault="003E022D">
      <w:pPr>
        <w:adjustRightInd w:val="0"/>
        <w:snapToGrid w:val="0"/>
        <w:spacing w:after="0"/>
        <w:rPr>
          <w:rFonts w:eastAsia="Calibri" w:cstheme="minorHAnsi"/>
          <w:noProof/>
        </w:rPr>
      </w:pPr>
    </w:p>
    <w:p w:rsidR="003E022D" w:rsidRDefault="007D19D6">
      <w:pPr>
        <w:adjustRightInd w:val="0"/>
        <w:snapToGrid w:val="0"/>
        <w:spacing w:after="0"/>
        <w:jc w:val="center"/>
        <w:rPr>
          <w:rFonts w:eastAsia="Calibri" w:cstheme="minorHAnsi"/>
          <w:noProof/>
        </w:rPr>
      </w:pPr>
      <w:r>
        <w:rPr>
          <w:noProof/>
        </w:rPr>
        <w:t>3. pants. Mērķi</w:t>
      </w:r>
    </w:p>
    <w:p w:rsidR="003E022D" w:rsidRDefault="003E022D">
      <w:pPr>
        <w:adjustRightInd w:val="0"/>
        <w:snapToGrid w:val="0"/>
        <w:spacing w:after="0"/>
        <w:rPr>
          <w:rFonts w:eastAsia="Calibri" w:cstheme="minorHAnsi"/>
          <w:b/>
          <w:noProof/>
        </w:rPr>
      </w:pPr>
    </w:p>
    <w:p w:rsidR="003E022D" w:rsidRDefault="007D19D6">
      <w:pPr>
        <w:autoSpaceDE w:val="0"/>
        <w:autoSpaceDN w:val="0"/>
        <w:adjustRightInd w:val="0"/>
        <w:spacing w:after="0"/>
        <w:rPr>
          <w:rFonts w:eastAsia="MS Mincho" w:cstheme="minorHAnsi"/>
          <w:noProof/>
        </w:rPr>
      </w:pPr>
      <w:r>
        <w:rPr>
          <w:noProof/>
        </w:rPr>
        <w:t xml:space="preserve">Attiecībā uz aptvertajiem </w:t>
      </w:r>
      <w:r>
        <w:rPr>
          <w:noProof/>
        </w:rPr>
        <w:t>ražojumiem šā pielikuma mērķi ir:</w:t>
      </w:r>
    </w:p>
    <w:p w:rsidR="003E022D" w:rsidRDefault="003E022D">
      <w:pPr>
        <w:autoSpaceDE w:val="0"/>
        <w:autoSpaceDN w:val="0"/>
        <w:adjustRightInd w:val="0"/>
        <w:spacing w:after="0"/>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a)</w:t>
      </w:r>
      <w:r>
        <w:rPr>
          <w:noProof/>
        </w:rPr>
        <w:tab/>
        <w:t>izslēgt un novērst jebkādus nevajadzīgus tehniskus šķēršļus divpusējai tirdzniecībai;</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b)</w:t>
      </w:r>
      <w:r>
        <w:rPr>
          <w:noProof/>
        </w:rPr>
        <w:tab/>
        <w:t>veicināt uz starptautiskajiem standartiem balstītu noteikumu saderību un konverģenci;</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c)</w:t>
      </w:r>
      <w:r>
        <w:rPr>
          <w:noProof/>
        </w:rPr>
        <w:tab/>
        <w:t>veicināt apstiprinājumu atzīšanu, pama</w:t>
      </w:r>
      <w:r>
        <w:rPr>
          <w:noProof/>
        </w:rPr>
        <w:t xml:space="preserve">tojoties uz apstiprināšanas shēmām, ko piemēro saskaņā ar </w:t>
      </w:r>
      <w:r>
        <w:rPr>
          <w:i/>
          <w:iCs/>
          <w:noProof/>
        </w:rPr>
        <w:t>WP.29</w:t>
      </w:r>
      <w:r>
        <w:rPr>
          <w:noProof/>
        </w:rPr>
        <w:t xml:space="preserve"> pārvaldītajiem nolīgumiem;</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d)</w:t>
      </w:r>
      <w:r>
        <w:rPr>
          <w:noProof/>
        </w:rPr>
        <w:tab/>
        <w:t>pastiprināt konkurences tirgus apstākļus, pamatojoties uz atklātības, diskriminācijas aizlieguma un pārredzamības principiem;</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e)</w:t>
      </w:r>
      <w:r>
        <w:rPr>
          <w:noProof/>
        </w:rPr>
        <w:tab/>
        <w:t>veicināt augstu cilvēku veselīb</w:t>
      </w:r>
      <w:r>
        <w:rPr>
          <w:noProof/>
        </w:rPr>
        <w:t xml:space="preserve">as, drošības un vides aizsardzības līmeni; un </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f)</w:t>
      </w:r>
      <w:r>
        <w:rPr>
          <w:noProof/>
        </w:rPr>
        <w:tab/>
        <w:t>uzturēt sadarbību savstarpēji interesējošos jautājumos, lai veicinātu turpmāku savstarpēji izdevīgu tirdzniecības attīstību.</w:t>
      </w:r>
    </w:p>
    <w:p w:rsidR="003E022D" w:rsidRDefault="003E022D">
      <w:pPr>
        <w:adjustRightInd w:val="0"/>
        <w:snapToGrid w:val="0"/>
        <w:spacing w:after="0"/>
        <w:rPr>
          <w:rFonts w:eastAsia="Calibri" w:cstheme="minorHAnsi"/>
          <w:noProof/>
        </w:rPr>
      </w:pPr>
    </w:p>
    <w:p w:rsidR="003E022D" w:rsidRDefault="007D19D6">
      <w:pPr>
        <w:adjustRightInd w:val="0"/>
        <w:snapToGrid w:val="0"/>
        <w:spacing w:after="0"/>
        <w:jc w:val="center"/>
        <w:rPr>
          <w:rFonts w:eastAsia="Calibri" w:cstheme="minorHAnsi"/>
          <w:noProof/>
        </w:rPr>
      </w:pPr>
      <w:r>
        <w:rPr>
          <w:noProof/>
        </w:rPr>
        <w:t xml:space="preserve">4. pants. Attiecīgie starptautiskie standarti </w:t>
      </w:r>
    </w:p>
    <w:p w:rsidR="003E022D" w:rsidRDefault="003E022D">
      <w:pPr>
        <w:adjustRightInd w:val="0"/>
        <w:snapToGrid w:val="0"/>
        <w:spacing w:after="0"/>
        <w:rPr>
          <w:rFonts w:eastAsia="Calibri" w:cstheme="minorHAnsi"/>
          <w:b/>
          <w:noProof/>
        </w:rPr>
      </w:pPr>
    </w:p>
    <w:p w:rsidR="003E022D" w:rsidRDefault="007D19D6">
      <w:pPr>
        <w:autoSpaceDE w:val="0"/>
        <w:autoSpaceDN w:val="0"/>
        <w:adjustRightInd w:val="0"/>
        <w:spacing w:after="0"/>
        <w:rPr>
          <w:rFonts w:eastAsia="MS Mincho" w:cstheme="minorHAnsi"/>
          <w:strike/>
          <w:noProof/>
        </w:rPr>
      </w:pPr>
      <w:r>
        <w:rPr>
          <w:noProof/>
        </w:rPr>
        <w:t xml:space="preserve">Puses atzīst, ka </w:t>
      </w:r>
      <w:r>
        <w:rPr>
          <w:i/>
          <w:iCs/>
          <w:noProof/>
        </w:rPr>
        <w:t>WP.29</w:t>
      </w:r>
      <w:r>
        <w:rPr>
          <w:noProof/>
        </w:rPr>
        <w:t xml:space="preserve"> ir attiecīgā starptautiskā standartizācijas struktūra un ka ANO noteikumi un </w:t>
      </w:r>
      <w:r>
        <w:rPr>
          <w:i/>
          <w:iCs/>
          <w:noProof/>
        </w:rPr>
        <w:t>GTR</w:t>
      </w:r>
      <w:r>
        <w:rPr>
          <w:noProof/>
        </w:rPr>
        <w:t xml:space="preserve"> saskaņā ar 1958. gada nolīgumu un 1998. gada nolīgumu ir attiecīgie starptautiskie standarti ražojumiem, uz kuriem attiecas šis pielikums.</w:t>
      </w:r>
    </w:p>
    <w:p w:rsidR="003E022D" w:rsidRDefault="003E022D">
      <w:pPr>
        <w:adjustRightInd w:val="0"/>
        <w:snapToGrid w:val="0"/>
        <w:spacing w:after="0"/>
        <w:rPr>
          <w:rFonts w:eastAsia="Calibri" w:cstheme="minorHAnsi"/>
          <w:noProof/>
        </w:rPr>
      </w:pPr>
    </w:p>
    <w:p w:rsidR="003E022D" w:rsidRDefault="007D19D6">
      <w:pPr>
        <w:adjustRightInd w:val="0"/>
        <w:snapToGrid w:val="0"/>
        <w:spacing w:after="0"/>
        <w:jc w:val="center"/>
        <w:rPr>
          <w:rFonts w:eastAsia="Calibri" w:cstheme="minorHAnsi"/>
          <w:noProof/>
        </w:rPr>
      </w:pPr>
      <w:r>
        <w:rPr>
          <w:noProof/>
        </w:rPr>
        <w:t>5. pants.</w:t>
      </w:r>
      <w:r>
        <w:rPr>
          <w:b/>
          <w:noProof/>
        </w:rPr>
        <w:t xml:space="preserve"> </w:t>
      </w:r>
      <w:r>
        <w:rPr>
          <w:noProof/>
        </w:rPr>
        <w:t xml:space="preserve">Regulējuma konverģence, </w:t>
      </w:r>
      <w:r>
        <w:rPr>
          <w:noProof/>
        </w:rPr>
        <w:t>pamatojoties uz attiecīgiem starptautiskiem standartiem</w:t>
      </w:r>
    </w:p>
    <w:p w:rsidR="003E022D" w:rsidRDefault="003E022D">
      <w:pPr>
        <w:adjustRightInd w:val="0"/>
        <w:snapToGrid w:val="0"/>
        <w:spacing w:after="0"/>
        <w:jc w:val="center"/>
        <w:rPr>
          <w:rFonts w:eastAsia="Calibri" w:cstheme="minorHAnsi"/>
          <w:b/>
          <w:noProof/>
        </w:rPr>
      </w:pPr>
    </w:p>
    <w:p w:rsidR="003E022D" w:rsidRDefault="007D19D6">
      <w:pPr>
        <w:pStyle w:val="ListParagraph"/>
        <w:numPr>
          <w:ilvl w:val="0"/>
          <w:numId w:val="1242"/>
        </w:numPr>
        <w:autoSpaceDE w:val="0"/>
        <w:autoSpaceDN w:val="0"/>
        <w:adjustRightInd w:val="0"/>
        <w:spacing w:after="0"/>
        <w:ind w:left="0" w:firstLine="0"/>
        <w:rPr>
          <w:rFonts w:eastAsiaTheme="minorEastAsia"/>
          <w:noProof/>
        </w:rPr>
      </w:pPr>
      <w:r>
        <w:rPr>
          <w:noProof/>
        </w:rPr>
        <w:t xml:space="preserve">Puses atturas ieviest vai uzturēt spēkā jebkādus iekšzemes tehniskos noteikumus, marķējumu vai atbilstības novērtēšanas procedūras, kas atšķiras no ANO noteikumiem vai </w:t>
      </w:r>
      <w:r>
        <w:rPr>
          <w:i/>
          <w:iCs/>
          <w:noProof/>
        </w:rPr>
        <w:t>GTR</w:t>
      </w:r>
      <w:r>
        <w:rPr>
          <w:noProof/>
        </w:rPr>
        <w:t xml:space="preserve"> jomās, uz kurām attiecas šā</w:t>
      </w:r>
      <w:r>
        <w:rPr>
          <w:noProof/>
        </w:rPr>
        <w:t xml:space="preserve">di noteikumi vai </w:t>
      </w:r>
      <w:r>
        <w:rPr>
          <w:i/>
          <w:iCs/>
          <w:noProof/>
        </w:rPr>
        <w:t>GTR</w:t>
      </w:r>
      <w:r>
        <w:rPr>
          <w:noProof/>
        </w:rPr>
        <w:t xml:space="preserve">, arī gadījumos, kad attiecīgie ANO noteikumi vai </w:t>
      </w:r>
      <w:r>
        <w:rPr>
          <w:i/>
          <w:iCs/>
          <w:noProof/>
        </w:rPr>
        <w:t>GTR</w:t>
      </w:r>
      <w:r>
        <w:rPr>
          <w:noProof/>
        </w:rPr>
        <w:t xml:space="preserve"> vēl nav pabeigti, bet drīz tiks pabeigti, ja vien nav pamatotu iemeslu, kāpēc konkrēts ANO noteikums vai </w:t>
      </w:r>
      <w:r>
        <w:rPr>
          <w:i/>
          <w:iCs/>
          <w:noProof/>
        </w:rPr>
        <w:t>GTR</w:t>
      </w:r>
      <w:r>
        <w:rPr>
          <w:noProof/>
        </w:rPr>
        <w:t xml:space="preserve"> ir neefektīvs vai nepiemērots līdzeklis leģitīmo mērķu sasniegšanai, piem</w:t>
      </w:r>
      <w:r>
        <w:rPr>
          <w:noProof/>
        </w:rPr>
        <w:t>ēram, ceļu satiksmes drošības vai vides, vai cilvēku veselības aizsardzības jomā.</w:t>
      </w:r>
    </w:p>
    <w:p w:rsidR="003E022D" w:rsidRDefault="003E022D">
      <w:pPr>
        <w:autoSpaceDE w:val="0"/>
        <w:autoSpaceDN w:val="0"/>
        <w:adjustRightInd w:val="0"/>
        <w:spacing w:after="0"/>
        <w:ind w:left="1134" w:hanging="567"/>
        <w:rPr>
          <w:rFonts w:eastAsia="MS Mincho" w:cstheme="minorHAnsi"/>
          <w:noProof/>
          <w:lang w:eastAsia="ja-JP"/>
        </w:rPr>
      </w:pPr>
    </w:p>
    <w:p w:rsidR="003E022D" w:rsidRDefault="007D19D6">
      <w:pPr>
        <w:pStyle w:val="ListParagraph"/>
        <w:numPr>
          <w:ilvl w:val="0"/>
          <w:numId w:val="1242"/>
        </w:numPr>
        <w:autoSpaceDE w:val="0"/>
        <w:autoSpaceDN w:val="0"/>
        <w:adjustRightInd w:val="0"/>
        <w:spacing w:after="0"/>
        <w:ind w:left="0" w:firstLine="0"/>
        <w:rPr>
          <w:rFonts w:eastAsia="MS Mincho"/>
          <w:noProof/>
        </w:rPr>
      </w:pPr>
      <w:r>
        <w:rPr>
          <w:noProof/>
        </w:rPr>
        <w:t xml:space="preserve">Puse, kas ievieš atšķirīgus iekšzemes tehniskos noteikumus, marķējumu vai atbilstības novērtēšanas procedūru, kā minēts 1. punktā , pēc otras puses pieprasījuma identificē tās iekšzemes tehnisko noteikumu, marķējuma vai atbilstības novērtēšanas procedūras </w:t>
      </w:r>
      <w:r>
        <w:rPr>
          <w:noProof/>
        </w:rPr>
        <w:t xml:space="preserve">daļas, kas būtiski atšķiras no attiecīgajiem ANO noteikumiem vai </w:t>
      </w:r>
      <w:r>
        <w:rPr>
          <w:i/>
          <w:iCs/>
          <w:noProof/>
        </w:rPr>
        <w:t>GTR</w:t>
      </w:r>
      <w:r>
        <w:rPr>
          <w:noProof/>
        </w:rPr>
        <w:t>, un pamato atšķirības.</w:t>
      </w:r>
    </w:p>
    <w:p w:rsidR="003E022D" w:rsidRDefault="003E022D">
      <w:pPr>
        <w:autoSpaceDE w:val="0"/>
        <w:autoSpaceDN w:val="0"/>
        <w:adjustRightInd w:val="0"/>
        <w:spacing w:after="0"/>
        <w:ind w:left="1134" w:hanging="567"/>
        <w:rPr>
          <w:rFonts w:eastAsia="MS Mincho" w:cstheme="minorHAnsi"/>
          <w:noProof/>
          <w:lang w:eastAsia="ja-JP"/>
        </w:rPr>
      </w:pPr>
    </w:p>
    <w:p w:rsidR="003E022D" w:rsidRDefault="007D19D6">
      <w:pPr>
        <w:pStyle w:val="ListParagraph"/>
        <w:numPr>
          <w:ilvl w:val="0"/>
          <w:numId w:val="1242"/>
        </w:numPr>
        <w:autoSpaceDE w:val="0"/>
        <w:autoSpaceDN w:val="0"/>
        <w:adjustRightInd w:val="0"/>
        <w:spacing w:after="0"/>
        <w:ind w:left="0" w:firstLine="0"/>
        <w:rPr>
          <w:rFonts w:eastAsia="MS Mincho"/>
          <w:noProof/>
        </w:rPr>
      </w:pPr>
      <w:r>
        <w:rPr>
          <w:noProof/>
        </w:rPr>
        <w:t xml:space="preserve">Katra Puse sistemātiski apsver iespēju piemērot ANO noteikumus, kas pieņemti pēc šā nolīguma stāšanās spēkā, un informē viena otru par visām izmaiņām attiecībā uz </w:t>
      </w:r>
      <w:r>
        <w:rPr>
          <w:noProof/>
        </w:rPr>
        <w:t>minēto ANO noteikumu īstenošanu savā iekšzemes tiesību sistēmā, ievērojot protokolu, kas izveidots saskaņā ar 1958. gada nolīgumu, un saskaņā ar 8. un 9. pantu.</w:t>
      </w:r>
    </w:p>
    <w:p w:rsidR="003E022D" w:rsidRDefault="003E022D">
      <w:pPr>
        <w:autoSpaceDE w:val="0"/>
        <w:autoSpaceDN w:val="0"/>
        <w:adjustRightInd w:val="0"/>
        <w:spacing w:after="0"/>
        <w:ind w:left="567" w:hanging="567"/>
        <w:rPr>
          <w:rFonts w:eastAsia="MS Mincho" w:cstheme="minorHAnsi"/>
          <w:noProof/>
          <w:lang w:eastAsia="ja-JP"/>
        </w:rPr>
      </w:pPr>
    </w:p>
    <w:p w:rsidR="003E022D" w:rsidRDefault="007D19D6">
      <w:pPr>
        <w:pStyle w:val="ListParagraph"/>
        <w:numPr>
          <w:ilvl w:val="0"/>
          <w:numId w:val="1242"/>
        </w:numPr>
        <w:autoSpaceDE w:val="0"/>
        <w:autoSpaceDN w:val="0"/>
        <w:adjustRightInd w:val="0"/>
        <w:spacing w:after="0"/>
        <w:ind w:left="0" w:hanging="11"/>
        <w:rPr>
          <w:rFonts w:eastAsia="MS Mincho"/>
          <w:noProof/>
        </w:rPr>
      </w:pPr>
      <w:r>
        <w:rPr>
          <w:noProof/>
        </w:rPr>
        <w:t>Ciktāl Puse ir ieviesusi vai uztur spēkā iekšzemes tehniskos noteikumus, marķējumus vai atbils</w:t>
      </w:r>
      <w:r>
        <w:rPr>
          <w:noProof/>
        </w:rPr>
        <w:t xml:space="preserve">tības novērtēšanas procedūras, kas atšķiras no ANO noteikumiem vai </w:t>
      </w:r>
      <w:r>
        <w:rPr>
          <w:i/>
          <w:iCs/>
          <w:noProof/>
        </w:rPr>
        <w:t>GTR</w:t>
      </w:r>
      <w:r>
        <w:rPr>
          <w:noProof/>
        </w:rPr>
        <w:t>, kā atļauts 1. punktā , minētā Puse regulāri, vēlams, ne retāk kā reizi piecos gados, pārskata šos iekšzemes tehniskos noteikumus, marķējumus vai atbilstības novērtēšanas procedūras, la</w:t>
      </w:r>
      <w:r>
        <w:rPr>
          <w:noProof/>
        </w:rPr>
        <w:t>i palielinātu to konverģenci ar attiecīgajiem ANO noteikumiem vai GTR. Pārskatot savus iekšzemes tehniskos noteikumus, marķējumus un atbilstības novērtēšanas procedūras, katra Puse apsver, vai atšķirības joprojām ir pamatotas. Par minētās pārskatīšanas rez</w:t>
      </w:r>
      <w:r>
        <w:rPr>
          <w:noProof/>
        </w:rPr>
        <w:t>ultātiem, tostarp visu izmantoto zinātnisko un tehnisko informāciju, pēc pieprasījuma informē otru Pusi.</w:t>
      </w:r>
    </w:p>
    <w:p w:rsidR="003E022D" w:rsidRDefault="003E022D">
      <w:pPr>
        <w:pStyle w:val="ListParagraph"/>
        <w:autoSpaceDE w:val="0"/>
        <w:autoSpaceDN w:val="0"/>
        <w:adjustRightInd w:val="0"/>
        <w:spacing w:after="0"/>
        <w:rPr>
          <w:rFonts w:eastAsia="MS Mincho" w:cstheme="minorHAnsi"/>
          <w:noProof/>
          <w:lang w:eastAsia="ja-JP"/>
        </w:rPr>
      </w:pPr>
    </w:p>
    <w:p w:rsidR="003E022D" w:rsidRDefault="007D19D6">
      <w:pPr>
        <w:pStyle w:val="ListParagraph"/>
        <w:numPr>
          <w:ilvl w:val="0"/>
          <w:numId w:val="1242"/>
        </w:numPr>
        <w:autoSpaceDE w:val="0"/>
        <w:autoSpaceDN w:val="0"/>
        <w:adjustRightInd w:val="0"/>
        <w:spacing w:after="0"/>
        <w:ind w:left="0" w:firstLine="0"/>
        <w:rPr>
          <w:rFonts w:eastAsia="MS Mincho"/>
          <w:noProof/>
        </w:rPr>
      </w:pPr>
      <w:r>
        <w:rPr>
          <w:noProof/>
        </w:rPr>
        <w:t xml:space="preserve">Puses atturas ieviest vai uzturēt spēkā iekšzemes tehniskos noteikumus, marķējumu vai atbilstības novērtēšanas procedūras, kas liedz, kavē vai traucē </w:t>
      </w:r>
      <w:r>
        <w:rPr>
          <w:noProof/>
        </w:rPr>
        <w:t>importēt un laist ekspluatācijā to iekšzemes tirgū ražojumus, kuriem tipa apstiprinājumi piešķirti saskaņā ar ANO noteikumiem, jomās, uz kurām attiecas šie ANO noteikumi, ja vien šādi iekšzemes tehniskie noteikumi, marķējums vai atbilstības novērtēšanas pr</w:t>
      </w:r>
      <w:r>
        <w:rPr>
          <w:noProof/>
        </w:rPr>
        <w:t>ocedūras nav skaidri paredzētas šajos ANO noteikumos.</w:t>
      </w:r>
    </w:p>
    <w:p w:rsidR="003E022D" w:rsidRDefault="003E022D">
      <w:pPr>
        <w:adjustRightInd w:val="0"/>
        <w:snapToGrid w:val="0"/>
        <w:spacing w:after="0"/>
        <w:rPr>
          <w:rFonts w:eastAsia="Calibri" w:cstheme="minorHAnsi"/>
          <w:noProof/>
        </w:rPr>
      </w:pPr>
    </w:p>
    <w:p w:rsidR="003E022D" w:rsidRDefault="007D19D6">
      <w:pPr>
        <w:adjustRightInd w:val="0"/>
        <w:snapToGrid w:val="0"/>
        <w:spacing w:after="0"/>
        <w:jc w:val="center"/>
        <w:rPr>
          <w:rFonts w:eastAsia="Calibri" w:cstheme="minorHAnsi"/>
          <w:noProof/>
        </w:rPr>
      </w:pPr>
      <w:r>
        <w:rPr>
          <w:noProof/>
        </w:rPr>
        <w:t>6. pants.</w:t>
      </w:r>
      <w:r>
        <w:rPr>
          <w:b/>
          <w:noProof/>
        </w:rPr>
        <w:t xml:space="preserve"> </w:t>
      </w:r>
      <w:r>
        <w:rPr>
          <w:noProof/>
        </w:rPr>
        <w:t>Tipa apstiprināšana un tirgus uzraudzība</w:t>
      </w:r>
    </w:p>
    <w:p w:rsidR="003E022D" w:rsidRDefault="003E022D">
      <w:pPr>
        <w:adjustRightInd w:val="0"/>
        <w:snapToGrid w:val="0"/>
        <w:spacing w:after="0"/>
        <w:rPr>
          <w:rFonts w:eastAsia="Calibri" w:cstheme="minorHAnsi"/>
          <w:b/>
          <w:noProof/>
        </w:rPr>
      </w:pPr>
    </w:p>
    <w:p w:rsidR="003E022D" w:rsidRDefault="007D19D6">
      <w:pPr>
        <w:autoSpaceDE w:val="0"/>
        <w:autoSpaceDN w:val="0"/>
        <w:adjustRightInd w:val="0"/>
        <w:spacing w:after="0"/>
        <w:rPr>
          <w:rFonts w:eastAsia="MS Mincho" w:cstheme="minorHAnsi"/>
          <w:noProof/>
        </w:rPr>
      </w:pPr>
      <w:r>
        <w:rPr>
          <w:noProof/>
        </w:rPr>
        <w:t>1</w:t>
      </w:r>
      <w:r>
        <w:rPr>
          <w:noProof/>
        </w:rPr>
        <w:tab/>
        <w:t>Katra Puse savā tirgū atzīst ražojumus, uz kuriem attiecas derīgs ANO tipa apstiprinājuma sertifikāts, kā tādus, kas atbilst tās iekšzemes tehniska</w:t>
      </w:r>
      <w:r>
        <w:rPr>
          <w:noProof/>
        </w:rPr>
        <w:t>jiem noteikumiem, marķējumam un atbilstības novērtēšanas procedūrām, neprasot veikt papildu testus vai marķēšanu, lai pārbaudītu vai apliecinātu atbilstību prasībām, uz kurām attiecas attiecīgais ANO tipa apstiprinājuma sertifikāts. Transportlīdzekļa apsti</w:t>
      </w:r>
      <w:r>
        <w:rPr>
          <w:noProof/>
        </w:rPr>
        <w:t>prinājuma gadījumā ANO universālo starptautisko transportlīdzekļa kopējo tipa apstiprinājumu (</w:t>
      </w:r>
      <w:r>
        <w:rPr>
          <w:i/>
          <w:iCs/>
          <w:noProof/>
        </w:rPr>
        <w:t>U-IWVTA</w:t>
      </w:r>
      <w:r>
        <w:rPr>
          <w:noProof/>
        </w:rPr>
        <w:t xml:space="preserve">) uzskata par derīgu attiecībā uz </w:t>
      </w:r>
      <w:r>
        <w:rPr>
          <w:i/>
          <w:iCs/>
          <w:noProof/>
        </w:rPr>
        <w:t>U-IWVTA</w:t>
      </w:r>
      <w:r>
        <w:rPr>
          <w:noProof/>
        </w:rPr>
        <w:t xml:space="preserve"> aptvertajām prasībām. Puses izdotos ANO tipa apstiprinājuma sertifikātus var uzskatīt par derīgiem tikai tad, ja </w:t>
      </w:r>
      <w:r>
        <w:rPr>
          <w:noProof/>
        </w:rPr>
        <w:t>minētā puse ir pievienojusies attiecīgajiem ANO noteikumiem.</w:t>
      </w:r>
    </w:p>
    <w:p w:rsidR="003E022D" w:rsidRDefault="003E022D">
      <w:pPr>
        <w:autoSpaceDE w:val="0"/>
        <w:autoSpaceDN w:val="0"/>
        <w:adjustRightInd w:val="0"/>
        <w:spacing w:after="0"/>
        <w:rPr>
          <w:rFonts w:eastAsia="MS Mincho" w:cstheme="minorHAnsi"/>
          <w:noProof/>
          <w:lang w:eastAsia="ja-JP"/>
        </w:rPr>
      </w:pPr>
    </w:p>
    <w:p w:rsidR="003E022D" w:rsidRDefault="007D19D6">
      <w:pPr>
        <w:autoSpaceDE w:val="0"/>
        <w:autoSpaceDN w:val="0"/>
        <w:adjustRightInd w:val="0"/>
        <w:spacing w:after="0"/>
        <w:rPr>
          <w:rFonts w:eastAsia="MS Mincho" w:cstheme="minorHAnsi"/>
          <w:noProof/>
        </w:rPr>
      </w:pPr>
      <w:r>
        <w:rPr>
          <w:noProof/>
        </w:rPr>
        <w:t>2</w:t>
      </w:r>
      <w:r>
        <w:rPr>
          <w:noProof/>
        </w:rPr>
        <w:tab/>
        <w:t>Katrai Pusei ir jāatzīst tikai derīgi ANO tipa apstiprinājuma sertifikāti, kas izdoti saskaņā ar to ANO noteikumu jaunāko redakciju, kuriem tā ir pievienojusies.</w:t>
      </w:r>
    </w:p>
    <w:p w:rsidR="003E022D" w:rsidRDefault="003E022D">
      <w:pPr>
        <w:autoSpaceDE w:val="0"/>
        <w:autoSpaceDN w:val="0"/>
        <w:adjustRightInd w:val="0"/>
        <w:spacing w:after="0"/>
        <w:ind w:left="1134" w:hanging="567"/>
        <w:rPr>
          <w:rFonts w:eastAsia="MS Mincho" w:cstheme="minorHAnsi"/>
          <w:noProof/>
          <w:lang w:eastAsia="ja-JP"/>
        </w:rPr>
      </w:pPr>
    </w:p>
    <w:p w:rsidR="003E022D" w:rsidRDefault="007D19D6">
      <w:pPr>
        <w:autoSpaceDE w:val="0"/>
        <w:autoSpaceDN w:val="0"/>
        <w:adjustRightInd w:val="0"/>
        <w:spacing w:after="0"/>
        <w:rPr>
          <w:rFonts w:eastAsia="MS Mincho" w:cstheme="minorHAnsi"/>
          <w:noProof/>
        </w:rPr>
      </w:pPr>
      <w:r>
        <w:rPr>
          <w:noProof/>
        </w:rPr>
        <w:t>3.</w:t>
      </w:r>
      <w:r>
        <w:rPr>
          <w:noProof/>
        </w:rPr>
        <w:tab/>
        <w:t xml:space="preserve">Šā panta 1. punkta nolūkā </w:t>
      </w:r>
      <w:r>
        <w:rPr>
          <w:noProof/>
        </w:rPr>
        <w:t>par pietiekamu pierādījumu derīga ANO tipa apstiprinājuma esamībai uzskata:</w:t>
      </w:r>
    </w:p>
    <w:p w:rsidR="003E022D" w:rsidRDefault="003E022D">
      <w:pPr>
        <w:autoSpaceDE w:val="0"/>
        <w:autoSpaceDN w:val="0"/>
        <w:adjustRightInd w:val="0"/>
        <w:spacing w:after="0"/>
        <w:ind w:left="1418" w:hanging="709"/>
        <w:rPr>
          <w:rFonts w:eastAsia="MS Mincho" w:cstheme="minorHAnsi"/>
          <w:noProof/>
          <w:color w:val="00B0F0"/>
          <w:lang w:eastAsia="ja-JP"/>
        </w:rPr>
      </w:pPr>
    </w:p>
    <w:p w:rsidR="003E022D" w:rsidRDefault="007D19D6">
      <w:pPr>
        <w:autoSpaceDE w:val="0"/>
        <w:autoSpaceDN w:val="0"/>
        <w:adjustRightInd w:val="0"/>
        <w:spacing w:after="0"/>
        <w:ind w:left="1418" w:hanging="709"/>
        <w:rPr>
          <w:rFonts w:eastAsia="MS Mincho" w:cstheme="minorHAnsi"/>
          <w:noProof/>
        </w:rPr>
      </w:pPr>
      <w:r>
        <w:rPr>
          <w:noProof/>
        </w:rPr>
        <w:t>a)</w:t>
      </w:r>
      <w:r>
        <w:rPr>
          <w:noProof/>
        </w:rPr>
        <w:tab/>
        <w:t xml:space="preserve">visam transportlīdzeklim – derīgu ANO atbilstības deklarāciju, kas apliecina atbilstību </w:t>
      </w:r>
      <w:r>
        <w:rPr>
          <w:i/>
          <w:iCs/>
          <w:noProof/>
        </w:rPr>
        <w:t>U-IWVTA</w:t>
      </w:r>
      <w:r>
        <w:rPr>
          <w:noProof/>
        </w:rPr>
        <w:t>;</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noProof/>
        </w:rPr>
      </w:pPr>
      <w:r>
        <w:rPr>
          <w:noProof/>
        </w:rPr>
        <w:t>b)</w:t>
      </w:r>
      <w:r>
        <w:rPr>
          <w:noProof/>
        </w:rPr>
        <w:tab/>
        <w:t>aprīkojumam un detaļām – derīgu ANO tipa apstiprinājuma marķējuma zīmi, kas</w:t>
      </w:r>
      <w:r>
        <w:rPr>
          <w:noProof/>
        </w:rPr>
        <w:t xml:space="preserve"> piestiprināta ražojumam; vai</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c)</w:t>
      </w:r>
      <w:r>
        <w:rPr>
          <w:noProof/>
        </w:rPr>
        <w:tab/>
        <w:t xml:space="preserve">aprīkojumam un detaļām, kurām nevar piestiprināt ANO tipa apstiprinājuma marķējuma zīmi, – derīgu ANO tipa apstiprinājuma sertifikātu. </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rPr>
          <w:rFonts w:eastAsia="MS Mincho"/>
          <w:noProof/>
        </w:rPr>
      </w:pPr>
      <w:r>
        <w:rPr>
          <w:noProof/>
        </w:rPr>
        <w:t>4.</w:t>
      </w:r>
      <w:r>
        <w:rPr>
          <w:noProof/>
        </w:rPr>
        <w:tab/>
        <w:t>Lai veiktu tirgus uzraudzību, Puses kompetentās iestādes var pārbaudīt, vai attiec</w:t>
      </w:r>
      <w:r>
        <w:rPr>
          <w:noProof/>
        </w:rPr>
        <w:t>īgie ražojumi atbilst:</w:t>
      </w:r>
    </w:p>
    <w:p w:rsidR="003E022D" w:rsidRDefault="007D19D6">
      <w:pPr>
        <w:autoSpaceDE w:val="0"/>
        <w:autoSpaceDN w:val="0"/>
        <w:adjustRightInd w:val="0"/>
        <w:spacing w:after="0"/>
        <w:ind w:left="1418" w:hanging="709"/>
        <w:rPr>
          <w:rFonts w:eastAsia="MS Mincho" w:cstheme="minorHAnsi"/>
          <w:noProof/>
        </w:rPr>
      </w:pPr>
      <w:r>
        <w:rPr>
          <w:noProof/>
        </w:rPr>
        <w:t>a)</w:t>
      </w:r>
      <w:r>
        <w:rPr>
          <w:noProof/>
        </w:rPr>
        <w:tab/>
        <w:t>visiem puses iekšzemes tehniskajiem noteikumiem; vai</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b)</w:t>
      </w:r>
      <w:r>
        <w:rPr>
          <w:noProof/>
        </w:rPr>
        <w:tab/>
        <w:t xml:space="preserve">ANO noteikumiem, atbilstību kuriem saskaņā ar šo pantu apliecina derīga ANO atbilstības deklarācija, kas apliecina visa transportlīdzekļa atbilstību </w:t>
      </w:r>
      <w:r>
        <w:rPr>
          <w:i/>
          <w:iCs/>
          <w:noProof/>
        </w:rPr>
        <w:t>U-IWVTA</w:t>
      </w:r>
      <w:r>
        <w:rPr>
          <w:noProof/>
        </w:rPr>
        <w:t xml:space="preserve">, vai derīga ANO </w:t>
      </w:r>
      <w:r>
        <w:rPr>
          <w:noProof/>
        </w:rPr>
        <w:t>tipa apstiprinājuma marķējuma zīme, kas piestiprināta ražojumam, vai derīgs ANO tipa apstiprinājuma sertifikāts aprīkojumam un detaļām.</w:t>
      </w:r>
    </w:p>
    <w:p w:rsidR="003E022D" w:rsidRDefault="003E022D">
      <w:pPr>
        <w:autoSpaceDE w:val="0"/>
        <w:autoSpaceDN w:val="0"/>
        <w:adjustRightInd w:val="0"/>
        <w:spacing w:after="0"/>
        <w:ind w:left="1134" w:hanging="567"/>
        <w:rPr>
          <w:rFonts w:eastAsia="MS Mincho" w:cstheme="minorHAnsi"/>
          <w:noProof/>
          <w:lang w:eastAsia="ja-JP"/>
        </w:rPr>
      </w:pPr>
    </w:p>
    <w:p w:rsidR="003E022D" w:rsidRDefault="007D19D6">
      <w:pPr>
        <w:autoSpaceDE w:val="0"/>
        <w:autoSpaceDN w:val="0"/>
        <w:adjustRightInd w:val="0"/>
        <w:spacing w:after="0"/>
        <w:rPr>
          <w:rFonts w:eastAsia="MS Mincho" w:cstheme="minorHAnsi"/>
          <w:noProof/>
        </w:rPr>
      </w:pPr>
      <w:r>
        <w:rPr>
          <w:noProof/>
        </w:rPr>
        <w:t>Šādas pārbaudes veic, ņemot paraugus pēc nejaušības principa tirgū un attiecīgi saskaņā ar šā punkta a) vai b) apakšpun</w:t>
      </w:r>
      <w:r>
        <w:rPr>
          <w:noProof/>
        </w:rPr>
        <w:t>ktā minētajiem tehniskajiem noteikumiem.</w:t>
      </w:r>
    </w:p>
    <w:p w:rsidR="003E022D" w:rsidRDefault="007D19D6">
      <w:pPr>
        <w:autoSpaceDE w:val="0"/>
        <w:autoSpaceDN w:val="0"/>
        <w:adjustRightInd w:val="0"/>
        <w:spacing w:after="0"/>
        <w:rPr>
          <w:rFonts w:eastAsia="MS Mincho" w:cstheme="minorHAnsi"/>
          <w:noProof/>
        </w:rPr>
      </w:pPr>
      <w:r>
        <w:rPr>
          <w:noProof/>
        </w:rPr>
        <w:tab/>
      </w:r>
    </w:p>
    <w:p w:rsidR="003E022D" w:rsidRDefault="007D19D6">
      <w:pPr>
        <w:autoSpaceDE w:val="0"/>
        <w:autoSpaceDN w:val="0"/>
        <w:adjustRightInd w:val="0"/>
        <w:spacing w:after="0"/>
        <w:rPr>
          <w:rFonts w:eastAsia="MS Mincho" w:cstheme="minorHAnsi"/>
          <w:noProof/>
        </w:rPr>
      </w:pPr>
      <w:r>
        <w:rPr>
          <w:noProof/>
        </w:rPr>
        <w:t xml:space="preserve">5. </w:t>
      </w:r>
      <w:r>
        <w:rPr>
          <w:noProof/>
        </w:rPr>
        <w:tab/>
        <w:t xml:space="preserve">Puses cenšas sadarboties tirgus uzraudzības jomā, lai atbalstītu transportlīdzekļu, sistēmu, sastāvdaļu vai atsevišķu tehnisku vienību neatbilstību identificēšanu un novēršanu. </w:t>
      </w:r>
    </w:p>
    <w:p w:rsidR="003E022D" w:rsidRDefault="003E022D">
      <w:pPr>
        <w:autoSpaceDE w:val="0"/>
        <w:autoSpaceDN w:val="0"/>
        <w:adjustRightInd w:val="0"/>
        <w:spacing w:after="0"/>
        <w:ind w:left="567" w:hanging="567"/>
        <w:rPr>
          <w:rFonts w:eastAsia="MS Mincho" w:cstheme="minorHAnsi"/>
          <w:noProof/>
          <w:lang w:eastAsia="ja-JP"/>
        </w:rPr>
      </w:pPr>
    </w:p>
    <w:p w:rsidR="003E022D" w:rsidRDefault="007D19D6">
      <w:pPr>
        <w:autoSpaceDE w:val="0"/>
        <w:autoSpaceDN w:val="0"/>
        <w:adjustRightInd w:val="0"/>
        <w:spacing w:after="0"/>
        <w:rPr>
          <w:rFonts w:eastAsia="MS Mincho"/>
          <w:noProof/>
        </w:rPr>
      </w:pPr>
      <w:r>
        <w:rPr>
          <w:noProof/>
        </w:rPr>
        <w:t xml:space="preserve">6. </w:t>
      </w:r>
      <w:r>
        <w:rPr>
          <w:noProof/>
        </w:rPr>
        <w:tab/>
        <w:t>Puse var veikt atbilstīgus</w:t>
      </w:r>
      <w:r>
        <w:rPr>
          <w:noProof/>
        </w:rPr>
        <w:t xml:space="preserve"> pasākumus attiecībā uz transportlīdzekļiem, sistēmām, sastāvdaļām vai atsevišķām tehniskām vienībām, kas nopietni apdraud cilvēku veselību vai drošību vai citus sabiedrības interešu aizsardzības aspektus, vai kas kā citādi neatbilst piemērojamajām prasībā</w:t>
      </w:r>
      <w:r>
        <w:rPr>
          <w:noProof/>
        </w:rPr>
        <w:t>m. Šādi pasākumi var ietvert aizliegumu vai ierobežojumu darīt pieejamus tirgū, reģistrēt vai nodot ekspluatācijā attiecīgos transportlīdzekļus, sistēmas, sastāvdaļas vai atsevišķas tehniskas vienības vai izņemt tos no tirgus, vai atsaukt tos. Puse, kas pi</w:t>
      </w:r>
      <w:r>
        <w:rPr>
          <w:noProof/>
        </w:rPr>
        <w:t xml:space="preserve">eņem vai uztur spēkā šādus pasākumus, nekavējoties informē otru Pusi par šādiem pasākumiem un pēc otras Puses pieprasījuma norāda šo pasākumu pieņemšanas iemeslus. </w:t>
      </w:r>
    </w:p>
    <w:p w:rsidR="003E022D" w:rsidRDefault="003E022D">
      <w:pPr>
        <w:adjustRightInd w:val="0"/>
        <w:snapToGrid w:val="0"/>
        <w:spacing w:after="0"/>
        <w:jc w:val="center"/>
        <w:rPr>
          <w:rFonts w:eastAsia="Calibri" w:cstheme="minorHAnsi"/>
          <w:noProof/>
        </w:rPr>
      </w:pPr>
    </w:p>
    <w:p w:rsidR="003E022D" w:rsidRDefault="007D19D6">
      <w:pPr>
        <w:adjustRightInd w:val="0"/>
        <w:snapToGrid w:val="0"/>
        <w:spacing w:after="0"/>
        <w:jc w:val="center"/>
        <w:rPr>
          <w:rFonts w:eastAsia="Calibri" w:cstheme="minorHAnsi"/>
          <w:noProof/>
        </w:rPr>
      </w:pPr>
      <w:r>
        <w:rPr>
          <w:noProof/>
        </w:rPr>
        <w:t>7. pants.</w:t>
      </w:r>
      <w:r>
        <w:rPr>
          <w:b/>
          <w:noProof/>
        </w:rPr>
        <w:t xml:space="preserve"> </w:t>
      </w:r>
      <w:r>
        <w:rPr>
          <w:noProof/>
        </w:rPr>
        <w:t>Ražojumi ar jaunām tehnoloģijām vai jaunām īpašībām</w:t>
      </w:r>
    </w:p>
    <w:p w:rsidR="003E022D" w:rsidRDefault="003E022D">
      <w:pPr>
        <w:adjustRightInd w:val="0"/>
        <w:snapToGrid w:val="0"/>
        <w:spacing w:after="0"/>
        <w:jc w:val="center"/>
        <w:rPr>
          <w:rFonts w:eastAsia="Calibri" w:cstheme="minorHAnsi"/>
          <w:b/>
          <w:noProof/>
        </w:rPr>
      </w:pPr>
    </w:p>
    <w:p w:rsidR="003E022D" w:rsidRDefault="007D19D6">
      <w:pPr>
        <w:autoSpaceDE w:val="0"/>
        <w:autoSpaceDN w:val="0"/>
        <w:adjustRightInd w:val="0"/>
        <w:spacing w:after="0"/>
        <w:rPr>
          <w:rFonts w:eastAsia="MS Mincho"/>
          <w:noProof/>
        </w:rPr>
      </w:pPr>
      <w:r>
        <w:rPr>
          <w:noProof/>
        </w:rPr>
        <w:t>1.</w:t>
      </w:r>
      <w:r>
        <w:rPr>
          <w:noProof/>
        </w:rPr>
        <w:tab/>
        <w:t>Neviena puse neliedz vai</w:t>
      </w:r>
      <w:r>
        <w:rPr>
          <w:noProof/>
        </w:rPr>
        <w:t xml:space="preserve"> neierobežo piekļuvi tās tirgum attiecībā uz ražojumu, kas ir ietverts šajā pielikumā un kuru ir apstiprinājusi eksportētāja Puse, pamatojoties uz to, ka ražojumā ir jauna tehnoloģija vai jauna īpašība, ko importētāja puse vēl nav reglamentējusi, ja vien t</w:t>
      </w:r>
      <w:r>
        <w:rPr>
          <w:noProof/>
        </w:rPr>
        <w:t>ā nevar pierādīt, ka tai ir pamatoti iemesli uzskatīt, ka minētā jaunā tehnoloģija vai īpašība rada apdraudējumu cilvēku veselībai, drošībai vai videi.</w:t>
      </w:r>
    </w:p>
    <w:p w:rsidR="003E022D" w:rsidRDefault="003E022D">
      <w:pPr>
        <w:autoSpaceDE w:val="0"/>
        <w:autoSpaceDN w:val="0"/>
        <w:adjustRightInd w:val="0"/>
        <w:spacing w:after="0"/>
        <w:ind w:left="567" w:hanging="567"/>
        <w:rPr>
          <w:rFonts w:eastAsia="MS Mincho" w:cstheme="minorHAnsi"/>
          <w:noProof/>
          <w:lang w:eastAsia="ja-JP"/>
        </w:rPr>
      </w:pPr>
    </w:p>
    <w:p w:rsidR="003E022D" w:rsidRDefault="007D19D6">
      <w:pPr>
        <w:autoSpaceDE w:val="0"/>
        <w:autoSpaceDN w:val="0"/>
        <w:adjustRightInd w:val="0"/>
        <w:spacing w:after="0"/>
        <w:rPr>
          <w:rFonts w:eastAsia="MS Mincho"/>
          <w:noProof/>
        </w:rPr>
      </w:pPr>
      <w:r>
        <w:rPr>
          <w:noProof/>
        </w:rPr>
        <w:t>2.</w:t>
      </w:r>
      <w:r>
        <w:rPr>
          <w:noProof/>
        </w:rPr>
        <w:tab/>
      </w:r>
      <w:r>
        <w:rPr>
          <w:noProof/>
        </w:rPr>
        <w:t>Ja puse nolemj liegt piekļuvi tirgum vai pieprasa atsaukt no tirgus otras puses ražojumu, kas ir ietverts šajā pielikumā, pamatojot savu lēmumu ar to, ka ražojumā ir jauna tehnoloģija vai jauna īpašība, kas rada apdraudējumu cilvēku veselībai, drošībai vai</w:t>
      </w:r>
      <w:r>
        <w:rPr>
          <w:noProof/>
        </w:rPr>
        <w:t xml:space="preserve"> videi, tad tā nekavējoties paziņo par šo lēmumu otrai Pusei un attiecīgajam uzņēmējam vai attiecīgajiem uzņēmējiem. Paziņojumā ietver attiecīgo zinātnisko un tehnisko informāciju, kas ņemta vērā, pieņemot lēmumu. </w:t>
      </w:r>
    </w:p>
    <w:p w:rsidR="003E022D" w:rsidRDefault="003E022D">
      <w:pPr>
        <w:adjustRightInd w:val="0"/>
        <w:snapToGrid w:val="0"/>
        <w:spacing w:after="0"/>
        <w:rPr>
          <w:rFonts w:eastAsia="Calibri" w:cstheme="minorHAnsi"/>
          <w:i/>
          <w:noProof/>
        </w:rPr>
      </w:pPr>
    </w:p>
    <w:p w:rsidR="003E022D" w:rsidRDefault="007D19D6">
      <w:pPr>
        <w:adjustRightInd w:val="0"/>
        <w:snapToGrid w:val="0"/>
        <w:spacing w:after="0"/>
        <w:jc w:val="center"/>
        <w:rPr>
          <w:rFonts w:eastAsia="Calibri" w:cstheme="minorHAnsi"/>
          <w:noProof/>
        </w:rPr>
      </w:pPr>
      <w:r>
        <w:rPr>
          <w:noProof/>
        </w:rPr>
        <w:t>8. pants.</w:t>
      </w:r>
      <w:r>
        <w:rPr>
          <w:b/>
          <w:noProof/>
        </w:rPr>
        <w:t xml:space="preserve"> </w:t>
      </w:r>
      <w:r>
        <w:rPr>
          <w:noProof/>
        </w:rPr>
        <w:t>Sadarbība</w:t>
      </w:r>
    </w:p>
    <w:p w:rsidR="003E022D" w:rsidRDefault="003E022D">
      <w:pPr>
        <w:autoSpaceDE w:val="0"/>
        <w:autoSpaceDN w:val="0"/>
        <w:adjustRightInd w:val="0"/>
        <w:spacing w:after="0"/>
        <w:rPr>
          <w:rFonts w:eastAsia="MS Mincho" w:cstheme="minorHAnsi"/>
          <w:noProof/>
          <w:lang w:eastAsia="ja-JP"/>
        </w:rPr>
      </w:pPr>
    </w:p>
    <w:p w:rsidR="003E022D" w:rsidRDefault="007D19D6">
      <w:pPr>
        <w:autoSpaceDE w:val="0"/>
        <w:autoSpaceDN w:val="0"/>
        <w:adjustRightInd w:val="0"/>
        <w:spacing w:after="0"/>
        <w:rPr>
          <w:rFonts w:eastAsia="MS Mincho"/>
          <w:noProof/>
        </w:rPr>
      </w:pPr>
      <w:r>
        <w:rPr>
          <w:noProof/>
        </w:rPr>
        <w:t xml:space="preserve">1. </w:t>
      </w:r>
      <w:r>
        <w:rPr>
          <w:noProof/>
        </w:rPr>
        <w:tab/>
        <w:t xml:space="preserve">Lai vēl vairāk </w:t>
      </w:r>
      <w:r>
        <w:rPr>
          <w:noProof/>
        </w:rPr>
        <w:t xml:space="preserve">atvieglotu tirdzniecību ar mehāniskajiem transportlīdzekļiem, to detaļām un aprīkojumu un novērstu problēmas saistībā ar piekļuvi tirgum, vienlaikus nodrošinot cilvēku veselību, drošību un vides aizsardzību, Puses cenšas sadarboties un vajadzības gadījumā </w:t>
      </w:r>
      <w:r>
        <w:rPr>
          <w:noProof/>
        </w:rPr>
        <w:t>apmainīties ar informāciju.</w:t>
      </w:r>
    </w:p>
    <w:p w:rsidR="003E022D" w:rsidRDefault="003E022D">
      <w:pPr>
        <w:autoSpaceDE w:val="0"/>
        <w:autoSpaceDN w:val="0"/>
        <w:adjustRightInd w:val="0"/>
        <w:spacing w:after="0"/>
        <w:rPr>
          <w:rFonts w:eastAsia="MS Mincho" w:cstheme="minorHAnsi"/>
          <w:noProof/>
          <w:lang w:eastAsia="ja-JP"/>
        </w:rPr>
      </w:pPr>
    </w:p>
    <w:p w:rsidR="003E022D" w:rsidRDefault="007D19D6">
      <w:pPr>
        <w:autoSpaceDE w:val="0"/>
        <w:autoSpaceDN w:val="0"/>
        <w:adjustRightInd w:val="0"/>
        <w:spacing w:after="0"/>
        <w:rPr>
          <w:rFonts w:eastAsia="MS Mincho" w:cstheme="minorHAnsi"/>
          <w:noProof/>
        </w:rPr>
      </w:pPr>
      <w:r>
        <w:rPr>
          <w:noProof/>
        </w:rPr>
        <w:t xml:space="preserve">2. </w:t>
      </w:r>
      <w:r>
        <w:rPr>
          <w:noProof/>
        </w:rPr>
        <w:tab/>
        <w:t xml:space="preserve">Sadarbības jomas saskaņā ar šo pantu var jo īpaši ietvert: </w:t>
      </w:r>
    </w:p>
    <w:p w:rsidR="003E022D" w:rsidRDefault="007D19D6">
      <w:pPr>
        <w:autoSpaceDE w:val="0"/>
        <w:autoSpaceDN w:val="0"/>
        <w:adjustRightInd w:val="0"/>
        <w:spacing w:after="0"/>
        <w:rPr>
          <w:rFonts w:eastAsia="MS Mincho" w:cstheme="minorHAnsi"/>
          <w:noProof/>
        </w:rPr>
      </w:pPr>
      <w:r>
        <w:rPr>
          <w:noProof/>
        </w:rPr>
        <w:t xml:space="preserve"> </w:t>
      </w:r>
    </w:p>
    <w:p w:rsidR="003E022D" w:rsidRDefault="007D19D6">
      <w:pPr>
        <w:autoSpaceDE w:val="0"/>
        <w:autoSpaceDN w:val="0"/>
        <w:adjustRightInd w:val="0"/>
        <w:spacing w:after="0"/>
        <w:ind w:left="1418" w:hanging="709"/>
        <w:rPr>
          <w:rFonts w:eastAsia="MS Mincho" w:cstheme="minorHAnsi"/>
          <w:noProof/>
        </w:rPr>
      </w:pPr>
      <w:r>
        <w:rPr>
          <w:noProof/>
        </w:rPr>
        <w:t xml:space="preserve">a) </w:t>
      </w:r>
      <w:r>
        <w:rPr>
          <w:noProof/>
        </w:rPr>
        <w:tab/>
        <w:t xml:space="preserve">tehnisko noteikumu vai attiecīgo standartu izstrādi un pilnveidi; </w:t>
      </w:r>
    </w:p>
    <w:p w:rsidR="003E022D" w:rsidRDefault="003E022D">
      <w:pPr>
        <w:autoSpaceDE w:val="0"/>
        <w:autoSpaceDN w:val="0"/>
        <w:adjustRightInd w:val="0"/>
        <w:spacing w:after="0"/>
        <w:ind w:left="709"/>
        <w:rPr>
          <w:rFonts w:eastAsia="MS Mincho" w:cstheme="minorHAnsi"/>
          <w:noProof/>
          <w:lang w:eastAsia="ja-JP"/>
        </w:rPr>
      </w:pPr>
    </w:p>
    <w:p w:rsidR="003E022D" w:rsidRDefault="007D19D6">
      <w:pPr>
        <w:autoSpaceDE w:val="0"/>
        <w:autoSpaceDN w:val="0"/>
        <w:adjustRightInd w:val="0"/>
        <w:spacing w:after="0"/>
        <w:ind w:left="1418" w:hanging="709"/>
        <w:rPr>
          <w:rFonts w:eastAsia="MS Mincho" w:cstheme="minorHAnsi"/>
          <w:noProof/>
        </w:rPr>
      </w:pPr>
      <w:r>
        <w:rPr>
          <w:noProof/>
        </w:rPr>
        <w:t xml:space="preserve">b) </w:t>
      </w:r>
      <w:r>
        <w:rPr>
          <w:noProof/>
        </w:rPr>
        <w:tab/>
      </w:r>
      <w:r>
        <w:rPr>
          <w:noProof/>
        </w:rPr>
        <w:t xml:space="preserve">apmaiņu iespēju robežās ar pētniecības rezultātiem un informāciju, kas saistīti ar jaunu transportlīdzekļa drošuma noteikumu vai attiecīgo standartu izstrādi, progresīvu emisiju samazināšanu un jaunām transportlīdzekļu tehnoloģijām; </w:t>
      </w:r>
    </w:p>
    <w:p w:rsidR="003E022D" w:rsidRDefault="003E022D">
      <w:pPr>
        <w:autoSpaceDE w:val="0"/>
        <w:autoSpaceDN w:val="0"/>
        <w:adjustRightInd w:val="0"/>
        <w:spacing w:after="0"/>
        <w:ind w:left="709"/>
        <w:rPr>
          <w:rFonts w:eastAsia="MS Mincho" w:cstheme="minorHAnsi"/>
          <w:noProof/>
          <w:lang w:eastAsia="ja-JP"/>
        </w:rPr>
      </w:pPr>
    </w:p>
    <w:p w:rsidR="003E022D" w:rsidRDefault="007D19D6">
      <w:pPr>
        <w:autoSpaceDE w:val="0"/>
        <w:autoSpaceDN w:val="0"/>
        <w:adjustRightInd w:val="0"/>
        <w:spacing w:after="0"/>
        <w:ind w:left="1440" w:hanging="709"/>
        <w:rPr>
          <w:rFonts w:eastAsia="MS Mincho" w:cstheme="minorHAnsi"/>
          <w:noProof/>
        </w:rPr>
      </w:pPr>
      <w:r>
        <w:rPr>
          <w:noProof/>
        </w:rPr>
        <w:t xml:space="preserve">c) </w:t>
      </w:r>
      <w:r>
        <w:rPr>
          <w:noProof/>
        </w:rPr>
        <w:tab/>
        <w:t>apmaiņu ar pieeja</w:t>
      </w:r>
      <w:r>
        <w:rPr>
          <w:noProof/>
        </w:rPr>
        <w:t>mo informāciju par neatbilstību tehniskajiem noteikumiem un tādu defektu noteikšanu, kas saistīti ar drošumu vai emisijām. un</w:t>
      </w:r>
    </w:p>
    <w:p w:rsidR="003E022D" w:rsidRDefault="003E022D">
      <w:pPr>
        <w:autoSpaceDE w:val="0"/>
        <w:autoSpaceDN w:val="0"/>
        <w:adjustRightInd w:val="0"/>
        <w:spacing w:after="0"/>
        <w:ind w:left="1440" w:hanging="709"/>
        <w:rPr>
          <w:rFonts w:eastAsia="MS Mincho" w:cstheme="minorHAnsi"/>
          <w:noProof/>
          <w:lang w:eastAsia="ja-JP"/>
        </w:rPr>
      </w:pPr>
    </w:p>
    <w:p w:rsidR="003E022D" w:rsidRDefault="007D19D6">
      <w:pPr>
        <w:autoSpaceDE w:val="0"/>
        <w:autoSpaceDN w:val="0"/>
        <w:adjustRightInd w:val="0"/>
        <w:spacing w:after="0"/>
        <w:ind w:left="1440" w:hanging="709"/>
        <w:rPr>
          <w:rFonts w:eastAsia="MS Mincho" w:cstheme="minorHAnsi"/>
          <w:noProof/>
          <w:color w:val="FF0000"/>
        </w:rPr>
      </w:pPr>
      <w:r>
        <w:rPr>
          <w:noProof/>
        </w:rPr>
        <w:t xml:space="preserve">d) </w:t>
      </w:r>
      <w:r>
        <w:rPr>
          <w:noProof/>
        </w:rPr>
        <w:tab/>
        <w:t>tehnisko prasību plašākas starptautiskas saskaņošanas veicināšanu, izmantojot daudzpusējus forumus, piemēram, 1958. gada nolī</w:t>
      </w:r>
      <w:r>
        <w:rPr>
          <w:noProof/>
        </w:rPr>
        <w:t>gumu un 1998. gada nolīgumu, arī sadarbojoties tādu iniciatīvu plānošanā, kas atbalsta minēto saskaņošanu;</w:t>
      </w:r>
      <w:r>
        <w:rPr>
          <w:noProof/>
        </w:rPr>
        <w:tab/>
      </w:r>
    </w:p>
    <w:p w:rsidR="003E022D" w:rsidRDefault="003E022D">
      <w:pPr>
        <w:autoSpaceDE w:val="0"/>
        <w:autoSpaceDN w:val="0"/>
        <w:adjustRightInd w:val="0"/>
        <w:spacing w:after="0"/>
        <w:rPr>
          <w:rFonts w:eastAsia="MS Mincho" w:cstheme="minorHAnsi"/>
          <w:noProof/>
          <w:lang w:eastAsia="ja-JP"/>
        </w:rPr>
      </w:pPr>
    </w:p>
    <w:p w:rsidR="003E022D" w:rsidRDefault="003E022D">
      <w:pPr>
        <w:autoSpaceDE w:val="0"/>
        <w:autoSpaceDN w:val="0"/>
        <w:adjustRightInd w:val="0"/>
        <w:spacing w:after="0"/>
        <w:rPr>
          <w:rFonts w:eastAsia="MS Mincho" w:cstheme="minorHAnsi"/>
          <w:noProof/>
          <w:lang w:eastAsia="ja-JP"/>
        </w:rPr>
      </w:pPr>
    </w:p>
    <w:p w:rsidR="003E022D" w:rsidRDefault="007D19D6">
      <w:pPr>
        <w:adjustRightInd w:val="0"/>
        <w:snapToGrid w:val="0"/>
        <w:spacing w:after="0"/>
        <w:jc w:val="center"/>
        <w:rPr>
          <w:rFonts w:eastAsia="Calibri" w:cstheme="minorHAnsi"/>
          <w:noProof/>
        </w:rPr>
      </w:pPr>
      <w:r>
        <w:rPr>
          <w:noProof/>
        </w:rPr>
        <w:t>9. pants.</w:t>
      </w:r>
      <w:r>
        <w:rPr>
          <w:b/>
          <w:noProof/>
        </w:rPr>
        <w:t xml:space="preserve"> </w:t>
      </w:r>
      <w:r>
        <w:rPr>
          <w:noProof/>
        </w:rPr>
        <w:t>Mehānisko transportlīdzekļu un to detaļu darba grupa</w:t>
      </w:r>
    </w:p>
    <w:p w:rsidR="003E022D" w:rsidRDefault="003E022D">
      <w:pPr>
        <w:autoSpaceDE w:val="0"/>
        <w:autoSpaceDN w:val="0"/>
        <w:adjustRightInd w:val="0"/>
        <w:spacing w:after="0"/>
        <w:rPr>
          <w:rFonts w:eastAsia="MS Mincho" w:cstheme="minorHAnsi"/>
          <w:noProof/>
          <w:lang w:eastAsia="ja-JP"/>
        </w:rPr>
      </w:pPr>
    </w:p>
    <w:p w:rsidR="003E022D" w:rsidRDefault="007D19D6">
      <w:pPr>
        <w:autoSpaceDE w:val="0"/>
        <w:autoSpaceDN w:val="0"/>
        <w:adjustRightInd w:val="0"/>
        <w:spacing w:after="0"/>
        <w:rPr>
          <w:rFonts w:eastAsia="MS Mincho" w:cstheme="minorHAnsi"/>
          <w:noProof/>
        </w:rPr>
      </w:pPr>
      <w:r>
        <w:rPr>
          <w:noProof/>
        </w:rPr>
        <w:t>1.</w:t>
      </w:r>
      <w:r>
        <w:rPr>
          <w:noProof/>
        </w:rPr>
        <w:tab/>
        <w:t xml:space="preserve">Mehānisko transportlīdzekļu un to detaļu darba grupa palīdz Tirdzniecības </w:t>
      </w:r>
      <w:r>
        <w:rPr>
          <w:noProof/>
        </w:rPr>
        <w:t>specializētajai komitejai par tehniskajiem šķēršļiem tirdzniecībai uzraudzīt un pārskatīt šā pielikuma īstenošanu un nodrošināt tā pareizu darbību.</w:t>
      </w:r>
    </w:p>
    <w:p w:rsidR="003E022D" w:rsidRDefault="003E022D">
      <w:pPr>
        <w:autoSpaceDE w:val="0"/>
        <w:autoSpaceDN w:val="0"/>
        <w:adjustRightInd w:val="0"/>
        <w:spacing w:after="0"/>
        <w:rPr>
          <w:rFonts w:eastAsia="MS Mincho" w:cstheme="minorHAnsi"/>
          <w:noProof/>
          <w:lang w:eastAsia="ja-JP"/>
        </w:rPr>
      </w:pPr>
    </w:p>
    <w:p w:rsidR="003E022D" w:rsidRDefault="007D19D6">
      <w:pPr>
        <w:autoSpaceDE w:val="0"/>
        <w:autoSpaceDN w:val="0"/>
        <w:adjustRightInd w:val="0"/>
        <w:spacing w:after="0"/>
        <w:rPr>
          <w:rFonts w:eastAsia="MS Mincho" w:cstheme="minorHAnsi"/>
          <w:noProof/>
        </w:rPr>
      </w:pPr>
      <w:r>
        <w:rPr>
          <w:noProof/>
        </w:rPr>
        <w:t>2.</w:t>
      </w:r>
      <w:r>
        <w:rPr>
          <w:noProof/>
        </w:rPr>
        <w:tab/>
        <w:t>Mehānisko transportlīdzekļu un to detaļu darba grupas funkcijas ir šādas:</w:t>
      </w:r>
    </w:p>
    <w:p w:rsidR="003E022D" w:rsidRDefault="003E022D">
      <w:pPr>
        <w:autoSpaceDE w:val="0"/>
        <w:autoSpaceDN w:val="0"/>
        <w:adjustRightInd w:val="0"/>
        <w:spacing w:after="0"/>
        <w:rPr>
          <w:rFonts w:eastAsia="MS Mincho" w:cstheme="minorHAnsi"/>
          <w:noProof/>
          <w:lang w:eastAsia="ja-JP"/>
        </w:rPr>
      </w:pPr>
    </w:p>
    <w:p w:rsidR="003E022D" w:rsidRDefault="007D19D6">
      <w:pPr>
        <w:autoSpaceDE w:val="0"/>
        <w:autoSpaceDN w:val="0"/>
        <w:adjustRightInd w:val="0"/>
        <w:spacing w:after="0"/>
        <w:rPr>
          <w:rFonts w:eastAsia="MS Mincho" w:cstheme="minorHAnsi"/>
          <w:noProof/>
        </w:rPr>
      </w:pPr>
      <w:r>
        <w:rPr>
          <w:noProof/>
        </w:rPr>
        <w:tab/>
        <w:t>a)</w:t>
      </w:r>
      <w:r>
        <w:rPr>
          <w:noProof/>
        </w:rPr>
        <w:tab/>
        <w:t>pēc kādas Puses pieprasīj</w:t>
      </w:r>
      <w:r>
        <w:rPr>
          <w:noProof/>
        </w:rPr>
        <w:t>uma apspriest jebkuru jautājumu, kas rodas saistībā ar šo pielikumu;</w:t>
      </w:r>
    </w:p>
    <w:p w:rsidR="003E022D" w:rsidRDefault="007D19D6">
      <w:pPr>
        <w:autoSpaceDE w:val="0"/>
        <w:autoSpaceDN w:val="0"/>
        <w:adjustRightInd w:val="0"/>
        <w:spacing w:after="0"/>
        <w:rPr>
          <w:rFonts w:eastAsia="MS Mincho" w:cstheme="minorHAnsi"/>
          <w:noProof/>
        </w:rPr>
      </w:pPr>
      <w:r>
        <w:rPr>
          <w:noProof/>
        </w:rPr>
        <w:t xml:space="preserve"> </w:t>
      </w:r>
    </w:p>
    <w:p w:rsidR="003E022D" w:rsidRDefault="007D19D6">
      <w:pPr>
        <w:autoSpaceDE w:val="0"/>
        <w:autoSpaceDN w:val="0"/>
        <w:adjustRightInd w:val="0"/>
        <w:spacing w:after="0"/>
        <w:ind w:left="1418" w:hanging="709"/>
        <w:rPr>
          <w:rFonts w:eastAsia="MS Mincho"/>
          <w:noProof/>
        </w:rPr>
      </w:pPr>
      <w:r>
        <w:rPr>
          <w:noProof/>
        </w:rPr>
        <w:t>b)</w:t>
      </w:r>
      <w:r>
        <w:rPr>
          <w:noProof/>
        </w:rPr>
        <w:tab/>
        <w:t>veicināt sadarbību un informācijas apmaiņu saskaņā ar 8. pantu;</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autoSpaceDE w:val="0"/>
        <w:autoSpaceDN w:val="0"/>
        <w:adjustRightInd w:val="0"/>
        <w:spacing w:after="0"/>
        <w:ind w:left="1418" w:hanging="709"/>
        <w:rPr>
          <w:rFonts w:eastAsia="MS Mincho"/>
          <w:noProof/>
        </w:rPr>
      </w:pPr>
      <w:r>
        <w:rPr>
          <w:noProof/>
        </w:rPr>
        <w:t>c)</w:t>
      </w:r>
      <w:r>
        <w:rPr>
          <w:noProof/>
        </w:rPr>
        <w:tab/>
        <w:t>saskaņā ar šā nolīguma TBT.10. pantu [Tehniskas diskusijas] risināt tehniskas diskusijas par jautājumiem, kas ieti</w:t>
      </w:r>
      <w:r>
        <w:rPr>
          <w:noProof/>
        </w:rPr>
        <w:t>lpst šā pielikuma darbības jomā; un</w:t>
      </w:r>
    </w:p>
    <w:p w:rsidR="003E022D" w:rsidRDefault="003E022D">
      <w:pPr>
        <w:autoSpaceDE w:val="0"/>
        <w:autoSpaceDN w:val="0"/>
        <w:adjustRightInd w:val="0"/>
        <w:spacing w:after="0"/>
        <w:ind w:left="1418" w:hanging="709"/>
        <w:rPr>
          <w:rFonts w:eastAsia="MS Mincho" w:cstheme="minorHAnsi"/>
          <w:noProof/>
          <w:lang w:eastAsia="ja-JP"/>
        </w:rPr>
      </w:pPr>
    </w:p>
    <w:p w:rsidR="003E022D" w:rsidRDefault="007D19D6">
      <w:pPr>
        <w:spacing w:after="160" w:line="259" w:lineRule="auto"/>
        <w:jc w:val="left"/>
        <w:rPr>
          <w:rFonts w:eastAsia="MS Mincho" w:cstheme="minorHAnsi"/>
          <w:noProof/>
        </w:rPr>
      </w:pPr>
      <w:r>
        <w:rPr>
          <w:noProof/>
        </w:rPr>
        <w:t>d)</w:t>
      </w:r>
      <w:r>
        <w:rPr>
          <w:noProof/>
        </w:rPr>
        <w:tab/>
        <w:t>uzturēt to kontaktpunktu sarakstu, kuri ir atbildīgi par jautājumiem, kas izriet no šā pielikuma.</w:t>
      </w:r>
    </w:p>
    <w:bookmarkEnd w:id="964"/>
    <w:p w:rsidR="003E022D" w:rsidRDefault="003E022D">
      <w:pPr>
        <w:spacing w:after="160" w:line="259" w:lineRule="auto"/>
        <w:jc w:val="left"/>
        <w:rPr>
          <w:rFonts w:eastAsia="MS Mincho" w:cstheme="minorHAnsi"/>
          <w:noProof/>
          <w:lang w:eastAsia="ja-JP"/>
        </w:rPr>
      </w:pPr>
    </w:p>
    <w:p w:rsidR="003E022D" w:rsidRDefault="003E022D">
      <w:pPr>
        <w:rPr>
          <w:noProof/>
        </w:rPr>
      </w:pPr>
    </w:p>
    <w:p w:rsidR="003E022D" w:rsidRDefault="003E022D">
      <w:pPr>
        <w:spacing w:after="0" w:line="276" w:lineRule="auto"/>
        <w:jc w:val="left"/>
        <w:rPr>
          <w:rFonts w:asciiTheme="majorHAnsi" w:eastAsia="Arial" w:hAnsiTheme="majorHAnsi" w:cs="Calibri"/>
          <w:noProof/>
          <w:color w:val="000000"/>
          <w:szCs w:val="32"/>
          <w:u w:color="000000"/>
        </w:rPr>
      </w:pPr>
    </w:p>
    <w:p w:rsidR="003E022D" w:rsidRDefault="007D19D6">
      <w:pPr>
        <w:pStyle w:val="ANNEX"/>
        <w:rPr>
          <w:rFonts w:cstheme="minorHAnsi"/>
          <w:noProof/>
        </w:rPr>
      </w:pPr>
      <w:hyperlink w:anchor="_Toc35449672" w:history="1">
        <w:bookmarkStart w:id="965" w:name="_Toc59988396"/>
        <w:r>
          <w:rPr>
            <w:noProof/>
          </w:rPr>
          <w:t xml:space="preserve">TBT-4. PIELIKUMS. </w:t>
        </w:r>
      </w:hyperlink>
      <w:r>
        <w:rPr>
          <w:noProof/>
        </w:rPr>
        <w:t>BIOLOĢISKIE PRODUKTI</w:t>
      </w:r>
      <w:bookmarkEnd w:id="965"/>
    </w:p>
    <w:p w:rsidR="003E022D" w:rsidRDefault="007D19D6">
      <w:pPr>
        <w:spacing w:after="0"/>
        <w:jc w:val="center"/>
        <w:rPr>
          <w:noProof/>
        </w:rPr>
      </w:pPr>
      <w:r>
        <w:rPr>
          <w:noProof/>
        </w:rPr>
        <w:t>1. pants. Mērķis un darbības joma</w:t>
      </w:r>
    </w:p>
    <w:p w:rsidR="003E022D" w:rsidRDefault="003E022D">
      <w:pPr>
        <w:spacing w:after="0"/>
        <w:jc w:val="center"/>
        <w:rPr>
          <w:noProof/>
        </w:rPr>
      </w:pPr>
    </w:p>
    <w:p w:rsidR="003E022D" w:rsidRDefault="007D19D6">
      <w:pPr>
        <w:spacing w:after="0"/>
        <w:rPr>
          <w:noProof/>
        </w:rPr>
      </w:pPr>
      <w:r>
        <w:rPr>
          <w:noProof/>
        </w:rPr>
        <w:t xml:space="preserve">1. </w:t>
      </w:r>
      <w:r>
        <w:rPr>
          <w:noProof/>
        </w:rPr>
        <w:tab/>
        <w:t>Šā pi</w:t>
      </w:r>
      <w:r>
        <w:rPr>
          <w:noProof/>
        </w:rPr>
        <w:t xml:space="preserve">elikuma mērķis ir noteikt noteikumus un procedūras, ar ko, Pusēm savstarpēji atzīstot attiecīgo tiesību aktu līdzvērtību, veicina bioloģisko produktu tirdzniecību saskaņā ar nediskriminēšanas un savstarpīguma principiem.   </w:t>
      </w:r>
    </w:p>
    <w:p w:rsidR="003E022D" w:rsidRDefault="003E022D">
      <w:pPr>
        <w:spacing w:after="0"/>
        <w:rPr>
          <w:noProof/>
        </w:rPr>
      </w:pPr>
    </w:p>
    <w:p w:rsidR="003E022D" w:rsidRDefault="007D19D6">
      <w:pPr>
        <w:spacing w:after="0"/>
        <w:rPr>
          <w:noProof/>
        </w:rPr>
      </w:pPr>
      <w:r>
        <w:rPr>
          <w:noProof/>
        </w:rPr>
        <w:t xml:space="preserve">2. </w:t>
      </w:r>
      <w:r>
        <w:rPr>
          <w:noProof/>
        </w:rPr>
        <w:tab/>
        <w:t>Šo pielikumu piemēro A un B</w:t>
      </w:r>
      <w:r>
        <w:rPr>
          <w:noProof/>
        </w:rPr>
        <w:t> papildinājumā uzskaitītajiem bioloģiskajiem produktiem, kas atbilst C vai D papildinājumā uzskaitītajiem normatīvajiem aktiem. Partnerības padome ir pilnvarota grozīt A, B, C un D papildinājumu.</w:t>
      </w:r>
    </w:p>
    <w:p w:rsidR="003E022D" w:rsidRDefault="003E022D">
      <w:pPr>
        <w:spacing w:after="0"/>
        <w:rPr>
          <w:noProof/>
        </w:rPr>
      </w:pPr>
    </w:p>
    <w:p w:rsidR="003E022D" w:rsidRDefault="007D19D6">
      <w:pPr>
        <w:spacing w:after="0"/>
        <w:jc w:val="center"/>
        <w:rPr>
          <w:noProof/>
        </w:rPr>
      </w:pPr>
      <w:r>
        <w:rPr>
          <w:noProof/>
        </w:rPr>
        <w:t>2. pants. Definīcijas</w:t>
      </w:r>
    </w:p>
    <w:p w:rsidR="003E022D" w:rsidRDefault="003E022D">
      <w:pPr>
        <w:spacing w:after="0"/>
        <w:jc w:val="center"/>
        <w:rPr>
          <w:noProof/>
        </w:rPr>
      </w:pPr>
    </w:p>
    <w:p w:rsidR="003E022D" w:rsidRDefault="007D19D6">
      <w:pPr>
        <w:spacing w:after="0"/>
        <w:rPr>
          <w:noProof/>
        </w:rPr>
      </w:pPr>
      <w:r>
        <w:rPr>
          <w:noProof/>
        </w:rPr>
        <w:t xml:space="preserve">Šajā pielikumā: </w:t>
      </w:r>
    </w:p>
    <w:p w:rsidR="003E022D" w:rsidRDefault="003E022D">
      <w:pPr>
        <w:spacing w:after="0"/>
        <w:rPr>
          <w:noProof/>
        </w:rPr>
      </w:pPr>
    </w:p>
    <w:p w:rsidR="003E022D" w:rsidRDefault="007D19D6">
      <w:pPr>
        <w:spacing w:after="0"/>
        <w:rPr>
          <w:noProof/>
        </w:rPr>
      </w:pPr>
      <w:r>
        <w:rPr>
          <w:noProof/>
        </w:rPr>
        <w:t xml:space="preserve">“kompetentā </w:t>
      </w:r>
      <w:r>
        <w:rPr>
          <w:noProof/>
        </w:rPr>
        <w:t>iestāde” ir oficiāla aģentūra, kam ir jurisdikcija attiecībā uz C vai D papildinājumā uzskaitītajiem normatīvajiem aktiem un kas ir atbildīga par šā pielikuma īstenošanu;</w:t>
      </w:r>
    </w:p>
    <w:p w:rsidR="003E022D" w:rsidRDefault="003E022D">
      <w:pPr>
        <w:spacing w:after="0"/>
        <w:rPr>
          <w:noProof/>
        </w:rPr>
      </w:pPr>
    </w:p>
    <w:p w:rsidR="003E022D" w:rsidRDefault="007D19D6">
      <w:pPr>
        <w:spacing w:after="0"/>
        <w:rPr>
          <w:noProof/>
        </w:rPr>
      </w:pPr>
      <w:r>
        <w:rPr>
          <w:noProof/>
        </w:rPr>
        <w:t>“kontroles iestāde” ir iestāde, kurai kompetentā iestāde ir pilnībā vai daļēji uztic</w:t>
      </w:r>
      <w:r>
        <w:rPr>
          <w:noProof/>
        </w:rPr>
        <w:t xml:space="preserve">ējusi savas pilnvaras veikt inspekcijas un sertifikācijas bioloģiskās ražošanas jomā saskaņā ar C vai D papildinājumā uzskaitītajiem normatīvajiem aktiem;    </w:t>
      </w:r>
    </w:p>
    <w:p w:rsidR="003E022D" w:rsidRDefault="003E022D">
      <w:pPr>
        <w:spacing w:after="0"/>
        <w:rPr>
          <w:noProof/>
        </w:rPr>
      </w:pPr>
    </w:p>
    <w:p w:rsidR="003E022D" w:rsidRDefault="007D19D6">
      <w:pPr>
        <w:spacing w:after="0"/>
        <w:rPr>
          <w:noProof/>
        </w:rPr>
      </w:pPr>
      <w:r>
        <w:rPr>
          <w:noProof/>
        </w:rPr>
        <w:t>“kontroles institūcija” ir subjekts, kuru kompetentā iestāde ir atzinusi par tādu, kas veic insp</w:t>
      </w:r>
      <w:r>
        <w:rPr>
          <w:noProof/>
        </w:rPr>
        <w:t xml:space="preserve">ekcijas un sertifikācijas bioloģiskās ražošanas jomā saskaņā ar C vai D papildinājumā uzskaitītajiem normatīvajiem aktiem; un   </w:t>
      </w:r>
    </w:p>
    <w:p w:rsidR="003E022D" w:rsidRDefault="003E022D">
      <w:pPr>
        <w:spacing w:after="0"/>
        <w:rPr>
          <w:noProof/>
        </w:rPr>
      </w:pPr>
    </w:p>
    <w:p w:rsidR="003E022D" w:rsidRDefault="007D19D6">
      <w:pPr>
        <w:spacing w:after="0"/>
        <w:rPr>
          <w:noProof/>
        </w:rPr>
      </w:pPr>
      <w:r>
        <w:rPr>
          <w:noProof/>
        </w:rPr>
        <w:t>“līdzvērtība” ir dažādu normatīvo aktu un prasību, kā arī inspekcijas un sertifikācijas sistēmu spēja sasniegt tos pašus mērķu</w:t>
      </w:r>
      <w:r>
        <w:rPr>
          <w:noProof/>
        </w:rPr>
        <w:t xml:space="preserve">s. </w:t>
      </w:r>
    </w:p>
    <w:p w:rsidR="003E022D" w:rsidRDefault="003E022D">
      <w:pPr>
        <w:spacing w:after="0"/>
        <w:rPr>
          <w:noProof/>
        </w:rPr>
      </w:pPr>
    </w:p>
    <w:p w:rsidR="003E022D" w:rsidRDefault="007D19D6">
      <w:pPr>
        <w:spacing w:after="0"/>
        <w:jc w:val="center"/>
        <w:rPr>
          <w:noProof/>
        </w:rPr>
      </w:pPr>
      <w:r>
        <w:rPr>
          <w:noProof/>
        </w:rPr>
        <w:t>3. pants. Līdzvērtības atzīšana</w:t>
      </w:r>
    </w:p>
    <w:p w:rsidR="003E022D" w:rsidRDefault="003E022D">
      <w:pPr>
        <w:spacing w:after="0"/>
        <w:jc w:val="center"/>
        <w:rPr>
          <w:noProof/>
        </w:rPr>
      </w:pPr>
    </w:p>
    <w:p w:rsidR="003E022D" w:rsidRDefault="007D19D6">
      <w:pPr>
        <w:pStyle w:val="ManualNumPar1"/>
        <w:tabs>
          <w:tab w:val="left" w:pos="0"/>
        </w:tabs>
        <w:spacing w:before="0" w:after="0"/>
        <w:ind w:left="0" w:firstLine="0"/>
        <w:rPr>
          <w:rFonts w:asciiTheme="minorHAnsi" w:hAnsiTheme="minorHAnsi" w:cstheme="minorHAnsi"/>
          <w:noProof/>
          <w:sz w:val="22"/>
        </w:rPr>
      </w:pPr>
      <w:r>
        <w:rPr>
          <w:rFonts w:asciiTheme="minorHAnsi" w:hAnsiTheme="minorHAnsi"/>
          <w:noProof/>
          <w:sz w:val="22"/>
        </w:rPr>
        <w:t xml:space="preserve">1. </w:t>
      </w:r>
      <w:r>
        <w:rPr>
          <w:noProof/>
        </w:rPr>
        <w:tab/>
      </w:r>
      <w:r>
        <w:rPr>
          <w:rFonts w:asciiTheme="minorHAnsi" w:hAnsiTheme="minorHAnsi"/>
          <w:noProof/>
          <w:sz w:val="22"/>
        </w:rPr>
        <w:t>Attiecībā uz A papildinājumā uzskaitītajiem produktiem Savienība C papildinājumā uzskaitītos Apvienotās Karalistes normatīvos aktus atzīst par līdzvērtīgiem D papildinājumā uzskaitītajiem Savienības normatīvajiem a</w:t>
      </w:r>
      <w:r>
        <w:rPr>
          <w:rFonts w:asciiTheme="minorHAnsi" w:hAnsiTheme="minorHAnsi"/>
          <w:noProof/>
          <w:sz w:val="22"/>
        </w:rPr>
        <w:t xml:space="preserve">ktiem. </w:t>
      </w:r>
    </w:p>
    <w:p w:rsidR="003E022D" w:rsidRDefault="003E022D">
      <w:pPr>
        <w:spacing w:after="0"/>
        <w:rPr>
          <w:noProof/>
        </w:rPr>
      </w:pPr>
    </w:p>
    <w:p w:rsidR="003E022D" w:rsidRDefault="007D19D6">
      <w:pPr>
        <w:spacing w:after="0"/>
        <w:rPr>
          <w:noProof/>
        </w:rPr>
      </w:pPr>
      <w:r>
        <w:rPr>
          <w:noProof/>
        </w:rPr>
        <w:t xml:space="preserve">2. </w:t>
      </w:r>
      <w:r>
        <w:rPr>
          <w:noProof/>
        </w:rPr>
        <w:tab/>
        <w:t xml:space="preserve">Attiecībā uz B papildinājumā uzskaitītajiem produktiem Apvienotā Karaliste D papildinājumā uzskaitītos Savienības normatīvos aktus atzīst par līdzvērtīgiem C papildinājumā uzskaitītajiem Apvienotās Karalistes normatīvajiem aktiem.   </w:t>
      </w:r>
    </w:p>
    <w:p w:rsidR="003E022D" w:rsidRDefault="003E022D">
      <w:pPr>
        <w:spacing w:after="0"/>
        <w:rPr>
          <w:noProof/>
        </w:rPr>
      </w:pPr>
    </w:p>
    <w:p w:rsidR="003E022D" w:rsidRDefault="007D19D6">
      <w:pPr>
        <w:spacing w:after="0"/>
        <w:rPr>
          <w:noProof/>
        </w:rPr>
      </w:pPr>
      <w:r>
        <w:rPr>
          <w:noProof/>
        </w:rPr>
        <w:t>3.</w:t>
      </w:r>
      <w:r>
        <w:rPr>
          <w:noProof/>
        </w:rPr>
        <w:tab/>
        <w:t>Ņemot</w:t>
      </w:r>
      <w:r>
        <w:rPr>
          <w:noProof/>
        </w:rPr>
        <w:t xml:space="preserve"> vērā to, ka 2022. gada 1. janvārī sāk piemērot Eiropas Parlamenta un Padomes Regulu (ES) 2018/848 (2018. gada 30. maijs) par bioloģisko ražošanu un bioloģisko produktu marķēšanu un ar ko atceļ Padomes Regulu (EK) Nr. 834/2007, katra Puse līdz 2023. gada 3</w:t>
      </w:r>
      <w:r>
        <w:rPr>
          <w:noProof/>
        </w:rPr>
        <w:t>1. decembrim atkārtoti novērtē 1. un 2. punktā minēto līdzvērtības atzīšanu. Ja minētās atkārtotās novērtēšanas rezultātā kāda Puse līdzvērtību neapstiprina, līdzvērtības atzīšana tiek apturēta.</w:t>
      </w:r>
    </w:p>
    <w:p w:rsidR="003E022D" w:rsidRDefault="003E022D">
      <w:pPr>
        <w:spacing w:after="0"/>
        <w:rPr>
          <w:noProof/>
        </w:rPr>
      </w:pPr>
    </w:p>
    <w:p w:rsidR="003E022D" w:rsidRDefault="007D19D6">
      <w:pPr>
        <w:spacing w:after="0"/>
        <w:rPr>
          <w:noProof/>
        </w:rPr>
      </w:pPr>
      <w:r>
        <w:rPr>
          <w:noProof/>
        </w:rPr>
        <w:t>4.</w:t>
      </w:r>
      <w:r>
        <w:rPr>
          <w:noProof/>
        </w:rPr>
        <w:tab/>
        <w:t>Neskarot 3. punktu, gadījumā, ja C vai D papildinājumā uz</w:t>
      </w:r>
      <w:r>
        <w:rPr>
          <w:noProof/>
        </w:rPr>
        <w:t xml:space="preserve">skaitītie normatīvie akti tiek grozīti, atsaukti vai aizstāti, jaunos noteikumus uzskata par līdzvērtīgiem otras Puses noteikumiem, ja vien kāda Puse neiebilst saskaņā ar 5. un 6. punktā izklāstīto procedūru.  </w:t>
      </w:r>
    </w:p>
    <w:p w:rsidR="003E022D" w:rsidRDefault="003E022D">
      <w:pPr>
        <w:spacing w:after="0"/>
        <w:rPr>
          <w:noProof/>
        </w:rPr>
      </w:pPr>
    </w:p>
    <w:p w:rsidR="003E022D" w:rsidRDefault="007D19D6">
      <w:pPr>
        <w:spacing w:after="0"/>
        <w:rPr>
          <w:noProof/>
        </w:rPr>
      </w:pPr>
      <w:r>
        <w:rPr>
          <w:noProof/>
        </w:rPr>
        <w:t>5.</w:t>
      </w:r>
      <w:r>
        <w:rPr>
          <w:noProof/>
        </w:rPr>
        <w:tab/>
        <w:t>Ja pēc tam, kad no otras Puses ir saņemta</w:t>
      </w:r>
      <w:r>
        <w:rPr>
          <w:noProof/>
        </w:rPr>
        <w:t xml:space="preserve"> papildu informācija, ko tā pieprasījusi, kāda Puse uzskata, ka otras Puses normatīvie akti vai administratīvās procedūras vai prakse vairs neatbilst līdzvērtībai noteiktajām prasībām, minētā Puse iesniedz otrai Pusei pamatotu pieprasījumu grozīt attiecīgo</w:t>
      </w:r>
      <w:r>
        <w:rPr>
          <w:noProof/>
        </w:rPr>
        <w:t xml:space="preserve">s normatīvos aktus vai administratīvās procedūras vai praksi un atvēl otrai Pusei līdzvērtības nodrošināšanas vajadzībām pietiekamu laiku, kas nav īsāks par trim mēnešiem.   </w:t>
      </w:r>
    </w:p>
    <w:p w:rsidR="003E022D" w:rsidRDefault="003E022D">
      <w:pPr>
        <w:spacing w:after="0"/>
        <w:rPr>
          <w:noProof/>
        </w:rPr>
      </w:pPr>
    </w:p>
    <w:p w:rsidR="003E022D" w:rsidRDefault="007D19D6">
      <w:pPr>
        <w:spacing w:after="0"/>
        <w:rPr>
          <w:noProof/>
        </w:rPr>
      </w:pPr>
      <w:r>
        <w:rPr>
          <w:noProof/>
        </w:rPr>
        <w:t>6.</w:t>
      </w:r>
      <w:r>
        <w:rPr>
          <w:noProof/>
        </w:rPr>
        <w:tab/>
        <w:t>Ja pēc 5. punktā minētā laika beigām Puse joprojām uzskata, ka līdzvērtībai n</w:t>
      </w:r>
      <w:r>
        <w:rPr>
          <w:noProof/>
        </w:rPr>
        <w:t xml:space="preserve">oteiktās prasības nav izpildītas, tā var pieņemt lēmumu vienpusēji apturēt attiecīgo C vai D papildinājumā uzskaitīto normatīvo aktu līdzvērtības atzīšanu attiecībā uz attiecīgajiem bioloģiskajiem produktiem, kas uzskaitīti A vai B papildinājumā.    </w:t>
      </w:r>
    </w:p>
    <w:p w:rsidR="003E022D" w:rsidRDefault="003E022D">
      <w:pPr>
        <w:spacing w:after="0"/>
        <w:rPr>
          <w:noProof/>
        </w:rPr>
      </w:pPr>
    </w:p>
    <w:p w:rsidR="003E022D" w:rsidRDefault="007D19D6">
      <w:pPr>
        <w:spacing w:after="0"/>
        <w:rPr>
          <w:noProof/>
        </w:rPr>
      </w:pPr>
      <w:r>
        <w:rPr>
          <w:noProof/>
        </w:rPr>
        <w:t>7.</w:t>
      </w:r>
      <w:r>
        <w:rPr>
          <w:noProof/>
        </w:rPr>
        <w:tab/>
      </w:r>
      <w:r>
        <w:rPr>
          <w:noProof/>
        </w:rPr>
        <w:t>Lēmumu vienpusēji apturēt C vai D papildinājumā uzskaitīto normatīvo aktu līdzvērtības atzīšanu attiecībā uz attiecīgajiem bioloģiskajiem produktiem, kas uzskaitīti A vai B papildinājumā, var pieņemt arī pēc trīs mēnešu ilgā paziņošanas perioda beigām gadī</w:t>
      </w:r>
      <w:r>
        <w:rPr>
          <w:noProof/>
        </w:rPr>
        <w:t xml:space="preserve">jumā, ja Puse nav sniegusi saskaņā ar 6. pantu prasīto informāciju vai nepiekrīt saskaņā ar 7. pantu veiktai profesionālizvērtēšanai.   </w:t>
      </w:r>
    </w:p>
    <w:p w:rsidR="003E022D" w:rsidRDefault="003E022D">
      <w:pPr>
        <w:spacing w:after="0"/>
        <w:rPr>
          <w:noProof/>
        </w:rPr>
      </w:pPr>
    </w:p>
    <w:p w:rsidR="003E022D" w:rsidRDefault="007D19D6">
      <w:pPr>
        <w:spacing w:after="0"/>
        <w:rPr>
          <w:noProof/>
        </w:rPr>
      </w:pPr>
      <w:r>
        <w:rPr>
          <w:noProof/>
        </w:rPr>
        <w:t>8.</w:t>
      </w:r>
      <w:r>
        <w:rPr>
          <w:noProof/>
        </w:rPr>
        <w:tab/>
        <w:t xml:space="preserve">Ja līdzvērtības atzīšana ir apturēta saskaņā ar šo pantu, pēc kādas Puses pieprasījuma Puses apspriež šo jautājumu </w:t>
      </w:r>
      <w:r>
        <w:rPr>
          <w:noProof/>
        </w:rPr>
        <w:t xml:space="preserve">Bioloģisku produktu darba grupā un dara visu iespējamo, lai apsvērtu iespējamos pasākumus, kas dotu iespēju līdzvērtības atzīšanu atjaunot. </w:t>
      </w:r>
    </w:p>
    <w:p w:rsidR="003E022D" w:rsidRDefault="003E022D">
      <w:pPr>
        <w:spacing w:after="0"/>
        <w:rPr>
          <w:noProof/>
        </w:rPr>
      </w:pPr>
    </w:p>
    <w:p w:rsidR="003E022D" w:rsidRDefault="007D19D6">
      <w:pPr>
        <w:spacing w:after="0"/>
        <w:rPr>
          <w:noProof/>
        </w:rPr>
      </w:pPr>
      <w:r>
        <w:rPr>
          <w:noProof/>
        </w:rPr>
        <w:t>9.</w:t>
      </w:r>
      <w:r>
        <w:rPr>
          <w:noProof/>
        </w:rPr>
        <w:tab/>
        <w:t>Attiecībā uz produktiem, kas A vai B papildinājumā nav uzskaitīti, līdzvērtību pēc kādas Puses pieprasījuma aps</w:t>
      </w:r>
      <w:r>
        <w:rPr>
          <w:noProof/>
        </w:rPr>
        <w:t xml:space="preserve">priež Bioloģisko produktu darba grupa. </w:t>
      </w:r>
    </w:p>
    <w:p w:rsidR="003E022D" w:rsidRDefault="003E022D">
      <w:pPr>
        <w:spacing w:after="0"/>
        <w:rPr>
          <w:noProof/>
        </w:rPr>
      </w:pPr>
    </w:p>
    <w:p w:rsidR="003E022D" w:rsidRDefault="007D19D6">
      <w:pPr>
        <w:spacing w:after="0"/>
        <w:jc w:val="center"/>
        <w:rPr>
          <w:noProof/>
        </w:rPr>
      </w:pPr>
      <w:r>
        <w:rPr>
          <w:noProof/>
        </w:rPr>
        <w:t>4. pants. Imports un laišana tirgū</w:t>
      </w:r>
    </w:p>
    <w:p w:rsidR="003E022D" w:rsidRDefault="003E022D">
      <w:pPr>
        <w:spacing w:after="0"/>
        <w:jc w:val="center"/>
        <w:rPr>
          <w:noProof/>
        </w:rPr>
      </w:pPr>
    </w:p>
    <w:p w:rsidR="003E022D" w:rsidRDefault="007D19D6">
      <w:pPr>
        <w:spacing w:after="0"/>
        <w:rPr>
          <w:noProof/>
        </w:rPr>
      </w:pPr>
      <w:r>
        <w:rPr>
          <w:noProof/>
        </w:rPr>
        <w:t>1.</w:t>
      </w:r>
      <w:r>
        <w:rPr>
          <w:noProof/>
        </w:rPr>
        <w:tab/>
        <w:t>Savienība akceptē A papildinājumā uzskaitīto produktu importu savā teritorijā un minēto produktu kā bioloģisku produktu laišanu tirgū, ja minētie produkti atbilst C papildināju</w:t>
      </w:r>
      <w:r>
        <w:rPr>
          <w:noProof/>
        </w:rPr>
        <w:t xml:space="preserve">mā uzskaitītajiem Apvienotās Karalistes normatīvajiem aktiem un tiem ir pievienots inspekcijas sertifikāts, ko izdevusi 3. punktā minētā kontroles institūcija, kuru atzinusi Apvienotā Karaliste un kura norādīta Savienībai.  </w:t>
      </w:r>
    </w:p>
    <w:p w:rsidR="003E022D" w:rsidRDefault="003E022D">
      <w:pPr>
        <w:spacing w:after="0"/>
        <w:rPr>
          <w:noProof/>
        </w:rPr>
      </w:pPr>
    </w:p>
    <w:p w:rsidR="003E022D" w:rsidRDefault="007D19D6">
      <w:pPr>
        <w:spacing w:after="0"/>
        <w:rPr>
          <w:noProof/>
        </w:rPr>
      </w:pPr>
      <w:r>
        <w:rPr>
          <w:noProof/>
        </w:rPr>
        <w:t>2.</w:t>
      </w:r>
      <w:r>
        <w:rPr>
          <w:noProof/>
        </w:rPr>
        <w:tab/>
        <w:t>Apvienotā Karaliste akceptē</w:t>
      </w:r>
      <w:r>
        <w:rPr>
          <w:noProof/>
        </w:rPr>
        <w:t xml:space="preserve"> B papildinājumā uzskaitīto produktu importu savā teritorijā un minēto produktu kā bioloģisku produktu laišanu tirgū, ja minētie produkti atbilst D papildinājumā uzskaitītajiem Savienības normatīvajiem aktiem un tiem ir pievienots inspekcijas sertifikāts, </w:t>
      </w:r>
      <w:r>
        <w:rPr>
          <w:noProof/>
        </w:rPr>
        <w:t xml:space="preserve">ko izdevusi 3. punktā minētā kontroles institūcija, kuru atzinusi Savienība un kura norādīta Apvienotajai Karalistei.   </w:t>
      </w:r>
    </w:p>
    <w:p w:rsidR="003E022D" w:rsidRDefault="003E022D">
      <w:pPr>
        <w:spacing w:after="0"/>
        <w:rPr>
          <w:noProof/>
        </w:rPr>
      </w:pPr>
    </w:p>
    <w:p w:rsidR="003E022D" w:rsidRDefault="007D19D6">
      <w:pPr>
        <w:spacing w:after="0"/>
        <w:rPr>
          <w:noProof/>
        </w:rPr>
      </w:pPr>
      <w:r>
        <w:rPr>
          <w:noProof/>
        </w:rPr>
        <w:t>3.</w:t>
      </w:r>
      <w:r>
        <w:rPr>
          <w:noProof/>
        </w:rPr>
        <w:tab/>
        <w:t>Katra Puse atzīst kontroles iestādes vai kontroles institūcijas, ko otra Puse norādījusi kā atbildīgas par attiecīgo kontroļu veikš</w:t>
      </w:r>
      <w:r>
        <w:rPr>
          <w:noProof/>
        </w:rPr>
        <w:t xml:space="preserve">anu attiecībā uz bioloģiskajiem produktiem, uz kuriem attiecas 3. pantā minētā līdzvērtības atzīšana, un par šā panta 1. un 2. punktā minētā inspekcijas sertifikāta izdošanu šādu produktu importēšanai un laišanai tirgū otras Puses teritorijā.   </w:t>
      </w:r>
    </w:p>
    <w:p w:rsidR="003E022D" w:rsidRDefault="003E022D">
      <w:pPr>
        <w:spacing w:after="0"/>
        <w:rPr>
          <w:noProof/>
        </w:rPr>
      </w:pPr>
    </w:p>
    <w:p w:rsidR="003E022D" w:rsidRDefault="007D19D6">
      <w:pPr>
        <w:spacing w:after="0"/>
        <w:rPr>
          <w:noProof/>
        </w:rPr>
      </w:pPr>
      <w:r>
        <w:rPr>
          <w:noProof/>
        </w:rPr>
        <w:t>4.</w:t>
      </w:r>
      <w:r>
        <w:rPr>
          <w:noProof/>
        </w:rPr>
        <w:tab/>
        <w:t>Import</w:t>
      </w:r>
      <w:r>
        <w:rPr>
          <w:noProof/>
        </w:rPr>
        <w:t xml:space="preserve">ētāja Puse sadarbībā ar otru Pusi piešķir kodu katrai attiecīgajai kontroles iestādei un kontroles institūcijai, ko norādījusi otra Puse. </w:t>
      </w:r>
    </w:p>
    <w:p w:rsidR="003E022D" w:rsidRDefault="003E022D">
      <w:pPr>
        <w:spacing w:after="0"/>
        <w:rPr>
          <w:noProof/>
        </w:rPr>
      </w:pPr>
    </w:p>
    <w:p w:rsidR="003E022D" w:rsidRDefault="003E022D">
      <w:pPr>
        <w:spacing w:after="0"/>
        <w:rPr>
          <w:noProof/>
        </w:rPr>
      </w:pPr>
    </w:p>
    <w:p w:rsidR="003E022D" w:rsidRDefault="003E022D">
      <w:pPr>
        <w:spacing w:after="0"/>
        <w:rPr>
          <w:noProof/>
        </w:rPr>
      </w:pPr>
    </w:p>
    <w:p w:rsidR="003E022D" w:rsidRDefault="007D19D6">
      <w:pPr>
        <w:spacing w:after="0"/>
        <w:jc w:val="center"/>
        <w:rPr>
          <w:noProof/>
        </w:rPr>
      </w:pPr>
      <w:r>
        <w:rPr>
          <w:noProof/>
        </w:rPr>
        <w:t>5. pants. Marķēšana</w:t>
      </w:r>
    </w:p>
    <w:p w:rsidR="003E022D" w:rsidRDefault="003E022D">
      <w:pPr>
        <w:spacing w:after="0"/>
        <w:jc w:val="center"/>
        <w:rPr>
          <w:noProof/>
        </w:rPr>
      </w:pPr>
    </w:p>
    <w:p w:rsidR="003E022D" w:rsidRDefault="007D19D6">
      <w:pPr>
        <w:spacing w:after="0"/>
        <w:rPr>
          <w:noProof/>
        </w:rPr>
      </w:pPr>
      <w:r>
        <w:rPr>
          <w:noProof/>
        </w:rPr>
        <w:t>1.</w:t>
      </w:r>
      <w:r>
        <w:rPr>
          <w:noProof/>
        </w:rPr>
        <w:tab/>
        <w:t>Produkti, ko importē kādas Puses teritorijā saskaņā ar šo pielikumu, atbilst marķēšanas pr</w:t>
      </w:r>
      <w:r>
        <w:rPr>
          <w:noProof/>
        </w:rPr>
        <w:t>asībām, kuras noteiktas C un D papildinājumā uzskaitītajos importētājas Puses normatīvajos aktos.  Minētajiem produktiem var būt Savienības bioloģiskās ražošanas logotips, jebkāds Apvienotās Karalistes bioloģiskās ražošanas logotips vai abi logotipi, kas n</w:t>
      </w:r>
      <w:r>
        <w:rPr>
          <w:noProof/>
        </w:rPr>
        <w:t xml:space="preserve">oteikti attiecīgajos normatīvajos aktos, ja vien minētie produkti atbilst attiecīgā logotipa vai abu logotipu marķēšanas prasībām.   </w:t>
      </w:r>
    </w:p>
    <w:p w:rsidR="003E022D" w:rsidRDefault="003E022D">
      <w:pPr>
        <w:spacing w:after="0"/>
        <w:rPr>
          <w:noProof/>
        </w:rPr>
      </w:pPr>
    </w:p>
    <w:p w:rsidR="003E022D" w:rsidRDefault="007D19D6">
      <w:pPr>
        <w:spacing w:after="0"/>
        <w:rPr>
          <w:noProof/>
        </w:rPr>
      </w:pPr>
      <w:r>
        <w:rPr>
          <w:noProof/>
        </w:rPr>
        <w:t>2.</w:t>
      </w:r>
      <w:r>
        <w:rPr>
          <w:noProof/>
        </w:rPr>
        <w:tab/>
        <w:t>Puses apņemas nepieļaut tādu terminu ļaunprātīgu izmantošanu, kas norāda uz bioloģisko ražošanu saistībā ar bioloģiski</w:t>
      </w:r>
      <w:r>
        <w:rPr>
          <w:noProof/>
        </w:rPr>
        <w:t xml:space="preserve">em produktiem, uz kuriem attiecas līdzvērtības atzīšana saskaņā ar šo pielikumu. </w:t>
      </w:r>
    </w:p>
    <w:p w:rsidR="003E022D" w:rsidRDefault="003E022D">
      <w:pPr>
        <w:spacing w:after="0"/>
        <w:rPr>
          <w:noProof/>
        </w:rPr>
      </w:pPr>
    </w:p>
    <w:p w:rsidR="003E022D" w:rsidRDefault="007D19D6">
      <w:pPr>
        <w:spacing w:after="0"/>
        <w:rPr>
          <w:noProof/>
        </w:rPr>
      </w:pPr>
      <w:r>
        <w:rPr>
          <w:noProof/>
        </w:rPr>
        <w:t>3.</w:t>
      </w:r>
      <w:r>
        <w:rPr>
          <w:noProof/>
        </w:rPr>
        <w:tab/>
        <w:t>Puses apņemas Savienības bioloģiskās ražošanas logotipu un visus Apvienotās Karalistes bioloģiskās ražošanas logotipus, kas noteikti attiecīgajos normatīvajos aktos, aizs</w:t>
      </w:r>
      <w:r>
        <w:rPr>
          <w:noProof/>
        </w:rPr>
        <w:t>argāt pret jebkādu ļaunprātīgu izmantošanu vai atdarināšanu. Puses nodrošina, ka Savienības bioloģiskās ražošanas logotipu un Apvienotās Karalistes bioloģiskās ražošanas logotipu izmanto tikai tādu bioloģisko produktu marķējumā, reklāmā vai tirdzniecības d</w:t>
      </w:r>
      <w:r>
        <w:rPr>
          <w:noProof/>
        </w:rPr>
        <w:t xml:space="preserve">okumentos, kuri atbilst C un D papildinājumā uzskaitītajiem normatīvajiem aktiem. </w:t>
      </w:r>
    </w:p>
    <w:p w:rsidR="003E022D" w:rsidRDefault="003E022D">
      <w:pPr>
        <w:spacing w:after="0"/>
        <w:rPr>
          <w:noProof/>
        </w:rPr>
      </w:pPr>
    </w:p>
    <w:p w:rsidR="003E022D" w:rsidRDefault="007D19D6">
      <w:pPr>
        <w:spacing w:after="0"/>
        <w:jc w:val="center"/>
        <w:rPr>
          <w:noProof/>
        </w:rPr>
      </w:pPr>
      <w:r>
        <w:rPr>
          <w:noProof/>
        </w:rPr>
        <w:t>6. pants. Informācijas apmaiņa</w:t>
      </w:r>
    </w:p>
    <w:p w:rsidR="003E022D" w:rsidRDefault="003E022D">
      <w:pPr>
        <w:spacing w:after="0"/>
        <w:jc w:val="center"/>
        <w:rPr>
          <w:noProof/>
        </w:rPr>
      </w:pPr>
    </w:p>
    <w:p w:rsidR="003E022D" w:rsidRDefault="007D19D6">
      <w:pPr>
        <w:spacing w:after="0"/>
        <w:rPr>
          <w:noProof/>
        </w:rPr>
      </w:pPr>
      <w:r>
        <w:rPr>
          <w:noProof/>
        </w:rPr>
        <w:t>1.</w:t>
      </w:r>
      <w:r>
        <w:rPr>
          <w:noProof/>
        </w:rPr>
        <w:tab/>
      </w:r>
      <w:r>
        <w:rPr>
          <w:noProof/>
        </w:rPr>
        <w:t xml:space="preserve">Puses apmainās ar visu šā pielikuma īstenošanas un piemērošanas sakarā relevanto informāciju. Konkrēti, otrajā gadā pēc šā nolīguma stāšanās spēkā līdz 31. martam un katru nākamo gadu līdz 31. martam katra Puse nosūta otrai Pusei: </w:t>
      </w:r>
    </w:p>
    <w:p w:rsidR="003E022D" w:rsidRDefault="003E022D">
      <w:pPr>
        <w:spacing w:after="0"/>
        <w:rPr>
          <w:noProof/>
        </w:rPr>
      </w:pPr>
    </w:p>
    <w:p w:rsidR="003E022D" w:rsidRDefault="007D19D6">
      <w:pPr>
        <w:tabs>
          <w:tab w:val="left" w:pos="709"/>
          <w:tab w:val="left" w:pos="1276"/>
        </w:tabs>
        <w:spacing w:after="0"/>
        <w:ind w:left="1276" w:hanging="1276"/>
        <w:rPr>
          <w:noProof/>
        </w:rPr>
      </w:pPr>
      <w:r>
        <w:rPr>
          <w:noProof/>
        </w:rPr>
        <w:tab/>
        <w:t>a)</w:t>
      </w:r>
      <w:r>
        <w:rPr>
          <w:noProof/>
        </w:rPr>
        <w:tab/>
        <w:t>ziņojumu, kurā ietv</w:t>
      </w:r>
      <w:r>
        <w:rPr>
          <w:noProof/>
        </w:rPr>
        <w:t xml:space="preserve">erta informācija par to bioloģisko produktu veidiem un daudzumiem, kas eksportēti saskaņā ar šo pielikumu, un kurš aptver laiku no iepriekšējā gada janvāra līdz decembrim; </w:t>
      </w:r>
    </w:p>
    <w:p w:rsidR="003E022D" w:rsidRDefault="003E022D">
      <w:pPr>
        <w:tabs>
          <w:tab w:val="left" w:pos="709"/>
          <w:tab w:val="left" w:pos="1276"/>
        </w:tabs>
        <w:spacing w:after="0"/>
        <w:ind w:left="1276" w:hanging="1276"/>
        <w:rPr>
          <w:noProof/>
        </w:rPr>
      </w:pPr>
    </w:p>
    <w:p w:rsidR="003E022D" w:rsidRDefault="007D19D6">
      <w:pPr>
        <w:tabs>
          <w:tab w:val="left" w:pos="709"/>
        </w:tabs>
        <w:spacing w:after="0"/>
        <w:ind w:left="1276" w:hanging="1276"/>
        <w:rPr>
          <w:noProof/>
        </w:rPr>
      </w:pPr>
      <w:r>
        <w:rPr>
          <w:noProof/>
        </w:rPr>
        <w:tab/>
        <w:t xml:space="preserve">b)  </w:t>
      </w:r>
      <w:r>
        <w:rPr>
          <w:noProof/>
        </w:rPr>
        <w:tab/>
        <w:t xml:space="preserve">ziņojumu, kurš aptver laiku no iepriekšējā gada janvāra līdz decembrim, par </w:t>
      </w:r>
      <w:r>
        <w:rPr>
          <w:noProof/>
        </w:rPr>
        <w:t xml:space="preserve">uzraudzības un pārraudzības darbībām, ko veikušas tās kompetentās iestādes, par iegūtajiem rezultātiem un veiktajiem korektīvajiem pasākumiem; un </w:t>
      </w:r>
    </w:p>
    <w:p w:rsidR="003E022D" w:rsidRDefault="003E022D">
      <w:pPr>
        <w:tabs>
          <w:tab w:val="left" w:pos="709"/>
        </w:tabs>
        <w:spacing w:after="0"/>
        <w:ind w:left="1276" w:hanging="1276"/>
        <w:rPr>
          <w:noProof/>
        </w:rPr>
      </w:pPr>
    </w:p>
    <w:p w:rsidR="003E022D" w:rsidRDefault="007D19D6">
      <w:pPr>
        <w:tabs>
          <w:tab w:val="left" w:pos="709"/>
        </w:tabs>
        <w:spacing w:after="0"/>
        <w:ind w:left="1276" w:hanging="1276"/>
        <w:rPr>
          <w:noProof/>
        </w:rPr>
      </w:pPr>
      <w:r>
        <w:rPr>
          <w:noProof/>
        </w:rPr>
        <w:tab/>
        <w:t xml:space="preserve">c) </w:t>
      </w:r>
      <w:r>
        <w:rPr>
          <w:noProof/>
        </w:rPr>
        <w:tab/>
        <w:t>sīkas ziņas par konstatētajām neatbilstībām, attiecīgi, C vai D papildinājumā uzskaitītajiem normatīvaj</w:t>
      </w:r>
      <w:r>
        <w:rPr>
          <w:noProof/>
        </w:rPr>
        <w:t xml:space="preserve">iem aktiem vai šo aktu pārkāpumiem.  </w:t>
      </w:r>
    </w:p>
    <w:p w:rsidR="003E022D" w:rsidRDefault="003E022D">
      <w:pPr>
        <w:tabs>
          <w:tab w:val="left" w:pos="709"/>
        </w:tabs>
        <w:spacing w:after="0"/>
        <w:ind w:left="1276" w:hanging="1276"/>
        <w:rPr>
          <w:noProof/>
        </w:rPr>
      </w:pPr>
    </w:p>
    <w:p w:rsidR="003E022D" w:rsidRDefault="007D19D6">
      <w:pPr>
        <w:spacing w:after="0"/>
        <w:rPr>
          <w:noProof/>
        </w:rPr>
      </w:pPr>
      <w:r>
        <w:rPr>
          <w:noProof/>
        </w:rPr>
        <w:t xml:space="preserve">2. </w:t>
      </w:r>
      <w:r>
        <w:rPr>
          <w:noProof/>
        </w:rPr>
        <w:tab/>
        <w:t xml:space="preserve">Katra Puse nekavējoties informē otru Pusi par: </w:t>
      </w:r>
    </w:p>
    <w:p w:rsidR="003E022D" w:rsidRDefault="003E022D">
      <w:pPr>
        <w:spacing w:after="0"/>
        <w:rPr>
          <w:noProof/>
        </w:rPr>
      </w:pPr>
    </w:p>
    <w:p w:rsidR="003E022D" w:rsidRDefault="007D19D6">
      <w:pPr>
        <w:tabs>
          <w:tab w:val="left" w:pos="709"/>
        </w:tabs>
        <w:spacing w:after="0"/>
        <w:ind w:left="1276" w:hanging="1276"/>
        <w:rPr>
          <w:noProof/>
        </w:rPr>
      </w:pPr>
      <w:r>
        <w:rPr>
          <w:noProof/>
        </w:rPr>
        <w:tab/>
        <w:t xml:space="preserve">a)  </w:t>
      </w:r>
      <w:r>
        <w:rPr>
          <w:noProof/>
        </w:rPr>
        <w:tab/>
        <w:t>visiem atjauninājumiem tās kompetento iestāžu, kontroles iestāžu un kontroles institūciju sarakstā, tai skaitā attiecīgās kontaktinformācijas (jo īpaši adrese</w:t>
      </w:r>
      <w:r>
        <w:rPr>
          <w:noProof/>
        </w:rPr>
        <w:t xml:space="preserve">s un interneta adreses) atjauninājumiem; </w:t>
      </w:r>
    </w:p>
    <w:p w:rsidR="003E022D" w:rsidRDefault="003E022D">
      <w:pPr>
        <w:tabs>
          <w:tab w:val="left" w:pos="709"/>
        </w:tabs>
        <w:spacing w:after="0"/>
        <w:ind w:left="1276" w:hanging="1276"/>
        <w:rPr>
          <w:noProof/>
        </w:rPr>
      </w:pPr>
    </w:p>
    <w:p w:rsidR="003E022D" w:rsidRDefault="007D19D6">
      <w:pPr>
        <w:tabs>
          <w:tab w:val="left" w:pos="709"/>
          <w:tab w:val="left" w:pos="1276"/>
        </w:tabs>
        <w:spacing w:after="0"/>
        <w:ind w:left="1276" w:hanging="1276"/>
        <w:rPr>
          <w:noProof/>
        </w:rPr>
      </w:pPr>
      <w:r>
        <w:rPr>
          <w:noProof/>
        </w:rPr>
        <w:tab/>
        <w:t xml:space="preserve">b)  </w:t>
      </w:r>
      <w:r>
        <w:rPr>
          <w:noProof/>
        </w:rPr>
        <w:tab/>
        <w:t>jebkādām izmaiņām vai atcelšanu, ko tā plāno veikt attiecībā uz C papildinājumā vai D papildinājumā uzskaitītajiem normatīvajiem aktiem, visiem jaunu normatīvo aktu priekšlikumiem vai jebkādām attiecīgām ier</w:t>
      </w:r>
      <w:r>
        <w:rPr>
          <w:noProof/>
        </w:rPr>
        <w:t xml:space="preserve">osinātām izmaiņām administratīvajās procedūrās un praksē saistībā ar bioloģiskajiem produktiem, uz kuriem attiecas šis pielikums; un </w:t>
      </w:r>
    </w:p>
    <w:p w:rsidR="003E022D" w:rsidRDefault="003E022D">
      <w:pPr>
        <w:tabs>
          <w:tab w:val="left" w:pos="709"/>
          <w:tab w:val="left" w:pos="1276"/>
        </w:tabs>
        <w:spacing w:after="0"/>
        <w:ind w:left="1276" w:hanging="1276"/>
        <w:rPr>
          <w:noProof/>
        </w:rPr>
      </w:pPr>
    </w:p>
    <w:p w:rsidR="003E022D" w:rsidRDefault="007D19D6">
      <w:pPr>
        <w:tabs>
          <w:tab w:val="left" w:pos="709"/>
        </w:tabs>
        <w:spacing w:after="0"/>
        <w:ind w:left="1276" w:hanging="1276"/>
        <w:rPr>
          <w:noProof/>
        </w:rPr>
      </w:pPr>
      <w:r>
        <w:rPr>
          <w:noProof/>
        </w:rPr>
        <w:tab/>
        <w:t xml:space="preserve">c)  </w:t>
      </w:r>
      <w:r>
        <w:rPr>
          <w:noProof/>
        </w:rPr>
        <w:tab/>
        <w:t>visām izmaiņām vai atcelšanu, ko tā pieņēmusi attiecībā uz C papildinājumā vai D papildinājumā uzskaitītajiem norma</w:t>
      </w:r>
      <w:r>
        <w:rPr>
          <w:noProof/>
        </w:rPr>
        <w:t xml:space="preserve">tīvajiem aktiem, jauniem tiesību aktiem vai attiecīgām izmaiņām administratīvajās procedūrās un praksē saistībā ar bioloģiskajiem produktiem, uz kuriem attiecas šis pielikums. </w:t>
      </w:r>
    </w:p>
    <w:p w:rsidR="003E022D" w:rsidRDefault="003E022D">
      <w:pPr>
        <w:tabs>
          <w:tab w:val="left" w:pos="709"/>
        </w:tabs>
        <w:spacing w:after="0"/>
        <w:ind w:left="1276" w:hanging="1276"/>
        <w:rPr>
          <w:noProof/>
        </w:rPr>
      </w:pPr>
    </w:p>
    <w:p w:rsidR="003E022D" w:rsidRDefault="003E022D">
      <w:pPr>
        <w:tabs>
          <w:tab w:val="left" w:pos="709"/>
        </w:tabs>
        <w:spacing w:after="0"/>
        <w:ind w:left="1276" w:hanging="1276"/>
        <w:rPr>
          <w:noProof/>
        </w:rPr>
      </w:pPr>
    </w:p>
    <w:p w:rsidR="003E022D" w:rsidRDefault="003E022D">
      <w:pPr>
        <w:tabs>
          <w:tab w:val="left" w:pos="709"/>
        </w:tabs>
        <w:spacing w:after="0"/>
        <w:ind w:left="1276" w:hanging="1276"/>
        <w:rPr>
          <w:noProof/>
        </w:rPr>
      </w:pPr>
    </w:p>
    <w:p w:rsidR="003E022D" w:rsidRDefault="007D19D6">
      <w:pPr>
        <w:spacing w:after="0"/>
        <w:jc w:val="center"/>
        <w:rPr>
          <w:noProof/>
        </w:rPr>
      </w:pPr>
      <w:r>
        <w:rPr>
          <w:noProof/>
        </w:rPr>
        <w:t>7. pants. Profesionālizvērtēšana</w:t>
      </w:r>
    </w:p>
    <w:p w:rsidR="003E022D" w:rsidRDefault="003E022D">
      <w:pPr>
        <w:spacing w:after="0"/>
        <w:jc w:val="center"/>
        <w:rPr>
          <w:noProof/>
        </w:rPr>
      </w:pPr>
    </w:p>
    <w:p w:rsidR="003E022D" w:rsidRDefault="007D19D6">
      <w:pPr>
        <w:spacing w:after="0"/>
        <w:rPr>
          <w:noProof/>
        </w:rPr>
      </w:pPr>
      <w:r>
        <w:rPr>
          <w:noProof/>
        </w:rPr>
        <w:t>1.</w:t>
      </w:r>
      <w:r>
        <w:rPr>
          <w:noProof/>
        </w:rPr>
        <w:tab/>
        <w:t>Pēc vismaz sešu mēnešu iepriekšēja pazi</w:t>
      </w:r>
      <w:r>
        <w:rPr>
          <w:noProof/>
        </w:rPr>
        <w:t xml:space="preserve">ņojuma katra Puse atļauj otras Puses amatpersonām vai ekspertiem tās teritorijā veikt profesionālizvērtēšanu, kurā pārliecinās, vai attiecīgās kontroles iestādes un kontroles institūcijas veic šā pielikuma īstenošanai vajadzīgās kontroles.   </w:t>
      </w:r>
    </w:p>
    <w:p w:rsidR="003E022D" w:rsidRDefault="003E022D">
      <w:pPr>
        <w:spacing w:after="0"/>
        <w:rPr>
          <w:noProof/>
        </w:rPr>
      </w:pPr>
    </w:p>
    <w:p w:rsidR="003E022D" w:rsidRDefault="007D19D6">
      <w:pPr>
        <w:spacing w:after="0"/>
        <w:rPr>
          <w:noProof/>
        </w:rPr>
      </w:pPr>
      <w:r>
        <w:rPr>
          <w:noProof/>
        </w:rPr>
        <w:t>2.</w:t>
      </w:r>
      <w:r>
        <w:rPr>
          <w:noProof/>
        </w:rPr>
        <w:tab/>
        <w:t>Ciktāl to</w:t>
      </w:r>
      <w:r>
        <w:rPr>
          <w:noProof/>
        </w:rPr>
        <w:t xml:space="preserve"> atļauj piemērojamie tiesību akti, katra Puse sadarbojas ar otru Pusi un palīdz tai veikt 1. punktā minēto profesionālizvērtēšanu, kas var ietvert attiecīgo kontroles iestāžu un kontroles institūciju biroju, ražotņu un sertificētu operatoru apmeklējumus.  </w:t>
      </w:r>
      <w:r>
        <w:rPr>
          <w:noProof/>
        </w:rPr>
        <w:t xml:space="preserve">  </w:t>
      </w:r>
    </w:p>
    <w:p w:rsidR="003E022D" w:rsidRDefault="003E022D">
      <w:pPr>
        <w:spacing w:after="0"/>
        <w:rPr>
          <w:noProof/>
        </w:rPr>
      </w:pPr>
    </w:p>
    <w:p w:rsidR="003E022D" w:rsidRDefault="007D19D6">
      <w:pPr>
        <w:spacing w:after="0"/>
        <w:jc w:val="center"/>
        <w:rPr>
          <w:noProof/>
        </w:rPr>
      </w:pPr>
      <w:r>
        <w:rPr>
          <w:noProof/>
        </w:rPr>
        <w:t>8. pants. Bioloģisko produktu darba grupa</w:t>
      </w:r>
    </w:p>
    <w:p w:rsidR="003E022D" w:rsidRDefault="003E022D">
      <w:pPr>
        <w:spacing w:after="0"/>
        <w:jc w:val="center"/>
        <w:rPr>
          <w:noProof/>
        </w:rPr>
      </w:pPr>
    </w:p>
    <w:p w:rsidR="003E022D" w:rsidRDefault="007D19D6">
      <w:pPr>
        <w:spacing w:after="0"/>
        <w:rPr>
          <w:noProof/>
        </w:rPr>
      </w:pPr>
      <w:r>
        <w:rPr>
          <w:noProof/>
        </w:rPr>
        <w:t>1.</w:t>
      </w:r>
      <w:r>
        <w:rPr>
          <w:noProof/>
        </w:rPr>
        <w:tab/>
        <w:t xml:space="preserve">Bioloģisko produktu darba grupa palīdz Tirdzniecības specializētajai komitejai par tehniskajiem šķēršļiem tirdzniecībai uzraudzīt un pārskatīt šā pielikuma īstenošanu un nodrošināt tā pareizu darbību. </w:t>
      </w:r>
    </w:p>
    <w:p w:rsidR="003E022D" w:rsidRDefault="003E022D">
      <w:pPr>
        <w:spacing w:after="0"/>
        <w:rPr>
          <w:noProof/>
        </w:rPr>
      </w:pPr>
    </w:p>
    <w:p w:rsidR="003E022D" w:rsidRDefault="007D19D6">
      <w:pPr>
        <w:spacing w:after="0"/>
        <w:rPr>
          <w:noProof/>
        </w:rPr>
      </w:pPr>
      <w:r>
        <w:rPr>
          <w:noProof/>
        </w:rPr>
        <w:t>2.</w:t>
      </w:r>
      <w:r>
        <w:rPr>
          <w:noProof/>
        </w:rPr>
        <w:tab/>
      </w:r>
      <w:r>
        <w:rPr>
          <w:noProof/>
        </w:rPr>
        <w:t xml:space="preserve">Bioloģisko produktu darba grupai ir šādas funkcijas: </w:t>
      </w:r>
    </w:p>
    <w:p w:rsidR="003E022D" w:rsidRDefault="003E022D">
      <w:pPr>
        <w:spacing w:after="0"/>
        <w:rPr>
          <w:noProof/>
        </w:rPr>
      </w:pPr>
    </w:p>
    <w:p w:rsidR="003E022D" w:rsidRDefault="007D19D6">
      <w:pPr>
        <w:tabs>
          <w:tab w:val="left" w:pos="709"/>
          <w:tab w:val="left" w:pos="1276"/>
        </w:tabs>
        <w:spacing w:after="0"/>
        <w:ind w:left="1276" w:hanging="1276"/>
        <w:rPr>
          <w:noProof/>
        </w:rPr>
      </w:pPr>
      <w:r>
        <w:rPr>
          <w:noProof/>
        </w:rPr>
        <w:tab/>
        <w:t xml:space="preserve">a) </w:t>
      </w:r>
      <w:r>
        <w:rPr>
          <w:noProof/>
        </w:rPr>
        <w:tab/>
        <w:t xml:space="preserve">pēc kādas Puses lūguma apspriest jebkuru jautājumu, kas rodas saistībā ar šo pielikumu, arī jebkādu iespējamu vajadzību izdarīt grozījumus šajā pielikumā vai tā papildinājumos; </w:t>
      </w:r>
    </w:p>
    <w:p w:rsidR="003E022D" w:rsidRDefault="003E022D">
      <w:pPr>
        <w:tabs>
          <w:tab w:val="left" w:pos="709"/>
          <w:tab w:val="left" w:pos="1276"/>
        </w:tabs>
        <w:spacing w:after="0"/>
        <w:ind w:left="1276" w:hanging="1276"/>
        <w:rPr>
          <w:noProof/>
        </w:rPr>
      </w:pPr>
    </w:p>
    <w:p w:rsidR="003E022D" w:rsidRDefault="007D19D6">
      <w:pPr>
        <w:tabs>
          <w:tab w:val="left" w:pos="709"/>
          <w:tab w:val="left" w:pos="1276"/>
        </w:tabs>
        <w:spacing w:after="0"/>
        <w:ind w:left="1276" w:hanging="1276"/>
        <w:rPr>
          <w:noProof/>
        </w:rPr>
      </w:pPr>
      <w:r>
        <w:rPr>
          <w:noProof/>
        </w:rPr>
        <w:tab/>
        <w:t xml:space="preserve">b) </w:t>
      </w:r>
      <w:r>
        <w:rPr>
          <w:noProof/>
        </w:rPr>
        <w:tab/>
        <w:t>veicināt sad</w:t>
      </w:r>
      <w:r>
        <w:rPr>
          <w:noProof/>
        </w:rPr>
        <w:t>arbību attiecībā uz normatīvajiem aktiem, standartiem un procedūrām, kas saistītas ar bioloģiskajiem produktiem, uz kuriem attiecas šis pielikums, arī diskusijas par jebkādiem tehniskiem vai regulatīviem jautājumiem, kas saistīti ar noteikumiem un kontrole</w:t>
      </w:r>
      <w:r>
        <w:rPr>
          <w:noProof/>
        </w:rPr>
        <w:t>s sistēmām; un</w:t>
      </w:r>
    </w:p>
    <w:p w:rsidR="003E022D" w:rsidRDefault="003E022D">
      <w:pPr>
        <w:tabs>
          <w:tab w:val="left" w:pos="709"/>
          <w:tab w:val="left" w:pos="1276"/>
        </w:tabs>
        <w:spacing w:after="0"/>
        <w:ind w:left="1276" w:hanging="1276"/>
        <w:rPr>
          <w:noProof/>
        </w:rPr>
      </w:pPr>
    </w:p>
    <w:p w:rsidR="003E022D" w:rsidRDefault="007D19D6">
      <w:pPr>
        <w:tabs>
          <w:tab w:val="left" w:pos="709"/>
          <w:tab w:val="left" w:pos="1276"/>
        </w:tabs>
        <w:spacing w:after="0"/>
        <w:ind w:left="1276" w:hanging="1276"/>
        <w:rPr>
          <w:noProof/>
        </w:rPr>
      </w:pPr>
      <w:r>
        <w:rPr>
          <w:noProof/>
        </w:rPr>
        <w:tab/>
        <w:t>c)</w:t>
      </w:r>
      <w:r>
        <w:rPr>
          <w:noProof/>
        </w:rPr>
        <w:tab/>
        <w:t>saskaņā ar šā nolīguma TBT.10. pantu [Tehniskas diskusijas] risināt tehniskas diskusijas par jautājumiem, kas ietilpst šā pielikuma darbības jomā.</w:t>
      </w:r>
    </w:p>
    <w:p w:rsidR="003E022D" w:rsidRDefault="003E022D">
      <w:pPr>
        <w:tabs>
          <w:tab w:val="left" w:pos="709"/>
          <w:tab w:val="left" w:pos="1276"/>
        </w:tabs>
        <w:spacing w:after="0"/>
        <w:ind w:left="1276" w:hanging="1276"/>
        <w:rPr>
          <w:noProof/>
        </w:rPr>
      </w:pPr>
    </w:p>
    <w:p w:rsidR="003E022D" w:rsidRDefault="007D19D6">
      <w:pPr>
        <w:tabs>
          <w:tab w:val="left" w:pos="709"/>
          <w:tab w:val="left" w:pos="1276"/>
        </w:tabs>
        <w:spacing w:after="0"/>
        <w:ind w:left="1276" w:hanging="1276"/>
        <w:rPr>
          <w:noProof/>
        </w:rPr>
      </w:pPr>
      <w:r>
        <w:rPr>
          <w:noProof/>
        </w:rPr>
        <w:tab/>
      </w:r>
    </w:p>
    <w:p w:rsidR="003E022D" w:rsidRDefault="003E022D">
      <w:pPr>
        <w:tabs>
          <w:tab w:val="left" w:pos="709"/>
          <w:tab w:val="left" w:pos="1276"/>
        </w:tabs>
        <w:ind w:left="1276" w:hanging="1276"/>
        <w:rPr>
          <w:noProof/>
        </w:rPr>
      </w:pPr>
    </w:p>
    <w:p w:rsidR="003E022D" w:rsidRDefault="007D19D6">
      <w:pPr>
        <w:rPr>
          <w:noProof/>
        </w:rPr>
      </w:pPr>
      <w:r>
        <w:rPr>
          <w:noProof/>
        </w:rPr>
        <w:br w:type="page"/>
      </w:r>
    </w:p>
    <w:p w:rsidR="003E022D" w:rsidRDefault="007D19D6">
      <w:pPr>
        <w:jc w:val="center"/>
        <w:rPr>
          <w:noProof/>
        </w:rPr>
      </w:pPr>
      <w:r>
        <w:rPr>
          <w:noProof/>
        </w:rPr>
        <w:t>A PAPILDINĀJUMS</w:t>
      </w:r>
    </w:p>
    <w:p w:rsidR="003E022D" w:rsidRDefault="007D19D6">
      <w:pPr>
        <w:rPr>
          <w:noProof/>
        </w:rPr>
      </w:pPr>
      <w:r>
        <w:rPr>
          <w:noProof/>
        </w:rPr>
        <w:t xml:space="preserve">APVIENOTĀS KARALISTES BIOLOĢISKIE PRODUKTI, ATTIECĪBĀ UZ KURIEM SAVIENĪBA ATZĪST LĪDZVĒRTĪBU </w:t>
      </w:r>
    </w:p>
    <w:tbl>
      <w:tblPr>
        <w:tblStyle w:val="TableGrid70"/>
        <w:tblW w:w="0" w:type="auto"/>
        <w:tblLook w:val="04A0" w:firstRow="1" w:lastRow="0" w:firstColumn="1" w:lastColumn="0" w:noHBand="0" w:noVBand="1"/>
      </w:tblPr>
      <w:tblGrid>
        <w:gridCol w:w="4583"/>
        <w:gridCol w:w="4583"/>
      </w:tblGrid>
      <w:tr w:rsidR="003E022D">
        <w:tc>
          <w:tcPr>
            <w:tcW w:w="4583" w:type="dxa"/>
          </w:tcPr>
          <w:p w:rsidR="003E022D" w:rsidRDefault="007D19D6">
            <w:pPr>
              <w:spacing w:after="0"/>
              <w:rPr>
                <w:rFonts w:eastAsia="Calibri" w:cs="Arial"/>
                <w:b/>
                <w:noProof/>
              </w:rPr>
            </w:pPr>
            <w:r>
              <w:rPr>
                <w:b/>
                <w:noProof/>
              </w:rPr>
              <w:t>Apraksts</w:t>
            </w:r>
          </w:p>
        </w:tc>
        <w:tc>
          <w:tcPr>
            <w:tcW w:w="4583" w:type="dxa"/>
          </w:tcPr>
          <w:p w:rsidR="003E022D" w:rsidRDefault="007D19D6">
            <w:pPr>
              <w:spacing w:after="0"/>
              <w:rPr>
                <w:rFonts w:eastAsia="Calibri" w:cs="Arial"/>
                <w:b/>
                <w:noProof/>
              </w:rPr>
            </w:pPr>
            <w:r>
              <w:rPr>
                <w:b/>
                <w:noProof/>
              </w:rPr>
              <w:t>Piezīmes</w:t>
            </w:r>
          </w:p>
        </w:tc>
      </w:tr>
      <w:tr w:rsidR="003E022D">
        <w:tc>
          <w:tcPr>
            <w:tcW w:w="4583" w:type="dxa"/>
          </w:tcPr>
          <w:p w:rsidR="003E022D" w:rsidRDefault="007D19D6">
            <w:pPr>
              <w:spacing w:after="0"/>
              <w:rPr>
                <w:rFonts w:eastAsia="Calibri" w:cs="Arial"/>
                <w:noProof/>
              </w:rPr>
            </w:pPr>
            <w:r>
              <w:rPr>
                <w:noProof/>
              </w:rPr>
              <w:t xml:space="preserve">Nepārstrādāti augu izcelsmes produkti  </w:t>
            </w:r>
          </w:p>
        </w:tc>
        <w:tc>
          <w:tcPr>
            <w:tcW w:w="4583" w:type="dxa"/>
          </w:tcPr>
          <w:p w:rsidR="003E022D" w:rsidRDefault="003E022D">
            <w:pPr>
              <w:spacing w:after="0"/>
              <w:rPr>
                <w:rFonts w:eastAsia="Calibri" w:cs="Arial"/>
                <w:noProof/>
              </w:rPr>
            </w:pPr>
          </w:p>
        </w:tc>
      </w:tr>
      <w:tr w:rsidR="003E022D">
        <w:tc>
          <w:tcPr>
            <w:tcW w:w="4583" w:type="dxa"/>
          </w:tcPr>
          <w:p w:rsidR="003E022D" w:rsidRDefault="007D19D6">
            <w:pPr>
              <w:spacing w:after="0"/>
              <w:rPr>
                <w:rFonts w:eastAsia="Calibri" w:cs="Arial"/>
                <w:noProof/>
              </w:rPr>
            </w:pPr>
            <w:r>
              <w:rPr>
                <w:noProof/>
              </w:rPr>
              <w:t>Dzīvi dzīvnieki vai nepārstrādāti dzīvnieku izcelsmes produkti</w:t>
            </w:r>
          </w:p>
        </w:tc>
        <w:tc>
          <w:tcPr>
            <w:tcW w:w="4583" w:type="dxa"/>
          </w:tcPr>
          <w:p w:rsidR="003E022D" w:rsidRDefault="007D19D6">
            <w:pPr>
              <w:spacing w:after="0"/>
              <w:rPr>
                <w:rFonts w:eastAsia="Calibri" w:cs="Arial"/>
                <w:noProof/>
              </w:rPr>
            </w:pPr>
            <w:r>
              <w:rPr>
                <w:noProof/>
              </w:rPr>
              <w:t xml:space="preserve">Ietver medu </w:t>
            </w:r>
          </w:p>
        </w:tc>
      </w:tr>
      <w:tr w:rsidR="003E022D">
        <w:tc>
          <w:tcPr>
            <w:tcW w:w="4583" w:type="dxa"/>
          </w:tcPr>
          <w:p w:rsidR="003E022D" w:rsidRDefault="007D19D6">
            <w:pPr>
              <w:spacing w:after="0"/>
              <w:rPr>
                <w:rFonts w:eastAsia="Calibri" w:cs="Arial"/>
                <w:noProof/>
              </w:rPr>
            </w:pPr>
            <w:r>
              <w:rPr>
                <w:noProof/>
              </w:rPr>
              <w:t xml:space="preserve">Akvakultūras produkti un jūras aļģes  </w:t>
            </w:r>
          </w:p>
        </w:tc>
        <w:tc>
          <w:tcPr>
            <w:tcW w:w="4583" w:type="dxa"/>
          </w:tcPr>
          <w:p w:rsidR="003E022D" w:rsidRDefault="003E022D">
            <w:pPr>
              <w:spacing w:after="0"/>
              <w:rPr>
                <w:rFonts w:eastAsia="Calibri" w:cs="Arial"/>
                <w:noProof/>
              </w:rPr>
            </w:pPr>
          </w:p>
        </w:tc>
      </w:tr>
      <w:tr w:rsidR="003E022D">
        <w:tc>
          <w:tcPr>
            <w:tcW w:w="4583" w:type="dxa"/>
          </w:tcPr>
          <w:p w:rsidR="003E022D" w:rsidRDefault="007D19D6">
            <w:pPr>
              <w:spacing w:after="0"/>
              <w:rPr>
                <w:rFonts w:eastAsia="Calibri" w:cs="Arial"/>
                <w:noProof/>
              </w:rPr>
            </w:pPr>
            <w:r>
              <w:rPr>
                <w:noProof/>
              </w:rPr>
              <w:t xml:space="preserve">Pārstrādāti lauksaimniecības produkti izmantošanai pārtikā  </w:t>
            </w:r>
          </w:p>
        </w:tc>
        <w:tc>
          <w:tcPr>
            <w:tcW w:w="4583" w:type="dxa"/>
          </w:tcPr>
          <w:p w:rsidR="003E022D" w:rsidRDefault="003E022D">
            <w:pPr>
              <w:spacing w:after="0"/>
              <w:rPr>
                <w:rFonts w:eastAsia="Calibri" w:cs="Arial"/>
                <w:noProof/>
              </w:rPr>
            </w:pPr>
          </w:p>
        </w:tc>
      </w:tr>
      <w:tr w:rsidR="003E022D">
        <w:tc>
          <w:tcPr>
            <w:tcW w:w="4583" w:type="dxa"/>
          </w:tcPr>
          <w:p w:rsidR="003E022D" w:rsidRDefault="007D19D6">
            <w:pPr>
              <w:spacing w:after="0"/>
              <w:rPr>
                <w:rFonts w:eastAsia="Calibri" w:cs="Arial"/>
                <w:noProof/>
              </w:rPr>
            </w:pPr>
            <w:r>
              <w:rPr>
                <w:noProof/>
              </w:rPr>
              <w:t>Pārstrādāti lauksaimniecības produkti izmantošanai barībā</w:t>
            </w:r>
          </w:p>
        </w:tc>
        <w:tc>
          <w:tcPr>
            <w:tcW w:w="4583" w:type="dxa"/>
          </w:tcPr>
          <w:p w:rsidR="003E022D" w:rsidRDefault="003E022D">
            <w:pPr>
              <w:spacing w:after="0"/>
              <w:rPr>
                <w:rFonts w:eastAsia="Calibri" w:cs="Arial"/>
                <w:noProof/>
              </w:rPr>
            </w:pPr>
          </w:p>
        </w:tc>
      </w:tr>
      <w:tr w:rsidR="003E022D">
        <w:tc>
          <w:tcPr>
            <w:tcW w:w="4583" w:type="dxa"/>
          </w:tcPr>
          <w:p w:rsidR="003E022D" w:rsidRDefault="007D19D6">
            <w:pPr>
              <w:spacing w:after="0"/>
              <w:rPr>
                <w:rFonts w:eastAsia="Calibri" w:cs="Arial"/>
                <w:noProof/>
              </w:rPr>
            </w:pPr>
            <w:r>
              <w:rPr>
                <w:noProof/>
              </w:rPr>
              <w:t xml:space="preserve">Sēklas un pavairošanas materiāls  </w:t>
            </w:r>
          </w:p>
        </w:tc>
        <w:tc>
          <w:tcPr>
            <w:tcW w:w="4583" w:type="dxa"/>
          </w:tcPr>
          <w:p w:rsidR="003E022D" w:rsidRDefault="003E022D">
            <w:pPr>
              <w:spacing w:after="0"/>
              <w:rPr>
                <w:rFonts w:eastAsia="Calibri" w:cs="Arial"/>
                <w:noProof/>
              </w:rPr>
            </w:pPr>
          </w:p>
        </w:tc>
      </w:tr>
    </w:tbl>
    <w:p w:rsidR="003E022D" w:rsidRDefault="003E022D">
      <w:pPr>
        <w:rPr>
          <w:noProof/>
        </w:rPr>
      </w:pPr>
    </w:p>
    <w:p w:rsidR="003E022D" w:rsidRDefault="007D19D6">
      <w:pPr>
        <w:rPr>
          <w:noProof/>
        </w:rPr>
      </w:pPr>
      <w:r>
        <w:rPr>
          <w:noProof/>
        </w:rPr>
        <w:t>Šajā papildinājumā uzskaitītie bioloģiskie produkti ir</w:t>
      </w:r>
      <w:r>
        <w:rPr>
          <w:noProof/>
        </w:rPr>
        <w:t xml:space="preserve"> nepārstrādāti lauksaimniecības vai akvakultūras produkti, kas ražoti Apvienotajā Karalistē, vai izmantošanai pārtikā vai barībā paredzēti pārstrādāti lauksaimniecības produkti, kas Apvienotajā Karalistē pārstrādāti ar sastāvdaļām, kuras audzētas Apvienota</w:t>
      </w:r>
      <w:r>
        <w:rPr>
          <w:noProof/>
        </w:rPr>
        <w:t>jā Karalistē vai importētas Apvienotajā Karalistē saskaņā ar Apvienotās Karalistes normatīvajiem aktiem.</w:t>
      </w:r>
    </w:p>
    <w:p w:rsidR="003E022D" w:rsidRDefault="003E022D">
      <w:pPr>
        <w:rPr>
          <w:noProof/>
        </w:rPr>
      </w:pPr>
    </w:p>
    <w:p w:rsidR="003E022D" w:rsidRDefault="007D19D6">
      <w:pPr>
        <w:rPr>
          <w:noProof/>
        </w:rPr>
      </w:pPr>
      <w:r>
        <w:rPr>
          <w:noProof/>
        </w:rPr>
        <w:br w:type="page"/>
      </w:r>
    </w:p>
    <w:p w:rsidR="003E022D" w:rsidRDefault="007D19D6">
      <w:pPr>
        <w:jc w:val="center"/>
        <w:rPr>
          <w:noProof/>
        </w:rPr>
      </w:pPr>
      <w:r>
        <w:rPr>
          <w:noProof/>
        </w:rPr>
        <w:t>B PAPILDINĀJUMS</w:t>
      </w:r>
    </w:p>
    <w:p w:rsidR="003E022D" w:rsidRDefault="007D19D6">
      <w:pPr>
        <w:rPr>
          <w:noProof/>
        </w:rPr>
      </w:pPr>
      <w:r>
        <w:rPr>
          <w:noProof/>
        </w:rPr>
        <w:t xml:space="preserve">SAVIENĪBAS BIOLOĢISKIE PRODUKTI, ATTIECĪBĀ UZ KURIEM APVIENOTĀ KARALISTE ATZĪST LĪDZVĒRTĪBU </w:t>
      </w:r>
    </w:p>
    <w:tbl>
      <w:tblPr>
        <w:tblStyle w:val="TableGrid80"/>
        <w:tblW w:w="0" w:type="auto"/>
        <w:tblLook w:val="04A0" w:firstRow="1" w:lastRow="0" w:firstColumn="1" w:lastColumn="0" w:noHBand="0" w:noVBand="1"/>
      </w:tblPr>
      <w:tblGrid>
        <w:gridCol w:w="4583"/>
        <w:gridCol w:w="4583"/>
      </w:tblGrid>
      <w:tr w:rsidR="003E022D">
        <w:tc>
          <w:tcPr>
            <w:tcW w:w="4583" w:type="dxa"/>
          </w:tcPr>
          <w:p w:rsidR="003E022D" w:rsidRDefault="007D19D6">
            <w:pPr>
              <w:spacing w:after="0"/>
              <w:rPr>
                <w:rFonts w:eastAsia="Calibri" w:cs="Arial"/>
                <w:b/>
                <w:noProof/>
              </w:rPr>
            </w:pPr>
            <w:r>
              <w:rPr>
                <w:b/>
                <w:noProof/>
              </w:rPr>
              <w:t>Apraksts</w:t>
            </w:r>
          </w:p>
        </w:tc>
        <w:tc>
          <w:tcPr>
            <w:tcW w:w="4583" w:type="dxa"/>
          </w:tcPr>
          <w:p w:rsidR="003E022D" w:rsidRDefault="007D19D6">
            <w:pPr>
              <w:spacing w:after="0"/>
              <w:rPr>
                <w:rFonts w:eastAsia="Calibri" w:cs="Arial"/>
                <w:b/>
                <w:noProof/>
              </w:rPr>
            </w:pPr>
            <w:r>
              <w:rPr>
                <w:b/>
                <w:noProof/>
              </w:rPr>
              <w:t>Piezīmes</w:t>
            </w:r>
          </w:p>
        </w:tc>
      </w:tr>
      <w:tr w:rsidR="003E022D">
        <w:tc>
          <w:tcPr>
            <w:tcW w:w="4583" w:type="dxa"/>
          </w:tcPr>
          <w:p w:rsidR="003E022D" w:rsidRDefault="007D19D6">
            <w:pPr>
              <w:spacing w:after="0"/>
              <w:rPr>
                <w:rFonts w:eastAsia="Calibri" w:cs="Arial"/>
                <w:noProof/>
              </w:rPr>
            </w:pPr>
            <w:r>
              <w:rPr>
                <w:noProof/>
              </w:rPr>
              <w:t xml:space="preserve">Nepārstrādāti augu izcelsmes produkti  </w:t>
            </w:r>
          </w:p>
        </w:tc>
        <w:tc>
          <w:tcPr>
            <w:tcW w:w="4583" w:type="dxa"/>
          </w:tcPr>
          <w:p w:rsidR="003E022D" w:rsidRDefault="003E022D">
            <w:pPr>
              <w:spacing w:after="0"/>
              <w:rPr>
                <w:rFonts w:eastAsia="Calibri" w:cs="Arial"/>
                <w:noProof/>
              </w:rPr>
            </w:pPr>
          </w:p>
        </w:tc>
      </w:tr>
      <w:tr w:rsidR="003E022D">
        <w:tc>
          <w:tcPr>
            <w:tcW w:w="4583" w:type="dxa"/>
          </w:tcPr>
          <w:p w:rsidR="003E022D" w:rsidRDefault="007D19D6">
            <w:pPr>
              <w:spacing w:after="0"/>
              <w:rPr>
                <w:rFonts w:eastAsia="Calibri" w:cs="Arial"/>
                <w:noProof/>
              </w:rPr>
            </w:pPr>
            <w:r>
              <w:rPr>
                <w:noProof/>
              </w:rPr>
              <w:t>Dzīvi dzīvnieki vai nepārstrādāti dzīvnieku izcelsmes produkti</w:t>
            </w:r>
          </w:p>
        </w:tc>
        <w:tc>
          <w:tcPr>
            <w:tcW w:w="4583" w:type="dxa"/>
          </w:tcPr>
          <w:p w:rsidR="003E022D" w:rsidRDefault="007D19D6">
            <w:pPr>
              <w:spacing w:after="0"/>
              <w:rPr>
                <w:rFonts w:eastAsia="Calibri" w:cs="Arial"/>
                <w:noProof/>
              </w:rPr>
            </w:pPr>
            <w:r>
              <w:rPr>
                <w:noProof/>
              </w:rPr>
              <w:t xml:space="preserve">Ietver medu </w:t>
            </w:r>
          </w:p>
        </w:tc>
      </w:tr>
      <w:tr w:rsidR="003E022D">
        <w:tc>
          <w:tcPr>
            <w:tcW w:w="4583" w:type="dxa"/>
          </w:tcPr>
          <w:p w:rsidR="003E022D" w:rsidRDefault="007D19D6">
            <w:pPr>
              <w:spacing w:after="0"/>
              <w:rPr>
                <w:rFonts w:eastAsia="Calibri" w:cs="Arial"/>
                <w:noProof/>
              </w:rPr>
            </w:pPr>
            <w:r>
              <w:rPr>
                <w:noProof/>
              </w:rPr>
              <w:t xml:space="preserve">Akvakultūras produkti un jūras aļģes  </w:t>
            </w:r>
          </w:p>
        </w:tc>
        <w:tc>
          <w:tcPr>
            <w:tcW w:w="4583" w:type="dxa"/>
          </w:tcPr>
          <w:p w:rsidR="003E022D" w:rsidRDefault="003E022D">
            <w:pPr>
              <w:spacing w:after="0"/>
              <w:rPr>
                <w:rFonts w:eastAsia="Calibri" w:cs="Arial"/>
                <w:noProof/>
              </w:rPr>
            </w:pPr>
          </w:p>
        </w:tc>
      </w:tr>
      <w:tr w:rsidR="003E022D">
        <w:tc>
          <w:tcPr>
            <w:tcW w:w="4583" w:type="dxa"/>
          </w:tcPr>
          <w:p w:rsidR="003E022D" w:rsidRDefault="007D19D6">
            <w:pPr>
              <w:spacing w:after="0"/>
              <w:rPr>
                <w:rFonts w:eastAsia="Calibri" w:cs="Arial"/>
                <w:noProof/>
              </w:rPr>
            </w:pPr>
            <w:r>
              <w:rPr>
                <w:noProof/>
              </w:rPr>
              <w:t xml:space="preserve">Pārstrādāti lauksaimniecības produkti izmantošanai pārtikā  </w:t>
            </w:r>
          </w:p>
        </w:tc>
        <w:tc>
          <w:tcPr>
            <w:tcW w:w="4583" w:type="dxa"/>
          </w:tcPr>
          <w:p w:rsidR="003E022D" w:rsidRDefault="003E022D">
            <w:pPr>
              <w:spacing w:after="0"/>
              <w:rPr>
                <w:rFonts w:eastAsia="Calibri" w:cs="Arial"/>
                <w:noProof/>
              </w:rPr>
            </w:pPr>
          </w:p>
        </w:tc>
      </w:tr>
      <w:tr w:rsidR="003E022D">
        <w:tc>
          <w:tcPr>
            <w:tcW w:w="4583" w:type="dxa"/>
          </w:tcPr>
          <w:p w:rsidR="003E022D" w:rsidRDefault="007D19D6">
            <w:pPr>
              <w:spacing w:after="0"/>
              <w:rPr>
                <w:rFonts w:eastAsia="Calibri" w:cs="Arial"/>
                <w:noProof/>
              </w:rPr>
            </w:pPr>
            <w:r>
              <w:rPr>
                <w:noProof/>
              </w:rPr>
              <w:t>Pārstrādāti lauksaimniecības prod</w:t>
            </w:r>
            <w:r>
              <w:rPr>
                <w:noProof/>
              </w:rPr>
              <w:t>ukti izmantošanai barībā</w:t>
            </w:r>
          </w:p>
        </w:tc>
        <w:tc>
          <w:tcPr>
            <w:tcW w:w="4583" w:type="dxa"/>
          </w:tcPr>
          <w:p w:rsidR="003E022D" w:rsidRDefault="003E022D">
            <w:pPr>
              <w:spacing w:after="0"/>
              <w:rPr>
                <w:rFonts w:eastAsia="Calibri" w:cs="Arial"/>
                <w:noProof/>
              </w:rPr>
            </w:pPr>
          </w:p>
        </w:tc>
      </w:tr>
      <w:tr w:rsidR="003E022D">
        <w:tc>
          <w:tcPr>
            <w:tcW w:w="4583" w:type="dxa"/>
          </w:tcPr>
          <w:p w:rsidR="003E022D" w:rsidRDefault="007D19D6">
            <w:pPr>
              <w:spacing w:after="0"/>
              <w:rPr>
                <w:rFonts w:eastAsia="Calibri" w:cs="Arial"/>
                <w:noProof/>
              </w:rPr>
            </w:pPr>
            <w:r>
              <w:rPr>
                <w:noProof/>
              </w:rPr>
              <w:t xml:space="preserve">Sēklas un pavairošanas materiāls  </w:t>
            </w:r>
          </w:p>
        </w:tc>
        <w:tc>
          <w:tcPr>
            <w:tcW w:w="4583" w:type="dxa"/>
          </w:tcPr>
          <w:p w:rsidR="003E022D" w:rsidRDefault="003E022D">
            <w:pPr>
              <w:spacing w:after="0"/>
              <w:rPr>
                <w:rFonts w:eastAsia="Calibri" w:cs="Arial"/>
                <w:noProof/>
              </w:rPr>
            </w:pPr>
          </w:p>
        </w:tc>
      </w:tr>
    </w:tbl>
    <w:p w:rsidR="003E022D" w:rsidRDefault="003E022D">
      <w:pPr>
        <w:rPr>
          <w:noProof/>
        </w:rPr>
      </w:pPr>
    </w:p>
    <w:p w:rsidR="003E022D" w:rsidRDefault="007D19D6">
      <w:pPr>
        <w:rPr>
          <w:noProof/>
        </w:rPr>
      </w:pPr>
      <w:r>
        <w:rPr>
          <w:noProof/>
        </w:rPr>
        <w:t xml:space="preserve">Šajā papildinājumā uzskaitītie bioloģiskie produkti ir nepārstrādāti lauksaimniecības vai akvakultūras produkti, kas ražoti Savienībā, vai izmantošanai pārtikā vai barībā paredzēti </w:t>
      </w:r>
      <w:r>
        <w:rPr>
          <w:noProof/>
        </w:rPr>
        <w:t>pārstrādāti lauksaimniecības produkti, kas Savienībā pārstrādāti ar sastāvdaļām, kuras audzētas Savienībā vai importētas Savienībā saskaņā ar Savienības normatīvajiem aktiem.</w:t>
      </w:r>
    </w:p>
    <w:p w:rsidR="003E022D" w:rsidRDefault="007D19D6">
      <w:pPr>
        <w:rPr>
          <w:noProof/>
        </w:rPr>
      </w:pPr>
      <w:r>
        <w:rPr>
          <w:noProof/>
        </w:rPr>
        <w:br w:type="page"/>
      </w:r>
    </w:p>
    <w:p w:rsidR="003E022D" w:rsidRDefault="007D19D6">
      <w:pPr>
        <w:jc w:val="center"/>
        <w:rPr>
          <w:noProof/>
        </w:rPr>
      </w:pPr>
      <w:r>
        <w:rPr>
          <w:noProof/>
        </w:rPr>
        <w:t>C PAPILDINĀJUMS</w:t>
      </w:r>
    </w:p>
    <w:p w:rsidR="003E022D" w:rsidRDefault="007D19D6">
      <w:pPr>
        <w:rPr>
          <w:noProof/>
        </w:rPr>
      </w:pPr>
      <w:r>
        <w:rPr>
          <w:noProof/>
        </w:rPr>
        <w:t xml:space="preserve">APVIENOTAJĀ KARALISTĒ PIEMĒROJAMIE NORMATĪVIE AKTI PAR </w:t>
      </w:r>
      <w:r>
        <w:rPr>
          <w:noProof/>
        </w:rPr>
        <w:t>BIOLOĢISKIEM PRODUKTIEM</w:t>
      </w:r>
      <w:r>
        <w:rPr>
          <w:rStyle w:val="FootnoteReference"/>
          <w:noProof/>
        </w:rPr>
        <w:footnoteReference w:id="97"/>
      </w:r>
    </w:p>
    <w:p w:rsidR="003E022D" w:rsidRDefault="007D19D6">
      <w:pPr>
        <w:rPr>
          <w:noProof/>
        </w:rPr>
      </w:pPr>
      <w:r>
        <w:rPr>
          <w:noProof/>
        </w:rPr>
        <w:t xml:space="preserve">Apvienotajā Karalistē ir piemērojami šādi normatīvie akti: </w:t>
      </w:r>
    </w:p>
    <w:p w:rsidR="003E022D" w:rsidRDefault="007D19D6">
      <w:pPr>
        <w:pStyle w:val="ListParagraph"/>
        <w:numPr>
          <w:ilvl w:val="0"/>
          <w:numId w:val="1252"/>
        </w:numPr>
        <w:spacing w:after="160" w:line="259" w:lineRule="auto"/>
        <w:ind w:left="426" w:hanging="426"/>
        <w:rPr>
          <w:noProof/>
        </w:rPr>
      </w:pPr>
      <w:r>
        <w:rPr>
          <w:noProof/>
        </w:rPr>
        <w:t xml:space="preserve">Saglabātā REGULA (EK) Nr. 834/2007 </w:t>
      </w:r>
    </w:p>
    <w:p w:rsidR="003E022D" w:rsidRDefault="007D19D6">
      <w:pPr>
        <w:pStyle w:val="ListParagraph"/>
        <w:numPr>
          <w:ilvl w:val="0"/>
          <w:numId w:val="1252"/>
        </w:numPr>
        <w:spacing w:after="160" w:line="259" w:lineRule="auto"/>
        <w:ind w:left="426" w:hanging="426"/>
        <w:rPr>
          <w:noProof/>
        </w:rPr>
      </w:pPr>
      <w:r>
        <w:rPr>
          <w:noProof/>
        </w:rPr>
        <w:t xml:space="preserve">Saglabātā REGULA (EK) Nr. 889/2008 </w:t>
      </w:r>
    </w:p>
    <w:p w:rsidR="003E022D" w:rsidRDefault="007D19D6">
      <w:pPr>
        <w:pStyle w:val="ListParagraph"/>
        <w:numPr>
          <w:ilvl w:val="0"/>
          <w:numId w:val="1252"/>
        </w:numPr>
        <w:spacing w:after="160" w:line="259" w:lineRule="auto"/>
        <w:ind w:left="426" w:hanging="426"/>
        <w:rPr>
          <w:noProof/>
        </w:rPr>
      </w:pPr>
      <w:r>
        <w:rPr>
          <w:noProof/>
        </w:rPr>
        <w:t xml:space="preserve">Saglabātā REGULA (EK) Nr. 1235/2008 </w:t>
      </w:r>
    </w:p>
    <w:p w:rsidR="003E022D" w:rsidRDefault="007D19D6">
      <w:pPr>
        <w:pStyle w:val="ListParagraph"/>
        <w:numPr>
          <w:ilvl w:val="0"/>
          <w:numId w:val="1252"/>
        </w:numPr>
        <w:spacing w:after="160" w:line="259" w:lineRule="auto"/>
        <w:ind w:left="426" w:hanging="426"/>
        <w:rPr>
          <w:noProof/>
        </w:rPr>
      </w:pPr>
      <w:r>
        <w:rPr>
          <w:noProof/>
        </w:rPr>
        <w:t xml:space="preserve">Bioloģisko produktu regulas (2009) </w:t>
      </w:r>
    </w:p>
    <w:p w:rsidR="003E022D" w:rsidRDefault="003E022D">
      <w:pPr>
        <w:rPr>
          <w:noProof/>
        </w:rPr>
      </w:pPr>
    </w:p>
    <w:p w:rsidR="003E022D" w:rsidRDefault="007D19D6">
      <w:pPr>
        <w:rPr>
          <w:noProof/>
        </w:rPr>
      </w:pPr>
      <w:r>
        <w:rPr>
          <w:noProof/>
        </w:rPr>
        <w:br w:type="page"/>
      </w:r>
    </w:p>
    <w:p w:rsidR="003E022D" w:rsidRDefault="007D19D6">
      <w:pPr>
        <w:jc w:val="center"/>
        <w:rPr>
          <w:noProof/>
        </w:rPr>
      </w:pPr>
      <w:r>
        <w:rPr>
          <w:noProof/>
        </w:rPr>
        <w:t>D PAPILDINĀJUMS</w:t>
      </w:r>
    </w:p>
    <w:p w:rsidR="003E022D" w:rsidRDefault="007D19D6">
      <w:pPr>
        <w:rPr>
          <w:noProof/>
        </w:rPr>
      </w:pPr>
      <w:r>
        <w:rPr>
          <w:noProof/>
        </w:rPr>
        <w:t>SAVIENĪ</w:t>
      </w:r>
      <w:r>
        <w:rPr>
          <w:noProof/>
        </w:rPr>
        <w:t xml:space="preserve">BĀ PIEMĒROJAMIE NORMATĪVIE AKTI PAR BIOLOĢISKIEM PRODUKTIEM  </w:t>
      </w:r>
    </w:p>
    <w:p w:rsidR="003E022D" w:rsidRDefault="007D19D6">
      <w:pPr>
        <w:rPr>
          <w:noProof/>
        </w:rPr>
      </w:pPr>
      <w:r>
        <w:rPr>
          <w:noProof/>
        </w:rPr>
        <w:t xml:space="preserve">Savienībā ir piemērojami šādi normatīvie akti: </w:t>
      </w:r>
    </w:p>
    <w:p w:rsidR="003E022D" w:rsidRDefault="007D19D6">
      <w:pPr>
        <w:pStyle w:val="ListParagraph"/>
        <w:numPr>
          <w:ilvl w:val="0"/>
          <w:numId w:val="1251"/>
        </w:numPr>
        <w:spacing w:after="160" w:line="259" w:lineRule="auto"/>
        <w:ind w:left="426" w:hanging="426"/>
        <w:rPr>
          <w:noProof/>
        </w:rPr>
      </w:pPr>
      <w:r>
        <w:rPr>
          <w:noProof/>
        </w:rPr>
        <w:t>Padomes Regula (EK) Nr. 834/2007 (2007. gada 28. jūnijs) par bioloģisko ražošanu un bioloģisko produktu marķēšanu un par Regulas (EEK) Nr. 2092/91</w:t>
      </w:r>
      <w:r>
        <w:rPr>
          <w:noProof/>
        </w:rPr>
        <w:t xml:space="preserve"> atcelšanu</w:t>
      </w:r>
      <w:r>
        <w:rPr>
          <w:rStyle w:val="FootnoteReference"/>
          <w:noProof/>
        </w:rPr>
        <w:footnoteReference w:id="98"/>
      </w:r>
    </w:p>
    <w:p w:rsidR="003E022D" w:rsidRDefault="007D19D6">
      <w:pPr>
        <w:pStyle w:val="ListParagraph"/>
        <w:numPr>
          <w:ilvl w:val="0"/>
          <w:numId w:val="1251"/>
        </w:numPr>
        <w:spacing w:after="160" w:line="259" w:lineRule="auto"/>
        <w:ind w:left="426" w:hanging="426"/>
        <w:rPr>
          <w:noProof/>
        </w:rPr>
      </w:pPr>
      <w:r>
        <w:rPr>
          <w:noProof/>
        </w:rPr>
        <w:t>Komisijas Regula (EK) Nr. 889/2008 (2008. gada 5. septembris), ar ko paredz sīki izstrādātus bioloģiskās ražošanas, marķēšanas un kontroles noteikumus, lai īstenotu Padomes Regulu (EK) Nr. 834/2007 par bioloģisko ražošanu un bioloģisko produktu</w:t>
      </w:r>
      <w:r>
        <w:rPr>
          <w:noProof/>
        </w:rPr>
        <w:t xml:space="preserve"> marķēšanu</w:t>
      </w:r>
      <w:r>
        <w:rPr>
          <w:rStyle w:val="FootnoteReference"/>
          <w:noProof/>
        </w:rPr>
        <w:footnoteReference w:id="99"/>
      </w:r>
    </w:p>
    <w:p w:rsidR="003E022D" w:rsidRDefault="007D19D6">
      <w:pPr>
        <w:pStyle w:val="ListParagraph"/>
        <w:numPr>
          <w:ilvl w:val="0"/>
          <w:numId w:val="1251"/>
        </w:numPr>
        <w:spacing w:after="160" w:line="259" w:lineRule="auto"/>
        <w:ind w:left="426" w:hanging="426"/>
        <w:rPr>
          <w:noProof/>
        </w:rPr>
      </w:pPr>
      <w:r>
        <w:rPr>
          <w:noProof/>
        </w:rPr>
        <w:t>Komisijas Regula (EK) Nr. 1235/2008 (2008. gada 8. decembris), ar ko nosaka sīki izstrādātus īstenošanas noteikumus Padomes Regulai (EK) Nr. 834/2007 par bioloģisko produktu importēšanas kārtību no trešām valstīm</w:t>
      </w:r>
      <w:r>
        <w:rPr>
          <w:rStyle w:val="FootnoteReference"/>
          <w:noProof/>
        </w:rPr>
        <w:footnoteReference w:id="100"/>
      </w:r>
    </w:p>
    <w:p w:rsidR="003E022D" w:rsidRDefault="007D19D6">
      <w:pPr>
        <w:spacing w:after="160" w:line="259" w:lineRule="auto"/>
        <w:jc w:val="left"/>
        <w:rPr>
          <w:noProof/>
        </w:rPr>
      </w:pPr>
      <w:r>
        <w:rPr>
          <w:noProof/>
        </w:rPr>
        <w:br w:type="page"/>
      </w:r>
    </w:p>
    <w:p w:rsidR="003E022D" w:rsidRDefault="007D19D6">
      <w:pPr>
        <w:pStyle w:val="ANNEX"/>
        <w:rPr>
          <w:noProof/>
        </w:rPr>
      </w:pPr>
      <w:bookmarkStart w:id="966" w:name="_Toc59988397"/>
      <w:r>
        <w:rPr>
          <w:noProof/>
        </w:rPr>
        <w:t>TBT-5. PIELIKUMS. VĪNA TIRDZ</w:t>
      </w:r>
      <w:r>
        <w:rPr>
          <w:noProof/>
        </w:rPr>
        <w:t>NIECĪBA</w:t>
      </w:r>
      <w:bookmarkEnd w:id="966"/>
    </w:p>
    <w:p w:rsidR="003E022D" w:rsidRDefault="007D19D6">
      <w:pPr>
        <w:autoSpaceDE w:val="0"/>
        <w:autoSpaceDN w:val="0"/>
        <w:spacing w:after="0"/>
        <w:ind w:left="340" w:hanging="357"/>
        <w:jc w:val="center"/>
        <w:rPr>
          <w:rFonts w:eastAsia="Cambria" w:cstheme="minorHAnsi"/>
          <w:iCs/>
          <w:noProof/>
        </w:rPr>
      </w:pPr>
      <w:r>
        <w:rPr>
          <w:noProof/>
        </w:rPr>
        <w:t>1. pants. Darbības joma un definīcijas</w:t>
      </w:r>
    </w:p>
    <w:p w:rsidR="003E022D" w:rsidRDefault="003E022D">
      <w:pPr>
        <w:autoSpaceDE w:val="0"/>
        <w:autoSpaceDN w:val="0"/>
        <w:spacing w:after="0"/>
        <w:ind w:left="340" w:hanging="357"/>
        <w:jc w:val="center"/>
        <w:rPr>
          <w:rFonts w:eastAsia="Cambria" w:cstheme="minorHAnsi"/>
          <w:iCs/>
          <w:noProof/>
        </w:rPr>
      </w:pPr>
    </w:p>
    <w:p w:rsidR="003E022D" w:rsidRDefault="007D19D6">
      <w:pPr>
        <w:pStyle w:val="ListParagraph"/>
        <w:numPr>
          <w:ilvl w:val="0"/>
          <w:numId w:val="1261"/>
        </w:numPr>
        <w:autoSpaceDE w:val="0"/>
        <w:autoSpaceDN w:val="0"/>
        <w:spacing w:after="0"/>
        <w:ind w:left="0" w:firstLine="0"/>
        <w:contextualSpacing w:val="0"/>
        <w:rPr>
          <w:rFonts w:eastAsia="Cambria" w:cstheme="minorHAnsi"/>
          <w:iCs/>
          <w:noProof/>
        </w:rPr>
      </w:pPr>
      <w:r>
        <w:rPr>
          <w:noProof/>
        </w:rPr>
        <w:t>Šis pielikums attiecas uz vīnu, kas ietilpst harmonizētās sistēmas 22.04. pozīcijā.</w:t>
      </w:r>
    </w:p>
    <w:p w:rsidR="003E022D" w:rsidRDefault="003E022D">
      <w:pPr>
        <w:pStyle w:val="ListParagraph"/>
        <w:autoSpaceDE w:val="0"/>
        <w:autoSpaceDN w:val="0"/>
        <w:spacing w:after="0"/>
        <w:ind w:left="0"/>
        <w:contextualSpacing w:val="0"/>
        <w:rPr>
          <w:rFonts w:eastAsia="Cambria" w:cstheme="minorHAnsi"/>
          <w:iCs/>
          <w:noProof/>
        </w:rPr>
      </w:pPr>
    </w:p>
    <w:p w:rsidR="003E022D" w:rsidRDefault="007D19D6">
      <w:pPr>
        <w:pStyle w:val="ListParagraph"/>
        <w:numPr>
          <w:ilvl w:val="0"/>
          <w:numId w:val="1261"/>
        </w:numPr>
        <w:autoSpaceDE w:val="0"/>
        <w:autoSpaceDN w:val="0"/>
        <w:spacing w:after="0"/>
        <w:ind w:left="0" w:firstLine="0"/>
        <w:rPr>
          <w:rFonts w:eastAsia="Cambria" w:cstheme="minorHAnsi"/>
          <w:iCs/>
          <w:noProof/>
        </w:rPr>
      </w:pPr>
      <w:r>
        <w:rPr>
          <w:noProof/>
        </w:rPr>
        <w:t xml:space="preserve">Šajā pielikumā “vīns, kas ražots” ir svaigas vīnogas, vīnogu misa un rūgstoša vīnogu misa, no kuras izgatavots vīns vai </w:t>
      </w:r>
      <w:r>
        <w:rPr>
          <w:noProof/>
        </w:rPr>
        <w:t>kura pievienota vīnam eksportētājas Puses teritorijā.</w:t>
      </w:r>
    </w:p>
    <w:p w:rsidR="003E022D" w:rsidRDefault="003E022D">
      <w:pPr>
        <w:autoSpaceDE w:val="0"/>
        <w:autoSpaceDN w:val="0"/>
        <w:spacing w:after="0"/>
        <w:contextualSpacing/>
        <w:rPr>
          <w:rFonts w:eastAsia="Cambria" w:cstheme="minorHAnsi"/>
          <w:iCs/>
          <w:noProof/>
        </w:rPr>
      </w:pPr>
    </w:p>
    <w:p w:rsidR="003E022D" w:rsidRDefault="007D19D6">
      <w:pPr>
        <w:autoSpaceDE w:val="0"/>
        <w:autoSpaceDN w:val="0"/>
        <w:spacing w:after="0"/>
        <w:ind w:left="340" w:hanging="357"/>
        <w:contextualSpacing/>
        <w:jc w:val="center"/>
        <w:rPr>
          <w:rFonts w:eastAsia="Cambria" w:cstheme="minorHAnsi"/>
          <w:iCs/>
          <w:noProof/>
        </w:rPr>
      </w:pPr>
      <w:r>
        <w:rPr>
          <w:noProof/>
        </w:rPr>
        <w:t>2. pants. Produktu definīcijas, vīndarības metodes un procesi</w:t>
      </w:r>
    </w:p>
    <w:p w:rsidR="003E022D" w:rsidRDefault="003E022D">
      <w:pPr>
        <w:autoSpaceDE w:val="0"/>
        <w:autoSpaceDN w:val="0"/>
        <w:spacing w:after="0"/>
        <w:ind w:left="340" w:hanging="357"/>
        <w:contextualSpacing/>
        <w:jc w:val="center"/>
        <w:rPr>
          <w:rFonts w:eastAsia="Cambria" w:cstheme="minorHAnsi"/>
          <w:iCs/>
          <w:noProof/>
        </w:rPr>
      </w:pPr>
    </w:p>
    <w:p w:rsidR="003E022D" w:rsidRDefault="007D19D6">
      <w:pPr>
        <w:numPr>
          <w:ilvl w:val="0"/>
          <w:numId w:val="1253"/>
        </w:numPr>
        <w:autoSpaceDE w:val="0"/>
        <w:autoSpaceDN w:val="0"/>
        <w:spacing w:after="0"/>
        <w:ind w:left="0" w:firstLine="0"/>
        <w:rPr>
          <w:rFonts w:eastAsia="Cambria" w:cstheme="minorHAnsi"/>
          <w:iCs/>
          <w:noProof/>
        </w:rPr>
      </w:pPr>
      <w:r>
        <w:rPr>
          <w:noProof/>
        </w:rPr>
        <w:t>Par šā pielikuma nolūkā relevantiem starptautiskiem standartiem uzskata vīndarības metodes, ko ieteikusi un publicējusi Starptautiskā vīnk</w:t>
      </w:r>
      <w:r>
        <w:rPr>
          <w:noProof/>
        </w:rPr>
        <w:t>opības un vīna organizācija (</w:t>
      </w:r>
      <w:r>
        <w:rPr>
          <w:i/>
          <w:iCs/>
          <w:noProof/>
        </w:rPr>
        <w:t>OIV</w:t>
      </w:r>
      <w:r>
        <w:rPr>
          <w:noProof/>
        </w:rPr>
        <w:t>).</w:t>
      </w:r>
    </w:p>
    <w:p w:rsidR="003E022D" w:rsidRDefault="003E022D">
      <w:pPr>
        <w:autoSpaceDE w:val="0"/>
        <w:autoSpaceDN w:val="0"/>
        <w:spacing w:after="0"/>
        <w:rPr>
          <w:rFonts w:eastAsia="Cambria" w:cstheme="minorHAnsi"/>
          <w:iCs/>
          <w:noProof/>
        </w:rPr>
      </w:pPr>
    </w:p>
    <w:p w:rsidR="003E022D" w:rsidRDefault="007D19D6">
      <w:pPr>
        <w:numPr>
          <w:ilvl w:val="0"/>
          <w:numId w:val="1253"/>
        </w:numPr>
        <w:autoSpaceDE w:val="0"/>
        <w:autoSpaceDN w:val="0"/>
        <w:spacing w:after="120"/>
        <w:ind w:left="0" w:firstLine="0"/>
        <w:rPr>
          <w:rFonts w:eastAsia="Cambria" w:cstheme="minorHAnsi"/>
          <w:iCs/>
          <w:noProof/>
        </w:rPr>
      </w:pPr>
      <w:r>
        <w:rPr>
          <w:noProof/>
        </w:rPr>
        <w:t xml:space="preserve">Katra Puse atļauj importēt un pārdot patēriņam vīnu, kas ražots otrā Pusē, ja attiecīgais vīns ir ražots saskaņā ar:  </w:t>
      </w:r>
    </w:p>
    <w:p w:rsidR="003E022D" w:rsidRDefault="007D19D6">
      <w:pPr>
        <w:numPr>
          <w:ilvl w:val="1"/>
          <w:numId w:val="1259"/>
        </w:numPr>
        <w:autoSpaceDE w:val="0"/>
        <w:autoSpaceDN w:val="0"/>
        <w:spacing w:after="120"/>
        <w:rPr>
          <w:rFonts w:eastAsia="Cambria" w:cstheme="minorHAnsi"/>
          <w:iCs/>
          <w:noProof/>
        </w:rPr>
      </w:pPr>
      <w:r>
        <w:rPr>
          <w:noProof/>
        </w:rPr>
        <w:t>produktu definīcijām, kas katrā Pusē atļautas saskaņā ar A papildinājumā minētajiem normatīvajiem akt</w:t>
      </w:r>
      <w:r>
        <w:rPr>
          <w:noProof/>
        </w:rPr>
        <w:t xml:space="preserve">iem; </w:t>
      </w:r>
    </w:p>
    <w:p w:rsidR="003E022D" w:rsidRDefault="007D19D6">
      <w:pPr>
        <w:numPr>
          <w:ilvl w:val="1"/>
          <w:numId w:val="1259"/>
        </w:numPr>
        <w:autoSpaceDE w:val="0"/>
        <w:autoSpaceDN w:val="0"/>
        <w:spacing w:after="120"/>
        <w:rPr>
          <w:rFonts w:eastAsia="Cambria" w:cstheme="minorHAnsi"/>
          <w:iCs/>
          <w:noProof/>
        </w:rPr>
      </w:pPr>
      <w:r>
        <w:rPr>
          <w:noProof/>
        </w:rPr>
        <w:t xml:space="preserve">vīndarības metodēm, kas katrā Pusē noteiktas saskaņā ar A papildinājumā minētajiem normatīvajiem aktiem un atbilst attiecīgajiem </w:t>
      </w:r>
      <w:r>
        <w:rPr>
          <w:i/>
          <w:iCs/>
          <w:noProof/>
        </w:rPr>
        <w:t>OIV</w:t>
      </w:r>
      <w:r>
        <w:rPr>
          <w:noProof/>
        </w:rPr>
        <w:t xml:space="preserve"> standartiem; un </w:t>
      </w:r>
    </w:p>
    <w:p w:rsidR="003E022D" w:rsidRDefault="007D19D6">
      <w:pPr>
        <w:numPr>
          <w:ilvl w:val="1"/>
          <w:numId w:val="1259"/>
        </w:numPr>
        <w:autoSpaceDE w:val="0"/>
        <w:autoSpaceDN w:val="0"/>
        <w:spacing w:after="0"/>
        <w:rPr>
          <w:rFonts w:eastAsia="Cambria" w:cstheme="minorHAnsi"/>
          <w:iCs/>
          <w:noProof/>
        </w:rPr>
      </w:pPr>
      <w:r>
        <w:rPr>
          <w:noProof/>
        </w:rPr>
        <w:t xml:space="preserve"> katrā Pusē noteiktajām vīndarības metodēm un ierobežojumiem, kas attiecīgajiem </w:t>
      </w:r>
      <w:r>
        <w:rPr>
          <w:i/>
          <w:iCs/>
          <w:noProof/>
        </w:rPr>
        <w:t>OIV</w:t>
      </w:r>
      <w:r>
        <w:rPr>
          <w:noProof/>
        </w:rPr>
        <w:t xml:space="preserve"> standartiem neatbilst un ir uzskaitīti B papildinājumā. </w:t>
      </w:r>
    </w:p>
    <w:p w:rsidR="003E022D" w:rsidRDefault="003E022D">
      <w:pPr>
        <w:autoSpaceDE w:val="0"/>
        <w:autoSpaceDN w:val="0"/>
        <w:spacing w:after="0"/>
        <w:ind w:left="1080"/>
        <w:rPr>
          <w:rFonts w:eastAsia="Cambria" w:cstheme="minorHAnsi"/>
          <w:iCs/>
          <w:noProof/>
        </w:rPr>
      </w:pPr>
    </w:p>
    <w:p w:rsidR="003E022D" w:rsidRDefault="007D19D6">
      <w:pPr>
        <w:numPr>
          <w:ilvl w:val="0"/>
          <w:numId w:val="1253"/>
        </w:numPr>
        <w:autoSpaceDE w:val="0"/>
        <w:autoSpaceDN w:val="0"/>
        <w:spacing w:after="0"/>
        <w:ind w:left="0" w:firstLine="0"/>
        <w:rPr>
          <w:rFonts w:eastAsia="Cambria" w:cstheme="minorHAnsi"/>
          <w:i/>
          <w:iCs/>
          <w:noProof/>
        </w:rPr>
      </w:pPr>
      <w:r>
        <w:rPr>
          <w:noProof/>
        </w:rPr>
        <w:t xml:space="preserve">Partnerības padome ir pilnvarota grozīt 2. punktā minētos papildinājumus. </w:t>
      </w:r>
    </w:p>
    <w:p w:rsidR="003E022D" w:rsidRDefault="003E022D">
      <w:pPr>
        <w:autoSpaceDE w:val="0"/>
        <w:autoSpaceDN w:val="0"/>
        <w:spacing w:after="0"/>
        <w:ind w:left="340" w:hanging="357"/>
        <w:jc w:val="center"/>
        <w:rPr>
          <w:rFonts w:eastAsia="Cambria" w:cstheme="minorHAnsi"/>
          <w:iCs/>
          <w:noProof/>
        </w:rPr>
      </w:pPr>
    </w:p>
    <w:p w:rsidR="003E022D" w:rsidRDefault="007D19D6">
      <w:pPr>
        <w:autoSpaceDE w:val="0"/>
        <w:autoSpaceDN w:val="0"/>
        <w:spacing w:after="0"/>
        <w:ind w:left="340" w:hanging="357"/>
        <w:jc w:val="center"/>
        <w:rPr>
          <w:rFonts w:eastAsia="Cambria" w:cstheme="minorHAnsi"/>
          <w:iCs/>
          <w:noProof/>
        </w:rPr>
      </w:pPr>
      <w:r>
        <w:rPr>
          <w:noProof/>
        </w:rPr>
        <w:t>3. pants. Sertifikācijas prasības, kas piemērojamas importam Pušu attiecīgajās teritorijās</w:t>
      </w:r>
    </w:p>
    <w:p w:rsidR="003E022D" w:rsidRDefault="003E022D">
      <w:pPr>
        <w:autoSpaceDE w:val="0"/>
        <w:autoSpaceDN w:val="0"/>
        <w:spacing w:after="0"/>
        <w:ind w:left="340" w:hanging="357"/>
        <w:contextualSpacing/>
        <w:jc w:val="center"/>
        <w:rPr>
          <w:rFonts w:eastAsia="Cambria" w:cstheme="minorHAnsi"/>
          <w:iCs/>
          <w:noProof/>
        </w:rPr>
      </w:pPr>
    </w:p>
    <w:p w:rsidR="003E022D" w:rsidRDefault="007D19D6">
      <w:pPr>
        <w:numPr>
          <w:ilvl w:val="0"/>
          <w:numId w:val="1262"/>
        </w:numPr>
        <w:autoSpaceDE w:val="0"/>
        <w:autoSpaceDN w:val="0"/>
        <w:spacing w:after="0"/>
        <w:ind w:left="0" w:firstLine="0"/>
        <w:rPr>
          <w:rFonts w:eastAsia="Cambria" w:cstheme="minorHAnsi"/>
          <w:iCs/>
          <w:noProof/>
        </w:rPr>
      </w:pPr>
      <w:r>
        <w:rPr>
          <w:noProof/>
        </w:rPr>
        <w:t xml:space="preserve">Vīnam, kas ražots vienā Pusē </w:t>
      </w:r>
      <w:r>
        <w:rPr>
          <w:noProof/>
        </w:rPr>
        <w:t xml:space="preserve">un tiek laists tirgū otrā Pusē, dokumentācija un sertifikācija, ko drīkst prasīt ikviena Puse, ir tikai C papildinājumā noteiktais sertifikāts, kura autentiskums apstiprināts saskaņā ar eksportētājas Puses normatīvajiem aktiem. </w:t>
      </w:r>
    </w:p>
    <w:p w:rsidR="003E022D" w:rsidRDefault="003E022D">
      <w:pPr>
        <w:autoSpaceDE w:val="0"/>
        <w:autoSpaceDN w:val="0"/>
        <w:spacing w:after="0"/>
        <w:rPr>
          <w:rFonts w:eastAsia="Cambria" w:cstheme="minorHAnsi"/>
          <w:iCs/>
          <w:noProof/>
        </w:rPr>
      </w:pPr>
    </w:p>
    <w:p w:rsidR="003E022D" w:rsidRDefault="007D19D6">
      <w:pPr>
        <w:numPr>
          <w:ilvl w:val="0"/>
          <w:numId w:val="1262"/>
        </w:numPr>
        <w:autoSpaceDE w:val="0"/>
        <w:autoSpaceDN w:val="0"/>
        <w:spacing w:after="0"/>
        <w:ind w:left="0" w:firstLine="0"/>
        <w:rPr>
          <w:rFonts w:eastAsia="Times New Roman" w:cstheme="minorHAnsi"/>
          <w:noProof/>
        </w:rPr>
      </w:pPr>
      <w:r>
        <w:rPr>
          <w:noProof/>
        </w:rPr>
        <w:t>Sertifikāts, kas prasīts s</w:t>
      </w:r>
      <w:r>
        <w:rPr>
          <w:noProof/>
        </w:rPr>
        <w:t>askaņā ar 1. punktu, var būt elektroniska dokumenta veidā. Katra Puse pēc tās otras Puses kompetento iestāžu pieprasījuma, kurā preces paredzēts laist brīvā apgrozībā, nodrošina piekļuvi elektroniskajam dokumentam vai datiem, kas vajadzīgi tā izveidošanai.</w:t>
      </w:r>
      <w:r>
        <w:rPr>
          <w:noProof/>
        </w:rPr>
        <w:t xml:space="preserve"> Ja piekļuve attiecīgajām elektroniskajām sistēmām nav pieejama, vajadzīgos datus var pieprasīt arī papīra formā. </w:t>
      </w:r>
    </w:p>
    <w:p w:rsidR="003E022D" w:rsidRDefault="007D19D6">
      <w:pPr>
        <w:autoSpaceDE w:val="0"/>
        <w:autoSpaceDN w:val="0"/>
        <w:spacing w:after="0"/>
        <w:rPr>
          <w:rFonts w:eastAsia="Times New Roman" w:cstheme="minorHAnsi"/>
          <w:noProof/>
        </w:rPr>
      </w:pPr>
      <w:r>
        <w:rPr>
          <w:noProof/>
        </w:rPr>
        <w:t xml:space="preserve"> </w:t>
      </w:r>
    </w:p>
    <w:p w:rsidR="003E022D" w:rsidRDefault="007D19D6">
      <w:pPr>
        <w:numPr>
          <w:ilvl w:val="0"/>
          <w:numId w:val="1262"/>
        </w:numPr>
        <w:autoSpaceDE w:val="0"/>
        <w:autoSpaceDN w:val="0"/>
        <w:spacing w:after="0"/>
        <w:ind w:left="357" w:hanging="357"/>
        <w:rPr>
          <w:rFonts w:eastAsia="Cambria" w:cstheme="minorHAnsi"/>
          <w:iCs/>
          <w:noProof/>
        </w:rPr>
      </w:pPr>
      <w:r>
        <w:rPr>
          <w:noProof/>
        </w:rPr>
        <w:t>Partnerības padome ir pilnvarota grozīt C papildinājumu.</w:t>
      </w:r>
    </w:p>
    <w:p w:rsidR="003E022D" w:rsidRDefault="003E022D">
      <w:pPr>
        <w:autoSpaceDE w:val="0"/>
        <w:autoSpaceDN w:val="0"/>
        <w:spacing w:after="0"/>
        <w:ind w:left="357"/>
        <w:rPr>
          <w:rFonts w:eastAsia="Cambria" w:cstheme="minorHAnsi"/>
          <w:iCs/>
          <w:noProof/>
        </w:rPr>
      </w:pPr>
    </w:p>
    <w:p w:rsidR="003E022D" w:rsidRDefault="007D19D6">
      <w:pPr>
        <w:numPr>
          <w:ilvl w:val="0"/>
          <w:numId w:val="1262"/>
        </w:numPr>
        <w:autoSpaceDE w:val="0"/>
        <w:autoSpaceDN w:val="0"/>
        <w:spacing w:after="0"/>
        <w:ind w:left="0" w:firstLine="0"/>
        <w:rPr>
          <w:rFonts w:eastAsia="Cambria" w:cstheme="minorHAnsi"/>
          <w:iCs/>
          <w:noProof/>
        </w:rPr>
      </w:pPr>
      <w:r>
        <w:rPr>
          <w:noProof/>
        </w:rPr>
        <w:t>References metodes, ar kurām nosaka vīna analītisko sastāvu kontroles darbību kon</w:t>
      </w:r>
      <w:r>
        <w:rPr>
          <w:noProof/>
        </w:rPr>
        <w:t xml:space="preserve">tekstā, ir analīzes metodes, ko par references metodēm atzinusi un publicējusi </w:t>
      </w:r>
      <w:r>
        <w:rPr>
          <w:i/>
          <w:iCs/>
          <w:noProof/>
        </w:rPr>
        <w:t>OIV</w:t>
      </w:r>
      <w:r>
        <w:rPr>
          <w:noProof/>
        </w:rPr>
        <w:t>.</w:t>
      </w:r>
    </w:p>
    <w:p w:rsidR="003E022D" w:rsidRDefault="003E022D">
      <w:pPr>
        <w:autoSpaceDE w:val="0"/>
        <w:autoSpaceDN w:val="0"/>
        <w:spacing w:after="0"/>
        <w:ind w:left="340" w:hanging="357"/>
        <w:jc w:val="center"/>
        <w:rPr>
          <w:rFonts w:eastAsia="Cambria" w:cstheme="minorHAnsi"/>
          <w:iCs/>
          <w:noProof/>
        </w:rPr>
      </w:pPr>
    </w:p>
    <w:p w:rsidR="003E022D" w:rsidRDefault="007D19D6">
      <w:pPr>
        <w:rPr>
          <w:rFonts w:eastAsia="Cambria" w:cstheme="minorHAnsi"/>
          <w:iCs/>
          <w:noProof/>
        </w:rPr>
      </w:pPr>
      <w:r>
        <w:rPr>
          <w:noProof/>
        </w:rPr>
        <w:br w:type="page"/>
      </w:r>
    </w:p>
    <w:p w:rsidR="003E022D" w:rsidRDefault="007D19D6">
      <w:pPr>
        <w:autoSpaceDE w:val="0"/>
        <w:autoSpaceDN w:val="0"/>
        <w:spacing w:after="0"/>
        <w:ind w:left="340" w:hanging="357"/>
        <w:jc w:val="center"/>
        <w:rPr>
          <w:rFonts w:eastAsia="Cambria" w:cstheme="minorHAnsi"/>
          <w:b/>
          <w:iCs/>
          <w:noProof/>
        </w:rPr>
      </w:pPr>
      <w:r>
        <w:rPr>
          <w:noProof/>
        </w:rPr>
        <w:t>4. pants. Informācija par pārtikas produktu un partiju kodi</w:t>
      </w:r>
      <w:r>
        <w:rPr>
          <w:b/>
          <w:iCs/>
          <w:noProof/>
        </w:rPr>
        <w:t xml:space="preserve"> </w:t>
      </w:r>
    </w:p>
    <w:p w:rsidR="003E022D" w:rsidRDefault="003E022D">
      <w:pPr>
        <w:autoSpaceDE w:val="0"/>
        <w:autoSpaceDN w:val="0"/>
        <w:spacing w:after="0"/>
        <w:ind w:left="340" w:hanging="357"/>
        <w:jc w:val="center"/>
        <w:rPr>
          <w:rFonts w:eastAsia="Cambria" w:cstheme="minorHAnsi"/>
          <w:b/>
          <w:iCs/>
          <w:noProof/>
        </w:rPr>
      </w:pPr>
    </w:p>
    <w:p w:rsidR="003E022D" w:rsidRDefault="007D19D6">
      <w:pPr>
        <w:numPr>
          <w:ilvl w:val="0"/>
          <w:numId w:val="1263"/>
        </w:numPr>
        <w:autoSpaceDE w:val="0"/>
        <w:autoSpaceDN w:val="0"/>
        <w:spacing w:after="0"/>
        <w:ind w:left="0" w:firstLine="0"/>
        <w:rPr>
          <w:rFonts w:cstheme="minorHAnsi"/>
          <w:bCs/>
          <w:noProof/>
        </w:rPr>
      </w:pPr>
      <w:bookmarkStart w:id="967" w:name="_Hlk57832476"/>
      <w:r>
        <w:rPr>
          <w:noProof/>
        </w:rPr>
        <w:t xml:space="preserve">Ja vien šajā pantā nav noteikts citādi, saskaņā ar šo nolīgumu importētā un tirgotā vīna marķēšanu veic, </w:t>
      </w:r>
      <w:r>
        <w:rPr>
          <w:noProof/>
        </w:rPr>
        <w:t>ievērojot importētājas Puses teritorijā piemērojamos normatīvos aktus.</w:t>
      </w:r>
    </w:p>
    <w:p w:rsidR="003E022D" w:rsidRDefault="003E022D">
      <w:pPr>
        <w:autoSpaceDE w:val="0"/>
        <w:autoSpaceDN w:val="0"/>
        <w:spacing w:after="0"/>
        <w:rPr>
          <w:rFonts w:cstheme="minorHAnsi"/>
          <w:bCs/>
          <w:noProof/>
        </w:rPr>
      </w:pPr>
    </w:p>
    <w:bookmarkEnd w:id="967"/>
    <w:p w:rsidR="003E022D" w:rsidRDefault="007D19D6">
      <w:pPr>
        <w:numPr>
          <w:ilvl w:val="0"/>
          <w:numId w:val="1263"/>
        </w:numPr>
        <w:tabs>
          <w:tab w:val="left" w:pos="709"/>
        </w:tabs>
        <w:autoSpaceDE w:val="0"/>
        <w:autoSpaceDN w:val="0"/>
        <w:spacing w:after="120"/>
        <w:ind w:left="0" w:firstLine="0"/>
        <w:rPr>
          <w:rFonts w:cstheme="minorHAnsi"/>
          <w:bCs/>
          <w:noProof/>
        </w:rPr>
      </w:pPr>
      <w:r>
        <w:rPr>
          <w:noProof/>
        </w:rPr>
        <w:tab/>
        <w:t>Puse nepieprasa, lai uz vīna trauka, etiķetes vai iepakojuma būtu norādīti šādi datumi vai to ekvivalenti:</w:t>
      </w:r>
    </w:p>
    <w:p w:rsidR="003E022D" w:rsidRDefault="007D19D6">
      <w:pPr>
        <w:numPr>
          <w:ilvl w:val="1"/>
          <w:numId w:val="1260"/>
        </w:numPr>
        <w:spacing w:after="120"/>
        <w:ind w:hanging="731"/>
        <w:rPr>
          <w:rFonts w:eastAsia="Times New Roman" w:cstheme="minorHAnsi"/>
          <w:noProof/>
        </w:rPr>
      </w:pPr>
      <w:r>
        <w:rPr>
          <w:noProof/>
        </w:rPr>
        <w:t>iepakošanas datums,</w:t>
      </w:r>
    </w:p>
    <w:p w:rsidR="003E022D" w:rsidRDefault="007D19D6">
      <w:pPr>
        <w:numPr>
          <w:ilvl w:val="1"/>
          <w:numId w:val="1260"/>
        </w:numPr>
        <w:spacing w:after="120"/>
        <w:ind w:hanging="731"/>
        <w:rPr>
          <w:rFonts w:eastAsia="Times New Roman" w:cstheme="minorHAnsi"/>
          <w:noProof/>
        </w:rPr>
      </w:pPr>
      <w:r>
        <w:rPr>
          <w:noProof/>
        </w:rPr>
        <w:t>pudeļu pildīšanas datums,</w:t>
      </w:r>
    </w:p>
    <w:p w:rsidR="003E022D" w:rsidRDefault="007D19D6">
      <w:pPr>
        <w:numPr>
          <w:ilvl w:val="1"/>
          <w:numId w:val="1260"/>
        </w:numPr>
        <w:spacing w:after="120"/>
        <w:ind w:hanging="731"/>
        <w:rPr>
          <w:rFonts w:eastAsia="Times New Roman" w:cstheme="minorHAnsi"/>
          <w:noProof/>
        </w:rPr>
      </w:pPr>
      <w:r>
        <w:rPr>
          <w:noProof/>
        </w:rPr>
        <w:t>ražošanas vai izgatavošanas da</w:t>
      </w:r>
      <w:r>
        <w:rPr>
          <w:noProof/>
        </w:rPr>
        <w:t>tums,</w:t>
      </w:r>
    </w:p>
    <w:p w:rsidR="003E022D" w:rsidRDefault="007D19D6">
      <w:pPr>
        <w:numPr>
          <w:ilvl w:val="1"/>
          <w:numId w:val="1260"/>
        </w:numPr>
        <w:spacing w:after="120"/>
        <w:ind w:hanging="731"/>
        <w:rPr>
          <w:rFonts w:eastAsia="Times New Roman" w:cstheme="minorHAnsi"/>
          <w:noProof/>
        </w:rPr>
      </w:pPr>
      <w:r>
        <w:rPr>
          <w:noProof/>
        </w:rPr>
        <w:t>derīguma termiņš, “izlietot līdz” datums, “izlietot vai patērēt līdz” datums, “derīgs līdz” datums,</w:t>
      </w:r>
    </w:p>
    <w:p w:rsidR="003E022D" w:rsidRDefault="007D19D6">
      <w:pPr>
        <w:numPr>
          <w:ilvl w:val="1"/>
          <w:numId w:val="1260"/>
        </w:numPr>
        <w:spacing w:after="120"/>
        <w:ind w:hanging="731"/>
        <w:rPr>
          <w:rFonts w:eastAsia="Times New Roman" w:cstheme="minorHAnsi"/>
          <w:noProof/>
        </w:rPr>
      </w:pPr>
      <w:r>
        <w:rPr>
          <w:noProof/>
        </w:rPr>
        <w:t>minimālais derīguma termiņš, “ieteicams līdz” datums, “vislabākā kvalitāte līdz” datums, vai</w:t>
      </w:r>
    </w:p>
    <w:p w:rsidR="003E022D" w:rsidRDefault="007D19D6">
      <w:pPr>
        <w:numPr>
          <w:ilvl w:val="1"/>
          <w:numId w:val="1260"/>
        </w:numPr>
        <w:spacing w:after="0"/>
        <w:ind w:hanging="731"/>
        <w:rPr>
          <w:rFonts w:eastAsia="Times New Roman" w:cstheme="minorHAnsi"/>
          <w:noProof/>
        </w:rPr>
      </w:pPr>
      <w:r>
        <w:rPr>
          <w:noProof/>
        </w:rPr>
        <w:t>pārdošanas termiņš.</w:t>
      </w:r>
    </w:p>
    <w:p w:rsidR="003E022D" w:rsidRDefault="003E022D">
      <w:pPr>
        <w:spacing w:after="0"/>
        <w:ind w:left="1440"/>
        <w:rPr>
          <w:rFonts w:eastAsia="Times New Roman" w:cstheme="minorHAnsi"/>
          <w:noProof/>
          <w:lang w:eastAsia="en-GB"/>
        </w:rPr>
      </w:pPr>
    </w:p>
    <w:p w:rsidR="003E022D" w:rsidRDefault="007D19D6">
      <w:pPr>
        <w:spacing w:after="0"/>
        <w:rPr>
          <w:rFonts w:eastAsia="Times New Roman" w:cstheme="minorHAnsi"/>
          <w:noProof/>
        </w:rPr>
      </w:pPr>
      <w:r>
        <w:rPr>
          <w:noProof/>
        </w:rPr>
        <w:t>Atkāpjoties no pirmās daļas e) apakš</w:t>
      </w:r>
      <w:r>
        <w:rPr>
          <w:noProof/>
        </w:rPr>
        <w:t>punkta, Puse var pieprasīt norādīt minimālo derīguma termiņu produktiem, kuriem ātrbojīgu sastāvdaļu pievienošanas dēļ minimālais derīguma termiņš varētu būt īsāks, nekā parasti sagaida patērētājs.</w:t>
      </w:r>
    </w:p>
    <w:p w:rsidR="003E022D" w:rsidRDefault="003E022D">
      <w:pPr>
        <w:spacing w:after="0"/>
        <w:rPr>
          <w:rFonts w:eastAsia="Times New Roman" w:cstheme="minorHAnsi"/>
          <w:noProof/>
          <w:lang w:eastAsia="en-GB"/>
        </w:rPr>
      </w:pPr>
    </w:p>
    <w:p w:rsidR="003E022D" w:rsidRDefault="007D19D6">
      <w:pPr>
        <w:numPr>
          <w:ilvl w:val="0"/>
          <w:numId w:val="1263"/>
        </w:numPr>
        <w:autoSpaceDE w:val="0"/>
        <w:autoSpaceDN w:val="0"/>
        <w:spacing w:after="0"/>
        <w:ind w:left="0" w:firstLine="0"/>
        <w:rPr>
          <w:rFonts w:cstheme="minorHAnsi"/>
          <w:bCs/>
          <w:noProof/>
        </w:rPr>
      </w:pPr>
      <w:r>
        <w:rPr>
          <w:noProof/>
        </w:rPr>
        <w:t>Katra Puse nodrošina, ka uz iepakoto produktu etiķetes sa</w:t>
      </w:r>
      <w:r>
        <w:rPr>
          <w:noProof/>
        </w:rPr>
        <w:t>skaņā ar tās Puses tiesību aktiem, kura iepakoto produktu eksportē, ir norādīts kods, kas ļauj identificēt partiju, pie kuras produkts pieder. Partijas kods ir viegli saskatāms, skaidri salasāms un neizdzēšams. Puse neatļauj tirgot iepakotus produktus, kas</w:t>
      </w:r>
      <w:r>
        <w:rPr>
          <w:noProof/>
        </w:rPr>
        <w:t xml:space="preserve"> neatbilst šajā punktā izklāstītajām prasībām. </w:t>
      </w:r>
    </w:p>
    <w:p w:rsidR="003E022D" w:rsidRDefault="003E022D">
      <w:pPr>
        <w:autoSpaceDE w:val="0"/>
        <w:autoSpaceDN w:val="0"/>
        <w:spacing w:after="0"/>
        <w:rPr>
          <w:rFonts w:cstheme="minorHAnsi"/>
          <w:bCs/>
          <w:noProof/>
        </w:rPr>
      </w:pPr>
    </w:p>
    <w:p w:rsidR="003E022D" w:rsidRDefault="007D19D6">
      <w:pPr>
        <w:numPr>
          <w:ilvl w:val="0"/>
          <w:numId w:val="1263"/>
        </w:numPr>
        <w:autoSpaceDE w:val="0"/>
        <w:autoSpaceDN w:val="0"/>
        <w:spacing w:after="0"/>
        <w:ind w:left="0" w:firstLine="0"/>
        <w:rPr>
          <w:rFonts w:cstheme="minorHAnsi"/>
          <w:bCs/>
          <w:noProof/>
        </w:rPr>
      </w:pPr>
      <w:r>
        <w:rPr>
          <w:noProof/>
        </w:rPr>
        <w:t>Katra Puse atļauj obligāto informāciju, tostarp tulkojumus vai norādi par standarta dzērienu vai spirta vienību skaitu, pēc vajadzības norādīt uz papildu etiķetes, kas piestiprināta vīna traukam. Papildu etiķetes vīna traukam drīkst piestiprināt pēc import</w:t>
      </w:r>
      <w:r>
        <w:rPr>
          <w:noProof/>
        </w:rPr>
        <w:t xml:space="preserve">ēšanas, bet pirms produkta laišanas tirgū Puses teritorijā, ar noteikumu, ka obligātā informācija ir attēlota pilnīgi un pareizi. </w:t>
      </w:r>
    </w:p>
    <w:p w:rsidR="003E022D" w:rsidRDefault="003E022D">
      <w:pPr>
        <w:autoSpaceDE w:val="0"/>
        <w:autoSpaceDN w:val="0"/>
        <w:spacing w:after="0"/>
        <w:rPr>
          <w:rFonts w:cstheme="minorHAnsi"/>
          <w:bCs/>
          <w:noProof/>
        </w:rPr>
      </w:pPr>
    </w:p>
    <w:p w:rsidR="003E022D" w:rsidRDefault="007D19D6">
      <w:pPr>
        <w:numPr>
          <w:ilvl w:val="0"/>
          <w:numId w:val="1263"/>
        </w:numPr>
        <w:autoSpaceDE w:val="0"/>
        <w:autoSpaceDN w:val="0"/>
        <w:spacing w:after="0"/>
        <w:ind w:left="0" w:firstLine="0"/>
        <w:rPr>
          <w:rFonts w:eastAsia="Times New Roman" w:cstheme="minorHAnsi"/>
          <w:i/>
          <w:noProof/>
        </w:rPr>
      </w:pPr>
      <w:r>
        <w:rPr>
          <w:noProof/>
        </w:rPr>
        <w:t>Importētāja Puse nepieprasa uz etiķetes norādīt alergēnus, kas izmantoti vīna ražošanā, bet nav galaproduktā.</w:t>
      </w:r>
    </w:p>
    <w:p w:rsidR="003E022D" w:rsidRDefault="003E022D">
      <w:pPr>
        <w:autoSpaceDE w:val="0"/>
        <w:autoSpaceDN w:val="0"/>
        <w:spacing w:after="0"/>
        <w:ind w:left="340" w:hanging="357"/>
        <w:jc w:val="center"/>
        <w:rPr>
          <w:rFonts w:cstheme="minorHAnsi"/>
          <w:noProof/>
        </w:rPr>
      </w:pPr>
    </w:p>
    <w:p w:rsidR="003E022D" w:rsidRDefault="007D19D6">
      <w:pPr>
        <w:autoSpaceDE w:val="0"/>
        <w:autoSpaceDN w:val="0"/>
        <w:spacing w:after="0"/>
        <w:ind w:left="340" w:hanging="357"/>
        <w:jc w:val="center"/>
        <w:rPr>
          <w:rFonts w:eastAsia="Cambria" w:cstheme="minorHAnsi"/>
          <w:iCs/>
          <w:noProof/>
        </w:rPr>
      </w:pPr>
      <w:r>
        <w:rPr>
          <w:noProof/>
        </w:rPr>
        <w:t>5. pants. Pār</w:t>
      </w:r>
      <w:r>
        <w:rPr>
          <w:noProof/>
        </w:rPr>
        <w:t>ejas pasākumi</w:t>
      </w:r>
    </w:p>
    <w:p w:rsidR="003E022D" w:rsidRDefault="003E022D">
      <w:pPr>
        <w:autoSpaceDE w:val="0"/>
        <w:autoSpaceDN w:val="0"/>
        <w:spacing w:after="0"/>
        <w:ind w:left="340" w:hanging="357"/>
        <w:jc w:val="center"/>
        <w:rPr>
          <w:rFonts w:eastAsia="Cambria" w:cstheme="minorHAnsi"/>
          <w:iCs/>
          <w:noProof/>
        </w:rPr>
      </w:pPr>
    </w:p>
    <w:p w:rsidR="003E022D" w:rsidRDefault="007D19D6">
      <w:pPr>
        <w:autoSpaceDE w:val="0"/>
        <w:autoSpaceDN w:val="0"/>
        <w:spacing w:after="120"/>
        <w:rPr>
          <w:rFonts w:cstheme="minorHAnsi"/>
          <w:bCs/>
          <w:noProof/>
        </w:rPr>
      </w:pPr>
      <w:r>
        <w:rPr>
          <w:noProof/>
        </w:rPr>
        <w:t>Vīnu, kas šā nolīguma spēkā stāšanās dienā ir ražots, aprakstīts un marķēts saskaņā ar Puses normatīvajiem aktiem, taču šim pielikumam neatbilstošā veidā, arī turpmāk drīkst marķēt un laist tirgū:</w:t>
      </w:r>
    </w:p>
    <w:p w:rsidR="003E022D" w:rsidRDefault="007D19D6">
      <w:pPr>
        <w:autoSpaceDE w:val="0"/>
        <w:autoSpaceDN w:val="0"/>
        <w:spacing w:after="120"/>
        <w:ind w:left="709" w:hanging="352"/>
        <w:rPr>
          <w:rFonts w:cstheme="minorHAnsi"/>
          <w:bCs/>
          <w:noProof/>
        </w:rPr>
      </w:pPr>
      <w:r>
        <w:rPr>
          <w:noProof/>
        </w:rPr>
        <w:t>a)</w:t>
      </w:r>
      <w:r>
        <w:rPr>
          <w:noProof/>
        </w:rPr>
        <w:tab/>
        <w:t>vairumtirgotāji vai ražotāji – divus gadu</w:t>
      </w:r>
      <w:r>
        <w:rPr>
          <w:noProof/>
        </w:rPr>
        <w:t>s pēc šā nolīguma stāšanās spēkā, un</w:t>
      </w:r>
    </w:p>
    <w:p w:rsidR="003E022D" w:rsidRDefault="007D19D6">
      <w:pPr>
        <w:autoSpaceDE w:val="0"/>
        <w:autoSpaceDN w:val="0"/>
        <w:spacing w:after="0"/>
        <w:ind w:left="360"/>
        <w:rPr>
          <w:rFonts w:cstheme="minorHAnsi"/>
          <w:bCs/>
          <w:noProof/>
        </w:rPr>
      </w:pPr>
      <w:r>
        <w:rPr>
          <w:noProof/>
        </w:rPr>
        <w:t>b)</w:t>
      </w:r>
      <w:r>
        <w:rPr>
          <w:noProof/>
        </w:rPr>
        <w:tab/>
        <w:t>mazumtirgotāji – līdz beigušies krājumi.</w:t>
      </w:r>
    </w:p>
    <w:p w:rsidR="003E022D" w:rsidRDefault="003E022D">
      <w:pPr>
        <w:autoSpaceDE w:val="0"/>
        <w:autoSpaceDN w:val="0"/>
        <w:spacing w:after="0"/>
        <w:ind w:left="357"/>
        <w:rPr>
          <w:rFonts w:cstheme="minorHAnsi"/>
          <w:bCs/>
          <w:noProof/>
        </w:rPr>
      </w:pPr>
    </w:p>
    <w:p w:rsidR="003E022D" w:rsidRDefault="007D19D6">
      <w:pPr>
        <w:spacing w:after="0"/>
        <w:jc w:val="center"/>
        <w:rPr>
          <w:rFonts w:cstheme="minorHAnsi"/>
          <w:noProof/>
        </w:rPr>
      </w:pPr>
      <w:r>
        <w:rPr>
          <w:noProof/>
        </w:rPr>
        <w:t>6. pants. Informācijas apmaiņa</w:t>
      </w:r>
    </w:p>
    <w:p w:rsidR="003E022D" w:rsidRDefault="003E022D">
      <w:pPr>
        <w:spacing w:after="0"/>
        <w:jc w:val="center"/>
        <w:rPr>
          <w:rFonts w:cstheme="minorHAnsi"/>
          <w:b/>
          <w:noProof/>
        </w:rPr>
      </w:pPr>
    </w:p>
    <w:p w:rsidR="003E022D" w:rsidRDefault="007D19D6">
      <w:pPr>
        <w:spacing w:after="0"/>
        <w:rPr>
          <w:rFonts w:cstheme="minorHAnsi"/>
          <w:noProof/>
        </w:rPr>
      </w:pPr>
      <w:r>
        <w:rPr>
          <w:noProof/>
        </w:rPr>
        <w:t>Puses sadarbojas un ar informāciju par visiem jautājumiem, kas ir šā pielikuma īstenošanai relevanti, apmainās Tirdzniecības specializētajā ko</w:t>
      </w:r>
      <w:r>
        <w:rPr>
          <w:noProof/>
        </w:rPr>
        <w:t>mitejā par tehniskajiem šķēršļiem tirdzniecībai.</w:t>
      </w:r>
    </w:p>
    <w:p w:rsidR="003E022D" w:rsidRDefault="003E022D">
      <w:pPr>
        <w:rPr>
          <w:rFonts w:cstheme="minorHAnsi"/>
          <w:noProof/>
        </w:rPr>
      </w:pPr>
    </w:p>
    <w:p w:rsidR="003E022D" w:rsidRDefault="007D19D6">
      <w:pPr>
        <w:spacing w:after="0"/>
        <w:jc w:val="center"/>
        <w:rPr>
          <w:rFonts w:cstheme="minorHAnsi"/>
          <w:noProof/>
        </w:rPr>
      </w:pPr>
      <w:r>
        <w:rPr>
          <w:noProof/>
        </w:rPr>
        <w:t>7. pants. Pārskatīšana</w:t>
      </w:r>
    </w:p>
    <w:p w:rsidR="003E022D" w:rsidRDefault="003E022D">
      <w:pPr>
        <w:spacing w:after="0"/>
        <w:jc w:val="center"/>
        <w:rPr>
          <w:rFonts w:cstheme="minorHAnsi"/>
          <w:b/>
          <w:noProof/>
        </w:rPr>
      </w:pPr>
    </w:p>
    <w:p w:rsidR="003E022D" w:rsidRDefault="007D19D6">
      <w:pPr>
        <w:rPr>
          <w:rFonts w:cstheme="minorHAnsi"/>
          <w:bCs/>
          <w:noProof/>
        </w:rPr>
      </w:pPr>
      <w:r>
        <w:rPr>
          <w:noProof/>
        </w:rPr>
        <w:t>Ne vēlāk kā trīs gadus pēc šā nolīguma stāšanās spēkā Puses apsver tālākus pasākumus, kā veicināt vīna tirdzniecību starp Pusēm.</w:t>
      </w:r>
    </w:p>
    <w:p w:rsidR="003E022D" w:rsidRDefault="003E022D">
      <w:pPr>
        <w:jc w:val="center"/>
        <w:rPr>
          <w:rFonts w:cstheme="minorHAnsi"/>
          <w:noProof/>
        </w:rPr>
      </w:pPr>
    </w:p>
    <w:p w:rsidR="003E022D" w:rsidRDefault="007D19D6">
      <w:pPr>
        <w:spacing w:after="0"/>
        <w:rPr>
          <w:rFonts w:eastAsia="Calibri" w:cstheme="minorHAnsi"/>
          <w:bCs/>
          <w:noProof/>
        </w:rPr>
      </w:pPr>
      <w:r>
        <w:rPr>
          <w:noProof/>
        </w:rPr>
        <w:br w:type="page"/>
        <w:t>A PAPILDINĀJUMS. PUŠU NORMATĪVIE AKTI</w:t>
      </w:r>
    </w:p>
    <w:p w:rsidR="003E022D" w:rsidRDefault="003E022D">
      <w:pPr>
        <w:spacing w:after="0"/>
        <w:rPr>
          <w:rFonts w:eastAsia="Calibri" w:cstheme="minorHAnsi"/>
          <w:bCs/>
          <w:noProof/>
        </w:rPr>
      </w:pPr>
    </w:p>
    <w:p w:rsidR="003E022D" w:rsidRDefault="007D19D6">
      <w:pPr>
        <w:spacing w:after="0"/>
        <w:rPr>
          <w:rFonts w:eastAsia="Calibri" w:cstheme="minorHAnsi"/>
          <w:b/>
          <w:bCs/>
          <w:i/>
          <w:noProof/>
        </w:rPr>
      </w:pPr>
      <w:r>
        <w:rPr>
          <w:b/>
          <w:i/>
          <w:noProof/>
        </w:rPr>
        <w:t xml:space="preserve">Apvienotās Karalistes </w:t>
      </w:r>
      <w:r>
        <w:rPr>
          <w:b/>
          <w:bCs/>
          <w:i/>
          <w:noProof/>
        </w:rPr>
        <w:t>normatīvie akti</w:t>
      </w:r>
      <w:r>
        <w:rPr>
          <w:rStyle w:val="FootnoteReference"/>
          <w:rFonts w:eastAsia="Calibri" w:cstheme="minorHAnsi"/>
          <w:b/>
          <w:bCs/>
          <w:noProof/>
        </w:rPr>
        <w:footnoteReference w:id="101"/>
      </w:r>
    </w:p>
    <w:p w:rsidR="003E022D" w:rsidRDefault="003E022D">
      <w:pPr>
        <w:spacing w:after="0"/>
        <w:rPr>
          <w:rFonts w:eastAsia="Calibri" w:cstheme="minorHAnsi"/>
          <w:b/>
          <w:bCs/>
          <w:i/>
          <w:noProof/>
        </w:rPr>
      </w:pPr>
    </w:p>
    <w:p w:rsidR="003E022D" w:rsidRDefault="007D19D6">
      <w:pPr>
        <w:spacing w:after="0"/>
        <w:rPr>
          <w:rFonts w:eastAsia="Calibri" w:cstheme="minorHAnsi"/>
          <w:noProof/>
          <w:u w:val="single"/>
        </w:rPr>
      </w:pPr>
      <w:r>
        <w:rPr>
          <w:noProof/>
          <w:u w:val="single"/>
        </w:rPr>
        <w:t>Normatīvie akti, kas minēti 2. panta 2. punktā un attiecas uz:</w:t>
      </w:r>
    </w:p>
    <w:p w:rsidR="003E022D" w:rsidRDefault="003E022D">
      <w:pPr>
        <w:spacing w:after="0"/>
        <w:rPr>
          <w:rFonts w:eastAsia="Calibri" w:cstheme="minorHAnsi"/>
          <w:noProof/>
          <w:u w:val="single"/>
        </w:rPr>
      </w:pPr>
    </w:p>
    <w:p w:rsidR="003E022D" w:rsidRDefault="007D19D6">
      <w:pPr>
        <w:numPr>
          <w:ilvl w:val="0"/>
          <w:numId w:val="1254"/>
        </w:numPr>
        <w:autoSpaceDE w:val="0"/>
        <w:autoSpaceDN w:val="0"/>
        <w:spacing w:after="120"/>
        <w:ind w:left="714" w:hanging="357"/>
        <w:rPr>
          <w:rFonts w:eastAsia="Cambria" w:cstheme="minorHAnsi"/>
          <w:iCs/>
          <w:noProof/>
        </w:rPr>
      </w:pPr>
      <w:r>
        <w:rPr>
          <w:noProof/>
        </w:rPr>
        <w:t xml:space="preserve">produktu definīcijām: </w:t>
      </w:r>
    </w:p>
    <w:p w:rsidR="003E022D" w:rsidRDefault="007D19D6">
      <w:pPr>
        <w:numPr>
          <w:ilvl w:val="1"/>
          <w:numId w:val="1264"/>
        </w:numPr>
        <w:autoSpaceDE w:val="0"/>
        <w:autoSpaceDN w:val="0"/>
        <w:spacing w:after="120"/>
        <w:rPr>
          <w:rFonts w:eastAsia="Cambria" w:cstheme="minorHAnsi"/>
          <w:iCs/>
          <w:noProof/>
        </w:rPr>
      </w:pPr>
      <w:r>
        <w:rPr>
          <w:noProof/>
        </w:rPr>
        <w:t xml:space="preserve">saglabātā Regula (ES) Nr. 1308/2013, jo īpaši ražošanas noteikumi vīna nozarē, saskaņā ar minētās regulas 75., 81. un 91. pantu, </w:t>
      </w:r>
      <w:r>
        <w:rPr>
          <w:noProof/>
        </w:rPr>
        <w:t>II pielikuma IV daļu un VII pielikuma II daļu un tās īstenošanas noteikumiem, ieskaitot turpmākus grozījumus,</w:t>
      </w:r>
    </w:p>
    <w:p w:rsidR="003E022D" w:rsidRDefault="007D19D6">
      <w:pPr>
        <w:numPr>
          <w:ilvl w:val="1"/>
          <w:numId w:val="1264"/>
        </w:numPr>
        <w:autoSpaceDE w:val="0"/>
        <w:autoSpaceDN w:val="0"/>
        <w:spacing w:after="120"/>
        <w:rPr>
          <w:rFonts w:eastAsia="Cambria" w:cstheme="minorHAnsi"/>
          <w:iCs/>
          <w:noProof/>
        </w:rPr>
      </w:pPr>
      <w:r>
        <w:rPr>
          <w:noProof/>
        </w:rPr>
        <w:t>saglabātā Komisijas Deleģētā regula (ES) 2019/33 un jo īpaši minētās regulas 47., 52.–54. pants un III, V un VI pielikums, ieskaitot turpmākus gro</w:t>
      </w:r>
      <w:r>
        <w:rPr>
          <w:noProof/>
        </w:rPr>
        <w:t>zījumus,</w:t>
      </w:r>
    </w:p>
    <w:p w:rsidR="003E022D" w:rsidRDefault="007D19D6">
      <w:pPr>
        <w:numPr>
          <w:ilvl w:val="1"/>
          <w:numId w:val="1264"/>
        </w:numPr>
        <w:autoSpaceDE w:val="0"/>
        <w:autoSpaceDN w:val="0"/>
        <w:spacing w:after="120"/>
        <w:rPr>
          <w:rFonts w:eastAsia="Cambria" w:cstheme="minorHAnsi"/>
          <w:iCs/>
          <w:noProof/>
        </w:rPr>
      </w:pPr>
      <w:r>
        <w:rPr>
          <w:noProof/>
        </w:rPr>
        <w:t>saglabātā Regula (ES) Nr. 1169/2011 un tās īstenošanas noteikumi, ieskaitot turpmākus grozījumus;</w:t>
      </w:r>
    </w:p>
    <w:p w:rsidR="003E022D" w:rsidRDefault="007D19D6">
      <w:pPr>
        <w:numPr>
          <w:ilvl w:val="0"/>
          <w:numId w:val="1254"/>
        </w:numPr>
        <w:autoSpaceDE w:val="0"/>
        <w:autoSpaceDN w:val="0"/>
        <w:spacing w:after="120"/>
        <w:ind w:hanging="357"/>
        <w:rPr>
          <w:rFonts w:eastAsia="Cambria" w:cstheme="minorHAnsi"/>
          <w:iCs/>
          <w:noProof/>
        </w:rPr>
      </w:pPr>
      <w:r>
        <w:rPr>
          <w:noProof/>
        </w:rPr>
        <w:t xml:space="preserve">vīndarības metodēm un ierobežojumiem: </w:t>
      </w:r>
    </w:p>
    <w:p w:rsidR="003E022D" w:rsidRDefault="007D19D6">
      <w:pPr>
        <w:numPr>
          <w:ilvl w:val="1"/>
          <w:numId w:val="1265"/>
        </w:numPr>
        <w:autoSpaceDE w:val="0"/>
        <w:autoSpaceDN w:val="0"/>
        <w:spacing w:after="120"/>
        <w:rPr>
          <w:rFonts w:eastAsia="Cambria" w:cstheme="minorHAnsi"/>
          <w:iCs/>
          <w:noProof/>
        </w:rPr>
      </w:pPr>
      <w:r>
        <w:rPr>
          <w:noProof/>
        </w:rPr>
        <w:t>saglabātā Regula (ES) Nr. 1308/2013, jo īpaši vīndarības metodes un ierobežojumi saskaņā ar minētās regulas 80</w:t>
      </w:r>
      <w:r>
        <w:rPr>
          <w:noProof/>
        </w:rPr>
        <w:t>. un 83. pantu un VIII pielikumu un tās īstenošanas noteikumiem, ieskaitot turpmākus grozījumus,</w:t>
      </w:r>
    </w:p>
    <w:p w:rsidR="003E022D" w:rsidRDefault="007D19D6">
      <w:pPr>
        <w:numPr>
          <w:ilvl w:val="1"/>
          <w:numId w:val="1265"/>
        </w:numPr>
        <w:autoSpaceDE w:val="0"/>
        <w:autoSpaceDN w:val="0"/>
        <w:spacing w:after="0"/>
        <w:contextualSpacing/>
        <w:rPr>
          <w:rFonts w:eastAsia="Cambria" w:cstheme="minorHAnsi"/>
          <w:iCs/>
          <w:noProof/>
        </w:rPr>
      </w:pPr>
      <w:r>
        <w:rPr>
          <w:noProof/>
        </w:rPr>
        <w:t>saglabātā Komisijas Deleģētā regula (ES) 2019/934, ieskaitot turpmākus grozījumus.</w:t>
      </w:r>
    </w:p>
    <w:p w:rsidR="003E022D" w:rsidRDefault="003E022D">
      <w:pPr>
        <w:autoSpaceDE w:val="0"/>
        <w:autoSpaceDN w:val="0"/>
        <w:spacing w:after="0"/>
        <w:ind w:left="1440"/>
        <w:contextualSpacing/>
        <w:rPr>
          <w:rFonts w:eastAsia="Cambria" w:cstheme="minorHAnsi"/>
          <w:iCs/>
          <w:noProof/>
        </w:rPr>
      </w:pPr>
    </w:p>
    <w:p w:rsidR="003E022D" w:rsidRDefault="007D19D6">
      <w:pPr>
        <w:spacing w:after="0"/>
        <w:rPr>
          <w:rFonts w:eastAsia="Calibri" w:cstheme="minorHAnsi"/>
          <w:b/>
          <w:i/>
          <w:noProof/>
        </w:rPr>
      </w:pPr>
      <w:r>
        <w:rPr>
          <w:b/>
          <w:i/>
          <w:noProof/>
        </w:rPr>
        <w:t>Savienības normatīvie akti</w:t>
      </w:r>
    </w:p>
    <w:p w:rsidR="003E022D" w:rsidRDefault="003E022D">
      <w:pPr>
        <w:spacing w:after="0"/>
        <w:rPr>
          <w:rFonts w:eastAsia="Calibri" w:cstheme="minorHAnsi"/>
          <w:b/>
          <w:i/>
          <w:noProof/>
        </w:rPr>
      </w:pPr>
    </w:p>
    <w:p w:rsidR="003E022D" w:rsidRDefault="007D19D6">
      <w:pPr>
        <w:spacing w:after="0"/>
        <w:rPr>
          <w:rFonts w:eastAsia="Calibri" w:cstheme="minorHAnsi"/>
          <w:noProof/>
          <w:u w:val="single"/>
        </w:rPr>
      </w:pPr>
      <w:r>
        <w:rPr>
          <w:noProof/>
          <w:u w:val="single"/>
        </w:rPr>
        <w:t xml:space="preserve"> Normatīvie akti, kas minēti 2. panta 2. punktā</w:t>
      </w:r>
      <w:r>
        <w:rPr>
          <w:noProof/>
          <w:u w:val="single"/>
        </w:rPr>
        <w:t xml:space="preserve"> un attiecas uz:</w:t>
      </w:r>
    </w:p>
    <w:p w:rsidR="003E022D" w:rsidRDefault="003E022D">
      <w:pPr>
        <w:spacing w:after="0"/>
        <w:rPr>
          <w:rFonts w:eastAsia="Calibri" w:cstheme="minorHAnsi"/>
          <w:noProof/>
          <w:u w:val="single"/>
        </w:rPr>
      </w:pPr>
    </w:p>
    <w:p w:rsidR="003E022D" w:rsidRDefault="007D19D6">
      <w:pPr>
        <w:numPr>
          <w:ilvl w:val="0"/>
          <w:numId w:val="1256"/>
        </w:numPr>
        <w:spacing w:after="120"/>
        <w:ind w:left="805" w:hanging="448"/>
        <w:rPr>
          <w:rFonts w:eastAsia="Cambria" w:cstheme="minorHAnsi"/>
          <w:iCs/>
          <w:noProof/>
        </w:rPr>
      </w:pPr>
      <w:r>
        <w:rPr>
          <w:noProof/>
        </w:rPr>
        <w:t xml:space="preserve">produktu definīcijām: </w:t>
      </w:r>
    </w:p>
    <w:p w:rsidR="003E022D" w:rsidRDefault="007D19D6">
      <w:pPr>
        <w:numPr>
          <w:ilvl w:val="1"/>
          <w:numId w:val="1266"/>
        </w:numPr>
        <w:spacing w:after="120"/>
        <w:rPr>
          <w:rFonts w:eastAsia="Cambria" w:cstheme="minorHAnsi"/>
          <w:iCs/>
          <w:noProof/>
        </w:rPr>
      </w:pPr>
      <w:r>
        <w:rPr>
          <w:noProof/>
        </w:rPr>
        <w:t>Eiropas Parlamenta un Padomes Regula (ES) Nr. 1308/2013</w:t>
      </w:r>
      <w:r>
        <w:rPr>
          <w:rStyle w:val="FootnoteReference"/>
          <w:rFonts w:eastAsia="Cambria" w:cstheme="minorHAnsi"/>
          <w:noProof/>
        </w:rPr>
        <w:footnoteReference w:id="102"/>
      </w:r>
      <w:r>
        <w:rPr>
          <w:noProof/>
        </w:rPr>
        <w:t xml:space="preserve">, jo īpaši ražošanas noteikumi vīna nozarē, saskaņā ar minētās regulas 75., 81. un 91. pantu, II pielikuma IV daļu un VII pielikuma II daļu un tās īstenošanas </w:t>
      </w:r>
      <w:r>
        <w:rPr>
          <w:noProof/>
        </w:rPr>
        <w:t>noteikumiem, ieskaitot turpmākus grozījumus,</w:t>
      </w:r>
    </w:p>
    <w:p w:rsidR="003E022D" w:rsidRDefault="007D19D6">
      <w:pPr>
        <w:numPr>
          <w:ilvl w:val="1"/>
          <w:numId w:val="1266"/>
        </w:numPr>
        <w:spacing w:after="120"/>
        <w:rPr>
          <w:rFonts w:eastAsia="Cambria" w:cstheme="minorHAnsi"/>
          <w:iCs/>
          <w:noProof/>
        </w:rPr>
      </w:pPr>
      <w:r>
        <w:rPr>
          <w:noProof/>
        </w:rPr>
        <w:t>Komisijas Deleģētā regula (ES) 2019/33</w:t>
      </w:r>
      <w:r>
        <w:rPr>
          <w:rStyle w:val="FootnoteReference"/>
          <w:rFonts w:eastAsia="Cambria" w:cstheme="minorHAnsi"/>
          <w:noProof/>
        </w:rPr>
        <w:footnoteReference w:id="103"/>
      </w:r>
      <w:r>
        <w:rPr>
          <w:noProof/>
        </w:rPr>
        <w:t xml:space="preserve"> un jo īpaši minētās regulas 47., 52.–54. pants un III, V un VI pielikums, ieskaitot turpmākus grozījumus,</w:t>
      </w:r>
    </w:p>
    <w:p w:rsidR="003E022D" w:rsidRDefault="007D19D6">
      <w:pPr>
        <w:numPr>
          <w:ilvl w:val="1"/>
          <w:numId w:val="1266"/>
        </w:numPr>
        <w:spacing w:after="0"/>
        <w:rPr>
          <w:rFonts w:eastAsia="Cambria" w:cstheme="minorHAnsi"/>
          <w:iCs/>
          <w:noProof/>
        </w:rPr>
      </w:pPr>
      <w:r>
        <w:rPr>
          <w:noProof/>
        </w:rPr>
        <w:t>Eiropas Parlamenta un Padomes Regula (ES) Nr. 1169/2011</w:t>
      </w:r>
      <w:r>
        <w:rPr>
          <w:rStyle w:val="FootnoteReference"/>
          <w:rFonts w:eastAsia="Cambria" w:cstheme="minorHAnsi"/>
          <w:noProof/>
        </w:rPr>
        <w:footnoteReference w:id="104"/>
      </w:r>
      <w:r>
        <w:rPr>
          <w:noProof/>
        </w:rPr>
        <w:t>, ieskait</w:t>
      </w:r>
      <w:r>
        <w:rPr>
          <w:noProof/>
        </w:rPr>
        <w:t>ot turpmākus grozījumus.</w:t>
      </w:r>
    </w:p>
    <w:p w:rsidR="003E022D" w:rsidRDefault="003E022D">
      <w:pPr>
        <w:spacing w:after="0"/>
        <w:ind w:left="1440"/>
        <w:rPr>
          <w:rFonts w:eastAsia="Cambria" w:cstheme="minorHAnsi"/>
          <w:iCs/>
          <w:noProof/>
        </w:rPr>
      </w:pPr>
    </w:p>
    <w:p w:rsidR="003E022D" w:rsidRDefault="007D19D6">
      <w:pPr>
        <w:numPr>
          <w:ilvl w:val="0"/>
          <w:numId w:val="1255"/>
        </w:numPr>
        <w:spacing w:after="120"/>
        <w:ind w:left="714" w:hanging="357"/>
        <w:rPr>
          <w:rFonts w:eastAsia="Cambria" w:cstheme="minorHAnsi"/>
          <w:iCs/>
          <w:noProof/>
        </w:rPr>
      </w:pPr>
      <w:r>
        <w:rPr>
          <w:noProof/>
        </w:rPr>
        <w:t xml:space="preserve">vīndarības metodēm un ierobežojumiem: </w:t>
      </w:r>
    </w:p>
    <w:p w:rsidR="003E022D" w:rsidRDefault="007D19D6">
      <w:pPr>
        <w:numPr>
          <w:ilvl w:val="1"/>
          <w:numId w:val="1267"/>
        </w:numPr>
        <w:spacing w:after="120"/>
        <w:rPr>
          <w:rFonts w:eastAsia="Cambria" w:cstheme="minorHAnsi"/>
          <w:iCs/>
          <w:noProof/>
        </w:rPr>
      </w:pPr>
      <w:r>
        <w:rPr>
          <w:noProof/>
        </w:rPr>
        <w:t>Regula (ES) Nr. 1308/2013, jo īpaši vīndarības metodes un ierobežojumi saskaņā ar minētās regulas 80. un 83. pantu un VIII pielikumu un tās īstenošanas noteikumiem, ieskaitot turpmākus grozīj</w:t>
      </w:r>
      <w:r>
        <w:rPr>
          <w:noProof/>
        </w:rPr>
        <w:t>umus,</w:t>
      </w:r>
    </w:p>
    <w:p w:rsidR="003E022D" w:rsidRDefault="007D19D6">
      <w:pPr>
        <w:numPr>
          <w:ilvl w:val="1"/>
          <w:numId w:val="1267"/>
        </w:numPr>
        <w:spacing w:after="0"/>
        <w:rPr>
          <w:rFonts w:eastAsia="Cambria" w:cstheme="minorHAnsi"/>
          <w:iCs/>
          <w:noProof/>
        </w:rPr>
      </w:pPr>
      <w:r>
        <w:rPr>
          <w:noProof/>
        </w:rPr>
        <w:t>Komisijas Deleģētā regula (ES) 2019/934</w:t>
      </w:r>
      <w:r>
        <w:rPr>
          <w:rStyle w:val="FootnoteReference"/>
          <w:rFonts w:eastAsia="Cambria" w:cstheme="minorHAnsi"/>
          <w:noProof/>
        </w:rPr>
        <w:footnoteReference w:id="105"/>
      </w:r>
      <w:r>
        <w:rPr>
          <w:noProof/>
        </w:rPr>
        <w:t>, ieskaitot turpmākus grozījumus.</w:t>
      </w:r>
    </w:p>
    <w:p w:rsidR="003E022D" w:rsidRDefault="007D19D6">
      <w:pPr>
        <w:rPr>
          <w:rFonts w:eastAsia="Cambria" w:cstheme="minorHAnsi"/>
          <w:iCs/>
          <w:noProof/>
        </w:rPr>
      </w:pPr>
      <w:r>
        <w:rPr>
          <w:noProof/>
        </w:rPr>
        <w:br w:type="page"/>
      </w:r>
    </w:p>
    <w:p w:rsidR="003E022D" w:rsidRDefault="007D19D6">
      <w:pPr>
        <w:spacing w:after="200" w:line="276" w:lineRule="auto"/>
        <w:rPr>
          <w:rFonts w:eastAsia="Calibri" w:cstheme="minorHAnsi"/>
          <w:bCs/>
          <w:noProof/>
        </w:rPr>
      </w:pPr>
      <w:r>
        <w:rPr>
          <w:noProof/>
        </w:rPr>
        <w:t>B PAPILDINĀJUMS. PAPILDU VĪNDARĪBAS METODES UN IEROBEŽOJUMI, KO KOPĪGI AKCEPTĒJUŠAS PUSES</w:t>
      </w:r>
    </w:p>
    <w:p w:rsidR="003E022D" w:rsidRDefault="007D19D6">
      <w:pPr>
        <w:autoSpaceDE w:val="0"/>
        <w:autoSpaceDN w:val="0"/>
        <w:spacing w:after="0"/>
        <w:ind w:left="567" w:hanging="567"/>
        <w:contextualSpacing/>
        <w:rPr>
          <w:rFonts w:eastAsia="Cambria" w:cstheme="minorHAnsi"/>
          <w:iCs/>
          <w:noProof/>
        </w:rPr>
      </w:pPr>
      <w:r>
        <w:rPr>
          <w:noProof/>
        </w:rPr>
        <w:t xml:space="preserve">(1) </w:t>
      </w:r>
      <w:r>
        <w:rPr>
          <w:noProof/>
        </w:rPr>
        <w:tab/>
        <w:t>Koncentrētu vīnogu misu, rektificētu koncentrētu vīnogu misu un saharozi bagāti</w:t>
      </w:r>
      <w:r>
        <w:rPr>
          <w:noProof/>
        </w:rPr>
        <w:t>nāšanai un saldināšanai drīkst izmantot saskaņā ar īpašiem un ierobežotiem nosacījumiem, kas izklāstīti Regulas (ES) Nr. 1308/2013 VIII pielikuma I daļā un saglabātās Regulas (ES) Nr. 1308/2013 VIII pielikuma I daļā, izņemot šo produktu izmantošanu rekonst</w:t>
      </w:r>
      <w:r>
        <w:rPr>
          <w:noProof/>
        </w:rPr>
        <w:t>ituētā formā vīnos, uz kuriem attiecas šis nolīgums.</w:t>
      </w:r>
    </w:p>
    <w:p w:rsidR="003E022D" w:rsidRDefault="003E022D">
      <w:pPr>
        <w:autoSpaceDE w:val="0"/>
        <w:autoSpaceDN w:val="0"/>
        <w:spacing w:after="0"/>
        <w:ind w:left="567" w:hanging="567"/>
        <w:contextualSpacing/>
        <w:rPr>
          <w:rFonts w:eastAsia="Cambria" w:cstheme="minorHAnsi"/>
          <w:iCs/>
          <w:noProof/>
        </w:rPr>
      </w:pPr>
    </w:p>
    <w:p w:rsidR="003E022D" w:rsidRDefault="007D19D6">
      <w:pPr>
        <w:autoSpaceDE w:val="0"/>
        <w:autoSpaceDN w:val="0"/>
        <w:spacing w:after="0"/>
        <w:ind w:left="567" w:hanging="567"/>
        <w:contextualSpacing/>
        <w:rPr>
          <w:rFonts w:eastAsia="Cambria" w:cstheme="minorHAnsi"/>
          <w:iCs/>
          <w:noProof/>
        </w:rPr>
      </w:pPr>
      <w:r>
        <w:rPr>
          <w:noProof/>
        </w:rPr>
        <w:t xml:space="preserve">(2) </w:t>
      </w:r>
      <w:r>
        <w:rPr>
          <w:noProof/>
        </w:rPr>
        <w:tab/>
        <w:t>Ūdens pievienošana vīndarīšanā nav atļauta, izņemot gadījumus, kad tas vajadzīgs konkrētu tehnisku iemeslu dēļ.</w:t>
      </w:r>
    </w:p>
    <w:p w:rsidR="003E022D" w:rsidRDefault="003E022D">
      <w:pPr>
        <w:autoSpaceDE w:val="0"/>
        <w:autoSpaceDN w:val="0"/>
        <w:spacing w:after="0"/>
        <w:ind w:left="567" w:hanging="567"/>
        <w:contextualSpacing/>
        <w:rPr>
          <w:rFonts w:eastAsia="Cambria" w:cstheme="minorHAnsi"/>
          <w:iCs/>
          <w:noProof/>
        </w:rPr>
      </w:pPr>
    </w:p>
    <w:p w:rsidR="003E022D" w:rsidRDefault="007D19D6">
      <w:pPr>
        <w:autoSpaceDE w:val="0"/>
        <w:autoSpaceDN w:val="0"/>
        <w:spacing w:after="0"/>
        <w:ind w:left="567" w:hanging="567"/>
        <w:contextualSpacing/>
        <w:rPr>
          <w:rFonts w:eastAsia="Cambria" w:cstheme="minorHAnsi"/>
          <w:iCs/>
          <w:noProof/>
        </w:rPr>
      </w:pPr>
      <w:r>
        <w:rPr>
          <w:noProof/>
        </w:rPr>
        <w:t xml:space="preserve">(3) </w:t>
      </w:r>
      <w:r>
        <w:rPr>
          <w:noProof/>
        </w:rPr>
        <w:tab/>
        <w:t>Svaigas vīna nogulsnes drīkst izmantot saskaņā ar īpašiem un ierobežotiem nosac</w:t>
      </w:r>
      <w:r>
        <w:rPr>
          <w:noProof/>
        </w:rPr>
        <w:t>ījumiem, kas izklāstīti Komisijas Deleģētās regulas (ES) 2019/934 I pielikuma A daļas 2. tabulas 11.2. punktā un saglabātās Komisijas Deleģētās regulas (ES) 2019/934 I pielikuma A daļas 2. tabulas 11.2. punktā.</w:t>
      </w:r>
    </w:p>
    <w:p w:rsidR="003E022D" w:rsidRDefault="003E022D">
      <w:pPr>
        <w:spacing w:after="0"/>
        <w:rPr>
          <w:rFonts w:eastAsia="Calibri" w:cstheme="minorHAnsi"/>
          <w:noProof/>
        </w:rPr>
      </w:pPr>
    </w:p>
    <w:p w:rsidR="003E022D" w:rsidRDefault="007D19D6">
      <w:pPr>
        <w:rPr>
          <w:rFonts w:cstheme="minorHAnsi"/>
          <w:noProof/>
        </w:rPr>
      </w:pPr>
      <w:r>
        <w:rPr>
          <w:noProof/>
        </w:rPr>
        <w:br w:type="page"/>
      </w:r>
    </w:p>
    <w:p w:rsidR="003E022D" w:rsidRDefault="003E022D">
      <w:pPr>
        <w:rPr>
          <w:rFonts w:cstheme="minorHAnsi"/>
          <w:noProof/>
        </w:rPr>
      </w:pPr>
    </w:p>
    <w:p w:rsidR="003E022D" w:rsidRDefault="007D19D6">
      <w:pPr>
        <w:spacing w:after="200" w:line="276" w:lineRule="auto"/>
        <w:rPr>
          <w:rFonts w:cstheme="minorHAnsi"/>
          <w:noProof/>
        </w:rPr>
      </w:pPr>
      <w:r>
        <w:rPr>
          <w:noProof/>
        </w:rPr>
        <w:t xml:space="preserve">C PAPILDINĀJUMS. PAŠSERTIFIKĀTA PARAUGS </w:t>
      </w:r>
      <w:r>
        <w:rPr>
          <w:noProof/>
        </w:rPr>
        <w:t>VĪNAM, KO NO [EIROPAS SAVIENĪBAS/APVIENOTĀS KARALISTES] IMPORTĒ [APVIENOTAJĀ KARALISTĒ/EIROPAS SAVIENĪBĀ] (1)</w:t>
      </w:r>
    </w:p>
    <w:p w:rsidR="003E022D" w:rsidRDefault="003E022D">
      <w:pPr>
        <w:rPr>
          <w:rFonts w:cstheme="minorHAnsi"/>
          <w:noProof/>
        </w:rPr>
      </w:pPr>
    </w:p>
    <w:tbl>
      <w:tblPr>
        <w:tblStyle w:val="TableGrid0"/>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3E022D">
        <w:trPr>
          <w:trHeight w:val="1615"/>
        </w:trPr>
        <w:tc>
          <w:tcPr>
            <w:tcW w:w="4939" w:type="dxa"/>
          </w:tcPr>
          <w:p w:rsidR="003E022D" w:rsidRDefault="007D19D6">
            <w:pPr>
              <w:spacing w:after="0" w:afterAutospacing="0"/>
              <w:rPr>
                <w:rFonts w:cstheme="minorHAnsi"/>
                <w:noProof/>
              </w:rPr>
            </w:pPr>
            <w:r>
              <w:rPr>
                <w:noProof/>
              </w:rPr>
              <w:t>1. Eksportētājs (vārds/nosaukums un adrese)</w:t>
            </w:r>
          </w:p>
          <w:p w:rsidR="003E022D" w:rsidRDefault="003E022D">
            <w:pPr>
              <w:spacing w:after="0" w:afterAutospacing="0"/>
              <w:rPr>
                <w:rFonts w:cstheme="minorHAnsi"/>
                <w:noProof/>
              </w:rPr>
            </w:pPr>
          </w:p>
        </w:tc>
        <w:tc>
          <w:tcPr>
            <w:tcW w:w="4621" w:type="dxa"/>
          </w:tcPr>
          <w:p w:rsidR="003E022D" w:rsidRDefault="007D19D6">
            <w:pPr>
              <w:spacing w:after="0" w:afterAutospacing="0"/>
              <w:rPr>
                <w:rFonts w:cstheme="minorHAnsi"/>
                <w:noProof/>
              </w:rPr>
            </w:pPr>
            <w:r>
              <w:rPr>
                <w:noProof/>
              </w:rPr>
              <w:t>2. Sērijas numurs (2)</w:t>
            </w:r>
          </w:p>
          <w:p w:rsidR="003E022D" w:rsidRDefault="003E022D">
            <w:pPr>
              <w:spacing w:after="0" w:afterAutospacing="0"/>
              <w:rPr>
                <w:rFonts w:cstheme="minorHAnsi"/>
                <w:noProof/>
              </w:rPr>
            </w:pPr>
          </w:p>
          <w:p w:rsidR="003E022D" w:rsidRDefault="003E022D">
            <w:pPr>
              <w:spacing w:after="0" w:afterAutospacing="0"/>
              <w:rPr>
                <w:rFonts w:cstheme="minorHAnsi"/>
                <w:noProof/>
              </w:rPr>
            </w:pPr>
          </w:p>
          <w:p w:rsidR="003E022D" w:rsidRDefault="003E022D">
            <w:pPr>
              <w:spacing w:after="0" w:afterAutospacing="0"/>
              <w:rPr>
                <w:rFonts w:cstheme="minorHAnsi"/>
                <w:noProof/>
              </w:rPr>
            </w:pPr>
          </w:p>
          <w:p w:rsidR="003E022D" w:rsidRDefault="003E022D">
            <w:pPr>
              <w:spacing w:after="0" w:afterAutospacing="0"/>
              <w:jc w:val="center"/>
              <w:rPr>
                <w:rFonts w:cstheme="minorHAnsi"/>
                <w:noProof/>
              </w:rPr>
            </w:pPr>
          </w:p>
        </w:tc>
      </w:tr>
      <w:tr w:rsidR="003E022D">
        <w:trPr>
          <w:trHeight w:val="954"/>
        </w:trPr>
        <w:tc>
          <w:tcPr>
            <w:tcW w:w="4939" w:type="dxa"/>
          </w:tcPr>
          <w:p w:rsidR="003E022D" w:rsidRDefault="007D19D6">
            <w:pPr>
              <w:spacing w:after="0" w:afterAutospacing="0"/>
              <w:rPr>
                <w:rFonts w:cstheme="minorHAnsi"/>
                <w:noProof/>
              </w:rPr>
            </w:pPr>
            <w:r>
              <w:rPr>
                <w:noProof/>
              </w:rPr>
              <w:t>3. Importētājs (vārds/nosaukums un adrese)</w:t>
            </w:r>
          </w:p>
          <w:p w:rsidR="003E022D" w:rsidRDefault="003E022D">
            <w:pPr>
              <w:spacing w:after="0" w:afterAutospacing="0"/>
              <w:rPr>
                <w:rFonts w:cstheme="minorHAnsi"/>
                <w:noProof/>
              </w:rPr>
            </w:pPr>
          </w:p>
        </w:tc>
        <w:tc>
          <w:tcPr>
            <w:tcW w:w="4621" w:type="dxa"/>
          </w:tcPr>
          <w:p w:rsidR="003E022D" w:rsidRDefault="007D19D6">
            <w:pPr>
              <w:spacing w:after="0" w:afterAutospacing="0"/>
              <w:rPr>
                <w:rFonts w:cstheme="minorHAnsi"/>
                <w:noProof/>
              </w:rPr>
            </w:pPr>
            <w:r>
              <w:rPr>
                <w:noProof/>
              </w:rPr>
              <w:t>4. Kompetentā iestāde nosūtīš</w:t>
            </w:r>
            <w:r>
              <w:rPr>
                <w:noProof/>
              </w:rPr>
              <w:t>anas vietā [Eiropas Savienībā/Apvienotajā Karalistē] (3)</w:t>
            </w:r>
          </w:p>
          <w:p w:rsidR="003E022D" w:rsidRDefault="003E022D">
            <w:pPr>
              <w:spacing w:after="0" w:afterAutospacing="0"/>
              <w:rPr>
                <w:rFonts w:cstheme="minorHAnsi"/>
                <w:noProof/>
              </w:rPr>
            </w:pPr>
          </w:p>
        </w:tc>
      </w:tr>
      <w:tr w:rsidR="003E022D">
        <w:trPr>
          <w:trHeight w:val="854"/>
        </w:trPr>
        <w:tc>
          <w:tcPr>
            <w:tcW w:w="9560" w:type="dxa"/>
            <w:gridSpan w:val="2"/>
          </w:tcPr>
          <w:p w:rsidR="003E022D" w:rsidRDefault="007D19D6">
            <w:pPr>
              <w:spacing w:after="0" w:afterAutospacing="0"/>
              <w:rPr>
                <w:rFonts w:cstheme="minorHAnsi"/>
                <w:noProof/>
              </w:rPr>
            </w:pPr>
            <w:r>
              <w:rPr>
                <w:noProof/>
              </w:rPr>
              <w:t>5. Muitas zīmogs (tikai [Eiropas Savienības/Apvienotās Karalistes] oficiālām vajadzībām)</w:t>
            </w:r>
          </w:p>
          <w:p w:rsidR="003E022D" w:rsidRDefault="003E022D">
            <w:pPr>
              <w:spacing w:after="0" w:afterAutospacing="0"/>
              <w:rPr>
                <w:rFonts w:cstheme="minorHAnsi"/>
                <w:noProof/>
              </w:rPr>
            </w:pPr>
          </w:p>
          <w:p w:rsidR="003E022D" w:rsidRDefault="003E022D">
            <w:pPr>
              <w:spacing w:after="0" w:afterAutospacing="0"/>
              <w:rPr>
                <w:rFonts w:cstheme="minorHAnsi"/>
                <w:noProof/>
              </w:rPr>
            </w:pPr>
          </w:p>
          <w:p w:rsidR="003E022D" w:rsidRDefault="003E022D">
            <w:pPr>
              <w:spacing w:after="0" w:afterAutospacing="0"/>
              <w:rPr>
                <w:rFonts w:cstheme="minorHAnsi"/>
                <w:noProof/>
              </w:rPr>
            </w:pPr>
          </w:p>
        </w:tc>
      </w:tr>
      <w:tr w:rsidR="003E022D">
        <w:trPr>
          <w:trHeight w:val="924"/>
        </w:trPr>
        <w:tc>
          <w:tcPr>
            <w:tcW w:w="4939" w:type="dxa"/>
          </w:tcPr>
          <w:p w:rsidR="003E022D" w:rsidRDefault="007D19D6">
            <w:pPr>
              <w:spacing w:after="0" w:afterAutospacing="0"/>
              <w:rPr>
                <w:rFonts w:cstheme="minorHAnsi"/>
                <w:noProof/>
              </w:rPr>
            </w:pPr>
            <w:r>
              <w:rPr>
                <w:noProof/>
              </w:rPr>
              <w:t>6. Transportlīdzeklis un informācija par transportēšanu (4)</w:t>
            </w:r>
          </w:p>
          <w:p w:rsidR="003E022D" w:rsidRDefault="003E022D">
            <w:pPr>
              <w:spacing w:after="0" w:afterAutospacing="0"/>
              <w:rPr>
                <w:rFonts w:cstheme="minorHAnsi"/>
                <w:noProof/>
              </w:rPr>
            </w:pPr>
          </w:p>
          <w:p w:rsidR="003E022D" w:rsidRDefault="003E022D">
            <w:pPr>
              <w:spacing w:after="0" w:afterAutospacing="0"/>
              <w:rPr>
                <w:rFonts w:cstheme="minorHAnsi"/>
                <w:noProof/>
              </w:rPr>
            </w:pPr>
          </w:p>
        </w:tc>
        <w:tc>
          <w:tcPr>
            <w:tcW w:w="4621" w:type="dxa"/>
          </w:tcPr>
          <w:p w:rsidR="003E022D" w:rsidRDefault="007D19D6">
            <w:pPr>
              <w:spacing w:after="0" w:afterAutospacing="0"/>
              <w:rPr>
                <w:rFonts w:cstheme="minorHAnsi"/>
                <w:noProof/>
              </w:rPr>
            </w:pPr>
            <w:r>
              <w:rPr>
                <w:noProof/>
              </w:rPr>
              <w:t xml:space="preserve">7. Izkraušanas vieta (ja atšķiras no </w:t>
            </w:r>
            <w:r>
              <w:rPr>
                <w:noProof/>
              </w:rPr>
              <w:t>3. ailē norādītās)</w:t>
            </w:r>
          </w:p>
        </w:tc>
      </w:tr>
      <w:tr w:rsidR="003E022D">
        <w:tc>
          <w:tcPr>
            <w:tcW w:w="4939" w:type="dxa"/>
            <w:vMerge w:val="restart"/>
          </w:tcPr>
          <w:p w:rsidR="003E022D" w:rsidRDefault="007D19D6">
            <w:pPr>
              <w:spacing w:after="0" w:afterAutospacing="0"/>
              <w:rPr>
                <w:rFonts w:cstheme="minorHAnsi"/>
                <w:noProof/>
              </w:rPr>
            </w:pPr>
            <w:r>
              <w:rPr>
                <w:noProof/>
              </w:rPr>
              <w:t>8. Importētā produkta apraksts (5)</w:t>
            </w:r>
          </w:p>
        </w:tc>
        <w:tc>
          <w:tcPr>
            <w:tcW w:w="4621" w:type="dxa"/>
          </w:tcPr>
          <w:p w:rsidR="003E022D" w:rsidRDefault="007D19D6">
            <w:pPr>
              <w:spacing w:after="0" w:afterAutospacing="0"/>
              <w:rPr>
                <w:rFonts w:cstheme="minorHAnsi"/>
                <w:noProof/>
              </w:rPr>
            </w:pPr>
            <w:r>
              <w:rPr>
                <w:noProof/>
              </w:rPr>
              <w:t>9. Daudzums l/hl/kg</w:t>
            </w:r>
          </w:p>
          <w:p w:rsidR="003E022D" w:rsidRDefault="003E022D">
            <w:pPr>
              <w:spacing w:after="0" w:afterAutospacing="0"/>
              <w:rPr>
                <w:rFonts w:cstheme="minorHAnsi"/>
                <w:noProof/>
              </w:rPr>
            </w:pPr>
          </w:p>
          <w:p w:rsidR="003E022D" w:rsidRDefault="003E022D">
            <w:pPr>
              <w:spacing w:after="0" w:afterAutospacing="0"/>
              <w:rPr>
                <w:rFonts w:cstheme="minorHAnsi"/>
                <w:noProof/>
              </w:rPr>
            </w:pPr>
          </w:p>
        </w:tc>
      </w:tr>
      <w:tr w:rsidR="003E022D">
        <w:tc>
          <w:tcPr>
            <w:tcW w:w="4939" w:type="dxa"/>
            <w:vMerge/>
          </w:tcPr>
          <w:p w:rsidR="003E022D" w:rsidRDefault="003E022D">
            <w:pPr>
              <w:spacing w:after="0" w:afterAutospacing="0"/>
              <w:rPr>
                <w:rFonts w:cstheme="minorHAnsi"/>
                <w:noProof/>
              </w:rPr>
            </w:pPr>
          </w:p>
        </w:tc>
        <w:tc>
          <w:tcPr>
            <w:tcW w:w="4621" w:type="dxa"/>
          </w:tcPr>
          <w:p w:rsidR="003E022D" w:rsidRDefault="007D19D6">
            <w:pPr>
              <w:spacing w:after="0" w:afterAutospacing="0"/>
              <w:rPr>
                <w:rFonts w:cstheme="minorHAnsi"/>
                <w:noProof/>
              </w:rPr>
            </w:pPr>
            <w:r>
              <w:rPr>
                <w:noProof/>
              </w:rPr>
              <w:t>10. Trauku skaits (6)</w:t>
            </w:r>
          </w:p>
          <w:p w:rsidR="003E022D" w:rsidRDefault="003E022D">
            <w:pPr>
              <w:spacing w:after="0" w:afterAutospacing="0"/>
              <w:rPr>
                <w:rFonts w:cstheme="minorHAnsi"/>
                <w:noProof/>
              </w:rPr>
            </w:pPr>
          </w:p>
          <w:p w:rsidR="003E022D" w:rsidRDefault="003E022D">
            <w:pPr>
              <w:spacing w:after="0" w:afterAutospacing="0"/>
              <w:rPr>
                <w:rFonts w:cstheme="minorHAnsi"/>
                <w:noProof/>
              </w:rPr>
            </w:pPr>
          </w:p>
        </w:tc>
      </w:tr>
      <w:tr w:rsidR="003E022D">
        <w:tc>
          <w:tcPr>
            <w:tcW w:w="9560" w:type="dxa"/>
            <w:gridSpan w:val="2"/>
          </w:tcPr>
          <w:p w:rsidR="003E022D" w:rsidRDefault="007D19D6">
            <w:pPr>
              <w:spacing w:after="0" w:afterAutospacing="0"/>
              <w:rPr>
                <w:rFonts w:cstheme="minorHAnsi"/>
                <w:noProof/>
              </w:rPr>
            </w:pPr>
            <w:r>
              <w:rPr>
                <w:noProof/>
              </w:rPr>
              <w:t>11. Sertifikāts</w:t>
            </w:r>
          </w:p>
          <w:p w:rsidR="003E022D" w:rsidRDefault="003E022D">
            <w:pPr>
              <w:spacing w:after="0" w:afterAutospacing="0"/>
              <w:rPr>
                <w:rFonts w:cstheme="minorHAnsi"/>
                <w:noProof/>
              </w:rPr>
            </w:pPr>
          </w:p>
          <w:p w:rsidR="003E022D" w:rsidRDefault="007D19D6">
            <w:pPr>
              <w:spacing w:after="0" w:afterAutospacing="0"/>
              <w:rPr>
                <w:rFonts w:cstheme="minorHAnsi"/>
                <w:noProof/>
              </w:rPr>
            </w:pPr>
            <w:r>
              <w:rPr>
                <w:noProof/>
              </w:rPr>
              <w:t xml:space="preserve">“Iepriekš aprakstītais produkts ir paredzēts tiešai lietošanai pārtikā un atbilst definīcijām un vīndarības metodēm, kas atļautas </w:t>
            </w:r>
            <w:r>
              <w:rPr>
                <w:noProof/>
              </w:rPr>
              <w:t>TBT-5. pielikumā “Vīna tirdzniecība” Tirdzniecības un sadarbības nolīgumam starp Eiropas Savienību un Eiropas Atomenerģijas kopienu, no vienas puses, un Lielbritānijas un Ziemeļīrijas Apvienoto Karalisti, no otras puses. To ir ražojis ražotājs, kuru inspic</w:t>
            </w:r>
            <w:r>
              <w:rPr>
                <w:noProof/>
              </w:rPr>
              <w:t>ē un pārrauga šāda kompetentā iestāde (7):</w:t>
            </w:r>
          </w:p>
          <w:p w:rsidR="003E022D" w:rsidRDefault="003E022D">
            <w:pPr>
              <w:spacing w:after="0" w:afterAutospacing="0"/>
              <w:rPr>
                <w:rFonts w:cstheme="minorHAnsi"/>
                <w:noProof/>
              </w:rPr>
            </w:pPr>
          </w:p>
          <w:p w:rsidR="003E022D" w:rsidRDefault="003E022D">
            <w:pPr>
              <w:spacing w:after="0" w:afterAutospacing="0"/>
              <w:rPr>
                <w:rFonts w:cstheme="minorHAnsi"/>
                <w:noProof/>
              </w:rPr>
            </w:pPr>
          </w:p>
          <w:p w:rsidR="003E022D" w:rsidRDefault="003E022D">
            <w:pPr>
              <w:spacing w:after="0" w:afterAutospacing="0"/>
              <w:rPr>
                <w:rFonts w:cstheme="minorHAnsi"/>
                <w:noProof/>
              </w:rPr>
            </w:pPr>
          </w:p>
          <w:p w:rsidR="003E022D" w:rsidRDefault="007D19D6">
            <w:pPr>
              <w:spacing w:after="0" w:afterAutospacing="0"/>
              <w:rPr>
                <w:rFonts w:cstheme="minorHAnsi"/>
                <w:noProof/>
              </w:rPr>
            </w:pPr>
            <w:r>
              <w:rPr>
                <w:noProof/>
              </w:rPr>
              <w:t>Nosūtītājs, kas apliecina iepriekš minēto informāciju (8)</w:t>
            </w:r>
          </w:p>
          <w:p w:rsidR="003E022D" w:rsidRDefault="003E022D">
            <w:pPr>
              <w:spacing w:after="0" w:afterAutospacing="0"/>
              <w:rPr>
                <w:rFonts w:cstheme="minorHAnsi"/>
                <w:noProof/>
              </w:rPr>
            </w:pPr>
          </w:p>
          <w:p w:rsidR="003E022D" w:rsidRDefault="003E022D">
            <w:pPr>
              <w:spacing w:after="0" w:afterAutospacing="0"/>
              <w:rPr>
                <w:rFonts w:cstheme="minorHAnsi"/>
                <w:noProof/>
              </w:rPr>
            </w:pPr>
          </w:p>
          <w:p w:rsidR="003E022D" w:rsidRDefault="007D19D6">
            <w:pPr>
              <w:spacing w:after="0" w:afterAutospacing="0"/>
              <w:rPr>
                <w:rFonts w:cstheme="minorHAnsi"/>
                <w:noProof/>
              </w:rPr>
            </w:pPr>
            <w:r>
              <w:rPr>
                <w:noProof/>
              </w:rPr>
              <w:t xml:space="preserve">Nosūtītāja identifikācija (9) </w:t>
            </w:r>
          </w:p>
          <w:p w:rsidR="003E022D" w:rsidRDefault="003E022D">
            <w:pPr>
              <w:spacing w:after="0" w:afterAutospacing="0"/>
              <w:rPr>
                <w:rFonts w:cstheme="minorHAnsi"/>
                <w:noProof/>
              </w:rPr>
            </w:pPr>
          </w:p>
          <w:p w:rsidR="003E022D" w:rsidRDefault="003E022D">
            <w:pPr>
              <w:spacing w:after="0" w:afterAutospacing="0"/>
              <w:rPr>
                <w:rFonts w:cstheme="minorHAnsi"/>
                <w:noProof/>
              </w:rPr>
            </w:pPr>
          </w:p>
          <w:p w:rsidR="003E022D" w:rsidRDefault="007D19D6">
            <w:pPr>
              <w:spacing w:after="0" w:afterAutospacing="0"/>
              <w:rPr>
                <w:rFonts w:cstheme="minorHAnsi"/>
                <w:noProof/>
              </w:rPr>
            </w:pPr>
            <w:r>
              <w:rPr>
                <w:noProof/>
              </w:rPr>
              <w:t>Vieta, datums un nosūtītāja paraksts</w:t>
            </w:r>
          </w:p>
          <w:p w:rsidR="003E022D" w:rsidRDefault="003E022D">
            <w:pPr>
              <w:spacing w:after="0" w:afterAutospacing="0"/>
              <w:rPr>
                <w:rFonts w:cstheme="minorHAnsi"/>
                <w:noProof/>
              </w:rPr>
            </w:pPr>
          </w:p>
          <w:p w:rsidR="003E022D" w:rsidRDefault="007D19D6">
            <w:pPr>
              <w:spacing w:after="0" w:afterAutospacing="0"/>
              <w:rPr>
                <w:rFonts w:cstheme="minorHAnsi"/>
                <w:noProof/>
              </w:rPr>
            </w:pPr>
            <w:r>
              <w:rPr>
                <w:noProof/>
              </w:rPr>
              <w:t xml:space="preserve"> </w:t>
            </w:r>
          </w:p>
        </w:tc>
      </w:tr>
    </w:tbl>
    <w:p w:rsidR="003E022D" w:rsidRDefault="003E022D">
      <w:pPr>
        <w:spacing w:after="0"/>
        <w:rPr>
          <w:rFonts w:eastAsia="Times New Roman" w:cstheme="minorHAnsi"/>
          <w:noProof/>
          <w:lang w:eastAsia="en-GB"/>
        </w:rPr>
      </w:pPr>
    </w:p>
    <w:p w:rsidR="003E022D" w:rsidRDefault="007D19D6">
      <w:pPr>
        <w:numPr>
          <w:ilvl w:val="0"/>
          <w:numId w:val="1258"/>
        </w:numPr>
        <w:spacing w:after="0"/>
        <w:rPr>
          <w:rFonts w:eastAsia="Times New Roman" w:cstheme="minorHAnsi"/>
          <w:noProof/>
        </w:rPr>
      </w:pPr>
      <w:r>
        <w:rPr>
          <w:noProof/>
        </w:rPr>
        <w:t xml:space="preserve">Saskaņā ar 3. panta 1. punktu TBT-5. pielikumā “Vīna tirdzniecība” </w:t>
      </w:r>
      <w:r>
        <w:rPr>
          <w:noProof/>
        </w:rPr>
        <w:t>Tirdzniecības un sadarbības nolīgumam starp Eiropas Savienību un Eiropas Atomenerģijas kopienu, no vienas puses, un Lielbritānijas un Ziemeļīrijas Apvienoto Karalisti, no otras puses.</w:t>
      </w:r>
    </w:p>
    <w:p w:rsidR="003E022D" w:rsidRDefault="007D19D6">
      <w:pPr>
        <w:numPr>
          <w:ilvl w:val="0"/>
          <w:numId w:val="1258"/>
        </w:numPr>
        <w:spacing w:after="0"/>
        <w:rPr>
          <w:rFonts w:eastAsia="Times New Roman" w:cstheme="minorHAnsi"/>
          <w:noProof/>
        </w:rPr>
      </w:pPr>
      <w:r>
        <w:rPr>
          <w:noProof/>
        </w:rPr>
        <w:t>Norādīt sūtījuma izsekojamības numuru, t. i., sērijas numuru, kas identi</w:t>
      </w:r>
      <w:r>
        <w:rPr>
          <w:noProof/>
        </w:rPr>
        <w:t xml:space="preserve">ficē sūtījumu eksportētāja uzskaitē. </w:t>
      </w:r>
    </w:p>
    <w:p w:rsidR="003E022D" w:rsidRDefault="007D19D6">
      <w:pPr>
        <w:numPr>
          <w:ilvl w:val="0"/>
          <w:numId w:val="1258"/>
        </w:numPr>
        <w:spacing w:after="0"/>
        <w:rPr>
          <w:rFonts w:eastAsia="Times New Roman" w:cstheme="minorHAnsi"/>
          <w:noProof/>
        </w:rPr>
      </w:pPr>
      <w:r>
        <w:rPr>
          <w:noProof/>
        </w:rPr>
        <w:t xml:space="preserve">Norādīt par šajā sertifikātā minētās informācijas verificēšanu atbildīgās kompetentās iestādes pilnu nosaukumu, adresi un kontaktinformāciju vienā no Eiropas Savienības dalībvalstīm vai Apvienotajā Karalistē, no kuras </w:t>
      </w:r>
      <w:r>
        <w:rPr>
          <w:noProof/>
        </w:rPr>
        <w:t>sūtījums tiek eksportēts.</w:t>
      </w:r>
    </w:p>
    <w:p w:rsidR="003E022D" w:rsidRDefault="007D19D6">
      <w:pPr>
        <w:numPr>
          <w:ilvl w:val="0"/>
          <w:numId w:val="1258"/>
        </w:numPr>
        <w:spacing w:after="0"/>
        <w:rPr>
          <w:rFonts w:eastAsia="Times New Roman" w:cstheme="minorHAnsi"/>
          <w:noProof/>
        </w:rPr>
      </w:pPr>
      <w:r>
        <w:rPr>
          <w:noProof/>
        </w:rPr>
        <w:t>Norādīt transportu, kas izmantots piegādei līdz ievešanas punktam Eiropas Savienībā vai Apvienotajā Karalistē; norādīt transporta veidu (kuģis, gaisa kuģis utt.), norādīt transportlīdzekļa nosaukumu (kuģa vārds, lidojuma numurs ut</w:t>
      </w:r>
      <w:r>
        <w:rPr>
          <w:noProof/>
        </w:rPr>
        <w:t>t.).</w:t>
      </w:r>
    </w:p>
    <w:p w:rsidR="003E022D" w:rsidRDefault="007D19D6">
      <w:pPr>
        <w:numPr>
          <w:ilvl w:val="0"/>
          <w:numId w:val="1258"/>
        </w:numPr>
        <w:spacing w:after="0"/>
        <w:rPr>
          <w:rFonts w:eastAsia="Times New Roman" w:cstheme="minorHAnsi"/>
          <w:noProof/>
        </w:rPr>
      </w:pPr>
      <w:r>
        <w:rPr>
          <w:noProof/>
        </w:rPr>
        <w:t>Norādīt šādu informāciju:</w:t>
      </w:r>
    </w:p>
    <w:p w:rsidR="003E022D" w:rsidRDefault="007D19D6">
      <w:pPr>
        <w:numPr>
          <w:ilvl w:val="0"/>
          <w:numId w:val="1257"/>
        </w:numPr>
        <w:spacing w:after="0"/>
        <w:rPr>
          <w:rFonts w:eastAsia="Times New Roman" w:cstheme="minorHAnsi"/>
          <w:noProof/>
        </w:rPr>
      </w:pPr>
      <w:r>
        <w:rPr>
          <w:noProof/>
        </w:rPr>
        <w:t>tirdzniecības nosaukums, kas norādīts uz etiķetes,</w:t>
      </w:r>
    </w:p>
    <w:p w:rsidR="003E022D" w:rsidRDefault="007D19D6">
      <w:pPr>
        <w:numPr>
          <w:ilvl w:val="0"/>
          <w:numId w:val="1257"/>
        </w:numPr>
        <w:spacing w:after="0"/>
        <w:rPr>
          <w:rFonts w:eastAsia="Times New Roman" w:cstheme="minorHAnsi"/>
          <w:noProof/>
        </w:rPr>
      </w:pPr>
      <w:r>
        <w:rPr>
          <w:noProof/>
        </w:rPr>
        <w:t>ražotāja nosaukums,</w:t>
      </w:r>
    </w:p>
    <w:p w:rsidR="003E022D" w:rsidRDefault="007D19D6">
      <w:pPr>
        <w:numPr>
          <w:ilvl w:val="0"/>
          <w:numId w:val="1257"/>
        </w:numPr>
        <w:spacing w:after="0"/>
        <w:rPr>
          <w:rFonts w:eastAsia="Times New Roman" w:cstheme="minorHAnsi"/>
          <w:noProof/>
        </w:rPr>
      </w:pPr>
      <w:r>
        <w:rPr>
          <w:noProof/>
        </w:rPr>
        <w:t>vīnkopības reģions,</w:t>
      </w:r>
    </w:p>
    <w:p w:rsidR="003E022D" w:rsidRDefault="007D19D6">
      <w:pPr>
        <w:numPr>
          <w:ilvl w:val="0"/>
          <w:numId w:val="1257"/>
        </w:numPr>
        <w:spacing w:after="0"/>
        <w:rPr>
          <w:rFonts w:eastAsia="Times New Roman" w:cstheme="minorHAnsi"/>
          <w:noProof/>
        </w:rPr>
      </w:pPr>
      <w:r>
        <w:rPr>
          <w:noProof/>
        </w:rPr>
        <w:t>ražotājvalsts nosaukums (viena no Eiropas Savienības dalībvalstīm vai Apvienotā Karaliste),</w:t>
      </w:r>
    </w:p>
    <w:p w:rsidR="003E022D" w:rsidRDefault="007D19D6">
      <w:pPr>
        <w:numPr>
          <w:ilvl w:val="0"/>
          <w:numId w:val="1257"/>
        </w:numPr>
        <w:spacing w:after="0"/>
        <w:rPr>
          <w:rFonts w:eastAsia="Times New Roman" w:cstheme="minorHAnsi"/>
          <w:noProof/>
        </w:rPr>
      </w:pPr>
      <w:r>
        <w:rPr>
          <w:noProof/>
        </w:rPr>
        <w:t>attiecīgā gadījumā – ĢIN,</w:t>
      </w:r>
    </w:p>
    <w:p w:rsidR="003E022D" w:rsidRDefault="007D19D6">
      <w:pPr>
        <w:numPr>
          <w:ilvl w:val="0"/>
          <w:numId w:val="1257"/>
        </w:numPr>
        <w:spacing w:after="0"/>
        <w:rPr>
          <w:rFonts w:eastAsia="Times New Roman" w:cstheme="minorHAnsi"/>
          <w:noProof/>
        </w:rPr>
      </w:pPr>
      <w:r>
        <w:rPr>
          <w:noProof/>
        </w:rPr>
        <w:t>kopējā spirta ti</w:t>
      </w:r>
      <w:r>
        <w:rPr>
          <w:noProof/>
        </w:rPr>
        <w:t>lpumkoncentrācija,</w:t>
      </w:r>
    </w:p>
    <w:p w:rsidR="003E022D" w:rsidRDefault="007D19D6">
      <w:pPr>
        <w:numPr>
          <w:ilvl w:val="0"/>
          <w:numId w:val="1257"/>
        </w:numPr>
        <w:spacing w:after="0"/>
        <w:rPr>
          <w:rFonts w:eastAsia="Times New Roman" w:cstheme="minorHAnsi"/>
          <w:noProof/>
        </w:rPr>
      </w:pPr>
      <w:r>
        <w:rPr>
          <w:noProof/>
        </w:rPr>
        <w:t>produkta krāsa (norāda tikai “sarkans”, “sārts”, “rozā” vai “balts”),</w:t>
      </w:r>
    </w:p>
    <w:p w:rsidR="003E022D" w:rsidRDefault="007D19D6">
      <w:pPr>
        <w:numPr>
          <w:ilvl w:val="0"/>
          <w:numId w:val="1257"/>
        </w:numPr>
        <w:spacing w:after="0"/>
        <w:rPr>
          <w:rFonts w:eastAsia="Times New Roman" w:cstheme="minorHAnsi"/>
          <w:noProof/>
        </w:rPr>
      </w:pPr>
      <w:r>
        <w:rPr>
          <w:noProof/>
        </w:rPr>
        <w:t>kombinētās nomenklatūras kods (KN kods).</w:t>
      </w:r>
    </w:p>
    <w:p w:rsidR="003E022D" w:rsidRDefault="007D19D6">
      <w:pPr>
        <w:numPr>
          <w:ilvl w:val="0"/>
          <w:numId w:val="1258"/>
        </w:numPr>
        <w:spacing w:after="0"/>
        <w:rPr>
          <w:rFonts w:eastAsia="Times New Roman" w:cstheme="minorHAnsi"/>
          <w:noProof/>
        </w:rPr>
      </w:pPr>
      <w:r>
        <w:rPr>
          <w:noProof/>
        </w:rPr>
        <w:t>Trauks ir vīna tvertne, kuras tilpums ir mazāks par 60 litriem. Trauku skaits var būt pudeļu skaits.</w:t>
      </w:r>
    </w:p>
    <w:p w:rsidR="003E022D" w:rsidRDefault="007D19D6">
      <w:pPr>
        <w:numPr>
          <w:ilvl w:val="0"/>
          <w:numId w:val="1258"/>
        </w:numPr>
        <w:spacing w:after="0"/>
        <w:rPr>
          <w:rFonts w:eastAsia="Times New Roman" w:cstheme="minorHAnsi"/>
          <w:noProof/>
        </w:rPr>
      </w:pPr>
      <w:r>
        <w:rPr>
          <w:noProof/>
        </w:rPr>
        <w:t>Norādīt attiecīgās kompet</w:t>
      </w:r>
      <w:r>
        <w:rPr>
          <w:noProof/>
        </w:rPr>
        <w:t>entās iestādes pilnu nosaukumu, adresi un kontaktinformāciju vienā no Eiropas Savienības dalībvalstīm vai Apvienotajā Karalistē.</w:t>
      </w:r>
    </w:p>
    <w:p w:rsidR="003E022D" w:rsidRDefault="007D19D6">
      <w:pPr>
        <w:numPr>
          <w:ilvl w:val="0"/>
          <w:numId w:val="1258"/>
        </w:numPr>
        <w:spacing w:after="0"/>
        <w:rPr>
          <w:rFonts w:eastAsia="Times New Roman" w:cstheme="minorHAnsi"/>
          <w:noProof/>
        </w:rPr>
      </w:pPr>
      <w:r>
        <w:rPr>
          <w:noProof/>
        </w:rPr>
        <w:t>Norādīt nosūtītāja pilnu vārdu/nosaukumu, adresi un kontaktinformāciju.</w:t>
      </w:r>
    </w:p>
    <w:p w:rsidR="003E022D" w:rsidRDefault="007D19D6">
      <w:pPr>
        <w:numPr>
          <w:ilvl w:val="0"/>
          <w:numId w:val="1258"/>
        </w:numPr>
        <w:spacing w:after="0"/>
        <w:rPr>
          <w:rFonts w:eastAsia="Times New Roman" w:cstheme="minorHAnsi"/>
          <w:noProof/>
        </w:rPr>
      </w:pPr>
      <w:r>
        <w:rPr>
          <w:noProof/>
        </w:rPr>
        <w:t>Norādīt:</w:t>
      </w:r>
    </w:p>
    <w:p w:rsidR="003E022D" w:rsidRDefault="007D19D6">
      <w:pPr>
        <w:numPr>
          <w:ilvl w:val="0"/>
          <w:numId w:val="1257"/>
        </w:numPr>
        <w:spacing w:after="0"/>
        <w:rPr>
          <w:rFonts w:eastAsia="Times New Roman" w:cstheme="minorHAnsi"/>
          <w:noProof/>
        </w:rPr>
      </w:pPr>
      <w:r>
        <w:rPr>
          <w:noProof/>
        </w:rPr>
        <w:t xml:space="preserve">attiecībā uz Eiropas Savienību – akcīzes datu </w:t>
      </w:r>
      <w:r>
        <w:rPr>
          <w:noProof/>
        </w:rPr>
        <w:t>apmaiņas sistēmas (</w:t>
      </w:r>
      <w:r>
        <w:rPr>
          <w:i/>
          <w:iCs/>
          <w:noProof/>
        </w:rPr>
        <w:t>SEED</w:t>
      </w:r>
      <w:r>
        <w:rPr>
          <w:noProof/>
        </w:rPr>
        <w:t xml:space="preserve">) akcīzes identifikācijas numuru vai PVN identifikācijas numuru, ja nosūtītājam nav </w:t>
      </w:r>
      <w:r>
        <w:rPr>
          <w:i/>
          <w:iCs/>
          <w:noProof/>
        </w:rPr>
        <w:t>SEED</w:t>
      </w:r>
      <w:r>
        <w:rPr>
          <w:noProof/>
        </w:rPr>
        <w:t xml:space="preserve"> numura, vai atsauci uz numuru sarakstā vai reģistrā, kas paredzēts Komisijas Deleģētās regulas (ES) 2018/273</w:t>
      </w:r>
      <w:r>
        <w:rPr>
          <w:rStyle w:val="FootnoteReference"/>
          <w:rFonts w:eastAsia="Times New Roman" w:cstheme="minorHAnsi"/>
          <w:noProof/>
        </w:rPr>
        <w:footnoteReference w:id="106"/>
      </w:r>
      <w:r>
        <w:rPr>
          <w:noProof/>
        </w:rPr>
        <w:t xml:space="preserve"> 8. panta 3. punktā;</w:t>
      </w:r>
    </w:p>
    <w:p w:rsidR="003E022D" w:rsidRDefault="007D19D6">
      <w:pPr>
        <w:numPr>
          <w:ilvl w:val="0"/>
          <w:numId w:val="1257"/>
        </w:numPr>
        <w:spacing w:after="0"/>
        <w:rPr>
          <w:rFonts w:eastAsia="Century" w:cs="Times New Roman"/>
          <w:i/>
          <w:noProof/>
        </w:rPr>
      </w:pPr>
      <w:r>
        <w:rPr>
          <w:noProof/>
        </w:rPr>
        <w:t xml:space="preserve">attiecībā uz </w:t>
      </w:r>
      <w:r>
        <w:rPr>
          <w:noProof/>
        </w:rPr>
        <w:t>Apvienoto Karalisti – akcīzes datu apmaiņas sistēmas (</w:t>
      </w:r>
      <w:r>
        <w:rPr>
          <w:i/>
          <w:iCs/>
          <w:noProof/>
        </w:rPr>
        <w:t>SEED</w:t>
      </w:r>
      <w:r>
        <w:rPr>
          <w:noProof/>
        </w:rPr>
        <w:t xml:space="preserve">) akcīzes identifikācijas numuru vai PVN identifikācijas numuru, ja nosūtītājam nav </w:t>
      </w:r>
      <w:r>
        <w:rPr>
          <w:i/>
          <w:iCs/>
          <w:noProof/>
        </w:rPr>
        <w:t>SEED</w:t>
      </w:r>
      <w:r>
        <w:rPr>
          <w:noProof/>
        </w:rPr>
        <w:t xml:space="preserve"> numura, vai atsauci uz </w:t>
      </w:r>
      <w:r>
        <w:rPr>
          <w:i/>
          <w:iCs/>
          <w:noProof/>
        </w:rPr>
        <w:t>WSB</w:t>
      </w:r>
      <w:r>
        <w:rPr>
          <w:noProof/>
        </w:rPr>
        <w:t xml:space="preserve"> numuru.</w:t>
      </w:r>
      <w:r>
        <w:rPr>
          <w:noProof/>
        </w:rPr>
        <w:br w:type="page"/>
      </w:r>
    </w:p>
    <w:p w:rsidR="003E022D" w:rsidRDefault="007D19D6">
      <w:pPr>
        <w:pStyle w:val="ANNEX"/>
        <w:rPr>
          <w:noProof/>
        </w:rPr>
      </w:pPr>
      <w:bookmarkStart w:id="968" w:name="_Toc59691295"/>
      <w:bookmarkStart w:id="969" w:name="_Toc59988398"/>
      <w:r>
        <w:rPr>
          <w:noProof/>
        </w:rPr>
        <w:t>TBT-XX PIELIKUMS – TBT.9. PANTA 4. PUNKTĀ MINĒTĀ KĀRTĪBA REGULĀRAI INFORM</w:t>
      </w:r>
      <w:r>
        <w:rPr>
          <w:noProof/>
        </w:rPr>
        <w:t>ĀCIJAS APMAIŅAI SAISTĪBĀ AR NEPĀRTIKAS PREČU DROŠUMU UN SAISTĪTIEM PREVENTĪVIEM, IEROBEŽOJOŠIEM UN KOREKTĪVIEM PASĀKUMIEM</w:t>
      </w:r>
      <w:bookmarkEnd w:id="968"/>
      <w:bookmarkEnd w:id="969"/>
    </w:p>
    <w:p w:rsidR="003E022D" w:rsidRDefault="003E022D">
      <w:pPr>
        <w:rPr>
          <w:i/>
          <w:noProof/>
        </w:rPr>
      </w:pPr>
    </w:p>
    <w:p w:rsidR="003E022D" w:rsidRDefault="007D19D6">
      <w:pPr>
        <w:rPr>
          <w:i/>
          <w:noProof/>
        </w:rPr>
      </w:pPr>
      <w:r>
        <w:rPr>
          <w:i/>
          <w:noProof/>
        </w:rPr>
        <w:t>[Šis pielikums nosaka kārtību regulārai informācijas apmaiņai starp Savienības Ātrās brīdināšanas sistēmu nepārtikas preču jomā (</w:t>
      </w:r>
      <w:r>
        <w:rPr>
          <w:noProof/>
        </w:rPr>
        <w:t>RAPE</w:t>
      </w:r>
      <w:r>
        <w:rPr>
          <w:noProof/>
        </w:rPr>
        <w:t>X</w:t>
      </w:r>
      <w:r>
        <w:rPr>
          <w:i/>
          <w:noProof/>
        </w:rPr>
        <w:t>) vai tās pēcteci un Apvienotās Karalistes tirgus uzraudzības un produktu drošības datubāzi, kas izveidota saskaņā ar 2005. gada vispārējiem produktu drošības noteikumiem, vai tās pēcteci.</w:t>
      </w:r>
    </w:p>
    <w:p w:rsidR="003E022D" w:rsidRDefault="007D19D6">
      <w:pPr>
        <w:rPr>
          <w:i/>
          <w:noProof/>
        </w:rPr>
      </w:pPr>
      <w:r>
        <w:rPr>
          <w:i/>
          <w:noProof/>
        </w:rPr>
        <w:t xml:space="preserve">Saskaņā ar TBT.9. panta 8. punktu kārtība nosaka tās informācijas </w:t>
      </w:r>
      <w:r>
        <w:rPr>
          <w:i/>
          <w:noProof/>
        </w:rPr>
        <w:t>veidu, ar ko jāapmainās, informācijas apmaiņas kārtību un konfidencialitātes un persondatu aizsardzības noteikumu piemērošanu.]</w:t>
      </w:r>
    </w:p>
    <w:p w:rsidR="003E022D" w:rsidRDefault="007D19D6">
      <w:pPr>
        <w:rPr>
          <w:i/>
          <w:noProof/>
        </w:rPr>
      </w:pPr>
      <w:r>
        <w:rPr>
          <w:noProof/>
        </w:rPr>
        <w:br w:type="page"/>
      </w:r>
    </w:p>
    <w:p w:rsidR="003E022D" w:rsidRDefault="007D19D6">
      <w:pPr>
        <w:pStyle w:val="ANNEX"/>
        <w:rPr>
          <w:noProof/>
        </w:rPr>
      </w:pPr>
      <w:bookmarkStart w:id="970" w:name="_Toc59020202"/>
      <w:bookmarkStart w:id="971" w:name="_Toc59691296"/>
      <w:bookmarkStart w:id="972" w:name="_Toc59988399"/>
      <w:r>
        <w:rPr>
          <w:noProof/>
        </w:rPr>
        <w:t xml:space="preserve">TBT-ZZ PIELIKUMS – TBT.9. PANTA 5. PUNKTĀ MINĒTĀ KĀRTĪBA REGULĀRAI INFORMĀCIJAS APMAIŅAI PAR PASĀKUMIEM, KAS VEIKTI ATTIECĪBĀ </w:t>
      </w:r>
      <w:r>
        <w:rPr>
          <w:noProof/>
        </w:rPr>
        <w:t>UZ NEATBILSTĪGIEM NEPĀRTIKAS PRODUKTIEM, IZŅEMOT TOS, UZ KURIEM ATTIECAS TBT.9. PANTA 4. PUNKTS</w:t>
      </w:r>
      <w:bookmarkEnd w:id="970"/>
      <w:bookmarkEnd w:id="971"/>
      <w:bookmarkEnd w:id="972"/>
    </w:p>
    <w:p w:rsidR="003E022D" w:rsidRDefault="003E022D">
      <w:pPr>
        <w:rPr>
          <w:i/>
          <w:noProof/>
        </w:rPr>
      </w:pPr>
    </w:p>
    <w:p w:rsidR="003E022D" w:rsidRDefault="007D19D6">
      <w:pPr>
        <w:rPr>
          <w:i/>
          <w:noProof/>
        </w:rPr>
      </w:pPr>
      <w:r>
        <w:rPr>
          <w:i/>
          <w:noProof/>
        </w:rPr>
        <w:t>[Šis pielikums nosaka kārtību regulārai informācijas apmaiņai, arī informācijas apmaiņai ar elektronisko saziņas līdzekļu palīdzību, par pasākumiem, kas veikti</w:t>
      </w:r>
      <w:r>
        <w:rPr>
          <w:i/>
          <w:noProof/>
        </w:rPr>
        <w:t xml:space="preserve"> saistībā ar neatbilstīgiem nepārtikas produktiem, izņemot tos, uz kuriem attiecas TBT.9. panta 4. punkts.  </w:t>
      </w:r>
    </w:p>
    <w:p w:rsidR="003E022D" w:rsidRDefault="007D19D6">
      <w:pPr>
        <w:rPr>
          <w:bCs/>
          <w:i/>
          <w:noProof/>
        </w:rPr>
      </w:pPr>
      <w:r>
        <w:rPr>
          <w:i/>
          <w:noProof/>
        </w:rPr>
        <w:t>Saskaņā ar TBT.9. panta 8. punktu kārtība nosaka tās informācijas veidu, ar ko jāapmainās, informācijas apmaiņas kārtību un konfidencialitātes un p</w:t>
      </w:r>
      <w:r>
        <w:rPr>
          <w:i/>
          <w:noProof/>
        </w:rPr>
        <w:t>ersondatu aizsardzības noteikumu piemērošanu.]</w:t>
      </w:r>
      <w:r>
        <w:rPr>
          <w:noProof/>
        </w:rPr>
        <w:br w:type="page"/>
      </w:r>
    </w:p>
    <w:p w:rsidR="003E022D" w:rsidRDefault="007D19D6">
      <w:pPr>
        <w:pStyle w:val="ANNEX"/>
        <w:rPr>
          <w:noProof/>
        </w:rPr>
      </w:pPr>
      <w:bookmarkStart w:id="973" w:name="_Toc59020205"/>
      <w:bookmarkStart w:id="974" w:name="_Toc59691297"/>
      <w:bookmarkStart w:id="975" w:name="_Toc59988400"/>
      <w:r>
        <w:rPr>
          <w:noProof/>
        </w:rPr>
        <w:t>CUSTMS-1. PIELIKUMS. ATZĪTIE UZŅĒMĒJI</w:t>
      </w:r>
      <w:bookmarkEnd w:id="973"/>
      <w:bookmarkEnd w:id="974"/>
      <w:bookmarkEnd w:id="975"/>
    </w:p>
    <w:p w:rsidR="003E022D" w:rsidRDefault="007D19D6">
      <w:pPr>
        <w:pStyle w:val="Article"/>
        <w:rPr>
          <w:noProof/>
        </w:rPr>
      </w:pPr>
      <w:r>
        <w:rPr>
          <w:noProof/>
        </w:rPr>
        <w:t>1. pants. Atzīto uzņēmēju kritēriji un tiem piemērojamais režīms</w:t>
      </w:r>
    </w:p>
    <w:p w:rsidR="003E022D" w:rsidRDefault="007D19D6">
      <w:pPr>
        <w:rPr>
          <w:rFonts w:eastAsia="Calibri" w:cs="Calibri"/>
          <w:noProof/>
        </w:rPr>
      </w:pPr>
      <w:r>
        <w:rPr>
          <w:noProof/>
        </w:rPr>
        <w:t xml:space="preserve">1. Šā nolīguma </w:t>
      </w:r>
      <w:r>
        <w:rPr>
          <w:noProof/>
          <w:highlight w:val="cyan"/>
        </w:rPr>
        <w:t>CUSTMS.9. pantā [Atzītie uzņēmēji]</w:t>
      </w:r>
      <w:r>
        <w:rPr>
          <w:noProof/>
        </w:rPr>
        <w:t xml:space="preserve"> norādītos kritērijus atzītā uzņēmēja (“</w:t>
      </w:r>
      <w:r>
        <w:rPr>
          <w:i/>
          <w:noProof/>
        </w:rPr>
        <w:t>AEO</w:t>
      </w:r>
      <w:r>
        <w:rPr>
          <w:noProof/>
        </w:rPr>
        <w:t>”) statusa ie</w:t>
      </w:r>
      <w:r>
        <w:rPr>
          <w:noProof/>
        </w:rPr>
        <w:t>gūšanai nosaka Pušu normatīvie akti vai procedūras. Norādītajos kritērijos, ko publicē, ietilpst:</w:t>
      </w:r>
    </w:p>
    <w:p w:rsidR="003E022D" w:rsidRDefault="007D19D6">
      <w:pPr>
        <w:rPr>
          <w:rFonts w:eastAsia="Calibri" w:cs="Calibri"/>
          <w:noProof/>
        </w:rPr>
      </w:pPr>
      <w:r>
        <w:rPr>
          <w:noProof/>
        </w:rPr>
        <w:t>a) nav nopietnu vai atkārtotu tiesību aktu muitas jomā un nodokļu noteikumu pārkāpumu, tostarp nav smagu noziedzīgu nodarījumu, kas saistīti ar pieteikuma ies</w:t>
      </w:r>
      <w:r>
        <w:rPr>
          <w:noProof/>
        </w:rPr>
        <w:t>niedzēja saimniecisko darbību;</w:t>
      </w:r>
    </w:p>
    <w:p w:rsidR="003E022D" w:rsidRDefault="007D19D6">
      <w:pPr>
        <w:rPr>
          <w:rFonts w:eastAsia="Calibri" w:cs="Calibri"/>
          <w:noProof/>
        </w:rPr>
      </w:pPr>
      <w:r>
        <w:rPr>
          <w:noProof/>
        </w:rPr>
        <w:t>b) pieteikuma iesniedzējs ir demonstrējis augsta līmeņa kontroli pār savām darbībām un preču plūsmu, izmantojot komerciālās un, attiecīgos gadījumos, pārvadājum u uzskaites pārvaldības sistēmu, kas ļauj veikt pienācīgu muitas</w:t>
      </w:r>
      <w:r>
        <w:rPr>
          <w:noProof/>
        </w:rPr>
        <w:t xml:space="preserve"> kontroli;</w:t>
      </w:r>
    </w:p>
    <w:p w:rsidR="003E022D" w:rsidRDefault="007D19D6">
      <w:pPr>
        <w:rPr>
          <w:rFonts w:eastAsia="Calibri" w:cs="Calibri"/>
          <w:noProof/>
        </w:rPr>
      </w:pPr>
      <w:r>
        <w:rPr>
          <w:noProof/>
        </w:rPr>
        <w:t>c) finansiāla maksātspēja, ko uzskata par pierādītu tad, ja pieteikuma iesniedzējam ir labs finansiālais stāvoklis, kas ir pietiekams, lai pildītu saistības, ņemot vērā attiecīgā darījumdarbības veida specifiku; un</w:t>
      </w:r>
    </w:p>
    <w:p w:rsidR="003E022D" w:rsidRDefault="007D19D6">
      <w:pPr>
        <w:rPr>
          <w:rFonts w:eastAsia="Calibri" w:cs="Calibri"/>
          <w:noProof/>
        </w:rPr>
      </w:pPr>
      <w:r>
        <w:rPr>
          <w:noProof/>
        </w:rPr>
        <w:t>d) pienācīgi drošības un drošu</w:t>
      </w:r>
      <w:r>
        <w:rPr>
          <w:noProof/>
        </w:rPr>
        <w:t>ma standarti, ko uzskata par izpildītiem, ja pieteikuma iesniedzējs ir demonstrējis, ka veic pienācīgus pasākumus, ar kuriem nodrošina drošību un drošumu starptautiskajā piegādes ķēdē, tostarp tādās jomās kā fiziska integritāte un piekļuves kontrole, loģis</w:t>
      </w:r>
      <w:r>
        <w:rPr>
          <w:noProof/>
        </w:rPr>
        <w:t>tikas procesi un darbības ar specifisku preču veidiem, personāls un darījumdarbības partneru apzināšana.</w:t>
      </w:r>
    </w:p>
    <w:p w:rsidR="003E022D" w:rsidRDefault="007D19D6">
      <w:pPr>
        <w:rPr>
          <w:rFonts w:eastAsia="Calibri" w:cs="Calibri"/>
          <w:noProof/>
        </w:rPr>
      </w:pPr>
      <w:r>
        <w:rPr>
          <w:noProof/>
        </w:rPr>
        <w:t>2</w:t>
      </w:r>
      <w:r>
        <w:rPr>
          <w:noProof/>
          <w:color w:val="0070C0"/>
        </w:rPr>
        <w:t xml:space="preserve">. </w:t>
      </w:r>
      <w:r>
        <w:rPr>
          <w:noProof/>
        </w:rPr>
        <w:t>Noteiktie kritēriji, lai kvalificētos par atzīto uzņēmēju (</w:t>
      </w:r>
      <w:r>
        <w:rPr>
          <w:i/>
          <w:noProof/>
        </w:rPr>
        <w:t>AEO</w:t>
      </w:r>
      <w:r>
        <w:rPr>
          <w:noProof/>
        </w:rPr>
        <w:t>), nav izstrādāti vai piemēroti tā, lai pieļautu vai radītu patvaļīgu vai neattaisnoja</w:t>
      </w:r>
      <w:r>
        <w:rPr>
          <w:noProof/>
        </w:rPr>
        <w:t>mu diskrimināciju starp uzņēmējiem vienādos apstākļos. Šie kritēriji ļauj mazajiem un vidējiem uzņēmumiem kvalificēties par atzītajiem uzņēmējiem (</w:t>
      </w:r>
      <w:r>
        <w:rPr>
          <w:i/>
          <w:noProof/>
        </w:rPr>
        <w:t>AEO</w:t>
      </w:r>
      <w:r>
        <w:rPr>
          <w:noProof/>
        </w:rPr>
        <w:t>).</w:t>
      </w:r>
    </w:p>
    <w:p w:rsidR="003E022D" w:rsidRDefault="007D19D6">
      <w:pPr>
        <w:rPr>
          <w:rFonts w:eastAsia="Calibri" w:cs="Calibri"/>
          <w:noProof/>
        </w:rPr>
      </w:pPr>
      <w:r>
        <w:rPr>
          <w:noProof/>
        </w:rPr>
        <w:t xml:space="preserve">3. </w:t>
      </w:r>
      <w:bookmarkStart w:id="976" w:name="_Hlk57624533"/>
      <w:r>
        <w:rPr>
          <w:noProof/>
        </w:rPr>
        <w:t xml:space="preserve">Tirdzniecības partnerības programma, kas minēta šā nolīguma </w:t>
      </w:r>
      <w:r>
        <w:rPr>
          <w:noProof/>
          <w:highlight w:val="cyan"/>
        </w:rPr>
        <w:t>CUSTMS.9. pantā [Atzītie uzņēmēji]</w:t>
      </w:r>
      <w:r>
        <w:rPr>
          <w:noProof/>
        </w:rPr>
        <w:t>,</w:t>
      </w:r>
      <w:bookmarkEnd w:id="976"/>
      <w:r>
        <w:rPr>
          <w:noProof/>
        </w:rPr>
        <w:t xml:space="preserve"> pare</w:t>
      </w:r>
      <w:r>
        <w:rPr>
          <w:noProof/>
        </w:rPr>
        <w:t>dz šādu režīmu:</w:t>
      </w:r>
    </w:p>
    <w:p w:rsidR="003E022D" w:rsidRDefault="007D19D6">
      <w:pPr>
        <w:rPr>
          <w:rFonts w:eastAsia="Calibri" w:cs="Calibri"/>
          <w:noProof/>
        </w:rPr>
      </w:pPr>
      <w:r>
        <w:rPr>
          <w:noProof/>
        </w:rPr>
        <w:t xml:space="preserve"> a) </w:t>
      </w:r>
      <w:bookmarkStart w:id="977" w:name="_Hlk57724354"/>
      <w:r>
        <w:rPr>
          <w:noProof/>
        </w:rPr>
        <w:t>otras Puses piešķirtais atzītā uzņēmēja (</w:t>
      </w:r>
      <w:r>
        <w:rPr>
          <w:i/>
          <w:iCs/>
          <w:noProof/>
        </w:rPr>
        <w:t>AEO</w:t>
      </w:r>
      <w:r>
        <w:rPr>
          <w:noProof/>
        </w:rPr>
        <w:t>) statuss labvēlīgi tiek ņemts vērā riska novērtējumā, lai samazinātu pārbaužu skaitu vai kontroles apmēru, un citos ar drošību un drošumu saistītos pasākumos;</w:t>
      </w:r>
      <w:bookmarkEnd w:id="977"/>
    </w:p>
    <w:p w:rsidR="003E022D" w:rsidRDefault="007D19D6">
      <w:pPr>
        <w:rPr>
          <w:rFonts w:eastAsia="Calibri" w:cs="Calibri"/>
          <w:noProof/>
        </w:rPr>
      </w:pPr>
      <w:r>
        <w:rPr>
          <w:noProof/>
        </w:rPr>
        <w:t>b) prioritāte ir to sūtījumu pār</w:t>
      </w:r>
      <w:r>
        <w:rPr>
          <w:noProof/>
        </w:rPr>
        <w:t>baudei, uz kuriem attiecas atzītā uzņēmēja (</w:t>
      </w:r>
      <w:r>
        <w:rPr>
          <w:i/>
          <w:noProof/>
        </w:rPr>
        <w:t>AEO</w:t>
      </w:r>
      <w:r>
        <w:rPr>
          <w:noProof/>
        </w:rPr>
        <w:t>) iesniegtās izvešanas vai ievešanas kopsavilkuma deklarācijas, ja muitas dienests nolemj veikt pārbaudi;</w:t>
      </w:r>
    </w:p>
    <w:p w:rsidR="003E022D" w:rsidRDefault="007D19D6">
      <w:pPr>
        <w:rPr>
          <w:rFonts w:eastAsia="Calibri" w:cs="Calibri"/>
          <w:noProof/>
        </w:rPr>
      </w:pPr>
      <w:r>
        <w:rPr>
          <w:noProof/>
        </w:rPr>
        <w:t xml:space="preserve"> c) atzītā uzņēmēja (</w:t>
      </w:r>
      <w:r>
        <w:rPr>
          <w:i/>
          <w:noProof/>
        </w:rPr>
        <w:t>AEO</w:t>
      </w:r>
      <w:r>
        <w:rPr>
          <w:noProof/>
        </w:rPr>
        <w:t>) statuss, ko atzinusi otra Puse, tiek ņemts vērā ar mērķi izturēties pret atzī</w:t>
      </w:r>
      <w:r>
        <w:rPr>
          <w:noProof/>
        </w:rPr>
        <w:t>to uzņēmēju (</w:t>
      </w:r>
      <w:r>
        <w:rPr>
          <w:i/>
          <w:noProof/>
        </w:rPr>
        <w:t>AEO</w:t>
      </w:r>
      <w:r>
        <w:rPr>
          <w:noProof/>
        </w:rPr>
        <w:t>) kā pret drošību un drošumu garantējošu partneri, novērtējot prasības pieteikuma iesniedzējiem kā darījumdarbības partneriem saskaņā ar savu programmu un</w:t>
      </w:r>
    </w:p>
    <w:p w:rsidR="003E022D" w:rsidRDefault="007D19D6">
      <w:pPr>
        <w:rPr>
          <w:rFonts w:eastAsia="Calibri" w:cs="Calibri"/>
          <w:noProof/>
        </w:rPr>
      </w:pPr>
      <w:r>
        <w:rPr>
          <w:noProof/>
        </w:rPr>
        <w:t>d) censties izveidot kopīgu darbības nepārtrauktības mehānismu, lai reaģētu uz traucē</w:t>
      </w:r>
      <w:r>
        <w:rPr>
          <w:noProof/>
        </w:rPr>
        <w:t>jumiem tirdzniecības plūsmās, ko izraisa paaugstināti drošības brīdinājumu līmeņi, robežu slēgšana un/vai dabas katastrofas, bīstamas ārkārtas situācijas vai citi būtiski negadījumi, kad Pušu muitas dienesti varētu pēc iespējas atvieglot un paātrināt ar at</w:t>
      </w:r>
      <w:r>
        <w:rPr>
          <w:noProof/>
        </w:rPr>
        <w:t>zītajiem uzņēmējiem (</w:t>
      </w:r>
      <w:r>
        <w:rPr>
          <w:i/>
          <w:noProof/>
        </w:rPr>
        <w:t>AEO</w:t>
      </w:r>
      <w:r>
        <w:rPr>
          <w:noProof/>
        </w:rPr>
        <w:t>) saistīto prioritāro kravu plūsmu.</w:t>
      </w:r>
      <w:bookmarkStart w:id="978" w:name="_Hlk57723823"/>
      <w:r>
        <w:rPr>
          <w:noProof/>
        </w:rPr>
        <w:t xml:space="preserve"> </w:t>
      </w:r>
      <w:bookmarkEnd w:id="978"/>
    </w:p>
    <w:p w:rsidR="003E022D" w:rsidRDefault="007D19D6">
      <w:pPr>
        <w:pStyle w:val="Article"/>
        <w:rPr>
          <w:noProof/>
        </w:rPr>
      </w:pPr>
      <w:r>
        <w:rPr>
          <w:noProof/>
        </w:rPr>
        <w:t>2. pants. Savstarpēja atzīšana un atbildība par īstenošanu</w:t>
      </w:r>
    </w:p>
    <w:p w:rsidR="003E022D" w:rsidRDefault="007D19D6">
      <w:pPr>
        <w:rPr>
          <w:rFonts w:eastAsia="Calibri" w:cs="Calibri"/>
          <w:noProof/>
        </w:rPr>
      </w:pPr>
      <w:r>
        <w:rPr>
          <w:noProof/>
        </w:rPr>
        <w:t>1. Atzītā uzņēmēja (</w:t>
      </w:r>
      <w:r>
        <w:rPr>
          <w:i/>
          <w:noProof/>
        </w:rPr>
        <w:t>AEO</w:t>
      </w:r>
      <w:r>
        <w:rPr>
          <w:noProof/>
        </w:rPr>
        <w:t>) statusu saskaņā ar Savienības un Apvienotās Karalistes tirdzniecības partnerības programmām atzīst par saderīgu</w:t>
      </w:r>
      <w:r>
        <w:rPr>
          <w:noProof/>
        </w:rPr>
        <w:t>, un atzītā uzņēmēja (</w:t>
      </w:r>
      <w:r>
        <w:rPr>
          <w:i/>
          <w:noProof/>
        </w:rPr>
        <w:t>AEO</w:t>
      </w:r>
      <w:r>
        <w:rPr>
          <w:noProof/>
        </w:rPr>
        <w:t xml:space="preserve">) statusa, kas piešķirts saskaņā ar katru programmu, turētājiem piemēro režīmu saskaņā ar </w:t>
      </w:r>
      <w:r>
        <w:rPr>
          <w:noProof/>
          <w:highlight w:val="cyan"/>
        </w:rPr>
        <w:t>4. pantu</w:t>
      </w:r>
      <w:r>
        <w:rPr>
          <w:noProof/>
        </w:rPr>
        <w:t>.</w:t>
      </w:r>
    </w:p>
    <w:p w:rsidR="003E022D" w:rsidRDefault="007D19D6">
      <w:pPr>
        <w:rPr>
          <w:rFonts w:eastAsia="Calibri" w:cs="Calibri"/>
          <w:noProof/>
        </w:rPr>
      </w:pPr>
      <w:r>
        <w:rPr>
          <w:noProof/>
        </w:rPr>
        <w:t>2. Atbilstošās tirdzniecības partnerības programmas ir:</w:t>
      </w:r>
    </w:p>
    <w:p w:rsidR="003E022D" w:rsidRDefault="007D19D6">
      <w:pPr>
        <w:rPr>
          <w:rFonts w:eastAsia="Calibri" w:cs="Calibri"/>
          <w:noProof/>
        </w:rPr>
      </w:pPr>
      <w:r>
        <w:rPr>
          <w:noProof/>
        </w:rPr>
        <w:t>a) Eiropas Savienības atzītais uzņēmējs (drošība un drošums) (SMK 38. panta</w:t>
      </w:r>
      <w:r>
        <w:rPr>
          <w:noProof/>
        </w:rPr>
        <w:t xml:space="preserve"> 2. punkta b) apakšpunkts); un</w:t>
      </w:r>
    </w:p>
    <w:p w:rsidR="003E022D" w:rsidRDefault="007D19D6">
      <w:pPr>
        <w:rPr>
          <w:rFonts w:eastAsia="Calibri" w:cs="Calibri"/>
          <w:noProof/>
        </w:rPr>
      </w:pPr>
      <w:r>
        <w:rPr>
          <w:noProof/>
        </w:rPr>
        <w:t>a) Apvienotās Karalistes Atzīto uzņēmēju programma (drošums un drošība) (SMK 38. panta 2. punkta b) apakšpunkts, kas saglabāts Apvienotās Karalistes tiesību aktos).</w:t>
      </w:r>
    </w:p>
    <w:p w:rsidR="003E022D" w:rsidRDefault="007D19D6">
      <w:pPr>
        <w:rPr>
          <w:rFonts w:eastAsia="Calibri" w:cs="Calibri"/>
          <w:noProof/>
        </w:rPr>
      </w:pPr>
      <w:r>
        <w:rPr>
          <w:noProof/>
        </w:rPr>
        <w:t xml:space="preserve">3. Par šā pielikuma noteikumu īstenošanu ir atbildīgi muitas dienesti, kas definēti </w:t>
      </w:r>
      <w:r>
        <w:rPr>
          <w:noProof/>
          <w:highlight w:val="cyan"/>
        </w:rPr>
        <w:t>OTH.1. panta [Definīcijas] b) apakšpunktā</w:t>
      </w:r>
      <w:r>
        <w:rPr>
          <w:noProof/>
        </w:rPr>
        <w:t>, (turpmāk “muitas dienesti”).</w:t>
      </w:r>
    </w:p>
    <w:p w:rsidR="003E022D" w:rsidRDefault="007D19D6">
      <w:pPr>
        <w:pStyle w:val="Article"/>
        <w:rPr>
          <w:noProof/>
        </w:rPr>
      </w:pPr>
      <w:r>
        <w:rPr>
          <w:noProof/>
        </w:rPr>
        <w:t>3. pants. Saderība</w:t>
      </w:r>
    </w:p>
    <w:p w:rsidR="003E022D" w:rsidRDefault="007D19D6">
      <w:pPr>
        <w:rPr>
          <w:rFonts w:eastAsia="Calibri" w:cs="Calibri"/>
          <w:noProof/>
        </w:rPr>
      </w:pPr>
      <w:r>
        <w:rPr>
          <w:noProof/>
        </w:rPr>
        <w:t>1. Puses sadarbojas, lai uzturētu katrai tirdzniecības partnerības programmai pie</w:t>
      </w:r>
      <w:r>
        <w:rPr>
          <w:noProof/>
        </w:rPr>
        <w:t>mērojamo standartu saderību attiecībā uz šādiem jautājumiem:</w:t>
      </w:r>
    </w:p>
    <w:p w:rsidR="003E022D" w:rsidRDefault="007D19D6">
      <w:pPr>
        <w:rPr>
          <w:rFonts w:eastAsia="Calibri" w:cs="Calibri"/>
          <w:noProof/>
        </w:rPr>
      </w:pPr>
      <w:r>
        <w:rPr>
          <w:noProof/>
        </w:rPr>
        <w:t>a) pieteikumu iesniegšanas process atzītā uzņēmēja (</w:t>
      </w:r>
      <w:r>
        <w:rPr>
          <w:i/>
          <w:noProof/>
        </w:rPr>
        <w:t>AEO</w:t>
      </w:r>
      <w:r>
        <w:rPr>
          <w:noProof/>
        </w:rPr>
        <w:t>) statusa piešķiršanai uzņēmējiem;</w:t>
      </w:r>
    </w:p>
    <w:p w:rsidR="003E022D" w:rsidRDefault="007D19D6">
      <w:pPr>
        <w:rPr>
          <w:rFonts w:eastAsia="Calibri" w:cs="Calibri"/>
          <w:noProof/>
        </w:rPr>
      </w:pPr>
      <w:r>
        <w:rPr>
          <w:noProof/>
        </w:rPr>
        <w:t>b) atzītā uzņēmēja (</w:t>
      </w:r>
      <w:r>
        <w:rPr>
          <w:i/>
          <w:noProof/>
        </w:rPr>
        <w:t>AEO</w:t>
      </w:r>
      <w:r>
        <w:rPr>
          <w:noProof/>
        </w:rPr>
        <w:t>) statusa pieteikumu novērtēšana;</w:t>
      </w:r>
    </w:p>
    <w:p w:rsidR="003E022D" w:rsidRDefault="007D19D6">
      <w:pPr>
        <w:rPr>
          <w:rFonts w:eastAsia="Calibri" w:cs="Calibri"/>
          <w:noProof/>
        </w:rPr>
      </w:pPr>
      <w:r>
        <w:rPr>
          <w:noProof/>
        </w:rPr>
        <w:t>c) atzītā uzņēmēja (</w:t>
      </w:r>
      <w:r>
        <w:rPr>
          <w:i/>
          <w:noProof/>
        </w:rPr>
        <w:t>AEO</w:t>
      </w:r>
      <w:r>
        <w:rPr>
          <w:noProof/>
        </w:rPr>
        <w:t>) statusa piešķiršana un</w:t>
      </w:r>
    </w:p>
    <w:p w:rsidR="003E022D" w:rsidRDefault="007D19D6">
      <w:pPr>
        <w:rPr>
          <w:rFonts w:eastAsia="Calibri" w:cs="Calibri"/>
          <w:noProof/>
        </w:rPr>
      </w:pPr>
      <w:r>
        <w:rPr>
          <w:noProof/>
        </w:rPr>
        <w:t>d) atzītā uzņēmēja (</w:t>
      </w:r>
      <w:r>
        <w:rPr>
          <w:i/>
          <w:noProof/>
        </w:rPr>
        <w:t>AEO</w:t>
      </w:r>
      <w:r>
        <w:rPr>
          <w:noProof/>
        </w:rPr>
        <w:t>) statusa pārvaldīšana, pārraudzīšana, apturēšana un atkārtota novērtēšana, atsaukšana.</w:t>
      </w:r>
    </w:p>
    <w:p w:rsidR="003E022D" w:rsidRDefault="007D19D6">
      <w:pPr>
        <w:spacing w:line="257" w:lineRule="auto"/>
        <w:rPr>
          <w:rFonts w:eastAsia="Calibri" w:cs="Calibri"/>
          <w:noProof/>
        </w:rPr>
      </w:pPr>
      <w:r>
        <w:rPr>
          <w:noProof/>
        </w:rPr>
        <w:t>Puses nodrošina, ka to muitas dienesti pārrauga atzīto uzņēmēju (</w:t>
      </w:r>
      <w:r>
        <w:rPr>
          <w:i/>
          <w:noProof/>
        </w:rPr>
        <w:t>AEO</w:t>
      </w:r>
      <w:r>
        <w:rPr>
          <w:noProof/>
        </w:rPr>
        <w:t>) atbilstību attiecīgajiem nosacījumiem un kritērijiem.</w:t>
      </w:r>
    </w:p>
    <w:p w:rsidR="003E022D" w:rsidRDefault="007D19D6">
      <w:pPr>
        <w:rPr>
          <w:rFonts w:eastAsia="Calibri" w:cs="Calibri"/>
          <w:noProof/>
        </w:rPr>
      </w:pPr>
      <w:r>
        <w:rPr>
          <w:noProof/>
        </w:rPr>
        <w:t>2. Puses sagatavo kop</w:t>
      </w:r>
      <w:r>
        <w:rPr>
          <w:noProof/>
        </w:rPr>
        <w:t>īgu darba programmu, kurā noteikts minimālais tirdzniecības partnerības programmu dalībnieku kopīgo apstiprinājumu skaits un kura jāpabeidz vēlākais līdz 2021. gada beigām.</w:t>
      </w:r>
    </w:p>
    <w:p w:rsidR="003E022D" w:rsidRDefault="007D19D6">
      <w:pPr>
        <w:rPr>
          <w:rFonts w:eastAsia="Calibri" w:cs="Calibri"/>
          <w:noProof/>
        </w:rPr>
      </w:pPr>
      <w:r>
        <w:rPr>
          <w:noProof/>
        </w:rPr>
        <w:t xml:space="preserve">3. Puses nodrošina, ka to tirdzniecības partnerības programmas darbojas saskaņā ar </w:t>
      </w:r>
      <w:r>
        <w:rPr>
          <w:noProof/>
        </w:rPr>
        <w:t xml:space="preserve">attiecīgajiem Pasaules Muitas organizācijas </w:t>
      </w:r>
      <w:r>
        <w:rPr>
          <w:i/>
          <w:noProof/>
        </w:rPr>
        <w:t>SAFE</w:t>
      </w:r>
      <w:r>
        <w:rPr>
          <w:noProof/>
        </w:rPr>
        <w:t xml:space="preserve"> sistēmas standartiem.</w:t>
      </w:r>
    </w:p>
    <w:p w:rsidR="003E022D" w:rsidRDefault="007D19D6">
      <w:pPr>
        <w:pStyle w:val="Article"/>
        <w:rPr>
          <w:noProof/>
        </w:rPr>
      </w:pPr>
      <w:r>
        <w:rPr>
          <w:noProof/>
        </w:rPr>
        <w:t>4. pants. Statusa turētājiem piemērojamais režīms</w:t>
      </w:r>
    </w:p>
    <w:p w:rsidR="003E022D" w:rsidRDefault="007D19D6">
      <w:pPr>
        <w:rPr>
          <w:rFonts w:eastAsia="Calibri" w:cs="Calibri"/>
          <w:noProof/>
        </w:rPr>
      </w:pPr>
      <w:r>
        <w:rPr>
          <w:noProof/>
        </w:rPr>
        <w:t>1. Katra Puse nodrošina režīmu, kas ir salīdzināms ar to režīmu, ko piemēro atzītajam uzņēmējam (</w:t>
      </w:r>
      <w:r>
        <w:rPr>
          <w:i/>
          <w:noProof/>
        </w:rPr>
        <w:t>AEO</w:t>
      </w:r>
      <w:r>
        <w:rPr>
          <w:noProof/>
        </w:rPr>
        <w:t>) saskaņā ar otras Puses tirdzniecī</w:t>
      </w:r>
      <w:r>
        <w:rPr>
          <w:noProof/>
        </w:rPr>
        <w:t xml:space="preserve">bas partnerības programmu. Šis režīms jo īpaši ietver </w:t>
      </w:r>
      <w:r>
        <w:rPr>
          <w:noProof/>
          <w:highlight w:val="cyan"/>
        </w:rPr>
        <w:t>1. panta 3. punktā</w:t>
      </w:r>
      <w:r>
        <w:rPr>
          <w:noProof/>
        </w:rPr>
        <w:t xml:space="preserve"> minētos noteikumus.</w:t>
      </w:r>
    </w:p>
    <w:p w:rsidR="003E022D" w:rsidRDefault="007D19D6">
      <w:pPr>
        <w:rPr>
          <w:rFonts w:eastAsia="Calibri" w:cs="Calibri"/>
          <w:noProof/>
        </w:rPr>
      </w:pPr>
      <w:r>
        <w:rPr>
          <w:noProof/>
        </w:rPr>
        <w:t xml:space="preserve">2. Katra Puse saskaņā ar šo nolīgumu var apturēt </w:t>
      </w:r>
      <w:r>
        <w:rPr>
          <w:noProof/>
          <w:highlight w:val="cyan"/>
        </w:rPr>
        <w:t>1. panta 3. punktā</w:t>
      </w:r>
      <w:r>
        <w:rPr>
          <w:noProof/>
        </w:rPr>
        <w:t xml:space="preserve"> minētā režīma piemērošanu atzītajam uzņēmējam (</w:t>
      </w:r>
      <w:r>
        <w:rPr>
          <w:i/>
          <w:noProof/>
        </w:rPr>
        <w:t>AEO</w:t>
      </w:r>
      <w:r>
        <w:rPr>
          <w:noProof/>
        </w:rPr>
        <w:t>), kuram statuss piešķirts saskaņā ar otras P</w:t>
      </w:r>
      <w:r>
        <w:rPr>
          <w:noProof/>
        </w:rPr>
        <w:t>uses tirdzniecības partnerības programmu, ja minētais atzītais uzņēmējs (</w:t>
      </w:r>
      <w:r>
        <w:rPr>
          <w:i/>
          <w:noProof/>
        </w:rPr>
        <w:t>AEO</w:t>
      </w:r>
      <w:r>
        <w:rPr>
          <w:noProof/>
        </w:rPr>
        <w:t>) vairs neatbilst juridiskajām prasībām. Par šādu apturēšanu nekavējoties paziņo otram muitas dienestam, attiecīgā gadījumā norādot arī visu papildu informāciju par apturēšanas pam</w:t>
      </w:r>
      <w:r>
        <w:rPr>
          <w:noProof/>
        </w:rPr>
        <w:t>atojumu.</w:t>
      </w:r>
    </w:p>
    <w:p w:rsidR="003E022D" w:rsidRDefault="007D19D6">
      <w:pPr>
        <w:rPr>
          <w:rFonts w:eastAsia="Calibri" w:cs="Calibri"/>
          <w:noProof/>
        </w:rPr>
      </w:pPr>
      <w:r>
        <w:rPr>
          <w:noProof/>
        </w:rPr>
        <w:t>3. Ja kāda Puse konstatē pārkāpumu, ko izdarījis atzītais uzņēmējs (</w:t>
      </w:r>
      <w:r>
        <w:rPr>
          <w:i/>
          <w:noProof/>
        </w:rPr>
        <w:t>AEO</w:t>
      </w:r>
      <w:r>
        <w:rPr>
          <w:noProof/>
        </w:rPr>
        <w:t>), kuram atļauju piešķīris otrs muitas dienests, tā nekavējoties informē otru Pusi, lai ļautu tai pieņemt apzinātu lēmumu par attiecīgā uzņēmēja dalības atsaukšanu vai pārtrauk</w:t>
      </w:r>
      <w:r>
        <w:rPr>
          <w:noProof/>
        </w:rPr>
        <w:t xml:space="preserve">šanu. </w:t>
      </w:r>
    </w:p>
    <w:p w:rsidR="003E022D" w:rsidRDefault="007D19D6">
      <w:pPr>
        <w:pStyle w:val="Article"/>
        <w:rPr>
          <w:noProof/>
        </w:rPr>
      </w:pPr>
      <w:r>
        <w:rPr>
          <w:noProof/>
        </w:rPr>
        <w:t>5. pants. Informācijas apmaiņa un saziņa</w:t>
      </w:r>
    </w:p>
    <w:p w:rsidR="003E022D" w:rsidRDefault="007D19D6">
      <w:pPr>
        <w:rPr>
          <w:rFonts w:eastAsia="Calibri" w:cs="Calibri"/>
          <w:noProof/>
        </w:rPr>
      </w:pPr>
      <w:r>
        <w:rPr>
          <w:noProof/>
        </w:rPr>
        <w:t>1. Īstenojot šo nolīgumu, Puses cenšas pilnvērtīgi sazināties savā starpā. Tās apmainās ar informāciju un veicina saziņu par to tirdzniecības partnerības programmām, jo īpaši:</w:t>
      </w:r>
    </w:p>
    <w:p w:rsidR="003E022D" w:rsidRDefault="007D19D6">
      <w:pPr>
        <w:rPr>
          <w:rFonts w:eastAsia="Calibri" w:cs="Calibri"/>
          <w:noProof/>
        </w:rPr>
      </w:pPr>
      <w:r>
        <w:rPr>
          <w:noProof/>
        </w:rPr>
        <w:t>a) savlaicīgi sniedzot atjauninā</w:t>
      </w:r>
      <w:r>
        <w:rPr>
          <w:noProof/>
        </w:rPr>
        <w:t>tu informāciju par to tirdzniecības partnerības programmu darbību un attīstību;</w:t>
      </w:r>
    </w:p>
    <w:p w:rsidR="003E022D" w:rsidRDefault="007D19D6">
      <w:pPr>
        <w:rPr>
          <w:rFonts w:eastAsia="Calibri" w:cs="Calibri"/>
          <w:noProof/>
        </w:rPr>
      </w:pPr>
      <w:r>
        <w:rPr>
          <w:noProof/>
        </w:rPr>
        <w:t>b) iesaistoties savstarpēji izdevīgā informācijas apmaiņā par piegādes ķēdes drošību;</w:t>
      </w:r>
    </w:p>
    <w:p w:rsidR="003E022D" w:rsidRDefault="007D19D6">
      <w:pPr>
        <w:rPr>
          <w:rFonts w:eastAsia="Calibri" w:cs="Calibri"/>
          <w:noProof/>
        </w:rPr>
      </w:pPr>
      <w:r>
        <w:rPr>
          <w:noProof/>
        </w:rPr>
        <w:t>c) norīkojot kontaktpunktus par to attiecīgajām tirdzniecības partnerības programmām un sn</w:t>
      </w:r>
      <w:r>
        <w:rPr>
          <w:noProof/>
        </w:rPr>
        <w:t>iedzot otrai Pusei šo kontaktpunktu kontaktinformāciju; un</w:t>
      </w:r>
    </w:p>
    <w:p w:rsidR="003E022D" w:rsidRDefault="007D19D6">
      <w:pPr>
        <w:rPr>
          <w:rFonts w:eastAsia="Calibri" w:cs="Calibri"/>
          <w:noProof/>
        </w:rPr>
      </w:pPr>
      <w:r>
        <w:rPr>
          <w:noProof/>
        </w:rPr>
        <w:t>d) nodrošinot pilnvērtīgu saziņu starp Eiropas Komisijas Nodokļu politikas un muitas savienības ģenerāldirektorātu un Viņas majestātes Ieņēmumu un muitas dienestu (</w:t>
      </w:r>
      <w:r>
        <w:rPr>
          <w:i/>
          <w:noProof/>
        </w:rPr>
        <w:t>Her Majesty's Revenue and Customs</w:t>
      </w:r>
      <w:r>
        <w:rPr>
          <w:noProof/>
        </w:rPr>
        <w:t>), lai savās attiecīgajās tirdzniecības partnerības programmās uzlabotu riska pārvaldības praksi, kas skar atzīto uzņēmēju (</w:t>
      </w:r>
      <w:r>
        <w:rPr>
          <w:i/>
          <w:noProof/>
        </w:rPr>
        <w:t>AEO</w:t>
      </w:r>
      <w:r>
        <w:rPr>
          <w:noProof/>
        </w:rPr>
        <w:t>) piegādes ķēdes drošību.</w:t>
      </w:r>
    </w:p>
    <w:p w:rsidR="003E022D" w:rsidRDefault="007D19D6">
      <w:pPr>
        <w:rPr>
          <w:rFonts w:eastAsia="Calibri" w:cs="Calibri"/>
          <w:noProof/>
        </w:rPr>
      </w:pPr>
      <w:r>
        <w:rPr>
          <w:noProof/>
        </w:rPr>
        <w:t>2. Informācijas un ar to saistīto datu apmaiņu veic sistemātiski, elektroniskā veidā.</w:t>
      </w:r>
    </w:p>
    <w:p w:rsidR="003E022D" w:rsidRDefault="007D19D6">
      <w:pPr>
        <w:rPr>
          <w:rFonts w:eastAsia="Calibri" w:cs="Calibri"/>
          <w:noProof/>
        </w:rPr>
      </w:pPr>
      <w:r>
        <w:rPr>
          <w:noProof/>
        </w:rPr>
        <w:t xml:space="preserve">3. Dati par </w:t>
      </w:r>
      <w:r>
        <w:rPr>
          <w:i/>
          <w:noProof/>
        </w:rPr>
        <w:t>AEO</w:t>
      </w:r>
      <w:r>
        <w:rPr>
          <w:noProof/>
        </w:rPr>
        <w:t xml:space="preserve">, </w:t>
      </w:r>
      <w:r>
        <w:rPr>
          <w:noProof/>
        </w:rPr>
        <w:t>ar kuriem jāapmainās, cita starpā ir:</w:t>
      </w:r>
    </w:p>
    <w:p w:rsidR="003E022D" w:rsidRDefault="007D19D6">
      <w:pPr>
        <w:rPr>
          <w:rFonts w:eastAsia="Calibri" w:cs="Calibri"/>
          <w:noProof/>
        </w:rPr>
      </w:pPr>
      <w:r>
        <w:rPr>
          <w:noProof/>
        </w:rPr>
        <w:t>a) vārds/uzvārds/nosaukums;</w:t>
      </w:r>
    </w:p>
    <w:p w:rsidR="003E022D" w:rsidRDefault="007D19D6">
      <w:pPr>
        <w:rPr>
          <w:rFonts w:eastAsia="Calibri" w:cs="Calibri"/>
          <w:noProof/>
        </w:rPr>
      </w:pPr>
      <w:r>
        <w:rPr>
          <w:noProof/>
        </w:rPr>
        <w:t>b) adrese;</w:t>
      </w:r>
    </w:p>
    <w:p w:rsidR="003E022D" w:rsidRDefault="007D19D6">
      <w:pPr>
        <w:rPr>
          <w:rFonts w:eastAsia="Calibri" w:cs="Calibri"/>
          <w:noProof/>
        </w:rPr>
      </w:pPr>
      <w:r>
        <w:rPr>
          <w:noProof/>
        </w:rPr>
        <w:t>c) dalības statuss;</w:t>
      </w:r>
    </w:p>
    <w:p w:rsidR="003E022D" w:rsidRDefault="007D19D6">
      <w:pPr>
        <w:rPr>
          <w:rFonts w:eastAsia="Calibri" w:cs="Calibri"/>
          <w:noProof/>
        </w:rPr>
      </w:pPr>
      <w:r>
        <w:rPr>
          <w:noProof/>
        </w:rPr>
        <w:t>d) apstiprinājuma vai atļaujas piešķiršanas datums;</w:t>
      </w:r>
    </w:p>
    <w:p w:rsidR="003E022D" w:rsidRDefault="007D19D6">
      <w:pPr>
        <w:rPr>
          <w:rFonts w:eastAsia="Calibri" w:cs="Calibri"/>
          <w:noProof/>
        </w:rPr>
      </w:pPr>
      <w:r>
        <w:rPr>
          <w:noProof/>
        </w:rPr>
        <w:t>e) apturēšanas vai atsaukšanas gadījumi;</w:t>
      </w:r>
    </w:p>
    <w:p w:rsidR="003E022D" w:rsidRDefault="007D19D6">
      <w:pPr>
        <w:rPr>
          <w:rFonts w:eastAsia="Calibri" w:cs="Calibri"/>
          <w:noProof/>
        </w:rPr>
      </w:pPr>
      <w:r>
        <w:rPr>
          <w:noProof/>
        </w:rPr>
        <w:t>f) unikālais atļaujas vai identifikācijas numurs (tādā formā, kuru</w:t>
      </w:r>
      <w:r>
        <w:rPr>
          <w:noProof/>
        </w:rPr>
        <w:t xml:space="preserve"> kopīgi nosaka muitas dienesti); un</w:t>
      </w:r>
    </w:p>
    <w:p w:rsidR="003E022D" w:rsidRDefault="007D19D6">
      <w:pPr>
        <w:rPr>
          <w:rFonts w:eastAsia="Calibri" w:cs="Calibri"/>
          <w:noProof/>
        </w:rPr>
      </w:pPr>
      <w:r>
        <w:rPr>
          <w:noProof/>
        </w:rPr>
        <w:t>g) cita informācija, kuru kopīgi nosaka muitas dienesti un kurai vajadzības gadījumā piemēro nepieciešamos aizsardzības pasākumus.</w:t>
      </w:r>
    </w:p>
    <w:p w:rsidR="003E022D" w:rsidRDefault="007D19D6">
      <w:pPr>
        <w:rPr>
          <w:rFonts w:eastAsia="Calibri" w:cs="Calibri"/>
          <w:noProof/>
        </w:rPr>
      </w:pPr>
      <w:r>
        <w:rPr>
          <w:noProof/>
        </w:rPr>
        <w:t xml:space="preserve">Datu apmaiņa sākas ar šā nolīguma stāšanos spēkā. </w:t>
      </w:r>
    </w:p>
    <w:p w:rsidR="003E022D" w:rsidRDefault="007D19D6">
      <w:pPr>
        <w:rPr>
          <w:rFonts w:eastAsia="Calibri" w:cs="Calibri"/>
          <w:noProof/>
        </w:rPr>
      </w:pPr>
      <w:r>
        <w:rPr>
          <w:noProof/>
        </w:rPr>
        <w:t>4. Puses pieliek visas pūles, lai sešu mēnešu laikā pēc šā nolīguma stāšanās spēkā panāktu vienošanos par 3. punktā minēto datu pilnībā automatizētu apmaiņu, un jebkurā gadījumā īsteno šādu vienošanos ne vēlāk kā viena gada laikā pēc šā nolīguma stāšanās s</w:t>
      </w:r>
      <w:r>
        <w:rPr>
          <w:noProof/>
        </w:rPr>
        <w:t xml:space="preserve">pēkā. </w:t>
      </w:r>
    </w:p>
    <w:p w:rsidR="003E022D" w:rsidRDefault="007D19D6">
      <w:pPr>
        <w:pStyle w:val="Article"/>
        <w:rPr>
          <w:noProof/>
        </w:rPr>
      </w:pPr>
      <w:r>
        <w:rPr>
          <w:noProof/>
        </w:rPr>
        <w:t xml:space="preserve"> 6. pants. Datu apstrāde</w:t>
      </w:r>
    </w:p>
    <w:p w:rsidR="003E022D" w:rsidRDefault="007D19D6">
      <w:pPr>
        <w:rPr>
          <w:rFonts w:eastAsia="Calibri" w:cs="Calibri"/>
          <w:noProof/>
        </w:rPr>
      </w:pPr>
      <w:r>
        <w:rPr>
          <w:noProof/>
        </w:rPr>
        <w:t xml:space="preserve">Uz jebkuru informācijas apmaiņu starp Pusēm saskaņā ar šo pielikumu </w:t>
      </w:r>
      <w:r>
        <w:rPr>
          <w:i/>
          <w:noProof/>
        </w:rPr>
        <w:t>mutatis mutandis</w:t>
      </w:r>
      <w:r>
        <w:rPr>
          <w:noProof/>
        </w:rPr>
        <w:t xml:space="preserve"> attiecas konfidencialitāte un informācijas aizsardzība, kas noteikta </w:t>
      </w:r>
      <w:r>
        <w:rPr>
          <w:noProof/>
          <w:highlight w:val="cyan"/>
        </w:rPr>
        <w:t>Protokola par savstarpējo administratīvo palīdzību muitas lietās 12. p</w:t>
      </w:r>
      <w:r>
        <w:rPr>
          <w:noProof/>
          <w:highlight w:val="cyan"/>
        </w:rPr>
        <w:t>antā [Informācijas apmaiņa un konfidencialitāte]</w:t>
      </w:r>
      <w:r>
        <w:rPr>
          <w:noProof/>
        </w:rPr>
        <w:t>.</w:t>
      </w:r>
    </w:p>
    <w:p w:rsidR="003E022D" w:rsidRDefault="003E022D">
      <w:pPr>
        <w:jc w:val="right"/>
        <w:rPr>
          <w:rFonts w:eastAsia="Calibri" w:cs="Calibri"/>
          <w:noProof/>
        </w:rPr>
      </w:pPr>
    </w:p>
    <w:p w:rsidR="003E022D" w:rsidRDefault="007D19D6">
      <w:pPr>
        <w:pStyle w:val="Article"/>
        <w:rPr>
          <w:noProof/>
        </w:rPr>
      </w:pPr>
      <w:r>
        <w:rPr>
          <w:noProof/>
        </w:rPr>
        <w:t>7. pants. Apspriešanās un pārskatīšana</w:t>
      </w:r>
    </w:p>
    <w:p w:rsidR="003E022D" w:rsidRDefault="007D19D6">
      <w:pPr>
        <w:rPr>
          <w:rFonts w:eastAsia="Calibri" w:cs="Calibri"/>
          <w:noProof/>
        </w:rPr>
      </w:pPr>
      <w:r>
        <w:rPr>
          <w:noProof/>
        </w:rPr>
        <w:t>Tirdzniecības specializētā komiteja muitas sadarbības un izcelsmes noteikumu jomā regulāri pārskata šā pielikuma noteikumu īstenošanu. Minētajā pārskatīšanā iekļauj:</w:t>
      </w:r>
    </w:p>
    <w:p w:rsidR="003E022D" w:rsidRDefault="007D19D6">
      <w:pPr>
        <w:rPr>
          <w:rFonts w:eastAsia="Calibri" w:cs="Calibri"/>
          <w:noProof/>
        </w:rPr>
      </w:pPr>
      <w:r>
        <w:rPr>
          <w:noProof/>
        </w:rPr>
        <w:t>a) katras Puses piešķirtā atzītā uzņēmēja (</w:t>
      </w:r>
      <w:r>
        <w:rPr>
          <w:i/>
          <w:noProof/>
        </w:rPr>
        <w:t>AEO</w:t>
      </w:r>
      <w:r>
        <w:rPr>
          <w:noProof/>
        </w:rPr>
        <w:t>) statusa kopīgu apstiprināšanu, lai noteiktu priekšrocības un trūkumus šā nolīguma īstenošanā;</w:t>
      </w:r>
    </w:p>
    <w:p w:rsidR="003E022D" w:rsidRDefault="007D19D6">
      <w:pPr>
        <w:rPr>
          <w:rFonts w:eastAsia="Calibri" w:cs="Calibri"/>
          <w:noProof/>
        </w:rPr>
      </w:pPr>
      <w:r>
        <w:rPr>
          <w:noProof/>
        </w:rPr>
        <w:t>b) viedokļu apmaiņu par datiem, ar kuriem jāapmainās, un uzņēmējiem piemērojamo režīmu.</w:t>
      </w:r>
    </w:p>
    <w:p w:rsidR="003E022D" w:rsidRDefault="007D19D6">
      <w:pPr>
        <w:pStyle w:val="Article"/>
        <w:rPr>
          <w:noProof/>
        </w:rPr>
      </w:pPr>
      <w:r>
        <w:rPr>
          <w:noProof/>
        </w:rPr>
        <w:t>8. pants. Apturēšana un pā</w:t>
      </w:r>
      <w:r>
        <w:rPr>
          <w:noProof/>
        </w:rPr>
        <w:t>rtraukšana</w:t>
      </w:r>
    </w:p>
    <w:p w:rsidR="003E022D" w:rsidRDefault="007D19D6">
      <w:pPr>
        <w:pStyle w:val="ListParagraph"/>
        <w:numPr>
          <w:ilvl w:val="0"/>
          <w:numId w:val="762"/>
        </w:numPr>
        <w:spacing w:after="160" w:line="252" w:lineRule="auto"/>
        <w:ind w:left="360"/>
        <w:contextualSpacing w:val="0"/>
        <w:rPr>
          <w:rFonts w:eastAsia="Times New Roman"/>
          <w:noProof/>
        </w:rPr>
      </w:pPr>
      <w:r>
        <w:rPr>
          <w:noProof/>
        </w:rPr>
        <w:t>Puse var veikt 2. punktā izklāstīto procedūru, ja piepildās jebkurš šādiem apstākļiem:</w:t>
      </w:r>
    </w:p>
    <w:p w:rsidR="003E022D" w:rsidRDefault="007D19D6">
      <w:pPr>
        <w:pStyle w:val="ListParagraph"/>
        <w:numPr>
          <w:ilvl w:val="1"/>
          <w:numId w:val="762"/>
        </w:numPr>
        <w:spacing w:after="160" w:line="252" w:lineRule="auto"/>
        <w:ind w:left="1080"/>
        <w:contextualSpacing w:val="0"/>
        <w:rPr>
          <w:rFonts w:eastAsia="Times New Roman"/>
          <w:noProof/>
        </w:rPr>
      </w:pPr>
      <w:r>
        <w:rPr>
          <w:noProof/>
        </w:rPr>
        <w:t xml:space="preserve">pirms vai trīs mēnešu laikā pēc šā nolīguma stāšanās spēkā otra Puse ir veikusi būtiskas izmaiņas šā pielikuma </w:t>
      </w:r>
      <w:r>
        <w:rPr>
          <w:noProof/>
          <w:highlight w:val="cyan"/>
        </w:rPr>
        <w:t>2. panta 2. punktā</w:t>
      </w:r>
      <w:r>
        <w:rPr>
          <w:noProof/>
        </w:rPr>
        <w:t xml:space="preserve"> minētajās tiesību normās, ka</w:t>
      </w:r>
      <w:r>
        <w:rPr>
          <w:noProof/>
        </w:rPr>
        <w:t xml:space="preserve">s tika novērtētas, lai noteiktu, ka tirdzniecības partnerības programmas ir saderīgas, un tādējādi atbilstība, kas nepieciešama atzīšanai saskaņā ar </w:t>
      </w:r>
      <w:r>
        <w:rPr>
          <w:noProof/>
          <w:highlight w:val="cyan"/>
        </w:rPr>
        <w:t>2. panta 1. punktu</w:t>
      </w:r>
      <w:r>
        <w:rPr>
          <w:noProof/>
        </w:rPr>
        <w:t xml:space="preserve">, vairs nepastāv; </w:t>
      </w:r>
    </w:p>
    <w:p w:rsidR="003E022D" w:rsidRDefault="007D19D6">
      <w:pPr>
        <w:pStyle w:val="ListParagraph"/>
        <w:numPr>
          <w:ilvl w:val="1"/>
          <w:numId w:val="762"/>
        </w:numPr>
        <w:spacing w:after="160" w:line="252" w:lineRule="auto"/>
        <w:ind w:left="1080"/>
        <w:contextualSpacing w:val="0"/>
        <w:rPr>
          <w:rFonts w:eastAsia="Times New Roman"/>
          <w:noProof/>
        </w:rPr>
      </w:pPr>
      <w:r>
        <w:rPr>
          <w:noProof/>
        </w:rPr>
        <w:t xml:space="preserve">šā pielikuma </w:t>
      </w:r>
      <w:r>
        <w:rPr>
          <w:noProof/>
          <w:highlight w:val="cyan"/>
        </w:rPr>
        <w:t>2. panta [Informācijas apmaiņa un saziņa] 5. punkta</w:t>
      </w:r>
      <w:r>
        <w:rPr>
          <w:noProof/>
        </w:rPr>
        <w:t xml:space="preserve"> notei</w:t>
      </w:r>
      <w:r>
        <w:rPr>
          <w:noProof/>
        </w:rPr>
        <w:t>kumi nedarbojas.</w:t>
      </w:r>
    </w:p>
    <w:p w:rsidR="003E022D" w:rsidRDefault="007D19D6">
      <w:pPr>
        <w:pStyle w:val="ListParagraph"/>
        <w:numPr>
          <w:ilvl w:val="0"/>
          <w:numId w:val="762"/>
        </w:numPr>
        <w:spacing w:after="160" w:line="252" w:lineRule="auto"/>
        <w:ind w:left="360"/>
        <w:contextualSpacing w:val="0"/>
        <w:rPr>
          <w:rFonts w:eastAsia="Times New Roman"/>
          <w:noProof/>
        </w:rPr>
      </w:pPr>
      <w:r>
        <w:rPr>
          <w:noProof/>
        </w:rPr>
        <w:t xml:space="preserve">Ja rodas kāds no 1. punkta a) vai b) punktā minētajiem apstākļiem, Puse var apturēt </w:t>
      </w:r>
      <w:r>
        <w:rPr>
          <w:noProof/>
          <w:highlight w:val="cyan"/>
        </w:rPr>
        <w:t>2. panta [Savstarpēja atzīšana un atbildība par īstenošanu] 1. punktā</w:t>
      </w:r>
      <w:r>
        <w:rPr>
          <w:noProof/>
        </w:rPr>
        <w:t xml:space="preserve"> paredzēto atzīšanu pēc 60 dienām no sava nodoma paziņošanas otrai Pusei. </w:t>
      </w:r>
    </w:p>
    <w:p w:rsidR="003E022D" w:rsidRDefault="007D19D6">
      <w:pPr>
        <w:pStyle w:val="ListParagraph"/>
        <w:numPr>
          <w:ilvl w:val="0"/>
          <w:numId w:val="762"/>
        </w:numPr>
        <w:spacing w:after="160" w:line="252" w:lineRule="auto"/>
        <w:ind w:left="360"/>
        <w:contextualSpacing w:val="0"/>
        <w:rPr>
          <w:rFonts w:eastAsia="Times New Roman"/>
          <w:noProof/>
        </w:rPr>
      </w:pPr>
      <w:r>
        <w:rPr>
          <w:noProof/>
        </w:rPr>
        <w:t>Ja Puse sas</w:t>
      </w:r>
      <w:r>
        <w:rPr>
          <w:noProof/>
        </w:rPr>
        <w:t xml:space="preserve">kaņā ar šā panta 2. punktu paziņo par savu nodomu apturēt </w:t>
      </w:r>
      <w:r>
        <w:rPr>
          <w:noProof/>
          <w:highlight w:val="cyan"/>
        </w:rPr>
        <w:t>2. panta [Savstarpēja atzīšana un atbildība par īstenošanu] 1. punktā</w:t>
      </w:r>
      <w:r>
        <w:rPr>
          <w:noProof/>
        </w:rPr>
        <w:t xml:space="preserve"> paredzēto atzīšanu, otra Puse var pieprasīt apspriešanos Tirdzniecības specializētajā komitejā muitas sadarbības un izcelsmes no</w:t>
      </w:r>
      <w:r>
        <w:rPr>
          <w:noProof/>
        </w:rPr>
        <w:t xml:space="preserve">teikumu jomā. Šī apspriešanās notiks 60 dienu laikā pēc pieprasījuma saņemšanas. </w:t>
      </w:r>
    </w:p>
    <w:p w:rsidR="003E022D" w:rsidRDefault="007D19D6">
      <w:pPr>
        <w:pStyle w:val="ListParagraph"/>
        <w:numPr>
          <w:ilvl w:val="0"/>
          <w:numId w:val="762"/>
        </w:numPr>
        <w:spacing w:after="160" w:line="252" w:lineRule="auto"/>
        <w:ind w:left="360"/>
        <w:contextualSpacing w:val="0"/>
        <w:rPr>
          <w:rFonts w:eastAsia="Times New Roman"/>
          <w:noProof/>
        </w:rPr>
      </w:pPr>
      <w:bookmarkStart w:id="979" w:name="_Hlk54721930"/>
      <w:r>
        <w:rPr>
          <w:noProof/>
        </w:rPr>
        <w:t>Puse var veikt 5. punktā izklāstīto procedūru, ja piepildās jebkurš šādiem apstākļiem:</w:t>
      </w:r>
      <w:bookmarkEnd w:id="979"/>
      <w:r>
        <w:rPr>
          <w:noProof/>
        </w:rPr>
        <w:t xml:space="preserve"> </w:t>
      </w:r>
    </w:p>
    <w:p w:rsidR="003E022D" w:rsidRDefault="007D19D6">
      <w:pPr>
        <w:pStyle w:val="ListParagraph"/>
        <w:numPr>
          <w:ilvl w:val="1"/>
          <w:numId w:val="762"/>
        </w:numPr>
        <w:spacing w:after="160" w:line="252" w:lineRule="auto"/>
        <w:ind w:left="1080"/>
        <w:contextualSpacing w:val="0"/>
        <w:rPr>
          <w:rFonts w:eastAsia="Times New Roman"/>
          <w:noProof/>
        </w:rPr>
      </w:pPr>
      <w:r>
        <w:rPr>
          <w:noProof/>
        </w:rPr>
        <w:t xml:space="preserve">otra Puse maina savu </w:t>
      </w:r>
      <w:r>
        <w:rPr>
          <w:i/>
          <w:noProof/>
        </w:rPr>
        <w:t>AEO</w:t>
      </w:r>
      <w:r>
        <w:rPr>
          <w:noProof/>
        </w:rPr>
        <w:t xml:space="preserve"> programmu vai šīs programmas īstenošanu tā, ka saderība, kas </w:t>
      </w:r>
      <w:r>
        <w:rPr>
          <w:noProof/>
        </w:rPr>
        <w:t>nepieciešama atzīšanai saskaņā ar</w:t>
      </w:r>
      <w:r>
        <w:rPr>
          <w:noProof/>
          <w:highlight w:val="cyan"/>
        </w:rPr>
        <w:t xml:space="preserve"> 2. panta [Savstarpēja atzīšana un atbildība par īstenošanu] 1. punktu</w:t>
      </w:r>
      <w:r>
        <w:rPr>
          <w:noProof/>
        </w:rPr>
        <w:t>, vairs nepastāv;</w:t>
      </w:r>
    </w:p>
    <w:p w:rsidR="003E022D" w:rsidRDefault="007D19D6">
      <w:pPr>
        <w:pStyle w:val="ListParagraph"/>
        <w:numPr>
          <w:ilvl w:val="1"/>
          <w:numId w:val="762"/>
        </w:numPr>
        <w:spacing w:after="160" w:line="252" w:lineRule="auto"/>
        <w:ind w:left="1080"/>
        <w:contextualSpacing w:val="0"/>
        <w:rPr>
          <w:rFonts w:eastAsia="Times New Roman"/>
          <w:noProof/>
        </w:rPr>
      </w:pPr>
      <w:r>
        <w:rPr>
          <w:noProof/>
        </w:rPr>
        <w:t xml:space="preserve">kopīgā apstiprināšana, kas paredzēta </w:t>
      </w:r>
      <w:r>
        <w:rPr>
          <w:noProof/>
          <w:highlight w:val="cyan"/>
        </w:rPr>
        <w:t>3. panta [Saderība] 2. punktā</w:t>
      </w:r>
      <w:r>
        <w:rPr>
          <w:noProof/>
        </w:rPr>
        <w:t xml:space="preserve">, neapliecina Pušu attiecīgo </w:t>
      </w:r>
      <w:r>
        <w:rPr>
          <w:i/>
          <w:noProof/>
          <w:highlight w:val="cyan"/>
        </w:rPr>
        <w:t>AEO</w:t>
      </w:r>
      <w:r>
        <w:rPr>
          <w:noProof/>
        </w:rPr>
        <w:t xml:space="preserve"> programmu saderību.</w:t>
      </w:r>
    </w:p>
    <w:p w:rsidR="003E022D" w:rsidRDefault="007D19D6">
      <w:pPr>
        <w:pStyle w:val="ListParagraph"/>
        <w:numPr>
          <w:ilvl w:val="0"/>
          <w:numId w:val="762"/>
        </w:numPr>
        <w:spacing w:after="160" w:line="252" w:lineRule="auto"/>
        <w:ind w:left="360"/>
        <w:contextualSpacing w:val="0"/>
        <w:rPr>
          <w:rFonts w:eastAsia="Times New Roman"/>
          <w:noProof/>
        </w:rPr>
      </w:pPr>
      <w:r>
        <w:rPr>
          <w:noProof/>
        </w:rPr>
        <w:t>Ja piepildās jeb</w:t>
      </w:r>
      <w:r>
        <w:rPr>
          <w:noProof/>
        </w:rPr>
        <w:t>kurš no 4. punkta a) un b) punktā minētajiem apstākļiem, Puse var pieprasīt apspriešanos ar otru Pusi Tirdzniecības specializētajā komitejā muitas sadarbības un izcelsmes noteikumu jomā. Šī apspriešanās notiks 60 dienu laikā pēc pieprasījuma saņemšanas. Ja</w:t>
      </w:r>
      <w:r>
        <w:rPr>
          <w:noProof/>
        </w:rPr>
        <w:t xml:space="preserve"> pēc 90 dienām kopš pieprasījuma Puse joprojām uzskata, ka saderība, kas nepieciešama atzīšanai saskaņā ar</w:t>
      </w:r>
      <w:r>
        <w:rPr>
          <w:noProof/>
          <w:highlight w:val="cyan"/>
        </w:rPr>
        <w:t xml:space="preserve"> 2. panta [Savstarpēja atzīšana un atbildība par īstenošanu] 1. punktu</w:t>
      </w:r>
      <w:r>
        <w:rPr>
          <w:noProof/>
        </w:rPr>
        <w:t xml:space="preserve">, vairs nepastāv, tā var paziņot otrai Pusei par savu nodomu apturēt programmas </w:t>
      </w:r>
      <w:r>
        <w:rPr>
          <w:noProof/>
        </w:rPr>
        <w:t>atzīšanu. Apturēšana stājas spēkā pēc 30 dienām no paziņošanas dienas.</w:t>
      </w:r>
    </w:p>
    <w:p w:rsidR="003E022D" w:rsidRDefault="003E022D">
      <w:pPr>
        <w:pStyle w:val="ANNEX"/>
        <w:rPr>
          <w:noProof/>
        </w:rPr>
      </w:pPr>
    </w:p>
    <w:p w:rsidR="003E022D" w:rsidRDefault="007D19D6">
      <w:pPr>
        <w:pStyle w:val="ANNEX"/>
        <w:rPr>
          <w:noProof/>
        </w:rPr>
      </w:pPr>
      <w:r>
        <w:rPr>
          <w:noProof/>
        </w:rPr>
        <w:br w:type="page"/>
      </w:r>
    </w:p>
    <w:p w:rsidR="003E022D" w:rsidRDefault="007D19D6">
      <w:pPr>
        <w:pStyle w:val="ANNEX"/>
        <w:rPr>
          <w:noProof/>
        </w:rPr>
      </w:pPr>
      <w:hyperlink w:anchor="_Toc35449682" w:history="1">
        <w:bookmarkStart w:id="980" w:name="_Toc59645259"/>
        <w:bookmarkStart w:id="981" w:name="_Toc59200409"/>
        <w:bookmarkStart w:id="982" w:name="_Toc59020206"/>
        <w:bookmarkStart w:id="983" w:name="_Toc58427910"/>
        <w:bookmarkStart w:id="984" w:name="_Toc59988401"/>
        <w:r>
          <w:rPr>
            <w:noProof/>
          </w:rPr>
          <w:t>SERVIN-1. PIELIKUMS.</w:t>
        </w:r>
      </w:hyperlink>
      <w:hyperlink w:anchor="_Toc35449682" w:history="1">
        <w:bookmarkStart w:id="985" w:name="_Toc59691298"/>
        <w:r>
          <w:rPr>
            <w:noProof/>
          </w:rPr>
          <w:t xml:space="preserve"> SPĒKĀ ESOŠIE PASĀKUMI</w:t>
        </w:r>
        <w:bookmarkEnd w:id="980"/>
        <w:bookmarkEnd w:id="981"/>
        <w:bookmarkEnd w:id="982"/>
        <w:bookmarkEnd w:id="983"/>
        <w:bookmarkEnd w:id="985"/>
        <w:bookmarkEnd w:id="984"/>
      </w:hyperlink>
    </w:p>
    <w:p w:rsidR="003E022D" w:rsidRDefault="007D19D6">
      <w:pPr>
        <w:rPr>
          <w:rFonts w:cstheme="minorHAnsi"/>
          <w:b/>
          <w:bCs/>
          <w:noProof/>
          <w:u w:val="single"/>
        </w:rPr>
      </w:pPr>
      <w:r>
        <w:rPr>
          <w:b/>
          <w:bCs/>
          <w:noProof/>
          <w:u w:val="single"/>
        </w:rPr>
        <w:t>Ievadpiezīmes</w:t>
      </w:r>
    </w:p>
    <w:p w:rsidR="003E022D" w:rsidRDefault="007D19D6">
      <w:pPr>
        <w:rPr>
          <w:rFonts w:cstheme="minorHAnsi"/>
          <w:noProof/>
        </w:rPr>
      </w:pPr>
      <w:r>
        <w:rPr>
          <w:noProof/>
        </w:rPr>
        <w:t xml:space="preserve">1. </w:t>
      </w:r>
      <w:r>
        <w:rPr>
          <w:noProof/>
        </w:rPr>
        <w:tab/>
        <w:t xml:space="preserve">Apvienotās Karalistes un Savienības sarakstos saskaņā ar </w:t>
      </w:r>
      <w:r>
        <w:rPr>
          <w:noProof/>
          <w:highlight w:val="cyan"/>
        </w:rPr>
        <w:t>SERVIN. 2.7. pantu [Neatbilstoši pasākumi – investīciju liberalizācija], SERVIN.3.6. pantu [Neatbilstoši pasākumi – pakalpojumu pārrobežu tirdzniecība] un SERVIN. 5.50. pantu [Neatbilstoši pasākumi – juridiskie pakalpojumi]</w:t>
      </w:r>
      <w:r>
        <w:rPr>
          <w:noProof/>
        </w:rPr>
        <w:t xml:space="preserve"> ir izklāstītas Apvienotās Karali</w:t>
      </w:r>
      <w:r>
        <w:rPr>
          <w:noProof/>
        </w:rPr>
        <w:t>stes un Savienības atrunas attiecībā uz spēkā esošiem pasākumiem, kas neatbilst pienākumiem, kuri noteikti ar:</w:t>
      </w:r>
    </w:p>
    <w:p w:rsidR="003E022D" w:rsidRDefault="007D19D6">
      <w:pPr>
        <w:pStyle w:val="ListParagraph"/>
        <w:numPr>
          <w:ilvl w:val="0"/>
          <w:numId w:val="774"/>
        </w:numPr>
        <w:spacing w:after="160" w:line="259" w:lineRule="auto"/>
        <w:ind w:left="1134" w:hanging="357"/>
        <w:contextualSpacing w:val="0"/>
        <w:jc w:val="left"/>
        <w:rPr>
          <w:rFonts w:cstheme="minorHAnsi"/>
          <w:noProof/>
        </w:rPr>
      </w:pPr>
      <w:r>
        <w:rPr>
          <w:noProof/>
          <w:highlight w:val="cyan"/>
        </w:rPr>
        <w:t>SERVIN.2.2. pantu [Piekļuve tirgum – investīciju liberalizācija] vai SERVIN.3.2. pantu [Piekļuve tirgum – pakalpojumu pārrobežu tirdzniecība]</w:t>
      </w:r>
      <w:r>
        <w:rPr>
          <w:noProof/>
        </w:rPr>
        <w:t>;</w:t>
      </w:r>
    </w:p>
    <w:p w:rsidR="003E022D" w:rsidRDefault="007D19D6">
      <w:pPr>
        <w:pStyle w:val="ListParagraph"/>
        <w:numPr>
          <w:ilvl w:val="0"/>
          <w:numId w:val="774"/>
        </w:numPr>
        <w:spacing w:after="160" w:line="259" w:lineRule="auto"/>
        <w:ind w:left="1134"/>
        <w:contextualSpacing w:val="0"/>
        <w:jc w:val="left"/>
        <w:rPr>
          <w:rFonts w:cstheme="minorHAnsi"/>
          <w:noProof/>
        </w:rPr>
      </w:pPr>
      <w:r>
        <w:rPr>
          <w:noProof/>
          <w:highlight w:val="cyan"/>
        </w:rPr>
        <w:t>SE</w:t>
      </w:r>
      <w:r>
        <w:rPr>
          <w:noProof/>
          <w:highlight w:val="cyan"/>
        </w:rPr>
        <w:t>RVIN. 3.3. pantu [Klātbūtne uz vietas – pakalpojumu pārrobežu tirdzniecība];</w:t>
      </w:r>
    </w:p>
    <w:p w:rsidR="003E022D" w:rsidRDefault="007D19D6">
      <w:pPr>
        <w:pStyle w:val="ListParagraph"/>
        <w:numPr>
          <w:ilvl w:val="0"/>
          <w:numId w:val="774"/>
        </w:numPr>
        <w:spacing w:after="160" w:line="259" w:lineRule="auto"/>
        <w:ind w:left="1134"/>
        <w:contextualSpacing w:val="0"/>
        <w:jc w:val="left"/>
        <w:rPr>
          <w:rFonts w:cstheme="minorHAnsi"/>
          <w:noProof/>
        </w:rPr>
      </w:pPr>
      <w:r>
        <w:rPr>
          <w:noProof/>
          <w:highlight w:val="cyan"/>
        </w:rPr>
        <w:t>SERVIN.2.3. pantu [Valsts režīms – investīciju liberalizācija] vai SERVIN.3.4. pantu [Valsts režīms – pakalpojumu pārrobežu tirdzniecība]</w:t>
      </w:r>
      <w:r>
        <w:rPr>
          <w:noProof/>
        </w:rPr>
        <w:t>;</w:t>
      </w:r>
    </w:p>
    <w:p w:rsidR="003E022D" w:rsidRDefault="007D19D6">
      <w:pPr>
        <w:pStyle w:val="ListParagraph"/>
        <w:numPr>
          <w:ilvl w:val="0"/>
          <w:numId w:val="774"/>
        </w:numPr>
        <w:spacing w:after="160" w:line="259" w:lineRule="auto"/>
        <w:ind w:left="1134"/>
        <w:contextualSpacing w:val="0"/>
        <w:jc w:val="left"/>
        <w:rPr>
          <w:rFonts w:cstheme="minorHAnsi"/>
          <w:noProof/>
        </w:rPr>
      </w:pPr>
      <w:r>
        <w:rPr>
          <w:noProof/>
          <w:highlight w:val="cyan"/>
        </w:rPr>
        <w:t>SERVIN.2.4. pantu [Lielākās labvēlības r</w:t>
      </w:r>
      <w:r>
        <w:rPr>
          <w:noProof/>
          <w:highlight w:val="cyan"/>
        </w:rPr>
        <w:t>ežīms – investīciju liberalizācija] vai SERVIN.3.5. pantu [Lielākās labvēlības režīms — pakalpojumu pārrobežu tirdzniecība]</w:t>
      </w:r>
      <w:r>
        <w:rPr>
          <w:noProof/>
        </w:rPr>
        <w:t>;</w:t>
      </w:r>
    </w:p>
    <w:p w:rsidR="003E022D" w:rsidRDefault="007D19D6">
      <w:pPr>
        <w:pStyle w:val="ListParagraph"/>
        <w:numPr>
          <w:ilvl w:val="0"/>
          <w:numId w:val="774"/>
        </w:numPr>
        <w:spacing w:after="160" w:line="259" w:lineRule="auto"/>
        <w:ind w:left="1134"/>
        <w:contextualSpacing w:val="0"/>
        <w:jc w:val="left"/>
        <w:rPr>
          <w:rFonts w:cstheme="minorHAnsi"/>
          <w:noProof/>
        </w:rPr>
      </w:pPr>
      <w:r>
        <w:rPr>
          <w:noProof/>
          <w:highlight w:val="cyan"/>
        </w:rPr>
        <w:t>SERVIN. 2.5. pantu [Augstākā vadība un direktoru padomes];</w:t>
      </w:r>
    </w:p>
    <w:p w:rsidR="003E022D" w:rsidRDefault="007D19D6">
      <w:pPr>
        <w:pStyle w:val="ListParagraph"/>
        <w:numPr>
          <w:ilvl w:val="0"/>
          <w:numId w:val="774"/>
        </w:numPr>
        <w:spacing w:after="160" w:line="259" w:lineRule="auto"/>
        <w:ind w:left="1134"/>
        <w:contextualSpacing w:val="0"/>
        <w:jc w:val="left"/>
        <w:rPr>
          <w:rFonts w:cstheme="minorHAnsi"/>
          <w:noProof/>
        </w:rPr>
      </w:pPr>
      <w:r>
        <w:rPr>
          <w:noProof/>
          <w:highlight w:val="cyan"/>
        </w:rPr>
        <w:t>SERVIN. 2.6. pantu [Veiktspējas prasības]</w:t>
      </w:r>
      <w:r>
        <w:rPr>
          <w:noProof/>
        </w:rPr>
        <w:t xml:space="preserve"> un</w:t>
      </w:r>
    </w:p>
    <w:p w:rsidR="003E022D" w:rsidRDefault="007D19D6">
      <w:pPr>
        <w:pStyle w:val="ListParagraph"/>
        <w:numPr>
          <w:ilvl w:val="0"/>
          <w:numId w:val="774"/>
        </w:numPr>
        <w:spacing w:after="160" w:line="259" w:lineRule="auto"/>
        <w:ind w:left="1134"/>
        <w:contextualSpacing w:val="0"/>
        <w:jc w:val="left"/>
        <w:rPr>
          <w:rFonts w:cstheme="minorHAnsi"/>
          <w:noProof/>
        </w:rPr>
      </w:pPr>
      <w:r>
        <w:rPr>
          <w:noProof/>
          <w:highlight w:val="cyan"/>
        </w:rPr>
        <w:t>SERVIN.5.49. pantu [Pienāku</w:t>
      </w:r>
      <w:r>
        <w:rPr>
          <w:noProof/>
          <w:highlight w:val="cyan"/>
        </w:rPr>
        <w:t>mi– juridiskie pakalpojumi].</w:t>
      </w:r>
    </w:p>
    <w:p w:rsidR="003E022D" w:rsidRDefault="007D19D6">
      <w:pPr>
        <w:rPr>
          <w:rFonts w:cstheme="minorHAnsi"/>
          <w:noProof/>
        </w:rPr>
      </w:pPr>
      <w:r>
        <w:rPr>
          <w:noProof/>
        </w:rPr>
        <w:t xml:space="preserve">2. Puses atrunas neskar Pušu tiesības un pienākumus, ko paredz </w:t>
      </w:r>
      <w:r>
        <w:rPr>
          <w:i/>
          <w:noProof/>
        </w:rPr>
        <w:t>GATS</w:t>
      </w:r>
      <w:r>
        <w:rPr>
          <w:noProof/>
        </w:rPr>
        <w:t>.</w:t>
      </w:r>
    </w:p>
    <w:p w:rsidR="003E022D" w:rsidRDefault="007D19D6">
      <w:pPr>
        <w:rPr>
          <w:rFonts w:cstheme="minorHAnsi"/>
          <w:noProof/>
        </w:rPr>
      </w:pPr>
      <w:r>
        <w:rPr>
          <w:noProof/>
        </w:rPr>
        <w:t>3. Katrā atrunā ir šādas daļas:</w:t>
      </w:r>
    </w:p>
    <w:p w:rsidR="003E022D" w:rsidRDefault="007D19D6">
      <w:pPr>
        <w:pStyle w:val="ListParagraph"/>
        <w:numPr>
          <w:ilvl w:val="0"/>
          <w:numId w:val="775"/>
        </w:numPr>
        <w:spacing w:after="160" w:line="259" w:lineRule="auto"/>
        <w:ind w:left="1120"/>
        <w:contextualSpacing w:val="0"/>
        <w:jc w:val="left"/>
        <w:rPr>
          <w:rFonts w:cstheme="minorHAnsi"/>
          <w:noProof/>
        </w:rPr>
      </w:pPr>
      <w:r>
        <w:rPr>
          <w:noProof/>
        </w:rPr>
        <w:t>“Nozare” — vispārējā nozare, uz kuru attiecas atruna;</w:t>
      </w:r>
    </w:p>
    <w:p w:rsidR="003E022D" w:rsidRDefault="007D19D6">
      <w:pPr>
        <w:pStyle w:val="ListParagraph"/>
        <w:numPr>
          <w:ilvl w:val="0"/>
          <w:numId w:val="775"/>
        </w:numPr>
        <w:spacing w:after="160" w:line="259" w:lineRule="auto"/>
        <w:ind w:left="1120"/>
        <w:contextualSpacing w:val="0"/>
        <w:jc w:val="left"/>
        <w:rPr>
          <w:rFonts w:cstheme="minorHAnsi"/>
          <w:noProof/>
        </w:rPr>
      </w:pPr>
      <w:r>
        <w:rPr>
          <w:noProof/>
        </w:rPr>
        <w:t>“Apakšnozare” — konkrētā nozare, uz kuru attiecas atruna;</w:t>
      </w:r>
    </w:p>
    <w:p w:rsidR="003E022D" w:rsidRDefault="007D19D6">
      <w:pPr>
        <w:pStyle w:val="ListParagraph"/>
        <w:numPr>
          <w:ilvl w:val="0"/>
          <w:numId w:val="775"/>
        </w:numPr>
        <w:spacing w:after="160" w:line="259" w:lineRule="auto"/>
        <w:ind w:left="1120"/>
        <w:contextualSpacing w:val="0"/>
        <w:jc w:val="left"/>
        <w:rPr>
          <w:rFonts w:cstheme="minorHAnsi"/>
          <w:noProof/>
        </w:rPr>
      </w:pPr>
      <w:r>
        <w:rPr>
          <w:noProof/>
        </w:rPr>
        <w:t>“Nozares klasi</w:t>
      </w:r>
      <w:r>
        <w:rPr>
          <w:noProof/>
        </w:rPr>
        <w:t>fikācija” — attiecīgā gadījumā norādīta darbība, uz kuru attiecas atruna saskaņā ar CPC, ISIC 3.1. red., vai kā citādi skaidri izklāstīts minētajā atrunā;</w:t>
      </w:r>
    </w:p>
    <w:p w:rsidR="003E022D" w:rsidRDefault="007D19D6">
      <w:pPr>
        <w:pStyle w:val="ListParagraph"/>
        <w:numPr>
          <w:ilvl w:val="0"/>
          <w:numId w:val="775"/>
        </w:numPr>
        <w:spacing w:after="160" w:line="259" w:lineRule="auto"/>
        <w:ind w:left="1120"/>
        <w:contextualSpacing w:val="0"/>
        <w:jc w:val="left"/>
        <w:rPr>
          <w:rFonts w:cstheme="minorHAnsi"/>
          <w:noProof/>
        </w:rPr>
      </w:pPr>
      <w:r>
        <w:rPr>
          <w:noProof/>
        </w:rPr>
        <w:t xml:space="preserve">“Atrunas veids” — precizēti </w:t>
      </w:r>
      <w:r>
        <w:rPr>
          <w:noProof/>
          <w:highlight w:val="cyan"/>
        </w:rPr>
        <w:t>1. punktā</w:t>
      </w:r>
      <w:r>
        <w:rPr>
          <w:noProof/>
        </w:rPr>
        <w:t xml:space="preserve"> minētie pienākumi, uz kuriem attiecas atruna; </w:t>
      </w:r>
    </w:p>
    <w:p w:rsidR="003E022D" w:rsidRDefault="007D19D6">
      <w:pPr>
        <w:pStyle w:val="ListParagraph"/>
        <w:numPr>
          <w:ilvl w:val="0"/>
          <w:numId w:val="775"/>
        </w:numPr>
        <w:spacing w:after="160" w:line="259" w:lineRule="auto"/>
        <w:ind w:left="1120"/>
        <w:contextualSpacing w:val="0"/>
        <w:jc w:val="left"/>
        <w:rPr>
          <w:rFonts w:cstheme="minorHAnsi"/>
          <w:noProof/>
        </w:rPr>
      </w:pPr>
      <w:r>
        <w:rPr>
          <w:noProof/>
        </w:rPr>
        <w:t>“Valdības līmeni</w:t>
      </w:r>
      <w:r>
        <w:rPr>
          <w:noProof/>
        </w:rPr>
        <w:t>s” — norādīts valdības līmenis, kurā tiek atstāts spēkā pasākums, uz kuru attiecas atruna;</w:t>
      </w:r>
    </w:p>
    <w:p w:rsidR="003E022D" w:rsidRDefault="007D19D6">
      <w:pPr>
        <w:pStyle w:val="ListParagraph"/>
        <w:numPr>
          <w:ilvl w:val="0"/>
          <w:numId w:val="775"/>
        </w:numPr>
        <w:spacing w:after="160" w:line="259" w:lineRule="auto"/>
        <w:ind w:left="1120"/>
        <w:contextualSpacing w:val="0"/>
        <w:jc w:val="left"/>
        <w:rPr>
          <w:rFonts w:cstheme="minorHAnsi"/>
          <w:noProof/>
        </w:rPr>
      </w:pPr>
      <w:r>
        <w:rPr>
          <w:noProof/>
        </w:rPr>
        <w:t>“Pasākumi” — norādīti tiesību akti vai citi pasākumi, kuri attiecīgā gadījumā ietverti daļā “Apraksts” un attiecībā uz kuriem ir noteikta atruna. Daļā “Pasākumi” min</w:t>
      </w:r>
      <w:r>
        <w:rPr>
          <w:noProof/>
        </w:rPr>
        <w:t>ētais “pasākums”</w:t>
      </w:r>
    </w:p>
    <w:p w:rsidR="003E022D" w:rsidRDefault="007D19D6">
      <w:pPr>
        <w:pStyle w:val="ListParagraph"/>
        <w:numPr>
          <w:ilvl w:val="1"/>
          <w:numId w:val="775"/>
        </w:numPr>
        <w:spacing w:after="160" w:line="259" w:lineRule="auto"/>
        <w:ind w:hanging="524"/>
        <w:contextualSpacing w:val="0"/>
        <w:jc w:val="left"/>
        <w:rPr>
          <w:rFonts w:cstheme="minorHAnsi"/>
          <w:noProof/>
        </w:rPr>
      </w:pPr>
      <w:r>
        <w:rPr>
          <w:noProof/>
        </w:rPr>
        <w:t xml:space="preserve">nozīmē pasākumu, kas grozīts, turpināts vai atjaunots, sākot no dienas, kad stājies spēkā šis nolīgums, </w:t>
      </w:r>
    </w:p>
    <w:p w:rsidR="003E022D" w:rsidRDefault="007D19D6">
      <w:pPr>
        <w:pStyle w:val="ListParagraph"/>
        <w:numPr>
          <w:ilvl w:val="1"/>
          <w:numId w:val="775"/>
        </w:numPr>
        <w:spacing w:after="160" w:line="259" w:lineRule="auto"/>
        <w:ind w:hanging="524"/>
        <w:contextualSpacing w:val="0"/>
        <w:jc w:val="left"/>
        <w:rPr>
          <w:rFonts w:cstheme="minorHAnsi"/>
          <w:noProof/>
        </w:rPr>
      </w:pPr>
      <w:r>
        <w:rPr>
          <w:noProof/>
        </w:rPr>
        <w:t xml:space="preserve">ietver visus pakārtotos pasākumus, kas pieņemti vai atstāti spēkā atbilstoši pasākumā noteiktajām pilnvarām un saskanīgi ar pasākumu, </w:t>
      </w:r>
      <w:r>
        <w:rPr>
          <w:noProof/>
        </w:rPr>
        <w:t>kā arī</w:t>
      </w:r>
    </w:p>
    <w:p w:rsidR="003E022D" w:rsidRDefault="007D19D6">
      <w:pPr>
        <w:pStyle w:val="ListParagraph"/>
        <w:numPr>
          <w:ilvl w:val="1"/>
          <w:numId w:val="775"/>
        </w:numPr>
        <w:spacing w:after="160" w:line="259" w:lineRule="auto"/>
        <w:ind w:hanging="524"/>
        <w:contextualSpacing w:val="0"/>
        <w:jc w:val="left"/>
        <w:rPr>
          <w:rFonts w:cstheme="minorHAnsi"/>
          <w:noProof/>
        </w:rPr>
      </w:pPr>
      <w:r>
        <w:rPr>
          <w:noProof/>
        </w:rPr>
        <w:t>attiecībā uz Eiropas Savienības sarakstu ietver visus tiesību aktus vai citus pasākumus, ar kuriem dalībvalsts līmenī tiek īstenota direktīva; un</w:t>
      </w:r>
    </w:p>
    <w:p w:rsidR="003E022D" w:rsidRDefault="007D19D6">
      <w:pPr>
        <w:pStyle w:val="ListParagraph"/>
        <w:numPr>
          <w:ilvl w:val="0"/>
          <w:numId w:val="775"/>
        </w:numPr>
        <w:spacing w:after="160" w:line="259" w:lineRule="auto"/>
        <w:ind w:left="1120"/>
        <w:contextualSpacing w:val="0"/>
        <w:jc w:val="left"/>
        <w:rPr>
          <w:rFonts w:cstheme="minorHAnsi"/>
          <w:noProof/>
        </w:rPr>
      </w:pPr>
      <w:r>
        <w:rPr>
          <w:noProof/>
        </w:rPr>
        <w:t xml:space="preserve">“Apraksts” — izklāstīti tāda esoša pasākuma neatbilstošie aspekti, uz kuru attiecas atruna. </w:t>
      </w:r>
    </w:p>
    <w:p w:rsidR="003E022D" w:rsidRDefault="007D19D6">
      <w:pPr>
        <w:rPr>
          <w:rFonts w:cstheme="minorHAnsi"/>
          <w:i/>
          <w:iCs/>
          <w:noProof/>
        </w:rPr>
      </w:pPr>
      <w:r>
        <w:rPr>
          <w:noProof/>
        </w:rPr>
        <w:t xml:space="preserve">4. </w:t>
      </w:r>
      <w:r>
        <w:rPr>
          <w:noProof/>
        </w:rPr>
        <w:tab/>
      </w:r>
      <w:r>
        <w:rPr>
          <w:noProof/>
        </w:rPr>
        <w:t xml:space="preserve">Lielākai noteiktībai – ja Puse pieņem jaunu pasākumu valdības līmenī, kas atšķiras no tā, uz kuru sākotnēji atruna attiecās, un ar šo jauno pasākumu teritorijā, uz kuru tas attiecas, tiek aizstāts sākotnējā pasākuma neatbilstošais aspekts, kas minēts daļā </w:t>
      </w:r>
      <w:r>
        <w:rPr>
          <w:noProof/>
        </w:rPr>
        <w:t xml:space="preserve">“pasākumi”, jauno pasākumu uzskata par sākotnējā pasākuma “grozījumu” </w:t>
      </w:r>
      <w:r>
        <w:rPr>
          <w:noProof/>
          <w:highlight w:val="cyan"/>
        </w:rPr>
        <w:t xml:space="preserve">SERVIN.2.7. panta [Neatbilstoši pasākumi – investīciju liberalizācija] 1. punkta c) apakšpunkta </w:t>
      </w:r>
      <w:r>
        <w:rPr>
          <w:noProof/>
        </w:rPr>
        <w:t>nozīmē,</w:t>
      </w:r>
      <w:r>
        <w:rPr>
          <w:noProof/>
          <w:highlight w:val="cyan"/>
        </w:rPr>
        <w:t xml:space="preserve"> SERVIN. 3.6. panta [Neatbilstoši pasākumi – pakalpojumu pārrobežu tirdzniecība] 1.</w:t>
      </w:r>
      <w:r>
        <w:rPr>
          <w:noProof/>
          <w:highlight w:val="cyan"/>
        </w:rPr>
        <w:t xml:space="preserve"> punkta c) apakšpunkta nozīmē, 4.5. panta [Neatbilstoši pasākumi – fizisku personu pagaidu ieceļošana un uzturēšanās darījumdarbības nolūkā] c) punkta nozīmē un SERVIN.5.50. panta [Neatbilstoši pasākumi – juridiskie pakalpojumi] nozīmē.</w:t>
      </w:r>
      <w:r>
        <w:rPr>
          <w:noProof/>
        </w:rPr>
        <w:t xml:space="preserve"> </w:t>
      </w:r>
    </w:p>
    <w:p w:rsidR="003E022D" w:rsidRDefault="007D19D6">
      <w:pPr>
        <w:pStyle w:val="ListParagraph"/>
        <w:ind w:left="0"/>
        <w:contextualSpacing w:val="0"/>
        <w:rPr>
          <w:rFonts w:cstheme="minorHAnsi"/>
          <w:noProof/>
          <w:color w:val="FF0000"/>
        </w:rPr>
      </w:pPr>
      <w:r>
        <w:rPr>
          <w:noProof/>
        </w:rPr>
        <w:t xml:space="preserve">5. </w:t>
      </w:r>
      <w:r>
        <w:rPr>
          <w:noProof/>
        </w:rPr>
        <w:tab/>
        <w:t xml:space="preserve">Interpretējot </w:t>
      </w:r>
      <w:r>
        <w:rPr>
          <w:noProof/>
        </w:rPr>
        <w:t>atrunu, ņem vērā visas tās daļas. Atrunu interpretē, ņemot vērā attiecīgos pienākumus nodaļās vai iedaļās, uz kurām attiecas atruna. Daļa “Pasākumi” prevalē pār visām citām daļām.</w:t>
      </w:r>
    </w:p>
    <w:p w:rsidR="003E022D" w:rsidRDefault="007D19D6">
      <w:pPr>
        <w:pStyle w:val="ListParagraph"/>
        <w:ind w:left="0"/>
        <w:rPr>
          <w:rFonts w:cstheme="minorHAnsi"/>
          <w:noProof/>
        </w:rPr>
      </w:pPr>
      <w:r>
        <w:rPr>
          <w:noProof/>
        </w:rPr>
        <w:t xml:space="preserve">6. </w:t>
      </w:r>
      <w:r>
        <w:rPr>
          <w:noProof/>
        </w:rPr>
        <w:tab/>
        <w:t>Apvienotās Karalistes un Savienības saistību sarakstos</w:t>
      </w:r>
    </w:p>
    <w:p w:rsidR="003E022D" w:rsidRDefault="007D19D6">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 xml:space="preserve">“ISIC 3.1. red.” </w:t>
      </w:r>
      <w:r>
        <w:rPr>
          <w:rFonts w:asciiTheme="minorHAnsi" w:hAnsiTheme="minorHAnsi"/>
          <w:noProof/>
          <w:color w:val="auto"/>
          <w:sz w:val="22"/>
          <w:szCs w:val="22"/>
        </w:rPr>
        <w:t>apzīmē Starptautisko standartizēto visu saimnieciskās darbības veidu klasifikāciju, kā izklāstīts Apvienoto Nāciju Organizācijas Statistikas biroja statistikas dokumentu M sērijā Nr. 4, ISIC 3.1. red., 2002.;</w:t>
      </w:r>
    </w:p>
    <w:p w:rsidR="003E022D" w:rsidRDefault="007D19D6">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“CPC” ir Centrālā preču klasifikācija (Apvienot</w:t>
      </w:r>
      <w:r>
        <w:rPr>
          <w:rFonts w:asciiTheme="minorHAnsi" w:hAnsiTheme="minorHAnsi"/>
          <w:noProof/>
          <w:color w:val="auto"/>
          <w:sz w:val="22"/>
          <w:szCs w:val="22"/>
        </w:rPr>
        <w:t xml:space="preserve">o Nāciju Organizācijas Statistikas biroja Starptautisko Ekonomikas un sociālo lietu komitejas statistikas dokumentu M sērija, Nr. 77, Ņujorka, 1991. gads); </w:t>
      </w:r>
    </w:p>
    <w:p w:rsidR="003E022D" w:rsidRDefault="007D19D6">
      <w:pPr>
        <w:pStyle w:val="Default"/>
        <w:rPr>
          <w:rFonts w:asciiTheme="minorHAnsi" w:hAnsiTheme="minorHAnsi" w:cstheme="minorHAnsi"/>
          <w:noProof/>
          <w:color w:val="4F81BD" w:themeColor="accent1"/>
          <w:sz w:val="22"/>
          <w:szCs w:val="22"/>
        </w:rPr>
      </w:pPr>
      <w:r>
        <w:rPr>
          <w:rFonts w:asciiTheme="minorHAnsi" w:hAnsiTheme="minorHAnsi"/>
          <w:noProof/>
          <w:color w:val="auto"/>
          <w:sz w:val="22"/>
          <w:szCs w:val="22"/>
        </w:rPr>
        <w:t>7.</w:t>
      </w:r>
      <w:r>
        <w:rPr>
          <w:rFonts w:asciiTheme="minorHAnsi" w:hAnsiTheme="minorHAnsi"/>
          <w:noProof/>
          <w:color w:val="4F81BD" w:themeColor="accent1"/>
          <w:sz w:val="22"/>
          <w:szCs w:val="22"/>
        </w:rPr>
        <w:t xml:space="preserve"> </w:t>
      </w:r>
      <w:r>
        <w:rPr>
          <w:noProof/>
        </w:rPr>
        <w:tab/>
      </w:r>
      <w:r>
        <w:rPr>
          <w:rFonts w:asciiTheme="minorHAnsi" w:hAnsiTheme="minorHAnsi"/>
          <w:noProof/>
          <w:color w:val="auto"/>
          <w:sz w:val="22"/>
          <w:szCs w:val="22"/>
        </w:rPr>
        <w:t xml:space="preserve">Apvienotās Karalistes un Savienības sarakstos atruna saistībā ar prasību par vietēju klātbūtni </w:t>
      </w:r>
      <w:r>
        <w:rPr>
          <w:rFonts w:asciiTheme="minorHAnsi" w:hAnsiTheme="minorHAnsi"/>
          <w:noProof/>
          <w:color w:val="auto"/>
          <w:sz w:val="22"/>
          <w:szCs w:val="22"/>
        </w:rPr>
        <w:t xml:space="preserve">Savienības vai Apvienotās Karalistes teritorijā attiecas uz </w:t>
      </w:r>
      <w:r>
        <w:rPr>
          <w:rFonts w:asciiTheme="minorHAnsi" w:hAnsiTheme="minorHAnsi"/>
          <w:noProof/>
          <w:color w:val="auto"/>
          <w:sz w:val="22"/>
          <w:szCs w:val="22"/>
          <w:highlight w:val="cyan"/>
        </w:rPr>
        <w:t>SERVIN 3.3. pantu [Klātbūtne uz vietas]</w:t>
      </w:r>
      <w:r>
        <w:rPr>
          <w:rFonts w:asciiTheme="minorHAnsi" w:hAnsiTheme="minorHAnsi"/>
          <w:noProof/>
          <w:color w:val="auto"/>
          <w:sz w:val="22"/>
          <w:szCs w:val="22"/>
        </w:rPr>
        <w:t xml:space="preserve">, nevis uz </w:t>
      </w:r>
      <w:r>
        <w:rPr>
          <w:rFonts w:asciiTheme="minorHAnsi" w:hAnsiTheme="minorHAnsi"/>
          <w:noProof/>
          <w:color w:val="auto"/>
          <w:sz w:val="22"/>
          <w:szCs w:val="22"/>
          <w:highlight w:val="cyan"/>
        </w:rPr>
        <w:t>SERVIN 3.2. pantu [Piekļuve tirgum] vai SERVIN 3.4. pantu [Valsts režīms]</w:t>
      </w:r>
      <w:r>
        <w:rPr>
          <w:rFonts w:asciiTheme="minorHAnsi" w:hAnsiTheme="minorHAnsi"/>
          <w:noProof/>
          <w:color w:val="auto"/>
          <w:sz w:val="22"/>
          <w:szCs w:val="22"/>
        </w:rPr>
        <w:t xml:space="preserve">. Turklāt šāda prasība nav uzskatāma par atrunu attiecībā uz </w:t>
      </w:r>
      <w:r>
        <w:rPr>
          <w:rFonts w:asciiTheme="minorHAnsi" w:hAnsiTheme="minorHAnsi"/>
          <w:noProof/>
          <w:color w:val="auto"/>
          <w:sz w:val="22"/>
          <w:szCs w:val="22"/>
          <w:highlight w:val="cyan"/>
        </w:rPr>
        <w:t>SERVIN 2.3. </w:t>
      </w:r>
      <w:r>
        <w:rPr>
          <w:rFonts w:asciiTheme="minorHAnsi" w:hAnsiTheme="minorHAnsi"/>
          <w:noProof/>
          <w:color w:val="auto"/>
          <w:sz w:val="22"/>
          <w:szCs w:val="22"/>
          <w:highlight w:val="cyan"/>
        </w:rPr>
        <w:t>pantu [Valsts režīms].</w:t>
      </w:r>
      <w:bookmarkStart w:id="986" w:name="_Hlk57882741"/>
      <w:r>
        <w:rPr>
          <w:rFonts w:asciiTheme="minorHAnsi" w:hAnsiTheme="minorHAnsi"/>
          <w:noProof/>
          <w:color w:val="4F81BD" w:themeColor="accent1"/>
          <w:sz w:val="22"/>
          <w:szCs w:val="22"/>
        </w:rPr>
        <w:t xml:space="preserve"> </w:t>
      </w:r>
      <w:bookmarkEnd w:id="986"/>
    </w:p>
    <w:p w:rsidR="003E022D" w:rsidRDefault="007D19D6">
      <w:pPr>
        <w:pStyle w:val="Default"/>
        <w:spacing w:before="240" w:after="240"/>
        <w:rPr>
          <w:rFonts w:asciiTheme="minorHAnsi" w:hAnsiTheme="minorHAnsi" w:cstheme="minorHAnsi"/>
          <w:noProof/>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Atruna, kas pieņemta Savienības līmenī, attiecas uz Savienības pasākumu, uz dalībvalsts pasākumu centrālajā līmenī vai uz dalībvalsts valdības pasākumu, ja vien dalībvalsts nav izslēgta no atrunas darbības jomas. Atruna, ko pieņ</w:t>
      </w:r>
      <w:r>
        <w:rPr>
          <w:rFonts w:asciiTheme="minorHAnsi" w:hAnsiTheme="minorHAnsi"/>
          <w:noProof/>
          <w:color w:val="auto"/>
          <w:sz w:val="22"/>
          <w:szCs w:val="22"/>
        </w:rPr>
        <w:t>ēmusi dalībvalsts, attiecas uz minētās dalībvalsts centrālā, reģionālā vai vietējā līmeņa valdības iestādes pasākumu. Attiecībā uz Beļģijā piemērojamām atrunām centrālais valdības līmenis ietver gan federālo valdību, gan reģionu un komūnu valdības, jo katr</w:t>
      </w:r>
      <w:r>
        <w:rPr>
          <w:rFonts w:asciiTheme="minorHAnsi" w:hAnsiTheme="minorHAnsi"/>
          <w:noProof/>
          <w:color w:val="auto"/>
          <w:sz w:val="22"/>
          <w:szCs w:val="22"/>
        </w:rPr>
        <w:t xml:space="preserve">ai no tām ir līdzvērtīgas likumdošanas pilnvaras. Attiecībā uz Savienības un tās dalībvalstu atrunām Olandes salas Somijā ir reģionālais valdības līmenis. Apvienotās Karalistes līmenī pieņemta atruna attiecas uz centrālās valdības, reģionālās valdības vai </w:t>
      </w:r>
      <w:r>
        <w:rPr>
          <w:rFonts w:asciiTheme="minorHAnsi" w:hAnsiTheme="minorHAnsi"/>
          <w:noProof/>
          <w:color w:val="auto"/>
          <w:sz w:val="22"/>
          <w:szCs w:val="22"/>
        </w:rPr>
        <w:t>vietējās valdības pasākumu.</w:t>
      </w:r>
      <w:r>
        <w:rPr>
          <w:rFonts w:asciiTheme="minorHAnsi" w:hAnsiTheme="minorHAnsi"/>
          <w:noProof/>
          <w:color w:val="FF0000"/>
          <w:sz w:val="22"/>
          <w:szCs w:val="22"/>
        </w:rPr>
        <w:t xml:space="preserve"> </w:t>
      </w:r>
    </w:p>
    <w:p w:rsidR="003E022D" w:rsidRDefault="007D19D6">
      <w:pPr>
        <w:pStyle w:val="Default"/>
        <w:rPr>
          <w:rFonts w:asciiTheme="minorHAnsi" w:hAnsiTheme="minorHAnsi" w:cstheme="minorHAnsi"/>
          <w:noProof/>
          <w:sz w:val="22"/>
          <w:szCs w:val="22"/>
        </w:rPr>
      </w:pPr>
      <w:r>
        <w:rPr>
          <w:rFonts w:asciiTheme="minorHAnsi" w:hAnsiTheme="minorHAnsi"/>
          <w:noProof/>
          <w:color w:val="auto"/>
          <w:sz w:val="22"/>
          <w:szCs w:val="22"/>
        </w:rPr>
        <w:t xml:space="preserve">9. </w:t>
      </w:r>
      <w:r>
        <w:rPr>
          <w:noProof/>
        </w:rPr>
        <w:tab/>
      </w:r>
      <w:r>
        <w:rPr>
          <w:rFonts w:asciiTheme="minorHAnsi" w:hAnsiTheme="minorHAnsi"/>
          <w:noProof/>
          <w:sz w:val="22"/>
          <w:szCs w:val="22"/>
        </w:rPr>
        <w:t>Turpmāk sniegtajā atrunu sarakstā nav iekļauti pasākumi, kas saistīti ar kvalifikācijas prasībām un procedūrām, tehniskajiem standartiem un licencēšanas prasībām un procedūrām, ja tie attiecībā uz piekļuvi tirgum vai valsts</w:t>
      </w:r>
      <w:r>
        <w:rPr>
          <w:rFonts w:asciiTheme="minorHAnsi" w:hAnsiTheme="minorHAnsi"/>
          <w:noProof/>
          <w:sz w:val="22"/>
          <w:szCs w:val="22"/>
        </w:rPr>
        <w:t xml:space="preserve"> režīmu neveido ierobežojumu </w:t>
      </w:r>
      <w:r>
        <w:rPr>
          <w:rFonts w:asciiTheme="minorHAnsi" w:hAnsiTheme="minorHAnsi"/>
          <w:noProof/>
          <w:sz w:val="22"/>
          <w:szCs w:val="22"/>
          <w:highlight w:val="cyan"/>
        </w:rPr>
        <w:t>SERVIN.2.2. panta [Piekļuve tirgum – investīciju liberalizācija], SERVIN.2.3. panta [Valsts režīms – investīciju liberalizācija], SERVIN.3.2. panta [ Piekļuve tirgum – pakalpojumu pārrobežu tirdzniecība], SERVIN.3.3. panta [Klā</w:t>
      </w:r>
      <w:r>
        <w:rPr>
          <w:rFonts w:asciiTheme="minorHAnsi" w:hAnsiTheme="minorHAnsi"/>
          <w:noProof/>
          <w:sz w:val="22"/>
          <w:szCs w:val="22"/>
          <w:highlight w:val="cyan"/>
        </w:rPr>
        <w:t>tbūtne uz vietas – pakalpojumu pārrobežu tirdzniecība], SERVIN 3.4. panta [Valsts režīms - pakalpojumu pārrobežu tirdzniecība] vai SERVIN 5.49. panta [Pienākumi - juridiskie pasākumi]</w:t>
      </w:r>
      <w:r>
        <w:rPr>
          <w:rFonts w:asciiTheme="minorHAnsi" w:hAnsiTheme="minorHAnsi"/>
          <w:noProof/>
          <w:sz w:val="22"/>
          <w:szCs w:val="22"/>
        </w:rPr>
        <w:t xml:space="preserve"> nozīmē.</w:t>
      </w:r>
      <w:r>
        <w:rPr>
          <w:rFonts w:asciiTheme="minorHAnsi" w:hAnsiTheme="minorHAnsi"/>
          <w:noProof/>
          <w:color w:val="auto"/>
          <w:sz w:val="22"/>
          <w:szCs w:val="22"/>
        </w:rPr>
        <w:t xml:space="preserve"> </w:t>
      </w:r>
      <w:r>
        <w:rPr>
          <w:rFonts w:asciiTheme="minorHAnsi" w:hAnsiTheme="minorHAnsi"/>
          <w:noProof/>
          <w:sz w:val="22"/>
          <w:szCs w:val="22"/>
        </w:rPr>
        <w:t>Minētie pasākumi var ietvert galvenokārt nepieciešamību saņemt l</w:t>
      </w:r>
      <w:r>
        <w:rPr>
          <w:rFonts w:asciiTheme="minorHAnsi" w:hAnsiTheme="minorHAnsi"/>
          <w:noProof/>
          <w:sz w:val="22"/>
          <w:szCs w:val="22"/>
        </w:rPr>
        <w:t>icenci, izpildīt universālā pakalpojuma pienākumus, saņemt atzītu kvalifikāciju regulētās nozarēs, nokārtot konkrētus pārbaudījumus, ieskaitot valodas prasmju pārbaudi, izpildīt dalības prasību konkrētā profesijā, piemēram, piederība pie profesionālās orga</w:t>
      </w:r>
      <w:r>
        <w:rPr>
          <w:rFonts w:asciiTheme="minorHAnsi" w:hAnsiTheme="minorHAnsi"/>
          <w:noProof/>
          <w:sz w:val="22"/>
          <w:szCs w:val="22"/>
        </w:rPr>
        <w:t>nizācijas, vajadzību pēc vietējā pārstāvja pakalpojuma sniegšanai vai vietējās adreses vai jebkuras citas nediskriminējošas prasības, ka konkrētas darbības nedrīkst veikt aizsargājamās zonās vai teritorijās.</w:t>
      </w:r>
      <w:r>
        <w:rPr>
          <w:rFonts w:asciiTheme="minorHAnsi" w:hAnsiTheme="minorHAnsi"/>
          <w:noProof/>
          <w:color w:val="auto"/>
          <w:sz w:val="22"/>
          <w:szCs w:val="22"/>
        </w:rPr>
        <w:t xml:space="preserve"> Lai gan šādi pasākumi sarakstā nav iekļauti, tie</w:t>
      </w:r>
      <w:r>
        <w:rPr>
          <w:rFonts w:asciiTheme="minorHAnsi" w:hAnsiTheme="minorHAnsi"/>
          <w:noProof/>
          <w:color w:val="auto"/>
          <w:sz w:val="22"/>
          <w:szCs w:val="22"/>
        </w:rPr>
        <w:t xml:space="preserve"> ir piemērojami arī turpmāk.</w:t>
      </w:r>
    </w:p>
    <w:p w:rsidR="003E022D" w:rsidRDefault="007D19D6">
      <w:pPr>
        <w:pStyle w:val="Default"/>
        <w:spacing w:before="240"/>
        <w:rPr>
          <w:rFonts w:asciiTheme="minorHAnsi" w:hAnsiTheme="minorHAnsi" w:cstheme="minorHAnsi"/>
          <w:noProof/>
          <w:color w:val="auto"/>
          <w:sz w:val="22"/>
          <w:szCs w:val="22"/>
        </w:rPr>
      </w:pPr>
      <w:r>
        <w:rPr>
          <w:rFonts w:asciiTheme="minorHAnsi" w:hAnsiTheme="minorHAnsi"/>
          <w:noProof/>
          <w:color w:val="auto"/>
          <w:sz w:val="22"/>
          <w:szCs w:val="22"/>
        </w:rPr>
        <w:t xml:space="preserve">10. </w:t>
      </w:r>
      <w:r>
        <w:rPr>
          <w:noProof/>
        </w:rPr>
        <w:tab/>
      </w:r>
      <w:r>
        <w:rPr>
          <w:rFonts w:asciiTheme="minorHAnsi" w:hAnsiTheme="minorHAnsi"/>
          <w:noProof/>
          <w:color w:val="auto"/>
          <w:sz w:val="22"/>
          <w:szCs w:val="22"/>
        </w:rPr>
        <w:t>Lielākai noteiktībai — attiecībā uz Savienību pienākums piešķirt valsts režīmu nenozīmē prasību attiecināt uz Apvienotās Karalistes fiziskajām vai juridiskajām personām režīmu, kas šādām personām piešķirts dalībvalstī sask</w:t>
      </w:r>
      <w:r>
        <w:rPr>
          <w:rFonts w:asciiTheme="minorHAnsi" w:hAnsiTheme="minorHAnsi"/>
          <w:noProof/>
          <w:color w:val="auto"/>
          <w:sz w:val="22"/>
          <w:szCs w:val="22"/>
        </w:rPr>
        <w:t xml:space="preserve">aņā ar Līgumu par Eiropas Savienības darbību vai jebkādu pasākumu, kas pieņemts saskaņā ar minēto Līgumu, ieskaitot to īstenošanu dalībvalstī: </w:t>
      </w:r>
    </w:p>
    <w:p w:rsidR="003E022D" w:rsidRDefault="007D19D6">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 xml:space="preserve">fiziskām personām vai citas dalībvalsts rezidentiem vai </w:t>
      </w:r>
    </w:p>
    <w:p w:rsidR="003E022D" w:rsidRDefault="007D19D6">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juridiskajām personām, kuras ir izveidotas vai organizē</w:t>
      </w:r>
      <w:r>
        <w:rPr>
          <w:rFonts w:asciiTheme="minorHAnsi" w:hAnsiTheme="minorHAnsi"/>
          <w:noProof/>
          <w:color w:val="auto"/>
          <w:sz w:val="22"/>
          <w:szCs w:val="22"/>
        </w:rPr>
        <w:t xml:space="preserve">tas saskaņā ar citas dalībvalsts tiesību aktiem vai Savienības tiesībām un kuru juridiskā adrese, galvenā vadība vai galvenā darījumdarbības vieta atrodas Savienībā. </w:t>
      </w:r>
    </w:p>
    <w:p w:rsidR="003E022D" w:rsidRDefault="007D19D6">
      <w:pPr>
        <w:pStyle w:val="ListParagraph"/>
        <w:spacing w:before="240"/>
        <w:ind w:left="0"/>
        <w:rPr>
          <w:rFonts w:cstheme="minorHAnsi"/>
          <w:noProof/>
        </w:rPr>
      </w:pPr>
      <w:r>
        <w:rPr>
          <w:noProof/>
        </w:rPr>
        <w:t xml:space="preserve">11. </w:t>
      </w:r>
      <w:r>
        <w:rPr>
          <w:noProof/>
        </w:rPr>
        <w:tab/>
      </w:r>
      <w:r>
        <w:rPr>
          <w:noProof/>
        </w:rPr>
        <w:t>Režīms, ko piešķir juridiskām personām, kuras izveidojuši vienas Puses investori saskaņā ar otras Puses tiesībām (tostarp Savienības gadījumā – saskaņā ar dalībvalsts tiesību aktiem) un kuru juridiskā adrese, galvenā vadība vai galvenā darījumdarbības viet</w:t>
      </w:r>
      <w:r>
        <w:rPr>
          <w:noProof/>
        </w:rPr>
        <w:t xml:space="preserve">a atrodas minētajā otrā Pusē, atbilstīgi </w:t>
      </w:r>
      <w:r>
        <w:rPr>
          <w:noProof/>
          <w:highlight w:val="cyan"/>
        </w:rPr>
        <w:t>Otrās daļas [Tirdzniecība, transports un zvejniecība] Pirmā temata [Tirdzniecība] II sadaļas [Pakalpojumi un investīcijas] 2. nodaļai [Investīciju liberalizācija]</w:t>
      </w:r>
      <w:r>
        <w:rPr>
          <w:noProof/>
        </w:rPr>
        <w:t xml:space="preserve"> neskar nosacījumus vai pienākumus, kas var būt bijuš</w:t>
      </w:r>
      <w:r>
        <w:rPr>
          <w:noProof/>
        </w:rPr>
        <w:t xml:space="preserve">i noteikti šādai juridiskai personai, kad tā tika izveidota minētajā otrajā Pusē, un kas arī turpmāk ir piemērojami. </w:t>
      </w:r>
    </w:p>
    <w:p w:rsidR="003E022D" w:rsidRDefault="007D19D6">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color w:val="auto"/>
          <w:sz w:val="22"/>
          <w:szCs w:val="22"/>
        </w:rPr>
        <w:t xml:space="preserve">Saraksti attiecas tikai uz Apvienotās Karalistes un Savienības teritorijām saskaņā ar </w:t>
      </w:r>
      <w:r>
        <w:rPr>
          <w:rFonts w:asciiTheme="minorHAnsi" w:hAnsiTheme="minorHAnsi"/>
          <w:noProof/>
          <w:color w:val="auto"/>
          <w:sz w:val="22"/>
          <w:szCs w:val="22"/>
          <w:highlight w:val="cyan"/>
        </w:rPr>
        <w:t>FINPROV.1. pantu [Teritoriālā piemērošana]</w:t>
      </w:r>
      <w:r>
        <w:rPr>
          <w:rFonts w:asciiTheme="minorHAnsi" w:hAnsiTheme="minorHAnsi"/>
          <w:noProof/>
          <w:color w:val="auto"/>
          <w:sz w:val="22"/>
          <w:szCs w:val="22"/>
        </w:rPr>
        <w:t xml:space="preserve"> /</w:t>
      </w:r>
      <w:r>
        <w:rPr>
          <w:rFonts w:asciiTheme="minorHAnsi" w:hAnsiTheme="minorHAnsi"/>
          <w:noProof/>
          <w:color w:val="auto"/>
          <w:sz w:val="22"/>
          <w:szCs w:val="22"/>
          <w:highlight w:val="cyan"/>
        </w:rPr>
        <w:t>OTH</w:t>
      </w:r>
      <w:r>
        <w:rPr>
          <w:rFonts w:asciiTheme="minorHAnsi" w:hAnsiTheme="minorHAnsi"/>
          <w:noProof/>
          <w:color w:val="auto"/>
          <w:sz w:val="22"/>
          <w:szCs w:val="22"/>
          <w:highlight w:val="cyan"/>
        </w:rPr>
        <w:t>.9.2. pantu [Ģeogrāfiskais tvērums]</w:t>
      </w:r>
      <w:r>
        <w:rPr>
          <w:rFonts w:asciiTheme="minorHAnsi" w:hAnsiTheme="minorHAnsi"/>
          <w:noProof/>
          <w:color w:val="auto"/>
          <w:sz w:val="22"/>
          <w:szCs w:val="22"/>
        </w:rPr>
        <w:t xml:space="preserve">, un tie skar tikai Savienības un tās dalībvalstu tirdzniecības attiecības ar Apvienoto Karalisti. Tie neskar dalībvalstu tiesības un pienākumus, kas izriet no Savienības tiesību aktiem. </w:t>
      </w:r>
    </w:p>
    <w:p w:rsidR="003E022D" w:rsidRDefault="007D19D6">
      <w:pPr>
        <w:pStyle w:val="Default"/>
        <w:spacing w:after="240"/>
        <w:rPr>
          <w:rFonts w:asciiTheme="minorHAnsi" w:hAnsiTheme="minorHAnsi" w:cstheme="minorHAnsi"/>
          <w:noProof/>
          <w:sz w:val="22"/>
          <w:szCs w:val="22"/>
        </w:rPr>
      </w:pPr>
      <w:r>
        <w:rPr>
          <w:rFonts w:asciiTheme="minorHAnsi" w:hAnsiTheme="minorHAnsi"/>
          <w:noProof/>
          <w:color w:val="auto"/>
          <w:sz w:val="22"/>
          <w:szCs w:val="22"/>
        </w:rPr>
        <w:t xml:space="preserve">13. </w:t>
      </w:r>
      <w:r>
        <w:rPr>
          <w:noProof/>
        </w:rPr>
        <w:tab/>
      </w:r>
      <w:r>
        <w:rPr>
          <w:rFonts w:asciiTheme="minorHAnsi" w:hAnsiTheme="minorHAnsi"/>
          <w:noProof/>
          <w:sz w:val="22"/>
          <w:szCs w:val="22"/>
        </w:rPr>
        <w:t>Lielākai noteiktībai — nedis</w:t>
      </w:r>
      <w:r>
        <w:rPr>
          <w:rFonts w:asciiTheme="minorHAnsi" w:hAnsiTheme="minorHAnsi"/>
          <w:noProof/>
          <w:sz w:val="22"/>
          <w:szCs w:val="22"/>
        </w:rPr>
        <w:t xml:space="preserve">kriminējoši pasākumi nav attiecībā uz piekļuvi tirgum noteikts ierobežojums </w:t>
      </w:r>
      <w:r>
        <w:rPr>
          <w:rFonts w:asciiTheme="minorHAnsi" w:hAnsiTheme="minorHAnsi"/>
          <w:noProof/>
          <w:sz w:val="22"/>
          <w:szCs w:val="22"/>
          <w:highlight w:val="cyan"/>
        </w:rPr>
        <w:t>[SERVIN. 2.2. panta [Piekļuve tirgum – investīciju liberalizācija], SERVIN.3.2. panta [Piekļuve tirgum – pakalpojumu pārrobežu tirdzniecība] vai SERVIN.5.49. panta [Pienākumi – jur</w:t>
      </w:r>
      <w:r>
        <w:rPr>
          <w:rFonts w:asciiTheme="minorHAnsi" w:hAnsiTheme="minorHAnsi"/>
          <w:noProof/>
          <w:sz w:val="22"/>
          <w:szCs w:val="22"/>
          <w:highlight w:val="cyan"/>
        </w:rPr>
        <w:t>idiskie pakalpojumi]</w:t>
      </w:r>
      <w:r>
        <w:rPr>
          <w:rFonts w:asciiTheme="minorHAnsi" w:hAnsiTheme="minorHAnsi"/>
          <w:noProof/>
          <w:sz w:val="22"/>
          <w:szCs w:val="22"/>
        </w:rPr>
        <w:t xml:space="preserve"> nozīmē nevienam šādam pasākumam, </w:t>
      </w:r>
    </w:p>
    <w:p w:rsidR="003E022D" w:rsidRDefault="007D19D6">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kam nepieciešama infrastruktūras īpašumtiesību atdalīšana no to preču vai pakalpojumu īpašumtiesībām, kurus sniedz, izmantojot minēto infrastruktūru, lai nodrošinātu godīgu konkurenci, piemēram, enerģē</w:t>
      </w:r>
      <w:r>
        <w:rPr>
          <w:rFonts w:asciiTheme="minorHAnsi" w:hAnsiTheme="minorHAnsi"/>
          <w:noProof/>
          <w:sz w:val="22"/>
          <w:szCs w:val="22"/>
        </w:rPr>
        <w:t>tikas, transporta un telesakaru jomā;</w:t>
      </w:r>
    </w:p>
    <w:p w:rsidR="003E022D" w:rsidRDefault="007D19D6">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kas ierobežo īpašumtiesību koncentrāciju, lai nodrošinātu godīgu konkurenci; </w:t>
      </w:r>
    </w:p>
    <w:p w:rsidR="003E022D" w:rsidRDefault="007D19D6">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ar ko vēlas saglabāt un aizsargāt dabas resursus un vidi, tostarp ierobežojot piešķirto koncesiju pieejamību, skaitu un jomu un nosakot mora</w:t>
      </w:r>
      <w:r>
        <w:rPr>
          <w:rFonts w:asciiTheme="minorHAnsi" w:hAnsiTheme="minorHAnsi"/>
          <w:noProof/>
          <w:sz w:val="22"/>
          <w:szCs w:val="22"/>
        </w:rPr>
        <w:t xml:space="preserve">toriju vai aizliegumu; </w:t>
      </w:r>
    </w:p>
    <w:p w:rsidR="003E022D" w:rsidRDefault="007D19D6">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ar ko ierobežo piešķirto atļauju skaitu, pamatojoties uz tehniskiem vai fiziskiem ierobežojumiem, piemēram, telesakaru spektriem un frekvencēm, vai </w:t>
      </w:r>
    </w:p>
    <w:p w:rsidR="003E022D" w:rsidRDefault="007D19D6">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kas prasa, lai konkrēta uzņēmuma kapitāldaļu īpašnieku, īpašnieku, partneru vai dir</w:t>
      </w:r>
      <w:r>
        <w:rPr>
          <w:rFonts w:asciiTheme="minorHAnsi" w:hAnsiTheme="minorHAnsi"/>
          <w:noProof/>
          <w:sz w:val="22"/>
          <w:szCs w:val="22"/>
        </w:rPr>
        <w:t xml:space="preserve">ektoru procentuālā daļa būtu kvalificēta vai darbotos konkrētā profesijā, piemēram, jurista vai grāmatveža profesijā. </w:t>
      </w:r>
    </w:p>
    <w:p w:rsidR="003E022D" w:rsidRDefault="007D19D6">
      <w:pPr>
        <w:pStyle w:val="Default"/>
        <w:rPr>
          <w:rFonts w:asciiTheme="minorHAnsi" w:hAnsiTheme="minorHAnsi" w:cstheme="minorHAnsi"/>
          <w:noProof/>
          <w:color w:val="auto"/>
          <w:sz w:val="22"/>
          <w:szCs w:val="22"/>
        </w:rPr>
      </w:pPr>
      <w:r>
        <w:rPr>
          <w:rFonts w:asciiTheme="minorHAnsi" w:hAnsiTheme="minorHAnsi"/>
          <w:noProof/>
          <w:color w:val="auto"/>
          <w:sz w:val="22"/>
          <w:szCs w:val="22"/>
        </w:rPr>
        <w:t xml:space="preserve">14. </w:t>
      </w:r>
      <w:r>
        <w:rPr>
          <w:noProof/>
        </w:rPr>
        <w:tab/>
      </w:r>
      <w:r>
        <w:rPr>
          <w:rFonts w:asciiTheme="minorHAnsi" w:hAnsiTheme="minorHAnsi"/>
          <w:noProof/>
          <w:color w:val="auto"/>
          <w:sz w:val="22"/>
          <w:szCs w:val="22"/>
        </w:rPr>
        <w:t>Attiecībā uz finanšu pakalpojumiem: atšķirībā no ārvalstu meitasuzņēmumiem, filiālēm, ko tieši dalībvalstī izveidojusi ārpussavienīb</w:t>
      </w:r>
      <w:r>
        <w:rPr>
          <w:rFonts w:asciiTheme="minorHAnsi" w:hAnsiTheme="minorHAnsi"/>
          <w:noProof/>
          <w:color w:val="auto"/>
          <w:sz w:val="22"/>
          <w:szCs w:val="22"/>
        </w:rPr>
        <w:t>as finanšu iestāde, ar dažiem konkrētiem izņēmumiem nepiemēro Savienības mērogā saskaņotos piesardzības pasākumus, tā ļaujot šādiem meitasuzņēmumiem gūt labumu, izmantojot atvieglojumus jaunu uzņēmumu veidošanā un pakalpojumu pārrobežu sniegšanā visā Savie</w:t>
      </w:r>
      <w:r>
        <w:rPr>
          <w:rFonts w:asciiTheme="minorHAnsi" w:hAnsiTheme="minorHAnsi"/>
          <w:noProof/>
          <w:color w:val="auto"/>
          <w:sz w:val="22"/>
          <w:szCs w:val="22"/>
        </w:rPr>
        <w:t>nībā. Tādējādi šādas filiāles saņem atļauju darboties dalībvalsts teritorijā ar tādiem pašiem nosacījumiem, kādus piemēro attiecīgās dalībvalsts pašmāju finanšu iestādēm, un tām var noteikt par pienākumu izpildīt vairākas konkrētas prudenciālas prasības, p</w:t>
      </w:r>
      <w:r>
        <w:rPr>
          <w:rFonts w:asciiTheme="minorHAnsi" w:hAnsiTheme="minorHAnsi"/>
          <w:noProof/>
          <w:color w:val="auto"/>
          <w:sz w:val="22"/>
          <w:szCs w:val="22"/>
        </w:rPr>
        <w:t>iemēram, banku un vērtspapīru gadījumā – atsevišķu kapitalizāciju un citas maksātspējas prasības, un prasību iesniegt un publicēt pārskatus vai – apdrošināšanas gadījumā – īpašas garantiju un noguldījumu prasības, atsevišķu kapitalizāciju un prasību, lai a</w:t>
      </w:r>
      <w:r>
        <w:rPr>
          <w:rFonts w:asciiTheme="minorHAnsi" w:hAnsiTheme="minorHAnsi"/>
          <w:noProof/>
          <w:color w:val="auto"/>
          <w:sz w:val="22"/>
          <w:szCs w:val="22"/>
        </w:rPr>
        <w:t xml:space="preserve">ttiecīgajā dalībvalstī atrastos aktīvi, kas veido tehniskās rezerves un vismaz vienu trešdaļu no maksātspējas rezerves. </w:t>
      </w:r>
    </w:p>
    <w:p w:rsidR="003E022D" w:rsidRDefault="003E022D">
      <w:pPr>
        <w:pStyle w:val="Default"/>
        <w:rPr>
          <w:rFonts w:asciiTheme="minorHAnsi" w:hAnsiTheme="minorHAnsi" w:cstheme="minorHAnsi"/>
          <w:noProof/>
          <w:sz w:val="22"/>
          <w:szCs w:val="22"/>
        </w:rPr>
      </w:pPr>
    </w:p>
    <w:p w:rsidR="003E022D" w:rsidRDefault="007D19D6">
      <w:pPr>
        <w:pStyle w:val="Default"/>
        <w:rPr>
          <w:rFonts w:asciiTheme="minorHAnsi" w:hAnsiTheme="minorHAnsi" w:cstheme="minorHAnsi"/>
          <w:noProof/>
          <w:sz w:val="22"/>
          <w:szCs w:val="22"/>
        </w:rPr>
      </w:pPr>
      <w:r>
        <w:rPr>
          <w:rFonts w:asciiTheme="minorHAnsi" w:hAnsiTheme="minorHAnsi"/>
          <w:noProof/>
          <w:sz w:val="22"/>
          <w:szCs w:val="22"/>
        </w:rPr>
        <w:t xml:space="preserve">Turpmāk atrunu sarakstā ir izmantoti šādi saīsinājumi: </w:t>
      </w:r>
    </w:p>
    <w:p w:rsidR="003E022D" w:rsidRDefault="003E022D">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3E022D">
        <w:tc>
          <w:tcPr>
            <w:tcW w:w="5070" w:type="dxa"/>
          </w:tcPr>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UK: Apvienotā Karaliste</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EU: Eiropas Savienība, ieskaitot visas tās dalībvalstis </w:t>
            </w:r>
          </w:p>
        </w:tc>
        <w:tc>
          <w:tcPr>
            <w:tcW w:w="4172" w:type="dxa"/>
          </w:tcPr>
          <w:p w:rsidR="003E022D" w:rsidRDefault="003E022D">
            <w:pPr>
              <w:autoSpaceDE w:val="0"/>
              <w:autoSpaceDN w:val="0"/>
              <w:adjustRightInd w:val="0"/>
              <w:spacing w:after="0" w:afterAutospacing="0"/>
              <w:rPr>
                <w:rFonts w:cstheme="minorHAnsi"/>
                <w:noProof/>
                <w:color w:val="000000"/>
              </w:rPr>
            </w:pPr>
          </w:p>
        </w:tc>
      </w:tr>
      <w:tr w:rsidR="003E022D">
        <w:tc>
          <w:tcPr>
            <w:tcW w:w="5070" w:type="dxa"/>
          </w:tcPr>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Austrija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Beļģija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Bulgārija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Kipra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Čehijas Republika </w:t>
            </w:r>
          </w:p>
          <w:p w:rsidR="003E022D" w:rsidRDefault="007D19D6">
            <w:pPr>
              <w:autoSpaceDE w:val="0"/>
              <w:autoSpaceDN w:val="0"/>
              <w:adjustRightInd w:val="0"/>
              <w:spacing w:after="0" w:afterAutospacing="0"/>
              <w:rPr>
                <w:rFonts w:cstheme="minorHAnsi"/>
                <w:noProof/>
              </w:rPr>
            </w:pPr>
            <w:r>
              <w:rPr>
                <w:noProof/>
              </w:rPr>
              <w:t xml:space="preserve">DE: Vācija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DK: Dānija</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EE: Igaunija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Grieķija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 Spānija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FI: Somija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FR: Francija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Horvātija </w:t>
            </w:r>
          </w:p>
          <w:p w:rsidR="003E022D" w:rsidRDefault="007D19D6">
            <w:pPr>
              <w:autoSpaceDE w:val="0"/>
              <w:autoSpaceDN w:val="0"/>
              <w:adjustRightInd w:val="0"/>
              <w:spacing w:after="0" w:afterAutospacing="0"/>
              <w:rPr>
                <w:rFonts w:cstheme="minorHAnsi"/>
                <w:noProof/>
              </w:rPr>
            </w:pPr>
            <w:r>
              <w:rPr>
                <w:noProof/>
              </w:rPr>
              <w:t>HU: Ungārija</w:t>
            </w:r>
          </w:p>
        </w:tc>
        <w:tc>
          <w:tcPr>
            <w:tcW w:w="4172" w:type="dxa"/>
          </w:tcPr>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Īrija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Itālija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Lietuva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Luksemburga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Latvija </w:t>
            </w:r>
          </w:p>
          <w:p w:rsidR="003E022D" w:rsidRDefault="007D19D6">
            <w:pPr>
              <w:autoSpaceDE w:val="0"/>
              <w:autoSpaceDN w:val="0"/>
              <w:adjustRightInd w:val="0"/>
              <w:spacing w:after="0" w:afterAutospacing="0"/>
              <w:rPr>
                <w:rFonts w:cstheme="minorHAnsi"/>
                <w:noProof/>
                <w:color w:val="000000"/>
              </w:rPr>
            </w:pPr>
            <w:r>
              <w:rPr>
                <w:noProof/>
              </w:rPr>
              <w:t>MT: Malta</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Nīderlande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PL: Polija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PT: Portugāle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RO: Rumānija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SE: Zviedrija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SI: Slovēnija </w:t>
            </w:r>
          </w:p>
          <w:p w:rsidR="003E022D" w:rsidRDefault="007D19D6">
            <w:pPr>
              <w:autoSpaceDE w:val="0"/>
              <w:autoSpaceDN w:val="0"/>
              <w:adjustRightInd w:val="0"/>
              <w:spacing w:after="0" w:afterAutospacing="0"/>
              <w:rPr>
                <w:rFonts w:cstheme="minorHAnsi"/>
                <w:noProof/>
                <w:color w:val="000000"/>
              </w:rPr>
            </w:pPr>
            <w:r>
              <w:rPr>
                <w:noProof/>
              </w:rPr>
              <w:t>SK: Slovākija</w:t>
            </w:r>
          </w:p>
          <w:p w:rsidR="003E022D" w:rsidRDefault="003E022D">
            <w:pPr>
              <w:autoSpaceDE w:val="0"/>
              <w:autoSpaceDN w:val="0"/>
              <w:adjustRightInd w:val="0"/>
              <w:spacing w:after="0" w:afterAutospacing="0"/>
              <w:rPr>
                <w:rFonts w:cstheme="minorHAnsi"/>
                <w:noProof/>
                <w:color w:val="000000"/>
              </w:rPr>
            </w:pPr>
          </w:p>
        </w:tc>
      </w:tr>
    </w:tbl>
    <w:p w:rsidR="003E022D" w:rsidRDefault="003E022D">
      <w:pPr>
        <w:autoSpaceDE w:val="0"/>
        <w:autoSpaceDN w:val="0"/>
        <w:adjustRightInd w:val="0"/>
        <w:spacing w:after="0"/>
        <w:rPr>
          <w:rFonts w:cstheme="minorHAnsi"/>
          <w:noProof/>
          <w:color w:val="000000"/>
        </w:rPr>
      </w:pPr>
    </w:p>
    <w:p w:rsidR="003E022D" w:rsidRDefault="007D19D6">
      <w:pPr>
        <w:rPr>
          <w:rFonts w:cstheme="minorHAnsi"/>
          <w:noProof/>
        </w:rPr>
      </w:pPr>
      <w:r>
        <w:rPr>
          <w:noProof/>
        </w:rPr>
        <w:br w:type="page"/>
      </w:r>
    </w:p>
    <w:p w:rsidR="003E022D" w:rsidRDefault="007D19D6">
      <w:pPr>
        <w:rPr>
          <w:b/>
          <w:noProof/>
          <w:u w:val="single"/>
        </w:rPr>
      </w:pPr>
      <w:r>
        <w:rPr>
          <w:b/>
          <w:noProof/>
          <w:u w:val="single"/>
        </w:rPr>
        <w:t xml:space="preserve">Savienības saraksts </w:t>
      </w:r>
      <w:bookmarkStart w:id="987" w:name="_Toc452570597"/>
    </w:p>
    <w:p w:rsidR="003E022D" w:rsidRDefault="007D19D6">
      <w:pPr>
        <w:rPr>
          <w:b/>
          <w:noProof/>
        </w:rPr>
      </w:pPr>
      <w:bookmarkStart w:id="988" w:name="_Toc476832028"/>
      <w:bookmarkStart w:id="989" w:name="_Toc500420022"/>
      <w:bookmarkStart w:id="990" w:name="_Toc5371291"/>
      <w:r>
        <w:rPr>
          <w:b/>
          <w:noProof/>
        </w:rPr>
        <w:t>1. atruna. Visas nozares</w:t>
      </w:r>
    </w:p>
    <w:p w:rsidR="003E022D" w:rsidRDefault="007D19D6">
      <w:pPr>
        <w:rPr>
          <w:b/>
          <w:noProof/>
        </w:rPr>
      </w:pPr>
      <w:r>
        <w:rPr>
          <w:b/>
          <w:noProof/>
        </w:rPr>
        <w:t xml:space="preserve">2. atruna. Profesionālie </w:t>
      </w:r>
      <w:r>
        <w:rPr>
          <w:b/>
          <w:noProof/>
        </w:rPr>
        <w:t>pakalpojumi (visas profesijas, izņemot ar veselību saistītās)</w:t>
      </w:r>
    </w:p>
    <w:p w:rsidR="003E022D" w:rsidRDefault="007D19D6">
      <w:pPr>
        <w:rPr>
          <w:b/>
          <w:noProof/>
        </w:rPr>
      </w:pPr>
      <w:r>
        <w:rPr>
          <w:b/>
          <w:noProof/>
        </w:rPr>
        <w:t>3. atruna. Profesionālie pakalpojumi (ar veselību saistītie pakalpojumi un zāļu mazumtirdzniecība)</w:t>
      </w:r>
    </w:p>
    <w:p w:rsidR="003E022D" w:rsidRDefault="007D19D6">
      <w:pPr>
        <w:rPr>
          <w:b/>
          <w:noProof/>
        </w:rPr>
      </w:pPr>
      <w:r>
        <w:rPr>
          <w:b/>
          <w:noProof/>
        </w:rPr>
        <w:t>4. atruna. Pētniecības un izstrādes pakalpojumi</w:t>
      </w:r>
    </w:p>
    <w:p w:rsidR="003E022D" w:rsidRDefault="007D19D6">
      <w:pPr>
        <w:rPr>
          <w:b/>
          <w:noProof/>
        </w:rPr>
      </w:pPr>
      <w:r>
        <w:rPr>
          <w:b/>
          <w:noProof/>
        </w:rPr>
        <w:t>5. atruna. Nekustamā īpašuma pakalpojumi</w:t>
      </w:r>
    </w:p>
    <w:p w:rsidR="003E022D" w:rsidRDefault="007D19D6">
      <w:pPr>
        <w:rPr>
          <w:b/>
          <w:noProof/>
        </w:rPr>
      </w:pPr>
      <w:r>
        <w:rPr>
          <w:b/>
          <w:noProof/>
        </w:rPr>
        <w:t>6. atruna. Darījumdarbības pakalpojumi</w:t>
      </w:r>
    </w:p>
    <w:p w:rsidR="003E022D" w:rsidRDefault="007D19D6">
      <w:pPr>
        <w:rPr>
          <w:b/>
          <w:noProof/>
        </w:rPr>
      </w:pPr>
      <w:r>
        <w:rPr>
          <w:b/>
          <w:noProof/>
        </w:rPr>
        <w:t>7. atruna. Sakaru pakalpojumi</w:t>
      </w:r>
    </w:p>
    <w:p w:rsidR="003E022D" w:rsidRDefault="007D19D6">
      <w:pPr>
        <w:rPr>
          <w:b/>
          <w:noProof/>
        </w:rPr>
      </w:pPr>
      <w:r>
        <w:rPr>
          <w:b/>
          <w:noProof/>
        </w:rPr>
        <w:t>8. atruna. Būvniecības pakalpojumi</w:t>
      </w:r>
    </w:p>
    <w:p w:rsidR="003E022D" w:rsidRDefault="007D19D6">
      <w:pPr>
        <w:rPr>
          <w:b/>
          <w:noProof/>
        </w:rPr>
      </w:pPr>
      <w:r>
        <w:rPr>
          <w:b/>
          <w:noProof/>
        </w:rPr>
        <w:t>9. atruna. Izplatīšanas pakalpojumi</w:t>
      </w:r>
    </w:p>
    <w:p w:rsidR="003E022D" w:rsidRDefault="007D19D6">
      <w:pPr>
        <w:rPr>
          <w:b/>
          <w:noProof/>
        </w:rPr>
      </w:pPr>
      <w:r>
        <w:rPr>
          <w:b/>
          <w:noProof/>
        </w:rPr>
        <w:t>10. atruna. Izglītības pakalpojumi</w:t>
      </w:r>
    </w:p>
    <w:p w:rsidR="003E022D" w:rsidRDefault="007D19D6">
      <w:pPr>
        <w:rPr>
          <w:b/>
          <w:noProof/>
        </w:rPr>
      </w:pPr>
      <w:r>
        <w:rPr>
          <w:b/>
          <w:noProof/>
        </w:rPr>
        <w:t>11. atruna. Vidiskie pakalpojumi</w:t>
      </w:r>
    </w:p>
    <w:p w:rsidR="003E022D" w:rsidRDefault="007D19D6">
      <w:pPr>
        <w:rPr>
          <w:b/>
          <w:noProof/>
        </w:rPr>
      </w:pPr>
      <w:r>
        <w:rPr>
          <w:b/>
          <w:noProof/>
        </w:rPr>
        <w:t>12. atruna. Finanšu pakalpojumi</w:t>
      </w:r>
    </w:p>
    <w:p w:rsidR="003E022D" w:rsidRDefault="007D19D6">
      <w:pPr>
        <w:rPr>
          <w:b/>
          <w:noProof/>
        </w:rPr>
      </w:pPr>
      <w:r>
        <w:rPr>
          <w:b/>
          <w:noProof/>
        </w:rPr>
        <w:t>13. atruna. Vese</w:t>
      </w:r>
      <w:r>
        <w:rPr>
          <w:b/>
          <w:noProof/>
        </w:rPr>
        <w:t>lības pakalpojumi un sociālie pakalpojumi</w:t>
      </w:r>
    </w:p>
    <w:p w:rsidR="003E022D" w:rsidRDefault="007D19D6">
      <w:pPr>
        <w:rPr>
          <w:b/>
          <w:noProof/>
        </w:rPr>
      </w:pPr>
      <w:r>
        <w:rPr>
          <w:b/>
          <w:noProof/>
        </w:rPr>
        <w:t>14. atruna. Tūrisma pakalpojumi un ar ceļojumiem saistīti pakalpojumi</w:t>
      </w:r>
    </w:p>
    <w:p w:rsidR="003E022D" w:rsidRDefault="007D19D6">
      <w:pPr>
        <w:rPr>
          <w:b/>
          <w:noProof/>
        </w:rPr>
      </w:pPr>
      <w:r>
        <w:rPr>
          <w:b/>
          <w:noProof/>
        </w:rPr>
        <w:t>15. atruna. Atpūtas, kultūras un sporta pakalpojumi</w:t>
      </w:r>
    </w:p>
    <w:p w:rsidR="003E022D" w:rsidRDefault="007D19D6">
      <w:pPr>
        <w:rPr>
          <w:b/>
          <w:noProof/>
        </w:rPr>
      </w:pPr>
      <w:r>
        <w:rPr>
          <w:b/>
          <w:noProof/>
        </w:rPr>
        <w:t>16. atruna. Transporta pakalpojumi un transporta palīgpakalpojumi</w:t>
      </w:r>
    </w:p>
    <w:p w:rsidR="003E022D" w:rsidRDefault="007D19D6">
      <w:pPr>
        <w:rPr>
          <w:b/>
          <w:noProof/>
        </w:rPr>
      </w:pPr>
      <w:r>
        <w:rPr>
          <w:b/>
          <w:noProof/>
        </w:rPr>
        <w:t>17. atruna. Ar enerģiju sa</w:t>
      </w:r>
      <w:r>
        <w:rPr>
          <w:b/>
          <w:noProof/>
        </w:rPr>
        <w:t>istītas darbības</w:t>
      </w:r>
    </w:p>
    <w:p w:rsidR="003E022D" w:rsidRDefault="007D19D6">
      <w:pPr>
        <w:rPr>
          <w:b/>
          <w:noProof/>
        </w:rPr>
      </w:pPr>
      <w:r>
        <w:rPr>
          <w:b/>
          <w:noProof/>
        </w:rPr>
        <w:t>18. atruna. Lauksaimniecība, zvejniecība un ražošana</w:t>
      </w:r>
    </w:p>
    <w:p w:rsidR="003E022D" w:rsidRDefault="003E022D">
      <w:pPr>
        <w:rPr>
          <w:noProof/>
        </w:rPr>
      </w:pPr>
    </w:p>
    <w:p w:rsidR="003E022D" w:rsidRDefault="007D19D6">
      <w:pPr>
        <w:spacing w:after="160" w:line="259" w:lineRule="auto"/>
        <w:jc w:val="left"/>
        <w:rPr>
          <w:b/>
          <w:noProof/>
        </w:rPr>
      </w:pPr>
      <w:bookmarkStart w:id="991" w:name="_Toc53746658"/>
      <w:bookmarkStart w:id="992" w:name="_Toc57917367"/>
      <w:r>
        <w:rPr>
          <w:noProof/>
        </w:rPr>
        <w:br w:type="page"/>
      </w:r>
    </w:p>
    <w:p w:rsidR="003E022D" w:rsidRDefault="007D19D6">
      <w:pPr>
        <w:rPr>
          <w:b/>
          <w:noProof/>
        </w:rPr>
      </w:pPr>
      <w:r>
        <w:rPr>
          <w:b/>
          <w:noProof/>
        </w:rPr>
        <w:t>1. atruna. Visas nozares</w:t>
      </w:r>
      <w:bookmarkEnd w:id="991"/>
      <w:bookmarkEnd w:id="992"/>
    </w:p>
    <w:tbl>
      <w:tblPr>
        <w:tblStyle w:val="TableGrid0"/>
        <w:tblW w:w="0" w:type="auto"/>
        <w:tblCellMar>
          <w:left w:w="0" w:type="dxa"/>
        </w:tblCellMar>
        <w:tblLook w:val="04A0" w:firstRow="1" w:lastRow="0" w:firstColumn="1" w:lastColumn="0" w:noHBand="0" w:noVBand="1"/>
      </w:tblPr>
      <w:tblGrid>
        <w:gridCol w:w="2638"/>
        <w:gridCol w:w="6496"/>
      </w:tblGrid>
      <w:tr w:rsidR="003E022D">
        <w:tc>
          <w:tcPr>
            <w:tcW w:w="2660" w:type="dxa"/>
          </w:tcPr>
          <w:p w:rsidR="003E022D" w:rsidRDefault="007D19D6">
            <w:pPr>
              <w:spacing w:afterAutospacing="0"/>
              <w:rPr>
                <w:b/>
                <w:noProof/>
              </w:rPr>
            </w:pPr>
            <w:r>
              <w:rPr>
                <w:b/>
                <w:noProof/>
              </w:rPr>
              <w:t>Nozare:</w:t>
            </w:r>
          </w:p>
        </w:tc>
        <w:tc>
          <w:tcPr>
            <w:tcW w:w="6582" w:type="dxa"/>
          </w:tcPr>
          <w:p w:rsidR="003E022D" w:rsidRDefault="007D19D6">
            <w:pPr>
              <w:spacing w:afterAutospacing="0"/>
              <w:rPr>
                <w:noProof/>
              </w:rPr>
            </w:pPr>
            <w:r>
              <w:rPr>
                <w:b/>
                <w:i/>
                <w:noProof/>
              </w:rPr>
              <w:t>Visas nozares</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Veiktspējas prasības </w:t>
            </w:r>
            <w:r>
              <w:rPr>
                <w:noProof/>
              </w:rPr>
              <w:br/>
              <w:t xml:space="preserve">Augstākā vadība un direktoru padomes </w:t>
            </w:r>
            <w:r>
              <w:rPr>
                <w:noProof/>
              </w:rPr>
              <w:br/>
            </w:r>
            <w:r>
              <w:rPr>
                <w:noProof/>
              </w:rPr>
              <w:t xml:space="preserve">Ar juridiskajiem pakalpojumiem saistīti pienākumi </w:t>
            </w:r>
            <w:r>
              <w:rPr>
                <w:noProof/>
              </w:rPr>
              <w:br/>
            </w:r>
          </w:p>
        </w:tc>
      </w:tr>
      <w:tr w:rsidR="003E022D">
        <w:tc>
          <w:tcPr>
            <w:tcW w:w="2660" w:type="dxa"/>
          </w:tcPr>
          <w:p w:rsidR="003E022D" w:rsidRDefault="007D19D6">
            <w:pPr>
              <w:spacing w:afterAutospacing="0"/>
              <w:rPr>
                <w:b/>
                <w:noProof/>
              </w:rPr>
            </w:pPr>
            <w:r>
              <w:rPr>
                <w:b/>
                <w:bCs/>
                <w:noProof/>
              </w:rPr>
              <w:t>Nodaļa/sadaļa:</w:t>
            </w:r>
          </w:p>
        </w:tc>
        <w:tc>
          <w:tcPr>
            <w:tcW w:w="6582" w:type="dxa"/>
          </w:tcPr>
          <w:p w:rsidR="003E022D" w:rsidRDefault="007D19D6">
            <w:pPr>
              <w:spacing w:afterAutospacing="0"/>
              <w:rPr>
                <w:noProof/>
              </w:rPr>
            </w:pPr>
            <w:r>
              <w:rPr>
                <w:noProof/>
              </w:rPr>
              <w:t>Investīciju liberalizācija, pakalpojumu pārrobežu tirdzniecība un juridisko pakalpojumu tiesiskais regulējums</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i/>
          <w:noProof/>
        </w:rPr>
      </w:pPr>
      <w:r>
        <w:rPr>
          <w:b/>
          <w:bCs/>
          <w:i/>
          <w:noProof/>
        </w:rPr>
        <w:t xml:space="preserve">Apraksts </w:t>
      </w:r>
    </w:p>
    <w:p w:rsidR="003E022D" w:rsidRDefault="007D19D6">
      <w:pPr>
        <w:rPr>
          <w:b/>
          <w:i/>
          <w:noProof/>
        </w:rPr>
      </w:pPr>
      <w:bookmarkStart w:id="993" w:name="_Toc5371292"/>
      <w:bookmarkStart w:id="994" w:name="_Toc452570598"/>
      <w:r>
        <w:rPr>
          <w:b/>
          <w:i/>
          <w:noProof/>
        </w:rPr>
        <w:t>a)</w:t>
      </w:r>
      <w:r>
        <w:rPr>
          <w:noProof/>
        </w:rPr>
        <w:tab/>
      </w:r>
      <w:r>
        <w:rPr>
          <w:b/>
          <w:i/>
          <w:noProof/>
        </w:rPr>
        <w:t>Uzņēmuma veids</w:t>
      </w:r>
      <w:bookmarkEnd w:id="993"/>
      <w:bookmarkEnd w:id="994"/>
      <w:r>
        <w:rPr>
          <w:b/>
          <w:i/>
          <w:noProof/>
        </w:rPr>
        <w:t xml:space="preserve"> </w:t>
      </w:r>
    </w:p>
    <w:p w:rsidR="003E022D" w:rsidRDefault="007D19D6">
      <w:pPr>
        <w:rPr>
          <w:noProof/>
          <w:u w:val="single"/>
        </w:rPr>
      </w:pPr>
      <w:r>
        <w:rPr>
          <w:noProof/>
          <w:u w:val="single"/>
        </w:rPr>
        <w:t xml:space="preserve">Attiecībā uz investīciju liberalizāciju – valsts režīms un juridisko pakalpojumu tiesiskais regulējums – pienākumi </w:t>
      </w:r>
    </w:p>
    <w:p w:rsidR="003E022D" w:rsidRDefault="007D19D6">
      <w:pPr>
        <w:rPr>
          <w:noProof/>
        </w:rPr>
      </w:pPr>
      <w:r>
        <w:rPr>
          <w:b/>
          <w:bCs/>
          <w:noProof/>
        </w:rPr>
        <w:t>EU</w:t>
      </w:r>
      <w:r>
        <w:rPr>
          <w:noProof/>
        </w:rPr>
        <w:t xml:space="preserve">: režīms, kas saskaņā ar Līgumu par Eiropas Savienības darbību piešķirts juridiskām personām, kuras </w:t>
      </w:r>
      <w:r>
        <w:rPr>
          <w:noProof/>
        </w:rPr>
        <w:t>izveidotas saskaņā ar Savienības vai dalībvalsts tiesību aktiem un kuru juridiskā adrese, galvenā vadība vai galvenā darījumdarbības vieta atrodas Savienībā, ieskaitot tās, kuras Savienībā izveidojuši Apvienotās Karalistes investori, netiek piešķirts ne ju</w:t>
      </w:r>
      <w:r>
        <w:rPr>
          <w:noProof/>
        </w:rPr>
        <w:t>ridiskām personām, kas veic uzņēmējdarbību ārpus Savienības, ne šādu juridisko personu filiālēm vai pārstāvniecībām, tostarp Apvienotās Karalistes juridisko personu filiālēm vai pārstāvniecībām.</w:t>
      </w:r>
    </w:p>
    <w:p w:rsidR="003E022D" w:rsidRDefault="007D19D6">
      <w:pPr>
        <w:rPr>
          <w:noProof/>
        </w:rPr>
      </w:pPr>
      <w:r>
        <w:rPr>
          <w:noProof/>
        </w:rPr>
        <w:t>Mazāk labvēlīgu režīmu var piešķirt juridiskām personām, kura</w:t>
      </w:r>
      <w:r>
        <w:rPr>
          <w:noProof/>
        </w:rPr>
        <w:t>s izveidotas saskaņā ar Savienības vai dalībvalsts tiesību aktiem un kurām Savienībā ir tikai juridiskā adrese, ja vien nevar pierādīt, ka tām ir faktiska un pastāvīga saikne ar kādas dalībvalsts ekonomiku.</w:t>
      </w:r>
    </w:p>
    <w:p w:rsidR="003E022D" w:rsidRDefault="007D19D6">
      <w:pPr>
        <w:rPr>
          <w:b/>
          <w:noProof/>
        </w:rPr>
      </w:pPr>
      <w:r>
        <w:rPr>
          <w:b/>
          <w:i/>
          <w:noProof/>
        </w:rPr>
        <w:t xml:space="preserve">Pasākumi </w:t>
      </w:r>
    </w:p>
    <w:p w:rsidR="003E022D" w:rsidRDefault="007D19D6">
      <w:pPr>
        <w:rPr>
          <w:i/>
          <w:noProof/>
        </w:rPr>
      </w:pPr>
      <w:r>
        <w:rPr>
          <w:b/>
          <w:i/>
          <w:noProof/>
        </w:rPr>
        <w:t>EU</w:t>
      </w:r>
      <w:r>
        <w:rPr>
          <w:i/>
          <w:noProof/>
        </w:rPr>
        <w:t>: Līgums par Eiropas Savienības darbī</w:t>
      </w:r>
      <w:r>
        <w:rPr>
          <w:i/>
          <w:noProof/>
        </w:rPr>
        <w:t xml:space="preserve">bu </w:t>
      </w:r>
    </w:p>
    <w:p w:rsidR="003E022D" w:rsidRDefault="007D19D6">
      <w:pPr>
        <w:rPr>
          <w:noProof/>
          <w:u w:val="single"/>
        </w:rPr>
      </w:pPr>
      <w:r>
        <w:rPr>
          <w:noProof/>
          <w:u w:val="single"/>
        </w:rPr>
        <w:t xml:space="preserve">Attiecībā uz investīciju liberalizāciju – piekļuve tirgum, valsts režīms, augstākā vadība un direktoru padomes </w:t>
      </w:r>
    </w:p>
    <w:p w:rsidR="003E022D" w:rsidRDefault="007D19D6">
      <w:pPr>
        <w:rPr>
          <w:i/>
          <w:noProof/>
        </w:rPr>
      </w:pPr>
      <w:r>
        <w:rPr>
          <w:i/>
          <w:noProof/>
        </w:rPr>
        <w:t xml:space="preserve">Šī atruna attiecas tikai uz veselības, sociālajiem vai izglītības pakalpojumiem.  </w:t>
      </w:r>
    </w:p>
    <w:p w:rsidR="003E022D" w:rsidRDefault="007D19D6">
      <w:pPr>
        <w:rPr>
          <w:noProof/>
        </w:rPr>
      </w:pPr>
      <w:r>
        <w:rPr>
          <w:b/>
          <w:noProof/>
        </w:rPr>
        <w:t>EU</w:t>
      </w:r>
      <w:r>
        <w:rPr>
          <w:noProof/>
        </w:rPr>
        <w:t xml:space="preserve"> (attiecas arī uz valdības reģionālo līmeni): jebkura dalībvalsts, pārdodot vai izmantojot savas kapitāla daļas vai aktīvus esošā valsts uzņēmumā vai esošā valdības struktūrā, kas sniedz veselības, sociālos vai izglītības pakalpojumus (CPC 93, 92), var not</w:t>
      </w:r>
      <w:r>
        <w:rPr>
          <w:noProof/>
        </w:rPr>
        <w:t>eikt aizliegumus vai ierobežojumus attiecībā uz šādu daļu vai aktīvu turēšanu īpašumā un/vai šādu daļu un aktīvu īpašnieku spēju kontrolēt jebkādu rezultātā izveidoto uzņēmumu, ja investori ir Apvienotās Karalistes uzņēmēji vai to uzņēmumi. Attiecībā uz šā</w:t>
      </w:r>
      <w:r>
        <w:rPr>
          <w:noProof/>
        </w:rPr>
        <w:t xml:space="preserve">du pārdošanu vai cita veida izmantošanu jebkura dalībvalsts var pieņemt vai paturēt spēkā pasākumus, kas attiecas uz augstākās vadības vai direktoru padomju locekļu valstspiederību, kā arī pasākumus, kas ierobežo pakalpojumu sniedzēju skaitu. </w:t>
      </w:r>
    </w:p>
    <w:p w:rsidR="003E022D" w:rsidRDefault="007D19D6">
      <w:pPr>
        <w:rPr>
          <w:noProof/>
        </w:rPr>
      </w:pPr>
      <w:r>
        <w:rPr>
          <w:noProof/>
        </w:rPr>
        <w:t>Šajā atrunā:</w:t>
      </w:r>
      <w:r>
        <w:rPr>
          <w:noProof/>
        </w:rPr>
        <w:t xml:space="preserve"> </w:t>
      </w:r>
    </w:p>
    <w:p w:rsidR="003E022D" w:rsidRDefault="007D19D6">
      <w:pPr>
        <w:numPr>
          <w:ilvl w:val="0"/>
          <w:numId w:val="779"/>
        </w:numPr>
        <w:rPr>
          <w:noProof/>
        </w:rPr>
      </w:pPr>
      <w:r>
        <w:rPr>
          <w:noProof/>
        </w:rPr>
        <w:t>ikvienu pasākumu, kuru atstāj spēkā vai pieņem pēc šā nolīguma spēkā stāšanās dienas un kurā minētās pārdošanas vai cita veida izmantošanas brīdī ir noteikts aizliegums vai ierobežojumi attiecībā uz pašu kapitāla daļu vai aktīvu turēšanu īpašumā vai note</w:t>
      </w:r>
      <w:r>
        <w:rPr>
          <w:noProof/>
        </w:rPr>
        <w:t xml:space="preserve">iktas prasības attiecībā uz valstspiederību, vai noteikti ierobežojumi attiecībā uz šajā atrunā aprakstīto pakalpojumu sniedzēju skaitu, uzskata par esošu pasākumu, un </w:t>
      </w:r>
    </w:p>
    <w:p w:rsidR="003E022D" w:rsidRDefault="007D19D6">
      <w:pPr>
        <w:numPr>
          <w:ilvl w:val="0"/>
          <w:numId w:val="779"/>
        </w:numPr>
        <w:rPr>
          <w:noProof/>
        </w:rPr>
      </w:pPr>
      <w:r>
        <w:rPr>
          <w:noProof/>
        </w:rPr>
        <w:t>“valsts uzņēmums” ir uzņēmums, kas pieder jebkurai dalībvalstij vai ko tā kontrolē ar l</w:t>
      </w:r>
      <w:r>
        <w:rPr>
          <w:noProof/>
        </w:rPr>
        <w:t xml:space="preserve">īdzdalības starpniecību, un ietver uzņēmumu, kas izveidots pēc šā nolīguma spēkā stāšanās dienas nolūkā vienīgi pārdot vai izmantot kapitāla daļas vai aktīvus valsts uzņēmumā vai valdības struktūrā. </w:t>
      </w:r>
    </w:p>
    <w:p w:rsidR="003E022D" w:rsidRDefault="007D19D6">
      <w:pPr>
        <w:rPr>
          <w:b/>
          <w:noProof/>
        </w:rPr>
      </w:pPr>
      <w:r>
        <w:rPr>
          <w:b/>
          <w:i/>
          <w:noProof/>
        </w:rPr>
        <w:t xml:space="preserve">Pasākumi </w:t>
      </w:r>
    </w:p>
    <w:p w:rsidR="003E022D" w:rsidRDefault="007D19D6">
      <w:pPr>
        <w:rPr>
          <w:i/>
          <w:noProof/>
        </w:rPr>
      </w:pPr>
      <w:r>
        <w:rPr>
          <w:b/>
          <w:i/>
          <w:noProof/>
        </w:rPr>
        <w:t>EU</w:t>
      </w:r>
      <w:r>
        <w:rPr>
          <w:i/>
          <w:noProof/>
        </w:rPr>
        <w:t xml:space="preserve">: izklāstīti daļā “Apraksts” iepriekš. </w:t>
      </w:r>
    </w:p>
    <w:p w:rsidR="003E022D" w:rsidRDefault="007D19D6">
      <w:pPr>
        <w:rPr>
          <w:noProof/>
          <w:u w:val="single"/>
        </w:rPr>
      </w:pPr>
      <w:bookmarkStart w:id="995" w:name="_Hlk3150352"/>
      <w:r>
        <w:rPr>
          <w:noProof/>
          <w:u w:val="single"/>
        </w:rPr>
        <w:t>Atti</w:t>
      </w:r>
      <w:r>
        <w:rPr>
          <w:noProof/>
          <w:u w:val="single"/>
        </w:rPr>
        <w:t>ecībā uz investīciju liberalizāciju – valsts režīms un juridisko pakalpojumu tiesiskais regulējums – pienākumi</w:t>
      </w:r>
      <w:bookmarkEnd w:id="995"/>
    </w:p>
    <w:p w:rsidR="003E022D" w:rsidRDefault="007D19D6">
      <w:pPr>
        <w:rPr>
          <w:noProof/>
        </w:rPr>
      </w:pPr>
      <w:r>
        <w:rPr>
          <w:b/>
          <w:noProof/>
        </w:rPr>
        <w:t>AT</w:t>
      </w:r>
      <w:r>
        <w:rPr>
          <w:noProof/>
        </w:rPr>
        <w:t>: lai varētu vadīt filiāli, korporācijām, kas nav Eiropas Ekonomikas zonas korporācijas, jāieceļ vismaz viena persona, kas atbild par tās pārst</w:t>
      </w:r>
      <w:r>
        <w:rPr>
          <w:noProof/>
        </w:rPr>
        <w:t xml:space="preserve">āvību un kas ir Austrijas rezidents. </w:t>
      </w:r>
    </w:p>
    <w:p w:rsidR="003E022D" w:rsidRDefault="007D19D6">
      <w:pPr>
        <w:rPr>
          <w:noProof/>
        </w:rPr>
      </w:pPr>
      <w:r>
        <w:rPr>
          <w:noProof/>
        </w:rPr>
        <w:t>To vadītāju (rīkotājdirektoru, fizisku personu) domicilam, kuras atbild par Austrijas Tirdzniecības likuma (</w:t>
      </w:r>
      <w:r>
        <w:rPr>
          <w:i/>
          <w:noProof/>
        </w:rPr>
        <w:t>Gewerbeordnung)</w:t>
      </w:r>
      <w:r>
        <w:rPr>
          <w:noProof/>
        </w:rPr>
        <w:t xml:space="preserve"> ievērošanu, jābūt Austrijā. </w:t>
      </w:r>
    </w:p>
    <w:p w:rsidR="003E022D" w:rsidRDefault="007D19D6">
      <w:pPr>
        <w:rPr>
          <w:noProof/>
        </w:rPr>
      </w:pPr>
      <w:r>
        <w:rPr>
          <w:b/>
          <w:noProof/>
        </w:rPr>
        <w:t>BG:</w:t>
      </w:r>
      <w:r>
        <w:rPr>
          <w:noProof/>
        </w:rPr>
        <w:t xml:space="preserve"> ārvalstu juridiskas personas, ja vien tās nav izveidotas atbi</w:t>
      </w:r>
      <w:r>
        <w:rPr>
          <w:noProof/>
        </w:rPr>
        <w:t xml:space="preserve">lstoši Eiropas Ekonomikas zonas (EEZ) dalībvalsts tiesību aktiem, var īstenot darījumdarbību un darboties, ja tās izveidotas Bulgārijas Republikā kā Komercreģistrā reģistrēts uzņēmums. Filiāļu izveidei jāsaņem atļauja. </w:t>
      </w:r>
    </w:p>
    <w:p w:rsidR="003E022D" w:rsidRDefault="007D19D6">
      <w:pPr>
        <w:rPr>
          <w:noProof/>
        </w:rPr>
      </w:pPr>
      <w:r>
        <w:rPr>
          <w:noProof/>
        </w:rPr>
        <w:t>Ārvalstu uzņēmumu pārstāvniecības ir</w:t>
      </w:r>
      <w:r>
        <w:rPr>
          <w:noProof/>
        </w:rPr>
        <w:t xml:space="preserve"> jāreģistrē Bulgārijas Tirdzniecības un rūpniecības kamerā, un tās nedrīkst iesaistīties saimnieciskā darbībā, bet ir tikai tiesīgas reklamēt savu īpašnieku un darboties kā pārstāvji vai aģenti. </w:t>
      </w:r>
    </w:p>
    <w:p w:rsidR="003E022D" w:rsidRDefault="007D19D6">
      <w:pPr>
        <w:rPr>
          <w:noProof/>
        </w:rPr>
      </w:pPr>
      <w:r>
        <w:rPr>
          <w:b/>
          <w:noProof/>
        </w:rPr>
        <w:t>EE</w:t>
      </w:r>
      <w:r>
        <w:rPr>
          <w:noProof/>
        </w:rPr>
        <w:t>: ja vismaz puse no sabiedrības ar ierobežotu atbildību, a</w:t>
      </w:r>
      <w:r>
        <w:rPr>
          <w:noProof/>
        </w:rPr>
        <w:t>kciju sabiedrības vai filiāles valdes locekļiem nav Igaunijā, citā EEZ dalībvalstī vai Šveices Konfederācijā, sabiedrība ar ierobežotu atbildību, akciju sabiedrība vai ārvalstu sabiedrība ieceļ kontaktpunktu, kura adresi Igaunijā var izmantot, lai piegādāt</w:t>
      </w:r>
      <w:r>
        <w:rPr>
          <w:noProof/>
        </w:rPr>
        <w:t xml:space="preserve">u procesuālos dokumentus un nodomu deklarācijas, kas ir adresēti uzņēmumam (t. i., ārvalstu sabiedrības filiālei).  </w:t>
      </w:r>
    </w:p>
    <w:p w:rsidR="003E022D" w:rsidRDefault="007D19D6">
      <w:pPr>
        <w:rPr>
          <w:noProof/>
          <w:u w:val="single"/>
        </w:rPr>
      </w:pPr>
      <w:r>
        <w:rPr>
          <w:noProof/>
          <w:u w:val="single"/>
        </w:rPr>
        <w:t>Attiecībā uz investīciju liberalizāciju – valsts režīms, pakalpojumu pārrobežu tirdzniecība – piekļuve tirgum un juridisko pakalpojumu ties</w:t>
      </w:r>
      <w:r>
        <w:rPr>
          <w:noProof/>
          <w:u w:val="single"/>
        </w:rPr>
        <w:t>iskais regulējums – pienākumi</w:t>
      </w:r>
    </w:p>
    <w:p w:rsidR="003E022D" w:rsidRDefault="007D19D6">
      <w:pPr>
        <w:rPr>
          <w:noProof/>
        </w:rPr>
      </w:pPr>
      <w:r>
        <w:rPr>
          <w:b/>
          <w:noProof/>
        </w:rPr>
        <w:t>FI</w:t>
      </w:r>
      <w:r>
        <w:rPr>
          <w:noProof/>
        </w:rPr>
        <w:t xml:space="preserve">: vismaz vienam no pilnsabiedrības biedriem vai vienam no komandītsabiedrības biedriem jābūt rezidentiem EEZ vai — ja biedrs ir juridiska persona —  ar domicilu (filiāles nav atļautas) EEZ. Reģistrācijas iestāde var noteikt </w:t>
      </w:r>
      <w:r>
        <w:rPr>
          <w:noProof/>
        </w:rPr>
        <w:t xml:space="preserve">izņēmumus. </w:t>
      </w:r>
    </w:p>
    <w:p w:rsidR="003E022D" w:rsidRDefault="007D19D6">
      <w:pPr>
        <w:rPr>
          <w:noProof/>
        </w:rPr>
      </w:pPr>
      <w:r>
        <w:rPr>
          <w:noProof/>
        </w:rPr>
        <w:t xml:space="preserve">Lai veiktu tirdzniecību privāta uzņēmēja statusā, jābūt EEZ rezidentam. </w:t>
      </w:r>
    </w:p>
    <w:p w:rsidR="003E022D" w:rsidRDefault="007D19D6">
      <w:pPr>
        <w:rPr>
          <w:noProof/>
        </w:rPr>
      </w:pPr>
      <w:r>
        <w:rPr>
          <w:noProof/>
        </w:rPr>
        <w:t xml:space="preserve">Ja ārvalstu organizācija no valsts ārpus EEZ plāno veikt darījumdarbību vai tirdzniecību, nodibinot filiāli Somijā, vajadzīga tirdzniecības atļauja. </w:t>
      </w:r>
    </w:p>
    <w:p w:rsidR="003E022D" w:rsidRDefault="007D19D6">
      <w:pPr>
        <w:rPr>
          <w:noProof/>
        </w:rPr>
      </w:pPr>
      <w:r>
        <w:rPr>
          <w:noProof/>
        </w:rPr>
        <w:t>Vismaz vienam no dire</w:t>
      </w:r>
      <w:r>
        <w:rPr>
          <w:noProof/>
        </w:rPr>
        <w:t xml:space="preserve">ktoru padomes parastajiem locekļiem un vienam no padomes locekļu vietniekiem, kā arī rīkotājdirektoram dzīvesvietai ir jābūt EEZ. Reģistrācijas iestāde var piešķirt sabiedrībām atbrīvojumus. </w:t>
      </w:r>
    </w:p>
    <w:p w:rsidR="003E022D" w:rsidRDefault="007D19D6">
      <w:pPr>
        <w:rPr>
          <w:noProof/>
        </w:rPr>
      </w:pPr>
      <w:r>
        <w:rPr>
          <w:b/>
          <w:noProof/>
        </w:rPr>
        <w:t>SE</w:t>
      </w:r>
      <w:r>
        <w:rPr>
          <w:noProof/>
        </w:rPr>
        <w:t>: ārvalstu sabiedrība, kas nav izveidojusi juridisku personu Z</w:t>
      </w:r>
      <w:r>
        <w:rPr>
          <w:noProof/>
        </w:rPr>
        <w:t>viedrijā vai darījumdarbību veic ar tirdzniecības pārstāvja starpniecību, savu komercdarbību veic ar tādas filiāles starpniecību, kas reģistrēta Zviedrijā un kam ir neatkarīga vadība un atsevišķa uzskaite. Filiāles rīkotājdirektoram un attiecīgā gadījumā t</w:t>
      </w:r>
      <w:r>
        <w:rPr>
          <w:noProof/>
        </w:rPr>
        <w:t>ā vietniekam jābūt EEZ rezidentiem. Fiziska persona, kas nav EEZ rezidents un veic komercdarbību Zviedrijā, ieceļ un reģistrē pārstāvi, kas ir rezidents un atbild par darbību Zviedrijā. Par Zviedrijā veikto darbību veic atsevišķu uzskaiti. Kompetentā iestā</w:t>
      </w:r>
      <w:r>
        <w:rPr>
          <w:noProof/>
        </w:rPr>
        <w:t xml:space="preserve">de individuālos gadījumos var piešķirt atbrīvojumu no prasībām par filiāli un rezidenta statusu. Uz būvniecības projektiem, kuru ilgums ir līdz vienam gadam un kurus īsteno sabiedrība, kas atrodas ārpus EEZ, vai fiziska persona, kuras dzīvesvieta ir ārpus </w:t>
      </w:r>
      <w:r>
        <w:rPr>
          <w:noProof/>
        </w:rPr>
        <w:t xml:space="preserve">EEZ, neattiecas prasība izveidot filiāli vai iecelt pastāvīgo pārstāvi. </w:t>
      </w:r>
    </w:p>
    <w:p w:rsidR="003E022D" w:rsidRDefault="007D19D6">
      <w:pPr>
        <w:rPr>
          <w:noProof/>
        </w:rPr>
      </w:pPr>
      <w:r>
        <w:rPr>
          <w:noProof/>
        </w:rPr>
        <w:t>Sabiedrībās ar ierobežotu atbildību un saimnieciskas darbības kooperatīvos vismaz 50 procentiem no direktoru padomes locekļiem, vismaz 50 procentiem no to vietniekiem, rīkotājdirektor</w:t>
      </w:r>
      <w:r>
        <w:rPr>
          <w:noProof/>
        </w:rPr>
        <w:t>am, rīkotājdirektora vietniekam un vismaz vienai no personām, kas pilnvarotas parakstīties sabiedrības vārdā, jābūt EEZ rezidentiem. Kompetentā iestāde var piešķirt atbrīvojumu no šīs prasības. Ja neviens no sabiedrības vai biedrības pārstāvjiem nav Zviedr</w:t>
      </w:r>
      <w:r>
        <w:rPr>
          <w:noProof/>
        </w:rPr>
        <w:t xml:space="preserve">ijas rezidents, padomei jāieceļ un jāreģistrē persona, kas ir Zviedrijas rezidents un kas ir pilnvarota saņemt dokumentus sabiedrības vai biedrības vārdā. </w:t>
      </w:r>
    </w:p>
    <w:p w:rsidR="003E022D" w:rsidRDefault="007D19D6">
      <w:pPr>
        <w:rPr>
          <w:noProof/>
        </w:rPr>
      </w:pPr>
      <w:r>
        <w:rPr>
          <w:noProof/>
        </w:rPr>
        <w:t xml:space="preserve">Dibinot visu citu veidu juridiskās personas, piemēro atbilstošus nosacījumus. </w:t>
      </w:r>
    </w:p>
    <w:p w:rsidR="003E022D" w:rsidRDefault="007D19D6">
      <w:pPr>
        <w:rPr>
          <w:noProof/>
        </w:rPr>
      </w:pPr>
      <w:r>
        <w:rPr>
          <w:b/>
          <w:noProof/>
        </w:rPr>
        <w:t>SK</w:t>
      </w:r>
      <w:r>
        <w:rPr>
          <w:noProof/>
        </w:rPr>
        <w:t>: ārvalstu fiziskai</w:t>
      </w:r>
      <w:r>
        <w:rPr>
          <w:noProof/>
        </w:rPr>
        <w:t xml:space="preserve"> personai, kuru attiecīgajā reģistrā (komercreģistrā, uzņēmēju vai citā profesionālā reģistrā) reģistrē kā personu, kas pilnvarota rīkoties uzņēmēja vārdā, ir jāuzrāda uzturēšanās atļauja Slovākijā. </w:t>
      </w:r>
    </w:p>
    <w:p w:rsidR="003E022D" w:rsidRDefault="007D19D6">
      <w:pPr>
        <w:rPr>
          <w:b/>
          <w:noProof/>
        </w:rPr>
      </w:pPr>
      <w:r>
        <w:rPr>
          <w:b/>
          <w:i/>
          <w:noProof/>
        </w:rPr>
        <w:t xml:space="preserve">Pasākumi </w:t>
      </w:r>
    </w:p>
    <w:p w:rsidR="003E022D" w:rsidRDefault="007D19D6">
      <w:pPr>
        <w:rPr>
          <w:i/>
          <w:noProof/>
        </w:rPr>
      </w:pPr>
      <w:r>
        <w:rPr>
          <w:b/>
          <w:i/>
          <w:noProof/>
        </w:rPr>
        <w:t>AT</w:t>
      </w:r>
      <w:r>
        <w:rPr>
          <w:i/>
          <w:noProof/>
        </w:rPr>
        <w:t>: Aktiengesetz, BGBL. Nr. 98/1965, § 254 (2)</w:t>
      </w:r>
      <w:r>
        <w:rPr>
          <w:i/>
          <w:noProof/>
        </w:rPr>
        <w:t xml:space="preserve">; </w:t>
      </w:r>
    </w:p>
    <w:p w:rsidR="003E022D" w:rsidRDefault="007D19D6">
      <w:pPr>
        <w:rPr>
          <w:i/>
          <w:noProof/>
        </w:rPr>
      </w:pPr>
      <w:r>
        <w:rPr>
          <w:i/>
          <w:noProof/>
        </w:rPr>
        <w:t xml:space="preserve">GmbH-Gesetz, RGBL. Nr. 58/1906, § 107 (2); Aktiengesetz, BGBL. Nr. 194/1994, § 39 (2). </w:t>
      </w:r>
    </w:p>
    <w:p w:rsidR="003E022D" w:rsidRDefault="007D19D6">
      <w:pPr>
        <w:rPr>
          <w:i/>
          <w:noProof/>
        </w:rPr>
      </w:pPr>
      <w:r>
        <w:rPr>
          <w:b/>
          <w:i/>
          <w:noProof/>
        </w:rPr>
        <w:t>BG</w:t>
      </w:r>
      <w:r>
        <w:rPr>
          <w:i/>
          <w:noProof/>
        </w:rPr>
        <w:t xml:space="preserve">: Komerclikuma 17.a pants un </w:t>
      </w:r>
    </w:p>
    <w:p w:rsidR="003E022D" w:rsidRDefault="007D19D6">
      <w:pPr>
        <w:rPr>
          <w:i/>
          <w:noProof/>
        </w:rPr>
      </w:pPr>
      <w:r>
        <w:rPr>
          <w:i/>
          <w:noProof/>
        </w:rPr>
        <w:t xml:space="preserve">Investīciju veicināšanas likuma 24. pants. </w:t>
      </w:r>
    </w:p>
    <w:p w:rsidR="003E022D" w:rsidRDefault="007D19D6">
      <w:pPr>
        <w:rPr>
          <w:i/>
          <w:noProof/>
        </w:rPr>
      </w:pPr>
      <w:r>
        <w:rPr>
          <w:b/>
          <w:i/>
          <w:noProof/>
        </w:rPr>
        <w:t>EE</w:t>
      </w:r>
      <w:r>
        <w:rPr>
          <w:i/>
          <w:noProof/>
        </w:rPr>
        <w:t>: Äriseadustik (Tirdzniecības kodekss) § 63</w:t>
      </w:r>
      <w:r>
        <w:rPr>
          <w:i/>
          <w:noProof/>
          <w:vertAlign w:val="superscript"/>
        </w:rPr>
        <w:t>1</w:t>
      </w:r>
      <w:r>
        <w:rPr>
          <w:i/>
          <w:noProof/>
        </w:rPr>
        <w:t xml:space="preserve"> (1., 2. un 4. pants). </w:t>
      </w:r>
    </w:p>
    <w:p w:rsidR="003E022D" w:rsidRDefault="007D19D6">
      <w:pPr>
        <w:rPr>
          <w:i/>
          <w:noProof/>
        </w:rPr>
      </w:pPr>
      <w:r>
        <w:rPr>
          <w:b/>
          <w:i/>
          <w:noProof/>
        </w:rPr>
        <w:t>FI</w:t>
      </w:r>
      <w:r>
        <w:rPr>
          <w:i/>
          <w:noProof/>
        </w:rPr>
        <w:t xml:space="preserve">: Laki elinkeinon harjoittamisen oikeudesta (Likums par tiesībām veikt tirdzniecību) (122/1919), s. 1; </w:t>
      </w:r>
    </w:p>
    <w:p w:rsidR="003E022D" w:rsidRDefault="007D19D6">
      <w:pPr>
        <w:rPr>
          <w:i/>
          <w:noProof/>
        </w:rPr>
      </w:pPr>
      <w:r>
        <w:rPr>
          <w:i/>
          <w:noProof/>
        </w:rPr>
        <w:t xml:space="preserve">Osuuskuntalaki (Kooperatīvu likums) 1488/2001; </w:t>
      </w:r>
    </w:p>
    <w:p w:rsidR="003E022D" w:rsidRDefault="007D19D6">
      <w:pPr>
        <w:rPr>
          <w:i/>
          <w:noProof/>
        </w:rPr>
      </w:pPr>
      <w:r>
        <w:rPr>
          <w:i/>
          <w:noProof/>
        </w:rPr>
        <w:t xml:space="preserve">Osakeyhtiölaki (Likums par sabiedrībām ar ierobežotu atbildību) (624/2006) un </w:t>
      </w:r>
    </w:p>
    <w:p w:rsidR="003E022D" w:rsidRDefault="007D19D6">
      <w:pPr>
        <w:rPr>
          <w:i/>
          <w:noProof/>
        </w:rPr>
      </w:pPr>
      <w:r>
        <w:rPr>
          <w:i/>
          <w:noProof/>
        </w:rPr>
        <w:t xml:space="preserve">Laki luottolaitostoiminnasta (Likums par kredītiestādēm) (121/2007). </w:t>
      </w:r>
    </w:p>
    <w:p w:rsidR="003E022D" w:rsidRDefault="007D19D6">
      <w:pPr>
        <w:rPr>
          <w:i/>
          <w:noProof/>
        </w:rPr>
      </w:pPr>
      <w:r>
        <w:rPr>
          <w:b/>
          <w:i/>
          <w:noProof/>
        </w:rPr>
        <w:t>SE</w:t>
      </w:r>
      <w:r>
        <w:rPr>
          <w:i/>
          <w:noProof/>
        </w:rPr>
        <w:t xml:space="preserve">: Lag om utländska filialer m.m (Ārvalstu filiāļu likums) (1992:160); </w:t>
      </w:r>
    </w:p>
    <w:p w:rsidR="003E022D" w:rsidRDefault="007D19D6">
      <w:pPr>
        <w:rPr>
          <w:i/>
          <w:noProof/>
        </w:rPr>
      </w:pPr>
      <w:r>
        <w:rPr>
          <w:i/>
          <w:noProof/>
        </w:rPr>
        <w:t xml:space="preserve">Aktiebolagslagen (Sabiedrību likums) (2005:551); </w:t>
      </w:r>
    </w:p>
    <w:p w:rsidR="003E022D" w:rsidRDefault="007D19D6">
      <w:pPr>
        <w:rPr>
          <w:i/>
          <w:noProof/>
        </w:rPr>
      </w:pPr>
      <w:r>
        <w:rPr>
          <w:i/>
          <w:noProof/>
        </w:rPr>
        <w:t xml:space="preserve">Saimnieciskās darbības kooperatīvu likums (2018:672) un Likums </w:t>
      </w:r>
      <w:r>
        <w:rPr>
          <w:i/>
          <w:noProof/>
        </w:rPr>
        <w:t xml:space="preserve">par Eiropas ekonomisko interešu grupām (1994:1927). </w:t>
      </w:r>
    </w:p>
    <w:p w:rsidR="003E022D" w:rsidRDefault="007D19D6">
      <w:pPr>
        <w:rPr>
          <w:i/>
          <w:noProof/>
        </w:rPr>
      </w:pPr>
      <w:r>
        <w:rPr>
          <w:b/>
          <w:i/>
          <w:noProof/>
        </w:rPr>
        <w:t>SK</w:t>
      </w:r>
      <w:r>
        <w:rPr>
          <w:i/>
          <w:noProof/>
        </w:rPr>
        <w:t xml:space="preserve">: Likums 513/1991 (Komerckodekss, 21. pants), Likums 455/1991 par tirdzniecības licencēšanu un </w:t>
      </w:r>
    </w:p>
    <w:p w:rsidR="003E022D" w:rsidRDefault="007D19D6">
      <w:pPr>
        <w:rPr>
          <w:i/>
          <w:noProof/>
        </w:rPr>
      </w:pPr>
      <w:r>
        <w:rPr>
          <w:i/>
          <w:noProof/>
        </w:rPr>
        <w:t xml:space="preserve">Likums Nr. 404/2011 par ārvalstnieku uzturēšanos (22. un 32. pants). </w:t>
      </w:r>
    </w:p>
    <w:p w:rsidR="003E022D" w:rsidRDefault="007D19D6">
      <w:pPr>
        <w:rPr>
          <w:noProof/>
          <w:u w:val="single"/>
        </w:rPr>
      </w:pPr>
      <w:r>
        <w:rPr>
          <w:noProof/>
          <w:u w:val="single"/>
        </w:rPr>
        <w:t>Attiecībā uz investīciju liberalizā</w:t>
      </w:r>
      <w:r>
        <w:rPr>
          <w:noProof/>
          <w:u w:val="single"/>
        </w:rPr>
        <w:t xml:space="preserve">ciju – piekļuve tirgum, valsts režīms, veiktspējas prasības un juridisko pakalpojumu tiesiskais regulējums  – pienākumi </w:t>
      </w:r>
    </w:p>
    <w:p w:rsidR="003E022D" w:rsidRDefault="007D19D6">
      <w:pPr>
        <w:rPr>
          <w:noProof/>
        </w:rPr>
      </w:pPr>
      <w:r>
        <w:rPr>
          <w:b/>
          <w:noProof/>
        </w:rPr>
        <w:t>BG:</w:t>
      </w:r>
      <w:r>
        <w:rPr>
          <w:noProof/>
        </w:rPr>
        <w:t xml:space="preserve"> uzņēmumi, kas veic darījumdarbību, var nodarbināt trešo valstu valstspiederīgos tikai tādos amatos, uz kuriem neattiecas prasība pa</w:t>
      </w:r>
      <w:r>
        <w:rPr>
          <w:noProof/>
        </w:rPr>
        <w:t>r Bulgārijas valstspiederību. Kopējais to trešo valstu valstspiederīgo skaits, kurus nodarbina uzņēmums, kas veic darījumdarbību, iepriekšējo 12 mēnešu laikā nedrīkst pārsniegt 20 % (35 % maziem un vidējiem uzņēmumiem) no vidējā Bulgārijas valstspiederīgo,</w:t>
      </w:r>
      <w:r>
        <w:rPr>
          <w:noProof/>
        </w:rPr>
        <w:t xml:space="preserve"> citu dalībvalstu, EEZ līguma dalībvalstu vai Šveices Konfederācijas valstspiederīgo skaita, kas pieņemti darbā, pamatojoties uz darba līgumu. Turklāt darba devējam, pirms nodarbināt trešās valsts valstspiederīgo, ir jāpierāda — veicot darba tirgus testu—,</w:t>
      </w:r>
      <w:r>
        <w:rPr>
          <w:noProof/>
        </w:rPr>
        <w:t xml:space="preserve"> ka attiecīgajam amatam nav piemērota Bulgārijas, ES, EEZ vai Šveices darba ņēmēja. </w:t>
      </w:r>
    </w:p>
    <w:p w:rsidR="003E022D" w:rsidRDefault="007D19D6">
      <w:pPr>
        <w:rPr>
          <w:noProof/>
        </w:rPr>
      </w:pPr>
      <w:r>
        <w:rPr>
          <w:noProof/>
        </w:rPr>
        <w:t>Augsti kvalificētiem, sezonas un norīkotiem darbiniekiem, kā arī uzņēmuma ietvaros pārceltiem darbiniekiem, pētniekiem un studentiem nav ierobežojumu attiecībā uz to trešo</w:t>
      </w:r>
      <w:r>
        <w:rPr>
          <w:noProof/>
        </w:rPr>
        <w:t xml:space="preserve"> valstu valstspiederīgo skaitu, kuri strādā vienā uzņēmumā. Lai šajās kategorijās nodarbinātu trešo valstu valstspiederīgos, darba tirgus tests nav jāveic. </w:t>
      </w:r>
    </w:p>
    <w:p w:rsidR="003E022D" w:rsidRDefault="007D19D6">
      <w:pPr>
        <w:rPr>
          <w:b/>
          <w:noProof/>
        </w:rPr>
      </w:pPr>
      <w:r>
        <w:rPr>
          <w:b/>
          <w:i/>
          <w:noProof/>
        </w:rPr>
        <w:t xml:space="preserve">Pasākumi </w:t>
      </w:r>
    </w:p>
    <w:p w:rsidR="003E022D" w:rsidRDefault="007D19D6">
      <w:pPr>
        <w:rPr>
          <w:i/>
          <w:noProof/>
        </w:rPr>
      </w:pPr>
      <w:r>
        <w:rPr>
          <w:b/>
          <w:i/>
          <w:noProof/>
        </w:rPr>
        <w:t>BG</w:t>
      </w:r>
      <w:r>
        <w:rPr>
          <w:i/>
          <w:noProof/>
        </w:rPr>
        <w:t xml:space="preserve">: Darbaspēka migrācijas un darbaspēka mobilitātes likums </w:t>
      </w:r>
    </w:p>
    <w:p w:rsidR="003E022D" w:rsidRDefault="007D19D6">
      <w:pPr>
        <w:rPr>
          <w:noProof/>
          <w:u w:val="single"/>
        </w:rPr>
      </w:pPr>
      <w:r>
        <w:rPr>
          <w:noProof/>
          <w:u w:val="single"/>
        </w:rPr>
        <w:t>Attiecībā uz investīciju libe</w:t>
      </w:r>
      <w:r>
        <w:rPr>
          <w:noProof/>
          <w:u w:val="single"/>
        </w:rPr>
        <w:t xml:space="preserve">ralizāciju – piekļuve tirgum, valsts režīms </w:t>
      </w:r>
    </w:p>
    <w:p w:rsidR="003E022D" w:rsidRDefault="007D19D6">
      <w:pPr>
        <w:rPr>
          <w:noProof/>
        </w:rPr>
      </w:pPr>
      <w:r>
        <w:rPr>
          <w:b/>
          <w:noProof/>
        </w:rPr>
        <w:t>PL:</w:t>
      </w:r>
      <w:r>
        <w:rPr>
          <w:noProof/>
        </w:rPr>
        <w:t xml:space="preserve"> pārstāvniecība drīkst nodarboties vienīgi ar tās pārstāvētās ārvalstu mātes sabiedrības reklamēšanu. Visās nozarēs, izņemot juridiskos pakalpojumus, investori no valstīm ārpus Eiropas Savienības un to uzņēmu</w:t>
      </w:r>
      <w:r>
        <w:rPr>
          <w:noProof/>
        </w:rPr>
        <w:t>mi var veikt uzņēmējdarbību tikai tad, ja tie nodibina komandītsabiedrību, akciju komandītsabiedrību, sabiedrību ar ierobežotu atbildību un akciju sabiedrību, savukārt vietējie investori un uzņēmumi var darboties arī nekomerciālu pilnsabiedrību formā (piln</w:t>
      </w:r>
      <w:r>
        <w:rPr>
          <w:noProof/>
        </w:rPr>
        <w:t xml:space="preserve">sabiedrības un pilnsabiedrības ar neierobežotu atbildību). </w:t>
      </w:r>
    </w:p>
    <w:p w:rsidR="003E022D" w:rsidRDefault="007D19D6">
      <w:pPr>
        <w:rPr>
          <w:b/>
          <w:noProof/>
        </w:rPr>
      </w:pPr>
      <w:r>
        <w:rPr>
          <w:b/>
          <w:i/>
          <w:noProof/>
        </w:rPr>
        <w:t xml:space="preserve">Pasākumi </w:t>
      </w:r>
    </w:p>
    <w:p w:rsidR="003E022D" w:rsidRDefault="007D19D6">
      <w:pPr>
        <w:rPr>
          <w:i/>
          <w:noProof/>
        </w:rPr>
      </w:pPr>
      <w:r>
        <w:rPr>
          <w:b/>
          <w:i/>
          <w:noProof/>
        </w:rPr>
        <w:t>PL</w:t>
      </w:r>
      <w:r>
        <w:rPr>
          <w:i/>
          <w:noProof/>
        </w:rPr>
        <w:t xml:space="preserve">: 2018. gada 6. marta Likums par noteikumiem attiecībā uz ārvalstu uzņēmēju un citu ārvalstu personu saimniecisko darbību Polijas teritorijā </w:t>
      </w:r>
    </w:p>
    <w:p w:rsidR="003E022D" w:rsidRDefault="007D19D6">
      <w:pPr>
        <w:rPr>
          <w:b/>
          <w:i/>
          <w:noProof/>
        </w:rPr>
      </w:pPr>
      <w:bookmarkStart w:id="996" w:name="_Toc5371293"/>
      <w:bookmarkStart w:id="997" w:name="_Toc452570599"/>
      <w:r>
        <w:rPr>
          <w:b/>
          <w:i/>
          <w:noProof/>
        </w:rPr>
        <w:t>b)</w:t>
      </w:r>
      <w:r>
        <w:rPr>
          <w:noProof/>
        </w:rPr>
        <w:tab/>
      </w:r>
      <w:r>
        <w:rPr>
          <w:b/>
          <w:i/>
          <w:noProof/>
        </w:rPr>
        <w:t>Nekustamā īpašuma iegāde</w:t>
      </w:r>
      <w:bookmarkEnd w:id="996"/>
      <w:bookmarkEnd w:id="997"/>
      <w:r>
        <w:rPr>
          <w:b/>
          <w:i/>
          <w:noProof/>
        </w:rPr>
        <w:t xml:space="preserve"> </w:t>
      </w:r>
    </w:p>
    <w:p w:rsidR="003E022D" w:rsidRDefault="007D19D6">
      <w:pPr>
        <w:rPr>
          <w:noProof/>
          <w:u w:val="single"/>
        </w:rPr>
      </w:pPr>
      <w:r>
        <w:rPr>
          <w:noProof/>
          <w:u w:val="single"/>
        </w:rPr>
        <w:t xml:space="preserve">Attiecībā uz </w:t>
      </w:r>
      <w:r>
        <w:rPr>
          <w:noProof/>
          <w:u w:val="single"/>
        </w:rPr>
        <w:t xml:space="preserve">investīciju liberalizāciju – valsts režīms </w:t>
      </w:r>
    </w:p>
    <w:p w:rsidR="003E022D" w:rsidRDefault="007D19D6">
      <w:pPr>
        <w:rPr>
          <w:noProof/>
        </w:rPr>
      </w:pPr>
      <w:r>
        <w:rPr>
          <w:b/>
          <w:noProof/>
        </w:rPr>
        <w:t>AT</w:t>
      </w:r>
      <w:r>
        <w:rPr>
          <w:noProof/>
        </w:rPr>
        <w:t xml:space="preserve"> (attiecas uz valdības reģionālo līmeni): lai fiziskas personas un uzņēmumi no valstīm ārpus Eiropas Savienības varētu iegūt īpašumā, nopirkt un nomāt vai nomāt ar izpirkumu nekustamo īpašumu, ir nepieciešama k</w:t>
      </w:r>
      <w:r>
        <w:rPr>
          <w:noProof/>
        </w:rPr>
        <w:t>ompetento reģionālo iestāžu (</w:t>
      </w:r>
      <w:r>
        <w:rPr>
          <w:i/>
          <w:noProof/>
        </w:rPr>
        <w:t>Länder)</w:t>
      </w:r>
      <w:r>
        <w:rPr>
          <w:noProof/>
        </w:rPr>
        <w:t xml:space="preserve"> atļauja. Atļauju piešķir tikai tad, ja tiek uzskatīts, ka šāda iegūšana īpašumā ir publiskās (jo īpaši ekonomiskās, sociālās un kultūras) interesēs. </w:t>
      </w:r>
    </w:p>
    <w:p w:rsidR="003E022D" w:rsidRDefault="007D19D6">
      <w:pPr>
        <w:rPr>
          <w:noProof/>
        </w:rPr>
      </w:pPr>
      <w:r>
        <w:rPr>
          <w:b/>
          <w:noProof/>
        </w:rPr>
        <w:t>CY</w:t>
      </w:r>
      <w:r>
        <w:rPr>
          <w:noProof/>
        </w:rPr>
        <w:t>: kipriešiem vai Kipras izcelsmes personām, kā arī dalībvalsts vals</w:t>
      </w:r>
      <w:r>
        <w:rPr>
          <w:noProof/>
        </w:rPr>
        <w:t xml:space="preserve">tspiederīgajiem ir atļauts iegādāties jebkādu īpašumu Kiprā bez ierobežojumiem. Ārvalstnieki nevar iegūt nekustamo īpašumu, ja nav saņemta Ministru padomes atļauja, izņemot </w:t>
      </w:r>
      <w:r>
        <w:rPr>
          <w:i/>
          <w:noProof/>
        </w:rPr>
        <w:t xml:space="preserve">mortis causa </w:t>
      </w:r>
      <w:r>
        <w:rPr>
          <w:noProof/>
        </w:rPr>
        <w:t>gadījumā. Ja īpašumā iegūtā nekustamā īpašuma platība pārsniedz to, ka</w:t>
      </w:r>
      <w:r>
        <w:rPr>
          <w:noProof/>
        </w:rPr>
        <w:t>s nepieciešama mājas vai profesionālas darbības vietas uzcelšanai, vai citādi pārsniedz divas donas (2676 kvadrātmetri), atļauju ārvalstniekiem Ministru padome piešķir, piemērojot noteikumus, ierobežojumus, nosacījumus un kritērijus, kuri paredzēti Ministr</w:t>
      </w:r>
      <w:r>
        <w:rPr>
          <w:noProof/>
        </w:rPr>
        <w:t>u padomes izstrādātajos un Parlamenta apstiprinātajos noteikumos. Ārvalstnieks ir jebkura persona, kas nav Kipras valstspiederīgais, arī ārvalstu kontrolēta sabiedrība. Šis termins neietver Kipras izcelsmes ārvalstniekus vai Kipras valstspiederīgo laulātos</w:t>
      </w:r>
      <w:r>
        <w:rPr>
          <w:noProof/>
        </w:rPr>
        <w:t xml:space="preserve">, kuri nav kiprieši. </w:t>
      </w:r>
    </w:p>
    <w:p w:rsidR="003E022D" w:rsidRDefault="007D19D6">
      <w:pPr>
        <w:rPr>
          <w:noProof/>
        </w:rPr>
      </w:pPr>
      <w:r>
        <w:rPr>
          <w:b/>
          <w:noProof/>
        </w:rPr>
        <w:t>CZ</w:t>
      </w:r>
      <w:r>
        <w:rPr>
          <w:noProof/>
        </w:rPr>
        <w:t>: piemēro īpašus noteikumus attiecībā uz lauksaimniecības zemi valsts īpašumā. Valsts lauksaimniecības zemi īpašumā var iegūt vienīgi Čehijas valstspiederīgie, citas dalībvalsts valstspiederīgie, to valstu valstspiederīgie, kas ir E</w:t>
      </w:r>
      <w:r>
        <w:rPr>
          <w:noProof/>
        </w:rPr>
        <w:t>EZ līguma līgumslēdzējas puses, vai Šveices Konfederācijas valstspiederīgie. Juridiskas personas var īpašumā iegūt valsts lauksaimniecības zemi tikai tad, ja tās ir lauksaimniecības uzņēmēji Čehijas Republikā vai personas ar līdzīgu statusu citā Eiropas Sa</w:t>
      </w:r>
      <w:r>
        <w:rPr>
          <w:noProof/>
        </w:rPr>
        <w:t>vienības dalībvalstī, tajās valstīs, kas ir EEZ līguma līgumslēdzējas puses, vai Šveices Konfederācijā.</w:t>
      </w:r>
    </w:p>
    <w:p w:rsidR="003E022D" w:rsidRDefault="007D19D6">
      <w:pPr>
        <w:rPr>
          <w:noProof/>
        </w:rPr>
      </w:pPr>
      <w:r>
        <w:rPr>
          <w:b/>
          <w:noProof/>
        </w:rPr>
        <w:t>DK</w:t>
      </w:r>
      <w:r>
        <w:rPr>
          <w:noProof/>
        </w:rPr>
        <w:t xml:space="preserve">: fiziskām personām, kas nav Dānijas rezidenti un kas iepriekš nepārtrauktu piecu gadu laikposmu nav bijušas Dānijas rezidenti, saskaņā ar Dānijas Likumu par nekustamā īpašuma iegūšanu ir jāsaņem atļauja no Tieslietu ministrijas, lai varētu iegūt tiesības </w:t>
      </w:r>
      <w:r>
        <w:rPr>
          <w:noProof/>
        </w:rPr>
        <w:t xml:space="preserve">uz nekustamo īpašumu Dānijā. Tas attiecas arī uz juridiskām personām, kuras nav reģistrētas Dānijā. Fiziskām personām nekustamā īpašuma iegūšana tiek atļauta tad, ja pieteikuma iesniedzējs plāno izmantot nekustamo īpašumu par savu galveno dzīvesvietu. </w:t>
      </w:r>
    </w:p>
    <w:p w:rsidR="003E022D" w:rsidRDefault="007D19D6">
      <w:pPr>
        <w:rPr>
          <w:noProof/>
        </w:rPr>
      </w:pPr>
      <w:r>
        <w:rPr>
          <w:noProof/>
        </w:rPr>
        <w:t>Jur</w:t>
      </w:r>
      <w:r>
        <w:rPr>
          <w:noProof/>
        </w:rPr>
        <w:t>idiskām personām, kas nav reģistrētas Dānijā, nekustamā īpašuma iegūšana parasti tiek atļauta tad, ja tā ir priekšnosacījums pircēja darījumdarbībai. Atļauja ir nepieciešama arī tad, ja pieteikuma iesniedzējs nekustamo īpašumu plāno izmantot par otro mājok</w:t>
      </w:r>
      <w:r>
        <w:rPr>
          <w:noProof/>
        </w:rPr>
        <w:t xml:space="preserve">li. Šādu atļauju piešķir tikai tad, ja pēc vispārēja un konkrēta novērtējuma tiek atzīts, ka pieteikuma iesniedzējam ir sevišķi spēcīga saikne ar Dāniju.  </w:t>
      </w:r>
    </w:p>
    <w:p w:rsidR="003E022D" w:rsidRDefault="007D19D6">
      <w:pPr>
        <w:rPr>
          <w:i/>
          <w:noProof/>
        </w:rPr>
      </w:pPr>
      <w:r>
        <w:rPr>
          <w:noProof/>
        </w:rPr>
        <w:t>Atļauju saskaņā ar Likumu par nekustamā īpašuma iegūšanu piešķir tikai konkrēta nekustamā īpašuma ie</w:t>
      </w:r>
      <w:r>
        <w:rPr>
          <w:noProof/>
        </w:rPr>
        <w:t>gūšanai. Lauksaimniecības zemes iegūšanu, ko veic fiziskas vai juridiskas personas, reglamentē arī Dānijas Likums par lauku saimniecībām, kas paredz ierobežojumus visām personām — gan no Dānijas, gan ārvalstīm —, kas iegūst lauksaimniecības īpašumu. Attiec</w:t>
      </w:r>
      <w:r>
        <w:rPr>
          <w:noProof/>
        </w:rPr>
        <w:t>īgi fiziskajām vai juridiskajām personām, kuras vēlas iegūt lauksaimniecības nekustamo īpašumu, jāatbilst minētā likuma prasībām. Tas parasti nozīmē, ka lauku saimniecībai piemēro ierobežotu dzīvesvietas prasību. Dzīvesvietas prasība nav personiska. Juridi</w:t>
      </w:r>
      <w:r>
        <w:rPr>
          <w:noProof/>
        </w:rPr>
        <w:t>skām personām jābūt tāda veida, kādi uzskaitīti minētā likuma §20 un §21, un tām jābūt reģistrētām Savienībā (vai EEZ).</w:t>
      </w:r>
    </w:p>
    <w:p w:rsidR="003E022D" w:rsidRDefault="007D19D6">
      <w:pPr>
        <w:rPr>
          <w:noProof/>
        </w:rPr>
      </w:pPr>
      <w:r>
        <w:rPr>
          <w:b/>
          <w:noProof/>
        </w:rPr>
        <w:t>EE</w:t>
      </w:r>
      <w:r>
        <w:rPr>
          <w:noProof/>
        </w:rPr>
        <w:t xml:space="preserve">: juridiskai personai no ESAO dalībvalsts ir tiesības iegādāties nekustamo īpašumu, kurā ir </w:t>
      </w:r>
    </w:p>
    <w:p w:rsidR="003E022D" w:rsidRDefault="007D19D6">
      <w:pPr>
        <w:numPr>
          <w:ilvl w:val="0"/>
          <w:numId w:val="784"/>
        </w:numPr>
        <w:ind w:left="357" w:hanging="215"/>
        <w:rPr>
          <w:noProof/>
        </w:rPr>
      </w:pPr>
      <w:r>
        <w:rPr>
          <w:noProof/>
        </w:rPr>
        <w:t>mazāk nekā desmit hektāru lauksaimniecība</w:t>
      </w:r>
      <w:r>
        <w:rPr>
          <w:noProof/>
        </w:rPr>
        <w:t xml:space="preserve">s zemes, meža zemes vai lauksaimniecības un meža zemes kopā, bez ierobežojumiem; </w:t>
      </w:r>
    </w:p>
    <w:p w:rsidR="003E022D" w:rsidRDefault="007D19D6">
      <w:pPr>
        <w:numPr>
          <w:ilvl w:val="0"/>
          <w:numId w:val="784"/>
        </w:numPr>
        <w:ind w:left="357" w:hanging="215"/>
        <w:rPr>
          <w:noProof/>
        </w:rPr>
      </w:pPr>
      <w:r>
        <w:rPr>
          <w:noProof/>
        </w:rPr>
        <w:t>desmit vai vairāk hektāru lauksaimniecības zemes, ja juridiskā persona trīs gadus tieši pirms nekustamā īpašuma iegūšanas gada ir ražojusi Līguma par Eiropas Savienības darbī</w:t>
      </w:r>
      <w:r>
        <w:rPr>
          <w:noProof/>
        </w:rPr>
        <w:t xml:space="preserve">bu I pielikumā uzskaitītos lauksaimniecības produktus, izņemot zivsaimniecības produktus un kokvilnu (turpmāk “lauksaimniecības produkti”); </w:t>
      </w:r>
    </w:p>
    <w:p w:rsidR="003E022D" w:rsidRDefault="007D19D6">
      <w:pPr>
        <w:numPr>
          <w:ilvl w:val="0"/>
          <w:numId w:val="784"/>
        </w:numPr>
        <w:ind w:left="357" w:hanging="215"/>
        <w:rPr>
          <w:noProof/>
        </w:rPr>
      </w:pPr>
      <w:r>
        <w:rPr>
          <w:noProof/>
        </w:rPr>
        <w:t xml:space="preserve">desmit vai vairāk hektāru meža zemes, ja juridiskā persona trīs gadus tieši pirms nekustamā īpašuma iegūšanas gada ir iesaistīta meža apsaimniekošanā Meža likuma (turpmāk “meža apsaimniekošana”) nozīmē vai lauksaimniecības produktu ražošanā; </w:t>
      </w:r>
    </w:p>
    <w:p w:rsidR="003E022D" w:rsidRDefault="007D19D6">
      <w:pPr>
        <w:numPr>
          <w:ilvl w:val="0"/>
          <w:numId w:val="784"/>
        </w:numPr>
        <w:ind w:left="357" w:hanging="215"/>
        <w:rPr>
          <w:noProof/>
        </w:rPr>
      </w:pPr>
      <w:r>
        <w:rPr>
          <w:noProof/>
        </w:rPr>
        <w:t>mazāk nekā de</w:t>
      </w:r>
      <w:r>
        <w:rPr>
          <w:noProof/>
        </w:rPr>
        <w:t>smit hektāru lauksaimniecības zemes un mazāk nekā desmit hektāru meža zemes, bet kopā desmit vai vairāk hektāru lauksaimniecības un meža zemes, ja juridiskā persona trīs gadus tieši pirms nekustamā īpašuma iegādes gada ir bijusi iesaistīta lauksaimniecības</w:t>
      </w:r>
      <w:r>
        <w:rPr>
          <w:noProof/>
        </w:rPr>
        <w:t xml:space="preserve"> produktu ražošanā vai meža apsaimniekošanā. </w:t>
      </w:r>
    </w:p>
    <w:p w:rsidR="003E022D" w:rsidRDefault="007D19D6">
      <w:pPr>
        <w:rPr>
          <w:noProof/>
        </w:rPr>
      </w:pPr>
      <w:r>
        <w:rPr>
          <w:noProof/>
        </w:rPr>
        <w:t>Ja juridiskā persona neatbilst ii)–iv) punktā noteiktajām prasībām, juridiskā persona var iegūt nekustamo īpašumu, kurā kopumā ir desmit vai vairāk hektāru lauksaimniecības zemes, meža zemes vai lauksaimniecība</w:t>
      </w:r>
      <w:r>
        <w:rPr>
          <w:noProof/>
        </w:rPr>
        <w:t xml:space="preserve">s un meža zemes, tikai ar iegādājamā nekustamā īpašuma atrašanās vietas pašvaldības domes atļauju; </w:t>
      </w:r>
    </w:p>
    <w:p w:rsidR="003E022D" w:rsidRDefault="007D19D6">
      <w:pPr>
        <w:rPr>
          <w:noProof/>
        </w:rPr>
      </w:pPr>
      <w:r>
        <w:rPr>
          <w:noProof/>
        </w:rPr>
        <w:t xml:space="preserve">ierobežojumi nekustamā īpašuma iegūšanai noteiktos ģeogrāfiskos apgabalos attiecas uz personām, kas nav EEZ valstspiederīgie. </w:t>
      </w:r>
    </w:p>
    <w:p w:rsidR="003E022D" w:rsidRDefault="007D19D6">
      <w:pPr>
        <w:rPr>
          <w:noProof/>
        </w:rPr>
      </w:pPr>
      <w:r>
        <w:rPr>
          <w:b/>
          <w:noProof/>
        </w:rPr>
        <w:t>EL</w:t>
      </w:r>
      <w:r>
        <w:rPr>
          <w:noProof/>
        </w:rPr>
        <w:t>: nekustamo īpašumu iegūt ī</w:t>
      </w:r>
      <w:r>
        <w:rPr>
          <w:noProof/>
        </w:rPr>
        <w:t>pašumā vai nomāt pierobežas reģionos ir aizliegts fiziskām vai juridiskām personām, kuru valstspiederība vai darbības bāze ir ārpus dalībvalstīm un Eiropas Brīvās tirdzniecības asociācijas. Šo aizliegumu var atcelt ar diskrecionāru lēmumu, ko pieņem attiec</w:t>
      </w:r>
      <w:r>
        <w:rPr>
          <w:noProof/>
        </w:rPr>
        <w:t xml:space="preserve">īgās decentralizētās pārvaldes komiteja (vai valsts aizsardzības ministrs, ja izmantojamie īpašumi pieder Privātā valsts īpašuma izmantošanas fondam). . </w:t>
      </w:r>
    </w:p>
    <w:p w:rsidR="003E022D" w:rsidRDefault="007D19D6">
      <w:pPr>
        <w:rPr>
          <w:noProof/>
        </w:rPr>
      </w:pPr>
      <w:r>
        <w:rPr>
          <w:b/>
          <w:noProof/>
        </w:rPr>
        <w:t>HR</w:t>
      </w:r>
      <w:r>
        <w:rPr>
          <w:noProof/>
        </w:rPr>
        <w:t xml:space="preserve">: ārvalstu sabiedrībām ir atļauts iegūt īpašumā nekustamo īpašumu pakalpojumu sniegšanai tikai tad, </w:t>
      </w:r>
      <w:r>
        <w:rPr>
          <w:noProof/>
        </w:rPr>
        <w:t>ja tās veic uzņēmējdarbību un ir inkorporētas Horvātijā kā juridiskas personas. Lai iegūtu īpašumā nekustamo īpašumu, kas nepieciešams filiālēm pakalpojumu sniegšanai, jāsaņem Tieslietu ministrijas apstiprinājums. Ārvalstnieki nevar iegūt īpašumā lauksaimn</w:t>
      </w:r>
      <w:r>
        <w:rPr>
          <w:noProof/>
        </w:rPr>
        <w:t xml:space="preserve">iecības zemi. </w:t>
      </w:r>
    </w:p>
    <w:p w:rsidR="003E022D" w:rsidRDefault="007D19D6">
      <w:pPr>
        <w:rPr>
          <w:noProof/>
        </w:rPr>
      </w:pPr>
      <w:r>
        <w:rPr>
          <w:b/>
          <w:noProof/>
        </w:rPr>
        <w:t>MT</w:t>
      </w:r>
      <w:r>
        <w:rPr>
          <w:noProof/>
        </w:rPr>
        <w:t>: personas, kuras nav dalībvalsts valstspiederīgie, nevar iegādāties nekustamo īpašumu komerciāliem mērķiem. Sabiedrībām, kurās 25 procenti (vai vairāk) daļu pieder valstu ārpus Eiropas Savienības valstspiederīgajiem, lai iegādātos nekusta</w:t>
      </w:r>
      <w:r>
        <w:rPr>
          <w:noProof/>
        </w:rPr>
        <w:t xml:space="preserve">mo īpašumu komerciāliem vai darījumdarbības mērķiem, jāsaņem kompetentās iestādes (finanšu ministra) atļauja. Kompetentā iestāde izlemj, vai ierosinātā iegūšana īpašumā rada neto ieguvumu Maltas tautsaimniecībai. </w:t>
      </w:r>
    </w:p>
    <w:p w:rsidR="003E022D" w:rsidRDefault="007D19D6">
      <w:pPr>
        <w:rPr>
          <w:noProof/>
        </w:rPr>
      </w:pPr>
      <w:r>
        <w:rPr>
          <w:b/>
          <w:noProof/>
        </w:rPr>
        <w:t>PL:</w:t>
      </w:r>
      <w:r>
        <w:rPr>
          <w:noProof/>
        </w:rPr>
        <w:t xml:space="preserve"> lai ārvalstnieki varētu tieši un netie</w:t>
      </w:r>
      <w:r>
        <w:rPr>
          <w:noProof/>
        </w:rPr>
        <w:t>ši iegūt nekustamo īpašumu, ir vajadzīga atļauja. Atļauju ar administratīvu lēmumu izdod par iekšlietām atbildīgais ministrs ar valsts aizsardzības ministra piekrišanu, bet lauksaimniecības nekustamā īpašuma gadījumā — arī ar lauksaimniecības un lauku attī</w:t>
      </w:r>
      <w:r>
        <w:rPr>
          <w:noProof/>
        </w:rPr>
        <w:t xml:space="preserve">stības ministra piekrišanu. </w:t>
      </w:r>
    </w:p>
    <w:p w:rsidR="003E022D" w:rsidRDefault="007D19D6">
      <w:pPr>
        <w:rPr>
          <w:b/>
          <w:noProof/>
        </w:rPr>
      </w:pPr>
      <w:r>
        <w:rPr>
          <w:b/>
          <w:i/>
          <w:noProof/>
        </w:rPr>
        <w:t xml:space="preserve">Pasākumi </w:t>
      </w:r>
    </w:p>
    <w:p w:rsidR="003E022D" w:rsidRDefault="007D19D6">
      <w:pPr>
        <w:rPr>
          <w:i/>
          <w:noProof/>
        </w:rPr>
      </w:pPr>
      <w:r>
        <w:rPr>
          <w:b/>
          <w:i/>
          <w:noProof/>
        </w:rPr>
        <w:t>AT</w:t>
      </w:r>
      <w:r>
        <w:rPr>
          <w:i/>
          <w:noProof/>
        </w:rPr>
        <w:t xml:space="preserve">: Burgenländisches Grundverkehrsgesetz, LGBL. Nr. 25/2007; </w:t>
      </w:r>
    </w:p>
    <w:p w:rsidR="003E022D" w:rsidRDefault="007D19D6">
      <w:pPr>
        <w:rPr>
          <w:i/>
          <w:noProof/>
        </w:rPr>
      </w:pPr>
      <w:r>
        <w:rPr>
          <w:i/>
          <w:noProof/>
        </w:rPr>
        <w:t xml:space="preserve">Kärntner Grundverkehrsgesetz, LGBL. Nr. 9/2004; </w:t>
      </w:r>
    </w:p>
    <w:p w:rsidR="003E022D" w:rsidRDefault="007D19D6">
      <w:pPr>
        <w:rPr>
          <w:i/>
          <w:noProof/>
        </w:rPr>
      </w:pPr>
      <w:r>
        <w:rPr>
          <w:i/>
          <w:noProof/>
        </w:rPr>
        <w:t xml:space="preserve">NÖ- Grundverkehrsgesetz, LGBL. 6800; </w:t>
      </w:r>
    </w:p>
    <w:p w:rsidR="003E022D" w:rsidRDefault="007D19D6">
      <w:pPr>
        <w:rPr>
          <w:i/>
          <w:noProof/>
        </w:rPr>
      </w:pPr>
      <w:r>
        <w:rPr>
          <w:i/>
          <w:noProof/>
        </w:rPr>
        <w:t xml:space="preserve">OÖ- Grundverkehrsgesetz, LGBL. Nr. 88/1994; </w:t>
      </w:r>
    </w:p>
    <w:p w:rsidR="003E022D" w:rsidRDefault="007D19D6">
      <w:pPr>
        <w:rPr>
          <w:i/>
          <w:noProof/>
        </w:rPr>
      </w:pPr>
      <w:r>
        <w:rPr>
          <w:i/>
          <w:noProof/>
        </w:rPr>
        <w:t>Salzburger Grundverkehr</w:t>
      </w:r>
      <w:r>
        <w:rPr>
          <w:i/>
          <w:noProof/>
        </w:rPr>
        <w:t xml:space="preserve">sgesetz, LGBL. Nr. 9/2002; </w:t>
      </w:r>
    </w:p>
    <w:p w:rsidR="003E022D" w:rsidRDefault="007D19D6">
      <w:pPr>
        <w:rPr>
          <w:i/>
          <w:noProof/>
        </w:rPr>
      </w:pPr>
      <w:r>
        <w:rPr>
          <w:i/>
          <w:noProof/>
        </w:rPr>
        <w:t xml:space="preserve">Steiermärkisches Grundverkehrsgesetz, LGBL. Nr. 134/1993; </w:t>
      </w:r>
    </w:p>
    <w:p w:rsidR="003E022D" w:rsidRDefault="007D19D6">
      <w:pPr>
        <w:rPr>
          <w:i/>
          <w:noProof/>
        </w:rPr>
      </w:pPr>
      <w:r>
        <w:rPr>
          <w:i/>
          <w:noProof/>
        </w:rPr>
        <w:t xml:space="preserve">Tiroler Grundverkehrsgesetz, LGBL. Nr. 61/1996; Voralberger Grundverkehrsgesetz, LGBL. Nr. 42/2004 un </w:t>
      </w:r>
    </w:p>
    <w:p w:rsidR="003E022D" w:rsidRDefault="007D19D6">
      <w:pPr>
        <w:rPr>
          <w:i/>
          <w:noProof/>
        </w:rPr>
      </w:pPr>
      <w:r>
        <w:rPr>
          <w:i/>
          <w:noProof/>
        </w:rPr>
        <w:t xml:space="preserve">Wiener Ausländergrundverkehrsgesetz, LGBL. Nr. 11/1998. </w:t>
      </w:r>
    </w:p>
    <w:p w:rsidR="003E022D" w:rsidRDefault="007D19D6">
      <w:pPr>
        <w:rPr>
          <w:i/>
          <w:noProof/>
        </w:rPr>
      </w:pPr>
      <w:r>
        <w:rPr>
          <w:b/>
          <w:i/>
          <w:noProof/>
        </w:rPr>
        <w:t>CY</w:t>
      </w:r>
      <w:r>
        <w:rPr>
          <w:i/>
          <w:noProof/>
        </w:rPr>
        <w:t>: Nekus</w:t>
      </w:r>
      <w:r>
        <w:rPr>
          <w:i/>
          <w:noProof/>
        </w:rPr>
        <w:t xml:space="preserve">tamā īpašuma iegūšanas (ārvalstnieku) likums (109. nodaļa), , ar grozījumiem. </w:t>
      </w:r>
    </w:p>
    <w:p w:rsidR="003E022D" w:rsidRDefault="007D19D6">
      <w:pPr>
        <w:rPr>
          <w:i/>
          <w:noProof/>
        </w:rPr>
      </w:pPr>
      <w:r>
        <w:rPr>
          <w:b/>
          <w:i/>
          <w:noProof/>
        </w:rPr>
        <w:t>CZ</w:t>
      </w:r>
      <w:r>
        <w:rPr>
          <w:noProof/>
        </w:rPr>
        <w:t>:</w:t>
      </w:r>
      <w:r>
        <w:rPr>
          <w:noProof/>
          <w:u w:val="single"/>
        </w:rPr>
        <w:t xml:space="preserve"> </w:t>
      </w:r>
      <w:r>
        <w:rPr>
          <w:i/>
          <w:noProof/>
        </w:rPr>
        <w:t xml:space="preserve">Likums Nr. 503/2012 Coll. par Valsts Zemes biroju , ar grozījumiem. </w:t>
      </w:r>
    </w:p>
    <w:p w:rsidR="003E022D" w:rsidRDefault="007D19D6">
      <w:pPr>
        <w:rPr>
          <w:i/>
          <w:noProof/>
        </w:rPr>
      </w:pPr>
      <w:r>
        <w:rPr>
          <w:b/>
          <w:i/>
          <w:noProof/>
        </w:rPr>
        <w:t>DK</w:t>
      </w:r>
      <w:r>
        <w:rPr>
          <w:i/>
          <w:noProof/>
        </w:rPr>
        <w:t>: Dānijas Likums par nekustamā īpašuma iegūšanu (2014. gada 21. marta Konsolidētais likums Nr. 265 par</w:t>
      </w:r>
      <w:r>
        <w:rPr>
          <w:i/>
          <w:noProof/>
        </w:rPr>
        <w:t xml:space="preserve">  </w:t>
      </w:r>
    </w:p>
    <w:p w:rsidR="003E022D" w:rsidRDefault="007D19D6">
      <w:pPr>
        <w:rPr>
          <w:i/>
          <w:noProof/>
        </w:rPr>
      </w:pPr>
      <w:r>
        <w:rPr>
          <w:i/>
          <w:noProof/>
        </w:rPr>
        <w:t xml:space="preserve">nekustamā īpašuma iegūšanu); </w:t>
      </w:r>
    </w:p>
    <w:p w:rsidR="003E022D" w:rsidRDefault="007D19D6">
      <w:pPr>
        <w:rPr>
          <w:i/>
          <w:noProof/>
        </w:rPr>
      </w:pPr>
      <w:r>
        <w:rPr>
          <w:i/>
          <w:noProof/>
        </w:rPr>
        <w:t>Izpildrīkojums par iegūšanu īpašumā (1995. gada 18. septembra Izpildrīkojums Nr. 764) un Likums par lauku saimniecībām (2017. gada 4. janvāra Konsolidētais Likums Nr. 27).</w:t>
      </w:r>
    </w:p>
    <w:p w:rsidR="003E022D" w:rsidRDefault="007D19D6">
      <w:pPr>
        <w:rPr>
          <w:i/>
          <w:noProof/>
        </w:rPr>
      </w:pPr>
      <w:r>
        <w:rPr>
          <w:b/>
          <w:i/>
          <w:noProof/>
        </w:rPr>
        <w:t>EE</w:t>
      </w:r>
      <w:r>
        <w:rPr>
          <w:i/>
          <w:noProof/>
        </w:rPr>
        <w:t>: Kinnisasja omandamise kitsendamise seadus (Neku</w:t>
      </w:r>
      <w:r>
        <w:rPr>
          <w:i/>
          <w:noProof/>
        </w:rPr>
        <w:t xml:space="preserve">stamā īpašuma iegūšanas ierobežojumu likums), 2. nodaļa § 4, 3. nodaļa § 10, 2017. </w:t>
      </w:r>
    </w:p>
    <w:p w:rsidR="003E022D" w:rsidRDefault="007D19D6">
      <w:pPr>
        <w:rPr>
          <w:i/>
          <w:noProof/>
        </w:rPr>
      </w:pPr>
      <w:r>
        <w:rPr>
          <w:b/>
          <w:i/>
          <w:noProof/>
        </w:rPr>
        <w:t>EL</w:t>
      </w:r>
      <w:r>
        <w:rPr>
          <w:i/>
          <w:noProof/>
        </w:rPr>
        <w:t>: Likums 1892/1990 tā pašreizējā redakcijā kopā ar, ciktāl tas attiecas uz pieteikumu, Valsts aizsardzības ministra un Pilsoņu aizsardzības ministra lēmumu F.110/3/330340</w:t>
      </w:r>
      <w:r>
        <w:rPr>
          <w:i/>
          <w:noProof/>
        </w:rPr>
        <w:t xml:space="preserve">/S.120/7-4-14.  </w:t>
      </w:r>
    </w:p>
    <w:p w:rsidR="003E022D" w:rsidRDefault="007D19D6">
      <w:pPr>
        <w:rPr>
          <w:i/>
          <w:noProof/>
        </w:rPr>
      </w:pPr>
      <w:r>
        <w:rPr>
          <w:b/>
          <w:i/>
          <w:noProof/>
        </w:rPr>
        <w:t xml:space="preserve">HR: </w:t>
      </w:r>
      <w:r>
        <w:rPr>
          <w:i/>
          <w:noProof/>
        </w:rPr>
        <w:t>Īpašumtiesību un citu ar īpašumu saistītu tiesību likums (OG 91/96, 68/98, 137/99, 22/00, 73/00, 129/00, 114/01, 79/06, 141/06, 146/08, 38/09, 143/12, 152/14) 354-358.b pants; Lauksaimniecības zemes likums (OG 20/18, 115/18, 98/19), 2.</w:t>
      </w:r>
      <w:r>
        <w:rPr>
          <w:i/>
          <w:noProof/>
        </w:rPr>
        <w:t> pants. Vispārējais administratīvā procesa likums.</w:t>
      </w:r>
    </w:p>
    <w:p w:rsidR="003E022D" w:rsidRDefault="007D19D6">
      <w:pPr>
        <w:rPr>
          <w:i/>
          <w:noProof/>
        </w:rPr>
      </w:pPr>
      <w:r>
        <w:rPr>
          <w:b/>
          <w:i/>
          <w:noProof/>
        </w:rPr>
        <w:t>MT</w:t>
      </w:r>
      <w:r>
        <w:rPr>
          <w:i/>
          <w:noProof/>
        </w:rPr>
        <w:t xml:space="preserve">: Nekustamā īpašuma (iegūšana īpašumā, ko veic nerezidenti) likums (Cap. 246). Līguma par pievienošanos Eiropas Savienībai Protokols Nr. 6 par otro mājokļu iegūšanu Maltā. </w:t>
      </w:r>
    </w:p>
    <w:p w:rsidR="003E022D" w:rsidRDefault="007D19D6">
      <w:pPr>
        <w:rPr>
          <w:i/>
          <w:noProof/>
        </w:rPr>
      </w:pPr>
      <w:r>
        <w:rPr>
          <w:b/>
          <w:i/>
          <w:noProof/>
        </w:rPr>
        <w:t>PL</w:t>
      </w:r>
      <w:r>
        <w:rPr>
          <w:i/>
          <w:noProof/>
        </w:rPr>
        <w:t xml:space="preserve">: 1920. gada 24. marta Likums par nekustamā īpašuma iegūšanu, ko veic ārvalstnieki (Oficiālo publikāciju izdevums, 2016., 1061. poz., ar grozījumiem). </w:t>
      </w:r>
    </w:p>
    <w:p w:rsidR="003E022D" w:rsidRDefault="007D19D6">
      <w:pPr>
        <w:rPr>
          <w:noProof/>
          <w:u w:val="single"/>
        </w:rPr>
      </w:pPr>
      <w:r>
        <w:rPr>
          <w:noProof/>
          <w:u w:val="single"/>
        </w:rPr>
        <w:t xml:space="preserve">Attiecībā uz investīciju liberalizāciju – piekļuve tirgum, valsts režīms </w:t>
      </w:r>
    </w:p>
    <w:p w:rsidR="003E022D" w:rsidRDefault="007D19D6">
      <w:pPr>
        <w:rPr>
          <w:noProof/>
        </w:rPr>
      </w:pPr>
      <w:r>
        <w:rPr>
          <w:b/>
          <w:noProof/>
        </w:rPr>
        <w:t>HU</w:t>
      </w:r>
      <w:r>
        <w:rPr>
          <w:noProof/>
        </w:rPr>
        <w:t xml:space="preserve">: lai nerezidenti varētu iegādāties nekustamo īpašumu, ir jāsaņem atļauja no attiecīgās administratīvās iestādes īpašuma ģeogrāfiskajā atrašanās vietā. </w:t>
      </w:r>
    </w:p>
    <w:p w:rsidR="003E022D" w:rsidRDefault="007D19D6">
      <w:pPr>
        <w:rPr>
          <w:b/>
          <w:noProof/>
        </w:rPr>
      </w:pPr>
      <w:r>
        <w:rPr>
          <w:b/>
          <w:i/>
          <w:noProof/>
        </w:rPr>
        <w:t xml:space="preserve">Pasākumi </w:t>
      </w:r>
    </w:p>
    <w:p w:rsidR="003E022D" w:rsidRDefault="007D19D6">
      <w:pPr>
        <w:rPr>
          <w:i/>
          <w:noProof/>
        </w:rPr>
      </w:pPr>
      <w:r>
        <w:rPr>
          <w:b/>
          <w:i/>
          <w:noProof/>
        </w:rPr>
        <w:t>HU</w:t>
      </w:r>
      <w:r>
        <w:rPr>
          <w:i/>
          <w:noProof/>
        </w:rPr>
        <w:t xml:space="preserve">: Valdības Dekrēts Nr. 251/2014 (X. 2.) par ārvalstnieku veiktu </w:t>
      </w:r>
    </w:p>
    <w:p w:rsidR="003E022D" w:rsidRDefault="007D19D6">
      <w:pPr>
        <w:rPr>
          <w:noProof/>
        </w:rPr>
      </w:pPr>
      <w:r>
        <w:rPr>
          <w:i/>
          <w:noProof/>
        </w:rPr>
        <w:t>nekustamā īpašuma iegūšanu</w:t>
      </w:r>
      <w:r>
        <w:rPr>
          <w:i/>
          <w:noProof/>
        </w:rPr>
        <w:t>, izņemot lauksaimniecības vai mežsaimniecības nolūkiem izmantotu zemi,  un 1993. gada Likums LXXVIII (1/A punkts).</w:t>
      </w:r>
    </w:p>
    <w:p w:rsidR="003E022D" w:rsidRDefault="007D19D6">
      <w:pPr>
        <w:rPr>
          <w:noProof/>
          <w:u w:val="single"/>
        </w:rPr>
      </w:pPr>
      <w:r>
        <w:rPr>
          <w:noProof/>
          <w:u w:val="single"/>
        </w:rPr>
        <w:t xml:space="preserve">Attiecībā uz investīciju liberalizāciju – piekļuve tirgum, valsts režīms, lielākās labvēlības režīms </w:t>
      </w:r>
    </w:p>
    <w:p w:rsidR="003E022D" w:rsidRDefault="007D19D6">
      <w:pPr>
        <w:rPr>
          <w:noProof/>
        </w:rPr>
      </w:pPr>
      <w:r>
        <w:rPr>
          <w:b/>
          <w:noProof/>
        </w:rPr>
        <w:t>LV</w:t>
      </w:r>
      <w:r>
        <w:rPr>
          <w:noProof/>
        </w:rPr>
        <w:t>: Zemes iegūšana pilsētās Apvienotās</w:t>
      </w:r>
      <w:r>
        <w:rPr>
          <w:noProof/>
        </w:rPr>
        <w:t xml:space="preserve"> Karalistes valstspiederīgajiem ir atļauta, ja tas notiek ar Latvijā vai citās dalībvalstīs reģistrētu juridisko personu starpniecību, šādos gadījumos: </w:t>
      </w:r>
    </w:p>
    <w:p w:rsidR="003E022D" w:rsidRDefault="007D19D6">
      <w:pPr>
        <w:numPr>
          <w:ilvl w:val="0"/>
          <w:numId w:val="780"/>
        </w:numPr>
        <w:ind w:hanging="360"/>
        <w:rPr>
          <w:noProof/>
        </w:rPr>
      </w:pPr>
      <w:r>
        <w:rPr>
          <w:noProof/>
        </w:rPr>
        <w:t>ja vairāk nekā 50 procenti šo statūtsabiedrību kapitāla pieder dalībvalstu valstspiederīgajiem, Latvija</w:t>
      </w:r>
      <w:r>
        <w:rPr>
          <w:noProof/>
        </w:rPr>
        <w:t xml:space="preserve">s valstij vai pašvaldībai atsevišķi vai kopā; </w:t>
      </w:r>
    </w:p>
    <w:p w:rsidR="003E022D" w:rsidRDefault="007D19D6">
      <w:pPr>
        <w:numPr>
          <w:ilvl w:val="0"/>
          <w:numId w:val="780"/>
        </w:numPr>
        <w:ind w:hanging="360"/>
        <w:rPr>
          <w:noProof/>
        </w:rPr>
      </w:pPr>
      <w:r>
        <w:rPr>
          <w:noProof/>
        </w:rPr>
        <w:t>vairāk nekā 50 procenti šo statūtsabiedrību kapitāla pieder tādas trešās valsts fiziskām personām un sabiedrībām, ar kuru Latvija ir noslēgusi divpusēju nolīgumu par investīciju veicināšanu un savstarpēju aizs</w:t>
      </w:r>
      <w:r>
        <w:rPr>
          <w:noProof/>
        </w:rPr>
        <w:t xml:space="preserve">ardzību, kurus Latvijas parlaments ir apstiprinājis līdz 1996. gada 31. decembrim; </w:t>
      </w:r>
    </w:p>
    <w:p w:rsidR="003E022D" w:rsidRDefault="007D19D6">
      <w:pPr>
        <w:numPr>
          <w:ilvl w:val="0"/>
          <w:numId w:val="780"/>
        </w:numPr>
        <w:ind w:hanging="360"/>
        <w:rPr>
          <w:noProof/>
        </w:rPr>
      </w:pPr>
      <w:r>
        <w:rPr>
          <w:noProof/>
        </w:rPr>
        <w:t>vairāk nekā 50 procenti šo statūtsabiedrību kapitāla pieder tādas trešās valsts fiziskām personām un sabiedrībām, ar kuru Latvija ir noslēgusi divpusēju nolīgumu par invest</w:t>
      </w:r>
      <w:r>
        <w:rPr>
          <w:noProof/>
        </w:rPr>
        <w:t xml:space="preserve">īciju veicināšanu un savstarpēju aizsardzību pēc 1996. gada 31. decembra, ja šādos nolīgumos ir noteiktas Latvijas fizisko personu un sabiedrību tiesības attiecībā uz zemes iegūšanu attiecīgajā trešā valstī; </w:t>
      </w:r>
    </w:p>
    <w:p w:rsidR="003E022D" w:rsidRDefault="007D19D6">
      <w:pPr>
        <w:numPr>
          <w:ilvl w:val="0"/>
          <w:numId w:val="780"/>
        </w:numPr>
        <w:ind w:hanging="360"/>
        <w:rPr>
          <w:noProof/>
        </w:rPr>
      </w:pPr>
      <w:r>
        <w:rPr>
          <w:noProof/>
        </w:rPr>
        <w:t xml:space="preserve"> vairāk nekā 50 procenti šo statūtsabiedrību pa</w:t>
      </w:r>
      <w:r>
        <w:rPr>
          <w:noProof/>
        </w:rPr>
        <w:t xml:space="preserve">šu kapitāla kopīgi pieder i)–iii) punktā minētajām personām vai </w:t>
      </w:r>
    </w:p>
    <w:p w:rsidR="003E022D" w:rsidRDefault="007D19D6">
      <w:pPr>
        <w:numPr>
          <w:ilvl w:val="0"/>
          <w:numId w:val="780"/>
        </w:numPr>
        <w:ind w:hanging="360"/>
        <w:rPr>
          <w:noProof/>
        </w:rPr>
      </w:pPr>
      <w:r>
        <w:rPr>
          <w:noProof/>
        </w:rPr>
        <w:t xml:space="preserve">sabiedrības ir publiskas akciju sabiedrības, kuru akcijas ir kotētas fondu biržā. </w:t>
      </w:r>
    </w:p>
    <w:p w:rsidR="003E022D" w:rsidRDefault="007D19D6">
      <w:pPr>
        <w:rPr>
          <w:noProof/>
        </w:rPr>
      </w:pPr>
      <w:r>
        <w:rPr>
          <w:noProof/>
        </w:rPr>
        <w:t>Ja Apvienotā Karaliste ļauj Latvijas valstspiederīgajiem un uzņēmumiem iegādāties nekustamo īpašumu pilsētās</w:t>
      </w:r>
      <w:r>
        <w:rPr>
          <w:noProof/>
        </w:rPr>
        <w:t xml:space="preserve"> to teritorijā, tad Latvija ļauj Apvienotās Karalistes valstspiederīgajiem un uzņēmumiem iegādāties nekustamo īpašumu pilsētās Latvijā ar tiem pašiem nosacījumiem, kādus piemēro Latvijas valstspiederīgajiem. </w:t>
      </w:r>
    </w:p>
    <w:p w:rsidR="003E022D" w:rsidRDefault="007D19D6">
      <w:pPr>
        <w:rPr>
          <w:b/>
          <w:noProof/>
        </w:rPr>
      </w:pPr>
      <w:r>
        <w:rPr>
          <w:b/>
          <w:i/>
          <w:noProof/>
        </w:rPr>
        <w:t xml:space="preserve">Pasākumi </w:t>
      </w:r>
    </w:p>
    <w:p w:rsidR="003E022D" w:rsidRDefault="007D19D6">
      <w:pPr>
        <w:rPr>
          <w:i/>
          <w:noProof/>
        </w:rPr>
      </w:pPr>
      <w:r>
        <w:rPr>
          <w:b/>
          <w:i/>
          <w:noProof/>
        </w:rPr>
        <w:t>LV</w:t>
      </w:r>
      <w:r>
        <w:rPr>
          <w:i/>
          <w:noProof/>
        </w:rPr>
        <w:t>: Likums “Par zemes reformu Latvija</w:t>
      </w:r>
      <w:r>
        <w:rPr>
          <w:i/>
          <w:noProof/>
        </w:rPr>
        <w:t xml:space="preserve">s Republikas pilsētās”, 20. un 21. pants. </w:t>
      </w:r>
    </w:p>
    <w:p w:rsidR="003E022D" w:rsidRDefault="007D19D6">
      <w:pPr>
        <w:rPr>
          <w:noProof/>
          <w:u w:val="single"/>
        </w:rPr>
      </w:pPr>
      <w:r>
        <w:rPr>
          <w:noProof/>
          <w:u w:val="single"/>
        </w:rPr>
        <w:t xml:space="preserve">Attiecībā uz investīciju liberalizāciju – valsts režīms, lielākās labvēlības režīms </w:t>
      </w:r>
    </w:p>
    <w:p w:rsidR="003E022D" w:rsidRDefault="007D19D6">
      <w:pPr>
        <w:rPr>
          <w:noProof/>
        </w:rPr>
      </w:pPr>
      <w:r>
        <w:rPr>
          <w:b/>
          <w:noProof/>
        </w:rPr>
        <w:t>DE</w:t>
      </w:r>
      <w:r>
        <w:rPr>
          <w:noProof/>
        </w:rPr>
        <w:t xml:space="preserve">: uz nekustamā īpašuma iegūšanu var attiekties konkrēti nosacījumi par savstarpību. </w:t>
      </w:r>
    </w:p>
    <w:p w:rsidR="003E022D" w:rsidRDefault="007D19D6">
      <w:pPr>
        <w:rPr>
          <w:noProof/>
        </w:rPr>
      </w:pPr>
      <w:r>
        <w:rPr>
          <w:b/>
          <w:noProof/>
        </w:rPr>
        <w:t>ES</w:t>
      </w:r>
      <w:r>
        <w:rPr>
          <w:noProof/>
        </w:rPr>
        <w:t>: lai veiktu ārvalstu ieguldījumus darb</w:t>
      </w:r>
      <w:r>
        <w:rPr>
          <w:noProof/>
        </w:rPr>
        <w:t xml:space="preserve">ībās, kas tieši saistītas ar ieguldījumiem nekustamajā īpašumā tādu valstu diplomātiskajām misijām, kuras nav dalībvalstis, ir vajadzīga Spānijas Ministru padomes administratīva atļauja, izņemot, ja ir noslēgts savstarpējs liberalizācijas līgums. </w:t>
      </w:r>
    </w:p>
    <w:p w:rsidR="003E022D" w:rsidRDefault="007D19D6">
      <w:pPr>
        <w:rPr>
          <w:noProof/>
        </w:rPr>
      </w:pPr>
      <w:r>
        <w:rPr>
          <w:b/>
          <w:noProof/>
        </w:rPr>
        <w:t>RO</w:t>
      </w:r>
      <w:r>
        <w:rPr>
          <w:noProof/>
        </w:rPr>
        <w:t>: ārva</w:t>
      </w:r>
      <w:r>
        <w:rPr>
          <w:noProof/>
        </w:rPr>
        <w:t>lstnieki, bezvalstnieki un juridiskas personas (kas nav EEZ dalībvalstu valstspiederīgie un juridiskas personas) var iegūt īpašumtiesības uz zemi atbilstoši nosacījumiem, ko paredz starptautiski nolīgumi, un pamatojoties uz savstarpību. Ārvalstnieki, bezva</w:t>
      </w:r>
      <w:r>
        <w:rPr>
          <w:noProof/>
        </w:rPr>
        <w:t xml:space="preserve">lstnieki un juridiskas personas nevar iegūt īpašumtiesības uz zemi ar labvēlīgākiem nosacījumiem nekā tie, ko piemēro Eiropas Savienības fiziskām vai juridiskām personām. </w:t>
      </w:r>
    </w:p>
    <w:p w:rsidR="003E022D" w:rsidRDefault="007D19D6">
      <w:pPr>
        <w:rPr>
          <w:b/>
          <w:noProof/>
        </w:rPr>
      </w:pPr>
      <w:r>
        <w:rPr>
          <w:b/>
          <w:i/>
          <w:noProof/>
        </w:rPr>
        <w:t xml:space="preserve">Pasākumi </w:t>
      </w:r>
    </w:p>
    <w:p w:rsidR="003E022D" w:rsidRDefault="007D19D6">
      <w:pPr>
        <w:rPr>
          <w:i/>
          <w:noProof/>
        </w:rPr>
      </w:pPr>
      <w:r>
        <w:rPr>
          <w:b/>
          <w:i/>
          <w:noProof/>
        </w:rPr>
        <w:t>DE</w:t>
      </w:r>
      <w:r>
        <w:rPr>
          <w:i/>
          <w:noProof/>
        </w:rPr>
        <w:t>: Einführungsgesetz zum Bürgerlichen Gesetzbuche (EGBGB; Civilkodeksa ie</w:t>
      </w:r>
      <w:r>
        <w:rPr>
          <w:i/>
          <w:noProof/>
        </w:rPr>
        <w:t>vada likums).</w:t>
      </w:r>
    </w:p>
    <w:p w:rsidR="003E022D" w:rsidRDefault="007D19D6">
      <w:pPr>
        <w:rPr>
          <w:i/>
          <w:noProof/>
        </w:rPr>
      </w:pPr>
      <w:r>
        <w:rPr>
          <w:b/>
          <w:i/>
          <w:noProof/>
        </w:rPr>
        <w:t>ES</w:t>
      </w:r>
      <w:r>
        <w:rPr>
          <w:i/>
          <w:noProof/>
        </w:rPr>
        <w:t xml:space="preserve">: Karaļa 1999. gada 23. aprīļa Dekrēts Nr. 664/1999 par ārvalstu investīcijām. </w:t>
      </w:r>
    </w:p>
    <w:p w:rsidR="003E022D" w:rsidRDefault="007D19D6">
      <w:pPr>
        <w:rPr>
          <w:i/>
          <w:noProof/>
        </w:rPr>
      </w:pPr>
      <w:r>
        <w:rPr>
          <w:b/>
          <w:i/>
          <w:noProof/>
        </w:rPr>
        <w:t>RO</w:t>
      </w:r>
      <w:r>
        <w:rPr>
          <w:i/>
          <w:noProof/>
        </w:rPr>
        <w:t>: Likums 17/2014 par dažiem pasākumiem, kas reglamentē tādas lauksaimniecības zemes pārdošanu un pirkšanu, kura atrodas ārpus pilsētas, ar turpmākiem grozījum</w:t>
      </w:r>
      <w:r>
        <w:rPr>
          <w:i/>
          <w:noProof/>
        </w:rPr>
        <w:t xml:space="preserve">iem; un </w:t>
      </w:r>
    </w:p>
    <w:p w:rsidR="003E022D" w:rsidRDefault="007D19D6">
      <w:pPr>
        <w:rPr>
          <w:i/>
          <w:noProof/>
        </w:rPr>
      </w:pPr>
      <w:r>
        <w:rPr>
          <w:i/>
          <w:noProof/>
        </w:rPr>
        <w:t xml:space="preserve">Likums Nr. 268/2001 par to sabiedrību privatizāciju, kuras apsaimnieko lauksaimniecībai paredzētu zemi, kas pieder valstij un ko apsaimnieko privāti, un par Valsts sektora aģentūras izveidi, ar turpmākiem grozījumiem. </w:t>
      </w:r>
    </w:p>
    <w:p w:rsidR="003E022D" w:rsidRDefault="007D19D6">
      <w:pPr>
        <w:spacing w:after="160" w:line="259" w:lineRule="auto"/>
        <w:jc w:val="left"/>
        <w:rPr>
          <w:b/>
          <w:noProof/>
        </w:rPr>
      </w:pPr>
      <w:bookmarkStart w:id="998" w:name="_Toc452570600"/>
      <w:bookmarkStart w:id="999" w:name="_Toc476832029"/>
      <w:bookmarkStart w:id="1000" w:name="_Toc500420023"/>
      <w:bookmarkStart w:id="1001" w:name="_Toc53746659"/>
      <w:bookmarkStart w:id="1002" w:name="_Toc57917368"/>
      <w:r>
        <w:rPr>
          <w:noProof/>
        </w:rPr>
        <w:br w:type="page"/>
      </w:r>
    </w:p>
    <w:p w:rsidR="003E022D" w:rsidRDefault="007D19D6">
      <w:pPr>
        <w:rPr>
          <w:b/>
          <w:noProof/>
        </w:rPr>
      </w:pPr>
      <w:r>
        <w:rPr>
          <w:b/>
          <w:noProof/>
        </w:rPr>
        <w:t>2. atruna. Profesionālie p</w:t>
      </w:r>
      <w:r>
        <w:rPr>
          <w:b/>
          <w:noProof/>
        </w:rPr>
        <w:t>akalpojumi (visas profesijas, izņemot ar veselību saistītās)</w:t>
      </w:r>
      <w:bookmarkEnd w:id="998"/>
      <w:bookmarkEnd w:id="999"/>
      <w:bookmarkEnd w:id="1000"/>
      <w:bookmarkEnd w:id="1001"/>
      <w:bookmarkEnd w:id="1002"/>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 xml:space="preserve">Profesionālie pakalpojumi — juridiskie pakalpojumi, patentu aģenti, rūpnieciskā īpašuma aģenti, intelektuālā īpašuma advokāti, uzskaites un grāmatvedības pakalpojumi, </w:t>
            </w:r>
            <w:r>
              <w:rPr>
                <w:noProof/>
              </w:rPr>
              <w:t>revīzijas pakalpojumi, nodokļu konsultāciju pakalpojumi, arhitektūras un pilsētplānošanas pakalpojumi, inženiertehniskie pakalpojumi un integrētie inženiertehniskie pakalpojumi</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CPC 861, 862, 863, 8671, 8672, 8673, 8674, daļa no 879</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padomes </w:t>
            </w:r>
            <w:r>
              <w:rPr>
                <w:noProof/>
              </w:rPr>
              <w:br/>
              <w:t xml:space="preserve">Klātbūtne uz vietas </w:t>
            </w:r>
            <w:r>
              <w:rPr>
                <w:noProof/>
              </w:rPr>
              <w:br/>
              <w:t xml:space="preserve">Ar juridiskajiem pakalpojumiem saistīti pienākumi </w:t>
            </w:r>
            <w:r>
              <w:rPr>
                <w:noProof/>
              </w:rPr>
              <w:br/>
            </w:r>
          </w:p>
        </w:tc>
      </w:tr>
      <w:tr w:rsidR="003E022D">
        <w:tc>
          <w:tcPr>
            <w:tcW w:w="2660" w:type="dxa"/>
          </w:tcPr>
          <w:p w:rsidR="003E022D" w:rsidRDefault="007D19D6">
            <w:pPr>
              <w:spacing w:afterAutospacing="0"/>
              <w:rPr>
                <w:b/>
                <w:noProof/>
              </w:rPr>
            </w:pPr>
            <w:r>
              <w:rPr>
                <w:b/>
                <w:bCs/>
                <w:noProof/>
              </w:rPr>
              <w:t>Nodaļa/sadaļa:</w:t>
            </w:r>
          </w:p>
        </w:tc>
        <w:tc>
          <w:tcPr>
            <w:tcW w:w="6582" w:type="dxa"/>
          </w:tcPr>
          <w:p w:rsidR="003E022D" w:rsidRDefault="007D19D6">
            <w:pPr>
              <w:spacing w:afterAutospacing="0"/>
              <w:rPr>
                <w:noProof/>
              </w:rPr>
            </w:pPr>
            <w:r>
              <w:rPr>
                <w:noProof/>
              </w:rPr>
              <w:t>Investīciju liberalizācija, pakalpojumu pārrobežu tir</w:t>
            </w:r>
            <w:r>
              <w:rPr>
                <w:noProof/>
              </w:rPr>
              <w:t>dzniecība un juridisko pakalpojumu tiesiskais regulējums</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bookmarkStart w:id="1003" w:name="_Toc5371294"/>
      <w:r>
        <w:rPr>
          <w:b/>
          <w:bCs/>
          <w:noProof/>
        </w:rPr>
        <w:t xml:space="preserve">Apraksts </w:t>
      </w:r>
    </w:p>
    <w:p w:rsidR="003E022D" w:rsidRDefault="007D19D6">
      <w:pPr>
        <w:rPr>
          <w:noProof/>
        </w:rPr>
      </w:pPr>
      <w:r>
        <w:rPr>
          <w:b/>
          <w:i/>
          <w:noProof/>
        </w:rPr>
        <w:t xml:space="preserve">a) </w:t>
      </w:r>
      <w:r>
        <w:rPr>
          <w:noProof/>
        </w:rPr>
        <w:tab/>
      </w:r>
      <w:r>
        <w:rPr>
          <w:b/>
          <w:i/>
          <w:noProof/>
        </w:rPr>
        <w:t>Juridiskie pakalpojumi (daļa no CPC 861)</w:t>
      </w:r>
      <w:r>
        <w:rPr>
          <w:rStyle w:val="FootnoteReference"/>
          <w:b/>
          <w:i/>
          <w:noProof/>
        </w:rPr>
        <w:footnoteReference w:id="107"/>
      </w:r>
      <w:r>
        <w:rPr>
          <w:bCs/>
          <w:noProof/>
          <w:vertAlign w:val="superscript"/>
        </w:rPr>
        <w:t xml:space="preserve"> </w:t>
      </w:r>
    </w:p>
    <w:p w:rsidR="003E022D" w:rsidRDefault="007D19D6">
      <w:pPr>
        <w:rPr>
          <w:noProof/>
          <w:u w:val="single"/>
        </w:rPr>
      </w:pPr>
      <w:r>
        <w:rPr>
          <w:noProof/>
          <w:u w:val="single"/>
        </w:rPr>
        <w:t xml:space="preserve">Attiecībā uz investīciju liberalizāciju – piekļuve tirgum un </w:t>
      </w:r>
      <w:r>
        <w:rPr>
          <w:noProof/>
          <w:u w:val="single"/>
        </w:rPr>
        <w:t>juridisko pakalpojumu tiesiskais regulējums – pienākumi</w:t>
      </w:r>
    </w:p>
    <w:p w:rsidR="003E022D" w:rsidRDefault="007D19D6">
      <w:pPr>
        <w:rPr>
          <w:noProof/>
        </w:rPr>
      </w:pPr>
      <w:r>
        <w:rPr>
          <w:b/>
          <w:noProof/>
        </w:rPr>
        <w:t>EU</w:t>
      </w:r>
      <w:r>
        <w:rPr>
          <w:noProof/>
        </w:rPr>
        <w:t xml:space="preserve">: katrā dalībvalstī piemēro konkrētas, nediskriminējošas prasības attiecībā uz juridisko formu. </w:t>
      </w:r>
    </w:p>
    <w:p w:rsidR="003E022D" w:rsidRDefault="007D19D6">
      <w:pPr>
        <w:rPr>
          <w:b/>
          <w:i/>
          <w:noProof/>
        </w:rPr>
      </w:pPr>
      <w:r>
        <w:rPr>
          <w:b/>
          <w:i/>
          <w:noProof/>
        </w:rPr>
        <w:t xml:space="preserve">i) </w:t>
      </w:r>
      <w:r>
        <w:rPr>
          <w:noProof/>
        </w:rPr>
        <w:tab/>
      </w:r>
      <w:r>
        <w:rPr>
          <w:b/>
          <w:i/>
          <w:noProof/>
        </w:rPr>
        <w:t>Izraudzīti juridiskie pakalpojumi, kas sniegti atbilstoši profesionālajam nosaukumam piederības jurisdikcijā (daļa no CPC 861 – juridisko konsultāciju, arbitrāžas, samierināšanas un mediācijas pakalpojumi attiecībā uz piederības jurisdikciju un starptautis</w:t>
      </w:r>
      <w:r>
        <w:rPr>
          <w:b/>
          <w:i/>
          <w:noProof/>
        </w:rPr>
        <w:t xml:space="preserve">kajām tiesībām, ko reglamentē </w:t>
      </w:r>
      <w:r>
        <w:rPr>
          <w:b/>
          <w:i/>
          <w:noProof/>
          <w:highlight w:val="cyan"/>
        </w:rPr>
        <w:t>Otrās daļas [Tirdzniecība, transports un zvejniecība] Pirmā temata [Tirdzniecība] II sadaļas 5. nodaļas [Tiesiskais regulējums] 7. iedaļa [Juridiskie pakalpojumi]</w:t>
      </w:r>
      <w:r>
        <w:rPr>
          <w:b/>
          <w:i/>
          <w:noProof/>
        </w:rPr>
        <w:t xml:space="preserve"> </w:t>
      </w:r>
    </w:p>
    <w:p w:rsidR="003E022D" w:rsidRDefault="007D19D6">
      <w:pPr>
        <w:rPr>
          <w:noProof/>
        </w:rPr>
      </w:pPr>
      <w:r>
        <w:rPr>
          <w:noProof/>
        </w:rPr>
        <w:t xml:space="preserve">Lielākai noteiktībai – saskaņā ar ievadpiezīmēm, jo īpaši </w:t>
      </w:r>
      <w:r>
        <w:rPr>
          <w:noProof/>
          <w:highlight w:val="cyan"/>
        </w:rPr>
        <w:t>9. p</w:t>
      </w:r>
      <w:r>
        <w:rPr>
          <w:noProof/>
          <w:highlight w:val="cyan"/>
        </w:rPr>
        <w:t>unktu</w:t>
      </w:r>
      <w:r>
        <w:rPr>
          <w:noProof/>
        </w:rPr>
        <w:t xml:space="preserve">, prasības, kas jāizpilda, lai varētu reģistrēties advokātu kolēģijā, var ietvert prasību būt pabeigušam apmācību licencēta advokāta uzraudzībā vai prasību par to, ka iesniegt pieteikumu, lai kļūtu par advokātu kolēģijas locekli, var tad, ja personai </w:t>
      </w:r>
      <w:r>
        <w:rPr>
          <w:noProof/>
        </w:rPr>
        <w:t>ir birojs vai pasta adrese attiecīgās advokātu kolēģijas jurisdikcijā. Dažas dalībvalstis var noteikt prasību, ka fiziskajām personām, kas ieņem noteiktus amatus advokātu birojā/sabiedrībā/uzņēmumā, vai kapitāldaļu turētājiem ir jābūt tiesībām praktizēt pi</w:t>
      </w:r>
      <w:r>
        <w:rPr>
          <w:noProof/>
        </w:rPr>
        <w:t>ederības jurisdikcijas tiesības.</w:t>
      </w:r>
    </w:p>
    <w:p w:rsidR="003E022D" w:rsidRDefault="007D19D6">
      <w:pPr>
        <w:rPr>
          <w:noProof/>
          <w:u w:val="single"/>
        </w:rPr>
      </w:pPr>
      <w:r>
        <w:rPr>
          <w:noProof/>
          <w:u w:val="single"/>
        </w:rPr>
        <w:t xml:space="preserve">Attiecībā uz investīciju liberalizāciju – piekļuve tirgum, valsts režīms un pakalpojumu pārrobežu tirdzniecība – valsts režīms, piekļuve tirgum un juridisko pakalpojumu tiesiskais regulējums – pienākumi </w:t>
      </w:r>
    </w:p>
    <w:p w:rsidR="003E022D" w:rsidRDefault="007D19D6">
      <w:pPr>
        <w:rPr>
          <w:noProof/>
        </w:rPr>
      </w:pPr>
      <w:r>
        <w:rPr>
          <w:b/>
          <w:noProof/>
        </w:rPr>
        <w:t>AT</w:t>
      </w:r>
      <w:r>
        <w:rPr>
          <w:noProof/>
        </w:rPr>
        <w:t xml:space="preserve">: </w:t>
      </w:r>
    </w:p>
    <w:p w:rsidR="003E022D" w:rsidRDefault="007D19D6">
      <w:pPr>
        <w:rPr>
          <w:noProof/>
        </w:rPr>
      </w:pPr>
      <w:r>
        <w:rPr>
          <w:noProof/>
        </w:rPr>
        <w:t>lai sniegtu ju</w:t>
      </w:r>
      <w:r>
        <w:rPr>
          <w:noProof/>
        </w:rPr>
        <w:t>ridiskus pakalpojumus saistībā ar piederības jurisdikcijas (Savienības un dalībvalstu) tiesībām, tostarp nodrošinātu pārstāvību tiesās, ir nepieciešama EEZ vai Šveices valstspiederība un ir jāizpilda prasība par dzīvesvietu (komerciāla klātbūtne). Tikai ad</w:t>
      </w:r>
      <w:r>
        <w:rPr>
          <w:noProof/>
        </w:rPr>
        <w:t>vokātiem ar EEZ vai Šveices valstspiederību ir atļauts sniegt juridiskos pakalpojumus, nodibinot komerciālu klātbūtni. Juridisko pakalpojumu sniegšanas prakse starptautisko publisko tiesību un piederības jurisdikcijas tiesību jomā ir atļauta tikai pāri rob</w:t>
      </w:r>
      <w:r>
        <w:rPr>
          <w:noProof/>
        </w:rPr>
        <w:t>ežām.</w:t>
      </w:r>
    </w:p>
    <w:p w:rsidR="003E022D" w:rsidRDefault="007D19D6">
      <w:pPr>
        <w:rPr>
          <w:noProof/>
        </w:rPr>
      </w:pPr>
      <w:r>
        <w:rPr>
          <w:noProof/>
        </w:rPr>
        <w:t>Ārvalstu advokātu (kuriem jābūt pilnībā kvalificētiem piederības jurisdikcijā) līdzdalība jebkura advokātu biroja kapitālā un tā saimnieciskās darbības rezultāta daļās ir atļauta apmērā līdz 25 procentiem; pārējā līdzdalība jāpatur pilnībā kvalificēt</w:t>
      </w:r>
      <w:r>
        <w:rPr>
          <w:noProof/>
        </w:rPr>
        <w:t xml:space="preserve">iem EEZ vai Šveices advokātiem, un tikai pēdējie minētie var īstenot izšķirošu ietekmi juridiskā biroja lēmumu pieņemšanā. </w:t>
      </w:r>
    </w:p>
    <w:p w:rsidR="003E022D" w:rsidRDefault="007D19D6">
      <w:pPr>
        <w:rPr>
          <w:noProof/>
        </w:rPr>
      </w:pPr>
      <w:r>
        <w:rPr>
          <w:b/>
          <w:noProof/>
        </w:rPr>
        <w:t>BE</w:t>
      </w:r>
      <w:r>
        <w:rPr>
          <w:noProof/>
        </w:rPr>
        <w:t>: (arī attiecībā uz lielākās labvēlības režīmu) ārvalstu juristi var praktizēt kā juridiskie konsultanti. Advokāti, kas ir ārvalst</w:t>
      </w:r>
      <w:r>
        <w:rPr>
          <w:noProof/>
        </w:rPr>
        <w:t>u (ārpus Eiropas Savienības) advokātu kolēģiju locekļi un vēlas veikt uzņēmējdarbību Beļģijā, bet neatbilst nosacījumiem, lai tos varētu reģistrēt pilnībā kvalificētu advokātu oficiālajā sarakstā, Eiropas Savienības sarakstā vai advokātu stažieru sarakstā,</w:t>
      </w:r>
      <w:r>
        <w:rPr>
          <w:noProof/>
        </w:rPr>
        <w:t xml:space="preserve"> var pieprasīt reģistrāciju tā sauktajā “B sarakstā”. Šāds “B saraksts” ir tikai Briseles advokātu kolēģijā. B sarakstā iekļautam advokātam ir atļauts sniegt izraudzītus juridiskos pakalpojumus.</w:t>
      </w:r>
    </w:p>
    <w:p w:rsidR="003E022D" w:rsidRDefault="007D19D6">
      <w:pPr>
        <w:rPr>
          <w:noProof/>
        </w:rPr>
      </w:pPr>
      <w:r>
        <w:rPr>
          <w:b/>
          <w:noProof/>
        </w:rPr>
        <w:t xml:space="preserve">BG: </w:t>
      </w:r>
      <w:r>
        <w:rPr>
          <w:noProof/>
        </w:rPr>
        <w:t>(arī attiecībā uz lielākās labvēlības režīmu): lai sniegt</w:t>
      </w:r>
      <w:r>
        <w:rPr>
          <w:noProof/>
        </w:rPr>
        <w:t>u juridiskās mediācijas pakalpojumus, ir jāizpilda prasība par pastāvīgo dzīvesvietu. Mediators var būt tikai persona, kas ir reģistrēta tieslietu ministra vienotajā mediatoru reģistrā.</w:t>
      </w:r>
    </w:p>
    <w:p w:rsidR="003E022D" w:rsidRDefault="007D19D6">
      <w:pPr>
        <w:rPr>
          <w:noProof/>
        </w:rPr>
      </w:pPr>
      <w:r>
        <w:rPr>
          <w:noProof/>
        </w:rPr>
        <w:t xml:space="preserve">Bulgārijā pilnīgu valsts režīmu sabiedrību uzņēmējdarbības veikšanas </w:t>
      </w:r>
      <w:r>
        <w:rPr>
          <w:noProof/>
        </w:rPr>
        <w:t>un darbības, kā arī pakalpojumu sniegšanas jomā var piemērot tikai tādās valstīs uzņēmējdarbību veicošām sabiedrībām un tādu valstu pilsoņiem, ar kurām ir noslēgti vai tiks noslēgti divpusēji nolīgumi par savstarpēju tiesisko palīdzību. </w:t>
      </w:r>
    </w:p>
    <w:p w:rsidR="003E022D" w:rsidRDefault="007D19D6">
      <w:pPr>
        <w:rPr>
          <w:noProof/>
        </w:rPr>
      </w:pPr>
      <w:r>
        <w:rPr>
          <w:b/>
          <w:noProof/>
        </w:rPr>
        <w:t>CY</w:t>
      </w:r>
      <w:r>
        <w:rPr>
          <w:noProof/>
        </w:rPr>
        <w:t>: nepieciešama E</w:t>
      </w:r>
      <w:r>
        <w:rPr>
          <w:noProof/>
        </w:rPr>
        <w:t xml:space="preserve">EZ vai Šveices valstspiederība, kā arī ir jāizpilda prasība par dzīvesvietu (komerciāla klātbūtne). Kiprā tikai advokātu kolēģijā uzņemti advokāti var būt advokātu biroja partneri vai kapitāldaļu turētāji vai direktoru padomes locekļi. </w:t>
      </w:r>
    </w:p>
    <w:p w:rsidR="003E022D" w:rsidRDefault="007D19D6">
      <w:pPr>
        <w:rPr>
          <w:noProof/>
        </w:rPr>
      </w:pPr>
      <w:r>
        <w:rPr>
          <w:b/>
          <w:noProof/>
        </w:rPr>
        <w:t>CZ</w:t>
      </w:r>
      <w:r>
        <w:rPr>
          <w:noProof/>
        </w:rPr>
        <w:t>: ārvalstu advokā</w:t>
      </w:r>
      <w:r>
        <w:rPr>
          <w:noProof/>
        </w:rPr>
        <w:t xml:space="preserve">tiem ir jāizpilda prasība par dzīvesvietu (komerciāla klātbūtne). </w:t>
      </w:r>
    </w:p>
    <w:p w:rsidR="003E022D" w:rsidRDefault="007D19D6">
      <w:pPr>
        <w:rPr>
          <w:noProof/>
        </w:rPr>
      </w:pPr>
      <w:r>
        <w:rPr>
          <w:b/>
          <w:noProof/>
        </w:rPr>
        <w:t>DE</w:t>
      </w:r>
      <w:r>
        <w:rPr>
          <w:noProof/>
        </w:rPr>
        <w:t>: ārvalstu advokātiem (kuriem nav EEZ un Šveices kvalifikācijas) var tikt noteikti ierobežojumi attiecībā uz kapitāldaļu turēšanu advokātu birojā, kas sniedz juridiskos pakalpojumus saist</w:t>
      </w:r>
      <w:r>
        <w:rPr>
          <w:noProof/>
        </w:rPr>
        <w:t xml:space="preserve">ībā ar piederības jurisdikcijas tiesībām. </w:t>
      </w:r>
    </w:p>
    <w:p w:rsidR="003E022D" w:rsidRDefault="007D19D6">
      <w:pPr>
        <w:rPr>
          <w:noProof/>
        </w:rPr>
      </w:pPr>
      <w:r>
        <w:rPr>
          <w:b/>
          <w:noProof/>
        </w:rPr>
        <w:t>DK</w:t>
      </w:r>
      <w:r>
        <w:rPr>
          <w:noProof/>
        </w:rPr>
        <w:t>: neskarot iepriekš minēto Eiropas Savienības atrunu, advokātu biroja kapitāldaļas var piederēt tikai advokātiem, kas aktīvi praktizē jurisprudenci advokātu birojā, tā mātesuzņēmumā vai meitasuzņēmumā, citiem uz</w:t>
      </w:r>
      <w:r>
        <w:rPr>
          <w:noProof/>
        </w:rPr>
        <w:t>ņēmuma darbiniekiem vai citam Dānijā reģistrētam advokātu birojam. Citiem biroja darbiniekiem kopā var piederēt tikai mazāk nekā 10 % kapitāldaļu un balsstiesību, un, lai viņi varētu kļūt par kapitāldaļu turētājiem, viņiem ir jānokārto eksāmens par tiesību</w:t>
      </w:r>
      <w:r>
        <w:rPr>
          <w:noProof/>
        </w:rPr>
        <w:t xml:space="preserve"> praksē īpaši svarīgiem noteikumiem. </w:t>
      </w:r>
    </w:p>
    <w:p w:rsidR="003E022D" w:rsidRDefault="007D19D6">
      <w:pPr>
        <w:rPr>
          <w:noProof/>
        </w:rPr>
      </w:pPr>
      <w:r>
        <w:rPr>
          <w:noProof/>
        </w:rPr>
        <w:t>Par valdes locekļiem būt var tikai advokāti, kas aktīvi praktizē jurisprudenci birojā, tā mātesuzņēmumā vai meitasuzņēmumā, citi kapitāldaļu turētāji un darbinieku pārstāvji. Vairākumam valdes locekļu jābūt advokātiem,</w:t>
      </w:r>
      <w:r>
        <w:rPr>
          <w:noProof/>
        </w:rPr>
        <w:t xml:space="preserve"> kas aktīvi praktizē jurisprudenci birojā, tā mātesuzņēmumā vai meitasuzņēmumā. Par advokātu biroja direktoru var būt tikai advokāti, kas aktīvi praktizē jurisprudenci birojā, tā mātesuzņēmumā vai meitasuzņēmumā, un citi kapitāldaļu turētāji, kuri ir nokār</w:t>
      </w:r>
      <w:r>
        <w:rPr>
          <w:noProof/>
        </w:rPr>
        <w:t xml:space="preserve">tojuši iepriekšminēto eksāmenu. </w:t>
      </w:r>
    </w:p>
    <w:p w:rsidR="003E022D" w:rsidRDefault="007D19D6">
      <w:pPr>
        <w:rPr>
          <w:noProof/>
        </w:rPr>
      </w:pPr>
      <w:r>
        <w:rPr>
          <w:b/>
          <w:noProof/>
        </w:rPr>
        <w:t>ES</w:t>
      </w:r>
      <w:r>
        <w:rPr>
          <w:noProof/>
        </w:rPr>
        <w:t>: lai sniegtu izraudzītus juridiskos pakalpojumus, ir nepieciešams domicils.</w:t>
      </w:r>
    </w:p>
    <w:p w:rsidR="003E022D" w:rsidRDefault="007D19D6">
      <w:pPr>
        <w:rPr>
          <w:noProof/>
        </w:rPr>
      </w:pPr>
      <w:r>
        <w:rPr>
          <w:b/>
          <w:noProof/>
        </w:rPr>
        <w:t>FR</w:t>
      </w:r>
      <w:r>
        <w:rPr>
          <w:noProof/>
        </w:rPr>
        <w:t>: lai varētu pastāvīgi praktizēt, dzīvesvietai vai uzņēmējdarbības vietai jābūt EEZ. Neskarot iepriekš minēto Eiropas Savienības atrunu attiec</w:t>
      </w:r>
      <w:r>
        <w:rPr>
          <w:noProof/>
        </w:rPr>
        <w:t xml:space="preserve">ībā uz visiem advokātiem, sabiedrībai jābūt kādā no šīm juridiskajām formām, kas, ievērojot nediskriminēšanas principu, atļautas saskaņā ar Francijas tiesību aktiem: </w:t>
      </w:r>
      <w:r>
        <w:rPr>
          <w:i/>
          <w:noProof/>
        </w:rPr>
        <w:t>SCP (société civile professionnelle), SEL (société d’exercice libéral), SEP (société en pa</w:t>
      </w:r>
      <w:r>
        <w:rPr>
          <w:i/>
          <w:noProof/>
        </w:rPr>
        <w:t>rticipation), SARL (société à responsabilité limitée), SAS (société par actions simplifiée), SA (société anonyme), SPE (société pluriprofessionnelle d'exercice) un “association”,</w:t>
      </w:r>
      <w:r>
        <w:rPr>
          <w:noProof/>
        </w:rPr>
        <w:t xml:space="preserve"> ar konkrētiem nosacījumiem. Kapitāldaļu turētājiem, direktoriem un partneriem</w:t>
      </w:r>
      <w:r>
        <w:rPr>
          <w:noProof/>
        </w:rPr>
        <w:t xml:space="preserve"> var piemērot īpašus ierobežojumus saistībā ar viņu profesionālo darbību.</w:t>
      </w:r>
    </w:p>
    <w:p w:rsidR="003E022D" w:rsidRDefault="007D19D6">
      <w:pPr>
        <w:rPr>
          <w:noProof/>
        </w:rPr>
      </w:pPr>
      <w:r>
        <w:rPr>
          <w:b/>
          <w:noProof/>
        </w:rPr>
        <w:t xml:space="preserve">HR: </w:t>
      </w:r>
      <w:r>
        <w:rPr>
          <w:noProof/>
        </w:rPr>
        <w:t>advokātu biroju var izveidot tikai advokāts, kuram ir Horvātijas advokāta statuss (Apvienotās Karalistes uzņēmumi var izveidot filiāles, kuras nedrīkst nodarbināt Horvātijas advo</w:t>
      </w:r>
      <w:r>
        <w:rPr>
          <w:noProof/>
        </w:rPr>
        <w:t xml:space="preserve">kātus). </w:t>
      </w:r>
    </w:p>
    <w:p w:rsidR="003E022D" w:rsidRDefault="007D19D6">
      <w:pPr>
        <w:rPr>
          <w:noProof/>
        </w:rPr>
      </w:pPr>
      <w:r>
        <w:rPr>
          <w:b/>
          <w:noProof/>
        </w:rPr>
        <w:t>HU</w:t>
      </w:r>
      <w:r>
        <w:rPr>
          <w:noProof/>
        </w:rPr>
        <w:t>: ir vajadzīgs sadarbības līgums, kas noslēgts ar Ungārijas advokātu (</w:t>
      </w:r>
      <w:r>
        <w:rPr>
          <w:i/>
          <w:noProof/>
        </w:rPr>
        <w:t>ügyvéd</w:t>
      </w:r>
      <w:r>
        <w:rPr>
          <w:noProof/>
        </w:rPr>
        <w:t>) vai advokātu biroju (</w:t>
      </w:r>
      <w:r>
        <w:rPr>
          <w:i/>
          <w:noProof/>
        </w:rPr>
        <w:t>ügyvédi iroda</w:t>
      </w:r>
      <w:r>
        <w:rPr>
          <w:noProof/>
        </w:rPr>
        <w:t>). Ārvalstu juridiskais padomnieks nevar būt Ungārijas advokātu biroja loceklis. Ārvalstu advokāts nav pilnvarots nevienā strīdā ne s</w:t>
      </w:r>
      <w:r>
        <w:rPr>
          <w:noProof/>
        </w:rPr>
        <w:t>agatavot dokumentus, kas jāiesniedz šķīrējtiesnesim, samierinātājam vai mediatoram, ne arī rīkoties kā klienta likumīgais pārstāvis šāda strīda izskatīšanā.</w:t>
      </w:r>
    </w:p>
    <w:p w:rsidR="003E022D" w:rsidRDefault="007D19D6">
      <w:pPr>
        <w:rPr>
          <w:noProof/>
        </w:rPr>
      </w:pPr>
      <w:r>
        <w:rPr>
          <w:b/>
          <w:bCs/>
          <w:noProof/>
        </w:rPr>
        <w:t>PT</w:t>
      </w:r>
      <w:r>
        <w:rPr>
          <w:noProof/>
        </w:rPr>
        <w:t xml:space="preserve"> (arī attiecībā uz lielākās labvēlības režīmu): ārvalstnieki, kam ir diploms, ko izdevusi juridis</w:t>
      </w:r>
      <w:r>
        <w:rPr>
          <w:noProof/>
        </w:rPr>
        <w:t>kā fakultāte Portugālē, var reģistrēties Portugāles advokātu kolēģijā (</w:t>
      </w:r>
      <w:r>
        <w:rPr>
          <w:i/>
          <w:noProof/>
        </w:rPr>
        <w:t>Ordem dos Advogados</w:t>
      </w:r>
      <w:r>
        <w:rPr>
          <w:noProof/>
        </w:rPr>
        <w:t>) ar tādiem pašiem nosacījumiem kā Portugāles valstspiederīgie, ja to attiecīgā valsts Portugāles valstspiederīgajiem piešķir ekvivalentu režīmu. </w:t>
      </w:r>
    </w:p>
    <w:p w:rsidR="003E022D" w:rsidRDefault="007D19D6">
      <w:pPr>
        <w:rPr>
          <w:noProof/>
        </w:rPr>
      </w:pPr>
      <w:r>
        <w:rPr>
          <w:noProof/>
        </w:rPr>
        <w:t>Pārējie ārvalstniek</w:t>
      </w:r>
      <w:r>
        <w:rPr>
          <w:noProof/>
        </w:rPr>
        <w:t>i, kam ir grāds tiesību zinātnēs, kuru atzīst juridiskā fakultāte Portugālē, var reģistrēties par locekļiem advokātu kolēģijā, ja viņi iziet nepieciešamo apmācību un nokārto gala pārbaudījumu un uzņemšanas eksāmenu. </w:t>
      </w:r>
    </w:p>
    <w:p w:rsidR="003E022D" w:rsidRDefault="007D19D6">
      <w:pPr>
        <w:rPr>
          <w:noProof/>
        </w:rPr>
      </w:pPr>
      <w:r>
        <w:rPr>
          <w:noProof/>
        </w:rPr>
        <w:t>Advokāti var sniegt juridiskās konsultā</w:t>
      </w:r>
      <w:r>
        <w:rPr>
          <w:noProof/>
        </w:rPr>
        <w:t>cijas ar nosacījumu, ka viņu domicils (“domiciliação”) ir Portugālē, viņi nokārto uzņemšanas eksāmenu un ir reģistrēti advokātu kolēģijā.</w:t>
      </w:r>
    </w:p>
    <w:p w:rsidR="003E022D" w:rsidRDefault="007D19D6">
      <w:pPr>
        <w:rPr>
          <w:noProof/>
        </w:rPr>
      </w:pPr>
      <w:r>
        <w:rPr>
          <w:b/>
          <w:noProof/>
        </w:rPr>
        <w:t>RO</w:t>
      </w:r>
      <w:r>
        <w:rPr>
          <w:noProof/>
        </w:rPr>
        <w:t>: ārvalstu advokāts nedrīkst izdarīt mutiskus vai rakstiskus secinājumus tiesās un citās tiesu iestādēs, izņemot sta</w:t>
      </w:r>
      <w:r>
        <w:rPr>
          <w:noProof/>
        </w:rPr>
        <w:t>rptautisku šķīrējtiesu.</w:t>
      </w:r>
    </w:p>
    <w:p w:rsidR="003E022D" w:rsidRDefault="007D19D6">
      <w:pPr>
        <w:rPr>
          <w:noProof/>
        </w:rPr>
      </w:pPr>
      <w:r>
        <w:rPr>
          <w:b/>
          <w:noProof/>
        </w:rPr>
        <w:t>SE</w:t>
      </w:r>
      <w:r>
        <w:rPr>
          <w:noProof/>
        </w:rPr>
        <w:t xml:space="preserve"> (arī attiecībā uz lielākās labvēlības režīmu): neskarot iepriekš minēto Eiropas Savienības atrunu, Zviedrijas advokātu kolēģijas locekli drīkst nodarbināt tikai advokātu kolēģijas loceklis vai sabiedrība, kas veic advokātu kolēģi</w:t>
      </w:r>
      <w:r>
        <w:rPr>
          <w:noProof/>
        </w:rPr>
        <w:t>jas locekļa darbību. Tomēr ārvalstu sabiedrība, kas veic advokāta darbību, var nodarbināt advokātu kolēģijas locekli, ja attiecīgās sabiedrības domicils ir Savienībā, EEZ vai Šveices Konfederācijā. Ja Zviedrijas Advokātu kolēģijas padome piešķir atbrīvojum</w:t>
      </w:r>
      <w:r>
        <w:rPr>
          <w:noProof/>
        </w:rPr>
        <w:t xml:space="preserve">u, arī advokātu birojs ārpus Eiropas Savienības var nodarbināt Zviedrijas Advokātu kolēģijas locekli. </w:t>
      </w:r>
    </w:p>
    <w:p w:rsidR="003E022D" w:rsidRDefault="007D19D6">
      <w:pPr>
        <w:rPr>
          <w:noProof/>
        </w:rPr>
      </w:pPr>
      <w:r>
        <w:rPr>
          <w:noProof/>
        </w:rPr>
        <w:t>Advokātu kolēģijas locekļiem, kas praktizē sabiedrību vai personālsabiedrību formā, nevar būt cits mērķis kā vien advokāta prakse, un tie nevar veikt cit</w:t>
      </w:r>
      <w:r>
        <w:rPr>
          <w:noProof/>
        </w:rPr>
        <w:t xml:space="preserve">a veida darbību. Ir atļauts sadarboties ar citiem advokātu uzņēmumiem, tomēr sadarbībai ar ārvalstu uzņēmumiem ir vajadzīga Zviedrijas Advokātu kolēģijas padomes atļauja. Tikai advokātu kolēģijas loceklim tieši vai netieši, ar sabiedrības starpniecību vai </w:t>
      </w:r>
      <w:r>
        <w:rPr>
          <w:noProof/>
        </w:rPr>
        <w:t>praktizējot advokāta profesijā drīkst piederēt kapitāldaļas sabiedrībā, un tikai advokātu kolēģijas loceklis var būt partneris. Tikai advokātu kolēģijas loceklis var būt sabiedrības vai personālbiedrības valdes loceklis, valdes locekļa vietnieks vai rīkotā</w:t>
      </w:r>
      <w:r>
        <w:rPr>
          <w:noProof/>
        </w:rPr>
        <w:t xml:space="preserve">jdirektora vietnieks, pilnvarota paraksttiesīgā persona vai sekretārs. </w:t>
      </w:r>
    </w:p>
    <w:p w:rsidR="003E022D" w:rsidRDefault="007D19D6">
      <w:pPr>
        <w:rPr>
          <w:noProof/>
        </w:rPr>
      </w:pPr>
      <w:r>
        <w:rPr>
          <w:b/>
          <w:noProof/>
        </w:rPr>
        <w:t>SI</w:t>
      </w:r>
      <w:r>
        <w:rPr>
          <w:noProof/>
        </w:rPr>
        <w:t xml:space="preserve"> (arī attiecībā uz lielākās labvēlības režīmu): ārvalstu advokāts, kas ir tiesīgs strādāt juridiskā profesijā ārvalstīs, var sniegt juridiskos pakalpojumus vai strādāt juridiskā prof</w:t>
      </w:r>
      <w:r>
        <w:rPr>
          <w:noProof/>
        </w:rPr>
        <w:t>esijā saskaņā ar noteikumiem, kuri izklāstīti Advokātu likuma 34.a pantā, ja tiek ievērots faktiskas savstarpības nosacījums. Neskarot Eiropas Savienības atrunu par nediskriminējošām prasībām attiecībā uz juridisko formu, Slovēnijas Advokātu kolēģijas iece</w:t>
      </w:r>
      <w:r>
        <w:rPr>
          <w:noProof/>
        </w:rPr>
        <w:t>ltu advokātu komerciāla klātbūtne ir atļauta tikai šādās formās: viena dalībnieka sabiedrība, juridiskais birojs ar ierobežotu atbildību (personālsabiedrība) vai juridiskais birojs ar neierobežotu atbildību (personālsabiedrība). Juridiskā biroja darbības i</w:t>
      </w:r>
      <w:r>
        <w:rPr>
          <w:noProof/>
        </w:rPr>
        <w:t>etver tikai darbību tiesību jomā. Tikai advokāti var būt partneri juridiskā birojā.</w:t>
      </w:r>
    </w:p>
    <w:p w:rsidR="003E022D" w:rsidRDefault="007D19D6">
      <w:pPr>
        <w:rPr>
          <w:noProof/>
        </w:rPr>
      </w:pPr>
      <w:r>
        <w:rPr>
          <w:b/>
          <w:noProof/>
        </w:rPr>
        <w:t>SK</w:t>
      </w:r>
      <w:r>
        <w:rPr>
          <w:noProof/>
        </w:rPr>
        <w:t xml:space="preserve">: attiecībā uz advokātiem, kas nav Eiropas Savienības advokāti, ir jāievēro faktiskas savstarpības nosacījums. </w:t>
      </w:r>
    </w:p>
    <w:p w:rsidR="003E022D" w:rsidRDefault="007D19D6">
      <w:pPr>
        <w:numPr>
          <w:ilvl w:val="0"/>
          <w:numId w:val="785"/>
        </w:numPr>
        <w:rPr>
          <w:b/>
          <w:i/>
          <w:noProof/>
        </w:rPr>
      </w:pPr>
      <w:r>
        <w:rPr>
          <w:b/>
          <w:i/>
          <w:noProof/>
        </w:rPr>
        <w:t>Citi juridiskie pakalpojumi (piederības jurisdikcijas ties</w:t>
      </w:r>
      <w:r>
        <w:rPr>
          <w:b/>
          <w:i/>
          <w:noProof/>
        </w:rPr>
        <w:t xml:space="preserve">ības, tostarp juridiskie konsultāciju, arbitrāžas, samierināšanas un mediācijas pakalpojumi un tiesiskās pārstāvības pakalpojumi). </w:t>
      </w:r>
    </w:p>
    <w:p w:rsidR="003E022D" w:rsidRDefault="007D19D6">
      <w:pPr>
        <w:rPr>
          <w:noProof/>
        </w:rPr>
      </w:pPr>
      <w:r>
        <w:rPr>
          <w:noProof/>
        </w:rPr>
        <w:t xml:space="preserve">Lielākai noteiktībai — saskaņā ar ievadpiezīmēm, jo īpaši </w:t>
      </w:r>
      <w:r>
        <w:rPr>
          <w:noProof/>
          <w:highlight w:val="cyan"/>
        </w:rPr>
        <w:t>9. punktu</w:t>
      </w:r>
      <w:r>
        <w:rPr>
          <w:noProof/>
        </w:rPr>
        <w:t>, prasības, kas jāizpilda, lai varētu reģistrēties advokā</w:t>
      </w:r>
      <w:r>
        <w:rPr>
          <w:noProof/>
        </w:rPr>
        <w:t>tu kolēģijā, var ietvert prasību būt ieguvušam grādu tiesību zinātnēs vai tā ekvivalentu piederības jurisdikcijā, būt pabeigušam apmācību licencēta advokāta uzraudzībā vai prasību par to, ka iesniegt pieteikumu, lai kļūtu par advokātu kolēģijas locekli, va</w:t>
      </w:r>
      <w:r>
        <w:rPr>
          <w:noProof/>
        </w:rPr>
        <w:t xml:space="preserve">r tad, ja personai ir birojs vai pasta adrese attiecīgās advokātu kolēģijas jurisdikcijā. </w:t>
      </w:r>
    </w:p>
    <w:p w:rsidR="003E022D" w:rsidRDefault="007D19D6">
      <w:pPr>
        <w:rPr>
          <w:noProof/>
          <w:u w:val="single"/>
        </w:rPr>
      </w:pPr>
      <w:r>
        <w:rPr>
          <w:noProof/>
          <w:u w:val="single"/>
        </w:rPr>
        <w:t xml:space="preserve">Attiecībā uz investīciju liberalizāciju – piekļuve tirgum, valsts režīms un pakalpojumu pārrobežu tirdzniecība – valsts režīms, klātbūtne uz vietas </w:t>
      </w:r>
    </w:p>
    <w:p w:rsidR="003E022D" w:rsidRDefault="007D19D6">
      <w:pPr>
        <w:rPr>
          <w:i/>
          <w:iCs/>
          <w:noProof/>
        </w:rPr>
      </w:pPr>
      <w:r>
        <w:rPr>
          <w:b/>
          <w:noProof/>
        </w:rPr>
        <w:t>EU</w:t>
      </w:r>
      <w:r>
        <w:rPr>
          <w:noProof/>
        </w:rPr>
        <w:t xml:space="preserve">: fizisku vai </w:t>
      </w:r>
      <w:r>
        <w:rPr>
          <w:noProof/>
        </w:rPr>
        <w:t>juridisku personu pārstāvību Eiropas Savienības Intelektuālā īpašuma birojā (</w:t>
      </w:r>
      <w:r>
        <w:rPr>
          <w:i/>
          <w:noProof/>
        </w:rPr>
        <w:t>EUIPO</w:t>
      </w:r>
      <w:r>
        <w:rPr>
          <w:noProof/>
        </w:rPr>
        <w:t>) var veikt tikai praktizējošs jurists, kurš ir kvalificēts kādā no EEZ dalībvalstīm un kura darījumdarbības vieta ir Eiropas Ekonomikas zonā, ciktāl viņam minētajā dalībvals</w:t>
      </w:r>
      <w:r>
        <w:rPr>
          <w:noProof/>
        </w:rPr>
        <w:t xml:space="preserve">tī ir tiesības rīkoties kā pārstāvim preču zīmju lietās vai rūpnieciskā īpašuma lietās, un profesionālie pārstāvji, kuru vārdi ir iekļauti sarakstā, ko šajā nolūkā uztur </w:t>
      </w:r>
      <w:r>
        <w:rPr>
          <w:i/>
          <w:noProof/>
        </w:rPr>
        <w:t>EUIPO</w:t>
      </w:r>
      <w:r>
        <w:rPr>
          <w:noProof/>
        </w:rPr>
        <w:t xml:space="preserve"> (daļa no CPC 861).</w:t>
      </w:r>
    </w:p>
    <w:p w:rsidR="003E022D" w:rsidRDefault="007D19D6">
      <w:pPr>
        <w:rPr>
          <w:noProof/>
        </w:rPr>
      </w:pPr>
      <w:r>
        <w:rPr>
          <w:b/>
          <w:noProof/>
        </w:rPr>
        <w:t>AT</w:t>
      </w:r>
      <w:r>
        <w:rPr>
          <w:noProof/>
        </w:rPr>
        <w:t xml:space="preserve">: lai sniegtu juridiskus pakalpojumus saistībā ar </w:t>
      </w:r>
      <w:r>
        <w:rPr>
          <w:noProof/>
        </w:rPr>
        <w:t>piederības jurisdikcijas (Savienības un dalībvalstu) tiesībām, tostarp nodrošinātu pārstāvību tiesās, ir nepieciešama EEZ vai Šveices valstspiederība un ir jāizpilda prasība par dzīvesvietu (komerciāla klātbūtne). Tikai advokātiem ar EEZ vai Šveices valsts</w:t>
      </w:r>
      <w:r>
        <w:rPr>
          <w:noProof/>
        </w:rPr>
        <w:t>piederību ir atļauts sniegt juridiskos pakalpojumus, nodibinot komerciālu klātbūtni. Juridisko pakalpojumu sniegšanas prakse starptautisko publisko tiesību un piederības jurisdikcijas tiesību jomā ir atļauta tikai pāri robežām.</w:t>
      </w:r>
    </w:p>
    <w:p w:rsidR="003E022D" w:rsidRDefault="007D19D6">
      <w:pPr>
        <w:rPr>
          <w:noProof/>
        </w:rPr>
      </w:pPr>
      <w:r>
        <w:rPr>
          <w:noProof/>
        </w:rPr>
        <w:t>Ārvalstu advokātu (kuriem jā</w:t>
      </w:r>
      <w:r>
        <w:rPr>
          <w:noProof/>
        </w:rPr>
        <w:t>būt pilnībā kvalificētiem piederības jurisdikcijā) līdzdalība jebkura advokātu biroja kapitālā un tā saimnieciskās darbības rezultāta daļās ir atļauta apmērā līdz 25 procentiem; pārējā līdzdalība jāpatur pilnībā kvalificētiem EEZ vai Šveices advokātiem, un</w:t>
      </w:r>
      <w:r>
        <w:rPr>
          <w:noProof/>
        </w:rPr>
        <w:t xml:space="preserve"> tikai pēdējie minētie var īstenot izšķirošu ietekmi juridiskā biroja lēmumu pieņemšanā. </w:t>
      </w:r>
    </w:p>
    <w:p w:rsidR="003E022D" w:rsidRDefault="007D19D6">
      <w:pPr>
        <w:rPr>
          <w:noProof/>
        </w:rPr>
      </w:pPr>
      <w:r>
        <w:rPr>
          <w:b/>
          <w:noProof/>
        </w:rPr>
        <w:t>BE</w:t>
      </w:r>
      <w:r>
        <w:rPr>
          <w:i/>
          <w:noProof/>
        </w:rPr>
        <w:t xml:space="preserve"> (arī attiecībā uz lielākās labvēlības režīmu)</w:t>
      </w:r>
      <w:r>
        <w:rPr>
          <w:noProof/>
        </w:rPr>
        <w:t xml:space="preserve">: lai varētu kļūt par pilntiesīgu advokātu kolēģijas locekli, tostarp īstenot pārstāvību tiesās, ir jāizpilda prasība </w:t>
      </w:r>
      <w:r>
        <w:rPr>
          <w:noProof/>
        </w:rPr>
        <w:t>par dzīvesvietu. Lai ārvalstu advokāts varētu kļūt par pilntiesīgu advokātu kolēģijas locekli, viņam, sākot no reģistrācijas pieteikuma iesniegšanas , valstī ir jābūt dzīvojušam vismaz sešus gadus (noteiktos apstākļos — trīs gadus). Jābūt izsniegtam Beļģij</w:t>
      </w:r>
      <w:r>
        <w:rPr>
          <w:noProof/>
        </w:rPr>
        <w:t xml:space="preserve">as ārlietu ministra sertifikātam, atbilstoši kuram valsts tiesību akti vai starptautiska konvencija pieļauj savstarpību (savstarpības nosacījums). </w:t>
      </w:r>
    </w:p>
    <w:p w:rsidR="003E022D" w:rsidRDefault="007D19D6">
      <w:pPr>
        <w:rPr>
          <w:noProof/>
        </w:rPr>
      </w:pPr>
      <w:r>
        <w:rPr>
          <w:noProof/>
        </w:rPr>
        <w:t>Ārvalstu advokāti var praktizēt kā juridiskie konsultanti. Advokāti, kas ir ārvalstu (ārpus Eiropas Savienīb</w:t>
      </w:r>
      <w:r>
        <w:rPr>
          <w:noProof/>
        </w:rPr>
        <w:t>as) advokātu kolēģiju locekļi un vēlas veikt uzņēmējdarbību Beļģijā, bet neatbilst nosacījumiem, lai tos varētu reģistrēt pilnībā kvalificētu advokātu oficiālajā sarakstā, Eiropas Savienības sarakstā vai advokātu stažieru sarakstā, var pieprasīt reģistrāci</w:t>
      </w:r>
      <w:r>
        <w:rPr>
          <w:noProof/>
        </w:rPr>
        <w:t xml:space="preserve">ju tā sauktajā “B sarakstā”. Šāds “B saraksts” ir tikai Briseles advokātu kolēģijā. B sarakstā iekļautam advokātam ir atļauts sniegt konsultācijas. Lai varētu veikt pārstāvību </w:t>
      </w:r>
      <w:r>
        <w:rPr>
          <w:i/>
          <w:noProof/>
        </w:rPr>
        <w:t>Cour de Cassation</w:t>
      </w:r>
      <w:r>
        <w:rPr>
          <w:noProof/>
        </w:rPr>
        <w:t xml:space="preserve">, ir jābūt iekļautam konkrētā sarakstā. </w:t>
      </w:r>
    </w:p>
    <w:p w:rsidR="003E022D" w:rsidRDefault="007D19D6">
      <w:pPr>
        <w:rPr>
          <w:noProof/>
        </w:rPr>
      </w:pPr>
      <w:r>
        <w:rPr>
          <w:b/>
          <w:noProof/>
        </w:rPr>
        <w:t xml:space="preserve">BG </w:t>
      </w:r>
      <w:r>
        <w:rPr>
          <w:noProof/>
        </w:rPr>
        <w:t>(attiecībā arī uz l</w:t>
      </w:r>
      <w:r>
        <w:rPr>
          <w:noProof/>
        </w:rPr>
        <w:t>ielākās labvēlības režīmu): paredzēts tikai dalībvalsts, citas EEZ līguma līgumslēdzējas valsts vai Šveices Konfederācijas valstspiederīgajiem, kam piešķirta atļauja strādāt advokāta profesijā saskaņā ar jebkuras iepriekš minētās valsts tiesību aktiem. Ārv</w:t>
      </w:r>
      <w:r>
        <w:rPr>
          <w:noProof/>
        </w:rPr>
        <w:t>alstnieks (izņemot iepriekš minēto), kuram ir atļauts strādāt advokāta profesijā saskaņā ar savas valsts tiesību aktiem, var iesniegt pārsūdzību Bulgārijas tiesu iestādēs kā savas valsts valstspiederīgā aizstāvis vai pilnvarotā persona, rīkojoties konkrētā</w:t>
      </w:r>
      <w:r>
        <w:rPr>
          <w:noProof/>
        </w:rPr>
        <w:t xml:space="preserve"> lietā, kopā ar Bulgārijas advokātu — ja tas ir paredzēts nolīgumā starp Bulgāriju un attiecīgo valsti — vai pamatojoties uz savstarpības principu, šajā saistībā Augstākās advokātu kolēģijas padomes priekšsēdētājam iesniedzot iepriekšēju lūgumu. Valstis, a</w:t>
      </w:r>
      <w:r>
        <w:rPr>
          <w:noProof/>
        </w:rPr>
        <w:t>ttiecībā uz kurām pastāv savstarpības nosacījums, pēc Augstākās advokātu kolēģijas padomes priekšsēdētāja pieprasījuma izraugās tieslietu ministrs. Lai sniegtu juridiskās mediācijas pakalpojumus, ārvalstniekam jābūt ilgtermiņa vai pastāvīgas uzturēšanās at</w:t>
      </w:r>
      <w:r>
        <w:rPr>
          <w:noProof/>
        </w:rPr>
        <w:t>ļaujai Bulgārijā un jābūt reģistrētam tieslietu ministra Vienotajā mediatoru reģistrā.</w:t>
      </w:r>
    </w:p>
    <w:p w:rsidR="003E022D" w:rsidRDefault="007D19D6">
      <w:pPr>
        <w:rPr>
          <w:noProof/>
        </w:rPr>
      </w:pPr>
      <w:r>
        <w:rPr>
          <w:b/>
          <w:noProof/>
        </w:rPr>
        <w:t>CY</w:t>
      </w:r>
      <w:r>
        <w:rPr>
          <w:noProof/>
        </w:rPr>
        <w:t xml:space="preserve">: nepieciešama EEZ vai Šveices valstspiederība, kā arī ir jāizpilda prasība par dzīvesvietu (komerciāla klātbūtne). Kiprā tikai advokātu kolēģijā uzņemti advokāti var </w:t>
      </w:r>
      <w:r>
        <w:rPr>
          <w:noProof/>
        </w:rPr>
        <w:t>būt advokātu biroja partneri vai kapitāldaļu turētāji, vai direktoru padomes locekļi.</w:t>
      </w:r>
    </w:p>
    <w:p w:rsidR="003E022D" w:rsidRDefault="007D19D6">
      <w:pPr>
        <w:rPr>
          <w:noProof/>
        </w:rPr>
      </w:pPr>
      <w:r>
        <w:rPr>
          <w:b/>
          <w:noProof/>
        </w:rPr>
        <w:t>CZ</w:t>
      </w:r>
      <w:r>
        <w:rPr>
          <w:noProof/>
        </w:rPr>
        <w:t>: ārvalstu advokātiem ir jābūt pilntiesīgiem Čehijas Advokātu kolēģijas locekļiem un ir jāizpilda prasība par uzturēšanos (komerciāla klātbūtne).</w:t>
      </w:r>
    </w:p>
    <w:p w:rsidR="003E022D" w:rsidRDefault="007D19D6">
      <w:pPr>
        <w:rPr>
          <w:noProof/>
        </w:rPr>
      </w:pPr>
      <w:r>
        <w:rPr>
          <w:b/>
          <w:noProof/>
        </w:rPr>
        <w:t>DE</w:t>
      </w:r>
      <w:r>
        <w:rPr>
          <w:noProof/>
        </w:rPr>
        <w:t>: tikai advokātus ar</w:t>
      </w:r>
      <w:r>
        <w:rPr>
          <w:noProof/>
        </w:rPr>
        <w:t xml:space="preserve"> EEZ vai Šveices kvalifikāciju var uzņemt advokātu kolēģijā, un tādējādi viņi kļūst tiesīgi sniegt juridiskos pakalpojumus. Lai kļūtu par pilntiesīgu advokātu kolēģijas locekli, nepieciešama komerciāla klātbūtne. Kompetentā advokātu kolēģija var piešķirt a</w:t>
      </w:r>
      <w:r>
        <w:rPr>
          <w:noProof/>
        </w:rPr>
        <w:t>tbrīvojumu. Ārvalstu advokātiem (kuriem nav EEZ un Šveices kvalifikācijas) var tikt noteikti ierobežojumi attiecībā uz kapitāldaļu turēšanu advokātu birojā, kas sniedz juridiskos pakalpojumus saistībā ar piederības jurisdikcijas tiesībām.</w:t>
      </w:r>
    </w:p>
    <w:p w:rsidR="003E022D" w:rsidRDefault="007D19D6">
      <w:pPr>
        <w:rPr>
          <w:noProof/>
        </w:rPr>
      </w:pPr>
      <w:r>
        <w:rPr>
          <w:b/>
          <w:noProof/>
        </w:rPr>
        <w:t>DK</w:t>
      </w:r>
      <w:r>
        <w:rPr>
          <w:noProof/>
        </w:rPr>
        <w:t>: sniegt juridi</w:t>
      </w:r>
      <w:r>
        <w:rPr>
          <w:noProof/>
        </w:rPr>
        <w:t>skos pakalpojumus, izmantojot amata nosaukumu “advokat” (advokāts) vai līdzīgu nosaukumu, kā arī nodrošināt pārstāvību tiesās var tikai advokāti ar Dānijā izsniegtu licenci praktizēt. Eiropas Savienības, EEZ un Šveices advokāti var praktizēt, izmantojot sa</w:t>
      </w:r>
      <w:r>
        <w:rPr>
          <w:noProof/>
        </w:rPr>
        <w:t xml:space="preserve">vā izcelsmes valstī lietoto amata nosaukumu. </w:t>
      </w:r>
    </w:p>
    <w:p w:rsidR="003E022D" w:rsidRDefault="007D19D6">
      <w:pPr>
        <w:rPr>
          <w:noProof/>
        </w:rPr>
      </w:pPr>
      <w:r>
        <w:rPr>
          <w:noProof/>
        </w:rPr>
        <w:t>Neskarot iepriekš minēto Eiropas Savienības atrunu par nediskriminējošām prasībām attiecībā uz juridisko formu, juridiskā biroja kapitāldaļas var piederēt tikai advokātiem, kas aktīvi praktizē jurisprudenci bir</w:t>
      </w:r>
      <w:r>
        <w:rPr>
          <w:noProof/>
        </w:rPr>
        <w:t>ojā, tā mātesuzņēmumā vai meitasuzņēmumā, citiem uzņēmuma darbiniekiem vai citam Dānijā reģistrētam advokātu birojam. Citiem biroja darbiniekiem kopā var piederēt tikai mazāk nekā 10 % kapitāldaļu un balsstiesību, un, lai viņi varētu kļūt par kapitāldaļu t</w:t>
      </w:r>
      <w:r>
        <w:rPr>
          <w:noProof/>
        </w:rPr>
        <w:t xml:space="preserve">urētājiem, viņiem ir jānokārto eksāmens par tiesību praksē īpaši svarīgiem noteikumiem. </w:t>
      </w:r>
    </w:p>
    <w:p w:rsidR="003E022D" w:rsidRDefault="007D19D6">
      <w:pPr>
        <w:rPr>
          <w:noProof/>
        </w:rPr>
      </w:pPr>
      <w:r>
        <w:rPr>
          <w:noProof/>
        </w:rPr>
        <w:t>Par valdes locekļiem būt var tikai advokāti, kas aktīvi praktizē jurisprudenci birojā, tā mātesuzņēmumā vai meitasuzņēmumā, citi kapitāldaļu turētāji un darbinieku pār</w:t>
      </w:r>
      <w:r>
        <w:rPr>
          <w:noProof/>
        </w:rPr>
        <w:t>stāvji. Vairākumam valdes locekļu jābūt advokātiem, kas aktīvi praktizē jurisprudenci birojā, tā mātesuzņēmumā vai meitasuzņēmumā. Par advokātu biroja direktoru var būt tikai advokāti, kas aktīvi praktizē jurisprudenci birojā, tā mātesuzņēmumā vai meitasuz</w:t>
      </w:r>
      <w:r>
        <w:rPr>
          <w:noProof/>
        </w:rPr>
        <w:t xml:space="preserve">ņēmumā, un citi kapitāldaļu turētāji, kuri ir nokārtojuši iepriekšminēto eksāmenu. </w:t>
      </w:r>
    </w:p>
    <w:p w:rsidR="003E022D" w:rsidRDefault="007D19D6">
      <w:pPr>
        <w:rPr>
          <w:noProof/>
        </w:rPr>
      </w:pPr>
      <w:r>
        <w:rPr>
          <w:b/>
          <w:noProof/>
        </w:rPr>
        <w:t>EE</w:t>
      </w:r>
      <w:r>
        <w:rPr>
          <w:noProof/>
        </w:rPr>
        <w:t xml:space="preserve">: ir jāizpilda prasība par dzīvesvietu (komerciāla klātbūtne). </w:t>
      </w:r>
    </w:p>
    <w:p w:rsidR="003E022D" w:rsidRDefault="007D19D6">
      <w:pPr>
        <w:rPr>
          <w:noProof/>
        </w:rPr>
      </w:pPr>
      <w:r>
        <w:rPr>
          <w:b/>
          <w:noProof/>
        </w:rPr>
        <w:t>EL</w:t>
      </w:r>
      <w:r>
        <w:rPr>
          <w:noProof/>
        </w:rPr>
        <w:t>: nepieciešama EEZ vai Šveices valstspiederība, un ir jāizpilda prasība par dzīvesvietu (komerciāla klāt</w:t>
      </w:r>
      <w:r>
        <w:rPr>
          <w:noProof/>
        </w:rPr>
        <w:t xml:space="preserve">būtne). </w:t>
      </w:r>
    </w:p>
    <w:p w:rsidR="003E022D" w:rsidRDefault="007D19D6">
      <w:pPr>
        <w:rPr>
          <w:noProof/>
        </w:rPr>
      </w:pPr>
      <w:r>
        <w:rPr>
          <w:b/>
          <w:noProof/>
        </w:rPr>
        <w:t>ES</w:t>
      </w:r>
      <w:r>
        <w:rPr>
          <w:noProof/>
        </w:rPr>
        <w:t>: nepieciešama EEZ vai Šveices valstspiederība. Kompetentās iestādes var piešķirt atbrīvojumu no prasības par valstspiederību.</w:t>
      </w:r>
    </w:p>
    <w:p w:rsidR="003E022D" w:rsidRDefault="007D19D6">
      <w:pPr>
        <w:rPr>
          <w:noProof/>
        </w:rPr>
      </w:pPr>
      <w:r>
        <w:rPr>
          <w:b/>
          <w:noProof/>
        </w:rPr>
        <w:t>FI</w:t>
      </w:r>
      <w:r>
        <w:rPr>
          <w:noProof/>
        </w:rPr>
        <w:t xml:space="preserve">: lai varētu uzmantot amata nosaukumu “advokāts” (somiski </w:t>
      </w:r>
      <w:r>
        <w:rPr>
          <w:i/>
          <w:noProof/>
        </w:rPr>
        <w:t>asianajaja</w:t>
      </w:r>
      <w:r>
        <w:rPr>
          <w:noProof/>
        </w:rPr>
        <w:t xml:space="preserve">, zviedriski </w:t>
      </w:r>
      <w:r>
        <w:rPr>
          <w:i/>
          <w:noProof/>
        </w:rPr>
        <w:t>advokat</w:t>
      </w:r>
      <w:r>
        <w:rPr>
          <w:noProof/>
        </w:rPr>
        <w:t xml:space="preserve">), nepieciešama dzīvesvieta </w:t>
      </w:r>
      <w:r>
        <w:rPr>
          <w:noProof/>
        </w:rPr>
        <w:t xml:space="preserve">EEZ vai Šveicē un jābūt advokātu kolēģijas loceklim EEZ vai Šveicē. Juridiskos pakalpojumus var sniegt arī personas, kas nav advokātu kolēģijas locekļi. </w:t>
      </w:r>
    </w:p>
    <w:p w:rsidR="003E022D" w:rsidRDefault="007D19D6">
      <w:pPr>
        <w:rPr>
          <w:noProof/>
        </w:rPr>
      </w:pPr>
      <w:r>
        <w:rPr>
          <w:b/>
          <w:noProof/>
        </w:rPr>
        <w:t>FR</w:t>
      </w:r>
      <w:r>
        <w:rPr>
          <w:noProof/>
        </w:rPr>
        <w:t>: neskarot Eiropas Savienības atrunu par nediskriminējošām prasībām attiecībā uz juridisko formu, la</w:t>
      </w:r>
      <w:r>
        <w:rPr>
          <w:noProof/>
        </w:rPr>
        <w:t xml:space="preserve">i varētu kļūt par pilntiesīgu advokātu kolēģijas locekli, kas ir priekšnosacījums juridisko pakalpojumu sniegšanai, ir jāizpilda prasība par dzīvesvietu vai uzņēmējdarbības vietu EEZ. Advokātu birojā uz kapitāldaļu turējumu un balsstiesībām var attiecināt </w:t>
      </w:r>
      <w:r>
        <w:rPr>
          <w:noProof/>
        </w:rPr>
        <w:t xml:space="preserve">kvantitatīvus ierobežojumus, kas saistīti ar partneru profesionālo darbību. Pārstāvībai </w:t>
      </w:r>
      <w:r>
        <w:rPr>
          <w:i/>
          <w:noProof/>
        </w:rPr>
        <w:t>Cour de Cassation</w:t>
      </w:r>
      <w:r>
        <w:rPr>
          <w:noProof/>
        </w:rPr>
        <w:t xml:space="preserve"> un </w:t>
      </w:r>
      <w:r>
        <w:rPr>
          <w:i/>
          <w:noProof/>
        </w:rPr>
        <w:t>Conseil d'Etat</w:t>
      </w:r>
      <w:r>
        <w:rPr>
          <w:noProof/>
        </w:rPr>
        <w:t xml:space="preserve"> piemēro kvotas, un šādu pārstāvību var nodrošināt tikai Francijas un Eiropas Savienības valstspiederīgie. </w:t>
      </w:r>
    </w:p>
    <w:p w:rsidR="003E022D" w:rsidRDefault="007D19D6">
      <w:pPr>
        <w:rPr>
          <w:noProof/>
        </w:rPr>
      </w:pPr>
      <w:r>
        <w:rPr>
          <w:noProof/>
        </w:rPr>
        <w:t>Visām advokātu sabiedrībā</w:t>
      </w:r>
      <w:r>
        <w:rPr>
          <w:noProof/>
        </w:rPr>
        <w:t xml:space="preserve">m jābūt kādā no šīm juridiskajām formām, kas, ievērojot nediskriminēšanas principu, atļautas saskaņā ar Francijas tiesību aktiem: </w:t>
      </w:r>
      <w:r>
        <w:rPr>
          <w:i/>
          <w:noProof/>
        </w:rPr>
        <w:t>SCP (société civile professionnelle), SEL (société d’exercice libéral), SEP (société en participation), SARL (société à respon</w:t>
      </w:r>
      <w:r>
        <w:rPr>
          <w:i/>
          <w:noProof/>
        </w:rPr>
        <w:t>sabilité limitée), SAS (société par actions simplifiée), SA (société anonyme), SPE (société pluriprofessionnelle d'exercice) un “association”,</w:t>
      </w:r>
      <w:r>
        <w:rPr>
          <w:noProof/>
        </w:rPr>
        <w:t xml:space="preserve"> ar konkrētiem nosacījumiem. Lai varētu pastāvīgi praktizēt, dzīvesvietai vai uzņēmējdarbības vietai jābūt EEZ.</w:t>
      </w:r>
    </w:p>
    <w:p w:rsidR="003E022D" w:rsidRDefault="007D19D6">
      <w:pPr>
        <w:rPr>
          <w:noProof/>
        </w:rPr>
      </w:pPr>
      <w:r>
        <w:rPr>
          <w:b/>
          <w:noProof/>
        </w:rPr>
        <w:t>HR</w:t>
      </w:r>
      <w:r>
        <w:rPr>
          <w:noProof/>
        </w:rPr>
        <w:t xml:space="preserve">: nepieciešama Eiropas Savienības valstspiederība. </w:t>
      </w:r>
    </w:p>
    <w:p w:rsidR="003E022D" w:rsidRDefault="007D19D6">
      <w:pPr>
        <w:rPr>
          <w:noProof/>
        </w:rPr>
      </w:pPr>
      <w:r>
        <w:rPr>
          <w:b/>
          <w:noProof/>
        </w:rPr>
        <w:t>HU</w:t>
      </w:r>
      <w:r>
        <w:rPr>
          <w:noProof/>
        </w:rPr>
        <w:t xml:space="preserve">: nepieciešama EEZ vai Šveices valstspiederība, un ir jāizpilda prasība par dzīvesvietu (komerciāla klātbūtne). </w:t>
      </w:r>
    </w:p>
    <w:p w:rsidR="003E022D" w:rsidRDefault="007D19D6">
      <w:pPr>
        <w:rPr>
          <w:noProof/>
        </w:rPr>
      </w:pPr>
      <w:r>
        <w:rPr>
          <w:b/>
          <w:noProof/>
        </w:rPr>
        <w:t>LT</w:t>
      </w:r>
      <w:r>
        <w:rPr>
          <w:noProof/>
        </w:rPr>
        <w:t xml:space="preserve"> (attiecībā arī uz lielākās labvēlības režīmu): ir vajadzīga EEZ vai Šveices valstspied</w:t>
      </w:r>
      <w:r>
        <w:rPr>
          <w:noProof/>
        </w:rPr>
        <w:t xml:space="preserve">erība, un ir jāizpilda prasība par dzīvesvietu (komerciāla klātbūtne). </w:t>
      </w:r>
    </w:p>
    <w:p w:rsidR="003E022D" w:rsidRDefault="007D19D6">
      <w:pPr>
        <w:rPr>
          <w:noProof/>
        </w:rPr>
      </w:pPr>
      <w:r>
        <w:rPr>
          <w:noProof/>
        </w:rPr>
        <w:t>Ārvalstu advokāti savus pakalpojumus tiesā var sniegt vienīgi saskaņā ar starptautiskiem nolīgumiem, tostarp konkrētiem noteikumiem par pārstāvības tiesā nodrošināšanu. Jābūt pilntiesī</w:t>
      </w:r>
      <w:r>
        <w:rPr>
          <w:noProof/>
        </w:rPr>
        <w:t xml:space="preserve">gam advokātu kolēģijas loceklim. </w:t>
      </w:r>
    </w:p>
    <w:p w:rsidR="003E022D" w:rsidRDefault="007D19D6">
      <w:pPr>
        <w:rPr>
          <w:noProof/>
        </w:rPr>
      </w:pPr>
      <w:r>
        <w:rPr>
          <w:b/>
          <w:noProof/>
        </w:rPr>
        <w:t>LU</w:t>
      </w:r>
      <w:r>
        <w:rPr>
          <w:noProof/>
        </w:rPr>
        <w:t xml:space="preserve"> (attiecībā arī uz lielākās labvēlības režīmu): nepieciešama EEZ vai Šveices valstspiederība, un ir jāizpilda prasība par dzīvesvietu (komerciāla klātbūtne). Profesionālās organizācijas padome, pamatojoties uz savstarpīb</w:t>
      </w:r>
      <w:r>
        <w:rPr>
          <w:noProof/>
        </w:rPr>
        <w:t xml:space="preserve">u, var vienoties par ārvalstnieka atbrīvošanu no prasības par valstspiederību.  </w:t>
      </w:r>
    </w:p>
    <w:p w:rsidR="003E022D" w:rsidRDefault="007D19D6">
      <w:pPr>
        <w:rPr>
          <w:noProof/>
        </w:rPr>
      </w:pPr>
      <w:r>
        <w:rPr>
          <w:b/>
          <w:noProof/>
        </w:rPr>
        <w:t>LV</w:t>
      </w:r>
      <w:r>
        <w:rPr>
          <w:noProof/>
        </w:rPr>
        <w:t xml:space="preserve"> (arī attiecībā uz lielākās labvēlības režīmu): nepieciešama EEZ vai Šveices valstspiederība. Ārvalstu advokāti savus pakalpojumus tiesā var sniegt vienīgi saskaņā ar divpus</w:t>
      </w:r>
      <w:r>
        <w:rPr>
          <w:noProof/>
        </w:rPr>
        <w:t xml:space="preserve">ējiem nolīgumiem par savstarpēju juridisko palīdzību. </w:t>
      </w:r>
    </w:p>
    <w:p w:rsidR="003E022D" w:rsidRDefault="007D19D6">
      <w:pPr>
        <w:rPr>
          <w:noProof/>
        </w:rPr>
      </w:pPr>
      <w:r>
        <w:rPr>
          <w:noProof/>
        </w:rPr>
        <w:t>Attiecībā uz Eiropas Savienības vai ārvalstu advokātiem noteiktas īpašas prasības. Piemēram, piedalīšanās tiesas procesā krimināllietās ir atļauta tikai kopā ar Latvijas Zvērinātu advokātu kolēģijas ad</w:t>
      </w:r>
      <w:r>
        <w:rPr>
          <w:noProof/>
        </w:rPr>
        <w:t xml:space="preserve">vokātu. </w:t>
      </w:r>
    </w:p>
    <w:p w:rsidR="003E022D" w:rsidRDefault="007D19D6">
      <w:pPr>
        <w:rPr>
          <w:noProof/>
        </w:rPr>
      </w:pPr>
      <w:r>
        <w:rPr>
          <w:b/>
          <w:noProof/>
        </w:rPr>
        <w:t>MT</w:t>
      </w:r>
      <w:r>
        <w:rPr>
          <w:noProof/>
        </w:rPr>
        <w:t>: nepieciešama EEZ vai Šveices valstspiederība, kā arī ir jāizpilda prasība par dzīvesvietu (komerciāla klātbūtne).</w:t>
      </w:r>
    </w:p>
    <w:p w:rsidR="003E022D" w:rsidRDefault="007D19D6">
      <w:pPr>
        <w:rPr>
          <w:noProof/>
        </w:rPr>
      </w:pPr>
      <w:r>
        <w:rPr>
          <w:b/>
          <w:noProof/>
        </w:rPr>
        <w:t>NL</w:t>
      </w:r>
      <w:r>
        <w:rPr>
          <w:noProof/>
        </w:rPr>
        <w:t xml:space="preserve">: tikai vietējā līmenī licencēti Nīderlandes reģistrā iekļauti advokāti var izmantot amata nosaukumu “advocate”. Tā vietā, lai </w:t>
      </w:r>
      <w:r>
        <w:rPr>
          <w:noProof/>
        </w:rPr>
        <w:t xml:space="preserve">izmantotu pilnu nosaukumu “advocate”, (nereģistrētiem) ārvalstu advokātiem, lai darbotos Nīderlandē, ir pienākums norādīt savas piederības jurisdikcijas profesionālo organizāciju. </w:t>
      </w:r>
    </w:p>
    <w:p w:rsidR="003E022D" w:rsidRDefault="007D19D6">
      <w:pPr>
        <w:rPr>
          <w:noProof/>
        </w:rPr>
      </w:pPr>
      <w:r>
        <w:rPr>
          <w:b/>
          <w:noProof/>
        </w:rPr>
        <w:t>PT</w:t>
      </w:r>
      <w:r>
        <w:rPr>
          <w:noProof/>
        </w:rPr>
        <w:t xml:space="preserve"> (arī attiecībā uz lielākās labvēlības režīmu): ir jāizpilda prasība par </w:t>
      </w:r>
      <w:r>
        <w:rPr>
          <w:noProof/>
        </w:rPr>
        <w:t>dzīvesvietu (komerciāla klātbūtne). Lai nodrošinātu pārstāvību tiesās, ir jābūt pilntiesīgam advokātu kolēģijas loceklim. Ārvalstnieki, kam ir diploms, ko izdevusi juridiskā fakultāte Portugālē, var reģistrēties Portugāles advokātu kolēģijā (</w:t>
      </w:r>
      <w:r>
        <w:rPr>
          <w:i/>
          <w:noProof/>
        </w:rPr>
        <w:t>Ordem dos Advo</w:t>
      </w:r>
      <w:r>
        <w:rPr>
          <w:i/>
          <w:noProof/>
        </w:rPr>
        <w:t>gados</w:t>
      </w:r>
      <w:r>
        <w:rPr>
          <w:noProof/>
        </w:rPr>
        <w:t xml:space="preserve">) ar tādiem pašiem nosacījumiem kā Portugāles valstspiederīgie, ja to attiecīgā valsts piešķir Portugāles valstspiederīgajiem ekvivalentu režīmu. </w:t>
      </w:r>
    </w:p>
    <w:p w:rsidR="003E022D" w:rsidRDefault="007D19D6">
      <w:pPr>
        <w:rPr>
          <w:noProof/>
        </w:rPr>
      </w:pPr>
      <w:r>
        <w:rPr>
          <w:noProof/>
        </w:rPr>
        <w:t>Pārējie ārvalstnieki, kam ir grāds tiesību zinātnēs, kuru atzīst juridiskā fakultāte Portugālē, var reģistrēties par locekļiem advokātu kolēģijā, ja viņi iziet nepieciešamo apmācību un nokārto gala pārbaudījumu un uzņemšanas eksāmenu. Portugālē praktizēt v</w:t>
      </w:r>
      <w:r>
        <w:rPr>
          <w:noProof/>
        </w:rPr>
        <w:t xml:space="preserve">ar tikai advokātu biroji, kuru kapitāldaļas pieder vienīgi Portugāles Advokātu kolēģijā uzņemtiem advokātiem. </w:t>
      </w:r>
    </w:p>
    <w:p w:rsidR="003E022D" w:rsidRDefault="007D19D6">
      <w:pPr>
        <w:rPr>
          <w:noProof/>
        </w:rPr>
      </w:pPr>
      <w:r>
        <w:rPr>
          <w:b/>
          <w:noProof/>
        </w:rPr>
        <w:t>RO</w:t>
      </w:r>
      <w:r>
        <w:rPr>
          <w:noProof/>
        </w:rPr>
        <w:t xml:space="preserve">: ārvalstu advokāts nedrīkst izdarīt mutiskus vai rakstiskus secinājumus tiesās un citās tiesu iestādēs, izņemot starptautisku šķīrējtiesu. </w:t>
      </w:r>
    </w:p>
    <w:p w:rsidR="003E022D" w:rsidRDefault="007D19D6">
      <w:pPr>
        <w:rPr>
          <w:noProof/>
        </w:rPr>
      </w:pPr>
      <w:r>
        <w:rPr>
          <w:b/>
          <w:noProof/>
        </w:rPr>
        <w:t>SE</w:t>
      </w:r>
      <w:r>
        <w:rPr>
          <w:noProof/>
        </w:rPr>
        <w:t xml:space="preserve"> (arī attiecībā uz lielākās labvēlības režīmu): lai varētu uzņemt advokātu kolēģijā un varētu izmantot amata nosaukumu </w:t>
      </w:r>
      <w:r>
        <w:rPr>
          <w:i/>
          <w:noProof/>
        </w:rPr>
        <w:t>“advokat”,</w:t>
      </w:r>
      <w:r>
        <w:rPr>
          <w:noProof/>
        </w:rPr>
        <w:t xml:space="preserve"> nepieciešama dzīvesvieta EEZ vai Šveicē. Zviedrijas Advokātu kolēģijas padome var piešķirt atbrīvojumus. Lai praktizētu Zviedr</w:t>
      </w:r>
      <w:r>
        <w:rPr>
          <w:noProof/>
        </w:rPr>
        <w:t xml:space="preserve">ijas tiesību jomā, uzņemšana advokātu kolēģijā nav priekšnosacījums. </w:t>
      </w:r>
    </w:p>
    <w:p w:rsidR="003E022D" w:rsidRDefault="007D19D6">
      <w:pPr>
        <w:rPr>
          <w:noProof/>
        </w:rPr>
      </w:pPr>
      <w:r>
        <w:rPr>
          <w:noProof/>
        </w:rPr>
        <w:t>Zviedrijas advokātu kolēģijas locekli drīkst nodarbināt tikai advokātu kolēģijas loceklis vai sabiedrība, kas veic advokātu kolēģijas locekļa darbību. Tomēr ārvalstu sabiedrība, kas veic</w:t>
      </w:r>
      <w:r>
        <w:rPr>
          <w:noProof/>
        </w:rPr>
        <w:t xml:space="preserve"> advokāta darbību, var nodarbināt advokātu kolēģijas locekli, ja attiecīgās sabiedrības domicils ir EEZ vai Šveices Konfederācijā. Ja Zviedrijas Advokātu kolēģijas padome piešķir atbrīvojumu, arī advokātu birojs ārpus Eiropas Savienības var nodarbināt Zvie</w:t>
      </w:r>
      <w:r>
        <w:rPr>
          <w:noProof/>
        </w:rPr>
        <w:t xml:space="preserve">drijas Advokātu kolēģijas locekli. </w:t>
      </w:r>
    </w:p>
    <w:p w:rsidR="003E022D" w:rsidRDefault="007D19D6">
      <w:pPr>
        <w:rPr>
          <w:noProof/>
        </w:rPr>
      </w:pPr>
      <w:r>
        <w:rPr>
          <w:noProof/>
        </w:rPr>
        <w:t>Advokātu kolēģijas locekļiem, kas praktizē sabiedrību vai personālsabiedrību formā, nevar būt cits mērķis kā vien advokāta prakse, un tie nevar veikt cita veida darbību. Ir atļauts sadarboties ar citiem advokātu uzņēmumi</w:t>
      </w:r>
      <w:r>
        <w:rPr>
          <w:noProof/>
        </w:rPr>
        <w:t>em, tomēr sadarbībai ar ārvalstu uzņēmumiem ir vajadzīga Zviedrijas Advokātu kolēģijas padomes atļauja. Tikai advokātu kolēģijas loceklim tieši vai netieši, ar sabiedrības starpniecību vai praktizējot advokāta profesijā drīkst piederēt kapitāldaļas sabiedr</w:t>
      </w:r>
      <w:r>
        <w:rPr>
          <w:noProof/>
        </w:rPr>
        <w:t>ībā, un tikai advokātu kolēģijas loceklis var būt partneris. Tikai advokātu kolēģijas loceklis var būt sabiedrības vai personālbiedrības valdes loceklis, valdes locekļa vietnieks vai rīkotājdirektora vietnieks, pilnvarota paraksttiesīgā persona vai sekretā</w:t>
      </w:r>
      <w:r>
        <w:rPr>
          <w:noProof/>
        </w:rPr>
        <w:t xml:space="preserve">rs. </w:t>
      </w:r>
    </w:p>
    <w:p w:rsidR="003E022D" w:rsidRDefault="007D19D6">
      <w:pPr>
        <w:rPr>
          <w:noProof/>
        </w:rPr>
      </w:pPr>
      <w:r>
        <w:rPr>
          <w:b/>
          <w:noProof/>
        </w:rPr>
        <w:t>SI</w:t>
      </w:r>
      <w:r>
        <w:rPr>
          <w:noProof/>
        </w:rPr>
        <w:t xml:space="preserve"> (arī attiecībā uz lielākās labvēlības režīmu): klientu pārstāvēšana tiesā pret atlīdzību atļauta ar nosacījumu, ka ir nodrošināta komerciāla klātbūtne Slovēnijā. Ārvalstu advokāts, kas ir tiesīgs praktizēt piederības jurisdikcijas tiesību jomā, var</w:t>
      </w:r>
      <w:r>
        <w:rPr>
          <w:noProof/>
        </w:rPr>
        <w:t xml:space="preserve"> sniegt juridiskos pakalpojumus vai praktizēt jurisprudenci saskaņā ar noteikumiem, kuri izklāstīti Advokātu likuma 34.a pantā, ja tiek ievērots faktiskas savstarpības nosacījums. </w:t>
      </w:r>
    </w:p>
    <w:p w:rsidR="003E022D" w:rsidRDefault="007D19D6">
      <w:pPr>
        <w:rPr>
          <w:noProof/>
        </w:rPr>
      </w:pPr>
      <w:r>
        <w:rPr>
          <w:noProof/>
        </w:rPr>
        <w:t>Neskarot Eiropas Savienības atrunu par nediskriminējošām prasībām attiecībā</w:t>
      </w:r>
      <w:r>
        <w:rPr>
          <w:noProof/>
        </w:rPr>
        <w:t xml:space="preserve"> uz juridisko formu, Slovēnijas Advokātu kolēģijas ieceltu advokātu komerciāla klātbūtne ir atļauta tikai šādās formās: viena dalībnieka sabiedrība, juridiskais birojs ar ierobežotu atbildību (personālsabiedrība) vai juridiskais birojs ar neierobežotu atbi</w:t>
      </w:r>
      <w:r>
        <w:rPr>
          <w:noProof/>
        </w:rPr>
        <w:t xml:space="preserve">ldību (personālsabiedrība). Juridiskā biroja darbības ietver tikai darbību tiesību jomā. Tikai advokāti var būt partneri juridiskā birojā. </w:t>
      </w:r>
    </w:p>
    <w:p w:rsidR="003E022D" w:rsidRDefault="007D19D6">
      <w:pPr>
        <w:rPr>
          <w:noProof/>
        </w:rPr>
      </w:pPr>
      <w:r>
        <w:rPr>
          <w:b/>
          <w:noProof/>
        </w:rPr>
        <w:t>SK</w:t>
      </w:r>
      <w:r>
        <w:rPr>
          <w:noProof/>
        </w:rPr>
        <w:t>: (arī attiecībā uz lielākās labvēlības režīmu): lai sniegtu juridiskus pakalpojumus saistībā ar piederības jurisd</w:t>
      </w:r>
      <w:r>
        <w:rPr>
          <w:noProof/>
        </w:rPr>
        <w:t>ikcijas tiesībām, tostarp nodrošinātu pārstāvību tiesās, ir nepieciešama EEZ valstspiederība, kā arī ir jāizpilda prasība par dzīvesvietu (komerciāla klātbūtne). Attiecībā uz advokātiem, kas nav Eiropas Savienības advokāti, ir jāievēro faktiskas savstarpīb</w:t>
      </w:r>
      <w:r>
        <w:rPr>
          <w:noProof/>
        </w:rPr>
        <w:t xml:space="preserve">as nosacījums. </w:t>
      </w:r>
    </w:p>
    <w:p w:rsidR="003E022D" w:rsidRDefault="007D19D6">
      <w:pPr>
        <w:rPr>
          <w:b/>
          <w:noProof/>
        </w:rPr>
      </w:pPr>
      <w:r>
        <w:rPr>
          <w:b/>
          <w:i/>
          <w:noProof/>
        </w:rPr>
        <w:t xml:space="preserve">Pasākumi </w:t>
      </w:r>
    </w:p>
    <w:p w:rsidR="003E022D" w:rsidRDefault="007D19D6">
      <w:pPr>
        <w:rPr>
          <w:i/>
          <w:noProof/>
        </w:rPr>
      </w:pPr>
      <w:r>
        <w:rPr>
          <w:b/>
          <w:i/>
          <w:noProof/>
        </w:rPr>
        <w:t>EU</w:t>
      </w:r>
      <w:r>
        <w:rPr>
          <w:i/>
          <w:noProof/>
        </w:rPr>
        <w:t>: EIROPAS PARLAMENTA UN PADOMES Regula (ES) 2017/1001 (2017. gada 14. jūnijs) par Eiropas Savienības preču zīmi, 120. pants; PADOMES REGULA (EK) Nr. 6/2002 (2001. gada 12. decembris) par Kopienas dizainparaugiem, 78. pants.</w:t>
      </w:r>
    </w:p>
    <w:p w:rsidR="003E022D" w:rsidRDefault="007D19D6">
      <w:pPr>
        <w:rPr>
          <w:i/>
          <w:noProof/>
        </w:rPr>
      </w:pPr>
      <w:r>
        <w:rPr>
          <w:b/>
          <w:i/>
          <w:noProof/>
        </w:rPr>
        <w:t>AT</w:t>
      </w:r>
      <w:r>
        <w:rPr>
          <w:i/>
          <w:noProof/>
        </w:rPr>
        <w:t xml:space="preserve">: </w:t>
      </w:r>
      <w:r>
        <w:rPr>
          <w:i/>
          <w:noProof/>
        </w:rPr>
        <w:t xml:space="preserve">Rechtsanwaltsordnung (Juristu likums) – RAO, RGBl. Nr. 96/1868, 1. un 21.c pants. </w:t>
      </w:r>
    </w:p>
    <w:p w:rsidR="003E022D" w:rsidRDefault="007D19D6">
      <w:pPr>
        <w:rPr>
          <w:i/>
          <w:noProof/>
        </w:rPr>
      </w:pPr>
      <w:r>
        <w:rPr>
          <w:b/>
          <w:i/>
          <w:noProof/>
        </w:rPr>
        <w:t>BE</w:t>
      </w:r>
      <w:r>
        <w:rPr>
          <w:i/>
          <w:noProof/>
        </w:rPr>
        <w:t xml:space="preserve">: Beļģijas Tiesas kodekss (428.–508. pants); Karaļa 1970. gada 24. augusta Dekrēts. </w:t>
      </w:r>
    </w:p>
    <w:p w:rsidR="003E022D" w:rsidRDefault="007D19D6">
      <w:pPr>
        <w:rPr>
          <w:i/>
          <w:noProof/>
        </w:rPr>
      </w:pPr>
      <w:r>
        <w:rPr>
          <w:b/>
          <w:i/>
          <w:noProof/>
        </w:rPr>
        <w:t>BG</w:t>
      </w:r>
      <w:r>
        <w:rPr>
          <w:i/>
          <w:noProof/>
        </w:rPr>
        <w:t xml:space="preserve">: Advokātu likums; Mediācijas likums un Notariāta un notāru darbības likums. </w:t>
      </w:r>
    </w:p>
    <w:p w:rsidR="003E022D" w:rsidRDefault="007D19D6">
      <w:pPr>
        <w:rPr>
          <w:i/>
          <w:noProof/>
        </w:rPr>
      </w:pPr>
      <w:r>
        <w:rPr>
          <w:b/>
          <w:i/>
          <w:noProof/>
        </w:rPr>
        <w:t>CY</w:t>
      </w:r>
      <w:r>
        <w:rPr>
          <w:i/>
          <w:noProof/>
        </w:rPr>
        <w:t>: Ad</w:t>
      </w:r>
      <w:r>
        <w:rPr>
          <w:i/>
          <w:noProof/>
        </w:rPr>
        <w:t xml:space="preserve">vokātu likums (2. nodaļa) , ar grozījumiem. </w:t>
      </w:r>
    </w:p>
    <w:p w:rsidR="003E022D" w:rsidRDefault="007D19D6">
      <w:pPr>
        <w:rPr>
          <w:i/>
          <w:noProof/>
        </w:rPr>
      </w:pPr>
      <w:r>
        <w:rPr>
          <w:b/>
          <w:i/>
          <w:noProof/>
        </w:rPr>
        <w:t>CZ</w:t>
      </w:r>
      <w:r>
        <w:rPr>
          <w:i/>
          <w:noProof/>
        </w:rPr>
        <w:t xml:space="preserve">: Likums Nr. 85/1996 Coll., Juridisko profesiju likums. </w:t>
      </w:r>
    </w:p>
    <w:p w:rsidR="003E022D" w:rsidRDefault="007D19D6">
      <w:pPr>
        <w:rPr>
          <w:i/>
          <w:noProof/>
        </w:rPr>
      </w:pPr>
      <w:r>
        <w:rPr>
          <w:b/>
          <w:i/>
          <w:noProof/>
        </w:rPr>
        <w:t>DE</w:t>
      </w:r>
      <w:r>
        <w:rPr>
          <w:i/>
          <w:noProof/>
        </w:rPr>
        <w:t xml:space="preserve">: § 59e, § 59f, § 206 Bundesrechtsanwaltsordnung (BRAO; Federālais likums par advokātiem); </w:t>
      </w:r>
    </w:p>
    <w:p w:rsidR="003E022D" w:rsidRDefault="007D19D6">
      <w:pPr>
        <w:rPr>
          <w:i/>
          <w:noProof/>
        </w:rPr>
      </w:pPr>
      <w:r>
        <w:rPr>
          <w:i/>
          <w:noProof/>
        </w:rPr>
        <w:t>Gesetz über die Tätigkeit europäischer Rechtsanwälte in De</w:t>
      </w:r>
      <w:r>
        <w:rPr>
          <w:i/>
          <w:noProof/>
        </w:rPr>
        <w:t xml:space="preserve">utschland (EuRAG) un § 10 Rechtsdienstleistungsgesetz (RDG). </w:t>
      </w:r>
    </w:p>
    <w:p w:rsidR="003E022D" w:rsidRDefault="007D19D6">
      <w:pPr>
        <w:rPr>
          <w:i/>
          <w:noProof/>
        </w:rPr>
      </w:pPr>
      <w:r>
        <w:rPr>
          <w:b/>
          <w:i/>
          <w:noProof/>
        </w:rPr>
        <w:t>DK</w:t>
      </w:r>
      <w:r>
        <w:rPr>
          <w:i/>
          <w:noProof/>
        </w:rPr>
        <w:t xml:space="preserve">: Retsplejeloven (Tiesvedības likums) 12. un 13. nodaļa (2018. gada 14. novembra konsolidētais likums Nr. 1284). </w:t>
      </w:r>
    </w:p>
    <w:p w:rsidR="003E022D" w:rsidRDefault="007D19D6">
      <w:pPr>
        <w:rPr>
          <w:i/>
          <w:noProof/>
        </w:rPr>
      </w:pPr>
      <w:r>
        <w:rPr>
          <w:b/>
          <w:i/>
          <w:noProof/>
        </w:rPr>
        <w:t>EE</w:t>
      </w:r>
      <w:r>
        <w:rPr>
          <w:i/>
          <w:noProof/>
        </w:rPr>
        <w:t>: Advokatuuriseadus (Advokātu kolēģijas likums); Tsiviilkohtumenetluse seadu</w:t>
      </w:r>
      <w:r>
        <w:rPr>
          <w:i/>
          <w:noProof/>
        </w:rPr>
        <w:t xml:space="preserve">stik (Civilprocesa kodekss) un halduskohtumenetluse seadus (Administratīvā procesa kodekss); kriminaalmenetluse seadustik (Kriminālprocesa kodekss) un väiäirteomenetluse seadustik (Pārkāpumu procedūras kodekss). </w:t>
      </w:r>
    </w:p>
    <w:p w:rsidR="003E022D" w:rsidRDefault="007D19D6">
      <w:pPr>
        <w:rPr>
          <w:i/>
          <w:noProof/>
        </w:rPr>
      </w:pPr>
      <w:r>
        <w:rPr>
          <w:b/>
          <w:i/>
          <w:noProof/>
        </w:rPr>
        <w:t>EL</w:t>
      </w:r>
      <w:r>
        <w:rPr>
          <w:i/>
          <w:noProof/>
        </w:rPr>
        <w:t>: Jaunais Advokatūras kodekss Nr. 4194/20</w:t>
      </w:r>
      <w:r>
        <w:rPr>
          <w:i/>
          <w:noProof/>
        </w:rPr>
        <w:t xml:space="preserve">13. </w:t>
      </w:r>
    </w:p>
    <w:p w:rsidR="003E022D" w:rsidRDefault="007D19D6">
      <w:pPr>
        <w:rPr>
          <w:i/>
          <w:noProof/>
        </w:rPr>
      </w:pPr>
      <w:r>
        <w:rPr>
          <w:b/>
          <w:i/>
          <w:noProof/>
        </w:rPr>
        <w:t>ES</w:t>
      </w:r>
      <w:r>
        <w:rPr>
          <w:i/>
          <w:noProof/>
        </w:rPr>
        <w:t xml:space="preserve">: Estatuto General de la Abogacía Española, aprobado por Real Decreto 658/2001, 13.1.ª pants. </w:t>
      </w:r>
    </w:p>
    <w:p w:rsidR="003E022D" w:rsidRDefault="007D19D6">
      <w:pPr>
        <w:rPr>
          <w:i/>
          <w:noProof/>
        </w:rPr>
      </w:pPr>
      <w:r>
        <w:rPr>
          <w:b/>
          <w:i/>
          <w:noProof/>
        </w:rPr>
        <w:t>FI</w:t>
      </w:r>
      <w:r>
        <w:rPr>
          <w:i/>
          <w:noProof/>
        </w:rPr>
        <w:t xml:space="preserve">: Laki asianajajista (Advokātu likums) (496/1958), ss. 1 un 3; un Oikeudenkäymiskaari (Nr. 4/1734) (Tiesas procesa kodekss). </w:t>
      </w:r>
    </w:p>
    <w:p w:rsidR="003E022D" w:rsidRDefault="007D19D6">
      <w:pPr>
        <w:rPr>
          <w:i/>
          <w:noProof/>
        </w:rPr>
      </w:pPr>
      <w:r>
        <w:rPr>
          <w:b/>
          <w:i/>
          <w:noProof/>
        </w:rPr>
        <w:t>FR</w:t>
      </w:r>
      <w:r>
        <w:rPr>
          <w:i/>
          <w:noProof/>
        </w:rPr>
        <w:t>: Loi 71-1130 du 31 déce</w:t>
      </w:r>
      <w:r>
        <w:rPr>
          <w:i/>
          <w:noProof/>
        </w:rPr>
        <w:t>mbre 1971, Loi 90- 1259 du 31 décembre 1990, décret 91-1197 du 27 novembre 1991, un Ordonnance du 10 septembre 1817 modifiée.</w:t>
      </w:r>
    </w:p>
    <w:p w:rsidR="003E022D" w:rsidRDefault="007D19D6">
      <w:pPr>
        <w:rPr>
          <w:i/>
          <w:noProof/>
        </w:rPr>
      </w:pPr>
      <w:r>
        <w:rPr>
          <w:b/>
          <w:i/>
          <w:noProof/>
        </w:rPr>
        <w:t>HR</w:t>
      </w:r>
      <w:r>
        <w:rPr>
          <w:i/>
          <w:noProof/>
        </w:rPr>
        <w:t xml:space="preserve">: Juridisko profesiju likums (OG 9/94, 117/08, 75/09, 18/11). </w:t>
      </w:r>
    </w:p>
    <w:p w:rsidR="003E022D" w:rsidRDefault="007D19D6">
      <w:pPr>
        <w:rPr>
          <w:i/>
          <w:noProof/>
        </w:rPr>
      </w:pPr>
      <w:r>
        <w:rPr>
          <w:b/>
          <w:i/>
          <w:noProof/>
        </w:rPr>
        <w:t>HU</w:t>
      </w:r>
      <w:r>
        <w:rPr>
          <w:i/>
          <w:noProof/>
        </w:rPr>
        <w:t>: 2017. gada Likums LXXVIII par  advokātu profesionālajām darbī</w:t>
      </w:r>
      <w:r>
        <w:rPr>
          <w:i/>
          <w:noProof/>
        </w:rPr>
        <w:t xml:space="preserve">bām. </w:t>
      </w:r>
    </w:p>
    <w:p w:rsidR="003E022D" w:rsidRDefault="007D19D6">
      <w:pPr>
        <w:rPr>
          <w:i/>
          <w:noProof/>
        </w:rPr>
      </w:pPr>
      <w:r>
        <w:rPr>
          <w:b/>
          <w:i/>
          <w:noProof/>
        </w:rPr>
        <w:t>LT</w:t>
      </w:r>
      <w:r>
        <w:rPr>
          <w:i/>
          <w:noProof/>
        </w:rPr>
        <w:t xml:space="preserve">: Lietuvas Republikas 2004. gada 18. marta Advokatūras likums Nr. IX-2066, kurā jaunākie grozījumi izdarīti ar likumu Nr. XIII-571 2017. gada 12. decembrī. </w:t>
      </w:r>
    </w:p>
    <w:p w:rsidR="003E022D" w:rsidRDefault="007D19D6">
      <w:pPr>
        <w:rPr>
          <w:i/>
          <w:noProof/>
        </w:rPr>
      </w:pPr>
      <w:r>
        <w:rPr>
          <w:b/>
          <w:i/>
          <w:noProof/>
        </w:rPr>
        <w:t>LU</w:t>
      </w:r>
      <w:r>
        <w:rPr>
          <w:i/>
          <w:noProof/>
        </w:rPr>
        <w:t xml:space="preserve">: Loi du 16 décembre 2011 modifiant la loi du 10 août 1991 sur la profession d'avocat. </w:t>
      </w:r>
    </w:p>
    <w:p w:rsidR="003E022D" w:rsidRDefault="007D19D6">
      <w:pPr>
        <w:rPr>
          <w:i/>
          <w:noProof/>
        </w:rPr>
      </w:pPr>
      <w:r>
        <w:rPr>
          <w:b/>
          <w:i/>
          <w:noProof/>
        </w:rPr>
        <w:t>L</w:t>
      </w:r>
      <w:r>
        <w:rPr>
          <w:b/>
          <w:i/>
          <w:noProof/>
        </w:rPr>
        <w:t>V</w:t>
      </w:r>
      <w:r>
        <w:rPr>
          <w:i/>
          <w:noProof/>
        </w:rPr>
        <w:t xml:space="preserve">: Kriminālprocesa likums, 79. pants, un Latvijas Republikas Advokatūras likums, 4. sadaļa. </w:t>
      </w:r>
    </w:p>
    <w:p w:rsidR="003E022D" w:rsidRDefault="007D19D6">
      <w:pPr>
        <w:rPr>
          <w:i/>
          <w:noProof/>
        </w:rPr>
      </w:pPr>
      <w:r>
        <w:rPr>
          <w:b/>
          <w:i/>
          <w:noProof/>
        </w:rPr>
        <w:t>MT</w:t>
      </w:r>
      <w:r>
        <w:rPr>
          <w:i/>
          <w:noProof/>
        </w:rPr>
        <w:t xml:space="preserve">: Organizācijas un civilprocesa kodekss (12. nodaļa). </w:t>
      </w:r>
    </w:p>
    <w:p w:rsidR="003E022D" w:rsidRDefault="007D19D6">
      <w:pPr>
        <w:rPr>
          <w:i/>
          <w:noProof/>
        </w:rPr>
      </w:pPr>
      <w:r>
        <w:rPr>
          <w:b/>
          <w:i/>
          <w:noProof/>
        </w:rPr>
        <w:t>NL</w:t>
      </w:r>
      <w:r>
        <w:rPr>
          <w:i/>
          <w:noProof/>
        </w:rPr>
        <w:t xml:space="preserve">: Advocatenwet (Likums par advokātiem). </w:t>
      </w:r>
    </w:p>
    <w:p w:rsidR="003E022D" w:rsidRDefault="007D19D6">
      <w:pPr>
        <w:rPr>
          <w:i/>
          <w:noProof/>
        </w:rPr>
      </w:pPr>
      <w:r>
        <w:rPr>
          <w:b/>
          <w:i/>
          <w:noProof/>
        </w:rPr>
        <w:t>PT</w:t>
      </w:r>
      <w:r>
        <w:rPr>
          <w:i/>
          <w:noProof/>
        </w:rPr>
        <w:t xml:space="preserve">: Likums 145/2015, 9 set., alterada p/ Lei 23/2020, 6 jul. </w:t>
      </w:r>
      <w:r>
        <w:rPr>
          <w:i/>
          <w:noProof/>
        </w:rPr>
        <w:t>(art.º 194 substituído p/ art.º 201.º; e art.º 203.º substituído p/ art.º 213.º).</w:t>
      </w:r>
      <w:r>
        <w:rPr>
          <w:noProof/>
        </w:rPr>
        <w:t xml:space="preserve"> </w:t>
      </w:r>
    </w:p>
    <w:p w:rsidR="003E022D" w:rsidRDefault="007D19D6">
      <w:pPr>
        <w:rPr>
          <w:i/>
          <w:noProof/>
        </w:rPr>
      </w:pPr>
      <w:r>
        <w:rPr>
          <w:i/>
          <w:noProof/>
        </w:rPr>
        <w:t xml:space="preserve">Portugāles Advokatūras statūti (Estatuto da Ordem dos Advogados) un Dekrētlikums 229/2004, 5., 7.–9. pants; </w:t>
      </w:r>
    </w:p>
    <w:p w:rsidR="003E022D" w:rsidRDefault="007D19D6">
      <w:pPr>
        <w:rPr>
          <w:i/>
          <w:noProof/>
        </w:rPr>
      </w:pPr>
      <w:r>
        <w:rPr>
          <w:i/>
          <w:noProof/>
        </w:rPr>
        <w:t xml:space="preserve">Dekrētlikums 88/2003, 77. un 102. pants; </w:t>
      </w:r>
    </w:p>
    <w:p w:rsidR="003E022D" w:rsidRDefault="007D19D6">
      <w:pPr>
        <w:rPr>
          <w:i/>
          <w:noProof/>
        </w:rPr>
      </w:pPr>
      <w:r>
        <w:rPr>
          <w:i/>
          <w:noProof/>
        </w:rPr>
        <w:t>Solicitadores Valsts p</w:t>
      </w:r>
      <w:r>
        <w:rPr>
          <w:i/>
          <w:noProof/>
        </w:rPr>
        <w:t>rofesionālās asociācijas statūti (Estatuto da Câmara dos Solicitadores), kas grozīti ar Likumu 49/2004, mas alterada p/ Lei 154/2015, 14 set; ar Likumu 14/2006 un Dekrētlikumu Nr. 226/2008 alterado p/Lei 41/2013, 26 jun;</w:t>
      </w:r>
    </w:p>
    <w:p w:rsidR="003E022D" w:rsidRDefault="007D19D6">
      <w:pPr>
        <w:rPr>
          <w:i/>
          <w:noProof/>
        </w:rPr>
      </w:pPr>
      <w:r>
        <w:rPr>
          <w:noProof/>
        </w:rPr>
        <w:t xml:space="preserve">Likums 78/2001, 31. un 4. pants, </w:t>
      </w:r>
      <w:r>
        <w:rPr>
          <w:i/>
          <w:noProof/>
        </w:rPr>
        <w:t>Al</w:t>
      </w:r>
      <w:r>
        <w:rPr>
          <w:i/>
          <w:noProof/>
        </w:rPr>
        <w:t>terada p/Lei 54/2013, 31 jul</w:t>
      </w:r>
      <w:r>
        <w:rPr>
          <w:noProof/>
        </w:rPr>
        <w:t>;</w:t>
      </w:r>
      <w:r>
        <w:rPr>
          <w:i/>
          <w:noProof/>
        </w:rPr>
        <w:t xml:space="preserve"> </w:t>
      </w:r>
    </w:p>
    <w:p w:rsidR="003E022D" w:rsidRDefault="007D19D6">
      <w:pPr>
        <w:rPr>
          <w:i/>
          <w:noProof/>
        </w:rPr>
      </w:pPr>
      <w:r>
        <w:rPr>
          <w:i/>
          <w:noProof/>
        </w:rPr>
        <w:t xml:space="preserve">Noteikumi par mediāciju ģimenes un darba lietās (Rīkojums 282/2010), alterada p/Portaria 283/2018, 19 out; </w:t>
      </w:r>
    </w:p>
    <w:p w:rsidR="003E022D" w:rsidRDefault="007D19D6">
      <w:pPr>
        <w:rPr>
          <w:i/>
          <w:noProof/>
        </w:rPr>
      </w:pPr>
      <w:r>
        <w:rPr>
          <w:i/>
          <w:noProof/>
        </w:rPr>
        <w:t xml:space="preserve">Likums 21/2007 par mediāciju krimināllietās, 12. pants; </w:t>
      </w:r>
    </w:p>
    <w:p w:rsidR="003E022D" w:rsidRDefault="007D19D6">
      <w:pPr>
        <w:rPr>
          <w:noProof/>
        </w:rPr>
      </w:pPr>
      <w:r>
        <w:rPr>
          <w:noProof/>
        </w:rPr>
        <w:t xml:space="preserve">Likums 22/2013, 26. februāris, </w:t>
      </w:r>
      <w:r>
        <w:rPr>
          <w:i/>
          <w:noProof/>
        </w:rPr>
        <w:t>alterada p/Lei 17/2017, 16 ma</w:t>
      </w:r>
      <w:r>
        <w:rPr>
          <w:i/>
          <w:noProof/>
        </w:rPr>
        <w:t>io, alterada pelo Decreto-Lei 52/2019, 17 abril.</w:t>
      </w:r>
      <w:r>
        <w:rPr>
          <w:noProof/>
        </w:rPr>
        <w:t xml:space="preserve"> </w:t>
      </w:r>
    </w:p>
    <w:p w:rsidR="003E022D" w:rsidRDefault="007D19D6">
      <w:pPr>
        <w:rPr>
          <w:i/>
          <w:noProof/>
        </w:rPr>
      </w:pPr>
      <w:r>
        <w:rPr>
          <w:b/>
          <w:i/>
          <w:noProof/>
        </w:rPr>
        <w:t>RO</w:t>
      </w:r>
      <w:r>
        <w:rPr>
          <w:i/>
          <w:noProof/>
        </w:rPr>
        <w:t xml:space="preserve">: Advokātu likums; </w:t>
      </w:r>
    </w:p>
    <w:p w:rsidR="003E022D" w:rsidRDefault="007D19D6">
      <w:pPr>
        <w:rPr>
          <w:i/>
          <w:noProof/>
        </w:rPr>
      </w:pPr>
      <w:r>
        <w:rPr>
          <w:i/>
          <w:noProof/>
        </w:rPr>
        <w:t xml:space="preserve">Mediācijas likums un </w:t>
      </w:r>
    </w:p>
    <w:p w:rsidR="003E022D" w:rsidRDefault="007D19D6">
      <w:pPr>
        <w:rPr>
          <w:i/>
          <w:noProof/>
        </w:rPr>
      </w:pPr>
      <w:r>
        <w:rPr>
          <w:i/>
          <w:noProof/>
        </w:rPr>
        <w:t xml:space="preserve">Notariāta un notāru darbības likums. </w:t>
      </w:r>
    </w:p>
    <w:p w:rsidR="003E022D" w:rsidRDefault="007D19D6">
      <w:pPr>
        <w:rPr>
          <w:i/>
          <w:noProof/>
        </w:rPr>
      </w:pPr>
      <w:r>
        <w:rPr>
          <w:b/>
          <w:i/>
          <w:noProof/>
        </w:rPr>
        <w:t>SE</w:t>
      </w:r>
      <w:r>
        <w:rPr>
          <w:i/>
          <w:noProof/>
        </w:rPr>
        <w:t>: Rättegångsbalken (Zviedrijas Tiesas procesa kodekss) (1942:740) un Zviedrijas Advokātu kolēģijas Rīcības kodekss, kas pi</w:t>
      </w:r>
      <w:r>
        <w:rPr>
          <w:i/>
          <w:noProof/>
        </w:rPr>
        <w:t xml:space="preserve">eņemts 2008. gada 29. augustā. </w:t>
      </w:r>
    </w:p>
    <w:p w:rsidR="003E022D" w:rsidRDefault="007D19D6">
      <w:pPr>
        <w:rPr>
          <w:i/>
          <w:noProof/>
        </w:rPr>
      </w:pPr>
      <w:r>
        <w:rPr>
          <w:b/>
          <w:i/>
          <w:noProof/>
        </w:rPr>
        <w:t>SI</w:t>
      </w:r>
      <w:r>
        <w:rPr>
          <w:i/>
          <w:noProof/>
        </w:rPr>
        <w:t xml:space="preserve">: Zakon o odvetništvu (Neuradno prečiščeno besedilo-ZOdv-NPB2 Državnega Zbora RS z dne 21.5.2009 (Advokātu likums), neoficiāls konsolidēts teksts, ko sagatavojis Slovēnijas Parlaments, 21.5.2009.). </w:t>
      </w:r>
    </w:p>
    <w:p w:rsidR="003E022D" w:rsidRDefault="007D19D6">
      <w:pPr>
        <w:rPr>
          <w:i/>
          <w:iCs/>
          <w:noProof/>
        </w:rPr>
      </w:pPr>
      <w:r>
        <w:rPr>
          <w:b/>
          <w:i/>
          <w:iCs/>
          <w:noProof/>
        </w:rPr>
        <w:t>SK</w:t>
      </w:r>
      <w:r>
        <w:rPr>
          <w:i/>
          <w:iCs/>
          <w:noProof/>
        </w:rPr>
        <w:t>: Likums 586/2003 par</w:t>
      </w:r>
      <w:r>
        <w:rPr>
          <w:i/>
          <w:iCs/>
          <w:noProof/>
        </w:rPr>
        <w:t xml:space="preserve"> Advokatūru, 2. un 12. pants. </w:t>
      </w:r>
    </w:p>
    <w:p w:rsidR="003E022D" w:rsidRDefault="007D19D6">
      <w:pPr>
        <w:rPr>
          <w:iCs/>
          <w:noProof/>
          <w:u w:val="single"/>
        </w:rPr>
      </w:pPr>
      <w:r>
        <w:rPr>
          <w:iCs/>
          <w:noProof/>
          <w:u w:val="single"/>
        </w:rPr>
        <w:t>Attiecībā uz ieguldījumu liberalizāciju – piekļuve tirgum, valsts režīms</w:t>
      </w:r>
    </w:p>
    <w:p w:rsidR="003E022D" w:rsidRDefault="007D19D6">
      <w:pPr>
        <w:rPr>
          <w:noProof/>
        </w:rPr>
      </w:pPr>
      <w:r>
        <w:rPr>
          <w:b/>
          <w:noProof/>
        </w:rPr>
        <w:t>PL:</w:t>
      </w:r>
      <w:r>
        <w:rPr>
          <w:noProof/>
        </w:rPr>
        <w:t xml:space="preserve"> ārvalstu advokāti var nodibināt tikai reģistrētu pilnsabiedrību, komandītsabiedrību vai akciju komandītsabiedrību. </w:t>
      </w:r>
    </w:p>
    <w:p w:rsidR="003E022D" w:rsidRDefault="007D19D6">
      <w:pPr>
        <w:rPr>
          <w:b/>
          <w:i/>
          <w:noProof/>
        </w:rPr>
      </w:pPr>
      <w:r>
        <w:rPr>
          <w:b/>
          <w:i/>
          <w:noProof/>
        </w:rPr>
        <w:t xml:space="preserve">Pasākumi </w:t>
      </w:r>
    </w:p>
    <w:p w:rsidR="003E022D" w:rsidRDefault="007D19D6">
      <w:pPr>
        <w:rPr>
          <w:i/>
          <w:noProof/>
        </w:rPr>
      </w:pPr>
      <w:r>
        <w:rPr>
          <w:b/>
          <w:i/>
          <w:noProof/>
        </w:rPr>
        <w:t>PL</w:t>
      </w:r>
      <w:r>
        <w:rPr>
          <w:i/>
          <w:noProof/>
        </w:rPr>
        <w:t>: 2002. gada 5. jūli</w:t>
      </w:r>
      <w:r>
        <w:rPr>
          <w:i/>
          <w:noProof/>
        </w:rPr>
        <w:t xml:space="preserve">ja Likums par ārvalstu advokātu tiesiskās palīdzības sniegšanu Polijas Republikā, 19. pants. </w:t>
      </w:r>
    </w:p>
    <w:p w:rsidR="003E022D" w:rsidRDefault="007D19D6">
      <w:pPr>
        <w:rPr>
          <w:noProof/>
          <w:u w:val="single"/>
        </w:rPr>
      </w:pPr>
      <w:r>
        <w:rPr>
          <w:noProof/>
          <w:u w:val="single"/>
        </w:rPr>
        <w:t>Attiecībā uz pakalpojumu pārrobežu tirdzniecību – piekļuve tirgum</w:t>
      </w:r>
    </w:p>
    <w:p w:rsidR="003E022D" w:rsidRDefault="007D19D6">
      <w:pPr>
        <w:rPr>
          <w:noProof/>
        </w:rPr>
      </w:pPr>
      <w:r>
        <w:rPr>
          <w:b/>
          <w:noProof/>
        </w:rPr>
        <w:t>IE un</w:t>
      </w:r>
      <w:r>
        <w:rPr>
          <w:noProof/>
        </w:rPr>
        <w:t xml:space="preserve"> </w:t>
      </w:r>
      <w:r>
        <w:rPr>
          <w:b/>
          <w:noProof/>
        </w:rPr>
        <w:t>IT</w:t>
      </w:r>
      <w:r>
        <w:rPr>
          <w:noProof/>
        </w:rPr>
        <w:t>: lai sniegtu juridiskus pakalpojumus saistībā ar piederības jurisdikcijas tiesībām, tos</w:t>
      </w:r>
      <w:r>
        <w:rPr>
          <w:noProof/>
        </w:rPr>
        <w:t xml:space="preserve">tarp nodrošinātu pārstāvību tiesās, ir jāizpilda prasība par dzīvesvietu (komerciālu klātbūtni). </w:t>
      </w:r>
    </w:p>
    <w:p w:rsidR="003E022D" w:rsidRDefault="007D19D6">
      <w:pPr>
        <w:rPr>
          <w:b/>
          <w:i/>
          <w:noProof/>
        </w:rPr>
      </w:pPr>
      <w:r>
        <w:rPr>
          <w:b/>
          <w:i/>
          <w:noProof/>
        </w:rPr>
        <w:t xml:space="preserve">Pasākumi </w:t>
      </w:r>
    </w:p>
    <w:p w:rsidR="003E022D" w:rsidRDefault="007D19D6">
      <w:pPr>
        <w:rPr>
          <w:i/>
          <w:noProof/>
        </w:rPr>
      </w:pPr>
      <w:r>
        <w:rPr>
          <w:b/>
          <w:i/>
          <w:noProof/>
        </w:rPr>
        <w:t>IE</w:t>
      </w:r>
      <w:r>
        <w:rPr>
          <w:i/>
          <w:noProof/>
        </w:rPr>
        <w:t xml:space="preserve">: 1954.–2011. gada Advokātu likumi. </w:t>
      </w:r>
    </w:p>
    <w:p w:rsidR="003E022D" w:rsidRDefault="007D19D6">
      <w:pPr>
        <w:rPr>
          <w:i/>
          <w:noProof/>
        </w:rPr>
      </w:pPr>
      <w:r>
        <w:rPr>
          <w:b/>
          <w:i/>
          <w:noProof/>
        </w:rPr>
        <w:t>IT</w:t>
      </w:r>
      <w:r>
        <w:rPr>
          <w:i/>
          <w:noProof/>
        </w:rPr>
        <w:t xml:space="preserve">: Karaļa Dekrēts 1578/1933, 17. pants, Likums par juridiskajām profesijām. </w:t>
      </w:r>
      <w:bookmarkEnd w:id="1003"/>
    </w:p>
    <w:p w:rsidR="003E022D" w:rsidRDefault="007D19D6">
      <w:pPr>
        <w:rPr>
          <w:b/>
          <w:i/>
          <w:noProof/>
        </w:rPr>
      </w:pPr>
      <w:bookmarkStart w:id="1004" w:name="_Toc452570602"/>
      <w:bookmarkStart w:id="1005" w:name="_Toc5371295"/>
      <w:r>
        <w:rPr>
          <w:b/>
          <w:i/>
          <w:noProof/>
        </w:rPr>
        <w:t xml:space="preserve">b) Patentu aģenti, rūpnieciskā </w:t>
      </w:r>
      <w:r>
        <w:rPr>
          <w:b/>
          <w:i/>
          <w:noProof/>
        </w:rPr>
        <w:t>īpašuma aģenti, intelektuālā īpašuma advokāti</w:t>
      </w:r>
      <w:bookmarkEnd w:id="1004"/>
      <w:r>
        <w:rPr>
          <w:b/>
          <w:i/>
          <w:noProof/>
        </w:rPr>
        <w:t xml:space="preserve"> (daļa no CPC 879, 861, 8613)</w:t>
      </w:r>
      <w:bookmarkEnd w:id="1005"/>
      <w:r>
        <w:rPr>
          <w:b/>
          <w:i/>
          <w:noProof/>
        </w:rPr>
        <w:t xml:space="preserve"> </w:t>
      </w:r>
    </w:p>
    <w:p w:rsidR="003E022D" w:rsidRDefault="007D19D6">
      <w:pPr>
        <w:rPr>
          <w:noProof/>
          <w:u w:val="single"/>
        </w:rPr>
      </w:pPr>
      <w:bookmarkStart w:id="1006" w:name="_Hlk3150905"/>
      <w:r>
        <w:rPr>
          <w:noProof/>
          <w:u w:val="single"/>
        </w:rPr>
        <w:t xml:space="preserve">Attiecībā uz investīciju liberalizāciju – piekļuve tirgum, valsts režīms un pakalpojumu pārrobežu tirdzniecība – klātbūtne uz vietas </w:t>
      </w:r>
      <w:bookmarkEnd w:id="1006"/>
    </w:p>
    <w:p w:rsidR="003E022D" w:rsidRDefault="007D19D6">
      <w:pPr>
        <w:rPr>
          <w:noProof/>
        </w:rPr>
      </w:pPr>
      <w:r>
        <w:rPr>
          <w:b/>
          <w:noProof/>
        </w:rPr>
        <w:t>BG</w:t>
      </w:r>
      <w:r>
        <w:rPr>
          <w:noProof/>
        </w:rPr>
        <w:t xml:space="preserve"> un </w:t>
      </w:r>
      <w:r>
        <w:rPr>
          <w:b/>
          <w:noProof/>
        </w:rPr>
        <w:t>CY</w:t>
      </w:r>
      <w:r>
        <w:rPr>
          <w:noProof/>
        </w:rPr>
        <w:t>: lai sniegtu patentu aģentūras pakalp</w:t>
      </w:r>
      <w:r>
        <w:rPr>
          <w:noProof/>
        </w:rPr>
        <w:t xml:space="preserve">ojumus, nepieciešama EEZ vai Šveices valstspiederība. </w:t>
      </w:r>
      <w:r>
        <w:rPr>
          <w:b/>
          <w:bCs/>
          <w:noProof/>
        </w:rPr>
        <w:t>CY</w:t>
      </w:r>
      <w:r>
        <w:rPr>
          <w:noProof/>
        </w:rPr>
        <w:t xml:space="preserve">: dzīvesvietas prasība. </w:t>
      </w:r>
    </w:p>
    <w:p w:rsidR="003E022D" w:rsidRDefault="007D19D6">
      <w:pPr>
        <w:rPr>
          <w:noProof/>
        </w:rPr>
      </w:pPr>
      <w:r>
        <w:rPr>
          <w:b/>
          <w:noProof/>
        </w:rPr>
        <w:t>DE</w:t>
      </w:r>
      <w:r>
        <w:rPr>
          <w:noProof/>
        </w:rPr>
        <w:t>: tikai patentu advokātus ar Vācijas kvalifikāciju var uzņemt advokātu kolēģijā, un tādējādi viņi kļūst tiesīgi sniegt patentu aģenta pakalpojumus Vācijā iekšzemes tiesību j</w:t>
      </w:r>
      <w:r>
        <w:rPr>
          <w:noProof/>
        </w:rPr>
        <w:t xml:space="preserve">omā. Ārvalstu patentu advokāti var piedāvāt juridiskos pakalpojumus ārvalstu tiesībās, ja pierāda, ka tiem ir speciālas zināšanas. Lai sniegtu juridiskos pakalpojumus Vācijā, ir jāreģistrējas. Ārvalstu patentu advokāti (izņemot advokātus ar EEZ un Šveices </w:t>
      </w:r>
      <w:r>
        <w:rPr>
          <w:noProof/>
        </w:rPr>
        <w:t xml:space="preserve">kvalifikāciju) nevar izveidot sabiedrību kopā ar valsts patentu advokātiem. </w:t>
      </w:r>
    </w:p>
    <w:p w:rsidR="003E022D" w:rsidRDefault="007D19D6">
      <w:pPr>
        <w:rPr>
          <w:noProof/>
        </w:rPr>
      </w:pPr>
      <w:r>
        <w:rPr>
          <w:noProof/>
        </w:rPr>
        <w:t xml:space="preserve">Ārvalstu patentu advokātu (izņemot EEZ un Šveices advokātus) komerciālā klātbūtne var būt vienīgi </w:t>
      </w:r>
      <w:r>
        <w:rPr>
          <w:i/>
          <w:noProof/>
        </w:rPr>
        <w:t>Patentanwalts-GmbH</w:t>
      </w:r>
      <w:r>
        <w:rPr>
          <w:noProof/>
        </w:rPr>
        <w:t xml:space="preserve"> vai </w:t>
      </w:r>
      <w:r>
        <w:rPr>
          <w:i/>
          <w:noProof/>
        </w:rPr>
        <w:t>Patentanwalt-AG</w:t>
      </w:r>
      <w:r>
        <w:rPr>
          <w:noProof/>
        </w:rPr>
        <w:t xml:space="preserve"> formā, un viņi var iegūt vienīgi kapitālda</w:t>
      </w:r>
      <w:r>
        <w:rPr>
          <w:noProof/>
        </w:rPr>
        <w:t xml:space="preserve">ļu mazākumu. </w:t>
      </w:r>
    </w:p>
    <w:p w:rsidR="003E022D" w:rsidRDefault="007D19D6">
      <w:pPr>
        <w:rPr>
          <w:noProof/>
        </w:rPr>
      </w:pPr>
      <w:r>
        <w:rPr>
          <w:b/>
          <w:bCs/>
          <w:noProof/>
        </w:rPr>
        <w:t xml:space="preserve">EE: </w:t>
      </w:r>
      <w:r>
        <w:rPr>
          <w:noProof/>
        </w:rPr>
        <w:t>lai sniegtu patentu aģentūras pakalpojumus, nepieciešama Igaunijas vai Eiropas Savienības valstspiederība, kā arī jāizpilda prasība par pastāvīgo dzīvesvietu.</w:t>
      </w:r>
    </w:p>
    <w:p w:rsidR="003E022D" w:rsidRDefault="007D19D6">
      <w:pPr>
        <w:rPr>
          <w:noProof/>
        </w:rPr>
      </w:pPr>
      <w:r>
        <w:rPr>
          <w:b/>
          <w:noProof/>
        </w:rPr>
        <w:t>ES</w:t>
      </w:r>
      <w:r>
        <w:rPr>
          <w:noProof/>
        </w:rPr>
        <w:t xml:space="preserve"> un </w:t>
      </w:r>
      <w:r>
        <w:rPr>
          <w:b/>
          <w:noProof/>
        </w:rPr>
        <w:t>PT</w:t>
      </w:r>
      <w:r>
        <w:rPr>
          <w:noProof/>
        </w:rPr>
        <w:t xml:space="preserve">: lai sniegtu rūpnieciskā īpašuma aģenta pakalpojumus, nepieciešama EEZ valstspiederība. </w:t>
      </w:r>
    </w:p>
    <w:p w:rsidR="003E022D" w:rsidRDefault="007D19D6">
      <w:pPr>
        <w:rPr>
          <w:noProof/>
        </w:rPr>
      </w:pPr>
      <w:r>
        <w:rPr>
          <w:b/>
          <w:noProof/>
        </w:rPr>
        <w:t xml:space="preserve"> FR: </w:t>
      </w:r>
      <w:r>
        <w:rPr>
          <w:noProof/>
        </w:rPr>
        <w:t>lai varētu reģistrēties rūpnieciskā īpašuma aģentu pakalpojumu sarakstā, jāveic darbība EEZ vai jābūt EEZ rezidentam. Fiziskām personām ir jābūt EEZ valstspieder</w:t>
      </w:r>
      <w:r>
        <w:rPr>
          <w:noProof/>
        </w:rPr>
        <w:t xml:space="preserve">ībai. Lai pārstāvētu klientu Nacionālā intelektuālā īpašuma birojā, ir jāveic darbība EEZ. Pakalpojumus var sniegt tikai ar </w:t>
      </w:r>
      <w:r>
        <w:rPr>
          <w:i/>
          <w:noProof/>
        </w:rPr>
        <w:t>SCP</w:t>
      </w:r>
      <w:r>
        <w:rPr>
          <w:noProof/>
        </w:rPr>
        <w:t xml:space="preserve"> (</w:t>
      </w:r>
      <w:r>
        <w:rPr>
          <w:i/>
          <w:noProof/>
        </w:rPr>
        <w:t>société civile professionnelle</w:t>
      </w:r>
      <w:r>
        <w:rPr>
          <w:noProof/>
        </w:rPr>
        <w:t xml:space="preserve">), </w:t>
      </w:r>
      <w:r>
        <w:rPr>
          <w:i/>
          <w:noProof/>
        </w:rPr>
        <w:t>SEL</w:t>
      </w:r>
      <w:r>
        <w:rPr>
          <w:noProof/>
        </w:rPr>
        <w:t xml:space="preserve"> (</w:t>
      </w:r>
      <w:r>
        <w:rPr>
          <w:i/>
          <w:noProof/>
        </w:rPr>
        <w:t>société d’exercice libéral</w:t>
      </w:r>
      <w:r>
        <w:rPr>
          <w:noProof/>
        </w:rPr>
        <w:t>) vai citas juridiskās formas starpniecību, ievērojot konkrētus</w:t>
      </w:r>
      <w:r>
        <w:rPr>
          <w:noProof/>
        </w:rPr>
        <w:t xml:space="preserve"> nosacījumus. Neatkarīgi no juridiskās formas EEZ profesionāļiem jābūt vairāk nekā pusei kapitāldaļu un balsstiesību. Advokātu biroji var būt tiesīgi sniegt rūpnieciskā īpašuma aģentu pakalpojumus (sk. atrunu par juridiskajiem pakalpojumiem).</w:t>
      </w:r>
    </w:p>
    <w:p w:rsidR="003E022D" w:rsidRDefault="007D19D6">
      <w:pPr>
        <w:rPr>
          <w:noProof/>
          <w:u w:val="single"/>
        </w:rPr>
      </w:pPr>
      <w:r>
        <w:rPr>
          <w:noProof/>
          <w:u w:val="single"/>
        </w:rPr>
        <w:t xml:space="preserve">Attiecībā uz </w:t>
      </w:r>
      <w:r>
        <w:rPr>
          <w:noProof/>
          <w:u w:val="single"/>
        </w:rPr>
        <w:t xml:space="preserve">pakalpojumu pārrobežu tirdzniecību – klātbūtne uz vietas </w:t>
      </w:r>
    </w:p>
    <w:p w:rsidR="003E022D" w:rsidRDefault="007D19D6">
      <w:pPr>
        <w:rPr>
          <w:noProof/>
        </w:rPr>
      </w:pPr>
      <w:r>
        <w:rPr>
          <w:b/>
          <w:noProof/>
        </w:rPr>
        <w:t>FI</w:t>
      </w:r>
      <w:r>
        <w:rPr>
          <w:noProof/>
        </w:rPr>
        <w:t xml:space="preserve"> un </w:t>
      </w:r>
      <w:r>
        <w:rPr>
          <w:b/>
          <w:noProof/>
        </w:rPr>
        <w:t>HU</w:t>
      </w:r>
      <w:r>
        <w:rPr>
          <w:noProof/>
        </w:rPr>
        <w:t>: lai sniegtu patentu aģentūras pakalpojumus, dzīvesvietai ir jābūt EEZ.</w:t>
      </w:r>
    </w:p>
    <w:p w:rsidR="003E022D" w:rsidRDefault="007D19D6">
      <w:pPr>
        <w:rPr>
          <w:noProof/>
        </w:rPr>
      </w:pPr>
      <w:r>
        <w:rPr>
          <w:b/>
          <w:noProof/>
        </w:rPr>
        <w:t>SI:</w:t>
      </w:r>
      <w:r>
        <w:rPr>
          <w:noProof/>
        </w:rPr>
        <w:t xml:space="preserve"> reģistrētu tiesību (patentu, preču zīmju, dizainparaugu aizsardzības) turētāja/pieteikuma iesniedzēja pastāvīgaja</w:t>
      </w:r>
      <w:r>
        <w:rPr>
          <w:noProof/>
        </w:rPr>
        <w:t xml:space="preserve">i dzīvesvietai jābūt Slovēnijā. Alternatīvs risinājums ir Slovēnijā reģistrēts patentu aģents vai preču zīmju un dizainparaugu aģents, kas galvenokārt nodrošinātu procesa pakalpojumus, sniegtu paziņojumus utt. </w:t>
      </w:r>
    </w:p>
    <w:p w:rsidR="003E022D" w:rsidRDefault="007D19D6">
      <w:pPr>
        <w:rPr>
          <w:b/>
          <w:i/>
          <w:noProof/>
        </w:rPr>
      </w:pPr>
      <w:r>
        <w:rPr>
          <w:b/>
          <w:i/>
          <w:noProof/>
        </w:rPr>
        <w:t>Pasākumi</w:t>
      </w:r>
    </w:p>
    <w:p w:rsidR="003E022D" w:rsidRDefault="007D19D6">
      <w:pPr>
        <w:rPr>
          <w:i/>
          <w:noProof/>
        </w:rPr>
      </w:pPr>
      <w:r>
        <w:rPr>
          <w:b/>
          <w:i/>
          <w:noProof/>
        </w:rPr>
        <w:t>BG</w:t>
      </w:r>
      <w:r>
        <w:rPr>
          <w:i/>
          <w:noProof/>
        </w:rPr>
        <w:t>: Rīkojums pārstāvjiem attiecībā u</w:t>
      </w:r>
      <w:r>
        <w:rPr>
          <w:i/>
          <w:noProof/>
        </w:rPr>
        <w:t xml:space="preserve">z intelektuālo īpašumu, 4. pants. </w:t>
      </w:r>
    </w:p>
    <w:p w:rsidR="003E022D" w:rsidRDefault="007D19D6">
      <w:pPr>
        <w:rPr>
          <w:i/>
          <w:noProof/>
        </w:rPr>
      </w:pPr>
      <w:r>
        <w:rPr>
          <w:b/>
          <w:i/>
          <w:noProof/>
        </w:rPr>
        <w:t>CY</w:t>
      </w:r>
      <w:r>
        <w:rPr>
          <w:i/>
          <w:noProof/>
        </w:rPr>
        <w:t xml:space="preserve">: Advokātu likums (2. nodaļa) , ar grozījumiem. </w:t>
      </w:r>
    </w:p>
    <w:p w:rsidR="003E022D" w:rsidRDefault="007D19D6">
      <w:pPr>
        <w:rPr>
          <w:i/>
          <w:noProof/>
        </w:rPr>
      </w:pPr>
      <w:r>
        <w:rPr>
          <w:b/>
          <w:i/>
          <w:noProof/>
        </w:rPr>
        <w:t>DE</w:t>
      </w:r>
      <w:r>
        <w:rPr>
          <w:i/>
          <w:noProof/>
        </w:rPr>
        <w:t xml:space="preserve">: Patentanwaltsordnung (PAO). </w:t>
      </w:r>
    </w:p>
    <w:p w:rsidR="003E022D" w:rsidRDefault="007D19D6">
      <w:pPr>
        <w:rPr>
          <w:i/>
          <w:noProof/>
        </w:rPr>
      </w:pPr>
      <w:r>
        <w:rPr>
          <w:b/>
          <w:i/>
          <w:noProof/>
        </w:rPr>
        <w:t>EE</w:t>
      </w:r>
      <w:r>
        <w:rPr>
          <w:i/>
          <w:noProof/>
        </w:rPr>
        <w:t xml:space="preserve">: Patendivoliniku seadus (Patentu aģentu likums) § 2, § 14. </w:t>
      </w:r>
    </w:p>
    <w:p w:rsidR="003E022D" w:rsidRDefault="007D19D6">
      <w:pPr>
        <w:rPr>
          <w:i/>
          <w:noProof/>
        </w:rPr>
      </w:pPr>
      <w:r>
        <w:rPr>
          <w:b/>
          <w:i/>
          <w:noProof/>
        </w:rPr>
        <w:t>ES</w:t>
      </w:r>
      <w:r>
        <w:rPr>
          <w:i/>
          <w:noProof/>
        </w:rPr>
        <w:t>: Ley 11/1986, de 20 de marzo, de Patentes de Invención y Modelos de uti</w:t>
      </w:r>
      <w:r>
        <w:rPr>
          <w:i/>
          <w:noProof/>
        </w:rPr>
        <w:t xml:space="preserve">lidad, 155.–157. pants. </w:t>
      </w:r>
    </w:p>
    <w:p w:rsidR="003E022D" w:rsidRDefault="007D19D6">
      <w:pPr>
        <w:rPr>
          <w:i/>
          <w:noProof/>
        </w:rPr>
      </w:pPr>
      <w:r>
        <w:rPr>
          <w:b/>
          <w:i/>
          <w:noProof/>
        </w:rPr>
        <w:t>FI</w:t>
      </w:r>
      <w:r>
        <w:rPr>
          <w:i/>
          <w:noProof/>
        </w:rPr>
        <w:t xml:space="preserve">: Tavaramerkkilaki (Preču zīmju likums) (7/1964); </w:t>
      </w:r>
    </w:p>
    <w:p w:rsidR="003E022D" w:rsidRDefault="007D19D6">
      <w:pPr>
        <w:rPr>
          <w:i/>
          <w:noProof/>
        </w:rPr>
      </w:pPr>
      <w:r>
        <w:rPr>
          <w:i/>
          <w:noProof/>
        </w:rPr>
        <w:t xml:space="preserve">Laki auktorisoiduista teollisoikeusasiamiehistä (Likums par pilnvarotiem rūpnieciskā īpašuma advokātiem (22/2014)) un </w:t>
      </w:r>
    </w:p>
    <w:p w:rsidR="003E022D" w:rsidRDefault="007D19D6">
      <w:pPr>
        <w:rPr>
          <w:i/>
          <w:noProof/>
        </w:rPr>
      </w:pPr>
      <w:r>
        <w:rPr>
          <w:i/>
          <w:noProof/>
        </w:rPr>
        <w:t xml:space="preserve">Laki kasvinjalostajanoikeudesta (Augu selekcionāru tiesību likums) 1279/2009; un Mallioikeuslaki (Reģistrēto dizainparaugu likums) 221/1971. </w:t>
      </w:r>
    </w:p>
    <w:p w:rsidR="003E022D" w:rsidRDefault="007D19D6">
      <w:pPr>
        <w:rPr>
          <w:i/>
          <w:noProof/>
        </w:rPr>
      </w:pPr>
      <w:r>
        <w:rPr>
          <w:b/>
          <w:i/>
          <w:noProof/>
        </w:rPr>
        <w:t>FR:</w:t>
      </w:r>
      <w:r>
        <w:rPr>
          <w:i/>
          <w:noProof/>
        </w:rPr>
        <w:t xml:space="preserve"> Code de la propriété intellectuelle.</w:t>
      </w:r>
    </w:p>
    <w:p w:rsidR="003E022D" w:rsidRDefault="007D19D6">
      <w:pPr>
        <w:rPr>
          <w:i/>
          <w:noProof/>
        </w:rPr>
      </w:pPr>
      <w:r>
        <w:rPr>
          <w:b/>
          <w:i/>
          <w:noProof/>
        </w:rPr>
        <w:t>HU</w:t>
      </w:r>
      <w:r>
        <w:rPr>
          <w:i/>
          <w:noProof/>
        </w:rPr>
        <w:t xml:space="preserve">: 1995. gada Likums Nr. XXXII par patentu advokātiem. </w:t>
      </w:r>
    </w:p>
    <w:p w:rsidR="003E022D" w:rsidRDefault="007D19D6">
      <w:pPr>
        <w:rPr>
          <w:i/>
          <w:noProof/>
        </w:rPr>
      </w:pPr>
      <w:r>
        <w:rPr>
          <w:b/>
          <w:i/>
          <w:noProof/>
        </w:rPr>
        <w:t>PT</w:t>
      </w:r>
      <w:r>
        <w:rPr>
          <w:i/>
          <w:noProof/>
        </w:rPr>
        <w:t>: Dekrētlikums</w:t>
      </w:r>
      <w:r>
        <w:rPr>
          <w:i/>
          <w:noProof/>
        </w:rPr>
        <w:t xml:space="preserve"> 15/95, kas grozīts ar Likumu 17/2010, ar Portaria 1200/2010, 5. pantu, un ar Portaria 239/2013; un Likums 9/2009. </w:t>
      </w:r>
    </w:p>
    <w:p w:rsidR="003E022D" w:rsidRDefault="007D19D6">
      <w:pPr>
        <w:rPr>
          <w:i/>
          <w:noProof/>
        </w:rPr>
      </w:pPr>
      <w:r>
        <w:rPr>
          <w:b/>
          <w:i/>
          <w:noProof/>
        </w:rPr>
        <w:t>SI</w:t>
      </w:r>
      <w:r>
        <w:rPr>
          <w:i/>
          <w:noProof/>
        </w:rPr>
        <w:t>: Zakon o industrijski lastnini (Rūpnieciskā īpašuma likums), Uradni list RS, št. 51/06 – uradno prečiščeno besedilo in 100/13 (Slovēnijas</w:t>
      </w:r>
      <w:r>
        <w:rPr>
          <w:i/>
          <w:noProof/>
        </w:rPr>
        <w:t xml:space="preserve"> Republikas oficiālais vēstnesis, Nr. 51/06 – oficiāls konsolidētais teksts un 100/13). </w:t>
      </w:r>
    </w:p>
    <w:p w:rsidR="003E022D" w:rsidRDefault="007D19D6">
      <w:pPr>
        <w:rPr>
          <w:noProof/>
          <w:u w:val="single"/>
        </w:rPr>
      </w:pPr>
      <w:r>
        <w:rPr>
          <w:noProof/>
          <w:u w:val="single"/>
        </w:rPr>
        <w:t xml:space="preserve">Attiecībā uz investīciju liberalizāciju – valsts režīms un pakalpojumu pārrobežu tirdzniecība – valsts režīms, klātbūtne uz vietas </w:t>
      </w:r>
    </w:p>
    <w:p w:rsidR="003E022D" w:rsidRDefault="007D19D6">
      <w:pPr>
        <w:rPr>
          <w:noProof/>
        </w:rPr>
      </w:pPr>
      <w:r>
        <w:rPr>
          <w:b/>
          <w:noProof/>
        </w:rPr>
        <w:t>IE</w:t>
      </w:r>
      <w:r>
        <w:rPr>
          <w:noProof/>
        </w:rPr>
        <w:t>: lai varētu nodibināt sabiedrību</w:t>
      </w:r>
      <w:r>
        <w:rPr>
          <w:noProof/>
        </w:rPr>
        <w:t>, vismaz vienam no sabiedrības direktoriem, partneriem, vadītājiem vai darbiniekiem jābūt reģistrētam kā patentu vai intelektuālā īpašuma tiesību advokātam Īrijā. Pārrobežu rakstura dēļ nepieciešama EEZ valstspiederība un komerciāla klātbūtne, galvenā darb</w:t>
      </w:r>
      <w:r>
        <w:rPr>
          <w:noProof/>
        </w:rPr>
        <w:t xml:space="preserve">ības vieta EEZ dalībvalstī un kvalifikācija, kas atbilst EEZ dalībvalsts tiesību aktiem. </w:t>
      </w:r>
    </w:p>
    <w:p w:rsidR="003E022D" w:rsidRDefault="007D19D6">
      <w:pPr>
        <w:rPr>
          <w:b/>
          <w:i/>
          <w:noProof/>
        </w:rPr>
      </w:pPr>
      <w:r>
        <w:rPr>
          <w:b/>
          <w:i/>
          <w:noProof/>
        </w:rPr>
        <w:t xml:space="preserve">Pasākumi </w:t>
      </w:r>
    </w:p>
    <w:p w:rsidR="003E022D" w:rsidRDefault="007D19D6">
      <w:pPr>
        <w:rPr>
          <w:noProof/>
        </w:rPr>
      </w:pPr>
      <w:r>
        <w:rPr>
          <w:b/>
          <w:noProof/>
        </w:rPr>
        <w:t>IE</w:t>
      </w:r>
      <w:r>
        <w:rPr>
          <w:noProof/>
        </w:rPr>
        <w:t xml:space="preserve">: 1996. gada Preču zīmju likuma 85. un 86. iedaļa , ar grozījumiem; </w:t>
      </w:r>
    </w:p>
    <w:p w:rsidR="003E022D" w:rsidRDefault="007D19D6">
      <w:pPr>
        <w:rPr>
          <w:noProof/>
        </w:rPr>
      </w:pPr>
      <w:r>
        <w:rPr>
          <w:noProof/>
        </w:rPr>
        <w:t>1996. gada Preču zīmju noteikumu 51., 51.A un 51.B noteikums, ar grozījumiem; 1992. g</w:t>
      </w:r>
      <w:r>
        <w:rPr>
          <w:noProof/>
        </w:rPr>
        <w:t xml:space="preserve">ada Patentu likuma 106. un 107. iedaļa, ar grozījumiem un Patentu aģentu noteikumu reģistrs S.I. 580, 2015. </w:t>
      </w:r>
    </w:p>
    <w:p w:rsidR="003E022D" w:rsidRDefault="007D19D6">
      <w:pPr>
        <w:rPr>
          <w:b/>
          <w:i/>
          <w:noProof/>
        </w:rPr>
      </w:pPr>
      <w:bookmarkStart w:id="1007" w:name="_Toc5371296"/>
      <w:r>
        <w:rPr>
          <w:b/>
          <w:i/>
          <w:noProof/>
        </w:rPr>
        <w:t>c)</w:t>
      </w:r>
      <w:r>
        <w:rPr>
          <w:noProof/>
        </w:rPr>
        <w:tab/>
      </w:r>
      <w:bookmarkStart w:id="1008" w:name="_Toc452570603"/>
      <w:bookmarkEnd w:id="1008"/>
      <w:r>
        <w:rPr>
          <w:b/>
          <w:i/>
          <w:noProof/>
        </w:rPr>
        <w:t>Grāmatvedības un uzskaites pakalpojumi (CPC 8621, izņemot revīzijas pakalpojumus, 86213, 86219, 86220)</w:t>
      </w:r>
      <w:bookmarkEnd w:id="1007"/>
      <w:r>
        <w:rPr>
          <w:b/>
          <w:i/>
          <w:noProof/>
        </w:rPr>
        <w:t xml:space="preserve"> </w:t>
      </w:r>
    </w:p>
    <w:p w:rsidR="003E022D" w:rsidRDefault="007D19D6">
      <w:pPr>
        <w:rPr>
          <w:noProof/>
          <w:u w:val="single"/>
        </w:rPr>
      </w:pPr>
      <w:r>
        <w:rPr>
          <w:noProof/>
          <w:u w:val="single"/>
        </w:rPr>
        <w:t xml:space="preserve">Attiecībā uz investīciju liberalizāciju </w:t>
      </w:r>
      <w:r>
        <w:rPr>
          <w:noProof/>
          <w:u w:val="single"/>
        </w:rPr>
        <w:t xml:space="preserve">– piekļuve tirgum, valsts režīms un pakalpojumu pārrobežu tirdzniecība – klātbūtne uz vietas </w:t>
      </w:r>
    </w:p>
    <w:p w:rsidR="003E022D" w:rsidRDefault="007D19D6">
      <w:pPr>
        <w:rPr>
          <w:noProof/>
        </w:rPr>
      </w:pPr>
      <w:r>
        <w:rPr>
          <w:b/>
          <w:noProof/>
        </w:rPr>
        <w:t>AT</w:t>
      </w:r>
      <w:r>
        <w:rPr>
          <w:noProof/>
        </w:rPr>
        <w:t>: ārvalstu grāmatvežiem, uzskaitvežiem, kas kvalificēti atbilstoši savas piederības valsts tiesību aktiem, kapitāldaļas un balsstiesības Austrijas uzņēmumā nedr</w:t>
      </w:r>
      <w:r>
        <w:rPr>
          <w:noProof/>
        </w:rPr>
        <w:t xml:space="preserve">īkst pārsniegt 25 procentus. Pakalpojumu sniedzējam ir vajadzīgs birojs vai profesionālās prakses vieta EEZ valstī (CPC 862). </w:t>
      </w:r>
    </w:p>
    <w:p w:rsidR="003E022D" w:rsidRDefault="007D19D6">
      <w:pPr>
        <w:rPr>
          <w:noProof/>
        </w:rPr>
      </w:pPr>
      <w:r>
        <w:rPr>
          <w:b/>
          <w:noProof/>
        </w:rPr>
        <w:t>FR</w:t>
      </w:r>
      <w:r>
        <w:rPr>
          <w:noProof/>
        </w:rPr>
        <w:t>: ir jāizpilda prasība par uzņēmējdarbības veikšanu vai dzīvesvietu. Pakalpojumus var sniegt ar jebkādas formas sabiedrības sta</w:t>
      </w:r>
      <w:r>
        <w:rPr>
          <w:noProof/>
        </w:rPr>
        <w:t xml:space="preserve">rpniecību, izņemot </w:t>
      </w:r>
      <w:r>
        <w:rPr>
          <w:i/>
          <w:noProof/>
        </w:rPr>
        <w:t>SNC</w:t>
      </w:r>
      <w:r>
        <w:rPr>
          <w:noProof/>
        </w:rPr>
        <w:t xml:space="preserve"> (</w:t>
      </w:r>
      <w:r>
        <w:rPr>
          <w:i/>
          <w:noProof/>
        </w:rPr>
        <w:t>Société en nom collectif</w:t>
      </w:r>
      <w:r>
        <w:rPr>
          <w:noProof/>
        </w:rPr>
        <w:t xml:space="preserve">) un </w:t>
      </w:r>
      <w:r>
        <w:rPr>
          <w:i/>
          <w:noProof/>
        </w:rPr>
        <w:t>SCS</w:t>
      </w:r>
      <w:r>
        <w:rPr>
          <w:noProof/>
        </w:rPr>
        <w:t xml:space="preserve"> (</w:t>
      </w:r>
      <w:r>
        <w:rPr>
          <w:i/>
          <w:noProof/>
        </w:rPr>
        <w:t>Société en commandite simple</w:t>
      </w:r>
      <w:r>
        <w:rPr>
          <w:noProof/>
        </w:rPr>
        <w:t xml:space="preserve">). Īpaši nosacījumi attiecas uz </w:t>
      </w:r>
      <w:r>
        <w:rPr>
          <w:i/>
          <w:noProof/>
        </w:rPr>
        <w:t>SEL</w:t>
      </w:r>
      <w:r>
        <w:rPr>
          <w:noProof/>
        </w:rPr>
        <w:t xml:space="preserve"> (</w:t>
      </w:r>
      <w:r>
        <w:rPr>
          <w:i/>
          <w:noProof/>
        </w:rPr>
        <w:t>sociétés d’exercice libéral</w:t>
      </w:r>
      <w:r>
        <w:rPr>
          <w:noProof/>
        </w:rPr>
        <w:t xml:space="preserve">), </w:t>
      </w:r>
      <w:r>
        <w:rPr>
          <w:i/>
          <w:noProof/>
        </w:rPr>
        <w:t>AGC</w:t>
      </w:r>
      <w:r>
        <w:rPr>
          <w:noProof/>
        </w:rPr>
        <w:t xml:space="preserve"> (</w:t>
      </w:r>
      <w:r>
        <w:rPr>
          <w:i/>
          <w:noProof/>
        </w:rPr>
        <w:t>Association de gestion et comptabilité</w:t>
      </w:r>
      <w:r>
        <w:rPr>
          <w:noProof/>
        </w:rPr>
        <w:t xml:space="preserve">) un </w:t>
      </w:r>
      <w:r>
        <w:rPr>
          <w:i/>
          <w:noProof/>
        </w:rPr>
        <w:t>SPE</w:t>
      </w:r>
      <w:r>
        <w:rPr>
          <w:noProof/>
        </w:rPr>
        <w:t xml:space="preserve"> (</w:t>
      </w:r>
      <w:r>
        <w:rPr>
          <w:i/>
          <w:noProof/>
        </w:rPr>
        <w:t>Société pluri-professionnelle d’exercice</w:t>
      </w:r>
      <w:r>
        <w:rPr>
          <w:noProof/>
        </w:rPr>
        <w:t>) (CPC 862</w:t>
      </w:r>
      <w:r>
        <w:rPr>
          <w:noProof/>
        </w:rPr>
        <w:t xml:space="preserve">13, 86219, 86220). </w:t>
      </w:r>
    </w:p>
    <w:p w:rsidR="003E022D" w:rsidRDefault="007D19D6">
      <w:pPr>
        <w:rPr>
          <w:noProof/>
        </w:rPr>
      </w:pPr>
      <w:r>
        <w:rPr>
          <w:b/>
          <w:noProof/>
        </w:rPr>
        <w:t>IT</w:t>
      </w:r>
      <w:r>
        <w:rPr>
          <w:noProof/>
        </w:rPr>
        <w:t xml:space="preserve">: iekļaušanai profesionālajā reģistrā, kas nepieciešama, lai varētu sniegt grāmatvedības un uzskaites pakalpojumus, ir vajadzīgs rezidenta statuss vai uzņēmuma domicils (CPC 86213, 86219, 86220). </w:t>
      </w:r>
    </w:p>
    <w:p w:rsidR="003E022D" w:rsidRDefault="007D19D6">
      <w:pPr>
        <w:rPr>
          <w:noProof/>
        </w:rPr>
      </w:pPr>
      <w:r>
        <w:rPr>
          <w:b/>
          <w:noProof/>
        </w:rPr>
        <w:t>PT</w:t>
      </w:r>
      <w:r>
        <w:rPr>
          <w:noProof/>
        </w:rPr>
        <w:t xml:space="preserve"> (attiecībā arī uz lielākās labvēlības režīmu): lai varētu sniegt grāmatvedības pakalpojumus, ir jāreģistrējas Sertificēto grāmatvežu kameras (</w:t>
      </w:r>
      <w:r>
        <w:rPr>
          <w:i/>
          <w:noProof/>
        </w:rPr>
        <w:t>Ordem dos Contabilistas Certificados</w:t>
      </w:r>
      <w:r>
        <w:rPr>
          <w:noProof/>
        </w:rPr>
        <w:t>) profesionālajā reģistrā ar nosacījumu, ka attiecībā uz Portugāles valstspie</w:t>
      </w:r>
      <w:r>
        <w:rPr>
          <w:noProof/>
        </w:rPr>
        <w:t xml:space="preserve">derīgajiem tiek piemērots ekvivalents režīms.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Wirtschaftstreuhandberufsgesetz (Valsts grāmatveža un revidenta profesijas likums, BGBl. </w:t>
      </w:r>
    </w:p>
    <w:p w:rsidR="003E022D" w:rsidRDefault="007D19D6">
      <w:pPr>
        <w:rPr>
          <w:i/>
          <w:noProof/>
        </w:rPr>
      </w:pPr>
      <w:r>
        <w:rPr>
          <w:i/>
          <w:noProof/>
        </w:rPr>
        <w:t xml:space="preserve">I Nr. 58/1999), § 12, § 65, § 67, § 68 (1) 4; un </w:t>
      </w:r>
    </w:p>
    <w:p w:rsidR="003E022D" w:rsidRDefault="007D19D6">
      <w:pPr>
        <w:rPr>
          <w:i/>
          <w:noProof/>
        </w:rPr>
      </w:pPr>
      <w:r>
        <w:rPr>
          <w:i/>
          <w:noProof/>
        </w:rPr>
        <w:t>Bilanzbuchhaltungsgesetz (BibuG), BGBL. I Nr. 191/2013</w:t>
      </w:r>
      <w:r>
        <w:rPr>
          <w:i/>
          <w:noProof/>
        </w:rPr>
        <w:t xml:space="preserve">, §§ 7, 11, 28. </w:t>
      </w:r>
    </w:p>
    <w:p w:rsidR="003E022D" w:rsidRDefault="007D19D6">
      <w:pPr>
        <w:rPr>
          <w:i/>
          <w:noProof/>
        </w:rPr>
      </w:pPr>
      <w:r>
        <w:rPr>
          <w:b/>
          <w:i/>
          <w:noProof/>
        </w:rPr>
        <w:t>FR</w:t>
      </w:r>
      <w:r>
        <w:rPr>
          <w:i/>
          <w:noProof/>
        </w:rPr>
        <w:t xml:space="preserve">: 1945. gada 19. septembra rīkojums 45-2138. </w:t>
      </w:r>
    </w:p>
    <w:p w:rsidR="003E022D" w:rsidRDefault="007D19D6">
      <w:pPr>
        <w:rPr>
          <w:i/>
          <w:noProof/>
        </w:rPr>
      </w:pPr>
      <w:r>
        <w:rPr>
          <w:b/>
          <w:i/>
          <w:noProof/>
        </w:rPr>
        <w:t>IT</w:t>
      </w:r>
      <w:r>
        <w:rPr>
          <w:i/>
          <w:noProof/>
        </w:rPr>
        <w:t xml:space="preserve">: Likumdošanas dekrēts 139/2005 un Likums 248/2006. </w:t>
      </w:r>
    </w:p>
    <w:p w:rsidR="003E022D" w:rsidRDefault="007D19D6">
      <w:pPr>
        <w:rPr>
          <w:i/>
          <w:noProof/>
        </w:rPr>
      </w:pPr>
      <w:r>
        <w:rPr>
          <w:b/>
          <w:i/>
          <w:noProof/>
        </w:rPr>
        <w:t>PT</w:t>
      </w:r>
      <w:r>
        <w:rPr>
          <w:i/>
          <w:noProof/>
        </w:rPr>
        <w:t>: Dekrētlikums Nr. 452/99, kas grozīts ar Likumu Nr. 139/2015, 7. septembris.</w:t>
      </w:r>
    </w:p>
    <w:p w:rsidR="003E022D" w:rsidRDefault="007D19D6">
      <w:pPr>
        <w:rPr>
          <w:noProof/>
          <w:u w:val="single"/>
        </w:rPr>
      </w:pPr>
      <w:r>
        <w:rPr>
          <w:noProof/>
          <w:u w:val="single"/>
        </w:rPr>
        <w:t xml:space="preserve">Attiecībā uz investīciju liberalizāciju – piekļuve tirgum un pakalpojumu pārrobežu tirdzniecība – piekļuve tirgum </w:t>
      </w:r>
    </w:p>
    <w:p w:rsidR="003E022D" w:rsidRDefault="007D19D6">
      <w:pPr>
        <w:rPr>
          <w:noProof/>
        </w:rPr>
      </w:pPr>
      <w:r>
        <w:rPr>
          <w:b/>
          <w:noProof/>
        </w:rPr>
        <w:t>CY</w:t>
      </w:r>
      <w:r>
        <w:rPr>
          <w:noProof/>
        </w:rPr>
        <w:t>: pakalpojumus var sniegt tikai fiziskas personas. Lai saņemtu atļauju, ir jāveic ekonomisko vajadzību pārbaude. Galvenie kritēriji: situāc</w:t>
      </w:r>
      <w:r>
        <w:rPr>
          <w:noProof/>
        </w:rPr>
        <w:t xml:space="preserve">ija apakšnozares nodarbinātības jomā. Fiziskām personām ir atļauts veidot profesionālās apvienības(pilnsabiedrības).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2017. gada Revidentu likums (Likums 53(I)/2017).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SI</w:t>
      </w:r>
      <w:r>
        <w:rPr>
          <w:noProof/>
        </w:rPr>
        <w:t>:</w:t>
      </w:r>
      <w:r>
        <w:rPr>
          <w:noProof/>
        </w:rPr>
        <w:t xml:space="preserve"> lai sniegtu grāmatvedības un uzskaites pakalpojumus, nepieciešams veikt uzņēmējdarbību Eiropas Savienībā (CPC 86213, 86219, 86220). </w:t>
      </w:r>
    </w:p>
    <w:p w:rsidR="003E022D" w:rsidRDefault="007D19D6">
      <w:pPr>
        <w:rPr>
          <w:b/>
          <w:i/>
          <w:noProof/>
        </w:rPr>
      </w:pPr>
      <w:r>
        <w:rPr>
          <w:b/>
          <w:i/>
          <w:noProof/>
        </w:rPr>
        <w:t xml:space="preserve">Pasākumi </w:t>
      </w:r>
    </w:p>
    <w:p w:rsidR="003E022D" w:rsidRDefault="007D19D6">
      <w:pPr>
        <w:rPr>
          <w:i/>
          <w:noProof/>
        </w:rPr>
      </w:pPr>
      <w:r>
        <w:rPr>
          <w:b/>
          <w:i/>
          <w:noProof/>
        </w:rPr>
        <w:t>SI</w:t>
      </w:r>
      <w:r>
        <w:rPr>
          <w:i/>
          <w:noProof/>
        </w:rPr>
        <w:t xml:space="preserve">: Likums par pakalpojumiem iekšējā tirgū, Official Gazette RS No 21/10. </w:t>
      </w:r>
    </w:p>
    <w:p w:rsidR="003E022D" w:rsidRDefault="007D19D6">
      <w:pPr>
        <w:rPr>
          <w:b/>
          <w:i/>
          <w:noProof/>
        </w:rPr>
      </w:pPr>
      <w:bookmarkStart w:id="1009" w:name="_Toc5371297"/>
      <w:r>
        <w:rPr>
          <w:b/>
          <w:i/>
          <w:noProof/>
        </w:rPr>
        <w:t xml:space="preserve">d) </w:t>
      </w:r>
      <w:r>
        <w:rPr>
          <w:noProof/>
        </w:rPr>
        <w:tab/>
      </w:r>
      <w:bookmarkStart w:id="1010" w:name="_Toc452570604"/>
      <w:r>
        <w:rPr>
          <w:b/>
          <w:i/>
          <w:noProof/>
        </w:rPr>
        <w:t>Revīzijas pakalpojumi</w:t>
      </w:r>
      <w:bookmarkEnd w:id="1010"/>
      <w:r>
        <w:rPr>
          <w:b/>
          <w:i/>
          <w:noProof/>
        </w:rPr>
        <w:t xml:space="preserve"> (CPC – 8621</w:t>
      </w:r>
      <w:r>
        <w:rPr>
          <w:b/>
          <w:i/>
          <w:noProof/>
        </w:rPr>
        <w:t>1, 86212, izņemot grāmatvedības un uzskaites pakalpojumus)</w:t>
      </w:r>
      <w:bookmarkEnd w:id="1009"/>
      <w:r>
        <w:rPr>
          <w:b/>
          <w:i/>
          <w:noProof/>
        </w:rPr>
        <w:t xml:space="preserve"> </w:t>
      </w:r>
    </w:p>
    <w:p w:rsidR="003E022D" w:rsidRDefault="007D19D6">
      <w:pPr>
        <w:rPr>
          <w:noProof/>
          <w:u w:val="single"/>
        </w:rPr>
      </w:pPr>
      <w:r>
        <w:rPr>
          <w:noProof/>
          <w:u w:val="single"/>
        </w:rPr>
        <w:t xml:space="preserve">Attiecībā uz ieguldījumu liberalizāciju – valsts režīms, lielākās labvēlības režīms un pakalpojumu pārrobežu tirdzniecība – valsts režīms, lielākās labvēlības režīms </w:t>
      </w:r>
    </w:p>
    <w:p w:rsidR="003E022D" w:rsidRDefault="007D19D6">
      <w:pPr>
        <w:rPr>
          <w:noProof/>
        </w:rPr>
      </w:pPr>
      <w:r>
        <w:rPr>
          <w:b/>
          <w:noProof/>
        </w:rPr>
        <w:t>EU</w:t>
      </w:r>
      <w:r>
        <w:rPr>
          <w:noProof/>
        </w:rPr>
        <w:t>: lai varētu sniegt obligāt</w:t>
      </w:r>
      <w:r>
        <w:rPr>
          <w:noProof/>
        </w:rPr>
        <w:t xml:space="preserve">os revīzijas pakalpojumus, ir vajadzīgs dalībvalsts kompetento iestāžu apstiprinājums, kas var atzīt tāda revidenta kvalifikāciju līdzvērtīgumu, kurš ir Apvienotās Karalistes valstspiederīgais vai jebkuras trešās valsts valstspiederīgais, uz kuru attiecas </w:t>
      </w:r>
      <w:r>
        <w:rPr>
          <w:noProof/>
        </w:rPr>
        <w:t xml:space="preserve">savstarpības princips (CPC 8621). </w:t>
      </w:r>
    </w:p>
    <w:p w:rsidR="003E022D" w:rsidRDefault="007D19D6">
      <w:pPr>
        <w:rPr>
          <w:b/>
          <w:i/>
          <w:noProof/>
        </w:rPr>
      </w:pPr>
      <w:r>
        <w:rPr>
          <w:b/>
          <w:i/>
          <w:noProof/>
        </w:rPr>
        <w:t xml:space="preserve">Pasākumi </w:t>
      </w:r>
    </w:p>
    <w:p w:rsidR="003E022D" w:rsidRDefault="007D19D6">
      <w:pPr>
        <w:rPr>
          <w:i/>
          <w:noProof/>
        </w:rPr>
      </w:pPr>
      <w:r>
        <w:rPr>
          <w:b/>
          <w:i/>
          <w:noProof/>
        </w:rPr>
        <w:t>EU</w:t>
      </w:r>
      <w:r>
        <w:rPr>
          <w:i/>
          <w:noProof/>
        </w:rPr>
        <w:t>: Eiropas Parlamenta un Padomes Direktīva 2013/34/ES (2013. gada 26. jūnijs) par noteiktu veidu uzņēmumu gada finanšu pārskatiem, konsolidētajiem finanšu pārskatiem un saistītiem ziņojumiem, ar ko groza Eiropa</w:t>
      </w:r>
      <w:r>
        <w:rPr>
          <w:i/>
          <w:noProof/>
        </w:rPr>
        <w:t xml:space="preserve">s Parlamenta un Padomes Direktīvu 2006/43/EK un atceļ Padomes Direktīvas 78/660/EEK un 83/349/EEK. Direktīva 2006/43/EK, ar ko paredz gada pārskatu un konsolidēto pārskatu obligātās revīzijas.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BG:</w:t>
      </w:r>
      <w:r>
        <w:rPr>
          <w:noProof/>
        </w:rPr>
        <w:t xml:space="preserve"> var piemērot nediskriminējošas prasības attiecībā uz juridisko formu.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Neatkarīgas finanšu revīzijas likums. </w:t>
      </w:r>
    </w:p>
    <w:p w:rsidR="003E022D" w:rsidRDefault="007D19D6">
      <w:pPr>
        <w:rPr>
          <w:noProof/>
          <w:u w:val="single"/>
        </w:rPr>
      </w:pPr>
      <w:r>
        <w:rPr>
          <w:noProof/>
          <w:u w:val="single"/>
        </w:rPr>
        <w:t>Attiecībā uz investīciju liberalizāciju – piekļuve tirgum, valsts režīms un pakalpojumu pārrobežu tirdzniecība – klātbūtne uz vieta</w:t>
      </w:r>
      <w:r>
        <w:rPr>
          <w:noProof/>
          <w:u w:val="single"/>
        </w:rPr>
        <w:t xml:space="preserve">s </w:t>
      </w:r>
    </w:p>
    <w:p w:rsidR="003E022D" w:rsidRDefault="007D19D6">
      <w:pPr>
        <w:rPr>
          <w:noProof/>
        </w:rPr>
      </w:pPr>
      <w:r>
        <w:rPr>
          <w:b/>
          <w:noProof/>
        </w:rPr>
        <w:t>AT</w:t>
      </w:r>
      <w:r>
        <w:rPr>
          <w:noProof/>
        </w:rPr>
        <w:t>: ārvalstu revidentiem, kas kvalificēti atbilstoši savas piederības valsts tiesību aktiem, kapitāldaļas un balsstiesības Austrijas uzņēmumā nedrīkst pārsniegt 25 procentus. Pakalpojumu sniedzējam ir vajadzīgs birojs vai profesionālās prakses vieta EEZ</w:t>
      </w:r>
      <w:r>
        <w:rPr>
          <w:noProof/>
        </w:rPr>
        <w:t xml:space="preserve"> valstī.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Wirtschaftstreuhandberufsgesetz (Valsts grāmatveža un revidenta profesijas likums, BGBl. </w:t>
      </w:r>
    </w:p>
    <w:p w:rsidR="003E022D" w:rsidRDefault="007D19D6">
      <w:pPr>
        <w:rPr>
          <w:i/>
          <w:noProof/>
        </w:rPr>
      </w:pPr>
      <w:r>
        <w:rPr>
          <w:i/>
          <w:noProof/>
        </w:rPr>
        <w:t xml:space="preserve">I Nr. 58/1999), § 12, § 65, § 67, § 68 (1) 4.  </w:t>
      </w:r>
    </w:p>
    <w:p w:rsidR="003E022D" w:rsidRDefault="007D19D6">
      <w:pPr>
        <w:rPr>
          <w:noProof/>
          <w:u w:val="single"/>
        </w:rPr>
      </w:pPr>
      <w:r>
        <w:rPr>
          <w:noProof/>
          <w:u w:val="single"/>
        </w:rPr>
        <w:t xml:space="preserve">Attiecībā uz investīciju liberalizāciju – piekļuve tirgum un pakalpojumu pārrobežu tirdzniecība – klātbūtne uz vietas </w:t>
      </w:r>
    </w:p>
    <w:p w:rsidR="003E022D" w:rsidRDefault="007D19D6">
      <w:pPr>
        <w:rPr>
          <w:noProof/>
        </w:rPr>
      </w:pPr>
      <w:r>
        <w:rPr>
          <w:b/>
          <w:noProof/>
        </w:rPr>
        <w:t>DK</w:t>
      </w:r>
      <w:r>
        <w:rPr>
          <w:noProof/>
        </w:rPr>
        <w:t>: lai varētu sniegt obligātos revīzijas pakalpojumus, revidentam jābūt apstiprinātam Dānijā. Lai saņemtu apstiprinājumu, ir vajadzīga d</w:t>
      </w:r>
      <w:r>
        <w:rPr>
          <w:noProof/>
        </w:rPr>
        <w:t>zīvesvieta EEZ dalībvalstī. Balsstiesības apstiprinātos revidentu un revīzijas uzņēmumos un revīzijas uzņēmumos, kas nav apstiprināti saskaņā ar regulu, ar kuru īsteno Eiropas Parlamenta un Padomes 2006. gada 17. maija Direktīvu 2006/43/EK, ar ko paredz ga</w:t>
      </w:r>
      <w:r>
        <w:rPr>
          <w:noProof/>
        </w:rPr>
        <w:t xml:space="preserve">da pārskatu un konsolidēto pārskatu obligātās revīzijas, kas pamatojas uz Līguma 54. panta 3. punkta g) apakšpunktu un attiecas uz obligātajām revīzijām, nedrīkst pārsniegt 10 % no balsstiesībām. </w:t>
      </w:r>
    </w:p>
    <w:p w:rsidR="003E022D" w:rsidRDefault="007D19D6">
      <w:pPr>
        <w:rPr>
          <w:noProof/>
        </w:rPr>
      </w:pPr>
      <w:r>
        <w:rPr>
          <w:b/>
          <w:noProof/>
        </w:rPr>
        <w:t>FR</w:t>
      </w:r>
      <w:r>
        <w:rPr>
          <w:noProof/>
        </w:rPr>
        <w:t xml:space="preserve"> (attiecībā arī uz lielākās labvēlības režīmu): attiecībā</w:t>
      </w:r>
      <w:r>
        <w:rPr>
          <w:noProof/>
        </w:rPr>
        <w:t xml:space="preserve"> uz obligāto revīziju ir jāizpilda uzņēmējdarbības veikšanas vai dzīvesvietas prasība. Apvienotās Karalistes valstspiederīgie var sniegt obligātos revīzijas pakalpojumus Francijā, ievērojot savstarpības principu. Pakalpojumus var sniegt ar jebkādas formas </w:t>
      </w:r>
      <w:r>
        <w:rPr>
          <w:noProof/>
        </w:rPr>
        <w:t xml:space="preserve">sabiedrības starpniecību, izņemot tās, kurās partneri tiek uzskatīti par tirgotājiem (“commerçants”), piemēram, </w:t>
      </w:r>
      <w:r>
        <w:rPr>
          <w:i/>
          <w:noProof/>
        </w:rPr>
        <w:t>SNC</w:t>
      </w:r>
      <w:r>
        <w:rPr>
          <w:noProof/>
        </w:rPr>
        <w:t xml:space="preserve"> (</w:t>
      </w:r>
      <w:r>
        <w:rPr>
          <w:i/>
          <w:noProof/>
        </w:rPr>
        <w:t>Société en nom collectif</w:t>
      </w:r>
      <w:r>
        <w:rPr>
          <w:noProof/>
        </w:rPr>
        <w:t xml:space="preserve">) un </w:t>
      </w:r>
      <w:r>
        <w:rPr>
          <w:i/>
          <w:noProof/>
        </w:rPr>
        <w:t>SCS</w:t>
      </w:r>
      <w:r>
        <w:rPr>
          <w:noProof/>
        </w:rPr>
        <w:t xml:space="preserve"> (</w:t>
      </w:r>
      <w:r>
        <w:rPr>
          <w:i/>
          <w:noProof/>
        </w:rPr>
        <w:t>Société en commandite simple</w:t>
      </w:r>
      <w:r>
        <w:rPr>
          <w:noProof/>
        </w:rPr>
        <w:t>).</w:t>
      </w:r>
    </w:p>
    <w:p w:rsidR="003E022D" w:rsidRDefault="007D19D6">
      <w:pPr>
        <w:rPr>
          <w:noProof/>
        </w:rPr>
      </w:pPr>
      <w:r>
        <w:rPr>
          <w:b/>
          <w:noProof/>
        </w:rPr>
        <w:t>PL:</w:t>
      </w:r>
      <w:r>
        <w:rPr>
          <w:noProof/>
        </w:rPr>
        <w:t xml:space="preserve"> lai sniegtu revīzijas pakalpojumus, nepieciešams veikt uzņēmējdarbību Eiropas Savienībā. </w:t>
      </w:r>
    </w:p>
    <w:p w:rsidR="003E022D" w:rsidRDefault="007D19D6">
      <w:pPr>
        <w:rPr>
          <w:noProof/>
        </w:rPr>
      </w:pPr>
      <w:r>
        <w:rPr>
          <w:noProof/>
        </w:rPr>
        <w:t xml:space="preserve">Piemēro prasības attiecībā uz juridisko formu. </w:t>
      </w:r>
    </w:p>
    <w:p w:rsidR="003E022D" w:rsidRDefault="007D19D6">
      <w:pPr>
        <w:rPr>
          <w:b/>
          <w:i/>
          <w:noProof/>
        </w:rPr>
      </w:pPr>
      <w:r>
        <w:rPr>
          <w:b/>
          <w:i/>
          <w:noProof/>
        </w:rPr>
        <w:t xml:space="preserve">Pasākumi </w:t>
      </w:r>
    </w:p>
    <w:p w:rsidR="003E022D" w:rsidRDefault="007D19D6">
      <w:pPr>
        <w:rPr>
          <w:i/>
          <w:noProof/>
        </w:rPr>
      </w:pPr>
      <w:r>
        <w:rPr>
          <w:b/>
          <w:i/>
          <w:noProof/>
        </w:rPr>
        <w:t>DK</w:t>
      </w:r>
      <w:r>
        <w:rPr>
          <w:i/>
          <w:noProof/>
        </w:rPr>
        <w:t>: Revisorloven (Dānijas Likums par apstiprinātiem revidentiem un revīzijas uzņēmumiem), 2008. gada 20. no</w:t>
      </w:r>
      <w:r>
        <w:rPr>
          <w:i/>
          <w:noProof/>
        </w:rPr>
        <w:t xml:space="preserve">vembra Likums Nr. 1287. </w:t>
      </w:r>
    </w:p>
    <w:p w:rsidR="003E022D" w:rsidRDefault="007D19D6">
      <w:pPr>
        <w:rPr>
          <w:i/>
          <w:noProof/>
        </w:rPr>
      </w:pPr>
      <w:r>
        <w:rPr>
          <w:b/>
          <w:i/>
          <w:noProof/>
        </w:rPr>
        <w:t>FR</w:t>
      </w:r>
      <w:r>
        <w:rPr>
          <w:i/>
          <w:noProof/>
        </w:rPr>
        <w:t>: Code de commerce.</w:t>
      </w:r>
    </w:p>
    <w:p w:rsidR="003E022D" w:rsidRDefault="007D19D6">
      <w:pPr>
        <w:rPr>
          <w:i/>
          <w:noProof/>
        </w:rPr>
      </w:pPr>
      <w:r>
        <w:rPr>
          <w:b/>
          <w:i/>
          <w:noProof/>
        </w:rPr>
        <w:t>PL</w:t>
      </w:r>
      <w:r>
        <w:rPr>
          <w:i/>
          <w:noProof/>
        </w:rPr>
        <w:t xml:space="preserve">: 2017. gada 11. maija Likums par obligātajiem revidentiem, revīzijas uzņēmumiem un publisko uzraudzību — Likumu krājums, 2017, 1089. poz. </w:t>
      </w:r>
    </w:p>
    <w:p w:rsidR="003E022D" w:rsidRDefault="007D19D6">
      <w:pPr>
        <w:rPr>
          <w:noProof/>
          <w:u w:val="single"/>
        </w:rPr>
      </w:pPr>
      <w:r>
        <w:rPr>
          <w:noProof/>
          <w:u w:val="single"/>
        </w:rPr>
        <w:t>Attiecībā uz investīciju liberalizāciju – piekļuve tirgum, valsts r</w:t>
      </w:r>
      <w:r>
        <w:rPr>
          <w:noProof/>
          <w:u w:val="single"/>
        </w:rPr>
        <w:t xml:space="preserve">ežīms un pakalpojumu pārrobežu tirdzniecība – piekļuve tirgum, valsts režīms </w:t>
      </w:r>
    </w:p>
    <w:p w:rsidR="003E022D" w:rsidRDefault="007D19D6">
      <w:pPr>
        <w:rPr>
          <w:noProof/>
        </w:rPr>
      </w:pPr>
      <w:r>
        <w:rPr>
          <w:b/>
          <w:noProof/>
        </w:rPr>
        <w:t>CY</w:t>
      </w:r>
      <w:r>
        <w:rPr>
          <w:noProof/>
        </w:rPr>
        <w:t>: pakalpojumus var sniegt tikai fiziskas personas. Lai saņemtu atļauju, ir jāveic ekonomisko vajadzību pārbaude. Galvenie kritēriji: situācija apakšnozares nodarbinātības jomā.</w:t>
      </w:r>
      <w:r>
        <w:rPr>
          <w:noProof/>
        </w:rPr>
        <w:t xml:space="preserve"> Fiziskām personām ir atļauts veidot profesionālās apvienības(pilnsabiedrības). </w:t>
      </w:r>
    </w:p>
    <w:p w:rsidR="003E022D" w:rsidRDefault="007D19D6">
      <w:pPr>
        <w:rPr>
          <w:noProof/>
        </w:rPr>
      </w:pPr>
      <w:r>
        <w:rPr>
          <w:b/>
          <w:noProof/>
        </w:rPr>
        <w:t>SK</w:t>
      </w:r>
      <w:r>
        <w:rPr>
          <w:noProof/>
        </w:rPr>
        <w:t>: tikai uzņēmumam, kurā vismaz 60 procenti līdzdalības kapitāla vai balsstiesību pieder Slovākijas vai citas dalībvalsts valstspiederīgajiem, var atļaut veikt revīzijas Slov</w:t>
      </w:r>
      <w:r>
        <w:rPr>
          <w:noProof/>
        </w:rPr>
        <w:t xml:space="preserve">ākijas Republikā.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2017. gada Revidentu likums (Likums 53(I)/2017). </w:t>
      </w:r>
    </w:p>
    <w:p w:rsidR="003E022D" w:rsidRDefault="007D19D6">
      <w:pPr>
        <w:rPr>
          <w:i/>
          <w:noProof/>
        </w:rPr>
      </w:pPr>
      <w:r>
        <w:rPr>
          <w:b/>
          <w:i/>
          <w:noProof/>
        </w:rPr>
        <w:t>SK</w:t>
      </w:r>
      <w:r>
        <w:rPr>
          <w:i/>
          <w:noProof/>
        </w:rPr>
        <w:t>: Likums Nr. 423/2015 par obligāto revīziju.</w:t>
      </w:r>
    </w:p>
    <w:p w:rsidR="003E022D" w:rsidRDefault="007D19D6">
      <w:pPr>
        <w:rPr>
          <w:noProof/>
          <w:u w:val="single"/>
        </w:rPr>
      </w:pPr>
      <w:r>
        <w:rPr>
          <w:noProof/>
          <w:u w:val="single"/>
        </w:rPr>
        <w:t>Attiecībā uz investīciju liberalizāciju – piekļuve tirgum, valsts režīms un pakalpojumu pārrobežu tirdzniecība – valsts režīms</w:t>
      </w:r>
      <w:r>
        <w:rPr>
          <w:noProof/>
          <w:u w:val="single"/>
        </w:rPr>
        <w:t xml:space="preserve">, klātbūtne uz vietas </w:t>
      </w:r>
    </w:p>
    <w:p w:rsidR="003E022D" w:rsidRDefault="007D19D6">
      <w:pPr>
        <w:rPr>
          <w:noProof/>
        </w:rPr>
      </w:pPr>
      <w:r>
        <w:rPr>
          <w:b/>
          <w:noProof/>
        </w:rPr>
        <w:t>DE</w:t>
      </w:r>
      <w:r>
        <w:rPr>
          <w:noProof/>
        </w:rPr>
        <w:t>: revīzijas uzņēmumiem (</w:t>
      </w:r>
      <w:r>
        <w:rPr>
          <w:i/>
          <w:noProof/>
        </w:rPr>
        <w:t>Wirtschaftsprüfungsgesellschaften</w:t>
      </w:r>
      <w:r>
        <w:rPr>
          <w:noProof/>
        </w:rPr>
        <w:t xml:space="preserve">) var būt tikai tāda juridiskā forma, kas ir pieņemama EEZ. Pilnsabiedrības un komerciālas komandītsabiedrības var tikt atzītas par </w:t>
      </w:r>
      <w:r>
        <w:rPr>
          <w:i/>
          <w:noProof/>
        </w:rPr>
        <w:t>Wirtschaftsprüfungsgesellschaften</w:t>
      </w:r>
      <w:r>
        <w:rPr>
          <w:noProof/>
        </w:rPr>
        <w:t xml:space="preserve"> tikai ta</w:t>
      </w:r>
      <w:r>
        <w:rPr>
          <w:noProof/>
        </w:rPr>
        <w:t xml:space="preserve">d, ja tās ir iekļautas komercreģistrā kā tirdzniecības partnerības, pamatojoties uz to fiduciārajām darbībām, </w:t>
      </w:r>
      <w:r>
        <w:rPr>
          <w:i/>
          <w:iCs/>
          <w:noProof/>
        </w:rPr>
        <w:t>WPO</w:t>
      </w:r>
      <w:r>
        <w:rPr>
          <w:noProof/>
        </w:rPr>
        <w:t xml:space="preserve"> 27. pants. Tomēr revidenti no trešām valstīm, kas reģistrēti atbilstoši </w:t>
      </w:r>
      <w:r>
        <w:rPr>
          <w:i/>
          <w:iCs/>
          <w:noProof/>
        </w:rPr>
        <w:t>WPO</w:t>
      </w:r>
      <w:r>
        <w:rPr>
          <w:noProof/>
        </w:rPr>
        <w:t xml:space="preserve"> 134. pantam, drīkst veikt gada fiskālo pārskatu obligāto revīziju </w:t>
      </w:r>
      <w:r>
        <w:rPr>
          <w:noProof/>
        </w:rPr>
        <w:t xml:space="preserve">vai iesniegt konsolidētos finanšu pārskatus par sabiedrībām, kuru galvenā mītne atrodas ārpus Savienības un kuru pārvedamie vērtspapīri tiek piedāvāti tirdzniecībai regulētā tirgū. </w:t>
      </w:r>
    </w:p>
    <w:p w:rsidR="003E022D" w:rsidRDefault="007D19D6">
      <w:pPr>
        <w:rPr>
          <w:b/>
          <w:i/>
          <w:noProof/>
        </w:rPr>
      </w:pPr>
      <w:r>
        <w:rPr>
          <w:b/>
          <w:i/>
          <w:noProof/>
        </w:rPr>
        <w:t>Pasākumi</w:t>
      </w:r>
    </w:p>
    <w:p w:rsidR="003E022D" w:rsidRDefault="007D19D6">
      <w:pPr>
        <w:rPr>
          <w:i/>
          <w:noProof/>
        </w:rPr>
      </w:pPr>
      <w:r>
        <w:rPr>
          <w:b/>
          <w:i/>
          <w:noProof/>
        </w:rPr>
        <w:t>DE</w:t>
      </w:r>
      <w:r>
        <w:rPr>
          <w:i/>
          <w:noProof/>
        </w:rPr>
        <w:t>: Handelsgesetzbuch (HGB; Komerctiesību kodekss);</w:t>
      </w:r>
    </w:p>
    <w:p w:rsidR="003E022D" w:rsidRDefault="007D19D6">
      <w:pPr>
        <w:rPr>
          <w:i/>
          <w:noProof/>
        </w:rPr>
      </w:pPr>
      <w:r>
        <w:rPr>
          <w:i/>
          <w:noProof/>
        </w:rPr>
        <w:t>Gesetz über e</w:t>
      </w:r>
      <w:r>
        <w:rPr>
          <w:i/>
          <w:noProof/>
        </w:rPr>
        <w:t>ine Berufsordnung der Wirtschaftsprüfer (Wirtschaftsprüferordnung - WPO; Valsts grāmatveža likums).</w:t>
      </w:r>
    </w:p>
    <w:p w:rsidR="003E022D" w:rsidRDefault="007D19D6">
      <w:pPr>
        <w:rPr>
          <w:noProof/>
          <w:u w:val="single"/>
        </w:rPr>
      </w:pPr>
      <w:r>
        <w:rPr>
          <w:noProof/>
          <w:u w:val="single"/>
        </w:rPr>
        <w:t xml:space="preserve">Attiecībā uz investīciju liberalizāciju – valsts režīms un pakalpojumu pārrobežu tirdzniecība – valsts režīms </w:t>
      </w:r>
    </w:p>
    <w:p w:rsidR="003E022D" w:rsidRDefault="007D19D6">
      <w:pPr>
        <w:rPr>
          <w:noProof/>
        </w:rPr>
      </w:pPr>
      <w:r>
        <w:rPr>
          <w:b/>
          <w:noProof/>
        </w:rPr>
        <w:t>ES</w:t>
      </w:r>
      <w:r>
        <w:rPr>
          <w:noProof/>
        </w:rPr>
        <w:t xml:space="preserve">: obligātajam revidentam jābūt dalībvalsts </w:t>
      </w:r>
      <w:r>
        <w:rPr>
          <w:noProof/>
        </w:rPr>
        <w:t xml:space="preserve">valstspiederīgajam. Šī atruna neattiecas uz tādu sabiedrību revidēšanu, kuras ir no valstīm ārpus Eiropas Savienības un kuras tiek kotētas Spānijas regulētajā tirgū. </w:t>
      </w:r>
    </w:p>
    <w:p w:rsidR="003E022D" w:rsidRDefault="007D19D6">
      <w:pPr>
        <w:rPr>
          <w:b/>
          <w:i/>
          <w:noProof/>
        </w:rPr>
      </w:pPr>
      <w:r>
        <w:rPr>
          <w:b/>
          <w:i/>
          <w:noProof/>
        </w:rPr>
        <w:t>Pasākumi</w:t>
      </w:r>
    </w:p>
    <w:p w:rsidR="003E022D" w:rsidRDefault="007D19D6">
      <w:pPr>
        <w:rPr>
          <w:i/>
          <w:noProof/>
        </w:rPr>
      </w:pPr>
      <w:r>
        <w:rPr>
          <w:b/>
          <w:i/>
          <w:noProof/>
        </w:rPr>
        <w:t>ES</w:t>
      </w:r>
      <w:r>
        <w:rPr>
          <w:i/>
          <w:noProof/>
        </w:rPr>
        <w:t>: Ley 22/2015, de 20 de julio, de Auditoría de Cuentas (jaunais Revīzijas liku</w:t>
      </w:r>
      <w:r>
        <w:rPr>
          <w:i/>
          <w:noProof/>
        </w:rPr>
        <w:t xml:space="preserve">ms: Likums Nr. 22/2015 par revīzijas pakalpojumiem). </w:t>
      </w:r>
    </w:p>
    <w:p w:rsidR="003E022D" w:rsidRDefault="007D19D6">
      <w:pPr>
        <w:rPr>
          <w:noProof/>
          <w:u w:val="single"/>
        </w:rPr>
      </w:pPr>
      <w:r>
        <w:rPr>
          <w:noProof/>
          <w:u w:val="single"/>
        </w:rPr>
        <w:t xml:space="preserve">Attiecībā uz investīciju liberalizāciju – piekļuve tirgum, valsts režīms </w:t>
      </w:r>
    </w:p>
    <w:p w:rsidR="003E022D" w:rsidRDefault="007D19D6">
      <w:pPr>
        <w:rPr>
          <w:noProof/>
        </w:rPr>
      </w:pPr>
      <w:r>
        <w:rPr>
          <w:b/>
          <w:noProof/>
        </w:rPr>
        <w:t>EE</w:t>
      </w:r>
      <w:r>
        <w:rPr>
          <w:noProof/>
        </w:rPr>
        <w:t>: piemēro prasības attiecībā uz juridisko formu. Balsu vairākums, ko pārstāv revīzijas uzņēmuma akcijas, pieder zvērinātiem re</w:t>
      </w:r>
      <w:r>
        <w:rPr>
          <w:noProof/>
        </w:rPr>
        <w:t>videntiem EEZ dalībvalsts kompetentās iestādes uzraudzībā, kuri ieguvuši kvalifikāciju EEZ dalībvalstī, vai revīzijas uzņēmumiem. Vismaz trīs ceturtdaļas personu, kas pārstāv revīzijas uzņēmumu, pamatojoties uz tiesību aktiem, ir ieguvušas kvalifikāciju EE</w:t>
      </w:r>
      <w:r>
        <w:rPr>
          <w:noProof/>
        </w:rPr>
        <w:t xml:space="preserve">Z dalībvalstī. </w:t>
      </w:r>
    </w:p>
    <w:p w:rsidR="003E022D" w:rsidRDefault="007D19D6">
      <w:pPr>
        <w:rPr>
          <w:b/>
          <w:i/>
          <w:noProof/>
        </w:rPr>
      </w:pPr>
      <w:r>
        <w:rPr>
          <w:b/>
          <w:i/>
          <w:noProof/>
        </w:rPr>
        <w:t xml:space="preserve">Pasākumi </w:t>
      </w:r>
    </w:p>
    <w:p w:rsidR="003E022D" w:rsidRDefault="007D19D6">
      <w:pPr>
        <w:rPr>
          <w:i/>
          <w:noProof/>
        </w:rPr>
      </w:pPr>
      <w:r>
        <w:rPr>
          <w:b/>
          <w:i/>
          <w:noProof/>
        </w:rPr>
        <w:t>EE</w:t>
      </w:r>
      <w:r>
        <w:rPr>
          <w:i/>
          <w:noProof/>
        </w:rPr>
        <w:t>: Revidentu darbības likums (Audiitortegevuse seadus), § 76-77.</w:t>
      </w:r>
    </w:p>
    <w:p w:rsidR="003E022D" w:rsidRDefault="007D19D6">
      <w:pPr>
        <w:rPr>
          <w:noProof/>
          <w:u w:val="single"/>
        </w:rPr>
      </w:pPr>
      <w:r>
        <w:rPr>
          <w:noProof/>
          <w:u w:val="single"/>
        </w:rPr>
        <w:t xml:space="preserve">Attiecībā uz investīciju liberalizāciju – valsts režīms, lielākās labvēlības režīms un pakalpojumu pārrobežu tirdzniecība – piekļuve tirgum </w:t>
      </w:r>
    </w:p>
    <w:p w:rsidR="003E022D" w:rsidRDefault="007D19D6">
      <w:pPr>
        <w:rPr>
          <w:noProof/>
        </w:rPr>
      </w:pPr>
      <w:r>
        <w:rPr>
          <w:b/>
          <w:noProof/>
        </w:rPr>
        <w:t>SI</w:t>
      </w:r>
      <w:r>
        <w:rPr>
          <w:noProof/>
        </w:rPr>
        <w:t>: jābūt komerciālai klātbūtnei. Trešās valsts revīzijas struktūra var būt kapitāldaļu turētājs vai veidot līgumsabiedrību Slovēnijā ar nosacījumu, ka saskaņā ar tās valsts tiesību aktiem, kurā trešās valsts revīzijas struktūra ir inkorporēta, Slovēnijas re</w:t>
      </w:r>
      <w:r>
        <w:rPr>
          <w:noProof/>
        </w:rPr>
        <w:t xml:space="preserve">vīzijas uzņēmumi var būt kapitāldaļu turētājs vai veidot revīzijas struktūru kā līgumsabiedrību minētajā valstī (savstarpības prasība). </w:t>
      </w:r>
    </w:p>
    <w:p w:rsidR="003E022D" w:rsidRDefault="007D19D6">
      <w:pPr>
        <w:rPr>
          <w:b/>
          <w:i/>
          <w:noProof/>
        </w:rPr>
      </w:pPr>
      <w:r>
        <w:rPr>
          <w:b/>
          <w:i/>
          <w:noProof/>
        </w:rPr>
        <w:t xml:space="preserve">Pasākumi </w:t>
      </w:r>
    </w:p>
    <w:p w:rsidR="003E022D" w:rsidRDefault="007D19D6">
      <w:pPr>
        <w:rPr>
          <w:i/>
          <w:noProof/>
        </w:rPr>
      </w:pPr>
      <w:r>
        <w:rPr>
          <w:b/>
          <w:i/>
          <w:noProof/>
        </w:rPr>
        <w:t>SI</w:t>
      </w:r>
      <w:r>
        <w:rPr>
          <w:i/>
          <w:noProof/>
        </w:rPr>
        <w:t>: Revīzijas likums (ZRev-2), Official Gazette RS No 65/2008 (ar jaunākajiem grozījumiem Nr. 84/18), un Uzņē</w:t>
      </w:r>
      <w:r>
        <w:rPr>
          <w:i/>
          <w:noProof/>
        </w:rPr>
        <w:t xml:space="preserve">mumu likums (ZGD-1), Official Gazette RS No 42/2006 (ar jaunākajiem grozījumiem Nr. 22/19 – ZPosS).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BE</w:t>
      </w:r>
      <w:r>
        <w:rPr>
          <w:noProof/>
        </w:rPr>
        <w:t>: jāveic uzņēmējdarbība Beļģijā, kur tiks veikta profesionālā darbība un kur tik</w:t>
      </w:r>
      <w:r>
        <w:rPr>
          <w:noProof/>
        </w:rPr>
        <w:t xml:space="preserve">s glabāti ar to saistītie akti, dokumenti un korespondence, un vismaz vienam uzņēmuma administratoram vai vadītājam jābūt apstiprinātam revidentam. </w:t>
      </w:r>
    </w:p>
    <w:p w:rsidR="003E022D" w:rsidRDefault="007D19D6">
      <w:pPr>
        <w:rPr>
          <w:noProof/>
        </w:rPr>
      </w:pPr>
      <w:r>
        <w:rPr>
          <w:b/>
          <w:noProof/>
        </w:rPr>
        <w:t>FI</w:t>
      </w:r>
      <w:r>
        <w:rPr>
          <w:noProof/>
        </w:rPr>
        <w:t>: vismaz vienam no revidentiem Somijas sabiedrībā ar ierobežotu atbildību un sabiedrībās, kam ir pienākum</w:t>
      </w:r>
      <w:r>
        <w:rPr>
          <w:noProof/>
        </w:rPr>
        <w:t xml:space="preserve">s veikt revīziju, jābūt EEZ rezidentam. Revidentam jābūt valstī licencētam revidentam vai valstī licencētam revīzijas uzņēmumam. </w:t>
      </w:r>
    </w:p>
    <w:p w:rsidR="003E022D" w:rsidRDefault="007D19D6">
      <w:pPr>
        <w:rPr>
          <w:noProof/>
        </w:rPr>
      </w:pPr>
      <w:r>
        <w:rPr>
          <w:b/>
          <w:noProof/>
        </w:rPr>
        <w:t>HR</w:t>
      </w:r>
      <w:r>
        <w:rPr>
          <w:noProof/>
        </w:rPr>
        <w:t>: revīzijas pakalpojumus var sniegt tikai juridiskas personas, kas veic uzņēmējdarbību Horvātijā, vai fiziskas personas, kur</w:t>
      </w:r>
      <w:r>
        <w:rPr>
          <w:noProof/>
        </w:rPr>
        <w:t xml:space="preserve">as ir Horvātijas rezidenti. </w:t>
      </w:r>
    </w:p>
    <w:p w:rsidR="003E022D" w:rsidRDefault="007D19D6">
      <w:pPr>
        <w:rPr>
          <w:noProof/>
        </w:rPr>
      </w:pPr>
      <w:r>
        <w:rPr>
          <w:b/>
          <w:noProof/>
        </w:rPr>
        <w:t>IT</w:t>
      </w:r>
      <w:r>
        <w:rPr>
          <w:noProof/>
        </w:rPr>
        <w:t xml:space="preserve">: lai fiziskas personas varētu sniegt revīzijas pakalpojumus, tām ir jāizpilda prasība par dzīvesvietu. </w:t>
      </w:r>
    </w:p>
    <w:p w:rsidR="003E022D" w:rsidRDefault="007D19D6">
      <w:pPr>
        <w:rPr>
          <w:noProof/>
        </w:rPr>
      </w:pPr>
      <w:r>
        <w:rPr>
          <w:b/>
          <w:noProof/>
        </w:rPr>
        <w:t>LT</w:t>
      </w:r>
      <w:r>
        <w:rPr>
          <w:noProof/>
        </w:rPr>
        <w:t xml:space="preserve">: lai sniegtu revīzijas pakalpojumus, jāveic uzņēmējdarbība EEZ. </w:t>
      </w:r>
    </w:p>
    <w:p w:rsidR="003E022D" w:rsidRDefault="007D19D6">
      <w:pPr>
        <w:rPr>
          <w:noProof/>
        </w:rPr>
      </w:pPr>
      <w:r>
        <w:rPr>
          <w:b/>
          <w:noProof/>
        </w:rPr>
        <w:t>SE</w:t>
      </w:r>
      <w:r>
        <w:rPr>
          <w:noProof/>
        </w:rPr>
        <w:t>: tikai Zviedrijā apstiprināti revidenti un Zviedr</w:t>
      </w:r>
      <w:r>
        <w:rPr>
          <w:noProof/>
        </w:rPr>
        <w:t>ijā reģistrēti revīzijas uzņēmumi var sniegt obligātās revīzijas pakalpojumus. Dzīvesvietai jābūt EEZ. Nosaukumu “apstiprināts revidents” un “pilnvarots revidents” var izmantot vienīgi Zviedrijā apstiprināti vai pilnvaroti revidenti. Saimnieciskās darbības</w:t>
      </w:r>
      <w:r>
        <w:rPr>
          <w:noProof/>
        </w:rPr>
        <w:t xml:space="preserve"> kooperatīvu un dažu citu uzņēmumu revidentiem, kuri nav sertificēti vai apstiprināti revidenti, jābūt EEZ rezidentiem, ja vien valdība vai valdības iecelta iestāde konkrētā gadījumā nelemj citādi. </w:t>
      </w:r>
    </w:p>
    <w:p w:rsidR="003E022D" w:rsidRDefault="007D19D6">
      <w:pPr>
        <w:rPr>
          <w:b/>
          <w:i/>
          <w:noProof/>
        </w:rPr>
      </w:pPr>
      <w:r>
        <w:rPr>
          <w:b/>
          <w:i/>
          <w:noProof/>
        </w:rPr>
        <w:t xml:space="preserve">Pasākumi </w:t>
      </w:r>
    </w:p>
    <w:p w:rsidR="003E022D" w:rsidRDefault="007D19D6">
      <w:pPr>
        <w:rPr>
          <w:i/>
          <w:noProof/>
        </w:rPr>
      </w:pPr>
      <w:r>
        <w:rPr>
          <w:b/>
          <w:i/>
          <w:noProof/>
        </w:rPr>
        <w:t>BE</w:t>
      </w:r>
      <w:r>
        <w:rPr>
          <w:i/>
          <w:noProof/>
        </w:rPr>
        <w:t>: 1953. gada 22. jūlija Likums, ar ko izveido</w:t>
      </w:r>
      <w:r>
        <w:rPr>
          <w:i/>
          <w:noProof/>
        </w:rPr>
        <w:t xml:space="preserve"> Uzņēmumu revidentu institūtu un organizē uzņēmumu revidenta profesijas publisko uzraudzību, saskaņots 2007. gada 30. aprīlī. </w:t>
      </w:r>
    </w:p>
    <w:p w:rsidR="003E022D" w:rsidRDefault="007D19D6">
      <w:pPr>
        <w:rPr>
          <w:i/>
          <w:noProof/>
        </w:rPr>
      </w:pPr>
      <w:r>
        <w:rPr>
          <w:i/>
          <w:noProof/>
        </w:rPr>
        <w:t xml:space="preserve">(Valsts grāmatveža profesijas likums). </w:t>
      </w:r>
    </w:p>
    <w:p w:rsidR="003E022D" w:rsidRDefault="007D19D6">
      <w:pPr>
        <w:rPr>
          <w:i/>
          <w:noProof/>
        </w:rPr>
      </w:pPr>
      <w:r>
        <w:rPr>
          <w:b/>
          <w:i/>
          <w:noProof/>
        </w:rPr>
        <w:t>FI</w:t>
      </w:r>
      <w:r>
        <w:rPr>
          <w:i/>
          <w:noProof/>
        </w:rPr>
        <w:t>: Tilintarkastuslaki (Revīzijas likums) (459/2007); nozaru likumi, kuros ir prasība izm</w:t>
      </w:r>
      <w:r>
        <w:rPr>
          <w:i/>
          <w:noProof/>
        </w:rPr>
        <w:t xml:space="preserve">antot vietējā līmenī licencētus revidentus. </w:t>
      </w:r>
    </w:p>
    <w:p w:rsidR="003E022D" w:rsidRDefault="007D19D6">
      <w:pPr>
        <w:rPr>
          <w:i/>
          <w:noProof/>
        </w:rPr>
      </w:pPr>
      <w:r>
        <w:rPr>
          <w:b/>
          <w:i/>
          <w:noProof/>
        </w:rPr>
        <w:t>HR</w:t>
      </w:r>
      <w:r>
        <w:rPr>
          <w:i/>
          <w:noProof/>
        </w:rPr>
        <w:t xml:space="preserve">: Revīzijas likums (OG 146/05, 139/08, 144/12), 3. pants. </w:t>
      </w:r>
    </w:p>
    <w:p w:rsidR="003E022D" w:rsidRDefault="007D19D6">
      <w:pPr>
        <w:rPr>
          <w:i/>
          <w:noProof/>
        </w:rPr>
      </w:pPr>
      <w:r>
        <w:rPr>
          <w:b/>
          <w:i/>
          <w:noProof/>
        </w:rPr>
        <w:t>IT</w:t>
      </w:r>
      <w:r>
        <w:rPr>
          <w:i/>
          <w:noProof/>
        </w:rPr>
        <w:t xml:space="preserve">: Likumdošanas dekrēts 58/1998, 155., 158. un 161. pants; </w:t>
      </w:r>
    </w:p>
    <w:p w:rsidR="003E022D" w:rsidRDefault="007D19D6">
      <w:pPr>
        <w:rPr>
          <w:i/>
          <w:noProof/>
        </w:rPr>
      </w:pPr>
      <w:r>
        <w:rPr>
          <w:i/>
          <w:noProof/>
        </w:rPr>
        <w:t xml:space="preserve">Republikas Prezidenta dekrēts 99/1998 un Likumdošanas dekrēts 39/2010, 2. pants. </w:t>
      </w:r>
    </w:p>
    <w:p w:rsidR="003E022D" w:rsidRDefault="007D19D6">
      <w:pPr>
        <w:rPr>
          <w:i/>
          <w:noProof/>
        </w:rPr>
      </w:pPr>
      <w:r>
        <w:rPr>
          <w:b/>
          <w:i/>
          <w:noProof/>
        </w:rPr>
        <w:t>LT</w:t>
      </w:r>
      <w:r>
        <w:rPr>
          <w:i/>
          <w:noProof/>
        </w:rPr>
        <w:t>: 199</w:t>
      </w:r>
      <w:r>
        <w:rPr>
          <w:i/>
          <w:noProof/>
        </w:rPr>
        <w:t xml:space="preserve">9. gada 15. jūnija Likums par revīziju Nr. VIII-1227 (2008. gada 3. jūlija jaunā redakcija Nr. X1676). </w:t>
      </w:r>
    </w:p>
    <w:p w:rsidR="003E022D" w:rsidRDefault="007D19D6">
      <w:pPr>
        <w:rPr>
          <w:i/>
          <w:noProof/>
        </w:rPr>
      </w:pPr>
      <w:r>
        <w:rPr>
          <w:b/>
          <w:i/>
          <w:noProof/>
        </w:rPr>
        <w:t>SE</w:t>
      </w:r>
      <w:r>
        <w:rPr>
          <w:i/>
          <w:noProof/>
        </w:rPr>
        <w:t xml:space="preserve">: Revisorslagen (Revidentu likums) (2001:883); </w:t>
      </w:r>
    </w:p>
    <w:p w:rsidR="003E022D" w:rsidRDefault="007D19D6">
      <w:pPr>
        <w:rPr>
          <w:i/>
          <w:noProof/>
        </w:rPr>
      </w:pPr>
      <w:r>
        <w:rPr>
          <w:i/>
          <w:noProof/>
        </w:rPr>
        <w:t xml:space="preserve">Revisionslag (Revīzijas likums) (1999:1079); </w:t>
      </w:r>
    </w:p>
    <w:p w:rsidR="003E022D" w:rsidRDefault="007D19D6">
      <w:pPr>
        <w:rPr>
          <w:i/>
          <w:noProof/>
        </w:rPr>
      </w:pPr>
      <w:r>
        <w:rPr>
          <w:i/>
          <w:noProof/>
        </w:rPr>
        <w:t xml:space="preserve">Aktiebolagslagen (Sabiedrību likums) (2005:551); </w:t>
      </w:r>
    </w:p>
    <w:p w:rsidR="003E022D" w:rsidRDefault="007D19D6">
      <w:pPr>
        <w:rPr>
          <w:i/>
          <w:noProof/>
        </w:rPr>
      </w:pPr>
      <w:r>
        <w:rPr>
          <w:i/>
          <w:noProof/>
        </w:rPr>
        <w:t>Lag om</w:t>
      </w:r>
      <w:r>
        <w:rPr>
          <w:i/>
          <w:noProof/>
        </w:rPr>
        <w:t xml:space="preserve"> ekonomiska föreningar (Saimnieciskas darbības kooperatīvu likums) (2018:672) un </w:t>
      </w:r>
    </w:p>
    <w:p w:rsidR="003E022D" w:rsidRDefault="007D19D6">
      <w:pPr>
        <w:rPr>
          <w:i/>
          <w:noProof/>
        </w:rPr>
      </w:pPr>
      <w:r>
        <w:rPr>
          <w:i/>
          <w:noProof/>
        </w:rPr>
        <w:t xml:space="preserve">citi likumi, kas reglamentē prasības par apstiprinātu revidentu izmantošanu. </w:t>
      </w:r>
    </w:p>
    <w:p w:rsidR="003E022D" w:rsidRDefault="007D19D6">
      <w:pPr>
        <w:rPr>
          <w:b/>
          <w:i/>
          <w:noProof/>
        </w:rPr>
      </w:pPr>
      <w:bookmarkStart w:id="1011" w:name="_Toc5371298"/>
      <w:r>
        <w:rPr>
          <w:b/>
          <w:i/>
          <w:noProof/>
        </w:rPr>
        <w:t>e)</w:t>
      </w:r>
      <w:r>
        <w:rPr>
          <w:noProof/>
        </w:rPr>
        <w:tab/>
      </w:r>
      <w:bookmarkStart w:id="1012" w:name="_Toc452570605"/>
      <w:bookmarkEnd w:id="1012"/>
      <w:r>
        <w:rPr>
          <w:b/>
          <w:i/>
          <w:noProof/>
        </w:rPr>
        <w:t>Nodokļu konsultāciju pakalpojumi (CPC 863, neietver juridisko konsultāciju un juridiskās pārs</w:t>
      </w:r>
      <w:r>
        <w:rPr>
          <w:b/>
          <w:i/>
          <w:noProof/>
        </w:rPr>
        <w:t>tāvības pakalpojumus nodokļu jautājumos, kas ietverti juridiskajos pakalpojumos)</w:t>
      </w:r>
      <w:bookmarkEnd w:id="1011"/>
      <w:r>
        <w:rPr>
          <w:b/>
          <w:i/>
          <w:noProof/>
        </w:rPr>
        <w:t xml:space="preserve"> </w:t>
      </w:r>
    </w:p>
    <w:p w:rsidR="003E022D" w:rsidRDefault="007D19D6">
      <w:pPr>
        <w:rPr>
          <w:noProof/>
          <w:u w:val="single"/>
        </w:rPr>
      </w:pPr>
      <w:r>
        <w:rPr>
          <w:noProof/>
          <w:u w:val="single"/>
        </w:rPr>
        <w:t>Attiecībā uz investīciju liberalizāciju – piekļuve tirgum, valsts režīms un pakalpojumu pārrobežu tirdzniecība – klātbūtne uz vietas</w:t>
      </w:r>
    </w:p>
    <w:p w:rsidR="003E022D" w:rsidRDefault="007D19D6">
      <w:pPr>
        <w:rPr>
          <w:noProof/>
        </w:rPr>
      </w:pPr>
      <w:r>
        <w:rPr>
          <w:b/>
          <w:noProof/>
        </w:rPr>
        <w:t>AT</w:t>
      </w:r>
      <w:r>
        <w:rPr>
          <w:noProof/>
        </w:rPr>
        <w:t>: ārvalstu nodokļu konsultantiem, kas k</w:t>
      </w:r>
      <w:r>
        <w:rPr>
          <w:noProof/>
        </w:rPr>
        <w:t xml:space="preserve">valificēti atbilstoši savas piederības valsts tiesību aktiem, kapitāldaļas un balsstiesības Austrijas uzņēmumā nedrīkst pārsniegt 25 procentus. Pakalpojumu sniedzējam ir vajadzīgs birojs vai profesionālās prakses vieta EEZ valstī.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Wirtschaftstreuhandberufsgesetz (Valsts grāmatveža un revidenta profesijas likums, BGBl. </w:t>
      </w:r>
    </w:p>
    <w:p w:rsidR="003E022D" w:rsidRDefault="007D19D6">
      <w:pPr>
        <w:rPr>
          <w:i/>
          <w:noProof/>
        </w:rPr>
      </w:pPr>
      <w:r>
        <w:rPr>
          <w:i/>
          <w:noProof/>
        </w:rPr>
        <w:t xml:space="preserve">I Nr. 58/1999), § 12, § 65, § 67, § 68 (1) 4. </w:t>
      </w:r>
    </w:p>
    <w:p w:rsidR="003E022D" w:rsidRDefault="007D19D6">
      <w:pPr>
        <w:rPr>
          <w:noProof/>
          <w:u w:val="single"/>
        </w:rPr>
      </w:pPr>
      <w:r>
        <w:rPr>
          <w:noProof/>
          <w:u w:val="single"/>
        </w:rPr>
        <w:t xml:space="preserve">Attiecībā uz investīciju liberalizāciju – piekļuve tirgum un pakalpojumu pārrobežu tirdzniecība – klātbūtne uz vietas </w:t>
      </w:r>
    </w:p>
    <w:p w:rsidR="003E022D" w:rsidRDefault="007D19D6">
      <w:pPr>
        <w:rPr>
          <w:noProof/>
        </w:rPr>
      </w:pPr>
      <w:r>
        <w:rPr>
          <w:b/>
          <w:noProof/>
        </w:rPr>
        <w:t>FR</w:t>
      </w:r>
      <w:r>
        <w:rPr>
          <w:noProof/>
        </w:rPr>
        <w:t>: ir jāizpilda prasība par uzņēmējdarbības veikšanu vai dzīvesvietu. Pakalpojumus var sniegt ar jebkādas formas sabiedrības starpniecīb</w:t>
      </w:r>
      <w:r>
        <w:rPr>
          <w:noProof/>
        </w:rPr>
        <w:t xml:space="preserve">u, izņemot </w:t>
      </w:r>
      <w:r>
        <w:rPr>
          <w:i/>
          <w:noProof/>
        </w:rPr>
        <w:t>SNC</w:t>
      </w:r>
      <w:r>
        <w:rPr>
          <w:noProof/>
        </w:rPr>
        <w:t xml:space="preserve"> (</w:t>
      </w:r>
      <w:r>
        <w:rPr>
          <w:i/>
          <w:noProof/>
        </w:rPr>
        <w:t>Société en nom collectif</w:t>
      </w:r>
      <w:r>
        <w:rPr>
          <w:noProof/>
        </w:rPr>
        <w:t xml:space="preserve">) un </w:t>
      </w:r>
      <w:r>
        <w:rPr>
          <w:i/>
          <w:noProof/>
        </w:rPr>
        <w:t>SCS</w:t>
      </w:r>
      <w:r>
        <w:rPr>
          <w:noProof/>
        </w:rPr>
        <w:t xml:space="preserve"> (</w:t>
      </w:r>
      <w:r>
        <w:rPr>
          <w:i/>
          <w:noProof/>
        </w:rPr>
        <w:t>Société en commandite simple</w:t>
      </w:r>
      <w:r>
        <w:rPr>
          <w:noProof/>
        </w:rPr>
        <w:t xml:space="preserve">). Īpaši nosacījumi attiecas uz </w:t>
      </w:r>
      <w:r>
        <w:rPr>
          <w:i/>
          <w:noProof/>
        </w:rPr>
        <w:t>SEL</w:t>
      </w:r>
      <w:r>
        <w:rPr>
          <w:noProof/>
        </w:rPr>
        <w:t xml:space="preserve"> (</w:t>
      </w:r>
      <w:r>
        <w:rPr>
          <w:i/>
          <w:noProof/>
        </w:rPr>
        <w:t>sociétés d’exercice libéral</w:t>
      </w:r>
      <w:r>
        <w:rPr>
          <w:noProof/>
        </w:rPr>
        <w:t xml:space="preserve">), </w:t>
      </w:r>
      <w:r>
        <w:rPr>
          <w:i/>
          <w:noProof/>
        </w:rPr>
        <w:t>AGC</w:t>
      </w:r>
      <w:r>
        <w:rPr>
          <w:noProof/>
        </w:rPr>
        <w:t xml:space="preserve"> (</w:t>
      </w:r>
      <w:r>
        <w:rPr>
          <w:i/>
          <w:noProof/>
        </w:rPr>
        <w:t>Association de gestion et comptabilité</w:t>
      </w:r>
      <w:r>
        <w:rPr>
          <w:noProof/>
        </w:rPr>
        <w:t xml:space="preserve">) un </w:t>
      </w:r>
      <w:r>
        <w:rPr>
          <w:i/>
          <w:noProof/>
        </w:rPr>
        <w:t>SPE</w:t>
      </w:r>
      <w:r>
        <w:rPr>
          <w:noProof/>
        </w:rPr>
        <w:t xml:space="preserve"> (</w:t>
      </w:r>
      <w:r>
        <w:rPr>
          <w:i/>
          <w:noProof/>
        </w:rPr>
        <w:t>Société pluri-professionnelle d’exercice</w:t>
      </w:r>
      <w:r>
        <w:rPr>
          <w:noProof/>
        </w:rPr>
        <w:t>).</w:t>
      </w:r>
    </w:p>
    <w:p w:rsidR="003E022D" w:rsidRDefault="007D19D6">
      <w:pPr>
        <w:rPr>
          <w:b/>
          <w:i/>
          <w:noProof/>
        </w:rPr>
      </w:pPr>
      <w:r>
        <w:rPr>
          <w:b/>
          <w:i/>
          <w:noProof/>
        </w:rPr>
        <w:t xml:space="preserve">Pasākumi </w:t>
      </w:r>
    </w:p>
    <w:p w:rsidR="003E022D" w:rsidRDefault="007D19D6">
      <w:pPr>
        <w:rPr>
          <w:i/>
          <w:noProof/>
        </w:rPr>
      </w:pPr>
      <w:r>
        <w:rPr>
          <w:b/>
          <w:i/>
          <w:noProof/>
        </w:rPr>
        <w:t>FR</w:t>
      </w:r>
      <w:r>
        <w:rPr>
          <w:i/>
          <w:noProof/>
        </w:rPr>
        <w:t>: 1</w:t>
      </w:r>
      <w:r>
        <w:rPr>
          <w:i/>
          <w:noProof/>
        </w:rPr>
        <w:t xml:space="preserve">945. gada 19. septembra rīkojums 45-2138. </w:t>
      </w:r>
    </w:p>
    <w:p w:rsidR="003E022D" w:rsidRDefault="007D19D6">
      <w:pPr>
        <w:rPr>
          <w:noProof/>
          <w:u w:val="single"/>
        </w:rPr>
      </w:pPr>
      <w:r>
        <w:rPr>
          <w:noProof/>
          <w:u w:val="single"/>
        </w:rPr>
        <w:t xml:space="preserve">Attiecībā uz investīciju liberalizāciju – valsts režīms un pakalpojumu pārrobežu tirdzniecība – valsts režīms </w:t>
      </w:r>
    </w:p>
    <w:p w:rsidR="003E022D" w:rsidRDefault="007D19D6">
      <w:pPr>
        <w:rPr>
          <w:noProof/>
        </w:rPr>
      </w:pPr>
      <w:r>
        <w:rPr>
          <w:b/>
          <w:noProof/>
        </w:rPr>
        <w:t>BG:</w:t>
      </w:r>
      <w:r>
        <w:rPr>
          <w:noProof/>
        </w:rPr>
        <w:t xml:space="preserve"> nodokļu konsultantiem ir jābūt dalībvalsts valstspiederīgajiem.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Grāmatvedības likum</w:t>
      </w:r>
      <w:r>
        <w:rPr>
          <w:i/>
          <w:noProof/>
        </w:rPr>
        <w:t xml:space="preserve">s; </w:t>
      </w:r>
    </w:p>
    <w:p w:rsidR="003E022D" w:rsidRDefault="007D19D6">
      <w:pPr>
        <w:rPr>
          <w:i/>
          <w:noProof/>
        </w:rPr>
      </w:pPr>
      <w:r>
        <w:rPr>
          <w:i/>
          <w:noProof/>
        </w:rPr>
        <w:t xml:space="preserve">Neatkarīgas finanšu revīzijas likums; Fizisko personu ienākuma nodokļa likums un Uzņēmumu ienākuma nodokļa likums. </w:t>
      </w:r>
    </w:p>
    <w:p w:rsidR="003E022D" w:rsidRDefault="007D19D6">
      <w:pPr>
        <w:rPr>
          <w:i/>
          <w:noProof/>
        </w:rPr>
      </w:pPr>
      <w:r>
        <w:rPr>
          <w:i/>
          <w:noProof/>
        </w:rPr>
        <w:t>Attiecībā uz investīciju liberalizāciju – piekļuve tirgum, valsts režīms un pakalpojumu pārrobežu tirdzniecība – piekļuve tirgum, valsts</w:t>
      </w:r>
      <w:r>
        <w:rPr>
          <w:i/>
          <w:noProof/>
        </w:rPr>
        <w:t xml:space="preserve"> režīms </w:t>
      </w:r>
    </w:p>
    <w:p w:rsidR="003E022D" w:rsidRDefault="007D19D6">
      <w:pPr>
        <w:rPr>
          <w:noProof/>
        </w:rPr>
      </w:pPr>
      <w:r>
        <w:rPr>
          <w:b/>
          <w:noProof/>
        </w:rPr>
        <w:t>CY</w:t>
      </w:r>
      <w:r>
        <w:rPr>
          <w:noProof/>
        </w:rPr>
        <w:t>: pakalpojumus var sniegt tikai fiziskas personas. Lai saņemtu atļauju, ir jāveic ekonomisko vajadzību pārbaude. Galvenie kritēriji: situācija apakšnozares nodarbinātības jomā. Fiziskām personām ir atļauts veidot profesionālās apvienības (pilnsa</w:t>
      </w:r>
      <w:r>
        <w:rPr>
          <w:noProof/>
        </w:rPr>
        <w:t xml:space="preserve">biedrības).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2017. gada Revidentu likums (Likums 53(I)/2017).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HU</w:t>
      </w:r>
      <w:r>
        <w:rPr>
          <w:noProof/>
        </w:rPr>
        <w:t>: nodokļu konsultāciju pakalpojumu sniedzējam, ciktāl pakalpojumus sniedz fiziska persona, kura atrodas Un</w:t>
      </w:r>
      <w:r>
        <w:rPr>
          <w:noProof/>
        </w:rPr>
        <w:t xml:space="preserve">gārijas teritorijā, ir jābūt EEZ rezidentam. </w:t>
      </w:r>
    </w:p>
    <w:p w:rsidR="003E022D" w:rsidRDefault="007D19D6">
      <w:pPr>
        <w:rPr>
          <w:noProof/>
        </w:rPr>
      </w:pPr>
      <w:r>
        <w:rPr>
          <w:b/>
          <w:noProof/>
        </w:rPr>
        <w:t>IT</w:t>
      </w:r>
      <w:r>
        <w:rPr>
          <w:noProof/>
        </w:rPr>
        <w:t xml:space="preserve">: jābūt rezidentam. </w:t>
      </w:r>
    </w:p>
    <w:p w:rsidR="003E022D" w:rsidRDefault="007D19D6">
      <w:pPr>
        <w:rPr>
          <w:b/>
          <w:i/>
          <w:noProof/>
        </w:rPr>
      </w:pPr>
      <w:r>
        <w:rPr>
          <w:b/>
          <w:i/>
          <w:noProof/>
        </w:rPr>
        <w:t xml:space="preserve">Pasākumi </w:t>
      </w:r>
    </w:p>
    <w:p w:rsidR="003E022D" w:rsidRDefault="007D19D6">
      <w:pPr>
        <w:rPr>
          <w:i/>
          <w:noProof/>
        </w:rPr>
      </w:pPr>
      <w:r>
        <w:rPr>
          <w:b/>
          <w:i/>
          <w:noProof/>
        </w:rPr>
        <w:t>HU</w:t>
      </w:r>
      <w:r>
        <w:rPr>
          <w:i/>
          <w:noProof/>
        </w:rPr>
        <w:t xml:space="preserve">: 2003. gada Likums XCII par nodokļu uzlikšanas noteikumiem un </w:t>
      </w:r>
    </w:p>
    <w:p w:rsidR="003E022D" w:rsidRDefault="007D19D6">
      <w:pPr>
        <w:rPr>
          <w:i/>
          <w:noProof/>
        </w:rPr>
      </w:pPr>
      <w:r>
        <w:rPr>
          <w:i/>
          <w:noProof/>
        </w:rPr>
        <w:t xml:space="preserve">Finanšu ministrijas Dekrēts Nr. 26/2008 par nodokļu konsultāciju darbību licencēšanu un reģistrāciju. </w:t>
      </w:r>
    </w:p>
    <w:p w:rsidR="003E022D" w:rsidRDefault="007D19D6">
      <w:pPr>
        <w:rPr>
          <w:i/>
          <w:noProof/>
        </w:rPr>
      </w:pPr>
      <w:r>
        <w:rPr>
          <w:b/>
          <w:i/>
          <w:noProof/>
        </w:rPr>
        <w:t>IT</w:t>
      </w:r>
      <w:r>
        <w:rPr>
          <w:i/>
          <w:noProof/>
        </w:rPr>
        <w:t>: Liku</w:t>
      </w:r>
      <w:r>
        <w:rPr>
          <w:i/>
          <w:noProof/>
        </w:rPr>
        <w:t xml:space="preserve">mdošanas dekrēts 139/2005 un Likums 248/2006. </w:t>
      </w:r>
    </w:p>
    <w:p w:rsidR="003E022D" w:rsidRDefault="007D19D6">
      <w:pPr>
        <w:rPr>
          <w:b/>
          <w:i/>
          <w:noProof/>
        </w:rPr>
      </w:pPr>
      <w:bookmarkStart w:id="1013" w:name="_Toc5371299"/>
      <w:r>
        <w:rPr>
          <w:b/>
          <w:i/>
          <w:noProof/>
        </w:rPr>
        <w:t>f)</w:t>
      </w:r>
      <w:r>
        <w:rPr>
          <w:noProof/>
        </w:rPr>
        <w:tab/>
      </w:r>
      <w:bookmarkStart w:id="1014" w:name="_Toc452570606"/>
      <w:r>
        <w:rPr>
          <w:b/>
          <w:i/>
          <w:noProof/>
        </w:rPr>
        <w:t>Arhitektūras un pilsētplānošanas pakalpojumi, inženiertehniskie pakalpojumi un integrētie inženiertehniskie pakalpojumi (CPC 8671, 8672, 8673, 8674)</w:t>
      </w:r>
      <w:bookmarkEnd w:id="1013"/>
      <w:bookmarkEnd w:id="1014"/>
      <w:r>
        <w:rPr>
          <w:b/>
          <w:i/>
          <w:noProof/>
        </w:rPr>
        <w:t xml:space="preserve">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FR</w:t>
      </w:r>
      <w:r>
        <w:rPr>
          <w:noProof/>
        </w:rPr>
        <w:t xml:space="preserve">: lai sniegtu arhitektūras pakalpojumus, arhitekts var veikt uzņēmējdarbību Francijā, izmantojot tikai šādas juridiskās formas (pamatojoties uz nediskriminācijas principu): </w:t>
      </w:r>
      <w:r>
        <w:rPr>
          <w:i/>
          <w:noProof/>
        </w:rPr>
        <w:t>SA et SARL</w:t>
      </w:r>
      <w:r>
        <w:rPr>
          <w:noProof/>
        </w:rPr>
        <w:t xml:space="preserve"> </w:t>
      </w:r>
      <w:r>
        <w:rPr>
          <w:i/>
          <w:noProof/>
        </w:rPr>
        <w:t>(sociétés a</w:t>
      </w:r>
      <w:r>
        <w:rPr>
          <w:i/>
          <w:noProof/>
        </w:rPr>
        <w:t>nonymes, à responsabilité limitée), EURL (Entreprise unipersonnelle à responsabilité limitée), SCP (en commandite par actions), SCOP (Société coopérative et participative), SELARL (société d'exercice libéral à responsabilité limitée), SELAFA (société d'exe</w:t>
      </w:r>
      <w:r>
        <w:rPr>
          <w:i/>
          <w:noProof/>
        </w:rPr>
        <w:t>rcice libéral à forme anonyme), SELAS (société d'exercice libéral)</w:t>
      </w:r>
      <w:r>
        <w:rPr>
          <w:noProof/>
        </w:rPr>
        <w:t xml:space="preserve"> vai S</w:t>
      </w:r>
      <w:r>
        <w:rPr>
          <w:i/>
          <w:noProof/>
        </w:rPr>
        <w:t>AS (Société par actions simplifiée),</w:t>
      </w:r>
      <w:r>
        <w:rPr>
          <w:noProof/>
        </w:rPr>
        <w:t xml:space="preserve"> vai kā privātpersona, vai kā partneris arhitektu birojā (CPC 8671). </w:t>
      </w:r>
    </w:p>
    <w:p w:rsidR="003E022D" w:rsidRDefault="007D19D6">
      <w:pPr>
        <w:rPr>
          <w:b/>
          <w:i/>
          <w:noProof/>
        </w:rPr>
      </w:pPr>
      <w:r>
        <w:rPr>
          <w:b/>
          <w:i/>
          <w:noProof/>
        </w:rPr>
        <w:t xml:space="preserve">Pasākumi </w:t>
      </w:r>
    </w:p>
    <w:p w:rsidR="003E022D" w:rsidRDefault="007D19D6">
      <w:pPr>
        <w:rPr>
          <w:i/>
          <w:noProof/>
        </w:rPr>
      </w:pPr>
      <w:r>
        <w:rPr>
          <w:b/>
          <w:i/>
          <w:noProof/>
        </w:rPr>
        <w:t>FR</w:t>
      </w:r>
      <w:r>
        <w:rPr>
          <w:i/>
          <w:noProof/>
        </w:rPr>
        <w:t>: Loi 90-1258 relative à l'exercice sous forme de société des prof</w:t>
      </w:r>
      <w:r>
        <w:rPr>
          <w:i/>
          <w:noProof/>
        </w:rPr>
        <w:t xml:space="preserve">essions libérales; Décret 95-129 du 2 février 1995 relatif à l'exercice en commun de la profession d'architecte sous forme de société en participation; </w:t>
      </w:r>
    </w:p>
    <w:p w:rsidR="003E022D" w:rsidRDefault="007D19D6">
      <w:pPr>
        <w:rPr>
          <w:i/>
          <w:noProof/>
        </w:rPr>
      </w:pPr>
      <w:r>
        <w:rPr>
          <w:i/>
          <w:noProof/>
        </w:rPr>
        <w:t xml:space="preserve"> Décret 92-619 du 6 juillet 1992 relatif à l'exercice en commun de la profession d'architecte sous form</w:t>
      </w:r>
      <w:r>
        <w:rPr>
          <w:i/>
          <w:noProof/>
        </w:rPr>
        <w:t xml:space="preserve">e de société d'exercice libéral à responsabilité limitée SELARL, société d'exercice libéral à forme anonyme SELAFA, société d'exercice libéral en commandite par actions SELCA; un Loi 77-2 du 3 janvier 1977. </w:t>
      </w:r>
    </w:p>
    <w:p w:rsidR="003E022D" w:rsidRDefault="007D19D6">
      <w:pPr>
        <w:rPr>
          <w:noProof/>
          <w:u w:val="single"/>
        </w:rPr>
      </w:pPr>
      <w:r>
        <w:rPr>
          <w:noProof/>
          <w:u w:val="single"/>
        </w:rPr>
        <w:t>Attiecībā uz investīciju liberalizāciju – piekļu</w:t>
      </w:r>
      <w:r>
        <w:rPr>
          <w:noProof/>
          <w:u w:val="single"/>
        </w:rPr>
        <w:t xml:space="preserve">ve tirgum, valsts režīms un pakalpojumu pārrobežu tirdzniecība – piekļuve tirgum, valsts režīms </w:t>
      </w:r>
    </w:p>
    <w:p w:rsidR="003E022D" w:rsidRDefault="007D19D6">
      <w:pPr>
        <w:rPr>
          <w:noProof/>
        </w:rPr>
      </w:pPr>
      <w:r>
        <w:rPr>
          <w:b/>
          <w:noProof/>
        </w:rPr>
        <w:t>BG:</w:t>
      </w:r>
      <w:r>
        <w:rPr>
          <w:noProof/>
        </w:rPr>
        <w:t xml:space="preserve"> lai fiziskas personas varētu sniegt arhitektūras, pilsētplānošanas un inženiertehniskos pakalpojumus, ir vajadzīga dzīvesvieta EEZ dalībvalstī vai Šveices </w:t>
      </w:r>
      <w:r>
        <w:rPr>
          <w:noProof/>
        </w:rPr>
        <w:t xml:space="preserve">Konfederācijā.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Teritorijas attīstības likums; </w:t>
      </w:r>
    </w:p>
    <w:p w:rsidR="003E022D" w:rsidRDefault="007D19D6">
      <w:pPr>
        <w:rPr>
          <w:i/>
          <w:noProof/>
        </w:rPr>
      </w:pPr>
      <w:r>
        <w:rPr>
          <w:i/>
          <w:noProof/>
        </w:rPr>
        <w:t xml:space="preserve">Būvnieku kameras likums un </w:t>
      </w:r>
    </w:p>
    <w:p w:rsidR="003E022D" w:rsidRDefault="007D19D6">
      <w:pPr>
        <w:rPr>
          <w:i/>
          <w:noProof/>
        </w:rPr>
      </w:pPr>
      <w:r>
        <w:rPr>
          <w:i/>
          <w:noProof/>
        </w:rPr>
        <w:t xml:space="preserve">Likums par Arhitektu un inženieru kamerām saistībā ar Projektu izstrādi. </w:t>
      </w:r>
    </w:p>
    <w:p w:rsidR="003E022D" w:rsidRDefault="007D19D6">
      <w:pPr>
        <w:rPr>
          <w:noProof/>
          <w:u w:val="single"/>
        </w:rPr>
      </w:pPr>
      <w:r>
        <w:rPr>
          <w:noProof/>
          <w:u w:val="single"/>
        </w:rPr>
        <w:t xml:space="preserve">Attiecībā uz investīciju liberalizāciju – valsts režīms un pakalpojumu pārrobežu tirdzniecība – valsts režīms </w:t>
      </w:r>
    </w:p>
    <w:p w:rsidR="003E022D" w:rsidRDefault="007D19D6">
      <w:pPr>
        <w:rPr>
          <w:noProof/>
        </w:rPr>
      </w:pPr>
      <w:r>
        <w:rPr>
          <w:b/>
          <w:noProof/>
        </w:rPr>
        <w:t>HR</w:t>
      </w:r>
      <w:r>
        <w:rPr>
          <w:noProof/>
        </w:rPr>
        <w:t>: pilnvarotai fiziskai vai juridiskai personai Horvātijā jāapstiprina ārvalstu arhitekta, inženiera vai pilsētplānotāja izstrādāta dizainparaug</w:t>
      </w:r>
      <w:r>
        <w:rPr>
          <w:noProof/>
        </w:rPr>
        <w:t xml:space="preserve">a vai projekta atbilstība Horvātijas tiesību aktiem (CPC 8671, 8672, 8673, 8674).  </w:t>
      </w:r>
    </w:p>
    <w:p w:rsidR="003E022D" w:rsidRDefault="007D19D6">
      <w:pPr>
        <w:rPr>
          <w:b/>
          <w:i/>
          <w:noProof/>
        </w:rPr>
      </w:pPr>
      <w:r>
        <w:rPr>
          <w:b/>
          <w:i/>
          <w:noProof/>
        </w:rPr>
        <w:t xml:space="preserve">Pasākumi </w:t>
      </w:r>
    </w:p>
    <w:p w:rsidR="003E022D" w:rsidRDefault="007D19D6">
      <w:pPr>
        <w:rPr>
          <w:i/>
          <w:noProof/>
        </w:rPr>
      </w:pPr>
      <w:r>
        <w:rPr>
          <w:b/>
          <w:i/>
          <w:noProof/>
        </w:rPr>
        <w:t xml:space="preserve">HR: </w:t>
      </w:r>
      <w:r>
        <w:rPr>
          <w:i/>
          <w:noProof/>
        </w:rPr>
        <w:t>Likums par fizisko plānošanu un būvdarbiem (OG 118/18, 110/19);</w:t>
      </w:r>
    </w:p>
    <w:p w:rsidR="003E022D" w:rsidRDefault="007D19D6">
      <w:pPr>
        <w:rPr>
          <w:i/>
          <w:noProof/>
        </w:rPr>
      </w:pPr>
      <w:r>
        <w:rPr>
          <w:i/>
          <w:noProof/>
        </w:rPr>
        <w:t xml:space="preserve">Fiziskās plānošanas likums (OG 153/13, 39/19). </w:t>
      </w:r>
    </w:p>
    <w:p w:rsidR="003E022D" w:rsidRDefault="007D19D6">
      <w:pPr>
        <w:rPr>
          <w:noProof/>
          <w:u w:val="single"/>
        </w:rPr>
      </w:pPr>
      <w:r>
        <w:rPr>
          <w:noProof/>
          <w:u w:val="single"/>
        </w:rPr>
        <w:t>Attiecībā uz investīciju liberalizāciju – piek</w:t>
      </w:r>
      <w:r>
        <w:rPr>
          <w:noProof/>
          <w:u w:val="single"/>
        </w:rPr>
        <w:t xml:space="preserve">ļuve tirgum, valsts režīms un pakalpojumu pārrobežu tirdzniecība – valsts režīms, klātbūtne uz vietas </w:t>
      </w:r>
    </w:p>
    <w:p w:rsidR="003E022D" w:rsidRDefault="007D19D6">
      <w:pPr>
        <w:rPr>
          <w:noProof/>
        </w:rPr>
      </w:pPr>
      <w:r>
        <w:rPr>
          <w:b/>
          <w:noProof/>
        </w:rPr>
        <w:t>CY</w:t>
      </w:r>
      <w:r>
        <w:rPr>
          <w:noProof/>
        </w:rPr>
        <w:t>: uz arhitektūras un pilsētplānošanas pakalpojumiem, inženiertehniskajiem un integrētajiem inženiertehniskajiem pakalpojumiem attiecas nosacījums par v</w:t>
      </w:r>
      <w:r>
        <w:rPr>
          <w:noProof/>
        </w:rPr>
        <w:t xml:space="preserve">alstspiederību un dzīvesvietu (CPC 8671, 8672, 8673, 8674).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Likums Nr. 41/1962, ar grozījumiem; Likums Nr. 224/1990, ar grozījumiem, un Likums Nr. 29(I)2001, ar grozījumiem. </w:t>
      </w:r>
    </w:p>
    <w:p w:rsidR="003E022D" w:rsidRDefault="007D19D6">
      <w:pPr>
        <w:rPr>
          <w:noProof/>
          <w:u w:val="single"/>
        </w:rPr>
      </w:pPr>
      <w:r>
        <w:rPr>
          <w:noProof/>
          <w:u w:val="single"/>
        </w:rPr>
        <w:t>Attiecībā uz pakalpojumu pārrobežu tirdzniecību – klātbūtne uz vie</w:t>
      </w:r>
      <w:r>
        <w:rPr>
          <w:noProof/>
          <w:u w:val="single"/>
        </w:rPr>
        <w:t xml:space="preserve">tas </w:t>
      </w:r>
    </w:p>
    <w:p w:rsidR="003E022D" w:rsidRDefault="007D19D6">
      <w:pPr>
        <w:rPr>
          <w:noProof/>
        </w:rPr>
      </w:pPr>
      <w:r>
        <w:rPr>
          <w:b/>
          <w:noProof/>
        </w:rPr>
        <w:t>CZ</w:t>
      </w:r>
      <w:r>
        <w:rPr>
          <w:noProof/>
        </w:rPr>
        <w:t xml:space="preserve">: jābūt EEZ rezidentam. </w:t>
      </w:r>
    </w:p>
    <w:p w:rsidR="003E022D" w:rsidRDefault="007D19D6">
      <w:pPr>
        <w:rPr>
          <w:noProof/>
        </w:rPr>
      </w:pPr>
      <w:r>
        <w:rPr>
          <w:b/>
          <w:noProof/>
        </w:rPr>
        <w:t>HU</w:t>
      </w:r>
      <w:r>
        <w:rPr>
          <w:noProof/>
        </w:rPr>
        <w:t>: prasība būt EEZ rezidentam tiek piemērota fiziskām personām, kas atrodas Ungārijas teritorijā un sniedz šādus pakalpojumus: arhitektūras pakalpojumi, inženiertehniskie pakalpojumi (attiecas tikai uz praktikantiem pēcdipl</w:t>
      </w:r>
      <w:r>
        <w:rPr>
          <w:noProof/>
        </w:rPr>
        <w:t xml:space="preserve">oma apmācībā), integrētie inženiertehniskie pakalpojumi un ainavu arhitektūras pakalpojumi (CPC 8671, 8672, 8673, 8674). </w:t>
      </w:r>
    </w:p>
    <w:p w:rsidR="003E022D" w:rsidRDefault="007D19D6">
      <w:pPr>
        <w:rPr>
          <w:noProof/>
        </w:rPr>
      </w:pPr>
      <w:r>
        <w:rPr>
          <w:b/>
          <w:noProof/>
        </w:rPr>
        <w:t>IT</w:t>
      </w:r>
      <w:r>
        <w:rPr>
          <w:noProof/>
        </w:rPr>
        <w:t>: lai tiktu iekļauts profesionālajā reģistrā, kas nepieciešams, lai varētu sniegt arhitektūras un inženiertehniskos pakalpojumus, jā</w:t>
      </w:r>
      <w:r>
        <w:rPr>
          <w:noProof/>
        </w:rPr>
        <w:t xml:space="preserve">būt Itālijas rezidentam vai profesionālajam domicilam / uzņēmuma adresei jābūt Itālijā (CPC 8671, 8672, 8673, 8674). </w:t>
      </w:r>
    </w:p>
    <w:p w:rsidR="003E022D" w:rsidRDefault="007D19D6">
      <w:pPr>
        <w:rPr>
          <w:noProof/>
        </w:rPr>
      </w:pPr>
      <w:r>
        <w:rPr>
          <w:b/>
          <w:noProof/>
        </w:rPr>
        <w:t>SK</w:t>
      </w:r>
      <w:r>
        <w:rPr>
          <w:noProof/>
        </w:rPr>
        <w:t>: lai reģistrētos profesionālajā kamerā, kas nepieciešams, lai varētu sniegt arhitektūras un inženiertehniskos pakalpojumus, jābūt EEZ r</w:t>
      </w:r>
      <w:r>
        <w:rPr>
          <w:noProof/>
        </w:rPr>
        <w:t xml:space="preserve">ezidentam (CPC 8671, 8672, 8673, 8674). </w:t>
      </w:r>
    </w:p>
    <w:p w:rsidR="003E022D" w:rsidRDefault="007D19D6">
      <w:pPr>
        <w:rPr>
          <w:b/>
          <w:i/>
          <w:noProof/>
        </w:rPr>
      </w:pPr>
      <w:r>
        <w:rPr>
          <w:b/>
          <w:i/>
          <w:noProof/>
        </w:rPr>
        <w:t xml:space="preserve">Pasākumi </w:t>
      </w:r>
    </w:p>
    <w:p w:rsidR="003E022D" w:rsidRDefault="007D19D6">
      <w:pPr>
        <w:rPr>
          <w:i/>
          <w:noProof/>
        </w:rPr>
      </w:pPr>
      <w:r>
        <w:rPr>
          <w:b/>
          <w:i/>
          <w:noProof/>
        </w:rPr>
        <w:t>CZ</w:t>
      </w:r>
      <w:r>
        <w:rPr>
          <w:i/>
          <w:noProof/>
        </w:rPr>
        <w:t xml:space="preserve">: Likums Nr. 360/1992 Coll. par to pilnvaroto arhitektu un pilnvaroto inženieru un tehniķu profesijas praksi, kuri strādā ēku būvniecības jomā. </w:t>
      </w:r>
    </w:p>
    <w:p w:rsidR="003E022D" w:rsidRDefault="007D19D6">
      <w:pPr>
        <w:rPr>
          <w:i/>
          <w:noProof/>
        </w:rPr>
      </w:pPr>
      <w:r>
        <w:rPr>
          <w:b/>
          <w:i/>
          <w:noProof/>
        </w:rPr>
        <w:t>HU</w:t>
      </w:r>
      <w:r>
        <w:rPr>
          <w:i/>
          <w:noProof/>
        </w:rPr>
        <w:t xml:space="preserve">: 1996. gada Likums LVIII par arhitektu un inženieru profesionālajām kamerām. </w:t>
      </w:r>
    </w:p>
    <w:p w:rsidR="003E022D" w:rsidRDefault="007D19D6">
      <w:pPr>
        <w:rPr>
          <w:i/>
          <w:noProof/>
        </w:rPr>
      </w:pPr>
      <w:r>
        <w:rPr>
          <w:b/>
          <w:i/>
          <w:noProof/>
        </w:rPr>
        <w:t>IT</w:t>
      </w:r>
      <w:r>
        <w:rPr>
          <w:i/>
          <w:noProof/>
        </w:rPr>
        <w:t xml:space="preserve">: Karaļa Dekrēts Nr. 2537/1925, noteikumi par arhitekta un inženiera profesiju; Likums </w:t>
      </w:r>
    </w:p>
    <w:p w:rsidR="003E022D" w:rsidRDefault="007D19D6">
      <w:pPr>
        <w:rPr>
          <w:i/>
          <w:noProof/>
        </w:rPr>
      </w:pPr>
      <w:r>
        <w:rPr>
          <w:i/>
          <w:noProof/>
        </w:rPr>
        <w:t xml:space="preserve">1395/1923. un </w:t>
      </w:r>
    </w:p>
    <w:p w:rsidR="003E022D" w:rsidRDefault="007D19D6">
      <w:pPr>
        <w:rPr>
          <w:i/>
          <w:noProof/>
        </w:rPr>
      </w:pPr>
      <w:r>
        <w:rPr>
          <w:i/>
          <w:noProof/>
        </w:rPr>
        <w:t xml:space="preserve">Republikas Prezidenta dekrēts (D.P.R.) 328/2001. </w:t>
      </w:r>
    </w:p>
    <w:p w:rsidR="003E022D" w:rsidRDefault="007D19D6">
      <w:pPr>
        <w:rPr>
          <w:i/>
          <w:noProof/>
        </w:rPr>
      </w:pPr>
      <w:r>
        <w:rPr>
          <w:b/>
          <w:i/>
          <w:noProof/>
        </w:rPr>
        <w:t>SK</w:t>
      </w:r>
      <w:r>
        <w:rPr>
          <w:i/>
          <w:noProof/>
        </w:rPr>
        <w:t>: Likums 138/1992 pa</w:t>
      </w:r>
      <w:r>
        <w:rPr>
          <w:i/>
          <w:noProof/>
        </w:rPr>
        <w:t xml:space="preserve">r arhitektiem un inženieriem, 3., 15., 15.a, 17.a un 18.a pants. </w:t>
      </w:r>
    </w:p>
    <w:p w:rsidR="003E022D" w:rsidRDefault="007D19D6">
      <w:pPr>
        <w:rPr>
          <w:noProof/>
          <w:u w:val="single"/>
        </w:rPr>
      </w:pPr>
      <w:r>
        <w:rPr>
          <w:noProof/>
          <w:u w:val="single"/>
        </w:rPr>
        <w:t xml:space="preserve">Attiecībā uz pakalpojumu pārrobežu tirdzniecību – piekļuve tirgum, valsts režīms </w:t>
      </w:r>
    </w:p>
    <w:p w:rsidR="003E022D" w:rsidRDefault="007D19D6">
      <w:pPr>
        <w:rPr>
          <w:noProof/>
        </w:rPr>
      </w:pPr>
      <w:r>
        <w:rPr>
          <w:b/>
          <w:noProof/>
        </w:rPr>
        <w:t>BE</w:t>
      </w:r>
      <w:r>
        <w:rPr>
          <w:noProof/>
        </w:rPr>
        <w:t>: arhitektūras pakalpojumu sniegšana ietver kontroli pār darbu izpildi (CPC 8671, 8674). Ārvalstu arhitekt</w:t>
      </w:r>
      <w:r>
        <w:rPr>
          <w:noProof/>
        </w:rPr>
        <w:t xml:space="preserve">iem, kas ir pilnvaroti savā piederības valstī un vēlas neregulāri praktizēt savā profesijā Beļģijā, ir jāsaņem iepriekšēja atļauja no profesionālās organizācijas padomes tajā ģeogrāfiskajā teritorijā, kurā viņi plāno praktizēt. </w:t>
      </w:r>
    </w:p>
    <w:p w:rsidR="003E022D" w:rsidRDefault="007D19D6">
      <w:pPr>
        <w:rPr>
          <w:b/>
          <w:i/>
          <w:noProof/>
        </w:rPr>
      </w:pPr>
      <w:r>
        <w:rPr>
          <w:b/>
          <w:i/>
          <w:noProof/>
        </w:rPr>
        <w:t xml:space="preserve">Pasākumi </w:t>
      </w:r>
    </w:p>
    <w:p w:rsidR="003E022D" w:rsidRDefault="007D19D6">
      <w:pPr>
        <w:rPr>
          <w:i/>
          <w:noProof/>
        </w:rPr>
      </w:pPr>
      <w:r>
        <w:rPr>
          <w:b/>
          <w:i/>
          <w:noProof/>
        </w:rPr>
        <w:t>BE</w:t>
      </w:r>
      <w:r>
        <w:rPr>
          <w:i/>
          <w:noProof/>
        </w:rPr>
        <w:t>: 1939. gada 20</w:t>
      </w:r>
      <w:r>
        <w:rPr>
          <w:i/>
          <w:noProof/>
        </w:rPr>
        <w:t xml:space="preserve">. februāra Likums par arhitekta profesijas nosaukuma aizsardzību un </w:t>
      </w:r>
    </w:p>
    <w:p w:rsidR="003E022D" w:rsidRDefault="007D19D6">
      <w:pPr>
        <w:rPr>
          <w:i/>
          <w:noProof/>
        </w:rPr>
      </w:pPr>
      <w:r>
        <w:rPr>
          <w:i/>
          <w:noProof/>
        </w:rPr>
        <w:t xml:space="preserve">1963. gada 26. jūnija likums, ar ko izveido Arhitektu profesionālo organizāciju; </w:t>
      </w:r>
    </w:p>
    <w:p w:rsidR="003E022D" w:rsidRDefault="007D19D6">
      <w:pPr>
        <w:rPr>
          <w:i/>
          <w:noProof/>
        </w:rPr>
      </w:pPr>
      <w:r>
        <w:rPr>
          <w:i/>
          <w:noProof/>
        </w:rPr>
        <w:t xml:space="preserve">1983. gada 16. decembra Ētikas kodekss, ko izveidojusi valsts Arhitektu profesionālās organizācijas padome (apstiprināts ar 1985. gada 18. aprīļa A.R. 1. pantu, 1985. gada 8. maija M.B.). </w:t>
      </w:r>
    </w:p>
    <w:p w:rsidR="003E022D" w:rsidRDefault="007D19D6">
      <w:pPr>
        <w:rPr>
          <w:b/>
          <w:noProof/>
        </w:rPr>
      </w:pPr>
      <w:bookmarkStart w:id="1015" w:name="_Toc452570607"/>
      <w:bookmarkStart w:id="1016" w:name="_Toc476832030"/>
      <w:bookmarkStart w:id="1017" w:name="_Toc500420024"/>
      <w:bookmarkStart w:id="1018" w:name="_Toc5371300"/>
      <w:bookmarkStart w:id="1019" w:name="_Toc53746660"/>
      <w:r>
        <w:rPr>
          <w:noProof/>
        </w:rPr>
        <w:br w:type="page"/>
      </w:r>
    </w:p>
    <w:p w:rsidR="003E022D" w:rsidRDefault="007D19D6">
      <w:pPr>
        <w:rPr>
          <w:b/>
          <w:noProof/>
        </w:rPr>
      </w:pPr>
      <w:bookmarkStart w:id="1020" w:name="_Toc57917369"/>
      <w:r>
        <w:rPr>
          <w:b/>
          <w:noProof/>
        </w:rPr>
        <w:t>3. atruna. Profesionālie pakalpojumi (ar veselību saistītie pakal</w:t>
      </w:r>
      <w:r>
        <w:rPr>
          <w:b/>
          <w:noProof/>
        </w:rPr>
        <w:t>pojumi un zāļu mazumtirdzniecība)</w:t>
      </w:r>
      <w:bookmarkEnd w:id="1015"/>
      <w:bookmarkEnd w:id="1016"/>
      <w:bookmarkEnd w:id="1017"/>
      <w:bookmarkEnd w:id="1018"/>
      <w:bookmarkEnd w:id="1019"/>
      <w:bookmarkEnd w:id="1020"/>
    </w:p>
    <w:tbl>
      <w:tblPr>
        <w:tblStyle w:val="TableGrid0"/>
        <w:tblW w:w="0" w:type="auto"/>
        <w:tblCellMar>
          <w:left w:w="0" w:type="dxa"/>
        </w:tblCellMar>
        <w:tblLook w:val="04A0" w:firstRow="1" w:lastRow="0" w:firstColumn="1" w:lastColumn="0" w:noHBand="0" w:noVBand="1"/>
      </w:tblPr>
      <w:tblGrid>
        <w:gridCol w:w="2619"/>
        <w:gridCol w:w="18"/>
        <w:gridCol w:w="6389"/>
        <w:gridCol w:w="108"/>
      </w:tblGrid>
      <w:tr w:rsidR="003E022D">
        <w:tc>
          <w:tcPr>
            <w:tcW w:w="2637" w:type="dxa"/>
            <w:gridSpan w:val="2"/>
          </w:tcPr>
          <w:p w:rsidR="003E022D" w:rsidRDefault="007D19D6">
            <w:pPr>
              <w:spacing w:afterAutospacing="0"/>
              <w:rPr>
                <w:b/>
                <w:noProof/>
              </w:rPr>
            </w:pPr>
            <w:r>
              <w:rPr>
                <w:b/>
                <w:noProof/>
              </w:rPr>
              <w:t>Nozare – apakšnozare:</w:t>
            </w:r>
          </w:p>
        </w:tc>
        <w:tc>
          <w:tcPr>
            <w:tcW w:w="6497" w:type="dxa"/>
            <w:gridSpan w:val="2"/>
          </w:tcPr>
          <w:p w:rsidR="003E022D" w:rsidRDefault="007D19D6">
            <w:pPr>
              <w:spacing w:afterAutospacing="0"/>
              <w:rPr>
                <w:noProof/>
              </w:rPr>
            </w:pPr>
            <w:r>
              <w:rPr>
                <w:noProof/>
              </w:rPr>
              <w:t>Profesionālie pakalpojumi – medicīnas (tostarp psihologu) un zobārstniecības pakalpojumi; vecmāšu, medmāsu, fizioterapeitu un medicīnas palīgpersonāla pakalpojumi; veterinārie pakalpojumi; zāļu, medic</w:t>
            </w:r>
            <w:r>
              <w:rPr>
                <w:noProof/>
              </w:rPr>
              <w:t>īnisko un ortopēdisko preču mazumtirdzniecība un citi farmaceitu sniegti pakalpojumi</w:t>
            </w:r>
          </w:p>
        </w:tc>
      </w:tr>
      <w:tr w:rsidR="003E022D">
        <w:tc>
          <w:tcPr>
            <w:tcW w:w="2637" w:type="dxa"/>
            <w:gridSpan w:val="2"/>
          </w:tcPr>
          <w:p w:rsidR="003E022D" w:rsidRDefault="007D19D6">
            <w:pPr>
              <w:spacing w:afterAutospacing="0"/>
              <w:rPr>
                <w:b/>
                <w:bCs/>
                <w:noProof/>
              </w:rPr>
            </w:pPr>
            <w:r>
              <w:rPr>
                <w:b/>
                <w:bCs/>
                <w:noProof/>
              </w:rPr>
              <w:t>Nozares klasifikācija:</w:t>
            </w:r>
          </w:p>
        </w:tc>
        <w:tc>
          <w:tcPr>
            <w:tcW w:w="6497" w:type="dxa"/>
            <w:gridSpan w:val="2"/>
          </w:tcPr>
          <w:p w:rsidR="003E022D" w:rsidRDefault="007D19D6">
            <w:pPr>
              <w:spacing w:afterAutospacing="0"/>
              <w:rPr>
                <w:noProof/>
              </w:rPr>
            </w:pPr>
            <w:r>
              <w:rPr>
                <w:noProof/>
              </w:rPr>
              <w:t>CPC 9312, 93191, 932, 63211</w:t>
            </w:r>
          </w:p>
        </w:tc>
      </w:tr>
      <w:tr w:rsidR="003E022D">
        <w:tc>
          <w:tcPr>
            <w:tcW w:w="2637" w:type="dxa"/>
            <w:gridSpan w:val="2"/>
          </w:tcPr>
          <w:p w:rsidR="003E022D" w:rsidRDefault="007D19D6">
            <w:pPr>
              <w:rPr>
                <w:b/>
                <w:noProof/>
              </w:rPr>
            </w:pPr>
            <w:r>
              <w:rPr>
                <w:b/>
                <w:bCs/>
                <w:noProof/>
              </w:rPr>
              <w:t>Atrunas veids:</w:t>
            </w:r>
          </w:p>
        </w:tc>
        <w:tc>
          <w:tcPr>
            <w:tcW w:w="6497" w:type="dxa"/>
            <w:gridSpan w:val="2"/>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padomes </w:t>
            </w:r>
            <w:r>
              <w:rPr>
                <w:noProof/>
              </w:rPr>
              <w:br/>
              <w:t>Klātb</w:t>
            </w:r>
            <w:r>
              <w:rPr>
                <w:noProof/>
              </w:rPr>
              <w:t xml:space="preserve">ūtne uz vietas </w:t>
            </w:r>
            <w:r>
              <w:rPr>
                <w:noProof/>
              </w:rPr>
              <w:br/>
            </w:r>
          </w:p>
        </w:tc>
      </w:tr>
      <w:tr w:rsidR="003E022D">
        <w:trPr>
          <w:gridAfter w:val="1"/>
          <w:wAfter w:w="108" w:type="dxa"/>
        </w:trPr>
        <w:tc>
          <w:tcPr>
            <w:tcW w:w="2619" w:type="dxa"/>
          </w:tcPr>
          <w:p w:rsidR="003E022D" w:rsidRDefault="007D19D6">
            <w:pPr>
              <w:spacing w:afterAutospacing="0"/>
              <w:rPr>
                <w:b/>
                <w:noProof/>
              </w:rPr>
            </w:pPr>
            <w:r>
              <w:rPr>
                <w:b/>
                <w:bCs/>
                <w:noProof/>
              </w:rPr>
              <w:t>Nodaļa:</w:t>
            </w:r>
          </w:p>
        </w:tc>
        <w:tc>
          <w:tcPr>
            <w:tcW w:w="6407" w:type="dxa"/>
            <w:gridSpan w:val="2"/>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b/>
          <w:i/>
          <w:noProof/>
        </w:rPr>
      </w:pPr>
      <w:bookmarkStart w:id="1021" w:name="_Toc5371301"/>
      <w:r>
        <w:rPr>
          <w:b/>
          <w:i/>
          <w:noProof/>
        </w:rPr>
        <w:t xml:space="preserve">a) </w:t>
      </w:r>
      <w:r>
        <w:rPr>
          <w:noProof/>
        </w:rPr>
        <w:tab/>
      </w:r>
      <w:bookmarkStart w:id="1022" w:name="_Toc452570608"/>
      <w:r>
        <w:rPr>
          <w:b/>
          <w:i/>
          <w:noProof/>
        </w:rPr>
        <w:t>Medicīnas, zobārstniecības, vecmāšu, medmāsu, fizioterapeitu un medicīnas palīgpersonāla pakalpojumi</w:t>
      </w:r>
      <w:bookmarkEnd w:id="1022"/>
      <w:r>
        <w:rPr>
          <w:noProof/>
        </w:rPr>
        <w:t xml:space="preserve"> </w:t>
      </w:r>
      <w:r>
        <w:rPr>
          <w:b/>
          <w:i/>
          <w:noProof/>
        </w:rPr>
        <w:t>(CPC 852, 9312, 93191)</w:t>
      </w:r>
      <w:bookmarkEnd w:id="1021"/>
      <w:r>
        <w:rPr>
          <w:b/>
          <w:i/>
          <w:noProof/>
        </w:rPr>
        <w:t xml:space="preserve"> </w:t>
      </w:r>
    </w:p>
    <w:p w:rsidR="003E022D" w:rsidRDefault="007D19D6">
      <w:pPr>
        <w:rPr>
          <w:noProof/>
          <w:u w:val="single"/>
        </w:rPr>
      </w:pPr>
      <w:r>
        <w:rPr>
          <w:noProof/>
          <w:u w:val="single"/>
        </w:rPr>
        <w:t xml:space="preserve">Attiecībā uz ieguldījumu liberalizāciju – valsts režīms, lielākās labvēlības režīms un pakalpojumu pārrobežu tirdzniecība – valsts režīms, lielākās labvēlības režīms </w:t>
      </w:r>
    </w:p>
    <w:p w:rsidR="003E022D" w:rsidRDefault="007D19D6">
      <w:pPr>
        <w:rPr>
          <w:noProof/>
        </w:rPr>
      </w:pPr>
      <w:r>
        <w:rPr>
          <w:b/>
          <w:noProof/>
        </w:rPr>
        <w:t>IT</w:t>
      </w:r>
      <w:r>
        <w:rPr>
          <w:noProof/>
        </w:rPr>
        <w:t xml:space="preserve">: lai sniegtu psihologa pakalpojumus, nepieciešama Eiropas Savienības valstspiederība, </w:t>
      </w:r>
      <w:r>
        <w:rPr>
          <w:noProof/>
        </w:rPr>
        <w:t xml:space="preserve">un ārvalstu speciālistiem var ļaut praktizēt, pamatojoties uz savstarpību (daļa no CPC 9312). </w:t>
      </w:r>
    </w:p>
    <w:p w:rsidR="003E022D" w:rsidRDefault="007D19D6">
      <w:pPr>
        <w:rPr>
          <w:b/>
          <w:i/>
          <w:noProof/>
        </w:rPr>
      </w:pPr>
      <w:r>
        <w:rPr>
          <w:b/>
          <w:i/>
          <w:noProof/>
        </w:rPr>
        <w:t xml:space="preserve">Pasākumi </w:t>
      </w:r>
    </w:p>
    <w:p w:rsidR="003E022D" w:rsidRDefault="007D19D6">
      <w:pPr>
        <w:rPr>
          <w:i/>
          <w:noProof/>
        </w:rPr>
      </w:pPr>
      <w:r>
        <w:rPr>
          <w:b/>
          <w:i/>
          <w:noProof/>
        </w:rPr>
        <w:t>IT</w:t>
      </w:r>
      <w:r>
        <w:rPr>
          <w:i/>
          <w:noProof/>
        </w:rPr>
        <w:t xml:space="preserve">: Likums 56/1989 par psihologa profesiju. </w:t>
      </w:r>
    </w:p>
    <w:p w:rsidR="003E022D" w:rsidRDefault="007D19D6">
      <w:pPr>
        <w:rPr>
          <w:bCs/>
          <w:noProof/>
          <w:u w:val="single"/>
        </w:rPr>
      </w:pPr>
      <w:r>
        <w:rPr>
          <w:bCs/>
          <w:noProof/>
          <w:u w:val="single"/>
        </w:rPr>
        <w:t xml:space="preserve">Attiecībā uz investīciju liberalizāciju – piekļuve tirgum, valsts režīms un pakalpojumu pārrobežu tirdzniecība – piekļuve tirgum, valsts režīms, klātbūtne uz vietas </w:t>
      </w:r>
    </w:p>
    <w:p w:rsidR="003E022D" w:rsidRDefault="007D19D6">
      <w:pPr>
        <w:rPr>
          <w:noProof/>
        </w:rPr>
      </w:pPr>
      <w:r>
        <w:rPr>
          <w:b/>
          <w:noProof/>
        </w:rPr>
        <w:t>CY</w:t>
      </w:r>
      <w:r>
        <w:rPr>
          <w:noProof/>
        </w:rPr>
        <w:t>: uz medicīnas (tostarp psihologu), zobārstniecības, vecmāšu, medmāsu, fizioterapeitu un</w:t>
      </w:r>
      <w:r>
        <w:rPr>
          <w:noProof/>
        </w:rPr>
        <w:t xml:space="preserve"> medicīnas palīgpersonāla pakalpojumiem attiecas nosacījums par Kipras valstspiederību un dzīvesvietu.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Likums par ārstu reģistrāciju (250. nodaļa), ar grozījumiem; </w:t>
      </w:r>
    </w:p>
    <w:p w:rsidR="003E022D" w:rsidRDefault="007D19D6">
      <w:pPr>
        <w:rPr>
          <w:i/>
          <w:noProof/>
        </w:rPr>
      </w:pPr>
      <w:r>
        <w:rPr>
          <w:i/>
          <w:noProof/>
        </w:rPr>
        <w:t xml:space="preserve">Likums par zobārstu reģistrāciju (249. nodaļa), ar grozījumiem; </w:t>
      </w:r>
    </w:p>
    <w:p w:rsidR="003E022D" w:rsidRDefault="007D19D6">
      <w:pPr>
        <w:rPr>
          <w:i/>
          <w:noProof/>
        </w:rPr>
      </w:pPr>
      <w:r>
        <w:rPr>
          <w:i/>
          <w:noProof/>
        </w:rPr>
        <w:t>Likums 75(I</w:t>
      </w:r>
      <w:r>
        <w:rPr>
          <w:i/>
          <w:noProof/>
        </w:rPr>
        <w:t xml:space="preserve">)/2013 – podologi; </w:t>
      </w:r>
    </w:p>
    <w:p w:rsidR="003E022D" w:rsidRDefault="007D19D6">
      <w:pPr>
        <w:rPr>
          <w:i/>
          <w:noProof/>
        </w:rPr>
      </w:pPr>
      <w:r>
        <w:rPr>
          <w:i/>
          <w:noProof/>
        </w:rPr>
        <w:t xml:space="preserve">Likums 33(I)/2008 (ar grozījumiem) – medicīniskās fizikas eksperti; </w:t>
      </w:r>
    </w:p>
    <w:p w:rsidR="003E022D" w:rsidRDefault="007D19D6">
      <w:pPr>
        <w:rPr>
          <w:i/>
          <w:noProof/>
        </w:rPr>
      </w:pPr>
      <w:r>
        <w:rPr>
          <w:i/>
          <w:noProof/>
        </w:rPr>
        <w:t xml:space="preserve">Likums 34(I)/2006 (ar grozījumiem) – arodslimību ārsti; </w:t>
      </w:r>
    </w:p>
    <w:p w:rsidR="003E022D" w:rsidRDefault="007D19D6">
      <w:pPr>
        <w:rPr>
          <w:i/>
          <w:noProof/>
        </w:rPr>
      </w:pPr>
      <w:r>
        <w:rPr>
          <w:i/>
          <w:noProof/>
        </w:rPr>
        <w:t xml:space="preserve">Likums 9(I)/1996 (ar grozījumiem)  zobu tehniķi; </w:t>
      </w:r>
    </w:p>
    <w:p w:rsidR="003E022D" w:rsidRDefault="007D19D6">
      <w:pPr>
        <w:rPr>
          <w:i/>
          <w:noProof/>
        </w:rPr>
      </w:pPr>
      <w:r>
        <w:rPr>
          <w:i/>
          <w:noProof/>
        </w:rPr>
        <w:t xml:space="preserve">Likums 68(I)/1995 (ar grozījumiem)  psihologi; </w:t>
      </w:r>
    </w:p>
    <w:p w:rsidR="003E022D" w:rsidRDefault="007D19D6">
      <w:pPr>
        <w:rPr>
          <w:i/>
          <w:noProof/>
        </w:rPr>
      </w:pPr>
      <w:r>
        <w:rPr>
          <w:i/>
          <w:noProof/>
        </w:rPr>
        <w:t>Likums 16(I)</w:t>
      </w:r>
      <w:r>
        <w:rPr>
          <w:i/>
          <w:noProof/>
        </w:rPr>
        <w:t xml:space="preserve">/1992 (ar grozījumiem)  acu ārsti; </w:t>
      </w:r>
    </w:p>
    <w:p w:rsidR="003E022D" w:rsidRDefault="007D19D6">
      <w:pPr>
        <w:rPr>
          <w:i/>
          <w:noProof/>
        </w:rPr>
      </w:pPr>
      <w:r>
        <w:rPr>
          <w:i/>
          <w:noProof/>
        </w:rPr>
        <w:t xml:space="preserve">Likums 23(I)/2011 (ar grozījumiem) – radiologi/radioterapeiti; </w:t>
      </w:r>
    </w:p>
    <w:p w:rsidR="003E022D" w:rsidRDefault="007D19D6">
      <w:pPr>
        <w:rPr>
          <w:i/>
          <w:noProof/>
        </w:rPr>
      </w:pPr>
      <w:r>
        <w:rPr>
          <w:i/>
          <w:noProof/>
        </w:rPr>
        <w:t xml:space="preserve">Likums 31(I)/1996 (ar grozījumiem) – dietologi/ uztura speciālisti; </w:t>
      </w:r>
    </w:p>
    <w:p w:rsidR="003E022D" w:rsidRDefault="007D19D6">
      <w:pPr>
        <w:rPr>
          <w:i/>
          <w:noProof/>
        </w:rPr>
      </w:pPr>
      <w:r>
        <w:rPr>
          <w:i/>
          <w:noProof/>
        </w:rPr>
        <w:t xml:space="preserve">Likums 140/1989 (ar grozījumiem) – fizioterapeiti un </w:t>
      </w:r>
    </w:p>
    <w:p w:rsidR="003E022D" w:rsidRDefault="007D19D6">
      <w:pPr>
        <w:rPr>
          <w:i/>
          <w:noProof/>
        </w:rPr>
      </w:pPr>
      <w:r>
        <w:rPr>
          <w:i/>
          <w:noProof/>
        </w:rPr>
        <w:t>Likums 214/1988 (ar grozījumiem) </w:t>
      </w:r>
      <w:r>
        <w:rPr>
          <w:i/>
          <w:noProof/>
        </w:rPr>
        <w:t xml:space="preserve">– medmāsas. </w:t>
      </w:r>
    </w:p>
    <w:p w:rsidR="003E022D" w:rsidRDefault="007D19D6">
      <w:pPr>
        <w:rPr>
          <w:noProof/>
          <w:u w:val="single"/>
        </w:rPr>
      </w:pPr>
      <w:r>
        <w:rPr>
          <w:noProof/>
          <w:u w:val="single"/>
        </w:rPr>
        <w:t xml:space="preserve">Attiecībā uz investīciju liberalizāciju – piekļuve tirgum un pakalpojumu pārrobežu tirdzniecība – piekļuve tirgum, klātbūtne uz vietas </w:t>
      </w:r>
    </w:p>
    <w:p w:rsidR="003E022D" w:rsidRDefault="007D19D6">
      <w:pPr>
        <w:rPr>
          <w:noProof/>
        </w:rPr>
      </w:pPr>
      <w:r>
        <w:rPr>
          <w:b/>
          <w:noProof/>
        </w:rPr>
        <w:t>DE</w:t>
      </w:r>
      <w:r>
        <w:rPr>
          <w:noProof/>
        </w:rPr>
        <w:t xml:space="preserve"> (attiecas arī uz valdības reģionālo līmeni): profesionālās darbības reģistrācijai var piemērot ģeogrāfiskus ierobežojumus, kas vienādi piemērojami gan valstspiederīgajiem, gan personām, kas nav valstspiederīgie. </w:t>
      </w:r>
    </w:p>
    <w:p w:rsidR="003E022D" w:rsidRDefault="007D19D6">
      <w:pPr>
        <w:rPr>
          <w:noProof/>
        </w:rPr>
      </w:pPr>
      <w:r>
        <w:rPr>
          <w:noProof/>
        </w:rPr>
        <w:t>Ārstiem (tostarp psihologiem, psihoterapei</w:t>
      </w:r>
      <w:r>
        <w:rPr>
          <w:noProof/>
        </w:rPr>
        <w:t>tiem un zobārstiem) jāreģistrējas reģionālajās obligātās veselības apdrošināšanas ārstu vai zobārstu apvienībās (</w:t>
      </w:r>
      <w:r>
        <w:rPr>
          <w:i/>
          <w:noProof/>
        </w:rPr>
        <w:t>kassenärztliche vai kassenzahnärztliche Vereinigungen</w:t>
      </w:r>
      <w:r>
        <w:rPr>
          <w:noProof/>
        </w:rPr>
        <w:t>), ja viņi vēlas ārstēt pacientus, kurus apdrošina obligātās veselības apdrošināšanas fond</w:t>
      </w:r>
      <w:r>
        <w:rPr>
          <w:noProof/>
        </w:rPr>
        <w:t>i. Šādai reģistrācijai var piemērot kvantitatīvus ierobežojumus, pamatojoties uz ārstu reģionālo sadalījumu. Šis ierobežojums neattiecas uz zobārstiem. Reģistrācija ir vajadzīga tikai ārstiem, kuri piedalās publiskajā veselības aprūpes sistēmā. Var pastāvē</w:t>
      </w:r>
      <w:r>
        <w:rPr>
          <w:noProof/>
        </w:rPr>
        <w:t xml:space="preserve">t nediskriminējoši ierobežojumi attiecībā uz uzņēmējdarbības veikšanas juridisko formu šo pakalpojumu sniegšanai (§ 95 SGB V). </w:t>
      </w:r>
    </w:p>
    <w:p w:rsidR="003E022D" w:rsidRDefault="007D19D6">
      <w:pPr>
        <w:rPr>
          <w:noProof/>
        </w:rPr>
      </w:pPr>
      <w:r>
        <w:rPr>
          <w:noProof/>
        </w:rPr>
        <w:t xml:space="preserve">Vecmāšu pakalpojumus drīkst sniegt tikai fiziskas personas. Attiecībā uz medicīnas un zobārstniecības pakalpojumiem piekļuve ir </w:t>
      </w:r>
      <w:r>
        <w:rPr>
          <w:noProof/>
        </w:rPr>
        <w:t xml:space="preserve">iespējama fiziskām personām, licencētiem medicīniskās aprūpes centriem un pilnvarotām iestādēm. Var tikt piemērotas uzņēmējdarbības veikšanas prasības. </w:t>
      </w:r>
    </w:p>
    <w:p w:rsidR="003E022D" w:rsidRDefault="007D19D6">
      <w:pPr>
        <w:rPr>
          <w:noProof/>
        </w:rPr>
      </w:pPr>
      <w:r>
        <w:rPr>
          <w:noProof/>
        </w:rPr>
        <w:t>Attiecībā uz telemedicīnu IST (informācijas un sakaru tehnoloģiju) pakalpojumu sniedzēju skaits var būt</w:t>
      </w:r>
      <w:r>
        <w:rPr>
          <w:noProof/>
        </w:rPr>
        <w:t xml:space="preserve"> ierobežots, lai garantētu sadarbspēju, saderību un nepieciešamo drošības standartu ievērošanu. Šo ierobežojumu piemēro, pamatojoties uz nediskriminācijas principu (CPC 9312, 93191). </w:t>
      </w:r>
    </w:p>
    <w:p w:rsidR="003E022D" w:rsidRDefault="007D19D6">
      <w:pPr>
        <w:rPr>
          <w:b/>
          <w:i/>
          <w:noProof/>
        </w:rPr>
      </w:pPr>
      <w:r>
        <w:rPr>
          <w:b/>
          <w:i/>
          <w:noProof/>
        </w:rPr>
        <w:t xml:space="preserve">Pasākumi </w:t>
      </w:r>
    </w:p>
    <w:p w:rsidR="003E022D" w:rsidRDefault="007D19D6">
      <w:pPr>
        <w:rPr>
          <w:i/>
          <w:noProof/>
        </w:rPr>
      </w:pPr>
      <w:r>
        <w:rPr>
          <w:i/>
          <w:noProof/>
        </w:rPr>
        <w:t>Bundesärzteordnung (BÄO; Federālie medicīnas noteikumi);</w:t>
      </w:r>
    </w:p>
    <w:p w:rsidR="003E022D" w:rsidRDefault="007D19D6">
      <w:pPr>
        <w:rPr>
          <w:i/>
          <w:noProof/>
        </w:rPr>
      </w:pPr>
      <w:r>
        <w:rPr>
          <w:i/>
          <w:noProof/>
        </w:rPr>
        <w:t>Geset</w:t>
      </w:r>
      <w:r>
        <w:rPr>
          <w:i/>
          <w:noProof/>
        </w:rPr>
        <w:t>z über die Ausübung der Zahnheilkunde (ZHG);</w:t>
      </w:r>
    </w:p>
    <w:p w:rsidR="003E022D" w:rsidRDefault="007D19D6">
      <w:pPr>
        <w:rPr>
          <w:i/>
          <w:noProof/>
        </w:rPr>
      </w:pPr>
      <w:r>
        <w:rPr>
          <w:i/>
          <w:noProof/>
        </w:rPr>
        <w:t>Gesetz über den Beruf der Psychotherapeutin und des Psychotherapeuten (PsychThG; Likums par psihoterapijas pakalpojumu sniegšanu);</w:t>
      </w:r>
    </w:p>
    <w:p w:rsidR="003E022D" w:rsidRDefault="007D19D6">
      <w:pPr>
        <w:rPr>
          <w:i/>
          <w:noProof/>
        </w:rPr>
      </w:pPr>
      <w:r>
        <w:rPr>
          <w:i/>
          <w:noProof/>
        </w:rPr>
        <w:t>Gesetz über die berufsmäßige Ausübung der Heilkunde ohne Bestallung (Heilpraktik</w:t>
      </w:r>
      <w:r>
        <w:rPr>
          <w:i/>
          <w:noProof/>
        </w:rPr>
        <w:t>ergesetz);</w:t>
      </w:r>
    </w:p>
    <w:p w:rsidR="003E022D" w:rsidRDefault="007D19D6">
      <w:pPr>
        <w:rPr>
          <w:i/>
          <w:noProof/>
        </w:rPr>
      </w:pPr>
      <w:r>
        <w:rPr>
          <w:i/>
          <w:noProof/>
        </w:rPr>
        <w:t>Gesetz über das Studium und den Beruf von Hebammen(HebG);</w:t>
      </w:r>
    </w:p>
    <w:p w:rsidR="003E022D" w:rsidRDefault="007D19D6">
      <w:pPr>
        <w:rPr>
          <w:i/>
          <w:noProof/>
        </w:rPr>
      </w:pPr>
      <w:r>
        <w:rPr>
          <w:i/>
          <w:noProof/>
        </w:rPr>
        <w:t>Gesetz über die Pflegeberufe (PflBG);</w:t>
      </w:r>
    </w:p>
    <w:p w:rsidR="003E022D" w:rsidRDefault="007D19D6">
      <w:pPr>
        <w:rPr>
          <w:i/>
          <w:noProof/>
        </w:rPr>
      </w:pPr>
      <w:r>
        <w:rPr>
          <w:i/>
          <w:noProof/>
        </w:rPr>
        <w:t>Sozialgesetzbuch Fünftes Buch (SGB V; Sociālais kodekss, Piektā grāmata) –  obligātā veselības apdrošināšana.</w:t>
      </w:r>
    </w:p>
    <w:p w:rsidR="003E022D" w:rsidRDefault="007D19D6">
      <w:pPr>
        <w:rPr>
          <w:i/>
          <w:noProof/>
        </w:rPr>
      </w:pPr>
      <w:r>
        <w:rPr>
          <w:i/>
          <w:noProof/>
        </w:rPr>
        <w:t>Reģionālā līmenī</w:t>
      </w:r>
    </w:p>
    <w:p w:rsidR="003E022D" w:rsidRDefault="007D19D6">
      <w:pPr>
        <w:rPr>
          <w:i/>
          <w:noProof/>
        </w:rPr>
      </w:pPr>
      <w:r>
        <w:rPr>
          <w:i/>
          <w:noProof/>
        </w:rPr>
        <w:t>Heilberufekammergesetz</w:t>
      </w:r>
      <w:r>
        <w:rPr>
          <w:i/>
          <w:noProof/>
        </w:rPr>
        <w:t xml:space="preserve"> des Landes Baden-Württemberg;</w:t>
      </w:r>
    </w:p>
    <w:p w:rsidR="003E022D" w:rsidRDefault="007D19D6">
      <w:pPr>
        <w:rPr>
          <w:i/>
          <w:noProof/>
        </w:rPr>
      </w:pPr>
      <w:r>
        <w:rPr>
          <w:i/>
          <w:noProof/>
        </w:rPr>
        <w:t>Gesetz über die Berufsausübung, die Berufsvertretungen und die Berufsgerichtsbarkeit der</w:t>
      </w:r>
    </w:p>
    <w:p w:rsidR="003E022D" w:rsidRDefault="007D19D6">
      <w:pPr>
        <w:rPr>
          <w:i/>
          <w:noProof/>
        </w:rPr>
      </w:pPr>
      <w:r>
        <w:rPr>
          <w:i/>
          <w:noProof/>
        </w:rPr>
        <w:t>Ärzte, Zahnärzte, Tierärzte, Apotheker sowie der Psychologischen Psychotherapeuten und der</w:t>
      </w:r>
    </w:p>
    <w:p w:rsidR="003E022D" w:rsidRDefault="007D19D6">
      <w:pPr>
        <w:rPr>
          <w:i/>
          <w:noProof/>
        </w:rPr>
      </w:pPr>
      <w:r>
        <w:rPr>
          <w:i/>
          <w:noProof/>
        </w:rPr>
        <w:t>Kinder- und Jugendlichenpsychotherapeuten (He</w:t>
      </w:r>
      <w:r>
        <w:rPr>
          <w:i/>
          <w:noProof/>
        </w:rPr>
        <w:t>ilberufe-Kammergesetz - HKaG) in Bayern;</w:t>
      </w:r>
    </w:p>
    <w:p w:rsidR="003E022D" w:rsidRDefault="007D19D6">
      <w:pPr>
        <w:rPr>
          <w:i/>
          <w:noProof/>
        </w:rPr>
      </w:pPr>
      <w:r>
        <w:rPr>
          <w:i/>
          <w:noProof/>
        </w:rPr>
        <w:t>Berliner Heilberufekammergesetz (BlnHKG);</w:t>
      </w:r>
    </w:p>
    <w:p w:rsidR="003E022D" w:rsidRDefault="007D19D6">
      <w:pPr>
        <w:rPr>
          <w:i/>
          <w:noProof/>
        </w:rPr>
      </w:pPr>
      <w:r>
        <w:rPr>
          <w:i/>
          <w:noProof/>
        </w:rPr>
        <w:t xml:space="preserve">Heilberufsgesetz Brandenburg (HeilBerG); </w:t>
      </w:r>
    </w:p>
    <w:p w:rsidR="003E022D" w:rsidRDefault="007D19D6">
      <w:pPr>
        <w:rPr>
          <w:i/>
          <w:noProof/>
        </w:rPr>
      </w:pPr>
      <w:r>
        <w:rPr>
          <w:i/>
          <w:noProof/>
        </w:rPr>
        <w:t>Bremisches Gesetz über die Berufsvertretung, die Berufsausübung, die Weiterbildung und die Berufsgerichtsbarkeit der Ärzte, Zahnärz</w:t>
      </w:r>
      <w:r>
        <w:rPr>
          <w:i/>
          <w:noProof/>
        </w:rPr>
        <w:t>te, Psychotherapeuten, Tierärzte und Apotheker (Heilberufsgesetz - HeilBerG);</w:t>
      </w:r>
    </w:p>
    <w:p w:rsidR="003E022D" w:rsidRDefault="007D19D6">
      <w:pPr>
        <w:rPr>
          <w:i/>
          <w:noProof/>
        </w:rPr>
      </w:pPr>
      <w:r>
        <w:rPr>
          <w:i/>
          <w:noProof/>
        </w:rPr>
        <w:t>Heilberufsgesetz Mecklenburg-Vorpommern (Heilberufsgesetz M-V – HeilBerG);</w:t>
      </w:r>
    </w:p>
    <w:p w:rsidR="003E022D" w:rsidRDefault="007D19D6">
      <w:pPr>
        <w:rPr>
          <w:i/>
          <w:noProof/>
        </w:rPr>
      </w:pPr>
      <w:r>
        <w:rPr>
          <w:i/>
          <w:noProof/>
        </w:rPr>
        <w:t>Heilberufsgesetz (HeilBG NRW);</w:t>
      </w:r>
    </w:p>
    <w:p w:rsidR="003E022D" w:rsidRDefault="007D19D6">
      <w:pPr>
        <w:rPr>
          <w:i/>
          <w:noProof/>
        </w:rPr>
      </w:pPr>
      <w:r>
        <w:rPr>
          <w:i/>
          <w:noProof/>
        </w:rPr>
        <w:t>Heilberufsgesetz (HeilBG Rheinland-Pfalz);</w:t>
      </w:r>
    </w:p>
    <w:p w:rsidR="003E022D" w:rsidRDefault="007D19D6">
      <w:pPr>
        <w:rPr>
          <w:i/>
          <w:noProof/>
        </w:rPr>
      </w:pPr>
      <w:r>
        <w:rPr>
          <w:i/>
          <w:noProof/>
        </w:rPr>
        <w:t>Gesetz über die öffentliche B</w:t>
      </w:r>
      <w:r>
        <w:rPr>
          <w:i/>
          <w:noProof/>
        </w:rPr>
        <w:t>erufsvertretung, die Berufspflichten, die Weiterbildung und die Berufsgerichtsbarkeit der Ärzte/ Ärztinnen, Zahnärzte/ Zahnärztinnen, psychologischen Psychotherapeuten/ Psychotherapeutinnen und Kinder- und Jugendlichenpsychotherapeuten/psychotherapeutinnen</w:t>
      </w:r>
      <w:r>
        <w:rPr>
          <w:i/>
          <w:noProof/>
        </w:rPr>
        <w:t xml:space="preserve">, Tierärzte/Tierärztinnen und Apotheker/Apothekerinnen im Saarland (Saarländisches Heilberufekammergesetz - SHKG); </w:t>
      </w:r>
    </w:p>
    <w:p w:rsidR="003E022D" w:rsidRDefault="007D19D6">
      <w:pPr>
        <w:rPr>
          <w:i/>
          <w:noProof/>
        </w:rPr>
      </w:pPr>
      <w:r>
        <w:rPr>
          <w:i/>
          <w:noProof/>
        </w:rPr>
        <w:t>Gesetz über Berufsausübung, Berufsvertretungen und Berufsgerichtsbarkeit der Ärzte, Zahnärzte, Tierärzte, Apotheker sowie der Psychologische</w:t>
      </w:r>
      <w:r>
        <w:rPr>
          <w:i/>
          <w:noProof/>
        </w:rPr>
        <w:t>n Psychotherapeuten und der Kinder und Jugendlichenpsychotherapeuten im Freistaat (Sächsisches Heilberufekammergesetz – SächsHKaG) un Thüringer Heilberufegesetz.</w:t>
      </w:r>
    </w:p>
    <w:p w:rsidR="003E022D" w:rsidRDefault="007D19D6">
      <w:pPr>
        <w:rPr>
          <w:bCs/>
          <w:noProof/>
          <w:u w:val="single"/>
        </w:rPr>
      </w:pPr>
      <w:r>
        <w:rPr>
          <w:bCs/>
          <w:noProof/>
          <w:u w:val="single"/>
        </w:rPr>
        <w:t>Attiecībā uz investīciju liberalizāciju – piekļuve tirgum, valsts režīms un pakalpojumu pārrob</w:t>
      </w:r>
      <w:r>
        <w:rPr>
          <w:bCs/>
          <w:noProof/>
          <w:u w:val="single"/>
        </w:rPr>
        <w:t xml:space="preserve">ežu tirdzniecība – piekļuve tirgum un klātbūtne uz vietas </w:t>
      </w:r>
    </w:p>
    <w:p w:rsidR="003E022D" w:rsidRDefault="007D19D6">
      <w:pPr>
        <w:rPr>
          <w:noProof/>
        </w:rPr>
      </w:pPr>
      <w:r>
        <w:rPr>
          <w:b/>
          <w:noProof/>
        </w:rPr>
        <w:t xml:space="preserve"> FR</w:t>
      </w:r>
      <w:r>
        <w:rPr>
          <w:noProof/>
        </w:rPr>
        <w:t>: ārvalstu investoriem ir pieejamas tikai juridiskās formas “société d'exercice liberal” (</w:t>
      </w:r>
      <w:r>
        <w:rPr>
          <w:i/>
          <w:noProof/>
        </w:rPr>
        <w:t>SEL</w:t>
      </w:r>
      <w:r>
        <w:rPr>
          <w:noProof/>
        </w:rPr>
        <w:t>) un “société civile professionnelle”(</w:t>
      </w:r>
      <w:r>
        <w:rPr>
          <w:i/>
          <w:noProof/>
        </w:rPr>
        <w:t>SCP</w:t>
      </w:r>
      <w:r>
        <w:rPr>
          <w:noProof/>
        </w:rPr>
        <w:t>), savukārt Savienības investoriem ir pieejami arī citi juri</w:t>
      </w:r>
      <w:r>
        <w:rPr>
          <w:noProof/>
        </w:rPr>
        <w:t>disko formu veidi. Lai sniegtu medicīnas, zobārstniecības un vecmāšu pakalpojumus, nepieciešama Francijas valstspiederība. Tomēr ārvalstniekiem ir iespējama piekļuve atbilstoši ikgadējām kvotām. Medicīnas, zobārstniecības un vecmāšu pakalpojumus un medmāsu</w:t>
      </w:r>
      <w:r>
        <w:rPr>
          <w:noProof/>
        </w:rPr>
        <w:t xml:space="preserve"> pakalpojumus var sniegt ar </w:t>
      </w:r>
      <w:r>
        <w:rPr>
          <w:i/>
          <w:noProof/>
        </w:rPr>
        <w:t>SEL à forme anonyme, à responsabilité limitée par actions simplifiée ou en commandite par actions SCP, société coopérative</w:t>
      </w:r>
      <w:r>
        <w:rPr>
          <w:noProof/>
        </w:rPr>
        <w:t xml:space="preserve"> (tikai neatkarīgiem vispārējās un specializētās aprūpes ārstiem) vai </w:t>
      </w:r>
      <w:r>
        <w:rPr>
          <w:i/>
          <w:noProof/>
        </w:rPr>
        <w:t>société interprofessionnelle de soin</w:t>
      </w:r>
      <w:r>
        <w:rPr>
          <w:i/>
          <w:noProof/>
        </w:rPr>
        <w:t>s ambulatoires (SISA)</w:t>
      </w:r>
      <w:r>
        <w:rPr>
          <w:noProof/>
        </w:rPr>
        <w:t xml:space="preserve"> tikai attiecībā uz multidisciplināru veselības aprūpes tīklu (</w:t>
      </w:r>
      <w:r>
        <w:rPr>
          <w:i/>
          <w:noProof/>
        </w:rPr>
        <w:t>MSP</w:t>
      </w:r>
      <w:r>
        <w:rPr>
          <w:noProof/>
        </w:rPr>
        <w:t>).</w:t>
      </w:r>
    </w:p>
    <w:p w:rsidR="003E022D" w:rsidRDefault="007D19D6">
      <w:pPr>
        <w:rPr>
          <w:b/>
          <w:i/>
          <w:noProof/>
        </w:rPr>
      </w:pPr>
      <w:r>
        <w:rPr>
          <w:b/>
          <w:i/>
          <w:noProof/>
        </w:rPr>
        <w:t xml:space="preserve">Pasākumi </w:t>
      </w:r>
    </w:p>
    <w:p w:rsidR="003E022D" w:rsidRDefault="007D19D6">
      <w:pPr>
        <w:rPr>
          <w:i/>
          <w:noProof/>
        </w:rPr>
      </w:pPr>
      <w:r>
        <w:rPr>
          <w:b/>
          <w:i/>
          <w:noProof/>
        </w:rPr>
        <w:t>FR</w:t>
      </w:r>
      <w:r>
        <w:rPr>
          <w:i/>
          <w:noProof/>
        </w:rPr>
        <w:t xml:space="preserve">: Loi 90-1258 relative à l'exercice sous forme de société des professions libérales, Loi n°2011-940 du 10 août 2011 modifiant certaines dipositions de la </w:t>
      </w:r>
      <w:r>
        <w:rPr>
          <w:i/>
          <w:noProof/>
        </w:rPr>
        <w:t xml:space="preserve">loi n°2009-879 dite HPST, Loi n°47-1775 portant statut de la coopération; un Code de la santé publique.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AT</w:t>
      </w:r>
      <w:r>
        <w:rPr>
          <w:noProof/>
        </w:rPr>
        <w:t xml:space="preserve">: ārstu sadarbība sabiedrības veselības ambulatorajai aprūpei, tā sauktā kopprakse, var notikt tikai šādās juridiskajās formās: </w:t>
      </w:r>
      <w:r>
        <w:rPr>
          <w:i/>
          <w:noProof/>
        </w:rPr>
        <w:t>Offene Gesellschaft/OG</w:t>
      </w:r>
      <w:r>
        <w:rPr>
          <w:noProof/>
        </w:rPr>
        <w:t xml:space="preserve"> vai </w:t>
      </w:r>
      <w:r>
        <w:rPr>
          <w:i/>
          <w:noProof/>
        </w:rPr>
        <w:t>Gesellschaft mit beschränkter Haftung/GmbH</w:t>
      </w:r>
      <w:r>
        <w:rPr>
          <w:noProof/>
        </w:rPr>
        <w:t>. Šādā kopppraksē partneri var būt vienīgi ārsti. Tiem ir j</w:t>
      </w:r>
      <w:r>
        <w:rPr>
          <w:noProof/>
        </w:rPr>
        <w:t>āiegūst tiesības uz neatkarīgu ārstu praksi, ko reģistrē Austrijas Ārstu kamerā, un praksē aktīvi jādarbojas ārsta profesijā. Citas fiziskas vai juridiskas personas nevar būt partneri koppraksē un nevar piedalīties tās ienākumu vai peļņas sadalē (daļa no C</w:t>
      </w:r>
      <w:r>
        <w:rPr>
          <w:noProof/>
        </w:rPr>
        <w:t xml:space="preserve">PC 9312).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Ārstu likums, BGBl. I Nr. 169/1998, §§ 52a - 52c; </w:t>
      </w:r>
    </w:p>
    <w:p w:rsidR="003E022D" w:rsidRDefault="007D19D6">
      <w:pPr>
        <w:rPr>
          <w:i/>
          <w:noProof/>
        </w:rPr>
      </w:pPr>
      <w:r>
        <w:rPr>
          <w:i/>
          <w:noProof/>
        </w:rPr>
        <w:t>Federālais likums, kas reglamentē augsta līmeņa saistīto veselības nozares darbinieku profesijas, BGBl. Nr. 460/1992; Federālais likums, kas reglamentē zemākā un augstākā līmeņa ār</w:t>
      </w:r>
      <w:r>
        <w:rPr>
          <w:i/>
          <w:noProof/>
        </w:rPr>
        <w:t>stnieciskos masierus, BGBl. Nr. 169/2002.</w:t>
      </w:r>
    </w:p>
    <w:p w:rsidR="003E022D" w:rsidRDefault="007D19D6">
      <w:pPr>
        <w:rPr>
          <w:b/>
          <w:i/>
          <w:noProof/>
        </w:rPr>
      </w:pPr>
      <w:bookmarkStart w:id="1023" w:name="_Toc5371302"/>
      <w:r>
        <w:rPr>
          <w:b/>
          <w:i/>
          <w:noProof/>
        </w:rPr>
        <w:t>b)</w:t>
      </w:r>
      <w:r>
        <w:rPr>
          <w:noProof/>
        </w:rPr>
        <w:tab/>
      </w:r>
      <w:bookmarkStart w:id="1024" w:name="_Toc452570609"/>
      <w:bookmarkEnd w:id="1024"/>
      <w:r>
        <w:rPr>
          <w:b/>
          <w:i/>
          <w:noProof/>
        </w:rPr>
        <w:t>Veterinārie pakalpojumi (CPC 932)</w:t>
      </w:r>
      <w:bookmarkEnd w:id="1023"/>
      <w:r>
        <w:rPr>
          <w:b/>
          <w:i/>
          <w:noProof/>
        </w:rPr>
        <w:t xml:space="preserve"> </w:t>
      </w:r>
    </w:p>
    <w:p w:rsidR="003E022D" w:rsidRDefault="007D19D6">
      <w:pPr>
        <w:rPr>
          <w:noProof/>
          <w:u w:val="single"/>
        </w:rPr>
      </w:pPr>
      <w:r>
        <w:rPr>
          <w:noProof/>
          <w:u w:val="single"/>
        </w:rPr>
        <w:t>Attiecībā uz investīciju liberalizāciju – piekļuve tirgum, valsts režīms, lielākās labvēlības režīms un pakalpojumu pārrobežu tirdzniecība – piekļuve tirgum, valsts režīms, lie</w:t>
      </w:r>
      <w:r>
        <w:rPr>
          <w:noProof/>
          <w:u w:val="single"/>
        </w:rPr>
        <w:t xml:space="preserve">lākās labvēlības režīms </w:t>
      </w:r>
    </w:p>
    <w:p w:rsidR="003E022D" w:rsidRDefault="007D19D6">
      <w:pPr>
        <w:rPr>
          <w:noProof/>
        </w:rPr>
      </w:pPr>
      <w:r>
        <w:rPr>
          <w:b/>
          <w:noProof/>
        </w:rPr>
        <w:t>AT</w:t>
      </w:r>
      <w:r>
        <w:rPr>
          <w:noProof/>
        </w:rPr>
        <w:t>: tikai EEZ dalībvalsts valstspiederīgie drīkst sniegt veterināros pakalpojumus. No valstspiederības prasības ir atbrīvoti tādu valstu valstspiederīgie, kuras nav EEZ dalībvalstis, ja ar attiecīgo valsti, kas nav EEZ dalībvalsts,</w:t>
      </w:r>
      <w:r>
        <w:rPr>
          <w:noProof/>
        </w:rPr>
        <w:t xml:space="preserve"> ir noslēgts Savienības nolīgums, kurā paredzēts valsts režīms attiecībā uz investīcijām un pārrobežu tirdzniecību veterināro pakalpojumu jomā. </w:t>
      </w:r>
    </w:p>
    <w:p w:rsidR="003E022D" w:rsidRDefault="007D19D6">
      <w:pPr>
        <w:rPr>
          <w:noProof/>
        </w:rPr>
      </w:pPr>
      <w:r>
        <w:rPr>
          <w:b/>
          <w:noProof/>
        </w:rPr>
        <w:t>ES</w:t>
      </w:r>
      <w:r>
        <w:rPr>
          <w:noProof/>
        </w:rPr>
        <w:t>: lai strādātu šajā profesijā, jābūt profesionālās apvienības biedram un nepieciešama Savienības valstspiederība, taču no šīs prasības var atbrīvot, ja noslēgts divpusējs nolīgums par profesiju. Veterināros pakalpojumus drīkst sniegt tikai fiziskas persona</w:t>
      </w:r>
      <w:r>
        <w:rPr>
          <w:noProof/>
        </w:rPr>
        <w:t xml:space="preserve">s. </w:t>
      </w:r>
    </w:p>
    <w:p w:rsidR="003E022D" w:rsidRDefault="007D19D6">
      <w:pPr>
        <w:rPr>
          <w:noProof/>
        </w:rPr>
      </w:pPr>
      <w:r>
        <w:rPr>
          <w:b/>
          <w:noProof/>
        </w:rPr>
        <w:t>FR</w:t>
      </w:r>
      <w:r>
        <w:rPr>
          <w:noProof/>
        </w:rPr>
        <w:t xml:space="preserve">: lai sniegtu veterināros pakalpojumus, nepieciešama EEZ valstspiederība, taču no valstspiederības prasības var atbrīvot, pamatojoties uz savstarpību. Sabiedrībām, kas sniedz veterināros pakalpojumus, var būt šādas juridiskās formas: </w:t>
      </w:r>
      <w:r>
        <w:rPr>
          <w:i/>
          <w:noProof/>
        </w:rPr>
        <w:t>SCP</w:t>
      </w:r>
      <w:r>
        <w:rPr>
          <w:noProof/>
        </w:rPr>
        <w:t xml:space="preserve"> (</w:t>
      </w:r>
      <w:r>
        <w:rPr>
          <w:i/>
          <w:noProof/>
        </w:rPr>
        <w:t>Société civ</w:t>
      </w:r>
      <w:r>
        <w:rPr>
          <w:i/>
          <w:noProof/>
        </w:rPr>
        <w:t>ile professionnelle</w:t>
      </w:r>
      <w:r>
        <w:rPr>
          <w:noProof/>
        </w:rPr>
        <w:t xml:space="preserve">) un </w:t>
      </w:r>
      <w:r>
        <w:rPr>
          <w:i/>
          <w:noProof/>
        </w:rPr>
        <w:t>SEL</w:t>
      </w:r>
      <w:r>
        <w:rPr>
          <w:noProof/>
        </w:rPr>
        <w:t xml:space="preserve"> (</w:t>
      </w:r>
      <w:r>
        <w:rPr>
          <w:i/>
          <w:noProof/>
        </w:rPr>
        <w:t>Société d'exercice liberal</w:t>
      </w:r>
      <w:r>
        <w:rPr>
          <w:noProof/>
        </w:rPr>
        <w:t xml:space="preserve">). </w:t>
      </w:r>
    </w:p>
    <w:p w:rsidR="003E022D" w:rsidRDefault="007D19D6">
      <w:pPr>
        <w:rPr>
          <w:noProof/>
        </w:rPr>
      </w:pPr>
      <w:r>
        <w:rPr>
          <w:noProof/>
        </w:rPr>
        <w:t>Ar zināmiem nosacījumiem var atļaut citas sabiedrības juridiskās formas, kas paredzētas Francijas tiesību aktos vai kādas citas EEZ dalībvalsts tiesību aktos, ja to juridiskā adrese, galvenā vadība</w:t>
      </w:r>
      <w:r>
        <w:rPr>
          <w:noProof/>
        </w:rPr>
        <w:t xml:space="preserve"> vai galvenā darījumdarbības vieta ir šajā valstī.</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Tierärztegesetz (Veterinārijas likums), BGBl. Nr. 16/1975, §3 (2) (3). </w:t>
      </w:r>
    </w:p>
    <w:p w:rsidR="003E022D" w:rsidRDefault="007D19D6">
      <w:pPr>
        <w:rPr>
          <w:i/>
          <w:noProof/>
        </w:rPr>
      </w:pPr>
      <w:r>
        <w:rPr>
          <w:b/>
          <w:i/>
          <w:noProof/>
        </w:rPr>
        <w:t>ES</w:t>
      </w:r>
      <w:r>
        <w:rPr>
          <w:i/>
          <w:noProof/>
        </w:rPr>
        <w:t>: Real Decreto 126/2013, de 22 de febrero, por el que se aprueban los Estatutos Generales de la Organización Colegial</w:t>
      </w:r>
      <w:r>
        <w:rPr>
          <w:i/>
          <w:noProof/>
        </w:rPr>
        <w:t xml:space="preserve"> Veterinaria Española;  62. un 64. pants. </w:t>
      </w:r>
    </w:p>
    <w:p w:rsidR="003E022D" w:rsidRDefault="007D19D6">
      <w:pPr>
        <w:rPr>
          <w:i/>
          <w:noProof/>
        </w:rPr>
      </w:pPr>
      <w:r>
        <w:rPr>
          <w:b/>
          <w:i/>
          <w:noProof/>
        </w:rPr>
        <w:t>FR</w:t>
      </w:r>
      <w:r>
        <w:rPr>
          <w:i/>
          <w:noProof/>
        </w:rPr>
        <w:t xml:space="preserve">: Code rural et de la pêche maritime. </w:t>
      </w:r>
    </w:p>
    <w:p w:rsidR="003E022D" w:rsidRDefault="007D19D6">
      <w:pPr>
        <w:rPr>
          <w:noProof/>
          <w:u w:val="single"/>
        </w:rPr>
      </w:pPr>
      <w:r>
        <w:rPr>
          <w:noProof/>
          <w:u w:val="single"/>
        </w:rPr>
        <w:t xml:space="preserve">Attiecībā uz investīciju liberalizāciju – piekļuve tirgum, valsts režīms un pakalpojumu pārrobežu tirdzniecība – valsts režīms, klātbūtne uz vietas </w:t>
      </w:r>
    </w:p>
    <w:p w:rsidR="003E022D" w:rsidRDefault="007D19D6">
      <w:pPr>
        <w:rPr>
          <w:noProof/>
        </w:rPr>
      </w:pPr>
      <w:r>
        <w:rPr>
          <w:b/>
          <w:noProof/>
        </w:rPr>
        <w:t>CY</w:t>
      </w:r>
      <w:r>
        <w:rPr>
          <w:noProof/>
        </w:rPr>
        <w:t>: uz veterināro pakal</w:t>
      </w:r>
      <w:r>
        <w:rPr>
          <w:noProof/>
        </w:rPr>
        <w:t xml:space="preserve">pojumu sniegšanu attiecas nosacījums par valstspiederību un dzīvesvietu. </w:t>
      </w:r>
    </w:p>
    <w:p w:rsidR="003E022D" w:rsidRDefault="007D19D6">
      <w:pPr>
        <w:rPr>
          <w:noProof/>
        </w:rPr>
      </w:pPr>
      <w:r>
        <w:rPr>
          <w:b/>
          <w:noProof/>
        </w:rPr>
        <w:t>EL</w:t>
      </w:r>
      <w:r>
        <w:rPr>
          <w:noProof/>
        </w:rPr>
        <w:t xml:space="preserve">: lai sniegtu veterināros pakalpojumus, nepieciešama EEZ vai Šveices valstspiederība. </w:t>
      </w:r>
    </w:p>
    <w:p w:rsidR="003E022D" w:rsidRDefault="007D19D6">
      <w:pPr>
        <w:rPr>
          <w:noProof/>
        </w:rPr>
      </w:pPr>
      <w:r>
        <w:rPr>
          <w:b/>
          <w:noProof/>
        </w:rPr>
        <w:t>HR</w:t>
      </w:r>
      <w:r>
        <w:rPr>
          <w:noProof/>
        </w:rPr>
        <w:t>: tikai juridiskas un fiziskas personas, kas veic uzņēmējdarbību dalībvalstī veterināru dar</w:t>
      </w:r>
      <w:r>
        <w:rPr>
          <w:noProof/>
        </w:rPr>
        <w:t xml:space="preserve">bību veikšanai, var sniegt pārrobežu veterināros pakalpojumus Horvātijas Republikā. Tikai Savienības valstspiederīgie var izveidot veterinārārsta praksi Horvātijas Republikā. </w:t>
      </w:r>
    </w:p>
    <w:p w:rsidR="003E022D" w:rsidRDefault="007D19D6">
      <w:pPr>
        <w:rPr>
          <w:noProof/>
        </w:rPr>
      </w:pPr>
      <w:r>
        <w:rPr>
          <w:b/>
          <w:noProof/>
        </w:rPr>
        <w:t>HU</w:t>
      </w:r>
      <w:r>
        <w:rPr>
          <w:noProof/>
        </w:rPr>
        <w:t>: lai varētu sniegt veterināros pakalpojumus, jābūt Ungārijas Veterinārārstu k</w:t>
      </w:r>
      <w:r>
        <w:rPr>
          <w:noProof/>
        </w:rPr>
        <w:t xml:space="preserve">ameras biedram, un, lai par tādu kļūtu, ir jābūt EEZ valstspiederīgajam. Lai saņemtu atļauju veikt uzņēmējdarbību, ir jāveic ekonomisko vajadzību pārbaude. Galvenie kritēriji: darba tirgus apstākļi nozarē.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Likums 169/1990 , ar grozījumiem. </w:t>
      </w:r>
    </w:p>
    <w:p w:rsidR="003E022D" w:rsidRDefault="007D19D6">
      <w:pPr>
        <w:rPr>
          <w:i/>
          <w:noProof/>
        </w:rPr>
      </w:pPr>
      <w:r>
        <w:rPr>
          <w:b/>
          <w:i/>
          <w:noProof/>
        </w:rPr>
        <w:t>EL</w:t>
      </w:r>
      <w:r>
        <w:rPr>
          <w:i/>
          <w:noProof/>
        </w:rPr>
        <w:t xml:space="preserve">: Prezidenta dekrēts 38/2010, Ministrijas lēmums 165261/IA/2010 (Gov. Gazette 2157/B). </w:t>
      </w:r>
    </w:p>
    <w:p w:rsidR="003E022D" w:rsidRDefault="007D19D6">
      <w:pPr>
        <w:rPr>
          <w:i/>
          <w:noProof/>
        </w:rPr>
      </w:pPr>
      <w:r>
        <w:rPr>
          <w:b/>
          <w:i/>
          <w:noProof/>
        </w:rPr>
        <w:t>HR</w:t>
      </w:r>
      <w:r>
        <w:rPr>
          <w:i/>
          <w:noProof/>
        </w:rPr>
        <w:t xml:space="preserve">: Veterinārijas likums (OG 83/13, 148/13, 115/18), 3. panta 67. punkts, 105. un 121. pants. </w:t>
      </w:r>
    </w:p>
    <w:p w:rsidR="003E022D" w:rsidRDefault="007D19D6">
      <w:pPr>
        <w:rPr>
          <w:i/>
          <w:noProof/>
        </w:rPr>
      </w:pPr>
      <w:r>
        <w:rPr>
          <w:b/>
          <w:i/>
          <w:noProof/>
        </w:rPr>
        <w:t>HU</w:t>
      </w:r>
      <w:r>
        <w:rPr>
          <w:i/>
          <w:noProof/>
        </w:rPr>
        <w:t>: 2012. gada Likums CXXVII par Ungārijas Veterinārārstu kameru un vet</w:t>
      </w:r>
      <w:r>
        <w:rPr>
          <w:i/>
          <w:noProof/>
        </w:rPr>
        <w:t xml:space="preserve">erināro pakalpojumu sniegšanas nosacījumiem.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CZ</w:t>
      </w:r>
      <w:r>
        <w:rPr>
          <w:noProof/>
        </w:rPr>
        <w:t xml:space="preserve">: lai sniegtu veterināros pakalpojumus, nepieciešama fiziska klātbūtne teritorijā. </w:t>
      </w:r>
    </w:p>
    <w:p w:rsidR="003E022D" w:rsidRDefault="007D19D6">
      <w:pPr>
        <w:rPr>
          <w:noProof/>
        </w:rPr>
      </w:pPr>
      <w:r>
        <w:rPr>
          <w:b/>
          <w:noProof/>
        </w:rPr>
        <w:t>IT</w:t>
      </w:r>
      <w:r>
        <w:rPr>
          <w:noProof/>
        </w:rPr>
        <w:t xml:space="preserve"> un </w:t>
      </w:r>
      <w:r>
        <w:rPr>
          <w:b/>
          <w:noProof/>
        </w:rPr>
        <w:t>PT</w:t>
      </w:r>
      <w:r>
        <w:rPr>
          <w:noProof/>
        </w:rPr>
        <w:t>: lai sniegtu veterināros pakalpojumus, ir jā</w:t>
      </w:r>
      <w:r>
        <w:rPr>
          <w:noProof/>
        </w:rPr>
        <w:t xml:space="preserve">būt rezidentam. </w:t>
      </w:r>
    </w:p>
    <w:p w:rsidR="003E022D" w:rsidRDefault="007D19D6">
      <w:pPr>
        <w:rPr>
          <w:noProof/>
        </w:rPr>
      </w:pPr>
      <w:r>
        <w:rPr>
          <w:b/>
          <w:noProof/>
        </w:rPr>
        <w:t>PL:</w:t>
      </w:r>
      <w:r>
        <w:rPr>
          <w:noProof/>
        </w:rPr>
        <w:t xml:space="preserve"> lai sniegtu veterināros pakalpojumus, nepieciešama fiziska klātbūtne teritorijā. Lai strādātu veterinārārsta profesijā Polijas teritorijā, valstu ārpus Eiropas Savienības valstspiederīgajiem ir jānokārto poļu valodas eksāmens, ko rīko </w:t>
      </w:r>
      <w:r>
        <w:rPr>
          <w:noProof/>
        </w:rPr>
        <w:t xml:space="preserve">Polijas veterinārārstu kamera. </w:t>
      </w:r>
    </w:p>
    <w:p w:rsidR="003E022D" w:rsidRDefault="007D19D6">
      <w:pPr>
        <w:rPr>
          <w:noProof/>
        </w:rPr>
      </w:pPr>
      <w:r>
        <w:rPr>
          <w:b/>
          <w:noProof/>
        </w:rPr>
        <w:t>SI</w:t>
      </w:r>
      <w:r>
        <w:rPr>
          <w:noProof/>
        </w:rPr>
        <w:t xml:space="preserve">: tikai juridiskas un fiziskas personas, kas veic uzņēmējdarbību dalībvalstī veterināru darbību veikšanai, var sniegt pārrobežu veterināros pakalpojumus Slovēnijas Republikā. </w:t>
      </w:r>
    </w:p>
    <w:p w:rsidR="003E022D" w:rsidRDefault="007D19D6">
      <w:pPr>
        <w:rPr>
          <w:noProof/>
          <w:u w:val="single"/>
        </w:rPr>
      </w:pPr>
      <w:r>
        <w:rPr>
          <w:noProof/>
          <w:u w:val="single"/>
        </w:rPr>
        <w:t xml:space="preserve">Attiecībā uz investīciju liberalizāciju – piekļuve tirgum un pakalpojumu pārrobežu tirdzniecība – piekļuve tirgum </w:t>
      </w:r>
    </w:p>
    <w:p w:rsidR="003E022D" w:rsidRDefault="007D19D6">
      <w:pPr>
        <w:rPr>
          <w:noProof/>
        </w:rPr>
      </w:pPr>
      <w:r>
        <w:rPr>
          <w:b/>
          <w:noProof/>
        </w:rPr>
        <w:t>SK</w:t>
      </w:r>
      <w:r>
        <w:rPr>
          <w:noProof/>
        </w:rPr>
        <w:t>: lai reģistrētos profesionālajā kamerā, kas nepieciešams, lai strādātu profesijā, nepieciešama dzīvesvieta EEZ. Veterināros pakalpojumus d</w:t>
      </w:r>
      <w:r>
        <w:rPr>
          <w:noProof/>
        </w:rPr>
        <w:t xml:space="preserve">rīkst sniegt tikai fiziskas personas. </w:t>
      </w:r>
    </w:p>
    <w:p w:rsidR="003E022D" w:rsidRDefault="007D19D6">
      <w:pPr>
        <w:rPr>
          <w:b/>
          <w:i/>
          <w:noProof/>
        </w:rPr>
      </w:pPr>
      <w:r>
        <w:rPr>
          <w:b/>
          <w:i/>
          <w:noProof/>
        </w:rPr>
        <w:t xml:space="preserve">Pasākumi </w:t>
      </w:r>
    </w:p>
    <w:p w:rsidR="003E022D" w:rsidRDefault="007D19D6">
      <w:pPr>
        <w:rPr>
          <w:i/>
          <w:noProof/>
        </w:rPr>
      </w:pPr>
      <w:r>
        <w:rPr>
          <w:b/>
          <w:i/>
          <w:noProof/>
        </w:rPr>
        <w:t>CZ</w:t>
      </w:r>
      <w:r>
        <w:rPr>
          <w:i/>
          <w:noProof/>
        </w:rPr>
        <w:t xml:space="preserve">: Likums Nr. 166/1999 Coll. (Veterinārijas likums), §58-63, 39 un </w:t>
      </w:r>
    </w:p>
    <w:p w:rsidR="003E022D" w:rsidRDefault="007D19D6">
      <w:pPr>
        <w:rPr>
          <w:i/>
          <w:noProof/>
        </w:rPr>
      </w:pPr>
      <w:r>
        <w:rPr>
          <w:i/>
          <w:noProof/>
        </w:rPr>
        <w:t xml:space="preserve">Likums Nr. 381/1991 Coll. (par Čehijas Republikas Veterinārārstu kameru), 4. pants. </w:t>
      </w:r>
    </w:p>
    <w:p w:rsidR="003E022D" w:rsidRDefault="007D19D6">
      <w:pPr>
        <w:rPr>
          <w:i/>
          <w:noProof/>
        </w:rPr>
      </w:pPr>
      <w:r>
        <w:rPr>
          <w:b/>
          <w:i/>
          <w:noProof/>
        </w:rPr>
        <w:t>IT</w:t>
      </w:r>
      <w:r>
        <w:rPr>
          <w:i/>
          <w:noProof/>
        </w:rPr>
        <w:t xml:space="preserve">: Likumdošanas dekrēts C.P.S. 233/1946, 7.-9. pants, un </w:t>
      </w:r>
    </w:p>
    <w:p w:rsidR="003E022D" w:rsidRDefault="007D19D6">
      <w:pPr>
        <w:rPr>
          <w:i/>
          <w:noProof/>
        </w:rPr>
      </w:pPr>
      <w:r>
        <w:rPr>
          <w:i/>
          <w:noProof/>
        </w:rPr>
        <w:t xml:space="preserve">Republikas Prezidenta dekrēts (DPR) 221/1950, 7. punkts. </w:t>
      </w:r>
    </w:p>
    <w:p w:rsidR="003E022D" w:rsidRDefault="007D19D6">
      <w:pPr>
        <w:rPr>
          <w:i/>
          <w:noProof/>
        </w:rPr>
      </w:pPr>
      <w:r>
        <w:rPr>
          <w:b/>
          <w:i/>
          <w:noProof/>
        </w:rPr>
        <w:t>PL</w:t>
      </w:r>
      <w:r>
        <w:rPr>
          <w:i/>
          <w:noProof/>
        </w:rPr>
        <w:t xml:space="preserve">: 1990. gada 21. decembra Likums par veterinārārsta profesiju un veterinārārstu kamerām. </w:t>
      </w:r>
    </w:p>
    <w:p w:rsidR="003E022D" w:rsidRDefault="007D19D6">
      <w:pPr>
        <w:rPr>
          <w:i/>
          <w:noProof/>
        </w:rPr>
      </w:pPr>
      <w:r>
        <w:rPr>
          <w:b/>
          <w:i/>
          <w:noProof/>
        </w:rPr>
        <w:t>PT</w:t>
      </w:r>
      <w:r>
        <w:rPr>
          <w:i/>
          <w:noProof/>
        </w:rPr>
        <w:t>: Dekrētlikums 368/91 (Veterinārārstu profesion</w:t>
      </w:r>
      <w:r>
        <w:rPr>
          <w:i/>
          <w:noProof/>
        </w:rPr>
        <w:t>ālās apvienības statūti)</w:t>
      </w:r>
      <w:r>
        <w:rPr>
          <w:noProof/>
        </w:rPr>
        <w:t xml:space="preserve"> </w:t>
      </w:r>
      <w:r>
        <w:rPr>
          <w:i/>
          <w:noProof/>
        </w:rPr>
        <w:t xml:space="preserve">alterado p/ Lei 125/2015, 3 set. </w:t>
      </w:r>
    </w:p>
    <w:p w:rsidR="003E022D" w:rsidRDefault="007D19D6">
      <w:pPr>
        <w:rPr>
          <w:i/>
          <w:noProof/>
        </w:rPr>
      </w:pPr>
      <w:r>
        <w:rPr>
          <w:b/>
          <w:i/>
          <w:noProof/>
        </w:rPr>
        <w:t>SI</w:t>
      </w:r>
      <w:r>
        <w:rPr>
          <w:i/>
          <w:noProof/>
        </w:rPr>
        <w:t>: Pravilnik o priznavanju poklicnih kvalifikacij veterinarjev (Noteikumi par veterinārārstu profesionālo kvalifikāciju atzīšanu), Uradni list RS, št. (Official Gazette No) 71/2008, 7/2011, 59/201</w:t>
      </w:r>
      <w:r>
        <w:rPr>
          <w:i/>
          <w:noProof/>
        </w:rPr>
        <w:t xml:space="preserve">4, ietverti 21/2016 Likumā par pakalpojumiem iekšējā tirgū, Official Gazette RS No 21/2010. </w:t>
      </w:r>
    </w:p>
    <w:p w:rsidR="003E022D" w:rsidRDefault="007D19D6">
      <w:pPr>
        <w:rPr>
          <w:i/>
          <w:noProof/>
        </w:rPr>
      </w:pPr>
      <w:r>
        <w:rPr>
          <w:b/>
          <w:i/>
          <w:noProof/>
        </w:rPr>
        <w:t>SK</w:t>
      </w:r>
      <w:r>
        <w:rPr>
          <w:i/>
          <w:noProof/>
        </w:rPr>
        <w:t xml:space="preserve">: Likums 442/2004 par privātajiem veterinārārstiem un veterinārārstu kamerām, 2. pants. </w:t>
      </w:r>
    </w:p>
    <w:p w:rsidR="003E022D" w:rsidRDefault="007D19D6">
      <w:pPr>
        <w:rPr>
          <w:noProof/>
          <w:u w:val="single"/>
        </w:rPr>
      </w:pPr>
      <w:r>
        <w:rPr>
          <w:noProof/>
          <w:u w:val="single"/>
        </w:rPr>
        <w:t>Attiecībā uz investīciju liberalizāciju – piekļuve tirgum un pakalpojumu</w:t>
      </w:r>
      <w:r>
        <w:rPr>
          <w:noProof/>
          <w:u w:val="single"/>
        </w:rPr>
        <w:t xml:space="preserve"> pārrobežu tirdzniecība – piekļuve tirgum </w:t>
      </w:r>
    </w:p>
    <w:p w:rsidR="003E022D" w:rsidRDefault="007D19D6">
      <w:pPr>
        <w:rPr>
          <w:noProof/>
        </w:rPr>
      </w:pPr>
      <w:r>
        <w:rPr>
          <w:b/>
          <w:noProof/>
        </w:rPr>
        <w:t>DE</w:t>
      </w:r>
      <w:r>
        <w:rPr>
          <w:noProof/>
        </w:rPr>
        <w:t xml:space="preserve"> (attiecas arī uz valdības reģionālo līmeni): veterināros pakalpojumus drīkst sniegt tikai fiziskas personas. Telemedicīnas pakalpojumus var sniegt tikai primārās ārstēšanas kontekstā ar iepriekšēju veterinārārs</w:t>
      </w:r>
      <w:r>
        <w:rPr>
          <w:noProof/>
        </w:rPr>
        <w:t xml:space="preserve">ta fizisku klātbūtni. </w:t>
      </w:r>
    </w:p>
    <w:p w:rsidR="003E022D" w:rsidRDefault="007D19D6">
      <w:pPr>
        <w:rPr>
          <w:noProof/>
        </w:rPr>
      </w:pPr>
      <w:r>
        <w:rPr>
          <w:b/>
          <w:noProof/>
        </w:rPr>
        <w:t>DK</w:t>
      </w:r>
      <w:r>
        <w:rPr>
          <w:noProof/>
        </w:rPr>
        <w:t xml:space="preserve"> un </w:t>
      </w:r>
      <w:r>
        <w:rPr>
          <w:b/>
          <w:noProof/>
        </w:rPr>
        <w:t>NL</w:t>
      </w:r>
      <w:r>
        <w:rPr>
          <w:noProof/>
        </w:rPr>
        <w:t xml:space="preserve">: veterināros pakalpojumus drīkst sniegt tikai fiziskas personas. </w:t>
      </w:r>
    </w:p>
    <w:p w:rsidR="003E022D" w:rsidRDefault="007D19D6">
      <w:pPr>
        <w:rPr>
          <w:noProof/>
        </w:rPr>
      </w:pPr>
      <w:r>
        <w:rPr>
          <w:b/>
          <w:noProof/>
        </w:rPr>
        <w:t>IE</w:t>
      </w:r>
      <w:r>
        <w:rPr>
          <w:noProof/>
        </w:rPr>
        <w:t xml:space="preserve">: veterināros pakalpojumus drīkst sniegt tikai fiziskas personas vai personālsabiedrības. </w:t>
      </w:r>
    </w:p>
    <w:p w:rsidR="003E022D" w:rsidRDefault="007D19D6">
      <w:pPr>
        <w:rPr>
          <w:noProof/>
        </w:rPr>
      </w:pPr>
      <w:r>
        <w:rPr>
          <w:b/>
          <w:noProof/>
        </w:rPr>
        <w:t>LV</w:t>
      </w:r>
      <w:r>
        <w:rPr>
          <w:noProof/>
        </w:rPr>
        <w:t>: veterināros pakalpojumus drīkst sniegt tikai fiziskas persona</w:t>
      </w:r>
      <w:r>
        <w:rPr>
          <w:noProof/>
        </w:rPr>
        <w:t xml:space="preserve">s. </w:t>
      </w:r>
    </w:p>
    <w:p w:rsidR="003E022D" w:rsidRDefault="007D19D6">
      <w:pPr>
        <w:rPr>
          <w:b/>
          <w:i/>
          <w:noProof/>
        </w:rPr>
      </w:pPr>
      <w:r>
        <w:rPr>
          <w:b/>
          <w:i/>
          <w:noProof/>
        </w:rPr>
        <w:t xml:space="preserve">Pasākumi </w:t>
      </w:r>
    </w:p>
    <w:p w:rsidR="003E022D" w:rsidRDefault="007D19D6">
      <w:pPr>
        <w:rPr>
          <w:i/>
          <w:noProof/>
        </w:rPr>
      </w:pPr>
      <w:r>
        <w:rPr>
          <w:b/>
          <w:i/>
          <w:noProof/>
        </w:rPr>
        <w:t>DE</w:t>
      </w:r>
      <w:r>
        <w:rPr>
          <w:i/>
          <w:noProof/>
        </w:rPr>
        <w:t>: Bundes-Tierärzteordnung (BTÄO; Veterinārārsta profesijas federālais kodekss).</w:t>
      </w:r>
    </w:p>
    <w:p w:rsidR="003E022D" w:rsidRDefault="007D19D6">
      <w:pPr>
        <w:rPr>
          <w:i/>
          <w:noProof/>
        </w:rPr>
      </w:pPr>
      <w:r>
        <w:rPr>
          <w:i/>
          <w:noProof/>
        </w:rPr>
        <w:t>Reģionālā līmenī:</w:t>
      </w:r>
    </w:p>
    <w:p w:rsidR="003E022D" w:rsidRDefault="007D19D6">
      <w:pPr>
        <w:rPr>
          <w:i/>
          <w:noProof/>
        </w:rPr>
      </w:pPr>
      <w:r>
        <w:rPr>
          <w:i/>
          <w:noProof/>
        </w:rPr>
        <w:t>likumi par federālo zemju mediķu padomēm (Heilberufs- und</w:t>
      </w:r>
    </w:p>
    <w:p w:rsidR="003E022D" w:rsidRDefault="007D19D6">
      <w:pPr>
        <w:rPr>
          <w:i/>
          <w:noProof/>
        </w:rPr>
      </w:pPr>
      <w:r>
        <w:rPr>
          <w:i/>
          <w:noProof/>
        </w:rPr>
        <w:t>Kammergesetze der Länder) un (pamatojoties uz tiem)</w:t>
      </w:r>
    </w:p>
    <w:p w:rsidR="003E022D" w:rsidRDefault="007D19D6">
      <w:pPr>
        <w:rPr>
          <w:i/>
          <w:noProof/>
        </w:rPr>
      </w:pPr>
      <w:r>
        <w:rPr>
          <w:i/>
          <w:noProof/>
        </w:rPr>
        <w:t>Baden-Württemberg, Gesetz über d</w:t>
      </w:r>
      <w:r>
        <w:rPr>
          <w:i/>
          <w:noProof/>
        </w:rPr>
        <w:t>as Berufsrecht und die Kammern der Ärzte, Zahnärzte, Tierärzte Apotheker, Psychologischen Psychotherapeuten sowie der Kinder- und Jugendlichenpsychotherapeuten (Heilberufe-Kammergesetz - HBKG);</w:t>
      </w:r>
    </w:p>
    <w:p w:rsidR="003E022D" w:rsidRDefault="007D19D6">
      <w:pPr>
        <w:rPr>
          <w:i/>
          <w:noProof/>
        </w:rPr>
      </w:pPr>
      <w:r>
        <w:rPr>
          <w:i/>
          <w:noProof/>
        </w:rPr>
        <w:t>Bayern, Gesetz über die Berufsausübung, die Berufsvertretungen</w:t>
      </w:r>
      <w:r>
        <w:rPr>
          <w:i/>
          <w:noProof/>
        </w:rPr>
        <w:t xml:space="preserve"> und die Berufsgerichtsbarkeit der Ärzte, Zahnärzte, Tierärzte, Apotheker sowie der Psychologischen Psychotherapeuten und der Kinder- und Jugendlichenpsychotherapeuten (Heilberufe-Kammergesetz - HKaG);</w:t>
      </w:r>
    </w:p>
    <w:p w:rsidR="003E022D" w:rsidRDefault="007D19D6">
      <w:pPr>
        <w:rPr>
          <w:i/>
          <w:noProof/>
        </w:rPr>
      </w:pPr>
      <w:r>
        <w:rPr>
          <w:i/>
          <w:noProof/>
        </w:rPr>
        <w:t>Berliner Heilberufekammergesetz (BlnHKG);</w:t>
      </w:r>
    </w:p>
    <w:p w:rsidR="003E022D" w:rsidRDefault="007D19D6">
      <w:pPr>
        <w:rPr>
          <w:i/>
          <w:noProof/>
        </w:rPr>
      </w:pPr>
      <w:r>
        <w:rPr>
          <w:i/>
          <w:noProof/>
        </w:rPr>
        <w:t>Brandenburg,</w:t>
      </w:r>
      <w:r>
        <w:rPr>
          <w:i/>
          <w:noProof/>
        </w:rPr>
        <w:t xml:space="preserve"> Heilberufsgesetz (HeilBerG); </w:t>
      </w:r>
    </w:p>
    <w:p w:rsidR="003E022D" w:rsidRDefault="007D19D6">
      <w:pPr>
        <w:rPr>
          <w:i/>
          <w:noProof/>
        </w:rPr>
      </w:pPr>
      <w:r>
        <w:rPr>
          <w:i/>
          <w:noProof/>
        </w:rPr>
        <w:t>Bremen, Gesetz über die Berufsvertretung, die Berufsausübung, die Weiterbildung und die Berufsgerichtsbarkeit der Ärzte, Zahnärzte, Psychotherapeuten, Tierärzte und Apotheker (Heilberufsgesetz - HeilBerG);</w:t>
      </w:r>
    </w:p>
    <w:p w:rsidR="003E022D" w:rsidRDefault="007D19D6">
      <w:pPr>
        <w:rPr>
          <w:i/>
          <w:noProof/>
        </w:rPr>
      </w:pPr>
      <w:r>
        <w:rPr>
          <w:i/>
          <w:noProof/>
        </w:rPr>
        <w:t>Hamburg, Hamburgisc</w:t>
      </w:r>
      <w:r>
        <w:rPr>
          <w:i/>
          <w:noProof/>
        </w:rPr>
        <w:t>hes Kammergesetz für die Heilberufe (HmbKGH);</w:t>
      </w:r>
    </w:p>
    <w:p w:rsidR="003E022D" w:rsidRDefault="007D19D6">
      <w:pPr>
        <w:rPr>
          <w:i/>
          <w:noProof/>
        </w:rPr>
      </w:pPr>
      <w:r>
        <w:rPr>
          <w:i/>
          <w:noProof/>
        </w:rPr>
        <w:t>Hessen, Gesetz über die Berufsvertretungen, die Berufsausübung, die Weiterbildung und die Berufsgerichtsbarkeit der Ärzte, Zahnärzte, Tierärzte, Apotheker, Psychologischen Psychotherapeuten und Kinder- und Juge</w:t>
      </w:r>
      <w:r>
        <w:rPr>
          <w:i/>
          <w:noProof/>
        </w:rPr>
        <w:t>ndlichenpsychotherapeuten (Heilberufsgesetz);</w:t>
      </w:r>
    </w:p>
    <w:p w:rsidR="003E022D" w:rsidRDefault="007D19D6">
      <w:pPr>
        <w:rPr>
          <w:i/>
          <w:noProof/>
        </w:rPr>
      </w:pPr>
      <w:r>
        <w:rPr>
          <w:i/>
          <w:noProof/>
        </w:rPr>
        <w:t>Mecklenburg-Vorpommern, Heilberufsgesetz (HeilBerG);</w:t>
      </w:r>
    </w:p>
    <w:p w:rsidR="003E022D" w:rsidRDefault="007D19D6">
      <w:pPr>
        <w:rPr>
          <w:i/>
          <w:noProof/>
        </w:rPr>
      </w:pPr>
      <w:r>
        <w:rPr>
          <w:i/>
          <w:noProof/>
        </w:rPr>
        <w:t xml:space="preserve">Niedersachsen, Kammergesetz für die Heilberufe (HKG); </w:t>
      </w:r>
    </w:p>
    <w:p w:rsidR="003E022D" w:rsidRDefault="007D19D6">
      <w:pPr>
        <w:rPr>
          <w:i/>
          <w:noProof/>
        </w:rPr>
      </w:pPr>
      <w:r>
        <w:rPr>
          <w:i/>
          <w:noProof/>
        </w:rPr>
        <w:t>Nordrhein-Westfalen, Heilberufsgesetz NRW (HeilBerg);</w:t>
      </w:r>
    </w:p>
    <w:p w:rsidR="003E022D" w:rsidRDefault="007D19D6">
      <w:pPr>
        <w:rPr>
          <w:i/>
          <w:noProof/>
        </w:rPr>
      </w:pPr>
      <w:r>
        <w:rPr>
          <w:i/>
          <w:noProof/>
        </w:rPr>
        <w:t>Rheinland-Pfalz, Heilberufsgesetz (HeilBG);</w:t>
      </w:r>
    </w:p>
    <w:p w:rsidR="003E022D" w:rsidRDefault="007D19D6">
      <w:pPr>
        <w:rPr>
          <w:i/>
          <w:noProof/>
        </w:rPr>
      </w:pPr>
      <w:r>
        <w:rPr>
          <w:i/>
          <w:noProof/>
        </w:rPr>
        <w:t>Saarland, Gesetz Nr. 1405 über die öffentliche Berufsvertretung, die Berufspflichten, die Weiterbildung und die Berufsgerichtsbarkeit der Ärzte/Ärztinnen, Zahnärzte/Zahnärztinnen, Tierärzte/Tierärztinnen und Apotheker/Apothekerinnen im Saarland (Saarländis</w:t>
      </w:r>
      <w:r>
        <w:rPr>
          <w:i/>
          <w:noProof/>
        </w:rPr>
        <w:t>ches Heilberufekammergesetz - SHKG);</w:t>
      </w:r>
    </w:p>
    <w:p w:rsidR="003E022D" w:rsidRDefault="007D19D6">
      <w:pPr>
        <w:rPr>
          <w:i/>
          <w:noProof/>
        </w:rPr>
      </w:pPr>
      <w:r>
        <w:rPr>
          <w:i/>
          <w:noProof/>
        </w:rPr>
        <w:t xml:space="preserve">Sachsen, Gesetz über Berufsausübung, Berufsvertretungen und Berufsgerichtsbarkeit der Ärzte, Zahnärzte, Tierärzte, Apotheker sowie der Psychologischen Psychotherapeuten und der Kinder- und Jugendlichenpsychotherapeuten </w:t>
      </w:r>
      <w:r>
        <w:rPr>
          <w:i/>
          <w:noProof/>
        </w:rPr>
        <w:t>im Freistaat Sachsen (Sächsisches Heilberufekammergesetz – SächsHKaG);</w:t>
      </w:r>
    </w:p>
    <w:p w:rsidR="003E022D" w:rsidRDefault="007D19D6">
      <w:pPr>
        <w:rPr>
          <w:i/>
          <w:noProof/>
        </w:rPr>
      </w:pPr>
      <w:r>
        <w:rPr>
          <w:i/>
          <w:noProof/>
        </w:rPr>
        <w:t>Sachsen-Anhalt, Gesetz über die Kammern für Heilberufe Sachsen-Anhalt (KGHB-LSA);</w:t>
      </w:r>
    </w:p>
    <w:p w:rsidR="003E022D" w:rsidRDefault="007D19D6">
      <w:pPr>
        <w:rPr>
          <w:i/>
          <w:noProof/>
        </w:rPr>
      </w:pPr>
      <w:r>
        <w:rPr>
          <w:i/>
          <w:noProof/>
        </w:rPr>
        <w:t>Schleswig-Holstein, Gesetz über die Kammern und die Berufsgerichtsbarkeit für die Heilberufe (Heilberuf</w:t>
      </w:r>
      <w:r>
        <w:rPr>
          <w:i/>
          <w:noProof/>
        </w:rPr>
        <w:t>ekammergesetz - HBKG);</w:t>
      </w:r>
    </w:p>
    <w:p w:rsidR="003E022D" w:rsidRDefault="007D19D6">
      <w:pPr>
        <w:rPr>
          <w:i/>
          <w:noProof/>
        </w:rPr>
      </w:pPr>
      <w:r>
        <w:rPr>
          <w:i/>
          <w:noProof/>
        </w:rPr>
        <w:t>Thüringen, Thüringer Heilberufegesetz (ThürHeilBG) un</w:t>
      </w:r>
    </w:p>
    <w:p w:rsidR="003E022D" w:rsidRDefault="007D19D6">
      <w:pPr>
        <w:rPr>
          <w:i/>
          <w:noProof/>
        </w:rPr>
      </w:pPr>
      <w:r>
        <w:rPr>
          <w:i/>
          <w:noProof/>
        </w:rPr>
        <w:t>Berufsordnungen der Kammern (Veterinārārstu padomju profesionālās rīcības kodeksi).</w:t>
      </w:r>
    </w:p>
    <w:p w:rsidR="003E022D" w:rsidRDefault="007D19D6">
      <w:pPr>
        <w:rPr>
          <w:i/>
          <w:noProof/>
        </w:rPr>
      </w:pPr>
      <w:r>
        <w:rPr>
          <w:b/>
          <w:i/>
          <w:noProof/>
        </w:rPr>
        <w:t>DK</w:t>
      </w:r>
      <w:r>
        <w:rPr>
          <w:i/>
          <w:noProof/>
        </w:rPr>
        <w:t>: Lovbekendtgørelse nr. 40 af lov om dyrlæger af 15. januar 2020 (2020. gada 15. janvāra kons</w:t>
      </w:r>
      <w:r>
        <w:rPr>
          <w:i/>
          <w:noProof/>
        </w:rPr>
        <w:t xml:space="preserve">olidētais likums Nr. 40 par veterinārārstiem). </w:t>
      </w:r>
    </w:p>
    <w:p w:rsidR="003E022D" w:rsidRDefault="007D19D6">
      <w:pPr>
        <w:rPr>
          <w:i/>
          <w:noProof/>
        </w:rPr>
      </w:pPr>
      <w:r>
        <w:rPr>
          <w:b/>
          <w:i/>
          <w:noProof/>
        </w:rPr>
        <w:t>IE</w:t>
      </w:r>
      <w:r>
        <w:rPr>
          <w:i/>
          <w:noProof/>
        </w:rPr>
        <w:t xml:space="preserve">: 2005. gada Veterinārās prakses likums. </w:t>
      </w:r>
    </w:p>
    <w:p w:rsidR="003E022D" w:rsidRDefault="007D19D6">
      <w:pPr>
        <w:rPr>
          <w:i/>
          <w:noProof/>
        </w:rPr>
      </w:pPr>
      <w:r>
        <w:rPr>
          <w:b/>
          <w:i/>
          <w:noProof/>
        </w:rPr>
        <w:t>LV</w:t>
      </w:r>
      <w:r>
        <w:rPr>
          <w:i/>
          <w:noProof/>
        </w:rPr>
        <w:t xml:space="preserve">: Veterinārmedicīnas likums. </w:t>
      </w:r>
    </w:p>
    <w:p w:rsidR="003E022D" w:rsidRDefault="007D19D6">
      <w:pPr>
        <w:rPr>
          <w:i/>
          <w:noProof/>
        </w:rPr>
      </w:pPr>
      <w:r>
        <w:rPr>
          <w:b/>
          <w:i/>
          <w:noProof/>
        </w:rPr>
        <w:t>NL</w:t>
      </w:r>
      <w:r>
        <w:rPr>
          <w:i/>
          <w:noProof/>
        </w:rPr>
        <w:t xml:space="preserve">: WID op de uitoefening van de diergeneeskunde 1990 (WUD). </w:t>
      </w:r>
    </w:p>
    <w:p w:rsidR="003E022D" w:rsidRDefault="007D19D6">
      <w:pPr>
        <w:rPr>
          <w:b/>
          <w:i/>
          <w:noProof/>
        </w:rPr>
      </w:pPr>
      <w:bookmarkStart w:id="1025" w:name="_Toc5371303"/>
      <w:r>
        <w:rPr>
          <w:b/>
          <w:i/>
          <w:noProof/>
        </w:rPr>
        <w:t xml:space="preserve">c) </w:t>
      </w:r>
      <w:r>
        <w:rPr>
          <w:noProof/>
        </w:rPr>
        <w:tab/>
      </w:r>
      <w:bookmarkStart w:id="1026" w:name="_Toc452570610"/>
      <w:r>
        <w:rPr>
          <w:b/>
          <w:i/>
          <w:noProof/>
        </w:rPr>
        <w:t>Zāļu, medicīnisko un ortopēdisko preču mazumtirdzniecība un citi f</w:t>
      </w:r>
      <w:r>
        <w:rPr>
          <w:b/>
          <w:i/>
          <w:noProof/>
        </w:rPr>
        <w:t>armaceitu sniegti pakalpojumi (CPC 63211)</w:t>
      </w:r>
      <w:bookmarkEnd w:id="1025"/>
      <w:bookmarkEnd w:id="1026"/>
      <w:r>
        <w:rPr>
          <w:b/>
          <w:i/>
          <w:noProof/>
        </w:rPr>
        <w:t xml:space="preserve"> </w:t>
      </w:r>
    </w:p>
    <w:p w:rsidR="003E022D" w:rsidRDefault="007D19D6">
      <w:pPr>
        <w:rPr>
          <w:noProof/>
          <w:u w:val="single"/>
        </w:rPr>
      </w:pPr>
      <w:r>
        <w:rPr>
          <w:noProof/>
          <w:u w:val="single"/>
        </w:rPr>
        <w:t xml:space="preserve">Attiecībā uz investīciju liberalizāciju – piekļuve tirgum, valsts režīms, augstākā vadība un direktoru padomes </w:t>
      </w:r>
    </w:p>
    <w:p w:rsidR="003E022D" w:rsidRDefault="007D19D6">
      <w:pPr>
        <w:rPr>
          <w:noProof/>
        </w:rPr>
      </w:pPr>
      <w:r>
        <w:rPr>
          <w:b/>
          <w:noProof/>
        </w:rPr>
        <w:t>AT</w:t>
      </w:r>
      <w:r>
        <w:rPr>
          <w:noProof/>
        </w:rPr>
        <w:t>: zāļu un īpašu medicīnas preču mazumtirdzniecība sabiedrībai drīkst notikt tikai aptiekās. Lai var</w:t>
      </w:r>
      <w:r>
        <w:rPr>
          <w:noProof/>
        </w:rPr>
        <w:t xml:space="preserve">ētu vadīt aptieku, ir vajadzīga EEZ dalībvalsts vai Šveices Konfederācijas valstspiederība. Aptieku nomniekiem un par aptieku vadību atbildīgajām personām jābūt EEZ dalībvalsts vai Šveices Konfederācijas valstspiederīgajiem.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Apothekengesetz </w:t>
      </w:r>
      <w:r>
        <w:rPr>
          <w:i/>
          <w:noProof/>
        </w:rPr>
        <w:t xml:space="preserve">(Aptieku likums), RGBl. Nr. 5/1907 ar grozījumiem, §§ 3, 4, 12; Arzneimittelgesetz (Zāļu likums), BGBl. Nr. 185/1983 , ar grozījumiem, §§ 57, 59, 59a; Medizinproduktegesetz (Medicīnas ierīču likums), BGBl. Nr. 657/1996 , ar grozījumiem, § 99. </w:t>
      </w:r>
    </w:p>
    <w:p w:rsidR="003E022D" w:rsidRDefault="007D19D6">
      <w:pPr>
        <w:rPr>
          <w:noProof/>
          <w:u w:val="single"/>
        </w:rPr>
      </w:pPr>
      <w:r>
        <w:rPr>
          <w:noProof/>
          <w:u w:val="single"/>
        </w:rPr>
        <w:t>Attiecībā uz</w:t>
      </w:r>
      <w:r>
        <w:rPr>
          <w:noProof/>
          <w:u w:val="single"/>
        </w:rPr>
        <w:t xml:space="preserve"> investīciju liberalizāciju – piekļuve tirgum, valsts režīms </w:t>
      </w:r>
    </w:p>
    <w:p w:rsidR="003E022D" w:rsidRDefault="007D19D6">
      <w:pPr>
        <w:rPr>
          <w:noProof/>
        </w:rPr>
      </w:pPr>
      <w:r>
        <w:rPr>
          <w:b/>
          <w:noProof/>
        </w:rPr>
        <w:t>DE:</w:t>
      </w:r>
      <w:r>
        <w:rPr>
          <w:noProof/>
        </w:rPr>
        <w:t xml:space="preserve"> aptieku drīkst vadīt tikai fiziskas personas (farmaceiti). Citu valstu valstspiederīgie vai personas, kuras nav nokārtojušas Vācijas eksāmenu farmācijā, var saņemt tikai licenci tādas aptiek</w:t>
      </w:r>
      <w:r>
        <w:rPr>
          <w:noProof/>
        </w:rPr>
        <w:t xml:space="preserve">as pārņemšanai, kas jau pastāvējusi iepriekšējos trīs gadus. Kopējais aptieku skaits uz vienu personu ir ierobežots līdz vienai aptiekai un trim aptieku filiālēm. </w:t>
      </w:r>
    </w:p>
    <w:p w:rsidR="003E022D" w:rsidRDefault="007D19D6">
      <w:pPr>
        <w:rPr>
          <w:noProof/>
        </w:rPr>
      </w:pPr>
      <w:r>
        <w:rPr>
          <w:b/>
          <w:noProof/>
        </w:rPr>
        <w:t>FR</w:t>
      </w:r>
      <w:r>
        <w:rPr>
          <w:noProof/>
        </w:rPr>
        <w:t xml:space="preserve">: EEZ valsts vai Šveices valstspiederības prasība, lai pārvaldītu aptieku. </w:t>
      </w:r>
    </w:p>
    <w:p w:rsidR="003E022D" w:rsidRDefault="007D19D6">
      <w:pPr>
        <w:rPr>
          <w:noProof/>
        </w:rPr>
      </w:pPr>
      <w:r>
        <w:rPr>
          <w:noProof/>
        </w:rPr>
        <w:t>Ārvalstu farma</w:t>
      </w:r>
      <w:r>
        <w:rPr>
          <w:noProof/>
        </w:rPr>
        <w:t>ceitiem var atļaut veikt uzņēmējdarbību atbilstoši ikgadējām kvotām. Lai atvērtu aptieku, jāsaņem atļauja, un komerciālai klātbūtnei, ieskaitot zāļu tālpārdošanu sabiedrībai informācijas sabiedrības pakalpojumu ietvaros, bez diskriminācijas jābūt tikai vie</w:t>
      </w:r>
      <w:r>
        <w:rPr>
          <w:noProof/>
        </w:rPr>
        <w:t xml:space="preserve">nā no šādām juridiskajām formām, kas atļautas saskaņā ar valsts tiesību aktiem: </w:t>
      </w:r>
      <w:r>
        <w:rPr>
          <w:i/>
          <w:noProof/>
        </w:rPr>
        <w:t>société d’exercice libéral (SEL) anonyme, par actions simplifiée, à responsabilité limitée unipersonnelle or pluripersonnelle, en commandite par actions, société en noms collec</w:t>
      </w:r>
      <w:r>
        <w:rPr>
          <w:i/>
          <w:noProof/>
        </w:rPr>
        <w:t>tifs (SNC) or société à responsabilité limitée (SARL) unipersonnelle vai pluripersonnelle</w:t>
      </w:r>
      <w:r>
        <w:rPr>
          <w:noProof/>
        </w:rPr>
        <w:t>.</w:t>
      </w:r>
    </w:p>
    <w:p w:rsidR="003E022D" w:rsidRDefault="007D19D6">
      <w:pPr>
        <w:rPr>
          <w:b/>
          <w:i/>
          <w:noProof/>
        </w:rPr>
      </w:pPr>
      <w:r>
        <w:rPr>
          <w:b/>
          <w:i/>
          <w:noProof/>
        </w:rPr>
        <w:t xml:space="preserve">Pasākumi </w:t>
      </w:r>
    </w:p>
    <w:p w:rsidR="003E022D" w:rsidRDefault="007D19D6">
      <w:pPr>
        <w:rPr>
          <w:i/>
          <w:noProof/>
        </w:rPr>
      </w:pPr>
      <w:r>
        <w:rPr>
          <w:b/>
          <w:i/>
          <w:noProof/>
        </w:rPr>
        <w:t>DE</w:t>
      </w:r>
      <w:r>
        <w:rPr>
          <w:noProof/>
        </w:rPr>
        <w:t xml:space="preserve">: </w:t>
      </w:r>
      <w:r>
        <w:rPr>
          <w:i/>
          <w:noProof/>
        </w:rPr>
        <w:t>Gesetz über das Apothekenwesen (ApoG; Vācijas Aptieku likums);</w:t>
      </w:r>
    </w:p>
    <w:p w:rsidR="003E022D" w:rsidRDefault="007D19D6">
      <w:pPr>
        <w:rPr>
          <w:i/>
          <w:noProof/>
        </w:rPr>
      </w:pPr>
      <w:r>
        <w:rPr>
          <w:i/>
          <w:noProof/>
        </w:rPr>
        <w:t>Gesetz über den Verkehr mit Arzneimitteln (AMG);</w:t>
      </w:r>
    </w:p>
    <w:p w:rsidR="003E022D" w:rsidRDefault="007D19D6">
      <w:pPr>
        <w:rPr>
          <w:i/>
          <w:noProof/>
        </w:rPr>
      </w:pPr>
      <w:r>
        <w:rPr>
          <w:i/>
          <w:noProof/>
        </w:rPr>
        <w:t>Gesetz über Medizinprodukte (MPG);</w:t>
      </w:r>
    </w:p>
    <w:p w:rsidR="003E022D" w:rsidRDefault="007D19D6">
      <w:pPr>
        <w:rPr>
          <w:i/>
          <w:noProof/>
        </w:rPr>
      </w:pPr>
      <w:r>
        <w:rPr>
          <w:i/>
          <w:noProof/>
        </w:rPr>
        <w:t>Vero</w:t>
      </w:r>
      <w:r>
        <w:rPr>
          <w:i/>
          <w:noProof/>
        </w:rPr>
        <w:t>rdnung zur Regelung der Abgabe von Medizinprodukten (MPAV).</w:t>
      </w:r>
    </w:p>
    <w:p w:rsidR="003E022D" w:rsidRDefault="007D19D6">
      <w:pPr>
        <w:rPr>
          <w:i/>
          <w:noProof/>
        </w:rPr>
      </w:pPr>
      <w:r>
        <w:rPr>
          <w:b/>
          <w:i/>
          <w:noProof/>
        </w:rPr>
        <w:t>FR</w:t>
      </w:r>
      <w:r>
        <w:rPr>
          <w:i/>
          <w:noProof/>
        </w:rPr>
        <w:t xml:space="preserve">: Code de la santé publique un </w:t>
      </w:r>
    </w:p>
    <w:p w:rsidR="003E022D" w:rsidRDefault="007D19D6">
      <w:pPr>
        <w:rPr>
          <w:i/>
          <w:noProof/>
        </w:rPr>
      </w:pPr>
      <w:r>
        <w:rPr>
          <w:i/>
          <w:noProof/>
        </w:rPr>
        <w:t xml:space="preserve">Loi 90-1258 du 31 décembre 1990 relative à l'exercice sous forme de société des professions libéralesand Loi 2015-990 du 6 août 2015. </w:t>
      </w:r>
    </w:p>
    <w:p w:rsidR="003E022D" w:rsidRDefault="007D19D6">
      <w:pPr>
        <w:rPr>
          <w:noProof/>
          <w:u w:val="single"/>
        </w:rPr>
      </w:pPr>
      <w:r>
        <w:rPr>
          <w:noProof/>
          <w:u w:val="single"/>
        </w:rPr>
        <w:t xml:space="preserve">Attiecībā uz investīciju liberalizāciju – valsts režīms </w:t>
      </w:r>
    </w:p>
    <w:p w:rsidR="003E022D" w:rsidRDefault="007D19D6">
      <w:pPr>
        <w:rPr>
          <w:noProof/>
        </w:rPr>
      </w:pPr>
      <w:r>
        <w:rPr>
          <w:b/>
          <w:noProof/>
        </w:rPr>
        <w:t>EL</w:t>
      </w:r>
      <w:r>
        <w:rPr>
          <w:noProof/>
        </w:rPr>
        <w:t xml:space="preserve">: lai varētu vadīt aptieku, nepieciešama Eiropas Savienības valstspiederība. </w:t>
      </w:r>
    </w:p>
    <w:p w:rsidR="003E022D" w:rsidRDefault="007D19D6">
      <w:pPr>
        <w:rPr>
          <w:noProof/>
        </w:rPr>
      </w:pPr>
      <w:r>
        <w:rPr>
          <w:b/>
          <w:noProof/>
        </w:rPr>
        <w:t>HU</w:t>
      </w:r>
      <w:r>
        <w:rPr>
          <w:noProof/>
        </w:rPr>
        <w:t xml:space="preserve">: lai varētu vadīt aptieku, nepieciešama EEZ valstspiederība. </w:t>
      </w:r>
    </w:p>
    <w:p w:rsidR="003E022D" w:rsidRDefault="007D19D6">
      <w:pPr>
        <w:rPr>
          <w:noProof/>
        </w:rPr>
      </w:pPr>
      <w:r>
        <w:rPr>
          <w:b/>
          <w:noProof/>
        </w:rPr>
        <w:t>LV</w:t>
      </w:r>
      <w:r>
        <w:rPr>
          <w:noProof/>
        </w:rPr>
        <w:t>: lai uzsāktu pastāvīgu praksi aptiekā, ārvalstu far</w:t>
      </w:r>
      <w:r>
        <w:rPr>
          <w:noProof/>
        </w:rPr>
        <w:t xml:space="preserve">maceitam vai farmaceita asistentam, kurš izglītību ieguvis valstī, kas nav dalībvalsts vai EEZ dalībvalsts, vismaz viens gads jānostrādā aptiekā EEZ dalībvalstī farmaceita uzraudzībā. </w:t>
      </w:r>
    </w:p>
    <w:p w:rsidR="003E022D" w:rsidRDefault="007D19D6">
      <w:pPr>
        <w:rPr>
          <w:b/>
          <w:i/>
          <w:noProof/>
        </w:rPr>
      </w:pPr>
      <w:r>
        <w:rPr>
          <w:b/>
          <w:i/>
          <w:noProof/>
        </w:rPr>
        <w:t xml:space="preserve">Pasākumi </w:t>
      </w:r>
    </w:p>
    <w:p w:rsidR="003E022D" w:rsidRDefault="007D19D6">
      <w:pPr>
        <w:rPr>
          <w:i/>
          <w:noProof/>
        </w:rPr>
      </w:pPr>
      <w:r>
        <w:rPr>
          <w:b/>
          <w:i/>
          <w:noProof/>
        </w:rPr>
        <w:t>EL</w:t>
      </w:r>
      <w:r>
        <w:rPr>
          <w:i/>
          <w:noProof/>
        </w:rPr>
        <w:t xml:space="preserve">: Likums 5607/1932, kas grozīts ar Likumiem 1963/1991 un 3918/2011. </w:t>
      </w:r>
    </w:p>
    <w:p w:rsidR="003E022D" w:rsidRDefault="007D19D6">
      <w:pPr>
        <w:rPr>
          <w:i/>
          <w:noProof/>
        </w:rPr>
      </w:pPr>
      <w:r>
        <w:rPr>
          <w:b/>
          <w:i/>
          <w:noProof/>
        </w:rPr>
        <w:t>HU</w:t>
      </w:r>
      <w:r>
        <w:rPr>
          <w:i/>
          <w:noProof/>
        </w:rPr>
        <w:t xml:space="preserve">: 2006. gada Likums XCVIII par vispārīgiem noteikumiem attiecībā uz zāļu un medicīnas palīglīdzekļu uzticamu un ekonomiski pamatotu piegādi un zāļu izplatīšanu. </w:t>
      </w:r>
    </w:p>
    <w:p w:rsidR="003E022D" w:rsidRDefault="007D19D6">
      <w:pPr>
        <w:rPr>
          <w:i/>
          <w:noProof/>
        </w:rPr>
      </w:pPr>
      <w:r>
        <w:rPr>
          <w:b/>
          <w:i/>
          <w:noProof/>
        </w:rPr>
        <w:t>LV</w:t>
      </w:r>
      <w:r>
        <w:rPr>
          <w:i/>
          <w:noProof/>
        </w:rPr>
        <w:t xml:space="preserve">: Farmācijas likums, </w:t>
      </w:r>
      <w:r>
        <w:rPr>
          <w:i/>
          <w:noProof/>
        </w:rPr>
        <w:t xml:space="preserve">38. pants.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BG:</w:t>
      </w:r>
      <w:r>
        <w:rPr>
          <w:noProof/>
        </w:rPr>
        <w:t xml:space="preserve"> aptieku vadītājiem jābūt kvalificētiem farmaceitiem, un viņi drīkst vadīt tikai vienu aptieku, kurā viņi paši strādā. Attiecībā uz aptieku skaitu, kas var piederēt vienai personai B</w:t>
      </w:r>
      <w:r>
        <w:rPr>
          <w:noProof/>
        </w:rPr>
        <w:t xml:space="preserve">ulgārijas Republikā, ir noteikta kvota (ne vairāk par 4 aptiekām).  </w:t>
      </w:r>
    </w:p>
    <w:p w:rsidR="003E022D" w:rsidRDefault="007D19D6">
      <w:pPr>
        <w:rPr>
          <w:noProof/>
        </w:rPr>
      </w:pPr>
      <w:r>
        <w:rPr>
          <w:b/>
          <w:noProof/>
        </w:rPr>
        <w:t>DK</w:t>
      </w:r>
      <w:r>
        <w:rPr>
          <w:noProof/>
        </w:rPr>
        <w:t>: tikai fiziskām personām, kam Dānijas Veselības un zāļu iestāde ir piešķīrusi farmaceita licenci, ir atļauts sniegt zāļu un īpašu medicīnas preču mazumtirdzniecības pakalpojumus sabied</w:t>
      </w:r>
      <w:r>
        <w:rPr>
          <w:noProof/>
        </w:rPr>
        <w:t xml:space="preserve">rībai. </w:t>
      </w:r>
    </w:p>
    <w:p w:rsidR="003E022D" w:rsidRDefault="007D19D6">
      <w:pPr>
        <w:rPr>
          <w:noProof/>
        </w:rPr>
      </w:pPr>
      <w:r>
        <w:rPr>
          <w:b/>
          <w:noProof/>
        </w:rPr>
        <w:t>ES</w:t>
      </w:r>
      <w:r>
        <w:rPr>
          <w:noProof/>
        </w:rPr>
        <w:t xml:space="preserve">, </w:t>
      </w:r>
      <w:r>
        <w:rPr>
          <w:b/>
          <w:noProof/>
        </w:rPr>
        <w:t>HR</w:t>
      </w:r>
      <w:r>
        <w:rPr>
          <w:noProof/>
        </w:rPr>
        <w:t xml:space="preserve">, </w:t>
      </w:r>
      <w:r>
        <w:rPr>
          <w:b/>
          <w:noProof/>
        </w:rPr>
        <w:t>HU</w:t>
      </w:r>
      <w:r>
        <w:rPr>
          <w:noProof/>
        </w:rPr>
        <w:t xml:space="preserve"> un </w:t>
      </w:r>
      <w:r>
        <w:rPr>
          <w:b/>
          <w:noProof/>
        </w:rPr>
        <w:t>PT</w:t>
      </w:r>
      <w:r>
        <w:rPr>
          <w:noProof/>
        </w:rPr>
        <w:t xml:space="preserve">: lai saņemtu atļauju veikt uzņēmējdarbību, ir jāveic ekonomisko vajadzību pārbaude. </w:t>
      </w:r>
    </w:p>
    <w:p w:rsidR="003E022D" w:rsidRDefault="007D19D6">
      <w:pPr>
        <w:rPr>
          <w:noProof/>
        </w:rPr>
      </w:pPr>
      <w:r>
        <w:rPr>
          <w:noProof/>
        </w:rPr>
        <w:t>Galvenie kritēriji: iedzīvotāju skaits un blīvums teritorijā.</w:t>
      </w:r>
    </w:p>
    <w:p w:rsidR="003E022D" w:rsidRDefault="007D19D6">
      <w:pPr>
        <w:rPr>
          <w:noProof/>
        </w:rPr>
      </w:pPr>
      <w:r>
        <w:rPr>
          <w:b/>
          <w:noProof/>
        </w:rPr>
        <w:t>IE</w:t>
      </w:r>
      <w:r>
        <w:rPr>
          <w:noProof/>
        </w:rPr>
        <w:t xml:space="preserve">: zāļu, izņemot bezrecepšu zāļu, tirdzniecība pa pastu ir aizliegta. </w:t>
      </w:r>
    </w:p>
    <w:p w:rsidR="003E022D" w:rsidRDefault="007D19D6">
      <w:pPr>
        <w:rPr>
          <w:noProof/>
        </w:rPr>
      </w:pPr>
      <w:r>
        <w:rPr>
          <w:b/>
          <w:noProof/>
        </w:rPr>
        <w:t>MT</w:t>
      </w:r>
      <w:r>
        <w:rPr>
          <w:noProof/>
        </w:rPr>
        <w:t xml:space="preserve">: aptieku </w:t>
      </w:r>
      <w:r>
        <w:rPr>
          <w:noProof/>
        </w:rPr>
        <w:t>licenču izsniegšanai piemēro īpašus ierobežojumus. Nevienai personai nav vairāk par vienu licenci, kas izsniegta uz tās vārda jebkurā pilsētā vai ciematā (Aptieku licencēšanas noteikumu (LN279/07) 5. noteikuma 1. punkts), izņemot, ja nav saņemti citi piete</w:t>
      </w:r>
      <w:r>
        <w:rPr>
          <w:noProof/>
        </w:rPr>
        <w:t xml:space="preserve">ikumi par attiecīgo pilsētu vai ciematu (Aptieku licencēšanas noteikumu (LN279/07) 5. noteikuma 2. punkts). </w:t>
      </w:r>
    </w:p>
    <w:p w:rsidR="003E022D" w:rsidRDefault="007D19D6">
      <w:pPr>
        <w:rPr>
          <w:noProof/>
        </w:rPr>
      </w:pPr>
      <w:r>
        <w:rPr>
          <w:b/>
          <w:noProof/>
        </w:rPr>
        <w:t>PT</w:t>
      </w:r>
      <w:r>
        <w:rPr>
          <w:noProof/>
        </w:rPr>
        <w:t>: komercsabiedrībās ar akciju kapitālu akcijas ir vārda akcijas. Viena persona vienlaicīgi tieši vai netieši nav vairāk kā četru aptieku īpašniek</w:t>
      </w:r>
      <w:r>
        <w:rPr>
          <w:noProof/>
        </w:rPr>
        <w:t xml:space="preserve">s, vadītājs vai apsaimniekotājs. </w:t>
      </w:r>
    </w:p>
    <w:p w:rsidR="003E022D" w:rsidRDefault="007D19D6">
      <w:pPr>
        <w:rPr>
          <w:noProof/>
        </w:rPr>
      </w:pPr>
      <w:r>
        <w:rPr>
          <w:b/>
          <w:noProof/>
        </w:rPr>
        <w:t>SI</w:t>
      </w:r>
      <w:r>
        <w:rPr>
          <w:noProof/>
        </w:rPr>
        <w:t>: aptieku tīkls Slovēnijā sastāv no publiskajām aptiekām, kas pieder pašvaldībām, un privātiem farmaceitiem ar koncesiju, kurā vairākuma kapitāldaļu īpašniekam jābūt profesionālam farmaceitam. Recepšu zāļu tirdzniecība p</w:t>
      </w:r>
      <w:r>
        <w:rPr>
          <w:noProof/>
        </w:rPr>
        <w:t xml:space="preserve">a pastu ir aizliegta.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Likums par cilvēkiem paredzētām zālēm, 222., 224. un 228. pants. </w:t>
      </w:r>
    </w:p>
    <w:p w:rsidR="003E022D" w:rsidRDefault="007D19D6">
      <w:pPr>
        <w:rPr>
          <w:i/>
          <w:noProof/>
        </w:rPr>
      </w:pPr>
      <w:r>
        <w:rPr>
          <w:b/>
          <w:i/>
          <w:noProof/>
        </w:rPr>
        <w:t>DK</w:t>
      </w:r>
      <w:r>
        <w:rPr>
          <w:i/>
          <w:noProof/>
        </w:rPr>
        <w:t xml:space="preserve">: Apotekerloven (Dānijas Aptieku likums) LBK nr. 801 12/06/2018. </w:t>
      </w:r>
    </w:p>
    <w:p w:rsidR="003E022D" w:rsidRDefault="007D19D6">
      <w:pPr>
        <w:rPr>
          <w:i/>
          <w:noProof/>
        </w:rPr>
      </w:pPr>
      <w:r>
        <w:rPr>
          <w:b/>
          <w:i/>
          <w:noProof/>
        </w:rPr>
        <w:t>ES</w:t>
      </w:r>
      <w:r>
        <w:rPr>
          <w:i/>
          <w:noProof/>
        </w:rPr>
        <w:t>: Ley 16/1997, de 25 de abril, de regulación de servicios de las oficinas de farmac</w:t>
      </w:r>
      <w:r>
        <w:rPr>
          <w:i/>
          <w:noProof/>
        </w:rPr>
        <w:t xml:space="preserve">ia </w:t>
      </w:r>
    </w:p>
    <w:p w:rsidR="003E022D" w:rsidRDefault="007D19D6">
      <w:pPr>
        <w:rPr>
          <w:i/>
          <w:noProof/>
        </w:rPr>
      </w:pPr>
      <w:r>
        <w:rPr>
          <w:i/>
          <w:noProof/>
        </w:rPr>
        <w:t xml:space="preserve">(25. aprīļa Likums 16/1997, kas reglamentē aptieku pakalpojumus), 2. un 3.1. pants, un </w:t>
      </w:r>
    </w:p>
    <w:p w:rsidR="003E022D" w:rsidRDefault="007D19D6">
      <w:pPr>
        <w:rPr>
          <w:i/>
          <w:noProof/>
        </w:rPr>
      </w:pPr>
      <w:r>
        <w:rPr>
          <w:i/>
          <w:noProof/>
        </w:rPr>
        <w:t>Real Decreto Legislativo 1/2015, de 24 de julio por el que se aprueba el Texto refundido de la Ley de garantías y uso racional de los medicamentos y productos sanit</w:t>
      </w:r>
      <w:r>
        <w:rPr>
          <w:i/>
          <w:noProof/>
        </w:rPr>
        <w:t xml:space="preserve">arios (Ley 29/2006). </w:t>
      </w:r>
    </w:p>
    <w:p w:rsidR="003E022D" w:rsidRDefault="007D19D6">
      <w:pPr>
        <w:rPr>
          <w:i/>
          <w:noProof/>
        </w:rPr>
      </w:pPr>
      <w:r>
        <w:rPr>
          <w:b/>
          <w:i/>
          <w:noProof/>
        </w:rPr>
        <w:t>HR</w:t>
      </w:r>
      <w:r>
        <w:rPr>
          <w:i/>
          <w:noProof/>
        </w:rPr>
        <w:t xml:space="preserve">: Veselības aprūpes likums (OG 100/18, 125/19).  </w:t>
      </w:r>
    </w:p>
    <w:p w:rsidR="003E022D" w:rsidRDefault="007D19D6">
      <w:pPr>
        <w:rPr>
          <w:i/>
          <w:noProof/>
        </w:rPr>
      </w:pPr>
      <w:r>
        <w:rPr>
          <w:b/>
          <w:i/>
          <w:noProof/>
        </w:rPr>
        <w:t>HU</w:t>
      </w:r>
      <w:r>
        <w:rPr>
          <w:i/>
          <w:noProof/>
        </w:rPr>
        <w:t xml:space="preserve">: 2006. gada Likums XCVIII par vispārīgiem noteikumiem attiecībā uz zāļu un medicīnas palīglīdzekļu uzticamu un ekonomiski pamatotu piegādi un zāļu izplatīšanu. </w:t>
      </w:r>
    </w:p>
    <w:p w:rsidR="003E022D" w:rsidRDefault="007D19D6">
      <w:pPr>
        <w:rPr>
          <w:i/>
          <w:noProof/>
        </w:rPr>
      </w:pPr>
      <w:r>
        <w:rPr>
          <w:b/>
          <w:i/>
          <w:noProof/>
        </w:rPr>
        <w:t xml:space="preserve">IE: </w:t>
      </w:r>
      <w:r>
        <w:rPr>
          <w:i/>
          <w:noProof/>
        </w:rPr>
        <w:t>Irish Medicine</w:t>
      </w:r>
      <w:r>
        <w:rPr>
          <w:i/>
          <w:noProof/>
        </w:rPr>
        <w:t>s Boards Acts 1995 un 2006 (1995. gada Likums Nr. 29 un 2006. gada Likums Nr. 3); 2003. gada Noteikumi par zālēm (izrakstīšana un piegādes kontrole), ar grozījumiem (S.I. 540, 2003. gads); 2007. gada Noteikumi par zālēm (kontrole attiecībā uz laišanu tirgū</w:t>
      </w:r>
      <w:r>
        <w:rPr>
          <w:i/>
          <w:noProof/>
        </w:rPr>
        <w:t>), ar grozījumiem (S.I. 540, 2007. gads); 2007. gada Aptieku likums (Nr. 20, 2007. gads); Mazumtirdzniecības farmācijas uzņēmumu noteikumi, 2008. gads, ar grozījumiem (S.I. Nr. 488, 2008. gads).</w:t>
      </w:r>
    </w:p>
    <w:p w:rsidR="003E022D" w:rsidRDefault="007D19D6">
      <w:pPr>
        <w:rPr>
          <w:i/>
          <w:noProof/>
        </w:rPr>
      </w:pPr>
      <w:r>
        <w:rPr>
          <w:b/>
          <w:i/>
          <w:noProof/>
        </w:rPr>
        <w:t>MT</w:t>
      </w:r>
      <w:r>
        <w:rPr>
          <w:i/>
          <w:noProof/>
        </w:rPr>
        <w:t>: Aptieku licenču noteikumi (LN279/07), kas izdoti atbilsto</w:t>
      </w:r>
      <w:r>
        <w:rPr>
          <w:i/>
          <w:noProof/>
        </w:rPr>
        <w:t xml:space="preserve">ši Zāļu likumam (Cap. 458). </w:t>
      </w:r>
    </w:p>
    <w:p w:rsidR="003E022D" w:rsidRDefault="007D19D6">
      <w:pPr>
        <w:rPr>
          <w:i/>
          <w:noProof/>
        </w:rPr>
      </w:pPr>
      <w:r>
        <w:rPr>
          <w:b/>
          <w:i/>
          <w:noProof/>
        </w:rPr>
        <w:t>PT</w:t>
      </w:r>
      <w:r>
        <w:rPr>
          <w:i/>
          <w:noProof/>
        </w:rPr>
        <w:t xml:space="preserve">: </w:t>
      </w:r>
      <w:r>
        <w:rPr>
          <w:noProof/>
        </w:rPr>
        <w:t xml:space="preserve">Dekrētlikums 307/2007, 9., 14. un 15. pants, </w:t>
      </w:r>
      <w:r>
        <w:rPr>
          <w:i/>
          <w:noProof/>
        </w:rPr>
        <w:t>Alterado p/ Lei 26/2011, 16 jun., alterada:</w:t>
      </w:r>
    </w:p>
    <w:p w:rsidR="003E022D" w:rsidRDefault="007D19D6">
      <w:pPr>
        <w:rPr>
          <w:i/>
          <w:noProof/>
        </w:rPr>
      </w:pPr>
      <w:r>
        <w:rPr>
          <w:i/>
          <w:noProof/>
        </w:rPr>
        <w:t xml:space="preserve">- p/ Acórdão TC 612/2011, 24/01/2012, </w:t>
      </w:r>
    </w:p>
    <w:p w:rsidR="003E022D" w:rsidRDefault="007D19D6">
      <w:pPr>
        <w:rPr>
          <w:i/>
          <w:noProof/>
        </w:rPr>
      </w:pPr>
      <w:r>
        <w:rPr>
          <w:i/>
          <w:noProof/>
        </w:rPr>
        <w:t>- p/ Decreto-Lei 171/2012, 1 ago.,</w:t>
      </w:r>
    </w:p>
    <w:p w:rsidR="003E022D" w:rsidRDefault="007D19D6">
      <w:pPr>
        <w:rPr>
          <w:i/>
          <w:noProof/>
        </w:rPr>
      </w:pPr>
      <w:r>
        <w:rPr>
          <w:i/>
          <w:noProof/>
        </w:rPr>
        <w:t>- p/ Lei 16/2013, 8 fev.,</w:t>
      </w:r>
    </w:p>
    <w:p w:rsidR="003E022D" w:rsidRDefault="007D19D6">
      <w:pPr>
        <w:rPr>
          <w:i/>
          <w:noProof/>
        </w:rPr>
      </w:pPr>
      <w:r>
        <w:rPr>
          <w:i/>
          <w:noProof/>
        </w:rPr>
        <w:t>- p/ Decreto-Lei 128/2013, 5 set.,</w:t>
      </w:r>
    </w:p>
    <w:p w:rsidR="003E022D" w:rsidRDefault="007D19D6">
      <w:pPr>
        <w:rPr>
          <w:i/>
          <w:noProof/>
        </w:rPr>
      </w:pPr>
      <w:r>
        <w:rPr>
          <w:i/>
          <w:noProof/>
        </w:rPr>
        <w:t>- p/ Decreto-Lei 109/2014, 10 jul.,</w:t>
      </w:r>
    </w:p>
    <w:p w:rsidR="003E022D" w:rsidRDefault="007D19D6">
      <w:pPr>
        <w:rPr>
          <w:i/>
          <w:noProof/>
        </w:rPr>
      </w:pPr>
      <w:r>
        <w:rPr>
          <w:i/>
          <w:noProof/>
        </w:rPr>
        <w:t>- p/ Lei 51/2014, 25 ago.,</w:t>
      </w:r>
    </w:p>
    <w:p w:rsidR="003E022D" w:rsidRDefault="007D19D6">
      <w:pPr>
        <w:rPr>
          <w:i/>
          <w:noProof/>
        </w:rPr>
      </w:pPr>
      <w:r>
        <w:rPr>
          <w:i/>
          <w:noProof/>
        </w:rPr>
        <w:t xml:space="preserve">- p/ Decreto-Lei 75/2016, 8 nov. un Rīkojums 1430/2007revogada p/Portaria 352/2012, 30 out. </w:t>
      </w:r>
    </w:p>
    <w:p w:rsidR="003E022D" w:rsidRDefault="007D19D6">
      <w:pPr>
        <w:rPr>
          <w:i/>
          <w:noProof/>
        </w:rPr>
      </w:pPr>
      <w:r>
        <w:rPr>
          <w:b/>
          <w:i/>
          <w:noProof/>
        </w:rPr>
        <w:t>SI</w:t>
      </w:r>
      <w:r>
        <w:rPr>
          <w:i/>
          <w:noProof/>
        </w:rPr>
        <w:t>: Aptieku pakalpojumu likums (Official Gazette of the RS No. 85/2016) un Zāļu likums (Official Ga</w:t>
      </w:r>
      <w:r>
        <w:rPr>
          <w:i/>
          <w:noProof/>
        </w:rPr>
        <w:t xml:space="preserve">zette of the RS, No. 17/2014). </w:t>
      </w:r>
    </w:p>
    <w:p w:rsidR="003E022D" w:rsidRDefault="007D19D6">
      <w:pPr>
        <w:rPr>
          <w:noProof/>
          <w:u w:val="single"/>
        </w:rPr>
      </w:pPr>
      <w:r>
        <w:rPr>
          <w:noProof/>
          <w:u w:val="single"/>
        </w:rPr>
        <w:t xml:space="preserve">Attiecībā uz investīciju liberalizāciju – piekļuve tirgum, valsts režīms, lielākās labvēlības režīms un pakalpojumu pārrobežu tirdzniecība – piekļuve tirgum, valsts režīms </w:t>
      </w:r>
    </w:p>
    <w:p w:rsidR="003E022D" w:rsidRDefault="007D19D6">
      <w:pPr>
        <w:rPr>
          <w:noProof/>
        </w:rPr>
      </w:pPr>
      <w:r>
        <w:rPr>
          <w:b/>
          <w:noProof/>
        </w:rPr>
        <w:t>IT</w:t>
      </w:r>
      <w:r>
        <w:rPr>
          <w:noProof/>
        </w:rPr>
        <w:t xml:space="preserve">: praktizēt šajā profesijā drīkst tikai reģistrā </w:t>
      </w:r>
      <w:r>
        <w:rPr>
          <w:noProof/>
        </w:rPr>
        <w:t>iekļautas fiziskās personas, kā arī juridiskas personas, kas nodibinātas kā personālsabiedrības, turklāt katram sabiedrības partnerim jābūt reģistrētam farmaceitam. Lai farmaceitu iekļautu profesionālajā reģistrā, attiecīgajai personai jābūt Eiropas Savien</w:t>
      </w:r>
      <w:r>
        <w:rPr>
          <w:noProof/>
        </w:rPr>
        <w:t>ības dalībvalsts valstspiederīgajam vai rezidentam un jābūt praktizējošai šajā profesijā Itālijā. Ārvalstniekus, kuriem ir nepieciešamā kvalifikācija, reģistrā var iekļaut, ja viņi ir tādas valsts valstspiederīgie, ar kuru Itālijai noslēgta īpaša vienošanā</w:t>
      </w:r>
      <w:r>
        <w:rPr>
          <w:noProof/>
        </w:rPr>
        <w:t>s, kas ļauj praktizēt šajā profesijā, ievērojot savstarpības nosacījumu (Likumdošanas dekrēts CPS 233/1946, 7.-9. pants un D.P.R. 221/1950, 3. un 7. pants). Atļaujas jaunām vai neizmantotām aptiekām piešķir publiskā konkursa procedūrā. Tikai Farmaceitu reģ</w:t>
      </w:r>
      <w:r>
        <w:rPr>
          <w:noProof/>
        </w:rPr>
        <w:t xml:space="preserve">istrā (albo) iekļauti Eiropas Savienības dalībvalsts valstspiederīgie drīkst piedalīties publiskā konkursā. </w:t>
      </w:r>
    </w:p>
    <w:p w:rsidR="003E022D" w:rsidRDefault="007D19D6">
      <w:pPr>
        <w:rPr>
          <w:noProof/>
        </w:rPr>
      </w:pPr>
      <w:r>
        <w:rPr>
          <w:noProof/>
        </w:rPr>
        <w:t>Lai saņemtu atļauju veikt uzņēmējdarbību, ir jāveic ekonomisko vajadzību pārbaude. Galvenie kritēriji: iedzīvotāju skaits un blīvums teritorijā.</w:t>
      </w:r>
    </w:p>
    <w:p w:rsidR="003E022D" w:rsidRDefault="007D19D6">
      <w:pPr>
        <w:rPr>
          <w:b/>
          <w:i/>
          <w:noProof/>
        </w:rPr>
      </w:pPr>
      <w:r>
        <w:rPr>
          <w:b/>
          <w:i/>
          <w:noProof/>
        </w:rPr>
        <w:t>Pa</w:t>
      </w:r>
      <w:r>
        <w:rPr>
          <w:b/>
          <w:i/>
          <w:noProof/>
        </w:rPr>
        <w:t xml:space="preserve">sākumi </w:t>
      </w:r>
    </w:p>
    <w:p w:rsidR="003E022D" w:rsidRDefault="007D19D6">
      <w:pPr>
        <w:rPr>
          <w:i/>
          <w:noProof/>
        </w:rPr>
      </w:pPr>
      <w:r>
        <w:rPr>
          <w:b/>
          <w:i/>
          <w:noProof/>
        </w:rPr>
        <w:t>IT</w:t>
      </w:r>
      <w:r>
        <w:rPr>
          <w:i/>
          <w:noProof/>
        </w:rPr>
        <w:t xml:space="preserve">: Likums 362/1991, 1., 4., 7. un 9. pants; </w:t>
      </w:r>
    </w:p>
    <w:p w:rsidR="003E022D" w:rsidRDefault="007D19D6">
      <w:pPr>
        <w:rPr>
          <w:i/>
          <w:noProof/>
        </w:rPr>
      </w:pPr>
      <w:r>
        <w:rPr>
          <w:i/>
          <w:noProof/>
        </w:rPr>
        <w:t xml:space="preserve">Likumdošanas dekrēts CPS 233/1946, 7.–9. pants; un </w:t>
      </w:r>
    </w:p>
    <w:p w:rsidR="003E022D" w:rsidRDefault="007D19D6">
      <w:pPr>
        <w:rPr>
          <w:i/>
          <w:noProof/>
        </w:rPr>
      </w:pPr>
      <w:r>
        <w:rPr>
          <w:i/>
          <w:noProof/>
        </w:rPr>
        <w:t xml:space="preserve">Republikas Prezidenta dekrēts(D.P.R. 221/1950, 3. un 7. pants). </w:t>
      </w:r>
    </w:p>
    <w:p w:rsidR="003E022D" w:rsidRDefault="007D19D6">
      <w:pPr>
        <w:rPr>
          <w:noProof/>
          <w:u w:val="single"/>
        </w:rPr>
      </w:pPr>
      <w:r>
        <w:rPr>
          <w:noProof/>
          <w:u w:val="single"/>
        </w:rPr>
        <w:t>Attiecībā uz investīciju liberalizāciju – piekļuve tirgum, valsts režīms un pakalpoju</w:t>
      </w:r>
      <w:r>
        <w:rPr>
          <w:noProof/>
          <w:u w:val="single"/>
        </w:rPr>
        <w:t xml:space="preserve">mu pārrobežu tirdzniecība – piekļuve tirgum, valsts režīms </w:t>
      </w:r>
    </w:p>
    <w:p w:rsidR="003E022D" w:rsidRDefault="007D19D6">
      <w:pPr>
        <w:rPr>
          <w:noProof/>
        </w:rPr>
      </w:pPr>
      <w:r>
        <w:rPr>
          <w:b/>
          <w:noProof/>
        </w:rPr>
        <w:t>CY</w:t>
      </w:r>
      <w:r>
        <w:rPr>
          <w:noProof/>
        </w:rPr>
        <w:t xml:space="preserve">: uz zāļu, medicīnisko un ortopēdisko preču mazumtirdzniecību un citiem farmaceitu sniegtajiem pakalpojumiem attiecas prasība par valstspiederību (CPC 63211).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w:t>
      </w:r>
      <w:r>
        <w:rPr>
          <w:noProof/>
        </w:rPr>
        <w:t xml:space="preserve">Zāļu un inžu likums </w:t>
      </w:r>
      <w:r>
        <w:rPr>
          <w:noProof/>
        </w:rPr>
        <w:t>(254. nodaļa), ar grozījumiem.</w:t>
      </w:r>
      <w:r>
        <w:rPr>
          <w:i/>
          <w:noProof/>
        </w:rPr>
        <w:t xml:space="preserve"> </w:t>
      </w:r>
    </w:p>
    <w:p w:rsidR="003E022D" w:rsidRDefault="007D19D6">
      <w:pPr>
        <w:rPr>
          <w:noProof/>
          <w:u w:val="single"/>
        </w:rPr>
      </w:pPr>
      <w:r>
        <w:rPr>
          <w:noProof/>
          <w:u w:val="single"/>
        </w:rPr>
        <w:t xml:space="preserve">Attiecībā uz investīciju liberalizāciju – piekļuve tirgum un pakalpojumu pārrobežu tirdzniecība – piekļuve tirgum </w:t>
      </w:r>
    </w:p>
    <w:p w:rsidR="003E022D" w:rsidRDefault="007D19D6">
      <w:pPr>
        <w:rPr>
          <w:noProof/>
        </w:rPr>
      </w:pPr>
      <w:r>
        <w:rPr>
          <w:b/>
          <w:noProof/>
        </w:rPr>
        <w:t>BG:</w:t>
      </w:r>
      <w:r>
        <w:rPr>
          <w:noProof/>
        </w:rPr>
        <w:t xml:space="preserve"> zāļu un īpašu medicīnas preču mazumtirdzniecība sabiedrībai drīkst notikt tikai aptiekās. Zāļu, izņemot b</w:t>
      </w:r>
      <w:r>
        <w:rPr>
          <w:noProof/>
        </w:rPr>
        <w:t>ezrecepšu zāļu, tirdzniecība pa pastu ir aizliegta.</w:t>
      </w:r>
    </w:p>
    <w:p w:rsidR="003E022D" w:rsidRDefault="007D19D6">
      <w:pPr>
        <w:rPr>
          <w:noProof/>
        </w:rPr>
      </w:pPr>
      <w:r>
        <w:rPr>
          <w:b/>
          <w:noProof/>
        </w:rPr>
        <w:t>EE</w:t>
      </w:r>
      <w:r>
        <w:rPr>
          <w:noProof/>
        </w:rPr>
        <w:t>: zāļu un īpašu medicīnas preču mazumtirdzniecība sabiedrībai drīkst notikt tikai aptiekās. Zāļu tirdzniecība pa pastu, kā arī internetā pasūtītu zāļu piegāde pa pastu vai ar kurjerpastu ir aizliegta. L</w:t>
      </w:r>
      <w:r>
        <w:rPr>
          <w:noProof/>
        </w:rPr>
        <w:t xml:space="preserve">ai saņemtu atļauju veikt uzņēmējdarbību, ir jāveic ekonomisko vajadzību pārbaude. Galvenie kritēriji: iedzīvotāju blīvums teritorijā. </w:t>
      </w:r>
    </w:p>
    <w:p w:rsidR="003E022D" w:rsidRDefault="007D19D6">
      <w:pPr>
        <w:rPr>
          <w:noProof/>
        </w:rPr>
      </w:pPr>
      <w:r>
        <w:rPr>
          <w:b/>
          <w:noProof/>
        </w:rPr>
        <w:t>EL</w:t>
      </w:r>
      <w:r>
        <w:rPr>
          <w:noProof/>
        </w:rPr>
        <w:t>: tikai fiziskām personām, kas ir licencēti farmaceiti, un licencētu farmaceitu dibinātām sabiedrībām ir atļauts sniegt</w:t>
      </w:r>
      <w:r>
        <w:rPr>
          <w:noProof/>
        </w:rPr>
        <w:t xml:space="preserve"> zāļu un īpašu medicīnas preču mazumtirdzniecības pakalpojumus sabiedrībai. </w:t>
      </w:r>
    </w:p>
    <w:p w:rsidR="003E022D" w:rsidRDefault="007D19D6">
      <w:pPr>
        <w:rPr>
          <w:noProof/>
        </w:rPr>
      </w:pPr>
      <w:r>
        <w:rPr>
          <w:b/>
          <w:noProof/>
        </w:rPr>
        <w:t>ES</w:t>
      </w:r>
      <w:r>
        <w:rPr>
          <w:noProof/>
        </w:rPr>
        <w:t xml:space="preserve">: tikai fiziskām personām, kas ir licencēti farmaceiti, ir atļauts sniegt zāļu un īpašu medicīnas preču mazumtirdzniecības pakalpojumus sabiedrībai. Katrs farmaceits var saņemt </w:t>
      </w:r>
      <w:r>
        <w:rPr>
          <w:noProof/>
        </w:rPr>
        <w:t xml:space="preserve">tikai vienu licenci. </w:t>
      </w:r>
    </w:p>
    <w:p w:rsidR="003E022D" w:rsidRDefault="007D19D6">
      <w:pPr>
        <w:rPr>
          <w:noProof/>
        </w:rPr>
      </w:pPr>
      <w:r>
        <w:rPr>
          <w:b/>
          <w:noProof/>
        </w:rPr>
        <w:t>LU</w:t>
      </w:r>
      <w:r>
        <w:rPr>
          <w:noProof/>
        </w:rPr>
        <w:t xml:space="preserve">: tikai fiziskām personām ir atļauts sniegt zāļu un īpašu medicīnas preču mazumtirdzniecības pakalpojumus sabiedrībai. </w:t>
      </w:r>
    </w:p>
    <w:p w:rsidR="003E022D" w:rsidRDefault="007D19D6">
      <w:pPr>
        <w:rPr>
          <w:noProof/>
        </w:rPr>
      </w:pPr>
      <w:r>
        <w:rPr>
          <w:b/>
          <w:noProof/>
        </w:rPr>
        <w:t>NL</w:t>
      </w:r>
      <w:r>
        <w:rPr>
          <w:noProof/>
        </w:rPr>
        <w:t xml:space="preserve">: uz zāļu sūtīšanu pa pastu attiecas prasības.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Likums par cilvēkiem paredzētām zālēm, 219., 222</w:t>
      </w:r>
      <w:r>
        <w:rPr>
          <w:i/>
          <w:noProof/>
        </w:rPr>
        <w:t xml:space="preserve">., 228. pants un 234. panta 5. punkts. </w:t>
      </w:r>
    </w:p>
    <w:p w:rsidR="003E022D" w:rsidRDefault="007D19D6">
      <w:pPr>
        <w:rPr>
          <w:i/>
          <w:noProof/>
        </w:rPr>
      </w:pPr>
      <w:r>
        <w:rPr>
          <w:b/>
          <w:i/>
          <w:noProof/>
        </w:rPr>
        <w:t>EE</w:t>
      </w:r>
      <w:r>
        <w:rPr>
          <w:i/>
          <w:noProof/>
        </w:rPr>
        <w:t>: Ravimiseadus (Zāļu likums), RT I 2005, 2, 4; § 29 (2) un</w:t>
      </w:r>
      <w:r>
        <w:rPr>
          <w:noProof/>
        </w:rPr>
        <w:t xml:space="preserve"> </w:t>
      </w:r>
      <w:r>
        <w:rPr>
          <w:i/>
          <w:noProof/>
        </w:rPr>
        <w:t xml:space="preserve">§ 41 (3); un Tervishoiuteenuse korraldamise seadus (Veselības pakalpojumu organizēšanas likums, RT I 2001, 50, 284). </w:t>
      </w:r>
    </w:p>
    <w:p w:rsidR="003E022D" w:rsidRDefault="007D19D6">
      <w:pPr>
        <w:rPr>
          <w:i/>
          <w:noProof/>
        </w:rPr>
      </w:pPr>
      <w:r>
        <w:rPr>
          <w:b/>
          <w:i/>
          <w:noProof/>
        </w:rPr>
        <w:t>EL</w:t>
      </w:r>
      <w:r>
        <w:rPr>
          <w:i/>
          <w:noProof/>
        </w:rPr>
        <w:t xml:space="preserve">: Likums 5607/1932, kas grozīts ar Likumiem 1963/1991 un 3918/2011. </w:t>
      </w:r>
    </w:p>
    <w:p w:rsidR="003E022D" w:rsidRDefault="007D19D6">
      <w:pPr>
        <w:rPr>
          <w:i/>
          <w:noProof/>
        </w:rPr>
      </w:pPr>
      <w:r>
        <w:rPr>
          <w:b/>
          <w:i/>
          <w:noProof/>
        </w:rPr>
        <w:t>ES</w:t>
      </w:r>
      <w:r>
        <w:rPr>
          <w:i/>
          <w:noProof/>
        </w:rPr>
        <w:t xml:space="preserve">: Ley 16/1997, de 25 de abril, de regulación de servicios de las oficinas de farmacia </w:t>
      </w:r>
    </w:p>
    <w:p w:rsidR="003E022D" w:rsidRDefault="007D19D6">
      <w:pPr>
        <w:rPr>
          <w:i/>
          <w:noProof/>
        </w:rPr>
      </w:pPr>
      <w:r>
        <w:rPr>
          <w:i/>
          <w:noProof/>
        </w:rPr>
        <w:t xml:space="preserve">(25. aprīļa Likums 16/1997, kas reglamentē aptieku pakalpojumus), 2. un 3.1. pants, un </w:t>
      </w:r>
    </w:p>
    <w:p w:rsidR="003E022D" w:rsidRDefault="007D19D6">
      <w:pPr>
        <w:rPr>
          <w:i/>
          <w:noProof/>
        </w:rPr>
      </w:pPr>
      <w:r>
        <w:rPr>
          <w:i/>
          <w:noProof/>
        </w:rPr>
        <w:t xml:space="preserve">Real Decreto Legislativo 1/2015, de 24 de julio por el que se aprueba el Texto refundido de la Ley de garantías y uso racional de los medicamentos y productos sanitarios (Ley 29/2006). </w:t>
      </w:r>
    </w:p>
    <w:p w:rsidR="003E022D" w:rsidRDefault="007D19D6">
      <w:pPr>
        <w:rPr>
          <w:i/>
          <w:noProof/>
        </w:rPr>
      </w:pPr>
      <w:r>
        <w:rPr>
          <w:b/>
          <w:i/>
          <w:noProof/>
        </w:rPr>
        <w:t>LU</w:t>
      </w:r>
      <w:r>
        <w:rPr>
          <w:i/>
          <w:noProof/>
        </w:rPr>
        <w:t>: Loi du 4 juillet 1973 concernant le régime de la pharmacie (a043. </w:t>
      </w:r>
      <w:r>
        <w:rPr>
          <w:i/>
          <w:noProof/>
        </w:rPr>
        <w:t xml:space="preserve">pielikums); </w:t>
      </w:r>
    </w:p>
    <w:p w:rsidR="003E022D" w:rsidRDefault="007D19D6">
      <w:pPr>
        <w:rPr>
          <w:i/>
          <w:noProof/>
        </w:rPr>
      </w:pPr>
      <w:r>
        <w:rPr>
          <w:i/>
          <w:noProof/>
        </w:rPr>
        <w:t xml:space="preserve">Règlement grand-ducal du 27 mai 1997 relatif à l'octroi des concessions de pharmacie (a041. pielikums) un </w:t>
      </w:r>
    </w:p>
    <w:p w:rsidR="003E022D" w:rsidRDefault="007D19D6">
      <w:pPr>
        <w:rPr>
          <w:i/>
          <w:noProof/>
        </w:rPr>
      </w:pPr>
      <w:r>
        <w:rPr>
          <w:i/>
          <w:noProof/>
        </w:rPr>
        <w:t>Règlement grand-ducal du 11 février 2002 modifiant le règlement grand-ducal du 27 mai 1997 relatif à l'octroi des concessions de pharmac</w:t>
      </w:r>
      <w:r>
        <w:rPr>
          <w:i/>
          <w:noProof/>
        </w:rPr>
        <w:t xml:space="preserve">ie (a017. pielikums). </w:t>
      </w:r>
    </w:p>
    <w:p w:rsidR="003E022D" w:rsidRDefault="007D19D6">
      <w:pPr>
        <w:rPr>
          <w:i/>
          <w:noProof/>
        </w:rPr>
      </w:pPr>
      <w:r>
        <w:rPr>
          <w:b/>
          <w:i/>
          <w:iCs/>
          <w:noProof/>
        </w:rPr>
        <w:t>NL</w:t>
      </w:r>
      <w:r>
        <w:rPr>
          <w:i/>
          <w:iCs/>
          <w:noProof/>
        </w:rPr>
        <w:t>: Geneesmiddelenwet, 67. pants.</w:t>
      </w:r>
    </w:p>
    <w:p w:rsidR="003E022D" w:rsidRDefault="007D19D6">
      <w:pPr>
        <w:rPr>
          <w:noProof/>
          <w:u w:val="single"/>
        </w:rPr>
      </w:pPr>
      <w:r>
        <w:rPr>
          <w:noProof/>
          <w:u w:val="single"/>
        </w:rPr>
        <w:t>Attiecībā uz investīciju liberalizāciju – valsts režīms un pakalpojumu pārrobežu tirdzniecība – klātbūtne uz vietas</w:t>
      </w:r>
    </w:p>
    <w:p w:rsidR="003E022D" w:rsidRDefault="007D19D6">
      <w:pPr>
        <w:rPr>
          <w:noProof/>
        </w:rPr>
      </w:pPr>
      <w:r>
        <w:rPr>
          <w:b/>
          <w:noProof/>
        </w:rPr>
        <w:t>BG:</w:t>
      </w:r>
      <w:r>
        <w:rPr>
          <w:noProof/>
        </w:rPr>
        <w:t xml:space="preserve"> farmaceitiem ir jāizpilda prasība par pastāvīgo dzīvesvietu.</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Liku</w:t>
      </w:r>
      <w:r>
        <w:rPr>
          <w:i/>
          <w:noProof/>
        </w:rPr>
        <w:t xml:space="preserve">ms par cilvēkiem paredzētām zālēm, 146., 161., 195., 222. un 228. pants.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DE</w:t>
      </w:r>
      <w:r>
        <w:rPr>
          <w:noProof/>
        </w:rPr>
        <w:t xml:space="preserve"> un </w:t>
      </w:r>
      <w:r>
        <w:rPr>
          <w:b/>
          <w:noProof/>
        </w:rPr>
        <w:t>SK</w:t>
      </w:r>
      <w:r>
        <w:rPr>
          <w:noProof/>
        </w:rPr>
        <w:t>: lai saņemtu farmaceita licenci vai atvērtu aptieku nolūkā veikt zāļu un konkrētu medicīnas preču mazu</w:t>
      </w:r>
      <w:r>
        <w:rPr>
          <w:noProof/>
        </w:rPr>
        <w:t xml:space="preserve">mtirdzniecību sabiedrībai, ir jāizpilda prasība par pastāvīgo dzīvesvietu. </w:t>
      </w:r>
    </w:p>
    <w:p w:rsidR="003E022D" w:rsidRDefault="007D19D6">
      <w:pPr>
        <w:rPr>
          <w:b/>
          <w:i/>
          <w:noProof/>
        </w:rPr>
      </w:pPr>
      <w:r>
        <w:rPr>
          <w:b/>
          <w:i/>
          <w:noProof/>
        </w:rPr>
        <w:t xml:space="preserve">Pasākumi </w:t>
      </w:r>
    </w:p>
    <w:p w:rsidR="003E022D" w:rsidRDefault="007D19D6">
      <w:pPr>
        <w:rPr>
          <w:i/>
          <w:noProof/>
        </w:rPr>
      </w:pPr>
      <w:r>
        <w:rPr>
          <w:b/>
          <w:i/>
          <w:noProof/>
        </w:rPr>
        <w:t>DE</w:t>
      </w:r>
      <w:r>
        <w:rPr>
          <w:i/>
          <w:noProof/>
        </w:rPr>
        <w:t>: Gesetz über das Apothekenwesen (ApoG; Vācijas Aptieku likums);</w:t>
      </w:r>
    </w:p>
    <w:p w:rsidR="003E022D" w:rsidRDefault="007D19D6">
      <w:pPr>
        <w:rPr>
          <w:i/>
          <w:noProof/>
        </w:rPr>
      </w:pPr>
      <w:r>
        <w:rPr>
          <w:i/>
          <w:noProof/>
        </w:rPr>
        <w:t>Gesetz über den Verkehr mit Arzneimitteln (AMG);</w:t>
      </w:r>
    </w:p>
    <w:p w:rsidR="003E022D" w:rsidRDefault="007D19D6">
      <w:pPr>
        <w:rPr>
          <w:i/>
          <w:noProof/>
        </w:rPr>
      </w:pPr>
      <w:r>
        <w:rPr>
          <w:i/>
          <w:noProof/>
        </w:rPr>
        <w:t>Gesetz über Medizinprodukte (MPG) un</w:t>
      </w:r>
    </w:p>
    <w:p w:rsidR="003E022D" w:rsidRDefault="007D19D6">
      <w:pPr>
        <w:rPr>
          <w:i/>
          <w:noProof/>
        </w:rPr>
      </w:pPr>
      <w:r>
        <w:rPr>
          <w:i/>
          <w:noProof/>
        </w:rPr>
        <w:t>Verordnung zur Re</w:t>
      </w:r>
      <w:r>
        <w:rPr>
          <w:i/>
          <w:noProof/>
        </w:rPr>
        <w:t>gelung der Abgabe von Medizinprodukten (MPAV).</w:t>
      </w:r>
    </w:p>
    <w:p w:rsidR="003E022D" w:rsidRDefault="007D19D6">
      <w:pPr>
        <w:rPr>
          <w:noProof/>
        </w:rPr>
      </w:pPr>
      <w:r>
        <w:rPr>
          <w:b/>
          <w:i/>
          <w:noProof/>
        </w:rPr>
        <w:t>SK</w:t>
      </w:r>
      <w:r>
        <w:rPr>
          <w:i/>
          <w:noProof/>
        </w:rPr>
        <w:t xml:space="preserve">: </w:t>
      </w:r>
      <w:r>
        <w:rPr>
          <w:noProof/>
        </w:rPr>
        <w:t xml:space="preserve">Likums 362/2011 par zālēm un medicīniskām ierīcēm, 6. pants, un </w:t>
      </w:r>
    </w:p>
    <w:p w:rsidR="003E022D" w:rsidRDefault="007D19D6">
      <w:pPr>
        <w:rPr>
          <w:i/>
          <w:noProof/>
        </w:rPr>
      </w:pPr>
      <w:r>
        <w:rPr>
          <w:noProof/>
        </w:rPr>
        <w:t>Likums 578/2004 par veselības aprūpes pakalpojumu sniedzējiem, medicīnas darbiniekiem, profesionālajām organizācijām veselības aprūpes jomā.</w:t>
      </w:r>
      <w:r>
        <w:rPr>
          <w:i/>
          <w:noProof/>
        </w:rPr>
        <w:t xml:space="preserve"> </w:t>
      </w:r>
    </w:p>
    <w:p w:rsidR="003E022D" w:rsidRDefault="007D19D6">
      <w:pPr>
        <w:rPr>
          <w:b/>
          <w:noProof/>
        </w:rPr>
      </w:pPr>
      <w:r>
        <w:rPr>
          <w:noProof/>
        </w:rPr>
        <w:br w:type="page"/>
      </w:r>
      <w:bookmarkStart w:id="1027" w:name="_Toc476832031"/>
      <w:bookmarkStart w:id="1028" w:name="_Toc500420025"/>
      <w:bookmarkStart w:id="1029" w:name="_Toc5371304"/>
      <w:bookmarkStart w:id="1030" w:name="_Toc53746661"/>
      <w:bookmarkStart w:id="1031" w:name="_Toc57917370"/>
      <w:r>
        <w:rPr>
          <w:b/>
          <w:noProof/>
        </w:rPr>
        <w:t>4. atruna.</w:t>
      </w:r>
      <w:bookmarkStart w:id="1032" w:name="_Toc452570611"/>
      <w:bookmarkEnd w:id="1027"/>
      <w:bookmarkEnd w:id="1032"/>
      <w:r>
        <w:rPr>
          <w:noProof/>
        </w:rPr>
        <w:t xml:space="preserve"> </w:t>
      </w:r>
      <w:bookmarkEnd w:id="1028"/>
      <w:r>
        <w:rPr>
          <w:b/>
          <w:noProof/>
        </w:rPr>
        <w:t>Pētniecības un izstrādes pakalpojumi</w:t>
      </w:r>
      <w:bookmarkEnd w:id="1029"/>
      <w:bookmarkEnd w:id="1030"/>
      <w:bookmarkEnd w:id="1031"/>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Pētniecības un izstrādes pakalpojumi</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CPC 851 un 853</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un pakalpojumu </w:t>
            </w:r>
            <w:r>
              <w:rPr>
                <w:noProof/>
              </w:rPr>
              <w:t>pārrobežu tirdzniecība</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noProof/>
        </w:rPr>
      </w:pPr>
      <w:r>
        <w:rPr>
          <w:b/>
          <w:noProof/>
        </w:rPr>
        <w:t>EU</w:t>
      </w:r>
      <w:r>
        <w:rPr>
          <w:noProof/>
        </w:rPr>
        <w:t>: par publiski finansētiem pētniecības un izstrādes pakalpojumiem, kam izmanto Eiropas Savienības nodrošinātu finansējumu Eiropas Savienības</w:t>
      </w:r>
      <w:r>
        <w:rPr>
          <w:noProof/>
        </w:rPr>
        <w:t xml:space="preserve"> līmenī, ekskluzīvas tiesības vai pilnvaras var piešķirt tikai Eiropas Savienības dalībvalstu valstspiederīgajiem un Eiropas Savienības juridiskām personām, kuru juridiskā adrese, galvenā vadība vai galvenā darījumdarbības vieta ir Eiropas Savienībā (CPC 8</w:t>
      </w:r>
      <w:r>
        <w:rPr>
          <w:noProof/>
        </w:rPr>
        <w:t xml:space="preserve">51, 853). </w:t>
      </w:r>
    </w:p>
    <w:p w:rsidR="003E022D" w:rsidRDefault="007D19D6">
      <w:pPr>
        <w:rPr>
          <w:noProof/>
        </w:rPr>
      </w:pPr>
      <w:r>
        <w:rPr>
          <w:noProof/>
        </w:rPr>
        <w:t>Par valsts finansētiem pētniecības un izstrādes pakalpojumiem, kam izmanto dalībvalsts nodrošinātu finansējumu, ekskluzīvas tiesības vai pilnvaras var piešķirt tikai attiecīgās Eiropas Savienības dalībvalsts valstspiederīgajiem un attiecīgās dal</w:t>
      </w:r>
      <w:r>
        <w:rPr>
          <w:noProof/>
        </w:rPr>
        <w:t xml:space="preserve">ībvalsts juridiskām personām, kuru galvenā mītne ir attiecīgajā dalībvalstī (CPC 851, 853). </w:t>
      </w:r>
    </w:p>
    <w:p w:rsidR="003E022D" w:rsidRDefault="007D19D6">
      <w:pPr>
        <w:rPr>
          <w:noProof/>
        </w:rPr>
      </w:pPr>
      <w:r>
        <w:rPr>
          <w:noProof/>
        </w:rPr>
        <w:t xml:space="preserve">Šī atruna neskar </w:t>
      </w:r>
      <w:r>
        <w:rPr>
          <w:noProof/>
          <w:highlight w:val="cyan"/>
        </w:rPr>
        <w:t xml:space="preserve">[Piekto daļu] [Dalība Savienības programmās, pareiza finanšu pārvaldība un finanšu noteikumi] </w:t>
      </w:r>
      <w:r>
        <w:rPr>
          <w:noProof/>
        </w:rPr>
        <w:t>un Puses veikta iepirkuma vai Pušu piešķirtu subsīdi</w:t>
      </w:r>
      <w:r>
        <w:rPr>
          <w:noProof/>
        </w:rPr>
        <w:t xml:space="preserve">ju izslēgšanu no </w:t>
      </w:r>
      <w:r>
        <w:rPr>
          <w:noProof/>
          <w:highlight w:val="cyan"/>
        </w:rPr>
        <w:t>SERVIN.1.1. panta [Mērķis un darbības joma] 6. un 7. punkta</w:t>
      </w:r>
      <w:r>
        <w:rPr>
          <w:noProof/>
        </w:rPr>
        <w:t xml:space="preserve">.  </w:t>
      </w:r>
    </w:p>
    <w:p w:rsidR="003E022D" w:rsidRDefault="007D19D6">
      <w:pPr>
        <w:rPr>
          <w:b/>
          <w:i/>
          <w:noProof/>
        </w:rPr>
      </w:pPr>
      <w:r>
        <w:rPr>
          <w:b/>
          <w:i/>
          <w:noProof/>
        </w:rPr>
        <w:t xml:space="preserve">Pasākumi </w:t>
      </w:r>
    </w:p>
    <w:p w:rsidR="003E022D" w:rsidRDefault="007D19D6">
      <w:pPr>
        <w:rPr>
          <w:noProof/>
        </w:rPr>
      </w:pPr>
      <w:r>
        <w:rPr>
          <w:b/>
          <w:noProof/>
        </w:rPr>
        <w:t>EU</w:t>
      </w:r>
      <w:r>
        <w:rPr>
          <w:noProof/>
        </w:rPr>
        <w:t>: visas esošās un visas nākotnes Savienības pētniecības vai inovācijas pamatprogrammas, ieskaitot pamatprogrammas “Apvārsnis 2020” dalības noteikumus un noteikumus,</w:t>
      </w:r>
      <w:r>
        <w:rPr>
          <w:noProof/>
        </w:rPr>
        <w:t xml:space="preserve"> kas attiecas uz kopīgo tehnoloģiju ierosmju 185. panta lēmumiem, un Eiropas Inovāciju un tehnoloģiju institūtu (EIT), kā arī esošās un nākotnes valsts, reģionālās vai vietējās programmas. </w:t>
      </w:r>
    </w:p>
    <w:p w:rsidR="003E022D" w:rsidRDefault="003E022D">
      <w:pPr>
        <w:rPr>
          <w:noProof/>
        </w:rPr>
      </w:pPr>
    </w:p>
    <w:p w:rsidR="003E022D" w:rsidRDefault="007D19D6">
      <w:pPr>
        <w:rPr>
          <w:b/>
          <w:bCs/>
          <w:noProof/>
        </w:rPr>
      </w:pPr>
      <w:bookmarkStart w:id="1033" w:name="_Toc452570612"/>
      <w:r>
        <w:rPr>
          <w:noProof/>
        </w:rPr>
        <w:br w:type="page"/>
      </w:r>
    </w:p>
    <w:p w:rsidR="003E022D" w:rsidRDefault="007D19D6">
      <w:pPr>
        <w:rPr>
          <w:b/>
          <w:noProof/>
        </w:rPr>
      </w:pPr>
      <w:bookmarkStart w:id="1034" w:name="_Toc476832032"/>
      <w:bookmarkStart w:id="1035" w:name="_Toc500420026"/>
      <w:bookmarkStart w:id="1036" w:name="_Toc5371305"/>
      <w:bookmarkStart w:id="1037" w:name="_Toc53746662"/>
      <w:bookmarkStart w:id="1038" w:name="_Toc57917371"/>
      <w:r>
        <w:rPr>
          <w:b/>
          <w:noProof/>
        </w:rPr>
        <w:t xml:space="preserve">5. atruna. Nekustamā īpašuma </w:t>
      </w:r>
      <w:bookmarkEnd w:id="1033"/>
      <w:bookmarkEnd w:id="1034"/>
      <w:bookmarkEnd w:id="1035"/>
      <w:r>
        <w:rPr>
          <w:b/>
          <w:noProof/>
        </w:rPr>
        <w:t>pakalpojumi</w:t>
      </w:r>
      <w:bookmarkEnd w:id="1036"/>
      <w:bookmarkEnd w:id="1037"/>
      <w:bookmarkEnd w:id="1038"/>
      <w:r>
        <w:rPr>
          <w:b/>
          <w:noProof/>
        </w:rPr>
        <w:t xml:space="preserve"> </w:t>
      </w:r>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Nekustamā īpašuma pakalpojumi</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CPC 821 un 822</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Investīciju liberalizācija un pakalpojumu pārrobežu tirdzniecība</w:t>
            </w:r>
          </w:p>
        </w:tc>
      </w:tr>
      <w:tr w:rsidR="003E022D">
        <w:tc>
          <w:tcPr>
            <w:tcW w:w="2660" w:type="dxa"/>
          </w:tcPr>
          <w:p w:rsidR="003E022D" w:rsidRDefault="007D19D6">
            <w:pPr>
              <w:spacing w:afterAutospacing="0"/>
              <w:rPr>
                <w:b/>
                <w:bCs/>
                <w:noProof/>
              </w:rPr>
            </w:pPr>
            <w:r>
              <w:rPr>
                <w:b/>
                <w:bCs/>
                <w:noProof/>
              </w:rPr>
              <w:t>Valdības līme</w:t>
            </w:r>
            <w:r>
              <w:rPr>
                <w:b/>
                <w:bCs/>
                <w:noProof/>
              </w:rPr>
              <w:t>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noProof/>
          <w:u w:val="single"/>
        </w:rPr>
      </w:pPr>
      <w:r>
        <w:rPr>
          <w:noProof/>
          <w:u w:val="single"/>
        </w:rPr>
        <w:t xml:space="preserve">Attiecībā uz investīciju liberalizāciju – piekļuve tirgum, valsts režīms un pakalpojumu pārrobežu tirdzniecība – valsts režīms, klātbūtne uz vietas </w:t>
      </w:r>
    </w:p>
    <w:p w:rsidR="003E022D" w:rsidRDefault="007D19D6">
      <w:pPr>
        <w:rPr>
          <w:noProof/>
        </w:rPr>
      </w:pPr>
      <w:r>
        <w:rPr>
          <w:b/>
          <w:noProof/>
        </w:rPr>
        <w:t>CY</w:t>
      </w:r>
      <w:r>
        <w:rPr>
          <w:noProof/>
        </w:rPr>
        <w:t xml:space="preserve">: uz nekustamā īpašuma pakalpojumu sniegšanu attiecas valstspiederības un dzīvesvietas nosacījums.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Nekustamā īpašuma aģentu likums 71(1)/2010, ar grozījumiem.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CZ</w:t>
      </w:r>
      <w:r>
        <w:rPr>
          <w:noProof/>
        </w:rPr>
        <w:t>: lai sa</w:t>
      </w:r>
      <w:r>
        <w:rPr>
          <w:noProof/>
        </w:rPr>
        <w:t xml:space="preserve">ņemtu licenci, kas nepieciešama nekustamā īpašuma pakalpojumu sniegšanai, fiziskām personām jāizpilda prasība par dzīvesvietu un juridiskām personām jāveic uzņēmējdarbība Čehijā. </w:t>
      </w:r>
    </w:p>
    <w:p w:rsidR="003E022D" w:rsidRDefault="007D19D6">
      <w:pPr>
        <w:rPr>
          <w:noProof/>
        </w:rPr>
      </w:pPr>
      <w:r>
        <w:rPr>
          <w:b/>
          <w:noProof/>
        </w:rPr>
        <w:t>HR</w:t>
      </w:r>
      <w:r>
        <w:rPr>
          <w:noProof/>
        </w:rPr>
        <w:t>: lai sniegtu nekustamā īpašuma pakalpojumus, ir vajadzīga komerciāla klāt</w:t>
      </w:r>
      <w:r>
        <w:rPr>
          <w:noProof/>
        </w:rPr>
        <w:t xml:space="preserve">būtne EEZ. </w:t>
      </w:r>
    </w:p>
    <w:p w:rsidR="003E022D" w:rsidRDefault="007D19D6">
      <w:pPr>
        <w:rPr>
          <w:noProof/>
        </w:rPr>
      </w:pPr>
      <w:r>
        <w:rPr>
          <w:b/>
          <w:noProof/>
        </w:rPr>
        <w:t>PT</w:t>
      </w:r>
      <w:r>
        <w:rPr>
          <w:noProof/>
        </w:rPr>
        <w:t xml:space="preserve">: fiziskām personām ir jāizpilda prasība par dzīvesvietu EEZ. Juridiskām personām ir vajadzīga inkorporācija EEZ valstī. </w:t>
      </w:r>
    </w:p>
    <w:p w:rsidR="003E022D" w:rsidRDefault="007D19D6">
      <w:pPr>
        <w:rPr>
          <w:b/>
          <w:i/>
          <w:noProof/>
        </w:rPr>
      </w:pPr>
      <w:r>
        <w:rPr>
          <w:b/>
          <w:i/>
          <w:noProof/>
        </w:rPr>
        <w:t xml:space="preserve">Pasākumi </w:t>
      </w:r>
    </w:p>
    <w:p w:rsidR="003E022D" w:rsidRDefault="007D19D6">
      <w:pPr>
        <w:rPr>
          <w:i/>
          <w:noProof/>
        </w:rPr>
      </w:pPr>
      <w:r>
        <w:rPr>
          <w:b/>
          <w:i/>
          <w:noProof/>
        </w:rPr>
        <w:t>CZ</w:t>
      </w:r>
      <w:r>
        <w:rPr>
          <w:i/>
          <w:noProof/>
        </w:rPr>
        <w:t xml:space="preserve">: Tirdzniecības licencēšanas likums. </w:t>
      </w:r>
    </w:p>
    <w:p w:rsidR="003E022D" w:rsidRDefault="007D19D6">
      <w:pPr>
        <w:rPr>
          <w:i/>
          <w:noProof/>
        </w:rPr>
      </w:pPr>
      <w:r>
        <w:rPr>
          <w:b/>
          <w:i/>
          <w:noProof/>
        </w:rPr>
        <w:t>HR</w:t>
      </w:r>
      <w:r>
        <w:rPr>
          <w:i/>
          <w:noProof/>
        </w:rPr>
        <w:t>: Likums par nekustamo īpašumu darījumu starpniecību (OG 107/07 un 1</w:t>
      </w:r>
      <w:r>
        <w:rPr>
          <w:i/>
          <w:noProof/>
        </w:rPr>
        <w:t xml:space="preserve">44/12), 2. pants. </w:t>
      </w:r>
    </w:p>
    <w:p w:rsidR="003E022D" w:rsidRDefault="007D19D6">
      <w:pPr>
        <w:rPr>
          <w:i/>
          <w:noProof/>
        </w:rPr>
      </w:pPr>
      <w:r>
        <w:rPr>
          <w:b/>
          <w:i/>
          <w:noProof/>
        </w:rPr>
        <w:t>PT</w:t>
      </w:r>
      <w:r>
        <w:rPr>
          <w:i/>
          <w:noProof/>
        </w:rPr>
        <w:t xml:space="preserve">: Dekrētlikums 211/2004 (3. un 25. pants), kas grozīts un pārpublicēts ar Dekrētlikumu 69/2011. </w:t>
      </w:r>
    </w:p>
    <w:p w:rsidR="003E022D" w:rsidRDefault="007D19D6">
      <w:pPr>
        <w:rPr>
          <w:noProof/>
          <w:u w:val="single"/>
        </w:rPr>
      </w:pPr>
      <w:r>
        <w:rPr>
          <w:noProof/>
          <w:u w:val="single"/>
        </w:rPr>
        <w:t xml:space="preserve">Attiecībā uz investīciju liberalizāciju – valsts režīms un pakalpojumu pārrobežu tirdzniecība – klātbūtne uz vietas </w:t>
      </w:r>
    </w:p>
    <w:p w:rsidR="003E022D" w:rsidRDefault="007D19D6">
      <w:pPr>
        <w:rPr>
          <w:noProof/>
        </w:rPr>
      </w:pPr>
      <w:r>
        <w:rPr>
          <w:b/>
          <w:noProof/>
        </w:rPr>
        <w:t>DK</w:t>
      </w:r>
      <w:r>
        <w:rPr>
          <w:noProof/>
        </w:rPr>
        <w:t>: attiecībā uz neku</w:t>
      </w:r>
      <w:r>
        <w:rPr>
          <w:noProof/>
        </w:rPr>
        <w:t xml:space="preserve">stamā īpašuma pakalpojumiem, ko sniedz fiziska persona, kas atrodas Dānijas teritorijā, </w:t>
      </w:r>
    </w:p>
    <w:p w:rsidR="003E022D" w:rsidRDefault="007D19D6">
      <w:pPr>
        <w:rPr>
          <w:noProof/>
        </w:rPr>
      </w:pPr>
      <w:r>
        <w:rPr>
          <w:noProof/>
        </w:rPr>
        <w:t xml:space="preserve">nosaukumu “nekustamā īpašuma aģents” var izmantot tikai pilnvarots nekustamā īpašuma aģents, kas ir fiziska persona, kura ir iekļauta Dānijas Darījumdarbības iestādes </w:t>
      </w:r>
      <w:r>
        <w:rPr>
          <w:noProof/>
        </w:rPr>
        <w:t xml:space="preserve">nekustamā īpašuma aģentu reģistrā. Minētais likums nosaka, ka pieteikuma iesniedzējam jābūt Dānijas rezidentam vai Savienības, EEZ vai Šveices Konfederācijas rezidentam. </w:t>
      </w:r>
    </w:p>
    <w:p w:rsidR="003E022D" w:rsidRDefault="007D19D6">
      <w:pPr>
        <w:rPr>
          <w:noProof/>
        </w:rPr>
      </w:pPr>
      <w:bookmarkStart w:id="1039" w:name="_Hlk495618185"/>
      <w:r>
        <w:rPr>
          <w:noProof/>
        </w:rPr>
        <w:t>Likums par nekustamā īpašuma pārdošanu ir piemērojams tikai tad, ja tiek sniegti ar n</w:t>
      </w:r>
      <w:r>
        <w:rPr>
          <w:noProof/>
        </w:rPr>
        <w:t xml:space="preserve">ekustamo īpašumu saistīti pakalpojumi patērētājiem. </w:t>
      </w:r>
      <w:bookmarkEnd w:id="1039"/>
      <w:r>
        <w:rPr>
          <w:noProof/>
        </w:rPr>
        <w:t xml:space="preserve">Likums par nekustamā īpašuma pārdošanu neattiecas uz nekustamā īpašuma izpirkumnomu (CPC 822). </w:t>
      </w:r>
    </w:p>
    <w:p w:rsidR="003E022D" w:rsidRDefault="007D19D6">
      <w:pPr>
        <w:rPr>
          <w:b/>
          <w:i/>
          <w:noProof/>
        </w:rPr>
      </w:pPr>
      <w:r>
        <w:rPr>
          <w:b/>
          <w:i/>
          <w:noProof/>
        </w:rPr>
        <w:t xml:space="preserve">Pasākumi </w:t>
      </w:r>
    </w:p>
    <w:p w:rsidR="003E022D" w:rsidRDefault="007D19D6">
      <w:pPr>
        <w:rPr>
          <w:i/>
          <w:noProof/>
        </w:rPr>
      </w:pPr>
      <w:r>
        <w:rPr>
          <w:b/>
          <w:i/>
          <w:noProof/>
        </w:rPr>
        <w:t>DK</w:t>
      </w:r>
      <w:r>
        <w:rPr>
          <w:i/>
          <w:noProof/>
        </w:rPr>
        <w:t>: Lov om formidling af fast ejendom m.v. lov. nr. 526 af 28.05.2014 (Likums par nekustamā īpašum</w:t>
      </w:r>
      <w:r>
        <w:rPr>
          <w:i/>
          <w:noProof/>
        </w:rPr>
        <w:t xml:space="preserve">a pārdošanu). </w:t>
      </w:r>
    </w:p>
    <w:p w:rsidR="003E022D" w:rsidRDefault="007D19D6">
      <w:pPr>
        <w:rPr>
          <w:noProof/>
          <w:u w:val="single"/>
        </w:rPr>
      </w:pPr>
      <w:r>
        <w:rPr>
          <w:noProof/>
          <w:u w:val="single"/>
        </w:rPr>
        <w:t xml:space="preserve">Attiecībā uz pakalpojumu pārrobežu tirdzniecību – piekļuve tirgum, valsts režīms, lielākās labvēlības režīms </w:t>
      </w:r>
    </w:p>
    <w:p w:rsidR="003E022D" w:rsidRDefault="007D19D6">
      <w:pPr>
        <w:rPr>
          <w:noProof/>
        </w:rPr>
      </w:pPr>
      <w:r>
        <w:rPr>
          <w:b/>
          <w:noProof/>
        </w:rPr>
        <w:t>SI</w:t>
      </w:r>
      <w:r>
        <w:rPr>
          <w:noProof/>
        </w:rPr>
        <w:t>: ciktāl Apvienotā Karaliste ļauj Slovēnijas valstspiederīgajiem un uzņēmumiem sniegt nekustamā īpašuma aģentu pakalpojumus, Slov</w:t>
      </w:r>
      <w:r>
        <w:rPr>
          <w:noProof/>
        </w:rPr>
        <w:t>ēnija ļauj Apvienotās Karalistes valstspiederīgajiem un uzņēmumiem sniegt nekustamā īpašuma aģentu pakalpojumus ar tādiem pašiem nosacījumiem, un papildus ir jābūt izpildītām šādām prasībām: tiesības strādāt par nekustamā īpašuma aģentu izcelsmes valstī, a</w:t>
      </w:r>
      <w:r>
        <w:rPr>
          <w:noProof/>
        </w:rPr>
        <w:t xml:space="preserve">ttiecīga dokumenta iesniegšana par kriminālu nesodāmību un iekļaušana nekustamā īpašuma aģentu reģistrā kompetentajā (Slovēnijas) ministrijā. </w:t>
      </w:r>
    </w:p>
    <w:p w:rsidR="003E022D" w:rsidRDefault="007D19D6">
      <w:pPr>
        <w:rPr>
          <w:b/>
          <w:i/>
          <w:noProof/>
        </w:rPr>
      </w:pPr>
      <w:r>
        <w:rPr>
          <w:b/>
          <w:i/>
          <w:noProof/>
        </w:rPr>
        <w:t xml:space="preserve">Pasākumi </w:t>
      </w:r>
    </w:p>
    <w:p w:rsidR="003E022D" w:rsidRDefault="007D19D6">
      <w:pPr>
        <w:rPr>
          <w:i/>
          <w:noProof/>
        </w:rPr>
      </w:pPr>
      <w:r>
        <w:rPr>
          <w:b/>
          <w:i/>
          <w:noProof/>
        </w:rPr>
        <w:t>SI</w:t>
      </w:r>
      <w:r>
        <w:rPr>
          <w:i/>
          <w:noProof/>
        </w:rPr>
        <w:t xml:space="preserve">: Nekustamā īpašuma aģentūru likums. </w:t>
      </w:r>
    </w:p>
    <w:p w:rsidR="003E022D" w:rsidRDefault="007D19D6">
      <w:pPr>
        <w:rPr>
          <w:b/>
          <w:noProof/>
        </w:rPr>
      </w:pPr>
      <w:bookmarkStart w:id="1040" w:name="_Toc452570613"/>
      <w:bookmarkStart w:id="1041" w:name="_Toc476832033"/>
      <w:bookmarkStart w:id="1042" w:name="_Toc500420027"/>
      <w:r>
        <w:rPr>
          <w:noProof/>
        </w:rPr>
        <w:br w:type="page"/>
      </w:r>
    </w:p>
    <w:p w:rsidR="003E022D" w:rsidRDefault="007D19D6">
      <w:pPr>
        <w:rPr>
          <w:b/>
          <w:noProof/>
        </w:rPr>
      </w:pPr>
      <w:bookmarkStart w:id="1043" w:name="_Toc5371306"/>
      <w:bookmarkStart w:id="1044" w:name="_Toc53746663"/>
      <w:bookmarkStart w:id="1045" w:name="_Toc57917372"/>
      <w:r>
        <w:rPr>
          <w:b/>
          <w:noProof/>
        </w:rPr>
        <w:t>6. atruna</w:t>
      </w:r>
      <w:r>
        <w:rPr>
          <w:noProof/>
        </w:rPr>
        <w:t xml:space="preserve">. </w:t>
      </w:r>
      <w:bookmarkEnd w:id="1040"/>
      <w:bookmarkEnd w:id="1041"/>
      <w:bookmarkEnd w:id="1042"/>
      <w:r>
        <w:rPr>
          <w:b/>
          <w:noProof/>
        </w:rPr>
        <w:t>Darījumdarbības pakalpojumi</w:t>
      </w:r>
      <w:bookmarkEnd w:id="1043"/>
      <w:bookmarkEnd w:id="1044"/>
      <w:bookmarkEnd w:id="1045"/>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Darījumdarbības pakalpojumi – nomas vai izpirkumnomas pakalpojumi bez operatoriem; ar vadības konsultācijām saistīti pakalpojumi; tehniskā testēšana un analīze; saistītie zinātnisko un tehnisko konsultāciju pakalpojumi; ar lauksaimniecību saistīti pakalpoj</w:t>
            </w:r>
            <w:r>
              <w:rPr>
                <w:noProof/>
              </w:rPr>
              <w:t>umi; drošības pakalpojumi; darbā iekārtošanas pakalpojumi; rakstiskās un mutiskās tulkošanas pakalpojumi un citi darījumdarbības pakalpojumi</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 xml:space="preserve">ISIC 37. red., daļa no CPC 612, daļa no 621, daļa no 625, 831, daļa no 85990, 86602, 8675, </w:t>
            </w:r>
            <w:r>
              <w:rPr>
                <w:noProof/>
              </w:rPr>
              <w:t>8676, 87201, 87202, 87203, 87204, 87205, 87206, 87209, 87901, 87902, 87909, 88, daļa no 893</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padomes </w:t>
            </w:r>
            <w:r>
              <w:rPr>
                <w:noProof/>
              </w:rPr>
              <w:b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Investīciju liberal</w:t>
            </w:r>
            <w:r>
              <w:rPr>
                <w:noProof/>
              </w:rPr>
              <w:t>izācija un pakalpojumu pārrobežu tirdzniecība</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Apraksts</w:t>
      </w:r>
    </w:p>
    <w:p w:rsidR="003E022D" w:rsidRDefault="007D19D6">
      <w:pPr>
        <w:rPr>
          <w:b/>
          <w:i/>
          <w:noProof/>
        </w:rPr>
      </w:pPr>
      <w:bookmarkStart w:id="1046" w:name="_Toc5371307"/>
      <w:r>
        <w:rPr>
          <w:b/>
          <w:i/>
          <w:noProof/>
        </w:rPr>
        <w:t xml:space="preserve">a) </w:t>
      </w:r>
      <w:r>
        <w:rPr>
          <w:noProof/>
        </w:rPr>
        <w:tab/>
      </w:r>
      <w:bookmarkStart w:id="1047" w:name="_Toc452570614"/>
      <w:r>
        <w:rPr>
          <w:b/>
          <w:i/>
          <w:noProof/>
        </w:rPr>
        <w:t>Nomas vai izpirkumnomas pakalpojumi bez operatoriem</w:t>
      </w:r>
      <w:bookmarkEnd w:id="1047"/>
      <w:r>
        <w:rPr>
          <w:noProof/>
        </w:rPr>
        <w:t xml:space="preserve"> (CPC 83103, CPC 831)</w:t>
      </w:r>
      <w:bookmarkEnd w:id="1046"/>
      <w:r>
        <w:rPr>
          <w:b/>
          <w:i/>
          <w:noProof/>
        </w:rPr>
        <w:t xml:space="preserve"> </w:t>
      </w:r>
    </w:p>
    <w:p w:rsidR="003E022D" w:rsidRDefault="007D19D6">
      <w:pPr>
        <w:rPr>
          <w:noProof/>
          <w:u w:val="single"/>
        </w:rPr>
      </w:pPr>
      <w:r>
        <w:rPr>
          <w:noProof/>
          <w:u w:val="single"/>
        </w:rPr>
        <w:t xml:space="preserve">Attiecībā uz investīciju liberalizāciju – </w:t>
      </w:r>
      <w:r>
        <w:rPr>
          <w:noProof/>
          <w:u w:val="single"/>
        </w:rPr>
        <w:t xml:space="preserve">piekļuve tirgum, valsts režīms </w:t>
      </w:r>
    </w:p>
    <w:p w:rsidR="003E022D" w:rsidRDefault="007D19D6">
      <w:pPr>
        <w:rPr>
          <w:noProof/>
        </w:rPr>
      </w:pPr>
      <w:r>
        <w:rPr>
          <w:b/>
          <w:noProof/>
        </w:rPr>
        <w:t>SE</w:t>
      </w:r>
      <w:r>
        <w:rPr>
          <w:noProof/>
        </w:rPr>
        <w:t>: ja kuģis daļēji pieder ārvalstniekiem, tas var kuģot ar Zviedrijas karogu, ja var pierādīt Zviedrijas operatora dominējošo ietekmi. Dominējoša Zviedrijas ietekme kuģa ekspluatācijā nozīmē, ka kuģa ekspluatācija tiek kont</w:t>
      </w:r>
      <w:r>
        <w:rPr>
          <w:noProof/>
        </w:rPr>
        <w:t>rolēta Zviedrijā un ka turklāt vairāk nekā puse kapitāldaļu ir Zviedrijas vai citas EEZ valsts valstspiederīgo īpašumā. Citiem ārvalstu kuģiem ar konkrētiem nosacījumiem var piešķirt atbrīvojumu no šā noteikuma izpildes, ja tos nomā vai nomā ar izpirkumu Z</w:t>
      </w:r>
      <w:r>
        <w:rPr>
          <w:noProof/>
        </w:rPr>
        <w:t xml:space="preserve">viedrijas juridiskās personas, pamatojoties uz berbouta fraktēšanas līgumiem (CPC 83103). </w:t>
      </w:r>
    </w:p>
    <w:p w:rsidR="003E022D" w:rsidRDefault="007D19D6">
      <w:pPr>
        <w:rPr>
          <w:b/>
          <w:i/>
          <w:noProof/>
        </w:rPr>
      </w:pPr>
      <w:r>
        <w:rPr>
          <w:b/>
          <w:i/>
          <w:noProof/>
        </w:rPr>
        <w:t xml:space="preserve">Pasākumi </w:t>
      </w:r>
    </w:p>
    <w:p w:rsidR="003E022D" w:rsidRDefault="007D19D6">
      <w:pPr>
        <w:rPr>
          <w:i/>
          <w:noProof/>
        </w:rPr>
      </w:pPr>
      <w:r>
        <w:rPr>
          <w:b/>
          <w:i/>
          <w:noProof/>
        </w:rPr>
        <w:t>SE</w:t>
      </w:r>
      <w:r>
        <w:rPr>
          <w:i/>
          <w:noProof/>
        </w:rPr>
        <w:t xml:space="preserve">: Sjölagen (Jūras likums) (1994:1009), 1. nodaļa, § 1.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SE</w:t>
      </w:r>
      <w:r>
        <w:rPr>
          <w:noProof/>
        </w:rPr>
        <w:t xml:space="preserve">: pakalpojumu </w:t>
      </w:r>
      <w:r>
        <w:rPr>
          <w:noProof/>
        </w:rPr>
        <w:t>sniedzējiem, kas piedāvā vieglo automobiļu un konkrētu ārpusceļa transportlīdzekļu (</w:t>
      </w:r>
      <w:r>
        <w:rPr>
          <w:i/>
          <w:noProof/>
        </w:rPr>
        <w:t>terrängmotorfordon</w:t>
      </w:r>
      <w:r>
        <w:rPr>
          <w:noProof/>
        </w:rPr>
        <w:t>) bez vadītāja nomu vai izpirkumnomu uz mazāk nekā vienu gadu, ir jāieceļ persona, kura cita starpā ir atbildīga par to, lai tiktu nodrošināts, ka darījum</w:t>
      </w:r>
      <w:r>
        <w:rPr>
          <w:noProof/>
        </w:rPr>
        <w:t xml:space="preserve">darbība notiek saskaņā ar piemērojamajiem noteikumiem un regulējumu un ka tiek ievēroti ceļu satiksmes drošības noteikumi. Atbildīgās personas dzīvesvietai jābūt EEZ (CPC 831). </w:t>
      </w:r>
    </w:p>
    <w:p w:rsidR="003E022D" w:rsidRDefault="007D19D6">
      <w:pPr>
        <w:rPr>
          <w:b/>
          <w:i/>
          <w:noProof/>
        </w:rPr>
      </w:pPr>
      <w:r>
        <w:rPr>
          <w:b/>
          <w:i/>
          <w:noProof/>
        </w:rPr>
        <w:t xml:space="preserve">Pasākumi </w:t>
      </w:r>
    </w:p>
    <w:p w:rsidR="003E022D" w:rsidRDefault="007D19D6">
      <w:pPr>
        <w:rPr>
          <w:i/>
          <w:noProof/>
        </w:rPr>
      </w:pPr>
      <w:r>
        <w:rPr>
          <w:b/>
          <w:i/>
          <w:noProof/>
        </w:rPr>
        <w:t>SE</w:t>
      </w:r>
      <w:r>
        <w:rPr>
          <w:i/>
          <w:noProof/>
        </w:rPr>
        <w:t>: Lag (1998: 424) om biluthyrning (Likums par vieglo automobiļu no</w:t>
      </w:r>
      <w:r>
        <w:rPr>
          <w:i/>
          <w:noProof/>
        </w:rPr>
        <w:t xml:space="preserve">mu un izpirkumnomu). </w:t>
      </w:r>
    </w:p>
    <w:p w:rsidR="003E022D" w:rsidRDefault="007D19D6">
      <w:pPr>
        <w:rPr>
          <w:b/>
          <w:i/>
          <w:noProof/>
        </w:rPr>
      </w:pPr>
      <w:bookmarkStart w:id="1048" w:name="_Toc5371308"/>
      <w:r>
        <w:rPr>
          <w:b/>
          <w:i/>
          <w:noProof/>
        </w:rPr>
        <w:t>b)</w:t>
      </w:r>
      <w:r>
        <w:rPr>
          <w:noProof/>
        </w:rPr>
        <w:tab/>
      </w:r>
      <w:r>
        <w:rPr>
          <w:b/>
          <w:i/>
          <w:noProof/>
        </w:rPr>
        <w:t>Nomas vai izpirkumnomas pakalpojumi un citi darījumdarbības pakalpojumi, kas saistīti ar aviāciju</w:t>
      </w:r>
      <w:bookmarkEnd w:id="1048"/>
      <w:r>
        <w:rPr>
          <w:b/>
          <w:i/>
          <w:noProof/>
        </w:rPr>
        <w:t xml:space="preserve"> </w:t>
      </w:r>
    </w:p>
    <w:p w:rsidR="003E022D" w:rsidRDefault="007D19D6">
      <w:pPr>
        <w:rPr>
          <w:noProof/>
          <w:u w:val="single"/>
        </w:rPr>
      </w:pPr>
      <w:r>
        <w:rPr>
          <w:noProof/>
          <w:u w:val="single"/>
        </w:rPr>
        <w:t>Attiecībā uz investīciju liberalizāciju – piekļuve tirgum, valsts režīms, lielākās labvēlības režīms un pakalpojumu pārrobežu tirdzn</w:t>
      </w:r>
      <w:r>
        <w:rPr>
          <w:noProof/>
          <w:u w:val="single"/>
        </w:rPr>
        <w:t xml:space="preserve">iecība – piekļuve tirgum, valsts režīms, lielākās labvēlības režīms </w:t>
      </w:r>
    </w:p>
    <w:p w:rsidR="003E022D" w:rsidRDefault="007D19D6">
      <w:pPr>
        <w:rPr>
          <w:noProof/>
        </w:rPr>
      </w:pPr>
      <w:r>
        <w:rPr>
          <w:b/>
          <w:noProof/>
        </w:rPr>
        <w:t>EU</w:t>
      </w:r>
      <w:r>
        <w:rPr>
          <w:noProof/>
        </w:rPr>
        <w:t>: lai nomātu vai nomātu ar izpirkumu gaisa kuģi bez apkalpes, uz gaisa kuģi, ko izmanto Eiropas Savienības gaisa pārvadātājs, attiecas piemērojamās gaisa kuģu reģistrācijas prasības. Uz</w:t>
      </w:r>
      <w:r>
        <w:rPr>
          <w:noProof/>
        </w:rPr>
        <w:t xml:space="preserve"> tādu līgumu par nomāšanu ar izpirkumu bez apkalpes, kura puse ir Savienības pārvadātājs, attiecas prasības, kas noteiktas Savienības vai valsts tiesību aktos par aviācijas drošību, tādas kā iepriekšējs apstiprinājums un citi trešās valstīs reģistrētu gais</w:t>
      </w:r>
      <w:r>
        <w:rPr>
          <w:noProof/>
        </w:rPr>
        <w:t>a kuģu izmantošanai piemērojami nosacījumi. Lai gaisa kuģus reģistrētu, var prasīt, lai to īpašnieki būtu vai nu fiziskas personas, kas atbilst konkrētiem valstspiederības kritērijiem, vai uzņēmumi, kuri atbilst konkrētiem kritērijiem attiecībā uz kapitāla</w:t>
      </w:r>
      <w:r>
        <w:rPr>
          <w:noProof/>
        </w:rPr>
        <w:t xml:space="preserve"> īpašumtiesībām un kontroli (CPC 83104). </w:t>
      </w:r>
    </w:p>
    <w:p w:rsidR="003E022D" w:rsidRDefault="007D19D6">
      <w:pPr>
        <w:rPr>
          <w:noProof/>
        </w:rPr>
      </w:pPr>
      <w:r>
        <w:rPr>
          <w:noProof/>
        </w:rPr>
        <w:t>Attiecībā uz datorizētu rezervēšanas sistēmu (DRS) pakalpojumiem, ja DRS pakalpojumu sniedzēji ārpus Savienības nepiešķir Savienības gaisa pārvadātājiem līdzvērtīgu (proti, nediskriminējošu) režīmu tam, kādu Savien</w:t>
      </w:r>
      <w:r>
        <w:rPr>
          <w:noProof/>
        </w:rPr>
        <w:t>ības DRS pakalpojumu sniedzēji nodrošina trešās valsts gaisa pārvadātājiem Savienībā, vai ja gaisa pārvadātāji ārpus Savienības nepiešķir Savienības DRS pakalpojumu sniedzējiem līdzvērtīgu režīmu tam, kādu gaisa pārvadātāji Savienībā nodrošina trešās valst</w:t>
      </w:r>
      <w:r>
        <w:rPr>
          <w:noProof/>
        </w:rPr>
        <w:t>s DRS pakalpojumu sniedzējiem, var veikt pasākumus, lai DRS pakalpojumu sniedzēji ārpus Savienības piešķirtu līdzvērtīgu, diskriminējošu režīmu gaisa pārvadātājiem ārpus Savienības vai Savienības gaisa pārvadātāji piešķirtu līdzvērtīgu, diskriminējošu režī</w:t>
      </w:r>
      <w:r>
        <w:rPr>
          <w:noProof/>
        </w:rPr>
        <w:t xml:space="preserve">mu DRS pakalpojumu sniedzējiem ārpus Savienības. </w:t>
      </w:r>
    </w:p>
    <w:p w:rsidR="003E022D" w:rsidRDefault="007D19D6">
      <w:pPr>
        <w:rPr>
          <w:b/>
          <w:i/>
          <w:noProof/>
        </w:rPr>
      </w:pPr>
      <w:r>
        <w:rPr>
          <w:b/>
          <w:i/>
          <w:noProof/>
        </w:rPr>
        <w:t xml:space="preserve">Pasākumi </w:t>
      </w:r>
    </w:p>
    <w:p w:rsidR="003E022D" w:rsidRDefault="007D19D6">
      <w:pPr>
        <w:rPr>
          <w:i/>
          <w:noProof/>
        </w:rPr>
      </w:pPr>
      <w:r>
        <w:rPr>
          <w:b/>
          <w:i/>
          <w:noProof/>
        </w:rPr>
        <w:t>EU</w:t>
      </w:r>
      <w:r>
        <w:rPr>
          <w:i/>
          <w:noProof/>
        </w:rPr>
        <w:t>: Eiropas Parlamenta un Padomes 2008. gada 24. septembra Regula (EK) Nr. 1008/2008 par kopīgiem noteikumiem gaisa pārvadājumu pakalpojumu sniegšanai Kopienā (pārstrādāta versija) un Eiropas Parlamenta un Padomes 2009. gada 14. janvāra Regula (EK) Nr. 80/20</w:t>
      </w:r>
      <w:r>
        <w:rPr>
          <w:i/>
          <w:noProof/>
        </w:rPr>
        <w:t xml:space="preserve">09 par rīcības kodeksu datorizētām rezervēšanas sistēmām un par Padomes Regulas (EEK) Nr. 2299/89 atcelšanu. </w:t>
      </w:r>
    </w:p>
    <w:p w:rsidR="003E022D" w:rsidRDefault="007D19D6">
      <w:pPr>
        <w:rPr>
          <w:bCs/>
          <w:noProof/>
          <w:u w:val="single"/>
        </w:rPr>
      </w:pPr>
      <w:r>
        <w:rPr>
          <w:bCs/>
          <w:noProof/>
          <w:u w:val="single"/>
        </w:rPr>
        <w:t xml:space="preserve">Attiecībā uz investīciju liberalizāciju – valsts režīms un pakalpojumu pārrobežu tirdzniecība – piekļuve tirgum, valsts režīms </w:t>
      </w:r>
    </w:p>
    <w:p w:rsidR="003E022D" w:rsidRDefault="007D19D6">
      <w:pPr>
        <w:rPr>
          <w:noProof/>
        </w:rPr>
      </w:pPr>
      <w:r>
        <w:rPr>
          <w:b/>
          <w:noProof/>
        </w:rPr>
        <w:t>BE</w:t>
      </w:r>
      <w:r>
        <w:rPr>
          <w:noProof/>
        </w:rPr>
        <w:t>: privātus (civi</w:t>
      </w:r>
      <w:r>
        <w:rPr>
          <w:noProof/>
        </w:rPr>
        <w:t>lās aviācijas) gaisa kuģus, kas pieder fiziskām personām, kuras nav EEZ dalībvalsts valstspiederīgie, var reģistrēt tikai tad, ja šādu personu domicils ir Beļģijā vai tās ir Beļģijas rezidenti vismaz vienu gadu bez pārtraukuma. Privātus (civilās aviācijas)</w:t>
      </w:r>
      <w:r>
        <w:rPr>
          <w:noProof/>
        </w:rPr>
        <w:t xml:space="preserve"> gaisa kuģus, kas pieder ārvalstu juridiskajām personām, kuras nav izveidotas saskaņā ar EEZ dalībvalsts tiesībām, var reģistrēt tikai tad, ja šādu personu mītnesvieta, aģentūra vai birojs ir Beļģijā vismaz vienu gadu bez pārtraukuma (CPC 83104). </w:t>
      </w:r>
    </w:p>
    <w:p w:rsidR="003E022D" w:rsidRDefault="007D19D6">
      <w:pPr>
        <w:rPr>
          <w:noProof/>
        </w:rPr>
      </w:pPr>
      <w:r>
        <w:rPr>
          <w:noProof/>
        </w:rPr>
        <w:t>Licencēš</w:t>
      </w:r>
      <w:r>
        <w:rPr>
          <w:noProof/>
        </w:rPr>
        <w:t xml:space="preserve">anas procedūras lidojumiem ugunsgrēka dzēšanai no gaisa, mācību lidojumiem, apsmidzināšanai, mērniecībai, kartēšanai, fotografēšanai un citiem gaisā veiktiem pakalpojumiem lauksaimniecības, rūpniecības un inspekcijas vajadzībām.   </w:t>
      </w:r>
    </w:p>
    <w:p w:rsidR="003E022D" w:rsidRDefault="007D19D6">
      <w:pPr>
        <w:rPr>
          <w:b/>
          <w:i/>
          <w:noProof/>
        </w:rPr>
      </w:pPr>
      <w:r>
        <w:rPr>
          <w:b/>
          <w:i/>
          <w:noProof/>
        </w:rPr>
        <w:t xml:space="preserve">Pasākumi </w:t>
      </w:r>
    </w:p>
    <w:p w:rsidR="003E022D" w:rsidRDefault="007D19D6">
      <w:pPr>
        <w:rPr>
          <w:i/>
          <w:noProof/>
        </w:rPr>
      </w:pPr>
      <w:r>
        <w:rPr>
          <w:b/>
          <w:i/>
          <w:noProof/>
        </w:rPr>
        <w:t>BE</w:t>
      </w:r>
      <w:r>
        <w:rPr>
          <w:i/>
          <w:noProof/>
        </w:rPr>
        <w:t>: Arrêté Roy</w:t>
      </w:r>
      <w:r>
        <w:rPr>
          <w:i/>
          <w:noProof/>
        </w:rPr>
        <w:t xml:space="preserve">al du 15 mars 1954 réglementant la navigation aérienne. </w:t>
      </w:r>
    </w:p>
    <w:p w:rsidR="003E022D" w:rsidRDefault="007D19D6">
      <w:pPr>
        <w:rPr>
          <w:b/>
          <w:i/>
          <w:noProof/>
        </w:rPr>
      </w:pPr>
      <w:bookmarkStart w:id="1049" w:name="_Toc5371309"/>
      <w:r>
        <w:rPr>
          <w:b/>
          <w:i/>
          <w:noProof/>
        </w:rPr>
        <w:t>c)</w:t>
      </w:r>
      <w:r>
        <w:rPr>
          <w:noProof/>
        </w:rPr>
        <w:tab/>
      </w:r>
      <w:bookmarkStart w:id="1050" w:name="_Toc452570615"/>
      <w:r>
        <w:rPr>
          <w:b/>
          <w:i/>
          <w:noProof/>
        </w:rPr>
        <w:t>Ar vadības konsultācijām saistīti pakalpojumi — šķīrējtiesas un samierināšanas pakalpojumi (CPC 86602)</w:t>
      </w:r>
      <w:bookmarkEnd w:id="1049"/>
      <w:bookmarkEnd w:id="1050"/>
      <w:r>
        <w:rPr>
          <w:b/>
          <w:i/>
          <w:noProof/>
        </w:rPr>
        <w:t xml:space="preserve"> </w:t>
      </w:r>
    </w:p>
    <w:p w:rsidR="003E022D" w:rsidRDefault="007D19D6">
      <w:pPr>
        <w:rPr>
          <w:noProof/>
          <w:u w:val="single"/>
        </w:rPr>
      </w:pPr>
      <w:r>
        <w:rPr>
          <w:noProof/>
          <w:u w:val="single"/>
        </w:rPr>
        <w:t xml:space="preserve">Attiecībā uz pakalpojumu pārrobežu tirdzniecību – valsts režīms, klātbūtne uz vietas </w:t>
      </w:r>
    </w:p>
    <w:p w:rsidR="003E022D" w:rsidRDefault="007D19D6">
      <w:pPr>
        <w:rPr>
          <w:noProof/>
        </w:rPr>
      </w:pPr>
      <w:r>
        <w:rPr>
          <w:b/>
          <w:noProof/>
        </w:rPr>
        <w:t>BG:</w:t>
      </w:r>
      <w:r>
        <w:rPr>
          <w:noProof/>
        </w:rPr>
        <w:t xml:space="preserve"> la</w:t>
      </w:r>
      <w:r>
        <w:rPr>
          <w:noProof/>
        </w:rPr>
        <w:t>i to valstu pilsoņi, kuras nav EEZ dalībvalstis vai Šveices Konfederācija, varētu sniegt mediācijas pakalpojumus, viņiem ir jābūt pastāvīgai vai ilgtermiņa uzturēšanās atļaujai Bulgārijā.</w:t>
      </w:r>
    </w:p>
    <w:p w:rsidR="003E022D" w:rsidRDefault="007D19D6">
      <w:pPr>
        <w:rPr>
          <w:noProof/>
        </w:rPr>
      </w:pPr>
      <w:r>
        <w:rPr>
          <w:b/>
          <w:noProof/>
        </w:rPr>
        <w:t>HU</w:t>
      </w:r>
      <w:r>
        <w:rPr>
          <w:noProof/>
        </w:rPr>
        <w:t>: lai veiktu mediācijas (piemēram, šķīrējtiesas un samierināšanas)</w:t>
      </w:r>
      <w:r>
        <w:rPr>
          <w:noProof/>
        </w:rPr>
        <w:t xml:space="preserve"> darbības, ir vajadzīga par tiesu sistēmu atbildīgā ministra atļauja, proti, iekļaušana reģistrā, ko piešķir tikai juridiskām vai fiziskām personām, kuras veic uzņēmējdarbību Ungārijā vai ir Ungārijas rezidenti.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Mediācijas likums, 8. pants.</w:t>
      </w:r>
    </w:p>
    <w:p w:rsidR="003E022D" w:rsidRDefault="007D19D6">
      <w:pPr>
        <w:rPr>
          <w:i/>
          <w:noProof/>
        </w:rPr>
      </w:pPr>
      <w:r>
        <w:rPr>
          <w:b/>
          <w:i/>
          <w:noProof/>
        </w:rPr>
        <w:t>HU</w:t>
      </w:r>
      <w:r>
        <w:rPr>
          <w:i/>
          <w:noProof/>
        </w:rPr>
        <w:t xml:space="preserve">: 2002. gada Likums LV par mediāciju. </w:t>
      </w:r>
    </w:p>
    <w:p w:rsidR="003E022D" w:rsidRDefault="007D19D6">
      <w:pPr>
        <w:rPr>
          <w:b/>
          <w:i/>
          <w:noProof/>
        </w:rPr>
      </w:pPr>
      <w:bookmarkStart w:id="1051" w:name="_Toc5371310"/>
      <w:r>
        <w:rPr>
          <w:b/>
          <w:i/>
          <w:noProof/>
        </w:rPr>
        <w:t>d)</w:t>
      </w:r>
      <w:r>
        <w:rPr>
          <w:noProof/>
        </w:rPr>
        <w:tab/>
      </w:r>
      <w:bookmarkStart w:id="1052" w:name="_Toc452570616"/>
      <w:r>
        <w:rPr>
          <w:b/>
          <w:i/>
          <w:noProof/>
        </w:rPr>
        <w:t>Tehniskās testēšanas un analīzes pakalpojumi (CPC 8676)</w:t>
      </w:r>
      <w:bookmarkEnd w:id="1051"/>
      <w:bookmarkEnd w:id="1052"/>
      <w:r>
        <w:rPr>
          <w:b/>
          <w:i/>
          <w:noProof/>
        </w:rPr>
        <w:t xml:space="preserve"> </w:t>
      </w:r>
    </w:p>
    <w:p w:rsidR="003E022D" w:rsidRDefault="007D19D6">
      <w:pPr>
        <w:rPr>
          <w:bCs/>
          <w:noProof/>
          <w:u w:val="single"/>
        </w:rPr>
      </w:pPr>
      <w:r>
        <w:rPr>
          <w:bCs/>
          <w:noProof/>
          <w:u w:val="single"/>
        </w:rPr>
        <w:t xml:space="preserve">Attiecībā uz investīciju liberalizāciju – piekļuve tirgum, valsts režīms un pakalpojumu pārrobežu tirdzniecība – piekļuve tirgum, valsts režīms </w:t>
      </w:r>
    </w:p>
    <w:p w:rsidR="003E022D" w:rsidRDefault="007D19D6">
      <w:pPr>
        <w:rPr>
          <w:noProof/>
        </w:rPr>
      </w:pPr>
      <w:r>
        <w:rPr>
          <w:b/>
          <w:noProof/>
        </w:rPr>
        <w:t>CY</w:t>
      </w:r>
      <w:r>
        <w:rPr>
          <w:noProof/>
        </w:rPr>
        <w:t>: lai sn</w:t>
      </w:r>
      <w:r>
        <w:rPr>
          <w:noProof/>
        </w:rPr>
        <w:t xml:space="preserve">iegtu ķīmiķu un biologu pakalpojumus, ir vajadzīga dalībvalsts valstspiederība. </w:t>
      </w:r>
    </w:p>
    <w:p w:rsidR="003E022D" w:rsidRDefault="007D19D6">
      <w:pPr>
        <w:rPr>
          <w:noProof/>
        </w:rPr>
      </w:pPr>
      <w:r>
        <w:rPr>
          <w:b/>
          <w:noProof/>
        </w:rPr>
        <w:t>FR</w:t>
      </w:r>
      <w:r>
        <w:rPr>
          <w:noProof/>
        </w:rPr>
        <w:t xml:space="preserve">: biologa profesijā drīkst strādāt tikai fiziskas personas, kurām ir noteikta prasība par EEZ valstspiederību. </w:t>
      </w:r>
    </w:p>
    <w:p w:rsidR="003E022D" w:rsidRDefault="007D19D6">
      <w:pPr>
        <w:rPr>
          <w:b/>
          <w:i/>
          <w:noProof/>
        </w:rPr>
      </w:pPr>
      <w:r>
        <w:rPr>
          <w:b/>
          <w:i/>
          <w:noProof/>
        </w:rPr>
        <w:t xml:space="preserve">Pasākumi </w:t>
      </w:r>
    </w:p>
    <w:p w:rsidR="003E022D" w:rsidRDefault="007D19D6">
      <w:pPr>
        <w:rPr>
          <w:i/>
          <w:noProof/>
        </w:rPr>
      </w:pPr>
      <w:r>
        <w:rPr>
          <w:b/>
          <w:i/>
          <w:noProof/>
        </w:rPr>
        <w:t xml:space="preserve">CY: </w:t>
      </w:r>
      <w:r>
        <w:rPr>
          <w:i/>
          <w:noProof/>
        </w:rPr>
        <w:t xml:space="preserve">1988. gada Ķīmiķu reģistrācijas likums (Likums </w:t>
      </w:r>
      <w:r>
        <w:rPr>
          <w:i/>
          <w:noProof/>
        </w:rPr>
        <w:t xml:space="preserve">157/1988), ar grozījumiem. </w:t>
      </w:r>
    </w:p>
    <w:p w:rsidR="003E022D" w:rsidRDefault="007D19D6">
      <w:pPr>
        <w:rPr>
          <w:i/>
          <w:noProof/>
        </w:rPr>
      </w:pPr>
      <w:r>
        <w:rPr>
          <w:b/>
          <w:i/>
          <w:noProof/>
        </w:rPr>
        <w:t>FR</w:t>
      </w:r>
      <w:r>
        <w:rPr>
          <w:i/>
          <w:noProof/>
        </w:rPr>
        <w:t>: Code de la Santé Publique.</w:t>
      </w:r>
    </w:p>
    <w:p w:rsidR="003E022D" w:rsidRDefault="007D19D6">
      <w:pPr>
        <w:rPr>
          <w:noProof/>
          <w:u w:val="single"/>
        </w:rPr>
      </w:pPr>
      <w:r>
        <w:rPr>
          <w:noProof/>
          <w:u w:val="single"/>
        </w:rPr>
        <w:t xml:space="preserve">Attiecībā uz investīciju liberalizāciju – piekļuve tirgum, valsts režīms un pakalpojumu pārrobežu tirdzniecība – klātbūtne uz vietas </w:t>
      </w:r>
    </w:p>
    <w:p w:rsidR="003E022D" w:rsidRDefault="007D19D6">
      <w:pPr>
        <w:rPr>
          <w:noProof/>
        </w:rPr>
      </w:pPr>
      <w:r>
        <w:rPr>
          <w:b/>
          <w:noProof/>
        </w:rPr>
        <w:t>BG:</w:t>
      </w:r>
      <w:r>
        <w:rPr>
          <w:noProof/>
        </w:rPr>
        <w:t xml:space="preserve"> lai sniegtu tehniskās testēšanas un analīzes pakalpojumus, jāveic uzņēmējdarbība Bulgārijā saskaņā ar Bulgārijas Komerclikumu un jābūt reģistrētam Komercreģistrā. </w:t>
      </w:r>
    </w:p>
    <w:p w:rsidR="003E022D" w:rsidRDefault="007D19D6">
      <w:pPr>
        <w:rPr>
          <w:noProof/>
        </w:rPr>
      </w:pPr>
      <w:r>
        <w:rPr>
          <w:noProof/>
        </w:rPr>
        <w:t>Lai veiktu periodisko apskati autotransporta līdzekļu tehniskā stāvokļa apliecināšanai, att</w:t>
      </w:r>
      <w:r>
        <w:rPr>
          <w:noProof/>
        </w:rPr>
        <w:t xml:space="preserve">iecīgajai personai jābūt reģistrētai saskaņā ar Bulgārijas Komerclikumu vai Bezpeļņas juridisko personu likumu vai jābūt reģistrētai citā EEZ dalībvalstī. </w:t>
      </w:r>
    </w:p>
    <w:p w:rsidR="003E022D" w:rsidRDefault="007D19D6">
      <w:pPr>
        <w:rPr>
          <w:noProof/>
        </w:rPr>
      </w:pPr>
      <w:r>
        <w:rPr>
          <w:noProof/>
        </w:rPr>
        <w:t xml:space="preserve">Gaisa un ūdens testēšanu un sastāva un tīrības analīzi drīkst veikt tikai Bulgārijas Vides un ūdens </w:t>
      </w:r>
      <w:r>
        <w:rPr>
          <w:noProof/>
        </w:rPr>
        <w:t xml:space="preserve">ministrija vai tās aģentūras sadarbībā ar Bulgārijas Zinātņu akadēmiju.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Likums par tehniskajām prasībām produktiem; </w:t>
      </w:r>
    </w:p>
    <w:p w:rsidR="003E022D" w:rsidRDefault="007D19D6">
      <w:pPr>
        <w:rPr>
          <w:i/>
          <w:noProof/>
        </w:rPr>
      </w:pPr>
      <w:r>
        <w:rPr>
          <w:i/>
          <w:noProof/>
        </w:rPr>
        <w:t xml:space="preserve">Mērījumu likums; </w:t>
      </w:r>
    </w:p>
    <w:p w:rsidR="003E022D" w:rsidRDefault="007D19D6">
      <w:pPr>
        <w:rPr>
          <w:i/>
          <w:noProof/>
        </w:rPr>
      </w:pPr>
      <w:r>
        <w:rPr>
          <w:i/>
          <w:noProof/>
        </w:rPr>
        <w:t xml:space="preserve">Tīra apkārtējā gaisa likums un </w:t>
      </w:r>
    </w:p>
    <w:p w:rsidR="003E022D" w:rsidRDefault="007D19D6">
      <w:pPr>
        <w:rPr>
          <w:i/>
          <w:noProof/>
        </w:rPr>
      </w:pPr>
      <w:r>
        <w:rPr>
          <w:i/>
          <w:noProof/>
        </w:rPr>
        <w:t xml:space="preserve">Ūdens likums, Rīkojums N-32 par periodisko apskati autotransporta līdzekļu tehniskā stāvokļa apliecināšanai. </w:t>
      </w:r>
    </w:p>
    <w:p w:rsidR="003E022D" w:rsidRDefault="007D19D6">
      <w:pPr>
        <w:rPr>
          <w:noProof/>
          <w:u w:val="single"/>
        </w:rPr>
      </w:pPr>
      <w:r>
        <w:rPr>
          <w:noProof/>
          <w:u w:val="single"/>
        </w:rPr>
        <w:t>Attiecībā uz investīciju liberalizāciju – valsts režīms, lielākās labvēlības režīms un pakalpojumu pārrobežu tirdzniecība – valsts režīms, lielākā</w:t>
      </w:r>
      <w:r>
        <w:rPr>
          <w:noProof/>
          <w:u w:val="single"/>
        </w:rPr>
        <w:t xml:space="preserve">s labvēlības režīms, klātbūtne uz vietas </w:t>
      </w:r>
    </w:p>
    <w:p w:rsidR="003E022D" w:rsidRDefault="007D19D6">
      <w:pPr>
        <w:rPr>
          <w:noProof/>
        </w:rPr>
      </w:pPr>
      <w:r>
        <w:rPr>
          <w:b/>
          <w:noProof/>
        </w:rPr>
        <w:t>IT</w:t>
      </w:r>
      <w:r>
        <w:rPr>
          <w:noProof/>
        </w:rPr>
        <w:t xml:space="preserve">: biologiem, ķīmijas analītiķiem, agronomiem un </w:t>
      </w:r>
      <w:r>
        <w:rPr>
          <w:i/>
          <w:noProof/>
        </w:rPr>
        <w:t>periti agrari</w:t>
      </w:r>
      <w:r>
        <w:rPr>
          <w:noProof/>
        </w:rPr>
        <w:t xml:space="preserve"> jābūt rezidentiem un jābūt reģistrētiem profesionālajā reģistrā. Trešo valstu valstspiederīgie var pieteikties atbilstoši savstarpības nosacījumam. </w:t>
      </w:r>
    </w:p>
    <w:p w:rsidR="003E022D" w:rsidRDefault="007D19D6">
      <w:pPr>
        <w:rPr>
          <w:b/>
          <w:i/>
          <w:noProof/>
        </w:rPr>
      </w:pPr>
      <w:r>
        <w:rPr>
          <w:b/>
          <w:i/>
          <w:noProof/>
        </w:rPr>
        <w:t>P</w:t>
      </w:r>
      <w:r>
        <w:rPr>
          <w:b/>
          <w:i/>
          <w:noProof/>
        </w:rPr>
        <w:t xml:space="preserve">asākumi </w:t>
      </w:r>
    </w:p>
    <w:p w:rsidR="003E022D" w:rsidRDefault="007D19D6">
      <w:pPr>
        <w:rPr>
          <w:i/>
          <w:noProof/>
        </w:rPr>
      </w:pPr>
      <w:r>
        <w:rPr>
          <w:b/>
          <w:i/>
          <w:noProof/>
        </w:rPr>
        <w:t>IT</w:t>
      </w:r>
      <w:r>
        <w:rPr>
          <w:i/>
          <w:noProof/>
        </w:rPr>
        <w:t xml:space="preserve">: biologi, ķīmijas analītiķi: Likums 396/1967 par biologu profesiju un Karaļa Dekrēts 842/1928 par ķīmijas analītiķa profesiju. </w:t>
      </w:r>
    </w:p>
    <w:p w:rsidR="003E022D" w:rsidRDefault="007D19D6">
      <w:pPr>
        <w:rPr>
          <w:b/>
          <w:i/>
          <w:noProof/>
        </w:rPr>
      </w:pPr>
      <w:bookmarkStart w:id="1053" w:name="_Toc5371311"/>
      <w:r>
        <w:rPr>
          <w:b/>
          <w:i/>
          <w:noProof/>
        </w:rPr>
        <w:t>e)</w:t>
      </w:r>
      <w:r>
        <w:rPr>
          <w:noProof/>
        </w:rPr>
        <w:tab/>
      </w:r>
      <w:bookmarkStart w:id="1054" w:name="_Toc452570617"/>
      <w:r>
        <w:rPr>
          <w:b/>
          <w:i/>
          <w:noProof/>
        </w:rPr>
        <w:t>Saistītie zinātnisko un tehnisko konsultāciju pakalpojumi (CPC 8675)</w:t>
      </w:r>
      <w:bookmarkEnd w:id="1053"/>
      <w:bookmarkEnd w:id="1054"/>
      <w:r>
        <w:rPr>
          <w:b/>
          <w:i/>
          <w:noProof/>
        </w:rPr>
        <w:t xml:space="preserve"> </w:t>
      </w:r>
    </w:p>
    <w:p w:rsidR="003E022D" w:rsidRDefault="007D19D6">
      <w:pPr>
        <w:rPr>
          <w:noProof/>
          <w:u w:val="single"/>
        </w:rPr>
      </w:pPr>
      <w:r>
        <w:rPr>
          <w:noProof/>
          <w:u w:val="single"/>
        </w:rPr>
        <w:t>Attiecībā uz investīciju liberalizāciju – v</w:t>
      </w:r>
      <w:r>
        <w:rPr>
          <w:noProof/>
          <w:u w:val="single"/>
        </w:rPr>
        <w:t xml:space="preserve">alsts režīms, lielākās labvēlības režīms un pakalpojumu pārrobežu tirdzniecība – valsts režīms, lielākās labvēlības režīms, klātbūtne uz vietas </w:t>
      </w:r>
    </w:p>
    <w:p w:rsidR="003E022D" w:rsidRDefault="007D19D6">
      <w:pPr>
        <w:rPr>
          <w:noProof/>
        </w:rPr>
      </w:pPr>
      <w:r>
        <w:rPr>
          <w:b/>
          <w:noProof/>
        </w:rPr>
        <w:t>IT</w:t>
      </w:r>
      <w:r>
        <w:rPr>
          <w:noProof/>
        </w:rPr>
        <w:t>: iekļaušanai ģeologu reģistrā, kas nepieciešama, lai praktizētu mērnieka vai ģeologa profesijā nolūkā sniegt</w:t>
      </w:r>
      <w:r>
        <w:rPr>
          <w:noProof/>
        </w:rPr>
        <w:t xml:space="preserve"> pakalpojumus, kas saistīti ar atradņu izpēti un ekspluatāciju u. tml., ir vajadzīgs rezidenta statuss vai domicils Itālijā. Nepieciešama dalībvalsts valstspiederība, tomēr ārvalstniekus reģistrā var iekļaut atbilstoši savstarpības nosacījumam. </w:t>
      </w:r>
    </w:p>
    <w:p w:rsidR="003E022D" w:rsidRDefault="007D19D6">
      <w:pPr>
        <w:rPr>
          <w:b/>
          <w:i/>
          <w:noProof/>
        </w:rPr>
      </w:pPr>
      <w:r>
        <w:rPr>
          <w:b/>
          <w:i/>
          <w:noProof/>
        </w:rPr>
        <w:t xml:space="preserve">Pasākumi </w:t>
      </w:r>
    </w:p>
    <w:p w:rsidR="003E022D" w:rsidRDefault="007D19D6">
      <w:pPr>
        <w:rPr>
          <w:i/>
          <w:noProof/>
        </w:rPr>
      </w:pPr>
      <w:r>
        <w:rPr>
          <w:b/>
          <w:i/>
          <w:noProof/>
        </w:rPr>
        <w:t>IT</w:t>
      </w:r>
      <w:r>
        <w:rPr>
          <w:i/>
          <w:noProof/>
        </w:rPr>
        <w:t xml:space="preserve">: ģeologi: Likums 112/1963, 2. un 5. pants; D.P.R. 1403/1965, 1. pants. </w:t>
      </w:r>
    </w:p>
    <w:p w:rsidR="003E022D" w:rsidRDefault="007D19D6">
      <w:pPr>
        <w:rPr>
          <w:noProof/>
          <w:u w:val="single"/>
        </w:rPr>
      </w:pPr>
      <w:r>
        <w:rPr>
          <w:noProof/>
          <w:u w:val="single"/>
        </w:rPr>
        <w:t xml:space="preserve">Attiecībā uz investīciju liberalizāciju – piekļuve tirgum, valsts režīms un pakalpojumu pārrobežu tirdzniecība – valsts režīms, klātbūtne uz vietas </w:t>
      </w:r>
    </w:p>
    <w:p w:rsidR="003E022D" w:rsidRDefault="007D19D6">
      <w:pPr>
        <w:rPr>
          <w:noProof/>
        </w:rPr>
      </w:pPr>
      <w:r>
        <w:rPr>
          <w:b/>
          <w:noProof/>
        </w:rPr>
        <w:t>BG:</w:t>
      </w:r>
      <w:r>
        <w:rPr>
          <w:noProof/>
        </w:rPr>
        <w:t xml:space="preserve"> lai veiktu funkcijas, kas sa</w:t>
      </w:r>
      <w:r>
        <w:rPr>
          <w:noProof/>
        </w:rPr>
        <w:t>istītas ar ģeodēziju, kartogrāfiju un kadastrālo uzmērīšanu, fiziskām personām ir vajadzīga EEZ dalībvalsts vai Šveices Konfederācijas valstspiederība un dzīvesvieta. Juridiskām personām ir nepieciešama tirdzniecības reģistrācija saskaņā ar EEZ dalībvalsts</w:t>
      </w:r>
      <w:r>
        <w:rPr>
          <w:noProof/>
        </w:rPr>
        <w:t xml:space="preserve"> vai Šveices Konfederācijas tiesību aktiem.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Kadastra un īpašumu reģistra likums un Ģeodēzijas un kartogrāfijas likums. </w:t>
      </w:r>
    </w:p>
    <w:p w:rsidR="003E022D" w:rsidRDefault="007D19D6">
      <w:pPr>
        <w:rPr>
          <w:noProof/>
          <w:u w:val="single"/>
        </w:rPr>
      </w:pPr>
      <w:r>
        <w:rPr>
          <w:noProof/>
          <w:u w:val="single"/>
        </w:rPr>
        <w:t xml:space="preserve">Attiecībā uz investīciju liberalizāciju – valsts režīms un pakalpojumu pārrobežu tirdzniecība – valsts režīms </w:t>
      </w:r>
    </w:p>
    <w:p w:rsidR="003E022D" w:rsidRDefault="007D19D6">
      <w:pPr>
        <w:rPr>
          <w:noProof/>
        </w:rPr>
      </w:pPr>
      <w:r>
        <w:rPr>
          <w:b/>
          <w:noProof/>
        </w:rPr>
        <w:t>CY</w:t>
      </w:r>
      <w:r>
        <w:rPr>
          <w:noProof/>
        </w:rPr>
        <w:t>: uz att</w:t>
      </w:r>
      <w:r>
        <w:rPr>
          <w:noProof/>
        </w:rPr>
        <w:t xml:space="preserve">iecīgo pakalpojumu sniegšanu attiecas prasība par valstspiederību.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Likums 224/1990 , ar grozījumiem. </w:t>
      </w:r>
    </w:p>
    <w:p w:rsidR="003E022D" w:rsidRDefault="007D19D6">
      <w:pPr>
        <w:rPr>
          <w:noProof/>
          <w:u w:val="single"/>
        </w:rPr>
      </w:pPr>
      <w:r>
        <w:rPr>
          <w:noProof/>
          <w:u w:val="single"/>
        </w:rPr>
        <w:t>Attiecībā uz investīciju liberalizāciju – piekļuve tirgum, valsts režīms un pakalpojumu pārrobežu tirdzniecība – piekļuve tirgum</w:t>
      </w:r>
    </w:p>
    <w:p w:rsidR="003E022D" w:rsidRDefault="007D19D6">
      <w:pPr>
        <w:rPr>
          <w:noProof/>
        </w:rPr>
      </w:pPr>
      <w:r>
        <w:rPr>
          <w:b/>
          <w:noProof/>
        </w:rPr>
        <w:t>FR</w:t>
      </w:r>
      <w:r>
        <w:rPr>
          <w:noProof/>
        </w:rPr>
        <w:t>: mērnie</w:t>
      </w:r>
      <w:r>
        <w:rPr>
          <w:noProof/>
        </w:rPr>
        <w:t>cības pakalpojumus drīkst sniegt tikai ar</w:t>
      </w:r>
      <w:r>
        <w:rPr>
          <w:i/>
          <w:noProof/>
        </w:rPr>
        <w:t xml:space="preserve"> SEL (anonyme, à responsabilité limitée ou en commandite par actions</w:t>
      </w:r>
      <w:r>
        <w:rPr>
          <w:noProof/>
        </w:rPr>
        <w:t xml:space="preserve">), </w:t>
      </w:r>
      <w:r>
        <w:rPr>
          <w:i/>
          <w:noProof/>
        </w:rPr>
        <w:t>SCP</w:t>
      </w:r>
      <w:r>
        <w:rPr>
          <w:noProof/>
        </w:rPr>
        <w:t xml:space="preserve"> (</w:t>
      </w:r>
      <w:r>
        <w:rPr>
          <w:i/>
          <w:noProof/>
        </w:rPr>
        <w:t>Société civile professionnelle</w:t>
      </w:r>
      <w:r>
        <w:rPr>
          <w:noProof/>
        </w:rPr>
        <w:t xml:space="preserve">), </w:t>
      </w:r>
      <w:r>
        <w:rPr>
          <w:i/>
          <w:noProof/>
        </w:rPr>
        <w:t>SA</w:t>
      </w:r>
      <w:r>
        <w:rPr>
          <w:noProof/>
        </w:rPr>
        <w:t xml:space="preserve"> un </w:t>
      </w:r>
      <w:r>
        <w:rPr>
          <w:i/>
          <w:noProof/>
        </w:rPr>
        <w:t>SARL</w:t>
      </w:r>
      <w:r>
        <w:rPr>
          <w:noProof/>
        </w:rPr>
        <w:t xml:space="preserve"> (</w:t>
      </w:r>
      <w:r>
        <w:rPr>
          <w:i/>
          <w:noProof/>
        </w:rPr>
        <w:t>sociétés anonymes, à responsabilité limitée</w:t>
      </w:r>
      <w:r>
        <w:rPr>
          <w:noProof/>
        </w:rPr>
        <w:t xml:space="preserve">) starpniecību. Ģeoloģiskās izpētes un izlūkošanas </w:t>
      </w:r>
      <w:r>
        <w:rPr>
          <w:noProof/>
        </w:rPr>
        <w:t>pakalpojumu veikšanai ir jāizpilda prasība par uzņēmējdarbības veikšanu. Zinātniskos pētniekus no šīs prasības var atbrīvot ar zinātniskās pētniecības ministra lēmumu, vienojoties ar ārlietu ministru.</w:t>
      </w:r>
    </w:p>
    <w:p w:rsidR="003E022D" w:rsidRDefault="007D19D6">
      <w:pPr>
        <w:rPr>
          <w:b/>
          <w:i/>
          <w:noProof/>
        </w:rPr>
      </w:pPr>
      <w:r>
        <w:rPr>
          <w:b/>
          <w:i/>
          <w:noProof/>
        </w:rPr>
        <w:t xml:space="preserve">Pasākumi </w:t>
      </w:r>
    </w:p>
    <w:p w:rsidR="003E022D" w:rsidRDefault="007D19D6">
      <w:pPr>
        <w:rPr>
          <w:i/>
          <w:noProof/>
        </w:rPr>
      </w:pPr>
      <w:r>
        <w:rPr>
          <w:b/>
          <w:i/>
          <w:noProof/>
        </w:rPr>
        <w:t>FR</w:t>
      </w:r>
      <w:r>
        <w:rPr>
          <w:i/>
          <w:noProof/>
        </w:rPr>
        <w:t xml:space="preserve">: Loi 46-942 du 7 mai 1946 and décret </w:t>
      </w:r>
      <w:r>
        <w:rPr>
          <w:i/>
          <w:noProof/>
        </w:rPr>
        <w:t>n°71-360 du 6 mai 1971.</w:t>
      </w:r>
    </w:p>
    <w:p w:rsidR="003E022D" w:rsidRDefault="007D19D6">
      <w:pPr>
        <w:rPr>
          <w:noProof/>
          <w:u w:val="single"/>
        </w:rPr>
      </w:pPr>
      <w:r>
        <w:rPr>
          <w:noProof/>
          <w:u w:val="single"/>
        </w:rPr>
        <w:t xml:space="preserve">Attiecībā uz investīciju liberalizāciju – piekļuve tirgum, valsts režīms un pakalpojumu pārrobežu tirdzniecība – valsts režīms, klātbūtne uz vietas </w:t>
      </w:r>
    </w:p>
    <w:p w:rsidR="003E022D" w:rsidRDefault="007D19D6">
      <w:pPr>
        <w:rPr>
          <w:noProof/>
        </w:rPr>
      </w:pPr>
      <w:r>
        <w:rPr>
          <w:b/>
          <w:noProof/>
        </w:rPr>
        <w:t>HR</w:t>
      </w:r>
      <w:r>
        <w:rPr>
          <w:noProof/>
        </w:rPr>
        <w:t xml:space="preserve">: ģeoloģijas, ģeodēzijas un ieguves pamatkonsultāciju pakalpojumus, kā arī saistītos vides aizsardzības konsultāciju pakalpojumus Horvātijas teritorijā var sniegt tikai kopā ar vietējām juridiskām personām vai ar to starpniecību. </w:t>
      </w:r>
    </w:p>
    <w:p w:rsidR="003E022D" w:rsidRDefault="007D19D6">
      <w:pPr>
        <w:rPr>
          <w:b/>
          <w:i/>
          <w:noProof/>
        </w:rPr>
      </w:pPr>
      <w:r>
        <w:rPr>
          <w:b/>
          <w:i/>
          <w:noProof/>
        </w:rPr>
        <w:t xml:space="preserve">Pasākumi </w:t>
      </w:r>
    </w:p>
    <w:p w:rsidR="003E022D" w:rsidRDefault="007D19D6">
      <w:pPr>
        <w:rPr>
          <w:i/>
          <w:noProof/>
        </w:rPr>
      </w:pPr>
      <w:r>
        <w:rPr>
          <w:b/>
          <w:i/>
          <w:noProof/>
        </w:rPr>
        <w:t>HR</w:t>
      </w:r>
      <w:r>
        <w:rPr>
          <w:i/>
          <w:noProof/>
        </w:rPr>
        <w:t>: Rīkojums pa</w:t>
      </w:r>
      <w:r>
        <w:rPr>
          <w:i/>
          <w:noProof/>
        </w:rPr>
        <w:t xml:space="preserve">r apstiprinājumu izsniegšanas prasībām juridiskām personām profesionālu vides aizsardzības darbību veikšanai (OG Nr. 57/10), 32.–35. pants. </w:t>
      </w:r>
    </w:p>
    <w:p w:rsidR="003E022D" w:rsidRDefault="007D19D6">
      <w:pPr>
        <w:rPr>
          <w:b/>
          <w:i/>
          <w:noProof/>
        </w:rPr>
      </w:pPr>
      <w:bookmarkStart w:id="1055" w:name="_Toc5371312"/>
      <w:r>
        <w:rPr>
          <w:b/>
          <w:i/>
          <w:noProof/>
        </w:rPr>
        <w:t>f)</w:t>
      </w:r>
      <w:r>
        <w:rPr>
          <w:noProof/>
        </w:rPr>
        <w:tab/>
      </w:r>
      <w:bookmarkStart w:id="1056" w:name="_Toc452570618"/>
      <w:r>
        <w:rPr>
          <w:b/>
          <w:i/>
          <w:noProof/>
        </w:rPr>
        <w:t>Ar lauksaimniecību saistīti pakalpojumi (daļa no CPC 88)</w:t>
      </w:r>
      <w:bookmarkEnd w:id="1055"/>
      <w:bookmarkEnd w:id="1056"/>
      <w:r>
        <w:rPr>
          <w:b/>
          <w:i/>
          <w:noProof/>
        </w:rPr>
        <w:t xml:space="preserve"> </w:t>
      </w:r>
    </w:p>
    <w:p w:rsidR="003E022D" w:rsidRDefault="007D19D6">
      <w:pPr>
        <w:rPr>
          <w:noProof/>
          <w:u w:val="single"/>
        </w:rPr>
      </w:pPr>
      <w:r>
        <w:rPr>
          <w:noProof/>
          <w:u w:val="single"/>
        </w:rPr>
        <w:t>Attiecībā uz investīciju liberalizāciju – valsts režīm</w:t>
      </w:r>
      <w:r>
        <w:rPr>
          <w:noProof/>
          <w:u w:val="single"/>
        </w:rPr>
        <w:t xml:space="preserve">s un pakalpojumu pārrobežu tirdzniecība – valsts režīms, lielākās labvēlības režīms, klātbūtne uz vietas </w:t>
      </w:r>
    </w:p>
    <w:p w:rsidR="003E022D" w:rsidRDefault="007D19D6">
      <w:pPr>
        <w:rPr>
          <w:noProof/>
        </w:rPr>
      </w:pPr>
      <w:r>
        <w:rPr>
          <w:b/>
          <w:noProof/>
        </w:rPr>
        <w:t>IT</w:t>
      </w:r>
      <w:r>
        <w:rPr>
          <w:noProof/>
        </w:rPr>
        <w:t xml:space="preserve">: biologiem, ķīmijas analītiķiem, agronomiem un </w:t>
      </w:r>
      <w:r>
        <w:rPr>
          <w:i/>
          <w:noProof/>
        </w:rPr>
        <w:t>periti agrari</w:t>
      </w:r>
      <w:r>
        <w:rPr>
          <w:noProof/>
        </w:rPr>
        <w:t xml:space="preserve"> jābūt rezidentiem un jābūt reģistrētiem profesionālajā reģistrā. Trešo valstu valstspi</w:t>
      </w:r>
      <w:r>
        <w:rPr>
          <w:noProof/>
        </w:rPr>
        <w:t xml:space="preserve">ederīgie var pieteikties atbilstoši savstarpības nosacījumam. </w:t>
      </w:r>
    </w:p>
    <w:p w:rsidR="003E022D" w:rsidRDefault="007D19D6">
      <w:pPr>
        <w:rPr>
          <w:b/>
          <w:i/>
          <w:noProof/>
        </w:rPr>
      </w:pPr>
      <w:r>
        <w:rPr>
          <w:b/>
          <w:i/>
          <w:noProof/>
        </w:rPr>
        <w:t xml:space="preserve">Pasākumi </w:t>
      </w:r>
    </w:p>
    <w:p w:rsidR="003E022D" w:rsidRDefault="007D19D6">
      <w:pPr>
        <w:rPr>
          <w:i/>
          <w:noProof/>
        </w:rPr>
      </w:pPr>
      <w:r>
        <w:rPr>
          <w:b/>
          <w:i/>
          <w:noProof/>
        </w:rPr>
        <w:t>IT</w:t>
      </w:r>
      <w:r>
        <w:rPr>
          <w:i/>
          <w:noProof/>
        </w:rPr>
        <w:t xml:space="preserve">: biologi, ķīmijas analītiķi: Likums 396/1967 par biologu profesiju un Karaļa Dekrēts 842/1928 par ķīmijas analītiķa profesiju. </w:t>
      </w:r>
    </w:p>
    <w:p w:rsidR="003E022D" w:rsidRDefault="007D19D6">
      <w:pPr>
        <w:rPr>
          <w:noProof/>
          <w:u w:val="single"/>
        </w:rPr>
      </w:pPr>
      <w:r>
        <w:rPr>
          <w:noProof/>
          <w:u w:val="single"/>
        </w:rPr>
        <w:t>Attiecībā uz investīciju liberalizāciju – piekļuve t</w:t>
      </w:r>
      <w:r>
        <w:rPr>
          <w:noProof/>
          <w:u w:val="single"/>
        </w:rPr>
        <w:t xml:space="preserve">irgum, lielākās labvēlības režīms un pakalpojumu pārrobežu tirdzniecība – piekļuve tirgum, lielākās labvēlības režīms </w:t>
      </w:r>
    </w:p>
    <w:p w:rsidR="003E022D" w:rsidRDefault="007D19D6">
      <w:pPr>
        <w:rPr>
          <w:noProof/>
        </w:rPr>
      </w:pPr>
      <w:r>
        <w:rPr>
          <w:b/>
          <w:noProof/>
        </w:rPr>
        <w:t>PT</w:t>
      </w:r>
      <w:r>
        <w:rPr>
          <w:noProof/>
        </w:rPr>
        <w:t>: biologa, ķīmijas analītiķa un agronoma profesijās drīkst strādāt tikai fiziskas personas. Attiecībā uz trešo valstu valstspiederīgaji</w:t>
      </w:r>
      <w:r>
        <w:rPr>
          <w:noProof/>
        </w:rPr>
        <w:t xml:space="preserve">em savstarpības režīmu (nevis pilsonības prasību) piemēro inženieriem un tehniskajiem inženieriem. Biologiem nepiemēro ne prasību par pilsonību, ne savstarpību.  </w:t>
      </w:r>
    </w:p>
    <w:p w:rsidR="003E022D" w:rsidRDefault="007D19D6">
      <w:pPr>
        <w:rPr>
          <w:b/>
          <w:i/>
          <w:noProof/>
        </w:rPr>
      </w:pPr>
      <w:r>
        <w:rPr>
          <w:b/>
          <w:i/>
          <w:noProof/>
        </w:rPr>
        <w:t xml:space="preserve">Pasākumi </w:t>
      </w:r>
    </w:p>
    <w:p w:rsidR="003E022D" w:rsidRDefault="007D19D6">
      <w:pPr>
        <w:rPr>
          <w:i/>
          <w:noProof/>
        </w:rPr>
      </w:pPr>
      <w:r>
        <w:rPr>
          <w:b/>
          <w:i/>
          <w:noProof/>
        </w:rPr>
        <w:t>PT</w:t>
      </w:r>
      <w:r>
        <w:rPr>
          <w:i/>
          <w:noProof/>
        </w:rPr>
        <w:t xml:space="preserve">: Dekrētlikums 119/92 alterado p/ Lei 123/2015, 2 set. (Ordem Engenheiros); </w:t>
      </w:r>
    </w:p>
    <w:p w:rsidR="003E022D" w:rsidRDefault="007D19D6">
      <w:pPr>
        <w:rPr>
          <w:i/>
          <w:noProof/>
        </w:rPr>
      </w:pPr>
      <w:r>
        <w:rPr>
          <w:i/>
          <w:noProof/>
        </w:rPr>
        <w:t>Liku</w:t>
      </w:r>
      <w:r>
        <w:rPr>
          <w:i/>
          <w:noProof/>
        </w:rPr>
        <w:t xml:space="preserve">ms 47/2011 alterado p/ Lei 157/2015, 17 set. (Ordem dos Engenheiros Técnicos) un </w:t>
      </w:r>
    </w:p>
    <w:p w:rsidR="003E022D" w:rsidRDefault="007D19D6">
      <w:pPr>
        <w:rPr>
          <w:i/>
          <w:noProof/>
        </w:rPr>
      </w:pPr>
      <w:r>
        <w:rPr>
          <w:i/>
          <w:noProof/>
        </w:rPr>
        <w:t xml:space="preserve">Dekrētlikums 183/98 alterado p/ Lei 159/2015, 18 set. (Ordem dos Biólogos). </w:t>
      </w:r>
    </w:p>
    <w:p w:rsidR="003E022D" w:rsidRDefault="007D19D6">
      <w:pPr>
        <w:rPr>
          <w:b/>
          <w:i/>
          <w:noProof/>
        </w:rPr>
      </w:pPr>
      <w:bookmarkStart w:id="1057" w:name="_Toc5371313"/>
      <w:r>
        <w:rPr>
          <w:b/>
          <w:i/>
          <w:noProof/>
        </w:rPr>
        <w:t>g)</w:t>
      </w:r>
      <w:r>
        <w:rPr>
          <w:noProof/>
        </w:rPr>
        <w:tab/>
      </w:r>
      <w:bookmarkStart w:id="1058" w:name="_Toc452570619"/>
      <w:r>
        <w:rPr>
          <w:b/>
          <w:i/>
          <w:noProof/>
        </w:rPr>
        <w:t>Drošības pakalpojumi (CPC 87302, 87303, 87304, 87305, 87309)</w:t>
      </w:r>
      <w:bookmarkEnd w:id="1057"/>
      <w:bookmarkEnd w:id="1058"/>
      <w:r>
        <w:rPr>
          <w:b/>
          <w:i/>
          <w:noProof/>
        </w:rPr>
        <w:t xml:space="preserve"> </w:t>
      </w:r>
    </w:p>
    <w:p w:rsidR="003E022D" w:rsidRDefault="007D19D6">
      <w:pPr>
        <w:rPr>
          <w:noProof/>
          <w:u w:val="single"/>
        </w:rPr>
      </w:pPr>
      <w:r>
        <w:rPr>
          <w:noProof/>
          <w:u w:val="single"/>
        </w:rPr>
        <w:t>Attiecībā uz investīciju liberal</w:t>
      </w:r>
      <w:r>
        <w:rPr>
          <w:noProof/>
          <w:u w:val="single"/>
        </w:rPr>
        <w:t xml:space="preserve">izāciju – piekļuve tirgum, valsts režīms un pakalpojumu pārrobežu tirdzniecība – piekļuve tirgum, valsts režīms un klātbūtne uz vietas </w:t>
      </w:r>
    </w:p>
    <w:p w:rsidR="003E022D" w:rsidRDefault="007D19D6">
      <w:pPr>
        <w:rPr>
          <w:noProof/>
        </w:rPr>
      </w:pPr>
      <w:r>
        <w:rPr>
          <w:b/>
          <w:noProof/>
        </w:rPr>
        <w:t>IT</w:t>
      </w:r>
      <w:r>
        <w:rPr>
          <w:noProof/>
        </w:rPr>
        <w:t>: lai saņemtu nepieciešamo atļauju apsardzes pakalpojumu sniegšanai un materiālo vērtību transportēšanai, ir vajadzīga</w:t>
      </w:r>
      <w:r>
        <w:rPr>
          <w:noProof/>
        </w:rPr>
        <w:t xml:space="preserve"> Eiropas Savienības dalībvalsts valstspiederība un rezidenta statuss. </w:t>
      </w:r>
    </w:p>
    <w:p w:rsidR="003E022D" w:rsidRDefault="007D19D6">
      <w:pPr>
        <w:rPr>
          <w:noProof/>
        </w:rPr>
      </w:pPr>
      <w:r>
        <w:rPr>
          <w:b/>
          <w:noProof/>
        </w:rPr>
        <w:t>PT</w:t>
      </w:r>
      <w:r>
        <w:rPr>
          <w:noProof/>
        </w:rPr>
        <w:t xml:space="preserve">: ārvalstu pakalpojumu sniedzējam nav atļauts sniegt apsardzes pakalpojumus pāri robežām. </w:t>
      </w:r>
    </w:p>
    <w:p w:rsidR="003E022D" w:rsidRDefault="007D19D6">
      <w:pPr>
        <w:rPr>
          <w:noProof/>
        </w:rPr>
      </w:pPr>
      <w:r>
        <w:rPr>
          <w:noProof/>
        </w:rPr>
        <w:t xml:space="preserve">Specializētam personālam piemēro prasību par valstspiederību. </w:t>
      </w:r>
    </w:p>
    <w:p w:rsidR="003E022D" w:rsidRDefault="007D19D6">
      <w:pPr>
        <w:rPr>
          <w:b/>
          <w:i/>
          <w:noProof/>
        </w:rPr>
      </w:pPr>
      <w:r>
        <w:rPr>
          <w:b/>
          <w:i/>
          <w:noProof/>
        </w:rPr>
        <w:t xml:space="preserve">Pasākumi </w:t>
      </w:r>
    </w:p>
    <w:p w:rsidR="003E022D" w:rsidRDefault="007D19D6">
      <w:pPr>
        <w:rPr>
          <w:i/>
          <w:noProof/>
        </w:rPr>
      </w:pPr>
      <w:r>
        <w:rPr>
          <w:b/>
          <w:i/>
          <w:noProof/>
        </w:rPr>
        <w:t>IT</w:t>
      </w:r>
      <w:r>
        <w:rPr>
          <w:i/>
          <w:noProof/>
        </w:rPr>
        <w:t>: Likums par sabi</w:t>
      </w:r>
      <w:r>
        <w:rPr>
          <w:i/>
          <w:noProof/>
        </w:rPr>
        <w:t xml:space="preserve">edrisko drošību (TULPS) 773/1931, 133.–141. pants; Karaļa Dekrēts 635/1940, 257. pants. </w:t>
      </w:r>
    </w:p>
    <w:p w:rsidR="003E022D" w:rsidRDefault="007D19D6">
      <w:pPr>
        <w:rPr>
          <w:i/>
          <w:noProof/>
        </w:rPr>
      </w:pPr>
      <w:r>
        <w:rPr>
          <w:b/>
          <w:i/>
          <w:noProof/>
        </w:rPr>
        <w:t>PT</w:t>
      </w:r>
      <w:r>
        <w:rPr>
          <w:i/>
          <w:noProof/>
        </w:rPr>
        <w:t>: Likums 34/2013</w:t>
      </w:r>
      <w:r>
        <w:rPr>
          <w:noProof/>
        </w:rPr>
        <w:t xml:space="preserve"> </w:t>
      </w:r>
      <w:r>
        <w:rPr>
          <w:i/>
          <w:noProof/>
        </w:rPr>
        <w:t>alterada p/ Lei 46/2019, 16 maio un Rīkojums 273/2013</w:t>
      </w:r>
      <w:r>
        <w:rPr>
          <w:noProof/>
        </w:rPr>
        <w:t xml:space="preserve"> </w:t>
      </w:r>
      <w:r>
        <w:rPr>
          <w:i/>
          <w:noProof/>
        </w:rPr>
        <w:t xml:space="preserve">alterada p/ Portaria 106/2015, 13 abril. </w:t>
      </w:r>
    </w:p>
    <w:p w:rsidR="003E022D" w:rsidRDefault="007D19D6">
      <w:pPr>
        <w:rPr>
          <w:noProof/>
          <w:u w:val="single"/>
        </w:rPr>
      </w:pPr>
      <w:r>
        <w:rPr>
          <w:noProof/>
          <w:u w:val="single"/>
        </w:rPr>
        <w:t>Attiecībā uz investīciju liberalizāciju – valsts rež</w:t>
      </w:r>
      <w:r>
        <w:rPr>
          <w:noProof/>
          <w:u w:val="single"/>
        </w:rPr>
        <w:t xml:space="preserve">īms, lielākās labvēlības režīms un pakalpojumu pārrobežu tirdzniecība – klātbūtne uz vietas </w:t>
      </w:r>
    </w:p>
    <w:p w:rsidR="003E022D" w:rsidRDefault="007D19D6">
      <w:pPr>
        <w:rPr>
          <w:noProof/>
        </w:rPr>
      </w:pPr>
      <w:r>
        <w:rPr>
          <w:b/>
          <w:noProof/>
        </w:rPr>
        <w:t>DK</w:t>
      </w:r>
      <w:r>
        <w:rPr>
          <w:noProof/>
        </w:rPr>
        <w:t>: prasība par dzīvesvietu personām, kas iesniedz pieteikumu atļaujai sniegt drošības pakalpojumus.</w:t>
      </w:r>
    </w:p>
    <w:p w:rsidR="003E022D" w:rsidRDefault="007D19D6">
      <w:pPr>
        <w:rPr>
          <w:noProof/>
        </w:rPr>
      </w:pPr>
      <w:r>
        <w:rPr>
          <w:noProof/>
        </w:rPr>
        <w:t>Prasība par dzīvesvietu ir jāizpilda arī tādas juridiskās pers</w:t>
      </w:r>
      <w:r>
        <w:rPr>
          <w:noProof/>
        </w:rPr>
        <w:t>onas vadītājiem un valdes locekļu vairākumam, kura lūdz atļauju sniegt drošības pakalpojumus. Tomēr prasību par dzīvesvietu nepiemēro vadībai un direktoru padomēm, ciktāl tas izriet no starptautiskiem nolīgumiem vai rīkojumiem, ko izdevis tieslietu ministr</w:t>
      </w:r>
      <w:r>
        <w:rPr>
          <w:noProof/>
        </w:rPr>
        <w:t xml:space="preserve">s. </w:t>
      </w:r>
    </w:p>
    <w:p w:rsidR="003E022D" w:rsidRDefault="007D19D6">
      <w:pPr>
        <w:rPr>
          <w:b/>
          <w:i/>
          <w:noProof/>
        </w:rPr>
      </w:pPr>
      <w:r>
        <w:rPr>
          <w:b/>
          <w:i/>
          <w:noProof/>
        </w:rPr>
        <w:t xml:space="preserve">Pasākumi </w:t>
      </w:r>
    </w:p>
    <w:p w:rsidR="003E022D" w:rsidRDefault="007D19D6">
      <w:pPr>
        <w:rPr>
          <w:i/>
          <w:noProof/>
        </w:rPr>
      </w:pPr>
      <w:r>
        <w:rPr>
          <w:b/>
          <w:i/>
          <w:noProof/>
        </w:rPr>
        <w:t>DK</w:t>
      </w:r>
      <w:r>
        <w:rPr>
          <w:i/>
          <w:noProof/>
        </w:rPr>
        <w:t xml:space="preserve">: Lovbekendtgørelse 2016-01-11 nr. 112 om vagtvirksomhed.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EE</w:t>
      </w:r>
      <w:r>
        <w:rPr>
          <w:noProof/>
        </w:rPr>
        <w:t xml:space="preserve">: dzīvesvietas prasība apsargiem. </w:t>
      </w:r>
    </w:p>
    <w:p w:rsidR="003E022D" w:rsidRDefault="007D19D6">
      <w:pPr>
        <w:rPr>
          <w:b/>
          <w:i/>
          <w:noProof/>
        </w:rPr>
      </w:pPr>
      <w:r>
        <w:rPr>
          <w:b/>
          <w:i/>
          <w:noProof/>
        </w:rPr>
        <w:t xml:space="preserve">Pasākumi </w:t>
      </w:r>
    </w:p>
    <w:p w:rsidR="003E022D" w:rsidRDefault="007D19D6">
      <w:pPr>
        <w:rPr>
          <w:noProof/>
        </w:rPr>
      </w:pPr>
      <w:r>
        <w:rPr>
          <w:b/>
          <w:noProof/>
        </w:rPr>
        <w:t>EE</w:t>
      </w:r>
      <w:r>
        <w:rPr>
          <w:noProof/>
        </w:rPr>
        <w:t xml:space="preserve">: </w:t>
      </w:r>
      <w:r>
        <w:rPr>
          <w:i/>
          <w:noProof/>
        </w:rPr>
        <w:t>Turvaseadus</w:t>
      </w:r>
      <w:r>
        <w:rPr>
          <w:noProof/>
        </w:rPr>
        <w:t xml:space="preserve"> (Drošības likums) § 21, § 22. </w:t>
      </w:r>
    </w:p>
    <w:p w:rsidR="003E022D" w:rsidRDefault="007D19D6">
      <w:pPr>
        <w:rPr>
          <w:b/>
          <w:i/>
          <w:noProof/>
        </w:rPr>
      </w:pPr>
      <w:bookmarkStart w:id="1059" w:name="_Toc5371314"/>
      <w:r>
        <w:rPr>
          <w:b/>
          <w:i/>
          <w:noProof/>
        </w:rPr>
        <w:t xml:space="preserve">h) </w:t>
      </w:r>
      <w:r>
        <w:rPr>
          <w:noProof/>
        </w:rPr>
        <w:tab/>
      </w:r>
      <w:bookmarkStart w:id="1060" w:name="_Toc452570620"/>
      <w:r>
        <w:rPr>
          <w:b/>
          <w:i/>
          <w:noProof/>
        </w:rPr>
        <w:t xml:space="preserve">Darbā </w:t>
      </w:r>
      <w:r>
        <w:rPr>
          <w:b/>
          <w:i/>
          <w:noProof/>
        </w:rPr>
        <w:t>iekārtošanas pakalpojumi (CPC 87201, 87202, 87203, 87204, 87205, 87206, 87209)</w:t>
      </w:r>
      <w:bookmarkEnd w:id="1059"/>
      <w:bookmarkEnd w:id="1060"/>
      <w:r>
        <w:rPr>
          <w:b/>
          <w:i/>
          <w:noProof/>
        </w:rPr>
        <w:t xml:space="preserve"> </w:t>
      </w:r>
    </w:p>
    <w:p w:rsidR="003E022D" w:rsidRDefault="007D19D6">
      <w:pPr>
        <w:rPr>
          <w:noProof/>
          <w:u w:val="single"/>
        </w:rPr>
      </w:pPr>
      <w:r>
        <w:rPr>
          <w:noProof/>
          <w:u w:val="single"/>
        </w:rPr>
        <w:t xml:space="preserve">Attiecībā uz investīciju liberalizāciju – piekļuve tirgum, valsts režīms un pakalpojumu pārrobežu tirdzniecība – piekļuve tirgum, valsts režīms (attiecas uz valdības reģionālo </w:t>
      </w:r>
      <w:r>
        <w:rPr>
          <w:noProof/>
          <w:u w:val="single"/>
        </w:rPr>
        <w:t xml:space="preserve">līmeni) </w:t>
      </w:r>
    </w:p>
    <w:p w:rsidR="003E022D" w:rsidRDefault="007D19D6">
      <w:pPr>
        <w:rPr>
          <w:noProof/>
        </w:rPr>
      </w:pPr>
      <w:r>
        <w:rPr>
          <w:b/>
          <w:noProof/>
        </w:rPr>
        <w:t>BE</w:t>
      </w:r>
      <w:r>
        <w:rPr>
          <w:noProof/>
        </w:rPr>
        <w:t>: Flandrijas reģionā sabiedrībai, kuras galvenais birojs atrodas ārpus EEZ, ir jāpierāda, ka tā sniedz darbā iekārtošanas pakalpojumus savā izcelsmes valstī. Valonijas reģionā, lai sniegtu darbā iekārtošanas pakalpojumus, vajadzīga īpaša juridis</w:t>
      </w:r>
      <w:r>
        <w:rPr>
          <w:noProof/>
        </w:rPr>
        <w:t>kas personas forma (</w:t>
      </w:r>
      <w:r>
        <w:rPr>
          <w:i/>
          <w:noProof/>
        </w:rPr>
        <w:t>régulièrement constituée sous la forme d'une personne morale ayant une forme commerciale, soit au sens du droit belge, soit en vertu du droit d'un Etat membre ou régie par celui-ci, quelle que soit sa forme juridique</w:t>
      </w:r>
      <w:r>
        <w:rPr>
          <w:noProof/>
        </w:rPr>
        <w:t>). Sabiedrībai, kura</w:t>
      </w:r>
      <w:r>
        <w:rPr>
          <w:noProof/>
        </w:rPr>
        <w:t>s galvenais birojs atrodas ārpus EEZ, jāpierāda, ka tā atbilst minētajā dekrētā izklāstītajiem nosacījumiem (piemēram, attiecībā uz juridiskās personas formu) un ka tā sniedz darbā iekārtošanas pakalpojumus savā izcelsmes valstī. Beļģijas vācu valodas kopi</w:t>
      </w:r>
      <w:r>
        <w:rPr>
          <w:noProof/>
        </w:rPr>
        <w:t>enā sabiedrībai, kuras galvenais birojs ir ārpus EEZ, ir jāpierāda, ka tas sniedz darbā iekārtošanas pakalpojumus savā izcelsmes valstī, un tam jāatbilst minētajā dekrētā noteiktajiem atzīšanas kritērijiem (CPC 87202).</w:t>
      </w:r>
    </w:p>
    <w:p w:rsidR="003E022D" w:rsidRDefault="007D19D6">
      <w:pPr>
        <w:rPr>
          <w:b/>
          <w:i/>
          <w:noProof/>
        </w:rPr>
      </w:pPr>
      <w:r>
        <w:rPr>
          <w:b/>
          <w:i/>
          <w:noProof/>
        </w:rPr>
        <w:t xml:space="preserve">Pasākumi </w:t>
      </w:r>
    </w:p>
    <w:p w:rsidR="003E022D" w:rsidRDefault="007D19D6">
      <w:pPr>
        <w:rPr>
          <w:i/>
          <w:noProof/>
        </w:rPr>
      </w:pPr>
      <w:r>
        <w:rPr>
          <w:b/>
          <w:i/>
          <w:noProof/>
        </w:rPr>
        <w:t>BE</w:t>
      </w:r>
      <w:r>
        <w:rPr>
          <w:i/>
          <w:noProof/>
        </w:rPr>
        <w:t>: Flandrijas reģions: Art</w:t>
      </w:r>
      <w:r>
        <w:rPr>
          <w:i/>
          <w:noProof/>
        </w:rPr>
        <w:t xml:space="preserve">icle 8, § 3, Besluit van de Vlaamse Regering van 10 december 2010 tot uitvoering van het decreet betreffende de private arbeidsbemiddeling. </w:t>
      </w:r>
    </w:p>
    <w:p w:rsidR="003E022D" w:rsidRDefault="007D19D6">
      <w:pPr>
        <w:rPr>
          <w:i/>
          <w:noProof/>
        </w:rPr>
      </w:pPr>
      <w:r>
        <w:rPr>
          <w:i/>
          <w:noProof/>
        </w:rPr>
        <w:t>Valonijas reģions: Décret du 3 avril 2009 relatif à l'enregistrement ou à l'agrément des agences de placement (2009</w:t>
      </w:r>
      <w:r>
        <w:rPr>
          <w:i/>
          <w:noProof/>
        </w:rPr>
        <w:t xml:space="preserve">. gada 3. aprīļa Dekrēts par darbā iekārtošanas aģentūru reģistrāciju), 7. pants; un Arrêté du Gouvernement wallon du 10 décembre 2009 portant exécution du décret du 3 avril. </w:t>
      </w:r>
    </w:p>
    <w:p w:rsidR="003E022D" w:rsidRDefault="007D19D6">
      <w:pPr>
        <w:rPr>
          <w:i/>
          <w:noProof/>
        </w:rPr>
      </w:pPr>
      <w:r>
        <w:rPr>
          <w:i/>
          <w:noProof/>
        </w:rPr>
        <w:t>2009 relatif à l'enregistrement ou à l'agrément des agences de placement (Valoni</w:t>
      </w:r>
      <w:r>
        <w:rPr>
          <w:i/>
          <w:noProof/>
        </w:rPr>
        <w:t xml:space="preserve">jas valdības 2009. gada 10. decembra Lēmums, ar ko īsteno 2009. gada 3. aprīļa Dekrētu par darbā iekārtošanas aģentūru reģistrāciju), 4. pants. </w:t>
      </w:r>
    </w:p>
    <w:p w:rsidR="003E022D" w:rsidRDefault="007D19D6">
      <w:pPr>
        <w:rPr>
          <w:i/>
          <w:noProof/>
        </w:rPr>
      </w:pPr>
      <w:r>
        <w:rPr>
          <w:i/>
          <w:noProof/>
        </w:rPr>
        <w:t>Vācu valodas kopiena: Dekret über die Zulassung der Leiharbeitsvermittler und die Überwachung der privaten Arbe</w:t>
      </w:r>
      <w:r>
        <w:rPr>
          <w:i/>
          <w:noProof/>
        </w:rPr>
        <w:t xml:space="preserve">itsvermittler / Décret du 11 mai 2009 relatif à l'agrément des agences de travail intérimaire et à la surveillance des agences de placement privées, 6. pants. </w:t>
      </w:r>
    </w:p>
    <w:p w:rsidR="003E022D" w:rsidRDefault="007D19D6">
      <w:pPr>
        <w:rPr>
          <w:noProof/>
          <w:u w:val="single"/>
        </w:rPr>
      </w:pPr>
      <w:r>
        <w:rPr>
          <w:noProof/>
          <w:u w:val="single"/>
        </w:rPr>
        <w:t xml:space="preserve">Attiecībā uz investīciju liberalizāciju – valsts režīms un pakalpojumu pārrobežu tirdzniecība – </w:t>
      </w:r>
      <w:r>
        <w:rPr>
          <w:noProof/>
          <w:u w:val="single"/>
        </w:rPr>
        <w:t xml:space="preserve">valsts režīms, klātbūtne uz vietas </w:t>
      </w:r>
    </w:p>
    <w:p w:rsidR="003E022D" w:rsidRDefault="007D19D6">
      <w:pPr>
        <w:rPr>
          <w:noProof/>
        </w:rPr>
      </w:pPr>
      <w:r>
        <w:rPr>
          <w:b/>
          <w:noProof/>
        </w:rPr>
        <w:t>DE:</w:t>
      </w:r>
      <w:r>
        <w:rPr>
          <w:noProof/>
        </w:rPr>
        <w:t xml:space="preserve"> lai saņemtu licenci, kas ļauj darboties kā pagaidu nodarbinātības aģentūrai, ir vajadzīga Eiropas Savienības dalībvalsts valstspiederība vai komerciāla klātbūtne Eiropas Savienībā (atbilstoši likuma par pagaidu aģent</w:t>
      </w:r>
      <w:r>
        <w:rPr>
          <w:noProof/>
        </w:rPr>
        <w:t>ūras darbu (</w:t>
      </w:r>
      <w:r>
        <w:rPr>
          <w:i/>
          <w:noProof/>
        </w:rPr>
        <w:t>Arbeitnehmerüberlassungsgesetz</w:t>
      </w:r>
      <w:r>
        <w:rPr>
          <w:noProof/>
        </w:rPr>
        <w:t xml:space="preserve">) </w:t>
      </w:r>
    </w:p>
    <w:p w:rsidR="003E022D" w:rsidRDefault="007D19D6">
      <w:pPr>
        <w:rPr>
          <w:noProof/>
        </w:rPr>
      </w:pPr>
      <w:r>
        <w:rPr>
          <w:noProof/>
        </w:rPr>
        <w:t>3. panta 3.–5. punktam). Federālā darba un sociālo lietu ministrija var izdot noteikumus par tādu darbinieku iekārtošanu un pieņemšanu darbā konkrētās profesijās, piemēram, ar veselību un aprūpi saistītās profes</w:t>
      </w:r>
      <w:r>
        <w:rPr>
          <w:noProof/>
        </w:rPr>
        <w:t>ijās, kuri nav no EEZ valstīm. Licenci vai licences derīguma pagarinājumu atsaka, ja uzņēmumiem, noslēgts ar Ungārijas advokātu uzņēmumu daļām un palīguzņēmumiem, kuri neatrodas EEZ valstī, ir paredzēts veikt pagaidu darbus (Likuma par pagaidu darba aģentū</w:t>
      </w:r>
      <w:r>
        <w:rPr>
          <w:noProof/>
        </w:rPr>
        <w:t>ru darba (</w:t>
      </w:r>
      <w:r>
        <w:rPr>
          <w:i/>
          <w:iCs/>
          <w:noProof/>
        </w:rPr>
        <w:t>Arbeitnehmerüberlassungsgesetz</w:t>
      </w:r>
      <w:r>
        <w:rPr>
          <w:noProof/>
        </w:rPr>
        <w:t>) 3. iedaļas 2. punkts).</w:t>
      </w:r>
    </w:p>
    <w:p w:rsidR="003E022D" w:rsidRDefault="007D19D6">
      <w:pPr>
        <w:rPr>
          <w:b/>
          <w:i/>
          <w:noProof/>
        </w:rPr>
      </w:pPr>
      <w:r>
        <w:rPr>
          <w:b/>
          <w:i/>
          <w:noProof/>
        </w:rPr>
        <w:t xml:space="preserve">Pasākumi </w:t>
      </w:r>
    </w:p>
    <w:p w:rsidR="003E022D" w:rsidRDefault="007D19D6">
      <w:pPr>
        <w:rPr>
          <w:i/>
          <w:noProof/>
        </w:rPr>
      </w:pPr>
      <w:r>
        <w:rPr>
          <w:b/>
          <w:i/>
          <w:noProof/>
        </w:rPr>
        <w:t>DE</w:t>
      </w:r>
      <w:r>
        <w:rPr>
          <w:i/>
          <w:noProof/>
        </w:rPr>
        <w:t>: Gesetz zur Regelung der Arbeitnehmerüberlassung (AÜG);</w:t>
      </w:r>
    </w:p>
    <w:p w:rsidR="003E022D" w:rsidRDefault="007D19D6">
      <w:pPr>
        <w:rPr>
          <w:i/>
          <w:noProof/>
        </w:rPr>
      </w:pPr>
      <w:r>
        <w:rPr>
          <w:i/>
          <w:noProof/>
        </w:rPr>
        <w:t>Sozialgesetzbuch Drittes Buch (SGB III; Sociālā nodrošinājuma kodekss, trešā grāmata) – nodarbinātības veicināšana;</w:t>
      </w:r>
    </w:p>
    <w:p w:rsidR="003E022D" w:rsidRDefault="007D19D6">
      <w:pPr>
        <w:rPr>
          <w:i/>
          <w:noProof/>
        </w:rPr>
      </w:pPr>
      <w:r>
        <w:rPr>
          <w:i/>
          <w:noProof/>
        </w:rPr>
        <w:t>Verord</w:t>
      </w:r>
      <w:r>
        <w:rPr>
          <w:i/>
          <w:noProof/>
        </w:rPr>
        <w:t>nung über die Beschäftigung von Ausländerinnen und Ausländern (BeschV; Rīkojums par ārvalstnieku nodarbināšanu).</w:t>
      </w:r>
    </w:p>
    <w:p w:rsidR="003E022D" w:rsidRDefault="007D19D6">
      <w:pPr>
        <w:rPr>
          <w:noProof/>
          <w:u w:val="single"/>
        </w:rPr>
      </w:pPr>
      <w:bookmarkStart w:id="1061" w:name="_Hlk481930916"/>
      <w:r>
        <w:rPr>
          <w:noProof/>
          <w:u w:val="single"/>
        </w:rPr>
        <w:t xml:space="preserve">Attiecībā uz investīciju liberalizāciju – piekļuve tirgum </w:t>
      </w:r>
    </w:p>
    <w:p w:rsidR="003E022D" w:rsidRDefault="007D19D6">
      <w:pPr>
        <w:rPr>
          <w:noProof/>
        </w:rPr>
      </w:pPr>
      <w:r>
        <w:rPr>
          <w:b/>
          <w:noProof/>
        </w:rPr>
        <w:t>ES</w:t>
      </w:r>
      <w:r>
        <w:rPr>
          <w:noProof/>
        </w:rPr>
        <w:t>: pirms darbā iekārtošanas aģentūras sāk darbību, tām jāiesniedz ar zvērestu aplie</w:t>
      </w:r>
      <w:r>
        <w:rPr>
          <w:noProof/>
        </w:rPr>
        <w:t xml:space="preserve">cināts paziņojums, kas apliecina, ka ir izpildītas spēkā esošo tiesību aktu prasības (CPC 87201, 87202). </w:t>
      </w:r>
      <w:bookmarkEnd w:id="1061"/>
    </w:p>
    <w:p w:rsidR="003E022D" w:rsidRDefault="007D19D6">
      <w:pPr>
        <w:rPr>
          <w:b/>
          <w:i/>
          <w:noProof/>
        </w:rPr>
      </w:pPr>
      <w:r>
        <w:rPr>
          <w:b/>
          <w:i/>
          <w:noProof/>
        </w:rPr>
        <w:t xml:space="preserve">Pasākumi </w:t>
      </w:r>
    </w:p>
    <w:p w:rsidR="003E022D" w:rsidRDefault="007D19D6">
      <w:pPr>
        <w:rPr>
          <w:i/>
          <w:noProof/>
        </w:rPr>
      </w:pPr>
      <w:r>
        <w:rPr>
          <w:b/>
          <w:i/>
          <w:noProof/>
        </w:rPr>
        <w:t>ES</w:t>
      </w:r>
      <w:r>
        <w:rPr>
          <w:i/>
          <w:noProof/>
        </w:rPr>
        <w:t>: Real Decreto-ley 8/2014, de 4 de julio, de aprobación de medidas urgentes para el crecimiento, la competitividad y la eficiencia (tramit</w:t>
      </w:r>
      <w:r>
        <w:rPr>
          <w:i/>
          <w:noProof/>
        </w:rPr>
        <w:t xml:space="preserve">ado como Ley 18/2014, de 15 de octubre). </w:t>
      </w:r>
    </w:p>
    <w:p w:rsidR="003E022D" w:rsidRDefault="007D19D6">
      <w:pPr>
        <w:rPr>
          <w:b/>
          <w:i/>
          <w:noProof/>
        </w:rPr>
      </w:pPr>
      <w:bookmarkStart w:id="1062" w:name="_Toc5371315"/>
      <w:r>
        <w:rPr>
          <w:b/>
          <w:i/>
          <w:noProof/>
        </w:rPr>
        <w:t xml:space="preserve">i) </w:t>
      </w:r>
      <w:r>
        <w:rPr>
          <w:noProof/>
        </w:rPr>
        <w:tab/>
      </w:r>
      <w:bookmarkStart w:id="1063" w:name="_Toc452570621"/>
      <w:r>
        <w:rPr>
          <w:b/>
          <w:i/>
          <w:noProof/>
        </w:rPr>
        <w:t>Rakstiskās un mutiskās tulkošanas pakalpojumi</w:t>
      </w:r>
      <w:bookmarkEnd w:id="1063"/>
      <w:r>
        <w:rPr>
          <w:b/>
          <w:i/>
          <w:noProof/>
        </w:rPr>
        <w:t xml:space="preserve"> (CPC 87905)</w:t>
      </w:r>
      <w:bookmarkEnd w:id="1062"/>
      <w:r>
        <w:rPr>
          <w:b/>
          <w:i/>
          <w:noProof/>
        </w:rPr>
        <w:t xml:space="preserve"> </w:t>
      </w:r>
    </w:p>
    <w:p w:rsidR="003E022D" w:rsidRDefault="007D19D6">
      <w:pPr>
        <w:rPr>
          <w:noProof/>
          <w:u w:val="single"/>
        </w:rPr>
      </w:pPr>
      <w:r>
        <w:rPr>
          <w:noProof/>
          <w:u w:val="single"/>
        </w:rPr>
        <w:t xml:space="preserve">Attiecībā uz investīciju liberalizāciju – piekļuve tirgum, valsts režīms un pakalpojumu pārrobežu tirdzniecība – piekļuve tirgum </w:t>
      </w:r>
    </w:p>
    <w:p w:rsidR="003E022D" w:rsidRDefault="007D19D6">
      <w:pPr>
        <w:rPr>
          <w:noProof/>
        </w:rPr>
      </w:pPr>
      <w:r>
        <w:rPr>
          <w:b/>
          <w:noProof/>
        </w:rPr>
        <w:t>BG:</w:t>
      </w:r>
      <w:r>
        <w:rPr>
          <w:noProof/>
        </w:rPr>
        <w:t xml:space="preserve"> lai veiktu oficiā</w:t>
      </w:r>
      <w:r>
        <w:rPr>
          <w:noProof/>
        </w:rPr>
        <w:t xml:space="preserve">las tulkošanas darbības, ārvalstu fiziskajām personām ir jābūt ilgtermiņa vai pastāvīgas uzturēšanās atļaujai Bulgārijas Republikā.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dokumentu legalizācijas, apliecināšanas un tulkošanas noteikumi. </w:t>
      </w:r>
    </w:p>
    <w:p w:rsidR="003E022D" w:rsidRDefault="007D19D6">
      <w:pPr>
        <w:rPr>
          <w:noProof/>
          <w:u w:val="single"/>
        </w:rPr>
      </w:pPr>
      <w:r>
        <w:rPr>
          <w:noProof/>
          <w:u w:val="single"/>
        </w:rPr>
        <w:t xml:space="preserve">Attiecībā uz investīciju liberalizāciju – </w:t>
      </w:r>
      <w:r>
        <w:rPr>
          <w:noProof/>
          <w:u w:val="single"/>
        </w:rPr>
        <w:t>piekļuve tirgum un pakalpojumu pārrobežu tirdzniecība – piekļuve tirgum</w:t>
      </w:r>
    </w:p>
    <w:p w:rsidR="003E022D" w:rsidRDefault="007D19D6">
      <w:pPr>
        <w:rPr>
          <w:noProof/>
        </w:rPr>
      </w:pPr>
      <w:r>
        <w:rPr>
          <w:b/>
          <w:noProof/>
        </w:rPr>
        <w:t>HU</w:t>
      </w:r>
      <w:r>
        <w:rPr>
          <w:noProof/>
        </w:rPr>
        <w:t>: oficiālus tulkojumus, oficiālus tulkojumu apliecinājumus un apliecinātas oficiālu tulkojumu kopijas svešvalodās var nodrošināt tikai Ungārijas Tulkojumu un apliecinājumu birojs (</w:t>
      </w:r>
      <w:r>
        <w:rPr>
          <w:i/>
          <w:noProof/>
        </w:rPr>
        <w:t>OFFI</w:t>
      </w:r>
      <w:r>
        <w:rPr>
          <w:noProof/>
        </w:rPr>
        <w:t xml:space="preserve">). </w:t>
      </w:r>
    </w:p>
    <w:p w:rsidR="003E022D" w:rsidRDefault="007D19D6">
      <w:pPr>
        <w:rPr>
          <w:noProof/>
        </w:rPr>
      </w:pPr>
      <w:r>
        <w:rPr>
          <w:b/>
          <w:noProof/>
        </w:rPr>
        <w:t>PL:</w:t>
      </w:r>
      <w:r>
        <w:rPr>
          <w:noProof/>
        </w:rPr>
        <w:t xml:space="preserve"> tikai fiziskas personas drīkst būt zvērināti tulkotāji. </w:t>
      </w:r>
    </w:p>
    <w:p w:rsidR="003E022D" w:rsidRDefault="007D19D6">
      <w:pPr>
        <w:rPr>
          <w:b/>
          <w:i/>
          <w:noProof/>
        </w:rPr>
      </w:pPr>
      <w:r>
        <w:rPr>
          <w:b/>
          <w:i/>
          <w:noProof/>
        </w:rPr>
        <w:t xml:space="preserve">Pasākumi </w:t>
      </w:r>
    </w:p>
    <w:p w:rsidR="003E022D" w:rsidRDefault="007D19D6">
      <w:pPr>
        <w:rPr>
          <w:i/>
          <w:noProof/>
        </w:rPr>
      </w:pPr>
      <w:r>
        <w:rPr>
          <w:b/>
          <w:i/>
          <w:noProof/>
        </w:rPr>
        <w:t>HU</w:t>
      </w:r>
      <w:r>
        <w:rPr>
          <w:i/>
          <w:noProof/>
        </w:rPr>
        <w:t>: Ministru padomes Dekrēts Nr. 24/1986 par oficiālu rakstisku un mutisku tulkošanu.</w:t>
      </w:r>
    </w:p>
    <w:p w:rsidR="003E022D" w:rsidRDefault="007D19D6">
      <w:pPr>
        <w:rPr>
          <w:i/>
          <w:noProof/>
        </w:rPr>
      </w:pPr>
      <w:r>
        <w:rPr>
          <w:b/>
          <w:i/>
          <w:noProof/>
        </w:rPr>
        <w:t>PL</w:t>
      </w:r>
      <w:r>
        <w:rPr>
          <w:i/>
          <w:noProof/>
        </w:rPr>
        <w:t>: 2004. gada 25. novembra Likums par zvērināta tulkotāja vai tulka profesiju (Oficiālo pu</w:t>
      </w:r>
      <w:r>
        <w:rPr>
          <w:i/>
          <w:noProof/>
        </w:rPr>
        <w:t xml:space="preserve">blikāciju izdevums, Nr. 2019, 1326. poz.).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FI</w:t>
      </w:r>
      <w:r>
        <w:rPr>
          <w:noProof/>
        </w:rPr>
        <w:t xml:space="preserve">: sertificētiem tulkotājiem nepieciešama dzīvesvieta EEZ. </w:t>
      </w:r>
    </w:p>
    <w:p w:rsidR="003E022D" w:rsidRDefault="007D19D6">
      <w:pPr>
        <w:rPr>
          <w:b/>
          <w:i/>
          <w:noProof/>
        </w:rPr>
      </w:pPr>
      <w:r>
        <w:rPr>
          <w:b/>
          <w:i/>
          <w:noProof/>
        </w:rPr>
        <w:t xml:space="preserve">Pasākumi </w:t>
      </w:r>
    </w:p>
    <w:p w:rsidR="003E022D" w:rsidRDefault="007D19D6">
      <w:pPr>
        <w:rPr>
          <w:i/>
          <w:noProof/>
        </w:rPr>
      </w:pPr>
      <w:r>
        <w:rPr>
          <w:b/>
          <w:i/>
          <w:noProof/>
        </w:rPr>
        <w:t>FI</w:t>
      </w:r>
      <w:r>
        <w:rPr>
          <w:i/>
          <w:noProof/>
        </w:rPr>
        <w:t>: Laki auktorisoiduista kääntäjistä (Likums par pilnvarotiem tulkotājiem) (1231/</w:t>
      </w:r>
      <w:r>
        <w:rPr>
          <w:i/>
          <w:noProof/>
        </w:rPr>
        <w:t xml:space="preserve">2007), s. 2(1)). </w:t>
      </w:r>
    </w:p>
    <w:p w:rsidR="003E022D" w:rsidRDefault="007D19D6">
      <w:pPr>
        <w:rPr>
          <w:noProof/>
          <w:u w:val="single"/>
        </w:rPr>
      </w:pPr>
      <w:r>
        <w:rPr>
          <w:noProof/>
          <w:u w:val="single"/>
        </w:rPr>
        <w:t xml:space="preserve">Attiecībā uz investīciju liberalizāciju – valsts režīms un pakalpojumu pārrobežu tirdzniecība – valsts režīms </w:t>
      </w:r>
    </w:p>
    <w:p w:rsidR="003E022D" w:rsidRDefault="007D19D6">
      <w:pPr>
        <w:rPr>
          <w:noProof/>
        </w:rPr>
      </w:pPr>
      <w:r>
        <w:rPr>
          <w:b/>
          <w:noProof/>
        </w:rPr>
        <w:t>CY</w:t>
      </w:r>
      <w:r>
        <w:rPr>
          <w:noProof/>
        </w:rPr>
        <w:t>: lai sniegtu oficiālus tulkošanas un apliecināšanas pakalpojumus, jāreģistrējas tulkotāju reģistrā. Piemēro prasību par vals</w:t>
      </w:r>
      <w:r>
        <w:rPr>
          <w:noProof/>
        </w:rPr>
        <w:t xml:space="preserve">tspiederību. </w:t>
      </w:r>
    </w:p>
    <w:p w:rsidR="003E022D" w:rsidRDefault="007D19D6">
      <w:pPr>
        <w:rPr>
          <w:noProof/>
        </w:rPr>
      </w:pPr>
      <w:r>
        <w:rPr>
          <w:b/>
          <w:noProof/>
        </w:rPr>
        <w:t>HR</w:t>
      </w:r>
      <w:r>
        <w:rPr>
          <w:noProof/>
        </w:rPr>
        <w:t xml:space="preserve">: sertificētiem tulkotājiem nepieciešama EEZ valstspiederība.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Kipras Republikas Likums par sertificētu tulkošanas pakalpojumu sniedzēju izveidi, reģistrāciju un regulējumu. </w:t>
      </w:r>
    </w:p>
    <w:p w:rsidR="003E022D" w:rsidRDefault="007D19D6">
      <w:pPr>
        <w:rPr>
          <w:i/>
          <w:noProof/>
        </w:rPr>
      </w:pPr>
      <w:r>
        <w:rPr>
          <w:b/>
          <w:i/>
          <w:noProof/>
        </w:rPr>
        <w:t>HR</w:t>
      </w:r>
      <w:r>
        <w:rPr>
          <w:i/>
          <w:noProof/>
        </w:rPr>
        <w:t>: Rīkojums par pastāvīgajiem tiesas tulkiem (OG 8</w:t>
      </w:r>
      <w:r>
        <w:rPr>
          <w:i/>
          <w:noProof/>
        </w:rPr>
        <w:t xml:space="preserve">8/2008), 2. pants. </w:t>
      </w:r>
    </w:p>
    <w:p w:rsidR="003E022D" w:rsidRDefault="007D19D6">
      <w:pPr>
        <w:rPr>
          <w:b/>
          <w:i/>
          <w:noProof/>
        </w:rPr>
      </w:pPr>
      <w:bookmarkStart w:id="1064" w:name="_Toc5371316"/>
      <w:r>
        <w:rPr>
          <w:b/>
          <w:i/>
          <w:noProof/>
        </w:rPr>
        <w:t>j)</w:t>
      </w:r>
      <w:r>
        <w:rPr>
          <w:noProof/>
        </w:rPr>
        <w:tab/>
      </w:r>
      <w:bookmarkStart w:id="1065" w:name="_Toc452570622"/>
      <w:r>
        <w:rPr>
          <w:b/>
          <w:i/>
          <w:noProof/>
        </w:rPr>
        <w:t xml:space="preserve">Citi </w:t>
      </w:r>
      <w:bookmarkEnd w:id="1065"/>
      <w:r>
        <w:rPr>
          <w:b/>
          <w:i/>
          <w:noProof/>
        </w:rPr>
        <w:t>darījumdarbības pakalpojumi (daļa no CPC 612, daļa no 621, daļa no 625, 87901, 87902, 88493, daļa no 893, daļa no 85990, 87909, ISIC 37)</w:t>
      </w:r>
      <w:bookmarkEnd w:id="1064"/>
      <w:r>
        <w:rPr>
          <w:b/>
          <w:i/>
          <w:noProof/>
        </w:rPr>
        <w:t xml:space="preserve">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SE</w:t>
      </w:r>
      <w:r>
        <w:rPr>
          <w:noProof/>
        </w:rPr>
        <w:t>: lombardiem jāveic uzņēmējda</w:t>
      </w:r>
      <w:r>
        <w:rPr>
          <w:noProof/>
        </w:rPr>
        <w:t xml:space="preserve">rbība sabiedrības ar ierobežotu atbildību vai filiāles formā (daļa no CPC 87909). </w:t>
      </w:r>
    </w:p>
    <w:p w:rsidR="003E022D" w:rsidRDefault="007D19D6">
      <w:pPr>
        <w:rPr>
          <w:noProof/>
          <w:u w:val="single"/>
        </w:rPr>
      </w:pPr>
      <w:r>
        <w:rPr>
          <w:noProof/>
          <w:u w:val="single"/>
        </w:rPr>
        <w:t xml:space="preserve">Attiecībā uz investīciju liberalizāciju – piekļuve tirgum un pakalpojumu pārrobežu tirdzniecība – klātbūtne uz vietas </w:t>
      </w:r>
    </w:p>
    <w:p w:rsidR="003E022D" w:rsidRDefault="007D19D6">
      <w:pPr>
        <w:rPr>
          <w:noProof/>
        </w:rPr>
      </w:pPr>
      <w:r>
        <w:rPr>
          <w:b/>
          <w:noProof/>
        </w:rPr>
        <w:t>CZ</w:t>
      </w:r>
      <w:r>
        <w:rPr>
          <w:noProof/>
        </w:rPr>
        <w:t>: vienīgi pilnvarotai iepakošanas sabiedrībai ir atļ</w:t>
      </w:r>
      <w:r>
        <w:rPr>
          <w:noProof/>
        </w:rPr>
        <w:t xml:space="preserve">auts sniegt tos pakalpojumus, kas saistīti ar iepakojuma atpakaļsavākšanu un reģenerāciju, un tai ir jābūt juridiskai personai, kas veic uzņēmējdarbību akciju sabiedrības formā (CPC 88493, ISIC 37). </w:t>
      </w:r>
    </w:p>
    <w:p w:rsidR="003E022D" w:rsidRDefault="007D19D6">
      <w:pPr>
        <w:rPr>
          <w:noProof/>
          <w:u w:val="single"/>
        </w:rPr>
      </w:pPr>
      <w:r>
        <w:rPr>
          <w:noProof/>
          <w:u w:val="single"/>
        </w:rPr>
        <w:t>Attiecībā uz investīciju liberalizāciju – piekļuve tirgu</w:t>
      </w:r>
      <w:r>
        <w:rPr>
          <w:noProof/>
          <w:u w:val="single"/>
        </w:rPr>
        <w:t xml:space="preserve">m un pakalpojumu pārrobežu tirdzniecība – piekļuve tirgum </w:t>
      </w:r>
    </w:p>
    <w:p w:rsidR="003E022D" w:rsidRDefault="007D19D6">
      <w:pPr>
        <w:rPr>
          <w:noProof/>
        </w:rPr>
      </w:pPr>
      <w:r>
        <w:rPr>
          <w:b/>
          <w:noProof/>
        </w:rPr>
        <w:t>NL</w:t>
      </w:r>
      <w:r>
        <w:rPr>
          <w:noProof/>
        </w:rPr>
        <w:t>: lai sniegtu dārgmetālu izstrādājumu zīmogošanas pakalpojumus, ir vajadzīga komerciālā klātbūtne Nīderlandē. Dārgmetālu izstrādājumu zīmogošana pašlaik ir atļauta vienīgi diviem Nīderlandes vals</w:t>
      </w:r>
      <w:r>
        <w:rPr>
          <w:noProof/>
        </w:rPr>
        <w:t xml:space="preserve">ts monopoliem (daļa no CPC 893). </w:t>
      </w:r>
    </w:p>
    <w:p w:rsidR="003E022D" w:rsidRDefault="007D19D6">
      <w:pPr>
        <w:rPr>
          <w:b/>
          <w:i/>
          <w:noProof/>
        </w:rPr>
      </w:pPr>
      <w:r>
        <w:rPr>
          <w:b/>
          <w:i/>
          <w:noProof/>
        </w:rPr>
        <w:t xml:space="preserve">Pasākumi </w:t>
      </w:r>
    </w:p>
    <w:p w:rsidR="003E022D" w:rsidRDefault="007D19D6">
      <w:pPr>
        <w:rPr>
          <w:noProof/>
        </w:rPr>
      </w:pPr>
      <w:r>
        <w:rPr>
          <w:b/>
          <w:noProof/>
        </w:rPr>
        <w:t>CZ</w:t>
      </w:r>
      <w:r>
        <w:rPr>
          <w:noProof/>
        </w:rPr>
        <w:t>: Likums 477/2001 Coll. (Iepakojuma likums), 16. punkts.</w:t>
      </w:r>
    </w:p>
    <w:p w:rsidR="003E022D" w:rsidRDefault="007D19D6">
      <w:pPr>
        <w:rPr>
          <w:i/>
          <w:noProof/>
        </w:rPr>
      </w:pPr>
      <w:r>
        <w:rPr>
          <w:b/>
          <w:i/>
          <w:noProof/>
        </w:rPr>
        <w:t>SE</w:t>
      </w:r>
      <w:r>
        <w:rPr>
          <w:i/>
          <w:noProof/>
        </w:rPr>
        <w:t xml:space="preserve">: Lombardu likums (1995:1000). </w:t>
      </w:r>
    </w:p>
    <w:p w:rsidR="003E022D" w:rsidRDefault="007D19D6">
      <w:pPr>
        <w:rPr>
          <w:i/>
          <w:noProof/>
        </w:rPr>
      </w:pPr>
      <w:r>
        <w:rPr>
          <w:b/>
          <w:i/>
          <w:noProof/>
        </w:rPr>
        <w:t>NL</w:t>
      </w:r>
      <w:r>
        <w:rPr>
          <w:i/>
          <w:noProof/>
        </w:rPr>
        <w:t xml:space="preserve">: Waarborgwet 1986. </w:t>
      </w:r>
    </w:p>
    <w:p w:rsidR="003E022D" w:rsidRDefault="007D19D6">
      <w:pPr>
        <w:rPr>
          <w:noProof/>
          <w:u w:val="single"/>
        </w:rPr>
      </w:pPr>
      <w:r>
        <w:rPr>
          <w:noProof/>
          <w:u w:val="single"/>
        </w:rPr>
        <w:t xml:space="preserve">Attiecībā uz investīciju liberalizāciju – piekļuve tirgum, valsts režīms </w:t>
      </w:r>
    </w:p>
    <w:p w:rsidR="003E022D" w:rsidRDefault="007D19D6">
      <w:pPr>
        <w:rPr>
          <w:noProof/>
        </w:rPr>
      </w:pPr>
      <w:r>
        <w:rPr>
          <w:b/>
          <w:noProof/>
        </w:rPr>
        <w:t>PT</w:t>
      </w:r>
      <w:r>
        <w:rPr>
          <w:noProof/>
        </w:rPr>
        <w:t xml:space="preserve">: lai sniegtu līdzekļu iekasēšanas aģentūru pakalpojumus un kredītinformācijas pakalpojumus, ir vajadzīga dalībvalsts valstspiederība (CPC 87901, 87902). </w:t>
      </w:r>
    </w:p>
    <w:p w:rsidR="003E022D" w:rsidRDefault="007D19D6">
      <w:pPr>
        <w:rPr>
          <w:b/>
          <w:i/>
          <w:noProof/>
        </w:rPr>
      </w:pPr>
      <w:r>
        <w:rPr>
          <w:b/>
          <w:i/>
          <w:noProof/>
        </w:rPr>
        <w:t xml:space="preserve">Pasākumi </w:t>
      </w:r>
    </w:p>
    <w:p w:rsidR="003E022D" w:rsidRDefault="007D19D6">
      <w:pPr>
        <w:rPr>
          <w:noProof/>
        </w:rPr>
      </w:pPr>
      <w:r>
        <w:rPr>
          <w:b/>
          <w:noProof/>
        </w:rPr>
        <w:t>PT</w:t>
      </w:r>
      <w:r>
        <w:rPr>
          <w:noProof/>
        </w:rPr>
        <w:t xml:space="preserve">: Likums 49/2004. </w:t>
      </w:r>
    </w:p>
    <w:p w:rsidR="003E022D" w:rsidRDefault="007D19D6">
      <w:pPr>
        <w:rPr>
          <w:noProof/>
          <w:u w:val="single"/>
        </w:rPr>
      </w:pPr>
      <w:r>
        <w:rPr>
          <w:noProof/>
          <w:u w:val="single"/>
        </w:rPr>
        <w:t xml:space="preserve">Attiecībā uz investīciju liberalizāciju – piekļuve tirgum, valsts režīms un pakalpojumu pārrobežu tirdzniecība – klātbūtne uz vietas </w:t>
      </w:r>
    </w:p>
    <w:p w:rsidR="003E022D" w:rsidRDefault="007D19D6">
      <w:pPr>
        <w:rPr>
          <w:noProof/>
        </w:rPr>
      </w:pPr>
      <w:r>
        <w:rPr>
          <w:b/>
          <w:noProof/>
        </w:rPr>
        <w:t>CZ</w:t>
      </w:r>
      <w:r>
        <w:rPr>
          <w:noProof/>
        </w:rPr>
        <w:t>: lai sniegtu izsoļu pakalpojumus, nepieciešama licence. Lai saņemtu licenci (brīvprātīgu publisku izsoļu rīkošanai), sa</w:t>
      </w:r>
      <w:r>
        <w:rPr>
          <w:noProof/>
        </w:rPr>
        <w:t xml:space="preserve">biedrībai jābūt inkorporētai Čehijas Republikā, fiziskai personai ir jāsaņem uzturēšanās atļauja un sabiedrībai vai fiziskai personai jābūt reģistrētai Čehijas Republikas Komercreģistrā (daļa no CPC 612, daļa no 621, daļa no 625, daļa no 85990). </w:t>
      </w:r>
    </w:p>
    <w:p w:rsidR="003E022D" w:rsidRDefault="007D19D6">
      <w:pPr>
        <w:rPr>
          <w:b/>
          <w:i/>
          <w:noProof/>
        </w:rPr>
      </w:pPr>
      <w:r>
        <w:rPr>
          <w:b/>
          <w:i/>
          <w:noProof/>
        </w:rPr>
        <w:t xml:space="preserve">Pasākumi </w:t>
      </w:r>
    </w:p>
    <w:p w:rsidR="003E022D" w:rsidRDefault="007D19D6">
      <w:pPr>
        <w:rPr>
          <w:noProof/>
        </w:rPr>
      </w:pPr>
      <w:r>
        <w:rPr>
          <w:b/>
          <w:noProof/>
        </w:rPr>
        <w:t>CZ</w:t>
      </w:r>
      <w:r>
        <w:rPr>
          <w:noProof/>
        </w:rPr>
        <w:t xml:space="preserve">: Likums Nr. 455/1991 Coll.; </w:t>
      </w:r>
    </w:p>
    <w:p w:rsidR="003E022D" w:rsidRDefault="007D19D6">
      <w:pPr>
        <w:rPr>
          <w:noProof/>
        </w:rPr>
      </w:pPr>
      <w:r>
        <w:rPr>
          <w:noProof/>
        </w:rPr>
        <w:t xml:space="preserve">Tirdzniecības licencēšanas likums un </w:t>
      </w:r>
    </w:p>
    <w:p w:rsidR="003E022D" w:rsidRDefault="007D19D6">
      <w:pPr>
        <w:rPr>
          <w:noProof/>
        </w:rPr>
      </w:pPr>
      <w:r>
        <w:rPr>
          <w:noProof/>
        </w:rPr>
        <w:t xml:space="preserve">Likums Nr. 26/2000 Coll., par publiskajām izsolēm. </w:t>
      </w:r>
    </w:p>
    <w:p w:rsidR="003E022D" w:rsidRDefault="007D19D6">
      <w:pPr>
        <w:rPr>
          <w:noProof/>
          <w:u w:val="single"/>
        </w:rPr>
      </w:pPr>
      <w:r>
        <w:rPr>
          <w:noProof/>
          <w:u w:val="single"/>
        </w:rPr>
        <w:t xml:space="preserve">Attiecībā uz pakalpojumu pārrobežu tirdzniecību – piekļuve tirgum </w:t>
      </w:r>
    </w:p>
    <w:p w:rsidR="003E022D" w:rsidRDefault="007D19D6">
      <w:pPr>
        <w:rPr>
          <w:noProof/>
        </w:rPr>
      </w:pPr>
      <w:r>
        <w:rPr>
          <w:b/>
          <w:noProof/>
        </w:rPr>
        <w:t>SE</w:t>
      </w:r>
      <w:r>
        <w:rPr>
          <w:noProof/>
        </w:rPr>
        <w:t>: celtniecības sabiedrības ekonomikas plāns jāapliecina divām pe</w:t>
      </w:r>
      <w:r>
        <w:rPr>
          <w:noProof/>
        </w:rPr>
        <w:t xml:space="preserve">rsonām. Šīm personām jābūt EEZ iestāžu publiski apstiprinātām (CPC 87909). </w:t>
      </w:r>
    </w:p>
    <w:p w:rsidR="003E022D" w:rsidRDefault="007D19D6">
      <w:pPr>
        <w:rPr>
          <w:b/>
          <w:i/>
          <w:noProof/>
        </w:rPr>
      </w:pPr>
      <w:r>
        <w:rPr>
          <w:b/>
          <w:i/>
          <w:noProof/>
        </w:rPr>
        <w:t xml:space="preserve">Pasākumi </w:t>
      </w:r>
    </w:p>
    <w:p w:rsidR="003E022D" w:rsidRDefault="007D19D6">
      <w:pPr>
        <w:rPr>
          <w:i/>
          <w:noProof/>
        </w:rPr>
      </w:pPr>
      <w:r>
        <w:rPr>
          <w:b/>
          <w:i/>
          <w:noProof/>
        </w:rPr>
        <w:t>SE</w:t>
      </w:r>
      <w:r>
        <w:rPr>
          <w:i/>
          <w:noProof/>
        </w:rPr>
        <w:t xml:space="preserve">: Kooperatīvo celtniecības sabiedrību likums (1991:614). </w:t>
      </w:r>
    </w:p>
    <w:p w:rsidR="003E022D" w:rsidRDefault="007D19D6">
      <w:pPr>
        <w:rPr>
          <w:b/>
          <w:noProof/>
        </w:rPr>
      </w:pPr>
      <w:bookmarkStart w:id="1066" w:name="_Toc452570623"/>
      <w:bookmarkStart w:id="1067" w:name="_Toc476832034"/>
      <w:bookmarkStart w:id="1068" w:name="_Toc500420028"/>
      <w:bookmarkStart w:id="1069" w:name="_Toc5371317"/>
      <w:bookmarkStart w:id="1070" w:name="_Toc53746664"/>
      <w:r>
        <w:rPr>
          <w:noProof/>
        </w:rPr>
        <w:br w:type="page"/>
      </w:r>
    </w:p>
    <w:p w:rsidR="003E022D" w:rsidRDefault="007D19D6">
      <w:pPr>
        <w:rPr>
          <w:b/>
          <w:noProof/>
        </w:rPr>
      </w:pPr>
      <w:bookmarkStart w:id="1071" w:name="_Toc57917373"/>
      <w:r>
        <w:rPr>
          <w:b/>
          <w:noProof/>
        </w:rPr>
        <w:t>7. atruna. Sakaru pakalpojumi</w:t>
      </w:r>
      <w:bookmarkEnd w:id="1066"/>
      <w:bookmarkEnd w:id="1067"/>
      <w:bookmarkEnd w:id="1068"/>
      <w:bookmarkEnd w:id="1069"/>
      <w:bookmarkEnd w:id="1070"/>
      <w:bookmarkEnd w:id="1071"/>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Sakaru pakalpojumi – pasta un kurjera pakalpojumi</w:t>
            </w:r>
          </w:p>
        </w:tc>
      </w:tr>
      <w:tr w:rsidR="003E022D">
        <w:tc>
          <w:tcPr>
            <w:tcW w:w="2660" w:type="dxa"/>
          </w:tcPr>
          <w:p w:rsidR="003E022D" w:rsidRDefault="007D19D6">
            <w:pPr>
              <w:spacing w:afterAutospacing="0"/>
              <w:rPr>
                <w:b/>
                <w:bCs/>
                <w:noProof/>
              </w:rPr>
            </w:pPr>
            <w:r>
              <w:rPr>
                <w:b/>
                <w:bCs/>
                <w:noProof/>
              </w:rPr>
              <w:t>Nozar</w:t>
            </w:r>
            <w:r>
              <w:rPr>
                <w:b/>
                <w:bCs/>
                <w:noProof/>
              </w:rPr>
              <w:t>es klasifikācija:</w:t>
            </w:r>
          </w:p>
        </w:tc>
        <w:tc>
          <w:tcPr>
            <w:tcW w:w="6582" w:type="dxa"/>
          </w:tcPr>
          <w:p w:rsidR="003E022D" w:rsidRDefault="007D19D6">
            <w:pPr>
              <w:spacing w:afterAutospacing="0"/>
              <w:rPr>
                <w:noProof/>
              </w:rPr>
            </w:pPr>
            <w:r>
              <w:rPr>
                <w:noProof/>
              </w:rPr>
              <w:t>Daļa no CPC 71235, daļa no 73210, daļa no 751</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pakalpojumu pārrobežu tirdzniecība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Apraksts</w:t>
      </w:r>
    </w:p>
    <w:p w:rsidR="003E022D" w:rsidRDefault="007D19D6">
      <w:pPr>
        <w:rPr>
          <w:noProof/>
          <w:u w:val="single"/>
        </w:rPr>
      </w:pPr>
      <w:r>
        <w:rPr>
          <w:noProof/>
          <w:u w:val="single"/>
        </w:rPr>
        <w:t xml:space="preserve">Attiecībā uz investīciju liberalizāciju – piekļuve tirgum un pakalpojumu pārrobežu tirdzniecība – piekļuve tirgum </w:t>
      </w:r>
    </w:p>
    <w:p w:rsidR="003E022D" w:rsidRDefault="007D19D6">
      <w:pPr>
        <w:rPr>
          <w:noProof/>
        </w:rPr>
      </w:pPr>
      <w:r>
        <w:rPr>
          <w:b/>
          <w:noProof/>
        </w:rPr>
        <w:t>EU</w:t>
      </w:r>
      <w:r>
        <w:rPr>
          <w:noProof/>
        </w:rPr>
        <w:t>: pastkastīšu izvietošanas uz publiskiem ceļiem organizēšana, pastmarku izdošana un ierakstīto sūtījumu pasta pakalpojumu sniegšan</w:t>
      </w:r>
      <w:r>
        <w:rPr>
          <w:noProof/>
        </w:rPr>
        <w:t>a, ko izmanto tiesas vai administratīvajās procedūrās, var būt ierobežota saskaņā ar valsts tiesību aktiem. Licencēšanas sistēmas var ieviest tiem pakalpojumiem, attiecībā uz kuriem pastāv vispārīgas universālā pakalpojuma saistības. Minētās licences var p</w:t>
      </w:r>
      <w:r>
        <w:rPr>
          <w:noProof/>
        </w:rPr>
        <w:t xml:space="preserve">iešķirt attiecībā uz konkrētām universālā pakalpojuma saistībām vai par finansiālu ieguldījumu kompensāciju fondā. </w:t>
      </w:r>
    </w:p>
    <w:p w:rsidR="003E022D" w:rsidRDefault="007D19D6">
      <w:pPr>
        <w:rPr>
          <w:b/>
          <w:i/>
          <w:noProof/>
        </w:rPr>
      </w:pPr>
      <w:r>
        <w:rPr>
          <w:b/>
          <w:i/>
          <w:noProof/>
        </w:rPr>
        <w:t xml:space="preserve">Pasākumi </w:t>
      </w:r>
    </w:p>
    <w:p w:rsidR="003E022D" w:rsidRDefault="007D19D6">
      <w:pPr>
        <w:rPr>
          <w:i/>
          <w:noProof/>
        </w:rPr>
      </w:pPr>
      <w:r>
        <w:rPr>
          <w:b/>
          <w:i/>
          <w:noProof/>
        </w:rPr>
        <w:t>EU</w:t>
      </w:r>
      <w:r>
        <w:rPr>
          <w:i/>
          <w:noProof/>
        </w:rPr>
        <w:t>: Eiropas Parlamenta un Padomes Direktīva 97/67/EK (1997. gada 15. decembris) par kopīgiem noteikumiem Kopienas pasta pakalpojum</w:t>
      </w:r>
      <w:r>
        <w:rPr>
          <w:i/>
          <w:noProof/>
        </w:rPr>
        <w:t xml:space="preserve">u iekšējā tirgus attīstībai un pakalpojumu kvalitātes uzlabošanai. </w:t>
      </w:r>
    </w:p>
    <w:p w:rsidR="003E022D" w:rsidRDefault="003E022D">
      <w:pPr>
        <w:rPr>
          <w:b/>
          <w:bCs/>
          <w:noProof/>
        </w:rPr>
      </w:pPr>
    </w:p>
    <w:p w:rsidR="003E022D" w:rsidRDefault="007D19D6">
      <w:pPr>
        <w:rPr>
          <w:b/>
          <w:bCs/>
          <w:noProof/>
        </w:rPr>
      </w:pPr>
      <w:r>
        <w:rPr>
          <w:noProof/>
        </w:rPr>
        <w:br w:type="page"/>
      </w:r>
    </w:p>
    <w:p w:rsidR="003E022D" w:rsidRDefault="007D19D6">
      <w:pPr>
        <w:rPr>
          <w:b/>
          <w:noProof/>
        </w:rPr>
      </w:pPr>
      <w:bookmarkStart w:id="1072" w:name="_Toc5371318"/>
      <w:bookmarkStart w:id="1073" w:name="_Toc53746665"/>
      <w:bookmarkStart w:id="1074" w:name="_Toc57917374"/>
      <w:bookmarkStart w:id="1075" w:name="_Toc531181747"/>
      <w:r>
        <w:rPr>
          <w:b/>
          <w:noProof/>
        </w:rPr>
        <w:t>8. atruna. Būvniecības pakalpojumi</w:t>
      </w:r>
      <w:bookmarkEnd w:id="1072"/>
      <w:bookmarkEnd w:id="1073"/>
      <w:bookmarkEnd w:id="1074"/>
      <w:r>
        <w:rPr>
          <w:b/>
          <w:noProof/>
        </w:rPr>
        <w:t xml:space="preserve"> </w:t>
      </w:r>
      <w:bookmarkEnd w:id="1075"/>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Būvniecība un saistītie inženiertehniskie pakalpojumi</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CPC 51</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Valsts režīms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pakalpojumu pārrobežu tirdzniecība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noProof/>
        </w:rPr>
      </w:pPr>
      <w:r>
        <w:rPr>
          <w:b/>
          <w:noProof/>
        </w:rPr>
        <w:t xml:space="preserve">CY: </w:t>
      </w:r>
      <w:r>
        <w:rPr>
          <w:noProof/>
        </w:rPr>
        <w:t xml:space="preserve">valstspiederības prasība.  </w:t>
      </w:r>
    </w:p>
    <w:p w:rsidR="003E022D" w:rsidRDefault="007D19D6">
      <w:pPr>
        <w:rPr>
          <w:b/>
          <w:i/>
          <w:noProof/>
        </w:rPr>
      </w:pPr>
      <w:r>
        <w:rPr>
          <w:b/>
          <w:i/>
          <w:noProof/>
        </w:rPr>
        <w:t>Pasākums</w:t>
      </w:r>
    </w:p>
    <w:p w:rsidR="003E022D" w:rsidRDefault="007D19D6">
      <w:pPr>
        <w:rPr>
          <w:i/>
          <w:noProof/>
        </w:rPr>
      </w:pPr>
      <w:r>
        <w:rPr>
          <w:i/>
          <w:noProof/>
        </w:rPr>
        <w:t>2001. gada Likums par būvuzņēmēju un tehnisko būvdarbu veicē</w:t>
      </w:r>
      <w:r>
        <w:rPr>
          <w:i/>
          <w:noProof/>
        </w:rPr>
        <w:t xml:space="preserve">ju reģistrāciju un kontroli (29(I)/2001), 15. un 52. pants.  </w:t>
      </w:r>
    </w:p>
    <w:p w:rsidR="003E022D" w:rsidRDefault="007D19D6">
      <w:pPr>
        <w:rPr>
          <w:b/>
          <w:noProof/>
        </w:rPr>
      </w:pPr>
      <w:bookmarkStart w:id="1076" w:name="_Toc452570627"/>
      <w:bookmarkStart w:id="1077" w:name="_Toc476832035"/>
      <w:bookmarkStart w:id="1078" w:name="_Toc500420029"/>
      <w:r>
        <w:rPr>
          <w:noProof/>
        </w:rPr>
        <w:br w:type="page"/>
      </w:r>
    </w:p>
    <w:p w:rsidR="003E022D" w:rsidRDefault="007D19D6">
      <w:pPr>
        <w:rPr>
          <w:b/>
          <w:noProof/>
        </w:rPr>
      </w:pPr>
      <w:bookmarkStart w:id="1079" w:name="_Toc5371319"/>
      <w:bookmarkStart w:id="1080" w:name="_Toc53746666"/>
      <w:bookmarkStart w:id="1081" w:name="_Toc57917375"/>
      <w:r>
        <w:rPr>
          <w:b/>
          <w:noProof/>
        </w:rPr>
        <w:t xml:space="preserve">9. atruna. Izplatīšanas </w:t>
      </w:r>
      <w:bookmarkEnd w:id="1076"/>
      <w:bookmarkEnd w:id="1077"/>
      <w:bookmarkEnd w:id="1078"/>
      <w:r>
        <w:rPr>
          <w:b/>
          <w:noProof/>
        </w:rPr>
        <w:t>pakalpojumi</w:t>
      </w:r>
      <w:bookmarkEnd w:id="1079"/>
      <w:bookmarkEnd w:id="1080"/>
      <w:bookmarkEnd w:id="1081"/>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Izplatīšanas pakalpojumi – vispārīgi, tabakas izplatīšana</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C CPC 3546, daļa no 621, 6222, 631, daļa no 632</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pakalpojumu pārrobežu tirdzniecība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 xml:space="preserve">Apraksts </w:t>
      </w:r>
      <w:bookmarkStart w:id="1082" w:name="_Toc5371320"/>
    </w:p>
    <w:p w:rsidR="003E022D" w:rsidRDefault="007D19D6">
      <w:pPr>
        <w:rPr>
          <w:b/>
          <w:i/>
          <w:noProof/>
        </w:rPr>
      </w:pPr>
      <w:r>
        <w:rPr>
          <w:b/>
          <w:i/>
          <w:noProof/>
        </w:rPr>
        <w:t xml:space="preserve">a) </w:t>
      </w:r>
      <w:r>
        <w:rPr>
          <w:noProof/>
        </w:rPr>
        <w:tab/>
      </w:r>
      <w:bookmarkStart w:id="1083" w:name="_Toc452570628"/>
      <w:r>
        <w:rPr>
          <w:b/>
          <w:i/>
          <w:noProof/>
        </w:rPr>
        <w:t xml:space="preserve">Izplatīšanas </w:t>
      </w:r>
      <w:bookmarkEnd w:id="1083"/>
      <w:r>
        <w:rPr>
          <w:b/>
          <w:i/>
          <w:noProof/>
        </w:rPr>
        <w:t>pakalp</w:t>
      </w:r>
      <w:r>
        <w:rPr>
          <w:b/>
          <w:i/>
          <w:noProof/>
        </w:rPr>
        <w:t>ojumi (CPC 3546, 631, 632 izņemot 63211, 63297, 62276, daļa no 621)</w:t>
      </w:r>
      <w:bookmarkEnd w:id="1082"/>
      <w:r>
        <w:rPr>
          <w:b/>
          <w:i/>
          <w:noProof/>
        </w:rPr>
        <w:t xml:space="preserve">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PT</w:t>
      </w:r>
      <w:r>
        <w:rPr>
          <w:noProof/>
        </w:rPr>
        <w:t>: pastāv īpaša atļauju piešķiršanas sistēma attiecībā uz konkrētu mazumtirdzniecības vietu un tirdzniecības centru ierīkošanu.</w:t>
      </w:r>
      <w:r>
        <w:rPr>
          <w:noProof/>
        </w:rPr>
        <w:t xml:space="preserve"> Tas attiecas uz tirdzniecības centriem, kam kopējā iznomājamā platība ir vismaz 8000 m</w:t>
      </w:r>
      <w:r>
        <w:rPr>
          <w:noProof/>
          <w:vertAlign w:val="superscript"/>
        </w:rPr>
        <w:t>2,</w:t>
      </w:r>
      <w:r>
        <w:rPr>
          <w:noProof/>
        </w:rPr>
        <w:t>, un mazumtirdzniecības vietām, kurām ārpus tirdzniecības centriem iznomājamā tirdzniecības platība ir vismaz 2000 m</w:t>
      </w:r>
      <w:r>
        <w:rPr>
          <w:noProof/>
          <w:vertAlign w:val="superscript"/>
        </w:rPr>
        <w:t>2</w:t>
      </w:r>
      <w:r>
        <w:rPr>
          <w:noProof/>
        </w:rPr>
        <w:t>. Galvenie kritēriji: ieguldījums komercpiedāvājum</w:t>
      </w:r>
      <w:r>
        <w:rPr>
          <w:noProof/>
        </w:rPr>
        <w:t xml:space="preserve">u daudzveidībā; patērētājiem sniegto pakalpojumu novērtējums; nodarbinātības un korporatīvās sociālās atbildības kvalitāte; integrācija pilsētvidē; ieguldījums ekoefektivitātē (CPC 631, 632, izņemot 63211, 63297). </w:t>
      </w:r>
    </w:p>
    <w:p w:rsidR="003E022D" w:rsidRDefault="007D19D6">
      <w:pPr>
        <w:rPr>
          <w:b/>
          <w:i/>
          <w:noProof/>
        </w:rPr>
      </w:pPr>
      <w:r>
        <w:rPr>
          <w:b/>
          <w:i/>
          <w:noProof/>
        </w:rPr>
        <w:t xml:space="preserve">Pasākumi </w:t>
      </w:r>
    </w:p>
    <w:p w:rsidR="003E022D" w:rsidRDefault="007D19D6">
      <w:pPr>
        <w:rPr>
          <w:i/>
          <w:noProof/>
        </w:rPr>
      </w:pPr>
      <w:r>
        <w:rPr>
          <w:b/>
          <w:i/>
          <w:noProof/>
        </w:rPr>
        <w:t>PT</w:t>
      </w:r>
      <w:r>
        <w:rPr>
          <w:i/>
          <w:noProof/>
        </w:rPr>
        <w:t>: Dekrētlikums Nr. 10/2015, 1</w:t>
      </w:r>
      <w:r>
        <w:rPr>
          <w:i/>
          <w:noProof/>
        </w:rPr>
        <w:t xml:space="preserve">6. janvāris. </w:t>
      </w:r>
    </w:p>
    <w:p w:rsidR="003E022D" w:rsidRDefault="007D19D6">
      <w:pPr>
        <w:rPr>
          <w:noProof/>
          <w:u w:val="single"/>
        </w:rPr>
      </w:pPr>
      <w:r>
        <w:rPr>
          <w:noProof/>
          <w:u w:val="single"/>
        </w:rPr>
        <w:t xml:space="preserve">Attiecībā uz investīciju liberalizāciju – piekļuve tirgum, valsts režīms un pakalpojumu pārrobežu tirdzniecība – piekļuve tirgum, valsts režīms </w:t>
      </w:r>
    </w:p>
    <w:p w:rsidR="003E022D" w:rsidRDefault="007D19D6">
      <w:pPr>
        <w:rPr>
          <w:noProof/>
        </w:rPr>
      </w:pPr>
      <w:r>
        <w:rPr>
          <w:b/>
          <w:noProof/>
        </w:rPr>
        <w:t>CY</w:t>
      </w:r>
      <w:r>
        <w:rPr>
          <w:noProof/>
        </w:rPr>
        <w:t xml:space="preserve">: farmācijas nozares tirdzniecības pārstāvjiem attiecībā uz izplatīšanas pakalpojumiem ir noteikta valstspiederības prasība (CPC 62117).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Likums 74(I)/2020 , ar grozījumiem. </w:t>
      </w:r>
    </w:p>
    <w:p w:rsidR="003E022D" w:rsidRDefault="007D19D6">
      <w:pPr>
        <w:rPr>
          <w:noProof/>
          <w:u w:val="single"/>
        </w:rPr>
      </w:pPr>
      <w:r>
        <w:rPr>
          <w:noProof/>
          <w:u w:val="single"/>
        </w:rPr>
        <w:t>Attiecībā uz investīciju liberalizāciju – piekļuve tirgum un pakalp</w:t>
      </w:r>
      <w:r>
        <w:rPr>
          <w:noProof/>
          <w:u w:val="single"/>
        </w:rPr>
        <w:t xml:space="preserve">ojumu pārrobežu tirdzniecība – klātbūtne uz vietas </w:t>
      </w:r>
    </w:p>
    <w:p w:rsidR="003E022D" w:rsidRDefault="007D19D6">
      <w:pPr>
        <w:rPr>
          <w:noProof/>
        </w:rPr>
      </w:pPr>
      <w:r>
        <w:rPr>
          <w:b/>
          <w:noProof/>
        </w:rPr>
        <w:t>LT</w:t>
      </w:r>
      <w:r>
        <w:rPr>
          <w:noProof/>
        </w:rPr>
        <w:t xml:space="preserve">: pirotehnisko izstrādājumu izplatīšanai ir vajadzīga licence. Licenci var saņemt tikai juridiskas personas, kas veic uzņēmējdarbību Savienībā (CPC 3546). </w:t>
      </w:r>
    </w:p>
    <w:p w:rsidR="003E022D" w:rsidRDefault="007D19D6">
      <w:pPr>
        <w:rPr>
          <w:b/>
          <w:i/>
          <w:noProof/>
        </w:rPr>
      </w:pPr>
      <w:r>
        <w:rPr>
          <w:b/>
          <w:i/>
          <w:noProof/>
        </w:rPr>
        <w:t xml:space="preserve">Pasākumi </w:t>
      </w:r>
    </w:p>
    <w:p w:rsidR="003E022D" w:rsidRDefault="007D19D6">
      <w:pPr>
        <w:rPr>
          <w:i/>
          <w:noProof/>
        </w:rPr>
      </w:pPr>
      <w:r>
        <w:rPr>
          <w:b/>
          <w:i/>
          <w:noProof/>
        </w:rPr>
        <w:t>LT</w:t>
      </w:r>
      <w:r>
        <w:rPr>
          <w:i/>
          <w:noProof/>
        </w:rPr>
        <w:t>: Likums par civilo pirotehnisko i</w:t>
      </w:r>
      <w:r>
        <w:rPr>
          <w:i/>
          <w:noProof/>
        </w:rPr>
        <w:t xml:space="preserve">zstrādājumu aprites uzraudzību (2004. gada 23. marts, Likums Nr. IX-2074). </w:t>
      </w:r>
    </w:p>
    <w:p w:rsidR="003E022D" w:rsidRDefault="007D19D6">
      <w:pPr>
        <w:rPr>
          <w:b/>
          <w:i/>
          <w:noProof/>
        </w:rPr>
      </w:pPr>
      <w:bookmarkStart w:id="1084" w:name="_Toc5371321"/>
      <w:r>
        <w:rPr>
          <w:b/>
          <w:i/>
          <w:noProof/>
        </w:rPr>
        <w:t xml:space="preserve">b) </w:t>
      </w:r>
      <w:r>
        <w:rPr>
          <w:noProof/>
        </w:rPr>
        <w:tab/>
      </w:r>
      <w:bookmarkStart w:id="1085" w:name="_Toc452570629"/>
      <w:r>
        <w:rPr>
          <w:b/>
          <w:i/>
          <w:noProof/>
        </w:rPr>
        <w:t>Tabakas izplatīšana</w:t>
      </w:r>
      <w:bookmarkEnd w:id="1085"/>
      <w:r>
        <w:rPr>
          <w:b/>
          <w:i/>
          <w:noProof/>
        </w:rPr>
        <w:t xml:space="preserve"> (daļa no CPC 6222, 62228, daļa no 6310, 63108) </w:t>
      </w:r>
      <w:bookmarkEnd w:id="1084"/>
      <w:r>
        <w:rPr>
          <w:b/>
          <w:i/>
          <w:noProof/>
        </w:rPr>
        <w:t xml:space="preserve"> </w:t>
      </w:r>
    </w:p>
    <w:p w:rsidR="003E022D" w:rsidRDefault="007D19D6">
      <w:pPr>
        <w:rPr>
          <w:noProof/>
          <w:u w:val="single"/>
        </w:rPr>
      </w:pPr>
      <w:r>
        <w:rPr>
          <w:noProof/>
          <w:u w:val="single"/>
        </w:rPr>
        <w:t xml:space="preserve">Attiecībā uz investīciju liberalizāciju – piekļuve tirgum, valsts režīms un pakalpojumu pārrobežu tirdzniecība – piekļuve tirgum, valsts režīms  </w:t>
      </w:r>
    </w:p>
    <w:p w:rsidR="003E022D" w:rsidRDefault="007D19D6">
      <w:pPr>
        <w:rPr>
          <w:noProof/>
        </w:rPr>
      </w:pPr>
      <w:r>
        <w:rPr>
          <w:b/>
          <w:noProof/>
        </w:rPr>
        <w:t>ES</w:t>
      </w:r>
      <w:r>
        <w:rPr>
          <w:noProof/>
        </w:rPr>
        <w:t>: valsts monopols tabakas izstrādājumu mazumtirdzniecībā. Uz uzņēmējdarbības veikšanu attiecas dalībvalsts v</w:t>
      </w:r>
      <w:r>
        <w:rPr>
          <w:noProof/>
        </w:rPr>
        <w:t xml:space="preserve">alstspiederības prasība. Tikai fiziskas personas var būt tabakas izstrādājumu mazumtirgotāji. Katrs tabakas mazumtirgotājs var saņemt tikai vienu licenci (CPC 63108). </w:t>
      </w:r>
    </w:p>
    <w:p w:rsidR="003E022D" w:rsidRDefault="007D19D6">
      <w:pPr>
        <w:rPr>
          <w:noProof/>
        </w:rPr>
      </w:pPr>
      <w:r>
        <w:rPr>
          <w:b/>
          <w:noProof/>
        </w:rPr>
        <w:t>FR</w:t>
      </w:r>
      <w:r>
        <w:rPr>
          <w:noProof/>
        </w:rPr>
        <w:t>: valsts monopols tabakas izstrādājumu vairumtirdzniecībā un mazumtirdzniecībā. Tabaka</w:t>
      </w:r>
      <w:r>
        <w:rPr>
          <w:noProof/>
        </w:rPr>
        <w:t>s izstrādājumu mazumtirgotājiem (</w:t>
      </w:r>
      <w:r>
        <w:rPr>
          <w:i/>
          <w:noProof/>
        </w:rPr>
        <w:t>buraliste</w:t>
      </w:r>
      <w:r>
        <w:rPr>
          <w:noProof/>
        </w:rPr>
        <w:t xml:space="preserve">) piemēro prasību par valstspiederību (daļa no CPC 6222, daļa no 6310). </w:t>
      </w:r>
    </w:p>
    <w:p w:rsidR="003E022D" w:rsidRDefault="007D19D6">
      <w:pPr>
        <w:rPr>
          <w:b/>
          <w:i/>
          <w:noProof/>
        </w:rPr>
      </w:pPr>
      <w:r>
        <w:rPr>
          <w:b/>
          <w:i/>
          <w:noProof/>
        </w:rPr>
        <w:t xml:space="preserve">Pasākumi </w:t>
      </w:r>
    </w:p>
    <w:p w:rsidR="003E022D" w:rsidRDefault="007D19D6">
      <w:pPr>
        <w:rPr>
          <w:i/>
          <w:noProof/>
        </w:rPr>
      </w:pPr>
      <w:r>
        <w:rPr>
          <w:b/>
          <w:i/>
          <w:noProof/>
        </w:rPr>
        <w:t>ES</w:t>
      </w:r>
      <w:r>
        <w:rPr>
          <w:i/>
          <w:noProof/>
        </w:rPr>
        <w:t xml:space="preserve">: 2014. gada 27. septembra Likums 14/2013. </w:t>
      </w:r>
    </w:p>
    <w:p w:rsidR="003E022D" w:rsidRDefault="007D19D6">
      <w:pPr>
        <w:rPr>
          <w:i/>
          <w:noProof/>
        </w:rPr>
      </w:pPr>
      <w:r>
        <w:rPr>
          <w:b/>
          <w:i/>
          <w:noProof/>
        </w:rPr>
        <w:t>FR</w:t>
      </w:r>
      <w:r>
        <w:rPr>
          <w:i/>
          <w:noProof/>
        </w:rPr>
        <w:t xml:space="preserve">: Code général des impôts. </w:t>
      </w:r>
    </w:p>
    <w:p w:rsidR="003E022D" w:rsidRDefault="007D19D6">
      <w:pPr>
        <w:rPr>
          <w:noProof/>
          <w:u w:val="single"/>
        </w:rPr>
      </w:pPr>
      <w:r>
        <w:rPr>
          <w:noProof/>
          <w:u w:val="single"/>
        </w:rPr>
        <w:t>Attiecībā uz investīciju liberalizāciju – piekļuve tirg</w:t>
      </w:r>
      <w:r>
        <w:rPr>
          <w:noProof/>
          <w:u w:val="single"/>
        </w:rPr>
        <w:t xml:space="preserve">um, valsts režīms un pakalpojumu pārrobežu tirdzniecība – piekļuve tirgum, valsts režīms </w:t>
      </w:r>
    </w:p>
    <w:p w:rsidR="003E022D" w:rsidRDefault="007D19D6">
      <w:pPr>
        <w:rPr>
          <w:noProof/>
        </w:rPr>
      </w:pPr>
      <w:r>
        <w:rPr>
          <w:b/>
          <w:noProof/>
        </w:rPr>
        <w:t>AT</w:t>
      </w:r>
      <w:r>
        <w:rPr>
          <w:noProof/>
        </w:rPr>
        <w:t xml:space="preserve">: tikai fiziskas personas var pieteikties uz tabakas izstrādājumu mazumtirgotāja atļauju. </w:t>
      </w:r>
    </w:p>
    <w:p w:rsidR="003E022D" w:rsidRDefault="007D19D6">
      <w:pPr>
        <w:rPr>
          <w:noProof/>
        </w:rPr>
      </w:pPr>
      <w:r>
        <w:rPr>
          <w:noProof/>
        </w:rPr>
        <w:t xml:space="preserve">Priekšroka tiek dota EEZ dalībvalstu valstspiederīgajiem (CPC 63108). </w:t>
      </w:r>
    </w:p>
    <w:p w:rsidR="003E022D" w:rsidRDefault="007D19D6">
      <w:pPr>
        <w:rPr>
          <w:b/>
          <w:i/>
          <w:noProof/>
        </w:rPr>
      </w:pPr>
      <w:r>
        <w:rPr>
          <w:b/>
          <w:i/>
          <w:noProof/>
        </w:rPr>
        <w:t>Pa</w:t>
      </w:r>
      <w:r>
        <w:rPr>
          <w:b/>
          <w:i/>
          <w:noProof/>
        </w:rPr>
        <w:t xml:space="preserve">sākumi </w:t>
      </w:r>
    </w:p>
    <w:p w:rsidR="003E022D" w:rsidRDefault="007D19D6">
      <w:pPr>
        <w:rPr>
          <w:i/>
          <w:noProof/>
        </w:rPr>
      </w:pPr>
      <w:r>
        <w:rPr>
          <w:b/>
          <w:i/>
          <w:noProof/>
        </w:rPr>
        <w:t>AT</w:t>
      </w:r>
      <w:r>
        <w:rPr>
          <w:i/>
          <w:noProof/>
        </w:rPr>
        <w:t xml:space="preserve">: 1996. gada Tabakas monopola likums, § 5 un § 27. </w:t>
      </w:r>
    </w:p>
    <w:p w:rsidR="003E022D" w:rsidRDefault="007D19D6">
      <w:pPr>
        <w:rPr>
          <w:noProof/>
          <w:u w:val="single"/>
        </w:rPr>
      </w:pPr>
      <w:r>
        <w:rPr>
          <w:noProof/>
          <w:u w:val="single"/>
        </w:rPr>
        <w:t xml:space="preserve">Attiecībā uz investīciju liberalizāciju – piekļuve tirgum un pakalpojumu pārrobežu tirdzniecība – piekļuve tirgum, valsts režīms </w:t>
      </w:r>
    </w:p>
    <w:p w:rsidR="003E022D" w:rsidRDefault="007D19D6">
      <w:pPr>
        <w:rPr>
          <w:noProof/>
        </w:rPr>
      </w:pPr>
      <w:r>
        <w:rPr>
          <w:b/>
          <w:noProof/>
        </w:rPr>
        <w:t>IT</w:t>
      </w:r>
      <w:r>
        <w:rPr>
          <w:noProof/>
        </w:rPr>
        <w:t>: lai izplatītu un pārdotu tabaku, ir vajadzīga licence. Licen</w:t>
      </w:r>
      <w:r>
        <w:rPr>
          <w:noProof/>
        </w:rPr>
        <w:t xml:space="preserve">ci piešķir publiskā procedūrā. Lai piešķirtu licences, ir jāveic ekonomisko vajadzību pārbaude. Galvenie kritēriji: iedzīvotāju skaits un esošo pārdošanas punktu ģeogrāfiskais blīvums (daļa no CPC 6222, daļa no 6310). </w:t>
      </w:r>
    </w:p>
    <w:p w:rsidR="003E022D" w:rsidRDefault="007D19D6">
      <w:pPr>
        <w:rPr>
          <w:b/>
          <w:i/>
          <w:noProof/>
        </w:rPr>
      </w:pPr>
      <w:r>
        <w:rPr>
          <w:b/>
          <w:i/>
          <w:noProof/>
        </w:rPr>
        <w:t xml:space="preserve">Pasākumi </w:t>
      </w:r>
    </w:p>
    <w:p w:rsidR="003E022D" w:rsidRDefault="007D19D6">
      <w:pPr>
        <w:rPr>
          <w:i/>
          <w:noProof/>
        </w:rPr>
      </w:pPr>
      <w:r>
        <w:rPr>
          <w:b/>
          <w:i/>
          <w:noProof/>
        </w:rPr>
        <w:t>IT</w:t>
      </w:r>
      <w:r>
        <w:rPr>
          <w:i/>
          <w:noProof/>
        </w:rPr>
        <w:t>: Likumdošanas dekrēts 18</w:t>
      </w:r>
      <w:r>
        <w:rPr>
          <w:i/>
          <w:noProof/>
        </w:rPr>
        <w:t xml:space="preserve">4/2003; </w:t>
      </w:r>
    </w:p>
    <w:p w:rsidR="003E022D" w:rsidRDefault="007D19D6">
      <w:pPr>
        <w:rPr>
          <w:i/>
          <w:noProof/>
        </w:rPr>
      </w:pPr>
      <w:r>
        <w:rPr>
          <w:i/>
          <w:noProof/>
        </w:rPr>
        <w:t xml:space="preserve">Likums 165/1962; </w:t>
      </w:r>
    </w:p>
    <w:p w:rsidR="003E022D" w:rsidRDefault="007D19D6">
      <w:pPr>
        <w:rPr>
          <w:i/>
          <w:noProof/>
        </w:rPr>
      </w:pPr>
      <w:r>
        <w:rPr>
          <w:i/>
          <w:noProof/>
        </w:rPr>
        <w:t xml:space="preserve">Likums 3/2003; </w:t>
      </w:r>
    </w:p>
    <w:p w:rsidR="003E022D" w:rsidRDefault="007D19D6">
      <w:pPr>
        <w:rPr>
          <w:i/>
          <w:noProof/>
        </w:rPr>
      </w:pPr>
      <w:r>
        <w:rPr>
          <w:i/>
          <w:noProof/>
        </w:rPr>
        <w:t xml:space="preserve">Likums 1293/1957; </w:t>
      </w:r>
    </w:p>
    <w:p w:rsidR="003E022D" w:rsidRDefault="007D19D6">
      <w:pPr>
        <w:rPr>
          <w:i/>
          <w:noProof/>
        </w:rPr>
      </w:pPr>
      <w:r>
        <w:rPr>
          <w:i/>
          <w:noProof/>
        </w:rPr>
        <w:t xml:space="preserve">Likums 907/1942 un </w:t>
      </w:r>
    </w:p>
    <w:p w:rsidR="003E022D" w:rsidRDefault="007D19D6">
      <w:pPr>
        <w:rPr>
          <w:i/>
          <w:noProof/>
        </w:rPr>
      </w:pPr>
      <w:r>
        <w:rPr>
          <w:i/>
          <w:noProof/>
        </w:rPr>
        <w:t xml:space="preserve">Republikas Prezidenta dekrēts (D.P.R.) 1074/1958. </w:t>
      </w:r>
    </w:p>
    <w:p w:rsidR="003E022D" w:rsidRDefault="003E022D">
      <w:pPr>
        <w:rPr>
          <w:noProof/>
        </w:rPr>
      </w:pPr>
    </w:p>
    <w:p w:rsidR="003E022D" w:rsidRDefault="007D19D6">
      <w:pPr>
        <w:spacing w:after="160" w:line="259" w:lineRule="auto"/>
        <w:jc w:val="left"/>
        <w:rPr>
          <w:b/>
          <w:noProof/>
        </w:rPr>
      </w:pPr>
      <w:r>
        <w:rPr>
          <w:noProof/>
        </w:rPr>
        <w:br w:type="page"/>
      </w:r>
    </w:p>
    <w:p w:rsidR="003E022D" w:rsidRDefault="007D19D6">
      <w:pPr>
        <w:rPr>
          <w:b/>
          <w:noProof/>
        </w:rPr>
      </w:pPr>
      <w:bookmarkStart w:id="1086" w:name="_Toc452570631"/>
      <w:bookmarkStart w:id="1087" w:name="_Toc476832036"/>
      <w:bookmarkStart w:id="1088" w:name="_Toc500420030"/>
      <w:bookmarkStart w:id="1089" w:name="_Toc5371322"/>
      <w:bookmarkStart w:id="1090" w:name="_Toc53746667"/>
      <w:bookmarkStart w:id="1091" w:name="_Toc57917376"/>
      <w:r>
        <w:rPr>
          <w:b/>
          <w:noProof/>
        </w:rPr>
        <w:t xml:space="preserve">10. atruna. Izglītības </w:t>
      </w:r>
      <w:bookmarkEnd w:id="1086"/>
      <w:bookmarkEnd w:id="1087"/>
      <w:bookmarkEnd w:id="1088"/>
      <w:r>
        <w:rPr>
          <w:b/>
          <w:noProof/>
        </w:rPr>
        <w:t>pakalpojumi</w:t>
      </w:r>
      <w:bookmarkEnd w:id="1089"/>
      <w:bookmarkEnd w:id="1090"/>
      <w:bookmarkEnd w:id="1091"/>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Izglītības pakalpojumi (privāti finansēti)</w:t>
            </w:r>
          </w:p>
        </w:tc>
      </w:tr>
      <w:tr w:rsidR="003E022D">
        <w:tc>
          <w:tcPr>
            <w:tcW w:w="2660" w:type="dxa"/>
          </w:tcPr>
          <w:p w:rsidR="003E022D" w:rsidRDefault="007D19D6">
            <w:pPr>
              <w:spacing w:afterAutospacing="0"/>
              <w:rPr>
                <w:b/>
                <w:bCs/>
                <w:noProof/>
              </w:rPr>
            </w:pPr>
            <w:r>
              <w:rPr>
                <w:b/>
                <w:bCs/>
                <w:noProof/>
              </w:rPr>
              <w:t xml:space="preserve">Nozares </w:t>
            </w:r>
            <w:r>
              <w:rPr>
                <w:b/>
                <w:bCs/>
                <w:noProof/>
              </w:rPr>
              <w:t>klasifikācija:</w:t>
            </w:r>
          </w:p>
        </w:tc>
        <w:tc>
          <w:tcPr>
            <w:tcW w:w="6582" w:type="dxa"/>
          </w:tcPr>
          <w:p w:rsidR="003E022D" w:rsidRDefault="007D19D6">
            <w:pPr>
              <w:spacing w:afterAutospacing="0"/>
              <w:rPr>
                <w:noProof/>
              </w:rPr>
            </w:pPr>
            <w:r>
              <w:rPr>
                <w:noProof/>
              </w:rPr>
              <w:t>CPC 921, 922, 923, 924</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pakalpojumu pārrobežu tirdzniecība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 xml:space="preserve">Eiropas </w:t>
            </w:r>
            <w:r>
              <w:rPr>
                <w:noProof/>
              </w:rPr>
              <w:t>Savienība/dalībvalsts (ja vien nav norādīts citādi)</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noProof/>
          <w:u w:val="single"/>
        </w:rPr>
      </w:pPr>
      <w:r>
        <w:rPr>
          <w:noProof/>
          <w:u w:val="single"/>
        </w:rPr>
        <w:t xml:space="preserve">Attiecībā uz investīciju liberalizāciju – piekļuve tirgum, valsts režīms, augstākā vadība un direktoru padomes un pakalpojumu pārrobežu tirdzniecība – piekļuve tirgum </w:t>
      </w:r>
    </w:p>
    <w:p w:rsidR="003E022D" w:rsidRDefault="007D19D6">
      <w:pPr>
        <w:rPr>
          <w:noProof/>
        </w:rPr>
      </w:pPr>
      <w:r>
        <w:rPr>
          <w:b/>
          <w:noProof/>
        </w:rPr>
        <w:t>CY</w:t>
      </w:r>
      <w:r>
        <w:rPr>
          <w:noProof/>
        </w:rPr>
        <w:t xml:space="preserve">: privāti finansētas </w:t>
      </w:r>
      <w:r>
        <w:rPr>
          <w:noProof/>
        </w:rPr>
        <w:t>skolas īpašniekiem un vairākuma kapitāldaļu turētājiem ir jābūt kādas dalībvalsts valstspiederīgajiem. Apvienotās Karalistes pilsoņi var saņemt (izglītības) ministra atļauju saskaņā ar noteikto formu un nosacījumiem.</w:t>
      </w:r>
    </w:p>
    <w:p w:rsidR="003E022D" w:rsidRDefault="007D19D6">
      <w:pPr>
        <w:rPr>
          <w:b/>
          <w:i/>
          <w:noProof/>
        </w:rPr>
      </w:pPr>
      <w:r>
        <w:rPr>
          <w:b/>
          <w:i/>
          <w:noProof/>
        </w:rPr>
        <w:t>Pasākumi</w:t>
      </w:r>
    </w:p>
    <w:p w:rsidR="003E022D" w:rsidRDefault="007D19D6">
      <w:pPr>
        <w:rPr>
          <w:i/>
          <w:noProof/>
        </w:rPr>
      </w:pPr>
      <w:r>
        <w:rPr>
          <w:b/>
          <w:i/>
          <w:noProof/>
        </w:rPr>
        <w:t>CY</w:t>
      </w:r>
      <w:r>
        <w:rPr>
          <w:i/>
          <w:noProof/>
        </w:rPr>
        <w:t>: 2019. gada privātskolu lik</w:t>
      </w:r>
      <w:r>
        <w:rPr>
          <w:i/>
          <w:noProof/>
        </w:rPr>
        <w:t>ums (N. 147(I)/2019)</w:t>
      </w:r>
    </w:p>
    <w:p w:rsidR="003E022D" w:rsidRDefault="007D19D6">
      <w:pPr>
        <w:rPr>
          <w:noProof/>
          <w:u w:val="single"/>
        </w:rPr>
      </w:pPr>
      <w:r>
        <w:rPr>
          <w:noProof/>
          <w:u w:val="single"/>
        </w:rPr>
        <w:t xml:space="preserve">Attiecībā uz investīciju liberalizāciju – piekļuve tirgum, valsts režīms un pakalpojumu pārrobežu tirdzniecība – piekļuve tirgum, valsts režīms </w:t>
      </w:r>
    </w:p>
    <w:p w:rsidR="003E022D" w:rsidRDefault="007D19D6">
      <w:pPr>
        <w:rPr>
          <w:noProof/>
        </w:rPr>
      </w:pPr>
      <w:r>
        <w:rPr>
          <w:b/>
          <w:noProof/>
        </w:rPr>
        <w:t>BG:</w:t>
      </w:r>
      <w:r>
        <w:rPr>
          <w:noProof/>
        </w:rPr>
        <w:t xml:space="preserve"> privāti finansētus pamatizglītības un vidējās izglītības pakalpojumus var sniegt tikai</w:t>
      </w:r>
      <w:r>
        <w:rPr>
          <w:noProof/>
        </w:rPr>
        <w:t xml:space="preserve"> pilnvaroti Bulgārijas uzņēmumi (vajadzīga komerciāla klātbūtne). Bulgārijā bērnudārzus un skolas ar ārvalstnieku līdzdalību var izveidot vai pārveidot pēc Bulgārijā pienācīgi reģistrētu Bulgārijas apvienību, korporāciju vai uzņēmumu un ārvalstu fizisku va</w:t>
      </w:r>
      <w:r>
        <w:rPr>
          <w:noProof/>
        </w:rPr>
        <w:t>i juridisku personu pieprasījuma ar Ministru padomes lēmumu pēc izglītības un zinātnes ministra ierosmes. Ārvalstniekiem piederošus bērnudārzus un skolas var izveidot vai pārveidot pēc ārvalstu juridisku personu pieprasījuma saskaņā ar starptautiskiem nolī</w:t>
      </w:r>
      <w:r>
        <w:rPr>
          <w:noProof/>
        </w:rPr>
        <w:t xml:space="preserve">gumiem un konvencijām un atbilstoši iepriekšminētajiem noteikumiem. Ārvalstu augstākās izglītības iestādes nevar atvērt filiāles Bulgārijas teritorijā. Ārvalstu augstākās izglītības iestādes var atvērt fakultātes, nodaļas, institūtus un koledžas Bulgārijā </w:t>
      </w:r>
      <w:r>
        <w:rPr>
          <w:noProof/>
        </w:rPr>
        <w:t xml:space="preserve">tikai Bulgārijas vidusskolu struktūras ietvaros un sadarbībā ar tām (CPC 921, 922).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Pirmsskolas un skolu izglītības likums un </w:t>
      </w:r>
    </w:p>
    <w:p w:rsidR="003E022D" w:rsidRDefault="007D19D6">
      <w:pPr>
        <w:rPr>
          <w:i/>
          <w:noProof/>
        </w:rPr>
      </w:pPr>
      <w:r>
        <w:rPr>
          <w:i/>
          <w:noProof/>
        </w:rPr>
        <w:t xml:space="preserve">Augstākās izglītības likums, papildnoteikumu 4. punkts. </w:t>
      </w:r>
    </w:p>
    <w:p w:rsidR="003E022D" w:rsidRDefault="007D19D6">
      <w:pPr>
        <w:rPr>
          <w:noProof/>
          <w:u w:val="single"/>
        </w:rPr>
      </w:pPr>
      <w:r>
        <w:rPr>
          <w:noProof/>
          <w:u w:val="single"/>
        </w:rPr>
        <w:t>Attiecībā uz investīciju liberalizāciju – piekļuve tirgum</w:t>
      </w:r>
      <w:r>
        <w:rPr>
          <w:noProof/>
          <w:u w:val="single"/>
        </w:rPr>
        <w:t>, valsts režīms</w:t>
      </w:r>
    </w:p>
    <w:p w:rsidR="003E022D" w:rsidRDefault="007D19D6">
      <w:pPr>
        <w:rPr>
          <w:noProof/>
        </w:rPr>
      </w:pPr>
      <w:r>
        <w:rPr>
          <w:b/>
          <w:noProof/>
        </w:rPr>
        <w:t>SI</w:t>
      </w:r>
      <w:r>
        <w:rPr>
          <w:noProof/>
        </w:rPr>
        <w:t xml:space="preserve">: privāti finansētas pamatskolas drīkst dibināt tikai Slovēnijas fiziskās vai juridiskās personas. Pakalpojumu sniedzējam jāizveido juridiskā adrese vai filiāle (CPC 921). </w:t>
      </w:r>
    </w:p>
    <w:p w:rsidR="003E022D" w:rsidRDefault="007D19D6">
      <w:pPr>
        <w:rPr>
          <w:b/>
          <w:i/>
          <w:noProof/>
        </w:rPr>
      </w:pPr>
      <w:r>
        <w:rPr>
          <w:b/>
          <w:i/>
          <w:noProof/>
        </w:rPr>
        <w:t xml:space="preserve">Pasākumi </w:t>
      </w:r>
    </w:p>
    <w:p w:rsidR="003E022D" w:rsidRDefault="007D19D6">
      <w:pPr>
        <w:rPr>
          <w:i/>
          <w:noProof/>
        </w:rPr>
      </w:pPr>
      <w:r>
        <w:rPr>
          <w:b/>
          <w:i/>
          <w:noProof/>
        </w:rPr>
        <w:t>SI</w:t>
      </w:r>
      <w:r>
        <w:rPr>
          <w:i/>
          <w:noProof/>
        </w:rPr>
        <w:t>: Izglītības organizācijas un finansēšanas likums (Of</w:t>
      </w:r>
      <w:r>
        <w:rPr>
          <w:i/>
          <w:noProof/>
        </w:rPr>
        <w:t xml:space="preserve">ficial Gazette of Republic of Slovenia, no. </w:t>
      </w:r>
    </w:p>
    <w:p w:rsidR="003E022D" w:rsidRDefault="007D19D6">
      <w:pPr>
        <w:rPr>
          <w:i/>
          <w:noProof/>
        </w:rPr>
      </w:pPr>
      <w:r>
        <w:rPr>
          <w:i/>
          <w:noProof/>
        </w:rPr>
        <w:t xml:space="preserve">12/1996) un tā redakcijas, 40. pants.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CZ</w:t>
      </w:r>
      <w:r>
        <w:rPr>
          <w:noProof/>
        </w:rPr>
        <w:t xml:space="preserve"> un </w:t>
      </w:r>
      <w:r>
        <w:rPr>
          <w:b/>
          <w:noProof/>
        </w:rPr>
        <w:t>SK</w:t>
      </w:r>
      <w:r>
        <w:rPr>
          <w:noProof/>
        </w:rPr>
        <w:t>: lai varētu pieteikties valsts apstiprinājumam privātpersonas finansētas augstākās izglītība</w:t>
      </w:r>
      <w:r>
        <w:rPr>
          <w:noProof/>
        </w:rPr>
        <w:t xml:space="preserve">s iestādes darbībai, ir jāveic uzņēmējdarbība dalībvalstī. Šī atruna neattiecas uz pēcvidusskolas līmeņa tehniskās un profesionālās izglītības pakalpojumiem (CPC 92310). </w:t>
      </w:r>
    </w:p>
    <w:p w:rsidR="003E022D" w:rsidRDefault="007D19D6">
      <w:pPr>
        <w:rPr>
          <w:b/>
          <w:i/>
          <w:noProof/>
        </w:rPr>
      </w:pPr>
      <w:r>
        <w:rPr>
          <w:b/>
          <w:i/>
          <w:noProof/>
        </w:rPr>
        <w:t xml:space="preserve">Pasākumi </w:t>
      </w:r>
    </w:p>
    <w:p w:rsidR="003E022D" w:rsidRDefault="007D19D6">
      <w:pPr>
        <w:rPr>
          <w:i/>
          <w:noProof/>
        </w:rPr>
      </w:pPr>
      <w:r>
        <w:rPr>
          <w:b/>
          <w:i/>
          <w:noProof/>
        </w:rPr>
        <w:t>CZ</w:t>
      </w:r>
      <w:r>
        <w:rPr>
          <w:i/>
          <w:noProof/>
        </w:rPr>
        <w:t xml:space="preserve">: Likums Nr. 111/1998, Coll. (Augstākās izglītības likums), § 39, un </w:t>
      </w:r>
    </w:p>
    <w:p w:rsidR="003E022D" w:rsidRDefault="007D19D6">
      <w:pPr>
        <w:rPr>
          <w:i/>
          <w:noProof/>
        </w:rPr>
      </w:pPr>
      <w:r>
        <w:rPr>
          <w:i/>
          <w:noProof/>
        </w:rPr>
        <w:t xml:space="preserve">Likums Nr. 561/2004 Coll. par pirmsskolas izglītību, pamatizglītību, vidējo, terciāro profesionālo un citu izglītību (Izglītības likums) </w:t>
      </w:r>
    </w:p>
    <w:p w:rsidR="003E022D" w:rsidRDefault="007D19D6">
      <w:pPr>
        <w:rPr>
          <w:i/>
          <w:noProof/>
        </w:rPr>
      </w:pPr>
      <w:r>
        <w:rPr>
          <w:b/>
          <w:i/>
          <w:noProof/>
        </w:rPr>
        <w:t>SK</w:t>
      </w:r>
      <w:r>
        <w:rPr>
          <w:i/>
          <w:noProof/>
        </w:rPr>
        <w:t xml:space="preserve">: 2002. gada 21. februāra Likums Nr. 131 par universitātēm. </w:t>
      </w:r>
    </w:p>
    <w:p w:rsidR="003E022D" w:rsidRDefault="007D19D6">
      <w:pPr>
        <w:rPr>
          <w:noProof/>
          <w:u w:val="single"/>
        </w:rPr>
      </w:pPr>
      <w:r>
        <w:rPr>
          <w:noProof/>
          <w:u w:val="single"/>
        </w:rPr>
        <w:t>Attiecībā uz investīciju liberalizāciju – piekļuve tirg</w:t>
      </w:r>
      <w:r>
        <w:rPr>
          <w:noProof/>
          <w:u w:val="single"/>
        </w:rPr>
        <w:t xml:space="preserve">um un pakalpojumu pārrobežu tirdzniecība — piekļuve tirgum </w:t>
      </w:r>
    </w:p>
    <w:p w:rsidR="003E022D" w:rsidRDefault="007D19D6">
      <w:pPr>
        <w:rPr>
          <w:noProof/>
        </w:rPr>
      </w:pPr>
      <w:r>
        <w:rPr>
          <w:b/>
          <w:noProof/>
        </w:rPr>
        <w:t>ES</w:t>
      </w:r>
      <w:r>
        <w:rPr>
          <w:noProof/>
        </w:rPr>
        <w:t xml:space="preserve"> un</w:t>
      </w:r>
      <w:r>
        <w:rPr>
          <w:b/>
          <w:noProof/>
        </w:rPr>
        <w:t xml:space="preserve"> IT</w:t>
      </w:r>
      <w:r>
        <w:rPr>
          <w:noProof/>
        </w:rPr>
        <w:t>: nepieciešama atļauja, lai varētu izveidot privāti finansētu universitāti, kas izdod atzītus diplomus vai piešķir atzītus zinātniskos grādus. Piemēro ekonomisko vajadzību pārbaudi. Galven</w:t>
      </w:r>
      <w:r>
        <w:rPr>
          <w:noProof/>
        </w:rPr>
        <w:t xml:space="preserve">ie kritēriji: iedzīvotāju skaits un esošo uzņēmumu blīvums. </w:t>
      </w:r>
    </w:p>
    <w:p w:rsidR="003E022D" w:rsidRDefault="007D19D6">
      <w:pPr>
        <w:rPr>
          <w:noProof/>
        </w:rPr>
      </w:pPr>
      <w:r>
        <w:rPr>
          <w:b/>
          <w:noProof/>
        </w:rPr>
        <w:t>ES</w:t>
      </w:r>
      <w:r>
        <w:rPr>
          <w:noProof/>
        </w:rPr>
        <w:t xml:space="preserve">: procedūra ietver Parlamenta ieteikuma saņemšanu. </w:t>
      </w:r>
    </w:p>
    <w:p w:rsidR="003E022D" w:rsidRDefault="007D19D6">
      <w:pPr>
        <w:rPr>
          <w:noProof/>
        </w:rPr>
      </w:pPr>
      <w:r>
        <w:rPr>
          <w:b/>
          <w:noProof/>
        </w:rPr>
        <w:t>IT</w:t>
      </w:r>
      <w:r>
        <w:rPr>
          <w:noProof/>
        </w:rPr>
        <w:t>: izdot valsts atzītus diplomus var atļaut tikai Itālijas juridiskajām personām, un tos izdod par triju gadu programmas pabeigšanu (CPC 923</w:t>
      </w:r>
      <w:r>
        <w:rPr>
          <w:noProof/>
        </w:rPr>
        <w:t xml:space="preserve">). </w:t>
      </w:r>
    </w:p>
    <w:p w:rsidR="003E022D" w:rsidRDefault="007D19D6">
      <w:pPr>
        <w:rPr>
          <w:b/>
          <w:i/>
          <w:noProof/>
        </w:rPr>
      </w:pPr>
      <w:r>
        <w:rPr>
          <w:b/>
          <w:i/>
          <w:noProof/>
        </w:rPr>
        <w:t xml:space="preserve">Pasākumi </w:t>
      </w:r>
    </w:p>
    <w:p w:rsidR="003E022D" w:rsidRDefault="007D19D6">
      <w:pPr>
        <w:rPr>
          <w:i/>
          <w:noProof/>
        </w:rPr>
      </w:pPr>
      <w:r>
        <w:rPr>
          <w:b/>
          <w:i/>
          <w:noProof/>
        </w:rPr>
        <w:t>ES</w:t>
      </w:r>
      <w:r>
        <w:rPr>
          <w:i/>
          <w:noProof/>
        </w:rPr>
        <w:t xml:space="preserve">: Ley Orgánica 6/2001, de 21 de Diciembre, de Universidades (21. decembra Likums 6/2001 par universitātēm), 4. pants. </w:t>
      </w:r>
    </w:p>
    <w:p w:rsidR="003E022D" w:rsidRDefault="007D19D6">
      <w:pPr>
        <w:rPr>
          <w:i/>
          <w:noProof/>
        </w:rPr>
      </w:pPr>
      <w:r>
        <w:rPr>
          <w:b/>
          <w:i/>
          <w:noProof/>
        </w:rPr>
        <w:t>IT</w:t>
      </w:r>
      <w:r>
        <w:rPr>
          <w:i/>
          <w:noProof/>
        </w:rPr>
        <w:t xml:space="preserve">: Karaļa Dekrēts Nr. 1592/1933 (Likums par vidējo izglītību); </w:t>
      </w:r>
    </w:p>
    <w:p w:rsidR="003E022D" w:rsidRDefault="007D19D6">
      <w:pPr>
        <w:rPr>
          <w:i/>
          <w:noProof/>
        </w:rPr>
      </w:pPr>
      <w:r>
        <w:rPr>
          <w:i/>
          <w:noProof/>
        </w:rPr>
        <w:t xml:space="preserve">Likums 243/1991 (Neregulārs publiskais ieguldījums privātajās universitātēs); </w:t>
      </w:r>
    </w:p>
    <w:p w:rsidR="003E022D" w:rsidRDefault="007D19D6">
      <w:pPr>
        <w:rPr>
          <w:i/>
          <w:noProof/>
        </w:rPr>
      </w:pPr>
      <w:r>
        <w:rPr>
          <w:i/>
          <w:noProof/>
        </w:rPr>
        <w:t xml:space="preserve">CNVSU (Comitato nazionale per la valutazione del sistema universitario) Rezolūcija 20/2003 un </w:t>
      </w:r>
    </w:p>
    <w:p w:rsidR="003E022D" w:rsidRDefault="007D19D6">
      <w:pPr>
        <w:rPr>
          <w:i/>
          <w:noProof/>
        </w:rPr>
      </w:pPr>
      <w:r>
        <w:rPr>
          <w:i/>
          <w:noProof/>
        </w:rPr>
        <w:t xml:space="preserve">Republikas Prezidenta dekrēts (DPR) 25/1998. </w:t>
      </w:r>
    </w:p>
    <w:p w:rsidR="003E022D" w:rsidRDefault="007D19D6">
      <w:pPr>
        <w:rPr>
          <w:noProof/>
          <w:u w:val="single"/>
        </w:rPr>
      </w:pPr>
      <w:r>
        <w:rPr>
          <w:noProof/>
          <w:u w:val="single"/>
        </w:rPr>
        <w:t>Attiecībā uz investīciju liberalizāc</w:t>
      </w:r>
      <w:r>
        <w:rPr>
          <w:noProof/>
          <w:u w:val="single"/>
        </w:rPr>
        <w:t xml:space="preserve">iju – piekļuve tirgum, valsts režīms, augstākā vadība un direktoru padomes un pakalpojumu pārrobežu tirdzniecība – piekļuve tirgum </w:t>
      </w:r>
    </w:p>
    <w:p w:rsidR="003E022D" w:rsidRDefault="007D19D6">
      <w:pPr>
        <w:rPr>
          <w:noProof/>
        </w:rPr>
      </w:pPr>
      <w:r>
        <w:rPr>
          <w:b/>
          <w:noProof/>
        </w:rPr>
        <w:t>EL</w:t>
      </w:r>
      <w:r>
        <w:rPr>
          <w:noProof/>
        </w:rPr>
        <w:t>: privāti finansētu pamatskolu un vidusskolu īpašniekiem, to valdes locekļu vairākumam un privāti finansētas pamatizglītīb</w:t>
      </w:r>
      <w:r>
        <w:rPr>
          <w:noProof/>
        </w:rPr>
        <w:t xml:space="preserve">as un vidējās izglītības skolotājiem jābūt dalībvalsts valstspiederīgajiem (CPC 921, 922). Universitātes līmeņa izglītību nodrošina vienīgi iestādes, kas ir juridiskas personas — pilnībā pašregulējoši publisko tiesību subjekti. Tomēr Likums 3696/2008 ļauj </w:t>
      </w:r>
      <w:r>
        <w:rPr>
          <w:noProof/>
        </w:rPr>
        <w:t xml:space="preserve">Savienības rezidentiem (fiziskām vai juridiskām personām) izveidot privātas terciārās izglītības iestādes, kas izdod diplomus, kuri netiek atzīti par universitātes grādam līdzvērtīgiem (CPC 923). </w:t>
      </w:r>
    </w:p>
    <w:p w:rsidR="003E022D" w:rsidRDefault="007D19D6">
      <w:pPr>
        <w:rPr>
          <w:b/>
          <w:i/>
          <w:noProof/>
        </w:rPr>
      </w:pPr>
      <w:r>
        <w:rPr>
          <w:b/>
          <w:i/>
          <w:noProof/>
        </w:rPr>
        <w:t xml:space="preserve">Pasākumi </w:t>
      </w:r>
    </w:p>
    <w:p w:rsidR="003E022D" w:rsidRDefault="007D19D6">
      <w:pPr>
        <w:rPr>
          <w:i/>
          <w:noProof/>
        </w:rPr>
      </w:pPr>
      <w:r>
        <w:rPr>
          <w:b/>
          <w:i/>
          <w:noProof/>
        </w:rPr>
        <w:t>EL</w:t>
      </w:r>
      <w:r>
        <w:rPr>
          <w:i/>
          <w:noProof/>
        </w:rPr>
        <w:t>: Likumi 682/1977, 284/1968, 2545/1940, prezide</w:t>
      </w:r>
      <w:r>
        <w:rPr>
          <w:i/>
          <w:noProof/>
        </w:rPr>
        <w:t xml:space="preserve">nta dekrēts 211/1994, kurā grozījumi izdarīti ar </w:t>
      </w:r>
    </w:p>
    <w:p w:rsidR="003E022D" w:rsidRDefault="007D19D6">
      <w:pPr>
        <w:rPr>
          <w:i/>
          <w:noProof/>
        </w:rPr>
      </w:pPr>
      <w:r>
        <w:rPr>
          <w:i/>
          <w:noProof/>
        </w:rPr>
        <w:t xml:space="preserve">prezidenta  dekrētu 394/1997, Grieķijas konstitūcija, 16. panta 5. punkts, un Likums 3549/2007. </w:t>
      </w:r>
    </w:p>
    <w:p w:rsidR="003E022D" w:rsidRDefault="007D19D6">
      <w:pPr>
        <w:rPr>
          <w:noProof/>
          <w:u w:val="single"/>
        </w:rPr>
      </w:pPr>
      <w:r>
        <w:rPr>
          <w:noProof/>
          <w:u w:val="single"/>
        </w:rPr>
        <w:t>Attiecībā uz investīciju liberalizāciju – piekļuve tirgum un pakalpojumu pārrobežu tirdzniecība – piekļuve ti</w:t>
      </w:r>
      <w:r>
        <w:rPr>
          <w:noProof/>
          <w:u w:val="single"/>
        </w:rPr>
        <w:t xml:space="preserve">rgum </w:t>
      </w:r>
    </w:p>
    <w:p w:rsidR="003E022D" w:rsidRDefault="007D19D6">
      <w:pPr>
        <w:rPr>
          <w:noProof/>
        </w:rPr>
      </w:pPr>
      <w:r>
        <w:rPr>
          <w:b/>
          <w:noProof/>
        </w:rPr>
        <w:t>AT</w:t>
      </w:r>
      <w:r>
        <w:rPr>
          <w:noProof/>
        </w:rPr>
        <w:t xml:space="preserve">: lai sniegtu privāti finansētus universitātes līmeņa izglītības pakalpojumus lietišķo zinātņu jomā, ir vajadzīga atļauja no kompetentās iestādes, proti, </w:t>
      </w:r>
      <w:r>
        <w:rPr>
          <w:i/>
          <w:iCs/>
          <w:noProof/>
        </w:rPr>
        <w:t>AQ Austria</w:t>
      </w:r>
      <w:r>
        <w:rPr>
          <w:noProof/>
        </w:rPr>
        <w:t xml:space="preserve"> (Austrijas Kvalitātes nodrošināšanas un akreditācijas aģentūra). Investoram, kurš v</w:t>
      </w:r>
      <w:r>
        <w:rPr>
          <w:noProof/>
        </w:rPr>
        <w:t>ēlas nodrošināt lietišķo zinātņu studiju programmu, galvenajam darbības virzienam jābūt šādu programmu nodrošināšanai un jāiesniedz vajadzību novērtējums un tirgus pētījums, kas vajadzīgs, lai ierosinātā studiju programma tiktu apstiprināta. Kompetentā min</w:t>
      </w:r>
      <w:r>
        <w:rPr>
          <w:noProof/>
        </w:rPr>
        <w:t>istrija var noraidīt atļauju, ja tiek konstatēts, ka studiju programma ir nesaderīga ar valsts izglītības interesēm. Attiecībā uz privātu augstskolu pieteikuma iesniedzējam ir vajadzīga kompetentās iestādes (</w:t>
      </w:r>
      <w:r>
        <w:rPr>
          <w:i/>
          <w:noProof/>
        </w:rPr>
        <w:t>AQ Austria</w:t>
      </w:r>
      <w:r>
        <w:rPr>
          <w:noProof/>
        </w:rPr>
        <w:t> — Austrijas Kvalitātes nodrošināšanas</w:t>
      </w:r>
      <w:r>
        <w:rPr>
          <w:noProof/>
        </w:rPr>
        <w:t xml:space="preserve"> un akreditācijas aģentūra) atļauja. Kompetentā ministrija var noraidīt apstiprinājumu, ja akreditācijas iestādes lēmums neatbilst valsts izglītības interesēm (CPC 923).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Lietišķo zinātņu augstskolu studiju likums, BGBl. I Nr. 340/1993 , ar g</w:t>
      </w:r>
      <w:r>
        <w:rPr>
          <w:i/>
          <w:noProof/>
        </w:rPr>
        <w:t xml:space="preserve">rozījumiem, § 2; Privāto </w:t>
      </w:r>
    </w:p>
    <w:p w:rsidR="003E022D" w:rsidRDefault="007D19D6">
      <w:pPr>
        <w:rPr>
          <w:i/>
          <w:noProof/>
        </w:rPr>
      </w:pPr>
      <w:r>
        <w:rPr>
          <w:i/>
          <w:noProof/>
        </w:rPr>
        <w:t xml:space="preserve">universitāšu likums, BGBl. I Nr. 74/2011 , ar grozījumiem, § 2; un </w:t>
      </w:r>
    </w:p>
    <w:p w:rsidR="003E022D" w:rsidRDefault="007D19D6">
      <w:pPr>
        <w:rPr>
          <w:i/>
          <w:noProof/>
        </w:rPr>
      </w:pPr>
      <w:r>
        <w:rPr>
          <w:i/>
          <w:noProof/>
        </w:rPr>
        <w:t xml:space="preserve">Likums par kvalitātes nodrošināšanu augstākajā izglītībā, BGBl. Nr. 74/2011 , ar grozījumiem, § 25 (3). </w:t>
      </w:r>
    </w:p>
    <w:p w:rsidR="003E022D" w:rsidRDefault="007D19D6">
      <w:pPr>
        <w:rPr>
          <w:noProof/>
          <w:u w:val="single"/>
        </w:rPr>
      </w:pPr>
      <w:r>
        <w:rPr>
          <w:noProof/>
          <w:u w:val="single"/>
        </w:rPr>
        <w:t>Attiecībā uz investīciju liberalizāciju – piekļuve tirgum</w:t>
      </w:r>
      <w:r>
        <w:rPr>
          <w:noProof/>
          <w:u w:val="single"/>
        </w:rPr>
        <w:t xml:space="preserve">, valsts režīms, lielākās labvēlības režīms un pakalpojumu pārrobežu tirdzniecība – piekļuve tirgum, valsts režīms </w:t>
      </w:r>
    </w:p>
    <w:p w:rsidR="003E022D" w:rsidRDefault="007D19D6">
      <w:pPr>
        <w:rPr>
          <w:noProof/>
        </w:rPr>
      </w:pPr>
      <w:r>
        <w:rPr>
          <w:b/>
          <w:noProof/>
        </w:rPr>
        <w:t>FR</w:t>
      </w:r>
      <w:r>
        <w:rPr>
          <w:noProof/>
        </w:rPr>
        <w:t>: lai mācītu privāti finansētā izglītības iestādē, ir vajadzīga dalībvalsts valstspiederība (CPC 921, 922, 923). Tomēr Apvienotās Karalist</w:t>
      </w:r>
      <w:r>
        <w:rPr>
          <w:noProof/>
        </w:rPr>
        <w:t>es valstspiederīgie no attiecīgajām kompetentajām iestādēm var saņemt atļauju mācīt pamatizglītības, vidējās izglītības un augstākās izglītības iestādēs. Apvienotās Karalistes valstspiederīgie no attiecīgajām kompetentajām iestādēm var arī saņemt atļauju i</w:t>
      </w:r>
      <w:r>
        <w:rPr>
          <w:noProof/>
        </w:rPr>
        <w:t xml:space="preserve">zveidot un vadīt vai pārvaldīt pamatizglītības, vidējās izglītības un augstākās izglītības iestādes. Šādu atļauju piešķir diskrecionāri. </w:t>
      </w:r>
    </w:p>
    <w:p w:rsidR="003E022D" w:rsidRDefault="007D19D6">
      <w:pPr>
        <w:rPr>
          <w:b/>
          <w:i/>
          <w:noProof/>
        </w:rPr>
      </w:pPr>
      <w:r>
        <w:rPr>
          <w:b/>
          <w:i/>
          <w:noProof/>
        </w:rPr>
        <w:t xml:space="preserve">Pasākumi </w:t>
      </w:r>
    </w:p>
    <w:p w:rsidR="003E022D" w:rsidRDefault="007D19D6">
      <w:pPr>
        <w:rPr>
          <w:i/>
          <w:noProof/>
        </w:rPr>
      </w:pPr>
      <w:r>
        <w:rPr>
          <w:b/>
          <w:i/>
          <w:noProof/>
        </w:rPr>
        <w:t>FR</w:t>
      </w:r>
      <w:r>
        <w:rPr>
          <w:i/>
          <w:noProof/>
        </w:rPr>
        <w:t xml:space="preserve">: Code de l'éducation. </w:t>
      </w:r>
    </w:p>
    <w:p w:rsidR="003E022D" w:rsidRDefault="007D19D6">
      <w:pPr>
        <w:rPr>
          <w:noProof/>
          <w:u w:val="single"/>
        </w:rPr>
      </w:pPr>
      <w:r>
        <w:rPr>
          <w:noProof/>
          <w:u w:val="single"/>
        </w:rPr>
        <w:t xml:space="preserve">Attiecībā uz investīcijām – piekļuve tirgum, valsts režīms un pakalpojumu pārrobežu tirdzniecība – piekļuve tirgum, valsts režīms </w:t>
      </w:r>
    </w:p>
    <w:p w:rsidR="003E022D" w:rsidRDefault="007D19D6">
      <w:pPr>
        <w:rPr>
          <w:noProof/>
        </w:rPr>
      </w:pPr>
      <w:r>
        <w:rPr>
          <w:b/>
          <w:noProof/>
        </w:rPr>
        <w:t>MT</w:t>
      </w:r>
      <w:r>
        <w:rPr>
          <w:noProof/>
        </w:rPr>
        <w:t>: pakalpojumu sniedzējiem, kuri vēlas sniegt privāti finansētas augstākās vai pieaugušo izglītības pakalpojumus, jāsaņem li</w:t>
      </w:r>
      <w:r>
        <w:rPr>
          <w:noProof/>
        </w:rPr>
        <w:t xml:space="preserve">cence no Izglītības un nodarbinātības ministrijas. Lēmums par to, vai izsniegt licenci, var būt diskrecionārs (CPC 923, 924). </w:t>
      </w:r>
    </w:p>
    <w:p w:rsidR="003E022D" w:rsidRDefault="007D19D6">
      <w:pPr>
        <w:rPr>
          <w:b/>
          <w:i/>
          <w:noProof/>
        </w:rPr>
      </w:pPr>
      <w:r>
        <w:rPr>
          <w:b/>
          <w:i/>
          <w:noProof/>
        </w:rPr>
        <w:t xml:space="preserve">Pasākumi </w:t>
      </w:r>
    </w:p>
    <w:p w:rsidR="003E022D" w:rsidRDefault="007D19D6">
      <w:pPr>
        <w:rPr>
          <w:i/>
          <w:noProof/>
        </w:rPr>
      </w:pPr>
      <w:r>
        <w:rPr>
          <w:b/>
          <w:i/>
          <w:noProof/>
        </w:rPr>
        <w:t>MT</w:t>
      </w:r>
      <w:r>
        <w:rPr>
          <w:i/>
          <w:noProof/>
        </w:rPr>
        <w:t xml:space="preserve">: 2012. gada Juridiskais paziņojums 296. </w:t>
      </w:r>
    </w:p>
    <w:p w:rsidR="003E022D" w:rsidRDefault="007D19D6">
      <w:pPr>
        <w:rPr>
          <w:b/>
          <w:noProof/>
        </w:rPr>
      </w:pPr>
      <w:r>
        <w:rPr>
          <w:noProof/>
        </w:rPr>
        <w:br w:type="page"/>
      </w:r>
      <w:bookmarkStart w:id="1092" w:name="_Toc452570632"/>
      <w:bookmarkStart w:id="1093" w:name="_Toc476832037"/>
      <w:bookmarkStart w:id="1094" w:name="_Toc500420031"/>
      <w:bookmarkStart w:id="1095" w:name="_Toc5371323"/>
      <w:bookmarkStart w:id="1096" w:name="_Toc53746668"/>
      <w:bookmarkStart w:id="1097" w:name="_Toc57917377"/>
      <w:r>
        <w:rPr>
          <w:b/>
          <w:noProof/>
        </w:rPr>
        <w:t xml:space="preserve">11. atruna. Vidiskie </w:t>
      </w:r>
      <w:bookmarkEnd w:id="1092"/>
      <w:bookmarkEnd w:id="1093"/>
      <w:bookmarkEnd w:id="1094"/>
      <w:r>
        <w:rPr>
          <w:b/>
          <w:noProof/>
        </w:rPr>
        <w:t>pakalpojumi</w:t>
      </w:r>
      <w:bookmarkEnd w:id="1095"/>
      <w:bookmarkEnd w:id="1096"/>
      <w:bookmarkEnd w:id="1097"/>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Vidiskie pakalpojum</w:t>
            </w:r>
            <w:r>
              <w:rPr>
                <w:noProof/>
              </w:rPr>
              <w:t>i – izlietotu bateriju un akumulatoru, nolietotu automobiļu un elektrisko un elektronisko iekārtu pārstrāde un reciklēšana; apkārtējā gaisa un klimata aizsardzība, izplūdes gāzu attīrīšanas pakalpojumi</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Daļa no CPC 9402, 9404</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Pakalpojumu pārrobežu tirdzniecība</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noProof/>
        </w:rPr>
      </w:pPr>
      <w:r>
        <w:rPr>
          <w:b/>
          <w:noProof/>
        </w:rPr>
        <w:t>SE</w:t>
      </w:r>
      <w:r>
        <w:rPr>
          <w:noProof/>
        </w:rPr>
        <w:t>: tikai subjekti, kuri veic uzņēmējdarbību Zviedrijā vai kuru galvenā mītne ir Zvi</w:t>
      </w:r>
      <w:r>
        <w:rPr>
          <w:noProof/>
        </w:rPr>
        <w:t xml:space="preserve">edrijā, var tikt akreditēti izplūdes gāzu kontroles pakalpojumu sniegšanai (CPC 9404). </w:t>
      </w:r>
    </w:p>
    <w:p w:rsidR="003E022D" w:rsidRDefault="007D19D6">
      <w:pPr>
        <w:rPr>
          <w:noProof/>
        </w:rPr>
      </w:pPr>
      <w:r>
        <w:rPr>
          <w:b/>
          <w:noProof/>
        </w:rPr>
        <w:t>SK</w:t>
      </w:r>
      <w:r>
        <w:rPr>
          <w:noProof/>
        </w:rPr>
        <w:t>: lai sniegtu izlietotu bateriju un akumulatoru, atkritumeļļas, nolietotu automobiļu un elektrisko un elektronisko iekārtu pārstrādes un reciklēšanas pakalpojumus, ir</w:t>
      </w:r>
      <w:r>
        <w:rPr>
          <w:noProof/>
        </w:rPr>
        <w:t xml:space="preserve"> vajadzīga inkorporācija EEZ (jābūt rezidentam) (daļa no CPC 9402). </w:t>
      </w:r>
    </w:p>
    <w:p w:rsidR="003E022D" w:rsidRDefault="007D19D6">
      <w:pPr>
        <w:rPr>
          <w:b/>
          <w:i/>
          <w:noProof/>
        </w:rPr>
      </w:pPr>
      <w:r>
        <w:rPr>
          <w:b/>
          <w:i/>
          <w:noProof/>
        </w:rPr>
        <w:t xml:space="preserve">Pasākumi </w:t>
      </w:r>
    </w:p>
    <w:p w:rsidR="003E022D" w:rsidRDefault="007D19D6">
      <w:pPr>
        <w:rPr>
          <w:i/>
          <w:noProof/>
        </w:rPr>
      </w:pPr>
      <w:r>
        <w:rPr>
          <w:b/>
          <w:i/>
          <w:noProof/>
        </w:rPr>
        <w:t>SE</w:t>
      </w:r>
      <w:r>
        <w:rPr>
          <w:i/>
          <w:noProof/>
        </w:rPr>
        <w:t xml:space="preserve">: Transportlīdzekļu likums (2002:574). </w:t>
      </w:r>
    </w:p>
    <w:p w:rsidR="003E022D" w:rsidRDefault="007D19D6">
      <w:pPr>
        <w:rPr>
          <w:i/>
          <w:noProof/>
        </w:rPr>
      </w:pPr>
      <w:r>
        <w:rPr>
          <w:b/>
          <w:i/>
          <w:noProof/>
        </w:rPr>
        <w:t>SK</w:t>
      </w:r>
      <w:r>
        <w:rPr>
          <w:i/>
          <w:noProof/>
        </w:rPr>
        <w:t xml:space="preserve">: Likums 79/2015 par atkritumiem. </w:t>
      </w:r>
    </w:p>
    <w:p w:rsidR="003E022D" w:rsidRDefault="007D19D6">
      <w:pPr>
        <w:rPr>
          <w:b/>
          <w:noProof/>
        </w:rPr>
      </w:pPr>
      <w:bookmarkStart w:id="1098" w:name="_Toc452570633"/>
      <w:bookmarkStart w:id="1099" w:name="_Toc476832038"/>
      <w:bookmarkStart w:id="1100" w:name="_Toc500420032"/>
      <w:r>
        <w:rPr>
          <w:noProof/>
        </w:rPr>
        <w:br w:type="page"/>
      </w:r>
    </w:p>
    <w:p w:rsidR="003E022D" w:rsidRDefault="007D19D6">
      <w:pPr>
        <w:rPr>
          <w:b/>
          <w:noProof/>
        </w:rPr>
      </w:pPr>
      <w:bookmarkStart w:id="1101" w:name="_Toc53746669"/>
      <w:bookmarkStart w:id="1102" w:name="_Toc57917378"/>
      <w:bookmarkStart w:id="1103" w:name="_Toc5371324"/>
      <w:r>
        <w:rPr>
          <w:b/>
          <w:noProof/>
        </w:rPr>
        <w:t>12. atruna. Finanšu pakalpojumi</w:t>
      </w:r>
      <w:bookmarkEnd w:id="1101"/>
      <w:bookmarkEnd w:id="1102"/>
      <w:r>
        <w:rPr>
          <w:b/>
          <w:noProof/>
        </w:rPr>
        <w:t xml:space="preserve"> </w:t>
      </w:r>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 xml:space="preserve">Finanšu pakalpojumi – apdrošināšana un </w:t>
            </w:r>
            <w:r>
              <w:rPr>
                <w:noProof/>
              </w:rPr>
              <w:t>bankas</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b/>
                <w:bCs/>
                <w:noProof/>
              </w:rPr>
            </w:pPr>
            <w:r>
              <w:rPr>
                <w:b/>
                <w:bCs/>
                <w:noProof/>
              </w:rPr>
              <w:t>Neattiecas</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padomes </w:t>
            </w:r>
            <w:r>
              <w:rPr>
                <w:noProof/>
              </w:rPr>
              <w:b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pakalpojumu pārrobežu tirdzniecība </w:t>
            </w:r>
          </w:p>
        </w:tc>
      </w:tr>
      <w:tr w:rsidR="003E022D">
        <w:tc>
          <w:tcPr>
            <w:tcW w:w="2660" w:type="dxa"/>
          </w:tcPr>
          <w:p w:rsidR="003E022D" w:rsidRDefault="007D19D6">
            <w:pPr>
              <w:spacing w:afterAutospacing="0"/>
              <w:rPr>
                <w:b/>
                <w:bCs/>
                <w:noProof/>
              </w:rPr>
            </w:pPr>
            <w:r>
              <w:rPr>
                <w:b/>
                <w:bCs/>
                <w:noProof/>
              </w:rPr>
              <w:t>Vald</w:t>
            </w:r>
            <w:r>
              <w:rPr>
                <w:b/>
                <w:bCs/>
                <w:noProof/>
              </w:rPr>
              <w:t>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b/>
          <w:i/>
          <w:noProof/>
        </w:rPr>
      </w:pPr>
      <w:r>
        <w:rPr>
          <w:b/>
          <w:i/>
          <w:noProof/>
        </w:rPr>
        <w:t>a)</w:t>
      </w:r>
      <w:r>
        <w:rPr>
          <w:noProof/>
        </w:rPr>
        <w:tab/>
      </w:r>
      <w:bookmarkStart w:id="1104" w:name="_Toc452570634"/>
      <w:r>
        <w:rPr>
          <w:b/>
          <w:i/>
          <w:noProof/>
        </w:rPr>
        <w:t>Apdrošināšana</w:t>
      </w:r>
      <w:bookmarkEnd w:id="1104"/>
      <w:r>
        <w:rPr>
          <w:b/>
          <w:i/>
          <w:noProof/>
        </w:rPr>
        <w:t xml:space="preserve"> un ar apdrošināšanu saistīti pakalpojumi</w:t>
      </w:r>
    </w:p>
    <w:p w:rsidR="003E022D" w:rsidRDefault="007D19D6">
      <w:pPr>
        <w:rPr>
          <w:noProof/>
          <w:u w:val="single"/>
        </w:rPr>
      </w:pPr>
      <w:r>
        <w:rPr>
          <w:noProof/>
          <w:u w:val="single"/>
        </w:rPr>
        <w:t>Attiecībā uz investīciju liberalizāciju – piekļuve tirgum, valsts režīms un pakalpojumu pārrobežu tirdzniecība –</w:t>
      </w:r>
      <w:r>
        <w:rPr>
          <w:noProof/>
          <w:u w:val="single"/>
        </w:rPr>
        <w:t xml:space="preserve"> piekļuve tirgum, valsts režīms</w:t>
      </w:r>
    </w:p>
    <w:p w:rsidR="003E022D" w:rsidRDefault="007D19D6">
      <w:pPr>
        <w:rPr>
          <w:noProof/>
        </w:rPr>
      </w:pPr>
      <w:r>
        <w:rPr>
          <w:b/>
          <w:noProof/>
        </w:rPr>
        <w:t>IT</w:t>
      </w:r>
      <w:r>
        <w:rPr>
          <w:noProof/>
        </w:rPr>
        <w:t xml:space="preserve">: aktuāri var būt tikai fiziskas personas. Fiziskām personām atļauts apvienoties profesionālā apvienībā (bez reģistrācijas). Lai varētu praktizēt aktuāra profesijā, nepieciešama Eiropas Savienības valstspiederība, izņemot </w:t>
      </w:r>
      <w:r>
        <w:rPr>
          <w:noProof/>
        </w:rPr>
        <w:t xml:space="preserve">ārvalstu speciālistus, kuriem var atļaut praktizēt, pamatojoties uz savstarpību. </w:t>
      </w:r>
    </w:p>
    <w:p w:rsidR="003E022D" w:rsidRDefault="007D19D6">
      <w:pPr>
        <w:rPr>
          <w:b/>
          <w:i/>
          <w:noProof/>
        </w:rPr>
      </w:pPr>
      <w:r>
        <w:rPr>
          <w:b/>
          <w:i/>
          <w:noProof/>
        </w:rPr>
        <w:t>Pasākumi</w:t>
      </w:r>
    </w:p>
    <w:p w:rsidR="003E022D" w:rsidRDefault="007D19D6">
      <w:pPr>
        <w:rPr>
          <w:i/>
          <w:noProof/>
        </w:rPr>
      </w:pPr>
      <w:r>
        <w:rPr>
          <w:b/>
          <w:i/>
          <w:noProof/>
        </w:rPr>
        <w:t>IT</w:t>
      </w:r>
      <w:r>
        <w:rPr>
          <w:i/>
          <w:noProof/>
        </w:rPr>
        <w:t xml:space="preserve">: Privātās apdrošināšanas kodeksa 29. pants (2005. gada 7. septembra Likumdošanas dekrēts Nr. 209) un Likums 194/1942, 4. pants, Likums 4/1999 par reģistru. </w:t>
      </w:r>
    </w:p>
    <w:p w:rsidR="003E022D" w:rsidRDefault="007D19D6">
      <w:pPr>
        <w:rPr>
          <w:noProof/>
          <w:u w:val="single"/>
        </w:rPr>
      </w:pPr>
      <w:r>
        <w:rPr>
          <w:noProof/>
          <w:u w:val="single"/>
        </w:rPr>
        <w:t>Attie</w:t>
      </w:r>
      <w:r>
        <w:rPr>
          <w:noProof/>
          <w:u w:val="single"/>
        </w:rPr>
        <w:t>cībā uz investīciju liberalizāciju – piekļuve tirgum, valsts režīms un pakalpojumu pārrobežu tirdzniecība – klātbūtne uz vietas</w:t>
      </w:r>
    </w:p>
    <w:p w:rsidR="003E022D" w:rsidRDefault="007D19D6">
      <w:pPr>
        <w:rPr>
          <w:noProof/>
        </w:rPr>
      </w:pPr>
      <w:r>
        <w:rPr>
          <w:b/>
          <w:noProof/>
        </w:rPr>
        <w:t>BG:</w:t>
      </w:r>
      <w:r>
        <w:rPr>
          <w:noProof/>
        </w:rPr>
        <w:t xml:space="preserve"> pensiju apdrošināšanu veic tādas sabiedrības ar ierobežotu atbildību, kas licencētas saskaņā ar Sociālās apdrošināšanas kode</w:t>
      </w:r>
      <w:r>
        <w:rPr>
          <w:noProof/>
        </w:rPr>
        <w:t xml:space="preserve">ksu un reģistrētas atbilstoši Komerclikumam vai citas Eiropas Savienības dalībvalsts tiesību aktiem (filiāles nav atļautas). </w:t>
      </w:r>
    </w:p>
    <w:p w:rsidR="003E022D" w:rsidRDefault="007D19D6">
      <w:pPr>
        <w:rPr>
          <w:noProof/>
        </w:rPr>
      </w:pPr>
      <w:r>
        <w:rPr>
          <w:b/>
          <w:noProof/>
        </w:rPr>
        <w:t>BG, ES, PL</w:t>
      </w:r>
      <w:r>
        <w:rPr>
          <w:noProof/>
        </w:rPr>
        <w:t xml:space="preserve"> un </w:t>
      </w:r>
      <w:r>
        <w:rPr>
          <w:b/>
          <w:noProof/>
        </w:rPr>
        <w:t>PT</w:t>
      </w:r>
      <w:r>
        <w:rPr>
          <w:noProof/>
        </w:rPr>
        <w:t>: apdrošināšanas starpnieki nedrīkst atvērt tiešās filiāles, tās drīkst atvērt tikai sabiedrības, kas izveidotas s</w:t>
      </w:r>
      <w:r>
        <w:rPr>
          <w:noProof/>
        </w:rPr>
        <w:t xml:space="preserve">askaņā ar kādas dalībvalsts tiesību aktiem (jābūt inkorporētām vietējā mērogā). </w:t>
      </w:r>
      <w:r>
        <w:rPr>
          <w:b/>
          <w:bCs/>
          <w:noProof/>
        </w:rPr>
        <w:t>PL</w:t>
      </w:r>
      <w:r>
        <w:rPr>
          <w:noProof/>
        </w:rPr>
        <w:t>: apdrošināšanas starpniekiem ir noteikta prasība par dzīvesvietu.</w:t>
      </w:r>
    </w:p>
    <w:p w:rsidR="003E022D" w:rsidRDefault="007D19D6">
      <w:pPr>
        <w:rPr>
          <w:b/>
          <w:i/>
          <w:noProof/>
        </w:rPr>
      </w:pPr>
      <w:r>
        <w:rPr>
          <w:b/>
          <w:i/>
          <w:noProof/>
        </w:rPr>
        <w:t>Pasākumi</w:t>
      </w:r>
    </w:p>
    <w:p w:rsidR="003E022D" w:rsidRDefault="007D19D6">
      <w:pPr>
        <w:rPr>
          <w:i/>
          <w:noProof/>
        </w:rPr>
      </w:pPr>
      <w:r>
        <w:rPr>
          <w:b/>
          <w:i/>
          <w:noProof/>
        </w:rPr>
        <w:t>BG</w:t>
      </w:r>
      <w:r>
        <w:rPr>
          <w:i/>
          <w:noProof/>
        </w:rPr>
        <w:t>: Apdrošināšanas kodeksa 12., 56.–63., 65., 66. pants un 80. panta 4. punkts, Sociālās apdrošinā</w:t>
      </w:r>
      <w:r>
        <w:rPr>
          <w:i/>
          <w:noProof/>
        </w:rPr>
        <w:t>šanas kodeksa 120.a-162. pants, 209.–253. pants un 260.–310. pants.</w:t>
      </w:r>
    </w:p>
    <w:p w:rsidR="003E022D" w:rsidRDefault="007D19D6">
      <w:pPr>
        <w:rPr>
          <w:i/>
          <w:noProof/>
        </w:rPr>
      </w:pPr>
      <w:r>
        <w:rPr>
          <w:b/>
          <w:i/>
          <w:noProof/>
        </w:rPr>
        <w:t>ES</w:t>
      </w:r>
      <w:r>
        <w:rPr>
          <w:i/>
          <w:noProof/>
        </w:rPr>
        <w:t>: Reglamento de Ordenación, Supervisión y Solvencia de Entidades Aseguradoras y Reaseguradoras (RD 1060/2015, de 20 de noviembre de 2015), 36. pants.</w:t>
      </w:r>
    </w:p>
    <w:p w:rsidR="003E022D" w:rsidRDefault="007D19D6">
      <w:pPr>
        <w:rPr>
          <w:i/>
          <w:noProof/>
        </w:rPr>
      </w:pPr>
      <w:r>
        <w:rPr>
          <w:b/>
          <w:i/>
          <w:noProof/>
        </w:rPr>
        <w:t>PL</w:t>
      </w:r>
      <w:r>
        <w:rPr>
          <w:i/>
          <w:noProof/>
        </w:rPr>
        <w:t xml:space="preserve">: 2015. gada 11. septembra Likums </w:t>
      </w:r>
      <w:r>
        <w:rPr>
          <w:i/>
          <w:noProof/>
        </w:rPr>
        <w:t>par apdrošināšanas un pārapdrošināšanas darbību (2020. ada Oficiālo publikāciju izdevums, 895 un 1180. poz.,); 2017. gada 15. decembra Likums par apdrošināšanas izplatīšanu (2019. gada Oficiālo publikāciju izdevums, 1881. poz.,); 1997. gada 28. augusta Lik</w:t>
      </w:r>
      <w:r>
        <w:rPr>
          <w:i/>
          <w:noProof/>
        </w:rPr>
        <w:t>ums par pensiju fondu organizāciju un darbību (2020. gada Oficiālo publikāciju izdevums, 105. pozīcija); 2018. gada 6. marta Likums par noteikumiem attiecībā uz ārvalstu uzņēmēju un citu ārvalstu personu saimniecisko darbību Polijas Republikas teritorijā.</w:t>
      </w:r>
    </w:p>
    <w:p w:rsidR="003E022D" w:rsidRDefault="007D19D6">
      <w:pPr>
        <w:rPr>
          <w:i/>
          <w:noProof/>
        </w:rPr>
      </w:pPr>
      <w:r>
        <w:rPr>
          <w:b/>
          <w:i/>
          <w:noProof/>
        </w:rPr>
        <w:t>PT</w:t>
      </w:r>
      <w:r>
        <w:rPr>
          <w:i/>
          <w:noProof/>
        </w:rPr>
        <w:t>: Dekrētlikuma 94-B/98 7. pants, kas atcelts ar Dekrētlikumu 2/2009, 5. janvāris,</w:t>
      </w:r>
      <w:r>
        <w:rPr>
          <w:noProof/>
        </w:rPr>
        <w:t xml:space="preserve"> un</w:t>
      </w:r>
      <w:r>
        <w:rPr>
          <w:i/>
          <w:noProof/>
        </w:rPr>
        <w:t xml:space="preserve"> Dekrētlikuma 94-B/98 I nodaļas VI iedaļa, 34. panta 6. un 7. punkts, un Dekrētlikuma 144/2006 7. pants, kas atcelts ar Likumu 7/2019, 16. janvāris. 8. pants tiesiskajā r</w:t>
      </w:r>
      <w:r>
        <w:rPr>
          <w:i/>
          <w:noProof/>
        </w:rPr>
        <w:t>egulējumā par apdrošināšanas un pārapdrošināšanas izplatīšanu, kas apstiprināts ar 2019. gada 16. janvāra Likumu 7/2019.</w:t>
      </w:r>
    </w:p>
    <w:p w:rsidR="003E022D" w:rsidRDefault="007D19D6">
      <w:pPr>
        <w:rPr>
          <w:noProof/>
          <w:u w:val="single"/>
        </w:rPr>
      </w:pPr>
      <w:r>
        <w:rPr>
          <w:noProof/>
          <w:u w:val="single"/>
        </w:rPr>
        <w:t>Attiecībā uz investīciju liberalizāciju – valsts režīms</w:t>
      </w:r>
    </w:p>
    <w:p w:rsidR="003E022D" w:rsidRDefault="007D19D6">
      <w:pPr>
        <w:rPr>
          <w:noProof/>
        </w:rPr>
      </w:pPr>
      <w:r>
        <w:rPr>
          <w:b/>
          <w:noProof/>
        </w:rPr>
        <w:t>AT</w:t>
      </w:r>
      <w:r>
        <w:rPr>
          <w:noProof/>
        </w:rPr>
        <w:t>: filiāles biroja vadībā jābūt vismaz divām fiziskām personām, kuru dzīvesvie</w:t>
      </w:r>
      <w:r>
        <w:rPr>
          <w:noProof/>
        </w:rPr>
        <w:t>ta ir Austrijā.</w:t>
      </w:r>
    </w:p>
    <w:p w:rsidR="003E022D" w:rsidRDefault="007D19D6">
      <w:pPr>
        <w:rPr>
          <w:noProof/>
        </w:rPr>
      </w:pPr>
      <w:r>
        <w:rPr>
          <w:b/>
          <w:noProof/>
        </w:rPr>
        <w:t>BG:</w:t>
      </w:r>
      <w:r>
        <w:rPr>
          <w:noProof/>
        </w:rPr>
        <w:t xml:space="preserve"> (pār)apdrošināšanas uzņēmumu vadības un uzraudzības struktūras locekļiem un ikvienai personai, kas ir pilnvarota pārvaldīt vai pārstāvēt (pār)apdrošināšanas uzņēmumu, jābūt rezidentiem.</w:t>
      </w:r>
    </w:p>
    <w:p w:rsidR="003E022D" w:rsidRDefault="007D19D6">
      <w:pPr>
        <w:rPr>
          <w:noProof/>
        </w:rPr>
      </w:pPr>
      <w:r>
        <w:rPr>
          <w:noProof/>
        </w:rPr>
        <w:t>Ir nepieciešams, lai pensijas apdrošināšanas sabie</w:t>
      </w:r>
      <w:r>
        <w:rPr>
          <w:noProof/>
        </w:rPr>
        <w:t>drību valdes priekšsēdētāja, direktoru padomes priekšsēdētāja, izpilddirektora un vadības pārstāvja pastāvīgās dzīvesvietas adrese būtu Bulgārijā vai lai viņiem būtu atļauja ilgstoši uzturēties Bulgārijā.</w:t>
      </w:r>
    </w:p>
    <w:p w:rsidR="003E022D" w:rsidRDefault="007D19D6">
      <w:pPr>
        <w:rPr>
          <w:b/>
          <w:i/>
          <w:noProof/>
        </w:rPr>
      </w:pPr>
      <w:r>
        <w:rPr>
          <w:b/>
          <w:i/>
          <w:noProof/>
        </w:rPr>
        <w:t xml:space="preserve">Pasākumi </w:t>
      </w:r>
    </w:p>
    <w:p w:rsidR="003E022D" w:rsidRDefault="007D19D6">
      <w:pPr>
        <w:rPr>
          <w:i/>
          <w:noProof/>
        </w:rPr>
      </w:pPr>
      <w:r>
        <w:rPr>
          <w:b/>
          <w:i/>
          <w:noProof/>
        </w:rPr>
        <w:t xml:space="preserve">AT: </w:t>
      </w:r>
      <w:r>
        <w:rPr>
          <w:i/>
          <w:noProof/>
        </w:rPr>
        <w:t>2016. gada Apdrošināšanas uzraudzības</w:t>
      </w:r>
      <w:r>
        <w:rPr>
          <w:i/>
          <w:noProof/>
        </w:rPr>
        <w:t xml:space="preserve"> likums, 14. panta 1. punkta 3. apakšpunkts, Federal Law Gazette I No. 34/2015 (Versicherungsaufsichtsgesetz 2016, § 14 Abs. 1 Z 3, BGBl. I Nr. 34/2015). </w:t>
      </w:r>
    </w:p>
    <w:p w:rsidR="003E022D" w:rsidRDefault="007D19D6">
      <w:pPr>
        <w:rPr>
          <w:i/>
          <w:noProof/>
        </w:rPr>
      </w:pPr>
      <w:r>
        <w:rPr>
          <w:b/>
          <w:i/>
          <w:noProof/>
        </w:rPr>
        <w:t xml:space="preserve">BG: </w:t>
      </w:r>
      <w:r>
        <w:rPr>
          <w:i/>
          <w:noProof/>
        </w:rPr>
        <w:t>Apdrošināšanas kodekss, 12., 56.–63., 65., 66. pants un 80. panta 4. punkts.</w:t>
      </w:r>
    </w:p>
    <w:p w:rsidR="003E022D" w:rsidRDefault="007D19D6">
      <w:pPr>
        <w:rPr>
          <w:i/>
          <w:noProof/>
        </w:rPr>
      </w:pPr>
      <w:r>
        <w:rPr>
          <w:i/>
          <w:noProof/>
        </w:rPr>
        <w:t>Sociālās apdrošināša</w:t>
      </w:r>
      <w:r>
        <w:rPr>
          <w:i/>
          <w:noProof/>
        </w:rPr>
        <w:t>nas kodeksa 120.a-162. pants, 209.-253. pants, 260.-310. pants.</w:t>
      </w:r>
    </w:p>
    <w:p w:rsidR="003E022D" w:rsidRDefault="007D19D6">
      <w:pPr>
        <w:rPr>
          <w:noProof/>
          <w:u w:val="single"/>
        </w:rPr>
      </w:pPr>
      <w:r>
        <w:rPr>
          <w:noProof/>
          <w:u w:val="single"/>
        </w:rPr>
        <w:t>Attiecībā uz investīciju liberalizāciju – piekļuve tirgum, valsts režīms</w:t>
      </w:r>
    </w:p>
    <w:p w:rsidR="003E022D" w:rsidRDefault="007D19D6">
      <w:pPr>
        <w:rPr>
          <w:noProof/>
        </w:rPr>
      </w:pPr>
      <w:r>
        <w:rPr>
          <w:b/>
          <w:noProof/>
        </w:rPr>
        <w:t>BG:</w:t>
      </w:r>
      <w:r>
        <w:rPr>
          <w:noProof/>
        </w:rPr>
        <w:t xml:space="preserve"> pirms ārvalstu apdrošinātājs vai pārapdrošinātājs izveido filiāli vai aģentūru apdrošināšanas sniegšanai, tam jābūt</w:t>
      </w:r>
      <w:r>
        <w:rPr>
          <w:noProof/>
        </w:rPr>
        <w:t xml:space="preserve"> saņēmušam atļauju darboties savā izcelsmes valstī tajās pašās apdrošināšanas kategorijās, kurās tas vēlas sniegt pakalpojumus Bulgārijā. </w:t>
      </w:r>
    </w:p>
    <w:p w:rsidR="003E022D" w:rsidRDefault="007D19D6">
      <w:pPr>
        <w:rPr>
          <w:noProof/>
        </w:rPr>
      </w:pPr>
      <w:r>
        <w:rPr>
          <w:noProof/>
        </w:rPr>
        <w:t>Ienākumus, ko gūst papildu brīvprātīgie pensiju fondi, kā arī tamlīdzīgus ienākumus, kas tieši saistīti ar brīvprātīg</w:t>
      </w:r>
      <w:r>
        <w:rPr>
          <w:noProof/>
        </w:rPr>
        <w:t>o pensiju apdrošināšanu, kuru veic personas, kas reģistrētas atbilstoši citas dalībvalsts tiesību aktiem un kas saskaņā ar attiecīgajiem tiesību aktiem drīkst veikt brīvprātīgo pensiju apdrošināšanu, neapliek ar nodokļiem saskaņā ar Uzņēmumu ienākuma nodok</w:t>
      </w:r>
      <w:r>
        <w:rPr>
          <w:noProof/>
        </w:rPr>
        <w:t xml:space="preserve">ļa likumā paredzēto procedūru. </w:t>
      </w:r>
    </w:p>
    <w:p w:rsidR="003E022D" w:rsidRDefault="007D19D6">
      <w:pPr>
        <w:rPr>
          <w:noProof/>
        </w:rPr>
      </w:pPr>
      <w:r>
        <w:rPr>
          <w:b/>
          <w:noProof/>
        </w:rPr>
        <w:t>ES</w:t>
      </w:r>
      <w:r>
        <w:rPr>
          <w:noProof/>
        </w:rPr>
        <w:t xml:space="preserve">: pirms ārvalstu apdrošinātājs izveido filiāli vai aģentūru Spānijā konkrētu kategoriju apdrošināšanas sniegšanai, tam vismaz piecus gadus jābūt saņēmušam atļauju darboties savā izcelsmes valstī tajās pašās apdrošināšanas </w:t>
      </w:r>
      <w:r>
        <w:rPr>
          <w:noProof/>
        </w:rPr>
        <w:t>kategorijās.</w:t>
      </w:r>
    </w:p>
    <w:p w:rsidR="003E022D" w:rsidRDefault="007D19D6">
      <w:pPr>
        <w:rPr>
          <w:noProof/>
        </w:rPr>
      </w:pPr>
      <w:r>
        <w:rPr>
          <w:b/>
          <w:noProof/>
        </w:rPr>
        <w:t>PT</w:t>
      </w:r>
      <w:r>
        <w:rPr>
          <w:noProof/>
        </w:rPr>
        <w:t>: lai izveidotu filiāli vai aģentūru, ārvalstu apdrošināšanas sabiedrībām vismaz piecus gadus jābūt saņēmušām atļauju veikt darījumdarbību apdrošināšanas vai pārapdrošināšanas jomā saskaņā ar attiecīgajiem valsts tiesību aktiem.</w:t>
      </w:r>
    </w:p>
    <w:p w:rsidR="003E022D" w:rsidRDefault="007D19D6">
      <w:pPr>
        <w:rPr>
          <w:b/>
          <w:i/>
          <w:noProof/>
        </w:rPr>
      </w:pPr>
      <w:r>
        <w:rPr>
          <w:b/>
          <w:i/>
          <w:noProof/>
        </w:rPr>
        <w:t>Pasākumi</w:t>
      </w:r>
    </w:p>
    <w:p w:rsidR="003E022D" w:rsidRDefault="007D19D6">
      <w:pPr>
        <w:rPr>
          <w:i/>
          <w:noProof/>
        </w:rPr>
      </w:pPr>
      <w:r>
        <w:rPr>
          <w:b/>
          <w:i/>
          <w:noProof/>
        </w:rPr>
        <w:t>BG:</w:t>
      </w:r>
      <w:r>
        <w:rPr>
          <w:b/>
          <w:i/>
          <w:noProof/>
        </w:rPr>
        <w:t xml:space="preserve"> </w:t>
      </w:r>
      <w:r>
        <w:rPr>
          <w:i/>
          <w:noProof/>
        </w:rPr>
        <w:t>Apdrošināšanas kodekss, 12., 56.–63., 65., 66. pants un 80. panta 4. punkts.</w:t>
      </w:r>
    </w:p>
    <w:p w:rsidR="003E022D" w:rsidRDefault="007D19D6">
      <w:pPr>
        <w:rPr>
          <w:i/>
          <w:noProof/>
        </w:rPr>
      </w:pPr>
      <w:r>
        <w:rPr>
          <w:i/>
          <w:noProof/>
        </w:rPr>
        <w:t>Sociālās apdrošināšanas kodeksa 120.a-162. pants, 209.-253. pants, 260.-310. pants.</w:t>
      </w:r>
    </w:p>
    <w:p w:rsidR="003E022D" w:rsidRDefault="007D19D6">
      <w:pPr>
        <w:rPr>
          <w:i/>
          <w:noProof/>
        </w:rPr>
      </w:pPr>
      <w:r>
        <w:rPr>
          <w:b/>
          <w:i/>
          <w:noProof/>
        </w:rPr>
        <w:t>ES</w:t>
      </w:r>
      <w:r>
        <w:rPr>
          <w:i/>
          <w:noProof/>
        </w:rPr>
        <w:t>: Reglamento de Ordenación, Supervisión y Solvencia de Entidades Aseguradoras y Reasegurador</w:t>
      </w:r>
      <w:r>
        <w:rPr>
          <w:i/>
          <w:noProof/>
        </w:rPr>
        <w:t>as (RD 1060/2015, de 20 de noviembre de 2015), 36. pants.</w:t>
      </w:r>
    </w:p>
    <w:p w:rsidR="003E022D" w:rsidRDefault="007D19D6">
      <w:pPr>
        <w:rPr>
          <w:i/>
          <w:noProof/>
        </w:rPr>
      </w:pPr>
      <w:r>
        <w:rPr>
          <w:b/>
          <w:i/>
          <w:noProof/>
        </w:rPr>
        <w:t>PT</w:t>
      </w:r>
      <w:r>
        <w:rPr>
          <w:i/>
          <w:noProof/>
        </w:rPr>
        <w:t xml:space="preserve">: Dekrētlikuma 94-B/98 7. pants un Dekrētlikuma 94-B/98 I nodaļas VI iedaļa, 34. panta 6. un 7. punkts, un Dekrētlikuma 144/2006 7. pants. 215. pants tiesiskajā regulējumā par darījumdarbības </w:t>
      </w:r>
      <w:r>
        <w:rPr>
          <w:i/>
          <w:noProof/>
        </w:rPr>
        <w:t>uzsākšanu un veikšanu apdrošināšanas un pārapdrošināšanas jomā, kas apstiprināts ar 2005. gada 9. septembra Likumu 147/2005.</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AT</w:t>
      </w:r>
      <w:r>
        <w:rPr>
          <w:noProof/>
        </w:rPr>
        <w:t>: lai ārvalstu apdrošinātāji saņemtu licenci filiāles atvēršanai, ir n</w:t>
      </w:r>
      <w:r>
        <w:rPr>
          <w:noProof/>
        </w:rPr>
        <w:t xml:space="preserve">epieciešams, lai to juridiskā forma atbilstu vai būtu pielīdzināma akciju sabiedrībai vai savstarpējās apdrošināšanas asociācijai to piederības valstī. </w:t>
      </w:r>
    </w:p>
    <w:p w:rsidR="003E022D" w:rsidRDefault="007D19D6">
      <w:pPr>
        <w:rPr>
          <w:noProof/>
        </w:rPr>
      </w:pPr>
      <w:r>
        <w:rPr>
          <w:b/>
          <w:noProof/>
        </w:rPr>
        <w:t>EL</w:t>
      </w:r>
      <w:r>
        <w:rPr>
          <w:noProof/>
        </w:rPr>
        <w:t xml:space="preserve">: apdrošināšanas un pārapdrošināšanas sabiedrības, kuru galvenais birojs atrodas trešās valstīs, var </w:t>
      </w:r>
      <w:r>
        <w:rPr>
          <w:noProof/>
        </w:rPr>
        <w:t>darboties Grieķijā, izveidojot meitasuzņēmumu vai filiāli, ja šajā gadījumā filiālei nav īpašas juridiskās formas, jo tā nozīmē pastāvīgu klātbūtni dalībvalsts teritorijā (t. i., Grieķijā), kuras galvenais birojs atrodas ārpus Eiropas Savienības, kura saņe</w:t>
      </w:r>
      <w:r>
        <w:rPr>
          <w:noProof/>
        </w:rPr>
        <w:t>m licenci šajā dalībvalstī (Grieķijā) un kura veic apdrošināšanas uzņēmējdarbību.</w:t>
      </w:r>
    </w:p>
    <w:p w:rsidR="003E022D" w:rsidRDefault="007D19D6">
      <w:pPr>
        <w:rPr>
          <w:b/>
          <w:i/>
          <w:noProof/>
        </w:rPr>
      </w:pPr>
      <w:r>
        <w:rPr>
          <w:b/>
          <w:i/>
          <w:noProof/>
        </w:rPr>
        <w:t>Pasākumi</w:t>
      </w:r>
    </w:p>
    <w:p w:rsidR="003E022D" w:rsidRDefault="007D19D6">
      <w:pPr>
        <w:rPr>
          <w:i/>
          <w:noProof/>
        </w:rPr>
      </w:pPr>
      <w:r>
        <w:rPr>
          <w:b/>
          <w:i/>
          <w:noProof/>
        </w:rPr>
        <w:t xml:space="preserve">AT: </w:t>
      </w:r>
      <w:r>
        <w:rPr>
          <w:i/>
          <w:noProof/>
        </w:rPr>
        <w:t>2016. gada Apdrošināšanas uzraudzības likums, 14. panta 1. punkta nr.1., Federal Law Gazette I No. 34/2015 (Versicherungsaufsichtsgesetz 2016, § 14 Abs. 1 Z 1, B</w:t>
      </w:r>
      <w:r>
        <w:rPr>
          <w:i/>
          <w:noProof/>
        </w:rPr>
        <w:t xml:space="preserve">GBl. I Nr. 34/2015) </w:t>
      </w:r>
    </w:p>
    <w:p w:rsidR="003E022D" w:rsidRDefault="007D19D6">
      <w:pPr>
        <w:rPr>
          <w:i/>
          <w:noProof/>
        </w:rPr>
      </w:pPr>
      <w:r>
        <w:rPr>
          <w:b/>
          <w:i/>
          <w:noProof/>
        </w:rPr>
        <w:t>EL</w:t>
      </w:r>
      <w:r>
        <w:rPr>
          <w:i/>
          <w:noProof/>
        </w:rPr>
        <w:t>: Likuma 4364/2016 130. pants (Gov. Gazette 13/ A/ 05.02.2016).</w:t>
      </w:r>
    </w:p>
    <w:p w:rsidR="003E022D" w:rsidRDefault="007D19D6">
      <w:pPr>
        <w:rPr>
          <w:noProof/>
          <w:u w:val="single"/>
        </w:rPr>
      </w:pPr>
      <w:r>
        <w:rPr>
          <w:noProof/>
          <w:u w:val="single"/>
        </w:rPr>
        <w:t>Attiecībā uz pakalpojumu pārrobežu tirdzniecību – valsts režīms, klātbūtne uz vietas</w:t>
      </w:r>
    </w:p>
    <w:p w:rsidR="003E022D" w:rsidRDefault="007D19D6">
      <w:pPr>
        <w:rPr>
          <w:noProof/>
        </w:rPr>
      </w:pPr>
      <w:r>
        <w:rPr>
          <w:b/>
          <w:noProof/>
        </w:rPr>
        <w:t>AT</w:t>
      </w:r>
      <w:r>
        <w:rPr>
          <w:noProof/>
        </w:rPr>
        <w:t>: ir aizliegts reklamēt un sniegt starpniecības pakalpojumus tāda meitasuzņēmuma v</w:t>
      </w:r>
      <w:r>
        <w:rPr>
          <w:noProof/>
        </w:rPr>
        <w:t xml:space="preserve">ārdā, kas neveic uzņēmējdarbību Savienībā, vai tādas filiāles vārdā, kas neveic uzņēmējdarbību Austrijā (izņemot pārapdrošināšanu un retrocesiju). </w:t>
      </w:r>
    </w:p>
    <w:p w:rsidR="003E022D" w:rsidRDefault="007D19D6">
      <w:pPr>
        <w:rPr>
          <w:noProof/>
        </w:rPr>
      </w:pPr>
      <w:r>
        <w:rPr>
          <w:b/>
          <w:noProof/>
        </w:rPr>
        <w:t>DK</w:t>
      </w:r>
      <w:r>
        <w:rPr>
          <w:noProof/>
        </w:rPr>
        <w:t>: neviena persona vai sabiedrība (tostarp apdrošināšanas sabiedrības) darījumdarbības nolūkā nevar piedalī</w:t>
      </w:r>
      <w:r>
        <w:rPr>
          <w:noProof/>
        </w:rPr>
        <w:t xml:space="preserve">ties tiešas apdrošināšanas pakalpojumu sniegšanā personām, kas ir Dānijas rezidenti, Dānijas kuģiem vai īpašumam Dānijā, izņemot apdrošināšanas sabiedrības, kas licencētas saskaņā ar Dānijas tiesību aktiem vai ko licencējušas Dānijas kompetentās iestādes. </w:t>
      </w:r>
    </w:p>
    <w:p w:rsidR="003E022D" w:rsidRDefault="007D19D6">
      <w:pPr>
        <w:rPr>
          <w:noProof/>
        </w:rPr>
      </w:pPr>
      <w:r>
        <w:rPr>
          <w:b/>
          <w:noProof/>
        </w:rPr>
        <w:t>SE</w:t>
      </w:r>
      <w:r>
        <w:rPr>
          <w:noProof/>
        </w:rPr>
        <w:t xml:space="preserve">: ārvalstu apdrošinātājs tiešo apdrošināšanu var veikt tikai ar Zviedrijā licencēta apdrošināšanas pakalpojumu sniedzēja starpniecību, ja ārvalstu apdrošinātājs un Zviedrijas apdrošināšanas sabiedrība pieder vienai un tai pašai uzņēmumu grupai vai ja </w:t>
      </w:r>
      <w:r>
        <w:rPr>
          <w:noProof/>
        </w:rPr>
        <w:t>starp tām ir noslēgts savstarpējās sadarbības līgums.</w:t>
      </w:r>
    </w:p>
    <w:p w:rsidR="003E022D" w:rsidRDefault="007D19D6">
      <w:pPr>
        <w:rPr>
          <w:noProof/>
          <w:u w:val="single"/>
        </w:rPr>
      </w:pPr>
      <w:r>
        <w:rPr>
          <w:noProof/>
          <w:u w:val="single"/>
        </w:rPr>
        <w:t>Attiecībā uz pakalpojumu pārrobežu tirdzniecību – klātbūtne uz vietas</w:t>
      </w:r>
    </w:p>
    <w:p w:rsidR="003E022D" w:rsidRDefault="007D19D6">
      <w:pPr>
        <w:rPr>
          <w:noProof/>
        </w:rPr>
      </w:pPr>
      <w:r>
        <w:rPr>
          <w:b/>
          <w:noProof/>
        </w:rPr>
        <w:t>DE, HU</w:t>
      </w:r>
      <w:r>
        <w:rPr>
          <w:noProof/>
        </w:rPr>
        <w:t xml:space="preserve"> un </w:t>
      </w:r>
      <w:r>
        <w:rPr>
          <w:b/>
          <w:noProof/>
        </w:rPr>
        <w:t>LT</w:t>
      </w:r>
      <w:r>
        <w:rPr>
          <w:noProof/>
        </w:rPr>
        <w:t>: lai apdrošināšanas sabiedrības, kas nav inkorporētas Eiropas Savienībā, varētu sniegt tiešus apdrošināšanas pakalpojum</w:t>
      </w:r>
      <w:r>
        <w:rPr>
          <w:noProof/>
        </w:rPr>
        <w:t xml:space="preserve">us, tām jāizveido filiāle un jāsaņem attiecīga atļauja. </w:t>
      </w:r>
    </w:p>
    <w:p w:rsidR="003E022D" w:rsidRDefault="007D19D6">
      <w:pPr>
        <w:rPr>
          <w:noProof/>
        </w:rPr>
      </w:pPr>
      <w:r>
        <w:rPr>
          <w:b/>
          <w:noProof/>
        </w:rPr>
        <w:t>SE</w:t>
      </w:r>
      <w:r>
        <w:rPr>
          <w:noProof/>
        </w:rPr>
        <w:t>: apdrošināšanas starpniecības pakalpojumu sniegšanai, ko veic uzņēmumi, kuri nav inkorporēti EEZ, ir jāizveido komerciāla klātbūtne (prasība par klātbūtni uz vietas).</w:t>
      </w:r>
    </w:p>
    <w:p w:rsidR="003E022D" w:rsidRDefault="007D19D6">
      <w:pPr>
        <w:rPr>
          <w:noProof/>
        </w:rPr>
      </w:pPr>
      <w:r>
        <w:rPr>
          <w:b/>
          <w:noProof/>
        </w:rPr>
        <w:t>SK</w:t>
      </w:r>
      <w:r>
        <w:rPr>
          <w:noProof/>
        </w:rPr>
        <w:t>: tikai apdrošināšanas sabi</w:t>
      </w:r>
      <w:r>
        <w:rPr>
          <w:noProof/>
        </w:rPr>
        <w:t>edrības, kuras veic uzņēmējdarbību Savienībā, vai tādu apdrošināšanas sabiedrību filiāles, kas neveic uzņēmējdarbību Savienībā, bet ir pilnvarotas Slovākijā, var veikt gaisa un jūras transporta apdrošināšanu, kas aptver gaisa kuģus/kuģus un atbildības apdr</w:t>
      </w:r>
      <w:r>
        <w:rPr>
          <w:noProof/>
        </w:rPr>
        <w:t>ošināšanu.</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2016. gada Apdrošināšanas uzraudzības likums, 13. panta 1.un 2. punkts, Federal Law Gazette I No. 34/2015 (Versicherungsaufsichtsgesetz 2016, § 13 Abs. 1 und 2, BGBl. I Nr. 34/2015). </w:t>
      </w:r>
      <w:r>
        <w:rPr>
          <w:b/>
          <w:i/>
          <w:noProof/>
        </w:rPr>
        <w:t xml:space="preserve">DE: </w:t>
      </w:r>
      <w:r>
        <w:rPr>
          <w:i/>
          <w:noProof/>
        </w:rPr>
        <w:t>§§67-69 Versicherungsaufsichtsgesetz (VAG) a</w:t>
      </w:r>
      <w:r>
        <w:rPr>
          <w:i/>
          <w:noProof/>
        </w:rPr>
        <w:t>ttiecībā uz visiem apdrošināšanas pakalpojumiem īsteno direktīvu “Maksātspēja II”; saistībā ar §105 Luftverkehrs-Zulassungs-Ordnung (LuftVZO) tikai obligātajai civiltiesiskās atbildības apdrošināšanai gaisa pārvadājumu nodrošinātājiem.</w:t>
      </w:r>
    </w:p>
    <w:p w:rsidR="003E022D" w:rsidRDefault="007D19D6">
      <w:pPr>
        <w:rPr>
          <w:i/>
          <w:noProof/>
        </w:rPr>
      </w:pPr>
      <w:r>
        <w:rPr>
          <w:b/>
          <w:i/>
          <w:noProof/>
        </w:rPr>
        <w:t>DE</w:t>
      </w:r>
      <w:r>
        <w:rPr>
          <w:i/>
          <w:noProof/>
        </w:rPr>
        <w:t>: Versicherungsauf</w:t>
      </w:r>
      <w:r>
        <w:rPr>
          <w:i/>
          <w:noProof/>
        </w:rPr>
        <w:t>sichtsgesetz (VAG) attiecībā uz visiem apdrošināšanas pakalpojumiem; saistībā ar Luftverkehrs-Zulassungs-Ordnung (LuftVZO) tikai obligātajai civiltiesiskās atbildības apdrošināšanai gaisa pārvadājumu nodrošinātājiem.</w:t>
      </w:r>
    </w:p>
    <w:p w:rsidR="003E022D" w:rsidRDefault="007D19D6">
      <w:pPr>
        <w:rPr>
          <w:i/>
          <w:noProof/>
        </w:rPr>
      </w:pPr>
      <w:r>
        <w:rPr>
          <w:b/>
          <w:i/>
          <w:noProof/>
        </w:rPr>
        <w:t>DK</w:t>
      </w:r>
      <w:r>
        <w:rPr>
          <w:i/>
          <w:noProof/>
        </w:rPr>
        <w:t>: Lov om finansiel virksomhed jf. lov</w:t>
      </w:r>
      <w:r>
        <w:rPr>
          <w:i/>
          <w:noProof/>
        </w:rPr>
        <w:t xml:space="preserve">bekendtgørelse 182 af 18. februar 2015. </w:t>
      </w:r>
    </w:p>
    <w:p w:rsidR="003E022D" w:rsidRDefault="007D19D6">
      <w:pPr>
        <w:rPr>
          <w:i/>
          <w:noProof/>
        </w:rPr>
      </w:pPr>
      <w:r>
        <w:rPr>
          <w:b/>
          <w:i/>
          <w:noProof/>
        </w:rPr>
        <w:t>HU</w:t>
      </w:r>
      <w:r>
        <w:rPr>
          <w:i/>
          <w:noProof/>
        </w:rPr>
        <w:t xml:space="preserve">: 2003. gada Likums LX. </w:t>
      </w:r>
      <w:r>
        <w:rPr>
          <w:b/>
          <w:i/>
          <w:noProof/>
        </w:rPr>
        <w:t>LT</w:t>
      </w:r>
      <w:r>
        <w:rPr>
          <w:i/>
          <w:noProof/>
        </w:rPr>
        <w:t>:</w:t>
      </w:r>
      <w:r>
        <w:rPr>
          <w:b/>
          <w:i/>
          <w:noProof/>
        </w:rPr>
        <w:t xml:space="preserve"> </w:t>
      </w:r>
      <w:r>
        <w:rPr>
          <w:i/>
          <w:noProof/>
        </w:rPr>
        <w:t>2003. gada 18. septembra Apdrošināšanas likums, m. Nr. IX-1737, kurā jaunākie grozījumi izdarīti 2019. gada 13. jūnijā Nr. XIII-2232.</w:t>
      </w:r>
    </w:p>
    <w:p w:rsidR="003E022D" w:rsidRDefault="007D19D6">
      <w:pPr>
        <w:rPr>
          <w:i/>
          <w:noProof/>
        </w:rPr>
      </w:pPr>
      <w:r>
        <w:rPr>
          <w:b/>
          <w:i/>
          <w:noProof/>
        </w:rPr>
        <w:t>SE</w:t>
      </w:r>
      <w:r>
        <w:rPr>
          <w:i/>
          <w:noProof/>
        </w:rPr>
        <w:t>: LAG om försäkringsförmedling (Apdrošināšanas iz</w:t>
      </w:r>
      <w:r>
        <w:rPr>
          <w:i/>
          <w:noProof/>
        </w:rPr>
        <w:t>platīšanas starpniecības likums) (3. nodaļas 3. iedaļa, 2018:12192005:405) un Likums par ārvalstu apdrošinātāju darījumdarbību Zviedrijā (4. nodaļas 1. un 10. iedaļa, 1998:293).</w:t>
      </w:r>
    </w:p>
    <w:p w:rsidR="003E022D" w:rsidRDefault="007D19D6">
      <w:pPr>
        <w:rPr>
          <w:i/>
          <w:noProof/>
        </w:rPr>
      </w:pPr>
      <w:r>
        <w:rPr>
          <w:b/>
          <w:i/>
          <w:noProof/>
        </w:rPr>
        <w:t xml:space="preserve">SK: </w:t>
      </w:r>
      <w:r>
        <w:rPr>
          <w:i/>
          <w:noProof/>
        </w:rPr>
        <w:t>Likums 39/2015 par apdrošināšanu.</w:t>
      </w:r>
    </w:p>
    <w:p w:rsidR="003E022D" w:rsidRDefault="007D19D6">
      <w:pPr>
        <w:rPr>
          <w:b/>
          <w:i/>
          <w:noProof/>
        </w:rPr>
      </w:pPr>
      <w:bookmarkStart w:id="1105" w:name="_Toc452570635"/>
      <w:r>
        <w:rPr>
          <w:b/>
          <w:i/>
          <w:noProof/>
        </w:rPr>
        <w:t>b)</w:t>
      </w:r>
      <w:r>
        <w:rPr>
          <w:noProof/>
        </w:rPr>
        <w:tab/>
      </w:r>
      <w:r>
        <w:rPr>
          <w:b/>
          <w:i/>
          <w:noProof/>
        </w:rPr>
        <w:t>Banku un citi finanšu pakalpojumi</w:t>
      </w:r>
      <w:bookmarkEnd w:id="1105"/>
      <w:r>
        <w:rPr>
          <w:b/>
          <w:i/>
          <w:noProof/>
        </w:rPr>
        <w:t xml:space="preserve"> </w:t>
      </w:r>
    </w:p>
    <w:p w:rsidR="003E022D" w:rsidRDefault="007D19D6">
      <w:pPr>
        <w:rPr>
          <w:noProof/>
          <w:u w:val="single"/>
        </w:rPr>
      </w:pPr>
      <w:r>
        <w:rPr>
          <w:noProof/>
          <w:u w:val="single"/>
        </w:rPr>
        <w:t>At</w:t>
      </w:r>
      <w:r>
        <w:rPr>
          <w:noProof/>
          <w:u w:val="single"/>
        </w:rPr>
        <w:t xml:space="preserve">tiecībā uz investīciju liberalizāciju – piekļuve tirgum, valsts režīms un pakalpojumu pārrobežu tirdzniecība – klātbūtne uz vietas </w:t>
      </w:r>
    </w:p>
    <w:p w:rsidR="003E022D" w:rsidRDefault="007D19D6">
      <w:pPr>
        <w:rPr>
          <w:bCs/>
          <w:noProof/>
        </w:rPr>
      </w:pPr>
      <w:r>
        <w:rPr>
          <w:b/>
          <w:bCs/>
          <w:noProof/>
        </w:rPr>
        <w:t>BG:</w:t>
      </w:r>
      <w:r>
        <w:rPr>
          <w:noProof/>
        </w:rPr>
        <w:t xml:space="preserve"> lai veiktu aizdošanas darbības ar līdzekļiem, kas nav piesaistīti, pieņemot noguldījumus vai citus atmaksājamus līdzekļu</w:t>
      </w:r>
      <w:r>
        <w:rPr>
          <w:noProof/>
        </w:rPr>
        <w:t>s, lai iegūtu līdzdalību kredītiestādē vai citā finanšu iestādē, finanšu līzingu, garantiju darījumus, aizdevumu prasījumu un cita veida finansējuma (faktorings, piespiedu atsavināšana utt.) iegūšanu, finanšu iestādēm, kas nav bankas, piemēro reģistrācijas</w:t>
      </w:r>
      <w:r>
        <w:rPr>
          <w:noProof/>
        </w:rPr>
        <w:t xml:space="preserve"> režīmu Bulgārijas Valsts bankā. Finanšu iestādes galvenā darījumdarbības vieta atrodas Bulgārijas teritorijā. </w:t>
      </w:r>
    </w:p>
    <w:p w:rsidR="003E022D" w:rsidRDefault="007D19D6">
      <w:pPr>
        <w:rPr>
          <w:bCs/>
          <w:noProof/>
        </w:rPr>
      </w:pPr>
      <w:r>
        <w:rPr>
          <w:b/>
          <w:bCs/>
          <w:noProof/>
        </w:rPr>
        <w:t>BG:</w:t>
      </w:r>
      <w:r>
        <w:rPr>
          <w:noProof/>
        </w:rPr>
        <w:t xml:space="preserve"> ārpus EEZ esošas bankas var veikt banku darbību Bulgārijā pēc tam, kad no BNB ir saņemta licence darījumdarbības uzsākšanai un veikšanai Bul</w:t>
      </w:r>
      <w:r>
        <w:rPr>
          <w:noProof/>
        </w:rPr>
        <w:t>gārijas Republikā ar filiāles starpniecību.</w:t>
      </w:r>
    </w:p>
    <w:p w:rsidR="003E022D" w:rsidRDefault="007D19D6">
      <w:pPr>
        <w:rPr>
          <w:noProof/>
        </w:rPr>
      </w:pPr>
      <w:r>
        <w:rPr>
          <w:b/>
          <w:noProof/>
        </w:rPr>
        <w:t>IT</w:t>
      </w:r>
      <w:r>
        <w:rPr>
          <w:noProof/>
        </w:rPr>
        <w:t xml:space="preserve">: lai uzņēmums būtu pilnvarots pārvaldīt vērtspapīru norēķinu sistēmu vai sniegt centrālā vērtspapīru depozitārija pakalpojumus kopā ar kādu uzņēmumu Itālijā, tam jābūt inkorporētam Itālijā (bez filiālēm). </w:t>
      </w:r>
    </w:p>
    <w:p w:rsidR="003E022D" w:rsidRDefault="007D19D6">
      <w:pPr>
        <w:rPr>
          <w:noProof/>
        </w:rPr>
      </w:pPr>
      <w:r>
        <w:rPr>
          <w:noProof/>
        </w:rPr>
        <w:t>Kol</w:t>
      </w:r>
      <w:r>
        <w:rPr>
          <w:noProof/>
        </w:rPr>
        <w:t>ektīvo ieguldījumu uzņēmumu gadījumā, izņemot pārvedamu vērtspapīru kolektīvo ieguldījumu uzņēmumus (“PVKIU “), kas saskaņoti atbilstoši Eiropas Savienības tiesību aktiem, pilnvarotajam vai depozitāram jābūt inkorporētam Itālijā vai citā dalībvalstī un jāv</w:t>
      </w:r>
      <w:r>
        <w:rPr>
          <w:noProof/>
        </w:rPr>
        <w:t xml:space="preserve">eic uzņēmējdarbība ar filiāles starpniecību Itālijā. </w:t>
      </w:r>
    </w:p>
    <w:p w:rsidR="003E022D" w:rsidRDefault="007D19D6">
      <w:pPr>
        <w:rPr>
          <w:noProof/>
        </w:rPr>
      </w:pPr>
      <w:r>
        <w:rPr>
          <w:noProof/>
        </w:rPr>
        <w:t xml:space="preserve">Arī investīciju fondu pārvaldes uzņēmumiem, kuru darbība nav saskaņota ar Savienības tiesību aktiem, jābūt inkorporētām Itālijā (filiāles nav atļautas). </w:t>
      </w:r>
    </w:p>
    <w:p w:rsidR="003E022D" w:rsidRDefault="007D19D6">
      <w:pPr>
        <w:rPr>
          <w:noProof/>
        </w:rPr>
      </w:pPr>
      <w:r>
        <w:rPr>
          <w:noProof/>
        </w:rPr>
        <w:t>Tikai bankas, apdrošināšanas sabiedrības, ieguldījumu sabiedrības un uzņēmumi, kas pārvalda PVKIU, kuri saskaņoti atbilstoši Savienības tiesību aktiem un kuru galvenais birojs ir Eiropas Savienībā, kā arī PVKIU, kuri ir inkorporēti Itālijā, var īstenot pen</w:t>
      </w:r>
      <w:r>
        <w:rPr>
          <w:noProof/>
        </w:rPr>
        <w:t xml:space="preserve">siju fondu līdzekļu pārvaldību. </w:t>
      </w:r>
    </w:p>
    <w:p w:rsidR="003E022D" w:rsidRDefault="007D19D6">
      <w:pPr>
        <w:rPr>
          <w:noProof/>
        </w:rPr>
      </w:pPr>
      <w:r>
        <w:rPr>
          <w:noProof/>
        </w:rPr>
        <w:t xml:space="preserve">Veicot tiešo pārdošanu, starpniekiem jāizmanto pilnvaroti finanšu pārdevēji, kuru mītnesvieta ir kāda dalībvalsts. </w:t>
      </w:r>
    </w:p>
    <w:p w:rsidR="003E022D" w:rsidRDefault="007D19D6">
      <w:pPr>
        <w:rPr>
          <w:noProof/>
        </w:rPr>
      </w:pPr>
      <w:r>
        <w:rPr>
          <w:noProof/>
        </w:rPr>
        <w:t>Starpnieku no valstīm ārpus Savienības pārstāvniecības nevar veikt darbības, kuru mērķis ir sniegt ieguldīj</w:t>
      </w:r>
      <w:r>
        <w:rPr>
          <w:noProof/>
        </w:rPr>
        <w:t>umu pakalpojumus, tostarp veikt tirdzniecību savā vārdā vai klientu vārdā, finanšu instrumentu izvietošanu un parakstīšanu (vajadzīga filiāle).</w:t>
      </w:r>
    </w:p>
    <w:p w:rsidR="003E022D" w:rsidRDefault="007D19D6">
      <w:pPr>
        <w:rPr>
          <w:noProof/>
        </w:rPr>
      </w:pPr>
      <w:r>
        <w:rPr>
          <w:b/>
          <w:noProof/>
        </w:rPr>
        <w:t>PT</w:t>
      </w:r>
      <w:r>
        <w:rPr>
          <w:noProof/>
        </w:rPr>
        <w:t>: pensiju fondu pārvaldības pakalpojumus var sniegt tikai specializētas sabiedrības, kas šim nolūkam inkorporē</w:t>
      </w:r>
      <w:r>
        <w:rPr>
          <w:noProof/>
        </w:rPr>
        <w:t>tas Portugālē, un apdrošināšanas sabiedrības, kuras veic uzņēmējdarbību Portugālē un kurām ir atļauts veikt dzīvības apdrošināšanas darījumdarbību, vai subjekti, kam atļauts veikt pensiju fondu pārvaldību citās dalībvalstīs. Tieša filiāļu atvēršana no vals</w:t>
      </w:r>
      <w:r>
        <w:rPr>
          <w:noProof/>
        </w:rPr>
        <w:t xml:space="preserve">tīm ārpus Eiropas Savienības nav atļauta. </w:t>
      </w:r>
    </w:p>
    <w:p w:rsidR="003E022D" w:rsidRDefault="007D19D6">
      <w:pPr>
        <w:rPr>
          <w:b/>
          <w:i/>
          <w:noProof/>
        </w:rPr>
      </w:pPr>
      <w:r>
        <w:rPr>
          <w:b/>
          <w:i/>
          <w:noProof/>
        </w:rPr>
        <w:t>Pasākumi</w:t>
      </w:r>
    </w:p>
    <w:p w:rsidR="003E022D" w:rsidRDefault="007D19D6">
      <w:pPr>
        <w:rPr>
          <w:i/>
          <w:noProof/>
        </w:rPr>
      </w:pPr>
      <w:r>
        <w:rPr>
          <w:b/>
          <w:i/>
          <w:noProof/>
        </w:rPr>
        <w:t>BG</w:t>
      </w:r>
      <w:r>
        <w:rPr>
          <w:i/>
          <w:noProof/>
        </w:rPr>
        <w:t>: Kredītiestāžu likums, 2. panta 5. punkts, 3.a pants un 17. pants;</w:t>
      </w:r>
    </w:p>
    <w:p w:rsidR="003E022D" w:rsidRDefault="007D19D6">
      <w:pPr>
        <w:rPr>
          <w:i/>
          <w:noProof/>
        </w:rPr>
      </w:pPr>
      <w:r>
        <w:rPr>
          <w:i/>
          <w:noProof/>
        </w:rPr>
        <w:t xml:space="preserve">Sociālās apdrošināšanas kodekss, 121., 121.b un 121.f pants, un </w:t>
      </w:r>
    </w:p>
    <w:p w:rsidR="003E022D" w:rsidRDefault="007D19D6">
      <w:pPr>
        <w:rPr>
          <w:i/>
          <w:noProof/>
        </w:rPr>
      </w:pPr>
      <w:r>
        <w:rPr>
          <w:i/>
          <w:noProof/>
        </w:rPr>
        <w:t>Valūtas likums, 3. pants.</w:t>
      </w:r>
    </w:p>
    <w:p w:rsidR="003E022D" w:rsidRDefault="007D19D6">
      <w:pPr>
        <w:rPr>
          <w:i/>
          <w:noProof/>
        </w:rPr>
      </w:pPr>
      <w:r>
        <w:rPr>
          <w:b/>
          <w:bCs/>
          <w:i/>
          <w:noProof/>
        </w:rPr>
        <w:t>IT</w:t>
      </w:r>
      <w:r>
        <w:rPr>
          <w:bCs/>
          <w:i/>
          <w:noProof/>
        </w:rPr>
        <w:t xml:space="preserve">: </w:t>
      </w:r>
      <w:r>
        <w:rPr>
          <w:i/>
          <w:noProof/>
        </w:rPr>
        <w:t xml:space="preserve">Likumdošanas dekrēts 58/1998, 1., 19., 28., 30.–33., 38., 69. un 80. pants; </w:t>
      </w:r>
    </w:p>
    <w:p w:rsidR="003E022D" w:rsidRDefault="007D19D6">
      <w:pPr>
        <w:rPr>
          <w:i/>
          <w:noProof/>
        </w:rPr>
      </w:pPr>
      <w:r>
        <w:rPr>
          <w:i/>
          <w:noProof/>
        </w:rPr>
        <w:t>Itālijas Bankas un Consob 1998. gada 22. februāra Kopīgie noteikumi, 3. un 41. pants;</w:t>
      </w:r>
    </w:p>
    <w:p w:rsidR="003E022D" w:rsidRDefault="007D19D6">
      <w:pPr>
        <w:rPr>
          <w:i/>
          <w:noProof/>
        </w:rPr>
      </w:pPr>
      <w:r>
        <w:rPr>
          <w:i/>
          <w:noProof/>
        </w:rPr>
        <w:t xml:space="preserve">Itālijas Bankas 2005. gada 25. janvāra noteikumi; </w:t>
      </w:r>
    </w:p>
    <w:p w:rsidR="003E022D" w:rsidRDefault="007D19D6">
      <w:pPr>
        <w:rPr>
          <w:i/>
          <w:noProof/>
        </w:rPr>
      </w:pPr>
      <w:r>
        <w:rPr>
          <w:i/>
          <w:noProof/>
        </w:rPr>
        <w:t>Consob 2007. gada 29. oktobra Noteikumi 16</w:t>
      </w:r>
      <w:r>
        <w:rPr>
          <w:i/>
          <w:noProof/>
        </w:rPr>
        <w:t xml:space="preserve">190, V sadaļas VII nodaļas II iedaļas 17.–21., 78.–81., 91.–111. pants., un saskaņā ar </w:t>
      </w:r>
    </w:p>
    <w:p w:rsidR="003E022D" w:rsidRDefault="007D19D6">
      <w:pPr>
        <w:rPr>
          <w:b/>
          <w:noProof/>
        </w:rPr>
      </w:pPr>
      <w:r>
        <w:rPr>
          <w:i/>
          <w:noProof/>
        </w:rPr>
        <w:t xml:space="preserve">Eiropas Parlamenta un Padomes 2014. gada 23. Jūlija Regulu (ES) Nr. 909/2014 par vērtspapīru norēķinu uzlabošanu Eiropas Savienībā. </w:t>
      </w:r>
    </w:p>
    <w:p w:rsidR="003E022D" w:rsidRDefault="007D19D6">
      <w:pPr>
        <w:rPr>
          <w:b/>
          <w:i/>
          <w:noProof/>
        </w:rPr>
      </w:pPr>
      <w:r>
        <w:rPr>
          <w:b/>
          <w:i/>
          <w:noProof/>
        </w:rPr>
        <w:t xml:space="preserve">PT: </w:t>
      </w:r>
      <w:r>
        <w:rPr>
          <w:i/>
          <w:noProof/>
        </w:rPr>
        <w:t>Dekrētlikums 12/2006, kas grozī</w:t>
      </w:r>
      <w:r>
        <w:rPr>
          <w:i/>
          <w:noProof/>
        </w:rPr>
        <w:t>ts ar Dekrētlikumu 180/2007; Dekrētlikums 357-A/2007; Noteikumi 7/2007-R, kas grozīti ar Noteikumiem 2/2008-R; Noteikumi 19/2008-R un Noteikumi 8/2009. Ar 2020. gada 23. jūlija Likumu 27/2020 apstiprinātā tiesiskā regulējuma, kas reglamentē pensiju fondu u</w:t>
      </w:r>
      <w:r>
        <w:rPr>
          <w:i/>
          <w:noProof/>
        </w:rPr>
        <w:t>n to pārvaldības struktūru izveidi un darbību, 3. pants.</w:t>
      </w:r>
    </w:p>
    <w:p w:rsidR="003E022D" w:rsidRDefault="007D19D6">
      <w:pPr>
        <w:rPr>
          <w:noProof/>
          <w:u w:val="single"/>
        </w:rPr>
      </w:pPr>
      <w:r>
        <w:rPr>
          <w:noProof/>
          <w:u w:val="single"/>
        </w:rPr>
        <w:t xml:space="preserve">Attiecībā uz investīciju liberalizāciju – piekļuve tirgum, valsts režīms </w:t>
      </w:r>
    </w:p>
    <w:p w:rsidR="003E022D" w:rsidRDefault="007D19D6">
      <w:pPr>
        <w:rPr>
          <w:noProof/>
        </w:rPr>
      </w:pPr>
      <w:r>
        <w:rPr>
          <w:b/>
          <w:noProof/>
        </w:rPr>
        <w:t>HU</w:t>
      </w:r>
      <w:r>
        <w:rPr>
          <w:noProof/>
        </w:rPr>
        <w:t>: valstu, kas nav EEZ valstis, investīciju fondu pārvaldības sabiedrību filiāles nevar iesaistīties Eiropas investīciju fon</w:t>
      </w:r>
      <w:r>
        <w:rPr>
          <w:noProof/>
        </w:rPr>
        <w:t>du pārvaldībā un nevar sniegt aktīvu pārvaldības pakalpojumus privāto pensiju fondiem.</w:t>
      </w:r>
    </w:p>
    <w:p w:rsidR="003E022D" w:rsidRDefault="007D19D6">
      <w:pPr>
        <w:rPr>
          <w:b/>
          <w:i/>
          <w:noProof/>
        </w:rPr>
      </w:pPr>
      <w:r>
        <w:rPr>
          <w:b/>
          <w:i/>
          <w:noProof/>
        </w:rPr>
        <w:t>Pasākumi</w:t>
      </w:r>
    </w:p>
    <w:p w:rsidR="003E022D" w:rsidRDefault="007D19D6">
      <w:pPr>
        <w:rPr>
          <w:i/>
          <w:noProof/>
        </w:rPr>
      </w:pPr>
      <w:r>
        <w:rPr>
          <w:b/>
          <w:i/>
          <w:noProof/>
        </w:rPr>
        <w:t>HU</w:t>
      </w:r>
      <w:r>
        <w:rPr>
          <w:i/>
          <w:noProof/>
        </w:rPr>
        <w:t xml:space="preserve">: 2013. gada Likums CCXXXVII par kredītiestādēm un finanšu uzņēmumiem; </w:t>
      </w:r>
    </w:p>
    <w:p w:rsidR="003E022D" w:rsidRDefault="007D19D6">
      <w:pPr>
        <w:rPr>
          <w:i/>
          <w:noProof/>
        </w:rPr>
      </w:pPr>
      <w:r>
        <w:rPr>
          <w:i/>
          <w:noProof/>
        </w:rPr>
        <w:t>2013. gada Likums CCXXXVII par kredītiestādēm un finanšu uzņēmumiem; un</w:t>
      </w:r>
    </w:p>
    <w:p w:rsidR="003E022D" w:rsidRDefault="007D19D6">
      <w:pPr>
        <w:rPr>
          <w:i/>
          <w:noProof/>
        </w:rPr>
      </w:pPr>
      <w:r>
        <w:rPr>
          <w:i/>
          <w:noProof/>
        </w:rPr>
        <w:t>2001. gada Lik</w:t>
      </w:r>
      <w:r>
        <w:rPr>
          <w:i/>
          <w:noProof/>
        </w:rPr>
        <w:t>ums CXX par kapitāla tirgu.</w:t>
      </w:r>
    </w:p>
    <w:p w:rsidR="003E022D" w:rsidRDefault="007D19D6">
      <w:pPr>
        <w:rPr>
          <w:noProof/>
          <w:u w:val="single"/>
        </w:rPr>
      </w:pPr>
      <w:r>
        <w:rPr>
          <w:noProof/>
          <w:u w:val="single"/>
        </w:rPr>
        <w:t>Attiecībā uz investīciju liberalizāciju – valsts režīms un pakalpojumu pārrobežu tirdzniecība – piekļuve tirgum</w:t>
      </w:r>
    </w:p>
    <w:p w:rsidR="003E022D" w:rsidRDefault="007D19D6">
      <w:pPr>
        <w:rPr>
          <w:noProof/>
        </w:rPr>
      </w:pPr>
      <w:r>
        <w:rPr>
          <w:b/>
          <w:noProof/>
        </w:rPr>
        <w:t>BG:</w:t>
      </w:r>
      <w:r>
        <w:rPr>
          <w:noProof/>
        </w:rPr>
        <w:t xml:space="preserve"> banku kopīgi vada un pārstāv vismaz divas personas. Personas, kas vada un pārstāv banku, personīgi atrodas tās a</w:t>
      </w:r>
      <w:r>
        <w:rPr>
          <w:noProof/>
        </w:rPr>
        <w:t>dministratīvajās telpās. Juridiskas personas nevar ievēlēt par bankas valdes vai direktoru padomes locekļiem.</w:t>
      </w:r>
    </w:p>
    <w:p w:rsidR="003E022D" w:rsidRDefault="007D19D6">
      <w:pPr>
        <w:rPr>
          <w:noProof/>
        </w:rPr>
      </w:pPr>
      <w:r>
        <w:rPr>
          <w:b/>
          <w:noProof/>
        </w:rPr>
        <w:t>SE</w:t>
      </w:r>
      <w:r>
        <w:rPr>
          <w:noProof/>
        </w:rPr>
        <w:t>: krājbankas dibinātājs ir fiziska persona.</w:t>
      </w:r>
    </w:p>
    <w:p w:rsidR="003E022D" w:rsidRDefault="007D19D6">
      <w:pPr>
        <w:rPr>
          <w:b/>
          <w:i/>
          <w:noProof/>
        </w:rPr>
      </w:pPr>
      <w:r>
        <w:rPr>
          <w:b/>
          <w:i/>
          <w:noProof/>
        </w:rPr>
        <w:t>Pasākumi</w:t>
      </w:r>
    </w:p>
    <w:p w:rsidR="003E022D" w:rsidRDefault="007D19D6">
      <w:pPr>
        <w:rPr>
          <w:i/>
          <w:noProof/>
        </w:rPr>
      </w:pPr>
      <w:r>
        <w:rPr>
          <w:b/>
          <w:i/>
          <w:noProof/>
        </w:rPr>
        <w:t>BG</w:t>
      </w:r>
      <w:r>
        <w:rPr>
          <w:i/>
          <w:noProof/>
        </w:rPr>
        <w:t>: Kredītiestāžu likums, 10. pants;</w:t>
      </w:r>
    </w:p>
    <w:p w:rsidR="003E022D" w:rsidRDefault="007D19D6">
      <w:pPr>
        <w:rPr>
          <w:i/>
          <w:noProof/>
        </w:rPr>
      </w:pPr>
      <w:r>
        <w:rPr>
          <w:i/>
          <w:noProof/>
        </w:rPr>
        <w:t xml:space="preserve">Sociālās apdrošināšanas kodekss, 121.e pants, un </w:t>
      </w:r>
    </w:p>
    <w:p w:rsidR="003E022D" w:rsidRDefault="007D19D6">
      <w:pPr>
        <w:rPr>
          <w:i/>
          <w:noProof/>
        </w:rPr>
      </w:pPr>
      <w:r>
        <w:rPr>
          <w:i/>
          <w:noProof/>
        </w:rPr>
        <w:t>Valū</w:t>
      </w:r>
      <w:r>
        <w:rPr>
          <w:i/>
          <w:noProof/>
        </w:rPr>
        <w:t>tas likums, 3. pants.</w:t>
      </w:r>
    </w:p>
    <w:p w:rsidR="003E022D" w:rsidRDefault="007D19D6">
      <w:pPr>
        <w:rPr>
          <w:noProof/>
        </w:rPr>
      </w:pPr>
      <w:r>
        <w:rPr>
          <w:b/>
          <w:i/>
          <w:noProof/>
        </w:rPr>
        <w:t>SE</w:t>
      </w:r>
      <w:r>
        <w:rPr>
          <w:i/>
          <w:noProof/>
        </w:rPr>
        <w:t>: Sparbankslagen (Krājbanku likums) (1987:619), 2. nodaļa, § 1.</w:t>
      </w:r>
    </w:p>
    <w:p w:rsidR="003E022D" w:rsidRDefault="007D19D6">
      <w:pPr>
        <w:rPr>
          <w:noProof/>
          <w:u w:val="single"/>
        </w:rPr>
      </w:pPr>
      <w:r>
        <w:rPr>
          <w:noProof/>
          <w:u w:val="single"/>
        </w:rPr>
        <w:t xml:space="preserve">Attiecībā uz investīciju liberalizāciju – valsts režīms </w:t>
      </w:r>
    </w:p>
    <w:p w:rsidR="003E022D" w:rsidRDefault="007D19D6">
      <w:pPr>
        <w:rPr>
          <w:noProof/>
        </w:rPr>
      </w:pPr>
      <w:r>
        <w:rPr>
          <w:b/>
          <w:noProof/>
        </w:rPr>
        <w:t>HU</w:t>
      </w:r>
      <w:r>
        <w:rPr>
          <w:noProof/>
        </w:rPr>
        <w:t xml:space="preserve">: atbilstoši ārvalstu valūtas noteikumiem vismaz diviem kredītiestādes direktoru padomes locekļiem jābūt </w:t>
      </w:r>
      <w:r>
        <w:rPr>
          <w:noProof/>
        </w:rPr>
        <w:t>atzītiem rezidentiem un jābūt iepriekš pastāvīgi dzīvojušiem Ungārijā vismaz vienu gadu.</w:t>
      </w:r>
    </w:p>
    <w:p w:rsidR="003E022D" w:rsidRDefault="007D19D6">
      <w:pPr>
        <w:rPr>
          <w:b/>
          <w:i/>
          <w:noProof/>
        </w:rPr>
      </w:pPr>
      <w:r>
        <w:rPr>
          <w:b/>
          <w:i/>
          <w:noProof/>
        </w:rPr>
        <w:t>Pasākumi</w:t>
      </w:r>
    </w:p>
    <w:p w:rsidR="003E022D" w:rsidRDefault="007D19D6">
      <w:pPr>
        <w:rPr>
          <w:i/>
          <w:noProof/>
        </w:rPr>
      </w:pPr>
      <w:r>
        <w:rPr>
          <w:b/>
          <w:i/>
          <w:noProof/>
        </w:rPr>
        <w:t>HU</w:t>
      </w:r>
      <w:r>
        <w:rPr>
          <w:i/>
          <w:noProof/>
        </w:rPr>
        <w:t xml:space="preserve">: 2013. gada Likums CCXXXVII par kredītiestādēm un finanšu uzņēmumiem; </w:t>
      </w:r>
    </w:p>
    <w:p w:rsidR="003E022D" w:rsidRDefault="007D19D6">
      <w:pPr>
        <w:rPr>
          <w:i/>
          <w:noProof/>
        </w:rPr>
      </w:pPr>
      <w:r>
        <w:rPr>
          <w:i/>
          <w:noProof/>
        </w:rPr>
        <w:t>2013. gada Likums CCXXXVII par kredītiestādēm un finanšu uzņēmumiem un</w:t>
      </w:r>
    </w:p>
    <w:p w:rsidR="003E022D" w:rsidRDefault="007D19D6">
      <w:pPr>
        <w:rPr>
          <w:i/>
          <w:noProof/>
        </w:rPr>
      </w:pPr>
      <w:r>
        <w:rPr>
          <w:i/>
          <w:noProof/>
        </w:rPr>
        <w:t xml:space="preserve">2001. gada </w:t>
      </w:r>
      <w:r>
        <w:rPr>
          <w:i/>
          <w:noProof/>
        </w:rPr>
        <w:t>Likums CXX par kapitāla tirgu.</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RO</w:t>
      </w:r>
      <w:r>
        <w:rPr>
          <w:noProof/>
        </w:rPr>
        <w:t>: tirgus dalībnieki ir juridiskas personas, kas izveidotas kā akciju sabiedrības saskaņā ar Sabiedrību tiesībām. Alternatīvas tirdzniecības sistēmas (daudzpusēja ti</w:t>
      </w:r>
      <w:r>
        <w:rPr>
          <w:noProof/>
        </w:rPr>
        <w:t>rdzniecības sistēma (DTS) saskaņā ar FITD II direktīvu) var pārvaldīt sistēmas operators, kas izveidots saskaņā ar iepriekš minētajiem nosacījumiem, vai investīciju sabiedrība, kurai atļauju piešķīrusi</w:t>
      </w:r>
      <w:r>
        <w:rPr>
          <w:i/>
          <w:noProof/>
        </w:rPr>
        <w:t xml:space="preserve"> ASF</w:t>
      </w:r>
      <w:r>
        <w:rPr>
          <w:noProof/>
        </w:rPr>
        <w:t xml:space="preserve"> (</w:t>
      </w:r>
      <w:r>
        <w:rPr>
          <w:i/>
          <w:noProof/>
        </w:rPr>
        <w:t>Autoritatea de Supraveghere Financiară</w:t>
      </w:r>
      <w:r>
        <w:rPr>
          <w:noProof/>
        </w:rPr>
        <w:t xml:space="preserve"> – Finanšu </w:t>
      </w:r>
      <w:r>
        <w:rPr>
          <w:noProof/>
        </w:rPr>
        <w:t>uzraudzības iestāde).</w:t>
      </w:r>
    </w:p>
    <w:p w:rsidR="003E022D" w:rsidRDefault="007D19D6">
      <w:pPr>
        <w:rPr>
          <w:noProof/>
        </w:rPr>
      </w:pPr>
      <w:r>
        <w:rPr>
          <w:b/>
          <w:noProof/>
        </w:rPr>
        <w:t>SI:</w:t>
      </w:r>
      <w:r>
        <w:rPr>
          <w:noProof/>
        </w:rPr>
        <w:t xml:space="preserve"> pensiju shēmas pakalpojumus var nodrošināt kopējs pensiju fonds (kas nav juridiska persona un ko tāpēc pārvalda apdrošināšanas sabiedrība, banka vai pensiju fondu sabiedrība), pensiju fondu sabiedrība vai apdrošināšanas sabiedrība</w:t>
      </w:r>
      <w:r>
        <w:rPr>
          <w:noProof/>
        </w:rPr>
        <w:t>. Turklāt pensiju shēmas var piedāvāt arī pensiju shēmu nodrošinātāji, kas veic uzņēmējdarbību saskaņā ar noteikumiem, kas piemērojami kādā no Eiropas Savienības dalībvalstīm.</w:t>
      </w:r>
    </w:p>
    <w:p w:rsidR="003E022D" w:rsidRDefault="007D19D6">
      <w:pPr>
        <w:rPr>
          <w:b/>
          <w:i/>
          <w:noProof/>
        </w:rPr>
      </w:pPr>
      <w:r>
        <w:rPr>
          <w:b/>
          <w:i/>
          <w:noProof/>
        </w:rPr>
        <w:t>Pasākumi</w:t>
      </w:r>
    </w:p>
    <w:p w:rsidR="003E022D" w:rsidRDefault="007D19D6">
      <w:pPr>
        <w:rPr>
          <w:i/>
          <w:noProof/>
        </w:rPr>
      </w:pPr>
      <w:r>
        <w:rPr>
          <w:b/>
          <w:i/>
          <w:noProof/>
        </w:rPr>
        <w:t>RO</w:t>
      </w:r>
      <w:r>
        <w:rPr>
          <w:i/>
          <w:noProof/>
        </w:rPr>
        <w:t>: 2018. gada 11. jūnija Likums Nr. 126 par finanšu instrumentiem un R</w:t>
      </w:r>
      <w:r>
        <w:rPr>
          <w:i/>
          <w:noProof/>
        </w:rPr>
        <w:t xml:space="preserve">egula Nr. 1/2017, ar grozījumiem un papildinājumiem Regulā Nr. 2/2006 par regulētiem tirgiem un alternatīvām tirdzniecības sistēmām, kas apstiprināta ar NSC rīkojumu Nr. 15/2006 – ASF – Autoritatea de Supraveghere Financiară – Finanšu uzraudzības iestāde. </w:t>
      </w:r>
      <w:r>
        <w:rPr>
          <w:b/>
          <w:i/>
          <w:noProof/>
        </w:rPr>
        <w:t>SI</w:t>
      </w:r>
      <w:r>
        <w:rPr>
          <w:i/>
          <w:noProof/>
        </w:rPr>
        <w:t>: Pensiju un invaliditātes apdrošināšanas likums (Official Gazette no. 102/15, kurā jaunākie grozījumi izdarīti ar Nr. 28/19 ).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HU</w:t>
      </w:r>
      <w:r>
        <w:rPr>
          <w:noProof/>
        </w:rPr>
        <w:t>: sabiedrības, kas ir no valstīm ārpus EEZ, var snieg</w:t>
      </w:r>
      <w:r>
        <w:rPr>
          <w:noProof/>
        </w:rPr>
        <w:t>t finanšu pakalpojumus vai iesaistīties finanšu pakalpojumus papildinošās darbībās, izmantojot vienīgi tās filiāli Ungārijā.</w:t>
      </w:r>
    </w:p>
    <w:p w:rsidR="003E022D" w:rsidRDefault="007D19D6">
      <w:pPr>
        <w:rPr>
          <w:b/>
          <w:i/>
          <w:noProof/>
        </w:rPr>
      </w:pPr>
      <w:r>
        <w:rPr>
          <w:b/>
          <w:i/>
          <w:noProof/>
        </w:rPr>
        <w:t>Pasākumi</w:t>
      </w:r>
    </w:p>
    <w:p w:rsidR="003E022D" w:rsidRDefault="007D19D6">
      <w:pPr>
        <w:rPr>
          <w:i/>
          <w:noProof/>
        </w:rPr>
      </w:pPr>
      <w:r>
        <w:rPr>
          <w:b/>
          <w:i/>
          <w:noProof/>
        </w:rPr>
        <w:t>HU</w:t>
      </w:r>
      <w:r>
        <w:rPr>
          <w:i/>
          <w:noProof/>
        </w:rPr>
        <w:t>: 2013. gada Likums CCXXXVII par kredītiestādēm un finanšu uzņēmumiem;</w:t>
      </w:r>
    </w:p>
    <w:p w:rsidR="003E022D" w:rsidRDefault="007D19D6">
      <w:pPr>
        <w:rPr>
          <w:i/>
          <w:noProof/>
        </w:rPr>
      </w:pPr>
      <w:r>
        <w:rPr>
          <w:i/>
          <w:noProof/>
        </w:rPr>
        <w:t xml:space="preserve">2013. gada Likums CCXXXVII par kredītiestādēm un </w:t>
      </w:r>
      <w:r>
        <w:rPr>
          <w:i/>
          <w:noProof/>
        </w:rPr>
        <w:t>finanšu uzņēmumiem; un</w:t>
      </w:r>
    </w:p>
    <w:p w:rsidR="003E022D" w:rsidRDefault="007D19D6">
      <w:pPr>
        <w:rPr>
          <w:i/>
          <w:noProof/>
        </w:rPr>
      </w:pPr>
      <w:r>
        <w:rPr>
          <w:i/>
          <w:noProof/>
        </w:rPr>
        <w:t>2001. gada Likums CXX par kapitāla tirgu.</w:t>
      </w:r>
      <w:bookmarkEnd w:id="1098"/>
      <w:bookmarkEnd w:id="1099"/>
      <w:bookmarkEnd w:id="1100"/>
      <w:bookmarkEnd w:id="1103"/>
    </w:p>
    <w:p w:rsidR="003E022D" w:rsidRDefault="007D19D6">
      <w:pPr>
        <w:spacing w:after="160" w:line="259" w:lineRule="auto"/>
        <w:jc w:val="left"/>
        <w:rPr>
          <w:b/>
          <w:noProof/>
        </w:rPr>
      </w:pPr>
      <w:bookmarkStart w:id="1106" w:name="_Toc452570636"/>
      <w:bookmarkStart w:id="1107" w:name="_Toc476832039"/>
      <w:bookmarkStart w:id="1108" w:name="_Toc500420033"/>
      <w:bookmarkStart w:id="1109" w:name="_Toc5371326"/>
      <w:bookmarkStart w:id="1110" w:name="_Toc53746670"/>
      <w:bookmarkStart w:id="1111" w:name="_Toc57917379"/>
      <w:r>
        <w:rPr>
          <w:noProof/>
        </w:rPr>
        <w:br w:type="page"/>
      </w:r>
    </w:p>
    <w:p w:rsidR="003E022D" w:rsidRDefault="007D19D6">
      <w:pPr>
        <w:rPr>
          <w:b/>
          <w:noProof/>
        </w:rPr>
      </w:pPr>
      <w:r>
        <w:rPr>
          <w:b/>
          <w:noProof/>
        </w:rPr>
        <w:t xml:space="preserve">13. atruna. Veselības </w:t>
      </w:r>
      <w:bookmarkEnd w:id="1106"/>
      <w:bookmarkEnd w:id="1107"/>
      <w:bookmarkEnd w:id="1108"/>
      <w:r>
        <w:rPr>
          <w:b/>
          <w:noProof/>
        </w:rPr>
        <w:t>pakalpojumi un sociālie pakalpojumi</w:t>
      </w:r>
      <w:bookmarkEnd w:id="1109"/>
      <w:bookmarkEnd w:id="1110"/>
      <w:bookmarkEnd w:id="1111"/>
      <w:r>
        <w:rPr>
          <w:b/>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rPr>
                <w:noProof/>
              </w:rPr>
            </w:pPr>
            <w:r>
              <w:rPr>
                <w:noProof/>
              </w:rPr>
              <w:t>Veselības pakalpojumi un sociālie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rPr>
                <w:noProof/>
              </w:rPr>
            </w:pPr>
            <w:r>
              <w:rPr>
                <w:noProof/>
              </w:rPr>
              <w:t>CPC 931 un 933</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rPr>
                <w:noProof/>
              </w:rPr>
            </w:pPr>
            <w:r>
              <w:rPr>
                <w:noProof/>
              </w:rPr>
              <w:t>Investīciju liberalizācija, pakalpojumu pārrobežu tirdzniecība</w:t>
            </w:r>
          </w:p>
        </w:tc>
      </w:tr>
      <w:tr w:rsidR="003E022D">
        <w:tc>
          <w:tcPr>
            <w:tcW w:w="2619" w:type="dxa"/>
          </w:tcPr>
          <w:p w:rsidR="003E022D" w:rsidRDefault="007D19D6">
            <w:pPr>
              <w:spacing w:afterAutospacing="0"/>
              <w:rPr>
                <w:b/>
                <w:bCs/>
                <w:noProof/>
              </w:rPr>
            </w:pPr>
            <w:r>
              <w:rPr>
                <w:b/>
                <w:bCs/>
                <w:noProof/>
              </w:rPr>
              <w:t>Valdības līmenis:</w:t>
            </w:r>
          </w:p>
        </w:tc>
        <w:tc>
          <w:tcPr>
            <w:tcW w:w="6407"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DE</w:t>
      </w:r>
      <w:r>
        <w:rPr>
          <w:noProof/>
        </w:rPr>
        <w:t xml:space="preserve"> (attiecas arī uz valdības reģionālo līmeni): glābšanas pakalpojumus un “kvalificētus neatliekamās medicīniskās palīdzības pakalpojumus” organizē un reglamentē federālās zemes. Lielākā daļa federālo zemju glābšanas pakalpojumu jomā kompetences deleģē paš</w:t>
      </w:r>
      <w:r>
        <w:rPr>
          <w:noProof/>
        </w:rPr>
        <w:t xml:space="preserve">valdībām. Pašvaldībām ir atļauts dot priekšroku bezpeļņas organizācijām. Minētais attiecas gan uz ārvalstu, gan iekšzemes pakalpojumu sniedzējiem (CPC 931, 933). Neatliekamās medicīniskās palīdzības pakalpojumiem piemēro plānošanas, atļaujas saņemšanas un </w:t>
      </w:r>
      <w:r>
        <w:rPr>
          <w:noProof/>
        </w:rPr>
        <w:t>akreditācijas prasību. Attiecībā uz telemedicīnu IST (informācijas un sakaru tehnoloģiju) pakalpojumu sniedzēju skaits var būt ierobežots, lai garantētu sadarbspēju, saderību un nepieciešamo drošības standartu ievērošanu. Šo ierobežojumu piemēro bez diskri</w:t>
      </w:r>
      <w:r>
        <w:rPr>
          <w:noProof/>
        </w:rPr>
        <w:t xml:space="preserve">minācijas. </w:t>
      </w:r>
    </w:p>
    <w:p w:rsidR="003E022D" w:rsidRDefault="007D19D6">
      <w:pPr>
        <w:rPr>
          <w:noProof/>
        </w:rPr>
      </w:pPr>
      <w:r>
        <w:rPr>
          <w:b/>
          <w:noProof/>
        </w:rPr>
        <w:t>HR</w:t>
      </w:r>
      <w:r>
        <w:rPr>
          <w:noProof/>
        </w:rPr>
        <w:t xml:space="preserve">: dažu privāti finansētu sociālās aprūpes iestāžu izveidei var tikt piemēroti ar vajadzībām pamatoti ierobežojumi konkrētās ģeogrāfiskās teritorijās (CPC 9311, 93192, 93193, 933). </w:t>
      </w:r>
    </w:p>
    <w:p w:rsidR="003E022D" w:rsidRDefault="007D19D6">
      <w:pPr>
        <w:rPr>
          <w:noProof/>
        </w:rPr>
      </w:pPr>
      <w:r>
        <w:rPr>
          <w:b/>
          <w:noProof/>
        </w:rPr>
        <w:t>SI</w:t>
      </w:r>
      <w:r>
        <w:rPr>
          <w:noProof/>
        </w:rPr>
        <w:t>: valsts monopols ir rezervēts šādiem pakalpojumiem: asins,</w:t>
      </w:r>
      <w:r>
        <w:rPr>
          <w:noProof/>
        </w:rPr>
        <w:t xml:space="preserve"> asins pagatavojumu nodrošināšana, cilvēka orgānu izņemšana un konservācija transplantācijai, sociālie un medicīnas, higiēnas, epidemioloģiskie un veselības un ekoloģiskie pakalpojumi, pataloganatomijas pakalpojumi un biomedicīniski asistēta apaugļošana (C</w:t>
      </w:r>
      <w:r>
        <w:rPr>
          <w:noProof/>
        </w:rPr>
        <w:t xml:space="preserve">PC 931). </w:t>
      </w:r>
    </w:p>
    <w:p w:rsidR="003E022D" w:rsidRDefault="007D19D6">
      <w:pPr>
        <w:rPr>
          <w:b/>
          <w:i/>
          <w:noProof/>
        </w:rPr>
      </w:pPr>
      <w:r>
        <w:rPr>
          <w:b/>
          <w:i/>
          <w:noProof/>
        </w:rPr>
        <w:t xml:space="preserve">Pasākumi </w:t>
      </w:r>
    </w:p>
    <w:p w:rsidR="003E022D" w:rsidRDefault="007D19D6">
      <w:pPr>
        <w:rPr>
          <w:i/>
          <w:noProof/>
        </w:rPr>
      </w:pPr>
      <w:r>
        <w:rPr>
          <w:b/>
          <w:i/>
          <w:noProof/>
        </w:rPr>
        <w:t>DE</w:t>
      </w:r>
      <w:r>
        <w:rPr>
          <w:i/>
          <w:noProof/>
        </w:rPr>
        <w:t>: Bundesärzteordnung (BÄO; Federālie noteikumi par ārstiem):</w:t>
      </w:r>
    </w:p>
    <w:p w:rsidR="003E022D" w:rsidRDefault="007D19D6">
      <w:pPr>
        <w:rPr>
          <w:i/>
          <w:noProof/>
        </w:rPr>
      </w:pPr>
      <w:r>
        <w:rPr>
          <w:i/>
          <w:noProof/>
        </w:rPr>
        <w:t>Gesetz über die Ausübung der Zahnheilkunde (ZHG);</w:t>
      </w:r>
    </w:p>
    <w:p w:rsidR="003E022D" w:rsidRDefault="007D19D6">
      <w:pPr>
        <w:rPr>
          <w:i/>
          <w:noProof/>
        </w:rPr>
      </w:pPr>
      <w:r>
        <w:rPr>
          <w:i/>
          <w:noProof/>
        </w:rPr>
        <w:t xml:space="preserve">Gesetz über den Beruf der Psychotherapeutin und des Psychotherapeuten (PsychThG; Likums par psihoterapijas pakalpojumu </w:t>
      </w:r>
      <w:r>
        <w:rPr>
          <w:i/>
          <w:noProof/>
        </w:rPr>
        <w:t>sniegšanu);</w:t>
      </w:r>
    </w:p>
    <w:p w:rsidR="003E022D" w:rsidRDefault="007D19D6">
      <w:pPr>
        <w:rPr>
          <w:i/>
          <w:noProof/>
        </w:rPr>
      </w:pPr>
      <w:r>
        <w:rPr>
          <w:i/>
          <w:noProof/>
        </w:rPr>
        <w:t>Gesetz über die berufsmäßige Ausübung der Heilkunde ohne Bestallung (Heilpraktikergesetz);</w:t>
      </w:r>
    </w:p>
    <w:p w:rsidR="003E022D" w:rsidRDefault="007D19D6">
      <w:pPr>
        <w:rPr>
          <w:i/>
          <w:noProof/>
        </w:rPr>
      </w:pPr>
      <w:r>
        <w:rPr>
          <w:i/>
          <w:noProof/>
        </w:rPr>
        <w:t>Gesetz über das Studium und den Beruf der Hebammen (HebG);</w:t>
      </w:r>
    </w:p>
    <w:p w:rsidR="003E022D" w:rsidRDefault="007D19D6">
      <w:pPr>
        <w:rPr>
          <w:i/>
          <w:noProof/>
        </w:rPr>
      </w:pPr>
      <w:r>
        <w:rPr>
          <w:i/>
          <w:noProof/>
        </w:rPr>
        <w:t>Gesetz über den Beruf der Notfallsanitäterin und des Notfallsanitäters (NotSanG);</w:t>
      </w:r>
    </w:p>
    <w:p w:rsidR="003E022D" w:rsidRDefault="007D19D6">
      <w:pPr>
        <w:rPr>
          <w:i/>
          <w:noProof/>
        </w:rPr>
      </w:pPr>
      <w:r>
        <w:rPr>
          <w:i/>
          <w:noProof/>
        </w:rPr>
        <w:t xml:space="preserve">Gesetz über </w:t>
      </w:r>
      <w:r>
        <w:rPr>
          <w:i/>
          <w:noProof/>
        </w:rPr>
        <w:t>die Pflegeberufe (PflBG);</w:t>
      </w:r>
    </w:p>
    <w:p w:rsidR="003E022D" w:rsidRDefault="007D19D6">
      <w:pPr>
        <w:rPr>
          <w:i/>
          <w:noProof/>
        </w:rPr>
      </w:pPr>
      <w:r>
        <w:rPr>
          <w:i/>
          <w:noProof/>
        </w:rPr>
        <w:t>Gesetz über die Berufe in der Physiotherapie (MPhG);</w:t>
      </w:r>
    </w:p>
    <w:p w:rsidR="003E022D" w:rsidRDefault="007D19D6">
      <w:pPr>
        <w:rPr>
          <w:i/>
          <w:noProof/>
        </w:rPr>
      </w:pPr>
      <w:r>
        <w:rPr>
          <w:i/>
          <w:noProof/>
        </w:rPr>
        <w:t>Gesetz über den Beruf des Logopäden (LogopG);</w:t>
      </w:r>
    </w:p>
    <w:p w:rsidR="003E022D" w:rsidRDefault="007D19D6">
      <w:pPr>
        <w:rPr>
          <w:i/>
          <w:noProof/>
        </w:rPr>
      </w:pPr>
      <w:r>
        <w:rPr>
          <w:i/>
          <w:noProof/>
        </w:rPr>
        <w:t>Gesetz über den Beruf des Orthoptisten und der Orthoptistin (OrthoptG);</w:t>
      </w:r>
    </w:p>
    <w:p w:rsidR="003E022D" w:rsidRDefault="007D19D6">
      <w:pPr>
        <w:rPr>
          <w:i/>
          <w:noProof/>
        </w:rPr>
      </w:pPr>
      <w:r>
        <w:rPr>
          <w:i/>
          <w:noProof/>
        </w:rPr>
        <w:t>Gesetz über den Beruf der Podologin und des Podologen (PodG</w:t>
      </w:r>
      <w:r>
        <w:rPr>
          <w:i/>
          <w:noProof/>
        </w:rPr>
        <w:t>);</w:t>
      </w:r>
    </w:p>
    <w:p w:rsidR="003E022D" w:rsidRDefault="007D19D6">
      <w:pPr>
        <w:rPr>
          <w:i/>
          <w:noProof/>
        </w:rPr>
      </w:pPr>
      <w:r>
        <w:rPr>
          <w:i/>
          <w:noProof/>
        </w:rPr>
        <w:t>Gesetz über den Beruf der Diätassistentin und des Diätassistenten (DiätAssG);</w:t>
      </w:r>
    </w:p>
    <w:p w:rsidR="003E022D" w:rsidRDefault="007D19D6">
      <w:pPr>
        <w:rPr>
          <w:i/>
          <w:noProof/>
        </w:rPr>
      </w:pPr>
      <w:r>
        <w:rPr>
          <w:i/>
          <w:noProof/>
        </w:rPr>
        <w:t>Gesetz über den Beruf der Ergotherapeutin und des Ergotherapeuten (ErgThg); Bundesapothekerordnung (BapO);</w:t>
      </w:r>
    </w:p>
    <w:p w:rsidR="003E022D" w:rsidRDefault="007D19D6">
      <w:pPr>
        <w:rPr>
          <w:i/>
          <w:noProof/>
        </w:rPr>
      </w:pPr>
      <w:r>
        <w:rPr>
          <w:i/>
          <w:noProof/>
        </w:rPr>
        <w:t>Gesetz über den Beruf des pharmazeutisch-technischen Assistenten (PT</w:t>
      </w:r>
      <w:r>
        <w:rPr>
          <w:i/>
          <w:noProof/>
        </w:rPr>
        <w:t>AG);</w:t>
      </w:r>
    </w:p>
    <w:p w:rsidR="003E022D" w:rsidRDefault="007D19D6">
      <w:pPr>
        <w:rPr>
          <w:i/>
          <w:noProof/>
        </w:rPr>
      </w:pPr>
      <w:r>
        <w:rPr>
          <w:i/>
          <w:noProof/>
        </w:rPr>
        <w:t>Gesetz über technische Assistenten in der Medizin (MTAG);</w:t>
      </w:r>
    </w:p>
    <w:p w:rsidR="003E022D" w:rsidRDefault="007D19D6">
      <w:pPr>
        <w:rPr>
          <w:i/>
          <w:noProof/>
        </w:rPr>
      </w:pPr>
      <w:r>
        <w:rPr>
          <w:i/>
          <w:noProof/>
        </w:rPr>
        <w:t>Gesetz zur wirtschaftlichen Sicherung der Krankenhäuser und zur Regelung der Krankenhauspflegesätze (Krankenhausfinanzierungsgesetz - KHG);</w:t>
      </w:r>
    </w:p>
    <w:p w:rsidR="003E022D" w:rsidRDefault="007D19D6">
      <w:pPr>
        <w:rPr>
          <w:i/>
          <w:noProof/>
        </w:rPr>
      </w:pPr>
      <w:r>
        <w:rPr>
          <w:i/>
          <w:noProof/>
        </w:rPr>
        <w:t xml:space="preserve">Gewerbeordnung (Vācijas Tirdzniecības, komercijas un </w:t>
      </w:r>
      <w:r>
        <w:rPr>
          <w:i/>
          <w:noProof/>
        </w:rPr>
        <w:t>rūpniecības regulējuma likums);</w:t>
      </w:r>
    </w:p>
    <w:p w:rsidR="003E022D" w:rsidRDefault="007D19D6">
      <w:pPr>
        <w:rPr>
          <w:i/>
          <w:noProof/>
        </w:rPr>
      </w:pPr>
      <w:r>
        <w:rPr>
          <w:i/>
          <w:noProof/>
        </w:rPr>
        <w:t>Sozialgesetzbuch Fünftes Buch (SGB V; Sociālā nodrošinājuma kodekss, Piektā grāmata) –  obligātā veselības apdrošināšana;</w:t>
      </w:r>
    </w:p>
    <w:p w:rsidR="003E022D" w:rsidRDefault="007D19D6">
      <w:pPr>
        <w:rPr>
          <w:i/>
          <w:noProof/>
        </w:rPr>
      </w:pPr>
      <w:r>
        <w:rPr>
          <w:i/>
          <w:noProof/>
        </w:rPr>
        <w:t>Sozialgesetzbuch Sechstes Buch (SGB VI; Sociālā nodrošinājuma kodekss, Sestā grāmata) –  valsts obligā</w:t>
      </w:r>
      <w:r>
        <w:rPr>
          <w:i/>
          <w:noProof/>
        </w:rPr>
        <w:t>tā pensiju apdrošināšana;</w:t>
      </w:r>
    </w:p>
    <w:p w:rsidR="003E022D" w:rsidRDefault="007D19D6">
      <w:pPr>
        <w:rPr>
          <w:i/>
          <w:noProof/>
        </w:rPr>
      </w:pPr>
      <w:r>
        <w:rPr>
          <w:i/>
          <w:noProof/>
        </w:rPr>
        <w:t>Sozialgesetzbuch Siebtes Buch (SGB VII; Sociālā nodrošinājuma kodekss, Septītā grāmata) –  obligātā nelaimes gadījumu apdrošināšana;</w:t>
      </w:r>
    </w:p>
    <w:p w:rsidR="003E022D" w:rsidRDefault="007D19D6">
      <w:pPr>
        <w:rPr>
          <w:i/>
          <w:noProof/>
        </w:rPr>
      </w:pPr>
      <w:r>
        <w:rPr>
          <w:i/>
          <w:noProof/>
        </w:rPr>
        <w:t>Sozialgesetzbuch Neuntes Buch (SGB IX; Sociālā nodrošinājuma kodekss, Devītā grāmata) – personu a</w:t>
      </w:r>
      <w:r>
        <w:rPr>
          <w:i/>
          <w:noProof/>
        </w:rPr>
        <w:t>r invaliditāti rehabilitācija un līdzdalība;</w:t>
      </w:r>
    </w:p>
    <w:p w:rsidR="003E022D" w:rsidRDefault="007D19D6">
      <w:pPr>
        <w:rPr>
          <w:i/>
          <w:noProof/>
        </w:rPr>
      </w:pPr>
      <w:r>
        <w:rPr>
          <w:i/>
          <w:noProof/>
        </w:rPr>
        <w:t>Sozialgesetzbuch Elftes Buch (SGB XI; Sociālā nodrošinājuma kodekss, Vienpadsmitā grāmata) – sociālā palīdzība;</w:t>
      </w:r>
    </w:p>
    <w:p w:rsidR="003E022D" w:rsidRDefault="007D19D6">
      <w:pPr>
        <w:rPr>
          <w:i/>
          <w:noProof/>
        </w:rPr>
      </w:pPr>
      <w:r>
        <w:rPr>
          <w:i/>
          <w:noProof/>
        </w:rPr>
        <w:t>Personenbeförderungsgesetz (PBefG; Publiskā transporta likums).</w:t>
      </w:r>
    </w:p>
    <w:p w:rsidR="003E022D" w:rsidRDefault="007D19D6">
      <w:pPr>
        <w:rPr>
          <w:i/>
          <w:noProof/>
        </w:rPr>
      </w:pPr>
      <w:r>
        <w:rPr>
          <w:i/>
          <w:noProof/>
        </w:rPr>
        <w:t>Reģionālā līmenī:</w:t>
      </w:r>
    </w:p>
    <w:p w:rsidR="003E022D" w:rsidRDefault="007D19D6">
      <w:pPr>
        <w:rPr>
          <w:i/>
          <w:noProof/>
        </w:rPr>
      </w:pPr>
      <w:r>
        <w:rPr>
          <w:i/>
          <w:noProof/>
        </w:rPr>
        <w:t>Gesetz über den R</w:t>
      </w:r>
      <w:r>
        <w:rPr>
          <w:i/>
          <w:noProof/>
        </w:rPr>
        <w:t>ettungsdienst (Rettungsdienstgesetz - RDG) in Baden-Württemberg;</w:t>
      </w:r>
    </w:p>
    <w:p w:rsidR="003E022D" w:rsidRDefault="007D19D6">
      <w:pPr>
        <w:rPr>
          <w:i/>
          <w:noProof/>
        </w:rPr>
      </w:pPr>
      <w:r>
        <w:rPr>
          <w:i/>
          <w:noProof/>
        </w:rPr>
        <w:t>Bayerisches Rettungsdienstgesetz (BayRDG);</w:t>
      </w:r>
    </w:p>
    <w:p w:rsidR="003E022D" w:rsidRDefault="007D19D6">
      <w:pPr>
        <w:rPr>
          <w:i/>
          <w:noProof/>
        </w:rPr>
      </w:pPr>
      <w:r>
        <w:rPr>
          <w:i/>
          <w:noProof/>
        </w:rPr>
        <w:t>Gesetz über den Rettungsdienst für das Land Berlin (Rettungsdienstgesetz);</w:t>
      </w:r>
    </w:p>
    <w:p w:rsidR="003E022D" w:rsidRDefault="007D19D6">
      <w:pPr>
        <w:rPr>
          <w:i/>
          <w:noProof/>
        </w:rPr>
      </w:pPr>
      <w:r>
        <w:rPr>
          <w:i/>
          <w:noProof/>
        </w:rPr>
        <w:t>Gesetz über den Rettungsdienst im Land Brandenburg (BbgRettG);</w:t>
      </w:r>
    </w:p>
    <w:p w:rsidR="003E022D" w:rsidRDefault="007D19D6">
      <w:pPr>
        <w:rPr>
          <w:i/>
          <w:noProof/>
        </w:rPr>
      </w:pPr>
      <w:r>
        <w:rPr>
          <w:i/>
          <w:noProof/>
        </w:rPr>
        <w:t>Bremisches</w:t>
      </w:r>
      <w:r>
        <w:rPr>
          <w:i/>
          <w:noProof/>
        </w:rPr>
        <w:t xml:space="preserve"> Hilfeleistungsgesetz (BremHilfeG);</w:t>
      </w:r>
    </w:p>
    <w:p w:rsidR="003E022D" w:rsidRDefault="007D19D6">
      <w:pPr>
        <w:rPr>
          <w:i/>
          <w:noProof/>
        </w:rPr>
      </w:pPr>
      <w:r>
        <w:rPr>
          <w:i/>
          <w:noProof/>
        </w:rPr>
        <w:t>Hamburgisches Rettungsdienstgesetz (HmbRDG);</w:t>
      </w:r>
    </w:p>
    <w:p w:rsidR="003E022D" w:rsidRDefault="007D19D6">
      <w:pPr>
        <w:rPr>
          <w:i/>
          <w:noProof/>
        </w:rPr>
      </w:pPr>
      <w:r>
        <w:rPr>
          <w:i/>
          <w:noProof/>
        </w:rPr>
        <w:t>Gesetz über den Rettungsdienst für das Land Mecklenburg-Vorpommern (RDGM-V);</w:t>
      </w:r>
    </w:p>
    <w:p w:rsidR="003E022D" w:rsidRDefault="007D19D6">
      <w:pPr>
        <w:rPr>
          <w:i/>
          <w:noProof/>
        </w:rPr>
      </w:pPr>
      <w:r>
        <w:rPr>
          <w:i/>
          <w:noProof/>
        </w:rPr>
        <w:t>Niedersächsisches Rettungsdienstgesetz (NRettDG);</w:t>
      </w:r>
    </w:p>
    <w:p w:rsidR="003E022D" w:rsidRDefault="007D19D6">
      <w:pPr>
        <w:rPr>
          <w:i/>
          <w:noProof/>
        </w:rPr>
      </w:pPr>
      <w:r>
        <w:rPr>
          <w:i/>
          <w:noProof/>
        </w:rPr>
        <w:t xml:space="preserve">Gesetz über den Rettungsdienst sowie die </w:t>
      </w:r>
      <w:r>
        <w:rPr>
          <w:i/>
          <w:noProof/>
        </w:rPr>
        <w:t>Notfallrettung und den Krankentransport durch</w:t>
      </w:r>
    </w:p>
    <w:p w:rsidR="003E022D" w:rsidRDefault="007D19D6">
      <w:pPr>
        <w:rPr>
          <w:i/>
          <w:noProof/>
        </w:rPr>
      </w:pPr>
      <w:r>
        <w:rPr>
          <w:i/>
          <w:noProof/>
        </w:rPr>
        <w:t>Unternehmer (RettG NRW);</w:t>
      </w:r>
    </w:p>
    <w:p w:rsidR="003E022D" w:rsidRDefault="007D19D6">
      <w:pPr>
        <w:rPr>
          <w:i/>
          <w:noProof/>
        </w:rPr>
      </w:pPr>
      <w:r>
        <w:rPr>
          <w:i/>
          <w:noProof/>
        </w:rPr>
        <w:t>Landesgesetz über den Rettungsdienst sowie den Notfall- und Krankentransport (RettDG);</w:t>
      </w:r>
    </w:p>
    <w:p w:rsidR="003E022D" w:rsidRDefault="007D19D6">
      <w:pPr>
        <w:rPr>
          <w:i/>
          <w:noProof/>
        </w:rPr>
      </w:pPr>
      <w:r>
        <w:rPr>
          <w:i/>
          <w:noProof/>
        </w:rPr>
        <w:t>Saarländisches Rettungsdienstgesetz (SRettG);</w:t>
      </w:r>
    </w:p>
    <w:p w:rsidR="003E022D" w:rsidRDefault="007D19D6">
      <w:pPr>
        <w:rPr>
          <w:i/>
          <w:noProof/>
        </w:rPr>
      </w:pPr>
      <w:r>
        <w:rPr>
          <w:i/>
          <w:noProof/>
        </w:rPr>
        <w:t>Sächsisches Gesetz über den Brandschutz, Rettungsdie</w:t>
      </w:r>
      <w:r>
        <w:rPr>
          <w:i/>
          <w:noProof/>
        </w:rPr>
        <w:t>nst und Katastrophenschutz (SächsBRKG);</w:t>
      </w:r>
    </w:p>
    <w:p w:rsidR="003E022D" w:rsidRDefault="007D19D6">
      <w:pPr>
        <w:rPr>
          <w:i/>
          <w:noProof/>
        </w:rPr>
      </w:pPr>
      <w:r>
        <w:rPr>
          <w:i/>
          <w:noProof/>
        </w:rPr>
        <w:t>Rettungsdienstgesetz des Landes Sachsen-Anhalt (RettDG LSA);</w:t>
      </w:r>
    </w:p>
    <w:p w:rsidR="003E022D" w:rsidRDefault="007D19D6">
      <w:pPr>
        <w:rPr>
          <w:i/>
          <w:noProof/>
        </w:rPr>
      </w:pPr>
      <w:r>
        <w:rPr>
          <w:i/>
          <w:noProof/>
        </w:rPr>
        <w:t>Schleswig-Holsteinisches Rettungsdienstgesetz (SHRDG);</w:t>
      </w:r>
    </w:p>
    <w:p w:rsidR="003E022D" w:rsidRDefault="007D19D6">
      <w:pPr>
        <w:rPr>
          <w:i/>
          <w:noProof/>
        </w:rPr>
      </w:pPr>
      <w:r>
        <w:rPr>
          <w:i/>
          <w:noProof/>
        </w:rPr>
        <w:t>Thüringer Rettungsdienstgesetz (ThüRettG);</w:t>
      </w:r>
    </w:p>
    <w:p w:rsidR="003E022D" w:rsidRDefault="007D19D6">
      <w:pPr>
        <w:rPr>
          <w:i/>
          <w:noProof/>
        </w:rPr>
      </w:pPr>
      <w:r>
        <w:rPr>
          <w:i/>
          <w:noProof/>
        </w:rPr>
        <w:t>Landespflegegesetze:</w:t>
      </w:r>
    </w:p>
    <w:p w:rsidR="003E022D" w:rsidRDefault="007D19D6">
      <w:pPr>
        <w:rPr>
          <w:i/>
          <w:noProof/>
        </w:rPr>
      </w:pPr>
      <w:r>
        <w:rPr>
          <w:i/>
          <w:noProof/>
        </w:rPr>
        <w:t>Gesetz zur Umsetzung der Pflegeversi</w:t>
      </w:r>
      <w:r>
        <w:rPr>
          <w:i/>
          <w:noProof/>
        </w:rPr>
        <w:t>cherung in Baden-Württemberg (Landespflegegesetz -</w:t>
      </w:r>
    </w:p>
    <w:p w:rsidR="003E022D" w:rsidRDefault="007D19D6">
      <w:pPr>
        <w:rPr>
          <w:i/>
          <w:noProof/>
        </w:rPr>
      </w:pPr>
      <w:r>
        <w:rPr>
          <w:i/>
          <w:noProof/>
        </w:rPr>
        <w:t>LPflG);</w:t>
      </w:r>
    </w:p>
    <w:p w:rsidR="003E022D" w:rsidRDefault="007D19D6">
      <w:pPr>
        <w:rPr>
          <w:i/>
          <w:noProof/>
        </w:rPr>
      </w:pPr>
      <w:r>
        <w:rPr>
          <w:i/>
          <w:noProof/>
        </w:rPr>
        <w:t>Gesetz zur Ausführung der Sozialgesetze (AGSG);</w:t>
      </w:r>
    </w:p>
    <w:p w:rsidR="003E022D" w:rsidRDefault="007D19D6">
      <w:pPr>
        <w:rPr>
          <w:i/>
          <w:noProof/>
        </w:rPr>
      </w:pPr>
      <w:r>
        <w:rPr>
          <w:i/>
          <w:noProof/>
        </w:rPr>
        <w:t>Gesetz zur Planung und Finanzierung von Pflegeeinrichtungen (Landespflegeeinrichtungsgesetz-</w:t>
      </w:r>
    </w:p>
    <w:p w:rsidR="003E022D" w:rsidRDefault="007D19D6">
      <w:pPr>
        <w:rPr>
          <w:i/>
          <w:noProof/>
        </w:rPr>
      </w:pPr>
      <w:r>
        <w:rPr>
          <w:i/>
          <w:noProof/>
        </w:rPr>
        <w:t>LPflegEG);</w:t>
      </w:r>
    </w:p>
    <w:p w:rsidR="003E022D" w:rsidRDefault="007D19D6">
      <w:pPr>
        <w:rPr>
          <w:i/>
          <w:noProof/>
        </w:rPr>
      </w:pPr>
      <w:r>
        <w:rPr>
          <w:i/>
          <w:noProof/>
        </w:rPr>
        <w:t>Gesetz über die pflegerische Versorgung im La</w:t>
      </w:r>
      <w:r>
        <w:rPr>
          <w:i/>
          <w:noProof/>
        </w:rPr>
        <w:t>nd Brandenburg (Landespflegegesetz - LPflegeG);</w:t>
      </w:r>
    </w:p>
    <w:p w:rsidR="003E022D" w:rsidRDefault="007D19D6">
      <w:pPr>
        <w:rPr>
          <w:i/>
          <w:noProof/>
        </w:rPr>
      </w:pPr>
      <w:r>
        <w:rPr>
          <w:i/>
          <w:noProof/>
        </w:rPr>
        <w:t>Gesetz zur Ausführung des Pflege-Versicherungsgesetzes im Lande Bremen und zur Änderung</w:t>
      </w:r>
    </w:p>
    <w:p w:rsidR="003E022D" w:rsidRDefault="007D19D6">
      <w:pPr>
        <w:rPr>
          <w:i/>
          <w:noProof/>
        </w:rPr>
      </w:pPr>
      <w:r>
        <w:rPr>
          <w:i/>
          <w:noProof/>
        </w:rPr>
        <w:t>des Bremischen Ausführungsgesetzes zum Bundessozialhilfegesetz (BremAGPflegeVG);</w:t>
      </w:r>
    </w:p>
    <w:p w:rsidR="003E022D" w:rsidRDefault="007D19D6">
      <w:pPr>
        <w:rPr>
          <w:i/>
          <w:noProof/>
        </w:rPr>
      </w:pPr>
      <w:r>
        <w:rPr>
          <w:i/>
          <w:noProof/>
        </w:rPr>
        <w:t>Hamburgisches Landespflegegesetz (HmbLP</w:t>
      </w:r>
      <w:r>
        <w:rPr>
          <w:i/>
          <w:noProof/>
        </w:rPr>
        <w:t>G);</w:t>
      </w:r>
    </w:p>
    <w:p w:rsidR="003E022D" w:rsidRDefault="007D19D6">
      <w:pPr>
        <w:rPr>
          <w:i/>
          <w:noProof/>
        </w:rPr>
      </w:pPr>
      <w:r>
        <w:rPr>
          <w:i/>
          <w:noProof/>
        </w:rPr>
        <w:t>Hessisches Ausführungsgesetz zum Pflege-Versicherungsgesetz;</w:t>
      </w:r>
    </w:p>
    <w:p w:rsidR="003E022D" w:rsidRDefault="007D19D6">
      <w:pPr>
        <w:rPr>
          <w:i/>
          <w:noProof/>
        </w:rPr>
      </w:pPr>
      <w:r>
        <w:rPr>
          <w:i/>
          <w:noProof/>
        </w:rPr>
        <w:t>Landespflegegesetz (LPflegeG M-V);</w:t>
      </w:r>
    </w:p>
    <w:p w:rsidR="003E022D" w:rsidRDefault="007D19D6">
      <w:pPr>
        <w:rPr>
          <w:i/>
          <w:noProof/>
        </w:rPr>
      </w:pPr>
      <w:r>
        <w:rPr>
          <w:i/>
          <w:noProof/>
        </w:rPr>
        <w:t>Gesetz zur Planung und Förderung von Pflegeeinrichtungen nach dem Elften Buch</w:t>
      </w:r>
    </w:p>
    <w:p w:rsidR="003E022D" w:rsidRDefault="007D19D6">
      <w:pPr>
        <w:rPr>
          <w:i/>
          <w:noProof/>
        </w:rPr>
      </w:pPr>
      <w:r>
        <w:rPr>
          <w:i/>
          <w:noProof/>
        </w:rPr>
        <w:t>Sozialgesetzbuch (Niedersächsisches Pflegegesetz - NPflegeG);</w:t>
      </w:r>
    </w:p>
    <w:p w:rsidR="003E022D" w:rsidRDefault="007D19D6">
      <w:pPr>
        <w:rPr>
          <w:i/>
          <w:noProof/>
        </w:rPr>
      </w:pPr>
      <w:r>
        <w:rPr>
          <w:i/>
          <w:noProof/>
        </w:rPr>
        <w:t>Gesetz zur Weite</w:t>
      </w:r>
      <w:r>
        <w:rPr>
          <w:i/>
          <w:noProof/>
        </w:rPr>
        <w:t>rentwicklung des Landespflegerechts und Sicherung einer unterstützenden Infrastruktur für ältere Menschen, pflegebedürftige Menschen und deren Angehörige (Alten- und Pflegegesetz Nordrhein-Westfalen – APG NRW);</w:t>
      </w:r>
    </w:p>
    <w:p w:rsidR="003E022D" w:rsidRDefault="007D19D6">
      <w:pPr>
        <w:rPr>
          <w:i/>
          <w:noProof/>
        </w:rPr>
      </w:pPr>
      <w:r>
        <w:rPr>
          <w:i/>
          <w:noProof/>
        </w:rPr>
        <w:t>Landesgesetz zur Sicherstellung und Weiterent</w:t>
      </w:r>
      <w:r>
        <w:rPr>
          <w:i/>
          <w:noProof/>
        </w:rPr>
        <w:t>wicklung der pflegerischen Angebotsstruktur</w:t>
      </w:r>
    </w:p>
    <w:p w:rsidR="003E022D" w:rsidRDefault="007D19D6">
      <w:pPr>
        <w:rPr>
          <w:i/>
          <w:noProof/>
        </w:rPr>
      </w:pPr>
      <w:r>
        <w:rPr>
          <w:i/>
          <w:noProof/>
        </w:rPr>
        <w:t>(LPflegeASG) (Rheinland-Pfalz);</w:t>
      </w:r>
    </w:p>
    <w:p w:rsidR="003E022D" w:rsidRDefault="007D19D6">
      <w:pPr>
        <w:rPr>
          <w:i/>
          <w:noProof/>
        </w:rPr>
      </w:pPr>
      <w:r>
        <w:rPr>
          <w:i/>
          <w:noProof/>
        </w:rPr>
        <w:t>Gesetz Nr. 1694 zur Planung und Förderung von Angeboten für hilfe-, betreuungs- oder pflegebedürftige Menschen im Saarland (Saarländisches Pflegegesetz);</w:t>
      </w:r>
    </w:p>
    <w:p w:rsidR="003E022D" w:rsidRDefault="007D19D6">
      <w:pPr>
        <w:rPr>
          <w:i/>
          <w:noProof/>
        </w:rPr>
      </w:pPr>
      <w:r>
        <w:rPr>
          <w:i/>
          <w:noProof/>
        </w:rPr>
        <w:t>Sächsisches Pflegegesetz (</w:t>
      </w:r>
      <w:r>
        <w:rPr>
          <w:i/>
          <w:noProof/>
        </w:rPr>
        <w:t>SächsPflegeG).</w:t>
      </w:r>
    </w:p>
    <w:p w:rsidR="003E022D" w:rsidRDefault="007D19D6">
      <w:pPr>
        <w:rPr>
          <w:i/>
          <w:noProof/>
        </w:rPr>
      </w:pPr>
      <w:r>
        <w:rPr>
          <w:i/>
          <w:noProof/>
        </w:rPr>
        <w:t>Šlēsviga-Holšteina Ausführungsgesetz zum Pflege-Versicherungsgesetz (Landespflegegesetz - LPflegeG);</w:t>
      </w:r>
    </w:p>
    <w:p w:rsidR="003E022D" w:rsidRDefault="007D19D6">
      <w:pPr>
        <w:rPr>
          <w:i/>
          <w:noProof/>
        </w:rPr>
      </w:pPr>
      <w:r>
        <w:rPr>
          <w:i/>
          <w:noProof/>
        </w:rPr>
        <w:t>Thüringer Gesetz zur Ausführung des Pflege-Versicherungsgesetzes (ThürAGPflegeVG);</w:t>
      </w:r>
    </w:p>
    <w:p w:rsidR="003E022D" w:rsidRDefault="007D19D6">
      <w:pPr>
        <w:rPr>
          <w:i/>
          <w:noProof/>
        </w:rPr>
      </w:pPr>
      <w:r>
        <w:rPr>
          <w:i/>
          <w:noProof/>
        </w:rPr>
        <w:t>Landeskrankenhausgesetz Baden-Württemberg;</w:t>
      </w:r>
    </w:p>
    <w:p w:rsidR="003E022D" w:rsidRDefault="007D19D6">
      <w:pPr>
        <w:rPr>
          <w:i/>
          <w:noProof/>
        </w:rPr>
      </w:pPr>
      <w:r>
        <w:rPr>
          <w:i/>
          <w:noProof/>
        </w:rPr>
        <w:t xml:space="preserve">Bayerisches </w:t>
      </w:r>
      <w:r>
        <w:rPr>
          <w:i/>
          <w:noProof/>
        </w:rPr>
        <w:t>Krankenhausgesetz (BayKrG);</w:t>
      </w:r>
    </w:p>
    <w:p w:rsidR="003E022D" w:rsidRDefault="007D19D6">
      <w:pPr>
        <w:rPr>
          <w:i/>
          <w:noProof/>
        </w:rPr>
      </w:pPr>
      <w:r>
        <w:rPr>
          <w:i/>
          <w:noProof/>
        </w:rPr>
        <w:t>Berliner Gesetz zur Neuregelung des Krankenhausrechts;</w:t>
      </w:r>
    </w:p>
    <w:p w:rsidR="003E022D" w:rsidRDefault="007D19D6">
      <w:pPr>
        <w:rPr>
          <w:i/>
          <w:noProof/>
        </w:rPr>
      </w:pPr>
      <w:r>
        <w:rPr>
          <w:i/>
          <w:noProof/>
        </w:rPr>
        <w:t>Krankenhausentwicklungsgesetz Brandenburg (BbgKHEG);</w:t>
      </w:r>
    </w:p>
    <w:p w:rsidR="003E022D" w:rsidRDefault="007D19D6">
      <w:pPr>
        <w:rPr>
          <w:i/>
          <w:noProof/>
        </w:rPr>
      </w:pPr>
      <w:r>
        <w:rPr>
          <w:i/>
          <w:noProof/>
        </w:rPr>
        <w:t>Bremisches Krankenhausgesetz (BrmKrHG);</w:t>
      </w:r>
    </w:p>
    <w:p w:rsidR="003E022D" w:rsidRDefault="007D19D6">
      <w:pPr>
        <w:rPr>
          <w:i/>
          <w:noProof/>
        </w:rPr>
      </w:pPr>
      <w:r>
        <w:rPr>
          <w:i/>
          <w:noProof/>
        </w:rPr>
        <w:t>Hamburgisches Krankenhausgesetz (HmbKHG);</w:t>
      </w:r>
    </w:p>
    <w:p w:rsidR="003E022D" w:rsidRDefault="007D19D6">
      <w:pPr>
        <w:rPr>
          <w:i/>
          <w:noProof/>
        </w:rPr>
      </w:pPr>
      <w:r>
        <w:rPr>
          <w:i/>
          <w:noProof/>
        </w:rPr>
        <w:t>Hessisches Krankenhausgesetz 2011 (HKH</w:t>
      </w:r>
      <w:r>
        <w:rPr>
          <w:i/>
          <w:noProof/>
        </w:rPr>
        <w:t>G 2011);</w:t>
      </w:r>
    </w:p>
    <w:p w:rsidR="003E022D" w:rsidRDefault="007D19D6">
      <w:pPr>
        <w:rPr>
          <w:i/>
          <w:noProof/>
        </w:rPr>
      </w:pPr>
      <w:r>
        <w:rPr>
          <w:i/>
          <w:noProof/>
        </w:rPr>
        <w:t>Krankenhausgesetz für das Land Mecklenburg-Vorpommern (LKHG M-V);</w:t>
      </w:r>
    </w:p>
    <w:p w:rsidR="003E022D" w:rsidRDefault="007D19D6">
      <w:pPr>
        <w:rPr>
          <w:i/>
          <w:noProof/>
        </w:rPr>
      </w:pPr>
      <w:r>
        <w:rPr>
          <w:i/>
          <w:noProof/>
        </w:rPr>
        <w:t>Niedersächsisches Krankenhausgesetz (NKHG);</w:t>
      </w:r>
    </w:p>
    <w:p w:rsidR="003E022D" w:rsidRDefault="007D19D6">
      <w:pPr>
        <w:rPr>
          <w:i/>
          <w:noProof/>
        </w:rPr>
      </w:pPr>
      <w:r>
        <w:rPr>
          <w:i/>
          <w:noProof/>
        </w:rPr>
        <w:t>Krankenhausgestaltungsgesetz des Landes Nordrhein-Westfalen (KHGG NRW);</w:t>
      </w:r>
    </w:p>
    <w:p w:rsidR="003E022D" w:rsidRDefault="007D19D6">
      <w:pPr>
        <w:rPr>
          <w:i/>
          <w:noProof/>
        </w:rPr>
      </w:pPr>
      <w:r>
        <w:rPr>
          <w:i/>
          <w:noProof/>
        </w:rPr>
        <w:t>Landeskrankenhausgesetz Rheinland-Pfalz (LKG Rh-Pf);</w:t>
      </w:r>
    </w:p>
    <w:p w:rsidR="003E022D" w:rsidRDefault="007D19D6">
      <w:pPr>
        <w:rPr>
          <w:i/>
          <w:noProof/>
        </w:rPr>
      </w:pPr>
      <w:r>
        <w:rPr>
          <w:i/>
          <w:noProof/>
        </w:rPr>
        <w:t>Saarländisches Krankenhausgesetz (SKHG);</w:t>
      </w:r>
    </w:p>
    <w:p w:rsidR="003E022D" w:rsidRDefault="007D19D6">
      <w:pPr>
        <w:rPr>
          <w:i/>
          <w:noProof/>
        </w:rPr>
      </w:pPr>
      <w:r>
        <w:rPr>
          <w:i/>
          <w:noProof/>
        </w:rPr>
        <w:t>Gesetz zur Neuordnung des Krankenhauswesens (Sächsisches Krankenhausgesetz - SächsKHG);</w:t>
      </w:r>
    </w:p>
    <w:p w:rsidR="003E022D" w:rsidRDefault="007D19D6">
      <w:pPr>
        <w:rPr>
          <w:i/>
          <w:noProof/>
        </w:rPr>
      </w:pPr>
      <w:r>
        <w:rPr>
          <w:i/>
          <w:noProof/>
        </w:rPr>
        <w:t>Krankenhausgesetz Sachsen-Anhalt (KHG LSA);</w:t>
      </w:r>
    </w:p>
    <w:p w:rsidR="003E022D" w:rsidRDefault="007D19D6">
      <w:pPr>
        <w:rPr>
          <w:i/>
          <w:noProof/>
        </w:rPr>
      </w:pPr>
      <w:r>
        <w:rPr>
          <w:i/>
          <w:noProof/>
        </w:rPr>
        <w:t>Gesetz zur Ausführung des Krankenhausfinanzierungsgesetzes (AG-KHG) Šlēsvigā-Holšte</w:t>
      </w:r>
      <w:r>
        <w:rPr>
          <w:i/>
          <w:noProof/>
        </w:rPr>
        <w:t>inā;</w:t>
      </w:r>
    </w:p>
    <w:p w:rsidR="003E022D" w:rsidRDefault="007D19D6">
      <w:pPr>
        <w:rPr>
          <w:i/>
          <w:noProof/>
        </w:rPr>
      </w:pPr>
      <w:r>
        <w:rPr>
          <w:i/>
          <w:noProof/>
        </w:rPr>
        <w:t>Thüringisches Krankenhausgesetz (Thür KHG).</w:t>
      </w:r>
    </w:p>
    <w:p w:rsidR="003E022D" w:rsidRDefault="007D19D6">
      <w:pPr>
        <w:rPr>
          <w:i/>
          <w:noProof/>
        </w:rPr>
      </w:pPr>
      <w:r>
        <w:rPr>
          <w:b/>
          <w:i/>
          <w:noProof/>
        </w:rPr>
        <w:t>HR</w:t>
      </w:r>
      <w:r>
        <w:rPr>
          <w:i/>
          <w:noProof/>
        </w:rPr>
        <w:t xml:space="preserve">: Veselības aprūpes likums (OG 150/08, 71/10, 139/10, 22/11, 84/11, 12/12, 70/12, 144/12). </w:t>
      </w:r>
    </w:p>
    <w:p w:rsidR="003E022D" w:rsidRDefault="007D19D6">
      <w:pPr>
        <w:rPr>
          <w:i/>
          <w:noProof/>
        </w:rPr>
      </w:pPr>
      <w:r>
        <w:rPr>
          <w:b/>
          <w:i/>
          <w:noProof/>
        </w:rPr>
        <w:t>SI</w:t>
      </w:r>
      <w:r>
        <w:rPr>
          <w:i/>
          <w:noProof/>
        </w:rPr>
        <w:t>: Veselības pakalpojumu likums, Official Gazette of the RS, Nr. 23/2005, 1., 3. un 62.–64. pants; Neauglības ār</w:t>
      </w:r>
      <w:r>
        <w:rPr>
          <w:i/>
          <w:noProof/>
        </w:rPr>
        <w:t xml:space="preserve">stēšanas un biomedicīniski asistētas apaugļošanas likums, Official Gazette of the RS, Nr. 70/00, 15. un 16. pants, un </w:t>
      </w:r>
    </w:p>
    <w:p w:rsidR="003E022D" w:rsidRDefault="007D19D6">
      <w:pPr>
        <w:rPr>
          <w:i/>
          <w:noProof/>
        </w:rPr>
      </w:pPr>
      <w:r>
        <w:rPr>
          <w:i/>
          <w:noProof/>
        </w:rPr>
        <w:t xml:space="preserve">Asins krājumu likums (ZPKrv-1), Official Gazette of RS, Nr. 104/06, 5. un 8. pants. </w:t>
      </w:r>
    </w:p>
    <w:p w:rsidR="003E022D" w:rsidRDefault="007D19D6">
      <w:pPr>
        <w:rPr>
          <w:noProof/>
          <w:u w:val="single"/>
        </w:rPr>
      </w:pPr>
      <w:r>
        <w:rPr>
          <w:noProof/>
          <w:u w:val="single"/>
        </w:rPr>
        <w:t>Attiecībā uz investīciju liberalizāciju – piekļuve t</w:t>
      </w:r>
      <w:r>
        <w:rPr>
          <w:noProof/>
          <w:u w:val="single"/>
        </w:rPr>
        <w:t xml:space="preserve">irgum, valsts režīms </w:t>
      </w:r>
    </w:p>
    <w:p w:rsidR="003E022D" w:rsidRDefault="007D19D6">
      <w:pPr>
        <w:rPr>
          <w:noProof/>
        </w:rPr>
      </w:pPr>
      <w:r>
        <w:rPr>
          <w:b/>
          <w:noProof/>
        </w:rPr>
        <w:t>FR</w:t>
      </w:r>
      <w:r>
        <w:rPr>
          <w:noProof/>
        </w:rPr>
        <w:t xml:space="preserve">: slimnīcu un neatliekamās medicīniskās palīdzības pakalpojumu, stacionāro ārstniecības iestāžu (izņemot slimnīcas) pakalpojumu un sociālo pakalpojumu jomā ir vajadzīga atļauja, lai īstenotu vadības funkcijas. Atļaujas piešķiršanas </w:t>
      </w:r>
      <w:r>
        <w:rPr>
          <w:noProof/>
        </w:rPr>
        <w:t>procesā ņem vērā vietējo vadītāju pieejamību. Sabiedrības var būt jebkurā juridiskā formā, izņemot tās, kas attiecas tikai uz brīvajām profesijām.</w:t>
      </w:r>
    </w:p>
    <w:p w:rsidR="003E022D" w:rsidRDefault="007D19D6">
      <w:pPr>
        <w:rPr>
          <w:b/>
          <w:i/>
          <w:noProof/>
        </w:rPr>
      </w:pPr>
      <w:r>
        <w:rPr>
          <w:b/>
          <w:i/>
          <w:noProof/>
        </w:rPr>
        <w:t xml:space="preserve">Pasākumi </w:t>
      </w:r>
    </w:p>
    <w:p w:rsidR="003E022D" w:rsidRDefault="007D19D6">
      <w:pPr>
        <w:rPr>
          <w:i/>
          <w:noProof/>
        </w:rPr>
      </w:pPr>
      <w:r>
        <w:rPr>
          <w:b/>
          <w:i/>
          <w:noProof/>
        </w:rPr>
        <w:t>FR</w:t>
      </w:r>
      <w:r>
        <w:rPr>
          <w:i/>
          <w:noProof/>
        </w:rPr>
        <w:t>: Loi 90-1258 relative à l'exercice sous forme de société des professions libérales, Loi n°2011-9</w:t>
      </w:r>
      <w:r>
        <w:rPr>
          <w:i/>
          <w:noProof/>
        </w:rPr>
        <w:t xml:space="preserve">40 du 10 août 2011 modifiant certaines dipositions de la loi n°2009-879 dite HPST, Loi n°47-1775 portant statut de la coopération; un Code de la santé publique. </w:t>
      </w:r>
    </w:p>
    <w:p w:rsidR="003E022D" w:rsidRDefault="007D19D6">
      <w:pPr>
        <w:rPr>
          <w:b/>
          <w:noProof/>
        </w:rPr>
      </w:pPr>
      <w:bookmarkStart w:id="1112" w:name="_Toc452570637"/>
      <w:bookmarkStart w:id="1113" w:name="_Toc476832040"/>
      <w:bookmarkStart w:id="1114" w:name="_Toc500420034"/>
      <w:r>
        <w:rPr>
          <w:noProof/>
        </w:rPr>
        <w:br w:type="page"/>
      </w:r>
    </w:p>
    <w:p w:rsidR="003E022D" w:rsidRDefault="007D19D6">
      <w:pPr>
        <w:rPr>
          <w:b/>
          <w:noProof/>
        </w:rPr>
      </w:pPr>
      <w:bookmarkStart w:id="1115" w:name="_Toc5371327"/>
      <w:bookmarkStart w:id="1116" w:name="_Toc53746671"/>
      <w:bookmarkStart w:id="1117" w:name="_Toc57917380"/>
      <w:r>
        <w:rPr>
          <w:b/>
          <w:noProof/>
        </w:rPr>
        <w:t xml:space="preserve">14. atruna. Tūrisma pakalpojumi </w:t>
      </w:r>
      <w:bookmarkEnd w:id="1112"/>
      <w:bookmarkEnd w:id="1113"/>
      <w:bookmarkEnd w:id="1114"/>
      <w:r>
        <w:rPr>
          <w:b/>
          <w:noProof/>
        </w:rPr>
        <w:t>un ar ceļojumiem saistīti pakalpojumi</w:t>
      </w:r>
      <w:bookmarkEnd w:id="1115"/>
      <w:bookmarkEnd w:id="1116"/>
      <w:bookmarkEnd w:id="1117"/>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 xml:space="preserve">Tūrisma pakalpojumi un ar ceļojumiem saistīti pakalpojumi – viesnīcas, restorāni un ēdināšana; ceļojumu aģentūru un tūrisma operatoru pakalpojumi (ietverot ceļojumu vadītājus); tūristu gidu pakalpojumi </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CPC 641, 642, 643, 7471, 7472</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pakalpojumu pārrobežu tirdzniecība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w:t>
            </w:r>
            <w:r>
              <w:rPr>
                <w:noProof/>
              </w:rPr>
              <w:t>ādi)</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noProof/>
          <w:u w:val="single"/>
        </w:rPr>
      </w:pPr>
      <w:r>
        <w:rPr>
          <w:noProof/>
          <w:u w:val="single"/>
        </w:rPr>
        <w:t xml:space="preserve">Attiecībā uz investīciju liberalizāciju – piekļuve tirgum, valsts režīms, augstākā vadība un direktoru padomes un pakalpojumu pārrobežu tirdzniecība – piekļuve tirgum, valsts režīms </w:t>
      </w:r>
    </w:p>
    <w:p w:rsidR="003E022D" w:rsidRDefault="007D19D6">
      <w:pPr>
        <w:rPr>
          <w:noProof/>
        </w:rPr>
      </w:pPr>
      <w:r>
        <w:rPr>
          <w:b/>
          <w:noProof/>
        </w:rPr>
        <w:t>BG:</w:t>
      </w:r>
      <w:r>
        <w:rPr>
          <w:noProof/>
        </w:rPr>
        <w:t xml:space="preserve"> nepieciešama inkorporācija (filiāles nav atļautas). </w:t>
      </w:r>
      <w:r>
        <w:rPr>
          <w:noProof/>
        </w:rPr>
        <w:t xml:space="preserve">Tūrisma operatoru vai ceļojumu aģentūru pakalpojumus var sniegt persona, kura veic uzņēmējdarbību EEZ, ja, izveidojot uzņēmumu Bulgārijas teritorijā, minētā persona uzrāda tāda dokumenta eksemplāru, kas apliecina tās tiesības veikt minēto darbību, un tāda </w:t>
      </w:r>
      <w:r>
        <w:rPr>
          <w:noProof/>
        </w:rPr>
        <w:t>sertifikāta vai cita dokumenta eksemplāru, kuru izdevusi kredītiestāde vai apdrošinātājs un kurš ietver datus par apdrošināšanas spēkā esību, kas sedz attiecīgās personas atbildību par zaudējumiem, kuri var rasties sodāmas profesionālo pienākumu nepildīšan</w:t>
      </w:r>
      <w:r>
        <w:rPr>
          <w:noProof/>
        </w:rPr>
        <w:t>as rezultātā. Ja publiskā (valsts vai pašvaldība) līdzdalība Bulgārijas sabiedrības kapitālā pārsniedz 50 procentus, tad ārvalstu vadītāju skaits nedrīkst pārsniegt to vadītāju skaitu, kas ir Bulgārijas valstspiederīgie. Prasība par EEZ valstspiederību tūr</w:t>
      </w:r>
      <w:r>
        <w:rPr>
          <w:noProof/>
        </w:rPr>
        <w:t xml:space="preserve">istu gidiem (CPC 641, 642, 643, 7471, 7472).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Tūrisma likums, 61., 113. un 146. pants. </w:t>
      </w:r>
    </w:p>
    <w:p w:rsidR="003E022D" w:rsidRDefault="007D19D6">
      <w:pPr>
        <w:rPr>
          <w:noProof/>
          <w:u w:val="single"/>
        </w:rPr>
      </w:pPr>
      <w:r>
        <w:rPr>
          <w:noProof/>
          <w:u w:val="single"/>
        </w:rPr>
        <w:t xml:space="preserve">Attiecībā uz investīciju liberalizāciju – piekļuve tirgum, valsts režīms un pakalpojumu pārrobežu tirdzniecība – piekļuve tirgum, valsts režīms un klātbūtne uz vietas </w:t>
      </w:r>
    </w:p>
    <w:p w:rsidR="003E022D" w:rsidRDefault="007D19D6">
      <w:pPr>
        <w:rPr>
          <w:noProof/>
        </w:rPr>
      </w:pPr>
      <w:r>
        <w:rPr>
          <w:b/>
          <w:noProof/>
        </w:rPr>
        <w:t>CY</w:t>
      </w:r>
      <w:r>
        <w:rPr>
          <w:noProof/>
        </w:rPr>
        <w:t>: licenci tūrisma un ceļojumu sabiedrības vai aģentūras izveidei un darbībai piešķir u</w:t>
      </w:r>
      <w:r>
        <w:rPr>
          <w:noProof/>
        </w:rPr>
        <w:t>n esošas sabiedrības vai aģentūras darbības licenci atjauno tikai Eiropas Savienības fiziskām vai juridiskām personām. Nerezidējoši uzņēmumi, izņemot citā dalībvalstī izveidotus uzņēmumus, nevar organizēti vai pastāvīgi veikt iepriekšminētā likuma 3. pantā</w:t>
      </w:r>
      <w:r>
        <w:rPr>
          <w:noProof/>
        </w:rPr>
        <w:t xml:space="preserve"> minētās darbības Kipras Republikā, ja vien tās nepārstāv rezidējošs uzņēmums. Lai sniegtu tūrisma gidu pakalpojumus un ceļojumu aģentūru un tūrisma operatoru pakalpojumus, ir vajadzīga dalībvalsts valstspiederība (CPC 7471, 7472).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1995. gad</w:t>
      </w:r>
      <w:r>
        <w:rPr>
          <w:i/>
          <w:noProof/>
        </w:rPr>
        <w:t xml:space="preserve">a Tūrisma, ceļojumu biroju un tūristu gidu likums (Nr. 41(I)/1995, ar grozījumiem). </w:t>
      </w:r>
    </w:p>
    <w:p w:rsidR="003E022D" w:rsidRDefault="007D19D6">
      <w:pPr>
        <w:rPr>
          <w:noProof/>
          <w:u w:val="single"/>
        </w:rPr>
      </w:pPr>
      <w:r>
        <w:rPr>
          <w:noProof/>
          <w:u w:val="single"/>
        </w:rPr>
        <w:t>Attiecībā uz investīciju liberalizāciju – piekļuve tirgum, valsts režīms, lielākās labvēlības režīms un pakalpojumu pārrobežu tirdzniecība – piekļuve tirgum, valsts režīms</w:t>
      </w:r>
      <w:r>
        <w:rPr>
          <w:noProof/>
          <w:u w:val="single"/>
        </w:rPr>
        <w:t xml:space="preserve">, lielākās labvēlības režīms </w:t>
      </w:r>
    </w:p>
    <w:p w:rsidR="003E022D" w:rsidRDefault="007D19D6">
      <w:pPr>
        <w:rPr>
          <w:noProof/>
        </w:rPr>
      </w:pPr>
      <w:r>
        <w:rPr>
          <w:b/>
          <w:noProof/>
        </w:rPr>
        <w:t>EL</w:t>
      </w:r>
      <w:r>
        <w:rPr>
          <w:noProof/>
        </w:rPr>
        <w:t>: lai trešo valstu valstspiederīgie iegūtu tiesības praktizēt profesijā, tiem jāiegūst Grieķijas Tūrisma ministrijas tūristu gidu skolu diploms. Izņēmuma kārtā trešo valstu valstpiederīgajiem uz laiku (līdz vienam gadam) var</w:t>
      </w:r>
      <w:r>
        <w:rPr>
          <w:noProof/>
        </w:rPr>
        <w:t xml:space="preserve"> piešķirt tiesības praktizēt profesijā, skaidri definējot nosacījumus un atkāpjoties no iepriekšminētajiem noteikumiem, ja ir apstiprināts, ka konkrētai valodai trūkst tūristu gidu. </w:t>
      </w:r>
    </w:p>
    <w:p w:rsidR="003E022D" w:rsidRDefault="007D19D6">
      <w:pPr>
        <w:rPr>
          <w:b/>
          <w:i/>
          <w:noProof/>
        </w:rPr>
      </w:pPr>
      <w:r>
        <w:rPr>
          <w:b/>
          <w:i/>
          <w:noProof/>
        </w:rPr>
        <w:t xml:space="preserve">Attiecībā uz investīciju liberalizāciju – piekļuve tirgum, valsts režīms </w:t>
      </w:r>
      <w:r>
        <w:rPr>
          <w:b/>
          <w:i/>
          <w:noProof/>
        </w:rPr>
        <w:t xml:space="preserve">un pakalpojumu pārrobežu tirdzniecība – piekļuve tirgum, valsts režīms </w:t>
      </w:r>
    </w:p>
    <w:p w:rsidR="003E022D" w:rsidRDefault="007D19D6">
      <w:pPr>
        <w:rPr>
          <w:noProof/>
        </w:rPr>
      </w:pPr>
      <w:r>
        <w:rPr>
          <w:b/>
          <w:noProof/>
        </w:rPr>
        <w:t>ES</w:t>
      </w:r>
      <w:r>
        <w:rPr>
          <w:noProof/>
        </w:rPr>
        <w:t xml:space="preserve"> (attiecas arī uz valdības reģionālo līmeni): lai sniegtu tūristu gidu pakalpojumus, ir nepieciešama dalībvalsts valstspiederība (CPC, 7472). </w:t>
      </w:r>
    </w:p>
    <w:p w:rsidR="003E022D" w:rsidRDefault="007D19D6">
      <w:pPr>
        <w:rPr>
          <w:noProof/>
        </w:rPr>
      </w:pPr>
      <w:r>
        <w:rPr>
          <w:b/>
          <w:noProof/>
        </w:rPr>
        <w:t>HR</w:t>
      </w:r>
      <w:r>
        <w:rPr>
          <w:noProof/>
        </w:rPr>
        <w:t>: lai sniegtu viesu uzņemšanas un ēdi</w:t>
      </w:r>
      <w:r>
        <w:rPr>
          <w:noProof/>
        </w:rPr>
        <w:t xml:space="preserve">nāšanas pakalpojumus mājsaimniecībās un lauku mājvietās, jābūt EEZ valstspiederīgajam (CPC 641, 642, 643, 7471, 7472). </w:t>
      </w:r>
    </w:p>
    <w:p w:rsidR="003E022D" w:rsidRDefault="007D19D6">
      <w:pPr>
        <w:rPr>
          <w:b/>
          <w:i/>
          <w:noProof/>
        </w:rPr>
      </w:pPr>
      <w:r>
        <w:rPr>
          <w:b/>
          <w:i/>
          <w:noProof/>
        </w:rPr>
        <w:t xml:space="preserve">Pasākumi </w:t>
      </w:r>
    </w:p>
    <w:p w:rsidR="003E022D" w:rsidRDefault="007D19D6">
      <w:pPr>
        <w:rPr>
          <w:i/>
          <w:noProof/>
        </w:rPr>
      </w:pPr>
      <w:r>
        <w:rPr>
          <w:b/>
          <w:i/>
          <w:noProof/>
        </w:rPr>
        <w:t>EL</w:t>
      </w:r>
      <w:r>
        <w:rPr>
          <w:i/>
          <w:noProof/>
        </w:rPr>
        <w:t xml:space="preserve">: Prezidenta dekrēts 38/2010, Ministrijas lēmums 165261/IA/2010 (Gov. Gazette 2157/B), Likuma 4403/2016 50. pants un Likuma </w:t>
      </w:r>
      <w:r>
        <w:rPr>
          <w:i/>
          <w:noProof/>
        </w:rPr>
        <w:t xml:space="preserve">4582/2018 47. pants (Gov. Gazette 208/A). </w:t>
      </w:r>
      <w:r>
        <w:rPr>
          <w:b/>
          <w:i/>
          <w:noProof/>
        </w:rPr>
        <w:t>ES</w:t>
      </w:r>
      <w:r>
        <w:rPr>
          <w:i/>
          <w:noProof/>
        </w:rPr>
        <w:t xml:space="preserve">: Andalūzija Decreto 8/2015, de 20 de enero, Regulador de guías de turismo de Andalucía; </w:t>
      </w:r>
    </w:p>
    <w:p w:rsidR="003E022D" w:rsidRDefault="007D19D6">
      <w:pPr>
        <w:rPr>
          <w:i/>
          <w:noProof/>
        </w:rPr>
      </w:pPr>
      <w:r>
        <w:rPr>
          <w:i/>
          <w:noProof/>
        </w:rPr>
        <w:t xml:space="preserve">Aragona Decreto 21/2015, de 24 de febrero, Reglamento de Guías de turismo de Aragón; </w:t>
      </w:r>
    </w:p>
    <w:p w:rsidR="003E022D" w:rsidRDefault="007D19D6">
      <w:pPr>
        <w:rPr>
          <w:i/>
          <w:noProof/>
        </w:rPr>
      </w:pPr>
      <w:r>
        <w:rPr>
          <w:i/>
          <w:noProof/>
        </w:rPr>
        <w:t>Kantabrija Decreto 51/2001, de 24 de</w:t>
      </w:r>
      <w:r>
        <w:rPr>
          <w:i/>
          <w:noProof/>
        </w:rPr>
        <w:t xml:space="preserve"> julio, Article 4, por el que se modifica el Decreto 32/1997, de 25 de abril, por el que se aprueba el reglamento para el ejercicio de actividades turísticoinformativas privadas; </w:t>
      </w:r>
    </w:p>
    <w:p w:rsidR="003E022D" w:rsidRDefault="007D19D6">
      <w:pPr>
        <w:rPr>
          <w:i/>
          <w:noProof/>
        </w:rPr>
      </w:pPr>
      <w:r>
        <w:rPr>
          <w:i/>
          <w:noProof/>
        </w:rPr>
        <w:t>Kastīlija un Leona Decreto 25/2000, de 10 de febrero, por el que se modifica</w:t>
      </w:r>
      <w:r>
        <w:rPr>
          <w:i/>
          <w:noProof/>
        </w:rPr>
        <w:t xml:space="preserve"> el Decreto 101/1995, de 25 de mayo, por el que se regula la profesión de guía de turismo de la Comunidad Autónoma de Castilla y León; </w:t>
      </w:r>
    </w:p>
    <w:p w:rsidR="003E022D" w:rsidRDefault="007D19D6">
      <w:pPr>
        <w:rPr>
          <w:i/>
          <w:noProof/>
        </w:rPr>
      </w:pPr>
      <w:r>
        <w:rPr>
          <w:i/>
          <w:noProof/>
        </w:rPr>
        <w:t xml:space="preserve">Kastīlija–Lamanča Decreto 86/2006, de 17 de julio, de Ordenación de las Profesiones Turísticas; </w:t>
      </w:r>
    </w:p>
    <w:p w:rsidR="003E022D" w:rsidRDefault="007D19D6">
      <w:pPr>
        <w:rPr>
          <w:i/>
          <w:noProof/>
        </w:rPr>
      </w:pPr>
      <w:r>
        <w:rPr>
          <w:i/>
          <w:noProof/>
        </w:rPr>
        <w:t>Katalonija Decreto Legi</w:t>
      </w:r>
      <w:r>
        <w:rPr>
          <w:i/>
          <w:noProof/>
        </w:rPr>
        <w:t xml:space="preserve">slativo 3/2010, de 5 de octubre, para la adecuación de normas con rango de ley a la Directiva 2006/123/CE, del Parlamento y del Consejo, de 12 de diciembre de 2006, relativa a los servicios en el mercado interior, 88. pants; </w:t>
      </w:r>
    </w:p>
    <w:p w:rsidR="003E022D" w:rsidRDefault="007D19D6">
      <w:pPr>
        <w:rPr>
          <w:i/>
          <w:noProof/>
        </w:rPr>
      </w:pPr>
      <w:r>
        <w:rPr>
          <w:i/>
          <w:noProof/>
        </w:rPr>
        <w:t>Madrides apgabals Decreto 84/2</w:t>
      </w:r>
      <w:r>
        <w:rPr>
          <w:i/>
          <w:noProof/>
        </w:rPr>
        <w:t xml:space="preserve">006, de 26 de octubre del Consejo de Gobierno, por el que se modifica el Decreto 47/1996, de 28 de marzo; </w:t>
      </w:r>
    </w:p>
    <w:p w:rsidR="003E022D" w:rsidRDefault="007D19D6">
      <w:pPr>
        <w:rPr>
          <w:i/>
          <w:noProof/>
        </w:rPr>
      </w:pPr>
      <w:r>
        <w:rPr>
          <w:i/>
          <w:noProof/>
        </w:rPr>
        <w:t>Valensijas apgabals Decreto 90/2010, de 21 de mayo, del Consell, por el que se modifica el reglamento regulador de la profesión de guía de turismo en</w:t>
      </w:r>
      <w:r>
        <w:rPr>
          <w:i/>
          <w:noProof/>
        </w:rPr>
        <w:t xml:space="preserve"> el ámbito territorial de la Comunitat Valenciana, aprobado por el Decreto 62/1996, de 25 de marzo, del Consell; </w:t>
      </w:r>
    </w:p>
    <w:p w:rsidR="003E022D" w:rsidRDefault="007D19D6">
      <w:pPr>
        <w:rPr>
          <w:i/>
          <w:noProof/>
        </w:rPr>
      </w:pPr>
      <w:r>
        <w:rPr>
          <w:i/>
          <w:noProof/>
        </w:rPr>
        <w:t xml:space="preserve">Estremadura Decreto 37/2015, de 17 de marzo; </w:t>
      </w:r>
    </w:p>
    <w:p w:rsidR="003E022D" w:rsidRDefault="007D19D6">
      <w:pPr>
        <w:rPr>
          <w:i/>
          <w:noProof/>
        </w:rPr>
      </w:pPr>
      <w:r>
        <w:rPr>
          <w:i/>
          <w:noProof/>
        </w:rPr>
        <w:t>Galisija Decreto 42/2001, de 1 de febrero, de Refundición en materia de agencias de viajes, guia</w:t>
      </w:r>
      <w:r>
        <w:rPr>
          <w:i/>
          <w:noProof/>
        </w:rPr>
        <w:t xml:space="preserve">s de turismo y turismo activo; </w:t>
      </w:r>
    </w:p>
    <w:p w:rsidR="003E022D" w:rsidRDefault="007D19D6">
      <w:pPr>
        <w:rPr>
          <w:i/>
          <w:noProof/>
        </w:rPr>
      </w:pPr>
      <w:r>
        <w:rPr>
          <w:i/>
          <w:noProof/>
        </w:rPr>
        <w:t xml:space="preserve">Baleāru salas Decreto 136/2000, de 22 de septiembre, por el cual se modifica el Decreto 112/1996, de 21 de junio, por el que se regula la habilitación de guía turístico en las Islas Baleares; Kanāriju salas Decreto 13/2010, </w:t>
      </w:r>
      <w:r>
        <w:rPr>
          <w:i/>
          <w:noProof/>
        </w:rPr>
        <w:t xml:space="preserve">de 11 de febrero, por el que se regula el acceso y ejercicio de la profesión de guía de turismo en la Comunidad Autónoma de Canarias, 5. pants; </w:t>
      </w:r>
    </w:p>
    <w:p w:rsidR="003E022D" w:rsidRDefault="007D19D6">
      <w:pPr>
        <w:rPr>
          <w:i/>
          <w:noProof/>
        </w:rPr>
      </w:pPr>
      <w:r>
        <w:rPr>
          <w:i/>
          <w:noProof/>
        </w:rPr>
        <w:t xml:space="preserve">Larjoha Decreto 14/2001, de 4 de marzo, Reglamento de desarrollo de la Ley de Turismo de La Rioja; </w:t>
      </w:r>
    </w:p>
    <w:p w:rsidR="003E022D" w:rsidRDefault="007D19D6">
      <w:pPr>
        <w:rPr>
          <w:i/>
          <w:noProof/>
        </w:rPr>
      </w:pPr>
      <w:r>
        <w:rPr>
          <w:i/>
          <w:noProof/>
        </w:rPr>
        <w:t>Navarra Dec</w:t>
      </w:r>
      <w:r>
        <w:rPr>
          <w:i/>
          <w:noProof/>
        </w:rPr>
        <w:t xml:space="preserve">reto Foral 288/2004, de 23 de agosto. Reglamento para actividad de empresas de turismo activo y cultural de Navarra. </w:t>
      </w:r>
    </w:p>
    <w:p w:rsidR="003E022D" w:rsidRDefault="007D19D6">
      <w:pPr>
        <w:rPr>
          <w:i/>
          <w:noProof/>
        </w:rPr>
      </w:pPr>
      <w:r>
        <w:rPr>
          <w:i/>
          <w:noProof/>
        </w:rPr>
        <w:t>Astūrija Decreto 59/2007, de 24 de mayo, por el que se aprueba el Reglamento regulador de la profesión de Guía de Turismo en el Principado</w:t>
      </w:r>
      <w:r>
        <w:rPr>
          <w:i/>
          <w:noProof/>
        </w:rPr>
        <w:t xml:space="preserve"> de Asturias un </w:t>
      </w:r>
    </w:p>
    <w:p w:rsidR="003E022D" w:rsidRDefault="007D19D6">
      <w:pPr>
        <w:rPr>
          <w:i/>
          <w:noProof/>
        </w:rPr>
      </w:pPr>
      <w:r>
        <w:rPr>
          <w:i/>
          <w:noProof/>
        </w:rPr>
        <w:t>Mursijas reģions Decreto n.º 37/2011, de 8 de abril, por el que se modifican diversos decretos en materia de turismo para su adaptación a la ley 11/1997, de 12 de diciembre, de turismo de la Región de Murcia tras su modificación por la ley</w:t>
      </w:r>
      <w:r>
        <w:rPr>
          <w:i/>
          <w:noProof/>
        </w:rPr>
        <w:t xml:space="preserve"> 12/2009, de 11 de diciembre, por la que se modifican diversas leyes para su adaptación a la directiva 2006/123/CE, del Parlamento Europeo y del Consejo de 12 de diciembre de 2006, relativa a los servicios en el mercado interior. </w:t>
      </w:r>
    </w:p>
    <w:p w:rsidR="003E022D" w:rsidRDefault="007D19D6">
      <w:pPr>
        <w:rPr>
          <w:i/>
          <w:noProof/>
        </w:rPr>
      </w:pPr>
      <w:r>
        <w:rPr>
          <w:b/>
          <w:i/>
          <w:noProof/>
        </w:rPr>
        <w:t>HR</w:t>
      </w:r>
      <w:r>
        <w:rPr>
          <w:i/>
          <w:noProof/>
        </w:rPr>
        <w:t>: Viesmīlības un ēdināš</w:t>
      </w:r>
      <w:r>
        <w:rPr>
          <w:i/>
          <w:noProof/>
        </w:rPr>
        <w:t xml:space="preserve">anas nozares likums (OG 138/06, 152/08, 43/09, 88/10 un 50/12) un Likums par tūrisma pakalpojumu sniegšanu (OG Nr. 68/07 un 88/10). </w:t>
      </w:r>
    </w:p>
    <w:p w:rsidR="003E022D" w:rsidRDefault="007D19D6">
      <w:pPr>
        <w:rPr>
          <w:noProof/>
          <w:u w:val="single"/>
        </w:rPr>
      </w:pPr>
      <w:r>
        <w:rPr>
          <w:noProof/>
          <w:u w:val="single"/>
        </w:rPr>
        <w:t>Attiecībā uz investīciju liberalizāciju – valsts režīms un pakalpojumu pārrobežu tirdzniecība – piekļuve tirgum, valsts rež</w:t>
      </w:r>
      <w:r>
        <w:rPr>
          <w:noProof/>
          <w:u w:val="single"/>
        </w:rPr>
        <w:t xml:space="preserve">īms </w:t>
      </w:r>
    </w:p>
    <w:p w:rsidR="003E022D" w:rsidRDefault="007D19D6">
      <w:pPr>
        <w:rPr>
          <w:noProof/>
        </w:rPr>
      </w:pPr>
      <w:r>
        <w:rPr>
          <w:b/>
          <w:noProof/>
        </w:rPr>
        <w:t>HU</w:t>
      </w:r>
      <w:r>
        <w:rPr>
          <w:noProof/>
        </w:rPr>
        <w:t>: lai varētu sniegt ceļojumu aģentūru, tūrisma operatoru un tūristu gidu pārrobežu pakalpojumus, ir vajadzīga Ungārijas Tirdzniecības licencēšanas biroja izdota licence. Licences izdod tikai EEZ valstspiederīgajiem un juridiskajām personām, kuru mīt</w:t>
      </w:r>
      <w:r>
        <w:rPr>
          <w:noProof/>
        </w:rPr>
        <w:t xml:space="preserve">ne ir EEZ (CPC 7471, 7472). </w:t>
      </w:r>
    </w:p>
    <w:p w:rsidR="003E022D" w:rsidRDefault="007D19D6">
      <w:pPr>
        <w:rPr>
          <w:noProof/>
        </w:rPr>
      </w:pPr>
      <w:r>
        <w:rPr>
          <w:b/>
          <w:noProof/>
        </w:rPr>
        <w:t>IT</w:t>
      </w:r>
      <w:r>
        <w:rPr>
          <w:noProof/>
        </w:rPr>
        <w:t xml:space="preserve"> (attiecas arī uz valdības reģionālo līmeni): lai tūristu gidi, kas ir no valstīm ārpus Eiropas Savienības, varētu strādāt par profesionāliem tūristu gidiem, jāsaņem īpaša licence no reģiona. Tūristu gidi no dalībvalstīm var </w:t>
      </w:r>
      <w:r>
        <w:rPr>
          <w:noProof/>
        </w:rPr>
        <w:t xml:space="preserve">brīvi darboties bez vajadzības saņemt šādu licenci. Licenci piešķir tūristu gidiem, kuri pierāda atbilstošu kompetenci un zināšanas (CPC 7472). </w:t>
      </w:r>
    </w:p>
    <w:p w:rsidR="003E022D" w:rsidRDefault="007D19D6">
      <w:pPr>
        <w:rPr>
          <w:b/>
          <w:i/>
          <w:noProof/>
        </w:rPr>
      </w:pPr>
      <w:r>
        <w:rPr>
          <w:b/>
          <w:i/>
          <w:noProof/>
        </w:rPr>
        <w:t xml:space="preserve">Pasākumi </w:t>
      </w:r>
    </w:p>
    <w:p w:rsidR="003E022D" w:rsidRDefault="007D19D6">
      <w:pPr>
        <w:rPr>
          <w:i/>
          <w:noProof/>
        </w:rPr>
      </w:pPr>
      <w:r>
        <w:rPr>
          <w:b/>
          <w:i/>
          <w:noProof/>
        </w:rPr>
        <w:t>HU</w:t>
      </w:r>
      <w:r>
        <w:rPr>
          <w:i/>
          <w:noProof/>
        </w:rPr>
        <w:t xml:space="preserve">: 2005. gada Likums CLXIV par tirdzniecību; Valdības dekrēts Nr. 213/1996 (XII.23.) par ceļojumu organizēšanu un aģentūru darbībām. </w:t>
      </w:r>
    </w:p>
    <w:p w:rsidR="003E022D" w:rsidRDefault="007D19D6">
      <w:pPr>
        <w:rPr>
          <w:i/>
          <w:noProof/>
        </w:rPr>
      </w:pPr>
      <w:r>
        <w:rPr>
          <w:b/>
          <w:i/>
          <w:noProof/>
        </w:rPr>
        <w:t>IT</w:t>
      </w:r>
      <w:r>
        <w:rPr>
          <w:i/>
          <w:noProof/>
        </w:rPr>
        <w:t xml:space="preserve">: Likums 135/2001, 7.5. un 6. pants, un Likums 40/2007 (DL 7/2007). </w:t>
      </w:r>
    </w:p>
    <w:p w:rsidR="003E022D" w:rsidRDefault="007D19D6">
      <w:pPr>
        <w:rPr>
          <w:b/>
          <w:noProof/>
        </w:rPr>
      </w:pPr>
      <w:bookmarkStart w:id="1118" w:name="_Toc452570638"/>
      <w:bookmarkStart w:id="1119" w:name="_Toc476832041"/>
      <w:bookmarkStart w:id="1120" w:name="_Toc500420035"/>
      <w:r>
        <w:rPr>
          <w:noProof/>
        </w:rPr>
        <w:br w:type="page"/>
      </w:r>
    </w:p>
    <w:p w:rsidR="003E022D" w:rsidRDefault="007D19D6">
      <w:pPr>
        <w:rPr>
          <w:b/>
          <w:noProof/>
        </w:rPr>
      </w:pPr>
      <w:bookmarkStart w:id="1121" w:name="_Toc5371328"/>
      <w:bookmarkStart w:id="1122" w:name="_Toc53746672"/>
      <w:bookmarkStart w:id="1123" w:name="_Toc57917381"/>
      <w:r>
        <w:rPr>
          <w:b/>
          <w:noProof/>
        </w:rPr>
        <w:t xml:space="preserve">15. atruna. Atpūtas, kultūras un sporta </w:t>
      </w:r>
      <w:bookmarkEnd w:id="1118"/>
      <w:bookmarkEnd w:id="1119"/>
      <w:bookmarkEnd w:id="1120"/>
      <w:r>
        <w:rPr>
          <w:b/>
          <w:noProof/>
        </w:rPr>
        <w:t>pakalpojum</w:t>
      </w:r>
      <w:r>
        <w:rPr>
          <w:b/>
          <w:noProof/>
        </w:rPr>
        <w:t>i</w:t>
      </w:r>
      <w:bookmarkEnd w:id="1121"/>
      <w:bookmarkEnd w:id="1122"/>
      <w:bookmarkEnd w:id="1123"/>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Atpūtas pakalpojumi un citi sporta pakalpojumi</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CPC 962, daļa no 96419</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Investīciju liberalizācija, pakalpojumu pā</w:t>
            </w:r>
            <w:r>
              <w:rPr>
                <w:noProof/>
              </w:rPr>
              <w:t xml:space="preserve">rrobežu tirdzniecība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noProof/>
        </w:rPr>
      </w:pPr>
      <w:r>
        <w:rPr>
          <w:b/>
          <w:bCs/>
          <w:noProof/>
        </w:rPr>
        <w:t xml:space="preserve">Apraksts </w:t>
      </w:r>
    </w:p>
    <w:p w:rsidR="003E022D" w:rsidRDefault="007D19D6">
      <w:pPr>
        <w:rPr>
          <w:b/>
          <w:i/>
          <w:noProof/>
        </w:rPr>
      </w:pPr>
      <w:bookmarkStart w:id="1124" w:name="_Toc452570640"/>
      <w:bookmarkStart w:id="1125" w:name="_Toc5371329"/>
      <w:r>
        <w:rPr>
          <w:b/>
          <w:i/>
          <w:noProof/>
        </w:rPr>
        <w:t>Citi sporta pakalpojumi</w:t>
      </w:r>
      <w:bookmarkEnd w:id="1124"/>
      <w:r>
        <w:rPr>
          <w:b/>
          <w:i/>
          <w:noProof/>
        </w:rPr>
        <w:t xml:space="preserve"> (CPC 96419)</w:t>
      </w:r>
      <w:bookmarkEnd w:id="1125"/>
      <w:r>
        <w:rPr>
          <w:b/>
          <w:i/>
          <w:noProof/>
        </w:rPr>
        <w:t xml:space="preserve"> </w:t>
      </w:r>
    </w:p>
    <w:p w:rsidR="003E022D" w:rsidRDefault="007D19D6">
      <w:pPr>
        <w:rPr>
          <w:noProof/>
          <w:u w:val="single"/>
        </w:rPr>
      </w:pPr>
      <w:r>
        <w:rPr>
          <w:noProof/>
          <w:u w:val="single"/>
        </w:rPr>
        <w:t xml:space="preserve">Attiecībā uz investīciju liberalizāciju – valsts režīms, augstākā līmeņa vadība un direktoru padomes un pakalpojumu pārrobežu tirdzniecība – valsts režīms </w:t>
      </w:r>
    </w:p>
    <w:p w:rsidR="003E022D" w:rsidRDefault="007D19D6">
      <w:pPr>
        <w:rPr>
          <w:noProof/>
        </w:rPr>
      </w:pPr>
      <w:r>
        <w:rPr>
          <w:b/>
          <w:noProof/>
        </w:rPr>
        <w:t>AT</w:t>
      </w:r>
      <w:r>
        <w:rPr>
          <w:noProof/>
        </w:rPr>
        <w:t xml:space="preserve"> (attiecas uz valdības reģionālo līmeni): slēpošanas skolu un kalnu gidu darbību reglamentē federā</w:t>
      </w:r>
      <w:r>
        <w:rPr>
          <w:noProof/>
        </w:rPr>
        <w:t xml:space="preserve">lo zemju tiesību akti. Lai sniegtu šādus pakalpojumus, var būt vajadzīga EEZ dalībvalsts valstspiederība. Uzņēmumiem var tikt noteikta prasība iecelt rīkotājdirektoru, kurš ir EEZ dalībvalsts valstspiederīgais. </w:t>
      </w:r>
    </w:p>
    <w:p w:rsidR="003E022D" w:rsidRDefault="007D19D6">
      <w:pPr>
        <w:rPr>
          <w:noProof/>
          <w:u w:val="single"/>
        </w:rPr>
      </w:pPr>
      <w:r>
        <w:rPr>
          <w:noProof/>
          <w:u w:val="single"/>
        </w:rPr>
        <w:t>Attiecībā uz investīciju liberalizāciju – va</w:t>
      </w:r>
      <w:r>
        <w:rPr>
          <w:noProof/>
          <w:u w:val="single"/>
        </w:rPr>
        <w:t xml:space="preserve">lsts režīms un pakalpojumu pārrobežu tirdzniecība – valsts režīms </w:t>
      </w:r>
    </w:p>
    <w:p w:rsidR="003E022D" w:rsidRDefault="007D19D6">
      <w:pPr>
        <w:rPr>
          <w:noProof/>
        </w:rPr>
      </w:pPr>
      <w:r>
        <w:rPr>
          <w:b/>
          <w:noProof/>
        </w:rPr>
        <w:t>CY</w:t>
      </w:r>
      <w:r>
        <w:rPr>
          <w:noProof/>
        </w:rPr>
        <w:t xml:space="preserve">: prasība par valstspiederību deju skolas izveidei un prasība par valstspiederību treneriem.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Kärntner Schischulgesetz, LGBL. Nr. 53/97; </w:t>
      </w:r>
    </w:p>
    <w:p w:rsidR="003E022D" w:rsidRDefault="007D19D6">
      <w:pPr>
        <w:rPr>
          <w:i/>
          <w:noProof/>
        </w:rPr>
      </w:pPr>
      <w:r>
        <w:rPr>
          <w:i/>
          <w:noProof/>
        </w:rPr>
        <w:t>Kärntner Berg- und Schiführergesetz</w:t>
      </w:r>
      <w:r>
        <w:rPr>
          <w:i/>
          <w:noProof/>
        </w:rPr>
        <w:t xml:space="preserve">, LGBL. Nr. 25/98; </w:t>
      </w:r>
    </w:p>
    <w:p w:rsidR="003E022D" w:rsidRDefault="007D19D6">
      <w:pPr>
        <w:rPr>
          <w:i/>
          <w:noProof/>
        </w:rPr>
      </w:pPr>
      <w:r>
        <w:rPr>
          <w:i/>
          <w:noProof/>
        </w:rPr>
        <w:t xml:space="preserve">NÖ- Sportgesetz, LGBL. Nr. 5710; </w:t>
      </w:r>
    </w:p>
    <w:p w:rsidR="003E022D" w:rsidRDefault="007D19D6">
      <w:pPr>
        <w:rPr>
          <w:i/>
          <w:noProof/>
        </w:rPr>
      </w:pPr>
      <w:r>
        <w:rPr>
          <w:i/>
          <w:noProof/>
        </w:rPr>
        <w:t xml:space="preserve">OÖ- Sportgesetz, LGBl. Nr. 93/1997; </w:t>
      </w:r>
    </w:p>
    <w:p w:rsidR="003E022D" w:rsidRDefault="007D19D6">
      <w:pPr>
        <w:rPr>
          <w:i/>
          <w:noProof/>
        </w:rPr>
      </w:pPr>
      <w:r>
        <w:rPr>
          <w:i/>
          <w:noProof/>
        </w:rPr>
        <w:t xml:space="preserve">Salzburger Schischul- und Snowboardschulgesetz, LGBL. Nr. 83/89; </w:t>
      </w:r>
    </w:p>
    <w:p w:rsidR="003E022D" w:rsidRDefault="007D19D6">
      <w:pPr>
        <w:rPr>
          <w:i/>
          <w:noProof/>
        </w:rPr>
      </w:pPr>
      <w:r>
        <w:rPr>
          <w:i/>
          <w:noProof/>
        </w:rPr>
        <w:t xml:space="preserve">Salzburger Bergführergesetz, LGBL. Nr. 76/81; </w:t>
      </w:r>
    </w:p>
    <w:p w:rsidR="003E022D" w:rsidRDefault="007D19D6">
      <w:pPr>
        <w:rPr>
          <w:i/>
          <w:noProof/>
        </w:rPr>
      </w:pPr>
      <w:r>
        <w:rPr>
          <w:i/>
          <w:noProof/>
        </w:rPr>
        <w:t xml:space="preserve">Steiermärkisches Schischulgesetz, LGBL. Nr.58/97; </w:t>
      </w:r>
    </w:p>
    <w:p w:rsidR="003E022D" w:rsidRDefault="007D19D6">
      <w:pPr>
        <w:rPr>
          <w:i/>
          <w:noProof/>
        </w:rPr>
      </w:pPr>
      <w:r>
        <w:rPr>
          <w:i/>
          <w:noProof/>
        </w:rPr>
        <w:t xml:space="preserve">Steiermärkisches Berg- und Schiführergesetz, LGBL. Nr. 53/76; </w:t>
      </w:r>
    </w:p>
    <w:p w:rsidR="003E022D" w:rsidRDefault="007D19D6">
      <w:pPr>
        <w:rPr>
          <w:i/>
          <w:noProof/>
        </w:rPr>
      </w:pPr>
      <w:r>
        <w:rPr>
          <w:i/>
          <w:noProof/>
        </w:rPr>
        <w:t xml:space="preserve">Tiroler Schischulgesetz. LGBL. Nr. 15/95; </w:t>
      </w:r>
    </w:p>
    <w:p w:rsidR="003E022D" w:rsidRDefault="007D19D6">
      <w:pPr>
        <w:rPr>
          <w:i/>
          <w:noProof/>
        </w:rPr>
      </w:pPr>
      <w:r>
        <w:rPr>
          <w:i/>
          <w:noProof/>
        </w:rPr>
        <w:t xml:space="preserve">Tiroler Bergsportführergesetz, LGBL. Nr. 7/98; </w:t>
      </w:r>
    </w:p>
    <w:p w:rsidR="003E022D" w:rsidRDefault="007D19D6">
      <w:pPr>
        <w:rPr>
          <w:i/>
          <w:noProof/>
        </w:rPr>
      </w:pPr>
      <w:r>
        <w:rPr>
          <w:i/>
          <w:noProof/>
        </w:rPr>
        <w:t xml:space="preserve">Vorarlberger Schischulgesetz, LGBL. Nr. 55/02 §4 (2)a; </w:t>
      </w:r>
    </w:p>
    <w:p w:rsidR="003E022D" w:rsidRDefault="007D19D6">
      <w:pPr>
        <w:rPr>
          <w:i/>
          <w:noProof/>
        </w:rPr>
      </w:pPr>
      <w:r>
        <w:rPr>
          <w:i/>
          <w:noProof/>
        </w:rPr>
        <w:t>Vorarlberger Bergführergesetz, LGBL. Nr. 54/02</w:t>
      </w:r>
      <w:r>
        <w:rPr>
          <w:i/>
          <w:noProof/>
        </w:rPr>
        <w:t xml:space="preserve">; un </w:t>
      </w:r>
    </w:p>
    <w:p w:rsidR="003E022D" w:rsidRDefault="007D19D6">
      <w:pPr>
        <w:rPr>
          <w:i/>
          <w:noProof/>
        </w:rPr>
      </w:pPr>
      <w:r>
        <w:rPr>
          <w:i/>
          <w:noProof/>
        </w:rPr>
        <w:t xml:space="preserve">Vīne Gesetz über die Unterweisung in Wintersportarten, LGBL. Nr. 37/02. </w:t>
      </w:r>
    </w:p>
    <w:p w:rsidR="003E022D" w:rsidRDefault="007D19D6">
      <w:pPr>
        <w:rPr>
          <w:i/>
          <w:noProof/>
        </w:rPr>
      </w:pPr>
      <w:r>
        <w:rPr>
          <w:b/>
          <w:i/>
          <w:noProof/>
        </w:rPr>
        <w:t>CY</w:t>
      </w:r>
      <w:r>
        <w:rPr>
          <w:i/>
          <w:noProof/>
        </w:rPr>
        <w:t xml:space="preserve">: Likums 65(I)/1997 , ar grozījumiem, un </w:t>
      </w:r>
    </w:p>
    <w:p w:rsidR="003E022D" w:rsidRDefault="007D19D6">
      <w:pPr>
        <w:rPr>
          <w:i/>
          <w:noProof/>
        </w:rPr>
      </w:pPr>
      <w:r>
        <w:rPr>
          <w:i/>
          <w:noProof/>
        </w:rPr>
        <w:t xml:space="preserve">Likums 17(I)/1995 , ar grozījumiem. </w:t>
      </w:r>
    </w:p>
    <w:p w:rsidR="003E022D" w:rsidRDefault="007D19D6">
      <w:pPr>
        <w:rPr>
          <w:b/>
          <w:noProof/>
        </w:rPr>
      </w:pPr>
      <w:bookmarkStart w:id="1126" w:name="_Toc452570641"/>
      <w:bookmarkStart w:id="1127" w:name="_Toc476832042"/>
      <w:bookmarkStart w:id="1128" w:name="_Toc500420036"/>
      <w:bookmarkStart w:id="1129" w:name="_Toc5371330"/>
      <w:r>
        <w:rPr>
          <w:noProof/>
        </w:rPr>
        <w:br w:type="page"/>
      </w:r>
    </w:p>
    <w:p w:rsidR="003E022D" w:rsidRDefault="007D19D6">
      <w:pPr>
        <w:rPr>
          <w:b/>
          <w:noProof/>
        </w:rPr>
      </w:pPr>
      <w:bookmarkStart w:id="1130" w:name="_Toc53746673"/>
      <w:bookmarkStart w:id="1131" w:name="_Toc57917382"/>
      <w:r>
        <w:rPr>
          <w:b/>
          <w:noProof/>
        </w:rPr>
        <w:t xml:space="preserve">16. atruna. Transporta pakalpojumi </w:t>
      </w:r>
      <w:bookmarkEnd w:id="1126"/>
      <w:bookmarkEnd w:id="1127"/>
      <w:bookmarkEnd w:id="1128"/>
      <w:r>
        <w:rPr>
          <w:b/>
          <w:noProof/>
        </w:rPr>
        <w:t>un transporta palīgpakalpojumi</w:t>
      </w:r>
      <w:bookmarkEnd w:id="1129"/>
      <w:bookmarkEnd w:id="1130"/>
      <w:bookmarkEnd w:id="1131"/>
      <w:r>
        <w:rPr>
          <w:b/>
          <w:noProof/>
        </w:rPr>
        <w:t xml:space="preserve"> </w:t>
      </w:r>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Trans</w:t>
            </w:r>
            <w:r>
              <w:rPr>
                <w:noProof/>
              </w:rPr>
              <w:t>porta pakalpojumi – zvejniecība un ūdens transports – visa pārējā no kuģa veiktā komercdarbība; ūdens transports un ūdens transporta palīgpakalpojumi; dzelzceļa transports un dzelzceļa transporta palīgpakalpojumi; autotransports un autotransporta palīgpaka</w:t>
            </w:r>
            <w:r>
              <w:rPr>
                <w:noProof/>
              </w:rPr>
              <w:t>lpojumi; gaisa pārvadājumu palīgpakalpojumi</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ISIC 3.1. red. 0501, 0502; CPC 5133, 5223, 711, 712, 721, 741, 742, 743, 744, 745, 748, 749, 7461, 7469, 83103, 86751, 86754, 8730, 882</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r>
            <w:r>
              <w:rPr>
                <w:noProof/>
              </w:rPr>
              <w:t xml:space="preserve">Lielākās labvēlības režīms </w:t>
            </w:r>
            <w:r>
              <w:rPr>
                <w:noProof/>
              </w:rPr>
              <w:br/>
              <w:t xml:space="preserve">Augstākā vadība un direktoru padomes </w:t>
            </w:r>
            <w:r>
              <w:rPr>
                <w:noProof/>
              </w:rPr>
              <w:b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pakalpojumu pārrobežu tirdzniecība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 xml:space="preserve">Apraksts </w:t>
      </w:r>
    </w:p>
    <w:p w:rsidR="003E022D" w:rsidRDefault="007D19D6">
      <w:pPr>
        <w:rPr>
          <w:b/>
          <w:i/>
          <w:noProof/>
        </w:rPr>
      </w:pPr>
      <w:bookmarkStart w:id="1132" w:name="_Toc452570642"/>
      <w:bookmarkStart w:id="1133" w:name="_Toc451282190"/>
      <w:bookmarkStart w:id="1134" w:name="_Toc452026337"/>
      <w:r>
        <w:rPr>
          <w:b/>
          <w:i/>
          <w:noProof/>
        </w:rPr>
        <w:t>a)</w:t>
      </w:r>
      <w:r>
        <w:rPr>
          <w:noProof/>
        </w:rPr>
        <w:tab/>
      </w:r>
      <w:r>
        <w:rPr>
          <w:b/>
          <w:i/>
          <w:noProof/>
        </w:rPr>
        <w:t>J</w:t>
      </w:r>
      <w:r>
        <w:rPr>
          <w:b/>
          <w:i/>
          <w:noProof/>
        </w:rPr>
        <w:t xml:space="preserve">ūras transports un jūras transporta palīgpakalpojumi. Jebkāda komercdarbība, ko veic no kuģa (ISIC 3.1. red. 0501, 0502; CPC 5133, 5223, 721, daļa no 742, 745, 74540, 74520, 74590, 882) </w:t>
      </w:r>
    </w:p>
    <w:p w:rsidR="003E022D" w:rsidRDefault="007D19D6">
      <w:pPr>
        <w:rPr>
          <w:noProof/>
          <w:u w:val="single"/>
        </w:rPr>
      </w:pPr>
      <w:r>
        <w:rPr>
          <w:noProof/>
          <w:u w:val="single"/>
        </w:rPr>
        <w:t>Attiecībā uz investīciju liberalizāciju – piekļuve tirgum un pakalpoj</w:t>
      </w:r>
      <w:r>
        <w:rPr>
          <w:noProof/>
          <w:u w:val="single"/>
        </w:rPr>
        <w:t xml:space="preserve">umu pārrobežu tirdzniecība – piekļuve tirgum </w:t>
      </w:r>
    </w:p>
    <w:p w:rsidR="003E022D" w:rsidRDefault="007D19D6">
      <w:pPr>
        <w:rPr>
          <w:noProof/>
        </w:rPr>
      </w:pPr>
      <w:r>
        <w:rPr>
          <w:b/>
          <w:noProof/>
        </w:rPr>
        <w:t>EU</w:t>
      </w:r>
      <w:r>
        <w:rPr>
          <w:noProof/>
        </w:rPr>
        <w:t>: attiecībā uz ostas pakalpojumiem ostas pārvaldes iestāde vai kompetentā iestāde var ierobežot ostas pakalpojumu sniedzēju skaitu konkrētam ostas pakalpojumam.</w:t>
      </w:r>
    </w:p>
    <w:p w:rsidR="003E022D" w:rsidRDefault="007D19D6">
      <w:pPr>
        <w:rPr>
          <w:b/>
          <w:i/>
          <w:noProof/>
        </w:rPr>
      </w:pPr>
      <w:r>
        <w:rPr>
          <w:b/>
          <w:i/>
          <w:noProof/>
        </w:rPr>
        <w:t xml:space="preserve">Pasākumi </w:t>
      </w:r>
    </w:p>
    <w:p w:rsidR="003E022D" w:rsidRDefault="007D19D6">
      <w:pPr>
        <w:rPr>
          <w:noProof/>
        </w:rPr>
      </w:pPr>
      <w:r>
        <w:rPr>
          <w:b/>
          <w:noProof/>
        </w:rPr>
        <w:t>EU</w:t>
      </w:r>
      <w:r>
        <w:rPr>
          <w:noProof/>
        </w:rPr>
        <w:t xml:space="preserve">: Eiropas Parlamenta un Padomes 2017. gada 15. februāra Regula (ES) 2017/352, ar ko izveido ostas pakalpojumu sniegšanas sistēmu un kopīgos noteikumus par ostu finanšu pārredzamību, 6. pants. </w:t>
      </w:r>
    </w:p>
    <w:p w:rsidR="003E022D" w:rsidRDefault="007D19D6">
      <w:pPr>
        <w:rPr>
          <w:noProof/>
          <w:u w:val="single"/>
        </w:rPr>
      </w:pPr>
      <w:r>
        <w:rPr>
          <w:noProof/>
          <w:u w:val="single"/>
        </w:rPr>
        <w:t xml:space="preserve">Attiecībā uz investīciju liberalizāciju – piekļuve tirgum, valsts režīms, augstākā līmeņa vadība un direktoru padomes, pakalpojumu pārrobežu tirdzniecība – piekļuve tirgum, valsts režīms </w:t>
      </w:r>
    </w:p>
    <w:p w:rsidR="003E022D" w:rsidRDefault="007D19D6">
      <w:pPr>
        <w:rPr>
          <w:noProof/>
        </w:rPr>
      </w:pPr>
      <w:r>
        <w:rPr>
          <w:b/>
          <w:noProof/>
        </w:rPr>
        <w:t>BG:</w:t>
      </w:r>
      <w:r>
        <w:rPr>
          <w:noProof/>
        </w:rPr>
        <w:t xml:space="preserve"> pārvadājumus un jebkādas darbības, kas saistītas ar hidrotehnika</w:t>
      </w:r>
      <w:r>
        <w:rPr>
          <w:noProof/>
        </w:rPr>
        <w:t>s un zemūdens tehniskajiem darbiem, derīgo izrakteņu un citu neorganisko resursu ģeoloģisko izpēti un ieguvi, loču pakalpojumiem, bunkurēšanu, atkritumu, ūdens un naftas maisījumu un citu materiālu saņemšanu un ko veic kuģi Bulgārijas iekšējos ūdeņos un Bu</w:t>
      </w:r>
      <w:r>
        <w:rPr>
          <w:noProof/>
        </w:rPr>
        <w:t xml:space="preserve">lgārijas teritoriālajos jūras ūdeņos, drīkst veikt tikai kuģi ar Bulgārijas karogu vai kuģi ar citas dalībvalsts karogu. </w:t>
      </w:r>
    </w:p>
    <w:p w:rsidR="003E022D" w:rsidRDefault="007D19D6">
      <w:pPr>
        <w:rPr>
          <w:noProof/>
        </w:rPr>
      </w:pPr>
      <w:r>
        <w:rPr>
          <w:noProof/>
        </w:rPr>
        <w:t>Pakalpojumu sniedzēju skaitu ostās var ierobežot atkarībā no ostas objektīvās jaudas, par ko izlemj satiksmes, informācijas tehnoloģij</w:t>
      </w:r>
      <w:r>
        <w:rPr>
          <w:noProof/>
        </w:rPr>
        <w:t xml:space="preserve">u un sakaru ministra izveidota ekspertu komisija. </w:t>
      </w:r>
    </w:p>
    <w:p w:rsidR="003E022D" w:rsidRDefault="007D19D6">
      <w:pPr>
        <w:rPr>
          <w:noProof/>
        </w:rPr>
      </w:pPr>
      <w:r>
        <w:rPr>
          <w:noProof/>
        </w:rPr>
        <w:t>Prasība par valstspiederību atbalsta pakalpojumu sniegšanai. Kuģa kapteinim un galvenajam inženierim obligāti jābūt EEZ dalībvalsts vai Šveices Konfederācijas valstspiederīgajam (ISIC 3.1. red. 0501, 0502,</w:t>
      </w:r>
      <w:r>
        <w:rPr>
          <w:noProof/>
        </w:rPr>
        <w:t xml:space="preserve"> CPC  5133, 5223, 721, 74520, 74540, 74590, 882).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Tirdzniecības kuģu kodekss; Bulgārijas Republikas Likums par jūras un iekšzemes ūdensceļiem un ostām; Rīkojums par nosacījumiem un kārtību, kādā tiek atlasīti Bulgārijas pārvadātāji pasažieru</w:t>
      </w:r>
      <w:r>
        <w:rPr>
          <w:i/>
          <w:noProof/>
        </w:rPr>
        <w:t xml:space="preserve"> un kravu pārvadājumiem atbilstoši starptautiskiem līgumiem un Rīkojums 3 par bezapkalpes kuģu apkopi. </w:t>
      </w:r>
    </w:p>
    <w:p w:rsidR="003E022D" w:rsidRDefault="007D19D6">
      <w:pPr>
        <w:rPr>
          <w:noProof/>
          <w:u w:val="single"/>
        </w:rPr>
      </w:pPr>
      <w:r>
        <w:rPr>
          <w:noProof/>
          <w:u w:val="single"/>
        </w:rPr>
        <w:t xml:space="preserve">Attiecībā uz investīciju liberalizāciju – piekļuve tirgum un pakalpojumu pārrobežu tirdzniecība – piekļuve tirgum </w:t>
      </w:r>
    </w:p>
    <w:p w:rsidR="003E022D" w:rsidRDefault="007D19D6">
      <w:pPr>
        <w:rPr>
          <w:noProof/>
        </w:rPr>
      </w:pPr>
      <w:r>
        <w:rPr>
          <w:b/>
          <w:noProof/>
        </w:rPr>
        <w:t>BG:</w:t>
      </w:r>
      <w:r>
        <w:rPr>
          <w:noProof/>
        </w:rPr>
        <w:t xml:space="preserve"> attiecībā uz atbalsta pakalpojumi</w:t>
      </w:r>
      <w:r>
        <w:rPr>
          <w:noProof/>
        </w:rPr>
        <w:t xml:space="preserve">em sabiedriskajam transportam Bulgārijas ostās tiesības veikt atbalsta darbības valsts nozīmes ostās piešķir ar koncesijas līgumu. Reģionālas nozīmes ostās šādas tiesības piešķir ar līgumu, ko noslēdz ar ostas īpašnieku (CPC 74520, 74540, 74590). </w:t>
      </w:r>
    </w:p>
    <w:p w:rsidR="003E022D" w:rsidRDefault="007D19D6">
      <w:pPr>
        <w:rPr>
          <w:b/>
          <w:i/>
          <w:noProof/>
        </w:rPr>
      </w:pPr>
      <w:r>
        <w:rPr>
          <w:b/>
          <w:i/>
          <w:noProof/>
        </w:rPr>
        <w:t>Pasākumi</w:t>
      </w:r>
      <w:r>
        <w:rPr>
          <w:b/>
          <w:i/>
          <w:noProof/>
        </w:rPr>
        <w:t xml:space="preserve"> </w:t>
      </w:r>
    </w:p>
    <w:p w:rsidR="003E022D" w:rsidRDefault="007D19D6">
      <w:pPr>
        <w:rPr>
          <w:i/>
          <w:noProof/>
        </w:rPr>
      </w:pPr>
      <w:r>
        <w:rPr>
          <w:b/>
          <w:i/>
          <w:noProof/>
        </w:rPr>
        <w:t>BG</w:t>
      </w:r>
      <w:r>
        <w:rPr>
          <w:i/>
          <w:noProof/>
        </w:rPr>
        <w:t xml:space="preserve">: Tirdzniecības kuģu kodekss; Bulgārijas Republikas Likums par jūras un iekšzemes ūdensceļiem un ostām.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DK</w:t>
      </w:r>
      <w:r>
        <w:rPr>
          <w:noProof/>
        </w:rPr>
        <w:t>: loču pakalpojumus Dānijā var sniegt tikai tādi loču pakalpojumu sniedzēj</w:t>
      </w:r>
      <w:r>
        <w:rPr>
          <w:noProof/>
        </w:rPr>
        <w:t xml:space="preserve">i, kuru domicils ir EEZ un kurus ir reģistrējušas un apstiprinājušas Dānijas iestādes saskaņā ar Dānijas Likumu par loču pakalpojumiem (CPC 74520). </w:t>
      </w:r>
    </w:p>
    <w:p w:rsidR="003E022D" w:rsidRDefault="007D19D6">
      <w:pPr>
        <w:rPr>
          <w:b/>
          <w:i/>
          <w:noProof/>
        </w:rPr>
      </w:pPr>
      <w:r>
        <w:rPr>
          <w:b/>
          <w:i/>
          <w:noProof/>
        </w:rPr>
        <w:t xml:space="preserve">Pasākumi </w:t>
      </w:r>
    </w:p>
    <w:p w:rsidR="003E022D" w:rsidRDefault="007D19D6">
      <w:pPr>
        <w:rPr>
          <w:i/>
          <w:noProof/>
        </w:rPr>
      </w:pPr>
      <w:r>
        <w:rPr>
          <w:b/>
          <w:i/>
          <w:noProof/>
        </w:rPr>
        <w:t>DK</w:t>
      </w:r>
      <w:r>
        <w:rPr>
          <w:i/>
          <w:noProof/>
        </w:rPr>
        <w:t xml:space="preserve">: Dānijas Likums par loču pakalpojumiem, §18. </w:t>
      </w:r>
    </w:p>
    <w:p w:rsidR="003E022D" w:rsidRDefault="007D19D6">
      <w:pPr>
        <w:rPr>
          <w:noProof/>
          <w:u w:val="single"/>
        </w:rPr>
      </w:pPr>
      <w:r>
        <w:rPr>
          <w:noProof/>
          <w:u w:val="single"/>
        </w:rPr>
        <w:t>Attiecībā uz investīciju liberalizāciju – piekļu</w:t>
      </w:r>
      <w:r>
        <w:rPr>
          <w:noProof/>
          <w:u w:val="single"/>
        </w:rPr>
        <w:t xml:space="preserve">ve tirgum, valsts režīms, lielākās labvēlības režīms un pakalpojumu pārrobežu tirdzniecība – piekļuve tirgum, valsts režīms, lielākās labvēlības režīms </w:t>
      </w:r>
    </w:p>
    <w:p w:rsidR="003E022D" w:rsidRDefault="007D19D6">
      <w:pPr>
        <w:rPr>
          <w:noProof/>
        </w:rPr>
      </w:pPr>
      <w:r>
        <w:rPr>
          <w:b/>
          <w:noProof/>
        </w:rPr>
        <w:t>DE</w:t>
      </w:r>
      <w:r>
        <w:rPr>
          <w:noProof/>
        </w:rPr>
        <w:t xml:space="preserve"> (attiecas arī uz valdības reģionālo līmeni): kuģi, kas nepieder dalībvalsts valstspiederīgajam, darb</w:t>
      </w:r>
      <w:r>
        <w:rPr>
          <w:noProof/>
        </w:rPr>
        <w:t>ībām, kas nav transports un palīgpakalpojumi, Vācijas federālajos ūdensceļos var izmantot tikai pēc īpašas atļaujas saņemšanas. Atbrīvojumus attiecībā uz kuģiem no valstīm, kas ir ārpus Eiropas Savienības, var piešķirt tikai tad, ja Eiropas Savienības kuģi</w:t>
      </w:r>
      <w:r>
        <w:rPr>
          <w:noProof/>
        </w:rPr>
        <w:t xml:space="preserve"> nav pieejami, ja tie ir pieejami ar ļoti nelabvēlīgiem nosacījumiem vai pamatojoties uz savstarpību. Atbrīvojumus attiecībā uz kuģiem ar Apvienotās Karalistes karogu var piešķirt, pamatojoties uz savstarpību (</w:t>
      </w:r>
      <w:r>
        <w:rPr>
          <w:i/>
          <w:iCs/>
          <w:noProof/>
        </w:rPr>
        <w:t>KüSchVO</w:t>
      </w:r>
      <w:r>
        <w:rPr>
          <w:noProof/>
        </w:rPr>
        <w:t>, § 2, 3. punkts). Visas darbības, uz k</w:t>
      </w:r>
      <w:r>
        <w:rPr>
          <w:noProof/>
        </w:rPr>
        <w:t>urām attiecas tiesību akti par loču pakalpojumiem, tiek reglamentētas, un akreditācija ir pieejama tikai EEZ vai Šveices Konfederācijas valstspiederīgajiem. Loču pakalpojumu iekārtu nodrošināšana un ekspluatācija ir atļauta tikai publiskām iestādēm vai sab</w:t>
      </w:r>
      <w:r>
        <w:rPr>
          <w:noProof/>
        </w:rPr>
        <w:t>iedrībām, kuras tās izraudzījušās.</w:t>
      </w:r>
    </w:p>
    <w:p w:rsidR="003E022D" w:rsidRDefault="007D19D6">
      <w:pPr>
        <w:rPr>
          <w:noProof/>
        </w:rPr>
      </w:pPr>
      <w:r>
        <w:rPr>
          <w:noProof/>
        </w:rPr>
        <w:t xml:space="preserve">Lai nomātu vai nomātu ar izpirkumu jūras kuģus ar operatoriem vai bez tiem un lai nomātu vai nomātu ar izpirkumu kuģus, kas nav jūras kuģi, bez operatoriem, līgumu noslēgšanu par kravu pārvadājumiem ar kuģiem ar ārvalstu </w:t>
      </w:r>
      <w:r>
        <w:rPr>
          <w:noProof/>
        </w:rPr>
        <w:t xml:space="preserve">karogu vai šādu kuģu fraktēšanu var ierobežot atkarībā no tā, vai ir pieejami kuģi ar Vācijas vai citas dalībvalsts karogu. </w:t>
      </w:r>
    </w:p>
    <w:p w:rsidR="003E022D" w:rsidRDefault="007D19D6">
      <w:pPr>
        <w:rPr>
          <w:noProof/>
        </w:rPr>
      </w:pPr>
      <w:r>
        <w:rPr>
          <w:noProof/>
        </w:rPr>
        <w:t xml:space="preserve">Tādi darījumi starp rezidentiem un nerezidentiem, kuri saistīti ar </w:t>
      </w:r>
    </w:p>
    <w:p w:rsidR="003E022D" w:rsidRDefault="007D19D6">
      <w:pPr>
        <w:numPr>
          <w:ilvl w:val="0"/>
          <w:numId w:val="781"/>
        </w:numPr>
        <w:rPr>
          <w:noProof/>
        </w:rPr>
      </w:pPr>
      <w:r>
        <w:rPr>
          <w:noProof/>
        </w:rPr>
        <w:t>iekšzemes ūdensceļu kuģiem, kas nav reģistrēti ekonomikas zonā;</w:t>
      </w:r>
      <w:r>
        <w:rPr>
          <w:noProof/>
        </w:rPr>
        <w:t xml:space="preserve"> </w:t>
      </w:r>
    </w:p>
    <w:p w:rsidR="003E022D" w:rsidRDefault="007D19D6">
      <w:pPr>
        <w:numPr>
          <w:ilvl w:val="0"/>
          <w:numId w:val="781"/>
        </w:numPr>
        <w:rPr>
          <w:noProof/>
        </w:rPr>
      </w:pPr>
      <w:r>
        <w:rPr>
          <w:noProof/>
        </w:rPr>
        <w:t xml:space="preserve">kravu pārvadājumiem ar šādiem iekšzemes ūdensceļu kuģiem vai </w:t>
      </w:r>
    </w:p>
    <w:p w:rsidR="003E022D" w:rsidRDefault="007D19D6">
      <w:pPr>
        <w:numPr>
          <w:ilvl w:val="0"/>
          <w:numId w:val="781"/>
        </w:numPr>
        <w:rPr>
          <w:noProof/>
        </w:rPr>
      </w:pPr>
      <w:r>
        <w:rPr>
          <w:noProof/>
        </w:rPr>
        <w:t xml:space="preserve">vilkšanas pakalpojumiem, ko sniedz ar šādiem iekšzemes ūdensceļu kuģiem, </w:t>
      </w:r>
    </w:p>
    <w:p w:rsidR="003E022D" w:rsidRDefault="007D19D6">
      <w:pPr>
        <w:rPr>
          <w:noProof/>
        </w:rPr>
      </w:pPr>
      <w:r>
        <w:rPr>
          <w:noProof/>
        </w:rPr>
        <w:t>ekonomikas zonā var tikt ierobežoti (ūdens transports, ūdens transporta atbalsta pakalpojumi, kuģu noma, kuģu nomas ar</w:t>
      </w:r>
      <w:r>
        <w:rPr>
          <w:noProof/>
        </w:rPr>
        <w:t xml:space="preserve"> izpirkumu pakalpojumi bez operatoriem (CPC 721, 745, 83103, 86751, 86754, 8730). </w:t>
      </w:r>
    </w:p>
    <w:p w:rsidR="003E022D" w:rsidRDefault="007D19D6">
      <w:pPr>
        <w:rPr>
          <w:b/>
          <w:i/>
          <w:noProof/>
        </w:rPr>
      </w:pPr>
      <w:r>
        <w:rPr>
          <w:b/>
          <w:i/>
          <w:noProof/>
        </w:rPr>
        <w:t xml:space="preserve">Pasākumi </w:t>
      </w:r>
    </w:p>
    <w:p w:rsidR="003E022D" w:rsidRDefault="007D19D6">
      <w:pPr>
        <w:rPr>
          <w:i/>
          <w:noProof/>
        </w:rPr>
      </w:pPr>
      <w:r>
        <w:rPr>
          <w:b/>
          <w:i/>
          <w:noProof/>
        </w:rPr>
        <w:t>DE</w:t>
      </w:r>
      <w:r>
        <w:rPr>
          <w:i/>
          <w:noProof/>
        </w:rPr>
        <w:t>: Gesetz über das Flaggenrecht der Seeschiffe und die Flaggenführung der Binnenschiffe (Flaggenrechtsgesetz; Karoga aizsardzības likums);</w:t>
      </w:r>
    </w:p>
    <w:p w:rsidR="003E022D" w:rsidRDefault="007D19D6">
      <w:pPr>
        <w:rPr>
          <w:i/>
          <w:noProof/>
        </w:rPr>
      </w:pPr>
      <w:r>
        <w:rPr>
          <w:i/>
          <w:noProof/>
        </w:rPr>
        <w:t>Verordnung über die Küs</w:t>
      </w:r>
      <w:r>
        <w:rPr>
          <w:i/>
          <w:noProof/>
        </w:rPr>
        <w:t>tenschifffahrt (KüSchV);</w:t>
      </w:r>
    </w:p>
    <w:p w:rsidR="003E022D" w:rsidRDefault="007D19D6">
      <w:pPr>
        <w:rPr>
          <w:i/>
          <w:noProof/>
        </w:rPr>
      </w:pPr>
      <w:r>
        <w:rPr>
          <w:i/>
          <w:noProof/>
        </w:rPr>
        <w:t>Gesetz über die Aufgaben des Bundes auf dem Gebiet der Binnenschiffahrt (Binnenschiffahrtsaufgabengesetz - BinSchAufgG);</w:t>
      </w:r>
    </w:p>
    <w:p w:rsidR="003E022D" w:rsidRDefault="007D19D6">
      <w:pPr>
        <w:rPr>
          <w:i/>
          <w:noProof/>
        </w:rPr>
      </w:pPr>
      <w:r>
        <w:rPr>
          <w:i/>
          <w:noProof/>
        </w:rPr>
        <w:t>Verordnung über Befähigungszeugnisse in der Binnenschiffahrt (Binnenschifferpatentverordnung - BinSchPatentV);</w:t>
      </w:r>
    </w:p>
    <w:p w:rsidR="003E022D" w:rsidRDefault="007D19D6">
      <w:pPr>
        <w:rPr>
          <w:i/>
          <w:noProof/>
        </w:rPr>
      </w:pPr>
      <w:r>
        <w:rPr>
          <w:i/>
          <w:noProof/>
        </w:rPr>
        <w:t>Gesetz über das Seelotswesen (Seelotsgesetz - SeeLG);</w:t>
      </w:r>
    </w:p>
    <w:p w:rsidR="003E022D" w:rsidRDefault="007D19D6">
      <w:pPr>
        <w:rPr>
          <w:i/>
          <w:noProof/>
        </w:rPr>
      </w:pPr>
      <w:r>
        <w:rPr>
          <w:i/>
          <w:noProof/>
        </w:rPr>
        <w:t>Gesetz über die Aufgaben des Bundes auf dem Gebiet der Seeschiffahrt (Seeaufgabengesetz - SeeAufgG) un</w:t>
      </w:r>
    </w:p>
    <w:p w:rsidR="003E022D" w:rsidRDefault="007D19D6">
      <w:pPr>
        <w:rPr>
          <w:i/>
          <w:noProof/>
        </w:rPr>
      </w:pPr>
      <w:r>
        <w:rPr>
          <w:i/>
          <w:noProof/>
        </w:rPr>
        <w:t xml:space="preserve">Verordnung zur Eigensicherung von Seeschiffen zur Abwehr äußerer Gefahren </w:t>
      </w:r>
      <w:r>
        <w:rPr>
          <w:i/>
          <w:noProof/>
        </w:rPr>
        <w:t>(See-Eigensicherungsverordnung - SeeEigensichV).</w:t>
      </w:r>
    </w:p>
    <w:p w:rsidR="003E022D" w:rsidRDefault="007D19D6">
      <w:pPr>
        <w:rPr>
          <w:noProof/>
          <w:u w:val="single"/>
        </w:rPr>
      </w:pPr>
      <w:r>
        <w:rPr>
          <w:noProof/>
          <w:u w:val="single"/>
        </w:rPr>
        <w:t>Attiecībā uz investīciju liberalizāciju – piekļuve tirgum, valsts režīms un pakalpojumu pārrobežu tirdzniecība – piekļuve tirgum, valsts režīms</w:t>
      </w:r>
    </w:p>
    <w:p w:rsidR="003E022D" w:rsidRDefault="007D19D6">
      <w:pPr>
        <w:rPr>
          <w:noProof/>
        </w:rPr>
      </w:pPr>
      <w:r>
        <w:rPr>
          <w:b/>
          <w:noProof/>
        </w:rPr>
        <w:t>FI</w:t>
      </w:r>
      <w:r>
        <w:rPr>
          <w:noProof/>
        </w:rPr>
        <w:t xml:space="preserve">: jūras transporta atbalsta pakalpojumi, ja tos sniedz Somijas jūras ūdeņos, ir rezervēti flotēm ar valsts, Savienības vai Norvēģijas karogu (CPC 745). </w:t>
      </w:r>
    </w:p>
    <w:p w:rsidR="003E022D" w:rsidRDefault="007D19D6">
      <w:pPr>
        <w:rPr>
          <w:b/>
          <w:i/>
          <w:noProof/>
        </w:rPr>
      </w:pPr>
      <w:r>
        <w:rPr>
          <w:b/>
          <w:i/>
          <w:noProof/>
        </w:rPr>
        <w:t xml:space="preserve">Pasākumi </w:t>
      </w:r>
    </w:p>
    <w:p w:rsidR="003E022D" w:rsidRDefault="007D19D6">
      <w:pPr>
        <w:rPr>
          <w:i/>
          <w:noProof/>
        </w:rPr>
      </w:pPr>
      <w:r>
        <w:rPr>
          <w:b/>
          <w:i/>
          <w:noProof/>
        </w:rPr>
        <w:t>FI</w:t>
      </w:r>
      <w:r>
        <w:rPr>
          <w:i/>
          <w:noProof/>
        </w:rPr>
        <w:t xml:space="preserve">: Merilaki (Jūrniecības likums) (674/1994) un </w:t>
      </w:r>
    </w:p>
    <w:p w:rsidR="003E022D" w:rsidRDefault="007D19D6">
      <w:pPr>
        <w:rPr>
          <w:i/>
          <w:noProof/>
        </w:rPr>
      </w:pPr>
      <w:r>
        <w:rPr>
          <w:i/>
          <w:noProof/>
        </w:rPr>
        <w:t>Laki elinkeinon harjoittamisen oikeudesta (L</w:t>
      </w:r>
      <w:r>
        <w:rPr>
          <w:i/>
          <w:noProof/>
        </w:rPr>
        <w:t xml:space="preserve">ikums par tiesībām veikt tirdzniecību) (122/1919), s. 4.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EL</w:t>
      </w:r>
      <w:r>
        <w:rPr>
          <w:noProof/>
        </w:rPr>
        <w:t xml:space="preserve">: ostu teritorijās kravu apstrādes pakalpojumiem piemēro valsts monopolu (CPC 741). </w:t>
      </w:r>
    </w:p>
    <w:p w:rsidR="003E022D" w:rsidRDefault="007D19D6">
      <w:pPr>
        <w:rPr>
          <w:noProof/>
        </w:rPr>
      </w:pPr>
      <w:r>
        <w:rPr>
          <w:b/>
          <w:noProof/>
        </w:rPr>
        <w:t>IT</w:t>
      </w:r>
      <w:r>
        <w:rPr>
          <w:noProof/>
        </w:rPr>
        <w:t>: attiecībā uz jūras kravu apstrādes pakalpojumiem</w:t>
      </w:r>
      <w:r>
        <w:rPr>
          <w:noProof/>
        </w:rPr>
        <w:t xml:space="preserve"> piemēro ekonomisko vajadzību pārbaudi. Galvenie kritēriji: esošo uzņēmumu skaits un ietekme uz tiem, iedzīvotāju blīvums, ģeogrāfiskā izplatība un jaunu darbavietu radīšana (CPC 741). </w:t>
      </w:r>
    </w:p>
    <w:p w:rsidR="003E022D" w:rsidRDefault="007D19D6">
      <w:pPr>
        <w:rPr>
          <w:b/>
          <w:i/>
          <w:noProof/>
        </w:rPr>
      </w:pPr>
      <w:r>
        <w:rPr>
          <w:b/>
          <w:i/>
          <w:noProof/>
        </w:rPr>
        <w:t xml:space="preserve">Pasākumi </w:t>
      </w:r>
    </w:p>
    <w:p w:rsidR="003E022D" w:rsidRDefault="007D19D6">
      <w:pPr>
        <w:rPr>
          <w:i/>
          <w:noProof/>
        </w:rPr>
      </w:pPr>
      <w:r>
        <w:rPr>
          <w:b/>
          <w:i/>
          <w:noProof/>
        </w:rPr>
        <w:t>EL</w:t>
      </w:r>
      <w:r>
        <w:rPr>
          <w:i/>
          <w:noProof/>
        </w:rPr>
        <w:t>: Publisko jūras tiesību kodekss (Likumdošanas dekrēts 187</w:t>
      </w:r>
      <w:r>
        <w:rPr>
          <w:i/>
          <w:noProof/>
        </w:rPr>
        <w:t xml:space="preserve">/1973). </w:t>
      </w:r>
    </w:p>
    <w:p w:rsidR="003E022D" w:rsidRDefault="007D19D6">
      <w:pPr>
        <w:rPr>
          <w:i/>
          <w:noProof/>
        </w:rPr>
      </w:pPr>
      <w:r>
        <w:rPr>
          <w:b/>
          <w:i/>
          <w:noProof/>
        </w:rPr>
        <w:t>IT</w:t>
      </w:r>
      <w:r>
        <w:rPr>
          <w:i/>
          <w:noProof/>
        </w:rPr>
        <w:t xml:space="preserve">: Kuģniecības kodekss; </w:t>
      </w:r>
    </w:p>
    <w:p w:rsidR="003E022D" w:rsidRDefault="007D19D6">
      <w:pPr>
        <w:rPr>
          <w:i/>
          <w:noProof/>
        </w:rPr>
      </w:pPr>
      <w:r>
        <w:rPr>
          <w:i/>
          <w:noProof/>
        </w:rPr>
        <w:t xml:space="preserve">Likums 84/1994 un </w:t>
      </w:r>
    </w:p>
    <w:p w:rsidR="003E022D" w:rsidRDefault="007D19D6">
      <w:pPr>
        <w:rPr>
          <w:i/>
          <w:noProof/>
        </w:rPr>
      </w:pPr>
      <w:r>
        <w:rPr>
          <w:i/>
          <w:noProof/>
        </w:rPr>
        <w:t xml:space="preserve">Ministrijas dekrēts 585/1995. </w:t>
      </w:r>
    </w:p>
    <w:p w:rsidR="003E022D" w:rsidRDefault="007D19D6">
      <w:pPr>
        <w:rPr>
          <w:b/>
          <w:i/>
          <w:noProof/>
        </w:rPr>
      </w:pPr>
      <w:bookmarkStart w:id="1135" w:name="_Toc5371331"/>
      <w:r>
        <w:rPr>
          <w:b/>
          <w:i/>
          <w:noProof/>
        </w:rPr>
        <w:t>b)</w:t>
      </w:r>
      <w:r>
        <w:rPr>
          <w:noProof/>
        </w:rPr>
        <w:tab/>
      </w:r>
      <w:r>
        <w:rPr>
          <w:b/>
          <w:i/>
          <w:noProof/>
        </w:rPr>
        <w:t>Dzelzceļa transports un dzelzceļa transporta palīgpakalpojumi (CPC 711, 743)</w:t>
      </w:r>
      <w:bookmarkEnd w:id="1135"/>
      <w:r>
        <w:rPr>
          <w:b/>
          <w:i/>
          <w:noProof/>
        </w:rPr>
        <w:t xml:space="preserve"> </w:t>
      </w:r>
    </w:p>
    <w:p w:rsidR="003E022D" w:rsidRDefault="007D19D6">
      <w:pPr>
        <w:rPr>
          <w:noProof/>
          <w:u w:val="single"/>
        </w:rPr>
      </w:pPr>
      <w:r>
        <w:rPr>
          <w:noProof/>
          <w:u w:val="single"/>
        </w:rPr>
        <w:t>Attiecībā uz investīciju liberalizāciju – piekļuve tirgum, valsts režīms un pakalpojumu pā</w:t>
      </w:r>
      <w:r>
        <w:rPr>
          <w:noProof/>
          <w:u w:val="single"/>
        </w:rPr>
        <w:t xml:space="preserve">rrobežu tirdzniecība – piekļuve tirgum, valsts režīms </w:t>
      </w:r>
    </w:p>
    <w:p w:rsidR="003E022D" w:rsidRDefault="007D19D6">
      <w:pPr>
        <w:rPr>
          <w:noProof/>
        </w:rPr>
      </w:pPr>
      <w:r>
        <w:rPr>
          <w:b/>
          <w:noProof/>
        </w:rPr>
        <w:t>BG:</w:t>
      </w:r>
      <w:r>
        <w:rPr>
          <w:noProof/>
        </w:rPr>
        <w:t xml:space="preserve"> tikai dalībvalsts valstspiederīgie </w:t>
      </w:r>
      <w:bookmarkEnd w:id="1132"/>
      <w:bookmarkEnd w:id="1133"/>
      <w:r>
        <w:rPr>
          <w:noProof/>
        </w:rPr>
        <w:t>drīkst sniegt dzelzceļa transporta pakalpojumus vai dzelzceļa transporta atbalsta pakalpojumus Bulgārijā. Licenci pasažieru vai kravu pārvadājumiem pa dzelzceļu i</w:t>
      </w:r>
      <w:r>
        <w:rPr>
          <w:noProof/>
        </w:rPr>
        <w:t xml:space="preserve">zdod satiksmes ministrs dzelzceļa operatoriem, kas reģistrēti kā tirgotāji (CPC 711, 743). </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Dzelzceļa pārvadājumu likums, 37., 48. pants.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LT</w:t>
      </w:r>
      <w:r>
        <w:rPr>
          <w:noProof/>
        </w:rPr>
        <w:t>: ekskluzīvas tiesības sniegt tranzīta pak</w:t>
      </w:r>
      <w:r>
        <w:rPr>
          <w:noProof/>
        </w:rPr>
        <w:t xml:space="preserve">alpojumus ir piešķirtas dzelzceļa uzņēmumiem, kuru īpašnieks ir valsts vai kuru akcijas 100 % apmērā pieder valstij (CPC 711). </w:t>
      </w:r>
    </w:p>
    <w:p w:rsidR="003E022D" w:rsidRDefault="007D19D6">
      <w:pPr>
        <w:rPr>
          <w:b/>
          <w:i/>
          <w:noProof/>
        </w:rPr>
      </w:pPr>
      <w:r>
        <w:rPr>
          <w:b/>
          <w:i/>
          <w:noProof/>
        </w:rPr>
        <w:t xml:space="preserve">Pasākumi </w:t>
      </w:r>
    </w:p>
    <w:p w:rsidR="003E022D" w:rsidRDefault="007D19D6">
      <w:pPr>
        <w:rPr>
          <w:i/>
          <w:noProof/>
        </w:rPr>
      </w:pPr>
      <w:r>
        <w:rPr>
          <w:b/>
          <w:i/>
          <w:noProof/>
        </w:rPr>
        <w:t>LT</w:t>
      </w:r>
      <w:r>
        <w:rPr>
          <w:i/>
          <w:noProof/>
        </w:rPr>
        <w:t>: Lietuvas Republikas 2004. gada 22. aprīļa Dzelzceļa pārvadājumu kodekss Nr. IX-2152, kas grozīts 2006. gada 8. jūn</w:t>
      </w:r>
      <w:r>
        <w:rPr>
          <w:i/>
          <w:noProof/>
        </w:rPr>
        <w:t xml:space="preserve">ijā ar Nr. X-653. </w:t>
      </w:r>
    </w:p>
    <w:p w:rsidR="003E022D" w:rsidRDefault="007D19D6">
      <w:pPr>
        <w:rPr>
          <w:b/>
          <w:i/>
          <w:noProof/>
        </w:rPr>
      </w:pPr>
      <w:bookmarkStart w:id="1136" w:name="_Toc5371332"/>
      <w:bookmarkStart w:id="1137" w:name="_Toc452570646"/>
      <w:r>
        <w:rPr>
          <w:b/>
          <w:i/>
          <w:noProof/>
        </w:rPr>
        <w:t>c)</w:t>
      </w:r>
      <w:r>
        <w:rPr>
          <w:noProof/>
        </w:rPr>
        <w:tab/>
      </w:r>
      <w:r>
        <w:rPr>
          <w:b/>
          <w:i/>
          <w:noProof/>
        </w:rPr>
        <w:t>Autotransports un autotransporta palīgpakalpojumi (CPC 712, 7121, 7122, 71222, 7123)</w:t>
      </w:r>
      <w:bookmarkEnd w:id="1136"/>
      <w:bookmarkEnd w:id="1137"/>
      <w:r>
        <w:rPr>
          <w:b/>
          <w:i/>
          <w:noProof/>
        </w:rPr>
        <w:t xml:space="preserve"> </w:t>
      </w:r>
    </w:p>
    <w:p w:rsidR="003E022D" w:rsidRDefault="007D19D6">
      <w:pPr>
        <w:rPr>
          <w:noProof/>
        </w:rPr>
      </w:pPr>
      <w:r>
        <w:rPr>
          <w:noProof/>
        </w:rPr>
        <w:t xml:space="preserve">Attiecībā uz autotransporta pakalpojumiem, uz kuriem neattiecas </w:t>
      </w:r>
      <w:r>
        <w:rPr>
          <w:noProof/>
          <w:highlight w:val="cyan"/>
        </w:rPr>
        <w:t>Otrās daļas [Tirdzniecība, transports un zvejniecība] Trešā temata [Autopārvadājumi]</w:t>
      </w:r>
      <w:r>
        <w:rPr>
          <w:noProof/>
          <w:highlight w:val="cyan"/>
        </w:rPr>
        <w:t xml:space="preserve"> I [Kravu autopārvadājumi] un II [Pasažieru autopārvadājumi] sadaļa</w:t>
      </w:r>
      <w:r>
        <w:rPr>
          <w:noProof/>
        </w:rPr>
        <w:t xml:space="preserve"> un </w:t>
      </w:r>
      <w:r>
        <w:rPr>
          <w:noProof/>
          <w:highlight w:val="cyan"/>
        </w:rPr>
        <w:t>ROAD-1. pielikums [Kravu autopārvadājumi]</w:t>
      </w:r>
      <w:r>
        <w:rPr>
          <w:noProof/>
        </w:rPr>
        <w:t>.</w:t>
      </w:r>
    </w:p>
    <w:p w:rsidR="003E022D" w:rsidRDefault="007D19D6">
      <w:pPr>
        <w:rPr>
          <w:noProof/>
          <w:u w:val="single"/>
        </w:rPr>
      </w:pPr>
      <w:r>
        <w:rPr>
          <w:noProof/>
          <w:u w:val="single"/>
        </w:rPr>
        <w:t>Attiecībā uz investīciju liberalizāciju – piekļuve tirgum, valsts režīms un pakalpojumu pārrobežu tirdzniecība – piekļuve tirgum, valsts režīm</w:t>
      </w:r>
      <w:r>
        <w:rPr>
          <w:noProof/>
          <w:u w:val="single"/>
        </w:rPr>
        <w:t xml:space="preserve">s </w:t>
      </w:r>
    </w:p>
    <w:p w:rsidR="003E022D" w:rsidRDefault="007D19D6">
      <w:pPr>
        <w:rPr>
          <w:noProof/>
        </w:rPr>
      </w:pPr>
      <w:r>
        <w:rPr>
          <w:b/>
          <w:noProof/>
        </w:rPr>
        <w:t>AT</w:t>
      </w:r>
      <w:r>
        <w:rPr>
          <w:noProof/>
        </w:rPr>
        <w:t xml:space="preserve"> (attiecībā arī uz lielākās labvēlības režīmu): attiecībā uz pasažieru un kravu pārvadājumiem ekskluzīvas tiesības un/vai atļaujas var piešķirt tikai EEZ līgumslēdzēju pušu valstspiederīgajiem un Savienības juridiskām personām, kuru galvenais birojs a</w:t>
      </w:r>
      <w:r>
        <w:rPr>
          <w:noProof/>
        </w:rPr>
        <w:t xml:space="preserve">trodas Austrijā. Licences piešķir bez diskriminācijas, ievērojot savstarpības nosacījumu (CPC 712).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Güterbeförderungsgesetz (Preču pārvadājumu likums), BGBl. Nr. 593/1995; § 5; </w:t>
      </w:r>
    </w:p>
    <w:p w:rsidR="003E022D" w:rsidRDefault="007D19D6">
      <w:pPr>
        <w:rPr>
          <w:i/>
          <w:noProof/>
        </w:rPr>
      </w:pPr>
      <w:r>
        <w:rPr>
          <w:i/>
          <w:noProof/>
        </w:rPr>
        <w:t xml:space="preserve">Gelegenheitsverkehrsgesetz (Neregulārās satiksmes likums), BGBl. Nr. 112/1996; § 6; un </w:t>
      </w:r>
    </w:p>
    <w:p w:rsidR="003E022D" w:rsidRDefault="007D19D6">
      <w:pPr>
        <w:rPr>
          <w:i/>
          <w:noProof/>
        </w:rPr>
      </w:pPr>
      <w:r>
        <w:rPr>
          <w:i/>
          <w:noProof/>
        </w:rPr>
        <w:t xml:space="preserve">Kraftfahrliniengesetz (Regulāro pārvadājumu likums), BGBl. I Nr. 203/1999 , ar grozījumiem, §§ 7 un 8. </w:t>
      </w:r>
    </w:p>
    <w:p w:rsidR="003E022D" w:rsidRDefault="007D19D6">
      <w:pPr>
        <w:rPr>
          <w:noProof/>
          <w:u w:val="single"/>
        </w:rPr>
      </w:pPr>
      <w:r>
        <w:rPr>
          <w:noProof/>
          <w:u w:val="single"/>
        </w:rPr>
        <w:t>Attiecībā uz investīciju liberalizāciju – valsts režīms, lielākā</w:t>
      </w:r>
      <w:r>
        <w:rPr>
          <w:noProof/>
          <w:u w:val="single"/>
        </w:rPr>
        <w:t xml:space="preserve">s labvēlības režīms </w:t>
      </w:r>
    </w:p>
    <w:p w:rsidR="003E022D" w:rsidRDefault="007D19D6">
      <w:pPr>
        <w:rPr>
          <w:noProof/>
        </w:rPr>
      </w:pPr>
      <w:r>
        <w:rPr>
          <w:b/>
          <w:noProof/>
        </w:rPr>
        <w:t>EL</w:t>
      </w:r>
      <w:r>
        <w:rPr>
          <w:noProof/>
        </w:rPr>
        <w:t xml:space="preserve">: attiecībā uz kravu autopārvadājumu pakalpojumu operatoriem. Kravu autopārvadājumu operatoram nepieciešama Grieķijas licence. Licences piešķir bez diskriminācijas, ievērojot savstarpības nosacījumu (CPC 7123). </w:t>
      </w:r>
    </w:p>
    <w:p w:rsidR="003E022D" w:rsidRDefault="007D19D6">
      <w:pPr>
        <w:rPr>
          <w:b/>
          <w:i/>
          <w:noProof/>
        </w:rPr>
      </w:pPr>
      <w:r>
        <w:rPr>
          <w:b/>
          <w:i/>
          <w:noProof/>
        </w:rPr>
        <w:t xml:space="preserve">Pasākumi </w:t>
      </w:r>
    </w:p>
    <w:p w:rsidR="003E022D" w:rsidRDefault="007D19D6">
      <w:pPr>
        <w:rPr>
          <w:i/>
          <w:noProof/>
        </w:rPr>
      </w:pPr>
      <w:r>
        <w:rPr>
          <w:b/>
          <w:i/>
          <w:noProof/>
        </w:rPr>
        <w:t>EL</w:t>
      </w:r>
      <w:r>
        <w:rPr>
          <w:i/>
          <w:noProof/>
        </w:rPr>
        <w:t>: Kravu a</w:t>
      </w:r>
      <w:r>
        <w:rPr>
          <w:i/>
          <w:noProof/>
        </w:rPr>
        <w:t xml:space="preserve">utopārvadājumu operatoru licencēšana: Grieķijas Likums 3887/2010 (Government Gazette </w:t>
      </w:r>
    </w:p>
    <w:p w:rsidR="003E022D" w:rsidRDefault="007D19D6">
      <w:pPr>
        <w:rPr>
          <w:i/>
          <w:noProof/>
        </w:rPr>
      </w:pPr>
      <w:r>
        <w:rPr>
          <w:i/>
          <w:noProof/>
        </w:rPr>
        <w:t xml:space="preserve">A174), kas grozīts ar Likuma 4038/2012 5. pantu (Government Gazette A' 14).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IE</w:t>
      </w:r>
      <w:r>
        <w:rPr>
          <w:noProof/>
        </w:rPr>
        <w:t xml:space="preserve">: ekonomisko vajadzību pārbaude </w:t>
      </w:r>
      <w:r>
        <w:rPr>
          <w:noProof/>
        </w:rPr>
        <w:t xml:space="preserve">attiecībā uz starppilsētu autobusu pakalpojumiem. Galvenie kritēriji: esošo uzņēmumu skaits un ietekme uz tiem, iedzīvotāju blīvums, ģeogrāfiskā izplatība, ietekme uz satiksmes apstākļiem un jaunu darbvietu radīšana (CPC 7121, CPC 7122). </w:t>
      </w:r>
    </w:p>
    <w:p w:rsidR="003E022D" w:rsidRDefault="007D19D6">
      <w:pPr>
        <w:rPr>
          <w:noProof/>
        </w:rPr>
      </w:pPr>
      <w:r>
        <w:rPr>
          <w:b/>
          <w:noProof/>
        </w:rPr>
        <w:t>MT</w:t>
      </w:r>
      <w:r>
        <w:rPr>
          <w:noProof/>
        </w:rPr>
        <w:t xml:space="preserve">: attiecībā uz </w:t>
      </w:r>
      <w:r>
        <w:rPr>
          <w:noProof/>
        </w:rPr>
        <w:t xml:space="preserve">taksometriem piemēro licenču skaita ierobežojumus. </w:t>
      </w:r>
    </w:p>
    <w:p w:rsidR="003E022D" w:rsidRDefault="007D19D6">
      <w:pPr>
        <w:rPr>
          <w:noProof/>
        </w:rPr>
      </w:pPr>
      <w:r>
        <w:rPr>
          <w:i/>
          <w:iCs/>
          <w:noProof/>
        </w:rPr>
        <w:t>Karozzini</w:t>
      </w:r>
      <w:r>
        <w:rPr>
          <w:noProof/>
        </w:rPr>
        <w:t xml:space="preserve"> (zirgu pajūgi): attiecībā uz </w:t>
      </w:r>
      <w:r>
        <w:rPr>
          <w:i/>
          <w:iCs/>
          <w:noProof/>
        </w:rPr>
        <w:t>Karozzini</w:t>
      </w:r>
      <w:r>
        <w:rPr>
          <w:noProof/>
        </w:rPr>
        <w:t xml:space="preserve"> (zirgu pajūgiem) piemēro licenču skaita ierobežojumus (CPC 712). </w:t>
      </w:r>
    </w:p>
    <w:p w:rsidR="003E022D" w:rsidRDefault="007D19D6">
      <w:pPr>
        <w:rPr>
          <w:noProof/>
        </w:rPr>
      </w:pPr>
      <w:r>
        <w:rPr>
          <w:b/>
          <w:noProof/>
        </w:rPr>
        <w:t>PT</w:t>
      </w:r>
      <w:r>
        <w:rPr>
          <w:noProof/>
        </w:rPr>
        <w:t>: ekonomisko vajadzību pārbaude attiecībā uz limuzīnu pakalpojumiem. Galvenie kritēriji</w:t>
      </w:r>
      <w:r>
        <w:rPr>
          <w:noProof/>
        </w:rPr>
        <w:t xml:space="preserve">: esošo uzņēmumu skaits un ietekme uz tiem, iedzīvotāju blīvums, ģeogrāfiskā izplatība, ietekme uz satiksmes apstākļiem un jaunu darbvietu radīšana (CPC 71222). </w:t>
      </w:r>
    </w:p>
    <w:p w:rsidR="003E022D" w:rsidRDefault="007D19D6">
      <w:pPr>
        <w:rPr>
          <w:b/>
          <w:i/>
          <w:noProof/>
        </w:rPr>
      </w:pPr>
      <w:r>
        <w:rPr>
          <w:b/>
          <w:i/>
          <w:noProof/>
        </w:rPr>
        <w:t xml:space="preserve">Pasākumi </w:t>
      </w:r>
    </w:p>
    <w:p w:rsidR="003E022D" w:rsidRDefault="007D19D6">
      <w:pPr>
        <w:rPr>
          <w:i/>
          <w:noProof/>
        </w:rPr>
      </w:pPr>
      <w:r>
        <w:rPr>
          <w:b/>
          <w:i/>
          <w:noProof/>
        </w:rPr>
        <w:t>IE</w:t>
      </w:r>
      <w:r>
        <w:rPr>
          <w:i/>
          <w:noProof/>
        </w:rPr>
        <w:t xml:space="preserve">: 2009. gada Sabiedriskā transporta regulējuma likums. </w:t>
      </w:r>
    </w:p>
    <w:p w:rsidR="003E022D" w:rsidRDefault="007D19D6">
      <w:pPr>
        <w:rPr>
          <w:i/>
          <w:noProof/>
        </w:rPr>
      </w:pPr>
      <w:r>
        <w:rPr>
          <w:b/>
          <w:i/>
          <w:noProof/>
        </w:rPr>
        <w:t>MT</w:t>
      </w:r>
      <w:r>
        <w:rPr>
          <w:i/>
          <w:noProof/>
        </w:rPr>
        <w:t>: Taksometru pakalpojumu</w:t>
      </w:r>
      <w:r>
        <w:rPr>
          <w:i/>
          <w:noProof/>
        </w:rPr>
        <w:t xml:space="preserve"> noteikumi (SL499.59). </w:t>
      </w:r>
    </w:p>
    <w:p w:rsidR="003E022D" w:rsidRDefault="007D19D6">
      <w:pPr>
        <w:rPr>
          <w:i/>
          <w:noProof/>
        </w:rPr>
      </w:pPr>
      <w:r>
        <w:rPr>
          <w:b/>
          <w:i/>
          <w:noProof/>
        </w:rPr>
        <w:t>PT</w:t>
      </w:r>
      <w:r>
        <w:rPr>
          <w:i/>
          <w:noProof/>
        </w:rPr>
        <w:t xml:space="preserve">: 21. augusta Dekrētlikums 41/80. </w:t>
      </w:r>
    </w:p>
    <w:p w:rsidR="003E022D" w:rsidRDefault="007D19D6">
      <w:pPr>
        <w:rPr>
          <w:noProof/>
          <w:u w:val="single"/>
        </w:rPr>
      </w:pPr>
      <w:r>
        <w:rPr>
          <w:noProof/>
          <w:u w:val="single"/>
        </w:rPr>
        <w:t xml:space="preserve">Attiecībā uz investīciju liberalizāciju – piekļuve tirgum un pakalpojumu pārrobežu tirdzniecība – klātbūtne uz vietas </w:t>
      </w:r>
    </w:p>
    <w:p w:rsidR="003E022D" w:rsidRDefault="007D19D6">
      <w:pPr>
        <w:rPr>
          <w:noProof/>
        </w:rPr>
      </w:pPr>
      <w:r>
        <w:rPr>
          <w:b/>
          <w:noProof/>
        </w:rPr>
        <w:t>CZ</w:t>
      </w:r>
      <w:r>
        <w:rPr>
          <w:noProof/>
        </w:rPr>
        <w:t>: ir nepieciešama inkorporācija Čehijas Republikā (filiāles nav iespējamas</w:t>
      </w:r>
      <w:r>
        <w:rPr>
          <w:noProof/>
        </w:rPr>
        <w:t xml:space="preserve">). </w:t>
      </w:r>
    </w:p>
    <w:p w:rsidR="003E022D" w:rsidRDefault="007D19D6">
      <w:pPr>
        <w:rPr>
          <w:b/>
          <w:i/>
          <w:noProof/>
        </w:rPr>
      </w:pPr>
      <w:r>
        <w:rPr>
          <w:b/>
          <w:i/>
          <w:noProof/>
        </w:rPr>
        <w:t xml:space="preserve">Pasākumi </w:t>
      </w:r>
    </w:p>
    <w:p w:rsidR="003E022D" w:rsidRDefault="007D19D6">
      <w:pPr>
        <w:rPr>
          <w:i/>
          <w:noProof/>
        </w:rPr>
      </w:pPr>
      <w:r>
        <w:rPr>
          <w:b/>
          <w:i/>
          <w:noProof/>
        </w:rPr>
        <w:t>CZ</w:t>
      </w:r>
      <w:r>
        <w:rPr>
          <w:i/>
          <w:noProof/>
        </w:rPr>
        <w:t xml:space="preserve">: Likums Nr. 111/1994 Coll. Coll., par autotransportu. </w:t>
      </w:r>
    </w:p>
    <w:p w:rsidR="003E022D" w:rsidRDefault="007D19D6">
      <w:pPr>
        <w:rPr>
          <w:noProof/>
          <w:u w:val="single"/>
        </w:rPr>
      </w:pPr>
      <w:r>
        <w:rPr>
          <w:noProof/>
          <w:u w:val="single"/>
        </w:rPr>
        <w:t xml:space="preserve">Attiecībā uz ieguldījumu liberalizāciju – piekļuve tirgum, valsts režīms un pakalpojumu pārrobežu tirdzniecība – piekļuve tirgum, valsts režīms, lielākās labvēlības režīms </w:t>
      </w:r>
    </w:p>
    <w:p w:rsidR="003E022D" w:rsidRDefault="007D19D6">
      <w:pPr>
        <w:rPr>
          <w:noProof/>
        </w:rPr>
      </w:pPr>
      <w:r>
        <w:rPr>
          <w:b/>
          <w:noProof/>
        </w:rPr>
        <w:t>SE</w:t>
      </w:r>
      <w:r>
        <w:rPr>
          <w:noProof/>
        </w:rPr>
        <w:t>: autopār</w:t>
      </w:r>
      <w:r>
        <w:rPr>
          <w:noProof/>
        </w:rPr>
        <w:t>vadājumu operatoram nepieciešama Zviedrijas licence. Viens no kritērijiem taksometra licences saņemšanai — sabiedrība ir iecēlusi fizisku personu par pārvadājumu vadītāju (</w:t>
      </w:r>
      <w:r>
        <w:rPr>
          <w:i/>
          <w:noProof/>
        </w:rPr>
        <w:t>de facto</w:t>
      </w:r>
      <w:r>
        <w:rPr>
          <w:noProof/>
        </w:rPr>
        <w:t xml:space="preserve"> rezidenta statusa prasība — sk. Zviedrijas atrunu par uzņēmējdarbības veikš</w:t>
      </w:r>
      <w:r>
        <w:rPr>
          <w:noProof/>
        </w:rPr>
        <w:t xml:space="preserve">anas veidiem). </w:t>
      </w:r>
    </w:p>
    <w:p w:rsidR="003E022D" w:rsidRDefault="007D19D6">
      <w:pPr>
        <w:rPr>
          <w:b/>
          <w:i/>
          <w:noProof/>
        </w:rPr>
      </w:pPr>
      <w:r>
        <w:rPr>
          <w:b/>
          <w:i/>
          <w:noProof/>
        </w:rPr>
        <w:t xml:space="preserve">Pasākumi </w:t>
      </w:r>
    </w:p>
    <w:p w:rsidR="003E022D" w:rsidRDefault="007D19D6">
      <w:pPr>
        <w:rPr>
          <w:i/>
          <w:noProof/>
        </w:rPr>
      </w:pPr>
      <w:r>
        <w:rPr>
          <w:b/>
          <w:i/>
          <w:noProof/>
        </w:rPr>
        <w:t>SE</w:t>
      </w:r>
      <w:r>
        <w:rPr>
          <w:i/>
          <w:noProof/>
        </w:rPr>
        <w:t xml:space="preserve">: Yrkestrafiklag (2012:210) (Likums par profesionāliem pārvadājumiem); </w:t>
      </w:r>
    </w:p>
    <w:p w:rsidR="003E022D" w:rsidRDefault="007D19D6">
      <w:pPr>
        <w:rPr>
          <w:i/>
          <w:noProof/>
        </w:rPr>
      </w:pPr>
      <w:r>
        <w:rPr>
          <w:i/>
          <w:noProof/>
        </w:rPr>
        <w:t xml:space="preserve">Yrkestrafikförordning (2012:237) (Valdības noteikumi par profesionāliem pārvadājumiem); </w:t>
      </w:r>
    </w:p>
    <w:p w:rsidR="003E022D" w:rsidRDefault="007D19D6">
      <w:pPr>
        <w:rPr>
          <w:i/>
          <w:noProof/>
        </w:rPr>
      </w:pPr>
      <w:r>
        <w:rPr>
          <w:i/>
          <w:noProof/>
        </w:rPr>
        <w:t xml:space="preserve">Taxitrafiklag (2012:211) (Likums par taksometriem) un </w:t>
      </w:r>
    </w:p>
    <w:p w:rsidR="003E022D" w:rsidRDefault="007D19D6">
      <w:pPr>
        <w:rPr>
          <w:i/>
          <w:noProof/>
        </w:rPr>
      </w:pPr>
      <w:r>
        <w:rPr>
          <w:i/>
          <w:noProof/>
        </w:rPr>
        <w:t>Taxitrafikfö</w:t>
      </w:r>
      <w:r>
        <w:rPr>
          <w:i/>
          <w:noProof/>
        </w:rPr>
        <w:t xml:space="preserve">rordning (2012:238) (Valdības noteikumi par taksometriem).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SK</w:t>
      </w:r>
      <w:r>
        <w:rPr>
          <w:noProof/>
        </w:rPr>
        <w:t xml:space="preserve">: taksometru pakalpojumu koncesiju un atļauju taksometru nosūtīšanai var piešķirt personai, kuras dzīvesvieta vai </w:t>
      </w:r>
      <w:r>
        <w:rPr>
          <w:noProof/>
        </w:rPr>
        <w:t>uzņēmējdarbības veikšanas vieta ir Slovākijas Republikā vai citā EEZ dalībvalstī.</w:t>
      </w:r>
    </w:p>
    <w:p w:rsidR="003E022D" w:rsidRDefault="007D19D6">
      <w:pPr>
        <w:rPr>
          <w:b/>
          <w:i/>
          <w:noProof/>
        </w:rPr>
      </w:pPr>
      <w:r>
        <w:rPr>
          <w:b/>
          <w:i/>
          <w:noProof/>
        </w:rPr>
        <w:t xml:space="preserve">Pasākumi </w:t>
      </w:r>
    </w:p>
    <w:p w:rsidR="003E022D" w:rsidRDefault="007D19D6">
      <w:pPr>
        <w:rPr>
          <w:i/>
          <w:noProof/>
        </w:rPr>
      </w:pPr>
      <w:r>
        <w:rPr>
          <w:i/>
          <w:noProof/>
        </w:rPr>
        <w:t>Likums 56/2012 Coll., par autotransportu.</w:t>
      </w:r>
    </w:p>
    <w:p w:rsidR="003E022D" w:rsidRDefault="007D19D6">
      <w:pPr>
        <w:rPr>
          <w:b/>
          <w:i/>
          <w:noProof/>
        </w:rPr>
      </w:pPr>
      <w:bookmarkStart w:id="1138" w:name="_Toc452570647"/>
      <w:r>
        <w:rPr>
          <w:b/>
          <w:i/>
          <w:noProof/>
        </w:rPr>
        <w:t xml:space="preserve">d) </w:t>
      </w:r>
      <w:bookmarkStart w:id="1139" w:name="_Toc5371333"/>
      <w:r>
        <w:rPr>
          <w:noProof/>
        </w:rPr>
        <w:tab/>
      </w:r>
      <w:r>
        <w:rPr>
          <w:b/>
          <w:i/>
          <w:noProof/>
        </w:rPr>
        <w:t>Gaisa pārvadājumu palīgpakalpojumi</w:t>
      </w:r>
      <w:bookmarkEnd w:id="1139"/>
      <w:r>
        <w:rPr>
          <w:b/>
          <w:i/>
          <w:noProof/>
        </w:rPr>
        <w:t xml:space="preserve"> </w:t>
      </w:r>
      <w:bookmarkEnd w:id="1138"/>
    </w:p>
    <w:p w:rsidR="003E022D" w:rsidRDefault="007D19D6">
      <w:pPr>
        <w:rPr>
          <w:noProof/>
          <w:u w:val="single"/>
        </w:rPr>
      </w:pPr>
      <w:r>
        <w:rPr>
          <w:noProof/>
          <w:u w:val="single"/>
        </w:rPr>
        <w:t>Attiecībā uz investīciju liberalizāciju – piekļuve tirgum, valsts režīms un pakalp</w:t>
      </w:r>
      <w:r>
        <w:rPr>
          <w:noProof/>
          <w:u w:val="single"/>
        </w:rPr>
        <w:t xml:space="preserve">ojumu pārrobežu tirdzniecība – piekļuve tirgum, valsts režīms </w:t>
      </w:r>
    </w:p>
    <w:p w:rsidR="003E022D" w:rsidRDefault="007D19D6">
      <w:pPr>
        <w:rPr>
          <w:noProof/>
        </w:rPr>
      </w:pPr>
      <w:r>
        <w:rPr>
          <w:b/>
          <w:noProof/>
        </w:rPr>
        <w:t>EU</w:t>
      </w:r>
      <w:r>
        <w:rPr>
          <w:noProof/>
        </w:rPr>
        <w:t>: lai sniegtu apkalpošanas uz zemes pakalpojumus, var tikt izvirzīta prasība veikt uzņēmējdarbību Eiropas Savienības teritorijā. Apkalpošanas uz zemes pakalpojumu atvērtības līmenis ir atkarī</w:t>
      </w:r>
      <w:r>
        <w:rPr>
          <w:noProof/>
        </w:rPr>
        <w:t xml:space="preserve">gs no lidostas lieluma. Pakalpojumu sniedzēju skaits katrā lidostā var būt ierobežots. “Lielās lidostās” šis ierobežojums nedrīkst būt mazāks par diviem piegādātājiem. </w:t>
      </w:r>
    </w:p>
    <w:p w:rsidR="003E022D" w:rsidRDefault="007D19D6">
      <w:pPr>
        <w:rPr>
          <w:b/>
          <w:i/>
          <w:noProof/>
        </w:rPr>
      </w:pPr>
      <w:r>
        <w:rPr>
          <w:b/>
          <w:i/>
          <w:noProof/>
        </w:rPr>
        <w:t xml:space="preserve">Pasākumi </w:t>
      </w:r>
    </w:p>
    <w:p w:rsidR="003E022D" w:rsidRDefault="007D19D6">
      <w:pPr>
        <w:rPr>
          <w:noProof/>
        </w:rPr>
      </w:pPr>
      <w:r>
        <w:rPr>
          <w:b/>
          <w:noProof/>
        </w:rPr>
        <w:t>EU</w:t>
      </w:r>
      <w:r>
        <w:rPr>
          <w:noProof/>
        </w:rPr>
        <w:t xml:space="preserve">: Padomes Direktīva 96/67/EK (1996. gada 15. oktobris) par pieeju lidlauka </w:t>
      </w:r>
      <w:r>
        <w:rPr>
          <w:noProof/>
        </w:rPr>
        <w:t xml:space="preserve">sniegto pakalpojumu tirgum Kopienas lidostās. </w:t>
      </w:r>
    </w:p>
    <w:p w:rsidR="003E022D" w:rsidRDefault="007D19D6">
      <w:pPr>
        <w:rPr>
          <w:noProof/>
        </w:rPr>
      </w:pPr>
      <w:r>
        <w:rPr>
          <w:b/>
          <w:noProof/>
        </w:rPr>
        <w:t xml:space="preserve">BE </w:t>
      </w:r>
      <w:r>
        <w:rPr>
          <w:noProof/>
        </w:rPr>
        <w:t xml:space="preserve">(attiecas arī uz valdības reģionālo līmeni): attiecībā uz apkalpošanas uz zemes pakalpojumiem tiek prasīta savstarpība. </w:t>
      </w:r>
    </w:p>
    <w:p w:rsidR="003E022D" w:rsidRDefault="007D19D6">
      <w:pPr>
        <w:rPr>
          <w:b/>
          <w:i/>
          <w:noProof/>
        </w:rPr>
      </w:pPr>
      <w:r>
        <w:rPr>
          <w:b/>
          <w:i/>
          <w:noProof/>
        </w:rPr>
        <w:t xml:space="preserve">Pasākumi </w:t>
      </w:r>
    </w:p>
    <w:p w:rsidR="003E022D" w:rsidRDefault="007D19D6">
      <w:pPr>
        <w:rPr>
          <w:i/>
          <w:noProof/>
        </w:rPr>
      </w:pPr>
      <w:r>
        <w:rPr>
          <w:b/>
          <w:i/>
          <w:noProof/>
        </w:rPr>
        <w:t>BE</w:t>
      </w:r>
      <w:r>
        <w:rPr>
          <w:i/>
          <w:noProof/>
        </w:rPr>
        <w:t>: Arrêté Royal du 6 novembre 2010 réglementant l'accès au marché de l'ass</w:t>
      </w:r>
      <w:r>
        <w:rPr>
          <w:i/>
          <w:noProof/>
        </w:rPr>
        <w:t xml:space="preserve">istance en escale à l'aéroport de Bruxelles-National (18. pants); </w:t>
      </w:r>
    </w:p>
    <w:p w:rsidR="003E022D" w:rsidRDefault="007D19D6">
      <w:pPr>
        <w:rPr>
          <w:i/>
          <w:noProof/>
        </w:rPr>
      </w:pPr>
      <w:r>
        <w:rPr>
          <w:i/>
          <w:noProof/>
        </w:rPr>
        <w:t xml:space="preserve">Besluit van de Vlaamse Regering betreffende de toegang tot de grondafhandelingsmarkt op de Vlaamse regionale luchthavens (14. pants) un </w:t>
      </w:r>
    </w:p>
    <w:p w:rsidR="003E022D" w:rsidRDefault="007D19D6">
      <w:pPr>
        <w:rPr>
          <w:i/>
          <w:noProof/>
        </w:rPr>
      </w:pPr>
      <w:r>
        <w:rPr>
          <w:i/>
          <w:noProof/>
        </w:rPr>
        <w:t>Arrêté du Gouvernement wallon réglementant l'accès a</w:t>
      </w:r>
      <w:r>
        <w:rPr>
          <w:i/>
          <w:noProof/>
        </w:rPr>
        <w:t xml:space="preserve">u marché de l'assistance en escale aux aéroports relevant de la Région wallonne (14. pants). </w:t>
      </w:r>
    </w:p>
    <w:p w:rsidR="003E022D" w:rsidRDefault="007D19D6">
      <w:pPr>
        <w:rPr>
          <w:b/>
          <w:i/>
          <w:noProof/>
        </w:rPr>
      </w:pPr>
      <w:r>
        <w:rPr>
          <w:b/>
          <w:i/>
          <w:noProof/>
        </w:rPr>
        <w:t xml:space="preserve">e) </w:t>
      </w:r>
      <w:r>
        <w:rPr>
          <w:noProof/>
        </w:rPr>
        <w:tab/>
      </w:r>
      <w:bookmarkStart w:id="1140" w:name="_Toc5371334"/>
      <w:bookmarkStart w:id="1141" w:name="_Toc452570648"/>
      <w:r>
        <w:rPr>
          <w:b/>
          <w:i/>
          <w:noProof/>
        </w:rPr>
        <w:t>Visu transporta veidu atbalsta pakalpojumi (daļa no CPC 748)</w:t>
      </w:r>
      <w:bookmarkEnd w:id="1140"/>
      <w:bookmarkEnd w:id="1141"/>
      <w:r>
        <w:rPr>
          <w:b/>
          <w:i/>
          <w:noProof/>
        </w:rPr>
        <w:t xml:space="preserve">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EU</w:t>
      </w:r>
      <w:r>
        <w:rPr>
          <w:noProof/>
        </w:rPr>
        <w:t xml:space="preserve"> (attiecas arī uz valdī</w:t>
      </w:r>
      <w:r>
        <w:rPr>
          <w:noProof/>
        </w:rPr>
        <w:t xml:space="preserve">bas reģionālo līmeni): muitošanas pakalpojumus var sniegt tikai Savienības rezidenti vai juridiskas personas, kuras veic uzņēmējdarbību Savienībā. </w:t>
      </w:r>
    </w:p>
    <w:p w:rsidR="003E022D" w:rsidRDefault="007D19D6">
      <w:pPr>
        <w:rPr>
          <w:b/>
          <w:i/>
          <w:noProof/>
        </w:rPr>
      </w:pPr>
      <w:r>
        <w:rPr>
          <w:b/>
          <w:i/>
          <w:noProof/>
        </w:rPr>
        <w:t xml:space="preserve">Pasākumi </w:t>
      </w:r>
    </w:p>
    <w:p w:rsidR="003E022D" w:rsidRDefault="007D19D6">
      <w:pPr>
        <w:rPr>
          <w:b/>
          <w:i/>
          <w:noProof/>
        </w:rPr>
      </w:pPr>
      <w:r>
        <w:rPr>
          <w:b/>
          <w:i/>
          <w:noProof/>
        </w:rPr>
        <w:t>EU</w:t>
      </w:r>
      <w:r>
        <w:rPr>
          <w:i/>
          <w:noProof/>
        </w:rPr>
        <w:t>: Eiropas Parlamenta un Padomes Regula (ES) Nr. 952/2013 (2013. gada 9. oktobris), ar ko izveido</w:t>
      </w:r>
      <w:r>
        <w:rPr>
          <w:i/>
          <w:noProof/>
        </w:rPr>
        <w:t xml:space="preserve"> Savienības Muitas kodeksu. </w:t>
      </w:r>
      <w:bookmarkEnd w:id="1134"/>
    </w:p>
    <w:p w:rsidR="003E022D" w:rsidRDefault="007D19D6">
      <w:pPr>
        <w:rPr>
          <w:b/>
          <w:noProof/>
        </w:rPr>
      </w:pPr>
      <w:bookmarkStart w:id="1142" w:name="_Toc452570651"/>
      <w:bookmarkStart w:id="1143" w:name="_Toc476832043"/>
      <w:bookmarkStart w:id="1144" w:name="_Toc500420037"/>
      <w:r>
        <w:rPr>
          <w:noProof/>
        </w:rPr>
        <w:br w:type="page"/>
      </w:r>
    </w:p>
    <w:p w:rsidR="003E022D" w:rsidRDefault="007D19D6">
      <w:pPr>
        <w:rPr>
          <w:b/>
          <w:noProof/>
        </w:rPr>
      </w:pPr>
      <w:bookmarkStart w:id="1145" w:name="_Toc5371336"/>
      <w:bookmarkStart w:id="1146" w:name="_Toc53746674"/>
      <w:bookmarkStart w:id="1147" w:name="_Toc57917383"/>
      <w:r>
        <w:rPr>
          <w:b/>
          <w:noProof/>
        </w:rPr>
        <w:t>17. atruna. Ar enerģiju saistītas darbības</w:t>
      </w:r>
      <w:bookmarkEnd w:id="1142"/>
      <w:bookmarkEnd w:id="1143"/>
      <w:bookmarkEnd w:id="1144"/>
      <w:bookmarkEnd w:id="1145"/>
      <w:bookmarkEnd w:id="1146"/>
      <w:bookmarkEnd w:id="1147"/>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 xml:space="preserve">Ar enerģiju saistītas darbības – ieguves rūpniecība un karjeru izstrāde; elektroenerģijas, gāzes, tvaika un karstā ūdens ražošana, pārvade un sadale par saviem </w:t>
            </w:r>
            <w:r>
              <w:rPr>
                <w:noProof/>
              </w:rPr>
              <w:t>līdzekļiem; degvielas transportēšana pa cauruļvadiem; pa cauruļvadiem transportētas degvielas vai kurināmā glabāšanas un noliktavu pakalpojumi un ar enerģijas sadali saistīti pakalpojumi</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 xml:space="preserve">ISIC 3.1. red. 10, 11, 12, 13, 14, 40, CPC </w:t>
            </w:r>
            <w:r>
              <w:rPr>
                <w:noProof/>
              </w:rPr>
              <w:t>5115, 63297, 713, daļa no 742, 8675, 883, 887</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pakalpojumu pārrobežu tirdzniecība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 xml:space="preserve">Eiropas </w:t>
            </w:r>
            <w:r>
              <w:rPr>
                <w:noProof/>
              </w:rPr>
              <w:t>Savienība/dalībvalsts (ja vien nav norādīts citādi)</w:t>
            </w:r>
          </w:p>
        </w:tc>
      </w:tr>
    </w:tbl>
    <w:p w:rsidR="003E022D" w:rsidRDefault="003E022D">
      <w:pPr>
        <w:rPr>
          <w:noProof/>
        </w:rPr>
      </w:pPr>
    </w:p>
    <w:p w:rsidR="003E022D" w:rsidRDefault="007D19D6">
      <w:pPr>
        <w:rPr>
          <w:noProof/>
        </w:rPr>
      </w:pPr>
      <w:r>
        <w:rPr>
          <w:b/>
          <w:bCs/>
          <w:noProof/>
        </w:rPr>
        <w:t>Apraksts</w:t>
      </w:r>
    </w:p>
    <w:p w:rsidR="003E022D" w:rsidRDefault="007D19D6">
      <w:pPr>
        <w:rPr>
          <w:b/>
          <w:i/>
          <w:noProof/>
        </w:rPr>
      </w:pPr>
      <w:bookmarkStart w:id="1148" w:name="_Toc5371337"/>
      <w:r>
        <w:rPr>
          <w:b/>
          <w:i/>
          <w:noProof/>
        </w:rPr>
        <w:t>a)</w:t>
      </w:r>
      <w:r>
        <w:rPr>
          <w:noProof/>
        </w:rPr>
        <w:tab/>
      </w:r>
      <w:bookmarkStart w:id="1149" w:name="_Toc452570652"/>
      <w:r>
        <w:rPr>
          <w:b/>
          <w:i/>
          <w:noProof/>
        </w:rPr>
        <w:t xml:space="preserve">Ieguves rūpniecība un karjeru izstrāde </w:t>
      </w:r>
      <w:bookmarkEnd w:id="1149"/>
      <w:r>
        <w:rPr>
          <w:b/>
          <w:i/>
          <w:noProof/>
        </w:rPr>
        <w:t xml:space="preserve"> (ISIC 3.1. red. 10, 11, 12, 13, 14, CPC 5115, 7131, 8675, 883)</w:t>
      </w:r>
      <w:bookmarkEnd w:id="1148"/>
      <w:r>
        <w:rPr>
          <w:b/>
          <w:i/>
          <w:noProof/>
        </w:rPr>
        <w:t xml:space="preserve">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NL</w:t>
      </w:r>
      <w:r>
        <w:rPr>
          <w:noProof/>
        </w:rPr>
        <w:t>: ogļūdeņražu izpēti un i</w:t>
      </w:r>
      <w:r>
        <w:rPr>
          <w:noProof/>
        </w:rPr>
        <w:t>zmantošanu Nīderlandē vienmēr veic privāta sabiedrība kopā ar ekonomikas ministra izraudzītu publisku sabiedrību (ar ierobežotu atbildību). Derīgo izrakteņu ieguves likuma 81. un 82. pants paredz, ka visām kapitāldaļām šādā izraudzītajā sabiedrībā jābūt Nī</w:t>
      </w:r>
      <w:r>
        <w:rPr>
          <w:noProof/>
        </w:rPr>
        <w:t xml:space="preserve">derlandes valsts tiešā vai netiešā turējumā (ISIC 3.1. red. 10, 3.1. 10, 3.1 11, 3.1 12, 3.1 13, 3.1 14). </w:t>
      </w:r>
    </w:p>
    <w:p w:rsidR="003E022D" w:rsidRDefault="007D19D6">
      <w:pPr>
        <w:rPr>
          <w:noProof/>
        </w:rPr>
      </w:pPr>
      <w:r>
        <w:rPr>
          <w:b/>
          <w:noProof/>
        </w:rPr>
        <w:t>BE</w:t>
      </w:r>
      <w:r>
        <w:rPr>
          <w:noProof/>
        </w:rPr>
        <w:t>: minerālresursu un citu nedzīvo resursu izpētei un izmantošanai teritoriālajos ūdeņos un kontinentālajā šelfā ir vajadzīga koncesija. Koncesionāra</w:t>
      </w:r>
      <w:r>
        <w:rPr>
          <w:noProof/>
        </w:rPr>
        <w:t xml:space="preserve"> kontaktadresei jābūt Beļģijā (ISIC 3.1. red. 14.). </w:t>
      </w:r>
    </w:p>
    <w:p w:rsidR="003E022D" w:rsidRDefault="007D19D6">
      <w:pPr>
        <w:rPr>
          <w:noProof/>
        </w:rPr>
      </w:pPr>
      <w:r>
        <w:rPr>
          <w:b/>
          <w:noProof/>
        </w:rPr>
        <w:t>IT</w:t>
      </w:r>
      <w:r>
        <w:rPr>
          <w:noProof/>
        </w:rPr>
        <w:t xml:space="preserve"> (saistībā ar izpēti attiecas arī uz valdības reģionālo līmeni): uz valstij piederošām atradnēm attiecas īpaši izpētes un ieguves noteikumi. Pirms ikvienas izpētes darbības veikšanas ir jāsaņem izpētes</w:t>
      </w:r>
      <w:r>
        <w:rPr>
          <w:noProof/>
        </w:rPr>
        <w:t xml:space="preserve"> atļauja (“permesso di ricerca”, Karaļa Dekrēta 1447/1927 4. pants). Atļauju izdod uz noteiktu termiņu, un tajā ir precīzi norādītas tās zemes robežas, kurā veic izpēti, un par vienu un to pašu teritoriju dažādām personām vai sabiedrībām var izdot vairāk n</w:t>
      </w:r>
      <w:r>
        <w:rPr>
          <w:noProof/>
        </w:rPr>
        <w:t>ekā vienu izpētes atļauju (šā veida licence var nebūt ekskluzīva). Derīgo izrakteņu iegūšanai un izmantošanai ir jāsaņem atļauja (</w:t>
      </w:r>
      <w:r>
        <w:rPr>
          <w:i/>
          <w:noProof/>
        </w:rPr>
        <w:t>concessione</w:t>
      </w:r>
      <w:r>
        <w:rPr>
          <w:noProof/>
        </w:rPr>
        <w:t xml:space="preserve">, 14. pants) no reģionālās iestādes (ISIC 3.1. red. 10, 3.1 11, 3.1 12, 3.1 13, 3.1 14, CPC 8675, 883). </w:t>
      </w:r>
    </w:p>
    <w:p w:rsidR="003E022D" w:rsidRDefault="007D19D6">
      <w:pPr>
        <w:rPr>
          <w:b/>
          <w:noProof/>
        </w:rPr>
      </w:pPr>
      <w:r>
        <w:rPr>
          <w:b/>
          <w:i/>
          <w:noProof/>
        </w:rPr>
        <w:t>Pasākumi</w:t>
      </w:r>
      <w:r>
        <w:rPr>
          <w:b/>
          <w:noProof/>
        </w:rPr>
        <w:t xml:space="preserve"> </w:t>
      </w:r>
    </w:p>
    <w:p w:rsidR="003E022D" w:rsidRDefault="007D19D6">
      <w:pPr>
        <w:rPr>
          <w:i/>
          <w:noProof/>
        </w:rPr>
      </w:pPr>
      <w:r>
        <w:rPr>
          <w:b/>
          <w:i/>
          <w:noProof/>
        </w:rPr>
        <w:t>BE</w:t>
      </w:r>
      <w:r>
        <w:rPr>
          <w:i/>
          <w:noProof/>
        </w:rPr>
        <w:t>: Arrêté Royal du 1er septembre 2004 relatif aux conditions, à la délimitation géographique et à la procédure d'octroi des concessions d'exploration et d'exploitation des ressources minérales et autres ressources non vivantes de la mer territoriale et du</w:t>
      </w:r>
      <w:r>
        <w:rPr>
          <w:i/>
          <w:noProof/>
        </w:rPr>
        <w:t xml:space="preserve"> plateau continental. </w:t>
      </w:r>
    </w:p>
    <w:p w:rsidR="003E022D" w:rsidRDefault="007D19D6">
      <w:pPr>
        <w:rPr>
          <w:i/>
          <w:noProof/>
        </w:rPr>
      </w:pPr>
      <w:r>
        <w:rPr>
          <w:b/>
          <w:i/>
          <w:noProof/>
        </w:rPr>
        <w:t>IT</w:t>
      </w:r>
      <w:r>
        <w:rPr>
          <w:i/>
          <w:noProof/>
        </w:rPr>
        <w:t xml:space="preserve">: izpētes pakalpojumi: Karaļa Dekrēts 1447/1927 un Likumdošanas dekrēts 112/1998, 34. pants. </w:t>
      </w:r>
    </w:p>
    <w:p w:rsidR="003E022D" w:rsidRDefault="007D19D6">
      <w:pPr>
        <w:rPr>
          <w:i/>
          <w:noProof/>
        </w:rPr>
      </w:pPr>
      <w:r>
        <w:rPr>
          <w:b/>
          <w:i/>
          <w:noProof/>
        </w:rPr>
        <w:t>NL</w:t>
      </w:r>
      <w:r>
        <w:rPr>
          <w:i/>
          <w:noProof/>
        </w:rPr>
        <w:t xml:space="preserve">: Mijnbouwwet (Derīgo izrakteņu ieguves likums). </w:t>
      </w:r>
    </w:p>
    <w:p w:rsidR="003E022D" w:rsidRDefault="007D19D6">
      <w:pPr>
        <w:rPr>
          <w:noProof/>
          <w:u w:val="single"/>
        </w:rPr>
      </w:pPr>
      <w:r>
        <w:rPr>
          <w:noProof/>
          <w:u w:val="single"/>
        </w:rPr>
        <w:t>Attiecībā uz investīciju liberalizāciju – piekļuve tirgum, valsts režīms, lielākās la</w:t>
      </w:r>
      <w:r>
        <w:rPr>
          <w:noProof/>
          <w:u w:val="single"/>
        </w:rPr>
        <w:t xml:space="preserve">bvēlības režīms </w:t>
      </w:r>
    </w:p>
    <w:p w:rsidR="003E022D" w:rsidRDefault="007D19D6">
      <w:pPr>
        <w:rPr>
          <w:noProof/>
        </w:rPr>
      </w:pPr>
      <w:r>
        <w:rPr>
          <w:b/>
          <w:noProof/>
        </w:rPr>
        <w:t>BG:</w:t>
      </w:r>
      <w:r>
        <w:rPr>
          <w:noProof/>
        </w:rPr>
        <w:t xml:space="preserve"> lai veiktu pazemes dabas resursu ģeoloģisko izpēti vai izpēti Bulgārijas Republikas teritorijā, kontinentālajā šelfā un ekskluzīvajā ekonomikas zonā Melnajā jūrā, ir vajadzīga atļauja, savukārt ieguvei un izmantošanai ir vajadzīga konc</w:t>
      </w:r>
      <w:r>
        <w:rPr>
          <w:noProof/>
        </w:rPr>
        <w:t>esija, ko piešķir atbilstoši Pazemes dabas resursu likumam.</w:t>
      </w:r>
    </w:p>
    <w:p w:rsidR="003E022D" w:rsidRDefault="007D19D6">
      <w:pPr>
        <w:rPr>
          <w:noProof/>
        </w:rPr>
      </w:pPr>
      <w:r>
        <w:rPr>
          <w:noProof/>
        </w:rPr>
        <w:t>Sabiedrībām, kas reģistrētas preferenciāla nodokļu režīma jurisdikcijās (tas ir, ārzonās), un sabiedrībām, kas tieši vai netieši saistītas ar šādām sabiedrībām, ir aizliegts piedalīties atklātās p</w:t>
      </w:r>
      <w:r>
        <w:rPr>
          <w:noProof/>
        </w:rPr>
        <w:t xml:space="preserve">rocedūrās atļauju vai koncesiju piešķiršanai par dabas resursu, tostarp urāna un torija rūdu, ģeoloģisko izpēti un izlūkošanu vai ieguvi, kā arī izmantot esošu atļauju vai koncesiju, kas piešķirta, jo šādas darbības ir liegtas, ieskaitot iespēju reģistrēt </w:t>
      </w:r>
      <w:r>
        <w:rPr>
          <w:noProof/>
        </w:rPr>
        <w:t>atradnes ģeoloģisko vai komerciālo atklāšanu izpētes rezultātā.</w:t>
      </w:r>
    </w:p>
    <w:p w:rsidR="003E022D" w:rsidRDefault="007D19D6">
      <w:pPr>
        <w:rPr>
          <w:noProof/>
        </w:rPr>
      </w:pPr>
      <w:r>
        <w:rPr>
          <w:noProof/>
        </w:rPr>
        <w:t xml:space="preserve">Urāna rūdas ieguve ir aizliegta ar Ministru padomes 1992. gada 20. augusta Dekrētu Nr. 163. </w:t>
      </w:r>
    </w:p>
    <w:p w:rsidR="003E022D" w:rsidRDefault="007D19D6">
      <w:pPr>
        <w:rPr>
          <w:noProof/>
        </w:rPr>
      </w:pPr>
      <w:r>
        <w:rPr>
          <w:noProof/>
        </w:rPr>
        <w:t>Attiecībā uz torija rūdas izpēti un ieguvi piemēro vispārējo atļauju un koncesiju režīmu. Lēmumus p</w:t>
      </w:r>
      <w:r>
        <w:rPr>
          <w:noProof/>
        </w:rPr>
        <w:t xml:space="preserve">ar torija rūdas izpētes un ieguves atļauju pieņem nediskriminējoši katrā atsevišķā gadījumā.  </w:t>
      </w:r>
    </w:p>
    <w:p w:rsidR="003E022D" w:rsidRDefault="007D19D6">
      <w:pPr>
        <w:rPr>
          <w:noProof/>
        </w:rPr>
      </w:pPr>
      <w:r>
        <w:rPr>
          <w:noProof/>
        </w:rPr>
        <w:t>Saskaņā ar Bulgārijas Republikas Nacionālās asamblejas 2012. gada 18. janvāra lēmumu hidrauliskās plaisu radīšanas tehnoloģijas, tas ir, hidropārraušanas, jebkād</w:t>
      </w:r>
      <w:r>
        <w:rPr>
          <w:noProof/>
        </w:rPr>
        <w:t xml:space="preserve">a veida izmantošana naftas un gāzes ģeoloģiskajai izpētei, izlūkošanai vai ieguvei ir aizliegta. </w:t>
      </w:r>
    </w:p>
    <w:p w:rsidR="003E022D" w:rsidRDefault="007D19D6">
      <w:pPr>
        <w:rPr>
          <w:noProof/>
        </w:rPr>
      </w:pPr>
      <w:r>
        <w:rPr>
          <w:noProof/>
        </w:rPr>
        <w:t>Slānekļa gāzes izpēte un ieguve ir aizliegta (ISIC 3.1. red. 10, 3.1 11, 3.112, 3.1 13,3.1 14).</w:t>
      </w:r>
    </w:p>
    <w:p w:rsidR="003E022D" w:rsidRDefault="007D19D6">
      <w:pPr>
        <w:rPr>
          <w:b/>
          <w:i/>
          <w:noProof/>
        </w:rPr>
      </w:pPr>
      <w:r>
        <w:rPr>
          <w:b/>
          <w:i/>
          <w:noProof/>
        </w:rPr>
        <w:t xml:space="preserve">Pasākumi </w:t>
      </w:r>
    </w:p>
    <w:p w:rsidR="003E022D" w:rsidRDefault="007D19D6">
      <w:pPr>
        <w:rPr>
          <w:i/>
          <w:noProof/>
        </w:rPr>
      </w:pPr>
      <w:r>
        <w:rPr>
          <w:b/>
          <w:i/>
          <w:noProof/>
        </w:rPr>
        <w:t>BG</w:t>
      </w:r>
      <w:r>
        <w:rPr>
          <w:i/>
          <w:noProof/>
        </w:rPr>
        <w:t xml:space="preserve">: Pazemes dabas resursu likums; </w:t>
      </w:r>
    </w:p>
    <w:p w:rsidR="003E022D" w:rsidRDefault="007D19D6">
      <w:pPr>
        <w:rPr>
          <w:i/>
          <w:noProof/>
        </w:rPr>
      </w:pPr>
      <w:r>
        <w:rPr>
          <w:i/>
          <w:noProof/>
        </w:rPr>
        <w:t xml:space="preserve">Koncesiju likums; </w:t>
      </w:r>
    </w:p>
    <w:p w:rsidR="003E022D" w:rsidRDefault="007D19D6">
      <w:pPr>
        <w:rPr>
          <w:i/>
          <w:noProof/>
        </w:rPr>
      </w:pPr>
      <w:r>
        <w:rPr>
          <w:i/>
          <w:noProof/>
        </w:rPr>
        <w:t xml:space="preserve">Likums par privatizāciju un kontroli pēc privatizācijas; </w:t>
      </w:r>
    </w:p>
    <w:p w:rsidR="003E022D" w:rsidRDefault="007D19D6">
      <w:pPr>
        <w:rPr>
          <w:i/>
          <w:noProof/>
        </w:rPr>
      </w:pPr>
      <w:r>
        <w:rPr>
          <w:i/>
          <w:noProof/>
        </w:rPr>
        <w:t>Kodolenerģijas drošas izmantošanas likums; Bulgārijas Republikas Nacionālās asamblejas 2012. gada 18. janvāra lēmums; Likums par ekonomiskajām un finansiālajām attiecībām ar sabie</w:t>
      </w:r>
      <w:r>
        <w:rPr>
          <w:i/>
          <w:noProof/>
        </w:rPr>
        <w:t xml:space="preserve">drībām, kas reģistrētas preferenciāla nodokļu režīma jurisdikcijās, ar šādām sabiedrībām saistītām personām un to faktiskajiem īpašniekiem; Zemes dzīļu resursu likums. </w:t>
      </w:r>
    </w:p>
    <w:p w:rsidR="003E022D" w:rsidRDefault="007D19D6">
      <w:pPr>
        <w:rPr>
          <w:noProof/>
          <w:u w:val="single"/>
        </w:rPr>
      </w:pPr>
      <w:r>
        <w:rPr>
          <w:noProof/>
          <w:u w:val="single"/>
        </w:rPr>
        <w:t>Attiecībā uz investīciju liberalizāciju – piekļuve tirgum, valsts režīms, lielākās labv</w:t>
      </w:r>
      <w:r>
        <w:rPr>
          <w:noProof/>
          <w:u w:val="single"/>
        </w:rPr>
        <w:t xml:space="preserve">ēlības režīms </w:t>
      </w:r>
    </w:p>
    <w:p w:rsidR="003E022D" w:rsidRDefault="007D19D6">
      <w:pPr>
        <w:rPr>
          <w:noProof/>
        </w:rPr>
      </w:pPr>
      <w:r>
        <w:rPr>
          <w:b/>
          <w:noProof/>
        </w:rPr>
        <w:t>CY</w:t>
      </w:r>
      <w:r>
        <w:rPr>
          <w:noProof/>
        </w:rPr>
        <w:t>: Ministru padome var atteikties atļaut ogļūdeņražu meklēšanas, izpētes un ieguves darbības veikt jebkuram subjektam, ko faktiski kontrolē Apvienotā Karaliste vai Apvienotās Karalistes valstspiederīgie. Pēc atļaujas piešķiršanas neviens su</w:t>
      </w:r>
      <w:r>
        <w:rPr>
          <w:noProof/>
        </w:rPr>
        <w:t>bjekts nedrīkst nonākt Apvienotās Karalistes vai Apvienotās Karalistes valstspiederīgā tiešā vai netiešā kontrolē bez Ministru padomes iepriekšējas piekrišanas. Ministru padome var atteikties piešķirt atļauju subjektam, ko faktiski kontrolē Apvienotā Karal</w:t>
      </w:r>
      <w:r>
        <w:rPr>
          <w:noProof/>
        </w:rPr>
        <w:t>iste vai Apvienotās Karalistes valstspiederīgais, ja Apvienotā Karaliste nepiešķir Republikas vai dalībvalstu subjektiem attiecībā uz piekļuvi ogļūdeņražiem un to ģeoloģisko meklēšanu, izpēti un ieguvi tādu režīmu, kas ir pielīdzināms režīmam, kuru Republi</w:t>
      </w:r>
      <w:r>
        <w:rPr>
          <w:noProof/>
        </w:rPr>
        <w:t xml:space="preserve">ka vai attiecīgā dalībvalsts piešķir Apvienotās Karalistes subjektiem (ISIC 3.1. red. 1110). </w:t>
      </w:r>
    </w:p>
    <w:p w:rsidR="003E022D" w:rsidRDefault="007D19D6">
      <w:pPr>
        <w:rPr>
          <w:b/>
          <w:i/>
          <w:noProof/>
        </w:rPr>
      </w:pPr>
      <w:r>
        <w:rPr>
          <w:b/>
          <w:i/>
          <w:noProof/>
        </w:rPr>
        <w:t xml:space="preserve">Pasākumi </w:t>
      </w:r>
    </w:p>
    <w:p w:rsidR="003E022D" w:rsidRDefault="007D19D6">
      <w:pPr>
        <w:rPr>
          <w:i/>
          <w:noProof/>
        </w:rPr>
      </w:pPr>
      <w:r>
        <w:rPr>
          <w:b/>
          <w:i/>
          <w:noProof/>
        </w:rPr>
        <w:t>CY</w:t>
      </w:r>
      <w:r>
        <w:rPr>
          <w:i/>
          <w:noProof/>
        </w:rPr>
        <w:t xml:space="preserve">: 2007. gada Ogļūdeņražu (ģeoloģiskās meklēšanas, izpētes un ieguves likums (Likums 4(I)/2007), ar grozījumiem). </w:t>
      </w:r>
    </w:p>
    <w:p w:rsidR="003E022D" w:rsidRDefault="007D19D6">
      <w:pPr>
        <w:rPr>
          <w:noProof/>
          <w:u w:val="single"/>
        </w:rPr>
      </w:pPr>
      <w:r>
        <w:rPr>
          <w:noProof/>
          <w:u w:val="single"/>
        </w:rPr>
        <w:t>Attiecībā uz investīciju liberalizāc</w:t>
      </w:r>
      <w:r>
        <w:rPr>
          <w:noProof/>
          <w:u w:val="single"/>
        </w:rPr>
        <w:t xml:space="preserve">iju – piekļuve tirgum, valsts režīms un pakalpojumu pārrobežu tirdzniecība – klātbūtne uz vietas </w:t>
      </w:r>
    </w:p>
    <w:p w:rsidR="003E022D" w:rsidRDefault="007D19D6">
      <w:pPr>
        <w:rPr>
          <w:noProof/>
        </w:rPr>
      </w:pPr>
      <w:r>
        <w:rPr>
          <w:b/>
          <w:noProof/>
        </w:rPr>
        <w:t>SK</w:t>
      </w:r>
      <w:r>
        <w:rPr>
          <w:noProof/>
        </w:rPr>
        <w:t>: lai veiktu ar ieguvi un ģeoloģiju saistītas darbības, vajadzīga inkorporācija EEZ (filiāles nav atļautas). Ieguve un ģeoloģiskā izpēte, uz kuru attiecas S</w:t>
      </w:r>
      <w:r>
        <w:rPr>
          <w:noProof/>
        </w:rPr>
        <w:t>lovākijas Republikas Likums 44/1988 par dabas resursu aizsardzību un izmantošanu, bez diskriminācijas tiek regulēta, tostarp ar sabiedriskās politikas pasākumiem, kuri tiecas nodrošināt dabas resursu un vides saglabāšanu un aizsardzību, piemēram, ar konkrē</w:t>
      </w:r>
      <w:r>
        <w:rPr>
          <w:noProof/>
        </w:rPr>
        <w:t>tu ieguves tehnoloģiju atļaujām vai aizliegumu. Lielākai noteiktībai — šādi pasākumi ietver aizliegumu izmantot skalošanu ar cianīdu minerālu apstrādē vai attīrīšanā, prasību pēc īpašas atļaujas hidropārraušanai, ko izmanto naftas un gāzes ģeoloģiskās izpē</w:t>
      </w:r>
      <w:r>
        <w:rPr>
          <w:noProof/>
        </w:rPr>
        <w:t xml:space="preserve">tes, izlūkošanas vai ieguves darbībām, kā arī iepriekšēju apstiprinājumu vietējā referendumā attiecībā uz kodolminerālresursiem/ radioaktīviem minerālresursiem. Tas nevairo esoša pasākuma neatbilstošos aspektus, uz kuru attiecas atruna (ISIC 3.1. red. 10, </w:t>
      </w:r>
      <w:r>
        <w:rPr>
          <w:noProof/>
        </w:rPr>
        <w:t xml:space="preserve">3.1 11, 3.1 12, 3.1 13, 3.1 14, CPC 5115, 7131, 8675 un 883). </w:t>
      </w:r>
    </w:p>
    <w:p w:rsidR="003E022D" w:rsidRDefault="007D19D6">
      <w:pPr>
        <w:rPr>
          <w:b/>
          <w:noProof/>
        </w:rPr>
      </w:pPr>
      <w:r>
        <w:rPr>
          <w:b/>
          <w:i/>
          <w:noProof/>
        </w:rPr>
        <w:t xml:space="preserve">Pasākumi </w:t>
      </w:r>
    </w:p>
    <w:p w:rsidR="003E022D" w:rsidRDefault="007D19D6">
      <w:pPr>
        <w:rPr>
          <w:i/>
          <w:noProof/>
        </w:rPr>
      </w:pPr>
      <w:r>
        <w:rPr>
          <w:b/>
          <w:i/>
          <w:noProof/>
        </w:rPr>
        <w:t>SK</w:t>
      </w:r>
      <w:r>
        <w:rPr>
          <w:i/>
          <w:noProof/>
        </w:rPr>
        <w:t xml:space="preserve">: Likums 51/1988 par ieguvi, sprāgstvielām un Valsts Ieguves pārvaldi; un Likums 569/2007 par ģeoloģisko darbību, Likums  44/1988 par dabas resursu aizsardzību un izmantošanu.  </w:t>
      </w:r>
    </w:p>
    <w:p w:rsidR="003E022D" w:rsidRDefault="007D19D6">
      <w:pPr>
        <w:rPr>
          <w:noProof/>
          <w:u w:val="single"/>
        </w:rPr>
      </w:pPr>
      <w:r>
        <w:rPr>
          <w:noProof/>
          <w:u w:val="single"/>
        </w:rPr>
        <w:t>Att</w:t>
      </w:r>
      <w:r>
        <w:rPr>
          <w:noProof/>
          <w:u w:val="single"/>
        </w:rPr>
        <w:t xml:space="preserve">iecībā uz investīciju liberalizāciju – piekļuve tirgum un pakalpojumu pārrobežu tirdzniecība – klātbūtne uz vietas </w:t>
      </w:r>
    </w:p>
    <w:p w:rsidR="003E022D" w:rsidRDefault="007D19D6">
      <w:pPr>
        <w:rPr>
          <w:noProof/>
        </w:rPr>
      </w:pPr>
      <w:r>
        <w:rPr>
          <w:b/>
          <w:noProof/>
        </w:rPr>
        <w:t>FI</w:t>
      </w:r>
      <w:r>
        <w:rPr>
          <w:noProof/>
        </w:rPr>
        <w:t>: minerālresursu izpētei un izmantošanai ir vajadzīga licence, ko piešķir valdība saistībā ar kodolmateriāla ieguvi. No valdības ir jāsaņe</w:t>
      </w:r>
      <w:r>
        <w:rPr>
          <w:noProof/>
        </w:rPr>
        <w:t xml:space="preserve">m izpirkšanas atļauja par ieguves teritoriju. Atļauju var piešķirt fiziskai personai, kas ir EEZ rezidents, vai juridiskai personai, kura veic uzņēmējdarbību EEZ. Var būt vajadzīga ekonomisko vajadzību pārbaude (ISIC 3.1. red. 120, CPC 5115, 883, 8675). </w:t>
      </w:r>
    </w:p>
    <w:p w:rsidR="003E022D" w:rsidRDefault="007D19D6">
      <w:pPr>
        <w:rPr>
          <w:noProof/>
        </w:rPr>
      </w:pPr>
      <w:r>
        <w:rPr>
          <w:b/>
          <w:noProof/>
        </w:rPr>
        <w:t>I</w:t>
      </w:r>
      <w:r>
        <w:rPr>
          <w:b/>
          <w:noProof/>
        </w:rPr>
        <w:t>E</w:t>
      </w:r>
      <w:r>
        <w:rPr>
          <w:noProof/>
        </w:rPr>
        <w:t>: izpētes un ieguves sabiedrībām, kas darbojas Īrijā, ir vajadzīga komerciāla klātbūtne Īrijā. Minerālu izpētei piemēro prasību, ka darbu veikšanas laikā sabiedrībām (Īrijas un ārvalstu) jāizmanto vai nu aģenta, vai izpētes vadītāja — Īrijas rezidenta — p</w:t>
      </w:r>
      <w:r>
        <w:rPr>
          <w:noProof/>
        </w:rPr>
        <w:t xml:space="preserve">akalpojumi. Ieguvei piemēro prasību, ka valsts ieguves vietas nomas tiesības vai ieguves licenci var saņemt sabiedrība, kas inkorporēta Īrijā. Saistībā ar īpašumtiesībām uz šādu sabiedrību ierobežojumu nav (ISIC 3.1. red. 10, 3.1 13, 3.1 14, CPC 883). </w:t>
      </w:r>
    </w:p>
    <w:p w:rsidR="003E022D" w:rsidRDefault="007D19D6">
      <w:pPr>
        <w:rPr>
          <w:b/>
          <w:noProof/>
        </w:rPr>
      </w:pPr>
      <w:r>
        <w:rPr>
          <w:b/>
          <w:i/>
          <w:noProof/>
        </w:rPr>
        <w:t>Pas</w:t>
      </w:r>
      <w:r>
        <w:rPr>
          <w:b/>
          <w:i/>
          <w:noProof/>
        </w:rPr>
        <w:t xml:space="preserve">ākumi </w:t>
      </w:r>
    </w:p>
    <w:p w:rsidR="003E022D" w:rsidRDefault="007D19D6">
      <w:pPr>
        <w:rPr>
          <w:i/>
          <w:noProof/>
        </w:rPr>
      </w:pPr>
      <w:r>
        <w:rPr>
          <w:b/>
          <w:i/>
          <w:noProof/>
        </w:rPr>
        <w:t>FI</w:t>
      </w:r>
      <w:r>
        <w:rPr>
          <w:i/>
          <w:noProof/>
        </w:rPr>
        <w:t xml:space="preserve">: Kaivoslaki (Ieguves likums) (621/2011) un </w:t>
      </w:r>
    </w:p>
    <w:p w:rsidR="003E022D" w:rsidRDefault="007D19D6">
      <w:pPr>
        <w:rPr>
          <w:i/>
          <w:noProof/>
        </w:rPr>
      </w:pPr>
      <w:r>
        <w:rPr>
          <w:i/>
          <w:noProof/>
        </w:rPr>
        <w:t xml:space="preserve">Ydinenergialaki (Kodolenerģijas likums) (990/1987). </w:t>
      </w:r>
    </w:p>
    <w:p w:rsidR="003E022D" w:rsidRDefault="007D19D6">
      <w:pPr>
        <w:rPr>
          <w:noProof/>
        </w:rPr>
      </w:pPr>
      <w:r>
        <w:rPr>
          <w:b/>
          <w:noProof/>
        </w:rPr>
        <w:t>IE</w:t>
      </w:r>
      <w:r>
        <w:rPr>
          <w:noProof/>
        </w:rPr>
        <w:t xml:space="preserve">: 1940.–2017. gada likumi par minerālu attīstību, plānošanas likumi un vidiskie noteikumi. </w:t>
      </w:r>
    </w:p>
    <w:p w:rsidR="003E022D" w:rsidRDefault="007D19D6">
      <w:pPr>
        <w:rPr>
          <w:noProof/>
          <w:u w:val="single"/>
        </w:rPr>
      </w:pPr>
      <w:r>
        <w:rPr>
          <w:noProof/>
          <w:u w:val="single"/>
        </w:rPr>
        <w:t xml:space="preserve">Attiecībā tikai uz investīcijām – piekļuve tirgum, valsts režīms un pakalpojumu pārrobežu tirdzniecība – klātbūtne uz vietas </w:t>
      </w:r>
    </w:p>
    <w:p w:rsidR="003E022D" w:rsidRDefault="007D19D6">
      <w:pPr>
        <w:rPr>
          <w:noProof/>
        </w:rPr>
      </w:pPr>
      <w:r>
        <w:rPr>
          <w:b/>
          <w:noProof/>
        </w:rPr>
        <w:t>SI</w:t>
      </w:r>
      <w:r>
        <w:rPr>
          <w:noProof/>
        </w:rPr>
        <w:t>: uz minerālresursu izpēti un izmantošanu, ieskaitot regulētos ieguves pakalpojumus, attiecas prasība par uzņēmējdarbības veikša</w:t>
      </w:r>
      <w:r>
        <w:rPr>
          <w:noProof/>
        </w:rPr>
        <w:t xml:space="preserve">nu vai pilsonību EEZ, Šveices Konfederācijā vai ESAO dalībvalstī (ISIC 3.1. red. 10, ISIC 3.1. red. 11, ISIC 3.1. red. 12, ISIC 3.1. red. 13, ISIC 3.1. red. 14, CPC 883, CPC 8675). </w:t>
      </w:r>
    </w:p>
    <w:p w:rsidR="003E022D" w:rsidRDefault="007D19D6">
      <w:pPr>
        <w:rPr>
          <w:b/>
          <w:noProof/>
        </w:rPr>
      </w:pPr>
      <w:r>
        <w:rPr>
          <w:b/>
          <w:i/>
          <w:noProof/>
        </w:rPr>
        <w:t>Pasākumi</w:t>
      </w:r>
      <w:r>
        <w:rPr>
          <w:b/>
          <w:noProof/>
        </w:rPr>
        <w:t xml:space="preserve"> </w:t>
      </w:r>
    </w:p>
    <w:p w:rsidR="003E022D" w:rsidRDefault="007D19D6">
      <w:pPr>
        <w:rPr>
          <w:noProof/>
        </w:rPr>
      </w:pPr>
      <w:r>
        <w:rPr>
          <w:b/>
          <w:i/>
          <w:noProof/>
        </w:rPr>
        <w:t>SI</w:t>
      </w:r>
      <w:r>
        <w:rPr>
          <w:i/>
          <w:noProof/>
        </w:rPr>
        <w:t xml:space="preserve">: Ieguves likums, 2014. </w:t>
      </w:r>
    </w:p>
    <w:p w:rsidR="003E022D" w:rsidRDefault="007D19D6">
      <w:pPr>
        <w:rPr>
          <w:b/>
          <w:i/>
          <w:noProof/>
        </w:rPr>
      </w:pPr>
      <w:bookmarkStart w:id="1150" w:name="_Toc5371338"/>
      <w:r>
        <w:rPr>
          <w:b/>
          <w:i/>
          <w:noProof/>
        </w:rPr>
        <w:t>b)</w:t>
      </w:r>
      <w:r>
        <w:rPr>
          <w:noProof/>
        </w:rPr>
        <w:tab/>
      </w:r>
      <w:r>
        <w:rPr>
          <w:b/>
          <w:i/>
          <w:noProof/>
        </w:rPr>
        <w:t>Elektroenerģijas, gāzes, tvaika un</w:t>
      </w:r>
      <w:r>
        <w:rPr>
          <w:b/>
          <w:i/>
          <w:noProof/>
        </w:rPr>
        <w:t xml:space="preserve"> karstā ūdens ražošana, pārvade un sadale par saviem līdzekļiem; degvielas vai kurināmā transportēšana pa cauruļvadiem; pa cauruļvadiem transportētas degvielas glabāšanas un noliktavu pakalpojumi; </w:t>
      </w:r>
      <w:bookmarkStart w:id="1151" w:name="_Toc452570653"/>
      <w:r>
        <w:rPr>
          <w:b/>
          <w:i/>
          <w:noProof/>
        </w:rPr>
        <w:t>ar enerģijas sadali saistīti pakalpojumi</w:t>
      </w:r>
      <w:bookmarkEnd w:id="1151"/>
      <w:r>
        <w:rPr>
          <w:b/>
          <w:i/>
          <w:noProof/>
        </w:rPr>
        <w:t xml:space="preserve"> (ISIC 3.1. red. 40</w:t>
      </w:r>
      <w:r>
        <w:rPr>
          <w:b/>
          <w:i/>
          <w:noProof/>
        </w:rPr>
        <w:t>, 3.1 401, CPC 63297, 713, daļa no 742, 74220, 887)</w:t>
      </w:r>
      <w:bookmarkEnd w:id="1150"/>
      <w:r>
        <w:rPr>
          <w:b/>
          <w:i/>
          <w:noProof/>
        </w:rPr>
        <w:t xml:space="preserve"> </w:t>
      </w:r>
    </w:p>
    <w:p w:rsidR="003E022D" w:rsidRDefault="007D19D6">
      <w:pPr>
        <w:rPr>
          <w:noProof/>
          <w:u w:val="single"/>
        </w:rPr>
      </w:pPr>
      <w:r>
        <w:rPr>
          <w:noProof/>
          <w:u w:val="single"/>
        </w:rPr>
        <w:t xml:space="preserve">Attiecībā uz investīciju liberalizāciju – piekļuve tirgum </w:t>
      </w:r>
    </w:p>
    <w:p w:rsidR="003E022D" w:rsidRDefault="007D19D6">
      <w:pPr>
        <w:rPr>
          <w:noProof/>
        </w:rPr>
      </w:pPr>
      <w:r>
        <w:rPr>
          <w:b/>
          <w:noProof/>
        </w:rPr>
        <w:t>DK</w:t>
      </w:r>
      <w:r>
        <w:rPr>
          <w:noProof/>
        </w:rPr>
        <w:t>: īpašniekam vai lietotājam, kurš plāno ierīkot cauruļvadu jēlnaftas, naftas pārstrādes produktu vai naftas produktu un dabasgāzes transportēš</w:t>
      </w:r>
      <w:r>
        <w:rPr>
          <w:noProof/>
        </w:rPr>
        <w:t xml:space="preserve">anai, pirms darba sākšanas jāsaņem atļauja no vietējās iestādes. Šādu izsniedzamo atļauju skaits var tikt ierobežots (CPC 7131). </w:t>
      </w:r>
    </w:p>
    <w:p w:rsidR="003E022D" w:rsidRDefault="007D19D6">
      <w:pPr>
        <w:rPr>
          <w:noProof/>
        </w:rPr>
      </w:pPr>
      <w:r>
        <w:rPr>
          <w:b/>
          <w:noProof/>
        </w:rPr>
        <w:t>MT</w:t>
      </w:r>
      <w:r>
        <w:rPr>
          <w:noProof/>
        </w:rPr>
        <w:t xml:space="preserve">: </w:t>
      </w:r>
      <w:r>
        <w:rPr>
          <w:i/>
          <w:noProof/>
        </w:rPr>
        <w:t>EneMalta plc</w:t>
      </w:r>
      <w:r>
        <w:rPr>
          <w:noProof/>
        </w:rPr>
        <w:t xml:space="preserve"> pieder elektroenerģijas piegādes monopols (ISIC 3.1. red. 401; CPC 887.) </w:t>
      </w:r>
    </w:p>
    <w:p w:rsidR="003E022D" w:rsidRDefault="007D19D6">
      <w:pPr>
        <w:rPr>
          <w:noProof/>
        </w:rPr>
      </w:pPr>
      <w:r>
        <w:rPr>
          <w:b/>
          <w:noProof/>
        </w:rPr>
        <w:t>NL</w:t>
      </w:r>
      <w:r>
        <w:rPr>
          <w:noProof/>
        </w:rPr>
        <w:t>: elektroenerģijas tīkla un gāzes</w:t>
      </w:r>
      <w:r>
        <w:rPr>
          <w:noProof/>
        </w:rPr>
        <w:t xml:space="preserve"> cauruļvadu tīkla īpašumtiesības ir ekskluzīvi piešķirtas Nīderlandes valdībai (pārvades sistēmas) un citām publiskām iestādēm (sadales sistēmas) (ISIC 3.1. red. 040, CPC 71310). </w:t>
      </w:r>
    </w:p>
    <w:p w:rsidR="003E022D" w:rsidRDefault="007D19D6">
      <w:pPr>
        <w:rPr>
          <w:b/>
          <w:i/>
          <w:noProof/>
        </w:rPr>
      </w:pPr>
      <w:r>
        <w:rPr>
          <w:b/>
          <w:i/>
          <w:noProof/>
        </w:rPr>
        <w:t xml:space="preserve">Pasākumi </w:t>
      </w:r>
    </w:p>
    <w:p w:rsidR="003E022D" w:rsidRDefault="007D19D6">
      <w:pPr>
        <w:rPr>
          <w:i/>
          <w:noProof/>
        </w:rPr>
      </w:pPr>
      <w:r>
        <w:rPr>
          <w:b/>
          <w:i/>
          <w:noProof/>
        </w:rPr>
        <w:t>DK</w:t>
      </w:r>
      <w:r>
        <w:rPr>
          <w:i/>
          <w:noProof/>
        </w:rPr>
        <w:t xml:space="preserve">: Lov om naturgasforsyning, LBK 1127 05/09/2018, lov om varmeforsyning, LBK 64 21/01/2019, lov om Energinet, LBK 997 27/06/2018. Bekendtgørelse nr. 1257 af 27. juli 2019 om indretning, etablering og drift af olietanke, rørsystemer og pipelines (2019. gada </w:t>
      </w:r>
      <w:r>
        <w:rPr>
          <w:i/>
          <w:noProof/>
        </w:rPr>
        <w:t xml:space="preserve">27. novembra Rīkojums Nr. 1257 par naftas tvertņu, cauruļvadu sistēmu un cauruļvadu plānošanu, ierīkošanu un ekspluatāciju). </w:t>
      </w:r>
    </w:p>
    <w:p w:rsidR="003E022D" w:rsidRDefault="007D19D6">
      <w:pPr>
        <w:rPr>
          <w:i/>
          <w:noProof/>
        </w:rPr>
      </w:pPr>
      <w:r>
        <w:rPr>
          <w:b/>
          <w:i/>
          <w:noProof/>
        </w:rPr>
        <w:t>MT</w:t>
      </w:r>
      <w:r>
        <w:rPr>
          <w:i/>
          <w:noProof/>
        </w:rPr>
        <w:t xml:space="preserve">: EneMalta likums Cap. 272 un EneMalta likums Cap. 536 (Aktīvu, tiesību, saistību un pienākumu nodošana). </w:t>
      </w:r>
    </w:p>
    <w:p w:rsidR="003E022D" w:rsidRDefault="007D19D6">
      <w:pPr>
        <w:rPr>
          <w:i/>
          <w:noProof/>
        </w:rPr>
      </w:pPr>
      <w:r>
        <w:rPr>
          <w:b/>
          <w:i/>
          <w:noProof/>
        </w:rPr>
        <w:t>NL</w:t>
      </w:r>
      <w:r>
        <w:rPr>
          <w:i/>
          <w:noProof/>
        </w:rPr>
        <w:t>: Elektriciteitswet</w:t>
      </w:r>
      <w:r>
        <w:rPr>
          <w:i/>
          <w:noProof/>
        </w:rPr>
        <w:t xml:space="preserve"> 1998; Gaswet. </w:t>
      </w:r>
    </w:p>
    <w:p w:rsidR="003E022D" w:rsidRDefault="007D19D6">
      <w:pPr>
        <w:rPr>
          <w:noProof/>
          <w:u w:val="single"/>
        </w:rPr>
      </w:pPr>
      <w:r>
        <w:rPr>
          <w:noProof/>
          <w:u w:val="single"/>
        </w:rPr>
        <w:t xml:space="preserve">Attiecībā uz investīciju liberalizāciju – piekļuve tirgum, valsts režīms, augstākā vadība un direktoru padomes un pakalpojumu pārrobežu tirdzniecība – valsts režīms, klātbūtne uz vietas </w:t>
      </w:r>
    </w:p>
    <w:p w:rsidR="003E022D" w:rsidRDefault="007D19D6">
      <w:pPr>
        <w:rPr>
          <w:noProof/>
        </w:rPr>
      </w:pPr>
      <w:r>
        <w:rPr>
          <w:b/>
          <w:noProof/>
        </w:rPr>
        <w:t>AT</w:t>
      </w:r>
      <w:r>
        <w:rPr>
          <w:noProof/>
        </w:rPr>
        <w:t>: attiecībā uz gāzes transportēšanu atļauju piešķir</w:t>
      </w:r>
      <w:r>
        <w:rPr>
          <w:noProof/>
        </w:rPr>
        <w:t xml:space="preserve"> tikai EEZ dalībvalsts valstspiederīgajiem, kuru domicils ir EEZ. Uzņēmumu un personālsabiedrību galvenajai mītnei jāatrodas EEZ. Tīkla operatoram jāieceļ rīkotājdirektors un tehniskais direktors, kurš ir atbildīgs par tīkla darbības tehnisko kontroli, un </w:t>
      </w:r>
      <w:r>
        <w:rPr>
          <w:noProof/>
        </w:rPr>
        <w:t xml:space="preserve">abiem direktoriem jābūt EEZ dalībvalsts valstspiederīgajiem. </w:t>
      </w:r>
    </w:p>
    <w:p w:rsidR="003E022D" w:rsidRDefault="007D19D6">
      <w:pPr>
        <w:rPr>
          <w:noProof/>
        </w:rPr>
      </w:pPr>
      <w:r>
        <w:rPr>
          <w:noProof/>
        </w:rPr>
        <w:t xml:space="preserve">Kompetentā iestāde var atbrīvot no prasības par valstspiederību un domicilu, ja tiek uzskatīts, ka tīkla ekspluatācija ir sabiedrības interesēs. </w:t>
      </w:r>
    </w:p>
    <w:p w:rsidR="003E022D" w:rsidRDefault="007D19D6">
      <w:pPr>
        <w:rPr>
          <w:noProof/>
        </w:rPr>
      </w:pPr>
      <w:r>
        <w:rPr>
          <w:noProof/>
        </w:rPr>
        <w:t xml:space="preserve">Attiecībā uz tādu preču transportēšanu, kas nav </w:t>
      </w:r>
      <w:r>
        <w:rPr>
          <w:noProof/>
        </w:rPr>
        <w:t xml:space="preserve">gāze un ūdens, piemēro šādas prasības: </w:t>
      </w:r>
    </w:p>
    <w:p w:rsidR="003E022D" w:rsidRDefault="007D19D6">
      <w:pPr>
        <w:numPr>
          <w:ilvl w:val="0"/>
          <w:numId w:val="782"/>
        </w:numPr>
        <w:ind w:hanging="360"/>
        <w:rPr>
          <w:noProof/>
        </w:rPr>
      </w:pPr>
      <w:r>
        <w:rPr>
          <w:noProof/>
        </w:rPr>
        <w:t xml:space="preserve">atļauju fiziskām personām piešķir tikai EEZ valstspiederīgajiem, kuru mītnei jāatrodas Austrijā, un </w:t>
      </w:r>
    </w:p>
    <w:p w:rsidR="003E022D" w:rsidRDefault="007D19D6">
      <w:pPr>
        <w:numPr>
          <w:ilvl w:val="0"/>
          <w:numId w:val="782"/>
        </w:numPr>
        <w:ind w:hanging="360"/>
        <w:rPr>
          <w:noProof/>
        </w:rPr>
      </w:pPr>
      <w:r>
        <w:rPr>
          <w:noProof/>
        </w:rPr>
        <w:t>uzņēmumu un personālsabiedrību galvenajai mītnei jāatrodas Austrijā. Piemēro ekonomisko vajadzību pārbaudi vai inte</w:t>
      </w:r>
      <w:r>
        <w:rPr>
          <w:noProof/>
        </w:rPr>
        <w:t>rešu pārbaudi. Pārrobežu cauruļvadi nedrīkst apdraudēt Austrijas drošības intereses un tās neitrālas valsts statusu. Uzņēmumiem un personālsabiedrībām ir jāieceļ rīkotājdirektors, kuram jābūt EEZ dalībvalsts valstspiederīgajam. Kompetentā iestāde var atbrī</w:t>
      </w:r>
      <w:r>
        <w:rPr>
          <w:noProof/>
        </w:rPr>
        <w:t xml:space="preserve">vot no prasības par valstspiederību un  galveno mītni, ja tiek uzskatīts, ka cauruļvada ekspluatācija ir valsts ekonomikas interesēs (CPC 713).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Rohrleitungsgesetz (Likums par cauruļvadu transportu), BGBl. Nr. 411/1975, § 5(1) un (2), §§ 5 (1</w:t>
      </w:r>
      <w:r>
        <w:rPr>
          <w:i/>
          <w:noProof/>
        </w:rPr>
        <w:t xml:space="preserve">) un (3), 15, 16; un </w:t>
      </w:r>
    </w:p>
    <w:p w:rsidR="003E022D" w:rsidRDefault="007D19D6">
      <w:pPr>
        <w:rPr>
          <w:i/>
          <w:noProof/>
        </w:rPr>
      </w:pPr>
      <w:r>
        <w:rPr>
          <w:i/>
          <w:noProof/>
        </w:rPr>
        <w:t xml:space="preserve">Gaswirtschaftsgesetz 2011 (Gāzes likums), BGBl. I Nr. 107/2011, 43. un 44. pants, 90. un 93. pants. </w:t>
      </w:r>
    </w:p>
    <w:p w:rsidR="003E022D" w:rsidRDefault="007D19D6">
      <w:pPr>
        <w:rPr>
          <w:noProof/>
          <w:u w:val="single"/>
        </w:rPr>
      </w:pPr>
      <w:r>
        <w:rPr>
          <w:noProof/>
          <w:u w:val="single"/>
        </w:rPr>
        <w:t xml:space="preserve">Attiecībā uz investīciju liberalizāciju – piekļuve tirgum, valsts režīms, augstākā līmeņa vadība un direktoru padomes un pakalpojumu </w:t>
      </w:r>
      <w:r>
        <w:rPr>
          <w:noProof/>
          <w:u w:val="single"/>
        </w:rPr>
        <w:t xml:space="preserve">pārrobežu tirdzniecība – (attiecas tikai uz valdības reģionālo līmeni) valsts režīms un klātbūtne uz vietas </w:t>
      </w:r>
    </w:p>
    <w:p w:rsidR="003E022D" w:rsidRDefault="007D19D6">
      <w:pPr>
        <w:rPr>
          <w:noProof/>
        </w:rPr>
      </w:pPr>
      <w:r>
        <w:rPr>
          <w:b/>
          <w:noProof/>
        </w:rPr>
        <w:t>AT</w:t>
      </w:r>
      <w:r>
        <w:rPr>
          <w:noProof/>
        </w:rPr>
        <w:t>: attiecībā uz elektroenerģijas pārvadi un sadali atļauju piešķir tikai EEZ dalībvalsts valstspiederīgajiem, kuru domicils ir EEZ. Ja operators i</w:t>
      </w:r>
      <w:r>
        <w:rPr>
          <w:noProof/>
        </w:rPr>
        <w:t xml:space="preserve">eceļ rīkotājdirektoru vai nomnieku, tad tiek piešķirts atbrīvojums no domicila prasības. </w:t>
      </w:r>
    </w:p>
    <w:p w:rsidR="003E022D" w:rsidRDefault="007D19D6">
      <w:pPr>
        <w:rPr>
          <w:noProof/>
        </w:rPr>
      </w:pPr>
      <w:r>
        <w:rPr>
          <w:noProof/>
        </w:rPr>
        <w:t>Juridisko personu (uzņēmumu) un personālsabiedrību galvenajai mītnei jāatrodas EEZ. Tām jāieceļ rīkotājdirektors vai nomnieks — abiem jābūt EEZ dalībvalsts valstspied</w:t>
      </w:r>
      <w:r>
        <w:rPr>
          <w:noProof/>
        </w:rPr>
        <w:t xml:space="preserve">erīgajiem, kuru domicils ir EEZ. </w:t>
      </w:r>
    </w:p>
    <w:p w:rsidR="003E022D" w:rsidRDefault="007D19D6">
      <w:pPr>
        <w:rPr>
          <w:noProof/>
        </w:rPr>
      </w:pPr>
      <w:r>
        <w:rPr>
          <w:noProof/>
        </w:rPr>
        <w:t xml:space="preserve">Kompetentā iestāde var atbrīvot no prasības par domicilu un valstspiederību, ja tiek uzskatīts, ka tīkla ekspluatācija ir sabiedrības interesēs (ISIC 3.1. red. 40, CPC 887). </w:t>
      </w:r>
    </w:p>
    <w:p w:rsidR="003E022D" w:rsidRDefault="007D19D6">
      <w:pPr>
        <w:rPr>
          <w:b/>
          <w:i/>
          <w:noProof/>
        </w:rPr>
      </w:pPr>
      <w:r>
        <w:rPr>
          <w:b/>
          <w:i/>
          <w:noProof/>
        </w:rPr>
        <w:t xml:space="preserve">Pasākumi </w:t>
      </w:r>
    </w:p>
    <w:p w:rsidR="003E022D" w:rsidRDefault="007D19D6">
      <w:pPr>
        <w:rPr>
          <w:i/>
          <w:noProof/>
        </w:rPr>
      </w:pPr>
      <w:r>
        <w:rPr>
          <w:b/>
          <w:i/>
          <w:noProof/>
        </w:rPr>
        <w:t>AT</w:t>
      </w:r>
      <w:r>
        <w:rPr>
          <w:i/>
          <w:noProof/>
        </w:rPr>
        <w:t xml:space="preserve">: Burgenländisches Elektrizitätswesengesetz 2006, LGBl. Nr. 59/2006, ar grozījumiem; </w:t>
      </w:r>
    </w:p>
    <w:p w:rsidR="003E022D" w:rsidRDefault="007D19D6">
      <w:pPr>
        <w:rPr>
          <w:i/>
          <w:noProof/>
        </w:rPr>
      </w:pPr>
      <w:r>
        <w:rPr>
          <w:i/>
          <w:noProof/>
        </w:rPr>
        <w:t>Niederösterreichisches Elektrizitätswesengesetz, LGBl. Nr. 7800/2005, ar grozījumiem; Landesgesetz, mit dem das Oberösterreichische Elektrizitätswirtschafts- und -</w:t>
      </w:r>
    </w:p>
    <w:p w:rsidR="003E022D" w:rsidRDefault="007D19D6">
      <w:pPr>
        <w:rPr>
          <w:i/>
          <w:noProof/>
        </w:rPr>
      </w:pPr>
      <w:r>
        <w:rPr>
          <w:i/>
          <w:noProof/>
        </w:rPr>
        <w:t>organi</w:t>
      </w:r>
      <w:r>
        <w:rPr>
          <w:i/>
          <w:noProof/>
        </w:rPr>
        <w:t xml:space="preserve">sationsgesetz 2006 erlassen wird (Oö. ElWOG 2006), LGBl. Nr. 1/2006, ar grozījumiem; Salzburger Landeselektrizitätsgesetz 1999 (LEG), LGBl. Nr. 75/1999, ar grozījumiem; </w:t>
      </w:r>
    </w:p>
    <w:p w:rsidR="003E022D" w:rsidRDefault="007D19D6">
      <w:pPr>
        <w:rPr>
          <w:i/>
          <w:noProof/>
        </w:rPr>
      </w:pPr>
      <w:r>
        <w:rPr>
          <w:i/>
          <w:noProof/>
        </w:rPr>
        <w:t>Gesetz vom 16. November 2011 über die Regelung des Elektrizitätswesens in Tirol (Tirol</w:t>
      </w:r>
      <w:r>
        <w:rPr>
          <w:i/>
          <w:noProof/>
        </w:rPr>
        <w:t xml:space="preserve">er </w:t>
      </w:r>
    </w:p>
    <w:p w:rsidR="003E022D" w:rsidRDefault="007D19D6">
      <w:pPr>
        <w:rPr>
          <w:i/>
          <w:noProof/>
        </w:rPr>
      </w:pPr>
      <w:r>
        <w:rPr>
          <w:i/>
          <w:noProof/>
        </w:rPr>
        <w:t xml:space="preserve">Elektrizitätsgesetz 2012 – TEG 2012), LGBl. Nr. 134/2011; </w:t>
      </w:r>
    </w:p>
    <w:p w:rsidR="003E022D" w:rsidRDefault="007D19D6">
      <w:pPr>
        <w:rPr>
          <w:i/>
          <w:noProof/>
        </w:rPr>
      </w:pPr>
      <w:r>
        <w:rPr>
          <w:i/>
          <w:noProof/>
        </w:rPr>
        <w:t xml:space="preserve">Gesetz über die Erzeugung, Übertragung und Verteilung von elektrischer Energie </w:t>
      </w:r>
    </w:p>
    <w:p w:rsidR="003E022D" w:rsidRDefault="007D19D6">
      <w:pPr>
        <w:rPr>
          <w:i/>
          <w:noProof/>
        </w:rPr>
      </w:pPr>
      <w:r>
        <w:rPr>
          <w:i/>
          <w:noProof/>
        </w:rPr>
        <w:t xml:space="preserve">(Vorarlberger Elektrizitätswirtschaftsgesetz), LGBl. Nr. 59/2003, ar grozījumiem; </w:t>
      </w:r>
    </w:p>
    <w:p w:rsidR="003E022D" w:rsidRDefault="007D19D6">
      <w:pPr>
        <w:rPr>
          <w:i/>
          <w:noProof/>
        </w:rPr>
      </w:pPr>
      <w:r>
        <w:rPr>
          <w:i/>
          <w:noProof/>
        </w:rPr>
        <w:t>Gesetz über die Neuregelung de</w:t>
      </w:r>
      <w:r>
        <w:rPr>
          <w:i/>
          <w:noProof/>
        </w:rPr>
        <w:t xml:space="preserve">r Elektrizitätswirtschaft (Wiener Elektrizitätswirtschaftsgesetz </w:t>
      </w:r>
    </w:p>
    <w:p w:rsidR="003E022D" w:rsidRDefault="007D19D6">
      <w:pPr>
        <w:rPr>
          <w:i/>
          <w:noProof/>
        </w:rPr>
      </w:pPr>
      <w:r>
        <w:rPr>
          <w:i/>
          <w:noProof/>
        </w:rPr>
        <w:t xml:space="preserve">2005 – WElWG 2005), LGBl. Nr. 46/2005; </w:t>
      </w:r>
    </w:p>
    <w:p w:rsidR="003E022D" w:rsidRDefault="007D19D6">
      <w:pPr>
        <w:rPr>
          <w:i/>
          <w:noProof/>
        </w:rPr>
      </w:pPr>
      <w:r>
        <w:rPr>
          <w:i/>
          <w:noProof/>
        </w:rPr>
        <w:t xml:space="preserve">Steiermärkisches Elektrizitätswirtschafts- und Organisationsgesetz(ELWOG), LGBl. Nr. </w:t>
      </w:r>
    </w:p>
    <w:p w:rsidR="003E022D" w:rsidRDefault="007D19D6">
      <w:pPr>
        <w:rPr>
          <w:i/>
          <w:noProof/>
        </w:rPr>
      </w:pPr>
      <w:r>
        <w:rPr>
          <w:i/>
          <w:noProof/>
        </w:rPr>
        <w:t xml:space="preserve">70/2005. un </w:t>
      </w:r>
    </w:p>
    <w:p w:rsidR="003E022D" w:rsidRDefault="007D19D6">
      <w:pPr>
        <w:rPr>
          <w:i/>
          <w:noProof/>
        </w:rPr>
      </w:pPr>
      <w:r>
        <w:rPr>
          <w:i/>
          <w:noProof/>
        </w:rPr>
        <w:t>Kärntner Elektrizitätswirtschafts-und Organisations</w:t>
      </w:r>
      <w:r>
        <w:rPr>
          <w:i/>
          <w:noProof/>
        </w:rPr>
        <w:t xml:space="preserve">gesetz(ELWOG), LGBl. Nr. 24/2006. </w:t>
      </w:r>
    </w:p>
    <w:p w:rsidR="003E022D" w:rsidRDefault="007D19D6">
      <w:pPr>
        <w:rPr>
          <w:noProof/>
          <w:u w:val="single"/>
        </w:rPr>
      </w:pPr>
      <w:r>
        <w:rPr>
          <w:noProof/>
          <w:u w:val="single"/>
        </w:rPr>
        <w:t xml:space="preserve">Attiecībā uz investīciju liberalizāciju – piekļuve tirgum, valsts režīms un pakalpojumu pārrobežu tirdzniecība – klātbūtne uz vietas </w:t>
      </w:r>
    </w:p>
    <w:p w:rsidR="003E022D" w:rsidRDefault="007D19D6">
      <w:pPr>
        <w:rPr>
          <w:noProof/>
        </w:rPr>
      </w:pPr>
      <w:r>
        <w:rPr>
          <w:b/>
          <w:noProof/>
        </w:rPr>
        <w:t>CZ</w:t>
      </w:r>
      <w:r>
        <w:rPr>
          <w:noProof/>
        </w:rPr>
        <w:t>: elektroenerģijas ražošanai, pārvadei, sadalei, tirdzniecībai un citām elektroenerģi</w:t>
      </w:r>
      <w:r>
        <w:rPr>
          <w:noProof/>
        </w:rPr>
        <w:t>jas tirgus operatora darbībām, kā arī gāzes ražošanai, pārvadei, sadalei, uzglabāšanai un tirdzniecībai, kā arī siltumenerģijas ražošanai un sadalei nepieciešama atļauja. Šādu atļauju var piešķirt tikai fiziskai personai ar uzturēšanās atļauju vai juridisk</w:t>
      </w:r>
      <w:r>
        <w:rPr>
          <w:noProof/>
        </w:rPr>
        <w:t xml:space="preserve">ai personai, kas veic uzņēmējdarbību Savienībā. Attiecībā uz elektroenerģijas un gāzes pārvadi un tirgus operatora licencēm pastāv ekskluzīvas tiesības (ISIC 3.1. red. 40, CPC 7131, 63297, 742, 887). </w:t>
      </w:r>
    </w:p>
    <w:p w:rsidR="003E022D" w:rsidRDefault="007D19D6">
      <w:pPr>
        <w:rPr>
          <w:noProof/>
        </w:rPr>
      </w:pPr>
      <w:r>
        <w:rPr>
          <w:b/>
          <w:noProof/>
        </w:rPr>
        <w:t>LT</w:t>
      </w:r>
      <w:r>
        <w:rPr>
          <w:noProof/>
        </w:rPr>
        <w:t>: elektroenerģijas pārvades, sadales, publiskās piegā</w:t>
      </w:r>
      <w:r>
        <w:rPr>
          <w:noProof/>
        </w:rPr>
        <w:t>des un tirdzniecības organizēšanas licences var izdot tikai juridiskām personām, kuras veic uzņēmējdarbību Lietuvas Republikā, vai citu dalībvalstu juridisko personu vai citu organizāciju filiālēm, kas veic uzņēmējdarbību Lietuvas Republikā. Atļaujas elekt</w:t>
      </w:r>
      <w:r>
        <w:rPr>
          <w:noProof/>
        </w:rPr>
        <w:t>roenerģijas ražošanai, elektroenerģijas ražošanas jaudu attīstīšanai un tiešās līnijas izbūvei var izsniegt personām, kuru pastāvīgā dzīvesvieta ir Lietuvas Republikā, vai juridiskām personām, kas veic uzņēmējdarbību Lietuvas Republikā, vai citu dalībvalst</w:t>
      </w:r>
      <w:r>
        <w:rPr>
          <w:noProof/>
        </w:rPr>
        <w:t>u juridisko personu vai citu organizāciju filiālēm, kas veic uzņēmējdarbību Lietuvas Republikā. Šī atruna neattiecas uz konsultāciju pakalpojumiem, kas saistīti ar elektroenerģijas pārvadi un sadali par atlīdzību vai uz līguma pamata (ISIC 3.1. red. 401, C</w:t>
      </w:r>
      <w:r>
        <w:rPr>
          <w:noProof/>
        </w:rPr>
        <w:t xml:space="preserve">PC 887). </w:t>
      </w:r>
    </w:p>
    <w:p w:rsidR="003E022D" w:rsidRDefault="007D19D6">
      <w:pPr>
        <w:rPr>
          <w:noProof/>
        </w:rPr>
      </w:pPr>
      <w:r>
        <w:rPr>
          <w:noProof/>
        </w:rPr>
        <w:t>Degvielas vai kurināmā gadījumā nepieciešams veikt uzņēmējdarbību. Degvielas vai kurināmā pārvades, sadales un glabāšanas un dabasgāzes sašķidrināšanas licences var izdot tikai juridiskām personām, kas veic uzņēmējdarbību Lietuvas Republikā, vai citas dalī</w:t>
      </w:r>
      <w:r>
        <w:rPr>
          <w:noProof/>
        </w:rPr>
        <w:t xml:space="preserve">bvalsts juridisko personu vai citu organizāciju (meitasuzņēmumu) filiālēm, kas veic uzņēmējdarbību Lietuvas Republikā. </w:t>
      </w:r>
    </w:p>
    <w:p w:rsidR="003E022D" w:rsidRDefault="007D19D6">
      <w:pPr>
        <w:rPr>
          <w:noProof/>
        </w:rPr>
      </w:pPr>
      <w:r>
        <w:rPr>
          <w:noProof/>
        </w:rPr>
        <w:t>Šī atruna neattiecas uz konsultāciju pakalpojumiem, kas saistīti ar degvielas vai kurināmā pārvadi un sadali par atlīdzību vai uz līguma</w:t>
      </w:r>
      <w:r>
        <w:rPr>
          <w:noProof/>
        </w:rPr>
        <w:t xml:space="preserve"> pamata (CPC 713, CPC 887). </w:t>
      </w:r>
    </w:p>
    <w:p w:rsidR="003E022D" w:rsidRDefault="007D19D6">
      <w:pPr>
        <w:rPr>
          <w:noProof/>
        </w:rPr>
      </w:pPr>
      <w:r>
        <w:rPr>
          <w:b/>
          <w:noProof/>
        </w:rPr>
        <w:t>PL:</w:t>
      </w:r>
      <w:r>
        <w:rPr>
          <w:noProof/>
        </w:rPr>
        <w:t xml:space="preserve"> saskaņā ar Enerģētikas likumu ir vajadzīga licence šādu darbību veikšanai: </w:t>
      </w:r>
    </w:p>
    <w:p w:rsidR="003E022D" w:rsidRDefault="007D19D6">
      <w:pPr>
        <w:numPr>
          <w:ilvl w:val="0"/>
          <w:numId w:val="783"/>
        </w:numPr>
        <w:rPr>
          <w:noProof/>
        </w:rPr>
      </w:pPr>
      <w:r>
        <w:rPr>
          <w:noProof/>
        </w:rPr>
        <w:t>degvielas vai kurināmā vai enerģijas ražošanai, izņemot cietā vai gāzveida degvielas vai kurināmā ražošanu; elektroenerģijas ražošanu, izmantojot e</w:t>
      </w:r>
      <w:r>
        <w:rPr>
          <w:noProof/>
        </w:rPr>
        <w:t>lektroenerģijas avotus, kuru kopējā jauda nepārsniedz 50 MW, neskaitot atjaunojamos energoresursus; elektroenerģijas un siltuma koģenerāciju, izmantojot avotus, kuru kopējā jauda nepārsniedz 5 MW, neskaitot atjaunojamos energoresursus; siltumenerģijas ražo</w:t>
      </w:r>
      <w:r>
        <w:rPr>
          <w:noProof/>
        </w:rPr>
        <w:t>šanu, izmantojot avotus, kuru kopējā jauda nepārsniedz 5 MW;</w:t>
      </w:r>
    </w:p>
    <w:p w:rsidR="003E022D" w:rsidRDefault="007D19D6">
      <w:pPr>
        <w:numPr>
          <w:ilvl w:val="0"/>
          <w:numId w:val="783"/>
        </w:numPr>
        <w:rPr>
          <w:noProof/>
        </w:rPr>
      </w:pPr>
      <w:r>
        <w:rPr>
          <w:noProof/>
        </w:rPr>
        <w:t xml:space="preserve"> gāzveida kurināmā uzglabāšanai glabāšanas iekārtās, dabasgāzes sašķidrināšanai un sašķidrinātas dabasgāzes regazificēšanai sašķidrinātas dabasgāzes iekārtās, kā arī sašķidrināta kurināmā uzglabā</w:t>
      </w:r>
      <w:r>
        <w:rPr>
          <w:noProof/>
        </w:rPr>
        <w:t xml:space="preserve">šanai, izņemot sašķidrinātas gāzes uzglabāšanu iekārtās, kuru jauda ir mazāka par 1 MJ/s, un šķidras degvielas vai kurināmā uzglabāšana mazumtirdzniecībā; </w:t>
      </w:r>
    </w:p>
    <w:p w:rsidR="003E022D" w:rsidRDefault="007D19D6">
      <w:pPr>
        <w:numPr>
          <w:ilvl w:val="0"/>
          <w:numId w:val="783"/>
        </w:numPr>
        <w:rPr>
          <w:noProof/>
        </w:rPr>
      </w:pPr>
      <w:r>
        <w:rPr>
          <w:noProof/>
        </w:rPr>
        <w:t>degvielas vai kurināmā vai enerģijas pārvadei vai sadalei, izņemot: gāzveida kurināmā sadali tīklos,</w:t>
      </w:r>
      <w:r>
        <w:rPr>
          <w:noProof/>
        </w:rPr>
        <w:t xml:space="preserve"> kuru jauda ir mazāka par 1 MJ/s, un siltuma pārvadi vai sadali, ja klientu pasūtītā kopējā jauda nepārsniedz 5 MW; </w:t>
      </w:r>
    </w:p>
    <w:p w:rsidR="003E022D" w:rsidRDefault="007D19D6">
      <w:pPr>
        <w:numPr>
          <w:ilvl w:val="0"/>
          <w:numId w:val="783"/>
        </w:numPr>
        <w:rPr>
          <w:noProof/>
        </w:rPr>
      </w:pPr>
      <w:r>
        <w:rPr>
          <w:noProof/>
        </w:rPr>
        <w:t>degvielas vai kurināmā vai enerģijas tirdzniecībai, izņemot cietā kurināmā tirdzniecību; elektroenerģijas tirdzniecību, izmantojot klientam</w:t>
      </w:r>
      <w:r>
        <w:rPr>
          <w:noProof/>
        </w:rPr>
        <w:t xml:space="preserve"> piederošas iekārtas, kurās spriegums ir mazāks par 1 kV; gāzveida kurināmā tirdzniecību, ja gada apgrozījums nepārsniedz EUR 100 000 ekvivalentu; sašķidrinātas gāzes tirdzniecību, ja gada apgrozījums nepārsniedz EUR 10 000; un gāzveida kurināmā un elektro</w:t>
      </w:r>
      <w:r>
        <w:rPr>
          <w:noProof/>
        </w:rPr>
        <w:t>enerģijas tirdzniecību, ko veic preču biržās brokeru sabiedrības, kuras darbojas kā starpnieki preču biržās, pamatojoties uz 2000. gada 26. oktobra Likumu par preču biržām, kā arī siltuma tirdzniecību, ja klientu pasūtītā jauda nepārsniedz 5 MW. Minētie ap</w:t>
      </w:r>
      <w:r>
        <w:rPr>
          <w:noProof/>
        </w:rPr>
        <w:t xml:space="preserve">grozījuma ierobežojumi neattiecas uz gāzveida kurināmā vai sašķidrinātas gāzes vairumtirdzniecības pakalpojumiem vai balonos pildītas gāzes mazumtirdzniecības pakalpojumiem. </w:t>
      </w:r>
    </w:p>
    <w:p w:rsidR="003E022D" w:rsidRDefault="007D19D6">
      <w:pPr>
        <w:rPr>
          <w:noProof/>
        </w:rPr>
      </w:pPr>
      <w:r>
        <w:rPr>
          <w:noProof/>
        </w:rPr>
        <w:t>Licenci kompetentā iestāde var piešķirt tikai pieteikuma iesniedzējam, kura reģis</w:t>
      </w:r>
      <w:r>
        <w:rPr>
          <w:noProof/>
        </w:rPr>
        <w:t xml:space="preserve">trētā galvenā darījumdarbības vieta vai rezidence ir EEZ dalībvalsts vai Šveices Konfederācijas teritorijā (ISIC 3.1. red. 040, CPC 63297, 74220, CPC 887). </w:t>
      </w:r>
    </w:p>
    <w:p w:rsidR="003E022D" w:rsidRDefault="007D19D6">
      <w:pPr>
        <w:rPr>
          <w:b/>
          <w:i/>
          <w:noProof/>
        </w:rPr>
      </w:pPr>
      <w:r>
        <w:rPr>
          <w:b/>
          <w:i/>
          <w:noProof/>
        </w:rPr>
        <w:t xml:space="preserve">Pasākumi </w:t>
      </w:r>
    </w:p>
    <w:p w:rsidR="003E022D" w:rsidRDefault="007D19D6">
      <w:pPr>
        <w:rPr>
          <w:i/>
          <w:noProof/>
        </w:rPr>
      </w:pPr>
      <w:r>
        <w:rPr>
          <w:b/>
          <w:i/>
          <w:noProof/>
        </w:rPr>
        <w:t>CZ</w:t>
      </w:r>
      <w:r>
        <w:rPr>
          <w:i/>
          <w:noProof/>
        </w:rPr>
        <w:t>: Likums Nr. 458/2000 Coll. par darījumdarbības nosacījumiem un publisko pārvaldi enerģ</w:t>
      </w:r>
      <w:r>
        <w:rPr>
          <w:i/>
          <w:noProof/>
        </w:rPr>
        <w:t xml:space="preserve">ētikas nozarēs (Enerģētikas likums). </w:t>
      </w:r>
    </w:p>
    <w:p w:rsidR="003E022D" w:rsidRDefault="007D19D6">
      <w:pPr>
        <w:rPr>
          <w:i/>
          <w:noProof/>
        </w:rPr>
      </w:pPr>
      <w:r>
        <w:rPr>
          <w:b/>
          <w:i/>
          <w:noProof/>
        </w:rPr>
        <w:t>LT</w:t>
      </w:r>
      <w:r>
        <w:rPr>
          <w:i/>
          <w:noProof/>
        </w:rPr>
        <w:t xml:space="preserve">: Lietuvas Republikas 2000. gada 10. oktobra Likums Nr. VIII-1973 par dabasgāzi un Lietuvas Republikas 2000. gada 20. jūlija Likums Nr. VIII-1881 par elektroenerģiju. </w:t>
      </w:r>
    </w:p>
    <w:p w:rsidR="003E022D" w:rsidRDefault="007D19D6">
      <w:pPr>
        <w:rPr>
          <w:i/>
          <w:noProof/>
        </w:rPr>
      </w:pPr>
      <w:r>
        <w:rPr>
          <w:b/>
          <w:i/>
          <w:noProof/>
        </w:rPr>
        <w:t>PL</w:t>
      </w:r>
      <w:r>
        <w:rPr>
          <w:i/>
          <w:noProof/>
        </w:rPr>
        <w:t>: 1997. gada 10. aprīļa Enerģētikas likums, 32</w:t>
      </w:r>
      <w:r>
        <w:rPr>
          <w:i/>
          <w:noProof/>
        </w:rPr>
        <w:t xml:space="preserve">. un 33. pants </w:t>
      </w:r>
    </w:p>
    <w:p w:rsidR="003E022D" w:rsidRDefault="007D19D6">
      <w:pPr>
        <w:rPr>
          <w:noProof/>
          <w:u w:val="single"/>
        </w:rPr>
      </w:pPr>
      <w:r>
        <w:rPr>
          <w:noProof/>
          <w:u w:val="single"/>
        </w:rPr>
        <w:t xml:space="preserve">Attiecībā uz pakalpojumu pārrobežu tirdzniecību – klātbūtne uz vietas </w:t>
      </w:r>
    </w:p>
    <w:p w:rsidR="003E022D" w:rsidRDefault="007D19D6">
      <w:pPr>
        <w:rPr>
          <w:noProof/>
        </w:rPr>
      </w:pPr>
      <w:r>
        <w:rPr>
          <w:b/>
          <w:noProof/>
        </w:rPr>
        <w:t>SI</w:t>
      </w:r>
      <w:r>
        <w:rPr>
          <w:noProof/>
        </w:rPr>
        <w:t xml:space="preserve">: uz elektroenerģijas un dabasgāzes ražošanu, tirdzniecību, piegādi galalietotājiem, pārvadi un sadali attiecas prasība par uzņēmējdarbības veikšanu Savienībā (ISIC 3.1. red. 4010, 4020, CPC 7131, CPC 887). </w:t>
      </w:r>
    </w:p>
    <w:p w:rsidR="003E022D" w:rsidRDefault="007D19D6">
      <w:pPr>
        <w:rPr>
          <w:b/>
          <w:i/>
          <w:noProof/>
        </w:rPr>
      </w:pPr>
      <w:r>
        <w:rPr>
          <w:b/>
          <w:i/>
          <w:noProof/>
        </w:rPr>
        <w:t xml:space="preserve">Pasākumi </w:t>
      </w:r>
    </w:p>
    <w:p w:rsidR="003E022D" w:rsidRDefault="007D19D6">
      <w:pPr>
        <w:rPr>
          <w:b/>
          <w:noProof/>
        </w:rPr>
      </w:pPr>
      <w:r>
        <w:rPr>
          <w:b/>
          <w:noProof/>
        </w:rPr>
        <w:t>SI</w:t>
      </w:r>
      <w:r>
        <w:rPr>
          <w:noProof/>
        </w:rPr>
        <w:t xml:space="preserve">: </w:t>
      </w:r>
      <w:r>
        <w:rPr>
          <w:i/>
          <w:noProof/>
        </w:rPr>
        <w:t>Energetski zakon</w:t>
      </w:r>
      <w:r>
        <w:rPr>
          <w:noProof/>
        </w:rPr>
        <w:t xml:space="preserve"> (Enerģētikas liku</w:t>
      </w:r>
      <w:r>
        <w:rPr>
          <w:noProof/>
        </w:rPr>
        <w:t xml:space="preserve">ms) 2014, </w:t>
      </w:r>
      <w:r>
        <w:rPr>
          <w:i/>
          <w:noProof/>
        </w:rPr>
        <w:t>Official Gazette RS, nr. 17/2014.</w:t>
      </w:r>
      <w:r>
        <w:rPr>
          <w:noProof/>
        </w:rPr>
        <w:t xml:space="preserve"> un Ieguves likums, 2014. </w:t>
      </w:r>
      <w:bookmarkStart w:id="1152" w:name="_Toc452570654"/>
      <w:bookmarkStart w:id="1153" w:name="_Toc476832044"/>
      <w:bookmarkStart w:id="1154" w:name="_Toc500420038"/>
    </w:p>
    <w:p w:rsidR="003E022D" w:rsidRDefault="007D19D6">
      <w:pPr>
        <w:spacing w:after="160" w:line="259" w:lineRule="auto"/>
        <w:jc w:val="left"/>
        <w:rPr>
          <w:b/>
          <w:noProof/>
        </w:rPr>
      </w:pPr>
      <w:bookmarkStart w:id="1155" w:name="_Toc5371339"/>
      <w:bookmarkStart w:id="1156" w:name="_Toc53746675"/>
      <w:bookmarkStart w:id="1157" w:name="_Toc57917384"/>
      <w:r>
        <w:rPr>
          <w:noProof/>
        </w:rPr>
        <w:br w:type="page"/>
      </w:r>
    </w:p>
    <w:p w:rsidR="003E022D" w:rsidRDefault="007D19D6">
      <w:pPr>
        <w:rPr>
          <w:b/>
          <w:noProof/>
        </w:rPr>
      </w:pPr>
      <w:r>
        <w:rPr>
          <w:b/>
          <w:noProof/>
        </w:rPr>
        <w:t>18. atruna. Lauksaimniecība, zvejniecība un ražošana</w:t>
      </w:r>
      <w:bookmarkEnd w:id="1152"/>
      <w:bookmarkEnd w:id="1153"/>
      <w:bookmarkEnd w:id="1154"/>
      <w:bookmarkEnd w:id="1155"/>
      <w:bookmarkEnd w:id="1156"/>
      <w:bookmarkEnd w:id="1157"/>
      <w:r>
        <w:rPr>
          <w:b/>
          <w:noProof/>
        </w:rPr>
        <w:t xml:space="preserve"> </w:t>
      </w:r>
    </w:p>
    <w:tbl>
      <w:tblPr>
        <w:tblStyle w:val="TableGrid0"/>
        <w:tblW w:w="0" w:type="auto"/>
        <w:tblCellMar>
          <w:left w:w="0" w:type="dxa"/>
        </w:tblCellMar>
        <w:tblLook w:val="04A0" w:firstRow="1" w:lastRow="0" w:firstColumn="1" w:lastColumn="0" w:noHBand="0" w:noVBand="1"/>
      </w:tblPr>
      <w:tblGrid>
        <w:gridCol w:w="2636"/>
        <w:gridCol w:w="6498"/>
      </w:tblGrid>
      <w:tr w:rsidR="003E022D">
        <w:tc>
          <w:tcPr>
            <w:tcW w:w="2660" w:type="dxa"/>
          </w:tcPr>
          <w:p w:rsidR="003E022D" w:rsidRDefault="007D19D6">
            <w:pPr>
              <w:spacing w:afterAutospacing="0"/>
              <w:rPr>
                <w:b/>
                <w:noProof/>
              </w:rPr>
            </w:pPr>
            <w:r>
              <w:rPr>
                <w:b/>
                <w:noProof/>
              </w:rPr>
              <w:t>Nozare – apakšnozare:</w:t>
            </w:r>
          </w:p>
        </w:tc>
        <w:tc>
          <w:tcPr>
            <w:tcW w:w="6582" w:type="dxa"/>
          </w:tcPr>
          <w:p w:rsidR="003E022D" w:rsidRDefault="007D19D6">
            <w:pPr>
              <w:spacing w:afterAutospacing="0"/>
              <w:rPr>
                <w:noProof/>
              </w:rPr>
            </w:pPr>
            <w:r>
              <w:rPr>
                <w:noProof/>
              </w:rPr>
              <w:t>Lauksaimniecība, medniecība, mežsaimniecība; dzīvnieku un ziemeļbriežu audzēšana, zvejniecība un akvakultūra</w:t>
            </w:r>
            <w:r>
              <w:rPr>
                <w:noProof/>
              </w:rPr>
              <w:t>; izdevējdarbība, poligrāfija un ierakstu reproducēšana</w:t>
            </w:r>
          </w:p>
        </w:tc>
      </w:tr>
      <w:tr w:rsidR="003E022D">
        <w:tc>
          <w:tcPr>
            <w:tcW w:w="2660" w:type="dxa"/>
          </w:tcPr>
          <w:p w:rsidR="003E022D" w:rsidRDefault="007D19D6">
            <w:pPr>
              <w:spacing w:afterAutospacing="0"/>
              <w:rPr>
                <w:b/>
                <w:bCs/>
                <w:noProof/>
              </w:rPr>
            </w:pPr>
            <w:r>
              <w:rPr>
                <w:b/>
                <w:bCs/>
                <w:noProof/>
              </w:rPr>
              <w:t>Nozares klasifikācija:</w:t>
            </w:r>
          </w:p>
        </w:tc>
        <w:tc>
          <w:tcPr>
            <w:tcW w:w="6582" w:type="dxa"/>
          </w:tcPr>
          <w:p w:rsidR="003E022D" w:rsidRDefault="007D19D6">
            <w:pPr>
              <w:spacing w:afterAutospacing="0"/>
              <w:rPr>
                <w:noProof/>
              </w:rPr>
            </w:pPr>
            <w:r>
              <w:rPr>
                <w:noProof/>
              </w:rPr>
              <w:t>ISIC 3.1. red. 011,  012, 013, 014, 015, 1531, 050, 0501, 0502, 221, 222, 323, 324, CPC 881, 882, 88442</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Lielākās labvēlības režī</w:t>
            </w:r>
            <w:r>
              <w:rPr>
                <w:noProof/>
              </w:rPr>
              <w:t xml:space="preserve">ms </w:t>
            </w:r>
            <w:r>
              <w:rPr>
                <w:noProof/>
              </w:rPr>
              <w:br/>
              <w:t xml:space="preserve">Veiktspējas prasības </w:t>
            </w:r>
            <w:r>
              <w:rPr>
                <w:noProof/>
              </w:rPr>
              <w:br/>
              <w:t xml:space="preserve">Augstākā vadība un direktoru padomes </w:t>
            </w:r>
            <w:r>
              <w:rPr>
                <w:noProof/>
              </w:rPr>
              <w:br/>
              <w:t xml:space="preserve">Klātbūtne uz vietas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pakalpojumu pārrobežu tirdzniecība.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rPr>
              <w:t>Eiropas Savienība/dalībvalsts (ja vien nav norādīts citādi)</w:t>
            </w:r>
          </w:p>
        </w:tc>
      </w:tr>
    </w:tbl>
    <w:p w:rsidR="003E022D" w:rsidRDefault="003E022D">
      <w:pPr>
        <w:rPr>
          <w:noProof/>
        </w:rPr>
      </w:pPr>
    </w:p>
    <w:p w:rsidR="003E022D" w:rsidRDefault="007D19D6">
      <w:pPr>
        <w:rPr>
          <w:b/>
          <w:bCs/>
          <w:noProof/>
        </w:rPr>
      </w:pPr>
      <w:r>
        <w:rPr>
          <w:b/>
          <w:bCs/>
          <w:noProof/>
        </w:rPr>
        <w:t>Apraksts</w:t>
      </w:r>
    </w:p>
    <w:p w:rsidR="003E022D" w:rsidRDefault="007D19D6">
      <w:pPr>
        <w:rPr>
          <w:b/>
          <w:i/>
          <w:noProof/>
        </w:rPr>
      </w:pPr>
      <w:bookmarkStart w:id="1158" w:name="_Toc5371340"/>
      <w:r>
        <w:rPr>
          <w:b/>
          <w:i/>
          <w:noProof/>
        </w:rPr>
        <w:t xml:space="preserve">a) </w:t>
      </w:r>
      <w:r>
        <w:rPr>
          <w:noProof/>
        </w:rPr>
        <w:tab/>
      </w:r>
      <w:bookmarkStart w:id="1159" w:name="_Toc452570655"/>
      <w:r>
        <w:rPr>
          <w:b/>
          <w:i/>
          <w:noProof/>
        </w:rPr>
        <w:t xml:space="preserve">Lauksaimniecība, medniecība un mežsaimniecība </w:t>
      </w:r>
      <w:bookmarkEnd w:id="1159"/>
      <w:r>
        <w:rPr>
          <w:b/>
          <w:i/>
          <w:noProof/>
        </w:rPr>
        <w:t xml:space="preserve"> (ISIC 3.1. red. 011, 012, 013, 014, 015, 1531, CPC 881)</w:t>
      </w:r>
      <w:bookmarkEnd w:id="1158"/>
      <w:r>
        <w:rPr>
          <w:b/>
          <w:i/>
          <w:noProof/>
        </w:rPr>
        <w:t xml:space="preserve"> </w:t>
      </w:r>
    </w:p>
    <w:p w:rsidR="003E022D" w:rsidRDefault="007D19D6">
      <w:pPr>
        <w:rPr>
          <w:noProof/>
          <w:u w:val="single"/>
        </w:rPr>
      </w:pPr>
      <w:r>
        <w:rPr>
          <w:noProof/>
          <w:u w:val="single"/>
        </w:rPr>
        <w:t xml:space="preserve">Attiecībā uz investīciju liberalizāciju – valsts režīms </w:t>
      </w:r>
    </w:p>
    <w:p w:rsidR="003E022D" w:rsidRDefault="007D19D6">
      <w:pPr>
        <w:rPr>
          <w:noProof/>
        </w:rPr>
      </w:pPr>
      <w:r>
        <w:rPr>
          <w:b/>
          <w:noProof/>
        </w:rPr>
        <w:t>IE</w:t>
      </w:r>
      <w:r>
        <w:rPr>
          <w:noProof/>
        </w:rPr>
        <w:t>: lai ārvalstu rezidenti varētu veikt uzņēmējdarbību miltu malšanas jomā, ir vajadzīga atļauj</w:t>
      </w:r>
      <w:r>
        <w:rPr>
          <w:noProof/>
        </w:rPr>
        <w:t xml:space="preserve">a (ISIC 3.1. red. 1531). </w:t>
      </w:r>
    </w:p>
    <w:p w:rsidR="003E022D" w:rsidRDefault="007D19D6">
      <w:pPr>
        <w:rPr>
          <w:b/>
          <w:i/>
          <w:noProof/>
        </w:rPr>
      </w:pPr>
      <w:r>
        <w:rPr>
          <w:b/>
          <w:i/>
          <w:noProof/>
        </w:rPr>
        <w:t xml:space="preserve">Pasākumi </w:t>
      </w:r>
    </w:p>
    <w:p w:rsidR="003E022D" w:rsidRDefault="007D19D6">
      <w:pPr>
        <w:rPr>
          <w:i/>
          <w:noProof/>
        </w:rPr>
      </w:pPr>
      <w:r>
        <w:rPr>
          <w:b/>
          <w:i/>
          <w:noProof/>
        </w:rPr>
        <w:t>IE</w:t>
      </w:r>
      <w:r>
        <w:rPr>
          <w:i/>
          <w:noProof/>
        </w:rPr>
        <w:t xml:space="preserve">: 1933. gada Lauksaimniecības produktu (graudaugu) likums. </w:t>
      </w:r>
    </w:p>
    <w:p w:rsidR="003E022D" w:rsidRDefault="007D19D6">
      <w:pPr>
        <w:rPr>
          <w:noProof/>
          <w:u w:val="single"/>
        </w:rPr>
      </w:pPr>
      <w:r>
        <w:rPr>
          <w:noProof/>
          <w:u w:val="single"/>
        </w:rPr>
        <w:t xml:space="preserve">Attiecībā uz investīciju liberalizāciju – piekļuve tirgum, valsts režīms </w:t>
      </w:r>
    </w:p>
    <w:p w:rsidR="003E022D" w:rsidRDefault="007D19D6">
      <w:pPr>
        <w:rPr>
          <w:noProof/>
        </w:rPr>
      </w:pPr>
      <w:r>
        <w:rPr>
          <w:b/>
          <w:noProof/>
        </w:rPr>
        <w:t>FI</w:t>
      </w:r>
      <w:r>
        <w:rPr>
          <w:noProof/>
        </w:rPr>
        <w:t>: tikai EEZ dalībvalsts valstspiederīgie, kuri ir rezidenti ziemeļbriežu ganību te</w:t>
      </w:r>
      <w:r>
        <w:rPr>
          <w:noProof/>
        </w:rPr>
        <w:t xml:space="preserve">ritorijā, var turēt un audzēt ziemeļbriežus. Var tikt piešķirtas ekskluzīvas tiesības. </w:t>
      </w:r>
    </w:p>
    <w:p w:rsidR="003E022D" w:rsidRDefault="007D19D6">
      <w:pPr>
        <w:rPr>
          <w:noProof/>
        </w:rPr>
      </w:pPr>
      <w:r>
        <w:rPr>
          <w:b/>
          <w:noProof/>
        </w:rPr>
        <w:t>FR</w:t>
      </w:r>
      <w:r>
        <w:rPr>
          <w:noProof/>
        </w:rPr>
        <w:t xml:space="preserve">: lai kļūtu par lauksaimniecības kooperatīva locekli vai šāda kooperatīva direktoru, ir vajadzīga iepriekšēja atļauja (ISIC 3.1. red. 011, 012, 013, 014, 015). </w:t>
      </w:r>
    </w:p>
    <w:p w:rsidR="003E022D" w:rsidRDefault="007D19D6">
      <w:pPr>
        <w:rPr>
          <w:noProof/>
        </w:rPr>
      </w:pPr>
      <w:r>
        <w:rPr>
          <w:b/>
          <w:noProof/>
        </w:rPr>
        <w:t>SE</w:t>
      </w:r>
      <w:r>
        <w:rPr>
          <w:noProof/>
        </w:rPr>
        <w:t>: t</w:t>
      </w:r>
      <w:r>
        <w:rPr>
          <w:noProof/>
        </w:rPr>
        <w:t xml:space="preserve">ikai sāmiem drīkst piederēt ziemeļbriežu audzēšanas saimniecības, un tikai sāmi drīkst ar to nodarboties. </w:t>
      </w:r>
    </w:p>
    <w:p w:rsidR="003E022D" w:rsidRDefault="007D19D6">
      <w:pPr>
        <w:rPr>
          <w:b/>
          <w:i/>
          <w:noProof/>
        </w:rPr>
      </w:pPr>
      <w:r>
        <w:rPr>
          <w:b/>
          <w:i/>
          <w:noProof/>
        </w:rPr>
        <w:t xml:space="preserve">Pasākumi </w:t>
      </w:r>
    </w:p>
    <w:p w:rsidR="003E022D" w:rsidRDefault="007D19D6">
      <w:pPr>
        <w:rPr>
          <w:i/>
          <w:noProof/>
        </w:rPr>
      </w:pPr>
      <w:r>
        <w:rPr>
          <w:b/>
          <w:i/>
          <w:noProof/>
        </w:rPr>
        <w:t>FI</w:t>
      </w:r>
      <w:r>
        <w:rPr>
          <w:i/>
          <w:noProof/>
        </w:rPr>
        <w:t xml:space="preserve">: Poronhoitolaki (Ziemeļbriežu audzēšanas likums) (848/1990), 1. nodaļa, 4. pants, 3. protokols Līgumam par Somijas pievienošanos. </w:t>
      </w:r>
    </w:p>
    <w:p w:rsidR="003E022D" w:rsidRDefault="007D19D6">
      <w:pPr>
        <w:rPr>
          <w:i/>
          <w:noProof/>
        </w:rPr>
      </w:pPr>
      <w:r>
        <w:rPr>
          <w:b/>
          <w:i/>
          <w:noProof/>
        </w:rPr>
        <w:t>FR</w:t>
      </w:r>
      <w:r>
        <w:rPr>
          <w:i/>
          <w:noProof/>
        </w:rPr>
        <w:t>: C</w:t>
      </w:r>
      <w:r>
        <w:rPr>
          <w:i/>
          <w:noProof/>
        </w:rPr>
        <w:t xml:space="preserve">ode rural et de la pêche maritime. </w:t>
      </w:r>
    </w:p>
    <w:p w:rsidR="003E022D" w:rsidRDefault="007D19D6">
      <w:pPr>
        <w:rPr>
          <w:noProof/>
        </w:rPr>
      </w:pPr>
      <w:r>
        <w:rPr>
          <w:b/>
          <w:noProof/>
        </w:rPr>
        <w:t>SE</w:t>
      </w:r>
      <w:r>
        <w:rPr>
          <w:noProof/>
        </w:rPr>
        <w:t xml:space="preserve">: Ziemeļbriežu audzēšanas likums (1971:437), 1. iedaļa </w:t>
      </w:r>
    </w:p>
    <w:p w:rsidR="003E022D" w:rsidRDefault="007D19D6">
      <w:pPr>
        <w:rPr>
          <w:b/>
          <w:i/>
          <w:noProof/>
        </w:rPr>
      </w:pPr>
      <w:r>
        <w:rPr>
          <w:b/>
          <w:i/>
          <w:noProof/>
        </w:rPr>
        <w:t xml:space="preserve">b) </w:t>
      </w:r>
      <w:r>
        <w:rPr>
          <w:noProof/>
        </w:rPr>
        <w:tab/>
      </w:r>
      <w:r>
        <w:rPr>
          <w:b/>
          <w:i/>
          <w:noProof/>
        </w:rPr>
        <w:t xml:space="preserve">Zvejniecība un akvakultūra (ISIC 3.1. red. 050, 0501, 0502, CPC 882) </w:t>
      </w:r>
    </w:p>
    <w:p w:rsidR="003E022D" w:rsidRDefault="007D19D6">
      <w:pPr>
        <w:rPr>
          <w:noProof/>
          <w:u w:val="single"/>
        </w:rPr>
      </w:pPr>
      <w:r>
        <w:rPr>
          <w:noProof/>
          <w:u w:val="single"/>
        </w:rPr>
        <w:t xml:space="preserve">Attiecībā uz investīciju liberalizāciju – piekļuve tirgum, valsts režīms un pakalpojumu </w:t>
      </w:r>
      <w:r>
        <w:rPr>
          <w:noProof/>
          <w:u w:val="single"/>
        </w:rPr>
        <w:t xml:space="preserve">pārrobežu tirdzniecība –  piekļuve tirgum </w:t>
      </w:r>
    </w:p>
    <w:p w:rsidR="003E022D" w:rsidRDefault="007D19D6">
      <w:pPr>
        <w:rPr>
          <w:noProof/>
        </w:rPr>
      </w:pPr>
      <w:r>
        <w:rPr>
          <w:b/>
          <w:noProof/>
        </w:rPr>
        <w:t>FR</w:t>
      </w:r>
      <w:r>
        <w:rPr>
          <w:noProof/>
        </w:rPr>
        <w:t>: Francijas kuģim, kas kuģo ar Francijas karogu, var izdot zvejas atļauju vai var atļaut zvejot, pamatojoties uz valsts kvotām, tikai tad, ja tiek izveidota reāla ekonomiskā saikne Francijas teritorijā un ja kuģ</w:t>
      </w:r>
      <w:r>
        <w:rPr>
          <w:noProof/>
        </w:rPr>
        <w:t xml:space="preserve">a darbība tiek vadīta un kontrolēta no pastāvīgas uzņēmējdarbības vietas Francijas teritorijā (ISIC 3.1. red. 050, CPC 882). </w:t>
      </w:r>
    </w:p>
    <w:p w:rsidR="003E022D" w:rsidRDefault="007D19D6">
      <w:pPr>
        <w:rPr>
          <w:b/>
          <w:i/>
          <w:noProof/>
        </w:rPr>
      </w:pPr>
      <w:r>
        <w:rPr>
          <w:b/>
          <w:i/>
          <w:noProof/>
        </w:rPr>
        <w:t xml:space="preserve">Pasākumi </w:t>
      </w:r>
    </w:p>
    <w:p w:rsidR="003E022D" w:rsidRDefault="007D19D6">
      <w:pPr>
        <w:rPr>
          <w:i/>
          <w:noProof/>
        </w:rPr>
      </w:pPr>
      <w:r>
        <w:rPr>
          <w:i/>
          <w:noProof/>
        </w:rPr>
        <w:t>FR: Code rural et de la pêche maritime.</w:t>
      </w:r>
    </w:p>
    <w:p w:rsidR="003E022D" w:rsidRDefault="007D19D6">
      <w:pPr>
        <w:rPr>
          <w:b/>
          <w:i/>
          <w:noProof/>
        </w:rPr>
      </w:pPr>
      <w:r>
        <w:rPr>
          <w:b/>
          <w:i/>
          <w:noProof/>
        </w:rPr>
        <w:t>c</w:t>
      </w:r>
      <w:bookmarkStart w:id="1160" w:name="_Toc5371341"/>
      <w:r>
        <w:rPr>
          <w:b/>
          <w:i/>
          <w:noProof/>
        </w:rPr>
        <w:t>)</w:t>
      </w:r>
      <w:r>
        <w:rPr>
          <w:noProof/>
        </w:rPr>
        <w:tab/>
      </w:r>
      <w:bookmarkStart w:id="1161" w:name="_Toc452570657"/>
      <w:r>
        <w:rPr>
          <w:b/>
          <w:i/>
          <w:noProof/>
        </w:rPr>
        <w:t>Ražošana – izdevējdarbība, poligrāfija un ierakstu reproducēšana</w:t>
      </w:r>
      <w:bookmarkEnd w:id="1161"/>
      <w:r>
        <w:rPr>
          <w:b/>
          <w:i/>
          <w:noProof/>
        </w:rPr>
        <w:t xml:space="preserve"> (ISIC 3.1. r</w:t>
      </w:r>
      <w:r>
        <w:rPr>
          <w:b/>
          <w:i/>
          <w:noProof/>
        </w:rPr>
        <w:t>ed. 221, 222, 323, 324, CPC 88442)</w:t>
      </w:r>
      <w:bookmarkEnd w:id="1160"/>
      <w:r>
        <w:rPr>
          <w:b/>
          <w:i/>
          <w:noProof/>
        </w:rPr>
        <w:t xml:space="preserve"> </w:t>
      </w:r>
    </w:p>
    <w:p w:rsidR="003E022D" w:rsidRDefault="007D19D6">
      <w:pPr>
        <w:rPr>
          <w:noProof/>
          <w:u w:val="single"/>
        </w:rPr>
      </w:pPr>
      <w:r>
        <w:rPr>
          <w:noProof/>
          <w:u w:val="single"/>
        </w:rPr>
        <w:t xml:space="preserve">Attiecībā uz investīciju liberalizāciju – piekļuve tirgum, valsts režīms un pakalpojumu pārrobežu tirdzniecība – piekļuve tirgum, valsts režīms, klātbūtne uz vietas </w:t>
      </w:r>
    </w:p>
    <w:p w:rsidR="003E022D" w:rsidRDefault="007D19D6">
      <w:pPr>
        <w:rPr>
          <w:noProof/>
        </w:rPr>
      </w:pPr>
      <w:r>
        <w:rPr>
          <w:b/>
          <w:noProof/>
        </w:rPr>
        <w:t>LV</w:t>
      </w:r>
      <w:r>
        <w:rPr>
          <w:noProof/>
        </w:rPr>
        <w:t xml:space="preserve">: tiesības dibināt un izdot masu informācijas līdzekļus ir tikai Latvijā inkorporētām juridiskajām personām un Latvijas fiziskajām personām. Filiāles nav atļautas (CPC 88442). </w:t>
      </w:r>
    </w:p>
    <w:p w:rsidR="003E022D" w:rsidRDefault="007D19D6">
      <w:pPr>
        <w:rPr>
          <w:b/>
          <w:i/>
          <w:noProof/>
        </w:rPr>
      </w:pPr>
      <w:r>
        <w:rPr>
          <w:b/>
          <w:i/>
          <w:noProof/>
        </w:rPr>
        <w:t xml:space="preserve">Pasākumi </w:t>
      </w:r>
    </w:p>
    <w:p w:rsidR="003E022D" w:rsidRDefault="007D19D6">
      <w:pPr>
        <w:rPr>
          <w:i/>
          <w:noProof/>
        </w:rPr>
      </w:pPr>
      <w:r>
        <w:rPr>
          <w:b/>
          <w:i/>
          <w:noProof/>
        </w:rPr>
        <w:t>LV</w:t>
      </w:r>
      <w:r>
        <w:rPr>
          <w:i/>
          <w:noProof/>
        </w:rPr>
        <w:t xml:space="preserve">: Likums par presi un citiem masu informācijas līdzekļiem, 8. pants. </w:t>
      </w:r>
    </w:p>
    <w:p w:rsidR="003E022D" w:rsidRDefault="007D19D6">
      <w:pPr>
        <w:rPr>
          <w:noProof/>
          <w:u w:val="single"/>
        </w:rPr>
      </w:pPr>
      <w:r>
        <w:rPr>
          <w:noProof/>
          <w:u w:val="single"/>
        </w:rPr>
        <w:t xml:space="preserve">Attiecībā uz investīciju liberalizāciju – valsts režīms un pakalpojumu pārrobežu tirdzniecība – klātbūtne uz vietas </w:t>
      </w:r>
    </w:p>
    <w:p w:rsidR="003E022D" w:rsidRDefault="007D19D6">
      <w:pPr>
        <w:rPr>
          <w:noProof/>
        </w:rPr>
      </w:pPr>
      <w:r>
        <w:rPr>
          <w:b/>
          <w:noProof/>
        </w:rPr>
        <w:t>DE</w:t>
      </w:r>
      <w:r>
        <w:rPr>
          <w:noProof/>
        </w:rPr>
        <w:t xml:space="preserve"> (attiecas arī uz valdības reģionālo līmeni): katrā publiski izplat</w:t>
      </w:r>
      <w:r>
        <w:rPr>
          <w:noProof/>
        </w:rPr>
        <w:t xml:space="preserve">ītā vai drukātā laikrakstā, žurnālā vai periodiskajā izdevumā jābūt skaidri norādītam “atbildīgajam redaktoram” (fiziskas personas pilnam vārdam, uzvārdam un adresei). Var tikt noteikta prasība, ka atbildīgajam redaktoram jābūt Vācijas, Savienības vai EEZ </w:t>
      </w:r>
      <w:r>
        <w:rPr>
          <w:noProof/>
        </w:rPr>
        <w:t xml:space="preserve">dalībvalsts pastāvīgajam iedzīvotājam. Federālais iekšlietu ministrs var pieļaut izņēmumus (ISIC 3.1. red. 223, 224). </w:t>
      </w:r>
    </w:p>
    <w:p w:rsidR="003E022D" w:rsidRDefault="007D19D6">
      <w:pPr>
        <w:rPr>
          <w:b/>
          <w:i/>
          <w:noProof/>
        </w:rPr>
      </w:pPr>
      <w:r>
        <w:rPr>
          <w:b/>
          <w:i/>
          <w:noProof/>
        </w:rPr>
        <w:t xml:space="preserve">Pasākumi </w:t>
      </w:r>
    </w:p>
    <w:p w:rsidR="003E022D" w:rsidRDefault="007D19D6">
      <w:pPr>
        <w:rPr>
          <w:i/>
          <w:noProof/>
        </w:rPr>
      </w:pPr>
      <w:r>
        <w:rPr>
          <w:b/>
          <w:i/>
          <w:noProof/>
        </w:rPr>
        <w:t>DE</w:t>
      </w:r>
      <w:r>
        <w:rPr>
          <w:i/>
          <w:noProof/>
        </w:rPr>
        <w:t xml:space="preserve">: </w:t>
      </w:r>
    </w:p>
    <w:p w:rsidR="003E022D" w:rsidRDefault="007D19D6">
      <w:pPr>
        <w:rPr>
          <w:i/>
          <w:noProof/>
        </w:rPr>
      </w:pPr>
      <w:r>
        <w:rPr>
          <w:i/>
          <w:noProof/>
        </w:rPr>
        <w:t>Reģionālā līmenī:</w:t>
      </w:r>
    </w:p>
    <w:p w:rsidR="003E022D" w:rsidRDefault="007D19D6">
      <w:pPr>
        <w:rPr>
          <w:i/>
          <w:noProof/>
        </w:rPr>
      </w:pPr>
      <w:r>
        <w:rPr>
          <w:i/>
          <w:noProof/>
        </w:rPr>
        <w:t>Gesetz über die Presse Baden-Württemberg (LPG BW);</w:t>
      </w:r>
    </w:p>
    <w:p w:rsidR="003E022D" w:rsidRDefault="007D19D6">
      <w:pPr>
        <w:rPr>
          <w:i/>
          <w:noProof/>
        </w:rPr>
      </w:pPr>
      <w:r>
        <w:rPr>
          <w:i/>
          <w:noProof/>
        </w:rPr>
        <w:t>Bayerisches Pressegesetz (BayPrG);</w:t>
      </w:r>
    </w:p>
    <w:p w:rsidR="003E022D" w:rsidRDefault="007D19D6">
      <w:pPr>
        <w:rPr>
          <w:i/>
          <w:noProof/>
        </w:rPr>
      </w:pPr>
      <w:r>
        <w:rPr>
          <w:i/>
          <w:noProof/>
        </w:rPr>
        <w:t>Berliner Presseges</w:t>
      </w:r>
      <w:r>
        <w:rPr>
          <w:i/>
          <w:noProof/>
        </w:rPr>
        <w:t>etz (BlnPrG);</w:t>
      </w:r>
    </w:p>
    <w:p w:rsidR="003E022D" w:rsidRDefault="007D19D6">
      <w:pPr>
        <w:rPr>
          <w:i/>
          <w:noProof/>
        </w:rPr>
      </w:pPr>
      <w:r>
        <w:rPr>
          <w:i/>
          <w:noProof/>
        </w:rPr>
        <w:t>Brandenburgisches Landespressegesetz (BbgPG);</w:t>
      </w:r>
    </w:p>
    <w:p w:rsidR="003E022D" w:rsidRDefault="007D19D6">
      <w:pPr>
        <w:rPr>
          <w:i/>
          <w:noProof/>
        </w:rPr>
      </w:pPr>
      <w:r>
        <w:rPr>
          <w:i/>
          <w:noProof/>
        </w:rPr>
        <w:t>Gesetz über die Presse Bremen (BrPrG);</w:t>
      </w:r>
    </w:p>
    <w:p w:rsidR="003E022D" w:rsidRDefault="007D19D6">
      <w:pPr>
        <w:rPr>
          <w:i/>
          <w:noProof/>
        </w:rPr>
      </w:pPr>
      <w:r>
        <w:rPr>
          <w:i/>
          <w:noProof/>
        </w:rPr>
        <w:t>Hamburgisches Pressegesetz;</w:t>
      </w:r>
    </w:p>
    <w:p w:rsidR="003E022D" w:rsidRDefault="007D19D6">
      <w:pPr>
        <w:rPr>
          <w:i/>
          <w:noProof/>
        </w:rPr>
      </w:pPr>
      <w:r>
        <w:rPr>
          <w:i/>
          <w:noProof/>
        </w:rPr>
        <w:t>Hessisches Pressegesetz (HPresseG);</w:t>
      </w:r>
    </w:p>
    <w:p w:rsidR="003E022D" w:rsidRDefault="007D19D6">
      <w:pPr>
        <w:rPr>
          <w:i/>
          <w:noProof/>
        </w:rPr>
      </w:pPr>
      <w:r>
        <w:rPr>
          <w:i/>
          <w:noProof/>
        </w:rPr>
        <w:t>Landespressegesetz für das Land Mecklenburg-Vorpommern (LPrG M-V);</w:t>
      </w:r>
    </w:p>
    <w:p w:rsidR="003E022D" w:rsidRDefault="007D19D6">
      <w:pPr>
        <w:rPr>
          <w:i/>
          <w:noProof/>
        </w:rPr>
      </w:pPr>
      <w:r>
        <w:rPr>
          <w:i/>
          <w:noProof/>
        </w:rPr>
        <w:t>Niedersächsisches Pressege</w:t>
      </w:r>
      <w:r>
        <w:rPr>
          <w:i/>
          <w:noProof/>
        </w:rPr>
        <w:t>setz (NPresseG);</w:t>
      </w:r>
    </w:p>
    <w:p w:rsidR="003E022D" w:rsidRDefault="007D19D6">
      <w:pPr>
        <w:rPr>
          <w:i/>
          <w:noProof/>
        </w:rPr>
      </w:pPr>
      <w:r>
        <w:rPr>
          <w:i/>
          <w:noProof/>
        </w:rPr>
        <w:t>Pressegesetz für das Land Nordrhein-Westfalen (Landespressegesetz NRW);</w:t>
      </w:r>
    </w:p>
    <w:p w:rsidR="003E022D" w:rsidRDefault="007D19D6">
      <w:pPr>
        <w:rPr>
          <w:i/>
          <w:noProof/>
        </w:rPr>
      </w:pPr>
      <w:r>
        <w:rPr>
          <w:i/>
          <w:noProof/>
        </w:rPr>
        <w:t>Landesmediengesetz (LMG) Rheinland-Pfalz;</w:t>
      </w:r>
    </w:p>
    <w:p w:rsidR="003E022D" w:rsidRDefault="007D19D6">
      <w:pPr>
        <w:rPr>
          <w:i/>
          <w:noProof/>
        </w:rPr>
      </w:pPr>
      <w:r>
        <w:rPr>
          <w:i/>
          <w:noProof/>
        </w:rPr>
        <w:t>Saarländisches Mediengesetz (SMG);</w:t>
      </w:r>
    </w:p>
    <w:p w:rsidR="003E022D" w:rsidRDefault="007D19D6">
      <w:pPr>
        <w:rPr>
          <w:i/>
          <w:noProof/>
        </w:rPr>
      </w:pPr>
      <w:r>
        <w:rPr>
          <w:i/>
          <w:noProof/>
        </w:rPr>
        <w:t>Sächsisches Gesetz über die Presse (SächsPresseG);</w:t>
      </w:r>
    </w:p>
    <w:p w:rsidR="003E022D" w:rsidRDefault="007D19D6">
      <w:pPr>
        <w:rPr>
          <w:i/>
          <w:noProof/>
        </w:rPr>
      </w:pPr>
      <w:r>
        <w:rPr>
          <w:i/>
          <w:noProof/>
        </w:rPr>
        <w:t>Pressegesetz für das Land Sachsen-Anhal</w:t>
      </w:r>
      <w:r>
        <w:rPr>
          <w:i/>
          <w:noProof/>
        </w:rPr>
        <w:t>t (Landespressegesetz);</w:t>
      </w:r>
    </w:p>
    <w:p w:rsidR="003E022D" w:rsidRDefault="007D19D6">
      <w:pPr>
        <w:rPr>
          <w:i/>
          <w:noProof/>
        </w:rPr>
      </w:pPr>
      <w:r>
        <w:rPr>
          <w:i/>
          <w:noProof/>
        </w:rPr>
        <w:t>Gesetz über die Presse Schleswig-Holstein (PressG SH);</w:t>
      </w:r>
    </w:p>
    <w:p w:rsidR="003E022D" w:rsidRDefault="007D19D6">
      <w:pPr>
        <w:rPr>
          <w:i/>
          <w:noProof/>
        </w:rPr>
      </w:pPr>
      <w:r>
        <w:rPr>
          <w:i/>
          <w:noProof/>
        </w:rPr>
        <w:t>Thüringer Pressegesetz (TPG).</w:t>
      </w:r>
    </w:p>
    <w:p w:rsidR="003E022D" w:rsidRDefault="007D19D6">
      <w:pPr>
        <w:rPr>
          <w:noProof/>
          <w:u w:val="single"/>
        </w:rPr>
      </w:pPr>
      <w:r>
        <w:rPr>
          <w:noProof/>
          <w:u w:val="single"/>
        </w:rPr>
        <w:t xml:space="preserve">Attiecībā uz investīciju liberalizāciju – piekļuve tirgum, valsts režīms </w:t>
      </w:r>
    </w:p>
    <w:p w:rsidR="003E022D" w:rsidRDefault="007D19D6">
      <w:pPr>
        <w:rPr>
          <w:noProof/>
        </w:rPr>
      </w:pPr>
      <w:r>
        <w:rPr>
          <w:b/>
          <w:noProof/>
        </w:rPr>
        <w:t>IT</w:t>
      </w:r>
      <w:r>
        <w:rPr>
          <w:noProof/>
        </w:rPr>
        <w:t>: ja Apvienotā Karaliste ļauj Itālijas ieguldītājiem turēt īpašumā vair</w:t>
      </w:r>
      <w:r>
        <w:rPr>
          <w:noProof/>
        </w:rPr>
        <w:t>āk nekā 49 procentus kapitāla un balsstiesību Apvienotās Karalistes izdevējsabiedrībā, tad Itālija ļauj Apvienotās Karalistes ieguldītājiem turēt īpašumā vairāk nekā 49 procentus kapitāla un balsstiesību Itālijas izdevējsabiedrībā ar tādiem pašiem nosacīju</w:t>
      </w:r>
      <w:r>
        <w:rPr>
          <w:noProof/>
        </w:rPr>
        <w:t xml:space="preserve">miem (ISIC 3.1. red. 221, 222). </w:t>
      </w:r>
    </w:p>
    <w:p w:rsidR="003E022D" w:rsidRDefault="007D19D6">
      <w:pPr>
        <w:rPr>
          <w:b/>
          <w:i/>
          <w:noProof/>
        </w:rPr>
      </w:pPr>
      <w:r>
        <w:rPr>
          <w:b/>
          <w:i/>
          <w:noProof/>
        </w:rPr>
        <w:t xml:space="preserve">Pasākumi </w:t>
      </w:r>
    </w:p>
    <w:p w:rsidR="003E022D" w:rsidRDefault="007D19D6">
      <w:pPr>
        <w:rPr>
          <w:i/>
          <w:noProof/>
        </w:rPr>
      </w:pPr>
      <w:r>
        <w:rPr>
          <w:b/>
          <w:i/>
          <w:noProof/>
        </w:rPr>
        <w:t>IT</w:t>
      </w:r>
      <w:r>
        <w:rPr>
          <w:i/>
          <w:noProof/>
        </w:rPr>
        <w:t xml:space="preserve">: Likums 416/1981, 1. pants (un turpmākie grozījumi). </w:t>
      </w:r>
    </w:p>
    <w:p w:rsidR="003E022D" w:rsidRDefault="007D19D6">
      <w:pPr>
        <w:rPr>
          <w:noProof/>
          <w:u w:val="single"/>
        </w:rPr>
      </w:pPr>
      <w:r>
        <w:rPr>
          <w:noProof/>
          <w:u w:val="single"/>
        </w:rPr>
        <w:t xml:space="preserve">Attiecībā uz investīciju liberalizāciju – augstākā vadība un direktoru padomes </w:t>
      </w:r>
    </w:p>
    <w:p w:rsidR="003E022D" w:rsidRDefault="007D19D6">
      <w:pPr>
        <w:rPr>
          <w:noProof/>
        </w:rPr>
      </w:pPr>
      <w:r>
        <w:rPr>
          <w:b/>
          <w:noProof/>
        </w:rPr>
        <w:t>PL:</w:t>
      </w:r>
      <w:r>
        <w:rPr>
          <w:noProof/>
        </w:rPr>
        <w:t xml:space="preserve"> laikrakstu un žurnālu galvenajiem redaktoriem piemērota prasība par valstspiederību (ISIC 3.1. Red.  </w:t>
      </w:r>
    </w:p>
    <w:p w:rsidR="003E022D" w:rsidRDefault="007D19D6">
      <w:pPr>
        <w:rPr>
          <w:noProof/>
        </w:rPr>
      </w:pPr>
      <w:r>
        <w:rPr>
          <w:noProof/>
        </w:rPr>
        <w:t xml:space="preserve">221, 222). </w:t>
      </w:r>
    </w:p>
    <w:p w:rsidR="003E022D" w:rsidRDefault="007D19D6">
      <w:pPr>
        <w:rPr>
          <w:b/>
          <w:i/>
          <w:noProof/>
        </w:rPr>
      </w:pPr>
      <w:r>
        <w:rPr>
          <w:b/>
          <w:i/>
          <w:noProof/>
        </w:rPr>
        <w:t xml:space="preserve">Pasākumi </w:t>
      </w:r>
    </w:p>
    <w:p w:rsidR="003E022D" w:rsidRDefault="007D19D6">
      <w:pPr>
        <w:rPr>
          <w:i/>
          <w:noProof/>
        </w:rPr>
      </w:pPr>
      <w:r>
        <w:rPr>
          <w:b/>
          <w:i/>
          <w:noProof/>
        </w:rPr>
        <w:t>PL</w:t>
      </w:r>
      <w:r>
        <w:rPr>
          <w:i/>
          <w:noProof/>
        </w:rPr>
        <w:t xml:space="preserve">: 1984. gada 26. janvāra Likums par presi, Oficiālo publikāciju izdevums, Nr. 5, 24. poz., ar turpmākiem grozījumiem. </w:t>
      </w:r>
    </w:p>
    <w:p w:rsidR="003E022D" w:rsidRDefault="007D19D6">
      <w:pPr>
        <w:rPr>
          <w:noProof/>
          <w:u w:val="single"/>
        </w:rPr>
      </w:pPr>
      <w:r>
        <w:rPr>
          <w:noProof/>
          <w:u w:val="single"/>
        </w:rPr>
        <w:t xml:space="preserve">Attiecībā </w:t>
      </w:r>
      <w:r>
        <w:rPr>
          <w:noProof/>
          <w:u w:val="single"/>
        </w:rPr>
        <w:t xml:space="preserve">uz investīciju liberalizāciju – valsts režīms un pakalpojumu pārrobežu tirdzniecība – valsts režīms, klātbūtne uz vietas </w:t>
      </w:r>
    </w:p>
    <w:p w:rsidR="003E022D" w:rsidRDefault="007D19D6">
      <w:pPr>
        <w:rPr>
          <w:noProof/>
        </w:rPr>
      </w:pPr>
      <w:r>
        <w:rPr>
          <w:b/>
          <w:noProof/>
        </w:rPr>
        <w:t>SE</w:t>
      </w:r>
      <w:r>
        <w:rPr>
          <w:noProof/>
        </w:rPr>
        <w:t>: fiziskām personām, kas ir Zviedrijā iespiestu un publicētu periodisko izdevumu īpašnieki, jābūt Zviedrijas rezidentiem vai EEZ dal</w:t>
      </w:r>
      <w:r>
        <w:rPr>
          <w:noProof/>
        </w:rPr>
        <w:t>ībvalsts valstspiederīgajiem. Šādu periodisko izdevumu īpašniekiem, kuri ir juridiskas personas, jāveic uzņēmējdarbība EEZ. Zviedrijā iespiestiem un publicētiem periodiskajiem izdevumiem un tehniskajiem ierakstiem nepieciešams atbildīgais redaktors, kura d</w:t>
      </w:r>
      <w:r>
        <w:rPr>
          <w:noProof/>
        </w:rPr>
        <w:t xml:space="preserve">omicilam jābūt Zviedrijā (ISIC 3.1. red. 22, CPC 88442). </w:t>
      </w:r>
    </w:p>
    <w:p w:rsidR="003E022D" w:rsidRDefault="007D19D6">
      <w:pPr>
        <w:rPr>
          <w:b/>
          <w:i/>
          <w:noProof/>
        </w:rPr>
      </w:pPr>
      <w:r>
        <w:rPr>
          <w:b/>
          <w:i/>
          <w:noProof/>
        </w:rPr>
        <w:t xml:space="preserve">Pasākumi </w:t>
      </w:r>
    </w:p>
    <w:p w:rsidR="003E022D" w:rsidRDefault="007D19D6">
      <w:pPr>
        <w:rPr>
          <w:i/>
          <w:noProof/>
        </w:rPr>
      </w:pPr>
      <w:r>
        <w:rPr>
          <w:b/>
          <w:i/>
          <w:noProof/>
        </w:rPr>
        <w:t>SE</w:t>
      </w:r>
      <w:r>
        <w:rPr>
          <w:i/>
          <w:noProof/>
        </w:rPr>
        <w:t xml:space="preserve">: Preses brīvības likums (1949:105); </w:t>
      </w:r>
    </w:p>
    <w:p w:rsidR="003E022D" w:rsidRDefault="007D19D6">
      <w:pPr>
        <w:rPr>
          <w:i/>
          <w:noProof/>
        </w:rPr>
      </w:pPr>
      <w:r>
        <w:rPr>
          <w:i/>
          <w:noProof/>
        </w:rPr>
        <w:t xml:space="preserve">Pamatlikums par vārda brīvību (1991:1469) un </w:t>
      </w:r>
    </w:p>
    <w:p w:rsidR="003E022D" w:rsidRDefault="007D19D6">
      <w:pPr>
        <w:rPr>
          <w:i/>
          <w:noProof/>
        </w:rPr>
      </w:pPr>
      <w:r>
        <w:rPr>
          <w:i/>
          <w:noProof/>
        </w:rPr>
        <w:t xml:space="preserve">Likums par rīkojumiem attiecībā uz Preses brīvības likumu un Pamatlikumu par vārda brīvību (1991:1559).  </w:t>
      </w:r>
    </w:p>
    <w:p w:rsidR="003E022D" w:rsidRDefault="007D19D6">
      <w:pPr>
        <w:rPr>
          <w:noProof/>
        </w:rPr>
      </w:pPr>
      <w:r>
        <w:rPr>
          <w:noProof/>
        </w:rPr>
        <w:br w:type="page"/>
      </w:r>
    </w:p>
    <w:bookmarkEnd w:id="987"/>
    <w:bookmarkEnd w:id="988"/>
    <w:bookmarkEnd w:id="989"/>
    <w:bookmarkEnd w:id="990"/>
    <w:p w:rsidR="003E022D" w:rsidRDefault="007D19D6">
      <w:pPr>
        <w:rPr>
          <w:rFonts w:cstheme="minorHAnsi"/>
          <w:b/>
          <w:bCs/>
          <w:noProof/>
          <w:u w:val="single"/>
        </w:rPr>
      </w:pPr>
      <w:r>
        <w:rPr>
          <w:b/>
          <w:bCs/>
          <w:noProof/>
          <w:u w:val="single"/>
        </w:rPr>
        <w:t>Apvienotās Karalistes saraksts</w:t>
      </w:r>
    </w:p>
    <w:p w:rsidR="003E022D" w:rsidRDefault="007D19D6">
      <w:pPr>
        <w:rPr>
          <w:rFonts w:cstheme="minorHAnsi"/>
          <w:b/>
          <w:noProof/>
        </w:rPr>
      </w:pPr>
      <w:r>
        <w:rPr>
          <w:b/>
          <w:noProof/>
        </w:rPr>
        <w:t xml:space="preserve">1. atruna. Visas nozares </w:t>
      </w:r>
    </w:p>
    <w:p w:rsidR="003E022D" w:rsidRDefault="007D19D6">
      <w:pPr>
        <w:rPr>
          <w:rFonts w:cstheme="minorHAnsi"/>
          <w:b/>
          <w:noProof/>
        </w:rPr>
      </w:pPr>
      <w:r>
        <w:rPr>
          <w:b/>
          <w:noProof/>
        </w:rPr>
        <w:t xml:space="preserve">2. atruna. Profesionālie pakalpojumi  (visas profesijas, izņemot ar veselību saistītās) </w:t>
      </w:r>
    </w:p>
    <w:p w:rsidR="003E022D" w:rsidRDefault="007D19D6">
      <w:pPr>
        <w:rPr>
          <w:rFonts w:cstheme="minorHAnsi"/>
          <w:b/>
          <w:noProof/>
        </w:rPr>
      </w:pPr>
      <w:r>
        <w:rPr>
          <w:b/>
          <w:noProof/>
        </w:rPr>
        <w:t>3.</w:t>
      </w:r>
      <w:r>
        <w:rPr>
          <w:b/>
          <w:noProof/>
        </w:rPr>
        <w:t xml:space="preserve"> atruna. Profesionālie pakalpojumi (veterinārie pakalpojumi) </w:t>
      </w:r>
    </w:p>
    <w:p w:rsidR="003E022D" w:rsidRDefault="007D19D6">
      <w:pPr>
        <w:rPr>
          <w:rFonts w:cstheme="minorHAnsi"/>
          <w:b/>
          <w:noProof/>
        </w:rPr>
      </w:pPr>
      <w:r>
        <w:rPr>
          <w:b/>
          <w:noProof/>
        </w:rPr>
        <w:t xml:space="preserve">4. atruna. Pētniecības un izstrādes pakalpojumi </w:t>
      </w:r>
    </w:p>
    <w:p w:rsidR="003E022D" w:rsidRDefault="007D19D6">
      <w:pPr>
        <w:rPr>
          <w:rFonts w:cstheme="minorHAnsi"/>
          <w:b/>
          <w:noProof/>
        </w:rPr>
      </w:pPr>
      <w:r>
        <w:rPr>
          <w:b/>
          <w:noProof/>
        </w:rPr>
        <w:t xml:space="preserve">5. atruna. Darījumdarbības pakalpojumi </w:t>
      </w:r>
    </w:p>
    <w:p w:rsidR="003E022D" w:rsidRDefault="007D19D6">
      <w:pPr>
        <w:rPr>
          <w:rFonts w:cstheme="minorHAnsi"/>
          <w:b/>
          <w:noProof/>
        </w:rPr>
      </w:pPr>
      <w:r>
        <w:rPr>
          <w:b/>
          <w:noProof/>
        </w:rPr>
        <w:t xml:space="preserve">6. atruna. Sakaru pakalpojumi </w:t>
      </w:r>
    </w:p>
    <w:p w:rsidR="003E022D" w:rsidRDefault="007D19D6">
      <w:pPr>
        <w:rPr>
          <w:rFonts w:cstheme="minorHAnsi"/>
          <w:b/>
          <w:noProof/>
        </w:rPr>
      </w:pPr>
      <w:r>
        <w:rPr>
          <w:b/>
          <w:noProof/>
        </w:rPr>
        <w:t xml:space="preserve">7. atruna. Transporta pakalpojumi un transporta palīgpakalpojumi </w:t>
      </w:r>
    </w:p>
    <w:p w:rsidR="003E022D" w:rsidRDefault="007D19D6">
      <w:pPr>
        <w:rPr>
          <w:rFonts w:cstheme="minorHAnsi"/>
          <w:noProof/>
        </w:rPr>
      </w:pPr>
      <w:r>
        <w:rPr>
          <w:b/>
          <w:noProof/>
        </w:rPr>
        <w:t>8. atrun</w:t>
      </w:r>
      <w:r>
        <w:rPr>
          <w:b/>
          <w:noProof/>
        </w:rPr>
        <w:t xml:space="preserve">a. Ar enerģiju saistītas darbības </w:t>
      </w:r>
    </w:p>
    <w:p w:rsidR="003E022D" w:rsidRDefault="007D19D6">
      <w:pPr>
        <w:rPr>
          <w:rFonts w:eastAsia="Times New Roman" w:cstheme="minorHAnsi"/>
          <w:b/>
          <w:noProof/>
          <w:color w:val="070607"/>
        </w:rPr>
      </w:pPr>
      <w:r>
        <w:rPr>
          <w:noProof/>
        </w:rPr>
        <w:br w:type="page"/>
      </w:r>
    </w:p>
    <w:p w:rsidR="003E022D" w:rsidRDefault="007D19D6">
      <w:pPr>
        <w:rPr>
          <w:rFonts w:eastAsia="Times New Roman" w:cstheme="minorHAnsi"/>
          <w:b/>
          <w:noProof/>
          <w:color w:val="070607"/>
        </w:rPr>
      </w:pPr>
      <w:r>
        <w:rPr>
          <w:b/>
          <w:noProof/>
          <w:color w:val="070607"/>
        </w:rPr>
        <w:t>1. atruna. Visas nozares</w:t>
      </w:r>
    </w:p>
    <w:tbl>
      <w:tblPr>
        <w:tblStyle w:val="TableGrid0"/>
        <w:tblW w:w="0" w:type="auto"/>
        <w:tblCellMar>
          <w:left w:w="0" w:type="dxa"/>
        </w:tblCellMar>
        <w:tblLook w:val="04A0" w:firstRow="1" w:lastRow="0" w:firstColumn="1" w:lastColumn="0" w:noHBand="0" w:noVBand="1"/>
      </w:tblPr>
      <w:tblGrid>
        <w:gridCol w:w="2633"/>
        <w:gridCol w:w="6501"/>
      </w:tblGrid>
      <w:tr w:rsidR="003E022D">
        <w:tc>
          <w:tcPr>
            <w:tcW w:w="2660" w:type="dxa"/>
          </w:tcPr>
          <w:p w:rsidR="003E022D" w:rsidRDefault="007D19D6">
            <w:pPr>
              <w:spacing w:afterAutospacing="0"/>
              <w:rPr>
                <w:b/>
                <w:noProof/>
              </w:rPr>
            </w:pPr>
            <w:r>
              <w:rPr>
                <w:b/>
                <w:noProof/>
              </w:rPr>
              <w:t>Nozare:</w:t>
            </w:r>
          </w:p>
        </w:tc>
        <w:tc>
          <w:tcPr>
            <w:tcW w:w="6582" w:type="dxa"/>
          </w:tcPr>
          <w:p w:rsidR="003E022D" w:rsidRDefault="007D19D6">
            <w:pPr>
              <w:spacing w:afterAutospacing="0"/>
              <w:rPr>
                <w:b/>
                <w:i/>
                <w:noProof/>
              </w:rPr>
            </w:pPr>
            <w:r>
              <w:rPr>
                <w:b/>
                <w:i/>
                <w:noProof/>
              </w:rPr>
              <w:t>Visas nozares</w:t>
            </w:r>
          </w:p>
        </w:tc>
      </w:tr>
      <w:tr w:rsidR="003E022D">
        <w:tc>
          <w:tcPr>
            <w:tcW w:w="2660" w:type="dxa"/>
          </w:tcPr>
          <w:p w:rsidR="003E022D" w:rsidRDefault="007D19D6">
            <w:pPr>
              <w:rPr>
                <w:b/>
                <w:noProof/>
              </w:rPr>
            </w:pPr>
            <w:r>
              <w:rPr>
                <w:b/>
                <w:bCs/>
                <w:noProof/>
              </w:rPr>
              <w:t>Atrunas veids:</w:t>
            </w:r>
          </w:p>
        </w:tc>
        <w:tc>
          <w:tcPr>
            <w:tcW w:w="6582"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Veiktspējas prasības </w:t>
            </w:r>
            <w:r>
              <w:rPr>
                <w:noProof/>
              </w:rPr>
              <w:br/>
            </w:r>
          </w:p>
        </w:tc>
      </w:tr>
      <w:tr w:rsidR="003E022D">
        <w:tc>
          <w:tcPr>
            <w:tcW w:w="2660" w:type="dxa"/>
          </w:tcPr>
          <w:p w:rsidR="003E022D" w:rsidRDefault="007D19D6">
            <w:pPr>
              <w:spacing w:afterAutospacing="0"/>
              <w:rPr>
                <w:b/>
                <w:noProof/>
              </w:rPr>
            </w:pPr>
            <w:r>
              <w:rPr>
                <w:b/>
                <w:bCs/>
                <w:noProof/>
              </w:rPr>
              <w:t>Nodaļa:</w:t>
            </w:r>
          </w:p>
        </w:tc>
        <w:tc>
          <w:tcPr>
            <w:tcW w:w="6582" w:type="dxa"/>
          </w:tcPr>
          <w:p w:rsidR="003E022D" w:rsidRDefault="007D19D6">
            <w:pPr>
              <w:spacing w:afterAutospacing="0"/>
              <w:rPr>
                <w:noProof/>
              </w:rPr>
            </w:pPr>
            <w:r>
              <w:rPr>
                <w:noProof/>
              </w:rPr>
              <w:t xml:space="preserve">Investīciju liberalizācija </w:t>
            </w:r>
          </w:p>
        </w:tc>
      </w:tr>
      <w:tr w:rsidR="003E022D">
        <w:tc>
          <w:tcPr>
            <w:tcW w:w="2660" w:type="dxa"/>
          </w:tcPr>
          <w:p w:rsidR="003E022D" w:rsidRDefault="007D19D6">
            <w:pPr>
              <w:spacing w:afterAutospacing="0"/>
              <w:rPr>
                <w:b/>
                <w:bCs/>
                <w:noProof/>
              </w:rPr>
            </w:pPr>
            <w:r>
              <w:rPr>
                <w:b/>
                <w:bCs/>
                <w:noProof/>
              </w:rPr>
              <w:t>Valdības līmenis:</w:t>
            </w:r>
          </w:p>
        </w:tc>
        <w:tc>
          <w:tcPr>
            <w:tcW w:w="6582" w:type="dxa"/>
          </w:tcPr>
          <w:p w:rsidR="003E022D" w:rsidRDefault="007D19D6">
            <w:pPr>
              <w:spacing w:afterAutospacing="0"/>
              <w:rPr>
                <w:noProof/>
              </w:rPr>
            </w:pPr>
            <w:r>
              <w:rPr>
                <w:noProof/>
                <w:color w:val="070607"/>
              </w:rPr>
              <w:t>Centrālais un reģionālais (ja vien nav norādīts citādi)</w:t>
            </w:r>
          </w:p>
        </w:tc>
      </w:tr>
    </w:tbl>
    <w:p w:rsidR="003E022D" w:rsidRDefault="003E022D">
      <w:pPr>
        <w:rPr>
          <w:noProof/>
        </w:rPr>
      </w:pPr>
    </w:p>
    <w:p w:rsidR="003E022D" w:rsidRDefault="007D19D6">
      <w:pPr>
        <w:rPr>
          <w:rFonts w:eastAsia="Times New Roman" w:cstheme="minorHAnsi"/>
          <w:b/>
          <w:noProof/>
          <w:color w:val="070607"/>
        </w:rPr>
      </w:pPr>
      <w:r>
        <w:rPr>
          <w:b/>
          <w:noProof/>
          <w:color w:val="070607"/>
        </w:rPr>
        <w:t xml:space="preserve">Apraksts </w:t>
      </w:r>
    </w:p>
    <w:p w:rsidR="003E022D" w:rsidRDefault="007D19D6">
      <w:pPr>
        <w:rPr>
          <w:rFonts w:cstheme="minorHAnsi"/>
          <w:noProof/>
          <w:color w:val="000000"/>
          <w:u w:val="single"/>
        </w:rPr>
      </w:pPr>
      <w:r>
        <w:rPr>
          <w:noProof/>
          <w:u w:val="single"/>
        </w:rPr>
        <w:t xml:space="preserve">Attiecībā uz investīciju liberalizāciju –  </w:t>
      </w:r>
      <w:r>
        <w:rPr>
          <w:noProof/>
          <w:color w:val="000000"/>
          <w:u w:val="single"/>
        </w:rPr>
        <w:t>veiktspējas prasības</w:t>
      </w:r>
    </w:p>
    <w:p w:rsidR="003E022D" w:rsidRDefault="007D19D6">
      <w:pPr>
        <w:rPr>
          <w:rFonts w:cstheme="minorHAnsi"/>
          <w:noProof/>
          <w:color w:val="000000"/>
        </w:rPr>
      </w:pPr>
      <w:r>
        <w:rPr>
          <w:noProof/>
        </w:rPr>
        <w:t xml:space="preserve">Apvienotā Karaliste var izpildīt saistības vai apņemšanās, kas uzņemtas saskaņā ar noteikumiem, kuri reglamentē apņemšanās, </w:t>
      </w:r>
      <w:r>
        <w:rPr>
          <w:noProof/>
        </w:rPr>
        <w:t xml:space="preserve">kas uzņemtas </w:t>
      </w:r>
      <w:r>
        <w:rPr>
          <w:i/>
          <w:noProof/>
        </w:rPr>
        <w:t>City Code on Takeovers and Mergers</w:t>
      </w:r>
      <w:r>
        <w:rPr>
          <w:noProof/>
        </w:rPr>
        <w:t xml:space="preserve"> (Sitijas kodeksā par pārņemšanu un apvienošanos) pēc izteiktā piedāvājuma, vai kas uzņemtas saskaņā ar </w:t>
      </w:r>
      <w:r>
        <w:rPr>
          <w:i/>
          <w:noProof/>
        </w:rPr>
        <w:t>Deeds of Undertaking</w:t>
      </w:r>
      <w:r>
        <w:rPr>
          <w:noProof/>
        </w:rPr>
        <w:t xml:space="preserve"> (apņemšanās akti) saistībā ar pārņemšanu vai apvienošanos, ja saistības vai apņemšan</w:t>
      </w:r>
      <w:r>
        <w:rPr>
          <w:noProof/>
        </w:rPr>
        <w:t>ās nav noteiktas vai prasītas kā nosacījums pārņemšanas vai apvienošanās apstiprināšanai.</w:t>
      </w:r>
    </w:p>
    <w:p w:rsidR="003E022D" w:rsidRDefault="007D19D6">
      <w:pPr>
        <w:rPr>
          <w:rFonts w:cstheme="minorHAnsi"/>
          <w:b/>
          <w:i/>
          <w:iCs/>
          <w:noProof/>
          <w:color w:val="000000"/>
        </w:rPr>
      </w:pPr>
      <w:r>
        <w:rPr>
          <w:b/>
          <w:i/>
          <w:iCs/>
          <w:noProof/>
          <w:color w:val="000000"/>
        </w:rPr>
        <w:t>Pasākumi</w:t>
      </w:r>
    </w:p>
    <w:p w:rsidR="003E022D" w:rsidRDefault="007D19D6">
      <w:pPr>
        <w:rPr>
          <w:rFonts w:cstheme="minorHAnsi"/>
          <w:noProof/>
          <w:color w:val="000000"/>
        </w:rPr>
      </w:pPr>
      <w:r>
        <w:rPr>
          <w:i/>
          <w:noProof/>
          <w:color w:val="000000"/>
        </w:rPr>
        <w:t>The City Code on Takeovers and Mergers</w:t>
      </w:r>
      <w:r>
        <w:rPr>
          <w:noProof/>
          <w:color w:val="000000"/>
        </w:rPr>
        <w:t xml:space="preserve"> (Sitijas kodekss par pārņemšanu un apvienošanos).</w:t>
      </w:r>
    </w:p>
    <w:p w:rsidR="003E022D" w:rsidRDefault="007D19D6">
      <w:pPr>
        <w:rPr>
          <w:rFonts w:cstheme="minorHAnsi"/>
          <w:noProof/>
          <w:color w:val="000000"/>
        </w:rPr>
      </w:pPr>
      <w:r>
        <w:rPr>
          <w:i/>
          <w:noProof/>
          <w:color w:val="000000"/>
        </w:rPr>
        <w:t>Companies Act 2006</w:t>
      </w:r>
      <w:r>
        <w:rPr>
          <w:noProof/>
          <w:color w:val="000000"/>
        </w:rPr>
        <w:t xml:space="preserve"> (2006. gada Sabiedrību likums). </w:t>
      </w:r>
    </w:p>
    <w:p w:rsidR="003E022D" w:rsidRDefault="007D19D6">
      <w:pPr>
        <w:rPr>
          <w:rFonts w:eastAsia="Times New Roman" w:cstheme="minorHAnsi"/>
          <w:noProof/>
        </w:rPr>
      </w:pPr>
      <w:r>
        <w:rPr>
          <w:i/>
          <w:noProof/>
        </w:rPr>
        <w:t xml:space="preserve">Law of Property </w:t>
      </w:r>
      <w:r>
        <w:rPr>
          <w:i/>
          <w:noProof/>
        </w:rPr>
        <w:t>(Likums par īpašumu) Act 1989 (dažādi noteikumi)</w:t>
      </w:r>
      <w:r>
        <w:rPr>
          <w:noProof/>
        </w:rPr>
        <w:t xml:space="preserve"> attiecībā uz apņemšanos aktu izpildi saistībā ar pārņemšanu vai apvienošanos.</w:t>
      </w:r>
    </w:p>
    <w:p w:rsidR="003E022D" w:rsidRDefault="007D19D6">
      <w:pPr>
        <w:rPr>
          <w:rFonts w:cstheme="minorHAnsi"/>
          <w:noProof/>
          <w:u w:val="single"/>
        </w:rPr>
      </w:pPr>
      <w:r>
        <w:rPr>
          <w:noProof/>
          <w:u w:val="single"/>
        </w:rPr>
        <w:t>Attiecībā uz investīciju liberalizāciju – piekļuve tirgum, valsts režīms, augstākā vadība un direktoru padomes</w:t>
      </w:r>
    </w:p>
    <w:p w:rsidR="003E022D" w:rsidRDefault="007D19D6">
      <w:pPr>
        <w:rPr>
          <w:rFonts w:eastAsia="Times New Roman" w:cstheme="minorHAnsi"/>
          <w:noProof/>
          <w:color w:val="070607"/>
        </w:rPr>
      </w:pPr>
      <w:r>
        <w:rPr>
          <w:noProof/>
          <w:color w:val="070607"/>
        </w:rPr>
        <w:t>Šī atruna attiecas</w:t>
      </w:r>
      <w:r>
        <w:rPr>
          <w:noProof/>
          <w:color w:val="070607"/>
        </w:rPr>
        <w:t xml:space="preserve"> tikai uz veselības, sociālajiem vai izglītības pakalpojumiem.</w:t>
      </w:r>
    </w:p>
    <w:p w:rsidR="003E022D" w:rsidRDefault="007D19D6">
      <w:pPr>
        <w:rPr>
          <w:rFonts w:eastAsia="Times New Roman" w:cstheme="minorHAnsi"/>
          <w:noProof/>
          <w:color w:val="070607"/>
        </w:rPr>
      </w:pPr>
      <w:r>
        <w:rPr>
          <w:noProof/>
        </w:rPr>
        <w:t xml:space="preserve">Attiecībā uz investoriem no Savienības vai to uzņēmumiem Apvienotā Karaliste, pārdodot vai izmantojot pašu kapitāla daļas vai aktīvus esošā valsts uzņēmumā vai esošā valdības struktūrā, kas </w:t>
      </w:r>
      <w:r>
        <w:rPr>
          <w:noProof/>
        </w:rPr>
        <w:t>sniedz veselības, sociālos vai izglītības pakalpojumus (CPC 93, 92), var noteikt aizliegumus vai ierobežojumus attiecībā uz šādu daļu vai aktīvu turēšanu īpašumā un šādu daļu un aktīvu īpašnieku spēju kontrolēt jebkādu rezultātā izveidoto uzņēmumu.</w:t>
      </w:r>
      <w:r>
        <w:rPr>
          <w:noProof/>
          <w:color w:val="070607"/>
        </w:rPr>
        <w:t xml:space="preserve"> Attiecī</w:t>
      </w:r>
      <w:r>
        <w:rPr>
          <w:noProof/>
          <w:color w:val="070607"/>
        </w:rPr>
        <w:t xml:space="preserve">bā uz šādu pārdošanu vai cita veida izmantošanu Apvienotā Karaliste var pieņemt vai atstāt spēkā pasākumus saistībā ar augstākās vadības vai direktoru padomju locekļu valstspiederību, kā arī pasākumus, kas ierobežo pakalpojumu sniedzēju skaitu. </w:t>
      </w:r>
    </w:p>
    <w:p w:rsidR="003E022D" w:rsidRDefault="007D19D6">
      <w:pPr>
        <w:rPr>
          <w:rFonts w:eastAsia="Times New Roman" w:cstheme="minorHAnsi"/>
          <w:noProof/>
          <w:color w:val="070607"/>
        </w:rPr>
      </w:pPr>
      <w:r>
        <w:rPr>
          <w:noProof/>
          <w:color w:val="070607"/>
        </w:rPr>
        <w:t>Šajā atrun</w:t>
      </w:r>
      <w:r>
        <w:rPr>
          <w:noProof/>
          <w:color w:val="070607"/>
        </w:rPr>
        <w:t xml:space="preserve">ā: </w:t>
      </w:r>
    </w:p>
    <w:p w:rsidR="003E022D" w:rsidRDefault="007D19D6">
      <w:pPr>
        <w:numPr>
          <w:ilvl w:val="0"/>
          <w:numId w:val="788"/>
        </w:numPr>
        <w:spacing w:after="160" w:line="259" w:lineRule="auto"/>
        <w:ind w:left="1298" w:hanging="720"/>
        <w:rPr>
          <w:rFonts w:eastAsia="Times New Roman" w:cstheme="minorHAnsi"/>
          <w:noProof/>
          <w:color w:val="070607"/>
        </w:rPr>
      </w:pPr>
      <w:r>
        <w:rPr>
          <w:noProof/>
          <w:color w:val="070607"/>
        </w:rPr>
        <w:t>ikvienu pasākumu, kuru atstāj spēkā vai pieņem pēc šā nolīguma spēkā stāšanās dienas un kurā minētās pārdošanas vai cita veida izmantošanas brīdī ir noteikts aizliegums vai ierobežojumi attiecībā uz pašu kapitāla daļu vai aktīvu turēšanu īpašumā vai no</w:t>
      </w:r>
      <w:r>
        <w:rPr>
          <w:noProof/>
          <w:color w:val="070607"/>
        </w:rPr>
        <w:t xml:space="preserve">teiktas prasības attiecībā uz valstspiederību, vai noteikti ierobežojumi attiecībā uz šajā atrunā aprakstīto pakalpojumu sniedzēju skaitu, uzskata par esošu pasākumu un </w:t>
      </w:r>
    </w:p>
    <w:p w:rsidR="003E022D" w:rsidRDefault="007D19D6">
      <w:pPr>
        <w:numPr>
          <w:ilvl w:val="0"/>
          <w:numId w:val="788"/>
        </w:numPr>
        <w:spacing w:after="160" w:line="259" w:lineRule="auto"/>
        <w:ind w:left="1298" w:hanging="720"/>
        <w:rPr>
          <w:rFonts w:eastAsia="Times New Roman" w:cstheme="minorHAnsi"/>
          <w:noProof/>
          <w:color w:val="070607"/>
        </w:rPr>
      </w:pPr>
      <w:r>
        <w:rPr>
          <w:noProof/>
          <w:color w:val="070607"/>
        </w:rPr>
        <w:t>“valsts uzņēmums” ir uzņēmums, kas pieder Apvienotajai Karalistei ar līdzdalības starp</w:t>
      </w:r>
      <w:r>
        <w:rPr>
          <w:noProof/>
          <w:color w:val="070607"/>
        </w:rPr>
        <w:t xml:space="preserve">niecību vai ko tā kontrolē ar līdzdalības starpniecību, un ietver uzņēmumu, kas izveidots pēc šā nolīguma spēkā stāšanās nolūkā vienīgi pārdot vai izmantot pašu kapitāla daļas vai aktīvus esošā valsts uzņēmumā vai valdības struktūrā. </w:t>
      </w:r>
    </w:p>
    <w:p w:rsidR="003E022D" w:rsidRDefault="007D19D6">
      <w:pPr>
        <w:rPr>
          <w:rFonts w:eastAsia="Times New Roman" w:cstheme="minorHAnsi"/>
          <w:b/>
          <w:i/>
          <w:iCs/>
          <w:noProof/>
          <w:color w:val="070607"/>
        </w:rPr>
      </w:pPr>
      <w:r>
        <w:rPr>
          <w:b/>
          <w:i/>
          <w:iCs/>
          <w:noProof/>
          <w:color w:val="070607"/>
        </w:rPr>
        <w:t xml:space="preserve">Pasākumi </w:t>
      </w:r>
    </w:p>
    <w:p w:rsidR="003E022D" w:rsidRDefault="007D19D6">
      <w:pPr>
        <w:rPr>
          <w:rFonts w:cstheme="minorHAnsi"/>
          <w:b/>
          <w:noProof/>
          <w:color w:val="000000"/>
        </w:rPr>
      </w:pPr>
      <w:r>
        <w:rPr>
          <w:noProof/>
          <w:color w:val="070607"/>
        </w:rPr>
        <w:t xml:space="preserve">Izklāstīti </w:t>
      </w:r>
      <w:r>
        <w:rPr>
          <w:noProof/>
          <w:color w:val="070607"/>
        </w:rPr>
        <w:t>daļā “Apraksts” iepriekš.</w:t>
      </w:r>
    </w:p>
    <w:p w:rsidR="003E022D" w:rsidRDefault="007D19D6">
      <w:pPr>
        <w:rPr>
          <w:rFonts w:cstheme="minorHAnsi"/>
          <w:b/>
          <w:noProof/>
        </w:rPr>
      </w:pPr>
      <w:r>
        <w:rPr>
          <w:noProof/>
        </w:rPr>
        <w:br w:type="page"/>
      </w:r>
    </w:p>
    <w:p w:rsidR="003E022D" w:rsidRDefault="007D19D6">
      <w:pPr>
        <w:rPr>
          <w:rFonts w:cstheme="minorHAnsi"/>
          <w:b/>
          <w:noProof/>
        </w:rPr>
      </w:pPr>
      <w:r>
        <w:rPr>
          <w:b/>
          <w:noProof/>
        </w:rPr>
        <w:t>2. atruna. Profesionālie pakalpojumi (visas profesijas, izņemot ar veselību saistītās)</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rPr>
                <w:noProof/>
              </w:rPr>
            </w:pPr>
            <w:r>
              <w:rPr>
                <w:noProof/>
              </w:rPr>
              <w:t>Profesionālie pakalpojumi — juridiskie pakalpojumi, revīzijas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rPr>
                <w:noProof/>
              </w:rPr>
            </w:pPr>
            <w:r>
              <w:rPr>
                <w:noProof/>
              </w:rPr>
              <w:t xml:space="preserve">daļa no CPC 861, CPC </w:t>
            </w:r>
            <w:r>
              <w:rPr>
                <w:noProof/>
              </w:rPr>
              <w:t>862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rPr>
                <w:noProof/>
              </w:rPr>
            </w:pPr>
            <w:r>
              <w:rPr>
                <w:noProof/>
              </w:rPr>
              <w:t>Investīciju liberalizācija un pakalpojumu pārrobežu tirdzniecība</w:t>
            </w:r>
          </w:p>
        </w:tc>
      </w:tr>
      <w:tr w:rsidR="003E022D">
        <w:tc>
          <w:tcPr>
            <w:tcW w:w="2619" w:type="dxa"/>
          </w:tcPr>
          <w:p w:rsidR="003E022D" w:rsidRDefault="007D19D6">
            <w:pPr>
              <w:spacing w:afterAutospacing="0"/>
              <w:rPr>
                <w:b/>
                <w:bCs/>
                <w:noProof/>
              </w:rPr>
            </w:pPr>
            <w:r>
              <w:rPr>
                <w:b/>
                <w:bCs/>
                <w:noProof/>
              </w:rPr>
              <w:t>Valdības līmenis:</w:t>
            </w:r>
          </w:p>
        </w:tc>
        <w:tc>
          <w:tcPr>
            <w:tcW w:w="6407" w:type="dxa"/>
          </w:tcPr>
          <w:p w:rsidR="003E022D" w:rsidRDefault="007D19D6">
            <w:pPr>
              <w:spacing w:afterAutospacing="0"/>
              <w:rPr>
                <w:noProof/>
              </w:rPr>
            </w:pPr>
            <w:r>
              <w:rPr>
                <w:noProof/>
              </w:rPr>
              <w:t>Centrālais un reģionālais (ja vien nav norādīts citādi)</w:t>
            </w:r>
          </w:p>
        </w:tc>
      </w:tr>
    </w:tbl>
    <w:p w:rsidR="003E022D" w:rsidRDefault="003E022D">
      <w:pPr>
        <w:rPr>
          <w:noProof/>
        </w:rPr>
      </w:pPr>
    </w:p>
    <w:p w:rsidR="003E022D" w:rsidRDefault="007D19D6">
      <w:pPr>
        <w:rPr>
          <w:rFonts w:cstheme="minorHAnsi"/>
          <w:b/>
          <w:noProof/>
        </w:rPr>
      </w:pPr>
      <w:r>
        <w:rPr>
          <w:b/>
          <w:noProof/>
        </w:rPr>
        <w:t xml:space="preserve">Apraksts </w:t>
      </w:r>
    </w:p>
    <w:p w:rsidR="003E022D" w:rsidRDefault="007D19D6">
      <w:pPr>
        <w:pStyle w:val="ListParagraph"/>
        <w:numPr>
          <w:ilvl w:val="0"/>
          <w:numId w:val="789"/>
        </w:numPr>
        <w:spacing w:after="160" w:line="259" w:lineRule="auto"/>
        <w:rPr>
          <w:rFonts w:cstheme="minorHAnsi"/>
          <w:b/>
          <w:noProof/>
        </w:rPr>
      </w:pPr>
      <w:r>
        <w:rPr>
          <w:b/>
          <w:noProof/>
        </w:rPr>
        <w:t xml:space="preserve">Juridiskie pakalpojumi (daļa no CPC 861) </w:t>
      </w:r>
    </w:p>
    <w:p w:rsidR="003E022D" w:rsidRDefault="007D19D6">
      <w:pPr>
        <w:rPr>
          <w:rFonts w:cstheme="minorHAnsi"/>
          <w:noProof/>
        </w:rPr>
      </w:pPr>
      <w:r>
        <w:rPr>
          <w:noProof/>
        </w:rPr>
        <w:t>Lai sniegtu noteiktus juridiskus pakalpojumus, var būt nepieciešams saņemt atļauju vai licenci no kompetentās iestādes vai izpildīt reģistrācijas prasības. Ciktāl prasības attiecībā uz atļaujas vai licences saņemša</w:t>
      </w:r>
      <w:r>
        <w:rPr>
          <w:noProof/>
        </w:rPr>
        <w:t>nu vai reģistrāciju nav diskriminējošas un atbilst SERVIN. 5.49. pantā noteiktajām, tās nav uzskaitītas. Tās var ietvert, piemēram, prasību par to, ka jābūt iegūtai noteiktai kvalifikācijai, jābūt pabeigtam atzītam apmācības periodam vai ka dalības brīdī j</w:t>
      </w:r>
      <w:r>
        <w:rPr>
          <w:noProof/>
        </w:rPr>
        <w:t>ābūt birojam vai pasta adresei kompetentās iestādes jurisdikcijā.</w:t>
      </w:r>
    </w:p>
    <w:p w:rsidR="003E022D" w:rsidRDefault="007D19D6">
      <w:pPr>
        <w:rPr>
          <w:rFonts w:cstheme="minorHAnsi"/>
          <w:noProof/>
          <w:u w:val="single"/>
        </w:rPr>
      </w:pPr>
      <w:r>
        <w:rPr>
          <w:noProof/>
          <w:u w:val="single"/>
        </w:rPr>
        <w:t xml:space="preserve">Attiecībā uz investīciju liberalizāciju – piekļuve tirgum, valsts režīms un pakalpojumu pārrobežu tirdzniecība – piekļuve tirgum, </w:t>
      </w:r>
      <w:r>
        <w:rPr>
          <w:noProof/>
          <w:color w:val="070607"/>
          <w:u w:val="single"/>
        </w:rPr>
        <w:t>klātbūtne uz vietas</w:t>
      </w:r>
      <w:r>
        <w:rPr>
          <w:noProof/>
          <w:u w:val="single"/>
        </w:rPr>
        <w:t xml:space="preserve">, valsts režīms </w:t>
      </w:r>
    </w:p>
    <w:p w:rsidR="003E022D" w:rsidRDefault="007D19D6">
      <w:pPr>
        <w:rPr>
          <w:rFonts w:cstheme="minorHAnsi"/>
          <w:noProof/>
        </w:rPr>
      </w:pPr>
      <w:r>
        <w:rPr>
          <w:noProof/>
        </w:rPr>
        <w:t>Attiecībā uz dažu Apvien</w:t>
      </w:r>
      <w:r>
        <w:rPr>
          <w:noProof/>
        </w:rPr>
        <w:t xml:space="preserve">otās Karalistes iekšzemes juridisko pakalpojumu sniegšanu attiecīgā profesionālā vai regulatīvā iestāde var noteikt prasību par dzīvesvietu (komerciāla klātbūtne). Piemēro nediskriminējošas prasības attiecībā uz juridisko formu. </w:t>
      </w:r>
    </w:p>
    <w:p w:rsidR="003E022D" w:rsidRDefault="007D19D6">
      <w:pPr>
        <w:rPr>
          <w:rFonts w:cstheme="minorHAnsi"/>
          <w:noProof/>
        </w:rPr>
      </w:pPr>
      <w:r>
        <w:rPr>
          <w:noProof/>
        </w:rPr>
        <w:t>Attiecībā uz dažu Apvienot</w:t>
      </w:r>
      <w:r>
        <w:rPr>
          <w:noProof/>
        </w:rPr>
        <w:t>ās Karalistes iekšzemes ar imigrāciju saistītu juridisko pakalpojumu sniegšanu attiecīgā profesionālā vai regulējuma struktūra var noteikt prasību par dzīvesvietu.</w:t>
      </w:r>
    </w:p>
    <w:p w:rsidR="003E022D" w:rsidRDefault="007D19D6">
      <w:pPr>
        <w:rPr>
          <w:rFonts w:cstheme="minorHAnsi"/>
          <w:b/>
          <w:i/>
          <w:iCs/>
          <w:noProof/>
        </w:rPr>
      </w:pPr>
      <w:r>
        <w:rPr>
          <w:b/>
          <w:i/>
          <w:iCs/>
          <w:noProof/>
        </w:rPr>
        <w:t xml:space="preserve">Pasākumi </w:t>
      </w:r>
    </w:p>
    <w:p w:rsidR="003E022D" w:rsidRDefault="007D19D6">
      <w:pPr>
        <w:rPr>
          <w:rFonts w:cstheme="minorHAnsi"/>
          <w:noProof/>
        </w:rPr>
      </w:pPr>
      <w:r>
        <w:rPr>
          <w:noProof/>
        </w:rPr>
        <w:t xml:space="preserve">Attiecībā uz Angliju un Velsu — </w:t>
      </w:r>
      <w:r>
        <w:rPr>
          <w:i/>
          <w:noProof/>
        </w:rPr>
        <w:t>the Solicitors Act 1974, the Administration of Jus</w:t>
      </w:r>
      <w:r>
        <w:rPr>
          <w:i/>
          <w:noProof/>
        </w:rPr>
        <w:t>tice Act 1985</w:t>
      </w:r>
      <w:r>
        <w:rPr>
          <w:noProof/>
        </w:rPr>
        <w:t xml:space="preserve"> un </w:t>
      </w:r>
      <w:r>
        <w:rPr>
          <w:i/>
          <w:noProof/>
        </w:rPr>
        <w:t>the Legal Services Act 2007</w:t>
      </w:r>
      <w:r>
        <w:rPr>
          <w:noProof/>
        </w:rPr>
        <w:t xml:space="preserve">. Attiecībā uz Skotiju — </w:t>
      </w:r>
      <w:r>
        <w:rPr>
          <w:i/>
          <w:noProof/>
        </w:rPr>
        <w:t>Solicitors (Scotland) Act 1980</w:t>
      </w:r>
      <w:r>
        <w:rPr>
          <w:noProof/>
        </w:rPr>
        <w:t xml:space="preserve"> un</w:t>
      </w:r>
      <w:r>
        <w:rPr>
          <w:i/>
          <w:noProof/>
        </w:rPr>
        <w:t xml:space="preserve"> the Legal Services (Scotland) Act 2010.</w:t>
      </w:r>
      <w:r>
        <w:rPr>
          <w:noProof/>
        </w:rPr>
        <w:t xml:space="preserve"> Attiecībā uz Ziemeļīriju — </w:t>
      </w:r>
      <w:r>
        <w:rPr>
          <w:i/>
          <w:noProof/>
        </w:rPr>
        <w:t>the Solicitors (Northern Ireland) Order 1976</w:t>
      </w:r>
      <w:r>
        <w:rPr>
          <w:noProof/>
        </w:rPr>
        <w:t>. Attiecībā uz visām jurisdikcijām – 1999.</w:t>
      </w:r>
      <w:r>
        <w:rPr>
          <w:noProof/>
        </w:rPr>
        <w:t xml:space="preserve"> gada Imigrācijas un patvēruma likums. Turklāt katrā jurisdikcijā piemērojamie pasākumi ietver prasības, ko noteikušas profesionālās un regulējuma struktūras. </w:t>
      </w:r>
    </w:p>
    <w:p w:rsidR="003E022D" w:rsidRDefault="007D19D6">
      <w:pPr>
        <w:pStyle w:val="ListParagraph"/>
        <w:numPr>
          <w:ilvl w:val="0"/>
          <w:numId w:val="789"/>
        </w:numPr>
        <w:spacing w:after="160" w:line="259" w:lineRule="auto"/>
        <w:ind w:left="0" w:firstLine="0"/>
        <w:rPr>
          <w:rFonts w:cstheme="minorHAnsi"/>
          <w:b/>
          <w:noProof/>
        </w:rPr>
      </w:pPr>
      <w:r>
        <w:rPr>
          <w:b/>
          <w:noProof/>
        </w:rPr>
        <w:t xml:space="preserve">Revīzijas pakalpojumi (CPC 86211, 86212, izņemot grāmatvedības un uzskaites pakalpojumus) </w:t>
      </w:r>
    </w:p>
    <w:p w:rsidR="003E022D" w:rsidRDefault="007D19D6">
      <w:pPr>
        <w:rPr>
          <w:rFonts w:cstheme="minorHAnsi"/>
          <w:noProof/>
          <w:u w:val="single"/>
        </w:rPr>
      </w:pPr>
      <w:r>
        <w:rPr>
          <w:noProof/>
          <w:u w:val="single"/>
        </w:rPr>
        <w:t>Attie</w:t>
      </w:r>
      <w:r>
        <w:rPr>
          <w:noProof/>
          <w:u w:val="single"/>
        </w:rPr>
        <w:t xml:space="preserve">cībā uz investīciju liberalizāciju – valsts režīms un pakalpojumu pārrobežu tirdzniecība – valsts režīms </w:t>
      </w:r>
    </w:p>
    <w:p w:rsidR="003E022D" w:rsidRDefault="007D19D6">
      <w:pPr>
        <w:rPr>
          <w:rFonts w:cstheme="minorHAnsi"/>
          <w:noProof/>
        </w:rPr>
      </w:pPr>
      <w:r>
        <w:rPr>
          <w:noProof/>
        </w:rPr>
        <w:t>Apvienotās Karalistes kompetentās iestādes var atzīt tāda revidenta kvalifikāciju līdzvērtīgumu, kurš ir Savienības vai kādas trešās valsts valstspied</w:t>
      </w:r>
      <w:r>
        <w:rPr>
          <w:noProof/>
        </w:rPr>
        <w:t xml:space="preserve">erīgais, lai ļautu revidentam pildīt obligātā revidenta funkcijas Apvienotajā Karalistē, pamatojoties uz savstarpību (CPC 8621). </w:t>
      </w:r>
    </w:p>
    <w:p w:rsidR="003E022D" w:rsidRDefault="007D19D6">
      <w:pPr>
        <w:rPr>
          <w:rFonts w:cstheme="minorHAnsi"/>
          <w:b/>
          <w:i/>
          <w:iCs/>
          <w:noProof/>
        </w:rPr>
      </w:pPr>
      <w:r>
        <w:rPr>
          <w:b/>
          <w:i/>
          <w:iCs/>
          <w:noProof/>
        </w:rPr>
        <w:t>Pasākumi</w:t>
      </w:r>
    </w:p>
    <w:p w:rsidR="003E022D" w:rsidRDefault="007D19D6">
      <w:pPr>
        <w:rPr>
          <w:rFonts w:cstheme="minorHAnsi"/>
          <w:b/>
          <w:noProof/>
        </w:rPr>
      </w:pPr>
      <w:r>
        <w:rPr>
          <w:i/>
          <w:noProof/>
        </w:rPr>
        <w:t>The Companies Act 2006 (2006. gada Sabiedrību likums)</w:t>
      </w:r>
      <w:r>
        <w:rPr>
          <w:noProof/>
        </w:rPr>
        <w:br w:type="page"/>
      </w:r>
    </w:p>
    <w:p w:rsidR="003E022D" w:rsidRDefault="007D19D6">
      <w:pPr>
        <w:rPr>
          <w:rFonts w:cstheme="minorHAnsi"/>
          <w:b/>
          <w:noProof/>
        </w:rPr>
      </w:pPr>
      <w:r>
        <w:rPr>
          <w:b/>
          <w:noProof/>
        </w:rPr>
        <w:t>3. atruna. Profesionālie pakalpojumi (veterinārie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rPr>
                <w:noProof/>
              </w:rPr>
            </w:pPr>
            <w:r>
              <w:rPr>
                <w:noProof/>
              </w:rPr>
              <w:t>Profesionālie pakalpojumi (veterinārie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rPr>
                <w:noProof/>
              </w:rPr>
            </w:pPr>
            <w:r>
              <w:rPr>
                <w:noProof/>
              </w:rPr>
              <w:t>CPC 932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rPr>
                <w:noProof/>
              </w:rPr>
            </w:pPr>
            <w:r>
              <w:rPr>
                <w:noProof/>
              </w:rPr>
              <w:t>Investīciju liberalizācija un pakalpojumu pārrobežu tirdzniecība</w:t>
            </w:r>
          </w:p>
        </w:tc>
      </w:tr>
      <w:tr w:rsidR="003E022D">
        <w:tc>
          <w:tcPr>
            <w:tcW w:w="2619" w:type="dxa"/>
          </w:tcPr>
          <w:p w:rsidR="003E022D" w:rsidRDefault="007D19D6">
            <w:pPr>
              <w:spacing w:afterAutospacing="0"/>
              <w:rPr>
                <w:b/>
                <w:bCs/>
                <w:noProof/>
              </w:rPr>
            </w:pPr>
            <w:r>
              <w:rPr>
                <w:b/>
                <w:bCs/>
                <w:noProof/>
              </w:rPr>
              <w:t>Valdības līmenis:</w:t>
            </w:r>
          </w:p>
        </w:tc>
        <w:tc>
          <w:tcPr>
            <w:tcW w:w="6407" w:type="dxa"/>
          </w:tcPr>
          <w:p w:rsidR="003E022D" w:rsidRDefault="007D19D6">
            <w:pPr>
              <w:spacing w:afterAutospacing="0"/>
              <w:rPr>
                <w:noProof/>
              </w:rPr>
            </w:pPr>
            <w:r>
              <w:rPr>
                <w:noProof/>
              </w:rPr>
              <w:t>C</w:t>
            </w:r>
            <w:r>
              <w:rPr>
                <w:noProof/>
              </w:rPr>
              <w:t>entrālais un reģionālais (ja vien nav norādīts citādi)</w:t>
            </w:r>
          </w:p>
        </w:tc>
      </w:tr>
    </w:tbl>
    <w:p w:rsidR="003E022D" w:rsidRDefault="003E022D">
      <w:pPr>
        <w:rPr>
          <w:noProof/>
        </w:rPr>
      </w:pPr>
    </w:p>
    <w:p w:rsidR="003E022D" w:rsidRDefault="007D19D6">
      <w:pPr>
        <w:rPr>
          <w:rFonts w:cstheme="minorHAnsi"/>
          <w:b/>
          <w:noProof/>
        </w:rPr>
      </w:pPr>
      <w:r>
        <w:rPr>
          <w:b/>
          <w:noProof/>
        </w:rPr>
        <w:t xml:space="preserve">Apraksts </w:t>
      </w:r>
    </w:p>
    <w:p w:rsidR="003E022D" w:rsidRDefault="007D19D6">
      <w:pPr>
        <w:rPr>
          <w:rFonts w:cstheme="minorHAnsi"/>
          <w:noProof/>
        </w:rPr>
      </w:pPr>
      <w:r>
        <w:rPr>
          <w:noProof/>
        </w:rPr>
        <w:t>Lai praktizētu veterinārārsta profesijā, ir vajadzīga fiziska klātbūtne. Veterinārārsta praksi var izveidot tikai tādi kvalificēti veterinārārsti, kas ir Karaliskās veterinārārstu kolēģijas</w:t>
      </w:r>
      <w:r>
        <w:rPr>
          <w:noProof/>
        </w:rPr>
        <w:t xml:space="preserve"> (</w:t>
      </w:r>
      <w:r>
        <w:rPr>
          <w:i/>
          <w:noProof/>
        </w:rPr>
        <w:t>RCVS</w:t>
      </w:r>
      <w:r>
        <w:rPr>
          <w:noProof/>
        </w:rPr>
        <w:t xml:space="preserve">) locekļi. </w:t>
      </w:r>
    </w:p>
    <w:p w:rsidR="003E022D" w:rsidRDefault="007D19D6">
      <w:pPr>
        <w:rPr>
          <w:rFonts w:cstheme="minorHAnsi"/>
          <w:b/>
          <w:i/>
          <w:iCs/>
          <w:noProof/>
        </w:rPr>
      </w:pPr>
      <w:r>
        <w:rPr>
          <w:b/>
          <w:i/>
          <w:iCs/>
          <w:noProof/>
        </w:rPr>
        <w:t>Pasākumi</w:t>
      </w:r>
    </w:p>
    <w:p w:rsidR="003E022D" w:rsidRDefault="007D19D6">
      <w:pPr>
        <w:rPr>
          <w:rFonts w:cstheme="minorHAnsi"/>
          <w:noProof/>
        </w:rPr>
      </w:pPr>
      <w:r>
        <w:rPr>
          <w:i/>
          <w:noProof/>
        </w:rPr>
        <w:t>Veterinary Surgeons Act 1966</w:t>
      </w:r>
      <w:r>
        <w:rPr>
          <w:noProof/>
        </w:rPr>
        <w:t xml:space="preserve"> (1966. gada Veterinārārstu likums) </w:t>
      </w:r>
    </w:p>
    <w:p w:rsidR="003E022D" w:rsidRDefault="007D19D6">
      <w:pPr>
        <w:rPr>
          <w:rFonts w:cstheme="minorHAnsi"/>
          <w:noProof/>
        </w:rPr>
      </w:pPr>
      <w:r>
        <w:rPr>
          <w:noProof/>
        </w:rPr>
        <w:br w:type="page"/>
      </w:r>
    </w:p>
    <w:p w:rsidR="003E022D" w:rsidRDefault="007D19D6">
      <w:pPr>
        <w:rPr>
          <w:rFonts w:cstheme="minorHAnsi"/>
          <w:b/>
          <w:noProof/>
        </w:rPr>
      </w:pPr>
      <w:r>
        <w:rPr>
          <w:b/>
          <w:noProof/>
        </w:rPr>
        <w:t>4. atruna. Pētniecības un izstrādes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rPr>
                <w:noProof/>
              </w:rPr>
            </w:pPr>
            <w:r>
              <w:rPr>
                <w:noProof/>
              </w:rPr>
              <w:t>Pētniecības un izstrādes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rPr>
                <w:noProof/>
              </w:rPr>
            </w:pPr>
            <w:r>
              <w:rPr>
                <w:noProof/>
              </w:rPr>
              <w:t>CPC 851 un 853</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rPr>
                <w:noProof/>
              </w:rPr>
            </w:pPr>
            <w:r>
              <w:rPr>
                <w:noProof/>
              </w:rPr>
              <w:t>Investīciju liberalizācija un pakalpojumu pārrobežu tirdzniecība</w:t>
            </w:r>
          </w:p>
        </w:tc>
      </w:tr>
      <w:tr w:rsidR="003E022D">
        <w:tc>
          <w:tcPr>
            <w:tcW w:w="2619" w:type="dxa"/>
          </w:tcPr>
          <w:p w:rsidR="003E022D" w:rsidRDefault="007D19D6">
            <w:pPr>
              <w:spacing w:afterAutospacing="0"/>
              <w:rPr>
                <w:b/>
                <w:bCs/>
                <w:noProof/>
              </w:rPr>
            </w:pPr>
            <w:r>
              <w:rPr>
                <w:b/>
                <w:bCs/>
                <w:noProof/>
              </w:rPr>
              <w:t>Valdības līmenis:</w:t>
            </w:r>
          </w:p>
        </w:tc>
        <w:tc>
          <w:tcPr>
            <w:tcW w:w="6407" w:type="dxa"/>
          </w:tcPr>
          <w:p w:rsidR="003E022D" w:rsidRDefault="007D19D6">
            <w:pPr>
              <w:spacing w:afterAutospacing="0"/>
              <w:rPr>
                <w:noProof/>
              </w:rPr>
            </w:pPr>
            <w:r>
              <w:rPr>
                <w:noProof/>
              </w:rPr>
              <w:t>Centrālais un reģionālais (ja vien nav norādīts citādi)</w:t>
            </w:r>
          </w:p>
        </w:tc>
      </w:tr>
    </w:tbl>
    <w:p w:rsidR="003E022D" w:rsidRDefault="003E022D">
      <w:pPr>
        <w:rPr>
          <w:noProof/>
        </w:rPr>
      </w:pPr>
    </w:p>
    <w:p w:rsidR="003E022D" w:rsidRDefault="007D19D6">
      <w:pPr>
        <w:rPr>
          <w:rFonts w:cstheme="minorHAnsi"/>
          <w:b/>
          <w:noProof/>
        </w:rPr>
      </w:pPr>
      <w:r>
        <w:rPr>
          <w:b/>
          <w:noProof/>
        </w:rPr>
        <w:t>Apraksts</w:t>
      </w:r>
    </w:p>
    <w:p w:rsidR="003E022D" w:rsidRDefault="007D19D6">
      <w:pPr>
        <w:rPr>
          <w:rFonts w:cstheme="minorHAnsi"/>
          <w:noProof/>
        </w:rPr>
      </w:pPr>
      <w:r>
        <w:rPr>
          <w:noProof/>
        </w:rPr>
        <w:t>Par publiski finansētiem pētniecības un izstrādes (PI) pakalpojumiem, kam izmanto Apvienotās Karalistes nodrošinātu finansējumu, ekskluzīvas tiesības vai pilnvaras var piešķirt tikai Apvienotās Karalistes valstspiederīgajiem un Apvienotās Karalistes juridi</w:t>
      </w:r>
      <w:r>
        <w:rPr>
          <w:noProof/>
        </w:rPr>
        <w:t xml:space="preserve">skām personām, kuru juridiskā adrese, galvenā vadība vai galvenā uzņēmējdarbības vieta ir Apvienotajā Karalistē (CPC 851, 853). </w:t>
      </w:r>
    </w:p>
    <w:p w:rsidR="003E022D" w:rsidRDefault="007D19D6">
      <w:pPr>
        <w:rPr>
          <w:rFonts w:cstheme="minorHAnsi"/>
          <w:noProof/>
        </w:rPr>
      </w:pPr>
      <w:r>
        <w:rPr>
          <w:noProof/>
        </w:rPr>
        <w:t xml:space="preserve">Šī atruna neskar </w:t>
      </w:r>
      <w:r>
        <w:rPr>
          <w:noProof/>
          <w:highlight w:val="cyan"/>
        </w:rPr>
        <w:t xml:space="preserve">[Piekto daļu] [Dalība Savienības programmās, pareiza finanšu pārvaldība un finanšu noteikumi] </w:t>
      </w:r>
      <w:r>
        <w:rPr>
          <w:noProof/>
        </w:rPr>
        <w:t xml:space="preserve">un Puses veikta </w:t>
      </w:r>
      <w:r>
        <w:rPr>
          <w:noProof/>
        </w:rPr>
        <w:t xml:space="preserve">iepirkuma vai piešķirtu subsīdiju vai dotāciju izslēgšanu no </w:t>
      </w:r>
      <w:r>
        <w:rPr>
          <w:noProof/>
          <w:highlight w:val="cyan"/>
        </w:rPr>
        <w:t>SERVIN.1.1. panta [Mērķis un darbības joma] 6. un 7. punkta</w:t>
      </w:r>
      <w:r>
        <w:rPr>
          <w:noProof/>
        </w:rPr>
        <w:t xml:space="preserve">.  </w:t>
      </w:r>
    </w:p>
    <w:p w:rsidR="003E022D" w:rsidRDefault="007D19D6">
      <w:pPr>
        <w:rPr>
          <w:rFonts w:cstheme="minorHAnsi"/>
          <w:b/>
          <w:i/>
          <w:iCs/>
          <w:noProof/>
        </w:rPr>
      </w:pPr>
      <w:r>
        <w:rPr>
          <w:b/>
          <w:i/>
          <w:iCs/>
          <w:noProof/>
        </w:rPr>
        <w:t xml:space="preserve">Pasākumi </w:t>
      </w:r>
    </w:p>
    <w:p w:rsidR="003E022D" w:rsidRDefault="007D19D6">
      <w:pPr>
        <w:rPr>
          <w:rFonts w:cstheme="minorHAnsi"/>
          <w:noProof/>
        </w:rPr>
      </w:pPr>
      <w:r>
        <w:rPr>
          <w:noProof/>
        </w:rPr>
        <w:t xml:space="preserve">Visas esošās un visas nākotnes pētniecības vai inovācijas programmas. </w:t>
      </w:r>
    </w:p>
    <w:p w:rsidR="003E022D" w:rsidRDefault="007D19D6">
      <w:pPr>
        <w:rPr>
          <w:rFonts w:cstheme="minorHAnsi"/>
          <w:noProof/>
        </w:rPr>
      </w:pPr>
      <w:r>
        <w:rPr>
          <w:noProof/>
        </w:rPr>
        <w:br w:type="page"/>
      </w:r>
    </w:p>
    <w:p w:rsidR="003E022D" w:rsidRDefault="007D19D6">
      <w:pPr>
        <w:rPr>
          <w:rFonts w:cstheme="minorHAnsi"/>
          <w:b/>
          <w:noProof/>
        </w:rPr>
      </w:pPr>
      <w:r>
        <w:rPr>
          <w:b/>
          <w:noProof/>
        </w:rPr>
        <w:t>5. atruna. Darījumdarbības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w:t>
            </w:r>
            <w:r>
              <w:rPr>
                <w:b/>
                <w:noProof/>
              </w:rPr>
              <w:t>pakšnozare:</w:t>
            </w:r>
          </w:p>
        </w:tc>
        <w:tc>
          <w:tcPr>
            <w:tcW w:w="6407" w:type="dxa"/>
          </w:tcPr>
          <w:p w:rsidR="003E022D" w:rsidRDefault="007D19D6">
            <w:pPr>
              <w:spacing w:afterAutospacing="0"/>
              <w:rPr>
                <w:noProof/>
              </w:rPr>
            </w:pPr>
            <w:r>
              <w:rPr>
                <w:noProof/>
              </w:rPr>
              <w:t>Darījumdarbības pakalpojumi – nomas vai izpirkumnomas pakalpojumi bez operatoriem un citi darījumdarbības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rPr>
                <w:noProof/>
              </w:rPr>
            </w:pPr>
            <w:r>
              <w:rPr>
                <w:noProof/>
              </w:rPr>
              <w:t>daļa no CPC 831</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rPr>
                <w:noProof/>
              </w:rPr>
            </w:pPr>
            <w:r>
              <w:rPr>
                <w:noProof/>
              </w:rPr>
              <w:t>Investīciju liberalizācija un pakalpojumu pārrobežu tirdzniecība</w:t>
            </w:r>
          </w:p>
        </w:tc>
      </w:tr>
      <w:tr w:rsidR="003E022D">
        <w:tc>
          <w:tcPr>
            <w:tcW w:w="2619" w:type="dxa"/>
          </w:tcPr>
          <w:p w:rsidR="003E022D" w:rsidRDefault="007D19D6">
            <w:pPr>
              <w:spacing w:afterAutospacing="0"/>
              <w:rPr>
                <w:b/>
                <w:bCs/>
                <w:noProof/>
              </w:rPr>
            </w:pPr>
            <w:r>
              <w:rPr>
                <w:b/>
                <w:bCs/>
                <w:noProof/>
              </w:rPr>
              <w:t>Valdības līmenis:</w:t>
            </w:r>
          </w:p>
        </w:tc>
        <w:tc>
          <w:tcPr>
            <w:tcW w:w="6407" w:type="dxa"/>
          </w:tcPr>
          <w:p w:rsidR="003E022D" w:rsidRDefault="007D19D6">
            <w:pPr>
              <w:spacing w:afterAutospacing="0"/>
              <w:rPr>
                <w:noProof/>
              </w:rPr>
            </w:pPr>
            <w:r>
              <w:rPr>
                <w:noProof/>
              </w:rPr>
              <w:t>Centrālais un reģionālais (ja vien nav norādīts citādi)</w:t>
            </w:r>
          </w:p>
        </w:tc>
      </w:tr>
    </w:tbl>
    <w:p w:rsidR="003E022D" w:rsidRDefault="003E022D">
      <w:pPr>
        <w:rPr>
          <w:noProof/>
        </w:rPr>
      </w:pPr>
    </w:p>
    <w:p w:rsidR="003E022D" w:rsidRDefault="007D19D6">
      <w:pPr>
        <w:rPr>
          <w:rFonts w:cstheme="minorHAnsi"/>
          <w:b/>
          <w:noProof/>
        </w:rPr>
      </w:pPr>
      <w:r>
        <w:rPr>
          <w:b/>
          <w:noProof/>
        </w:rPr>
        <w:t xml:space="preserve">Apraksts </w:t>
      </w:r>
    </w:p>
    <w:p w:rsidR="003E022D" w:rsidRDefault="007D19D6">
      <w:pPr>
        <w:rPr>
          <w:rFonts w:cstheme="minorHAnsi"/>
          <w:noProof/>
        </w:rPr>
      </w:pPr>
      <w:r>
        <w:rPr>
          <w:noProof/>
        </w:rPr>
        <w:t>Lai nomātu vai nomātu ar izpirkumu gaisa kuģi bez apkalpes, uz gaisa kuģi, ko izmanto Apvienotās Karalistes gaisa pārvadātājs, attiecas piemērojamās gaisa kuģu reģistrācijas prasības. Uz tādu līgumu par nomāšanu ar izpirkumu bez apkalpes, kura puse ir Apvi</w:t>
      </w:r>
      <w:r>
        <w:rPr>
          <w:noProof/>
        </w:rPr>
        <w:t>enotās Karalistes pārvadātājs, attiecas prasības, kas noteiktas valsts tiesību aktos par aviācijas drošību, tādas kā iepriekšējs apstiprinājums un citi trešās valstīs reģistrētu gaisa kuģu izmantošanai piemērojami nosacījumi. Lai gaisa kuģus reģistrētu, va</w:t>
      </w:r>
      <w:r>
        <w:rPr>
          <w:noProof/>
        </w:rPr>
        <w:t xml:space="preserve">r prasīt, lai to īpašnieki būtu vai nu fiziskas personas, kas atbilst konkrētiem valstspiederības kritērijiem, vai uzņēmumi, kuri atbilst konkrētiem kritērijiem attiecībā uz kapitāla īpašumtiesībām un kontroli (CPC 83104). </w:t>
      </w:r>
    </w:p>
    <w:p w:rsidR="003E022D" w:rsidRDefault="007D19D6">
      <w:pPr>
        <w:rPr>
          <w:rFonts w:cstheme="minorHAnsi"/>
          <w:noProof/>
        </w:rPr>
      </w:pPr>
      <w:r>
        <w:rPr>
          <w:noProof/>
        </w:rPr>
        <w:t>Attiecībā uz datorizētu rezervēš</w:t>
      </w:r>
      <w:r>
        <w:rPr>
          <w:noProof/>
        </w:rPr>
        <w:t>anas sistēmu (DRS) pakalpojumiem, ja DRS pakalpojumu sniedzēji ārpus Apvienotās Karalistes nepiešķir Apvienotās Karalistes gaisa pārvadātājiem līdzvērtīgu (proti, nediskriminējošu) režīmu tam, kāds ir nodrošināts Apvienotajā Karalistē, vai ja gaisa pārvadā</w:t>
      </w:r>
      <w:r>
        <w:rPr>
          <w:noProof/>
        </w:rPr>
        <w:t>tāji, kas nav Apvienotās Karalistes gaisa pārvadātāji, nepiešķir Apvienotās Karalistes DRS pakalpojumu sniedzējiem līdzvērtīgu režīmu tam, kāds ir nodrošināts Apvienotajā Karalistē, var veikt pasākumus, lai DRS pakalpojumu sniedzēji Apvienotajā Karalistē p</w:t>
      </w:r>
      <w:r>
        <w:rPr>
          <w:noProof/>
        </w:rPr>
        <w:t xml:space="preserve">iešķirtu līdzvērtīgu, diskriminējošu režīmu gaisa pārvadātājiem, kas nav Apvienotās Karalistes gaisa pārvadātāji, vai Apvienotās Karalistes gaisa pārvadātāji piešķirtu līdzvērtīgu režīmu DRS pakalpojumu sniedzējiem ārpus Apvienotās Karalistes. </w:t>
      </w:r>
    </w:p>
    <w:p w:rsidR="003E022D" w:rsidRDefault="007D19D6">
      <w:pPr>
        <w:rPr>
          <w:rFonts w:cstheme="minorHAnsi"/>
          <w:noProof/>
        </w:rPr>
      </w:pPr>
      <w:r>
        <w:rPr>
          <w:b/>
          <w:i/>
          <w:iCs/>
          <w:noProof/>
        </w:rPr>
        <w:t>Pasākumi:</w:t>
      </w:r>
      <w:r>
        <w:rPr>
          <w:i/>
          <w:iCs/>
          <w:noProof/>
        </w:rPr>
        <w:t xml:space="preserve"> </w:t>
      </w:r>
      <w:r>
        <w:rPr>
          <w:noProof/>
        </w:rPr>
        <w:t>Eiropas Parlamenta un Padomes 2008. gada 24. septembra Regula (EK) Nr. 1008/2008 par kopīgiem noteikumiem gaisa pārvadājumu pakalpojumu sniegšanai Kopienā (pārstrādāta versija), kas Apvienotās Karalistes tiesību aktos saglabāta ar</w:t>
      </w:r>
      <w:r>
        <w:rPr>
          <w:i/>
          <w:noProof/>
        </w:rPr>
        <w:t xml:space="preserve"> European Union (Withdrawa</w:t>
      </w:r>
      <w:r>
        <w:rPr>
          <w:i/>
          <w:noProof/>
        </w:rPr>
        <w:t>l) Act 2018</w:t>
      </w:r>
      <w:r>
        <w:rPr>
          <w:noProof/>
        </w:rPr>
        <w:t xml:space="preserve"> un grozīta ar </w:t>
      </w:r>
      <w:r>
        <w:rPr>
          <w:i/>
          <w:noProof/>
        </w:rPr>
        <w:t>Operation of Air Services (Amendment etc.) (EU Exit) Regulations (S.I. 2018/1392).</w:t>
      </w:r>
      <w:r>
        <w:rPr>
          <w:noProof/>
        </w:rPr>
        <w:t xml:space="preserve"> </w:t>
      </w:r>
    </w:p>
    <w:p w:rsidR="003E022D" w:rsidRDefault="007D19D6">
      <w:pPr>
        <w:rPr>
          <w:rFonts w:cstheme="minorHAnsi"/>
          <w:noProof/>
        </w:rPr>
      </w:pPr>
      <w:r>
        <w:rPr>
          <w:noProof/>
        </w:rPr>
        <w:t>Eiropas Parlamenta un Padomes 2009. gada 24. septembra Regula (EK) Nr. 80/2008 par kopīgiem noteikumiem gaisa pārvadājumu pakalpojumu sniegšanai K</w:t>
      </w:r>
      <w:r>
        <w:rPr>
          <w:noProof/>
        </w:rPr>
        <w:t>opienā (pārstrādāta versija), kas Apvienotās Karalistes tiesību aktos saglabāta ar</w:t>
      </w:r>
      <w:r>
        <w:rPr>
          <w:i/>
          <w:noProof/>
        </w:rPr>
        <w:t xml:space="preserve"> European Union (Withdrawal) Act 2018</w:t>
      </w:r>
      <w:r>
        <w:rPr>
          <w:noProof/>
        </w:rPr>
        <w:t xml:space="preserve"> un grozīta ar </w:t>
      </w:r>
      <w:r>
        <w:rPr>
          <w:i/>
          <w:noProof/>
        </w:rPr>
        <w:t>Computer Reservation Systems (Amendment) (EU Exit) Regulations 2018 (S.I. 018/1080).</w:t>
      </w:r>
      <w:r>
        <w:rPr>
          <w:noProof/>
        </w:rPr>
        <w:t xml:space="preserve"> </w:t>
      </w:r>
    </w:p>
    <w:p w:rsidR="003E022D" w:rsidRDefault="007D19D6">
      <w:pPr>
        <w:rPr>
          <w:rFonts w:cstheme="minorHAnsi"/>
          <w:b/>
          <w:noProof/>
        </w:rPr>
      </w:pPr>
      <w:r>
        <w:rPr>
          <w:noProof/>
        </w:rPr>
        <w:br w:type="page"/>
      </w:r>
      <w:r>
        <w:rPr>
          <w:b/>
          <w:noProof/>
        </w:rPr>
        <w:t>6. atruna. Sakaru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w:t>
            </w:r>
            <w:r>
              <w:rPr>
                <w:b/>
                <w:noProof/>
              </w:rPr>
              <w:t>e – apakšnozare:</w:t>
            </w:r>
          </w:p>
        </w:tc>
        <w:tc>
          <w:tcPr>
            <w:tcW w:w="6407" w:type="dxa"/>
          </w:tcPr>
          <w:p w:rsidR="003E022D" w:rsidRDefault="007D19D6">
            <w:pPr>
              <w:spacing w:afterAutospacing="0"/>
              <w:jc w:val="left"/>
              <w:rPr>
                <w:noProof/>
              </w:rPr>
            </w:pPr>
            <w:r>
              <w:rPr>
                <w:noProof/>
                <w:color w:val="070607"/>
              </w:rPr>
              <w:t>Sakaru pakalpojumi – pasta un kurjera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color w:val="070607"/>
              </w:rPr>
              <w:t>Daļa no CPC 71235, daļa no 73210, daļa no 751</w:t>
            </w:r>
          </w:p>
        </w:tc>
      </w:tr>
      <w:tr w:rsidR="003E022D">
        <w:tc>
          <w:tcPr>
            <w:tcW w:w="2619" w:type="dxa"/>
          </w:tcPr>
          <w:p w:rsidR="003E022D" w:rsidRDefault="007D19D6">
            <w:pPr>
              <w:spacing w:afterAutospacing="0"/>
              <w:rPr>
                <w:b/>
                <w:noProof/>
              </w:rPr>
            </w:pPr>
            <w:r>
              <w:rPr>
                <w:b/>
                <w:bCs/>
                <w:noProof/>
              </w:rPr>
              <w:t>Atrunas veids:</w:t>
            </w:r>
          </w:p>
        </w:tc>
        <w:tc>
          <w:tcPr>
            <w:tcW w:w="6407" w:type="dxa"/>
          </w:tcPr>
          <w:p w:rsidR="003E022D" w:rsidRDefault="007D19D6">
            <w:pPr>
              <w:spacing w:afterAutospacing="0"/>
              <w:jc w:val="left"/>
              <w:rPr>
                <w:noProof/>
              </w:rPr>
            </w:pPr>
            <w:r>
              <w:rPr>
                <w:noProof/>
              </w:rPr>
              <w:t>Piekļuve tirgum</w:t>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r w:rsidR="003E022D">
        <w:tc>
          <w:tcPr>
            <w:tcW w:w="2619" w:type="dxa"/>
          </w:tcPr>
          <w:p w:rsidR="003E022D" w:rsidRDefault="007D19D6">
            <w:pPr>
              <w:spacing w:afterAutospacing="0"/>
              <w:rPr>
                <w:b/>
                <w:bCs/>
                <w:noProof/>
              </w:rPr>
            </w:pPr>
            <w:r>
              <w:rPr>
                <w:b/>
                <w:bCs/>
                <w:noProof/>
              </w:rPr>
              <w:t>Valdības līm</w:t>
            </w:r>
            <w:r>
              <w:rPr>
                <w:b/>
                <w:bCs/>
                <w:noProof/>
              </w:rPr>
              <w:t>enis:</w:t>
            </w:r>
          </w:p>
        </w:tc>
        <w:tc>
          <w:tcPr>
            <w:tcW w:w="6407" w:type="dxa"/>
          </w:tcPr>
          <w:p w:rsidR="003E022D" w:rsidRDefault="007D19D6">
            <w:pPr>
              <w:spacing w:afterAutospacing="0"/>
              <w:jc w:val="left"/>
              <w:rPr>
                <w:noProof/>
              </w:rPr>
            </w:pPr>
            <w:r>
              <w:rPr>
                <w:noProof/>
              </w:rPr>
              <w:t>Centrālais un reģionālais (ja vien nav norādīts citādi)</w:t>
            </w:r>
          </w:p>
        </w:tc>
      </w:tr>
    </w:tbl>
    <w:p w:rsidR="003E022D" w:rsidRDefault="003E022D">
      <w:pPr>
        <w:rPr>
          <w:noProof/>
        </w:rPr>
      </w:pPr>
    </w:p>
    <w:p w:rsidR="003E022D" w:rsidRDefault="007D19D6">
      <w:pPr>
        <w:spacing w:after="177" w:line="266" w:lineRule="auto"/>
        <w:ind w:right="15"/>
        <w:rPr>
          <w:rFonts w:eastAsia="Times New Roman" w:cstheme="minorHAnsi"/>
          <w:b/>
          <w:noProof/>
          <w:color w:val="070607"/>
        </w:rPr>
      </w:pPr>
      <w:r>
        <w:rPr>
          <w:b/>
          <w:noProof/>
          <w:color w:val="070607"/>
        </w:rPr>
        <w:t xml:space="preserve">Apraksts </w:t>
      </w:r>
    </w:p>
    <w:p w:rsidR="003E022D" w:rsidRDefault="007D19D6">
      <w:pPr>
        <w:spacing w:after="286" w:line="266" w:lineRule="auto"/>
        <w:ind w:left="10" w:right="15" w:hanging="8"/>
        <w:rPr>
          <w:rFonts w:eastAsia="Times New Roman" w:cstheme="minorHAnsi"/>
          <w:noProof/>
          <w:color w:val="070607"/>
        </w:rPr>
      </w:pPr>
      <w:r>
        <w:rPr>
          <w:noProof/>
        </w:rPr>
        <w:t>Pastkastīšu izvietošanas uz publiskiem ceļiem organizēšana, pastmarku izdošana un ierakstīto sūtījumu pasta pakalpojumu sniegšana, ko izmanto tiesas vai administratīvajās procedūrās,</w:t>
      </w:r>
      <w:r>
        <w:rPr>
          <w:noProof/>
        </w:rPr>
        <w:t xml:space="preserve"> var būt ierobežota saskaņā ar valsts tiesību aktiem. Lielākai noteiktībai — pasta operatoriem var piemērot konkrētus universālā pakalpojuma pienākumus vai finansiālu ieguldījumu kompensāciju fondā.</w:t>
      </w:r>
    </w:p>
    <w:p w:rsidR="003E022D" w:rsidRDefault="007D19D6">
      <w:pPr>
        <w:spacing w:after="170" w:line="265" w:lineRule="auto"/>
        <w:ind w:left="12" w:hanging="10"/>
        <w:rPr>
          <w:rFonts w:eastAsia="Times New Roman" w:cstheme="minorHAnsi"/>
          <w:b/>
          <w:i/>
          <w:iCs/>
          <w:noProof/>
          <w:color w:val="070607"/>
        </w:rPr>
      </w:pPr>
      <w:r>
        <w:rPr>
          <w:b/>
          <w:i/>
          <w:iCs/>
          <w:noProof/>
          <w:color w:val="070607"/>
        </w:rPr>
        <w:t xml:space="preserve">Pasākumi </w:t>
      </w:r>
    </w:p>
    <w:p w:rsidR="003E022D" w:rsidRDefault="007D19D6">
      <w:pPr>
        <w:rPr>
          <w:rFonts w:cstheme="minorHAnsi"/>
          <w:noProof/>
        </w:rPr>
      </w:pPr>
      <w:r>
        <w:rPr>
          <w:i/>
          <w:noProof/>
        </w:rPr>
        <w:t>Postal Services Act 2011</w:t>
      </w:r>
      <w:r>
        <w:rPr>
          <w:noProof/>
        </w:rPr>
        <w:t xml:space="preserve"> (2011. gada Pasta pakalpojumu likums) </w:t>
      </w:r>
    </w:p>
    <w:p w:rsidR="003E022D" w:rsidRDefault="007D19D6">
      <w:pPr>
        <w:rPr>
          <w:rFonts w:cstheme="minorHAnsi"/>
          <w:b/>
          <w:noProof/>
        </w:rPr>
      </w:pPr>
      <w:r>
        <w:rPr>
          <w:noProof/>
        </w:rPr>
        <w:br w:type="page"/>
      </w:r>
    </w:p>
    <w:p w:rsidR="003E022D" w:rsidRDefault="007D19D6">
      <w:pPr>
        <w:spacing w:after="104" w:line="266" w:lineRule="auto"/>
        <w:ind w:left="1896" w:right="15" w:hanging="1894"/>
        <w:rPr>
          <w:rFonts w:eastAsia="Times New Roman" w:cstheme="minorHAnsi"/>
          <w:noProof/>
          <w:color w:val="070607"/>
        </w:rPr>
      </w:pPr>
      <w:r>
        <w:rPr>
          <w:b/>
          <w:noProof/>
        </w:rPr>
        <w:t>7. atruna. Transporta pakalpojumi un transporta palīgpakalpojumi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color w:val="070607"/>
              </w:rPr>
              <w:t>Transporta pakalpojumi – ūdens transporta palīgpakalpojumi, dzelzceļa transporta palīgpakalpojumi, autotransporta palīgpakalpoj</w:t>
            </w:r>
            <w:r>
              <w:rPr>
                <w:noProof/>
                <w:color w:val="070607"/>
              </w:rPr>
              <w:t>umi, gaisa transporta palīgpakalpojumi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color w:val="070607"/>
              </w:rPr>
              <w:t>CPC 711, 712, 721, 741, 742, 743, 744, 745, 746, 748, 749</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 xml:space="preserve">Investīciju liberalizācija un pakalpojumu pārrobežu </w:t>
            </w:r>
            <w:r>
              <w:rPr>
                <w:noProof/>
              </w:rPr>
              <w:t>tirdzniecība</w:t>
            </w:r>
          </w:p>
        </w:tc>
      </w:tr>
      <w:tr w:rsidR="003E022D">
        <w:tc>
          <w:tcPr>
            <w:tcW w:w="2619" w:type="dxa"/>
          </w:tcPr>
          <w:p w:rsidR="003E022D" w:rsidRDefault="007D19D6">
            <w:pPr>
              <w:spacing w:afterAutospacing="0"/>
              <w:rPr>
                <w:b/>
                <w:bCs/>
                <w:noProof/>
              </w:rPr>
            </w:pPr>
            <w:r>
              <w:rPr>
                <w:b/>
                <w:bCs/>
                <w:noProof/>
              </w:rPr>
              <w:t>Valdības līmenis:</w:t>
            </w:r>
          </w:p>
        </w:tc>
        <w:tc>
          <w:tcPr>
            <w:tcW w:w="6407" w:type="dxa"/>
          </w:tcPr>
          <w:p w:rsidR="003E022D" w:rsidRDefault="007D19D6">
            <w:pPr>
              <w:spacing w:afterAutospacing="0"/>
              <w:jc w:val="left"/>
              <w:rPr>
                <w:noProof/>
              </w:rPr>
            </w:pPr>
            <w:r>
              <w:rPr>
                <w:noProof/>
              </w:rPr>
              <w:t>Centrālais un reģionālais (ja vien nav norādīts citādi)</w:t>
            </w:r>
          </w:p>
        </w:tc>
      </w:tr>
    </w:tbl>
    <w:p w:rsidR="003E022D" w:rsidRDefault="003E022D">
      <w:pPr>
        <w:rPr>
          <w:noProof/>
        </w:rPr>
      </w:pPr>
    </w:p>
    <w:p w:rsidR="003E022D" w:rsidRDefault="007D19D6">
      <w:pPr>
        <w:spacing w:before="240"/>
        <w:ind w:left="10" w:right="15" w:hanging="8"/>
        <w:rPr>
          <w:rFonts w:eastAsia="Times New Roman" w:cstheme="minorHAnsi"/>
          <w:b/>
          <w:noProof/>
          <w:color w:val="070607"/>
        </w:rPr>
      </w:pPr>
      <w:r>
        <w:rPr>
          <w:b/>
          <w:noProof/>
          <w:color w:val="070607"/>
        </w:rPr>
        <w:t>Apraksts</w:t>
      </w:r>
    </w:p>
    <w:p w:rsidR="003E022D" w:rsidRDefault="007D19D6">
      <w:pPr>
        <w:pStyle w:val="ListParagraph"/>
        <w:numPr>
          <w:ilvl w:val="0"/>
          <w:numId w:val="787"/>
        </w:numPr>
        <w:spacing w:after="222" w:line="266" w:lineRule="auto"/>
        <w:ind w:right="15"/>
        <w:rPr>
          <w:rFonts w:eastAsia="Times New Roman" w:cstheme="minorHAnsi"/>
          <w:b/>
          <w:noProof/>
          <w:color w:val="070607"/>
        </w:rPr>
      </w:pPr>
      <w:r>
        <w:rPr>
          <w:b/>
          <w:noProof/>
          <w:color w:val="070607"/>
        </w:rPr>
        <w:t xml:space="preserve">Gaisa pārvadājumu palīgpakalpojumi (CPC 746) </w:t>
      </w:r>
    </w:p>
    <w:p w:rsidR="003E022D" w:rsidRDefault="007D19D6">
      <w:pPr>
        <w:spacing w:after="173" w:line="265" w:lineRule="auto"/>
        <w:ind w:left="8" w:right="16" w:hanging="8"/>
        <w:rPr>
          <w:rFonts w:eastAsia="Times New Roman" w:cstheme="minorHAnsi"/>
          <w:noProof/>
          <w:color w:val="070607"/>
          <w:u w:val="single"/>
        </w:rPr>
      </w:pPr>
      <w:r>
        <w:rPr>
          <w:noProof/>
          <w:color w:val="070607"/>
          <w:u w:val="single"/>
        </w:rPr>
        <w:t xml:space="preserve">Attiecībā uz investīciju liberalizāciju – piekļuve tirgum un pakalpojumu pārrobežu tirdzniecība – piekļuve </w:t>
      </w:r>
      <w:r>
        <w:rPr>
          <w:noProof/>
          <w:color w:val="070607"/>
          <w:u w:val="single"/>
        </w:rPr>
        <w:t>tirgum</w:t>
      </w:r>
    </w:p>
    <w:p w:rsidR="003E022D" w:rsidRDefault="007D19D6">
      <w:pPr>
        <w:spacing w:after="269" w:line="266" w:lineRule="auto"/>
        <w:ind w:left="8" w:right="15" w:hanging="8"/>
        <w:rPr>
          <w:rFonts w:eastAsia="Times New Roman" w:cstheme="minorHAnsi"/>
          <w:noProof/>
          <w:color w:val="070607"/>
        </w:rPr>
      </w:pPr>
      <w:r>
        <w:rPr>
          <w:noProof/>
          <w:color w:val="070607"/>
        </w:rPr>
        <w:t xml:space="preserve">Apkalpošanas uz zemes pakalpojumu atvērtības līmenis ir atkarīgs no lidostas lieluma. Pakalpojumu sniedzēju skaits katrā lidostā var būt ierobežots. “Lielās lidostās” šis ierobežojums nedrīkst būt mazāks par diviem piegādātājiem. </w:t>
      </w:r>
    </w:p>
    <w:p w:rsidR="003E022D" w:rsidRDefault="007D19D6">
      <w:pPr>
        <w:spacing w:after="170" w:line="265" w:lineRule="auto"/>
        <w:ind w:left="8" w:hanging="8"/>
        <w:rPr>
          <w:rFonts w:eastAsia="Times New Roman" w:cstheme="minorHAnsi"/>
          <w:b/>
          <w:i/>
          <w:iCs/>
          <w:noProof/>
          <w:color w:val="070607"/>
        </w:rPr>
      </w:pPr>
      <w:r>
        <w:rPr>
          <w:b/>
          <w:i/>
          <w:iCs/>
          <w:noProof/>
          <w:color w:val="070607"/>
        </w:rPr>
        <w:t xml:space="preserve">Pasākumi </w:t>
      </w:r>
    </w:p>
    <w:p w:rsidR="003E022D" w:rsidRDefault="007D19D6">
      <w:pPr>
        <w:spacing w:after="165" w:line="266" w:lineRule="auto"/>
        <w:ind w:left="8" w:right="15" w:hanging="8"/>
        <w:rPr>
          <w:rFonts w:eastAsia="Times New Roman" w:cstheme="minorHAnsi"/>
          <w:b/>
          <w:noProof/>
          <w:color w:val="070607"/>
        </w:rPr>
      </w:pPr>
      <w:r>
        <w:rPr>
          <w:noProof/>
        </w:rPr>
        <w:t>T</w:t>
      </w:r>
      <w:r>
        <w:rPr>
          <w:i/>
          <w:noProof/>
          <w:color w:val="070607"/>
        </w:rPr>
        <w:t>he Airp</w:t>
      </w:r>
      <w:r>
        <w:rPr>
          <w:i/>
          <w:noProof/>
          <w:color w:val="070607"/>
        </w:rPr>
        <w:t>orts (Groundhandling) Regulations 1997 (S.I. 1997/2389)</w:t>
      </w:r>
      <w:r>
        <w:rPr>
          <w:noProof/>
          <w:color w:val="070607"/>
        </w:rPr>
        <w:t xml:space="preserve"> (1997. gada Noteikumi par lidostām (apkalpošana uz zemes) (S.I. 1997/2389))</w:t>
      </w:r>
    </w:p>
    <w:p w:rsidR="003E022D" w:rsidRDefault="007D19D6">
      <w:pPr>
        <w:pStyle w:val="ListParagraph"/>
        <w:numPr>
          <w:ilvl w:val="0"/>
          <w:numId w:val="787"/>
        </w:numPr>
        <w:spacing w:after="160" w:line="259" w:lineRule="auto"/>
        <w:rPr>
          <w:rFonts w:cstheme="minorHAnsi"/>
          <w:noProof/>
        </w:rPr>
      </w:pPr>
      <w:r>
        <w:rPr>
          <w:b/>
          <w:noProof/>
          <w:color w:val="070607"/>
        </w:rPr>
        <w:t xml:space="preserve">Visu transporta veidu atbalsta pakalpojumi </w:t>
      </w:r>
    </w:p>
    <w:p w:rsidR="003E022D" w:rsidRDefault="007D19D6">
      <w:pPr>
        <w:spacing w:after="173" w:line="265" w:lineRule="auto"/>
        <w:ind w:left="8" w:right="16" w:hanging="8"/>
        <w:rPr>
          <w:rFonts w:eastAsia="Times New Roman" w:cstheme="minorHAnsi"/>
          <w:noProof/>
          <w:color w:val="070607"/>
          <w:u w:val="single"/>
        </w:rPr>
      </w:pPr>
      <w:r>
        <w:rPr>
          <w:noProof/>
          <w:u w:val="single"/>
        </w:rPr>
        <w:t>Attiecībā uz investīciju liberalizāciju – valsts režīms un pakalpojumu pārrobežu</w:t>
      </w:r>
      <w:r>
        <w:rPr>
          <w:noProof/>
          <w:u w:val="single"/>
        </w:rPr>
        <w:t xml:space="preserve"> tirdzniecība – piekļuve tirgum, </w:t>
      </w:r>
      <w:r>
        <w:rPr>
          <w:noProof/>
          <w:color w:val="070607"/>
          <w:u w:val="single"/>
        </w:rPr>
        <w:t>klātbūtne uz vietas</w:t>
      </w:r>
      <w:r>
        <w:rPr>
          <w:noProof/>
          <w:u w:val="single"/>
        </w:rPr>
        <w:t>, valsts režīms</w:t>
      </w:r>
      <w:r>
        <w:rPr>
          <w:noProof/>
          <w:color w:val="070607"/>
          <w:u w:val="single"/>
        </w:rPr>
        <w:t xml:space="preserve"> </w:t>
      </w:r>
    </w:p>
    <w:p w:rsidR="003E022D" w:rsidRDefault="007D19D6">
      <w:pPr>
        <w:spacing w:after="269" w:line="266" w:lineRule="auto"/>
        <w:ind w:left="8" w:right="15" w:hanging="8"/>
        <w:rPr>
          <w:rFonts w:eastAsia="Times New Roman" w:cstheme="minorHAnsi"/>
          <w:noProof/>
        </w:rPr>
      </w:pPr>
      <w:r>
        <w:rPr>
          <w:noProof/>
          <w:color w:val="070607"/>
        </w:rPr>
        <w:t>Muitas pakalpojumus, tostarp muitošanas pakalpojumus un pakalpojumus, kas saistīti ar pagaidu uzglabāšanas vietu vai muitas noliktavu izmantošanu, var sniegt tikai personas, kas veic uzņē</w:t>
      </w:r>
      <w:r>
        <w:rPr>
          <w:noProof/>
          <w:color w:val="070607"/>
        </w:rPr>
        <w:t>mējdarbību Apvienotajā Karalistē.</w:t>
      </w:r>
      <w:r>
        <w:rPr>
          <w:noProof/>
        </w:rPr>
        <w:t xml:space="preserve"> Lai novērstu šaubas, tas ietver Apvienotās Karalistes rezidentus, personas, kuru pastāvīgā darījumdarbības vieta ir Apvienotajā Karalistē vai juridiskā adrese ir Apvienotajā Karalistē. </w:t>
      </w:r>
    </w:p>
    <w:p w:rsidR="003E022D" w:rsidRDefault="007D19D6">
      <w:pPr>
        <w:spacing w:after="269" w:line="266" w:lineRule="auto"/>
        <w:ind w:right="15"/>
        <w:rPr>
          <w:rFonts w:eastAsia="Times New Roman" w:cstheme="minorHAnsi"/>
          <w:b/>
          <w:i/>
          <w:iCs/>
          <w:noProof/>
          <w:color w:val="070607"/>
        </w:rPr>
      </w:pPr>
      <w:r>
        <w:rPr>
          <w:b/>
          <w:i/>
          <w:iCs/>
          <w:noProof/>
          <w:color w:val="070607"/>
        </w:rPr>
        <w:t xml:space="preserve">Pasākumi </w:t>
      </w:r>
    </w:p>
    <w:p w:rsidR="003E022D" w:rsidRDefault="007D19D6">
      <w:pPr>
        <w:spacing w:after="269" w:line="266" w:lineRule="auto"/>
        <w:ind w:left="8" w:right="15" w:hanging="8"/>
        <w:rPr>
          <w:rFonts w:eastAsia="Times New Roman" w:cstheme="minorHAnsi"/>
          <w:noProof/>
          <w:color w:val="070607"/>
        </w:rPr>
      </w:pPr>
      <w:r>
        <w:rPr>
          <w:i/>
          <w:noProof/>
          <w:color w:val="070607"/>
        </w:rPr>
        <w:t>Taxation (Cross-Border Tra</w:t>
      </w:r>
      <w:r>
        <w:rPr>
          <w:i/>
          <w:noProof/>
          <w:color w:val="070607"/>
        </w:rPr>
        <w:t>de Act) 2018</w:t>
      </w:r>
      <w:r>
        <w:rPr>
          <w:noProof/>
          <w:color w:val="070607"/>
        </w:rPr>
        <w:t xml:space="preserve"> (2018. gada Nodokļu likums (pārrobežu tirdzniecība)); </w:t>
      </w:r>
      <w:r>
        <w:rPr>
          <w:i/>
          <w:noProof/>
          <w:color w:val="070607"/>
        </w:rPr>
        <w:t>the Customs and Excise Management Act 1979</w:t>
      </w:r>
      <w:r>
        <w:rPr>
          <w:noProof/>
          <w:color w:val="070607"/>
        </w:rPr>
        <w:t xml:space="preserve"> (1979. gada Muitas un akcīzes pārvaldības likums); </w:t>
      </w:r>
      <w:r>
        <w:rPr>
          <w:i/>
          <w:noProof/>
          <w:color w:val="070607"/>
        </w:rPr>
        <w:t>the Customs (Export) (EU Exit) Regulations 2019</w:t>
      </w:r>
      <w:r>
        <w:rPr>
          <w:noProof/>
          <w:color w:val="070607"/>
        </w:rPr>
        <w:t xml:space="preserve"> (2019. gada Noteikumi par muitu (eksportu)); </w:t>
      </w:r>
      <w:r>
        <w:rPr>
          <w:i/>
          <w:noProof/>
        </w:rPr>
        <w:t>th</w:t>
      </w:r>
      <w:r>
        <w:rPr>
          <w:i/>
          <w:noProof/>
        </w:rPr>
        <w:t>e Customs (Import Duty) (EU Exit) Regulations 2018</w:t>
      </w:r>
      <w:r>
        <w:rPr>
          <w:noProof/>
        </w:rPr>
        <w:t xml:space="preserve"> (2018. gada Noteikumi par muitu (ievedmuitas nodokli)); </w:t>
      </w:r>
      <w:r>
        <w:rPr>
          <w:i/>
          <w:noProof/>
        </w:rPr>
        <w:t>the Customs (Special Procedures and Outward Processing) (EU Exit) Regulations 2018</w:t>
      </w:r>
      <w:r>
        <w:rPr>
          <w:noProof/>
        </w:rPr>
        <w:t xml:space="preserve"> (2018. gada Noteikumi par muitu (īpašas procedūras un izvešana pār</w:t>
      </w:r>
      <w:r>
        <w:rPr>
          <w:noProof/>
        </w:rPr>
        <w:t xml:space="preserve">strādei); </w:t>
      </w:r>
      <w:r>
        <w:rPr>
          <w:i/>
          <w:noProof/>
        </w:rPr>
        <w:t>the Customs and Excise (Miscellaneous Provisions and Amendments) (EU Exit) Regulations 2019/1215</w:t>
      </w:r>
      <w:r>
        <w:rPr>
          <w:noProof/>
        </w:rPr>
        <w:t xml:space="preserve"> (Noteikumi 2019/1215 par muitu un akcīzi (dažādi noteikumi un grozījumi)). </w:t>
      </w:r>
    </w:p>
    <w:p w:rsidR="003E022D" w:rsidRDefault="007D19D6">
      <w:pPr>
        <w:pStyle w:val="ListParagraph"/>
        <w:numPr>
          <w:ilvl w:val="0"/>
          <w:numId w:val="787"/>
        </w:numPr>
        <w:spacing w:after="160" w:line="259" w:lineRule="auto"/>
        <w:rPr>
          <w:rFonts w:cstheme="minorHAnsi"/>
          <w:b/>
          <w:noProof/>
        </w:rPr>
      </w:pPr>
      <w:r>
        <w:rPr>
          <w:b/>
          <w:noProof/>
        </w:rPr>
        <w:t>Ūdens transporta palīgpakalpojumi</w:t>
      </w:r>
    </w:p>
    <w:p w:rsidR="003E022D" w:rsidRDefault="007D19D6">
      <w:pPr>
        <w:rPr>
          <w:rFonts w:cstheme="minorHAnsi"/>
          <w:noProof/>
          <w:u w:val="single"/>
        </w:rPr>
      </w:pPr>
      <w:r>
        <w:rPr>
          <w:noProof/>
          <w:u w:val="single"/>
        </w:rPr>
        <w:t>Attiecībā uz investīciju liberalizāciju</w:t>
      </w:r>
      <w:r>
        <w:rPr>
          <w:noProof/>
          <w:u w:val="single"/>
        </w:rPr>
        <w:t xml:space="preserve"> – piekļuve tirgum un pakalpojumu pārrobežu tirdzniecība – piekļuve tirgum</w:t>
      </w:r>
    </w:p>
    <w:p w:rsidR="003E022D" w:rsidRDefault="007D19D6">
      <w:pPr>
        <w:rPr>
          <w:rFonts w:cstheme="minorHAnsi"/>
          <w:noProof/>
        </w:rPr>
      </w:pPr>
      <w:r>
        <w:rPr>
          <w:noProof/>
        </w:rPr>
        <w:t>Attiecībā uz ostas pakalpojumiem ostas pārvaldes iestāde vai kompetentā iestāde var ierobežot ostas pakalpojumu sniedzēju skaitu konkrētam ostas pakalpojumam.</w:t>
      </w:r>
    </w:p>
    <w:p w:rsidR="003E022D" w:rsidRDefault="007D19D6">
      <w:pPr>
        <w:rPr>
          <w:rFonts w:cstheme="minorHAnsi"/>
          <w:b/>
          <w:i/>
          <w:iCs/>
          <w:noProof/>
        </w:rPr>
      </w:pPr>
      <w:r>
        <w:rPr>
          <w:b/>
          <w:i/>
          <w:iCs/>
          <w:noProof/>
        </w:rPr>
        <w:t>Pasākumi</w:t>
      </w:r>
    </w:p>
    <w:p w:rsidR="003E022D" w:rsidRDefault="007D19D6">
      <w:pPr>
        <w:spacing w:after="351" w:line="266" w:lineRule="auto"/>
        <w:ind w:right="15"/>
        <w:rPr>
          <w:rFonts w:cstheme="minorHAnsi"/>
          <w:noProof/>
        </w:rPr>
      </w:pPr>
      <w:r>
        <w:rPr>
          <w:noProof/>
        </w:rPr>
        <w:t>2017. gada 15</w:t>
      </w:r>
      <w:r>
        <w:rPr>
          <w:noProof/>
        </w:rPr>
        <w:t xml:space="preserve">. februāra Regula (ES) 2017/352, ar ko izveido ostas pakalpojumu sniegšanas sistēmu un kopīgos noteikumus par ostu finanšu pārredzamību, 6. pants, kura Apvienotās Karalistes tiesību aktos saglabāta ar </w:t>
      </w:r>
      <w:r>
        <w:rPr>
          <w:i/>
          <w:noProof/>
        </w:rPr>
        <w:t>European Union (Withdrawal) Act 2018</w:t>
      </w:r>
      <w:r>
        <w:rPr>
          <w:noProof/>
        </w:rPr>
        <w:t xml:space="preserve"> un </w:t>
      </w:r>
      <w:r>
        <w:rPr>
          <w:i/>
          <w:noProof/>
        </w:rPr>
        <w:t>grozīta ar Pilo</w:t>
      </w:r>
      <w:r>
        <w:rPr>
          <w:i/>
          <w:noProof/>
        </w:rPr>
        <w:t>tage and Port Services (Amendment) (EU Exit) Regulations 2020 (S.I. 2020/671)</w:t>
      </w:r>
      <w:r>
        <w:rPr>
          <w:noProof/>
        </w:rPr>
        <w:t xml:space="preserve">. </w:t>
      </w:r>
    </w:p>
    <w:p w:rsidR="003E022D" w:rsidRDefault="007D19D6">
      <w:pPr>
        <w:spacing w:after="351" w:line="266" w:lineRule="auto"/>
        <w:ind w:right="15"/>
        <w:rPr>
          <w:rFonts w:cstheme="minorHAnsi"/>
          <w:noProof/>
        </w:rPr>
      </w:pPr>
      <w:r>
        <w:rPr>
          <w:i/>
          <w:noProof/>
        </w:rPr>
        <w:t>Port Services Regulations 2019</w:t>
      </w:r>
      <w:r>
        <w:rPr>
          <w:noProof/>
        </w:rPr>
        <w:t xml:space="preserve"> (2019. gada noteikumi par Ostas pakalpojumiem)</w:t>
      </w:r>
    </w:p>
    <w:p w:rsidR="003E022D" w:rsidRDefault="007D19D6">
      <w:pPr>
        <w:spacing w:after="351" w:line="266" w:lineRule="auto"/>
        <w:ind w:right="15"/>
        <w:rPr>
          <w:rFonts w:eastAsia="Times New Roman" w:cstheme="minorHAnsi"/>
          <w:noProof/>
          <w:color w:val="070607"/>
        </w:rPr>
      </w:pPr>
      <w:r>
        <w:rPr>
          <w:noProof/>
        </w:rPr>
        <w:br w:type="page"/>
      </w:r>
    </w:p>
    <w:p w:rsidR="003E022D" w:rsidRDefault="007D19D6">
      <w:pPr>
        <w:rPr>
          <w:rFonts w:cstheme="minorHAnsi"/>
          <w:b/>
          <w:noProof/>
        </w:rPr>
      </w:pPr>
      <w:r>
        <w:rPr>
          <w:b/>
          <w:noProof/>
        </w:rPr>
        <w:t>8. atruna. Ar enerģiju saistītas darbības</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color w:val="070607"/>
              </w:rPr>
              <w:t>Ar enerģiju saistītas darbības –</w:t>
            </w:r>
            <w:r>
              <w:rPr>
                <w:noProof/>
                <w:color w:val="070607"/>
              </w:rPr>
              <w:t xml:space="preserve"> ieguves rūpniecība un karjeru izstrāde</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color w:val="070607"/>
              </w:rPr>
              <w:t>ISIC 3.1. red. 11, 8675, CPC 883</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r w:rsidR="003E022D">
        <w:tc>
          <w:tcPr>
            <w:tcW w:w="2619" w:type="dxa"/>
          </w:tcPr>
          <w:p w:rsidR="003E022D" w:rsidRDefault="007D19D6">
            <w:pPr>
              <w:spacing w:afterAutospacing="0"/>
              <w:rPr>
                <w:b/>
                <w:bCs/>
                <w:noProof/>
              </w:rPr>
            </w:pPr>
            <w:r>
              <w:rPr>
                <w:b/>
                <w:bCs/>
                <w:noProof/>
              </w:rPr>
              <w:t>Valdības līmenis:</w:t>
            </w:r>
          </w:p>
        </w:tc>
        <w:tc>
          <w:tcPr>
            <w:tcW w:w="6407" w:type="dxa"/>
          </w:tcPr>
          <w:p w:rsidR="003E022D" w:rsidRDefault="007D19D6">
            <w:pPr>
              <w:spacing w:afterAutospacing="0"/>
              <w:jc w:val="left"/>
              <w:rPr>
                <w:noProof/>
              </w:rPr>
            </w:pPr>
            <w:r>
              <w:rPr>
                <w:noProof/>
              </w:rPr>
              <w:t>Centrālais un reģionālais (ja vi</w:t>
            </w:r>
            <w:r>
              <w:rPr>
                <w:noProof/>
              </w:rPr>
              <w:t>en nav norādīts citādi)</w:t>
            </w:r>
          </w:p>
        </w:tc>
      </w:tr>
    </w:tbl>
    <w:p w:rsidR="003E022D" w:rsidRDefault="003E022D">
      <w:pPr>
        <w:rPr>
          <w:noProof/>
        </w:rPr>
      </w:pPr>
    </w:p>
    <w:p w:rsidR="003E022D" w:rsidRDefault="007D19D6">
      <w:pPr>
        <w:ind w:left="6" w:right="17" w:hanging="6"/>
        <w:rPr>
          <w:rFonts w:eastAsia="Times New Roman" w:cstheme="minorHAnsi"/>
          <w:b/>
          <w:noProof/>
          <w:color w:val="070607"/>
        </w:rPr>
      </w:pPr>
      <w:r>
        <w:rPr>
          <w:b/>
          <w:noProof/>
          <w:color w:val="070607"/>
        </w:rPr>
        <w:t xml:space="preserve">Apraksts </w:t>
      </w:r>
    </w:p>
    <w:p w:rsidR="003E022D" w:rsidRDefault="007D19D6">
      <w:pPr>
        <w:spacing w:after="254" w:line="265" w:lineRule="auto"/>
        <w:ind w:left="8" w:hanging="8"/>
        <w:rPr>
          <w:rFonts w:eastAsia="Times New Roman" w:cstheme="minorHAnsi"/>
          <w:noProof/>
          <w:color w:val="070607"/>
        </w:rPr>
      </w:pPr>
      <w:r>
        <w:rPr>
          <w:noProof/>
          <w:color w:val="070607"/>
        </w:rPr>
        <w:t xml:space="preserve">Lai veiktu izpētes un ieguves darbības Apvienotās Karalistes kontinentālajā šelfā (UKCS) un sniegtu pakalpojumus, kam nepieciešama tieša piekļuve dabas resursiem vai to izmantošana, ir vajadzīga licence. </w:t>
      </w:r>
    </w:p>
    <w:p w:rsidR="003E022D" w:rsidRDefault="007D19D6">
      <w:pPr>
        <w:spacing w:after="171" w:line="266" w:lineRule="auto"/>
        <w:ind w:left="8" w:right="15" w:hanging="8"/>
        <w:rPr>
          <w:rFonts w:eastAsia="Times New Roman" w:cstheme="minorHAnsi"/>
          <w:noProof/>
          <w:color w:val="070607"/>
        </w:rPr>
      </w:pPr>
      <w:r>
        <w:rPr>
          <w:noProof/>
          <w:color w:val="070607"/>
        </w:rPr>
        <w:t xml:space="preserve">Šī atruna attiecas uz ieguves licencēm, ko izdod par Apvienotās Karalistes kontinentālo šelfu. Lai kļūtu par licenciātu, sabiedrības darījumdarbības vietai jābūt Apvienotajā Karalistē. Tas nozīmē, ka vai nu </w:t>
      </w:r>
    </w:p>
    <w:p w:rsidR="003E022D" w:rsidRDefault="007D19D6">
      <w:pPr>
        <w:numPr>
          <w:ilvl w:val="0"/>
          <w:numId w:val="786"/>
        </w:numPr>
        <w:spacing w:after="138" w:line="266" w:lineRule="auto"/>
        <w:ind w:right="15"/>
        <w:rPr>
          <w:rFonts w:eastAsia="Times New Roman" w:cstheme="minorHAnsi"/>
          <w:noProof/>
          <w:color w:val="070607"/>
        </w:rPr>
      </w:pPr>
      <w:r>
        <w:rPr>
          <w:noProof/>
          <w:color w:val="070607"/>
        </w:rPr>
        <w:t>sabiedrība ar darbiniekiem atrodas Apvienotajā K</w:t>
      </w:r>
      <w:r>
        <w:rPr>
          <w:noProof/>
          <w:color w:val="070607"/>
        </w:rPr>
        <w:t xml:space="preserve">aralistē, </w:t>
      </w:r>
    </w:p>
    <w:p w:rsidR="003E022D" w:rsidRDefault="007D19D6">
      <w:pPr>
        <w:numPr>
          <w:ilvl w:val="0"/>
          <w:numId w:val="786"/>
        </w:numPr>
        <w:spacing w:after="138" w:line="266" w:lineRule="auto"/>
        <w:ind w:right="15"/>
        <w:rPr>
          <w:rFonts w:eastAsia="Times New Roman" w:cstheme="minorHAnsi"/>
          <w:noProof/>
          <w:color w:val="070607"/>
        </w:rPr>
      </w:pPr>
      <w:r>
        <w:rPr>
          <w:noProof/>
          <w:color w:val="070607"/>
        </w:rPr>
        <w:t>vai Apvienotās Karalistes sabiedrība ir reģistrēta Sabiedrību reģistrā (</w:t>
      </w:r>
      <w:r>
        <w:rPr>
          <w:i/>
          <w:noProof/>
          <w:color w:val="070607"/>
        </w:rPr>
        <w:t>Companies House</w:t>
      </w:r>
      <w:r>
        <w:rPr>
          <w:noProof/>
          <w:color w:val="070607"/>
        </w:rPr>
        <w:t xml:space="preserve">), vai arī </w:t>
      </w:r>
    </w:p>
    <w:p w:rsidR="003E022D" w:rsidRDefault="007D19D6">
      <w:pPr>
        <w:numPr>
          <w:ilvl w:val="0"/>
          <w:numId w:val="786"/>
        </w:numPr>
        <w:spacing w:after="138" w:line="266" w:lineRule="auto"/>
        <w:ind w:right="15"/>
        <w:rPr>
          <w:rFonts w:eastAsia="Times New Roman" w:cstheme="minorHAnsi"/>
          <w:noProof/>
          <w:color w:val="070607"/>
        </w:rPr>
      </w:pPr>
      <w:r>
        <w:rPr>
          <w:noProof/>
          <w:color w:val="070607"/>
        </w:rPr>
        <w:t>ārvalstu sabiedrības Apvienotās Karalistes filiāle ir reģistrēta Sabiedrību reģistrā (</w:t>
      </w:r>
      <w:r>
        <w:rPr>
          <w:i/>
          <w:noProof/>
          <w:color w:val="070607"/>
        </w:rPr>
        <w:t>Companies House</w:t>
      </w:r>
      <w:r>
        <w:rPr>
          <w:noProof/>
          <w:color w:val="070607"/>
        </w:rPr>
        <w:t xml:space="preserve">). </w:t>
      </w:r>
    </w:p>
    <w:p w:rsidR="003E022D" w:rsidRDefault="007D19D6">
      <w:pPr>
        <w:spacing w:after="120" w:line="266" w:lineRule="auto"/>
        <w:ind w:left="6" w:right="17" w:hanging="6"/>
        <w:rPr>
          <w:rFonts w:eastAsia="Times New Roman" w:cstheme="minorHAnsi"/>
          <w:noProof/>
          <w:color w:val="070607"/>
        </w:rPr>
      </w:pPr>
      <w:r>
        <w:rPr>
          <w:noProof/>
          <w:color w:val="070607"/>
        </w:rPr>
        <w:t xml:space="preserve">Šī prasība ir spēkā attiecībā uz ikvienu </w:t>
      </w:r>
      <w:r>
        <w:rPr>
          <w:noProof/>
          <w:color w:val="070607"/>
        </w:rPr>
        <w:t>sabiedrību, kas piesakās jaunai licencei, un ikvienu sabiedrību, kura vēlas pievienoties esošai licencei, pamatojoties uz cesiju. Tā attiecas uz visām licencēm un uz visiem uzņēmumiem neatkarīgi no tā, vai tie ir operatori. Lai saņemtu licenci, kas attieca</w:t>
      </w:r>
      <w:r>
        <w:rPr>
          <w:noProof/>
          <w:color w:val="070607"/>
        </w:rPr>
        <w:t xml:space="preserve">s uz konkrētu ieguves teritoriju, sabiedrībai a) jābūt </w:t>
      </w:r>
      <w:r>
        <w:rPr>
          <w:i/>
          <w:noProof/>
          <w:color w:val="070607"/>
        </w:rPr>
        <w:t>Companies House</w:t>
      </w:r>
      <w:r>
        <w:rPr>
          <w:noProof/>
          <w:color w:val="070607"/>
        </w:rPr>
        <w:t xml:space="preserve"> (Sabiedrību reģistrā) reģistrētai Apvienotās Karalistes sabiedrībai vai b) jāveic darījumdarbība no fiksētas darījumdarbības vietas Apvienotajā Karalistē, kura definēta </w:t>
      </w:r>
      <w:r>
        <w:rPr>
          <w:i/>
          <w:noProof/>
          <w:color w:val="070607"/>
        </w:rPr>
        <w:t>Finance Act</w:t>
      </w:r>
      <w:r>
        <w:rPr>
          <w:noProof/>
          <w:color w:val="070607"/>
        </w:rPr>
        <w:t xml:space="preserve"> 2003</w:t>
      </w:r>
      <w:r>
        <w:rPr>
          <w:noProof/>
          <w:color w:val="070607"/>
        </w:rPr>
        <w:t xml:space="preserve"> 148. pantā (parasti tam vajadzīgs, lai sabiedrība ar darbiniekiem atrastos Apvienotajā Karalistē) (ISIC 3.1. red. 11, CPC 883, 8675). </w:t>
      </w:r>
    </w:p>
    <w:p w:rsidR="003E022D" w:rsidRDefault="007D19D6">
      <w:pPr>
        <w:rPr>
          <w:rFonts w:eastAsia="Times New Roman" w:cstheme="minorHAnsi"/>
          <w:b/>
          <w:i/>
          <w:iCs/>
          <w:noProof/>
          <w:color w:val="070607"/>
        </w:rPr>
      </w:pPr>
      <w:r>
        <w:rPr>
          <w:b/>
          <w:i/>
          <w:iCs/>
          <w:noProof/>
          <w:color w:val="070607"/>
        </w:rPr>
        <w:t>Pasākumi</w:t>
      </w:r>
    </w:p>
    <w:p w:rsidR="003E022D" w:rsidRDefault="007D19D6">
      <w:pPr>
        <w:spacing w:after="0"/>
        <w:rPr>
          <w:rFonts w:cstheme="minorHAnsi"/>
          <w:b/>
          <w:bCs/>
          <w:noProof/>
          <w:u w:val="single"/>
        </w:rPr>
      </w:pPr>
      <w:r>
        <w:rPr>
          <w:i/>
          <w:noProof/>
          <w:color w:val="070607"/>
        </w:rPr>
        <w:t>Petroleum Act 1998</w:t>
      </w:r>
      <w:r>
        <w:rPr>
          <w:noProof/>
          <w:color w:val="070607"/>
        </w:rPr>
        <w:t xml:space="preserve"> (1998. gada Likums par naftu). </w:t>
      </w:r>
    </w:p>
    <w:p w:rsidR="003E022D" w:rsidRDefault="007D19D6">
      <w:pPr>
        <w:rPr>
          <w:rFonts w:eastAsia="Century" w:cstheme="minorHAnsi"/>
          <w:i/>
          <w:noProof/>
        </w:rPr>
      </w:pPr>
      <w:r>
        <w:rPr>
          <w:noProof/>
        </w:rPr>
        <w:br w:type="page"/>
      </w:r>
    </w:p>
    <w:p w:rsidR="003E022D" w:rsidRDefault="007D19D6">
      <w:pPr>
        <w:pStyle w:val="ANNEX"/>
        <w:rPr>
          <w:rFonts w:cstheme="minorHAnsi"/>
          <w:noProof/>
        </w:rPr>
      </w:pPr>
      <w:hyperlink w:anchor="_Toc35449683" w:history="1">
        <w:bookmarkStart w:id="1162" w:name="_Toc59020207"/>
        <w:bookmarkStart w:id="1163" w:name="_Toc59200410"/>
        <w:bookmarkStart w:id="1164" w:name="_Toc59645260"/>
        <w:bookmarkStart w:id="1165" w:name="_Toc59691299"/>
        <w:bookmarkStart w:id="1166" w:name="_Toc59988402"/>
        <w:r>
          <w:rPr>
            <w:noProof/>
          </w:rPr>
          <w:t>SERVIN-2. PIELIKUMS.</w:t>
        </w:r>
      </w:hyperlink>
      <w:hyperlink w:anchor="_Toc35449683" w:history="1">
        <w:bookmarkStart w:id="1167" w:name="_Toc58427911"/>
        <w:r>
          <w:rPr>
            <w:noProof/>
          </w:rPr>
          <w:t xml:space="preserve"> NĀKOTNES PASĀKUMI</w:t>
        </w:r>
        <w:bookmarkEnd w:id="1162"/>
        <w:bookmarkEnd w:id="1163"/>
        <w:bookmarkEnd w:id="1164"/>
        <w:bookmarkEnd w:id="1165"/>
        <w:bookmarkEnd w:id="1167"/>
        <w:bookmarkEnd w:id="1166"/>
      </w:hyperlink>
    </w:p>
    <w:p w:rsidR="003E022D" w:rsidRDefault="007D19D6">
      <w:pPr>
        <w:rPr>
          <w:rFonts w:cstheme="minorHAnsi"/>
          <w:b/>
          <w:bCs/>
          <w:noProof/>
          <w:u w:val="single"/>
        </w:rPr>
      </w:pPr>
      <w:r>
        <w:rPr>
          <w:b/>
          <w:bCs/>
          <w:noProof/>
          <w:u w:val="single"/>
        </w:rPr>
        <w:t>Ievadpiezīmes</w:t>
      </w:r>
    </w:p>
    <w:p w:rsidR="003E022D" w:rsidRDefault="007D19D6">
      <w:pPr>
        <w:rPr>
          <w:rFonts w:cstheme="minorHAnsi"/>
          <w:noProof/>
        </w:rPr>
      </w:pPr>
      <w:r>
        <w:rPr>
          <w:noProof/>
        </w:rPr>
        <w:t xml:space="preserve">1. </w:t>
      </w:r>
      <w:r>
        <w:rPr>
          <w:noProof/>
        </w:rPr>
        <w:tab/>
        <w:t xml:space="preserve">Apvienotās Karalistes un Savienības sarakstos saskaņā ar </w:t>
      </w:r>
      <w:r>
        <w:rPr>
          <w:noProof/>
          <w:highlight w:val="cyan"/>
        </w:rPr>
        <w:t xml:space="preserve">SERVIN. 2.7. pantu [Neatbilstoši pasākumi – investīciju liberalizācija], SERVIN.3.6. pantu [Neatbilstoši pasākumi – pakalpojumu </w:t>
      </w:r>
      <w:r>
        <w:rPr>
          <w:noProof/>
          <w:highlight w:val="cyan"/>
        </w:rPr>
        <w:t>pārrobežu tirdzniecība] un SERVIN. 5.50. pantu [Neatbilstoši pasākumi – juridiskie pakalpojumi]</w:t>
      </w:r>
      <w:r>
        <w:rPr>
          <w:noProof/>
        </w:rPr>
        <w:t xml:space="preserve"> ir izklāstītas Apvienotās Karalistes un Savienības atrunas attiecībā uz spēkā esošiem pasākumiem, kas neatbilst pienākumiem, kuri noteikti ar:</w:t>
      </w:r>
    </w:p>
    <w:p w:rsidR="003E022D" w:rsidRDefault="007D19D6">
      <w:pPr>
        <w:pStyle w:val="ListParagraph"/>
        <w:numPr>
          <w:ilvl w:val="0"/>
          <w:numId w:val="792"/>
        </w:numPr>
        <w:spacing w:after="160" w:line="259" w:lineRule="auto"/>
        <w:contextualSpacing w:val="0"/>
        <w:jc w:val="left"/>
        <w:rPr>
          <w:rFonts w:cstheme="minorHAnsi"/>
          <w:noProof/>
        </w:rPr>
      </w:pPr>
      <w:r>
        <w:rPr>
          <w:noProof/>
          <w:highlight w:val="cyan"/>
        </w:rPr>
        <w:t>SERVIN.2.2. pantu</w:t>
      </w:r>
      <w:r>
        <w:rPr>
          <w:noProof/>
          <w:highlight w:val="cyan"/>
        </w:rPr>
        <w:t xml:space="preserve"> [Piekļuve tirgum – investīciju liberalizācija] vai SERVIN.3.2. pantu [Piekļuve tirgum – pakalpojumu pārrobežu tirdzniecība]</w:t>
      </w:r>
      <w:r>
        <w:rPr>
          <w:noProof/>
        </w:rPr>
        <w:t>;</w:t>
      </w:r>
    </w:p>
    <w:p w:rsidR="003E022D" w:rsidRDefault="007D19D6">
      <w:pPr>
        <w:pStyle w:val="ListParagraph"/>
        <w:numPr>
          <w:ilvl w:val="0"/>
          <w:numId w:val="792"/>
        </w:numPr>
        <w:spacing w:after="160" w:line="259" w:lineRule="auto"/>
        <w:ind w:left="1134"/>
        <w:contextualSpacing w:val="0"/>
        <w:jc w:val="left"/>
        <w:rPr>
          <w:rFonts w:cstheme="minorHAnsi"/>
          <w:noProof/>
          <w:color w:val="FF0000"/>
        </w:rPr>
      </w:pPr>
      <w:r>
        <w:rPr>
          <w:noProof/>
          <w:highlight w:val="cyan"/>
        </w:rPr>
        <w:t>SERVIN. 3.3. pantu [Klātbūtne uz vietas – pakalpojumu pārrobežu tirdzniecība];</w:t>
      </w:r>
    </w:p>
    <w:p w:rsidR="003E022D" w:rsidRDefault="007D19D6">
      <w:pPr>
        <w:pStyle w:val="ListParagraph"/>
        <w:numPr>
          <w:ilvl w:val="0"/>
          <w:numId w:val="792"/>
        </w:numPr>
        <w:spacing w:after="160" w:line="259" w:lineRule="auto"/>
        <w:ind w:left="1134"/>
        <w:contextualSpacing w:val="0"/>
        <w:jc w:val="left"/>
        <w:rPr>
          <w:rFonts w:cstheme="minorHAnsi"/>
          <w:noProof/>
        </w:rPr>
      </w:pPr>
      <w:r>
        <w:rPr>
          <w:noProof/>
          <w:highlight w:val="cyan"/>
        </w:rPr>
        <w:t xml:space="preserve">SERVIN.2.3. pantu [Valsts režīms – investīciju </w:t>
      </w:r>
      <w:r>
        <w:rPr>
          <w:noProof/>
          <w:highlight w:val="cyan"/>
        </w:rPr>
        <w:t>liberalizācija] vai SERVIN.3.4. pantu [Valsts režīms – pakalpojumu pārrobežu tirdzniecība]</w:t>
      </w:r>
      <w:r>
        <w:rPr>
          <w:noProof/>
        </w:rPr>
        <w:t>;</w:t>
      </w:r>
    </w:p>
    <w:p w:rsidR="003E022D" w:rsidRDefault="007D19D6">
      <w:pPr>
        <w:pStyle w:val="ListParagraph"/>
        <w:numPr>
          <w:ilvl w:val="0"/>
          <w:numId w:val="792"/>
        </w:numPr>
        <w:spacing w:after="160" w:line="259" w:lineRule="auto"/>
        <w:ind w:left="1134"/>
        <w:contextualSpacing w:val="0"/>
        <w:jc w:val="left"/>
        <w:rPr>
          <w:rFonts w:cstheme="minorHAnsi"/>
          <w:noProof/>
        </w:rPr>
      </w:pPr>
      <w:r>
        <w:rPr>
          <w:noProof/>
          <w:highlight w:val="cyan"/>
        </w:rPr>
        <w:t>SERVIN.2.4. pantu [Lielākās labvēlības režīms – investīciju liberalizācija] vai SERVIN.3.5. pantu [Lielākās labvēlības režīms — pakalpojumu pārrobežu tirdzniecība]</w:t>
      </w:r>
      <w:r>
        <w:rPr>
          <w:noProof/>
        </w:rPr>
        <w:t>;</w:t>
      </w:r>
    </w:p>
    <w:p w:rsidR="003E022D" w:rsidRDefault="007D19D6">
      <w:pPr>
        <w:pStyle w:val="ListParagraph"/>
        <w:numPr>
          <w:ilvl w:val="0"/>
          <w:numId w:val="792"/>
        </w:numPr>
        <w:spacing w:after="160" w:line="259" w:lineRule="auto"/>
        <w:ind w:left="1134"/>
        <w:contextualSpacing w:val="0"/>
        <w:jc w:val="left"/>
        <w:rPr>
          <w:rFonts w:cstheme="minorHAnsi"/>
          <w:noProof/>
        </w:rPr>
      </w:pPr>
      <w:r>
        <w:rPr>
          <w:noProof/>
          <w:highlight w:val="cyan"/>
        </w:rPr>
        <w:t>SERVIN. 2.5. pantu [Augstākā vadība un direktoru padomes];</w:t>
      </w:r>
    </w:p>
    <w:p w:rsidR="003E022D" w:rsidRDefault="007D19D6">
      <w:pPr>
        <w:pStyle w:val="ListParagraph"/>
        <w:numPr>
          <w:ilvl w:val="0"/>
          <w:numId w:val="792"/>
        </w:numPr>
        <w:spacing w:after="160" w:line="259" w:lineRule="auto"/>
        <w:ind w:left="1134"/>
        <w:contextualSpacing w:val="0"/>
        <w:jc w:val="left"/>
        <w:rPr>
          <w:rFonts w:cstheme="minorHAnsi"/>
          <w:noProof/>
        </w:rPr>
      </w:pPr>
      <w:r>
        <w:rPr>
          <w:noProof/>
          <w:highlight w:val="cyan"/>
        </w:rPr>
        <w:t>SERVIN. 2.6. pantu [Veiktspējas prasības] un</w:t>
      </w:r>
      <w:r>
        <w:rPr>
          <w:noProof/>
        </w:rPr>
        <w:t xml:space="preserve"> vai</w:t>
      </w:r>
    </w:p>
    <w:p w:rsidR="003E022D" w:rsidRDefault="007D19D6">
      <w:pPr>
        <w:pStyle w:val="ListParagraph"/>
        <w:numPr>
          <w:ilvl w:val="0"/>
          <w:numId w:val="792"/>
        </w:numPr>
        <w:spacing w:after="160" w:line="259" w:lineRule="auto"/>
        <w:contextualSpacing w:val="0"/>
        <w:jc w:val="left"/>
        <w:rPr>
          <w:rFonts w:cstheme="minorHAnsi"/>
          <w:noProof/>
        </w:rPr>
      </w:pPr>
      <w:r>
        <w:rPr>
          <w:noProof/>
          <w:highlight w:val="cyan"/>
        </w:rPr>
        <w:t>SERVIN.5.49. pantu [Pienākumi– juridiskie pakalpojumi].</w:t>
      </w:r>
    </w:p>
    <w:p w:rsidR="003E022D" w:rsidRDefault="007D19D6">
      <w:pPr>
        <w:autoSpaceDE w:val="0"/>
        <w:autoSpaceDN w:val="0"/>
        <w:adjustRightInd w:val="0"/>
        <w:rPr>
          <w:rFonts w:cstheme="minorHAnsi"/>
          <w:noProof/>
          <w:color w:val="000000"/>
        </w:rPr>
      </w:pPr>
      <w:r>
        <w:rPr>
          <w:noProof/>
          <w:color w:val="000000"/>
        </w:rPr>
        <w:t xml:space="preserve">2. </w:t>
      </w:r>
      <w:r>
        <w:rPr>
          <w:noProof/>
        </w:rPr>
        <w:tab/>
      </w:r>
      <w:r>
        <w:rPr>
          <w:noProof/>
          <w:color w:val="000000"/>
        </w:rPr>
        <w:t xml:space="preserve">Puses atrunas neskar Pušu tiesības un pienākumus, ko paredz </w:t>
      </w:r>
      <w:r>
        <w:rPr>
          <w:i/>
          <w:noProof/>
          <w:color w:val="000000"/>
        </w:rPr>
        <w:t>GATS</w:t>
      </w:r>
      <w:r>
        <w:rPr>
          <w:noProof/>
          <w:color w:val="000000"/>
        </w:rPr>
        <w:t xml:space="preserve">. </w:t>
      </w:r>
    </w:p>
    <w:p w:rsidR="003E022D" w:rsidRDefault="007D19D6">
      <w:pPr>
        <w:autoSpaceDE w:val="0"/>
        <w:autoSpaceDN w:val="0"/>
        <w:adjustRightInd w:val="0"/>
        <w:rPr>
          <w:rFonts w:cstheme="minorHAnsi"/>
          <w:noProof/>
          <w:color w:val="000000"/>
        </w:rPr>
      </w:pPr>
      <w:r>
        <w:rPr>
          <w:noProof/>
          <w:color w:val="000000"/>
        </w:rPr>
        <w:t xml:space="preserve">3. </w:t>
      </w:r>
      <w:r>
        <w:rPr>
          <w:noProof/>
        </w:rPr>
        <w:tab/>
      </w:r>
      <w:r>
        <w:rPr>
          <w:noProof/>
          <w:color w:val="000000"/>
        </w:rPr>
        <w:t xml:space="preserve">Katrā atrunā ir </w:t>
      </w:r>
      <w:r>
        <w:rPr>
          <w:noProof/>
          <w:color w:val="000000"/>
        </w:rPr>
        <w:t xml:space="preserve">šādas daļas: </w:t>
      </w:r>
    </w:p>
    <w:p w:rsidR="003E022D" w:rsidRDefault="007D19D6">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 xml:space="preserve">“nozare” – vispārējā nozare, uz kuru attiecas atruna; </w:t>
      </w:r>
    </w:p>
    <w:p w:rsidR="003E022D" w:rsidRDefault="007D19D6">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 xml:space="preserve">“apakšnozare” – konkrētā nozare, uz kuru attiecas atruna; </w:t>
      </w:r>
    </w:p>
    <w:p w:rsidR="003E022D" w:rsidRDefault="007D19D6">
      <w:pPr>
        <w:pStyle w:val="ListParagraph"/>
        <w:numPr>
          <w:ilvl w:val="0"/>
          <w:numId w:val="790"/>
        </w:numPr>
        <w:spacing w:after="160" w:line="259" w:lineRule="auto"/>
        <w:ind w:left="1134"/>
        <w:contextualSpacing w:val="0"/>
        <w:jc w:val="left"/>
        <w:rPr>
          <w:rFonts w:cstheme="minorHAnsi"/>
          <w:noProof/>
          <w:color w:val="000000"/>
        </w:rPr>
      </w:pPr>
      <w:r>
        <w:rPr>
          <w:noProof/>
          <w:color w:val="000000"/>
        </w:rPr>
        <w:t>“nozares klasifikācija” – attiecīgā gadījumā norādīta darbība, uz kuru attiecas atruna saskaņā ar CPC, ISIC 3.1. red. vai kā cit</w:t>
      </w:r>
      <w:r>
        <w:rPr>
          <w:noProof/>
          <w:color w:val="000000"/>
        </w:rPr>
        <w:t>ādi skaidri izklāstīts Puses atrunā;</w:t>
      </w:r>
    </w:p>
    <w:p w:rsidR="003E022D" w:rsidRDefault="007D19D6">
      <w:pPr>
        <w:pStyle w:val="ListParagraph"/>
        <w:numPr>
          <w:ilvl w:val="0"/>
          <w:numId w:val="790"/>
        </w:numPr>
        <w:spacing w:after="160" w:line="259" w:lineRule="auto"/>
        <w:ind w:left="1134"/>
        <w:contextualSpacing w:val="0"/>
        <w:jc w:val="left"/>
        <w:rPr>
          <w:rFonts w:cstheme="minorHAnsi"/>
          <w:noProof/>
          <w:color w:val="000000"/>
        </w:rPr>
      </w:pPr>
      <w:r>
        <w:rPr>
          <w:noProof/>
          <w:color w:val="000000"/>
        </w:rPr>
        <w:t xml:space="preserve">“atrunas veids”, kas precizē 1. punktā minētos pienākumus, uz kuriem attiecas atruna; </w:t>
      </w:r>
    </w:p>
    <w:p w:rsidR="003E022D" w:rsidRDefault="007D19D6">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 xml:space="preserve">“apraksts” – tās nozares, apakšnozares vai darbības joma, uz kuru attiecas atruna, un </w:t>
      </w:r>
    </w:p>
    <w:p w:rsidR="003E022D" w:rsidRDefault="007D19D6">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“esošie pasākumi” – pārredzamības nolūkā tiek</w:t>
      </w:r>
      <w:r>
        <w:rPr>
          <w:noProof/>
          <w:color w:val="000000"/>
        </w:rPr>
        <w:t xml:space="preserve"> uzskaitīti pašreizējie pasākumi, ko piemēro nozarei, apakšnozarei vai darbībām, uz ko attiecas atruna. </w:t>
      </w:r>
    </w:p>
    <w:p w:rsidR="003E022D" w:rsidRDefault="007D19D6">
      <w:pPr>
        <w:autoSpaceDE w:val="0"/>
        <w:autoSpaceDN w:val="0"/>
        <w:adjustRightInd w:val="0"/>
        <w:rPr>
          <w:rFonts w:cstheme="minorHAnsi"/>
          <w:noProof/>
          <w:color w:val="000000"/>
        </w:rPr>
      </w:pPr>
      <w:r>
        <w:rPr>
          <w:noProof/>
          <w:color w:val="000000"/>
        </w:rPr>
        <w:t xml:space="preserve">4. </w:t>
      </w:r>
      <w:r>
        <w:rPr>
          <w:noProof/>
        </w:rPr>
        <w:tab/>
      </w:r>
      <w:r>
        <w:rPr>
          <w:noProof/>
          <w:color w:val="000000"/>
        </w:rPr>
        <w:t xml:space="preserve">Interpretējot atrunu, ņem vērā visas tās daļas. Daļa “apraksts” prevalē pār visām citām daļām. </w:t>
      </w:r>
    </w:p>
    <w:p w:rsidR="003E022D" w:rsidRDefault="007D19D6">
      <w:pPr>
        <w:autoSpaceDE w:val="0"/>
        <w:autoSpaceDN w:val="0"/>
        <w:adjustRightInd w:val="0"/>
        <w:rPr>
          <w:rFonts w:cstheme="minorHAnsi"/>
          <w:noProof/>
        </w:rPr>
      </w:pPr>
      <w:r>
        <w:rPr>
          <w:noProof/>
        </w:rPr>
        <w:t>5.</w:t>
      </w:r>
      <w:r>
        <w:rPr>
          <w:noProof/>
        </w:rPr>
        <w:tab/>
        <w:t>Apvienotās Karalistes un Eiropas Savienības sais</w:t>
      </w:r>
      <w:r>
        <w:rPr>
          <w:noProof/>
        </w:rPr>
        <w:t>tību sarakstos</w:t>
      </w:r>
    </w:p>
    <w:p w:rsidR="003E022D" w:rsidRDefault="007D19D6">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a) ar “ISIC 3.1. red.” apzīmē Starptautisko standartizēto visu saimnieciskās darbības veidu klasifikāciju, kāda tā izklāstīta Apvienoto Nāciju Organizācijas Statistikas biroja statistikas dokumentus M sērijā Nr.</w:t>
      </w:r>
      <w:r>
        <w:rPr>
          <w:rFonts w:asciiTheme="minorHAnsi" w:hAnsiTheme="minorHAnsi"/>
          <w:i/>
          <w:noProof/>
          <w:color w:val="auto"/>
          <w:sz w:val="22"/>
          <w:szCs w:val="22"/>
        </w:rPr>
        <w:t> </w:t>
      </w:r>
      <w:r>
        <w:rPr>
          <w:rFonts w:asciiTheme="minorHAnsi" w:hAnsiTheme="minorHAnsi"/>
          <w:noProof/>
          <w:color w:val="auto"/>
          <w:sz w:val="22"/>
          <w:szCs w:val="22"/>
        </w:rPr>
        <w:t>4, ISIC 3.1. red., 2002.;</w:t>
      </w:r>
    </w:p>
    <w:p w:rsidR="003E022D" w:rsidRDefault="007D19D6">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b) </w:t>
      </w:r>
      <w:r>
        <w:rPr>
          <w:rFonts w:asciiTheme="minorHAnsi" w:hAnsiTheme="minorHAnsi"/>
          <w:noProof/>
          <w:color w:val="auto"/>
          <w:sz w:val="22"/>
          <w:szCs w:val="22"/>
        </w:rPr>
        <w:t>“CPC” ir Centrālā preču klasifikācija (Apvienoto Nāciju Organizācijas Statistikas biroja Starptautisko Ekonomikas un sociālo lietu komitejas statistikas dokumentu M sērija, Nr. 77, Ņujorka, 1991. gads);</w:t>
      </w:r>
    </w:p>
    <w:p w:rsidR="003E022D" w:rsidRDefault="007D19D6">
      <w:pPr>
        <w:pStyle w:val="Default"/>
        <w:spacing w:after="240"/>
        <w:rPr>
          <w:rFonts w:asciiTheme="minorHAnsi" w:hAnsiTheme="minorHAnsi" w:cstheme="minorHAnsi"/>
          <w:noProof/>
          <w:color w:val="4F81BD" w:themeColor="accent1"/>
          <w:sz w:val="22"/>
          <w:szCs w:val="22"/>
        </w:rPr>
      </w:pPr>
      <w:r>
        <w:rPr>
          <w:rFonts w:asciiTheme="minorHAnsi" w:hAnsiTheme="minorHAnsi"/>
          <w:noProof/>
          <w:color w:val="auto"/>
          <w:sz w:val="22"/>
          <w:szCs w:val="22"/>
        </w:rPr>
        <w:t xml:space="preserve">6. </w:t>
      </w:r>
      <w:r>
        <w:rPr>
          <w:noProof/>
        </w:rPr>
        <w:tab/>
      </w:r>
      <w:r>
        <w:rPr>
          <w:rFonts w:asciiTheme="minorHAnsi" w:hAnsiTheme="minorHAnsi"/>
          <w:noProof/>
          <w:color w:val="auto"/>
          <w:sz w:val="22"/>
          <w:szCs w:val="22"/>
        </w:rPr>
        <w:t>Apvienotās Karalistes un Savienības sarakstos atr</w:t>
      </w:r>
      <w:r>
        <w:rPr>
          <w:rFonts w:asciiTheme="minorHAnsi" w:hAnsiTheme="minorHAnsi"/>
          <w:noProof/>
          <w:color w:val="auto"/>
          <w:sz w:val="22"/>
          <w:szCs w:val="22"/>
        </w:rPr>
        <w:t xml:space="preserve">una saistībā ar prasību par vietēju klātbūtni Savienības vai Apvienotās Karalistes teritorijā attiecas uz </w:t>
      </w:r>
      <w:r>
        <w:rPr>
          <w:rFonts w:asciiTheme="minorHAnsi" w:hAnsiTheme="minorHAnsi"/>
          <w:noProof/>
          <w:color w:val="auto"/>
          <w:sz w:val="22"/>
          <w:szCs w:val="22"/>
          <w:highlight w:val="cyan"/>
        </w:rPr>
        <w:t>SERVIN 3.3. pantu [Klātbūtne uz vietas]</w:t>
      </w:r>
      <w:r>
        <w:rPr>
          <w:rFonts w:asciiTheme="minorHAnsi" w:hAnsiTheme="minorHAnsi"/>
          <w:noProof/>
          <w:color w:val="auto"/>
          <w:sz w:val="22"/>
          <w:szCs w:val="22"/>
        </w:rPr>
        <w:t xml:space="preserve">, nevis uz </w:t>
      </w:r>
      <w:r>
        <w:rPr>
          <w:rFonts w:asciiTheme="minorHAnsi" w:hAnsiTheme="minorHAnsi"/>
          <w:noProof/>
          <w:color w:val="auto"/>
          <w:sz w:val="22"/>
          <w:szCs w:val="22"/>
          <w:highlight w:val="cyan"/>
        </w:rPr>
        <w:t>SERVIN 3.2. pantu [Piekļuve tirgum] vai SERVIN 3.4. pantu [Valsts režīms]</w:t>
      </w:r>
      <w:r>
        <w:rPr>
          <w:rFonts w:asciiTheme="minorHAnsi" w:hAnsiTheme="minorHAnsi"/>
          <w:noProof/>
          <w:color w:val="auto"/>
          <w:sz w:val="22"/>
          <w:szCs w:val="22"/>
        </w:rPr>
        <w:t xml:space="preserve">. Turklāt šāda prasība nav </w:t>
      </w:r>
      <w:r>
        <w:rPr>
          <w:rFonts w:asciiTheme="minorHAnsi" w:hAnsiTheme="minorHAnsi"/>
          <w:noProof/>
          <w:color w:val="auto"/>
          <w:sz w:val="22"/>
          <w:szCs w:val="22"/>
        </w:rPr>
        <w:t xml:space="preserve">uzskatāma par atrunu attiecībā uz </w:t>
      </w:r>
      <w:r>
        <w:rPr>
          <w:rFonts w:asciiTheme="minorHAnsi" w:hAnsiTheme="minorHAnsi"/>
          <w:noProof/>
          <w:color w:val="auto"/>
          <w:sz w:val="22"/>
          <w:szCs w:val="22"/>
          <w:highlight w:val="cyan"/>
        </w:rPr>
        <w:t>SERVIN 2.3. pantu [Valsts režīms].</w:t>
      </w:r>
      <w:r>
        <w:rPr>
          <w:rFonts w:asciiTheme="minorHAnsi" w:hAnsiTheme="minorHAnsi"/>
          <w:noProof/>
          <w:color w:val="4F81BD" w:themeColor="accent1"/>
          <w:sz w:val="22"/>
          <w:szCs w:val="22"/>
        </w:rPr>
        <w:t xml:space="preserve"> </w:t>
      </w:r>
    </w:p>
    <w:p w:rsidR="003E022D" w:rsidRDefault="007D19D6">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Atruna, kas pieņemta Savienības līmenī, attiecas uz Savienības pasākumu, uz dalībvalsts pasākumu centrālajā līmenī vai uz dalībvalsts valdības pasākumu, ja vien dalībvalsts nav izslē</w:t>
      </w:r>
      <w:r>
        <w:rPr>
          <w:rFonts w:asciiTheme="minorHAnsi" w:hAnsiTheme="minorHAnsi"/>
          <w:noProof/>
          <w:color w:val="auto"/>
          <w:sz w:val="22"/>
          <w:szCs w:val="22"/>
        </w:rPr>
        <w:t>gta no atrunas darbības jomas. Atruna, ko pieņēmusi dalībvalsts, attiecas uz minētās dalībvalsts centrālā, reģionālā vai vietējā līmeņa valdības iestādes pasākumu. Attiecībā uz Beļģijā piemērojamām atrunām centrālais valdības līmenis ietver gan federālo va</w:t>
      </w:r>
      <w:r>
        <w:rPr>
          <w:rFonts w:asciiTheme="minorHAnsi" w:hAnsiTheme="minorHAnsi"/>
          <w:noProof/>
          <w:color w:val="auto"/>
          <w:sz w:val="22"/>
          <w:szCs w:val="22"/>
        </w:rPr>
        <w:t>ldību, gan reģionu un komūnu valdības, jo katrai no tām ir līdzvērtīgas likumdošanas pilnvaras. Attiecībā uz Savienības un tās dalībvalstu atrunām Olandes salas Somijā ir reģionālais valdības līmenis. Apvienotās Karalistes līmenī pieņemta atruna attiecas u</w:t>
      </w:r>
      <w:r>
        <w:rPr>
          <w:rFonts w:asciiTheme="minorHAnsi" w:hAnsiTheme="minorHAnsi"/>
          <w:noProof/>
          <w:color w:val="auto"/>
          <w:sz w:val="22"/>
          <w:szCs w:val="22"/>
        </w:rPr>
        <w:t xml:space="preserve">z centrālās valdības, reģionālās valdības vai vietējās valdības pasākumu. </w:t>
      </w:r>
    </w:p>
    <w:p w:rsidR="003E022D" w:rsidRDefault="007D19D6">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 xml:space="preserve">Turpmāk sniegtajā atrunu sarakstā nav iekļauti pasākumi, kas saistīti ar kvalifikācijas prasībām un procedūrām, tehniskajiem standartiem un licencēšanas prasībām un procedūrām, ja tie attiecībā uz piekļuvi tirgum vai valsts režīmu neveido ierobežojumu </w:t>
      </w:r>
      <w:r>
        <w:rPr>
          <w:rFonts w:asciiTheme="minorHAnsi" w:hAnsiTheme="minorHAnsi"/>
          <w:noProof/>
          <w:color w:val="auto"/>
          <w:sz w:val="22"/>
          <w:szCs w:val="22"/>
          <w:highlight w:val="cyan"/>
        </w:rPr>
        <w:t>SERV</w:t>
      </w:r>
      <w:r>
        <w:rPr>
          <w:rFonts w:asciiTheme="minorHAnsi" w:hAnsiTheme="minorHAnsi"/>
          <w:noProof/>
          <w:color w:val="auto"/>
          <w:sz w:val="22"/>
          <w:szCs w:val="22"/>
          <w:highlight w:val="cyan"/>
        </w:rPr>
        <w:t>IN.2.2. panta [Piekļuve tirgum – investīciju liberalizācija], SERVIN.2.3. panta [Valsts režīms – investīciju liberalizācija], SERVIN.3.2. panta [ Piekļuve tirgum – pakalpojumu pārrobežu tirdzniecība], SERVIN.3.3. panta [Klātbūtne uz vietas – pakalpojumu pā</w:t>
      </w:r>
      <w:r>
        <w:rPr>
          <w:rFonts w:asciiTheme="minorHAnsi" w:hAnsiTheme="minorHAnsi"/>
          <w:noProof/>
          <w:color w:val="auto"/>
          <w:sz w:val="22"/>
          <w:szCs w:val="22"/>
          <w:highlight w:val="cyan"/>
        </w:rPr>
        <w:t>rrobežu tirdzniecība], SERVIN 3.4. panta [Valsts režīms - pakalpojumu pārrobežu tirdzniecība] vai SERVIN 5.49. panta [Pienākumi - juridiskie pasākumi]</w:t>
      </w:r>
      <w:r>
        <w:rPr>
          <w:rFonts w:asciiTheme="minorHAnsi" w:hAnsiTheme="minorHAnsi"/>
          <w:noProof/>
          <w:color w:val="auto"/>
          <w:sz w:val="22"/>
          <w:szCs w:val="22"/>
        </w:rPr>
        <w:t xml:space="preserve"> nozīmē. Minētie pasākumi var ietvert galvenokārt nepieciešamību saņemt licenci, izpildīt universālā pakal</w:t>
      </w:r>
      <w:r>
        <w:rPr>
          <w:rFonts w:asciiTheme="minorHAnsi" w:hAnsiTheme="minorHAnsi"/>
          <w:noProof/>
          <w:color w:val="auto"/>
          <w:sz w:val="22"/>
          <w:szCs w:val="22"/>
        </w:rPr>
        <w:t>pojuma saistības, saņemt atzītu kvalifikāciju regulētās nozarēs, nokārtot konkrētus pārbaudījumus, ieskaitot valodas prasmju pārbaudi, izpildīt dalības prasību konkrētā profesijā, piemēram, piederība pie profesionālās organizācijas, vajadzību pēc vietējā p</w:t>
      </w:r>
      <w:r>
        <w:rPr>
          <w:rFonts w:asciiTheme="minorHAnsi" w:hAnsiTheme="minorHAnsi"/>
          <w:noProof/>
          <w:color w:val="auto"/>
          <w:sz w:val="22"/>
          <w:szCs w:val="22"/>
        </w:rPr>
        <w:t xml:space="preserve">ārstāvja pakalpojuma sniegšanai vai vietējās adreses, vai jebkuras citas nediskriminējošas prasības, ka konkrētas darbības nedrīkst veikt aizsargājamās zonās vai teritorijās. Lai gan šādi pasākumi sarakstā nav iekļauti, tie ir piemērojami arī turpmāk. </w:t>
      </w:r>
    </w:p>
    <w:p w:rsidR="003E022D" w:rsidRDefault="007D19D6">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9. </w:t>
      </w:r>
      <w:r>
        <w:rPr>
          <w:noProof/>
        </w:rPr>
        <w:tab/>
      </w:r>
      <w:r>
        <w:rPr>
          <w:rFonts w:asciiTheme="minorHAnsi" w:hAnsiTheme="minorHAnsi"/>
          <w:noProof/>
          <w:color w:val="auto"/>
          <w:sz w:val="22"/>
          <w:szCs w:val="22"/>
        </w:rPr>
        <w:t>Lielākai noteiktībai — attiecībā uz Eiropas Savienību pienākums piešķirt valsts režīmu nenozīmē prasību attiecināt uz Apvienotās Karalistes fiziskajām vai juridiskajām personām režīmu, kas šādām personām piešķirts dalībvalstī saskaņā ar Līgumu par Eiropas</w:t>
      </w:r>
      <w:r>
        <w:rPr>
          <w:rFonts w:asciiTheme="minorHAnsi" w:hAnsiTheme="minorHAnsi"/>
          <w:noProof/>
          <w:color w:val="auto"/>
          <w:sz w:val="22"/>
          <w:szCs w:val="22"/>
        </w:rPr>
        <w:t xml:space="preserve"> Savienības darbību, vai jebkādu pasākumu, kas pieņemts saskaņā ar minēto Līgumu, ieskaitot to īstenošanu dalībvalstī: </w:t>
      </w:r>
    </w:p>
    <w:p w:rsidR="003E022D" w:rsidRDefault="007D19D6">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i) citas dalībvalsts fiziskām personām vai rezidentiem vai </w:t>
      </w:r>
    </w:p>
    <w:p w:rsidR="003E022D" w:rsidRDefault="007D19D6">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ii) juridiskajām personām, kuras ir izveidotas vai organizētas saskaņā ar ci</w:t>
      </w:r>
      <w:r>
        <w:rPr>
          <w:rFonts w:asciiTheme="minorHAnsi" w:hAnsiTheme="minorHAnsi"/>
          <w:noProof/>
          <w:color w:val="auto"/>
          <w:sz w:val="22"/>
          <w:szCs w:val="22"/>
        </w:rPr>
        <w:t xml:space="preserve">tas dalībvalsts tiesību aktiem vai Savienības tiesībām un kuru juridiskā adrese, galvenā vadība vai galvenā darījumdarbības vieta atrodas Savienībā. </w:t>
      </w:r>
    </w:p>
    <w:p w:rsidR="003E022D" w:rsidRDefault="007D19D6">
      <w:pPr>
        <w:pStyle w:val="ListParagraph"/>
        <w:spacing w:before="240"/>
        <w:ind w:left="0"/>
        <w:rPr>
          <w:rFonts w:cstheme="minorHAnsi"/>
          <w:noProof/>
          <w:color w:val="4F81BD" w:themeColor="accent1"/>
        </w:rPr>
      </w:pPr>
      <w:r>
        <w:rPr>
          <w:noProof/>
        </w:rPr>
        <w:t xml:space="preserve">10. </w:t>
      </w:r>
      <w:r>
        <w:rPr>
          <w:noProof/>
        </w:rPr>
        <w:tab/>
        <w:t>Režīms, ko piešķir juridiskām personām, kuras izveidojuši vienas Puses investori saskaņā ar otras Pus</w:t>
      </w:r>
      <w:r>
        <w:rPr>
          <w:noProof/>
        </w:rPr>
        <w:t xml:space="preserve">es tiesībām (tostarp Savienības gadījumā – saskaņā ar dalībvalsts tiesību aktiem) un kuru juridiskā adrese, galvenā vadība vai galvenā darījumdarbības vieta atrodas minētajā otrā Pusē, atbilstīgi </w:t>
      </w:r>
      <w:r>
        <w:rPr>
          <w:noProof/>
          <w:highlight w:val="cyan"/>
        </w:rPr>
        <w:t xml:space="preserve">Otrās daļas [Tirdzniecība, transports un zvejniecība] Pirmā </w:t>
      </w:r>
      <w:r>
        <w:rPr>
          <w:noProof/>
          <w:highlight w:val="cyan"/>
        </w:rPr>
        <w:t>temata [Tirdzniecība] II sadaļas [Pakalpojumi un investīcijas] 2. nodaļai [Investīciju liberalizācija]</w:t>
      </w:r>
      <w:r>
        <w:rPr>
          <w:noProof/>
        </w:rPr>
        <w:t xml:space="preserve"> neskar nosacījumus vai pienākumus, kas var būt bijuši noteikti šādai juridiskai personai, kad tā tika izveidota minētajā otrajā Pusē, un kas arī turpmāk </w:t>
      </w:r>
      <w:r>
        <w:rPr>
          <w:noProof/>
        </w:rPr>
        <w:t>ir piemērojami.</w:t>
      </w:r>
    </w:p>
    <w:p w:rsidR="003E022D" w:rsidRDefault="007D19D6">
      <w:pPr>
        <w:pStyle w:val="Default"/>
        <w:rPr>
          <w:rFonts w:asciiTheme="minorHAnsi" w:hAnsiTheme="minorHAnsi" w:cstheme="minorHAnsi"/>
          <w:noProof/>
          <w:color w:val="auto"/>
          <w:sz w:val="22"/>
          <w:szCs w:val="22"/>
        </w:rPr>
      </w:pPr>
      <w:r>
        <w:rPr>
          <w:rFonts w:asciiTheme="minorHAnsi" w:hAnsiTheme="minorHAnsi"/>
          <w:noProof/>
          <w:color w:val="auto"/>
          <w:sz w:val="22"/>
          <w:szCs w:val="22"/>
        </w:rPr>
        <w:t xml:space="preserve">11. </w:t>
      </w:r>
      <w:r>
        <w:rPr>
          <w:noProof/>
        </w:rPr>
        <w:tab/>
      </w:r>
      <w:r>
        <w:rPr>
          <w:rFonts w:asciiTheme="minorHAnsi" w:hAnsiTheme="minorHAnsi"/>
          <w:noProof/>
          <w:color w:val="auto"/>
          <w:sz w:val="22"/>
          <w:szCs w:val="22"/>
        </w:rPr>
        <w:t xml:space="preserve">Saraksti attiecas tikai uz Apvienotās Karalistes un Eiropas Savienības teritorijām saskaņā ar </w:t>
      </w:r>
      <w:r>
        <w:rPr>
          <w:rFonts w:asciiTheme="minorHAnsi" w:hAnsiTheme="minorHAnsi"/>
          <w:noProof/>
          <w:color w:val="auto"/>
          <w:sz w:val="22"/>
          <w:szCs w:val="22"/>
          <w:highlight w:val="cyan"/>
        </w:rPr>
        <w:t>FINPROV.1. pantu [Teritoriālā piemērošana]</w:t>
      </w:r>
      <w:r>
        <w:rPr>
          <w:rFonts w:asciiTheme="minorHAnsi" w:hAnsiTheme="minorHAnsi"/>
          <w:noProof/>
          <w:color w:val="auto"/>
          <w:sz w:val="22"/>
          <w:szCs w:val="22"/>
        </w:rPr>
        <w:t xml:space="preserve"> /</w:t>
      </w:r>
      <w:r>
        <w:rPr>
          <w:rFonts w:asciiTheme="minorHAnsi" w:hAnsiTheme="minorHAnsi"/>
          <w:noProof/>
          <w:color w:val="auto"/>
          <w:sz w:val="22"/>
          <w:szCs w:val="22"/>
          <w:highlight w:val="cyan"/>
        </w:rPr>
        <w:t>OTH.9.2. pantu [Ģeogrāfiskais tvērums]</w:t>
      </w:r>
      <w:r>
        <w:rPr>
          <w:rFonts w:asciiTheme="minorHAnsi" w:hAnsiTheme="minorHAnsi"/>
          <w:noProof/>
          <w:color w:val="auto"/>
          <w:sz w:val="22"/>
          <w:szCs w:val="22"/>
        </w:rPr>
        <w:t xml:space="preserve"> , un tie skar tikai Savienības un tās dalībvalstu tirdznie</w:t>
      </w:r>
      <w:r>
        <w:rPr>
          <w:rFonts w:asciiTheme="minorHAnsi" w:hAnsiTheme="minorHAnsi"/>
          <w:noProof/>
          <w:color w:val="auto"/>
          <w:sz w:val="22"/>
          <w:szCs w:val="22"/>
        </w:rPr>
        <w:t xml:space="preserve">cības attiecības ar Apvienoto Karalisti. Tie neskar dalībvalstu tiesības un pienākumus, kas izriet no Savienības tiesību aktiem. </w:t>
      </w:r>
    </w:p>
    <w:p w:rsidR="003E022D" w:rsidRDefault="007D19D6">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sz w:val="22"/>
          <w:szCs w:val="22"/>
        </w:rPr>
        <w:t>Lielākai noteiktībai — nediskriminējoši pasākumi nav attiecībā uz piekļuvi tirgum noteikts ierobežojums</w:t>
      </w:r>
      <w:r>
        <w:rPr>
          <w:rFonts w:asciiTheme="minorHAnsi" w:hAnsiTheme="minorHAnsi"/>
          <w:noProof/>
          <w:sz w:val="22"/>
          <w:szCs w:val="22"/>
          <w:highlight w:val="cyan"/>
        </w:rPr>
        <w:t xml:space="preserve"> SERVIN 2.2. panta [Piekļuve tirgum – investīciju liberalizācija], SERVIN.3.2. panta [Piekļuve tirgum – pakalpojumu pārrobežu tirdzniecība] vai SERVIN.5.49. panta [Pienākumi – juridiskie pakalpojumi]</w:t>
      </w:r>
      <w:r>
        <w:rPr>
          <w:rFonts w:asciiTheme="minorHAnsi" w:hAnsiTheme="minorHAnsi"/>
          <w:noProof/>
          <w:sz w:val="22"/>
          <w:szCs w:val="22"/>
        </w:rPr>
        <w:t xml:space="preserve"> nozīmē nevienam šādam pasākumam,</w:t>
      </w:r>
      <w:r>
        <w:rPr>
          <w:rFonts w:asciiTheme="minorHAnsi" w:hAnsiTheme="minorHAnsi"/>
          <w:noProof/>
          <w:color w:val="auto"/>
          <w:sz w:val="22"/>
          <w:szCs w:val="22"/>
        </w:rPr>
        <w:t xml:space="preserve"> </w:t>
      </w:r>
    </w:p>
    <w:p w:rsidR="003E022D" w:rsidRDefault="007D19D6">
      <w:pPr>
        <w:pStyle w:val="Default"/>
        <w:numPr>
          <w:ilvl w:val="0"/>
          <w:numId w:val="791"/>
        </w:numPr>
        <w:spacing w:after="240"/>
        <w:rPr>
          <w:rFonts w:asciiTheme="minorHAnsi" w:hAnsiTheme="minorHAnsi" w:cstheme="minorHAnsi"/>
          <w:noProof/>
          <w:sz w:val="22"/>
          <w:szCs w:val="22"/>
        </w:rPr>
      </w:pPr>
      <w:r>
        <w:rPr>
          <w:rFonts w:asciiTheme="minorHAnsi" w:hAnsiTheme="minorHAnsi"/>
          <w:noProof/>
          <w:sz w:val="22"/>
          <w:szCs w:val="22"/>
        </w:rPr>
        <w:t>kam nepieciešama infra</w:t>
      </w:r>
      <w:r>
        <w:rPr>
          <w:rFonts w:asciiTheme="minorHAnsi" w:hAnsiTheme="minorHAnsi"/>
          <w:noProof/>
          <w:sz w:val="22"/>
          <w:szCs w:val="22"/>
        </w:rPr>
        <w:t>struktūras īpašumtiesību atdalīšana no to preču vai pakalpojumu īpašumtiesībām, kurus sniedz, izmantojot minēto infrastruktūru, lai nodrošinātu godīgu konkurenci, piemēram, enerģētikas, transporta un telesakaru jomā;</w:t>
      </w:r>
    </w:p>
    <w:p w:rsidR="003E022D" w:rsidRDefault="007D19D6">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kas ierobežo īpašumtiesību koncentrācij</w:t>
      </w:r>
      <w:r>
        <w:rPr>
          <w:rFonts w:asciiTheme="minorHAnsi" w:hAnsiTheme="minorHAnsi"/>
          <w:noProof/>
          <w:sz w:val="22"/>
          <w:szCs w:val="22"/>
        </w:rPr>
        <w:t xml:space="preserve">u, lai nodrošinātu godīgu konkurenci; </w:t>
      </w:r>
    </w:p>
    <w:p w:rsidR="003E022D" w:rsidRDefault="007D19D6">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ar ko vēlas saglabāt un aizsargāt dabas resursus un vidi, tostarp ierobežojot piešķirto koncesiju pieejamību, skaitu un jomu un nosakot moratoriju vai aizliegumu; </w:t>
      </w:r>
    </w:p>
    <w:p w:rsidR="003E022D" w:rsidRDefault="007D19D6">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ar ko ierobežo piešķirto atļauju skaitu, pamatojoties</w:t>
      </w:r>
      <w:r>
        <w:rPr>
          <w:rFonts w:asciiTheme="minorHAnsi" w:hAnsiTheme="minorHAnsi"/>
          <w:noProof/>
          <w:sz w:val="22"/>
          <w:szCs w:val="22"/>
        </w:rPr>
        <w:t xml:space="preserve"> uz tehniskiem vai fiziskiem ierobežojumiem, piemēram, telesakaru spektriem un frekvencēm, vai </w:t>
      </w:r>
    </w:p>
    <w:p w:rsidR="003E022D" w:rsidRDefault="007D19D6">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kas prasa, lai konkrēta uzņēmuma kapitāldaļu īpašnieku, īpašnieku, partneru vai direktoru procentuālā daļa būtu kvalificēta vai darbotos konkrētā profesijā, pie</w:t>
      </w:r>
      <w:r>
        <w:rPr>
          <w:rFonts w:asciiTheme="minorHAnsi" w:hAnsiTheme="minorHAnsi"/>
          <w:noProof/>
          <w:sz w:val="22"/>
          <w:szCs w:val="22"/>
        </w:rPr>
        <w:t xml:space="preserve">mēram, jurista vai grāmatveža profesijā. </w:t>
      </w:r>
    </w:p>
    <w:p w:rsidR="003E022D" w:rsidRDefault="007D19D6">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13. </w:t>
      </w:r>
      <w:r>
        <w:rPr>
          <w:noProof/>
        </w:rPr>
        <w:tab/>
      </w:r>
      <w:r>
        <w:rPr>
          <w:rFonts w:asciiTheme="minorHAnsi" w:hAnsiTheme="minorHAnsi"/>
          <w:noProof/>
          <w:color w:val="auto"/>
          <w:sz w:val="22"/>
          <w:szCs w:val="22"/>
        </w:rPr>
        <w:t>Attiecībā uz finanšu pakalpojumiem: atšķirībā no ārvalstu meitasuzņēmumiem, filiālēm, ko tieši dalībvalstī izveidojusi ārpussavienības finanšu iestāde, ar dažiem konkrētiem izņēmumiem nepiemēro Eiropas Savienī</w:t>
      </w:r>
      <w:r>
        <w:rPr>
          <w:rFonts w:asciiTheme="minorHAnsi" w:hAnsiTheme="minorHAnsi"/>
          <w:noProof/>
          <w:color w:val="auto"/>
          <w:sz w:val="22"/>
          <w:szCs w:val="22"/>
        </w:rPr>
        <w:t>bas mērogā saskaņotos piesardzības pasākumus, tā ļaujot šādiem meitasuzņēmumiem gūt labumu, izmantojot atvieglojumus jaunu uzņēmumu veidošanā un pakalpojumu pārrobežu sniegšanā visā Savienībā. Tādējādi šādas filiāles saņem atļauju darboties dalībvalsts ter</w:t>
      </w:r>
      <w:r>
        <w:rPr>
          <w:rFonts w:asciiTheme="minorHAnsi" w:hAnsiTheme="minorHAnsi"/>
          <w:noProof/>
          <w:color w:val="auto"/>
          <w:sz w:val="22"/>
          <w:szCs w:val="22"/>
        </w:rPr>
        <w:t xml:space="preserve">itorijā ar tādiem pašiem nosacījumiem, kādus piemēro attiecīgās dalībvalsts pašmāju finanšu iestādēm, un tām var noteikt par pienākumu izpildīt vairākas konkrētas prudenciālas prasības, piemēram, banku un vērtspapīru gadījumā – atsevišķu kapitalizāciju un </w:t>
      </w:r>
      <w:r>
        <w:rPr>
          <w:rFonts w:asciiTheme="minorHAnsi" w:hAnsiTheme="minorHAnsi"/>
          <w:noProof/>
          <w:color w:val="auto"/>
          <w:sz w:val="22"/>
          <w:szCs w:val="22"/>
        </w:rPr>
        <w:t xml:space="preserve">citas maksātspējas prasības, un prasību iesniegt un publicēt pārskatus vai – apdrošināšanas gadījumā – īpašas garantiju un noguldījumu prasības, atsevišķu kapitalizāciju un prasību, lai attiecīgajā dalībvalstī atrastos aktīvi, kas veido tehniskās rezerves </w:t>
      </w:r>
      <w:r>
        <w:rPr>
          <w:rFonts w:asciiTheme="minorHAnsi" w:hAnsiTheme="minorHAnsi"/>
          <w:noProof/>
          <w:color w:val="auto"/>
          <w:sz w:val="22"/>
          <w:szCs w:val="22"/>
        </w:rPr>
        <w:t xml:space="preserve">un vismaz vienu trešdaļu no maksātspējas rezerves </w:t>
      </w:r>
    </w:p>
    <w:p w:rsidR="003E022D" w:rsidRDefault="007D19D6">
      <w:pPr>
        <w:pStyle w:val="Default"/>
        <w:rPr>
          <w:rFonts w:asciiTheme="minorHAnsi" w:hAnsiTheme="minorHAnsi" w:cstheme="minorHAnsi"/>
          <w:noProof/>
          <w:sz w:val="22"/>
          <w:szCs w:val="22"/>
        </w:rPr>
      </w:pPr>
      <w:r>
        <w:rPr>
          <w:rFonts w:asciiTheme="minorHAnsi" w:hAnsiTheme="minorHAnsi"/>
          <w:noProof/>
          <w:sz w:val="22"/>
          <w:szCs w:val="22"/>
        </w:rPr>
        <w:t xml:space="preserve">Turpmāk atrunu sarakstā ir izmantoti šādi saīsinājumi: </w:t>
      </w:r>
    </w:p>
    <w:p w:rsidR="003E022D" w:rsidRDefault="003E022D">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3E022D">
        <w:tc>
          <w:tcPr>
            <w:tcW w:w="5070" w:type="dxa"/>
          </w:tcPr>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UK: Apvienotā Karaliste</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EU: Eiropas Savienība, ieskaitot visas tās dalībvalstis </w:t>
            </w:r>
          </w:p>
        </w:tc>
        <w:tc>
          <w:tcPr>
            <w:tcW w:w="4172" w:type="dxa"/>
          </w:tcPr>
          <w:p w:rsidR="003E022D" w:rsidRDefault="003E022D">
            <w:pPr>
              <w:autoSpaceDE w:val="0"/>
              <w:autoSpaceDN w:val="0"/>
              <w:adjustRightInd w:val="0"/>
              <w:spacing w:after="0" w:afterAutospacing="0"/>
              <w:rPr>
                <w:rFonts w:cstheme="minorHAnsi"/>
                <w:noProof/>
                <w:color w:val="000000"/>
              </w:rPr>
            </w:pPr>
          </w:p>
        </w:tc>
      </w:tr>
      <w:tr w:rsidR="003E022D">
        <w:tc>
          <w:tcPr>
            <w:tcW w:w="5070" w:type="dxa"/>
          </w:tcPr>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Austrija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Beļģija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Bulgārija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Kipra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Čehijas Republika </w:t>
            </w:r>
          </w:p>
          <w:p w:rsidR="003E022D" w:rsidRDefault="007D19D6">
            <w:pPr>
              <w:autoSpaceDE w:val="0"/>
              <w:autoSpaceDN w:val="0"/>
              <w:adjustRightInd w:val="0"/>
              <w:spacing w:after="0" w:afterAutospacing="0"/>
              <w:rPr>
                <w:rFonts w:cstheme="minorHAnsi"/>
                <w:noProof/>
              </w:rPr>
            </w:pPr>
            <w:r>
              <w:rPr>
                <w:noProof/>
              </w:rPr>
              <w:t xml:space="preserve">DE: Vācija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DK: Dānija</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EE: Igaunija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Grieķija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 Spānija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FI: Somija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FR: Francija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Horvātija </w:t>
            </w:r>
          </w:p>
          <w:p w:rsidR="003E022D" w:rsidRDefault="007D19D6">
            <w:pPr>
              <w:autoSpaceDE w:val="0"/>
              <w:autoSpaceDN w:val="0"/>
              <w:adjustRightInd w:val="0"/>
              <w:spacing w:after="0" w:afterAutospacing="0"/>
              <w:rPr>
                <w:rFonts w:cstheme="minorHAnsi"/>
                <w:noProof/>
              </w:rPr>
            </w:pPr>
            <w:r>
              <w:rPr>
                <w:noProof/>
              </w:rPr>
              <w:t>HU: Ungārija</w:t>
            </w:r>
          </w:p>
        </w:tc>
        <w:tc>
          <w:tcPr>
            <w:tcW w:w="4172" w:type="dxa"/>
          </w:tcPr>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Īrija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Itālija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Lietuva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Luksemburga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Latvija </w:t>
            </w:r>
          </w:p>
          <w:p w:rsidR="003E022D" w:rsidRDefault="007D19D6">
            <w:pPr>
              <w:autoSpaceDE w:val="0"/>
              <w:autoSpaceDN w:val="0"/>
              <w:adjustRightInd w:val="0"/>
              <w:spacing w:after="0" w:afterAutospacing="0"/>
              <w:rPr>
                <w:rFonts w:cstheme="minorHAnsi"/>
                <w:noProof/>
                <w:color w:val="000000"/>
              </w:rPr>
            </w:pPr>
            <w:r>
              <w:rPr>
                <w:noProof/>
              </w:rPr>
              <w:t>MT: Malta</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Nīderlande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PL: Polija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PT: Portugāle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RO: Rumānija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SE: Zviedrija </w:t>
            </w:r>
          </w:p>
          <w:p w:rsidR="003E022D" w:rsidRDefault="007D19D6">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SI: Slovēnija </w:t>
            </w:r>
          </w:p>
          <w:p w:rsidR="003E022D" w:rsidRDefault="007D19D6">
            <w:pPr>
              <w:autoSpaceDE w:val="0"/>
              <w:autoSpaceDN w:val="0"/>
              <w:adjustRightInd w:val="0"/>
              <w:spacing w:after="0" w:afterAutospacing="0"/>
              <w:rPr>
                <w:rFonts w:cstheme="minorHAnsi"/>
                <w:noProof/>
                <w:color w:val="000000"/>
              </w:rPr>
            </w:pPr>
            <w:r>
              <w:rPr>
                <w:noProof/>
              </w:rPr>
              <w:t>SK: Slovākija</w:t>
            </w:r>
          </w:p>
          <w:p w:rsidR="003E022D" w:rsidRDefault="003E022D">
            <w:pPr>
              <w:autoSpaceDE w:val="0"/>
              <w:autoSpaceDN w:val="0"/>
              <w:adjustRightInd w:val="0"/>
              <w:spacing w:after="0" w:afterAutospacing="0"/>
              <w:rPr>
                <w:rFonts w:cstheme="minorHAnsi"/>
                <w:noProof/>
                <w:color w:val="000000"/>
              </w:rPr>
            </w:pPr>
          </w:p>
        </w:tc>
      </w:tr>
    </w:tbl>
    <w:p w:rsidR="003E022D" w:rsidRDefault="003E022D">
      <w:pPr>
        <w:autoSpaceDE w:val="0"/>
        <w:autoSpaceDN w:val="0"/>
        <w:adjustRightInd w:val="0"/>
        <w:spacing w:after="0"/>
        <w:rPr>
          <w:rFonts w:cstheme="minorHAnsi"/>
          <w:noProof/>
          <w:color w:val="000000"/>
        </w:rPr>
      </w:pPr>
    </w:p>
    <w:p w:rsidR="003E022D" w:rsidRDefault="007D19D6">
      <w:pPr>
        <w:spacing w:after="160" w:line="259" w:lineRule="auto"/>
        <w:jc w:val="left"/>
        <w:rPr>
          <w:rFonts w:cstheme="minorHAnsi"/>
          <w:b/>
          <w:noProof/>
          <w:u w:val="single"/>
        </w:rPr>
      </w:pPr>
      <w:r>
        <w:rPr>
          <w:noProof/>
        </w:rPr>
        <w:br w:type="page"/>
      </w:r>
    </w:p>
    <w:p w:rsidR="003E022D" w:rsidRDefault="007D19D6">
      <w:pPr>
        <w:rPr>
          <w:rFonts w:cstheme="minorHAnsi"/>
          <w:b/>
          <w:noProof/>
          <w:u w:val="single"/>
        </w:rPr>
      </w:pPr>
      <w:r>
        <w:rPr>
          <w:b/>
          <w:noProof/>
          <w:u w:val="single"/>
        </w:rPr>
        <w:t xml:space="preserve">Savienības saraksts </w:t>
      </w:r>
    </w:p>
    <w:p w:rsidR="003E022D" w:rsidRDefault="007D19D6">
      <w:pPr>
        <w:rPr>
          <w:b/>
          <w:noProof/>
        </w:rPr>
      </w:pPr>
      <w:r>
        <w:rPr>
          <w:b/>
          <w:noProof/>
        </w:rPr>
        <w:t>1. atruna. Visas nozares</w:t>
      </w:r>
    </w:p>
    <w:p w:rsidR="003E022D" w:rsidRDefault="007D19D6">
      <w:pPr>
        <w:rPr>
          <w:b/>
          <w:noProof/>
        </w:rPr>
      </w:pPr>
      <w:r>
        <w:rPr>
          <w:b/>
          <w:noProof/>
        </w:rPr>
        <w:t xml:space="preserve">2. atruna. </w:t>
      </w:r>
      <w:r>
        <w:rPr>
          <w:b/>
          <w:bCs/>
          <w:noProof/>
        </w:rPr>
        <w:t xml:space="preserve">Profesionālie pakalpojumi – izņemot ar veselību saistītos pakalpojumus  </w:t>
      </w:r>
    </w:p>
    <w:p w:rsidR="003E022D" w:rsidRDefault="007D19D6">
      <w:pPr>
        <w:rPr>
          <w:b/>
          <w:noProof/>
        </w:rPr>
      </w:pPr>
      <w:r>
        <w:rPr>
          <w:b/>
          <w:noProof/>
        </w:rPr>
        <w:t xml:space="preserve">3. atruna. </w:t>
      </w:r>
      <w:r>
        <w:rPr>
          <w:b/>
          <w:bCs/>
          <w:noProof/>
        </w:rPr>
        <w:t>Profesionālie pakalpojumi – ar veselī</w:t>
      </w:r>
      <w:r>
        <w:rPr>
          <w:b/>
          <w:bCs/>
          <w:noProof/>
        </w:rPr>
        <w:t>bu saistītie pakalpojumi un zāļu mazumtirdzniecība</w:t>
      </w:r>
    </w:p>
    <w:p w:rsidR="003E022D" w:rsidRDefault="007D19D6">
      <w:pPr>
        <w:rPr>
          <w:b/>
          <w:noProof/>
        </w:rPr>
      </w:pPr>
      <w:r>
        <w:rPr>
          <w:b/>
          <w:noProof/>
        </w:rPr>
        <w:t xml:space="preserve">4. atruna. </w:t>
      </w:r>
      <w:r>
        <w:rPr>
          <w:b/>
          <w:bCs/>
          <w:noProof/>
        </w:rPr>
        <w:t>Darījumdarbības pakalpojumi – pētniecības un izstrādes pakalpojumi</w:t>
      </w:r>
    </w:p>
    <w:p w:rsidR="003E022D" w:rsidRDefault="007D19D6">
      <w:pPr>
        <w:rPr>
          <w:b/>
          <w:noProof/>
        </w:rPr>
      </w:pPr>
      <w:r>
        <w:rPr>
          <w:b/>
          <w:noProof/>
        </w:rPr>
        <w:t xml:space="preserve">5. atruna. </w:t>
      </w:r>
      <w:r>
        <w:rPr>
          <w:b/>
          <w:bCs/>
          <w:noProof/>
        </w:rPr>
        <w:t>Darījumdarbības pakalpojumi – ar nekustamo īpašumu saistītie pakalpojumi</w:t>
      </w:r>
    </w:p>
    <w:p w:rsidR="003E022D" w:rsidRDefault="007D19D6">
      <w:pPr>
        <w:rPr>
          <w:rFonts w:eastAsia="Calibri" w:cs="Times New Roman"/>
          <w:b/>
          <w:bCs/>
          <w:noProof/>
        </w:rPr>
      </w:pPr>
      <w:r>
        <w:rPr>
          <w:b/>
          <w:noProof/>
        </w:rPr>
        <w:t>6. atruna.</w:t>
      </w:r>
      <w:r>
        <w:rPr>
          <w:b/>
          <w:bCs/>
          <w:noProof/>
        </w:rPr>
        <w:t xml:space="preserve"> Darījumdarbības pakalpojumi – no</w:t>
      </w:r>
      <w:r>
        <w:rPr>
          <w:b/>
          <w:bCs/>
          <w:noProof/>
        </w:rPr>
        <w:t>mas un izpirkumnomas pakalpojumi</w:t>
      </w:r>
    </w:p>
    <w:p w:rsidR="003E022D" w:rsidRDefault="007D19D6">
      <w:pPr>
        <w:rPr>
          <w:rFonts w:eastAsia="Calibri" w:cs="Times New Roman"/>
          <w:b/>
          <w:bCs/>
          <w:noProof/>
        </w:rPr>
      </w:pPr>
      <w:r>
        <w:rPr>
          <w:b/>
          <w:noProof/>
        </w:rPr>
        <w:t xml:space="preserve">7. atruna. </w:t>
      </w:r>
      <w:r>
        <w:rPr>
          <w:b/>
          <w:bCs/>
          <w:noProof/>
        </w:rPr>
        <w:t>Darījumdarbības pakalpojumi – iekasēšanas aģentūru pakalpojumi un kredītinformācijas pakalpojumi</w:t>
      </w:r>
    </w:p>
    <w:p w:rsidR="003E022D" w:rsidRDefault="007D19D6">
      <w:pPr>
        <w:rPr>
          <w:rFonts w:eastAsia="Calibri" w:cs="Times New Roman"/>
          <w:b/>
          <w:bCs/>
          <w:noProof/>
        </w:rPr>
      </w:pPr>
      <w:r>
        <w:rPr>
          <w:b/>
          <w:noProof/>
        </w:rPr>
        <w:t>8. atruna.</w:t>
      </w:r>
      <w:r>
        <w:rPr>
          <w:b/>
          <w:bCs/>
          <w:noProof/>
        </w:rPr>
        <w:t xml:space="preserve"> Darījumdarbības pakalpojumi – darbā iekārtošanas pakalpojumi</w:t>
      </w:r>
    </w:p>
    <w:p w:rsidR="003E022D" w:rsidRDefault="007D19D6">
      <w:pPr>
        <w:rPr>
          <w:rFonts w:eastAsia="Calibri" w:cs="Times New Roman"/>
          <w:b/>
          <w:bCs/>
          <w:noProof/>
        </w:rPr>
      </w:pPr>
      <w:r>
        <w:rPr>
          <w:b/>
          <w:noProof/>
        </w:rPr>
        <w:t xml:space="preserve">9. atruna. </w:t>
      </w:r>
      <w:r>
        <w:rPr>
          <w:b/>
          <w:bCs/>
          <w:noProof/>
        </w:rPr>
        <w:t xml:space="preserve">Darījumdarbības pakalpojumi – </w:t>
      </w:r>
      <w:r>
        <w:rPr>
          <w:b/>
          <w:bCs/>
          <w:noProof/>
        </w:rPr>
        <w:t>drošības un izmeklēšanas pakalpojumi</w:t>
      </w:r>
    </w:p>
    <w:p w:rsidR="003E022D" w:rsidRDefault="007D19D6">
      <w:pPr>
        <w:rPr>
          <w:b/>
          <w:noProof/>
        </w:rPr>
      </w:pPr>
      <w:r>
        <w:rPr>
          <w:b/>
          <w:noProof/>
        </w:rPr>
        <w:t xml:space="preserve">10. atruna. </w:t>
      </w:r>
      <w:r>
        <w:rPr>
          <w:b/>
          <w:bCs/>
          <w:noProof/>
        </w:rPr>
        <w:t>Darījumdarbības pakalpojumi – citi darījumdarbības pakalpojumi</w:t>
      </w:r>
    </w:p>
    <w:p w:rsidR="003E022D" w:rsidRDefault="007D19D6">
      <w:pPr>
        <w:rPr>
          <w:b/>
          <w:noProof/>
        </w:rPr>
      </w:pPr>
      <w:r>
        <w:rPr>
          <w:b/>
          <w:noProof/>
        </w:rPr>
        <w:t xml:space="preserve">11. atruna. </w:t>
      </w:r>
      <w:r>
        <w:rPr>
          <w:b/>
          <w:bCs/>
          <w:noProof/>
        </w:rPr>
        <w:t>Telesakari</w:t>
      </w:r>
    </w:p>
    <w:p w:rsidR="003E022D" w:rsidRDefault="007D19D6">
      <w:pPr>
        <w:rPr>
          <w:b/>
          <w:noProof/>
        </w:rPr>
      </w:pPr>
      <w:r>
        <w:rPr>
          <w:b/>
          <w:noProof/>
        </w:rPr>
        <w:t xml:space="preserve">12. atruna. Būvniecība </w:t>
      </w:r>
    </w:p>
    <w:p w:rsidR="003E022D" w:rsidRDefault="007D19D6">
      <w:pPr>
        <w:rPr>
          <w:b/>
          <w:noProof/>
        </w:rPr>
      </w:pPr>
      <w:r>
        <w:rPr>
          <w:b/>
          <w:noProof/>
        </w:rPr>
        <w:t>13. atruna. Izplatīšanas pakalpojumi</w:t>
      </w:r>
    </w:p>
    <w:p w:rsidR="003E022D" w:rsidRDefault="007D19D6">
      <w:pPr>
        <w:rPr>
          <w:b/>
          <w:noProof/>
        </w:rPr>
      </w:pPr>
      <w:r>
        <w:rPr>
          <w:b/>
          <w:noProof/>
        </w:rPr>
        <w:t>14. atruna. Izglītības pakalpojumi</w:t>
      </w:r>
    </w:p>
    <w:p w:rsidR="003E022D" w:rsidRDefault="007D19D6">
      <w:pPr>
        <w:rPr>
          <w:b/>
          <w:noProof/>
        </w:rPr>
      </w:pPr>
      <w:r>
        <w:rPr>
          <w:b/>
          <w:noProof/>
        </w:rPr>
        <w:t xml:space="preserve">15. atruna. Vidiskie </w:t>
      </w:r>
      <w:r>
        <w:rPr>
          <w:b/>
          <w:noProof/>
        </w:rPr>
        <w:t>pakalpojumi</w:t>
      </w:r>
    </w:p>
    <w:p w:rsidR="003E022D" w:rsidRDefault="007D19D6">
      <w:pPr>
        <w:rPr>
          <w:b/>
          <w:noProof/>
        </w:rPr>
      </w:pPr>
      <w:r>
        <w:rPr>
          <w:b/>
          <w:noProof/>
        </w:rPr>
        <w:t>16. atruna. Finanšu pakalpojumi</w:t>
      </w:r>
    </w:p>
    <w:p w:rsidR="003E022D" w:rsidRDefault="007D19D6">
      <w:pPr>
        <w:rPr>
          <w:b/>
          <w:noProof/>
        </w:rPr>
      </w:pPr>
      <w:r>
        <w:rPr>
          <w:b/>
          <w:noProof/>
        </w:rPr>
        <w:t>17. atruna. Veselības pakalpojumi un sociālie pakalpojumi</w:t>
      </w:r>
    </w:p>
    <w:p w:rsidR="003E022D" w:rsidRDefault="007D19D6">
      <w:pPr>
        <w:rPr>
          <w:b/>
          <w:noProof/>
        </w:rPr>
      </w:pPr>
      <w:r>
        <w:rPr>
          <w:b/>
          <w:noProof/>
        </w:rPr>
        <w:t xml:space="preserve">18. atruna. Tūrisma pakalpojumi un ar ceļojumiem saistīti pakalpojumi </w:t>
      </w:r>
    </w:p>
    <w:p w:rsidR="003E022D" w:rsidRDefault="007D19D6">
      <w:pPr>
        <w:rPr>
          <w:b/>
          <w:noProof/>
        </w:rPr>
      </w:pPr>
      <w:r>
        <w:rPr>
          <w:b/>
          <w:noProof/>
        </w:rPr>
        <w:t>19. atruna. Atpūtas, kultūras un sporta pakalpojumi</w:t>
      </w:r>
    </w:p>
    <w:p w:rsidR="003E022D" w:rsidRDefault="007D19D6">
      <w:pPr>
        <w:rPr>
          <w:b/>
          <w:noProof/>
        </w:rPr>
      </w:pPr>
      <w:r>
        <w:rPr>
          <w:b/>
          <w:noProof/>
        </w:rPr>
        <w:t xml:space="preserve">20. atruna. </w:t>
      </w:r>
      <w:r>
        <w:rPr>
          <w:b/>
          <w:bCs/>
          <w:noProof/>
        </w:rPr>
        <w:t>Transporta pakalpoj</w:t>
      </w:r>
      <w:r>
        <w:rPr>
          <w:b/>
          <w:bCs/>
          <w:noProof/>
        </w:rPr>
        <w:t>umi un transporta pakalpojumu palīgpakalpojumi</w:t>
      </w:r>
    </w:p>
    <w:p w:rsidR="003E022D" w:rsidRDefault="007D19D6">
      <w:pPr>
        <w:rPr>
          <w:b/>
          <w:noProof/>
        </w:rPr>
      </w:pPr>
      <w:r>
        <w:rPr>
          <w:b/>
          <w:noProof/>
        </w:rPr>
        <w:t xml:space="preserve">21. atruna. </w:t>
      </w:r>
      <w:r>
        <w:rPr>
          <w:b/>
          <w:bCs/>
          <w:noProof/>
        </w:rPr>
        <w:t>Lauksaimniecība, zvejniecība un ūdens</w:t>
      </w:r>
    </w:p>
    <w:p w:rsidR="003E022D" w:rsidRDefault="007D19D6">
      <w:pPr>
        <w:rPr>
          <w:rFonts w:eastAsia="Calibri" w:cs="Times New Roman"/>
          <w:b/>
          <w:bCs/>
          <w:noProof/>
        </w:rPr>
      </w:pPr>
      <w:r>
        <w:rPr>
          <w:b/>
          <w:noProof/>
        </w:rPr>
        <w:t xml:space="preserve">22. atruna. </w:t>
      </w:r>
      <w:r>
        <w:rPr>
          <w:b/>
          <w:bCs/>
          <w:noProof/>
        </w:rPr>
        <w:t>Ar enerģiju saistītas darbības</w:t>
      </w:r>
    </w:p>
    <w:p w:rsidR="003E022D" w:rsidRDefault="007D19D6">
      <w:pPr>
        <w:rPr>
          <w:b/>
          <w:noProof/>
        </w:rPr>
      </w:pPr>
      <w:r>
        <w:rPr>
          <w:b/>
          <w:noProof/>
        </w:rPr>
        <w:t>23. atruna.</w:t>
      </w:r>
      <w:r>
        <w:rPr>
          <w:b/>
          <w:bCs/>
          <w:noProof/>
        </w:rPr>
        <w:t xml:space="preserve"> Citi pakalpojumi, kas nav iekļauti citur</w:t>
      </w:r>
    </w:p>
    <w:p w:rsidR="003E022D" w:rsidRDefault="003E022D">
      <w:pPr>
        <w:rPr>
          <w:noProof/>
        </w:rPr>
      </w:pPr>
    </w:p>
    <w:p w:rsidR="003E022D" w:rsidRDefault="003E022D">
      <w:pPr>
        <w:rPr>
          <w:rFonts w:cstheme="minorHAnsi"/>
          <w:b/>
          <w:noProof/>
          <w:u w:val="single"/>
        </w:rPr>
      </w:pPr>
    </w:p>
    <w:p w:rsidR="003E022D" w:rsidRDefault="007D19D6">
      <w:pPr>
        <w:spacing w:after="160" w:line="259" w:lineRule="auto"/>
        <w:jc w:val="left"/>
        <w:rPr>
          <w:rFonts w:eastAsia="Calibri" w:cs="Times New Roman"/>
          <w:b/>
          <w:bCs/>
          <w:noProof/>
        </w:rPr>
      </w:pPr>
      <w:bookmarkStart w:id="1168" w:name="_Toc452503960"/>
      <w:bookmarkStart w:id="1169" w:name="_Toc479001626"/>
      <w:bookmarkStart w:id="1170" w:name="_Toc53746599"/>
      <w:bookmarkStart w:id="1171" w:name="_Toc57917465"/>
      <w:r>
        <w:rPr>
          <w:noProof/>
        </w:rPr>
        <w:br w:type="page"/>
      </w:r>
    </w:p>
    <w:p w:rsidR="003E022D" w:rsidRDefault="007D19D6">
      <w:pPr>
        <w:rPr>
          <w:rFonts w:eastAsia="Calibri" w:cs="Times New Roman"/>
          <w:b/>
          <w:bCs/>
          <w:noProof/>
        </w:rPr>
      </w:pPr>
      <w:r>
        <w:rPr>
          <w:b/>
          <w:bCs/>
          <w:noProof/>
        </w:rPr>
        <w:t>1. atruna. Visas nozares</w:t>
      </w:r>
      <w:bookmarkEnd w:id="1168"/>
      <w:bookmarkEnd w:id="1169"/>
      <w:bookmarkEnd w:id="1170"/>
      <w:bookmarkEnd w:id="1171"/>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b/>
                <w:i/>
                <w:noProof/>
              </w:rPr>
            </w:pPr>
            <w:r>
              <w:rPr>
                <w:b/>
                <w:i/>
                <w:noProof/>
                <w:color w:val="070607"/>
              </w:rPr>
              <w:t>Visas nozares</w:t>
            </w:r>
          </w:p>
        </w:tc>
      </w:tr>
      <w:tr w:rsidR="003E022D">
        <w:tc>
          <w:tcPr>
            <w:tcW w:w="2619" w:type="dxa"/>
          </w:tcPr>
          <w:p w:rsidR="003E022D" w:rsidRDefault="007D19D6">
            <w:pPr>
              <w:rPr>
                <w:b/>
                <w:noProof/>
              </w:rPr>
            </w:pPr>
            <w:r>
              <w:rPr>
                <w:b/>
                <w:bCs/>
                <w:noProof/>
              </w:rPr>
              <w:t xml:space="preserve">Atrunas </w:t>
            </w:r>
            <w:r>
              <w:rPr>
                <w:b/>
                <w:bCs/>
                <w:noProof/>
              </w:rPr>
              <w:t>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 </w:t>
            </w:r>
            <w:r>
              <w:rPr>
                <w:noProof/>
              </w:rPr>
              <w:br/>
              <w:t xml:space="preserve">Veiktspējas prasības </w:t>
            </w:r>
            <w:r>
              <w:rPr>
                <w:noProof/>
              </w:rPr>
              <w:br/>
              <w:t xml:space="preserve">Klātbūtne uz vietas </w:t>
            </w:r>
            <w:r>
              <w:rPr>
                <w:noProof/>
              </w:rPr>
              <w:br/>
              <w:t xml:space="preserve">Ar juridiskajiem pakalpojumiem saistīti pienākumi </w:t>
            </w:r>
            <w:r>
              <w:rPr>
                <w:noProof/>
              </w:rPr>
              <w:br/>
            </w:r>
          </w:p>
        </w:tc>
      </w:tr>
      <w:tr w:rsidR="003E022D">
        <w:tc>
          <w:tcPr>
            <w:tcW w:w="2619" w:type="dxa"/>
          </w:tcPr>
          <w:p w:rsidR="003E022D" w:rsidRDefault="007D19D6">
            <w:pPr>
              <w:spacing w:afterAutospacing="0"/>
              <w:rPr>
                <w:b/>
                <w:noProof/>
              </w:rPr>
            </w:pPr>
            <w:r>
              <w:rPr>
                <w:b/>
                <w:bCs/>
                <w:noProof/>
              </w:rPr>
              <w:t>Nodaļa/sadaļa:</w:t>
            </w:r>
          </w:p>
        </w:tc>
        <w:tc>
          <w:tcPr>
            <w:tcW w:w="6407" w:type="dxa"/>
          </w:tcPr>
          <w:p w:rsidR="003E022D" w:rsidRDefault="007D19D6">
            <w:pPr>
              <w:spacing w:afterAutospacing="0"/>
              <w:jc w:val="left"/>
              <w:rPr>
                <w:noProof/>
              </w:rPr>
            </w:pPr>
            <w:r>
              <w:rPr>
                <w:noProof/>
              </w:rPr>
              <w:t>Investīciju liberalizācija, pakalpojumu p</w:t>
            </w:r>
            <w:r>
              <w:rPr>
                <w:noProof/>
              </w:rPr>
              <w:t>ārrobežu tirdzniecība un juridisko pakalpojumu tiesiskais regulējums</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b/>
          <w:bCs/>
          <w:i/>
          <w:noProof/>
        </w:rPr>
      </w:pPr>
      <w:bookmarkStart w:id="1172" w:name="_Toc452503961"/>
      <w:r>
        <w:rPr>
          <w:b/>
          <w:bCs/>
          <w:i/>
          <w:noProof/>
        </w:rPr>
        <w:t>a)</w:t>
      </w:r>
      <w:r>
        <w:rPr>
          <w:noProof/>
        </w:rPr>
        <w:tab/>
      </w:r>
      <w:r>
        <w:rPr>
          <w:b/>
          <w:bCs/>
          <w:i/>
          <w:noProof/>
        </w:rPr>
        <w:t>Tiesības veikt uzņēmējdarbību</w:t>
      </w:r>
      <w:bookmarkEnd w:id="1172"/>
      <w:r>
        <w:rPr>
          <w:i/>
          <w:noProof/>
        </w:rPr>
        <w:t xml:space="preserve"> </w:t>
      </w:r>
    </w:p>
    <w:p w:rsidR="003E022D" w:rsidRDefault="007D19D6">
      <w:pPr>
        <w:rPr>
          <w:rFonts w:eastAsia="Calibri" w:cs="Times New Roman"/>
          <w:iCs/>
          <w:noProof/>
          <w:u w:val="single"/>
        </w:rPr>
      </w:pPr>
      <w:r>
        <w:rPr>
          <w:iCs/>
          <w:noProof/>
          <w:u w:val="single"/>
        </w:rPr>
        <w:t xml:space="preserve">Attiecībā uz investīciju liberalizāciju – piekļuve </w:t>
      </w:r>
      <w:r>
        <w:rPr>
          <w:iCs/>
          <w:noProof/>
          <w:u w:val="single"/>
        </w:rPr>
        <w:t>tirgum</w:t>
      </w:r>
      <w:r>
        <w:rPr>
          <w:noProof/>
          <w:u w:val="single"/>
        </w:rPr>
        <w:t xml:space="preserve"> </w:t>
      </w:r>
    </w:p>
    <w:p w:rsidR="003E022D" w:rsidRDefault="007D19D6">
      <w:pPr>
        <w:rPr>
          <w:rFonts w:eastAsia="Calibri" w:cs="Times New Roman"/>
          <w:noProof/>
        </w:rPr>
      </w:pPr>
      <w:r>
        <w:rPr>
          <w:b/>
          <w:noProof/>
        </w:rPr>
        <w:t>EU</w:t>
      </w:r>
      <w:r>
        <w:rPr>
          <w:noProof/>
        </w:rPr>
        <w:t xml:space="preserve">: uz pakalpojumiem, kurus uzskata par sabiedriskajiem pakalpojumiem valsts vai pašvaldību līmenī, var attiecināt valsts monopolus vai ekskluzīvas tiesības, ko piešķir privātiem uzņēmumiem. </w:t>
      </w:r>
    </w:p>
    <w:p w:rsidR="003E022D" w:rsidRDefault="007D19D6">
      <w:pPr>
        <w:rPr>
          <w:rFonts w:eastAsia="Calibri" w:cs="Times New Roman"/>
          <w:noProof/>
        </w:rPr>
      </w:pPr>
      <w:r>
        <w:rPr>
          <w:noProof/>
        </w:rPr>
        <w:t>Sabiedriskie pakalpojumi pastāv tādās nozarēs kā saistīt</w:t>
      </w:r>
      <w:r>
        <w:rPr>
          <w:noProof/>
        </w:rPr>
        <w:t>ie zinātnisko un tehnisko konsultāciju pakalpojumi, pētniecības un izstrādes pakalpojumi sociālajās un humanitārajās zinātnēs, tehniskās testēšanas un analīzes pakalpojumi, vidiskie pakalpojumi, veselības pakalpojumi, transporta pakalpojumi un palīgpakalpo</w:t>
      </w:r>
      <w:r>
        <w:rPr>
          <w:noProof/>
        </w:rPr>
        <w:t>jumi visiem transporta veidiem. Ekskluzīvas tiesības sniegt šādus pakalpojumus parasti piešķir privātiem uzņēmumiem, piemēram, uzņēmumiem, kuriem ir publisku iestāžu koncesijas, ievērojot īpašas pakalpojumu sniegšanas saistības. Tā kā sabiedriskie pakalpoj</w:t>
      </w:r>
      <w:r>
        <w:rPr>
          <w:noProof/>
        </w:rPr>
        <w:t xml:space="preserve">umi bieži pastāv arī līmenī, kas zemāks par centrālo līmeni, nav lietderīgi detalizētu un izsmeļošu sarakstu veidot katrai nozarei atsevišķi. Šī atruna neattiecas uz telesakariem, datorpakalpojumiem un ar datoriem saistītiem pakalpojumiem. </w:t>
      </w:r>
    </w:p>
    <w:p w:rsidR="003E022D" w:rsidRDefault="007D19D6">
      <w:pPr>
        <w:rPr>
          <w:rFonts w:eastAsia="Calibri" w:cs="Times New Roman"/>
          <w:iCs/>
          <w:noProof/>
          <w:u w:val="single"/>
        </w:rPr>
      </w:pPr>
      <w:r>
        <w:rPr>
          <w:noProof/>
          <w:u w:val="single"/>
        </w:rPr>
        <w:t>Attiecībā uz in</w:t>
      </w:r>
      <w:r>
        <w:rPr>
          <w:noProof/>
          <w:u w:val="single"/>
        </w:rPr>
        <w:t>vestīciju liberalizāciju – piekļuve tirgum, valsts režīms</w:t>
      </w:r>
      <w:r>
        <w:rPr>
          <w:iCs/>
          <w:noProof/>
          <w:u w:val="single"/>
        </w:rPr>
        <w:t xml:space="preserve"> pakalpojumu pārrobežu tirdzniecība – piekļuve tirgum,valsts režīms un juridisko pakalpojumu tiesiskais regulējums – pienākumi</w:t>
      </w:r>
      <w:r>
        <w:rPr>
          <w:noProof/>
          <w:u w:val="single"/>
        </w:rPr>
        <w:t xml:space="preserve"> </w:t>
      </w:r>
    </w:p>
    <w:p w:rsidR="003E022D" w:rsidRDefault="007D19D6">
      <w:pPr>
        <w:rPr>
          <w:rFonts w:eastAsia="Calibri" w:cs="Times New Roman"/>
          <w:noProof/>
        </w:rPr>
      </w:pPr>
      <w:r>
        <w:rPr>
          <w:b/>
          <w:noProof/>
        </w:rPr>
        <w:t>FI</w:t>
      </w:r>
      <w:r>
        <w:rPr>
          <w:noProof/>
        </w:rPr>
        <w:t>: fiziskām personām, kurām nav Olandes reģionālās pilsonības, un juri</w:t>
      </w:r>
      <w:r>
        <w:rPr>
          <w:noProof/>
        </w:rPr>
        <w:t>diskām personām ir ierobežotas tiesības bez Olandes salu kompetento iestāžu atļaujas iegādāties nekustamo īpašumu un būt tā īpašniekiem Olandes salās. Fiziskām personām, kurām nav Olandes reģionālās pilsonības, un ikvienam uzņēmumam ir ierobežotas tiesības</w:t>
      </w:r>
      <w:r>
        <w:rPr>
          <w:noProof/>
        </w:rPr>
        <w:t xml:space="preserve"> bez Olandes salu kompetento iestāžu atļaujas veikt uzņēmējdarbību un saimniecisko darbību.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FI</w:t>
      </w:r>
      <w:r>
        <w:rPr>
          <w:noProof/>
        </w:rPr>
        <w:t xml:space="preserve">: </w:t>
      </w:r>
      <w:r>
        <w:rPr>
          <w:i/>
          <w:noProof/>
        </w:rPr>
        <w:t>Ahvenanmaan maanhankintalaki</w:t>
      </w:r>
      <w:r>
        <w:rPr>
          <w:noProof/>
        </w:rPr>
        <w:t xml:space="preserve"> (Likums par zemes iegādi Olandē) (3/1975), 2. p.; </w:t>
      </w:r>
      <w:r>
        <w:rPr>
          <w:i/>
          <w:noProof/>
        </w:rPr>
        <w:t>Ahvenanmaan itsehallintolaki</w:t>
      </w:r>
      <w:r>
        <w:rPr>
          <w:noProof/>
        </w:rPr>
        <w:t xml:space="preserve"> (Likums par Olandes autonomiju) (1</w:t>
      </w:r>
      <w:r>
        <w:rPr>
          <w:noProof/>
        </w:rPr>
        <w:t xml:space="preserve">144/1991), 11. p. </w:t>
      </w:r>
    </w:p>
    <w:p w:rsidR="003E022D" w:rsidRDefault="007D19D6">
      <w:pPr>
        <w:rPr>
          <w:rFonts w:eastAsia="Calibri" w:cs="Times New Roman"/>
          <w:iCs/>
          <w:noProof/>
          <w:u w:val="single"/>
        </w:rPr>
      </w:pPr>
      <w:r>
        <w:rPr>
          <w:noProof/>
          <w:u w:val="single"/>
        </w:rPr>
        <w:t>Attiecībā uz investīciju liberalizāciju – piekļuve tirgum, valsts režīms, veiktspējas prasības, augstākā vadība un direktoru padomes</w:t>
      </w:r>
      <w:r>
        <w:rPr>
          <w:iCs/>
          <w:noProof/>
          <w:u w:val="single"/>
        </w:rPr>
        <w:t xml:space="preserve"> </w:t>
      </w:r>
      <w:r>
        <w:rPr>
          <w:noProof/>
          <w:u w:val="single"/>
        </w:rPr>
        <w:t xml:space="preserve">Tiesiskais regulējums attiecībā uz juridiskajiem pakalpojumiem – saistības: </w:t>
      </w:r>
    </w:p>
    <w:p w:rsidR="003E022D" w:rsidRDefault="007D19D6">
      <w:pPr>
        <w:rPr>
          <w:rFonts w:eastAsia="Calibri" w:cs="Times New Roman"/>
          <w:noProof/>
        </w:rPr>
      </w:pPr>
      <w:r>
        <w:rPr>
          <w:b/>
          <w:noProof/>
        </w:rPr>
        <w:t>FR</w:t>
      </w:r>
      <w:r>
        <w:rPr>
          <w:noProof/>
        </w:rPr>
        <w:t xml:space="preserve">: atbilstīgi Finanšu un monetārā kodeksa L151-1., 151-1. pantam un turpmākajiem pantiem Francijā ārvalstu ieguldījumus Finanšu un monetārā kodeksa R.151.-3. pantā uzskaitītajās nozarēs drīkst veikt ar ekonomikas ministra iepriekšēju atļauju.  </w:t>
      </w:r>
    </w:p>
    <w:p w:rsidR="003E022D" w:rsidRDefault="007D19D6">
      <w:pPr>
        <w:rPr>
          <w:rFonts w:eastAsia="Calibri" w:cs="Times New Roman"/>
          <w:b/>
          <w:i/>
          <w:noProof/>
        </w:rPr>
      </w:pPr>
      <w:r>
        <w:rPr>
          <w:b/>
          <w:i/>
          <w:noProof/>
        </w:rPr>
        <w:t>Esošie pasāk</w:t>
      </w:r>
      <w:r>
        <w:rPr>
          <w:b/>
          <w:i/>
          <w:noProof/>
        </w:rPr>
        <w:t xml:space="preserve">umi </w:t>
      </w:r>
    </w:p>
    <w:p w:rsidR="003E022D" w:rsidRDefault="007D19D6">
      <w:pPr>
        <w:rPr>
          <w:rFonts w:eastAsia="Calibri" w:cs="Times New Roman"/>
          <w:noProof/>
        </w:rPr>
      </w:pPr>
      <w:r>
        <w:rPr>
          <w:b/>
          <w:noProof/>
        </w:rPr>
        <w:t>FR</w:t>
      </w:r>
      <w:r>
        <w:rPr>
          <w:noProof/>
        </w:rPr>
        <w:t>: izklāstīti iepriekš daļā “Apraksts”.</w:t>
      </w:r>
    </w:p>
    <w:p w:rsidR="003E022D" w:rsidRDefault="007D19D6">
      <w:pPr>
        <w:rPr>
          <w:rFonts w:eastAsia="Calibri" w:cs="Times New Roman"/>
          <w:iCs/>
          <w:noProof/>
          <w:u w:val="single"/>
        </w:rPr>
      </w:pPr>
      <w:r>
        <w:rPr>
          <w:noProof/>
          <w:u w:val="single"/>
        </w:rPr>
        <w:t xml:space="preserve">Attiecībā uz investīciju liberalizāciju – valsts režīms, augstākā vadība un direktoru padomes </w:t>
      </w:r>
    </w:p>
    <w:p w:rsidR="003E022D" w:rsidRDefault="007D19D6">
      <w:pPr>
        <w:rPr>
          <w:rFonts w:eastAsia="Calibri" w:cs="Times New Roman"/>
          <w:noProof/>
        </w:rPr>
      </w:pPr>
      <w:r>
        <w:rPr>
          <w:b/>
          <w:noProof/>
        </w:rPr>
        <w:t>FR</w:t>
      </w:r>
      <w:r>
        <w:rPr>
          <w:noProof/>
        </w:rPr>
        <w:t>: ārvalstu līdzdalības nesen privatizētās sabiedrībās ierobežošana dažādā apjomā, ko nosaka Francijas valdība ats</w:t>
      </w:r>
      <w:r>
        <w:rPr>
          <w:noProof/>
        </w:rPr>
        <w:t xml:space="preserve">evišķi katrā gadījumā, ņemot vērā pašu kapitāla publiskā piedāvājuma apjomu. Ja izpilddirektoram nav pastāvīgās uzturēšanās atļaujas, lai veiktu uzņēmējdarbību rūpnieciskas, saimnieciskas un amatnieka darbības jomās, uzņēmumam jāsaņem īpaša atļauja. </w:t>
      </w:r>
    </w:p>
    <w:p w:rsidR="003E022D" w:rsidRDefault="007D19D6">
      <w:pPr>
        <w:rPr>
          <w:rFonts w:eastAsia="Calibri" w:cs="Times New Roman"/>
          <w:iCs/>
          <w:noProof/>
          <w:u w:val="single"/>
        </w:rPr>
      </w:pPr>
      <w:r>
        <w:rPr>
          <w:iCs/>
          <w:noProof/>
          <w:u w:val="single"/>
        </w:rPr>
        <w:t>Attie</w:t>
      </w:r>
      <w:r>
        <w:rPr>
          <w:iCs/>
          <w:noProof/>
          <w:u w:val="single"/>
        </w:rPr>
        <w:t>cībā uz investīciju liberalizāciju — piekļuve tirgum un tiesiskais regulējums juridiskajiem pakalpojumiem – pienākumi:</w:t>
      </w:r>
      <w:r>
        <w:rPr>
          <w:noProof/>
          <w:u w:val="single"/>
        </w:rPr>
        <w:t xml:space="preserve"> </w:t>
      </w:r>
    </w:p>
    <w:p w:rsidR="003E022D" w:rsidRDefault="007D19D6">
      <w:pPr>
        <w:rPr>
          <w:rFonts w:eastAsia="Calibri" w:cs="Times New Roman"/>
          <w:noProof/>
        </w:rPr>
      </w:pPr>
      <w:r>
        <w:rPr>
          <w:b/>
          <w:noProof/>
        </w:rPr>
        <w:t>HU</w:t>
      </w:r>
      <w:r>
        <w:rPr>
          <w:noProof/>
        </w:rPr>
        <w:t xml:space="preserve">: iedibinājumam būtu jābūt sabiedrības ar ierobežotu atbildību, akciju sabiedrības vai pārstāvniecības biroja formā. Nav atļauts sākt </w:t>
      </w:r>
      <w:r>
        <w:rPr>
          <w:noProof/>
        </w:rPr>
        <w:t xml:space="preserve">darbību ar filiāles starpniecību, taču tas neattiecas uz finanšu pakalpojumiem. </w:t>
      </w:r>
    </w:p>
    <w:p w:rsidR="003E022D" w:rsidRDefault="007D19D6">
      <w:pPr>
        <w:rPr>
          <w:rFonts w:eastAsia="Calibri" w:cs="Times New Roman"/>
          <w:iCs/>
          <w:noProof/>
          <w:u w:val="single"/>
        </w:rPr>
      </w:pPr>
      <w:r>
        <w:rPr>
          <w:noProof/>
          <w:u w:val="single"/>
        </w:rPr>
        <w:t xml:space="preserve">Attiecībā uz investīciju liberalizāciju – piekļuve tirgum, valsts režīms </w:t>
      </w:r>
    </w:p>
    <w:p w:rsidR="003E022D" w:rsidRDefault="007D19D6">
      <w:pPr>
        <w:rPr>
          <w:rFonts w:eastAsia="Calibri" w:cs="Times New Roman"/>
          <w:noProof/>
        </w:rPr>
      </w:pPr>
      <w:r>
        <w:rPr>
          <w:b/>
          <w:noProof/>
        </w:rPr>
        <w:t xml:space="preserve">BG: </w:t>
      </w:r>
      <w:r>
        <w:rPr>
          <w:noProof/>
        </w:rPr>
        <w:t>lai veiktu atsevišķas saimnieciskas darbības, kas saistītas ar valsts vai sabiedriskā īpašuma izm</w:t>
      </w:r>
      <w:r>
        <w:rPr>
          <w:noProof/>
        </w:rPr>
        <w:t xml:space="preserve">antošanu vai lietošanu, ir jāsaņem Koncesiju likumā paredzētā koncesija. </w:t>
      </w:r>
    </w:p>
    <w:p w:rsidR="003E022D" w:rsidRDefault="007D19D6">
      <w:pPr>
        <w:rPr>
          <w:rFonts w:eastAsia="Calibri" w:cs="Times New Roman"/>
          <w:noProof/>
        </w:rPr>
      </w:pPr>
      <w:r>
        <w:rPr>
          <w:noProof/>
        </w:rPr>
        <w:t xml:space="preserve">Komerckorporācijām, kurās valstij vai pašvaldībai pieder kapitāldaļas vairāk kā 50 % apmērā, lai veiktu jebkādus darījumus ar korporācijas pamatlīdzekļiem, noslēgtu jebkādus līgumus </w:t>
      </w:r>
      <w:r>
        <w:rPr>
          <w:noProof/>
        </w:rPr>
        <w:t>par līdzdalības iegūšanu, izpirkumnomu, kopīgu darbību, kredītu, debitoru parādu nodrošināšanu, kā arī uzņemtos jebkādas saistības, kas izriet no vekseļiem, ir jāsaņem privatizācijas aģentūras vai citas valsts vai reģionālās iestādes pilnvarojums vai atļau</w:t>
      </w:r>
      <w:r>
        <w:rPr>
          <w:noProof/>
        </w:rPr>
        <w:t xml:space="preserve">ja — atkarībā no tā, kura ir kompetentā iestāde. Šī atruna neattiecas uz ieguves rūpniecību un karjeru izstrādi, kam piemēro atsevišķu atrunu, kura izklāstīta Eiropas Savienības sarakstā SERVIN-1. PIELIKUMĀ.  </w:t>
      </w:r>
    </w:p>
    <w:p w:rsidR="003E022D" w:rsidRDefault="007D19D6">
      <w:pPr>
        <w:rPr>
          <w:rFonts w:eastAsia="Calibri" w:cs="Times New Roman"/>
          <w:noProof/>
        </w:rPr>
      </w:pPr>
      <w:r>
        <w:rPr>
          <w:b/>
          <w:noProof/>
        </w:rPr>
        <w:t>IT</w:t>
      </w:r>
      <w:r>
        <w:rPr>
          <w:noProof/>
        </w:rPr>
        <w:t>: valdība var īstenot konkrētas īpašās pilnv</w:t>
      </w:r>
      <w:r>
        <w:rPr>
          <w:noProof/>
        </w:rPr>
        <w:t>aras attiecībā uz uzņēmumiem, kas darbojas aizsardzības un valsts drošības jomā, un konkrētām stratēģiski nozīmīgām darbībām enerģētikas, transporta un sakaru nozarē. Tas attiecas uz visām juridiskajām personām, kas veic par stratēģiski nozīmīgām uzskatīta</w:t>
      </w:r>
      <w:r>
        <w:rPr>
          <w:noProof/>
        </w:rPr>
        <w:t xml:space="preserve">s darbības aizsardzības un valsts drošības jomā, ne tikai privatizētiem uzņēmumiem. </w:t>
      </w:r>
    </w:p>
    <w:p w:rsidR="003E022D" w:rsidRDefault="007D19D6">
      <w:pPr>
        <w:rPr>
          <w:rFonts w:eastAsia="Calibri" w:cs="Times New Roman"/>
          <w:noProof/>
        </w:rPr>
      </w:pPr>
      <w:r>
        <w:rPr>
          <w:noProof/>
        </w:rPr>
        <w:t xml:space="preserve">Ja pastāv apdraudējums, ka tiks nopietni kaitēts būtiskām ar aizsardzību un valsts drošību saistītām interesēm, valdībai ir šādas īpašās pilnvaras: </w:t>
      </w:r>
    </w:p>
    <w:p w:rsidR="003E022D" w:rsidRDefault="007D19D6">
      <w:pPr>
        <w:rPr>
          <w:rFonts w:eastAsia="Calibri" w:cs="Times New Roman"/>
          <w:noProof/>
        </w:rPr>
      </w:pPr>
      <w:r>
        <w:rPr>
          <w:noProof/>
        </w:rPr>
        <w:t xml:space="preserve">a) piemērot īpašus nosacījumus akciju pirkšanai; </w:t>
      </w:r>
    </w:p>
    <w:p w:rsidR="003E022D" w:rsidRDefault="007D19D6">
      <w:pPr>
        <w:rPr>
          <w:rFonts w:eastAsia="Calibri" w:cs="Times New Roman"/>
          <w:noProof/>
        </w:rPr>
      </w:pPr>
      <w:r>
        <w:rPr>
          <w:noProof/>
        </w:rPr>
        <w:t xml:space="preserve">b) uzlikt veto ar īpašām darbībām, piemēram, nodošanu, apvienošanu, sadalīšanu un darbības maiņu, saistītu rezolūciju pieņemšanai vai </w:t>
      </w:r>
    </w:p>
    <w:p w:rsidR="003E022D" w:rsidRDefault="007D19D6">
      <w:pPr>
        <w:rPr>
          <w:rFonts w:eastAsia="Calibri" w:cs="Times New Roman"/>
          <w:noProof/>
        </w:rPr>
      </w:pPr>
      <w:r>
        <w:rPr>
          <w:noProof/>
        </w:rPr>
        <w:t>c) noraidīt akciju iegādi, ja pircējs vēlas iegūt tādu kapitāla līdzdal</w:t>
      </w:r>
      <w:r>
        <w:rPr>
          <w:noProof/>
        </w:rPr>
        <w:t xml:space="preserve">ības apmēru, kas varētu apdraudēt ar aizsardzību un valsts drošību saistītas intereses. </w:t>
      </w:r>
    </w:p>
    <w:p w:rsidR="003E022D" w:rsidRDefault="007D19D6">
      <w:pPr>
        <w:rPr>
          <w:rFonts w:eastAsia="Calibri" w:cs="Times New Roman"/>
          <w:noProof/>
        </w:rPr>
      </w:pPr>
      <w:r>
        <w:rPr>
          <w:noProof/>
        </w:rPr>
        <w:t>Attiecīgā sabiedrība par jebkuru rezolūciju, aktu vai darījumu (piemēram, nodošanu, apvienošanu, sadalīšanu, darbības maiņu vai darbības pārtraukšanu), kas saistīts ar</w:t>
      </w:r>
      <w:r>
        <w:rPr>
          <w:noProof/>
        </w:rPr>
        <w:t xml:space="preserve"> stratēģiskiem aktīviem enerģētikas, transporta un sakaru jomā, paziņo premjerministra birojam. Konkrētāk, ir jāpaziņo par jebkādu iegūšanu īpašumā, kas jebkurai fiziskai vai juridiskai personai, kura nav no Eiropas Savienības, nodrošina kontroli pār uzņēm</w:t>
      </w:r>
      <w:r>
        <w:rPr>
          <w:noProof/>
        </w:rPr>
        <w:t xml:space="preserve">umu. </w:t>
      </w:r>
    </w:p>
    <w:p w:rsidR="003E022D" w:rsidRDefault="007D19D6">
      <w:pPr>
        <w:rPr>
          <w:rFonts w:eastAsia="Calibri" w:cs="Times New Roman"/>
          <w:noProof/>
        </w:rPr>
      </w:pPr>
      <w:r>
        <w:rPr>
          <w:noProof/>
        </w:rPr>
        <w:t xml:space="preserve">Premjerministrs var izmantot šādas īpašās pilnvaras: </w:t>
      </w:r>
    </w:p>
    <w:p w:rsidR="003E022D" w:rsidRDefault="007D19D6">
      <w:pPr>
        <w:rPr>
          <w:rFonts w:eastAsia="Calibri" w:cs="Times New Roman"/>
          <w:noProof/>
        </w:rPr>
      </w:pPr>
      <w:r>
        <w:rPr>
          <w:noProof/>
        </w:rPr>
        <w:t xml:space="preserve">a) uzlikt veto jebkurai rezolūcijai, aktam un darījumam, kas uzskatāms par ārkārtēju un nopietnu sabiedrības interešu apdraudējumu tīklu un rezervju drošības un darbības jomā; </w:t>
      </w:r>
    </w:p>
    <w:p w:rsidR="003E022D" w:rsidRDefault="007D19D6">
      <w:pPr>
        <w:rPr>
          <w:rFonts w:eastAsia="Calibri" w:cs="Times New Roman"/>
          <w:noProof/>
        </w:rPr>
      </w:pPr>
      <w:r>
        <w:rPr>
          <w:noProof/>
        </w:rPr>
        <w:t xml:space="preserve">b) piemērot īpašus </w:t>
      </w:r>
      <w:r>
        <w:rPr>
          <w:noProof/>
        </w:rPr>
        <w:t>nosacījumus, lai garantētu sabiedrības interešu ievērošanu; vai</w:t>
      </w:r>
    </w:p>
    <w:p w:rsidR="003E022D" w:rsidRDefault="007D19D6">
      <w:pPr>
        <w:rPr>
          <w:rFonts w:eastAsia="Calibri" w:cs="Times New Roman"/>
          <w:noProof/>
        </w:rPr>
      </w:pPr>
      <w:r>
        <w:rPr>
          <w:noProof/>
        </w:rPr>
        <w:t>c) izņēmuma gadījumos, kad tiek apdraudētas būtiskas valsts intereses, noraidīt iegādes darījumu.</w:t>
      </w:r>
    </w:p>
    <w:p w:rsidR="003E022D" w:rsidRDefault="007D19D6">
      <w:pPr>
        <w:rPr>
          <w:rFonts w:eastAsia="Calibri" w:cs="Times New Roman"/>
          <w:noProof/>
        </w:rPr>
      </w:pPr>
      <w:r>
        <w:rPr>
          <w:noProof/>
        </w:rPr>
        <w:t xml:space="preserve">Kritēriji, kas jāņem vērā, novērtējot reālo vai ārkārtējo apdraudējumu, kā arī īpašo pilnvaru </w:t>
      </w:r>
      <w:r>
        <w:rPr>
          <w:noProof/>
        </w:rPr>
        <w:t xml:space="preserve">izmantošanas procedūras un nosacījumi ir paredzēti tiesību aktos.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IT</w:t>
      </w:r>
      <w:r>
        <w:rPr>
          <w:noProof/>
        </w:rPr>
        <w:t xml:space="preserve">: Likums Nr. 56/2012 par īpašajām pilnvarām attiecībā uz sabiedrībām, kas darbojas aizsardzības un valsts drošības, enerģētikas, transporta un sakaru nozarē; un </w:t>
      </w:r>
    </w:p>
    <w:p w:rsidR="003E022D" w:rsidRDefault="007D19D6">
      <w:pPr>
        <w:rPr>
          <w:rFonts w:eastAsia="Calibri" w:cs="Times New Roman"/>
          <w:noProof/>
        </w:rPr>
      </w:pPr>
      <w:r>
        <w:rPr>
          <w:noProof/>
        </w:rPr>
        <w:t>Premjerm</w:t>
      </w:r>
      <w:r>
        <w:rPr>
          <w:noProof/>
        </w:rPr>
        <w:t xml:space="preserve">inistra 2012. gada 30. novembra Dekrēts Nr. DPCM 253, ar ko nosaka stratēģiski nozīmīgas darbības aizsardzības un valsts drošības nozarē. </w:t>
      </w:r>
    </w:p>
    <w:p w:rsidR="003E022D" w:rsidRDefault="007D19D6">
      <w:pPr>
        <w:rPr>
          <w:rFonts w:eastAsia="Calibri" w:cs="Times New Roman"/>
          <w:iCs/>
          <w:noProof/>
          <w:u w:val="single"/>
        </w:rPr>
      </w:pPr>
      <w:r>
        <w:rPr>
          <w:noProof/>
          <w:u w:val="single"/>
        </w:rPr>
        <w:t>Attiecībā uz investīciju liberalizāciju – piekļuve tirgum, valsts režīms, lielākās labvēlības režīms, veiktspējas pra</w:t>
      </w:r>
      <w:r>
        <w:rPr>
          <w:noProof/>
          <w:u w:val="single"/>
        </w:rPr>
        <w:t xml:space="preserve">sības, augstākā vadība un direktoru padomes </w:t>
      </w:r>
    </w:p>
    <w:p w:rsidR="003E022D" w:rsidRDefault="007D19D6">
      <w:pPr>
        <w:rPr>
          <w:rFonts w:eastAsia="Calibri" w:cs="Times New Roman"/>
          <w:noProof/>
        </w:rPr>
      </w:pPr>
      <w:r>
        <w:rPr>
          <w:b/>
          <w:noProof/>
        </w:rPr>
        <w:t>LT</w:t>
      </w:r>
      <w:r>
        <w:rPr>
          <w:noProof/>
        </w:rPr>
        <w:t>: valsts drošībai stratēģiski nozīmīgi uzņēmumi, nozares un būves.</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LT</w:t>
      </w:r>
      <w:r>
        <w:rPr>
          <w:noProof/>
        </w:rPr>
        <w:t>: 2002. gada 10. oktobra Likums par Lietuvas Republikas nacionālās drošības garantēšanai svarīgu objektu aizsardzību Nr. IX</w:t>
      </w:r>
      <w:r>
        <w:rPr>
          <w:noProof/>
        </w:rPr>
        <w:t xml:space="preserve">-1132 (jaunākie grozījumi izdarīti 2018. gada 12. janvārī, Nr. XIII-992). </w:t>
      </w:r>
    </w:p>
    <w:p w:rsidR="003E022D" w:rsidRDefault="007D19D6">
      <w:pPr>
        <w:rPr>
          <w:rFonts w:eastAsia="Calibri" w:cs="Times New Roman"/>
          <w:iCs/>
          <w:noProof/>
          <w:u w:val="single"/>
        </w:rPr>
      </w:pPr>
      <w:r>
        <w:rPr>
          <w:noProof/>
          <w:u w:val="single"/>
        </w:rPr>
        <w:t xml:space="preserve">Attiecībā uz investīciju liberalizāciju – valsts režīms un augstākā vadība un direktoru padomes </w:t>
      </w:r>
    </w:p>
    <w:p w:rsidR="003E022D" w:rsidRDefault="007D19D6">
      <w:pPr>
        <w:rPr>
          <w:rFonts w:eastAsia="Calibri" w:cs="Times New Roman"/>
          <w:noProof/>
        </w:rPr>
      </w:pPr>
      <w:r>
        <w:rPr>
          <w:b/>
          <w:noProof/>
        </w:rPr>
        <w:t>SE</w:t>
      </w:r>
      <w:r>
        <w:rPr>
          <w:noProof/>
        </w:rPr>
        <w:t xml:space="preserve">: diskriminējošas prasības pret uzņēmumu dibinātājiem, augstāko vadību un direktoru padomēm, kad Zviedrijas tiesību aktos tiek iekļauti jauni juridisko apvienību veidi. </w:t>
      </w:r>
    </w:p>
    <w:p w:rsidR="003E022D" w:rsidRDefault="007D19D6">
      <w:pPr>
        <w:ind w:left="360"/>
        <w:rPr>
          <w:rFonts w:eastAsia="Calibri" w:cs="Times New Roman"/>
          <w:b/>
          <w:bCs/>
          <w:i/>
          <w:noProof/>
        </w:rPr>
      </w:pPr>
      <w:r>
        <w:rPr>
          <w:b/>
          <w:i/>
          <w:noProof/>
        </w:rPr>
        <w:t>b)</w:t>
      </w:r>
      <w:r>
        <w:rPr>
          <w:noProof/>
        </w:rPr>
        <w:tab/>
      </w:r>
      <w:bookmarkStart w:id="1173" w:name="_Toc452503962"/>
      <w:r>
        <w:rPr>
          <w:b/>
          <w:bCs/>
          <w:i/>
          <w:noProof/>
        </w:rPr>
        <w:t>Nekustamā īpašuma iegāde</w:t>
      </w:r>
      <w:bookmarkEnd w:id="1173"/>
      <w:r>
        <w:rPr>
          <w:b/>
          <w:bCs/>
          <w:i/>
          <w:noProof/>
        </w:rPr>
        <w:t xml:space="preserve"> </w:t>
      </w:r>
    </w:p>
    <w:p w:rsidR="003E022D" w:rsidRDefault="007D19D6">
      <w:pPr>
        <w:rPr>
          <w:rFonts w:eastAsia="Calibri" w:cs="Times New Roman"/>
          <w:iCs/>
          <w:noProof/>
          <w:u w:val="single"/>
        </w:rPr>
      </w:pPr>
      <w:r>
        <w:rPr>
          <w:noProof/>
          <w:u w:val="single"/>
        </w:rPr>
        <w:t>Attiecībā uz investīciju liberalizāciju – piekļuve tirgum</w:t>
      </w:r>
      <w:r>
        <w:rPr>
          <w:noProof/>
          <w:u w:val="single"/>
        </w:rPr>
        <w:t xml:space="preserve">, valsts režīms, augstākā līmeņa vadība un direktoru padomes </w:t>
      </w:r>
    </w:p>
    <w:p w:rsidR="003E022D" w:rsidRDefault="007D19D6">
      <w:pPr>
        <w:rPr>
          <w:rFonts w:eastAsia="Calibri" w:cs="Times New Roman"/>
          <w:noProof/>
        </w:rPr>
      </w:pPr>
      <w:r>
        <w:rPr>
          <w:b/>
          <w:noProof/>
        </w:rPr>
        <w:t>HU</w:t>
      </w:r>
      <w:r>
        <w:rPr>
          <w:noProof/>
        </w:rPr>
        <w:t xml:space="preserve">: valstij piederoša īpašuma iegāde </w:t>
      </w:r>
    </w:p>
    <w:p w:rsidR="003E022D" w:rsidRDefault="007D19D6">
      <w:pPr>
        <w:rPr>
          <w:rFonts w:eastAsia="Calibri" w:cs="Times New Roman"/>
          <w:iCs/>
          <w:noProof/>
          <w:u w:val="single"/>
        </w:rPr>
      </w:pPr>
      <w:r>
        <w:rPr>
          <w:noProof/>
          <w:u w:val="single"/>
        </w:rPr>
        <w:t xml:space="preserve">Attiecībā uz investīciju liberalizāciju – piekļuve tirgum, valsts režīms </w:t>
      </w:r>
    </w:p>
    <w:p w:rsidR="003E022D" w:rsidRDefault="007D19D6">
      <w:pPr>
        <w:rPr>
          <w:rFonts w:eastAsia="Calibri" w:cs="Times New Roman"/>
          <w:noProof/>
        </w:rPr>
      </w:pPr>
      <w:r>
        <w:rPr>
          <w:b/>
          <w:bCs/>
          <w:noProof/>
        </w:rPr>
        <w:t>HU</w:t>
      </w:r>
      <w:r>
        <w:rPr>
          <w:noProof/>
        </w:rPr>
        <w:t>: aramzemi iegādājas ārvalstu juridiskās personas un nerezidējošas fiziskās pers</w:t>
      </w:r>
      <w:r>
        <w:rPr>
          <w:noProof/>
        </w:rPr>
        <w:t xml:space="preserve">onas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HU</w:t>
      </w:r>
      <w:r>
        <w:rPr>
          <w:noProof/>
        </w:rPr>
        <w:t xml:space="preserve">: 2013. gada Likums CXXII par lauksaimniecības un mežsaimniecības zemes apriti (II nodaļa </w:t>
      </w:r>
    </w:p>
    <w:p w:rsidR="003E022D" w:rsidRDefault="007D19D6">
      <w:pPr>
        <w:rPr>
          <w:rFonts w:eastAsia="Calibri" w:cs="Times New Roman"/>
          <w:noProof/>
        </w:rPr>
      </w:pPr>
      <w:r>
        <w:rPr>
          <w:noProof/>
        </w:rPr>
        <w:t xml:space="preserve">(6.-36. punkts) un IV nodaļa (38.-59. punkts)); un </w:t>
      </w:r>
    </w:p>
    <w:p w:rsidR="003E022D" w:rsidRDefault="007D19D6">
      <w:pPr>
        <w:rPr>
          <w:rFonts w:eastAsia="Calibri" w:cs="Times New Roman"/>
          <w:noProof/>
        </w:rPr>
      </w:pPr>
      <w:r>
        <w:rPr>
          <w:noProof/>
        </w:rPr>
        <w:t>2013. gada Likums CCXII par pārejas pasākumiem un konkrētiem noteikumiem saistībā ar 201</w:t>
      </w:r>
      <w:r>
        <w:rPr>
          <w:noProof/>
        </w:rPr>
        <w:t xml:space="preserve">3. gada Likumu CXXII par lauksaimniecības un mežsaimniecības zemes apriti (IV nodaļa (8.–20. punkts)). </w:t>
      </w:r>
    </w:p>
    <w:p w:rsidR="003E022D" w:rsidRDefault="007D19D6">
      <w:pPr>
        <w:rPr>
          <w:rFonts w:eastAsia="Calibri" w:cs="Times New Roman"/>
          <w:noProof/>
        </w:rPr>
      </w:pPr>
      <w:r>
        <w:rPr>
          <w:b/>
          <w:bCs/>
          <w:noProof/>
        </w:rPr>
        <w:t>LV</w:t>
      </w:r>
      <w:r>
        <w:rPr>
          <w:noProof/>
        </w:rPr>
        <w:t xml:space="preserve">: lauku zemes iegāde, ko veic Apvienotās Karalistes vai trešās valsts valstspiederīgie.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LV</w:t>
      </w:r>
      <w:r>
        <w:rPr>
          <w:noProof/>
        </w:rPr>
        <w:t xml:space="preserve">: Likums par zemes privatizāciju lauku apvidos, 28., 29. un 30. pants. </w:t>
      </w:r>
    </w:p>
    <w:p w:rsidR="003E022D" w:rsidRDefault="007D19D6">
      <w:pPr>
        <w:rPr>
          <w:rFonts w:eastAsia="Calibri" w:cs="Times New Roman"/>
          <w:b/>
          <w:noProof/>
        </w:rPr>
      </w:pPr>
      <w:r>
        <w:rPr>
          <w:b/>
          <w:noProof/>
        </w:rPr>
        <w:t>SK</w:t>
      </w:r>
      <w:r>
        <w:rPr>
          <w:noProof/>
        </w:rPr>
        <w:t xml:space="preserve">: ārvalstu uzņēmumi un fiziskas personas nedrīkst iegūt īpašumā lauksaimniecības un mežsaimniecības zemi ārpus apbūvētās pašvaldības teritorijas robežām un dažas citas zemes (piem., </w:t>
      </w:r>
      <w:r>
        <w:rPr>
          <w:noProof/>
        </w:rPr>
        <w:t xml:space="preserve">dabas resursus, ezerus, upes, sabiedriskos ceļus utt.).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SK</w:t>
      </w:r>
      <w:r>
        <w:rPr>
          <w:noProof/>
        </w:rPr>
        <w:t>: Likums Nr. 44/1988 par dabas resursu aizsardzību un izmantošanu;</w:t>
      </w:r>
    </w:p>
    <w:p w:rsidR="003E022D" w:rsidRDefault="007D19D6">
      <w:pPr>
        <w:rPr>
          <w:rFonts w:eastAsia="Calibri" w:cs="Times New Roman"/>
          <w:noProof/>
        </w:rPr>
      </w:pPr>
      <w:r>
        <w:rPr>
          <w:noProof/>
        </w:rPr>
        <w:t xml:space="preserve">Likums Nr. 229/1991 par regulējumu attiecībā uz zemes un cita lauksaimniecības īpašuma tiesībām; </w:t>
      </w:r>
    </w:p>
    <w:p w:rsidR="003E022D" w:rsidRDefault="007D19D6">
      <w:pPr>
        <w:rPr>
          <w:rFonts w:eastAsia="Calibri" w:cs="Times New Roman"/>
          <w:noProof/>
        </w:rPr>
      </w:pPr>
      <w:r>
        <w:rPr>
          <w:noProof/>
        </w:rPr>
        <w:t>Likums Nr. 460/</w:t>
      </w:r>
      <w:r>
        <w:rPr>
          <w:noProof/>
        </w:rPr>
        <w:t xml:space="preserve">1992 Slovākijas Republikas Konstitūcija; </w:t>
      </w:r>
    </w:p>
    <w:p w:rsidR="003E022D" w:rsidRDefault="007D19D6">
      <w:pPr>
        <w:rPr>
          <w:rFonts w:eastAsia="Calibri" w:cs="Times New Roman"/>
          <w:noProof/>
        </w:rPr>
      </w:pPr>
      <w:r>
        <w:rPr>
          <w:noProof/>
        </w:rPr>
        <w:t xml:space="preserve">Likums Nr. 180/1995 par dažiem pasākumiem saistībā ar zemes īpašumtiesību kārtību; </w:t>
      </w:r>
    </w:p>
    <w:p w:rsidR="003E022D" w:rsidRDefault="007D19D6">
      <w:pPr>
        <w:rPr>
          <w:rFonts w:eastAsia="Calibri" w:cs="Times New Roman"/>
          <w:noProof/>
        </w:rPr>
      </w:pPr>
      <w:r>
        <w:rPr>
          <w:noProof/>
        </w:rPr>
        <w:t xml:space="preserve">Ārvalstu valūtas likums Nr. 202/1995; </w:t>
      </w:r>
    </w:p>
    <w:p w:rsidR="003E022D" w:rsidRDefault="007D19D6">
      <w:pPr>
        <w:rPr>
          <w:rFonts w:eastAsia="Calibri" w:cs="Times New Roman"/>
          <w:noProof/>
        </w:rPr>
      </w:pPr>
      <w:r>
        <w:rPr>
          <w:noProof/>
        </w:rPr>
        <w:t xml:space="preserve">Likums Nr. 503/2003 par zemes īpašumtiesību atgūšanu; </w:t>
      </w:r>
    </w:p>
    <w:p w:rsidR="003E022D" w:rsidRDefault="007D19D6">
      <w:pPr>
        <w:rPr>
          <w:rFonts w:eastAsia="Calibri" w:cs="Times New Roman"/>
          <w:noProof/>
        </w:rPr>
      </w:pPr>
      <w:r>
        <w:rPr>
          <w:noProof/>
        </w:rPr>
        <w:t xml:space="preserve">Mežu likums Nr. 326/2005 un </w:t>
      </w:r>
    </w:p>
    <w:p w:rsidR="003E022D" w:rsidRDefault="007D19D6">
      <w:pPr>
        <w:rPr>
          <w:rFonts w:eastAsia="Calibri" w:cs="Times New Roman"/>
          <w:b/>
          <w:bCs/>
          <w:i/>
          <w:noProof/>
        </w:rPr>
      </w:pPr>
      <w:r>
        <w:rPr>
          <w:noProof/>
        </w:rPr>
        <w:t xml:space="preserve">Likums </w:t>
      </w:r>
      <w:r>
        <w:rPr>
          <w:noProof/>
        </w:rPr>
        <w:t xml:space="preserve">Nr. 140/2014 par lauku zemes īpašumtiesību iegūšanu. </w:t>
      </w:r>
    </w:p>
    <w:p w:rsidR="003E022D" w:rsidRDefault="007D19D6">
      <w:pPr>
        <w:rPr>
          <w:rFonts w:eastAsia="Calibri" w:cs="Times New Roman"/>
          <w:iCs/>
          <w:noProof/>
          <w:u w:val="single"/>
        </w:rPr>
      </w:pPr>
      <w:r>
        <w:rPr>
          <w:noProof/>
          <w:u w:val="single"/>
        </w:rPr>
        <w:t xml:space="preserve">Attiecībā uz investīciju liberalizāciju – valsts režīms un pakalpojumu pārrobežu tirdzniecība – klātbūtne uz vietas </w:t>
      </w:r>
    </w:p>
    <w:p w:rsidR="003E022D" w:rsidRDefault="007D19D6">
      <w:pPr>
        <w:rPr>
          <w:rFonts w:eastAsia="Calibri" w:cs="Times New Roman"/>
          <w:b/>
          <w:noProof/>
        </w:rPr>
      </w:pPr>
      <w:r>
        <w:rPr>
          <w:b/>
          <w:noProof/>
        </w:rPr>
        <w:t>BG:</w:t>
      </w:r>
      <w:r>
        <w:rPr>
          <w:noProof/>
        </w:rPr>
        <w:t xml:space="preserve"> fiziskas un juridiskas personas, kas ir ārvalstnieki, nevar iegādāties zemi. Bulg</w:t>
      </w:r>
      <w:r>
        <w:rPr>
          <w:noProof/>
        </w:rPr>
        <w:t>ārijas juridiskās personas, kurām ir ārvalstu dalībnieki, nevar iegādāties lauksaimniecībā izmantojamu zemi. Ārvalstu juridiskās personas un ārvalstu fiziskās personas, kam pastāvīgā dzīvesvieta ir ārvalstīs, var iegādāties ēkas un īpašumtiesības uz nekust</w:t>
      </w:r>
      <w:r>
        <w:rPr>
          <w:noProof/>
        </w:rPr>
        <w:t>amo īpašumu (izmantošanas tiesības, celtniecības tiesības, tiesības būvēt virszemes struktūras un servitūttiesības). Ārvalstu fiziskas personas, kuru pastāvīgā dzīvesvieta ir ārvalstīs, ārvalstu juridiskās personas, kurās ārvalstu dalībniekiem lēmumu pieņe</w:t>
      </w:r>
      <w:r>
        <w:rPr>
          <w:noProof/>
        </w:rPr>
        <w:t xml:space="preserve">mšanas procesā ir balsu vairākums vai ir nodrošināta iespēja bloķēt lēmuma pieņemšanu, var iegādāties nekustamos īpašumus atsevišķos Ministru padomes noteiktos ģeogrāfiskajos reģionos, iepriekš saņemot atļauju.  </w:t>
      </w:r>
    </w:p>
    <w:p w:rsidR="003E022D" w:rsidRDefault="007D19D6">
      <w:pPr>
        <w:rPr>
          <w:rFonts w:eastAsia="Calibri" w:cs="Times New Roman"/>
          <w:noProof/>
        </w:rPr>
      </w:pPr>
      <w:r>
        <w:rPr>
          <w:b/>
          <w:noProof/>
        </w:rPr>
        <w:t>BG</w:t>
      </w:r>
      <w:r>
        <w:rPr>
          <w:noProof/>
        </w:rPr>
        <w:t>: Bulgārijas Republikas Konstitūcija, 22.</w:t>
      </w:r>
      <w:r>
        <w:rPr>
          <w:noProof/>
        </w:rPr>
        <w:t xml:space="preserve"> pants; Likums par lauksaimniecības zemes īpašumtiesībām un izmantošanu, 3. pants;  Mežu likums, 10. pants. </w:t>
      </w:r>
    </w:p>
    <w:p w:rsidR="003E022D" w:rsidRDefault="007D19D6">
      <w:pPr>
        <w:rPr>
          <w:rFonts w:eastAsia="Calibri" w:cs="Times New Roman"/>
          <w:noProof/>
        </w:rPr>
      </w:pPr>
      <w:r>
        <w:rPr>
          <w:b/>
          <w:noProof/>
        </w:rPr>
        <w:t>EE</w:t>
      </w:r>
      <w:r>
        <w:rPr>
          <w:noProof/>
        </w:rPr>
        <w:t>: ārvalstu fiziskās vai juridiskās personas, kas nav EEZ vai Ekonomiskās sadarbības un attīstības organizācijas valstu personas, var iegādāties n</w:t>
      </w:r>
      <w:r>
        <w:rPr>
          <w:noProof/>
        </w:rPr>
        <w:t>ekustamo īpašumu, kurā ietilpst lauksaimniecības zeme un/vai mežu zeme, tikai ar pašvaldības vadītāja atļauju un pašvaldības padomes atļauju, un tām ir jāspēj atbilstīgi likumā noteiktajam pierādīt, ka nekustamais īpašums tiks izmantots paredzētajam nolūka</w:t>
      </w:r>
      <w:r>
        <w:rPr>
          <w:noProof/>
        </w:rPr>
        <w:t xml:space="preserve">m un efektīvi, ilgtspējīgi un mērķtiecīgi.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EE</w:t>
      </w:r>
      <w:r>
        <w:rPr>
          <w:noProof/>
        </w:rPr>
        <w:t xml:space="preserve">: </w:t>
      </w:r>
      <w:r>
        <w:rPr>
          <w:i/>
          <w:noProof/>
        </w:rPr>
        <w:t>Kinnisasja omandamise kitsendamise seadus</w:t>
      </w:r>
      <w:r>
        <w:rPr>
          <w:noProof/>
        </w:rPr>
        <w:t xml:space="preserve"> (Nekustamā īpašuma iegūšanas ierobežojumu likums), 2. un 3. nodaļa </w:t>
      </w:r>
    </w:p>
    <w:p w:rsidR="003E022D" w:rsidRDefault="007D19D6">
      <w:pPr>
        <w:rPr>
          <w:rFonts w:eastAsia="Calibri" w:cs="Times New Roman"/>
          <w:iCs/>
          <w:noProof/>
          <w:u w:val="single"/>
        </w:rPr>
      </w:pPr>
      <w:r>
        <w:rPr>
          <w:noProof/>
          <w:u w:val="single"/>
        </w:rPr>
        <w:t xml:space="preserve">Attiecībā uz investīciju liberalizāciju – piekļuve tirgum, valsts režīms un pakalpojumu pārrobežu tirdzniecība – piekļuve tirgum, valsts režīms </w:t>
      </w:r>
    </w:p>
    <w:p w:rsidR="003E022D" w:rsidRDefault="007D19D6">
      <w:pPr>
        <w:rPr>
          <w:rFonts w:eastAsia="Calibri" w:cs="Times New Roman"/>
          <w:noProof/>
        </w:rPr>
      </w:pPr>
      <w:r>
        <w:rPr>
          <w:b/>
          <w:noProof/>
        </w:rPr>
        <w:t>LT</w:t>
      </w:r>
      <w:r>
        <w:rPr>
          <w:noProof/>
        </w:rPr>
        <w:t xml:space="preserve">: jebkāds pasākums, kas atbilst saistībām, kuras uzņēmusies Eiropas Savienība un kuras Lietuvā saskaņā ar </w:t>
      </w:r>
      <w:r>
        <w:rPr>
          <w:i/>
          <w:iCs/>
          <w:noProof/>
        </w:rPr>
        <w:t>GAT</w:t>
      </w:r>
      <w:r>
        <w:rPr>
          <w:i/>
          <w:iCs/>
          <w:noProof/>
        </w:rPr>
        <w:t>S</w:t>
      </w:r>
      <w:r>
        <w:rPr>
          <w:noProof/>
        </w:rPr>
        <w:t xml:space="preserve"> ir piemērojamas zemes iegūšanai īpašumā. Zemes gabala iegādes procedūru, noteikumus, kā arī ierobežojumus paredz Konstitucionālajā likumā, Zemes likumā un Lauksaimniecības zemes iegādes likumā. </w:t>
      </w:r>
    </w:p>
    <w:p w:rsidR="003E022D" w:rsidRDefault="007D19D6">
      <w:pPr>
        <w:rPr>
          <w:rFonts w:eastAsia="Calibri" w:cs="Times New Roman"/>
          <w:noProof/>
        </w:rPr>
      </w:pPr>
      <w:r>
        <w:rPr>
          <w:noProof/>
        </w:rPr>
        <w:t>Tomēr Ekonomiskās sadarbības un attīstības organizācijas un</w:t>
      </w:r>
      <w:r>
        <w:rPr>
          <w:noProof/>
        </w:rPr>
        <w:t xml:space="preserve"> Ziemeļatlantijas līguma organizācijas dalībvalstu vietējā valdība (pašvaldības) un citi valsts līmeņa subjekti, kas Lietuvā veic saimniecisku darbību, ir norādīti Konstitucionālajā likumā atbilstīgi Eiropas Savienības un citiem Lietuvai saistošiem integrā</w:t>
      </w:r>
      <w:r>
        <w:rPr>
          <w:noProof/>
        </w:rPr>
        <w:t xml:space="preserve">cijas kritērijiem, var iegūt īpašumā zemes gabalus, kuri nav izmantojami lauksaimniecībā un ir nepieciešami, lai veiktu ar minēto subjektu tiešu darbību saistītu ēku un objektu būvniecību un ekspluatāciju.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LT</w:t>
      </w:r>
      <w:r>
        <w:rPr>
          <w:noProof/>
        </w:rPr>
        <w:t xml:space="preserve">: Lietuvas Republikas Konstitūcija; </w:t>
      </w:r>
    </w:p>
    <w:p w:rsidR="003E022D" w:rsidRDefault="007D19D6">
      <w:pPr>
        <w:rPr>
          <w:rFonts w:eastAsia="Calibri" w:cs="Times New Roman"/>
          <w:noProof/>
        </w:rPr>
      </w:pPr>
      <w:r>
        <w:rPr>
          <w:noProof/>
        </w:rPr>
        <w:t xml:space="preserve">Lietuvas Republikas 1996. gada 20. jūnija Konstitucionālais likums Nr. I-1392 par Lietuvas Republikas Konstitūcijas 47. panta 3. punkta īstenošanu, jaunākie grozījumi izdarīti 2003. gada 20. martā, Nr. IX-1381; </w:t>
      </w:r>
    </w:p>
    <w:p w:rsidR="003E022D" w:rsidRDefault="007D19D6">
      <w:pPr>
        <w:rPr>
          <w:rFonts w:eastAsia="Calibri" w:cs="Times New Roman"/>
          <w:noProof/>
        </w:rPr>
      </w:pPr>
      <w:r>
        <w:rPr>
          <w:noProof/>
        </w:rPr>
        <w:t>2004. g</w:t>
      </w:r>
      <w:r>
        <w:rPr>
          <w:noProof/>
        </w:rPr>
        <w:t xml:space="preserve">ada 27. janvāra </w:t>
      </w:r>
      <w:bookmarkStart w:id="1174" w:name="data_metai"/>
      <w:bookmarkEnd w:id="1174"/>
      <w:r>
        <w:rPr>
          <w:noProof/>
        </w:rPr>
        <w:t xml:space="preserve">Zemes likums Nr. IX-1983 un </w:t>
      </w:r>
    </w:p>
    <w:p w:rsidR="003E022D" w:rsidRDefault="007D19D6">
      <w:pPr>
        <w:rPr>
          <w:rFonts w:eastAsia="Calibri" w:cs="Times New Roman"/>
          <w:noProof/>
        </w:rPr>
      </w:pPr>
      <w:r>
        <w:rPr>
          <w:noProof/>
        </w:rPr>
        <w:t xml:space="preserve">2014. gada 24. aprīļa Lauksaimniecības zemes iegūšanas īpašumā likums Nr. XII-854. </w:t>
      </w:r>
    </w:p>
    <w:p w:rsidR="003E022D" w:rsidRDefault="007D19D6">
      <w:pPr>
        <w:rPr>
          <w:rFonts w:eastAsia="Calibri" w:cs="Times New Roman"/>
          <w:b/>
          <w:bCs/>
          <w:i/>
          <w:noProof/>
        </w:rPr>
      </w:pPr>
      <w:r>
        <w:rPr>
          <w:b/>
          <w:i/>
          <w:noProof/>
        </w:rPr>
        <w:t>c)</w:t>
      </w:r>
      <w:r>
        <w:rPr>
          <w:noProof/>
        </w:rPr>
        <w:tab/>
      </w:r>
      <w:r>
        <w:rPr>
          <w:b/>
          <w:bCs/>
          <w:i/>
          <w:noProof/>
        </w:rPr>
        <w:t>Atzīšana</w:t>
      </w:r>
      <w:r>
        <w:rPr>
          <w:b/>
          <w:i/>
          <w:noProof/>
        </w:rPr>
        <w:t xml:space="preserve"> </w:t>
      </w:r>
    </w:p>
    <w:p w:rsidR="003E022D" w:rsidRDefault="007D19D6">
      <w:pPr>
        <w:rPr>
          <w:rFonts w:eastAsia="Calibri" w:cs="Times New Roman"/>
          <w:noProof/>
          <w:u w:val="single"/>
        </w:rPr>
      </w:pPr>
      <w:r>
        <w:rPr>
          <w:noProof/>
          <w:u w:val="single"/>
        </w:rPr>
        <w:t xml:space="preserve">Attiecībā uz investīciju liberalizāciju – valsts režīms un pakalpojumu pārrobežu tirdzniecība – valsts režīms </w:t>
      </w:r>
    </w:p>
    <w:p w:rsidR="003E022D" w:rsidRDefault="007D19D6">
      <w:pPr>
        <w:rPr>
          <w:rFonts w:eastAsia="Calibri" w:cs="Times New Roman"/>
          <w:noProof/>
        </w:rPr>
      </w:pPr>
      <w:r>
        <w:rPr>
          <w:b/>
          <w:noProof/>
        </w:rPr>
        <w:t>EU</w:t>
      </w:r>
      <w:r>
        <w:rPr>
          <w:noProof/>
        </w:rPr>
        <w:t>:</w:t>
      </w:r>
      <w:r>
        <w:rPr>
          <w:noProof/>
        </w:rPr>
        <w:t xml:space="preserve"> Eiropas Savienības direktīvas par diplomu un citu profesionālo kvalifikāciju savstarpēju atzīšanu attiecas tikai uz Savienības pilsoņiem. Tiesības sniegt regulētus profesionālos pakalpojumus vienā dalībvalstī nepiešķir tiesības tos sniegt citā dalībvalstī</w:t>
      </w:r>
      <w:r>
        <w:rPr>
          <w:noProof/>
        </w:rPr>
        <w:t xml:space="preserve">. </w:t>
      </w:r>
    </w:p>
    <w:p w:rsidR="003E022D" w:rsidRDefault="007D19D6">
      <w:pPr>
        <w:rPr>
          <w:rFonts w:eastAsia="Calibri" w:cs="Times New Roman"/>
          <w:b/>
          <w:bCs/>
          <w:i/>
          <w:noProof/>
        </w:rPr>
      </w:pPr>
      <w:bookmarkStart w:id="1175" w:name="_Toc452503963"/>
      <w:r>
        <w:rPr>
          <w:b/>
          <w:bCs/>
          <w:i/>
          <w:noProof/>
        </w:rPr>
        <w:t>d)</w:t>
      </w:r>
      <w:r>
        <w:rPr>
          <w:noProof/>
        </w:rPr>
        <w:tab/>
      </w:r>
      <w:r>
        <w:rPr>
          <w:b/>
          <w:bCs/>
          <w:i/>
          <w:noProof/>
        </w:rPr>
        <w:t>Lielākās labvēlības režīms</w:t>
      </w:r>
      <w:bookmarkEnd w:id="1175"/>
      <w:r>
        <w:rPr>
          <w:i/>
          <w:noProof/>
        </w:rPr>
        <w:t xml:space="preserve"> </w:t>
      </w:r>
    </w:p>
    <w:p w:rsidR="003E022D" w:rsidRDefault="007D19D6">
      <w:pPr>
        <w:rPr>
          <w:rFonts w:eastAsia="Calibri" w:cs="Times New Roman"/>
          <w:iCs/>
          <w:noProof/>
          <w:u w:val="single"/>
        </w:rPr>
      </w:pPr>
      <w:r>
        <w:rPr>
          <w:noProof/>
          <w:u w:val="single"/>
        </w:rPr>
        <w:t xml:space="preserve">Attiecībā uz investīciju liberalizāciju – lielākās labvēlības režīms un pakalpojumu pārrobežu tirdzniecība – lielākās labvēlības režīms un tiesiskais regulējums attiecībā uz juridiskajiem pakalpojumiem – saistības </w:t>
      </w:r>
    </w:p>
    <w:p w:rsidR="003E022D" w:rsidRDefault="007D19D6">
      <w:pPr>
        <w:rPr>
          <w:rFonts w:eastAsia="Calibri" w:cs="Times New Roman"/>
          <w:noProof/>
        </w:rPr>
      </w:pPr>
      <w:r>
        <w:rPr>
          <w:b/>
          <w:noProof/>
        </w:rPr>
        <w:t>EU</w:t>
      </w:r>
      <w:r>
        <w:rPr>
          <w:noProof/>
        </w:rPr>
        <w:t>: atš</w:t>
      </w:r>
      <w:r>
        <w:rPr>
          <w:noProof/>
        </w:rPr>
        <w:t xml:space="preserve">ķirīga režīma nodrošināšana trešai valstij, ievērojot jebkādu starptautisku ieguldījumu nolīgumu vai citu tirdzniecības nolīgumu, kas ir spēkā vai ir parakstīts pirms šā nolīguma stāšanās spēkā. </w:t>
      </w:r>
    </w:p>
    <w:p w:rsidR="003E022D" w:rsidRDefault="007D19D6">
      <w:pPr>
        <w:rPr>
          <w:rFonts w:eastAsia="Calibri" w:cs="Times New Roman"/>
          <w:noProof/>
        </w:rPr>
      </w:pPr>
      <w:r>
        <w:rPr>
          <w:b/>
          <w:noProof/>
        </w:rPr>
        <w:t>EU</w:t>
      </w:r>
      <w:r>
        <w:rPr>
          <w:i/>
          <w:noProof/>
        </w:rPr>
        <w:t>:</w:t>
      </w:r>
      <w:r>
        <w:rPr>
          <w:noProof/>
        </w:rPr>
        <w:t xml:space="preserve"> atšķirīga režīma nodrošināšana trešai valstij, ievērojot</w:t>
      </w:r>
      <w:r>
        <w:rPr>
          <w:noProof/>
        </w:rPr>
        <w:t xml:space="preserve"> jebkādu esošu vai turpmāku divpusēju vai daudzpusēju nolīgumu, ar kuru: </w:t>
      </w:r>
    </w:p>
    <w:p w:rsidR="003E022D" w:rsidRDefault="007D19D6">
      <w:pPr>
        <w:numPr>
          <w:ilvl w:val="0"/>
          <w:numId w:val="799"/>
        </w:numPr>
        <w:rPr>
          <w:rFonts w:eastAsia="Calibri" w:cs="Times New Roman"/>
          <w:noProof/>
        </w:rPr>
      </w:pPr>
      <w:r>
        <w:rPr>
          <w:noProof/>
        </w:rPr>
        <w:t xml:space="preserve">izveido pakalpojumu un investīciju iekšējo tirgu; </w:t>
      </w:r>
    </w:p>
    <w:p w:rsidR="003E022D" w:rsidRDefault="007D19D6">
      <w:pPr>
        <w:numPr>
          <w:ilvl w:val="0"/>
          <w:numId w:val="799"/>
        </w:numPr>
        <w:rPr>
          <w:rFonts w:eastAsia="Calibri" w:cs="Times New Roman"/>
          <w:noProof/>
        </w:rPr>
      </w:pPr>
      <w:r>
        <w:rPr>
          <w:noProof/>
        </w:rPr>
        <w:t xml:space="preserve">piešķir tiesības veikt uzņēmējdarbību vai </w:t>
      </w:r>
    </w:p>
    <w:p w:rsidR="003E022D" w:rsidRDefault="007D19D6">
      <w:pPr>
        <w:numPr>
          <w:ilvl w:val="0"/>
          <w:numId w:val="799"/>
        </w:numPr>
        <w:rPr>
          <w:rFonts w:eastAsia="Calibri" w:cs="Times New Roman"/>
          <w:noProof/>
        </w:rPr>
      </w:pPr>
      <w:r>
        <w:rPr>
          <w:noProof/>
        </w:rPr>
        <w:t xml:space="preserve">pieprasa tiesību aktu tuvināšanu vienā vai vairākās ekonomikas nozarēs. </w:t>
      </w:r>
    </w:p>
    <w:p w:rsidR="003E022D" w:rsidRDefault="007D19D6">
      <w:pPr>
        <w:rPr>
          <w:rFonts w:eastAsia="Calibri" w:cs="Times New Roman"/>
          <w:noProof/>
        </w:rPr>
      </w:pPr>
      <w:r>
        <w:rPr>
          <w:noProof/>
        </w:rPr>
        <w:t xml:space="preserve">Pakalpojumu un </w:t>
      </w:r>
      <w:r>
        <w:rPr>
          <w:noProof/>
        </w:rPr>
        <w:t xml:space="preserve">investīciju iekšējais tirgus ir tāda iekšēji nenorobežota teritorija, kurā nodrošināta brīva pakalpojumu un kapitāla aprite un personu pārvietošanās. </w:t>
      </w:r>
    </w:p>
    <w:p w:rsidR="003E022D" w:rsidRDefault="007D19D6">
      <w:pPr>
        <w:rPr>
          <w:rFonts w:eastAsia="Calibri" w:cs="Times New Roman"/>
          <w:noProof/>
        </w:rPr>
      </w:pPr>
      <w:r>
        <w:rPr>
          <w:noProof/>
        </w:rPr>
        <w:t>Tiesības veikt uzņēmējdarbību nozīmē, ka divpusējā vai daudzpusējā nolīguma pusēm ir pienākums līdz ar mi</w:t>
      </w:r>
      <w:r>
        <w:rPr>
          <w:noProof/>
        </w:rPr>
        <w:t xml:space="preserve">nētā nolīguma stāšanos spēkā atcelt pēc būtības jebkādus savstarpējus ierobežojumus attiecībā uz uzņēmējdarbības veikšanu. Tiesības veikt uzņēmējdarbību ietver divpusējā vai daudzpusējā nolīguma pušu valstspiederīgo tiesības izveidot un vadīt uzņēmumus ar </w:t>
      </w:r>
      <w:r>
        <w:rPr>
          <w:noProof/>
        </w:rPr>
        <w:t xml:space="preserve">tādiem pašiem nosacījumiem kā pašu valstpiederīgajiem atbilstīgi tās puses tiesību aktiem, kurā šāda uzņēmējdarbība tiek veikta. </w:t>
      </w:r>
    </w:p>
    <w:p w:rsidR="003E022D" w:rsidRDefault="007D19D6">
      <w:pPr>
        <w:rPr>
          <w:rFonts w:eastAsia="Calibri" w:cs="Times New Roman"/>
          <w:noProof/>
        </w:rPr>
      </w:pPr>
      <w:r>
        <w:rPr>
          <w:noProof/>
        </w:rPr>
        <w:t xml:space="preserve">Tiesību aktu tuvināšana ir: </w:t>
      </w:r>
    </w:p>
    <w:p w:rsidR="003E022D" w:rsidRDefault="007D19D6">
      <w:pPr>
        <w:numPr>
          <w:ilvl w:val="0"/>
          <w:numId w:val="800"/>
        </w:numPr>
        <w:rPr>
          <w:rFonts w:eastAsia="Calibri" w:cs="Times New Roman"/>
          <w:noProof/>
        </w:rPr>
      </w:pPr>
      <w:r>
        <w:rPr>
          <w:noProof/>
        </w:rPr>
        <w:t>vienas vai vairāku divpusējā vai daudzpusējā nolīguma pušu tiesību aktu saskaņošana ar minētā nol</w:t>
      </w:r>
      <w:r>
        <w:rPr>
          <w:noProof/>
        </w:rPr>
        <w:t xml:space="preserve">īguma otras puses vai pārējo pušu tiesību aktiem vai </w:t>
      </w:r>
    </w:p>
    <w:p w:rsidR="003E022D" w:rsidRDefault="007D19D6">
      <w:pPr>
        <w:numPr>
          <w:ilvl w:val="0"/>
          <w:numId w:val="800"/>
        </w:numPr>
        <w:rPr>
          <w:rFonts w:eastAsia="Calibri" w:cs="Times New Roman"/>
          <w:noProof/>
        </w:rPr>
      </w:pPr>
      <w:r>
        <w:rPr>
          <w:noProof/>
        </w:rPr>
        <w:t xml:space="preserve">kopīgu normatīvo aktu ietveršana divpusējā vai daudzpusējā nolīguma pušu tiesību aktos. </w:t>
      </w:r>
    </w:p>
    <w:p w:rsidR="003E022D" w:rsidRDefault="007D19D6">
      <w:pPr>
        <w:rPr>
          <w:rFonts w:eastAsia="Calibri" w:cs="Times New Roman"/>
          <w:noProof/>
        </w:rPr>
      </w:pPr>
      <w:r>
        <w:rPr>
          <w:noProof/>
        </w:rPr>
        <w:t>Šādu saskaņošanu vai ietveršanu veic un uzskata par veiktu tikai tad, kad attiecīgie tiesību akti ir ieviesti div</w:t>
      </w:r>
      <w:r>
        <w:rPr>
          <w:noProof/>
        </w:rPr>
        <w:t xml:space="preserve">pusējā vai daudzpusējā nolīguma puses vai pušu tiesību aktos.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EU</w:t>
      </w:r>
      <w:r>
        <w:rPr>
          <w:noProof/>
        </w:rPr>
        <w:t xml:space="preserve">: Līgums par Eiropas Ekonomikas zonu; </w:t>
      </w:r>
    </w:p>
    <w:p w:rsidR="003E022D" w:rsidRDefault="007D19D6">
      <w:pPr>
        <w:rPr>
          <w:rFonts w:eastAsia="Calibri" w:cs="Times New Roman"/>
          <w:noProof/>
        </w:rPr>
      </w:pPr>
      <w:r>
        <w:rPr>
          <w:noProof/>
        </w:rPr>
        <w:t xml:space="preserve">Stabilizācijas nolīgumi </w:t>
      </w:r>
    </w:p>
    <w:p w:rsidR="003E022D" w:rsidRDefault="007D19D6">
      <w:pPr>
        <w:rPr>
          <w:rFonts w:eastAsia="Calibri" w:cs="Times New Roman"/>
          <w:noProof/>
        </w:rPr>
      </w:pPr>
      <w:r>
        <w:rPr>
          <w:noProof/>
        </w:rPr>
        <w:t xml:space="preserve">Eiropas Savienības un Šveices Konfederācijas divpusējie nolīgumi un </w:t>
      </w:r>
    </w:p>
    <w:p w:rsidR="003E022D" w:rsidRDefault="007D19D6">
      <w:pPr>
        <w:rPr>
          <w:rFonts w:eastAsia="Calibri" w:cs="Times New Roman"/>
          <w:noProof/>
        </w:rPr>
      </w:pPr>
      <w:r>
        <w:rPr>
          <w:noProof/>
        </w:rPr>
        <w:t xml:space="preserve">padziļinātie un visaptverošie brīvās tirdzniecības nolīgumi </w:t>
      </w:r>
    </w:p>
    <w:p w:rsidR="003E022D" w:rsidRDefault="007D19D6">
      <w:pPr>
        <w:rPr>
          <w:rFonts w:eastAsia="Calibri" w:cs="Times New Roman"/>
          <w:noProof/>
        </w:rPr>
      </w:pPr>
      <w:r>
        <w:rPr>
          <w:b/>
          <w:noProof/>
        </w:rPr>
        <w:t>EU</w:t>
      </w:r>
      <w:r>
        <w:rPr>
          <w:i/>
          <w:noProof/>
        </w:rPr>
        <w:t>:</w:t>
      </w:r>
      <w:r>
        <w:rPr>
          <w:noProof/>
        </w:rPr>
        <w:t xml:space="preserve"> atšķirīga režīma nodrošināšana attiecībā uz valstspiederīgo vai uzņēmumu tiesībām veikt uzņēmējdarbību, piemērojot esošus vai turpmākus divpusējos nolīgumus, kas noslēgti starp šādām dalībval</w:t>
      </w:r>
      <w:r>
        <w:rPr>
          <w:noProof/>
        </w:rPr>
        <w:t xml:space="preserve">stīm: </w:t>
      </w:r>
      <w:r>
        <w:rPr>
          <w:b/>
          <w:noProof/>
        </w:rPr>
        <w:t>BE, DE, DK, EL, ES, FR, IE, IT, LU, NL, PT</w:t>
      </w:r>
      <w:r>
        <w:rPr>
          <w:noProof/>
        </w:rPr>
        <w:t xml:space="preserve"> un jebkuru turpmāk uzskaitīto valsti, firstisti vai pilsētvalsti: Andoru, Monako, Sanmarīno un Vatikāna Pilsētvalsti. </w:t>
      </w:r>
    </w:p>
    <w:p w:rsidR="003E022D" w:rsidRDefault="007D19D6">
      <w:pPr>
        <w:rPr>
          <w:rFonts w:eastAsia="Calibri" w:cs="Times New Roman"/>
          <w:noProof/>
        </w:rPr>
      </w:pPr>
      <w:r>
        <w:rPr>
          <w:b/>
          <w:noProof/>
        </w:rPr>
        <w:t>DK, FI, SE</w:t>
      </w:r>
      <w:r>
        <w:rPr>
          <w:noProof/>
        </w:rPr>
        <w:t>:</w:t>
      </w:r>
      <w:r>
        <w:rPr>
          <w:b/>
          <w:noProof/>
        </w:rPr>
        <w:t xml:space="preserve"> </w:t>
      </w:r>
      <w:r>
        <w:rPr>
          <w:noProof/>
        </w:rPr>
        <w:t>Dānijas, Zviedrijas un Somijas noteiktie pasākumi ar nolūku veicināt Ziemeļv</w:t>
      </w:r>
      <w:r>
        <w:rPr>
          <w:noProof/>
        </w:rPr>
        <w:t xml:space="preserve">alstu sadarbību, piemēram: </w:t>
      </w:r>
    </w:p>
    <w:p w:rsidR="003E022D" w:rsidRDefault="007D19D6">
      <w:pPr>
        <w:rPr>
          <w:rFonts w:eastAsia="Calibri" w:cs="Times New Roman"/>
          <w:noProof/>
        </w:rPr>
      </w:pPr>
      <w:r>
        <w:rPr>
          <w:noProof/>
        </w:rPr>
        <w:t>a) finanšu atbalsts pētniecības un izstrādes projektiem (Ziemeļvalstu rūpniecības fonds);</w:t>
      </w:r>
    </w:p>
    <w:p w:rsidR="003E022D" w:rsidRDefault="007D19D6">
      <w:pPr>
        <w:rPr>
          <w:rFonts w:eastAsia="Calibri" w:cs="Times New Roman"/>
          <w:noProof/>
        </w:rPr>
      </w:pPr>
      <w:r>
        <w:rPr>
          <w:noProof/>
        </w:rPr>
        <w:t xml:space="preserve">b) starptautisko projektu priekšizpētes finansēšana (Ziemeļvalstu projektu eksporta fonds) un </w:t>
      </w:r>
    </w:p>
    <w:p w:rsidR="003E022D" w:rsidRDefault="007D19D6">
      <w:pPr>
        <w:rPr>
          <w:rFonts w:eastAsia="Calibri" w:cs="Times New Roman"/>
          <w:noProof/>
        </w:rPr>
      </w:pPr>
      <w:r>
        <w:rPr>
          <w:noProof/>
        </w:rPr>
        <w:t>c) finanšu atbalsts uzņēmumiem, kuri izmant</w:t>
      </w:r>
      <w:r>
        <w:rPr>
          <w:noProof/>
        </w:rPr>
        <w:t>o vides tehnoloģiju (Ziemeļvalstu vides finanšu korporācija). Ziemeļvalstu vides finanšu korporācijas (</w:t>
      </w:r>
      <w:r>
        <w:rPr>
          <w:i/>
          <w:noProof/>
        </w:rPr>
        <w:t>NEFCO</w:t>
      </w:r>
      <w:r>
        <w:rPr>
          <w:noProof/>
        </w:rPr>
        <w:t>) mērķis ir veicināt investīcijas, kas atbilst Ziemeļvalstu vidiskajām interesēm, galveno uzmanību pievēršot Austrumeiropai.</w:t>
      </w:r>
    </w:p>
    <w:p w:rsidR="003E022D" w:rsidRDefault="007D19D6">
      <w:pPr>
        <w:rPr>
          <w:rFonts w:eastAsia="Calibri" w:cs="Times New Roman"/>
          <w:noProof/>
        </w:rPr>
      </w:pPr>
      <w:r>
        <w:rPr>
          <w:noProof/>
        </w:rPr>
        <w:t xml:space="preserve">Šī atruna neskar Puses </w:t>
      </w:r>
      <w:r>
        <w:rPr>
          <w:noProof/>
        </w:rPr>
        <w:t xml:space="preserve">veikta iepirkuma vai subsīdiju izslēgšanu no </w:t>
      </w:r>
      <w:r>
        <w:rPr>
          <w:noProof/>
          <w:highlight w:val="cyan"/>
        </w:rPr>
        <w:t>SERVIN.1.1. panta [Mērķis un darbības joma] 6. un 7. punkta</w:t>
      </w:r>
      <w:r>
        <w:rPr>
          <w:noProof/>
        </w:rPr>
        <w:t xml:space="preserve">. </w:t>
      </w:r>
    </w:p>
    <w:p w:rsidR="003E022D" w:rsidRDefault="007D19D6">
      <w:pPr>
        <w:rPr>
          <w:rFonts w:eastAsia="Calibri" w:cs="Times New Roman"/>
          <w:noProof/>
        </w:rPr>
      </w:pPr>
      <w:r>
        <w:rPr>
          <w:b/>
          <w:noProof/>
        </w:rPr>
        <w:t>PL</w:t>
      </w:r>
      <w:r>
        <w:rPr>
          <w:noProof/>
        </w:rPr>
        <w:t>: preferenciāli nosacījumi uzņēmējdarbības veikšanai vai pakalpojumu pārrobežu sniegšanai, kas var ietvert konkrētu Polijā piemērojamo atrunu sarak</w:t>
      </w:r>
      <w:r>
        <w:rPr>
          <w:noProof/>
        </w:rPr>
        <w:t xml:space="preserve">stā iekļautu ierobežojumu atcelšanu vai grozīšanu, var tikt piešķirti ar tirdzniecības un navigācijas līgumiem. </w:t>
      </w:r>
    </w:p>
    <w:p w:rsidR="003E022D" w:rsidRDefault="007D19D6">
      <w:pPr>
        <w:rPr>
          <w:rFonts w:eastAsia="Calibri" w:cs="Times New Roman"/>
          <w:noProof/>
        </w:rPr>
      </w:pPr>
      <w:r>
        <w:rPr>
          <w:b/>
          <w:noProof/>
        </w:rPr>
        <w:t>PT</w:t>
      </w:r>
      <w:r>
        <w:rPr>
          <w:noProof/>
        </w:rPr>
        <w:t>: atteikšanās no prasības par valstspiederību attiecībā uz konkrētām darbībām un profesijām, ko īsteno fiziskas personas, kuras sniedz pakalp</w:t>
      </w:r>
      <w:r>
        <w:rPr>
          <w:noProof/>
        </w:rPr>
        <w:t xml:space="preserve">ojumus valstīm, kuru oficiālā valoda ir portugāļu valoda (Angolai, Brazīlijai, Kaboverdei, Gvinejai-Bisavai, Ekvatoriālajai Gvinejai, Mozambikai, Santomei un Prinsipi un Austrumtimorai). </w:t>
      </w:r>
    </w:p>
    <w:p w:rsidR="003E022D" w:rsidRDefault="007D19D6">
      <w:pPr>
        <w:rPr>
          <w:rFonts w:eastAsia="Calibri" w:cs="Times New Roman"/>
          <w:b/>
          <w:bCs/>
          <w:i/>
          <w:noProof/>
        </w:rPr>
      </w:pPr>
      <w:r>
        <w:rPr>
          <w:b/>
          <w:bCs/>
          <w:i/>
          <w:noProof/>
        </w:rPr>
        <w:t>e)</w:t>
      </w:r>
      <w:r>
        <w:rPr>
          <w:noProof/>
        </w:rPr>
        <w:tab/>
      </w:r>
      <w:r>
        <w:rPr>
          <w:b/>
          <w:bCs/>
          <w:i/>
          <w:noProof/>
        </w:rPr>
        <w:t xml:space="preserve">Ieroči, munīcija un militārais aprīkojums </w:t>
      </w:r>
    </w:p>
    <w:p w:rsidR="003E022D" w:rsidRDefault="007D19D6">
      <w:pPr>
        <w:rPr>
          <w:rFonts w:eastAsia="Calibri" w:cs="Times New Roman"/>
          <w:noProof/>
          <w:u w:val="single"/>
        </w:rPr>
      </w:pPr>
      <w:r>
        <w:rPr>
          <w:noProof/>
          <w:u w:val="single"/>
        </w:rPr>
        <w:t>Attiecībā uz investīci</w:t>
      </w:r>
      <w:r>
        <w:rPr>
          <w:noProof/>
          <w:u w:val="single"/>
        </w:rPr>
        <w:t>ju liberalizāciju – piekļuve tirgum, valsts režīms, lielākās labvēlības režīms, augstākā vadība un direktoru padomes, veiktspējas prasības un pakalpojumu pārrobežu tirdzniecība – piekļuve tirgum, valsts režīms[, lielākās labvēlības režīms, klātbūtne uz vie</w:t>
      </w:r>
      <w:r>
        <w:rPr>
          <w:noProof/>
          <w:u w:val="single"/>
        </w:rPr>
        <w:t xml:space="preserve">tas </w:t>
      </w:r>
    </w:p>
    <w:p w:rsidR="003E022D" w:rsidRDefault="007D19D6">
      <w:pPr>
        <w:rPr>
          <w:rFonts w:eastAsia="Calibri" w:cs="Times New Roman"/>
          <w:noProof/>
        </w:rPr>
      </w:pPr>
      <w:r>
        <w:rPr>
          <w:b/>
          <w:noProof/>
        </w:rPr>
        <w:t>EU</w:t>
      </w:r>
      <w:r>
        <w:rPr>
          <w:noProof/>
        </w:rPr>
        <w:t>: ieroču, munīcijas un militārā aprīkojuma ražošana, izplatīšana vai tirdzniecība. Militārais aprīkojums ir jebkurš produkts, kurš ir paredzēts un izgatavots izmantošanai tikai militāriem mērķiem, kas saistīti ar kara darbību vai aizsardzības darbīb</w:t>
      </w:r>
      <w:r>
        <w:rPr>
          <w:noProof/>
        </w:rPr>
        <w:t xml:space="preserve">ām. </w:t>
      </w:r>
    </w:p>
    <w:p w:rsidR="003E022D" w:rsidRDefault="007D19D6">
      <w:pPr>
        <w:rPr>
          <w:rFonts w:eastAsia="Calibri" w:cs="Times New Roman"/>
          <w:noProof/>
        </w:rPr>
      </w:pPr>
      <w:r>
        <w:rPr>
          <w:noProof/>
        </w:rPr>
        <w:t xml:space="preserve"> </w:t>
      </w:r>
    </w:p>
    <w:p w:rsidR="003E022D" w:rsidRDefault="007D19D6">
      <w:pPr>
        <w:rPr>
          <w:rFonts w:eastAsia="Calibri" w:cs="Times New Roman"/>
          <w:b/>
          <w:bCs/>
          <w:noProof/>
        </w:rPr>
      </w:pPr>
      <w:bookmarkStart w:id="1176" w:name="_Toc452503964"/>
      <w:r>
        <w:rPr>
          <w:noProof/>
        </w:rPr>
        <w:br w:type="page"/>
      </w:r>
    </w:p>
    <w:p w:rsidR="003E022D" w:rsidRDefault="007D19D6">
      <w:pPr>
        <w:rPr>
          <w:rFonts w:eastAsia="Calibri" w:cs="Times New Roman"/>
          <w:b/>
          <w:bCs/>
          <w:noProof/>
        </w:rPr>
      </w:pPr>
      <w:bookmarkStart w:id="1177" w:name="_Toc452503965"/>
      <w:bookmarkStart w:id="1178" w:name="_Toc479001627"/>
      <w:bookmarkStart w:id="1179" w:name="_Toc53746600"/>
      <w:bookmarkStart w:id="1180" w:name="_Toc57917466"/>
      <w:bookmarkEnd w:id="1176"/>
      <w:r>
        <w:rPr>
          <w:b/>
          <w:bCs/>
          <w:noProof/>
        </w:rPr>
        <w:t>2. atruna. Profesionālie pakalpojumi</w:t>
      </w:r>
      <w:bookmarkEnd w:id="1177"/>
      <w:bookmarkEnd w:id="1178"/>
      <w:r>
        <w:rPr>
          <w:b/>
          <w:bCs/>
          <w:noProof/>
        </w:rPr>
        <w:t xml:space="preserve"> – izņemot ar veselību saistītos pakalpojumus</w:t>
      </w:r>
      <w:bookmarkEnd w:id="1179"/>
      <w:bookmarkEnd w:id="1180"/>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Profesionālie pakalpojumi – juridiskie pakalpojumi: notāru un tiesu izpildītāju; uzskaites un grāmatvedības pakalpojumi; revīzijas pakalpojumi, nodokļu kons</w:t>
            </w:r>
            <w:r>
              <w:rPr>
                <w:noProof/>
              </w:rPr>
              <w:t>ultāciju pakalpojumi, arhitektūras un pilsētplānošanas pakalpojumi, inženiertehniskie pakalpojumi un integrētie inženiertehniskie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Daļa no CPC 861, daļa no 87902, 862, 863, 8671, 8672, 8673, 8674, daļa no 879</w:t>
            </w:r>
          </w:p>
        </w:tc>
      </w:tr>
      <w:tr w:rsidR="003E022D">
        <w:tc>
          <w:tcPr>
            <w:tcW w:w="2619" w:type="dxa"/>
          </w:tcPr>
          <w:p w:rsidR="003E022D" w:rsidRDefault="007D19D6">
            <w:pPr>
              <w:rPr>
                <w:b/>
                <w:noProof/>
              </w:rPr>
            </w:pPr>
            <w:r>
              <w:rPr>
                <w:b/>
                <w:bCs/>
                <w:noProof/>
              </w:rPr>
              <w:t xml:space="preserve">Atrunas </w:t>
            </w:r>
            <w:r>
              <w:rPr>
                <w:b/>
                <w:bCs/>
                <w:noProof/>
              </w:rPr>
              <w:t>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b/>
          <w:noProof/>
        </w:rPr>
      </w:pPr>
      <w:r>
        <w:rPr>
          <w:b/>
          <w:noProof/>
        </w:rPr>
        <w:t xml:space="preserve">Apraksts </w:t>
      </w:r>
    </w:p>
    <w:p w:rsidR="003E022D" w:rsidRDefault="007D19D6">
      <w:pPr>
        <w:rPr>
          <w:rFonts w:eastAsia="Calibri" w:cs="Times New Roman"/>
          <w:noProof/>
        </w:rPr>
      </w:pPr>
      <w:r>
        <w:rPr>
          <w:noProof/>
        </w:rPr>
        <w:t>ES patur tiesības pieņemt vai atstāt spēkā jebkādu pasākumu attie</w:t>
      </w:r>
      <w:r>
        <w:rPr>
          <w:noProof/>
        </w:rPr>
        <w:t xml:space="preserve">cībā uz turpmāk minēto. </w:t>
      </w:r>
    </w:p>
    <w:p w:rsidR="003E022D" w:rsidRDefault="007D19D6">
      <w:pPr>
        <w:rPr>
          <w:rFonts w:eastAsia="Calibri" w:cs="Times New Roman"/>
          <w:b/>
          <w:bCs/>
          <w:i/>
          <w:noProof/>
        </w:rPr>
      </w:pPr>
      <w:bookmarkStart w:id="1181" w:name="_Toc452570601"/>
      <w:r>
        <w:rPr>
          <w:b/>
          <w:bCs/>
          <w:i/>
          <w:noProof/>
        </w:rPr>
        <w:t>a)</w:t>
      </w:r>
      <w:r>
        <w:rPr>
          <w:noProof/>
        </w:rPr>
        <w:tab/>
      </w:r>
      <w:r>
        <w:rPr>
          <w:b/>
          <w:bCs/>
          <w:i/>
          <w:noProof/>
        </w:rPr>
        <w:t>Juridiskie pakalpojumi</w:t>
      </w:r>
      <w:bookmarkEnd w:id="1181"/>
      <w:r>
        <w:rPr>
          <w:i/>
          <w:noProof/>
        </w:rPr>
        <w:t xml:space="preserve"> </w:t>
      </w:r>
    </w:p>
    <w:p w:rsidR="003E022D" w:rsidRDefault="007D19D6">
      <w:pPr>
        <w:rPr>
          <w:rFonts w:eastAsia="Calibri" w:cs="Times New Roman"/>
          <w:noProof/>
          <w:u w:val="single"/>
        </w:rPr>
      </w:pPr>
      <w:r>
        <w:rPr>
          <w:noProof/>
          <w:u w:val="single"/>
        </w:rPr>
        <w:t xml:space="preserve">Attiecībā uz investīciju liberalizāciju – piekļuve tirgum, valsts režīms, augstākā vadība un direktoru padomes un pakalpojumu pārrobežu tirdzniecība – piekļuve tirgum, valsts režīms </w:t>
      </w:r>
    </w:p>
    <w:p w:rsidR="003E022D" w:rsidRDefault="007D19D6">
      <w:pPr>
        <w:rPr>
          <w:rFonts w:eastAsia="Calibri" w:cs="Times New Roman"/>
          <w:noProof/>
        </w:rPr>
      </w:pPr>
      <w:r>
        <w:rPr>
          <w:b/>
          <w:noProof/>
        </w:rPr>
        <w:t>EU</w:t>
      </w:r>
      <w:r>
        <w:rPr>
          <w:noProof/>
        </w:rPr>
        <w:t xml:space="preserve">, izņemot </w:t>
      </w:r>
      <w:r>
        <w:rPr>
          <w:b/>
          <w:noProof/>
        </w:rPr>
        <w:t>SE</w:t>
      </w:r>
      <w:r>
        <w:rPr>
          <w:noProof/>
        </w:rPr>
        <w:t>: jurid</w:t>
      </w:r>
      <w:r>
        <w:rPr>
          <w:noProof/>
        </w:rPr>
        <w:t>isko konsultāciju un juridisko atļauju, dokumentācijas un sertifikācijas pakalpojumu sniegšana, ko veic juridiskās jomas speciālisti, kuriem uzticēti publiskie uzdevumi, piemēram, notāri, “huissiers de justice” vai citi “officiers publics et ministériels”,</w:t>
      </w:r>
      <w:r>
        <w:rPr>
          <w:noProof/>
        </w:rPr>
        <w:t xml:space="preserve"> un attiecībā uz pakalpojumiem, ko sniedz tiesu izpildītāji, kuri iecelti ar oficiālu valdības aktu (daļa no CPC 861, daļa no 87902). </w:t>
      </w:r>
    </w:p>
    <w:p w:rsidR="003E022D" w:rsidRDefault="007D19D6">
      <w:pPr>
        <w:rPr>
          <w:rFonts w:eastAsia="Calibri" w:cs="Times New Roman"/>
          <w:iCs/>
          <w:noProof/>
          <w:u w:val="single"/>
        </w:rPr>
      </w:pPr>
      <w:r>
        <w:rPr>
          <w:noProof/>
          <w:u w:val="single"/>
        </w:rPr>
        <w:t>Attiecībā uz investīciju liberalizāciju – lielākās labvēlības režīms un pakalpojumu pārrobežu tirdzniecība – lielākās lab</w:t>
      </w:r>
      <w:r>
        <w:rPr>
          <w:noProof/>
          <w:u w:val="single"/>
        </w:rPr>
        <w:t xml:space="preserve">vēlības režīms </w:t>
      </w:r>
    </w:p>
    <w:p w:rsidR="003E022D" w:rsidRDefault="007D19D6">
      <w:pPr>
        <w:rPr>
          <w:rFonts w:eastAsia="Calibri" w:cs="Times New Roman"/>
          <w:noProof/>
        </w:rPr>
      </w:pPr>
      <w:r>
        <w:rPr>
          <w:b/>
          <w:noProof/>
        </w:rPr>
        <w:t>BG:</w:t>
      </w:r>
      <w:r>
        <w:rPr>
          <w:noProof/>
        </w:rPr>
        <w:t xml:space="preserve"> pilnīgu valsts režīmu sabiedrību uzņēmējdarbības veikšanas un darbības, kā arī pakalpojumu sniegšanas jomā var piemērot tikai tādās valstīs uzņēmējdarbību veicošām sabiedrībām un tādu valstu pilsoņiem, ar kurām ir vai tiks noslēgti pref</w:t>
      </w:r>
      <w:r>
        <w:rPr>
          <w:noProof/>
        </w:rPr>
        <w:t>erenciāli nolīgumi (daļa no CPC 861).</w:t>
      </w:r>
    </w:p>
    <w:p w:rsidR="003E022D" w:rsidRDefault="007D19D6">
      <w:pPr>
        <w:rPr>
          <w:rFonts w:eastAsia="Calibri" w:cs="Times New Roman"/>
          <w:noProof/>
        </w:rPr>
      </w:pPr>
      <w:r>
        <w:rPr>
          <w:b/>
          <w:noProof/>
        </w:rPr>
        <w:t>LT</w:t>
      </w:r>
      <w:r>
        <w:rPr>
          <w:noProof/>
        </w:rPr>
        <w:t>:</w:t>
      </w:r>
      <w:r>
        <w:rPr>
          <w:b/>
          <w:noProof/>
        </w:rPr>
        <w:t xml:space="preserve"> </w:t>
      </w:r>
      <w:r>
        <w:rPr>
          <w:noProof/>
        </w:rPr>
        <w:t xml:space="preserve">ārvalstu advokāti var piedalīties kā advokāti tiesā tikai saskaņā ar starptautiskiem nolīgumiem (daļa no CPC 861), tostarp īpašiem noteikumiem par pārstāvības tiesā nodrošināšanu. </w:t>
      </w:r>
    </w:p>
    <w:p w:rsidR="003E022D" w:rsidRDefault="007D19D6">
      <w:pPr>
        <w:rPr>
          <w:rFonts w:eastAsia="Calibri" w:cs="Times New Roman"/>
          <w:b/>
          <w:bCs/>
          <w:i/>
          <w:noProof/>
        </w:rPr>
      </w:pPr>
      <w:r>
        <w:rPr>
          <w:b/>
          <w:i/>
          <w:noProof/>
        </w:rPr>
        <w:t xml:space="preserve">b) </w:t>
      </w:r>
      <w:r>
        <w:rPr>
          <w:noProof/>
        </w:rPr>
        <w:tab/>
      </w:r>
      <w:r>
        <w:rPr>
          <w:b/>
          <w:bCs/>
          <w:i/>
          <w:noProof/>
        </w:rPr>
        <w:t xml:space="preserve">Grāmatvedības un uzskaites </w:t>
      </w:r>
      <w:r>
        <w:rPr>
          <w:b/>
          <w:bCs/>
          <w:i/>
          <w:noProof/>
        </w:rPr>
        <w:t>pakalpojumi</w:t>
      </w:r>
      <w:r>
        <w:rPr>
          <w:b/>
          <w:i/>
          <w:noProof/>
        </w:rPr>
        <w:t xml:space="preserve"> (CPC 8621, izņemot revīzijas pakalpojumus, 86213, 86219, 86220) </w:t>
      </w:r>
    </w:p>
    <w:p w:rsidR="003E022D" w:rsidRDefault="007D19D6">
      <w:pPr>
        <w:rPr>
          <w:rFonts w:eastAsia="Calibri" w:cs="Times New Roman"/>
          <w:iCs/>
          <w:noProof/>
          <w:u w:val="single"/>
        </w:rPr>
      </w:pPr>
      <w:r>
        <w:rPr>
          <w:noProof/>
          <w:u w:val="single"/>
        </w:rPr>
        <w:t xml:space="preserve">Attiecībā uz pakalpojumu pārrobežu tirdzniecību – piekļuve tirgum </w:t>
      </w:r>
    </w:p>
    <w:p w:rsidR="003E022D" w:rsidRDefault="007D19D6">
      <w:pPr>
        <w:rPr>
          <w:rFonts w:eastAsia="Calibri" w:cs="Times New Roman"/>
          <w:noProof/>
        </w:rPr>
      </w:pPr>
      <w:r>
        <w:rPr>
          <w:b/>
          <w:noProof/>
        </w:rPr>
        <w:t>HU</w:t>
      </w:r>
      <w:r>
        <w:rPr>
          <w:noProof/>
        </w:rPr>
        <w:t xml:space="preserve">: grāmatvedības un uzskaites pārrobežu darbības. </w:t>
      </w:r>
    </w:p>
    <w:p w:rsidR="003E022D" w:rsidRDefault="007D19D6">
      <w:pPr>
        <w:rPr>
          <w:rFonts w:eastAsia="Calibri" w:cs="Times New Roman"/>
          <w:i/>
          <w:noProof/>
        </w:rPr>
      </w:pPr>
      <w:r>
        <w:rPr>
          <w:b/>
          <w:i/>
          <w:noProof/>
        </w:rPr>
        <w:t>Esošie pasākumi</w:t>
      </w:r>
      <w:r>
        <w:rPr>
          <w:i/>
          <w:noProof/>
        </w:rPr>
        <w:t xml:space="preserve"> </w:t>
      </w:r>
    </w:p>
    <w:p w:rsidR="003E022D" w:rsidRDefault="007D19D6">
      <w:pPr>
        <w:rPr>
          <w:rFonts w:eastAsia="Calibri" w:cs="Times New Roman"/>
          <w:noProof/>
        </w:rPr>
      </w:pPr>
      <w:r>
        <w:rPr>
          <w:b/>
          <w:noProof/>
        </w:rPr>
        <w:t>HU</w:t>
      </w:r>
      <w:r>
        <w:rPr>
          <w:noProof/>
        </w:rPr>
        <w:t xml:space="preserve">: 2000. gada Likums C un 2007. gada Likums LXXV. </w:t>
      </w:r>
    </w:p>
    <w:p w:rsidR="003E022D" w:rsidRDefault="007D19D6">
      <w:pPr>
        <w:rPr>
          <w:rFonts w:eastAsia="Calibri" w:cs="Times New Roman"/>
          <w:b/>
          <w:bCs/>
          <w:i/>
          <w:noProof/>
        </w:rPr>
      </w:pPr>
      <w:r>
        <w:rPr>
          <w:b/>
          <w:i/>
          <w:noProof/>
        </w:rPr>
        <w:t xml:space="preserve">c) </w:t>
      </w:r>
      <w:r>
        <w:rPr>
          <w:noProof/>
        </w:rPr>
        <w:tab/>
      </w:r>
      <w:r>
        <w:rPr>
          <w:b/>
          <w:bCs/>
          <w:i/>
          <w:noProof/>
        </w:rPr>
        <w:t xml:space="preserve">Revīzijas pakalpojumi (CPC – 86211, 86212, izņemot grāmatvedības un uzskaites </w:t>
      </w:r>
      <w:r>
        <w:rPr>
          <w:b/>
          <w:i/>
          <w:noProof/>
        </w:rPr>
        <w:t>pakalpojumus</w:t>
      </w:r>
      <w:r>
        <w:rPr>
          <w:b/>
          <w:bCs/>
          <w:i/>
          <w:noProof/>
        </w:rPr>
        <w:t>)</w:t>
      </w:r>
      <w:r>
        <w:rPr>
          <w:i/>
          <w:noProof/>
        </w:rPr>
        <w:t xml:space="preserve"> </w:t>
      </w:r>
    </w:p>
    <w:p w:rsidR="003E022D" w:rsidRDefault="007D19D6">
      <w:pPr>
        <w:rPr>
          <w:rFonts w:eastAsia="Calibri" w:cs="Times New Roman"/>
          <w:iCs/>
          <w:noProof/>
          <w:u w:val="single"/>
        </w:rPr>
      </w:pPr>
      <w:r>
        <w:rPr>
          <w:noProof/>
          <w:u w:val="single"/>
        </w:rPr>
        <w:t xml:space="preserve">Attiecībā uz pakalpojumu pārrobežu tirdzniecību – valsts režīms </w:t>
      </w:r>
    </w:p>
    <w:p w:rsidR="003E022D" w:rsidRDefault="007D19D6">
      <w:pPr>
        <w:rPr>
          <w:rFonts w:eastAsia="Calibri" w:cs="Times New Roman"/>
          <w:noProof/>
        </w:rPr>
      </w:pPr>
      <w:r>
        <w:rPr>
          <w:b/>
          <w:noProof/>
        </w:rPr>
        <w:t>BG:</w:t>
      </w:r>
      <w:r>
        <w:rPr>
          <w:noProof/>
        </w:rPr>
        <w:t xml:space="preserve"> neatkarīgu finanšu revīziju veic reģistr</w:t>
      </w:r>
      <w:r>
        <w:rPr>
          <w:noProof/>
        </w:rPr>
        <w:t>ēti revidenti, kas ir Sertificētu publisko grāmatvežu institūta biedri. Ar nosacījumu, ka tiek ievērots savstarpības princips, Sertificētu grāmatvežu institūts reģistrē Apvienotās Karalistes vai trešās valsts revīzijas struktūru, ja tā sniedz pierādījumus,</w:t>
      </w:r>
      <w:r>
        <w:rPr>
          <w:noProof/>
        </w:rPr>
        <w:t xml:space="preserve"> ka: </w:t>
      </w:r>
    </w:p>
    <w:p w:rsidR="003E022D" w:rsidRDefault="007D19D6">
      <w:pPr>
        <w:rPr>
          <w:rFonts w:eastAsia="Calibri" w:cs="Times New Roman"/>
          <w:noProof/>
        </w:rPr>
      </w:pPr>
      <w:r>
        <w:rPr>
          <w:noProof/>
        </w:rPr>
        <w:t xml:space="preserve">a) trīs ceturtdaļas tās vadības struktūru locekļu un reģistrēto revidentu, kuri iestādes vārdā veic revīziju, atbilst prasībām, kas ir līdzvērtīgas Bulgārijas revidentiem piemērotajām prasībām, un ir veiksmīgi nokārtojuši attiecīgos pārbaudījumus; </w:t>
      </w:r>
    </w:p>
    <w:p w:rsidR="003E022D" w:rsidRDefault="007D19D6">
      <w:pPr>
        <w:rPr>
          <w:rFonts w:eastAsia="Calibri" w:cs="Times New Roman"/>
          <w:noProof/>
        </w:rPr>
      </w:pPr>
      <w:r>
        <w:rPr>
          <w:noProof/>
        </w:rPr>
        <w:t>b</w:t>
      </w:r>
      <w:r>
        <w:rPr>
          <w:noProof/>
        </w:rPr>
        <w:t xml:space="preserve">) revīzijas struktūra veic neatkarīgu finanšu revīziju saskaņā ar prasībām par neatkarību un objektivitāti un </w:t>
      </w:r>
    </w:p>
    <w:p w:rsidR="003E022D" w:rsidRDefault="007D19D6">
      <w:pPr>
        <w:rPr>
          <w:rFonts w:eastAsia="Calibri" w:cs="Times New Roman"/>
          <w:noProof/>
        </w:rPr>
      </w:pPr>
      <w:r>
        <w:rPr>
          <w:noProof/>
        </w:rPr>
        <w:t>c) revīzijas struktūra savā tīmekļa vietnē publicē gada pārredzamības ziņojumu vai izpilda citas līdzvērtīgas prasības par informācijas atklāšanu</w:t>
      </w:r>
      <w:r>
        <w:rPr>
          <w:noProof/>
        </w:rPr>
        <w:t xml:space="preserve">, ja tā veic revīziju sabiedriskas nozīmes subjektos. </w:t>
      </w:r>
    </w:p>
    <w:p w:rsidR="003E022D" w:rsidRDefault="007D19D6">
      <w:pPr>
        <w:rPr>
          <w:rFonts w:eastAsia="Calibri" w:cs="Times New Roman"/>
          <w:i/>
          <w:noProof/>
        </w:rPr>
      </w:pPr>
      <w:r>
        <w:rPr>
          <w:b/>
          <w:bCs/>
          <w:i/>
          <w:noProof/>
        </w:rPr>
        <w:t>Esošie pasākumi</w:t>
      </w:r>
    </w:p>
    <w:p w:rsidR="003E022D" w:rsidRDefault="007D19D6">
      <w:pPr>
        <w:rPr>
          <w:rFonts w:eastAsia="Calibri" w:cs="Times New Roman"/>
          <w:b/>
          <w:noProof/>
        </w:rPr>
      </w:pPr>
      <w:r>
        <w:rPr>
          <w:b/>
          <w:noProof/>
        </w:rPr>
        <w:t>BG</w:t>
      </w:r>
      <w:r>
        <w:rPr>
          <w:noProof/>
        </w:rPr>
        <w:t xml:space="preserve">: Neatkarīgas finanšu revīzijas likums. </w:t>
      </w:r>
    </w:p>
    <w:p w:rsidR="003E022D" w:rsidRDefault="007D19D6">
      <w:pPr>
        <w:rPr>
          <w:rFonts w:eastAsia="Calibri" w:cs="Times New Roman"/>
          <w:iCs/>
          <w:noProof/>
          <w:u w:val="single"/>
        </w:rPr>
      </w:pPr>
      <w:r>
        <w:rPr>
          <w:noProof/>
          <w:u w:val="single"/>
        </w:rPr>
        <w:t xml:space="preserve">Attiecībā uz investīciju liberalizāciju – piekļuve tirgum, valsts režīms, augstākā līmeņa vadība un direktoru padomes </w:t>
      </w:r>
    </w:p>
    <w:p w:rsidR="003E022D" w:rsidRDefault="007D19D6">
      <w:pPr>
        <w:rPr>
          <w:rFonts w:eastAsia="Calibri" w:cs="Times New Roman"/>
          <w:noProof/>
        </w:rPr>
      </w:pPr>
      <w:r>
        <w:rPr>
          <w:b/>
          <w:noProof/>
        </w:rPr>
        <w:t>CZ</w:t>
      </w:r>
      <w:r>
        <w:rPr>
          <w:noProof/>
        </w:rPr>
        <w:t>: atļauju veikt revīz</w:t>
      </w:r>
      <w:r>
        <w:rPr>
          <w:noProof/>
        </w:rPr>
        <w:t xml:space="preserve">ijas Čehijas Republikā drīkst saņemt tikai tādas juridiskās personas, kurā vismaz 60 procenti kapitāla interešu vai balsstiesību ir rezervēti Čehijas Republikas vai Eiropas Savienības dalībvalstu valstspiederīgajiem. </w:t>
      </w:r>
    </w:p>
    <w:p w:rsidR="003E022D" w:rsidRDefault="007D19D6">
      <w:pPr>
        <w:rPr>
          <w:rFonts w:eastAsia="Calibri" w:cs="Times New Roman"/>
          <w:b/>
          <w:i/>
          <w:noProof/>
        </w:rPr>
      </w:pPr>
      <w:r>
        <w:rPr>
          <w:b/>
          <w:i/>
          <w:noProof/>
        </w:rPr>
        <w:t>Esošie pasākumi</w:t>
      </w:r>
    </w:p>
    <w:p w:rsidR="003E022D" w:rsidRDefault="007D19D6">
      <w:pPr>
        <w:rPr>
          <w:rFonts w:eastAsia="Calibri" w:cs="Times New Roman"/>
          <w:b/>
          <w:noProof/>
        </w:rPr>
      </w:pPr>
      <w:r>
        <w:rPr>
          <w:b/>
          <w:noProof/>
        </w:rPr>
        <w:t>CZ</w:t>
      </w:r>
      <w:r>
        <w:rPr>
          <w:noProof/>
        </w:rPr>
        <w:t>: 2009. gada 14. apr</w:t>
      </w:r>
      <w:r>
        <w:rPr>
          <w:noProof/>
        </w:rPr>
        <w:t xml:space="preserve">īļa Likums Nr. 93/2009 Coll. par revidentiem. </w:t>
      </w:r>
    </w:p>
    <w:p w:rsidR="003E022D" w:rsidRDefault="007D19D6">
      <w:pPr>
        <w:rPr>
          <w:rFonts w:eastAsia="Calibri" w:cs="Times New Roman"/>
          <w:iCs/>
          <w:noProof/>
          <w:u w:val="single"/>
        </w:rPr>
      </w:pPr>
      <w:r>
        <w:rPr>
          <w:noProof/>
          <w:u w:val="single"/>
        </w:rPr>
        <w:t xml:space="preserve">Attiecībā uz pakalpojumu pārrobežu tirdzniecību – piekļuve tirgum </w:t>
      </w:r>
    </w:p>
    <w:p w:rsidR="003E022D" w:rsidRDefault="007D19D6">
      <w:pPr>
        <w:rPr>
          <w:rFonts w:eastAsia="Calibri" w:cs="Times New Roman"/>
          <w:b/>
          <w:noProof/>
        </w:rPr>
      </w:pPr>
      <w:r>
        <w:rPr>
          <w:b/>
          <w:noProof/>
        </w:rPr>
        <w:t>HU</w:t>
      </w:r>
      <w:r>
        <w:rPr>
          <w:noProof/>
        </w:rPr>
        <w:t xml:space="preserve">: revīzijas pakalpojumu pārrobežu sniegšana. </w:t>
      </w:r>
    </w:p>
    <w:p w:rsidR="003E022D" w:rsidRDefault="007D19D6">
      <w:pPr>
        <w:rPr>
          <w:rFonts w:eastAsia="Calibri" w:cs="Times New Roman"/>
          <w:b/>
          <w:i/>
          <w:noProof/>
        </w:rPr>
      </w:pPr>
      <w:r>
        <w:rPr>
          <w:b/>
          <w:i/>
          <w:noProof/>
        </w:rPr>
        <w:t>Esošie pasākumi</w:t>
      </w:r>
    </w:p>
    <w:p w:rsidR="003E022D" w:rsidRDefault="007D19D6">
      <w:pPr>
        <w:rPr>
          <w:rFonts w:eastAsia="Calibri" w:cs="Times New Roman"/>
          <w:noProof/>
        </w:rPr>
      </w:pPr>
      <w:r>
        <w:rPr>
          <w:noProof/>
        </w:rPr>
        <w:t xml:space="preserve">2000. gada Likums C un 2007. gada Likums LXXV. </w:t>
      </w:r>
    </w:p>
    <w:p w:rsidR="003E022D" w:rsidRDefault="007D19D6">
      <w:pPr>
        <w:rPr>
          <w:rFonts w:eastAsia="Calibri" w:cs="Times New Roman"/>
          <w:b/>
          <w:noProof/>
        </w:rPr>
      </w:pPr>
      <w:r>
        <w:rPr>
          <w:b/>
          <w:noProof/>
        </w:rPr>
        <w:t>PT</w:t>
      </w:r>
      <w:r>
        <w:rPr>
          <w:noProof/>
        </w:rPr>
        <w:t xml:space="preserve">: revīzijas pakalpojumu pārrobežu sniegšana. </w:t>
      </w:r>
    </w:p>
    <w:p w:rsidR="003E022D" w:rsidRDefault="007D19D6">
      <w:pPr>
        <w:rPr>
          <w:rFonts w:eastAsia="Calibri" w:cs="Times New Roman"/>
          <w:b/>
          <w:i/>
          <w:noProof/>
        </w:rPr>
      </w:pPr>
      <w:r>
        <w:rPr>
          <w:b/>
          <w:i/>
          <w:noProof/>
        </w:rPr>
        <w:t xml:space="preserve">d) </w:t>
      </w:r>
      <w:r>
        <w:rPr>
          <w:noProof/>
        </w:rPr>
        <w:tab/>
      </w:r>
      <w:r>
        <w:rPr>
          <w:b/>
          <w:i/>
          <w:noProof/>
        </w:rPr>
        <w:t xml:space="preserve">Arhitektūras un pilsētplānošanas pakalpojumi (CPC 8674) </w:t>
      </w:r>
    </w:p>
    <w:p w:rsidR="003E022D" w:rsidRDefault="007D19D6">
      <w:pPr>
        <w:rPr>
          <w:rFonts w:eastAsia="Calibri" w:cs="Times New Roman"/>
          <w:noProof/>
          <w:u w:val="single"/>
        </w:rPr>
      </w:pPr>
      <w:r>
        <w:rPr>
          <w:noProof/>
          <w:u w:val="single"/>
        </w:rPr>
        <w:t xml:space="preserve">Attiecībā uz pakalpojumu pārrobežu tirdzniecību – piekļuve tirgum, valsts režīms </w:t>
      </w:r>
    </w:p>
    <w:p w:rsidR="003E022D" w:rsidRDefault="007D19D6">
      <w:pPr>
        <w:rPr>
          <w:rFonts w:eastAsia="Calibri" w:cs="Times New Roman"/>
          <w:b/>
          <w:bCs/>
          <w:noProof/>
        </w:rPr>
      </w:pPr>
      <w:r>
        <w:rPr>
          <w:b/>
          <w:noProof/>
        </w:rPr>
        <w:t>HR</w:t>
      </w:r>
      <w:r>
        <w:rPr>
          <w:noProof/>
        </w:rPr>
        <w:t xml:space="preserve">: pilsētplānošanas pakalpojumu pārrobežu sniegšana. </w:t>
      </w:r>
      <w:bookmarkStart w:id="1182" w:name="_Toc452503966"/>
      <w:r>
        <w:rPr>
          <w:noProof/>
        </w:rPr>
        <w:br w:type="page"/>
      </w:r>
    </w:p>
    <w:p w:rsidR="003E022D" w:rsidRDefault="007D19D6">
      <w:pPr>
        <w:rPr>
          <w:rFonts w:eastAsia="Calibri" w:cs="Times New Roman"/>
          <w:b/>
          <w:bCs/>
          <w:noProof/>
        </w:rPr>
      </w:pPr>
      <w:bookmarkStart w:id="1183" w:name="_Toc53746601"/>
      <w:bookmarkStart w:id="1184" w:name="_Toc57917467"/>
      <w:r>
        <w:rPr>
          <w:b/>
          <w:bCs/>
          <w:noProof/>
        </w:rPr>
        <w:t xml:space="preserve">3. atruna. </w:t>
      </w:r>
      <w:r>
        <w:rPr>
          <w:b/>
          <w:bCs/>
          <w:noProof/>
        </w:rPr>
        <w:t>Profesionālie pakalpojumi – ar veselību saistītie pakalpojumi un zāļu mazumtirdzniecība</w:t>
      </w:r>
      <w:bookmarkEnd w:id="1182"/>
      <w:bookmarkEnd w:id="1183"/>
      <w:bookmarkEnd w:id="1184"/>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Ar veselību saistīti profesionālie pakalpojumi un zāļu, medicīnisko un ortopēdisko preču mazumtirdzniecība, un citi farmaceitu sniegti pakalpojumi</w:t>
            </w:r>
          </w:p>
        </w:tc>
      </w:tr>
      <w:tr w:rsidR="003E022D">
        <w:tc>
          <w:tcPr>
            <w:tcW w:w="2619" w:type="dxa"/>
          </w:tcPr>
          <w:p w:rsidR="003E022D" w:rsidRDefault="007D19D6">
            <w:pPr>
              <w:spacing w:afterAutospacing="0"/>
              <w:rPr>
                <w:b/>
                <w:bCs/>
                <w:noProof/>
              </w:rPr>
            </w:pPr>
            <w:r>
              <w:rPr>
                <w:b/>
                <w:bCs/>
                <w:noProof/>
              </w:rPr>
              <w:t xml:space="preserve">Nozares </w:t>
            </w:r>
            <w:r>
              <w:rPr>
                <w:b/>
                <w:bCs/>
                <w:noProof/>
              </w:rPr>
              <w:t>klasifikācija:</w:t>
            </w:r>
          </w:p>
        </w:tc>
        <w:tc>
          <w:tcPr>
            <w:tcW w:w="6407" w:type="dxa"/>
          </w:tcPr>
          <w:p w:rsidR="003E022D" w:rsidRDefault="007D19D6">
            <w:pPr>
              <w:spacing w:afterAutospacing="0"/>
              <w:jc w:val="left"/>
              <w:rPr>
                <w:noProof/>
              </w:rPr>
            </w:pPr>
            <w:r>
              <w:rPr>
                <w:noProof/>
              </w:rPr>
              <w:t>CPC 63211., 85201., 9312., 9319., 93121.</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w:t>
            </w:r>
            <w:r>
              <w:rPr>
                <w:noProof/>
              </w:rPr>
              <w:t>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b/>
          <w:bCs/>
          <w:i/>
          <w:noProof/>
        </w:rPr>
      </w:pPr>
      <w:r>
        <w:rPr>
          <w:b/>
          <w:bCs/>
          <w:i/>
          <w:noProof/>
        </w:rPr>
        <w:t>a)</w:t>
      </w:r>
      <w:r>
        <w:rPr>
          <w:noProof/>
        </w:rPr>
        <w:tab/>
      </w:r>
      <w:r>
        <w:rPr>
          <w:b/>
          <w:bCs/>
          <w:i/>
          <w:noProof/>
        </w:rPr>
        <w:t xml:space="preserve">Medicīnas un zobārstniecības pakalpojumi; </w:t>
      </w:r>
      <w:bookmarkStart w:id="1185" w:name="_Toc452503967"/>
      <w:r>
        <w:rPr>
          <w:b/>
          <w:bCs/>
          <w:i/>
          <w:noProof/>
        </w:rPr>
        <w:t>vecmāšu, māsu, fizioterapeitu, psihologu un vidējā medicīniskā personāla pakalpojumi</w:t>
      </w:r>
      <w:bookmarkEnd w:id="1185"/>
      <w:r>
        <w:rPr>
          <w:b/>
          <w:bCs/>
          <w:i/>
          <w:noProof/>
        </w:rPr>
        <w:t xml:space="preserve"> </w:t>
      </w:r>
      <w:r>
        <w:rPr>
          <w:b/>
          <w:i/>
          <w:noProof/>
        </w:rPr>
        <w:t xml:space="preserve">(CPC 63211, 85201, 9312, 9319, CPC 932) </w:t>
      </w:r>
    </w:p>
    <w:p w:rsidR="003E022D" w:rsidRDefault="007D19D6">
      <w:pPr>
        <w:rPr>
          <w:rFonts w:eastAsia="Calibri" w:cs="Times New Roman"/>
          <w:noProof/>
          <w:u w:val="single"/>
        </w:rPr>
      </w:pPr>
      <w:r>
        <w:rPr>
          <w:noProof/>
          <w:u w:val="single"/>
        </w:rPr>
        <w:t xml:space="preserve">Attiecībā uz investīciju liberalizāciju – piekļuve tirgum, valsts režīms, augstākā vadība un direktoru padomes un pakalpojumu pārrobežu tirdzniecība – piekļuve tirgum un valsts režīms </w:t>
      </w:r>
    </w:p>
    <w:p w:rsidR="003E022D" w:rsidRDefault="007D19D6">
      <w:pPr>
        <w:rPr>
          <w:rFonts w:eastAsia="Calibri" w:cs="Times New Roman"/>
          <w:noProof/>
        </w:rPr>
      </w:pPr>
      <w:r>
        <w:rPr>
          <w:b/>
          <w:noProof/>
        </w:rPr>
        <w:t xml:space="preserve">FI: </w:t>
      </w:r>
      <w:r>
        <w:rPr>
          <w:noProof/>
        </w:rPr>
        <w:t xml:space="preserve">visu ar veselību saistīto </w:t>
      </w:r>
      <w:r>
        <w:rPr>
          <w:noProof/>
        </w:rPr>
        <w:t>pakalpojumu, kas ir publiski vai privāti finansēti, sniegšana, tostarp medicīnas un zobārstniecības pakalpojumi, pakalpojumi, ko sniedz vecmātes, fizioterapeiti un vidējais medicīniskais personāls, un pakalpojumi, ko sniedz psihologi, izņemot pakalpojumus,</w:t>
      </w:r>
      <w:r>
        <w:rPr>
          <w:noProof/>
        </w:rPr>
        <w:t xml:space="preserve"> ko sniedz māsas (CPC 9312, 93191). </w:t>
      </w:r>
    </w:p>
    <w:p w:rsidR="003E022D" w:rsidRDefault="007D19D6">
      <w:pPr>
        <w:rPr>
          <w:rFonts w:eastAsia="Calibri" w:cs="Times New Roman"/>
          <w:i/>
          <w:noProof/>
        </w:rPr>
      </w:pPr>
      <w:r>
        <w:rPr>
          <w:b/>
          <w:i/>
          <w:noProof/>
        </w:rPr>
        <w:t xml:space="preserve">Esošie pasākumi </w:t>
      </w:r>
    </w:p>
    <w:p w:rsidR="003E022D" w:rsidRDefault="007D19D6">
      <w:pPr>
        <w:rPr>
          <w:rFonts w:eastAsia="Calibri" w:cs="Times New Roman"/>
          <w:noProof/>
        </w:rPr>
      </w:pPr>
      <w:r>
        <w:rPr>
          <w:b/>
          <w:noProof/>
        </w:rPr>
        <w:t>FI</w:t>
      </w:r>
      <w:r>
        <w:rPr>
          <w:noProof/>
        </w:rPr>
        <w:t xml:space="preserve">: </w:t>
      </w:r>
      <w:r>
        <w:rPr>
          <w:i/>
          <w:noProof/>
        </w:rPr>
        <w:t>Laki yksityisestä terveydenhuollosta</w:t>
      </w:r>
      <w:r>
        <w:rPr>
          <w:noProof/>
        </w:rPr>
        <w:t xml:space="preserve"> (Likums par privāto veselības aprūpi) (152/1990). </w:t>
      </w:r>
    </w:p>
    <w:p w:rsidR="003E022D" w:rsidRDefault="007D19D6">
      <w:pPr>
        <w:rPr>
          <w:rFonts w:eastAsia="Calibri" w:cs="Times New Roman"/>
          <w:noProof/>
        </w:rPr>
      </w:pPr>
      <w:r>
        <w:rPr>
          <w:b/>
          <w:noProof/>
        </w:rPr>
        <w:t xml:space="preserve">BG: </w:t>
      </w:r>
      <w:r>
        <w:rPr>
          <w:noProof/>
        </w:rPr>
        <w:t>visu ar veselību saistīto pakalpojumu, kas ir publiski vai privāti finansēti, sniegšana, tostarp medicīnas un zobārstniecības pakalpojumi, pakalpojumi, ko sniedz māsas, vecmātes, fizioterapeiti un vidējais medicīniskais personāls, un pakalpojumi, ko sniedz</w:t>
      </w:r>
      <w:r>
        <w:rPr>
          <w:noProof/>
        </w:rPr>
        <w:t xml:space="preserve"> psihologi (CPC 9312, daļa no 9319). </w:t>
      </w:r>
    </w:p>
    <w:p w:rsidR="003E022D" w:rsidRDefault="007D19D6">
      <w:pPr>
        <w:rPr>
          <w:rFonts w:eastAsia="Calibri" w:cs="Times New Roman"/>
          <w:b/>
          <w:i/>
          <w:noProof/>
        </w:rPr>
      </w:pPr>
      <w:r>
        <w:rPr>
          <w:b/>
          <w:bCs/>
          <w:i/>
          <w:noProof/>
        </w:rPr>
        <w:t>Esošie pasākumi</w:t>
      </w:r>
    </w:p>
    <w:p w:rsidR="003E022D" w:rsidRDefault="007D19D6">
      <w:pPr>
        <w:rPr>
          <w:rFonts w:eastAsia="Calibri" w:cs="Times New Roman"/>
          <w:b/>
          <w:noProof/>
        </w:rPr>
      </w:pPr>
      <w:r>
        <w:rPr>
          <w:b/>
          <w:noProof/>
        </w:rPr>
        <w:t>BG:</w:t>
      </w:r>
      <w:r>
        <w:rPr>
          <w:noProof/>
        </w:rPr>
        <w:t xml:space="preserve"> Medicīnas iestāžu likums un medicīnas māsu, vecmāšu profesionālās organizācijas, un saistīto medicīnas speciālistu ģildes likums. </w:t>
      </w:r>
    </w:p>
    <w:p w:rsidR="003E022D" w:rsidRDefault="007D19D6">
      <w:pPr>
        <w:rPr>
          <w:rFonts w:eastAsia="Calibri" w:cs="Times New Roman"/>
          <w:iCs/>
          <w:noProof/>
          <w:u w:val="single"/>
        </w:rPr>
      </w:pPr>
      <w:r>
        <w:rPr>
          <w:noProof/>
          <w:u w:val="single"/>
        </w:rPr>
        <w:t>Attiecībā uz investīciju liberalizāciju – piekļuve tirgum, valsts r</w:t>
      </w:r>
      <w:r>
        <w:rPr>
          <w:noProof/>
          <w:u w:val="single"/>
        </w:rPr>
        <w:t xml:space="preserve">ežīms un pakalpojumu pārrobežu tirdzniecība – piekļuve tirgum un valsts režīms </w:t>
      </w:r>
    </w:p>
    <w:p w:rsidR="003E022D" w:rsidRDefault="007D19D6">
      <w:pPr>
        <w:rPr>
          <w:rFonts w:eastAsia="Calibri" w:cs="Times New Roman"/>
          <w:noProof/>
        </w:rPr>
      </w:pPr>
      <w:r>
        <w:rPr>
          <w:b/>
          <w:noProof/>
        </w:rPr>
        <w:t xml:space="preserve">CZ, MT: </w:t>
      </w:r>
      <w:r>
        <w:rPr>
          <w:noProof/>
        </w:rPr>
        <w:t>visu ar veselības aprūpi saistīto profesionālo pakalpojumu, kas ir publiski vai privāti finansēti, sniegšana, ieskaitot pakalpojumus, ko sniedz tādi speciālisti kā ārst</w:t>
      </w:r>
      <w:r>
        <w:rPr>
          <w:noProof/>
        </w:rPr>
        <w:t xml:space="preserve">i, zobārsti, vecmātes, māsas, fizioterapeiti, vidējais medicīniskais personāls un psihologi, kā arī citi saistītie pakalpojumi (CPC 9312, daļa no 9319). </w:t>
      </w:r>
    </w:p>
    <w:p w:rsidR="003E022D" w:rsidRDefault="007D19D6">
      <w:pPr>
        <w:rPr>
          <w:rFonts w:eastAsia="Calibri" w:cs="Times New Roman"/>
          <w:b/>
          <w:bCs/>
          <w:i/>
          <w:noProof/>
        </w:rPr>
      </w:pPr>
      <w:r>
        <w:rPr>
          <w:b/>
          <w:bCs/>
          <w:i/>
          <w:noProof/>
        </w:rPr>
        <w:t>Esošie pasākumi</w:t>
      </w:r>
    </w:p>
    <w:p w:rsidR="003E022D" w:rsidRDefault="007D19D6">
      <w:pPr>
        <w:rPr>
          <w:rFonts w:eastAsia="Calibri" w:cs="Times New Roman"/>
          <w:noProof/>
        </w:rPr>
      </w:pPr>
      <w:r>
        <w:rPr>
          <w:b/>
          <w:noProof/>
        </w:rPr>
        <w:t>CZ:</w:t>
      </w:r>
      <w:r>
        <w:rPr>
          <w:noProof/>
        </w:rPr>
        <w:t xml:space="preserve"> Likums Nr. 296/2008 Coll. par cilvēku audu un šūnu, ko paredzēts izmantot cilvēkie</w:t>
      </w:r>
      <w:r>
        <w:rPr>
          <w:noProof/>
        </w:rPr>
        <w:t xml:space="preserve">m, kvalitātes un drošības garantēšanu </w:t>
      </w:r>
    </w:p>
    <w:p w:rsidR="003E022D" w:rsidRDefault="007D19D6">
      <w:pPr>
        <w:rPr>
          <w:rFonts w:eastAsia="Calibri" w:cs="Times New Roman"/>
          <w:noProof/>
        </w:rPr>
      </w:pPr>
      <w:r>
        <w:rPr>
          <w:noProof/>
        </w:rPr>
        <w:t xml:space="preserve">(Likums par cilvēku audiem un šūnām); </w:t>
      </w:r>
    </w:p>
    <w:p w:rsidR="003E022D" w:rsidRDefault="007D19D6">
      <w:pPr>
        <w:rPr>
          <w:rFonts w:eastAsia="Calibri" w:cs="Times New Roman"/>
          <w:noProof/>
        </w:rPr>
      </w:pPr>
      <w:r>
        <w:rPr>
          <w:noProof/>
        </w:rPr>
        <w:t xml:space="preserve">Likums Nr. 378/2007 Coll. par zālēm un grozījumiem atsevišķos saistītajos likumos (Likums par zālēm); </w:t>
      </w:r>
    </w:p>
    <w:p w:rsidR="003E022D" w:rsidRDefault="007D19D6">
      <w:pPr>
        <w:rPr>
          <w:rFonts w:eastAsia="Calibri" w:cs="Times New Roman"/>
          <w:noProof/>
        </w:rPr>
      </w:pPr>
      <w:r>
        <w:rPr>
          <w:noProof/>
        </w:rPr>
        <w:t>Likums Nr. 268/2014 Coll. par medicīniskām ierīcēm, ar ko groza Likumu Nr. </w:t>
      </w:r>
      <w:r>
        <w:rPr>
          <w:noProof/>
        </w:rPr>
        <w:t>634/2004 Coll. par administratīvajiem maksājumiem, ar turpmākiem grozījumiem;</w:t>
      </w:r>
    </w:p>
    <w:p w:rsidR="003E022D" w:rsidRDefault="007D19D6">
      <w:pPr>
        <w:rPr>
          <w:rFonts w:eastAsia="Calibri" w:cs="Times New Roman"/>
          <w:noProof/>
        </w:rPr>
      </w:pPr>
      <w:r>
        <w:rPr>
          <w:noProof/>
        </w:rPr>
        <w:t>Likums Nr. 285/2002 Coll., par audu un orgānu ziedošanu, izņemšanu un transplantāciju un par grozījumiem konkrētos likumos (Transplantācijas likums);</w:t>
      </w:r>
    </w:p>
    <w:p w:rsidR="003E022D" w:rsidRDefault="007D19D6">
      <w:pPr>
        <w:rPr>
          <w:rFonts w:eastAsia="Calibri" w:cs="Times New Roman"/>
          <w:noProof/>
        </w:rPr>
      </w:pPr>
      <w:r>
        <w:rPr>
          <w:noProof/>
        </w:rPr>
        <w:t>Likums Nr. 372/2011 Coll. pa</w:t>
      </w:r>
      <w:r>
        <w:rPr>
          <w:noProof/>
        </w:rPr>
        <w:t xml:space="preserve">r veselības aprūpes pakalpojumiem un to sniegšanas nosacījumiem </w:t>
      </w:r>
    </w:p>
    <w:p w:rsidR="003E022D" w:rsidRDefault="007D19D6">
      <w:pPr>
        <w:rPr>
          <w:rFonts w:eastAsia="Calibri" w:cs="Times New Roman"/>
          <w:noProof/>
        </w:rPr>
      </w:pPr>
      <w:r>
        <w:rPr>
          <w:noProof/>
        </w:rPr>
        <w:t xml:space="preserve">Likums Nr. 373/2011 Coll. par konkrētiem veselības aprūpes pakalpojumiem). </w:t>
      </w:r>
    </w:p>
    <w:p w:rsidR="003E022D" w:rsidRDefault="007D19D6">
      <w:pPr>
        <w:rPr>
          <w:rFonts w:eastAsia="Calibri" w:cs="Times New Roman"/>
          <w:noProof/>
          <w:u w:val="single"/>
        </w:rPr>
      </w:pPr>
      <w:r>
        <w:rPr>
          <w:noProof/>
          <w:u w:val="single"/>
        </w:rPr>
        <w:t xml:space="preserve">Attiecībā uz pakalpojumu pārrobežu tirdzniecību – piekļuve tirgum, valsts režīms </w:t>
      </w:r>
    </w:p>
    <w:p w:rsidR="003E022D" w:rsidRDefault="007D19D6">
      <w:pPr>
        <w:rPr>
          <w:rFonts w:eastAsia="Calibri" w:cs="Times New Roman"/>
          <w:noProof/>
        </w:rPr>
      </w:pPr>
      <w:r>
        <w:rPr>
          <w:b/>
          <w:noProof/>
        </w:rPr>
        <w:t>EU</w:t>
      </w:r>
      <w:r>
        <w:rPr>
          <w:noProof/>
        </w:rPr>
        <w:t xml:space="preserve">, izņemot </w:t>
      </w:r>
      <w:r>
        <w:rPr>
          <w:b/>
          <w:noProof/>
        </w:rPr>
        <w:t>NL</w:t>
      </w:r>
      <w:r>
        <w:rPr>
          <w:noProof/>
        </w:rPr>
        <w:t xml:space="preserve"> un </w:t>
      </w:r>
      <w:r>
        <w:rPr>
          <w:b/>
          <w:noProof/>
        </w:rPr>
        <w:t>SE</w:t>
      </w:r>
      <w:r>
        <w:rPr>
          <w:noProof/>
        </w:rPr>
        <w:t xml:space="preserve">: visu ar veselības aprūpi saistīto profesionālo pakalpojumu, kas ir publiski vai privāti finansēti, ieskaitot pakalpojumu, ko sniedz tādi speciālisti kā ārsti, zobārsti, vecmātes, māsas, fizioterapeiti, vidējais medicīniskais palīgpersonāls un psihologi, </w:t>
      </w:r>
      <w:r>
        <w:rPr>
          <w:noProof/>
        </w:rPr>
        <w:t xml:space="preserve">sniegšanas nosacījums ir rezidence. Šos pakalpojumus var sniegt tikai fiziskas personas, kas fiziski uzturas Eiropas Savienības teritorijā (CPC 9312, daļa no CPC 93191). </w:t>
      </w:r>
    </w:p>
    <w:p w:rsidR="003E022D" w:rsidRDefault="007D19D6">
      <w:pPr>
        <w:rPr>
          <w:rFonts w:eastAsia="Calibri" w:cs="Times New Roman"/>
          <w:noProof/>
        </w:rPr>
      </w:pPr>
      <w:r>
        <w:rPr>
          <w:b/>
          <w:noProof/>
        </w:rPr>
        <w:t xml:space="preserve">BE: </w:t>
      </w:r>
      <w:r>
        <w:rPr>
          <w:noProof/>
        </w:rPr>
        <w:t>visu tādu ar veselības aprūpi saistīto profesionālo pakalpojumu pārrobežu sniegša</w:t>
      </w:r>
      <w:r>
        <w:rPr>
          <w:noProof/>
        </w:rPr>
        <w:t xml:space="preserve">na, kas ir publiski vai privāti finansēti, ieskaitot medicīnas, zobārstniecības un vecmāšu pakalpojumus, kā arī māsu, fizioterapeitu, psihologu un vidējā medicīniskā personāla pakalpojumus (daļa no CPC 85201, 9312, daļa no 93191). </w:t>
      </w:r>
    </w:p>
    <w:p w:rsidR="003E022D" w:rsidRDefault="007D19D6">
      <w:pPr>
        <w:rPr>
          <w:rFonts w:eastAsia="Calibri" w:cs="Times New Roman"/>
          <w:noProof/>
        </w:rPr>
      </w:pPr>
      <w:r>
        <w:rPr>
          <w:b/>
          <w:noProof/>
        </w:rPr>
        <w:t>PT</w:t>
      </w:r>
      <w:r>
        <w:rPr>
          <w:noProof/>
        </w:rPr>
        <w:t>: (arī attiecībā uz li</w:t>
      </w:r>
      <w:r>
        <w:rPr>
          <w:noProof/>
        </w:rPr>
        <w:t>elākās labvēlības režīmu) attiecībā uz fizioterapeitu, vidējā medicīniskā personāla un podiatristu profesijām ārvalstu profesionāļiem var atļaut praktizēt, pamatojoties uz savstarpību.</w:t>
      </w:r>
    </w:p>
    <w:p w:rsidR="003E022D" w:rsidRDefault="007D19D6">
      <w:pPr>
        <w:rPr>
          <w:rFonts w:eastAsia="Calibri" w:cs="Times New Roman"/>
          <w:b/>
          <w:i/>
          <w:noProof/>
        </w:rPr>
      </w:pPr>
      <w:r>
        <w:rPr>
          <w:b/>
          <w:i/>
          <w:noProof/>
        </w:rPr>
        <w:t>b)</w:t>
      </w:r>
      <w:r>
        <w:rPr>
          <w:noProof/>
        </w:rPr>
        <w:tab/>
      </w:r>
      <w:r>
        <w:rPr>
          <w:b/>
          <w:bCs/>
          <w:i/>
          <w:noProof/>
        </w:rPr>
        <w:t>Veterinārie pakalpojumi (CPC 932)</w:t>
      </w:r>
      <w:r>
        <w:rPr>
          <w:b/>
          <w:i/>
          <w:noProof/>
        </w:rPr>
        <w:t xml:space="preserve"> </w:t>
      </w:r>
    </w:p>
    <w:p w:rsidR="003E022D" w:rsidRDefault="007D19D6">
      <w:pPr>
        <w:rPr>
          <w:rFonts w:eastAsia="Calibri" w:cs="Times New Roman"/>
          <w:noProof/>
          <w:u w:val="single"/>
        </w:rPr>
      </w:pPr>
      <w:r>
        <w:rPr>
          <w:noProof/>
          <w:u w:val="single"/>
        </w:rPr>
        <w:t>Attiecībā uz investīciju liberali</w:t>
      </w:r>
      <w:r>
        <w:rPr>
          <w:noProof/>
          <w:u w:val="single"/>
        </w:rPr>
        <w:t>zāciju – piekļuve tirgum, valsts režīms un pakalpojumu pārrobežu tirdzniecība – valsts režīms, klātbūtne uz vietas</w:t>
      </w:r>
    </w:p>
    <w:p w:rsidR="003E022D" w:rsidRDefault="007D19D6">
      <w:pPr>
        <w:rPr>
          <w:rFonts w:eastAsia="Calibri" w:cs="Times New Roman"/>
          <w:noProof/>
        </w:rPr>
      </w:pPr>
      <w:r>
        <w:rPr>
          <w:b/>
          <w:noProof/>
        </w:rPr>
        <w:t>BG:</w:t>
      </w:r>
      <w:r>
        <w:rPr>
          <w:noProof/>
        </w:rPr>
        <w:t xml:space="preserve"> veterinārmedicīnas iestādi var izveidot fiziska vai juridiska persona. </w:t>
      </w:r>
    </w:p>
    <w:p w:rsidR="003E022D" w:rsidRDefault="007D19D6">
      <w:pPr>
        <w:rPr>
          <w:rFonts w:eastAsia="Calibri" w:cs="Times New Roman"/>
          <w:noProof/>
        </w:rPr>
      </w:pPr>
      <w:r>
        <w:rPr>
          <w:noProof/>
        </w:rPr>
        <w:t xml:space="preserve">Veterinārmedicīnu drīkst praktizēt tikai EEZ dalībvalsts pilsoņi </w:t>
      </w:r>
      <w:r>
        <w:rPr>
          <w:noProof/>
        </w:rPr>
        <w:t xml:space="preserve">un pastāvīgie iedzīvotāji (pastāvīgajiem iedzīvotājiem ir jānodrošina fiziska klātbūtne). </w:t>
      </w:r>
    </w:p>
    <w:p w:rsidR="003E022D" w:rsidRDefault="007D19D6">
      <w:pPr>
        <w:rPr>
          <w:rFonts w:eastAsia="Calibri" w:cs="Times New Roman"/>
          <w:noProof/>
          <w:u w:val="single"/>
        </w:rPr>
      </w:pPr>
      <w:r>
        <w:rPr>
          <w:noProof/>
          <w:u w:val="single"/>
        </w:rPr>
        <w:t>Attiecībā uz pakalpojumu pārrobežu tirdzniecību – piekļuve tirgum, valsts režīms</w:t>
      </w:r>
    </w:p>
    <w:p w:rsidR="003E022D" w:rsidRDefault="007D19D6">
      <w:pPr>
        <w:rPr>
          <w:rFonts w:eastAsia="Calibri" w:cs="Times New Roman"/>
          <w:noProof/>
        </w:rPr>
      </w:pPr>
      <w:r>
        <w:rPr>
          <w:b/>
          <w:noProof/>
        </w:rPr>
        <w:t>BE,</w:t>
      </w:r>
      <w:r>
        <w:rPr>
          <w:noProof/>
        </w:rPr>
        <w:t xml:space="preserve"> </w:t>
      </w:r>
      <w:r>
        <w:rPr>
          <w:b/>
          <w:noProof/>
        </w:rPr>
        <w:t>LV</w:t>
      </w:r>
      <w:r>
        <w:rPr>
          <w:noProof/>
        </w:rPr>
        <w:t xml:space="preserve">: veterināro pakalpojumu pārrobežu sniegšana </w:t>
      </w:r>
    </w:p>
    <w:p w:rsidR="003E022D" w:rsidRDefault="007D19D6">
      <w:pPr>
        <w:rPr>
          <w:rFonts w:eastAsia="Calibri" w:cs="Times New Roman"/>
          <w:b/>
          <w:bCs/>
          <w:i/>
          <w:noProof/>
        </w:rPr>
      </w:pPr>
      <w:r>
        <w:rPr>
          <w:b/>
          <w:i/>
          <w:noProof/>
        </w:rPr>
        <w:t>c)</w:t>
      </w:r>
      <w:r>
        <w:rPr>
          <w:noProof/>
        </w:rPr>
        <w:tab/>
      </w:r>
      <w:bookmarkStart w:id="1186" w:name="_Toc452503968"/>
      <w:r>
        <w:rPr>
          <w:b/>
          <w:bCs/>
          <w:i/>
          <w:noProof/>
        </w:rPr>
        <w:t>Zāļu, medicīnisko un ortopēdi</w:t>
      </w:r>
      <w:r>
        <w:rPr>
          <w:b/>
          <w:bCs/>
          <w:i/>
          <w:noProof/>
        </w:rPr>
        <w:t xml:space="preserve">sko preču mazumtirdzniecība un citi farmaceitu sniegti pakalpojumi </w:t>
      </w:r>
      <w:bookmarkEnd w:id="1186"/>
      <w:r>
        <w:rPr>
          <w:b/>
          <w:bCs/>
          <w:i/>
          <w:noProof/>
        </w:rPr>
        <w:t>(CPC 63211)</w:t>
      </w:r>
      <w:r>
        <w:rPr>
          <w:b/>
          <w:i/>
          <w:noProof/>
        </w:rPr>
        <w:t xml:space="preserve"> </w:t>
      </w:r>
    </w:p>
    <w:p w:rsidR="003E022D" w:rsidRDefault="007D19D6">
      <w:pPr>
        <w:rPr>
          <w:rFonts w:eastAsia="Calibri" w:cs="Times New Roman"/>
          <w:iCs/>
          <w:noProof/>
          <w:u w:val="single"/>
        </w:rPr>
      </w:pPr>
      <w:r>
        <w:rPr>
          <w:noProof/>
          <w:u w:val="single"/>
        </w:rPr>
        <w:t xml:space="preserve">Attiecībā uz investīciju liberalizāciju – piekļuve tirgum un pakalpojumu pārrobežu tirdzniecība – klātbūtne uz vietas </w:t>
      </w:r>
    </w:p>
    <w:p w:rsidR="003E022D" w:rsidRDefault="007D19D6">
      <w:pPr>
        <w:rPr>
          <w:rFonts w:eastAsia="Calibri" w:cs="Times New Roman"/>
          <w:noProof/>
        </w:rPr>
      </w:pPr>
      <w:r>
        <w:rPr>
          <w:b/>
          <w:noProof/>
        </w:rPr>
        <w:t>EU</w:t>
      </w:r>
      <w:r>
        <w:rPr>
          <w:noProof/>
        </w:rPr>
        <w:t xml:space="preserve">, izņemot </w:t>
      </w:r>
      <w:r>
        <w:rPr>
          <w:b/>
          <w:noProof/>
        </w:rPr>
        <w:t>EL</w:t>
      </w:r>
      <w:r>
        <w:rPr>
          <w:noProof/>
        </w:rPr>
        <w:t xml:space="preserve">, </w:t>
      </w:r>
      <w:r>
        <w:rPr>
          <w:b/>
          <w:noProof/>
        </w:rPr>
        <w:t>IE</w:t>
      </w:r>
      <w:r>
        <w:rPr>
          <w:noProof/>
        </w:rPr>
        <w:t xml:space="preserve">, </w:t>
      </w:r>
      <w:r>
        <w:rPr>
          <w:b/>
          <w:noProof/>
        </w:rPr>
        <w:t>LU</w:t>
      </w:r>
      <w:r>
        <w:rPr>
          <w:noProof/>
        </w:rPr>
        <w:t xml:space="preserve">, </w:t>
      </w:r>
      <w:r>
        <w:rPr>
          <w:b/>
          <w:noProof/>
        </w:rPr>
        <w:t>LT</w:t>
      </w:r>
      <w:r>
        <w:rPr>
          <w:noProof/>
        </w:rPr>
        <w:t xml:space="preserve"> </w:t>
      </w:r>
      <w:r>
        <w:rPr>
          <w:b/>
          <w:noProof/>
        </w:rPr>
        <w:t>un NL</w:t>
      </w:r>
      <w:r>
        <w:rPr>
          <w:noProof/>
        </w:rPr>
        <w:t>: lai ierobežotu to pakal</w:t>
      </w:r>
      <w:r>
        <w:rPr>
          <w:noProof/>
        </w:rPr>
        <w:t>pojumu sniedzēju skaitu, kam ir tiesības bez diskriminācijas sniegt konkrētu pakalpojumu konkrētā vietējā zonā vai teritorijā. Šajā nolūkā var veikt ekonomisko vajadzību pārbaudi, ņemot vērā tādus faktorus kā esošo uzņēmumu skaits un ietekme uz tiem, trans</w:t>
      </w:r>
      <w:r>
        <w:rPr>
          <w:noProof/>
        </w:rPr>
        <w:t xml:space="preserve">porta infrastruktūra, iedzīvotāju blīvums vai ģeogrāfiskā izkliede. </w:t>
      </w:r>
    </w:p>
    <w:p w:rsidR="003E022D" w:rsidRDefault="007D19D6">
      <w:pPr>
        <w:rPr>
          <w:rFonts w:eastAsia="Calibri" w:cs="Times New Roman"/>
          <w:i/>
          <w:noProof/>
        </w:rPr>
      </w:pPr>
      <w:r>
        <w:rPr>
          <w:b/>
          <w:noProof/>
        </w:rPr>
        <w:t>EU</w:t>
      </w:r>
      <w:r>
        <w:rPr>
          <w:noProof/>
        </w:rPr>
        <w:t xml:space="preserve">, izņemot </w:t>
      </w:r>
      <w:r>
        <w:rPr>
          <w:b/>
          <w:noProof/>
        </w:rPr>
        <w:t>BE, BG, EE, ES, IE un IT:</w:t>
      </w:r>
      <w:r>
        <w:rPr>
          <w:noProof/>
        </w:rPr>
        <w:t xml:space="preserve"> tirdzniecība pa pastu ir iespējama tikai no EEZ dalībvalstīm, tāpēc, lai Savienībā veiktu zāļu un konkrētu medicīnas preču mazumtirdzniecību plašai sabiedrībai, kādā no šīm valstīm ir jāizpilda uzņēmējdarbības veikšanas prasība. </w:t>
      </w:r>
      <w:r>
        <w:rPr>
          <w:b/>
          <w:noProof/>
        </w:rPr>
        <w:t>CZ</w:t>
      </w:r>
      <w:r>
        <w:rPr>
          <w:noProof/>
        </w:rPr>
        <w:t>: mazumtirdzniecība ir i</w:t>
      </w:r>
      <w:r>
        <w:rPr>
          <w:noProof/>
        </w:rPr>
        <w:t>espējama tikai no dalībvalstīm.</w:t>
      </w:r>
    </w:p>
    <w:p w:rsidR="003E022D" w:rsidRDefault="007D19D6">
      <w:pPr>
        <w:rPr>
          <w:rFonts w:eastAsia="Calibri" w:cs="Times New Roman"/>
          <w:noProof/>
        </w:rPr>
      </w:pPr>
      <w:r>
        <w:rPr>
          <w:b/>
          <w:noProof/>
        </w:rPr>
        <w:t>BE</w:t>
      </w:r>
      <w:r>
        <w:rPr>
          <w:noProof/>
        </w:rPr>
        <w:t xml:space="preserve">: zāļu un konkrētu medicīnas preču mazumtirdzniecība ir iespējama tikai no Beļģijā izveidotas aptiekas. </w:t>
      </w:r>
    </w:p>
    <w:p w:rsidR="003E022D" w:rsidRDefault="007D19D6">
      <w:pPr>
        <w:rPr>
          <w:rFonts w:eastAsia="Calibri" w:cs="Times New Roman"/>
          <w:noProof/>
        </w:rPr>
      </w:pPr>
      <w:r>
        <w:rPr>
          <w:b/>
          <w:noProof/>
        </w:rPr>
        <w:t>BG, EE,</w:t>
      </w:r>
      <w:r>
        <w:rPr>
          <w:noProof/>
        </w:rPr>
        <w:t xml:space="preserve"> </w:t>
      </w:r>
      <w:r>
        <w:rPr>
          <w:b/>
          <w:noProof/>
        </w:rPr>
        <w:t xml:space="preserve">ES, IT </w:t>
      </w:r>
      <w:r>
        <w:rPr>
          <w:noProof/>
        </w:rPr>
        <w:t>un</w:t>
      </w:r>
      <w:r>
        <w:rPr>
          <w:b/>
          <w:noProof/>
        </w:rPr>
        <w:t xml:space="preserve"> LT</w:t>
      </w:r>
      <w:r>
        <w:rPr>
          <w:noProof/>
        </w:rPr>
        <w:t xml:space="preserve">: zāļu pārrobežu mazumtirdzniecība. </w:t>
      </w:r>
    </w:p>
    <w:p w:rsidR="003E022D" w:rsidRDefault="007D19D6">
      <w:pPr>
        <w:rPr>
          <w:rFonts w:eastAsia="Calibri" w:cs="Times New Roman"/>
          <w:noProof/>
        </w:rPr>
      </w:pPr>
      <w:r>
        <w:rPr>
          <w:b/>
          <w:noProof/>
        </w:rPr>
        <w:t>IE</w:t>
      </w:r>
      <w:r>
        <w:rPr>
          <w:noProof/>
        </w:rPr>
        <w:t xml:space="preserve"> un </w:t>
      </w:r>
      <w:r>
        <w:rPr>
          <w:b/>
          <w:noProof/>
        </w:rPr>
        <w:t>LT</w:t>
      </w:r>
      <w:r>
        <w:rPr>
          <w:noProof/>
        </w:rPr>
        <w:t xml:space="preserve">: recepšu zāļu pārrobežu mazumtirdzniecība. </w:t>
      </w:r>
    </w:p>
    <w:p w:rsidR="003E022D" w:rsidRDefault="007D19D6">
      <w:pPr>
        <w:rPr>
          <w:rFonts w:eastAsia="Calibri" w:cs="Times New Roman"/>
          <w:noProof/>
        </w:rPr>
      </w:pPr>
      <w:r>
        <w:rPr>
          <w:b/>
          <w:noProof/>
        </w:rPr>
        <w:t>PL:</w:t>
      </w:r>
      <w:r>
        <w:rPr>
          <w:noProof/>
        </w:rPr>
        <w:t xml:space="preserve"> starpniekiem zāļu tirdzniecībā jābūt reģistrētiem, un to dzīvesvietai vai juridiskajai adresei jābūt Polijas Republikas teritorijā. </w:t>
      </w:r>
    </w:p>
    <w:p w:rsidR="003E022D" w:rsidRDefault="007D19D6">
      <w:pPr>
        <w:rPr>
          <w:rFonts w:eastAsia="Calibri" w:cs="Times New Roman"/>
          <w:noProof/>
          <w:u w:val="single"/>
        </w:rPr>
      </w:pPr>
      <w:r>
        <w:rPr>
          <w:noProof/>
          <w:u w:val="single"/>
        </w:rPr>
        <w:t>Attiecībā uz investīciju liberalizāciju – piekļuve tirgum, valsts režīms, augstākā vadība un direktoru padomes, veiktspēja</w:t>
      </w:r>
      <w:r>
        <w:rPr>
          <w:noProof/>
          <w:u w:val="single"/>
        </w:rPr>
        <w:t xml:space="preserve">s prasības un pakalpojumu pārrobežu tirdzniecība – piekļuve tirgum, valsts režīms </w:t>
      </w:r>
    </w:p>
    <w:p w:rsidR="003E022D" w:rsidRDefault="007D19D6">
      <w:pPr>
        <w:rPr>
          <w:rFonts w:eastAsia="Calibri" w:cs="Times New Roman"/>
          <w:noProof/>
        </w:rPr>
      </w:pPr>
      <w:r>
        <w:rPr>
          <w:b/>
          <w:noProof/>
        </w:rPr>
        <w:t xml:space="preserve">FI: </w:t>
      </w:r>
      <w:r>
        <w:rPr>
          <w:noProof/>
        </w:rPr>
        <w:t>zāļu mazumtirdzniecība un medicīnas un ortopēdisko preču mazumtirdzniecība.</w:t>
      </w:r>
    </w:p>
    <w:p w:rsidR="003E022D" w:rsidRDefault="007D19D6">
      <w:pPr>
        <w:rPr>
          <w:rFonts w:eastAsia="Calibri" w:cs="Times New Roman"/>
          <w:noProof/>
          <w:u w:val="single"/>
        </w:rPr>
      </w:pPr>
      <w:r>
        <w:rPr>
          <w:noProof/>
          <w:u w:val="single"/>
        </w:rPr>
        <w:t xml:space="preserve">Attiecībā uz investīciju liberalizāciju – piekļuve tirgum, valsts režīms, augstākā vadība un </w:t>
      </w:r>
      <w:r>
        <w:rPr>
          <w:noProof/>
          <w:u w:val="single"/>
        </w:rPr>
        <w:t xml:space="preserve">direktoru padomes un pakalpojumu pārrobežu tirdzniecība – piekļuve tirgum, valsts režīms </w:t>
      </w:r>
    </w:p>
    <w:p w:rsidR="003E022D" w:rsidRDefault="007D19D6">
      <w:pPr>
        <w:rPr>
          <w:rFonts w:eastAsia="Calibri" w:cs="Times New Roman"/>
          <w:noProof/>
        </w:rPr>
      </w:pPr>
      <w:r>
        <w:rPr>
          <w:b/>
          <w:noProof/>
        </w:rPr>
        <w:t>SE</w:t>
      </w:r>
      <w:r>
        <w:rPr>
          <w:noProof/>
        </w:rPr>
        <w:t xml:space="preserve">: zāļu mazumtirdzniecība un zāļu piegāde plašai sabiedrībai. </w:t>
      </w:r>
    </w:p>
    <w:p w:rsidR="003E022D" w:rsidRDefault="007D19D6">
      <w:pPr>
        <w:rPr>
          <w:rFonts w:eastAsia="Calibri" w:cs="Times New Roman"/>
          <w:b/>
          <w:i/>
          <w:noProof/>
        </w:rPr>
      </w:pPr>
      <w:r>
        <w:rPr>
          <w:b/>
          <w:i/>
          <w:noProof/>
        </w:rPr>
        <w:t>Esošie pasākumi</w:t>
      </w:r>
      <w:r>
        <w:rPr>
          <w:i/>
          <w:noProof/>
        </w:rPr>
        <w:t xml:space="preserve"> </w:t>
      </w:r>
    </w:p>
    <w:p w:rsidR="003E022D" w:rsidRDefault="007D19D6">
      <w:pPr>
        <w:rPr>
          <w:rFonts w:eastAsia="Calibri" w:cs="Times New Roman"/>
          <w:noProof/>
        </w:rPr>
      </w:pPr>
      <w:r>
        <w:rPr>
          <w:b/>
          <w:noProof/>
        </w:rPr>
        <w:t>AT</w:t>
      </w:r>
      <w:r>
        <w:rPr>
          <w:noProof/>
        </w:rPr>
        <w:t xml:space="preserve">: </w:t>
      </w:r>
      <w:r>
        <w:rPr>
          <w:i/>
          <w:noProof/>
        </w:rPr>
        <w:t>Arzneimittelgesetz</w:t>
      </w:r>
      <w:r>
        <w:rPr>
          <w:noProof/>
        </w:rPr>
        <w:t xml:space="preserve"> (Zāļu likums), </w:t>
      </w:r>
      <w:r>
        <w:rPr>
          <w:i/>
          <w:noProof/>
        </w:rPr>
        <w:t>BGBl.</w:t>
      </w:r>
      <w:r>
        <w:rPr>
          <w:noProof/>
        </w:rPr>
        <w:t xml:space="preserve"> Nr. 185/1983 ar grozījumiem, §§ 57, 59, 5</w:t>
      </w:r>
      <w:r>
        <w:rPr>
          <w:noProof/>
        </w:rPr>
        <w:t xml:space="preserve">9a; un </w:t>
      </w:r>
    </w:p>
    <w:p w:rsidR="003E022D" w:rsidRDefault="007D19D6">
      <w:pPr>
        <w:rPr>
          <w:rFonts w:eastAsia="Calibri" w:cs="Times New Roman"/>
          <w:b/>
          <w:noProof/>
        </w:rPr>
      </w:pPr>
      <w:r>
        <w:rPr>
          <w:i/>
          <w:noProof/>
        </w:rPr>
        <w:t>Medizinproduktegesetz</w:t>
      </w:r>
      <w:r>
        <w:rPr>
          <w:noProof/>
        </w:rPr>
        <w:t xml:space="preserve"> (Medicīnas ierīču likums), </w:t>
      </w:r>
      <w:r>
        <w:rPr>
          <w:i/>
          <w:noProof/>
        </w:rPr>
        <w:t>BGBl.</w:t>
      </w:r>
      <w:r>
        <w:rPr>
          <w:noProof/>
        </w:rPr>
        <w:t xml:space="preserve"> Nr. 657/1996 ar grozījumiem, § 99. </w:t>
      </w:r>
    </w:p>
    <w:p w:rsidR="003E022D" w:rsidRDefault="007D19D6">
      <w:pPr>
        <w:rPr>
          <w:rFonts w:eastAsia="Calibri" w:cs="Times New Roman"/>
          <w:b/>
          <w:noProof/>
        </w:rPr>
      </w:pPr>
      <w:r>
        <w:rPr>
          <w:b/>
          <w:noProof/>
        </w:rPr>
        <w:t xml:space="preserve">BE: </w:t>
      </w:r>
      <w:r>
        <w:rPr>
          <w:i/>
          <w:noProof/>
        </w:rPr>
        <w:t>Arrêté royal du 21 janvier 2009 portant instructions pour les pharmaciens</w:t>
      </w:r>
      <w:r>
        <w:rPr>
          <w:noProof/>
        </w:rPr>
        <w:t xml:space="preserve">; un </w:t>
      </w:r>
      <w:r>
        <w:rPr>
          <w:i/>
          <w:noProof/>
        </w:rPr>
        <w:t>Arrêté royal du 10 novembre 1967 relatif à l'exercice des professions des s</w:t>
      </w:r>
      <w:r>
        <w:rPr>
          <w:i/>
          <w:noProof/>
        </w:rPr>
        <w:t>oins de santé</w:t>
      </w:r>
      <w:r>
        <w:rPr>
          <w:noProof/>
        </w:rPr>
        <w:t xml:space="preserve">. </w:t>
      </w:r>
    </w:p>
    <w:p w:rsidR="003E022D" w:rsidRDefault="007D19D6">
      <w:pPr>
        <w:rPr>
          <w:rFonts w:eastAsia="Calibri" w:cs="Times New Roman"/>
          <w:noProof/>
        </w:rPr>
      </w:pPr>
      <w:r>
        <w:rPr>
          <w:b/>
          <w:noProof/>
        </w:rPr>
        <w:t>CZ</w:t>
      </w:r>
      <w:r>
        <w:rPr>
          <w:noProof/>
        </w:rPr>
        <w:t> : Likums Nr. 378/2007 Coll. par zālēm, ar grozījumiem; un Likums Nr. 372/2011 Coll. par veselības aprūpes pakalpojumiem, ar grozījumiem.</w:t>
      </w:r>
    </w:p>
    <w:p w:rsidR="003E022D" w:rsidRDefault="007D19D6">
      <w:pPr>
        <w:rPr>
          <w:rFonts w:eastAsia="Calibri" w:cs="Times New Roman"/>
          <w:noProof/>
        </w:rPr>
      </w:pPr>
      <w:r>
        <w:rPr>
          <w:b/>
          <w:noProof/>
        </w:rPr>
        <w:t>FI:</w:t>
      </w:r>
      <w:r>
        <w:rPr>
          <w:noProof/>
        </w:rPr>
        <w:t xml:space="preserve"> </w:t>
      </w:r>
      <w:r>
        <w:rPr>
          <w:i/>
          <w:noProof/>
        </w:rPr>
        <w:t>Lääkelaki</w:t>
      </w:r>
      <w:r>
        <w:rPr>
          <w:noProof/>
        </w:rPr>
        <w:t xml:space="preserve"> (Medicīnas likums) (395/1987). </w:t>
      </w:r>
    </w:p>
    <w:p w:rsidR="003E022D" w:rsidRDefault="007D19D6">
      <w:pPr>
        <w:rPr>
          <w:rFonts w:eastAsia="Calibri" w:cs="Times New Roman"/>
          <w:noProof/>
        </w:rPr>
      </w:pPr>
      <w:r>
        <w:rPr>
          <w:b/>
          <w:noProof/>
        </w:rPr>
        <w:t>PL</w:t>
      </w:r>
      <w:r>
        <w:rPr>
          <w:noProof/>
        </w:rPr>
        <w:t>: Farmācijas likums, 73.a pants (2020. gada Oficiāla</w:t>
      </w:r>
      <w:r>
        <w:rPr>
          <w:noProof/>
        </w:rPr>
        <w:t>is Vēstnesis, 944. punkts, 1493).</w:t>
      </w:r>
    </w:p>
    <w:p w:rsidR="003E022D" w:rsidRDefault="007D19D6">
      <w:pPr>
        <w:rPr>
          <w:rFonts w:eastAsia="Calibri" w:cs="Times New Roman"/>
          <w:noProof/>
        </w:rPr>
      </w:pPr>
      <w:r>
        <w:rPr>
          <w:b/>
          <w:noProof/>
        </w:rPr>
        <w:t>SE:</w:t>
      </w:r>
      <w:r>
        <w:rPr>
          <w:noProof/>
        </w:rPr>
        <w:t xml:space="preserve"> Likums par zāļu tirdzniecību (2009:336); </w:t>
      </w:r>
    </w:p>
    <w:p w:rsidR="003E022D" w:rsidRDefault="007D19D6">
      <w:pPr>
        <w:rPr>
          <w:rFonts w:eastAsia="Calibri" w:cs="Times New Roman"/>
          <w:noProof/>
        </w:rPr>
      </w:pPr>
      <w:r>
        <w:rPr>
          <w:noProof/>
        </w:rPr>
        <w:t xml:space="preserve">Noteikumi par zāļu tirdzniecību (2009:659); un </w:t>
      </w:r>
    </w:p>
    <w:p w:rsidR="003E022D" w:rsidRDefault="007D19D6">
      <w:pPr>
        <w:rPr>
          <w:rFonts w:eastAsia="Calibri" w:cs="Times New Roman"/>
          <w:noProof/>
        </w:rPr>
      </w:pPr>
      <w:r>
        <w:rPr>
          <w:noProof/>
        </w:rPr>
        <w:t xml:space="preserve">Zviedrijas Medikamentu aģentūra ir pieņēmusi papildu noteikumus; informācija ir pieejama vietnē (LVFS 2009: 9).  </w:t>
      </w:r>
      <w:bookmarkStart w:id="1187" w:name="_Toc479001628"/>
      <w:bookmarkStart w:id="1188" w:name="_Toc452503969"/>
    </w:p>
    <w:p w:rsidR="003E022D" w:rsidRDefault="007D19D6">
      <w:pPr>
        <w:rPr>
          <w:rFonts w:eastAsia="Calibri" w:cs="Times New Roman"/>
          <w:noProof/>
        </w:rPr>
      </w:pPr>
      <w:r>
        <w:rPr>
          <w:noProof/>
        </w:rPr>
        <w:br w:type="page"/>
      </w:r>
    </w:p>
    <w:p w:rsidR="003E022D" w:rsidRDefault="007D19D6">
      <w:pPr>
        <w:rPr>
          <w:rFonts w:eastAsia="Calibri" w:cs="Times New Roman"/>
          <w:b/>
          <w:bCs/>
          <w:noProof/>
        </w:rPr>
      </w:pPr>
      <w:bookmarkStart w:id="1189" w:name="_Toc53746602"/>
      <w:bookmarkStart w:id="1190" w:name="_Toc57917468"/>
      <w:r>
        <w:rPr>
          <w:b/>
          <w:bCs/>
          <w:noProof/>
        </w:rPr>
        <w:t xml:space="preserve">4. atruna. </w:t>
      </w:r>
      <w:r>
        <w:rPr>
          <w:b/>
          <w:bCs/>
          <w:noProof/>
        </w:rPr>
        <w:t>Darījumdarbības pakalpojumi – pētniecības un izstrādes pakalpojumi</w:t>
      </w:r>
      <w:bookmarkEnd w:id="1187"/>
      <w:bookmarkEnd w:id="1189"/>
      <w:bookmarkEnd w:id="1190"/>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pētniecības un izstrādes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851, 852, 853</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Pakalpojumu pārrobežu tirdzniecība</w:t>
            </w:r>
          </w:p>
        </w:tc>
      </w:tr>
    </w:tbl>
    <w:p w:rsidR="003E022D" w:rsidRDefault="003E022D">
      <w:pPr>
        <w:rPr>
          <w:noProof/>
        </w:rPr>
      </w:pPr>
    </w:p>
    <w:p w:rsidR="003E022D" w:rsidRDefault="007D19D6">
      <w:pPr>
        <w:rPr>
          <w:rFonts w:eastAsia="Calibri" w:cs="Times New Roman"/>
          <w:b/>
          <w:noProof/>
        </w:rPr>
      </w:pPr>
      <w:r>
        <w:rPr>
          <w:b/>
          <w:noProof/>
        </w:rPr>
        <w:t xml:space="preserve">Apraksts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noProof/>
        </w:rPr>
      </w:pPr>
      <w:r>
        <w:rPr>
          <w:b/>
          <w:noProof/>
        </w:rPr>
        <w:t>RO</w:t>
      </w:r>
      <w:r>
        <w:rPr>
          <w:noProof/>
        </w:rPr>
        <w:t xml:space="preserve">: ar pētniecību un izstrādi saistītu pakalpojumu pārrobežu sniegšana. </w:t>
      </w:r>
    </w:p>
    <w:p w:rsidR="003E022D" w:rsidRDefault="007D19D6">
      <w:pPr>
        <w:rPr>
          <w:rFonts w:eastAsia="Calibri" w:cs="Times New Roman"/>
          <w:i/>
          <w:noProof/>
        </w:rPr>
      </w:pPr>
      <w:r>
        <w:rPr>
          <w:b/>
          <w:i/>
          <w:noProof/>
        </w:rPr>
        <w:t xml:space="preserve">Esošie pasākumi </w:t>
      </w:r>
    </w:p>
    <w:p w:rsidR="003E022D" w:rsidRDefault="007D19D6">
      <w:pPr>
        <w:rPr>
          <w:rFonts w:eastAsia="Calibri" w:cs="Times New Roman"/>
          <w:noProof/>
        </w:rPr>
      </w:pPr>
      <w:r>
        <w:rPr>
          <w:b/>
          <w:noProof/>
        </w:rPr>
        <w:t>RO:</w:t>
      </w:r>
      <w:r>
        <w:rPr>
          <w:noProof/>
        </w:rPr>
        <w:t xml:space="preserve"> Valdības rīkojums Nr. 6/2011; </w:t>
      </w:r>
    </w:p>
    <w:p w:rsidR="003E022D" w:rsidRDefault="007D19D6">
      <w:pPr>
        <w:rPr>
          <w:rFonts w:eastAsia="Calibri" w:cs="Times New Roman"/>
          <w:noProof/>
        </w:rPr>
      </w:pPr>
      <w:r>
        <w:rPr>
          <w:noProof/>
        </w:rPr>
        <w:t>Izglītības un pētniecības minis</w:t>
      </w:r>
      <w:r>
        <w:rPr>
          <w:noProof/>
        </w:rPr>
        <w:t xml:space="preserve">tra rīkojums Nr. 3548/2006; Valdības lēmums Nr. 134/2011. </w:t>
      </w:r>
    </w:p>
    <w:p w:rsidR="003E022D" w:rsidRDefault="007D19D6">
      <w:pPr>
        <w:rPr>
          <w:rFonts w:eastAsia="Calibri" w:cs="Times New Roman"/>
          <w:noProof/>
        </w:rPr>
      </w:pPr>
      <w:r>
        <w:rPr>
          <w:noProof/>
        </w:rPr>
        <w:t xml:space="preserve"> </w:t>
      </w:r>
    </w:p>
    <w:p w:rsidR="003E022D" w:rsidRDefault="007D19D6">
      <w:pPr>
        <w:rPr>
          <w:rFonts w:eastAsia="Calibri" w:cs="Times New Roman"/>
          <w:noProof/>
        </w:rPr>
      </w:pPr>
      <w:r>
        <w:rPr>
          <w:noProof/>
        </w:rPr>
        <w:br w:type="page"/>
      </w:r>
    </w:p>
    <w:p w:rsidR="003E022D" w:rsidRDefault="007D19D6">
      <w:pPr>
        <w:rPr>
          <w:rFonts w:eastAsia="Calibri" w:cs="Times New Roman"/>
          <w:b/>
          <w:bCs/>
          <w:noProof/>
        </w:rPr>
      </w:pPr>
      <w:bookmarkStart w:id="1191" w:name="_Toc53746603"/>
      <w:bookmarkStart w:id="1192" w:name="_Toc57917469"/>
      <w:r>
        <w:rPr>
          <w:b/>
          <w:bCs/>
          <w:noProof/>
        </w:rPr>
        <w:t>5. atruna. Darījumdarbības pakalpojumi – ar nekustamo īpašumu saistītie pakalpojumi</w:t>
      </w:r>
      <w:bookmarkEnd w:id="1191"/>
      <w:bookmarkEnd w:id="1192"/>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Ar nekustamo īpašumu saistītie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821 un 822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Pakalpojumu pārrobežu tirdzniecība</w:t>
            </w:r>
          </w:p>
        </w:tc>
      </w:tr>
    </w:tbl>
    <w:p w:rsidR="003E022D" w:rsidRDefault="003E022D">
      <w:pPr>
        <w:rPr>
          <w:noProof/>
        </w:rPr>
      </w:pPr>
    </w:p>
    <w:p w:rsidR="003E022D" w:rsidRDefault="007D19D6">
      <w:pPr>
        <w:rPr>
          <w:rFonts w:eastAsia="Calibri" w:cs="Times New Roman"/>
          <w:b/>
          <w:noProof/>
        </w:rPr>
      </w:pPr>
      <w:r>
        <w:rPr>
          <w:b/>
          <w:noProof/>
        </w:rPr>
        <w:t xml:space="preserve">Apraksts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noProof/>
        </w:rPr>
      </w:pPr>
      <w:r>
        <w:rPr>
          <w:b/>
          <w:noProof/>
        </w:rPr>
        <w:t>CZ</w:t>
      </w:r>
      <w:r>
        <w:rPr>
          <w:noProof/>
        </w:rPr>
        <w:t xml:space="preserve"> un </w:t>
      </w:r>
      <w:r>
        <w:rPr>
          <w:b/>
          <w:noProof/>
        </w:rPr>
        <w:t>HU</w:t>
      </w:r>
      <w:r>
        <w:rPr>
          <w:noProof/>
        </w:rPr>
        <w:t xml:space="preserve">: ar nekustamo īpašumu saistīto pakalpojumu pārrobežu sniegšana. </w:t>
      </w:r>
    </w:p>
    <w:p w:rsidR="003E022D" w:rsidRDefault="003E022D">
      <w:pPr>
        <w:rPr>
          <w:rFonts w:eastAsia="Calibri" w:cs="Times New Roman"/>
          <w:b/>
          <w:bCs/>
          <w:noProof/>
        </w:rPr>
      </w:pPr>
    </w:p>
    <w:p w:rsidR="003E022D" w:rsidRDefault="007D19D6">
      <w:pPr>
        <w:rPr>
          <w:rFonts w:eastAsia="Calibri" w:cs="Times New Roman"/>
          <w:b/>
          <w:bCs/>
          <w:noProof/>
        </w:rPr>
      </w:pPr>
      <w:r>
        <w:rPr>
          <w:noProof/>
        </w:rPr>
        <w:br w:type="page"/>
      </w:r>
    </w:p>
    <w:p w:rsidR="003E022D" w:rsidRDefault="007D19D6">
      <w:pPr>
        <w:rPr>
          <w:rFonts w:eastAsia="Calibri" w:cs="Times New Roman"/>
          <w:b/>
          <w:bCs/>
          <w:noProof/>
        </w:rPr>
      </w:pPr>
      <w:bookmarkStart w:id="1193" w:name="_Toc53746604"/>
      <w:bookmarkStart w:id="1194" w:name="_Toc57917470"/>
      <w:r>
        <w:rPr>
          <w:b/>
          <w:bCs/>
          <w:noProof/>
        </w:rPr>
        <w:t>6. atruna. Darījumdarbības pakalpojumi – nomas un izpirkumnomas pakalpojumi</w:t>
      </w:r>
      <w:bookmarkEnd w:id="1193"/>
      <w:bookmarkEnd w:id="1194"/>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Nomas un izpirkumnomas pakalpojumi bez operatoriem</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832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Pakalpojumu pārrobežu tirdzniec</w:t>
            </w:r>
            <w:r>
              <w:rPr>
                <w:noProof/>
              </w:rPr>
              <w:t>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noProof/>
        </w:rPr>
      </w:pPr>
      <w:r>
        <w:rPr>
          <w:b/>
          <w:noProof/>
        </w:rPr>
        <w:t>BE</w:t>
      </w:r>
      <w:r>
        <w:rPr>
          <w:noProof/>
        </w:rPr>
        <w:t xml:space="preserve"> un </w:t>
      </w:r>
      <w:r>
        <w:rPr>
          <w:b/>
          <w:noProof/>
        </w:rPr>
        <w:t xml:space="preserve">FR: </w:t>
      </w:r>
      <w:r>
        <w:rPr>
          <w:noProof/>
        </w:rPr>
        <w:t xml:space="preserve">izpirkumnomas un nomas pakalpojumu pārrobežu sniegšana bez operatora attiecībā uz individuālās lietošanas priekšmetiem un mājsaimniecības piederumiem. </w:t>
      </w:r>
    </w:p>
    <w:p w:rsidR="003E022D" w:rsidRDefault="007D19D6">
      <w:pPr>
        <w:rPr>
          <w:rFonts w:eastAsia="Calibri" w:cs="Times New Roman"/>
          <w:b/>
          <w:bCs/>
          <w:noProof/>
        </w:rPr>
      </w:pPr>
      <w:r>
        <w:rPr>
          <w:b/>
          <w:bCs/>
          <w:noProof/>
        </w:rPr>
        <w:t xml:space="preserve"> </w:t>
      </w:r>
      <w:bookmarkStart w:id="1195" w:name="_Toc479001631"/>
    </w:p>
    <w:p w:rsidR="003E022D" w:rsidRDefault="007D19D6">
      <w:pPr>
        <w:rPr>
          <w:rFonts w:eastAsia="Calibri" w:cs="Times New Roman"/>
          <w:b/>
          <w:bCs/>
          <w:noProof/>
        </w:rPr>
      </w:pPr>
      <w:r>
        <w:rPr>
          <w:noProof/>
        </w:rPr>
        <w:br w:type="page"/>
      </w:r>
    </w:p>
    <w:p w:rsidR="003E022D" w:rsidRDefault="007D19D6">
      <w:pPr>
        <w:rPr>
          <w:rFonts w:eastAsia="Calibri" w:cs="Times New Roman"/>
          <w:b/>
          <w:bCs/>
          <w:noProof/>
        </w:rPr>
      </w:pPr>
      <w:bookmarkStart w:id="1196" w:name="_Toc53746605"/>
      <w:bookmarkStart w:id="1197" w:name="_Toc57917471"/>
      <w:r>
        <w:rPr>
          <w:b/>
          <w:bCs/>
          <w:noProof/>
        </w:rPr>
        <w:t>7. atruna. Darījumdarbības pakalpojumi – iekasēšanas aģentūru pakalpojumi un kredītinformācijas paka</w:t>
      </w:r>
      <w:r>
        <w:rPr>
          <w:b/>
          <w:bCs/>
          <w:noProof/>
        </w:rPr>
        <w:t>lpojumi</w:t>
      </w:r>
      <w:bookmarkEnd w:id="1195"/>
      <w:bookmarkEnd w:id="1196"/>
      <w:bookmarkEnd w:id="1197"/>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Iekasēšanas aģentūru pakalpojumi un kredītinformācijas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87901, 87902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noProof/>
        </w:rPr>
      </w:pPr>
      <w:r>
        <w:rPr>
          <w:b/>
          <w:noProof/>
        </w:rPr>
        <w:t>EU</w:t>
      </w:r>
      <w:r>
        <w:rPr>
          <w:noProof/>
        </w:rPr>
        <w:t xml:space="preserve">, izņemot </w:t>
      </w:r>
      <w:r>
        <w:rPr>
          <w:b/>
          <w:noProof/>
        </w:rPr>
        <w:t>ES</w:t>
      </w:r>
      <w:r>
        <w:rPr>
          <w:noProof/>
        </w:rPr>
        <w:t xml:space="preserve">, </w:t>
      </w:r>
      <w:r>
        <w:rPr>
          <w:b/>
          <w:noProof/>
        </w:rPr>
        <w:t>LV</w:t>
      </w:r>
      <w:r>
        <w:rPr>
          <w:noProof/>
        </w:rPr>
        <w:t xml:space="preserve"> un </w:t>
      </w:r>
      <w:r>
        <w:rPr>
          <w:b/>
          <w:noProof/>
        </w:rPr>
        <w:t>SE</w:t>
      </w:r>
      <w:r>
        <w:rPr>
          <w:noProof/>
        </w:rPr>
        <w:t xml:space="preserve">, – attiecībā uz iekasēšanas aģentūru pakalpojumu un kredītinformācijas pakalpojumu sniegšanu. </w:t>
      </w:r>
    </w:p>
    <w:p w:rsidR="003E022D" w:rsidRDefault="007D19D6">
      <w:pPr>
        <w:rPr>
          <w:rFonts w:eastAsia="Calibri" w:cs="Times New Roman"/>
          <w:b/>
          <w:bCs/>
          <w:noProof/>
        </w:rPr>
      </w:pPr>
      <w:bookmarkStart w:id="1198" w:name="_Toc452503970"/>
      <w:bookmarkStart w:id="1199" w:name="_Toc479001632"/>
      <w:bookmarkEnd w:id="1188"/>
      <w:r>
        <w:rPr>
          <w:noProof/>
        </w:rPr>
        <w:br w:type="page"/>
      </w:r>
    </w:p>
    <w:p w:rsidR="003E022D" w:rsidRDefault="007D19D6">
      <w:pPr>
        <w:rPr>
          <w:rFonts w:eastAsia="Calibri" w:cs="Times New Roman"/>
          <w:b/>
          <w:bCs/>
          <w:noProof/>
        </w:rPr>
      </w:pPr>
      <w:bookmarkStart w:id="1200" w:name="_Toc53746606"/>
      <w:bookmarkStart w:id="1201" w:name="_Toc57917472"/>
      <w:r>
        <w:rPr>
          <w:b/>
          <w:bCs/>
          <w:noProof/>
        </w:rPr>
        <w:t>8. atruna. Darījumdarbības pakalpojumi – darbā</w:t>
      </w:r>
      <w:r>
        <w:rPr>
          <w:b/>
          <w:bCs/>
          <w:noProof/>
        </w:rPr>
        <w:t xml:space="preserve"> iekārtošanas pakalpojumi</w:t>
      </w:r>
      <w:bookmarkEnd w:id="1198"/>
      <w:bookmarkEnd w:id="1199"/>
      <w:bookmarkEnd w:id="1200"/>
      <w:bookmarkEnd w:id="1201"/>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rPr>
              <w:t>Darījumdarbības pakalpojumi – darbā iekārtošanas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87201, 87202, 87203, 87204, 87205, 87206, 87209</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Augstākā vadība un dire</w:t>
            </w:r>
            <w:r>
              <w:rPr>
                <w:noProof/>
              </w:rPr>
              <w:t xml:space="preserve">ktoru padome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noProof/>
          <w:u w:val="single"/>
        </w:rPr>
      </w:pPr>
      <w:r>
        <w:rPr>
          <w:noProof/>
          <w:u w:val="single"/>
        </w:rPr>
        <w:t xml:space="preserve">Attiecībā uz investīciju liberalizāciju – piekļuve tirgum, valsts režīms, augstākā vadība un direktoru padomes un pakalpojumu pārrobežu tirdzniecība – piekļuve tirgum, valsts režīms, klātbūtne uz vietas  </w:t>
      </w:r>
    </w:p>
    <w:p w:rsidR="003E022D" w:rsidRDefault="007D19D6">
      <w:pPr>
        <w:rPr>
          <w:rFonts w:eastAsia="Calibri" w:cs="Times New Roman"/>
          <w:noProof/>
        </w:rPr>
      </w:pPr>
      <w:r>
        <w:rPr>
          <w:b/>
          <w:noProof/>
        </w:rPr>
        <w:t>EU</w:t>
      </w:r>
      <w:r>
        <w:rPr>
          <w:noProof/>
        </w:rPr>
        <w:t xml:space="preserve">, izņemot </w:t>
      </w:r>
      <w:r>
        <w:rPr>
          <w:b/>
          <w:noProof/>
        </w:rPr>
        <w:t>HU</w:t>
      </w:r>
      <w:r>
        <w:rPr>
          <w:noProof/>
        </w:rPr>
        <w:t xml:space="preserve"> un </w:t>
      </w:r>
      <w:r>
        <w:rPr>
          <w:b/>
          <w:noProof/>
        </w:rPr>
        <w:t>SE</w:t>
      </w:r>
      <w:r>
        <w:rPr>
          <w:noProof/>
        </w:rPr>
        <w:t>: mājsaimniecības palīgpersonāl</w:t>
      </w:r>
      <w:r>
        <w:rPr>
          <w:noProof/>
        </w:rPr>
        <w:t xml:space="preserve">a, citu tirdzniecības vai rūpniecības darbinieku, aprūpes un cita personāla nodrošināšanas pakalpojumi (CPC 87204, 87205, 87206, 87209). </w:t>
      </w:r>
    </w:p>
    <w:p w:rsidR="003E022D" w:rsidRDefault="007D19D6">
      <w:pPr>
        <w:rPr>
          <w:rFonts w:eastAsia="Calibri" w:cs="Times New Roman"/>
          <w:noProof/>
        </w:rPr>
      </w:pPr>
      <w:r>
        <w:rPr>
          <w:b/>
          <w:noProof/>
        </w:rPr>
        <w:t>BG, CY, CZ, DE, EE, FI, MT, LT, LV</w:t>
      </w:r>
      <w:r>
        <w:rPr>
          <w:noProof/>
        </w:rPr>
        <w:t xml:space="preserve">, </w:t>
      </w:r>
      <w:r>
        <w:rPr>
          <w:b/>
          <w:noProof/>
        </w:rPr>
        <w:t>PL, PT, RO, SI</w:t>
      </w:r>
      <w:r>
        <w:rPr>
          <w:noProof/>
        </w:rPr>
        <w:t xml:space="preserve"> un </w:t>
      </w:r>
      <w:r>
        <w:rPr>
          <w:b/>
          <w:noProof/>
        </w:rPr>
        <w:t>SK</w:t>
      </w:r>
      <w:r>
        <w:rPr>
          <w:noProof/>
        </w:rPr>
        <w:t xml:space="preserve">: vadošo darbinieku meklēšanas pakalpojumi (87201). </w:t>
      </w:r>
    </w:p>
    <w:p w:rsidR="003E022D" w:rsidRDefault="007D19D6">
      <w:pPr>
        <w:rPr>
          <w:rFonts w:eastAsia="Calibri" w:cs="Times New Roman"/>
          <w:noProof/>
        </w:rPr>
      </w:pPr>
      <w:r>
        <w:rPr>
          <w:b/>
          <w:noProof/>
        </w:rPr>
        <w:t>AT, BG, C</w:t>
      </w:r>
      <w:r>
        <w:rPr>
          <w:b/>
          <w:noProof/>
        </w:rPr>
        <w:t>Y, CZ, EE, FI, LT, LV MT, PL, PT, RO, SI</w:t>
      </w:r>
      <w:r>
        <w:rPr>
          <w:noProof/>
        </w:rPr>
        <w:t xml:space="preserve"> un </w:t>
      </w:r>
      <w:r>
        <w:rPr>
          <w:b/>
          <w:noProof/>
        </w:rPr>
        <w:t>SK</w:t>
      </w:r>
      <w:r>
        <w:rPr>
          <w:noProof/>
        </w:rPr>
        <w:t>: biroja palīgpersonāla un citu darbinieku iekārtošana darbā (CPC 87202).</w:t>
      </w:r>
    </w:p>
    <w:p w:rsidR="003E022D" w:rsidRDefault="007D19D6">
      <w:pPr>
        <w:rPr>
          <w:rFonts w:eastAsia="Calibri" w:cs="Times New Roman"/>
          <w:noProof/>
        </w:rPr>
      </w:pPr>
      <w:r>
        <w:rPr>
          <w:b/>
          <w:noProof/>
        </w:rPr>
        <w:t>AT, BG, CY, CZ, DE, EE, FI</w:t>
      </w:r>
      <w:r>
        <w:rPr>
          <w:noProof/>
        </w:rPr>
        <w:t xml:space="preserve">, </w:t>
      </w:r>
      <w:r>
        <w:rPr>
          <w:b/>
          <w:noProof/>
        </w:rPr>
        <w:t>MT, LT, LV</w:t>
      </w:r>
      <w:r>
        <w:rPr>
          <w:noProof/>
        </w:rPr>
        <w:t xml:space="preserve">, </w:t>
      </w:r>
      <w:r>
        <w:rPr>
          <w:b/>
          <w:noProof/>
        </w:rPr>
        <w:t>PL, PT, RO, SI</w:t>
      </w:r>
      <w:r>
        <w:rPr>
          <w:noProof/>
        </w:rPr>
        <w:t xml:space="preserve"> un </w:t>
      </w:r>
      <w:r>
        <w:rPr>
          <w:b/>
          <w:noProof/>
        </w:rPr>
        <w:t>SK</w:t>
      </w:r>
      <w:r>
        <w:rPr>
          <w:noProof/>
        </w:rPr>
        <w:t xml:space="preserve">: biroja palīgpersonāla nodrošināšanas pakalpojumi (CPC 87203). </w:t>
      </w:r>
    </w:p>
    <w:p w:rsidR="003E022D" w:rsidRDefault="007D19D6">
      <w:pPr>
        <w:rPr>
          <w:rFonts w:eastAsia="Calibri" w:cs="Times New Roman"/>
          <w:noProof/>
          <w:u w:val="single"/>
        </w:rPr>
      </w:pPr>
      <w:r>
        <w:rPr>
          <w:noProof/>
          <w:u w:val="single"/>
        </w:rPr>
        <w:t>Attiecībā u</w:t>
      </w:r>
      <w:r>
        <w:rPr>
          <w:noProof/>
          <w:u w:val="single"/>
        </w:rPr>
        <w:t xml:space="preserve">z pakalpojumu pārrobežu tirdzniecību – piekļuve tirgum, valsts režīms, klātbūtne uz vietas </w:t>
      </w:r>
    </w:p>
    <w:p w:rsidR="003E022D" w:rsidRDefault="007D19D6">
      <w:pPr>
        <w:rPr>
          <w:rFonts w:eastAsia="Calibri" w:cs="Times New Roman"/>
          <w:noProof/>
        </w:rPr>
      </w:pPr>
      <w:r>
        <w:rPr>
          <w:b/>
          <w:noProof/>
        </w:rPr>
        <w:t>EU</w:t>
      </w:r>
      <w:r>
        <w:rPr>
          <w:noProof/>
        </w:rPr>
        <w:t xml:space="preserve">, izņemot </w:t>
      </w:r>
      <w:r>
        <w:rPr>
          <w:b/>
          <w:noProof/>
        </w:rPr>
        <w:t>BE, HU</w:t>
      </w:r>
      <w:r>
        <w:rPr>
          <w:noProof/>
        </w:rPr>
        <w:t xml:space="preserve"> un </w:t>
      </w:r>
      <w:r>
        <w:rPr>
          <w:b/>
          <w:noProof/>
        </w:rPr>
        <w:t>SE</w:t>
      </w:r>
      <w:r>
        <w:rPr>
          <w:noProof/>
        </w:rPr>
        <w:t>: biroja palīgpersonāla un citu darbinieku darbā iekārtošanas pakalpojumu pārrobežu sniegšana (CPC 87202).</w:t>
      </w:r>
    </w:p>
    <w:p w:rsidR="003E022D" w:rsidRDefault="007D19D6">
      <w:pPr>
        <w:rPr>
          <w:rFonts w:eastAsia="Calibri" w:cs="Times New Roman"/>
          <w:b/>
          <w:noProof/>
        </w:rPr>
      </w:pPr>
      <w:r>
        <w:rPr>
          <w:b/>
          <w:noProof/>
        </w:rPr>
        <w:t>IE:</w:t>
      </w:r>
      <w:r>
        <w:rPr>
          <w:noProof/>
        </w:rPr>
        <w:t xml:space="preserve"> vadošo darbinieku meklēšanas </w:t>
      </w:r>
      <w:r>
        <w:rPr>
          <w:noProof/>
        </w:rPr>
        <w:t xml:space="preserve">pakalpojumu pārrobežu sniegšana (87201). </w:t>
      </w:r>
    </w:p>
    <w:p w:rsidR="003E022D" w:rsidRDefault="007D19D6">
      <w:pPr>
        <w:rPr>
          <w:rFonts w:eastAsia="Calibri" w:cs="Times New Roman"/>
          <w:noProof/>
        </w:rPr>
      </w:pPr>
      <w:r>
        <w:rPr>
          <w:b/>
          <w:noProof/>
        </w:rPr>
        <w:t>FR, IE, IT</w:t>
      </w:r>
      <w:r>
        <w:rPr>
          <w:noProof/>
        </w:rPr>
        <w:t xml:space="preserve"> un</w:t>
      </w:r>
      <w:r>
        <w:rPr>
          <w:b/>
          <w:noProof/>
        </w:rPr>
        <w:t xml:space="preserve"> NL:</w:t>
      </w:r>
      <w:r>
        <w:rPr>
          <w:noProof/>
        </w:rPr>
        <w:t xml:space="preserve"> biroja palīgpersonāla darbā iekārtošanas pakalpojumu pārrobežu sniegšana (CPC 87203).</w:t>
      </w:r>
    </w:p>
    <w:p w:rsidR="003E022D" w:rsidRDefault="007D19D6">
      <w:pPr>
        <w:rPr>
          <w:rFonts w:eastAsia="Calibri" w:cs="Times New Roman"/>
          <w:noProof/>
          <w:u w:val="single"/>
        </w:rPr>
      </w:pPr>
      <w:r>
        <w:rPr>
          <w:noProof/>
          <w:u w:val="single"/>
        </w:rPr>
        <w:t>Attiecībā uz investīciju liberalizāciju – piekļuve tirgum un pakalpojumu pārrobežu tirdzniecība – piekļuve tir</w:t>
      </w:r>
      <w:r>
        <w:rPr>
          <w:noProof/>
          <w:u w:val="single"/>
        </w:rPr>
        <w:t>gum</w:t>
      </w:r>
    </w:p>
    <w:p w:rsidR="003E022D" w:rsidRDefault="007D19D6">
      <w:pPr>
        <w:rPr>
          <w:rFonts w:eastAsia="Calibri" w:cs="Times New Roman"/>
          <w:noProof/>
        </w:rPr>
      </w:pPr>
      <w:r>
        <w:rPr>
          <w:b/>
          <w:noProof/>
        </w:rPr>
        <w:t>DE:</w:t>
      </w:r>
      <w:r>
        <w:rPr>
          <w:noProof/>
        </w:rPr>
        <w:t xml:space="preserve"> tiesības ierobežot darbā iekārtošanas pakalpojumu sniedzēju skaitu. </w:t>
      </w:r>
    </w:p>
    <w:p w:rsidR="003E022D" w:rsidRDefault="007D19D6">
      <w:pPr>
        <w:rPr>
          <w:rFonts w:eastAsia="Calibri" w:cs="Times New Roman"/>
          <w:noProof/>
        </w:rPr>
      </w:pPr>
      <w:r>
        <w:rPr>
          <w:b/>
          <w:noProof/>
        </w:rPr>
        <w:t>ES</w:t>
      </w:r>
      <w:r>
        <w:rPr>
          <w:noProof/>
        </w:rPr>
        <w:t xml:space="preserve">: ierobežot vadošo darbinieku meklēšanas un darbā iekārtošanas pakalpojumu sniedzēju skaitu (CPC 87201, 87202). </w:t>
      </w:r>
    </w:p>
    <w:p w:rsidR="003E022D" w:rsidRDefault="007D19D6">
      <w:pPr>
        <w:rPr>
          <w:rFonts w:eastAsia="Calibri" w:cs="Times New Roman"/>
          <w:noProof/>
        </w:rPr>
      </w:pPr>
      <w:r>
        <w:rPr>
          <w:b/>
          <w:noProof/>
        </w:rPr>
        <w:t xml:space="preserve">FR: </w:t>
      </w:r>
      <w:r>
        <w:rPr>
          <w:noProof/>
        </w:rPr>
        <w:t>šajā pakalpojumu jomā var būt valsts monopols (CPC 87202).</w:t>
      </w:r>
    </w:p>
    <w:p w:rsidR="003E022D" w:rsidRDefault="007D19D6">
      <w:pPr>
        <w:rPr>
          <w:rFonts w:eastAsia="Calibri" w:cs="Times New Roman"/>
          <w:noProof/>
        </w:rPr>
      </w:pPr>
      <w:r>
        <w:rPr>
          <w:b/>
          <w:noProof/>
        </w:rPr>
        <w:t>I</w:t>
      </w:r>
      <w:r>
        <w:rPr>
          <w:b/>
          <w:noProof/>
        </w:rPr>
        <w:t>T</w:t>
      </w:r>
      <w:r>
        <w:rPr>
          <w:noProof/>
        </w:rPr>
        <w:t xml:space="preserve">: tiesības ierobežot biroja palīgpersonāla darbā iekārtošanas pakalpojumu sniedzēju skaitu (87203). </w:t>
      </w:r>
    </w:p>
    <w:p w:rsidR="003E022D" w:rsidRDefault="007D19D6">
      <w:pPr>
        <w:rPr>
          <w:rFonts w:eastAsia="Calibri" w:cs="Times New Roman"/>
          <w:i/>
          <w:noProof/>
        </w:rPr>
      </w:pPr>
      <w:r>
        <w:rPr>
          <w:i/>
          <w:noProof/>
        </w:rPr>
        <w:t xml:space="preserve">Attiecībā uz ieguldījumu liberalizāciju – piekļuve tirgum, valsts režīms </w:t>
      </w:r>
    </w:p>
    <w:p w:rsidR="003E022D" w:rsidRDefault="007D19D6">
      <w:pPr>
        <w:rPr>
          <w:rFonts w:eastAsia="Calibri" w:cs="Times New Roman"/>
          <w:noProof/>
        </w:rPr>
      </w:pPr>
      <w:r>
        <w:rPr>
          <w:b/>
          <w:noProof/>
        </w:rPr>
        <w:t xml:space="preserve">DE: </w:t>
      </w:r>
      <w:r>
        <w:rPr>
          <w:noProof/>
        </w:rPr>
        <w:t>Federālā darba un sociālo lietu ministrija var izdot noteikumus par tādu dar</w:t>
      </w:r>
      <w:r>
        <w:rPr>
          <w:noProof/>
        </w:rPr>
        <w:t xml:space="preserve">binieku iekārtošanu un pieņemšanu darbā konkrētās profesijās, piemēram, konkrētās profesijās, kuri nav no Eiropas Savienības vai EEZ valstīm (CPC 87201, 87202, 87203, 87204, 87205, 87206, 87209). </w:t>
      </w:r>
    </w:p>
    <w:p w:rsidR="003E022D" w:rsidRDefault="007D19D6">
      <w:pPr>
        <w:rPr>
          <w:rFonts w:eastAsia="Calibri" w:cs="Times New Roman"/>
          <w:b/>
          <w:i/>
          <w:noProof/>
        </w:rPr>
      </w:pPr>
      <w:r>
        <w:rPr>
          <w:b/>
          <w:i/>
          <w:noProof/>
        </w:rPr>
        <w:t>Esošie pasākumi</w:t>
      </w:r>
      <w:r>
        <w:rPr>
          <w:i/>
          <w:noProof/>
        </w:rPr>
        <w:t xml:space="preserve"> </w:t>
      </w:r>
    </w:p>
    <w:p w:rsidR="003E022D" w:rsidRDefault="007D19D6">
      <w:pPr>
        <w:rPr>
          <w:rFonts w:eastAsia="Calibri" w:cs="Times New Roman"/>
          <w:noProof/>
        </w:rPr>
      </w:pPr>
      <w:r>
        <w:rPr>
          <w:b/>
          <w:noProof/>
        </w:rPr>
        <w:t>AT</w:t>
      </w:r>
      <w:r>
        <w:rPr>
          <w:noProof/>
        </w:rPr>
        <w:t>: Austrijas tirdzniecības likuma §§97 un</w:t>
      </w:r>
      <w:r>
        <w:rPr>
          <w:noProof/>
        </w:rPr>
        <w:t xml:space="preserve"> 135 (</w:t>
      </w:r>
      <w:r>
        <w:rPr>
          <w:i/>
          <w:noProof/>
        </w:rPr>
        <w:t>Gewerbeordnung</w:t>
      </w:r>
      <w:r>
        <w:rPr>
          <w:noProof/>
        </w:rPr>
        <w:t xml:space="preserve">), </w:t>
      </w:r>
      <w:r>
        <w:rPr>
          <w:i/>
          <w:noProof/>
        </w:rPr>
        <w:t>Federal Law Gazette</w:t>
      </w:r>
      <w:r>
        <w:rPr>
          <w:noProof/>
        </w:rPr>
        <w:t xml:space="preserve"> Nr. 194/1994, ar grozījumiem; un </w:t>
      </w:r>
    </w:p>
    <w:p w:rsidR="003E022D" w:rsidRDefault="007D19D6">
      <w:pPr>
        <w:rPr>
          <w:rFonts w:eastAsia="Calibri" w:cs="Times New Roman"/>
          <w:noProof/>
        </w:rPr>
      </w:pPr>
      <w:r>
        <w:rPr>
          <w:noProof/>
        </w:rPr>
        <w:t>Pagaidu nodarbinātības likums (</w:t>
      </w:r>
      <w:r>
        <w:rPr>
          <w:i/>
          <w:noProof/>
        </w:rPr>
        <w:t>Arbeitskräfteüberlassungsgesetz/AÜG</w:t>
      </w:r>
      <w:r>
        <w:rPr>
          <w:noProof/>
        </w:rPr>
        <w:t xml:space="preserve">), </w:t>
      </w:r>
      <w:r>
        <w:rPr>
          <w:i/>
          <w:noProof/>
        </w:rPr>
        <w:t>Federal Law Gazette</w:t>
      </w:r>
      <w:r>
        <w:rPr>
          <w:noProof/>
        </w:rPr>
        <w:t xml:space="preserve"> </w:t>
      </w:r>
    </w:p>
    <w:p w:rsidR="003E022D" w:rsidRDefault="007D19D6">
      <w:pPr>
        <w:rPr>
          <w:rFonts w:eastAsia="Calibri" w:cs="Times New Roman"/>
          <w:noProof/>
        </w:rPr>
      </w:pPr>
      <w:r>
        <w:rPr>
          <w:noProof/>
        </w:rPr>
        <w:t xml:space="preserve">Nr. 196/1988, ar grozījumiem. </w:t>
      </w:r>
    </w:p>
    <w:p w:rsidR="003E022D" w:rsidRDefault="007D19D6">
      <w:pPr>
        <w:rPr>
          <w:rFonts w:eastAsia="Calibri" w:cs="Times New Roman"/>
          <w:noProof/>
        </w:rPr>
      </w:pPr>
      <w:r>
        <w:rPr>
          <w:b/>
          <w:noProof/>
        </w:rPr>
        <w:t>BG</w:t>
      </w:r>
      <w:r>
        <w:rPr>
          <w:noProof/>
        </w:rPr>
        <w:t xml:space="preserve">: Nodarbinātības veicināšanas likums, 26., 27., 27.a un </w:t>
      </w:r>
      <w:r>
        <w:rPr>
          <w:noProof/>
        </w:rPr>
        <w:t xml:space="preserve">28. pants. </w:t>
      </w:r>
    </w:p>
    <w:p w:rsidR="003E022D" w:rsidRDefault="007D19D6">
      <w:pPr>
        <w:rPr>
          <w:rFonts w:eastAsia="Calibri" w:cs="Times New Roman"/>
          <w:b/>
          <w:noProof/>
        </w:rPr>
      </w:pPr>
      <w:r>
        <w:rPr>
          <w:b/>
          <w:noProof/>
        </w:rPr>
        <w:t>CY</w:t>
      </w:r>
      <w:r>
        <w:rPr>
          <w:noProof/>
        </w:rPr>
        <w:t xml:space="preserve">: Privāto nodarbinātības aģentūru likums N 126(I)/2012, ar grozījumiem. </w:t>
      </w:r>
    </w:p>
    <w:p w:rsidR="003E022D" w:rsidRDefault="007D19D6">
      <w:pPr>
        <w:rPr>
          <w:rFonts w:eastAsia="Calibri" w:cs="Times New Roman"/>
          <w:noProof/>
        </w:rPr>
      </w:pPr>
      <w:r>
        <w:rPr>
          <w:b/>
          <w:noProof/>
        </w:rPr>
        <w:t>CZ</w:t>
      </w:r>
      <w:r>
        <w:rPr>
          <w:noProof/>
        </w:rPr>
        <w:t xml:space="preserve">: Nodarbinātības likums (435/2004). </w:t>
      </w:r>
    </w:p>
    <w:p w:rsidR="003E022D" w:rsidRDefault="007D19D6">
      <w:pPr>
        <w:rPr>
          <w:rFonts w:eastAsia="Calibri" w:cs="Times New Roman"/>
          <w:noProof/>
        </w:rPr>
      </w:pPr>
      <w:r>
        <w:rPr>
          <w:b/>
          <w:noProof/>
        </w:rPr>
        <w:t>DE</w:t>
      </w:r>
      <w:r>
        <w:rPr>
          <w:noProof/>
        </w:rPr>
        <w:t xml:space="preserve">: Gesetz zur Regelung der Arbeitnehmerüberlassung (AÜG); </w:t>
      </w:r>
    </w:p>
    <w:p w:rsidR="003E022D" w:rsidRDefault="007D19D6">
      <w:pPr>
        <w:rPr>
          <w:rFonts w:eastAsia="Calibri" w:cs="Times New Roman"/>
          <w:noProof/>
        </w:rPr>
      </w:pPr>
      <w:r>
        <w:rPr>
          <w:noProof/>
        </w:rPr>
        <w:t>Sozialgesetzbuch Drittes Buch (SGB III; Sociālā nodrošinājuma kodekss,</w:t>
      </w:r>
      <w:r>
        <w:rPr>
          <w:noProof/>
        </w:rPr>
        <w:t xml:space="preserve"> trešā grāmata) – nodarbinātības veicināšana;</w:t>
      </w:r>
    </w:p>
    <w:p w:rsidR="003E022D" w:rsidRDefault="007D19D6">
      <w:pPr>
        <w:rPr>
          <w:rFonts w:eastAsia="Calibri" w:cs="Times New Roman"/>
          <w:noProof/>
        </w:rPr>
      </w:pPr>
      <w:r>
        <w:rPr>
          <w:noProof/>
        </w:rPr>
        <w:t>Verordnung über die Beschäftigung von Ausländerinnen und Ausländern (BeschV; Rīkojums par ārvalstnieku nodarbināšanu).</w:t>
      </w:r>
    </w:p>
    <w:p w:rsidR="003E022D" w:rsidRDefault="007D19D6">
      <w:pPr>
        <w:rPr>
          <w:rFonts w:eastAsia="Calibri" w:cs="Times New Roman"/>
          <w:noProof/>
        </w:rPr>
      </w:pPr>
      <w:r>
        <w:rPr>
          <w:b/>
          <w:noProof/>
        </w:rPr>
        <w:t>DK</w:t>
      </w:r>
      <w:r>
        <w:rPr>
          <w:noProof/>
        </w:rPr>
        <w:t xml:space="preserve">: 2014. gada 17. janvāra Likumdekrēta Nr. 73 §§ 8a.–8f. un precizēts 2013. gada 7. marta </w:t>
      </w:r>
      <w:r>
        <w:rPr>
          <w:noProof/>
        </w:rPr>
        <w:t xml:space="preserve">Dekrētā Nr. 228 (jūrnieku nodarbinātība); 2006. gada Nodarbinātības atļauju likums. S1(2) un (3). </w:t>
      </w:r>
    </w:p>
    <w:p w:rsidR="003E022D" w:rsidRDefault="007D19D6">
      <w:pPr>
        <w:rPr>
          <w:rFonts w:eastAsia="Calibri" w:cs="Times New Roman"/>
          <w:noProof/>
        </w:rPr>
      </w:pPr>
      <w:r>
        <w:rPr>
          <w:b/>
          <w:noProof/>
        </w:rPr>
        <w:t>EL</w:t>
      </w:r>
      <w:r>
        <w:rPr>
          <w:noProof/>
        </w:rPr>
        <w:t xml:space="preserve">: Likums 4052/2012 (Oficiālais Vēstnesis 41 Α), kura daži noteikumi grozīti ar Likumu Nr. 4093/2012 (Oficiālais Vēstnesis 222 Α). </w:t>
      </w:r>
    </w:p>
    <w:p w:rsidR="003E022D" w:rsidRDefault="007D19D6">
      <w:pPr>
        <w:rPr>
          <w:rFonts w:eastAsia="Calibri" w:cs="Times New Roman"/>
          <w:b/>
          <w:noProof/>
        </w:rPr>
      </w:pPr>
      <w:r>
        <w:rPr>
          <w:b/>
          <w:noProof/>
        </w:rPr>
        <w:t xml:space="preserve">ES: </w:t>
      </w:r>
      <w:r>
        <w:rPr>
          <w:i/>
          <w:noProof/>
        </w:rPr>
        <w:t xml:space="preserve">Real Decreto-ley </w:t>
      </w:r>
      <w:r>
        <w:rPr>
          <w:i/>
          <w:noProof/>
        </w:rPr>
        <w:t>8/2014, de 4 de julio, de aprobación de medidas urgentes para el crecimiento, la competitividad y la eficiencia, artículo 117 (tramitado como Ley 18/2014, de 15 de octubre)</w:t>
      </w:r>
      <w:r>
        <w:rPr>
          <w:noProof/>
        </w:rPr>
        <w:t xml:space="preserve">. </w:t>
      </w:r>
    </w:p>
    <w:p w:rsidR="003E022D" w:rsidRDefault="007D19D6">
      <w:pPr>
        <w:rPr>
          <w:rFonts w:eastAsia="Calibri" w:cs="Times New Roman"/>
          <w:noProof/>
        </w:rPr>
      </w:pPr>
      <w:r>
        <w:rPr>
          <w:b/>
          <w:noProof/>
        </w:rPr>
        <w:t>FI</w:t>
      </w:r>
      <w:r>
        <w:rPr>
          <w:noProof/>
        </w:rPr>
        <w:t xml:space="preserve">: </w:t>
      </w:r>
      <w:r>
        <w:rPr>
          <w:i/>
          <w:noProof/>
        </w:rPr>
        <w:t>Laki</w:t>
      </w:r>
      <w:r>
        <w:rPr>
          <w:b/>
          <w:i/>
          <w:noProof/>
        </w:rPr>
        <w:t xml:space="preserve"> </w:t>
      </w:r>
      <w:r>
        <w:rPr>
          <w:i/>
          <w:noProof/>
        </w:rPr>
        <w:t>julkisesta työvoima-ja yrityspalvelusta</w:t>
      </w:r>
      <w:r>
        <w:rPr>
          <w:noProof/>
        </w:rPr>
        <w:t xml:space="preserve"> (Likums par valsts nodarbinātība</w:t>
      </w:r>
      <w:r>
        <w:rPr>
          <w:noProof/>
        </w:rPr>
        <w:t xml:space="preserve">s un uzņēmumu dienestu) (916/2012) </w:t>
      </w:r>
    </w:p>
    <w:p w:rsidR="003E022D" w:rsidRDefault="007D19D6">
      <w:pPr>
        <w:rPr>
          <w:rFonts w:eastAsia="Calibri" w:cs="Times New Roman"/>
          <w:noProof/>
        </w:rPr>
      </w:pPr>
      <w:r>
        <w:rPr>
          <w:b/>
          <w:noProof/>
        </w:rPr>
        <w:t>HR</w:t>
      </w:r>
      <w:r>
        <w:rPr>
          <w:noProof/>
        </w:rPr>
        <w:t>: Darba tirgus likums (OG 118/18, 32/20);</w:t>
      </w:r>
    </w:p>
    <w:p w:rsidR="003E022D" w:rsidRDefault="007D19D6">
      <w:pPr>
        <w:rPr>
          <w:rFonts w:eastAsia="Calibri" w:cs="Times New Roman"/>
          <w:noProof/>
        </w:rPr>
      </w:pPr>
      <w:r>
        <w:rPr>
          <w:noProof/>
        </w:rPr>
        <w:t>Darba likums (OG 93/14, 127/17, 98/19);</w:t>
      </w:r>
    </w:p>
    <w:p w:rsidR="003E022D" w:rsidRDefault="007D19D6">
      <w:pPr>
        <w:rPr>
          <w:rFonts w:eastAsia="Calibri" w:cs="Times New Roman"/>
          <w:noProof/>
        </w:rPr>
      </w:pPr>
      <w:r>
        <w:rPr>
          <w:noProof/>
        </w:rPr>
        <w:t xml:space="preserve">Ārvalstnieku likums (OG 130/11m 74/13, 67/17, 46/18, 53/20) </w:t>
      </w:r>
    </w:p>
    <w:p w:rsidR="003E022D" w:rsidRDefault="007D19D6">
      <w:pPr>
        <w:rPr>
          <w:rFonts w:eastAsia="Calibri" w:cs="Times New Roman"/>
          <w:noProof/>
        </w:rPr>
      </w:pPr>
      <w:r>
        <w:rPr>
          <w:b/>
          <w:noProof/>
        </w:rPr>
        <w:t>IE</w:t>
      </w:r>
      <w:r>
        <w:rPr>
          <w:noProof/>
        </w:rPr>
        <w:t xml:space="preserve">: 2006. gada Nodarbinātības atļauju likums. S1(2) un (3). </w:t>
      </w:r>
    </w:p>
    <w:p w:rsidR="003E022D" w:rsidRDefault="007D19D6">
      <w:pPr>
        <w:rPr>
          <w:rFonts w:eastAsia="Calibri" w:cs="Times New Roman"/>
          <w:noProof/>
        </w:rPr>
      </w:pPr>
      <w:r>
        <w:rPr>
          <w:b/>
          <w:noProof/>
        </w:rPr>
        <w:t>IT</w:t>
      </w:r>
      <w:r>
        <w:rPr>
          <w:noProof/>
        </w:rPr>
        <w:t>: Likumdošan</w:t>
      </w:r>
      <w:r>
        <w:rPr>
          <w:noProof/>
        </w:rPr>
        <w:t xml:space="preserve">as dekrēts 276/2003, 4. un 5. pants. </w:t>
      </w:r>
    </w:p>
    <w:p w:rsidR="003E022D" w:rsidRDefault="007D19D6">
      <w:pPr>
        <w:rPr>
          <w:rFonts w:eastAsia="Calibri" w:cs="Times New Roman"/>
          <w:noProof/>
        </w:rPr>
      </w:pPr>
      <w:r>
        <w:rPr>
          <w:b/>
          <w:noProof/>
        </w:rPr>
        <w:t>LT</w:t>
      </w:r>
      <w:r>
        <w:rPr>
          <w:noProof/>
        </w:rPr>
        <w:t>: Lietuvas Republikas Darba kodekss, kas apstiprināts ar Lietuvas Republikas 2016. gada 14. septembra Likumu Nr. XII-2603;</w:t>
      </w:r>
    </w:p>
    <w:p w:rsidR="003E022D" w:rsidRDefault="007D19D6">
      <w:pPr>
        <w:rPr>
          <w:rFonts w:eastAsia="Calibri" w:cs="Times New Roman"/>
          <w:noProof/>
        </w:rPr>
      </w:pPr>
      <w:r>
        <w:rPr>
          <w:noProof/>
        </w:rPr>
        <w:t>Lietuvas Republikas 2004. gada 29. aprīļa Likums Nr. IX-2206 par ārvalstnieku juridisko statu</w:t>
      </w:r>
      <w:r>
        <w:rPr>
          <w:noProof/>
        </w:rPr>
        <w:t>su, kurā jaunākie grozījumi izdarīti 2019. gada 3. decembrī ar Likumu Nr. </w:t>
      </w:r>
      <w:hyperlink r:id="rId15" w:tgtFrame="_parent" w:history="1">
        <w:r>
          <w:rPr>
            <w:noProof/>
            <w:color w:val="0000FF"/>
            <w:u w:val="single"/>
          </w:rPr>
          <w:t>XIII-2582</w:t>
        </w:r>
      </w:hyperlink>
      <w:r>
        <w:rPr>
          <w:noProof/>
        </w:rPr>
        <w:t>.</w:t>
      </w:r>
    </w:p>
    <w:p w:rsidR="003E022D" w:rsidRDefault="007D19D6">
      <w:pPr>
        <w:rPr>
          <w:rFonts w:eastAsia="Calibri" w:cs="Times New Roman"/>
          <w:noProof/>
        </w:rPr>
      </w:pPr>
      <w:r>
        <w:rPr>
          <w:b/>
          <w:noProof/>
        </w:rPr>
        <w:t>LU</w:t>
      </w:r>
      <w:r>
        <w:rPr>
          <w:noProof/>
        </w:rPr>
        <w:t xml:space="preserve">: </w:t>
      </w:r>
      <w:r>
        <w:rPr>
          <w:i/>
          <w:noProof/>
        </w:rPr>
        <w:t xml:space="preserve">Loi du 18 janvier 2012 portant création de l'Agence </w:t>
      </w:r>
      <w:r>
        <w:rPr>
          <w:i/>
          <w:noProof/>
        </w:rPr>
        <w:t>pour le développement de l'emploi</w:t>
      </w:r>
      <w:r>
        <w:rPr>
          <w:noProof/>
        </w:rPr>
        <w:t xml:space="preserve"> (2012. gada 18. janvāra Likums par nodarbinātības dienesta (</w:t>
      </w:r>
      <w:r>
        <w:rPr>
          <w:i/>
          <w:noProof/>
        </w:rPr>
        <w:t>ADEM</w:t>
      </w:r>
      <w:r>
        <w:rPr>
          <w:noProof/>
        </w:rPr>
        <w:t xml:space="preserve">) izveidi). </w:t>
      </w:r>
    </w:p>
    <w:p w:rsidR="003E022D" w:rsidRDefault="007D19D6">
      <w:pPr>
        <w:rPr>
          <w:rFonts w:eastAsia="Calibri" w:cs="Times New Roman"/>
          <w:noProof/>
        </w:rPr>
      </w:pPr>
      <w:r>
        <w:rPr>
          <w:b/>
          <w:noProof/>
        </w:rPr>
        <w:t>MT</w:t>
      </w:r>
      <w:r>
        <w:rPr>
          <w:noProof/>
        </w:rPr>
        <w:t xml:space="preserve">: Nodarbinātības un mācību pakalpojumu likums (343. nodaļa) (23.–25. pants); Nodarbinātības dienestu noteikumi (S.L. 343.24). </w:t>
      </w:r>
    </w:p>
    <w:p w:rsidR="003E022D" w:rsidRDefault="007D19D6">
      <w:pPr>
        <w:rPr>
          <w:rFonts w:eastAsia="Calibri" w:cs="Times New Roman"/>
          <w:noProof/>
        </w:rPr>
      </w:pPr>
      <w:r>
        <w:rPr>
          <w:b/>
          <w:noProof/>
        </w:rPr>
        <w:t>PL</w:t>
      </w:r>
      <w:r>
        <w:rPr>
          <w:noProof/>
        </w:rPr>
        <w:t>: 2004. gada 2</w:t>
      </w:r>
      <w:r>
        <w:rPr>
          <w:noProof/>
        </w:rPr>
        <w:t xml:space="preserve">0. aprīļa Likuma par nodarbinātības veicināšanu un darba tirgus iestādēm 18. pants (Dz.U. 2015, 149. poz.,  ar grozījumiem). </w:t>
      </w:r>
    </w:p>
    <w:p w:rsidR="003E022D" w:rsidRDefault="007D19D6">
      <w:pPr>
        <w:rPr>
          <w:rFonts w:eastAsia="Calibri" w:cs="Times New Roman"/>
          <w:noProof/>
        </w:rPr>
      </w:pPr>
      <w:r>
        <w:rPr>
          <w:b/>
          <w:noProof/>
        </w:rPr>
        <w:t>PT</w:t>
      </w:r>
      <w:r>
        <w:rPr>
          <w:noProof/>
        </w:rPr>
        <w:t>: 25. septembra Dekrētlikums Nr. 260/2009, kas grozīts ar 12. februāra Likumu Nr. 5/2014 (darbā iekārtošanās aģentūru pakalpojum</w:t>
      </w:r>
      <w:r>
        <w:rPr>
          <w:noProof/>
        </w:rPr>
        <w:t xml:space="preserve">u sniegšana un pieejamība). </w:t>
      </w:r>
    </w:p>
    <w:p w:rsidR="003E022D" w:rsidRDefault="007D19D6">
      <w:pPr>
        <w:rPr>
          <w:rFonts w:eastAsia="Calibri" w:cs="Times New Roman"/>
          <w:noProof/>
        </w:rPr>
      </w:pPr>
      <w:r>
        <w:rPr>
          <w:b/>
          <w:noProof/>
        </w:rPr>
        <w:t>RO</w:t>
      </w:r>
      <w:r>
        <w:rPr>
          <w:noProof/>
        </w:rPr>
        <w:t>: Likums Nr. 156/2000 par ārvalstīs strādājošu Rumānijas pilsoņu aizsardzību, publicēts atkārtoti, un Valdības lēmums Nr. 384/2001 par metodisko Likuma Nr. 156/2000 piemērošanas normu apstiprināšanu, ar turpmākiem grozījumiem</w:t>
      </w:r>
      <w:r>
        <w:rPr>
          <w:noProof/>
        </w:rPr>
        <w:t xml:space="preserve">;  </w:t>
      </w:r>
    </w:p>
    <w:p w:rsidR="003E022D" w:rsidRDefault="007D19D6">
      <w:pPr>
        <w:rPr>
          <w:rFonts w:eastAsia="Calibri" w:cs="Times New Roman"/>
          <w:noProof/>
        </w:rPr>
      </w:pPr>
      <w:r>
        <w:rPr>
          <w:noProof/>
        </w:rPr>
        <w:t xml:space="preserve">Valdības rīkojums Nr. 277/2002, kas grozīts ar Valdības rīkojumu Nr. 790/2004 un Valdības rīkojumu Nr. 1122/2010; un </w:t>
      </w:r>
    </w:p>
    <w:p w:rsidR="003E022D" w:rsidRDefault="007D19D6">
      <w:pPr>
        <w:rPr>
          <w:rFonts w:eastAsia="Calibri" w:cs="Times New Roman"/>
          <w:noProof/>
        </w:rPr>
      </w:pPr>
      <w:r>
        <w:rPr>
          <w:noProof/>
        </w:rPr>
        <w:t>Likums Nr. 53/2003 – Darba kodekss, publicēts atkārtoti, ar turpmākiem grozījumiem un papildinājumiem un Valdības lēmums Nr. 1256/2011</w:t>
      </w:r>
      <w:r>
        <w:rPr>
          <w:noProof/>
        </w:rPr>
        <w:t xml:space="preserve"> par pagaidu darba aģentūras darbības nosacījumiem un atļaujas procedūru. </w:t>
      </w:r>
    </w:p>
    <w:p w:rsidR="003E022D" w:rsidRDefault="007D19D6">
      <w:pPr>
        <w:rPr>
          <w:rFonts w:eastAsia="Calibri" w:cs="Times New Roman"/>
          <w:noProof/>
        </w:rPr>
      </w:pPr>
      <w:r>
        <w:rPr>
          <w:b/>
          <w:noProof/>
        </w:rPr>
        <w:t>SI</w:t>
      </w:r>
      <w:r>
        <w:rPr>
          <w:noProof/>
        </w:rPr>
        <w:t>: Likums par darba tirgu regulējumu (SR Oficiālais Vēstnesis Nr. 80/2010, 21/2013, 63/2013); Nodarbinātības, pašnodarbinātības un ārvalstnieku likums – ZZSDT (SR Oficiālais Vēstne</w:t>
      </w:r>
      <w:r>
        <w:rPr>
          <w:noProof/>
        </w:rPr>
        <w:t xml:space="preserve">sis Nr. 47/2015). </w:t>
      </w:r>
    </w:p>
    <w:p w:rsidR="003E022D" w:rsidRDefault="007D19D6">
      <w:pPr>
        <w:rPr>
          <w:rFonts w:eastAsia="Calibri" w:cs="Times New Roman"/>
          <w:b/>
          <w:noProof/>
        </w:rPr>
      </w:pPr>
      <w:r>
        <w:rPr>
          <w:noProof/>
        </w:rPr>
        <w:t xml:space="preserve">ZZSDT-UPB2 (SR Oficiālais Vēstnesis, Nr. 1/2018). </w:t>
      </w:r>
    </w:p>
    <w:p w:rsidR="003E022D" w:rsidRDefault="007D19D6">
      <w:pPr>
        <w:rPr>
          <w:rFonts w:eastAsia="Calibri" w:cs="Times New Roman"/>
          <w:noProof/>
        </w:rPr>
      </w:pPr>
      <w:r>
        <w:rPr>
          <w:b/>
          <w:noProof/>
        </w:rPr>
        <w:t>SK</w:t>
      </w:r>
      <w:r>
        <w:rPr>
          <w:noProof/>
        </w:rPr>
        <w:t xml:space="preserve">: Likums Nr. 5/2004 par nodarbinātības dienestu pakalpojumiem; Likums Nr. 455/1991 par tirdzniecības licencēšanu. </w:t>
      </w:r>
    </w:p>
    <w:p w:rsidR="003E022D" w:rsidRDefault="007D19D6">
      <w:pPr>
        <w:rPr>
          <w:rFonts w:eastAsia="Calibri" w:cs="Times New Roman"/>
          <w:b/>
          <w:bCs/>
          <w:noProof/>
        </w:rPr>
      </w:pPr>
      <w:r>
        <w:rPr>
          <w:noProof/>
        </w:rPr>
        <w:br w:type="page"/>
      </w:r>
    </w:p>
    <w:p w:rsidR="003E022D" w:rsidRDefault="007D19D6">
      <w:pPr>
        <w:rPr>
          <w:rFonts w:eastAsia="Calibri" w:cs="Times New Roman"/>
          <w:b/>
          <w:bCs/>
          <w:noProof/>
        </w:rPr>
      </w:pPr>
      <w:bookmarkStart w:id="1202" w:name="_Toc452503971"/>
      <w:bookmarkStart w:id="1203" w:name="_Toc479001633"/>
      <w:bookmarkStart w:id="1204" w:name="_Toc53746607"/>
      <w:bookmarkStart w:id="1205" w:name="_Toc57917473"/>
      <w:r>
        <w:rPr>
          <w:b/>
          <w:bCs/>
          <w:noProof/>
        </w:rPr>
        <w:t>9. atruna. Darījumdarbības pakalpojumi – drošības un izmeklēšanas p</w:t>
      </w:r>
      <w:r>
        <w:rPr>
          <w:b/>
          <w:bCs/>
          <w:noProof/>
        </w:rPr>
        <w:t>akalpojumi</w:t>
      </w:r>
      <w:bookmarkEnd w:id="1202"/>
      <w:bookmarkEnd w:id="1203"/>
      <w:bookmarkEnd w:id="1204"/>
      <w:bookmarkEnd w:id="1205"/>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rPr>
              <w:t>Darījumdarbības pakalpojumi – drošības un izmeklēšanas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87301, 87302, 87303, 87304, 87305, 87309</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 </w:t>
            </w:r>
            <w:r>
              <w:rPr>
                <w:noProof/>
              </w:rPr>
              <w:br/>
            </w:r>
            <w:r>
              <w:rPr>
                <w:noProof/>
              </w:rP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b/>
          <w:i/>
          <w:noProof/>
        </w:rPr>
      </w:pPr>
      <w:r>
        <w:rPr>
          <w:b/>
          <w:bCs/>
          <w:i/>
          <w:noProof/>
        </w:rPr>
        <w:t>a)</w:t>
      </w:r>
      <w:r>
        <w:rPr>
          <w:noProof/>
        </w:rPr>
        <w:tab/>
      </w:r>
      <w:bookmarkStart w:id="1206" w:name="_Toc452503972"/>
      <w:r>
        <w:rPr>
          <w:b/>
          <w:bCs/>
          <w:i/>
          <w:noProof/>
        </w:rPr>
        <w:t xml:space="preserve">Drošības pakalpojumi (CPC 87302, </w:t>
      </w:r>
      <w:r>
        <w:rPr>
          <w:b/>
          <w:bCs/>
          <w:i/>
          <w:noProof/>
        </w:rPr>
        <w:t>87303, 87304, 87305, 87309)</w:t>
      </w:r>
      <w:bookmarkEnd w:id="1206"/>
      <w:r>
        <w:rPr>
          <w:b/>
          <w:i/>
          <w:noProof/>
        </w:rPr>
        <w:t xml:space="preserve"> </w:t>
      </w:r>
    </w:p>
    <w:p w:rsidR="003E022D" w:rsidRDefault="007D19D6">
      <w:pPr>
        <w:rPr>
          <w:rFonts w:eastAsia="Calibri" w:cs="Times New Roman"/>
          <w:noProof/>
          <w:u w:val="single"/>
        </w:rPr>
      </w:pPr>
      <w:r>
        <w:rPr>
          <w:noProof/>
          <w:u w:val="single"/>
        </w:rPr>
        <w:t xml:space="preserve">Attiecībā uz investīciju liberalizāciju – piekļuve tirgum, valsts režīms, augstākā vadība un direktoru padomes, veiktspējas prasības un pakalpojumu pārrobežu tirdzniecība – piekļuve tirgum, valsts režīms </w:t>
      </w:r>
    </w:p>
    <w:p w:rsidR="003E022D" w:rsidRDefault="007D19D6">
      <w:pPr>
        <w:rPr>
          <w:rFonts w:eastAsia="Calibri" w:cs="Times New Roman"/>
          <w:noProof/>
        </w:rPr>
      </w:pPr>
      <w:r>
        <w:rPr>
          <w:b/>
          <w:noProof/>
        </w:rPr>
        <w:t>BG</w:t>
      </w:r>
      <w:r>
        <w:rPr>
          <w:noProof/>
        </w:rPr>
        <w:t xml:space="preserve">, </w:t>
      </w:r>
      <w:r>
        <w:rPr>
          <w:b/>
          <w:noProof/>
        </w:rPr>
        <w:t>CY</w:t>
      </w:r>
      <w:r>
        <w:rPr>
          <w:noProof/>
        </w:rPr>
        <w:t xml:space="preserve">, </w:t>
      </w:r>
      <w:r>
        <w:rPr>
          <w:b/>
          <w:noProof/>
        </w:rPr>
        <w:t>CZ</w:t>
      </w:r>
      <w:r>
        <w:rPr>
          <w:noProof/>
        </w:rPr>
        <w:t xml:space="preserve">, </w:t>
      </w:r>
      <w:r>
        <w:rPr>
          <w:b/>
          <w:noProof/>
        </w:rPr>
        <w:t>EE</w:t>
      </w:r>
      <w:r>
        <w:rPr>
          <w:noProof/>
        </w:rPr>
        <w:t>,</w:t>
      </w:r>
      <w:r>
        <w:rPr>
          <w:b/>
          <w:noProof/>
        </w:rPr>
        <w:t xml:space="preserve"> ES, LT</w:t>
      </w:r>
      <w:r>
        <w:rPr>
          <w:noProof/>
        </w:rPr>
        <w:t xml:space="preserve">, </w:t>
      </w:r>
      <w:r>
        <w:rPr>
          <w:b/>
          <w:noProof/>
        </w:rPr>
        <w:t>LV</w:t>
      </w:r>
      <w:r>
        <w:rPr>
          <w:noProof/>
        </w:rPr>
        <w:t xml:space="preserve">, </w:t>
      </w:r>
      <w:r>
        <w:rPr>
          <w:b/>
          <w:noProof/>
        </w:rPr>
        <w:t>MT</w:t>
      </w:r>
      <w:r>
        <w:rPr>
          <w:noProof/>
        </w:rPr>
        <w:t xml:space="preserve">, </w:t>
      </w:r>
      <w:r>
        <w:rPr>
          <w:b/>
          <w:noProof/>
        </w:rPr>
        <w:t>PL</w:t>
      </w:r>
      <w:r>
        <w:rPr>
          <w:noProof/>
        </w:rPr>
        <w:t xml:space="preserve">, </w:t>
      </w:r>
      <w:r>
        <w:rPr>
          <w:b/>
          <w:noProof/>
        </w:rPr>
        <w:t>RO, SI</w:t>
      </w:r>
      <w:r>
        <w:rPr>
          <w:noProof/>
        </w:rPr>
        <w:t xml:space="preserve"> un</w:t>
      </w:r>
      <w:r>
        <w:rPr>
          <w:b/>
          <w:noProof/>
        </w:rPr>
        <w:t xml:space="preserve"> SK:</w:t>
      </w:r>
      <w:r>
        <w:rPr>
          <w:noProof/>
        </w:rPr>
        <w:t xml:space="preserve"> drošības pakalpojumu sniegšana. </w:t>
      </w:r>
    </w:p>
    <w:p w:rsidR="003E022D" w:rsidRDefault="007D19D6">
      <w:pPr>
        <w:rPr>
          <w:rFonts w:eastAsia="Calibri" w:cs="Times New Roman"/>
          <w:b/>
          <w:noProof/>
        </w:rPr>
      </w:pPr>
      <w:r>
        <w:rPr>
          <w:b/>
          <w:noProof/>
        </w:rPr>
        <w:t>DK</w:t>
      </w:r>
      <w:r>
        <w:rPr>
          <w:noProof/>
        </w:rPr>
        <w:t xml:space="preserve">, </w:t>
      </w:r>
      <w:r>
        <w:rPr>
          <w:b/>
          <w:noProof/>
        </w:rPr>
        <w:t>HR</w:t>
      </w:r>
      <w:r>
        <w:rPr>
          <w:noProof/>
        </w:rPr>
        <w:t xml:space="preserve"> un </w:t>
      </w:r>
      <w:r>
        <w:rPr>
          <w:b/>
          <w:noProof/>
        </w:rPr>
        <w:t>HU:</w:t>
      </w:r>
      <w:r>
        <w:rPr>
          <w:noProof/>
        </w:rPr>
        <w:t xml:space="preserve"> pakalpojumu sniegšana šādās apakšnozarēs: </w:t>
      </w:r>
      <w:r>
        <w:rPr>
          <w:b/>
          <w:noProof/>
        </w:rPr>
        <w:t>HR</w:t>
      </w:r>
      <w:r>
        <w:rPr>
          <w:noProof/>
        </w:rPr>
        <w:t xml:space="preserve"> un </w:t>
      </w:r>
      <w:r>
        <w:rPr>
          <w:b/>
          <w:noProof/>
        </w:rPr>
        <w:t>HU</w:t>
      </w:r>
      <w:r>
        <w:rPr>
          <w:noProof/>
        </w:rPr>
        <w:t xml:space="preserve">: apsardzes pakalpojumi (87305), </w:t>
      </w:r>
      <w:r>
        <w:rPr>
          <w:b/>
          <w:noProof/>
        </w:rPr>
        <w:t>HR</w:t>
      </w:r>
      <w:r>
        <w:rPr>
          <w:noProof/>
        </w:rPr>
        <w:t xml:space="preserve">: drošības konsultāciju pakalpojumi (87302), </w:t>
      </w:r>
      <w:r>
        <w:rPr>
          <w:b/>
          <w:noProof/>
        </w:rPr>
        <w:t>DK</w:t>
      </w:r>
      <w:r>
        <w:rPr>
          <w:noProof/>
        </w:rPr>
        <w:t>: lidostas apsardzes pakalpojumi (daļa no 87305),</w:t>
      </w:r>
      <w:r>
        <w:rPr>
          <w:noProof/>
        </w:rPr>
        <w:t xml:space="preserve"> </w:t>
      </w:r>
      <w:r>
        <w:rPr>
          <w:b/>
          <w:noProof/>
        </w:rPr>
        <w:t>HU</w:t>
      </w:r>
      <w:r>
        <w:rPr>
          <w:noProof/>
        </w:rPr>
        <w:t>: bruņotu transportlīdzekļu pakalpojumi (87304).</w:t>
      </w:r>
      <w:r>
        <w:rPr>
          <w:b/>
          <w:noProof/>
        </w:rPr>
        <w:t xml:space="preserve"> </w:t>
      </w:r>
    </w:p>
    <w:p w:rsidR="003E022D" w:rsidRDefault="007D19D6">
      <w:pPr>
        <w:rPr>
          <w:rFonts w:eastAsia="Calibri" w:cs="Times New Roman"/>
          <w:noProof/>
          <w:u w:val="single"/>
        </w:rPr>
      </w:pPr>
      <w:r>
        <w:rPr>
          <w:noProof/>
          <w:u w:val="single"/>
        </w:rPr>
        <w:t>Attiecībā uz investīciju liberalizāciju – piekļuve tirgum, valsts režīms, augstākā vadība un direktoru padomes un pakalpojumu pārrobežu tirdzniecība – valsts režīms, klātbūtne uz vietas</w:t>
      </w:r>
    </w:p>
    <w:p w:rsidR="003E022D" w:rsidRDefault="007D19D6">
      <w:pPr>
        <w:rPr>
          <w:rFonts w:eastAsia="Calibri" w:cs="Times New Roman"/>
          <w:noProof/>
        </w:rPr>
      </w:pPr>
      <w:r>
        <w:rPr>
          <w:b/>
          <w:noProof/>
        </w:rPr>
        <w:t>BE</w:t>
      </w:r>
      <w:r>
        <w:rPr>
          <w:noProof/>
        </w:rPr>
        <w:t xml:space="preserve">: attiecībā uz </w:t>
      </w:r>
      <w:r>
        <w:rPr>
          <w:noProof/>
        </w:rPr>
        <w:t>apsardzes un drošības pakalpojumiem (87305), kā arī ar drošības pakalpojumiem saistītām konsultācijām un apmācību (87302) juridiskajām personām uzņēmumu direktoru padomēs jābūt dalībvalsts valstspiederīgajiem. Savukārt apsardzes un drošības konsultāciju uz</w:t>
      </w:r>
      <w:r>
        <w:rPr>
          <w:noProof/>
        </w:rPr>
        <w:t>ņēmumu augstākajai vadībai jābūt dalībvalsts valstspiederīgajiem un rezidentiem.</w:t>
      </w:r>
    </w:p>
    <w:p w:rsidR="003E022D" w:rsidRDefault="007D19D6">
      <w:pPr>
        <w:rPr>
          <w:rFonts w:eastAsia="Calibri" w:cs="Times New Roman"/>
          <w:noProof/>
        </w:rPr>
      </w:pPr>
      <w:r>
        <w:rPr>
          <w:b/>
          <w:noProof/>
        </w:rPr>
        <w:t>FI</w:t>
      </w:r>
      <w:r>
        <w:rPr>
          <w:noProof/>
        </w:rPr>
        <w:t xml:space="preserve">: drošības pakalpojumu sniegšanas licences var piešķirt tikai fiziskām personām, kas ir EEZ rezidenti, vai juridiskām personām, kas ir izveidotas EEZ. </w:t>
      </w:r>
    </w:p>
    <w:p w:rsidR="003E022D" w:rsidRDefault="007D19D6">
      <w:pPr>
        <w:rPr>
          <w:rFonts w:eastAsia="Calibri" w:cs="Times New Roman"/>
          <w:noProof/>
        </w:rPr>
      </w:pPr>
      <w:r>
        <w:rPr>
          <w:b/>
          <w:noProof/>
        </w:rPr>
        <w:t>ES</w:t>
      </w:r>
      <w:r>
        <w:rPr>
          <w:noProof/>
        </w:rPr>
        <w:t>: drošības pakalpoj</w:t>
      </w:r>
      <w:r>
        <w:rPr>
          <w:noProof/>
        </w:rPr>
        <w:t>umu pārrobežu sniegšana. Privātajam drošības personālam ir izvirzīta valstspiederības prasība.</w:t>
      </w:r>
    </w:p>
    <w:p w:rsidR="003E022D" w:rsidRDefault="007D19D6">
      <w:pPr>
        <w:rPr>
          <w:rFonts w:eastAsia="Calibri" w:cs="Times New Roman"/>
          <w:noProof/>
          <w:u w:val="single"/>
        </w:rPr>
      </w:pPr>
      <w:r>
        <w:rPr>
          <w:noProof/>
          <w:u w:val="single"/>
        </w:rPr>
        <w:t xml:space="preserve">Attiecībā uz pakalpojumu pārrobežu tirdzniecību – piekļuve tirgum, valsts režīms </w:t>
      </w:r>
    </w:p>
    <w:p w:rsidR="003E022D" w:rsidRDefault="007D19D6">
      <w:pPr>
        <w:rPr>
          <w:rFonts w:eastAsia="Calibri" w:cs="Times New Roman"/>
          <w:noProof/>
        </w:rPr>
      </w:pPr>
      <w:r>
        <w:rPr>
          <w:b/>
          <w:noProof/>
        </w:rPr>
        <w:t>BE</w:t>
      </w:r>
      <w:r>
        <w:rPr>
          <w:noProof/>
        </w:rPr>
        <w:t xml:space="preserve">, </w:t>
      </w:r>
      <w:r>
        <w:rPr>
          <w:b/>
          <w:noProof/>
        </w:rPr>
        <w:t>FI, FR</w:t>
      </w:r>
      <w:r>
        <w:rPr>
          <w:noProof/>
        </w:rPr>
        <w:t xml:space="preserve"> un </w:t>
      </w:r>
      <w:r>
        <w:rPr>
          <w:b/>
          <w:noProof/>
        </w:rPr>
        <w:t>PT</w:t>
      </w:r>
      <w:r>
        <w:rPr>
          <w:noProof/>
        </w:rPr>
        <w:t xml:space="preserve">: ārvalstu pakalpojumu sniedzējiem nav atļauta drošības </w:t>
      </w:r>
      <w:r>
        <w:rPr>
          <w:noProof/>
        </w:rPr>
        <w:t>pakalpojumu pārrobežu sniegšana. Valstspiederības prasības izvirzītas</w:t>
      </w:r>
      <w:r>
        <w:rPr>
          <w:b/>
          <w:noProof/>
        </w:rPr>
        <w:t xml:space="preserve"> </w:t>
      </w:r>
      <w:r>
        <w:rPr>
          <w:noProof/>
        </w:rPr>
        <w:t xml:space="preserve">specializētajam personālam </w:t>
      </w:r>
      <w:r>
        <w:rPr>
          <w:b/>
          <w:noProof/>
        </w:rPr>
        <w:t>PT</w:t>
      </w:r>
      <w:r>
        <w:rPr>
          <w:noProof/>
        </w:rPr>
        <w:t xml:space="preserve"> un rīkotājdirektoriem un direktoriem </w:t>
      </w:r>
      <w:r>
        <w:rPr>
          <w:b/>
          <w:noProof/>
        </w:rPr>
        <w:t>FR</w:t>
      </w:r>
      <w:r>
        <w:rPr>
          <w:noProof/>
        </w:rPr>
        <w:t xml:space="preserve">. </w:t>
      </w:r>
    </w:p>
    <w:p w:rsidR="003E022D" w:rsidRDefault="007D19D6">
      <w:pPr>
        <w:rPr>
          <w:rFonts w:eastAsia="Calibri" w:cs="Times New Roman"/>
          <w:b/>
          <w:i/>
          <w:noProof/>
        </w:rPr>
      </w:pPr>
      <w:r>
        <w:rPr>
          <w:b/>
          <w:i/>
          <w:noProof/>
        </w:rPr>
        <w:t>Esošie pasākumi</w:t>
      </w:r>
      <w:r>
        <w:rPr>
          <w:i/>
          <w:noProof/>
        </w:rPr>
        <w:t xml:space="preserve"> </w:t>
      </w:r>
    </w:p>
    <w:p w:rsidR="003E022D" w:rsidRDefault="007D19D6">
      <w:pPr>
        <w:rPr>
          <w:rFonts w:eastAsia="Calibri" w:cs="Times New Roman"/>
          <w:b/>
          <w:noProof/>
        </w:rPr>
      </w:pPr>
      <w:r>
        <w:rPr>
          <w:b/>
          <w:noProof/>
        </w:rPr>
        <w:t xml:space="preserve">BE: </w:t>
      </w:r>
      <w:r>
        <w:rPr>
          <w:i/>
          <w:noProof/>
        </w:rPr>
        <w:t>Loi réglementant la sécurité privée et particulière, 2 Octobre 2017.</w:t>
      </w:r>
    </w:p>
    <w:p w:rsidR="003E022D" w:rsidRDefault="007D19D6">
      <w:pPr>
        <w:rPr>
          <w:rFonts w:eastAsia="Calibri" w:cs="Times New Roman"/>
          <w:noProof/>
        </w:rPr>
      </w:pPr>
      <w:r>
        <w:rPr>
          <w:b/>
          <w:noProof/>
        </w:rPr>
        <w:t xml:space="preserve">BG: </w:t>
      </w:r>
      <w:r>
        <w:rPr>
          <w:noProof/>
        </w:rPr>
        <w:t>Privātpersonu drošīb</w:t>
      </w:r>
      <w:r>
        <w:rPr>
          <w:noProof/>
        </w:rPr>
        <w:t xml:space="preserve">as darījumdarbības likums. </w:t>
      </w:r>
    </w:p>
    <w:p w:rsidR="003E022D" w:rsidRDefault="007D19D6">
      <w:pPr>
        <w:rPr>
          <w:rFonts w:eastAsia="Calibri" w:cs="Times New Roman"/>
          <w:b/>
          <w:noProof/>
        </w:rPr>
      </w:pPr>
      <w:r>
        <w:rPr>
          <w:b/>
          <w:noProof/>
        </w:rPr>
        <w:t xml:space="preserve">CZ: </w:t>
      </w:r>
      <w:r>
        <w:rPr>
          <w:noProof/>
        </w:rPr>
        <w:t xml:space="preserve">Tirdzniecības licencēšanas likums. </w:t>
      </w:r>
    </w:p>
    <w:p w:rsidR="003E022D" w:rsidRDefault="007D19D6">
      <w:pPr>
        <w:rPr>
          <w:rFonts w:eastAsia="Calibri" w:cs="Times New Roman"/>
          <w:noProof/>
        </w:rPr>
      </w:pPr>
      <w:r>
        <w:rPr>
          <w:b/>
          <w:noProof/>
        </w:rPr>
        <w:t xml:space="preserve">DK: </w:t>
      </w:r>
      <w:r>
        <w:rPr>
          <w:noProof/>
        </w:rPr>
        <w:t xml:space="preserve">Regulējums aviācijas drošības jomā. </w:t>
      </w:r>
    </w:p>
    <w:p w:rsidR="003E022D" w:rsidRDefault="007D19D6">
      <w:pPr>
        <w:rPr>
          <w:rFonts w:eastAsia="Calibri" w:cs="Times New Roman"/>
          <w:noProof/>
        </w:rPr>
      </w:pPr>
      <w:r>
        <w:rPr>
          <w:b/>
          <w:noProof/>
        </w:rPr>
        <w:t xml:space="preserve">FI: </w:t>
      </w:r>
      <w:r>
        <w:rPr>
          <w:i/>
          <w:noProof/>
        </w:rPr>
        <w:t>Laki yksityisistä turvallisuuspalveluista 282/2002</w:t>
      </w:r>
      <w:r>
        <w:rPr>
          <w:noProof/>
        </w:rPr>
        <w:t xml:space="preserve"> (Privāto drošības pakalpojumu likums). </w:t>
      </w:r>
    </w:p>
    <w:p w:rsidR="003E022D" w:rsidRDefault="007D19D6">
      <w:pPr>
        <w:rPr>
          <w:rFonts w:eastAsia="Calibri" w:cs="Times New Roman"/>
          <w:b/>
          <w:noProof/>
        </w:rPr>
      </w:pPr>
      <w:r>
        <w:rPr>
          <w:b/>
          <w:noProof/>
        </w:rPr>
        <w:t xml:space="preserve">LT: </w:t>
      </w:r>
      <w:r>
        <w:rPr>
          <w:noProof/>
        </w:rPr>
        <w:t>2004. gada 8. jūlija Likums par personu un aktīv</w:t>
      </w:r>
      <w:r>
        <w:rPr>
          <w:noProof/>
        </w:rPr>
        <w:t xml:space="preserve">u drošību Nr. IX-2327. </w:t>
      </w:r>
    </w:p>
    <w:p w:rsidR="003E022D" w:rsidRDefault="007D19D6">
      <w:pPr>
        <w:rPr>
          <w:rFonts w:eastAsia="Calibri" w:cs="Times New Roman"/>
          <w:b/>
          <w:noProof/>
        </w:rPr>
      </w:pPr>
      <w:r>
        <w:rPr>
          <w:b/>
          <w:noProof/>
        </w:rPr>
        <w:t xml:space="preserve">LV: </w:t>
      </w:r>
      <w:r>
        <w:rPr>
          <w:noProof/>
        </w:rPr>
        <w:t xml:space="preserve">Apsardzes darbības likums (6., 7. un 14. pants). </w:t>
      </w:r>
    </w:p>
    <w:p w:rsidR="003E022D" w:rsidRDefault="007D19D6">
      <w:pPr>
        <w:rPr>
          <w:rFonts w:eastAsia="Calibri" w:cs="Times New Roman"/>
          <w:noProof/>
        </w:rPr>
      </w:pPr>
      <w:r>
        <w:rPr>
          <w:b/>
          <w:noProof/>
        </w:rPr>
        <w:t>PL</w:t>
      </w:r>
      <w:r>
        <w:rPr>
          <w:noProof/>
        </w:rPr>
        <w:t xml:space="preserve">: 1997. gada 22. augusta Likums par personu un īpašuma aizsardzību (Oficiālais Vēstnesis, 2016, 1432. poz., ar grozījumiem). </w:t>
      </w:r>
    </w:p>
    <w:p w:rsidR="003E022D" w:rsidRDefault="007D19D6">
      <w:pPr>
        <w:rPr>
          <w:rFonts w:eastAsia="Calibri" w:cs="Times New Roman"/>
          <w:noProof/>
        </w:rPr>
      </w:pPr>
      <w:r>
        <w:rPr>
          <w:b/>
          <w:noProof/>
        </w:rPr>
        <w:t xml:space="preserve">PT: </w:t>
      </w:r>
      <w:r>
        <w:rPr>
          <w:noProof/>
        </w:rPr>
        <w:t xml:space="preserve">Likums 34/2013 </w:t>
      </w:r>
      <w:r>
        <w:rPr>
          <w:i/>
          <w:noProof/>
        </w:rPr>
        <w:t>alterada p/Lei 46/2019, 16 maio</w:t>
      </w:r>
      <w:r>
        <w:rPr>
          <w:noProof/>
        </w:rPr>
        <w:t xml:space="preserve">; un Rīkojums 273/2013 </w:t>
      </w:r>
      <w:r>
        <w:rPr>
          <w:i/>
          <w:noProof/>
        </w:rPr>
        <w:t>alterada p/ Portaria 106/2015, 13 abril</w:t>
      </w:r>
      <w:r>
        <w:rPr>
          <w:noProof/>
        </w:rPr>
        <w:t xml:space="preserve">. </w:t>
      </w:r>
    </w:p>
    <w:p w:rsidR="003E022D" w:rsidRDefault="007D19D6">
      <w:pPr>
        <w:rPr>
          <w:rFonts w:eastAsia="Calibri" w:cs="Times New Roman"/>
          <w:noProof/>
        </w:rPr>
      </w:pPr>
      <w:r>
        <w:rPr>
          <w:b/>
          <w:noProof/>
        </w:rPr>
        <w:t>SI:</w:t>
      </w:r>
      <w:r>
        <w:rPr>
          <w:noProof/>
        </w:rPr>
        <w:t xml:space="preserve"> </w:t>
      </w:r>
      <w:r>
        <w:rPr>
          <w:i/>
          <w:noProof/>
        </w:rPr>
        <w:t>Zakon o zasebnem varovanju</w:t>
      </w:r>
      <w:r>
        <w:rPr>
          <w:noProof/>
        </w:rPr>
        <w:t xml:space="preserve"> (Likums par privātpersonu drošību). </w:t>
      </w:r>
    </w:p>
    <w:p w:rsidR="003E022D" w:rsidRDefault="007D19D6">
      <w:pPr>
        <w:rPr>
          <w:rFonts w:eastAsia="Calibri" w:cs="Times New Roman"/>
          <w:b/>
          <w:i/>
          <w:noProof/>
        </w:rPr>
      </w:pPr>
      <w:r>
        <w:rPr>
          <w:b/>
          <w:bCs/>
          <w:i/>
          <w:noProof/>
        </w:rPr>
        <w:t>b)</w:t>
      </w:r>
      <w:r>
        <w:rPr>
          <w:noProof/>
        </w:rPr>
        <w:tab/>
      </w:r>
      <w:bookmarkStart w:id="1207" w:name="_Toc452503973"/>
      <w:r>
        <w:rPr>
          <w:b/>
          <w:bCs/>
          <w:i/>
          <w:noProof/>
        </w:rPr>
        <w:t>Izmeklēšanas pakalpojumi</w:t>
      </w:r>
      <w:bookmarkEnd w:id="1207"/>
      <w:r>
        <w:rPr>
          <w:b/>
          <w:i/>
          <w:noProof/>
        </w:rPr>
        <w:t xml:space="preserve"> (CPC 87301) </w:t>
      </w:r>
    </w:p>
    <w:p w:rsidR="003E022D" w:rsidRDefault="007D19D6">
      <w:pPr>
        <w:rPr>
          <w:rFonts w:eastAsia="Calibri" w:cs="Times New Roman"/>
          <w:noProof/>
          <w:u w:val="single"/>
        </w:rPr>
      </w:pPr>
      <w:r>
        <w:rPr>
          <w:noProof/>
          <w:u w:val="single"/>
        </w:rPr>
        <w:t>Attiecībā uz investīciju liberalizāciju – piekļuve tirgum, valsts režīms, augstākā</w:t>
      </w:r>
      <w:r>
        <w:rPr>
          <w:noProof/>
          <w:u w:val="single"/>
        </w:rPr>
        <w:t xml:space="preserve"> vadība un direktoru padomes, veiktspējas prasības un pakalpojumu pārrobežu tirdzniecība – piekļuve tirgum, valsts režīms, klātbūtne uz vietas </w:t>
      </w:r>
    </w:p>
    <w:p w:rsidR="003E022D" w:rsidRDefault="007D19D6">
      <w:pPr>
        <w:rPr>
          <w:rFonts w:eastAsia="Calibri" w:cs="Times New Roman"/>
          <w:noProof/>
        </w:rPr>
      </w:pPr>
      <w:r>
        <w:rPr>
          <w:b/>
          <w:noProof/>
        </w:rPr>
        <w:t>EU</w:t>
      </w:r>
      <w:r>
        <w:rPr>
          <w:noProof/>
        </w:rPr>
        <w:t xml:space="preserve">, izņemot </w:t>
      </w:r>
      <w:r>
        <w:rPr>
          <w:b/>
          <w:noProof/>
        </w:rPr>
        <w:t>AT un SE</w:t>
      </w:r>
      <w:r>
        <w:rPr>
          <w:noProof/>
        </w:rPr>
        <w:t xml:space="preserve">: izmeklēšanas pakalpojumu sniegšana. </w:t>
      </w:r>
    </w:p>
    <w:p w:rsidR="003E022D" w:rsidRDefault="007D19D6">
      <w:pPr>
        <w:rPr>
          <w:rFonts w:eastAsia="Calibri" w:cs="Times New Roman"/>
          <w:noProof/>
          <w:u w:val="single"/>
        </w:rPr>
      </w:pPr>
      <w:r>
        <w:rPr>
          <w:noProof/>
          <w:u w:val="single"/>
        </w:rPr>
        <w:t>Attiecībā uz investīciju liberalizāciju – piekļuve ti</w:t>
      </w:r>
      <w:r>
        <w:rPr>
          <w:noProof/>
          <w:u w:val="single"/>
        </w:rPr>
        <w:t xml:space="preserve">rgum un pakalpojumu pārrobežu tirdzniecība – piekļuve tirgum </w:t>
      </w:r>
    </w:p>
    <w:p w:rsidR="003E022D" w:rsidRDefault="007D19D6">
      <w:pPr>
        <w:rPr>
          <w:rFonts w:eastAsia="Calibri" w:cs="Times New Roman"/>
          <w:noProof/>
        </w:rPr>
      </w:pPr>
      <w:r>
        <w:rPr>
          <w:b/>
          <w:noProof/>
        </w:rPr>
        <w:t>LT</w:t>
      </w:r>
      <w:r>
        <w:rPr>
          <w:noProof/>
        </w:rPr>
        <w:t xml:space="preserve"> un </w:t>
      </w:r>
      <w:r>
        <w:rPr>
          <w:b/>
          <w:noProof/>
        </w:rPr>
        <w:t xml:space="preserve">PT: </w:t>
      </w:r>
      <w:r>
        <w:rPr>
          <w:noProof/>
        </w:rPr>
        <w:t xml:space="preserve">izmeklēšanas pakalpojumu nozarē pastāv valsts monopols. </w:t>
      </w:r>
    </w:p>
    <w:p w:rsidR="003E022D" w:rsidRDefault="007D19D6">
      <w:pPr>
        <w:rPr>
          <w:rFonts w:eastAsia="Calibri" w:cs="Times New Roman"/>
          <w:b/>
          <w:bCs/>
          <w:noProof/>
        </w:rPr>
      </w:pPr>
      <w:r>
        <w:rPr>
          <w:noProof/>
        </w:rPr>
        <w:t xml:space="preserve"> </w:t>
      </w:r>
      <w:r>
        <w:rPr>
          <w:noProof/>
        </w:rPr>
        <w:br w:type="page"/>
      </w:r>
    </w:p>
    <w:p w:rsidR="003E022D" w:rsidRDefault="007D19D6">
      <w:pPr>
        <w:rPr>
          <w:rFonts w:eastAsia="Calibri" w:cs="Times New Roman"/>
          <w:b/>
          <w:bCs/>
          <w:noProof/>
        </w:rPr>
      </w:pPr>
      <w:bookmarkStart w:id="1208" w:name="_Toc479001634"/>
      <w:bookmarkStart w:id="1209" w:name="_Toc53746608"/>
      <w:bookmarkStart w:id="1210" w:name="_Toc57917474"/>
      <w:r>
        <w:rPr>
          <w:b/>
          <w:bCs/>
          <w:noProof/>
        </w:rPr>
        <w:t>10. atruna. Darījumdarbības pakalpojumi – citi darījumdarbības pakalpojumi</w:t>
      </w:r>
      <w:bookmarkEnd w:id="1208"/>
      <w:bookmarkEnd w:id="1209"/>
      <w:bookmarkEnd w:id="1210"/>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rPr>
              <w:t xml:space="preserve">Darījumdarbības </w:t>
            </w:r>
            <w:r>
              <w:rPr>
                <w:noProof/>
              </w:rPr>
              <w:t>pakalpojumi – citi darījumdarbības pakalpojumi (rakstiskās un mutiskās tulkošanas pakalpojumi, pavairošanas pakalpojumi, ar enerģijas sadali saistīti pakalpojumi un ar ražošanu saistīti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87905, 87904, 884, 887</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w:t>
      </w:r>
      <w:r>
        <w:rPr>
          <w:noProof/>
        </w:rPr>
        <w:t>bas pieņemt vai atstāt spēkā jebkādu pasākumu attiecībā uz turpmāk minēto.</w:t>
      </w:r>
    </w:p>
    <w:p w:rsidR="003E022D" w:rsidRDefault="007D19D6">
      <w:pPr>
        <w:rPr>
          <w:rFonts w:eastAsia="Calibri" w:cs="Times New Roman"/>
          <w:i/>
          <w:noProof/>
        </w:rPr>
      </w:pPr>
      <w:r>
        <w:rPr>
          <w:b/>
          <w:bCs/>
          <w:i/>
          <w:noProof/>
        </w:rPr>
        <w:t>a)</w:t>
      </w:r>
      <w:r>
        <w:rPr>
          <w:noProof/>
        </w:rPr>
        <w:tab/>
      </w:r>
      <w:r>
        <w:rPr>
          <w:b/>
          <w:bCs/>
          <w:i/>
          <w:noProof/>
        </w:rPr>
        <w:t>Rakstiskās un mutiskās tulkošanas pakalpojumi (CPC 87905)</w:t>
      </w:r>
      <w:r>
        <w:rPr>
          <w:i/>
          <w:noProof/>
        </w:rPr>
        <w:t xml:space="preserve"> </w:t>
      </w:r>
    </w:p>
    <w:p w:rsidR="003E022D" w:rsidRDefault="007D19D6">
      <w:pPr>
        <w:rPr>
          <w:rFonts w:eastAsia="Calibri" w:cs="Times New Roman"/>
          <w:noProof/>
          <w:u w:val="single"/>
        </w:rPr>
      </w:pPr>
      <w:r>
        <w:rPr>
          <w:noProof/>
          <w:u w:val="single"/>
        </w:rPr>
        <w:t xml:space="preserve">Attiecībā uz pakalpojumu pārrobežu tirdzniecību – piekļuve tirgum, valsts režīms </w:t>
      </w:r>
    </w:p>
    <w:p w:rsidR="003E022D" w:rsidRDefault="007D19D6">
      <w:pPr>
        <w:rPr>
          <w:rFonts w:eastAsia="Calibri" w:cs="Times New Roman"/>
          <w:noProof/>
        </w:rPr>
      </w:pPr>
      <w:r>
        <w:rPr>
          <w:b/>
          <w:noProof/>
        </w:rPr>
        <w:t>HR</w:t>
      </w:r>
      <w:r>
        <w:rPr>
          <w:noProof/>
        </w:rPr>
        <w:t>: oficiālu dokumentu rakstiskas vai</w:t>
      </w:r>
      <w:r>
        <w:rPr>
          <w:noProof/>
        </w:rPr>
        <w:t xml:space="preserve"> mutiskas tulkošanas pakalpojumu pārrobežu sniegšana. </w:t>
      </w:r>
    </w:p>
    <w:p w:rsidR="003E022D" w:rsidRDefault="007D19D6">
      <w:pPr>
        <w:rPr>
          <w:rFonts w:eastAsia="Calibri" w:cs="Times New Roman"/>
          <w:b/>
          <w:bCs/>
          <w:i/>
          <w:noProof/>
        </w:rPr>
      </w:pPr>
      <w:r>
        <w:rPr>
          <w:b/>
          <w:bCs/>
          <w:i/>
          <w:noProof/>
        </w:rPr>
        <w:t>b)</w:t>
      </w:r>
      <w:r>
        <w:rPr>
          <w:noProof/>
        </w:rPr>
        <w:tab/>
      </w:r>
      <w:r>
        <w:rPr>
          <w:b/>
          <w:bCs/>
          <w:i/>
          <w:noProof/>
        </w:rPr>
        <w:t>Pavairošanas pakalpojumi (CPC 87904)</w:t>
      </w:r>
    </w:p>
    <w:p w:rsidR="003E022D" w:rsidRDefault="007D19D6">
      <w:pPr>
        <w:rPr>
          <w:rFonts w:eastAsia="Calibri" w:cs="Times New Roman"/>
          <w:noProof/>
          <w:u w:val="single"/>
        </w:rPr>
      </w:pPr>
      <w:r>
        <w:rPr>
          <w:noProof/>
          <w:u w:val="single"/>
        </w:rPr>
        <w:t xml:space="preserve">Attiecībā uz pakalpojumu pārrobežu tirdzniecību – piekļuve tirgum, valsts režīms, klātbūtne uz vietas </w:t>
      </w:r>
    </w:p>
    <w:p w:rsidR="003E022D" w:rsidRDefault="007D19D6">
      <w:pPr>
        <w:rPr>
          <w:rFonts w:eastAsia="Calibri" w:cs="Times New Roman"/>
          <w:noProof/>
        </w:rPr>
      </w:pPr>
      <w:r>
        <w:rPr>
          <w:b/>
          <w:noProof/>
        </w:rPr>
        <w:t>HU</w:t>
      </w:r>
      <w:r>
        <w:rPr>
          <w:noProof/>
        </w:rPr>
        <w:t>: pavairošanas pakalpojumu pārrobežu sniegšana.</w:t>
      </w:r>
    </w:p>
    <w:p w:rsidR="003E022D" w:rsidRDefault="007D19D6">
      <w:pPr>
        <w:rPr>
          <w:rFonts w:eastAsia="Calibri" w:cs="Times New Roman"/>
          <w:b/>
          <w:bCs/>
          <w:i/>
          <w:noProof/>
        </w:rPr>
      </w:pPr>
      <w:r>
        <w:rPr>
          <w:b/>
          <w:bCs/>
          <w:i/>
          <w:noProof/>
        </w:rPr>
        <w:t>c)</w:t>
      </w:r>
      <w:r>
        <w:rPr>
          <w:noProof/>
        </w:rPr>
        <w:tab/>
      </w:r>
      <w:r>
        <w:rPr>
          <w:b/>
          <w:bCs/>
          <w:i/>
          <w:noProof/>
        </w:rPr>
        <w:t xml:space="preserve">Ar </w:t>
      </w:r>
      <w:r>
        <w:rPr>
          <w:b/>
          <w:bCs/>
          <w:i/>
          <w:noProof/>
        </w:rPr>
        <w:t>enerģijas sadali saistīti pakalpojumi un ar ražošanu saistīti pakalpojumi (daļa no CPC 884, 887</w:t>
      </w:r>
      <w:r>
        <w:rPr>
          <w:i/>
          <w:noProof/>
        </w:rPr>
        <w:t xml:space="preserve">, </w:t>
      </w:r>
      <w:r>
        <w:rPr>
          <w:b/>
          <w:bCs/>
          <w:i/>
          <w:noProof/>
        </w:rPr>
        <w:t xml:space="preserve">izņemot padomdevēju un konsultāciju pakalpojumus) </w:t>
      </w:r>
    </w:p>
    <w:p w:rsidR="003E022D" w:rsidRDefault="007D19D6">
      <w:pPr>
        <w:rPr>
          <w:rFonts w:eastAsia="Calibri" w:cs="Times New Roman"/>
          <w:noProof/>
          <w:u w:val="single"/>
        </w:rPr>
      </w:pPr>
      <w:r>
        <w:rPr>
          <w:noProof/>
          <w:u w:val="single"/>
        </w:rPr>
        <w:t>Attiecībā uz investīciju liberalizāciju – piekļuve tirgum, valsts režīms, augstākā vadība un direktoru padom</w:t>
      </w:r>
      <w:r>
        <w:rPr>
          <w:noProof/>
          <w:u w:val="single"/>
        </w:rPr>
        <w:t xml:space="preserve">es un pakalpojumu pārrobežu tirdzniecība – piekļuve tirgum, valsts režīms, klātbūtne uz vietas </w:t>
      </w:r>
    </w:p>
    <w:p w:rsidR="003E022D" w:rsidRDefault="007D19D6">
      <w:pPr>
        <w:rPr>
          <w:rFonts w:eastAsia="Calibri" w:cs="Times New Roman"/>
          <w:noProof/>
        </w:rPr>
      </w:pPr>
      <w:r>
        <w:rPr>
          <w:b/>
          <w:noProof/>
        </w:rPr>
        <w:t>HU</w:t>
      </w:r>
      <w:r>
        <w:rPr>
          <w:noProof/>
        </w:rPr>
        <w:t>: ar enerģijas sadali saistīti pakalpojumi un ar ražošanu saistītu pakalpojumu pārrobežu sniegšana, izņemot ar šīm nozarēm saistītus padomdevēju un konsultāci</w:t>
      </w:r>
      <w:r>
        <w:rPr>
          <w:noProof/>
        </w:rPr>
        <w:t xml:space="preserve">ju pakalpojumus. </w:t>
      </w:r>
    </w:p>
    <w:p w:rsidR="003E022D" w:rsidRDefault="007D19D6">
      <w:pPr>
        <w:rPr>
          <w:rFonts w:eastAsia="Calibri" w:cs="Times New Roman"/>
          <w:b/>
          <w:i/>
          <w:noProof/>
        </w:rPr>
      </w:pPr>
      <w:r>
        <w:rPr>
          <w:b/>
          <w:i/>
          <w:noProof/>
        </w:rPr>
        <w:t>d)</w:t>
      </w:r>
      <w:r>
        <w:rPr>
          <w:noProof/>
        </w:rPr>
        <w:tab/>
      </w:r>
      <w:r>
        <w:rPr>
          <w:b/>
          <w:bCs/>
          <w:i/>
          <w:noProof/>
        </w:rPr>
        <w:t>Kuģu, dzelzceļa transporta aprīkojuma un gaisa kuģu un to daļu apkope un remonts</w:t>
      </w:r>
      <w:r>
        <w:rPr>
          <w:b/>
          <w:i/>
          <w:noProof/>
        </w:rPr>
        <w:t xml:space="preserve"> (daļa no CPC 86764, CPC 86769, CPC 8868) </w:t>
      </w:r>
    </w:p>
    <w:p w:rsidR="003E022D" w:rsidRDefault="007D19D6">
      <w:pPr>
        <w:rPr>
          <w:rFonts w:eastAsia="Calibri" w:cs="Times New Roman"/>
          <w:noProof/>
          <w:u w:val="single"/>
        </w:rPr>
      </w:pPr>
      <w:r>
        <w:rPr>
          <w:noProof/>
          <w:u w:val="single"/>
        </w:rPr>
        <w:t xml:space="preserve">Attiecībā uz pakalpojumu pārrobežu tirdzniecību – piekļuve tirgum, valsts režīms, klātbūtne uz vietas </w:t>
      </w:r>
    </w:p>
    <w:p w:rsidR="003E022D" w:rsidRDefault="007D19D6">
      <w:pPr>
        <w:rPr>
          <w:rFonts w:eastAsia="Calibri" w:cs="Times New Roman"/>
          <w:noProof/>
        </w:rPr>
      </w:pPr>
      <w:r>
        <w:rPr>
          <w:b/>
          <w:noProof/>
        </w:rPr>
        <w:t>EU</w:t>
      </w:r>
      <w:r>
        <w:rPr>
          <w:noProof/>
        </w:rPr>
        <w:t>, izņem</w:t>
      </w:r>
      <w:r>
        <w:rPr>
          <w:noProof/>
        </w:rPr>
        <w:t xml:space="preserve">ot </w:t>
      </w:r>
      <w:r>
        <w:rPr>
          <w:b/>
          <w:noProof/>
        </w:rPr>
        <w:t>DE, EE</w:t>
      </w:r>
      <w:r>
        <w:rPr>
          <w:noProof/>
        </w:rPr>
        <w:t xml:space="preserve"> un </w:t>
      </w:r>
      <w:r>
        <w:rPr>
          <w:b/>
          <w:noProof/>
        </w:rPr>
        <w:t>HU</w:t>
      </w:r>
      <w:r>
        <w:rPr>
          <w:noProof/>
        </w:rPr>
        <w:t xml:space="preserve">: dzelzceļa transporta aprīkojuma apkopes un remonta pakalpojumu pārrobežu sniegšana. </w:t>
      </w:r>
    </w:p>
    <w:p w:rsidR="003E022D" w:rsidRDefault="007D19D6">
      <w:pPr>
        <w:rPr>
          <w:rFonts w:eastAsia="Calibri" w:cs="Times New Roman"/>
          <w:noProof/>
        </w:rPr>
      </w:pPr>
      <w:r>
        <w:rPr>
          <w:b/>
          <w:noProof/>
        </w:rPr>
        <w:t>EU</w:t>
      </w:r>
      <w:r>
        <w:rPr>
          <w:noProof/>
        </w:rPr>
        <w:t xml:space="preserve">, izņemot </w:t>
      </w:r>
      <w:r>
        <w:rPr>
          <w:b/>
          <w:noProof/>
        </w:rPr>
        <w:t>CZ, EE, HU, LU</w:t>
      </w:r>
      <w:r>
        <w:rPr>
          <w:noProof/>
        </w:rPr>
        <w:t xml:space="preserve"> un </w:t>
      </w:r>
      <w:r>
        <w:rPr>
          <w:b/>
          <w:noProof/>
        </w:rPr>
        <w:t>SK</w:t>
      </w:r>
      <w:r>
        <w:rPr>
          <w:noProof/>
        </w:rPr>
        <w:t xml:space="preserve">: iekšējo ūdensceļu pārvadājumiem paredzētu kuģu apkopes un remonta pakalpojumu pārrobežu sniegšana. </w:t>
      </w:r>
    </w:p>
    <w:p w:rsidR="003E022D" w:rsidRDefault="007D19D6">
      <w:pPr>
        <w:rPr>
          <w:rFonts w:eastAsia="Calibri" w:cs="Times New Roman"/>
          <w:noProof/>
        </w:rPr>
      </w:pPr>
      <w:r>
        <w:rPr>
          <w:b/>
          <w:noProof/>
        </w:rPr>
        <w:t>EU</w:t>
      </w:r>
      <w:r>
        <w:rPr>
          <w:noProof/>
        </w:rPr>
        <w:t xml:space="preserve">, izņemot </w:t>
      </w:r>
      <w:r>
        <w:rPr>
          <w:b/>
          <w:noProof/>
        </w:rPr>
        <w:t>EE, HU</w:t>
      </w:r>
      <w:r>
        <w:rPr>
          <w:noProof/>
        </w:rPr>
        <w:t xml:space="preserve"> u</w:t>
      </w:r>
      <w:r>
        <w:rPr>
          <w:noProof/>
        </w:rPr>
        <w:t xml:space="preserve">n </w:t>
      </w:r>
      <w:r>
        <w:rPr>
          <w:b/>
          <w:noProof/>
        </w:rPr>
        <w:t>LV:</w:t>
      </w:r>
      <w:r>
        <w:rPr>
          <w:noProof/>
        </w:rPr>
        <w:t xml:space="preserve"> jūras kuģu apkopes un remonta pakalpojumu pārrobežu sniegšana. </w:t>
      </w:r>
    </w:p>
    <w:p w:rsidR="003E022D" w:rsidRDefault="007D19D6">
      <w:pPr>
        <w:rPr>
          <w:rFonts w:eastAsia="Calibri" w:cs="Times New Roman"/>
          <w:noProof/>
        </w:rPr>
      </w:pPr>
      <w:r>
        <w:rPr>
          <w:b/>
          <w:noProof/>
        </w:rPr>
        <w:t>EU</w:t>
      </w:r>
      <w:r>
        <w:rPr>
          <w:noProof/>
        </w:rPr>
        <w:t xml:space="preserve">, izņemot </w:t>
      </w:r>
      <w:r>
        <w:rPr>
          <w:b/>
          <w:noProof/>
        </w:rPr>
        <w:t>AT, EE, HU, LV</w:t>
      </w:r>
      <w:r>
        <w:rPr>
          <w:noProof/>
        </w:rPr>
        <w:t xml:space="preserve"> un </w:t>
      </w:r>
      <w:r>
        <w:rPr>
          <w:b/>
          <w:noProof/>
        </w:rPr>
        <w:t>PL</w:t>
      </w:r>
      <w:r>
        <w:rPr>
          <w:noProof/>
        </w:rPr>
        <w:t xml:space="preserve">: gaisa kuģu un to daļu apkopes un remonta pakalpojumu pārrobežu sniegšana (daļa no CPC 86764, CPC 86769, CPC 8868). </w:t>
      </w:r>
    </w:p>
    <w:p w:rsidR="003E022D" w:rsidRDefault="007D19D6">
      <w:pPr>
        <w:rPr>
          <w:rFonts w:eastAsia="Calibri" w:cs="Times New Roman"/>
          <w:b/>
          <w:noProof/>
        </w:rPr>
      </w:pPr>
      <w:r>
        <w:rPr>
          <w:b/>
          <w:noProof/>
        </w:rPr>
        <w:t>EU</w:t>
      </w:r>
      <w:r>
        <w:rPr>
          <w:noProof/>
        </w:rPr>
        <w:t>: kuģu obligātās apskates un serti</w:t>
      </w:r>
      <w:r>
        <w:rPr>
          <w:noProof/>
        </w:rPr>
        <w:t>fikācijas pakalpojumu pārrobežu sniegšana.</w:t>
      </w:r>
      <w:r>
        <w:rPr>
          <w:b/>
          <w:noProof/>
        </w:rPr>
        <w:t xml:space="preserve">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EU</w:t>
      </w:r>
      <w:r>
        <w:rPr>
          <w:noProof/>
        </w:rPr>
        <w:t>: Eiropas Parlamenta un Padomes Regula (EK) Nr. 391/2009 (2009. gada 23. aprīlis) par kopīgiem noteikumiem un standartiem attiecībā uz organizācijām, kas pilnvarotas veikt kuģu inspekcijas un a</w:t>
      </w:r>
      <w:r>
        <w:rPr>
          <w:noProof/>
        </w:rPr>
        <w:t xml:space="preserve">pskates. </w:t>
      </w:r>
    </w:p>
    <w:p w:rsidR="003E022D" w:rsidRDefault="007D19D6">
      <w:pPr>
        <w:rPr>
          <w:rFonts w:eastAsia="Calibri" w:cs="Times New Roman"/>
          <w:b/>
          <w:bCs/>
          <w:i/>
          <w:noProof/>
        </w:rPr>
      </w:pPr>
      <w:r>
        <w:rPr>
          <w:b/>
          <w:bCs/>
          <w:i/>
          <w:noProof/>
        </w:rPr>
        <w:t>e)</w:t>
      </w:r>
      <w:r>
        <w:rPr>
          <w:noProof/>
        </w:rPr>
        <w:tab/>
      </w:r>
      <w:r>
        <w:rPr>
          <w:b/>
          <w:bCs/>
          <w:i/>
          <w:noProof/>
        </w:rPr>
        <w:t>Citi ar aviāciju saistīti darījumdarbības pakalpojumi</w:t>
      </w:r>
    </w:p>
    <w:p w:rsidR="003E022D" w:rsidRDefault="007D19D6">
      <w:pPr>
        <w:rPr>
          <w:rFonts w:eastAsia="Calibri" w:cs="Times New Roman"/>
          <w:noProof/>
          <w:u w:val="single"/>
        </w:rPr>
      </w:pPr>
      <w:r>
        <w:rPr>
          <w:noProof/>
          <w:u w:val="single"/>
        </w:rPr>
        <w:t xml:space="preserve">Attiecībā uz investīciju liberalizāciju – lielākās labvēlības režīms un pakalpojumu pārrobežu tirdzniecība – lielākās labvēlības režīms </w:t>
      </w:r>
    </w:p>
    <w:p w:rsidR="003E022D" w:rsidRDefault="007D19D6">
      <w:pPr>
        <w:rPr>
          <w:rFonts w:eastAsia="Calibri" w:cs="Times New Roman"/>
          <w:noProof/>
        </w:rPr>
      </w:pPr>
      <w:r>
        <w:rPr>
          <w:b/>
          <w:noProof/>
        </w:rPr>
        <w:t>EU</w:t>
      </w:r>
      <w:r>
        <w:rPr>
          <w:noProof/>
        </w:rPr>
        <w:t>:</w:t>
      </w:r>
      <w:r>
        <w:rPr>
          <w:b/>
          <w:noProof/>
        </w:rPr>
        <w:t xml:space="preserve"> </w:t>
      </w:r>
      <w:r>
        <w:rPr>
          <w:noProof/>
        </w:rPr>
        <w:t xml:space="preserve">atšķirīga režīma nodrošināšana trešai valstij, ievērojot esošus vai turpmākus divpusējus nolīgumus par šādiem pakalpojumiem: </w:t>
      </w:r>
    </w:p>
    <w:p w:rsidR="003E022D" w:rsidRDefault="007D19D6">
      <w:pPr>
        <w:rPr>
          <w:rFonts w:eastAsia="Calibri" w:cs="Times New Roman"/>
          <w:noProof/>
        </w:rPr>
      </w:pPr>
      <w:r>
        <w:rPr>
          <w:noProof/>
        </w:rPr>
        <w:t xml:space="preserve">a) gaisa pārvadājumu pakalpojumu pārdošana un tirgzinība; </w:t>
      </w:r>
    </w:p>
    <w:p w:rsidR="003E022D" w:rsidRDefault="007D19D6">
      <w:pPr>
        <w:rPr>
          <w:rFonts w:eastAsia="Calibri" w:cs="Times New Roman"/>
          <w:noProof/>
        </w:rPr>
      </w:pPr>
      <w:r>
        <w:rPr>
          <w:noProof/>
        </w:rPr>
        <w:t xml:space="preserve">b) datorizētas rezervēšanas sistēmas (DRS) pakalpojumi; </w:t>
      </w:r>
    </w:p>
    <w:p w:rsidR="003E022D" w:rsidRDefault="007D19D6">
      <w:pPr>
        <w:rPr>
          <w:rFonts w:eastAsia="Calibri" w:cs="Times New Roman"/>
          <w:noProof/>
        </w:rPr>
      </w:pPr>
      <w:r>
        <w:rPr>
          <w:noProof/>
        </w:rPr>
        <w:t xml:space="preserve">c) gaisa kuģu </w:t>
      </w:r>
      <w:r>
        <w:rPr>
          <w:noProof/>
        </w:rPr>
        <w:t xml:space="preserve">un to daļu apkope un remonts; </w:t>
      </w:r>
    </w:p>
    <w:p w:rsidR="003E022D" w:rsidRDefault="007D19D6">
      <w:pPr>
        <w:rPr>
          <w:rFonts w:eastAsia="Calibri" w:cs="Times New Roman"/>
          <w:noProof/>
        </w:rPr>
      </w:pPr>
      <w:r>
        <w:rPr>
          <w:noProof/>
        </w:rPr>
        <w:t xml:space="preserve">d) gaisa kuģu bez apkalpes noma vai izpirkumnoma. </w:t>
      </w:r>
    </w:p>
    <w:p w:rsidR="003E022D" w:rsidRDefault="007D19D6">
      <w:pPr>
        <w:rPr>
          <w:rFonts w:eastAsia="Calibri" w:cs="Times New Roman"/>
          <w:iCs/>
          <w:noProof/>
          <w:u w:val="single"/>
        </w:rPr>
      </w:pPr>
      <w:r>
        <w:rPr>
          <w:noProof/>
          <w:u w:val="single"/>
        </w:rPr>
        <w:t>Attiecībā uz investīciju liberalizāciju – piekļuve tirgum, valsts režīms, veiktspējas prasības, augstākā vadība un direktoru padomes un pakalpojumu pārrobežu tirdzniecība – p</w:t>
      </w:r>
      <w:r>
        <w:rPr>
          <w:noProof/>
          <w:u w:val="single"/>
        </w:rPr>
        <w:t xml:space="preserve">iekļuve tirgum, valsts režīms, klātbūtne uz vietas </w:t>
      </w:r>
    </w:p>
    <w:p w:rsidR="003E022D" w:rsidRDefault="007D19D6">
      <w:pPr>
        <w:rPr>
          <w:rFonts w:eastAsia="Calibri" w:cs="Times New Roman"/>
          <w:noProof/>
        </w:rPr>
      </w:pPr>
      <w:r>
        <w:rPr>
          <w:b/>
          <w:noProof/>
        </w:rPr>
        <w:t>DE, FR:</w:t>
      </w:r>
      <w:r>
        <w:rPr>
          <w:noProof/>
        </w:rPr>
        <w:t xml:space="preserve"> lidojumi ugunsgrēku dzēšanai no gaisa, mācību lidojumi, apsmidzināšana, mērniecība, kartēšana, fotografēšana un citi gaisā veikti pakalpojumi lauksaimniecības, rūpniecības un inspekcijas vajadzībā</w:t>
      </w:r>
      <w:r>
        <w:rPr>
          <w:noProof/>
        </w:rPr>
        <w:t xml:space="preserve">m;   </w:t>
      </w:r>
    </w:p>
    <w:p w:rsidR="003E022D" w:rsidRDefault="007D19D6">
      <w:pPr>
        <w:rPr>
          <w:rFonts w:eastAsia="Calibri" w:cs="Times New Roman"/>
          <w:noProof/>
        </w:rPr>
      </w:pPr>
      <w:r>
        <w:rPr>
          <w:b/>
          <w:noProof/>
        </w:rPr>
        <w:t>FI, SE</w:t>
      </w:r>
      <w:r>
        <w:rPr>
          <w:noProof/>
        </w:rPr>
        <w:t>: lidojumi ugunsgrēku dzēšanai no gaisa.</w:t>
      </w:r>
    </w:p>
    <w:p w:rsidR="003E022D" w:rsidRDefault="007D19D6">
      <w:pPr>
        <w:spacing w:after="160" w:line="259" w:lineRule="auto"/>
        <w:jc w:val="left"/>
        <w:rPr>
          <w:rFonts w:eastAsia="Calibri" w:cs="Times New Roman"/>
          <w:b/>
          <w:bCs/>
          <w:noProof/>
        </w:rPr>
      </w:pPr>
      <w:bookmarkStart w:id="1211" w:name="_Toc452503974"/>
      <w:bookmarkStart w:id="1212" w:name="_Toc479001635"/>
      <w:bookmarkStart w:id="1213" w:name="_Toc53746609"/>
      <w:bookmarkStart w:id="1214" w:name="_Toc57917475"/>
      <w:r>
        <w:rPr>
          <w:noProof/>
        </w:rPr>
        <w:br w:type="page"/>
      </w:r>
    </w:p>
    <w:p w:rsidR="003E022D" w:rsidRDefault="007D19D6">
      <w:pPr>
        <w:rPr>
          <w:rFonts w:eastAsia="Calibri" w:cs="Times New Roman"/>
          <w:b/>
          <w:bCs/>
          <w:noProof/>
        </w:rPr>
      </w:pPr>
      <w:r>
        <w:rPr>
          <w:b/>
          <w:bCs/>
          <w:noProof/>
        </w:rPr>
        <w:t>11. atruna. Telesakari</w:t>
      </w:r>
      <w:bookmarkEnd w:id="1211"/>
      <w:bookmarkEnd w:id="1212"/>
      <w:bookmarkEnd w:id="1213"/>
      <w:bookmarkEnd w:id="1214"/>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Satelīta pārraides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Daļa no CPC 861, daļa no 87902, 862, 863, 8671, 8672, 8673, 8674, daļa no 879</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r>
            <w:r>
              <w:rPr>
                <w:noProof/>
              </w:rPr>
              <w:t xml:space="preserve">Valsts režīms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w:t>
      </w:r>
    </w:p>
    <w:p w:rsidR="003E022D" w:rsidRDefault="007D19D6">
      <w:pPr>
        <w:rPr>
          <w:rFonts w:eastAsia="Calibri" w:cs="Times New Roman"/>
          <w:noProof/>
        </w:rPr>
      </w:pPr>
      <w:r>
        <w:rPr>
          <w:b/>
          <w:noProof/>
        </w:rPr>
        <w:t>BE:</w:t>
      </w:r>
      <w:r>
        <w:rPr>
          <w:noProof/>
        </w:rPr>
        <w:t xml:space="preserve"> satelīta pārraides pakalpojumi. </w:t>
      </w:r>
    </w:p>
    <w:p w:rsidR="003E022D" w:rsidRDefault="007D19D6">
      <w:pPr>
        <w:rPr>
          <w:rFonts w:eastAsia="Calibri" w:cs="Times New Roman"/>
          <w:b/>
          <w:bCs/>
          <w:noProof/>
        </w:rPr>
      </w:pPr>
      <w:r>
        <w:rPr>
          <w:noProof/>
        </w:rPr>
        <w:br w:type="page"/>
      </w:r>
    </w:p>
    <w:p w:rsidR="003E022D" w:rsidRDefault="007D19D6">
      <w:pPr>
        <w:rPr>
          <w:rFonts w:eastAsia="Calibri" w:cs="Times New Roman"/>
          <w:b/>
          <w:bCs/>
          <w:noProof/>
        </w:rPr>
      </w:pPr>
      <w:bookmarkStart w:id="1215" w:name="_Toc479001636"/>
      <w:bookmarkStart w:id="1216" w:name="_Toc53746610"/>
      <w:bookmarkStart w:id="1217" w:name="_Toc57917476"/>
      <w:r>
        <w:rPr>
          <w:b/>
          <w:bCs/>
          <w:noProof/>
        </w:rPr>
        <w:t>12. atruna. Būvniecība</w:t>
      </w:r>
      <w:bookmarkEnd w:id="1215"/>
      <w:bookmarkEnd w:id="1216"/>
      <w:bookmarkEnd w:id="1217"/>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Būvniecības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51</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noProof/>
        </w:rPr>
      </w:pPr>
      <w:r>
        <w:rPr>
          <w:b/>
          <w:noProof/>
        </w:rPr>
        <w:t>LT</w:t>
      </w:r>
      <w:r>
        <w:rPr>
          <w:noProof/>
        </w:rPr>
        <w:t>: tiesības sagatavot sevišķi svarīgu būvdarbu projekta dokumentāciju piešķir tikai Lietuvā reģistrētam projektēšanas uzņēmumam vai tādam ārvalstu projektēšanas uzņēmu</w:t>
      </w:r>
      <w:r>
        <w:rPr>
          <w:noProof/>
        </w:rPr>
        <w:t xml:space="preserve">mam, ko minēto darbību veikšanai apstiprinājusi valdības pilnvarota iestāde. Tiesības veikt tehniskās darbības galvenajās būvniecības jomās var piešķirt ārvalstniekam, ko ir apstiprinājusi Lietuvas valdības pilnvarota iestāde. </w:t>
      </w:r>
    </w:p>
    <w:p w:rsidR="003E022D" w:rsidRDefault="007D19D6">
      <w:pPr>
        <w:rPr>
          <w:rFonts w:eastAsia="Calibri" w:cs="Times New Roman"/>
          <w:b/>
          <w:bCs/>
          <w:noProof/>
        </w:rPr>
      </w:pPr>
      <w:r>
        <w:rPr>
          <w:noProof/>
        </w:rPr>
        <w:t xml:space="preserve"> </w:t>
      </w:r>
      <w:r>
        <w:rPr>
          <w:noProof/>
        </w:rPr>
        <w:br w:type="page"/>
      </w:r>
      <w:bookmarkStart w:id="1218" w:name="_Toc452503975"/>
      <w:bookmarkStart w:id="1219" w:name="_Toc479001637"/>
    </w:p>
    <w:p w:rsidR="003E022D" w:rsidRDefault="007D19D6">
      <w:pPr>
        <w:rPr>
          <w:rFonts w:eastAsia="Calibri" w:cs="Times New Roman"/>
          <w:b/>
          <w:bCs/>
          <w:noProof/>
        </w:rPr>
      </w:pPr>
      <w:bookmarkStart w:id="1220" w:name="_Toc53746611"/>
      <w:bookmarkStart w:id="1221" w:name="_Toc57917477"/>
      <w:r>
        <w:rPr>
          <w:b/>
          <w:bCs/>
          <w:noProof/>
        </w:rPr>
        <w:t xml:space="preserve">13. atruna. Izplatīšanas </w:t>
      </w:r>
      <w:r>
        <w:rPr>
          <w:b/>
          <w:bCs/>
          <w:noProof/>
        </w:rPr>
        <w:t>pakalpojumi</w:t>
      </w:r>
      <w:bookmarkEnd w:id="1218"/>
      <w:bookmarkEnd w:id="1219"/>
      <w:bookmarkEnd w:id="1220"/>
      <w:bookmarkEnd w:id="1221"/>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Izplatīšanas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62117, 62251, 8929, daļa no 62112, 62226, daļa no 631</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 </w:t>
            </w:r>
            <w:r>
              <w:rPr>
                <w:noProof/>
              </w:rPr>
              <w:br/>
              <w:t xml:space="preserve">Veiktspējas prasības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 xml:space="preserve">Investīciju </w:t>
            </w:r>
            <w:r>
              <w:rPr>
                <w:noProof/>
              </w:rPr>
              <w:t>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i/>
          <w:noProof/>
        </w:rPr>
      </w:pPr>
      <w:bookmarkStart w:id="1222" w:name="_Toc452503976"/>
      <w:r>
        <w:rPr>
          <w:b/>
          <w:bCs/>
          <w:i/>
          <w:noProof/>
        </w:rPr>
        <w:t>a) Zāļu izplatīšana</w:t>
      </w:r>
      <w:bookmarkEnd w:id="1222"/>
      <w:r>
        <w:rPr>
          <w:b/>
          <w:bCs/>
          <w:i/>
          <w:noProof/>
        </w:rPr>
        <w:t xml:space="preserve"> </w:t>
      </w:r>
    </w:p>
    <w:p w:rsidR="003E022D" w:rsidRDefault="007D19D6">
      <w:pPr>
        <w:rPr>
          <w:rFonts w:eastAsia="Calibri" w:cs="Times New Roman"/>
          <w:iCs/>
          <w:noProof/>
          <w:u w:val="single"/>
        </w:rPr>
      </w:pPr>
      <w:r>
        <w:rPr>
          <w:iCs/>
          <w:noProof/>
          <w:u w:val="single"/>
        </w:rPr>
        <w:t>Attiecībā uz pakalpojumu pārrobežu tirdzniecību – piekļuve tirgum, valsts režīms</w:t>
      </w:r>
      <w:r>
        <w:rPr>
          <w:noProof/>
          <w:u w:val="single"/>
        </w:rPr>
        <w:t xml:space="preserve"> </w:t>
      </w:r>
    </w:p>
    <w:p w:rsidR="003E022D" w:rsidRDefault="007D19D6">
      <w:pPr>
        <w:rPr>
          <w:rFonts w:eastAsia="Calibri" w:cs="Times New Roman"/>
          <w:noProof/>
        </w:rPr>
      </w:pPr>
      <w:r>
        <w:rPr>
          <w:b/>
          <w:noProof/>
        </w:rPr>
        <w:t xml:space="preserve">BG: </w:t>
      </w:r>
      <w:r>
        <w:rPr>
          <w:noProof/>
        </w:rPr>
        <w:t xml:space="preserve">zāļu pārrobežu izplatīšana vairumtirdzniecībai (CPC 62251). </w:t>
      </w:r>
    </w:p>
    <w:p w:rsidR="003E022D" w:rsidRDefault="007D19D6">
      <w:pPr>
        <w:rPr>
          <w:rFonts w:eastAsia="Calibri" w:cs="Times New Roman"/>
          <w:iCs/>
          <w:noProof/>
          <w:u w:val="single"/>
        </w:rPr>
      </w:pPr>
      <w:r>
        <w:rPr>
          <w:noProof/>
          <w:u w:val="single"/>
        </w:rPr>
        <w:t>Attiecībā uz investīciju liberalizāciju – piekļuve tirgum, valsts režīms, veiktspējas prasības, augstākā vadība un direktoru padomes un pakalpojumu pārrobežu tirdzniecība – piekļuve tirgum,</w:t>
      </w:r>
      <w:r>
        <w:rPr>
          <w:noProof/>
          <w:u w:val="single"/>
        </w:rPr>
        <w:t xml:space="preserve"> valsts režīms </w:t>
      </w:r>
    </w:p>
    <w:p w:rsidR="003E022D" w:rsidRDefault="007D19D6">
      <w:pPr>
        <w:rPr>
          <w:rFonts w:eastAsia="Calibri" w:cs="Times New Roman"/>
          <w:noProof/>
        </w:rPr>
      </w:pPr>
      <w:r>
        <w:rPr>
          <w:b/>
          <w:noProof/>
        </w:rPr>
        <w:t>FI</w:t>
      </w:r>
      <w:r>
        <w:rPr>
          <w:noProof/>
        </w:rPr>
        <w:t xml:space="preserve">: zāļu izplatīšana (CPC 62117, 62251, 8929). </w:t>
      </w:r>
    </w:p>
    <w:p w:rsidR="003E022D" w:rsidRDefault="007D19D6">
      <w:pPr>
        <w:rPr>
          <w:rFonts w:eastAsia="Calibri" w:cs="Times New Roman"/>
          <w:b/>
          <w:bCs/>
          <w:i/>
          <w:noProof/>
        </w:rPr>
      </w:pPr>
      <w:r>
        <w:rPr>
          <w:b/>
          <w:bCs/>
          <w:i/>
          <w:noProof/>
        </w:rPr>
        <w:t>Esošie pasākumi</w:t>
      </w:r>
      <w:r>
        <w:rPr>
          <w:i/>
          <w:noProof/>
        </w:rPr>
        <w:t xml:space="preserve"> </w:t>
      </w:r>
    </w:p>
    <w:p w:rsidR="003E022D" w:rsidRDefault="007D19D6">
      <w:pPr>
        <w:rPr>
          <w:rFonts w:eastAsia="Calibri" w:cs="Times New Roman"/>
          <w:noProof/>
        </w:rPr>
      </w:pPr>
      <w:r>
        <w:rPr>
          <w:b/>
          <w:bCs/>
          <w:noProof/>
        </w:rPr>
        <w:t xml:space="preserve">BG: </w:t>
      </w:r>
      <w:r>
        <w:rPr>
          <w:noProof/>
        </w:rPr>
        <w:t xml:space="preserve">Likums par cilvēkiem paredzētām zālēm; Likums par medicīniskām ierīcēm. </w:t>
      </w:r>
    </w:p>
    <w:p w:rsidR="003E022D" w:rsidRDefault="007D19D6">
      <w:pPr>
        <w:rPr>
          <w:rFonts w:eastAsia="Calibri" w:cs="Times New Roman"/>
          <w:noProof/>
        </w:rPr>
      </w:pPr>
      <w:r>
        <w:rPr>
          <w:b/>
          <w:bCs/>
          <w:noProof/>
        </w:rPr>
        <w:t>FI:</w:t>
      </w:r>
      <w:r>
        <w:rPr>
          <w:noProof/>
        </w:rPr>
        <w:t xml:space="preserve"> </w:t>
      </w:r>
      <w:r>
        <w:rPr>
          <w:i/>
          <w:noProof/>
        </w:rPr>
        <w:t>Lääkelaki</w:t>
      </w:r>
      <w:r>
        <w:rPr>
          <w:noProof/>
        </w:rPr>
        <w:t xml:space="preserve"> (Medicīnas likums) (395/1987). </w:t>
      </w:r>
    </w:p>
    <w:p w:rsidR="003E022D" w:rsidRDefault="007D19D6">
      <w:pPr>
        <w:rPr>
          <w:rFonts w:eastAsia="Calibri" w:cs="Times New Roman"/>
          <w:i/>
          <w:noProof/>
        </w:rPr>
      </w:pPr>
      <w:r>
        <w:rPr>
          <w:b/>
          <w:i/>
          <w:noProof/>
        </w:rPr>
        <w:t>b)</w:t>
      </w:r>
      <w:r>
        <w:rPr>
          <w:b/>
          <w:bCs/>
          <w:i/>
          <w:noProof/>
        </w:rPr>
        <w:t xml:space="preserve"> </w:t>
      </w:r>
      <w:bookmarkStart w:id="1223" w:name="_Toc452503977"/>
      <w:r>
        <w:rPr>
          <w:noProof/>
        </w:rPr>
        <w:tab/>
      </w:r>
      <w:r>
        <w:rPr>
          <w:b/>
          <w:bCs/>
          <w:i/>
          <w:noProof/>
        </w:rPr>
        <w:t>Alkoholisko dzērienu izplatīšana</w:t>
      </w:r>
      <w:bookmarkEnd w:id="1223"/>
      <w:r>
        <w:rPr>
          <w:i/>
          <w:noProof/>
        </w:rPr>
        <w:t xml:space="preserve"> </w:t>
      </w:r>
    </w:p>
    <w:p w:rsidR="003E022D" w:rsidRDefault="007D19D6">
      <w:pPr>
        <w:rPr>
          <w:rFonts w:eastAsia="Calibri" w:cs="Times New Roman"/>
          <w:noProof/>
        </w:rPr>
      </w:pPr>
      <w:r>
        <w:rPr>
          <w:b/>
          <w:noProof/>
        </w:rPr>
        <w:t>FI</w:t>
      </w:r>
      <w:r>
        <w:rPr>
          <w:noProof/>
        </w:rPr>
        <w:t xml:space="preserve">: alkoholisko dzērienu izplatīšana (daļa no CPC 62112, 62226, 63107, 8929). </w:t>
      </w:r>
    </w:p>
    <w:p w:rsidR="003E022D" w:rsidRDefault="007D19D6">
      <w:pPr>
        <w:rPr>
          <w:rFonts w:eastAsia="Calibri" w:cs="Times New Roman"/>
          <w:b/>
          <w:bCs/>
          <w:i/>
          <w:noProof/>
        </w:rPr>
      </w:pPr>
      <w:r>
        <w:rPr>
          <w:b/>
          <w:bCs/>
          <w:i/>
          <w:noProof/>
        </w:rPr>
        <w:t>Esošie pasākumi</w:t>
      </w:r>
      <w:r>
        <w:rPr>
          <w:i/>
          <w:noProof/>
        </w:rPr>
        <w:t xml:space="preserve"> </w:t>
      </w:r>
    </w:p>
    <w:p w:rsidR="003E022D" w:rsidRDefault="007D19D6">
      <w:pPr>
        <w:rPr>
          <w:rFonts w:eastAsia="Calibri" w:cs="Times New Roman"/>
          <w:noProof/>
        </w:rPr>
      </w:pPr>
      <w:r>
        <w:rPr>
          <w:b/>
          <w:bCs/>
          <w:noProof/>
        </w:rPr>
        <w:t>FI:</w:t>
      </w:r>
      <w:r>
        <w:rPr>
          <w:noProof/>
        </w:rPr>
        <w:t xml:space="preserve"> </w:t>
      </w:r>
      <w:r>
        <w:rPr>
          <w:i/>
          <w:noProof/>
        </w:rPr>
        <w:t>Alkoholilaki</w:t>
      </w:r>
      <w:r>
        <w:rPr>
          <w:noProof/>
        </w:rPr>
        <w:t xml:space="preserve"> (Alkohola likums) (1102/2017). </w:t>
      </w:r>
    </w:p>
    <w:p w:rsidR="003E022D" w:rsidRDefault="007D19D6">
      <w:pPr>
        <w:rPr>
          <w:rFonts w:eastAsia="Calibri" w:cs="Times New Roman"/>
          <w:noProof/>
          <w:u w:val="single"/>
        </w:rPr>
      </w:pPr>
      <w:r>
        <w:rPr>
          <w:noProof/>
          <w:u w:val="single"/>
        </w:rPr>
        <w:t xml:space="preserve">Attiecībā uz investīciju liberalizāciju – piekļuve tirgum un pakalpojumu pārrobežu tirdzniecība – piekļuve tirgum </w:t>
      </w:r>
    </w:p>
    <w:p w:rsidR="003E022D" w:rsidRDefault="007D19D6">
      <w:pPr>
        <w:rPr>
          <w:rFonts w:eastAsia="Calibri" w:cs="Times New Roman"/>
          <w:noProof/>
        </w:rPr>
      </w:pPr>
      <w:r>
        <w:rPr>
          <w:b/>
          <w:noProof/>
        </w:rPr>
        <w:t>SE</w:t>
      </w:r>
      <w:r>
        <w:rPr>
          <w:noProof/>
        </w:rPr>
        <w:t xml:space="preserve">: noteikts monopols alkoholisko dzērienu, vīna un alus (izņemot bezalkoholisko alu) mazumtirdzniecībā. </w:t>
      </w:r>
      <w:r>
        <w:rPr>
          <w:i/>
          <w:noProof/>
        </w:rPr>
        <w:t>Systembolaget AB</w:t>
      </w:r>
      <w:r>
        <w:rPr>
          <w:noProof/>
        </w:rPr>
        <w:t xml:space="preserve"> patlaban pieder šād</w:t>
      </w:r>
      <w:r>
        <w:rPr>
          <w:noProof/>
        </w:rPr>
        <w:t xml:space="preserve">a veida valsts monopols alkoholisko dzērienu, vīna un alus (izņemot bezalkoholisko alu) mazumtirdzniecībā. Alkoholiskie dzērieni ir dzērieni ar spirta saturu virs 2,25 tilp. %. Alum spirta satura robežvērtība pārsniedz 3,5 tilp. % (daļa no CPC 631). </w:t>
      </w:r>
    </w:p>
    <w:p w:rsidR="003E022D" w:rsidRDefault="007D19D6">
      <w:pPr>
        <w:rPr>
          <w:rFonts w:eastAsia="Calibri" w:cs="Times New Roman"/>
          <w:b/>
          <w:bCs/>
          <w:i/>
          <w:noProof/>
        </w:rPr>
      </w:pPr>
      <w:r>
        <w:rPr>
          <w:b/>
          <w:bCs/>
          <w:i/>
          <w:noProof/>
        </w:rPr>
        <w:t>Esoši</w:t>
      </w:r>
      <w:r>
        <w:rPr>
          <w:b/>
          <w:bCs/>
          <w:i/>
          <w:noProof/>
        </w:rPr>
        <w:t>e pasākumi</w:t>
      </w:r>
      <w:r>
        <w:rPr>
          <w:i/>
          <w:noProof/>
        </w:rPr>
        <w:t xml:space="preserve"> </w:t>
      </w:r>
    </w:p>
    <w:p w:rsidR="003E022D" w:rsidRDefault="007D19D6">
      <w:pPr>
        <w:rPr>
          <w:rFonts w:eastAsia="Calibri" w:cs="Times New Roman"/>
          <w:noProof/>
        </w:rPr>
      </w:pPr>
      <w:r>
        <w:rPr>
          <w:b/>
          <w:noProof/>
        </w:rPr>
        <w:t>SE</w:t>
      </w:r>
      <w:r>
        <w:rPr>
          <w:noProof/>
        </w:rPr>
        <w:t xml:space="preserve">: Alkohola likums (2010:1622). </w:t>
      </w:r>
    </w:p>
    <w:p w:rsidR="003E022D" w:rsidRDefault="007D19D6">
      <w:pPr>
        <w:rPr>
          <w:rFonts w:eastAsia="Calibri" w:cs="Times New Roman"/>
          <w:b/>
          <w:bCs/>
          <w:i/>
          <w:noProof/>
        </w:rPr>
      </w:pPr>
      <w:r>
        <w:rPr>
          <w:b/>
          <w:i/>
          <w:noProof/>
        </w:rPr>
        <w:t>c)</w:t>
      </w:r>
      <w:r>
        <w:rPr>
          <w:b/>
          <w:bCs/>
          <w:i/>
          <w:noProof/>
        </w:rPr>
        <w:t xml:space="preserve"> </w:t>
      </w:r>
      <w:r>
        <w:rPr>
          <w:noProof/>
        </w:rPr>
        <w:tab/>
      </w:r>
      <w:r>
        <w:rPr>
          <w:b/>
          <w:bCs/>
          <w:i/>
          <w:noProof/>
        </w:rPr>
        <w:t xml:space="preserve">Cita izplatīšana (daļa no CPC 621, CPC 62228, CPC 62251, CPC 62271, daļa no CPC 62272, CPC 62276, CPC 63108, daļa no CPC 6329) </w:t>
      </w:r>
    </w:p>
    <w:p w:rsidR="003E022D" w:rsidRDefault="007D19D6">
      <w:pPr>
        <w:rPr>
          <w:rFonts w:eastAsia="Calibri" w:cs="Times New Roman"/>
          <w:noProof/>
          <w:u w:val="single"/>
        </w:rPr>
      </w:pPr>
      <w:r>
        <w:rPr>
          <w:noProof/>
          <w:u w:val="single"/>
        </w:rPr>
        <w:t>Attiecībā uz pakalpojumu pārrobežu tirdzniecību – piekļuve tirgum, valsts režī</w:t>
      </w:r>
      <w:r>
        <w:rPr>
          <w:noProof/>
          <w:u w:val="single"/>
        </w:rPr>
        <w:t xml:space="preserve">ms </w:t>
      </w:r>
    </w:p>
    <w:p w:rsidR="003E022D" w:rsidRDefault="007D19D6">
      <w:pPr>
        <w:rPr>
          <w:rFonts w:eastAsia="Calibri" w:cs="Times New Roman"/>
          <w:noProof/>
        </w:rPr>
      </w:pPr>
      <w:r>
        <w:rPr>
          <w:b/>
          <w:noProof/>
        </w:rPr>
        <w:t>BG:</w:t>
      </w:r>
      <w:r>
        <w:rPr>
          <w:noProof/>
        </w:rPr>
        <w:t xml:space="preserve"> ķīmisku produktu, dārgmetālu un dārgakmeņu, medicīnisku vielu un produktu un priekšmetu vairumtirdzniecība; tabaka un tabakas izstrādājumi un alkoholiskie dzērieni. </w:t>
      </w:r>
    </w:p>
    <w:p w:rsidR="003E022D" w:rsidRDefault="007D19D6">
      <w:pPr>
        <w:rPr>
          <w:rFonts w:eastAsia="Calibri" w:cs="Times New Roman"/>
          <w:noProof/>
        </w:rPr>
      </w:pPr>
      <w:r>
        <w:rPr>
          <w:noProof/>
        </w:rPr>
        <w:t>Bulgārija patur tiesības pieņemt vai atstāt spēkā jebkādu pasākumu attiecībā uz pr</w:t>
      </w:r>
      <w:r>
        <w:rPr>
          <w:noProof/>
        </w:rPr>
        <w:t xml:space="preserve">eču starpnieku pakalpojumiem. </w:t>
      </w:r>
    </w:p>
    <w:p w:rsidR="003E022D" w:rsidRDefault="007D19D6">
      <w:pPr>
        <w:rPr>
          <w:rFonts w:eastAsia="Calibri" w:cs="Times New Roman"/>
          <w:b/>
          <w:i/>
          <w:noProof/>
        </w:rPr>
      </w:pPr>
      <w:r>
        <w:rPr>
          <w:b/>
          <w:i/>
          <w:noProof/>
        </w:rPr>
        <w:t>Esošie pasākumi</w:t>
      </w:r>
      <w:r>
        <w:rPr>
          <w:i/>
          <w:noProof/>
        </w:rPr>
        <w:t xml:space="preserve"> </w:t>
      </w:r>
    </w:p>
    <w:p w:rsidR="003E022D" w:rsidRDefault="007D19D6">
      <w:pPr>
        <w:rPr>
          <w:rFonts w:eastAsia="Calibri" w:cs="Times New Roman"/>
          <w:noProof/>
        </w:rPr>
      </w:pPr>
      <w:r>
        <w:rPr>
          <w:b/>
          <w:noProof/>
        </w:rPr>
        <w:t>BG:</w:t>
      </w:r>
      <w:r>
        <w:rPr>
          <w:noProof/>
        </w:rPr>
        <w:t xml:space="preserve"> Likums par cilvēkiem paredzētām zālēm; </w:t>
      </w:r>
    </w:p>
    <w:p w:rsidR="003E022D" w:rsidRDefault="007D19D6">
      <w:pPr>
        <w:rPr>
          <w:rFonts w:eastAsia="Calibri" w:cs="Times New Roman"/>
          <w:noProof/>
        </w:rPr>
      </w:pPr>
      <w:r>
        <w:rPr>
          <w:noProof/>
        </w:rPr>
        <w:t>Likums par medicīniskām ierīcēm;</w:t>
      </w:r>
    </w:p>
    <w:p w:rsidR="003E022D" w:rsidRDefault="007D19D6">
      <w:pPr>
        <w:rPr>
          <w:rFonts w:eastAsia="Calibri" w:cs="Times New Roman"/>
          <w:noProof/>
        </w:rPr>
      </w:pPr>
      <w:r>
        <w:rPr>
          <w:noProof/>
        </w:rPr>
        <w:t xml:space="preserve">Likums par veterinārmedicīnu; </w:t>
      </w:r>
    </w:p>
    <w:p w:rsidR="003E022D" w:rsidRDefault="007D19D6">
      <w:pPr>
        <w:rPr>
          <w:rFonts w:eastAsia="Calibri" w:cs="Times New Roman"/>
          <w:noProof/>
        </w:rPr>
      </w:pPr>
      <w:r>
        <w:rPr>
          <w:noProof/>
        </w:rPr>
        <w:t xml:space="preserve">Likums par ķīmisko ieroču aizliegšanu un toksisku ķīmisku vielu un to prekursoru kontroli; </w:t>
      </w:r>
    </w:p>
    <w:p w:rsidR="003E022D" w:rsidRDefault="007D19D6">
      <w:pPr>
        <w:rPr>
          <w:rFonts w:eastAsia="Calibri" w:cs="Times New Roman"/>
          <w:noProof/>
        </w:rPr>
      </w:pPr>
      <w:r>
        <w:rPr>
          <w:noProof/>
        </w:rPr>
        <w:t>Likums p</w:t>
      </w:r>
      <w:r>
        <w:rPr>
          <w:noProof/>
        </w:rPr>
        <w:t>ar tabaku un tabakas izstrādājumiem; Likums par akcīzes nodokļiem un akcīzes preču noliktavām un Likums par vīnu un stiprajiem alkoholiskajiem dzērieniem.</w:t>
      </w:r>
    </w:p>
    <w:p w:rsidR="003E022D" w:rsidRDefault="007D19D6">
      <w:pPr>
        <w:rPr>
          <w:rFonts w:eastAsia="Calibri" w:cs="Times New Roman"/>
          <w:b/>
          <w:bCs/>
          <w:noProof/>
        </w:rPr>
      </w:pPr>
      <w:bookmarkStart w:id="1224" w:name="_Toc452503978"/>
      <w:r>
        <w:rPr>
          <w:noProof/>
        </w:rPr>
        <w:t xml:space="preserve"> </w:t>
      </w:r>
      <w:r>
        <w:rPr>
          <w:noProof/>
        </w:rPr>
        <w:br w:type="page"/>
      </w:r>
    </w:p>
    <w:p w:rsidR="003E022D" w:rsidRDefault="007D19D6">
      <w:pPr>
        <w:rPr>
          <w:rFonts w:eastAsia="Calibri" w:cs="Times New Roman"/>
          <w:b/>
          <w:bCs/>
          <w:noProof/>
        </w:rPr>
      </w:pPr>
      <w:bookmarkStart w:id="1225" w:name="_Toc53746612"/>
      <w:bookmarkStart w:id="1226" w:name="_Toc57917478"/>
      <w:bookmarkStart w:id="1227" w:name="_Toc479001638"/>
      <w:r>
        <w:rPr>
          <w:b/>
          <w:bCs/>
          <w:noProof/>
        </w:rPr>
        <w:t>14. atruna. Izglītības pakalpojumi</w:t>
      </w:r>
      <w:bookmarkEnd w:id="1224"/>
      <w:bookmarkEnd w:id="1225"/>
      <w:bookmarkEnd w:id="1226"/>
      <w:bookmarkEnd w:id="1227"/>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Izglītības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92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w:t>
      </w:r>
      <w:r>
        <w:rPr>
          <w:noProof/>
        </w:rPr>
        <w:t xml:space="preserve"> jebkādu pasākumu attiecībā uz turpmāk minēto. </w:t>
      </w:r>
    </w:p>
    <w:p w:rsidR="003E022D" w:rsidRDefault="007D19D6">
      <w:pPr>
        <w:rPr>
          <w:rFonts w:eastAsia="Calibri" w:cs="Times New Roman"/>
          <w:iCs/>
          <w:noProof/>
          <w:u w:val="single"/>
        </w:rPr>
      </w:pPr>
      <w:r>
        <w:rPr>
          <w:noProof/>
          <w:u w:val="single"/>
        </w:rPr>
        <w:t>Attiecībā uz investīciju liberalizāciju – piekļuve tirgum, valsts režīms, veiktspējas prasības, augstākā vadība un direktoru padomes un pakalpojumu pārrobežu tirdzniecība – piekļuve tirgum, valsts režīms, klā</w:t>
      </w:r>
      <w:r>
        <w:rPr>
          <w:noProof/>
          <w:u w:val="single"/>
        </w:rPr>
        <w:t xml:space="preserve">tbūtne uz vietas </w:t>
      </w:r>
    </w:p>
    <w:p w:rsidR="003E022D" w:rsidRDefault="007D19D6">
      <w:pPr>
        <w:rPr>
          <w:rFonts w:eastAsia="Calibri" w:cs="Times New Roman"/>
          <w:noProof/>
        </w:rPr>
      </w:pPr>
      <w:r>
        <w:rPr>
          <w:b/>
          <w:noProof/>
        </w:rPr>
        <w:t>EU</w:t>
      </w:r>
      <w:r>
        <w:rPr>
          <w:noProof/>
        </w:rPr>
        <w:t>: izglītības pakalpojumi, kas saņem publisko finansējumu vai jebkāda veida valsts atbalstu. Ja ārvalstu pakalpojumu sniedzējam ir atļauts sniegt privāti finansētus izglītības pakalpojumus, izglītības sistēmas īstenošanā, iespējams, varē</w:t>
      </w:r>
      <w:r>
        <w:rPr>
          <w:noProof/>
        </w:rPr>
        <w:t xml:space="preserve">s piedalīties tādi privāti uzņēmumi, kas saņēmuši bez diskriminācijas piešķirtu koncesiju. </w:t>
      </w:r>
    </w:p>
    <w:p w:rsidR="003E022D" w:rsidRDefault="007D19D6">
      <w:pPr>
        <w:rPr>
          <w:rFonts w:eastAsia="Calibri" w:cs="Times New Roman"/>
          <w:bCs/>
          <w:noProof/>
        </w:rPr>
      </w:pPr>
      <w:r>
        <w:rPr>
          <w:b/>
          <w:noProof/>
        </w:rPr>
        <w:t>EU,</w:t>
      </w:r>
      <w:r>
        <w:rPr>
          <w:noProof/>
        </w:rPr>
        <w:t xml:space="preserve"> izņemot </w:t>
      </w:r>
      <w:r>
        <w:rPr>
          <w:b/>
          <w:noProof/>
        </w:rPr>
        <w:t>CZ, NL, SE</w:t>
      </w:r>
      <w:r>
        <w:rPr>
          <w:noProof/>
        </w:rPr>
        <w:t xml:space="preserve"> un</w:t>
      </w:r>
      <w:r>
        <w:rPr>
          <w:b/>
          <w:noProof/>
        </w:rPr>
        <w:t xml:space="preserve"> SK</w:t>
      </w:r>
      <w:r>
        <w:rPr>
          <w:noProof/>
        </w:rPr>
        <w:t>: attiecībā uz privāti finansētu cita veida tādu izglītības pakalpojumu sniegšanu, kas neietver pakalpojumus, kurus klasificē kā pamatiz</w:t>
      </w:r>
      <w:r>
        <w:rPr>
          <w:noProof/>
        </w:rPr>
        <w:t xml:space="preserve">glītības, vidējās izglītības, augstākās izglītības un pieaugušo izglītības pakalpojumus (CPC 929). </w:t>
      </w:r>
    </w:p>
    <w:p w:rsidR="003E022D" w:rsidRDefault="007D19D6">
      <w:pPr>
        <w:rPr>
          <w:rFonts w:eastAsia="Calibri" w:cs="Times New Roman"/>
          <w:noProof/>
        </w:rPr>
      </w:pPr>
      <w:r>
        <w:rPr>
          <w:b/>
          <w:noProof/>
        </w:rPr>
        <w:t>CY, FI, MT</w:t>
      </w:r>
      <w:r>
        <w:rPr>
          <w:noProof/>
        </w:rPr>
        <w:t xml:space="preserve"> un </w:t>
      </w:r>
      <w:r>
        <w:rPr>
          <w:b/>
          <w:noProof/>
        </w:rPr>
        <w:t>RO</w:t>
      </w:r>
      <w:r>
        <w:rPr>
          <w:noProof/>
        </w:rPr>
        <w:t xml:space="preserve">: privāti finansētu pamatizglītības, vidējās izglītības un pieaugušo izglītības pakalpojumu sniegšana (CPC 921, 922, 924). </w:t>
      </w:r>
    </w:p>
    <w:p w:rsidR="003E022D" w:rsidRDefault="007D19D6">
      <w:pPr>
        <w:rPr>
          <w:rFonts w:eastAsia="Calibri" w:cs="Times New Roman"/>
          <w:noProof/>
        </w:rPr>
      </w:pPr>
      <w:r>
        <w:rPr>
          <w:b/>
          <w:noProof/>
        </w:rPr>
        <w:t>AT</w:t>
      </w:r>
      <w:r>
        <w:rPr>
          <w:noProof/>
        </w:rPr>
        <w:t xml:space="preserve">, </w:t>
      </w:r>
      <w:r>
        <w:rPr>
          <w:b/>
          <w:noProof/>
        </w:rPr>
        <w:t>BG</w:t>
      </w:r>
      <w:r>
        <w:rPr>
          <w:noProof/>
        </w:rPr>
        <w:t xml:space="preserve">, </w:t>
      </w:r>
      <w:r>
        <w:rPr>
          <w:b/>
          <w:noProof/>
        </w:rPr>
        <w:t>CY</w:t>
      </w:r>
      <w:r>
        <w:rPr>
          <w:noProof/>
        </w:rPr>
        <w:t xml:space="preserve">, </w:t>
      </w:r>
      <w:r>
        <w:rPr>
          <w:b/>
          <w:noProof/>
        </w:rPr>
        <w:t>FI</w:t>
      </w:r>
      <w:r>
        <w:rPr>
          <w:noProof/>
        </w:rPr>
        <w:t xml:space="preserve">, </w:t>
      </w:r>
      <w:r>
        <w:rPr>
          <w:b/>
          <w:noProof/>
        </w:rPr>
        <w:t>MT</w:t>
      </w:r>
      <w:r>
        <w:rPr>
          <w:noProof/>
        </w:rPr>
        <w:t xml:space="preserve"> un </w:t>
      </w:r>
      <w:r>
        <w:rPr>
          <w:b/>
          <w:noProof/>
        </w:rPr>
        <w:t>RO</w:t>
      </w:r>
      <w:r>
        <w:rPr>
          <w:noProof/>
        </w:rPr>
        <w:t xml:space="preserve">: privāti finansētu augstākās izglītības pakalpojumu sniegšana (CPC 923). </w:t>
      </w:r>
    </w:p>
    <w:p w:rsidR="003E022D" w:rsidRDefault="007D19D6">
      <w:pPr>
        <w:rPr>
          <w:rFonts w:eastAsia="Calibri" w:cs="Times New Roman"/>
          <w:noProof/>
        </w:rPr>
      </w:pPr>
      <w:r>
        <w:rPr>
          <w:b/>
          <w:noProof/>
        </w:rPr>
        <w:t>CZ</w:t>
      </w:r>
      <w:r>
        <w:rPr>
          <w:noProof/>
        </w:rPr>
        <w:t xml:space="preserve"> un </w:t>
      </w:r>
      <w:r>
        <w:rPr>
          <w:b/>
          <w:noProof/>
        </w:rPr>
        <w:t>SK</w:t>
      </w:r>
      <w:r>
        <w:rPr>
          <w:noProof/>
        </w:rPr>
        <w:t xml:space="preserve">: iestādes, kas sniedz privāti finansētus izglītības pakalpojumus, direktoru padomes locekļu vairākumam jābūt minētās valsts valstspiederīgajiem (SK: CPC 921, 922, 923, izņemot 92310, 924). </w:t>
      </w:r>
    </w:p>
    <w:p w:rsidR="003E022D" w:rsidRDefault="007D19D6">
      <w:pPr>
        <w:rPr>
          <w:rFonts w:eastAsia="Calibri" w:cs="Times New Roman"/>
          <w:noProof/>
        </w:rPr>
      </w:pPr>
      <w:r>
        <w:rPr>
          <w:b/>
          <w:noProof/>
        </w:rPr>
        <w:t>SI</w:t>
      </w:r>
      <w:r>
        <w:rPr>
          <w:noProof/>
        </w:rPr>
        <w:t>: privāti finansētas pamatskolas drīkst dibināt tikai Slovēnija</w:t>
      </w:r>
      <w:r>
        <w:rPr>
          <w:noProof/>
        </w:rPr>
        <w:t>s fiziskās vai juridiskās personas. Pakalpojumu sniedzējam jāizveido sava juridiskā adrese vai filiāle. Iestādes, kura sniedz privāti finansētus vidējās izglītības vai augstākās izglītības pakalpojumus, valdes vairākumam jābūt Slovēnijas valstspiederīgajie</w:t>
      </w:r>
      <w:r>
        <w:rPr>
          <w:noProof/>
        </w:rPr>
        <w:t xml:space="preserve">m (CPC 922, 923). </w:t>
      </w:r>
    </w:p>
    <w:p w:rsidR="003E022D" w:rsidRDefault="007D19D6">
      <w:pPr>
        <w:rPr>
          <w:rFonts w:eastAsia="Calibri" w:cs="Times New Roman"/>
          <w:noProof/>
        </w:rPr>
      </w:pPr>
      <w:r>
        <w:rPr>
          <w:b/>
          <w:noProof/>
        </w:rPr>
        <w:t xml:space="preserve">SE: </w:t>
      </w:r>
      <w:r>
        <w:rPr>
          <w:noProof/>
        </w:rPr>
        <w:t>izglītības pakalpojumu sniedzēji, ko publiskās iestādes ir apstiprinājušas izglītības nodrošināšanai. Šī atruna attiecas uz privāti finansētu izglītības pakalpojumu sniedzējiem, kuri saņem kāda veida valsts atbalstu, tostarp uz valst</w:t>
      </w:r>
      <w:r>
        <w:rPr>
          <w:noProof/>
        </w:rPr>
        <w:t xml:space="preserve">s atzītiem izglītības pakalpojumu sniedzējiem, valsts uzraudzītiem izglītības pakalpojumu sniedzējiem un izglītību, kas nodrošina tiesības uz studiju atbalstu (CPC 92). </w:t>
      </w:r>
    </w:p>
    <w:p w:rsidR="003E022D" w:rsidRDefault="007D19D6">
      <w:pPr>
        <w:rPr>
          <w:rFonts w:eastAsia="Calibri" w:cs="Times New Roman"/>
          <w:noProof/>
        </w:rPr>
      </w:pPr>
      <w:r>
        <w:rPr>
          <w:b/>
          <w:noProof/>
        </w:rPr>
        <w:t xml:space="preserve">SK: </w:t>
      </w:r>
      <w:r>
        <w:rPr>
          <w:noProof/>
        </w:rPr>
        <w:t>visus privāti finansētos izglītības pakalpojumus, kas nav pēcvidusskolas tehniskās izglītības un arodizglītības pakalpojumi, drīkst sniegt tikai EEZ dalībvalsts rezidenti. Var tikt veikta ekonomisko vajadzību pārbaude, un vietējās iestādes var ierobežot iz</w:t>
      </w:r>
      <w:r>
        <w:rPr>
          <w:noProof/>
        </w:rPr>
        <w:t xml:space="preserve">veidojamo skolu skaitu (CPC 921, 922, 923, izņemot 92310, 924). </w:t>
      </w:r>
    </w:p>
    <w:p w:rsidR="003E022D" w:rsidRDefault="007D19D6">
      <w:pPr>
        <w:rPr>
          <w:rFonts w:eastAsia="Calibri" w:cs="Times New Roman"/>
          <w:iCs/>
          <w:noProof/>
          <w:u w:val="single"/>
        </w:rPr>
      </w:pPr>
      <w:r>
        <w:rPr>
          <w:iCs/>
          <w:noProof/>
          <w:u w:val="single"/>
        </w:rPr>
        <w:t>Attiecībā uz pakalpojumu pārrobežu tirdzniecību – piekļuve tirgum, valsts režīms, klātbūtne uz vietas</w:t>
      </w:r>
      <w:r>
        <w:rPr>
          <w:noProof/>
          <w:u w:val="single"/>
        </w:rPr>
        <w:t xml:space="preserve"> </w:t>
      </w:r>
    </w:p>
    <w:p w:rsidR="003E022D" w:rsidRDefault="007D19D6">
      <w:pPr>
        <w:rPr>
          <w:rFonts w:eastAsia="Calibri" w:cs="Times New Roman"/>
          <w:noProof/>
        </w:rPr>
      </w:pPr>
      <w:r>
        <w:rPr>
          <w:b/>
          <w:noProof/>
        </w:rPr>
        <w:t>BG</w:t>
      </w:r>
      <w:r>
        <w:rPr>
          <w:noProof/>
        </w:rPr>
        <w:t xml:space="preserve">, </w:t>
      </w:r>
      <w:r>
        <w:rPr>
          <w:b/>
          <w:noProof/>
        </w:rPr>
        <w:t>IT</w:t>
      </w:r>
      <w:r>
        <w:rPr>
          <w:noProof/>
        </w:rPr>
        <w:t xml:space="preserve"> un </w:t>
      </w:r>
      <w:r>
        <w:rPr>
          <w:b/>
          <w:noProof/>
        </w:rPr>
        <w:t>SI</w:t>
      </w:r>
      <w:r>
        <w:rPr>
          <w:noProof/>
        </w:rPr>
        <w:t>: ierobežot privāti finansētu pamatizglītības pakalpojumu pārrobežu sniegšan</w:t>
      </w:r>
      <w:r>
        <w:rPr>
          <w:noProof/>
        </w:rPr>
        <w:t xml:space="preserve">u (CPC 921). </w:t>
      </w:r>
    </w:p>
    <w:p w:rsidR="003E022D" w:rsidRDefault="007D19D6">
      <w:pPr>
        <w:rPr>
          <w:rFonts w:eastAsia="Calibri" w:cs="Times New Roman"/>
          <w:noProof/>
        </w:rPr>
      </w:pPr>
      <w:r>
        <w:rPr>
          <w:b/>
          <w:noProof/>
        </w:rPr>
        <w:t>BG</w:t>
      </w:r>
      <w:r>
        <w:rPr>
          <w:noProof/>
        </w:rPr>
        <w:t xml:space="preserve"> un </w:t>
      </w:r>
      <w:r>
        <w:rPr>
          <w:b/>
          <w:noProof/>
        </w:rPr>
        <w:t>IT</w:t>
      </w:r>
      <w:r>
        <w:rPr>
          <w:noProof/>
        </w:rPr>
        <w:t xml:space="preserve">: ierobežot privāti finansētu vidējās izglītības pakalpojumu pārrobežu sniegšanu (CPC 922). </w:t>
      </w:r>
    </w:p>
    <w:p w:rsidR="003E022D" w:rsidRDefault="007D19D6">
      <w:pPr>
        <w:rPr>
          <w:rFonts w:eastAsia="Calibri" w:cs="Times New Roman"/>
          <w:noProof/>
        </w:rPr>
      </w:pPr>
      <w:r>
        <w:rPr>
          <w:b/>
          <w:noProof/>
        </w:rPr>
        <w:t>AT</w:t>
      </w:r>
      <w:r>
        <w:rPr>
          <w:noProof/>
        </w:rPr>
        <w:t xml:space="preserve">: ierobežot privāti finansētu pieaugušo izglītības pakalpojumu pārrobežu sniegšanu pa radio vai televīziju (CPC 924).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BG:</w:t>
      </w:r>
      <w:r>
        <w:rPr>
          <w:b/>
          <w:noProof/>
        </w:rPr>
        <w:t xml:space="preserve"> </w:t>
      </w:r>
      <w:r>
        <w:rPr>
          <w:noProof/>
        </w:rPr>
        <w:t xml:space="preserve">Valsts izglītības likums, 12. pants; </w:t>
      </w:r>
    </w:p>
    <w:p w:rsidR="003E022D" w:rsidRDefault="007D19D6">
      <w:pPr>
        <w:rPr>
          <w:rFonts w:eastAsia="Calibri" w:cs="Times New Roman"/>
          <w:noProof/>
        </w:rPr>
      </w:pPr>
      <w:r>
        <w:rPr>
          <w:noProof/>
        </w:rPr>
        <w:t xml:space="preserve">Augstākās izglītības likums, papildnoteikumu 4. punkts; Arodizglītības un mācību likums, 22. pants. </w:t>
      </w:r>
    </w:p>
    <w:p w:rsidR="003E022D" w:rsidRDefault="007D19D6">
      <w:pPr>
        <w:rPr>
          <w:rFonts w:eastAsia="Calibri" w:cs="Times New Roman"/>
          <w:noProof/>
        </w:rPr>
      </w:pPr>
      <w:r>
        <w:rPr>
          <w:b/>
          <w:noProof/>
        </w:rPr>
        <w:t xml:space="preserve">FI: </w:t>
      </w:r>
      <w:r>
        <w:rPr>
          <w:i/>
          <w:iCs/>
          <w:noProof/>
        </w:rPr>
        <w:t>Perusopetuslaki</w:t>
      </w:r>
      <w:r>
        <w:rPr>
          <w:noProof/>
        </w:rPr>
        <w:t xml:space="preserve"> (Pamatizglītības likums) (628/1998); </w:t>
      </w:r>
    </w:p>
    <w:p w:rsidR="003E022D" w:rsidRDefault="007D19D6">
      <w:pPr>
        <w:rPr>
          <w:rFonts w:eastAsia="Calibri" w:cs="Times New Roman"/>
          <w:noProof/>
        </w:rPr>
      </w:pPr>
      <w:r>
        <w:rPr>
          <w:i/>
          <w:iCs/>
          <w:noProof/>
        </w:rPr>
        <w:t>Lukiolaki</w:t>
      </w:r>
      <w:r>
        <w:rPr>
          <w:noProof/>
        </w:rPr>
        <w:t xml:space="preserve"> (Vispārīgās izglītības iestāžu likums) (629/1998</w:t>
      </w:r>
      <w:r>
        <w:rPr>
          <w:noProof/>
        </w:rPr>
        <w:t xml:space="preserve">); </w:t>
      </w:r>
    </w:p>
    <w:p w:rsidR="003E022D" w:rsidRDefault="007D19D6">
      <w:pPr>
        <w:rPr>
          <w:rFonts w:eastAsia="Calibri" w:cs="Times New Roman"/>
          <w:noProof/>
        </w:rPr>
      </w:pPr>
      <w:r>
        <w:rPr>
          <w:i/>
          <w:iCs/>
          <w:noProof/>
        </w:rPr>
        <w:t xml:space="preserve">Laki ammatillisesta koulutuksesta </w:t>
      </w:r>
      <w:r>
        <w:rPr>
          <w:noProof/>
        </w:rPr>
        <w:t xml:space="preserve">(Arodmācības un arodizglītības likums) (630/1998); </w:t>
      </w:r>
    </w:p>
    <w:p w:rsidR="003E022D" w:rsidRDefault="007D19D6">
      <w:pPr>
        <w:rPr>
          <w:rFonts w:eastAsia="Calibri" w:cs="Times New Roman"/>
          <w:noProof/>
        </w:rPr>
      </w:pPr>
      <w:r>
        <w:rPr>
          <w:i/>
          <w:iCs/>
          <w:noProof/>
        </w:rPr>
        <w:t>Laki ammatillisesta aikuiskoulutuksesta</w:t>
      </w:r>
      <w:r>
        <w:rPr>
          <w:noProof/>
        </w:rPr>
        <w:t xml:space="preserve"> (Pieaugušo arodizglītības likums) (631/1998); </w:t>
      </w:r>
    </w:p>
    <w:p w:rsidR="003E022D" w:rsidRDefault="007D19D6">
      <w:pPr>
        <w:rPr>
          <w:rFonts w:eastAsia="Calibri" w:cs="Times New Roman"/>
          <w:noProof/>
        </w:rPr>
      </w:pPr>
      <w:r>
        <w:rPr>
          <w:i/>
          <w:iCs/>
          <w:noProof/>
        </w:rPr>
        <w:t>Ammattikorkeakoululaki</w:t>
      </w:r>
      <w:r>
        <w:rPr>
          <w:noProof/>
        </w:rPr>
        <w:t xml:space="preserve"> (Politehniskais likums) (351/2003); </w:t>
      </w:r>
      <w:r>
        <w:rPr>
          <w:i/>
          <w:iCs/>
          <w:noProof/>
        </w:rPr>
        <w:t>Yliopistolaki</w:t>
      </w:r>
      <w:r>
        <w:rPr>
          <w:noProof/>
        </w:rPr>
        <w:t xml:space="preserve"> (Unive</w:t>
      </w:r>
      <w:r>
        <w:rPr>
          <w:noProof/>
        </w:rPr>
        <w:t xml:space="preserve">rsitāšu likums) (558/2009). </w:t>
      </w:r>
    </w:p>
    <w:p w:rsidR="003E022D" w:rsidRDefault="007D19D6">
      <w:pPr>
        <w:rPr>
          <w:rFonts w:eastAsia="Calibri" w:cs="Times New Roman"/>
          <w:noProof/>
        </w:rPr>
      </w:pPr>
      <w:r>
        <w:rPr>
          <w:b/>
          <w:noProof/>
        </w:rPr>
        <w:t xml:space="preserve">IT: </w:t>
      </w:r>
      <w:r>
        <w:rPr>
          <w:noProof/>
        </w:rPr>
        <w:t xml:space="preserve">Karaļa dekrēts Nr. 1592/1933 (Likums par vidējo izglītību); </w:t>
      </w:r>
    </w:p>
    <w:p w:rsidR="003E022D" w:rsidRDefault="007D19D6">
      <w:pPr>
        <w:rPr>
          <w:rFonts w:eastAsia="Calibri" w:cs="Times New Roman"/>
          <w:noProof/>
        </w:rPr>
      </w:pPr>
      <w:r>
        <w:rPr>
          <w:noProof/>
        </w:rPr>
        <w:t xml:space="preserve">Likums 243/1991 (Neregulārs publiskais ieguldījums privātajās universitātēs); </w:t>
      </w:r>
    </w:p>
    <w:p w:rsidR="003E022D" w:rsidRDefault="007D19D6">
      <w:pPr>
        <w:rPr>
          <w:rFonts w:eastAsia="Calibri" w:cs="Times New Roman"/>
          <w:noProof/>
        </w:rPr>
      </w:pPr>
      <w:r>
        <w:rPr>
          <w:i/>
          <w:iCs/>
          <w:noProof/>
        </w:rPr>
        <w:t>CNVSU</w:t>
      </w:r>
      <w:r>
        <w:rPr>
          <w:noProof/>
        </w:rPr>
        <w:t xml:space="preserve"> (</w:t>
      </w:r>
      <w:r>
        <w:rPr>
          <w:i/>
          <w:iCs/>
          <w:noProof/>
        </w:rPr>
        <w:t>Comitato nazionale per la valutazione del sistema universitario</w:t>
      </w:r>
      <w:r>
        <w:rPr>
          <w:noProof/>
        </w:rPr>
        <w:t xml:space="preserve">) Rezolūcija </w:t>
      </w:r>
      <w:r>
        <w:rPr>
          <w:noProof/>
        </w:rPr>
        <w:t xml:space="preserve">20/2003 un </w:t>
      </w:r>
    </w:p>
    <w:p w:rsidR="003E022D" w:rsidRDefault="007D19D6">
      <w:pPr>
        <w:rPr>
          <w:rFonts w:eastAsia="Calibri" w:cs="Times New Roman"/>
          <w:b/>
          <w:noProof/>
        </w:rPr>
      </w:pPr>
      <w:r>
        <w:rPr>
          <w:noProof/>
        </w:rPr>
        <w:t>Republikas Prezidenta dekrēts (DPR) 25/1998.</w:t>
      </w:r>
      <w:r>
        <w:rPr>
          <w:b/>
          <w:noProof/>
        </w:rPr>
        <w:t xml:space="preserve"> </w:t>
      </w:r>
    </w:p>
    <w:p w:rsidR="003E022D" w:rsidRDefault="007D19D6">
      <w:pPr>
        <w:rPr>
          <w:rFonts w:eastAsia="Calibri" w:cs="Times New Roman"/>
          <w:noProof/>
        </w:rPr>
      </w:pPr>
      <w:r>
        <w:rPr>
          <w:b/>
          <w:noProof/>
        </w:rPr>
        <w:t xml:space="preserve">SK: </w:t>
      </w:r>
      <w:r>
        <w:rPr>
          <w:noProof/>
        </w:rPr>
        <w:t xml:space="preserve">Likums Nr. 245/2008 par izglītību; </w:t>
      </w:r>
    </w:p>
    <w:p w:rsidR="003E022D" w:rsidRDefault="007D19D6">
      <w:pPr>
        <w:rPr>
          <w:rFonts w:eastAsia="Calibri" w:cs="Times New Roman"/>
          <w:noProof/>
        </w:rPr>
      </w:pPr>
      <w:r>
        <w:rPr>
          <w:noProof/>
        </w:rPr>
        <w:t xml:space="preserve">Likums Nr. 131/2002 par izglītību; un </w:t>
      </w:r>
    </w:p>
    <w:p w:rsidR="003E022D" w:rsidRDefault="007D19D6">
      <w:pPr>
        <w:rPr>
          <w:rFonts w:eastAsia="Calibri" w:cs="Times New Roman"/>
          <w:b/>
          <w:noProof/>
        </w:rPr>
      </w:pPr>
      <w:r>
        <w:rPr>
          <w:noProof/>
        </w:rPr>
        <w:t xml:space="preserve">Likums Nr. 596/2003 par valsts pārvaldi izglītības jomā un skolu pašpārvaldi. </w:t>
      </w:r>
    </w:p>
    <w:p w:rsidR="003E022D" w:rsidRDefault="007D19D6">
      <w:pPr>
        <w:rPr>
          <w:rFonts w:eastAsia="Calibri" w:cs="Times New Roman"/>
          <w:b/>
          <w:noProof/>
        </w:rPr>
      </w:pPr>
      <w:r>
        <w:rPr>
          <w:noProof/>
        </w:rPr>
        <w:br w:type="page"/>
      </w:r>
    </w:p>
    <w:p w:rsidR="003E022D" w:rsidRDefault="007D19D6">
      <w:pPr>
        <w:rPr>
          <w:rFonts w:eastAsia="Calibri" w:cs="Times New Roman"/>
          <w:b/>
          <w:bCs/>
          <w:noProof/>
        </w:rPr>
      </w:pPr>
      <w:bookmarkStart w:id="1228" w:name="_Toc53746613"/>
      <w:bookmarkStart w:id="1229" w:name="_Toc57917479"/>
      <w:bookmarkStart w:id="1230" w:name="_Toc452503979"/>
      <w:bookmarkStart w:id="1231" w:name="_Toc479001639"/>
      <w:r>
        <w:rPr>
          <w:b/>
          <w:bCs/>
          <w:noProof/>
        </w:rPr>
        <w:t>15. atruna. Vidiskie pakalpojumi</w:t>
      </w:r>
      <w:bookmarkEnd w:id="1228"/>
      <w:bookmarkEnd w:id="1229"/>
      <w:bookmarkEnd w:id="1230"/>
      <w:bookmarkEnd w:id="1231"/>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rPr>
              <w:t>Vidiskie pakalpojumi – atkritumu un augsnes apsaimniekošana</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9401, 9402, 9403, 94060</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b/>
          <w:noProof/>
        </w:rPr>
      </w:pPr>
      <w:r>
        <w:rPr>
          <w:b/>
          <w:noProof/>
        </w:rPr>
        <w:t>DE</w:t>
      </w:r>
      <w:r>
        <w:rPr>
          <w:noProof/>
        </w:rPr>
        <w:t>: atkritumu apsaimniekošanas pakalpojumu sniegšana, izņemot padomdevēju pakalpojumus, un attiecībā uz pakalpojumiem, kas skar augsnes aizsardzību un piesārņotas augsn</w:t>
      </w:r>
      <w:r>
        <w:rPr>
          <w:noProof/>
        </w:rPr>
        <w:t xml:space="preserve">es apsaimniekošanu, izņemot padomdevēju pakalpojumus. </w:t>
      </w:r>
    </w:p>
    <w:p w:rsidR="003E022D" w:rsidRDefault="007D19D6">
      <w:pPr>
        <w:rPr>
          <w:rFonts w:eastAsia="Calibri" w:cs="Times New Roman"/>
          <w:b/>
          <w:bCs/>
          <w:noProof/>
        </w:rPr>
      </w:pPr>
      <w:r>
        <w:rPr>
          <w:noProof/>
        </w:rPr>
        <w:br w:type="page"/>
      </w:r>
    </w:p>
    <w:p w:rsidR="003E022D" w:rsidRDefault="007D19D6">
      <w:pPr>
        <w:rPr>
          <w:rFonts w:eastAsia="Calibri" w:cs="Times New Roman"/>
          <w:b/>
          <w:bCs/>
          <w:noProof/>
        </w:rPr>
      </w:pPr>
      <w:bookmarkStart w:id="1232" w:name="_Toc53746614"/>
      <w:bookmarkStart w:id="1233" w:name="_Toc57917480"/>
      <w:bookmarkStart w:id="1234" w:name="_Toc452503980"/>
      <w:bookmarkStart w:id="1235" w:name="_Toc479001640"/>
      <w:r>
        <w:rPr>
          <w:b/>
          <w:bCs/>
          <w:noProof/>
        </w:rPr>
        <w:t>16. atruna. Finanšu pakalpojumi</w:t>
      </w:r>
      <w:bookmarkEnd w:id="1232"/>
      <w:bookmarkEnd w:id="1233"/>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Finanšu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Neattiecas</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spacing w:after="0" w:afterAutospacing="0"/>
              <w:jc w:val="left"/>
              <w:rPr>
                <w:noProof/>
              </w:rPr>
            </w:pPr>
            <w:r>
              <w:rPr>
                <w:noProof/>
              </w:rPr>
              <w:t xml:space="preserve">Piekļuve tirgum </w:t>
            </w:r>
            <w:r>
              <w:rPr>
                <w:noProof/>
              </w:rPr>
              <w:br/>
              <w:t xml:space="preserve">Valsts režīms </w:t>
            </w:r>
            <w:r>
              <w:rPr>
                <w:noProof/>
              </w:rPr>
              <w:br/>
              <w:t>Lielākās labvēlības režīms</w:t>
            </w:r>
          </w:p>
          <w:p w:rsidR="003E022D" w:rsidRDefault="007D19D6">
            <w:pPr>
              <w:jc w:val="left"/>
              <w:rPr>
                <w:noProof/>
              </w:rPr>
            </w:pPr>
            <w:r>
              <w:rPr>
                <w:noProof/>
              </w:rPr>
              <w:t xml:space="preserve">Augstākā vadība un direktoru padome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i/>
          <w:iCs/>
          <w:noProof/>
        </w:rPr>
      </w:pPr>
      <w:r>
        <w:rPr>
          <w:b/>
          <w:noProof/>
        </w:rPr>
        <w:t>Apraksts</w:t>
      </w:r>
      <w:r>
        <w:rPr>
          <w:noProof/>
        </w:rPr>
        <w:t xml:space="preserve"> </w:t>
      </w:r>
    </w:p>
    <w:p w:rsidR="003E022D" w:rsidRDefault="007D19D6">
      <w:pPr>
        <w:rPr>
          <w:rFonts w:eastAsia="Calibri" w:cs="Times New Roman"/>
          <w:iCs/>
          <w:noProof/>
        </w:rPr>
      </w:pPr>
      <w:r>
        <w:rPr>
          <w:b/>
          <w:iCs/>
          <w:noProof/>
        </w:rPr>
        <w:t>EU</w:t>
      </w:r>
      <w:r>
        <w:rPr>
          <w:noProof/>
        </w:rPr>
        <w:t xml:space="preserve"> patur tiesības pieņemt vai atstāt spēkā jebkādu pasākumu attiecībā uz turpmāk minēto.</w:t>
      </w:r>
    </w:p>
    <w:p w:rsidR="003E022D" w:rsidRDefault="007D19D6">
      <w:pPr>
        <w:rPr>
          <w:rFonts w:eastAsia="Calibri" w:cs="Times New Roman"/>
          <w:b/>
          <w:i/>
          <w:iCs/>
          <w:noProof/>
        </w:rPr>
      </w:pPr>
      <w:r>
        <w:rPr>
          <w:b/>
          <w:i/>
          <w:iCs/>
          <w:noProof/>
        </w:rPr>
        <w:t>a)</w:t>
      </w:r>
      <w:r>
        <w:rPr>
          <w:noProof/>
        </w:rPr>
        <w:tab/>
      </w:r>
      <w:r>
        <w:rPr>
          <w:b/>
          <w:i/>
          <w:iCs/>
          <w:noProof/>
        </w:rPr>
        <w:t xml:space="preserve">Visi finanšu pakalpojumi  </w:t>
      </w:r>
    </w:p>
    <w:p w:rsidR="003E022D" w:rsidRDefault="007D19D6">
      <w:pPr>
        <w:rPr>
          <w:rFonts w:eastAsia="Calibri" w:cs="Times New Roman"/>
          <w:iCs/>
          <w:noProof/>
          <w:u w:val="single"/>
        </w:rPr>
      </w:pPr>
      <w:r>
        <w:rPr>
          <w:iCs/>
          <w:noProof/>
          <w:u w:val="single"/>
        </w:rPr>
        <w:t xml:space="preserve">Attiecībā uz investīciju liberalizāciju – lielākās labvēlības režīms un pakalpojumu pārrobežu tirdzniecība – lielākās labvēlības režīms </w:t>
      </w:r>
    </w:p>
    <w:p w:rsidR="003E022D" w:rsidRDefault="007D19D6">
      <w:pPr>
        <w:rPr>
          <w:rFonts w:eastAsia="Calibri" w:cs="Times New Roman"/>
          <w:iCs/>
          <w:noProof/>
          <w:u w:val="single"/>
        </w:rPr>
      </w:pPr>
      <w:r>
        <w:rPr>
          <w:b/>
          <w:noProof/>
        </w:rPr>
        <w:t>EU</w:t>
      </w:r>
      <w:r>
        <w:rPr>
          <w:noProof/>
        </w:rPr>
        <w:t xml:space="preserve">: atšķirīga režīma nodrošināšana trešās valsts investoriem vai finanšu pakalpojumu </w:t>
      </w:r>
      <w:r>
        <w:rPr>
          <w:noProof/>
        </w:rPr>
        <w:t>sniedzējiem, ievērojot divpusējus vai daudzpusējus starptautiskus ieguldījumu līgumus vai citus tirdzniecības nolīgumus.</w:t>
      </w:r>
    </w:p>
    <w:p w:rsidR="003E022D" w:rsidRDefault="007D19D6">
      <w:pPr>
        <w:rPr>
          <w:rFonts w:eastAsia="Calibri" w:cs="Times New Roman"/>
          <w:noProof/>
          <w:u w:val="single"/>
        </w:rPr>
      </w:pPr>
      <w:r>
        <w:rPr>
          <w:i/>
          <w:noProof/>
          <w:u w:val="single"/>
        </w:rPr>
        <w:t>Attiecībā uz investīciju liberalizāciju – piekļuve tirgum</w:t>
      </w:r>
      <w:r>
        <w:rPr>
          <w:noProof/>
          <w:u w:val="single"/>
        </w:rPr>
        <w:t xml:space="preserve"> </w:t>
      </w:r>
    </w:p>
    <w:p w:rsidR="003E022D" w:rsidRDefault="007D19D6">
      <w:pPr>
        <w:rPr>
          <w:rFonts w:eastAsia="Calibri" w:cs="Times New Roman"/>
          <w:noProof/>
        </w:rPr>
      </w:pPr>
      <w:r>
        <w:rPr>
          <w:b/>
          <w:noProof/>
        </w:rPr>
        <w:t>EU</w:t>
      </w:r>
      <w:r>
        <w:rPr>
          <w:noProof/>
        </w:rPr>
        <w:t xml:space="preserve">: tiesības nediskriminējoši pieprasīt finanšu pakalpojuma sniedzējam, kas </w:t>
      </w:r>
      <w:r>
        <w:rPr>
          <w:noProof/>
        </w:rPr>
        <w:t xml:space="preserve">nav filiāle, izveides brīdī dalībvalstī izvēlēties konkrētu juridisko formu. </w:t>
      </w:r>
    </w:p>
    <w:p w:rsidR="003E022D" w:rsidRDefault="007D19D6">
      <w:pPr>
        <w:rPr>
          <w:rFonts w:eastAsia="Calibri" w:cs="Times New Roman"/>
          <w:noProof/>
          <w:u w:val="single"/>
        </w:rPr>
      </w:pPr>
      <w:r>
        <w:rPr>
          <w:noProof/>
          <w:u w:val="single"/>
        </w:rPr>
        <w:t>Attiecībā uz pakalpojumu pārrobežu tirdzniecību – piekļuve tirgum, valsts režīms, klātbūtne uz vietas</w:t>
      </w:r>
    </w:p>
    <w:p w:rsidR="003E022D" w:rsidRDefault="007D19D6">
      <w:pPr>
        <w:rPr>
          <w:rFonts w:eastAsia="Calibri" w:cs="Times New Roman"/>
          <w:noProof/>
        </w:rPr>
      </w:pPr>
      <w:r>
        <w:rPr>
          <w:b/>
          <w:noProof/>
        </w:rPr>
        <w:t>EU</w:t>
      </w:r>
      <w:r>
        <w:rPr>
          <w:noProof/>
        </w:rPr>
        <w:t>: tiesības pieņemt vai atstāt spēkā jebkādu pasākumu attiecībā uz visu fin</w:t>
      </w:r>
      <w:r>
        <w:rPr>
          <w:noProof/>
        </w:rPr>
        <w:t xml:space="preserve">anšu pakalpojumu pārrobežu sniegšanu, izņemot: </w:t>
      </w:r>
    </w:p>
    <w:p w:rsidR="003E022D" w:rsidRDefault="007D19D6">
      <w:pPr>
        <w:rPr>
          <w:rFonts w:eastAsia="Calibri" w:cs="Times New Roman"/>
          <w:noProof/>
        </w:rPr>
      </w:pPr>
      <w:r>
        <w:rPr>
          <w:b/>
          <w:noProof/>
        </w:rPr>
        <w:t>EU</w:t>
      </w:r>
      <w:r>
        <w:rPr>
          <w:noProof/>
        </w:rPr>
        <w:t xml:space="preserve"> (izņemot </w:t>
      </w:r>
      <w:r>
        <w:rPr>
          <w:b/>
          <w:noProof/>
        </w:rPr>
        <w:t>BE</w:t>
      </w:r>
      <w:r>
        <w:rPr>
          <w:noProof/>
        </w:rPr>
        <w:t>,</w:t>
      </w:r>
      <w:r>
        <w:rPr>
          <w:b/>
          <w:noProof/>
        </w:rPr>
        <w:t xml:space="preserve"> CY</w:t>
      </w:r>
      <w:r>
        <w:rPr>
          <w:noProof/>
        </w:rPr>
        <w:t>,</w:t>
      </w:r>
      <w:r>
        <w:rPr>
          <w:b/>
          <w:noProof/>
        </w:rPr>
        <w:t xml:space="preserve"> EE</w:t>
      </w:r>
      <w:r>
        <w:rPr>
          <w:noProof/>
        </w:rPr>
        <w:t xml:space="preserve">, </w:t>
      </w:r>
      <w:r>
        <w:rPr>
          <w:b/>
          <w:noProof/>
        </w:rPr>
        <w:t>LT</w:t>
      </w:r>
      <w:r>
        <w:rPr>
          <w:noProof/>
        </w:rPr>
        <w:t xml:space="preserve">, </w:t>
      </w:r>
      <w:r>
        <w:rPr>
          <w:b/>
          <w:noProof/>
        </w:rPr>
        <w:t>LV</w:t>
      </w:r>
      <w:r>
        <w:rPr>
          <w:noProof/>
        </w:rPr>
        <w:t>,</w:t>
      </w:r>
      <w:r>
        <w:rPr>
          <w:b/>
          <w:noProof/>
        </w:rPr>
        <w:t xml:space="preserve"> MT</w:t>
      </w:r>
      <w:r>
        <w:rPr>
          <w:noProof/>
        </w:rPr>
        <w:t>,</w:t>
      </w:r>
      <w:r>
        <w:rPr>
          <w:b/>
          <w:noProof/>
        </w:rPr>
        <w:t xml:space="preserve"> PL</w:t>
      </w:r>
      <w:r>
        <w:rPr>
          <w:noProof/>
        </w:rPr>
        <w:t>,</w:t>
      </w:r>
      <w:r>
        <w:rPr>
          <w:b/>
          <w:noProof/>
        </w:rPr>
        <w:t xml:space="preserve"> RO</w:t>
      </w:r>
      <w:r>
        <w:rPr>
          <w:noProof/>
        </w:rPr>
        <w:t>,</w:t>
      </w:r>
      <w:r>
        <w:rPr>
          <w:b/>
          <w:noProof/>
        </w:rPr>
        <w:t xml:space="preserve"> SI</w:t>
      </w:r>
      <w:r>
        <w:rPr>
          <w:noProof/>
        </w:rPr>
        <w:t>)</w:t>
      </w:r>
      <w:r>
        <w:rPr>
          <w:b/>
          <w:noProof/>
        </w:rPr>
        <w:t>:</w:t>
      </w:r>
      <w:r>
        <w:rPr>
          <w:noProof/>
        </w:rPr>
        <w:t xml:space="preserve"> </w:t>
      </w:r>
    </w:p>
    <w:p w:rsidR="003E022D" w:rsidRDefault="007D19D6">
      <w:pPr>
        <w:numPr>
          <w:ilvl w:val="0"/>
          <w:numId w:val="804"/>
        </w:numPr>
        <w:rPr>
          <w:rFonts w:eastAsia="Calibri" w:cs="Times New Roman"/>
          <w:noProof/>
        </w:rPr>
      </w:pPr>
      <w:r>
        <w:rPr>
          <w:noProof/>
        </w:rPr>
        <w:t>tiešās apdrošināšanas (tostarp kopapdrošināšanas) pakalpojumus un tiešās apdrošināšanas starpniecības pakalpojumus tādu risku apdrošināšanai, kas attiecas uz:</w:t>
      </w:r>
      <w:r>
        <w:rPr>
          <w:noProof/>
        </w:rPr>
        <w:t xml:space="preserve">  </w:t>
      </w:r>
    </w:p>
    <w:p w:rsidR="003E022D" w:rsidRDefault="007D19D6">
      <w:pPr>
        <w:numPr>
          <w:ilvl w:val="1"/>
          <w:numId w:val="804"/>
        </w:numPr>
        <w:rPr>
          <w:rFonts w:eastAsia="Calibri" w:cs="Times New Roman"/>
          <w:noProof/>
        </w:rPr>
      </w:pPr>
      <w:r>
        <w:rPr>
          <w:noProof/>
        </w:rPr>
        <w:t>jūras transportu, komercaviāciju un kosmosa kuģu palaišanu un kravu, tostarp pavadoņu, nogādāšanu kosmosā, ja šāda apdrošināšana attiecas uz kādu vai visu no turpmāk minētā: transportētajām precēm, transportlīdzekli, ar ko transportē preces, un ar to saist</w:t>
      </w:r>
      <w:r>
        <w:rPr>
          <w:noProof/>
        </w:rPr>
        <w:t xml:space="preserve">īto visu veidu atbildību, un </w:t>
      </w:r>
    </w:p>
    <w:p w:rsidR="003E022D" w:rsidRDefault="007D19D6">
      <w:pPr>
        <w:numPr>
          <w:ilvl w:val="1"/>
          <w:numId w:val="804"/>
        </w:numPr>
        <w:rPr>
          <w:rFonts w:eastAsia="Calibri" w:cs="Times New Roman"/>
          <w:noProof/>
        </w:rPr>
      </w:pPr>
      <w:r>
        <w:rPr>
          <w:noProof/>
        </w:rPr>
        <w:t xml:space="preserve">precēm starptautiskajā tranzītā;  </w:t>
      </w:r>
    </w:p>
    <w:p w:rsidR="003E022D" w:rsidRDefault="007D19D6">
      <w:pPr>
        <w:numPr>
          <w:ilvl w:val="0"/>
          <w:numId w:val="804"/>
        </w:numPr>
        <w:rPr>
          <w:rFonts w:eastAsia="Calibri" w:cs="Times New Roman"/>
          <w:noProof/>
        </w:rPr>
      </w:pPr>
      <w:r>
        <w:rPr>
          <w:noProof/>
        </w:rPr>
        <w:t>pārapdrošināšanu un retrocesiju;</w:t>
      </w:r>
    </w:p>
    <w:p w:rsidR="003E022D" w:rsidRDefault="007D19D6">
      <w:pPr>
        <w:numPr>
          <w:ilvl w:val="0"/>
          <w:numId w:val="804"/>
        </w:numPr>
        <w:rPr>
          <w:rFonts w:eastAsia="Calibri" w:cs="Times New Roman"/>
          <w:noProof/>
        </w:rPr>
      </w:pPr>
      <w:r>
        <w:rPr>
          <w:noProof/>
        </w:rPr>
        <w:t>apdrošināšanas palīgpakalpojumus;</w:t>
      </w:r>
    </w:p>
    <w:p w:rsidR="003E022D" w:rsidRDefault="007D19D6">
      <w:pPr>
        <w:numPr>
          <w:ilvl w:val="0"/>
          <w:numId w:val="804"/>
        </w:numPr>
        <w:rPr>
          <w:rFonts w:eastAsia="Calibri" w:cs="Times New Roman"/>
          <w:noProof/>
        </w:rPr>
      </w:pPr>
      <w:r>
        <w:rPr>
          <w:noProof/>
        </w:rPr>
        <w:t>finanšu informācijas sniegšanu un nosūtīšanu, finanšu datu apstrādi un saistīto programmatūru, ko nodrošina citu finanšu pak</w:t>
      </w:r>
      <w:r>
        <w:rPr>
          <w:noProof/>
        </w:rPr>
        <w:t>alpojumu sniedzēji, un</w:t>
      </w:r>
    </w:p>
    <w:p w:rsidR="003E022D" w:rsidRDefault="007D19D6">
      <w:pPr>
        <w:numPr>
          <w:ilvl w:val="0"/>
          <w:numId w:val="804"/>
        </w:numPr>
        <w:rPr>
          <w:rFonts w:eastAsia="Calibri" w:cs="Times New Roman"/>
          <w:noProof/>
        </w:rPr>
      </w:pPr>
      <w:r>
        <w:rPr>
          <w:noProof/>
        </w:rPr>
        <w:t xml:space="preserve">konsultatīvos un citus finanšu palīgpakalpojumus, kas saistīti ar banku un citiem finanšu pakalpojumiem, kā aprakstīts </w:t>
      </w:r>
      <w:r>
        <w:rPr>
          <w:noProof/>
          <w:highlight w:val="cyan"/>
        </w:rPr>
        <w:t>SERVIN.5.38. pantā [Definīcijas]</w:t>
      </w:r>
      <w:r>
        <w:rPr>
          <w:noProof/>
        </w:rPr>
        <w:t xml:space="preserve"> minētās banku un citu finanšu pakalpojumu (izņemot apdrošināšanu) definīcijas </w:t>
      </w:r>
      <w:r>
        <w:rPr>
          <w:noProof/>
          <w:highlight w:val="cyan"/>
        </w:rPr>
        <w:t xml:space="preserve">a) </w:t>
      </w:r>
      <w:r>
        <w:rPr>
          <w:noProof/>
          <w:highlight w:val="cyan"/>
        </w:rPr>
        <w:t>punkta ii) apakšpunkta L) punktā</w:t>
      </w:r>
      <w:r>
        <w:rPr>
          <w:noProof/>
        </w:rPr>
        <w:t>, bet izņemot minētajā punktā aprakstītos starpniecības pakalpojumus.</w:t>
      </w:r>
    </w:p>
    <w:p w:rsidR="003E022D" w:rsidRDefault="007D19D6">
      <w:pPr>
        <w:rPr>
          <w:rFonts w:eastAsia="Calibri" w:cs="Times New Roman"/>
          <w:noProof/>
        </w:rPr>
      </w:pPr>
      <w:r>
        <w:rPr>
          <w:b/>
          <w:noProof/>
        </w:rPr>
        <w:t>BE:</w:t>
      </w:r>
      <w:r>
        <w:rPr>
          <w:noProof/>
        </w:rPr>
        <w:t xml:space="preserve"> </w:t>
      </w:r>
    </w:p>
    <w:p w:rsidR="003E022D" w:rsidRDefault="007D19D6">
      <w:pPr>
        <w:numPr>
          <w:ilvl w:val="0"/>
          <w:numId w:val="805"/>
        </w:numPr>
        <w:rPr>
          <w:rFonts w:eastAsia="Calibri" w:cs="Times New Roman"/>
          <w:noProof/>
        </w:rPr>
      </w:pPr>
      <w:r>
        <w:rPr>
          <w:noProof/>
        </w:rPr>
        <w:t>tiešās apdrošināšanas (tostarp kopapdrošināšanas) pakalpojumus un tiešās apdrošināšanas starpniecības pakalpojumus tādu risku apdrošināšanai, kas att</w:t>
      </w:r>
      <w:r>
        <w:rPr>
          <w:noProof/>
        </w:rPr>
        <w:t xml:space="preserve">iecas uz:  </w:t>
      </w:r>
    </w:p>
    <w:p w:rsidR="003E022D" w:rsidRDefault="007D19D6">
      <w:pPr>
        <w:numPr>
          <w:ilvl w:val="1"/>
          <w:numId w:val="805"/>
        </w:numPr>
        <w:rPr>
          <w:rFonts w:eastAsia="Calibri" w:cs="Times New Roman"/>
          <w:noProof/>
        </w:rPr>
      </w:pPr>
      <w:r>
        <w:rPr>
          <w:noProof/>
        </w:rPr>
        <w:t>jūras transportu, komercaviāciju un kosmosa kuģu palaišanu un kravu, tostarp pavadoņu, nogādāšanu kosmosā, ja šī apdrošināšana attiecas uz kādu vai visu no turpmāk minētā: transportētajām precēm, transportlīdzekli, ar ko transportē preces, un a</w:t>
      </w:r>
      <w:r>
        <w:rPr>
          <w:noProof/>
        </w:rPr>
        <w:t xml:space="preserve">r to saistīto visu veidu atbildību, un </w:t>
      </w:r>
    </w:p>
    <w:p w:rsidR="003E022D" w:rsidRDefault="007D19D6">
      <w:pPr>
        <w:numPr>
          <w:ilvl w:val="1"/>
          <w:numId w:val="805"/>
        </w:numPr>
        <w:rPr>
          <w:rFonts w:eastAsia="Calibri" w:cs="Times New Roman"/>
          <w:noProof/>
        </w:rPr>
      </w:pPr>
      <w:r>
        <w:rPr>
          <w:noProof/>
        </w:rPr>
        <w:t xml:space="preserve">precēm starptautiskajā tranzītā;  </w:t>
      </w:r>
    </w:p>
    <w:p w:rsidR="003E022D" w:rsidRDefault="007D19D6">
      <w:pPr>
        <w:numPr>
          <w:ilvl w:val="0"/>
          <w:numId w:val="805"/>
        </w:numPr>
        <w:rPr>
          <w:rFonts w:eastAsia="Calibri" w:cs="Times New Roman"/>
          <w:noProof/>
        </w:rPr>
      </w:pPr>
      <w:r>
        <w:rPr>
          <w:noProof/>
        </w:rPr>
        <w:t>pārapdrošināšanu un retrocesiju;</w:t>
      </w:r>
    </w:p>
    <w:p w:rsidR="003E022D" w:rsidRDefault="007D19D6">
      <w:pPr>
        <w:numPr>
          <w:ilvl w:val="0"/>
          <w:numId w:val="805"/>
        </w:numPr>
        <w:rPr>
          <w:rFonts w:eastAsia="Calibri" w:cs="Times New Roman"/>
          <w:noProof/>
        </w:rPr>
      </w:pPr>
      <w:r>
        <w:rPr>
          <w:noProof/>
        </w:rPr>
        <w:t>apdrošināšanas palīgpakalpojumus;</w:t>
      </w:r>
    </w:p>
    <w:p w:rsidR="003E022D" w:rsidRDefault="007D19D6">
      <w:pPr>
        <w:numPr>
          <w:ilvl w:val="0"/>
          <w:numId w:val="805"/>
        </w:numPr>
        <w:rPr>
          <w:rFonts w:eastAsia="Calibri" w:cs="Times New Roman"/>
          <w:noProof/>
        </w:rPr>
      </w:pPr>
      <w:r>
        <w:rPr>
          <w:noProof/>
        </w:rPr>
        <w:t xml:space="preserve">attiecībā uz banku un citu finanšu pakalpojumu sniegšanu, kā tie aprakstīti </w:t>
      </w:r>
      <w:r>
        <w:rPr>
          <w:noProof/>
          <w:highlight w:val="cyan"/>
        </w:rPr>
        <w:t>SERVIN.5.38. panta [Definīcijas]</w:t>
      </w:r>
      <w:r>
        <w:rPr>
          <w:noProof/>
        </w:rPr>
        <w:t xml:space="preserve"> banku</w:t>
      </w:r>
      <w:r>
        <w:rPr>
          <w:noProof/>
        </w:rPr>
        <w:t xml:space="preserve"> un citu finanšu pakalpojumu (izņemot apdrošināšanu) definīcijas </w:t>
      </w:r>
      <w:r>
        <w:rPr>
          <w:noProof/>
          <w:highlight w:val="cyan"/>
        </w:rPr>
        <w:t>a) punkta ii) apakšpunkta L) punktā,</w:t>
      </w:r>
      <w:r>
        <w:rPr>
          <w:noProof/>
        </w:rPr>
        <w:t xml:space="preserve"> izņemot finanšu informācijas sniegšanu un nodošanu un finanšu datu apstrādi un saistīto programmatūru, ko veic citu finanšu pakalpojumu sniedzēji. </w:t>
      </w:r>
    </w:p>
    <w:p w:rsidR="003E022D" w:rsidRDefault="007D19D6">
      <w:pPr>
        <w:rPr>
          <w:rFonts w:eastAsia="Calibri" w:cs="Times New Roman"/>
          <w:noProof/>
        </w:rPr>
      </w:pPr>
      <w:r>
        <w:rPr>
          <w:b/>
          <w:noProof/>
        </w:rPr>
        <w:t>CY</w:t>
      </w:r>
      <w:r>
        <w:rPr>
          <w:noProof/>
        </w:rPr>
        <w:t xml:space="preserve">: </w:t>
      </w:r>
    </w:p>
    <w:p w:rsidR="003E022D" w:rsidRDefault="007D19D6">
      <w:pPr>
        <w:numPr>
          <w:ilvl w:val="0"/>
          <w:numId w:val="796"/>
        </w:numPr>
        <w:rPr>
          <w:rFonts w:eastAsia="Calibri" w:cs="Times New Roman"/>
          <w:noProof/>
        </w:rPr>
      </w:pPr>
      <w:r>
        <w:rPr>
          <w:noProof/>
        </w:rPr>
        <w:t>t</w:t>
      </w:r>
      <w:r>
        <w:rPr>
          <w:noProof/>
        </w:rPr>
        <w:t xml:space="preserve">iešās apdrošināšanas (tostarp kopapdrošināšanas) pakalpojumus tādu risku apdrošināšanai, kas attiecas uz: </w:t>
      </w:r>
    </w:p>
    <w:p w:rsidR="003E022D" w:rsidRDefault="007D19D6">
      <w:pPr>
        <w:numPr>
          <w:ilvl w:val="1"/>
          <w:numId w:val="796"/>
        </w:numPr>
        <w:rPr>
          <w:rFonts w:eastAsia="Calibri" w:cs="Times New Roman"/>
          <w:noProof/>
        </w:rPr>
      </w:pPr>
      <w:r>
        <w:rPr>
          <w:noProof/>
        </w:rPr>
        <w:t>jūras transportu, komercaviāciju un kosmosa kuģu palaišanu un kravu, tostarp pavadoņu, nogādāšanu kosmosā, ja šī apdrošināšana attiecas uz kādu vai v</w:t>
      </w:r>
      <w:r>
        <w:rPr>
          <w:noProof/>
        </w:rPr>
        <w:t>isu no turpmāk minētā: transportētajām precēm, transportlīdzekli, ar ko transportē preces, un ar to saistīto visu veidu atbildību, un</w:t>
      </w:r>
    </w:p>
    <w:p w:rsidR="003E022D" w:rsidRDefault="007D19D6">
      <w:pPr>
        <w:numPr>
          <w:ilvl w:val="1"/>
          <w:numId w:val="796"/>
        </w:numPr>
        <w:rPr>
          <w:rFonts w:eastAsia="Calibri" w:cs="Times New Roman"/>
          <w:noProof/>
        </w:rPr>
      </w:pPr>
      <w:r>
        <w:rPr>
          <w:noProof/>
        </w:rPr>
        <w:t>precēm starptautiskajā tranzītā;</w:t>
      </w:r>
    </w:p>
    <w:p w:rsidR="003E022D" w:rsidRDefault="007D19D6">
      <w:pPr>
        <w:numPr>
          <w:ilvl w:val="0"/>
          <w:numId w:val="796"/>
        </w:numPr>
        <w:rPr>
          <w:rFonts w:eastAsia="Calibri" w:cs="Times New Roman"/>
          <w:noProof/>
        </w:rPr>
      </w:pPr>
      <w:r>
        <w:rPr>
          <w:noProof/>
        </w:rPr>
        <w:t>apdrošināšanas starpniecības pakalpojumus;</w:t>
      </w:r>
    </w:p>
    <w:p w:rsidR="003E022D" w:rsidRDefault="007D19D6">
      <w:pPr>
        <w:numPr>
          <w:ilvl w:val="0"/>
          <w:numId w:val="796"/>
        </w:numPr>
        <w:rPr>
          <w:rFonts w:eastAsia="Calibri" w:cs="Times New Roman"/>
          <w:noProof/>
        </w:rPr>
      </w:pPr>
      <w:r>
        <w:rPr>
          <w:noProof/>
        </w:rPr>
        <w:t xml:space="preserve">pārapdrošināšanu un retrocesiju; </w:t>
      </w:r>
    </w:p>
    <w:p w:rsidR="003E022D" w:rsidRDefault="007D19D6">
      <w:pPr>
        <w:numPr>
          <w:ilvl w:val="0"/>
          <w:numId w:val="796"/>
        </w:numPr>
        <w:rPr>
          <w:rFonts w:eastAsia="Calibri" w:cs="Times New Roman"/>
          <w:noProof/>
        </w:rPr>
      </w:pPr>
      <w:r>
        <w:rPr>
          <w:noProof/>
        </w:rPr>
        <w:t>apdrošināšanas palīgpakalpojumus;</w:t>
      </w:r>
    </w:p>
    <w:p w:rsidR="003E022D" w:rsidRDefault="007D19D6">
      <w:pPr>
        <w:numPr>
          <w:ilvl w:val="0"/>
          <w:numId w:val="796"/>
        </w:numPr>
        <w:rPr>
          <w:rFonts w:eastAsia="Calibri" w:cs="Times New Roman"/>
          <w:noProof/>
        </w:rPr>
      </w:pPr>
      <w:r>
        <w:rPr>
          <w:noProof/>
        </w:rPr>
        <w:t>pārvedamo vērtspapīru tirdzniecību savā vārdā vai klientu vārdā biržā vai ārpusbiržas tirgū vai citādi;</w:t>
      </w:r>
    </w:p>
    <w:p w:rsidR="003E022D" w:rsidRDefault="007D19D6">
      <w:pPr>
        <w:numPr>
          <w:ilvl w:val="0"/>
          <w:numId w:val="796"/>
        </w:numPr>
        <w:rPr>
          <w:rFonts w:eastAsia="Calibri" w:cs="Times New Roman"/>
          <w:noProof/>
        </w:rPr>
      </w:pPr>
      <w:r>
        <w:rPr>
          <w:noProof/>
        </w:rPr>
        <w:t>finanšu informācijas sniegšanu un nosūtīšanu, finanšu datu apstrādi un saistīto programmatūru, ko nodrošina citu finan</w:t>
      </w:r>
      <w:r>
        <w:rPr>
          <w:noProof/>
        </w:rPr>
        <w:t>šu pakalpojumu sniedzēji, un</w:t>
      </w:r>
    </w:p>
    <w:p w:rsidR="003E022D" w:rsidRDefault="007D19D6">
      <w:pPr>
        <w:numPr>
          <w:ilvl w:val="0"/>
          <w:numId w:val="796"/>
        </w:numPr>
        <w:rPr>
          <w:rFonts w:eastAsia="Calibri" w:cs="Times New Roman"/>
          <w:noProof/>
        </w:rPr>
      </w:pPr>
      <w:r>
        <w:rPr>
          <w:noProof/>
        </w:rPr>
        <w:t xml:space="preserve">konsultatīvos un citus finanšu palīgpakalpojumus, kas saistīti ar banku un citiem finanšu pakalpojumiem, kā aprakstīts </w:t>
      </w:r>
      <w:r>
        <w:rPr>
          <w:noProof/>
          <w:highlight w:val="cyan"/>
        </w:rPr>
        <w:t>SERVIN.5.38. pantā [Definīcijas]</w:t>
      </w:r>
      <w:r>
        <w:rPr>
          <w:noProof/>
        </w:rPr>
        <w:t xml:space="preserve"> minētās banku un citu finanšu pakalpojumu (izņemot apdrošināšanu) definīcij</w:t>
      </w:r>
      <w:r>
        <w:rPr>
          <w:noProof/>
        </w:rPr>
        <w:t xml:space="preserve">as </w:t>
      </w:r>
      <w:r>
        <w:rPr>
          <w:noProof/>
          <w:highlight w:val="cyan"/>
        </w:rPr>
        <w:t>a) punkta ii) apakšpunkta L) punktā</w:t>
      </w:r>
      <w:r>
        <w:rPr>
          <w:noProof/>
        </w:rPr>
        <w:t xml:space="preserve">, bet izņemot minētajā punktā aprakstītos starpniecības pakalpojumus. </w:t>
      </w:r>
    </w:p>
    <w:p w:rsidR="003E022D" w:rsidRDefault="007D19D6">
      <w:pPr>
        <w:rPr>
          <w:rFonts w:eastAsia="Calibri" w:cs="Times New Roman"/>
          <w:b/>
          <w:bCs/>
          <w:noProof/>
        </w:rPr>
      </w:pPr>
      <w:r>
        <w:rPr>
          <w:b/>
          <w:bCs/>
          <w:noProof/>
        </w:rPr>
        <w:t>EE</w:t>
      </w:r>
      <w:r>
        <w:rPr>
          <w:noProof/>
        </w:rPr>
        <w:t>:</w:t>
      </w:r>
      <w:r>
        <w:rPr>
          <w:b/>
          <w:bCs/>
          <w:noProof/>
        </w:rPr>
        <w:t xml:space="preserve"> </w:t>
      </w:r>
    </w:p>
    <w:p w:rsidR="003E022D" w:rsidRDefault="007D19D6">
      <w:pPr>
        <w:numPr>
          <w:ilvl w:val="0"/>
          <w:numId w:val="795"/>
        </w:numPr>
        <w:ind w:hanging="294"/>
        <w:rPr>
          <w:rFonts w:eastAsia="Calibri" w:cs="Times New Roman"/>
          <w:noProof/>
        </w:rPr>
      </w:pPr>
      <w:r>
        <w:rPr>
          <w:noProof/>
        </w:rPr>
        <w:t>tiešo apdrošināšanu (tostarp kopapdrošināšanu);</w:t>
      </w:r>
    </w:p>
    <w:p w:rsidR="003E022D" w:rsidRDefault="007D19D6">
      <w:pPr>
        <w:numPr>
          <w:ilvl w:val="0"/>
          <w:numId w:val="795"/>
        </w:numPr>
        <w:ind w:hanging="294"/>
        <w:rPr>
          <w:rFonts w:eastAsia="Calibri" w:cs="Times New Roman"/>
          <w:noProof/>
        </w:rPr>
      </w:pPr>
      <w:r>
        <w:rPr>
          <w:noProof/>
        </w:rPr>
        <w:t>pārapdrošināšanu un retrocesiju;</w:t>
      </w:r>
    </w:p>
    <w:p w:rsidR="003E022D" w:rsidRDefault="007D19D6">
      <w:pPr>
        <w:numPr>
          <w:ilvl w:val="0"/>
          <w:numId w:val="795"/>
        </w:numPr>
        <w:ind w:hanging="294"/>
        <w:rPr>
          <w:rFonts w:eastAsia="Calibri" w:cs="Times New Roman"/>
          <w:noProof/>
        </w:rPr>
      </w:pPr>
      <w:r>
        <w:rPr>
          <w:noProof/>
        </w:rPr>
        <w:t>apdrošināšanas starpniecības pakalpojumus;</w:t>
      </w:r>
    </w:p>
    <w:p w:rsidR="003E022D" w:rsidRDefault="007D19D6">
      <w:pPr>
        <w:numPr>
          <w:ilvl w:val="0"/>
          <w:numId w:val="795"/>
        </w:numPr>
        <w:ind w:hanging="294"/>
        <w:rPr>
          <w:rFonts w:eastAsia="Calibri" w:cs="Times New Roman"/>
          <w:noProof/>
        </w:rPr>
      </w:pPr>
      <w:r>
        <w:rPr>
          <w:noProof/>
        </w:rPr>
        <w:t>apdrošināšanas pal</w:t>
      </w:r>
      <w:r>
        <w:rPr>
          <w:noProof/>
        </w:rPr>
        <w:t>īgpakalpojumus;</w:t>
      </w:r>
    </w:p>
    <w:p w:rsidR="003E022D" w:rsidRDefault="007D19D6">
      <w:pPr>
        <w:numPr>
          <w:ilvl w:val="0"/>
          <w:numId w:val="795"/>
        </w:numPr>
        <w:ind w:hanging="294"/>
        <w:rPr>
          <w:rFonts w:eastAsia="Calibri" w:cs="Times New Roman"/>
          <w:noProof/>
        </w:rPr>
      </w:pPr>
      <w:r>
        <w:rPr>
          <w:noProof/>
        </w:rPr>
        <w:t xml:space="preserve">noguldījumu pieņemšanu; </w:t>
      </w:r>
    </w:p>
    <w:p w:rsidR="003E022D" w:rsidRDefault="007D19D6">
      <w:pPr>
        <w:numPr>
          <w:ilvl w:val="0"/>
          <w:numId w:val="795"/>
        </w:numPr>
        <w:ind w:hanging="294"/>
        <w:rPr>
          <w:rFonts w:eastAsia="Calibri" w:cs="Times New Roman"/>
          <w:noProof/>
        </w:rPr>
      </w:pPr>
      <w:r>
        <w:rPr>
          <w:noProof/>
        </w:rPr>
        <w:t xml:space="preserve"> dažādas aizdošanas darbības; </w:t>
      </w:r>
    </w:p>
    <w:p w:rsidR="003E022D" w:rsidRDefault="007D19D6">
      <w:pPr>
        <w:numPr>
          <w:ilvl w:val="0"/>
          <w:numId w:val="795"/>
        </w:numPr>
        <w:ind w:hanging="294"/>
        <w:rPr>
          <w:rFonts w:eastAsia="Calibri" w:cs="Times New Roman"/>
          <w:noProof/>
        </w:rPr>
      </w:pPr>
      <w:r>
        <w:rPr>
          <w:noProof/>
        </w:rPr>
        <w:t xml:space="preserve">izpirkumnomu; </w:t>
      </w:r>
    </w:p>
    <w:p w:rsidR="003E022D" w:rsidRDefault="007D19D6">
      <w:pPr>
        <w:numPr>
          <w:ilvl w:val="0"/>
          <w:numId w:val="795"/>
        </w:numPr>
        <w:ind w:hanging="294"/>
        <w:rPr>
          <w:rFonts w:eastAsia="Calibri" w:cs="Times New Roman"/>
          <w:noProof/>
        </w:rPr>
      </w:pPr>
      <w:r>
        <w:rPr>
          <w:noProof/>
        </w:rPr>
        <w:t xml:space="preserve">visus maksājumu un naudas pārsūtīšanas pakalpojumus; garantijas un saistības; </w:t>
      </w:r>
    </w:p>
    <w:p w:rsidR="003E022D" w:rsidRDefault="007D19D6">
      <w:pPr>
        <w:numPr>
          <w:ilvl w:val="0"/>
          <w:numId w:val="795"/>
        </w:numPr>
        <w:ind w:hanging="294"/>
        <w:rPr>
          <w:rFonts w:eastAsia="Calibri" w:cs="Times New Roman"/>
          <w:noProof/>
        </w:rPr>
      </w:pPr>
      <w:r>
        <w:rPr>
          <w:noProof/>
        </w:rPr>
        <w:t xml:space="preserve">tirdzniecību savā vārdā vai klientu vārdā biržā vai ārpusbiržas tirgū; </w:t>
      </w:r>
    </w:p>
    <w:p w:rsidR="003E022D" w:rsidRDefault="007D19D6">
      <w:pPr>
        <w:numPr>
          <w:ilvl w:val="0"/>
          <w:numId w:val="795"/>
        </w:numPr>
        <w:ind w:hanging="294"/>
        <w:rPr>
          <w:rFonts w:eastAsia="Calibri" w:cs="Times New Roman"/>
          <w:noProof/>
        </w:rPr>
      </w:pPr>
      <w:r>
        <w:rPr>
          <w:noProof/>
        </w:rPr>
        <w:t xml:space="preserve"> dalību visu veidu</w:t>
      </w:r>
      <w:r>
        <w:rPr>
          <w:noProof/>
        </w:rPr>
        <w:t xml:space="preserve"> vērtspapīru emisijā, t. sk. riska parakstīšana un izvietošana, darbojoties kā aģentam (publiski vai privāti), un pakalpojumu sniegšana saistībā ar šādu emisiju; </w:t>
      </w:r>
    </w:p>
    <w:p w:rsidR="003E022D" w:rsidRDefault="007D19D6">
      <w:pPr>
        <w:numPr>
          <w:ilvl w:val="0"/>
          <w:numId w:val="795"/>
        </w:numPr>
        <w:ind w:hanging="294"/>
        <w:rPr>
          <w:rFonts w:eastAsia="Calibri" w:cs="Times New Roman"/>
          <w:noProof/>
        </w:rPr>
      </w:pPr>
      <w:r>
        <w:rPr>
          <w:noProof/>
        </w:rPr>
        <w:t xml:space="preserve">starpniecību naudas tirgus darījumos; </w:t>
      </w:r>
    </w:p>
    <w:p w:rsidR="003E022D" w:rsidRDefault="007D19D6">
      <w:pPr>
        <w:numPr>
          <w:ilvl w:val="0"/>
          <w:numId w:val="795"/>
        </w:numPr>
        <w:ind w:hanging="294"/>
        <w:rPr>
          <w:rFonts w:eastAsia="Calibri" w:cs="Times New Roman"/>
          <w:noProof/>
        </w:rPr>
      </w:pPr>
      <w:r>
        <w:rPr>
          <w:noProof/>
        </w:rPr>
        <w:t xml:space="preserve">aktīvu, piemēram, skaidras naudas vai portfeļa, pārvaldību, visu veidu kolektīvo ieguldījumu pārvaldību, uzkrājumu uzraudzības, depozītu pārvaldības un trasta pakalpojumus; </w:t>
      </w:r>
    </w:p>
    <w:p w:rsidR="003E022D" w:rsidRDefault="007D19D6">
      <w:pPr>
        <w:numPr>
          <w:ilvl w:val="0"/>
          <w:numId w:val="795"/>
        </w:numPr>
        <w:ind w:hanging="294"/>
        <w:rPr>
          <w:rFonts w:eastAsia="Calibri" w:cs="Times New Roman"/>
          <w:noProof/>
        </w:rPr>
      </w:pPr>
      <w:r>
        <w:rPr>
          <w:noProof/>
        </w:rPr>
        <w:t xml:space="preserve"> finanšu aktīvu, t. sk. vērtspapīru, atvasināto finanšu instrumentu un citu apgroz</w:t>
      </w:r>
      <w:r>
        <w:rPr>
          <w:noProof/>
        </w:rPr>
        <w:t xml:space="preserve">āmo līdzekļu, norēķinu un mijieskaita pakalpojumus; </w:t>
      </w:r>
    </w:p>
    <w:p w:rsidR="003E022D" w:rsidRDefault="007D19D6">
      <w:pPr>
        <w:numPr>
          <w:ilvl w:val="0"/>
          <w:numId w:val="795"/>
        </w:numPr>
        <w:ind w:hanging="294"/>
        <w:rPr>
          <w:rFonts w:eastAsia="Calibri" w:cs="Times New Roman"/>
          <w:noProof/>
        </w:rPr>
      </w:pPr>
      <w:r>
        <w:rPr>
          <w:noProof/>
        </w:rPr>
        <w:t xml:space="preserve"> finanšu informācijas sniegšanu un nosūtīšanu un finanšu datu apstrādi un ar to saistīto programmatūru, un </w:t>
      </w:r>
    </w:p>
    <w:p w:rsidR="003E022D" w:rsidRDefault="007D19D6">
      <w:pPr>
        <w:numPr>
          <w:ilvl w:val="0"/>
          <w:numId w:val="795"/>
        </w:numPr>
        <w:ind w:hanging="294"/>
        <w:rPr>
          <w:rFonts w:eastAsia="Calibri" w:cs="Times New Roman"/>
          <w:noProof/>
        </w:rPr>
      </w:pPr>
      <w:r>
        <w:rPr>
          <w:noProof/>
        </w:rPr>
        <w:t>konsultatīvos un citus finanšu palīgpakalpojumus, kas saistīti ar banku un citiem finanšu pakal</w:t>
      </w:r>
      <w:r>
        <w:rPr>
          <w:noProof/>
        </w:rPr>
        <w:t xml:space="preserve">pojumiem, kā aprakstīts </w:t>
      </w:r>
      <w:r>
        <w:rPr>
          <w:noProof/>
          <w:highlight w:val="cyan"/>
        </w:rPr>
        <w:t>SERVIN.5.38. pantā [Definīcijas]</w:t>
      </w:r>
      <w:r>
        <w:rPr>
          <w:noProof/>
        </w:rPr>
        <w:t xml:space="preserve"> minētās banku un citu finanšu pakalpojumu (izņemot apdrošināšanu) definīcijas </w:t>
      </w:r>
      <w:r>
        <w:rPr>
          <w:noProof/>
          <w:highlight w:val="cyan"/>
        </w:rPr>
        <w:t>a) punkta ii) apakšpunkta L) punktā</w:t>
      </w:r>
      <w:r>
        <w:rPr>
          <w:noProof/>
        </w:rPr>
        <w:t xml:space="preserve">, bet izņemot minētajā punktā aprakstītos starpniecības pakalpojumus. </w:t>
      </w:r>
    </w:p>
    <w:p w:rsidR="003E022D" w:rsidRDefault="007D19D6">
      <w:pPr>
        <w:rPr>
          <w:rFonts w:eastAsia="Calibri" w:cs="Times New Roman"/>
          <w:b/>
          <w:noProof/>
        </w:rPr>
      </w:pPr>
      <w:r>
        <w:rPr>
          <w:b/>
          <w:noProof/>
        </w:rPr>
        <w:t>LT</w:t>
      </w:r>
      <w:r>
        <w:rPr>
          <w:noProof/>
        </w:rPr>
        <w:t>:</w:t>
      </w:r>
      <w:r>
        <w:rPr>
          <w:b/>
          <w:noProof/>
        </w:rPr>
        <w:t xml:space="preserve"> </w:t>
      </w:r>
    </w:p>
    <w:p w:rsidR="003E022D" w:rsidRDefault="007D19D6">
      <w:pPr>
        <w:numPr>
          <w:ilvl w:val="0"/>
          <w:numId w:val="803"/>
        </w:numPr>
        <w:rPr>
          <w:rFonts w:eastAsia="Calibri" w:cs="Times New Roman"/>
          <w:noProof/>
        </w:rPr>
      </w:pPr>
      <w:r>
        <w:rPr>
          <w:noProof/>
        </w:rPr>
        <w:t>tiešās apd</w:t>
      </w:r>
      <w:r>
        <w:rPr>
          <w:noProof/>
        </w:rPr>
        <w:t xml:space="preserve">rošināšanas (tostarp kopapdrošināšanas) pakalpojumus tādu risku apdrošināšanai, kas attiecas uz: </w:t>
      </w:r>
    </w:p>
    <w:p w:rsidR="003E022D" w:rsidRDefault="007D19D6">
      <w:pPr>
        <w:numPr>
          <w:ilvl w:val="1"/>
          <w:numId w:val="802"/>
        </w:numPr>
        <w:rPr>
          <w:rFonts w:eastAsia="Calibri" w:cs="Times New Roman"/>
          <w:noProof/>
        </w:rPr>
      </w:pPr>
      <w:r>
        <w:rPr>
          <w:noProof/>
        </w:rPr>
        <w:t>jūras transportu, komercaviāciju un kosmosa kuģu palaišanu un kravu, tostarp pavadoņu, nogādāšanu kosmosā, ja šī apdrošināšana attiecas uz kādu vai visu no tu</w:t>
      </w:r>
      <w:r>
        <w:rPr>
          <w:noProof/>
        </w:rPr>
        <w:t>rpmāk minētā: transportētajām precēm, transportlīdzekli, ar ko transportē preces, un ar to saistīto visu veidu atbildību, un</w:t>
      </w:r>
    </w:p>
    <w:p w:rsidR="003E022D" w:rsidRDefault="007D19D6">
      <w:pPr>
        <w:numPr>
          <w:ilvl w:val="1"/>
          <w:numId w:val="802"/>
        </w:numPr>
        <w:rPr>
          <w:rFonts w:eastAsia="Calibri" w:cs="Times New Roman"/>
          <w:noProof/>
        </w:rPr>
      </w:pPr>
      <w:r>
        <w:rPr>
          <w:noProof/>
        </w:rPr>
        <w:t>precēm starptautiskajā tranzītā;</w:t>
      </w:r>
    </w:p>
    <w:p w:rsidR="003E022D" w:rsidRDefault="007D19D6">
      <w:pPr>
        <w:numPr>
          <w:ilvl w:val="0"/>
          <w:numId w:val="802"/>
        </w:numPr>
        <w:rPr>
          <w:rFonts w:eastAsia="Calibri" w:cs="Times New Roman"/>
          <w:noProof/>
        </w:rPr>
      </w:pPr>
      <w:r>
        <w:rPr>
          <w:noProof/>
        </w:rPr>
        <w:t xml:space="preserve">pārapdrošināšanu un retrocesiju; </w:t>
      </w:r>
    </w:p>
    <w:p w:rsidR="003E022D" w:rsidRDefault="007D19D6">
      <w:pPr>
        <w:numPr>
          <w:ilvl w:val="0"/>
          <w:numId w:val="802"/>
        </w:numPr>
        <w:rPr>
          <w:rFonts w:eastAsia="Calibri" w:cs="Times New Roman"/>
          <w:noProof/>
        </w:rPr>
      </w:pPr>
      <w:r>
        <w:rPr>
          <w:noProof/>
        </w:rPr>
        <w:t>apdrošināšanas palīgpakalpojumus;</w:t>
      </w:r>
    </w:p>
    <w:p w:rsidR="003E022D" w:rsidRDefault="007D19D6">
      <w:pPr>
        <w:numPr>
          <w:ilvl w:val="0"/>
          <w:numId w:val="802"/>
        </w:numPr>
        <w:rPr>
          <w:rFonts w:eastAsia="Calibri" w:cs="Times New Roman"/>
          <w:noProof/>
        </w:rPr>
      </w:pPr>
      <w:r>
        <w:rPr>
          <w:noProof/>
        </w:rPr>
        <w:t xml:space="preserve">noguldījumu pieņemšanu; </w:t>
      </w:r>
    </w:p>
    <w:p w:rsidR="003E022D" w:rsidRDefault="007D19D6">
      <w:pPr>
        <w:numPr>
          <w:ilvl w:val="0"/>
          <w:numId w:val="802"/>
        </w:numPr>
        <w:rPr>
          <w:rFonts w:eastAsia="Calibri" w:cs="Times New Roman"/>
          <w:noProof/>
        </w:rPr>
      </w:pPr>
      <w:r>
        <w:rPr>
          <w:noProof/>
        </w:rPr>
        <w:t xml:space="preserve"> dažādas aizdošanas darbības; </w:t>
      </w:r>
    </w:p>
    <w:p w:rsidR="003E022D" w:rsidRDefault="007D19D6">
      <w:pPr>
        <w:numPr>
          <w:ilvl w:val="0"/>
          <w:numId w:val="802"/>
        </w:numPr>
        <w:rPr>
          <w:rFonts w:eastAsia="Calibri" w:cs="Times New Roman"/>
          <w:noProof/>
        </w:rPr>
      </w:pPr>
      <w:r>
        <w:rPr>
          <w:noProof/>
        </w:rPr>
        <w:t xml:space="preserve"> finanšu nomu; </w:t>
      </w:r>
    </w:p>
    <w:p w:rsidR="003E022D" w:rsidRDefault="007D19D6">
      <w:pPr>
        <w:numPr>
          <w:ilvl w:val="0"/>
          <w:numId w:val="802"/>
        </w:numPr>
        <w:rPr>
          <w:rFonts w:eastAsia="Calibri" w:cs="Times New Roman"/>
          <w:noProof/>
        </w:rPr>
      </w:pPr>
      <w:r>
        <w:rPr>
          <w:noProof/>
        </w:rPr>
        <w:t xml:space="preserve"> visus maksājumu un naudas pārsūtīšanas pakalpojumus; garantijas un saistības; </w:t>
      </w:r>
    </w:p>
    <w:p w:rsidR="003E022D" w:rsidRDefault="007D19D6">
      <w:pPr>
        <w:numPr>
          <w:ilvl w:val="0"/>
          <w:numId w:val="802"/>
        </w:numPr>
        <w:rPr>
          <w:rFonts w:eastAsia="Calibri" w:cs="Times New Roman"/>
          <w:noProof/>
        </w:rPr>
      </w:pPr>
      <w:r>
        <w:rPr>
          <w:noProof/>
        </w:rPr>
        <w:t xml:space="preserve">tirdzniecību savā vārdā vai klientu vārdā biržā vai ārpusbiržas tirgū; </w:t>
      </w:r>
    </w:p>
    <w:p w:rsidR="003E022D" w:rsidRDefault="007D19D6">
      <w:pPr>
        <w:numPr>
          <w:ilvl w:val="0"/>
          <w:numId w:val="802"/>
        </w:numPr>
        <w:rPr>
          <w:rFonts w:eastAsia="Calibri" w:cs="Times New Roman"/>
          <w:noProof/>
        </w:rPr>
      </w:pPr>
      <w:r>
        <w:rPr>
          <w:noProof/>
        </w:rPr>
        <w:t xml:space="preserve"> dalību visu veidu vērtspapīru emisijā, t. sk. riska para</w:t>
      </w:r>
      <w:r>
        <w:rPr>
          <w:noProof/>
        </w:rPr>
        <w:t xml:space="preserve">kstīšana un izvietošana, darbojoties kā aģentam (publiski vai privāti), un pakalpojumu sniegšanu saistībā ar šādu emisiju; </w:t>
      </w:r>
    </w:p>
    <w:p w:rsidR="003E022D" w:rsidRDefault="007D19D6">
      <w:pPr>
        <w:numPr>
          <w:ilvl w:val="0"/>
          <w:numId w:val="802"/>
        </w:numPr>
        <w:rPr>
          <w:rFonts w:eastAsia="Calibri" w:cs="Times New Roman"/>
          <w:noProof/>
        </w:rPr>
      </w:pPr>
      <w:r>
        <w:rPr>
          <w:noProof/>
        </w:rPr>
        <w:t xml:space="preserve">starpniecību naudas darījumos; </w:t>
      </w:r>
    </w:p>
    <w:p w:rsidR="003E022D" w:rsidRDefault="007D19D6">
      <w:pPr>
        <w:numPr>
          <w:ilvl w:val="0"/>
          <w:numId w:val="802"/>
        </w:numPr>
        <w:rPr>
          <w:rFonts w:eastAsia="Calibri" w:cs="Times New Roman"/>
          <w:noProof/>
        </w:rPr>
      </w:pPr>
      <w:r>
        <w:rPr>
          <w:noProof/>
        </w:rPr>
        <w:t>aktīvu, piemēram, skaidras naudas vai portfeļa, pārvaldību, visu veidu kolektīvo ieguldījumu pārvald</w:t>
      </w:r>
      <w:r>
        <w:rPr>
          <w:noProof/>
        </w:rPr>
        <w:t xml:space="preserve">ību, uzkrājumu uzraudzības, depozītu pārvaldības un trasta pakalpojumus; </w:t>
      </w:r>
    </w:p>
    <w:p w:rsidR="003E022D" w:rsidRDefault="007D19D6">
      <w:pPr>
        <w:numPr>
          <w:ilvl w:val="0"/>
          <w:numId w:val="802"/>
        </w:numPr>
        <w:rPr>
          <w:rFonts w:eastAsia="Calibri" w:cs="Times New Roman"/>
          <w:noProof/>
        </w:rPr>
      </w:pPr>
      <w:r>
        <w:rPr>
          <w:noProof/>
        </w:rPr>
        <w:t xml:space="preserve"> finanšu aktīvu, t. sk. vērtspapīru, atvasināto finanšu instrumentu un citu apgrozāmo līdzekļu, norēķinu un mijieskaita pakalpojumus; </w:t>
      </w:r>
    </w:p>
    <w:p w:rsidR="003E022D" w:rsidRDefault="007D19D6">
      <w:pPr>
        <w:numPr>
          <w:ilvl w:val="0"/>
          <w:numId w:val="802"/>
        </w:numPr>
        <w:rPr>
          <w:rFonts w:eastAsia="Calibri" w:cs="Times New Roman"/>
          <w:noProof/>
        </w:rPr>
      </w:pPr>
      <w:r>
        <w:rPr>
          <w:noProof/>
        </w:rPr>
        <w:t xml:space="preserve"> finanšu informācijas sniegšanu un nosūtīšanu u</w:t>
      </w:r>
      <w:r>
        <w:rPr>
          <w:noProof/>
        </w:rPr>
        <w:t xml:space="preserve">n finanšu datu apstrādi un ar to saistītu programmatūru, un </w:t>
      </w:r>
    </w:p>
    <w:p w:rsidR="003E022D" w:rsidRDefault="007D19D6">
      <w:pPr>
        <w:numPr>
          <w:ilvl w:val="0"/>
          <w:numId w:val="802"/>
        </w:numPr>
        <w:rPr>
          <w:rFonts w:eastAsia="Calibri" w:cs="Times New Roman"/>
          <w:noProof/>
        </w:rPr>
      </w:pPr>
      <w:r>
        <w:rPr>
          <w:noProof/>
        </w:rPr>
        <w:t xml:space="preserve">konsultatīvos un citus finanšu palīgpakalpojumus, kas saistīti ar banku un citiem finanšu pakalpojumiem, kā aprakstīts </w:t>
      </w:r>
      <w:r>
        <w:rPr>
          <w:noProof/>
          <w:highlight w:val="cyan"/>
        </w:rPr>
        <w:t>SERVIN.5.38. pantā [Definīcijas]</w:t>
      </w:r>
      <w:r>
        <w:rPr>
          <w:noProof/>
        </w:rPr>
        <w:t xml:space="preserve"> minētās banku un citu finanšu pakalpojumu (</w:t>
      </w:r>
      <w:r>
        <w:rPr>
          <w:noProof/>
        </w:rPr>
        <w:t xml:space="preserve">izņemot apdrošināšanu) definīcijas </w:t>
      </w:r>
      <w:r>
        <w:rPr>
          <w:noProof/>
          <w:highlight w:val="cyan"/>
        </w:rPr>
        <w:t>a) punkta ii) apakšpunkta L) punktā</w:t>
      </w:r>
      <w:r>
        <w:rPr>
          <w:noProof/>
        </w:rPr>
        <w:t xml:space="preserve">, bet izņemot minētajā punktā aprakstītos starpniecības pakalpojumus. </w:t>
      </w:r>
    </w:p>
    <w:p w:rsidR="003E022D" w:rsidRDefault="007D19D6">
      <w:pPr>
        <w:rPr>
          <w:rFonts w:eastAsia="Calibri" w:cs="Times New Roman"/>
          <w:noProof/>
        </w:rPr>
      </w:pPr>
      <w:r>
        <w:rPr>
          <w:b/>
          <w:noProof/>
        </w:rPr>
        <w:t>LV</w:t>
      </w:r>
      <w:r>
        <w:rPr>
          <w:noProof/>
        </w:rPr>
        <w:t xml:space="preserve">: </w:t>
      </w:r>
    </w:p>
    <w:p w:rsidR="003E022D" w:rsidRDefault="007D19D6">
      <w:pPr>
        <w:numPr>
          <w:ilvl w:val="0"/>
          <w:numId w:val="797"/>
        </w:numPr>
        <w:rPr>
          <w:rFonts w:eastAsia="Calibri" w:cs="Times New Roman"/>
          <w:noProof/>
        </w:rPr>
      </w:pPr>
      <w:r>
        <w:rPr>
          <w:noProof/>
        </w:rPr>
        <w:t xml:space="preserve">tiešās apdrošināšanas (tostarp kopapdrošināšanas) pakalpojumus tādu risku apdrošināšanai, kas attiecas uz: </w:t>
      </w:r>
    </w:p>
    <w:p w:rsidR="003E022D" w:rsidRDefault="007D19D6">
      <w:pPr>
        <w:numPr>
          <w:ilvl w:val="1"/>
          <w:numId w:val="797"/>
        </w:numPr>
        <w:rPr>
          <w:rFonts w:eastAsia="Calibri" w:cs="Times New Roman"/>
          <w:noProof/>
        </w:rPr>
      </w:pPr>
      <w:r>
        <w:rPr>
          <w:noProof/>
        </w:rPr>
        <w:t>jū</w:t>
      </w:r>
      <w:r>
        <w:rPr>
          <w:noProof/>
        </w:rPr>
        <w:t xml:space="preserve">ras transportu, komercaviāciju un kosmosa kuģu palaišanu un kravu, tostarp pavadoņu, nogādāšanu kosmosā, ja šī apdrošināšana attiecas uz kādu vai visu no turpmāk minētā: transportētajām precēm, transportlīdzekli, ar ko transportē preces, un ar to saistīto </w:t>
      </w:r>
      <w:r>
        <w:rPr>
          <w:noProof/>
        </w:rPr>
        <w:t>visu veidu atbildību, un</w:t>
      </w:r>
    </w:p>
    <w:p w:rsidR="003E022D" w:rsidRDefault="007D19D6">
      <w:pPr>
        <w:numPr>
          <w:ilvl w:val="1"/>
          <w:numId w:val="797"/>
        </w:numPr>
        <w:rPr>
          <w:rFonts w:eastAsia="Calibri" w:cs="Times New Roman"/>
          <w:noProof/>
        </w:rPr>
      </w:pPr>
      <w:r>
        <w:rPr>
          <w:noProof/>
        </w:rPr>
        <w:t>precēm starptautiskajā tranzītā;</w:t>
      </w:r>
    </w:p>
    <w:p w:rsidR="003E022D" w:rsidRDefault="007D19D6">
      <w:pPr>
        <w:numPr>
          <w:ilvl w:val="0"/>
          <w:numId w:val="797"/>
        </w:numPr>
        <w:rPr>
          <w:rFonts w:eastAsia="Calibri" w:cs="Times New Roman"/>
          <w:noProof/>
        </w:rPr>
      </w:pPr>
      <w:r>
        <w:rPr>
          <w:noProof/>
        </w:rPr>
        <w:t>pārapdrošināšanu un retrocesiju; un</w:t>
      </w:r>
    </w:p>
    <w:p w:rsidR="003E022D" w:rsidRDefault="007D19D6">
      <w:pPr>
        <w:numPr>
          <w:ilvl w:val="0"/>
          <w:numId w:val="797"/>
        </w:numPr>
        <w:rPr>
          <w:rFonts w:eastAsia="Calibri" w:cs="Times New Roman"/>
          <w:noProof/>
        </w:rPr>
      </w:pPr>
      <w:r>
        <w:rPr>
          <w:noProof/>
        </w:rPr>
        <w:t>apdrošināšanas palīgpakalpojumus;</w:t>
      </w:r>
    </w:p>
    <w:p w:rsidR="003E022D" w:rsidRDefault="007D19D6">
      <w:pPr>
        <w:numPr>
          <w:ilvl w:val="0"/>
          <w:numId w:val="797"/>
        </w:numPr>
        <w:rPr>
          <w:rFonts w:eastAsia="Calibri" w:cs="Times New Roman"/>
          <w:noProof/>
        </w:rPr>
      </w:pPr>
      <w:r>
        <w:rPr>
          <w:noProof/>
        </w:rPr>
        <w:t xml:space="preserve">dalību visu veidu vērtspapīru emisijā, t. sk. riska parakstīšana un izvietošana, darbojoties kā aģentam (publiski vai privāti), </w:t>
      </w:r>
      <w:r>
        <w:rPr>
          <w:noProof/>
        </w:rPr>
        <w:t xml:space="preserve">un pakalpojumu sniegšanu saistībā ar šādu emisiju; </w:t>
      </w:r>
    </w:p>
    <w:p w:rsidR="003E022D" w:rsidRDefault="007D19D6">
      <w:pPr>
        <w:numPr>
          <w:ilvl w:val="0"/>
          <w:numId w:val="797"/>
        </w:numPr>
        <w:rPr>
          <w:rFonts w:eastAsia="Calibri" w:cs="Times New Roman"/>
          <w:noProof/>
        </w:rPr>
      </w:pPr>
      <w:r>
        <w:rPr>
          <w:noProof/>
        </w:rPr>
        <w:t xml:space="preserve"> finanšu informācijas sniegšanu un nosūtīšanu, finanšu datu apstrādi un saistīto programmatūru, ko nodrošina citu finanšu pakalpojumu sniedzēji, un </w:t>
      </w:r>
    </w:p>
    <w:p w:rsidR="003E022D" w:rsidRDefault="007D19D6">
      <w:pPr>
        <w:numPr>
          <w:ilvl w:val="0"/>
          <w:numId w:val="797"/>
        </w:numPr>
        <w:rPr>
          <w:rFonts w:eastAsia="Calibri" w:cs="Times New Roman"/>
          <w:noProof/>
        </w:rPr>
      </w:pPr>
      <w:r>
        <w:rPr>
          <w:noProof/>
        </w:rPr>
        <w:t>konsultatīvos un citus finanšu palīgpakalpojumus, kas s</w:t>
      </w:r>
      <w:r>
        <w:rPr>
          <w:noProof/>
        </w:rPr>
        <w:t xml:space="preserve">aistīti ar banku un citiem finanšu pakalpojumiem, kā aprakstīts </w:t>
      </w:r>
      <w:r>
        <w:rPr>
          <w:noProof/>
          <w:highlight w:val="cyan"/>
        </w:rPr>
        <w:t>SERVIN.5.38. pantā [Definīcijas]</w:t>
      </w:r>
      <w:r>
        <w:rPr>
          <w:noProof/>
        </w:rPr>
        <w:t xml:space="preserve"> minētās banku un citu finanšu pakalpojumu (izņemot apdrošināšanu) definīcijas </w:t>
      </w:r>
      <w:r>
        <w:rPr>
          <w:noProof/>
          <w:highlight w:val="cyan"/>
        </w:rPr>
        <w:t>a) punkta ii) apakšpunkta L) punktā</w:t>
      </w:r>
      <w:r>
        <w:rPr>
          <w:noProof/>
        </w:rPr>
        <w:t>, bet izņemot minētajā punktā aprakstītos star</w:t>
      </w:r>
      <w:r>
        <w:rPr>
          <w:noProof/>
        </w:rPr>
        <w:t xml:space="preserve">pniecības pakalpojumus. </w:t>
      </w:r>
    </w:p>
    <w:p w:rsidR="003E022D" w:rsidRDefault="007D19D6">
      <w:pPr>
        <w:rPr>
          <w:rFonts w:eastAsia="Calibri" w:cs="Times New Roman"/>
          <w:noProof/>
        </w:rPr>
      </w:pPr>
      <w:r>
        <w:rPr>
          <w:b/>
          <w:noProof/>
        </w:rPr>
        <w:t>MT:</w:t>
      </w:r>
      <w:r>
        <w:rPr>
          <w:noProof/>
        </w:rPr>
        <w:t xml:space="preserve"> </w:t>
      </w:r>
    </w:p>
    <w:p w:rsidR="003E022D" w:rsidRDefault="007D19D6">
      <w:pPr>
        <w:numPr>
          <w:ilvl w:val="0"/>
          <w:numId w:val="798"/>
        </w:numPr>
        <w:rPr>
          <w:rFonts w:eastAsia="Calibri" w:cs="Times New Roman"/>
          <w:noProof/>
        </w:rPr>
      </w:pPr>
      <w:r>
        <w:rPr>
          <w:noProof/>
        </w:rPr>
        <w:t xml:space="preserve">tiešās apdrošināšanas (tostarp kopapdrošināšanas) pakalpojumus tādu risku apdrošināšanai, kas attiecas uz: </w:t>
      </w:r>
    </w:p>
    <w:p w:rsidR="003E022D" w:rsidRDefault="007D19D6">
      <w:pPr>
        <w:numPr>
          <w:ilvl w:val="1"/>
          <w:numId w:val="798"/>
        </w:numPr>
        <w:rPr>
          <w:rFonts w:eastAsia="Calibri" w:cs="Times New Roman"/>
          <w:noProof/>
        </w:rPr>
      </w:pPr>
      <w:r>
        <w:rPr>
          <w:noProof/>
        </w:rPr>
        <w:t>jūras transportu, komercaviāciju un kosmosa kuģu palaišanu un kravu, tostarp pavadoņu, nogādāšanu kosmosā, ja šī apdro</w:t>
      </w:r>
      <w:r>
        <w:rPr>
          <w:noProof/>
        </w:rPr>
        <w:t>šināšana attiecas uz kādu vai visu no turpmāk minētā: transportētajām precēm, transportlīdzekli, ar ko transportē preces, un ar to saistīto visu veidu atbildību, un</w:t>
      </w:r>
    </w:p>
    <w:p w:rsidR="003E022D" w:rsidRDefault="007D19D6">
      <w:pPr>
        <w:numPr>
          <w:ilvl w:val="1"/>
          <w:numId w:val="798"/>
        </w:numPr>
        <w:rPr>
          <w:rFonts w:eastAsia="Calibri" w:cs="Times New Roman"/>
          <w:noProof/>
        </w:rPr>
      </w:pPr>
      <w:r>
        <w:rPr>
          <w:noProof/>
        </w:rPr>
        <w:t>precēm starptautiskajā tranzītā;</w:t>
      </w:r>
    </w:p>
    <w:p w:rsidR="003E022D" w:rsidRDefault="007D19D6">
      <w:pPr>
        <w:numPr>
          <w:ilvl w:val="0"/>
          <w:numId w:val="798"/>
        </w:numPr>
        <w:rPr>
          <w:rFonts w:eastAsia="Calibri" w:cs="Times New Roman"/>
          <w:noProof/>
        </w:rPr>
      </w:pPr>
      <w:r>
        <w:rPr>
          <w:noProof/>
        </w:rPr>
        <w:t>pārapdrošināšanu un retrocesiju;</w:t>
      </w:r>
    </w:p>
    <w:p w:rsidR="003E022D" w:rsidRDefault="007D19D6">
      <w:pPr>
        <w:numPr>
          <w:ilvl w:val="0"/>
          <w:numId w:val="798"/>
        </w:numPr>
        <w:rPr>
          <w:rFonts w:eastAsia="Calibri" w:cs="Times New Roman"/>
          <w:noProof/>
        </w:rPr>
      </w:pPr>
      <w:r>
        <w:rPr>
          <w:noProof/>
        </w:rPr>
        <w:t xml:space="preserve">apdrošināšanas </w:t>
      </w:r>
      <w:r>
        <w:rPr>
          <w:noProof/>
        </w:rPr>
        <w:t>palīgpakalpojumus;</w:t>
      </w:r>
    </w:p>
    <w:p w:rsidR="003E022D" w:rsidRDefault="007D19D6">
      <w:pPr>
        <w:numPr>
          <w:ilvl w:val="0"/>
          <w:numId w:val="798"/>
        </w:numPr>
        <w:rPr>
          <w:rFonts w:eastAsia="Calibri" w:cs="Times New Roman"/>
          <w:noProof/>
        </w:rPr>
      </w:pPr>
      <w:r>
        <w:rPr>
          <w:noProof/>
        </w:rPr>
        <w:t xml:space="preserve">noguldījumu pieņemšanu; </w:t>
      </w:r>
    </w:p>
    <w:p w:rsidR="003E022D" w:rsidRDefault="007D19D6">
      <w:pPr>
        <w:numPr>
          <w:ilvl w:val="0"/>
          <w:numId w:val="798"/>
        </w:numPr>
        <w:rPr>
          <w:rFonts w:eastAsia="Calibri" w:cs="Times New Roman"/>
          <w:noProof/>
        </w:rPr>
      </w:pPr>
      <w:r>
        <w:rPr>
          <w:noProof/>
        </w:rPr>
        <w:t xml:space="preserve"> dažādas aizdošanas darbības;  </w:t>
      </w:r>
    </w:p>
    <w:p w:rsidR="003E022D" w:rsidRDefault="007D19D6">
      <w:pPr>
        <w:numPr>
          <w:ilvl w:val="0"/>
          <w:numId w:val="798"/>
        </w:numPr>
        <w:rPr>
          <w:rFonts w:eastAsia="Calibri" w:cs="Times New Roman"/>
          <w:noProof/>
        </w:rPr>
      </w:pPr>
      <w:r>
        <w:rPr>
          <w:noProof/>
        </w:rPr>
        <w:t xml:space="preserve">finanšu informācijas sniegšanu un nosūtīšanu, finanšu datu apstrādi un saistīto programmatūru, ko nodrošina citu finanšu pakalpojumu sniedzēji, un  </w:t>
      </w:r>
    </w:p>
    <w:p w:rsidR="003E022D" w:rsidRDefault="007D19D6">
      <w:pPr>
        <w:numPr>
          <w:ilvl w:val="0"/>
          <w:numId w:val="798"/>
        </w:numPr>
        <w:rPr>
          <w:rFonts w:eastAsia="Calibri" w:cs="Times New Roman"/>
          <w:noProof/>
        </w:rPr>
      </w:pPr>
      <w:r>
        <w:rPr>
          <w:noProof/>
        </w:rPr>
        <w:t xml:space="preserve">konsultatīvos un citus finanšu </w:t>
      </w:r>
      <w:r>
        <w:rPr>
          <w:noProof/>
        </w:rPr>
        <w:t xml:space="preserve">palīgpakalpojumus, kas saistīti ar banku un citiem finanšu pakalpojumiem, kā aprakstīts </w:t>
      </w:r>
      <w:r>
        <w:rPr>
          <w:noProof/>
          <w:highlight w:val="cyan"/>
        </w:rPr>
        <w:t>SERVIN.5.38. pantā [Definīcijas]</w:t>
      </w:r>
      <w:r>
        <w:rPr>
          <w:noProof/>
        </w:rPr>
        <w:t xml:space="preserve"> minētās banku un citu finanšu pakalpojumu (izņemot apdrošināšanu) definīcijas </w:t>
      </w:r>
      <w:r>
        <w:rPr>
          <w:noProof/>
          <w:highlight w:val="cyan"/>
        </w:rPr>
        <w:t>a) punkta ii) apakšpunkta L) punktā</w:t>
      </w:r>
      <w:r>
        <w:rPr>
          <w:noProof/>
        </w:rPr>
        <w:t>, bet izņemot minētajā</w:t>
      </w:r>
      <w:r>
        <w:rPr>
          <w:noProof/>
        </w:rPr>
        <w:t xml:space="preserve"> punktā aprakstītos starpniecības pakalpojumus. </w:t>
      </w:r>
    </w:p>
    <w:p w:rsidR="003E022D" w:rsidRDefault="007D19D6">
      <w:pPr>
        <w:rPr>
          <w:rFonts w:eastAsia="Calibri" w:cs="Times New Roman"/>
          <w:noProof/>
        </w:rPr>
      </w:pPr>
      <w:r>
        <w:rPr>
          <w:b/>
          <w:noProof/>
        </w:rPr>
        <w:t>PL:</w:t>
      </w:r>
      <w:r>
        <w:rPr>
          <w:noProof/>
        </w:rPr>
        <w:t xml:space="preserve"> </w:t>
      </w:r>
    </w:p>
    <w:p w:rsidR="003E022D" w:rsidRDefault="007D19D6">
      <w:pPr>
        <w:numPr>
          <w:ilvl w:val="0"/>
          <w:numId w:val="953"/>
        </w:numPr>
        <w:rPr>
          <w:rFonts w:eastAsia="Calibri" w:cs="Times New Roman"/>
          <w:noProof/>
        </w:rPr>
      </w:pPr>
      <w:r>
        <w:rPr>
          <w:noProof/>
        </w:rPr>
        <w:t xml:space="preserve">tiešās apdrošināšanas (tostarp līdzapdrošināšanas) pakalpojumus tādu risku apdrošināšanai, kas attiecas uz starptautiskās tirdzniecības precēm; </w:t>
      </w:r>
    </w:p>
    <w:p w:rsidR="003E022D" w:rsidRDefault="007D19D6">
      <w:pPr>
        <w:numPr>
          <w:ilvl w:val="0"/>
          <w:numId w:val="953"/>
        </w:numPr>
        <w:rPr>
          <w:rFonts w:eastAsia="Calibri" w:cs="Times New Roman"/>
          <w:noProof/>
        </w:rPr>
      </w:pPr>
      <w:r>
        <w:rPr>
          <w:noProof/>
        </w:rPr>
        <w:t>to risku pārapdrošināšanu un retrocesiju, kas saistīti ar</w:t>
      </w:r>
      <w:r>
        <w:rPr>
          <w:noProof/>
        </w:rPr>
        <w:t xml:space="preserve"> preču apdrošināšanu starptautiskajā tirdzniecībā;</w:t>
      </w:r>
    </w:p>
    <w:p w:rsidR="003E022D" w:rsidRDefault="007D19D6">
      <w:pPr>
        <w:numPr>
          <w:ilvl w:val="0"/>
          <w:numId w:val="953"/>
        </w:numPr>
        <w:rPr>
          <w:rFonts w:eastAsia="Calibri" w:cs="Times New Roman"/>
          <w:noProof/>
        </w:rPr>
      </w:pPr>
      <w:r>
        <w:rPr>
          <w:noProof/>
        </w:rPr>
        <w:t xml:space="preserve">tiešās apdrošināšanas (tostarp līdzapdrošināšanas un retrocesijas) pakalpojumus un tiešās apdrošināšanas starpniecības pakalpojumus tādu risku apdrošināšanai, kas attiecas uz: </w:t>
      </w:r>
    </w:p>
    <w:p w:rsidR="003E022D" w:rsidRDefault="007D19D6">
      <w:pPr>
        <w:numPr>
          <w:ilvl w:val="1"/>
          <w:numId w:val="798"/>
        </w:numPr>
        <w:rPr>
          <w:rFonts w:eastAsia="Calibri" w:cs="Times New Roman"/>
          <w:noProof/>
        </w:rPr>
      </w:pPr>
      <w:r>
        <w:rPr>
          <w:noProof/>
        </w:rPr>
        <w:t>jūras transportu, komercaviā</w:t>
      </w:r>
      <w:r>
        <w:rPr>
          <w:noProof/>
        </w:rPr>
        <w:t>ciju un kosmosa kuģu palaišanu un kravu, tostarp pavadoņu, nogādāšanu kosmosā, ja šī apdrošināšana attiecas uz kādu vai visu no turpmāk minētā: transportētajām precēm, transportlīdzekli, ar ko transportē preces, un ar to saistīto visu veidu atbildību, un</w:t>
      </w:r>
    </w:p>
    <w:p w:rsidR="003E022D" w:rsidRDefault="007D19D6">
      <w:pPr>
        <w:numPr>
          <w:ilvl w:val="1"/>
          <w:numId w:val="798"/>
        </w:numPr>
        <w:rPr>
          <w:rFonts w:eastAsia="Calibri" w:cs="Times New Roman"/>
          <w:noProof/>
        </w:rPr>
      </w:pPr>
      <w:r>
        <w:rPr>
          <w:noProof/>
        </w:rPr>
        <w:t>p</w:t>
      </w:r>
      <w:r>
        <w:rPr>
          <w:noProof/>
        </w:rPr>
        <w:t>recēm starptautiskajā tranzītā;</w:t>
      </w:r>
    </w:p>
    <w:p w:rsidR="003E022D" w:rsidRDefault="007D19D6">
      <w:pPr>
        <w:numPr>
          <w:ilvl w:val="0"/>
          <w:numId w:val="953"/>
        </w:numPr>
        <w:rPr>
          <w:rFonts w:eastAsia="Calibri" w:cs="Times New Roman"/>
          <w:noProof/>
        </w:rPr>
      </w:pPr>
      <w:r>
        <w:rPr>
          <w:noProof/>
        </w:rPr>
        <w:t>finanšu informācijas sniegšanu un nosūtīšanu, finanšu datu apstrādi un saistīto programmatūru, ko nodrošina citu finanšu pakalpojumu sniedzēji, un</w:t>
      </w:r>
    </w:p>
    <w:p w:rsidR="003E022D" w:rsidRDefault="007D19D6">
      <w:pPr>
        <w:numPr>
          <w:ilvl w:val="0"/>
          <w:numId w:val="953"/>
        </w:numPr>
        <w:rPr>
          <w:rFonts w:eastAsia="Calibri" w:cs="Times New Roman"/>
          <w:noProof/>
        </w:rPr>
      </w:pPr>
      <w:r>
        <w:rPr>
          <w:noProof/>
        </w:rPr>
        <w:t xml:space="preserve"> konsultatīvos un citus finanšu palīgpakalpojumus, kas saistīti ar banku un c</w:t>
      </w:r>
      <w:r>
        <w:rPr>
          <w:noProof/>
        </w:rPr>
        <w:t xml:space="preserve">itiem finanšu pakalpojumiem, kā aprakstīts </w:t>
      </w:r>
      <w:r>
        <w:rPr>
          <w:noProof/>
          <w:highlight w:val="cyan"/>
        </w:rPr>
        <w:t>SERVIN.5.38. pantā [Definīcijas]</w:t>
      </w:r>
      <w:r>
        <w:rPr>
          <w:noProof/>
        </w:rPr>
        <w:t xml:space="preserve"> minētās banku un citu finanšu pakalpojumu (izņemot apdrošināšanu) definīcijas </w:t>
      </w:r>
      <w:r>
        <w:rPr>
          <w:noProof/>
          <w:highlight w:val="cyan"/>
        </w:rPr>
        <w:t>a) punkta ii) apakšpunkta L) punktā</w:t>
      </w:r>
      <w:r>
        <w:rPr>
          <w:noProof/>
        </w:rPr>
        <w:t>, bet izņemot minētajā punktā aprakstītos starpniecības pakalpojumu</w:t>
      </w:r>
      <w:r>
        <w:rPr>
          <w:noProof/>
        </w:rPr>
        <w:t>s.</w:t>
      </w:r>
    </w:p>
    <w:p w:rsidR="003E022D" w:rsidRDefault="007D19D6">
      <w:pPr>
        <w:rPr>
          <w:rFonts w:eastAsia="Calibri" w:cs="Times New Roman"/>
          <w:noProof/>
        </w:rPr>
      </w:pPr>
      <w:r>
        <w:rPr>
          <w:b/>
          <w:noProof/>
        </w:rPr>
        <w:t>RO:</w:t>
      </w:r>
      <w:r>
        <w:rPr>
          <w:noProof/>
        </w:rPr>
        <w:t xml:space="preserve"> </w:t>
      </w:r>
    </w:p>
    <w:p w:rsidR="003E022D" w:rsidRDefault="007D19D6">
      <w:pPr>
        <w:numPr>
          <w:ilvl w:val="0"/>
          <w:numId w:val="954"/>
        </w:numPr>
        <w:rPr>
          <w:rFonts w:eastAsia="Calibri" w:cs="Times New Roman"/>
          <w:noProof/>
        </w:rPr>
      </w:pPr>
      <w:r>
        <w:rPr>
          <w:noProof/>
        </w:rPr>
        <w:t xml:space="preserve">tiešās apdrošināšanas (tostarp kopapdrošināšanas) pakalpojumus un tiešās apdrošināšanas starpniecības pakalpojumus tādu risku apdrošināšanai, kas attiecas uz:  </w:t>
      </w:r>
    </w:p>
    <w:p w:rsidR="003E022D" w:rsidRDefault="007D19D6">
      <w:pPr>
        <w:numPr>
          <w:ilvl w:val="1"/>
          <w:numId w:val="954"/>
        </w:numPr>
        <w:rPr>
          <w:rFonts w:eastAsia="Calibri" w:cs="Times New Roman"/>
          <w:noProof/>
        </w:rPr>
      </w:pPr>
      <w:r>
        <w:rPr>
          <w:noProof/>
        </w:rPr>
        <w:t xml:space="preserve">jūras transportu, komercaviāciju un kosmosa kuģu palaišanu un kravu, tostarp pavadoņu, </w:t>
      </w:r>
      <w:r>
        <w:rPr>
          <w:noProof/>
        </w:rPr>
        <w:t xml:space="preserve">nogādāšanu kosmosā, ja šī apdrošināšana attiecas uz kādu vai visu no turpmāk minētā: transportētajām precēm, transportlīdzekli, ar ko transportē preces, un ar to saistīto visu veidu atbildību, un </w:t>
      </w:r>
    </w:p>
    <w:p w:rsidR="003E022D" w:rsidRDefault="007D19D6">
      <w:pPr>
        <w:numPr>
          <w:ilvl w:val="1"/>
          <w:numId w:val="954"/>
        </w:numPr>
        <w:rPr>
          <w:rFonts w:eastAsia="Calibri" w:cs="Times New Roman"/>
          <w:noProof/>
        </w:rPr>
      </w:pPr>
      <w:r>
        <w:rPr>
          <w:noProof/>
        </w:rPr>
        <w:t xml:space="preserve">precēm starptautiskajā tranzītā;  </w:t>
      </w:r>
    </w:p>
    <w:p w:rsidR="003E022D" w:rsidRDefault="007D19D6">
      <w:pPr>
        <w:numPr>
          <w:ilvl w:val="0"/>
          <w:numId w:val="954"/>
        </w:numPr>
        <w:rPr>
          <w:rFonts w:eastAsia="Calibri" w:cs="Times New Roman"/>
          <w:noProof/>
        </w:rPr>
      </w:pPr>
      <w:r>
        <w:rPr>
          <w:noProof/>
        </w:rPr>
        <w:t>pārapdrošināšanu un retr</w:t>
      </w:r>
      <w:r>
        <w:rPr>
          <w:noProof/>
        </w:rPr>
        <w:t xml:space="preserve">ocesiju; un </w:t>
      </w:r>
    </w:p>
    <w:p w:rsidR="003E022D" w:rsidRDefault="007D19D6">
      <w:pPr>
        <w:numPr>
          <w:ilvl w:val="0"/>
          <w:numId w:val="954"/>
        </w:numPr>
        <w:rPr>
          <w:rFonts w:eastAsia="Calibri" w:cs="Times New Roman"/>
          <w:noProof/>
        </w:rPr>
      </w:pPr>
      <w:r>
        <w:rPr>
          <w:noProof/>
        </w:rPr>
        <w:t xml:space="preserve"> apdrošināšanas palīgpakalpojumus;</w:t>
      </w:r>
    </w:p>
    <w:p w:rsidR="003E022D" w:rsidRDefault="007D19D6">
      <w:pPr>
        <w:numPr>
          <w:ilvl w:val="0"/>
          <w:numId w:val="954"/>
        </w:numPr>
        <w:rPr>
          <w:rFonts w:eastAsia="Calibri" w:cs="Times New Roman"/>
          <w:noProof/>
        </w:rPr>
      </w:pPr>
      <w:r>
        <w:rPr>
          <w:noProof/>
        </w:rPr>
        <w:t xml:space="preserve">noguldījumu pieņemšanu;  </w:t>
      </w:r>
    </w:p>
    <w:p w:rsidR="003E022D" w:rsidRDefault="007D19D6">
      <w:pPr>
        <w:numPr>
          <w:ilvl w:val="0"/>
          <w:numId w:val="954"/>
        </w:numPr>
        <w:rPr>
          <w:rFonts w:eastAsia="Calibri" w:cs="Times New Roman"/>
          <w:noProof/>
        </w:rPr>
      </w:pPr>
      <w:r>
        <w:rPr>
          <w:noProof/>
        </w:rPr>
        <w:t xml:space="preserve">dažādas aizdošanas darbības;  </w:t>
      </w:r>
    </w:p>
    <w:p w:rsidR="003E022D" w:rsidRDefault="007D19D6">
      <w:pPr>
        <w:numPr>
          <w:ilvl w:val="0"/>
          <w:numId w:val="954"/>
        </w:numPr>
        <w:rPr>
          <w:rFonts w:eastAsia="Calibri" w:cs="Times New Roman"/>
          <w:noProof/>
        </w:rPr>
      </w:pPr>
      <w:r>
        <w:rPr>
          <w:noProof/>
        </w:rPr>
        <w:t xml:space="preserve"> garantijas un saistības;  </w:t>
      </w:r>
    </w:p>
    <w:p w:rsidR="003E022D" w:rsidRDefault="007D19D6">
      <w:pPr>
        <w:numPr>
          <w:ilvl w:val="0"/>
          <w:numId w:val="954"/>
        </w:numPr>
        <w:rPr>
          <w:rFonts w:eastAsia="Calibri" w:cs="Times New Roman"/>
          <w:noProof/>
        </w:rPr>
      </w:pPr>
      <w:r>
        <w:rPr>
          <w:noProof/>
        </w:rPr>
        <w:t xml:space="preserve">starpniecību naudas darījumos;  </w:t>
      </w:r>
    </w:p>
    <w:p w:rsidR="003E022D" w:rsidRDefault="007D19D6">
      <w:pPr>
        <w:numPr>
          <w:ilvl w:val="0"/>
          <w:numId w:val="954"/>
        </w:numPr>
        <w:rPr>
          <w:rFonts w:eastAsia="Calibri" w:cs="Times New Roman"/>
          <w:noProof/>
        </w:rPr>
      </w:pPr>
      <w:r>
        <w:rPr>
          <w:noProof/>
        </w:rPr>
        <w:t>finanšu informācijas sniegšanu un nosūtīšanu un finanšu datu apstrādi un ar to saistīto pr</w:t>
      </w:r>
      <w:r>
        <w:rPr>
          <w:noProof/>
        </w:rPr>
        <w:t xml:space="preserve">ogrammatūru, un  </w:t>
      </w:r>
    </w:p>
    <w:p w:rsidR="003E022D" w:rsidRDefault="007D19D6">
      <w:pPr>
        <w:numPr>
          <w:ilvl w:val="0"/>
          <w:numId w:val="954"/>
        </w:numPr>
        <w:rPr>
          <w:rFonts w:eastAsia="Calibri" w:cs="Times New Roman"/>
          <w:noProof/>
        </w:rPr>
      </w:pPr>
      <w:r>
        <w:rPr>
          <w:noProof/>
        </w:rPr>
        <w:t xml:space="preserve">konsultatīvos un citus finanšu palīgpakalpojumus, kas saistīti ar banku un citiem finanšu pakalpojumiem, kā aprakstīts </w:t>
      </w:r>
      <w:r>
        <w:rPr>
          <w:noProof/>
          <w:highlight w:val="cyan"/>
        </w:rPr>
        <w:t>SERVIN.5.38. pantā [Definīcijas]</w:t>
      </w:r>
      <w:r>
        <w:rPr>
          <w:noProof/>
        </w:rPr>
        <w:t xml:space="preserve"> minētās banku un citu finanšu pakalpojumu (izņemot apdrošināšanu) definīcijas </w:t>
      </w:r>
      <w:r>
        <w:rPr>
          <w:noProof/>
          <w:highlight w:val="cyan"/>
        </w:rPr>
        <w:t>a) punkt</w:t>
      </w:r>
      <w:r>
        <w:rPr>
          <w:noProof/>
          <w:highlight w:val="cyan"/>
        </w:rPr>
        <w:t>a ii) apakšpunkta L) punktā</w:t>
      </w:r>
      <w:r>
        <w:rPr>
          <w:noProof/>
        </w:rPr>
        <w:t xml:space="preserve">, bet izņemot minētajā punktā aprakstītos starpniecības pakalpojumus. </w:t>
      </w:r>
    </w:p>
    <w:p w:rsidR="003E022D" w:rsidRDefault="007D19D6">
      <w:pPr>
        <w:rPr>
          <w:rFonts w:eastAsia="Calibri" w:cs="Times New Roman"/>
          <w:noProof/>
        </w:rPr>
      </w:pPr>
      <w:r>
        <w:rPr>
          <w:b/>
          <w:noProof/>
        </w:rPr>
        <w:t>SI:</w:t>
      </w:r>
      <w:r>
        <w:rPr>
          <w:noProof/>
        </w:rPr>
        <w:t xml:space="preserve"> </w:t>
      </w:r>
    </w:p>
    <w:p w:rsidR="003E022D" w:rsidRDefault="007D19D6">
      <w:pPr>
        <w:numPr>
          <w:ilvl w:val="0"/>
          <w:numId w:val="801"/>
        </w:numPr>
        <w:rPr>
          <w:rFonts w:eastAsia="Calibri" w:cs="Times New Roman"/>
          <w:noProof/>
        </w:rPr>
      </w:pPr>
      <w:r>
        <w:rPr>
          <w:noProof/>
        </w:rPr>
        <w:t xml:space="preserve">tiešās apdrošināšanas (tostarp kopapdrošināšanas) pakalpojumus un tiešās apdrošināšanas starpniecības pakalpojumus tādu risku apdrošināšanai, kas attiecas uz:  </w:t>
      </w:r>
    </w:p>
    <w:p w:rsidR="003E022D" w:rsidRDefault="007D19D6">
      <w:pPr>
        <w:numPr>
          <w:ilvl w:val="0"/>
          <w:numId w:val="801"/>
        </w:numPr>
        <w:rPr>
          <w:rFonts w:eastAsia="Calibri" w:cs="Times New Roman"/>
          <w:noProof/>
        </w:rPr>
      </w:pPr>
      <w:r>
        <w:rPr>
          <w:noProof/>
        </w:rPr>
        <w:t>jūras transportu, komercaviāciju un kosmosa kuģu palaišanu un kravu, tostarp pavadoņu, nogādāša</w:t>
      </w:r>
      <w:r>
        <w:rPr>
          <w:noProof/>
        </w:rPr>
        <w:t xml:space="preserve">nu kosmosā, ja šī apdrošināšana attiecas uz kādu vai visu no turpmāk minētā: transportētajām precēm, transportlīdzekli, ar ko transportē preces, un ar to saistīto visu veidu atbildību, un </w:t>
      </w:r>
    </w:p>
    <w:p w:rsidR="003E022D" w:rsidRDefault="007D19D6">
      <w:pPr>
        <w:numPr>
          <w:ilvl w:val="0"/>
          <w:numId w:val="801"/>
        </w:numPr>
        <w:rPr>
          <w:rFonts w:eastAsia="Calibri" w:cs="Times New Roman"/>
          <w:noProof/>
        </w:rPr>
      </w:pPr>
      <w:r>
        <w:rPr>
          <w:noProof/>
        </w:rPr>
        <w:t xml:space="preserve">precēm starptautiskajā tranzītā;  </w:t>
      </w:r>
    </w:p>
    <w:p w:rsidR="003E022D" w:rsidRDefault="007D19D6">
      <w:pPr>
        <w:numPr>
          <w:ilvl w:val="0"/>
          <w:numId w:val="801"/>
        </w:numPr>
        <w:rPr>
          <w:rFonts w:eastAsia="Calibri" w:cs="Times New Roman"/>
          <w:noProof/>
        </w:rPr>
      </w:pPr>
      <w:r>
        <w:rPr>
          <w:noProof/>
        </w:rPr>
        <w:t>pārapdrošināšanu un retrocesiju;</w:t>
      </w:r>
    </w:p>
    <w:p w:rsidR="003E022D" w:rsidRDefault="007D19D6">
      <w:pPr>
        <w:numPr>
          <w:ilvl w:val="0"/>
          <w:numId w:val="801"/>
        </w:numPr>
        <w:rPr>
          <w:rFonts w:eastAsia="Calibri" w:cs="Times New Roman"/>
          <w:noProof/>
        </w:rPr>
      </w:pPr>
      <w:r>
        <w:rPr>
          <w:noProof/>
        </w:rPr>
        <w:t>apdrošināšanas palīgpakalpojumus;</w:t>
      </w:r>
    </w:p>
    <w:p w:rsidR="003E022D" w:rsidRDefault="007D19D6">
      <w:pPr>
        <w:numPr>
          <w:ilvl w:val="0"/>
          <w:numId w:val="801"/>
        </w:numPr>
        <w:rPr>
          <w:rFonts w:eastAsia="Calibri" w:cs="Times New Roman"/>
          <w:noProof/>
        </w:rPr>
      </w:pPr>
      <w:r>
        <w:rPr>
          <w:noProof/>
        </w:rPr>
        <w:t xml:space="preserve">dažādas aizdošanas darbības;  </w:t>
      </w:r>
    </w:p>
    <w:p w:rsidR="003E022D" w:rsidRDefault="007D19D6">
      <w:pPr>
        <w:numPr>
          <w:ilvl w:val="0"/>
          <w:numId w:val="801"/>
        </w:numPr>
        <w:rPr>
          <w:rFonts w:eastAsia="Calibri" w:cs="Times New Roman"/>
          <w:noProof/>
        </w:rPr>
      </w:pPr>
      <w:r>
        <w:rPr>
          <w:noProof/>
        </w:rPr>
        <w:t xml:space="preserve">garantiju un saistību pieņemšanu no ārzemju kredītiestādēm, ko veic vietējās juridiskās vienības un viena īpašnieka uzņēmumi;  </w:t>
      </w:r>
    </w:p>
    <w:p w:rsidR="003E022D" w:rsidRDefault="007D19D6">
      <w:pPr>
        <w:numPr>
          <w:ilvl w:val="0"/>
          <w:numId w:val="801"/>
        </w:numPr>
        <w:rPr>
          <w:rFonts w:eastAsia="Calibri" w:cs="Times New Roman"/>
          <w:noProof/>
        </w:rPr>
      </w:pPr>
      <w:r>
        <w:rPr>
          <w:noProof/>
        </w:rPr>
        <w:t>finanšu informācijas sniegšanu un nosūtīšanu, finanšu datu aps</w:t>
      </w:r>
      <w:r>
        <w:rPr>
          <w:noProof/>
        </w:rPr>
        <w:t xml:space="preserve">trādi un saistīto programmatūru, ko nodrošina citu finanšu pakalpojumu sniedzēji, un  </w:t>
      </w:r>
    </w:p>
    <w:p w:rsidR="003E022D" w:rsidRDefault="007D19D6">
      <w:pPr>
        <w:numPr>
          <w:ilvl w:val="0"/>
          <w:numId w:val="801"/>
        </w:numPr>
        <w:rPr>
          <w:rFonts w:eastAsia="Calibri" w:cs="Times New Roman"/>
          <w:noProof/>
        </w:rPr>
      </w:pPr>
      <w:r>
        <w:rPr>
          <w:noProof/>
        </w:rPr>
        <w:t xml:space="preserve">konsultatīvos un citus finanšu palīgpakalpojumus, kas saistīti ar banku un citiem finanšu pakalpojumiem, kā aprakstīts </w:t>
      </w:r>
      <w:r>
        <w:rPr>
          <w:noProof/>
          <w:highlight w:val="cyan"/>
        </w:rPr>
        <w:t>SERVIN.5.38. pantā [Definīcijas]</w:t>
      </w:r>
      <w:r>
        <w:rPr>
          <w:noProof/>
        </w:rPr>
        <w:t xml:space="preserve"> minētās banku un </w:t>
      </w:r>
      <w:r>
        <w:rPr>
          <w:noProof/>
        </w:rPr>
        <w:t xml:space="preserve">citu finanšu pakalpojumu (izņemot apdrošināšanu) definīcijas </w:t>
      </w:r>
      <w:r>
        <w:rPr>
          <w:noProof/>
          <w:highlight w:val="cyan"/>
        </w:rPr>
        <w:t>a) punkta ii) apakšpunkta L) punktā</w:t>
      </w:r>
      <w:r>
        <w:rPr>
          <w:noProof/>
        </w:rPr>
        <w:t xml:space="preserve">, bet izņemot minētajā punktā aprakstītos starpniecības pakalpojumus. </w:t>
      </w:r>
    </w:p>
    <w:p w:rsidR="003E022D" w:rsidRDefault="007D19D6">
      <w:pPr>
        <w:rPr>
          <w:rFonts w:eastAsia="Calibri" w:cs="Times New Roman"/>
          <w:b/>
          <w:i/>
          <w:noProof/>
        </w:rPr>
      </w:pPr>
      <w:bookmarkStart w:id="1236" w:name="_Toc452503982"/>
      <w:r>
        <w:rPr>
          <w:b/>
          <w:i/>
          <w:noProof/>
        </w:rPr>
        <w:t>b)</w:t>
      </w:r>
      <w:r>
        <w:rPr>
          <w:noProof/>
        </w:rPr>
        <w:tab/>
      </w:r>
      <w:r>
        <w:rPr>
          <w:b/>
          <w:i/>
          <w:noProof/>
        </w:rPr>
        <w:t>Apdrošināšana un ar to saistītie pakalpojumi</w:t>
      </w:r>
      <w:bookmarkEnd w:id="1236"/>
      <w:r>
        <w:rPr>
          <w:b/>
          <w:noProof/>
        </w:rPr>
        <w:t xml:space="preserve"> </w:t>
      </w:r>
    </w:p>
    <w:p w:rsidR="003E022D" w:rsidRDefault="007D19D6">
      <w:pPr>
        <w:rPr>
          <w:rFonts w:eastAsia="Calibri" w:cs="Times New Roman"/>
          <w:noProof/>
          <w:u w:val="single"/>
        </w:rPr>
      </w:pPr>
      <w:r>
        <w:rPr>
          <w:noProof/>
          <w:u w:val="single"/>
        </w:rPr>
        <w:t xml:space="preserve">Attiecībā uz pakalpojumu pārrobežu tirdzniecību – piekļuve tirgum, valsts režīms </w:t>
      </w:r>
    </w:p>
    <w:p w:rsidR="003E022D" w:rsidRDefault="007D19D6">
      <w:pPr>
        <w:rPr>
          <w:rFonts w:eastAsia="Calibri" w:cs="Times New Roman"/>
          <w:noProof/>
        </w:rPr>
      </w:pPr>
      <w:r>
        <w:rPr>
          <w:b/>
          <w:noProof/>
        </w:rPr>
        <w:t>BG:</w:t>
      </w:r>
      <w:r>
        <w:rPr>
          <w:noProof/>
        </w:rPr>
        <w:t xml:space="preserve"> transporta apdrošināšanas pakalpojumus, kas attiecas uz precēm, pašu transportlīdzekļu apdrošināšanu un atbildības apdrošināšanu attiecībā uz riskiem Bulgārijā, nevar tie</w:t>
      </w:r>
      <w:r>
        <w:rPr>
          <w:noProof/>
        </w:rPr>
        <w:t xml:space="preserve">ši sniegt ārvalstu apdrošināšanas sabiedrības. </w:t>
      </w:r>
    </w:p>
    <w:p w:rsidR="003E022D" w:rsidRDefault="007D19D6">
      <w:pPr>
        <w:rPr>
          <w:rFonts w:eastAsia="Calibri" w:cs="Times New Roman"/>
          <w:noProof/>
        </w:rPr>
      </w:pPr>
      <w:r>
        <w:rPr>
          <w:b/>
          <w:noProof/>
        </w:rPr>
        <w:t>DE</w:t>
      </w:r>
      <w:r>
        <w:rPr>
          <w:noProof/>
        </w:rPr>
        <w:t>: ja ārvalstu apdrošināšanas sabiedrība ir atvērusi filiāli Vācijā, tad Vācijā apdrošināšanas līgumus attiecībā uz starptautiskajiem pārvadājumiem tā var slēgt tikai ar Vācijā uzņēmējdarbību veicošas filiāl</w:t>
      </w:r>
      <w:r>
        <w:rPr>
          <w:noProof/>
        </w:rPr>
        <w:t>es starpniecību.</w:t>
      </w:r>
    </w:p>
    <w:p w:rsidR="003E022D" w:rsidRDefault="007D19D6">
      <w:pPr>
        <w:rPr>
          <w:rFonts w:eastAsia="Calibri" w:cs="Times New Roman"/>
          <w:b/>
          <w:i/>
          <w:noProof/>
        </w:rPr>
      </w:pPr>
      <w:r>
        <w:rPr>
          <w:b/>
          <w:i/>
          <w:noProof/>
        </w:rPr>
        <w:t>Esošie pasākumi</w:t>
      </w:r>
    </w:p>
    <w:p w:rsidR="003E022D" w:rsidRDefault="007D19D6">
      <w:pPr>
        <w:rPr>
          <w:rFonts w:eastAsia="Calibri" w:cs="Times New Roman"/>
          <w:i/>
          <w:noProof/>
        </w:rPr>
      </w:pPr>
      <w:r>
        <w:rPr>
          <w:b/>
          <w:i/>
          <w:noProof/>
        </w:rPr>
        <w:t>DE</w:t>
      </w:r>
      <w:r>
        <w:rPr>
          <w:i/>
          <w:noProof/>
        </w:rPr>
        <w:t xml:space="preserve">: Luftverkehrsgesetz (LuftVG) un </w:t>
      </w:r>
    </w:p>
    <w:p w:rsidR="003E022D" w:rsidRDefault="007D19D6">
      <w:pPr>
        <w:rPr>
          <w:rFonts w:eastAsia="Calibri" w:cs="Times New Roman"/>
          <w:i/>
          <w:noProof/>
        </w:rPr>
      </w:pPr>
      <w:r>
        <w:rPr>
          <w:i/>
          <w:noProof/>
        </w:rPr>
        <w:t>Luftverkehrszulassungsordnung (LuftVZO).</w:t>
      </w:r>
    </w:p>
    <w:p w:rsidR="003E022D" w:rsidRDefault="007D19D6">
      <w:pPr>
        <w:rPr>
          <w:rFonts w:eastAsia="Calibri" w:cs="Times New Roman"/>
          <w:bCs/>
          <w:iCs/>
          <w:noProof/>
          <w:u w:val="single"/>
        </w:rPr>
      </w:pPr>
      <w:r>
        <w:rPr>
          <w:bCs/>
          <w:iCs/>
          <w:noProof/>
          <w:u w:val="single"/>
        </w:rPr>
        <w:t>Attiecībā uz investīciju liberalizāciju – piekļuve tirgum, valsts režīms un pakalpojumu pārrobežu tirdzniecība – piekļuve tirgum, valsts režīms</w:t>
      </w:r>
    </w:p>
    <w:p w:rsidR="003E022D" w:rsidRDefault="007D19D6">
      <w:pPr>
        <w:rPr>
          <w:rFonts w:eastAsia="Calibri" w:cs="Times New Roman"/>
          <w:noProof/>
        </w:rPr>
      </w:pPr>
      <w:r>
        <w:rPr>
          <w:b/>
          <w:noProof/>
        </w:rPr>
        <w:t>ES</w:t>
      </w:r>
      <w:r>
        <w:rPr>
          <w:noProof/>
        </w:rPr>
        <w:t>: lai sniegtu aktuāra pakalpojumus, attiecīgajai personai jābūt rezidenta statusam vai jābūt strādājušai aktuāra profesijā divus gadus.</w:t>
      </w:r>
    </w:p>
    <w:p w:rsidR="003E022D" w:rsidRDefault="007D19D6">
      <w:pPr>
        <w:rPr>
          <w:rFonts w:eastAsia="Calibri" w:cs="Times New Roman"/>
          <w:noProof/>
          <w:u w:val="single"/>
        </w:rPr>
      </w:pPr>
      <w:r>
        <w:rPr>
          <w:noProof/>
          <w:u w:val="single"/>
        </w:rPr>
        <w:t xml:space="preserve">Attiecībā uz pakalpojumu pārrobežu tirdzniecību – klātbūtne uz vietas </w:t>
      </w:r>
    </w:p>
    <w:p w:rsidR="003E022D" w:rsidRDefault="007D19D6">
      <w:pPr>
        <w:rPr>
          <w:rFonts w:eastAsia="Calibri" w:cs="Times New Roman"/>
          <w:noProof/>
        </w:rPr>
      </w:pPr>
      <w:r>
        <w:rPr>
          <w:b/>
          <w:noProof/>
        </w:rPr>
        <w:t xml:space="preserve">FI: </w:t>
      </w:r>
      <w:r>
        <w:rPr>
          <w:noProof/>
        </w:rPr>
        <w:t>apdrošināšanas aģenti pakalpojumus var sniegt</w:t>
      </w:r>
      <w:r>
        <w:rPr>
          <w:noProof/>
        </w:rPr>
        <w:t xml:space="preserve"> tikai tad, ja to pastāvīgā darījumu veikšanas vieta ir Eiropas Savienībā. </w:t>
      </w:r>
    </w:p>
    <w:p w:rsidR="003E022D" w:rsidRDefault="007D19D6">
      <w:pPr>
        <w:rPr>
          <w:rFonts w:eastAsia="Calibri" w:cs="Times New Roman"/>
          <w:noProof/>
        </w:rPr>
      </w:pPr>
      <w:r>
        <w:rPr>
          <w:noProof/>
        </w:rPr>
        <w:t>Tikai apdrošinātāji, kuru galvenais birojs atrodas Eiropas Savienībā vai kuru filiāle atrodas Somijā, var sniegt tiešās apdrošināšanas (tostarp kopapdrošināšanas) pakalpojumus.</w:t>
      </w:r>
    </w:p>
    <w:p w:rsidR="003E022D" w:rsidRDefault="007D19D6">
      <w:pPr>
        <w:rPr>
          <w:rFonts w:eastAsia="Calibri" w:cs="Times New Roman"/>
          <w:b/>
          <w:i/>
          <w:noProof/>
        </w:rPr>
      </w:pPr>
      <w:r>
        <w:rPr>
          <w:b/>
          <w:i/>
          <w:noProof/>
        </w:rPr>
        <w:t>Eso</w:t>
      </w:r>
      <w:r>
        <w:rPr>
          <w:b/>
          <w:i/>
          <w:noProof/>
        </w:rPr>
        <w:t>šie pasākumi</w:t>
      </w:r>
    </w:p>
    <w:p w:rsidR="003E022D" w:rsidRDefault="007D19D6">
      <w:pPr>
        <w:rPr>
          <w:rFonts w:eastAsia="Calibri" w:cs="Times New Roman"/>
          <w:i/>
          <w:noProof/>
        </w:rPr>
      </w:pPr>
      <w:r>
        <w:rPr>
          <w:b/>
          <w:i/>
          <w:noProof/>
        </w:rPr>
        <w:t>FI:</w:t>
      </w:r>
      <w:r>
        <w:rPr>
          <w:i/>
          <w:noProof/>
        </w:rPr>
        <w:t xml:space="preserve"> Laki ulkomaisista vakuutusyhtiöistä (Likums par ārvalstu apdrošināšanas sabiedrībām) (398/1995); </w:t>
      </w:r>
    </w:p>
    <w:p w:rsidR="003E022D" w:rsidRDefault="007D19D6">
      <w:pPr>
        <w:rPr>
          <w:rFonts w:eastAsia="Calibri" w:cs="Times New Roman"/>
          <w:i/>
          <w:noProof/>
        </w:rPr>
      </w:pPr>
      <w:r>
        <w:rPr>
          <w:i/>
          <w:noProof/>
        </w:rPr>
        <w:t>Vakuutusyhtiölaki (Apdrošināšanas sabiedrību likums) (521/2008);</w:t>
      </w:r>
    </w:p>
    <w:p w:rsidR="003E022D" w:rsidRDefault="007D19D6">
      <w:pPr>
        <w:rPr>
          <w:rFonts w:eastAsia="Calibri" w:cs="Times New Roman"/>
          <w:i/>
          <w:noProof/>
        </w:rPr>
      </w:pPr>
      <w:r>
        <w:rPr>
          <w:i/>
          <w:noProof/>
        </w:rPr>
        <w:t>Laki vakuutusedustuksesta (Likums par apdrošināšanas starpniecību) (234/2018</w:t>
      </w:r>
      <w:r>
        <w:rPr>
          <w:i/>
          <w:noProof/>
        </w:rPr>
        <w:t>).</w:t>
      </w:r>
    </w:p>
    <w:p w:rsidR="003E022D" w:rsidRDefault="007D19D6">
      <w:pPr>
        <w:rPr>
          <w:rFonts w:eastAsia="Calibri" w:cs="Times New Roman"/>
          <w:noProof/>
        </w:rPr>
      </w:pPr>
      <w:r>
        <w:rPr>
          <w:b/>
          <w:noProof/>
        </w:rPr>
        <w:t>FR</w:t>
      </w:r>
      <w:r>
        <w:rPr>
          <w:noProof/>
        </w:rPr>
        <w:t xml:space="preserve">: ar autopārvadājumiem saistīta riska apdrošināšanu var veikt tikai apdrošināšanas sabiedrības, kas ir izveidotas Eiropas Savienībā. </w:t>
      </w:r>
    </w:p>
    <w:p w:rsidR="003E022D" w:rsidRDefault="007D19D6">
      <w:pPr>
        <w:rPr>
          <w:rFonts w:eastAsia="Calibri" w:cs="Times New Roman"/>
          <w:b/>
          <w:i/>
          <w:noProof/>
        </w:rPr>
      </w:pPr>
      <w:r>
        <w:rPr>
          <w:b/>
          <w:i/>
          <w:noProof/>
        </w:rPr>
        <w:t>Esošie pasākumi</w:t>
      </w:r>
    </w:p>
    <w:p w:rsidR="003E022D" w:rsidRDefault="007D19D6">
      <w:pPr>
        <w:rPr>
          <w:rFonts w:eastAsia="Calibri" w:cs="Times New Roman"/>
          <w:i/>
          <w:noProof/>
        </w:rPr>
      </w:pPr>
      <w:r>
        <w:rPr>
          <w:b/>
          <w:i/>
          <w:noProof/>
        </w:rPr>
        <w:t>FR</w:t>
      </w:r>
      <w:r>
        <w:rPr>
          <w:i/>
          <w:noProof/>
        </w:rPr>
        <w:t xml:space="preserve">: Code des assurances. </w:t>
      </w:r>
    </w:p>
    <w:p w:rsidR="003E022D" w:rsidRDefault="007D19D6">
      <w:pPr>
        <w:rPr>
          <w:rFonts w:eastAsia="Calibri" w:cs="Times New Roman"/>
          <w:noProof/>
        </w:rPr>
      </w:pPr>
      <w:r>
        <w:rPr>
          <w:b/>
          <w:noProof/>
        </w:rPr>
        <w:t>HU</w:t>
      </w:r>
      <w:r>
        <w:rPr>
          <w:noProof/>
        </w:rPr>
        <w:t xml:space="preserve">: tiešās apdrošināšanas pakalpojumus drīkst sniegt tikai ES juridiskās </w:t>
      </w:r>
      <w:r>
        <w:rPr>
          <w:noProof/>
        </w:rPr>
        <w:t>personas un Ungārijā reģistrētas filiāles.</w:t>
      </w:r>
    </w:p>
    <w:p w:rsidR="003E022D" w:rsidRDefault="007D19D6">
      <w:pPr>
        <w:rPr>
          <w:rFonts w:eastAsia="Calibri" w:cs="Times New Roman"/>
          <w:b/>
          <w:i/>
          <w:noProof/>
        </w:rPr>
      </w:pPr>
      <w:r>
        <w:rPr>
          <w:b/>
          <w:i/>
          <w:noProof/>
        </w:rPr>
        <w:t>Esošie pasākumi</w:t>
      </w:r>
    </w:p>
    <w:p w:rsidR="003E022D" w:rsidRDefault="007D19D6">
      <w:pPr>
        <w:rPr>
          <w:rFonts w:eastAsia="Calibri" w:cs="Times New Roman"/>
          <w:i/>
          <w:noProof/>
        </w:rPr>
      </w:pPr>
      <w:r>
        <w:rPr>
          <w:b/>
          <w:i/>
          <w:noProof/>
        </w:rPr>
        <w:t>HU</w:t>
      </w:r>
      <w:r>
        <w:rPr>
          <w:i/>
          <w:noProof/>
        </w:rPr>
        <w:t>: 2003. gada Likums LX.</w:t>
      </w:r>
    </w:p>
    <w:p w:rsidR="003E022D" w:rsidRDefault="007D19D6">
      <w:pPr>
        <w:rPr>
          <w:rFonts w:eastAsia="Calibri" w:cs="Times New Roman"/>
          <w:noProof/>
        </w:rPr>
      </w:pPr>
      <w:r>
        <w:rPr>
          <w:b/>
          <w:noProof/>
        </w:rPr>
        <w:t>IT</w:t>
      </w:r>
      <w:r>
        <w:rPr>
          <w:noProof/>
        </w:rPr>
        <w:t>: pārvadāto preču apdrošināšanu, transportlīdzekļu apdrošināšanu un atbildības apdrošināšanu attiecībā uz risku Itālijā var veikt tikai apdrošināšanas sabiedrības, kas i</w:t>
      </w:r>
      <w:r>
        <w:rPr>
          <w:noProof/>
        </w:rPr>
        <w:t xml:space="preserve">r izveidotas Eiropas Savienībā, taču tas neattiecas uz starptautisko transportu, kas ietver preču importu Itālijā. </w:t>
      </w:r>
    </w:p>
    <w:p w:rsidR="003E022D" w:rsidRDefault="007D19D6">
      <w:pPr>
        <w:rPr>
          <w:rFonts w:eastAsia="Calibri" w:cs="Times New Roman"/>
          <w:noProof/>
        </w:rPr>
      </w:pPr>
      <w:r>
        <w:rPr>
          <w:noProof/>
        </w:rPr>
        <w:t xml:space="preserve">Aktuāra pakalpojumu pārrobežu sniegšana </w:t>
      </w:r>
    </w:p>
    <w:p w:rsidR="003E022D" w:rsidRDefault="007D19D6">
      <w:pPr>
        <w:rPr>
          <w:rFonts w:eastAsia="Calibri" w:cs="Times New Roman"/>
          <w:b/>
          <w:i/>
          <w:noProof/>
        </w:rPr>
      </w:pPr>
      <w:r>
        <w:rPr>
          <w:b/>
          <w:i/>
          <w:noProof/>
        </w:rPr>
        <w:t>Esošie pasākumi</w:t>
      </w:r>
    </w:p>
    <w:p w:rsidR="003E022D" w:rsidRDefault="007D19D6">
      <w:pPr>
        <w:rPr>
          <w:rFonts w:eastAsia="Calibri" w:cs="Times New Roman"/>
          <w:i/>
          <w:noProof/>
        </w:rPr>
      </w:pPr>
      <w:r>
        <w:rPr>
          <w:b/>
          <w:i/>
          <w:noProof/>
        </w:rPr>
        <w:t>IT</w:t>
      </w:r>
      <w:r>
        <w:rPr>
          <w:i/>
          <w:noProof/>
        </w:rPr>
        <w:t xml:space="preserve">: Privātās apdrošināšanas kodeksa 29. pants (2005. gada 7. septembra Likumdošanas dekrēts Nr. 209), Likums 194/1942 par akturāra profesiju. </w:t>
      </w:r>
    </w:p>
    <w:p w:rsidR="003E022D" w:rsidRDefault="007D19D6">
      <w:pPr>
        <w:rPr>
          <w:rFonts w:eastAsia="Calibri" w:cs="Times New Roman"/>
          <w:noProof/>
        </w:rPr>
      </w:pPr>
      <w:r>
        <w:rPr>
          <w:b/>
          <w:noProof/>
        </w:rPr>
        <w:t>PT</w:t>
      </w:r>
      <w:r>
        <w:rPr>
          <w:noProof/>
        </w:rPr>
        <w:t xml:space="preserve">: gaisa un jūras transporta apdrošināšanu, kas sedz arī preces, gaisa kuģi, kuģa korpusu un atbildību, var veikt </w:t>
      </w:r>
      <w:r>
        <w:rPr>
          <w:noProof/>
        </w:rPr>
        <w:t xml:space="preserve">vienīgi juridiskas personas Eiropas Savienībā izveidotā uzņēmumā. Par starpniekiem šādos apdrošināšanas darījumos Portugālē var būt vienīgi Eiropas Savienības fiziskas personas vai Eiropas Savienībā izveidoti uzņēmumi. </w:t>
      </w:r>
    </w:p>
    <w:p w:rsidR="003E022D" w:rsidRDefault="007D19D6">
      <w:pPr>
        <w:rPr>
          <w:b/>
          <w:i/>
          <w:iCs/>
          <w:noProof/>
        </w:rPr>
      </w:pPr>
      <w:r>
        <w:rPr>
          <w:b/>
          <w:i/>
          <w:iCs/>
          <w:noProof/>
        </w:rPr>
        <w:t>Spēkā esošs pasākums</w:t>
      </w:r>
    </w:p>
    <w:p w:rsidR="003E022D" w:rsidRDefault="007D19D6">
      <w:pPr>
        <w:rPr>
          <w:noProof/>
        </w:rPr>
      </w:pPr>
      <w:r>
        <w:rPr>
          <w:b/>
          <w:bCs/>
          <w:noProof/>
        </w:rPr>
        <w:t xml:space="preserve">PT: </w:t>
      </w:r>
      <w:r>
        <w:rPr>
          <w:noProof/>
        </w:rPr>
        <w:t>Likuma 147/</w:t>
      </w:r>
      <w:r>
        <w:rPr>
          <w:noProof/>
        </w:rPr>
        <w:t>2015 3. pants, Likuma 7/2019 8. pants.</w:t>
      </w:r>
    </w:p>
    <w:p w:rsidR="003E022D" w:rsidRDefault="007D19D6">
      <w:pPr>
        <w:rPr>
          <w:rFonts w:eastAsia="Calibri" w:cs="Times New Roman"/>
          <w:noProof/>
          <w:u w:val="single"/>
        </w:rPr>
      </w:pPr>
      <w:r>
        <w:rPr>
          <w:noProof/>
          <w:u w:val="single"/>
        </w:rPr>
        <w:t xml:space="preserve">Attiecībā uz investīciju liberalizāciju – piekļuve tirgum, valsts režīms </w:t>
      </w:r>
    </w:p>
    <w:p w:rsidR="003E022D" w:rsidRDefault="007D19D6">
      <w:pPr>
        <w:rPr>
          <w:rFonts w:eastAsia="Calibri" w:cs="Times New Roman"/>
          <w:noProof/>
        </w:rPr>
      </w:pPr>
      <w:r>
        <w:rPr>
          <w:b/>
          <w:noProof/>
        </w:rPr>
        <w:t>SK</w:t>
      </w:r>
      <w:r>
        <w:rPr>
          <w:noProof/>
        </w:rPr>
        <w:t>: ārvalstnieki drīkst izveidot apdrošināšanas sabiedrību akciju sabiedrības formā vai veikt apdrošināšanas darījumdarbību ar tādu filiāļu sta</w:t>
      </w:r>
      <w:r>
        <w:rPr>
          <w:noProof/>
        </w:rPr>
        <w:t>rpniecību, kuru juridiskā adrese ir Slovākijas Republikā. Atļauju abos gadījumos piešķir pēc uzraudzības iestādes veiktas novērtēšanas.</w:t>
      </w:r>
    </w:p>
    <w:p w:rsidR="003E022D" w:rsidRDefault="007D19D6">
      <w:pPr>
        <w:rPr>
          <w:rFonts w:eastAsia="Calibri" w:cs="Times New Roman"/>
          <w:b/>
          <w:i/>
          <w:noProof/>
        </w:rPr>
      </w:pPr>
      <w:r>
        <w:rPr>
          <w:b/>
          <w:i/>
          <w:noProof/>
        </w:rPr>
        <w:t>Esošie pasākumi</w:t>
      </w:r>
    </w:p>
    <w:p w:rsidR="003E022D" w:rsidRDefault="007D19D6">
      <w:pPr>
        <w:rPr>
          <w:rFonts w:eastAsia="Calibri" w:cs="Times New Roman"/>
          <w:i/>
          <w:noProof/>
        </w:rPr>
      </w:pPr>
      <w:r>
        <w:rPr>
          <w:b/>
          <w:i/>
          <w:noProof/>
        </w:rPr>
        <w:t>SK</w:t>
      </w:r>
      <w:r>
        <w:rPr>
          <w:i/>
          <w:noProof/>
        </w:rPr>
        <w:t>: Likums Nr. 39/2015 par apdrošināšanu</w:t>
      </w:r>
    </w:p>
    <w:p w:rsidR="003E022D" w:rsidRDefault="007D19D6">
      <w:pPr>
        <w:rPr>
          <w:rFonts w:eastAsia="Calibri" w:cs="Times New Roman"/>
          <w:noProof/>
          <w:u w:val="single"/>
        </w:rPr>
      </w:pPr>
      <w:r>
        <w:rPr>
          <w:noProof/>
          <w:u w:val="single"/>
        </w:rPr>
        <w:t>Attiecībā uz investīciju liberalizāciju – piekļuve tirgum, vals</w:t>
      </w:r>
      <w:r>
        <w:rPr>
          <w:noProof/>
          <w:u w:val="single"/>
        </w:rPr>
        <w:t>ts režīms un pakalpojumiem pārrobežu tirdzniecība – piekļuve tirgum</w:t>
      </w:r>
    </w:p>
    <w:p w:rsidR="003E022D" w:rsidRDefault="007D19D6">
      <w:pPr>
        <w:rPr>
          <w:rFonts w:eastAsia="Calibri" w:cs="Times New Roman"/>
          <w:noProof/>
        </w:rPr>
      </w:pPr>
      <w:r>
        <w:rPr>
          <w:b/>
          <w:noProof/>
        </w:rPr>
        <w:t xml:space="preserve">FI: </w:t>
      </w:r>
      <w:r>
        <w:rPr>
          <w:noProof/>
        </w:rPr>
        <w:t>ja apdrošināšanas sabiedrība veic tiesību aktos noteikto pensiju apdrošināšanu, vismaz pusei tās direktoru padomes un uzraudzības padomes locekļu, kā arī izpilddirektoram jābūt reziden</w:t>
      </w:r>
      <w:r>
        <w:rPr>
          <w:noProof/>
        </w:rPr>
        <w:t>tiem EEZ dalībvalstī, ja vien kompetentās iestādes nav piemērojušas izņēmumu. Ārvalstu apdrošinātāji nevar saņemt licenci Somijā, lai ar filiāles starpniecību veiktu tiesību aktos noteikto pensiju apdrošināšanu. Vismaz viena revidenta pastāvīgā dzīvesvieta</w:t>
      </w:r>
      <w:r>
        <w:rPr>
          <w:noProof/>
        </w:rPr>
        <w:t xml:space="preserve"> ir EEZ dalībvalstī.</w:t>
      </w:r>
    </w:p>
    <w:p w:rsidR="003E022D" w:rsidRDefault="007D19D6">
      <w:pPr>
        <w:rPr>
          <w:rFonts w:eastAsia="Calibri" w:cs="Times New Roman"/>
          <w:noProof/>
        </w:rPr>
      </w:pPr>
      <w:r>
        <w:rPr>
          <w:noProof/>
        </w:rPr>
        <w:t>Attiecībā uz citām apdrošināšanas sabiedrībām ir noteikts, ka vismaz vienam direktoru padomes un uzraudzības padomes loceklim, kā arī izpilddirektoram ir jābūt EEZ dalībvalsts rezidentam. Vismaz viena revidenta pastāvīgā dzīvesvieta ir</w:t>
      </w:r>
      <w:r>
        <w:rPr>
          <w:noProof/>
        </w:rPr>
        <w:t xml:space="preserve"> EEZ dalībvalstī. Apvienotās Karalistes apdrošināšanas sabiedrības atbildīgajam pārstāvim jābūt Somijas rezidentam; šī prasība nav jāievēro, ja sabiedrības galvenais birojs atrodas Eiropas Savienībā.</w:t>
      </w:r>
    </w:p>
    <w:p w:rsidR="003E022D" w:rsidRDefault="007D19D6">
      <w:pPr>
        <w:rPr>
          <w:rFonts w:eastAsia="Calibri" w:cs="Times New Roman"/>
          <w:b/>
          <w:i/>
          <w:noProof/>
        </w:rPr>
      </w:pPr>
      <w:r>
        <w:rPr>
          <w:b/>
          <w:i/>
          <w:noProof/>
        </w:rPr>
        <w:t>Esošie pasākumi</w:t>
      </w:r>
    </w:p>
    <w:p w:rsidR="003E022D" w:rsidRDefault="007D19D6">
      <w:pPr>
        <w:rPr>
          <w:rFonts w:eastAsia="Calibri" w:cs="Times New Roman"/>
          <w:i/>
          <w:noProof/>
        </w:rPr>
      </w:pPr>
      <w:r>
        <w:rPr>
          <w:b/>
          <w:i/>
          <w:noProof/>
        </w:rPr>
        <w:t>FI:</w:t>
      </w:r>
      <w:r>
        <w:rPr>
          <w:i/>
          <w:noProof/>
        </w:rPr>
        <w:t xml:space="preserve"> Laki ulkomaisista vakuutusyhtiöistä </w:t>
      </w:r>
      <w:r>
        <w:rPr>
          <w:i/>
          <w:noProof/>
        </w:rPr>
        <w:t xml:space="preserve">(Likums par ārvalstu apdrošināšanas sabiedrībām) (398/1995); Vakuutusyhtiölaki (Apdrošināšanas sabiedrību likums) (521/2008); </w:t>
      </w:r>
    </w:p>
    <w:p w:rsidR="003E022D" w:rsidRDefault="007D19D6">
      <w:pPr>
        <w:rPr>
          <w:rFonts w:eastAsia="Calibri" w:cs="Times New Roman"/>
          <w:i/>
          <w:noProof/>
        </w:rPr>
      </w:pPr>
      <w:r>
        <w:rPr>
          <w:i/>
          <w:noProof/>
        </w:rPr>
        <w:t xml:space="preserve">Laki vakuutusedustuksesta (Likums par apdrošināšanas starpniecību) (570/2005); </w:t>
      </w:r>
    </w:p>
    <w:p w:rsidR="003E022D" w:rsidRDefault="007D19D6">
      <w:pPr>
        <w:rPr>
          <w:rFonts w:eastAsia="Calibri" w:cs="Times New Roman"/>
          <w:i/>
          <w:noProof/>
        </w:rPr>
      </w:pPr>
      <w:r>
        <w:rPr>
          <w:i/>
          <w:noProof/>
        </w:rPr>
        <w:t>Laki vakuutusedustuksesta (Likums par apdrošināša</w:t>
      </w:r>
      <w:r>
        <w:rPr>
          <w:i/>
          <w:noProof/>
        </w:rPr>
        <w:t xml:space="preserve">nas starpniecību) (234/2018) un </w:t>
      </w:r>
    </w:p>
    <w:p w:rsidR="003E022D" w:rsidRDefault="007D19D6">
      <w:pPr>
        <w:rPr>
          <w:rFonts w:eastAsia="Calibri" w:cs="Times New Roman"/>
          <w:i/>
          <w:noProof/>
        </w:rPr>
      </w:pPr>
      <w:r>
        <w:rPr>
          <w:i/>
          <w:noProof/>
        </w:rPr>
        <w:t>Laki työeläkevakuutusyhtiöistä (Likums par sabiedrībām, kas veic tiesību aktos noteikto pensiju apdrošināšanu) (354/1997).</w:t>
      </w:r>
    </w:p>
    <w:p w:rsidR="003E022D" w:rsidRDefault="007D19D6">
      <w:pPr>
        <w:rPr>
          <w:rFonts w:eastAsia="Calibri" w:cs="Times New Roman"/>
          <w:b/>
          <w:i/>
          <w:noProof/>
        </w:rPr>
      </w:pPr>
      <w:bookmarkStart w:id="1237" w:name="_Toc452503983"/>
      <w:r>
        <w:rPr>
          <w:b/>
          <w:i/>
          <w:noProof/>
        </w:rPr>
        <w:t>c)</w:t>
      </w:r>
      <w:r>
        <w:rPr>
          <w:noProof/>
        </w:rPr>
        <w:tab/>
      </w:r>
      <w:r>
        <w:rPr>
          <w:b/>
          <w:i/>
          <w:noProof/>
        </w:rPr>
        <w:t>Banku un citi finanšu pakalpojumi</w:t>
      </w:r>
      <w:bookmarkEnd w:id="1237"/>
      <w:r>
        <w:rPr>
          <w:b/>
          <w:noProof/>
        </w:rPr>
        <w:t xml:space="preserve"> </w:t>
      </w:r>
    </w:p>
    <w:p w:rsidR="003E022D" w:rsidRDefault="007D19D6">
      <w:pPr>
        <w:rPr>
          <w:rFonts w:eastAsia="Calibri" w:cs="Times New Roman"/>
          <w:noProof/>
          <w:u w:val="single"/>
        </w:rPr>
      </w:pPr>
      <w:r>
        <w:rPr>
          <w:noProof/>
          <w:u w:val="single"/>
        </w:rPr>
        <w:t>Attiecībā uz investīciju liberalizāciju – piekļuve tirgum un p</w:t>
      </w:r>
      <w:r>
        <w:rPr>
          <w:noProof/>
          <w:u w:val="single"/>
        </w:rPr>
        <w:t xml:space="preserve">akalpojumu pārrobežu tirdzniecība – klātbūtne uz vietas </w:t>
      </w:r>
    </w:p>
    <w:p w:rsidR="003E022D" w:rsidRDefault="007D19D6">
      <w:pPr>
        <w:rPr>
          <w:rFonts w:eastAsia="Calibri" w:cs="Times New Roman"/>
          <w:noProof/>
        </w:rPr>
      </w:pPr>
      <w:r>
        <w:rPr>
          <w:b/>
          <w:noProof/>
        </w:rPr>
        <w:t>EU</w:t>
      </w:r>
      <w:r>
        <w:rPr>
          <w:noProof/>
        </w:rPr>
        <w:t>: tikai tādas juridiskas personas, kuru juridiskā adrese ir Eiropas Savienībā, var darboties kā ieguldījumu fondu aktīvu depozitāriji. Lai varētu veikt kopīgo fondu, arī kopieguldījumu fondu, pārva</w:t>
      </w:r>
      <w:r>
        <w:rPr>
          <w:noProof/>
        </w:rPr>
        <w:t xml:space="preserve">ldības darbības un — ja tas atļauts valsts tiesību aktos — ieguldījumu sabiedrību darbības, ir jāizveido specializēts pārvaldības uzņēmums, kura galvenais birojs un juridiskā adrese ir vienā dalībvalstī. </w:t>
      </w:r>
    </w:p>
    <w:p w:rsidR="003E022D" w:rsidRDefault="007D19D6">
      <w:pPr>
        <w:rPr>
          <w:rFonts w:eastAsia="Calibri" w:cs="Times New Roman"/>
          <w:b/>
          <w:bCs/>
          <w:i/>
          <w:noProof/>
        </w:rPr>
      </w:pPr>
      <w:r>
        <w:rPr>
          <w:b/>
          <w:i/>
          <w:noProof/>
        </w:rPr>
        <w:t>Esošie pasākumi</w:t>
      </w:r>
      <w:r>
        <w:rPr>
          <w:b/>
          <w:bCs/>
          <w:i/>
          <w:noProof/>
        </w:rPr>
        <w:t xml:space="preserve"> </w:t>
      </w:r>
    </w:p>
    <w:p w:rsidR="003E022D" w:rsidRDefault="007D19D6">
      <w:pPr>
        <w:rPr>
          <w:rFonts w:eastAsia="Calibri" w:cs="Times New Roman"/>
          <w:i/>
          <w:noProof/>
        </w:rPr>
      </w:pPr>
      <w:r>
        <w:rPr>
          <w:b/>
          <w:i/>
          <w:noProof/>
        </w:rPr>
        <w:t>EU:</w:t>
      </w:r>
      <w:r>
        <w:rPr>
          <w:i/>
          <w:noProof/>
        </w:rPr>
        <w:t xml:space="preserve"> Eiropas Parlamenta un Padomes Direktīva 2009/65/EK (2009. gada 13. jūlijs) par normatīvo un administratīvo aktu koordināciju attiecībā uz pārvedamu vērtspapīru kolektīvo ieguldījumu uzņēmumiem (PVKIU); un </w:t>
      </w:r>
    </w:p>
    <w:p w:rsidR="003E022D" w:rsidRDefault="007D19D6">
      <w:pPr>
        <w:rPr>
          <w:rFonts w:eastAsia="Calibri" w:cs="Times New Roman"/>
          <w:i/>
          <w:noProof/>
        </w:rPr>
      </w:pPr>
      <w:r>
        <w:rPr>
          <w:i/>
          <w:noProof/>
        </w:rPr>
        <w:t>Eiropas Parlamenta un Padomes Direktīva 2011/61/E</w:t>
      </w:r>
      <w:r>
        <w:rPr>
          <w:i/>
          <w:noProof/>
        </w:rPr>
        <w:t>S (2011. gada 8. jūnijs) par alternatīvo ieguldījumu fondu pārvaldniekiem (AIFP).</w:t>
      </w:r>
    </w:p>
    <w:p w:rsidR="003E022D" w:rsidRDefault="007D19D6">
      <w:pPr>
        <w:rPr>
          <w:rFonts w:eastAsia="Calibri" w:cs="Times New Roman"/>
          <w:noProof/>
        </w:rPr>
      </w:pPr>
      <w:r>
        <w:rPr>
          <w:b/>
          <w:noProof/>
        </w:rPr>
        <w:t>EE</w:t>
      </w:r>
      <w:r>
        <w:rPr>
          <w:noProof/>
        </w:rPr>
        <w:t>: lai pieņemtu noguldījumus, jāsaņem atļauja no Igaunijas Finanšu uzraudzības iestādes un saskaņā ar Igaunijas tiesību aktiem jāreģistrē akciju sabiedrība, meitasuzņēmums v</w:t>
      </w:r>
      <w:r>
        <w:rPr>
          <w:noProof/>
        </w:rPr>
        <w:t>ai filiāle.</w:t>
      </w:r>
    </w:p>
    <w:p w:rsidR="003E022D" w:rsidRDefault="007D19D6">
      <w:pPr>
        <w:rPr>
          <w:rFonts w:eastAsia="Calibri" w:cs="Times New Roman"/>
          <w:b/>
          <w:i/>
          <w:noProof/>
        </w:rPr>
      </w:pPr>
      <w:r>
        <w:rPr>
          <w:b/>
          <w:i/>
          <w:noProof/>
        </w:rPr>
        <w:t>Esošie pasākumi</w:t>
      </w:r>
    </w:p>
    <w:p w:rsidR="003E022D" w:rsidRDefault="007D19D6">
      <w:pPr>
        <w:rPr>
          <w:rFonts w:eastAsia="Calibri" w:cs="Times New Roman"/>
          <w:i/>
          <w:noProof/>
        </w:rPr>
      </w:pPr>
      <w:r>
        <w:rPr>
          <w:b/>
          <w:i/>
          <w:noProof/>
        </w:rPr>
        <w:t>EE</w:t>
      </w:r>
      <w:r>
        <w:rPr>
          <w:i/>
          <w:noProof/>
        </w:rPr>
        <w:t>: Krediidiasutuste seadus (Kredītiestāžu likums), § 206 un §21.</w:t>
      </w:r>
    </w:p>
    <w:p w:rsidR="003E022D" w:rsidRDefault="007D19D6">
      <w:pPr>
        <w:rPr>
          <w:rFonts w:eastAsia="Calibri" w:cs="Times New Roman"/>
          <w:noProof/>
        </w:rPr>
      </w:pPr>
      <w:r>
        <w:rPr>
          <w:b/>
          <w:noProof/>
        </w:rPr>
        <w:t>SK</w:t>
      </w:r>
      <w:r>
        <w:rPr>
          <w:noProof/>
        </w:rPr>
        <w:t xml:space="preserve">: ieguldījumu pakalpojumus var sniegt tikai vadības uzņēmumi, kuru juridiskā forma atbilstīgi tiesību aktiem ir akciju sabiedrības ar pašu kapitālu. </w:t>
      </w:r>
    </w:p>
    <w:p w:rsidR="003E022D" w:rsidRDefault="007D19D6">
      <w:pPr>
        <w:rPr>
          <w:rFonts w:eastAsia="Calibri" w:cs="Times New Roman"/>
          <w:b/>
          <w:i/>
          <w:noProof/>
        </w:rPr>
      </w:pPr>
      <w:r>
        <w:rPr>
          <w:b/>
          <w:i/>
          <w:noProof/>
        </w:rPr>
        <w:t xml:space="preserve">Esošie </w:t>
      </w:r>
      <w:r>
        <w:rPr>
          <w:b/>
          <w:i/>
          <w:noProof/>
        </w:rPr>
        <w:t>pasākumi</w:t>
      </w:r>
    </w:p>
    <w:p w:rsidR="003E022D" w:rsidRDefault="007D19D6">
      <w:pPr>
        <w:rPr>
          <w:rFonts w:eastAsia="Calibri" w:cs="Times New Roman"/>
          <w:i/>
          <w:noProof/>
        </w:rPr>
      </w:pPr>
      <w:r>
        <w:rPr>
          <w:b/>
          <w:i/>
          <w:noProof/>
        </w:rPr>
        <w:t>SK</w:t>
      </w:r>
      <w:r>
        <w:rPr>
          <w:i/>
          <w:noProof/>
        </w:rPr>
        <w:t xml:space="preserve">: Likums Nr. 566/2001 par vērtspapīriem un ieguldījumu pakalpojumiem; Likums Nr. 483/2001 par bankām. </w:t>
      </w:r>
    </w:p>
    <w:p w:rsidR="003E022D" w:rsidRDefault="007D19D6">
      <w:pPr>
        <w:rPr>
          <w:rFonts w:eastAsia="Calibri" w:cs="Times New Roman"/>
          <w:iCs/>
          <w:noProof/>
          <w:u w:val="single"/>
        </w:rPr>
      </w:pPr>
      <w:r>
        <w:rPr>
          <w:noProof/>
          <w:u w:val="single"/>
        </w:rPr>
        <w:t xml:space="preserve">Attiecībā uz investīciju liberalizāciju – valsts režīms, augstākā vadība un direktoru padomes </w:t>
      </w:r>
    </w:p>
    <w:p w:rsidR="003E022D" w:rsidRDefault="007D19D6">
      <w:pPr>
        <w:rPr>
          <w:rFonts w:eastAsia="Calibri" w:cs="Times New Roman"/>
          <w:noProof/>
        </w:rPr>
      </w:pPr>
      <w:r>
        <w:rPr>
          <w:b/>
          <w:noProof/>
        </w:rPr>
        <w:t>FI</w:t>
      </w:r>
      <w:r>
        <w:rPr>
          <w:noProof/>
        </w:rPr>
        <w:t>: vismaz viens no banku pakalpojumu sniedzēja</w:t>
      </w:r>
      <w:r>
        <w:rPr>
          <w:noProof/>
        </w:rPr>
        <w:t xml:space="preserve"> dibinātājiem, direktoru padomes locekļiem, uzraudzības padomes locekļiem, kā arī tā izpilddirektors un persona, kas ir tiesīga parakstīties kredītiestādes vārdā, ir EEZ pastāvīgais iedzīvotājs. Vismaz viena revidenta pastāvīgā dzīvesvieta ir EEZ dalībvals</w:t>
      </w:r>
      <w:r>
        <w:rPr>
          <w:noProof/>
        </w:rPr>
        <w:t xml:space="preserve">tī. </w:t>
      </w:r>
    </w:p>
    <w:p w:rsidR="003E022D" w:rsidRDefault="007D19D6">
      <w:pPr>
        <w:rPr>
          <w:rFonts w:eastAsia="Calibri" w:cs="Times New Roman"/>
          <w:b/>
          <w:i/>
          <w:noProof/>
        </w:rPr>
      </w:pPr>
      <w:r>
        <w:rPr>
          <w:b/>
          <w:i/>
          <w:noProof/>
        </w:rPr>
        <w:t>Esošie pasākumi</w:t>
      </w:r>
    </w:p>
    <w:p w:rsidR="003E022D" w:rsidRDefault="007D19D6">
      <w:pPr>
        <w:rPr>
          <w:rFonts w:eastAsia="Calibri" w:cs="Times New Roman"/>
          <w:i/>
          <w:noProof/>
        </w:rPr>
      </w:pPr>
      <w:r>
        <w:rPr>
          <w:b/>
          <w:i/>
          <w:noProof/>
        </w:rPr>
        <w:t>FI:</w:t>
      </w:r>
      <w:r>
        <w:rPr>
          <w:i/>
          <w:noProof/>
        </w:rPr>
        <w:t xml:space="preserve"> Laki liikepankeista ja muista osakeyhtiömuotoisista luottolaitoksista (Likums par </w:t>
      </w:r>
    </w:p>
    <w:p w:rsidR="003E022D" w:rsidRDefault="007D19D6">
      <w:pPr>
        <w:rPr>
          <w:rFonts w:eastAsia="Calibri" w:cs="Times New Roman"/>
          <w:i/>
          <w:noProof/>
        </w:rPr>
      </w:pPr>
      <w:r>
        <w:rPr>
          <w:i/>
          <w:noProof/>
        </w:rPr>
        <w:t>komercbankām un citām kredītiestādēm, kas ir sabiedrības ar ierobežotu atbildību) (1501/2001);</w:t>
      </w:r>
    </w:p>
    <w:p w:rsidR="003E022D" w:rsidRDefault="007D19D6">
      <w:pPr>
        <w:rPr>
          <w:rFonts w:eastAsia="Calibri" w:cs="Times New Roman"/>
          <w:i/>
          <w:noProof/>
        </w:rPr>
      </w:pPr>
      <w:r>
        <w:rPr>
          <w:i/>
          <w:noProof/>
        </w:rPr>
        <w:t>Säästöpankkilaki (1502/2001) (Krājbanku likums);</w:t>
      </w:r>
    </w:p>
    <w:p w:rsidR="003E022D" w:rsidRDefault="007D19D6">
      <w:pPr>
        <w:rPr>
          <w:rFonts w:eastAsia="Calibri" w:cs="Times New Roman"/>
          <w:i/>
          <w:noProof/>
        </w:rPr>
      </w:pPr>
      <w:r>
        <w:rPr>
          <w:i/>
          <w:noProof/>
        </w:rPr>
        <w:t>Laki</w:t>
      </w:r>
      <w:r>
        <w:rPr>
          <w:i/>
          <w:noProof/>
        </w:rPr>
        <w:t xml:space="preserve"> osuuspankeista ja muista osuuskuntamuotoisista luottolaitoksista (1504/2001) (Likums par </w:t>
      </w:r>
    </w:p>
    <w:p w:rsidR="003E022D" w:rsidRDefault="007D19D6">
      <w:pPr>
        <w:rPr>
          <w:rFonts w:eastAsia="Calibri" w:cs="Times New Roman"/>
          <w:i/>
          <w:noProof/>
        </w:rPr>
      </w:pPr>
      <w:r>
        <w:rPr>
          <w:i/>
          <w:noProof/>
        </w:rPr>
        <w:t>kooperatīvu bankām un citām kredītiestādēm, kas ir kooperatīvu bankas);</w:t>
      </w:r>
    </w:p>
    <w:p w:rsidR="003E022D" w:rsidRDefault="007D19D6">
      <w:pPr>
        <w:rPr>
          <w:rFonts w:eastAsia="Calibri" w:cs="Times New Roman"/>
          <w:i/>
          <w:noProof/>
        </w:rPr>
      </w:pPr>
      <w:r>
        <w:rPr>
          <w:i/>
          <w:noProof/>
        </w:rPr>
        <w:t>Laki hypoteekkiyhdistyksistä (936/1978) (Likums par hipotēku sabiedrībām);</w:t>
      </w:r>
    </w:p>
    <w:p w:rsidR="003E022D" w:rsidRDefault="007D19D6">
      <w:pPr>
        <w:rPr>
          <w:rFonts w:eastAsia="Calibri" w:cs="Times New Roman"/>
          <w:i/>
          <w:noProof/>
        </w:rPr>
      </w:pPr>
      <w:r>
        <w:rPr>
          <w:i/>
          <w:noProof/>
        </w:rPr>
        <w:t>Maksulaitoslaki (2</w:t>
      </w:r>
      <w:r>
        <w:rPr>
          <w:i/>
          <w:noProof/>
        </w:rPr>
        <w:t>97/2010) (Likums par maksājumu iestādēm)</w:t>
      </w:r>
    </w:p>
    <w:p w:rsidR="003E022D" w:rsidRDefault="007D19D6">
      <w:pPr>
        <w:rPr>
          <w:rFonts w:eastAsia="Calibri" w:cs="Times New Roman"/>
          <w:i/>
          <w:noProof/>
        </w:rPr>
      </w:pPr>
      <w:r>
        <w:rPr>
          <w:i/>
          <w:noProof/>
        </w:rPr>
        <w:t xml:space="preserve">Laki ulkomaisen maksulaitoksen toiminnasta Suomessa (298/2010) (Likums par  </w:t>
      </w:r>
    </w:p>
    <w:p w:rsidR="003E022D" w:rsidRDefault="007D19D6">
      <w:pPr>
        <w:rPr>
          <w:rFonts w:eastAsia="Calibri" w:cs="Times New Roman"/>
          <w:i/>
          <w:noProof/>
        </w:rPr>
      </w:pPr>
      <w:r>
        <w:rPr>
          <w:i/>
          <w:noProof/>
        </w:rPr>
        <w:t>ārvalstu maksājumu iestāžu darbību Somijā) un</w:t>
      </w:r>
    </w:p>
    <w:p w:rsidR="003E022D" w:rsidRDefault="007D19D6">
      <w:pPr>
        <w:rPr>
          <w:rFonts w:eastAsia="Calibri" w:cs="Times New Roman"/>
          <w:i/>
          <w:noProof/>
        </w:rPr>
      </w:pPr>
      <w:r>
        <w:rPr>
          <w:i/>
          <w:noProof/>
        </w:rPr>
        <w:t xml:space="preserve">Laki luottolaitostoiminnasta (Likums par kredītiestādēm) (121/2007). </w:t>
      </w:r>
    </w:p>
    <w:p w:rsidR="003E022D" w:rsidRDefault="007D19D6">
      <w:pPr>
        <w:rPr>
          <w:rFonts w:eastAsia="Calibri" w:cs="Times New Roman"/>
          <w:noProof/>
          <w:u w:val="single"/>
        </w:rPr>
      </w:pPr>
      <w:r>
        <w:rPr>
          <w:iCs/>
          <w:noProof/>
          <w:u w:val="single"/>
        </w:rPr>
        <w:t>Attiecībā uz investīci</w:t>
      </w:r>
      <w:r>
        <w:rPr>
          <w:iCs/>
          <w:noProof/>
          <w:u w:val="single"/>
        </w:rPr>
        <w:t xml:space="preserve">ju liberalizāciju – piekļuve tirgum, valsts režīms un pakalpojumu pārrobežu tirdzniecība – klātbūtne uz vietas </w:t>
      </w:r>
    </w:p>
    <w:p w:rsidR="003E022D" w:rsidRDefault="007D19D6">
      <w:pPr>
        <w:rPr>
          <w:rFonts w:eastAsia="Calibri" w:cs="Times New Roman"/>
          <w:b/>
          <w:bCs/>
          <w:noProof/>
        </w:rPr>
      </w:pPr>
      <w:r>
        <w:rPr>
          <w:b/>
          <w:noProof/>
        </w:rPr>
        <w:t>IT</w:t>
      </w:r>
      <w:r>
        <w:rPr>
          <w:noProof/>
        </w:rPr>
        <w:t xml:space="preserve">: “consulenti finanziari” (finanšu konsultanta) sniegti pakalpojumi. Veicot tiešo pārdošanu, starpniekiem jāizmanto pilnvaroti finanšu </w:t>
      </w:r>
      <w:r>
        <w:rPr>
          <w:noProof/>
        </w:rPr>
        <w:t>pārdevēji, kuru mītnesvieta ir kāda dalībvalsts.</w:t>
      </w:r>
    </w:p>
    <w:p w:rsidR="003E022D" w:rsidRDefault="007D19D6">
      <w:pPr>
        <w:rPr>
          <w:rFonts w:eastAsia="Calibri" w:cs="Times New Roman"/>
          <w:b/>
          <w:bCs/>
          <w:i/>
          <w:noProof/>
        </w:rPr>
      </w:pPr>
      <w:r>
        <w:rPr>
          <w:b/>
          <w:i/>
          <w:noProof/>
        </w:rPr>
        <w:t xml:space="preserve">Esošie pasākumi </w:t>
      </w:r>
    </w:p>
    <w:p w:rsidR="003E022D" w:rsidRDefault="007D19D6">
      <w:pPr>
        <w:rPr>
          <w:rFonts w:eastAsia="Calibri" w:cs="Times New Roman"/>
          <w:b/>
          <w:i/>
          <w:noProof/>
        </w:rPr>
      </w:pPr>
      <w:r>
        <w:rPr>
          <w:b/>
          <w:i/>
          <w:noProof/>
        </w:rPr>
        <w:t>IT:</w:t>
      </w:r>
      <w:r>
        <w:rPr>
          <w:i/>
          <w:noProof/>
        </w:rPr>
        <w:t xml:space="preserve"> Consob noteikumi par starpniekiem (Nr. 16190, 2007. gada 29. oktobris), 91.–111. pants </w:t>
      </w:r>
    </w:p>
    <w:p w:rsidR="003E022D" w:rsidRDefault="007D19D6">
      <w:pPr>
        <w:rPr>
          <w:rFonts w:eastAsia="Calibri" w:cs="Times New Roman"/>
          <w:iCs/>
          <w:noProof/>
          <w:u w:val="single"/>
        </w:rPr>
      </w:pPr>
      <w:r>
        <w:rPr>
          <w:noProof/>
          <w:u w:val="single"/>
        </w:rPr>
        <w:t>Attiecībā uz investīciju liberalizāciju – piekļuve tirgum, valsts režīms, augstākā vadība un direk</w:t>
      </w:r>
      <w:r>
        <w:rPr>
          <w:noProof/>
          <w:u w:val="single"/>
        </w:rPr>
        <w:t xml:space="preserve">toru padomes un pakalpojumu pārrobežu tirdzniecība – klātbūtne uz vietas </w:t>
      </w:r>
    </w:p>
    <w:p w:rsidR="003E022D" w:rsidRDefault="007D19D6">
      <w:pPr>
        <w:rPr>
          <w:rFonts w:eastAsia="Calibri" w:cs="Times New Roman"/>
          <w:i/>
          <w:noProof/>
        </w:rPr>
      </w:pPr>
      <w:r>
        <w:rPr>
          <w:b/>
          <w:noProof/>
        </w:rPr>
        <w:t>LT</w:t>
      </w:r>
      <w:r>
        <w:rPr>
          <w:noProof/>
        </w:rPr>
        <w:t xml:space="preserve">: vienīgi bankas, kuru juridiskā adrese vai filiāle ir Lietuvā un kuras ir tiesīgas sniegt ieguldījumu pakalpojumus EEZ valstī, var darboties kā pensiju fondu aktīvu depozitāriji. </w:t>
      </w:r>
      <w:r>
        <w:rPr>
          <w:noProof/>
        </w:rPr>
        <w:t xml:space="preserve">Vismaz vienam bankas vadītājam jāprot lietuviešu valoda.  </w:t>
      </w:r>
    </w:p>
    <w:p w:rsidR="003E022D" w:rsidRDefault="007D19D6">
      <w:pPr>
        <w:rPr>
          <w:rFonts w:eastAsia="Calibri" w:cs="Times New Roman"/>
          <w:b/>
          <w:bCs/>
          <w:i/>
          <w:noProof/>
        </w:rPr>
      </w:pPr>
      <w:r>
        <w:rPr>
          <w:b/>
          <w:i/>
          <w:noProof/>
        </w:rPr>
        <w:t xml:space="preserve">Esošie pasākumi </w:t>
      </w:r>
    </w:p>
    <w:p w:rsidR="003E022D" w:rsidRDefault="007D19D6">
      <w:pPr>
        <w:rPr>
          <w:rFonts w:eastAsia="Calibri" w:cs="Times New Roman"/>
          <w:i/>
          <w:noProof/>
        </w:rPr>
      </w:pPr>
      <w:r>
        <w:rPr>
          <w:b/>
          <w:i/>
          <w:noProof/>
        </w:rPr>
        <w:t>LT:</w:t>
      </w:r>
      <w:r>
        <w:rPr>
          <w:i/>
          <w:noProof/>
        </w:rPr>
        <w:t xml:space="preserve"> </w:t>
      </w:r>
      <w:r>
        <w:rPr>
          <w:i/>
          <w:iCs/>
          <w:noProof/>
        </w:rPr>
        <w:t>Lietuvas Republikas 2004. gada 30. marta Likums Nr. IX-2085 par bankām, kas grozīts ar 2017. gada 16. novembra Likumu Nr.  XIII-729;</w:t>
      </w:r>
      <w:r>
        <w:rPr>
          <w:i/>
          <w:noProof/>
        </w:rPr>
        <w:t xml:space="preserve"> </w:t>
      </w:r>
    </w:p>
    <w:p w:rsidR="003E022D" w:rsidRDefault="007D19D6">
      <w:pPr>
        <w:rPr>
          <w:rFonts w:eastAsia="Calibri" w:cs="Times New Roman"/>
          <w:i/>
          <w:noProof/>
        </w:rPr>
      </w:pPr>
      <w:r>
        <w:rPr>
          <w:i/>
          <w:iCs/>
          <w:noProof/>
        </w:rPr>
        <w:t>Lietuvas Republikas 2003. gada 4. jūlija L</w:t>
      </w:r>
      <w:r>
        <w:rPr>
          <w:i/>
          <w:iCs/>
          <w:noProof/>
        </w:rPr>
        <w:t>ikums Nr. IX-1709 par kolektīvo ieguldījumu uzņēmumiem, kas grozīts ar 2018. gada 20. decembra Likumu Nr. XIII-1872;</w:t>
      </w:r>
      <w:r>
        <w:rPr>
          <w:i/>
          <w:noProof/>
        </w:rPr>
        <w:t xml:space="preserve"> </w:t>
      </w:r>
    </w:p>
    <w:p w:rsidR="003E022D" w:rsidRDefault="007D19D6">
      <w:pPr>
        <w:rPr>
          <w:rFonts w:eastAsia="Calibri" w:cs="Times New Roman"/>
          <w:i/>
          <w:noProof/>
        </w:rPr>
      </w:pPr>
      <w:r>
        <w:rPr>
          <w:i/>
          <w:noProof/>
        </w:rPr>
        <w:t>Lietuvas Republikas 1999. gada 3. jūnija Likums Nr. VIII-1212 par papildu brīvprātīgo pensijas uzkrāšanu (kas pārskatīts ar 2012. gada 20.</w:t>
      </w:r>
      <w:r>
        <w:rPr>
          <w:i/>
          <w:noProof/>
        </w:rPr>
        <w:t> decembra Likumu Nr. XII-70);</w:t>
      </w:r>
    </w:p>
    <w:p w:rsidR="003E022D" w:rsidRDefault="007D19D6">
      <w:pPr>
        <w:rPr>
          <w:rFonts w:eastAsia="Calibri" w:cs="Times New Roman"/>
          <w:i/>
          <w:noProof/>
        </w:rPr>
      </w:pPr>
      <w:r>
        <w:rPr>
          <w:i/>
          <w:noProof/>
        </w:rPr>
        <w:t>Lietuvas Republikas 2003. gada 5. jūnija Likums Nr. IX-1596 par maksājumiem, kurā jaunākie grozījumi izdarīti ar Nr. XIII-2488, 2019. gada 17. oktobris;</w:t>
      </w:r>
    </w:p>
    <w:p w:rsidR="003E022D" w:rsidRDefault="007D19D6">
      <w:pPr>
        <w:rPr>
          <w:rFonts w:eastAsia="Calibri" w:cs="Times New Roman"/>
          <w:i/>
          <w:noProof/>
        </w:rPr>
      </w:pPr>
      <w:r>
        <w:rPr>
          <w:i/>
          <w:noProof/>
        </w:rPr>
        <w:t xml:space="preserve">Lietuvas Republikas 2009. gada 10. decembra Maksājumu iestāžu likums </w:t>
      </w:r>
      <w:r>
        <w:rPr>
          <w:i/>
          <w:noProof/>
        </w:rPr>
        <w:t>Nr. XI-549 (jaunā redakcija: Nr. XIII-1093, 2018. gada 17. aprīlis).</w:t>
      </w:r>
    </w:p>
    <w:p w:rsidR="003E022D" w:rsidRDefault="007D19D6">
      <w:pPr>
        <w:rPr>
          <w:rFonts w:eastAsia="Calibri" w:cs="Times New Roman"/>
          <w:noProof/>
          <w:u w:val="single"/>
        </w:rPr>
      </w:pPr>
      <w:r>
        <w:rPr>
          <w:noProof/>
          <w:u w:val="single"/>
        </w:rPr>
        <w:t xml:space="preserve">Attiecībā uz pakalpojumu pārrobežu tirdzniecību – piekļuve tirgum </w:t>
      </w:r>
    </w:p>
    <w:p w:rsidR="003E022D" w:rsidRDefault="007D19D6">
      <w:pPr>
        <w:rPr>
          <w:rFonts w:eastAsia="Calibri" w:cs="Times New Roman"/>
          <w:i/>
          <w:noProof/>
        </w:rPr>
      </w:pPr>
      <w:r>
        <w:rPr>
          <w:b/>
          <w:noProof/>
        </w:rPr>
        <w:t>FI</w:t>
      </w:r>
      <w:r>
        <w:rPr>
          <w:noProof/>
        </w:rPr>
        <w:t xml:space="preserve">: attiecībā uz maksājumu pakalpojumiem var tikt piemērota prasība par rezidenta statusu vai domicilu Somijā. </w:t>
      </w:r>
    </w:p>
    <w:p w:rsidR="003E022D" w:rsidRDefault="003E022D">
      <w:pPr>
        <w:rPr>
          <w:rFonts w:eastAsia="Calibri" w:cs="Times New Roman"/>
          <w:noProof/>
        </w:rPr>
      </w:pPr>
    </w:p>
    <w:p w:rsidR="003E022D" w:rsidRDefault="007D19D6">
      <w:pPr>
        <w:rPr>
          <w:rFonts w:eastAsia="Calibri" w:cs="Times New Roman"/>
          <w:noProof/>
        </w:rPr>
      </w:pPr>
      <w:bookmarkStart w:id="1238" w:name="_Toc452503984"/>
      <w:bookmarkStart w:id="1239" w:name="_Toc479001641"/>
      <w:bookmarkEnd w:id="1234"/>
      <w:bookmarkEnd w:id="1235"/>
      <w:r>
        <w:rPr>
          <w:noProof/>
        </w:rPr>
        <w:br w:type="page"/>
      </w:r>
    </w:p>
    <w:p w:rsidR="003E022D" w:rsidRDefault="007D19D6">
      <w:pPr>
        <w:rPr>
          <w:rFonts w:eastAsia="Calibri" w:cs="Times New Roman"/>
          <w:b/>
          <w:bCs/>
          <w:noProof/>
        </w:rPr>
      </w:pPr>
      <w:bookmarkStart w:id="1240" w:name="_Toc53746615"/>
      <w:bookmarkStart w:id="1241" w:name="_Toc57917481"/>
      <w:r>
        <w:rPr>
          <w:b/>
          <w:bCs/>
          <w:noProof/>
        </w:rPr>
        <w:t>17. a</w:t>
      </w:r>
      <w:r>
        <w:rPr>
          <w:b/>
          <w:bCs/>
          <w:noProof/>
        </w:rPr>
        <w:t xml:space="preserve">truna. Veselības un </w:t>
      </w:r>
      <w:bookmarkEnd w:id="1238"/>
      <w:bookmarkEnd w:id="1239"/>
      <w:r>
        <w:rPr>
          <w:b/>
          <w:bCs/>
          <w:noProof/>
        </w:rPr>
        <w:t>sociālie pakalpojumi</w:t>
      </w:r>
      <w:bookmarkEnd w:id="1240"/>
      <w:bookmarkEnd w:id="1241"/>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Veselības un sociālie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93, 931 (izņemot 9312), daļa no 93191, 9311, 93192, 93193, 93199</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r>
            <w:r>
              <w:rPr>
                <w:noProof/>
              </w:rPr>
              <w:t xml:space="preserve">Augstākā vadība un direktoru padome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w:t>
      </w:r>
    </w:p>
    <w:p w:rsidR="003E022D" w:rsidRDefault="007D19D6">
      <w:pPr>
        <w:rPr>
          <w:rFonts w:eastAsia="Calibri" w:cs="Times New Roman"/>
          <w:b/>
          <w:i/>
          <w:noProof/>
        </w:rPr>
      </w:pPr>
      <w:r>
        <w:rPr>
          <w:b/>
          <w:bCs/>
          <w:i/>
          <w:noProof/>
        </w:rPr>
        <w:t>a)</w:t>
      </w:r>
      <w:r>
        <w:rPr>
          <w:noProof/>
        </w:rPr>
        <w:tab/>
      </w:r>
      <w:bookmarkStart w:id="1242" w:name="_Toc452503985"/>
      <w:r>
        <w:rPr>
          <w:b/>
          <w:bCs/>
          <w:i/>
          <w:noProof/>
        </w:rPr>
        <w:t>Veselības pakalpojumi – slimnīcu, neatliekamās medicīniskās palīdzības pakalpojumi un iedzīvotāju veselības pakalpojumi</w:t>
      </w:r>
      <w:bookmarkEnd w:id="1242"/>
      <w:r>
        <w:rPr>
          <w:b/>
          <w:bCs/>
          <w:i/>
          <w:noProof/>
        </w:rPr>
        <w:t xml:space="preserve"> </w:t>
      </w:r>
      <w:r>
        <w:rPr>
          <w:b/>
          <w:i/>
          <w:noProof/>
        </w:rPr>
        <w:t xml:space="preserve">(CPC 93, 931, izņemot 9312, daļa no 93191, 9311, 93192, 93193, 93199) </w:t>
      </w:r>
    </w:p>
    <w:p w:rsidR="003E022D" w:rsidRDefault="007D19D6">
      <w:pPr>
        <w:rPr>
          <w:rFonts w:eastAsia="Calibri" w:cs="Times New Roman"/>
          <w:iCs/>
          <w:noProof/>
          <w:u w:val="single"/>
        </w:rPr>
      </w:pPr>
      <w:r>
        <w:rPr>
          <w:noProof/>
          <w:u w:val="single"/>
        </w:rPr>
        <w:t>Attiecībā uz investīciju liberalizāciju – piekļuve tirgum, val</w:t>
      </w:r>
      <w:r>
        <w:rPr>
          <w:noProof/>
          <w:u w:val="single"/>
        </w:rPr>
        <w:t xml:space="preserve">sts režīms, veiktspējas prasības, augstākā vadība un direktoru padomes </w:t>
      </w:r>
    </w:p>
    <w:p w:rsidR="003E022D" w:rsidRDefault="007D19D6">
      <w:pPr>
        <w:rPr>
          <w:rFonts w:eastAsia="Calibri" w:cs="Times New Roman"/>
          <w:bCs/>
          <w:noProof/>
        </w:rPr>
      </w:pPr>
      <w:r>
        <w:rPr>
          <w:b/>
          <w:noProof/>
        </w:rPr>
        <w:t>EU</w:t>
      </w:r>
      <w:r>
        <w:rPr>
          <w:noProof/>
        </w:rPr>
        <w:t xml:space="preserve">: izglītības pakalpojumi, kas saņem publisko finansējumu vai jebkāda veida valsts atbalstu. </w:t>
      </w:r>
    </w:p>
    <w:p w:rsidR="003E022D" w:rsidRDefault="007D19D6">
      <w:pPr>
        <w:rPr>
          <w:rFonts w:eastAsia="Calibri" w:cs="Times New Roman"/>
          <w:noProof/>
        </w:rPr>
      </w:pPr>
      <w:r>
        <w:rPr>
          <w:b/>
          <w:noProof/>
        </w:rPr>
        <w:t>EU</w:t>
      </w:r>
      <w:r>
        <w:rPr>
          <w:noProof/>
        </w:rPr>
        <w:t>: attiecībā uz visiem privāti finansētiem veselības pakalpojumiem, izņemot privāti fina</w:t>
      </w:r>
      <w:r>
        <w:rPr>
          <w:noProof/>
        </w:rPr>
        <w:t>nsētus slimnīcu, neatliekamās medicīniskās palīdzības un iedzīvotāju veselības pakalpojumus, kas nav slimnīcu pakalpojumi. Lai privāti uzņēmumi varētu darboties privāti finansētā veselības aprūpes tīklā, tiem varētu būt jāsaņem nediskriminējošā veidā piešķ</w:t>
      </w:r>
      <w:r>
        <w:rPr>
          <w:noProof/>
        </w:rPr>
        <w:t xml:space="preserve">irta koncesija. Var tikt piemērota ekonomisko vajadzību pārbaude. Galvenie kritēriji — esošo uzņēmumu skaits un ietekme uz tiem, transporta infrastruktūra, iedzīvotāju blīvums, ģeogrāfiskā izplatība un jaunu darbvietu radīšana. </w:t>
      </w:r>
    </w:p>
    <w:p w:rsidR="003E022D" w:rsidRDefault="007D19D6">
      <w:pPr>
        <w:rPr>
          <w:rFonts w:eastAsia="Calibri" w:cs="Times New Roman"/>
          <w:noProof/>
        </w:rPr>
      </w:pPr>
      <w:r>
        <w:rPr>
          <w:noProof/>
        </w:rPr>
        <w:t>Šī atruna neattiecas uz vis</w:t>
      </w:r>
      <w:r>
        <w:rPr>
          <w:noProof/>
        </w:rPr>
        <w:t>u ar veselību saistīto profesionālo pakalpojumu sniegšanu, tajā skaitā uz pakalpojumiem, ko sniedz tādi speciālisti kā ārsti, zobārsti, vecmātes, māsas, fizioterapeiti, vidējais medicīniskais personāls un psihologi; kam piemēro citas atrunas (CPC 931, izņe</w:t>
      </w:r>
      <w:r>
        <w:rPr>
          <w:noProof/>
        </w:rPr>
        <w:t xml:space="preserve">mot 9312, daļu no 93191). </w:t>
      </w:r>
    </w:p>
    <w:p w:rsidR="003E022D" w:rsidRDefault="007D19D6">
      <w:pPr>
        <w:rPr>
          <w:rFonts w:eastAsia="Calibri" w:cs="Times New Roman"/>
          <w:noProof/>
        </w:rPr>
      </w:pPr>
      <w:r>
        <w:rPr>
          <w:b/>
          <w:noProof/>
        </w:rPr>
        <w:t>AT</w:t>
      </w:r>
      <w:r>
        <w:rPr>
          <w:noProof/>
        </w:rPr>
        <w:t>,</w:t>
      </w:r>
      <w:r>
        <w:rPr>
          <w:b/>
          <w:noProof/>
        </w:rPr>
        <w:t xml:space="preserve"> PL </w:t>
      </w:r>
      <w:r>
        <w:rPr>
          <w:noProof/>
        </w:rPr>
        <w:t>un</w:t>
      </w:r>
      <w:r>
        <w:rPr>
          <w:b/>
          <w:noProof/>
        </w:rPr>
        <w:t xml:space="preserve"> SI</w:t>
      </w:r>
      <w:r>
        <w:rPr>
          <w:noProof/>
        </w:rPr>
        <w:t xml:space="preserve">: privāti finansētu neatliekamās palīdzības pakalpojumu sniegšana (CPC 93192). </w:t>
      </w:r>
    </w:p>
    <w:p w:rsidR="003E022D" w:rsidRDefault="007D19D6">
      <w:pPr>
        <w:rPr>
          <w:rFonts w:eastAsia="Calibri" w:cs="Times New Roman"/>
          <w:noProof/>
        </w:rPr>
      </w:pPr>
      <w:r>
        <w:rPr>
          <w:b/>
          <w:noProof/>
        </w:rPr>
        <w:t>BE</w:t>
      </w:r>
      <w:r>
        <w:rPr>
          <w:noProof/>
        </w:rPr>
        <w:t>: privāti finansētu neatliekamās medicīniskās palīdzības pakalpojumu un iedzīvotāju veselības aprūpes pakalpojumu, kas nav slimnīcu pak</w:t>
      </w:r>
      <w:r>
        <w:rPr>
          <w:noProof/>
        </w:rPr>
        <w:t xml:space="preserve">alpojumi, izveide (CPC 93192, 93193). </w:t>
      </w:r>
    </w:p>
    <w:p w:rsidR="003E022D" w:rsidRDefault="007D19D6">
      <w:pPr>
        <w:rPr>
          <w:rFonts w:eastAsia="Calibri" w:cs="Times New Roman"/>
          <w:noProof/>
        </w:rPr>
      </w:pPr>
      <w:r>
        <w:rPr>
          <w:b/>
          <w:noProof/>
        </w:rPr>
        <w:t>BG, CY, CZ, FI, MT un SK</w:t>
      </w:r>
      <w:r>
        <w:rPr>
          <w:noProof/>
        </w:rPr>
        <w:t xml:space="preserve">: privāti finansētu slimnīcu, neatliekamās medicīniskās palīdzības pakalpojumu un iedzīvotāju veselības pakalpojumu, kas nav slimnīcu pakalpojumi, sniegšana (CPC 9311, 93192, 93193). </w:t>
      </w:r>
    </w:p>
    <w:p w:rsidR="003E022D" w:rsidRDefault="007D19D6">
      <w:pPr>
        <w:rPr>
          <w:rFonts w:eastAsia="Calibri" w:cs="Times New Roman"/>
          <w:noProof/>
        </w:rPr>
      </w:pPr>
      <w:r>
        <w:rPr>
          <w:b/>
          <w:noProof/>
        </w:rPr>
        <w:t>FI</w:t>
      </w:r>
      <w:r>
        <w:rPr>
          <w:noProof/>
        </w:rPr>
        <w:t xml:space="preserve">: citu cilvēku veselības pakalpojumu sniegšana (CPC 93199).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b/>
          <w:noProof/>
        </w:rPr>
      </w:pPr>
      <w:r>
        <w:rPr>
          <w:b/>
          <w:bCs/>
          <w:noProof/>
        </w:rPr>
        <w:t>CZ</w:t>
      </w:r>
      <w:r>
        <w:rPr>
          <w:noProof/>
        </w:rPr>
        <w:t xml:space="preserve">: Likums Nr. 372/2011 Sb. par veselības aprūpes pakalpojumiem un to sniegšanas nosacījumiem. </w:t>
      </w:r>
    </w:p>
    <w:p w:rsidR="003E022D" w:rsidRDefault="007D19D6">
      <w:pPr>
        <w:rPr>
          <w:rFonts w:eastAsia="Calibri" w:cs="Times New Roman"/>
          <w:b/>
          <w:noProof/>
        </w:rPr>
      </w:pPr>
      <w:r>
        <w:rPr>
          <w:b/>
          <w:noProof/>
        </w:rPr>
        <w:t xml:space="preserve">FI: </w:t>
      </w:r>
      <w:r>
        <w:rPr>
          <w:i/>
          <w:noProof/>
        </w:rPr>
        <w:t>Laki yksityisestä terveydenhuollosta</w:t>
      </w:r>
      <w:r>
        <w:rPr>
          <w:noProof/>
        </w:rPr>
        <w:t xml:space="preserve"> (Likums par privāto veselības aprūpi) (15</w:t>
      </w:r>
      <w:r>
        <w:rPr>
          <w:noProof/>
        </w:rPr>
        <w:t xml:space="preserve">2/1990). </w:t>
      </w:r>
    </w:p>
    <w:p w:rsidR="003E022D" w:rsidRDefault="007D19D6">
      <w:pPr>
        <w:rPr>
          <w:rFonts w:eastAsia="Calibri" w:cs="Times New Roman"/>
          <w:iCs/>
          <w:noProof/>
          <w:u w:val="single"/>
        </w:rPr>
      </w:pPr>
      <w:r>
        <w:rPr>
          <w:noProof/>
          <w:u w:val="single"/>
        </w:rPr>
        <w:t xml:space="preserve">Attiecībā uz ieguldījumu liberalizāciju – piekļuve tirgum, valsts režīms, lielākās labvēlības režīms, augstākā vadība un direktoru padomes, veiktspējas prasības: </w:t>
      </w:r>
    </w:p>
    <w:p w:rsidR="003E022D" w:rsidRDefault="007D19D6">
      <w:pPr>
        <w:rPr>
          <w:rFonts w:eastAsia="Calibri" w:cs="Times New Roman"/>
          <w:noProof/>
        </w:rPr>
      </w:pPr>
      <w:r>
        <w:rPr>
          <w:b/>
          <w:bCs/>
          <w:noProof/>
        </w:rPr>
        <w:t>DE</w:t>
      </w:r>
      <w:r>
        <w:rPr>
          <w:noProof/>
        </w:rPr>
        <w:t>: Vācijas sociālā nodrošinājuma sistēmas pakalpojumu sniegšana, ja pakalpojumus v</w:t>
      </w:r>
      <w:r>
        <w:rPr>
          <w:noProof/>
        </w:rPr>
        <w:t>ar sniegt dažādi uzņēmumi vai struktūras, kuru darbība ietver konkurences elementus un tādējādi nav uzskatāma par “pakalpojumiem, ko sniedz, tikai īstenojot valdības pilnvaras”. Patur tiesības nodrošināt labvēlīgāku attieksmi saskaņā ar divpusēju tirdzniec</w:t>
      </w:r>
      <w:r>
        <w:rPr>
          <w:noProof/>
        </w:rPr>
        <w:t xml:space="preserve">ības nolīgumu attiecībā uz veselības aprūpes un sociālajiem pakalpojumiem (CPC 93). </w:t>
      </w:r>
    </w:p>
    <w:p w:rsidR="003E022D" w:rsidRDefault="007D19D6">
      <w:pPr>
        <w:rPr>
          <w:rFonts w:eastAsia="Calibri" w:cs="Times New Roman"/>
          <w:noProof/>
          <w:u w:val="single"/>
        </w:rPr>
      </w:pPr>
      <w:r>
        <w:rPr>
          <w:noProof/>
          <w:u w:val="single"/>
        </w:rPr>
        <w:t xml:space="preserve">Attiecībā uz investīciju liberalizāciju – piekļuve tirgum, valsts režīms </w:t>
      </w:r>
    </w:p>
    <w:p w:rsidR="003E022D" w:rsidRDefault="007D19D6">
      <w:pPr>
        <w:rPr>
          <w:rFonts w:eastAsia="Calibri" w:cs="Times New Roman"/>
          <w:noProof/>
        </w:rPr>
      </w:pPr>
      <w:r>
        <w:rPr>
          <w:b/>
          <w:bCs/>
          <w:noProof/>
        </w:rPr>
        <w:t>DE</w:t>
      </w:r>
      <w:r>
        <w:rPr>
          <w:noProof/>
        </w:rPr>
        <w:t xml:space="preserve">: īpašumtiesības uz privāti finansētām slimnīcām, ko vada Vācijas bruņotie spēki. </w:t>
      </w:r>
    </w:p>
    <w:p w:rsidR="003E022D" w:rsidRDefault="007D19D6">
      <w:pPr>
        <w:rPr>
          <w:rFonts w:eastAsia="Calibri" w:cs="Times New Roman"/>
          <w:bCs/>
          <w:noProof/>
        </w:rPr>
      </w:pPr>
      <w:r>
        <w:rPr>
          <w:noProof/>
        </w:rPr>
        <w:t>Jānacionaliz</w:t>
      </w:r>
      <w:r>
        <w:rPr>
          <w:noProof/>
        </w:rPr>
        <w:t xml:space="preserve">ē visas pārējās galvenās privāti finansētās slimnīcas (CPC 93110). </w:t>
      </w:r>
    </w:p>
    <w:p w:rsidR="003E022D" w:rsidRDefault="007D19D6">
      <w:pPr>
        <w:rPr>
          <w:rFonts w:eastAsia="Calibri" w:cs="Times New Roman"/>
          <w:noProof/>
        </w:rPr>
      </w:pPr>
      <w:r>
        <w:rPr>
          <w:b/>
          <w:noProof/>
        </w:rPr>
        <w:t>FR</w:t>
      </w:r>
      <w:r>
        <w:rPr>
          <w:noProof/>
        </w:rPr>
        <w:t xml:space="preserve">: privāti finansētu laboratoriskās analīzes un testēšanas pakalpojumu sniegšana. </w:t>
      </w:r>
    </w:p>
    <w:p w:rsidR="003E022D" w:rsidRDefault="007D19D6">
      <w:pPr>
        <w:rPr>
          <w:rFonts w:eastAsia="Calibri" w:cs="Times New Roman"/>
          <w:i/>
          <w:iCs/>
          <w:noProof/>
        </w:rPr>
      </w:pPr>
      <w:r>
        <w:rPr>
          <w:i/>
          <w:noProof/>
        </w:rPr>
        <w:t xml:space="preserve">Attiecībā uz pakalpojumu pārrobežu tirdzniecību – piekļuve tirgum, valsts režīms </w:t>
      </w:r>
    </w:p>
    <w:p w:rsidR="003E022D" w:rsidRDefault="007D19D6">
      <w:pPr>
        <w:rPr>
          <w:rFonts w:eastAsia="Calibri" w:cs="Times New Roman"/>
          <w:noProof/>
        </w:rPr>
      </w:pPr>
      <w:r>
        <w:rPr>
          <w:b/>
          <w:noProof/>
        </w:rPr>
        <w:t>FR:</w:t>
      </w:r>
      <w:r>
        <w:rPr>
          <w:noProof/>
        </w:rPr>
        <w:t xml:space="preserve"> privāti finansētu </w:t>
      </w:r>
      <w:r>
        <w:rPr>
          <w:noProof/>
        </w:rPr>
        <w:t xml:space="preserve">laboratoriskās analīzes un testēšanas pakalpojumu sniegšana (daļa no CPC 9311).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FR</w:t>
      </w:r>
      <w:r>
        <w:rPr>
          <w:noProof/>
        </w:rPr>
        <w:t xml:space="preserve">: </w:t>
      </w:r>
      <w:r>
        <w:rPr>
          <w:i/>
          <w:noProof/>
        </w:rPr>
        <w:t>Code de la Santé Publique.</w:t>
      </w:r>
    </w:p>
    <w:p w:rsidR="003E022D" w:rsidRDefault="007D19D6">
      <w:pPr>
        <w:rPr>
          <w:rFonts w:eastAsia="Calibri" w:cs="Times New Roman"/>
          <w:i/>
          <w:noProof/>
        </w:rPr>
      </w:pPr>
      <w:bookmarkStart w:id="1243" w:name="_Toc452503986"/>
      <w:r>
        <w:rPr>
          <w:b/>
          <w:bCs/>
          <w:i/>
          <w:noProof/>
        </w:rPr>
        <w:t>b)</w:t>
      </w:r>
      <w:r>
        <w:rPr>
          <w:noProof/>
        </w:rPr>
        <w:tab/>
      </w:r>
      <w:r>
        <w:rPr>
          <w:b/>
          <w:bCs/>
          <w:i/>
          <w:noProof/>
        </w:rPr>
        <w:t>Veselības un sociālie pakalpojumi, ieskaitot pensiju apdrošināšanu</w:t>
      </w:r>
      <w:bookmarkEnd w:id="1243"/>
      <w:r>
        <w:rPr>
          <w:b/>
          <w:bCs/>
          <w:i/>
          <w:noProof/>
        </w:rPr>
        <w:t xml:space="preserve"> </w:t>
      </w:r>
    </w:p>
    <w:p w:rsidR="003E022D" w:rsidRDefault="007D19D6">
      <w:pPr>
        <w:rPr>
          <w:rFonts w:eastAsia="Calibri" w:cs="Times New Roman"/>
          <w:iCs/>
          <w:noProof/>
          <w:u w:val="single"/>
        </w:rPr>
      </w:pPr>
      <w:r>
        <w:rPr>
          <w:noProof/>
          <w:u w:val="single"/>
        </w:rPr>
        <w:t xml:space="preserve">Attiecībā uz pakalpojumu pārrobežu tirdzniecību – piekļuve tirgum, valsts režīms, klātbūtne uz vietas </w:t>
      </w:r>
    </w:p>
    <w:p w:rsidR="003E022D" w:rsidRDefault="007D19D6">
      <w:pPr>
        <w:rPr>
          <w:rFonts w:eastAsia="Calibri" w:cs="Times New Roman"/>
          <w:noProof/>
        </w:rPr>
      </w:pPr>
      <w:r>
        <w:rPr>
          <w:b/>
          <w:noProof/>
        </w:rPr>
        <w:t>EU</w:t>
      </w:r>
      <w:r>
        <w:rPr>
          <w:noProof/>
        </w:rPr>
        <w:t xml:space="preserve">, izņemot </w:t>
      </w:r>
      <w:r>
        <w:rPr>
          <w:b/>
          <w:noProof/>
        </w:rPr>
        <w:t>HU</w:t>
      </w:r>
      <w:r>
        <w:rPr>
          <w:noProof/>
        </w:rPr>
        <w:t>: veselības aprūpes pakalpojumu, sociālo pakalpojumu un darbību vai pakalpojumu pārrobežu sniegšanu, kas ir daļa no valsts pensiju plāna va</w:t>
      </w:r>
      <w:r>
        <w:rPr>
          <w:noProof/>
        </w:rPr>
        <w:t>i valsts sociālā nodrošinājuma sistēmas. Šī atruna neattiecas uz visu ar veselību saistīto profesionālo pakalpojumu sniegšanu, tajā skaitā uz pakalpojumiem, ko sniedz tādi speciālisti kā ārsti, zobārsti, vecmātes, māsas, fizioterapeiti, vidējais medicīnisk</w:t>
      </w:r>
      <w:r>
        <w:rPr>
          <w:noProof/>
        </w:rPr>
        <w:t xml:space="preserve">ais palīgpersonāls un psihologi; kam piemēro citas atrunas (CPC 931, izņemot 9312, daļu no 93191). </w:t>
      </w:r>
    </w:p>
    <w:p w:rsidR="003E022D" w:rsidRDefault="007D19D6">
      <w:pPr>
        <w:rPr>
          <w:rFonts w:eastAsia="Calibri" w:cs="Times New Roman"/>
          <w:noProof/>
        </w:rPr>
      </w:pPr>
      <w:r>
        <w:rPr>
          <w:b/>
          <w:noProof/>
        </w:rPr>
        <w:t>HU</w:t>
      </w:r>
      <w:r>
        <w:rPr>
          <w:noProof/>
        </w:rPr>
        <w:t>: visu tādu slimnīcu, neatliekamās medicīniskās palīdzības pakalpojumu un iedzīvotāju veselības pakalpojumu, kas nav slimnīcu pakalpojumi un kas tiek publ</w:t>
      </w:r>
      <w:r>
        <w:rPr>
          <w:noProof/>
        </w:rPr>
        <w:t>iski finansēti, pārrobežu sniegšana (CPC 9311, 93192, 93193).</w:t>
      </w:r>
      <w:r>
        <w:rPr>
          <w:b/>
          <w:noProof/>
        </w:rPr>
        <w:t xml:space="preserve"> </w:t>
      </w:r>
    </w:p>
    <w:p w:rsidR="003E022D" w:rsidRDefault="007D19D6">
      <w:pPr>
        <w:rPr>
          <w:rFonts w:eastAsia="Calibri" w:cs="Times New Roman"/>
          <w:i/>
          <w:noProof/>
        </w:rPr>
      </w:pPr>
      <w:bookmarkStart w:id="1244" w:name="_Toc452503987"/>
      <w:r>
        <w:rPr>
          <w:b/>
          <w:bCs/>
          <w:i/>
          <w:noProof/>
        </w:rPr>
        <w:t>c)</w:t>
      </w:r>
      <w:r>
        <w:rPr>
          <w:noProof/>
        </w:rPr>
        <w:tab/>
      </w:r>
      <w:r>
        <w:rPr>
          <w:b/>
          <w:bCs/>
          <w:i/>
          <w:noProof/>
        </w:rPr>
        <w:t>Sociālie pakalpojumi, ieskaitot pensiju apdrošināšanu</w:t>
      </w:r>
      <w:bookmarkEnd w:id="1244"/>
      <w:r>
        <w:rPr>
          <w:i/>
          <w:noProof/>
        </w:rPr>
        <w:t xml:space="preserve"> </w:t>
      </w:r>
    </w:p>
    <w:p w:rsidR="003E022D" w:rsidRDefault="007D19D6">
      <w:pPr>
        <w:rPr>
          <w:rFonts w:eastAsia="Calibri" w:cs="Times New Roman"/>
          <w:iCs/>
          <w:noProof/>
          <w:u w:val="single"/>
        </w:rPr>
      </w:pPr>
      <w:r>
        <w:rPr>
          <w:noProof/>
          <w:u w:val="single"/>
        </w:rPr>
        <w:t xml:space="preserve">Attiecībā uz investīciju liberalizāciju – piekļuve tirgum, valsts režīms, augstākā vadība un direktoru padomes, veiktspējas prasības: </w:t>
      </w:r>
    </w:p>
    <w:p w:rsidR="003E022D" w:rsidRDefault="007D19D6">
      <w:pPr>
        <w:rPr>
          <w:rFonts w:eastAsia="Calibri" w:cs="Times New Roman"/>
          <w:noProof/>
        </w:rPr>
      </w:pPr>
      <w:r>
        <w:rPr>
          <w:b/>
          <w:noProof/>
        </w:rPr>
        <w:t>EU</w:t>
      </w:r>
      <w:r>
        <w:rPr>
          <w:noProof/>
        </w:rPr>
        <w:t>: visu to sociālo pakalpojumu sniegšana, kuriem piešķir publisko finansējumu vai jebkādu valsts atbalstu, kā arī darbības vai pakalpojumi, kas ietilpst valsts pensiju plānā vai tiesību aktos noteiktā sociālā nodrošinājuma sistēmā. Lai privāti uzņēmumi va</w:t>
      </w:r>
      <w:r>
        <w:rPr>
          <w:noProof/>
        </w:rPr>
        <w:t xml:space="preserve">rētu darboties privāti finansētā sociālā tīklā, tiem varētu būt jāsaņem nediskriminējošā veidā piešķirta koncesija. Var tikt piemērota ekonomisko vajadzību pārbaude. Galvenie kritēriji — esošo uzņēmumu skaits un ietekme uz tiem, transporta infrastruktūra, </w:t>
      </w:r>
      <w:r>
        <w:rPr>
          <w:noProof/>
        </w:rPr>
        <w:t xml:space="preserve">iedzīvotāju blīvums, ģeogrāfiskā izplatība un jaunu darbvietu radīšana. </w:t>
      </w:r>
    </w:p>
    <w:p w:rsidR="003E022D" w:rsidRDefault="007D19D6">
      <w:pPr>
        <w:rPr>
          <w:rFonts w:eastAsia="Calibri" w:cs="Times New Roman"/>
          <w:noProof/>
        </w:rPr>
      </w:pPr>
      <w:r>
        <w:rPr>
          <w:b/>
          <w:noProof/>
        </w:rPr>
        <w:t xml:space="preserve">BE, CY, DE, DK, EL, ES, FR, IE, IT un PT: </w:t>
      </w:r>
      <w:r>
        <w:rPr>
          <w:noProof/>
        </w:rPr>
        <w:t xml:space="preserve">tādu privāti finansētu sociālo pakalpojumu sniegšana, kuru sniedzēji nav rehabilitācijas iestādes, atpūtas nami un veco ļaužu pansionāti. </w:t>
      </w:r>
    </w:p>
    <w:p w:rsidR="003E022D" w:rsidRDefault="007D19D6">
      <w:pPr>
        <w:rPr>
          <w:rFonts w:eastAsia="Calibri" w:cs="Times New Roman"/>
          <w:noProof/>
        </w:rPr>
      </w:pPr>
      <w:r>
        <w:rPr>
          <w:b/>
          <w:noProof/>
        </w:rPr>
        <w:t>CZ</w:t>
      </w:r>
      <w:r>
        <w:rPr>
          <w:noProof/>
        </w:rPr>
        <w:t xml:space="preserve">, </w:t>
      </w:r>
      <w:r>
        <w:rPr>
          <w:b/>
          <w:noProof/>
        </w:rPr>
        <w:t>FI</w:t>
      </w:r>
      <w:r>
        <w:rPr>
          <w:noProof/>
        </w:rPr>
        <w:t xml:space="preserve">, </w:t>
      </w:r>
      <w:r>
        <w:rPr>
          <w:b/>
          <w:noProof/>
        </w:rPr>
        <w:t>HU</w:t>
      </w:r>
      <w:r>
        <w:rPr>
          <w:noProof/>
        </w:rPr>
        <w:t xml:space="preserve">, </w:t>
      </w:r>
      <w:r>
        <w:rPr>
          <w:b/>
          <w:noProof/>
        </w:rPr>
        <w:t>MT</w:t>
      </w:r>
      <w:r>
        <w:rPr>
          <w:noProof/>
        </w:rPr>
        <w:t xml:space="preserve">, </w:t>
      </w:r>
      <w:r>
        <w:rPr>
          <w:b/>
          <w:noProof/>
        </w:rPr>
        <w:t>PL</w:t>
      </w:r>
      <w:r>
        <w:rPr>
          <w:noProof/>
        </w:rPr>
        <w:t xml:space="preserve">, </w:t>
      </w:r>
      <w:r>
        <w:rPr>
          <w:b/>
          <w:noProof/>
        </w:rPr>
        <w:t>RO</w:t>
      </w:r>
      <w:r>
        <w:rPr>
          <w:noProof/>
        </w:rPr>
        <w:t xml:space="preserve">, </w:t>
      </w:r>
      <w:r>
        <w:rPr>
          <w:b/>
          <w:noProof/>
        </w:rPr>
        <w:t>SK,</w:t>
      </w:r>
      <w:r>
        <w:rPr>
          <w:noProof/>
        </w:rPr>
        <w:t xml:space="preserve"> un </w:t>
      </w:r>
      <w:r>
        <w:rPr>
          <w:b/>
          <w:noProof/>
        </w:rPr>
        <w:t>SI</w:t>
      </w:r>
      <w:r>
        <w:rPr>
          <w:noProof/>
        </w:rPr>
        <w:t xml:space="preserve">: privāti finansētu sociālo pakalpojumu sniegšana. </w:t>
      </w:r>
    </w:p>
    <w:p w:rsidR="003E022D" w:rsidRDefault="007D19D6">
      <w:pPr>
        <w:rPr>
          <w:rFonts w:eastAsia="Calibri" w:cs="Times New Roman"/>
          <w:noProof/>
        </w:rPr>
      </w:pPr>
      <w:r>
        <w:rPr>
          <w:b/>
          <w:noProof/>
        </w:rPr>
        <w:t xml:space="preserve">DE: </w:t>
      </w:r>
      <w:r>
        <w:rPr>
          <w:noProof/>
        </w:rPr>
        <w:t>Vācijas sociālā nodrošinājuma sistēma, ja pakalpojumus sniedz dažādi uzņēmumi vai struktūras, kuru darbība ietver konkurences elementus un tādējādi varētu nebūt uzskatām</w:t>
      </w:r>
      <w:r>
        <w:rPr>
          <w:noProof/>
        </w:rPr>
        <w:t xml:space="preserve">a par “pakalpojumiem, ko sniedz, tikai īstenojot valdības pilnvaras”.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b/>
          <w:noProof/>
        </w:rPr>
      </w:pPr>
      <w:r>
        <w:rPr>
          <w:b/>
          <w:noProof/>
        </w:rPr>
        <w:t>FI:</w:t>
      </w:r>
      <w:r>
        <w:rPr>
          <w:noProof/>
        </w:rPr>
        <w:t xml:space="preserve"> </w:t>
      </w:r>
      <w:r>
        <w:rPr>
          <w:i/>
          <w:noProof/>
        </w:rPr>
        <w:t>Laki yksityisistä sosiaalipalveluista</w:t>
      </w:r>
      <w:r>
        <w:rPr>
          <w:noProof/>
        </w:rPr>
        <w:t xml:space="preserve"> (Privāto sociālo pakalpojumu likums) (922/2011). </w:t>
      </w:r>
    </w:p>
    <w:p w:rsidR="003E022D" w:rsidRDefault="007D19D6">
      <w:pPr>
        <w:rPr>
          <w:rFonts w:eastAsia="Calibri" w:cs="Times New Roman"/>
          <w:noProof/>
        </w:rPr>
      </w:pPr>
      <w:r>
        <w:rPr>
          <w:b/>
          <w:noProof/>
        </w:rPr>
        <w:t>IE:</w:t>
      </w:r>
      <w:r>
        <w:rPr>
          <w:noProof/>
        </w:rPr>
        <w:t xml:space="preserve"> 2004. gada Veselības likums (</w:t>
      </w:r>
      <w:r>
        <w:rPr>
          <w:i/>
          <w:noProof/>
        </w:rPr>
        <w:t>S.</w:t>
      </w:r>
      <w:r>
        <w:rPr>
          <w:noProof/>
        </w:rPr>
        <w:t xml:space="preserve"> 39) un </w:t>
      </w:r>
    </w:p>
    <w:p w:rsidR="003E022D" w:rsidRDefault="007D19D6">
      <w:pPr>
        <w:rPr>
          <w:rFonts w:eastAsia="Calibri" w:cs="Times New Roman"/>
          <w:noProof/>
        </w:rPr>
      </w:pPr>
      <w:r>
        <w:rPr>
          <w:noProof/>
        </w:rPr>
        <w:t xml:space="preserve">1970. gada Veselības likums (ar </w:t>
      </w:r>
      <w:r>
        <w:rPr>
          <w:noProof/>
        </w:rPr>
        <w:t xml:space="preserve">grozījumiem, </w:t>
      </w:r>
      <w:r>
        <w:rPr>
          <w:i/>
          <w:noProof/>
        </w:rPr>
        <w:t>S.61A</w:t>
      </w:r>
      <w:r>
        <w:rPr>
          <w:noProof/>
        </w:rPr>
        <w:t xml:space="preserve">). </w:t>
      </w:r>
    </w:p>
    <w:p w:rsidR="003E022D" w:rsidRDefault="007D19D6">
      <w:pPr>
        <w:rPr>
          <w:rFonts w:eastAsia="Calibri" w:cs="Times New Roman"/>
          <w:noProof/>
        </w:rPr>
      </w:pPr>
      <w:r>
        <w:rPr>
          <w:b/>
          <w:noProof/>
        </w:rPr>
        <w:t xml:space="preserve">IT: </w:t>
      </w:r>
      <w:r>
        <w:rPr>
          <w:noProof/>
        </w:rPr>
        <w:t xml:space="preserve">Likums Nr. 833/1978, sabiedrības veselības aprūpes sistēmas īstenošana; </w:t>
      </w:r>
    </w:p>
    <w:p w:rsidR="003E022D" w:rsidRDefault="007D19D6">
      <w:pPr>
        <w:rPr>
          <w:rFonts w:eastAsia="Calibri" w:cs="Times New Roman"/>
          <w:b/>
          <w:noProof/>
        </w:rPr>
      </w:pPr>
      <w:r>
        <w:rPr>
          <w:noProof/>
        </w:rPr>
        <w:t xml:space="preserve">Likumdošanas dekrēts Nr. 502/1992, veselības nozares darbības organizēšana un disciplīna un Likums Nr. 328/2000, sociālo pakalpojumu reforma. </w:t>
      </w:r>
    </w:p>
    <w:p w:rsidR="003E022D" w:rsidRDefault="003E022D">
      <w:pPr>
        <w:rPr>
          <w:rFonts w:eastAsia="Calibri" w:cs="Times New Roman"/>
          <w:noProof/>
        </w:rPr>
      </w:pPr>
      <w:bookmarkStart w:id="1245" w:name="_Toc452503988"/>
    </w:p>
    <w:p w:rsidR="003E022D" w:rsidRDefault="007D19D6">
      <w:pPr>
        <w:rPr>
          <w:rFonts w:eastAsia="Calibri" w:cs="Times New Roman"/>
          <w:b/>
          <w:bCs/>
          <w:noProof/>
        </w:rPr>
      </w:pPr>
      <w:r>
        <w:rPr>
          <w:noProof/>
        </w:rPr>
        <w:br w:type="page"/>
      </w:r>
    </w:p>
    <w:p w:rsidR="003E022D" w:rsidRDefault="007D19D6">
      <w:pPr>
        <w:rPr>
          <w:rFonts w:eastAsia="Calibri" w:cs="Times New Roman"/>
          <w:b/>
          <w:bCs/>
          <w:noProof/>
        </w:rPr>
      </w:pPr>
      <w:bookmarkStart w:id="1246" w:name="_Toc53746616"/>
      <w:bookmarkStart w:id="1247" w:name="_Toc57917482"/>
      <w:bookmarkStart w:id="1248" w:name="_Toc479001642"/>
      <w:r>
        <w:rPr>
          <w:b/>
          <w:bCs/>
          <w:noProof/>
        </w:rPr>
        <w:t>18. atruna.</w:t>
      </w:r>
      <w:r>
        <w:rPr>
          <w:b/>
          <w:bCs/>
          <w:noProof/>
        </w:rPr>
        <w:t xml:space="preserve"> Tūrisma pakalpojumi un ar ceļojumiem saistīti pakalpojumi</w:t>
      </w:r>
      <w:bookmarkEnd w:id="1246"/>
      <w:bookmarkEnd w:id="1247"/>
      <w:bookmarkEnd w:id="1248"/>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Tūristu gidu pakalpojumi pakalpojumi un veselības aprūpes un sociālie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7472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Valsts režīms </w:t>
            </w:r>
            <w:r>
              <w:rPr>
                <w:noProof/>
              </w:rPr>
              <w:br/>
              <w:t xml:space="preserve">Lielākās labvēlības režīms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noProof/>
          <w:u w:val="single"/>
        </w:rPr>
      </w:pPr>
      <w:r>
        <w:rPr>
          <w:noProof/>
          <w:u w:val="single"/>
        </w:rPr>
        <w:t>Attiecībā uz investīciju liberalizāciju – valsts režīms un pakalpojumu pārrobežu tirdznie</w:t>
      </w:r>
      <w:r>
        <w:rPr>
          <w:noProof/>
          <w:u w:val="single"/>
        </w:rPr>
        <w:t xml:space="preserve">cība – valsts režīms </w:t>
      </w:r>
    </w:p>
    <w:p w:rsidR="003E022D" w:rsidRDefault="007D19D6">
      <w:pPr>
        <w:rPr>
          <w:rFonts w:eastAsia="Calibri" w:cs="Times New Roman"/>
          <w:noProof/>
        </w:rPr>
      </w:pPr>
      <w:r>
        <w:rPr>
          <w:b/>
          <w:noProof/>
        </w:rPr>
        <w:t>FR</w:t>
      </w:r>
      <w:r>
        <w:rPr>
          <w:noProof/>
        </w:rPr>
        <w:t xml:space="preserve">: pieprasīt dalībvalsts pilsonību tūristu gidu pakalpojumu sniegšanai. </w:t>
      </w:r>
    </w:p>
    <w:p w:rsidR="003E022D" w:rsidRDefault="007D19D6">
      <w:pPr>
        <w:rPr>
          <w:rFonts w:eastAsia="Calibri" w:cs="Times New Roman"/>
          <w:noProof/>
          <w:u w:val="single"/>
        </w:rPr>
      </w:pPr>
      <w:r>
        <w:rPr>
          <w:noProof/>
          <w:u w:val="single"/>
        </w:rPr>
        <w:t xml:space="preserve">Attiecībā uz investīciju liberalizāciju – lielākās labvēlības režīms un pakalpojumu pārrobežu tirdzniecība – lielākās labvēlības režīms </w:t>
      </w:r>
    </w:p>
    <w:p w:rsidR="003E022D" w:rsidRDefault="007D19D6">
      <w:pPr>
        <w:rPr>
          <w:rFonts w:eastAsia="Calibri" w:cs="Times New Roman"/>
          <w:noProof/>
        </w:rPr>
      </w:pPr>
      <w:r>
        <w:rPr>
          <w:b/>
          <w:noProof/>
        </w:rPr>
        <w:t>LT</w:t>
      </w:r>
      <w:r>
        <w:rPr>
          <w:noProof/>
        </w:rPr>
        <w:t>: ciktāl Apvienotā Ka</w:t>
      </w:r>
      <w:r>
        <w:rPr>
          <w:noProof/>
        </w:rPr>
        <w:t xml:space="preserve">raliste atļauj Lietuvas valstspiederīgajiem sniegt tūrisma gidu pakalpojumus, Lietuva ļaus Apvienotās Karalistes valstspiederīgajiem sniegt tūrisma gidu pakalpojumus ar tādiem pašiem nosacījumiem. </w:t>
      </w:r>
    </w:p>
    <w:p w:rsidR="003E022D" w:rsidRDefault="003E022D">
      <w:pPr>
        <w:rPr>
          <w:rFonts w:eastAsia="Calibri" w:cs="Times New Roman"/>
          <w:b/>
          <w:noProof/>
        </w:rPr>
      </w:pPr>
    </w:p>
    <w:p w:rsidR="003E022D" w:rsidRDefault="007D19D6">
      <w:pPr>
        <w:rPr>
          <w:rFonts w:eastAsia="Calibri" w:cs="Times New Roman"/>
          <w:b/>
          <w:bCs/>
          <w:noProof/>
        </w:rPr>
      </w:pPr>
      <w:r>
        <w:rPr>
          <w:noProof/>
        </w:rPr>
        <w:br w:type="page"/>
      </w:r>
    </w:p>
    <w:p w:rsidR="003E022D" w:rsidRDefault="007D19D6">
      <w:pPr>
        <w:rPr>
          <w:rFonts w:eastAsia="Calibri" w:cs="Times New Roman"/>
          <w:b/>
          <w:bCs/>
          <w:noProof/>
        </w:rPr>
      </w:pPr>
      <w:bookmarkStart w:id="1249" w:name="_Toc479001643"/>
      <w:bookmarkStart w:id="1250" w:name="_Toc53746617"/>
      <w:bookmarkStart w:id="1251" w:name="_Toc57917483"/>
      <w:r>
        <w:rPr>
          <w:b/>
          <w:bCs/>
          <w:noProof/>
        </w:rPr>
        <w:t xml:space="preserve">19. atruna. Atpūtas, kultūras un sporta </w:t>
      </w:r>
      <w:bookmarkEnd w:id="1245"/>
      <w:bookmarkEnd w:id="1249"/>
      <w:r>
        <w:rPr>
          <w:b/>
          <w:bCs/>
          <w:noProof/>
        </w:rPr>
        <w:t>pakalpojumi</w:t>
      </w:r>
      <w:bookmarkEnd w:id="1250"/>
      <w:bookmarkEnd w:id="1251"/>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w:t>
            </w:r>
            <w:r>
              <w:rPr>
                <w:b/>
                <w:noProof/>
              </w:rPr>
              <w:t>are:</w:t>
            </w:r>
          </w:p>
        </w:tc>
        <w:tc>
          <w:tcPr>
            <w:tcW w:w="6407" w:type="dxa"/>
          </w:tcPr>
          <w:p w:rsidR="003E022D" w:rsidRDefault="007D19D6">
            <w:pPr>
              <w:spacing w:afterAutospacing="0"/>
              <w:jc w:val="left"/>
              <w:rPr>
                <w:noProof/>
              </w:rPr>
            </w:pPr>
            <w:r>
              <w:rPr>
                <w:noProof/>
              </w:rPr>
              <w:t>Atpūtas, kultūras un sporta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962, 963, 9619, 964</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 xml:space="preserve">Investīciju </w:t>
            </w:r>
            <w:r>
              <w:rPr>
                <w:noProof/>
              </w:rPr>
              <w:t>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i/>
          <w:noProof/>
        </w:rPr>
      </w:pPr>
      <w:r>
        <w:rPr>
          <w:b/>
          <w:bCs/>
          <w:i/>
          <w:noProof/>
        </w:rPr>
        <w:t>a)</w:t>
      </w:r>
      <w:r>
        <w:rPr>
          <w:noProof/>
        </w:rPr>
        <w:tab/>
      </w:r>
      <w:bookmarkStart w:id="1252" w:name="_Toc452503989"/>
      <w:r>
        <w:rPr>
          <w:b/>
          <w:bCs/>
          <w:i/>
          <w:noProof/>
        </w:rPr>
        <w:t>Bibliotēkas, arhīvi, muzeji un citi kultūras pakalpojumi</w:t>
      </w:r>
      <w:bookmarkEnd w:id="1252"/>
      <w:r>
        <w:rPr>
          <w:b/>
          <w:bCs/>
          <w:i/>
          <w:noProof/>
        </w:rPr>
        <w:t xml:space="preserve"> </w:t>
      </w:r>
      <w:r>
        <w:rPr>
          <w:i/>
          <w:noProof/>
        </w:rPr>
        <w:t xml:space="preserve">(CPC963) </w:t>
      </w:r>
    </w:p>
    <w:p w:rsidR="003E022D" w:rsidRDefault="007D19D6">
      <w:pPr>
        <w:rPr>
          <w:rFonts w:eastAsia="Calibri" w:cs="Times New Roman"/>
          <w:iCs/>
          <w:noProof/>
          <w:u w:val="single"/>
        </w:rPr>
      </w:pPr>
      <w:r>
        <w:rPr>
          <w:noProof/>
          <w:u w:val="single"/>
        </w:rPr>
        <w:t>Attiecībā uz investīciju libera</w:t>
      </w:r>
      <w:r>
        <w:rPr>
          <w:noProof/>
          <w:u w:val="single"/>
        </w:rPr>
        <w:t xml:space="preserve">lizāciju – piekļuve tirgum, valsts režīms, veiktspējas prasības, augstākā vadība un direktoru padomes un pakalpojumu pārrobežu tirdzniecība – piekļuve tirgum, valsts režīms, klātbūtne uz vietas </w:t>
      </w:r>
    </w:p>
    <w:p w:rsidR="003E022D" w:rsidRDefault="007D19D6">
      <w:pPr>
        <w:rPr>
          <w:rFonts w:eastAsia="Calibri" w:cs="Times New Roman"/>
          <w:noProof/>
        </w:rPr>
      </w:pPr>
      <w:r>
        <w:rPr>
          <w:b/>
          <w:noProof/>
        </w:rPr>
        <w:t>EU</w:t>
      </w:r>
      <w:r>
        <w:rPr>
          <w:noProof/>
        </w:rPr>
        <w:t xml:space="preserve">, izņemot </w:t>
      </w:r>
      <w:r>
        <w:rPr>
          <w:b/>
          <w:noProof/>
        </w:rPr>
        <w:t>AT</w:t>
      </w:r>
      <w:r>
        <w:rPr>
          <w:noProof/>
        </w:rPr>
        <w:t xml:space="preserve"> un attiecībā uz investīciju liberalizāciju – </w:t>
      </w:r>
      <w:r>
        <w:rPr>
          <w:b/>
          <w:noProof/>
        </w:rPr>
        <w:t>L</w:t>
      </w:r>
      <w:r>
        <w:rPr>
          <w:b/>
          <w:noProof/>
        </w:rPr>
        <w:t>T</w:t>
      </w:r>
      <w:r>
        <w:rPr>
          <w:noProof/>
        </w:rPr>
        <w:t>:</w:t>
      </w:r>
      <w:r>
        <w:rPr>
          <w:b/>
          <w:noProof/>
        </w:rPr>
        <w:t xml:space="preserve"> </w:t>
      </w:r>
      <w:r>
        <w:rPr>
          <w:noProof/>
        </w:rPr>
        <w:t xml:space="preserve">bibliotēku, arhīvu, muzeju un citu kultūras pakalpojumu sniegšana. </w:t>
      </w:r>
    </w:p>
    <w:p w:rsidR="003E022D" w:rsidRDefault="007D19D6">
      <w:pPr>
        <w:rPr>
          <w:rFonts w:eastAsia="Calibri" w:cs="Times New Roman"/>
          <w:noProof/>
        </w:rPr>
      </w:pPr>
      <w:r>
        <w:rPr>
          <w:b/>
          <w:noProof/>
        </w:rPr>
        <w:t>AT</w:t>
      </w:r>
      <w:r>
        <w:rPr>
          <w:noProof/>
        </w:rPr>
        <w:t xml:space="preserve"> un </w:t>
      </w:r>
      <w:r>
        <w:rPr>
          <w:b/>
          <w:noProof/>
        </w:rPr>
        <w:t>LT</w:t>
      </w:r>
      <w:r>
        <w:rPr>
          <w:noProof/>
        </w:rPr>
        <w:t xml:space="preserve">: uzņēmējdarbības veikšanai var būt nepieciešama licence vai koncesija. </w:t>
      </w:r>
    </w:p>
    <w:p w:rsidR="003E022D" w:rsidRDefault="007D19D6">
      <w:pPr>
        <w:rPr>
          <w:rFonts w:eastAsia="Calibri" w:cs="Times New Roman"/>
          <w:b/>
          <w:i/>
          <w:noProof/>
        </w:rPr>
      </w:pPr>
      <w:r>
        <w:rPr>
          <w:b/>
          <w:bCs/>
          <w:i/>
          <w:noProof/>
        </w:rPr>
        <w:t>b)</w:t>
      </w:r>
      <w:r>
        <w:rPr>
          <w:noProof/>
        </w:rPr>
        <w:tab/>
      </w:r>
      <w:r>
        <w:rPr>
          <w:b/>
          <w:bCs/>
          <w:i/>
          <w:noProof/>
        </w:rPr>
        <w:t xml:space="preserve"> </w:t>
      </w:r>
      <w:bookmarkStart w:id="1253" w:name="_Toc452503990"/>
      <w:r>
        <w:rPr>
          <w:b/>
          <w:bCs/>
          <w:i/>
          <w:noProof/>
        </w:rPr>
        <w:t>Izklaides pakalpojumi, teātra, dzīvās mūzikas un cirka pakalpojumi</w:t>
      </w:r>
      <w:bookmarkEnd w:id="1253"/>
      <w:r>
        <w:rPr>
          <w:b/>
          <w:bCs/>
          <w:i/>
          <w:noProof/>
        </w:rPr>
        <w:t xml:space="preserve"> </w:t>
      </w:r>
      <w:r>
        <w:rPr>
          <w:b/>
          <w:i/>
          <w:noProof/>
        </w:rPr>
        <w:t xml:space="preserve">(CPC 9619, 964, izņemot 96492) </w:t>
      </w:r>
    </w:p>
    <w:p w:rsidR="003E022D" w:rsidRDefault="007D19D6">
      <w:pPr>
        <w:rPr>
          <w:rFonts w:eastAsia="Calibri" w:cs="Times New Roman"/>
          <w:iCs/>
          <w:noProof/>
          <w:u w:val="single"/>
        </w:rPr>
      </w:pPr>
      <w:r>
        <w:rPr>
          <w:iCs/>
          <w:noProof/>
          <w:u w:val="single"/>
        </w:rPr>
        <w:t>Attiecībā uz pakalpojumu pārrobežu tirdzniecību – piekļuve tirgum, valsts režīms</w:t>
      </w:r>
      <w:r>
        <w:rPr>
          <w:noProof/>
          <w:u w:val="single"/>
        </w:rPr>
        <w:t xml:space="preserve"> </w:t>
      </w:r>
    </w:p>
    <w:p w:rsidR="003E022D" w:rsidRDefault="007D19D6">
      <w:pPr>
        <w:rPr>
          <w:rFonts w:eastAsia="Calibri" w:cs="Times New Roman"/>
          <w:noProof/>
        </w:rPr>
      </w:pPr>
      <w:r>
        <w:rPr>
          <w:b/>
          <w:noProof/>
        </w:rPr>
        <w:t>EU</w:t>
      </w:r>
      <w:r>
        <w:rPr>
          <w:noProof/>
        </w:rPr>
        <w:t xml:space="preserve">, izņemot </w:t>
      </w:r>
      <w:r>
        <w:rPr>
          <w:b/>
          <w:noProof/>
        </w:rPr>
        <w:t>AT</w:t>
      </w:r>
      <w:r>
        <w:rPr>
          <w:noProof/>
        </w:rPr>
        <w:t xml:space="preserve"> un </w:t>
      </w:r>
      <w:r>
        <w:rPr>
          <w:b/>
          <w:noProof/>
        </w:rPr>
        <w:t>SE</w:t>
      </w:r>
      <w:r>
        <w:rPr>
          <w:noProof/>
        </w:rPr>
        <w:t xml:space="preserve">: pārrobežu izklaides pakalpojumi (tostarp teātra, dzīvās mūzikas, cirka un diskotēku pakalpojumi). </w:t>
      </w:r>
    </w:p>
    <w:p w:rsidR="003E022D" w:rsidRDefault="007D19D6">
      <w:pPr>
        <w:rPr>
          <w:rFonts w:eastAsia="Calibri" w:cs="Times New Roman"/>
          <w:iCs/>
          <w:noProof/>
          <w:u w:val="single"/>
        </w:rPr>
      </w:pPr>
      <w:r>
        <w:rPr>
          <w:noProof/>
          <w:u w:val="single"/>
        </w:rPr>
        <w:t>Attiecībā uz investīciju liberalizāciju – piekļuve ti</w:t>
      </w:r>
      <w:r>
        <w:rPr>
          <w:noProof/>
          <w:u w:val="single"/>
        </w:rPr>
        <w:t xml:space="preserve">rgum, valsts režīms, veiktspējas prasības, augstākā vadība un direktoru padomes un pakalpojumu pārrobežu tirdzniecība – piekļuve tirgum, valsts režīms, klātbūtne uz vietas </w:t>
      </w:r>
    </w:p>
    <w:p w:rsidR="003E022D" w:rsidRDefault="007D19D6">
      <w:pPr>
        <w:rPr>
          <w:rFonts w:eastAsia="Calibri" w:cs="Times New Roman"/>
          <w:noProof/>
        </w:rPr>
      </w:pPr>
      <w:r>
        <w:rPr>
          <w:b/>
          <w:noProof/>
        </w:rPr>
        <w:t>CY, CZ, FI, MT, PL, RO, SI</w:t>
      </w:r>
      <w:r>
        <w:rPr>
          <w:noProof/>
        </w:rPr>
        <w:t xml:space="preserve"> un</w:t>
      </w:r>
      <w:r>
        <w:rPr>
          <w:b/>
          <w:noProof/>
        </w:rPr>
        <w:t xml:space="preserve"> SK: </w:t>
      </w:r>
      <w:r>
        <w:rPr>
          <w:noProof/>
        </w:rPr>
        <w:t>attiecībā uz izklaides pakalpojumiem (tostarp teā</w:t>
      </w:r>
      <w:r>
        <w:rPr>
          <w:noProof/>
        </w:rPr>
        <w:t xml:space="preserve">tra, dzīvās mūzikas, cirka un diskotēku pakalpojumiem). </w:t>
      </w:r>
    </w:p>
    <w:p w:rsidR="003E022D" w:rsidRDefault="007D19D6">
      <w:pPr>
        <w:rPr>
          <w:rFonts w:eastAsia="Calibri" w:cs="Times New Roman"/>
          <w:noProof/>
        </w:rPr>
      </w:pPr>
      <w:r>
        <w:rPr>
          <w:b/>
          <w:noProof/>
        </w:rPr>
        <w:t xml:space="preserve">BG: </w:t>
      </w:r>
      <w:r>
        <w:rPr>
          <w:noProof/>
        </w:rPr>
        <w:t xml:space="preserve">šādu izklaides pakalpojumu sniegšana: cirki, atrakciju parki un tamlīdzīgi atrakcijas pakalpojumi, sarīkojumu deju, diskotēku un deju skolotāju pakalpojumi un citi izklaides pakalpojumi. </w:t>
      </w:r>
    </w:p>
    <w:p w:rsidR="003E022D" w:rsidRDefault="007D19D6">
      <w:pPr>
        <w:rPr>
          <w:rFonts w:eastAsia="Calibri" w:cs="Times New Roman"/>
          <w:noProof/>
        </w:rPr>
      </w:pPr>
      <w:r>
        <w:rPr>
          <w:b/>
          <w:noProof/>
        </w:rPr>
        <w:t>EE</w:t>
      </w:r>
      <w:r>
        <w:rPr>
          <w:noProof/>
        </w:rPr>
        <w:t>: cit</w:t>
      </w:r>
      <w:r>
        <w:rPr>
          <w:noProof/>
        </w:rPr>
        <w:t xml:space="preserve">u izklaides pakalpojumu sniegšana, izņemot kinoteātru pakalpojumus. </w:t>
      </w:r>
    </w:p>
    <w:p w:rsidR="003E022D" w:rsidRDefault="007D19D6">
      <w:pPr>
        <w:rPr>
          <w:rFonts w:eastAsia="Calibri" w:cs="Times New Roman"/>
          <w:noProof/>
        </w:rPr>
      </w:pPr>
      <w:r>
        <w:rPr>
          <w:b/>
          <w:noProof/>
        </w:rPr>
        <w:t>LT</w:t>
      </w:r>
      <w:r>
        <w:rPr>
          <w:noProof/>
        </w:rPr>
        <w:t xml:space="preserve"> un </w:t>
      </w:r>
      <w:r>
        <w:rPr>
          <w:b/>
          <w:noProof/>
        </w:rPr>
        <w:t>LV</w:t>
      </w:r>
      <w:r>
        <w:rPr>
          <w:noProof/>
        </w:rPr>
        <w:t xml:space="preserve">: visu izklaides pakalpojumu sniegšana, izņemot kinoteātru darbības pakalpojumus. </w:t>
      </w:r>
    </w:p>
    <w:p w:rsidR="003E022D" w:rsidRDefault="007D19D6">
      <w:pPr>
        <w:rPr>
          <w:rFonts w:eastAsia="Calibri" w:cs="Times New Roman"/>
          <w:i/>
          <w:noProof/>
        </w:rPr>
      </w:pPr>
      <w:r>
        <w:rPr>
          <w:b/>
          <w:noProof/>
        </w:rPr>
        <w:t>CY, CZ, LV, PL, RO</w:t>
      </w:r>
      <w:r>
        <w:rPr>
          <w:noProof/>
        </w:rPr>
        <w:t xml:space="preserve"> un</w:t>
      </w:r>
      <w:r>
        <w:rPr>
          <w:b/>
          <w:noProof/>
        </w:rPr>
        <w:t xml:space="preserve"> SK:</w:t>
      </w:r>
      <w:r>
        <w:rPr>
          <w:noProof/>
        </w:rPr>
        <w:t xml:space="preserve"> sporta un citu atpūtas pakalpojumu pārrobežu sniegšana. </w:t>
      </w:r>
    </w:p>
    <w:p w:rsidR="003E022D" w:rsidRDefault="007D19D6">
      <w:pPr>
        <w:rPr>
          <w:rFonts w:eastAsia="Calibri" w:cs="Times New Roman"/>
          <w:b/>
          <w:bCs/>
          <w:i/>
          <w:noProof/>
        </w:rPr>
      </w:pPr>
      <w:r>
        <w:rPr>
          <w:b/>
          <w:bCs/>
          <w:i/>
          <w:noProof/>
        </w:rPr>
        <w:t>c)</w:t>
      </w:r>
      <w:r>
        <w:rPr>
          <w:noProof/>
        </w:rPr>
        <w:tab/>
      </w:r>
      <w:r>
        <w:rPr>
          <w:b/>
          <w:bCs/>
          <w:i/>
          <w:noProof/>
        </w:rPr>
        <w:t>Ziņu un pr</w:t>
      </w:r>
      <w:r>
        <w:rPr>
          <w:b/>
          <w:bCs/>
          <w:i/>
          <w:noProof/>
        </w:rPr>
        <w:t>eses aģentūras (CPC 962)</w:t>
      </w:r>
      <w:r>
        <w:rPr>
          <w:i/>
          <w:noProof/>
        </w:rPr>
        <w:t xml:space="preserve"> </w:t>
      </w:r>
    </w:p>
    <w:p w:rsidR="003E022D" w:rsidRDefault="007D19D6">
      <w:pPr>
        <w:rPr>
          <w:rFonts w:eastAsia="Calibri" w:cs="Times New Roman"/>
          <w:noProof/>
          <w:u w:val="single"/>
        </w:rPr>
      </w:pPr>
      <w:r>
        <w:rPr>
          <w:noProof/>
          <w:u w:val="single"/>
        </w:rPr>
        <w:t xml:space="preserve">Attiecībā uz investīciju liberalizāciju – piekļuve tirgum, valsts režīms </w:t>
      </w:r>
    </w:p>
    <w:p w:rsidR="003E022D" w:rsidRDefault="007D19D6">
      <w:pPr>
        <w:rPr>
          <w:rFonts w:eastAsia="Calibri" w:cs="Times New Roman"/>
          <w:noProof/>
        </w:rPr>
      </w:pPr>
      <w:r>
        <w:rPr>
          <w:b/>
          <w:noProof/>
        </w:rPr>
        <w:t>FR</w:t>
      </w:r>
      <w:r>
        <w:rPr>
          <w:noProof/>
        </w:rPr>
        <w:t>: ārvalstu kapitāla līdzdalība esošajos uzņēmumos, kas izdod publikācijas franču valodā, nedrīkst pārsniegt 20 procentus no uzņēmuma kapitāla vai balsstie</w:t>
      </w:r>
      <w:r>
        <w:rPr>
          <w:noProof/>
        </w:rPr>
        <w:t xml:space="preserve">sībām. Lai izveidotu preses aģentūru Apvienotajā Karalistē, ir jāievēro iekšzemes regulējumā izklāstītie nosacījumi. Uz ārvalstu ieguldītāju izveidotām preses aģentūrām attiecas savstarpības princips.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FR</w:t>
      </w:r>
      <w:r>
        <w:rPr>
          <w:noProof/>
        </w:rPr>
        <w:t xml:space="preserve">: </w:t>
      </w:r>
      <w:r>
        <w:rPr>
          <w:i/>
          <w:noProof/>
        </w:rPr>
        <w:t>Ordonnance n° 45-2646 du 2 novemb</w:t>
      </w:r>
      <w:r>
        <w:rPr>
          <w:i/>
          <w:noProof/>
        </w:rPr>
        <w:t>re 1945 portant règlementation provisoire des agences de presse</w:t>
      </w:r>
      <w:r>
        <w:rPr>
          <w:noProof/>
        </w:rPr>
        <w:t xml:space="preserve">; </w:t>
      </w:r>
      <w:r>
        <w:rPr>
          <w:i/>
          <w:iCs/>
          <w:noProof/>
        </w:rPr>
        <w:t>Loi n° 86-897 du 1 août 1986 portant réforme du régime juridique de la presse.</w:t>
      </w:r>
      <w:r>
        <w:rPr>
          <w:noProof/>
        </w:rPr>
        <w:t xml:space="preserve"> </w:t>
      </w:r>
    </w:p>
    <w:p w:rsidR="003E022D" w:rsidRDefault="007D19D6">
      <w:pPr>
        <w:rPr>
          <w:rFonts w:eastAsia="Calibri" w:cs="Times New Roman"/>
          <w:i/>
          <w:noProof/>
        </w:rPr>
      </w:pPr>
      <w:r>
        <w:rPr>
          <w:noProof/>
        </w:rPr>
        <w:t xml:space="preserve">Attiecībā uz pakalpojumu pārrobežu tirdzniecību – piekļuve tirgum </w:t>
      </w:r>
    </w:p>
    <w:p w:rsidR="003E022D" w:rsidRDefault="007D19D6">
      <w:pPr>
        <w:rPr>
          <w:rFonts w:eastAsia="Calibri" w:cs="Times New Roman"/>
          <w:noProof/>
        </w:rPr>
      </w:pPr>
      <w:r>
        <w:rPr>
          <w:b/>
          <w:noProof/>
        </w:rPr>
        <w:t>HU</w:t>
      </w:r>
      <w:r>
        <w:rPr>
          <w:noProof/>
        </w:rPr>
        <w:t xml:space="preserve">: attiecībā uz ziņu un preses aģentūru pakalpojumu sniegšanu. </w:t>
      </w:r>
    </w:p>
    <w:p w:rsidR="003E022D" w:rsidRDefault="007D19D6">
      <w:pPr>
        <w:rPr>
          <w:rFonts w:eastAsia="Calibri" w:cs="Times New Roman"/>
          <w:i/>
          <w:noProof/>
        </w:rPr>
      </w:pPr>
      <w:r>
        <w:rPr>
          <w:b/>
          <w:bCs/>
          <w:i/>
          <w:noProof/>
        </w:rPr>
        <w:t>d)</w:t>
      </w:r>
      <w:r>
        <w:rPr>
          <w:noProof/>
        </w:rPr>
        <w:tab/>
      </w:r>
      <w:bookmarkStart w:id="1254" w:name="_Toc452503991"/>
      <w:r>
        <w:rPr>
          <w:b/>
          <w:bCs/>
          <w:i/>
          <w:noProof/>
        </w:rPr>
        <w:t>Azartspēļu un derību pakalpojumi</w:t>
      </w:r>
      <w:bookmarkEnd w:id="1254"/>
      <w:r>
        <w:rPr>
          <w:b/>
          <w:bCs/>
          <w:i/>
          <w:noProof/>
        </w:rPr>
        <w:t xml:space="preserve"> </w:t>
      </w:r>
      <w:r>
        <w:rPr>
          <w:i/>
          <w:noProof/>
        </w:rPr>
        <w:t xml:space="preserve">(CPC 96492) </w:t>
      </w:r>
    </w:p>
    <w:p w:rsidR="003E022D" w:rsidRDefault="007D19D6">
      <w:pPr>
        <w:rPr>
          <w:rFonts w:eastAsia="Calibri" w:cs="Times New Roman"/>
          <w:iCs/>
          <w:noProof/>
          <w:u w:val="single"/>
        </w:rPr>
      </w:pPr>
      <w:r>
        <w:rPr>
          <w:noProof/>
          <w:u w:val="single"/>
        </w:rPr>
        <w:t>Attiecībā uz investīciju liberalizāciju – piekļuve tirgum, valsts režīms, veiktspējas prasības, augstākā vadība un direktoru padomes un pakalpoj</w:t>
      </w:r>
      <w:r>
        <w:rPr>
          <w:noProof/>
          <w:u w:val="single"/>
        </w:rPr>
        <w:t xml:space="preserve">umu pārrobežu tirdzniecība – piekļuve tirgum, valsts režīms, klātbūtne uz vietas </w:t>
      </w:r>
    </w:p>
    <w:p w:rsidR="003E022D" w:rsidRDefault="007D19D6">
      <w:pPr>
        <w:rPr>
          <w:rFonts w:eastAsia="Calibri" w:cs="Times New Roman"/>
          <w:noProof/>
        </w:rPr>
      </w:pPr>
      <w:r>
        <w:rPr>
          <w:b/>
          <w:noProof/>
        </w:rPr>
        <w:t>EU</w:t>
      </w:r>
      <w:r>
        <w:rPr>
          <w:noProof/>
        </w:rPr>
        <w:t>: tādu azartspēļu nodrošināšana, kuras ietver naudā izsakāmas likmes nejaušības spēlēs, tostarp jo īpaši loteriju, nokasāmu loterijas biļešu, kazino, spēļu zālēs vai licenc</w:t>
      </w:r>
      <w:r>
        <w:rPr>
          <w:noProof/>
        </w:rPr>
        <w:t xml:space="preserve">ētās telpās piedāvātu azartspēļu pakalpojumu, derību pakalpojumu, bingo pakalpojumu un azartspēļu pakalpojumu, ko sniedz labdarības vai bezpeļņas organizācijas vai šādu organizāciju labā, nodrošināšanu. </w:t>
      </w:r>
    </w:p>
    <w:p w:rsidR="003E022D" w:rsidRDefault="007D19D6">
      <w:pPr>
        <w:rPr>
          <w:rFonts w:eastAsia="Calibri" w:cs="Times New Roman"/>
          <w:noProof/>
        </w:rPr>
      </w:pPr>
      <w:r>
        <w:rPr>
          <w:noProof/>
        </w:rPr>
        <w:br w:type="page"/>
      </w:r>
    </w:p>
    <w:p w:rsidR="003E022D" w:rsidRDefault="007D19D6">
      <w:pPr>
        <w:rPr>
          <w:rFonts w:eastAsia="Calibri" w:cs="Times New Roman"/>
          <w:b/>
          <w:bCs/>
          <w:noProof/>
        </w:rPr>
      </w:pPr>
      <w:bookmarkStart w:id="1255" w:name="_Toc452503992"/>
      <w:bookmarkStart w:id="1256" w:name="_Toc479001644"/>
      <w:bookmarkStart w:id="1257" w:name="_Toc53746618"/>
      <w:bookmarkStart w:id="1258" w:name="_Toc57917484"/>
      <w:r>
        <w:rPr>
          <w:b/>
          <w:bCs/>
          <w:noProof/>
        </w:rPr>
        <w:t>20. atruna. Transporta pakalpojumi un transporta p</w:t>
      </w:r>
      <w:r>
        <w:rPr>
          <w:b/>
          <w:bCs/>
          <w:noProof/>
        </w:rPr>
        <w:t>akalpojumu palīgpakalpojumi</w:t>
      </w:r>
      <w:bookmarkEnd w:id="1255"/>
      <w:bookmarkEnd w:id="1256"/>
      <w:bookmarkEnd w:id="1257"/>
      <w:bookmarkEnd w:id="1258"/>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Transporta pakalpojumi</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 xml:space="preserve">Investīciju liberalizācija un </w:t>
            </w:r>
            <w:r>
              <w:rPr>
                <w:noProof/>
              </w:rPr>
              <w:t>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w:t>
      </w:r>
    </w:p>
    <w:p w:rsidR="003E022D" w:rsidRDefault="007D19D6">
      <w:pPr>
        <w:rPr>
          <w:rFonts w:eastAsia="Calibri" w:cs="Times New Roman"/>
          <w:b/>
          <w:i/>
          <w:noProof/>
        </w:rPr>
      </w:pPr>
      <w:bookmarkStart w:id="1259" w:name="_Toc452503993"/>
      <w:r>
        <w:rPr>
          <w:b/>
          <w:i/>
          <w:noProof/>
        </w:rPr>
        <w:t>a)</w:t>
      </w:r>
      <w:r>
        <w:rPr>
          <w:noProof/>
        </w:rPr>
        <w:tab/>
      </w:r>
      <w:r>
        <w:rPr>
          <w:b/>
          <w:i/>
          <w:noProof/>
        </w:rPr>
        <w:t>Jūras transports – visa pārējā no kuģa veikta komercdarbība</w:t>
      </w:r>
      <w:bookmarkEnd w:id="1259"/>
      <w:r>
        <w:rPr>
          <w:b/>
          <w:i/>
          <w:noProof/>
        </w:rPr>
        <w:t xml:space="preserve"> </w:t>
      </w:r>
    </w:p>
    <w:p w:rsidR="003E022D" w:rsidRDefault="007D19D6">
      <w:pPr>
        <w:rPr>
          <w:rFonts w:eastAsia="Calibri" w:cs="Times New Roman"/>
          <w:iCs/>
          <w:noProof/>
          <w:u w:val="single"/>
        </w:rPr>
      </w:pPr>
      <w:r>
        <w:rPr>
          <w:noProof/>
          <w:u w:val="single"/>
        </w:rPr>
        <w:t xml:space="preserve">Attiecībā uz investīciju liberalizāciju – piekļuve tirgum, valsts režīms, augstākā vadība un direktoru padomes, veiktspējas prasības un pakalpojumu pārrobežu tirdzniecība – piekļuve tirgum, valsts režīms </w:t>
      </w:r>
    </w:p>
    <w:p w:rsidR="003E022D" w:rsidRDefault="007D19D6">
      <w:pPr>
        <w:rPr>
          <w:rFonts w:eastAsia="Calibri" w:cs="Times New Roman"/>
          <w:bCs/>
          <w:noProof/>
        </w:rPr>
      </w:pPr>
      <w:r>
        <w:rPr>
          <w:b/>
          <w:bCs/>
          <w:noProof/>
        </w:rPr>
        <w:t>EU</w:t>
      </w:r>
      <w:r>
        <w:rPr>
          <w:noProof/>
        </w:rPr>
        <w:t>: jūras kuģu vai citu kuģu apkalpes valstspiederī</w:t>
      </w:r>
      <w:r>
        <w:rPr>
          <w:noProof/>
        </w:rPr>
        <w:t xml:space="preserve">ba. </w:t>
      </w:r>
    </w:p>
    <w:p w:rsidR="003E022D" w:rsidRDefault="007D19D6">
      <w:pPr>
        <w:rPr>
          <w:rFonts w:eastAsia="Calibri" w:cs="Times New Roman"/>
          <w:bCs/>
          <w:noProof/>
          <w:u w:val="single"/>
        </w:rPr>
      </w:pPr>
      <w:r>
        <w:rPr>
          <w:noProof/>
          <w:u w:val="single"/>
        </w:rPr>
        <w:t>Attiecībā uz investīciju liberalizāciju – piekļuve tirgum, valsts režīms, lielākās labvēlības režīms, augstākā vadība un direktoru padomes</w:t>
      </w:r>
      <w:r>
        <w:rPr>
          <w:iCs/>
          <w:noProof/>
          <w:u w:val="single"/>
        </w:rPr>
        <w:t xml:space="preserve"> </w:t>
      </w:r>
    </w:p>
    <w:p w:rsidR="003E022D" w:rsidRDefault="007D19D6">
      <w:pPr>
        <w:rPr>
          <w:rFonts w:eastAsia="Calibri" w:cs="Times New Roman"/>
          <w:noProof/>
        </w:rPr>
      </w:pPr>
      <w:r>
        <w:rPr>
          <w:b/>
          <w:noProof/>
        </w:rPr>
        <w:t>EU</w:t>
      </w:r>
      <w:r>
        <w:rPr>
          <w:noProof/>
        </w:rPr>
        <w:t xml:space="preserve">, izņemot </w:t>
      </w:r>
      <w:r>
        <w:rPr>
          <w:b/>
          <w:noProof/>
        </w:rPr>
        <w:t>LV</w:t>
      </w:r>
      <w:r>
        <w:rPr>
          <w:noProof/>
        </w:rPr>
        <w:t xml:space="preserve"> un </w:t>
      </w:r>
      <w:r>
        <w:rPr>
          <w:b/>
          <w:noProof/>
        </w:rPr>
        <w:t>MT</w:t>
      </w:r>
      <w:r>
        <w:rPr>
          <w:noProof/>
        </w:rPr>
        <w:t xml:space="preserve">: tikai ES fiziskas vai juridiskas personas drīkst reģistrēt kuģi un ekspluatēt floti, kas </w:t>
      </w:r>
      <w:r>
        <w:rPr>
          <w:noProof/>
        </w:rPr>
        <w:t>kuģo ar uzņēmējdarbības veikšanas valsts karogu (attiecas uz visām jūras komerciāldarbībām, ko veic no jūras kuģa, t. sk. zveja, akvakultūra un ar zveju saistīti pakalpojumi; starptautiskie pasažieru un kravu pārvadājumi (CPC 721); un jūras transporta palī</w:t>
      </w:r>
      <w:r>
        <w:rPr>
          <w:noProof/>
        </w:rPr>
        <w:t xml:space="preserve">gpakalpojumi). </w:t>
      </w:r>
    </w:p>
    <w:p w:rsidR="003E022D" w:rsidRDefault="007D19D6">
      <w:pPr>
        <w:rPr>
          <w:rFonts w:eastAsia="Calibri" w:cs="Times New Roman"/>
          <w:i/>
          <w:iCs/>
          <w:noProof/>
        </w:rPr>
      </w:pPr>
      <w:r>
        <w:rPr>
          <w:i/>
          <w:noProof/>
        </w:rPr>
        <w:t xml:space="preserve">Attiecībā uz investīciju liberalizāciju – piekļuve tirgum un pakalpojumu pārrobežu tirdzniecība – piekļuve tirgum </w:t>
      </w:r>
    </w:p>
    <w:p w:rsidR="003E022D" w:rsidRDefault="007D19D6">
      <w:pPr>
        <w:rPr>
          <w:rFonts w:eastAsia="Calibri" w:cs="Times New Roman"/>
          <w:noProof/>
        </w:rPr>
      </w:pPr>
      <w:r>
        <w:rPr>
          <w:b/>
          <w:noProof/>
        </w:rPr>
        <w:t>MT</w:t>
      </w:r>
      <w:r>
        <w:rPr>
          <w:noProof/>
        </w:rPr>
        <w:t xml:space="preserve">: pastāv ekskluzīvas tiesības attiecībā uz savienojumu ar kontinentālo Eiropu pāri jūrai starp Itāliju un Maltu (CPC 7213, </w:t>
      </w:r>
      <w:r>
        <w:rPr>
          <w:noProof/>
        </w:rPr>
        <w:t xml:space="preserve">7214, daļa no 742, 745, daļa no 749) </w:t>
      </w:r>
    </w:p>
    <w:p w:rsidR="003E022D" w:rsidRDefault="007D19D6">
      <w:pPr>
        <w:rPr>
          <w:rFonts w:eastAsia="Calibri" w:cs="Times New Roman"/>
          <w:iCs/>
          <w:noProof/>
          <w:u w:val="single"/>
        </w:rPr>
      </w:pPr>
      <w:r>
        <w:rPr>
          <w:noProof/>
          <w:u w:val="single"/>
        </w:rPr>
        <w:t xml:space="preserve">Attiecībā uz pakalpojumu pārrobežu tirdzniecību – piekļuve tirgum, valsts režīms, klātbūtne uz vietas </w:t>
      </w:r>
    </w:p>
    <w:p w:rsidR="003E022D" w:rsidRDefault="007D19D6">
      <w:pPr>
        <w:rPr>
          <w:rFonts w:eastAsia="Calibri" w:cs="Times New Roman"/>
          <w:noProof/>
        </w:rPr>
      </w:pPr>
      <w:r>
        <w:rPr>
          <w:b/>
          <w:noProof/>
        </w:rPr>
        <w:t>SK</w:t>
      </w:r>
      <w:r>
        <w:rPr>
          <w:noProof/>
        </w:rPr>
        <w:t xml:space="preserve">: pakalpojumu sniegšanas licences saņemšanai var pieteikties ārvalstu ieguldītāji, kuru galvenais birojs ir Slovākijas Republikā (CPC 722). </w:t>
      </w:r>
    </w:p>
    <w:p w:rsidR="003E022D" w:rsidRDefault="007D19D6">
      <w:pPr>
        <w:rPr>
          <w:rFonts w:eastAsia="Calibri" w:cs="Times New Roman"/>
          <w:b/>
          <w:i/>
          <w:noProof/>
        </w:rPr>
      </w:pPr>
      <w:bookmarkStart w:id="1260" w:name="_Toc451282191"/>
      <w:bookmarkStart w:id="1261" w:name="_Toc452503994"/>
      <w:r>
        <w:rPr>
          <w:b/>
          <w:i/>
          <w:noProof/>
        </w:rPr>
        <w:t>b)</w:t>
      </w:r>
      <w:r>
        <w:rPr>
          <w:noProof/>
        </w:rPr>
        <w:tab/>
      </w:r>
      <w:r>
        <w:rPr>
          <w:b/>
          <w:i/>
          <w:noProof/>
        </w:rPr>
        <w:t xml:space="preserve">Jūras transporta palīgpakalpojumi </w:t>
      </w:r>
      <w:bookmarkEnd w:id="1260"/>
      <w:bookmarkEnd w:id="1261"/>
    </w:p>
    <w:p w:rsidR="003E022D" w:rsidRDefault="007D19D6">
      <w:pPr>
        <w:rPr>
          <w:rFonts w:eastAsia="Calibri" w:cs="Times New Roman"/>
          <w:iCs/>
          <w:noProof/>
          <w:u w:val="single"/>
        </w:rPr>
      </w:pPr>
      <w:r>
        <w:rPr>
          <w:noProof/>
          <w:u w:val="single"/>
        </w:rPr>
        <w:t>Attiecībā uz investīciju liberalizāciju – piekļuve tirgum, valsts režīms, aug</w:t>
      </w:r>
      <w:r>
        <w:rPr>
          <w:noProof/>
          <w:u w:val="single"/>
        </w:rPr>
        <w:t xml:space="preserve">stākā vadība un direktoru padomes un pakalpojumu pārrobežu tirdzniecība – piekļuve tirgum, valsts režīms, klātbūtne uz vietas </w:t>
      </w:r>
    </w:p>
    <w:p w:rsidR="003E022D" w:rsidRDefault="007D19D6">
      <w:pPr>
        <w:rPr>
          <w:rFonts w:eastAsia="Calibri" w:cs="Times New Roman"/>
          <w:noProof/>
        </w:rPr>
      </w:pPr>
      <w:r>
        <w:rPr>
          <w:b/>
          <w:noProof/>
        </w:rPr>
        <w:t>EU</w:t>
      </w:r>
      <w:r>
        <w:rPr>
          <w:noProof/>
        </w:rPr>
        <w:t xml:space="preserve">: loču un noenkurošanas pakalpojumu sniegšana. Lielākai noteiktībai — neatkarīgi no kritērijiem, ko piemēro kuģu reģistrēšanai </w:t>
      </w:r>
      <w:r>
        <w:rPr>
          <w:noProof/>
        </w:rPr>
        <w:t xml:space="preserve">Eiropas Savienības dalībvalstī, Eiropas Savienība patur tiesības noteikt, ka loču un noenkurošanas pakalpojumus drīkst sniegt tikai Eiropas Savienības dalībvalstu valsts reģistros reģistrēti kuģi (CPC 7452). </w:t>
      </w:r>
    </w:p>
    <w:p w:rsidR="003E022D" w:rsidRDefault="007D19D6">
      <w:pPr>
        <w:rPr>
          <w:rFonts w:eastAsia="Calibri" w:cs="Times New Roman"/>
          <w:noProof/>
        </w:rPr>
      </w:pPr>
      <w:r>
        <w:rPr>
          <w:b/>
          <w:noProof/>
        </w:rPr>
        <w:t>EU</w:t>
      </w:r>
      <w:r>
        <w:rPr>
          <w:noProof/>
        </w:rPr>
        <w:t xml:space="preserve">, izņemot </w:t>
      </w:r>
      <w:r>
        <w:rPr>
          <w:b/>
          <w:noProof/>
        </w:rPr>
        <w:t>LT</w:t>
      </w:r>
      <w:r>
        <w:rPr>
          <w:noProof/>
        </w:rPr>
        <w:t xml:space="preserve"> un </w:t>
      </w:r>
      <w:r>
        <w:rPr>
          <w:b/>
          <w:noProof/>
        </w:rPr>
        <w:t>LV</w:t>
      </w:r>
      <w:r>
        <w:rPr>
          <w:noProof/>
        </w:rPr>
        <w:t>: stumšanas un vilkšanas pa</w:t>
      </w:r>
      <w:r>
        <w:rPr>
          <w:noProof/>
        </w:rPr>
        <w:t xml:space="preserve">kalpojumus var sniegt vienīgi kuģi ar Eiropas Savienības dalībvalsts karogu (CPC 7214). </w:t>
      </w:r>
    </w:p>
    <w:p w:rsidR="003E022D" w:rsidRDefault="007D19D6">
      <w:pPr>
        <w:rPr>
          <w:rFonts w:eastAsia="Calibri" w:cs="Times New Roman"/>
          <w:noProof/>
          <w:u w:val="single"/>
        </w:rPr>
      </w:pPr>
      <w:r>
        <w:rPr>
          <w:noProof/>
          <w:u w:val="single"/>
        </w:rPr>
        <w:t xml:space="preserve">Attiecībā uz investīciju liberalizāciju – piekļuve tirgum un pakalpojumu pārrobežu tirdzniecība – valsts režīms, klātbūtne uz vietas </w:t>
      </w:r>
    </w:p>
    <w:p w:rsidR="003E022D" w:rsidRDefault="007D19D6">
      <w:pPr>
        <w:rPr>
          <w:rFonts w:eastAsia="Calibri" w:cs="Times New Roman"/>
          <w:noProof/>
        </w:rPr>
      </w:pPr>
      <w:r>
        <w:rPr>
          <w:b/>
          <w:noProof/>
        </w:rPr>
        <w:t>LT</w:t>
      </w:r>
      <w:r>
        <w:rPr>
          <w:noProof/>
        </w:rPr>
        <w:t>: tikai Lietuvas juridiskās per</w:t>
      </w:r>
      <w:r>
        <w:rPr>
          <w:noProof/>
        </w:rPr>
        <w:t xml:space="preserve">sonas vai Eiropas Savienības dalībvalsts juridiskās personas </w:t>
      </w:r>
    </w:p>
    <w:p w:rsidR="003E022D" w:rsidRDefault="007D19D6">
      <w:pPr>
        <w:rPr>
          <w:rFonts w:eastAsia="Calibri" w:cs="Times New Roman"/>
          <w:noProof/>
        </w:rPr>
      </w:pPr>
      <w:r>
        <w:rPr>
          <w:noProof/>
        </w:rPr>
        <w:t xml:space="preserve">ar Lietuvas filiālēm, kurām ir Lietuvas Jūras drošības administrācijas izsniegts sertifikāts, var sniegt loču un pietauvošanas, stumšanas un vilkšanas pakalpojumus (CPC 7214, 7452). </w:t>
      </w:r>
    </w:p>
    <w:p w:rsidR="003E022D" w:rsidRDefault="007D19D6">
      <w:pPr>
        <w:rPr>
          <w:rFonts w:eastAsia="Calibri" w:cs="Times New Roman"/>
          <w:iCs/>
          <w:noProof/>
          <w:u w:val="single"/>
        </w:rPr>
      </w:pPr>
      <w:r>
        <w:rPr>
          <w:noProof/>
          <w:u w:val="single"/>
        </w:rPr>
        <w:t xml:space="preserve">Attiecībā uz investīciju liberalizāciju – piekļuve tirgum un pakalpojumu pārrobežu tirdzniecība – piekļuve tirgum, valsts režīms, klātbūtne uz vietas </w:t>
      </w:r>
    </w:p>
    <w:p w:rsidR="003E022D" w:rsidRDefault="007D19D6">
      <w:pPr>
        <w:rPr>
          <w:rFonts w:eastAsia="Calibri" w:cs="Times New Roman"/>
          <w:noProof/>
        </w:rPr>
      </w:pPr>
      <w:r>
        <w:rPr>
          <w:b/>
          <w:noProof/>
        </w:rPr>
        <w:t>BE</w:t>
      </w:r>
      <w:r>
        <w:rPr>
          <w:noProof/>
        </w:rPr>
        <w:t>: kravu pārkraušanas pakalpojumus drīkst sniegt tikai apstiprināti darbinieki, kas ir tiesīgi strādāt k</w:t>
      </w:r>
      <w:r>
        <w:rPr>
          <w:noProof/>
        </w:rPr>
        <w:t xml:space="preserve">araļa dekrētā noteiktās ostu teritorijās (CPC 741).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b/>
          <w:noProof/>
        </w:rPr>
      </w:pPr>
      <w:r>
        <w:rPr>
          <w:b/>
          <w:noProof/>
        </w:rPr>
        <w:t xml:space="preserve">BE: </w:t>
      </w:r>
      <w:r>
        <w:rPr>
          <w:i/>
          <w:noProof/>
        </w:rPr>
        <w:t>Loi du 8 juin 1972 organisant le travail portuaire</w:t>
      </w:r>
      <w:r>
        <w:rPr>
          <w:noProof/>
        </w:rPr>
        <w:t xml:space="preserve">; </w:t>
      </w:r>
    </w:p>
    <w:p w:rsidR="003E022D" w:rsidRDefault="007D19D6">
      <w:pPr>
        <w:rPr>
          <w:rFonts w:eastAsia="Calibri" w:cs="Times New Roman"/>
          <w:noProof/>
        </w:rPr>
      </w:pPr>
      <w:r>
        <w:rPr>
          <w:i/>
          <w:noProof/>
        </w:rPr>
        <w:t>Arrêté royal du 12 janvier 1973 instituant une Commission paritaire des ports et fixant sa dénomination et sa compétence</w:t>
      </w:r>
      <w:r>
        <w:rPr>
          <w:noProof/>
        </w:rPr>
        <w:t xml:space="preserve">; </w:t>
      </w:r>
    </w:p>
    <w:p w:rsidR="003E022D" w:rsidRDefault="007D19D6">
      <w:pPr>
        <w:rPr>
          <w:rFonts w:eastAsia="Calibri" w:cs="Times New Roman"/>
          <w:noProof/>
        </w:rPr>
      </w:pPr>
      <w:r>
        <w:rPr>
          <w:i/>
          <w:noProof/>
        </w:rPr>
        <w:t>Arrêté</w:t>
      </w:r>
      <w:r>
        <w:rPr>
          <w:i/>
          <w:noProof/>
        </w:rPr>
        <w:t xml:space="preserve"> royal du 4 septembre 1985 portant agrément d'une organisation d'employeur (Anvers)</w:t>
      </w:r>
      <w:r>
        <w:rPr>
          <w:noProof/>
        </w:rPr>
        <w:t xml:space="preserve">; </w:t>
      </w:r>
    </w:p>
    <w:p w:rsidR="003E022D" w:rsidRDefault="007D19D6">
      <w:pPr>
        <w:rPr>
          <w:rFonts w:eastAsia="Calibri" w:cs="Times New Roman"/>
          <w:noProof/>
        </w:rPr>
      </w:pPr>
      <w:r>
        <w:rPr>
          <w:i/>
          <w:noProof/>
        </w:rPr>
        <w:t>Arrêté royal du 29 janvier 1986 portant agrément d'une organisation d'employeur (Gand)</w:t>
      </w:r>
      <w:r>
        <w:rPr>
          <w:noProof/>
        </w:rPr>
        <w:t xml:space="preserve">; </w:t>
      </w:r>
    </w:p>
    <w:p w:rsidR="003E022D" w:rsidRDefault="007D19D6">
      <w:pPr>
        <w:rPr>
          <w:rFonts w:eastAsia="Calibri" w:cs="Times New Roman"/>
          <w:noProof/>
        </w:rPr>
      </w:pPr>
      <w:r>
        <w:rPr>
          <w:i/>
          <w:noProof/>
        </w:rPr>
        <w:t>Arrêté royal du 10 juillet 1986 portant agrément d'une organisation d'employeur (</w:t>
      </w:r>
      <w:r>
        <w:rPr>
          <w:i/>
          <w:noProof/>
        </w:rPr>
        <w:t>Zeebrugge)</w:t>
      </w:r>
      <w:r>
        <w:rPr>
          <w:noProof/>
        </w:rPr>
        <w:t xml:space="preserve">; </w:t>
      </w:r>
      <w:r>
        <w:rPr>
          <w:i/>
          <w:noProof/>
        </w:rPr>
        <w:t>Arrêté royal du 1er mars 1989 portant agrément d'une organisation d'employeur (Ostende)</w:t>
      </w:r>
      <w:r>
        <w:rPr>
          <w:noProof/>
        </w:rPr>
        <w:t xml:space="preserve"> un </w:t>
      </w:r>
    </w:p>
    <w:p w:rsidR="003E022D" w:rsidRDefault="007D19D6">
      <w:pPr>
        <w:rPr>
          <w:rFonts w:eastAsia="Calibri" w:cs="Times New Roman"/>
          <w:noProof/>
        </w:rPr>
      </w:pPr>
      <w:r>
        <w:rPr>
          <w:i/>
          <w:noProof/>
        </w:rPr>
        <w:t>Arrêté royal du 5 juillet 2004 relatif à la reconnaissance des ouvriers portuaires dans les zones portuaires tombant dans le champ d'application de la l</w:t>
      </w:r>
      <w:r>
        <w:rPr>
          <w:i/>
          <w:noProof/>
        </w:rPr>
        <w:t>oi du 8 juin 1972 organisant le travail portuaire, tel que modifié</w:t>
      </w:r>
      <w:r>
        <w:rPr>
          <w:noProof/>
        </w:rPr>
        <w:t xml:space="preserve">. </w:t>
      </w:r>
    </w:p>
    <w:p w:rsidR="003E022D" w:rsidRDefault="007D19D6">
      <w:pPr>
        <w:rPr>
          <w:rFonts w:eastAsia="Calibri" w:cs="Times New Roman"/>
          <w:b/>
          <w:i/>
          <w:noProof/>
        </w:rPr>
      </w:pPr>
      <w:r>
        <w:rPr>
          <w:b/>
          <w:i/>
          <w:noProof/>
        </w:rPr>
        <w:t>c)</w:t>
      </w:r>
      <w:r>
        <w:rPr>
          <w:noProof/>
        </w:rPr>
        <w:tab/>
      </w:r>
      <w:r>
        <w:rPr>
          <w:b/>
          <w:i/>
          <w:noProof/>
        </w:rPr>
        <w:t xml:space="preserve">Iekšējo ūdensceļu pārvadājumu palīgpakalpojumi    </w:t>
      </w:r>
    </w:p>
    <w:p w:rsidR="003E022D" w:rsidRDefault="007D19D6">
      <w:pPr>
        <w:rPr>
          <w:rFonts w:eastAsia="Calibri" w:cs="Times New Roman"/>
          <w:iCs/>
          <w:noProof/>
          <w:u w:val="single"/>
        </w:rPr>
      </w:pPr>
      <w:r>
        <w:rPr>
          <w:noProof/>
          <w:u w:val="single"/>
        </w:rPr>
        <w:t xml:space="preserve">Attiecībā uz investīciju liberalizāciju – piekļuve tirgum, valsts režīms[, lielākās labvēlības režīms], augstākā vadība un direktoru </w:t>
      </w:r>
      <w:r>
        <w:rPr>
          <w:noProof/>
          <w:u w:val="single"/>
        </w:rPr>
        <w:t xml:space="preserve">padomes, veiktspējas prasības un pakalpojumu pārrobežu tirdzniecība – piekļuve tirgum, valsts režīms, klātbūtne uz vietas, lielākās labvēlības režīms </w:t>
      </w:r>
    </w:p>
    <w:p w:rsidR="003E022D" w:rsidRDefault="007D19D6">
      <w:pPr>
        <w:rPr>
          <w:rFonts w:eastAsia="Calibri" w:cs="Times New Roman"/>
          <w:noProof/>
        </w:rPr>
      </w:pPr>
      <w:r>
        <w:rPr>
          <w:b/>
          <w:noProof/>
        </w:rPr>
        <w:t>EU</w:t>
      </w:r>
      <w:r>
        <w:rPr>
          <w:noProof/>
        </w:rPr>
        <w:t xml:space="preserve">: iekšējo ūdensceļu pārvadājumu palīgpakalpojumi. </w:t>
      </w:r>
    </w:p>
    <w:p w:rsidR="003E022D" w:rsidRDefault="007D19D6">
      <w:pPr>
        <w:rPr>
          <w:rFonts w:eastAsia="Calibri" w:cs="Times New Roman"/>
          <w:b/>
          <w:i/>
          <w:noProof/>
        </w:rPr>
      </w:pPr>
      <w:bookmarkStart w:id="1262" w:name="_Toc451282193"/>
      <w:bookmarkStart w:id="1263" w:name="_Toc452503996"/>
      <w:r>
        <w:rPr>
          <w:b/>
          <w:i/>
          <w:noProof/>
        </w:rPr>
        <w:t>d)</w:t>
      </w:r>
      <w:r>
        <w:rPr>
          <w:noProof/>
        </w:rPr>
        <w:tab/>
      </w:r>
      <w:r>
        <w:rPr>
          <w:b/>
          <w:i/>
          <w:noProof/>
        </w:rPr>
        <w:t>Dzelzceļa transports un dzelzceļa transporta palī</w:t>
      </w:r>
      <w:r>
        <w:rPr>
          <w:b/>
          <w:i/>
          <w:noProof/>
        </w:rPr>
        <w:t>gpakalpojumi</w:t>
      </w:r>
      <w:bookmarkEnd w:id="1262"/>
      <w:bookmarkEnd w:id="1263"/>
      <w:r>
        <w:rPr>
          <w:b/>
          <w:i/>
          <w:noProof/>
        </w:rPr>
        <w:t xml:space="preserve"> </w:t>
      </w:r>
    </w:p>
    <w:p w:rsidR="003E022D" w:rsidRDefault="007D19D6">
      <w:pPr>
        <w:rPr>
          <w:rFonts w:eastAsia="Calibri" w:cs="Times New Roman"/>
          <w:iCs/>
          <w:noProof/>
          <w:u w:val="single"/>
        </w:rPr>
      </w:pPr>
      <w:r>
        <w:rPr>
          <w:iCs/>
          <w:noProof/>
          <w:u w:val="single"/>
        </w:rPr>
        <w:t xml:space="preserve">Attiecībā uz investīciju liberalizāciju – piekļuve tirgum, valsts režīms un pakalpojumu pārrobežu tirdzniecība – piekļuve tirgum, valsts režīms, klātbūtne uz vietas </w:t>
      </w:r>
    </w:p>
    <w:p w:rsidR="003E022D" w:rsidRDefault="007D19D6">
      <w:pPr>
        <w:rPr>
          <w:rFonts w:eastAsia="Calibri" w:cs="Times New Roman"/>
          <w:iCs/>
          <w:noProof/>
        </w:rPr>
      </w:pPr>
      <w:r>
        <w:rPr>
          <w:b/>
          <w:iCs/>
          <w:noProof/>
        </w:rPr>
        <w:t>EU</w:t>
      </w:r>
      <w:r>
        <w:rPr>
          <w:noProof/>
        </w:rPr>
        <w:t xml:space="preserve">: dzelzceļa pasažieru pārvadājumi (CPC 7111) </w:t>
      </w:r>
    </w:p>
    <w:p w:rsidR="003E022D" w:rsidRDefault="007D19D6">
      <w:pPr>
        <w:rPr>
          <w:rFonts w:eastAsia="Calibri" w:cs="Times New Roman"/>
          <w:iCs/>
          <w:noProof/>
          <w:u w:val="single"/>
        </w:rPr>
      </w:pPr>
      <w:r>
        <w:rPr>
          <w:iCs/>
          <w:noProof/>
          <w:u w:val="single"/>
        </w:rPr>
        <w:t>Attiecībā uz investīciju lib</w:t>
      </w:r>
      <w:r>
        <w:rPr>
          <w:iCs/>
          <w:noProof/>
          <w:u w:val="single"/>
        </w:rPr>
        <w:t>eralizāciju – piekļuve tirgum un pakalpojumu pārrobežu tirdzniecība – piekļuve tirgum, klātbūtne uz vietas</w:t>
      </w:r>
    </w:p>
    <w:p w:rsidR="003E022D" w:rsidRDefault="007D19D6">
      <w:pPr>
        <w:rPr>
          <w:rFonts w:eastAsia="Calibri" w:cs="Times New Roman"/>
          <w:iCs/>
          <w:noProof/>
        </w:rPr>
      </w:pPr>
      <w:r>
        <w:rPr>
          <w:b/>
          <w:iCs/>
          <w:noProof/>
        </w:rPr>
        <w:t>EU</w:t>
      </w:r>
      <w:r>
        <w:rPr>
          <w:noProof/>
        </w:rPr>
        <w:t xml:space="preserve">: dzelzceļa kravu pārvadājumi (CPC 7112) </w:t>
      </w:r>
    </w:p>
    <w:p w:rsidR="003E022D" w:rsidRDefault="007D19D6">
      <w:pPr>
        <w:rPr>
          <w:rFonts w:eastAsia="Calibri" w:cs="Times New Roman"/>
          <w:noProof/>
        </w:rPr>
      </w:pPr>
      <w:r>
        <w:rPr>
          <w:b/>
          <w:noProof/>
        </w:rPr>
        <w:t>LT</w:t>
      </w:r>
      <w:r>
        <w:rPr>
          <w:noProof/>
        </w:rPr>
        <w:t>: uz dzelzceļa transporta aprīkojuma apkopes un remonta pakalpojumiem attiecas valsts monopols (CPC 867</w:t>
      </w:r>
      <w:r>
        <w:rPr>
          <w:noProof/>
        </w:rPr>
        <w:t xml:space="preserve">64, 86769, daļa no 8868). </w:t>
      </w:r>
    </w:p>
    <w:p w:rsidR="003E022D" w:rsidRDefault="007D19D6">
      <w:pPr>
        <w:rPr>
          <w:rFonts w:eastAsia="Calibri" w:cs="Times New Roman"/>
          <w:noProof/>
        </w:rPr>
      </w:pPr>
      <w:r>
        <w:rPr>
          <w:b/>
          <w:noProof/>
        </w:rPr>
        <w:t>SE</w:t>
      </w:r>
      <w:r>
        <w:rPr>
          <w:noProof/>
        </w:rPr>
        <w:t xml:space="preserve"> (tikai attiecībā uz tirgus piekļuvi): attiecībā uz dzelzceļa transporta aprīkojuma apkopes un remonta pakalpojumiem veic ekonomisko vajadzību pārbaudi, ja ieguldītājs vēlas izveidot savas stacijas/autoostas infrastruktūras iek</w:t>
      </w:r>
      <w:r>
        <w:rPr>
          <w:noProof/>
        </w:rPr>
        <w:t xml:space="preserve">ārtas. Galvenie kritēriji — ar vietu un jaudu saistīti ierobežojumi (CPC 86764, 86769, daļa no 8868).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EU</w:t>
      </w:r>
      <w:r>
        <w:rPr>
          <w:noProof/>
        </w:rPr>
        <w:t>: Eiropas Parlamenta un Padomes Direktīva 2012/34/ES (2012. gada 21. novembris), ar ko izveido vienotu Eiropas dzelzceļa telpu.</w:t>
      </w:r>
    </w:p>
    <w:p w:rsidR="003E022D" w:rsidRDefault="007D19D6">
      <w:pPr>
        <w:rPr>
          <w:rFonts w:eastAsia="Calibri" w:cs="Times New Roman"/>
          <w:noProof/>
        </w:rPr>
      </w:pPr>
      <w:r>
        <w:rPr>
          <w:b/>
          <w:noProof/>
        </w:rPr>
        <w:t>SE:</w:t>
      </w:r>
      <w:r>
        <w:rPr>
          <w:noProof/>
        </w:rPr>
        <w:t xml:space="preserve"> Plānošanas un būvniecības likums (2010: 900). </w:t>
      </w:r>
    </w:p>
    <w:p w:rsidR="003E022D" w:rsidRDefault="007D19D6">
      <w:pPr>
        <w:rPr>
          <w:rFonts w:eastAsia="Calibri" w:cs="Times New Roman"/>
          <w:b/>
          <w:i/>
          <w:noProof/>
        </w:rPr>
      </w:pPr>
      <w:bookmarkStart w:id="1264" w:name="_Toc451282194"/>
      <w:bookmarkStart w:id="1265" w:name="_Toc452503997"/>
      <w:r>
        <w:rPr>
          <w:b/>
          <w:i/>
          <w:noProof/>
        </w:rPr>
        <w:t>e)</w:t>
      </w:r>
      <w:r>
        <w:rPr>
          <w:noProof/>
        </w:rPr>
        <w:tab/>
      </w:r>
      <w:r>
        <w:rPr>
          <w:b/>
          <w:i/>
          <w:noProof/>
        </w:rPr>
        <w:t>Autotransports (pasažieru pārvadājumi, kravu pārvadājumi, starptautiskie autopārvadājumu pakalpojumi) un autotransporta palīgpakalpojumi</w:t>
      </w:r>
      <w:bookmarkEnd w:id="1264"/>
      <w:bookmarkEnd w:id="1265"/>
      <w:r>
        <w:rPr>
          <w:b/>
          <w:i/>
          <w:noProof/>
        </w:rPr>
        <w:t xml:space="preserve"> </w:t>
      </w:r>
    </w:p>
    <w:p w:rsidR="003E022D" w:rsidRDefault="007D19D6">
      <w:pPr>
        <w:rPr>
          <w:rFonts w:eastAsia="Calibri" w:cs="Times New Roman"/>
          <w:iCs/>
          <w:noProof/>
          <w:u w:val="single"/>
        </w:rPr>
      </w:pPr>
      <w:r>
        <w:rPr>
          <w:noProof/>
          <w:u w:val="single"/>
        </w:rPr>
        <w:t xml:space="preserve">Attiecībā uz pakalpojumu pārrobežu tirdzniecību – piekļuve tirgum, </w:t>
      </w:r>
      <w:r>
        <w:rPr>
          <w:noProof/>
          <w:u w:val="single"/>
        </w:rPr>
        <w:t xml:space="preserve">valsts režīms, klātbūtne uz vietas </w:t>
      </w:r>
    </w:p>
    <w:p w:rsidR="003E022D" w:rsidRDefault="007D19D6">
      <w:pPr>
        <w:rPr>
          <w:rFonts w:eastAsia="Calibri" w:cs="Times New Roman"/>
          <w:i/>
          <w:iCs/>
          <w:noProof/>
        </w:rPr>
      </w:pPr>
      <w:r>
        <w:rPr>
          <w:b/>
          <w:noProof/>
        </w:rPr>
        <w:t>EU</w:t>
      </w:r>
      <w:r>
        <w:rPr>
          <w:noProof/>
        </w:rPr>
        <w:t xml:space="preserve">: Attiecībā uz autotransporta pakalpojumiem, uz kuriem attiecas </w:t>
      </w:r>
      <w:r>
        <w:rPr>
          <w:noProof/>
          <w:highlight w:val="cyan"/>
        </w:rPr>
        <w:t>Otrās daļas [Tirdzniecība, transports un zvejniecība] Trešā temata [Autopārvadājumi] I [Kravu autopārvadājumi] un II [Pasažieru autopārvadājumi] sadaļa un</w:t>
      </w:r>
      <w:r>
        <w:rPr>
          <w:noProof/>
        </w:rPr>
        <w:t xml:space="preserve"> </w:t>
      </w:r>
      <w:r>
        <w:rPr>
          <w:noProof/>
          <w:highlight w:val="cyan"/>
        </w:rPr>
        <w:t>ROAD-1. pielikums [Kravu autopārvadājumi]</w:t>
      </w:r>
      <w:r>
        <w:rPr>
          <w:noProof/>
        </w:rPr>
        <w:t xml:space="preserve">. </w:t>
      </w:r>
    </w:p>
    <w:p w:rsidR="003E022D" w:rsidRDefault="007D19D6">
      <w:pPr>
        <w:rPr>
          <w:rFonts w:eastAsia="Calibri" w:cs="Times New Roman"/>
          <w:iCs/>
          <w:noProof/>
          <w:u w:val="single"/>
        </w:rPr>
      </w:pPr>
      <w:r>
        <w:rPr>
          <w:noProof/>
          <w:u w:val="single"/>
        </w:rPr>
        <w:t>Attiecībā uz investīciju liberalizāciju – piekļuve tirgum, valsts režīms, augstākā līmeņa vadība un direktoru padomes</w:t>
      </w:r>
      <w:r>
        <w:rPr>
          <w:iCs/>
          <w:noProof/>
          <w:u w:val="single"/>
        </w:rPr>
        <w:t xml:space="preserve"> </w:t>
      </w:r>
    </w:p>
    <w:p w:rsidR="003E022D" w:rsidRDefault="007D19D6">
      <w:pPr>
        <w:rPr>
          <w:rFonts w:eastAsia="Calibri" w:cs="Times New Roman"/>
          <w:noProof/>
        </w:rPr>
      </w:pPr>
      <w:r>
        <w:rPr>
          <w:b/>
          <w:noProof/>
        </w:rPr>
        <w:t>EU</w:t>
      </w:r>
      <w:r>
        <w:rPr>
          <w:noProof/>
        </w:rPr>
        <w:t xml:space="preserve">: Attiecībā uz autotransporta pakalpojumiem, uz kuriem attiecas </w:t>
      </w:r>
      <w:r>
        <w:rPr>
          <w:noProof/>
          <w:highlight w:val="cyan"/>
        </w:rPr>
        <w:t>Otrās daļas [Tirdzniecība,</w:t>
      </w:r>
      <w:r>
        <w:rPr>
          <w:noProof/>
          <w:highlight w:val="cyan"/>
        </w:rPr>
        <w:t xml:space="preserve"> transports un zvejniecība] Trešā temata [Autopārvadājumi] I [Kravu autopārvadājumi] un II [Pasažieru autopārvadājumi] sadaļa un</w:t>
      </w:r>
      <w:r>
        <w:rPr>
          <w:noProof/>
        </w:rPr>
        <w:t xml:space="preserve"> </w:t>
      </w:r>
      <w:r>
        <w:rPr>
          <w:noProof/>
          <w:highlight w:val="cyan"/>
        </w:rPr>
        <w:t>ROAD-1. pielikums [Kravu autopārvadājumi]</w:t>
      </w:r>
      <w:r>
        <w:rPr>
          <w:noProof/>
        </w:rPr>
        <w:t xml:space="preserve">. </w:t>
      </w:r>
    </w:p>
    <w:p w:rsidR="003E022D" w:rsidRDefault="007D19D6">
      <w:pPr>
        <w:rPr>
          <w:rFonts w:eastAsia="Calibri" w:cs="Times New Roman"/>
          <w:i/>
          <w:noProof/>
        </w:rPr>
      </w:pPr>
      <w:r>
        <w:rPr>
          <w:noProof/>
        </w:rPr>
        <w:t>Tiesības ierobežot Eiropas Savienības dalībvalstī kabotāžu, ko veic ārvalstu invest</w:t>
      </w:r>
      <w:r>
        <w:rPr>
          <w:noProof/>
        </w:rPr>
        <w:t xml:space="preserve">ori, kuri veic uzņēmējdarbību citā Eiropas Savienības dalībvalstī (CPC 712). </w:t>
      </w:r>
    </w:p>
    <w:p w:rsidR="003E022D" w:rsidRDefault="007D19D6">
      <w:pPr>
        <w:rPr>
          <w:rFonts w:eastAsia="Calibri" w:cs="Times New Roman"/>
          <w:noProof/>
          <w:u w:val="single"/>
        </w:rPr>
      </w:pPr>
      <w:r>
        <w:rPr>
          <w:noProof/>
          <w:u w:val="single"/>
        </w:rPr>
        <w:t>Attiecībā uz investīciju liberalizāciju – piekļuve tirgum, valsts režīms, augstākā vadība un direktoru padomes un pakalpojumu pārrobežu tirdzniecība – piekļuve tirgum, valsts rež</w:t>
      </w:r>
      <w:r>
        <w:rPr>
          <w:noProof/>
          <w:u w:val="single"/>
        </w:rPr>
        <w:t>īms, klātbūtne uz vietas</w:t>
      </w:r>
    </w:p>
    <w:p w:rsidR="003E022D" w:rsidRDefault="007D19D6">
      <w:pPr>
        <w:rPr>
          <w:rFonts w:eastAsia="Calibri" w:cs="Times New Roman"/>
          <w:noProof/>
        </w:rPr>
      </w:pPr>
      <w:r>
        <w:rPr>
          <w:b/>
          <w:noProof/>
        </w:rPr>
        <w:t>EU</w:t>
      </w:r>
      <w:r>
        <w:rPr>
          <w:noProof/>
        </w:rPr>
        <w:t xml:space="preserve">: attiecībā uz autotransporta pakalpojumiem, uz kuriem neattiecas </w:t>
      </w:r>
      <w:r>
        <w:rPr>
          <w:noProof/>
          <w:highlight w:val="cyan"/>
        </w:rPr>
        <w:t>Otrās daļas [Tirdzniecība, transports un zvejniecība] Trešā temata [Autopārvadājumi] I [Kravu autopārvadājumi] un II [Pasažieru autopārvadājumi] sadaļa un</w:t>
      </w:r>
      <w:r>
        <w:rPr>
          <w:noProof/>
        </w:rPr>
        <w:t xml:space="preserve"> </w:t>
      </w:r>
      <w:r>
        <w:rPr>
          <w:noProof/>
          <w:highlight w:val="cyan"/>
        </w:rPr>
        <w:t xml:space="preserve">ROAD-1. </w:t>
      </w:r>
      <w:r>
        <w:rPr>
          <w:noProof/>
          <w:highlight w:val="cyan"/>
        </w:rPr>
        <w:t>pielikums [Kravu autopārvadājumi]</w:t>
      </w:r>
      <w:r>
        <w:rPr>
          <w:noProof/>
        </w:rPr>
        <w:t xml:space="preserve">. </w:t>
      </w:r>
    </w:p>
    <w:p w:rsidR="003E022D" w:rsidRDefault="007D19D6">
      <w:pPr>
        <w:numPr>
          <w:ilvl w:val="2"/>
          <w:numId w:val="798"/>
        </w:numPr>
        <w:rPr>
          <w:rFonts w:eastAsia="Calibri" w:cs="Times New Roman"/>
          <w:noProof/>
        </w:rPr>
      </w:pPr>
      <w:r>
        <w:rPr>
          <w:noProof/>
        </w:rPr>
        <w:t xml:space="preserve">tiesības pieprasīt uzņēmējdarbības veikšanu un ierobežot autotransporta pakalpojumu pārrobežu sniegšanu (CPC 712); </w:t>
      </w:r>
    </w:p>
    <w:p w:rsidR="003E022D" w:rsidRDefault="007D19D6">
      <w:pPr>
        <w:numPr>
          <w:ilvl w:val="2"/>
          <w:numId w:val="798"/>
        </w:numPr>
        <w:rPr>
          <w:rFonts w:eastAsia="Calibri" w:cs="Times New Roman"/>
          <w:noProof/>
        </w:rPr>
      </w:pPr>
      <w:r>
        <w:rPr>
          <w:noProof/>
        </w:rPr>
        <w:t>tiesības ierobežot Eiropas Savienības dalībvalstī kabotāžu, ko veic ārvalstu investori, kuri veic uzņēmē</w:t>
      </w:r>
      <w:r>
        <w:rPr>
          <w:noProof/>
        </w:rPr>
        <w:t xml:space="preserve">jdarbību citā Eiropas Savienības dalībvalstī (CPC 712); </w:t>
      </w:r>
    </w:p>
    <w:p w:rsidR="003E022D" w:rsidRDefault="007D19D6">
      <w:pPr>
        <w:numPr>
          <w:ilvl w:val="2"/>
          <w:numId w:val="798"/>
        </w:numPr>
        <w:rPr>
          <w:rFonts w:eastAsia="Calibri" w:cs="Times New Roman"/>
          <w:noProof/>
        </w:rPr>
      </w:pPr>
      <w:r>
        <w:rPr>
          <w:noProof/>
        </w:rPr>
        <w:t>taksometru pakalpojumiem Eiropas Savienībā var piemērot ekonomisko vajadzību pārbaudi, nosakot pakalpojumu sniedzēju skaita ierobežojumu. Galvenie kritēriji — vietējais pieprasījums, kā noteikts piem</w:t>
      </w:r>
      <w:r>
        <w:rPr>
          <w:noProof/>
        </w:rPr>
        <w:t xml:space="preserve">ērojamajās tiesībās (CPC 71221). </w:t>
      </w:r>
    </w:p>
    <w:p w:rsidR="003E022D" w:rsidRDefault="007D19D6">
      <w:pPr>
        <w:rPr>
          <w:rFonts w:eastAsia="Calibri" w:cs="Times New Roman"/>
          <w:noProof/>
          <w:u w:val="single"/>
        </w:rPr>
      </w:pPr>
      <w:r>
        <w:rPr>
          <w:noProof/>
          <w:u w:val="single"/>
        </w:rPr>
        <w:t xml:space="preserve">Attiecībā uz investīciju liberalizāciju – piekļuve tirgum: </w:t>
      </w:r>
    </w:p>
    <w:p w:rsidR="003E022D" w:rsidRDefault="007D19D6">
      <w:pPr>
        <w:rPr>
          <w:rFonts w:eastAsia="Calibri" w:cs="Times New Roman"/>
          <w:noProof/>
        </w:rPr>
      </w:pPr>
      <w:r>
        <w:rPr>
          <w:b/>
          <w:noProof/>
        </w:rPr>
        <w:t>BE</w:t>
      </w:r>
      <w:r>
        <w:rPr>
          <w:noProof/>
        </w:rPr>
        <w:t xml:space="preserve">: maksimālais licenču skaits ir noteikts tiesību aktos (CPC 71221). </w:t>
      </w:r>
    </w:p>
    <w:p w:rsidR="003E022D" w:rsidRDefault="007D19D6">
      <w:pPr>
        <w:rPr>
          <w:rFonts w:eastAsia="Calibri" w:cs="Times New Roman"/>
          <w:noProof/>
        </w:rPr>
      </w:pPr>
      <w:r>
        <w:rPr>
          <w:b/>
          <w:noProof/>
        </w:rPr>
        <w:t>IT</w:t>
      </w:r>
      <w:r>
        <w:rPr>
          <w:noProof/>
        </w:rPr>
        <w:t xml:space="preserve">: attiecībā uz limuzīnu pakalpojumiem tiek veikta ekonomisko vajadzību pārbaude. Galvenie kritēriji — esošo uzņēmumu skaits un ietekme uz tiem, iedzīvotāju blīvums, ģeogrāfiskā izplatība, ietekme uz transporta apstākļiem un jaunu darbvietu radīšana. </w:t>
      </w:r>
    </w:p>
    <w:p w:rsidR="003E022D" w:rsidRDefault="007D19D6">
      <w:pPr>
        <w:rPr>
          <w:rFonts w:eastAsia="Calibri" w:cs="Times New Roman"/>
          <w:noProof/>
        </w:rPr>
      </w:pPr>
      <w:r>
        <w:rPr>
          <w:noProof/>
        </w:rPr>
        <w:t>Attie</w:t>
      </w:r>
      <w:r>
        <w:rPr>
          <w:noProof/>
        </w:rPr>
        <w:t xml:space="preserve">cībā uz starppilsētu autobusu pakalpojumiem tiek veikta ekonomisko vajadzību pārbaude. Galvenie kritēriji — esošo uzņēmumu skaits un ietekme uz tiem, iedzīvotāju blīvums, ģeogrāfiskā izplatība, ietekme uz transporta apstākļiem un jaunu darbvietu radīšana. </w:t>
      </w:r>
    </w:p>
    <w:p w:rsidR="003E022D" w:rsidRDefault="007D19D6">
      <w:pPr>
        <w:rPr>
          <w:rFonts w:eastAsia="Calibri" w:cs="Times New Roman"/>
          <w:noProof/>
        </w:rPr>
      </w:pPr>
      <w:r>
        <w:rPr>
          <w:noProof/>
        </w:rPr>
        <w:t xml:space="preserve">Attiecībā uz kravas pārvadājumu pakalpojumiem tiek veikta ekonomisko vajadzību pārbaude. Galvenie kritēriji — vietējais pieprasījums (CPC 712). </w:t>
      </w:r>
    </w:p>
    <w:p w:rsidR="003E022D" w:rsidRDefault="007D19D6">
      <w:pPr>
        <w:rPr>
          <w:rFonts w:eastAsia="Calibri" w:cs="Times New Roman"/>
          <w:noProof/>
        </w:rPr>
      </w:pPr>
      <w:r>
        <w:rPr>
          <w:b/>
          <w:noProof/>
        </w:rPr>
        <w:t>BG, DE</w:t>
      </w:r>
      <w:r>
        <w:rPr>
          <w:noProof/>
        </w:rPr>
        <w:t>: ekskluzīvas tiesības vai atļaujas attiecībā uz pasažieru un kravu pārvadājumu pakalpojumiem var piešķi</w:t>
      </w:r>
      <w:r>
        <w:rPr>
          <w:noProof/>
        </w:rPr>
        <w:t xml:space="preserve">rt tikai Savienības fiziskajām personām un Savienības juridiskajām personām, kuru galvenie biroji atrodas Savienībā. (CPC 712) </w:t>
      </w:r>
    </w:p>
    <w:p w:rsidR="003E022D" w:rsidRDefault="007D19D6">
      <w:pPr>
        <w:rPr>
          <w:rFonts w:eastAsia="Calibri" w:cs="Times New Roman"/>
          <w:noProof/>
        </w:rPr>
      </w:pPr>
      <w:r>
        <w:rPr>
          <w:b/>
          <w:noProof/>
        </w:rPr>
        <w:t>MT</w:t>
      </w:r>
      <w:r>
        <w:rPr>
          <w:noProof/>
        </w:rPr>
        <w:t>: sabiedrisko autobusu pakalpojumi: visam tīklam piemēro prasību par koncesiju, kas ietver sabiedrisko pakalpojumu saistību lī</w:t>
      </w:r>
      <w:r>
        <w:rPr>
          <w:noProof/>
        </w:rPr>
        <w:t xml:space="preserve">gumu par pakalpojumu sniegšanu konkrētām sabiedrības grupām (piemēram, studentiem un senioriem) (CPC 712). </w:t>
      </w:r>
    </w:p>
    <w:p w:rsidR="003E022D" w:rsidRDefault="007D19D6">
      <w:pPr>
        <w:rPr>
          <w:rFonts w:eastAsia="Calibri" w:cs="Times New Roman"/>
          <w:iCs/>
          <w:noProof/>
          <w:u w:val="single"/>
        </w:rPr>
      </w:pPr>
      <w:r>
        <w:rPr>
          <w:noProof/>
          <w:u w:val="single"/>
        </w:rPr>
        <w:t>Attiecībā uz investīciju liberalizāciju – piekļuve tirgum, valsts režīms</w:t>
      </w:r>
      <w:r>
        <w:rPr>
          <w:iCs/>
          <w:noProof/>
          <w:u w:val="single"/>
        </w:rPr>
        <w:t xml:space="preserve"> </w:t>
      </w:r>
    </w:p>
    <w:p w:rsidR="003E022D" w:rsidRDefault="007D19D6">
      <w:pPr>
        <w:rPr>
          <w:rFonts w:eastAsia="Calibri" w:cs="Times New Roman"/>
          <w:noProof/>
        </w:rPr>
      </w:pPr>
      <w:r>
        <w:rPr>
          <w:b/>
          <w:noProof/>
        </w:rPr>
        <w:t>FI</w:t>
      </w:r>
      <w:r>
        <w:rPr>
          <w:noProof/>
        </w:rPr>
        <w:t>: lai varētu sniegt autotransporta pakalpojumus, ir jāsaņem atļauja, kas</w:t>
      </w:r>
      <w:r>
        <w:rPr>
          <w:noProof/>
        </w:rPr>
        <w:t xml:space="preserve"> netiek izsniegta ārvalstīs reģistrētiem transportlīdzekļiem (CPC 712). </w:t>
      </w:r>
    </w:p>
    <w:p w:rsidR="003E022D" w:rsidRDefault="007D19D6">
      <w:pPr>
        <w:rPr>
          <w:rFonts w:eastAsia="Calibri" w:cs="Times New Roman"/>
          <w:iCs/>
          <w:noProof/>
          <w:u w:val="single"/>
        </w:rPr>
      </w:pPr>
      <w:r>
        <w:rPr>
          <w:noProof/>
          <w:u w:val="single"/>
        </w:rPr>
        <w:t xml:space="preserve">Attiecībā uz investīciju liberalizāciju – piekļuve tirgum, valsts režīms </w:t>
      </w:r>
    </w:p>
    <w:p w:rsidR="003E022D" w:rsidRDefault="007D19D6">
      <w:pPr>
        <w:rPr>
          <w:rFonts w:eastAsia="Calibri" w:cs="Times New Roman"/>
          <w:noProof/>
        </w:rPr>
      </w:pPr>
      <w:r>
        <w:rPr>
          <w:b/>
          <w:noProof/>
        </w:rPr>
        <w:t>FR</w:t>
      </w:r>
      <w:r>
        <w:rPr>
          <w:noProof/>
        </w:rPr>
        <w:t xml:space="preserve">: starppilsētu autobusu pakalpojumu sniegšana (CPC 712). </w:t>
      </w:r>
    </w:p>
    <w:p w:rsidR="003E022D" w:rsidRDefault="007D19D6">
      <w:pPr>
        <w:rPr>
          <w:rFonts w:eastAsia="Calibri" w:cs="Times New Roman"/>
          <w:iCs/>
          <w:noProof/>
          <w:u w:val="single"/>
        </w:rPr>
      </w:pPr>
      <w:r>
        <w:rPr>
          <w:i/>
          <w:noProof/>
          <w:u w:val="single"/>
        </w:rPr>
        <w:t>Attiecībā uz investīciju liberalizāciju – piekļuv</w:t>
      </w:r>
      <w:r>
        <w:rPr>
          <w:i/>
          <w:noProof/>
          <w:u w:val="single"/>
        </w:rPr>
        <w:t>e tirgum</w:t>
      </w:r>
      <w:r>
        <w:rPr>
          <w:noProof/>
          <w:u w:val="single"/>
        </w:rPr>
        <w:t xml:space="preserve"> </w:t>
      </w:r>
    </w:p>
    <w:p w:rsidR="003E022D" w:rsidRDefault="007D19D6">
      <w:pPr>
        <w:rPr>
          <w:rFonts w:eastAsia="Calibri" w:cs="Times New Roman"/>
          <w:noProof/>
        </w:rPr>
      </w:pPr>
      <w:r>
        <w:rPr>
          <w:b/>
          <w:noProof/>
        </w:rPr>
        <w:t>ES</w:t>
      </w:r>
      <w:r>
        <w:rPr>
          <w:noProof/>
        </w:rPr>
        <w:t>: pasažieru pārvadājumu jomā tiek veikta ekonomisko vajadzību pārbaude attiecībā uz CPC 7122 pakalpojumu sniegšanu. Galvenie kritēriji — vietējais pieprasījums. Attiecībā uz starppilsētu autobusu pakalpojumiem tiek veikta ekonomisko vajadzību p</w:t>
      </w:r>
      <w:r>
        <w:rPr>
          <w:noProof/>
        </w:rPr>
        <w:t xml:space="preserve">ārbaude. Galvenie kritēriji — esošo uzņēmumu skaits un ietekme uz tiem, iedzīvotāju blīvums, ģeogrāfiskā izplatība, ietekme uz transporta apstākļiem un jaunu darbvietu radīšana. </w:t>
      </w:r>
    </w:p>
    <w:p w:rsidR="003E022D" w:rsidRDefault="007D19D6">
      <w:pPr>
        <w:rPr>
          <w:rFonts w:eastAsia="Calibri" w:cs="Times New Roman"/>
          <w:noProof/>
        </w:rPr>
      </w:pPr>
      <w:r>
        <w:rPr>
          <w:b/>
          <w:noProof/>
        </w:rPr>
        <w:t>SE</w:t>
      </w:r>
      <w:r>
        <w:rPr>
          <w:noProof/>
        </w:rPr>
        <w:t>: attiecībā uz autotransporta aprīkojuma apkopes un remonta pakalpojumiem v</w:t>
      </w:r>
      <w:r>
        <w:rPr>
          <w:noProof/>
        </w:rPr>
        <w:t xml:space="preserve">eic ekonomisko vajadzību pārbaudi, ja pakalpojumu sniedzējs vēlas izveidot savas autoostas infrastruktūras iekārtas. Galvenie kritēriji — ar vietu un jaudu saistīti ierobežojumi (CPC 6112, 6122, 86764, 86769, daļa no 8867). </w:t>
      </w:r>
    </w:p>
    <w:p w:rsidR="003E022D" w:rsidRDefault="007D19D6">
      <w:pPr>
        <w:rPr>
          <w:rFonts w:eastAsia="Calibri" w:cs="Times New Roman"/>
          <w:noProof/>
        </w:rPr>
      </w:pPr>
      <w:r>
        <w:rPr>
          <w:b/>
          <w:noProof/>
        </w:rPr>
        <w:t>SK</w:t>
      </w:r>
      <w:r>
        <w:rPr>
          <w:noProof/>
        </w:rPr>
        <w:t>: attiecībā uz kravu pārvadāj</w:t>
      </w:r>
      <w:r>
        <w:rPr>
          <w:noProof/>
        </w:rPr>
        <w:t xml:space="preserve">umiem tiek veikta ekonomisko vajadzību pārbaude. Galvenie kritēriji — vietējais pieprasījums (CPC 712). </w:t>
      </w:r>
    </w:p>
    <w:p w:rsidR="003E022D" w:rsidRDefault="007D19D6">
      <w:pPr>
        <w:rPr>
          <w:rFonts w:eastAsia="Calibri" w:cs="Times New Roman"/>
          <w:iCs/>
          <w:noProof/>
          <w:u w:val="single"/>
        </w:rPr>
      </w:pPr>
      <w:r>
        <w:rPr>
          <w:noProof/>
          <w:u w:val="single"/>
        </w:rPr>
        <w:t xml:space="preserve">Attiecībā uz pakalpojumu pārrobežu tirdzniecību – piekļuve tirgum </w:t>
      </w:r>
    </w:p>
    <w:p w:rsidR="003E022D" w:rsidRDefault="007D19D6">
      <w:pPr>
        <w:rPr>
          <w:rFonts w:eastAsia="Calibri" w:cs="Times New Roman"/>
          <w:noProof/>
        </w:rPr>
      </w:pPr>
      <w:r>
        <w:rPr>
          <w:b/>
          <w:noProof/>
        </w:rPr>
        <w:t>BG:</w:t>
      </w:r>
      <w:r>
        <w:rPr>
          <w:noProof/>
        </w:rPr>
        <w:t xml:space="preserve"> prasība izveidot uzņēmumu autotransporta atbalsta pakalpojumu sniegšanai (CPC 744).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EU</w:t>
      </w:r>
      <w:r>
        <w:rPr>
          <w:noProof/>
        </w:rPr>
        <w:t xml:space="preserve">: Eiropas Parlamenta un Padomes Regula (EK) Nr. 1071/2009 (2009. gada 21. oktobris), ar ko nosaka kopīgus noteikumus par autopārvadātāja profesionālās </w:t>
      </w:r>
      <w:r>
        <w:rPr>
          <w:noProof/>
        </w:rPr>
        <w:t xml:space="preserve">darbības veikšanas nosacījumiem un atceļ Padomes Direktīvu 96/26/EK; Eiropas Parlamenta un Padomes Regula (EK) Nr. 1072/2009 (2009. gada 21. oktobris) </w:t>
      </w:r>
    </w:p>
    <w:p w:rsidR="003E022D" w:rsidRDefault="007D19D6">
      <w:pPr>
        <w:rPr>
          <w:rFonts w:eastAsia="Calibri" w:cs="Times New Roman"/>
          <w:bCs/>
          <w:noProof/>
        </w:rPr>
      </w:pPr>
      <w:r>
        <w:rPr>
          <w:noProof/>
        </w:rPr>
        <w:t xml:space="preserve">par kopīgiem noteikumiem attiecībā uz piekļuvi starptautisko kravas autopārvadājumu tirgum un </w:t>
      </w:r>
    </w:p>
    <w:p w:rsidR="003E022D" w:rsidRDefault="007D19D6">
      <w:pPr>
        <w:rPr>
          <w:rFonts w:eastAsia="Calibri" w:cs="Times New Roman"/>
          <w:noProof/>
        </w:rPr>
      </w:pPr>
      <w:r>
        <w:rPr>
          <w:noProof/>
        </w:rPr>
        <w:t>Eiropas P</w:t>
      </w:r>
      <w:r>
        <w:rPr>
          <w:noProof/>
        </w:rPr>
        <w:t xml:space="preserve">arlamenta un Padomes Regula (EK) Nr. 1073/2009  (2009. gada 21. oktobris)par kopīgiem noteikumiem attiecībā uz piekļuvi starptautiskajam autobusu pārvadājumu tirgum un ar ko groza Regulu (EK) Nr. 561/2006. </w:t>
      </w:r>
    </w:p>
    <w:p w:rsidR="003E022D" w:rsidRDefault="007D19D6">
      <w:pPr>
        <w:rPr>
          <w:rFonts w:eastAsia="Calibri" w:cs="Times New Roman"/>
          <w:noProof/>
        </w:rPr>
      </w:pPr>
      <w:r>
        <w:rPr>
          <w:b/>
          <w:noProof/>
        </w:rPr>
        <w:t>FI:</w:t>
      </w:r>
      <w:r>
        <w:rPr>
          <w:noProof/>
        </w:rPr>
        <w:t xml:space="preserve"> </w:t>
      </w:r>
      <w:r>
        <w:rPr>
          <w:i/>
          <w:noProof/>
        </w:rPr>
        <w:t>Laki kaupallisista tavarankuljetuksista tiell</w:t>
      </w:r>
      <w:r>
        <w:rPr>
          <w:i/>
          <w:noProof/>
        </w:rPr>
        <w:t>ä</w:t>
      </w:r>
      <w:r>
        <w:rPr>
          <w:noProof/>
        </w:rPr>
        <w:t xml:space="preserve"> (Likums par komerciālo autotransportu) </w:t>
      </w:r>
    </w:p>
    <w:p w:rsidR="003E022D" w:rsidRDefault="007D19D6">
      <w:pPr>
        <w:rPr>
          <w:rFonts w:eastAsia="Calibri" w:cs="Times New Roman"/>
          <w:noProof/>
        </w:rPr>
      </w:pPr>
      <w:r>
        <w:rPr>
          <w:noProof/>
        </w:rPr>
        <w:t xml:space="preserve">693/2006; </w:t>
      </w:r>
      <w:r>
        <w:rPr>
          <w:i/>
          <w:noProof/>
        </w:rPr>
        <w:t>Laki liikenteen palveluista</w:t>
      </w:r>
      <w:r>
        <w:rPr>
          <w:noProof/>
        </w:rPr>
        <w:t xml:space="preserve"> (Likums par transporta pakalpojumiem) 320/2017; </w:t>
      </w:r>
    </w:p>
    <w:p w:rsidR="003E022D" w:rsidRDefault="007D19D6">
      <w:pPr>
        <w:rPr>
          <w:rFonts w:eastAsia="Calibri" w:cs="Times New Roman"/>
          <w:noProof/>
        </w:rPr>
      </w:pPr>
      <w:r>
        <w:rPr>
          <w:i/>
          <w:noProof/>
        </w:rPr>
        <w:t>Ajoneuvolaki</w:t>
      </w:r>
      <w:r>
        <w:rPr>
          <w:noProof/>
        </w:rPr>
        <w:t xml:space="preserve"> (Transportlīdzekļu likums) (1090/2002).</w:t>
      </w:r>
    </w:p>
    <w:p w:rsidR="003E022D" w:rsidRDefault="007D19D6">
      <w:pPr>
        <w:rPr>
          <w:rFonts w:eastAsia="Calibri" w:cs="Times New Roman"/>
          <w:noProof/>
        </w:rPr>
      </w:pPr>
      <w:r>
        <w:rPr>
          <w:b/>
          <w:noProof/>
        </w:rPr>
        <w:t>IT</w:t>
      </w:r>
      <w:r>
        <w:rPr>
          <w:noProof/>
        </w:rPr>
        <w:t>: Likumdošanas dekrēts Nr. 285/1992 (Ceļu kodekss un tā grozījumi), 85. </w:t>
      </w:r>
      <w:r>
        <w:rPr>
          <w:noProof/>
        </w:rPr>
        <w:t xml:space="preserve">pants; </w:t>
      </w:r>
    </w:p>
    <w:p w:rsidR="003E022D" w:rsidRDefault="007D19D6">
      <w:pPr>
        <w:rPr>
          <w:rFonts w:eastAsia="Calibri" w:cs="Times New Roman"/>
          <w:bCs/>
          <w:noProof/>
        </w:rPr>
      </w:pPr>
      <w:r>
        <w:rPr>
          <w:noProof/>
        </w:rPr>
        <w:t xml:space="preserve">Likumdošanas dekrēts Nr. 395/2000, 8. pants (pasažieru autotransports); </w:t>
      </w:r>
    </w:p>
    <w:p w:rsidR="003E022D" w:rsidRDefault="007D19D6">
      <w:pPr>
        <w:rPr>
          <w:rFonts w:eastAsia="Calibri" w:cs="Times New Roman"/>
          <w:noProof/>
        </w:rPr>
      </w:pPr>
      <w:r>
        <w:rPr>
          <w:noProof/>
        </w:rPr>
        <w:t xml:space="preserve">Likums Nr. 21/1992 (Pamatlikums par neregulāru sabiedrisko autotransportu); </w:t>
      </w:r>
    </w:p>
    <w:p w:rsidR="003E022D" w:rsidRDefault="007D19D6">
      <w:pPr>
        <w:rPr>
          <w:rFonts w:eastAsia="Calibri" w:cs="Times New Roman"/>
          <w:noProof/>
        </w:rPr>
      </w:pPr>
      <w:r>
        <w:rPr>
          <w:noProof/>
        </w:rPr>
        <w:t xml:space="preserve">Likums Nr. 218/2003, 1. pants (pasažieru pārvadāšana, ko ar nomātiem autobusiem veic autobusu vadītāji) un Likums Nr. 151/1981 (Pamatlikums par vietējo sabiedrisko transportu). </w:t>
      </w:r>
    </w:p>
    <w:p w:rsidR="003E022D" w:rsidRDefault="007D19D6">
      <w:pPr>
        <w:rPr>
          <w:rFonts w:eastAsia="Calibri" w:cs="Times New Roman"/>
          <w:noProof/>
        </w:rPr>
      </w:pPr>
      <w:r>
        <w:rPr>
          <w:b/>
          <w:noProof/>
        </w:rPr>
        <w:t>SE:</w:t>
      </w:r>
      <w:r>
        <w:rPr>
          <w:noProof/>
        </w:rPr>
        <w:t xml:space="preserve"> Plānošanas un būvniecības likums (2010: 900). </w:t>
      </w:r>
    </w:p>
    <w:p w:rsidR="003E022D" w:rsidRDefault="007D19D6">
      <w:pPr>
        <w:rPr>
          <w:rFonts w:eastAsia="Calibri" w:cs="Times New Roman"/>
          <w:b/>
          <w:i/>
          <w:noProof/>
        </w:rPr>
      </w:pPr>
      <w:bookmarkStart w:id="1266" w:name="_Toc451282195"/>
      <w:bookmarkStart w:id="1267" w:name="_Toc452503998"/>
      <w:r>
        <w:rPr>
          <w:b/>
          <w:i/>
          <w:noProof/>
        </w:rPr>
        <w:t>f)</w:t>
      </w:r>
      <w:r>
        <w:rPr>
          <w:noProof/>
        </w:rPr>
        <w:tab/>
      </w:r>
      <w:r>
        <w:rPr>
          <w:b/>
          <w:i/>
          <w:noProof/>
        </w:rPr>
        <w:t>Kosmosa transports un ko</w:t>
      </w:r>
      <w:r>
        <w:rPr>
          <w:b/>
          <w:i/>
          <w:noProof/>
        </w:rPr>
        <w:t>smosa kuģu noma</w:t>
      </w:r>
      <w:bookmarkEnd w:id="1266"/>
      <w:bookmarkEnd w:id="1267"/>
      <w:r>
        <w:rPr>
          <w:b/>
          <w:i/>
          <w:noProof/>
        </w:rPr>
        <w:t xml:space="preserve"> </w:t>
      </w:r>
    </w:p>
    <w:p w:rsidR="003E022D" w:rsidRDefault="007D19D6">
      <w:pPr>
        <w:rPr>
          <w:rFonts w:eastAsia="Calibri" w:cs="Times New Roman"/>
          <w:iCs/>
          <w:noProof/>
          <w:u w:val="single"/>
        </w:rPr>
      </w:pPr>
      <w:r>
        <w:rPr>
          <w:noProof/>
          <w:u w:val="single"/>
        </w:rPr>
        <w:t xml:space="preserve">Attiecībā uz investīciju liberalizāciju – piekļuve tirgum, valsts režīms, veiktspējas prasības, augstākā vadība un direktoru padomes un pakalpojumu pārrobežu tirdzniecība – piekļuve tirgum, valsts režīms, klātbūtne uz vietas </w:t>
      </w:r>
    </w:p>
    <w:p w:rsidR="003E022D" w:rsidRDefault="007D19D6">
      <w:pPr>
        <w:rPr>
          <w:rFonts w:eastAsia="Calibri" w:cs="Times New Roman"/>
          <w:noProof/>
        </w:rPr>
      </w:pPr>
      <w:r>
        <w:rPr>
          <w:b/>
          <w:noProof/>
        </w:rPr>
        <w:t>EU</w:t>
      </w:r>
      <w:r>
        <w:rPr>
          <w:noProof/>
        </w:rPr>
        <w:t>: kosmosa t</w:t>
      </w:r>
      <w:r>
        <w:rPr>
          <w:noProof/>
        </w:rPr>
        <w:t xml:space="preserve">ransporta pakalpojumu sniegšana un kosmosa kuģu nomas pakalpojumu sniegšana (CPC 733, daļa no 734). </w:t>
      </w:r>
    </w:p>
    <w:p w:rsidR="003E022D" w:rsidRDefault="007D19D6">
      <w:pPr>
        <w:rPr>
          <w:rFonts w:eastAsia="Calibri" w:cs="Times New Roman"/>
          <w:b/>
          <w:i/>
          <w:noProof/>
        </w:rPr>
      </w:pPr>
      <w:bookmarkStart w:id="1268" w:name="_Toc451282196"/>
      <w:bookmarkStart w:id="1269" w:name="_Toc452503999"/>
      <w:r>
        <w:rPr>
          <w:b/>
          <w:i/>
          <w:noProof/>
        </w:rPr>
        <w:t>g)</w:t>
      </w:r>
      <w:r>
        <w:rPr>
          <w:noProof/>
        </w:rPr>
        <w:tab/>
      </w:r>
      <w:r>
        <w:rPr>
          <w:b/>
          <w:i/>
          <w:iCs/>
          <w:noProof/>
        </w:rPr>
        <w:t>Lielākās labvēlības režīms</w:t>
      </w:r>
      <w:r>
        <w:rPr>
          <w:b/>
          <w:i/>
          <w:noProof/>
        </w:rPr>
        <w:t xml:space="preserve"> </w:t>
      </w:r>
      <w:bookmarkEnd w:id="1268"/>
      <w:bookmarkEnd w:id="1269"/>
    </w:p>
    <w:p w:rsidR="003E022D" w:rsidRDefault="007D19D6">
      <w:pPr>
        <w:rPr>
          <w:rFonts w:eastAsia="Calibri" w:cs="Times New Roman"/>
          <w:iCs/>
          <w:noProof/>
          <w:u w:val="single"/>
        </w:rPr>
      </w:pPr>
      <w:r>
        <w:rPr>
          <w:noProof/>
          <w:u w:val="single"/>
        </w:rPr>
        <w:t>Attiecībā uz investīciju liberalizāciju – lielākās labvēlības režīms un pakalpojumu pārrobežu tirdzniecība – lielākās labvēl</w:t>
      </w:r>
      <w:r>
        <w:rPr>
          <w:noProof/>
          <w:u w:val="single"/>
        </w:rPr>
        <w:t xml:space="preserve">ības režīms </w:t>
      </w:r>
    </w:p>
    <w:p w:rsidR="003E022D" w:rsidRDefault="007D19D6">
      <w:pPr>
        <w:numPr>
          <w:ilvl w:val="0"/>
          <w:numId w:val="793"/>
        </w:numPr>
        <w:rPr>
          <w:rFonts w:eastAsia="Calibri" w:cs="Times New Roman"/>
          <w:i/>
          <w:noProof/>
        </w:rPr>
      </w:pPr>
      <w:r>
        <w:rPr>
          <w:i/>
          <w:noProof/>
        </w:rPr>
        <w:t>Transports (kabotāža), izņemot jūras transportu</w:t>
      </w:r>
      <w:r>
        <w:rPr>
          <w:noProof/>
        </w:rPr>
        <w:t xml:space="preserve"> </w:t>
      </w:r>
    </w:p>
    <w:p w:rsidR="003E022D" w:rsidRDefault="007D19D6">
      <w:pPr>
        <w:rPr>
          <w:rFonts w:eastAsia="Calibri" w:cs="Times New Roman"/>
          <w:i/>
          <w:noProof/>
        </w:rPr>
      </w:pPr>
      <w:r>
        <w:rPr>
          <w:b/>
          <w:noProof/>
        </w:rPr>
        <w:t>FI</w:t>
      </w:r>
      <w:r>
        <w:rPr>
          <w:noProof/>
        </w:rPr>
        <w:t>: atšķirīga režīma nodrošināšana kādai valstij atbilstoši esošiem vai turpmākiem divpusējiem nolīgumiem, ar kuriem ar konkrētas citas valsts karogu kuģojošus kuģus vai ārvalstīs reģistrētus tr</w:t>
      </w:r>
      <w:r>
        <w:rPr>
          <w:noProof/>
        </w:rPr>
        <w:t xml:space="preserve">ansportlīdzekļus atbrīvo no vispārīgā aizlieguma sniegt kabotāžas pārvadājumu pakalpojumus (arī kombinēto pārvadājumu, autotransporta un dzelzceļa transporta pakalpojumus) Somijā, pamatojoties uz savstarpīgumu (daļa no CPC 711, daļa no 712, daļa no 722). </w:t>
      </w:r>
    </w:p>
    <w:p w:rsidR="003E022D" w:rsidRDefault="007D19D6">
      <w:pPr>
        <w:numPr>
          <w:ilvl w:val="0"/>
          <w:numId w:val="793"/>
        </w:numPr>
        <w:rPr>
          <w:rFonts w:eastAsia="Calibri" w:cs="Times New Roman"/>
          <w:i/>
          <w:noProof/>
        </w:rPr>
      </w:pPr>
      <w:r>
        <w:rPr>
          <w:i/>
          <w:noProof/>
        </w:rPr>
        <w:t>Jūras pārvadājumu atbalsta pakalpojumi</w:t>
      </w:r>
      <w:r>
        <w:rPr>
          <w:noProof/>
        </w:rPr>
        <w:t xml:space="preserve"> </w:t>
      </w:r>
    </w:p>
    <w:p w:rsidR="003E022D" w:rsidRDefault="007D19D6">
      <w:pPr>
        <w:rPr>
          <w:rFonts w:eastAsia="Calibri" w:cs="Times New Roman"/>
          <w:noProof/>
        </w:rPr>
      </w:pPr>
      <w:r>
        <w:rPr>
          <w:b/>
          <w:noProof/>
        </w:rPr>
        <w:t>BG:</w:t>
      </w:r>
      <w:r>
        <w:rPr>
          <w:noProof/>
        </w:rPr>
        <w:t xml:space="preserve"> ciktāl Apvienotā Karaliste atļauj pakalpojumu sniedzējiem no Bulgārijas sniegt kravu pārkraušanas pakalpojumus un glabāšanas un noliktavu pakalpojumus jūras un upju ostās, tostarp ar konteineriem un konteineros g</w:t>
      </w:r>
      <w:r>
        <w:rPr>
          <w:noProof/>
        </w:rPr>
        <w:t>labātām precēm saistītus pakalpojumus, Bulgārija atļaus pakalpojumu sniedzējiem no Apvienotās Karalistes ar tādiem pašiem nosacījumiem sniegt kravu pārkraušanas pakalpojumus un glabāšanas un noliktavu pakalpojumus jūras un upju ostās, tostarp ar konteineri</w:t>
      </w:r>
      <w:r>
        <w:rPr>
          <w:noProof/>
        </w:rPr>
        <w:t xml:space="preserve">em un ar konteineros glabātām precēm saistītus pakalpojumus (daļa no CPC 741, daļa no 742). </w:t>
      </w:r>
    </w:p>
    <w:p w:rsidR="003E022D" w:rsidRDefault="007D19D6">
      <w:pPr>
        <w:numPr>
          <w:ilvl w:val="0"/>
          <w:numId w:val="793"/>
        </w:numPr>
        <w:rPr>
          <w:rFonts w:eastAsia="Calibri" w:cs="Times New Roman"/>
          <w:i/>
          <w:noProof/>
        </w:rPr>
      </w:pPr>
      <w:r>
        <w:rPr>
          <w:i/>
          <w:noProof/>
        </w:rPr>
        <w:t>Kuģu noma vai izpirkumnoma</w:t>
      </w:r>
      <w:r>
        <w:rPr>
          <w:noProof/>
        </w:rPr>
        <w:t xml:space="preserve"> </w:t>
      </w:r>
    </w:p>
    <w:p w:rsidR="003E022D" w:rsidRDefault="007D19D6">
      <w:pPr>
        <w:rPr>
          <w:rFonts w:eastAsia="Calibri" w:cs="Times New Roman"/>
          <w:noProof/>
        </w:rPr>
      </w:pPr>
      <w:r>
        <w:rPr>
          <w:b/>
          <w:noProof/>
        </w:rPr>
        <w:t>DE:</w:t>
      </w:r>
      <w:r>
        <w:rPr>
          <w:noProof/>
        </w:rPr>
        <w:t xml:space="preserve"> Vācijā dzīvojošiem patērētājiem fraktējot ārvalstīs reģistrētus kuģus, var tikt piemērots savstarpības princips (CPC 7213, 7223, 83</w:t>
      </w:r>
      <w:r>
        <w:rPr>
          <w:noProof/>
        </w:rPr>
        <w:t xml:space="preserve">103). </w:t>
      </w:r>
    </w:p>
    <w:p w:rsidR="003E022D" w:rsidRDefault="007D19D6">
      <w:pPr>
        <w:numPr>
          <w:ilvl w:val="0"/>
          <w:numId w:val="793"/>
        </w:numPr>
        <w:rPr>
          <w:rFonts w:eastAsia="Calibri" w:cs="Times New Roman"/>
          <w:i/>
          <w:noProof/>
        </w:rPr>
      </w:pPr>
      <w:r>
        <w:rPr>
          <w:noProof/>
        </w:rPr>
        <w:t xml:space="preserve"> </w:t>
      </w:r>
      <w:r>
        <w:rPr>
          <w:i/>
          <w:noProof/>
        </w:rPr>
        <w:t>Autotransports un dzelzceļa transports</w:t>
      </w:r>
      <w:r>
        <w:rPr>
          <w:noProof/>
        </w:rPr>
        <w:t xml:space="preserve"> </w:t>
      </w:r>
    </w:p>
    <w:p w:rsidR="003E022D" w:rsidRDefault="007D19D6">
      <w:pPr>
        <w:rPr>
          <w:rFonts w:eastAsia="Calibri" w:cs="Times New Roman"/>
          <w:noProof/>
        </w:rPr>
      </w:pPr>
      <w:r>
        <w:rPr>
          <w:b/>
          <w:noProof/>
        </w:rPr>
        <w:t>EU</w:t>
      </w:r>
      <w:r>
        <w:rPr>
          <w:noProof/>
        </w:rPr>
        <w:t>: var piešķirt atšķirīgu režīmu kādai valstij atbilstoši spēkā esošiem vai turpmākiem divpusējiem nolīgumiem par starptautiskajiem kravas autopārvadājumiem (arī kombinētajiem pārvadājumiem — ar autotranspor</w:t>
      </w:r>
      <w:r>
        <w:rPr>
          <w:noProof/>
        </w:rPr>
        <w:t xml:space="preserve">tu vai dzelzceļa transportu) un pasažieru pārvadājumiem, kas noslēgti starp Savienību vai dalībvalstīm un trešo valsti (CPC 7111, 7112, 7121, 7122, 7123). Minētais režīms var: </w:t>
      </w:r>
    </w:p>
    <w:p w:rsidR="003E022D" w:rsidRDefault="007D19D6">
      <w:pPr>
        <w:rPr>
          <w:rFonts w:eastAsia="Calibri" w:cs="Times New Roman"/>
          <w:noProof/>
        </w:rPr>
      </w:pPr>
      <w:r>
        <w:rPr>
          <w:noProof/>
        </w:rPr>
        <w:t xml:space="preserve">a) paredzēt vai ierobežot, ka attiecīgo transporta pakalpojumu sniegšana starp </w:t>
      </w:r>
      <w:r>
        <w:rPr>
          <w:noProof/>
        </w:rPr>
        <w:t>Līgumslēdzējām pusēm vai šķērsojot to teritorijas ir atļauta, izmantojot vienīgi transportlīdzekļus, kas reģistrēti katrā Līgumslēdzējā pusē</w:t>
      </w:r>
      <w:r>
        <w:rPr>
          <w:rFonts w:eastAsia="Calibri" w:cs="Times New Roman"/>
          <w:noProof/>
        </w:rPr>
        <w:footnoteReference w:id="108"/>
      </w:r>
      <w:r>
        <w:rPr>
          <w:noProof/>
        </w:rPr>
        <w:t>, vai</w:t>
      </w:r>
    </w:p>
    <w:p w:rsidR="003E022D" w:rsidRDefault="007D19D6">
      <w:pPr>
        <w:rPr>
          <w:rFonts w:eastAsia="Calibri" w:cs="Times New Roman"/>
          <w:noProof/>
        </w:rPr>
      </w:pPr>
      <w:r>
        <w:rPr>
          <w:noProof/>
        </w:rPr>
        <w:t>b) paredzēt atbrīvojumus no nodokļiem šādiem transportlīdzekļiem.</w:t>
      </w:r>
    </w:p>
    <w:p w:rsidR="003E022D" w:rsidRDefault="007D19D6">
      <w:pPr>
        <w:numPr>
          <w:ilvl w:val="0"/>
          <w:numId w:val="793"/>
        </w:numPr>
        <w:rPr>
          <w:rFonts w:eastAsia="Calibri" w:cs="Times New Roman"/>
          <w:i/>
          <w:noProof/>
        </w:rPr>
      </w:pPr>
      <w:r>
        <w:rPr>
          <w:i/>
          <w:noProof/>
        </w:rPr>
        <w:t xml:space="preserve">Autotransports </w:t>
      </w:r>
    </w:p>
    <w:p w:rsidR="003E022D" w:rsidRDefault="007D19D6">
      <w:pPr>
        <w:rPr>
          <w:rFonts w:eastAsia="Calibri" w:cs="Times New Roman"/>
          <w:noProof/>
        </w:rPr>
      </w:pPr>
      <w:r>
        <w:rPr>
          <w:b/>
          <w:noProof/>
        </w:rPr>
        <w:t>BG:</w:t>
      </w:r>
      <w:r>
        <w:rPr>
          <w:noProof/>
        </w:rPr>
        <w:t xml:space="preserve"> pasākumi, kas tiek īstenoti saskaņā ar esošiem vai turpmākiem nolīgumiem un kas paredz un ierobežo šāda veida transporta pakalpojumu sniegšanu un precizē šo pakalpojumu sniegšanas noteikumus, tostarp atļaujas veikt tranzīta pārvadājumus vai preferenciālus</w:t>
      </w:r>
      <w:r>
        <w:rPr>
          <w:noProof/>
        </w:rPr>
        <w:t xml:space="preserve"> autoceļu nodokļus, kas piemērojami Bulgārijas teritorijā vai pāri tās robežām (CPC 7121, 7122, 7123). </w:t>
      </w:r>
    </w:p>
    <w:p w:rsidR="003E022D" w:rsidRDefault="007D19D6">
      <w:pPr>
        <w:rPr>
          <w:rFonts w:eastAsia="Calibri" w:cs="Times New Roman"/>
          <w:noProof/>
        </w:rPr>
      </w:pPr>
      <w:r>
        <w:rPr>
          <w:b/>
          <w:noProof/>
        </w:rPr>
        <w:t>CZ</w:t>
      </w:r>
      <w:r>
        <w:rPr>
          <w:noProof/>
        </w:rPr>
        <w:t>: pasākumi, kuri tiek īstenoti saskaņā ar esošiem vai turpmākiem nolīgumiem un kuri paredz vai ierobežo transporta pakalpojumu sniegšanu un precizē da</w:t>
      </w:r>
      <w:r>
        <w:rPr>
          <w:noProof/>
        </w:rPr>
        <w:t>rbības nosacījumus, tostarp atļaujas veikt tranzīta pārvadājumus vai preferenciālus autoceļu nodokļus, ko piemēro transporta pakalpojumiem uz Čehijas Republikas, tās teritorijā, to šķērsojot un no Čehijas Republikas uz attiecīgajām līgumslēdzējām pusēm (CP</w:t>
      </w:r>
      <w:r>
        <w:rPr>
          <w:noProof/>
        </w:rPr>
        <w:t xml:space="preserve">C 7121, 7122, 7123). </w:t>
      </w:r>
    </w:p>
    <w:p w:rsidR="003E022D" w:rsidRDefault="007D19D6">
      <w:pPr>
        <w:rPr>
          <w:rFonts w:eastAsia="Calibri" w:cs="Times New Roman"/>
          <w:noProof/>
        </w:rPr>
      </w:pPr>
      <w:r>
        <w:rPr>
          <w:b/>
          <w:noProof/>
        </w:rPr>
        <w:t>ES</w:t>
      </w:r>
      <w:r>
        <w:rPr>
          <w:noProof/>
        </w:rPr>
        <w:t xml:space="preserve">: atļauja izveidot komerciālu klātbūtni Spānijā var tikt liegta pakalpojumu sniedzējiem, kuru izcelsmes valstī nav nodrošināta faktiska Spānijas pakalpojumu sniedzēju piekļuve tirgum (CPC 7123).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i/>
          <w:noProof/>
        </w:rPr>
        <w:t xml:space="preserve">Ley 16/1987, de 30 </w:t>
      </w:r>
      <w:r>
        <w:rPr>
          <w:i/>
          <w:noProof/>
        </w:rPr>
        <w:t>de julio, de Ordenación de los Transportes Terrestres</w:t>
      </w:r>
      <w:r>
        <w:rPr>
          <w:noProof/>
        </w:rPr>
        <w:t xml:space="preserve">. </w:t>
      </w:r>
    </w:p>
    <w:p w:rsidR="003E022D" w:rsidRDefault="007D19D6">
      <w:pPr>
        <w:rPr>
          <w:rFonts w:eastAsia="Calibri" w:cs="Times New Roman"/>
          <w:noProof/>
        </w:rPr>
      </w:pPr>
      <w:r>
        <w:rPr>
          <w:b/>
          <w:noProof/>
        </w:rPr>
        <w:t>HR</w:t>
      </w:r>
      <w:r>
        <w:rPr>
          <w:noProof/>
        </w:rPr>
        <w:t xml:space="preserve">: pasākumi, kuri tiek piemēroti saskaņā ar esošiem vai turpmākiem nolīgumiem par starptautiskajiem autopārvadājumiem un kuri paredz vai ierobežo transporta pakalpojumu sniegšanu un precizē darbības </w:t>
      </w:r>
      <w:r>
        <w:rPr>
          <w:noProof/>
        </w:rPr>
        <w:t xml:space="preserve">nosacījumus, tostarp atļaujas veikt tranzīta pārvadājumus vai preferenciālus autoceļu nodokļus, ko piemēro transporta pakalpojumiem uz Horvātiju, tās teritorijā, to šķērsojot un no Horvātijas uz attiecīgajām pusēm (CPC 7121, 7122, 7123). </w:t>
      </w:r>
    </w:p>
    <w:p w:rsidR="003E022D" w:rsidRDefault="007D19D6">
      <w:pPr>
        <w:rPr>
          <w:rFonts w:eastAsia="Calibri" w:cs="Times New Roman"/>
          <w:noProof/>
        </w:rPr>
      </w:pPr>
      <w:r>
        <w:rPr>
          <w:b/>
          <w:noProof/>
        </w:rPr>
        <w:t>LT</w:t>
      </w:r>
      <w:r>
        <w:rPr>
          <w:noProof/>
        </w:rPr>
        <w:t>: pasākumi, kas</w:t>
      </w:r>
      <w:r>
        <w:rPr>
          <w:noProof/>
        </w:rPr>
        <w:t xml:space="preserve"> tiek īstenoti saskaņā ar divpusējiem nolīgumiem un kas paredz noteikumus transporta pakalpojumu sniegšanai un precizē darbības nosacījumus, tostarp atļaujas veikt divpusējus tranzīta pārvadājumus un citus transporta pakalpojumus, kuri saistīti ar pārvadāj</w:t>
      </w:r>
      <w:r>
        <w:rPr>
          <w:noProof/>
        </w:rPr>
        <w:t xml:space="preserve">umiem uz Lietuvu, šķērsojot tās teritoriju un no Lietuvas uz attiecīgajām līgumslēdzējām pusēm, kā arī nosacījumus attiecībā uz autoceļu nodokļiem un nodevām (CPC 7121, 7122, 7123). </w:t>
      </w:r>
    </w:p>
    <w:p w:rsidR="003E022D" w:rsidRDefault="007D19D6">
      <w:pPr>
        <w:rPr>
          <w:rFonts w:eastAsia="Calibri" w:cs="Times New Roman"/>
          <w:noProof/>
        </w:rPr>
      </w:pPr>
      <w:r>
        <w:rPr>
          <w:b/>
          <w:noProof/>
        </w:rPr>
        <w:t>SK</w:t>
      </w:r>
      <w:r>
        <w:rPr>
          <w:noProof/>
        </w:rPr>
        <w:t>: pasākumi, kuri tiek īstenoti saskaņā ar esošiem vai turpmākiem nolīgu</w:t>
      </w:r>
      <w:r>
        <w:rPr>
          <w:noProof/>
        </w:rPr>
        <w:t>miem un kuri paredz vai ierobežo transporta pakalpojumu sniegšanu un precizē darbības nosacījumus, tostarp atļaujas veikt tranzīta pārvadājumus vai preferenciālus autoceļu nodokļus, ko piemēro transporta pakalpojumiem uz Slovākijas Republiku, tās teritorij</w:t>
      </w:r>
      <w:r>
        <w:rPr>
          <w:noProof/>
        </w:rPr>
        <w:t xml:space="preserve">ā, to šķērsojot un no Slovākijas Republikas uz attiecīgajām līgumslēdzējām pusēm (CPC 7121, 7122, 7123). </w:t>
      </w:r>
    </w:p>
    <w:p w:rsidR="003E022D" w:rsidRDefault="007D19D6">
      <w:pPr>
        <w:numPr>
          <w:ilvl w:val="0"/>
          <w:numId w:val="793"/>
        </w:numPr>
        <w:rPr>
          <w:rFonts w:eastAsia="Calibri" w:cs="Times New Roman"/>
          <w:i/>
          <w:noProof/>
        </w:rPr>
      </w:pPr>
      <w:r>
        <w:rPr>
          <w:noProof/>
        </w:rPr>
        <w:t xml:space="preserve"> </w:t>
      </w:r>
      <w:r>
        <w:rPr>
          <w:i/>
          <w:noProof/>
        </w:rPr>
        <w:t xml:space="preserve">Dzelzceļa transports </w:t>
      </w:r>
    </w:p>
    <w:p w:rsidR="003E022D" w:rsidRDefault="007D19D6">
      <w:pPr>
        <w:rPr>
          <w:rFonts w:eastAsia="Calibri" w:cs="Times New Roman"/>
          <w:noProof/>
        </w:rPr>
      </w:pPr>
      <w:r>
        <w:rPr>
          <w:b/>
          <w:noProof/>
        </w:rPr>
        <w:t>BG, CZ</w:t>
      </w:r>
      <w:r>
        <w:rPr>
          <w:noProof/>
        </w:rPr>
        <w:t xml:space="preserve"> un </w:t>
      </w:r>
      <w:r>
        <w:rPr>
          <w:b/>
          <w:noProof/>
        </w:rPr>
        <w:t>SK:</w:t>
      </w:r>
      <w:r>
        <w:rPr>
          <w:noProof/>
        </w:rPr>
        <w:t xml:space="preserve"> atbilstīgi esošiem vai turpmākiem nolīgumiem un ar ko regulē satiksmes tiesības, darbības nosacījumus un transpor</w:t>
      </w:r>
      <w:r>
        <w:rPr>
          <w:noProof/>
        </w:rPr>
        <w:t xml:space="preserve">ta pakalpojumu sniegšanu Bulgārijas, Čehijas Republikas un Slovākijas teritorijā, kā arī starp iesaistītajām valstīm. (CPC 7111 un 7112) </w:t>
      </w:r>
    </w:p>
    <w:p w:rsidR="003E022D" w:rsidRDefault="007D19D6">
      <w:pPr>
        <w:numPr>
          <w:ilvl w:val="0"/>
          <w:numId w:val="793"/>
        </w:numPr>
        <w:rPr>
          <w:rFonts w:eastAsia="Calibri" w:cs="Times New Roman"/>
          <w:i/>
          <w:noProof/>
        </w:rPr>
      </w:pPr>
      <w:r>
        <w:rPr>
          <w:i/>
          <w:noProof/>
        </w:rPr>
        <w:t>Gaisa transports – gaisa transporta palīgpakalpojumi</w:t>
      </w:r>
      <w:r>
        <w:rPr>
          <w:noProof/>
        </w:rPr>
        <w:t xml:space="preserve"> </w:t>
      </w:r>
    </w:p>
    <w:p w:rsidR="003E022D" w:rsidRDefault="007D19D6">
      <w:pPr>
        <w:rPr>
          <w:rFonts w:eastAsia="Calibri" w:cs="Times New Roman"/>
          <w:noProof/>
        </w:rPr>
      </w:pPr>
      <w:r>
        <w:rPr>
          <w:b/>
          <w:noProof/>
        </w:rPr>
        <w:t>EU</w:t>
      </w:r>
      <w:r>
        <w:rPr>
          <w:noProof/>
        </w:rPr>
        <w:t>:</w:t>
      </w:r>
      <w:r>
        <w:rPr>
          <w:b/>
          <w:noProof/>
        </w:rPr>
        <w:t xml:space="preserve"> </w:t>
      </w:r>
      <w:r>
        <w:rPr>
          <w:noProof/>
        </w:rPr>
        <w:t>atšķirīga režīma nodrošināšana trešai valstij, ievērojot eso</w:t>
      </w:r>
      <w:r>
        <w:rPr>
          <w:noProof/>
        </w:rPr>
        <w:t xml:space="preserve">šus vai turpmākus divpusējus nolīgumus par apkalpošanas uz zemes pakalpojumiem. </w:t>
      </w:r>
    </w:p>
    <w:p w:rsidR="003E022D" w:rsidRDefault="007D19D6">
      <w:pPr>
        <w:numPr>
          <w:ilvl w:val="0"/>
          <w:numId w:val="793"/>
        </w:numPr>
        <w:rPr>
          <w:rFonts w:eastAsia="Calibri" w:cs="Times New Roman"/>
          <w:i/>
          <w:noProof/>
        </w:rPr>
      </w:pPr>
      <w:r>
        <w:rPr>
          <w:i/>
          <w:noProof/>
        </w:rPr>
        <w:t>Autotransports un dzelzceļa transports</w:t>
      </w:r>
    </w:p>
    <w:p w:rsidR="003E022D" w:rsidRDefault="007D19D6">
      <w:pPr>
        <w:rPr>
          <w:rFonts w:eastAsia="Calibri" w:cs="Times New Roman"/>
          <w:noProof/>
        </w:rPr>
      </w:pPr>
      <w:r>
        <w:rPr>
          <w:b/>
          <w:noProof/>
        </w:rPr>
        <w:t>EE</w:t>
      </w:r>
      <w:r>
        <w:rPr>
          <w:noProof/>
        </w:rPr>
        <w:t>: ja kādai valstij nodrošina atšķirīgu režīmu, ievērojot esošus vai turpmākus divpusējus nolīgumus par starptautiskajiem autopārvadāju</w:t>
      </w:r>
      <w:r>
        <w:rPr>
          <w:noProof/>
        </w:rPr>
        <w:t>miem (arī kombinētajiem pārvadājumiem — ar autotransportu vai dzelzceļa transportu), ar ko paredz vai ierobežo tiesības ar katrā līgumslēdzējā pusē reģistrētiem transportlīdzekļiem sniegt transporta pakalpojumus uz Igauniju, tās teritorijā vai to šķērsojot</w:t>
      </w:r>
      <w:r>
        <w:rPr>
          <w:noProof/>
        </w:rPr>
        <w:t xml:space="preserve"> un no Igaunijas uz līgumslēdzēju pušu teritoriju un piešķir šādiem transportlīdzekļiem nodokļu atvieglojumus (daļa no CPC 711, daļa no 712, daļa no 721). </w:t>
      </w:r>
    </w:p>
    <w:p w:rsidR="003E022D" w:rsidRDefault="007D19D6">
      <w:pPr>
        <w:numPr>
          <w:ilvl w:val="0"/>
          <w:numId w:val="793"/>
        </w:numPr>
        <w:rPr>
          <w:rFonts w:eastAsia="Calibri" w:cs="Times New Roman"/>
          <w:i/>
          <w:noProof/>
        </w:rPr>
      </w:pPr>
      <w:r>
        <w:rPr>
          <w:i/>
          <w:noProof/>
        </w:rPr>
        <w:t>Visu veidu pasažieru un kravu pārvadājumu pakalpojumi, izņemot jūras un gaisa transportu</w:t>
      </w:r>
      <w:r>
        <w:rPr>
          <w:noProof/>
        </w:rPr>
        <w:t xml:space="preserve"> </w:t>
      </w:r>
    </w:p>
    <w:p w:rsidR="003E022D" w:rsidRDefault="007D19D6">
      <w:pPr>
        <w:rPr>
          <w:rFonts w:eastAsia="Calibri" w:cs="Times New Roman"/>
          <w:i/>
          <w:noProof/>
        </w:rPr>
      </w:pPr>
      <w:r>
        <w:rPr>
          <w:b/>
          <w:noProof/>
        </w:rPr>
        <w:t>PL:</w:t>
      </w:r>
      <w:r>
        <w:rPr>
          <w:noProof/>
        </w:rPr>
        <w:t xml:space="preserve"> ciktāl</w:t>
      </w:r>
      <w:r>
        <w:rPr>
          <w:noProof/>
        </w:rPr>
        <w:t xml:space="preserve"> Apvienotā Karaliste Polijas pasažieru un kravas transporta pakalpojumu sniedzējiem atļauj sniegt transporta pakalpojumus, iebraucot Apvienotajā Karalistē un šķērsojot tās teritoriju, Polija ar tādiem pašiem nosacījumiem Apvienotās Karalistes pasažieru un </w:t>
      </w:r>
      <w:r>
        <w:rPr>
          <w:noProof/>
        </w:rPr>
        <w:t>kravas transporta pakalpojumu sniedzējiem atļaus sniegt transporta pakalpojumus, iebraucot Polijā un šķērsojot tās teritoriju.</w:t>
      </w:r>
      <w:r>
        <w:rPr>
          <w:i/>
          <w:noProof/>
        </w:rPr>
        <w:t xml:space="preserve"> </w:t>
      </w:r>
    </w:p>
    <w:p w:rsidR="003E022D" w:rsidRDefault="007D19D6">
      <w:pPr>
        <w:rPr>
          <w:rFonts w:eastAsia="Calibri" w:cs="Times New Roman"/>
          <w:b/>
          <w:bCs/>
          <w:noProof/>
        </w:rPr>
      </w:pPr>
      <w:r>
        <w:rPr>
          <w:noProof/>
        </w:rPr>
        <w:br w:type="page"/>
      </w:r>
    </w:p>
    <w:p w:rsidR="003E022D" w:rsidRDefault="007D19D6">
      <w:pPr>
        <w:rPr>
          <w:rFonts w:eastAsia="Calibri" w:cs="Times New Roman"/>
          <w:b/>
          <w:bCs/>
          <w:noProof/>
        </w:rPr>
      </w:pPr>
      <w:bookmarkStart w:id="1270" w:name="_Toc452504000"/>
      <w:bookmarkStart w:id="1271" w:name="_Toc479001645"/>
      <w:bookmarkStart w:id="1272" w:name="_Toc53746619"/>
      <w:bookmarkStart w:id="1273" w:name="_Toc57917485"/>
      <w:bookmarkStart w:id="1274" w:name="_Hlk59121794"/>
      <w:r>
        <w:rPr>
          <w:b/>
          <w:bCs/>
          <w:noProof/>
        </w:rPr>
        <w:t xml:space="preserve">21. atruna. Lauksaimniecība, zvejniecība </w:t>
      </w:r>
      <w:bookmarkEnd w:id="1270"/>
      <w:bookmarkEnd w:id="1271"/>
      <w:r>
        <w:rPr>
          <w:b/>
          <w:bCs/>
          <w:noProof/>
        </w:rPr>
        <w:t>un ūdens</w:t>
      </w:r>
      <w:bookmarkEnd w:id="1272"/>
      <w:bookmarkEnd w:id="1273"/>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lauksaimniecība, medniecība, mežsaimniecība; zvejniecība, akvakultūr</w:t>
            </w:r>
            <w:r>
              <w:rPr>
                <w:noProof/>
              </w:rPr>
              <w:t>a un ar zvejniecību saistītie pakalpojumi; ūdens savākšana, attīrīšana un sadale.</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 xml:space="preserve">ISIC 3.1. red. 011, ISIC 3.1. red. 012, ISIC 3.1. red. 013, ISIC 3.1. red. 014, ISIC 3.1. red. 015, CPC 8811, 8812, 8813, izņemot padomdevēju un </w:t>
            </w:r>
            <w:r>
              <w:rPr>
                <w:noProof/>
              </w:rPr>
              <w:t>konsultāciju pakalpojumus; ISIC 3.1. red. 0501, 0502, CPC 882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w:t>
            </w:r>
            <w:r>
              <w:rPr>
                <w:noProof/>
              </w:rPr>
              <w:t>n pakalpojumu pārrobežu tirdzniecība</w:t>
            </w:r>
          </w:p>
        </w:tc>
      </w:tr>
      <w:bookmarkEnd w:id="1274"/>
    </w:tbl>
    <w:p w:rsidR="003E022D" w:rsidRDefault="003E022D">
      <w:pPr>
        <w:rPr>
          <w:noProof/>
        </w:rPr>
      </w:pPr>
    </w:p>
    <w:p w:rsidR="003E022D" w:rsidRDefault="007D19D6">
      <w:pPr>
        <w:rPr>
          <w:rFonts w:eastAsia="Calibri" w:cs="Times New Roman"/>
          <w:b/>
          <w:bCs/>
          <w:noProof/>
        </w:rPr>
      </w:pPr>
      <w:r>
        <w:rPr>
          <w:b/>
          <w:bCs/>
          <w:noProof/>
        </w:rPr>
        <w:t>Apraksts</w:t>
      </w:r>
      <w:r>
        <w:rPr>
          <w:b/>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b/>
          <w:i/>
          <w:noProof/>
        </w:rPr>
      </w:pPr>
      <w:bookmarkStart w:id="1275" w:name="_Toc452504001"/>
      <w:r>
        <w:rPr>
          <w:b/>
          <w:i/>
          <w:noProof/>
        </w:rPr>
        <w:t>a)</w:t>
      </w:r>
      <w:r>
        <w:rPr>
          <w:noProof/>
        </w:rPr>
        <w:tab/>
      </w:r>
      <w:r>
        <w:rPr>
          <w:b/>
          <w:i/>
          <w:noProof/>
        </w:rPr>
        <w:t>Lauksaimniecība, medniecība un mežsaimniecība</w:t>
      </w:r>
      <w:bookmarkEnd w:id="1275"/>
      <w:r>
        <w:rPr>
          <w:b/>
          <w:i/>
          <w:noProof/>
        </w:rPr>
        <w:t xml:space="preserve"> </w:t>
      </w:r>
    </w:p>
    <w:p w:rsidR="003E022D" w:rsidRDefault="007D19D6">
      <w:pPr>
        <w:rPr>
          <w:rFonts w:eastAsia="Calibri" w:cs="Times New Roman"/>
          <w:noProof/>
          <w:u w:val="single"/>
        </w:rPr>
      </w:pPr>
      <w:r>
        <w:rPr>
          <w:noProof/>
          <w:u w:val="single"/>
        </w:rPr>
        <w:t>Attiecībā uz investīciju liberalizāciju – piekļuve tirgum, valsts r</w:t>
      </w:r>
      <w:r>
        <w:rPr>
          <w:noProof/>
          <w:u w:val="single"/>
        </w:rPr>
        <w:t xml:space="preserve">ežīms </w:t>
      </w:r>
    </w:p>
    <w:p w:rsidR="003E022D" w:rsidRDefault="007D19D6">
      <w:pPr>
        <w:rPr>
          <w:rFonts w:eastAsia="Calibri" w:cs="Times New Roman"/>
          <w:noProof/>
        </w:rPr>
      </w:pPr>
      <w:r>
        <w:rPr>
          <w:b/>
          <w:noProof/>
        </w:rPr>
        <w:t>HR</w:t>
      </w:r>
      <w:r>
        <w:rPr>
          <w:noProof/>
        </w:rPr>
        <w:t xml:space="preserve">: lauksaimniecības un medniecības darbības.  </w:t>
      </w:r>
    </w:p>
    <w:p w:rsidR="003E022D" w:rsidRDefault="007D19D6">
      <w:pPr>
        <w:rPr>
          <w:rFonts w:eastAsia="Calibri" w:cs="Times New Roman"/>
          <w:noProof/>
        </w:rPr>
      </w:pPr>
      <w:r>
        <w:rPr>
          <w:b/>
          <w:noProof/>
        </w:rPr>
        <w:t xml:space="preserve">HU: </w:t>
      </w:r>
      <w:r>
        <w:rPr>
          <w:noProof/>
        </w:rPr>
        <w:t xml:space="preserve">lauksaimniecības darbības (ISIC 3.1. red. 011, 3.1. red. 012, 3.1. red. 013, 3.1. red. 014, 3.1. red. 015, CPC 8811, 8812, 8813, izņemot padomdevēju un konsultāciju pakalpojumus). </w:t>
      </w:r>
    </w:p>
    <w:p w:rsidR="003E022D" w:rsidRDefault="007D19D6">
      <w:pPr>
        <w:rPr>
          <w:rFonts w:eastAsia="Calibri" w:cs="Times New Roman"/>
          <w:b/>
          <w:bCs/>
          <w:i/>
          <w:noProof/>
        </w:rPr>
      </w:pPr>
      <w:r>
        <w:rPr>
          <w:b/>
          <w:i/>
          <w:noProof/>
        </w:rPr>
        <w:t xml:space="preserve">Esošie pasākumi </w:t>
      </w:r>
    </w:p>
    <w:p w:rsidR="003E022D" w:rsidRDefault="007D19D6">
      <w:pPr>
        <w:rPr>
          <w:rFonts w:eastAsia="Calibri" w:cs="Times New Roman"/>
          <w:noProof/>
        </w:rPr>
      </w:pPr>
      <w:r>
        <w:rPr>
          <w:b/>
          <w:bCs/>
          <w:noProof/>
        </w:rPr>
        <w:t xml:space="preserve">HR: </w:t>
      </w:r>
      <w:r>
        <w:rPr>
          <w:noProof/>
        </w:rPr>
        <w:t>Darba likums (OG 20/18, 115/18, 98/19).</w:t>
      </w:r>
    </w:p>
    <w:p w:rsidR="003E022D" w:rsidRDefault="007D19D6">
      <w:pPr>
        <w:rPr>
          <w:rFonts w:eastAsia="Calibri" w:cs="Times New Roman"/>
          <w:b/>
          <w:i/>
          <w:noProof/>
        </w:rPr>
      </w:pPr>
      <w:bookmarkStart w:id="1276" w:name="_Hlk59121772"/>
      <w:r>
        <w:rPr>
          <w:b/>
          <w:i/>
          <w:noProof/>
        </w:rPr>
        <w:t>b)</w:t>
      </w:r>
      <w:r>
        <w:rPr>
          <w:noProof/>
        </w:rPr>
        <w:tab/>
      </w:r>
      <w:bookmarkStart w:id="1277" w:name="_Toc452504002"/>
      <w:r>
        <w:rPr>
          <w:b/>
          <w:i/>
          <w:noProof/>
        </w:rPr>
        <w:t>Zvejniecība, akvakultūra un ar zvejniecību saistītie</w:t>
      </w:r>
      <w:r>
        <w:rPr>
          <w:b/>
          <w:noProof/>
        </w:rPr>
        <w:t xml:space="preserve"> </w:t>
      </w:r>
      <w:r>
        <w:rPr>
          <w:b/>
          <w:i/>
          <w:noProof/>
        </w:rPr>
        <w:t>pakalpojumi</w:t>
      </w:r>
      <w:bookmarkEnd w:id="1277"/>
      <w:r>
        <w:rPr>
          <w:b/>
          <w:noProof/>
        </w:rPr>
        <w:t>.</w:t>
      </w:r>
      <w:r>
        <w:rPr>
          <w:b/>
          <w:i/>
          <w:noProof/>
        </w:rPr>
        <w:t xml:space="preserve"> (ISIC 3.1. red. 0501, 0502, CPC 882)</w:t>
      </w:r>
      <w:r>
        <w:rPr>
          <w:b/>
          <w:noProof/>
        </w:rPr>
        <w:t xml:space="preserve"> </w:t>
      </w:r>
    </w:p>
    <w:p w:rsidR="003E022D" w:rsidRDefault="007D19D6">
      <w:pPr>
        <w:rPr>
          <w:rFonts w:eastAsia="Calibri" w:cs="Times New Roman"/>
          <w:iCs/>
          <w:noProof/>
          <w:u w:val="single"/>
        </w:rPr>
      </w:pPr>
      <w:r>
        <w:rPr>
          <w:noProof/>
          <w:u w:val="single"/>
        </w:rPr>
        <w:t>Attiecībā uz investīciju liberalizāciju – piekļuve tirgum, valsts režīms, augstākā vadība un direktoru padomes, veiktspējas prasības, lielākās labvēlības režīms un pakalpojumu pārrobežu tirdzniecība – piekļuve tirgum, valsts režīms, lielākās labvēlības rež</w:t>
      </w:r>
      <w:r>
        <w:rPr>
          <w:noProof/>
          <w:u w:val="single"/>
        </w:rPr>
        <w:t xml:space="preserve">īms, klātbūtne uz vietas </w:t>
      </w:r>
    </w:p>
    <w:p w:rsidR="003E022D" w:rsidRDefault="007D19D6">
      <w:pPr>
        <w:rPr>
          <w:rFonts w:eastAsia="Calibri" w:cs="Times New Roman"/>
          <w:noProof/>
        </w:rPr>
      </w:pPr>
      <w:r>
        <w:rPr>
          <w:b/>
          <w:noProof/>
        </w:rPr>
        <w:t>EU</w:t>
      </w:r>
      <w:r>
        <w:rPr>
          <w:noProof/>
        </w:rPr>
        <w:t xml:space="preserve">: </w:t>
      </w:r>
    </w:p>
    <w:p w:rsidR="003E022D" w:rsidRDefault="007D19D6">
      <w:pPr>
        <w:rPr>
          <w:rFonts w:eastAsia="Calibri" w:cs="Times New Roman"/>
          <w:noProof/>
        </w:rPr>
      </w:pPr>
      <w:r>
        <w:rPr>
          <w:noProof/>
        </w:rPr>
        <w:t xml:space="preserve">1. </w:t>
      </w:r>
      <w:r>
        <w:rPr>
          <w:noProof/>
        </w:rPr>
        <w:tab/>
        <w:t>Jo īpaši kopējās zivsaimniecības politikas un ar trešām valstīm noslēgtu zvejas nolīgumu satvarā piekļuve bioloģiskajiem resursiem un zvejas vietām jūras ūdeņos, uz kuriem attiecas dalībvalstu suverenitāte vai jurisdikcij</w:t>
      </w:r>
      <w:r>
        <w:rPr>
          <w:noProof/>
        </w:rPr>
        <w:t xml:space="preserve">a, un šo resursu izmantošana vai zvejas tiesības saskaņā ar dalībvalsts zvejas licenci, ieskaitot: </w:t>
      </w:r>
    </w:p>
    <w:p w:rsidR="003E022D" w:rsidRDefault="007D19D6">
      <w:pPr>
        <w:rPr>
          <w:rFonts w:eastAsia="Calibri" w:cs="Times New Roman"/>
          <w:noProof/>
        </w:rPr>
      </w:pPr>
      <w:r>
        <w:rPr>
          <w:noProof/>
        </w:rPr>
        <w:t>a)</w:t>
      </w:r>
      <w:r>
        <w:rPr>
          <w:noProof/>
        </w:rPr>
        <w:tab/>
        <w:t xml:space="preserve">tiesības regulēt nozvejas izkraušanu, ko veic Apvienotās Karalistes karoga kuģi vai – tikai attiecībā uz dalībvalsts karoga kuģiem – pieprasīt, lai daļa </w:t>
      </w:r>
      <w:r>
        <w:rPr>
          <w:noProof/>
        </w:rPr>
        <w:t xml:space="preserve">no kopējās nozvejas tiktu izkrauta Savienības ostās; </w:t>
      </w:r>
    </w:p>
    <w:p w:rsidR="003E022D" w:rsidRDefault="007D19D6">
      <w:pPr>
        <w:rPr>
          <w:rFonts w:eastAsia="Calibri" w:cs="Times New Roman"/>
          <w:noProof/>
        </w:rPr>
      </w:pPr>
      <w:r>
        <w:rPr>
          <w:noProof/>
        </w:rPr>
        <w:t>b)</w:t>
      </w:r>
      <w:r>
        <w:rPr>
          <w:noProof/>
        </w:rPr>
        <w:tab/>
        <w:t xml:space="preserve">noteikt uzņēmuma minimālo lielumu, lai saglabātu gan nerūpnieciskās, gan piekrastes zvejas kuģus; </w:t>
      </w:r>
    </w:p>
    <w:p w:rsidR="003E022D" w:rsidRDefault="007D19D6">
      <w:pPr>
        <w:rPr>
          <w:rFonts w:eastAsia="Calibri" w:cs="Times New Roman"/>
          <w:noProof/>
        </w:rPr>
      </w:pPr>
      <w:r>
        <w:rPr>
          <w:noProof/>
        </w:rPr>
        <w:t>c)</w:t>
      </w:r>
      <w:r>
        <w:rPr>
          <w:noProof/>
        </w:rPr>
        <w:tab/>
        <w:t>piemērot atšķirīgu režīmu atbilstīgi spēkā esošiem vai turpmākiem divpusējiem zvejniecības nolīgu</w:t>
      </w:r>
      <w:r>
        <w:rPr>
          <w:noProof/>
        </w:rPr>
        <w:t>miem; un</w:t>
      </w:r>
    </w:p>
    <w:p w:rsidR="003E022D" w:rsidRDefault="007D19D6">
      <w:pPr>
        <w:rPr>
          <w:rFonts w:eastAsia="Calibri" w:cs="Times New Roman"/>
          <w:noProof/>
        </w:rPr>
      </w:pPr>
      <w:r>
        <w:rPr>
          <w:noProof/>
        </w:rPr>
        <w:t>d)</w:t>
      </w:r>
      <w:r>
        <w:rPr>
          <w:noProof/>
        </w:rPr>
        <w:tab/>
        <w:t xml:space="preserve">pieprasīt, ka dalībvalsts karoga kuģa apkalpei jābūt dalībvalstu valstspiederīgajiem. </w:t>
      </w:r>
    </w:p>
    <w:p w:rsidR="003E022D" w:rsidRDefault="007D19D6">
      <w:pPr>
        <w:rPr>
          <w:rFonts w:eastAsia="Calibri" w:cs="Times New Roman"/>
          <w:noProof/>
        </w:rPr>
      </w:pPr>
      <w:r>
        <w:rPr>
          <w:noProof/>
        </w:rPr>
        <w:t>2.</w:t>
      </w:r>
      <w:r>
        <w:rPr>
          <w:noProof/>
        </w:rPr>
        <w:tab/>
        <w:t>Zvejas kuģim ir tiesības kuģot ar dalībvalsts karogu tikai tad, ja:</w:t>
      </w:r>
    </w:p>
    <w:p w:rsidR="003E022D" w:rsidRDefault="007D19D6">
      <w:pPr>
        <w:rPr>
          <w:rFonts w:eastAsia="Calibri" w:cs="Times New Roman"/>
          <w:noProof/>
        </w:rPr>
      </w:pPr>
      <w:r>
        <w:rPr>
          <w:noProof/>
        </w:rPr>
        <w:t>a) tā vienīgais īpašnieks ir:</w:t>
      </w:r>
    </w:p>
    <w:p w:rsidR="003E022D" w:rsidRDefault="007D19D6">
      <w:pPr>
        <w:ind w:left="720"/>
        <w:rPr>
          <w:rFonts w:eastAsia="Calibri" w:cs="Times New Roman"/>
          <w:noProof/>
        </w:rPr>
      </w:pPr>
      <w:r>
        <w:rPr>
          <w:noProof/>
        </w:rPr>
        <w:t>i) Savienībā inkorporēti uzņēmumi; vai</w:t>
      </w:r>
    </w:p>
    <w:p w:rsidR="003E022D" w:rsidRDefault="007D19D6">
      <w:pPr>
        <w:ind w:left="720"/>
        <w:rPr>
          <w:rFonts w:eastAsia="Calibri" w:cs="Times New Roman"/>
          <w:noProof/>
        </w:rPr>
      </w:pPr>
      <w:r>
        <w:rPr>
          <w:noProof/>
        </w:rPr>
        <w:t>ii) dalībvalstu v</w:t>
      </w:r>
      <w:r>
        <w:rPr>
          <w:noProof/>
        </w:rPr>
        <w:t>alstspiederīgie;</w:t>
      </w:r>
    </w:p>
    <w:p w:rsidR="003E022D" w:rsidRDefault="007D19D6">
      <w:pPr>
        <w:rPr>
          <w:rFonts w:eastAsia="Calibri" w:cs="Times New Roman"/>
          <w:noProof/>
        </w:rPr>
      </w:pPr>
      <w:r>
        <w:rPr>
          <w:noProof/>
        </w:rPr>
        <w:t>b) tā ikdienas darbības tiek vadītas un kontrolētas no Savienības; un</w:t>
      </w:r>
    </w:p>
    <w:p w:rsidR="003E022D" w:rsidRDefault="007D19D6">
      <w:pPr>
        <w:rPr>
          <w:rFonts w:eastAsia="Calibri" w:cs="Times New Roman"/>
          <w:noProof/>
        </w:rPr>
      </w:pPr>
      <w:r>
        <w:rPr>
          <w:noProof/>
        </w:rPr>
        <w:t xml:space="preserve">c) kuģa fraktētājs, pārvaldnieks vai operators ir Savienībā inkorporēts uzņēmums vai dalībvalsts pilsonis. </w:t>
      </w:r>
    </w:p>
    <w:p w:rsidR="003E022D" w:rsidRDefault="007D19D6">
      <w:pPr>
        <w:rPr>
          <w:rFonts w:eastAsia="Calibri" w:cs="Times New Roman"/>
          <w:noProof/>
        </w:rPr>
      </w:pPr>
      <w:r>
        <w:rPr>
          <w:noProof/>
        </w:rPr>
        <w:t>3.</w:t>
      </w:r>
      <w:r>
        <w:rPr>
          <w:noProof/>
        </w:rPr>
        <w:tab/>
        <w:t>Komerczvejas licenci, ar ko piešķir tiesības zvejot dalībv</w:t>
      </w:r>
      <w:r>
        <w:rPr>
          <w:noProof/>
        </w:rPr>
        <w:t xml:space="preserve">alsts teritoriālajos ūdeņos, var piešķirt tikai kuģiem, kuri kuģo ar dalībvalsts karogu. </w:t>
      </w:r>
    </w:p>
    <w:p w:rsidR="003E022D" w:rsidRDefault="007D19D6">
      <w:pPr>
        <w:rPr>
          <w:rFonts w:eastAsia="Calibri" w:cs="Times New Roman"/>
          <w:noProof/>
        </w:rPr>
      </w:pPr>
      <w:r>
        <w:rPr>
          <w:noProof/>
        </w:rPr>
        <w:t>4.</w:t>
      </w:r>
      <w:r>
        <w:rPr>
          <w:noProof/>
        </w:rPr>
        <w:tab/>
        <w:t xml:space="preserve">Jūras vai iekšzemes akvakultūras objektu izveidošana. </w:t>
      </w:r>
    </w:p>
    <w:p w:rsidR="003E022D" w:rsidRDefault="007D19D6">
      <w:pPr>
        <w:rPr>
          <w:rFonts w:eastAsia="Calibri" w:cs="Times New Roman"/>
          <w:iCs/>
          <w:noProof/>
        </w:rPr>
      </w:pPr>
      <w:r>
        <w:rPr>
          <w:noProof/>
        </w:rPr>
        <w:t xml:space="preserve">5. </w:t>
      </w:r>
      <w:r>
        <w:rPr>
          <w:noProof/>
        </w:rPr>
        <w:tab/>
      </w:r>
      <w:r>
        <w:rPr>
          <w:noProof/>
          <w:highlight w:val="cyan"/>
        </w:rPr>
        <w:t>1. punkta a), b), c) apakšpunktu (izņemot attiecībā uz vislielākās labvēlības režīmu) un d) apakšpunktu,</w:t>
      </w:r>
      <w:r>
        <w:rPr>
          <w:noProof/>
          <w:highlight w:val="cyan"/>
        </w:rPr>
        <w:t xml:space="preserve"> </w:t>
      </w:r>
      <w:r>
        <w:rPr>
          <w:noProof/>
        </w:rPr>
        <w:t xml:space="preserve">kā arī </w:t>
      </w:r>
      <w:r>
        <w:rPr>
          <w:noProof/>
          <w:highlight w:val="cyan"/>
        </w:rPr>
        <w:t>2. punkta a) apakšpunkta i), b) un c) punktu un 3. punktu</w:t>
      </w:r>
      <w:r>
        <w:rPr>
          <w:noProof/>
        </w:rPr>
        <w:t xml:space="preserve"> piemēro tikai pasākumiem, kas piemērojami kuģiem vai uzņēmumiem neatkarīgi no to faktisko īpašnieku valstspiederības.</w:t>
      </w:r>
    </w:p>
    <w:bookmarkEnd w:id="1276"/>
    <w:p w:rsidR="003E022D" w:rsidRDefault="007D19D6">
      <w:pPr>
        <w:rPr>
          <w:rFonts w:cstheme="minorHAnsi"/>
          <w:noProof/>
          <w:u w:val="single"/>
        </w:rPr>
      </w:pPr>
      <w:r>
        <w:rPr>
          <w:noProof/>
          <w:u w:val="single"/>
        </w:rPr>
        <w:t>Attiecībā uz investīciju liberalizāciju – piekļuve tirgum:</w:t>
      </w:r>
    </w:p>
    <w:p w:rsidR="003E022D" w:rsidRDefault="007D19D6">
      <w:pPr>
        <w:rPr>
          <w:rFonts w:eastAsia="Calibri" w:cs="Times New Roman"/>
          <w:iCs/>
          <w:noProof/>
        </w:rPr>
      </w:pPr>
      <w:r>
        <w:rPr>
          <w:b/>
          <w:iCs/>
          <w:noProof/>
        </w:rPr>
        <w:t>FR</w:t>
      </w:r>
      <w:r>
        <w:rPr>
          <w:noProof/>
        </w:rPr>
        <w:t>: personas,</w:t>
      </w:r>
      <w:r>
        <w:rPr>
          <w:noProof/>
        </w:rPr>
        <w:t xml:space="preserve"> kas nav Eiropas Savienības valstspiederīgie, nevar iegūt līdzdalību Francijas piejūras valsts īpašumā zivju, gliemeņu vai aļģu audzēšanai. </w:t>
      </w:r>
    </w:p>
    <w:p w:rsidR="003E022D" w:rsidRDefault="007D19D6">
      <w:pPr>
        <w:rPr>
          <w:rFonts w:eastAsia="Calibri" w:cs="Times New Roman"/>
          <w:noProof/>
          <w:u w:val="single"/>
        </w:rPr>
      </w:pPr>
      <w:r>
        <w:rPr>
          <w:noProof/>
          <w:u w:val="single"/>
        </w:rPr>
        <w:t>Attiecībā uz investīciju liberalizāciju – piekļuve tirgum, valsts režīms, lielākās labvēlības režīms un pakalpojumu</w:t>
      </w:r>
      <w:r>
        <w:rPr>
          <w:noProof/>
          <w:u w:val="single"/>
        </w:rPr>
        <w:t xml:space="preserve"> pārrobežu tirdzniecība – piekļuve tirgum, valsts režīms </w:t>
      </w:r>
    </w:p>
    <w:p w:rsidR="003E022D" w:rsidRDefault="007D19D6">
      <w:pPr>
        <w:rPr>
          <w:rFonts w:eastAsia="Calibri" w:cs="Times New Roman"/>
          <w:iCs/>
          <w:noProof/>
        </w:rPr>
      </w:pPr>
      <w:r>
        <w:rPr>
          <w:b/>
          <w:iCs/>
          <w:noProof/>
        </w:rPr>
        <w:t>BG:</w:t>
      </w:r>
      <w:r>
        <w:rPr>
          <w:noProof/>
        </w:rPr>
        <w:t xml:space="preserve"> jūras un upju dzīvo resursu ieguve, ko ar kuģiem veic Bulgārijas iekšējos jūras ūdeņos un teritoriālajā jūrā, ir atļauta kuģiem ar Bulgārijas karogu. Ārvalstu kuģis nedrīkst veikt komerczveju Bu</w:t>
      </w:r>
      <w:r>
        <w:rPr>
          <w:noProof/>
        </w:rPr>
        <w:t xml:space="preserve">lgārijas ekskluzīvajā ekonomikas zonā, izņemot, ja to dara, pamatojoties uz Bulgārijas un kuģa karoga valsts nolīgumu. Kad ārvalstu zvejas kuģi caurbrauc Bulgārijas ekskluzīvo ekonomikas zonu, to zvejas rīki nedrīkst būt darbības režīmā. </w:t>
      </w:r>
    </w:p>
    <w:p w:rsidR="003E022D" w:rsidRDefault="007D19D6">
      <w:pPr>
        <w:rPr>
          <w:rFonts w:eastAsia="Calibri" w:cs="Times New Roman"/>
          <w:b/>
          <w:i/>
          <w:noProof/>
        </w:rPr>
      </w:pPr>
      <w:bookmarkStart w:id="1278" w:name="_Toc452504003"/>
      <w:r>
        <w:rPr>
          <w:b/>
          <w:i/>
          <w:noProof/>
        </w:rPr>
        <w:t>c)</w:t>
      </w:r>
      <w:r>
        <w:rPr>
          <w:noProof/>
        </w:rPr>
        <w:tab/>
      </w:r>
      <w:r>
        <w:rPr>
          <w:b/>
          <w:i/>
          <w:noProof/>
        </w:rPr>
        <w:t>Ūdens savākšan</w:t>
      </w:r>
      <w:r>
        <w:rPr>
          <w:b/>
          <w:i/>
          <w:noProof/>
        </w:rPr>
        <w:t>a, attīrīšana un sadale</w:t>
      </w:r>
      <w:bookmarkEnd w:id="1278"/>
      <w:r>
        <w:rPr>
          <w:b/>
          <w:noProof/>
        </w:rPr>
        <w:t xml:space="preserve"> </w:t>
      </w:r>
    </w:p>
    <w:p w:rsidR="003E022D" w:rsidRDefault="007D19D6">
      <w:pPr>
        <w:rPr>
          <w:rFonts w:eastAsia="Calibri" w:cs="Times New Roman"/>
          <w:iCs/>
          <w:noProof/>
          <w:u w:val="single"/>
        </w:rPr>
      </w:pPr>
      <w:r>
        <w:rPr>
          <w:noProof/>
          <w:u w:val="single"/>
        </w:rPr>
        <w:t xml:space="preserve">Attiecībā uz investīciju liberalizāciju – piekļuve tirgum, valsts režīms un pakalpojumu pārrobežu tirdzniecība – piekļuve tirgum, valsts režīms, klātbūtne uz vietas </w:t>
      </w:r>
    </w:p>
    <w:p w:rsidR="003E022D" w:rsidRDefault="007D19D6">
      <w:pPr>
        <w:rPr>
          <w:rFonts w:eastAsia="Calibri" w:cs="Times New Roman"/>
          <w:b/>
          <w:bCs/>
          <w:noProof/>
        </w:rPr>
      </w:pPr>
      <w:r>
        <w:rPr>
          <w:b/>
          <w:noProof/>
        </w:rPr>
        <w:t>EU</w:t>
      </w:r>
      <w:r>
        <w:rPr>
          <w:noProof/>
        </w:rPr>
        <w:t>:</w:t>
      </w:r>
      <w:r>
        <w:rPr>
          <w:b/>
          <w:noProof/>
        </w:rPr>
        <w:t xml:space="preserve"> </w:t>
      </w:r>
      <w:r>
        <w:rPr>
          <w:noProof/>
        </w:rPr>
        <w:t xml:space="preserve">attiecībā uz darbībām, kas ietver pakalpojumus saistībā ar ūdens savākšanu, attīrīšanu un sadali mājsaimniecībām, rūpnieciskajiem un komerciālajiem vai citiem lietotājiem, ieskaitot dzeramā ūdens piegādi, un ūdens resursu apsaimniekošanu.  </w:t>
      </w:r>
      <w:bookmarkStart w:id="1279" w:name="_Toc452504004"/>
      <w:bookmarkStart w:id="1280" w:name="_Toc479001646"/>
      <w:bookmarkStart w:id="1281" w:name="_Toc53746620"/>
      <w:r>
        <w:rPr>
          <w:noProof/>
        </w:rPr>
        <w:br w:type="page"/>
      </w:r>
    </w:p>
    <w:p w:rsidR="003E022D" w:rsidRDefault="007D19D6">
      <w:pPr>
        <w:rPr>
          <w:rFonts w:eastAsia="Calibri" w:cs="Times New Roman"/>
          <w:b/>
          <w:bCs/>
          <w:noProof/>
        </w:rPr>
      </w:pPr>
      <w:bookmarkStart w:id="1282" w:name="_Toc57917486"/>
      <w:r>
        <w:rPr>
          <w:b/>
          <w:bCs/>
          <w:noProof/>
        </w:rPr>
        <w:t>22. atruna. Ar</w:t>
      </w:r>
      <w:r>
        <w:rPr>
          <w:b/>
          <w:bCs/>
          <w:noProof/>
        </w:rPr>
        <w:t xml:space="preserve"> enerģiju saistītas darbības</w:t>
      </w:r>
      <w:bookmarkEnd w:id="1279"/>
      <w:bookmarkEnd w:id="1280"/>
      <w:bookmarkEnd w:id="1281"/>
      <w:bookmarkEnd w:id="1282"/>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Enerģijas ražošana un saistītie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 xml:space="preserve">ISIC 3.1. red. 10, 1110, 12, 120, 1200, 13, 14, 232, 233, 2330, 40, 401, 4010, 402, 4020, daļa no 4030, CPC 613, 62271, 63297, 7131, 71310, 742, 7422, </w:t>
            </w:r>
            <w:r>
              <w:rPr>
                <w:noProof/>
              </w:rPr>
              <w:t>daļa no 88, 887.</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w:t>
      </w:r>
      <w:r>
        <w:rPr>
          <w:noProof/>
        </w:rPr>
        <w:t xml:space="preserve">t vai atstāt spēkā jebkādu pasākumu attiecībā uz turpmāk minēto. </w:t>
      </w:r>
    </w:p>
    <w:p w:rsidR="003E022D" w:rsidRDefault="007D19D6">
      <w:pPr>
        <w:rPr>
          <w:rFonts w:eastAsia="Calibri" w:cs="Times New Roman"/>
          <w:b/>
          <w:i/>
          <w:noProof/>
        </w:rPr>
      </w:pPr>
      <w:r>
        <w:rPr>
          <w:b/>
          <w:bCs/>
          <w:i/>
          <w:noProof/>
        </w:rPr>
        <w:t>a)</w:t>
      </w:r>
      <w:r>
        <w:rPr>
          <w:noProof/>
        </w:rPr>
        <w:tab/>
      </w:r>
      <w:bookmarkStart w:id="1283" w:name="_Toc452504005"/>
      <w:r>
        <w:rPr>
          <w:b/>
          <w:bCs/>
          <w:i/>
          <w:noProof/>
        </w:rPr>
        <w:t>Energopakalpojumi – vispārīgi</w:t>
      </w:r>
      <w:bookmarkEnd w:id="1283"/>
      <w:r>
        <w:rPr>
          <w:b/>
          <w:i/>
          <w:noProof/>
        </w:rPr>
        <w:t xml:space="preserve"> (ISIC 3.1. red.10, 1110, 13, 14, 232, 40, 401, 402, daļa no 403, 41)</w:t>
      </w:r>
      <w:r>
        <w:rPr>
          <w:noProof/>
        </w:rPr>
        <w:t>;</w:t>
      </w:r>
      <w:r>
        <w:rPr>
          <w:b/>
          <w:i/>
          <w:noProof/>
        </w:rPr>
        <w:t xml:space="preserve"> CPC 613, 62271, 63297, 7131, 742, 7422, 887 (izņemot padomdevēju un konsultāciju pakalp</w:t>
      </w:r>
      <w:r>
        <w:rPr>
          <w:b/>
          <w:i/>
          <w:noProof/>
        </w:rPr>
        <w:t xml:space="preserve">ojumus)) </w:t>
      </w:r>
    </w:p>
    <w:p w:rsidR="003E022D" w:rsidRDefault="007D19D6">
      <w:pPr>
        <w:rPr>
          <w:rFonts w:eastAsia="Calibri" w:cs="Times New Roman"/>
          <w:iCs/>
          <w:noProof/>
          <w:u w:val="single"/>
        </w:rPr>
      </w:pPr>
      <w:r>
        <w:rPr>
          <w:noProof/>
          <w:u w:val="single"/>
        </w:rPr>
        <w:t xml:space="preserve">Attiecībā uz investīciju liberalizāciju – piekļuve tirgum, valsts režīms, augstākā vadība un direktoru padomes, veiktspējas prasības un pakalpojumu pārrobežu tirdzniecība – piekļuve tirgum, valsts režīms, klātbūtne uz vietas </w:t>
      </w:r>
    </w:p>
    <w:p w:rsidR="003E022D" w:rsidRDefault="007D19D6">
      <w:pPr>
        <w:rPr>
          <w:rFonts w:eastAsia="Calibri" w:cs="Times New Roman"/>
          <w:noProof/>
        </w:rPr>
      </w:pPr>
      <w:r>
        <w:rPr>
          <w:b/>
          <w:noProof/>
        </w:rPr>
        <w:t>EU</w:t>
      </w:r>
      <w:r>
        <w:rPr>
          <w:noProof/>
        </w:rPr>
        <w:t>: ja dalībvalsts a</w:t>
      </w:r>
      <w:r>
        <w:rPr>
          <w:noProof/>
        </w:rPr>
        <w:t>tļauj par gāzes vai elektroenerģijas pārvades sistēmas vai naftas un gāzes cauruļvadu transporta sistēmas īpašnieku kļūt ārvalstniekam, lai garantētu Savienības energoapgādes drošību kopumā vai atsevišķas dalībvalsts energoapgādes drošību, attiecībā uz tre</w:t>
      </w:r>
      <w:r>
        <w:rPr>
          <w:noProof/>
        </w:rPr>
        <w:t>šās valsts fizisku vai juridisku personu kontrolētiem Apvienotās Karalistes uzņēmumiem, kuri nodrošina vairāk nekā 5 procentus no Savienības importētā naftas, dabasgāzes vai elektroenerģijas apjoma. Šī atruna neattiecas uz padomdevēju un konsultāciju pakal</w:t>
      </w:r>
      <w:r>
        <w:rPr>
          <w:noProof/>
        </w:rPr>
        <w:t xml:space="preserve">pojumiem, ko sniedz kā pakalpojumus, kas saistīti ar enerģijas sadali. </w:t>
      </w:r>
    </w:p>
    <w:p w:rsidR="003E022D" w:rsidRDefault="007D19D6">
      <w:pPr>
        <w:rPr>
          <w:rFonts w:eastAsia="Calibri" w:cs="Times New Roman"/>
          <w:noProof/>
        </w:rPr>
      </w:pPr>
      <w:r>
        <w:rPr>
          <w:b/>
          <w:noProof/>
        </w:rPr>
        <w:t>HR</w:t>
      </w:r>
      <w:r>
        <w:rPr>
          <w:noProof/>
        </w:rPr>
        <w:t xml:space="preserve">, </w:t>
      </w:r>
      <w:r>
        <w:rPr>
          <w:b/>
          <w:noProof/>
        </w:rPr>
        <w:t>HU</w:t>
      </w:r>
      <w:r>
        <w:rPr>
          <w:noProof/>
        </w:rPr>
        <w:t xml:space="preserve"> un </w:t>
      </w:r>
      <w:r>
        <w:rPr>
          <w:b/>
          <w:noProof/>
        </w:rPr>
        <w:t>LT</w:t>
      </w:r>
      <w:r>
        <w:rPr>
          <w:noProof/>
        </w:rPr>
        <w:t xml:space="preserve"> (LT: tikai CPC 7131) šo atrunu nepiemēro degvielas vai kurināmā transportēšanai pa cauruļvadiem; </w:t>
      </w:r>
      <w:r>
        <w:rPr>
          <w:b/>
          <w:noProof/>
        </w:rPr>
        <w:t>LV</w:t>
      </w:r>
      <w:r>
        <w:rPr>
          <w:noProof/>
        </w:rPr>
        <w:t xml:space="preserve"> to nepiemēro ar enerģijas sadali saistītiem pakalpojumiem, savukārt </w:t>
      </w:r>
      <w:r>
        <w:rPr>
          <w:b/>
          <w:noProof/>
        </w:rPr>
        <w:t>SI</w:t>
      </w:r>
      <w:r>
        <w:rPr>
          <w:noProof/>
        </w:rPr>
        <w:t xml:space="preserve"> to neattiecina uz pakalpojumiem, kas saistīti ar gāzes sadali (ISIC. 3.1. red. 401, 402, CPC 7131, 887, izņemot padomdevēju un konsultāciju pakalpojumus). </w:t>
      </w:r>
    </w:p>
    <w:p w:rsidR="003E022D" w:rsidRDefault="007D19D6">
      <w:pPr>
        <w:rPr>
          <w:rFonts w:eastAsia="Calibri" w:cs="Times New Roman"/>
          <w:noProof/>
        </w:rPr>
      </w:pPr>
      <w:r>
        <w:rPr>
          <w:b/>
          <w:noProof/>
        </w:rPr>
        <w:t>CY:</w:t>
      </w:r>
      <w:r>
        <w:rPr>
          <w:noProof/>
        </w:rPr>
        <w:t xml:space="preserve"> attiecībā uz naftas pārstrādes produktu ražošanu, ciktāl investoru kontrolē tādas trešās valsts fiziska vai juridiska persona, kas nodrošina vairāk nekā 5 % no Savienībā importētās naftas vai dabasgāzes apjoma, kā arī attiecībā uz gāzes ražošanu, gāzveida</w:t>
      </w:r>
      <w:r>
        <w:rPr>
          <w:noProof/>
        </w:rPr>
        <w:t xml:space="preserve"> degvielas sadali pa cauruļvadiem par saviem līdzekļiem, elektroenerģijas ražošanu, pārvadi un sadali, degvielas vai kurināmā transportēšanu pa cauruļvadiem, ar elektroenerģijas un dabasgāzes sadali saistītiem pakalpojumiem, kas nav padomdevēju un konsultā</w:t>
      </w:r>
      <w:r>
        <w:rPr>
          <w:noProof/>
        </w:rPr>
        <w:t xml:space="preserve">ciju pakalpojumi, elektroenerģijas vairumtirdzniecības pakalpojumiem, degvielas, elektroenerģijas un gāzes, kas nav balonu gāze, mazumtirdzniecības pakalpojumiem. Uz pakalpojumiem, kas saistīti ar elektroenerģiju, attiecas valstspiederības un dzīvesvietas </w:t>
      </w:r>
      <w:r>
        <w:rPr>
          <w:noProof/>
        </w:rPr>
        <w:t xml:space="preserve">nosacījumi. (ISIC 3.1. red. 232, 4010, 4020, CPC 613, 62271, 63297, 7131, un 887, izņemot padomdevēju un konsultāciju pakalpojumus) </w:t>
      </w:r>
    </w:p>
    <w:p w:rsidR="003E022D" w:rsidRDefault="007D19D6">
      <w:pPr>
        <w:rPr>
          <w:rFonts w:eastAsia="Calibri" w:cs="Times New Roman"/>
          <w:noProof/>
        </w:rPr>
      </w:pPr>
      <w:r>
        <w:rPr>
          <w:b/>
          <w:noProof/>
        </w:rPr>
        <w:t>FI:</w:t>
      </w:r>
      <w:r>
        <w:rPr>
          <w:noProof/>
        </w:rPr>
        <w:t xml:space="preserve"> enerģijas un tvaika un karstā ūdens pārvades un sadales tīkli un sistēmas. </w:t>
      </w:r>
    </w:p>
    <w:p w:rsidR="003E022D" w:rsidRDefault="007D19D6">
      <w:pPr>
        <w:rPr>
          <w:rFonts w:eastAsia="Calibri" w:cs="Times New Roman"/>
          <w:noProof/>
        </w:rPr>
      </w:pPr>
      <w:r>
        <w:rPr>
          <w:b/>
          <w:noProof/>
        </w:rPr>
        <w:t>FI</w:t>
      </w:r>
      <w:r>
        <w:rPr>
          <w:noProof/>
        </w:rPr>
        <w:t xml:space="preserve">: kvantitatīvi ierobežojumi monopolu vai </w:t>
      </w:r>
      <w:r>
        <w:rPr>
          <w:noProof/>
        </w:rPr>
        <w:t xml:space="preserve">ekskluzīvu tiesību veidā attiecībā uz dabasgāzes importēšanu, kā arī ūdens tvaika un karstā ūdens ražošanu un sadali. Pašlaik pastāv dabiski monopoli un ekskluzīvas tiesības (ISIC. 3.1. red. 40, CPC 7131, 887, kas neattiecas uz padomdevēju un konsultāciju </w:t>
      </w:r>
      <w:r>
        <w:rPr>
          <w:noProof/>
        </w:rPr>
        <w:t xml:space="preserve">pakalpojumiem).  </w:t>
      </w:r>
    </w:p>
    <w:p w:rsidR="003E022D" w:rsidRDefault="007D19D6">
      <w:pPr>
        <w:rPr>
          <w:rFonts w:eastAsia="Calibri" w:cs="Times New Roman"/>
          <w:noProof/>
        </w:rPr>
      </w:pPr>
      <w:r>
        <w:rPr>
          <w:b/>
          <w:noProof/>
        </w:rPr>
        <w:t>FR:</w:t>
      </w:r>
      <w:r>
        <w:rPr>
          <w:noProof/>
        </w:rPr>
        <w:t xml:space="preserve"> elektroenerģijas un gāzes pārvades sistēmas un naftas un gāzes cauruļvadu sistēmas (CPC 7131). </w:t>
      </w:r>
    </w:p>
    <w:p w:rsidR="003E022D" w:rsidRDefault="007D19D6">
      <w:pPr>
        <w:rPr>
          <w:rFonts w:eastAsia="Calibri" w:cs="Times New Roman"/>
          <w:iCs/>
          <w:noProof/>
          <w:u w:val="single"/>
        </w:rPr>
      </w:pPr>
      <w:r>
        <w:rPr>
          <w:noProof/>
          <w:u w:val="single"/>
        </w:rPr>
        <w:t>Attiecībā uz investīciju liberalizāciju – piekļuve tirgum, valsts režīms, augstākā vadība un direktoru padomes un pakalpojumu pārrobežu ti</w:t>
      </w:r>
      <w:r>
        <w:rPr>
          <w:noProof/>
          <w:u w:val="single"/>
        </w:rPr>
        <w:t xml:space="preserve">rdzniecība – piekļuve tirgum, valsts režīms, klātbūtne uz vietas </w:t>
      </w:r>
    </w:p>
    <w:p w:rsidR="003E022D" w:rsidRDefault="007D19D6">
      <w:pPr>
        <w:rPr>
          <w:rFonts w:eastAsia="Calibri" w:cs="Times New Roman"/>
          <w:noProof/>
        </w:rPr>
      </w:pPr>
      <w:r>
        <w:rPr>
          <w:b/>
          <w:noProof/>
        </w:rPr>
        <w:t>BE:</w:t>
      </w:r>
      <w:r>
        <w:rPr>
          <w:noProof/>
        </w:rPr>
        <w:t xml:space="preserve"> enerģijas sadales pakalpojumi un ar enerģijas sadali saistīti pakalpojumi (CPC 887, izņemot konsultāciju pakalpojumus). </w:t>
      </w:r>
    </w:p>
    <w:p w:rsidR="003E022D" w:rsidRDefault="007D19D6">
      <w:pPr>
        <w:rPr>
          <w:rFonts w:eastAsia="Calibri" w:cs="Times New Roman"/>
          <w:noProof/>
          <w:u w:val="single"/>
        </w:rPr>
      </w:pPr>
      <w:r>
        <w:rPr>
          <w:noProof/>
          <w:u w:val="single"/>
        </w:rPr>
        <w:t>Attiecībā uz investīciju liberalizāciju – piekļuve tirgum, valsts</w:t>
      </w:r>
      <w:r>
        <w:rPr>
          <w:noProof/>
          <w:u w:val="single"/>
        </w:rPr>
        <w:t xml:space="preserve"> režīms un pakalpojumu pārrobežu tirdzniecība – valsts režīms, klātbūtne uz vietas </w:t>
      </w:r>
    </w:p>
    <w:p w:rsidR="003E022D" w:rsidRDefault="007D19D6">
      <w:pPr>
        <w:rPr>
          <w:rFonts w:eastAsia="Calibri" w:cs="Times New Roman"/>
          <w:noProof/>
        </w:rPr>
      </w:pPr>
      <w:r>
        <w:rPr>
          <w:b/>
          <w:noProof/>
        </w:rPr>
        <w:t>BE:</w:t>
      </w:r>
      <w:r>
        <w:rPr>
          <w:noProof/>
        </w:rPr>
        <w:t xml:space="preserve"> attiecībā uz enerģijas pārvades pakalpojumiem saistībā ar juridisko vienību veidiem un režīmu, ko piemēro publiskiem vai privātiem operatoriem, kam </w:t>
      </w:r>
      <w:r>
        <w:rPr>
          <w:b/>
          <w:noProof/>
        </w:rPr>
        <w:t>BE</w:t>
      </w:r>
      <w:r>
        <w:rPr>
          <w:noProof/>
        </w:rPr>
        <w:t xml:space="preserve"> ir piešķīrusi eks</w:t>
      </w:r>
      <w:r>
        <w:rPr>
          <w:noProof/>
        </w:rPr>
        <w:t xml:space="preserve">kluzīvas tiesības. Nepieciešams izveidot uzņēmumu Savienībā (ISIC 3.1. red. 4010, CPC 71310). </w:t>
      </w:r>
    </w:p>
    <w:p w:rsidR="003E022D" w:rsidRDefault="007D19D6">
      <w:pPr>
        <w:rPr>
          <w:rFonts w:eastAsia="Calibri" w:cs="Times New Roman"/>
          <w:noProof/>
        </w:rPr>
      </w:pPr>
      <w:r>
        <w:rPr>
          <w:b/>
          <w:noProof/>
        </w:rPr>
        <w:t>BG:</w:t>
      </w:r>
      <w:r>
        <w:rPr>
          <w:noProof/>
        </w:rPr>
        <w:t xml:space="preserve"> ar enerģijas sadali saistīti konsultāciju pakalpojumi (daļa no CPC 88). </w:t>
      </w:r>
    </w:p>
    <w:p w:rsidR="003E022D" w:rsidRDefault="007D19D6">
      <w:pPr>
        <w:rPr>
          <w:rFonts w:eastAsia="Calibri" w:cs="Times New Roman"/>
          <w:noProof/>
        </w:rPr>
      </w:pPr>
      <w:r>
        <w:rPr>
          <w:b/>
          <w:noProof/>
        </w:rPr>
        <w:t>PT:</w:t>
      </w:r>
      <w:r>
        <w:rPr>
          <w:noProof/>
        </w:rPr>
        <w:t xml:space="preserve"> attiecībā uz elektroenerģijas ražošanu, pārvadi un sadali, gāzes ražošanu, degvi</w:t>
      </w:r>
      <w:r>
        <w:rPr>
          <w:noProof/>
        </w:rPr>
        <w:t>elas vai kurināmā transportēšanu pa cauruļvadiem, elektroenerģijas vairumtirdzniecības pakalpojumiem, elektroenerģijas un gāzes, kas nav balonu gāze, mazumtirdzniecības pakalpojumiem, kā arī pakalpojumiem, kas saistīti ar elektroenerģijas un dabasgāzes sad</w:t>
      </w:r>
      <w:r>
        <w:rPr>
          <w:noProof/>
        </w:rPr>
        <w:t xml:space="preserve">ali. Koncesijas attiecībā uz elektroenerģijas un gāzes nozari tiek piešķirtas tikai sabiedrībām ar ierobežotu atbildību, kuru galvenais birojs un faktiskā vadība atrodas </w:t>
      </w:r>
      <w:r>
        <w:rPr>
          <w:b/>
          <w:noProof/>
        </w:rPr>
        <w:t>PT</w:t>
      </w:r>
      <w:r>
        <w:rPr>
          <w:noProof/>
        </w:rPr>
        <w:t xml:space="preserve"> (ISIC 3.1. red. 232, 4010, 4020, CPC 7131, 7422, 887, izņemot padomdevēju un konsul</w:t>
      </w:r>
      <w:r>
        <w:rPr>
          <w:noProof/>
        </w:rPr>
        <w:t xml:space="preserve">tāciju pakalpojumus). </w:t>
      </w:r>
    </w:p>
    <w:p w:rsidR="003E022D" w:rsidRDefault="007D19D6">
      <w:pPr>
        <w:rPr>
          <w:rFonts w:eastAsia="Calibri" w:cs="Times New Roman"/>
          <w:noProof/>
        </w:rPr>
      </w:pPr>
      <w:r>
        <w:rPr>
          <w:b/>
          <w:noProof/>
        </w:rPr>
        <w:t>SK:</w:t>
      </w:r>
      <w:r>
        <w:rPr>
          <w:noProof/>
        </w:rPr>
        <w:t xml:space="preserve"> lai varētu sniegt tādus pakalpojumus kā elektroenerģijas ražošana, pārvade un sadale, gāzes ražošana un gāzveida degvielas vai kurināmā ražošana, ūdens tvaika un karstā ūdens ražošana un sadale, degvielas vai kurināmā transportēš</w:t>
      </w:r>
      <w:r>
        <w:rPr>
          <w:noProof/>
        </w:rPr>
        <w:t>ana pa cauruļvadiem, elektroenerģijas, ūdens tvaika un karstā ūdens vairumtirdzniecība un mazumtirdzniecība un ar enerģijas sadali saistītus pakalpojumus, tostarp energoefektivitātes, energotaupības un energoaudita jomā, ir jāsaņem atļauja. Tiek veikta eko</w:t>
      </w:r>
      <w:r>
        <w:rPr>
          <w:noProof/>
        </w:rPr>
        <w:t xml:space="preserve">nomisko vajadzību pārbaude, un pieteikumu drīkst noraidīt tikai tad, ja tirgus ir piesātināts. Visām minētajām darbībām atļauju var piešķirt tikai fiziskai personai, kuras pastāvīgā dzīvesvieta ir EEZ, vai EEZ juridiskai personai.  </w:t>
      </w:r>
    </w:p>
    <w:p w:rsidR="003E022D" w:rsidRDefault="007D19D6">
      <w:pPr>
        <w:rPr>
          <w:rFonts w:eastAsia="Calibri" w:cs="Times New Roman"/>
          <w:noProof/>
          <w:u w:val="single"/>
        </w:rPr>
      </w:pPr>
      <w:r>
        <w:rPr>
          <w:noProof/>
          <w:u w:val="single"/>
        </w:rPr>
        <w:t>Attiecībā uz investīcij</w:t>
      </w:r>
      <w:r>
        <w:rPr>
          <w:noProof/>
          <w:u w:val="single"/>
        </w:rPr>
        <w:t xml:space="preserve">u liberalizāciju – piekļuve tirgum, valsts režīms </w:t>
      </w:r>
    </w:p>
    <w:p w:rsidR="003E022D" w:rsidRDefault="007D19D6">
      <w:pPr>
        <w:rPr>
          <w:rFonts w:eastAsia="Calibri" w:cs="Times New Roman"/>
          <w:noProof/>
        </w:rPr>
      </w:pPr>
      <w:r>
        <w:rPr>
          <w:b/>
          <w:noProof/>
        </w:rPr>
        <w:t>BE</w:t>
      </w:r>
      <w:r>
        <w:rPr>
          <w:noProof/>
        </w:rPr>
        <w:t>: tādu trešās valsts fizisku vai juridisku personu kontrolētiem uzņēmumiem, kas veido vairāk nekā 5 procentus no Eiropas Savienības naftas, dabasgāzes vai elektroenerģijas importa apmēra, var būt aizlieg</w:t>
      </w:r>
      <w:r>
        <w:rPr>
          <w:noProof/>
        </w:rPr>
        <w:t xml:space="preserve">ts iegūt kontroli pār šādu darbību, izņemot metāla rūdu ieguvi un citu ieguves rūpniecību un karjeru izstrādi. Vajadzīga inkorporācija (filiāles nav atļautas) (ISIC 3.1. red. 10, 1110, 13, 14, 232, daļa no 4010, daļa no 4020, daļa no 4030). </w:t>
      </w:r>
    </w:p>
    <w:p w:rsidR="003E022D" w:rsidRDefault="007D19D6">
      <w:pPr>
        <w:rPr>
          <w:rFonts w:eastAsia="Calibri" w:cs="Times New Roman"/>
          <w:b/>
          <w:i/>
          <w:noProof/>
        </w:rPr>
      </w:pPr>
      <w:r>
        <w:rPr>
          <w:b/>
          <w:i/>
          <w:noProof/>
        </w:rPr>
        <w:t>Esošie pasākum</w:t>
      </w:r>
      <w:r>
        <w:rPr>
          <w:b/>
          <w:i/>
          <w:noProof/>
        </w:rPr>
        <w:t xml:space="preserve">i </w:t>
      </w:r>
    </w:p>
    <w:p w:rsidR="003E022D" w:rsidRDefault="007D19D6">
      <w:pPr>
        <w:rPr>
          <w:rFonts w:eastAsia="Calibri" w:cs="Times New Roman"/>
          <w:noProof/>
        </w:rPr>
      </w:pPr>
      <w:r>
        <w:rPr>
          <w:b/>
          <w:noProof/>
        </w:rPr>
        <w:t>EU</w:t>
      </w:r>
      <w:r>
        <w:rPr>
          <w:noProof/>
        </w:rPr>
        <w:t xml:space="preserve">: Eiropas Parlamenta un Padomes Direktīva 2009/72/EK (2009. gada 13. jūlijs) par kopīgiem noteikumiem attiecībā uz elektroenerģijas iekšējo tirgu un par Direktīvas </w:t>
      </w:r>
    </w:p>
    <w:p w:rsidR="003E022D" w:rsidRDefault="007D19D6">
      <w:pPr>
        <w:rPr>
          <w:rFonts w:eastAsia="Calibri" w:cs="Times New Roman"/>
          <w:noProof/>
        </w:rPr>
      </w:pPr>
      <w:r>
        <w:rPr>
          <w:noProof/>
        </w:rPr>
        <w:t xml:space="preserve">2003/54/EK atcelšanu un </w:t>
      </w:r>
    </w:p>
    <w:p w:rsidR="003E022D" w:rsidRDefault="007D19D6">
      <w:pPr>
        <w:rPr>
          <w:rFonts w:eastAsia="Calibri" w:cs="Times New Roman"/>
          <w:noProof/>
        </w:rPr>
      </w:pPr>
      <w:r>
        <w:rPr>
          <w:noProof/>
        </w:rPr>
        <w:t>Eiropas Parlamenta un Padomes Direktīva 2009/73/EK (2009. gad</w:t>
      </w:r>
      <w:r>
        <w:rPr>
          <w:noProof/>
        </w:rPr>
        <w:t xml:space="preserve">a 13. jūlijs) par kopīgiem noteikumiem attiecībā uz dabasgāzes iekšējo tirgu un par Direktīvas 2003/55/EK atcelšanu. </w:t>
      </w:r>
    </w:p>
    <w:p w:rsidR="003E022D" w:rsidRDefault="007D19D6">
      <w:pPr>
        <w:rPr>
          <w:rFonts w:eastAsia="Calibri" w:cs="Times New Roman"/>
          <w:noProof/>
        </w:rPr>
      </w:pPr>
      <w:r>
        <w:rPr>
          <w:b/>
          <w:noProof/>
        </w:rPr>
        <w:t>BG</w:t>
      </w:r>
      <w:r>
        <w:rPr>
          <w:noProof/>
        </w:rPr>
        <w:t xml:space="preserve">: Enerģētikas likums. </w:t>
      </w:r>
    </w:p>
    <w:p w:rsidR="003E022D" w:rsidRDefault="007D19D6">
      <w:pPr>
        <w:rPr>
          <w:rFonts w:eastAsia="Calibri" w:cs="Times New Roman"/>
          <w:noProof/>
        </w:rPr>
      </w:pPr>
      <w:r>
        <w:rPr>
          <w:b/>
          <w:noProof/>
        </w:rPr>
        <w:t>CY</w:t>
      </w:r>
      <w:r>
        <w:rPr>
          <w:noProof/>
        </w:rPr>
        <w:t xml:space="preserve">: 2003. gada Elektroenerģijas tirgus regulējums, Likums 122(I)/2003, ar grozījumiem; </w:t>
      </w:r>
    </w:p>
    <w:p w:rsidR="003E022D" w:rsidRDefault="007D19D6">
      <w:pPr>
        <w:rPr>
          <w:rFonts w:eastAsia="Calibri" w:cs="Times New Roman"/>
          <w:noProof/>
        </w:rPr>
      </w:pPr>
      <w:r>
        <w:rPr>
          <w:noProof/>
        </w:rPr>
        <w:t>2004. gada Gāzes tirgus l</w:t>
      </w:r>
      <w:r>
        <w:rPr>
          <w:noProof/>
        </w:rPr>
        <w:t xml:space="preserve">ikumu regulējums, Likums 183(I)/2004, ar grozījumiem; </w:t>
      </w:r>
    </w:p>
    <w:p w:rsidR="003E022D" w:rsidRDefault="007D19D6">
      <w:pPr>
        <w:rPr>
          <w:rFonts w:eastAsia="Calibri" w:cs="Times New Roman"/>
          <w:noProof/>
        </w:rPr>
      </w:pPr>
      <w:r>
        <w:rPr>
          <w:noProof/>
        </w:rPr>
        <w:t xml:space="preserve">Naftas (cauruļvadu) likums, 273. nodaļa; </w:t>
      </w:r>
    </w:p>
    <w:p w:rsidR="003E022D" w:rsidRDefault="007D19D6">
      <w:pPr>
        <w:rPr>
          <w:rFonts w:eastAsia="Calibri" w:cs="Times New Roman"/>
          <w:noProof/>
        </w:rPr>
      </w:pPr>
      <w:r>
        <w:rPr>
          <w:noProof/>
        </w:rPr>
        <w:t xml:space="preserve">Naftas likums, 272. nodaļa, ar grozījumiem un </w:t>
      </w:r>
    </w:p>
    <w:p w:rsidR="003E022D" w:rsidRDefault="007D19D6">
      <w:pPr>
        <w:rPr>
          <w:rFonts w:eastAsia="Calibri" w:cs="Times New Roman"/>
          <w:noProof/>
        </w:rPr>
      </w:pPr>
      <w:r>
        <w:rPr>
          <w:noProof/>
        </w:rPr>
        <w:t xml:space="preserve">2003. gada Naftas un degvielas specifikāciju akti, Likums 148(I)/2003, ar grozījumiem . </w:t>
      </w:r>
    </w:p>
    <w:p w:rsidR="003E022D" w:rsidRDefault="007D19D6">
      <w:pPr>
        <w:rPr>
          <w:rFonts w:eastAsia="Calibri" w:cs="Times New Roman"/>
          <w:noProof/>
        </w:rPr>
      </w:pPr>
      <w:r>
        <w:rPr>
          <w:b/>
          <w:noProof/>
        </w:rPr>
        <w:t>FI</w:t>
      </w:r>
      <w:r>
        <w:rPr>
          <w:noProof/>
        </w:rPr>
        <w:t xml:space="preserve">: </w:t>
      </w:r>
      <w:r>
        <w:rPr>
          <w:i/>
          <w:noProof/>
        </w:rPr>
        <w:t>Maakaasumarkkinalaki</w:t>
      </w:r>
      <w:r>
        <w:rPr>
          <w:noProof/>
        </w:rPr>
        <w:t xml:space="preserve"> (Dabasgāzes tirgus likums) (508/2000); </w:t>
      </w:r>
      <w:r>
        <w:rPr>
          <w:i/>
          <w:noProof/>
        </w:rPr>
        <w:t>Sähkömarkkinalaki</w:t>
      </w:r>
      <w:r>
        <w:rPr>
          <w:noProof/>
        </w:rPr>
        <w:t xml:space="preserve"> (Elektroenerģijas tirgus likums) (386/1995); </w:t>
      </w:r>
      <w:r>
        <w:rPr>
          <w:i/>
          <w:noProof/>
        </w:rPr>
        <w:t>Maakaasumarkkinalaki</w:t>
      </w:r>
      <w:r>
        <w:rPr>
          <w:noProof/>
        </w:rPr>
        <w:t xml:space="preserve"> (Dabasgāzes tirgus likums) (587/2017).</w:t>
      </w:r>
    </w:p>
    <w:p w:rsidR="003E022D" w:rsidRDefault="007D19D6">
      <w:pPr>
        <w:rPr>
          <w:rFonts w:eastAsia="Calibri" w:cs="Times New Roman"/>
          <w:noProof/>
        </w:rPr>
      </w:pPr>
      <w:r>
        <w:rPr>
          <w:b/>
          <w:noProof/>
        </w:rPr>
        <w:t>FR</w:t>
      </w:r>
      <w:r>
        <w:rPr>
          <w:noProof/>
        </w:rPr>
        <w:t xml:space="preserve">: </w:t>
      </w:r>
      <w:r>
        <w:rPr>
          <w:i/>
          <w:noProof/>
        </w:rPr>
        <w:t>Code de l’énergie</w:t>
      </w:r>
      <w:r>
        <w:rPr>
          <w:noProof/>
        </w:rPr>
        <w:t xml:space="preserve">. </w:t>
      </w:r>
    </w:p>
    <w:p w:rsidR="003E022D" w:rsidRDefault="007D19D6">
      <w:pPr>
        <w:rPr>
          <w:rFonts w:eastAsia="Calibri" w:cs="Times New Roman"/>
          <w:noProof/>
        </w:rPr>
      </w:pPr>
      <w:r>
        <w:rPr>
          <w:b/>
          <w:noProof/>
        </w:rPr>
        <w:t>PT</w:t>
      </w:r>
      <w:r>
        <w:rPr>
          <w:noProof/>
        </w:rPr>
        <w:t>: Dekrētlikums Nr. 230/2012 un Dekrētlikums Nr.</w:t>
      </w:r>
      <w:r>
        <w:rPr>
          <w:noProof/>
        </w:rPr>
        <w:t xml:space="preserve"> 231/2012, 26. oktobris, dabasgāze; Dekrētlikums Nr. 215-A/2012 un Dekrētlikums Nr. 215-B/2012, 8. oktobris, elektroenerģija; Dekrētlikums Nr. 31/2006, 15. februāris, jēlnaftas/naftas produkti. </w:t>
      </w:r>
    </w:p>
    <w:p w:rsidR="003E022D" w:rsidRDefault="007D19D6">
      <w:pPr>
        <w:rPr>
          <w:rFonts w:eastAsia="Calibri" w:cs="Times New Roman"/>
          <w:noProof/>
        </w:rPr>
      </w:pPr>
      <w:r>
        <w:rPr>
          <w:b/>
          <w:noProof/>
        </w:rPr>
        <w:t>SK</w:t>
      </w:r>
      <w:r>
        <w:rPr>
          <w:noProof/>
        </w:rPr>
        <w:t>: Likums 51/1988 par ieguvi, sprāgstvielām un Valsts Ieguve</w:t>
      </w:r>
      <w:r>
        <w:rPr>
          <w:noProof/>
        </w:rPr>
        <w:t xml:space="preserve">s pārvaldi; </w:t>
      </w:r>
    </w:p>
    <w:p w:rsidR="003E022D" w:rsidRDefault="007D19D6">
      <w:pPr>
        <w:rPr>
          <w:rFonts w:eastAsia="Calibri" w:cs="Times New Roman"/>
          <w:noProof/>
        </w:rPr>
      </w:pPr>
      <w:r>
        <w:rPr>
          <w:noProof/>
        </w:rPr>
        <w:t xml:space="preserve">Likums Nr. 569/2007 par ģeoloģiskajiem darbiem; </w:t>
      </w:r>
    </w:p>
    <w:p w:rsidR="003E022D" w:rsidRDefault="007D19D6">
      <w:pPr>
        <w:rPr>
          <w:rFonts w:eastAsia="Calibri" w:cs="Times New Roman"/>
          <w:noProof/>
        </w:rPr>
      </w:pPr>
      <w:r>
        <w:rPr>
          <w:noProof/>
        </w:rPr>
        <w:t xml:space="preserve">Likums Nr. 251/2012 par enerģētiku; un Likums 657/2004 par termālo enerģiju. </w:t>
      </w:r>
    </w:p>
    <w:p w:rsidR="003E022D" w:rsidRDefault="007D19D6">
      <w:pPr>
        <w:rPr>
          <w:rFonts w:eastAsia="Calibri" w:cs="Times New Roman"/>
          <w:b/>
          <w:i/>
          <w:noProof/>
        </w:rPr>
      </w:pPr>
      <w:r>
        <w:rPr>
          <w:b/>
          <w:bCs/>
          <w:i/>
          <w:noProof/>
        </w:rPr>
        <w:t>b)</w:t>
      </w:r>
      <w:r>
        <w:rPr>
          <w:noProof/>
        </w:rPr>
        <w:tab/>
      </w:r>
      <w:bookmarkStart w:id="1284" w:name="_Toc452504006"/>
      <w:r>
        <w:rPr>
          <w:b/>
          <w:bCs/>
          <w:i/>
          <w:noProof/>
        </w:rPr>
        <w:t>Elektroenerģija</w:t>
      </w:r>
      <w:bookmarkEnd w:id="1284"/>
      <w:r>
        <w:rPr>
          <w:b/>
          <w:i/>
          <w:noProof/>
        </w:rPr>
        <w:t xml:space="preserve"> (ISIC 3.1. red. 40, 401; CPC 62271, 887 (izņemot padomdevēju un konsultāciju pakalpojumus)) </w:t>
      </w:r>
    </w:p>
    <w:p w:rsidR="003E022D" w:rsidRDefault="007D19D6">
      <w:pPr>
        <w:rPr>
          <w:rFonts w:eastAsia="Calibri" w:cs="Times New Roman"/>
          <w:iCs/>
          <w:noProof/>
          <w:u w:val="single"/>
        </w:rPr>
      </w:pPr>
      <w:r>
        <w:rPr>
          <w:noProof/>
          <w:u w:val="single"/>
        </w:rPr>
        <w:t xml:space="preserve">Attiecībā uz investīciju liberalizāciju – piekļuve tirgum, valsts režīms, augstākā vadība un direktoru padomes, veiktspējas prasības un pakalpojumu pārrobežu tirdzniecība – piekļuve tirgum, valsts režīms </w:t>
      </w:r>
    </w:p>
    <w:p w:rsidR="003E022D" w:rsidRDefault="007D19D6">
      <w:pPr>
        <w:rPr>
          <w:rFonts w:eastAsia="Calibri" w:cs="Times New Roman"/>
          <w:noProof/>
        </w:rPr>
      </w:pPr>
      <w:r>
        <w:rPr>
          <w:b/>
          <w:noProof/>
        </w:rPr>
        <w:t>FI</w:t>
      </w:r>
      <w:r>
        <w:rPr>
          <w:noProof/>
        </w:rPr>
        <w:t>: elektroenerģijas imports. Attiecībā uz pārrobež</w:t>
      </w:r>
      <w:r>
        <w:rPr>
          <w:noProof/>
        </w:rPr>
        <w:t xml:space="preserve">u tirdzniecību, elektroenerģijas vairumtirdzniecību un mazumtirdzniecību. </w:t>
      </w:r>
    </w:p>
    <w:p w:rsidR="003E022D" w:rsidRDefault="007D19D6">
      <w:pPr>
        <w:rPr>
          <w:rFonts w:eastAsia="Calibri" w:cs="Times New Roman"/>
          <w:noProof/>
        </w:rPr>
      </w:pPr>
      <w:r>
        <w:rPr>
          <w:b/>
          <w:noProof/>
        </w:rPr>
        <w:t>FR:</w:t>
      </w:r>
      <w:r>
        <w:rPr>
          <w:noProof/>
        </w:rPr>
        <w:t xml:space="preserve"> par elektroenerģijas pārvades vai sadales sistēmu īpašniekiem vai operatoriem drīkst kļūt tikai tādi uzņēmumi, kuros 100 procenti kapitāla pieder Francijas valstij, citai publis</w:t>
      </w:r>
      <w:r>
        <w:rPr>
          <w:noProof/>
        </w:rPr>
        <w:t xml:space="preserve">kā sektora organizācijai vai </w:t>
      </w:r>
      <w:r>
        <w:rPr>
          <w:i/>
          <w:noProof/>
        </w:rPr>
        <w:t>Electricité de France</w:t>
      </w:r>
      <w:r>
        <w:rPr>
          <w:noProof/>
        </w:rPr>
        <w:t xml:space="preserve"> (EDF). </w:t>
      </w:r>
    </w:p>
    <w:p w:rsidR="003E022D" w:rsidRDefault="007D19D6">
      <w:pPr>
        <w:rPr>
          <w:rFonts w:eastAsia="Calibri" w:cs="Times New Roman"/>
          <w:iCs/>
          <w:noProof/>
          <w:u w:val="single"/>
        </w:rPr>
      </w:pPr>
      <w:r>
        <w:rPr>
          <w:noProof/>
          <w:u w:val="single"/>
        </w:rPr>
        <w:t xml:space="preserve">Attiecībā uz investīciju liberalizāciju – piekļuve tirgum, valsts režīms un pakalpojumu pārrobežu tirdzniecība – piekļuve tirgum, valsts režīms </w:t>
      </w:r>
    </w:p>
    <w:p w:rsidR="003E022D" w:rsidRDefault="007D19D6">
      <w:pPr>
        <w:rPr>
          <w:rFonts w:eastAsia="Calibri" w:cs="Times New Roman"/>
          <w:noProof/>
        </w:rPr>
      </w:pPr>
      <w:r>
        <w:rPr>
          <w:b/>
          <w:noProof/>
        </w:rPr>
        <w:t>BG:</w:t>
      </w:r>
      <w:r>
        <w:rPr>
          <w:noProof/>
        </w:rPr>
        <w:t xml:space="preserve"> attiecībā uz elektroenerģijas ražošanu un siltum</w:t>
      </w:r>
      <w:r>
        <w:rPr>
          <w:noProof/>
        </w:rPr>
        <w:t xml:space="preserve">a ražošanu. </w:t>
      </w:r>
    </w:p>
    <w:p w:rsidR="003E022D" w:rsidRDefault="007D19D6">
      <w:pPr>
        <w:rPr>
          <w:rFonts w:eastAsia="Calibri" w:cs="Times New Roman"/>
          <w:noProof/>
        </w:rPr>
      </w:pPr>
      <w:r>
        <w:rPr>
          <w:b/>
          <w:noProof/>
        </w:rPr>
        <w:t>PT:</w:t>
      </w:r>
      <w:r>
        <w:rPr>
          <w:noProof/>
        </w:rPr>
        <w:t xml:space="preserve"> elektroenerģijas pārvades un sadales darbības veic, īstenojot ekskluzīvas sabiedrisko pakalpojumu koncesijas. </w:t>
      </w:r>
    </w:p>
    <w:p w:rsidR="003E022D" w:rsidRDefault="007D19D6">
      <w:pPr>
        <w:rPr>
          <w:rFonts w:eastAsia="Calibri" w:cs="Times New Roman"/>
          <w:iCs/>
          <w:noProof/>
          <w:u w:val="single"/>
        </w:rPr>
      </w:pPr>
      <w:r>
        <w:rPr>
          <w:noProof/>
          <w:u w:val="single"/>
        </w:rPr>
        <w:t xml:space="preserve">Attiecībā uz investīciju liberalizāciju – piekļuve tirgum, valsts režīms </w:t>
      </w:r>
    </w:p>
    <w:p w:rsidR="003E022D" w:rsidRDefault="007D19D6">
      <w:pPr>
        <w:rPr>
          <w:rFonts w:eastAsia="Calibri" w:cs="Times New Roman"/>
          <w:noProof/>
        </w:rPr>
      </w:pPr>
      <w:r>
        <w:rPr>
          <w:b/>
          <w:noProof/>
        </w:rPr>
        <w:t>BE</w:t>
      </w:r>
      <w:r>
        <w:rPr>
          <w:noProof/>
        </w:rPr>
        <w:t>: lai saņemtu individuālu atļauju ražot elektroenerģ</w:t>
      </w:r>
      <w:r>
        <w:rPr>
          <w:noProof/>
        </w:rPr>
        <w:t>iju ar 25 MW jaudu vai lielāku, ražotājam jāveic uzņēmējdarbība Savienībā vai citā valstī, kurā piemērotais režīms līdzinās Eiropas Parlamenta un Padomes 1996. gada 19. decembra Direktīvā 96/92/EK par kopīgiem noteikumiem attiecībā uz elektroenerģijas iekš</w:t>
      </w:r>
      <w:r>
        <w:rPr>
          <w:noProof/>
        </w:rPr>
        <w:t xml:space="preserve">ējo tirgu noteiktajam un kurā uzņēmumam ir faktiska un pastāvīga saikne ar ekonomiku. </w:t>
      </w:r>
    </w:p>
    <w:p w:rsidR="003E022D" w:rsidRDefault="007D19D6">
      <w:pPr>
        <w:rPr>
          <w:rFonts w:eastAsia="Calibri" w:cs="Times New Roman"/>
          <w:noProof/>
        </w:rPr>
      </w:pPr>
      <w:r>
        <w:rPr>
          <w:noProof/>
        </w:rPr>
        <w:t>Lai varētu ražot elektroenerģiju Beļģijas atkrastes teritorijā, ir jāsaņem koncesija un jāizveido kopuzņēmums ar Savienības juridisko personu vai juridisko personu no va</w:t>
      </w:r>
      <w:r>
        <w:rPr>
          <w:noProof/>
        </w:rPr>
        <w:t>lsts, kurā piemērotais režīms līdzinās Eiropas Parlamenta un Padomes 2003. gada 26. jūnija Direktīvā 2003/54/EK par kopīgiem noteikumiem attiecībā uz elektroenerģijas iekšējo tirgu un par Direktīvas 96/92/EK atcelšanu noteiktajam, īpaši attiecībā uz nosacī</w:t>
      </w:r>
      <w:r>
        <w:rPr>
          <w:noProof/>
        </w:rPr>
        <w:t xml:space="preserve">jumiem par atļauju piešķiršanu un atlasi. </w:t>
      </w:r>
    </w:p>
    <w:p w:rsidR="003E022D" w:rsidRDefault="007D19D6">
      <w:pPr>
        <w:rPr>
          <w:rFonts w:eastAsia="Calibri" w:cs="Times New Roman"/>
          <w:noProof/>
        </w:rPr>
      </w:pPr>
      <w:r>
        <w:rPr>
          <w:noProof/>
        </w:rPr>
        <w:t>Turklāt juridiskās personas centrālajai pārvaldes struktūrai vai galvenajam birojam jāatrodas Eiropas Savienības dalībvalstī vai valstī, kas atbilst iepriekš izklāstītajiem kritērijiem un kur tam ir faktiska un pa</w:t>
      </w:r>
      <w:r>
        <w:rPr>
          <w:noProof/>
        </w:rPr>
        <w:t xml:space="preserve">stāvīga saikne ar ekonomiku. </w:t>
      </w:r>
    </w:p>
    <w:p w:rsidR="003E022D" w:rsidRDefault="007D19D6">
      <w:pPr>
        <w:rPr>
          <w:rFonts w:eastAsia="Calibri" w:cs="Times New Roman"/>
          <w:noProof/>
        </w:rPr>
      </w:pPr>
      <w:r>
        <w:rPr>
          <w:noProof/>
        </w:rPr>
        <w:t xml:space="preserve">Lai varētu būvēt elektrolīnijas, kas atkrastes ražotni savieno ar Elia pārvades tīklu, ir jāsaņem atļauja un uzņēmumam jāatbilst iepriekš paredzētajiem nosacījumiem, izņemot prasību pēc kopuzņēmuma. </w:t>
      </w:r>
    </w:p>
    <w:p w:rsidR="003E022D" w:rsidRDefault="007D19D6">
      <w:pPr>
        <w:rPr>
          <w:rFonts w:eastAsia="Calibri" w:cs="Times New Roman"/>
          <w:iCs/>
          <w:noProof/>
          <w:u w:val="single"/>
        </w:rPr>
      </w:pPr>
      <w:r>
        <w:rPr>
          <w:noProof/>
          <w:u w:val="single"/>
        </w:rPr>
        <w:t>Attiecībā uz pakalpojumu p</w:t>
      </w:r>
      <w:r>
        <w:rPr>
          <w:noProof/>
          <w:u w:val="single"/>
        </w:rPr>
        <w:t xml:space="preserve">ārrobežu tirdzniecību – valsts režīms </w:t>
      </w:r>
    </w:p>
    <w:p w:rsidR="003E022D" w:rsidRDefault="007D19D6">
      <w:pPr>
        <w:rPr>
          <w:rFonts w:eastAsia="Calibri" w:cs="Times New Roman"/>
          <w:noProof/>
        </w:rPr>
      </w:pPr>
      <w:r>
        <w:rPr>
          <w:b/>
          <w:noProof/>
        </w:rPr>
        <w:t>BE:</w:t>
      </w:r>
      <w:r>
        <w:rPr>
          <w:noProof/>
        </w:rPr>
        <w:t xml:space="preserve"> starpniekam, kas vēlas piegādāt elektroenerģiju un kam </w:t>
      </w:r>
      <w:r>
        <w:rPr>
          <w:b/>
          <w:noProof/>
        </w:rPr>
        <w:t>Beļģijā</w:t>
      </w:r>
      <w:r>
        <w:rPr>
          <w:noProof/>
        </w:rPr>
        <w:t xml:space="preserve"> ir uzņēmējdarbību veicoši klienti, kuri saistīti ar valsts tīkla sistēmu vai tiešo līniju, kā nominālais spriegums pārsniedz 70 000 voltu, ir jāsaņem </w:t>
      </w:r>
      <w:r>
        <w:rPr>
          <w:noProof/>
        </w:rPr>
        <w:t xml:space="preserve">atļauja. Minēto atļauju var piešķirt tikai EEZ fiziskai vai juridiskai personai. </w:t>
      </w:r>
    </w:p>
    <w:p w:rsidR="003E022D" w:rsidRDefault="007D19D6">
      <w:pPr>
        <w:rPr>
          <w:rFonts w:eastAsia="Calibri" w:cs="Times New Roman"/>
          <w:iCs/>
          <w:noProof/>
          <w:u w:val="single"/>
        </w:rPr>
      </w:pPr>
      <w:r>
        <w:rPr>
          <w:noProof/>
          <w:u w:val="single"/>
        </w:rPr>
        <w:t xml:space="preserve">Attiecībā uz investīciju liberalizāciju – piekļuve tirgum </w:t>
      </w:r>
    </w:p>
    <w:p w:rsidR="003E022D" w:rsidRDefault="007D19D6">
      <w:pPr>
        <w:rPr>
          <w:rFonts w:eastAsia="Calibri" w:cs="Times New Roman"/>
          <w:noProof/>
        </w:rPr>
      </w:pPr>
      <w:r>
        <w:rPr>
          <w:b/>
          <w:noProof/>
        </w:rPr>
        <w:t>FR</w:t>
      </w:r>
      <w:r>
        <w:rPr>
          <w:noProof/>
        </w:rPr>
        <w:t xml:space="preserve">: attiecībā uz elektroenerģijas ražošanu.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BE</w:t>
      </w:r>
      <w:r>
        <w:rPr>
          <w:noProof/>
        </w:rPr>
        <w:t xml:space="preserve">: </w:t>
      </w:r>
      <w:r>
        <w:rPr>
          <w:i/>
          <w:noProof/>
        </w:rPr>
        <w:t xml:space="preserve">Arrêté Royal du 11 octobre 2000 fixant les </w:t>
      </w:r>
      <w:r>
        <w:rPr>
          <w:i/>
          <w:noProof/>
        </w:rPr>
        <w:t>critères et la procédure d'octroi des autorisations individuelles préalables à la construction de lignes directes</w:t>
      </w:r>
      <w:r>
        <w:rPr>
          <w:noProof/>
        </w:rPr>
        <w:t xml:space="preserve">; </w:t>
      </w:r>
    </w:p>
    <w:p w:rsidR="003E022D" w:rsidRDefault="007D19D6">
      <w:pPr>
        <w:rPr>
          <w:rFonts w:eastAsia="Calibri" w:cs="Times New Roman"/>
          <w:noProof/>
        </w:rPr>
      </w:pPr>
      <w:r>
        <w:rPr>
          <w:i/>
          <w:noProof/>
        </w:rPr>
        <w:t>Arrêté Royal du 20 décembre 2000 relatif aux conditions et à la procédure d'octroi des concessions domaniales pour la construction et l'expl</w:t>
      </w:r>
      <w:r>
        <w:rPr>
          <w:i/>
          <w:noProof/>
        </w:rPr>
        <w:t>oitation d'installations de production d'électricité à partir de l'eau, des courants ou des vents, dans les espaces marins sur lesquels la Belgique peut exercer sa juridiction conformément au droit international de la mer</w:t>
      </w:r>
      <w:r>
        <w:rPr>
          <w:noProof/>
        </w:rPr>
        <w:t xml:space="preserve">; </w:t>
      </w:r>
      <w:r>
        <w:rPr>
          <w:i/>
          <w:noProof/>
        </w:rPr>
        <w:t>Arrêté Royal du 12 mars 2002 rela</w:t>
      </w:r>
      <w:r>
        <w:rPr>
          <w:i/>
          <w:noProof/>
        </w:rPr>
        <w:t>tif aux modalités de pose de câbles d'énergie électrique qui pénètrent dans la mer territoriale ou dans le territoire national ou qui sont installés ou utilisés dans le cadre de l'exploration du plateau continental, de l'exploitation des ressources minéral</w:t>
      </w:r>
      <w:r>
        <w:rPr>
          <w:i/>
          <w:noProof/>
        </w:rPr>
        <w:t>es et autres ressources non vivantes ou de l'exploitation d'îles artificielles, d'installations ou d'ouvrages relevant de la juridiction belge</w:t>
      </w:r>
      <w:r>
        <w:rPr>
          <w:noProof/>
        </w:rPr>
        <w:t xml:space="preserve">.  </w:t>
      </w:r>
    </w:p>
    <w:p w:rsidR="003E022D" w:rsidRDefault="007D19D6">
      <w:pPr>
        <w:rPr>
          <w:rFonts w:eastAsia="Calibri" w:cs="Times New Roman"/>
          <w:noProof/>
        </w:rPr>
      </w:pPr>
      <w:r>
        <w:rPr>
          <w:i/>
          <w:noProof/>
        </w:rPr>
        <w:t>Arrêté royal relatif aux autorisations de fourniture d'électricité par des intermédiaires et aux règles de con</w:t>
      </w:r>
      <w:r>
        <w:rPr>
          <w:i/>
          <w:noProof/>
        </w:rPr>
        <w:t>duite applicables à ceux-ci</w:t>
      </w:r>
      <w:r>
        <w:rPr>
          <w:noProof/>
        </w:rPr>
        <w:t xml:space="preserve">. </w:t>
      </w:r>
    </w:p>
    <w:p w:rsidR="003E022D" w:rsidRDefault="007D19D6">
      <w:pPr>
        <w:rPr>
          <w:rFonts w:eastAsia="Calibri" w:cs="Times New Roman"/>
          <w:noProof/>
        </w:rPr>
      </w:pPr>
      <w:r>
        <w:rPr>
          <w:i/>
          <w:noProof/>
        </w:rPr>
        <w:t>Arrêté royal du 12 juin 2001 relatif aux conditions générales de fourniture de gaz naturel et aux conditions d'octroi des autorisations de fourniture de gaz naturel</w:t>
      </w:r>
      <w:r>
        <w:rPr>
          <w:noProof/>
        </w:rPr>
        <w:t>.</w:t>
      </w:r>
    </w:p>
    <w:p w:rsidR="003E022D" w:rsidRDefault="007D19D6">
      <w:pPr>
        <w:rPr>
          <w:rFonts w:eastAsia="Calibri" w:cs="Times New Roman"/>
          <w:noProof/>
        </w:rPr>
      </w:pPr>
      <w:r>
        <w:rPr>
          <w:b/>
          <w:noProof/>
        </w:rPr>
        <w:t>FI</w:t>
      </w:r>
      <w:r>
        <w:rPr>
          <w:noProof/>
        </w:rPr>
        <w:t xml:space="preserve">: </w:t>
      </w:r>
      <w:r>
        <w:rPr>
          <w:i/>
          <w:noProof/>
        </w:rPr>
        <w:t>Maakaasumarkkinalaki</w:t>
      </w:r>
      <w:r>
        <w:rPr>
          <w:noProof/>
        </w:rPr>
        <w:t xml:space="preserve"> (Dabasgāzes tirgus likums) (508/200</w:t>
      </w:r>
      <w:r>
        <w:rPr>
          <w:noProof/>
        </w:rPr>
        <w:t xml:space="preserve">0); </w:t>
      </w:r>
      <w:r>
        <w:rPr>
          <w:i/>
          <w:noProof/>
        </w:rPr>
        <w:t>Sähkömarkkinalaki</w:t>
      </w:r>
      <w:r>
        <w:rPr>
          <w:noProof/>
        </w:rPr>
        <w:t xml:space="preserve"> (Elektroenerģijas tirgus likums) (588/2013); </w:t>
      </w:r>
      <w:r>
        <w:rPr>
          <w:i/>
          <w:noProof/>
        </w:rPr>
        <w:t>Maakaasumarkkinalaki</w:t>
      </w:r>
      <w:r>
        <w:rPr>
          <w:noProof/>
        </w:rPr>
        <w:t xml:space="preserve"> (Dabasgāzes tirgus likums) (587/2017).</w:t>
      </w:r>
    </w:p>
    <w:p w:rsidR="003E022D" w:rsidRDefault="007D19D6">
      <w:pPr>
        <w:rPr>
          <w:rFonts w:eastAsia="Calibri" w:cs="Times New Roman"/>
          <w:noProof/>
        </w:rPr>
      </w:pPr>
      <w:r>
        <w:rPr>
          <w:b/>
          <w:noProof/>
        </w:rPr>
        <w:t>FR</w:t>
      </w:r>
      <w:r>
        <w:rPr>
          <w:noProof/>
        </w:rPr>
        <w:t xml:space="preserve">: </w:t>
      </w:r>
      <w:r>
        <w:rPr>
          <w:i/>
          <w:noProof/>
        </w:rPr>
        <w:t>Code de l’énergie</w:t>
      </w:r>
      <w:r>
        <w:rPr>
          <w:noProof/>
        </w:rPr>
        <w:t xml:space="preserve">. </w:t>
      </w:r>
    </w:p>
    <w:p w:rsidR="003E022D" w:rsidRDefault="007D19D6">
      <w:pPr>
        <w:rPr>
          <w:rFonts w:eastAsia="Calibri" w:cs="Times New Roman"/>
          <w:noProof/>
        </w:rPr>
      </w:pPr>
      <w:r>
        <w:rPr>
          <w:b/>
          <w:noProof/>
        </w:rPr>
        <w:t>PT</w:t>
      </w:r>
      <w:r>
        <w:rPr>
          <w:noProof/>
        </w:rPr>
        <w:t xml:space="preserve">: Dekrētlikums 215-A/2012 un </w:t>
      </w:r>
    </w:p>
    <w:p w:rsidR="003E022D" w:rsidRDefault="007D19D6">
      <w:pPr>
        <w:rPr>
          <w:rFonts w:eastAsia="Calibri" w:cs="Times New Roman"/>
          <w:noProof/>
        </w:rPr>
      </w:pPr>
      <w:r>
        <w:rPr>
          <w:noProof/>
        </w:rPr>
        <w:t xml:space="preserve">Dekrētlikums 215-B/2012, 8. oktobris, elektroenerģija. </w:t>
      </w:r>
    </w:p>
    <w:p w:rsidR="003E022D" w:rsidRDefault="007D19D6">
      <w:pPr>
        <w:rPr>
          <w:rFonts w:eastAsia="Calibri" w:cs="Times New Roman"/>
          <w:b/>
          <w:i/>
          <w:noProof/>
        </w:rPr>
      </w:pPr>
      <w:r>
        <w:rPr>
          <w:b/>
          <w:bCs/>
          <w:i/>
          <w:noProof/>
        </w:rPr>
        <w:t>c)</w:t>
      </w:r>
      <w:r>
        <w:rPr>
          <w:noProof/>
        </w:rPr>
        <w:tab/>
      </w:r>
      <w:bookmarkStart w:id="1285" w:name="_Toc452504007"/>
      <w:r>
        <w:rPr>
          <w:b/>
          <w:bCs/>
          <w:i/>
          <w:noProof/>
        </w:rPr>
        <w:t>Kurināmie</w:t>
      </w:r>
      <w:bookmarkEnd w:id="1285"/>
      <w:r>
        <w:rPr>
          <w:b/>
          <w:i/>
          <w:noProof/>
        </w:rPr>
        <w:t>, gāz</w:t>
      </w:r>
      <w:r>
        <w:rPr>
          <w:b/>
          <w:i/>
          <w:noProof/>
        </w:rPr>
        <w:t>e, jēlnafta vai naftas produkti</w:t>
      </w:r>
      <w:r>
        <w:rPr>
          <w:b/>
          <w:bCs/>
          <w:i/>
          <w:noProof/>
        </w:rPr>
        <w:t xml:space="preserve"> </w:t>
      </w:r>
      <w:r>
        <w:rPr>
          <w:b/>
          <w:i/>
          <w:noProof/>
        </w:rPr>
        <w:t xml:space="preserve">(ISIC 3.1. red. 232, 40, 402; CPC 613, 62271, 63297, 7131, 71310, 742, 7422, daļa no 88, 887 (izņemot padomdevēju un konsultāciju pakalpojumus)) </w:t>
      </w:r>
    </w:p>
    <w:p w:rsidR="003E022D" w:rsidRDefault="007D19D6">
      <w:pPr>
        <w:rPr>
          <w:rFonts w:eastAsia="Calibri" w:cs="Times New Roman"/>
          <w:iCs/>
          <w:noProof/>
          <w:u w:val="single"/>
        </w:rPr>
      </w:pPr>
      <w:r>
        <w:rPr>
          <w:noProof/>
          <w:u w:val="single"/>
        </w:rPr>
        <w:t>Attiecībā uz investīciju liberalizāciju – piekļuve tirgum, valsts režīms, augs</w:t>
      </w:r>
      <w:r>
        <w:rPr>
          <w:noProof/>
          <w:u w:val="single"/>
        </w:rPr>
        <w:t xml:space="preserve">tākā vadība un direktoru padomes, veiktspējas prasības un pakalpojumu pārrobežu tirdzniecība – piekļuve tirgum, valsts režīms </w:t>
      </w:r>
    </w:p>
    <w:p w:rsidR="003E022D" w:rsidRDefault="007D19D6">
      <w:pPr>
        <w:rPr>
          <w:rFonts w:eastAsia="Calibri" w:cs="Times New Roman"/>
          <w:noProof/>
        </w:rPr>
      </w:pPr>
      <w:r>
        <w:rPr>
          <w:b/>
          <w:noProof/>
        </w:rPr>
        <w:t>FI</w:t>
      </w:r>
      <w:r>
        <w:rPr>
          <w:noProof/>
        </w:rPr>
        <w:t>: energoapgādes drošības apsvērumu dēļ nepieļaut sašķidrinātas dabasgāzes (LNG) termināļa (arī LNG uzglabāšanai vai regazificēš</w:t>
      </w:r>
      <w:r>
        <w:rPr>
          <w:noProof/>
        </w:rPr>
        <w:t xml:space="preserve">anai izmantoto LNG termināļa daļu) nonākšanu ārvalstu fizisko vai juridisko personu kontrolē vai īpašumā. </w:t>
      </w:r>
    </w:p>
    <w:p w:rsidR="003E022D" w:rsidRDefault="007D19D6">
      <w:pPr>
        <w:rPr>
          <w:rFonts w:eastAsia="Calibri" w:cs="Times New Roman"/>
          <w:noProof/>
        </w:rPr>
      </w:pPr>
      <w:r>
        <w:rPr>
          <w:b/>
          <w:noProof/>
        </w:rPr>
        <w:t>FR</w:t>
      </w:r>
      <w:r>
        <w:rPr>
          <w:noProof/>
        </w:rPr>
        <w:t>: valsts energoapgādes drošības apsvērumu dēļ par gāzes pārvades vai sadales sistēmu īpašniekiem vai operatoriem var kļūt tikai tādi uzņēmumi, kuro</w:t>
      </w:r>
      <w:r>
        <w:rPr>
          <w:noProof/>
        </w:rPr>
        <w:t xml:space="preserve">s 100 procenti kapitāla pieder Francijas valstij, citai publiskā sektora organizācijai vai </w:t>
      </w:r>
      <w:r>
        <w:rPr>
          <w:i/>
          <w:noProof/>
        </w:rPr>
        <w:t>ENGIE</w:t>
      </w:r>
      <w:r>
        <w:rPr>
          <w:noProof/>
        </w:rPr>
        <w:t xml:space="preserve">. </w:t>
      </w:r>
    </w:p>
    <w:p w:rsidR="003E022D" w:rsidRDefault="007D19D6">
      <w:pPr>
        <w:rPr>
          <w:rFonts w:eastAsia="Calibri" w:cs="Times New Roman"/>
          <w:i/>
          <w:noProof/>
        </w:rPr>
      </w:pPr>
      <w:r>
        <w:rPr>
          <w:i/>
          <w:noProof/>
        </w:rPr>
        <w:t xml:space="preserve">Attiecībā uz investīciju liberalizāciju – piekļuve tirgum, valsts režīms un pakalpojumu pārrobežu tirdzniecība – piekļuve tirgum, valsts režīms </w:t>
      </w:r>
    </w:p>
    <w:p w:rsidR="003E022D" w:rsidRDefault="007D19D6">
      <w:pPr>
        <w:rPr>
          <w:rFonts w:eastAsia="Calibri" w:cs="Times New Roman"/>
          <w:noProof/>
        </w:rPr>
      </w:pPr>
      <w:r>
        <w:rPr>
          <w:b/>
          <w:noProof/>
        </w:rPr>
        <w:t>BE:</w:t>
      </w:r>
      <w:r>
        <w:rPr>
          <w:noProof/>
        </w:rPr>
        <w:t xml:space="preserve"> attiecībā uz gāzes beztaras uzglabāšanas pakalpojumiem saistībā ar juridisko vienību veidiem un režīmu, ko piemēro publiskiem operatoriem vai privātiem uzņēmumiem, kam Beļģija ir piešķīrusi ekskluzīvas tiesības. Nepieciešams izveidot uzņēmumu Savienībā, l</w:t>
      </w:r>
      <w:r>
        <w:rPr>
          <w:noProof/>
        </w:rPr>
        <w:t xml:space="preserve">ai sniegtu gāzes beztaras uzglabāšanas pakalpojumus (daļa no CPC 742). </w:t>
      </w:r>
    </w:p>
    <w:p w:rsidR="003E022D" w:rsidRDefault="007D19D6">
      <w:pPr>
        <w:rPr>
          <w:rFonts w:eastAsia="Calibri" w:cs="Times New Roman"/>
          <w:noProof/>
        </w:rPr>
      </w:pPr>
      <w:r>
        <w:rPr>
          <w:b/>
          <w:noProof/>
        </w:rPr>
        <w:t>BG:</w:t>
      </w:r>
      <w:r>
        <w:rPr>
          <w:noProof/>
        </w:rPr>
        <w:t xml:space="preserve"> attiecībā uz naftas un dabasgāzes produktu transportēšanu pa cauruļvadiem, uzglabāšanu noliktavā vai citādu, tostarp transportēšanu tranzītā (CPC 71310, daļa no CPC 742). </w:t>
      </w:r>
    </w:p>
    <w:p w:rsidR="003E022D" w:rsidRDefault="007D19D6">
      <w:pPr>
        <w:rPr>
          <w:rFonts w:eastAsia="Calibri" w:cs="Times New Roman"/>
          <w:noProof/>
        </w:rPr>
      </w:pPr>
      <w:r>
        <w:rPr>
          <w:b/>
          <w:noProof/>
        </w:rPr>
        <w:t>PT:</w:t>
      </w:r>
      <w:r>
        <w:rPr>
          <w:noProof/>
        </w:rPr>
        <w:t xml:space="preserve"> atti</w:t>
      </w:r>
      <w:r>
        <w:rPr>
          <w:noProof/>
        </w:rPr>
        <w:t>ecībā uz degvielas vai kurināmā, ko transportē pa cauruļvadiem, uzglabāšanas vai noliktavu pakalpojumu pārrobežu sniegšanu (dabasgāze). Arī koncesijas saistībā ar dabasgāzes pārvadi, sadali un pazemes uzglabāšanu, kā arī LNG saņemšanas, uzglabāšanas un reg</w:t>
      </w:r>
      <w:r>
        <w:rPr>
          <w:noProof/>
        </w:rPr>
        <w:t xml:space="preserve">azifikācijas termināli piešķir, noslēdzot koncesijas līgumus pēc publiska iepirkuma konkursiem (CPC 7131, CPC 7422). </w:t>
      </w:r>
    </w:p>
    <w:p w:rsidR="003E022D" w:rsidRDefault="007D19D6">
      <w:pPr>
        <w:rPr>
          <w:rFonts w:eastAsia="Calibri" w:cs="Times New Roman"/>
          <w:iCs/>
          <w:noProof/>
          <w:u w:val="single"/>
        </w:rPr>
      </w:pPr>
      <w:r>
        <w:rPr>
          <w:noProof/>
          <w:u w:val="single"/>
        </w:rPr>
        <w:t xml:space="preserve">Attiecībā uz pakalpojumu pārrobežu tirdzniecību – piekļuve tirgum, valsts režīms </w:t>
      </w:r>
    </w:p>
    <w:p w:rsidR="003E022D" w:rsidRDefault="007D19D6">
      <w:pPr>
        <w:rPr>
          <w:rFonts w:eastAsia="Calibri" w:cs="Times New Roman"/>
          <w:noProof/>
        </w:rPr>
      </w:pPr>
      <w:r>
        <w:rPr>
          <w:b/>
          <w:noProof/>
        </w:rPr>
        <w:t>BE:</w:t>
      </w:r>
      <w:r>
        <w:rPr>
          <w:noProof/>
        </w:rPr>
        <w:t xml:space="preserve"> lai dabasgāzi un citu degvielu vai kurināmo varētu t</w:t>
      </w:r>
      <w:r>
        <w:rPr>
          <w:noProof/>
        </w:rPr>
        <w:t xml:space="preserve">ransportēt pa cauruļvadiem, ir jāsaņem atļauja. Atļauju var piešķirt tikai fiziskai vai juridiskai personai, kas veic uzņēmējdarbību dalībvalstī (atbilstīgi 2002. gada 14. maija AR 3. pantam). </w:t>
      </w:r>
    </w:p>
    <w:p w:rsidR="003E022D" w:rsidRDefault="007D19D6">
      <w:pPr>
        <w:rPr>
          <w:rFonts w:eastAsia="Calibri" w:cs="Times New Roman"/>
          <w:noProof/>
        </w:rPr>
      </w:pPr>
      <w:r>
        <w:rPr>
          <w:noProof/>
        </w:rPr>
        <w:t xml:space="preserve">Ja atļauju lūdz uzņēmums: </w:t>
      </w:r>
    </w:p>
    <w:p w:rsidR="003E022D" w:rsidRDefault="007D19D6">
      <w:pPr>
        <w:numPr>
          <w:ilvl w:val="0"/>
          <w:numId w:val="794"/>
        </w:numPr>
        <w:rPr>
          <w:rFonts w:eastAsia="Calibri" w:cs="Times New Roman"/>
          <w:noProof/>
        </w:rPr>
      </w:pPr>
      <w:r>
        <w:rPr>
          <w:noProof/>
        </w:rPr>
        <w:t>tam jāveic uzņēmējdarbība atbilstīgi Beļģijas vai citas dalībvalsts tiesību aktiem vai tādas trešās valsts tiesību aktiem, kura ir uzņēmusies saistības uzturēt tiesisko regulējumu, kas līdzinās kopīgajām prasībām, kuras noteiktas Eiropas Parlamenta un Pado</w:t>
      </w:r>
      <w:r>
        <w:rPr>
          <w:noProof/>
        </w:rPr>
        <w:t xml:space="preserve">mes 1998. gada 22. jūnija Direktīvā 98/30/EK par kopīgiem noteikumiem dabasgāzes iekšējam tirgum, un </w:t>
      </w:r>
    </w:p>
    <w:p w:rsidR="003E022D" w:rsidRDefault="007D19D6">
      <w:pPr>
        <w:numPr>
          <w:ilvl w:val="0"/>
          <w:numId w:val="794"/>
        </w:numPr>
        <w:rPr>
          <w:rFonts w:eastAsia="Calibri" w:cs="Times New Roman"/>
          <w:noProof/>
        </w:rPr>
      </w:pPr>
      <w:r>
        <w:rPr>
          <w:noProof/>
        </w:rPr>
        <w:t>tā pārvaldes struktūrai, tā galvenajam uzņēmumam vai galvenajam birojam jāatrodas dalībvalstī vai trešā valstī, kura ir uzņēmusies saistības uzturēt tiesi</w:t>
      </w:r>
      <w:r>
        <w:rPr>
          <w:noProof/>
        </w:rPr>
        <w:t>sko regulējumu, kas līdzinās kopīgajām prasībām, kuras noteiktas Eiropas Parlamenta un Padomes 1998. gada 22. jūnija Direktīvā 98/30/EK par kopīgiem noteikumiem dabasgāzes iekšējam tirgum, ja šajā uzņēmējdarbībā vai galvenā biroja darbībā tiek uzturēta fak</w:t>
      </w:r>
      <w:r>
        <w:rPr>
          <w:noProof/>
        </w:rPr>
        <w:t xml:space="preserve">tiska un pastāvīga saikne ar attiecīgās valsts ekonomiku (CPC 7131). </w:t>
      </w:r>
    </w:p>
    <w:p w:rsidR="003E022D" w:rsidRDefault="007D19D6">
      <w:pPr>
        <w:rPr>
          <w:rFonts w:eastAsia="Calibri" w:cs="Times New Roman"/>
          <w:noProof/>
        </w:rPr>
      </w:pPr>
      <w:r>
        <w:rPr>
          <w:b/>
          <w:noProof/>
        </w:rPr>
        <w:t>BE</w:t>
      </w:r>
      <w:r>
        <w:rPr>
          <w:noProof/>
        </w:rPr>
        <w:t>: kopumā, lai piegādātu dabasgāzi Beļģijā uzņēmējdarbību veicošiem klientiem (gan sadales uzņēmumiem, gan patērētājiem, kuru kopējais visu padeves punktu gāzes patēriņš ir vismaz viens</w:t>
      </w:r>
      <w:r>
        <w:rPr>
          <w:noProof/>
        </w:rPr>
        <w:t xml:space="preserve"> miljons kubikmetru gadā), ir jāsaņem individuāla atļauja, ko izdod ministrs, izņemot, ja piegādātājs ir sadales uzņēmums, kas izmanto savu sadales tīklu. Šādu atļauju var piešķirt tikai Eiropas Savienības fiziskajām vai juridiskajām personām. </w:t>
      </w:r>
    </w:p>
    <w:p w:rsidR="003E022D" w:rsidRDefault="007D19D6">
      <w:pPr>
        <w:rPr>
          <w:rFonts w:eastAsia="Calibri" w:cs="Times New Roman"/>
          <w:noProof/>
        </w:rPr>
      </w:pPr>
      <w:r>
        <w:rPr>
          <w:b/>
          <w:noProof/>
        </w:rPr>
        <w:t>CY:</w:t>
      </w:r>
      <w:r>
        <w:rPr>
          <w:noProof/>
        </w:rPr>
        <w:t xml:space="preserve"> attiecī</w:t>
      </w:r>
      <w:r>
        <w:rPr>
          <w:noProof/>
        </w:rPr>
        <w:t xml:space="preserve">bā uz degvielas, ko transportē pa cauruļvadiem, uzglabāšanas un noliktavu pakalpojumu pārrobežu sniegšanu un degvieleļļas un balonos pildītas gāzes mazumtirdzniecību, izņemot tirdzniecību pa pastu (CPC 613, CPC 62271, CPC 63297, CPC 7131, CPC 742). </w:t>
      </w:r>
    </w:p>
    <w:p w:rsidR="003E022D" w:rsidRDefault="007D19D6">
      <w:pPr>
        <w:rPr>
          <w:rFonts w:eastAsia="Calibri" w:cs="Times New Roman"/>
          <w:iCs/>
          <w:noProof/>
          <w:u w:val="single"/>
        </w:rPr>
      </w:pPr>
      <w:r>
        <w:rPr>
          <w:noProof/>
          <w:u w:val="single"/>
        </w:rPr>
        <w:t>Attiec</w:t>
      </w:r>
      <w:r>
        <w:rPr>
          <w:noProof/>
          <w:u w:val="single"/>
        </w:rPr>
        <w:t xml:space="preserve">ībā uz investīciju liberalizāciju – piekļuve tirgum un pakalpojumu pārrobežu tirdzniecība – piekļuve tirgum </w:t>
      </w:r>
    </w:p>
    <w:p w:rsidR="003E022D" w:rsidRDefault="007D19D6">
      <w:pPr>
        <w:rPr>
          <w:rFonts w:eastAsia="Calibri" w:cs="Times New Roman"/>
          <w:noProof/>
        </w:rPr>
      </w:pPr>
      <w:r>
        <w:rPr>
          <w:b/>
          <w:noProof/>
        </w:rPr>
        <w:t>HU</w:t>
      </w:r>
      <w:r>
        <w:rPr>
          <w:noProof/>
        </w:rPr>
        <w:t>: lai varētu sniegt transportēšanas pa cauruļvadiem pakalpojumus, jāveic uzņēmējdarbība. Pakalpojumus var sniegt, pamatojoties uz koncesijas līgu</w:t>
      </w:r>
      <w:r>
        <w:rPr>
          <w:noProof/>
        </w:rPr>
        <w:t xml:space="preserve">mu, ko piešķir valsts vai vietējā iestāde. Šā pakalpojuma sniegšana ir reglamentēta Ungārijas Koncesiju likumā (CPC 7131). </w:t>
      </w:r>
    </w:p>
    <w:p w:rsidR="003E022D" w:rsidRDefault="007D19D6">
      <w:pPr>
        <w:rPr>
          <w:rFonts w:eastAsia="Calibri" w:cs="Times New Roman"/>
          <w:iCs/>
          <w:noProof/>
          <w:u w:val="single"/>
        </w:rPr>
      </w:pPr>
      <w:r>
        <w:rPr>
          <w:noProof/>
          <w:u w:val="single"/>
        </w:rPr>
        <w:t xml:space="preserve">Attiecībā uz pakalpojumu pārrobežu tirdzniecību – piekļuve tirgum </w:t>
      </w:r>
    </w:p>
    <w:p w:rsidR="003E022D" w:rsidRDefault="007D19D6">
      <w:pPr>
        <w:rPr>
          <w:rFonts w:eastAsia="Calibri" w:cs="Times New Roman"/>
          <w:noProof/>
        </w:rPr>
      </w:pPr>
      <w:r>
        <w:rPr>
          <w:b/>
          <w:noProof/>
        </w:rPr>
        <w:t>LT</w:t>
      </w:r>
      <w:r>
        <w:rPr>
          <w:noProof/>
        </w:rPr>
        <w:t>: attiecībā uz degvielas vai kurināmā transportēšanu pa cauruļv</w:t>
      </w:r>
      <w:r>
        <w:rPr>
          <w:noProof/>
        </w:rPr>
        <w:t xml:space="preserve">adiem un palīgpakalpojumiem saistībā ar preču, kas nav degviela vai kurināmais, transportēšanu pa cauruļvadiem. </w:t>
      </w:r>
    </w:p>
    <w:p w:rsidR="003E022D" w:rsidRDefault="007D19D6">
      <w:pPr>
        <w:rPr>
          <w:rFonts w:eastAsia="Calibri" w:cs="Times New Roman"/>
          <w:b/>
          <w:bCs/>
          <w:i/>
          <w:iCs/>
          <w:noProof/>
        </w:rPr>
      </w:pPr>
      <w:r>
        <w:rPr>
          <w:b/>
          <w:bCs/>
          <w:i/>
          <w:iCs/>
          <w:noProof/>
        </w:rPr>
        <w:t xml:space="preserve">Esošie pasākumi </w:t>
      </w:r>
    </w:p>
    <w:p w:rsidR="003E022D" w:rsidRDefault="007D19D6">
      <w:pPr>
        <w:rPr>
          <w:rFonts w:eastAsia="Calibri" w:cs="Times New Roman"/>
          <w:noProof/>
        </w:rPr>
      </w:pPr>
      <w:r>
        <w:rPr>
          <w:b/>
          <w:noProof/>
        </w:rPr>
        <w:t>BE</w:t>
      </w:r>
      <w:r>
        <w:rPr>
          <w:noProof/>
        </w:rPr>
        <w:t xml:space="preserve">: </w:t>
      </w:r>
      <w:r>
        <w:rPr>
          <w:i/>
          <w:noProof/>
        </w:rPr>
        <w:t>Arrêté Royal du 14 mai 2002 relatif à l'autorisation de transport de produits gazeux et autres par canalisations</w:t>
      </w:r>
      <w:r>
        <w:rPr>
          <w:noProof/>
        </w:rPr>
        <w:t xml:space="preserve"> un </w:t>
      </w:r>
    </w:p>
    <w:p w:rsidR="003E022D" w:rsidRDefault="007D19D6">
      <w:pPr>
        <w:rPr>
          <w:rFonts w:eastAsia="Calibri" w:cs="Times New Roman"/>
          <w:noProof/>
        </w:rPr>
      </w:pPr>
      <w:r>
        <w:rPr>
          <w:i/>
          <w:noProof/>
        </w:rPr>
        <w:t>Loi d</w:t>
      </w:r>
      <w:r>
        <w:rPr>
          <w:i/>
          <w:noProof/>
        </w:rPr>
        <w:t>u 12 avril 1965 relative au transport de produits gazeux et autres par canalisations (article 8.2)</w:t>
      </w:r>
      <w:r>
        <w:rPr>
          <w:noProof/>
        </w:rPr>
        <w:t xml:space="preserve">. </w:t>
      </w:r>
    </w:p>
    <w:p w:rsidR="003E022D" w:rsidRDefault="007D19D6">
      <w:pPr>
        <w:rPr>
          <w:rFonts w:eastAsia="Calibri" w:cs="Times New Roman"/>
          <w:noProof/>
        </w:rPr>
      </w:pPr>
      <w:r>
        <w:rPr>
          <w:b/>
          <w:noProof/>
        </w:rPr>
        <w:t>BG</w:t>
      </w:r>
      <w:r>
        <w:rPr>
          <w:noProof/>
        </w:rPr>
        <w:t xml:space="preserve">: Enerģētikas likums. </w:t>
      </w:r>
    </w:p>
    <w:p w:rsidR="003E022D" w:rsidRDefault="007D19D6">
      <w:pPr>
        <w:rPr>
          <w:rFonts w:eastAsia="Calibri" w:cs="Times New Roman"/>
          <w:noProof/>
        </w:rPr>
      </w:pPr>
      <w:r>
        <w:rPr>
          <w:b/>
          <w:noProof/>
        </w:rPr>
        <w:t>CY</w:t>
      </w:r>
      <w:r>
        <w:rPr>
          <w:noProof/>
        </w:rPr>
        <w:t xml:space="preserve">: 2003. gada Elektroenerģijas tirgus regulējums, Likums 122(I)/2003, ar grozījumiem; </w:t>
      </w:r>
    </w:p>
    <w:p w:rsidR="003E022D" w:rsidRDefault="007D19D6">
      <w:pPr>
        <w:rPr>
          <w:rFonts w:eastAsia="Calibri" w:cs="Times New Roman"/>
          <w:noProof/>
        </w:rPr>
      </w:pPr>
      <w:r>
        <w:rPr>
          <w:noProof/>
        </w:rPr>
        <w:t>2004. gada Gāzes tirgus likumu regulējums,</w:t>
      </w:r>
      <w:r>
        <w:rPr>
          <w:noProof/>
        </w:rPr>
        <w:t xml:space="preserve"> Likums 183(I)/2004, ar grozījumiem; </w:t>
      </w:r>
    </w:p>
    <w:p w:rsidR="003E022D" w:rsidRDefault="007D19D6">
      <w:pPr>
        <w:rPr>
          <w:rFonts w:eastAsia="Calibri" w:cs="Times New Roman"/>
          <w:noProof/>
        </w:rPr>
      </w:pPr>
      <w:r>
        <w:rPr>
          <w:noProof/>
        </w:rPr>
        <w:t xml:space="preserve">Naftas (cauruļvadu) likums, 273. nodaļa; </w:t>
      </w:r>
    </w:p>
    <w:p w:rsidR="003E022D" w:rsidRDefault="007D19D6">
      <w:pPr>
        <w:rPr>
          <w:rFonts w:eastAsia="Calibri" w:cs="Times New Roman"/>
          <w:noProof/>
        </w:rPr>
      </w:pPr>
      <w:r>
        <w:rPr>
          <w:noProof/>
        </w:rPr>
        <w:t xml:space="preserve">Naftas likums, 272. nodaļa, ar grozījumiem un </w:t>
      </w:r>
    </w:p>
    <w:p w:rsidR="003E022D" w:rsidRDefault="007D19D6">
      <w:pPr>
        <w:rPr>
          <w:rFonts w:eastAsia="Calibri" w:cs="Times New Roman"/>
          <w:noProof/>
        </w:rPr>
      </w:pPr>
      <w:r>
        <w:rPr>
          <w:noProof/>
        </w:rPr>
        <w:t xml:space="preserve">2003. gada Naftas un degvielas specifikāciju akti, Likums 148(I)/2003, ar grozījumiem. </w:t>
      </w:r>
    </w:p>
    <w:p w:rsidR="003E022D" w:rsidRDefault="007D19D6">
      <w:pPr>
        <w:rPr>
          <w:rFonts w:eastAsia="Calibri" w:cs="Times New Roman"/>
          <w:noProof/>
        </w:rPr>
      </w:pPr>
      <w:r>
        <w:rPr>
          <w:b/>
          <w:noProof/>
        </w:rPr>
        <w:t>FI</w:t>
      </w:r>
      <w:r>
        <w:rPr>
          <w:noProof/>
        </w:rPr>
        <w:t xml:space="preserve">: </w:t>
      </w:r>
      <w:r>
        <w:rPr>
          <w:i/>
          <w:noProof/>
        </w:rPr>
        <w:t>Maakaasumarkkinalaki</w:t>
      </w:r>
      <w:r>
        <w:rPr>
          <w:noProof/>
        </w:rPr>
        <w:t xml:space="preserve"> (Dabasgāzes tirg</w:t>
      </w:r>
      <w:r>
        <w:rPr>
          <w:noProof/>
        </w:rPr>
        <w:t xml:space="preserve">us likums) (508/2000); </w:t>
      </w:r>
      <w:r>
        <w:rPr>
          <w:i/>
          <w:noProof/>
        </w:rPr>
        <w:t>Maakaasumarkkinalaki</w:t>
      </w:r>
      <w:r>
        <w:rPr>
          <w:noProof/>
        </w:rPr>
        <w:t xml:space="preserve"> (Dabasgāzes tirgus likums) (587/2017). </w:t>
      </w:r>
    </w:p>
    <w:p w:rsidR="003E022D" w:rsidRDefault="007D19D6">
      <w:pPr>
        <w:rPr>
          <w:rFonts w:eastAsia="Calibri" w:cs="Times New Roman"/>
          <w:noProof/>
        </w:rPr>
      </w:pPr>
      <w:r>
        <w:rPr>
          <w:b/>
          <w:noProof/>
        </w:rPr>
        <w:t>FR</w:t>
      </w:r>
      <w:r>
        <w:rPr>
          <w:noProof/>
        </w:rPr>
        <w:t xml:space="preserve">: </w:t>
      </w:r>
      <w:r>
        <w:rPr>
          <w:i/>
          <w:noProof/>
        </w:rPr>
        <w:t>Code de l’énergie</w:t>
      </w:r>
      <w:r>
        <w:rPr>
          <w:noProof/>
        </w:rPr>
        <w:t xml:space="preserve">. </w:t>
      </w:r>
    </w:p>
    <w:p w:rsidR="003E022D" w:rsidRDefault="007D19D6">
      <w:pPr>
        <w:rPr>
          <w:rFonts w:eastAsia="Calibri" w:cs="Times New Roman"/>
          <w:noProof/>
        </w:rPr>
      </w:pPr>
      <w:r>
        <w:rPr>
          <w:b/>
          <w:noProof/>
        </w:rPr>
        <w:t>HU</w:t>
      </w:r>
      <w:r>
        <w:rPr>
          <w:noProof/>
        </w:rPr>
        <w:t xml:space="preserve">: 1991. gada Likums Nr. XVI par koncesijām. </w:t>
      </w:r>
    </w:p>
    <w:p w:rsidR="003E022D" w:rsidRDefault="007D19D6">
      <w:pPr>
        <w:rPr>
          <w:rFonts w:eastAsia="Calibri" w:cs="Times New Roman"/>
          <w:noProof/>
        </w:rPr>
      </w:pPr>
      <w:r>
        <w:rPr>
          <w:b/>
          <w:noProof/>
        </w:rPr>
        <w:t>LT</w:t>
      </w:r>
      <w:r>
        <w:rPr>
          <w:noProof/>
        </w:rPr>
        <w:t xml:space="preserve">: Lietuvas Republikas 2000. gada 10. oktobra Likums Nr. VIII-1973 par dabasgāzi. </w:t>
      </w:r>
    </w:p>
    <w:p w:rsidR="003E022D" w:rsidRDefault="007D19D6">
      <w:pPr>
        <w:rPr>
          <w:rFonts w:eastAsia="Calibri" w:cs="Times New Roman"/>
          <w:noProof/>
        </w:rPr>
      </w:pPr>
      <w:r>
        <w:rPr>
          <w:b/>
          <w:noProof/>
        </w:rPr>
        <w:t>PT</w:t>
      </w:r>
      <w:r>
        <w:rPr>
          <w:noProof/>
        </w:rPr>
        <w:t xml:space="preserve">: Dekrētlikums Nr. 230/2012 un Dekrētlikums Nr. 231/2012, 26. oktobris, dabasgāze; Dekrētlikums Nr. 215-A/2012 un Dekrētlikums Nr. 215-B/2012, 8. oktobris, elektroenerģija; Dekrētlikums Nr. 31/2006, 15. februāris, jēlnaftas/naftas produkti. </w:t>
      </w:r>
    </w:p>
    <w:p w:rsidR="003E022D" w:rsidRDefault="007D19D6">
      <w:pPr>
        <w:rPr>
          <w:rFonts w:eastAsia="Calibri" w:cs="Times New Roman"/>
          <w:b/>
          <w:i/>
          <w:noProof/>
        </w:rPr>
      </w:pPr>
      <w:r>
        <w:rPr>
          <w:b/>
          <w:bCs/>
          <w:i/>
          <w:noProof/>
        </w:rPr>
        <w:t>d)</w:t>
      </w:r>
      <w:r>
        <w:rPr>
          <w:noProof/>
        </w:rPr>
        <w:tab/>
      </w:r>
      <w:bookmarkStart w:id="1286" w:name="_Toc452504008"/>
      <w:r>
        <w:rPr>
          <w:b/>
          <w:bCs/>
          <w:i/>
          <w:noProof/>
        </w:rPr>
        <w:t>Kodolenerģētika</w:t>
      </w:r>
      <w:bookmarkEnd w:id="1286"/>
      <w:r>
        <w:rPr>
          <w:b/>
          <w:i/>
          <w:noProof/>
        </w:rPr>
        <w:t xml:space="preserve"> (ISIC 3.1. red.12, 3.1. red. 23, 120, 1200, 233, 2330, 40, daļa no 4010, CPC 887) </w:t>
      </w:r>
    </w:p>
    <w:p w:rsidR="003E022D" w:rsidRDefault="007D19D6">
      <w:pPr>
        <w:rPr>
          <w:rFonts w:eastAsia="Calibri" w:cs="Times New Roman"/>
          <w:iCs/>
          <w:noProof/>
          <w:u w:val="single"/>
        </w:rPr>
      </w:pPr>
      <w:r>
        <w:rPr>
          <w:noProof/>
          <w:u w:val="single"/>
        </w:rPr>
        <w:t>Attiecībā uz investīciju liberalizāciju – piekļuve tirgum, valsts režīms, augstākā vadība un direktoru padomes un pakalpojumu pārrobežu tirdzniecība – piekļu</w:t>
      </w:r>
      <w:r>
        <w:rPr>
          <w:noProof/>
          <w:u w:val="single"/>
        </w:rPr>
        <w:t xml:space="preserve">ve tirgum, valsts režīms </w:t>
      </w:r>
    </w:p>
    <w:p w:rsidR="003E022D" w:rsidRDefault="007D19D6">
      <w:pPr>
        <w:rPr>
          <w:rFonts w:eastAsia="Calibri" w:cs="Times New Roman"/>
          <w:b/>
          <w:noProof/>
        </w:rPr>
      </w:pPr>
      <w:r>
        <w:rPr>
          <w:b/>
          <w:noProof/>
        </w:rPr>
        <w:t>DE</w:t>
      </w:r>
      <w:r>
        <w:rPr>
          <w:noProof/>
        </w:rPr>
        <w:t xml:space="preserve">: attiecībā uz kodolmateriālu ražošanu, apstrādi un pārvadāšanu un kodolenerģijas ražošanu vai sadali. </w:t>
      </w:r>
    </w:p>
    <w:p w:rsidR="003E022D" w:rsidRDefault="007D19D6">
      <w:pPr>
        <w:rPr>
          <w:rFonts w:eastAsia="Calibri" w:cs="Times New Roman"/>
          <w:iCs/>
          <w:noProof/>
          <w:u w:val="single"/>
        </w:rPr>
      </w:pPr>
      <w:r>
        <w:rPr>
          <w:noProof/>
          <w:u w:val="single"/>
        </w:rPr>
        <w:t>Attiecībā uz investīciju liberalizāciju – piekļuve tirgum, valsts režīms un pakalpojumu pārrobežu tirdzniecība – piekļuve ti</w:t>
      </w:r>
      <w:r>
        <w:rPr>
          <w:noProof/>
          <w:u w:val="single"/>
        </w:rPr>
        <w:t xml:space="preserve">rgum, valsts režīms </w:t>
      </w:r>
    </w:p>
    <w:p w:rsidR="003E022D" w:rsidRDefault="007D19D6">
      <w:pPr>
        <w:rPr>
          <w:rFonts w:eastAsia="Calibri" w:cs="Times New Roman"/>
          <w:noProof/>
        </w:rPr>
      </w:pPr>
      <w:r>
        <w:rPr>
          <w:b/>
          <w:noProof/>
        </w:rPr>
        <w:t>AT</w:t>
      </w:r>
      <w:r>
        <w:rPr>
          <w:noProof/>
        </w:rPr>
        <w:t xml:space="preserve"> un</w:t>
      </w:r>
      <w:r>
        <w:rPr>
          <w:b/>
          <w:noProof/>
        </w:rPr>
        <w:t xml:space="preserve"> FI:</w:t>
      </w:r>
      <w:r>
        <w:rPr>
          <w:noProof/>
        </w:rPr>
        <w:t xml:space="preserve"> attiecībā uz kodolmateriālu ražošanu, pārstrādi, sadali un pārvadāšanu un kodolenerģijas ražošanu vai sadali. </w:t>
      </w:r>
    </w:p>
    <w:p w:rsidR="003E022D" w:rsidRDefault="007D19D6">
      <w:pPr>
        <w:rPr>
          <w:rFonts w:eastAsia="Calibri" w:cs="Times New Roman"/>
          <w:b/>
          <w:noProof/>
        </w:rPr>
      </w:pPr>
      <w:r>
        <w:rPr>
          <w:b/>
          <w:noProof/>
        </w:rPr>
        <w:t>BE</w:t>
      </w:r>
      <w:r>
        <w:rPr>
          <w:noProof/>
        </w:rPr>
        <w:t xml:space="preserve">: attiecībā uz kodolmateriālu ražošanu, apstrādi un pārvadāšanu un kodolenerģijas ražošanu vai sadali. </w:t>
      </w:r>
    </w:p>
    <w:p w:rsidR="003E022D" w:rsidRDefault="007D19D6">
      <w:pPr>
        <w:rPr>
          <w:rFonts w:eastAsia="Calibri" w:cs="Times New Roman"/>
          <w:iCs/>
          <w:noProof/>
          <w:u w:val="single"/>
        </w:rPr>
      </w:pPr>
      <w:r>
        <w:rPr>
          <w:noProof/>
          <w:u w:val="single"/>
        </w:rPr>
        <w:t>Attiecīb</w:t>
      </w:r>
      <w:r>
        <w:rPr>
          <w:noProof/>
          <w:u w:val="single"/>
        </w:rPr>
        <w:t xml:space="preserve">ā uz investīciju liberalizāciju – piekļuve tirgum, valsts režīms, augstākā vadība un direktoru padomes, veiktspējas prasības </w:t>
      </w:r>
    </w:p>
    <w:p w:rsidR="003E022D" w:rsidRDefault="007D19D6">
      <w:pPr>
        <w:rPr>
          <w:rFonts w:eastAsia="Calibri" w:cs="Times New Roman"/>
          <w:noProof/>
        </w:rPr>
      </w:pPr>
      <w:r>
        <w:rPr>
          <w:b/>
          <w:noProof/>
        </w:rPr>
        <w:t>HU</w:t>
      </w:r>
      <w:r>
        <w:rPr>
          <w:noProof/>
        </w:rPr>
        <w:t xml:space="preserve"> un </w:t>
      </w:r>
      <w:r>
        <w:rPr>
          <w:b/>
          <w:noProof/>
        </w:rPr>
        <w:t>SE</w:t>
      </w:r>
      <w:r>
        <w:rPr>
          <w:noProof/>
        </w:rPr>
        <w:t xml:space="preserve">: attiecībā uz kodoldegvielas apstrādi un elektroenerģijas ražošanu atomelektrostacijās. </w:t>
      </w:r>
    </w:p>
    <w:p w:rsidR="003E022D" w:rsidRDefault="007D19D6">
      <w:pPr>
        <w:rPr>
          <w:rFonts w:eastAsia="Calibri" w:cs="Times New Roman"/>
          <w:noProof/>
          <w:u w:val="single"/>
        </w:rPr>
      </w:pPr>
      <w:r>
        <w:rPr>
          <w:noProof/>
          <w:u w:val="single"/>
        </w:rPr>
        <w:t>Attiecībā uz investīciju liberal</w:t>
      </w:r>
      <w:r>
        <w:rPr>
          <w:noProof/>
          <w:u w:val="single"/>
        </w:rPr>
        <w:t xml:space="preserve">izāciju – piekļuve tirgum, valsts režīms, augstākā līmeņa vadība un direktoru padomes </w:t>
      </w:r>
    </w:p>
    <w:p w:rsidR="003E022D" w:rsidRDefault="007D19D6">
      <w:pPr>
        <w:rPr>
          <w:rFonts w:eastAsia="Calibri" w:cs="Times New Roman"/>
          <w:i/>
          <w:iCs/>
          <w:noProof/>
        </w:rPr>
      </w:pPr>
      <w:r>
        <w:rPr>
          <w:b/>
          <w:noProof/>
        </w:rPr>
        <w:t>BG:</w:t>
      </w:r>
      <w:r>
        <w:rPr>
          <w:noProof/>
        </w:rPr>
        <w:t xml:space="preserve"> attiecībā uz skaldmateriālu un kodolsintēzes materiālu vai materiālu, no kuriem tie iegūti, apstrādi, kā arī attiecībā uz tirgošanos ar tiem, uz kodolenerģijas ražoš</w:t>
      </w:r>
      <w:r>
        <w:rPr>
          <w:noProof/>
        </w:rPr>
        <w:t>anas iekārtu aprīkojuma un sistēmu apkopi un remontu, šādu materiālu un to apstrādes gaitā radušos atkritumu pārvadāšanu, jonizējošā starojuma izmantošanu un visiem pārējiem pakalpojumiem, kas ir saistīti ar kodolenerģijas izmantošanu mierīgiem mērķiem (ta</w:t>
      </w:r>
      <w:r>
        <w:rPr>
          <w:noProof/>
        </w:rPr>
        <w:t>i skaitā inženiertehniskajiem un konsultāciju pakalpojumiem, ar programmatūru saistītiem pakalpojumiem utt.).</w:t>
      </w:r>
      <w:r>
        <w:rPr>
          <w:i/>
          <w:iCs/>
          <w:noProof/>
        </w:rPr>
        <w:t xml:space="preserve"> </w:t>
      </w:r>
    </w:p>
    <w:p w:rsidR="003E022D" w:rsidRDefault="007D19D6">
      <w:pPr>
        <w:rPr>
          <w:rFonts w:eastAsia="Calibri" w:cs="Times New Roman"/>
          <w:iCs/>
          <w:noProof/>
          <w:u w:val="single"/>
        </w:rPr>
      </w:pPr>
      <w:r>
        <w:rPr>
          <w:noProof/>
          <w:u w:val="single"/>
        </w:rPr>
        <w:t xml:space="preserve">Attiecībā uz investīciju liberalizāciju – piekļuve tirgum, valsts režīms </w:t>
      </w:r>
    </w:p>
    <w:p w:rsidR="003E022D" w:rsidRDefault="007D19D6">
      <w:pPr>
        <w:rPr>
          <w:rFonts w:eastAsia="Calibri" w:cs="Times New Roman"/>
          <w:noProof/>
        </w:rPr>
      </w:pPr>
      <w:r>
        <w:rPr>
          <w:b/>
          <w:noProof/>
        </w:rPr>
        <w:t>FR</w:t>
      </w:r>
      <w:r>
        <w:rPr>
          <w:noProof/>
        </w:rPr>
        <w:t xml:space="preserve">: veicot šīs darbības, jāievēro </w:t>
      </w:r>
      <w:r>
        <w:rPr>
          <w:i/>
          <w:noProof/>
        </w:rPr>
        <w:t>Euratom</w:t>
      </w:r>
      <w:r>
        <w:rPr>
          <w:noProof/>
        </w:rPr>
        <w:t xml:space="preserve"> nolīgumā noteiktās saistības.</w:t>
      </w:r>
      <w:r>
        <w:rPr>
          <w:noProof/>
        </w:rPr>
        <w:t xml:space="preserve">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noProof/>
        </w:rPr>
      </w:pPr>
      <w:r>
        <w:rPr>
          <w:b/>
          <w:noProof/>
        </w:rPr>
        <w:t>AT</w:t>
      </w:r>
      <w:r>
        <w:rPr>
          <w:noProof/>
        </w:rPr>
        <w:t xml:space="preserve">: </w:t>
      </w:r>
      <w:r>
        <w:rPr>
          <w:i/>
          <w:noProof/>
        </w:rPr>
        <w:t>Bundesverfassungsgesetz für ein atomfreies Österreich</w:t>
      </w:r>
      <w:r>
        <w:rPr>
          <w:noProof/>
        </w:rPr>
        <w:t xml:space="preserve"> (Konstitucionālais likums par kodolbrīvu Austriju) BGBl. I Nr. 149/1999. </w:t>
      </w:r>
    </w:p>
    <w:p w:rsidR="003E022D" w:rsidRDefault="007D19D6">
      <w:pPr>
        <w:rPr>
          <w:rFonts w:eastAsia="Calibri" w:cs="Times New Roman"/>
          <w:noProof/>
        </w:rPr>
      </w:pPr>
      <w:r>
        <w:rPr>
          <w:b/>
          <w:noProof/>
        </w:rPr>
        <w:t>BG</w:t>
      </w:r>
      <w:r>
        <w:rPr>
          <w:noProof/>
        </w:rPr>
        <w:t xml:space="preserve">: Kodolenerģijas drošas izmantošanas likums. </w:t>
      </w:r>
    </w:p>
    <w:p w:rsidR="003E022D" w:rsidRDefault="007D19D6">
      <w:pPr>
        <w:rPr>
          <w:rFonts w:eastAsia="Calibri" w:cs="Times New Roman"/>
          <w:noProof/>
        </w:rPr>
      </w:pPr>
      <w:r>
        <w:rPr>
          <w:b/>
          <w:noProof/>
        </w:rPr>
        <w:t>FI</w:t>
      </w:r>
      <w:r>
        <w:rPr>
          <w:noProof/>
        </w:rPr>
        <w:t xml:space="preserve">: </w:t>
      </w:r>
      <w:r>
        <w:rPr>
          <w:i/>
          <w:noProof/>
        </w:rPr>
        <w:t>Ydinenergialaki</w:t>
      </w:r>
      <w:r>
        <w:rPr>
          <w:noProof/>
        </w:rPr>
        <w:t xml:space="preserve"> (Kodolenerģijas likums) (990/1987). </w:t>
      </w:r>
    </w:p>
    <w:p w:rsidR="003E022D" w:rsidRDefault="007D19D6">
      <w:pPr>
        <w:rPr>
          <w:rFonts w:eastAsia="Calibri" w:cs="Times New Roman"/>
          <w:noProof/>
        </w:rPr>
      </w:pPr>
      <w:r>
        <w:rPr>
          <w:b/>
          <w:noProof/>
        </w:rPr>
        <w:t>HU</w:t>
      </w:r>
      <w:r>
        <w:rPr>
          <w:noProof/>
        </w:rPr>
        <w:t xml:space="preserve">: 1996. gada Likums Nr. CXVI par kodolenerģiju un </w:t>
      </w:r>
    </w:p>
    <w:p w:rsidR="003E022D" w:rsidRDefault="007D19D6">
      <w:pPr>
        <w:rPr>
          <w:rFonts w:eastAsia="Calibri" w:cs="Times New Roman"/>
          <w:noProof/>
        </w:rPr>
      </w:pPr>
      <w:r>
        <w:rPr>
          <w:noProof/>
        </w:rPr>
        <w:t xml:space="preserve">Valdības dekrēts Nr. 72/2000 par kodolenerģiju. </w:t>
      </w:r>
    </w:p>
    <w:p w:rsidR="003E022D" w:rsidRDefault="007D19D6">
      <w:pPr>
        <w:rPr>
          <w:rFonts w:eastAsia="Calibri" w:cs="Times New Roman"/>
          <w:b/>
          <w:bCs/>
          <w:noProof/>
        </w:rPr>
      </w:pPr>
      <w:r>
        <w:rPr>
          <w:b/>
          <w:noProof/>
        </w:rPr>
        <w:t>SE</w:t>
      </w:r>
      <w:r>
        <w:rPr>
          <w:noProof/>
        </w:rPr>
        <w:t xml:space="preserve">: Zviedrijas Vides kodekss (1998: 808) un Likums par darbībām kodoltehnoloģijas jomā (1984: 3). </w:t>
      </w:r>
    </w:p>
    <w:p w:rsidR="003E022D" w:rsidRDefault="007D19D6">
      <w:pPr>
        <w:rPr>
          <w:rFonts w:eastAsia="Calibri" w:cs="Times New Roman"/>
          <w:b/>
          <w:bCs/>
          <w:noProof/>
        </w:rPr>
      </w:pPr>
      <w:r>
        <w:rPr>
          <w:noProof/>
        </w:rPr>
        <w:t xml:space="preserve"> </w:t>
      </w:r>
      <w:r>
        <w:rPr>
          <w:noProof/>
        </w:rPr>
        <w:br w:type="page"/>
      </w:r>
      <w:bookmarkStart w:id="1287" w:name="_Toc452570650"/>
      <w:bookmarkStart w:id="1288" w:name="_Toc452631509"/>
    </w:p>
    <w:p w:rsidR="003E022D" w:rsidRDefault="007D19D6">
      <w:pPr>
        <w:rPr>
          <w:rFonts w:eastAsia="Calibri" w:cs="Times New Roman"/>
          <w:b/>
          <w:bCs/>
          <w:noProof/>
        </w:rPr>
      </w:pPr>
      <w:bookmarkStart w:id="1289" w:name="_Toc479001647"/>
      <w:bookmarkStart w:id="1290" w:name="_Toc53746621"/>
      <w:bookmarkStart w:id="1291" w:name="_Toc57917487"/>
      <w:r>
        <w:rPr>
          <w:b/>
          <w:bCs/>
          <w:noProof/>
        </w:rPr>
        <w:t>23. atruna. Citi pakalpojumi, kas nav iekļauti citur</w:t>
      </w:r>
      <w:bookmarkEnd w:id="1287"/>
      <w:bookmarkEnd w:id="1288"/>
      <w:bookmarkEnd w:id="1289"/>
      <w:bookmarkEnd w:id="1290"/>
      <w:bookmarkEnd w:id="1291"/>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Citi pakalpojumi, kas nav iekļauti citur</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rPr>
                <w:rFonts w:eastAsia="Calibri"/>
                <w:noProof/>
              </w:rPr>
            </w:pPr>
            <w:r>
              <w:rPr>
                <w:noProof/>
              </w:rPr>
              <w:t>CPC 9703, daļa no CPC 612, daļa no CPC 621, daļa no CPC 625, daļa no 85990</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 </w:t>
            </w:r>
            <w:r>
              <w:rPr>
                <w:noProof/>
              </w:rPr>
              <w:br/>
              <w:t xml:space="preserve">Veiktspējas prasības </w:t>
            </w:r>
            <w:r>
              <w:rPr>
                <w:noProof/>
              </w:rPr>
              <w:br/>
            </w:r>
            <w:r>
              <w:rPr>
                <w:noProof/>
              </w:rP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rPr>
          <w:rFonts w:eastAsia="Calibri" w:cs="Times New Roman"/>
          <w:noProof/>
        </w:rPr>
      </w:pPr>
      <w:r>
        <w:rPr>
          <w:b/>
          <w:noProof/>
        </w:rPr>
        <w:t>Apraksts</w:t>
      </w:r>
      <w:r>
        <w:rPr>
          <w:noProof/>
        </w:rPr>
        <w:t xml:space="preserve"> </w:t>
      </w:r>
    </w:p>
    <w:p w:rsidR="003E022D" w:rsidRDefault="007D19D6">
      <w:pPr>
        <w:rPr>
          <w:rFonts w:eastAsia="Calibri" w:cs="Times New Roman"/>
          <w:noProof/>
        </w:rPr>
      </w:pPr>
      <w:r>
        <w:rPr>
          <w:b/>
          <w:noProof/>
        </w:rPr>
        <w:t>EU</w:t>
      </w:r>
      <w:r>
        <w:rPr>
          <w:noProof/>
        </w:rPr>
        <w:t xml:space="preserve"> patur tiesības pieņemt vai atstāt spēkā jebkādu pasākumu attiecībā uz turpmāk minēto. </w:t>
      </w:r>
    </w:p>
    <w:p w:rsidR="003E022D" w:rsidRDefault="007D19D6">
      <w:pPr>
        <w:rPr>
          <w:rFonts w:eastAsia="Calibri" w:cs="Times New Roman"/>
          <w:b/>
          <w:bCs/>
          <w:i/>
          <w:noProof/>
        </w:rPr>
      </w:pPr>
      <w:r>
        <w:rPr>
          <w:b/>
          <w:i/>
          <w:noProof/>
        </w:rPr>
        <w:t>a)</w:t>
      </w:r>
      <w:r>
        <w:rPr>
          <w:b/>
          <w:bCs/>
          <w:i/>
          <w:noProof/>
        </w:rPr>
        <w:t xml:space="preserve"> </w:t>
      </w:r>
      <w:r>
        <w:rPr>
          <w:noProof/>
        </w:rPr>
        <w:tab/>
      </w:r>
      <w:r>
        <w:rPr>
          <w:b/>
          <w:bCs/>
          <w:i/>
          <w:noProof/>
        </w:rPr>
        <w:t>Apbedīšanas, kremācijas un apbedīšanas biroju pakalpoj</w:t>
      </w:r>
      <w:r>
        <w:rPr>
          <w:b/>
          <w:bCs/>
          <w:i/>
          <w:noProof/>
        </w:rPr>
        <w:t>umi (CPC 9703)</w:t>
      </w:r>
      <w:r>
        <w:rPr>
          <w:i/>
          <w:noProof/>
        </w:rPr>
        <w:t xml:space="preserve"> </w:t>
      </w:r>
    </w:p>
    <w:p w:rsidR="003E022D" w:rsidRDefault="007D19D6">
      <w:pPr>
        <w:rPr>
          <w:rFonts w:eastAsia="Calibri" w:cs="Times New Roman"/>
          <w:noProof/>
          <w:u w:val="single"/>
        </w:rPr>
      </w:pPr>
      <w:r>
        <w:rPr>
          <w:noProof/>
          <w:u w:val="single"/>
        </w:rPr>
        <w:t xml:space="preserve">Attiecībā uz investīciju liberalizāciju – piekļuve tirgum, valsts režīms </w:t>
      </w:r>
    </w:p>
    <w:p w:rsidR="003E022D" w:rsidRDefault="007D19D6">
      <w:pPr>
        <w:rPr>
          <w:rFonts w:eastAsia="Calibri" w:cs="Times New Roman"/>
          <w:noProof/>
        </w:rPr>
      </w:pPr>
      <w:r>
        <w:rPr>
          <w:b/>
          <w:noProof/>
        </w:rPr>
        <w:t>FI:</w:t>
      </w:r>
      <w:r>
        <w:rPr>
          <w:noProof/>
        </w:rPr>
        <w:t xml:space="preserve"> kremācijas pakalpojumus var sniegt un kapsētu ekspluatāciju/uzturēšanu var veikt valsts, pašvaldības, pagasti, reliģiskas kopienas vai bezpeļņas fondi vai biedrības. </w:t>
      </w:r>
    </w:p>
    <w:p w:rsidR="003E022D" w:rsidRDefault="007D19D6">
      <w:pPr>
        <w:rPr>
          <w:rFonts w:eastAsia="Calibri" w:cs="Times New Roman"/>
          <w:noProof/>
          <w:u w:val="single"/>
        </w:rPr>
      </w:pPr>
      <w:r>
        <w:rPr>
          <w:noProof/>
          <w:u w:val="single"/>
        </w:rPr>
        <w:t>Attiecībā uz investīciju liberalizāciju – piekļuve tirgum, valsts režīms, augstākā vadīb</w:t>
      </w:r>
      <w:r>
        <w:rPr>
          <w:noProof/>
          <w:u w:val="single"/>
        </w:rPr>
        <w:t xml:space="preserve">a un direktoru padomes un pakalpojumu pārrobežu tirdzniecība – piekļuve tirgum, valsts režīms, klātbūtne uz vietas </w:t>
      </w:r>
    </w:p>
    <w:p w:rsidR="003E022D" w:rsidRDefault="007D19D6">
      <w:pPr>
        <w:rPr>
          <w:rFonts w:eastAsia="Calibri" w:cs="Times New Roman"/>
          <w:b/>
          <w:bCs/>
          <w:noProof/>
        </w:rPr>
      </w:pPr>
      <w:r>
        <w:rPr>
          <w:b/>
          <w:noProof/>
        </w:rPr>
        <w:t>DE:</w:t>
      </w:r>
      <w:r>
        <w:rPr>
          <w:i/>
          <w:noProof/>
        </w:rPr>
        <w:t xml:space="preserve"> </w:t>
      </w:r>
      <w:r>
        <w:rPr>
          <w:noProof/>
        </w:rPr>
        <w:t>kapsētu var pārvaldīt tikai atbilstīgi publiskajiem tiesību aktiem izveidotas juridiskas personas. Kapsētu izveide un pārvaldība un ar b</w:t>
      </w:r>
      <w:r>
        <w:rPr>
          <w:noProof/>
        </w:rPr>
        <w:t xml:space="preserve">ērēm saistīti pakalpojumi. </w:t>
      </w:r>
    </w:p>
    <w:p w:rsidR="003E022D" w:rsidRDefault="007D19D6">
      <w:pPr>
        <w:rPr>
          <w:rFonts w:eastAsia="Calibri" w:cs="Times New Roman"/>
          <w:noProof/>
        </w:rPr>
      </w:pPr>
      <w:r>
        <w:rPr>
          <w:b/>
          <w:noProof/>
        </w:rPr>
        <w:t xml:space="preserve">PT: </w:t>
      </w:r>
      <w:r>
        <w:rPr>
          <w:noProof/>
        </w:rPr>
        <w:t xml:space="preserve">lai sniegtu apbedīšanas un apbedīšanas biroju pakalpojumus, ir vajadzīga komerciāla klātbūtne. EEZ valstspiederība ir vajadzīga, lai kļūtu par tehnisko vadītāju struktūrās, kas sniedz apbedīšanas un apbedīšanas biroju pakalpojumus. </w:t>
      </w:r>
    </w:p>
    <w:p w:rsidR="003E022D" w:rsidRDefault="007D19D6">
      <w:pPr>
        <w:rPr>
          <w:rFonts w:eastAsia="Calibri" w:cs="Times New Roman"/>
          <w:noProof/>
        </w:rPr>
      </w:pPr>
      <w:r>
        <w:rPr>
          <w:b/>
          <w:noProof/>
        </w:rPr>
        <w:t>SE</w:t>
      </w:r>
      <w:r>
        <w:rPr>
          <w:noProof/>
        </w:rPr>
        <w:t>: Zviedrijas Baznīcai</w:t>
      </w:r>
      <w:r>
        <w:rPr>
          <w:noProof/>
        </w:rPr>
        <w:t xml:space="preserve"> vai vietējai pašvaldības iestādei ir monopols kremēšanas un apbedīšanas pakalpojumu jomā. </w:t>
      </w:r>
    </w:p>
    <w:p w:rsidR="003E022D" w:rsidRDefault="007D19D6">
      <w:pPr>
        <w:rPr>
          <w:rFonts w:eastAsia="Calibri" w:cs="Times New Roman"/>
          <w:noProof/>
        </w:rPr>
      </w:pPr>
      <w:r>
        <w:rPr>
          <w:b/>
          <w:noProof/>
        </w:rPr>
        <w:t>CY</w:t>
      </w:r>
      <w:r>
        <w:rPr>
          <w:noProof/>
        </w:rPr>
        <w:t xml:space="preserve">, </w:t>
      </w:r>
      <w:r>
        <w:rPr>
          <w:b/>
          <w:noProof/>
        </w:rPr>
        <w:t>SI</w:t>
      </w:r>
      <w:r>
        <w:rPr>
          <w:noProof/>
        </w:rPr>
        <w:t xml:space="preserve">: bēru rīkošanas, kremēšanas un apbedīšanas pakalpojumi. </w:t>
      </w:r>
    </w:p>
    <w:p w:rsidR="003E022D" w:rsidRDefault="007D19D6">
      <w:pPr>
        <w:rPr>
          <w:rFonts w:eastAsia="Calibri" w:cs="Times New Roman"/>
          <w:b/>
          <w:bCs/>
          <w:i/>
          <w:noProof/>
        </w:rPr>
      </w:pPr>
      <w:r>
        <w:rPr>
          <w:b/>
          <w:i/>
          <w:noProof/>
        </w:rPr>
        <w:t xml:space="preserve">Esošie pasākumi </w:t>
      </w:r>
    </w:p>
    <w:p w:rsidR="003E022D" w:rsidRDefault="007D19D6">
      <w:pPr>
        <w:rPr>
          <w:rFonts w:eastAsia="Calibri" w:cs="Times New Roman"/>
          <w:noProof/>
        </w:rPr>
      </w:pPr>
      <w:r>
        <w:rPr>
          <w:b/>
          <w:noProof/>
        </w:rPr>
        <w:t>FI:</w:t>
      </w:r>
      <w:r>
        <w:rPr>
          <w:noProof/>
        </w:rPr>
        <w:t xml:space="preserve"> </w:t>
      </w:r>
      <w:r>
        <w:rPr>
          <w:i/>
          <w:noProof/>
        </w:rPr>
        <w:t>Hautaustoimilaki</w:t>
      </w:r>
      <w:r>
        <w:rPr>
          <w:noProof/>
        </w:rPr>
        <w:t xml:space="preserve"> (Likums par apbedīšanas pakalpojumiem) (457/2003). </w:t>
      </w:r>
    </w:p>
    <w:p w:rsidR="003E022D" w:rsidRDefault="007D19D6">
      <w:pPr>
        <w:rPr>
          <w:rFonts w:eastAsia="Calibri" w:cs="Times New Roman"/>
          <w:noProof/>
        </w:rPr>
      </w:pPr>
      <w:r>
        <w:rPr>
          <w:b/>
          <w:noProof/>
        </w:rPr>
        <w:t>PT</w:t>
      </w:r>
      <w:r>
        <w:rPr>
          <w:noProof/>
        </w:rPr>
        <w:t>: 16. ja</w:t>
      </w:r>
      <w:r>
        <w:rPr>
          <w:noProof/>
        </w:rPr>
        <w:t xml:space="preserve">nvāra Dekrētlikums 10/2015, </w:t>
      </w:r>
      <w:r>
        <w:rPr>
          <w:i/>
          <w:noProof/>
        </w:rPr>
        <w:t>alterada p/Lei 15/2018, 27 março.</w:t>
      </w:r>
      <w:r>
        <w:rPr>
          <w:noProof/>
        </w:rPr>
        <w:t xml:space="preserve"> </w:t>
      </w:r>
    </w:p>
    <w:p w:rsidR="003E022D" w:rsidRDefault="007D19D6">
      <w:pPr>
        <w:rPr>
          <w:rFonts w:eastAsia="Calibri" w:cs="Times New Roman"/>
          <w:b/>
          <w:noProof/>
        </w:rPr>
      </w:pPr>
      <w:r>
        <w:rPr>
          <w:b/>
          <w:noProof/>
        </w:rPr>
        <w:t xml:space="preserve">SE: </w:t>
      </w:r>
      <w:r>
        <w:rPr>
          <w:i/>
          <w:noProof/>
        </w:rPr>
        <w:t>Begravningslag</w:t>
      </w:r>
      <w:r>
        <w:rPr>
          <w:noProof/>
        </w:rPr>
        <w:t xml:space="preserve"> (1990:1144) (Apbedīšanas likums); </w:t>
      </w:r>
      <w:r>
        <w:rPr>
          <w:i/>
          <w:noProof/>
        </w:rPr>
        <w:t>Begravningsförordningen</w:t>
      </w:r>
      <w:r>
        <w:rPr>
          <w:noProof/>
        </w:rPr>
        <w:t xml:space="preserve"> (1990:1147) (Rīkojums par apbedīšanu).</w:t>
      </w:r>
    </w:p>
    <w:p w:rsidR="003E022D" w:rsidRDefault="007D19D6">
      <w:pPr>
        <w:rPr>
          <w:rFonts w:eastAsia="Calibri" w:cs="Times New Roman"/>
          <w:b/>
          <w:bCs/>
          <w:i/>
          <w:noProof/>
        </w:rPr>
      </w:pPr>
      <w:r>
        <w:rPr>
          <w:b/>
          <w:i/>
          <w:noProof/>
        </w:rPr>
        <w:t>b)</w:t>
      </w:r>
      <w:r>
        <w:rPr>
          <w:b/>
          <w:bCs/>
          <w:i/>
          <w:noProof/>
        </w:rPr>
        <w:t xml:space="preserve"> </w:t>
      </w:r>
      <w:r>
        <w:rPr>
          <w:noProof/>
        </w:rPr>
        <w:tab/>
      </w:r>
      <w:r>
        <w:rPr>
          <w:i/>
          <w:noProof/>
        </w:rPr>
        <w:t xml:space="preserve">Citi ar darījumdarbību saistīti pakalpojumi </w:t>
      </w:r>
    </w:p>
    <w:p w:rsidR="003E022D" w:rsidRDefault="007D19D6">
      <w:pPr>
        <w:rPr>
          <w:rFonts w:eastAsia="Calibri" w:cs="Times New Roman"/>
          <w:noProof/>
          <w:u w:val="single"/>
        </w:rPr>
      </w:pPr>
      <w:r>
        <w:rPr>
          <w:noProof/>
          <w:u w:val="single"/>
        </w:rPr>
        <w:t>Attiecībā uz pakalpojumu pār</w:t>
      </w:r>
      <w:r>
        <w:rPr>
          <w:noProof/>
          <w:u w:val="single"/>
        </w:rPr>
        <w:t xml:space="preserve">robežu tirdzniecību – piekļuve tirgum </w:t>
      </w:r>
    </w:p>
    <w:p w:rsidR="003E022D" w:rsidRDefault="007D19D6">
      <w:pPr>
        <w:rPr>
          <w:rFonts w:eastAsia="Calibri" w:cs="Times New Roman"/>
          <w:noProof/>
        </w:rPr>
      </w:pPr>
      <w:r>
        <w:rPr>
          <w:b/>
          <w:noProof/>
        </w:rPr>
        <w:t>FI</w:t>
      </w:r>
      <w:r>
        <w:rPr>
          <w:noProof/>
        </w:rPr>
        <w:t xml:space="preserve">: elektroniskās identifikācijas pakalpojumus drīkst sniegt tikai uzņēmumi, kuri veic uzņēmējdarbību Somijā vai citā EEZ dalībvalstī. </w:t>
      </w:r>
    </w:p>
    <w:p w:rsidR="003E022D" w:rsidRDefault="007D19D6">
      <w:pPr>
        <w:rPr>
          <w:rFonts w:eastAsia="Calibri" w:cs="Times New Roman"/>
          <w:b/>
          <w:i/>
          <w:noProof/>
        </w:rPr>
      </w:pPr>
      <w:r>
        <w:rPr>
          <w:b/>
          <w:i/>
          <w:noProof/>
        </w:rPr>
        <w:t xml:space="preserve">Esošie pasākumi </w:t>
      </w:r>
    </w:p>
    <w:p w:rsidR="003E022D" w:rsidRDefault="007D19D6">
      <w:pPr>
        <w:rPr>
          <w:rFonts w:eastAsia="Calibri" w:cs="Times New Roman"/>
          <w:b/>
          <w:noProof/>
        </w:rPr>
      </w:pPr>
      <w:r>
        <w:rPr>
          <w:b/>
          <w:noProof/>
        </w:rPr>
        <w:t>FI</w:t>
      </w:r>
      <w:r>
        <w:rPr>
          <w:noProof/>
        </w:rPr>
        <w:t xml:space="preserve">: </w:t>
      </w:r>
      <w:r>
        <w:rPr>
          <w:i/>
          <w:noProof/>
        </w:rPr>
        <w:t xml:space="preserve">Laki vahvasta sähköisestä tunnistamisesta ja sähköisistä </w:t>
      </w:r>
      <w:r>
        <w:rPr>
          <w:i/>
          <w:noProof/>
        </w:rPr>
        <w:t>luottamuspalveluista</w:t>
      </w:r>
      <w:r>
        <w:rPr>
          <w:noProof/>
        </w:rPr>
        <w:t xml:space="preserve"> 617/2009 (Likums 617/2009 par spēcīgu elektronisko identifikāciju un elektroniskajiem uzticamības pakalpojumiem). </w:t>
      </w:r>
    </w:p>
    <w:p w:rsidR="003E022D" w:rsidRDefault="007D19D6">
      <w:pPr>
        <w:rPr>
          <w:rFonts w:eastAsia="Calibri" w:cs="Times New Roman"/>
          <w:b/>
          <w:bCs/>
          <w:i/>
          <w:noProof/>
        </w:rPr>
      </w:pPr>
      <w:r>
        <w:rPr>
          <w:b/>
          <w:i/>
          <w:noProof/>
        </w:rPr>
        <w:t>c)</w:t>
      </w:r>
      <w:r>
        <w:rPr>
          <w:b/>
          <w:bCs/>
          <w:i/>
          <w:noProof/>
        </w:rPr>
        <w:t xml:space="preserve"> </w:t>
      </w:r>
      <w:r>
        <w:rPr>
          <w:noProof/>
        </w:rPr>
        <w:tab/>
      </w:r>
      <w:r>
        <w:rPr>
          <w:b/>
          <w:bCs/>
          <w:i/>
          <w:noProof/>
        </w:rPr>
        <w:t xml:space="preserve">Jauni pakalpojumi </w:t>
      </w:r>
    </w:p>
    <w:p w:rsidR="003E022D" w:rsidRDefault="007D19D6">
      <w:pPr>
        <w:rPr>
          <w:rFonts w:eastAsia="Calibri" w:cs="Times New Roman"/>
          <w:noProof/>
          <w:u w:val="single"/>
        </w:rPr>
      </w:pPr>
      <w:r>
        <w:rPr>
          <w:noProof/>
          <w:u w:val="single"/>
        </w:rPr>
        <w:t>Attiecībā uz investīciju liberalizāciju – piekļuve tirgum, valsts režīms, augstākā vadība un dire</w:t>
      </w:r>
      <w:r>
        <w:rPr>
          <w:noProof/>
          <w:u w:val="single"/>
        </w:rPr>
        <w:t xml:space="preserve">ktoru padomes, veiktspējas prasības un pakalpojumu pārrobežu tirdzniecība – piekļuve tirgum, valsts režīms, klātbūtne uz vietas </w:t>
      </w:r>
    </w:p>
    <w:p w:rsidR="003E022D" w:rsidRDefault="007D19D6">
      <w:pPr>
        <w:rPr>
          <w:rFonts w:eastAsia="Calibri" w:cs="Times New Roman"/>
          <w:noProof/>
        </w:rPr>
      </w:pPr>
      <w:r>
        <w:rPr>
          <w:b/>
          <w:noProof/>
        </w:rPr>
        <w:t>EU</w:t>
      </w:r>
      <w:r>
        <w:rPr>
          <w:noProof/>
        </w:rPr>
        <w:t>: attiecībā uz tādu jaunu pakalpojumu sniegšanu, kas nav klasificēti Apvienoto Nāciju Organizācijas 1991. gada Centrālajā pre</w:t>
      </w:r>
      <w:r>
        <w:rPr>
          <w:noProof/>
        </w:rPr>
        <w:t xml:space="preserve">ču klasifikācijā (“CPC”). </w:t>
      </w:r>
    </w:p>
    <w:p w:rsidR="003E022D" w:rsidRDefault="007D19D6">
      <w:pPr>
        <w:rPr>
          <w:rFonts w:cstheme="minorHAnsi"/>
          <w:b/>
          <w:bCs/>
          <w:noProof/>
          <w:u w:val="single"/>
        </w:rPr>
      </w:pPr>
      <w:r>
        <w:rPr>
          <w:b/>
          <w:bCs/>
          <w:noProof/>
          <w:u w:val="single"/>
        </w:rPr>
        <w:t>Apvienotās Karalistes saraksts</w:t>
      </w:r>
    </w:p>
    <w:p w:rsidR="003E022D" w:rsidRDefault="007D19D6">
      <w:pPr>
        <w:spacing w:after="200" w:line="265" w:lineRule="auto"/>
        <w:ind w:left="-3" w:hanging="10"/>
        <w:rPr>
          <w:rFonts w:cstheme="minorHAnsi"/>
          <w:b/>
          <w:noProof/>
        </w:rPr>
      </w:pPr>
      <w:r>
        <w:rPr>
          <w:b/>
          <w:noProof/>
        </w:rPr>
        <w:t xml:space="preserve">1. atruna. Visas nozares </w:t>
      </w:r>
    </w:p>
    <w:p w:rsidR="003E022D" w:rsidRDefault="007D19D6">
      <w:pPr>
        <w:spacing w:after="200" w:line="265" w:lineRule="auto"/>
        <w:ind w:left="-3" w:hanging="10"/>
        <w:rPr>
          <w:rFonts w:cstheme="minorHAnsi"/>
          <w:b/>
          <w:noProof/>
        </w:rPr>
      </w:pPr>
      <w:r>
        <w:rPr>
          <w:b/>
          <w:noProof/>
        </w:rPr>
        <w:t xml:space="preserve">2. atruna. Profesionālie pakalpojumi (visas profesijas, izņemot ar veselību saistītās) </w:t>
      </w:r>
    </w:p>
    <w:p w:rsidR="003E022D" w:rsidRDefault="007D19D6">
      <w:pPr>
        <w:spacing w:after="200" w:line="265" w:lineRule="auto"/>
        <w:ind w:left="-3" w:hanging="10"/>
        <w:rPr>
          <w:rFonts w:cstheme="minorHAnsi"/>
          <w:b/>
          <w:noProof/>
        </w:rPr>
      </w:pPr>
      <w:r>
        <w:rPr>
          <w:b/>
          <w:noProof/>
        </w:rPr>
        <w:t>3. atruna. Profesionālie pakalpojumi (ar veselību saistītie pakalpojumi un zāļu mazu</w:t>
      </w:r>
      <w:r>
        <w:rPr>
          <w:b/>
          <w:noProof/>
        </w:rPr>
        <w:t>mtirdzniecība)</w:t>
      </w:r>
    </w:p>
    <w:p w:rsidR="003E022D" w:rsidRDefault="007D19D6">
      <w:pPr>
        <w:spacing w:after="200" w:line="265" w:lineRule="auto"/>
        <w:ind w:left="-3" w:hanging="10"/>
        <w:rPr>
          <w:rFonts w:cstheme="minorHAnsi"/>
          <w:b/>
          <w:noProof/>
        </w:rPr>
      </w:pPr>
      <w:r>
        <w:rPr>
          <w:b/>
          <w:noProof/>
        </w:rPr>
        <w:t xml:space="preserve">4. atruna. Darījumdarbības pakalpojumi (iekasēšanas aģentūru pakalpojumi un kredītinformācijas pakalpojumi) </w:t>
      </w:r>
    </w:p>
    <w:p w:rsidR="003E022D" w:rsidRDefault="007D19D6">
      <w:pPr>
        <w:spacing w:after="200" w:line="265" w:lineRule="auto"/>
        <w:ind w:left="-3" w:hanging="10"/>
        <w:rPr>
          <w:rFonts w:cstheme="minorHAnsi"/>
          <w:b/>
          <w:noProof/>
        </w:rPr>
      </w:pPr>
      <w:r>
        <w:rPr>
          <w:b/>
          <w:noProof/>
        </w:rPr>
        <w:t xml:space="preserve">5. atruna. Darījumdarbības pakalpojumi (darbā iekārtošanas pakalpojumi) </w:t>
      </w:r>
    </w:p>
    <w:p w:rsidR="003E022D" w:rsidRDefault="007D19D6">
      <w:pPr>
        <w:spacing w:after="200" w:line="265" w:lineRule="auto"/>
        <w:ind w:left="-3" w:hanging="10"/>
        <w:rPr>
          <w:rFonts w:cstheme="minorHAnsi"/>
          <w:b/>
          <w:noProof/>
        </w:rPr>
      </w:pPr>
      <w:r>
        <w:rPr>
          <w:b/>
          <w:noProof/>
        </w:rPr>
        <w:t>6. atruna. Darījumdarbības pakalpojumi (izmeklēšanas pakalp</w:t>
      </w:r>
      <w:r>
        <w:rPr>
          <w:b/>
          <w:noProof/>
        </w:rPr>
        <w:t>ojumi)</w:t>
      </w:r>
    </w:p>
    <w:p w:rsidR="003E022D" w:rsidRDefault="007D19D6">
      <w:pPr>
        <w:spacing w:after="200" w:line="265" w:lineRule="auto"/>
        <w:ind w:left="-3" w:hanging="10"/>
        <w:rPr>
          <w:rFonts w:cstheme="minorHAnsi"/>
          <w:b/>
          <w:noProof/>
        </w:rPr>
      </w:pPr>
      <w:r>
        <w:rPr>
          <w:b/>
          <w:noProof/>
        </w:rPr>
        <w:t xml:space="preserve">7. atruna. Darījumdarbības pakalpojumi (citi darījumdarbības pakalpojumi) </w:t>
      </w:r>
    </w:p>
    <w:p w:rsidR="003E022D" w:rsidRDefault="007D19D6">
      <w:pPr>
        <w:spacing w:after="200" w:line="265" w:lineRule="auto"/>
        <w:ind w:left="-3" w:hanging="10"/>
        <w:rPr>
          <w:rFonts w:cstheme="minorHAnsi"/>
          <w:b/>
          <w:noProof/>
        </w:rPr>
      </w:pPr>
      <w:r>
        <w:rPr>
          <w:b/>
          <w:noProof/>
        </w:rPr>
        <w:t xml:space="preserve">8. atruna. Izglītības pakalpojumi </w:t>
      </w:r>
    </w:p>
    <w:p w:rsidR="003E022D" w:rsidRDefault="007D19D6">
      <w:pPr>
        <w:spacing w:after="200" w:line="265" w:lineRule="auto"/>
        <w:ind w:left="-3" w:hanging="10"/>
        <w:rPr>
          <w:rFonts w:cstheme="minorHAnsi"/>
          <w:b/>
          <w:noProof/>
        </w:rPr>
      </w:pPr>
      <w:r>
        <w:rPr>
          <w:b/>
          <w:noProof/>
        </w:rPr>
        <w:t xml:space="preserve">9. atruna. Finanšu pakalpojumi </w:t>
      </w:r>
    </w:p>
    <w:p w:rsidR="003E022D" w:rsidRDefault="007D19D6">
      <w:pPr>
        <w:spacing w:after="200" w:line="265" w:lineRule="auto"/>
        <w:ind w:left="-3" w:hanging="10"/>
        <w:rPr>
          <w:rFonts w:cstheme="minorHAnsi"/>
          <w:b/>
          <w:noProof/>
        </w:rPr>
      </w:pPr>
      <w:r>
        <w:rPr>
          <w:b/>
          <w:noProof/>
        </w:rPr>
        <w:t xml:space="preserve">10. atruna. Veselības un sociālie pakalpojumi </w:t>
      </w:r>
    </w:p>
    <w:p w:rsidR="003E022D" w:rsidRDefault="007D19D6">
      <w:pPr>
        <w:spacing w:after="200" w:line="265" w:lineRule="auto"/>
        <w:ind w:left="-3" w:hanging="10"/>
        <w:rPr>
          <w:rFonts w:cstheme="minorHAnsi"/>
          <w:b/>
          <w:noProof/>
        </w:rPr>
      </w:pPr>
      <w:r>
        <w:rPr>
          <w:b/>
          <w:noProof/>
        </w:rPr>
        <w:t xml:space="preserve">11. atruna. Atpūtas, kultūras un sporta pakalpojumi </w:t>
      </w:r>
    </w:p>
    <w:p w:rsidR="003E022D" w:rsidRDefault="007D19D6">
      <w:pPr>
        <w:spacing w:after="200" w:line="265" w:lineRule="auto"/>
        <w:ind w:left="-3" w:hanging="10"/>
        <w:rPr>
          <w:rFonts w:cstheme="minorHAnsi"/>
          <w:b/>
          <w:noProof/>
        </w:rPr>
      </w:pPr>
      <w:r>
        <w:rPr>
          <w:b/>
          <w:noProof/>
        </w:rPr>
        <w:t xml:space="preserve">12. atruna. Transporta pakalpojumi un transporta pakalpojumu palīgpakalpojumi </w:t>
      </w:r>
    </w:p>
    <w:p w:rsidR="003E022D" w:rsidRDefault="007D19D6">
      <w:pPr>
        <w:spacing w:after="200" w:line="265" w:lineRule="auto"/>
        <w:ind w:left="-3" w:hanging="10"/>
        <w:rPr>
          <w:rFonts w:cstheme="minorHAnsi"/>
          <w:b/>
          <w:noProof/>
        </w:rPr>
      </w:pPr>
      <w:r>
        <w:rPr>
          <w:b/>
          <w:noProof/>
        </w:rPr>
        <w:t xml:space="preserve">13. atruna. Zvejniecība un ūdens </w:t>
      </w:r>
    </w:p>
    <w:p w:rsidR="003E022D" w:rsidRDefault="007D19D6">
      <w:pPr>
        <w:spacing w:after="200" w:line="265" w:lineRule="auto"/>
        <w:ind w:left="-3" w:hanging="10"/>
        <w:rPr>
          <w:rFonts w:cstheme="minorHAnsi"/>
          <w:b/>
          <w:noProof/>
        </w:rPr>
      </w:pPr>
      <w:r>
        <w:rPr>
          <w:b/>
          <w:noProof/>
        </w:rPr>
        <w:t xml:space="preserve">14. atruna. Ar enerģiju saistītas darbības </w:t>
      </w:r>
    </w:p>
    <w:p w:rsidR="003E022D" w:rsidRDefault="007D19D6">
      <w:pPr>
        <w:spacing w:after="200" w:line="265" w:lineRule="auto"/>
        <w:ind w:left="-3" w:hanging="10"/>
        <w:rPr>
          <w:rFonts w:cstheme="minorHAnsi"/>
          <w:b/>
          <w:noProof/>
        </w:rPr>
      </w:pPr>
      <w:r>
        <w:rPr>
          <w:b/>
          <w:noProof/>
        </w:rPr>
        <w:t xml:space="preserve">15. atruna. Citi pakalpojumi, kas nav iekļauti citur </w:t>
      </w:r>
    </w:p>
    <w:p w:rsidR="003E022D" w:rsidRDefault="007D19D6">
      <w:pPr>
        <w:rPr>
          <w:rFonts w:cstheme="minorHAnsi"/>
          <w:b/>
          <w:noProof/>
        </w:rPr>
      </w:pPr>
      <w:r>
        <w:rPr>
          <w:noProof/>
        </w:rPr>
        <w:br w:type="page"/>
      </w:r>
    </w:p>
    <w:p w:rsidR="003E022D" w:rsidRDefault="007D19D6">
      <w:pPr>
        <w:spacing w:after="200" w:line="265" w:lineRule="auto"/>
        <w:ind w:left="-3" w:hanging="10"/>
        <w:rPr>
          <w:rFonts w:cstheme="minorHAnsi"/>
          <w:b/>
          <w:noProof/>
        </w:rPr>
      </w:pPr>
      <w:r>
        <w:rPr>
          <w:b/>
          <w:noProof/>
        </w:rPr>
        <w:t>1. atruna. Visas nozares</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b/>
                <w:i/>
                <w:noProof/>
              </w:rPr>
            </w:pPr>
            <w:r>
              <w:rPr>
                <w:b/>
                <w:i/>
                <w:noProof/>
              </w:rPr>
              <w:t xml:space="preserve">Visas </w:t>
            </w:r>
            <w:r>
              <w:rPr>
                <w:b/>
                <w:i/>
                <w:noProof/>
              </w:rPr>
              <w:t>nozares</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Veiktspējas prasības </w:t>
            </w:r>
            <w:r>
              <w:rPr>
                <w:noProof/>
              </w:rPr>
              <w:br/>
              <w:t xml:space="preserve">Klātbūtne uz vietas </w:t>
            </w:r>
            <w:r>
              <w:rPr>
                <w:noProof/>
              </w:rPr>
              <w:br/>
              <w:t xml:space="preserve">Ar juridiskajiem pakalpojumiem saistītās saistības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pakalpojumu pārrobežu tirdzni</w:t>
            </w:r>
            <w:r>
              <w:rPr>
                <w:noProof/>
              </w:rPr>
              <w:t>ecība un tiesiskais regulējums</w:t>
            </w:r>
          </w:p>
        </w:tc>
      </w:tr>
    </w:tbl>
    <w:p w:rsidR="003E022D" w:rsidRDefault="003E022D">
      <w:pPr>
        <w:rPr>
          <w:noProof/>
        </w:rPr>
      </w:pPr>
    </w:p>
    <w:p w:rsidR="003E022D" w:rsidRDefault="007D19D6">
      <w:pPr>
        <w:spacing w:after="184"/>
        <w:ind w:left="10" w:right="15"/>
        <w:rPr>
          <w:rFonts w:cstheme="minorHAnsi"/>
          <w:b/>
          <w:noProof/>
        </w:rPr>
      </w:pPr>
      <w:r>
        <w:rPr>
          <w:b/>
          <w:noProof/>
        </w:rPr>
        <w:t xml:space="preserve">Apraksts  </w:t>
      </w:r>
    </w:p>
    <w:p w:rsidR="003E022D" w:rsidRDefault="007D19D6">
      <w:pPr>
        <w:spacing w:after="184"/>
        <w:ind w:left="10" w:right="15"/>
        <w:rPr>
          <w:rFonts w:cstheme="minorHAnsi"/>
          <w:noProof/>
        </w:rPr>
      </w:pPr>
      <w:r>
        <w:rPr>
          <w:noProof/>
        </w:rPr>
        <w:t xml:space="preserve">Apvienotā Karaliste patur tiesības pieņemt vai atstāt spēkā jebkādu pasākumu attiecībā uz turpmāk minēto. </w:t>
      </w:r>
    </w:p>
    <w:p w:rsidR="003E022D" w:rsidRDefault="007D19D6">
      <w:pPr>
        <w:pStyle w:val="ListParagraph"/>
        <w:numPr>
          <w:ilvl w:val="0"/>
          <w:numId w:val="815"/>
        </w:numPr>
        <w:spacing w:after="164" w:line="265" w:lineRule="auto"/>
        <w:rPr>
          <w:rFonts w:cstheme="minorHAnsi"/>
          <w:b/>
          <w:i/>
          <w:iCs/>
          <w:noProof/>
        </w:rPr>
      </w:pPr>
      <w:r>
        <w:rPr>
          <w:b/>
          <w:i/>
          <w:iCs/>
          <w:noProof/>
        </w:rPr>
        <w:t xml:space="preserve">Komerciāla klātbūtne </w:t>
      </w:r>
    </w:p>
    <w:p w:rsidR="003E022D" w:rsidRDefault="007D19D6">
      <w:pPr>
        <w:spacing w:after="115" w:line="265" w:lineRule="auto"/>
        <w:ind w:left="10" w:right="16" w:hanging="10"/>
        <w:rPr>
          <w:rFonts w:cstheme="minorHAnsi"/>
          <w:noProof/>
        </w:rPr>
      </w:pPr>
      <w:r>
        <w:rPr>
          <w:noProof/>
          <w:u w:val="single"/>
        </w:rPr>
        <w:t>Attiecībā uz investīciju liberalizāciju – piekļuve tirgum</w:t>
      </w:r>
      <w:r>
        <w:rPr>
          <w:noProof/>
        </w:rPr>
        <w:t xml:space="preserve"> </w:t>
      </w:r>
    </w:p>
    <w:p w:rsidR="003E022D" w:rsidRDefault="007D19D6">
      <w:pPr>
        <w:spacing w:after="116"/>
        <w:ind w:left="10" w:right="15"/>
        <w:rPr>
          <w:rFonts w:cstheme="minorHAnsi"/>
          <w:noProof/>
        </w:rPr>
      </w:pPr>
      <w:r>
        <w:rPr>
          <w:noProof/>
        </w:rPr>
        <w:t xml:space="preserve">Uz pakalpojumiem, kurus uzskata par sabiedriskajiem pakalpojumiem valsts vai pašvaldību līmenī, var attiecināt valsts monopolus vai ekskluzīvas tiesības, ko piešķir privātiem uzņēmumiem. </w:t>
      </w:r>
    </w:p>
    <w:p w:rsidR="003E022D" w:rsidRDefault="007D19D6">
      <w:pPr>
        <w:spacing w:after="116"/>
        <w:ind w:left="10" w:right="15"/>
        <w:rPr>
          <w:rFonts w:cstheme="minorHAnsi"/>
          <w:noProof/>
        </w:rPr>
      </w:pPr>
      <w:r>
        <w:rPr>
          <w:noProof/>
        </w:rPr>
        <w:t>Sabiedriskie pakalpojumi pastāv tādās nozarēs kā saistītie zinātnisk</w:t>
      </w:r>
      <w:r>
        <w:rPr>
          <w:noProof/>
        </w:rPr>
        <w:t>o un tehnisko konsultāciju pakalpojumi, pētniecības un izstrādes (R&amp;D) pakalpojumi sociālajās un humanitārajās zinātnēs, tehniskās testēšanas un analīzes pakalpojumi, vidiskie pakalpojumi, veselības pakalpojumi, transporta pakalpojumi un palīgpakalpojumi v</w:t>
      </w:r>
      <w:r>
        <w:rPr>
          <w:noProof/>
        </w:rPr>
        <w:t>isiem transporta veidiem. Ekskluzīvas tiesības sniegt šādus pakalpojumus parasti piešķir privātiem uzņēmumiem, piemēram, uzņēmumiem, kuriem ir publisku iestāžu koncesijas, ievērojot īpašas pakalpojumu sniegšanas saistības. Tā kā sabiedriskie pakalpojumi bi</w:t>
      </w:r>
      <w:r>
        <w:rPr>
          <w:noProof/>
        </w:rPr>
        <w:t xml:space="preserve">eži pastāv arī līmenī, kas zemāks par centrālo līmeni, nav lietderīgi detalizētu un izsmeļošu sarakstu veidot katrai nozarei atsevišķi. Šī atruna neattiecas uz telesakariem, datorpakalpojumiem un ar datoriem saistītiem pakalpojumiem. </w:t>
      </w:r>
    </w:p>
    <w:p w:rsidR="003E022D" w:rsidRDefault="007D19D6">
      <w:pPr>
        <w:pStyle w:val="ListParagraph"/>
        <w:numPr>
          <w:ilvl w:val="0"/>
          <w:numId w:val="815"/>
        </w:numPr>
        <w:spacing w:after="111" w:line="265" w:lineRule="auto"/>
        <w:ind w:right="16"/>
        <w:rPr>
          <w:rFonts w:cstheme="minorHAnsi"/>
          <w:b/>
          <w:i/>
          <w:iCs/>
          <w:noProof/>
        </w:rPr>
      </w:pPr>
      <w:r>
        <w:rPr>
          <w:b/>
          <w:i/>
          <w:iCs/>
          <w:noProof/>
        </w:rPr>
        <w:t>Lielākās labvēlības r</w:t>
      </w:r>
      <w:r>
        <w:rPr>
          <w:b/>
          <w:i/>
          <w:iCs/>
          <w:noProof/>
        </w:rPr>
        <w:t xml:space="preserve">ežīms </w:t>
      </w:r>
    </w:p>
    <w:p w:rsidR="003E022D" w:rsidRDefault="007D19D6">
      <w:pPr>
        <w:spacing w:after="111" w:line="265" w:lineRule="auto"/>
        <w:ind w:right="16"/>
        <w:rPr>
          <w:rFonts w:cstheme="minorHAnsi"/>
          <w:noProof/>
        </w:rPr>
      </w:pPr>
      <w:r>
        <w:rPr>
          <w:noProof/>
          <w:u w:val="single"/>
        </w:rPr>
        <w:t>Attiecībā uz investīciju liberalizāciju – lielākās labvēlības režīms un pakalpojumu pārrobežu tirdzniecība – lielākās labvēlības režīms un tiesiskais regulējums attiecībā uz juridiskajiem pakalpojumiem – saistības</w:t>
      </w:r>
      <w:r>
        <w:rPr>
          <w:noProof/>
        </w:rPr>
        <w:t xml:space="preserve"> </w:t>
      </w:r>
    </w:p>
    <w:p w:rsidR="003E022D" w:rsidRDefault="007D19D6">
      <w:pPr>
        <w:spacing w:after="109"/>
        <w:ind w:right="15"/>
        <w:rPr>
          <w:rFonts w:cstheme="minorHAnsi"/>
          <w:noProof/>
        </w:rPr>
      </w:pPr>
      <w:r>
        <w:rPr>
          <w:noProof/>
        </w:rPr>
        <w:t>Atšķirīga režīma nodrošināšana, ie</w:t>
      </w:r>
      <w:r>
        <w:rPr>
          <w:noProof/>
        </w:rPr>
        <w:t xml:space="preserve">vērojot jebkādu starptautisku ieguldījumu nolīgumu vai citu tirdzniecības nolīgumu, kas ir spēkā vai ir parakstīts pirms šā nolīguma stāšanās spēkā. </w:t>
      </w:r>
    </w:p>
    <w:p w:rsidR="003E022D" w:rsidRDefault="007D19D6">
      <w:pPr>
        <w:spacing w:after="109"/>
        <w:ind w:right="15"/>
        <w:rPr>
          <w:rFonts w:cstheme="minorHAnsi"/>
          <w:noProof/>
        </w:rPr>
      </w:pPr>
      <w:r>
        <w:rPr>
          <w:noProof/>
        </w:rPr>
        <w:t>Atšķirīga režīma nodrošināšana valstij, ievērojot esošu vai turpmāku divpusēju vai daudzpusēju nolīgumu, a</w:t>
      </w:r>
      <w:r>
        <w:rPr>
          <w:noProof/>
        </w:rPr>
        <w:t xml:space="preserve">r kuru: </w:t>
      </w:r>
    </w:p>
    <w:p w:rsidR="003E022D" w:rsidRDefault="007D19D6">
      <w:pPr>
        <w:pStyle w:val="ListParagraph"/>
        <w:numPr>
          <w:ilvl w:val="0"/>
          <w:numId w:val="812"/>
        </w:numPr>
        <w:spacing w:after="105" w:line="266" w:lineRule="auto"/>
        <w:ind w:right="15"/>
        <w:rPr>
          <w:rFonts w:cstheme="minorHAnsi"/>
          <w:noProof/>
        </w:rPr>
      </w:pPr>
      <w:r>
        <w:rPr>
          <w:noProof/>
        </w:rPr>
        <w:t xml:space="preserve">izveido pakalpojumu un investīciju iekšējo tirgu; </w:t>
      </w:r>
    </w:p>
    <w:p w:rsidR="003E022D" w:rsidRDefault="007D19D6">
      <w:pPr>
        <w:pStyle w:val="ListParagraph"/>
        <w:numPr>
          <w:ilvl w:val="0"/>
          <w:numId w:val="812"/>
        </w:numPr>
        <w:spacing w:after="105" w:line="266" w:lineRule="auto"/>
        <w:ind w:right="15"/>
        <w:rPr>
          <w:rFonts w:cstheme="minorHAnsi"/>
          <w:noProof/>
        </w:rPr>
      </w:pPr>
      <w:r>
        <w:rPr>
          <w:noProof/>
        </w:rPr>
        <w:t xml:space="preserve">piešķir tiesības veikt uzņēmējdarbību vai </w:t>
      </w:r>
    </w:p>
    <w:p w:rsidR="003E022D" w:rsidRDefault="007D19D6">
      <w:pPr>
        <w:pStyle w:val="ListParagraph"/>
        <w:numPr>
          <w:ilvl w:val="0"/>
          <w:numId w:val="812"/>
        </w:numPr>
        <w:spacing w:after="138" w:line="266" w:lineRule="auto"/>
        <w:ind w:right="15"/>
        <w:rPr>
          <w:rFonts w:cstheme="minorHAnsi"/>
          <w:noProof/>
        </w:rPr>
      </w:pPr>
      <w:r>
        <w:rPr>
          <w:noProof/>
        </w:rPr>
        <w:t xml:space="preserve">pieprasa tiesību aktu tuvināšanu vienā vai vairākās ekonomikas nozarēs. </w:t>
      </w:r>
    </w:p>
    <w:p w:rsidR="003E022D" w:rsidRDefault="007D19D6">
      <w:pPr>
        <w:ind w:right="15"/>
        <w:rPr>
          <w:rFonts w:cstheme="minorHAnsi"/>
          <w:noProof/>
        </w:rPr>
      </w:pPr>
      <w:r>
        <w:rPr>
          <w:noProof/>
        </w:rPr>
        <w:t>Pakalpojumu un uzņēmējdarbības iekšējais tirgus ir tāda iekšēji nenorobežota ter</w:t>
      </w:r>
      <w:r>
        <w:rPr>
          <w:noProof/>
        </w:rPr>
        <w:t xml:space="preserve">itorija, kurā nodrošināta brīva pakalpojumu, kapitāla un personu aprite. </w:t>
      </w:r>
    </w:p>
    <w:p w:rsidR="003E022D" w:rsidRDefault="007D19D6">
      <w:pPr>
        <w:ind w:right="15"/>
        <w:rPr>
          <w:rFonts w:cstheme="minorHAnsi"/>
          <w:noProof/>
        </w:rPr>
      </w:pPr>
      <w:r>
        <w:rPr>
          <w:noProof/>
        </w:rPr>
        <w:t>Tiesības veikt uzņēmējdarbību nozīmē, ka reģionālās ekonomiskās integrācijas nolīguma līgumslēdzējām pusēm, minētajam nolīgumam stājoties spēkā, ir pienākums pēc būtības atcelt jebkā</w:t>
      </w:r>
      <w:r>
        <w:rPr>
          <w:noProof/>
        </w:rPr>
        <w:t>dus savstarpējus uzņēmējdarbības veikšanas ierobežojumus. Tiesības veikt uzņēmējdarbību ietver reģionālās ekonomiskās integrācijas nolīguma pušu valstspiederīgo tiesības izveidot un vadīt uzņēmumus atbilstīgi tādiem pašiem nosacījumiem, kādi uzņēmējdarbība</w:t>
      </w:r>
      <w:r>
        <w:rPr>
          <w:noProof/>
        </w:rPr>
        <w:t xml:space="preserve">s veikšanas valsts tiesību aktos ir attiecināti uz tās valstspiederīgajiem. </w:t>
      </w:r>
    </w:p>
    <w:p w:rsidR="003E022D" w:rsidRDefault="007D19D6">
      <w:pPr>
        <w:ind w:right="15"/>
        <w:rPr>
          <w:rFonts w:cstheme="minorHAnsi"/>
          <w:noProof/>
        </w:rPr>
      </w:pPr>
      <w:r>
        <w:rPr>
          <w:noProof/>
        </w:rPr>
        <w:t xml:space="preserve">Tiesību aktu tuvināšana ir: </w:t>
      </w:r>
    </w:p>
    <w:p w:rsidR="003E022D" w:rsidRDefault="007D19D6">
      <w:pPr>
        <w:numPr>
          <w:ilvl w:val="1"/>
          <w:numId w:val="811"/>
        </w:numPr>
        <w:spacing w:after="138" w:line="266" w:lineRule="auto"/>
        <w:ind w:left="1457" w:right="17" w:hanging="720"/>
        <w:rPr>
          <w:rFonts w:cstheme="minorHAnsi"/>
          <w:noProof/>
        </w:rPr>
      </w:pPr>
      <w:r>
        <w:rPr>
          <w:noProof/>
        </w:rPr>
        <w:t xml:space="preserve">vienas vai vairāku reģionālās ekonomiskās integrācijas nolīguma pušu tiesību aktu saskaņošana ar minētā nolīguma otras Puses vai pārējo pušu tiesību aktiem vai </w:t>
      </w:r>
    </w:p>
    <w:p w:rsidR="003E022D" w:rsidRDefault="007D19D6">
      <w:pPr>
        <w:numPr>
          <w:ilvl w:val="1"/>
          <w:numId w:val="811"/>
        </w:numPr>
        <w:spacing w:after="138" w:line="266" w:lineRule="auto"/>
        <w:ind w:left="1457" w:right="17" w:hanging="720"/>
        <w:rPr>
          <w:rFonts w:cstheme="minorHAnsi"/>
          <w:noProof/>
        </w:rPr>
      </w:pPr>
      <w:r>
        <w:rPr>
          <w:noProof/>
        </w:rPr>
        <w:t xml:space="preserve"> kopīgu normatīvo aktu iekļaušana reģionālās ekonomiskās integrācijas nolīguma līgumslēdzēju pu</w:t>
      </w:r>
      <w:r>
        <w:rPr>
          <w:noProof/>
        </w:rPr>
        <w:t xml:space="preserve">šu tiesību aktos. </w:t>
      </w:r>
    </w:p>
    <w:p w:rsidR="003E022D" w:rsidRDefault="007D19D6">
      <w:pPr>
        <w:spacing w:after="279"/>
        <w:ind w:right="15"/>
        <w:rPr>
          <w:rFonts w:cstheme="minorHAnsi"/>
          <w:noProof/>
        </w:rPr>
      </w:pPr>
      <w:r>
        <w:rPr>
          <w:noProof/>
        </w:rPr>
        <w:t xml:space="preserve">Šādu saskaņošanu vai iekļaušanu veic un uzskata par veiktu tikai tad, kad attiecīgais ir ieviests reģionālās ekonomiskās integrācijas nolīguma puses vai pušu tiesību aktos. </w:t>
      </w:r>
    </w:p>
    <w:p w:rsidR="003E022D" w:rsidRDefault="007D19D6">
      <w:pPr>
        <w:ind w:right="15"/>
        <w:rPr>
          <w:rFonts w:cstheme="minorHAnsi"/>
          <w:noProof/>
        </w:rPr>
      </w:pPr>
      <w:r>
        <w:rPr>
          <w:noProof/>
        </w:rPr>
        <w:t>atšķirīga režīma nodrošināšana attiecībā uz valstspiederīgo vai</w:t>
      </w:r>
      <w:r>
        <w:rPr>
          <w:noProof/>
        </w:rPr>
        <w:t xml:space="preserve"> uzņēmumu tiesībām veikt uzņēmējdarbību, piemērojot esošus vai turpmākus divpusējos nolīgumus, kas noslēgti starp Apvienoto Karalisti un jebkuru turpmāk uzskaitīto valsti, firstisti vai pilsētvalsti: Andoru, Monako, Sanmarīno un Vatikāna Pilsētvalsti.</w:t>
      </w:r>
    </w:p>
    <w:p w:rsidR="003E022D" w:rsidRDefault="007D19D6">
      <w:pPr>
        <w:pStyle w:val="ListParagraph"/>
        <w:numPr>
          <w:ilvl w:val="0"/>
          <w:numId w:val="815"/>
        </w:numPr>
        <w:spacing w:after="230" w:line="265" w:lineRule="auto"/>
        <w:rPr>
          <w:rFonts w:cstheme="minorHAnsi"/>
          <w:b/>
          <w:i/>
          <w:iCs/>
          <w:noProof/>
        </w:rPr>
      </w:pPr>
      <w:r>
        <w:rPr>
          <w:b/>
          <w:i/>
          <w:iCs/>
          <w:noProof/>
        </w:rPr>
        <w:t>Iero</w:t>
      </w:r>
      <w:r>
        <w:rPr>
          <w:b/>
          <w:i/>
          <w:iCs/>
          <w:noProof/>
        </w:rPr>
        <w:t xml:space="preserve">ču, munīcijas un militārais aprīkojums </w:t>
      </w:r>
    </w:p>
    <w:p w:rsidR="003E022D" w:rsidRDefault="007D19D6">
      <w:pPr>
        <w:spacing w:after="239" w:line="265" w:lineRule="auto"/>
        <w:ind w:left="10" w:right="16" w:hanging="10"/>
        <w:rPr>
          <w:rFonts w:cstheme="minorHAnsi"/>
          <w:noProof/>
          <w:u w:val="single"/>
        </w:rPr>
      </w:pPr>
      <w:r>
        <w:rPr>
          <w:noProof/>
          <w:u w:val="single"/>
        </w:rPr>
        <w:t>Attiecībā uz investīciju liberalizāciju – piekļuve tirgum, valsts režīms, lielākās labvēlības režīms, augstākā vadība un direktoru padomes, veiktspējas prasības un pakalpojumu pārrobežu tirdzniecība – piekļuve tirgum, klātbūtne uz vietas, valsts režīms, li</w:t>
      </w:r>
      <w:r>
        <w:rPr>
          <w:noProof/>
          <w:u w:val="single"/>
        </w:rPr>
        <w:t xml:space="preserve">elākās labvēlības režīms </w:t>
      </w:r>
    </w:p>
    <w:p w:rsidR="003E022D" w:rsidRDefault="007D19D6">
      <w:pPr>
        <w:spacing w:after="0"/>
        <w:ind w:left="10" w:right="15"/>
        <w:rPr>
          <w:rFonts w:cstheme="minorHAnsi"/>
          <w:noProof/>
        </w:rPr>
      </w:pPr>
      <w:r>
        <w:rPr>
          <w:noProof/>
        </w:rPr>
        <w:t>Ieroču, munīcijas un militārā aprīkojuma ražošana, izplatīšana vai tirdzniecība Militārais aprīkojums ir jebkurš produkts, kurš ir paredzēts un izgatavots izmantošanai tikai militāriem mērķiem, kas saistīti ar kara darbību vai aiz</w:t>
      </w:r>
      <w:r>
        <w:rPr>
          <w:noProof/>
        </w:rPr>
        <w:t>sardzības darbībām.</w:t>
      </w:r>
    </w:p>
    <w:p w:rsidR="003E022D" w:rsidRDefault="007D19D6">
      <w:pPr>
        <w:rPr>
          <w:rFonts w:cstheme="minorHAnsi"/>
          <w:b/>
          <w:noProof/>
        </w:rPr>
      </w:pPr>
      <w:r>
        <w:rPr>
          <w:noProof/>
        </w:rPr>
        <w:br w:type="page"/>
      </w:r>
    </w:p>
    <w:p w:rsidR="003E022D" w:rsidRDefault="007D19D6">
      <w:pPr>
        <w:spacing w:after="188" w:line="265" w:lineRule="auto"/>
        <w:rPr>
          <w:rFonts w:cstheme="minorHAnsi"/>
          <w:b/>
          <w:noProof/>
        </w:rPr>
      </w:pPr>
      <w:r>
        <w:rPr>
          <w:b/>
          <w:noProof/>
        </w:rPr>
        <w:t>2. atruna. Profesionālie pakalpojumi (visas profesijas, izņemot ar veselību saistītās)</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rPr>
              <w:t>Profesionālie pakalpojumi – juridiskie pakalpojumi, revīzijas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 xml:space="preserve">Daļa no CPC 861, daļa no </w:t>
            </w:r>
            <w:r>
              <w:rPr>
                <w:noProof/>
              </w:rPr>
              <w:t>87902, daļa no 862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Klātbūtne uz vietas </w:t>
            </w:r>
            <w:r>
              <w:rPr>
                <w:noProof/>
              </w:rPr>
              <w:br/>
              <w:t xml:space="preserve">Ar juridiskajiem pakalpojumiem saistītās saistības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pakalpojumu pārrobežu tirdzniecība un ti</w:t>
            </w:r>
            <w:r>
              <w:rPr>
                <w:noProof/>
              </w:rPr>
              <w:t>esiskais regulējums</w:t>
            </w:r>
          </w:p>
        </w:tc>
      </w:tr>
    </w:tbl>
    <w:p w:rsidR="003E022D" w:rsidRDefault="003E022D">
      <w:pPr>
        <w:rPr>
          <w:noProof/>
        </w:rPr>
      </w:pPr>
    </w:p>
    <w:p w:rsidR="003E022D" w:rsidRDefault="007D19D6">
      <w:pPr>
        <w:tabs>
          <w:tab w:val="center" w:pos="3354"/>
        </w:tabs>
        <w:spacing w:after="62"/>
        <w:rPr>
          <w:rFonts w:cstheme="minorHAnsi"/>
          <w:b/>
          <w:noProof/>
        </w:rPr>
      </w:pPr>
      <w:r>
        <w:rPr>
          <w:b/>
          <w:noProof/>
        </w:rPr>
        <w:t>Apraksts</w:t>
      </w:r>
    </w:p>
    <w:p w:rsidR="003E022D" w:rsidRDefault="003E022D">
      <w:pPr>
        <w:tabs>
          <w:tab w:val="center" w:pos="3354"/>
        </w:tabs>
        <w:spacing w:after="62"/>
        <w:rPr>
          <w:rFonts w:cstheme="minorHAnsi"/>
          <w:b/>
          <w:noProof/>
        </w:rPr>
      </w:pPr>
    </w:p>
    <w:p w:rsidR="003E022D" w:rsidRDefault="007D19D6">
      <w:pPr>
        <w:pStyle w:val="ListParagraph"/>
        <w:numPr>
          <w:ilvl w:val="0"/>
          <w:numId w:val="816"/>
        </w:numPr>
        <w:spacing w:after="160" w:line="265" w:lineRule="auto"/>
        <w:rPr>
          <w:rFonts w:cstheme="minorHAnsi"/>
          <w:b/>
          <w:i/>
          <w:iCs/>
          <w:noProof/>
        </w:rPr>
      </w:pPr>
      <w:r>
        <w:rPr>
          <w:b/>
          <w:i/>
          <w:iCs/>
          <w:noProof/>
        </w:rPr>
        <w:t xml:space="preserve">Juridiskie pakalpojumi </w:t>
      </w:r>
    </w:p>
    <w:p w:rsidR="003E022D" w:rsidRDefault="007D19D6">
      <w:pPr>
        <w:spacing w:line="265" w:lineRule="auto"/>
        <w:ind w:hanging="10"/>
        <w:rPr>
          <w:rFonts w:cstheme="minorHAnsi"/>
          <w:b/>
          <w:noProof/>
        </w:rPr>
      </w:pPr>
      <w:r>
        <w:rPr>
          <w:noProof/>
          <w:u w:val="single"/>
        </w:rPr>
        <w:t>Attiecībā uz investīciju liberalizāciju – piekļuve tirgum, augstākā vadība un direktoru padomes, valsts režīms, pakalpojumu pārrobežu tirdzniecība – piekļuve tirgum, klātbūtne uz vietas, valsts režīms</w:t>
      </w:r>
      <w:r>
        <w:rPr>
          <w:noProof/>
          <w:u w:val="single"/>
        </w:rPr>
        <w:t xml:space="preserve"> un tiesiskais regulējums – saistības attiecībā uz juridiskajiem pakalpojumiem</w:t>
      </w:r>
    </w:p>
    <w:p w:rsidR="003E022D" w:rsidRDefault="007D19D6">
      <w:pPr>
        <w:ind w:right="15"/>
        <w:rPr>
          <w:rFonts w:cstheme="minorHAnsi"/>
          <w:noProof/>
        </w:rPr>
      </w:pPr>
      <w:r>
        <w:rPr>
          <w:noProof/>
        </w:rPr>
        <w:t>Apvienotā Karaliste patur tiesības pieņemt vai atstāt spēkā jebkādu pasākumu attiecībā uz juridisko konsultāciju un juridiskās apstiprināšanas, dokumentācijas un sertifikācijas pakalpojumiem, ko sniedz juridiskās jomas speciālisti, kuriem uzticēti publiski</w:t>
      </w:r>
      <w:r>
        <w:rPr>
          <w:noProof/>
        </w:rPr>
        <w:t xml:space="preserve"> pienākumi, piemēram, notāri, kā arī attiecībā uz tiesu izpildītāju pakalpojumiem (daļa no CPC 861, daļa no 87902). </w:t>
      </w:r>
    </w:p>
    <w:p w:rsidR="003E022D" w:rsidRDefault="007D19D6">
      <w:pPr>
        <w:pStyle w:val="ListParagraph"/>
        <w:numPr>
          <w:ilvl w:val="0"/>
          <w:numId w:val="816"/>
        </w:numPr>
        <w:spacing w:after="160" w:line="264" w:lineRule="auto"/>
        <w:rPr>
          <w:rFonts w:cstheme="minorHAnsi"/>
          <w:b/>
          <w:i/>
          <w:iCs/>
          <w:noProof/>
        </w:rPr>
      </w:pPr>
      <w:r>
        <w:rPr>
          <w:b/>
          <w:i/>
          <w:iCs/>
          <w:noProof/>
        </w:rPr>
        <w:t xml:space="preserve">Revīzijas pakalpojumi (CPC 86211, 86212, izņemot grāmatvedības un uzskaites pakalpojumus) </w:t>
      </w:r>
    </w:p>
    <w:p w:rsidR="003E022D" w:rsidRDefault="007D19D6">
      <w:pPr>
        <w:ind w:right="15"/>
        <w:rPr>
          <w:rFonts w:cstheme="minorHAnsi"/>
          <w:noProof/>
        </w:rPr>
      </w:pPr>
      <w:r>
        <w:rPr>
          <w:noProof/>
          <w:u w:val="single"/>
        </w:rPr>
        <w:t xml:space="preserve">Attiecībā uz pakalpojumu pārrobežu tirdzniecību </w:t>
      </w:r>
      <w:r>
        <w:rPr>
          <w:noProof/>
          <w:u w:val="single"/>
        </w:rPr>
        <w:t>– piekļuve tirgum, klātbūtne uz vietas, valsts režīms</w:t>
      </w:r>
      <w:r>
        <w:rPr>
          <w:noProof/>
        </w:rPr>
        <w:t xml:space="preserve"> </w:t>
      </w:r>
    </w:p>
    <w:p w:rsidR="003E022D" w:rsidRDefault="007D19D6">
      <w:pPr>
        <w:ind w:right="15"/>
        <w:rPr>
          <w:rFonts w:cstheme="minorHAnsi"/>
          <w:noProof/>
        </w:rPr>
      </w:pPr>
      <w:r>
        <w:rPr>
          <w:noProof/>
          <w:color w:val="212121"/>
        </w:rPr>
        <w:t>Apvienotā Karaliste patur tiesības pieņemt vai atstāt spēkā jebkādu pasākumu attiecībā uz revīzijas pakalpojumu pārrobežu sniegšanu.</w:t>
      </w:r>
    </w:p>
    <w:p w:rsidR="003E022D" w:rsidRDefault="007D19D6">
      <w:pPr>
        <w:spacing w:line="265" w:lineRule="auto"/>
        <w:rPr>
          <w:rFonts w:cstheme="minorHAnsi"/>
          <w:b/>
          <w:i/>
          <w:iCs/>
          <w:noProof/>
        </w:rPr>
      </w:pPr>
      <w:r>
        <w:rPr>
          <w:b/>
          <w:i/>
          <w:iCs/>
          <w:noProof/>
        </w:rPr>
        <w:t xml:space="preserve">Esošie pasākumi: </w:t>
      </w:r>
    </w:p>
    <w:p w:rsidR="003E022D" w:rsidRDefault="007D19D6">
      <w:pPr>
        <w:ind w:right="15"/>
        <w:rPr>
          <w:rFonts w:cstheme="minorHAnsi"/>
          <w:noProof/>
        </w:rPr>
      </w:pPr>
      <w:r>
        <w:rPr>
          <w:noProof/>
        </w:rPr>
        <w:t xml:space="preserve">2006. gada Sabiedrību likums. </w:t>
      </w:r>
    </w:p>
    <w:p w:rsidR="003E022D" w:rsidRDefault="007D19D6">
      <w:pPr>
        <w:rPr>
          <w:rFonts w:cstheme="minorHAnsi"/>
          <w:noProof/>
        </w:rPr>
      </w:pPr>
      <w:r>
        <w:rPr>
          <w:noProof/>
        </w:rPr>
        <w:br w:type="page"/>
      </w:r>
    </w:p>
    <w:p w:rsidR="003E022D" w:rsidRDefault="007D19D6">
      <w:pPr>
        <w:spacing w:after="188" w:line="265" w:lineRule="auto"/>
        <w:rPr>
          <w:rFonts w:cstheme="minorHAnsi"/>
          <w:b/>
          <w:noProof/>
        </w:rPr>
      </w:pPr>
      <w:r>
        <w:rPr>
          <w:b/>
          <w:noProof/>
        </w:rPr>
        <w:t>3. atruna. Profes</w:t>
      </w:r>
      <w:r>
        <w:rPr>
          <w:b/>
          <w:noProof/>
        </w:rPr>
        <w:t xml:space="preserve">ionālie pakalpojumi (ar veselību saistītie pakalpojumi un zāļu mazumtirdzniecība) </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Ar veselību saistīti profesionālie pakalpojumi un zāļu, medicīnisko un ortopēdisko preču mazumtirdzniecība, un citi farmaceitu sniegti pakalpojumi</w:t>
            </w:r>
          </w:p>
        </w:tc>
      </w:tr>
      <w:tr w:rsidR="003E022D">
        <w:tc>
          <w:tcPr>
            <w:tcW w:w="2619" w:type="dxa"/>
          </w:tcPr>
          <w:p w:rsidR="003E022D" w:rsidRDefault="007D19D6">
            <w:pPr>
              <w:spacing w:afterAutospacing="0"/>
              <w:rPr>
                <w:b/>
                <w:bCs/>
                <w:noProof/>
              </w:rPr>
            </w:pPr>
            <w:r>
              <w:rPr>
                <w:b/>
                <w:bCs/>
                <w:noProof/>
              </w:rPr>
              <w:t xml:space="preserve">Nozares </w:t>
            </w:r>
            <w:r>
              <w:rPr>
                <w:b/>
                <w:bCs/>
                <w:noProof/>
              </w:rPr>
              <w:t>klasifikācija:</w:t>
            </w:r>
          </w:p>
        </w:tc>
        <w:tc>
          <w:tcPr>
            <w:tcW w:w="6407" w:type="dxa"/>
          </w:tcPr>
          <w:p w:rsidR="003E022D" w:rsidRDefault="007D19D6">
            <w:pPr>
              <w:spacing w:afterAutospacing="0"/>
              <w:jc w:val="left"/>
              <w:rPr>
                <w:noProof/>
              </w:rPr>
            </w:pPr>
            <w:r>
              <w:rPr>
                <w:noProof/>
              </w:rPr>
              <w:t>CPC 63211., 85201., 9312., 9319., 93121.</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ind w:left="10" w:right="15"/>
        <w:rPr>
          <w:rFonts w:cstheme="minorHAnsi"/>
          <w:b/>
          <w:noProof/>
        </w:rPr>
      </w:pPr>
      <w:r>
        <w:rPr>
          <w:b/>
          <w:noProof/>
        </w:rPr>
        <w:t xml:space="preserve">Apraksts </w:t>
      </w:r>
    </w:p>
    <w:p w:rsidR="003E022D" w:rsidRDefault="007D19D6">
      <w:pPr>
        <w:spacing w:after="220"/>
        <w:ind w:left="10" w:right="15"/>
        <w:rPr>
          <w:rFonts w:cstheme="minorHAnsi"/>
          <w:noProof/>
        </w:rPr>
      </w:pPr>
      <w:r>
        <w:rPr>
          <w:noProof/>
        </w:rPr>
        <w:t xml:space="preserve">Apvienotā Karaliste patur tiesības pieņemt vai atstāt spēkā jebkādu pasākumu attiecībā uz turpmāk minēto. </w:t>
      </w:r>
    </w:p>
    <w:p w:rsidR="003E022D" w:rsidRDefault="007D19D6">
      <w:pPr>
        <w:pStyle w:val="ListParagraph"/>
        <w:numPr>
          <w:ilvl w:val="0"/>
          <w:numId w:val="817"/>
        </w:numPr>
        <w:spacing w:after="160" w:line="264" w:lineRule="auto"/>
        <w:ind w:left="0" w:firstLine="0"/>
        <w:rPr>
          <w:rFonts w:cstheme="minorHAnsi"/>
          <w:b/>
          <w:i/>
          <w:iCs/>
          <w:noProof/>
        </w:rPr>
      </w:pPr>
      <w:r>
        <w:rPr>
          <w:b/>
          <w:i/>
          <w:iCs/>
          <w:noProof/>
        </w:rPr>
        <w:t>Medicīnas un zobārstniecības pakalpojumi; vecmāšu, māsu, fizioterapeitu, psihologu un vidējā medicīniskā personāla pakalpojumi (CPC 63211, 85201, 931</w:t>
      </w:r>
      <w:r>
        <w:rPr>
          <w:b/>
          <w:i/>
          <w:iCs/>
          <w:noProof/>
        </w:rPr>
        <w:t xml:space="preserve">2, 9319) </w:t>
      </w:r>
    </w:p>
    <w:p w:rsidR="003E022D" w:rsidRDefault="007D19D6">
      <w:pPr>
        <w:spacing w:after="242" w:line="265" w:lineRule="auto"/>
        <w:ind w:left="10" w:right="16" w:hanging="10"/>
        <w:rPr>
          <w:rFonts w:cstheme="minorHAnsi"/>
          <w:noProof/>
          <w:u w:val="single"/>
        </w:rPr>
      </w:pPr>
      <w:r>
        <w:rPr>
          <w:noProof/>
          <w:u w:val="single"/>
        </w:rPr>
        <w:t xml:space="preserve">Attiecībā uz investīciju liberalizāciju – piekļuve tirgum </w:t>
      </w:r>
    </w:p>
    <w:p w:rsidR="003E022D" w:rsidRDefault="007D19D6">
      <w:pPr>
        <w:ind w:left="8" w:right="15"/>
        <w:rPr>
          <w:rFonts w:cstheme="minorHAnsi"/>
          <w:noProof/>
        </w:rPr>
      </w:pPr>
      <w:r>
        <w:rPr>
          <w:noProof/>
        </w:rPr>
        <w:t xml:space="preserve">Ārsta prakses uzņēmējdarbības iespējas Nacionālā veselības dienesta ietvaros nosaka medicīnas darbaspēka resursu plānošana (CPC 93121, 93122). </w:t>
      </w:r>
    </w:p>
    <w:p w:rsidR="003E022D" w:rsidRDefault="007D19D6">
      <w:pPr>
        <w:spacing w:line="265" w:lineRule="auto"/>
        <w:ind w:left="10" w:right="16" w:hanging="10"/>
        <w:rPr>
          <w:rFonts w:cstheme="minorHAnsi"/>
          <w:noProof/>
        </w:rPr>
      </w:pPr>
      <w:r>
        <w:rPr>
          <w:noProof/>
          <w:u w:val="single"/>
        </w:rPr>
        <w:t xml:space="preserve">Attiecībā uz pakalpojumu pārrobežu </w:t>
      </w:r>
      <w:r>
        <w:rPr>
          <w:noProof/>
          <w:u w:val="single"/>
        </w:rPr>
        <w:t>tirdzniecību – piekļuve tirgum, klātbūtne uz vietas, valsts režīms</w:t>
      </w:r>
      <w:r>
        <w:rPr>
          <w:noProof/>
        </w:rPr>
        <w:t xml:space="preserve"> </w:t>
      </w:r>
    </w:p>
    <w:p w:rsidR="003E022D" w:rsidRDefault="007D19D6">
      <w:pPr>
        <w:ind w:left="8" w:right="15"/>
        <w:rPr>
          <w:rFonts w:cstheme="minorHAnsi"/>
          <w:noProof/>
        </w:rPr>
      </w:pPr>
      <w:r>
        <w:rPr>
          <w:noProof/>
        </w:rPr>
        <w:t>Visu ar veselības aprūpi saistīto profesionālo pakalpojumu, ieskaitot pakalpojumu, ko sniedz tādi speciālisti kā ārsti, zobārsti, vecmātes, māsas, fizioterapeiti, vidējais medicīniskais pa</w:t>
      </w:r>
      <w:r>
        <w:rPr>
          <w:noProof/>
        </w:rPr>
        <w:t xml:space="preserve">līgpersonāls un psihologi, sniegšanas nosacījums ir rezidence. Šos pakalpojumus var sniegt tikai fiziskas personas, kas fiziski uzturas Apvienotās Karalistes teritorijā (CPC 9312, daļa no CPC 93191). </w:t>
      </w:r>
    </w:p>
    <w:p w:rsidR="003E022D" w:rsidRDefault="007D19D6">
      <w:pPr>
        <w:ind w:left="8" w:right="15"/>
        <w:rPr>
          <w:rFonts w:cstheme="minorHAnsi"/>
          <w:noProof/>
        </w:rPr>
      </w:pPr>
      <w:r>
        <w:rPr>
          <w:noProof/>
        </w:rPr>
        <w:t>Medicīnas, zobārstniecības un vecmāšu pakalpojumu pārro</w:t>
      </w:r>
      <w:r>
        <w:rPr>
          <w:noProof/>
        </w:rPr>
        <w:t xml:space="preserve">bežu sniegšana un māsu, fizioterapeitu, psihologu un vidējā medicīnas personāla pakalpojumu sniegšana (daļa no CPC 85201, 9312, daļa no 93191). </w:t>
      </w:r>
    </w:p>
    <w:p w:rsidR="003E022D" w:rsidRDefault="007D19D6">
      <w:pPr>
        <w:ind w:left="8" w:right="15"/>
        <w:rPr>
          <w:rFonts w:cstheme="minorHAnsi"/>
          <w:noProof/>
        </w:rPr>
      </w:pPr>
      <w:r>
        <w:rPr>
          <w:noProof/>
        </w:rPr>
        <w:t>Attiecībā uz pakalpojumu sniedzējiem bez fiziskas klātbūtnes Apvienotās Karalistes teritorijā (daļa no CPC 8520</w:t>
      </w:r>
      <w:r>
        <w:rPr>
          <w:noProof/>
        </w:rPr>
        <w:t xml:space="preserve">1, 9312, daļa no 93191). </w:t>
      </w:r>
    </w:p>
    <w:p w:rsidR="003E022D" w:rsidRDefault="007D19D6">
      <w:pPr>
        <w:numPr>
          <w:ilvl w:val="0"/>
          <w:numId w:val="806"/>
        </w:numPr>
        <w:spacing w:after="160" w:line="264" w:lineRule="auto"/>
        <w:ind w:left="0" w:firstLine="0"/>
        <w:rPr>
          <w:rFonts w:cstheme="minorHAnsi"/>
          <w:b/>
          <w:i/>
          <w:iCs/>
          <w:noProof/>
        </w:rPr>
      </w:pPr>
      <w:r>
        <w:rPr>
          <w:b/>
          <w:i/>
          <w:iCs/>
          <w:noProof/>
        </w:rPr>
        <w:t xml:space="preserve">Zāļu, medicīnisko un ortopēdisko preču mazumtirdzniecība un citi farmaceitu sniegti pakalpojumi (CPC 63211) </w:t>
      </w:r>
    </w:p>
    <w:p w:rsidR="003E022D" w:rsidRDefault="007D19D6">
      <w:pPr>
        <w:spacing w:line="264" w:lineRule="auto"/>
        <w:ind w:left="11" w:right="17" w:hanging="11"/>
        <w:rPr>
          <w:rFonts w:cstheme="minorHAnsi"/>
          <w:noProof/>
        </w:rPr>
      </w:pPr>
      <w:r>
        <w:rPr>
          <w:noProof/>
          <w:u w:val="single"/>
        </w:rPr>
        <w:t>Attiecībā uz investīciju liberalizāciju – piekļuve tirgum un pakalpojumu pārrobežu tirdzniecība – piekļuve tirgum, klātbū</w:t>
      </w:r>
      <w:r>
        <w:rPr>
          <w:noProof/>
          <w:u w:val="single"/>
        </w:rPr>
        <w:t>tne uz vietas</w:t>
      </w:r>
      <w:r>
        <w:rPr>
          <w:noProof/>
        </w:rPr>
        <w:t xml:space="preserve"> </w:t>
      </w:r>
    </w:p>
    <w:p w:rsidR="003E022D" w:rsidRDefault="007D19D6">
      <w:pPr>
        <w:spacing w:line="264" w:lineRule="auto"/>
        <w:ind w:left="11" w:right="17" w:hanging="11"/>
        <w:rPr>
          <w:rFonts w:cstheme="minorHAnsi"/>
          <w:noProof/>
        </w:rPr>
      </w:pPr>
      <w:r>
        <w:rPr>
          <w:noProof/>
        </w:rPr>
        <w:t>Tirdzniecība pa pastu ir iespējama tikai no Apvienotās Karalistes, tāpēc, lai Apvienotajā Karalistē veiktu zāļu un konkrētu medicīnas preču mazumtirdzniecību plašai sabiedrībai, Apvienotajā Karalistē ir jāizpilda uzņēmējdarbības veikšanas pr</w:t>
      </w:r>
      <w:r>
        <w:rPr>
          <w:noProof/>
        </w:rPr>
        <w:t xml:space="preserve">asība. </w:t>
      </w:r>
    </w:p>
    <w:p w:rsidR="003E022D" w:rsidRDefault="007D19D6">
      <w:pPr>
        <w:spacing w:line="264" w:lineRule="auto"/>
        <w:ind w:left="11" w:right="17" w:hanging="11"/>
        <w:rPr>
          <w:rFonts w:cstheme="minorHAnsi"/>
          <w:noProof/>
        </w:rPr>
      </w:pPr>
      <w:r>
        <w:rPr>
          <w:noProof/>
          <w:u w:val="single"/>
        </w:rPr>
        <w:t>Attiecībā uz pakalpojumu pārrobežu tirdzniecību – piekļuve tirgum, klātbūtne uz vietas, valsts režīms</w:t>
      </w:r>
      <w:r>
        <w:rPr>
          <w:noProof/>
        </w:rPr>
        <w:t xml:space="preserve"> </w:t>
      </w:r>
    </w:p>
    <w:p w:rsidR="003E022D" w:rsidRDefault="007D19D6">
      <w:pPr>
        <w:spacing w:after="380"/>
        <w:ind w:left="8" w:right="15"/>
        <w:rPr>
          <w:rFonts w:cstheme="minorHAnsi"/>
          <w:noProof/>
        </w:rPr>
      </w:pPr>
      <w:r>
        <w:rPr>
          <w:noProof/>
        </w:rPr>
        <w:t xml:space="preserve">Zāļu, medicīnisko un ortopēdisko preču pārrobežu mazumtirdzniecība un citi farmaceitu pārrobežu pakalpojumi. </w:t>
      </w:r>
      <w:r>
        <w:rPr>
          <w:noProof/>
        </w:rPr>
        <w:br w:type="page"/>
      </w:r>
    </w:p>
    <w:p w:rsidR="003E022D" w:rsidRDefault="007D19D6">
      <w:pPr>
        <w:spacing w:after="188" w:line="265" w:lineRule="auto"/>
        <w:rPr>
          <w:rFonts w:cstheme="minorHAnsi"/>
          <w:b/>
          <w:noProof/>
        </w:rPr>
      </w:pPr>
      <w:r>
        <w:rPr>
          <w:b/>
          <w:noProof/>
        </w:rPr>
        <w:t>4. atruna. Darījumdarbības pakalpo</w:t>
      </w:r>
      <w:r>
        <w:rPr>
          <w:b/>
          <w:noProof/>
        </w:rPr>
        <w:t xml:space="preserve">jumi (iekasēšanas aģentūru pakalpojumi un kredītinformācijas pakalpojumi) </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rPr>
              <w:t>Darījumdarbības pakalpojumi – iekasēšanas aģentūru pakalpojumi, kredītinformācijas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87901, 87902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Pakalpojumu pārrobežu tirdzniecība</w:t>
            </w:r>
          </w:p>
        </w:tc>
      </w:tr>
    </w:tbl>
    <w:p w:rsidR="003E022D" w:rsidRDefault="003E022D">
      <w:pPr>
        <w:rPr>
          <w:noProof/>
        </w:rPr>
      </w:pPr>
    </w:p>
    <w:p w:rsidR="003E022D" w:rsidRDefault="007D19D6">
      <w:pPr>
        <w:tabs>
          <w:tab w:val="center" w:pos="3354"/>
        </w:tabs>
        <w:rPr>
          <w:rFonts w:cstheme="minorHAnsi"/>
          <w:b/>
          <w:noProof/>
        </w:rPr>
      </w:pPr>
      <w:r>
        <w:rPr>
          <w:b/>
          <w:noProof/>
        </w:rPr>
        <w:t xml:space="preserve">Apraksts </w:t>
      </w:r>
    </w:p>
    <w:p w:rsidR="003E022D" w:rsidRDefault="007D19D6">
      <w:pPr>
        <w:rPr>
          <w:rFonts w:cstheme="minorHAnsi"/>
          <w:b/>
          <w:noProof/>
        </w:rPr>
      </w:pPr>
      <w:r>
        <w:rPr>
          <w:noProof/>
          <w:color w:val="212121"/>
        </w:rPr>
        <w:t>Apvienotā Karaliste patur tiesības pieņemt vai atstāt spēkā jebkādu pasākumu attiecībā uz iekasēšanas aģentūru pakalpojumu un kredītinformācijas p</w:t>
      </w:r>
      <w:r>
        <w:rPr>
          <w:noProof/>
          <w:color w:val="212121"/>
        </w:rPr>
        <w:t>akalpojumu sniegšanu.</w:t>
      </w:r>
      <w:r>
        <w:rPr>
          <w:noProof/>
        </w:rPr>
        <w:br w:type="page"/>
      </w:r>
    </w:p>
    <w:p w:rsidR="003E022D" w:rsidRDefault="007D19D6">
      <w:pPr>
        <w:spacing w:after="164" w:line="265" w:lineRule="auto"/>
        <w:rPr>
          <w:rFonts w:cstheme="minorHAnsi"/>
          <w:b/>
          <w:noProof/>
        </w:rPr>
      </w:pPr>
      <w:r>
        <w:rPr>
          <w:b/>
          <w:noProof/>
        </w:rPr>
        <w:t>5. atruna. Darījumdarbības pakalpojumi (darbā iekārtošanas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rPr>
              <w:t>Darījumdarbības pakalpojumi – darbā iekārtošanas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87202, 87204, 87205, 87206, 87209</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ind w:left="10" w:right="15"/>
        <w:rPr>
          <w:rFonts w:cstheme="minorHAnsi"/>
          <w:b/>
          <w:noProof/>
        </w:rPr>
      </w:pPr>
      <w:r>
        <w:rPr>
          <w:b/>
          <w:noProof/>
        </w:rPr>
        <w:t xml:space="preserve">Apraksts </w:t>
      </w:r>
    </w:p>
    <w:p w:rsidR="003E022D" w:rsidRDefault="007D19D6">
      <w:pPr>
        <w:ind w:left="10" w:right="15"/>
        <w:rPr>
          <w:rFonts w:cstheme="minorHAnsi"/>
          <w:noProof/>
        </w:rPr>
      </w:pPr>
      <w:r>
        <w:rPr>
          <w:noProof/>
        </w:rPr>
        <w:t>Apvienotā Karaliste patur tiesības pieņemt vai atstāt spēkā jebkādu pasākumu a</w:t>
      </w:r>
      <w:r>
        <w:rPr>
          <w:noProof/>
        </w:rPr>
        <w:t xml:space="preserve">ttiecībā uz turpmāk minēto. </w:t>
      </w:r>
    </w:p>
    <w:p w:rsidR="003E022D" w:rsidRDefault="007D19D6">
      <w:pPr>
        <w:spacing w:after="161"/>
        <w:ind w:left="10" w:right="15"/>
        <w:rPr>
          <w:rFonts w:cstheme="minorHAnsi"/>
          <w:noProof/>
        </w:rPr>
      </w:pPr>
      <w:r>
        <w:rPr>
          <w:noProof/>
        </w:rPr>
        <w:t xml:space="preserve">Mājstrādnieku, tirdzniecības vai ražošanas, aprūpes un cita personāla nodrošināšanas pakalpojumi (CPC 87204, 87205, 87206, 87209). </w:t>
      </w:r>
    </w:p>
    <w:p w:rsidR="003E022D" w:rsidRDefault="007D19D6">
      <w:pPr>
        <w:spacing w:after="162"/>
        <w:ind w:left="10" w:right="15"/>
        <w:rPr>
          <w:rFonts w:cstheme="minorHAnsi"/>
          <w:noProof/>
        </w:rPr>
      </w:pPr>
      <w:r>
        <w:rPr>
          <w:noProof/>
        </w:rPr>
        <w:t xml:space="preserve">Tiesības pieprasīt uzņēmējdarbības veikšanu un aizliegt biroja palīgpersonāla un citu darbinieku darbā iekārtošanas pakalpojumu pārrobežu sniegšanu. </w:t>
      </w:r>
    </w:p>
    <w:p w:rsidR="003E022D" w:rsidRDefault="007D19D6">
      <w:pPr>
        <w:rPr>
          <w:rFonts w:cstheme="minorHAnsi"/>
          <w:b/>
          <w:noProof/>
        </w:rPr>
      </w:pPr>
      <w:r>
        <w:rPr>
          <w:noProof/>
        </w:rPr>
        <w:br w:type="page"/>
      </w:r>
    </w:p>
    <w:p w:rsidR="003E022D" w:rsidRDefault="007D19D6">
      <w:pPr>
        <w:spacing w:after="164" w:line="265" w:lineRule="auto"/>
        <w:rPr>
          <w:rFonts w:cstheme="minorHAnsi"/>
          <w:b/>
          <w:noProof/>
        </w:rPr>
      </w:pPr>
      <w:r>
        <w:rPr>
          <w:b/>
          <w:noProof/>
        </w:rPr>
        <w:t>6. atruna. Darījumdarbības pakalpojumi (izmeklēšanas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 apakšnozare:</w:t>
            </w:r>
          </w:p>
        </w:tc>
        <w:tc>
          <w:tcPr>
            <w:tcW w:w="6407" w:type="dxa"/>
          </w:tcPr>
          <w:p w:rsidR="003E022D" w:rsidRDefault="007D19D6">
            <w:pPr>
              <w:spacing w:afterAutospacing="0"/>
              <w:jc w:val="left"/>
              <w:rPr>
                <w:noProof/>
              </w:rPr>
            </w:pPr>
            <w:r>
              <w:rPr>
                <w:noProof/>
              </w:rPr>
              <w:t xml:space="preserve">Darījumdarbības </w:t>
            </w:r>
            <w:r>
              <w:rPr>
                <w:noProof/>
              </w:rPr>
              <w:t>pakalpojumi – izmeklēšanas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87301</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 xml:space="preserve">Investīciju liberalizācija un pakalpojumu </w:t>
            </w:r>
            <w:r>
              <w:rPr>
                <w:noProof/>
              </w:rPr>
              <w:t>pārrobežu tirdzniecība</w:t>
            </w:r>
          </w:p>
        </w:tc>
      </w:tr>
    </w:tbl>
    <w:p w:rsidR="003E022D" w:rsidRDefault="003E022D">
      <w:pPr>
        <w:rPr>
          <w:noProof/>
        </w:rPr>
      </w:pPr>
    </w:p>
    <w:p w:rsidR="003E022D" w:rsidRDefault="007D19D6">
      <w:pPr>
        <w:spacing w:after="169"/>
        <w:ind w:right="15"/>
        <w:rPr>
          <w:rFonts w:cstheme="minorHAnsi"/>
          <w:b/>
          <w:noProof/>
        </w:rPr>
      </w:pPr>
      <w:r>
        <w:rPr>
          <w:b/>
          <w:noProof/>
        </w:rPr>
        <w:t xml:space="preserve">Apraksts </w:t>
      </w:r>
    </w:p>
    <w:p w:rsidR="003E022D" w:rsidRDefault="007D19D6">
      <w:pPr>
        <w:pStyle w:val="CommentText"/>
        <w:rPr>
          <w:rFonts w:cstheme="minorHAnsi"/>
          <w:noProof/>
          <w:sz w:val="22"/>
          <w:szCs w:val="22"/>
        </w:rPr>
      </w:pPr>
      <w:r>
        <w:rPr>
          <w:noProof/>
          <w:sz w:val="22"/>
          <w:szCs w:val="22"/>
        </w:rPr>
        <w:t>Apvienotā Karaliste patur tiesības pieņemt vai atstāt spēkā jebkādu pasākumu attiecībā uz izmeklēšanas pakalpojumu sniegšanu (CP 87301).</w:t>
      </w:r>
    </w:p>
    <w:p w:rsidR="003E022D" w:rsidRDefault="007D19D6">
      <w:pPr>
        <w:rPr>
          <w:rFonts w:cstheme="minorHAnsi"/>
          <w:noProof/>
        </w:rPr>
      </w:pPr>
      <w:r>
        <w:rPr>
          <w:noProof/>
        </w:rPr>
        <w:br w:type="page"/>
      </w:r>
    </w:p>
    <w:p w:rsidR="003E022D" w:rsidRDefault="007D19D6">
      <w:pPr>
        <w:spacing w:after="164" w:line="265" w:lineRule="auto"/>
        <w:rPr>
          <w:rFonts w:cstheme="minorHAnsi"/>
          <w:b/>
          <w:noProof/>
        </w:rPr>
      </w:pPr>
      <w:r>
        <w:rPr>
          <w:b/>
          <w:noProof/>
        </w:rPr>
        <w:t>7. atruna. Darījumdarbības pakalpojumi (citi darījumdarbības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 –</w:t>
            </w:r>
            <w:r>
              <w:rPr>
                <w:b/>
                <w:noProof/>
              </w:rPr>
              <w:t xml:space="preserve"> apakšnozare:</w:t>
            </w:r>
          </w:p>
        </w:tc>
        <w:tc>
          <w:tcPr>
            <w:tcW w:w="6407" w:type="dxa"/>
          </w:tcPr>
          <w:p w:rsidR="003E022D" w:rsidRDefault="007D19D6">
            <w:pPr>
              <w:spacing w:afterAutospacing="0"/>
              <w:jc w:val="left"/>
              <w:rPr>
                <w:noProof/>
              </w:rPr>
            </w:pPr>
            <w:r>
              <w:rPr>
                <w:noProof/>
              </w:rPr>
              <w:t>Darījumdarbības pakalpojumi – citi darījumdarbības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86764, 86769, 8868, daļa no 8790</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w:t>
            </w:r>
            <w:r>
              <w:rPr>
                <w:noProof/>
              </w:rPr>
              <w:t xml:space="preserve"> liberalizācija un pakalpojumu pārrobežu tirdzniecība</w:t>
            </w:r>
          </w:p>
        </w:tc>
      </w:tr>
    </w:tbl>
    <w:p w:rsidR="003E022D" w:rsidRDefault="003E022D">
      <w:pPr>
        <w:rPr>
          <w:noProof/>
        </w:rPr>
      </w:pPr>
    </w:p>
    <w:p w:rsidR="003E022D" w:rsidRDefault="007D19D6">
      <w:pPr>
        <w:spacing w:after="174"/>
        <w:ind w:left="10" w:right="15"/>
        <w:rPr>
          <w:rFonts w:cstheme="minorHAnsi"/>
          <w:b/>
          <w:noProof/>
        </w:rPr>
      </w:pPr>
      <w:r>
        <w:rPr>
          <w:b/>
          <w:noProof/>
        </w:rPr>
        <w:t xml:space="preserve">Apraksts </w:t>
      </w:r>
    </w:p>
    <w:p w:rsidR="003E022D" w:rsidRDefault="007D19D6">
      <w:pPr>
        <w:spacing w:after="174"/>
        <w:ind w:left="10" w:right="15"/>
        <w:rPr>
          <w:rFonts w:cstheme="minorHAnsi"/>
          <w:noProof/>
        </w:rPr>
      </w:pPr>
      <w:r>
        <w:rPr>
          <w:noProof/>
        </w:rPr>
        <w:t xml:space="preserve">Apvienotā Karaliste patur tiesības pieņemt vai atstāt spēkā jebkādu pasākumu attiecībā uz turpmāk minēto. </w:t>
      </w:r>
    </w:p>
    <w:p w:rsidR="003E022D" w:rsidRDefault="007D19D6">
      <w:pPr>
        <w:pStyle w:val="ListParagraph"/>
        <w:numPr>
          <w:ilvl w:val="0"/>
          <w:numId w:val="818"/>
        </w:numPr>
        <w:spacing w:after="164" w:line="264" w:lineRule="auto"/>
        <w:ind w:left="0" w:firstLine="0"/>
        <w:rPr>
          <w:rFonts w:cstheme="minorHAnsi"/>
          <w:b/>
          <w:i/>
          <w:iCs/>
          <w:noProof/>
        </w:rPr>
      </w:pPr>
      <w:r>
        <w:rPr>
          <w:b/>
          <w:i/>
          <w:iCs/>
          <w:noProof/>
        </w:rPr>
        <w:t xml:space="preserve">Kuģu, dzelzceļa transporta aprīkojuma un gaisa kuģu un to daļu apkope un remonts (daļa no CPC 86764, CPC 86769, CPC 8868) </w:t>
      </w:r>
    </w:p>
    <w:p w:rsidR="003E022D" w:rsidRDefault="007D19D6">
      <w:pPr>
        <w:spacing w:after="173" w:line="265" w:lineRule="auto"/>
        <w:ind w:left="10" w:right="16" w:hanging="10"/>
        <w:rPr>
          <w:rFonts w:cstheme="minorHAnsi"/>
          <w:noProof/>
        </w:rPr>
      </w:pPr>
      <w:r>
        <w:rPr>
          <w:noProof/>
          <w:u w:val="single"/>
        </w:rPr>
        <w:t>Attiecībā uz pakalpojumu pārrobežu tirdzniecību – piekļuve tirgum, klātbūtne uz vietas, valsts režīms</w:t>
      </w:r>
      <w:r>
        <w:rPr>
          <w:noProof/>
        </w:rPr>
        <w:t xml:space="preserve"> </w:t>
      </w:r>
    </w:p>
    <w:p w:rsidR="003E022D" w:rsidRDefault="007D19D6">
      <w:pPr>
        <w:spacing w:after="181"/>
        <w:ind w:left="8" w:right="15"/>
        <w:rPr>
          <w:rFonts w:cstheme="minorHAnsi"/>
          <w:noProof/>
        </w:rPr>
      </w:pPr>
      <w:r>
        <w:rPr>
          <w:noProof/>
        </w:rPr>
        <w:t xml:space="preserve">Prasība izveidot uzņēmumu vai </w:t>
      </w:r>
      <w:r>
        <w:rPr>
          <w:noProof/>
        </w:rPr>
        <w:t xml:space="preserve">nodrošināt fizisku klātbūtni tās teritorijā un aizliegt dzelzceļa transporta aprīkojuma apkopes un remonta pakalpojumu pārrobežu sniegšanu no vietas ārpus tās teritorijas. </w:t>
      </w:r>
    </w:p>
    <w:p w:rsidR="003E022D" w:rsidRDefault="007D19D6">
      <w:pPr>
        <w:spacing w:after="181"/>
        <w:ind w:left="8" w:right="15"/>
        <w:rPr>
          <w:rFonts w:cstheme="minorHAnsi"/>
          <w:noProof/>
        </w:rPr>
      </w:pPr>
      <w:r>
        <w:rPr>
          <w:noProof/>
        </w:rPr>
        <w:t>Prasība izveidot uzņēmumu vai nodrošināt fizisku klātbūtni tās teritorijā un aizlie</w:t>
      </w:r>
      <w:r>
        <w:rPr>
          <w:noProof/>
        </w:rPr>
        <w:t>gt iekšējo ūdensceļu transporta kuģu apkopes un remonta pakalpojumu pārrobežu sniegšanu no vietas ārpus tās teritorijas.</w:t>
      </w:r>
    </w:p>
    <w:p w:rsidR="003E022D" w:rsidRDefault="007D19D6">
      <w:pPr>
        <w:spacing w:after="178"/>
        <w:ind w:left="8" w:right="15"/>
        <w:rPr>
          <w:rFonts w:cstheme="minorHAnsi"/>
          <w:noProof/>
        </w:rPr>
      </w:pPr>
      <w:r>
        <w:rPr>
          <w:noProof/>
        </w:rPr>
        <w:t>Prasība izveidot uzņēmumu vai nodrošināt fizisku klātbūtni tās teritorijā un aizliegt jūras kuģu apkopes un remonta pakalpojumu pārrobe</w:t>
      </w:r>
      <w:r>
        <w:rPr>
          <w:noProof/>
        </w:rPr>
        <w:t xml:space="preserve">žu sniegšanu no vietas ārpus tās teritorijas. </w:t>
      </w:r>
    </w:p>
    <w:p w:rsidR="003E022D" w:rsidRDefault="007D19D6">
      <w:pPr>
        <w:ind w:left="8" w:right="15"/>
        <w:rPr>
          <w:rFonts w:cstheme="minorHAnsi"/>
          <w:noProof/>
        </w:rPr>
      </w:pPr>
      <w:r>
        <w:rPr>
          <w:noProof/>
        </w:rPr>
        <w:t>Prasība izveidot uzņēmumu vai nodrošināt fizisku klātbūtni tās teritorijā un aizliegt gaisa kuģu un to daļu apkopes un remonta pakalpojumu pārrobežu sniegšanu no vietas ārpus tās teritorijas (daļa no CPC 86764</w:t>
      </w:r>
      <w:r>
        <w:rPr>
          <w:noProof/>
        </w:rPr>
        <w:t xml:space="preserve">, CPC 86769, CPC 8868). </w:t>
      </w:r>
    </w:p>
    <w:p w:rsidR="003E022D" w:rsidRDefault="007D19D6">
      <w:pPr>
        <w:spacing w:after="250"/>
        <w:ind w:left="8" w:right="15"/>
        <w:rPr>
          <w:rFonts w:cstheme="minorHAnsi"/>
          <w:noProof/>
        </w:rPr>
      </w:pPr>
      <w:r>
        <w:rPr>
          <w:noProof/>
        </w:rPr>
        <w:t xml:space="preserve">Tiesību aktos paredzētās kuģu pārbaudes un sertifikāciju Apvienotās Karalistes vārdā drīkst veikt tikai atzītas un Apvienotās Karalistes pilnvarotas organizācijas. Var būt nepieciešama uzņēmuma izveide. </w:t>
      </w:r>
    </w:p>
    <w:p w:rsidR="003E022D" w:rsidRDefault="007D19D6">
      <w:pPr>
        <w:spacing w:after="170" w:line="265" w:lineRule="auto"/>
        <w:ind w:left="10" w:hanging="10"/>
        <w:rPr>
          <w:rFonts w:cstheme="minorHAnsi"/>
          <w:b/>
          <w:i/>
          <w:iCs/>
          <w:noProof/>
        </w:rPr>
      </w:pPr>
      <w:r>
        <w:rPr>
          <w:b/>
          <w:i/>
          <w:iCs/>
          <w:noProof/>
        </w:rPr>
        <w:t xml:space="preserve">Esošie pasākumi: </w:t>
      </w:r>
    </w:p>
    <w:p w:rsidR="003E022D" w:rsidRDefault="007D19D6">
      <w:pPr>
        <w:spacing w:after="250"/>
        <w:ind w:left="8" w:right="15"/>
        <w:rPr>
          <w:rFonts w:cstheme="minorHAnsi"/>
          <w:noProof/>
        </w:rPr>
      </w:pPr>
      <w:r>
        <w:rPr>
          <w:noProof/>
        </w:rPr>
        <w:t>Eiropas Parlamenta un Padomes 2009. gada 23. aprīļa Regula (EK) 391/2009 par kopīgiem noteikumiem un standartiem attiecībā uz organizācijām, kas pilnvarotas veikt kuģu inspekcijas un apskates, kas Apvienotās Karalistes tiesību aktos saglabāta ar 2018. gada</w:t>
      </w:r>
      <w:r>
        <w:rPr>
          <w:noProof/>
        </w:rPr>
        <w:t xml:space="preserve"> Eiropas Savienības (Izstāšanās) aktu un grozīta ar 2019. gada Noteikumiem par tirdzniecības kuģiem (atzītās organizācijas) (grozījums) (izstāšanās no ES). </w:t>
      </w:r>
    </w:p>
    <w:p w:rsidR="003E022D" w:rsidRDefault="007D19D6">
      <w:pPr>
        <w:pStyle w:val="ListParagraph"/>
        <w:numPr>
          <w:ilvl w:val="0"/>
          <w:numId w:val="818"/>
        </w:numPr>
        <w:spacing w:after="164" w:line="265" w:lineRule="auto"/>
        <w:rPr>
          <w:rFonts w:cstheme="minorHAnsi"/>
          <w:b/>
          <w:i/>
          <w:iCs/>
          <w:noProof/>
        </w:rPr>
      </w:pPr>
      <w:r>
        <w:rPr>
          <w:b/>
          <w:i/>
          <w:iCs/>
          <w:noProof/>
        </w:rPr>
        <w:t xml:space="preserve">Citi ar aviāciju saistīti darījumdarbības pakalpojumi </w:t>
      </w:r>
    </w:p>
    <w:p w:rsidR="003E022D" w:rsidRDefault="007D19D6">
      <w:pPr>
        <w:spacing w:after="99" w:line="265" w:lineRule="auto"/>
        <w:ind w:left="10" w:right="16" w:hanging="10"/>
        <w:rPr>
          <w:rFonts w:cstheme="minorHAnsi"/>
          <w:noProof/>
        </w:rPr>
      </w:pPr>
      <w:r>
        <w:rPr>
          <w:noProof/>
          <w:u w:val="single"/>
        </w:rPr>
        <w:t xml:space="preserve">Attiecībā uz investīciju liberalizāciju – </w:t>
      </w:r>
      <w:r>
        <w:rPr>
          <w:noProof/>
          <w:u w:val="single"/>
        </w:rPr>
        <w:t>lielākās labvēlības režīms un pakalpojumu pārrobežu tirdzniecība – lielākās labvēlības režīms</w:t>
      </w:r>
      <w:r>
        <w:rPr>
          <w:noProof/>
        </w:rPr>
        <w:t xml:space="preserve"> </w:t>
      </w:r>
    </w:p>
    <w:p w:rsidR="003E022D" w:rsidRDefault="007D19D6">
      <w:pPr>
        <w:spacing w:after="107"/>
        <w:ind w:left="8" w:right="15"/>
        <w:rPr>
          <w:rFonts w:cstheme="minorHAnsi"/>
          <w:noProof/>
        </w:rPr>
      </w:pPr>
      <w:r>
        <w:rPr>
          <w:noProof/>
        </w:rPr>
        <w:t xml:space="preserve">Atšķirīga režīma nodrošināšana trešai valstij, ievērojot esošus vai turpmākus divpusējus nolīgumus par šādiem pakalpojumiem: </w:t>
      </w:r>
    </w:p>
    <w:p w:rsidR="003E022D" w:rsidRDefault="007D19D6">
      <w:pPr>
        <w:numPr>
          <w:ilvl w:val="0"/>
          <w:numId w:val="807"/>
        </w:numPr>
        <w:spacing w:after="95" w:line="361" w:lineRule="auto"/>
        <w:ind w:left="566" w:right="2429" w:hanging="341"/>
        <w:rPr>
          <w:rFonts w:cstheme="minorHAnsi"/>
          <w:noProof/>
        </w:rPr>
      </w:pPr>
      <w:r>
        <w:rPr>
          <w:noProof/>
        </w:rPr>
        <w:t>gaisa kuģu remonta un uzturēšanas p</w:t>
      </w:r>
      <w:r>
        <w:rPr>
          <w:noProof/>
        </w:rPr>
        <w:t xml:space="preserve">akalpojumi; </w:t>
      </w:r>
    </w:p>
    <w:p w:rsidR="003E022D" w:rsidRDefault="007D19D6">
      <w:pPr>
        <w:numPr>
          <w:ilvl w:val="0"/>
          <w:numId w:val="807"/>
        </w:numPr>
        <w:spacing w:after="95" w:line="361" w:lineRule="auto"/>
        <w:ind w:left="566" w:right="2429" w:hanging="341"/>
        <w:rPr>
          <w:rFonts w:cstheme="minorHAnsi"/>
          <w:noProof/>
        </w:rPr>
      </w:pPr>
      <w:r>
        <w:rPr>
          <w:noProof/>
        </w:rPr>
        <w:t>gaisa kuģu bez apkalpes noma vai izpirkumnoma;</w:t>
      </w:r>
    </w:p>
    <w:p w:rsidR="003E022D" w:rsidRDefault="007D19D6">
      <w:pPr>
        <w:numPr>
          <w:ilvl w:val="0"/>
          <w:numId w:val="807"/>
        </w:numPr>
        <w:spacing w:after="95" w:line="361" w:lineRule="auto"/>
        <w:ind w:left="566" w:right="2429" w:hanging="341"/>
        <w:rPr>
          <w:rFonts w:cstheme="minorHAnsi"/>
          <w:noProof/>
        </w:rPr>
      </w:pPr>
      <w:r>
        <w:rPr>
          <w:noProof/>
        </w:rPr>
        <w:t>datorizēto rezervācijas sistēmu (</w:t>
      </w:r>
      <w:r>
        <w:rPr>
          <w:i/>
          <w:noProof/>
        </w:rPr>
        <w:t>CRS</w:t>
      </w:r>
      <w:r>
        <w:rPr>
          <w:noProof/>
        </w:rPr>
        <w:t xml:space="preserve">) pakalpojumi; </w:t>
      </w:r>
    </w:p>
    <w:p w:rsidR="003E022D" w:rsidRDefault="007D19D6">
      <w:pPr>
        <w:numPr>
          <w:ilvl w:val="0"/>
          <w:numId w:val="807"/>
        </w:numPr>
        <w:spacing w:after="95" w:line="361" w:lineRule="auto"/>
        <w:ind w:left="566" w:hanging="341"/>
        <w:rPr>
          <w:rFonts w:cstheme="minorHAnsi"/>
          <w:noProof/>
        </w:rPr>
      </w:pPr>
      <w:r>
        <w:rPr>
          <w:noProof/>
        </w:rPr>
        <w:t xml:space="preserve">sekojoši pakalpojumi, kuros izmanto pilotējamus gaisa kuģus, ievērojot Pušu attiecīgos normatīvos aktus, kas reglamentē gaisa kuģu iekļūšanu to </w:t>
      </w:r>
      <w:r>
        <w:rPr>
          <w:noProof/>
        </w:rPr>
        <w:t>teritorijā, izlidošanu no tās un ekspluatāciju to teritorijā: lidojumi ugunsgrēku dzēšanai no gaisa, mācību lidojumi, apsmidzināšana, mērniecība, kartēšana, fotografēšana un citi gaisā veikti pakalpojumi lauksaimniecības, rūpniecības un inspekcijas vajadzī</w:t>
      </w:r>
      <w:r>
        <w:rPr>
          <w:noProof/>
        </w:rPr>
        <w:t>bām un</w:t>
      </w:r>
    </w:p>
    <w:p w:rsidR="003E022D" w:rsidRDefault="007D19D6">
      <w:pPr>
        <w:numPr>
          <w:ilvl w:val="0"/>
          <w:numId w:val="807"/>
        </w:numPr>
        <w:spacing w:after="95" w:line="361" w:lineRule="auto"/>
        <w:ind w:left="566" w:hanging="341"/>
        <w:rPr>
          <w:rFonts w:cstheme="minorHAnsi"/>
          <w:noProof/>
        </w:rPr>
      </w:pPr>
      <w:r>
        <w:rPr>
          <w:noProof/>
        </w:rPr>
        <w:t xml:space="preserve">gaisa pārvadājumu pakalpojumu pārdošana un tirgzinība. </w:t>
      </w:r>
    </w:p>
    <w:p w:rsidR="003E022D" w:rsidRDefault="007D19D6">
      <w:pPr>
        <w:rPr>
          <w:rFonts w:cstheme="minorHAnsi"/>
          <w:b/>
          <w:noProof/>
        </w:rPr>
      </w:pPr>
      <w:r>
        <w:rPr>
          <w:noProof/>
        </w:rPr>
        <w:br w:type="page"/>
      </w:r>
    </w:p>
    <w:p w:rsidR="003E022D" w:rsidRDefault="007D19D6">
      <w:pPr>
        <w:rPr>
          <w:rFonts w:cstheme="minorHAnsi"/>
          <w:b/>
          <w:noProof/>
        </w:rPr>
      </w:pPr>
      <w:r>
        <w:rPr>
          <w:b/>
          <w:noProof/>
        </w:rPr>
        <w:t>8. atruna. Izglītības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Izglītības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92</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r>
            <w:r>
              <w:rPr>
                <w:noProof/>
              </w:rP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ind w:left="10" w:right="15"/>
        <w:rPr>
          <w:rFonts w:cstheme="minorHAnsi"/>
          <w:b/>
          <w:noProof/>
        </w:rPr>
      </w:pPr>
      <w:r>
        <w:rPr>
          <w:b/>
          <w:noProof/>
        </w:rPr>
        <w:t xml:space="preserve">Apraksts </w:t>
      </w:r>
    </w:p>
    <w:p w:rsidR="003E022D" w:rsidRDefault="007D19D6">
      <w:pPr>
        <w:ind w:left="10" w:right="15"/>
        <w:rPr>
          <w:rFonts w:cstheme="minorHAnsi"/>
          <w:noProof/>
        </w:rPr>
      </w:pPr>
      <w:r>
        <w:rPr>
          <w:noProof/>
        </w:rPr>
        <w:t xml:space="preserve">Apvienotā Karaliste patur tiesības pieņemt vai atstāt spēkā jebkādu pasākumu attiecībā uz turpmāk minēto. </w:t>
      </w:r>
    </w:p>
    <w:p w:rsidR="003E022D" w:rsidRDefault="007D19D6">
      <w:pPr>
        <w:ind w:left="10" w:right="15"/>
        <w:rPr>
          <w:rFonts w:cstheme="minorHAnsi"/>
          <w:noProof/>
        </w:rPr>
      </w:pPr>
      <w:r>
        <w:rPr>
          <w:noProof/>
        </w:rPr>
        <w:t>Visi tie izglītības</w:t>
      </w:r>
      <w:r>
        <w:rPr>
          <w:noProof/>
        </w:rPr>
        <w:t xml:space="preserve"> pakalpojumi, kuriem piešķir publisko finansējumu vai jebkādu valsts atbalstu un kurus tāpēc neuzskata par privāti finansētiem. Ja ārvalstu pakalpojumu sniedzējam ir atļauts sniegt privāti finansētus izglītības pakalpojumus, izglītības sistēmas īstenošanā,</w:t>
      </w:r>
      <w:r>
        <w:rPr>
          <w:noProof/>
        </w:rPr>
        <w:t xml:space="preserve"> iespējams, varēs piedalīties tādi privāti uzņēmumi, kam varētu būt jāsaņem nediskriminējošā veidā piešķirta koncesija. </w:t>
      </w:r>
    </w:p>
    <w:p w:rsidR="003E022D" w:rsidRDefault="007D19D6">
      <w:pPr>
        <w:spacing w:after="209"/>
        <w:ind w:left="10" w:right="15"/>
        <w:rPr>
          <w:rFonts w:cstheme="minorHAnsi"/>
          <w:noProof/>
        </w:rPr>
      </w:pPr>
      <w:r>
        <w:rPr>
          <w:noProof/>
        </w:rPr>
        <w:t>Privāti finansētu cita veida tādu izglītības pakalpojumu sniegšana, kas neietver pakalpojumus, kurus klasificē kā pamatizglītības, vidē</w:t>
      </w:r>
      <w:r>
        <w:rPr>
          <w:noProof/>
        </w:rPr>
        <w:t xml:space="preserve">jās izglītības, augstākās izglītības un pieaugušo izglītības pakalpojumus (CPC 929). </w:t>
      </w:r>
    </w:p>
    <w:p w:rsidR="003E022D" w:rsidRDefault="007D19D6">
      <w:pPr>
        <w:rPr>
          <w:rFonts w:cstheme="minorHAnsi"/>
          <w:b/>
          <w:noProof/>
        </w:rPr>
      </w:pPr>
      <w:r>
        <w:rPr>
          <w:noProof/>
        </w:rPr>
        <w:br w:type="page"/>
      </w:r>
    </w:p>
    <w:p w:rsidR="003E022D" w:rsidRDefault="007D19D6">
      <w:pPr>
        <w:spacing w:after="164" w:line="265" w:lineRule="auto"/>
        <w:rPr>
          <w:rFonts w:cstheme="minorHAnsi"/>
          <w:b/>
          <w:noProof/>
        </w:rPr>
      </w:pPr>
      <w:r>
        <w:rPr>
          <w:b/>
          <w:noProof/>
        </w:rPr>
        <w:t>9. atruna. Finanšu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Finanšu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3E022D">
            <w:pPr>
              <w:spacing w:afterAutospacing="0"/>
              <w:jc w:val="left"/>
              <w:rPr>
                <w:noProof/>
              </w:rPr>
            </w:pP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spacing w:after="0" w:afterAutospacing="0"/>
              <w:jc w:val="left"/>
              <w:rPr>
                <w:rFonts w:cstheme="minorHAnsi"/>
                <w:noProof/>
              </w:rPr>
            </w:pPr>
            <w:r>
              <w:rPr>
                <w:noProof/>
              </w:rPr>
              <w:t xml:space="preserve">Piekļuve tirgum </w:t>
            </w:r>
            <w:r>
              <w:rPr>
                <w:noProof/>
              </w:rPr>
              <w:br/>
              <w:t xml:space="preserve">Valsts režīms </w:t>
            </w:r>
            <w:r>
              <w:rPr>
                <w:noProof/>
              </w:rPr>
              <w:br/>
              <w:t>Lielākās labvēlības režīms</w:t>
            </w:r>
          </w:p>
          <w:p w:rsidR="003E022D" w:rsidRDefault="007D19D6">
            <w:pPr>
              <w:jc w:val="left"/>
              <w:rPr>
                <w:noProof/>
              </w:rPr>
            </w:pPr>
            <w:r>
              <w:rPr>
                <w:noProof/>
              </w:rPr>
              <w:t>Klātbūtne</w:t>
            </w:r>
            <w:r>
              <w:rPr>
                <w:noProof/>
              </w:rPr>
              <w:t xml:space="preserve"> uz vietas</w:t>
            </w:r>
          </w:p>
          <w:p w:rsidR="003E022D" w:rsidRDefault="003E022D">
            <w:pPr>
              <w:jc w:val="left"/>
              <w:rPr>
                <w:noProof/>
              </w:rPr>
            </w:pP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spacing w:after="172"/>
        <w:ind w:left="10" w:right="15"/>
        <w:rPr>
          <w:rFonts w:cstheme="minorHAnsi"/>
          <w:b/>
          <w:noProof/>
        </w:rPr>
      </w:pPr>
      <w:r>
        <w:rPr>
          <w:b/>
          <w:noProof/>
        </w:rPr>
        <w:t xml:space="preserve">Apraksts </w:t>
      </w:r>
    </w:p>
    <w:p w:rsidR="003E022D" w:rsidRDefault="007D19D6">
      <w:pPr>
        <w:spacing w:before="60"/>
        <w:rPr>
          <w:rFonts w:cstheme="minorHAnsi"/>
          <w:noProof/>
        </w:rPr>
      </w:pPr>
      <w:r>
        <w:rPr>
          <w:noProof/>
        </w:rPr>
        <w:t xml:space="preserve">Apvienotā Karaliste patur tiesības pieņemt vai atstāt spēkā jebkādu pasākumu attiecībā uz turpmāk minēto. </w:t>
      </w:r>
    </w:p>
    <w:p w:rsidR="003E022D" w:rsidRDefault="007D19D6">
      <w:pPr>
        <w:pStyle w:val="ListParagraph"/>
        <w:numPr>
          <w:ilvl w:val="0"/>
          <w:numId w:val="819"/>
        </w:numPr>
        <w:spacing w:before="60" w:after="160" w:line="259" w:lineRule="auto"/>
        <w:rPr>
          <w:rFonts w:cstheme="minorHAnsi"/>
          <w:b/>
          <w:i/>
          <w:iCs/>
          <w:noProof/>
        </w:rPr>
      </w:pPr>
      <w:r>
        <w:rPr>
          <w:b/>
          <w:i/>
          <w:iCs/>
          <w:noProof/>
        </w:rPr>
        <w:t xml:space="preserve">Visi finanšu pakalpojumi </w:t>
      </w:r>
    </w:p>
    <w:p w:rsidR="003E022D" w:rsidRDefault="007D19D6">
      <w:pPr>
        <w:spacing w:before="60"/>
        <w:rPr>
          <w:rFonts w:cstheme="minorHAnsi"/>
          <w:noProof/>
        </w:rPr>
      </w:pPr>
      <w:r>
        <w:rPr>
          <w:noProof/>
          <w:u w:val="single"/>
        </w:rPr>
        <w:t xml:space="preserve">Attiecībā uz investīciju </w:t>
      </w:r>
      <w:r>
        <w:rPr>
          <w:noProof/>
          <w:u w:val="single"/>
        </w:rPr>
        <w:t>liberalizāciju – piekļuve tirgum</w:t>
      </w:r>
      <w:r>
        <w:rPr>
          <w:noProof/>
        </w:rPr>
        <w:t xml:space="preserve"> </w:t>
      </w:r>
    </w:p>
    <w:p w:rsidR="003E022D" w:rsidRDefault="007D19D6">
      <w:pPr>
        <w:spacing w:before="60"/>
        <w:rPr>
          <w:rFonts w:cstheme="minorHAnsi"/>
          <w:noProof/>
        </w:rPr>
      </w:pPr>
      <w:r>
        <w:rPr>
          <w:noProof/>
        </w:rPr>
        <w:t>Nediskriminējoši pieprasīt, lai izveides brīdī Apvienotajā Karalistē finanšu pakalpojuma sniedzējs, kas nav filiāle, izvēlas konkrētu juridisko formu.</w:t>
      </w:r>
    </w:p>
    <w:p w:rsidR="003E022D" w:rsidRDefault="007D19D6">
      <w:pPr>
        <w:spacing w:before="60"/>
        <w:rPr>
          <w:rFonts w:cstheme="minorHAnsi"/>
          <w:noProof/>
          <w:u w:val="single"/>
        </w:rPr>
      </w:pPr>
      <w:r>
        <w:rPr>
          <w:noProof/>
          <w:u w:val="single"/>
        </w:rPr>
        <w:t>Attiecībā uz investīciju liberalizāciju – lielākās labvēlības režīms un</w:t>
      </w:r>
      <w:r>
        <w:rPr>
          <w:noProof/>
          <w:u w:val="single"/>
        </w:rPr>
        <w:t xml:space="preserve"> pakalpojumu pārrobežu tirdzniecība – lielākās labvēlības režīms</w:t>
      </w:r>
    </w:p>
    <w:p w:rsidR="003E022D" w:rsidRDefault="007D19D6">
      <w:pPr>
        <w:spacing w:before="60"/>
        <w:rPr>
          <w:rFonts w:cstheme="minorHAnsi"/>
          <w:noProof/>
        </w:rPr>
      </w:pPr>
      <w:r>
        <w:rPr>
          <w:noProof/>
        </w:rPr>
        <w:t>Atšķirīga režīma nodrošināšana trešās valsts ieguldītājam vai finanšu pakalpojumu sniedzējam, ievērojot jebkādu starptautisku divpusēju vai daudzpusēju ieguldījumu nolīgumu vai citu tirdzniec</w:t>
      </w:r>
      <w:r>
        <w:rPr>
          <w:noProof/>
        </w:rPr>
        <w:t>ības nolīgumu.</w:t>
      </w:r>
    </w:p>
    <w:p w:rsidR="003E022D" w:rsidRDefault="007D19D6">
      <w:pPr>
        <w:pStyle w:val="ListParagraph"/>
        <w:numPr>
          <w:ilvl w:val="0"/>
          <w:numId w:val="819"/>
        </w:numPr>
        <w:spacing w:before="60" w:after="160" w:line="259" w:lineRule="auto"/>
        <w:rPr>
          <w:rFonts w:cstheme="minorHAnsi"/>
          <w:b/>
          <w:i/>
          <w:iCs/>
          <w:noProof/>
        </w:rPr>
      </w:pPr>
      <w:r>
        <w:rPr>
          <w:b/>
          <w:i/>
          <w:iCs/>
          <w:noProof/>
        </w:rPr>
        <w:t xml:space="preserve">Apdrošināšana un ar to saistītie pakalpojumi </w:t>
      </w:r>
    </w:p>
    <w:p w:rsidR="003E022D" w:rsidRDefault="007D19D6">
      <w:pPr>
        <w:spacing w:before="60"/>
        <w:rPr>
          <w:rFonts w:cstheme="minorHAnsi"/>
          <w:noProof/>
          <w:u w:val="single"/>
        </w:rPr>
      </w:pPr>
      <w:r>
        <w:rPr>
          <w:noProof/>
          <w:u w:val="single"/>
        </w:rPr>
        <w:t>Attiecībā uz pakalpojumu pārrobežu tirdzniecību – piekļuve tirgum, valsts režīms, klātbūtne uz vietas</w:t>
      </w:r>
    </w:p>
    <w:p w:rsidR="003E022D" w:rsidRDefault="007D19D6">
      <w:pPr>
        <w:spacing w:before="60"/>
        <w:rPr>
          <w:rFonts w:cstheme="minorHAnsi"/>
          <w:noProof/>
        </w:rPr>
      </w:pPr>
      <w:r>
        <w:rPr>
          <w:noProof/>
        </w:rPr>
        <w:t>Attiecībā uz apdrošināšanas un ar to saistītu pakalpojumu sniegšanu, izņemot:</w:t>
      </w:r>
    </w:p>
    <w:p w:rsidR="003E022D" w:rsidRDefault="007D19D6">
      <w:pPr>
        <w:spacing w:before="60"/>
        <w:rPr>
          <w:rFonts w:cstheme="minorHAnsi"/>
          <w:noProof/>
        </w:rPr>
      </w:pPr>
      <w:r>
        <w:rPr>
          <w:noProof/>
        </w:rPr>
        <w:t>i) tiešās apdro</w:t>
      </w:r>
      <w:r>
        <w:rPr>
          <w:noProof/>
        </w:rPr>
        <w:t>šināšanas (tostarp kopapdrošināšanas) pakalpojumus un tiešās apdrošināšanas starpniecības pakalpojumus tādu risku apdrošināšanai, kas attiecas uz:</w:t>
      </w:r>
    </w:p>
    <w:p w:rsidR="003E022D" w:rsidRDefault="007D19D6">
      <w:pPr>
        <w:pStyle w:val="ListParagraph"/>
        <w:numPr>
          <w:ilvl w:val="0"/>
          <w:numId w:val="813"/>
        </w:numPr>
        <w:spacing w:before="60" w:after="160" w:line="259" w:lineRule="auto"/>
        <w:rPr>
          <w:rFonts w:cstheme="minorHAnsi"/>
          <w:noProof/>
        </w:rPr>
      </w:pPr>
      <w:r>
        <w:rPr>
          <w:noProof/>
        </w:rPr>
        <w:t>jūras transportu, komercaviāciju un kosmosa kuģu palaišanu un kravu, tostarp pavadoņu, nogādāšanu kosmosā, ja</w:t>
      </w:r>
      <w:r>
        <w:rPr>
          <w:noProof/>
        </w:rPr>
        <w:t xml:space="preserve"> šī apdrošināšana attiecas uz kādu vai visu no turpmāk minētā: transportētajām precēm, transportlīdzekli, ar ko transportē preces, un ar to saistīto visu veidu atbildību, un </w:t>
      </w:r>
    </w:p>
    <w:p w:rsidR="003E022D" w:rsidRDefault="007D19D6">
      <w:pPr>
        <w:pStyle w:val="ListParagraph"/>
        <w:numPr>
          <w:ilvl w:val="0"/>
          <w:numId w:val="813"/>
        </w:numPr>
        <w:spacing w:before="60" w:after="160" w:line="259" w:lineRule="auto"/>
        <w:rPr>
          <w:rFonts w:cstheme="minorHAnsi"/>
          <w:noProof/>
        </w:rPr>
      </w:pPr>
      <w:r>
        <w:rPr>
          <w:noProof/>
        </w:rPr>
        <w:t xml:space="preserve">precēm starptautiskajā tranzītā; </w:t>
      </w:r>
    </w:p>
    <w:p w:rsidR="003E022D" w:rsidRDefault="007D19D6">
      <w:pPr>
        <w:spacing w:before="60"/>
        <w:rPr>
          <w:rFonts w:cstheme="minorHAnsi"/>
          <w:noProof/>
        </w:rPr>
      </w:pPr>
      <w:r>
        <w:rPr>
          <w:noProof/>
        </w:rPr>
        <w:t>ii) pārapdrošināšanu un retrocesiju un</w:t>
      </w:r>
    </w:p>
    <w:p w:rsidR="003E022D" w:rsidRDefault="007D19D6">
      <w:pPr>
        <w:spacing w:before="60"/>
        <w:rPr>
          <w:rFonts w:cstheme="minorHAnsi"/>
          <w:noProof/>
        </w:rPr>
      </w:pPr>
      <w:r>
        <w:rPr>
          <w:noProof/>
        </w:rPr>
        <w:t>iii) apd</w:t>
      </w:r>
      <w:r>
        <w:rPr>
          <w:noProof/>
        </w:rPr>
        <w:t>rošināšanas palīgpakalpojumus.</w:t>
      </w:r>
    </w:p>
    <w:p w:rsidR="003E022D" w:rsidRDefault="007D19D6">
      <w:pPr>
        <w:pStyle w:val="ListParagraph"/>
        <w:numPr>
          <w:ilvl w:val="0"/>
          <w:numId w:val="819"/>
        </w:numPr>
        <w:spacing w:before="60" w:after="160" w:line="259" w:lineRule="auto"/>
        <w:rPr>
          <w:rFonts w:cstheme="minorHAnsi"/>
          <w:b/>
          <w:i/>
          <w:iCs/>
          <w:noProof/>
        </w:rPr>
      </w:pPr>
      <w:r>
        <w:rPr>
          <w:b/>
          <w:i/>
          <w:iCs/>
          <w:noProof/>
        </w:rPr>
        <w:t>Banku un citi finanšu pakalpojumi</w:t>
      </w:r>
    </w:p>
    <w:p w:rsidR="003E022D" w:rsidRDefault="007D19D6">
      <w:pPr>
        <w:spacing w:before="60"/>
        <w:rPr>
          <w:rFonts w:cstheme="minorHAnsi"/>
          <w:noProof/>
        </w:rPr>
      </w:pPr>
      <w:r>
        <w:rPr>
          <w:noProof/>
          <w:u w:val="single"/>
        </w:rPr>
        <w:t>Attiecībā uz investīciju liberalizāciju – piekļuve tirgum un pakalpojumu pārrobežu tirdzniecība – klātbūtne uz vietas</w:t>
      </w:r>
    </w:p>
    <w:p w:rsidR="003E022D" w:rsidRDefault="007D19D6">
      <w:pPr>
        <w:spacing w:before="60"/>
        <w:rPr>
          <w:rFonts w:cstheme="minorHAnsi"/>
          <w:noProof/>
        </w:rPr>
      </w:pPr>
      <w:r>
        <w:rPr>
          <w:noProof/>
        </w:rPr>
        <w:t xml:space="preserve">Tikai tādas sabiedrības, kuru juridiskā adrese ir Apvienotajā Karalistē, </w:t>
      </w:r>
      <w:r>
        <w:rPr>
          <w:noProof/>
        </w:rPr>
        <w:t>var darboties kā ieguldījumu fondu aktīvu depozitāriji. Lai varētu veikt kopīgo fondu, arī kopieguldījumu fondu, pārvaldības darbības un — ja tas atļauts valsts tiesību aktos — ieguldījumu sabiedrību darbības, ir jāizveido specializēts pārvaldības uzņēmums</w:t>
      </w:r>
      <w:r>
        <w:rPr>
          <w:noProof/>
        </w:rPr>
        <w:t>, kura galvenais birojs un juridiskā adrese ir Apvienotajā Karalistē.</w:t>
      </w:r>
    </w:p>
    <w:p w:rsidR="003E022D" w:rsidRDefault="007D19D6">
      <w:pPr>
        <w:spacing w:before="60"/>
        <w:rPr>
          <w:rFonts w:cstheme="minorHAnsi"/>
          <w:noProof/>
        </w:rPr>
      </w:pPr>
      <w:r>
        <w:rPr>
          <w:noProof/>
          <w:u w:val="single"/>
        </w:rPr>
        <w:t>Attiecībā uz pakalpojumu pārrobežu tirdzniecību – piekļuve tirgum, valsts režīms, klātbūtne uz vietas</w:t>
      </w:r>
      <w:r>
        <w:rPr>
          <w:noProof/>
        </w:rPr>
        <w:t xml:space="preserve"> </w:t>
      </w:r>
    </w:p>
    <w:p w:rsidR="003E022D" w:rsidRDefault="007D19D6">
      <w:pPr>
        <w:spacing w:before="60"/>
        <w:rPr>
          <w:rFonts w:cstheme="minorHAnsi"/>
          <w:noProof/>
        </w:rPr>
      </w:pPr>
      <w:r>
        <w:rPr>
          <w:noProof/>
        </w:rPr>
        <w:t xml:space="preserve">Attiecībā uz banku un citu finanšu pakalpojumu sniegšanu, izņemot: </w:t>
      </w:r>
    </w:p>
    <w:p w:rsidR="003E022D" w:rsidRDefault="007D19D6">
      <w:pPr>
        <w:spacing w:before="60"/>
        <w:ind w:left="720"/>
        <w:rPr>
          <w:rFonts w:cstheme="minorHAnsi"/>
          <w:noProof/>
        </w:rPr>
      </w:pPr>
      <w:r>
        <w:rPr>
          <w:noProof/>
        </w:rPr>
        <w:t>i) finanšu info</w:t>
      </w:r>
      <w:r>
        <w:rPr>
          <w:noProof/>
        </w:rPr>
        <w:t>rmācijas sniegšanu un nosūtīšanu, finanšu datu apstrādi un saistīto programmatūru, ko nodrošina citu finanšu pakalpojumu sniedzēji; un</w:t>
      </w:r>
    </w:p>
    <w:p w:rsidR="003E022D" w:rsidRDefault="007D19D6">
      <w:pPr>
        <w:spacing w:before="60"/>
        <w:rPr>
          <w:rFonts w:cstheme="minorHAnsi"/>
          <w:i/>
          <w:noProof/>
        </w:rPr>
      </w:pPr>
      <w:r>
        <w:rPr>
          <w:noProof/>
        </w:rPr>
        <w:t>ii) konsultāciju un citus finanšu palīgpakalpojumus, kas saistīti ar banku un citiem finanšu pakalpojumiem, kā tie apraks</w:t>
      </w:r>
      <w:r>
        <w:rPr>
          <w:noProof/>
        </w:rPr>
        <w:t>tīti SERVIN.5.38. panta [Finanšu pakalpojumi – Definīcijas] a) punkta ii) apakšpunkta banku un citu finanšu pakalpojumu (izņemot apdrošināšanu) definīcijas (L) punktā, bet ne definīcijas (L) punktā aprakstītajiem starpniecības pakalpojumiem.</w:t>
      </w:r>
    </w:p>
    <w:p w:rsidR="003E022D" w:rsidRDefault="007D19D6">
      <w:pPr>
        <w:rPr>
          <w:rFonts w:cstheme="minorHAnsi"/>
          <w:b/>
          <w:noProof/>
        </w:rPr>
      </w:pPr>
      <w:r>
        <w:rPr>
          <w:noProof/>
        </w:rPr>
        <w:br w:type="page"/>
      </w:r>
    </w:p>
    <w:p w:rsidR="003E022D" w:rsidRDefault="007D19D6">
      <w:pPr>
        <w:spacing w:after="75" w:line="265" w:lineRule="auto"/>
        <w:rPr>
          <w:rFonts w:cstheme="minorHAnsi"/>
          <w:b/>
          <w:noProof/>
        </w:rPr>
      </w:pPr>
      <w:r>
        <w:rPr>
          <w:b/>
          <w:noProof/>
        </w:rPr>
        <w:t xml:space="preserve">10. atruna. </w:t>
      </w:r>
      <w:r>
        <w:rPr>
          <w:b/>
          <w:noProof/>
        </w:rPr>
        <w:t>Veselības un sociālie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Veselības un sociālie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931, izņemot 9312, daļu no 93191</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Veiktspējas prasības </w:t>
            </w:r>
            <w:r>
              <w:rPr>
                <w:noProof/>
              </w:rPr>
              <w:br/>
              <w:t>Klātbūtne u</w:t>
            </w:r>
            <w:r>
              <w:rPr>
                <w:noProof/>
              </w:rPr>
              <w:t xml:space="preserve">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spacing w:after="217"/>
        <w:ind w:right="15"/>
        <w:rPr>
          <w:rFonts w:cstheme="minorHAnsi"/>
          <w:b/>
          <w:noProof/>
        </w:rPr>
      </w:pPr>
      <w:r>
        <w:rPr>
          <w:b/>
          <w:noProof/>
        </w:rPr>
        <w:t xml:space="preserve">Apraksts </w:t>
      </w:r>
    </w:p>
    <w:p w:rsidR="003E022D" w:rsidRDefault="007D19D6">
      <w:pPr>
        <w:spacing w:after="342"/>
        <w:ind w:right="15"/>
        <w:rPr>
          <w:rFonts w:cstheme="minorHAnsi"/>
          <w:noProof/>
        </w:rPr>
      </w:pPr>
      <w:r>
        <w:rPr>
          <w:noProof/>
        </w:rPr>
        <w:t xml:space="preserve">Apvienotā Karaliste patur tiesības pieņemt vai atstāt spēkā jebkādu pasākumu attiecībā uz turpmāk minēto. </w:t>
      </w:r>
    </w:p>
    <w:p w:rsidR="003E022D" w:rsidRDefault="007D19D6">
      <w:pPr>
        <w:numPr>
          <w:ilvl w:val="0"/>
          <w:numId w:val="826"/>
        </w:numPr>
        <w:spacing w:after="235" w:line="265" w:lineRule="auto"/>
        <w:rPr>
          <w:rFonts w:cstheme="minorHAnsi"/>
          <w:b/>
          <w:i/>
          <w:iCs/>
          <w:noProof/>
        </w:rPr>
      </w:pPr>
      <w:r>
        <w:rPr>
          <w:b/>
          <w:i/>
          <w:iCs/>
          <w:noProof/>
        </w:rPr>
        <w:t xml:space="preserve">Veselības pakalpojumi – slimnīcu, neatliekamās medicīniskās palīdzības pakalpojumi un iedzīvotāju veselības pakalpojumi (CPC 931, izņemot 9312, daļu no 93191)  </w:t>
      </w:r>
    </w:p>
    <w:p w:rsidR="003E022D" w:rsidRDefault="007D19D6">
      <w:pPr>
        <w:spacing w:after="224" w:line="265" w:lineRule="auto"/>
        <w:ind w:right="16"/>
        <w:rPr>
          <w:rFonts w:cstheme="minorHAnsi"/>
          <w:noProof/>
        </w:rPr>
      </w:pPr>
      <w:r>
        <w:rPr>
          <w:noProof/>
          <w:u w:val="single"/>
        </w:rPr>
        <w:t>Attiecībā uz investīciju liberalizāciju – piekļuve tirgum, valsts režīms, veiktspējas prasības,</w:t>
      </w:r>
      <w:r>
        <w:rPr>
          <w:noProof/>
          <w:u w:val="single"/>
        </w:rPr>
        <w:t xml:space="preserve"> augstākā vadība un direktoru padomes</w:t>
      </w:r>
      <w:r>
        <w:rPr>
          <w:noProof/>
        </w:rPr>
        <w:t xml:space="preserve"> </w:t>
      </w:r>
    </w:p>
    <w:p w:rsidR="003E022D" w:rsidRDefault="007D19D6">
      <w:pPr>
        <w:spacing w:after="222"/>
        <w:ind w:right="15"/>
        <w:rPr>
          <w:rFonts w:cstheme="minorHAnsi"/>
          <w:noProof/>
        </w:rPr>
      </w:pPr>
      <w:r>
        <w:rPr>
          <w:noProof/>
        </w:rPr>
        <w:t xml:space="preserve">Attiecībā uz visu to veselības pakalpojumu sniegšanu, kuriem piešķir publisko finansējumu vai jebkādu valsts atbalstu un kurus tāpēc neuzskata par privāti finansētiem. </w:t>
      </w:r>
    </w:p>
    <w:p w:rsidR="003E022D" w:rsidRDefault="007D19D6">
      <w:pPr>
        <w:spacing w:after="219"/>
        <w:ind w:right="15"/>
        <w:rPr>
          <w:rFonts w:cstheme="minorHAnsi"/>
          <w:noProof/>
        </w:rPr>
      </w:pPr>
      <w:r>
        <w:rPr>
          <w:noProof/>
        </w:rPr>
        <w:t>Visi privāti finansēti veselības aprūpes pakalpo</w:t>
      </w:r>
      <w:r>
        <w:rPr>
          <w:noProof/>
        </w:rPr>
        <w:t xml:space="preserve">jumi, kas nav slimnīcu pakalpojumi. Lai privāti uzņēmumi varētu darboties privāti finansētā veselības aprūpes tīklā, tiem varētu būt jāsaņem nediskriminējoši piešķirta koncesija. Var tikt piemērota ekonomisko vajadzību pārbaude. Galvenie kritēriji — esošo </w:t>
      </w:r>
      <w:r>
        <w:rPr>
          <w:noProof/>
        </w:rPr>
        <w:t xml:space="preserve">uzņēmumu skaits un ietekme uz tiem, transporta infrastruktūra, iedzīvotāju blīvums, ģeogrāfiskā izplatība un jaunu darbvietu radīšana. </w:t>
      </w:r>
    </w:p>
    <w:p w:rsidR="003E022D" w:rsidRDefault="007D19D6">
      <w:pPr>
        <w:spacing w:after="221"/>
        <w:ind w:right="15"/>
        <w:rPr>
          <w:rFonts w:cstheme="minorHAnsi"/>
          <w:noProof/>
        </w:rPr>
      </w:pPr>
      <w:r>
        <w:rPr>
          <w:noProof/>
        </w:rPr>
        <w:t>Šī atruna neattiecas uz visu ar veselību saistīto profesionālo pakalpojumu sniegšanu, tajā skaitā uz pakalpojumiem, ko s</w:t>
      </w:r>
      <w:r>
        <w:rPr>
          <w:noProof/>
        </w:rPr>
        <w:t xml:space="preserve">niedz tādi speciālisti kā ārsti, zobārsti, vecmātes, māsas, fizioterapeiti, vidējais medicīniskais personāls un psihologi; kam piemēro citas atrunas (CPC 931, izņemot 9312, daļu no 93191). </w:t>
      </w:r>
    </w:p>
    <w:p w:rsidR="003E022D" w:rsidRDefault="007D19D6">
      <w:pPr>
        <w:numPr>
          <w:ilvl w:val="0"/>
          <w:numId w:val="826"/>
        </w:numPr>
        <w:spacing w:after="235" w:line="265" w:lineRule="auto"/>
        <w:rPr>
          <w:rFonts w:cstheme="minorHAnsi"/>
          <w:b/>
          <w:i/>
          <w:iCs/>
          <w:noProof/>
        </w:rPr>
      </w:pPr>
      <w:r>
        <w:rPr>
          <w:b/>
          <w:i/>
          <w:iCs/>
          <w:noProof/>
        </w:rPr>
        <w:t xml:space="preserve">Veselības un sociālie pakalpojumi, ieskaitot pensiju apdrošināšanu </w:t>
      </w:r>
    </w:p>
    <w:p w:rsidR="003E022D" w:rsidRDefault="007D19D6">
      <w:pPr>
        <w:spacing w:after="237" w:line="265" w:lineRule="auto"/>
        <w:ind w:right="16"/>
        <w:rPr>
          <w:rFonts w:cstheme="minorHAnsi"/>
          <w:noProof/>
        </w:rPr>
      </w:pPr>
      <w:r>
        <w:rPr>
          <w:noProof/>
          <w:u w:val="single"/>
        </w:rPr>
        <w:t>Attiecībā uz pakalpojumu pārrobežu tirdzniecību – piekļuve tirgum, klātbūtne uz vietas, valsts režīms</w:t>
      </w:r>
      <w:r>
        <w:rPr>
          <w:noProof/>
        </w:rPr>
        <w:t xml:space="preserve"> </w:t>
      </w:r>
    </w:p>
    <w:p w:rsidR="003E022D" w:rsidRDefault="007D19D6">
      <w:pPr>
        <w:spacing w:after="238"/>
        <w:ind w:right="15"/>
        <w:rPr>
          <w:rFonts w:cstheme="minorHAnsi"/>
          <w:noProof/>
        </w:rPr>
      </w:pPr>
      <w:r>
        <w:rPr>
          <w:noProof/>
        </w:rPr>
        <w:t>Prasība pakalpojumu sniedzējiem izveidot uzņēmumu vai nodrošināt fizisku klātbūtni tā</w:t>
      </w:r>
      <w:r>
        <w:rPr>
          <w:noProof/>
        </w:rPr>
        <w:t xml:space="preserve">s teritorijā un ierobežot veselības pakalpojumu pārrobežu sniegšanu no vietas ārpus tās teritorijas, pārrobežu sociālo pakalpojumu sniegšanu no vietas ārpus tās teritorijas, kā arī darbības vai pakalpojumus, kas ir daļa no valsts pensiju plāna vai tiesību </w:t>
      </w:r>
      <w:r>
        <w:rPr>
          <w:noProof/>
        </w:rPr>
        <w:t>aktos noteiktās sociālā nodrošinājuma sistēmas. Šī atruna neattiecas uz visu ar veselību saistīto profesionālo pakalpojumu sniegšanu, tajā skaitā uz pakalpojumiem, ko sniedz tādi speciālisti kā ārsti, zobārsti, vecmātes, māsas, fizioterapeiti, vidējais med</w:t>
      </w:r>
      <w:r>
        <w:rPr>
          <w:noProof/>
        </w:rPr>
        <w:t xml:space="preserve">icīniskais palīgpersonāls un psihologi; kam piemēro citas atrunas (CPC 931, izņemot 9312, daļa no 93191). </w:t>
      </w:r>
    </w:p>
    <w:p w:rsidR="003E022D" w:rsidRDefault="007D19D6">
      <w:pPr>
        <w:numPr>
          <w:ilvl w:val="0"/>
          <w:numId w:val="826"/>
        </w:numPr>
        <w:spacing w:after="235" w:line="265" w:lineRule="auto"/>
        <w:rPr>
          <w:rFonts w:cstheme="minorHAnsi"/>
          <w:b/>
          <w:i/>
          <w:iCs/>
          <w:noProof/>
        </w:rPr>
      </w:pPr>
      <w:r>
        <w:rPr>
          <w:b/>
          <w:i/>
          <w:iCs/>
          <w:noProof/>
        </w:rPr>
        <w:t>Sociālie pakalpojumi, ieskaitot pensiju apdrošināšanu</w:t>
      </w:r>
    </w:p>
    <w:p w:rsidR="003E022D" w:rsidRDefault="007D19D6">
      <w:pPr>
        <w:spacing w:after="241" w:line="265" w:lineRule="auto"/>
        <w:ind w:right="16"/>
        <w:rPr>
          <w:rFonts w:cstheme="minorHAnsi"/>
          <w:noProof/>
        </w:rPr>
      </w:pPr>
      <w:r>
        <w:rPr>
          <w:noProof/>
          <w:u w:val="single"/>
        </w:rPr>
        <w:t>Attiecībā uz investīciju liberalizāciju – piekļuve tirgum, valsts režīms, augstākā vadība un di</w:t>
      </w:r>
      <w:r>
        <w:rPr>
          <w:noProof/>
          <w:u w:val="single"/>
        </w:rPr>
        <w:t>rektoru padomes, veiktspējas prasības</w:t>
      </w:r>
      <w:r>
        <w:rPr>
          <w:noProof/>
        </w:rPr>
        <w:t xml:space="preserve"> </w:t>
      </w:r>
    </w:p>
    <w:p w:rsidR="003E022D" w:rsidRDefault="007D19D6">
      <w:pPr>
        <w:spacing w:after="238"/>
        <w:ind w:right="15"/>
        <w:rPr>
          <w:rFonts w:cstheme="minorHAnsi"/>
          <w:noProof/>
        </w:rPr>
      </w:pPr>
      <w:r>
        <w:rPr>
          <w:noProof/>
        </w:rPr>
        <w:t>Visu to sociālo pakalpojumu sniegšana, kuriem piešķir publisko finansējumu vai jebkādu valsts atbalstu un kurus tāpēc neuzskata par privāti finansētiem, kā arī darbības vai pakalpojumi, kas ietilpst valsts pensiju plā</w:t>
      </w:r>
      <w:r>
        <w:rPr>
          <w:noProof/>
        </w:rPr>
        <w:t>nā vai tiesību aktos noteiktā sociālā nodrošinājuma sistēmā. Lai privāti uzņēmumi varētu darboties privāti finansētā sociālā tīklā, tiem varētu būt jāsaņem nediskriminējoši piešķirta koncesija. Var tikt piemērota ekonomisko vajadzību pārbaude. Galvenie kri</w:t>
      </w:r>
      <w:r>
        <w:rPr>
          <w:noProof/>
        </w:rPr>
        <w:t xml:space="preserve">tēriji — esošo uzņēmumu skaits un ietekme uz tiem, transporta infrastruktūra, iedzīvotāju blīvums, ģeogrāfiskā izplatība un jaunu darbvietu radīšana. </w:t>
      </w:r>
    </w:p>
    <w:p w:rsidR="003E022D" w:rsidRDefault="007D19D6">
      <w:pPr>
        <w:spacing w:after="238"/>
        <w:ind w:right="15"/>
        <w:rPr>
          <w:rFonts w:cstheme="minorHAnsi"/>
          <w:noProof/>
        </w:rPr>
      </w:pPr>
      <w:r>
        <w:rPr>
          <w:noProof/>
        </w:rPr>
        <w:t>Tādu privāti finansētu sociālo pakalpojumu sniegšana, kuru sniedzēji nav rehabilitācijas iestādes, atpūta</w:t>
      </w:r>
      <w:r>
        <w:rPr>
          <w:noProof/>
        </w:rPr>
        <w:t>s nami un veco ļaužu pansionāti.</w:t>
      </w:r>
    </w:p>
    <w:p w:rsidR="003E022D" w:rsidRDefault="007D19D6">
      <w:pPr>
        <w:rPr>
          <w:rFonts w:cstheme="minorHAnsi"/>
          <w:b/>
          <w:noProof/>
        </w:rPr>
      </w:pPr>
      <w:r>
        <w:rPr>
          <w:noProof/>
        </w:rPr>
        <w:br w:type="page"/>
      </w:r>
    </w:p>
    <w:p w:rsidR="003E022D" w:rsidRDefault="007D19D6">
      <w:pPr>
        <w:spacing w:after="207" w:line="265" w:lineRule="auto"/>
        <w:rPr>
          <w:rFonts w:cstheme="minorHAnsi"/>
          <w:b/>
          <w:noProof/>
        </w:rPr>
      </w:pPr>
      <w:r>
        <w:rPr>
          <w:b/>
          <w:noProof/>
        </w:rPr>
        <w:t>11. atruna. Atpūtas, kultūras un sporta 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Atpūtas, kultūras un sporta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CPC 963, 9619, 964</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r>
            <w:r>
              <w:rPr>
                <w:noProof/>
              </w:rPr>
              <w:t xml:space="preserve">Augstākā vadība un direktoru padomes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spacing w:after="193"/>
        <w:ind w:right="15"/>
        <w:rPr>
          <w:rFonts w:cstheme="minorHAnsi"/>
          <w:b/>
          <w:noProof/>
        </w:rPr>
      </w:pPr>
      <w:r>
        <w:rPr>
          <w:b/>
          <w:noProof/>
        </w:rPr>
        <w:t xml:space="preserve">Apraksts </w:t>
      </w:r>
    </w:p>
    <w:p w:rsidR="003E022D" w:rsidRDefault="007D19D6">
      <w:pPr>
        <w:spacing w:after="306"/>
        <w:ind w:right="15"/>
        <w:rPr>
          <w:rFonts w:cstheme="minorHAnsi"/>
          <w:noProof/>
        </w:rPr>
      </w:pPr>
      <w:r>
        <w:rPr>
          <w:noProof/>
        </w:rPr>
        <w:t>Apvienotā Karaliste patur tiesības pieņemt vai atstāt spēkā jebkādu pasākumu attiecībā u</w:t>
      </w:r>
      <w:r>
        <w:rPr>
          <w:noProof/>
        </w:rPr>
        <w:t xml:space="preserve">z turpmāk minēto. </w:t>
      </w:r>
    </w:p>
    <w:p w:rsidR="003E022D" w:rsidRDefault="007D19D6">
      <w:pPr>
        <w:numPr>
          <w:ilvl w:val="0"/>
          <w:numId w:val="808"/>
        </w:numPr>
        <w:spacing w:after="194" w:line="264" w:lineRule="auto"/>
        <w:ind w:left="0" w:firstLine="0"/>
        <w:rPr>
          <w:rFonts w:cstheme="minorHAnsi"/>
          <w:b/>
          <w:i/>
          <w:iCs/>
          <w:noProof/>
        </w:rPr>
      </w:pPr>
      <w:r>
        <w:rPr>
          <w:b/>
          <w:i/>
          <w:iCs/>
          <w:noProof/>
        </w:rPr>
        <w:t xml:space="preserve">Bibliotēkas, arhīvi, muzeji un citi kultūras pakalpojumi (CPC 963) </w:t>
      </w:r>
    </w:p>
    <w:p w:rsidR="003E022D" w:rsidRDefault="007D19D6">
      <w:pPr>
        <w:spacing w:after="197"/>
        <w:ind w:right="15"/>
        <w:rPr>
          <w:rFonts w:cstheme="minorHAnsi"/>
          <w:noProof/>
        </w:rPr>
      </w:pPr>
      <w:r>
        <w:rPr>
          <w:noProof/>
        </w:rPr>
        <w:t xml:space="preserve">Bibliotēku, arhīvu, muzeju un citu kultūras pakalpojumu sniegšana </w:t>
      </w:r>
    </w:p>
    <w:p w:rsidR="003E022D" w:rsidRDefault="007D19D6">
      <w:pPr>
        <w:numPr>
          <w:ilvl w:val="0"/>
          <w:numId w:val="808"/>
        </w:numPr>
        <w:spacing w:after="194" w:line="264" w:lineRule="auto"/>
        <w:ind w:left="0" w:firstLine="0"/>
        <w:rPr>
          <w:rFonts w:cstheme="minorHAnsi"/>
          <w:b/>
          <w:i/>
          <w:iCs/>
          <w:noProof/>
        </w:rPr>
      </w:pPr>
      <w:r>
        <w:rPr>
          <w:b/>
          <w:i/>
          <w:iCs/>
          <w:noProof/>
        </w:rPr>
        <w:t xml:space="preserve">Izklaides pakalpojumi, teātra, dzīvās mūzikas un cirka pakalpojumi (CPC 9619, 964, izņemot 96492) </w:t>
      </w:r>
    </w:p>
    <w:p w:rsidR="003E022D" w:rsidRDefault="007D19D6">
      <w:pPr>
        <w:spacing w:after="197"/>
        <w:ind w:right="15"/>
        <w:rPr>
          <w:rFonts w:cstheme="minorHAnsi"/>
          <w:noProof/>
        </w:rPr>
      </w:pPr>
      <w:r>
        <w:rPr>
          <w:noProof/>
        </w:rPr>
        <w:t xml:space="preserve">Pārrobežu izklaides pakalpojumi (tostarp teātra, dzīvās mūzikas, cirka un diskotēku pakalpojumi) </w:t>
      </w:r>
    </w:p>
    <w:p w:rsidR="003E022D" w:rsidRDefault="007D19D6">
      <w:pPr>
        <w:numPr>
          <w:ilvl w:val="0"/>
          <w:numId w:val="808"/>
        </w:numPr>
        <w:spacing w:after="194" w:line="264" w:lineRule="auto"/>
        <w:ind w:left="0" w:firstLine="0"/>
        <w:rPr>
          <w:rFonts w:cstheme="minorHAnsi"/>
          <w:b/>
          <w:i/>
          <w:iCs/>
          <w:noProof/>
        </w:rPr>
      </w:pPr>
      <w:r>
        <w:rPr>
          <w:b/>
          <w:i/>
          <w:iCs/>
          <w:noProof/>
        </w:rPr>
        <w:t xml:space="preserve">Azartspēļu un derību pakalpojumi (CPC 96492) </w:t>
      </w:r>
    </w:p>
    <w:p w:rsidR="003E022D" w:rsidRDefault="007D19D6">
      <w:pPr>
        <w:spacing w:after="166"/>
        <w:ind w:right="15"/>
        <w:rPr>
          <w:rFonts w:cstheme="minorHAnsi"/>
          <w:noProof/>
        </w:rPr>
      </w:pPr>
      <w:r>
        <w:rPr>
          <w:noProof/>
        </w:rPr>
        <w:t>Tādu azartspēļu nodrošināšana, kuras ietver naudā izsakāmas likmes nejaušības spēlēs, tostarp jo īpaši loteriju,</w:t>
      </w:r>
      <w:r>
        <w:rPr>
          <w:noProof/>
        </w:rPr>
        <w:t xml:space="preserve"> nokasāmu loterijas biļešu, kazino, spēļu zālēs vai licencētās telpās piedāvātu azartspēļu pakalpojumu, derību pakalpojumu, bingo pakalpojumu un azartspēļu pakalpojumu, ko sniedz labdarības vai bezpeļņas organizācijas vai šādu organizāciju labā, nodrošināš</w:t>
      </w:r>
      <w:r>
        <w:rPr>
          <w:noProof/>
        </w:rPr>
        <w:t xml:space="preserve">anu </w:t>
      </w:r>
    </w:p>
    <w:p w:rsidR="003E022D" w:rsidRDefault="007D19D6">
      <w:pPr>
        <w:rPr>
          <w:rFonts w:cstheme="minorHAnsi"/>
          <w:b/>
          <w:noProof/>
        </w:rPr>
      </w:pPr>
      <w:r>
        <w:rPr>
          <w:noProof/>
        </w:rPr>
        <w:br w:type="page"/>
      </w:r>
    </w:p>
    <w:p w:rsidR="003E022D" w:rsidRDefault="007D19D6">
      <w:pPr>
        <w:spacing w:after="164" w:line="265" w:lineRule="auto"/>
        <w:rPr>
          <w:rFonts w:cstheme="minorHAnsi"/>
          <w:b/>
          <w:noProof/>
        </w:rPr>
      </w:pPr>
      <w:r>
        <w:rPr>
          <w:b/>
          <w:noProof/>
        </w:rPr>
        <w:t>12. atruna. Transporta pakalpojumi un transporta pakalpojumu palīgpakalpojumi</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Transporta pakalpojumi</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Lielākās labvēlības režīms </w:t>
            </w:r>
            <w:r>
              <w:rPr>
                <w:noProof/>
              </w:rPr>
              <w:br/>
              <w:t xml:space="preserve">Augstākā vadība un direktoru padomes </w:t>
            </w:r>
            <w:r>
              <w:rPr>
                <w:noProof/>
              </w:rPr>
              <w:br/>
              <w:t xml:space="preserve">Veiktspējas prasības </w:t>
            </w:r>
            <w:r>
              <w:rPr>
                <w:noProof/>
              </w:rPr>
              <w:br/>
            </w:r>
            <w:r>
              <w:rPr>
                <w:noProof/>
              </w:rP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ind w:right="15"/>
        <w:rPr>
          <w:rFonts w:cstheme="minorHAnsi"/>
          <w:b/>
          <w:noProof/>
        </w:rPr>
      </w:pPr>
      <w:r>
        <w:rPr>
          <w:b/>
          <w:noProof/>
        </w:rPr>
        <w:t>Apraksts</w:t>
      </w:r>
    </w:p>
    <w:p w:rsidR="003E022D" w:rsidRDefault="007D19D6">
      <w:pPr>
        <w:spacing w:after="263"/>
        <w:ind w:right="15"/>
        <w:rPr>
          <w:rFonts w:cstheme="minorHAnsi"/>
          <w:noProof/>
        </w:rPr>
      </w:pPr>
      <w:r>
        <w:rPr>
          <w:noProof/>
        </w:rPr>
        <w:t xml:space="preserve">Apvienotā Karaliste patur tiesības pieņemt vai atstāt spēkā jebkādu pasākumu attiecībā uz turpmāk minēto. </w:t>
      </w:r>
    </w:p>
    <w:p w:rsidR="003E022D" w:rsidRDefault="007D19D6">
      <w:pPr>
        <w:pStyle w:val="ListParagraph"/>
        <w:numPr>
          <w:ilvl w:val="0"/>
          <w:numId w:val="820"/>
        </w:numPr>
        <w:spacing w:after="164" w:line="264" w:lineRule="auto"/>
        <w:ind w:left="0" w:firstLine="0"/>
        <w:rPr>
          <w:rFonts w:cstheme="minorHAnsi"/>
          <w:b/>
          <w:i/>
          <w:iCs/>
          <w:noProof/>
          <w:u w:val="single"/>
        </w:rPr>
      </w:pPr>
      <w:r>
        <w:rPr>
          <w:b/>
          <w:i/>
          <w:iCs/>
          <w:noProof/>
        </w:rPr>
        <w:t xml:space="preserve">Jūras transports – visa pārējā no kuģa veikta komercdarbība </w:t>
      </w:r>
    </w:p>
    <w:p w:rsidR="003E022D" w:rsidRDefault="007D19D6">
      <w:pPr>
        <w:spacing w:after="173" w:line="265" w:lineRule="auto"/>
        <w:ind w:right="16"/>
        <w:rPr>
          <w:rFonts w:cstheme="minorHAnsi"/>
          <w:noProof/>
        </w:rPr>
      </w:pPr>
      <w:r>
        <w:rPr>
          <w:noProof/>
          <w:u w:val="single"/>
        </w:rPr>
        <w:t>Attiecībā uz investīciju liberalizāciju – piekļuve tirgum, valsts režīms, augstākā vadība un direktoru padomes un pakalpojumu pārrobežu tirdzniecība – piekļuve tirgum, klātbūtne uz vietas, valsts</w:t>
      </w:r>
      <w:r>
        <w:rPr>
          <w:noProof/>
          <w:u w:val="single"/>
        </w:rPr>
        <w:t xml:space="preserve"> režīms</w:t>
      </w:r>
      <w:r>
        <w:rPr>
          <w:noProof/>
        </w:rPr>
        <w:t xml:space="preserve"> </w:t>
      </w:r>
    </w:p>
    <w:p w:rsidR="003E022D" w:rsidRDefault="007D19D6">
      <w:pPr>
        <w:ind w:right="15"/>
        <w:rPr>
          <w:rFonts w:cstheme="minorHAnsi"/>
          <w:noProof/>
        </w:rPr>
      </w:pPr>
      <w:r>
        <w:rPr>
          <w:noProof/>
        </w:rPr>
        <w:t xml:space="preserve">Jūras kuģu vai citu kuģu apkalpes valstspiederība </w:t>
      </w:r>
    </w:p>
    <w:p w:rsidR="003E022D" w:rsidRDefault="007D19D6">
      <w:pPr>
        <w:spacing w:after="173" w:line="265" w:lineRule="auto"/>
        <w:ind w:right="16"/>
        <w:rPr>
          <w:rFonts w:cstheme="minorHAnsi"/>
          <w:noProof/>
        </w:rPr>
      </w:pPr>
      <w:r>
        <w:rPr>
          <w:noProof/>
          <w:u w:val="single"/>
        </w:rPr>
        <w:t>Attiecībā uz investīciju liberalizāciju – piekļuve tirgum, valsts režīms, lielākās labvēlības režīms, augstākā vadība un direktoru padomes</w:t>
      </w:r>
      <w:r>
        <w:rPr>
          <w:noProof/>
        </w:rPr>
        <w:t xml:space="preserve"> </w:t>
      </w:r>
    </w:p>
    <w:p w:rsidR="003E022D" w:rsidRDefault="007D19D6">
      <w:pPr>
        <w:spacing w:after="169" w:line="276" w:lineRule="auto"/>
        <w:ind w:right="15"/>
        <w:rPr>
          <w:rFonts w:cstheme="minorHAnsi"/>
          <w:noProof/>
        </w:rPr>
      </w:pPr>
      <w:r>
        <w:rPr>
          <w:noProof/>
        </w:rPr>
        <w:t>Tikai ES fiziskas vai juridiskas personas drīkst reģistr</w:t>
      </w:r>
      <w:r>
        <w:rPr>
          <w:noProof/>
        </w:rPr>
        <w:t>ēt kuģi un ekspluatēt floti, kas kuģo ar uzņēmējdarbības veikšanas valsts karogu (attiecas uz visām jūras komerciāldarbībām, ko veic no jūras kuģa, t. sk. zvejniecība, akvakultūra un ar zvejniecību saistīti pakalpojumi; starptautiskie pasažieru un kravu pā</w:t>
      </w:r>
      <w:r>
        <w:rPr>
          <w:noProof/>
        </w:rPr>
        <w:t xml:space="preserve">rvadājumi (CPC 721); un jūras transporta palīgpakalpojumi). Šī atruna neattiecas uz juridiskām personām, kas ir izveidotas Apvienotajā Karalistē un kam ir faktiska un pastāvīga saikne ar tās ekonomiku. </w:t>
      </w:r>
    </w:p>
    <w:p w:rsidR="003E022D" w:rsidRDefault="007D19D6">
      <w:pPr>
        <w:pStyle w:val="ListParagraph"/>
        <w:numPr>
          <w:ilvl w:val="0"/>
          <w:numId w:val="820"/>
        </w:numPr>
        <w:spacing w:after="173" w:line="265" w:lineRule="auto"/>
        <w:ind w:right="16"/>
        <w:rPr>
          <w:rFonts w:cstheme="minorHAnsi"/>
          <w:b/>
          <w:i/>
          <w:iCs/>
          <w:noProof/>
        </w:rPr>
      </w:pPr>
      <w:r>
        <w:rPr>
          <w:b/>
          <w:i/>
          <w:iCs/>
          <w:noProof/>
        </w:rPr>
        <w:t xml:space="preserve">Jūras transporta atbalsta pakalpojumi </w:t>
      </w:r>
    </w:p>
    <w:p w:rsidR="003E022D" w:rsidRDefault="007D19D6">
      <w:pPr>
        <w:spacing w:after="173" w:line="265" w:lineRule="auto"/>
        <w:ind w:right="16"/>
        <w:rPr>
          <w:rFonts w:cstheme="minorHAnsi"/>
          <w:noProof/>
        </w:rPr>
      </w:pPr>
      <w:r>
        <w:rPr>
          <w:noProof/>
          <w:u w:val="single"/>
        </w:rPr>
        <w:t xml:space="preserve">Attiecībā uz </w:t>
      </w:r>
      <w:r>
        <w:rPr>
          <w:noProof/>
          <w:u w:val="single"/>
        </w:rPr>
        <w:t>investīciju liberalizāciju – piekļuve tirgum, valsts režīms, augstākā vadība un direktoru padomes un pakalpojumu pārrobežu tirdzniecība – piekļuve tirgum, klātbūtne uz vietas, valsts režīms</w:t>
      </w:r>
      <w:r>
        <w:rPr>
          <w:noProof/>
        </w:rPr>
        <w:t xml:space="preserve"> </w:t>
      </w:r>
    </w:p>
    <w:p w:rsidR="003E022D" w:rsidRDefault="007D19D6">
      <w:pPr>
        <w:spacing w:after="169"/>
        <w:ind w:right="15"/>
        <w:rPr>
          <w:rFonts w:cstheme="minorHAnsi"/>
          <w:noProof/>
        </w:rPr>
      </w:pPr>
      <w:r>
        <w:rPr>
          <w:noProof/>
        </w:rPr>
        <w:t xml:space="preserve">Loču un noenkurošanas pakalpojumu sniegšana Lielākai noteiktībai </w:t>
      </w:r>
      <w:r>
        <w:rPr>
          <w:noProof/>
        </w:rPr>
        <w:t xml:space="preserve">— neatkarīgi no kritērijiem, ko piemēro kuģu reģistrēšanai Apvienotajā Karalistē, Apvienotā Karaliste patur tiesības noteikt, ka loču un noenkurošanas pakalpojumus drīkst sniegt tikai Apvienotās Karalistes reģistros reģistrēti kuģi (CPC 7452). </w:t>
      </w:r>
    </w:p>
    <w:p w:rsidR="003E022D" w:rsidRDefault="007D19D6">
      <w:pPr>
        <w:spacing w:after="166"/>
        <w:ind w:right="15"/>
        <w:rPr>
          <w:rFonts w:cstheme="minorHAnsi"/>
          <w:noProof/>
        </w:rPr>
      </w:pPr>
      <w:r>
        <w:rPr>
          <w:noProof/>
        </w:rPr>
        <w:t>Stumšanas u</w:t>
      </w:r>
      <w:r>
        <w:rPr>
          <w:noProof/>
        </w:rPr>
        <w:t xml:space="preserve">n vilkšanas pakalpojumus var sniegt vienīgi kuģi ar Apvienotās Karalistes karogu (CPC 7214). </w:t>
      </w:r>
    </w:p>
    <w:p w:rsidR="003E022D" w:rsidRDefault="007D19D6">
      <w:pPr>
        <w:pStyle w:val="ListParagraph"/>
        <w:numPr>
          <w:ilvl w:val="0"/>
          <w:numId w:val="820"/>
        </w:numPr>
        <w:spacing w:after="164" w:line="265" w:lineRule="auto"/>
        <w:rPr>
          <w:rFonts w:cstheme="minorHAnsi"/>
          <w:b/>
          <w:i/>
          <w:iCs/>
          <w:noProof/>
        </w:rPr>
      </w:pPr>
      <w:r>
        <w:rPr>
          <w:b/>
          <w:i/>
          <w:iCs/>
          <w:noProof/>
        </w:rPr>
        <w:t xml:space="preserve">Iekšējo ūdensceļu pārvadājumu palīgpakalpojumi </w:t>
      </w:r>
    </w:p>
    <w:p w:rsidR="003E022D" w:rsidRDefault="007D19D6">
      <w:pPr>
        <w:spacing w:after="173" w:line="265" w:lineRule="auto"/>
        <w:ind w:right="16"/>
        <w:rPr>
          <w:rFonts w:cstheme="minorHAnsi"/>
          <w:noProof/>
        </w:rPr>
      </w:pPr>
      <w:r>
        <w:rPr>
          <w:noProof/>
          <w:u w:val="single"/>
        </w:rPr>
        <w:t>Attiecībā uz investīciju liberalizāciju – piekļuve tirgum, valsts režīms, lielākās labvēlības režīms, augstākā vad</w:t>
      </w:r>
      <w:r>
        <w:rPr>
          <w:noProof/>
          <w:u w:val="single"/>
        </w:rPr>
        <w:t>ība un direktoru padomes, veiktspējas prasības un pakalpojumu pārrobežu tirdzniecība – piekļuve tirgum, klātbūtne uz vietas, valsts režīms, lielākās labvēlības režīms</w:t>
      </w:r>
      <w:r>
        <w:rPr>
          <w:noProof/>
        </w:rPr>
        <w:t xml:space="preserve"> </w:t>
      </w:r>
    </w:p>
    <w:p w:rsidR="003E022D" w:rsidRDefault="007D19D6">
      <w:pPr>
        <w:spacing w:after="169"/>
        <w:ind w:right="15"/>
        <w:rPr>
          <w:rFonts w:cstheme="minorHAnsi"/>
          <w:noProof/>
        </w:rPr>
      </w:pPr>
      <w:r>
        <w:rPr>
          <w:noProof/>
        </w:rPr>
        <w:t xml:space="preserve">Iekšējo ūdensceļu pārvadājumu palīgpakalpojumi. </w:t>
      </w:r>
    </w:p>
    <w:p w:rsidR="003E022D" w:rsidRDefault="007D19D6">
      <w:pPr>
        <w:pStyle w:val="ListParagraph"/>
        <w:numPr>
          <w:ilvl w:val="0"/>
          <w:numId w:val="820"/>
        </w:numPr>
        <w:spacing w:after="164" w:line="265" w:lineRule="auto"/>
        <w:rPr>
          <w:rFonts w:cstheme="minorHAnsi"/>
          <w:b/>
          <w:i/>
          <w:iCs/>
          <w:noProof/>
        </w:rPr>
      </w:pPr>
      <w:r>
        <w:rPr>
          <w:b/>
          <w:i/>
          <w:iCs/>
          <w:noProof/>
        </w:rPr>
        <w:t>Dzelzceļa transports un dzelzceļa trans</w:t>
      </w:r>
      <w:r>
        <w:rPr>
          <w:b/>
          <w:i/>
          <w:iCs/>
          <w:noProof/>
        </w:rPr>
        <w:t xml:space="preserve">porta palīgpakalpojumi </w:t>
      </w:r>
    </w:p>
    <w:p w:rsidR="003E022D" w:rsidRDefault="007D19D6">
      <w:pPr>
        <w:spacing w:after="173" w:line="265" w:lineRule="auto"/>
        <w:ind w:right="16"/>
        <w:rPr>
          <w:rFonts w:cstheme="minorHAnsi"/>
          <w:noProof/>
        </w:rPr>
      </w:pPr>
      <w:r>
        <w:rPr>
          <w:noProof/>
          <w:u w:val="single"/>
        </w:rPr>
        <w:t>Attiecībā uz investīciju liberalizāciju – piekļuve tirgum, valsts režīms un pakalpojumu pārrobežu tirdzniecība – piekļuve tirgum, klātbūtne uz vietas, valsts režīms</w:t>
      </w:r>
      <w:r>
        <w:rPr>
          <w:noProof/>
        </w:rPr>
        <w:t xml:space="preserve"> </w:t>
      </w:r>
    </w:p>
    <w:p w:rsidR="003E022D" w:rsidRDefault="007D19D6">
      <w:pPr>
        <w:spacing w:after="165"/>
        <w:ind w:right="15"/>
        <w:rPr>
          <w:rFonts w:cstheme="minorHAnsi"/>
          <w:noProof/>
        </w:rPr>
      </w:pPr>
      <w:r>
        <w:rPr>
          <w:noProof/>
        </w:rPr>
        <w:t xml:space="preserve">Dzelzceļa pasažieru pārvadājumi (CPC 7111) </w:t>
      </w:r>
    </w:p>
    <w:p w:rsidR="003E022D" w:rsidRDefault="007D19D6">
      <w:pPr>
        <w:spacing w:after="165"/>
        <w:ind w:right="15"/>
        <w:rPr>
          <w:rFonts w:cstheme="minorHAnsi"/>
          <w:noProof/>
          <w:u w:val="single"/>
        </w:rPr>
      </w:pPr>
      <w:r>
        <w:rPr>
          <w:noProof/>
          <w:u w:val="single"/>
        </w:rPr>
        <w:t>Attiecībā uz investīci</w:t>
      </w:r>
      <w:r>
        <w:rPr>
          <w:noProof/>
          <w:u w:val="single"/>
        </w:rPr>
        <w:t>ju liberalizāciju – piekļuve tirgum un pakalpojumu pārrobežu tirdzniecība – piekļuve tirgum, klātbūtne uz vietas</w:t>
      </w:r>
    </w:p>
    <w:p w:rsidR="003E022D" w:rsidRDefault="007D19D6">
      <w:pPr>
        <w:spacing w:after="165"/>
        <w:ind w:right="15"/>
        <w:rPr>
          <w:rFonts w:cstheme="minorHAnsi"/>
          <w:noProof/>
        </w:rPr>
      </w:pPr>
      <w:r>
        <w:rPr>
          <w:noProof/>
        </w:rPr>
        <w:t>Dzelzceļa kravu pārvadājumi (CPC 7112)</w:t>
      </w:r>
    </w:p>
    <w:p w:rsidR="003E022D" w:rsidRDefault="007D19D6">
      <w:pPr>
        <w:pStyle w:val="ListParagraph"/>
        <w:numPr>
          <w:ilvl w:val="0"/>
          <w:numId w:val="820"/>
        </w:numPr>
        <w:spacing w:after="220" w:line="264" w:lineRule="auto"/>
        <w:ind w:left="0" w:firstLine="0"/>
        <w:rPr>
          <w:rFonts w:cstheme="minorHAnsi"/>
          <w:b/>
          <w:i/>
          <w:iCs/>
          <w:noProof/>
        </w:rPr>
      </w:pPr>
      <w:bookmarkStart w:id="1292" w:name="_Hlk54537769"/>
      <w:r>
        <w:rPr>
          <w:b/>
          <w:i/>
          <w:iCs/>
          <w:noProof/>
        </w:rPr>
        <w:t xml:space="preserve"> Autotransports (pasažieru pārvadājumi, kravu pārvadājumi, starptautiskie autopārvadājumu pakalpojumi) un autotransporta palīgpakalpojumi </w:t>
      </w:r>
    </w:p>
    <w:p w:rsidR="003E022D" w:rsidRDefault="007D19D6">
      <w:pPr>
        <w:spacing w:after="140" w:line="265" w:lineRule="auto"/>
        <w:ind w:right="16"/>
        <w:rPr>
          <w:rFonts w:cstheme="minorHAnsi"/>
          <w:noProof/>
          <w:u w:val="single"/>
        </w:rPr>
      </w:pPr>
      <w:r>
        <w:rPr>
          <w:noProof/>
          <w:u w:val="single"/>
        </w:rPr>
        <w:t>Attiecībā uz pakalpojumu pārrobežu tirdzniecību – piekļuve tirgum, valsts režīms, klātbūtne uz vietas</w:t>
      </w:r>
    </w:p>
    <w:p w:rsidR="003E022D" w:rsidRDefault="007D19D6">
      <w:pPr>
        <w:spacing w:after="140" w:line="265" w:lineRule="auto"/>
        <w:ind w:right="16"/>
        <w:rPr>
          <w:rFonts w:cstheme="minorHAnsi"/>
          <w:noProof/>
        </w:rPr>
      </w:pPr>
      <w:r>
        <w:rPr>
          <w:noProof/>
        </w:rPr>
        <w:t>Attiecībā uz au</w:t>
      </w:r>
      <w:r>
        <w:rPr>
          <w:noProof/>
        </w:rPr>
        <w:t>totransporta pakalpojumiem, uz kuriem attiecas 2. daļas (Ekonomika un tirdzniecība) XII sadaļas (Transports) 3. un 4. nodaļa un 3. nodaļas ROAD-1. pielikums.</w:t>
      </w:r>
    </w:p>
    <w:p w:rsidR="003E022D" w:rsidRDefault="007D19D6">
      <w:pPr>
        <w:spacing w:after="140" w:line="265" w:lineRule="auto"/>
        <w:ind w:right="16"/>
        <w:rPr>
          <w:rFonts w:cstheme="minorHAnsi"/>
          <w:noProof/>
          <w:u w:val="single"/>
        </w:rPr>
      </w:pPr>
      <w:r>
        <w:rPr>
          <w:noProof/>
          <w:u w:val="single"/>
        </w:rPr>
        <w:t>Attiecībā uz investīciju liberalizāciju – piekļuve tirgum, valsts režīms, augstākā vadība un direk</w:t>
      </w:r>
      <w:r>
        <w:rPr>
          <w:noProof/>
          <w:u w:val="single"/>
        </w:rPr>
        <w:t>toru padomes un pakalpojumu pārrobežu tirdzniecība – piekļuve tirgum, klātbūtne uz vietas, valsts režīms</w:t>
      </w:r>
    </w:p>
    <w:p w:rsidR="003E022D" w:rsidRDefault="007D19D6">
      <w:pPr>
        <w:spacing w:after="140" w:line="265" w:lineRule="auto"/>
        <w:ind w:right="16"/>
        <w:rPr>
          <w:rFonts w:cstheme="minorHAnsi"/>
          <w:noProof/>
        </w:rPr>
      </w:pPr>
      <w:r>
        <w:rPr>
          <w:noProof/>
        </w:rPr>
        <w:t>Attiecībā uz autotransporta pakalpojumiem, uz kuriem neattiecas 2. daļas (Ekonomika un tirdzniecība) XII sadaļas (Transports) 3. un 4. nodaļa un 3. nod</w:t>
      </w:r>
      <w:r>
        <w:rPr>
          <w:noProof/>
        </w:rPr>
        <w:t xml:space="preserve">aļas ROAD-1. pielikums: </w:t>
      </w:r>
    </w:p>
    <w:p w:rsidR="003E022D" w:rsidRDefault="007D19D6">
      <w:pPr>
        <w:numPr>
          <w:ilvl w:val="0"/>
          <w:numId w:val="809"/>
        </w:numPr>
        <w:spacing w:after="138" w:line="266" w:lineRule="auto"/>
        <w:ind w:right="15" w:hanging="341"/>
        <w:rPr>
          <w:rFonts w:cstheme="minorHAnsi"/>
          <w:noProof/>
        </w:rPr>
      </w:pPr>
      <w:r>
        <w:rPr>
          <w:noProof/>
        </w:rPr>
        <w:t xml:space="preserve">tiesības pieprasīt uzņēmējdarbības veikšanu un ierobežot autotransporta pakalpojumu pārrobežu sniegšanu (CPC 712); </w:t>
      </w:r>
    </w:p>
    <w:p w:rsidR="003E022D" w:rsidRDefault="007D19D6">
      <w:pPr>
        <w:numPr>
          <w:ilvl w:val="0"/>
          <w:numId w:val="809"/>
        </w:numPr>
        <w:spacing w:after="138" w:line="266" w:lineRule="auto"/>
        <w:ind w:right="15" w:hanging="341"/>
        <w:rPr>
          <w:rFonts w:cstheme="minorHAnsi"/>
          <w:noProof/>
        </w:rPr>
      </w:pPr>
      <w:r>
        <w:rPr>
          <w:noProof/>
        </w:rPr>
        <w:t>taksometru pakalpojumiem Apvienotajā Karalistē var piemērot ekonomisko vajadzību pārbaudi, nosakot pakalpojumu snie</w:t>
      </w:r>
      <w:r>
        <w:rPr>
          <w:noProof/>
        </w:rPr>
        <w:t xml:space="preserve">dzēju skaita ierobežojumu. Galvenie kritēriji — vietējais pieprasījums, kā noteikts piemērojamajās tiesībās (CPC 71221). </w:t>
      </w:r>
    </w:p>
    <w:bookmarkEnd w:id="1292"/>
    <w:p w:rsidR="003E022D" w:rsidRDefault="007D19D6">
      <w:pPr>
        <w:spacing w:after="216" w:line="265" w:lineRule="auto"/>
        <w:rPr>
          <w:rFonts w:cstheme="minorHAnsi"/>
          <w:b/>
          <w:i/>
          <w:iCs/>
          <w:noProof/>
        </w:rPr>
      </w:pPr>
      <w:r>
        <w:rPr>
          <w:b/>
          <w:i/>
          <w:iCs/>
          <w:noProof/>
        </w:rPr>
        <w:t xml:space="preserve">Esošie pasākumi: </w:t>
      </w:r>
    </w:p>
    <w:p w:rsidR="003E022D" w:rsidRDefault="007D19D6">
      <w:pPr>
        <w:spacing w:after="219"/>
        <w:ind w:right="15"/>
        <w:rPr>
          <w:rFonts w:cstheme="minorHAnsi"/>
          <w:noProof/>
        </w:rPr>
      </w:pPr>
      <w:r>
        <w:rPr>
          <w:noProof/>
        </w:rPr>
        <w:t>Eiropas Parlamenta un Padomes 2009. gada 21. oktobra Regula (EK) Nr. 1071/2009, ar ko nosaka kopīgus noteikumus par autopārvadātāja profesionālās darbības veikšanas nosacījumiem un atceļ Padomes Direktīvu 96/26/EK, kas Apvienotās Karalistes tiesību aktos s</w:t>
      </w:r>
      <w:r>
        <w:rPr>
          <w:noProof/>
        </w:rPr>
        <w:t xml:space="preserve">aglabāta ar 2018. gada Eiropas Savienības (Izstāšanās) aktu un grozīta ar 2019. gada Noteikumiem par pārvadātāju un starptautisko kravu autopārvadājumu pārvadātāju licencēšanu (grozījums utt.) (izstāšanās no ES); </w:t>
      </w:r>
    </w:p>
    <w:p w:rsidR="003E022D" w:rsidRDefault="007D19D6">
      <w:pPr>
        <w:spacing w:after="219"/>
        <w:ind w:right="15"/>
        <w:rPr>
          <w:rFonts w:cstheme="minorHAnsi"/>
          <w:noProof/>
        </w:rPr>
      </w:pPr>
      <w:r>
        <w:rPr>
          <w:noProof/>
        </w:rPr>
        <w:t>Eiropas Parlamenta un Padomes 2009. gada 2</w:t>
      </w:r>
      <w:r>
        <w:rPr>
          <w:noProof/>
        </w:rPr>
        <w:t>1. oktobra Regula (EK) Nr. 1072/2009 par kopīgiem noteikumiem attiecībā uz piekļuvi starptautisko kravas autopārvadājumu tirgum, kas Apvienotās Karalistes tiesību aktos saglabāta ar 2018. gada Eiropas Savienības (Izstāšanās) aktu un grozīta ar 2019. gada N</w:t>
      </w:r>
      <w:r>
        <w:rPr>
          <w:noProof/>
        </w:rPr>
        <w:t xml:space="preserve">oteikumiem pārvadātāju un starptautisko kravas autopārvadājumu pārvadātāju licencēšanu (grozījums utt.) (izstāšanās no ES), un </w:t>
      </w:r>
    </w:p>
    <w:p w:rsidR="003E022D" w:rsidRDefault="007D19D6">
      <w:pPr>
        <w:spacing w:after="219"/>
        <w:ind w:right="15"/>
        <w:rPr>
          <w:rFonts w:cstheme="minorHAnsi"/>
          <w:noProof/>
        </w:rPr>
      </w:pPr>
      <w:r>
        <w:rPr>
          <w:noProof/>
        </w:rPr>
        <w:t>Eiropas Parlamenta un Padomes 2009. gada 21. oktobra Regula (EK) Nr. 1073/2009 par kopīgiem noteikumiem attiecībā uz piekļuvi st</w:t>
      </w:r>
      <w:r>
        <w:rPr>
          <w:noProof/>
        </w:rPr>
        <w:t>arptautiskajam autobusu pārvadājumu tirgum un ar ko groza Regulu (EK) Nr. 561/2006, kas Apvienotās Karalistes tiesībās saglabāta ar 2018. gada Eiropas Savienības (Izstāšanās) aktu un grozīta ar 2019. gada Noteikumiem par kopīgiem noteikumiem attiecībā uz p</w:t>
      </w:r>
      <w:r>
        <w:rPr>
          <w:noProof/>
        </w:rPr>
        <w:t>iekļuvi starptautiskajam autobusu pārvadājumu tirgum (grozījums utt.) (Izstāšanās no ES).</w:t>
      </w:r>
    </w:p>
    <w:p w:rsidR="003E022D" w:rsidRDefault="007D19D6">
      <w:pPr>
        <w:pStyle w:val="ListParagraph"/>
        <w:numPr>
          <w:ilvl w:val="0"/>
          <w:numId w:val="820"/>
        </w:numPr>
        <w:spacing w:after="333" w:line="265" w:lineRule="auto"/>
        <w:rPr>
          <w:rFonts w:cstheme="minorHAnsi"/>
          <w:b/>
          <w:i/>
          <w:iCs/>
          <w:noProof/>
        </w:rPr>
      </w:pPr>
      <w:r>
        <w:rPr>
          <w:b/>
          <w:i/>
          <w:iCs/>
          <w:noProof/>
        </w:rPr>
        <w:t xml:space="preserve">Kosmosa transports un kosmosa kuģu noma </w:t>
      </w:r>
    </w:p>
    <w:p w:rsidR="003E022D" w:rsidRDefault="007D19D6">
      <w:pPr>
        <w:spacing w:line="265" w:lineRule="auto"/>
        <w:ind w:left="10" w:right="16" w:hanging="10"/>
        <w:rPr>
          <w:rFonts w:cstheme="minorHAnsi"/>
          <w:noProof/>
        </w:rPr>
      </w:pPr>
      <w:r>
        <w:rPr>
          <w:noProof/>
          <w:u w:val="single"/>
        </w:rPr>
        <w:t xml:space="preserve">Attiecībā uz investīciju liberalizāciju – piekļuve tirgum, valsts režīms, veiktspējas prasības, augstākā vadība un direktoru </w:t>
      </w:r>
      <w:r>
        <w:rPr>
          <w:noProof/>
          <w:u w:val="single"/>
        </w:rPr>
        <w:t>padomes un pakalpojumu pārrobežu tirdzniecība – piekļuve tirgum, klātbūtne uz vietas, valsts režīms</w:t>
      </w:r>
      <w:r>
        <w:rPr>
          <w:noProof/>
        </w:rPr>
        <w:t xml:space="preserve"> </w:t>
      </w:r>
    </w:p>
    <w:p w:rsidR="003E022D" w:rsidRDefault="007D19D6">
      <w:pPr>
        <w:ind w:left="10" w:right="15"/>
        <w:rPr>
          <w:rFonts w:cstheme="minorHAnsi"/>
          <w:noProof/>
        </w:rPr>
      </w:pPr>
      <w:r>
        <w:rPr>
          <w:noProof/>
        </w:rPr>
        <w:t>Transporta pakalpojumi kosmosā un kosmosa kuģu noma (CPC 733, daļa no 734)</w:t>
      </w:r>
    </w:p>
    <w:p w:rsidR="003E022D" w:rsidRDefault="007D19D6">
      <w:pPr>
        <w:pStyle w:val="ListParagraph"/>
        <w:numPr>
          <w:ilvl w:val="0"/>
          <w:numId w:val="820"/>
        </w:numPr>
        <w:spacing w:line="265" w:lineRule="auto"/>
        <w:rPr>
          <w:rFonts w:cstheme="minorHAnsi"/>
          <w:b/>
          <w:i/>
          <w:iCs/>
          <w:noProof/>
        </w:rPr>
      </w:pPr>
      <w:r>
        <w:rPr>
          <w:b/>
          <w:i/>
          <w:iCs/>
          <w:noProof/>
        </w:rPr>
        <w:t xml:space="preserve">Lielākās labvēlības režīma izņēmumi </w:t>
      </w:r>
    </w:p>
    <w:p w:rsidR="003E022D" w:rsidRDefault="007D19D6">
      <w:pPr>
        <w:spacing w:line="265" w:lineRule="auto"/>
        <w:ind w:right="16"/>
        <w:rPr>
          <w:rFonts w:cstheme="minorHAnsi"/>
          <w:noProof/>
        </w:rPr>
      </w:pPr>
      <w:r>
        <w:rPr>
          <w:noProof/>
          <w:u w:val="single"/>
        </w:rPr>
        <w:t>Attiecībā uz investīciju liberalizāciju – l</w:t>
      </w:r>
      <w:r>
        <w:rPr>
          <w:noProof/>
          <w:u w:val="single"/>
        </w:rPr>
        <w:t>ielākās labvēlības režīms un pakalpojumu pārrobežu tirdzniecība – lielākās labvēlības režīms</w:t>
      </w:r>
      <w:r>
        <w:rPr>
          <w:noProof/>
        </w:rPr>
        <w:t xml:space="preserve"> </w:t>
      </w:r>
    </w:p>
    <w:p w:rsidR="003E022D" w:rsidRDefault="007D19D6">
      <w:pPr>
        <w:numPr>
          <w:ilvl w:val="0"/>
          <w:numId w:val="821"/>
        </w:numPr>
        <w:spacing w:line="266" w:lineRule="auto"/>
        <w:ind w:right="15"/>
        <w:rPr>
          <w:rFonts w:cstheme="minorHAnsi"/>
          <w:noProof/>
        </w:rPr>
      </w:pPr>
      <w:r>
        <w:rPr>
          <w:noProof/>
        </w:rPr>
        <w:t xml:space="preserve">Autotransports un dzelzceļa transports </w:t>
      </w:r>
    </w:p>
    <w:p w:rsidR="003E022D" w:rsidRDefault="007D19D6">
      <w:pPr>
        <w:ind w:left="907" w:right="15"/>
        <w:rPr>
          <w:rFonts w:cstheme="minorHAnsi"/>
          <w:noProof/>
        </w:rPr>
      </w:pPr>
      <w:r>
        <w:rPr>
          <w:noProof/>
        </w:rPr>
        <w:t>Var piešķirt atšķirīgu režīmu kādai valstij atbilstoši esošiem vai turpmākiem divpusējiem nolīgumiem par starptautiskajiem</w:t>
      </w:r>
      <w:r>
        <w:rPr>
          <w:noProof/>
        </w:rPr>
        <w:t xml:space="preserve"> kravas autopārvadājumiem (arī kombinētajiem pārvadājumiem — ar autotransportu vai dzelzceļa transportu) un pasažieru pārvadājumiem, kas noslēgti starp Apvienoto Karalisti un trešo valsti (CPC 7111, 7112, 7121, 7122, 7123). Minētais režīms var: </w:t>
      </w:r>
    </w:p>
    <w:p w:rsidR="003E022D" w:rsidRDefault="007D19D6">
      <w:pPr>
        <w:ind w:left="1721" w:right="15" w:hanging="281"/>
        <w:rPr>
          <w:rFonts w:cstheme="minorHAnsi"/>
          <w:noProof/>
        </w:rPr>
      </w:pPr>
      <w:r>
        <w:rPr>
          <w:noProof/>
        </w:rPr>
        <w:t>–– paredzē</w:t>
      </w:r>
      <w:r>
        <w:rPr>
          <w:noProof/>
        </w:rPr>
        <w:t xml:space="preserve">t vai ierobežot, ka attiecīgo transporta pakalpojumu sniegšana starp līgumslēdzējām pusēm vai šķērsojot to teritorijas ir atļauta, izmantojot vienīgi transportlīdzekļus, kas reģistrēti katrā līgumslēdzējā pusē, vai </w:t>
      </w:r>
    </w:p>
    <w:p w:rsidR="003E022D" w:rsidRDefault="007D19D6">
      <w:pPr>
        <w:ind w:left="1440" w:right="15"/>
        <w:rPr>
          <w:rFonts w:cstheme="minorHAnsi"/>
          <w:noProof/>
        </w:rPr>
      </w:pPr>
      <w:r>
        <w:rPr>
          <w:noProof/>
        </w:rPr>
        <w:t>–– paredzēt šādiem transportlīdzekļiem a</w:t>
      </w:r>
      <w:r>
        <w:rPr>
          <w:noProof/>
        </w:rPr>
        <w:t xml:space="preserve">tbrīvojumus no nodokļiem. </w:t>
      </w:r>
    </w:p>
    <w:p w:rsidR="003E022D" w:rsidRDefault="007D19D6">
      <w:pPr>
        <w:numPr>
          <w:ilvl w:val="0"/>
          <w:numId w:val="810"/>
        </w:numPr>
        <w:spacing w:line="266" w:lineRule="auto"/>
        <w:ind w:right="15"/>
        <w:rPr>
          <w:rFonts w:cstheme="minorHAnsi"/>
          <w:noProof/>
        </w:rPr>
      </w:pPr>
      <w:r>
        <w:rPr>
          <w:noProof/>
        </w:rPr>
        <w:t xml:space="preserve">Gaisa transports – gaisa transporta palīgpakalpojumi </w:t>
      </w:r>
    </w:p>
    <w:p w:rsidR="003E022D" w:rsidRDefault="007D19D6">
      <w:pPr>
        <w:ind w:left="907" w:right="15"/>
        <w:rPr>
          <w:rFonts w:cstheme="minorHAnsi"/>
          <w:noProof/>
        </w:rPr>
      </w:pPr>
      <w:r>
        <w:rPr>
          <w:noProof/>
        </w:rPr>
        <w:t>Atšķirīga režīma nodrošināšana attiecībā uz trešo valsti, ievērojot esošus vai turpmākus divpusējus nolīgumus par apkalpošanas uz zemes pakalpojumiem.</w:t>
      </w:r>
    </w:p>
    <w:p w:rsidR="003E022D" w:rsidRDefault="007D19D6">
      <w:pPr>
        <w:rPr>
          <w:rFonts w:cstheme="minorHAnsi"/>
          <w:noProof/>
        </w:rPr>
      </w:pPr>
      <w:r>
        <w:rPr>
          <w:noProof/>
        </w:rPr>
        <w:br w:type="page"/>
      </w:r>
    </w:p>
    <w:p w:rsidR="003E022D" w:rsidRDefault="007D19D6">
      <w:pPr>
        <w:spacing w:after="164" w:line="265" w:lineRule="auto"/>
        <w:rPr>
          <w:rFonts w:cstheme="minorHAnsi"/>
          <w:b/>
          <w:noProof/>
        </w:rPr>
      </w:pPr>
      <w:bookmarkStart w:id="1293" w:name="_Hlk59121818"/>
      <w:r>
        <w:rPr>
          <w:b/>
          <w:noProof/>
        </w:rPr>
        <w:t xml:space="preserve">13. Atruna. </w:t>
      </w:r>
      <w:r>
        <w:rPr>
          <w:b/>
          <w:noProof/>
        </w:rPr>
        <w:t>Zvejniecība un ūdens</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zvejniecība, akvakultūra un ar zvejniecību saistītie pakalpojumi; ūdens savākšana, attīrīšana un sadale.</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rPr>
                <w:noProof/>
              </w:rPr>
            </w:pPr>
            <w:r>
              <w:rPr>
                <w:noProof/>
              </w:rPr>
              <w:t>ISIC 3.1. red. 0501, 0502, CPC 882, ISIC Rev. 3.1 41</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r>
            <w:r>
              <w:rPr>
                <w:noProof/>
              </w:rPr>
              <w:t xml:space="preserve">Valsts režīms </w:t>
            </w:r>
            <w:r>
              <w:rPr>
                <w:noProof/>
              </w:rPr>
              <w:br/>
              <w:t xml:space="preserve">Lielākās labvēlības režīms </w:t>
            </w:r>
            <w:r>
              <w:rPr>
                <w:noProof/>
              </w:rPr>
              <w:br/>
              <w:t xml:space="preserve">Augstākā vadība un direktoru padomes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spacing w:after="378"/>
        <w:ind w:right="15"/>
        <w:rPr>
          <w:rFonts w:cstheme="minorHAnsi"/>
          <w:b/>
          <w:noProof/>
        </w:rPr>
      </w:pPr>
      <w:r>
        <w:rPr>
          <w:b/>
          <w:noProof/>
        </w:rPr>
        <w:t>Apraksts</w:t>
      </w:r>
    </w:p>
    <w:p w:rsidR="003E022D" w:rsidRDefault="007D19D6">
      <w:pPr>
        <w:spacing w:after="378"/>
        <w:ind w:right="15"/>
        <w:rPr>
          <w:rFonts w:cstheme="minorHAnsi"/>
          <w:noProof/>
        </w:rPr>
      </w:pPr>
      <w:r>
        <w:rPr>
          <w:noProof/>
        </w:rPr>
        <w:t xml:space="preserve">Apvienotā Karaliste patur tiesības pieņemt vai atstāt spēkā jebkādu pasākumu attiecībā uz turpmāk minēto. </w:t>
      </w:r>
    </w:p>
    <w:p w:rsidR="003E022D" w:rsidRDefault="007D19D6">
      <w:pPr>
        <w:pStyle w:val="ListParagraph"/>
        <w:numPr>
          <w:ilvl w:val="0"/>
          <w:numId w:val="822"/>
        </w:numPr>
        <w:spacing w:after="241" w:line="264" w:lineRule="auto"/>
        <w:ind w:left="0" w:right="17" w:firstLine="0"/>
        <w:rPr>
          <w:rFonts w:cstheme="minorHAnsi"/>
          <w:b/>
          <w:i/>
          <w:iCs/>
          <w:noProof/>
        </w:rPr>
      </w:pPr>
      <w:r>
        <w:rPr>
          <w:b/>
          <w:i/>
          <w:iCs/>
          <w:noProof/>
        </w:rPr>
        <w:t xml:space="preserve">Zvejniecība, akvakultūra un ar zvejniecību saistītie pakalpojumi (ISIC 3.1. red. 0501, 0502, CPC 882) </w:t>
      </w:r>
    </w:p>
    <w:p w:rsidR="003E022D" w:rsidRDefault="007D19D6">
      <w:pPr>
        <w:spacing w:after="241" w:line="265" w:lineRule="auto"/>
        <w:ind w:right="15"/>
        <w:rPr>
          <w:rFonts w:cstheme="minorHAnsi"/>
          <w:noProof/>
          <w:u w:val="single"/>
        </w:rPr>
      </w:pPr>
      <w:r>
        <w:rPr>
          <w:noProof/>
          <w:u w:val="single"/>
        </w:rPr>
        <w:t>Attiecībā uz investīciju liberalizāciju – piek</w:t>
      </w:r>
      <w:r>
        <w:rPr>
          <w:noProof/>
          <w:u w:val="single"/>
        </w:rPr>
        <w:t>ļuve tirgum, valsts režīms, augstākā vadība un direktoru padomes, veiktspējas prasības[, lielākās labvēlības režīms un pakalpojumu pārrobežu tirdzniecība – piekļuve tirgum, valsts režīms, klātbūtne uz vietas, lielākās labvēlības režīms</w:t>
      </w:r>
    </w:p>
    <w:p w:rsidR="003E022D" w:rsidRDefault="007D19D6">
      <w:pPr>
        <w:spacing w:after="241" w:line="265" w:lineRule="auto"/>
        <w:ind w:right="15"/>
        <w:rPr>
          <w:rFonts w:cstheme="minorHAnsi"/>
          <w:noProof/>
          <w:color w:val="000000"/>
        </w:rPr>
      </w:pPr>
      <w:r>
        <w:rPr>
          <w:noProof/>
        </w:rPr>
        <w:t>1.</w:t>
      </w:r>
      <w:r>
        <w:rPr>
          <w:noProof/>
        </w:rPr>
        <w:tab/>
        <w:t>Jo īpaši Apvienot</w:t>
      </w:r>
      <w:r>
        <w:rPr>
          <w:noProof/>
        </w:rPr>
        <w:t>ās Karalistes zvejniecības politikas un ar trešām valstīm noslēgtu zvejniecības nolīgumu satvarā, piekļuve tādiem bioloģiskajiem resursiem un zvejas vietām un to izmantošana, kas atrodas jūras ūdeņos, uz kuriem attiecas Apvienotās Karalistes suverenitāte v</w:t>
      </w:r>
      <w:r>
        <w:rPr>
          <w:noProof/>
        </w:rPr>
        <w:t>ai jurisdikcija, vai zvejas tiesības saskaņā ar Apvienotās Karalistes zvejas licenci, ietverot:</w:t>
      </w:r>
    </w:p>
    <w:p w:rsidR="003E022D" w:rsidRDefault="007D19D6">
      <w:pPr>
        <w:spacing w:after="241" w:line="265" w:lineRule="auto"/>
        <w:ind w:left="284" w:right="15"/>
        <w:rPr>
          <w:rFonts w:cstheme="minorHAnsi"/>
          <w:noProof/>
        </w:rPr>
      </w:pPr>
      <w:r>
        <w:rPr>
          <w:noProof/>
          <w:color w:val="000000"/>
        </w:rPr>
        <w:t>a)</w:t>
      </w:r>
      <w:r>
        <w:rPr>
          <w:noProof/>
        </w:rPr>
        <w:tab/>
        <w:t>ar kuru reglamentē nozvejas izkraušanu, ko veic kuģi, kuri kuģo ar dalībvalsts vai trešās valsts karogu, izmantojot tiem iedalītās kvotas, vai – tikai attiec</w:t>
      </w:r>
      <w:r>
        <w:rPr>
          <w:noProof/>
        </w:rPr>
        <w:t>ībā uz kuģiem, kas peld ar Apvienotās Karalistes karogu – ar kuru pieprasa, lai daļa no kopējās nozvejas tiktu izkrauta Apvienotās Karalistes ostās;</w:t>
      </w:r>
    </w:p>
    <w:p w:rsidR="003E022D" w:rsidRDefault="007D19D6">
      <w:pPr>
        <w:spacing w:after="241" w:line="265" w:lineRule="auto"/>
        <w:ind w:left="284" w:right="15"/>
        <w:rPr>
          <w:rFonts w:cstheme="minorHAnsi"/>
          <w:noProof/>
        </w:rPr>
      </w:pPr>
      <w:r>
        <w:rPr>
          <w:noProof/>
        </w:rPr>
        <w:t>b)</w:t>
      </w:r>
      <w:r>
        <w:rPr>
          <w:noProof/>
        </w:rPr>
        <w:tab/>
        <w:t>ar kuru nosaka uzņēmuma minimālo lielumu, lai saglabātu gan nerūpnieciskās, gan piekrastes zvejas kuģus,</w:t>
      </w:r>
    </w:p>
    <w:p w:rsidR="003E022D" w:rsidRDefault="007D19D6">
      <w:pPr>
        <w:spacing w:after="241" w:line="265" w:lineRule="auto"/>
        <w:ind w:left="284" w:right="15"/>
        <w:rPr>
          <w:rFonts w:cstheme="minorHAnsi"/>
          <w:noProof/>
        </w:rPr>
      </w:pPr>
      <w:r>
        <w:rPr>
          <w:noProof/>
        </w:rPr>
        <w:t>c)</w:t>
      </w:r>
      <w:r>
        <w:rPr>
          <w:noProof/>
        </w:rPr>
        <w:tab/>
        <w:t>ar kuru atbilstīgi esošiem vai turpmākiem starptautiskiem nolīgumiem par zvejniecību nodrošina atšķirīgu režīmu un</w:t>
      </w:r>
    </w:p>
    <w:p w:rsidR="003E022D" w:rsidRDefault="007D19D6">
      <w:pPr>
        <w:spacing w:after="241" w:line="265" w:lineRule="auto"/>
        <w:ind w:left="284" w:right="15"/>
        <w:rPr>
          <w:rFonts w:cstheme="minorHAnsi"/>
          <w:noProof/>
        </w:rPr>
      </w:pPr>
      <w:r>
        <w:rPr>
          <w:noProof/>
        </w:rPr>
        <w:t>d)</w:t>
      </w:r>
      <w:r>
        <w:rPr>
          <w:noProof/>
        </w:rPr>
        <w:tab/>
        <w:t>ar kuru nosaka prasību, ka tāda kuģa apkalpei, kas kuģo ar Apvienotās Karalistes karogu, jābūt Apvienotās Karalistes valstspiederīgaji</w:t>
      </w:r>
      <w:r>
        <w:rPr>
          <w:noProof/>
        </w:rPr>
        <w:t>em.</w:t>
      </w:r>
    </w:p>
    <w:p w:rsidR="003E022D" w:rsidRDefault="007D19D6">
      <w:pPr>
        <w:spacing w:after="241" w:line="265" w:lineRule="auto"/>
        <w:ind w:right="15"/>
        <w:rPr>
          <w:rFonts w:cstheme="minorHAnsi"/>
          <w:noProof/>
        </w:rPr>
      </w:pPr>
      <w:r>
        <w:rPr>
          <w:noProof/>
        </w:rPr>
        <w:t>2.</w:t>
      </w:r>
      <w:r>
        <w:rPr>
          <w:noProof/>
        </w:rPr>
        <w:tab/>
        <w:t xml:space="preserve">Zvejas kuģim ir tiesības kuģot ar Apvienotās Karalistes karogu tikai tad, ja: </w:t>
      </w:r>
    </w:p>
    <w:p w:rsidR="003E022D" w:rsidRDefault="007D19D6">
      <w:pPr>
        <w:pStyle w:val="ListParagraph"/>
        <w:numPr>
          <w:ilvl w:val="0"/>
          <w:numId w:val="824"/>
        </w:numPr>
        <w:spacing w:after="241" w:line="264" w:lineRule="auto"/>
        <w:ind w:right="17"/>
        <w:rPr>
          <w:rFonts w:cstheme="minorHAnsi"/>
          <w:noProof/>
        </w:rPr>
      </w:pPr>
      <w:r>
        <w:rPr>
          <w:noProof/>
        </w:rPr>
        <w:t>tā vienīgais īpašnieks ir:</w:t>
      </w:r>
    </w:p>
    <w:p w:rsidR="003E022D" w:rsidRDefault="007D19D6">
      <w:pPr>
        <w:pStyle w:val="ListParagraph"/>
        <w:numPr>
          <w:ilvl w:val="0"/>
          <w:numId w:val="814"/>
        </w:numPr>
        <w:spacing w:after="241" w:line="265" w:lineRule="auto"/>
        <w:ind w:right="15"/>
        <w:rPr>
          <w:rFonts w:cstheme="minorHAnsi"/>
          <w:noProof/>
        </w:rPr>
      </w:pPr>
      <w:r>
        <w:rPr>
          <w:noProof/>
        </w:rPr>
        <w:t>Apvienotajā Karalistē inkorporētas sabiedrības vai</w:t>
      </w:r>
    </w:p>
    <w:p w:rsidR="003E022D" w:rsidRDefault="007D19D6">
      <w:pPr>
        <w:pStyle w:val="ListParagraph"/>
        <w:numPr>
          <w:ilvl w:val="0"/>
          <w:numId w:val="814"/>
        </w:numPr>
        <w:spacing w:after="241" w:line="265" w:lineRule="auto"/>
        <w:ind w:right="15"/>
        <w:rPr>
          <w:rFonts w:cstheme="minorHAnsi"/>
          <w:noProof/>
        </w:rPr>
      </w:pPr>
      <w:r>
        <w:rPr>
          <w:noProof/>
        </w:rPr>
        <w:t>Apvienotās Karalistes valstspiederīgie;</w:t>
      </w:r>
    </w:p>
    <w:p w:rsidR="003E022D" w:rsidRDefault="007D19D6">
      <w:pPr>
        <w:pStyle w:val="ListParagraph"/>
        <w:numPr>
          <w:ilvl w:val="0"/>
          <w:numId w:val="825"/>
        </w:numPr>
        <w:spacing w:after="241" w:line="265" w:lineRule="auto"/>
        <w:ind w:right="15"/>
        <w:rPr>
          <w:rFonts w:cstheme="minorHAnsi"/>
          <w:noProof/>
        </w:rPr>
      </w:pPr>
      <w:r>
        <w:rPr>
          <w:noProof/>
        </w:rPr>
        <w:t xml:space="preserve">tā ikdienas darbības tiek vadītas un kontrolētas no </w:t>
      </w:r>
      <w:r>
        <w:rPr>
          <w:noProof/>
        </w:rPr>
        <w:t>Apvienotās Karalistes; un</w:t>
      </w:r>
    </w:p>
    <w:p w:rsidR="003E022D" w:rsidRDefault="007D19D6">
      <w:pPr>
        <w:pStyle w:val="ListParagraph"/>
        <w:numPr>
          <w:ilvl w:val="0"/>
          <w:numId w:val="825"/>
        </w:numPr>
        <w:spacing w:after="241" w:line="265" w:lineRule="auto"/>
        <w:ind w:right="15"/>
        <w:rPr>
          <w:rFonts w:cstheme="minorHAnsi"/>
          <w:noProof/>
        </w:rPr>
      </w:pPr>
      <w:r>
        <w:rPr>
          <w:noProof/>
        </w:rPr>
        <w:t>kuģa fraktētājs, pārvaldnieks vai operators ir Apvienotajā Karalistē inkorporēta sabiedrība vai Apvienotās Karalistes valstspiederīgais.</w:t>
      </w:r>
    </w:p>
    <w:p w:rsidR="003E022D" w:rsidRDefault="007D19D6">
      <w:pPr>
        <w:spacing w:after="242" w:line="265" w:lineRule="auto"/>
        <w:ind w:left="-3" w:hanging="10"/>
        <w:rPr>
          <w:rFonts w:cstheme="minorHAnsi"/>
          <w:noProof/>
        </w:rPr>
      </w:pPr>
      <w:r>
        <w:rPr>
          <w:noProof/>
        </w:rPr>
        <w:t>3.</w:t>
      </w:r>
      <w:r>
        <w:rPr>
          <w:noProof/>
        </w:rPr>
        <w:tab/>
        <w:t>Komerczvejas licenci, ar ko piešķir tiesības zvejot Apvienotās Karalistes teritoriālajos ū</w:t>
      </w:r>
      <w:r>
        <w:rPr>
          <w:noProof/>
        </w:rPr>
        <w:t>deņos, var izsniegt tikai kuģiem, kuri kuģo ar Apvienotās Karalistes karogu.</w:t>
      </w:r>
    </w:p>
    <w:p w:rsidR="003E022D" w:rsidRDefault="007D19D6">
      <w:pPr>
        <w:spacing w:after="242" w:line="265" w:lineRule="auto"/>
        <w:ind w:left="-3" w:hanging="10"/>
        <w:rPr>
          <w:rFonts w:cstheme="minorHAnsi"/>
          <w:noProof/>
        </w:rPr>
      </w:pPr>
      <w:r>
        <w:rPr>
          <w:noProof/>
        </w:rPr>
        <w:t>4.</w:t>
      </w:r>
      <w:r>
        <w:rPr>
          <w:noProof/>
        </w:rPr>
        <w:tab/>
        <w:t>Jūras vai iekšzemes akvakultūras objektu izveidošana.</w:t>
      </w:r>
    </w:p>
    <w:p w:rsidR="003E022D" w:rsidRDefault="007D19D6">
      <w:pPr>
        <w:spacing w:after="242" w:line="265" w:lineRule="auto"/>
        <w:ind w:left="-3" w:hanging="10"/>
        <w:rPr>
          <w:rFonts w:cstheme="minorHAnsi"/>
          <w:bCs/>
          <w:noProof/>
        </w:rPr>
      </w:pPr>
      <w:r>
        <w:rPr>
          <w:noProof/>
        </w:rPr>
        <w:t xml:space="preserve">5. </w:t>
      </w:r>
      <w:r>
        <w:rPr>
          <w:noProof/>
        </w:rPr>
        <w:tab/>
        <w:t xml:space="preserve">1. punkta a), b), c) apakšpunktu (izņemot vislielākās labvēlības režīmu) un d) apakšpunktu, 2. punkta a) apakšpunkta </w:t>
      </w:r>
      <w:r>
        <w:rPr>
          <w:noProof/>
        </w:rPr>
        <w:t>i), b) un c) apakšpunktu un 3. punktu piemēro tikai pasākumiem, ko piemēro kuģiem vai uzņēmumiem neatkarīgi no to faktisko īpašnieku valstspiederības.</w:t>
      </w:r>
    </w:p>
    <w:bookmarkEnd w:id="1293"/>
    <w:p w:rsidR="003E022D" w:rsidRDefault="007D19D6">
      <w:pPr>
        <w:pStyle w:val="ListParagraph"/>
        <w:numPr>
          <w:ilvl w:val="0"/>
          <w:numId w:val="823"/>
        </w:numPr>
        <w:spacing w:after="242" w:line="265" w:lineRule="auto"/>
        <w:rPr>
          <w:rFonts w:cstheme="minorHAnsi"/>
          <w:b/>
          <w:i/>
          <w:iCs/>
          <w:noProof/>
        </w:rPr>
      </w:pPr>
      <w:r>
        <w:rPr>
          <w:b/>
          <w:i/>
          <w:iCs/>
          <w:noProof/>
        </w:rPr>
        <w:t xml:space="preserve">Ūdens savākšana, attīrīšana un sadale </w:t>
      </w:r>
    </w:p>
    <w:p w:rsidR="003E022D" w:rsidRDefault="007D19D6">
      <w:pPr>
        <w:spacing w:after="248" w:line="265" w:lineRule="auto"/>
        <w:ind w:right="16"/>
        <w:rPr>
          <w:rFonts w:cstheme="minorHAnsi"/>
          <w:noProof/>
        </w:rPr>
      </w:pPr>
      <w:r>
        <w:rPr>
          <w:noProof/>
          <w:u w:val="single"/>
        </w:rPr>
        <w:t xml:space="preserve">Attiecībā uz investīciju liberalizāciju – piekļuve tirgum, valsts </w:t>
      </w:r>
      <w:r>
        <w:rPr>
          <w:noProof/>
          <w:u w:val="single"/>
        </w:rPr>
        <w:t>režīms un pakalpojumu pārrobežu tirdzniecība – piekļuve tirgum, klātbūtne uz vietas, valsts režīms</w:t>
      </w:r>
      <w:r>
        <w:rPr>
          <w:noProof/>
        </w:rPr>
        <w:t xml:space="preserve"> </w:t>
      </w:r>
    </w:p>
    <w:p w:rsidR="003E022D" w:rsidRDefault="007D19D6">
      <w:pPr>
        <w:spacing w:after="241"/>
        <w:ind w:right="15"/>
        <w:rPr>
          <w:rFonts w:cstheme="minorHAnsi"/>
          <w:noProof/>
        </w:rPr>
      </w:pPr>
      <w:r>
        <w:rPr>
          <w:noProof/>
        </w:rPr>
        <w:t>Attiecībā uz darbībām, kas ietver pakalpojumus saistībā ar ūdens savākšanu, attīrīšanu un sadali mājsaimniecībām, rūpnieciskajiem un komerciālajiem vai citi</w:t>
      </w:r>
      <w:r>
        <w:rPr>
          <w:noProof/>
        </w:rPr>
        <w:t>em lietotājiem, ieskaitot dzeramā ūdens piegādi, un ūdens resursu apsaimniekošanu.</w:t>
      </w:r>
    </w:p>
    <w:p w:rsidR="003E022D" w:rsidRDefault="007D19D6">
      <w:pPr>
        <w:rPr>
          <w:rFonts w:cstheme="minorHAnsi"/>
          <w:b/>
          <w:noProof/>
        </w:rPr>
      </w:pPr>
      <w:r>
        <w:rPr>
          <w:noProof/>
        </w:rPr>
        <w:br w:type="page"/>
      </w:r>
    </w:p>
    <w:p w:rsidR="003E022D" w:rsidRDefault="007D19D6">
      <w:pPr>
        <w:rPr>
          <w:rFonts w:cstheme="minorHAnsi"/>
          <w:b/>
          <w:noProof/>
        </w:rPr>
      </w:pPr>
      <w:r>
        <w:rPr>
          <w:b/>
          <w:noProof/>
        </w:rPr>
        <w:t>14. atruna. Ar enerģiju saistītas darbības</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Enerģijas ražošana un saistītie pakalpojumi</w:t>
            </w:r>
          </w:p>
        </w:tc>
      </w:tr>
      <w:tr w:rsidR="003E022D">
        <w:tc>
          <w:tcPr>
            <w:tcW w:w="2619" w:type="dxa"/>
          </w:tcPr>
          <w:p w:rsidR="003E022D" w:rsidRDefault="007D19D6">
            <w:pPr>
              <w:spacing w:afterAutospacing="0"/>
              <w:rPr>
                <w:b/>
                <w:bCs/>
                <w:noProof/>
              </w:rPr>
            </w:pPr>
            <w:r>
              <w:rPr>
                <w:b/>
                <w:bCs/>
                <w:noProof/>
              </w:rPr>
              <w:t>Nozares klasifikācija:</w:t>
            </w:r>
          </w:p>
        </w:tc>
        <w:tc>
          <w:tcPr>
            <w:tcW w:w="6407" w:type="dxa"/>
          </w:tcPr>
          <w:p w:rsidR="003E022D" w:rsidRDefault="007D19D6">
            <w:pPr>
              <w:spacing w:afterAutospacing="0"/>
              <w:jc w:val="left"/>
              <w:rPr>
                <w:noProof/>
              </w:rPr>
            </w:pPr>
            <w:r>
              <w:rPr>
                <w:noProof/>
              </w:rPr>
              <w:t xml:space="preserve">ISIC 3.1. red. 401, 402, CPC 7131, CPC 887 (izņemot </w:t>
            </w:r>
            <w:r>
              <w:rPr>
                <w:noProof/>
              </w:rPr>
              <w:t>padomdevēju un konsultāciju pakalpojumus).</w:t>
            </w:r>
          </w:p>
        </w:tc>
      </w:tr>
      <w:tr w:rsidR="003E022D">
        <w:tc>
          <w:tcPr>
            <w:tcW w:w="2619" w:type="dxa"/>
          </w:tcPr>
          <w:p w:rsidR="003E022D" w:rsidRDefault="007D19D6">
            <w:pPr>
              <w:rPr>
                <w:b/>
                <w:noProof/>
              </w:rPr>
            </w:pPr>
            <w:r>
              <w:rPr>
                <w:b/>
                <w:bCs/>
                <w:noProof/>
              </w:rPr>
              <w:t>Atrunas 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spacing w:before="240" w:after="258"/>
        <w:ind w:right="15"/>
        <w:rPr>
          <w:rFonts w:cstheme="minorHAnsi"/>
          <w:b/>
          <w:noProof/>
        </w:rPr>
      </w:pPr>
      <w:r>
        <w:rPr>
          <w:b/>
          <w:noProof/>
        </w:rPr>
        <w:t>Apraksts</w:t>
      </w:r>
    </w:p>
    <w:p w:rsidR="003E022D" w:rsidRDefault="007D19D6">
      <w:pPr>
        <w:spacing w:after="405"/>
        <w:ind w:right="15"/>
        <w:rPr>
          <w:rFonts w:cstheme="minorHAnsi"/>
          <w:noProof/>
        </w:rPr>
      </w:pPr>
      <w:r>
        <w:rPr>
          <w:noProof/>
        </w:rPr>
        <w:t>Apvienotā Karaliste patur tiesības pieņemt vai paturēt spēkā jebkādus pasākumus, ja Apvienotā Karaliste atļauj par gāzes vai elektroenerģijas pārvades sistēmas vai naftas un gāzes cauruļvadu transporta sistēmas īpašnieku kļūt ārvalstniekam, lai ga</w:t>
      </w:r>
      <w:r>
        <w:rPr>
          <w:noProof/>
        </w:rPr>
        <w:t>rantētu Apvienotās Karalistes energoapgādes drošību, attiecībā uz fizisku personu kontrolētiem Savienības uzņēmumiem vai trešās valsts uzņēmumiem, kuri nodrošina vairāk nekā 5 procentus no Apvienotās Karalistes importētā naftas, dabasgāzes, vai elektroener</w:t>
      </w:r>
      <w:r>
        <w:rPr>
          <w:noProof/>
        </w:rPr>
        <w:t xml:space="preserve">ģijas apmēra. Šī atruna neattiecas uz padomdevēju un konsultāciju pakalpojumiem, ko sniedz kā pakalpojumus, kas saistīti ar enerģijas sadali. </w:t>
      </w:r>
    </w:p>
    <w:p w:rsidR="003E022D" w:rsidRDefault="007D19D6">
      <w:pPr>
        <w:rPr>
          <w:rFonts w:cstheme="minorHAnsi"/>
          <w:noProof/>
        </w:rPr>
      </w:pPr>
      <w:r>
        <w:rPr>
          <w:noProof/>
        </w:rPr>
        <w:br w:type="page"/>
      </w:r>
    </w:p>
    <w:p w:rsidR="003E022D" w:rsidRDefault="007D19D6">
      <w:pPr>
        <w:rPr>
          <w:rFonts w:cstheme="minorHAnsi"/>
          <w:b/>
          <w:noProof/>
        </w:rPr>
      </w:pPr>
      <w:r>
        <w:rPr>
          <w:b/>
          <w:noProof/>
        </w:rPr>
        <w:t>15. atruna. Citi pakalpojumi, kas nav iekļauti citur</w:t>
      </w:r>
    </w:p>
    <w:tbl>
      <w:tblPr>
        <w:tblStyle w:val="TableGrid0"/>
        <w:tblW w:w="0" w:type="auto"/>
        <w:tblCellMar>
          <w:left w:w="0" w:type="dxa"/>
        </w:tblCellMar>
        <w:tblLook w:val="04A0" w:firstRow="1" w:lastRow="0" w:firstColumn="1" w:lastColumn="0" w:noHBand="0" w:noVBand="1"/>
      </w:tblPr>
      <w:tblGrid>
        <w:gridCol w:w="2619"/>
        <w:gridCol w:w="6407"/>
      </w:tblGrid>
      <w:tr w:rsidR="003E022D">
        <w:tc>
          <w:tcPr>
            <w:tcW w:w="2619" w:type="dxa"/>
          </w:tcPr>
          <w:p w:rsidR="003E022D" w:rsidRDefault="007D19D6">
            <w:pPr>
              <w:spacing w:afterAutospacing="0"/>
              <w:rPr>
                <w:b/>
                <w:noProof/>
              </w:rPr>
            </w:pPr>
            <w:r>
              <w:rPr>
                <w:b/>
                <w:noProof/>
              </w:rPr>
              <w:t>Nozare:</w:t>
            </w:r>
          </w:p>
        </w:tc>
        <w:tc>
          <w:tcPr>
            <w:tcW w:w="6407" w:type="dxa"/>
          </w:tcPr>
          <w:p w:rsidR="003E022D" w:rsidRDefault="007D19D6">
            <w:pPr>
              <w:spacing w:afterAutospacing="0"/>
              <w:jc w:val="left"/>
              <w:rPr>
                <w:noProof/>
              </w:rPr>
            </w:pPr>
            <w:r>
              <w:rPr>
                <w:noProof/>
              </w:rPr>
              <w:t>Citi pakalpojumi, kas nav iekļauti citur</w:t>
            </w:r>
          </w:p>
        </w:tc>
      </w:tr>
      <w:tr w:rsidR="003E022D">
        <w:tc>
          <w:tcPr>
            <w:tcW w:w="2619" w:type="dxa"/>
          </w:tcPr>
          <w:p w:rsidR="003E022D" w:rsidRDefault="007D19D6">
            <w:pPr>
              <w:rPr>
                <w:b/>
                <w:noProof/>
              </w:rPr>
            </w:pPr>
            <w:r>
              <w:rPr>
                <w:b/>
                <w:bCs/>
                <w:noProof/>
              </w:rPr>
              <w:t xml:space="preserve">Atrunas </w:t>
            </w:r>
            <w:r>
              <w:rPr>
                <w:b/>
                <w:bCs/>
                <w:noProof/>
              </w:rPr>
              <w:t>veids:</w:t>
            </w:r>
          </w:p>
        </w:tc>
        <w:tc>
          <w:tcPr>
            <w:tcW w:w="6407" w:type="dxa"/>
          </w:tcPr>
          <w:p w:rsidR="003E022D" w:rsidRDefault="007D19D6">
            <w:pPr>
              <w:jc w:val="left"/>
              <w:rPr>
                <w:noProof/>
              </w:rPr>
            </w:pPr>
            <w:r>
              <w:rPr>
                <w:noProof/>
              </w:rPr>
              <w:t xml:space="preserve">Piekļuve tirgum </w:t>
            </w:r>
            <w:r>
              <w:rPr>
                <w:noProof/>
              </w:rPr>
              <w:br/>
              <w:t xml:space="preserve">Valsts režīms </w:t>
            </w:r>
            <w:r>
              <w:rPr>
                <w:noProof/>
              </w:rPr>
              <w:br/>
              <w:t xml:space="preserve">Augstākā vadība un direktoru padomes </w:t>
            </w:r>
            <w:r>
              <w:rPr>
                <w:noProof/>
              </w:rPr>
              <w:br/>
              <w:t xml:space="preserve">Veiktspējas prasības </w:t>
            </w:r>
            <w:r>
              <w:rPr>
                <w:noProof/>
              </w:rPr>
              <w:br/>
              <w:t xml:space="preserve">Klātbūtne uz vietas </w:t>
            </w:r>
            <w:r>
              <w:rPr>
                <w:noProof/>
              </w:rPr>
              <w:br/>
            </w:r>
          </w:p>
        </w:tc>
      </w:tr>
      <w:tr w:rsidR="003E022D">
        <w:tc>
          <w:tcPr>
            <w:tcW w:w="2619" w:type="dxa"/>
          </w:tcPr>
          <w:p w:rsidR="003E022D" w:rsidRDefault="007D19D6">
            <w:pPr>
              <w:spacing w:afterAutospacing="0"/>
              <w:rPr>
                <w:b/>
                <w:noProof/>
              </w:rPr>
            </w:pPr>
            <w:r>
              <w:rPr>
                <w:b/>
                <w:bCs/>
                <w:noProof/>
              </w:rPr>
              <w:t>Nodaļa:</w:t>
            </w:r>
          </w:p>
        </w:tc>
        <w:tc>
          <w:tcPr>
            <w:tcW w:w="6407" w:type="dxa"/>
          </w:tcPr>
          <w:p w:rsidR="003E022D" w:rsidRDefault="007D19D6">
            <w:pPr>
              <w:spacing w:afterAutospacing="0"/>
              <w:jc w:val="left"/>
              <w:rPr>
                <w:noProof/>
              </w:rPr>
            </w:pPr>
            <w:r>
              <w:rPr>
                <w:noProof/>
              </w:rPr>
              <w:t>Investīciju liberalizācija un pakalpojumu pārrobežu tirdzniecība</w:t>
            </w:r>
          </w:p>
        </w:tc>
      </w:tr>
    </w:tbl>
    <w:p w:rsidR="003E022D" w:rsidRDefault="003E022D">
      <w:pPr>
        <w:rPr>
          <w:noProof/>
        </w:rPr>
      </w:pPr>
    </w:p>
    <w:p w:rsidR="003E022D" w:rsidRDefault="007D19D6">
      <w:pPr>
        <w:spacing w:before="160"/>
        <w:ind w:right="17"/>
        <w:rPr>
          <w:rFonts w:cstheme="minorHAnsi"/>
          <w:b/>
          <w:noProof/>
        </w:rPr>
      </w:pPr>
      <w:r>
        <w:rPr>
          <w:b/>
          <w:noProof/>
        </w:rPr>
        <w:t xml:space="preserve">Apraksts </w:t>
      </w:r>
    </w:p>
    <w:p w:rsidR="003E022D" w:rsidRDefault="007D19D6">
      <w:pPr>
        <w:rPr>
          <w:rFonts w:cstheme="minorHAnsi"/>
          <w:noProof/>
        </w:rPr>
      </w:pPr>
      <w:r>
        <w:rPr>
          <w:noProof/>
        </w:rPr>
        <w:t xml:space="preserve">Apvienotā Karaliste patur tiesības pieņemt vai </w:t>
      </w:r>
      <w:r>
        <w:rPr>
          <w:noProof/>
        </w:rPr>
        <w:t>paturēt spēkā jebkādus pasākumus attiecībā uz tādu jaunu pakalpojumu sniegšanu, kas nav klasificēti Apvienoto Nāciju Organizācijas 1991. gada Centrālajā preču klasifikācijā (</w:t>
      </w:r>
      <w:r>
        <w:rPr>
          <w:i/>
          <w:noProof/>
        </w:rPr>
        <w:t>CPC</w:t>
      </w:r>
      <w:r>
        <w:rPr>
          <w:noProof/>
        </w:rPr>
        <w:t xml:space="preserve">). </w:t>
      </w:r>
    </w:p>
    <w:p w:rsidR="003E022D" w:rsidRDefault="003E022D">
      <w:pPr>
        <w:rPr>
          <w:noProof/>
        </w:rPr>
      </w:pPr>
    </w:p>
    <w:p w:rsidR="003E022D" w:rsidRDefault="007D19D6">
      <w:pPr>
        <w:pStyle w:val="ANNEX"/>
        <w:rPr>
          <w:rFonts w:cstheme="minorHAnsi"/>
          <w:noProof/>
        </w:rPr>
      </w:pPr>
      <w:hyperlink w:anchor="_Toc35449684" w:history="1">
        <w:bookmarkStart w:id="1294" w:name="_Toc59988403"/>
        <w:bookmarkStart w:id="1295" w:name="_Toc59020208"/>
        <w:bookmarkStart w:id="1296" w:name="_Toc59200411"/>
        <w:bookmarkStart w:id="1297" w:name="_Toc59645261"/>
        <w:r>
          <w:rPr>
            <w:noProof/>
          </w:rPr>
          <w:t>SERVIN-3. PIELIKUMS.</w:t>
        </w:r>
      </w:hyperlink>
      <w:hyperlink w:anchor="_Toc35449684" w:history="1">
        <w:bookmarkStart w:id="1298" w:name="_Toc58427912"/>
        <w:r>
          <w:rPr>
            <w:noProof/>
          </w:rPr>
          <w:t xml:space="preserve"> VIESDARBINIEKI UZŅĒMDARBĪBAS VEIKŠANAS NOLŪKOS, UZŅĒMUMA IETVAROS PĀRCELTI DARBINIEKI UN ĪSTERMIŅA VIESDARBINIEKI</w:t>
        </w:r>
        <w:bookmarkEnd w:id="1298"/>
        <w:bookmarkEnd w:id="1294"/>
      </w:hyperlink>
      <w:hyperlink w:anchor="_Toc35449684" w:history="1">
        <w:bookmarkEnd w:id="1295"/>
        <w:bookmarkEnd w:id="1296"/>
        <w:bookmarkEnd w:id="1297"/>
      </w:hyperlink>
    </w:p>
    <w:p w:rsidR="003E022D" w:rsidRDefault="007D19D6">
      <w:pPr>
        <w:rPr>
          <w:rFonts w:eastAsia="Calibri" w:cstheme="minorHAnsi"/>
          <w:noProof/>
        </w:rPr>
      </w:pPr>
      <w:r>
        <w:rPr>
          <w:noProof/>
        </w:rPr>
        <w:t xml:space="preserve">1. </w:t>
      </w:r>
      <w:r>
        <w:rPr>
          <w:noProof/>
        </w:rPr>
        <w:tab/>
        <w:t>Šajā pielikumā iekļautu pasākumu var atstāt spēkā, turpināt, nekavējoties atjaunot vai grozīt a</w:t>
      </w:r>
      <w:r>
        <w:rPr>
          <w:noProof/>
        </w:rPr>
        <w:t xml:space="preserve">r nosacījumu, ka grozījums nemazina pasākuma atbilstību SERVIN.4.2. pantam [Uzņēmuma ietvaros pārcelti darbinieki un viesdarbinieki uzņēmējdarbības veikšanas nolūkā] un SERVIN.4.3. pantam [Īstermiņa viesdarbinieki], kāda tam bija tieši pirms grozījuma. </w:t>
      </w:r>
    </w:p>
    <w:p w:rsidR="003E022D" w:rsidRDefault="007D19D6">
      <w:pPr>
        <w:rPr>
          <w:rFonts w:eastAsia="Calibri" w:cstheme="minorHAnsi"/>
          <w:noProof/>
        </w:rPr>
      </w:pPr>
      <w:r>
        <w:rPr>
          <w:noProof/>
        </w:rPr>
        <w:t>2.</w:t>
      </w:r>
      <w:r>
        <w:rPr>
          <w:noProof/>
        </w:rPr>
        <w:t xml:space="preserve"> </w:t>
      </w:r>
      <w:r>
        <w:rPr>
          <w:noProof/>
        </w:rPr>
        <w:tab/>
        <w:t xml:space="preserve">SERVIN.4.2. pantu [Uzņēmuma ietvaros pārcelti darbinieki un viesdarbinieki uzņēmējdarbības veikšanas nolūkā] un SERVIN.4.3. pantu [Īstermiņa viesdarbinieki] nepiemēro nevienam šajā pielikumā iekļautam esošam neatbilstošam pasākumam tiktāl, ciktāl tas ir </w:t>
      </w:r>
      <w:r>
        <w:rPr>
          <w:noProof/>
        </w:rPr>
        <w:t>neatbilstīgs.</w:t>
      </w:r>
    </w:p>
    <w:p w:rsidR="003E022D" w:rsidRDefault="007D19D6">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3. </w:t>
      </w:r>
      <w:r>
        <w:rPr>
          <w:noProof/>
        </w:rPr>
        <w:tab/>
      </w:r>
      <w:r>
        <w:rPr>
          <w:rFonts w:asciiTheme="minorHAnsi" w:hAnsiTheme="minorHAnsi"/>
          <w:noProof/>
          <w:color w:val="auto"/>
          <w:sz w:val="22"/>
          <w:szCs w:val="22"/>
        </w:rPr>
        <w:t>Saraksti 6., 7. un 8. punktā attiecas tikai uz Apvienotās Karalistes un Eiropas Savienības teritorijām saskaņā ar FINPROV.1. pantu [Teritoriālā piemērošana] un OTH.9.2. pantu [Ģeogrāfiskais tvērums], un tie skar tikai Eiropas Savienības u</w:t>
      </w:r>
      <w:r>
        <w:rPr>
          <w:rFonts w:asciiTheme="minorHAnsi" w:hAnsiTheme="minorHAnsi"/>
          <w:noProof/>
          <w:color w:val="auto"/>
          <w:sz w:val="22"/>
          <w:szCs w:val="22"/>
        </w:rPr>
        <w:t xml:space="preserve">n tās dalībvalstu tirdzniecības attiecības ar Apvienoto Karalisti. Tie neskar dalībvalstu tiesības un pienākumus, kas izriet no Savienības tiesībām. </w:t>
      </w:r>
    </w:p>
    <w:p w:rsidR="003E022D" w:rsidRDefault="007D19D6">
      <w:pPr>
        <w:rPr>
          <w:rFonts w:eastAsiaTheme="minorEastAsia" w:cstheme="minorHAnsi"/>
          <w:noProof/>
        </w:rPr>
      </w:pPr>
      <w:r>
        <w:rPr>
          <w:noProof/>
        </w:rPr>
        <w:t>4.</w:t>
      </w:r>
      <w:r>
        <w:rPr>
          <w:noProof/>
        </w:rPr>
        <w:tab/>
        <w:t>Lielākai noteiktībai — attiecībā uz Eiropas Savienību pienākums piešķirt valsts režīmu nenozīmē prasību</w:t>
      </w:r>
      <w:r>
        <w:rPr>
          <w:noProof/>
        </w:rPr>
        <w:t xml:space="preserve"> attiecināt uz Apvienotās Karalistes fiziskajām vai juridiskajām personām režīmu, kas piešķirts dalībvalstī šādām personām, piemērojot Līgumu par Eiropas Savienības darbību vai jebkuru pasākumu, kas pieņemts, ievērojot minēto Līgumu, ieskaitot to īstenošan</w:t>
      </w:r>
      <w:r>
        <w:rPr>
          <w:noProof/>
        </w:rPr>
        <w:t>u dalībvalstī:</w:t>
      </w:r>
    </w:p>
    <w:p w:rsidR="003E022D" w:rsidRDefault="007D19D6">
      <w:pPr>
        <w:ind w:left="1287" w:hanging="567"/>
        <w:rPr>
          <w:rFonts w:cstheme="minorHAnsi"/>
          <w:noProof/>
        </w:rPr>
      </w:pPr>
      <w:r>
        <w:rPr>
          <w:noProof/>
        </w:rPr>
        <w:t xml:space="preserve">i) </w:t>
      </w:r>
      <w:r>
        <w:rPr>
          <w:noProof/>
        </w:rPr>
        <w:tab/>
        <w:t>fiziskām personām vai citas dalībvalsts rezidentiem vai</w:t>
      </w:r>
    </w:p>
    <w:p w:rsidR="003E022D" w:rsidRDefault="007D19D6">
      <w:pPr>
        <w:ind w:left="1287" w:hanging="567"/>
        <w:rPr>
          <w:rFonts w:cstheme="minorHAnsi"/>
          <w:noProof/>
        </w:rPr>
      </w:pPr>
      <w:r>
        <w:rPr>
          <w:noProof/>
        </w:rPr>
        <w:t xml:space="preserve">ii) </w:t>
      </w:r>
      <w:r>
        <w:rPr>
          <w:noProof/>
        </w:rPr>
        <w:tab/>
        <w:t xml:space="preserve">juridiskajām personām, kuras ir izveidotas vai organizētas saskaņā ar citas dalībvalsts tiesību aktiem vai Eiropas Savienības tiesībām un kuru juridiskā adrese, galvenā vadība </w:t>
      </w:r>
      <w:r>
        <w:rPr>
          <w:noProof/>
        </w:rPr>
        <w:t>vai galvenā darījumdarbības vieta atrodas Eiropas Savienībā.</w:t>
      </w:r>
    </w:p>
    <w:p w:rsidR="003E022D" w:rsidRDefault="007D19D6">
      <w:pPr>
        <w:rPr>
          <w:rFonts w:eastAsiaTheme="minorEastAsia" w:cstheme="minorHAnsi"/>
          <w:noProof/>
        </w:rPr>
      </w:pPr>
      <w:r>
        <w:rPr>
          <w:noProof/>
        </w:rPr>
        <w:t xml:space="preserve">5. </w:t>
      </w:r>
      <w:r>
        <w:rPr>
          <w:noProof/>
        </w:rPr>
        <w:tab/>
        <w:t>Turpmākajos punktos ir lietoti šādi saīsinājumi:</w:t>
      </w:r>
    </w:p>
    <w:p w:rsidR="003E022D" w:rsidRDefault="007D19D6">
      <w:pPr>
        <w:ind w:firstLine="720"/>
        <w:rPr>
          <w:rFonts w:cstheme="minorHAnsi"/>
          <w:noProof/>
        </w:rPr>
      </w:pPr>
      <w:r>
        <w:rPr>
          <w:noProof/>
        </w:rPr>
        <w:t>AT</w:t>
      </w:r>
      <w:r>
        <w:rPr>
          <w:noProof/>
        </w:rPr>
        <w:tab/>
        <w:t>Austrija</w:t>
      </w:r>
    </w:p>
    <w:p w:rsidR="003E022D" w:rsidRDefault="007D19D6">
      <w:pPr>
        <w:ind w:firstLine="720"/>
        <w:rPr>
          <w:rFonts w:cstheme="minorHAnsi"/>
          <w:noProof/>
        </w:rPr>
      </w:pPr>
      <w:r>
        <w:rPr>
          <w:noProof/>
        </w:rPr>
        <w:t>BE</w:t>
      </w:r>
      <w:r>
        <w:rPr>
          <w:noProof/>
        </w:rPr>
        <w:tab/>
        <w:t>Beļģija</w:t>
      </w:r>
    </w:p>
    <w:p w:rsidR="003E022D" w:rsidRDefault="007D19D6">
      <w:pPr>
        <w:ind w:firstLine="720"/>
        <w:rPr>
          <w:rFonts w:cstheme="minorHAnsi"/>
          <w:noProof/>
        </w:rPr>
      </w:pPr>
      <w:r>
        <w:rPr>
          <w:noProof/>
        </w:rPr>
        <w:t>BG</w:t>
      </w:r>
      <w:r>
        <w:rPr>
          <w:noProof/>
        </w:rPr>
        <w:tab/>
        <w:t xml:space="preserve">Bulgārija </w:t>
      </w:r>
    </w:p>
    <w:p w:rsidR="003E022D" w:rsidRDefault="007D19D6">
      <w:pPr>
        <w:ind w:firstLine="720"/>
        <w:rPr>
          <w:rFonts w:cstheme="minorHAnsi"/>
          <w:noProof/>
        </w:rPr>
      </w:pPr>
      <w:r>
        <w:rPr>
          <w:noProof/>
        </w:rPr>
        <w:t>CY</w:t>
      </w:r>
      <w:r>
        <w:rPr>
          <w:noProof/>
        </w:rPr>
        <w:tab/>
        <w:t>Kipra</w:t>
      </w:r>
    </w:p>
    <w:p w:rsidR="003E022D" w:rsidRDefault="007D19D6">
      <w:pPr>
        <w:ind w:firstLine="720"/>
        <w:rPr>
          <w:rFonts w:cstheme="minorHAnsi"/>
          <w:noProof/>
        </w:rPr>
      </w:pPr>
      <w:r>
        <w:rPr>
          <w:noProof/>
        </w:rPr>
        <w:t>CZ</w:t>
      </w:r>
      <w:r>
        <w:rPr>
          <w:noProof/>
        </w:rPr>
        <w:tab/>
        <w:t>Čehijas Republika</w:t>
      </w:r>
    </w:p>
    <w:p w:rsidR="003E022D" w:rsidRDefault="007D19D6">
      <w:pPr>
        <w:ind w:firstLine="720"/>
        <w:rPr>
          <w:rFonts w:cstheme="minorHAnsi"/>
          <w:noProof/>
        </w:rPr>
      </w:pPr>
      <w:r>
        <w:rPr>
          <w:noProof/>
        </w:rPr>
        <w:t>DE</w:t>
      </w:r>
      <w:r>
        <w:rPr>
          <w:noProof/>
        </w:rPr>
        <w:tab/>
        <w:t>Vācija</w:t>
      </w:r>
    </w:p>
    <w:p w:rsidR="003E022D" w:rsidRDefault="007D19D6">
      <w:pPr>
        <w:ind w:firstLine="720"/>
        <w:rPr>
          <w:rFonts w:cstheme="minorHAnsi"/>
          <w:noProof/>
        </w:rPr>
      </w:pPr>
      <w:r>
        <w:rPr>
          <w:noProof/>
        </w:rPr>
        <w:t>DK</w:t>
      </w:r>
      <w:r>
        <w:rPr>
          <w:noProof/>
        </w:rPr>
        <w:tab/>
        <w:t>Dānija</w:t>
      </w:r>
    </w:p>
    <w:p w:rsidR="003E022D" w:rsidRDefault="007D19D6">
      <w:pPr>
        <w:ind w:firstLine="720"/>
        <w:rPr>
          <w:rFonts w:cstheme="minorHAnsi"/>
          <w:noProof/>
        </w:rPr>
      </w:pPr>
      <w:r>
        <w:rPr>
          <w:noProof/>
        </w:rPr>
        <w:t>EE</w:t>
      </w:r>
      <w:r>
        <w:rPr>
          <w:noProof/>
        </w:rPr>
        <w:tab/>
        <w:t>Igaunija</w:t>
      </w:r>
    </w:p>
    <w:p w:rsidR="003E022D" w:rsidRDefault="007D19D6">
      <w:pPr>
        <w:ind w:firstLine="720"/>
        <w:rPr>
          <w:rFonts w:cstheme="minorHAnsi"/>
          <w:noProof/>
        </w:rPr>
      </w:pPr>
      <w:r>
        <w:rPr>
          <w:noProof/>
        </w:rPr>
        <w:t>EL</w:t>
      </w:r>
      <w:r>
        <w:rPr>
          <w:noProof/>
        </w:rPr>
        <w:tab/>
        <w:t>Grieķija</w:t>
      </w:r>
    </w:p>
    <w:p w:rsidR="003E022D" w:rsidRDefault="007D19D6">
      <w:pPr>
        <w:ind w:firstLine="720"/>
        <w:rPr>
          <w:rFonts w:cstheme="minorHAnsi"/>
          <w:noProof/>
        </w:rPr>
      </w:pPr>
      <w:r>
        <w:rPr>
          <w:noProof/>
        </w:rPr>
        <w:t>ES</w:t>
      </w:r>
      <w:r>
        <w:rPr>
          <w:noProof/>
        </w:rPr>
        <w:tab/>
        <w:t>Spānija</w:t>
      </w:r>
    </w:p>
    <w:p w:rsidR="003E022D" w:rsidRDefault="007D19D6">
      <w:pPr>
        <w:ind w:firstLine="720"/>
        <w:rPr>
          <w:rFonts w:cstheme="minorHAnsi"/>
          <w:noProof/>
        </w:rPr>
      </w:pPr>
      <w:r>
        <w:rPr>
          <w:noProof/>
        </w:rPr>
        <w:t>EU</w:t>
      </w:r>
      <w:r>
        <w:rPr>
          <w:noProof/>
        </w:rPr>
        <w:tab/>
        <w:t xml:space="preserve">Eiropas </w:t>
      </w:r>
      <w:r>
        <w:rPr>
          <w:noProof/>
        </w:rPr>
        <w:t>Savienība, ieskaitot visas tās dalībvalstis</w:t>
      </w:r>
    </w:p>
    <w:p w:rsidR="003E022D" w:rsidRDefault="007D19D6">
      <w:pPr>
        <w:ind w:firstLine="720"/>
        <w:rPr>
          <w:rFonts w:cstheme="minorHAnsi"/>
          <w:noProof/>
        </w:rPr>
      </w:pPr>
      <w:r>
        <w:rPr>
          <w:noProof/>
        </w:rPr>
        <w:t>FI</w:t>
      </w:r>
      <w:r>
        <w:rPr>
          <w:noProof/>
        </w:rPr>
        <w:tab/>
        <w:t>Somija</w:t>
      </w:r>
    </w:p>
    <w:p w:rsidR="003E022D" w:rsidRDefault="007D19D6">
      <w:pPr>
        <w:ind w:firstLine="720"/>
        <w:rPr>
          <w:rFonts w:cstheme="minorHAnsi"/>
          <w:noProof/>
        </w:rPr>
      </w:pPr>
      <w:r>
        <w:rPr>
          <w:noProof/>
        </w:rPr>
        <w:t>FR</w:t>
      </w:r>
      <w:r>
        <w:rPr>
          <w:noProof/>
        </w:rPr>
        <w:tab/>
        <w:t>Francija</w:t>
      </w:r>
    </w:p>
    <w:p w:rsidR="003E022D" w:rsidRDefault="007D19D6">
      <w:pPr>
        <w:ind w:firstLine="720"/>
        <w:rPr>
          <w:rFonts w:cstheme="minorHAnsi"/>
          <w:noProof/>
        </w:rPr>
      </w:pPr>
      <w:r>
        <w:rPr>
          <w:noProof/>
        </w:rPr>
        <w:t>HR</w:t>
      </w:r>
      <w:r>
        <w:rPr>
          <w:noProof/>
        </w:rPr>
        <w:tab/>
        <w:t>Horvātija</w:t>
      </w:r>
    </w:p>
    <w:p w:rsidR="003E022D" w:rsidRDefault="007D19D6">
      <w:pPr>
        <w:ind w:firstLine="720"/>
        <w:rPr>
          <w:rFonts w:cstheme="minorHAnsi"/>
          <w:noProof/>
        </w:rPr>
      </w:pPr>
      <w:r>
        <w:rPr>
          <w:noProof/>
        </w:rPr>
        <w:t>HU</w:t>
      </w:r>
      <w:r>
        <w:rPr>
          <w:noProof/>
        </w:rPr>
        <w:tab/>
        <w:t>Ungārija</w:t>
      </w:r>
    </w:p>
    <w:p w:rsidR="003E022D" w:rsidRDefault="007D19D6">
      <w:pPr>
        <w:ind w:firstLine="720"/>
        <w:rPr>
          <w:rFonts w:cstheme="minorHAnsi"/>
          <w:noProof/>
        </w:rPr>
      </w:pPr>
      <w:r>
        <w:rPr>
          <w:noProof/>
        </w:rPr>
        <w:t>IE</w:t>
      </w:r>
      <w:r>
        <w:rPr>
          <w:noProof/>
        </w:rPr>
        <w:tab/>
        <w:t>Īrija</w:t>
      </w:r>
    </w:p>
    <w:p w:rsidR="003E022D" w:rsidRDefault="007D19D6">
      <w:pPr>
        <w:ind w:firstLine="720"/>
        <w:rPr>
          <w:rFonts w:cstheme="minorHAnsi"/>
          <w:noProof/>
        </w:rPr>
      </w:pPr>
      <w:r>
        <w:rPr>
          <w:noProof/>
        </w:rPr>
        <w:t>IT</w:t>
      </w:r>
      <w:r>
        <w:rPr>
          <w:noProof/>
        </w:rPr>
        <w:tab/>
        <w:t>Itālija</w:t>
      </w:r>
    </w:p>
    <w:p w:rsidR="003E022D" w:rsidRDefault="007D19D6">
      <w:pPr>
        <w:ind w:firstLine="720"/>
        <w:rPr>
          <w:rFonts w:cstheme="minorHAnsi"/>
          <w:noProof/>
        </w:rPr>
      </w:pPr>
      <w:r>
        <w:rPr>
          <w:noProof/>
        </w:rPr>
        <w:t>LT</w:t>
      </w:r>
      <w:r>
        <w:rPr>
          <w:noProof/>
        </w:rPr>
        <w:tab/>
        <w:t>Lietuva</w:t>
      </w:r>
    </w:p>
    <w:p w:rsidR="003E022D" w:rsidRDefault="007D19D6">
      <w:pPr>
        <w:ind w:firstLine="720"/>
        <w:rPr>
          <w:rFonts w:cstheme="minorHAnsi"/>
          <w:noProof/>
        </w:rPr>
      </w:pPr>
      <w:r>
        <w:rPr>
          <w:noProof/>
        </w:rPr>
        <w:t>LU</w:t>
      </w:r>
      <w:r>
        <w:rPr>
          <w:noProof/>
        </w:rPr>
        <w:tab/>
        <w:t>Luksemburga</w:t>
      </w:r>
    </w:p>
    <w:p w:rsidR="003E022D" w:rsidRDefault="007D19D6">
      <w:pPr>
        <w:ind w:firstLine="720"/>
        <w:rPr>
          <w:rFonts w:cstheme="minorHAnsi"/>
          <w:noProof/>
        </w:rPr>
      </w:pPr>
      <w:r>
        <w:rPr>
          <w:noProof/>
        </w:rPr>
        <w:t>LV</w:t>
      </w:r>
      <w:r>
        <w:rPr>
          <w:noProof/>
        </w:rPr>
        <w:tab/>
        <w:t>Latvija</w:t>
      </w:r>
    </w:p>
    <w:p w:rsidR="003E022D" w:rsidRDefault="007D19D6">
      <w:pPr>
        <w:ind w:firstLine="720"/>
        <w:rPr>
          <w:rFonts w:cstheme="minorHAnsi"/>
          <w:noProof/>
        </w:rPr>
      </w:pPr>
      <w:r>
        <w:rPr>
          <w:noProof/>
        </w:rPr>
        <w:t>MT</w:t>
      </w:r>
      <w:r>
        <w:rPr>
          <w:noProof/>
        </w:rPr>
        <w:tab/>
        <w:t>Malta</w:t>
      </w:r>
    </w:p>
    <w:p w:rsidR="003E022D" w:rsidRDefault="007D19D6">
      <w:pPr>
        <w:ind w:firstLine="720"/>
        <w:rPr>
          <w:rFonts w:cstheme="minorHAnsi"/>
          <w:noProof/>
        </w:rPr>
      </w:pPr>
      <w:r>
        <w:rPr>
          <w:noProof/>
        </w:rPr>
        <w:t>NL</w:t>
      </w:r>
      <w:r>
        <w:rPr>
          <w:noProof/>
        </w:rPr>
        <w:tab/>
        <w:t>Nīderlande</w:t>
      </w:r>
    </w:p>
    <w:p w:rsidR="003E022D" w:rsidRDefault="007D19D6">
      <w:pPr>
        <w:ind w:firstLine="720"/>
        <w:rPr>
          <w:rFonts w:cstheme="minorHAnsi"/>
          <w:noProof/>
        </w:rPr>
      </w:pPr>
      <w:r>
        <w:rPr>
          <w:noProof/>
        </w:rPr>
        <w:t>PL</w:t>
      </w:r>
      <w:r>
        <w:rPr>
          <w:noProof/>
        </w:rPr>
        <w:tab/>
        <w:t>Polija</w:t>
      </w:r>
    </w:p>
    <w:p w:rsidR="003E022D" w:rsidRDefault="007D19D6">
      <w:pPr>
        <w:ind w:firstLine="720"/>
        <w:rPr>
          <w:rFonts w:cstheme="minorHAnsi"/>
          <w:noProof/>
        </w:rPr>
      </w:pPr>
      <w:r>
        <w:rPr>
          <w:noProof/>
        </w:rPr>
        <w:t>PT</w:t>
      </w:r>
      <w:r>
        <w:rPr>
          <w:noProof/>
        </w:rPr>
        <w:tab/>
        <w:t>Portugāle</w:t>
      </w:r>
    </w:p>
    <w:p w:rsidR="003E022D" w:rsidRDefault="007D19D6">
      <w:pPr>
        <w:ind w:firstLine="720"/>
        <w:rPr>
          <w:rFonts w:cstheme="minorHAnsi"/>
          <w:noProof/>
        </w:rPr>
      </w:pPr>
      <w:r>
        <w:rPr>
          <w:noProof/>
        </w:rPr>
        <w:t>RO</w:t>
      </w:r>
      <w:r>
        <w:rPr>
          <w:noProof/>
        </w:rPr>
        <w:tab/>
        <w:t>Rumānija</w:t>
      </w:r>
    </w:p>
    <w:p w:rsidR="003E022D" w:rsidRDefault="007D19D6">
      <w:pPr>
        <w:ind w:firstLine="720"/>
        <w:rPr>
          <w:rFonts w:eastAsia="Calibri" w:cstheme="minorHAnsi"/>
          <w:noProof/>
        </w:rPr>
      </w:pPr>
      <w:r>
        <w:rPr>
          <w:noProof/>
        </w:rPr>
        <w:t>SE</w:t>
      </w:r>
      <w:r>
        <w:rPr>
          <w:noProof/>
        </w:rPr>
        <w:tab/>
        <w:t>Zviedrija</w:t>
      </w:r>
    </w:p>
    <w:p w:rsidR="003E022D" w:rsidRDefault="007D19D6">
      <w:pPr>
        <w:ind w:firstLine="720"/>
        <w:rPr>
          <w:rFonts w:cstheme="minorHAnsi"/>
          <w:noProof/>
        </w:rPr>
      </w:pPr>
      <w:r>
        <w:rPr>
          <w:noProof/>
        </w:rPr>
        <w:t>SI</w:t>
      </w:r>
      <w:r>
        <w:rPr>
          <w:noProof/>
        </w:rPr>
        <w:tab/>
        <w:t>Slovēnija</w:t>
      </w:r>
    </w:p>
    <w:p w:rsidR="003E022D" w:rsidRDefault="007D19D6">
      <w:pPr>
        <w:ind w:firstLine="720"/>
        <w:rPr>
          <w:rFonts w:cstheme="minorHAnsi"/>
          <w:noProof/>
        </w:rPr>
      </w:pPr>
      <w:r>
        <w:rPr>
          <w:noProof/>
        </w:rPr>
        <w:t>SK</w:t>
      </w:r>
      <w:r>
        <w:rPr>
          <w:noProof/>
        </w:rPr>
        <w:tab/>
        <w:t>Slovākijas Republika</w:t>
      </w:r>
    </w:p>
    <w:p w:rsidR="003E022D" w:rsidRDefault="003E022D">
      <w:pPr>
        <w:ind w:firstLine="720"/>
        <w:rPr>
          <w:rFonts w:eastAsia="Calibri" w:cstheme="minorHAnsi"/>
          <w:noProof/>
        </w:rPr>
      </w:pPr>
    </w:p>
    <w:p w:rsidR="003E022D" w:rsidRDefault="007D19D6">
      <w:pPr>
        <w:rPr>
          <w:rFonts w:eastAsia="Calibri" w:cstheme="minorHAnsi"/>
          <w:noProof/>
        </w:rPr>
      </w:pPr>
      <w:r>
        <w:rPr>
          <w:noProof/>
        </w:rPr>
        <w:t xml:space="preserve">6. </w:t>
      </w:r>
      <w:r>
        <w:rPr>
          <w:noProof/>
        </w:rPr>
        <w:tab/>
        <w:t xml:space="preserve">Eiropas Savienības neatbilstošie pasākumi </w:t>
      </w:r>
    </w:p>
    <w:p w:rsidR="003E022D" w:rsidRDefault="007D19D6">
      <w:pPr>
        <w:rPr>
          <w:noProof/>
        </w:rPr>
      </w:pPr>
      <w:r>
        <w:rPr>
          <w:noProof/>
          <w:u w:val="single"/>
        </w:rPr>
        <w:t>Viesdarbinieki uzņēmējdarbības veikšanas nolūkā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rsidR="003E022D">
        <w:tc>
          <w:tcPr>
            <w:tcW w:w="205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b/>
                <w:noProof/>
              </w:rPr>
            </w:pPr>
            <w:r>
              <w:rPr>
                <w:b/>
                <w:noProof/>
              </w:rPr>
              <w:t>Visas nozares</w:t>
            </w:r>
          </w:p>
        </w:tc>
        <w:tc>
          <w:tcPr>
            <w:tcW w:w="696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bCs/>
                <w:noProof/>
              </w:rPr>
            </w:pPr>
            <w:r>
              <w:rPr>
                <w:b/>
                <w:noProof/>
              </w:rPr>
              <w:t xml:space="preserve">AT, CZ: </w:t>
            </w:r>
            <w:r>
              <w:rPr>
                <w:noProof/>
              </w:rPr>
              <w:t>viesdarbiniekam uzņēmējdarbības veikšanas nolūkā jāstrādā tādam uzņēmumam, kas nav bezpeļņas organizācija, citādi: saistību nav</w:t>
            </w:r>
          </w:p>
          <w:p w:rsidR="003E022D" w:rsidRDefault="007D19D6">
            <w:pPr>
              <w:autoSpaceDE w:val="0"/>
              <w:spacing w:before="60" w:after="60"/>
              <w:rPr>
                <w:rFonts w:eastAsia="Times New Roman"/>
                <w:bCs/>
                <w:noProof/>
              </w:rPr>
            </w:pPr>
            <w:r>
              <w:rPr>
                <w:b/>
                <w:noProof/>
              </w:rPr>
              <w:t>SK:</w:t>
            </w:r>
            <w:r>
              <w:rPr>
                <w:noProof/>
              </w:rPr>
              <w:t xml:space="preserve"> viesdarbiniekam uzņēmējdarbības veikšanas nolūkā jāstrādā tādam uzņēmumam, kas nav bezpeļņas organizācija, citādi: saistību nav nepieciešama darba atļauja, tostarp ekonomisko vajadzību pārbaude.</w:t>
            </w:r>
          </w:p>
          <w:p w:rsidR="003E022D" w:rsidRDefault="007D19D6">
            <w:pPr>
              <w:autoSpaceDE w:val="0"/>
              <w:spacing w:before="60" w:after="60"/>
              <w:rPr>
                <w:rFonts w:eastAsia="Times New Roman"/>
                <w:bCs/>
                <w:noProof/>
              </w:rPr>
            </w:pPr>
            <w:r>
              <w:rPr>
                <w:b/>
                <w:noProof/>
              </w:rPr>
              <w:t>CY</w:t>
            </w:r>
            <w:r>
              <w:rPr>
                <w:noProof/>
              </w:rPr>
              <w:t xml:space="preserve"> atļautais uzturēšanās ilgums: līdz 90 dienām divpadsmit m</w:t>
            </w:r>
            <w:r>
              <w:rPr>
                <w:noProof/>
              </w:rPr>
              <w:t>ēnešu periodā. viesdarbiniekam uzņēmējdarbības veikšanas nolūkā jāstrādā tādam uzņēmumam, kas nav bezpeļņas organizācija, citādi: saistību nav</w:t>
            </w:r>
          </w:p>
        </w:tc>
      </w:tr>
    </w:tbl>
    <w:p w:rsidR="003E022D" w:rsidRDefault="003E022D">
      <w:pPr>
        <w:rPr>
          <w:rFonts w:eastAsia="Calibri"/>
          <w:noProof/>
        </w:rPr>
      </w:pPr>
    </w:p>
    <w:p w:rsidR="003E022D" w:rsidRDefault="007D19D6">
      <w:pPr>
        <w:spacing w:line="276" w:lineRule="auto"/>
        <w:rPr>
          <w:rFonts w:eastAsia="Times New Roman"/>
          <w:noProof/>
          <w:u w:val="single"/>
        </w:rPr>
      </w:pPr>
      <w:r>
        <w:rPr>
          <w:noProof/>
          <w:u w:val="single"/>
        </w:rPr>
        <w:t>Uzņēmuma ietvaros pārcelti darbinieki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rsidR="003E022D">
        <w:tc>
          <w:tcPr>
            <w:tcW w:w="205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b/>
                <w:noProof/>
              </w:rPr>
            </w:pPr>
            <w:r>
              <w:rPr>
                <w:b/>
                <w:noProof/>
              </w:rPr>
              <w:t>Visas nozares</w:t>
            </w:r>
          </w:p>
        </w:tc>
        <w:tc>
          <w:tcPr>
            <w:tcW w:w="696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bCs/>
                <w:noProof/>
              </w:rPr>
            </w:pPr>
            <w:r>
              <w:rPr>
                <w:b/>
                <w:noProof/>
              </w:rPr>
              <w:t xml:space="preserve">EU: </w:t>
            </w:r>
            <w:r>
              <w:rPr>
                <w:noProof/>
              </w:rPr>
              <w:t>[līdz 2022. gada 31. decembrim jebkāda nodeva vai maksa</w:t>
            </w:r>
            <w:r>
              <w:rPr>
                <w:noProof/>
              </w:rPr>
              <w:t xml:space="preserve"> (kas nav ar vīzas, darba atļaujas vai uzturēšanās atļaujas pieteikuma vai atjaunošanas apstrādi saistīta maksa), ko Puse nosaka, pamatojoties uz atļauju veikt darbību vai pieņemt darbā personu, kura var veikt šādu darbību Puses teritorijā, ja vien tā nav </w:t>
            </w:r>
            <w:r>
              <w:rPr>
                <w:noProof/>
              </w:rPr>
              <w:t>ar SERVIN. 4.1.panta [Darbības joma un definīcijas] 3. punktu saderīga prasība, vai veselības aprūpes maksa atbilstīgi valsts tiesību aktiem sakarā ar pieteikumu atļaujai ieceļot, uzturēties, strādāt vai dzīvot Puses teritorijā.</w:t>
            </w:r>
          </w:p>
          <w:p w:rsidR="003E022D" w:rsidRDefault="007D19D6">
            <w:pPr>
              <w:autoSpaceDE w:val="0"/>
              <w:spacing w:before="60" w:after="60"/>
              <w:rPr>
                <w:rFonts w:eastAsia="Times New Roman"/>
                <w:bCs/>
                <w:noProof/>
              </w:rPr>
            </w:pPr>
            <w:r>
              <w:rPr>
                <w:b/>
                <w:noProof/>
              </w:rPr>
              <w:t>AT, CZ, SK:</w:t>
            </w:r>
            <w:r>
              <w:rPr>
                <w:noProof/>
              </w:rPr>
              <w:t xml:space="preserve"> uzņēmuma ietvar</w:t>
            </w:r>
            <w:r>
              <w:rPr>
                <w:noProof/>
              </w:rPr>
              <w:t>os pārceltam darbiniekam jābūt nodarbinātam uzņēmumā, kas nav bezpeļņas organizācija, citādi: saistību nav</w:t>
            </w:r>
          </w:p>
          <w:p w:rsidR="003E022D" w:rsidRDefault="007D19D6">
            <w:pPr>
              <w:autoSpaceDE w:val="0"/>
              <w:spacing w:before="60" w:after="60"/>
              <w:rPr>
                <w:rFonts w:eastAsia="Times New Roman"/>
                <w:bCs/>
                <w:noProof/>
              </w:rPr>
            </w:pPr>
            <w:r>
              <w:rPr>
                <w:b/>
                <w:noProof/>
              </w:rPr>
              <w:t>FI:</w:t>
            </w:r>
            <w:r>
              <w:rPr>
                <w:noProof/>
              </w:rPr>
              <w:t xml:space="preserve"> augstākajam personālam jābūt nodarbinātam uzņēmumā, kas nav bezpeļņas organizācija.</w:t>
            </w:r>
          </w:p>
          <w:p w:rsidR="003E022D" w:rsidRDefault="007D19D6">
            <w:pPr>
              <w:autoSpaceDE w:val="0"/>
              <w:spacing w:before="60" w:after="60"/>
              <w:rPr>
                <w:rFonts w:eastAsia="Times New Roman"/>
                <w:bCs/>
                <w:noProof/>
              </w:rPr>
            </w:pPr>
            <w:r>
              <w:rPr>
                <w:b/>
                <w:noProof/>
              </w:rPr>
              <w:t>HU:</w:t>
            </w:r>
            <w:r>
              <w:rPr>
                <w:noProof/>
              </w:rPr>
              <w:t xml:space="preserve"> fiziska persona, kas ir partneris uzņēmumā, nevar būt uzņēmuma ietvaros pārcelts darbinieks.</w:t>
            </w:r>
          </w:p>
        </w:tc>
      </w:tr>
    </w:tbl>
    <w:p w:rsidR="003E022D" w:rsidRDefault="003E022D">
      <w:pPr>
        <w:spacing w:line="276" w:lineRule="auto"/>
        <w:rPr>
          <w:rFonts w:eastAsia="Times New Roman"/>
          <w:noProof/>
          <w:u w:val="single"/>
        </w:rPr>
      </w:pPr>
    </w:p>
    <w:p w:rsidR="003E022D" w:rsidRDefault="007D19D6">
      <w:pPr>
        <w:spacing w:line="276" w:lineRule="auto"/>
        <w:rPr>
          <w:rFonts w:eastAsia="Times New Roman"/>
          <w:noProof/>
          <w:u w:val="single"/>
        </w:rPr>
      </w:pPr>
      <w:r>
        <w:rPr>
          <w:noProof/>
          <w:u w:val="single"/>
        </w:rPr>
        <w:t>Īstermiņa viesdarbinieki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3E022D">
        <w:tc>
          <w:tcPr>
            <w:tcW w:w="212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Visas 8. punktā minētās darbības ir:</w:t>
            </w:r>
          </w:p>
        </w:tc>
        <w:tc>
          <w:tcPr>
            <w:tcW w:w="689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Cs/>
                <w:noProof/>
              </w:rPr>
            </w:pPr>
            <w:r>
              <w:rPr>
                <w:b/>
                <w:noProof/>
              </w:rPr>
              <w:t>CY, DK, HR:</w:t>
            </w:r>
            <w:r>
              <w:rPr>
                <w:noProof/>
              </w:rPr>
              <w:t xml:space="preserve"> darba atļauja, ieskaitot ekonomisko vajadzību pārbaudi, kas vajadzīga, ja īstermiņa viesdarbinieks sniedz pakalpojumu.</w:t>
            </w:r>
          </w:p>
          <w:p w:rsidR="003E022D" w:rsidRDefault="007D19D6">
            <w:pPr>
              <w:autoSpaceDE w:val="0"/>
              <w:spacing w:before="60" w:after="60"/>
              <w:rPr>
                <w:rFonts w:eastAsia="Times New Roman" w:cstheme="minorHAnsi"/>
                <w:bCs/>
                <w:noProof/>
              </w:rPr>
            </w:pPr>
            <w:r>
              <w:rPr>
                <w:b/>
                <w:noProof/>
              </w:rPr>
              <w:t>LV:</w:t>
            </w:r>
            <w:r>
              <w:rPr>
                <w:noProof/>
              </w:rPr>
              <w:t xml:space="preserve"> darba atļauja vajadzīga darbībām/pasākumiem, kas tiks veikti, pamatojoties uz līgumu.</w:t>
            </w:r>
          </w:p>
          <w:p w:rsidR="003E022D" w:rsidRDefault="007D19D6">
            <w:pPr>
              <w:autoSpaceDE w:val="0"/>
              <w:spacing w:before="60" w:after="60"/>
              <w:rPr>
                <w:rFonts w:eastAsia="Times New Roman" w:cstheme="minorHAnsi"/>
                <w:noProof/>
              </w:rPr>
            </w:pPr>
            <w:r>
              <w:rPr>
                <w:b/>
                <w:noProof/>
              </w:rPr>
              <w:t xml:space="preserve">MT: </w:t>
            </w:r>
            <w:r>
              <w:rPr>
                <w:noProof/>
              </w:rPr>
              <w:t>vajadzīga darba atļauja. Ekonomisko vajadz</w:t>
            </w:r>
            <w:r>
              <w:rPr>
                <w:noProof/>
              </w:rPr>
              <w:t>ību pārbaudes nav jāveic.</w:t>
            </w:r>
          </w:p>
          <w:p w:rsidR="003E022D" w:rsidRDefault="007D19D6">
            <w:pPr>
              <w:autoSpaceDE w:val="0"/>
              <w:spacing w:before="60" w:after="60"/>
              <w:rPr>
                <w:rFonts w:eastAsia="Times New Roman" w:cstheme="minorHAnsi"/>
                <w:b/>
                <w:noProof/>
              </w:rPr>
            </w:pPr>
            <w:r>
              <w:rPr>
                <w:b/>
                <w:noProof/>
              </w:rPr>
              <w:t xml:space="preserve">SI: </w:t>
            </w:r>
            <w:r>
              <w:rPr>
                <w:noProof/>
              </w:rPr>
              <w:t>nepieciešama vienota dzīvesvietas un darba atļauja pakalpojumu sniegšanai ilgāk par 14 dienām pēc kārtas un konkrētām darbībām (pētniecība un projektēšana; mācību semināri; pirkšana; komercdarījumi; rakstiskā un mutiskā tulkoš</w:t>
            </w:r>
            <w:r>
              <w:rPr>
                <w:noProof/>
              </w:rPr>
              <w:t>ana). Ekonomisko vajadzību pārbaude nav nepieciešama.</w:t>
            </w:r>
          </w:p>
          <w:p w:rsidR="003E022D" w:rsidRDefault="007D19D6">
            <w:pPr>
              <w:autoSpaceDE w:val="0"/>
              <w:spacing w:before="60" w:after="60"/>
              <w:rPr>
                <w:rFonts w:eastAsia="Times New Roman" w:cstheme="minorHAnsi"/>
                <w:bCs/>
                <w:noProof/>
              </w:rPr>
            </w:pPr>
            <w:r>
              <w:rPr>
                <w:b/>
                <w:noProof/>
              </w:rPr>
              <w:t>SK:</w:t>
            </w:r>
            <w:r>
              <w:rPr>
                <w:noProof/>
              </w:rPr>
              <w:t xml:space="preserve"> ja Slovākijas teritorijā sniedz pakalpojumus, kas pārsniedz septiņas dienas mēnesī vai 30 dienas kalendārajā gadā, ir vajadzīga darba atļauja, tostarp ekonomisko vajadzību pārbaude.</w:t>
            </w:r>
          </w:p>
        </w:tc>
      </w:tr>
      <w:tr w:rsidR="003E022D">
        <w:tc>
          <w:tcPr>
            <w:tcW w:w="212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 xml:space="preserve">Pētniecība un </w:t>
            </w:r>
            <w:r>
              <w:rPr>
                <w:b/>
                <w:noProof/>
              </w:rPr>
              <w:t>projektēšana</w:t>
            </w:r>
          </w:p>
        </w:tc>
        <w:tc>
          <w:tcPr>
            <w:tcW w:w="689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 xml:space="preserve">AT: </w:t>
            </w:r>
            <w:r>
              <w:rPr>
                <w:noProof/>
              </w:rPr>
              <w:t>nepieciešama darba atļauja, tostarp ekonomisko vajadzību pārbaude, izņemot attiecībā uz zinātnes un statistikas pētnieku pētniecības pasākumiem.</w:t>
            </w:r>
          </w:p>
        </w:tc>
      </w:tr>
      <w:tr w:rsidR="003E022D">
        <w:tc>
          <w:tcPr>
            <w:tcW w:w="212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Tirgdarbības izpēte</w:t>
            </w:r>
          </w:p>
        </w:tc>
        <w:tc>
          <w:tcPr>
            <w:tcW w:w="689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noProof/>
              </w:rPr>
            </w:pPr>
            <w:r>
              <w:rPr>
                <w:b/>
                <w:noProof/>
              </w:rPr>
              <w:t xml:space="preserve">AT: </w:t>
            </w:r>
            <w:r>
              <w:rPr>
                <w:noProof/>
              </w:rPr>
              <w:t>nepieciešama darba atļauja, tostarp ekonomisko vajadzību pārbaude. No</w:t>
            </w:r>
            <w:r>
              <w:rPr>
                <w:noProof/>
              </w:rPr>
              <w:t xml:space="preserve"> ekonomisko vajadzību pārbaudes ir atbrīvoti pētniecības un analīzes pasākumi, kas notiek līdz septiņām dienām mēnesī vai 30 dienas kalendārajā gadā. Nepieciešama augstākā izglītība.</w:t>
            </w:r>
          </w:p>
          <w:p w:rsidR="003E022D" w:rsidRDefault="007D19D6">
            <w:pPr>
              <w:autoSpaceDE w:val="0"/>
              <w:spacing w:before="60" w:after="60"/>
              <w:rPr>
                <w:rFonts w:eastAsia="Times New Roman" w:cstheme="minorHAnsi"/>
                <w:b/>
                <w:noProof/>
              </w:rPr>
            </w:pPr>
            <w:r>
              <w:rPr>
                <w:b/>
                <w:noProof/>
              </w:rPr>
              <w:t>CY</w:t>
            </w:r>
            <w:r>
              <w:rPr>
                <w:noProof/>
              </w:rPr>
              <w:t>: nepieciešama darba atļauja, tostarp ekonomisko vajadzību pārbaude.</w:t>
            </w:r>
          </w:p>
        </w:tc>
      </w:tr>
      <w:tr w:rsidR="003E022D">
        <w:tc>
          <w:tcPr>
            <w:tcW w:w="212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G</w:t>
            </w:r>
            <w:r>
              <w:rPr>
                <w:b/>
                <w:noProof/>
              </w:rPr>
              <w:t>adatirgi un izstādes</w:t>
            </w:r>
          </w:p>
        </w:tc>
        <w:tc>
          <w:tcPr>
            <w:tcW w:w="689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 xml:space="preserve">AT, CY: </w:t>
            </w:r>
            <w:r>
              <w:rPr>
                <w:noProof/>
              </w:rPr>
              <w:t>attiecībā uz darbībām, kas pārsniedz septiņas dienas mēnesī vai 30 dienas kalendārajā gadā, nepieciešama darba atļauja, tostarp ekonomisko vajadzību pārbaude.</w:t>
            </w:r>
          </w:p>
        </w:tc>
      </w:tr>
      <w:tr w:rsidR="003E022D">
        <w:tc>
          <w:tcPr>
            <w:tcW w:w="212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Pēcpārdošanas vai pēciznomāšanas pakalpojumi</w:t>
            </w:r>
          </w:p>
        </w:tc>
        <w:tc>
          <w:tcPr>
            <w:tcW w:w="689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noProof/>
              </w:rPr>
            </w:pPr>
            <w:r>
              <w:rPr>
                <w:b/>
                <w:noProof/>
              </w:rPr>
              <w:t xml:space="preserve">AT: </w:t>
            </w:r>
            <w:r>
              <w:rPr>
                <w:noProof/>
              </w:rPr>
              <w:t>nepieciešama darba</w:t>
            </w:r>
            <w:r>
              <w:rPr>
                <w:noProof/>
              </w:rPr>
              <w:t xml:space="preserve"> atļauja, tostarp ekonomisko vajadzību pārbaude. No ekonomisko vajadzību pārbaudes ir atbrīvotas fiziskas personas, kas apmāca darbiniekus pakalpojumu sniegšanā un kam ir speciālās zināšanas.</w:t>
            </w:r>
          </w:p>
          <w:p w:rsidR="003E022D" w:rsidRDefault="007D19D6">
            <w:pPr>
              <w:autoSpaceDE w:val="0"/>
              <w:spacing w:before="60" w:after="60"/>
              <w:rPr>
                <w:rFonts w:eastAsia="Times New Roman" w:cstheme="minorHAnsi"/>
                <w:noProof/>
              </w:rPr>
            </w:pPr>
            <w:r>
              <w:rPr>
                <w:b/>
                <w:noProof/>
              </w:rPr>
              <w:t xml:space="preserve">CY, CZ : </w:t>
            </w:r>
            <w:r>
              <w:rPr>
                <w:noProof/>
              </w:rPr>
              <w:t>nepieciešama atļauja darbam, kas pārsniedz septiņas die</w:t>
            </w:r>
            <w:r>
              <w:rPr>
                <w:noProof/>
              </w:rPr>
              <w:t>nas mēnesī vai 30 dienas kalendārajā gadā.</w:t>
            </w:r>
          </w:p>
          <w:p w:rsidR="003E022D" w:rsidRDefault="007D19D6">
            <w:pPr>
              <w:autoSpaceDE w:val="0"/>
              <w:spacing w:before="60" w:after="60"/>
              <w:rPr>
                <w:rFonts w:eastAsia="Times New Roman" w:cstheme="minorHAnsi"/>
                <w:b/>
                <w:noProof/>
              </w:rPr>
            </w:pPr>
            <w:r>
              <w:rPr>
                <w:b/>
                <w:bCs/>
                <w:noProof/>
              </w:rPr>
              <w:t>ES:</w:t>
            </w:r>
            <w:r>
              <w:rPr>
                <w:noProof/>
              </w:rPr>
              <w:t xml:space="preserve"> instalētāji, remonta un apkopes personāls jānodarbina juridiskai personai, kas vismaz trīs mēnešus tieši pirms ieceļošanas pieteikuma iesniegšanas dienas piegādā preces vai sniedz pakalpojumus, vai uzņēmumam, </w:t>
            </w:r>
            <w:r>
              <w:rPr>
                <w:noProof/>
              </w:rPr>
              <w:t xml:space="preserve">kurš ir tās pašas grupas loceklis kā iniciējošā juridiskā persona, un viņiem attiecīgā gadījumā jābūt vismaz trīs gadu atbilstošai profesionālajai pieredzei, kas iegūta pēc pilngadības sasniegšanas. </w:t>
            </w:r>
          </w:p>
          <w:p w:rsidR="003E022D" w:rsidRDefault="007D19D6">
            <w:pPr>
              <w:autoSpaceDE w:val="0"/>
              <w:spacing w:before="60" w:after="60"/>
              <w:rPr>
                <w:rFonts w:eastAsia="Times New Roman" w:cstheme="minorHAnsi"/>
                <w:b/>
                <w:noProof/>
              </w:rPr>
            </w:pPr>
            <w:r>
              <w:rPr>
                <w:b/>
                <w:noProof/>
              </w:rPr>
              <w:t xml:space="preserve">FI: </w:t>
            </w:r>
            <w:r>
              <w:rPr>
                <w:noProof/>
              </w:rPr>
              <w:t>atkarībā no darbības var būt nepieciešama uzturēšanā</w:t>
            </w:r>
            <w:r>
              <w:rPr>
                <w:noProof/>
              </w:rPr>
              <w:t>s atļauja.</w:t>
            </w:r>
          </w:p>
          <w:p w:rsidR="003E022D" w:rsidRDefault="007D19D6">
            <w:pPr>
              <w:autoSpaceDE w:val="0"/>
              <w:spacing w:before="60" w:after="60"/>
              <w:rPr>
                <w:rFonts w:eastAsia="Times New Roman" w:cstheme="minorHAnsi"/>
                <w:b/>
                <w:noProof/>
              </w:rPr>
            </w:pPr>
            <w:r>
              <w:rPr>
                <w:b/>
                <w:noProof/>
              </w:rPr>
              <w:t xml:space="preserve">SE: </w:t>
            </w:r>
            <w:r>
              <w:rPr>
                <w:noProof/>
              </w:rPr>
              <w:t>neatliekamas situācijas kontekstā ir vajadzīga darba atļauja līdz diviem mēnešiem, izņemot i) fiziskas personas, kuras piedalās mācībās, piegāžu pārbaudēs, sagatavošanā vai pabeigšanā vai līdzīgās darbībās saistībā ar darījumu, vai ii) monti</w:t>
            </w:r>
            <w:r>
              <w:rPr>
                <w:noProof/>
              </w:rPr>
              <w:t>erus vai tehniskos instruktorus saistībā ar aprīkojuma steidzamu uzstādīšanu vai remontu. Ekonomisko vajadzību pārbaude nav jāveic.</w:t>
            </w:r>
          </w:p>
        </w:tc>
      </w:tr>
      <w:tr w:rsidR="003E022D">
        <w:tc>
          <w:tcPr>
            <w:tcW w:w="212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Komercdarījumi</w:t>
            </w:r>
          </w:p>
        </w:tc>
        <w:tc>
          <w:tcPr>
            <w:tcW w:w="689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noProof/>
              </w:rPr>
            </w:pPr>
            <w:r>
              <w:rPr>
                <w:b/>
                <w:noProof/>
              </w:rPr>
              <w:t xml:space="preserve">AT, CY: </w:t>
            </w:r>
            <w:r>
              <w:rPr>
                <w:noProof/>
              </w:rPr>
              <w:t xml:space="preserve">attiecībā uz darbībām, kas pārsniedz septiņas dienas mēnesī vai 30 dienas kalendārajā gadā, </w:t>
            </w:r>
            <w:r>
              <w:rPr>
                <w:noProof/>
              </w:rPr>
              <w:t>nepieciešama darba atļauja, tostarp ekonomisko vajadzību pārbaude.</w:t>
            </w:r>
          </w:p>
          <w:p w:rsidR="003E022D" w:rsidRDefault="007D19D6">
            <w:pPr>
              <w:autoSpaceDE w:val="0"/>
              <w:spacing w:before="60" w:after="60"/>
              <w:rPr>
                <w:rFonts w:eastAsia="Times New Roman" w:cstheme="minorHAnsi"/>
                <w:b/>
                <w:noProof/>
              </w:rPr>
            </w:pPr>
            <w:r>
              <w:rPr>
                <w:b/>
                <w:noProof/>
              </w:rPr>
              <w:t xml:space="preserve">FI: </w:t>
            </w:r>
            <w:r>
              <w:rPr>
                <w:noProof/>
              </w:rPr>
              <w:t>fiziskai personai jāsniedz pakalpojumi kā otras Puses juridiskās personas darbiniekam.</w:t>
            </w:r>
          </w:p>
        </w:tc>
      </w:tr>
      <w:tr w:rsidR="003E022D">
        <w:tc>
          <w:tcPr>
            <w:tcW w:w="212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Tūrisma personāls</w:t>
            </w:r>
          </w:p>
        </w:tc>
        <w:tc>
          <w:tcPr>
            <w:tcW w:w="689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noProof/>
              </w:rPr>
            </w:pPr>
            <w:r>
              <w:rPr>
                <w:b/>
                <w:noProof/>
              </w:rPr>
              <w:t xml:space="preserve">CY, ES, PL: </w:t>
            </w:r>
            <w:r>
              <w:rPr>
                <w:noProof/>
              </w:rPr>
              <w:t>saistību nav</w:t>
            </w:r>
          </w:p>
          <w:p w:rsidR="003E022D" w:rsidRDefault="007D19D6">
            <w:pPr>
              <w:autoSpaceDE w:val="0"/>
              <w:spacing w:before="60" w:after="60"/>
              <w:rPr>
                <w:rFonts w:eastAsia="Times New Roman" w:cstheme="minorHAnsi"/>
                <w:noProof/>
              </w:rPr>
            </w:pPr>
            <w:r>
              <w:rPr>
                <w:b/>
                <w:noProof/>
              </w:rPr>
              <w:t xml:space="preserve">FI: </w:t>
            </w:r>
            <w:r>
              <w:rPr>
                <w:noProof/>
              </w:rPr>
              <w:t xml:space="preserve">fiziskai personai jāsniedz pakalpojumi kā otras </w:t>
            </w:r>
            <w:r>
              <w:rPr>
                <w:noProof/>
              </w:rPr>
              <w:t>Puses juridiskās personas darbiniekam.</w:t>
            </w:r>
          </w:p>
          <w:p w:rsidR="003E022D" w:rsidRDefault="007D19D6">
            <w:pPr>
              <w:autoSpaceDE w:val="0"/>
              <w:spacing w:before="60" w:after="60"/>
              <w:rPr>
                <w:rFonts w:eastAsia="Times New Roman" w:cstheme="minorHAnsi"/>
                <w:b/>
                <w:noProof/>
              </w:rPr>
            </w:pPr>
            <w:r>
              <w:rPr>
                <w:b/>
                <w:noProof/>
              </w:rPr>
              <w:t xml:space="preserve">SE: </w:t>
            </w:r>
            <w:r>
              <w:rPr>
                <w:noProof/>
              </w:rPr>
              <w:t>nepieciešama darba atļauja, izņemot tūristu autobusu vadītājus un darbiniekus. Ekonomisko vajadzību pārbaude nav jāveic.</w:t>
            </w:r>
          </w:p>
        </w:tc>
      </w:tr>
      <w:tr w:rsidR="003E022D">
        <w:tc>
          <w:tcPr>
            <w:tcW w:w="2122"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b/>
                <w:noProof/>
              </w:rPr>
            </w:pPr>
            <w:r>
              <w:rPr>
                <w:b/>
                <w:noProof/>
              </w:rPr>
              <w:t>Rakstiskā un mutiskā tulkošana</w:t>
            </w:r>
          </w:p>
        </w:tc>
        <w:tc>
          <w:tcPr>
            <w:tcW w:w="6894" w:type="dxa"/>
            <w:tcBorders>
              <w:top w:val="single" w:sz="4" w:space="0" w:color="auto"/>
              <w:left w:val="single" w:sz="4" w:space="0" w:color="auto"/>
              <w:bottom w:val="single" w:sz="4" w:space="0" w:color="auto"/>
              <w:right w:val="single" w:sz="4" w:space="0" w:color="auto"/>
            </w:tcBorders>
            <w:hideMark/>
          </w:tcPr>
          <w:p w:rsidR="003E022D" w:rsidRDefault="007D19D6">
            <w:pPr>
              <w:autoSpaceDE w:val="0"/>
              <w:spacing w:before="60" w:after="60"/>
              <w:rPr>
                <w:rFonts w:eastAsia="Times New Roman" w:cstheme="minorHAnsi"/>
                <w:noProof/>
              </w:rPr>
            </w:pPr>
            <w:r>
              <w:rPr>
                <w:b/>
                <w:noProof/>
              </w:rPr>
              <w:t xml:space="preserve">AT: </w:t>
            </w:r>
            <w:r>
              <w:rPr>
                <w:noProof/>
              </w:rPr>
              <w:t>nepieciešama darba atļauja, tostarp ekonomisko vajadzību</w:t>
            </w:r>
            <w:r>
              <w:rPr>
                <w:noProof/>
              </w:rPr>
              <w:t xml:space="preserve"> pārbaude.</w:t>
            </w:r>
          </w:p>
          <w:p w:rsidR="003E022D" w:rsidRDefault="007D19D6">
            <w:pPr>
              <w:autoSpaceDE w:val="0"/>
              <w:spacing w:before="60" w:after="60"/>
              <w:rPr>
                <w:rFonts w:eastAsia="Times New Roman" w:cstheme="minorHAnsi"/>
                <w:b/>
                <w:noProof/>
              </w:rPr>
            </w:pPr>
            <w:r>
              <w:rPr>
                <w:b/>
                <w:noProof/>
              </w:rPr>
              <w:t xml:space="preserve">CY, PL: </w:t>
            </w:r>
            <w:r>
              <w:rPr>
                <w:noProof/>
              </w:rPr>
              <w:t>saistību nav</w:t>
            </w:r>
          </w:p>
        </w:tc>
      </w:tr>
    </w:tbl>
    <w:p w:rsidR="003E022D" w:rsidRDefault="003E022D">
      <w:pPr>
        <w:spacing w:line="256" w:lineRule="auto"/>
        <w:rPr>
          <w:rFonts w:eastAsia="Calibri" w:cs="Calibri"/>
          <w:noProof/>
        </w:rPr>
      </w:pPr>
    </w:p>
    <w:p w:rsidR="003E022D" w:rsidRDefault="007D19D6">
      <w:pPr>
        <w:rPr>
          <w:rFonts w:eastAsia="Calibri" w:cstheme="minorHAnsi"/>
          <w:noProof/>
        </w:rPr>
      </w:pPr>
      <w:r>
        <w:rPr>
          <w:noProof/>
        </w:rPr>
        <w:t xml:space="preserve">7. </w:t>
      </w:r>
      <w:r>
        <w:rPr>
          <w:noProof/>
        </w:rPr>
        <w:tab/>
        <w:t xml:space="preserve">Apvienotās Karalistes neatbilstošie pasākumi </w:t>
      </w:r>
    </w:p>
    <w:p w:rsidR="003E022D" w:rsidRDefault="007D19D6">
      <w:pPr>
        <w:spacing w:line="276" w:lineRule="auto"/>
        <w:rPr>
          <w:noProof/>
        </w:rPr>
      </w:pPr>
      <w:r>
        <w:rPr>
          <w:noProof/>
          <w:u w:val="single"/>
        </w:rPr>
        <w:t>Viesdarbinieki uzņēmējdarbības veikšanas nolūkā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3E022D">
        <w:tc>
          <w:tcPr>
            <w:tcW w:w="2122" w:type="dxa"/>
            <w:shd w:val="clear" w:color="auto" w:fill="auto"/>
          </w:tcPr>
          <w:p w:rsidR="003E022D" w:rsidRDefault="007D19D6">
            <w:pPr>
              <w:autoSpaceDE w:val="0"/>
              <w:spacing w:before="60" w:after="60"/>
              <w:rPr>
                <w:rFonts w:eastAsia="Times New Roman"/>
                <w:b/>
                <w:noProof/>
              </w:rPr>
            </w:pPr>
            <w:r>
              <w:rPr>
                <w:b/>
                <w:noProof/>
              </w:rPr>
              <w:t>Visas nozares</w:t>
            </w:r>
          </w:p>
        </w:tc>
        <w:tc>
          <w:tcPr>
            <w:tcW w:w="6894" w:type="dxa"/>
            <w:shd w:val="clear" w:color="auto" w:fill="auto"/>
          </w:tcPr>
          <w:p w:rsidR="003E022D" w:rsidRDefault="007D19D6">
            <w:pPr>
              <w:autoSpaceDE w:val="0"/>
              <w:spacing w:before="60" w:after="60"/>
              <w:rPr>
                <w:rFonts w:eastAsia="Times New Roman"/>
                <w:bCs/>
                <w:noProof/>
              </w:rPr>
            </w:pPr>
            <w:r>
              <w:rPr>
                <w:noProof/>
              </w:rPr>
              <w:t>viesdarbiniekam uzņēmējdarbības veikšanas nolūkā jāstrādā tādam uzņēmumam, kas nav bezpeļņas organizācija, cit</w:t>
            </w:r>
            <w:r>
              <w:rPr>
                <w:noProof/>
              </w:rPr>
              <w:t>ādi: saistību nav</w:t>
            </w:r>
          </w:p>
        </w:tc>
      </w:tr>
    </w:tbl>
    <w:p w:rsidR="003E022D" w:rsidRDefault="003E022D">
      <w:pPr>
        <w:rPr>
          <w:rFonts w:eastAsia="Calibri"/>
          <w:noProof/>
        </w:rPr>
      </w:pPr>
    </w:p>
    <w:p w:rsidR="003E022D" w:rsidRDefault="007D19D6">
      <w:pPr>
        <w:spacing w:line="276" w:lineRule="auto"/>
        <w:ind w:left="720" w:hanging="720"/>
        <w:rPr>
          <w:rFonts w:eastAsia="Times New Roman"/>
          <w:noProof/>
          <w:u w:val="single"/>
        </w:rPr>
      </w:pPr>
      <w:r>
        <w:rPr>
          <w:noProof/>
          <w:u w:val="single"/>
        </w:rPr>
        <w:t>Uzņēmuma ietvaros pārcelti darbinieki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3E022D">
        <w:tc>
          <w:tcPr>
            <w:tcW w:w="2122" w:type="dxa"/>
            <w:shd w:val="clear" w:color="auto" w:fill="auto"/>
          </w:tcPr>
          <w:p w:rsidR="003E022D" w:rsidRDefault="007D19D6">
            <w:pPr>
              <w:autoSpaceDE w:val="0"/>
              <w:spacing w:before="60" w:after="60"/>
              <w:rPr>
                <w:rFonts w:eastAsia="Times New Roman"/>
                <w:b/>
                <w:noProof/>
              </w:rPr>
            </w:pPr>
            <w:r>
              <w:rPr>
                <w:b/>
                <w:noProof/>
              </w:rPr>
              <w:t>Visas nozares</w:t>
            </w:r>
          </w:p>
        </w:tc>
        <w:tc>
          <w:tcPr>
            <w:tcW w:w="6894" w:type="dxa"/>
            <w:shd w:val="clear" w:color="auto" w:fill="auto"/>
          </w:tcPr>
          <w:p w:rsidR="003E022D" w:rsidRDefault="007D19D6">
            <w:pPr>
              <w:autoSpaceDE w:val="0"/>
              <w:spacing w:before="60" w:after="60"/>
              <w:rPr>
                <w:rFonts w:eastAsia="Times New Roman"/>
                <w:bCs/>
                <w:noProof/>
              </w:rPr>
            </w:pPr>
            <w:r>
              <w:rPr>
                <w:noProof/>
              </w:rPr>
              <w:t>uzņēmuma ietvaros pārceltam darbiniekam jābūt nodarbinātam uzņēmumā, kas nav bezpeļņas organizācija, citādi: saistību nav</w:t>
            </w:r>
          </w:p>
          <w:p w:rsidR="003E022D" w:rsidRDefault="007D19D6">
            <w:pPr>
              <w:autoSpaceDE w:val="0"/>
              <w:spacing w:before="60" w:after="60"/>
              <w:rPr>
                <w:rFonts w:eastAsia="Times New Roman"/>
                <w:bCs/>
                <w:noProof/>
              </w:rPr>
            </w:pPr>
            <w:r>
              <w:rPr>
                <w:noProof/>
              </w:rPr>
              <w:t xml:space="preserve">[līdz 2022. gada 31. decembrim jebkāda nodeva vai maksa (kas </w:t>
            </w:r>
            <w:r>
              <w:rPr>
                <w:noProof/>
              </w:rPr>
              <w:t>nav ar vīzas, darba atļaujas vai uzturēšanās atļaujas pieteikuma vai atjaunošanas apstrādi saistīta maksa), ko Puse nosaka, pamatojoties uz atļauju veikt darbību vai pieņemt darbā personu, kura var veikt šādu darbību Puses teritorijā, ja vien tā nav ar SER</w:t>
            </w:r>
            <w:r>
              <w:rPr>
                <w:noProof/>
              </w:rPr>
              <w:t>VIN. 4.1.panta [Darbības joma un definīcijas] 3. punktu saderīga prasība, vai veselības aprūpes maksa atbilstīgi valsts tiesību aktiem sakarā ar pieteikumu atļaujai ieceļot, uzturēties, strādāt vai dzīvot Puses teritorijā.</w:t>
            </w:r>
          </w:p>
        </w:tc>
      </w:tr>
    </w:tbl>
    <w:p w:rsidR="003E022D" w:rsidRDefault="003E022D">
      <w:pPr>
        <w:rPr>
          <w:rFonts w:eastAsia="Times New Roman"/>
          <w:noProof/>
        </w:rPr>
      </w:pPr>
    </w:p>
    <w:p w:rsidR="003E022D" w:rsidRDefault="007D19D6">
      <w:pPr>
        <w:spacing w:line="276" w:lineRule="auto"/>
        <w:rPr>
          <w:rFonts w:eastAsia="Times New Roman"/>
          <w:noProof/>
          <w:u w:val="single"/>
        </w:rPr>
      </w:pPr>
      <w:r>
        <w:rPr>
          <w:noProof/>
          <w:u w:val="single"/>
        </w:rPr>
        <w:t>Īstermiņa viesdarbinieki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891"/>
      </w:tblGrid>
      <w:tr w:rsidR="003E022D">
        <w:tc>
          <w:tcPr>
            <w:tcW w:w="2125" w:type="dxa"/>
            <w:shd w:val="clear" w:color="auto" w:fill="auto"/>
          </w:tcPr>
          <w:p w:rsidR="003E022D" w:rsidRDefault="007D19D6">
            <w:pPr>
              <w:autoSpaceDE w:val="0"/>
              <w:spacing w:before="60" w:after="60"/>
              <w:rPr>
                <w:rFonts w:eastAsia="Times New Roman" w:cstheme="minorHAnsi"/>
                <w:b/>
                <w:noProof/>
              </w:rPr>
            </w:pPr>
            <w:r>
              <w:rPr>
                <w:b/>
                <w:noProof/>
              </w:rPr>
              <w:t xml:space="preserve">Visas </w:t>
            </w:r>
            <w:r>
              <w:rPr>
                <w:b/>
                <w:noProof/>
              </w:rPr>
              <w:t>8. punktā minētās darbības ir:</w:t>
            </w:r>
          </w:p>
        </w:tc>
        <w:tc>
          <w:tcPr>
            <w:tcW w:w="6891" w:type="dxa"/>
            <w:shd w:val="clear" w:color="auto" w:fill="auto"/>
          </w:tcPr>
          <w:p w:rsidR="003E022D" w:rsidRDefault="007D19D6">
            <w:pPr>
              <w:autoSpaceDE w:val="0"/>
              <w:spacing w:before="60" w:after="60"/>
              <w:rPr>
                <w:rFonts w:eastAsia="Times New Roman" w:cstheme="minorHAnsi"/>
                <w:bCs/>
                <w:noProof/>
              </w:rPr>
            </w:pPr>
            <w:r>
              <w:rPr>
                <w:noProof/>
              </w:rPr>
              <w:t>nav</w:t>
            </w:r>
          </w:p>
        </w:tc>
      </w:tr>
    </w:tbl>
    <w:p w:rsidR="003E022D" w:rsidRDefault="003E022D">
      <w:pPr>
        <w:rPr>
          <w:rFonts w:eastAsia="Calibri" w:cstheme="minorHAnsi"/>
          <w:noProof/>
        </w:rPr>
      </w:pPr>
    </w:p>
    <w:p w:rsidR="003E022D" w:rsidRDefault="007D19D6">
      <w:pPr>
        <w:rPr>
          <w:rFonts w:cstheme="minorHAnsi"/>
          <w:noProof/>
        </w:rPr>
      </w:pPr>
      <w:r>
        <w:rPr>
          <w:noProof/>
        </w:rPr>
        <w:t xml:space="preserve">8. </w:t>
      </w:r>
      <w:r>
        <w:rPr>
          <w:noProof/>
        </w:rPr>
        <w:tab/>
        <w:t>Īstermiņa viesdarbinieki drīkst iesaistīties šādās darbībās:</w:t>
      </w:r>
    </w:p>
    <w:p w:rsidR="003E022D" w:rsidRDefault="007D19D6">
      <w:pPr>
        <w:ind w:left="720"/>
        <w:rPr>
          <w:rFonts w:cstheme="minorHAnsi"/>
          <w:noProof/>
        </w:rPr>
      </w:pPr>
      <w:r>
        <w:rPr>
          <w:noProof/>
        </w:rPr>
        <w:t>a) sanāksmes un apspriedes – fiziskas personas, kas apmeklē sanāksmes vai konferences vai ir iesaistītas apspriedēs ar darījumu partneriem;</w:t>
      </w:r>
    </w:p>
    <w:p w:rsidR="003E022D" w:rsidRDefault="007D19D6">
      <w:pPr>
        <w:ind w:left="720"/>
        <w:rPr>
          <w:rFonts w:cstheme="minorHAnsi"/>
          <w:noProof/>
        </w:rPr>
      </w:pPr>
      <w:r>
        <w:rPr>
          <w:noProof/>
        </w:rPr>
        <w:t xml:space="preserve">b) pētniecība </w:t>
      </w:r>
      <w:r>
        <w:rPr>
          <w:noProof/>
        </w:rPr>
        <w:t>un projektēšana – tehniskie, zinātniskie un statistikas pētnieki, kas veic neatkarīgu izpēti vai izpēti tās Puses juridiskās personas labā, kuras īstermiņa viesdarbnieks ir fiziska persona;</w:t>
      </w:r>
    </w:p>
    <w:p w:rsidR="003E022D" w:rsidRDefault="007D19D6">
      <w:pPr>
        <w:ind w:left="720"/>
        <w:rPr>
          <w:rFonts w:cstheme="minorHAnsi"/>
          <w:noProof/>
        </w:rPr>
      </w:pPr>
      <w:r>
        <w:rPr>
          <w:noProof/>
        </w:rPr>
        <w:t>c) tirgdarbības izpēte – tirgus pētnieki un analītiķi, kas veic iz</w:t>
      </w:r>
      <w:r>
        <w:rPr>
          <w:noProof/>
        </w:rPr>
        <w:t>pēti vai analīzi tās Puses juridiskās personas labā, kuras īstermiņa viesdarbinieks ir fiziska persona;</w:t>
      </w:r>
    </w:p>
    <w:p w:rsidR="003E022D" w:rsidRDefault="007D19D6">
      <w:pPr>
        <w:ind w:left="720"/>
        <w:rPr>
          <w:rFonts w:cstheme="minorHAnsi"/>
          <w:noProof/>
        </w:rPr>
      </w:pPr>
      <w:r>
        <w:rPr>
          <w:noProof/>
        </w:rPr>
        <w:t>d) mācību semināri – uzņēmuma personāls, kas ieceļo īstermiņa viesdarbinieka apmeklētā teritorijā, lai apgūtu darba metodes un praksi, ko uzņēmumi vai o</w:t>
      </w:r>
      <w:r>
        <w:rPr>
          <w:noProof/>
        </w:rPr>
        <w:t>rganizācijas izmanto īstermiņa viesdarbinieka apmeklētajā teritorijā, ar nosacījumu, ka saņemtās apmācības nepārsniedz vērošanu, iepazīšanos un mācības klasē;</w:t>
      </w:r>
    </w:p>
    <w:p w:rsidR="003E022D" w:rsidRDefault="007D19D6">
      <w:pPr>
        <w:ind w:left="720"/>
        <w:rPr>
          <w:rFonts w:cstheme="minorHAnsi"/>
          <w:noProof/>
        </w:rPr>
      </w:pPr>
      <w:r>
        <w:rPr>
          <w:noProof/>
        </w:rPr>
        <w:t>e) gadatirgi un izstādes – personāls, kas apmeklē gadatirgu ar nolūku reklamēt uzņēmumu vai tā ra</w:t>
      </w:r>
      <w:r>
        <w:rPr>
          <w:noProof/>
        </w:rPr>
        <w:t>žojumus vai pakalpojumus;</w:t>
      </w:r>
    </w:p>
    <w:p w:rsidR="003E022D" w:rsidRDefault="007D19D6">
      <w:pPr>
        <w:ind w:left="720"/>
        <w:rPr>
          <w:rFonts w:cstheme="minorHAnsi"/>
          <w:noProof/>
        </w:rPr>
      </w:pPr>
      <w:r>
        <w:rPr>
          <w:noProof/>
        </w:rPr>
        <w:t>f) pārdošana – pakalpojumu sniedzēja vai preču piegādātāja pārstāvji, kas saņem pasūtījumus vai risina sarunas par pakalpojumu vai preču pārdošanu, vai slēdz līgumus par minētā pakalpojumu sniedzēja vai preču piegādātāja pakalpoju</w:t>
      </w:r>
      <w:r>
        <w:rPr>
          <w:noProof/>
        </w:rPr>
        <w:t>mu vai preču pārdošanu, taču paši nepiegādā preces un nesniedz pakalpojumus. Īstermiņa viesdarbinieki nenodarbojas ar tiešo pārdošanu plašai sabiedrībai;</w:t>
      </w:r>
    </w:p>
    <w:p w:rsidR="003E022D" w:rsidRDefault="007D19D6">
      <w:pPr>
        <w:ind w:left="720"/>
        <w:rPr>
          <w:rFonts w:cstheme="minorHAnsi"/>
          <w:noProof/>
        </w:rPr>
      </w:pPr>
      <w:r>
        <w:rPr>
          <w:noProof/>
        </w:rPr>
        <w:t>g) pirkšana – pircēji, kas iegādājas preces vai pakalpojumus uzņēmumam, vai vadības un pārraudzības pe</w:t>
      </w:r>
      <w:r>
        <w:rPr>
          <w:noProof/>
        </w:rPr>
        <w:t>rsonāls, kas iesaistās komercdarījumā, ko veic tās Puses teritorijā, kuras īstermiņa viesdarbinieks ir fiziska persona;</w:t>
      </w:r>
    </w:p>
    <w:p w:rsidR="003E022D" w:rsidRDefault="007D19D6">
      <w:pPr>
        <w:ind w:left="720"/>
        <w:rPr>
          <w:rFonts w:cstheme="minorHAnsi"/>
          <w:noProof/>
        </w:rPr>
      </w:pPr>
      <w:r>
        <w:rPr>
          <w:noProof/>
        </w:rPr>
        <w:t>h) pēcpārdošanas vai pēciznomāšanas pakalpojumi – instalētāji, remonta un apkopes personāls un uzraugi, kuriem ir speciālās zināšanas, k</w:t>
      </w:r>
      <w:r>
        <w:rPr>
          <w:noProof/>
        </w:rPr>
        <w:t>as ir būtiskas pārdevēja līgumsaistībām, un kuri visā garantijas vai pakalpojumu līguma darbības laikā sniedz pakalpojumus vai māca darbiniekus sniegt pakalpojumus, pildot garantiju vai citu pakalpojumu līgumu, kas saistīts ar tādu komerciālu vai rūpniecis</w:t>
      </w:r>
      <w:r>
        <w:rPr>
          <w:noProof/>
        </w:rPr>
        <w:t>ku iekārtu vai mehānismu, tostarp programmatūras, pārdošanu vai iznomāšanu, kurus pērk vai nomā no Puses juridiskās personas, kuras īstermiņa viesdarbinieks ir fiziska persona;</w:t>
      </w:r>
    </w:p>
    <w:p w:rsidR="003E022D" w:rsidRDefault="007D19D6">
      <w:pPr>
        <w:ind w:left="720"/>
        <w:rPr>
          <w:rFonts w:cstheme="minorHAnsi"/>
          <w:noProof/>
        </w:rPr>
      </w:pPr>
      <w:r>
        <w:rPr>
          <w:noProof/>
        </w:rPr>
        <w:t>i) komercdarījumi – vadības un pārraudzības personāls un finanšu pakalpojumu pe</w:t>
      </w:r>
      <w:r>
        <w:rPr>
          <w:noProof/>
        </w:rPr>
        <w:t>rsonāls (tostarp apdrošinātāji, baņķieri un ieguldījumu brokeri), kas iesaistās komercdarījumā tās Puses juridiskās personas vārdā, kuras īstermiņa viesdarbinieks ir fiziska persona;</w:t>
      </w:r>
    </w:p>
    <w:p w:rsidR="003E022D" w:rsidRDefault="007D19D6">
      <w:pPr>
        <w:ind w:left="720"/>
        <w:rPr>
          <w:rFonts w:cstheme="minorHAnsi"/>
          <w:noProof/>
        </w:rPr>
      </w:pPr>
      <w:r>
        <w:rPr>
          <w:noProof/>
        </w:rPr>
        <w:t>j) tūrisma nozares personāls – ceļojumu aģentiem un ceļojumu aģentiem, gi</w:t>
      </w:r>
      <w:r>
        <w:rPr>
          <w:noProof/>
        </w:rPr>
        <w:t>diem vai ceļojumu rīkotājiem, kas apmeklē vai piedalās sanāksmēs vai pavada ceļojumu, kurš ir sācies tās Puses teritorijā, kuras īstermiņa darījumu apmeklētājs ir fiziska persona, un</w:t>
      </w:r>
    </w:p>
    <w:p w:rsidR="003E022D" w:rsidRDefault="007D19D6">
      <w:pPr>
        <w:ind w:left="720"/>
        <w:rPr>
          <w:rFonts w:cstheme="minorHAnsi"/>
          <w:b/>
          <w:bCs/>
          <w:noProof/>
        </w:rPr>
      </w:pPr>
      <w:r>
        <w:rPr>
          <w:noProof/>
        </w:rPr>
        <w:t>k) rakstiskā un mutiskā tulkošana – tulkotāji vai tulki, kas sniedz pakal</w:t>
      </w:r>
      <w:r>
        <w:rPr>
          <w:noProof/>
        </w:rPr>
        <w:t>pojumus kā tās Puses juridiskas personas darbinieki, kuras īstermiņa viesdarbinieks ir fiziska persona.</w:t>
      </w:r>
      <w:r>
        <w:rPr>
          <w:noProof/>
        </w:rPr>
        <w:br w:type="page"/>
      </w:r>
    </w:p>
    <w:p w:rsidR="003E022D" w:rsidRDefault="007D19D6">
      <w:pPr>
        <w:pStyle w:val="ANNEX"/>
        <w:rPr>
          <w:rFonts w:cstheme="minorHAnsi"/>
          <w:noProof/>
        </w:rPr>
      </w:pPr>
      <w:bookmarkStart w:id="1299" w:name="_Toc58427913"/>
      <w:bookmarkStart w:id="1300" w:name="_Toc59020209"/>
      <w:bookmarkStart w:id="1301" w:name="_Toc59200412"/>
      <w:bookmarkStart w:id="1302" w:name="_Toc59645262"/>
      <w:bookmarkStart w:id="1303" w:name="_Toc59988404"/>
      <w:r>
        <w:rPr>
          <w:noProof/>
        </w:rPr>
        <w:t>SERVIN-4. PIELIKUMS. LĪGUMPAKALPOJUMU SNIEDZĒJI UN NEATKARĪGIE SPECIĀLISTI</w:t>
      </w:r>
      <w:bookmarkEnd w:id="1299"/>
      <w:bookmarkEnd w:id="1300"/>
      <w:bookmarkEnd w:id="1301"/>
      <w:bookmarkEnd w:id="1302"/>
      <w:bookmarkEnd w:id="1303"/>
    </w:p>
    <w:p w:rsidR="003E022D" w:rsidRDefault="007D19D6">
      <w:pPr>
        <w:rPr>
          <w:rFonts w:eastAsiaTheme="minorEastAsia" w:cstheme="minorHAnsi"/>
          <w:noProof/>
        </w:rPr>
      </w:pPr>
      <w:r>
        <w:rPr>
          <w:noProof/>
        </w:rPr>
        <w:t xml:space="preserve">1. </w:t>
      </w:r>
      <w:r>
        <w:rPr>
          <w:noProof/>
        </w:rPr>
        <w:tab/>
        <w:t xml:space="preserve">Saskaņā ar SERVIN.4.4. pantu [Līgumpakalpojumu sniedzēji un neatkarīgie </w:t>
      </w:r>
      <w:r>
        <w:rPr>
          <w:noProof/>
        </w:rPr>
        <w:t>speciālisti] tajās nozarēs, kas uzskaitītas šajā pielikumā, un ievērojot attiecīgos ierobežojumus, katra Puse ļauj otras Puses līgumpakalpojumu sniedzējiem vai neatkarīgajiem speciālistiem sniegt pakalpojumus savā teritorijā, izmantojot fizisku personu klā</w:t>
      </w:r>
      <w:r>
        <w:rPr>
          <w:noProof/>
        </w:rPr>
        <w:t>tbūtni.</w:t>
      </w:r>
    </w:p>
    <w:p w:rsidR="003E022D" w:rsidRDefault="007D19D6">
      <w:pPr>
        <w:rPr>
          <w:rFonts w:eastAsiaTheme="minorEastAsia" w:cstheme="minorHAnsi"/>
          <w:noProof/>
        </w:rPr>
      </w:pPr>
      <w:r>
        <w:rPr>
          <w:noProof/>
        </w:rPr>
        <w:t xml:space="preserve">2. </w:t>
      </w:r>
      <w:r>
        <w:rPr>
          <w:noProof/>
        </w:rPr>
        <w:tab/>
        <w:t>Turpmākajā sarakstā ir ietverti šādi elementi:</w:t>
      </w:r>
    </w:p>
    <w:p w:rsidR="003E022D" w:rsidRDefault="007D19D6">
      <w:pPr>
        <w:pStyle w:val="ListParagraph"/>
        <w:numPr>
          <w:ilvl w:val="0"/>
          <w:numId w:val="827"/>
        </w:numPr>
        <w:spacing w:after="160" w:line="259" w:lineRule="auto"/>
        <w:ind w:left="714" w:hanging="357"/>
        <w:contextualSpacing w:val="0"/>
        <w:rPr>
          <w:rFonts w:eastAsiaTheme="minorEastAsia" w:cstheme="minorHAnsi"/>
          <w:noProof/>
        </w:rPr>
      </w:pPr>
      <w:r>
        <w:rPr>
          <w:noProof/>
        </w:rPr>
        <w:t>pirmā sleja, kas norāda nozari vai apakšnozari, attiecībā uz kuru tiek liberalizēta līgumpakalpojumu slēdzēju un neatkarīgo speciālistu kategorija; un</w:t>
      </w:r>
    </w:p>
    <w:p w:rsidR="003E022D" w:rsidRDefault="007D19D6">
      <w:pPr>
        <w:pStyle w:val="ListParagraph"/>
        <w:numPr>
          <w:ilvl w:val="0"/>
          <w:numId w:val="827"/>
        </w:numPr>
        <w:spacing w:after="160" w:line="259" w:lineRule="auto"/>
        <w:ind w:left="714" w:hanging="357"/>
        <w:contextualSpacing w:val="0"/>
        <w:rPr>
          <w:rFonts w:eastAsiaTheme="minorEastAsia" w:cstheme="minorHAnsi"/>
          <w:noProof/>
        </w:rPr>
      </w:pPr>
      <w:r>
        <w:rPr>
          <w:noProof/>
        </w:rPr>
        <w:t xml:space="preserve">otrā, kurā aprakstīti piemērojamie </w:t>
      </w:r>
      <w:r>
        <w:rPr>
          <w:noProof/>
        </w:rPr>
        <w:t>ierobežojumi.</w:t>
      </w:r>
    </w:p>
    <w:p w:rsidR="003E022D" w:rsidRDefault="007D19D6">
      <w:pPr>
        <w:rPr>
          <w:rFonts w:cstheme="minorHAnsi"/>
          <w:noProof/>
        </w:rPr>
      </w:pPr>
      <w:r>
        <w:rPr>
          <w:noProof/>
        </w:rPr>
        <w:t xml:space="preserve">3. </w:t>
      </w:r>
      <w:r>
        <w:rPr>
          <w:noProof/>
        </w:rPr>
        <w:tab/>
        <w:t>Papildus šajā pielikumā iekļautajam atrunu sarakstam katra Puse var pieņemt vai paturēt spēkā pasākumus, kuri saistīti ar kvalifikācijas prasībām, kvalifikācijas procedūrām, tehniskajiem standartiem, licencēšanas prasībām vai licencēšanas</w:t>
      </w:r>
      <w:r>
        <w:rPr>
          <w:noProof/>
        </w:rPr>
        <w:t xml:space="preserve"> procedūrām, kas neveido ierobežojumu SERVIN. 4.4. panta [Līgumpakalpojumu sniedzēji un neatkarīgie speciālisti] nozīmē. Minētie pasākumi, kas ietver prasības saņemt licenci, panākt kvalifikācijas atzīšanu regulētās nozarēs vai nokārtot īpašus pārbaudījumu</w:t>
      </w:r>
      <w:r>
        <w:rPr>
          <w:noProof/>
        </w:rPr>
        <w:t>s, piemēram, valodas pārbaudi, jebkurā gadījumā attiecas uz Pušu līgumpakalpojumu sniedzējiem un neatkarīgajiem speciālistiem, pat ja tie nav iekļauti šajā pielikumā.</w:t>
      </w:r>
    </w:p>
    <w:p w:rsidR="003E022D" w:rsidRDefault="007D19D6">
      <w:pPr>
        <w:rPr>
          <w:rFonts w:eastAsia="Calibri" w:cstheme="minorHAnsi"/>
          <w:noProof/>
        </w:rPr>
      </w:pPr>
      <w:r>
        <w:rPr>
          <w:noProof/>
        </w:rPr>
        <w:t xml:space="preserve">4. </w:t>
      </w:r>
      <w:r>
        <w:rPr>
          <w:noProof/>
        </w:rPr>
        <w:tab/>
        <w:t>Puses neuzņemas nekādas saistības attiecībā uz līgumpakalpojumu sniedzējiem un neatka</w:t>
      </w:r>
      <w:r>
        <w:rPr>
          <w:noProof/>
        </w:rPr>
        <w:t>rīgajiem speciālistiem sarakstā neiekļautajās saimnieciskās darbības jomās.</w:t>
      </w:r>
    </w:p>
    <w:p w:rsidR="003E022D" w:rsidRDefault="007D19D6">
      <w:pPr>
        <w:rPr>
          <w:rFonts w:eastAsiaTheme="minorEastAsia" w:cstheme="minorHAnsi"/>
          <w:noProof/>
        </w:rPr>
      </w:pPr>
      <w:r>
        <w:rPr>
          <w:noProof/>
        </w:rPr>
        <w:t xml:space="preserve">5. </w:t>
      </w:r>
      <w:r>
        <w:rPr>
          <w:noProof/>
        </w:rPr>
        <w:tab/>
        <w:t>Nosakot atsevišķas nozares vai apakšnozares: ar "CPC" apzīmē Centrālo produkcijas klasifikāciju, kas izklāstīta Apvienoto Nāciju Organizācijas Statistikas biroja statistikas do</w:t>
      </w:r>
      <w:r>
        <w:rPr>
          <w:noProof/>
        </w:rPr>
        <w:t xml:space="preserve">kumentu M sērijā Nr. 77, CPC prov., 1991. </w:t>
      </w:r>
    </w:p>
    <w:p w:rsidR="003E022D" w:rsidRDefault="007D19D6">
      <w:pPr>
        <w:rPr>
          <w:rFonts w:eastAsiaTheme="minorEastAsia" w:cstheme="minorHAnsi"/>
          <w:noProof/>
        </w:rPr>
      </w:pPr>
      <w:r>
        <w:rPr>
          <w:noProof/>
        </w:rPr>
        <w:t xml:space="preserve">6. </w:t>
      </w:r>
      <w:r>
        <w:rPr>
          <w:noProof/>
        </w:rPr>
        <w:tab/>
        <w:t>Nozarēs, kurās veic ekonomisko vajadzību pārbaudi, galvenie kritēriji būs:</w:t>
      </w:r>
    </w:p>
    <w:p w:rsidR="003E022D" w:rsidRDefault="007D19D6">
      <w:pPr>
        <w:ind w:left="720"/>
        <w:rPr>
          <w:rFonts w:cstheme="minorHAnsi"/>
          <w:noProof/>
        </w:rPr>
      </w:pPr>
      <w:r>
        <w:rPr>
          <w:noProof/>
        </w:rPr>
        <w:t>a) attiecībā uz Apvienoto Karalisti – attiecīgās tirgus situācijas Apvienotajā Karalistē novērtējums un</w:t>
      </w:r>
    </w:p>
    <w:p w:rsidR="003E022D" w:rsidRDefault="007D19D6">
      <w:pPr>
        <w:ind w:left="720"/>
        <w:rPr>
          <w:rFonts w:cstheme="minorHAnsi"/>
          <w:noProof/>
        </w:rPr>
      </w:pPr>
      <w:r>
        <w:rPr>
          <w:noProof/>
        </w:rPr>
        <w:t xml:space="preserve">b) attiecībā uz Savienību – </w:t>
      </w:r>
      <w:r>
        <w:rPr>
          <w:noProof/>
        </w:rPr>
        <w:t>attiecīgā tirgus stāvokļa novērtējums Eiropas Savienības dalībvalstī vai reģionā, kurā paredzēts sniegt pakalpojumu, tostarp attiecībā uz esošo pakalpojumu sniedzēju skaitu un ietekmi uz tiem, kuri jau sniedz pakalpojumu novērtējuma veikšanas brīdī.</w:t>
      </w:r>
    </w:p>
    <w:p w:rsidR="003E022D" w:rsidRDefault="007D19D6">
      <w:pPr>
        <w:pStyle w:val="Default"/>
        <w:spacing w:after="16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Sa</w:t>
      </w:r>
      <w:r>
        <w:rPr>
          <w:rFonts w:asciiTheme="minorHAnsi" w:hAnsiTheme="minorHAnsi"/>
          <w:noProof/>
          <w:color w:val="auto"/>
          <w:sz w:val="22"/>
          <w:szCs w:val="22"/>
        </w:rPr>
        <w:t>raksti 10. un 13. punktā attiecas tikai uz Apvienotās Karalistes un Eiropas Savienības teritorijām saskaņā ar FINPROV.1. pantu [Teritoriālā piemērošana] un OTH.9.2. pantu [Ģeogrāfiskais tvērums], un tie skar tikai Eiropas Savienības un tās dalībvalstu tird</w:t>
      </w:r>
      <w:r>
        <w:rPr>
          <w:rFonts w:asciiTheme="minorHAnsi" w:hAnsiTheme="minorHAnsi"/>
          <w:noProof/>
          <w:color w:val="auto"/>
          <w:sz w:val="22"/>
          <w:szCs w:val="22"/>
        </w:rPr>
        <w:t xml:space="preserve">zniecības attiecības ar Apvienoto Karalisti. Tie neskar dalībvalstu tiesības un pienākumus, kas izriet no Savienības tiesībām. </w:t>
      </w:r>
    </w:p>
    <w:p w:rsidR="003E022D" w:rsidRDefault="007D19D6">
      <w:pPr>
        <w:rPr>
          <w:rFonts w:eastAsia="Calibri" w:cstheme="minorHAnsi"/>
          <w:noProof/>
        </w:rPr>
      </w:pPr>
      <w:r>
        <w:rPr>
          <w:noProof/>
        </w:rPr>
        <w:t xml:space="preserve">8. </w:t>
      </w:r>
      <w:r>
        <w:rPr>
          <w:noProof/>
        </w:rPr>
        <w:tab/>
        <w:t>Lielākai noteiktībai — attiecībā uz Eiropas Savienību pienākums piešķirt valsts režīmu nenozīmē prasību attiecināt uz Apvien</w:t>
      </w:r>
      <w:r>
        <w:rPr>
          <w:noProof/>
        </w:rPr>
        <w:t>otās Karalistes fiziskajām vai juridiskajām personām režīmu, kas piešķirts dalībvalstī šādām personām, piemērojot Līgumu par Eiropas Savienības darbību vai jebkuru pasākumu, kas pieņemts, ievērojot minēto Līgumu, ieskaitot to īstenošanu dalībvalstī:</w:t>
      </w:r>
    </w:p>
    <w:p w:rsidR="003E022D" w:rsidRDefault="007D19D6">
      <w:pPr>
        <w:pStyle w:val="ListParagraph"/>
        <w:contextualSpacing w:val="0"/>
        <w:rPr>
          <w:rFonts w:eastAsia="Calibri" w:cstheme="minorHAnsi"/>
          <w:noProof/>
        </w:rPr>
      </w:pPr>
      <w:r>
        <w:rPr>
          <w:noProof/>
        </w:rPr>
        <w:t>i) fiz</w:t>
      </w:r>
      <w:r>
        <w:rPr>
          <w:noProof/>
        </w:rPr>
        <w:t>iskām personām vai citas dalībvalsts rezidentiem vai</w:t>
      </w:r>
    </w:p>
    <w:p w:rsidR="003E022D" w:rsidRDefault="007D19D6">
      <w:pPr>
        <w:pStyle w:val="ListParagraph"/>
        <w:contextualSpacing w:val="0"/>
        <w:rPr>
          <w:rFonts w:eastAsia="Calibri" w:cstheme="minorHAnsi"/>
          <w:noProof/>
        </w:rPr>
      </w:pPr>
      <w:r>
        <w:rPr>
          <w:noProof/>
        </w:rPr>
        <w:t>ii) juridiskajām personām, kuras ir izveidotas vai organizētas saskaņā ar citas dalībvalsts tiesību aktiem vai Eiropas Savienības tiesībām un kuru juridiskā adrese, galvenā vadība vai galvenā darījumdarb</w:t>
      </w:r>
      <w:r>
        <w:rPr>
          <w:noProof/>
        </w:rPr>
        <w:t>ības vieta atrodas Eiropas Savienībā.</w:t>
      </w:r>
    </w:p>
    <w:p w:rsidR="003E022D" w:rsidRDefault="007D19D6">
      <w:pPr>
        <w:rPr>
          <w:rFonts w:eastAsiaTheme="minorEastAsia" w:cstheme="minorHAnsi"/>
          <w:noProof/>
        </w:rPr>
      </w:pPr>
      <w:r>
        <w:rPr>
          <w:noProof/>
        </w:rPr>
        <w:t>9. Turpmāk sarakstā ir lietoti šādi saīsinājumi:</w:t>
      </w:r>
    </w:p>
    <w:p w:rsidR="003E022D" w:rsidRDefault="007D19D6">
      <w:pPr>
        <w:ind w:firstLine="720"/>
        <w:rPr>
          <w:rFonts w:cstheme="minorHAnsi"/>
          <w:noProof/>
        </w:rPr>
      </w:pPr>
      <w:r>
        <w:rPr>
          <w:noProof/>
        </w:rPr>
        <w:t>AT</w:t>
      </w:r>
      <w:r>
        <w:rPr>
          <w:noProof/>
        </w:rPr>
        <w:tab/>
        <w:t>Austrija</w:t>
      </w:r>
    </w:p>
    <w:p w:rsidR="003E022D" w:rsidRDefault="007D19D6">
      <w:pPr>
        <w:ind w:firstLine="720"/>
        <w:rPr>
          <w:rFonts w:cstheme="minorHAnsi"/>
          <w:noProof/>
        </w:rPr>
      </w:pPr>
      <w:r>
        <w:rPr>
          <w:noProof/>
        </w:rPr>
        <w:t>BE</w:t>
      </w:r>
      <w:r>
        <w:rPr>
          <w:noProof/>
        </w:rPr>
        <w:tab/>
        <w:t>Beļģija</w:t>
      </w:r>
    </w:p>
    <w:p w:rsidR="003E022D" w:rsidRDefault="007D19D6">
      <w:pPr>
        <w:ind w:firstLine="720"/>
        <w:rPr>
          <w:rFonts w:cstheme="minorHAnsi"/>
          <w:noProof/>
        </w:rPr>
      </w:pPr>
      <w:r>
        <w:rPr>
          <w:noProof/>
        </w:rPr>
        <w:t>BG</w:t>
      </w:r>
      <w:r>
        <w:rPr>
          <w:noProof/>
        </w:rPr>
        <w:tab/>
        <w:t xml:space="preserve">Bulgārija </w:t>
      </w:r>
    </w:p>
    <w:p w:rsidR="003E022D" w:rsidRDefault="007D19D6">
      <w:pPr>
        <w:ind w:firstLine="720"/>
        <w:rPr>
          <w:rFonts w:cstheme="minorHAnsi"/>
          <w:noProof/>
        </w:rPr>
      </w:pPr>
      <w:r>
        <w:rPr>
          <w:noProof/>
        </w:rPr>
        <w:t>CY</w:t>
      </w:r>
      <w:r>
        <w:rPr>
          <w:noProof/>
        </w:rPr>
        <w:tab/>
        <w:t>Kipra</w:t>
      </w:r>
    </w:p>
    <w:p w:rsidR="003E022D" w:rsidRDefault="007D19D6">
      <w:pPr>
        <w:ind w:firstLine="720"/>
        <w:rPr>
          <w:rFonts w:cstheme="minorHAnsi"/>
          <w:noProof/>
        </w:rPr>
      </w:pPr>
      <w:r>
        <w:rPr>
          <w:noProof/>
        </w:rPr>
        <w:t>CZ</w:t>
      </w:r>
      <w:r>
        <w:rPr>
          <w:noProof/>
        </w:rPr>
        <w:tab/>
        <w:t>Čehijas Republika</w:t>
      </w:r>
    </w:p>
    <w:p w:rsidR="003E022D" w:rsidRDefault="007D19D6">
      <w:pPr>
        <w:ind w:firstLine="720"/>
        <w:rPr>
          <w:rFonts w:cstheme="minorHAnsi"/>
          <w:noProof/>
        </w:rPr>
      </w:pPr>
      <w:r>
        <w:rPr>
          <w:noProof/>
        </w:rPr>
        <w:t>DE</w:t>
      </w:r>
      <w:r>
        <w:rPr>
          <w:noProof/>
        </w:rPr>
        <w:tab/>
        <w:t>Vācija</w:t>
      </w:r>
    </w:p>
    <w:p w:rsidR="003E022D" w:rsidRDefault="007D19D6">
      <w:pPr>
        <w:ind w:firstLine="720"/>
        <w:rPr>
          <w:rFonts w:cstheme="minorHAnsi"/>
          <w:noProof/>
        </w:rPr>
      </w:pPr>
      <w:r>
        <w:rPr>
          <w:noProof/>
        </w:rPr>
        <w:t>DK</w:t>
      </w:r>
      <w:r>
        <w:rPr>
          <w:noProof/>
        </w:rPr>
        <w:tab/>
        <w:t>Dānija</w:t>
      </w:r>
    </w:p>
    <w:p w:rsidR="003E022D" w:rsidRDefault="007D19D6">
      <w:pPr>
        <w:ind w:firstLine="720"/>
        <w:rPr>
          <w:rFonts w:cstheme="minorHAnsi"/>
          <w:noProof/>
        </w:rPr>
      </w:pPr>
      <w:r>
        <w:rPr>
          <w:noProof/>
        </w:rPr>
        <w:t>EE</w:t>
      </w:r>
      <w:r>
        <w:rPr>
          <w:noProof/>
        </w:rPr>
        <w:tab/>
        <w:t>Igaunija</w:t>
      </w:r>
    </w:p>
    <w:p w:rsidR="003E022D" w:rsidRDefault="007D19D6">
      <w:pPr>
        <w:ind w:firstLine="720"/>
        <w:rPr>
          <w:rFonts w:cstheme="minorHAnsi"/>
          <w:noProof/>
        </w:rPr>
      </w:pPr>
      <w:r>
        <w:rPr>
          <w:noProof/>
        </w:rPr>
        <w:t>EL</w:t>
      </w:r>
      <w:r>
        <w:rPr>
          <w:noProof/>
        </w:rPr>
        <w:tab/>
        <w:t>Grieķija</w:t>
      </w:r>
    </w:p>
    <w:p w:rsidR="003E022D" w:rsidRDefault="007D19D6">
      <w:pPr>
        <w:ind w:firstLine="720"/>
        <w:rPr>
          <w:rFonts w:cstheme="minorHAnsi"/>
          <w:noProof/>
        </w:rPr>
      </w:pPr>
      <w:r>
        <w:rPr>
          <w:noProof/>
        </w:rPr>
        <w:t>ES</w:t>
      </w:r>
      <w:r>
        <w:rPr>
          <w:noProof/>
        </w:rPr>
        <w:tab/>
        <w:t>Spānija</w:t>
      </w:r>
    </w:p>
    <w:p w:rsidR="003E022D" w:rsidRDefault="007D19D6">
      <w:pPr>
        <w:ind w:firstLine="720"/>
        <w:rPr>
          <w:rFonts w:cstheme="minorHAnsi"/>
          <w:noProof/>
        </w:rPr>
      </w:pPr>
      <w:r>
        <w:rPr>
          <w:noProof/>
        </w:rPr>
        <w:t>EU</w:t>
      </w:r>
      <w:r>
        <w:rPr>
          <w:noProof/>
        </w:rPr>
        <w:tab/>
        <w:t>Eiropas Savienība, ieskaitot visas tās dalīb</w:t>
      </w:r>
      <w:r>
        <w:rPr>
          <w:noProof/>
        </w:rPr>
        <w:t>valstis</w:t>
      </w:r>
    </w:p>
    <w:p w:rsidR="003E022D" w:rsidRDefault="007D19D6">
      <w:pPr>
        <w:ind w:firstLine="720"/>
        <w:rPr>
          <w:rFonts w:cstheme="minorHAnsi"/>
          <w:noProof/>
        </w:rPr>
      </w:pPr>
      <w:r>
        <w:rPr>
          <w:noProof/>
        </w:rPr>
        <w:t>FI</w:t>
      </w:r>
      <w:r>
        <w:rPr>
          <w:noProof/>
        </w:rPr>
        <w:tab/>
        <w:t>Somija</w:t>
      </w:r>
    </w:p>
    <w:p w:rsidR="003E022D" w:rsidRDefault="007D19D6">
      <w:pPr>
        <w:ind w:firstLine="720"/>
        <w:rPr>
          <w:rFonts w:cstheme="minorHAnsi"/>
          <w:noProof/>
        </w:rPr>
      </w:pPr>
      <w:r>
        <w:rPr>
          <w:noProof/>
        </w:rPr>
        <w:t>FR</w:t>
      </w:r>
      <w:r>
        <w:rPr>
          <w:noProof/>
        </w:rPr>
        <w:tab/>
        <w:t>Francija</w:t>
      </w:r>
    </w:p>
    <w:p w:rsidR="003E022D" w:rsidRDefault="007D19D6">
      <w:pPr>
        <w:ind w:firstLine="720"/>
        <w:rPr>
          <w:rFonts w:cstheme="minorHAnsi"/>
          <w:noProof/>
        </w:rPr>
      </w:pPr>
      <w:r>
        <w:rPr>
          <w:noProof/>
        </w:rPr>
        <w:t>HR</w:t>
      </w:r>
      <w:r>
        <w:rPr>
          <w:noProof/>
        </w:rPr>
        <w:tab/>
        <w:t>Horvātija</w:t>
      </w:r>
    </w:p>
    <w:p w:rsidR="003E022D" w:rsidRDefault="007D19D6">
      <w:pPr>
        <w:ind w:firstLine="720"/>
        <w:rPr>
          <w:rFonts w:cstheme="minorHAnsi"/>
          <w:noProof/>
        </w:rPr>
      </w:pPr>
      <w:r>
        <w:rPr>
          <w:noProof/>
        </w:rPr>
        <w:t>HU</w:t>
      </w:r>
      <w:r>
        <w:rPr>
          <w:noProof/>
        </w:rPr>
        <w:tab/>
        <w:t>Ungārija</w:t>
      </w:r>
    </w:p>
    <w:p w:rsidR="003E022D" w:rsidRDefault="007D19D6">
      <w:pPr>
        <w:ind w:firstLine="720"/>
        <w:rPr>
          <w:rFonts w:cstheme="minorHAnsi"/>
          <w:noProof/>
        </w:rPr>
      </w:pPr>
      <w:r>
        <w:rPr>
          <w:noProof/>
        </w:rPr>
        <w:t>IE</w:t>
      </w:r>
      <w:r>
        <w:rPr>
          <w:noProof/>
        </w:rPr>
        <w:tab/>
        <w:t>Īrija</w:t>
      </w:r>
    </w:p>
    <w:p w:rsidR="003E022D" w:rsidRDefault="007D19D6">
      <w:pPr>
        <w:ind w:firstLine="720"/>
        <w:rPr>
          <w:rFonts w:cstheme="minorHAnsi"/>
          <w:noProof/>
        </w:rPr>
      </w:pPr>
      <w:r>
        <w:rPr>
          <w:noProof/>
        </w:rPr>
        <w:t>IT</w:t>
      </w:r>
      <w:r>
        <w:rPr>
          <w:noProof/>
        </w:rPr>
        <w:tab/>
        <w:t>Itālija</w:t>
      </w:r>
    </w:p>
    <w:p w:rsidR="003E022D" w:rsidRDefault="007D19D6">
      <w:pPr>
        <w:ind w:firstLine="720"/>
        <w:rPr>
          <w:rFonts w:cstheme="minorHAnsi"/>
          <w:noProof/>
        </w:rPr>
      </w:pPr>
      <w:r>
        <w:rPr>
          <w:noProof/>
        </w:rPr>
        <w:t>LT</w:t>
      </w:r>
      <w:r>
        <w:rPr>
          <w:noProof/>
        </w:rPr>
        <w:tab/>
        <w:t>Lietuva</w:t>
      </w:r>
    </w:p>
    <w:p w:rsidR="003E022D" w:rsidRDefault="007D19D6">
      <w:pPr>
        <w:ind w:firstLine="720"/>
        <w:rPr>
          <w:rFonts w:cstheme="minorHAnsi"/>
          <w:noProof/>
        </w:rPr>
      </w:pPr>
      <w:r>
        <w:rPr>
          <w:noProof/>
        </w:rPr>
        <w:t>LU</w:t>
      </w:r>
      <w:r>
        <w:rPr>
          <w:noProof/>
        </w:rPr>
        <w:tab/>
        <w:t>Luksemburga</w:t>
      </w:r>
    </w:p>
    <w:p w:rsidR="003E022D" w:rsidRDefault="007D19D6">
      <w:pPr>
        <w:ind w:firstLine="720"/>
        <w:rPr>
          <w:rFonts w:cstheme="minorHAnsi"/>
          <w:noProof/>
        </w:rPr>
      </w:pPr>
      <w:r>
        <w:rPr>
          <w:noProof/>
        </w:rPr>
        <w:t>LV</w:t>
      </w:r>
      <w:r>
        <w:rPr>
          <w:noProof/>
        </w:rPr>
        <w:tab/>
        <w:t>Latvija</w:t>
      </w:r>
    </w:p>
    <w:p w:rsidR="003E022D" w:rsidRDefault="007D19D6">
      <w:pPr>
        <w:ind w:firstLine="720"/>
        <w:rPr>
          <w:rFonts w:cstheme="minorHAnsi"/>
          <w:noProof/>
        </w:rPr>
      </w:pPr>
      <w:r>
        <w:rPr>
          <w:noProof/>
        </w:rPr>
        <w:t>MT</w:t>
      </w:r>
      <w:r>
        <w:rPr>
          <w:noProof/>
        </w:rPr>
        <w:tab/>
        <w:t>Malta</w:t>
      </w:r>
    </w:p>
    <w:p w:rsidR="003E022D" w:rsidRDefault="007D19D6">
      <w:pPr>
        <w:ind w:firstLine="720"/>
        <w:rPr>
          <w:rFonts w:cstheme="minorHAnsi"/>
          <w:noProof/>
        </w:rPr>
      </w:pPr>
      <w:r>
        <w:rPr>
          <w:noProof/>
        </w:rPr>
        <w:t>NL</w:t>
      </w:r>
      <w:r>
        <w:rPr>
          <w:noProof/>
        </w:rPr>
        <w:tab/>
        <w:t>Nīderlande</w:t>
      </w:r>
    </w:p>
    <w:p w:rsidR="003E022D" w:rsidRDefault="007D19D6">
      <w:pPr>
        <w:ind w:firstLine="720"/>
        <w:rPr>
          <w:rFonts w:cstheme="minorHAnsi"/>
          <w:noProof/>
        </w:rPr>
      </w:pPr>
      <w:r>
        <w:rPr>
          <w:noProof/>
        </w:rPr>
        <w:t>PL</w:t>
      </w:r>
      <w:r>
        <w:rPr>
          <w:noProof/>
        </w:rPr>
        <w:tab/>
        <w:t>Polija</w:t>
      </w:r>
    </w:p>
    <w:p w:rsidR="003E022D" w:rsidRDefault="007D19D6">
      <w:pPr>
        <w:ind w:firstLine="720"/>
        <w:rPr>
          <w:rFonts w:cstheme="minorHAnsi"/>
          <w:noProof/>
        </w:rPr>
      </w:pPr>
      <w:r>
        <w:rPr>
          <w:noProof/>
        </w:rPr>
        <w:t>PT</w:t>
      </w:r>
      <w:r>
        <w:rPr>
          <w:noProof/>
        </w:rPr>
        <w:tab/>
        <w:t>Portugāle</w:t>
      </w:r>
    </w:p>
    <w:p w:rsidR="003E022D" w:rsidRDefault="007D19D6">
      <w:pPr>
        <w:ind w:firstLine="720"/>
        <w:rPr>
          <w:rFonts w:cstheme="minorHAnsi"/>
          <w:noProof/>
        </w:rPr>
      </w:pPr>
      <w:r>
        <w:rPr>
          <w:noProof/>
        </w:rPr>
        <w:t>RO</w:t>
      </w:r>
      <w:r>
        <w:rPr>
          <w:noProof/>
        </w:rPr>
        <w:tab/>
        <w:t>Rumānija</w:t>
      </w:r>
    </w:p>
    <w:p w:rsidR="003E022D" w:rsidRDefault="007D19D6">
      <w:pPr>
        <w:ind w:firstLine="720"/>
        <w:rPr>
          <w:rFonts w:cstheme="minorHAnsi"/>
          <w:noProof/>
        </w:rPr>
      </w:pPr>
      <w:r>
        <w:rPr>
          <w:noProof/>
        </w:rPr>
        <w:t>SE</w:t>
      </w:r>
      <w:r>
        <w:rPr>
          <w:noProof/>
        </w:rPr>
        <w:tab/>
        <w:t>Zviedrija</w:t>
      </w:r>
    </w:p>
    <w:p w:rsidR="003E022D" w:rsidRDefault="007D19D6">
      <w:pPr>
        <w:ind w:firstLine="720"/>
        <w:rPr>
          <w:rFonts w:cstheme="minorHAnsi"/>
          <w:noProof/>
        </w:rPr>
      </w:pPr>
      <w:r>
        <w:rPr>
          <w:noProof/>
        </w:rPr>
        <w:t>SI</w:t>
      </w:r>
      <w:r>
        <w:rPr>
          <w:noProof/>
        </w:rPr>
        <w:tab/>
        <w:t>Slovēnija</w:t>
      </w:r>
    </w:p>
    <w:p w:rsidR="003E022D" w:rsidRDefault="007D19D6">
      <w:pPr>
        <w:ind w:firstLine="720"/>
        <w:rPr>
          <w:rFonts w:cstheme="minorHAnsi"/>
          <w:noProof/>
        </w:rPr>
      </w:pPr>
      <w:r>
        <w:rPr>
          <w:noProof/>
        </w:rPr>
        <w:t>SK</w:t>
      </w:r>
      <w:r>
        <w:rPr>
          <w:noProof/>
        </w:rPr>
        <w:tab/>
        <w:t>Slovākijas Republika</w:t>
      </w:r>
    </w:p>
    <w:p w:rsidR="003E022D" w:rsidRDefault="003E022D">
      <w:pPr>
        <w:ind w:firstLine="720"/>
        <w:rPr>
          <w:rFonts w:eastAsia="Calibri" w:cstheme="minorHAnsi"/>
          <w:noProof/>
        </w:rPr>
      </w:pPr>
    </w:p>
    <w:p w:rsidR="003E022D" w:rsidRDefault="007D19D6">
      <w:pPr>
        <w:ind w:firstLine="720"/>
        <w:rPr>
          <w:rFonts w:cstheme="minorHAnsi"/>
          <w:noProof/>
        </w:rPr>
      </w:pPr>
      <w:r>
        <w:rPr>
          <w:noProof/>
        </w:rPr>
        <w:t>LPS</w:t>
      </w:r>
      <w:r>
        <w:rPr>
          <w:noProof/>
        </w:rPr>
        <w:tab/>
        <w:t>Līgumpakalpojumu sniedzēji</w:t>
      </w:r>
    </w:p>
    <w:p w:rsidR="003E022D" w:rsidRDefault="007D19D6">
      <w:pPr>
        <w:spacing w:after="0"/>
        <w:ind w:firstLine="720"/>
        <w:rPr>
          <w:rFonts w:cstheme="minorHAnsi"/>
          <w:noProof/>
        </w:rPr>
      </w:pPr>
      <w:r>
        <w:rPr>
          <w:noProof/>
        </w:rPr>
        <w:t>NS</w:t>
      </w:r>
      <w:r>
        <w:rPr>
          <w:noProof/>
        </w:rPr>
        <w:tab/>
      </w:r>
      <w:r>
        <w:rPr>
          <w:noProof/>
        </w:rPr>
        <w:t>Neatkarīgie speciālisti</w:t>
      </w:r>
    </w:p>
    <w:p w:rsidR="003E022D" w:rsidRDefault="003E022D">
      <w:pPr>
        <w:spacing w:after="0"/>
        <w:rPr>
          <w:rFonts w:eastAsia="Calibri" w:cstheme="minorHAnsi"/>
          <w:b/>
          <w:bCs/>
          <w:noProof/>
        </w:rPr>
      </w:pPr>
    </w:p>
    <w:p w:rsidR="003E022D" w:rsidRDefault="007D19D6">
      <w:pPr>
        <w:rPr>
          <w:rFonts w:cstheme="minorHAnsi"/>
          <w:noProof/>
        </w:rPr>
      </w:pPr>
      <w:r>
        <w:rPr>
          <w:b/>
          <w:bCs/>
          <w:noProof/>
        </w:rPr>
        <w:t>Līgumpakalpojumu sniedzēji</w:t>
      </w:r>
    </w:p>
    <w:p w:rsidR="003E022D" w:rsidRDefault="007D19D6">
      <w:pPr>
        <w:rPr>
          <w:rFonts w:eastAsiaTheme="minorEastAsia" w:cstheme="minorHAnsi"/>
          <w:noProof/>
        </w:rPr>
      </w:pPr>
      <w:r>
        <w:rPr>
          <w:noProof/>
        </w:rPr>
        <w:t xml:space="preserve">10. </w:t>
      </w:r>
      <w:r>
        <w:rPr>
          <w:noProof/>
        </w:rPr>
        <w:tab/>
        <w:t>Ievērojot 12. un 13. punktā minēto atrunu sarakstu, Puses uzņemas saistības saskaņā ar SERVIN.4.4. pantu [Līgumpakalpojumu sniedzēji un neatkarīgie speciālisti] attiecībā uz 4. veida līgumpakalpojumu</w:t>
      </w:r>
      <w:r>
        <w:rPr>
          <w:noProof/>
        </w:rPr>
        <w:t xml:space="preserve"> sniedzēju kategoriju šādās nozarēs vai apakšnozarēs:</w:t>
      </w:r>
    </w:p>
    <w:p w:rsidR="003E022D" w:rsidRDefault="007D19D6">
      <w:pPr>
        <w:ind w:left="1287" w:hanging="567"/>
        <w:rPr>
          <w:rFonts w:cstheme="minorHAnsi"/>
          <w:noProof/>
        </w:rPr>
      </w:pPr>
      <w:r>
        <w:rPr>
          <w:noProof/>
        </w:rPr>
        <w:t>a)</w:t>
      </w:r>
      <w:r>
        <w:rPr>
          <w:noProof/>
        </w:rPr>
        <w:tab/>
        <w:t xml:space="preserve">juridisko konsultāciju pakalpojumi attiecībā uz starptautiskajām publiskajām tiesībām un piederības jurisdikcijas tiesībām; </w:t>
      </w:r>
    </w:p>
    <w:p w:rsidR="003E022D" w:rsidRDefault="007D19D6">
      <w:pPr>
        <w:ind w:left="1287" w:hanging="567"/>
        <w:rPr>
          <w:rFonts w:cstheme="minorHAnsi"/>
          <w:noProof/>
        </w:rPr>
      </w:pPr>
      <w:r>
        <w:rPr>
          <w:noProof/>
        </w:rPr>
        <w:t>b)</w:t>
      </w:r>
      <w:r>
        <w:rPr>
          <w:noProof/>
        </w:rPr>
        <w:tab/>
        <w:t>uzskaites un grāmatvedības pakalpojumi;</w:t>
      </w:r>
    </w:p>
    <w:p w:rsidR="003E022D" w:rsidRDefault="007D19D6">
      <w:pPr>
        <w:ind w:left="1287" w:hanging="567"/>
        <w:rPr>
          <w:rFonts w:cstheme="minorHAnsi"/>
          <w:noProof/>
        </w:rPr>
      </w:pPr>
      <w:r>
        <w:rPr>
          <w:noProof/>
        </w:rPr>
        <w:t>c)</w:t>
      </w:r>
      <w:r>
        <w:rPr>
          <w:noProof/>
        </w:rPr>
        <w:tab/>
        <w:t>nodokļu konsultāciju pakalpo</w:t>
      </w:r>
      <w:r>
        <w:rPr>
          <w:noProof/>
        </w:rPr>
        <w:t>jumi;</w:t>
      </w:r>
    </w:p>
    <w:p w:rsidR="003E022D" w:rsidRDefault="007D19D6">
      <w:pPr>
        <w:ind w:left="1287" w:hanging="567"/>
        <w:rPr>
          <w:rFonts w:cstheme="minorHAnsi"/>
          <w:noProof/>
        </w:rPr>
      </w:pPr>
      <w:r>
        <w:rPr>
          <w:noProof/>
        </w:rPr>
        <w:t>d)</w:t>
      </w:r>
      <w:r>
        <w:rPr>
          <w:noProof/>
        </w:rPr>
        <w:tab/>
        <w:t>arhitektūras pakalpojumi un pilsētplānošanas un ainavu arhitektūras pakalpojumi;</w:t>
      </w:r>
    </w:p>
    <w:p w:rsidR="003E022D" w:rsidRDefault="007D19D6">
      <w:pPr>
        <w:ind w:left="1287" w:hanging="567"/>
        <w:rPr>
          <w:rFonts w:cstheme="minorHAnsi"/>
          <w:noProof/>
        </w:rPr>
      </w:pPr>
      <w:r>
        <w:rPr>
          <w:noProof/>
        </w:rPr>
        <w:t>e)</w:t>
      </w:r>
      <w:r>
        <w:rPr>
          <w:noProof/>
        </w:rPr>
        <w:tab/>
        <w:t>inženiertehniskie pakalpojumi un integrētie inženiertehniskie pakalpojumi;</w:t>
      </w:r>
    </w:p>
    <w:p w:rsidR="003E022D" w:rsidRDefault="007D19D6">
      <w:pPr>
        <w:ind w:left="1287" w:hanging="567"/>
        <w:rPr>
          <w:rFonts w:cstheme="minorHAnsi"/>
          <w:noProof/>
        </w:rPr>
      </w:pPr>
      <w:r>
        <w:rPr>
          <w:noProof/>
        </w:rPr>
        <w:t>f)</w:t>
      </w:r>
      <w:r>
        <w:rPr>
          <w:noProof/>
        </w:rPr>
        <w:tab/>
        <w:t>medicīnas un zobārstniecības pakalpojumi;</w:t>
      </w:r>
    </w:p>
    <w:p w:rsidR="003E022D" w:rsidRDefault="007D19D6">
      <w:pPr>
        <w:ind w:left="1287" w:hanging="567"/>
        <w:rPr>
          <w:rFonts w:cstheme="minorHAnsi"/>
          <w:noProof/>
        </w:rPr>
      </w:pPr>
      <w:r>
        <w:rPr>
          <w:noProof/>
        </w:rPr>
        <w:t>g)</w:t>
      </w:r>
      <w:r>
        <w:rPr>
          <w:noProof/>
        </w:rPr>
        <w:tab/>
        <w:t>veterinārie pakalpojumi;</w:t>
      </w:r>
    </w:p>
    <w:p w:rsidR="003E022D" w:rsidRDefault="007D19D6">
      <w:pPr>
        <w:ind w:left="1287" w:hanging="567"/>
        <w:rPr>
          <w:rFonts w:cstheme="minorHAnsi"/>
          <w:noProof/>
        </w:rPr>
      </w:pPr>
      <w:r>
        <w:rPr>
          <w:noProof/>
        </w:rPr>
        <w:t>h)</w:t>
      </w:r>
      <w:r>
        <w:rPr>
          <w:noProof/>
        </w:rPr>
        <w:tab/>
        <w:t xml:space="preserve">vecmāšu </w:t>
      </w:r>
      <w:r>
        <w:rPr>
          <w:noProof/>
        </w:rPr>
        <w:t>pakalpojumi;</w:t>
      </w:r>
    </w:p>
    <w:p w:rsidR="003E022D" w:rsidRDefault="007D19D6">
      <w:pPr>
        <w:ind w:left="1287" w:hanging="567"/>
        <w:rPr>
          <w:rFonts w:cstheme="minorHAnsi"/>
          <w:noProof/>
        </w:rPr>
      </w:pPr>
      <w:r>
        <w:rPr>
          <w:noProof/>
        </w:rPr>
        <w:t>i)</w:t>
      </w:r>
      <w:r>
        <w:rPr>
          <w:noProof/>
        </w:rPr>
        <w:tab/>
        <w:t>māsu, fizioterapeitu un vidējā medicīniskā personāla pakalpojumi;</w:t>
      </w:r>
    </w:p>
    <w:p w:rsidR="003E022D" w:rsidRDefault="007D19D6">
      <w:pPr>
        <w:ind w:left="1287" w:hanging="567"/>
        <w:rPr>
          <w:rFonts w:cstheme="minorHAnsi"/>
          <w:noProof/>
        </w:rPr>
      </w:pPr>
      <w:r>
        <w:rPr>
          <w:noProof/>
        </w:rPr>
        <w:t>j)</w:t>
      </w:r>
      <w:r>
        <w:rPr>
          <w:noProof/>
        </w:rPr>
        <w:tab/>
        <w:t>datori un ar tiem saistītie pakalpojumi;</w:t>
      </w:r>
    </w:p>
    <w:p w:rsidR="003E022D" w:rsidRDefault="007D19D6">
      <w:pPr>
        <w:ind w:left="1287" w:hanging="567"/>
        <w:rPr>
          <w:rFonts w:cstheme="minorHAnsi"/>
          <w:noProof/>
        </w:rPr>
      </w:pPr>
      <w:r>
        <w:rPr>
          <w:noProof/>
        </w:rPr>
        <w:t>k)</w:t>
      </w:r>
      <w:r>
        <w:rPr>
          <w:noProof/>
        </w:rPr>
        <w:tab/>
        <w:t>pētniecības un izstrādes pakalpojumi;</w:t>
      </w:r>
    </w:p>
    <w:p w:rsidR="003E022D" w:rsidRDefault="007D19D6">
      <w:pPr>
        <w:ind w:left="1287" w:hanging="567"/>
        <w:rPr>
          <w:rFonts w:cstheme="minorHAnsi"/>
          <w:noProof/>
        </w:rPr>
      </w:pPr>
      <w:r>
        <w:rPr>
          <w:noProof/>
        </w:rPr>
        <w:t>l)</w:t>
      </w:r>
      <w:r>
        <w:rPr>
          <w:noProof/>
        </w:rPr>
        <w:tab/>
        <w:t>reklāmas pakalpojumi;</w:t>
      </w:r>
    </w:p>
    <w:p w:rsidR="003E022D" w:rsidRDefault="007D19D6">
      <w:pPr>
        <w:ind w:left="1287" w:hanging="567"/>
        <w:rPr>
          <w:rFonts w:cstheme="minorHAnsi"/>
          <w:noProof/>
        </w:rPr>
      </w:pPr>
      <w:r>
        <w:rPr>
          <w:noProof/>
        </w:rPr>
        <w:t>m)</w:t>
      </w:r>
      <w:r>
        <w:rPr>
          <w:noProof/>
        </w:rPr>
        <w:tab/>
        <w:t>tirgus un sabiedriskās domas izpēte;</w:t>
      </w:r>
    </w:p>
    <w:p w:rsidR="003E022D" w:rsidRDefault="007D19D6">
      <w:pPr>
        <w:ind w:left="1287" w:hanging="567"/>
        <w:rPr>
          <w:rFonts w:cstheme="minorHAnsi"/>
          <w:noProof/>
        </w:rPr>
      </w:pPr>
      <w:r>
        <w:rPr>
          <w:noProof/>
        </w:rPr>
        <w:t>n)</w:t>
      </w:r>
      <w:r>
        <w:rPr>
          <w:noProof/>
        </w:rPr>
        <w:tab/>
        <w:t xml:space="preserve">vadības konsultāciju </w:t>
      </w:r>
      <w:r>
        <w:rPr>
          <w:noProof/>
        </w:rPr>
        <w:t>pakalpojumi;</w:t>
      </w:r>
    </w:p>
    <w:p w:rsidR="003E022D" w:rsidRDefault="007D19D6">
      <w:pPr>
        <w:ind w:left="1287" w:hanging="567"/>
        <w:rPr>
          <w:rFonts w:cstheme="minorHAnsi"/>
          <w:noProof/>
        </w:rPr>
      </w:pPr>
      <w:r>
        <w:rPr>
          <w:noProof/>
        </w:rPr>
        <w:t>o)</w:t>
      </w:r>
      <w:r>
        <w:rPr>
          <w:noProof/>
        </w:rPr>
        <w:tab/>
        <w:t>ar vadības konsultācijām saistīti pakalpojumi;</w:t>
      </w:r>
    </w:p>
    <w:p w:rsidR="003E022D" w:rsidRDefault="007D19D6">
      <w:pPr>
        <w:ind w:left="1287" w:hanging="567"/>
        <w:rPr>
          <w:rFonts w:cstheme="minorHAnsi"/>
          <w:noProof/>
        </w:rPr>
      </w:pPr>
      <w:r>
        <w:rPr>
          <w:noProof/>
        </w:rPr>
        <w:t>p)</w:t>
      </w:r>
      <w:r>
        <w:rPr>
          <w:noProof/>
        </w:rPr>
        <w:tab/>
        <w:t>tehnoloģisko pārbaužu un analīžu pakalpojumi;</w:t>
      </w:r>
    </w:p>
    <w:p w:rsidR="003E022D" w:rsidRDefault="007D19D6">
      <w:pPr>
        <w:ind w:left="1287" w:hanging="567"/>
        <w:rPr>
          <w:rFonts w:cstheme="minorHAnsi"/>
          <w:noProof/>
        </w:rPr>
      </w:pPr>
      <w:r>
        <w:rPr>
          <w:noProof/>
        </w:rPr>
        <w:t>q)</w:t>
      </w:r>
      <w:r>
        <w:rPr>
          <w:noProof/>
        </w:rPr>
        <w:tab/>
        <w:t>saistītie zinātnisko un tehnisko konsultāciju pakalpojumi;</w:t>
      </w:r>
    </w:p>
    <w:p w:rsidR="003E022D" w:rsidRDefault="007D19D6">
      <w:pPr>
        <w:ind w:left="1287" w:hanging="567"/>
        <w:rPr>
          <w:rFonts w:cstheme="minorHAnsi"/>
          <w:noProof/>
        </w:rPr>
      </w:pPr>
      <w:r>
        <w:rPr>
          <w:noProof/>
        </w:rPr>
        <w:t>r)</w:t>
      </w:r>
      <w:r>
        <w:rPr>
          <w:noProof/>
        </w:rPr>
        <w:tab/>
        <w:t>ieguves rūpniecība;</w:t>
      </w:r>
    </w:p>
    <w:p w:rsidR="003E022D" w:rsidRDefault="007D19D6">
      <w:pPr>
        <w:ind w:left="1287" w:hanging="567"/>
        <w:rPr>
          <w:rFonts w:cstheme="minorHAnsi"/>
          <w:noProof/>
        </w:rPr>
      </w:pPr>
      <w:r>
        <w:rPr>
          <w:noProof/>
        </w:rPr>
        <w:t>s)</w:t>
      </w:r>
      <w:r>
        <w:rPr>
          <w:noProof/>
        </w:rPr>
        <w:tab/>
        <w:t>kuģu apkope un remonts;</w:t>
      </w:r>
    </w:p>
    <w:p w:rsidR="003E022D" w:rsidRDefault="007D19D6">
      <w:pPr>
        <w:ind w:left="1287" w:hanging="567"/>
        <w:rPr>
          <w:rFonts w:cstheme="minorHAnsi"/>
          <w:noProof/>
        </w:rPr>
      </w:pPr>
      <w:r>
        <w:rPr>
          <w:noProof/>
        </w:rPr>
        <w:t>t)</w:t>
      </w:r>
      <w:r>
        <w:rPr>
          <w:noProof/>
        </w:rPr>
        <w:tab/>
        <w:t>dzelzceļa transporta aprīkoju</w:t>
      </w:r>
      <w:r>
        <w:rPr>
          <w:noProof/>
        </w:rPr>
        <w:t>ma apkope un remonts;</w:t>
      </w:r>
    </w:p>
    <w:p w:rsidR="003E022D" w:rsidRDefault="007D19D6">
      <w:pPr>
        <w:ind w:left="1287" w:hanging="567"/>
        <w:rPr>
          <w:rFonts w:cstheme="minorHAnsi"/>
          <w:noProof/>
        </w:rPr>
      </w:pPr>
      <w:r>
        <w:rPr>
          <w:noProof/>
        </w:rPr>
        <w:t>u)</w:t>
      </w:r>
      <w:r>
        <w:rPr>
          <w:noProof/>
        </w:rPr>
        <w:tab/>
        <w:t>mehānisko transportlīdzekļu, motociklu, sniega motociklu un autopārvadājumu aprīkojuma apkope un remonts;</w:t>
      </w:r>
    </w:p>
    <w:p w:rsidR="003E022D" w:rsidRDefault="007D19D6">
      <w:pPr>
        <w:ind w:left="1287" w:hanging="567"/>
        <w:rPr>
          <w:rFonts w:cstheme="minorHAnsi"/>
          <w:noProof/>
        </w:rPr>
      </w:pPr>
      <w:r>
        <w:rPr>
          <w:noProof/>
        </w:rPr>
        <w:t>v)</w:t>
      </w:r>
      <w:r>
        <w:rPr>
          <w:noProof/>
        </w:rPr>
        <w:tab/>
        <w:t>gaisa kuģu un to daļu apkope un remonts;</w:t>
      </w:r>
    </w:p>
    <w:p w:rsidR="003E022D" w:rsidRDefault="007D19D6">
      <w:pPr>
        <w:ind w:left="1287" w:hanging="567"/>
        <w:rPr>
          <w:rFonts w:cstheme="minorHAnsi"/>
          <w:noProof/>
        </w:rPr>
      </w:pPr>
      <w:r>
        <w:rPr>
          <w:noProof/>
        </w:rPr>
        <w:t>w)</w:t>
      </w:r>
      <w:r>
        <w:rPr>
          <w:noProof/>
        </w:rPr>
        <w:tab/>
        <w:t>metālizstrādājumu, (ar biroju nesaistītu) mehānismu, (ar pārvadājumiem un biro</w:t>
      </w:r>
      <w:r>
        <w:rPr>
          <w:noProof/>
        </w:rPr>
        <w:t>ju) nesaistītu iekārtu un individuālās lietošanas priekšmetu un mājsaimniecības piederumu apkopes un remonta pakalpojumi;</w:t>
      </w:r>
    </w:p>
    <w:p w:rsidR="003E022D" w:rsidRDefault="007D19D6">
      <w:pPr>
        <w:ind w:left="1287" w:hanging="567"/>
        <w:rPr>
          <w:rFonts w:cstheme="minorHAnsi"/>
          <w:noProof/>
        </w:rPr>
      </w:pPr>
      <w:r>
        <w:rPr>
          <w:noProof/>
        </w:rPr>
        <w:t>x)</w:t>
      </w:r>
      <w:r>
        <w:rPr>
          <w:noProof/>
        </w:rPr>
        <w:tab/>
        <w:t>rakstiskās un mutiskās tulkošanas pakalpojumi;</w:t>
      </w:r>
    </w:p>
    <w:p w:rsidR="003E022D" w:rsidRDefault="007D19D6">
      <w:pPr>
        <w:ind w:left="1287" w:hanging="567"/>
        <w:rPr>
          <w:rFonts w:cstheme="minorHAnsi"/>
          <w:noProof/>
        </w:rPr>
      </w:pPr>
      <w:r>
        <w:rPr>
          <w:noProof/>
        </w:rPr>
        <w:t>y)</w:t>
      </w:r>
      <w:r>
        <w:rPr>
          <w:noProof/>
        </w:rPr>
        <w:tab/>
        <w:t>telesakaru pakalpojumi;</w:t>
      </w:r>
    </w:p>
    <w:p w:rsidR="003E022D" w:rsidRDefault="007D19D6">
      <w:pPr>
        <w:ind w:left="1287" w:hanging="567"/>
        <w:rPr>
          <w:rFonts w:cstheme="minorHAnsi"/>
          <w:noProof/>
        </w:rPr>
      </w:pPr>
      <w:r>
        <w:rPr>
          <w:noProof/>
        </w:rPr>
        <w:t>z)</w:t>
      </w:r>
      <w:r>
        <w:rPr>
          <w:noProof/>
        </w:rPr>
        <w:tab/>
        <w:t>pasta un kurjera pakalpojumi;</w:t>
      </w:r>
    </w:p>
    <w:p w:rsidR="003E022D" w:rsidRDefault="007D19D6">
      <w:pPr>
        <w:ind w:left="1287" w:hanging="567"/>
        <w:rPr>
          <w:rFonts w:cstheme="minorHAnsi"/>
          <w:noProof/>
        </w:rPr>
      </w:pPr>
      <w:r>
        <w:rPr>
          <w:noProof/>
        </w:rPr>
        <w:t>aa)</w:t>
      </w:r>
      <w:r>
        <w:rPr>
          <w:noProof/>
        </w:rPr>
        <w:tab/>
        <w:t>būvniecība un saistī</w:t>
      </w:r>
      <w:r>
        <w:rPr>
          <w:noProof/>
        </w:rPr>
        <w:t>tie inženiertehniskie pakalpojumi;</w:t>
      </w:r>
    </w:p>
    <w:p w:rsidR="003E022D" w:rsidRDefault="007D19D6">
      <w:pPr>
        <w:ind w:left="1287" w:hanging="567"/>
        <w:rPr>
          <w:rFonts w:cstheme="minorHAnsi"/>
          <w:noProof/>
        </w:rPr>
      </w:pPr>
      <w:r>
        <w:rPr>
          <w:noProof/>
        </w:rPr>
        <w:t>bb)</w:t>
      </w:r>
      <w:r>
        <w:rPr>
          <w:noProof/>
        </w:rPr>
        <w:tab/>
        <w:t>būvlaukuma izpētes darbs;</w:t>
      </w:r>
    </w:p>
    <w:p w:rsidR="003E022D" w:rsidRDefault="007D19D6">
      <w:pPr>
        <w:ind w:left="1287" w:hanging="567"/>
        <w:rPr>
          <w:rFonts w:cstheme="minorHAnsi"/>
          <w:noProof/>
        </w:rPr>
      </w:pPr>
      <w:r>
        <w:rPr>
          <w:noProof/>
        </w:rPr>
        <w:t>cc)</w:t>
      </w:r>
      <w:r>
        <w:rPr>
          <w:noProof/>
        </w:rPr>
        <w:tab/>
        <w:t>augstākās izglītības pakalpojumi;</w:t>
      </w:r>
    </w:p>
    <w:p w:rsidR="003E022D" w:rsidRDefault="007D19D6">
      <w:pPr>
        <w:ind w:left="1287" w:hanging="567"/>
        <w:rPr>
          <w:rFonts w:cstheme="minorHAnsi"/>
          <w:noProof/>
        </w:rPr>
      </w:pPr>
      <w:r>
        <w:rPr>
          <w:noProof/>
        </w:rPr>
        <w:t>dd)</w:t>
      </w:r>
      <w:r>
        <w:rPr>
          <w:noProof/>
        </w:rPr>
        <w:tab/>
        <w:t>ar lauksaimniecību, medniecību un mežsaimniecību saistītie pakalpojumi;</w:t>
      </w:r>
    </w:p>
    <w:p w:rsidR="003E022D" w:rsidRDefault="007D19D6">
      <w:pPr>
        <w:ind w:left="1287" w:hanging="567"/>
        <w:rPr>
          <w:rFonts w:cstheme="minorHAnsi"/>
          <w:noProof/>
        </w:rPr>
      </w:pPr>
      <w:r>
        <w:rPr>
          <w:noProof/>
        </w:rPr>
        <w:t>ee)</w:t>
      </w:r>
      <w:r>
        <w:rPr>
          <w:noProof/>
        </w:rPr>
        <w:tab/>
        <w:t>vdes pakalpojumi;</w:t>
      </w:r>
    </w:p>
    <w:p w:rsidR="003E022D" w:rsidRDefault="007D19D6">
      <w:pPr>
        <w:ind w:left="1287" w:hanging="567"/>
        <w:rPr>
          <w:rFonts w:cstheme="minorHAnsi"/>
          <w:noProof/>
        </w:rPr>
      </w:pPr>
      <w:r>
        <w:rPr>
          <w:noProof/>
        </w:rPr>
        <w:t>ff)</w:t>
      </w:r>
      <w:r>
        <w:rPr>
          <w:noProof/>
        </w:rPr>
        <w:tab/>
        <w:t xml:space="preserve">apdrošināšana un ar to saistītie pakalpojumi, </w:t>
      </w:r>
      <w:r>
        <w:rPr>
          <w:noProof/>
        </w:rPr>
        <w:t>padomdevēju un konsultatīvie pakalpojumi;</w:t>
      </w:r>
    </w:p>
    <w:p w:rsidR="003E022D" w:rsidRDefault="007D19D6">
      <w:pPr>
        <w:ind w:left="1287" w:hanging="567"/>
        <w:rPr>
          <w:rFonts w:cstheme="minorHAnsi"/>
          <w:noProof/>
        </w:rPr>
      </w:pPr>
      <w:r>
        <w:rPr>
          <w:noProof/>
        </w:rPr>
        <w:t>gg)</w:t>
      </w:r>
      <w:r>
        <w:rPr>
          <w:noProof/>
        </w:rPr>
        <w:tab/>
        <w:t>citi finanšu pakalpojumi, padomdevēju un konsultāciju pakalpojumi;</w:t>
      </w:r>
    </w:p>
    <w:p w:rsidR="003E022D" w:rsidRDefault="007D19D6">
      <w:pPr>
        <w:ind w:left="1287" w:hanging="567"/>
        <w:rPr>
          <w:rFonts w:cstheme="minorHAnsi"/>
          <w:noProof/>
        </w:rPr>
      </w:pPr>
      <w:r>
        <w:rPr>
          <w:noProof/>
        </w:rPr>
        <w:t>hh)</w:t>
      </w:r>
      <w:r>
        <w:rPr>
          <w:noProof/>
        </w:rPr>
        <w:tab/>
        <w:t>padomdevēju un konsultāciju pakalpojumi transporta jomā;</w:t>
      </w:r>
    </w:p>
    <w:p w:rsidR="003E022D" w:rsidRDefault="007D19D6">
      <w:pPr>
        <w:ind w:left="1287" w:hanging="567"/>
        <w:rPr>
          <w:rFonts w:cstheme="minorHAnsi"/>
          <w:noProof/>
        </w:rPr>
      </w:pPr>
      <w:r>
        <w:rPr>
          <w:noProof/>
        </w:rPr>
        <w:t>ii)</w:t>
      </w:r>
      <w:r>
        <w:rPr>
          <w:noProof/>
        </w:rPr>
        <w:tab/>
        <w:t>ceļojumu aģentūru un tūrisma operatoru pakalpojumi;</w:t>
      </w:r>
    </w:p>
    <w:p w:rsidR="003E022D" w:rsidRDefault="007D19D6">
      <w:pPr>
        <w:ind w:left="1287" w:hanging="567"/>
        <w:rPr>
          <w:rFonts w:cstheme="minorHAnsi"/>
          <w:noProof/>
        </w:rPr>
      </w:pPr>
      <w:r>
        <w:rPr>
          <w:noProof/>
        </w:rPr>
        <w:t>jj)</w:t>
      </w:r>
      <w:r>
        <w:rPr>
          <w:noProof/>
        </w:rPr>
        <w:tab/>
        <w:t xml:space="preserve">tūristu gidu </w:t>
      </w:r>
      <w:r>
        <w:rPr>
          <w:noProof/>
        </w:rPr>
        <w:t>pakalpojumi</w:t>
      </w:r>
    </w:p>
    <w:p w:rsidR="003E022D" w:rsidRDefault="007D19D6">
      <w:pPr>
        <w:ind w:left="1287" w:hanging="567"/>
        <w:rPr>
          <w:rFonts w:eastAsia="Calibri" w:cstheme="minorHAnsi"/>
          <w:noProof/>
        </w:rPr>
      </w:pPr>
      <w:r>
        <w:rPr>
          <w:noProof/>
        </w:rPr>
        <w:t>kk)</w:t>
      </w:r>
      <w:r>
        <w:rPr>
          <w:noProof/>
        </w:rPr>
        <w:tab/>
        <w:t>padomdevēju un konsultāciju pakalpojumi ražošanas jomā.</w:t>
      </w:r>
    </w:p>
    <w:p w:rsidR="003E022D" w:rsidRDefault="007D19D6">
      <w:pPr>
        <w:spacing w:line="360" w:lineRule="auto"/>
        <w:ind w:left="1287" w:hanging="567"/>
        <w:rPr>
          <w:rFonts w:eastAsia="Calibri" w:cstheme="minorHAnsi"/>
          <w:b/>
          <w:bCs/>
          <w:noProof/>
        </w:rPr>
      </w:pPr>
      <w:r>
        <w:rPr>
          <w:noProof/>
        </w:rPr>
        <w:br w:type="page"/>
      </w:r>
    </w:p>
    <w:p w:rsidR="003E022D" w:rsidRDefault="007D19D6">
      <w:pPr>
        <w:rPr>
          <w:rFonts w:cstheme="minorHAnsi"/>
          <w:noProof/>
        </w:rPr>
      </w:pPr>
      <w:r>
        <w:rPr>
          <w:b/>
          <w:bCs/>
          <w:noProof/>
        </w:rPr>
        <w:t>Neatkarīgie speciālisti</w:t>
      </w:r>
    </w:p>
    <w:p w:rsidR="003E022D" w:rsidRDefault="007D19D6">
      <w:pPr>
        <w:rPr>
          <w:rFonts w:eastAsiaTheme="minorEastAsia" w:cstheme="minorHAnsi"/>
          <w:noProof/>
        </w:rPr>
      </w:pPr>
      <w:r>
        <w:rPr>
          <w:noProof/>
        </w:rPr>
        <w:t xml:space="preserve">11. </w:t>
      </w:r>
      <w:r>
        <w:rPr>
          <w:noProof/>
        </w:rPr>
        <w:tab/>
        <w:t>Ievērojot 12. un 13. punktā minēto atrunu sarakstu, Puses uzņemas saistības saskaņā ar SERVIN.4.4. pantu [Līgumpakalpojumu sniedzēji un neatkarīgie speci</w:t>
      </w:r>
      <w:r>
        <w:rPr>
          <w:noProof/>
        </w:rPr>
        <w:t>ālisti] attiecībā uz 4. veida neatkarīgo speciālistu kategoriju šādās nozarēs vai apakšnozarēs:</w:t>
      </w:r>
    </w:p>
    <w:p w:rsidR="003E022D" w:rsidRDefault="007D19D6">
      <w:pPr>
        <w:spacing w:line="360" w:lineRule="auto"/>
        <w:ind w:left="1287" w:hanging="567"/>
        <w:rPr>
          <w:rFonts w:cstheme="minorHAnsi"/>
          <w:noProof/>
        </w:rPr>
      </w:pPr>
      <w:r>
        <w:rPr>
          <w:noProof/>
        </w:rPr>
        <w:t>a)</w:t>
      </w:r>
      <w:r>
        <w:rPr>
          <w:noProof/>
        </w:rPr>
        <w:tab/>
        <w:t>juridisko konsultāciju pakalpojumi attiecībā uz starptautiskajām publiskajām tiesībām un piederības jurisdikcijas tiesībām;</w:t>
      </w:r>
    </w:p>
    <w:p w:rsidR="003E022D" w:rsidRDefault="007D19D6">
      <w:pPr>
        <w:spacing w:line="360" w:lineRule="auto"/>
        <w:ind w:left="1287" w:hanging="567"/>
        <w:rPr>
          <w:rFonts w:cstheme="minorHAnsi"/>
          <w:noProof/>
        </w:rPr>
      </w:pPr>
      <w:r>
        <w:rPr>
          <w:noProof/>
        </w:rPr>
        <w:t>b)</w:t>
      </w:r>
      <w:r>
        <w:rPr>
          <w:noProof/>
        </w:rPr>
        <w:tab/>
        <w:t>arhitektūras pakalpojumi un pi</w:t>
      </w:r>
      <w:r>
        <w:rPr>
          <w:noProof/>
        </w:rPr>
        <w:t>lsētplānošanas un ainavu arhitektūras pakalpojumi;</w:t>
      </w:r>
    </w:p>
    <w:p w:rsidR="003E022D" w:rsidRDefault="007D19D6">
      <w:pPr>
        <w:spacing w:line="360" w:lineRule="auto"/>
        <w:ind w:left="1287" w:hanging="567"/>
        <w:rPr>
          <w:rFonts w:cstheme="minorHAnsi"/>
          <w:noProof/>
        </w:rPr>
      </w:pPr>
      <w:r>
        <w:rPr>
          <w:noProof/>
        </w:rPr>
        <w:t>c)</w:t>
      </w:r>
      <w:r>
        <w:rPr>
          <w:noProof/>
        </w:rPr>
        <w:tab/>
        <w:t>inženiertehniskie pakalpojumi un integrētie inženiertehniskie pakalpojumi;</w:t>
      </w:r>
    </w:p>
    <w:p w:rsidR="003E022D" w:rsidRDefault="007D19D6">
      <w:pPr>
        <w:spacing w:line="360" w:lineRule="auto"/>
        <w:ind w:left="1287" w:hanging="567"/>
        <w:rPr>
          <w:rFonts w:cstheme="minorHAnsi"/>
          <w:noProof/>
        </w:rPr>
      </w:pPr>
      <w:r>
        <w:rPr>
          <w:noProof/>
        </w:rPr>
        <w:t>d)</w:t>
      </w:r>
      <w:r>
        <w:rPr>
          <w:noProof/>
        </w:rPr>
        <w:tab/>
        <w:t>datori un ar tiem saistītie pakalpojumi;</w:t>
      </w:r>
    </w:p>
    <w:p w:rsidR="003E022D" w:rsidRDefault="007D19D6">
      <w:pPr>
        <w:spacing w:line="360" w:lineRule="auto"/>
        <w:ind w:left="1287" w:hanging="567"/>
        <w:rPr>
          <w:rFonts w:cstheme="minorHAnsi"/>
          <w:noProof/>
        </w:rPr>
      </w:pPr>
      <w:r>
        <w:rPr>
          <w:noProof/>
        </w:rPr>
        <w:t>e)</w:t>
      </w:r>
      <w:r>
        <w:rPr>
          <w:noProof/>
        </w:rPr>
        <w:tab/>
        <w:t>pētniecības un izstrādes pakalpojumi;</w:t>
      </w:r>
    </w:p>
    <w:p w:rsidR="003E022D" w:rsidRDefault="007D19D6">
      <w:pPr>
        <w:spacing w:line="360" w:lineRule="auto"/>
        <w:ind w:left="1287" w:hanging="567"/>
        <w:rPr>
          <w:rFonts w:cstheme="minorHAnsi"/>
          <w:noProof/>
        </w:rPr>
      </w:pPr>
      <w:r>
        <w:rPr>
          <w:noProof/>
        </w:rPr>
        <w:t>f)</w:t>
      </w:r>
      <w:r>
        <w:rPr>
          <w:noProof/>
        </w:rPr>
        <w:tab/>
        <w:t>tirgus un sabiedriskās domas izpēte;</w:t>
      </w:r>
    </w:p>
    <w:p w:rsidR="003E022D" w:rsidRDefault="007D19D6">
      <w:pPr>
        <w:spacing w:line="360" w:lineRule="auto"/>
        <w:ind w:left="1287" w:hanging="567"/>
        <w:rPr>
          <w:rFonts w:cstheme="minorHAnsi"/>
          <w:noProof/>
        </w:rPr>
      </w:pPr>
      <w:r>
        <w:rPr>
          <w:noProof/>
        </w:rPr>
        <w:t>g)</w:t>
      </w:r>
      <w:r>
        <w:rPr>
          <w:noProof/>
        </w:rPr>
        <w:tab/>
        <w:t>vadības konsultāciju pakalpojumi;</w:t>
      </w:r>
    </w:p>
    <w:p w:rsidR="003E022D" w:rsidRDefault="007D19D6">
      <w:pPr>
        <w:spacing w:line="360" w:lineRule="auto"/>
        <w:ind w:left="1287" w:hanging="567"/>
        <w:rPr>
          <w:rFonts w:cstheme="minorHAnsi"/>
          <w:noProof/>
        </w:rPr>
      </w:pPr>
      <w:r>
        <w:rPr>
          <w:noProof/>
        </w:rPr>
        <w:t>h)</w:t>
      </w:r>
      <w:r>
        <w:rPr>
          <w:noProof/>
        </w:rPr>
        <w:tab/>
        <w:t>ar vadības konsultācijām saistīti pakalpojumi;</w:t>
      </w:r>
    </w:p>
    <w:p w:rsidR="003E022D" w:rsidRDefault="007D19D6">
      <w:pPr>
        <w:spacing w:line="360" w:lineRule="auto"/>
        <w:ind w:left="1287" w:hanging="567"/>
        <w:rPr>
          <w:rFonts w:cstheme="minorHAnsi"/>
          <w:noProof/>
        </w:rPr>
      </w:pPr>
      <w:r>
        <w:rPr>
          <w:noProof/>
        </w:rPr>
        <w:t>i)</w:t>
      </w:r>
      <w:r>
        <w:rPr>
          <w:noProof/>
        </w:rPr>
        <w:tab/>
        <w:t>ieguves rūpniecība;</w:t>
      </w:r>
    </w:p>
    <w:p w:rsidR="003E022D" w:rsidRDefault="007D19D6">
      <w:pPr>
        <w:spacing w:line="360" w:lineRule="auto"/>
        <w:ind w:left="1287" w:hanging="567"/>
        <w:rPr>
          <w:rFonts w:cstheme="minorHAnsi"/>
          <w:noProof/>
        </w:rPr>
      </w:pPr>
      <w:r>
        <w:rPr>
          <w:noProof/>
        </w:rPr>
        <w:t>j)</w:t>
      </w:r>
      <w:r>
        <w:rPr>
          <w:noProof/>
        </w:rPr>
        <w:tab/>
        <w:t>rakstiskās un mutiskās tulkošanas pakalpojumi;</w:t>
      </w:r>
    </w:p>
    <w:p w:rsidR="003E022D" w:rsidRDefault="007D19D6">
      <w:pPr>
        <w:spacing w:line="360" w:lineRule="auto"/>
        <w:ind w:left="1287" w:hanging="567"/>
        <w:rPr>
          <w:rFonts w:cstheme="minorHAnsi"/>
          <w:noProof/>
        </w:rPr>
      </w:pPr>
      <w:r>
        <w:rPr>
          <w:noProof/>
        </w:rPr>
        <w:t>k)</w:t>
      </w:r>
      <w:r>
        <w:rPr>
          <w:noProof/>
        </w:rPr>
        <w:tab/>
        <w:t>telesakaru pakalpojumi;</w:t>
      </w:r>
    </w:p>
    <w:p w:rsidR="003E022D" w:rsidRDefault="007D19D6">
      <w:pPr>
        <w:spacing w:line="360" w:lineRule="auto"/>
        <w:ind w:left="1287" w:hanging="567"/>
        <w:rPr>
          <w:rFonts w:cstheme="minorHAnsi"/>
          <w:noProof/>
        </w:rPr>
      </w:pPr>
      <w:r>
        <w:rPr>
          <w:noProof/>
        </w:rPr>
        <w:t>l)</w:t>
      </w:r>
      <w:r>
        <w:rPr>
          <w:noProof/>
        </w:rPr>
        <w:tab/>
        <w:t>pasta un kurjera pakalpojumi;</w:t>
      </w:r>
    </w:p>
    <w:p w:rsidR="003E022D" w:rsidRDefault="007D19D6">
      <w:pPr>
        <w:spacing w:line="360" w:lineRule="auto"/>
        <w:ind w:left="1287" w:hanging="567"/>
        <w:rPr>
          <w:rFonts w:cstheme="minorHAnsi"/>
          <w:noProof/>
        </w:rPr>
      </w:pPr>
      <w:r>
        <w:rPr>
          <w:noProof/>
        </w:rPr>
        <w:t>m)</w:t>
      </w:r>
      <w:r>
        <w:rPr>
          <w:noProof/>
        </w:rPr>
        <w:tab/>
        <w:t>augstākās izglītības pakalpojumi;</w:t>
      </w:r>
    </w:p>
    <w:p w:rsidR="003E022D" w:rsidRDefault="007D19D6">
      <w:pPr>
        <w:spacing w:line="360" w:lineRule="auto"/>
        <w:ind w:left="1287" w:hanging="567"/>
        <w:rPr>
          <w:rFonts w:cstheme="minorHAnsi"/>
          <w:noProof/>
        </w:rPr>
      </w:pPr>
      <w:r>
        <w:rPr>
          <w:noProof/>
        </w:rPr>
        <w:t>n</w:t>
      </w:r>
      <w:r>
        <w:rPr>
          <w:noProof/>
        </w:rPr>
        <w:t>)</w:t>
      </w:r>
      <w:r>
        <w:rPr>
          <w:noProof/>
        </w:rPr>
        <w:tab/>
        <w:t>ar apdrošināšanu saistītie pakalpojumi, padomdevēju un konsultāciju pakalpojumi;</w:t>
      </w:r>
    </w:p>
    <w:p w:rsidR="003E022D" w:rsidRDefault="007D19D6">
      <w:pPr>
        <w:spacing w:line="360" w:lineRule="auto"/>
        <w:ind w:left="1287" w:hanging="567"/>
        <w:rPr>
          <w:rFonts w:cstheme="minorHAnsi"/>
          <w:noProof/>
        </w:rPr>
      </w:pPr>
      <w:r>
        <w:rPr>
          <w:noProof/>
        </w:rPr>
        <w:t>o)</w:t>
      </w:r>
      <w:r>
        <w:rPr>
          <w:noProof/>
        </w:rPr>
        <w:tab/>
        <w:t>citi finanšu pakalpojumi, padomdevēju un konsultāciju pakalpojumi;</w:t>
      </w:r>
    </w:p>
    <w:p w:rsidR="003E022D" w:rsidRDefault="007D19D6">
      <w:pPr>
        <w:spacing w:line="360" w:lineRule="auto"/>
        <w:ind w:left="1287" w:hanging="567"/>
        <w:rPr>
          <w:rFonts w:cstheme="minorHAnsi"/>
          <w:noProof/>
        </w:rPr>
      </w:pPr>
      <w:r>
        <w:rPr>
          <w:noProof/>
        </w:rPr>
        <w:t>p)</w:t>
      </w:r>
      <w:r>
        <w:rPr>
          <w:noProof/>
        </w:rPr>
        <w:tab/>
        <w:t>padomdevēju un konsultāciju pakalpojumi transporta jomā;</w:t>
      </w:r>
    </w:p>
    <w:p w:rsidR="003E022D" w:rsidRDefault="007D19D6">
      <w:pPr>
        <w:spacing w:line="360" w:lineRule="auto"/>
        <w:ind w:left="1287" w:hanging="567"/>
        <w:rPr>
          <w:rFonts w:eastAsia="Calibri" w:cstheme="minorHAnsi"/>
          <w:noProof/>
        </w:rPr>
      </w:pPr>
      <w:r>
        <w:rPr>
          <w:noProof/>
        </w:rPr>
        <w:t>q)</w:t>
      </w:r>
      <w:r>
        <w:rPr>
          <w:noProof/>
        </w:rPr>
        <w:tab/>
        <w:t xml:space="preserve">padomdevēju un konsultāciju pakalpojumi </w:t>
      </w:r>
      <w:r>
        <w:rPr>
          <w:noProof/>
        </w:rPr>
        <w:t xml:space="preserve">ražošanas jomā. </w:t>
      </w:r>
    </w:p>
    <w:p w:rsidR="003E022D" w:rsidRDefault="007D19D6">
      <w:pPr>
        <w:rPr>
          <w:rFonts w:eastAsia="Calibri" w:cstheme="minorHAnsi"/>
          <w:noProof/>
        </w:rPr>
      </w:pPr>
      <w:r>
        <w:rPr>
          <w:noProof/>
        </w:rPr>
        <w:t xml:space="preserve">12. </w:t>
      </w:r>
      <w:r>
        <w:rPr>
          <w:noProof/>
        </w:rPr>
        <w:tab/>
        <w:t>Eiropas Savienības atrunas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3E022D">
        <w:trPr>
          <w:cantSplit/>
          <w:tblHeader/>
          <w:jc w:val="center"/>
        </w:trPr>
        <w:tc>
          <w:tcPr>
            <w:tcW w:w="2977" w:type="dxa"/>
            <w:tcBorders>
              <w:top w:val="single" w:sz="4" w:space="0" w:color="auto"/>
              <w:left w:val="single" w:sz="4" w:space="0" w:color="auto"/>
              <w:bottom w:val="single" w:sz="4" w:space="0" w:color="auto"/>
              <w:right w:val="single" w:sz="4" w:space="0" w:color="auto"/>
            </w:tcBorders>
            <w:hideMark/>
          </w:tcPr>
          <w:p w:rsidR="003E022D" w:rsidRDefault="007D19D6">
            <w:pPr>
              <w:widowControl w:val="0"/>
              <w:spacing w:before="60" w:after="60"/>
              <w:jc w:val="center"/>
              <w:rPr>
                <w:rFonts w:eastAsia="SimSun"/>
                <w:b/>
                <w:bCs/>
                <w:noProof/>
                <w:u w:val="single"/>
              </w:rPr>
            </w:pPr>
            <w:r>
              <w:rPr>
                <w:noProof/>
              </w:rPr>
              <w:br w:type="page"/>
            </w:r>
            <w:r>
              <w:rPr>
                <w:b/>
                <w:bCs/>
                <w:noProof/>
              </w:rPr>
              <w:t>Nozare vai apakšnozare</w:t>
            </w:r>
          </w:p>
        </w:tc>
        <w:tc>
          <w:tcPr>
            <w:tcW w:w="6946" w:type="dxa"/>
            <w:tcBorders>
              <w:top w:val="single" w:sz="4" w:space="0" w:color="auto"/>
              <w:left w:val="single" w:sz="4" w:space="0" w:color="auto"/>
              <w:bottom w:val="single" w:sz="4" w:space="0" w:color="auto"/>
              <w:right w:val="single" w:sz="4" w:space="0" w:color="auto"/>
            </w:tcBorders>
            <w:hideMark/>
          </w:tcPr>
          <w:p w:rsidR="003E022D" w:rsidRDefault="007D19D6">
            <w:pPr>
              <w:widowControl w:val="0"/>
              <w:spacing w:before="60" w:after="60"/>
              <w:jc w:val="center"/>
              <w:rPr>
                <w:rFonts w:eastAsia="SimSun"/>
                <w:b/>
                <w:bCs/>
                <w:noProof/>
              </w:rPr>
            </w:pPr>
            <w:r>
              <w:rPr>
                <w:b/>
                <w:bCs/>
                <w:noProof/>
              </w:rPr>
              <w:t>Atrunu apraksts</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 xml:space="preserve">Visas nozares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u w:val="single"/>
              </w:rPr>
            </w:pPr>
            <w:r>
              <w:rPr>
                <w:noProof/>
                <w:u w:val="single"/>
              </w:rPr>
              <w:t xml:space="preserve">LPS un NS: </w:t>
            </w:r>
          </w:p>
          <w:p w:rsidR="003E022D" w:rsidRDefault="007D19D6">
            <w:pPr>
              <w:widowControl w:val="0"/>
              <w:spacing w:before="60" w:after="60"/>
              <w:rPr>
                <w:rFonts w:eastAsia="SimSun"/>
                <w:noProof/>
              </w:rPr>
            </w:pPr>
            <w:r>
              <w:rPr>
                <w:b/>
                <w:bCs/>
                <w:noProof/>
              </w:rPr>
              <w:t>AT</w:t>
            </w:r>
            <w:r>
              <w:rPr>
                <w:noProof/>
              </w:rPr>
              <w:t xml:space="preserve">: maksimālais uzturēšanās laikposms kopumā nepārsniedz sešus mēnešus jebkurā 12 mēnešu periodā vai līguma darbības laiku – atkarībā no </w:t>
            </w:r>
            <w:r>
              <w:rPr>
                <w:noProof/>
              </w:rPr>
              <w:t>tā, kurš termiņš ir īsāks.</w:t>
            </w:r>
          </w:p>
          <w:p w:rsidR="003E022D" w:rsidRDefault="007D19D6">
            <w:pPr>
              <w:widowControl w:val="0"/>
              <w:spacing w:before="60" w:after="60"/>
              <w:rPr>
                <w:rFonts w:eastAsia="SimSun"/>
                <w:noProof/>
                <w:u w:val="single"/>
              </w:rPr>
            </w:pPr>
            <w:r>
              <w:rPr>
                <w:b/>
                <w:bCs/>
                <w:noProof/>
              </w:rPr>
              <w:t>CZ</w:t>
            </w:r>
            <w:r>
              <w:rPr>
                <w:noProof/>
              </w:rPr>
              <w:t>: maksimālais uzturēšanās laiks nepārsniedz 12 secīgus mēnešus vai līguma darbības laiku – atkarībā no tā, kurš termiņš ir īsāks.</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 xml:space="preserve">Juridisko konsultāciju pakalpojumi attiecībā uz starptautiskajām publiskajām tiesībām un </w:t>
            </w:r>
            <w:r>
              <w:rPr>
                <w:b/>
                <w:bCs/>
                <w:noProof/>
              </w:rPr>
              <w:t>piederības jurisdikcijas tiesībām</w:t>
            </w:r>
          </w:p>
          <w:p w:rsidR="003E022D" w:rsidRDefault="007D19D6">
            <w:pPr>
              <w:widowControl w:val="0"/>
              <w:spacing w:before="60" w:after="60"/>
              <w:rPr>
                <w:rFonts w:eastAsia="SimSun"/>
                <w:noProof/>
              </w:rPr>
            </w:pPr>
            <w:r>
              <w:rPr>
                <w:noProof/>
              </w:rPr>
              <w:t>(daļa no CPC 861)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AT, BE, CY, DE, EE, EL, ES, FR, HR, IE, IT, LU, NL, PL, PT, SE</w:t>
            </w:r>
            <w:r>
              <w:rPr>
                <w:noProof/>
              </w:rPr>
              <w:t>: nav</w:t>
            </w:r>
          </w:p>
          <w:p w:rsidR="003E022D" w:rsidRDefault="007D19D6">
            <w:pPr>
              <w:widowControl w:val="0"/>
              <w:spacing w:before="60" w:after="60"/>
              <w:rPr>
                <w:rFonts w:eastAsia="SimSun"/>
                <w:noProof/>
              </w:rPr>
            </w:pPr>
            <w:r>
              <w:rPr>
                <w:b/>
                <w:bCs/>
                <w:noProof/>
              </w:rPr>
              <w:t>BG, CZ, DK, FI, HU, LT, LV, MT, RO, SI, SK</w:t>
            </w:r>
            <w:r>
              <w:rPr>
                <w:noProof/>
              </w:rPr>
              <w:t>: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b/>
                <w:bCs/>
                <w:noProof/>
              </w:rPr>
              <w:t>AT, CY, DE, EE, FR, HR, IE, LU, LV, NL, PL, PT, SE</w:t>
            </w:r>
            <w:r>
              <w:rPr>
                <w:noProof/>
              </w:rPr>
              <w:t xml:space="preserve">: </w:t>
            </w:r>
            <w:r>
              <w:rPr>
                <w:noProof/>
              </w:rPr>
              <w:t>nav</w:t>
            </w:r>
          </w:p>
          <w:p w:rsidR="003E022D" w:rsidRDefault="007D19D6">
            <w:pPr>
              <w:widowControl w:val="0"/>
              <w:spacing w:before="60" w:after="60"/>
              <w:rPr>
                <w:rFonts w:eastAsia="SimSun"/>
                <w:noProof/>
              </w:rPr>
            </w:pPr>
            <w:r>
              <w:rPr>
                <w:b/>
                <w:bCs/>
                <w:noProof/>
              </w:rPr>
              <w:t>BE, BG, CZ, DK, EL, ES, FI, HU, IT, LT, MT, RO, SI, SK</w:t>
            </w:r>
            <w:r>
              <w:rPr>
                <w:noProof/>
              </w:rPr>
              <w:t>: ekonomisko vajadzību pārbaude</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Uzskaites un grāmatvedības pakalpojumi</w:t>
            </w:r>
          </w:p>
          <w:p w:rsidR="003E022D" w:rsidRDefault="007D19D6">
            <w:pPr>
              <w:widowControl w:val="0"/>
              <w:spacing w:before="60" w:after="60"/>
              <w:rPr>
                <w:rFonts w:eastAsia="SimSun"/>
                <w:noProof/>
              </w:rPr>
            </w:pPr>
            <w:r>
              <w:rPr>
                <w:noProof/>
              </w:rPr>
              <w:t>(CPC 86212, izņemot “revīzijas pakalpojumus”, 86213, 86219 un 86220)</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 xml:space="preserve">AT, BE, DE, EE, ES, HR, IE, IT, LU, NL, PL, PT, SI, </w:t>
            </w:r>
            <w:r>
              <w:rPr>
                <w:b/>
                <w:bCs/>
                <w:noProof/>
              </w:rPr>
              <w:t>SE</w:t>
            </w:r>
            <w:r>
              <w:rPr>
                <w:noProof/>
              </w:rPr>
              <w:t>: nav</w:t>
            </w:r>
          </w:p>
          <w:p w:rsidR="003E022D" w:rsidRDefault="007D19D6">
            <w:pPr>
              <w:widowControl w:val="0"/>
              <w:spacing w:before="60" w:after="60"/>
              <w:rPr>
                <w:rFonts w:eastAsia="SimSun"/>
                <w:noProof/>
              </w:rPr>
            </w:pPr>
            <w:r>
              <w:rPr>
                <w:b/>
                <w:bCs/>
                <w:noProof/>
              </w:rPr>
              <w:t>BG, CZ, CY, DK, EL, FI, FR, HU, LT, LV, MT, RO, SK</w:t>
            </w:r>
            <w:r>
              <w:rPr>
                <w:noProof/>
              </w:rPr>
              <w:t>: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Nodokļu konsultāciju pakalpojumi</w:t>
            </w:r>
          </w:p>
          <w:p w:rsidR="003E022D" w:rsidRDefault="007D19D6">
            <w:pPr>
              <w:widowControl w:val="0"/>
              <w:spacing w:before="60" w:after="60"/>
              <w:rPr>
                <w:rFonts w:eastAsia="SimSun"/>
                <w:noProof/>
              </w:rPr>
            </w:pPr>
            <w:r>
              <w:rPr>
                <w:noProof/>
              </w:rPr>
              <w:t>(CPC 863)</w:t>
            </w:r>
            <w:r>
              <w:rPr>
                <w:rFonts w:eastAsia="Calibri"/>
                <w:b/>
                <w:noProof/>
                <w:vertAlign w:val="superscript"/>
                <w:lang w:eastAsia="fr-BE"/>
              </w:rPr>
              <w:footnoteReference w:id="109"/>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AT, BE, DE, EE, ES, FR, HR, IE, IT, LU, NL, PL, SI, SE</w:t>
            </w:r>
            <w:r>
              <w:rPr>
                <w:noProof/>
              </w:rPr>
              <w:t>: nav</w:t>
            </w:r>
          </w:p>
          <w:p w:rsidR="003E022D" w:rsidRDefault="007D19D6">
            <w:pPr>
              <w:widowControl w:val="0"/>
              <w:spacing w:before="60" w:after="60"/>
              <w:rPr>
                <w:rFonts w:eastAsia="SimSun"/>
                <w:noProof/>
              </w:rPr>
            </w:pPr>
            <w:r>
              <w:rPr>
                <w:b/>
                <w:bCs/>
                <w:noProof/>
              </w:rPr>
              <w:t>BG, CZ, CY, DK, EL, FI, HU, LT, LV</w:t>
            </w:r>
            <w:r>
              <w:rPr>
                <w:b/>
                <w:bCs/>
                <w:noProof/>
              </w:rPr>
              <w:t>, MT, RO, SK</w:t>
            </w:r>
            <w:r>
              <w:rPr>
                <w:noProof/>
              </w:rPr>
              <w:t>: ekonomisko vajadzību pārbaude</w:t>
            </w:r>
          </w:p>
          <w:p w:rsidR="003E022D" w:rsidRDefault="007D19D6">
            <w:pPr>
              <w:widowControl w:val="0"/>
              <w:spacing w:before="60" w:after="60"/>
              <w:rPr>
                <w:rFonts w:eastAsia="SimSun"/>
                <w:noProof/>
              </w:rPr>
            </w:pPr>
            <w:r>
              <w:rPr>
                <w:b/>
                <w:bCs/>
                <w:noProof/>
              </w:rPr>
              <w:t>PT</w:t>
            </w:r>
            <w:r>
              <w:rPr>
                <w:noProof/>
              </w:rPr>
              <w:t>: saistību nav</w:t>
            </w:r>
          </w:p>
          <w:p w:rsidR="003E022D" w:rsidRDefault="003E022D">
            <w:pPr>
              <w:widowControl w:val="0"/>
              <w:spacing w:before="60" w:after="60"/>
              <w:rPr>
                <w:rFonts w:eastAsia="SimSun"/>
                <w:noProof/>
                <w:lang w:val="pt-PT"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Arhitektu pakalpojumi</w:t>
            </w:r>
          </w:p>
          <w:p w:rsidR="003E022D" w:rsidRDefault="007D19D6">
            <w:pPr>
              <w:widowControl w:val="0"/>
              <w:rPr>
                <w:rFonts w:eastAsia="SimSun"/>
                <w:noProof/>
              </w:rPr>
            </w:pPr>
            <w:r>
              <w:rPr>
                <w:noProof/>
              </w:rPr>
              <w:t>un</w:t>
            </w:r>
          </w:p>
          <w:p w:rsidR="003E022D" w:rsidRDefault="007D19D6">
            <w:pPr>
              <w:widowControl w:val="0"/>
              <w:spacing w:before="60" w:after="60"/>
              <w:rPr>
                <w:rFonts w:eastAsia="SimSun"/>
                <w:b/>
                <w:bCs/>
                <w:noProof/>
              </w:rPr>
            </w:pPr>
            <w:r>
              <w:rPr>
                <w:b/>
                <w:bCs/>
                <w:noProof/>
              </w:rPr>
              <w:t>pilsētplānošanas un ainavu arhitektūras pakalpojumi</w:t>
            </w:r>
          </w:p>
          <w:p w:rsidR="003E022D" w:rsidRDefault="007D19D6">
            <w:pPr>
              <w:widowControl w:val="0"/>
              <w:spacing w:before="60" w:after="60"/>
              <w:rPr>
                <w:rFonts w:eastAsia="SimSun"/>
                <w:noProof/>
              </w:rPr>
            </w:pPr>
            <w:r>
              <w:rPr>
                <w:noProof/>
              </w:rPr>
              <w:t>(CPC 8671 un 8674)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BE, CY, EE, ES, EL, FR, HR, IE, IT, LU, MT, NL, PL, PT, SI, SE</w:t>
            </w:r>
            <w:r>
              <w:rPr>
                <w:noProof/>
              </w:rPr>
              <w:t>: nav</w:t>
            </w:r>
          </w:p>
          <w:p w:rsidR="003E022D" w:rsidRDefault="007D19D6">
            <w:pPr>
              <w:widowControl w:val="0"/>
              <w:spacing w:before="60" w:after="60"/>
              <w:rPr>
                <w:rFonts w:eastAsia="SimSun"/>
                <w:noProof/>
              </w:rPr>
            </w:pPr>
            <w:r>
              <w:rPr>
                <w:b/>
                <w:bCs/>
                <w:noProof/>
              </w:rPr>
              <w:t>FI</w:t>
            </w:r>
            <w:r>
              <w:rPr>
                <w:noProof/>
              </w:rPr>
              <w:t>:</w:t>
            </w:r>
            <w:r>
              <w:rPr>
                <w:noProof/>
              </w:rPr>
              <w:t xml:space="preserve"> ierobežojumu nav, izņemot: fiziskai personai jāpierāda, ka tā ir ieguvusi speciālas zināšanas, kas nepieciešamas šādu pakalpojumu sniegšanai.</w:t>
            </w:r>
          </w:p>
          <w:p w:rsidR="003E022D" w:rsidRDefault="007D19D6">
            <w:pPr>
              <w:widowControl w:val="0"/>
              <w:spacing w:before="60" w:after="60"/>
              <w:rPr>
                <w:rFonts w:eastAsia="SimSun"/>
                <w:noProof/>
              </w:rPr>
            </w:pPr>
            <w:r>
              <w:rPr>
                <w:b/>
                <w:bCs/>
                <w:noProof/>
              </w:rPr>
              <w:t>BG, CZ, DE, HU, LT, LV,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ekonomisko vajadzību pārbaude, izņemot attiecīb</w:t>
            </w:r>
            <w:r>
              <w:rPr>
                <w:noProof/>
              </w:rPr>
              <w:t>ā uz LPS, kuru uzturēšanās periods nepārsniedz trīs mēnešus</w:t>
            </w:r>
          </w:p>
          <w:p w:rsidR="003E022D" w:rsidRDefault="007D19D6">
            <w:pPr>
              <w:widowControl w:val="0"/>
              <w:spacing w:before="60" w:after="60"/>
              <w:rPr>
                <w:rFonts w:eastAsia="SimSun"/>
                <w:noProof/>
              </w:rPr>
            </w:pPr>
            <w:r>
              <w:rPr>
                <w:b/>
                <w:bCs/>
                <w:noProof/>
              </w:rPr>
              <w:t>AT</w:t>
            </w:r>
            <w:r>
              <w:rPr>
                <w:noProof/>
              </w:rPr>
              <w:t>: tikai plānošanas pakalpojumiem: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CY, DE, EE, EL, FR, HR, IE, LU, LV, MT, NL, PL, PT, SI, SE</w:t>
            </w:r>
            <w:r>
              <w:rPr>
                <w:noProof/>
              </w:rPr>
              <w:t>:</w:t>
            </w:r>
            <w:r>
              <w:rPr>
                <w:b/>
                <w:bCs/>
                <w:noProof/>
              </w:rPr>
              <w:t xml:space="preserve"> </w:t>
            </w:r>
            <w:r>
              <w:rPr>
                <w:noProof/>
              </w:rPr>
              <w:t>nav</w:t>
            </w:r>
          </w:p>
          <w:p w:rsidR="003E022D" w:rsidRDefault="007D19D6">
            <w:pPr>
              <w:widowControl w:val="0"/>
              <w:spacing w:before="60" w:after="60"/>
              <w:rPr>
                <w:rFonts w:eastAsia="SimSun"/>
                <w:noProof/>
              </w:rPr>
            </w:pPr>
            <w:r>
              <w:rPr>
                <w:b/>
                <w:bCs/>
                <w:noProof/>
              </w:rPr>
              <w:t>FI</w:t>
            </w:r>
            <w:r>
              <w:rPr>
                <w:noProof/>
              </w:rPr>
              <w:t xml:space="preserve">: ierobežojumu nav, izņemot: fiziskai personai jāpierāda, </w:t>
            </w:r>
            <w:r>
              <w:rPr>
                <w:noProof/>
              </w:rPr>
              <w:t>ka tā ir ieguvusi speciālas zināšanas, kas nepieciešamas šādu pakalpojumu sniegšanai.</w:t>
            </w:r>
          </w:p>
          <w:p w:rsidR="003E022D" w:rsidRDefault="007D19D6">
            <w:pPr>
              <w:widowControl w:val="0"/>
              <w:spacing w:before="60" w:after="60"/>
              <w:rPr>
                <w:rFonts w:eastAsia="SimSun"/>
                <w:noProof/>
              </w:rPr>
            </w:pPr>
            <w:r>
              <w:rPr>
                <w:b/>
                <w:bCs/>
                <w:noProof/>
              </w:rPr>
              <w:t>BE, BG, CZ, DK, ES, HU, IT, LT, RO, SK</w:t>
            </w:r>
            <w:r>
              <w:rPr>
                <w:noProof/>
              </w:rPr>
              <w:t>: ekonomisko vajadzību pārbaude.</w:t>
            </w:r>
          </w:p>
          <w:p w:rsidR="003E022D" w:rsidRDefault="007D19D6">
            <w:pPr>
              <w:widowControl w:val="0"/>
              <w:spacing w:before="60" w:after="60"/>
              <w:rPr>
                <w:rFonts w:eastAsia="SimSun"/>
                <w:noProof/>
              </w:rPr>
            </w:pPr>
            <w:r>
              <w:rPr>
                <w:b/>
                <w:bCs/>
                <w:noProof/>
              </w:rPr>
              <w:t>AT</w:t>
            </w:r>
            <w:r>
              <w:rPr>
                <w:noProof/>
              </w:rPr>
              <w:t>: tikai plānošanas pakalpojumiem: ekonomisko vajadzību pārbaude.</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Inženiertehniskie pakalpojumi</w:t>
            </w:r>
          </w:p>
          <w:p w:rsidR="003E022D" w:rsidRDefault="007D19D6">
            <w:pPr>
              <w:widowControl w:val="0"/>
              <w:spacing w:before="60" w:after="60"/>
              <w:rPr>
                <w:rFonts w:eastAsia="SimSun"/>
                <w:noProof/>
              </w:rPr>
            </w:pPr>
            <w:r>
              <w:rPr>
                <w:noProof/>
              </w:rPr>
              <w:t>u</w:t>
            </w:r>
            <w:r>
              <w:rPr>
                <w:noProof/>
              </w:rPr>
              <w:t>n</w:t>
            </w:r>
          </w:p>
          <w:p w:rsidR="003E022D" w:rsidRDefault="007D19D6">
            <w:pPr>
              <w:widowControl w:val="0"/>
              <w:spacing w:before="60" w:after="60"/>
              <w:rPr>
                <w:rFonts w:eastAsia="SimSun"/>
                <w:b/>
                <w:bCs/>
                <w:noProof/>
              </w:rPr>
            </w:pPr>
            <w:r>
              <w:rPr>
                <w:b/>
                <w:bCs/>
                <w:noProof/>
              </w:rPr>
              <w:t>integrētie inženiertehniskie pakalpojumi</w:t>
            </w:r>
          </w:p>
          <w:p w:rsidR="003E022D" w:rsidRDefault="007D19D6">
            <w:pPr>
              <w:widowControl w:val="0"/>
              <w:spacing w:line="360" w:lineRule="auto"/>
              <w:rPr>
                <w:rFonts w:eastAsia="SimSun"/>
                <w:noProof/>
              </w:rPr>
            </w:pPr>
            <w:r>
              <w:rPr>
                <w:noProof/>
              </w:rPr>
              <w:t>(CPC 8672 un 8673)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BE, CY, EE, ES, EL, FR, HR, IE, IT, LU, MT, NL, PL, PT, SI, SE</w:t>
            </w:r>
            <w:r>
              <w:rPr>
                <w:noProof/>
              </w:rPr>
              <w:t>: nav</w:t>
            </w:r>
          </w:p>
          <w:p w:rsidR="003E022D" w:rsidRDefault="007D19D6">
            <w:pPr>
              <w:widowControl w:val="0"/>
              <w:spacing w:before="60" w:after="60"/>
              <w:rPr>
                <w:rFonts w:eastAsia="SimSun"/>
                <w:noProof/>
              </w:rPr>
            </w:pPr>
            <w:r>
              <w:rPr>
                <w:b/>
                <w:bCs/>
                <w:noProof/>
              </w:rPr>
              <w:t>FI</w:t>
            </w:r>
            <w:r>
              <w:rPr>
                <w:noProof/>
              </w:rPr>
              <w:t>: ierobežojumu nav, izņemot: fiziskai personai jāpierāda, ka tā ir ieguvusi speciālas zināšanas, kas nepieciešamas šādu</w:t>
            </w:r>
            <w:r>
              <w:rPr>
                <w:noProof/>
              </w:rPr>
              <w:t xml:space="preserve"> pakalpojumu sniegšanai.</w:t>
            </w:r>
          </w:p>
          <w:p w:rsidR="003E022D" w:rsidRDefault="007D19D6">
            <w:pPr>
              <w:widowControl w:val="0"/>
              <w:spacing w:before="60" w:after="60"/>
              <w:rPr>
                <w:rFonts w:eastAsia="SimSun"/>
                <w:noProof/>
              </w:rPr>
            </w:pPr>
            <w:r>
              <w:rPr>
                <w:b/>
                <w:bCs/>
                <w:noProof/>
              </w:rPr>
              <w:t>BG, CZ, DE, HU, LT, LV,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ekonomisko vajadzību pārbaude, izņemot attiecībā uz LPS, kuru uzturēšanās periods nepārsniedz trīs mēnešus</w:t>
            </w:r>
          </w:p>
          <w:p w:rsidR="003E022D" w:rsidRDefault="007D19D6">
            <w:pPr>
              <w:widowControl w:val="0"/>
              <w:spacing w:before="60" w:after="60"/>
              <w:rPr>
                <w:rFonts w:eastAsia="SimSun"/>
                <w:noProof/>
              </w:rPr>
            </w:pPr>
            <w:r>
              <w:rPr>
                <w:b/>
                <w:bCs/>
                <w:noProof/>
              </w:rPr>
              <w:t>AT</w:t>
            </w:r>
            <w:r>
              <w:rPr>
                <w:noProof/>
              </w:rPr>
              <w:t xml:space="preserve">: tikai plānošanas pakalpojumiem: ekonomisko vajadzību </w:t>
            </w:r>
            <w:r>
              <w:rPr>
                <w:noProof/>
              </w:rPr>
              <w:t>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CY, DE, EE, EL, FR, HR, IE, LU, LV, MT, NL, PL, PT, SI, SE</w:t>
            </w:r>
            <w:r>
              <w:rPr>
                <w:noProof/>
              </w:rPr>
              <w:t>: nav</w:t>
            </w:r>
          </w:p>
          <w:p w:rsidR="003E022D" w:rsidRDefault="007D19D6">
            <w:pPr>
              <w:widowControl w:val="0"/>
              <w:spacing w:before="60" w:after="60"/>
              <w:rPr>
                <w:rFonts w:eastAsia="SimSun"/>
                <w:noProof/>
              </w:rPr>
            </w:pPr>
            <w:r>
              <w:rPr>
                <w:b/>
                <w:bCs/>
                <w:noProof/>
              </w:rPr>
              <w:t>FI</w:t>
            </w:r>
            <w:r>
              <w:rPr>
                <w:noProof/>
              </w:rPr>
              <w:t>: ierobežojumu nav, izņemot: fiziskai personai jāpierāda, ka tā ir ieguvusi speciālas zināšanas, kas nepieciešamas šādu pakalpojumu sniegšanai.</w:t>
            </w:r>
          </w:p>
          <w:p w:rsidR="003E022D" w:rsidRDefault="007D19D6">
            <w:pPr>
              <w:widowControl w:val="0"/>
              <w:spacing w:before="60" w:after="60"/>
              <w:rPr>
                <w:rFonts w:eastAsia="SimSun"/>
                <w:noProof/>
              </w:rPr>
            </w:pPr>
            <w:r>
              <w:rPr>
                <w:b/>
                <w:bCs/>
                <w:noProof/>
              </w:rPr>
              <w:t>BE, BG, CZ, DK, ES, HU, IT, LT,</w:t>
            </w:r>
            <w:r>
              <w:rPr>
                <w:b/>
                <w:bCs/>
                <w:noProof/>
              </w:rPr>
              <w:t xml:space="preserve"> RO, SK</w:t>
            </w:r>
            <w:r>
              <w:rPr>
                <w:noProof/>
              </w:rPr>
              <w:t>: ekonomisko vajadzību pārbaude.</w:t>
            </w:r>
          </w:p>
          <w:p w:rsidR="003E022D" w:rsidRDefault="007D19D6">
            <w:pPr>
              <w:widowControl w:val="0"/>
              <w:spacing w:before="60" w:after="60"/>
              <w:rPr>
                <w:rFonts w:eastAsia="SimSun"/>
                <w:noProof/>
              </w:rPr>
            </w:pPr>
            <w:r>
              <w:rPr>
                <w:b/>
                <w:bCs/>
                <w:noProof/>
              </w:rPr>
              <w:t>AT</w:t>
            </w:r>
            <w:r>
              <w:rPr>
                <w:noProof/>
              </w:rPr>
              <w:t>: tikai plānošanas pakalpojumiem: ekonomisko vajadzību pārbaude.</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Medicīnas (tostarp psihologu) un zobārstniecības pakalpojumi</w:t>
            </w:r>
          </w:p>
          <w:p w:rsidR="003E022D" w:rsidRDefault="007D19D6">
            <w:pPr>
              <w:widowControl w:val="0"/>
              <w:spacing w:before="60" w:after="60"/>
              <w:rPr>
                <w:rFonts w:eastAsia="SimSun"/>
                <w:noProof/>
              </w:rPr>
            </w:pPr>
            <w:r>
              <w:rPr>
                <w:noProof/>
              </w:rPr>
              <w:t xml:space="preserve">(CPC 9312 un daļa no 85201)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SE</w:t>
            </w:r>
            <w:r>
              <w:rPr>
                <w:noProof/>
              </w:rPr>
              <w:t>: nav</w:t>
            </w:r>
          </w:p>
          <w:p w:rsidR="003E022D" w:rsidRDefault="007D19D6">
            <w:pPr>
              <w:widowControl w:val="0"/>
              <w:spacing w:before="60" w:after="60"/>
              <w:rPr>
                <w:rFonts w:eastAsia="SimSun"/>
                <w:noProof/>
              </w:rPr>
            </w:pPr>
            <w:r>
              <w:rPr>
                <w:b/>
                <w:bCs/>
                <w:noProof/>
              </w:rPr>
              <w:t>CY, CZ, DE, DK, EE, ES, IE, IT, LU, MT, NL, P</w:t>
            </w:r>
            <w:r>
              <w:rPr>
                <w:b/>
                <w:bCs/>
                <w:noProof/>
              </w:rPr>
              <w:t>L, PT, RO, SI</w:t>
            </w:r>
            <w:r>
              <w:rPr>
                <w:noProof/>
              </w:rPr>
              <w:t>: ekonomisko vajadzību pārbaude.</w:t>
            </w:r>
          </w:p>
          <w:p w:rsidR="003E022D" w:rsidRDefault="007D19D6">
            <w:pPr>
              <w:widowControl w:val="0"/>
              <w:spacing w:before="60" w:after="60"/>
              <w:rPr>
                <w:rFonts w:eastAsia="SimSun"/>
                <w:noProof/>
              </w:rPr>
            </w:pPr>
            <w:r>
              <w:rPr>
                <w:b/>
                <w:bCs/>
                <w:noProof/>
              </w:rPr>
              <w:t>FR</w:t>
            </w:r>
            <w:r>
              <w:rPr>
                <w:noProof/>
              </w:rPr>
              <w:t>: ekonomisko vajadzību pārbaude, izņemot attiecībā uz psihologu pakalpojumiem saistību nav</w:t>
            </w:r>
          </w:p>
          <w:p w:rsidR="003E022D" w:rsidRDefault="007D19D6">
            <w:pPr>
              <w:widowControl w:val="0"/>
              <w:spacing w:before="60" w:after="60"/>
              <w:rPr>
                <w:rFonts w:eastAsia="SimSun"/>
                <w:noProof/>
              </w:rPr>
            </w:pPr>
            <w:r>
              <w:rPr>
                <w:b/>
                <w:bCs/>
                <w:noProof/>
              </w:rPr>
              <w:t>AT</w:t>
            </w:r>
            <w:r>
              <w:rPr>
                <w:noProof/>
              </w:rPr>
              <w:t>: saistību nav, izņemot attiecībā uz psihologu un zobārstniecības pakalpojumiem: ekonomisko vajadzību pārbaude.</w:t>
            </w:r>
          </w:p>
          <w:p w:rsidR="003E022D" w:rsidRDefault="007D19D6">
            <w:pPr>
              <w:widowControl w:val="0"/>
              <w:spacing w:before="60" w:after="60"/>
              <w:rPr>
                <w:rFonts w:eastAsia="SimSun"/>
                <w:noProof/>
              </w:rPr>
            </w:pPr>
            <w:r>
              <w:rPr>
                <w:b/>
                <w:bCs/>
                <w:noProof/>
              </w:rPr>
              <w:t>BE,</w:t>
            </w:r>
            <w:r>
              <w:rPr>
                <w:b/>
                <w:bCs/>
                <w:noProof/>
              </w:rPr>
              <w:t xml:space="preserve"> BG, EL, FI, HR, HU, LT, LV, SK</w:t>
            </w:r>
            <w:r>
              <w:rPr>
                <w:noProof/>
              </w:rPr>
              <w:t>: 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Veterinārie pakalpojumi</w:t>
            </w:r>
          </w:p>
          <w:p w:rsidR="003E022D" w:rsidRDefault="007D19D6">
            <w:pPr>
              <w:widowControl w:val="0"/>
              <w:spacing w:before="60" w:after="60"/>
              <w:rPr>
                <w:rFonts w:eastAsia="SimSun"/>
                <w:noProof/>
              </w:rPr>
            </w:pPr>
            <w:r>
              <w:rPr>
                <w:noProof/>
              </w:rPr>
              <w:t>(CPC 932)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SE: nav</w:t>
            </w:r>
          </w:p>
          <w:p w:rsidR="003E022D" w:rsidRDefault="007D19D6">
            <w:pPr>
              <w:widowControl w:val="0"/>
              <w:spacing w:before="60" w:after="60"/>
              <w:rPr>
                <w:rFonts w:eastAsia="SimSun"/>
                <w:noProof/>
              </w:rPr>
            </w:pPr>
            <w:r>
              <w:rPr>
                <w:b/>
                <w:bCs/>
                <w:noProof/>
              </w:rPr>
              <w:t>CY, CZ, DE, DK, EE, EL, ES, FI, FR, IE, IT, LT, LU, MT, NL, PL, PT, RO, SI</w:t>
            </w:r>
            <w:r>
              <w:rPr>
                <w:noProof/>
              </w:rPr>
              <w:t>: ekonomisko vajadzību pārbaude.</w:t>
            </w:r>
          </w:p>
          <w:p w:rsidR="003E022D" w:rsidRDefault="007D19D6">
            <w:pPr>
              <w:widowControl w:val="0"/>
              <w:spacing w:before="60" w:after="60"/>
              <w:rPr>
                <w:rFonts w:eastAsia="SimSun"/>
                <w:noProof/>
              </w:rPr>
            </w:pPr>
            <w:r>
              <w:rPr>
                <w:b/>
                <w:bCs/>
                <w:noProof/>
              </w:rPr>
              <w:t>AT, BE, BG, HR, HU, LV, SK</w:t>
            </w:r>
            <w:r>
              <w:rPr>
                <w:noProof/>
              </w:rPr>
              <w:t xml:space="preserve">: </w:t>
            </w:r>
            <w:r>
              <w:rPr>
                <w:noProof/>
              </w:rPr>
              <w:t>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Vecmāšu pakalpojumi</w:t>
            </w:r>
          </w:p>
          <w:p w:rsidR="003E022D" w:rsidRDefault="007D19D6">
            <w:pPr>
              <w:widowControl w:val="0"/>
              <w:spacing w:before="60" w:after="60"/>
              <w:rPr>
                <w:rFonts w:eastAsia="SimSun"/>
                <w:noProof/>
              </w:rPr>
            </w:pPr>
            <w:r>
              <w:rPr>
                <w:noProof/>
              </w:rPr>
              <w:t>(daļa no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noProof/>
              </w:rPr>
              <w:t xml:space="preserve">IE, </w:t>
            </w:r>
            <w:r>
              <w:rPr>
                <w:b/>
                <w:bCs/>
                <w:noProof/>
              </w:rPr>
              <w:t>SE</w:t>
            </w:r>
            <w:r>
              <w:rPr>
                <w:noProof/>
              </w:rPr>
              <w:t>: nav</w:t>
            </w:r>
          </w:p>
          <w:p w:rsidR="003E022D" w:rsidRDefault="007D19D6">
            <w:pPr>
              <w:widowControl w:val="0"/>
              <w:spacing w:before="60" w:after="60"/>
              <w:rPr>
                <w:rFonts w:eastAsia="SimSun"/>
                <w:noProof/>
              </w:rPr>
            </w:pPr>
            <w:r>
              <w:rPr>
                <w:b/>
                <w:bCs/>
                <w:noProof/>
              </w:rPr>
              <w:t>AT, CY, CZ, DE, DK, EE, EL, ES, FR, IT, LT, LV, LU, MT, NL, PL, PT, RO, SI</w:t>
            </w:r>
            <w:r>
              <w:rPr>
                <w:noProof/>
              </w:rPr>
              <w:t>: ekonomisko vajadzību pārbaude.</w:t>
            </w:r>
          </w:p>
          <w:p w:rsidR="003E022D" w:rsidRDefault="007D19D6">
            <w:pPr>
              <w:widowControl w:val="0"/>
              <w:spacing w:before="60" w:after="60"/>
              <w:rPr>
                <w:rFonts w:eastAsia="SimSun"/>
                <w:noProof/>
              </w:rPr>
            </w:pPr>
            <w:r>
              <w:rPr>
                <w:b/>
                <w:bCs/>
                <w:noProof/>
              </w:rPr>
              <w:t>BE, BG, FI, HR, HU, SK</w:t>
            </w:r>
            <w:r>
              <w:rPr>
                <w:noProof/>
              </w:rPr>
              <w:t>: 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w:t>
            </w:r>
            <w:r>
              <w:rPr>
                <w:noProof/>
              </w:rPr>
              <w:t>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Māsu, fizioterapeitu un vidējā medicīniskā personāla pakalpojumi</w:t>
            </w:r>
          </w:p>
          <w:p w:rsidR="003E022D" w:rsidRDefault="007D19D6">
            <w:pPr>
              <w:widowControl w:val="0"/>
              <w:spacing w:before="60" w:after="60"/>
              <w:rPr>
                <w:rFonts w:eastAsia="SimSun"/>
                <w:noProof/>
              </w:rPr>
            </w:pPr>
            <w:r>
              <w:rPr>
                <w:noProof/>
              </w:rPr>
              <w:t>(daļa no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noProof/>
              </w:rPr>
              <w:t>IE</w:t>
            </w:r>
            <w:r>
              <w:rPr>
                <w:noProof/>
              </w:rPr>
              <w:t>, SE: nav</w:t>
            </w:r>
          </w:p>
          <w:p w:rsidR="003E022D" w:rsidRDefault="007D19D6">
            <w:pPr>
              <w:widowControl w:val="0"/>
              <w:spacing w:before="60" w:after="60"/>
              <w:rPr>
                <w:rFonts w:eastAsia="SimSun"/>
                <w:noProof/>
              </w:rPr>
            </w:pPr>
            <w:r>
              <w:rPr>
                <w:b/>
                <w:bCs/>
                <w:noProof/>
              </w:rPr>
              <w:t>AT, CY, CZ, DE, DK, EE, EL, ES, FR, IT, LT, LV, LU, MT, NL, PL, PT, RO, SI</w:t>
            </w:r>
            <w:r>
              <w:rPr>
                <w:noProof/>
              </w:rPr>
              <w:t>: ekonomisko vajadzību pārbaude.</w:t>
            </w:r>
          </w:p>
          <w:p w:rsidR="003E022D" w:rsidRDefault="007D19D6">
            <w:pPr>
              <w:widowControl w:val="0"/>
              <w:spacing w:before="60" w:after="60"/>
              <w:rPr>
                <w:rFonts w:eastAsia="SimSun"/>
                <w:noProof/>
              </w:rPr>
            </w:pPr>
            <w:r>
              <w:rPr>
                <w:b/>
                <w:bCs/>
                <w:noProof/>
              </w:rPr>
              <w:t>BE, BG, FI, HR, HU, SK</w:t>
            </w:r>
            <w:r>
              <w:rPr>
                <w:noProof/>
              </w:rPr>
              <w:t>: saistību nav</w:t>
            </w:r>
          </w:p>
          <w:p w:rsidR="003E022D" w:rsidRDefault="003E022D">
            <w:pPr>
              <w:widowControl w:val="0"/>
              <w:spacing w:before="60" w:after="60"/>
              <w:rPr>
                <w:rFonts w:eastAsia="SimSun"/>
                <w:noProof/>
                <w:u w:val="single"/>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Datorpakalpojumi un ar tiem saistītie pakalpojumi</w:t>
            </w:r>
          </w:p>
          <w:p w:rsidR="003E022D" w:rsidRDefault="007D19D6">
            <w:pPr>
              <w:widowControl w:val="0"/>
              <w:spacing w:before="60" w:after="60"/>
              <w:rPr>
                <w:rFonts w:eastAsia="SimSun"/>
                <w:noProof/>
              </w:rPr>
            </w:pPr>
            <w:r>
              <w:rPr>
                <w:noProof/>
              </w:rPr>
              <w:t>(CPC 84)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BE, DE, EE, EL, ES, FR, HR, IE, IT, LU, LV, MT, NL, PL, PT, SI, SE</w:t>
            </w:r>
            <w:r>
              <w:rPr>
                <w:noProof/>
              </w:rPr>
              <w:t>: nav</w:t>
            </w:r>
          </w:p>
          <w:p w:rsidR="003E022D" w:rsidRDefault="007D19D6">
            <w:pPr>
              <w:widowControl w:val="0"/>
              <w:spacing w:before="60" w:after="60"/>
              <w:rPr>
                <w:rFonts w:eastAsia="SimSun"/>
                <w:noProof/>
              </w:rPr>
            </w:pPr>
            <w:r>
              <w:rPr>
                <w:b/>
                <w:bCs/>
                <w:noProof/>
              </w:rPr>
              <w:t>FI</w:t>
            </w:r>
            <w:r>
              <w:rPr>
                <w:noProof/>
              </w:rPr>
              <w:t>: ierobežojumu nav, izņemot: fiziskai personai jāpierāda, ka tā ir ieguvusi speciālas zināšanas, kas</w:t>
            </w:r>
            <w:r>
              <w:rPr>
                <w:noProof/>
              </w:rPr>
              <w:t xml:space="preserve"> nepieciešamas šādu pakalpojumu sniegšanai.</w:t>
            </w:r>
          </w:p>
          <w:p w:rsidR="003E022D" w:rsidRDefault="007D19D6">
            <w:pPr>
              <w:widowControl w:val="0"/>
              <w:spacing w:before="60" w:after="60"/>
              <w:rPr>
                <w:rFonts w:eastAsia="SimSun"/>
                <w:noProof/>
              </w:rPr>
            </w:pPr>
            <w:r>
              <w:rPr>
                <w:b/>
                <w:bCs/>
                <w:noProof/>
              </w:rPr>
              <w:t>AT, BG, CZ, CY, HU,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ekonomisko vajadzību pārbaude, izņemot attiecībā uz LPS, kuru uzturēšanās periods nepārsniedz trīs mēnešus</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DE, EE, EL, FR, IE, LU, LV, MT, N</w:t>
            </w:r>
            <w:r>
              <w:rPr>
                <w:b/>
                <w:bCs/>
                <w:noProof/>
              </w:rPr>
              <w:t>L, PL, PT, SI, SE</w:t>
            </w:r>
            <w:r>
              <w:rPr>
                <w:noProof/>
              </w:rPr>
              <w:t>: nav</w:t>
            </w:r>
          </w:p>
          <w:p w:rsidR="003E022D" w:rsidRDefault="007D19D6">
            <w:pPr>
              <w:widowControl w:val="0"/>
              <w:spacing w:before="60" w:after="60"/>
              <w:rPr>
                <w:rFonts w:eastAsia="SimSun"/>
                <w:noProof/>
              </w:rPr>
            </w:pPr>
            <w:r>
              <w:rPr>
                <w:b/>
                <w:bCs/>
                <w:noProof/>
              </w:rPr>
              <w:t>FI</w:t>
            </w:r>
            <w:r>
              <w:rPr>
                <w:noProof/>
              </w:rPr>
              <w:t>: ierobežojumu nav, izņemot: fiziskai personai jāpierāda, ka tā ir ieguvusi speciālas zināšanas, kas nepieciešamas šādu pakalpojumu sniegšanai.</w:t>
            </w:r>
          </w:p>
          <w:p w:rsidR="003E022D" w:rsidRDefault="007D19D6">
            <w:pPr>
              <w:widowControl w:val="0"/>
              <w:spacing w:before="60" w:after="60"/>
              <w:rPr>
                <w:rFonts w:eastAsia="SimSun"/>
                <w:noProof/>
              </w:rPr>
            </w:pPr>
            <w:r>
              <w:rPr>
                <w:b/>
                <w:bCs/>
                <w:noProof/>
              </w:rPr>
              <w:t>AT, BE, BG, CZ, CY, DK, ES, HU, IT, LT, RO, SK</w:t>
            </w:r>
            <w:r>
              <w:rPr>
                <w:noProof/>
              </w:rPr>
              <w:t>: ekonomisko vajadzību pārbaude.</w:t>
            </w:r>
          </w:p>
          <w:p w:rsidR="003E022D" w:rsidRDefault="007D19D6">
            <w:pPr>
              <w:widowControl w:val="0"/>
              <w:spacing w:before="60" w:after="60"/>
              <w:rPr>
                <w:rFonts w:eastAsia="SimSun"/>
                <w:noProof/>
              </w:rPr>
            </w:pPr>
            <w:r>
              <w:rPr>
                <w:b/>
                <w:bCs/>
                <w:noProof/>
              </w:rPr>
              <w:t>HR</w:t>
            </w:r>
            <w:r>
              <w:rPr>
                <w:noProof/>
              </w:rPr>
              <w:t xml:space="preserve">: </w:t>
            </w:r>
            <w:r>
              <w:rPr>
                <w:noProof/>
              </w:rPr>
              <w:t>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Pētniecības un izstrādes pakalpojumi</w:t>
            </w:r>
          </w:p>
          <w:p w:rsidR="003E022D" w:rsidRDefault="007D19D6">
            <w:pPr>
              <w:widowControl w:val="0"/>
              <w:spacing w:before="60" w:after="60"/>
              <w:rPr>
                <w:rFonts w:eastAsia="SimSun"/>
                <w:noProof/>
              </w:rPr>
            </w:pPr>
            <w:r>
              <w:rPr>
                <w:noProof/>
              </w:rPr>
              <w:t>(CPC 851, 852, izņemot psihologa pakalpojumus</w:t>
            </w:r>
            <w:r>
              <w:rPr>
                <w:rFonts w:eastAsia="Calibri"/>
                <w:b/>
                <w:bCs/>
                <w:noProof/>
                <w:vertAlign w:val="superscript"/>
              </w:rPr>
              <w:footnoteReference w:id="110"/>
            </w:r>
            <w:r>
              <w:rPr>
                <w:noProof/>
              </w:rPr>
              <w:t>, un 853)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EU, izņemot NL, SE:</w:t>
            </w:r>
            <w:r>
              <w:rPr>
                <w:noProof/>
              </w:rPr>
              <w:t xml:space="preserve"> jānoslēdz uzņemšanas līgums ar apstiprinātu pētniecības organizāciju</w:t>
            </w:r>
            <w:r>
              <w:rPr>
                <w:rFonts w:eastAsia="Calibri"/>
                <w:b/>
                <w:bCs/>
                <w:noProof/>
                <w:vertAlign w:val="superscript"/>
              </w:rPr>
              <w:footnoteReference w:id="111"/>
            </w:r>
            <w:r>
              <w:rPr>
                <w:noProof/>
              </w:rPr>
              <w:t>.</w:t>
            </w:r>
          </w:p>
          <w:p w:rsidR="003E022D" w:rsidRDefault="007D19D6">
            <w:pPr>
              <w:widowControl w:val="0"/>
              <w:spacing w:before="60" w:after="60"/>
              <w:rPr>
                <w:rFonts w:eastAsia="SimSun"/>
                <w:noProof/>
              </w:rPr>
            </w:pPr>
            <w:r>
              <w:rPr>
                <w:b/>
                <w:bCs/>
                <w:noProof/>
              </w:rPr>
              <w:t>EU</w:t>
            </w:r>
            <w:r>
              <w:rPr>
                <w:noProof/>
              </w:rPr>
              <w:t xml:space="preserve">, izņemot </w:t>
            </w:r>
            <w:r>
              <w:rPr>
                <w:b/>
                <w:bCs/>
                <w:noProof/>
              </w:rPr>
              <w:t>CZ, DK, SK</w:t>
            </w:r>
            <w:r>
              <w:rPr>
                <w:noProof/>
              </w:rPr>
              <w:t>: nav</w:t>
            </w:r>
          </w:p>
          <w:p w:rsidR="003E022D" w:rsidRDefault="007D19D6">
            <w:pPr>
              <w:widowControl w:val="0"/>
              <w:spacing w:before="60" w:after="60"/>
              <w:rPr>
                <w:rFonts w:eastAsia="SimSun"/>
                <w:noProof/>
              </w:rPr>
            </w:pPr>
            <w:r>
              <w:rPr>
                <w:b/>
                <w:bCs/>
                <w:noProof/>
              </w:rPr>
              <w:t>CZ, DK, SK</w:t>
            </w:r>
            <w:r>
              <w:rPr>
                <w:noProof/>
              </w:rPr>
              <w:t xml:space="preserve">: ekonomisko </w:t>
            </w:r>
            <w:r>
              <w:rPr>
                <w:noProof/>
              </w:rPr>
              <w:t>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 izņemot NL, SE:</w:t>
            </w:r>
            <w:r>
              <w:rPr>
                <w:noProof/>
              </w:rPr>
              <w:t xml:space="preserve"> jānoslēdz uzņemšanas līgums ar apstiprinātu pētniecības organizāciju</w:t>
            </w:r>
            <w:r>
              <w:rPr>
                <w:rFonts w:eastAsia="Calibri"/>
                <w:b/>
                <w:bCs/>
                <w:noProof/>
                <w:vertAlign w:val="superscript"/>
              </w:rPr>
              <w:footnoteReference w:id="112"/>
            </w:r>
            <w:r>
              <w:rPr>
                <w:noProof/>
              </w:rPr>
              <w:t>.</w:t>
            </w:r>
          </w:p>
          <w:p w:rsidR="003E022D" w:rsidRDefault="007D19D6">
            <w:pPr>
              <w:widowControl w:val="0"/>
              <w:spacing w:before="60" w:after="60"/>
              <w:rPr>
                <w:rFonts w:eastAsia="SimSun"/>
                <w:noProof/>
              </w:rPr>
            </w:pPr>
            <w:r>
              <w:rPr>
                <w:b/>
                <w:bCs/>
                <w:noProof/>
              </w:rPr>
              <w:t>EU,</w:t>
            </w:r>
            <w:r>
              <w:rPr>
                <w:noProof/>
              </w:rPr>
              <w:t xml:space="preserve"> izņemot </w:t>
            </w:r>
            <w:r>
              <w:rPr>
                <w:b/>
                <w:bCs/>
                <w:noProof/>
              </w:rPr>
              <w:t>BE, CZ, DK, IT, SK</w:t>
            </w:r>
            <w:r>
              <w:rPr>
                <w:noProof/>
              </w:rPr>
              <w:t>: nav</w:t>
            </w:r>
          </w:p>
          <w:p w:rsidR="003E022D" w:rsidRDefault="007D19D6">
            <w:pPr>
              <w:widowControl w:val="0"/>
              <w:spacing w:before="60" w:after="60"/>
              <w:rPr>
                <w:rFonts w:eastAsia="SimSun"/>
                <w:noProof/>
              </w:rPr>
            </w:pPr>
            <w:r>
              <w:rPr>
                <w:b/>
                <w:bCs/>
                <w:noProof/>
              </w:rPr>
              <w:t>BE, CZ, DK, IT, SK</w:t>
            </w:r>
            <w:r>
              <w:rPr>
                <w:noProof/>
              </w:rPr>
              <w:t>: ekonomisko vajadzību pārbaude.</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Reklāmas pakalpojumi</w:t>
            </w:r>
          </w:p>
          <w:p w:rsidR="003E022D" w:rsidRDefault="007D19D6">
            <w:pPr>
              <w:widowControl w:val="0"/>
              <w:spacing w:before="60" w:after="60"/>
              <w:rPr>
                <w:rFonts w:eastAsia="SimSun"/>
                <w:noProof/>
                <w:u w:val="single"/>
              </w:rPr>
            </w:pPr>
            <w:r>
              <w:rPr>
                <w:noProof/>
              </w:rPr>
              <w:t>(CPC 871)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szCs w:val="24"/>
              </w:rPr>
            </w:pPr>
            <w:r>
              <w:rPr>
                <w:b/>
                <w:noProof/>
              </w:rPr>
              <w:t xml:space="preserve">BE, DE, EE, ES, </w:t>
            </w:r>
            <w:r>
              <w:rPr>
                <w:b/>
                <w:noProof/>
              </w:rPr>
              <w:t>FR, HR, IE, IT, LU, NL, PL, PT, SI, SE</w:t>
            </w:r>
            <w:r>
              <w:rPr>
                <w:noProof/>
              </w:rPr>
              <w:t>: nav</w:t>
            </w:r>
          </w:p>
          <w:p w:rsidR="003E022D" w:rsidRDefault="007D19D6">
            <w:pPr>
              <w:widowControl w:val="0"/>
              <w:spacing w:before="60" w:after="60"/>
              <w:rPr>
                <w:rFonts w:eastAsia="SimSun"/>
                <w:noProof/>
              </w:rPr>
            </w:pPr>
            <w:r>
              <w:rPr>
                <w:b/>
                <w:bCs/>
                <w:noProof/>
              </w:rPr>
              <w:t>AT, BG, CZ, CY, DK, EL, FI, HU, LT, LV, MT, RO, SK</w:t>
            </w:r>
            <w:r>
              <w:rPr>
                <w:noProof/>
              </w:rPr>
              <w:t>: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nav, izņemot </w:t>
            </w:r>
            <w:r>
              <w:rPr>
                <w:b/>
                <w:noProof/>
              </w:rPr>
              <w:t>NL</w:t>
            </w:r>
            <w:r>
              <w:rPr>
                <w:noProof/>
              </w:rPr>
              <w:t xml:space="preserve">. </w:t>
            </w:r>
            <w:r>
              <w:rPr>
                <w:b/>
                <w:noProof/>
              </w:rPr>
              <w:t>NL</w:t>
            </w:r>
            <w:r>
              <w:rPr>
                <w:noProof/>
              </w:rPr>
              <w:t>: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Tirgus un sabiedriskās domas izpētes pakalpojumi</w:t>
            </w:r>
          </w:p>
          <w:p w:rsidR="003E022D" w:rsidRDefault="007D19D6">
            <w:pPr>
              <w:widowControl w:val="0"/>
              <w:spacing w:before="60" w:after="60"/>
              <w:rPr>
                <w:rFonts w:eastAsia="SimSun"/>
                <w:noProof/>
              </w:rPr>
            </w:pPr>
            <w:r>
              <w:rPr>
                <w:noProof/>
              </w:rPr>
              <w:t>(CPC 864)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 xml:space="preserve">BE, DE, EE, ES, FR, </w:t>
            </w:r>
            <w:r>
              <w:rPr>
                <w:b/>
                <w:bCs/>
                <w:noProof/>
              </w:rPr>
              <w:t>IE, IT, LU, NL, PL, SE</w:t>
            </w:r>
            <w:r>
              <w:rPr>
                <w:noProof/>
              </w:rPr>
              <w:t>: nav</w:t>
            </w:r>
          </w:p>
          <w:p w:rsidR="003E022D" w:rsidRDefault="007D19D6">
            <w:pPr>
              <w:widowControl w:val="0"/>
              <w:spacing w:before="60" w:after="60"/>
              <w:rPr>
                <w:rFonts w:eastAsia="SimSun"/>
                <w:noProof/>
              </w:rPr>
            </w:pPr>
            <w:r>
              <w:rPr>
                <w:b/>
                <w:bCs/>
                <w:noProof/>
              </w:rPr>
              <w:t>AT, BG, CZ, CY, DK, EL, FI, HR, LV, MT, RO, SI, SK</w:t>
            </w:r>
            <w:r>
              <w:rPr>
                <w:noProof/>
              </w:rPr>
              <w:t>: ekonomisko vajadzību pārbaude.</w:t>
            </w:r>
          </w:p>
          <w:p w:rsidR="003E022D" w:rsidRDefault="007D19D6">
            <w:pPr>
              <w:widowControl w:val="0"/>
              <w:spacing w:before="60" w:after="60"/>
              <w:rPr>
                <w:rFonts w:eastAsia="SimSun"/>
                <w:noProof/>
              </w:rPr>
            </w:pPr>
            <w:r>
              <w:rPr>
                <w:b/>
                <w:bCs/>
                <w:noProof/>
              </w:rPr>
              <w:t>PT</w:t>
            </w:r>
            <w:r>
              <w:rPr>
                <w:noProof/>
              </w:rPr>
              <w:t>: ierobežojumu nav, izņemot attiecībā uz sabiedriskās domas izpētes pakalpojumiem (CPC 86402): saistību nav</w:t>
            </w:r>
          </w:p>
          <w:p w:rsidR="003E022D" w:rsidRDefault="007D19D6">
            <w:pPr>
              <w:widowControl w:val="0"/>
              <w:spacing w:before="60" w:after="60"/>
              <w:rPr>
                <w:rFonts w:eastAsia="SimSun"/>
                <w:noProof/>
              </w:rPr>
            </w:pPr>
            <w:r>
              <w:rPr>
                <w:b/>
                <w:bCs/>
                <w:noProof/>
              </w:rPr>
              <w:t>HU, LT</w:t>
            </w:r>
            <w:r>
              <w:rPr>
                <w:noProof/>
              </w:rPr>
              <w:t>: ekonomisko vajadzību pārbau</w:t>
            </w:r>
            <w:r>
              <w:rPr>
                <w:noProof/>
              </w:rPr>
              <w:t>de, izņemot attiecībā uz sabiedriskās domas izpētes pakalpojumiem (CPC 86402) 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noProof/>
              </w:rPr>
              <w:t>DE, EE, FR, IE, LU, NL, PL, SE</w:t>
            </w:r>
            <w:r>
              <w:rPr>
                <w:noProof/>
              </w:rPr>
              <w:t>: nav</w:t>
            </w:r>
          </w:p>
          <w:p w:rsidR="003E022D" w:rsidRDefault="007D19D6">
            <w:pPr>
              <w:widowControl w:val="0"/>
              <w:spacing w:before="60" w:after="60"/>
              <w:rPr>
                <w:rFonts w:eastAsia="SimSun"/>
                <w:noProof/>
              </w:rPr>
            </w:pPr>
            <w:r>
              <w:rPr>
                <w:b/>
                <w:bCs/>
                <w:noProof/>
              </w:rPr>
              <w:t>AT, BE, BG, CZ, CY, DK, EL, ES, FI, HR, IT, LV, MT, RO, SI, SK</w:t>
            </w:r>
            <w:r>
              <w:rPr>
                <w:noProof/>
              </w:rPr>
              <w:t>: ekonomisko vajadzību pārbaude.</w:t>
            </w:r>
          </w:p>
          <w:p w:rsidR="003E022D" w:rsidRDefault="007D19D6">
            <w:pPr>
              <w:widowControl w:val="0"/>
              <w:spacing w:before="60" w:after="60"/>
              <w:rPr>
                <w:rFonts w:eastAsia="SimSun"/>
                <w:noProof/>
              </w:rPr>
            </w:pPr>
            <w:r>
              <w:rPr>
                <w:b/>
                <w:bCs/>
                <w:noProof/>
              </w:rPr>
              <w:t>PT</w:t>
            </w:r>
            <w:r>
              <w:rPr>
                <w:noProof/>
              </w:rPr>
              <w:t>: ierobežojumu nav, izņemot</w:t>
            </w:r>
            <w:r>
              <w:rPr>
                <w:noProof/>
              </w:rPr>
              <w:t xml:space="preserve"> attiecībā uz sabiedriskās domas izpētes pakalpojumiem (CPC 86402): saistību nav</w:t>
            </w:r>
          </w:p>
          <w:p w:rsidR="003E022D" w:rsidRDefault="007D19D6">
            <w:pPr>
              <w:widowControl w:val="0"/>
              <w:spacing w:before="60" w:after="60"/>
              <w:rPr>
                <w:rFonts w:eastAsia="SimSun"/>
                <w:noProof/>
              </w:rPr>
            </w:pPr>
            <w:r>
              <w:rPr>
                <w:b/>
                <w:bCs/>
                <w:noProof/>
              </w:rPr>
              <w:t>HU, LT</w:t>
            </w:r>
            <w:r>
              <w:rPr>
                <w:noProof/>
              </w:rPr>
              <w:t>: ekonomisko vajadzību pārbaude, izņemot attiecībā uz sabiedriskās domas izpētes pakalpojumiem (CPC 86402)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Vadības konsultāciju pakalpojumi</w:t>
            </w:r>
          </w:p>
          <w:p w:rsidR="003E022D" w:rsidRDefault="007D19D6">
            <w:pPr>
              <w:widowControl w:val="0"/>
              <w:spacing w:before="60" w:after="60"/>
              <w:rPr>
                <w:rFonts w:eastAsia="SimSun"/>
                <w:noProof/>
              </w:rPr>
            </w:pPr>
            <w:r>
              <w:rPr>
                <w:noProof/>
              </w:rPr>
              <w:t>(CPC 865)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BE, DE, EE, EL, ES, FI, FR, HR, IE, IT, LV, LU, MT, NL, PL, PT, SI, SE</w:t>
            </w:r>
            <w:r>
              <w:rPr>
                <w:noProof/>
              </w:rPr>
              <w:t>: nav</w:t>
            </w:r>
          </w:p>
          <w:p w:rsidR="003E022D" w:rsidRDefault="007D19D6">
            <w:pPr>
              <w:widowControl w:val="0"/>
              <w:spacing w:before="60" w:after="60"/>
              <w:rPr>
                <w:rFonts w:eastAsia="SimSun"/>
                <w:noProof/>
              </w:rPr>
            </w:pPr>
            <w:r>
              <w:rPr>
                <w:b/>
                <w:bCs/>
                <w:noProof/>
              </w:rPr>
              <w:t>AT, BG, CZ, CY, HU,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ekonomisko vajadzību pārbaude, izņemot attiecībā uz LPS, kuru uzturēšanās periods nepārsniedz trīs mēnešus</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CY, DE, EE, EL, FI, FR, IE, LV, LU, MT, NL, PL, PT, SI, SE:</w:t>
            </w:r>
            <w:r>
              <w:rPr>
                <w:noProof/>
              </w:rPr>
              <w:t xml:space="preserve"> nav</w:t>
            </w:r>
          </w:p>
          <w:p w:rsidR="003E022D" w:rsidRDefault="007D19D6">
            <w:pPr>
              <w:widowControl w:val="0"/>
              <w:spacing w:before="60" w:after="60"/>
              <w:rPr>
                <w:rFonts w:eastAsia="SimSun"/>
                <w:noProof/>
              </w:rPr>
            </w:pPr>
            <w:r>
              <w:rPr>
                <w:b/>
                <w:bCs/>
                <w:noProof/>
              </w:rPr>
              <w:t>AT, BE, BG, CZ, DK, ES, HR, HU, IT, LT, RO, SK</w:t>
            </w:r>
            <w:r>
              <w:rPr>
                <w:noProof/>
              </w:rPr>
              <w:t>: ekonomisko vajadzību pārbaude.</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Ar vadības konsultācijām saistīti pakalpojumi</w:t>
            </w:r>
          </w:p>
          <w:p w:rsidR="003E022D" w:rsidRDefault="007D19D6">
            <w:pPr>
              <w:widowControl w:val="0"/>
              <w:spacing w:before="60" w:after="60"/>
              <w:rPr>
                <w:rFonts w:eastAsia="SimSun"/>
                <w:noProof/>
              </w:rPr>
            </w:pPr>
            <w:r>
              <w:rPr>
                <w:noProof/>
              </w:rPr>
              <w:t>(CPC 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b/>
                <w:bCs/>
                <w:noProof/>
              </w:rPr>
              <w:t>BE, DE, EE, EL, ES, FI, FR, HR, IE, IT, LV, LU, MT,</w:t>
            </w:r>
            <w:r>
              <w:rPr>
                <w:b/>
                <w:bCs/>
                <w:noProof/>
              </w:rPr>
              <w:t xml:space="preserve"> NL, PL, PT, SI, SE</w:t>
            </w:r>
            <w:r>
              <w:rPr>
                <w:noProof/>
              </w:rPr>
              <w:t>: nav</w:t>
            </w:r>
          </w:p>
          <w:p w:rsidR="003E022D" w:rsidRDefault="007D19D6">
            <w:pPr>
              <w:widowControl w:val="0"/>
              <w:spacing w:before="60" w:after="60"/>
              <w:rPr>
                <w:rFonts w:eastAsia="SimSun"/>
                <w:noProof/>
              </w:rPr>
            </w:pPr>
            <w:r>
              <w:rPr>
                <w:b/>
                <w:bCs/>
                <w:noProof/>
              </w:rPr>
              <w:t>AT, BG, CZ, CY,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ekonomisko vajadzību pārbaude, izņemot attiecībā uz LPS, kuru uzturēšanās periods nepārsniedz trīs mēnešus</w:t>
            </w:r>
          </w:p>
          <w:p w:rsidR="003E022D" w:rsidRDefault="007D19D6">
            <w:pPr>
              <w:widowControl w:val="0"/>
              <w:spacing w:before="60" w:after="60"/>
              <w:rPr>
                <w:rFonts w:eastAsia="SimSun"/>
                <w:noProof/>
              </w:rPr>
            </w:pPr>
            <w:r>
              <w:rPr>
                <w:b/>
                <w:bCs/>
                <w:noProof/>
              </w:rPr>
              <w:t>HU</w:t>
            </w:r>
            <w:r>
              <w:rPr>
                <w:noProof/>
              </w:rPr>
              <w:t>: ekonomisko vajadzību pārbaude, izņemot attiecībā uz šķīrē</w:t>
            </w:r>
            <w:r>
              <w:rPr>
                <w:noProof/>
              </w:rPr>
              <w:t>jtiesas un samierināšanas pakalpojumiem (CPC 86602): 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CY, DE, EE, EL, FI, FR, IE, LV, LU, MT, NL, PL, PT, SI, SE</w:t>
            </w:r>
            <w:r>
              <w:rPr>
                <w:noProof/>
              </w:rPr>
              <w:t>: nav</w:t>
            </w:r>
          </w:p>
          <w:p w:rsidR="003E022D" w:rsidRDefault="007D19D6">
            <w:pPr>
              <w:widowControl w:val="0"/>
              <w:spacing w:before="60" w:after="60"/>
              <w:rPr>
                <w:rFonts w:eastAsia="SimSun"/>
                <w:noProof/>
              </w:rPr>
            </w:pPr>
            <w:r>
              <w:rPr>
                <w:b/>
                <w:bCs/>
                <w:noProof/>
              </w:rPr>
              <w:t>AT, BE, BG, CZ, DK, ES, HR, IT, LT, RO, SK</w:t>
            </w:r>
            <w:r>
              <w:rPr>
                <w:noProof/>
              </w:rPr>
              <w:t>: ekonomisko vajadzību pārbaude</w:t>
            </w:r>
          </w:p>
          <w:p w:rsidR="003E022D" w:rsidRDefault="007D19D6">
            <w:pPr>
              <w:widowControl w:val="0"/>
              <w:spacing w:before="60" w:after="60"/>
              <w:rPr>
                <w:rFonts w:eastAsia="SimSun"/>
                <w:noProof/>
              </w:rPr>
            </w:pPr>
            <w:r>
              <w:rPr>
                <w:b/>
                <w:bCs/>
                <w:noProof/>
              </w:rPr>
              <w:t>HU</w:t>
            </w:r>
            <w:r>
              <w:rPr>
                <w:noProof/>
              </w:rPr>
              <w:t xml:space="preserve">: ekonomisko vajadzību pārbaude, izņemot </w:t>
            </w:r>
            <w:r>
              <w:rPr>
                <w:noProof/>
              </w:rPr>
              <w:t>attiecībā uz šķīrējtiesas un samierināšanas pakalpojumiem (CPC 86602):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Tehnoloģisko pārbaužu un analīžu pakalpojumi</w:t>
            </w:r>
          </w:p>
          <w:p w:rsidR="003E022D" w:rsidRDefault="007D19D6">
            <w:pPr>
              <w:widowControl w:val="0"/>
              <w:spacing w:before="60" w:after="60"/>
              <w:rPr>
                <w:rFonts w:eastAsia="SimSun"/>
                <w:noProof/>
              </w:rPr>
            </w:pPr>
            <w:r>
              <w:rPr>
                <w:noProof/>
              </w:rPr>
              <w:t>(CPC 8676)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BE, DE, EE, EL, ES, FR, HR, IE, IT, LU, NL, PL, SI, SE</w:t>
            </w:r>
            <w:r>
              <w:rPr>
                <w:noProof/>
              </w:rPr>
              <w:t>: nav</w:t>
            </w:r>
          </w:p>
          <w:p w:rsidR="003E022D" w:rsidRDefault="007D19D6">
            <w:pPr>
              <w:widowControl w:val="0"/>
              <w:spacing w:before="60" w:after="60"/>
              <w:rPr>
                <w:rFonts w:eastAsia="SimSun"/>
                <w:noProof/>
              </w:rPr>
            </w:pPr>
            <w:r>
              <w:rPr>
                <w:b/>
                <w:bCs/>
                <w:noProof/>
              </w:rPr>
              <w:t>AT, BG, CZ, CY, FI, HU, LT, LV, MT, PT, RO, SK</w:t>
            </w:r>
            <w:r>
              <w:rPr>
                <w:noProof/>
              </w:rPr>
              <w:t>: ek</w:t>
            </w:r>
            <w:r>
              <w:rPr>
                <w:noProof/>
              </w:rPr>
              <w:t>onomisko vajadzību pārbaude.</w:t>
            </w:r>
          </w:p>
          <w:p w:rsidR="003E022D" w:rsidRDefault="007D19D6">
            <w:pPr>
              <w:widowControl w:val="0"/>
              <w:spacing w:before="60" w:after="60"/>
              <w:rPr>
                <w:rFonts w:eastAsia="SimSun"/>
                <w:noProof/>
              </w:rPr>
            </w:pPr>
            <w:r>
              <w:rPr>
                <w:b/>
                <w:bCs/>
                <w:noProof/>
              </w:rPr>
              <w:t>DK</w:t>
            </w:r>
            <w:r>
              <w:rPr>
                <w:noProof/>
              </w:rPr>
              <w:t>: ekonomisko vajadzību pārbaude, izņemot attiecībā uz LPS, kuru uzturēšanās periods nepārsniedz trīs mēnešus</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nav, izņemot </w:t>
            </w:r>
            <w:r>
              <w:rPr>
                <w:b/>
                <w:noProof/>
              </w:rPr>
              <w:t>NL</w:t>
            </w:r>
            <w:r>
              <w:rPr>
                <w:noProof/>
              </w:rPr>
              <w:t xml:space="preserve">. </w:t>
            </w:r>
            <w:r>
              <w:rPr>
                <w:b/>
                <w:noProof/>
              </w:rPr>
              <w:t>NL</w:t>
            </w:r>
            <w:r>
              <w:rPr>
                <w:noProof/>
              </w:rPr>
              <w:t>: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Saistītie zinātnisko un tehnisko konsultāciju pakalpojumi</w:t>
            </w:r>
          </w:p>
          <w:p w:rsidR="003E022D" w:rsidRDefault="007D19D6">
            <w:pPr>
              <w:widowControl w:val="0"/>
              <w:spacing w:before="60" w:after="60"/>
              <w:rPr>
                <w:rFonts w:eastAsia="SimSun"/>
                <w:noProof/>
              </w:rPr>
            </w:pPr>
            <w:r>
              <w:rPr>
                <w:noProof/>
              </w:rPr>
              <w:t>(CPC 8675)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r>
              <w:rPr>
                <w:noProof/>
                <w:u w:val="single"/>
              </w:rPr>
              <w:t>:</w:t>
            </w:r>
          </w:p>
          <w:p w:rsidR="003E022D" w:rsidRDefault="007D19D6">
            <w:pPr>
              <w:widowControl w:val="0"/>
              <w:spacing w:before="60" w:after="60"/>
              <w:rPr>
                <w:rFonts w:eastAsia="SimSun"/>
                <w:noProof/>
              </w:rPr>
            </w:pPr>
            <w:r>
              <w:rPr>
                <w:b/>
                <w:bCs/>
                <w:noProof/>
              </w:rPr>
              <w:t>BE, EE, EL, ES, HR, IE, IT, LU, NL, PL, SI, SE</w:t>
            </w:r>
            <w:r>
              <w:rPr>
                <w:noProof/>
              </w:rPr>
              <w:t>: nav</w:t>
            </w:r>
          </w:p>
          <w:p w:rsidR="003E022D" w:rsidRDefault="007D19D6">
            <w:pPr>
              <w:widowControl w:val="0"/>
              <w:spacing w:before="60" w:after="60"/>
              <w:rPr>
                <w:rFonts w:eastAsia="SimSun"/>
                <w:noProof/>
              </w:rPr>
            </w:pPr>
            <w:r>
              <w:rPr>
                <w:b/>
                <w:bCs/>
                <w:noProof/>
              </w:rPr>
              <w:t>AT, CZ,CY, DE, DK, FI, HU, LT, LV, MT, PT, RO, SK</w:t>
            </w:r>
            <w:r>
              <w:rPr>
                <w:noProof/>
              </w:rPr>
              <w:t>: ekonomisko vajadzību pārbaude.</w:t>
            </w:r>
          </w:p>
          <w:p w:rsidR="003E022D" w:rsidRDefault="007D19D6">
            <w:pPr>
              <w:widowControl w:val="0"/>
              <w:spacing w:before="60" w:after="60"/>
              <w:rPr>
                <w:rFonts w:eastAsia="SimSun"/>
                <w:noProof/>
              </w:rPr>
            </w:pPr>
            <w:r>
              <w:rPr>
                <w:b/>
                <w:bCs/>
                <w:noProof/>
              </w:rPr>
              <w:t>DE</w:t>
            </w:r>
            <w:r>
              <w:rPr>
                <w:noProof/>
              </w:rPr>
              <w:t>: ierobežojumu nav, izņemot attiecībā uz valsts ieceltiem mērniekiem: saistību nav</w:t>
            </w:r>
          </w:p>
          <w:p w:rsidR="003E022D" w:rsidRDefault="007D19D6">
            <w:pPr>
              <w:widowControl w:val="0"/>
              <w:spacing w:before="60" w:after="60"/>
              <w:rPr>
                <w:rFonts w:eastAsia="SimSun"/>
                <w:noProof/>
              </w:rPr>
            </w:pPr>
            <w:r>
              <w:rPr>
                <w:b/>
                <w:bCs/>
                <w:noProof/>
              </w:rPr>
              <w:t>FR</w:t>
            </w:r>
            <w:r>
              <w:rPr>
                <w:noProof/>
              </w:rPr>
              <w:t xml:space="preserve">: ierobežojumu nav, attiecībā uz </w:t>
            </w:r>
            <w:r>
              <w:rPr>
                <w:noProof/>
              </w:rPr>
              <w:t>mērniecības darbību veikšanu, kas saistītas ar īpašumtiesību nostiprināšanu un tiesībām uz zemi: saistību nav</w:t>
            </w:r>
          </w:p>
          <w:p w:rsidR="003E022D" w:rsidRDefault="007D19D6">
            <w:pPr>
              <w:widowControl w:val="0"/>
              <w:spacing w:before="60" w:after="60"/>
              <w:rPr>
                <w:rFonts w:eastAsia="SimSun"/>
                <w:noProof/>
              </w:rPr>
            </w:pPr>
            <w:r>
              <w:rPr>
                <w:b/>
                <w:bCs/>
                <w:noProof/>
              </w:rPr>
              <w:t>BG:</w:t>
            </w:r>
            <w:r>
              <w:rPr>
                <w:noProof/>
              </w:rPr>
              <w:t xml:space="preserve"> 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nav, izņemot </w:t>
            </w:r>
            <w:r>
              <w:rPr>
                <w:b/>
                <w:noProof/>
              </w:rPr>
              <w:t>NL</w:t>
            </w:r>
            <w:r>
              <w:rPr>
                <w:noProof/>
              </w:rPr>
              <w:t xml:space="preserve">. </w:t>
            </w:r>
            <w:r>
              <w:rPr>
                <w:b/>
                <w:noProof/>
              </w:rPr>
              <w:t>NL</w:t>
            </w:r>
            <w:r>
              <w:rPr>
                <w:noProof/>
              </w:rPr>
              <w:t>: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bCs/>
                <w:noProof/>
              </w:rPr>
              <w:t>Ieguves rūpniecība</w:t>
            </w:r>
            <w:r>
              <w:rPr>
                <w:noProof/>
              </w:rPr>
              <w:t xml:space="preserve"> (CPC 883, tikai padomdevēju un konsultāciju pakalpojumi)</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 xml:space="preserve">BE, </w:t>
            </w:r>
            <w:r>
              <w:rPr>
                <w:b/>
                <w:bCs/>
                <w:noProof/>
              </w:rPr>
              <w:t>DE, EE, EL, ES, FI, FR, HR, IE, IT, LV, LU, MT, NL, PL, PT, SI, SE</w:t>
            </w:r>
            <w:r>
              <w:rPr>
                <w:noProof/>
              </w:rPr>
              <w:t>: nav</w:t>
            </w:r>
          </w:p>
          <w:p w:rsidR="003E022D" w:rsidRDefault="007D19D6">
            <w:pPr>
              <w:widowControl w:val="0"/>
              <w:spacing w:before="60" w:after="60"/>
              <w:rPr>
                <w:rFonts w:eastAsia="SimSun"/>
                <w:noProof/>
              </w:rPr>
            </w:pPr>
            <w:r>
              <w:rPr>
                <w:b/>
                <w:bCs/>
                <w:noProof/>
              </w:rPr>
              <w:t>AT, BG, CZ,CY, HU,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ekonomisko vajadzību pārbaude, izņemot attiecībā uz LPS, kuru uzturēšanās periods nepārsniedz trīs mēnešus</w:t>
            </w:r>
          </w:p>
          <w:p w:rsidR="003E022D" w:rsidRDefault="003E022D">
            <w:pPr>
              <w:widowControl w:val="0"/>
              <w:spacing w:before="60" w:after="60"/>
              <w:rPr>
                <w:rFonts w:eastAsia="SimSun"/>
                <w:noProof/>
                <w:u w:val="single"/>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b/>
                <w:bCs/>
                <w:noProof/>
              </w:rPr>
              <w:t>DE, EE</w:t>
            </w:r>
            <w:r>
              <w:rPr>
                <w:b/>
                <w:bCs/>
                <w:noProof/>
              </w:rPr>
              <w:t>, EL, FI, FR, HR, IE, LV, LU, MT, NL, PT, SI, SE</w:t>
            </w:r>
            <w:r>
              <w:rPr>
                <w:noProof/>
              </w:rPr>
              <w:t>: nav</w:t>
            </w:r>
          </w:p>
          <w:p w:rsidR="003E022D" w:rsidRDefault="007D19D6">
            <w:pPr>
              <w:widowControl w:val="0"/>
              <w:spacing w:before="60" w:after="60"/>
              <w:rPr>
                <w:rFonts w:eastAsia="SimSun"/>
                <w:noProof/>
              </w:rPr>
            </w:pPr>
            <w:r>
              <w:rPr>
                <w:b/>
                <w:bCs/>
                <w:noProof/>
              </w:rPr>
              <w:t>AT, BE, BG, CZ, CY, DK, ES, HU, IT, LT, PL, RO, SK</w:t>
            </w:r>
            <w:r>
              <w:rPr>
                <w:noProof/>
              </w:rPr>
              <w:t>: ekonomisko vajadzību pārbaude.</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Kuģu apkope un remonts</w:t>
            </w:r>
          </w:p>
          <w:p w:rsidR="003E022D" w:rsidRDefault="007D19D6">
            <w:pPr>
              <w:widowControl w:val="0"/>
              <w:spacing w:before="60" w:after="60"/>
              <w:rPr>
                <w:rFonts w:eastAsia="SimSun"/>
                <w:noProof/>
              </w:rPr>
            </w:pPr>
            <w:r>
              <w:rPr>
                <w:noProof/>
              </w:rPr>
              <w:t>(daļa no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szCs w:val="24"/>
              </w:rPr>
            </w:pPr>
            <w:r>
              <w:rPr>
                <w:b/>
                <w:noProof/>
              </w:rPr>
              <w:t>BE, EE, EL, ES, FR, HR, IT, LV, LU, NL, PL, PT, SI, SE</w:t>
            </w:r>
            <w:r>
              <w:rPr>
                <w:noProof/>
              </w:rPr>
              <w:t>: nav</w:t>
            </w:r>
          </w:p>
          <w:p w:rsidR="003E022D" w:rsidRDefault="007D19D6">
            <w:pPr>
              <w:widowControl w:val="0"/>
              <w:spacing w:before="60" w:after="60"/>
              <w:rPr>
                <w:rFonts w:eastAsia="SimSun"/>
                <w:noProof/>
              </w:rPr>
            </w:pPr>
            <w:r>
              <w:rPr>
                <w:b/>
                <w:bCs/>
                <w:noProof/>
              </w:rPr>
              <w:t>AT, BG, CZ,</w:t>
            </w:r>
            <w:r>
              <w:rPr>
                <w:b/>
                <w:bCs/>
                <w:noProof/>
              </w:rPr>
              <w:t xml:space="preserve"> CY, DE, DK, FI, HU, IE, LT, MT, RO, SK</w:t>
            </w:r>
            <w:r>
              <w:rPr>
                <w:noProof/>
              </w:rPr>
              <w:t>: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nav, izņemot </w:t>
            </w:r>
            <w:r>
              <w:rPr>
                <w:b/>
                <w:noProof/>
              </w:rPr>
              <w:t>NL</w:t>
            </w:r>
            <w:r>
              <w:rPr>
                <w:noProof/>
              </w:rPr>
              <w:t xml:space="preserve">. </w:t>
            </w:r>
            <w:r>
              <w:rPr>
                <w:b/>
                <w:noProof/>
              </w:rPr>
              <w:t>NL</w:t>
            </w:r>
            <w:r>
              <w:rPr>
                <w:noProof/>
              </w:rPr>
              <w:t>: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Dzelzceļa transporta aprīkojuma apkope un remonts</w:t>
            </w:r>
          </w:p>
          <w:p w:rsidR="003E022D" w:rsidRDefault="007D19D6">
            <w:pPr>
              <w:widowControl w:val="0"/>
              <w:spacing w:before="60" w:after="60"/>
              <w:rPr>
                <w:rFonts w:eastAsia="SimSun"/>
                <w:noProof/>
              </w:rPr>
            </w:pPr>
            <w:r>
              <w:rPr>
                <w:noProof/>
              </w:rPr>
              <w:t>(daļa no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szCs w:val="24"/>
              </w:rPr>
            </w:pPr>
            <w:r>
              <w:rPr>
                <w:b/>
                <w:noProof/>
              </w:rPr>
              <w:t>BE, EE, EL, ES, FR, HR, IT, LV, LU, MT, NL, PL, PT, SI, SE</w:t>
            </w:r>
            <w:r>
              <w:rPr>
                <w:noProof/>
              </w:rPr>
              <w:t>: nav</w:t>
            </w:r>
          </w:p>
          <w:p w:rsidR="003E022D" w:rsidRDefault="007D19D6">
            <w:pPr>
              <w:widowControl w:val="0"/>
              <w:spacing w:before="60" w:after="60"/>
              <w:rPr>
                <w:rFonts w:eastAsia="SimSun"/>
                <w:noProof/>
              </w:rPr>
            </w:pPr>
            <w:r>
              <w:rPr>
                <w:b/>
                <w:bCs/>
                <w:noProof/>
              </w:rPr>
              <w:t>AT, BG, CZ, CY, DE, DK, FI, HU, IE, LT, RO, SK</w:t>
            </w:r>
            <w:r>
              <w:rPr>
                <w:noProof/>
              </w:rPr>
              <w:t>: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nav, izņemot </w:t>
            </w:r>
            <w:r>
              <w:rPr>
                <w:b/>
                <w:noProof/>
              </w:rPr>
              <w:t>NL</w:t>
            </w:r>
            <w:r>
              <w:rPr>
                <w:noProof/>
              </w:rPr>
              <w:t xml:space="preserve">. </w:t>
            </w:r>
            <w:r>
              <w:rPr>
                <w:b/>
                <w:noProof/>
              </w:rPr>
              <w:t>NL</w:t>
            </w:r>
            <w:r>
              <w:rPr>
                <w:noProof/>
              </w:rPr>
              <w:t>: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Mehānisko transportlīdzekļu, motociklu, sniega motociklu un autopārvadājumu aprīkojuma apkope un remonts</w:t>
            </w:r>
          </w:p>
          <w:p w:rsidR="003E022D" w:rsidRDefault="007D19D6">
            <w:pPr>
              <w:widowControl w:val="0"/>
              <w:spacing w:before="60" w:after="60"/>
              <w:rPr>
                <w:rFonts w:eastAsia="SimSun"/>
                <w:noProof/>
              </w:rPr>
            </w:pPr>
            <w:r>
              <w:rPr>
                <w:noProof/>
              </w:rPr>
              <w:t xml:space="preserve">(CPC 6112, 6122, daļa no </w:t>
            </w:r>
            <w:r>
              <w:rPr>
                <w:noProof/>
              </w:rPr>
              <w:t>8867 un daļa no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szCs w:val="24"/>
              </w:rPr>
            </w:pPr>
            <w:r>
              <w:rPr>
                <w:b/>
                <w:noProof/>
              </w:rPr>
              <w:t>BE, EE, EL, ES, FR, HR, IT, LV, LU, NL, PL, PT, SI, SE</w:t>
            </w:r>
            <w:r>
              <w:rPr>
                <w:noProof/>
              </w:rPr>
              <w:t>: nav</w:t>
            </w:r>
          </w:p>
          <w:p w:rsidR="003E022D" w:rsidRDefault="007D19D6">
            <w:pPr>
              <w:widowControl w:val="0"/>
              <w:spacing w:before="60" w:after="60"/>
              <w:rPr>
                <w:rFonts w:eastAsia="SimSun"/>
                <w:noProof/>
              </w:rPr>
            </w:pPr>
            <w:r>
              <w:rPr>
                <w:b/>
                <w:bCs/>
                <w:noProof/>
              </w:rPr>
              <w:t>AT, BG, CZ, CY, DE, DK, FI, HU, IE, LT, MT, RO, SK</w:t>
            </w:r>
            <w:r>
              <w:rPr>
                <w:noProof/>
              </w:rPr>
              <w:t>: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nav, izņemot </w:t>
            </w:r>
            <w:r>
              <w:rPr>
                <w:b/>
                <w:noProof/>
              </w:rPr>
              <w:t>NL</w:t>
            </w:r>
            <w:r>
              <w:rPr>
                <w:noProof/>
              </w:rPr>
              <w:t xml:space="preserve">. </w:t>
            </w:r>
            <w:r>
              <w:rPr>
                <w:b/>
                <w:noProof/>
              </w:rPr>
              <w:t>NL</w:t>
            </w:r>
            <w:r>
              <w:rPr>
                <w:noProof/>
              </w:rPr>
              <w:t>: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Gaisa kuģu un to daļu apkope un remonts</w:t>
            </w:r>
          </w:p>
          <w:p w:rsidR="003E022D" w:rsidRDefault="007D19D6">
            <w:pPr>
              <w:widowControl w:val="0"/>
              <w:spacing w:before="60" w:after="60"/>
              <w:rPr>
                <w:rFonts w:eastAsia="SimSun"/>
                <w:noProof/>
              </w:rPr>
            </w:pPr>
            <w:r>
              <w:rPr>
                <w:noProof/>
              </w:rPr>
              <w:t>(d</w:t>
            </w:r>
            <w:r>
              <w:rPr>
                <w:noProof/>
              </w:rPr>
              <w:t>aļa no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szCs w:val="24"/>
              </w:rPr>
            </w:pPr>
            <w:r>
              <w:rPr>
                <w:b/>
                <w:noProof/>
              </w:rPr>
              <w:t>BE, EE, EL, ES, FR, HR, IT, LV, LU, MT, NL, PL, PT, SI, SE</w:t>
            </w:r>
            <w:r>
              <w:rPr>
                <w:noProof/>
              </w:rPr>
              <w:t>: nav</w:t>
            </w:r>
          </w:p>
          <w:p w:rsidR="003E022D" w:rsidRDefault="007D19D6">
            <w:pPr>
              <w:widowControl w:val="0"/>
              <w:spacing w:before="60" w:after="60"/>
              <w:rPr>
                <w:rFonts w:eastAsia="SimSun"/>
                <w:noProof/>
              </w:rPr>
            </w:pPr>
            <w:r>
              <w:rPr>
                <w:b/>
                <w:bCs/>
                <w:noProof/>
              </w:rPr>
              <w:t>AT, BG, CZ, CY, DE, DK, FI, HU, IE, LT, RO, SK</w:t>
            </w:r>
            <w:r>
              <w:rPr>
                <w:noProof/>
              </w:rPr>
              <w:t>: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nav, izņemot </w:t>
            </w:r>
            <w:r>
              <w:rPr>
                <w:b/>
                <w:noProof/>
              </w:rPr>
              <w:t>NL</w:t>
            </w:r>
            <w:r>
              <w:rPr>
                <w:noProof/>
              </w:rPr>
              <w:t xml:space="preserve">. </w:t>
            </w:r>
            <w:r>
              <w:rPr>
                <w:b/>
                <w:noProof/>
              </w:rPr>
              <w:t>NL</w:t>
            </w:r>
            <w:r>
              <w:rPr>
                <w:noProof/>
              </w:rPr>
              <w:t>: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noProof/>
              </w:rPr>
              <w:t xml:space="preserve">Metālizstrādājumu, (ar biroju nesaistītu) </w:t>
            </w:r>
            <w:r>
              <w:rPr>
                <w:b/>
                <w:noProof/>
              </w:rPr>
              <w:t>mehānismu, (ar pārvadājumiem un biroju) nesaistītu iekārtu un individuālās lietošanas priekšmetu un mājsaimniecības piederumu apkopes un remonta pakalpojumi</w:t>
            </w:r>
            <w:r>
              <w:rPr>
                <w:rFonts w:eastAsia="Calibri"/>
                <w:b/>
                <w:noProof/>
                <w:vertAlign w:val="superscript"/>
                <w:lang w:eastAsia="fr-BE"/>
              </w:rPr>
              <w:footnoteReference w:id="113"/>
            </w:r>
          </w:p>
          <w:p w:rsidR="003E022D" w:rsidRDefault="007D19D6">
            <w:pPr>
              <w:widowControl w:val="0"/>
              <w:spacing w:before="60" w:after="60"/>
              <w:rPr>
                <w:rFonts w:eastAsia="SimSun"/>
                <w:noProof/>
              </w:rPr>
            </w:pPr>
            <w:r>
              <w:rPr>
                <w:noProof/>
              </w:rPr>
              <w:t>(CPC 633, 7545, 8861, 8862, 8864, 8865 un 8866)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szCs w:val="24"/>
              </w:rPr>
            </w:pPr>
            <w:r>
              <w:rPr>
                <w:b/>
                <w:noProof/>
              </w:rPr>
              <w:t>BE, EE, EL, ES, FR, HR, IT, LV, LU, MT, NL, P</w:t>
            </w:r>
            <w:r>
              <w:rPr>
                <w:b/>
                <w:noProof/>
              </w:rPr>
              <w:t>L, PT, SI, SE</w:t>
            </w:r>
            <w:r>
              <w:rPr>
                <w:noProof/>
              </w:rPr>
              <w:t>: nav</w:t>
            </w:r>
          </w:p>
          <w:p w:rsidR="003E022D" w:rsidRDefault="007D19D6">
            <w:pPr>
              <w:widowControl w:val="0"/>
              <w:spacing w:before="60" w:after="60"/>
              <w:rPr>
                <w:rFonts w:eastAsia="SimSun"/>
                <w:noProof/>
              </w:rPr>
            </w:pPr>
            <w:r>
              <w:rPr>
                <w:b/>
                <w:bCs/>
                <w:noProof/>
              </w:rPr>
              <w:t>AT, BG, CZ, CY, DE, DK, HU, IE, LT, RO, SK</w:t>
            </w:r>
            <w:r>
              <w:rPr>
                <w:noProof/>
              </w:rPr>
              <w:t>: ekonomisko vajadzību pārbaude.</w:t>
            </w:r>
          </w:p>
          <w:p w:rsidR="003E022D" w:rsidRDefault="007D19D6">
            <w:pPr>
              <w:widowControl w:val="0"/>
              <w:spacing w:before="60" w:after="60"/>
              <w:rPr>
                <w:rFonts w:eastAsia="SimSun"/>
                <w:noProof/>
              </w:rPr>
            </w:pPr>
            <w:r>
              <w:rPr>
                <w:b/>
                <w:bCs/>
                <w:noProof/>
              </w:rPr>
              <w:t>FI</w:t>
            </w:r>
            <w:r>
              <w:rPr>
                <w:noProof/>
              </w:rPr>
              <w:t>: saistību nav, izņemot saistībā ar pēcpārdošanas vai pēciznomāšanas līgumu; attiecībā uz individuālās lietošanas priekšmetu un mājsaimniecības piederumu apkopi</w:t>
            </w:r>
            <w:r>
              <w:rPr>
                <w:noProof/>
              </w:rPr>
              <w:t xml:space="preserve"> un remontu (CPC 633):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nav, izņemot </w:t>
            </w:r>
            <w:r>
              <w:rPr>
                <w:b/>
                <w:noProof/>
              </w:rPr>
              <w:t>NL</w:t>
            </w:r>
            <w:r>
              <w:rPr>
                <w:noProof/>
              </w:rPr>
              <w:t xml:space="preserve">. </w:t>
            </w:r>
            <w:r>
              <w:rPr>
                <w:b/>
                <w:noProof/>
              </w:rPr>
              <w:t>NL</w:t>
            </w:r>
            <w:r>
              <w:rPr>
                <w:noProof/>
              </w:rPr>
              <w:t>: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Rakstiskās un mutiskās tulkošanas pakalpojumi</w:t>
            </w:r>
          </w:p>
          <w:p w:rsidR="003E022D" w:rsidRDefault="007D19D6">
            <w:pPr>
              <w:widowControl w:val="0"/>
              <w:spacing w:before="60" w:after="60"/>
              <w:rPr>
                <w:rFonts w:eastAsia="SimSun"/>
                <w:noProof/>
              </w:rPr>
            </w:pPr>
            <w:r>
              <w:rPr>
                <w:noProof/>
              </w:rPr>
              <w:t>(CPC 87905, izņemot oficiālas vai sertificētas darbības)</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BE, CY, DE, EE, EL, ES, FR, HR, IT, LU, MT, NL, PL</w:t>
            </w:r>
            <w:r>
              <w:rPr>
                <w:b/>
                <w:bCs/>
                <w:noProof/>
              </w:rPr>
              <w:t>, PT, SI, SE</w:t>
            </w:r>
            <w:r>
              <w:rPr>
                <w:noProof/>
              </w:rPr>
              <w:t>: nav</w:t>
            </w:r>
          </w:p>
          <w:p w:rsidR="003E022D" w:rsidRDefault="007D19D6">
            <w:pPr>
              <w:widowControl w:val="0"/>
              <w:spacing w:before="60" w:after="60"/>
              <w:rPr>
                <w:rFonts w:eastAsia="SimSun"/>
                <w:noProof/>
              </w:rPr>
            </w:pPr>
            <w:r>
              <w:rPr>
                <w:b/>
                <w:bCs/>
                <w:noProof/>
              </w:rPr>
              <w:t>AT, BG, CZ, DK, FI, HU, IE, LT, LV, RO, SK</w:t>
            </w:r>
            <w:r>
              <w:rPr>
                <w:noProof/>
              </w:rPr>
              <w:t>: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b/>
                <w:noProof/>
              </w:rPr>
              <w:t>CY, DE, EE, FR, LU, LV, MT, NL, PL, PT, SI, SE</w:t>
            </w:r>
            <w:r>
              <w:rPr>
                <w:noProof/>
              </w:rPr>
              <w:t>: nav</w:t>
            </w:r>
          </w:p>
          <w:p w:rsidR="003E022D" w:rsidRDefault="007D19D6">
            <w:pPr>
              <w:widowControl w:val="0"/>
              <w:spacing w:before="60" w:after="60"/>
              <w:rPr>
                <w:rFonts w:eastAsia="SimSun"/>
                <w:noProof/>
              </w:rPr>
            </w:pPr>
            <w:r>
              <w:rPr>
                <w:b/>
                <w:bCs/>
                <w:noProof/>
              </w:rPr>
              <w:t>AT, BE, BG, CZ, DK, EL, ES, FI, HU, IE, IT, LT, RO, SK</w:t>
            </w:r>
            <w:r>
              <w:rPr>
                <w:noProof/>
              </w:rPr>
              <w:t>: ekonomisko vajadzību pārbaude.</w:t>
            </w:r>
          </w:p>
          <w:p w:rsidR="003E022D" w:rsidRDefault="007D19D6">
            <w:pPr>
              <w:widowControl w:val="0"/>
              <w:spacing w:before="60" w:after="60"/>
              <w:rPr>
                <w:rFonts w:eastAsia="SimSun"/>
                <w:noProof/>
              </w:rPr>
            </w:pPr>
            <w:r>
              <w:rPr>
                <w:b/>
                <w:bCs/>
                <w:noProof/>
              </w:rPr>
              <w:t>HR</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bCs/>
                <w:noProof/>
              </w:rPr>
              <w:t>Telesakaru pakalpojumi</w:t>
            </w:r>
            <w:r>
              <w:rPr>
                <w:noProof/>
              </w:rPr>
              <w:t xml:space="preserve"> (CPC 7544, tikai padomdevēju un konsultāciju pakalpojumi)</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BE, DE, EE, EL, ES, FI, FR, HR, IE, IT, LV, LU, MT, NL, PL, PT, SI, SE</w:t>
            </w:r>
            <w:r>
              <w:rPr>
                <w:noProof/>
              </w:rPr>
              <w:t>: nav</w:t>
            </w:r>
          </w:p>
          <w:p w:rsidR="003E022D" w:rsidRDefault="007D19D6">
            <w:pPr>
              <w:widowControl w:val="0"/>
              <w:spacing w:before="60" w:after="60"/>
              <w:rPr>
                <w:rFonts w:eastAsia="SimSun"/>
                <w:noProof/>
              </w:rPr>
            </w:pPr>
            <w:r>
              <w:rPr>
                <w:b/>
                <w:bCs/>
                <w:noProof/>
              </w:rPr>
              <w:t>AT, BG, CZ, CY, HU,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xml:space="preserve">: ekonomisko vajadzību </w:t>
            </w:r>
            <w:r>
              <w:rPr>
                <w:noProof/>
              </w:rPr>
              <w:t>pārbaude, izņemot attiecībā uz LPS, kuru uzturēšanās periods nepārsniedz trīs mēnešus</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b/>
                <w:bCs/>
                <w:noProof/>
              </w:rPr>
              <w:t>DE, EE, EL, FI, FR, HR, IE, LV, LU, MT, NL, PL, PT, SI, SE</w:t>
            </w:r>
            <w:r>
              <w:rPr>
                <w:noProof/>
              </w:rPr>
              <w:t>: nav</w:t>
            </w:r>
          </w:p>
          <w:p w:rsidR="003E022D" w:rsidRDefault="007D19D6">
            <w:pPr>
              <w:widowControl w:val="0"/>
              <w:spacing w:before="60" w:after="60"/>
              <w:rPr>
                <w:rFonts w:eastAsia="SimSun"/>
                <w:noProof/>
              </w:rPr>
            </w:pPr>
            <w:r>
              <w:rPr>
                <w:b/>
                <w:bCs/>
                <w:noProof/>
              </w:rPr>
              <w:t>AT, BE, BG, CZ, CY, DK, ES, HU, IT, LT, RO, SK</w:t>
            </w:r>
            <w:r>
              <w:rPr>
                <w:noProof/>
              </w:rPr>
              <w:t>: ekonomisko vajadzību pārbaude.</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bCs/>
                <w:noProof/>
              </w:rPr>
              <w:t xml:space="preserve">Pasta un kurjeru </w:t>
            </w:r>
            <w:r>
              <w:rPr>
                <w:b/>
                <w:bCs/>
                <w:noProof/>
              </w:rPr>
              <w:t>pakalpojumi</w:t>
            </w:r>
            <w:r>
              <w:rPr>
                <w:noProof/>
              </w:rPr>
              <w:t xml:space="preserve"> (CPC 751, tikai padomdevēju un konsultāciju pakalpojumi)</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BE, DE, EE, EL, ES, FR, HR, IE, IT, LV, LU, MT, NL, PL, PT, SI, SE</w:t>
            </w:r>
            <w:r>
              <w:rPr>
                <w:noProof/>
              </w:rPr>
              <w:t>: nav</w:t>
            </w:r>
          </w:p>
          <w:p w:rsidR="003E022D" w:rsidRDefault="007D19D6">
            <w:pPr>
              <w:widowControl w:val="0"/>
              <w:spacing w:before="60" w:after="60"/>
              <w:rPr>
                <w:rFonts w:eastAsia="SimSun"/>
                <w:noProof/>
              </w:rPr>
            </w:pPr>
            <w:r>
              <w:rPr>
                <w:b/>
                <w:bCs/>
                <w:noProof/>
              </w:rPr>
              <w:t>AT, BG, CZ, CY, FI, HU,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xml:space="preserve">: ekonomisko vajadzību pārbaude, izņemot </w:t>
            </w:r>
            <w:r>
              <w:rPr>
                <w:noProof/>
              </w:rPr>
              <w:t>attiecībā uz LPS, kuru uzturēšanās periods nepārsniedz trīs mēnešus</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DE, EE, EL, FR, HR, IE, LV, LU, MT, NL, PL, PT, SI, SE</w:t>
            </w:r>
            <w:r>
              <w:rPr>
                <w:noProof/>
              </w:rPr>
              <w:t>: nav</w:t>
            </w:r>
          </w:p>
          <w:p w:rsidR="003E022D" w:rsidRDefault="007D19D6">
            <w:pPr>
              <w:widowControl w:val="0"/>
              <w:spacing w:before="60" w:after="60"/>
              <w:rPr>
                <w:rFonts w:eastAsia="SimSun"/>
                <w:noProof/>
              </w:rPr>
            </w:pPr>
            <w:r>
              <w:rPr>
                <w:b/>
                <w:bCs/>
                <w:noProof/>
              </w:rPr>
              <w:t>AT, BE, BG, CZ, CY, DK, ES, FI, HU, IT, LT, RO, SK</w:t>
            </w:r>
            <w:r>
              <w:rPr>
                <w:noProof/>
              </w:rPr>
              <w:t>: ekonomisko vajadzību pārbaude.</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Būvniecība un saistītie inženiertehnisk</w:t>
            </w:r>
            <w:r>
              <w:rPr>
                <w:b/>
                <w:bCs/>
                <w:noProof/>
              </w:rPr>
              <w:t>ie pakalpojumi</w:t>
            </w:r>
          </w:p>
          <w:p w:rsidR="003E022D" w:rsidRDefault="007D19D6">
            <w:pPr>
              <w:widowControl w:val="0"/>
              <w:spacing w:before="60" w:after="60"/>
              <w:rPr>
                <w:rFonts w:eastAsia="SimSun"/>
                <w:noProof/>
              </w:rPr>
            </w:pPr>
            <w:r>
              <w:rPr>
                <w:noProof/>
              </w:rPr>
              <w:t>(CPC 511, 512, 513, 514, 515, 516, 517 un 518. BG: CPC 512, 5131, 5132, 5135, 514, 5161, 5162, 51641, 51643, 51644, 5165 un 517)</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EU</w:t>
            </w:r>
            <w:r>
              <w:rPr>
                <w:noProof/>
              </w:rPr>
              <w:t xml:space="preserve">: saistību nav, izņemot </w:t>
            </w:r>
            <w:r>
              <w:rPr>
                <w:b/>
                <w:bCs/>
                <w:noProof/>
              </w:rPr>
              <w:t>BE, CZ, DK, ES, FR, NL</w:t>
            </w:r>
            <w:r>
              <w:rPr>
                <w:noProof/>
              </w:rPr>
              <w:t xml:space="preserve"> un </w:t>
            </w:r>
            <w:r>
              <w:rPr>
                <w:b/>
                <w:bCs/>
                <w:noProof/>
              </w:rPr>
              <w:t>SE</w:t>
            </w:r>
            <w:r>
              <w:rPr>
                <w:noProof/>
              </w:rPr>
              <w:t>.</w:t>
            </w:r>
          </w:p>
          <w:p w:rsidR="003E022D" w:rsidRDefault="007D19D6">
            <w:pPr>
              <w:widowControl w:val="0"/>
              <w:spacing w:before="60" w:after="60"/>
              <w:rPr>
                <w:rFonts w:eastAsia="SimSun"/>
                <w:noProof/>
              </w:rPr>
            </w:pPr>
            <w:r>
              <w:rPr>
                <w:b/>
                <w:bCs/>
                <w:noProof/>
              </w:rPr>
              <w:t>BE, DK, ES, NL, SE</w:t>
            </w:r>
            <w:r>
              <w:rPr>
                <w:noProof/>
              </w:rPr>
              <w:t>: nav</w:t>
            </w:r>
          </w:p>
          <w:p w:rsidR="003E022D" w:rsidRDefault="007D19D6">
            <w:pPr>
              <w:widowControl w:val="0"/>
              <w:spacing w:before="60" w:after="60"/>
              <w:rPr>
                <w:rFonts w:eastAsia="SimSun"/>
                <w:noProof/>
              </w:rPr>
            </w:pPr>
            <w:r>
              <w:rPr>
                <w:b/>
                <w:bCs/>
                <w:noProof/>
              </w:rPr>
              <w:t>CZ</w:t>
            </w:r>
            <w:r>
              <w:rPr>
                <w:noProof/>
              </w:rPr>
              <w:t>: ekonomisko vajadzību pā</w:t>
            </w:r>
            <w:r>
              <w:rPr>
                <w:noProof/>
              </w:rPr>
              <w:t>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nav, izņemot </w:t>
            </w:r>
            <w:r>
              <w:rPr>
                <w:b/>
                <w:noProof/>
              </w:rPr>
              <w:t>NL</w:t>
            </w:r>
            <w:r>
              <w:rPr>
                <w:noProof/>
              </w:rPr>
              <w:t xml:space="preserve">. </w:t>
            </w:r>
            <w:r>
              <w:rPr>
                <w:b/>
                <w:noProof/>
              </w:rPr>
              <w:t>NL</w:t>
            </w:r>
            <w:r>
              <w:rPr>
                <w:noProof/>
              </w:rPr>
              <w:t>: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Būvlaukuma izpētes darbs</w:t>
            </w:r>
          </w:p>
          <w:p w:rsidR="003E022D" w:rsidRDefault="007D19D6">
            <w:pPr>
              <w:widowControl w:val="0"/>
              <w:spacing w:before="60" w:after="60"/>
              <w:rPr>
                <w:rFonts w:eastAsia="SimSun"/>
                <w:noProof/>
              </w:rPr>
            </w:pPr>
            <w:r>
              <w:rPr>
                <w:noProof/>
              </w:rPr>
              <w:t>(CPC 5111)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BE, DE, EE, EL, ES, FR, HR, IE, IT, LU, MT, NL, PL, PT, SI, SE</w:t>
            </w:r>
            <w:r>
              <w:rPr>
                <w:noProof/>
              </w:rPr>
              <w:t>: nav</w:t>
            </w:r>
          </w:p>
          <w:p w:rsidR="003E022D" w:rsidRDefault="007D19D6">
            <w:pPr>
              <w:widowControl w:val="0"/>
              <w:spacing w:before="60" w:after="60"/>
              <w:rPr>
                <w:rFonts w:eastAsia="SimSun"/>
                <w:noProof/>
              </w:rPr>
            </w:pPr>
            <w:r>
              <w:rPr>
                <w:b/>
                <w:bCs/>
                <w:noProof/>
              </w:rPr>
              <w:t>AT, BG, CZ,CY, FI, HU, LT, LV,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xml:space="preserve">: ekonomisko vajadzību </w:t>
            </w:r>
            <w:r>
              <w:rPr>
                <w:noProof/>
              </w:rPr>
              <w:t>pārbaude, izņemot attiecībā uz LPS, kuru uzturēšanās periods nepārsniedz trīs mēnešus</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Augstākās izglītības pakalpojumi</w:t>
            </w:r>
          </w:p>
          <w:p w:rsidR="003E022D" w:rsidRDefault="007D19D6">
            <w:pPr>
              <w:widowControl w:val="0"/>
              <w:spacing w:before="60" w:after="60"/>
              <w:rPr>
                <w:rFonts w:eastAsia="SimSun"/>
                <w:noProof/>
              </w:rPr>
            </w:pPr>
            <w:r>
              <w:rPr>
                <w:noProof/>
              </w:rPr>
              <w:t>(CPC 923)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EU</w:t>
            </w:r>
            <w:r>
              <w:rPr>
                <w:noProof/>
              </w:rPr>
              <w:t xml:space="preserve">, izņemot </w:t>
            </w:r>
            <w:r>
              <w:rPr>
                <w:b/>
                <w:bCs/>
                <w:noProof/>
              </w:rPr>
              <w:t>LU, SE</w:t>
            </w:r>
            <w:r>
              <w:rPr>
                <w:noProof/>
              </w:rPr>
              <w:t>: saistību nav</w:t>
            </w:r>
          </w:p>
          <w:p w:rsidR="003E022D" w:rsidRDefault="007D19D6">
            <w:pPr>
              <w:widowControl w:val="0"/>
              <w:spacing w:before="60" w:after="60"/>
              <w:rPr>
                <w:rFonts w:eastAsia="SimSun"/>
                <w:noProof/>
              </w:rPr>
            </w:pPr>
            <w:r>
              <w:rPr>
                <w:b/>
                <w:bCs/>
                <w:noProof/>
              </w:rPr>
              <w:t>LU</w:t>
            </w:r>
            <w:r>
              <w:rPr>
                <w:noProof/>
              </w:rPr>
              <w:t xml:space="preserve">: saistību nav, izņemot attiecībā uz universitātes profesoriem, </w:t>
            </w:r>
            <w:r>
              <w:rPr>
                <w:noProof/>
              </w:rPr>
              <w:t>kur: nav</w:t>
            </w:r>
          </w:p>
          <w:p w:rsidR="003E022D" w:rsidRDefault="007D19D6">
            <w:pPr>
              <w:widowControl w:val="0"/>
              <w:spacing w:before="60" w:after="60"/>
              <w:rPr>
                <w:rFonts w:eastAsia="SimSun"/>
                <w:noProof/>
              </w:rPr>
            </w:pPr>
            <w:r>
              <w:rPr>
                <w:b/>
                <w:bCs/>
                <w:noProof/>
              </w:rPr>
              <w:t>SE</w:t>
            </w:r>
            <w:r>
              <w:rPr>
                <w:noProof/>
              </w:rPr>
              <w:t>: ierobežojumu nav, izņemot attiecībā uz publiski finansētu un privāti finansētu izglītības pakalpojumu sniedzējiem, kuri saņem kāda veida valsts atbalstu: saistību nav</w:t>
            </w:r>
          </w:p>
          <w:p w:rsidR="003E022D" w:rsidRDefault="003E022D">
            <w:pPr>
              <w:widowControl w:val="0"/>
              <w:spacing w:before="60" w:after="60"/>
              <w:rPr>
                <w:rFonts w:eastAsia="SimSun"/>
                <w:noProof/>
                <w:u w:val="single"/>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b/>
                <w:bCs/>
                <w:noProof/>
              </w:rPr>
              <w:t>EU</w:t>
            </w:r>
            <w:r>
              <w:rPr>
                <w:noProof/>
              </w:rPr>
              <w:t>, izņemot SE: saistību nav</w:t>
            </w:r>
          </w:p>
          <w:p w:rsidR="003E022D" w:rsidRDefault="007D19D6">
            <w:pPr>
              <w:widowControl w:val="0"/>
              <w:spacing w:before="60" w:after="60"/>
              <w:rPr>
                <w:rFonts w:eastAsia="SimSun"/>
                <w:noProof/>
              </w:rPr>
            </w:pPr>
            <w:r>
              <w:rPr>
                <w:b/>
                <w:bCs/>
                <w:noProof/>
              </w:rPr>
              <w:t>SE</w:t>
            </w:r>
            <w:r>
              <w:rPr>
                <w:noProof/>
              </w:rPr>
              <w:t>: ierobežojumu nav, izņemot attiecībā uz</w:t>
            </w:r>
            <w:r>
              <w:rPr>
                <w:noProof/>
              </w:rPr>
              <w:t xml:space="preserve"> publiski finansētu un privāti finansētu izglītības pakalpojumu sniedzējiem, kuri saņem kāda veida valsts atbalstu: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bCs/>
                <w:noProof/>
              </w:rPr>
              <w:t>Lauksaimniecība, medniecība un mežsaimniecība</w:t>
            </w:r>
            <w:r>
              <w:rPr>
                <w:noProof/>
              </w:rPr>
              <w:t xml:space="preserve"> (CPC 881, tikai padomdevēju un konsultāciju pakalpojumi)</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EU</w:t>
            </w:r>
            <w:r>
              <w:rPr>
                <w:noProof/>
              </w:rPr>
              <w:t xml:space="preserve">, izņemot </w:t>
            </w:r>
            <w:r>
              <w:rPr>
                <w:b/>
                <w:bCs/>
                <w:noProof/>
              </w:rPr>
              <w:t>BE, DE</w:t>
            </w:r>
            <w:r>
              <w:rPr>
                <w:b/>
                <w:bCs/>
                <w:noProof/>
              </w:rPr>
              <w:t>, DK, ES, FI, HR</w:t>
            </w:r>
            <w:r>
              <w:rPr>
                <w:noProof/>
              </w:rPr>
              <w:t xml:space="preserve"> un </w:t>
            </w:r>
            <w:r>
              <w:rPr>
                <w:b/>
                <w:bCs/>
                <w:noProof/>
              </w:rPr>
              <w:t>SE</w:t>
            </w:r>
            <w:r>
              <w:rPr>
                <w:noProof/>
              </w:rPr>
              <w:t>: saistību nav</w:t>
            </w:r>
          </w:p>
          <w:p w:rsidR="003E022D" w:rsidRDefault="007D19D6">
            <w:pPr>
              <w:widowControl w:val="0"/>
              <w:spacing w:before="60" w:after="60"/>
              <w:rPr>
                <w:rFonts w:eastAsia="SimSun"/>
                <w:noProof/>
              </w:rPr>
            </w:pPr>
            <w:r>
              <w:rPr>
                <w:b/>
                <w:bCs/>
                <w:noProof/>
              </w:rPr>
              <w:t>BE, DE, ES, HR, SE</w:t>
            </w:r>
            <w:r>
              <w:rPr>
                <w:noProof/>
              </w:rPr>
              <w:t>: nav</w:t>
            </w:r>
          </w:p>
          <w:p w:rsidR="003E022D" w:rsidRDefault="007D19D6">
            <w:pPr>
              <w:widowControl w:val="0"/>
              <w:spacing w:before="60" w:after="60"/>
              <w:rPr>
                <w:rFonts w:eastAsia="SimSun"/>
                <w:noProof/>
              </w:rPr>
            </w:pPr>
            <w:r>
              <w:rPr>
                <w:b/>
                <w:bCs/>
                <w:noProof/>
              </w:rPr>
              <w:t>DK</w:t>
            </w:r>
            <w:r>
              <w:rPr>
                <w:noProof/>
              </w:rPr>
              <w:t>: ekonomisko vajadzību pārbaude.</w:t>
            </w:r>
          </w:p>
          <w:p w:rsidR="003E022D" w:rsidRDefault="007D19D6">
            <w:pPr>
              <w:widowControl w:val="0"/>
              <w:spacing w:before="60" w:after="60"/>
              <w:rPr>
                <w:rFonts w:eastAsia="SimSun"/>
                <w:noProof/>
              </w:rPr>
            </w:pPr>
            <w:r>
              <w:rPr>
                <w:b/>
                <w:bCs/>
                <w:noProof/>
              </w:rPr>
              <w:t>FI</w:t>
            </w:r>
            <w:r>
              <w:rPr>
                <w:noProof/>
              </w:rPr>
              <w:t>: saistību nav, izņemot attiecībā uz padomdevēju un konsultāciju pakalpojumiem saistībā ar mežsaimniecību, kur: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Vides pakalpojumi</w:t>
            </w:r>
          </w:p>
          <w:p w:rsidR="003E022D" w:rsidRDefault="007D19D6">
            <w:pPr>
              <w:widowControl w:val="0"/>
              <w:spacing w:before="60" w:after="60"/>
              <w:rPr>
                <w:rFonts w:eastAsia="SimSun"/>
                <w:noProof/>
              </w:rPr>
            </w:pPr>
            <w:r>
              <w:rPr>
                <w:noProof/>
              </w:rPr>
              <w:t>(CPC 9401, 9402, 9403, 9404, daļa no 94060, 9405, daļa no 9406 un 9409)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BE, EE, ES, FI, FR, HR, IE, IT, LU, MT, NL, PL, PT, SI, SE</w:t>
            </w:r>
            <w:r>
              <w:rPr>
                <w:noProof/>
              </w:rPr>
              <w:t>: nav</w:t>
            </w:r>
          </w:p>
          <w:p w:rsidR="003E022D" w:rsidRDefault="007D19D6">
            <w:pPr>
              <w:widowControl w:val="0"/>
              <w:spacing w:before="60" w:after="60"/>
              <w:rPr>
                <w:rFonts w:eastAsia="SimSun"/>
                <w:noProof/>
              </w:rPr>
            </w:pPr>
            <w:r>
              <w:rPr>
                <w:b/>
                <w:bCs/>
                <w:noProof/>
              </w:rPr>
              <w:t>AT, BG, CZ, CY, DE, DK, EL, HU, LT, LV, RO, SK</w:t>
            </w:r>
            <w:r>
              <w:rPr>
                <w:noProof/>
              </w:rPr>
              <w:t>: ekonomisko vajadzību pārbaude.</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bCs/>
                <w:noProof/>
              </w:rPr>
              <w:t>Apdrošināšana</w:t>
            </w:r>
            <w:r>
              <w:rPr>
                <w:b/>
                <w:bCs/>
                <w:noProof/>
              </w:rPr>
              <w:t xml:space="preserve"> un ar to saistītie pakalpojumi</w:t>
            </w:r>
            <w:r>
              <w:rPr>
                <w:noProof/>
              </w:rPr>
              <w:t xml:space="preserve"> (tikai padomdevēju un konsultāciju pakalpojumi)</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BE, DE, EE, EL, ES, FR, HR, IE, IT, LV, LU, MT, NL, PL, PT, SI, SE</w:t>
            </w:r>
            <w:r>
              <w:rPr>
                <w:noProof/>
              </w:rPr>
              <w:t>: nav</w:t>
            </w:r>
          </w:p>
          <w:p w:rsidR="003E022D" w:rsidRDefault="007D19D6">
            <w:pPr>
              <w:widowControl w:val="0"/>
              <w:spacing w:before="60" w:after="60"/>
              <w:rPr>
                <w:rFonts w:eastAsia="SimSun"/>
                <w:noProof/>
              </w:rPr>
            </w:pPr>
            <w:r>
              <w:rPr>
                <w:b/>
                <w:bCs/>
                <w:noProof/>
              </w:rPr>
              <w:t>AT, BG, CZ,CY, FI,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ekonomisko vajadzību pārbaude, iz</w:t>
            </w:r>
            <w:r>
              <w:rPr>
                <w:noProof/>
              </w:rPr>
              <w:t>ņemot attiecībā uz LPS, kuru uzturēšanās periods nepārsniedz trīs mēnešus</w:t>
            </w:r>
          </w:p>
          <w:p w:rsidR="003E022D" w:rsidRDefault="007D19D6">
            <w:pPr>
              <w:widowControl w:val="0"/>
              <w:spacing w:before="60" w:after="60"/>
              <w:rPr>
                <w:rFonts w:eastAsia="SimSun"/>
                <w:noProof/>
              </w:rPr>
            </w:pPr>
            <w:r>
              <w:rPr>
                <w:b/>
                <w:bCs/>
                <w:noProof/>
              </w:rPr>
              <w:t>HU</w:t>
            </w:r>
            <w:r>
              <w:rPr>
                <w:noProof/>
              </w:rPr>
              <w:t>: 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b/>
                <w:bCs/>
                <w:noProof/>
              </w:rPr>
              <w:t>DE, EE, EL, FR, HR, IE, LV, LU, MT, NL, PT, SI, SE</w:t>
            </w:r>
            <w:r>
              <w:rPr>
                <w:noProof/>
              </w:rPr>
              <w:t>: nav</w:t>
            </w:r>
          </w:p>
          <w:p w:rsidR="003E022D" w:rsidRDefault="007D19D6">
            <w:pPr>
              <w:widowControl w:val="0"/>
              <w:spacing w:before="60" w:after="60"/>
              <w:rPr>
                <w:rFonts w:eastAsia="SimSun"/>
                <w:noProof/>
              </w:rPr>
            </w:pPr>
            <w:r>
              <w:rPr>
                <w:b/>
                <w:bCs/>
                <w:noProof/>
              </w:rPr>
              <w:t>AT, BE, BG, CZ, CY, DK, ES, FI, IT, LT, PL, RO, SK</w:t>
            </w:r>
            <w:r>
              <w:rPr>
                <w:noProof/>
              </w:rPr>
              <w:t>: ekonomisko vajadzību pārbaude.</w:t>
            </w:r>
          </w:p>
          <w:p w:rsidR="003E022D" w:rsidRDefault="007D19D6">
            <w:pPr>
              <w:widowControl w:val="0"/>
              <w:spacing w:before="60" w:after="60"/>
              <w:rPr>
                <w:rFonts w:eastAsia="SimSun"/>
                <w:noProof/>
              </w:rPr>
            </w:pPr>
            <w:r>
              <w:rPr>
                <w:b/>
                <w:bCs/>
                <w:noProof/>
              </w:rPr>
              <w:t>HU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bCs/>
                <w:noProof/>
              </w:rPr>
              <w:t>Citi finanšu pakalpojumi</w:t>
            </w:r>
            <w:r>
              <w:rPr>
                <w:noProof/>
              </w:rPr>
              <w:t xml:space="preserve"> (tikai padomdevēju un konsultāciju pakalpojumi)</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BE, DE, ES, EE, EL, FR, HR, IE, IT, LV, LU, MT, NL, PL, PT, SI, SE</w:t>
            </w:r>
            <w:r>
              <w:rPr>
                <w:noProof/>
              </w:rPr>
              <w:t>: nav</w:t>
            </w:r>
          </w:p>
          <w:p w:rsidR="003E022D" w:rsidRDefault="007D19D6">
            <w:pPr>
              <w:widowControl w:val="0"/>
              <w:spacing w:before="60" w:after="60"/>
              <w:rPr>
                <w:rFonts w:eastAsia="SimSun"/>
                <w:noProof/>
              </w:rPr>
            </w:pPr>
            <w:r>
              <w:rPr>
                <w:b/>
                <w:bCs/>
                <w:noProof/>
              </w:rPr>
              <w:t>AT, BG, CZ, CY, FI,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xml:space="preserve">: ekonomisko vajadzību pārbaude, izņemot </w:t>
            </w:r>
            <w:r>
              <w:rPr>
                <w:noProof/>
              </w:rPr>
              <w:t>attiecībā uz LPS, kuru uzturēšanās periods nepārsniedz trīs mēnešus.</w:t>
            </w:r>
          </w:p>
          <w:p w:rsidR="003E022D" w:rsidRDefault="007D19D6">
            <w:pPr>
              <w:widowControl w:val="0"/>
              <w:spacing w:before="60" w:after="60"/>
              <w:rPr>
                <w:rFonts w:eastAsia="SimSun"/>
                <w:noProof/>
              </w:rPr>
            </w:pPr>
            <w:r>
              <w:rPr>
                <w:b/>
                <w:bCs/>
                <w:noProof/>
              </w:rPr>
              <w:t>HU</w:t>
            </w:r>
            <w:r>
              <w:rPr>
                <w:noProof/>
              </w:rPr>
              <w:t>: 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b/>
                <w:bCs/>
                <w:noProof/>
              </w:rPr>
              <w:t>DE, EE, EL, FR, HR, IE, LV, LU, MT, NL, PT, SI, SE</w:t>
            </w:r>
            <w:r>
              <w:rPr>
                <w:noProof/>
              </w:rPr>
              <w:t>: nav</w:t>
            </w:r>
          </w:p>
          <w:p w:rsidR="003E022D" w:rsidRDefault="007D19D6">
            <w:pPr>
              <w:widowControl w:val="0"/>
              <w:spacing w:before="60" w:after="60"/>
              <w:rPr>
                <w:rFonts w:eastAsia="SimSun"/>
                <w:noProof/>
              </w:rPr>
            </w:pPr>
            <w:r>
              <w:rPr>
                <w:b/>
                <w:bCs/>
                <w:noProof/>
              </w:rPr>
              <w:t>AT, BE, BG, CZ, CY, DK, ES, FI, IT, LT, PL, RO, SK</w:t>
            </w:r>
            <w:r>
              <w:rPr>
                <w:noProof/>
              </w:rPr>
              <w:t>: ekonomisko vajadzību pārbaude.</w:t>
            </w:r>
          </w:p>
          <w:p w:rsidR="003E022D" w:rsidRDefault="007D19D6">
            <w:pPr>
              <w:widowControl w:val="0"/>
              <w:spacing w:before="60" w:after="60"/>
              <w:rPr>
                <w:rFonts w:eastAsia="SimSun"/>
                <w:noProof/>
              </w:rPr>
            </w:pPr>
            <w:r>
              <w:rPr>
                <w:b/>
                <w:bCs/>
                <w:noProof/>
              </w:rPr>
              <w:t>HU</w:t>
            </w:r>
            <w:r>
              <w:rPr>
                <w:noProof/>
              </w:rPr>
              <w:t>: saistību nav</w:t>
            </w:r>
            <w:r>
              <w:rPr>
                <w:noProof/>
                <w:u w:val="single"/>
              </w:rPr>
              <w:t xml:space="preserve"> </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bCs/>
                <w:noProof/>
              </w:rPr>
              <w:t>Transports</w:t>
            </w:r>
            <w:r>
              <w:rPr>
                <w:noProof/>
              </w:rPr>
              <w:t xml:space="preserve"> (CPC 71, 72, 73 un 74, tikai padomdevēju un konsultāciju pakalpojumi)</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DE, EE, EL, ES, FI, FR, HR, IE, IT, LV, LU, MT, NL, PL, PT, SI, SE</w:t>
            </w:r>
            <w:r>
              <w:rPr>
                <w:noProof/>
              </w:rPr>
              <w:t>: nav</w:t>
            </w:r>
          </w:p>
          <w:p w:rsidR="003E022D" w:rsidRDefault="007D19D6">
            <w:pPr>
              <w:widowControl w:val="0"/>
              <w:spacing w:before="60" w:after="60"/>
              <w:rPr>
                <w:rFonts w:eastAsia="SimSun"/>
                <w:noProof/>
              </w:rPr>
            </w:pPr>
            <w:r>
              <w:rPr>
                <w:b/>
                <w:bCs/>
                <w:noProof/>
              </w:rPr>
              <w:t>AT, BG, CZ, CY, HU,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xml:space="preserve">: ekonomisko vajadzību pārbaude, </w:t>
            </w:r>
            <w:r>
              <w:rPr>
                <w:noProof/>
              </w:rPr>
              <w:t>izņemot attiecībā uz LPS, kuru uzturēšanās periods nepārsniedz trīs mēnešus</w:t>
            </w:r>
          </w:p>
          <w:p w:rsidR="003E022D" w:rsidRDefault="007D19D6">
            <w:pPr>
              <w:widowControl w:val="0"/>
              <w:spacing w:before="60" w:after="60"/>
              <w:rPr>
                <w:rFonts w:eastAsia="SimSun"/>
                <w:noProof/>
              </w:rPr>
            </w:pPr>
            <w:r>
              <w:rPr>
                <w:b/>
                <w:bCs/>
                <w:noProof/>
              </w:rPr>
              <w:t>BE</w:t>
            </w:r>
            <w:r>
              <w:rPr>
                <w:noProof/>
              </w:rPr>
              <w:t>: 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b/>
                <w:bCs/>
                <w:noProof/>
              </w:rPr>
              <w:t>CY, DE, EE, EL, FI, FR, HR, IE, LV, LU, MT, NL, PT, SI, SE</w:t>
            </w:r>
            <w:r>
              <w:rPr>
                <w:noProof/>
              </w:rPr>
              <w:t>: nav</w:t>
            </w:r>
          </w:p>
          <w:p w:rsidR="003E022D" w:rsidRDefault="007D19D6">
            <w:pPr>
              <w:widowControl w:val="0"/>
              <w:spacing w:before="60" w:after="60"/>
              <w:rPr>
                <w:rFonts w:eastAsia="SimSun"/>
                <w:noProof/>
              </w:rPr>
            </w:pPr>
            <w:r>
              <w:rPr>
                <w:b/>
                <w:bCs/>
                <w:noProof/>
              </w:rPr>
              <w:t>AT, BG, CZ, DK, ES, HU, IT, LT, RO, SK</w:t>
            </w:r>
            <w:r>
              <w:rPr>
                <w:noProof/>
              </w:rPr>
              <w:t>: ekonomisko vajadzību pārbaude.</w:t>
            </w:r>
          </w:p>
          <w:p w:rsidR="003E022D" w:rsidRDefault="007D19D6">
            <w:pPr>
              <w:widowControl w:val="0"/>
              <w:spacing w:before="60" w:after="60"/>
              <w:rPr>
                <w:rFonts w:eastAsia="SimSun"/>
                <w:noProof/>
              </w:rPr>
            </w:pPr>
            <w:r>
              <w:rPr>
                <w:b/>
                <w:bCs/>
                <w:noProof/>
              </w:rPr>
              <w:t>PL:</w:t>
            </w:r>
            <w:r>
              <w:rPr>
                <w:noProof/>
              </w:rPr>
              <w:t xml:space="preserve"> ekonomisko vajadzīb</w:t>
            </w:r>
            <w:r>
              <w:rPr>
                <w:noProof/>
              </w:rPr>
              <w:t>u pārbaude, izņemot attiecībā uz gaisa pārvadājumiem, kur: nav</w:t>
            </w:r>
          </w:p>
          <w:p w:rsidR="003E022D" w:rsidRDefault="007D19D6">
            <w:pPr>
              <w:widowControl w:val="0"/>
              <w:spacing w:before="60" w:after="60"/>
              <w:rPr>
                <w:rFonts w:eastAsia="SimSun"/>
                <w:noProof/>
              </w:rPr>
            </w:pPr>
            <w:r>
              <w:rPr>
                <w:b/>
                <w:bCs/>
                <w:noProof/>
              </w:rPr>
              <w:t>BE</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bCs/>
                <w:noProof/>
              </w:rPr>
              <w:t>Ceļojumu aģentūru un ceļojumu rīkotāju pakalpojumi</w:t>
            </w:r>
            <w:r>
              <w:rPr>
                <w:noProof/>
              </w:rPr>
              <w:t xml:space="preserve"> (ietverot ceļojumu vadītājus</w:t>
            </w:r>
            <w:r>
              <w:rPr>
                <w:rFonts w:eastAsia="Calibri"/>
                <w:b/>
                <w:noProof/>
                <w:vertAlign w:val="superscript"/>
                <w:lang w:eastAsia="fr-BE"/>
              </w:rPr>
              <w:footnoteReference w:id="114"/>
            </w:r>
            <w:r>
              <w:rPr>
                <w:noProof/>
              </w:rPr>
              <w:t>)</w:t>
            </w:r>
          </w:p>
          <w:p w:rsidR="003E022D" w:rsidRDefault="007D19D6">
            <w:pPr>
              <w:widowControl w:val="0"/>
              <w:spacing w:before="60" w:after="60"/>
              <w:rPr>
                <w:rFonts w:eastAsia="SimSun"/>
                <w:noProof/>
                <w:u w:val="single"/>
              </w:rPr>
            </w:pPr>
            <w:r>
              <w:rPr>
                <w:noProof/>
              </w:rPr>
              <w:t>(CPC 7471)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AT, CY, CZ, DE, EE, ES, FR, HR, IT, LU, NL, PL, SI, SE</w:t>
            </w:r>
            <w:r>
              <w:rPr>
                <w:noProof/>
              </w:rPr>
              <w:t>: nav</w:t>
            </w:r>
          </w:p>
          <w:p w:rsidR="003E022D" w:rsidRDefault="007D19D6">
            <w:pPr>
              <w:widowControl w:val="0"/>
              <w:spacing w:before="60" w:after="60"/>
              <w:rPr>
                <w:rFonts w:eastAsia="SimSun"/>
                <w:noProof/>
              </w:rPr>
            </w:pPr>
            <w:r>
              <w:rPr>
                <w:b/>
                <w:bCs/>
                <w:noProof/>
              </w:rPr>
              <w:t>BG, EL, FI, HU, L</w:t>
            </w:r>
            <w:r>
              <w:rPr>
                <w:b/>
                <w:bCs/>
                <w:noProof/>
              </w:rPr>
              <w:t>T, LV, MT, PT,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ekonomisko vajadzību pārbaude, izņemot attiecībā uz LPS, kuru uzturēšanās periods nepārsniedz trīs mēnešus</w:t>
            </w:r>
          </w:p>
          <w:p w:rsidR="003E022D" w:rsidRDefault="007D19D6">
            <w:pPr>
              <w:widowControl w:val="0"/>
              <w:spacing w:before="60" w:after="60"/>
              <w:rPr>
                <w:rFonts w:eastAsia="SimSun"/>
                <w:noProof/>
              </w:rPr>
            </w:pPr>
            <w:r>
              <w:rPr>
                <w:b/>
                <w:bCs/>
                <w:noProof/>
              </w:rPr>
              <w:t>BE,</w:t>
            </w:r>
            <w:r>
              <w:rPr>
                <w:noProof/>
              </w:rPr>
              <w:t xml:space="preserve"> </w:t>
            </w:r>
            <w:r>
              <w:rPr>
                <w:b/>
                <w:bCs/>
                <w:noProof/>
              </w:rPr>
              <w:t>IE</w:t>
            </w:r>
            <w:r>
              <w:rPr>
                <w:noProof/>
              </w:rPr>
              <w:t>: saistību nav, izņemot attiecībā uz ceļojumu vadītājiem, kam: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xml:space="preserve">: saistību </w:t>
            </w:r>
            <w:r>
              <w:rPr>
                <w:noProof/>
              </w:rPr>
              <w:t>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b/>
                <w:bCs/>
                <w:noProof/>
              </w:rPr>
            </w:pPr>
            <w:r>
              <w:rPr>
                <w:b/>
                <w:bCs/>
                <w:noProof/>
              </w:rPr>
              <w:t>Tūristu gidu pakalpojumi</w:t>
            </w:r>
          </w:p>
          <w:p w:rsidR="003E022D" w:rsidRDefault="007D19D6">
            <w:pPr>
              <w:widowControl w:val="0"/>
              <w:spacing w:before="60" w:after="60"/>
              <w:rPr>
                <w:rFonts w:eastAsia="SimSun"/>
                <w:noProof/>
              </w:rPr>
            </w:pPr>
            <w:r>
              <w:rPr>
                <w:noProof/>
              </w:rPr>
              <w:t>(CPC 7472)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noProof/>
              </w:rPr>
              <w:t xml:space="preserve">NL, PT, </w:t>
            </w:r>
            <w:r>
              <w:rPr>
                <w:b/>
                <w:bCs/>
                <w:noProof/>
              </w:rPr>
              <w:t>SE</w:t>
            </w:r>
            <w:r>
              <w:rPr>
                <w:noProof/>
              </w:rPr>
              <w:t>: nav</w:t>
            </w:r>
          </w:p>
          <w:p w:rsidR="003E022D" w:rsidRDefault="007D19D6">
            <w:pPr>
              <w:widowControl w:val="0"/>
              <w:spacing w:before="60" w:after="60"/>
              <w:rPr>
                <w:rFonts w:eastAsia="SimSun"/>
                <w:noProof/>
              </w:rPr>
            </w:pPr>
            <w:r>
              <w:rPr>
                <w:b/>
                <w:bCs/>
                <w:noProof/>
              </w:rPr>
              <w:t>AT, BE, BG, CY, CZ, DE, DK, EE, FI, FR, EL, HU, IE, IT, LV, LU, MT, RO, SK, SI</w:t>
            </w:r>
            <w:r>
              <w:rPr>
                <w:noProof/>
              </w:rPr>
              <w:t>: ekonomisko vajadzību pārbaude.</w:t>
            </w:r>
          </w:p>
          <w:p w:rsidR="003E022D" w:rsidRDefault="007D19D6">
            <w:pPr>
              <w:widowControl w:val="0"/>
              <w:spacing w:before="60" w:after="60"/>
              <w:rPr>
                <w:rFonts w:eastAsia="SimSun"/>
                <w:noProof/>
              </w:rPr>
            </w:pPr>
            <w:r>
              <w:rPr>
                <w:b/>
                <w:bCs/>
                <w:noProof/>
              </w:rPr>
              <w:t>ES, HR, LT, PL</w:t>
            </w:r>
            <w:r>
              <w:rPr>
                <w:noProof/>
              </w:rPr>
              <w:t>: 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b/>
                <w:bCs/>
                <w:noProof/>
              </w:rPr>
              <w:t>EU</w:t>
            </w:r>
            <w:r>
              <w:rPr>
                <w:noProof/>
              </w:rPr>
              <w:t>: saistību nav</w:t>
            </w:r>
          </w:p>
        </w:tc>
      </w:tr>
      <w:tr w:rsidR="003E022D">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3E022D" w:rsidRDefault="007D19D6">
            <w:pPr>
              <w:widowControl w:val="0"/>
              <w:spacing w:before="60" w:after="60"/>
              <w:rPr>
                <w:rFonts w:eastAsia="SimSun"/>
                <w:noProof/>
              </w:rPr>
            </w:pPr>
            <w:r>
              <w:rPr>
                <w:b/>
                <w:bCs/>
                <w:noProof/>
              </w:rPr>
              <w:t>Ražošana</w:t>
            </w:r>
            <w:r>
              <w:rPr>
                <w:noProof/>
              </w:rPr>
              <w:t xml:space="preserve"> (CPC 884 un 885, tikai</w:t>
            </w:r>
            <w:r>
              <w:rPr>
                <w:noProof/>
              </w:rPr>
              <w:t xml:space="preserve"> padomdevēju un konsultāciju pakalpojumi)</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b/>
                <w:bCs/>
                <w:noProof/>
              </w:rPr>
              <w:t>BE, DE, EE, EL, ES, FI, FR, HR, IE, IT, LV, LU, MT, NL, PL, PT, SI, SE</w:t>
            </w:r>
            <w:r>
              <w:rPr>
                <w:noProof/>
              </w:rPr>
              <w:t>: nav</w:t>
            </w:r>
          </w:p>
          <w:p w:rsidR="003E022D" w:rsidRDefault="007D19D6">
            <w:pPr>
              <w:widowControl w:val="0"/>
              <w:spacing w:before="60" w:after="60"/>
              <w:rPr>
                <w:rFonts w:eastAsia="SimSun"/>
                <w:noProof/>
              </w:rPr>
            </w:pPr>
            <w:r>
              <w:rPr>
                <w:b/>
                <w:bCs/>
                <w:noProof/>
              </w:rPr>
              <w:t>AT, BG, CZ, CY, HU, LT, RO, SK</w:t>
            </w:r>
            <w:r>
              <w:rPr>
                <w:noProof/>
              </w:rPr>
              <w:t>: ekonomisko vajadzību pārbaude.</w:t>
            </w:r>
          </w:p>
          <w:p w:rsidR="003E022D" w:rsidRDefault="007D19D6">
            <w:pPr>
              <w:widowControl w:val="0"/>
              <w:spacing w:before="60" w:after="60"/>
              <w:rPr>
                <w:rFonts w:eastAsia="SimSun"/>
                <w:noProof/>
              </w:rPr>
            </w:pPr>
            <w:r>
              <w:rPr>
                <w:b/>
                <w:bCs/>
                <w:noProof/>
              </w:rPr>
              <w:t>DK</w:t>
            </w:r>
            <w:r>
              <w:rPr>
                <w:noProof/>
              </w:rPr>
              <w:t xml:space="preserve">: ekonomisko vajadzību pārbaude, izņemot attiecībā uz LPS, kuru </w:t>
            </w:r>
            <w:r>
              <w:rPr>
                <w:noProof/>
              </w:rPr>
              <w:t>uzturēšanās periods nepārsniedz trīs mēnešus</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b/>
                <w:bCs/>
                <w:noProof/>
              </w:rPr>
              <w:t>DE, EE, EL, FI, FR, HR, IE, LV, LU, MT, NL, PT, SI, SE</w:t>
            </w:r>
            <w:r>
              <w:rPr>
                <w:noProof/>
              </w:rPr>
              <w:t>: nav</w:t>
            </w:r>
          </w:p>
          <w:p w:rsidR="003E022D" w:rsidRDefault="007D19D6">
            <w:pPr>
              <w:widowControl w:val="0"/>
              <w:spacing w:before="60" w:after="60"/>
              <w:rPr>
                <w:rFonts w:eastAsia="SimSun"/>
                <w:noProof/>
              </w:rPr>
            </w:pPr>
            <w:r>
              <w:rPr>
                <w:b/>
                <w:bCs/>
                <w:noProof/>
              </w:rPr>
              <w:t>AT, BE, BG, CZ, CY, DK, ES, HU, IT, LT, PL, RO, SK</w:t>
            </w:r>
            <w:r>
              <w:rPr>
                <w:noProof/>
              </w:rPr>
              <w:t>: ekonomisko vajadzību pārbaude.</w:t>
            </w:r>
          </w:p>
        </w:tc>
      </w:tr>
    </w:tbl>
    <w:p w:rsidR="003E022D" w:rsidRDefault="003E022D">
      <w:pPr>
        <w:rPr>
          <w:rFonts w:eastAsia="Calibri" w:cstheme="minorHAnsi"/>
          <w:noProof/>
        </w:rPr>
      </w:pPr>
    </w:p>
    <w:p w:rsidR="003E022D" w:rsidRDefault="007D19D6">
      <w:pPr>
        <w:rPr>
          <w:rFonts w:eastAsia="Calibri" w:cstheme="minorHAnsi"/>
          <w:noProof/>
        </w:rPr>
      </w:pPr>
      <w:r>
        <w:rPr>
          <w:noProof/>
        </w:rPr>
        <w:t xml:space="preserve">13. </w:t>
      </w:r>
      <w:r>
        <w:rPr>
          <w:noProof/>
        </w:rPr>
        <w:tab/>
        <w:t>Apvienotās Karalistes atrunas</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966"/>
      </w:tblGrid>
      <w:tr w:rsidR="003E022D">
        <w:trPr>
          <w:cantSplit/>
          <w:tblHeader/>
          <w:jc w:val="center"/>
        </w:trPr>
        <w:tc>
          <w:tcPr>
            <w:tcW w:w="2972" w:type="dxa"/>
            <w:shd w:val="clear" w:color="auto" w:fill="auto"/>
          </w:tcPr>
          <w:p w:rsidR="003E022D" w:rsidRDefault="007D19D6">
            <w:pPr>
              <w:widowControl w:val="0"/>
              <w:spacing w:before="60" w:after="60"/>
              <w:jc w:val="center"/>
              <w:rPr>
                <w:rFonts w:eastAsia="SimSun"/>
                <w:b/>
                <w:bCs/>
                <w:noProof/>
                <w:u w:val="single"/>
              </w:rPr>
            </w:pPr>
            <w:r>
              <w:rPr>
                <w:noProof/>
              </w:rPr>
              <w:br w:type="page"/>
            </w:r>
            <w:r>
              <w:rPr>
                <w:b/>
                <w:bCs/>
                <w:noProof/>
              </w:rPr>
              <w:t>Nozare vai apakšnozare</w:t>
            </w:r>
          </w:p>
        </w:tc>
        <w:tc>
          <w:tcPr>
            <w:tcW w:w="6966" w:type="dxa"/>
            <w:shd w:val="clear" w:color="auto" w:fill="auto"/>
          </w:tcPr>
          <w:p w:rsidR="003E022D" w:rsidRDefault="007D19D6">
            <w:pPr>
              <w:widowControl w:val="0"/>
              <w:spacing w:before="60" w:after="60"/>
              <w:jc w:val="center"/>
              <w:rPr>
                <w:rFonts w:eastAsia="SimSun"/>
                <w:b/>
                <w:bCs/>
                <w:noProof/>
              </w:rPr>
            </w:pPr>
            <w:r>
              <w:rPr>
                <w:b/>
                <w:bCs/>
                <w:noProof/>
              </w:rPr>
              <w:t>At</w:t>
            </w:r>
            <w:r>
              <w:rPr>
                <w:b/>
                <w:bCs/>
                <w:noProof/>
              </w:rPr>
              <w:t>runu apraksts</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 xml:space="preserve">Visas nozares </w:t>
            </w:r>
          </w:p>
        </w:tc>
        <w:tc>
          <w:tcPr>
            <w:tcW w:w="6966" w:type="dxa"/>
            <w:shd w:val="clear" w:color="auto" w:fill="FFFFFF"/>
          </w:tcPr>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Juridisko konsultāciju pakalpojumi attiecībā uz starptautiskajām publiskajām tiesībām un piederības jurisdikcijas tiesībām</w:t>
            </w:r>
          </w:p>
          <w:p w:rsidR="003E022D" w:rsidRDefault="007D19D6">
            <w:pPr>
              <w:widowControl w:val="0"/>
              <w:spacing w:before="60" w:after="60"/>
              <w:rPr>
                <w:rFonts w:eastAsia="SimSun"/>
                <w:noProof/>
              </w:rPr>
            </w:pPr>
            <w:r>
              <w:rPr>
                <w:noProof/>
              </w:rPr>
              <w:t>(daļa no CPC 861)</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Uzskaites un grāmatvedības pakalpojumi</w:t>
            </w:r>
          </w:p>
          <w:p w:rsidR="003E022D" w:rsidRDefault="007D19D6">
            <w:pPr>
              <w:widowControl w:val="0"/>
              <w:spacing w:before="60" w:after="60"/>
              <w:rPr>
                <w:rFonts w:eastAsia="SimSun"/>
                <w:noProof/>
              </w:rPr>
            </w:pPr>
            <w:r>
              <w:rPr>
                <w:noProof/>
              </w:rPr>
              <w:t xml:space="preserve">(CPC 86212, izņemot </w:t>
            </w:r>
            <w:r>
              <w:rPr>
                <w:noProof/>
              </w:rPr>
              <w:t>“revīzijas pakalpojumus”, 86213, 86219 un 86220)</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Nodokļu konsultāciju pakalpojumi</w:t>
            </w:r>
          </w:p>
          <w:p w:rsidR="003E022D" w:rsidRDefault="007D19D6">
            <w:pPr>
              <w:widowControl w:val="0"/>
              <w:spacing w:before="60" w:after="60"/>
              <w:rPr>
                <w:rFonts w:eastAsia="SimSun"/>
                <w:noProof/>
              </w:rPr>
            </w:pPr>
            <w:r>
              <w:rPr>
                <w:noProof/>
              </w:rPr>
              <w:t>(CPC 863)</w:t>
            </w:r>
            <w:r>
              <w:rPr>
                <w:rFonts w:eastAsia="Calibri"/>
                <w:b/>
                <w:noProof/>
                <w:vertAlign w:val="superscript"/>
                <w:lang w:eastAsia="fr-BE"/>
              </w:rPr>
              <w:footnoteReference w:id="115"/>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val="fr-FR"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Arhitektu pakalpojumi</w:t>
            </w:r>
          </w:p>
          <w:p w:rsidR="003E022D" w:rsidRDefault="007D19D6">
            <w:pPr>
              <w:widowControl w:val="0"/>
              <w:rPr>
                <w:rFonts w:eastAsia="SimSun"/>
                <w:noProof/>
              </w:rPr>
            </w:pPr>
            <w:r>
              <w:rPr>
                <w:noProof/>
              </w:rPr>
              <w:t>un</w:t>
            </w:r>
          </w:p>
          <w:p w:rsidR="003E022D" w:rsidRDefault="007D19D6">
            <w:pPr>
              <w:widowControl w:val="0"/>
              <w:spacing w:before="60" w:after="60"/>
              <w:rPr>
                <w:rFonts w:eastAsia="SimSun"/>
                <w:b/>
                <w:bCs/>
                <w:noProof/>
              </w:rPr>
            </w:pPr>
            <w:r>
              <w:rPr>
                <w:b/>
                <w:bCs/>
                <w:noProof/>
              </w:rPr>
              <w:t>pilsētplānošanas un ainavu arhitektūras pakalpojumi</w:t>
            </w:r>
          </w:p>
          <w:p w:rsidR="003E022D" w:rsidRDefault="007D19D6">
            <w:pPr>
              <w:widowControl w:val="0"/>
              <w:spacing w:before="60" w:after="60"/>
              <w:rPr>
                <w:rFonts w:eastAsia="SimSun"/>
                <w:noProof/>
              </w:rPr>
            </w:pPr>
            <w:r>
              <w:rPr>
                <w:noProof/>
              </w:rPr>
              <w:t>(CPC 8671 un 8674)</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Inženiertehniskie pakalpojumi</w:t>
            </w:r>
          </w:p>
          <w:p w:rsidR="003E022D" w:rsidRDefault="007D19D6">
            <w:pPr>
              <w:widowControl w:val="0"/>
              <w:spacing w:before="60" w:after="60"/>
              <w:rPr>
                <w:rFonts w:eastAsia="SimSun"/>
                <w:noProof/>
              </w:rPr>
            </w:pPr>
            <w:r>
              <w:rPr>
                <w:noProof/>
              </w:rPr>
              <w:t>un</w:t>
            </w:r>
          </w:p>
          <w:p w:rsidR="003E022D" w:rsidRDefault="007D19D6">
            <w:pPr>
              <w:widowControl w:val="0"/>
              <w:spacing w:before="60" w:after="60"/>
              <w:rPr>
                <w:rFonts w:eastAsia="SimSun"/>
                <w:b/>
                <w:bCs/>
                <w:noProof/>
              </w:rPr>
            </w:pPr>
            <w:r>
              <w:rPr>
                <w:b/>
                <w:bCs/>
                <w:noProof/>
              </w:rPr>
              <w:t>Integrētie inženiertehniskie pakalpojumi</w:t>
            </w:r>
          </w:p>
          <w:p w:rsidR="003E022D" w:rsidRDefault="007D19D6">
            <w:pPr>
              <w:widowControl w:val="0"/>
              <w:spacing w:line="360" w:lineRule="auto"/>
              <w:rPr>
                <w:rFonts w:eastAsia="SimSun"/>
                <w:noProof/>
              </w:rPr>
            </w:pPr>
            <w:r>
              <w:rPr>
                <w:noProof/>
              </w:rPr>
              <w:t>(CPC 8672 un 8673)</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Medicīnas (tostarp psihologu) un zobārstniecības pakalpojumi</w:t>
            </w:r>
          </w:p>
          <w:p w:rsidR="003E022D" w:rsidRDefault="007D19D6">
            <w:pPr>
              <w:widowControl w:val="0"/>
              <w:spacing w:before="60" w:after="60"/>
              <w:rPr>
                <w:rFonts w:eastAsia="SimSun"/>
                <w:noProof/>
              </w:rPr>
            </w:pPr>
            <w:r>
              <w:rPr>
                <w:noProof/>
              </w:rPr>
              <w:t xml:space="preserve">(CPC 9312 un daļa no 85201) </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Veterinārie pakalpojumi</w:t>
            </w:r>
          </w:p>
          <w:p w:rsidR="003E022D" w:rsidRDefault="007D19D6">
            <w:pPr>
              <w:widowControl w:val="0"/>
              <w:spacing w:before="60" w:after="60"/>
              <w:rPr>
                <w:rFonts w:eastAsia="SimSun"/>
                <w:noProof/>
              </w:rPr>
            </w:pPr>
            <w:r>
              <w:rPr>
                <w:noProof/>
              </w:rPr>
              <w:t>(CPC 932)</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Vecmāšu pakalpojumi</w:t>
            </w:r>
          </w:p>
          <w:p w:rsidR="003E022D" w:rsidRDefault="007D19D6">
            <w:pPr>
              <w:widowControl w:val="0"/>
              <w:spacing w:before="60" w:after="60"/>
              <w:rPr>
                <w:rFonts w:eastAsia="SimSun"/>
                <w:noProof/>
              </w:rPr>
            </w:pPr>
            <w:r>
              <w:rPr>
                <w:noProof/>
              </w:rPr>
              <w:t>(daļa no CPC 93191)</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tabs>
                <w:tab w:val="center" w:pos="2663"/>
              </w:tabs>
              <w:spacing w:before="60" w:after="60"/>
              <w:rPr>
                <w:rFonts w:eastAsia="SimSun"/>
                <w:noProof/>
              </w:rPr>
            </w:pPr>
            <w:r>
              <w:rPr>
                <w:noProof/>
              </w:rPr>
              <w:t>saistību nav</w:t>
            </w:r>
            <w:r>
              <w:rPr>
                <w:noProof/>
              </w:rPr>
              <w:tab/>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Māsu, fizioterapeitu un vidējā medicīniskā personāla pakalpojumi</w:t>
            </w:r>
          </w:p>
          <w:p w:rsidR="003E022D" w:rsidRDefault="007D19D6">
            <w:pPr>
              <w:widowControl w:val="0"/>
              <w:spacing w:before="60" w:after="60"/>
              <w:rPr>
                <w:rFonts w:eastAsia="SimSun"/>
                <w:noProof/>
              </w:rPr>
            </w:pPr>
            <w:r>
              <w:rPr>
                <w:noProof/>
              </w:rPr>
              <w:t>(daļa no CPC 93191)</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saistību nav</w:t>
            </w:r>
          </w:p>
          <w:p w:rsidR="003E022D" w:rsidRDefault="003E022D">
            <w:pPr>
              <w:widowControl w:val="0"/>
              <w:spacing w:before="60" w:after="60"/>
              <w:rPr>
                <w:rFonts w:eastAsia="SimSun"/>
                <w:noProof/>
                <w:u w:val="single"/>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Datorpakalpojumi un ar tiem saistītie pakalpojumi</w:t>
            </w:r>
          </w:p>
          <w:p w:rsidR="003E022D" w:rsidRDefault="007D19D6">
            <w:pPr>
              <w:widowControl w:val="0"/>
              <w:spacing w:before="60" w:after="60"/>
              <w:rPr>
                <w:rFonts w:eastAsia="SimSun"/>
                <w:noProof/>
              </w:rPr>
            </w:pPr>
            <w:r>
              <w:rPr>
                <w:noProof/>
              </w:rPr>
              <w:t>(CPC 84)</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AK nav</w:t>
            </w:r>
          </w:p>
          <w:p w:rsidR="003E022D" w:rsidRDefault="003E022D">
            <w:pPr>
              <w:widowControl w:val="0"/>
              <w:spacing w:before="60" w:after="60"/>
              <w:rPr>
                <w:rFonts w:eastAsia="SimSun"/>
                <w:noProof/>
                <w:lang w:val="sv-SE"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Pētniecības un izstrādes pakalpojumi</w:t>
            </w:r>
          </w:p>
          <w:p w:rsidR="003E022D" w:rsidRDefault="007D19D6">
            <w:pPr>
              <w:widowControl w:val="0"/>
              <w:spacing w:before="60" w:after="60"/>
              <w:rPr>
                <w:rFonts w:eastAsia="SimSun"/>
                <w:noProof/>
              </w:rPr>
            </w:pPr>
            <w:r>
              <w:rPr>
                <w:noProof/>
              </w:rPr>
              <w:t>(CPC 851, 852, izņemot psihologa pakalpojumus</w:t>
            </w:r>
            <w:r>
              <w:rPr>
                <w:rFonts w:eastAsia="Calibri"/>
                <w:b/>
                <w:bCs/>
                <w:noProof/>
                <w:vertAlign w:val="superscript"/>
              </w:rPr>
              <w:footnoteReference w:id="116"/>
            </w:r>
            <w:r>
              <w:rPr>
                <w:noProof/>
              </w:rPr>
              <w:t>, un 853)</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Reklāmas pakalpojumi</w:t>
            </w:r>
          </w:p>
          <w:p w:rsidR="003E022D" w:rsidRDefault="007D19D6">
            <w:pPr>
              <w:widowControl w:val="0"/>
              <w:spacing w:before="60" w:after="60"/>
              <w:rPr>
                <w:rFonts w:eastAsia="SimSun"/>
                <w:noProof/>
                <w:u w:val="single"/>
              </w:rPr>
            </w:pPr>
            <w:r>
              <w:rPr>
                <w:noProof/>
              </w:rPr>
              <w:t>(CPC 871)</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val="fr-FR"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Tirgus un sabiedriskās domas izpētes pakalpojumi</w:t>
            </w:r>
          </w:p>
          <w:p w:rsidR="003E022D" w:rsidRDefault="007D19D6">
            <w:pPr>
              <w:widowControl w:val="0"/>
              <w:spacing w:before="60" w:after="60"/>
              <w:rPr>
                <w:rFonts w:eastAsia="SimSun"/>
                <w:noProof/>
              </w:rPr>
            </w:pPr>
            <w:r>
              <w:rPr>
                <w:noProof/>
              </w:rPr>
              <w:t>(CPC 864)</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Vadības konsultāciju pakalpojumi</w:t>
            </w:r>
          </w:p>
          <w:p w:rsidR="003E022D" w:rsidRDefault="007D19D6">
            <w:pPr>
              <w:widowControl w:val="0"/>
              <w:spacing w:before="60" w:after="60"/>
              <w:rPr>
                <w:rFonts w:eastAsia="SimSun"/>
                <w:noProof/>
              </w:rPr>
            </w:pPr>
            <w:r>
              <w:rPr>
                <w:noProof/>
              </w:rPr>
              <w:t>(CPC 865)</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Ar vadības konsultācijām saistīti pakalpojumi</w:t>
            </w:r>
          </w:p>
          <w:p w:rsidR="003E022D" w:rsidRDefault="007D19D6">
            <w:pPr>
              <w:widowControl w:val="0"/>
              <w:spacing w:before="60" w:after="60"/>
              <w:rPr>
                <w:rFonts w:eastAsia="SimSun"/>
                <w:noProof/>
              </w:rPr>
            </w:pPr>
            <w:r>
              <w:rPr>
                <w:noProof/>
              </w:rPr>
              <w:t>(CPC 866)</w:t>
            </w:r>
          </w:p>
        </w:tc>
        <w:tc>
          <w:tcPr>
            <w:tcW w:w="6966" w:type="dxa"/>
            <w:shd w:val="clear" w:color="auto" w:fill="FFFFFF"/>
          </w:tcPr>
          <w:p w:rsidR="003E022D" w:rsidRDefault="007D19D6">
            <w:pPr>
              <w:widowControl w:val="0"/>
              <w:spacing w:before="60" w:after="60"/>
              <w:rPr>
                <w:rFonts w:eastAsia="SimSun"/>
                <w:noProof/>
              </w:rPr>
            </w:pPr>
            <w:r>
              <w:rPr>
                <w:noProof/>
                <w:u w:val="single"/>
              </w:rPr>
              <w:t>LPS</w:t>
            </w:r>
            <w:r>
              <w:rPr>
                <w:noProof/>
              </w:rPr>
              <w:t>:</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 xml:space="preserve">Tehnoloģisko pārbaužu un </w:t>
            </w:r>
            <w:r>
              <w:rPr>
                <w:b/>
                <w:bCs/>
                <w:noProof/>
              </w:rPr>
              <w:t>analīžu pakalpojumi</w:t>
            </w:r>
          </w:p>
          <w:p w:rsidR="003E022D" w:rsidRDefault="007D19D6">
            <w:pPr>
              <w:widowControl w:val="0"/>
              <w:spacing w:before="60" w:after="60"/>
              <w:rPr>
                <w:rFonts w:eastAsia="SimSun"/>
                <w:noProof/>
              </w:rPr>
            </w:pPr>
            <w:r>
              <w:rPr>
                <w:noProof/>
              </w:rPr>
              <w:t>(CPC 8676)</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Saistītie zinātnisko un tehnisko konsultāciju pakalpojumi</w:t>
            </w:r>
          </w:p>
          <w:p w:rsidR="003E022D" w:rsidRDefault="007D19D6">
            <w:pPr>
              <w:widowControl w:val="0"/>
              <w:spacing w:before="60" w:after="60"/>
              <w:rPr>
                <w:rFonts w:eastAsia="SimSun"/>
                <w:noProof/>
              </w:rPr>
            </w:pPr>
            <w:r>
              <w:rPr>
                <w:noProof/>
              </w:rPr>
              <w:t>(CPC 8675)</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bCs/>
                <w:noProof/>
              </w:rPr>
              <w:t>Ieguves rūpniecība</w:t>
            </w:r>
            <w:r>
              <w:rPr>
                <w:noProof/>
              </w:rPr>
              <w:t xml:space="preserve"> (CPC 883, tikai padomdevēju un konsultāciju pakalpojumi)</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u w:val="single"/>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 xml:space="preserve">Kuģu </w:t>
            </w:r>
            <w:r>
              <w:rPr>
                <w:b/>
                <w:bCs/>
                <w:noProof/>
              </w:rPr>
              <w:t>apkope un remonts</w:t>
            </w:r>
          </w:p>
          <w:p w:rsidR="003E022D" w:rsidRDefault="007D19D6">
            <w:pPr>
              <w:widowControl w:val="0"/>
              <w:spacing w:before="60" w:after="60"/>
              <w:rPr>
                <w:rFonts w:eastAsia="SimSun"/>
                <w:noProof/>
              </w:rPr>
            </w:pPr>
            <w:r>
              <w:rPr>
                <w:noProof/>
              </w:rPr>
              <w:t>(daļa no CPC 8868)</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Dzelzceļa transporta aprīkojuma apkope un remonts</w:t>
            </w:r>
          </w:p>
          <w:p w:rsidR="003E022D" w:rsidRDefault="007D19D6">
            <w:pPr>
              <w:widowControl w:val="0"/>
              <w:spacing w:before="60" w:after="60"/>
              <w:rPr>
                <w:rFonts w:eastAsia="SimSun"/>
                <w:noProof/>
              </w:rPr>
            </w:pPr>
            <w:r>
              <w:rPr>
                <w:noProof/>
              </w:rPr>
              <w:t>(daļa no CPC 8868)</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 xml:space="preserve">Mehānisko transportlīdzekļu, motociklu, sniega motociklu un autopārvadājumu aprīkojuma apkope </w:t>
            </w:r>
            <w:r>
              <w:rPr>
                <w:b/>
                <w:bCs/>
                <w:noProof/>
              </w:rPr>
              <w:t>un remonts</w:t>
            </w:r>
          </w:p>
          <w:p w:rsidR="003E022D" w:rsidRDefault="007D19D6">
            <w:pPr>
              <w:widowControl w:val="0"/>
              <w:spacing w:before="60" w:after="60"/>
              <w:rPr>
                <w:rFonts w:eastAsia="SimSun"/>
                <w:noProof/>
              </w:rPr>
            </w:pPr>
            <w:r>
              <w:rPr>
                <w:noProof/>
              </w:rPr>
              <w:t>(CPC 6112, 6122, daļa no 8867 un daļa no 8868)</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Gaisa kuģu un to daļu apkope un remonts</w:t>
            </w:r>
          </w:p>
          <w:p w:rsidR="003E022D" w:rsidRDefault="007D19D6">
            <w:pPr>
              <w:widowControl w:val="0"/>
              <w:spacing w:before="60" w:after="60"/>
              <w:rPr>
                <w:rFonts w:eastAsia="SimSun"/>
                <w:noProof/>
              </w:rPr>
            </w:pPr>
            <w:r>
              <w:rPr>
                <w:noProof/>
              </w:rPr>
              <w:t>(daļa no CPC 8868)</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noProof/>
              </w:rPr>
              <w:t xml:space="preserve">Metālizstrādājumu, (ar biroju nesaistītu) mehānismu, (ar pārvadājumiem un biroju) </w:t>
            </w:r>
            <w:r>
              <w:rPr>
                <w:b/>
                <w:noProof/>
              </w:rPr>
              <w:t>nesaistītu iekārtu un individuālās lietošanas priekšmetu un mājsaimniecības piederumu apkopes un remonta pakalpojumi</w:t>
            </w:r>
            <w:r>
              <w:rPr>
                <w:rFonts w:eastAsia="Calibri"/>
                <w:b/>
                <w:noProof/>
                <w:vertAlign w:val="superscript"/>
                <w:lang w:eastAsia="fr-BE"/>
              </w:rPr>
              <w:footnoteReference w:id="117"/>
            </w:r>
          </w:p>
          <w:p w:rsidR="003E022D" w:rsidRDefault="007D19D6">
            <w:pPr>
              <w:widowControl w:val="0"/>
              <w:spacing w:before="60" w:after="60"/>
              <w:rPr>
                <w:rFonts w:eastAsia="SimSun"/>
                <w:noProof/>
              </w:rPr>
            </w:pPr>
            <w:r>
              <w:rPr>
                <w:noProof/>
              </w:rPr>
              <w:t>(CPC 633, 7545, 8861, 8862, 8864, 8865 un 8866)</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Rakstiskās un mutiskās tulkošanas pakalpojumi</w:t>
            </w:r>
          </w:p>
          <w:p w:rsidR="003E022D" w:rsidRDefault="007D19D6">
            <w:pPr>
              <w:widowControl w:val="0"/>
              <w:spacing w:before="60" w:after="60"/>
              <w:rPr>
                <w:rFonts w:eastAsia="SimSun"/>
                <w:noProof/>
              </w:rPr>
            </w:pPr>
            <w:r>
              <w:rPr>
                <w:noProof/>
              </w:rPr>
              <w:t xml:space="preserve">(CPC 87905, </w:t>
            </w:r>
            <w:r>
              <w:rPr>
                <w:noProof/>
              </w:rPr>
              <w:t>izņemot oficiālas vai sertificētas darbības)</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val="en-IE"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bCs/>
                <w:noProof/>
              </w:rPr>
              <w:t>Telesakaru pakalpojumi</w:t>
            </w:r>
            <w:r>
              <w:rPr>
                <w:noProof/>
              </w:rPr>
              <w:t xml:space="preserve"> (CPC 7544, tikai padomdevēju un konsultāciju pakalpojumi)</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bCs/>
                <w:noProof/>
              </w:rPr>
              <w:t>Pasta un kurjeru pakalpojumi</w:t>
            </w:r>
            <w:r>
              <w:rPr>
                <w:noProof/>
              </w:rPr>
              <w:t xml:space="preserve"> (CPC 751, tikai padomdevēju un konsultāciju pakalpojumi)</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Būvniecība un saistītie inženiertehniskie pakalpojumi</w:t>
            </w:r>
          </w:p>
          <w:p w:rsidR="003E022D" w:rsidRDefault="007D19D6">
            <w:pPr>
              <w:widowControl w:val="0"/>
              <w:spacing w:before="60" w:after="60"/>
              <w:rPr>
                <w:rFonts w:eastAsia="SimSun"/>
                <w:noProof/>
              </w:rPr>
            </w:pPr>
            <w:r>
              <w:rPr>
                <w:noProof/>
              </w:rPr>
              <w:t>(CPC 511, 512, 513, 514, 515, 516, 517 un 518. BG: CPC 512, 5131, 5132, 5135, 514, 5161, 5162, 51641, 51643, 51644, 5165 un 517)</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 xml:space="preserve">Būvlaukuma izpētes </w:t>
            </w:r>
            <w:r>
              <w:rPr>
                <w:b/>
                <w:bCs/>
                <w:noProof/>
              </w:rPr>
              <w:t>darbs</w:t>
            </w:r>
          </w:p>
          <w:p w:rsidR="003E022D" w:rsidRDefault="007D19D6">
            <w:pPr>
              <w:widowControl w:val="0"/>
              <w:spacing w:before="60" w:after="60"/>
              <w:rPr>
                <w:rFonts w:eastAsia="SimSun"/>
                <w:noProof/>
              </w:rPr>
            </w:pPr>
            <w:r>
              <w:rPr>
                <w:noProof/>
              </w:rPr>
              <w:t>(CPC 5111)</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Augstākās izglītības pakalpojumi</w:t>
            </w:r>
          </w:p>
          <w:p w:rsidR="003E022D" w:rsidRDefault="007D19D6">
            <w:pPr>
              <w:widowControl w:val="0"/>
              <w:spacing w:before="60" w:after="60"/>
              <w:rPr>
                <w:rFonts w:eastAsia="SimSun"/>
                <w:noProof/>
              </w:rPr>
            </w:pPr>
            <w:r>
              <w:rPr>
                <w:noProof/>
              </w:rPr>
              <w:t>(CPC 923)</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saistību nav</w:t>
            </w:r>
          </w:p>
          <w:p w:rsidR="003E022D" w:rsidRDefault="003E022D">
            <w:pPr>
              <w:widowControl w:val="0"/>
              <w:spacing w:before="60" w:after="60"/>
              <w:rPr>
                <w:rFonts w:eastAsia="SimSun"/>
                <w:noProof/>
                <w:u w:val="single"/>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bCs/>
                <w:noProof/>
              </w:rPr>
              <w:t>Lauksaimniecība, medniecība un mežsaimniecība</w:t>
            </w:r>
            <w:r>
              <w:rPr>
                <w:noProof/>
              </w:rPr>
              <w:t xml:space="preserve"> (CPC 881, tikai padomdevēju un konsultāciju pakalpojumi)</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saistību 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Vides pakalpojumi</w:t>
            </w:r>
          </w:p>
          <w:p w:rsidR="003E022D" w:rsidRDefault="007D19D6">
            <w:pPr>
              <w:widowControl w:val="0"/>
              <w:spacing w:before="60" w:after="60"/>
              <w:rPr>
                <w:rFonts w:eastAsia="SimSun"/>
                <w:noProof/>
              </w:rPr>
            </w:pPr>
            <w:r>
              <w:rPr>
                <w:noProof/>
              </w:rPr>
              <w:t>(CPC 9401, 9402, 9403, 9404, daļa no 94060, 9405, daļa no 9406 un 9409)</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bCs/>
                <w:noProof/>
              </w:rPr>
              <w:t>Apdrošināšana un ar to saistītie pakalpojumi</w:t>
            </w:r>
            <w:r>
              <w:rPr>
                <w:noProof/>
              </w:rPr>
              <w:t xml:space="preserve"> (tikai padomdevēju un konsultāciju pakalpojumi)</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bCs/>
                <w:noProof/>
              </w:rPr>
              <w:t>Citi finanšu</w:t>
            </w:r>
            <w:r>
              <w:rPr>
                <w:b/>
                <w:bCs/>
                <w:noProof/>
              </w:rPr>
              <w:t xml:space="preserve"> pakalpojumi</w:t>
            </w:r>
            <w:r>
              <w:rPr>
                <w:noProof/>
              </w:rPr>
              <w:t xml:space="preserve"> (tikai padomdevēju un konsultāciju pakalpojumi)</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noProof/>
              </w:rPr>
              <w:t>nav</w:t>
            </w:r>
            <w:r>
              <w:rPr>
                <w:noProof/>
                <w:u w:val="single"/>
              </w:rPr>
              <w:t xml:space="preserve"> </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bCs/>
                <w:noProof/>
              </w:rPr>
              <w:t>Transports</w:t>
            </w:r>
            <w:r>
              <w:rPr>
                <w:noProof/>
              </w:rPr>
              <w:t xml:space="preserve"> (CPC 71, 72, 73 un 74, tikai padomdevēju un konsultāciju pakalpojumi)</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noProof/>
              </w:rPr>
              <w:t>nav</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bCs/>
                <w:noProof/>
              </w:rPr>
              <w:t>Ceļojumu aģentūru un ceļojumu rīkotāju pakalpojumi</w:t>
            </w:r>
            <w:r>
              <w:rPr>
                <w:noProof/>
              </w:rPr>
              <w:t xml:space="preserve"> (ietverot ceļojumu vadīt</w:t>
            </w:r>
            <w:r>
              <w:rPr>
                <w:noProof/>
              </w:rPr>
              <w:t>ājus</w:t>
            </w:r>
            <w:r>
              <w:rPr>
                <w:rFonts w:eastAsia="Calibri"/>
                <w:b/>
                <w:noProof/>
                <w:vertAlign w:val="superscript"/>
                <w:lang w:eastAsia="fr-BE"/>
              </w:rPr>
              <w:footnoteReference w:id="118"/>
            </w:r>
            <w:r>
              <w:rPr>
                <w:noProof/>
              </w:rPr>
              <w:t>)</w:t>
            </w:r>
          </w:p>
          <w:p w:rsidR="003E022D" w:rsidRDefault="007D19D6">
            <w:pPr>
              <w:widowControl w:val="0"/>
              <w:spacing w:before="60" w:after="60"/>
              <w:rPr>
                <w:rFonts w:eastAsia="SimSun"/>
                <w:noProof/>
                <w:u w:val="single"/>
              </w:rPr>
            </w:pPr>
            <w:r>
              <w:rPr>
                <w:noProof/>
              </w:rPr>
              <w:t>(CPC 7471)</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b/>
                <w:bCs/>
                <w:noProof/>
              </w:rPr>
            </w:pPr>
            <w:r>
              <w:rPr>
                <w:b/>
                <w:bCs/>
                <w:noProof/>
              </w:rPr>
              <w:t>Tūristu gidu pakalpojumi</w:t>
            </w:r>
          </w:p>
          <w:p w:rsidR="003E022D" w:rsidRDefault="007D19D6">
            <w:pPr>
              <w:widowControl w:val="0"/>
              <w:spacing w:before="60" w:after="60"/>
              <w:rPr>
                <w:rFonts w:eastAsia="SimSun"/>
                <w:noProof/>
              </w:rPr>
            </w:pPr>
            <w:r>
              <w:rPr>
                <w:noProof/>
              </w:rPr>
              <w:t>(CPC 7472)</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val="fr-FR" w:eastAsia="zh-CN"/>
              </w:rPr>
            </w:pPr>
          </w:p>
          <w:p w:rsidR="003E022D" w:rsidRDefault="007D19D6">
            <w:pPr>
              <w:widowControl w:val="0"/>
              <w:spacing w:before="60" w:after="60"/>
              <w:rPr>
                <w:rFonts w:eastAsia="SimSun"/>
                <w:noProof/>
              </w:rPr>
            </w:pPr>
            <w:r>
              <w:rPr>
                <w:noProof/>
                <w:u w:val="single"/>
              </w:rPr>
              <w:t>NS</w:t>
            </w:r>
            <w:r>
              <w:rPr>
                <w:noProof/>
              </w:rPr>
              <w:t>:</w:t>
            </w:r>
          </w:p>
          <w:p w:rsidR="003E022D" w:rsidRDefault="007D19D6">
            <w:pPr>
              <w:widowControl w:val="0"/>
              <w:spacing w:before="60" w:after="60"/>
              <w:rPr>
                <w:rFonts w:eastAsia="SimSun"/>
                <w:noProof/>
              </w:rPr>
            </w:pPr>
            <w:r>
              <w:rPr>
                <w:noProof/>
              </w:rPr>
              <w:t>saistību nav</w:t>
            </w:r>
          </w:p>
        </w:tc>
      </w:tr>
      <w:tr w:rsidR="003E022D">
        <w:trPr>
          <w:cantSplit/>
          <w:jc w:val="center"/>
        </w:trPr>
        <w:tc>
          <w:tcPr>
            <w:tcW w:w="2972" w:type="dxa"/>
            <w:shd w:val="clear" w:color="auto" w:fill="FFFFFF"/>
          </w:tcPr>
          <w:p w:rsidR="003E022D" w:rsidRDefault="007D19D6">
            <w:pPr>
              <w:widowControl w:val="0"/>
              <w:spacing w:before="60" w:after="60"/>
              <w:rPr>
                <w:rFonts w:eastAsia="SimSun"/>
                <w:noProof/>
              </w:rPr>
            </w:pPr>
            <w:r>
              <w:rPr>
                <w:b/>
                <w:bCs/>
                <w:noProof/>
              </w:rPr>
              <w:t>Ražošana</w:t>
            </w:r>
            <w:r>
              <w:rPr>
                <w:noProof/>
              </w:rPr>
              <w:t xml:space="preserve"> (CPC 884 un 885, tikai padomdevēju un konsultāciju pakalpojumi)</w:t>
            </w:r>
          </w:p>
        </w:tc>
        <w:tc>
          <w:tcPr>
            <w:tcW w:w="6966" w:type="dxa"/>
            <w:shd w:val="clear" w:color="auto" w:fill="FFFFFF"/>
          </w:tcPr>
          <w:p w:rsidR="003E022D" w:rsidRDefault="007D19D6">
            <w:pPr>
              <w:widowControl w:val="0"/>
              <w:spacing w:before="60" w:after="60"/>
              <w:rPr>
                <w:rFonts w:eastAsia="SimSun"/>
                <w:noProof/>
                <w:u w:val="single"/>
              </w:rPr>
            </w:pPr>
            <w:r>
              <w:rPr>
                <w:noProof/>
                <w:u w:val="single"/>
              </w:rPr>
              <w:t>LPS:</w:t>
            </w:r>
          </w:p>
          <w:p w:rsidR="003E022D" w:rsidRDefault="007D19D6">
            <w:pPr>
              <w:widowControl w:val="0"/>
              <w:spacing w:before="60" w:after="60"/>
              <w:rPr>
                <w:rFonts w:eastAsia="SimSun"/>
                <w:noProof/>
              </w:rPr>
            </w:pPr>
            <w:r>
              <w:rPr>
                <w:noProof/>
              </w:rPr>
              <w:t>nav</w:t>
            </w:r>
          </w:p>
          <w:p w:rsidR="003E022D" w:rsidRDefault="003E022D">
            <w:pPr>
              <w:widowControl w:val="0"/>
              <w:spacing w:before="60" w:after="60"/>
              <w:rPr>
                <w:rFonts w:eastAsia="SimSun"/>
                <w:noProof/>
                <w:lang w:eastAsia="zh-CN"/>
              </w:rPr>
            </w:pPr>
          </w:p>
          <w:p w:rsidR="003E022D" w:rsidRDefault="007D19D6">
            <w:pPr>
              <w:widowControl w:val="0"/>
              <w:spacing w:before="60" w:after="60"/>
              <w:rPr>
                <w:rFonts w:eastAsia="SimSun"/>
                <w:noProof/>
                <w:u w:val="single"/>
              </w:rPr>
            </w:pPr>
            <w:r>
              <w:rPr>
                <w:noProof/>
                <w:u w:val="single"/>
              </w:rPr>
              <w:t>NS:</w:t>
            </w:r>
          </w:p>
          <w:p w:rsidR="003E022D" w:rsidRDefault="007D19D6">
            <w:pPr>
              <w:widowControl w:val="0"/>
              <w:spacing w:before="60" w:after="60"/>
              <w:rPr>
                <w:rFonts w:eastAsia="SimSun"/>
                <w:noProof/>
              </w:rPr>
            </w:pPr>
            <w:r>
              <w:rPr>
                <w:noProof/>
              </w:rPr>
              <w:t>nav</w:t>
            </w:r>
          </w:p>
        </w:tc>
      </w:tr>
    </w:tbl>
    <w:p w:rsidR="003E022D" w:rsidRDefault="003E022D">
      <w:pPr>
        <w:rPr>
          <w:rFonts w:eastAsia="Calibri" w:cstheme="minorHAnsi"/>
          <w:noProof/>
        </w:rPr>
      </w:pPr>
    </w:p>
    <w:p w:rsidR="003E022D" w:rsidRDefault="003E022D">
      <w:pPr>
        <w:pStyle w:val="ANNEX"/>
        <w:rPr>
          <w:rFonts w:cstheme="minorHAnsi"/>
          <w:noProof/>
        </w:rPr>
      </w:pPr>
    </w:p>
    <w:p w:rsidR="003E022D" w:rsidRDefault="007D19D6">
      <w:pPr>
        <w:rPr>
          <w:rFonts w:eastAsia="Century" w:cstheme="minorHAnsi"/>
          <w:i/>
          <w:noProof/>
        </w:rPr>
      </w:pPr>
      <w:r>
        <w:rPr>
          <w:noProof/>
        </w:rPr>
        <w:br w:type="page"/>
      </w:r>
    </w:p>
    <w:p w:rsidR="003E022D" w:rsidRDefault="007D19D6">
      <w:pPr>
        <w:pStyle w:val="ANNEX"/>
        <w:rPr>
          <w:rFonts w:cstheme="minorHAnsi"/>
          <w:noProof/>
        </w:rPr>
      </w:pPr>
      <w:hyperlink w:anchor="_Toc35449687" w:history="1">
        <w:bookmarkStart w:id="1304" w:name="_Toc59020210"/>
        <w:bookmarkStart w:id="1305" w:name="_Toc59200413"/>
        <w:bookmarkStart w:id="1306" w:name="_Toc59645263"/>
        <w:bookmarkStart w:id="1307" w:name="_Toc59988405"/>
        <w:r>
          <w:rPr>
            <w:noProof/>
          </w:rPr>
          <w:t>SERVIN-5. PIELIKUMS.</w:t>
        </w:r>
      </w:hyperlink>
      <w:hyperlink w:anchor="_Toc35449687" w:history="1">
        <w:bookmarkStart w:id="1308" w:name="_Toc58427914"/>
        <w:r>
          <w:rPr>
            <w:noProof/>
          </w:rPr>
          <w:t xml:space="preserve"> FIZISKU PERSONU PĀRVIETOŠANĀS</w:t>
        </w:r>
        <w:bookmarkEnd w:id="1304"/>
        <w:bookmarkEnd w:id="1305"/>
        <w:bookmarkEnd w:id="1306"/>
        <w:bookmarkEnd w:id="1308"/>
        <w:bookmarkEnd w:id="1307"/>
      </w:hyperlink>
    </w:p>
    <w:p w:rsidR="003E022D" w:rsidRDefault="007D19D6">
      <w:pPr>
        <w:pStyle w:val="Article"/>
        <w:rPr>
          <w:noProof/>
        </w:rPr>
      </w:pPr>
      <w:r>
        <w:rPr>
          <w:noProof/>
        </w:rPr>
        <w:t>1. pants. Ar ieceļošanu un pagaidu uzturēšanos saistītās procedurālās saistības</w:t>
      </w:r>
    </w:p>
    <w:p w:rsidR="003E022D" w:rsidRDefault="007D19D6">
      <w:pPr>
        <w:rPr>
          <w:rFonts w:cs="Arial"/>
          <w:noProof/>
        </w:rPr>
      </w:pPr>
      <w:r>
        <w:rPr>
          <w:noProof/>
        </w:rPr>
        <w:t xml:space="preserve">Puses nodrošina, ka tās pieteikumu par ieceļošanu un pagaidu uzturēšanos izskatīšanā atbilstoši savām attiecīgajām nolīgumā noteiktajām saistībām vadās pēc labas administratīvās prakses. </w:t>
      </w:r>
    </w:p>
    <w:p w:rsidR="003E022D" w:rsidRDefault="007D19D6">
      <w:pPr>
        <w:numPr>
          <w:ilvl w:val="1"/>
          <w:numId w:val="828"/>
        </w:numPr>
        <w:ind w:left="567" w:hanging="567"/>
        <w:rPr>
          <w:rFonts w:cs="Arial"/>
          <w:noProof/>
        </w:rPr>
      </w:pPr>
      <w:r>
        <w:rPr>
          <w:noProof/>
        </w:rPr>
        <w:t xml:space="preserve">Katra Puse nodrošina, ka maksas, ko kompetentās iestādes iekasē par </w:t>
      </w:r>
      <w:r>
        <w:rPr>
          <w:noProof/>
        </w:rPr>
        <w:t xml:space="preserve">ieceļošanas un pagaidu uzturēšanās pieteikumu izskatīšanu, nepamatoti netraucē vai nekavē pakalpojumu tirdzniecību saskaņā ar šo nolīgumu; </w:t>
      </w:r>
    </w:p>
    <w:p w:rsidR="003E022D" w:rsidRDefault="007D19D6">
      <w:pPr>
        <w:numPr>
          <w:ilvl w:val="1"/>
          <w:numId w:val="828"/>
        </w:numPr>
        <w:ind w:left="567" w:hanging="567"/>
        <w:rPr>
          <w:rFonts w:cs="Arial"/>
          <w:noProof/>
        </w:rPr>
      </w:pPr>
      <w:r>
        <w:rPr>
          <w:noProof/>
        </w:rPr>
        <w:t>ievērojot katras Puses kompetento iestāžu rīcības brīvību, dokumentiem, ko pieprasa no pieteikuma iesniedzēja pietei</w:t>
      </w:r>
      <w:r>
        <w:rPr>
          <w:noProof/>
        </w:rPr>
        <w:t xml:space="preserve">kumā ieceļošanas vai pagaidu uzturēšanās atļaujas piešķiršanai īstermiņa viesdarbiniekiem, vajadzētu būt samērīgiem ar to iegūšanas mērķi; </w:t>
      </w:r>
    </w:p>
    <w:p w:rsidR="003E022D" w:rsidRDefault="007D19D6">
      <w:pPr>
        <w:numPr>
          <w:ilvl w:val="1"/>
          <w:numId w:val="828"/>
        </w:numPr>
        <w:ind w:left="567" w:hanging="567"/>
        <w:rPr>
          <w:rFonts w:cs="Arial"/>
          <w:noProof/>
        </w:rPr>
      </w:pPr>
      <w:r>
        <w:rPr>
          <w:noProof/>
        </w:rPr>
        <w:t>aizpildītus pieteikumus ieceļošanas un pagaidu uzturēšanās atļaujas saņemšanai katras Puses kompetentās iestādes izs</w:t>
      </w:r>
      <w:r>
        <w:rPr>
          <w:noProof/>
        </w:rPr>
        <w:t>kata pēc iespējas ātrāk;</w:t>
      </w:r>
    </w:p>
    <w:p w:rsidR="003E022D" w:rsidRDefault="007D19D6">
      <w:pPr>
        <w:numPr>
          <w:ilvl w:val="1"/>
          <w:numId w:val="828"/>
        </w:numPr>
        <w:ind w:left="567" w:hanging="567"/>
        <w:rPr>
          <w:rFonts w:cs="Arial"/>
          <w:noProof/>
        </w:rPr>
      </w:pPr>
      <w:r>
        <w:rPr>
          <w:noProof/>
        </w:rPr>
        <w:t>pēc pieteikuma iesniedzēja jebkura pamatota pieprasījuma katras Puses kompetentās iestādes cenšas bez nepamatotas kavēšanās sniegt informāciju par pieteikuma statusu;</w:t>
      </w:r>
    </w:p>
    <w:p w:rsidR="003E022D" w:rsidRDefault="007D19D6">
      <w:pPr>
        <w:numPr>
          <w:ilvl w:val="1"/>
          <w:numId w:val="828"/>
        </w:numPr>
        <w:ind w:left="567" w:hanging="567"/>
        <w:rPr>
          <w:rFonts w:cs="Arial"/>
          <w:noProof/>
        </w:rPr>
      </w:pPr>
      <w:r>
        <w:rPr>
          <w:noProof/>
        </w:rPr>
        <w:t xml:space="preserve">Ja kādas Puses kompetentajām iestādēm no pieteikuma iesniedzēja </w:t>
      </w:r>
      <w:r>
        <w:rPr>
          <w:noProof/>
        </w:rPr>
        <w:t>ir nepieciešama papildu informācija, lai apstrādātu pieteikumu, tās cenšas bez liekas kavēšanās informēt pieteikuma iesniedzēju;</w:t>
      </w:r>
    </w:p>
    <w:p w:rsidR="003E022D" w:rsidRDefault="007D19D6">
      <w:pPr>
        <w:numPr>
          <w:ilvl w:val="1"/>
          <w:numId w:val="828"/>
        </w:numPr>
        <w:ind w:left="567" w:hanging="567"/>
        <w:rPr>
          <w:rFonts w:cs="Arial"/>
          <w:noProof/>
        </w:rPr>
      </w:pPr>
      <w:r>
        <w:rPr>
          <w:noProof/>
        </w:rPr>
        <w:t>katras Puses kompetentās iestādes informē pieteikuma iesniedzēju par pieteikuma iznākumu nekavējoties pēc lēmuma pieņemšanas;</w:t>
      </w:r>
    </w:p>
    <w:p w:rsidR="003E022D" w:rsidRDefault="007D19D6">
      <w:pPr>
        <w:numPr>
          <w:ilvl w:val="1"/>
          <w:numId w:val="828"/>
        </w:numPr>
        <w:ind w:left="567" w:hanging="567"/>
        <w:rPr>
          <w:rFonts w:cs="Arial"/>
          <w:noProof/>
        </w:rPr>
      </w:pPr>
      <w:r>
        <w:rPr>
          <w:noProof/>
        </w:rPr>
        <w:t xml:space="preserve">ja pieteikums tiek apstiprināts, tad katras Puses kompetentās iestādes pieteikuma iesniedzējam paziņo uzturēšanās ilgumu un citus svarīgus noteikumus; </w:t>
      </w:r>
    </w:p>
    <w:p w:rsidR="003E022D" w:rsidRDefault="007D19D6">
      <w:pPr>
        <w:numPr>
          <w:ilvl w:val="1"/>
          <w:numId w:val="828"/>
        </w:numPr>
        <w:ind w:left="567" w:hanging="567"/>
        <w:rPr>
          <w:rFonts w:cs="Arial"/>
          <w:noProof/>
        </w:rPr>
      </w:pPr>
      <w:r>
        <w:rPr>
          <w:noProof/>
        </w:rPr>
        <w:t>ja pieteikums tiek noraidīts, tad Puses kompetentās iestādes pēc pieprasījuma vai pēc pašu iniciatīvas d</w:t>
      </w:r>
      <w:r>
        <w:rPr>
          <w:noProof/>
        </w:rPr>
        <w:t>ara pieteikuma iesniedzējam pieejamu informāciju par jebkādām iespējamām pārskatīšanas un pārsūdzības procedūrām un</w:t>
      </w:r>
    </w:p>
    <w:p w:rsidR="003E022D" w:rsidRDefault="007D19D6">
      <w:pPr>
        <w:numPr>
          <w:ilvl w:val="1"/>
          <w:numId w:val="828"/>
        </w:numPr>
        <w:ind w:left="567" w:hanging="567"/>
        <w:rPr>
          <w:rFonts w:cs="Arial"/>
          <w:noProof/>
        </w:rPr>
      </w:pPr>
      <w:r>
        <w:rPr>
          <w:noProof/>
        </w:rPr>
        <w:t>katra Puse cenšas pieņemt un izskatīt pieteikumus elektroniskā formā.</w:t>
      </w:r>
    </w:p>
    <w:p w:rsidR="003E022D" w:rsidRDefault="007D19D6">
      <w:pPr>
        <w:pStyle w:val="Article"/>
        <w:rPr>
          <w:noProof/>
        </w:rPr>
      </w:pPr>
      <w:r>
        <w:rPr>
          <w:noProof/>
        </w:rPr>
        <w:t>2. pants. Papildu procedurālās saistības, ko piemēro uzņēmumu ietvaros</w:t>
      </w:r>
      <w:r>
        <w:rPr>
          <w:noProof/>
        </w:rPr>
        <w:t xml:space="preserve"> pārceltiem darbiniekiem, to partneriem, bērniem un ģimenes locekļiem</w:t>
      </w:r>
      <w:r>
        <w:rPr>
          <w:rStyle w:val="FootnoteReference"/>
          <w:rFonts w:cs="Arial"/>
          <w:noProof/>
        </w:rPr>
        <w:footnoteReference w:id="119"/>
      </w:r>
      <w:r>
        <w:rPr>
          <w:noProof/>
        </w:rPr>
        <w:t xml:space="preserve"> </w:t>
      </w:r>
    </w:p>
    <w:p w:rsidR="003E022D" w:rsidRDefault="007D19D6">
      <w:pPr>
        <w:numPr>
          <w:ilvl w:val="0"/>
          <w:numId w:val="829"/>
        </w:numPr>
        <w:ind w:left="0" w:firstLine="0"/>
        <w:rPr>
          <w:rFonts w:cs="Arial"/>
          <w:noProof/>
        </w:rPr>
      </w:pPr>
      <w:r>
        <w:rPr>
          <w:noProof/>
        </w:rPr>
        <w:t>Katras Puses kompetentās iestādes pieņem lēmumu par uzņēmuma ietvaros pārcelta darbinieka pieteikumu par ieceļošanu vai pagaidu uzturēšanos vai tā atjaunošanu un lēmumu paziņo pieteiku</w:t>
      </w:r>
      <w:r>
        <w:rPr>
          <w:noProof/>
        </w:rPr>
        <w:t>ma iesniedzējam rakstveidā saskaņā ar paziņošanas procedūrām, ko paredz valsts normatīvie akti, cik vien drīz iespējams, bet ne vēlāk kā 90 dienas pēc pilnīga pieteikuma iesniegšanas datuma.</w:t>
      </w:r>
    </w:p>
    <w:p w:rsidR="003E022D" w:rsidRDefault="007D19D6">
      <w:pPr>
        <w:numPr>
          <w:ilvl w:val="0"/>
          <w:numId w:val="829"/>
        </w:numPr>
        <w:ind w:left="0" w:firstLine="0"/>
        <w:rPr>
          <w:rFonts w:cs="Arial"/>
          <w:noProof/>
        </w:rPr>
      </w:pPr>
      <w:r>
        <w:rPr>
          <w:noProof/>
        </w:rPr>
        <w:t>Ja informācija vai dokumentācija, ko iesniedz pieteikuma pamatoju</w:t>
      </w:r>
      <w:r>
        <w:rPr>
          <w:noProof/>
        </w:rPr>
        <w:t>mam, nav pilnīga, kompetentās iestādes cenšas pieteikuma iesniedzējam samērīgā laikposmā paziņot par nepieciešamo papildu informāciju un noteikt samērīgu laikposmu tās iesniegšanai. Šā panta 1. punktā minēto laikposmā neieskaita laiku, kad kompetentās iest</w:t>
      </w:r>
      <w:r>
        <w:rPr>
          <w:noProof/>
        </w:rPr>
        <w:t>ādes nav saņēmušas nepieciešamo papildu informāciju.</w:t>
      </w:r>
    </w:p>
    <w:p w:rsidR="003E022D" w:rsidRDefault="007D19D6">
      <w:pPr>
        <w:numPr>
          <w:ilvl w:val="0"/>
          <w:numId w:val="829"/>
        </w:numPr>
        <w:ind w:left="0" w:firstLine="0"/>
        <w:rPr>
          <w:rFonts w:cs="Arial"/>
          <w:noProof/>
        </w:rPr>
      </w:pPr>
      <w:r>
        <w:rPr>
          <w:noProof/>
        </w:rPr>
        <w:t>Savienība uz Apvienotās Karalistes fizisko personu ģimenes locekļiem, kas ir uzņēmuma ietvaros pārcelti darbinieki uz Savienību, attiecina ieceļošanas un pagaidu uzturēšanās tiesības, kas uzņēmuma ietvar</w:t>
      </w:r>
      <w:r>
        <w:rPr>
          <w:noProof/>
        </w:rPr>
        <w:t xml:space="preserve">os pārcelta darbinieka ģimenes locekļiem piešķirtas saskaņā ar 19. pantu Eiropas Parlamenta un Padomes Direktīvā 2014/66/ES (2014. gada 15. maijs) par uzņēmuma ietvaros pārceltu trešo valstu valstspiederīgo ieceļošanas un uzturēšanās nosacījumiem. </w:t>
      </w:r>
    </w:p>
    <w:p w:rsidR="003E022D" w:rsidRDefault="007D19D6">
      <w:pPr>
        <w:numPr>
          <w:ilvl w:val="0"/>
          <w:numId w:val="829"/>
        </w:numPr>
        <w:ind w:left="0" w:firstLine="0"/>
        <w:rPr>
          <w:rFonts w:cs="Arial"/>
          <w:noProof/>
        </w:rPr>
      </w:pPr>
      <w:r>
        <w:rPr>
          <w:noProof/>
        </w:rPr>
        <w:t>Apvieno</w:t>
      </w:r>
      <w:r>
        <w:rPr>
          <w:noProof/>
        </w:rPr>
        <w:t>tā Karaliste atļauj uzņēmuma ietvaros pārceltu darbinieku partneru un apgādājamo bērnu ieceļošanu un pagaidu uzturēšanos, kā atļauts saskaņā ar Apvienotās Karalistes imigrācijas noteikumiem.</w:t>
      </w:r>
    </w:p>
    <w:p w:rsidR="003E022D" w:rsidRDefault="007D19D6">
      <w:pPr>
        <w:numPr>
          <w:ilvl w:val="0"/>
          <w:numId w:val="829"/>
        </w:numPr>
        <w:ind w:left="0" w:firstLine="0"/>
        <w:rPr>
          <w:rFonts w:cs="Arial"/>
          <w:b/>
          <w:bCs/>
          <w:iCs/>
          <w:noProof/>
        </w:rPr>
      </w:pPr>
      <w:r>
        <w:rPr>
          <w:noProof/>
        </w:rPr>
        <w:t>Apvienotā Karaliste ļauj 4. punktā minētajiem uzņēmuma ietvaros p</w:t>
      </w:r>
      <w:r>
        <w:rPr>
          <w:noProof/>
        </w:rPr>
        <w:t>ārceltu darbinieku partneriem un apgādājamiem bērniem to vīzas darbības laikā strādāt darbinieka vai pašnodarbinātas personas statusā un nepieprasa viņiem iegūt darba atļauju.</w:t>
      </w:r>
    </w:p>
    <w:p w:rsidR="003E022D" w:rsidRDefault="003E022D">
      <w:pPr>
        <w:pStyle w:val="ANNEX"/>
        <w:rPr>
          <w:rFonts w:cstheme="minorHAnsi"/>
          <w:noProof/>
        </w:rPr>
      </w:pPr>
    </w:p>
    <w:p w:rsidR="003E022D" w:rsidRDefault="007D19D6">
      <w:pPr>
        <w:rPr>
          <w:rFonts w:eastAsia="Century" w:cstheme="minorHAnsi"/>
          <w:i/>
          <w:noProof/>
        </w:rPr>
      </w:pPr>
      <w:r>
        <w:rPr>
          <w:noProof/>
        </w:rPr>
        <w:br w:type="page"/>
      </w:r>
    </w:p>
    <w:p w:rsidR="003E022D" w:rsidRDefault="007D19D6">
      <w:pPr>
        <w:pStyle w:val="ANNEX"/>
        <w:rPr>
          <w:rFonts w:cstheme="minorHAnsi"/>
          <w:noProof/>
        </w:rPr>
      </w:pPr>
      <w:hyperlink w:anchor="_Toc35449688" w:history="1">
        <w:bookmarkStart w:id="1309" w:name="_Toc59020211"/>
        <w:bookmarkStart w:id="1310" w:name="_Toc59200414"/>
        <w:bookmarkStart w:id="1311" w:name="_Toc59645264"/>
        <w:bookmarkStart w:id="1312" w:name="_Toc59988406"/>
        <w:r>
          <w:rPr>
            <w:noProof/>
          </w:rPr>
          <w:t>SERVIN-6. PIELIKUMS.</w:t>
        </w:r>
      </w:hyperlink>
      <w:hyperlink w:anchor="_Toc35449688" w:history="1">
        <w:bookmarkStart w:id="1313" w:name="_Toc58427915"/>
        <w:r>
          <w:rPr>
            <w:noProof/>
          </w:rPr>
          <w:t xml:space="preserve"> VADLĪNIJAS PAR PROFESIONĀLO KVALIFIKĀCIJU ATZĪŠANAS KĀRTĪBU</w:t>
        </w:r>
        <w:bookmarkEnd w:id="1309"/>
        <w:bookmarkEnd w:id="1310"/>
        <w:bookmarkEnd w:id="1311"/>
        <w:bookmarkEnd w:id="1313"/>
        <w:bookmarkEnd w:id="1312"/>
      </w:hyperlink>
    </w:p>
    <w:p w:rsidR="003E022D" w:rsidRDefault="007D19D6">
      <w:pPr>
        <w:widowControl w:val="0"/>
        <w:jc w:val="center"/>
        <w:rPr>
          <w:rFonts w:eastAsia="Times New Roman"/>
          <w:bCs/>
          <w:i/>
          <w:iCs/>
          <w:noProof/>
        </w:rPr>
      </w:pPr>
      <w:r>
        <w:rPr>
          <w:bCs/>
          <w:i/>
          <w:iCs/>
          <w:noProof/>
        </w:rPr>
        <w:t>A IEDAĻA. Vispārīgie noteikumi</w:t>
      </w:r>
    </w:p>
    <w:p w:rsidR="003E022D" w:rsidRDefault="007D19D6">
      <w:pPr>
        <w:jc w:val="center"/>
        <w:rPr>
          <w:b/>
          <w:i/>
          <w:noProof/>
        </w:rPr>
      </w:pPr>
      <w:r>
        <w:rPr>
          <w:b/>
          <w:i/>
          <w:noProof/>
        </w:rPr>
        <w:t>Ievads</w:t>
      </w:r>
    </w:p>
    <w:p w:rsidR="003E022D" w:rsidRDefault="007D19D6">
      <w:pPr>
        <w:rPr>
          <w:noProof/>
        </w:rPr>
      </w:pPr>
      <w:r>
        <w:rPr>
          <w:noProof/>
        </w:rPr>
        <w:t>1.</w:t>
      </w:r>
      <w:r>
        <w:rPr>
          <w:noProof/>
        </w:rPr>
        <w:tab/>
        <w:t>Šajā pielikumā ir iekļautas vadlīnijas par vienošanos attiecībā uz profesionālo kvalifikāciju atzīšanas nosacījumiem (“vienošanās”), kā paredzēts S</w:t>
      </w:r>
      <w:r>
        <w:rPr>
          <w:noProof/>
        </w:rPr>
        <w:t>ERVIN.5.13. pantā [Profesionālās kvalifikācijas].</w:t>
      </w:r>
    </w:p>
    <w:p w:rsidR="003E022D" w:rsidRDefault="007D19D6">
      <w:pPr>
        <w:rPr>
          <w:noProof/>
        </w:rPr>
      </w:pPr>
      <w:r>
        <w:rPr>
          <w:noProof/>
        </w:rPr>
        <w:t>2.</w:t>
      </w:r>
      <w:r>
        <w:rPr>
          <w:noProof/>
        </w:rPr>
        <w:tab/>
        <w:t>Saskaņā ar minēto pantu šīs vadlīnijas ņem vērā, izstrādājot Pušu profesionālo organizāciju vai iestāžu kopīgos ieteikumus (“kopīgi ieteikumi”).</w:t>
      </w:r>
    </w:p>
    <w:p w:rsidR="003E022D" w:rsidRDefault="007D19D6">
      <w:pPr>
        <w:rPr>
          <w:noProof/>
        </w:rPr>
      </w:pPr>
      <w:r>
        <w:rPr>
          <w:noProof/>
        </w:rPr>
        <w:t>3.</w:t>
      </w:r>
      <w:r>
        <w:rPr>
          <w:noProof/>
        </w:rPr>
        <w:tab/>
        <w:t xml:space="preserve">Šīs vadlīnijas nav saistošas, nav izsmeļošas un tās </w:t>
      </w:r>
      <w:r>
        <w:rPr>
          <w:noProof/>
        </w:rPr>
        <w:t>nemaina un neietekmē šajā nolīgumā paredzētās Pušu tiesības un pienākumus. Tajās ir izklāstīts tipisks vienošanās saturs un sniegtas vispārīgas norādes par vienošanās ekonomisko vērtību un attiecīgo profesionālās kvalifikācijas režīmu saderību.</w:t>
      </w:r>
    </w:p>
    <w:p w:rsidR="003E022D" w:rsidRDefault="007D19D6">
      <w:pPr>
        <w:rPr>
          <w:noProof/>
        </w:rPr>
      </w:pPr>
      <w:r>
        <w:rPr>
          <w:noProof/>
        </w:rPr>
        <w:t>4.</w:t>
      </w:r>
      <w:r>
        <w:rPr>
          <w:noProof/>
        </w:rPr>
        <w:tab/>
        <w:t xml:space="preserve">Ne visi </w:t>
      </w:r>
      <w:r>
        <w:rPr>
          <w:noProof/>
        </w:rPr>
        <w:t xml:space="preserve">šo vadlīniju elementi var būt būtiski visos gadījumos, un profesionālās organizācijas un iestādes var brīvi iekļaut savos kopīgajos ieteikumos jebkuru citu elementu, ko tās uzskata par būtisku vienošanās par attiecīgo profesiju un profesionālajām darbībām </w:t>
      </w:r>
      <w:r>
        <w:rPr>
          <w:noProof/>
        </w:rPr>
        <w:t>elementu saskaņā ar šo nolīgumu.</w:t>
      </w:r>
    </w:p>
    <w:p w:rsidR="003E022D" w:rsidRDefault="007D19D6">
      <w:pPr>
        <w:rPr>
          <w:noProof/>
        </w:rPr>
      </w:pPr>
      <w:r>
        <w:rPr>
          <w:noProof/>
        </w:rPr>
        <w:t>5.</w:t>
      </w:r>
      <w:r>
        <w:rPr>
          <w:noProof/>
        </w:rPr>
        <w:tab/>
        <w:t>Partnerības padomei būtu jāņem vērā vadlīnijas, lemjot par to, vai izstrādāt un pieņemt vienošanās. Tās neskar tās pārskatu par kopīgo ieteikumu atbilstību Otrās daļas [Tirdzniecība, transports un zvejniecība] Pirmā tema</w:t>
      </w:r>
      <w:r>
        <w:rPr>
          <w:noProof/>
        </w:rPr>
        <w:t>ta [Tirdzniecība] II sadaļai [Pakalpojumi un investīcijas] un tās rīcības brīvību ņemt vērā elementus, ko tā uzskata par būtiskiem, tostarp tos, kas ietverti kopīgajos ieteikumos.</w:t>
      </w:r>
    </w:p>
    <w:p w:rsidR="003E022D" w:rsidRDefault="007D19D6">
      <w:pPr>
        <w:jc w:val="center"/>
        <w:rPr>
          <w:i/>
          <w:noProof/>
        </w:rPr>
      </w:pPr>
      <w:r>
        <w:rPr>
          <w:i/>
          <w:noProof/>
        </w:rPr>
        <w:t>B IEDAĻA. Vienošanās forma un saturs</w:t>
      </w:r>
    </w:p>
    <w:p w:rsidR="003E022D" w:rsidRDefault="007D19D6">
      <w:pPr>
        <w:rPr>
          <w:noProof/>
        </w:rPr>
      </w:pPr>
      <w:r>
        <w:rPr>
          <w:noProof/>
        </w:rPr>
        <w:t>6.</w:t>
      </w:r>
      <w:r>
        <w:rPr>
          <w:noProof/>
        </w:rPr>
        <w:tab/>
        <w:t>Šajā iedaļā ir izklāstīts tipisks vi</w:t>
      </w:r>
      <w:r>
        <w:rPr>
          <w:noProof/>
        </w:rPr>
        <w:t>enošanās saturs, kas daļēji nav to profesionālo organizāciju vai iestāžu kompetencē, kuras sagatavo kopīgos ieteikumus. Tomēr šie aspekti ir noderīga informācija, kas jāņem vērā, sagatavojot kopīgos ieteikumus, lai tie būtu labāk pielāgoti iespējamajai vie</w:t>
      </w:r>
      <w:r>
        <w:rPr>
          <w:noProof/>
        </w:rPr>
        <w:t>nošanās darbības jomai.</w:t>
      </w:r>
    </w:p>
    <w:p w:rsidR="003E022D" w:rsidRDefault="007D19D6">
      <w:pPr>
        <w:rPr>
          <w:noProof/>
        </w:rPr>
      </w:pPr>
      <w:r>
        <w:rPr>
          <w:noProof/>
        </w:rPr>
        <w:t>7.</w:t>
      </w:r>
      <w:r>
        <w:rPr>
          <w:noProof/>
        </w:rPr>
        <w:tab/>
        <w:t>Jautājumi, kas atsevišķi aplūkoti šajā nolīgumā un attiecas uz vienošanos (piemēram, vienošanās ģeogrāfiskā darbības joma, tās mijiedarbība ar plānotiem neatbilstošiem pasākumiem, strīdu izšķiršanas sistēma, pārsūdzības mehānismi</w:t>
      </w:r>
      <w:r>
        <w:rPr>
          <w:noProof/>
        </w:rPr>
        <w:t>, pārraudzības un pārskatīšanas mehānismi), nebūtu jāietver kopīgos ieteikumos.</w:t>
      </w:r>
    </w:p>
    <w:p w:rsidR="003E022D" w:rsidRDefault="007D19D6">
      <w:pPr>
        <w:rPr>
          <w:noProof/>
        </w:rPr>
      </w:pPr>
      <w:r>
        <w:rPr>
          <w:noProof/>
        </w:rPr>
        <w:t>8.</w:t>
      </w:r>
      <w:r>
        <w:rPr>
          <w:noProof/>
        </w:rPr>
        <w:tab/>
        <w:t>Vienošanās var paredzēt dažādus mehānismus profesionālo kvalifikāciju atzīšanai Pusē. To var arī ierobežot, bet ne obligāti, nosakot vienošanās darbības jomu, procesuālos no</w:t>
      </w:r>
      <w:r>
        <w:rPr>
          <w:noProof/>
        </w:rPr>
        <w:t>teikumus, atzīšanas sekas un papildu prasības, kā arī administratīvās vienošanās.</w:t>
      </w:r>
    </w:p>
    <w:p w:rsidR="003E022D" w:rsidRDefault="007D19D6">
      <w:pPr>
        <w:rPr>
          <w:noProof/>
        </w:rPr>
      </w:pPr>
      <w:r>
        <w:rPr>
          <w:noProof/>
        </w:rPr>
        <w:t>9.</w:t>
      </w:r>
      <w:r>
        <w:rPr>
          <w:noProof/>
        </w:rPr>
        <w:tab/>
        <w:t xml:space="preserve">Partnerības padomes pieņemtajā vienošanās būtu jāatspoguļo rīcības brīvības pakāpe, ko paredzēts saglabāt kompetentajām iestādēm, kuras lemj par atzīšanu. </w:t>
      </w:r>
    </w:p>
    <w:p w:rsidR="003E022D" w:rsidRDefault="007D19D6">
      <w:pPr>
        <w:shd w:val="clear" w:color="auto" w:fill="FFFFFF"/>
        <w:jc w:val="center"/>
        <w:rPr>
          <w:rFonts w:eastAsia="Times New Roman"/>
          <w:b/>
          <w:bCs/>
          <w:i/>
          <w:noProof/>
        </w:rPr>
      </w:pPr>
      <w:r>
        <w:rPr>
          <w:b/>
          <w:bCs/>
          <w:i/>
          <w:noProof/>
        </w:rPr>
        <w:t xml:space="preserve">Vienošanās </w:t>
      </w:r>
      <w:r>
        <w:rPr>
          <w:b/>
          <w:bCs/>
          <w:i/>
          <w:noProof/>
        </w:rPr>
        <w:t>darbības joma</w:t>
      </w:r>
    </w:p>
    <w:p w:rsidR="003E022D" w:rsidRDefault="007D19D6">
      <w:pPr>
        <w:rPr>
          <w:noProof/>
        </w:rPr>
      </w:pPr>
      <w:r>
        <w:rPr>
          <w:noProof/>
        </w:rPr>
        <w:t>10.</w:t>
      </w:r>
      <w:r>
        <w:rPr>
          <w:noProof/>
        </w:rPr>
        <w:tab/>
        <w:t xml:space="preserve">Vienošanās būtu jānorāda: </w:t>
      </w:r>
    </w:p>
    <w:p w:rsidR="003E022D" w:rsidRDefault="007D19D6">
      <w:pPr>
        <w:numPr>
          <w:ilvl w:val="1"/>
          <w:numId w:val="830"/>
        </w:numPr>
        <w:ind w:left="567" w:hanging="567"/>
        <w:rPr>
          <w:noProof/>
        </w:rPr>
      </w:pPr>
      <w:r>
        <w:rPr>
          <w:noProof/>
        </w:rPr>
        <w:t>konkrētā(-ās) reglamentētā(-ās) profesija(-as), attiecīgais(-ie) profesionālais(-ie) nosaukums(-i) un darbība vai darbību kopums, uz ko attiecas reglamentētās profesijas praktizēšanas joma abās Pusēs (“praktizēš</w:t>
      </w:r>
      <w:r>
        <w:rPr>
          <w:noProof/>
        </w:rPr>
        <w:t>anas joma”) un</w:t>
      </w:r>
    </w:p>
    <w:p w:rsidR="003E022D" w:rsidRDefault="007D19D6">
      <w:pPr>
        <w:numPr>
          <w:ilvl w:val="1"/>
          <w:numId w:val="830"/>
        </w:numPr>
        <w:ind w:left="567" w:hanging="567"/>
        <w:rPr>
          <w:noProof/>
        </w:rPr>
      </w:pPr>
      <w:r>
        <w:rPr>
          <w:noProof/>
        </w:rPr>
        <w:t>vai tā attiecas uz profesionālās kvalifikācijas atzīšanu, lai varētu saņemt pielaidi profesionālajai darbībai uz noteiktu laiku vai uz nenoteiktu laiku.</w:t>
      </w:r>
    </w:p>
    <w:p w:rsidR="003E022D" w:rsidRDefault="007D19D6">
      <w:pPr>
        <w:jc w:val="center"/>
        <w:rPr>
          <w:b/>
          <w:i/>
          <w:noProof/>
        </w:rPr>
      </w:pPr>
      <w:r>
        <w:rPr>
          <w:b/>
          <w:i/>
          <w:noProof/>
        </w:rPr>
        <w:t>Atzīšanas nosacījumi</w:t>
      </w:r>
    </w:p>
    <w:p w:rsidR="003E022D" w:rsidRDefault="007D19D6">
      <w:pPr>
        <w:rPr>
          <w:noProof/>
        </w:rPr>
      </w:pPr>
      <w:r>
        <w:rPr>
          <w:noProof/>
        </w:rPr>
        <w:t>11.</w:t>
      </w:r>
      <w:r>
        <w:rPr>
          <w:noProof/>
        </w:rPr>
        <w:tab/>
        <w:t>Vienošanās jo īpaši var precizēt:</w:t>
      </w:r>
    </w:p>
    <w:p w:rsidR="003E022D" w:rsidRDefault="007D19D6">
      <w:pPr>
        <w:numPr>
          <w:ilvl w:val="1"/>
          <w:numId w:val="831"/>
        </w:numPr>
        <w:ind w:left="567" w:hanging="567"/>
        <w:rPr>
          <w:bCs/>
          <w:noProof/>
        </w:rPr>
      </w:pPr>
      <w:r>
        <w:rPr>
          <w:noProof/>
        </w:rPr>
        <w:t>profesionālās kvalifikācijas,</w:t>
      </w:r>
      <w:r>
        <w:rPr>
          <w:noProof/>
        </w:rPr>
        <w:t xml:space="preserve"> kas nepieciešamas atzīšanai saskaņā ar vienošanos (piemēram, kvalifikāciju apliecinoši dokumenti, profesionālā pieredze vai cits kompetences apliecinājums);</w:t>
      </w:r>
    </w:p>
    <w:p w:rsidR="003E022D" w:rsidRDefault="007D19D6">
      <w:pPr>
        <w:numPr>
          <w:ilvl w:val="1"/>
          <w:numId w:val="831"/>
        </w:numPr>
        <w:ind w:left="567" w:hanging="567"/>
        <w:rPr>
          <w:noProof/>
        </w:rPr>
      </w:pPr>
      <w:r>
        <w:rPr>
          <w:noProof/>
        </w:rPr>
        <w:t>cik liela ir atzīšanas iestāžu rīcības brīvība, izvērtējot pieprasījumus par šo kvalifikāciju atzī</w:t>
      </w:r>
      <w:r>
        <w:rPr>
          <w:noProof/>
        </w:rPr>
        <w:t>šanu un</w:t>
      </w:r>
    </w:p>
    <w:p w:rsidR="003E022D" w:rsidRDefault="007D19D6">
      <w:pPr>
        <w:numPr>
          <w:ilvl w:val="1"/>
          <w:numId w:val="831"/>
        </w:numPr>
        <w:ind w:left="567" w:hanging="567"/>
        <w:rPr>
          <w:noProof/>
        </w:rPr>
      </w:pPr>
      <w:r>
        <w:rPr>
          <w:noProof/>
        </w:rPr>
        <w:t>procedūras, kas paredzētas tam, lai novērstu novirzes un neatbilstības starp profesionālajām kvalifikācijām un līdzekļi šo atšķirību novēršanai, tostarp iespēja piemērot kompensācijas pasākumus vai jebkādus citus attiecīgus nosacījumus un ierobežoj</w:t>
      </w:r>
      <w:r>
        <w:rPr>
          <w:noProof/>
        </w:rPr>
        <w:t>umus.</w:t>
      </w:r>
    </w:p>
    <w:p w:rsidR="003E022D" w:rsidRDefault="007D19D6">
      <w:pPr>
        <w:jc w:val="center"/>
        <w:rPr>
          <w:b/>
          <w:i/>
          <w:noProof/>
        </w:rPr>
      </w:pPr>
      <w:r>
        <w:rPr>
          <w:b/>
          <w:i/>
          <w:noProof/>
        </w:rPr>
        <w:t>Procedūras noteikumi</w:t>
      </w:r>
    </w:p>
    <w:p w:rsidR="003E022D" w:rsidRDefault="007D19D6">
      <w:pPr>
        <w:rPr>
          <w:noProof/>
        </w:rPr>
      </w:pPr>
      <w:r>
        <w:rPr>
          <w:noProof/>
        </w:rPr>
        <w:t>12.</w:t>
      </w:r>
      <w:r>
        <w:rPr>
          <w:noProof/>
        </w:rPr>
        <w:tab/>
        <w:t xml:space="preserve">Vienošanās var norādīt: </w:t>
      </w:r>
    </w:p>
    <w:p w:rsidR="003E022D" w:rsidRDefault="007D19D6">
      <w:pPr>
        <w:numPr>
          <w:ilvl w:val="1"/>
          <w:numId w:val="832"/>
        </w:numPr>
        <w:ind w:left="567" w:hanging="567"/>
        <w:rPr>
          <w:noProof/>
        </w:rPr>
      </w:pPr>
      <w:r>
        <w:rPr>
          <w:noProof/>
        </w:rPr>
        <w:t>vajadzīgos dokumentus un formu, kādā tie būtu jāiesniedz (piemēram, elektroniski vai citā veidā, vai nepieciešams pievienot tulkojumus vai autentiskuma apliecinājumus utt.);</w:t>
      </w:r>
    </w:p>
    <w:p w:rsidR="003E022D" w:rsidRDefault="007D19D6">
      <w:pPr>
        <w:numPr>
          <w:ilvl w:val="1"/>
          <w:numId w:val="832"/>
        </w:numPr>
        <w:ind w:left="567" w:hanging="567"/>
        <w:rPr>
          <w:noProof/>
        </w:rPr>
      </w:pPr>
      <w:r>
        <w:rPr>
          <w:noProof/>
        </w:rPr>
        <w:t>atzīšanas procesa posmus u</w:t>
      </w:r>
      <w:r>
        <w:rPr>
          <w:noProof/>
        </w:rPr>
        <w:t>n procedūras, tostarp tos, kas attiecas uz iespējamiem kompensācijas pasākumiem, attiecīgajiem pienākumiem un termiņiem un</w:t>
      </w:r>
    </w:p>
    <w:p w:rsidR="003E022D" w:rsidRDefault="007D19D6">
      <w:pPr>
        <w:numPr>
          <w:ilvl w:val="1"/>
          <w:numId w:val="832"/>
        </w:numPr>
        <w:ind w:left="567" w:hanging="567"/>
        <w:rPr>
          <w:noProof/>
        </w:rPr>
      </w:pPr>
      <w:r>
        <w:rPr>
          <w:noProof/>
        </w:rPr>
        <w:t xml:space="preserve">tādas informācijas pieejamību, kas attiecas uz visiem atzīšanas procesu un prasību aspektiem. </w:t>
      </w:r>
    </w:p>
    <w:p w:rsidR="003E022D" w:rsidRDefault="007D19D6">
      <w:pPr>
        <w:shd w:val="clear" w:color="auto" w:fill="FFFFFF"/>
        <w:jc w:val="center"/>
        <w:rPr>
          <w:rFonts w:eastAsia="Times New Roman"/>
          <w:b/>
          <w:i/>
          <w:noProof/>
        </w:rPr>
      </w:pPr>
      <w:r>
        <w:rPr>
          <w:b/>
          <w:i/>
          <w:noProof/>
        </w:rPr>
        <w:t>Atzīšanas sekas un papildu prasības</w:t>
      </w:r>
    </w:p>
    <w:p w:rsidR="003E022D" w:rsidRDefault="007D19D6">
      <w:pPr>
        <w:rPr>
          <w:noProof/>
        </w:rPr>
      </w:pPr>
      <w:r>
        <w:rPr>
          <w:noProof/>
        </w:rPr>
        <w:t>13</w:t>
      </w:r>
      <w:r>
        <w:rPr>
          <w:noProof/>
        </w:rPr>
        <w:t>.</w:t>
      </w:r>
      <w:r>
        <w:rPr>
          <w:noProof/>
        </w:rPr>
        <w:tab/>
        <w:t>Vienošanās var paredzēt noteikumus par atzīšanas sekām (attiecīgā gadījumā arī attiecībā uz dažādiem nodrošināšanas veidiem);</w:t>
      </w:r>
    </w:p>
    <w:p w:rsidR="003E022D" w:rsidRDefault="007D19D6">
      <w:pPr>
        <w:rPr>
          <w:noProof/>
        </w:rPr>
      </w:pPr>
      <w:r>
        <w:rPr>
          <w:noProof/>
        </w:rPr>
        <w:t>14.</w:t>
      </w:r>
      <w:r>
        <w:rPr>
          <w:noProof/>
        </w:rPr>
        <w:tab/>
        <w:t>vienošanās var aprakstīt jebkādas papildu prasības attiecībā uz efektīvu reglamentētās profesijas praktizēšanu uzņēmējā Pusē</w:t>
      </w:r>
      <w:r>
        <w:rPr>
          <w:noProof/>
        </w:rPr>
        <w:t xml:space="preserve">. Šādās prasībās varētu iekļaut: </w:t>
      </w:r>
    </w:p>
    <w:p w:rsidR="003E022D" w:rsidRDefault="007D19D6">
      <w:pPr>
        <w:numPr>
          <w:ilvl w:val="1"/>
          <w:numId w:val="833"/>
        </w:numPr>
        <w:ind w:left="567" w:hanging="567"/>
        <w:rPr>
          <w:noProof/>
        </w:rPr>
      </w:pPr>
      <w:r>
        <w:rPr>
          <w:noProof/>
        </w:rPr>
        <w:t>reģistrācijas prasības vietējās iestādēs;</w:t>
      </w:r>
    </w:p>
    <w:p w:rsidR="003E022D" w:rsidRDefault="007D19D6">
      <w:pPr>
        <w:numPr>
          <w:ilvl w:val="1"/>
          <w:numId w:val="833"/>
        </w:numPr>
        <w:ind w:left="567" w:hanging="567"/>
        <w:rPr>
          <w:noProof/>
        </w:rPr>
      </w:pPr>
      <w:r>
        <w:rPr>
          <w:noProof/>
        </w:rPr>
        <w:t>atbilstošas valodu prasmes;</w:t>
      </w:r>
    </w:p>
    <w:p w:rsidR="003E022D" w:rsidRDefault="007D19D6">
      <w:pPr>
        <w:numPr>
          <w:ilvl w:val="1"/>
          <w:numId w:val="833"/>
        </w:numPr>
        <w:ind w:left="567" w:hanging="567"/>
        <w:rPr>
          <w:noProof/>
        </w:rPr>
      </w:pPr>
      <w:r>
        <w:rPr>
          <w:noProof/>
        </w:rPr>
        <w:t xml:space="preserve">pierādījumus par labām rakstura īpašībām; </w:t>
      </w:r>
    </w:p>
    <w:p w:rsidR="003E022D" w:rsidRDefault="007D19D6">
      <w:pPr>
        <w:numPr>
          <w:ilvl w:val="1"/>
          <w:numId w:val="833"/>
        </w:numPr>
        <w:ind w:left="567" w:hanging="567"/>
        <w:rPr>
          <w:noProof/>
        </w:rPr>
      </w:pPr>
      <w:r>
        <w:rPr>
          <w:noProof/>
        </w:rPr>
        <w:t>atbilstību uzņēmējas Puses prasībām attiecībā uz komercnosaukumu vai firmas nosaukumu izmantošanu;</w:t>
      </w:r>
    </w:p>
    <w:p w:rsidR="003E022D" w:rsidRDefault="007D19D6">
      <w:pPr>
        <w:numPr>
          <w:ilvl w:val="1"/>
          <w:numId w:val="833"/>
        </w:numPr>
        <w:ind w:left="567" w:hanging="567"/>
        <w:rPr>
          <w:noProof/>
        </w:rPr>
      </w:pPr>
      <w:r>
        <w:rPr>
          <w:noProof/>
        </w:rPr>
        <w:t>atbilstību</w:t>
      </w:r>
      <w:r>
        <w:rPr>
          <w:noProof/>
        </w:rPr>
        <w:t xml:space="preserve"> uzņēmējas Puses ētikas, neatkarības un profesionālās ētikas prasībām;</w:t>
      </w:r>
    </w:p>
    <w:p w:rsidR="003E022D" w:rsidRDefault="007D19D6">
      <w:pPr>
        <w:numPr>
          <w:ilvl w:val="1"/>
          <w:numId w:val="833"/>
        </w:numPr>
        <w:ind w:left="567" w:hanging="567"/>
        <w:rPr>
          <w:noProof/>
        </w:rPr>
      </w:pPr>
      <w:r>
        <w:rPr>
          <w:noProof/>
        </w:rPr>
        <w:t>nepieciešamību iegūt profesionālās darbības civiltiesiskās atbildības apdrošināšanu;</w:t>
      </w:r>
    </w:p>
    <w:p w:rsidR="003E022D" w:rsidRDefault="007D19D6">
      <w:pPr>
        <w:numPr>
          <w:ilvl w:val="1"/>
          <w:numId w:val="833"/>
        </w:numPr>
        <w:ind w:left="567" w:hanging="567"/>
        <w:rPr>
          <w:noProof/>
        </w:rPr>
      </w:pPr>
      <w:r>
        <w:rPr>
          <w:noProof/>
        </w:rPr>
        <w:t>noteikumus par disciplināratbildību, finansiālo atbildību un profesionālo atbildību un</w:t>
      </w:r>
    </w:p>
    <w:p w:rsidR="003E022D" w:rsidRDefault="007D19D6">
      <w:pPr>
        <w:numPr>
          <w:ilvl w:val="1"/>
          <w:numId w:val="833"/>
        </w:numPr>
        <w:ind w:left="567" w:hanging="567"/>
        <w:rPr>
          <w:noProof/>
        </w:rPr>
      </w:pPr>
      <w:r>
        <w:rPr>
          <w:noProof/>
        </w:rPr>
        <w:t xml:space="preserve">prasības </w:t>
      </w:r>
      <w:r>
        <w:rPr>
          <w:noProof/>
        </w:rPr>
        <w:t>nepārtrauktai profesionālajai izaugsmei.</w:t>
      </w:r>
    </w:p>
    <w:p w:rsidR="003E022D" w:rsidRDefault="007D19D6">
      <w:pPr>
        <w:jc w:val="center"/>
        <w:rPr>
          <w:b/>
          <w:i/>
          <w:noProof/>
        </w:rPr>
      </w:pPr>
      <w:r>
        <w:rPr>
          <w:b/>
          <w:i/>
          <w:noProof/>
        </w:rPr>
        <w:t>Vienošanās pārvaldība</w:t>
      </w:r>
    </w:p>
    <w:p w:rsidR="003E022D" w:rsidRDefault="007D19D6">
      <w:pPr>
        <w:rPr>
          <w:rFonts w:eastAsia="Times New Roman"/>
          <w:noProof/>
        </w:rPr>
      </w:pPr>
      <w:r>
        <w:rPr>
          <w:noProof/>
        </w:rPr>
        <w:t>15.</w:t>
      </w:r>
      <w:r>
        <w:rPr>
          <w:noProof/>
        </w:rPr>
        <w:tab/>
        <w:t xml:space="preserve">Vienošanās būtu jāparedz noteikumi, saskaņā ar kuriem to var pārskatīt vai atsaukt, un jebkuras pārskatīšanas vai atsaukšanas sekas. Var apsvērt arī tādu noteikumu iekļaušanu, kas attiecas </w:t>
      </w:r>
      <w:r>
        <w:rPr>
          <w:noProof/>
        </w:rPr>
        <w:t>uz jebkuras iepriekš piešķirtas atzīšanas sekām.</w:t>
      </w:r>
    </w:p>
    <w:p w:rsidR="003E022D" w:rsidRDefault="007D19D6">
      <w:pPr>
        <w:jc w:val="center"/>
        <w:rPr>
          <w:i/>
          <w:noProof/>
        </w:rPr>
      </w:pPr>
      <w:r>
        <w:rPr>
          <w:i/>
          <w:noProof/>
        </w:rPr>
        <w:t>C IEDAĻA. Paredzētās vienošanās ekonomiskā vērtība</w:t>
      </w:r>
    </w:p>
    <w:p w:rsidR="003E022D" w:rsidRDefault="007D19D6">
      <w:pPr>
        <w:rPr>
          <w:noProof/>
        </w:rPr>
      </w:pPr>
      <w:r>
        <w:rPr>
          <w:noProof/>
        </w:rPr>
        <w:t>16.</w:t>
      </w:r>
      <w:r>
        <w:rPr>
          <w:noProof/>
        </w:rPr>
        <w:tab/>
        <w:t>Saskaņā ar SERVIN 5.13. panta [Profesionālās kvalifikācijas] 2. punktu kopīgajiem ieteikumiem pievieno pierādījumus par paredzētās vienošanās ekonomisko</w:t>
      </w:r>
      <w:r>
        <w:rPr>
          <w:noProof/>
        </w:rPr>
        <w:t xml:space="preserve"> vērtību. Tas var ietvert novērtējumu par ekonomiskajiem ieguvumiem, ko vienošanās varētu sniegt abu Pušu ekonomikai. Šāds novērtējums var palīdzēt Partnerības padomei izstrādāt un pieņemt vienošanos.</w:t>
      </w:r>
    </w:p>
    <w:p w:rsidR="003E022D" w:rsidRDefault="007D19D6">
      <w:pPr>
        <w:rPr>
          <w:noProof/>
        </w:rPr>
      </w:pPr>
      <w:r>
        <w:rPr>
          <w:noProof/>
        </w:rPr>
        <w:t>17.</w:t>
      </w:r>
      <w:r>
        <w:rPr>
          <w:noProof/>
        </w:rPr>
        <w:tab/>
        <w:t>Noderīgi elementi būtu tādi aspekti kā pašreizējais</w:t>
      </w:r>
      <w:r>
        <w:rPr>
          <w:noProof/>
        </w:rPr>
        <w:t xml:space="preserve"> tirgus atvērtības līmenis, nozares vajadzības, tirgus tendences un norises, klientu vēlmes un prasības, kā arī darījumdarbības iespējas. </w:t>
      </w:r>
    </w:p>
    <w:p w:rsidR="003E022D" w:rsidRDefault="007D19D6">
      <w:pPr>
        <w:rPr>
          <w:noProof/>
        </w:rPr>
      </w:pPr>
      <w:r>
        <w:rPr>
          <w:noProof/>
        </w:rPr>
        <w:t>18.</w:t>
      </w:r>
      <w:r>
        <w:rPr>
          <w:noProof/>
        </w:rPr>
        <w:tab/>
        <w:t>Novērtējumā nav jāietver pilnīga un detalizēta ekonomiska analīze, bet tajā būtu jāsniedz paskaidrojums par inter</w:t>
      </w:r>
      <w:r>
        <w:rPr>
          <w:noProof/>
        </w:rPr>
        <w:t>esi, ko rada konkrētā profesija, un paredzamajiem ieguvumiem, ko Puses gūs no vienošanās pieņemšanas.</w:t>
      </w:r>
    </w:p>
    <w:p w:rsidR="003E022D" w:rsidRDefault="007D19D6">
      <w:pPr>
        <w:jc w:val="center"/>
        <w:rPr>
          <w:i/>
          <w:noProof/>
        </w:rPr>
      </w:pPr>
      <w:r>
        <w:rPr>
          <w:i/>
          <w:noProof/>
        </w:rPr>
        <w:t>D IEDAĻA. Attiecīgo profesionālās kvalifikācijas režīmu saderība</w:t>
      </w:r>
    </w:p>
    <w:p w:rsidR="003E022D" w:rsidRDefault="007D19D6">
      <w:pPr>
        <w:rPr>
          <w:noProof/>
        </w:rPr>
      </w:pPr>
      <w:r>
        <w:rPr>
          <w:noProof/>
        </w:rPr>
        <w:t>19.</w:t>
      </w:r>
      <w:r>
        <w:rPr>
          <w:noProof/>
        </w:rPr>
        <w:tab/>
        <w:t>Saskaņā ar SERVIN 5.13. panta [Profesionālās kvalifikācijas] 2. punktu kopīgos ieteik</w:t>
      </w:r>
      <w:r>
        <w:rPr>
          <w:noProof/>
        </w:rPr>
        <w:t xml:space="preserve">umus pamato ar pierādījumiem par attiecīgo profesionālās kvalifikācijas režīmu saderību. Šis novērtējums var palīdzēt Partnerības padomei izstrādāt un pieņemt vienošanos. </w:t>
      </w:r>
    </w:p>
    <w:p w:rsidR="003E022D" w:rsidRDefault="007D19D6">
      <w:pPr>
        <w:rPr>
          <w:noProof/>
        </w:rPr>
      </w:pPr>
      <w:r>
        <w:rPr>
          <w:noProof/>
        </w:rPr>
        <w:t>20.</w:t>
      </w:r>
      <w:r>
        <w:rPr>
          <w:noProof/>
        </w:rPr>
        <w:tab/>
        <w:t>Šā procesa mērķis ir palīdzēt profesionālajām organizācijām un iestādēm novērtēt</w:t>
      </w:r>
      <w:r>
        <w:rPr>
          <w:noProof/>
        </w:rPr>
        <w:t xml:space="preserve"> attiecīgo profesionālo kvalifikāciju un darbību saderību ar nolūku vienkāršot un atvieglot profesionālo kvalifikāciju atzīšanu. </w:t>
      </w:r>
    </w:p>
    <w:p w:rsidR="003E022D" w:rsidRDefault="007D19D6">
      <w:pPr>
        <w:rPr>
          <w:b/>
          <w:noProof/>
          <w:u w:val="single"/>
        </w:rPr>
      </w:pPr>
      <w:r>
        <w:rPr>
          <w:noProof/>
          <w:u w:val="single"/>
        </w:rPr>
        <w:t>Pirmais posms: novērtējums par praktizēšanas jomu un profesionālajām kvalifikācijām, kas vajadzīgas, lai strādātu reglamentēta</w:t>
      </w:r>
      <w:r>
        <w:rPr>
          <w:noProof/>
          <w:u w:val="single"/>
        </w:rPr>
        <w:t>jā profesijā katrā Pusē.</w:t>
      </w:r>
    </w:p>
    <w:p w:rsidR="003E022D" w:rsidRDefault="007D19D6">
      <w:pPr>
        <w:rPr>
          <w:noProof/>
        </w:rPr>
      </w:pPr>
      <w:r>
        <w:rPr>
          <w:noProof/>
        </w:rPr>
        <w:t>21.</w:t>
      </w:r>
      <w:r>
        <w:rPr>
          <w:noProof/>
        </w:rPr>
        <w:tab/>
        <w:t>Novērtējums par praktizēšanas jomu un profesionālajām kvalifikācijām, kas vajadzīgas, lai strādātu reglamentētajā profesijā katrā Pusē, būtu jābalsta uz visu attiecīgo informāciju.</w:t>
      </w:r>
    </w:p>
    <w:p w:rsidR="003E022D" w:rsidRDefault="007D19D6">
      <w:pPr>
        <w:rPr>
          <w:noProof/>
        </w:rPr>
      </w:pPr>
      <w:r>
        <w:rPr>
          <w:noProof/>
        </w:rPr>
        <w:t>22.</w:t>
      </w:r>
      <w:r>
        <w:rPr>
          <w:noProof/>
        </w:rPr>
        <w:tab/>
        <w:t>Būtu jānorāda šādi elementi:</w:t>
      </w:r>
    </w:p>
    <w:p w:rsidR="003E022D" w:rsidRDefault="007D19D6">
      <w:pPr>
        <w:numPr>
          <w:ilvl w:val="1"/>
          <w:numId w:val="834"/>
        </w:numPr>
        <w:ind w:left="567" w:hanging="567"/>
        <w:rPr>
          <w:noProof/>
        </w:rPr>
      </w:pPr>
      <w:r>
        <w:rPr>
          <w:noProof/>
        </w:rPr>
        <w:t xml:space="preserve">darbības vai </w:t>
      </w:r>
      <w:r>
        <w:rPr>
          <w:noProof/>
        </w:rPr>
        <w:t>darbību kopumi, uz ko attiecas reglamentētās profesijas praktizēšanas tiesību tvērums un</w:t>
      </w:r>
    </w:p>
    <w:p w:rsidR="003E022D" w:rsidRDefault="007D19D6">
      <w:pPr>
        <w:numPr>
          <w:ilvl w:val="1"/>
          <w:numId w:val="834"/>
        </w:numPr>
        <w:ind w:left="567" w:hanging="567"/>
        <w:rPr>
          <w:noProof/>
        </w:rPr>
      </w:pPr>
      <w:r>
        <w:rPr>
          <w:noProof/>
        </w:rPr>
        <w:t>profesionālās kvalifikācijas, kas katrā Pusē vajadzīgas, lai praktizētu reglamentētajā profesijā, un kas var ietvert jebkuru no šādiem elementiem:</w:t>
      </w:r>
    </w:p>
    <w:p w:rsidR="003E022D" w:rsidRDefault="007D19D6">
      <w:pPr>
        <w:numPr>
          <w:ilvl w:val="2"/>
          <w:numId w:val="834"/>
        </w:numPr>
        <w:ind w:left="567" w:hanging="567"/>
        <w:rPr>
          <w:noProof/>
        </w:rPr>
      </w:pPr>
      <w:r>
        <w:rPr>
          <w:noProof/>
        </w:rPr>
        <w:t>obligātās izglītības</w:t>
      </w:r>
      <w:r>
        <w:rPr>
          <w:noProof/>
        </w:rPr>
        <w:t xml:space="preserve"> prasības, piemēram, iestāšanās prasības, izglītības līmenis, studiju ilgums un mācību saturs; </w:t>
      </w:r>
    </w:p>
    <w:p w:rsidR="003E022D" w:rsidRDefault="007D19D6">
      <w:pPr>
        <w:numPr>
          <w:ilvl w:val="2"/>
          <w:numId w:val="834"/>
        </w:numPr>
        <w:ind w:left="567" w:hanging="567"/>
        <w:rPr>
          <w:rFonts w:cstheme="minorHAnsi"/>
          <w:noProof/>
        </w:rPr>
      </w:pPr>
      <w:r>
        <w:rPr>
          <w:noProof/>
        </w:rPr>
        <w:t>minimālā nepieciešamā profesionālā pieredze, piemēram, praktiskās apmācības vai pārraudzītas profesionālās prakses vieta, ilgums un nosacījumi pirms reģistrācij</w:t>
      </w:r>
      <w:r>
        <w:rPr>
          <w:noProof/>
        </w:rPr>
        <w:t>as, licencēšanas vai līdzvērtīgas darbības;</w:t>
      </w:r>
    </w:p>
    <w:p w:rsidR="003E022D" w:rsidRDefault="007D19D6">
      <w:pPr>
        <w:numPr>
          <w:ilvl w:val="2"/>
          <w:numId w:val="834"/>
        </w:numPr>
        <w:ind w:left="567" w:hanging="567"/>
        <w:rPr>
          <w:rFonts w:cstheme="minorHAnsi"/>
          <w:noProof/>
        </w:rPr>
      </w:pPr>
      <w:r>
        <w:rPr>
          <w:noProof/>
        </w:rPr>
        <w:t xml:space="preserve">nokārtotas pārbaudes, jo īpaši profesionālās kompetences pārbaudes un </w:t>
      </w:r>
    </w:p>
    <w:p w:rsidR="003E022D" w:rsidRDefault="007D19D6">
      <w:pPr>
        <w:numPr>
          <w:ilvl w:val="2"/>
          <w:numId w:val="834"/>
        </w:numPr>
        <w:ind w:left="567" w:hanging="567"/>
        <w:rPr>
          <w:rFonts w:cstheme="minorHAnsi"/>
          <w:noProof/>
        </w:rPr>
      </w:pPr>
      <w:r>
        <w:rPr>
          <w:noProof/>
        </w:rPr>
        <w:t>apliecības vai līdzvērtīga dokumenta iegūšana, kas cita starpā apliecina, ka ir izpildītas profesionālās kvalifikācijas prasības, kas vajadzī</w:t>
      </w:r>
      <w:r>
        <w:rPr>
          <w:noProof/>
        </w:rPr>
        <w:t>gas, lai strādātu profesijā.</w:t>
      </w:r>
    </w:p>
    <w:p w:rsidR="003E022D" w:rsidRDefault="007D19D6">
      <w:pPr>
        <w:rPr>
          <w:noProof/>
          <w:u w:val="single"/>
        </w:rPr>
      </w:pPr>
      <w:r>
        <w:rPr>
          <w:noProof/>
          <w:u w:val="single"/>
        </w:rPr>
        <w:t>Otrais posms: novērtē atšķirības starp reglamentētās profesijas praktizēšanas jomu vai profesionālajām kvalifikācijām, kas vajadzīgas, lai praktizētu reglamentēto profesiju katrā Pusē.</w:t>
      </w:r>
    </w:p>
    <w:p w:rsidR="003E022D" w:rsidRDefault="007D19D6">
      <w:pPr>
        <w:rPr>
          <w:noProof/>
        </w:rPr>
      </w:pPr>
      <w:r>
        <w:rPr>
          <w:noProof/>
        </w:rPr>
        <w:t>23.</w:t>
      </w:r>
      <w:r>
        <w:rPr>
          <w:noProof/>
        </w:rPr>
        <w:tab/>
        <w:t>Novērtējot atšķirības reglamentētās pr</w:t>
      </w:r>
      <w:r>
        <w:rPr>
          <w:noProof/>
        </w:rPr>
        <w:t>ofesijas praktizēšanas jomā vai profesionālajā kvalifikācijā, kas vajadzīga, lai praktizētu reglamentēto profesiju katrā Pusē, jo īpaši būtu jānosaka būtiskas atšķirības.</w:t>
      </w:r>
    </w:p>
    <w:p w:rsidR="003E022D" w:rsidRDefault="007D19D6">
      <w:pPr>
        <w:rPr>
          <w:noProof/>
        </w:rPr>
      </w:pPr>
      <w:r>
        <w:rPr>
          <w:noProof/>
        </w:rPr>
        <w:t>24.</w:t>
      </w:r>
      <w:r>
        <w:rPr>
          <w:noProof/>
        </w:rPr>
        <w:tab/>
        <w:t xml:space="preserve">Praktizēšanas darbības jomā var būt būtiskas atšķirības, ja ir izpildīti visi </w:t>
      </w:r>
      <w:r>
        <w:rPr>
          <w:noProof/>
        </w:rPr>
        <w:t>turpmāk minētie nosacījumi:</w:t>
      </w:r>
    </w:p>
    <w:p w:rsidR="003E022D" w:rsidRDefault="007D19D6">
      <w:pPr>
        <w:numPr>
          <w:ilvl w:val="1"/>
          <w:numId w:val="835"/>
        </w:numPr>
        <w:ind w:left="567" w:hanging="567"/>
        <w:rPr>
          <w:noProof/>
        </w:rPr>
      </w:pPr>
      <w:r>
        <w:rPr>
          <w:noProof/>
        </w:rPr>
        <w:t>viena vai vairākas darbības, uz kurām uzņēmējā Pusē attiecas reglamentēta profesija, izcelsmes Pusē neietilpst attiecīgajā profesijā;</w:t>
      </w:r>
    </w:p>
    <w:p w:rsidR="003E022D" w:rsidRDefault="007D19D6">
      <w:pPr>
        <w:numPr>
          <w:ilvl w:val="1"/>
          <w:numId w:val="835"/>
        </w:numPr>
        <w:ind w:left="567" w:hanging="567"/>
        <w:rPr>
          <w:rFonts w:cstheme="minorHAnsi"/>
          <w:noProof/>
        </w:rPr>
      </w:pPr>
      <w:r>
        <w:rPr>
          <w:noProof/>
        </w:rPr>
        <w:t>uz šādām darbībām uzņēmējā Pusē attiecas īpaša apmācība;</w:t>
      </w:r>
    </w:p>
    <w:p w:rsidR="003E022D" w:rsidRDefault="007D19D6">
      <w:pPr>
        <w:numPr>
          <w:ilvl w:val="1"/>
          <w:numId w:val="835"/>
        </w:numPr>
        <w:ind w:left="567" w:hanging="567"/>
        <w:rPr>
          <w:rFonts w:cstheme="minorHAnsi"/>
          <w:noProof/>
        </w:rPr>
      </w:pPr>
      <w:r>
        <w:rPr>
          <w:noProof/>
        </w:rPr>
        <w:t>apmācība šādām darbībām uzņēmējā Pusē</w:t>
      </w:r>
      <w:r>
        <w:rPr>
          <w:noProof/>
        </w:rPr>
        <w:t xml:space="preserve"> aptver jautājumus, kas būtiski atšķiras no tiem, uz kuriem attiecas pretendenta kvalifikācija.</w:t>
      </w:r>
    </w:p>
    <w:p w:rsidR="003E022D" w:rsidRDefault="007D19D6">
      <w:pPr>
        <w:rPr>
          <w:noProof/>
        </w:rPr>
      </w:pPr>
      <w:r>
        <w:rPr>
          <w:noProof/>
        </w:rPr>
        <w:t>25.</w:t>
      </w:r>
      <w:r>
        <w:rPr>
          <w:noProof/>
        </w:rPr>
        <w:tab/>
        <w:t>Profesionālās kvalifikācijas, kas vajadzīgas, lai praktizētu reglamentētajā profesijā, var būtiski atšķirties, ja Pušu prasības atšķiras attiecībā uz tās ap</w:t>
      </w:r>
      <w:r>
        <w:rPr>
          <w:noProof/>
        </w:rPr>
        <w:t>mācības līmeni, ilgumu vai saturu, kas vajadzīga, lai veiktu darbības, ko aptver reglamentētā profesija.</w:t>
      </w:r>
    </w:p>
    <w:p w:rsidR="003E022D" w:rsidRDefault="007D19D6">
      <w:pPr>
        <w:rPr>
          <w:noProof/>
          <w:u w:val="single"/>
        </w:rPr>
      </w:pPr>
      <w:r>
        <w:rPr>
          <w:noProof/>
          <w:u w:val="single"/>
        </w:rPr>
        <w:t xml:space="preserve">Trešais posms: Atzīšanas mehānismi </w:t>
      </w:r>
    </w:p>
    <w:p w:rsidR="003E022D" w:rsidRDefault="007D19D6">
      <w:pPr>
        <w:rPr>
          <w:noProof/>
        </w:rPr>
      </w:pPr>
      <w:r>
        <w:rPr>
          <w:noProof/>
        </w:rPr>
        <w:t>26.</w:t>
      </w:r>
      <w:r>
        <w:rPr>
          <w:noProof/>
        </w:rPr>
        <w:tab/>
        <w:t>Atkarībā no apstākļiem profesionālās kvalifikācijas atzīšanai var būt dažādi mehānismi.</w:t>
      </w:r>
      <w:r>
        <w:rPr>
          <w:noProof/>
          <w:color w:val="FF0000"/>
        </w:rPr>
        <w:t xml:space="preserve"> </w:t>
      </w:r>
      <w:r>
        <w:rPr>
          <w:noProof/>
        </w:rPr>
        <w:t>Pusē var būt dažādi meh</w:t>
      </w:r>
      <w:r>
        <w:rPr>
          <w:noProof/>
        </w:rPr>
        <w:t>ānismi.</w:t>
      </w:r>
    </w:p>
    <w:p w:rsidR="003E022D" w:rsidRDefault="007D19D6">
      <w:pPr>
        <w:rPr>
          <w:noProof/>
        </w:rPr>
      </w:pPr>
      <w:r>
        <w:rPr>
          <w:noProof/>
        </w:rPr>
        <w:t>27.</w:t>
      </w:r>
      <w:r>
        <w:rPr>
          <w:noProof/>
        </w:rPr>
        <w:tab/>
        <w:t>Ja praktizēšanas joma un profesionālās kvalifikācijas, kas vajadzīgas, lai praktizētu reglamentētajā profesijā, būtiski neatšķiras, vienošanās var paredzēt vienkāršāku un racionalizētāku atzīšanas procesu nekā tad, ja pastāv būtiskas atšķirības</w:t>
      </w:r>
      <w:r>
        <w:rPr>
          <w:noProof/>
        </w:rPr>
        <w:t>.</w:t>
      </w:r>
    </w:p>
    <w:p w:rsidR="003E022D" w:rsidRDefault="007D19D6">
      <w:pPr>
        <w:rPr>
          <w:noProof/>
        </w:rPr>
      </w:pPr>
      <w:r>
        <w:rPr>
          <w:noProof/>
        </w:rPr>
        <w:t>28.</w:t>
      </w:r>
      <w:r>
        <w:rPr>
          <w:noProof/>
        </w:rPr>
        <w:tab/>
        <w:t>Ja pastāv būtiskas atšķirības, vienošanās var paredzēt kompensācijas pasākumus, kas ir pietiekami, lai novērstu šādas atšķirības.</w:t>
      </w:r>
    </w:p>
    <w:p w:rsidR="003E022D" w:rsidRDefault="007D19D6">
      <w:pPr>
        <w:rPr>
          <w:noProof/>
        </w:rPr>
      </w:pPr>
      <w:r>
        <w:rPr>
          <w:noProof/>
        </w:rPr>
        <w:t>29.</w:t>
      </w:r>
      <w:r>
        <w:rPr>
          <w:noProof/>
        </w:rPr>
        <w:tab/>
        <w:t>Ja būtisku atšķirību mazināšanai izmanto kompensācijas pasākumus, tad tiem vajadzētu būt samērīgiem ar atšķirību, ko</w:t>
      </w:r>
      <w:r>
        <w:rPr>
          <w:noProof/>
        </w:rPr>
        <w:t xml:space="preserve"> ar tiem cenšas novērst. Lai novērtētu nepieciešamo kompensācijas pasākumu apmēru, varētu ņemt vērā jebkādu praktisku profesionālo pieredzi vai oficiāli apstiprinātu apmācību.</w:t>
      </w:r>
    </w:p>
    <w:p w:rsidR="003E022D" w:rsidRDefault="007D19D6">
      <w:pPr>
        <w:rPr>
          <w:noProof/>
        </w:rPr>
      </w:pPr>
      <w:r>
        <w:rPr>
          <w:noProof/>
        </w:rPr>
        <w:t>30.</w:t>
      </w:r>
      <w:r>
        <w:rPr>
          <w:noProof/>
        </w:rPr>
        <w:tab/>
        <w:t>Neatkarīgi no tā, vai atšķirība ir būtiska, vienošanās var ņemt vērā rīcības</w:t>
      </w:r>
      <w:r>
        <w:rPr>
          <w:noProof/>
        </w:rPr>
        <w:t xml:space="preserve"> brīvības pakāpi, ko paredzēts saglabāt kompetentajām iestādēm, kuras lemj par atzīšanas pieprasījumiem.</w:t>
      </w:r>
    </w:p>
    <w:p w:rsidR="003E022D" w:rsidRDefault="007D19D6">
      <w:pPr>
        <w:rPr>
          <w:noProof/>
        </w:rPr>
      </w:pPr>
      <w:r>
        <w:rPr>
          <w:noProof/>
        </w:rPr>
        <w:t>31.</w:t>
      </w:r>
      <w:r>
        <w:rPr>
          <w:noProof/>
        </w:rPr>
        <w:tab/>
        <w:t>Kompensācijas pasākumiem var būt dažādi veidi, tostarp:</w:t>
      </w:r>
    </w:p>
    <w:p w:rsidR="003E022D" w:rsidRDefault="007D19D6">
      <w:pPr>
        <w:numPr>
          <w:ilvl w:val="1"/>
          <w:numId w:val="836"/>
        </w:numPr>
        <w:ind w:left="567" w:hanging="567"/>
        <w:rPr>
          <w:noProof/>
        </w:rPr>
      </w:pPr>
      <w:r>
        <w:rPr>
          <w:noProof/>
        </w:rPr>
        <w:t>uzraudzītas praktizēšanas periods reglamentētā profesijā uzņēmējā Pusē, ko, iespējams, papi</w:t>
      </w:r>
      <w:r>
        <w:rPr>
          <w:noProof/>
        </w:rPr>
        <w:t>ldina papildu apmācība, par ko atbild kvalificēta persona un uz ko attiecas reglamentēts novērtējums;</w:t>
      </w:r>
    </w:p>
    <w:p w:rsidR="003E022D" w:rsidRDefault="007D19D6">
      <w:pPr>
        <w:numPr>
          <w:ilvl w:val="1"/>
          <w:numId w:val="836"/>
        </w:numPr>
        <w:ind w:left="567" w:hanging="567"/>
        <w:rPr>
          <w:rFonts w:cstheme="minorHAnsi"/>
          <w:noProof/>
        </w:rPr>
      </w:pPr>
      <w:r>
        <w:rPr>
          <w:noProof/>
        </w:rPr>
        <w:t>tests, ko veikušas vai atzinušas uzņēmējas Puses attiecīgās iestādes, lai novērtētu pretendenta spēju praktizēt reglamentētā profesijā minētajā Pusē vai</w:t>
      </w:r>
    </w:p>
    <w:p w:rsidR="003E022D" w:rsidRDefault="007D19D6">
      <w:pPr>
        <w:numPr>
          <w:ilvl w:val="1"/>
          <w:numId w:val="836"/>
        </w:numPr>
        <w:ind w:left="567" w:hanging="567"/>
        <w:rPr>
          <w:noProof/>
        </w:rPr>
      </w:pPr>
      <w:r>
        <w:rPr>
          <w:noProof/>
        </w:rPr>
        <w:t>p</w:t>
      </w:r>
      <w:r>
        <w:rPr>
          <w:noProof/>
        </w:rPr>
        <w:t xml:space="preserve">raktizēšanas jomas pagaidu ierobežojumi; vai abu veidu apvienojums. </w:t>
      </w:r>
    </w:p>
    <w:p w:rsidR="003E022D" w:rsidRDefault="007D19D6">
      <w:pPr>
        <w:rPr>
          <w:noProof/>
        </w:rPr>
      </w:pPr>
      <w:r>
        <w:rPr>
          <w:noProof/>
        </w:rPr>
        <w:t>32.</w:t>
      </w:r>
      <w:r>
        <w:rPr>
          <w:noProof/>
        </w:rPr>
        <w:tab/>
        <w:t xml:space="preserve">Vienošanās varētu paredzēt, ka pretendentiem tiek dota iespēja izvēlēties starp dažādiem kompensācijas pasākumiem, ja tas varētu ierobežot pretendentu administratīvo slogu un ja šādi </w:t>
      </w:r>
      <w:r>
        <w:rPr>
          <w:noProof/>
        </w:rPr>
        <w:t>pasākumi ir līdzvērtīgi.</w:t>
      </w:r>
    </w:p>
    <w:p w:rsidR="003E022D" w:rsidRDefault="007D19D6">
      <w:pPr>
        <w:spacing w:after="160" w:line="259" w:lineRule="auto"/>
        <w:jc w:val="left"/>
        <w:rPr>
          <w:rFonts w:eastAsia="Century" w:cs="Times New Roman"/>
          <w:i/>
          <w:noProof/>
        </w:rPr>
      </w:pPr>
      <w:r>
        <w:rPr>
          <w:noProof/>
        </w:rPr>
        <w:br w:type="page"/>
      </w:r>
    </w:p>
    <w:p w:rsidR="003E022D" w:rsidRDefault="007D19D6">
      <w:pPr>
        <w:pStyle w:val="ANNEX"/>
        <w:rPr>
          <w:rFonts w:cstheme="minorHAnsi"/>
          <w:noProof/>
        </w:rPr>
      </w:pPr>
      <w:hyperlink w:anchor="_Toc35449697" w:history="1">
        <w:bookmarkStart w:id="1314" w:name="_Toc59988407"/>
        <w:r>
          <w:rPr>
            <w:noProof/>
          </w:rPr>
          <w:t>PPROC-1. PIELIKUMS.</w:t>
        </w:r>
      </w:hyperlink>
      <w:hyperlink w:anchor="_Toc35449697" w:history="1">
        <w:bookmarkStart w:id="1315" w:name="_Toc59645265"/>
        <w:r>
          <w:rPr>
            <w:noProof/>
          </w:rPr>
          <w:t xml:space="preserve"> PUBLISKAIS IEPIRKUMS</w:t>
        </w:r>
        <w:bookmarkEnd w:id="1315"/>
        <w:bookmarkEnd w:id="1314"/>
      </w:hyperlink>
    </w:p>
    <w:p w:rsidR="003E022D" w:rsidRDefault="007D19D6">
      <w:pPr>
        <w:pStyle w:val="Section"/>
        <w:rPr>
          <w:noProof/>
        </w:rPr>
      </w:pPr>
      <w:r>
        <w:rPr>
          <w:noProof/>
        </w:rPr>
        <w:t>A IEDAĻA. Attiecīgie Nolīguma par valsts iepirkumu noteikumi</w:t>
      </w:r>
    </w:p>
    <w:p w:rsidR="003E022D" w:rsidRDefault="007D19D6">
      <w:pPr>
        <w:pStyle w:val="Section"/>
        <w:jc w:val="left"/>
        <w:rPr>
          <w:i w:val="0"/>
          <w:iCs/>
          <w:noProof/>
        </w:rPr>
      </w:pPr>
      <w:r>
        <w:rPr>
          <w:i w:val="0"/>
          <w:iCs/>
          <w:noProof/>
        </w:rPr>
        <w:t xml:space="preserve">I līdz III pants, IV. panta 1. punkta a) apakšpunkts, IV panta </w:t>
      </w:r>
      <w:r>
        <w:rPr>
          <w:i w:val="0"/>
          <w:iCs/>
          <w:noProof/>
        </w:rPr>
        <w:t>2. punkts līdz IV panta 7. punkts, VI līdz XV pants, XVI panta1. punkts līdz XVI panta 3. punkts, XVII un XVIII pants.</w:t>
      </w:r>
    </w:p>
    <w:p w:rsidR="003E022D" w:rsidRDefault="007D19D6">
      <w:pPr>
        <w:pStyle w:val="Section"/>
        <w:rPr>
          <w:noProof/>
        </w:rPr>
      </w:pPr>
      <w:r>
        <w:rPr>
          <w:noProof/>
        </w:rPr>
        <w:t>B IEDAĻA. Saistības attiecībā uz piekļuvi tirgum</w:t>
      </w:r>
    </w:p>
    <w:p w:rsidR="003E022D" w:rsidRDefault="007D19D6">
      <w:pPr>
        <w:pStyle w:val="Freetext"/>
        <w:rPr>
          <w:noProof/>
        </w:rPr>
      </w:pPr>
      <w:r>
        <w:rPr>
          <w:noProof/>
        </w:rPr>
        <w:t>Šīs iedaļas nolūkos “CPC” ir Centrālā preču klasifikācija (Apvienoto Nāciju Organizācija</w:t>
      </w:r>
      <w:r>
        <w:rPr>
          <w:noProof/>
        </w:rPr>
        <w:t>s Statistikas biroja Starptautisko Ekonomikas un sociālo lietu komitejas statistikas dokumentu M sērija, Nr. 77, Ņujorka, 1991. gads);</w:t>
      </w:r>
    </w:p>
    <w:p w:rsidR="003E022D" w:rsidRDefault="007D19D6">
      <w:pPr>
        <w:pStyle w:val="Article"/>
        <w:rPr>
          <w:b/>
          <w:bCs/>
          <w:noProof/>
        </w:rPr>
      </w:pPr>
      <w:r>
        <w:rPr>
          <w:noProof/>
        </w:rPr>
        <w:t xml:space="preserve">B.1. apakšiedaļa. Eiropas Savienība </w:t>
      </w:r>
    </w:p>
    <w:p w:rsidR="003E022D" w:rsidRDefault="007D19D6">
      <w:pPr>
        <w:rPr>
          <w:rFonts w:eastAsiaTheme="minorEastAsia" w:cstheme="minorHAnsi"/>
          <w:b/>
          <w:i/>
          <w:noProof/>
        </w:rPr>
      </w:pPr>
      <w:r>
        <w:rPr>
          <w:noProof/>
        </w:rPr>
        <w:t xml:space="preserve">Saskaņā ar PPROC 2.2. un PPROC 2.3. pantu Otrās daļas Pirmā temata VI sadaļu [PUBLISKAIS IEPIRKUMS] piemēro ne tikai iepirkumam, uz ko attiecas </w:t>
      </w:r>
      <w:r>
        <w:rPr>
          <w:i/>
          <w:iCs/>
          <w:noProof/>
        </w:rPr>
        <w:t>GPA</w:t>
      </w:r>
      <w:r>
        <w:rPr>
          <w:noProof/>
        </w:rPr>
        <w:t xml:space="preserve"> I papildinājuma Eiropas Savienības pielikumi, bet arī iepirkumam, uz kuru attiecas šī apakšiedaļa.</w:t>
      </w:r>
    </w:p>
    <w:p w:rsidR="003E022D" w:rsidRDefault="007D19D6">
      <w:pPr>
        <w:rPr>
          <w:rFonts w:eastAsiaTheme="minorEastAsia" w:cstheme="minorHAnsi"/>
          <w:noProof/>
        </w:rPr>
      </w:pPr>
      <w:r>
        <w:rPr>
          <w:noProof/>
        </w:rPr>
        <w:t>Uz iepirk</w:t>
      </w:r>
      <w:r>
        <w:rPr>
          <w:noProof/>
        </w:rPr>
        <w:t xml:space="preserve">umu, uz ko attiecas šī apakšiedaļa, attiecas arī </w:t>
      </w:r>
      <w:r>
        <w:rPr>
          <w:i/>
          <w:noProof/>
        </w:rPr>
        <w:t>GPA</w:t>
      </w:r>
      <w:r>
        <w:rPr>
          <w:noProof/>
        </w:rPr>
        <w:t xml:space="preserve"> I papildinājuma Eiropas Savienības 1.–7. pielikuma piezīmes, ja vien šajā apakšiedaļā nav paredzēts citādi.</w:t>
      </w:r>
    </w:p>
    <w:p w:rsidR="003E022D" w:rsidRDefault="007D19D6">
      <w:pPr>
        <w:rPr>
          <w:rFonts w:eastAsiaTheme="minorEastAsia" w:cstheme="minorHAnsi"/>
          <w:i/>
          <w:noProof/>
          <w:u w:val="single"/>
        </w:rPr>
      </w:pPr>
      <w:r>
        <w:rPr>
          <w:i/>
          <w:noProof/>
          <w:u w:val="single"/>
        </w:rPr>
        <w:t>Iepirkums, uz kuru attiecas apakšiedaļa</w:t>
      </w:r>
    </w:p>
    <w:p w:rsidR="003E022D" w:rsidRDefault="007D19D6">
      <w:pPr>
        <w:numPr>
          <w:ilvl w:val="3"/>
          <w:numId w:val="837"/>
        </w:numPr>
        <w:ind w:left="0" w:firstLine="0"/>
        <w:rPr>
          <w:rFonts w:eastAsiaTheme="minorEastAsia"/>
          <w:noProof/>
        </w:rPr>
      </w:pPr>
      <w:r>
        <w:rPr>
          <w:noProof/>
        </w:rPr>
        <w:t xml:space="preserve">Citi iepirkumu veicēji </w:t>
      </w:r>
    </w:p>
    <w:p w:rsidR="003E022D" w:rsidRDefault="007D19D6">
      <w:pPr>
        <w:rPr>
          <w:rFonts w:eastAsiaTheme="minorEastAsia"/>
          <w:noProof/>
        </w:rPr>
      </w:pPr>
      <w:r>
        <w:rPr>
          <w:noProof/>
        </w:rPr>
        <w:t xml:space="preserve">Preču un pakalpojumu iepirkums, kā norādīts </w:t>
      </w:r>
      <w:r>
        <w:rPr>
          <w:i/>
          <w:noProof/>
        </w:rPr>
        <w:t>GPA</w:t>
      </w:r>
      <w:r>
        <w:rPr>
          <w:noProof/>
        </w:rPr>
        <w:t xml:space="preserve"> I papildinājuma Eiropas Savienības 4.–6. pielikumā un šīs apakšiedaļas 2. punktā, ko veic turpmāk norādītie iepirkumu veicēji dalībvalstīs:</w:t>
      </w:r>
    </w:p>
    <w:p w:rsidR="003E022D" w:rsidRDefault="007D19D6">
      <w:pPr>
        <w:numPr>
          <w:ilvl w:val="0"/>
          <w:numId w:val="839"/>
        </w:numPr>
        <w:ind w:left="567" w:hanging="567"/>
        <w:rPr>
          <w:noProof/>
        </w:rPr>
      </w:pPr>
      <w:r>
        <w:rPr>
          <w:noProof/>
        </w:rPr>
        <w:t>visi līgumslēdzēji, uz kuru iepirkumu attiecas ES komunālo pakalpoju</w:t>
      </w:r>
      <w:r>
        <w:rPr>
          <w:noProof/>
        </w:rPr>
        <w:t xml:space="preserve">mu direktīva un kuri ir līgumslēdzējas iestādes (piemēram, tās, uz ko attiecas </w:t>
      </w:r>
      <w:r>
        <w:rPr>
          <w:i/>
          <w:noProof/>
        </w:rPr>
        <w:t>GPA</w:t>
      </w:r>
      <w:r>
        <w:rPr>
          <w:noProof/>
        </w:rPr>
        <w:t xml:space="preserve"> I papildinājuma 1. un 2. pielikums) vai publiski uzņēmumi</w:t>
      </w:r>
      <w:r>
        <w:rPr>
          <w:rStyle w:val="FootnoteReference"/>
          <w:rFonts w:eastAsiaTheme="minorEastAsia"/>
          <w:noProof/>
        </w:rPr>
        <w:footnoteReference w:id="120"/>
      </w:r>
      <w:r>
        <w:rPr>
          <w:noProof/>
        </w:rPr>
        <w:t xml:space="preserve">, un kuru darbība ir kādā no turpmāk minētajām jomām </w:t>
      </w:r>
    </w:p>
    <w:p w:rsidR="003E022D" w:rsidRDefault="007D19D6">
      <w:pPr>
        <w:numPr>
          <w:ilvl w:val="1"/>
          <w:numId w:val="840"/>
        </w:numPr>
        <w:ind w:left="1276" w:hanging="567"/>
        <w:rPr>
          <w:noProof/>
        </w:rPr>
      </w:pPr>
      <w:r>
        <w:rPr>
          <w:noProof/>
        </w:rPr>
        <w:t>komunālo pakalpojumu sniegšanai paredzētu fiksēto tīklu nodro</w:t>
      </w:r>
      <w:r>
        <w:rPr>
          <w:noProof/>
        </w:rPr>
        <w:t xml:space="preserve">šināšana vai ekspluatācija saistībā ar gāzes vai siltuma ražošanu, transportēšanu vai sadali, vai arī gāzes vai siltuma apgādi šādiem tīkliem, </w:t>
      </w:r>
    </w:p>
    <w:p w:rsidR="003E022D" w:rsidRDefault="007D19D6">
      <w:pPr>
        <w:numPr>
          <w:ilvl w:val="1"/>
          <w:numId w:val="840"/>
        </w:numPr>
        <w:ind w:left="1276" w:hanging="567"/>
        <w:rPr>
          <w:noProof/>
        </w:rPr>
      </w:pPr>
      <w:r>
        <w:rPr>
          <w:noProof/>
        </w:rPr>
        <w:t xml:space="preserve">jebkāds šādas darbības un </w:t>
      </w:r>
      <w:r>
        <w:rPr>
          <w:i/>
          <w:noProof/>
        </w:rPr>
        <w:t>GPA</w:t>
      </w:r>
      <w:r>
        <w:rPr>
          <w:noProof/>
        </w:rPr>
        <w:t xml:space="preserve"> I papildinājuma 3. pielikumā minētās darbības apvienojums;</w:t>
      </w:r>
    </w:p>
    <w:p w:rsidR="003E022D" w:rsidRDefault="007D19D6">
      <w:pPr>
        <w:ind w:left="567" w:hanging="567"/>
        <w:rPr>
          <w:rFonts w:eastAsiaTheme="minorEastAsia"/>
          <w:noProof/>
        </w:rPr>
      </w:pPr>
      <w:r>
        <w:rPr>
          <w:noProof/>
        </w:rPr>
        <w:t xml:space="preserve">b) </w:t>
      </w:r>
      <w:r>
        <w:rPr>
          <w:noProof/>
        </w:rPr>
        <w:tab/>
        <w:t>privāti iepirkuma v</w:t>
      </w:r>
      <w:r>
        <w:rPr>
          <w:noProof/>
        </w:rPr>
        <w:t>eicēji, kuru viena no darbībām ir kāda no šā punkta a) apakšpunktā, GPA I papildinājuma 3. pielikuma 1. punktā minētajām darbībām vai jebkāds to apvienojums un kuri darbojas, pamatojoties uz īpašām vai ekskluzīvām tiesībām, ko piešķīrusi dalībvalsts kompet</w:t>
      </w:r>
      <w:r>
        <w:rPr>
          <w:noProof/>
        </w:rPr>
        <w:t xml:space="preserve">entā iestāde; </w:t>
      </w:r>
    </w:p>
    <w:p w:rsidR="003E022D" w:rsidRDefault="007D19D6">
      <w:pPr>
        <w:rPr>
          <w:rFonts w:eastAsiaTheme="minorEastAsia"/>
          <w:noProof/>
        </w:rPr>
      </w:pPr>
      <w:r>
        <w:rPr>
          <w:noProof/>
        </w:rPr>
        <w:t>attiecībā uz iepirkumu, kā vērtība ir vienāda ar šādām robežvērtībām vai tās pārsniedz:</w:t>
      </w:r>
    </w:p>
    <w:p w:rsidR="003E022D" w:rsidRDefault="007D19D6">
      <w:pPr>
        <w:numPr>
          <w:ilvl w:val="0"/>
          <w:numId w:val="838"/>
        </w:numPr>
        <w:ind w:left="0" w:firstLine="0"/>
        <w:rPr>
          <w:rFonts w:eastAsiaTheme="minorEastAsia"/>
          <w:noProof/>
        </w:rPr>
      </w:pPr>
      <w:r>
        <w:rPr>
          <w:noProof/>
        </w:rPr>
        <w:t>400 000 SDR preču un pakalpojumu iepirkumam,</w:t>
      </w:r>
      <w:r>
        <w:rPr>
          <w:noProof/>
        </w:rPr>
        <w:tab/>
      </w:r>
    </w:p>
    <w:p w:rsidR="003E022D" w:rsidRDefault="007D19D6">
      <w:pPr>
        <w:numPr>
          <w:ilvl w:val="0"/>
          <w:numId w:val="838"/>
        </w:numPr>
        <w:ind w:left="0" w:firstLine="0"/>
        <w:rPr>
          <w:rFonts w:eastAsiaTheme="minorEastAsia"/>
          <w:noProof/>
        </w:rPr>
      </w:pPr>
      <w:r>
        <w:rPr>
          <w:noProof/>
        </w:rPr>
        <w:t>5 000 000 SDR būvniecības pakalpojumu iepirkumam (</w:t>
      </w:r>
      <w:r>
        <w:rPr>
          <w:i/>
          <w:noProof/>
        </w:rPr>
        <w:t>CPC </w:t>
      </w:r>
      <w:r>
        <w:rPr>
          <w:noProof/>
        </w:rPr>
        <w:t>51).</w:t>
      </w:r>
    </w:p>
    <w:p w:rsidR="003E022D" w:rsidRDefault="007D19D6">
      <w:pPr>
        <w:numPr>
          <w:ilvl w:val="3"/>
          <w:numId w:val="837"/>
        </w:numPr>
        <w:ind w:left="0" w:firstLine="0"/>
        <w:rPr>
          <w:rFonts w:eastAsiaTheme="minorEastAsia"/>
          <w:noProof/>
        </w:rPr>
      </w:pPr>
      <w:r>
        <w:rPr>
          <w:noProof/>
        </w:rPr>
        <w:t xml:space="preserve">Papildu pakalpojumi </w:t>
      </w:r>
    </w:p>
    <w:p w:rsidR="003E022D" w:rsidRDefault="007D19D6">
      <w:pPr>
        <w:pStyle w:val="Dash"/>
        <w:ind w:left="0" w:firstLine="0"/>
        <w:rPr>
          <w:rFonts w:eastAsiaTheme="minorEastAsia"/>
          <w:noProof/>
        </w:rPr>
      </w:pPr>
      <w:r>
        <w:rPr>
          <w:noProof/>
        </w:rPr>
        <w:t xml:space="preserve">Šādu pakalpojumu iepirkums </w:t>
      </w:r>
      <w:r>
        <w:rPr>
          <w:noProof/>
        </w:rPr>
        <w:t xml:space="preserve">papildus pakalpojumiem, kas uzskaitīti </w:t>
      </w:r>
      <w:r>
        <w:rPr>
          <w:i/>
          <w:noProof/>
        </w:rPr>
        <w:t>GPA</w:t>
      </w:r>
      <w:r>
        <w:rPr>
          <w:noProof/>
        </w:rPr>
        <w:t xml:space="preserve"> I papildinājuma Eiropas Savienības 5. pielikumā, subjektiem, uz kuriem attiecas </w:t>
      </w:r>
      <w:r>
        <w:rPr>
          <w:i/>
          <w:noProof/>
        </w:rPr>
        <w:t>GPA</w:t>
      </w:r>
      <w:r>
        <w:rPr>
          <w:noProof/>
        </w:rPr>
        <w:t xml:space="preserve"> I papildinājuma Eiropas Savienības 1.–3. pielikums vai šīs apakšiedaļas 1. punkts: </w:t>
      </w:r>
    </w:p>
    <w:p w:rsidR="003E022D" w:rsidRDefault="007D19D6">
      <w:pPr>
        <w:numPr>
          <w:ilvl w:val="0"/>
          <w:numId w:val="838"/>
        </w:numPr>
        <w:ind w:left="0" w:firstLine="0"/>
        <w:rPr>
          <w:rFonts w:cstheme="minorHAnsi"/>
          <w:noProof/>
        </w:rPr>
      </w:pPr>
      <w:r>
        <w:rPr>
          <w:noProof/>
        </w:rPr>
        <w:t>viesnīcu un restorānu pakalpojumi (</w:t>
      </w:r>
      <w:r>
        <w:rPr>
          <w:i/>
          <w:noProof/>
        </w:rPr>
        <w:t>CPC</w:t>
      </w:r>
      <w:r>
        <w:rPr>
          <w:noProof/>
        </w:rPr>
        <w:t> 641),</w:t>
      </w:r>
    </w:p>
    <w:p w:rsidR="003E022D" w:rsidRDefault="007D19D6">
      <w:pPr>
        <w:numPr>
          <w:ilvl w:val="0"/>
          <w:numId w:val="838"/>
        </w:numPr>
        <w:ind w:left="0" w:firstLine="0"/>
        <w:rPr>
          <w:rFonts w:cstheme="minorHAnsi"/>
          <w:noProof/>
        </w:rPr>
      </w:pPr>
      <w:r>
        <w:rPr>
          <w:noProof/>
        </w:rPr>
        <w:t>ēdienu pasniegšanas pakalpojumi (CPC 642),</w:t>
      </w:r>
    </w:p>
    <w:p w:rsidR="003E022D" w:rsidRDefault="007D19D6">
      <w:pPr>
        <w:numPr>
          <w:ilvl w:val="0"/>
          <w:numId w:val="838"/>
        </w:numPr>
        <w:ind w:left="0" w:firstLine="0"/>
        <w:rPr>
          <w:rFonts w:cstheme="minorHAnsi"/>
          <w:noProof/>
        </w:rPr>
      </w:pPr>
      <w:r>
        <w:rPr>
          <w:noProof/>
        </w:rPr>
        <w:t>dzērienu pasniegšanas pakalpojumi (CPC 643),</w:t>
      </w:r>
    </w:p>
    <w:p w:rsidR="003E022D" w:rsidRDefault="007D19D6">
      <w:pPr>
        <w:numPr>
          <w:ilvl w:val="0"/>
          <w:numId w:val="838"/>
        </w:numPr>
        <w:ind w:left="0" w:firstLine="0"/>
        <w:rPr>
          <w:rFonts w:cstheme="minorHAnsi"/>
          <w:noProof/>
        </w:rPr>
      </w:pPr>
      <w:r>
        <w:rPr>
          <w:noProof/>
        </w:rPr>
        <w:t>ar telesakariem saistīti pakalpojumi (CPC 754),</w:t>
      </w:r>
    </w:p>
    <w:p w:rsidR="003E022D" w:rsidRDefault="007D19D6">
      <w:pPr>
        <w:numPr>
          <w:ilvl w:val="0"/>
          <w:numId w:val="838"/>
        </w:numPr>
        <w:ind w:left="0" w:firstLine="0"/>
        <w:rPr>
          <w:rFonts w:cstheme="minorHAnsi"/>
          <w:noProof/>
        </w:rPr>
      </w:pPr>
      <w:r>
        <w:rPr>
          <w:noProof/>
        </w:rPr>
        <w:t>ar nekustamo īpašumu saistīti pakalpojumi par atlīdzību vai uz līguma pamata (CPC 8220),</w:t>
      </w:r>
    </w:p>
    <w:p w:rsidR="003E022D" w:rsidRDefault="007D19D6">
      <w:pPr>
        <w:numPr>
          <w:ilvl w:val="0"/>
          <w:numId w:val="838"/>
        </w:numPr>
        <w:ind w:left="0" w:firstLine="0"/>
        <w:rPr>
          <w:rFonts w:cstheme="minorHAnsi"/>
          <w:noProof/>
        </w:rPr>
      </w:pPr>
      <w:r>
        <w:rPr>
          <w:noProof/>
        </w:rPr>
        <w:t>citi komercdarbības pakalpojumi</w:t>
      </w:r>
      <w:r>
        <w:rPr>
          <w:noProof/>
        </w:rPr>
        <w:t xml:space="preserve"> (CPC 87901, 87903, 87905–87907),</w:t>
      </w:r>
    </w:p>
    <w:p w:rsidR="003E022D" w:rsidRDefault="007D19D6">
      <w:pPr>
        <w:numPr>
          <w:ilvl w:val="0"/>
          <w:numId w:val="838"/>
        </w:numPr>
        <w:ind w:left="0" w:firstLine="0"/>
        <w:rPr>
          <w:noProof/>
        </w:rPr>
      </w:pPr>
      <w:r>
        <w:rPr>
          <w:noProof/>
        </w:rPr>
        <w:t>izglītības pakalpojumi (CPC 92).</w:t>
      </w:r>
    </w:p>
    <w:p w:rsidR="003E022D" w:rsidRDefault="007D19D6">
      <w:pPr>
        <w:pStyle w:val="Freetext"/>
        <w:rPr>
          <w:rFonts w:eastAsiaTheme="minorEastAsia"/>
          <w:noProof/>
        </w:rPr>
      </w:pPr>
      <w:r>
        <w:rPr>
          <w:i/>
          <w:noProof/>
          <w:u w:val="single"/>
        </w:rPr>
        <w:t>Piezīmes.</w:t>
      </w:r>
    </w:p>
    <w:p w:rsidR="003E022D" w:rsidRDefault="007D19D6">
      <w:pPr>
        <w:numPr>
          <w:ilvl w:val="6"/>
          <w:numId w:val="837"/>
        </w:numPr>
        <w:ind w:left="0" w:firstLine="0"/>
        <w:rPr>
          <w:rFonts w:eastAsiaTheme="minorEastAsia"/>
          <w:noProof/>
        </w:rPr>
      </w:pPr>
      <w:r>
        <w:rPr>
          <w:noProof/>
        </w:rPr>
        <w:t>Līgumiem par viesnīcu un restorānu pakalpojumiem (</w:t>
      </w:r>
      <w:r>
        <w:rPr>
          <w:i/>
          <w:noProof/>
        </w:rPr>
        <w:t>CPC</w:t>
      </w:r>
      <w:r>
        <w:rPr>
          <w:noProof/>
        </w:rPr>
        <w:t> 641), ēdienu pasniegšanas pakalpojumiem (</w:t>
      </w:r>
      <w:r>
        <w:rPr>
          <w:i/>
          <w:noProof/>
        </w:rPr>
        <w:t>CPC </w:t>
      </w:r>
      <w:r>
        <w:rPr>
          <w:noProof/>
        </w:rPr>
        <w:t>642), dzērienu pasniegšanas pakalpojumiem (</w:t>
      </w:r>
      <w:r>
        <w:rPr>
          <w:i/>
          <w:noProof/>
        </w:rPr>
        <w:t>CPC </w:t>
      </w:r>
      <w:r>
        <w:rPr>
          <w:noProof/>
        </w:rPr>
        <w:t xml:space="preserve">643) un izglītības pakalpojumiem </w:t>
      </w:r>
      <w:r>
        <w:rPr>
          <w:noProof/>
        </w:rPr>
        <w:t>(</w:t>
      </w:r>
      <w:r>
        <w:rPr>
          <w:i/>
          <w:noProof/>
        </w:rPr>
        <w:t>CPC </w:t>
      </w:r>
      <w:r>
        <w:rPr>
          <w:noProof/>
        </w:rPr>
        <w:t xml:space="preserve">92) uz Apvienotās Karalistes piegādātājiem, tostarp pakalpojumu sniedzējiem, attiecas valsts režīms, ja šo līgumu vērtība ir vienāda ar 750 000 EUR vai lielāka, kad tos piešķir iepirkuma veicēji saskaņā ar </w:t>
      </w:r>
      <w:r>
        <w:rPr>
          <w:i/>
          <w:noProof/>
        </w:rPr>
        <w:t>GPA</w:t>
      </w:r>
      <w:r>
        <w:rPr>
          <w:noProof/>
        </w:rPr>
        <w:t xml:space="preserve"> I papildinājuma Eiropas Savienības 1. un </w:t>
      </w:r>
      <w:r>
        <w:rPr>
          <w:noProof/>
        </w:rPr>
        <w:t xml:space="preserve">2. pielikumu, un ja to vērtība ir vienāda ar 1 000 000 EUR vai lielāka, kad tos piešķir iepirkuma veicēji saskaņā ar </w:t>
      </w:r>
      <w:r>
        <w:rPr>
          <w:i/>
          <w:noProof/>
        </w:rPr>
        <w:t>GPA</w:t>
      </w:r>
      <w:r>
        <w:rPr>
          <w:noProof/>
        </w:rPr>
        <w:t xml:space="preserve"> I papildinājuma Eiropas Savienības 3. pielikumu vai saskaņā ar šīs apakšiedaļas 1. punktu.</w:t>
      </w:r>
    </w:p>
    <w:p w:rsidR="003E022D" w:rsidRDefault="007D19D6">
      <w:pPr>
        <w:numPr>
          <w:ilvl w:val="6"/>
          <w:numId w:val="837"/>
        </w:numPr>
        <w:ind w:left="0" w:firstLine="0"/>
        <w:rPr>
          <w:rFonts w:eastAsiaTheme="minorEastAsia"/>
          <w:noProof/>
        </w:rPr>
      </w:pPr>
      <w:r>
        <w:rPr>
          <w:noProof/>
        </w:rPr>
        <w:t xml:space="preserve">Tādu gāzes vai siltuma piegādi tīkliem, kas </w:t>
      </w:r>
      <w:r>
        <w:rPr>
          <w:noProof/>
        </w:rPr>
        <w:t>iedzīvotājiem nodrošina pakalpojumu, kuru sniedz iepirkumu veicējs, kas nav līgumslēdzēja iestāde, neuzskata par attiecīgu darbību šīs apakšiedaļas nozīmē, ja:</w:t>
      </w:r>
    </w:p>
    <w:p w:rsidR="003E022D" w:rsidRDefault="007D19D6">
      <w:pPr>
        <w:ind w:left="567" w:hanging="567"/>
        <w:rPr>
          <w:rFonts w:eastAsiaTheme="minorEastAsia"/>
          <w:noProof/>
        </w:rPr>
      </w:pPr>
      <w:r>
        <w:rPr>
          <w:noProof/>
        </w:rPr>
        <w:t>a)</w:t>
      </w:r>
      <w:r>
        <w:rPr>
          <w:noProof/>
        </w:rPr>
        <w:tab/>
        <w:t>gāzes vai siltuma ražošana, ko veic attiecīgais subjekts, notiek tāpēc, ka tā patēriņš ir vaj</w:t>
      </w:r>
      <w:r>
        <w:rPr>
          <w:noProof/>
        </w:rPr>
        <w:t xml:space="preserve">adzīgs, lai veiktu darbību, kas nav minēta šajā apakšiedaļā vai </w:t>
      </w:r>
      <w:r>
        <w:rPr>
          <w:i/>
          <w:noProof/>
        </w:rPr>
        <w:t>GPA</w:t>
      </w:r>
      <w:r>
        <w:rPr>
          <w:noProof/>
        </w:rPr>
        <w:t xml:space="preserve"> I papildinājuma Eiropas Savienības 3. pielikuma a) līdz f) punktā; un</w:t>
      </w:r>
    </w:p>
    <w:p w:rsidR="003E022D" w:rsidRDefault="007D19D6">
      <w:pPr>
        <w:ind w:left="567" w:hanging="567"/>
        <w:rPr>
          <w:rFonts w:eastAsiaTheme="minorEastAsia"/>
          <w:noProof/>
        </w:rPr>
      </w:pPr>
      <w:r>
        <w:rPr>
          <w:noProof/>
        </w:rPr>
        <w:t>b)</w:t>
      </w:r>
      <w:r>
        <w:rPr>
          <w:noProof/>
        </w:rPr>
        <w:tab/>
        <w:t>piegāde publiskajam tīklam ir paredzēta tikai šādas ražošanas saimnieciskai izmantošanai un nepārsniedz 20 % no sub</w:t>
      </w:r>
      <w:r>
        <w:rPr>
          <w:noProof/>
        </w:rPr>
        <w:t>jekta apgrozījuma, pamatojoties uz vidējo rādītāju iepriekšējos trīs gados, ieskaitot kārtējo gadu.</w:t>
      </w:r>
    </w:p>
    <w:p w:rsidR="003E022D" w:rsidRDefault="007D19D6">
      <w:pPr>
        <w:numPr>
          <w:ilvl w:val="6"/>
          <w:numId w:val="837"/>
        </w:numPr>
        <w:ind w:left="0" w:firstLine="0"/>
        <w:rPr>
          <w:rFonts w:eastAsiaTheme="minorEastAsia"/>
          <w:noProof/>
        </w:rPr>
      </w:pPr>
      <w:r>
        <w:rPr>
          <w:noProof/>
        </w:rPr>
        <w:t>Otrās daļas Pirmā temata VI sadaļa [PUBLISKAIS IEPIRKUMS] un šis pielikums neattiecas uz šādu pakalpojumu iepirkumu:</w:t>
      </w:r>
    </w:p>
    <w:p w:rsidR="003E022D" w:rsidRDefault="007D19D6">
      <w:pPr>
        <w:ind w:left="567" w:hanging="567"/>
        <w:rPr>
          <w:rFonts w:eastAsiaTheme="minorEastAsia"/>
          <w:noProof/>
        </w:rPr>
      </w:pPr>
      <w:r>
        <w:rPr>
          <w:noProof/>
        </w:rPr>
        <w:t xml:space="preserve">a) </w:t>
      </w:r>
      <w:r>
        <w:rPr>
          <w:noProof/>
        </w:rPr>
        <w:tab/>
        <w:t>cilvēku veselības pakalpojumu snieg</w:t>
      </w:r>
      <w:r>
        <w:rPr>
          <w:noProof/>
        </w:rPr>
        <w:t>šana (</w:t>
      </w:r>
      <w:r>
        <w:rPr>
          <w:i/>
          <w:noProof/>
        </w:rPr>
        <w:t>CPC</w:t>
      </w:r>
      <w:r>
        <w:rPr>
          <w:noProof/>
        </w:rPr>
        <w:t> 931);</w:t>
      </w:r>
    </w:p>
    <w:p w:rsidR="003E022D" w:rsidRDefault="007D19D6">
      <w:pPr>
        <w:ind w:left="567" w:hanging="567"/>
        <w:rPr>
          <w:rFonts w:eastAsiaTheme="minorEastAsia"/>
          <w:noProof/>
        </w:rPr>
      </w:pPr>
      <w:r>
        <w:rPr>
          <w:noProof/>
        </w:rPr>
        <w:t xml:space="preserve">b) </w:t>
      </w:r>
      <w:r>
        <w:rPr>
          <w:noProof/>
        </w:rPr>
        <w:tab/>
        <w:t>administratīvie veselības aprūpes pakalpojumi (</w:t>
      </w:r>
      <w:r>
        <w:rPr>
          <w:i/>
          <w:noProof/>
        </w:rPr>
        <w:t>CPC </w:t>
      </w:r>
      <w:r>
        <w:rPr>
          <w:noProof/>
        </w:rPr>
        <w:t>91122) un</w:t>
      </w:r>
    </w:p>
    <w:p w:rsidR="003E022D" w:rsidRDefault="007D19D6">
      <w:pPr>
        <w:ind w:left="567" w:hanging="567"/>
        <w:rPr>
          <w:rFonts w:eastAsiaTheme="minorEastAsia"/>
          <w:noProof/>
        </w:rPr>
      </w:pPr>
      <w:r>
        <w:rPr>
          <w:noProof/>
        </w:rPr>
        <w:t xml:space="preserve">c) </w:t>
      </w:r>
      <w:r>
        <w:rPr>
          <w:noProof/>
        </w:rPr>
        <w:tab/>
        <w:t>aprūpes personāla nodrošināšanas pakalpojumi un medicīniskā personāla nodrošināšanas pakalpojumi (</w:t>
      </w:r>
      <w:r>
        <w:rPr>
          <w:i/>
          <w:noProof/>
        </w:rPr>
        <w:t>CPC</w:t>
      </w:r>
      <w:r>
        <w:rPr>
          <w:noProof/>
        </w:rPr>
        <w:t xml:space="preserve"> 87206 un </w:t>
      </w:r>
      <w:r>
        <w:rPr>
          <w:i/>
          <w:noProof/>
        </w:rPr>
        <w:t>CPC</w:t>
      </w:r>
      <w:r>
        <w:rPr>
          <w:noProof/>
        </w:rPr>
        <w:t> 87209).</w:t>
      </w:r>
    </w:p>
    <w:p w:rsidR="003E022D" w:rsidRDefault="007D19D6">
      <w:pPr>
        <w:pStyle w:val="Article"/>
        <w:rPr>
          <w:b/>
          <w:bCs/>
          <w:noProof/>
        </w:rPr>
      </w:pPr>
      <w:r>
        <w:rPr>
          <w:noProof/>
        </w:rPr>
        <w:t>B.2. apakšiedaļa. Apvienotā Karaliste</w:t>
      </w:r>
    </w:p>
    <w:p w:rsidR="003E022D" w:rsidRDefault="007D19D6">
      <w:pPr>
        <w:rPr>
          <w:bCs/>
          <w:iCs/>
          <w:noProof/>
          <w:color w:val="222222"/>
        </w:rPr>
      </w:pPr>
      <w:r>
        <w:rPr>
          <w:bCs/>
          <w:iCs/>
          <w:noProof/>
          <w:color w:val="222222"/>
        </w:rPr>
        <w:t xml:space="preserve">Saskaņā ar Otrās daļas Pirmā temata PPROC 2.2. un PPROC 2.3. pantu VI sadaļu [PUBLISKAIS IEPIRKUMS] piemēro ne tikai iepirkumam, uz ko attiecas </w:t>
      </w:r>
      <w:r>
        <w:rPr>
          <w:bCs/>
          <w:i/>
          <w:iCs/>
          <w:noProof/>
          <w:color w:val="222222"/>
        </w:rPr>
        <w:t>GPA</w:t>
      </w:r>
      <w:r>
        <w:rPr>
          <w:bCs/>
          <w:iCs/>
          <w:noProof/>
          <w:color w:val="222222"/>
        </w:rPr>
        <w:t xml:space="preserve"> II pants, bet arī iepirkumam, uz ko attiecas šī apakšiedaļa.</w:t>
      </w:r>
    </w:p>
    <w:p w:rsidR="003E022D" w:rsidRDefault="007D19D6">
      <w:pPr>
        <w:rPr>
          <w:bCs/>
          <w:iCs/>
          <w:noProof/>
          <w:color w:val="222222"/>
        </w:rPr>
      </w:pPr>
      <w:r>
        <w:rPr>
          <w:noProof/>
        </w:rPr>
        <w:t>Uz iepirkumu, uz ko attiecas šī apakšiedaļa, at</w:t>
      </w:r>
      <w:r>
        <w:rPr>
          <w:noProof/>
        </w:rPr>
        <w:t xml:space="preserve">tiecas arī </w:t>
      </w:r>
      <w:r>
        <w:rPr>
          <w:i/>
          <w:noProof/>
        </w:rPr>
        <w:t>GPA</w:t>
      </w:r>
      <w:r>
        <w:rPr>
          <w:noProof/>
        </w:rPr>
        <w:t xml:space="preserve"> I papildinājuma Apvienotās Karalistes 1.–7. pielikuma piezīmes, ja vien šajā apakšiedaļā nav paredzēts citādi.</w:t>
      </w:r>
    </w:p>
    <w:p w:rsidR="003E022D" w:rsidRDefault="007D19D6">
      <w:pPr>
        <w:rPr>
          <w:rFonts w:eastAsiaTheme="minorEastAsia" w:cstheme="minorHAnsi"/>
          <w:i/>
          <w:noProof/>
          <w:u w:val="single"/>
        </w:rPr>
      </w:pPr>
      <w:r>
        <w:rPr>
          <w:i/>
          <w:noProof/>
          <w:u w:val="single"/>
        </w:rPr>
        <w:t>Iepirkums, uz kuru attiecas apakšiedaļa</w:t>
      </w:r>
    </w:p>
    <w:p w:rsidR="003E022D" w:rsidRDefault="007D19D6">
      <w:pPr>
        <w:rPr>
          <w:noProof/>
          <w:color w:val="222222"/>
        </w:rPr>
      </w:pPr>
      <w:r>
        <w:rPr>
          <w:noProof/>
          <w:color w:val="222222"/>
        </w:rPr>
        <w:t xml:space="preserve">1. </w:t>
      </w:r>
      <w:r>
        <w:rPr>
          <w:noProof/>
        </w:rPr>
        <w:tab/>
        <w:t xml:space="preserve">Citi iepirkuma veicēji </w:t>
      </w:r>
    </w:p>
    <w:p w:rsidR="003E022D" w:rsidRDefault="007D19D6">
      <w:pPr>
        <w:rPr>
          <w:noProof/>
          <w:color w:val="222222"/>
        </w:rPr>
      </w:pPr>
      <w:r>
        <w:rPr>
          <w:noProof/>
        </w:rPr>
        <w:t xml:space="preserve">Preču un pakalpojumu iepirkums, kā norādīts </w:t>
      </w:r>
      <w:r>
        <w:rPr>
          <w:i/>
          <w:noProof/>
        </w:rPr>
        <w:t>GPA</w:t>
      </w:r>
      <w:r>
        <w:rPr>
          <w:noProof/>
        </w:rPr>
        <w:t xml:space="preserve"> I papildinājum</w:t>
      </w:r>
      <w:r>
        <w:rPr>
          <w:noProof/>
        </w:rPr>
        <w:t>a Apvienotās Karalistes 4.–6. pielikumā un šīs apakšiedaļas 2. punktā, ko veic turpmāk norādītie iepirkuma veicēji Apvienotajā Karalistē:</w:t>
      </w:r>
    </w:p>
    <w:p w:rsidR="003E022D" w:rsidRDefault="007D19D6">
      <w:pPr>
        <w:shd w:val="clear" w:color="auto" w:fill="FFFFFF"/>
        <w:rPr>
          <w:noProof/>
          <w:color w:val="222222"/>
        </w:rPr>
      </w:pPr>
      <w:r>
        <w:rPr>
          <w:noProof/>
        </w:rPr>
        <w:t>a) visi līgumslēdzēji, uz kuru iepirkumu attiecas Komunālo pakalpojumu līgumu likums (2016) un Komunālo pakalpojumu (S</w:t>
      </w:r>
      <w:r>
        <w:rPr>
          <w:noProof/>
        </w:rPr>
        <w:t xml:space="preserve">kotija) līgumu likums (2016)un kuri ir līgumslēdzējas iestādes (piemēram, tie, uz ko attiecas </w:t>
      </w:r>
      <w:r>
        <w:rPr>
          <w:i/>
          <w:noProof/>
        </w:rPr>
        <w:t>GPA</w:t>
      </w:r>
      <w:r>
        <w:rPr>
          <w:noProof/>
        </w:rPr>
        <w:t xml:space="preserve"> I papildinājuma 1. un 2. pielikums) vai publiski uzņēmumi (sk. 1. piezīmi), un kuru darbība ir kādā no turpmāk minētajām jomām</w:t>
      </w:r>
    </w:p>
    <w:p w:rsidR="003E022D" w:rsidRDefault="007D19D6">
      <w:pPr>
        <w:ind w:left="1276" w:hanging="567"/>
        <w:rPr>
          <w:noProof/>
        </w:rPr>
      </w:pPr>
      <w:r>
        <w:rPr>
          <w:noProof/>
          <w:color w:val="222222"/>
        </w:rPr>
        <w:t xml:space="preserve">i) </w:t>
      </w:r>
      <w:r>
        <w:rPr>
          <w:noProof/>
        </w:rPr>
        <w:tab/>
        <w:t>komunālo pakalpojumu sniegš</w:t>
      </w:r>
      <w:r>
        <w:rPr>
          <w:noProof/>
        </w:rPr>
        <w:t>anai paredzētu fiksēto tīklu nodrošināšana vai ekspluatācija saistībā ar gāzes vai siltuma ražošanu, transportēšanu vai sadali, vai arī gāzes vai siltuma apgādi šādiem tīkliem,</w:t>
      </w:r>
    </w:p>
    <w:p w:rsidR="003E022D" w:rsidRDefault="007D19D6">
      <w:pPr>
        <w:ind w:left="1276" w:hanging="567"/>
        <w:rPr>
          <w:noProof/>
        </w:rPr>
      </w:pPr>
      <w:r>
        <w:rPr>
          <w:noProof/>
        </w:rPr>
        <w:t xml:space="preserve">ii) </w:t>
      </w:r>
      <w:r>
        <w:rPr>
          <w:noProof/>
        </w:rPr>
        <w:tab/>
        <w:t xml:space="preserve">jebkāds šādas darbības un </w:t>
      </w:r>
      <w:r>
        <w:rPr>
          <w:i/>
          <w:noProof/>
        </w:rPr>
        <w:t>GPA</w:t>
      </w:r>
      <w:r>
        <w:rPr>
          <w:noProof/>
        </w:rPr>
        <w:t xml:space="preserve"> I papildinājuma 3. pielikumā minētās darbība</w:t>
      </w:r>
      <w:r>
        <w:rPr>
          <w:noProof/>
        </w:rPr>
        <w:t>s apvienojums;</w:t>
      </w:r>
    </w:p>
    <w:p w:rsidR="003E022D" w:rsidRDefault="007D19D6">
      <w:pPr>
        <w:shd w:val="clear" w:color="auto" w:fill="FFFFFF"/>
        <w:rPr>
          <w:noProof/>
          <w:color w:val="222222"/>
        </w:rPr>
      </w:pPr>
      <w:r>
        <w:rPr>
          <w:noProof/>
          <w:color w:val="222222"/>
        </w:rPr>
        <w:t xml:space="preserve">b) privāti iepirkuma veicēji, kuru viena no darbībām ir kāda no šā punkta a) apakšpunktā, </w:t>
      </w:r>
      <w:r>
        <w:rPr>
          <w:i/>
          <w:noProof/>
          <w:color w:val="222222"/>
        </w:rPr>
        <w:t>GPA</w:t>
      </w:r>
      <w:r>
        <w:rPr>
          <w:noProof/>
          <w:color w:val="222222"/>
        </w:rPr>
        <w:t xml:space="preserve"> I papildinājuma 3. pielikuma 1. punktā minētajām darbībām vai jebkāds to apvienojums un kuri darbojas, pamatojoties uz īpašām vai ekskluzīvām tiesī</w:t>
      </w:r>
      <w:r>
        <w:rPr>
          <w:noProof/>
          <w:color w:val="222222"/>
        </w:rPr>
        <w:t>bām, ko piešķīrusi Apvienotās Karalistes kompetentā iestāde;</w:t>
      </w:r>
    </w:p>
    <w:p w:rsidR="003E022D" w:rsidRDefault="007D19D6">
      <w:pPr>
        <w:rPr>
          <w:noProof/>
          <w:color w:val="222222"/>
        </w:rPr>
      </w:pPr>
      <w:r>
        <w:rPr>
          <w:noProof/>
        </w:rPr>
        <w:t>attiecībā uz iepirkumu, kā vērtība ir vienāda ar šādām robežvērtībām vai tās pārsniedz:</w:t>
      </w:r>
    </w:p>
    <w:p w:rsidR="003E022D" w:rsidRDefault="007D19D6">
      <w:pPr>
        <w:numPr>
          <w:ilvl w:val="0"/>
          <w:numId w:val="838"/>
        </w:numPr>
        <w:ind w:left="0" w:firstLine="0"/>
        <w:rPr>
          <w:rFonts w:cstheme="minorHAnsi"/>
          <w:noProof/>
        </w:rPr>
      </w:pPr>
      <w:r>
        <w:rPr>
          <w:noProof/>
        </w:rPr>
        <w:t xml:space="preserve">400 000 SDR preču un pakalpojumu iepirkumam,      </w:t>
      </w:r>
    </w:p>
    <w:p w:rsidR="003E022D" w:rsidRDefault="007D19D6">
      <w:pPr>
        <w:numPr>
          <w:ilvl w:val="0"/>
          <w:numId w:val="838"/>
        </w:numPr>
        <w:ind w:left="0" w:firstLine="0"/>
        <w:rPr>
          <w:noProof/>
        </w:rPr>
      </w:pPr>
      <w:r>
        <w:rPr>
          <w:noProof/>
        </w:rPr>
        <w:t>5 000 000 SDR būvniecības pakalpojumu iepirkumam (</w:t>
      </w:r>
      <w:r>
        <w:rPr>
          <w:i/>
          <w:noProof/>
        </w:rPr>
        <w:t>CPC </w:t>
      </w:r>
      <w:r>
        <w:rPr>
          <w:noProof/>
        </w:rPr>
        <w:t>51).</w:t>
      </w:r>
    </w:p>
    <w:p w:rsidR="003E022D" w:rsidRDefault="007D19D6">
      <w:pPr>
        <w:shd w:val="clear" w:color="auto" w:fill="FFFFFF"/>
        <w:rPr>
          <w:noProof/>
          <w:color w:val="222222"/>
        </w:rPr>
      </w:pPr>
      <w:r>
        <w:rPr>
          <w:noProof/>
          <w:color w:val="222222"/>
        </w:rPr>
        <w:t>1. punkta piezīmes.</w:t>
      </w:r>
    </w:p>
    <w:p w:rsidR="003E022D" w:rsidRDefault="007D19D6">
      <w:pPr>
        <w:numPr>
          <w:ilvl w:val="0"/>
          <w:numId w:val="841"/>
        </w:numPr>
        <w:ind w:left="567" w:firstLine="0"/>
        <w:rPr>
          <w:noProof/>
          <w:color w:val="222222"/>
        </w:rPr>
      </w:pPr>
      <w:r>
        <w:rPr>
          <w:noProof/>
          <w:color w:val="222222"/>
        </w:rPr>
        <w:t>Saskaņā ar Komunālo pakalpojumu līgumu likuma (2016) noteikumiem “publisks uzņēmums” ir jebkurš uzņēmums, kurā līgumslēdzējas iestādes var tieši vai netieši īstenot dominējošu ietekmi, pamatojoties uz:</w:t>
      </w:r>
    </w:p>
    <w:p w:rsidR="003E022D" w:rsidRDefault="007D19D6">
      <w:pPr>
        <w:ind w:left="1134" w:hanging="567"/>
        <w:rPr>
          <w:rFonts w:cstheme="minorHAnsi"/>
          <w:noProof/>
        </w:rPr>
      </w:pPr>
      <w:r>
        <w:rPr>
          <w:noProof/>
          <w:color w:val="222222"/>
        </w:rPr>
        <w:t xml:space="preserve">a) </w:t>
      </w:r>
      <w:r>
        <w:rPr>
          <w:noProof/>
        </w:rPr>
        <w:tab/>
        <w:t xml:space="preserve">īpašumtiesībām uz šo </w:t>
      </w:r>
      <w:r>
        <w:rPr>
          <w:noProof/>
        </w:rPr>
        <w:t>uzņēmumu;</w:t>
      </w:r>
    </w:p>
    <w:p w:rsidR="003E022D" w:rsidRDefault="007D19D6">
      <w:pPr>
        <w:ind w:left="1134" w:hanging="567"/>
        <w:rPr>
          <w:rFonts w:cstheme="minorHAnsi"/>
          <w:noProof/>
        </w:rPr>
      </w:pPr>
      <w:r>
        <w:rPr>
          <w:noProof/>
        </w:rPr>
        <w:t xml:space="preserve">b) </w:t>
      </w:r>
      <w:r>
        <w:rPr>
          <w:noProof/>
        </w:rPr>
        <w:tab/>
        <w:t>finansiālo līdzdalību minētajā uzņēmumā; vai</w:t>
      </w:r>
    </w:p>
    <w:p w:rsidR="003E022D" w:rsidRDefault="007D19D6">
      <w:pPr>
        <w:ind w:left="1134" w:hanging="567"/>
        <w:rPr>
          <w:noProof/>
          <w:color w:val="222222"/>
        </w:rPr>
      </w:pPr>
      <w:r>
        <w:rPr>
          <w:noProof/>
        </w:rPr>
        <w:t xml:space="preserve">c) </w:t>
      </w:r>
      <w:r>
        <w:rPr>
          <w:noProof/>
        </w:rPr>
        <w:tab/>
        <w:t xml:space="preserve">noteikumiem, kas </w:t>
      </w:r>
      <w:r>
        <w:rPr>
          <w:noProof/>
          <w:color w:val="222222"/>
        </w:rPr>
        <w:t>reglamentē šo uzņēmumu</w:t>
      </w:r>
      <w:r>
        <w:rPr>
          <w:noProof/>
        </w:rPr>
        <w:t>.</w:t>
      </w:r>
    </w:p>
    <w:p w:rsidR="003E022D" w:rsidRDefault="007D19D6">
      <w:pPr>
        <w:numPr>
          <w:ilvl w:val="0"/>
          <w:numId w:val="841"/>
        </w:numPr>
        <w:ind w:left="567" w:firstLine="0"/>
        <w:rPr>
          <w:noProof/>
          <w:color w:val="222222"/>
        </w:rPr>
      </w:pPr>
      <w:r>
        <w:rPr>
          <w:noProof/>
          <w:color w:val="222222"/>
        </w:rPr>
        <w:t>Saskaņā ar Komunālo pakalpojumu (Skotija) līgumu likumu (2016) “publisks uzņēmums” ir persona, attiecībā uz kuru viena vai vairākas līgumslēdzējas iestā</w:t>
      </w:r>
      <w:r>
        <w:rPr>
          <w:noProof/>
          <w:color w:val="222222"/>
        </w:rPr>
        <w:t>des var tieši vai netieši īstenot dominējošu ietekmi viena vai vairāku šādu iemeslu dēļ:</w:t>
      </w:r>
    </w:p>
    <w:p w:rsidR="003E022D" w:rsidRDefault="007D19D6">
      <w:pPr>
        <w:ind w:left="1134" w:hanging="567"/>
        <w:rPr>
          <w:rFonts w:cstheme="minorHAnsi"/>
          <w:noProof/>
        </w:rPr>
      </w:pPr>
      <w:r>
        <w:rPr>
          <w:noProof/>
          <w:color w:val="222222"/>
        </w:rPr>
        <w:t xml:space="preserve">a) </w:t>
      </w:r>
      <w:r>
        <w:rPr>
          <w:noProof/>
        </w:rPr>
        <w:tab/>
        <w:t>īpašumtiesības uz šo personu;</w:t>
      </w:r>
    </w:p>
    <w:p w:rsidR="003E022D" w:rsidRDefault="007D19D6">
      <w:pPr>
        <w:ind w:left="1134" w:hanging="567"/>
        <w:rPr>
          <w:rFonts w:cstheme="minorHAnsi"/>
          <w:noProof/>
        </w:rPr>
      </w:pPr>
      <w:r>
        <w:rPr>
          <w:noProof/>
        </w:rPr>
        <w:t xml:space="preserve">b) </w:t>
      </w:r>
      <w:r>
        <w:rPr>
          <w:noProof/>
        </w:rPr>
        <w:tab/>
        <w:t>finansiāla līdzdalība šajā personā;</w:t>
      </w:r>
    </w:p>
    <w:p w:rsidR="003E022D" w:rsidRDefault="007D19D6">
      <w:pPr>
        <w:ind w:left="1134" w:hanging="567"/>
        <w:rPr>
          <w:noProof/>
          <w:color w:val="222222"/>
        </w:rPr>
      </w:pPr>
      <w:r>
        <w:rPr>
          <w:noProof/>
        </w:rPr>
        <w:t xml:space="preserve">c) </w:t>
      </w:r>
      <w:r>
        <w:rPr>
          <w:noProof/>
        </w:rPr>
        <w:tab/>
        <w:t>tiesības, kas tām piešķirtas ar noteikumiem, kuri reglamentē šo personu.</w:t>
      </w:r>
    </w:p>
    <w:p w:rsidR="003E022D" w:rsidRDefault="007D19D6">
      <w:pPr>
        <w:numPr>
          <w:ilvl w:val="0"/>
          <w:numId w:val="841"/>
        </w:numPr>
        <w:ind w:left="567" w:firstLine="0"/>
        <w:rPr>
          <w:noProof/>
          <w:color w:val="222222"/>
        </w:rPr>
      </w:pPr>
      <w:r>
        <w:rPr>
          <w:noProof/>
          <w:color w:val="222222"/>
        </w:rPr>
        <w:t>Saskaņā gan ar K</w:t>
      </w:r>
      <w:r>
        <w:rPr>
          <w:noProof/>
          <w:color w:val="222222"/>
        </w:rPr>
        <w:t>omunālo pakalpojumu līgumu likumu (2016), gan Komunālo pakalpojumu (Skotija) līgumu likumu (2016) tiek pieņemts, ka līgumslēdzējām iestādēm ir dominējoša ietekme jebkurā no šādiem gadījumiem, kuros šīs iestādes tieši vai netieši:</w:t>
      </w:r>
    </w:p>
    <w:p w:rsidR="003E022D" w:rsidRDefault="007D19D6">
      <w:pPr>
        <w:ind w:left="1134" w:hanging="567"/>
        <w:rPr>
          <w:noProof/>
          <w:color w:val="222222"/>
        </w:rPr>
      </w:pPr>
      <w:r>
        <w:rPr>
          <w:noProof/>
          <w:color w:val="222222"/>
        </w:rPr>
        <w:t xml:space="preserve">a) </w:t>
      </w:r>
      <w:r>
        <w:rPr>
          <w:noProof/>
        </w:rPr>
        <w:tab/>
      </w:r>
      <w:r>
        <w:rPr>
          <w:noProof/>
          <w:color w:val="222222"/>
        </w:rPr>
        <w:t xml:space="preserve">ir attiecīgā uzņēmuma </w:t>
      </w:r>
      <w:r>
        <w:rPr>
          <w:noProof/>
          <w:color w:val="222222"/>
        </w:rPr>
        <w:t>parakstītā kapitāla lielākās daļas turētājas;</w:t>
      </w:r>
    </w:p>
    <w:p w:rsidR="003E022D" w:rsidRDefault="007D19D6">
      <w:pPr>
        <w:ind w:left="1134" w:hanging="567"/>
        <w:rPr>
          <w:rFonts w:cstheme="minorHAnsi"/>
          <w:noProof/>
        </w:rPr>
      </w:pPr>
      <w:r>
        <w:rPr>
          <w:noProof/>
          <w:color w:val="222222"/>
        </w:rPr>
        <w:t xml:space="preserve">b) </w:t>
      </w:r>
      <w:r>
        <w:rPr>
          <w:noProof/>
        </w:rPr>
        <w:tab/>
        <w:t>kontrolē balsu vairākumu, kas saistīts ar uzņēmuma emitētajām akcijām;</w:t>
      </w:r>
    </w:p>
    <w:p w:rsidR="003E022D" w:rsidRDefault="007D19D6">
      <w:pPr>
        <w:ind w:left="1134" w:hanging="567"/>
        <w:rPr>
          <w:noProof/>
          <w:color w:val="222222"/>
        </w:rPr>
      </w:pPr>
      <w:r>
        <w:rPr>
          <w:noProof/>
        </w:rPr>
        <w:t>c)</w:t>
      </w:r>
      <w:r>
        <w:rPr>
          <w:noProof/>
        </w:rPr>
        <w:tab/>
        <w:t>var iecelt vairāk nekā pusi konkrētā uzņēmuma administrācijas, vadības vai uzraudzības struktūras locekļu.</w:t>
      </w:r>
    </w:p>
    <w:p w:rsidR="003E022D" w:rsidRDefault="007D19D6">
      <w:pPr>
        <w:rPr>
          <w:noProof/>
          <w:color w:val="222222"/>
        </w:rPr>
      </w:pPr>
      <w:r>
        <w:rPr>
          <w:noProof/>
          <w:color w:val="222222"/>
        </w:rPr>
        <w:t>2.</w:t>
      </w:r>
      <w:r>
        <w:rPr>
          <w:noProof/>
        </w:rPr>
        <w:tab/>
        <w:t xml:space="preserve">Papildu </w:t>
      </w:r>
      <w:r>
        <w:rPr>
          <w:noProof/>
          <w:color w:val="222222"/>
        </w:rPr>
        <w:t>pakalpojumi</w:t>
      </w:r>
    </w:p>
    <w:p w:rsidR="003E022D" w:rsidRDefault="007D19D6">
      <w:pPr>
        <w:rPr>
          <w:noProof/>
          <w:color w:val="222222"/>
        </w:rPr>
      </w:pPr>
      <w:r>
        <w:rPr>
          <w:noProof/>
        </w:rPr>
        <w:t>Šā</w:t>
      </w:r>
      <w:r>
        <w:rPr>
          <w:noProof/>
        </w:rPr>
        <w:t xml:space="preserve">du pakalpojumu iepirkums papildus pakalpojumiem, kas uzskaitīti </w:t>
      </w:r>
      <w:r>
        <w:rPr>
          <w:i/>
          <w:noProof/>
        </w:rPr>
        <w:t>GPA</w:t>
      </w:r>
      <w:r>
        <w:rPr>
          <w:noProof/>
        </w:rPr>
        <w:t xml:space="preserve"> I papildinājuma Apvienotās Karalistes 5. pielikumā, subjektiem, uz kuriem attiecas </w:t>
      </w:r>
      <w:r>
        <w:rPr>
          <w:i/>
          <w:noProof/>
        </w:rPr>
        <w:t>GPA</w:t>
      </w:r>
      <w:r>
        <w:rPr>
          <w:noProof/>
        </w:rPr>
        <w:t xml:space="preserve"> I papildinājuma Apvienotās Karalistes 1.–3. pielikums vai šīs apakšiedaļas 1. punkts:</w:t>
      </w:r>
      <w:r>
        <w:rPr>
          <w:noProof/>
          <w:color w:val="222222"/>
        </w:rPr>
        <w:t xml:space="preserve"> </w:t>
      </w:r>
    </w:p>
    <w:p w:rsidR="003E022D" w:rsidRDefault="007D19D6">
      <w:pPr>
        <w:pBdr>
          <w:top w:val="nil"/>
          <w:left w:val="nil"/>
          <w:bottom w:val="nil"/>
          <w:right w:val="nil"/>
          <w:between w:val="nil"/>
        </w:pBdr>
        <w:shd w:val="clear" w:color="auto" w:fill="FFFFFF"/>
        <w:ind w:left="80"/>
        <w:rPr>
          <w:noProof/>
          <w:color w:val="222222"/>
        </w:rPr>
      </w:pPr>
      <w:r>
        <w:rPr>
          <w:noProof/>
          <w:color w:val="222222"/>
        </w:rPr>
        <w:t>-</w:t>
      </w:r>
      <w:r>
        <w:rPr>
          <w:noProof/>
        </w:rPr>
        <w:tab/>
      </w:r>
      <w:r>
        <w:rPr>
          <w:noProof/>
          <w:color w:val="222222"/>
        </w:rPr>
        <w:t xml:space="preserve">viesnīcu un </w:t>
      </w:r>
      <w:r>
        <w:rPr>
          <w:noProof/>
          <w:color w:val="222222"/>
        </w:rPr>
        <w:t>restorānu pakalpojumi (</w:t>
      </w:r>
      <w:r>
        <w:rPr>
          <w:i/>
          <w:noProof/>
          <w:color w:val="222222"/>
        </w:rPr>
        <w:t>CPC</w:t>
      </w:r>
      <w:r>
        <w:rPr>
          <w:noProof/>
          <w:color w:val="222222"/>
        </w:rPr>
        <w:t> 641),</w:t>
      </w:r>
    </w:p>
    <w:p w:rsidR="003E022D" w:rsidRDefault="007D19D6">
      <w:pPr>
        <w:shd w:val="clear" w:color="auto" w:fill="FFFFFF"/>
        <w:ind w:left="80"/>
        <w:rPr>
          <w:noProof/>
          <w:color w:val="222222"/>
        </w:rPr>
      </w:pPr>
      <w:r>
        <w:rPr>
          <w:noProof/>
          <w:color w:val="222222"/>
        </w:rPr>
        <w:t>-</w:t>
      </w:r>
      <w:r>
        <w:rPr>
          <w:noProof/>
        </w:rPr>
        <w:tab/>
      </w:r>
      <w:r>
        <w:rPr>
          <w:noProof/>
          <w:color w:val="222222"/>
        </w:rPr>
        <w:t>ēdienu pasniegšanas pakalpojumi (CPC 642),</w:t>
      </w:r>
    </w:p>
    <w:p w:rsidR="003E022D" w:rsidRDefault="007D19D6">
      <w:pPr>
        <w:shd w:val="clear" w:color="auto" w:fill="FFFFFF"/>
        <w:ind w:left="80"/>
        <w:rPr>
          <w:noProof/>
          <w:color w:val="222222"/>
        </w:rPr>
      </w:pPr>
      <w:r>
        <w:rPr>
          <w:noProof/>
          <w:color w:val="222222"/>
        </w:rPr>
        <w:t>-</w:t>
      </w:r>
      <w:r>
        <w:rPr>
          <w:noProof/>
        </w:rPr>
        <w:tab/>
      </w:r>
      <w:r>
        <w:rPr>
          <w:noProof/>
          <w:color w:val="222222"/>
        </w:rPr>
        <w:t>dzērienu pasniegšanas pakalpojumi (CPC 643),</w:t>
      </w:r>
    </w:p>
    <w:p w:rsidR="003E022D" w:rsidRDefault="007D19D6">
      <w:pPr>
        <w:shd w:val="clear" w:color="auto" w:fill="FFFFFF"/>
        <w:ind w:left="80"/>
        <w:rPr>
          <w:noProof/>
          <w:color w:val="222222"/>
        </w:rPr>
      </w:pPr>
      <w:r>
        <w:rPr>
          <w:noProof/>
          <w:color w:val="222222"/>
        </w:rPr>
        <w:t>-</w:t>
      </w:r>
      <w:r>
        <w:rPr>
          <w:noProof/>
        </w:rPr>
        <w:tab/>
      </w:r>
      <w:r>
        <w:rPr>
          <w:noProof/>
          <w:color w:val="222222"/>
        </w:rPr>
        <w:t>ar telesakariem saistīti pakalpojumi (CPC 754),</w:t>
      </w:r>
    </w:p>
    <w:p w:rsidR="003E022D" w:rsidRDefault="007D19D6">
      <w:pPr>
        <w:shd w:val="clear" w:color="auto" w:fill="FFFFFF"/>
        <w:ind w:left="80"/>
        <w:rPr>
          <w:noProof/>
          <w:color w:val="222222"/>
        </w:rPr>
      </w:pPr>
      <w:r>
        <w:rPr>
          <w:noProof/>
          <w:color w:val="222222"/>
        </w:rPr>
        <w:t>-</w:t>
      </w:r>
      <w:r>
        <w:rPr>
          <w:noProof/>
        </w:rPr>
        <w:tab/>
      </w:r>
      <w:r>
        <w:rPr>
          <w:noProof/>
          <w:color w:val="222222"/>
        </w:rPr>
        <w:t xml:space="preserve">ar nekustamo īpašumu saistīti pakalpojumi par atlīdzību vai uz līguma pamata </w:t>
      </w:r>
      <w:r>
        <w:rPr>
          <w:noProof/>
          <w:color w:val="222222"/>
        </w:rPr>
        <w:t>(CPC 8220),</w:t>
      </w:r>
    </w:p>
    <w:p w:rsidR="003E022D" w:rsidRDefault="007D19D6">
      <w:pPr>
        <w:shd w:val="clear" w:color="auto" w:fill="FFFFFF"/>
        <w:ind w:left="80"/>
        <w:rPr>
          <w:noProof/>
          <w:color w:val="222222"/>
        </w:rPr>
      </w:pPr>
      <w:r>
        <w:rPr>
          <w:noProof/>
          <w:color w:val="222222"/>
        </w:rPr>
        <w:t>-</w:t>
      </w:r>
      <w:r>
        <w:rPr>
          <w:noProof/>
        </w:rPr>
        <w:tab/>
      </w:r>
      <w:r>
        <w:rPr>
          <w:noProof/>
          <w:color w:val="222222"/>
        </w:rPr>
        <w:t>citi komercdarbības pakalpojumi (CPC 87901, 87903, 87905–87907),</w:t>
      </w:r>
    </w:p>
    <w:p w:rsidR="003E022D" w:rsidRDefault="007D19D6">
      <w:pPr>
        <w:shd w:val="clear" w:color="auto" w:fill="FFFFFF"/>
        <w:ind w:left="80"/>
        <w:rPr>
          <w:noProof/>
          <w:color w:val="222222"/>
        </w:rPr>
      </w:pPr>
      <w:r>
        <w:rPr>
          <w:noProof/>
          <w:color w:val="222222"/>
        </w:rPr>
        <w:t>-</w:t>
      </w:r>
      <w:r>
        <w:rPr>
          <w:noProof/>
        </w:rPr>
        <w:tab/>
      </w:r>
      <w:r>
        <w:rPr>
          <w:noProof/>
          <w:color w:val="222222"/>
        </w:rPr>
        <w:t>izglītības pakalpojumi (CPC 92).</w:t>
      </w:r>
    </w:p>
    <w:p w:rsidR="003E022D" w:rsidRDefault="007D19D6">
      <w:pPr>
        <w:shd w:val="clear" w:color="auto" w:fill="FFFFFF"/>
        <w:spacing w:after="200"/>
        <w:rPr>
          <w:noProof/>
          <w:color w:val="222222"/>
        </w:rPr>
      </w:pPr>
      <w:r>
        <w:rPr>
          <w:i/>
          <w:noProof/>
          <w:color w:val="222222"/>
          <w:u w:val="single"/>
        </w:rPr>
        <w:t>Piezīmes.</w:t>
      </w:r>
    </w:p>
    <w:p w:rsidR="003E022D" w:rsidRDefault="007D19D6">
      <w:pPr>
        <w:numPr>
          <w:ilvl w:val="0"/>
          <w:numId w:val="842"/>
        </w:numPr>
        <w:ind w:left="0" w:firstLine="0"/>
        <w:rPr>
          <w:noProof/>
        </w:rPr>
      </w:pPr>
      <w:r>
        <w:rPr>
          <w:noProof/>
        </w:rPr>
        <w:t>Līgumiem par Viesnīcu un restorānu pakalpojumiem (</w:t>
      </w:r>
      <w:r>
        <w:rPr>
          <w:i/>
          <w:iCs/>
          <w:noProof/>
        </w:rPr>
        <w:t>CPC </w:t>
      </w:r>
      <w:r>
        <w:rPr>
          <w:noProof/>
        </w:rPr>
        <w:t>641), ēdienu pasniegšanas pakalpojumiem (</w:t>
      </w:r>
      <w:r>
        <w:rPr>
          <w:i/>
          <w:iCs/>
          <w:noProof/>
        </w:rPr>
        <w:t>CPC</w:t>
      </w:r>
      <w:r>
        <w:rPr>
          <w:noProof/>
        </w:rPr>
        <w:t xml:space="preserve"> 643), dzērienu pasniegšanas </w:t>
      </w:r>
      <w:r>
        <w:rPr>
          <w:noProof/>
        </w:rPr>
        <w:t>pakalpojumiem (</w:t>
      </w:r>
      <w:r>
        <w:rPr>
          <w:i/>
          <w:iCs/>
          <w:noProof/>
        </w:rPr>
        <w:t>CPC </w:t>
      </w:r>
      <w:r>
        <w:rPr>
          <w:noProof/>
        </w:rPr>
        <w:t>643) un izglītības pakalpojumiem (</w:t>
      </w:r>
      <w:r>
        <w:rPr>
          <w:i/>
          <w:iCs/>
          <w:noProof/>
        </w:rPr>
        <w:t>CPC</w:t>
      </w:r>
      <w:r>
        <w:rPr>
          <w:noProof/>
        </w:rPr>
        <w:t xml:space="preserve"> 92) uz Eiropas Savienības piegādātājiem, tostarp pakalpojumu sniedzējiem, </w:t>
      </w:r>
      <w:r>
        <w:rPr>
          <w:noProof/>
          <w:color w:val="222222"/>
        </w:rPr>
        <w:t>attiecas valsts režīms, ja šo līgumu vērtība ir vienāda ar</w:t>
      </w:r>
      <w:r>
        <w:rPr>
          <w:noProof/>
        </w:rPr>
        <w:t xml:space="preserve"> 663 540 GBP vai lielāka, </w:t>
      </w:r>
      <w:r>
        <w:rPr>
          <w:noProof/>
          <w:color w:val="222222"/>
        </w:rPr>
        <w:t>kad tos piešķir iepirkuma veicēji saskaņā</w:t>
      </w:r>
      <w:r>
        <w:rPr>
          <w:noProof/>
          <w:color w:val="222222"/>
        </w:rPr>
        <w:t xml:space="preserve"> ar </w:t>
      </w:r>
      <w:r>
        <w:rPr>
          <w:i/>
          <w:iCs/>
          <w:noProof/>
          <w:color w:val="222222"/>
        </w:rPr>
        <w:t>GPA</w:t>
      </w:r>
      <w:r>
        <w:rPr>
          <w:noProof/>
          <w:color w:val="222222"/>
        </w:rPr>
        <w:t xml:space="preserve"> I papildinājuma Apvienotās Karalistes 1. un 2. pielikumu, un ja to vērtība ir vienāda ar 884 720 GBP</w:t>
      </w:r>
      <w:r>
        <w:rPr>
          <w:noProof/>
        </w:rPr>
        <w:t xml:space="preserve"> vai lielāka, kad tos piešķir iepirkuma veicēji saskaņā ar </w:t>
      </w:r>
      <w:r>
        <w:rPr>
          <w:i/>
          <w:iCs/>
          <w:noProof/>
        </w:rPr>
        <w:t>GPA</w:t>
      </w:r>
      <w:r>
        <w:rPr>
          <w:noProof/>
        </w:rPr>
        <w:t xml:space="preserve"> I papildinājuma Apvienotās Karalistes 3. pielikumu vai saskaņā ar šīs iedaļas 1. punk</w:t>
      </w:r>
      <w:r>
        <w:rPr>
          <w:noProof/>
        </w:rPr>
        <w:t>tu.</w:t>
      </w:r>
    </w:p>
    <w:p w:rsidR="003E022D" w:rsidRDefault="007D19D6">
      <w:pPr>
        <w:numPr>
          <w:ilvl w:val="0"/>
          <w:numId w:val="842"/>
        </w:numPr>
        <w:ind w:left="0" w:firstLine="0"/>
        <w:rPr>
          <w:noProof/>
        </w:rPr>
      </w:pPr>
      <w:r>
        <w:rPr>
          <w:noProof/>
          <w:color w:val="222222"/>
        </w:rPr>
        <w:t>Tādu gāzes vai siltuma piegādi tīkliem, kas iedzīvotājiem nodrošina pakalpojumu, kuru sniedz iepirkumu veicējs, kas nav līgumslēdzēja iestāde, neuzskata par attiecīgu darbību šīs iedaļas nozīmē, ja:</w:t>
      </w:r>
    </w:p>
    <w:p w:rsidR="003E022D" w:rsidRDefault="007D19D6">
      <w:pPr>
        <w:ind w:left="567" w:hanging="567"/>
        <w:rPr>
          <w:rFonts w:cstheme="minorHAnsi"/>
          <w:noProof/>
        </w:rPr>
      </w:pPr>
      <w:r>
        <w:rPr>
          <w:noProof/>
          <w:color w:val="222222"/>
        </w:rPr>
        <w:t xml:space="preserve">a) </w:t>
      </w:r>
      <w:r>
        <w:rPr>
          <w:noProof/>
        </w:rPr>
        <w:tab/>
        <w:t>gāzes vai siltuma ražošana, ko veic attiecīgais s</w:t>
      </w:r>
      <w:r>
        <w:rPr>
          <w:noProof/>
        </w:rPr>
        <w:t xml:space="preserve">ubjekts, notiek tāpēc, ka tā patēriņš ir vajadzīgs, lai veiktu darbību, kas nav minēta šajā iedaļā vai </w:t>
      </w:r>
      <w:r>
        <w:rPr>
          <w:i/>
          <w:noProof/>
        </w:rPr>
        <w:t>GPA</w:t>
      </w:r>
      <w:r>
        <w:rPr>
          <w:noProof/>
        </w:rPr>
        <w:t xml:space="preserve"> I papildinājuma Apvienotās Karalistes 3. pielikuma a) līdz f) punktā un</w:t>
      </w:r>
    </w:p>
    <w:p w:rsidR="003E022D" w:rsidRDefault="007D19D6">
      <w:pPr>
        <w:ind w:left="567" w:hanging="567"/>
        <w:rPr>
          <w:noProof/>
          <w:color w:val="222222"/>
        </w:rPr>
      </w:pPr>
      <w:r>
        <w:rPr>
          <w:noProof/>
        </w:rPr>
        <w:t xml:space="preserve">b) </w:t>
      </w:r>
      <w:r>
        <w:rPr>
          <w:noProof/>
        </w:rPr>
        <w:tab/>
        <w:t>piegāde publiskajam tīklam ir paredzēta tikai šādas ražošanas saimniecisk</w:t>
      </w:r>
      <w:r>
        <w:rPr>
          <w:noProof/>
        </w:rPr>
        <w:t>ai izmantošanai un nepārsniedz 20 % no subjekta apgrozījuma, pamatojoties uz vidējo rādītāju iepriekšējos trīs gados, ieskaitot kārtējo gadu.</w:t>
      </w:r>
    </w:p>
    <w:p w:rsidR="003E022D" w:rsidRDefault="007D19D6">
      <w:pPr>
        <w:numPr>
          <w:ilvl w:val="0"/>
          <w:numId w:val="842"/>
        </w:numPr>
        <w:ind w:left="0" w:firstLine="0"/>
        <w:rPr>
          <w:rFonts w:eastAsiaTheme="minorEastAsia"/>
          <w:noProof/>
        </w:rPr>
      </w:pPr>
      <w:r>
        <w:rPr>
          <w:noProof/>
        </w:rPr>
        <w:t>Otrās daļas Pirmā temata VI sadaļa [PUBLISKAIS IEPIRKUMS] un šis pielikums neattiecas uz šādu pakalpojumu iepirkum</w:t>
      </w:r>
      <w:r>
        <w:rPr>
          <w:noProof/>
        </w:rPr>
        <w:t>u:</w:t>
      </w:r>
    </w:p>
    <w:p w:rsidR="003E022D" w:rsidRDefault="007D19D6">
      <w:pPr>
        <w:ind w:left="567" w:hanging="567"/>
        <w:rPr>
          <w:rFonts w:cstheme="minorHAnsi"/>
          <w:noProof/>
        </w:rPr>
      </w:pPr>
      <w:r>
        <w:rPr>
          <w:noProof/>
        </w:rPr>
        <w:t xml:space="preserve">a) </w:t>
      </w:r>
      <w:r>
        <w:rPr>
          <w:noProof/>
        </w:rPr>
        <w:tab/>
        <w:t>cilvēku veselības pakalpojumu sniegšana (</w:t>
      </w:r>
      <w:r>
        <w:rPr>
          <w:i/>
          <w:noProof/>
        </w:rPr>
        <w:t>CPC</w:t>
      </w:r>
      <w:r>
        <w:rPr>
          <w:noProof/>
        </w:rPr>
        <w:t xml:space="preserve"> 931); </w:t>
      </w:r>
    </w:p>
    <w:p w:rsidR="003E022D" w:rsidRDefault="007D19D6">
      <w:pPr>
        <w:ind w:left="567" w:hanging="567"/>
        <w:rPr>
          <w:rFonts w:cstheme="minorHAnsi"/>
          <w:noProof/>
        </w:rPr>
      </w:pPr>
      <w:r>
        <w:rPr>
          <w:noProof/>
        </w:rPr>
        <w:t xml:space="preserve">b) </w:t>
      </w:r>
      <w:r>
        <w:rPr>
          <w:noProof/>
        </w:rPr>
        <w:tab/>
        <w:t>administratīvie veselības aprūpes pakalpojumi (</w:t>
      </w:r>
      <w:r>
        <w:rPr>
          <w:i/>
          <w:noProof/>
        </w:rPr>
        <w:t>CPC </w:t>
      </w:r>
      <w:r>
        <w:rPr>
          <w:noProof/>
        </w:rPr>
        <w:t xml:space="preserve">91122) un </w:t>
      </w:r>
    </w:p>
    <w:p w:rsidR="003E022D" w:rsidRDefault="007D19D6">
      <w:pPr>
        <w:ind w:left="567" w:hanging="567"/>
        <w:rPr>
          <w:rFonts w:eastAsia="Century" w:cstheme="minorHAnsi"/>
          <w:i/>
          <w:noProof/>
        </w:rPr>
      </w:pPr>
      <w:r>
        <w:rPr>
          <w:noProof/>
        </w:rPr>
        <w:t xml:space="preserve">c) </w:t>
      </w:r>
      <w:r>
        <w:rPr>
          <w:noProof/>
        </w:rPr>
        <w:tab/>
        <w:t>aprūpes personāla nodrošināšanas pakalpojumi un medicīniskā personāla nodrošināšanas pakalpojumi (</w:t>
      </w:r>
      <w:r>
        <w:rPr>
          <w:i/>
          <w:noProof/>
        </w:rPr>
        <w:t>CPC</w:t>
      </w:r>
      <w:r>
        <w:rPr>
          <w:noProof/>
        </w:rPr>
        <w:t xml:space="preserve"> 87206 un </w:t>
      </w:r>
      <w:r>
        <w:rPr>
          <w:i/>
          <w:noProof/>
        </w:rPr>
        <w:t>CPC</w:t>
      </w:r>
      <w:r>
        <w:rPr>
          <w:noProof/>
        </w:rPr>
        <w:t> 87209).</w:t>
      </w:r>
    </w:p>
    <w:p w:rsidR="003E022D" w:rsidRDefault="003E022D">
      <w:pPr>
        <w:rPr>
          <w:rFonts w:eastAsia="Century" w:cstheme="minorHAnsi"/>
          <w:i/>
          <w:noProof/>
        </w:rPr>
      </w:pPr>
    </w:p>
    <w:p w:rsidR="003E022D" w:rsidRDefault="007D19D6">
      <w:pPr>
        <w:rPr>
          <w:rFonts w:eastAsia="Century" w:cstheme="minorHAnsi"/>
          <w:i/>
          <w:noProof/>
        </w:rPr>
      </w:pPr>
      <w:r>
        <w:rPr>
          <w:noProof/>
        </w:rPr>
        <w:br w:type="page"/>
      </w:r>
    </w:p>
    <w:p w:rsidR="003E022D" w:rsidRDefault="007D19D6">
      <w:pPr>
        <w:pStyle w:val="ANNEX"/>
        <w:rPr>
          <w:rFonts w:cstheme="minorHAnsi"/>
          <w:noProof/>
        </w:rPr>
      </w:pPr>
      <w:bookmarkStart w:id="1316" w:name="_Toc58255898"/>
      <w:bookmarkStart w:id="1317" w:name="_Toc59645266"/>
      <w:bookmarkStart w:id="1318" w:name="_Toc59988408"/>
      <w:r>
        <w:rPr>
          <w:noProof/>
        </w:rPr>
        <w:t>E</w:t>
      </w:r>
      <w:r>
        <w:rPr>
          <w:noProof/>
        </w:rPr>
        <w:t>NER-1. PIELIKUMS</w:t>
      </w:r>
      <w:bookmarkEnd w:id="1316"/>
      <w:r>
        <w:rPr>
          <w:noProof/>
        </w:rPr>
        <w:t>. ENERGOPRODUKTU, OGĻŪDEŅRAŽU UN IZEJVIELU SARAKSTI</w:t>
      </w:r>
      <w:bookmarkEnd w:id="1317"/>
      <w:bookmarkEnd w:id="1318"/>
    </w:p>
    <w:p w:rsidR="003E022D" w:rsidRDefault="007D19D6">
      <w:pPr>
        <w:rPr>
          <w:noProof/>
        </w:rPr>
      </w:pPr>
      <w:r>
        <w:rPr>
          <w:noProof/>
        </w:rPr>
        <w:t>ENERĢIJAS PREČU SARAKSTS PĒC HS KODA</w:t>
      </w:r>
    </w:p>
    <w:p w:rsidR="003E022D" w:rsidRDefault="007D19D6">
      <w:pPr>
        <w:pStyle w:val="ListParagraph"/>
        <w:numPr>
          <w:ilvl w:val="0"/>
          <w:numId w:val="955"/>
        </w:numPr>
        <w:spacing w:line="276" w:lineRule="auto"/>
        <w:rPr>
          <w:noProof/>
        </w:rPr>
      </w:pPr>
      <w:r>
        <w:rPr>
          <w:noProof/>
        </w:rPr>
        <w:t>Dabasgāze, tostarp sašķidrināta dabasgāze, sašķidrināta naftas gāze (</w:t>
      </w:r>
      <w:r>
        <w:rPr>
          <w:i/>
          <w:noProof/>
        </w:rPr>
        <w:t>LPG</w:t>
      </w:r>
      <w:r>
        <w:rPr>
          <w:noProof/>
        </w:rPr>
        <w:t>), (HS kods 27.11)</w:t>
      </w:r>
    </w:p>
    <w:p w:rsidR="003E022D" w:rsidRDefault="007D19D6">
      <w:pPr>
        <w:pStyle w:val="ListParagraph"/>
        <w:numPr>
          <w:ilvl w:val="0"/>
          <w:numId w:val="955"/>
        </w:numPr>
        <w:spacing w:line="276" w:lineRule="auto"/>
        <w:rPr>
          <w:noProof/>
        </w:rPr>
      </w:pPr>
      <w:r>
        <w:rPr>
          <w:noProof/>
        </w:rPr>
        <w:t>Elektroenerģija (HS kods 27.16)</w:t>
      </w:r>
    </w:p>
    <w:p w:rsidR="003E022D" w:rsidRDefault="007D19D6">
      <w:pPr>
        <w:pStyle w:val="ListParagraph"/>
        <w:numPr>
          <w:ilvl w:val="0"/>
          <w:numId w:val="955"/>
        </w:numPr>
        <w:spacing w:line="276" w:lineRule="auto"/>
        <w:rPr>
          <w:noProof/>
        </w:rPr>
      </w:pPr>
      <w:r>
        <w:rPr>
          <w:noProof/>
        </w:rPr>
        <w:t xml:space="preserve">Jēlnafta un naftas produkti </w:t>
      </w:r>
      <w:r>
        <w:rPr>
          <w:noProof/>
        </w:rPr>
        <w:t>(HS kods 27.09 –27.10, 27.13-27.15)</w:t>
      </w:r>
    </w:p>
    <w:p w:rsidR="003E022D" w:rsidRDefault="007D19D6">
      <w:pPr>
        <w:pStyle w:val="ListParagraph"/>
        <w:numPr>
          <w:ilvl w:val="0"/>
          <w:numId w:val="955"/>
        </w:numPr>
        <w:spacing w:line="276" w:lineRule="auto"/>
        <w:rPr>
          <w:noProof/>
        </w:rPr>
      </w:pPr>
      <w:r>
        <w:rPr>
          <w:noProof/>
        </w:rPr>
        <w:t>Cietais kurināmais (HS kods 27.01, HS kods 27.02, HS kods 27.04)</w:t>
      </w:r>
    </w:p>
    <w:p w:rsidR="003E022D" w:rsidRDefault="007D19D6">
      <w:pPr>
        <w:pStyle w:val="ListParagraph"/>
        <w:numPr>
          <w:ilvl w:val="0"/>
          <w:numId w:val="955"/>
        </w:numPr>
        <w:spacing w:line="276" w:lineRule="auto"/>
        <w:rPr>
          <w:noProof/>
        </w:rPr>
      </w:pPr>
      <w:r>
        <w:rPr>
          <w:noProof/>
        </w:rPr>
        <w:t>Malka un kokogles (HS kods 44.01 un HS kods 44.02 enerģijai izmatojamas preces)</w:t>
      </w:r>
    </w:p>
    <w:p w:rsidR="003E022D" w:rsidRDefault="007D19D6">
      <w:pPr>
        <w:pStyle w:val="ListParagraph"/>
        <w:numPr>
          <w:ilvl w:val="0"/>
          <w:numId w:val="955"/>
        </w:numPr>
        <w:spacing w:line="276" w:lineRule="auto"/>
        <w:rPr>
          <w:noProof/>
        </w:rPr>
      </w:pPr>
      <w:r>
        <w:rPr>
          <w:noProof/>
        </w:rPr>
        <w:t>Biogāze (HS kods 38.25)</w:t>
      </w:r>
    </w:p>
    <w:p w:rsidR="003E022D" w:rsidRDefault="007D19D6">
      <w:pPr>
        <w:spacing w:line="276" w:lineRule="auto"/>
        <w:rPr>
          <w:rFonts w:cstheme="minorHAnsi"/>
          <w:noProof/>
        </w:rPr>
      </w:pPr>
      <w:r>
        <w:rPr>
          <w:noProof/>
        </w:rPr>
        <w:t>OGĻŪDEŅRAŽU SARAKSTS PĒC HS KODA</w:t>
      </w:r>
    </w:p>
    <w:p w:rsidR="003E022D" w:rsidRDefault="007D19D6">
      <w:pPr>
        <w:pStyle w:val="ListParagraph"/>
        <w:numPr>
          <w:ilvl w:val="0"/>
          <w:numId w:val="956"/>
        </w:numPr>
        <w:spacing w:line="276" w:lineRule="auto"/>
        <w:jc w:val="left"/>
        <w:rPr>
          <w:noProof/>
          <w:color w:val="0070C0"/>
        </w:rPr>
      </w:pPr>
      <w:r>
        <w:rPr>
          <w:noProof/>
        </w:rPr>
        <w:t xml:space="preserve">Jēlnafta (HS kods </w:t>
      </w:r>
      <w:r>
        <w:rPr>
          <w:noProof/>
        </w:rPr>
        <w:t>27.09)</w:t>
      </w:r>
    </w:p>
    <w:p w:rsidR="003E022D" w:rsidRDefault="007D19D6">
      <w:pPr>
        <w:pStyle w:val="ListParagraph"/>
        <w:numPr>
          <w:ilvl w:val="0"/>
          <w:numId w:val="956"/>
        </w:numPr>
        <w:spacing w:line="276" w:lineRule="auto"/>
        <w:jc w:val="left"/>
        <w:rPr>
          <w:noProof/>
          <w:color w:val="0070C0"/>
        </w:rPr>
      </w:pPr>
      <w:r>
        <w:rPr>
          <w:noProof/>
        </w:rPr>
        <w:t>Dabasgāze (HS kods 27.11)</w:t>
      </w:r>
    </w:p>
    <w:p w:rsidR="003E022D" w:rsidRDefault="007D19D6">
      <w:pPr>
        <w:spacing w:line="276" w:lineRule="auto"/>
        <w:rPr>
          <w:rFonts w:cstheme="minorHAnsi"/>
          <w:noProof/>
        </w:rPr>
      </w:pPr>
      <w:r>
        <w:rPr>
          <w:noProof/>
        </w:rPr>
        <w:t>IZEJVIELU SARAKSTS PA HS NODAĻĀM</w:t>
      </w:r>
    </w:p>
    <w:tbl>
      <w:tblPr>
        <w:tblW w:w="9195" w:type="dxa"/>
        <w:tblInd w:w="93" w:type="dxa"/>
        <w:tblLook w:val="04A0" w:firstRow="1" w:lastRow="0" w:firstColumn="1" w:lastColumn="0" w:noHBand="0" w:noVBand="1"/>
      </w:tblPr>
      <w:tblGrid>
        <w:gridCol w:w="1149"/>
        <w:gridCol w:w="8046"/>
      </w:tblGrid>
      <w:tr w:rsidR="003E022D">
        <w:trPr>
          <w:trHeight w:val="225"/>
        </w:trPr>
        <w:tc>
          <w:tcPr>
            <w:tcW w:w="1149" w:type="dxa"/>
            <w:tcBorders>
              <w:top w:val="single" w:sz="4" w:space="0" w:color="auto"/>
              <w:left w:val="single" w:sz="4" w:space="0" w:color="auto"/>
              <w:bottom w:val="single" w:sz="4" w:space="0" w:color="auto"/>
              <w:right w:val="single" w:sz="4" w:space="0" w:color="auto"/>
            </w:tcBorders>
            <w:noWrap/>
            <w:vAlign w:val="bottom"/>
            <w:hideMark/>
          </w:tcPr>
          <w:p w:rsidR="003E022D" w:rsidRDefault="007D19D6">
            <w:pPr>
              <w:keepNext/>
              <w:keepLines/>
              <w:jc w:val="center"/>
              <w:rPr>
                <w:rFonts w:cstheme="minorHAnsi"/>
                <w:noProof/>
                <w:color w:val="000000" w:themeColor="text1"/>
              </w:rPr>
            </w:pPr>
            <w:r>
              <w:rPr>
                <w:noProof/>
                <w:color w:val="000000" w:themeColor="text1"/>
              </w:rPr>
              <w:t>Nodaļa</w:t>
            </w:r>
          </w:p>
        </w:tc>
        <w:tc>
          <w:tcPr>
            <w:tcW w:w="8046" w:type="dxa"/>
            <w:tcBorders>
              <w:top w:val="single" w:sz="4" w:space="0" w:color="auto"/>
              <w:left w:val="nil"/>
              <w:bottom w:val="single" w:sz="4" w:space="0" w:color="auto"/>
              <w:right w:val="single" w:sz="4" w:space="0" w:color="auto"/>
            </w:tcBorders>
            <w:noWrap/>
            <w:vAlign w:val="bottom"/>
            <w:hideMark/>
          </w:tcPr>
          <w:p w:rsidR="003E022D" w:rsidRDefault="007D19D6">
            <w:pPr>
              <w:keepNext/>
              <w:keepLines/>
              <w:jc w:val="center"/>
              <w:rPr>
                <w:rFonts w:cstheme="minorHAnsi"/>
                <w:noProof/>
                <w:color w:val="000000" w:themeColor="text1"/>
              </w:rPr>
            </w:pPr>
            <w:r>
              <w:rPr>
                <w:noProof/>
                <w:color w:val="000000" w:themeColor="text1"/>
              </w:rPr>
              <w:t>Pozīcija</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rFonts w:cstheme="minorHAnsi"/>
                <w:noProof/>
              </w:rPr>
            </w:pPr>
            <w:r>
              <w:rPr>
                <w:noProof/>
              </w:rPr>
              <w:t>25</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Sāls; sērs; zemes un akmens; apmešanas materiāli, kaļķi un cements</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26</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Rūdas, izdedži un pelni, izņemot urāna vai torija rūdas vai koncentrātus (HS kods 26.12.)</w:t>
            </w:r>
          </w:p>
        </w:tc>
      </w:tr>
      <w:tr w:rsidR="003E022D">
        <w:trPr>
          <w:trHeight w:val="450"/>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27</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Minerālais kurināmais, minerāleļļas un to pārtvaices produkti; bitumenvielas; minerālvaski</w:t>
            </w:r>
          </w:p>
        </w:tc>
      </w:tr>
      <w:tr w:rsidR="003E022D">
        <w:trPr>
          <w:trHeight w:val="450"/>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28</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color w:val="4F81BD" w:themeColor="accent1"/>
              </w:rPr>
            </w:pPr>
            <w:r>
              <w:rPr>
                <w:noProof/>
              </w:rPr>
              <w:t>Neorganiskās ķīmijas produkti; dārgmetālu, retzemju metālu organiskie vai neorganiskie savienojumi; radioaktīvo elementu vai izotopu, izņemot radioaktīvos ķīmisk</w:t>
            </w:r>
            <w:r>
              <w:rPr>
                <w:noProof/>
              </w:rPr>
              <w:t>os elementus un radioaktīvos izotopus (ieskaitot sabrūkošos un reproducējošos ķīmiskos elementus un izotopus) un to savienojumi; maisījumi un atlikumi, kas satur šos produktus (HS kods 28.44); un izotopi, kas nav minēti pozīcijā 28.44; minēto izotopu neorg</w:t>
            </w:r>
            <w:r>
              <w:rPr>
                <w:noProof/>
              </w:rPr>
              <w:t>aniskie un organiskie savienojumi ar noteiktu vai nenoteiktu ķīmisko sastāvu (HS kods 28.45)</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29</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Organiskie ķīmiskie savienojumi</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31</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Mēslošanas līdzekļi</w:t>
            </w:r>
          </w:p>
        </w:tc>
      </w:tr>
      <w:tr w:rsidR="003E022D">
        <w:trPr>
          <w:trHeight w:val="450"/>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71</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 xml:space="preserve">Dabiskās vai kultivētās pērles, dārgakmeņi vai pusdārgakmeņi, dārgmetāli, ar dārgmetālu plaķēti </w:t>
            </w:r>
            <w:r>
              <w:rPr>
                <w:noProof/>
              </w:rPr>
              <w:t>metāli un to izstrādājumi, izņemot dabiskās vai kultivētās pērles, šķirotas vai nešķirotas, bet nesavērtas, neiestrādātas un neiestiprinātas; dabiskās vai kultivētās pērles, uz laiku savērtas ērtākai transportēšanai (HS kods 7101)</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72</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Dzelzs un tērauds</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74</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Varš un tā izstrādājumi</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75</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Niķelis un tā izstrādājumi</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76</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Alumīnijs un tā izstrādājumi</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78</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Svins un tā izstrādājumi</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79</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Cinks un tā izstrādājumi</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80</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Alva un tās izstrādājumi</w:t>
            </w:r>
          </w:p>
        </w:tc>
      </w:tr>
      <w:tr w:rsidR="003E022D">
        <w:trPr>
          <w:trHeight w:val="225"/>
        </w:trPr>
        <w:tc>
          <w:tcPr>
            <w:tcW w:w="1149" w:type="dxa"/>
            <w:tcBorders>
              <w:top w:val="nil"/>
              <w:left w:val="single" w:sz="4" w:space="0" w:color="auto"/>
              <w:bottom w:val="single" w:sz="4" w:space="0" w:color="auto"/>
              <w:right w:val="single" w:sz="4" w:space="0" w:color="auto"/>
            </w:tcBorders>
            <w:noWrap/>
            <w:vAlign w:val="bottom"/>
            <w:hideMark/>
          </w:tcPr>
          <w:p w:rsidR="003E022D" w:rsidRDefault="007D19D6">
            <w:pPr>
              <w:pStyle w:val="Normal1"/>
              <w:rPr>
                <w:noProof/>
              </w:rPr>
            </w:pPr>
            <w:r>
              <w:rPr>
                <w:noProof/>
              </w:rPr>
              <w:t>81</w:t>
            </w:r>
          </w:p>
        </w:tc>
        <w:tc>
          <w:tcPr>
            <w:tcW w:w="8046" w:type="dxa"/>
            <w:tcBorders>
              <w:top w:val="nil"/>
              <w:left w:val="nil"/>
              <w:bottom w:val="single" w:sz="4" w:space="0" w:color="auto"/>
              <w:right w:val="single" w:sz="4" w:space="0" w:color="auto"/>
            </w:tcBorders>
            <w:vAlign w:val="bottom"/>
            <w:hideMark/>
          </w:tcPr>
          <w:p w:rsidR="003E022D" w:rsidRDefault="007D19D6">
            <w:pPr>
              <w:pStyle w:val="Normal1"/>
              <w:rPr>
                <w:noProof/>
              </w:rPr>
            </w:pPr>
            <w:r>
              <w:rPr>
                <w:noProof/>
              </w:rPr>
              <w:t>Pārējie parastie metāli; metālkeramika; to izstrādājumi</w:t>
            </w:r>
          </w:p>
        </w:tc>
      </w:tr>
    </w:tbl>
    <w:p w:rsidR="003E022D" w:rsidRDefault="007D19D6">
      <w:pPr>
        <w:pStyle w:val="ANNEX"/>
        <w:rPr>
          <w:rFonts w:cstheme="minorBidi"/>
          <w:noProof/>
        </w:rPr>
      </w:pPr>
      <w:r>
        <w:rPr>
          <w:noProof/>
        </w:rPr>
        <w:br w:type="page"/>
      </w:r>
      <w:bookmarkStart w:id="1319" w:name="_Toc59645267"/>
      <w:bookmarkStart w:id="1320" w:name="_Toc59988409"/>
      <w:r>
        <w:rPr>
          <w:noProof/>
        </w:rPr>
        <w:t>ENER-2. PIELIKUMS.</w:t>
      </w:r>
      <w:r>
        <w:rPr>
          <w:noProof/>
        </w:rPr>
        <w:t xml:space="preserve"> SUBSĪDIJAS ENERĢĒTIKAS UN VIDES JOMĀ</w:t>
      </w:r>
      <w:bookmarkEnd w:id="1319"/>
      <w:bookmarkEnd w:id="1320"/>
    </w:p>
    <w:p w:rsidR="003E022D" w:rsidRDefault="007D19D6">
      <w:pPr>
        <w:rPr>
          <w:noProof/>
        </w:rPr>
      </w:pPr>
      <w:r>
        <w:rPr>
          <w:noProof/>
        </w:rPr>
        <w:t>Kā daļa no principiem, kas izklāstīti šā nolīguma otrās daļas pirmajā tematā [Tirdzniecība] XI sadaļas [Vienlīdzīgi apstākļi atvērtai un godīgai konkurencei un ilgtspējīgai attīstībai] Trešās nodaļas [Subsīdiju kontrol</w:t>
      </w:r>
      <w:r>
        <w:rPr>
          <w:noProof/>
        </w:rPr>
        <w:t>e] 3.5. panta 14. punktā [Aizliegtās subsīdijas un subsīdijas ar nosacījumiem (Enerģētika un vide)]:</w:t>
      </w:r>
    </w:p>
    <w:p w:rsidR="003E022D" w:rsidRDefault="007D19D6">
      <w:pPr>
        <w:ind w:left="720" w:hanging="720"/>
        <w:rPr>
          <w:rFonts w:eastAsia="Calibri" w:cstheme="minorHAnsi"/>
          <w:noProof/>
        </w:rPr>
      </w:pPr>
      <w:r>
        <w:rPr>
          <w:noProof/>
        </w:rPr>
        <w:t xml:space="preserve">1) </w:t>
      </w:r>
      <w:r>
        <w:rPr>
          <w:noProof/>
        </w:rPr>
        <w:tab/>
        <w:t xml:space="preserve">Subsīdijas elektroenerģijas ražošanas pietiekamībai, atjaunojamai enerģijai un koģenerācijai neapdraud Puses spēju izpildīt savas saistības saskaņā ar </w:t>
      </w:r>
      <w:r>
        <w:rPr>
          <w:noProof/>
        </w:rPr>
        <w:t>šā nolīguma ENER.6. pantu [Noteikumi par elektroenerģijas un gāzes vairumtirgiem], nevajadzīgi neietekmē elektroenerģijas starpsavienotāju efektīvu izmantošanu, kas paredzēta ENER.13. pantā [Elektroenerģijas starpsavienotāju efektīva izmantošana], un, nesk</w:t>
      </w:r>
      <w:r>
        <w:rPr>
          <w:noProof/>
        </w:rPr>
        <w:t>arot ENER 6. panta 3. punktu [Noteikumi par elektroenerģijas un gāzes vairumtirgiem], nosaka, izmantojot efektīvu un nediskriminējošu konkurences procesu; un</w:t>
      </w:r>
    </w:p>
    <w:p w:rsidR="003E022D" w:rsidRDefault="007D19D6">
      <w:pPr>
        <w:numPr>
          <w:ilvl w:val="0"/>
          <w:numId w:val="1270"/>
        </w:numPr>
        <w:spacing w:line="276" w:lineRule="auto"/>
        <w:ind w:left="1276" w:hanging="567"/>
        <w:rPr>
          <w:rFonts w:eastAsia="Times New Roman" w:cs="Calibri"/>
          <w:noProof/>
        </w:rPr>
      </w:pPr>
      <w:r>
        <w:rPr>
          <w:noProof/>
        </w:rPr>
        <w:t>Attiecībā uz elektroenerģijas ražošanas pietiekamību subsīdijas nodrošina stimulus jaudas piegādāt</w:t>
      </w:r>
      <w:r>
        <w:rPr>
          <w:noProof/>
        </w:rPr>
        <w:t>ājiem, kas ir pieejami sagaidāmā sistēmas spriedzes laikā, un tās var attiecināt tikai uz iekārtām, kas nepārsniedz noteiktās CO</w:t>
      </w:r>
      <w:r>
        <w:rPr>
          <w:noProof/>
          <w:vertAlign w:val="subscript"/>
        </w:rPr>
        <w:t>2</w:t>
      </w:r>
      <w:r>
        <w:rPr>
          <w:noProof/>
        </w:rPr>
        <w:t> emisiju robežvērtības. un</w:t>
      </w:r>
    </w:p>
    <w:p w:rsidR="003E022D" w:rsidRDefault="007D19D6">
      <w:pPr>
        <w:numPr>
          <w:ilvl w:val="0"/>
          <w:numId w:val="1270"/>
        </w:numPr>
        <w:spacing w:line="276" w:lineRule="auto"/>
        <w:ind w:left="1276" w:hanging="567"/>
        <w:rPr>
          <w:rFonts w:eastAsia="Times New Roman" w:cs="Calibri"/>
          <w:noProof/>
        </w:rPr>
      </w:pPr>
      <w:r>
        <w:rPr>
          <w:noProof/>
        </w:rPr>
        <w:t>atjaunojamo energoresursu un koģenerācijas subsīdijas neietekmē saņēmēju pienākumus vai iespējas pie</w:t>
      </w:r>
      <w:r>
        <w:rPr>
          <w:noProof/>
        </w:rPr>
        <w:t>dalīties elektroenerģijas tirgos.</w:t>
      </w:r>
    </w:p>
    <w:p w:rsidR="003E022D" w:rsidRDefault="007D19D6">
      <w:pPr>
        <w:ind w:left="720" w:hanging="720"/>
        <w:rPr>
          <w:rFonts w:cs="Arial"/>
          <w:noProof/>
        </w:rPr>
      </w:pPr>
      <w:r>
        <w:rPr>
          <w:noProof/>
        </w:rPr>
        <w:t xml:space="preserve">2) </w:t>
      </w:r>
      <w:r>
        <w:rPr>
          <w:noProof/>
        </w:rPr>
        <w:tab/>
        <w:t>Neatkarīgi no 1. punkta, ja ir veikti attiecīgi pasākumi, lai novērstu pārmērīgu kompensāciju, var izmantot ar konkurenci nesaistītas procedūras, lai piešķirtu subsīdijas atjaunojamiem energoresursiem un koģenerācijai,</w:t>
      </w:r>
      <w:r>
        <w:rPr>
          <w:noProof/>
        </w:rPr>
        <w:t xml:space="preserve"> ja potenciālā piegāde nav pietiekama, lai nodrošinātu konkurencē balstītu procesu, ir maz ticams, ka atbilstīgai jaudai būtiska ietekme uz tirdzniecību vai ieguldījumiem starp Pusēm, vai ka tiek piešķirtas subsīdijas izmēģinājumu projektiem.</w:t>
      </w:r>
    </w:p>
    <w:p w:rsidR="003E022D" w:rsidRDefault="007D19D6">
      <w:pPr>
        <w:ind w:left="720" w:hanging="720"/>
        <w:rPr>
          <w:rFonts w:cs="Arial"/>
          <w:noProof/>
        </w:rPr>
      </w:pPr>
      <w:r>
        <w:rPr>
          <w:noProof/>
        </w:rPr>
        <w:t>3)</w:t>
      </w:r>
      <w:r>
        <w:rPr>
          <w:noProof/>
        </w:rPr>
        <w:tab/>
        <w:t>Ja tiek ie</w:t>
      </w:r>
      <w:r>
        <w:rPr>
          <w:noProof/>
        </w:rPr>
        <w:t>viesti daļēji atbrīvojumi no enerģētiskajiem nodokļiem un nodevām</w:t>
      </w:r>
      <w:r>
        <w:rPr>
          <w:rStyle w:val="FootnoteReference"/>
          <w:rFonts w:cs="Arial"/>
          <w:noProof/>
        </w:rPr>
        <w:footnoteReference w:id="121"/>
      </w:r>
      <w:r>
        <w:rPr>
          <w:noProof/>
        </w:rPr>
        <w:t xml:space="preserve"> par labu energoietilpīgiem lietotājiem, šādi atbrīvojumi nepārsniedz kopējo nodokļa vai nodevas apjomu.</w:t>
      </w:r>
    </w:p>
    <w:p w:rsidR="003E022D" w:rsidRDefault="007D19D6">
      <w:pPr>
        <w:ind w:left="720" w:hanging="720"/>
        <w:rPr>
          <w:rFonts w:cs="Arial"/>
          <w:noProof/>
        </w:rPr>
      </w:pPr>
      <w:r>
        <w:rPr>
          <w:noProof/>
        </w:rPr>
        <w:t xml:space="preserve">4) </w:t>
      </w:r>
      <w:r>
        <w:rPr>
          <w:noProof/>
        </w:rPr>
        <w:tab/>
        <w:t>Ja elektroenerģijas izmaksu pieauguma gadījumā, ko rada klimata politikas instrum</w:t>
      </w:r>
      <w:r>
        <w:rPr>
          <w:noProof/>
        </w:rPr>
        <w:t>enti, tiek piešķirta kompensācija energoietilpīgiem lietotājiem, to ierobežo, attiecinot šo kompensāciju tikai uz nozarēm, kurās izmaksu pieauguma dēļ ir ievērojams oglekļa emisiju pārvirzes risks.</w:t>
      </w:r>
    </w:p>
    <w:p w:rsidR="003E022D" w:rsidRDefault="007D19D6">
      <w:pPr>
        <w:ind w:left="720" w:hanging="720"/>
        <w:rPr>
          <w:noProof/>
        </w:rPr>
      </w:pPr>
      <w:r>
        <w:rPr>
          <w:smallCaps/>
          <w:noProof/>
        </w:rPr>
        <w:t xml:space="preserve">5) </w:t>
      </w:r>
      <w:r>
        <w:rPr>
          <w:noProof/>
        </w:rPr>
        <w:tab/>
        <w:t>Ar subsīdijām tādu emisiju dekarbonizācijai, kas saist</w:t>
      </w:r>
      <w:r>
        <w:rPr>
          <w:noProof/>
        </w:rPr>
        <w:t>ītas ar savām rūpnieciskajām darbībām, panāk vispārēju siltumnīcefekta gāzu emisiju samazinājumu. Subsīdijas samazina emisijas, kas tieši rodas rūpnieciskās darbības rezultātā. Subsīdijas pašu rūpniecisko darbību energoefektivitātes uzlabošanai uzlabo ener</w:t>
      </w:r>
      <w:r>
        <w:rPr>
          <w:noProof/>
        </w:rPr>
        <w:t xml:space="preserve">goefektivitāti, samazinot enerģijas patēriņu vai nu tieši, vai uz vienu ražošanas vienību.  </w:t>
      </w:r>
    </w:p>
    <w:p w:rsidR="003E022D" w:rsidRDefault="007D19D6">
      <w:pPr>
        <w:rPr>
          <w:i/>
          <w:noProof/>
        </w:rPr>
      </w:pPr>
      <w:r>
        <w:rPr>
          <w:noProof/>
        </w:rPr>
        <w:br w:type="page"/>
      </w:r>
    </w:p>
    <w:p w:rsidR="003E022D" w:rsidRDefault="007D19D6">
      <w:pPr>
        <w:pStyle w:val="ANNEX"/>
        <w:rPr>
          <w:noProof/>
        </w:rPr>
      </w:pPr>
      <w:bookmarkStart w:id="1321" w:name="_Toc58255899"/>
      <w:bookmarkStart w:id="1322" w:name="_Toc59645268"/>
      <w:bookmarkStart w:id="1323" w:name="_Toc59988410"/>
      <w:r>
        <w:rPr>
          <w:noProof/>
        </w:rPr>
        <w:t>PIELIKUMS ENER-3 TREŠO PERSONU PIEKĻUVES NEPIEMĒROŠANA UN ĪPAŠUMTIESĪBU NODALĪŠANA INFRASTRUKTŪRAI</w:t>
      </w:r>
      <w:bookmarkEnd w:id="1321"/>
      <w:bookmarkEnd w:id="1322"/>
      <w:bookmarkEnd w:id="1323"/>
    </w:p>
    <w:p w:rsidR="003E022D" w:rsidRDefault="007D19D6">
      <w:pPr>
        <w:rPr>
          <w:rFonts w:eastAsia="Times New Roman" w:cs="Calibri"/>
          <w:noProof/>
        </w:rPr>
      </w:pPr>
      <w:r>
        <w:rPr>
          <w:noProof/>
        </w:rPr>
        <w:t>Puse var nolemt ENER.8. pantu [Trešo personu piekļuve pārvades</w:t>
      </w:r>
      <w:r>
        <w:rPr>
          <w:noProof/>
        </w:rPr>
        <w:t xml:space="preserve"> un sadales tīkliem] un ENER.9. pantu [Sistēmas darbība un pārvades tīklu operatoru nodalīšana] nepiemērot jaunai infrastruktūrai vai esošas infrastruktūras būtiskai paplašināšanai, ja: </w:t>
      </w:r>
    </w:p>
    <w:p w:rsidR="003E022D" w:rsidRDefault="007D19D6">
      <w:pPr>
        <w:numPr>
          <w:ilvl w:val="0"/>
          <w:numId w:val="957"/>
        </w:numPr>
        <w:spacing w:line="276" w:lineRule="auto"/>
        <w:ind w:left="567" w:hanging="567"/>
        <w:rPr>
          <w:rFonts w:eastAsia="Times New Roman" w:cs="Calibri"/>
          <w:noProof/>
        </w:rPr>
      </w:pPr>
      <w:r>
        <w:rPr>
          <w:noProof/>
        </w:rPr>
        <w:t>ar investīcijām jaunā infrastruktūrā saistītais risks ir tik liels, k</w:t>
      </w:r>
      <w:r>
        <w:rPr>
          <w:noProof/>
        </w:rPr>
        <w:t xml:space="preserve">a bez šāda atbrīvojuma investīcijas netiktu veiktas; </w:t>
      </w:r>
    </w:p>
    <w:p w:rsidR="003E022D" w:rsidRDefault="007D19D6">
      <w:pPr>
        <w:numPr>
          <w:ilvl w:val="0"/>
          <w:numId w:val="957"/>
        </w:numPr>
        <w:spacing w:line="276" w:lineRule="auto"/>
        <w:ind w:left="567" w:hanging="567"/>
        <w:rPr>
          <w:rFonts w:eastAsia="Times New Roman" w:cs="Calibri"/>
          <w:noProof/>
        </w:rPr>
      </w:pPr>
      <w:r>
        <w:rPr>
          <w:noProof/>
        </w:rPr>
        <w:t xml:space="preserve">investīcijas sekmē konkurenci vai apgādes drošību; </w:t>
      </w:r>
    </w:p>
    <w:p w:rsidR="003E022D" w:rsidRDefault="007D19D6">
      <w:pPr>
        <w:numPr>
          <w:ilvl w:val="0"/>
          <w:numId w:val="957"/>
        </w:numPr>
        <w:spacing w:line="276" w:lineRule="auto"/>
        <w:ind w:left="567" w:hanging="567"/>
        <w:rPr>
          <w:rFonts w:eastAsia="Times New Roman" w:cs="Calibri"/>
          <w:noProof/>
        </w:rPr>
      </w:pPr>
      <w:r>
        <w:rPr>
          <w:noProof/>
        </w:rPr>
        <w:t xml:space="preserve">infrastruktūra ir tādas fiziskas vai juridiskas personas īpašumā, kas vismaz juridiskās formas ziņā ir nodalīta no tiem pārvades sistēmu operatoriem, </w:t>
      </w:r>
      <w:r>
        <w:rPr>
          <w:noProof/>
        </w:rPr>
        <w:t xml:space="preserve">kuru sistēmās to paredzēts ierīkot; </w:t>
      </w:r>
    </w:p>
    <w:p w:rsidR="003E022D" w:rsidRDefault="007D19D6">
      <w:pPr>
        <w:numPr>
          <w:ilvl w:val="0"/>
          <w:numId w:val="957"/>
        </w:numPr>
        <w:spacing w:line="276" w:lineRule="auto"/>
        <w:ind w:left="567" w:hanging="567"/>
        <w:rPr>
          <w:rFonts w:eastAsia="Times New Roman" w:cs="Calibri"/>
          <w:noProof/>
        </w:rPr>
      </w:pPr>
      <w:r>
        <w:rPr>
          <w:noProof/>
        </w:rPr>
        <w:t>pirms atbrīvojuma piešķiršanas Puse ir pieņēmusi lēmumu par jaudas pārvaldības un piešķiršanas noteikumiem un mehānismiem.</w:t>
      </w:r>
    </w:p>
    <w:p w:rsidR="003E022D" w:rsidRDefault="007D19D6">
      <w:pPr>
        <w:pStyle w:val="ANNEX"/>
        <w:rPr>
          <w:rFonts w:eastAsiaTheme="minorHAnsi" w:cstheme="minorBidi"/>
          <w:noProof/>
        </w:rPr>
      </w:pPr>
      <w:r>
        <w:rPr>
          <w:noProof/>
        </w:rPr>
        <w:br w:type="column"/>
      </w:r>
      <w:bookmarkStart w:id="1324" w:name="_Toc58255900"/>
      <w:bookmarkStart w:id="1325" w:name="_Toc59645269"/>
      <w:bookmarkStart w:id="1326" w:name="_Toc59988411"/>
      <w:r>
        <w:rPr>
          <w:noProof/>
        </w:rPr>
        <w:t xml:space="preserve">ENER-4. PIELIKUMS.  ELEKTROENERĢIJAS STARPSAVIENOTĀJU JAUDAS PIEŠĶIRŠANA NĀKAMĀS DIENAS TIRGUS </w:t>
      </w:r>
      <w:r>
        <w:rPr>
          <w:noProof/>
        </w:rPr>
        <w:t>LAIKPOSMĀ</w:t>
      </w:r>
      <w:bookmarkEnd w:id="1324"/>
      <w:bookmarkEnd w:id="1325"/>
      <w:bookmarkEnd w:id="1326"/>
    </w:p>
    <w:p w:rsidR="003E022D" w:rsidRDefault="007D19D6">
      <w:pPr>
        <w:spacing w:after="0"/>
        <w:jc w:val="center"/>
        <w:rPr>
          <w:rFonts w:eastAsia="Calibri" w:cs="Calibri"/>
          <w:b/>
          <w:noProof/>
        </w:rPr>
      </w:pPr>
      <w:r>
        <w:rPr>
          <w:b/>
          <w:noProof/>
        </w:rPr>
        <w:t>1. daļa</w:t>
      </w:r>
    </w:p>
    <w:p w:rsidR="003E022D" w:rsidRDefault="003E022D">
      <w:pPr>
        <w:spacing w:after="0"/>
        <w:jc w:val="center"/>
        <w:rPr>
          <w:rFonts w:eastAsia="Calibri" w:cs="Calibri"/>
          <w:b/>
          <w:noProof/>
        </w:rPr>
      </w:pPr>
    </w:p>
    <w:p w:rsidR="003E022D" w:rsidRDefault="007D19D6">
      <w:pPr>
        <w:numPr>
          <w:ilvl w:val="0"/>
          <w:numId w:val="958"/>
        </w:numPr>
        <w:spacing w:line="276" w:lineRule="auto"/>
        <w:ind w:left="0"/>
        <w:rPr>
          <w:rFonts w:eastAsia="Calibri" w:cs="Calibri"/>
          <w:noProof/>
          <w:color w:val="0070C0"/>
        </w:rPr>
      </w:pPr>
      <w:r>
        <w:rPr>
          <w:noProof/>
        </w:rPr>
        <w:t xml:space="preserve">Jaunā procedūra jaudas piešķiršanai elektroenerģijas starpsavienotājos nākamās dienas tirgus laikposmā ir balstīta uz “daudzreģionu brīva apjoma sasaistīšanas” koncepciju. </w:t>
      </w:r>
    </w:p>
    <w:p w:rsidR="003E022D" w:rsidRDefault="007D19D6">
      <w:pPr>
        <w:spacing w:line="276" w:lineRule="auto"/>
        <w:rPr>
          <w:rFonts w:eastAsia="Calibri" w:cs="Calibri"/>
          <w:noProof/>
        </w:rPr>
      </w:pPr>
      <w:r>
        <w:rPr>
          <w:noProof/>
        </w:rPr>
        <w:t xml:space="preserve">Jaunās procedūras vispārējais mērķis ir maksimāli palielināt </w:t>
      </w:r>
      <w:r>
        <w:rPr>
          <w:noProof/>
        </w:rPr>
        <w:t>ieguvumus no tirdzniecības.</w:t>
      </w:r>
    </w:p>
    <w:p w:rsidR="003E022D" w:rsidRDefault="007D19D6">
      <w:pPr>
        <w:rPr>
          <w:rFonts w:eastAsia="Calibri" w:cs="Arial"/>
          <w:noProof/>
          <w:color w:val="2E74B5"/>
        </w:rPr>
      </w:pPr>
      <w:r>
        <w:rPr>
          <w:noProof/>
        </w:rPr>
        <w:t xml:space="preserve">Kā pirmo soli jaunās procedūras izstrādē Puses nodrošina, ka pārvades sistēmu operatori sagatavo priekšlikumu izklāstus un izmaksu un ieguvumu analīzi. </w:t>
      </w:r>
    </w:p>
    <w:p w:rsidR="003E022D" w:rsidRDefault="007D19D6">
      <w:pPr>
        <w:numPr>
          <w:ilvl w:val="0"/>
          <w:numId w:val="958"/>
        </w:numPr>
        <w:spacing w:line="276" w:lineRule="auto"/>
        <w:ind w:left="0"/>
        <w:rPr>
          <w:rFonts w:eastAsia="Calibri" w:cs="Calibri"/>
          <w:noProof/>
        </w:rPr>
      </w:pPr>
      <w:r>
        <w:rPr>
          <w:noProof/>
        </w:rPr>
        <w:t>Daudzreģionu brīva apjoma sasaiste ietver tirgus sasaistīšanas funkcijas at</w:t>
      </w:r>
      <w:r>
        <w:rPr>
          <w:noProof/>
        </w:rPr>
        <w:t xml:space="preserve">tīstību, lai noteiktu neto enerģijas pozīcijas (netiešs sadalījums) starp: </w:t>
      </w:r>
    </w:p>
    <w:p w:rsidR="003E022D" w:rsidRDefault="007D19D6">
      <w:pPr>
        <w:numPr>
          <w:ilvl w:val="0"/>
          <w:numId w:val="959"/>
        </w:numPr>
        <w:tabs>
          <w:tab w:val="num" w:pos="567"/>
        </w:tabs>
        <w:spacing w:line="276" w:lineRule="auto"/>
        <w:ind w:left="567" w:hanging="567"/>
        <w:rPr>
          <w:rFonts w:eastAsia="Calibri" w:cs="Calibri"/>
          <w:noProof/>
        </w:rPr>
      </w:pPr>
      <w:r>
        <w:rPr>
          <w:noProof/>
        </w:rPr>
        <w:t xml:space="preserve">tirdzniecības zonām, kas noteiktas saskaņā ar Regulu (EK) 2019/943 un kas ir tieši savienotas ar Apvienoto Karalisti ar elektroenerģijas starpsavienotāju un  </w:t>
      </w:r>
    </w:p>
    <w:p w:rsidR="003E022D" w:rsidRDefault="007D19D6">
      <w:pPr>
        <w:numPr>
          <w:ilvl w:val="0"/>
          <w:numId w:val="959"/>
        </w:numPr>
        <w:tabs>
          <w:tab w:val="num" w:pos="567"/>
        </w:tabs>
        <w:spacing w:line="276" w:lineRule="auto"/>
        <w:ind w:left="567" w:hanging="567"/>
        <w:rPr>
          <w:rFonts w:eastAsia="Calibri" w:cs="Calibri"/>
          <w:noProof/>
        </w:rPr>
      </w:pPr>
      <w:r>
        <w:rPr>
          <w:noProof/>
        </w:rPr>
        <w:t>Apvienoto Karalisti.</w:t>
      </w:r>
    </w:p>
    <w:p w:rsidR="003E022D" w:rsidRDefault="007D19D6">
      <w:pPr>
        <w:numPr>
          <w:ilvl w:val="0"/>
          <w:numId w:val="958"/>
        </w:numPr>
        <w:spacing w:line="276" w:lineRule="auto"/>
        <w:ind w:left="0"/>
        <w:rPr>
          <w:rFonts w:eastAsia="Calibri" w:cs="Calibri"/>
          <w:noProof/>
        </w:rPr>
      </w:pPr>
      <w:r>
        <w:rPr>
          <w:noProof/>
        </w:rPr>
        <w:t>Neto elektroenerģijas pozīcijas starpsavienotājiem aprēķina, izmantojot netiešu piešķiršanas procesu, piemērojot īpašu algoritmu</w:t>
      </w:r>
    </w:p>
    <w:p w:rsidR="003E022D" w:rsidRDefault="007D19D6">
      <w:pPr>
        <w:numPr>
          <w:ilvl w:val="0"/>
          <w:numId w:val="960"/>
        </w:numPr>
        <w:spacing w:line="276" w:lineRule="auto"/>
        <w:ind w:left="567" w:hanging="567"/>
        <w:rPr>
          <w:rFonts w:eastAsia="Calibri" w:cs="Calibri"/>
          <w:noProof/>
        </w:rPr>
      </w:pPr>
      <w:r>
        <w:rPr>
          <w:noProof/>
        </w:rPr>
        <w:t>komerciāliem solījumiem un piedāvājumiem nākamās dienas tirgus laikposmam no tirdzniecības zonām, kas izveidotas saskaņā ar Reg</w:t>
      </w:r>
      <w:r>
        <w:rPr>
          <w:noProof/>
        </w:rPr>
        <w:t>ulu (EK) Nr. 2019/943 un kas ir tieši savienotas ar Apvienoto Karalisti ar elektroenerģijas starpsavienotāju;</w:t>
      </w:r>
    </w:p>
    <w:p w:rsidR="003E022D" w:rsidRDefault="007D19D6">
      <w:pPr>
        <w:numPr>
          <w:ilvl w:val="0"/>
          <w:numId w:val="960"/>
        </w:numPr>
        <w:spacing w:line="276" w:lineRule="auto"/>
        <w:ind w:left="567" w:hanging="567"/>
        <w:rPr>
          <w:rFonts w:eastAsia="Calibri" w:cs="Calibri"/>
          <w:noProof/>
        </w:rPr>
      </w:pPr>
      <w:r>
        <w:rPr>
          <w:noProof/>
        </w:rPr>
        <w:t xml:space="preserve">komerciāliem piedāvājumiem un solījumiem nākamās dienas tirgus laikposmam no attiecīgajiem nākamās dienas tirgiem Apvienotajā Karalistē; </w:t>
      </w:r>
    </w:p>
    <w:p w:rsidR="003E022D" w:rsidRDefault="007D19D6">
      <w:pPr>
        <w:numPr>
          <w:ilvl w:val="0"/>
          <w:numId w:val="960"/>
        </w:numPr>
        <w:spacing w:line="276" w:lineRule="auto"/>
        <w:ind w:left="567" w:hanging="567"/>
        <w:rPr>
          <w:rFonts w:eastAsia="Calibri" w:cs="Calibri"/>
          <w:noProof/>
        </w:rPr>
      </w:pPr>
      <w:r>
        <w:rPr>
          <w:noProof/>
        </w:rPr>
        <w:t>tīkla ja</w:t>
      </w:r>
      <w:r>
        <w:rPr>
          <w:noProof/>
        </w:rPr>
        <w:t>udas datiem un sistēmas spējām, kas noteiktas saskaņā ar procedūrām, par kurām vienojušies pārvades sistēmu operatori; un</w:t>
      </w:r>
    </w:p>
    <w:p w:rsidR="003E022D" w:rsidRDefault="007D19D6">
      <w:pPr>
        <w:numPr>
          <w:ilvl w:val="0"/>
          <w:numId w:val="960"/>
        </w:numPr>
        <w:spacing w:line="276" w:lineRule="auto"/>
        <w:ind w:left="567" w:hanging="567"/>
        <w:rPr>
          <w:rFonts w:eastAsia="Calibri" w:cs="Calibri"/>
          <w:noProof/>
        </w:rPr>
      </w:pPr>
      <w:r>
        <w:rPr>
          <w:noProof/>
        </w:rPr>
        <w:t>datiem par gaidāmajām elektroenerģijas starpsavienojumu komerciālajām plūsmām starp tirdzniecības zonām, kas pieslēgtas Apvienotajai K</w:t>
      </w:r>
      <w:r>
        <w:rPr>
          <w:noProof/>
        </w:rPr>
        <w:t>aralistei, un citām tirdzniecības zonām Savienībā, ko Savienības pārvades sistēmu operatori nosaka, izmantojot stabilas metodikas.</w:t>
      </w:r>
    </w:p>
    <w:p w:rsidR="003E022D" w:rsidRDefault="007D19D6">
      <w:pPr>
        <w:rPr>
          <w:rFonts w:eastAsia="Calibri" w:cs="Arial"/>
          <w:noProof/>
        </w:rPr>
      </w:pPr>
      <w:r>
        <w:rPr>
          <w:noProof/>
        </w:rPr>
        <w:t>Šis process ir savietojams ar līdzstrāvas starpsavienotāju specifiskajām īpašībām, tostarp ar zudumu un rampveida izmaiņu pra</w:t>
      </w:r>
      <w:r>
        <w:rPr>
          <w:noProof/>
        </w:rPr>
        <w:t xml:space="preserve">sībām. </w:t>
      </w:r>
    </w:p>
    <w:p w:rsidR="003E022D" w:rsidRDefault="007D19D6">
      <w:pPr>
        <w:numPr>
          <w:ilvl w:val="0"/>
          <w:numId w:val="958"/>
        </w:numPr>
        <w:spacing w:line="276" w:lineRule="auto"/>
        <w:ind w:left="0"/>
        <w:rPr>
          <w:rFonts w:eastAsia="Calibri" w:cs="Calibri"/>
          <w:noProof/>
        </w:rPr>
      </w:pPr>
      <w:r>
        <w:rPr>
          <w:noProof/>
        </w:rPr>
        <w:t>Tirgus sasaistīšanas funkcija:</w:t>
      </w:r>
    </w:p>
    <w:p w:rsidR="003E022D" w:rsidRDefault="007D19D6">
      <w:pPr>
        <w:numPr>
          <w:ilvl w:val="0"/>
          <w:numId w:val="961"/>
        </w:numPr>
        <w:spacing w:line="276" w:lineRule="auto"/>
        <w:ind w:hanging="567"/>
        <w:rPr>
          <w:rFonts w:eastAsia="Calibri" w:cs="Calibri"/>
          <w:noProof/>
          <w:u w:val="single"/>
        </w:rPr>
      </w:pPr>
      <w:r>
        <w:rPr>
          <w:noProof/>
        </w:rPr>
        <w:t>dod rezultātus pietiekami savlaicīgi pirms pušu attiecīgo nākamās dienas tirgu darbības (attiecībā uz Savienību tā ir vienota nākamās dienas tirgus sasaistīšana, kas izveidota saskaņā ar Komisijas Regulu (ES) 2015/122</w:t>
      </w:r>
      <w:r>
        <w:rPr>
          <w:noProof/>
        </w:rPr>
        <w:t>2</w:t>
      </w:r>
      <w:r>
        <w:rPr>
          <w:rFonts w:eastAsia="Calibri" w:cs="Calibri"/>
          <w:b/>
          <w:noProof/>
          <w:sz w:val="24"/>
          <w:vertAlign w:val="superscript"/>
        </w:rPr>
        <w:footnoteReference w:id="122"/>
      </w:r>
      <w:r>
        <w:rPr>
          <w:noProof/>
        </w:rPr>
        <w:t>), lai šādus rezultātus varētu izmantot kā ievaddatus procesos, kas nosaka rezultātus minētajos tirgos;</w:t>
      </w:r>
    </w:p>
    <w:p w:rsidR="003E022D" w:rsidRDefault="007D19D6">
      <w:pPr>
        <w:numPr>
          <w:ilvl w:val="0"/>
          <w:numId w:val="961"/>
        </w:numPr>
        <w:spacing w:line="276" w:lineRule="auto"/>
        <w:ind w:hanging="567"/>
        <w:rPr>
          <w:rFonts w:eastAsia="Calibri" w:cs="Calibri"/>
          <w:noProof/>
        </w:rPr>
      </w:pPr>
      <w:r>
        <w:rPr>
          <w:noProof/>
        </w:rPr>
        <w:t>dod ticamus un atkārtojamus rezultātus;</w:t>
      </w:r>
    </w:p>
    <w:p w:rsidR="003E022D" w:rsidRDefault="007D19D6">
      <w:pPr>
        <w:numPr>
          <w:ilvl w:val="0"/>
          <w:numId w:val="961"/>
        </w:numPr>
        <w:spacing w:line="276" w:lineRule="auto"/>
        <w:ind w:hanging="567"/>
        <w:rPr>
          <w:rFonts w:eastAsia="Calibri" w:cs="Calibri"/>
          <w:noProof/>
        </w:rPr>
      </w:pPr>
      <w:r>
        <w:rPr>
          <w:noProof/>
        </w:rPr>
        <w:t>ir īpašs process, lai sasaistītu atšķirīgus un nošķirtus nākamās dienas tirgus Savienībā un Apvienotajā Karali</w:t>
      </w:r>
      <w:r>
        <w:rPr>
          <w:noProof/>
        </w:rPr>
        <w:t>stē; tas jo īpaši nozīmē, ka konkrētais algoritms ir atšķirīgs un nošķirts no algoritma, ko izmanto vienotā nākamās dienas tirgus sasaistīšanā, kas izveidota saskaņā ar Regulu (ES) 2015/1222, un attiecībā uz Savienības komerciālajiem solījumiem un piedāvāj</w:t>
      </w:r>
      <w:r>
        <w:rPr>
          <w:noProof/>
        </w:rPr>
        <w:t>umiem piekļuve ir tikai tiem algoritmiem no tirdzniecības zonām, kuras ir tieši savienotas ar Apvienoto Karalisti ar elektroenerģijas starpsavienotāju.</w:t>
      </w:r>
    </w:p>
    <w:p w:rsidR="003E022D" w:rsidRDefault="007D19D6">
      <w:pPr>
        <w:numPr>
          <w:ilvl w:val="0"/>
          <w:numId w:val="958"/>
        </w:numPr>
        <w:spacing w:line="276" w:lineRule="auto"/>
        <w:ind w:left="0"/>
        <w:rPr>
          <w:rFonts w:eastAsia="Calibri" w:cs="Calibri"/>
          <w:noProof/>
        </w:rPr>
      </w:pPr>
      <w:r>
        <w:rPr>
          <w:noProof/>
        </w:rPr>
        <w:t>Aprēķinātās neto enerģijas pozīcijas publicē pēc apstiprināšanas un verifikācijas. Ja tirgus sasaistīšan</w:t>
      </w:r>
      <w:r>
        <w:rPr>
          <w:noProof/>
        </w:rPr>
        <w:t>as funkcija nespēj darboties vai dot rezultātu, elektroenerģijas starpsavienotāja jaudu piešķir, izmantojot rezerves procesu, un tirgus dalībniekiem paziņo, ka tiks piemērots rezerves process.</w:t>
      </w:r>
    </w:p>
    <w:p w:rsidR="003E022D" w:rsidRDefault="007D19D6">
      <w:pPr>
        <w:numPr>
          <w:ilvl w:val="0"/>
          <w:numId w:val="958"/>
        </w:numPr>
        <w:spacing w:line="276" w:lineRule="auto"/>
        <w:ind w:left="0"/>
        <w:rPr>
          <w:rFonts w:eastAsia="Times New Roman" w:cs="Calibri"/>
          <w:noProof/>
          <w:color w:val="000000"/>
        </w:rPr>
      </w:pPr>
      <w:r>
        <w:rPr>
          <w:noProof/>
        </w:rPr>
        <w:t>Tehnisko procedūru izstrādes un īstenošanas izmaksas vienlīdzīg</w:t>
      </w:r>
      <w:r>
        <w:rPr>
          <w:noProof/>
        </w:rPr>
        <w:t xml:space="preserve">i sadala starp attiecīgajiem Apvienotās Karalistes pārvades sistēmu operatoriem vai citām struktūrām, no vienas puses, un attiecīgajiem Savienības pārvades sistēmu operatoriem vai citām struktūrām, no otras puses, ja vien specializētā enerģētikas komiteja </w:t>
      </w:r>
      <w:r>
        <w:rPr>
          <w:noProof/>
        </w:rPr>
        <w:t>nenolemj citādi.</w:t>
      </w:r>
    </w:p>
    <w:p w:rsidR="003E022D" w:rsidRDefault="007D19D6">
      <w:pPr>
        <w:spacing w:after="0"/>
        <w:jc w:val="center"/>
        <w:rPr>
          <w:rFonts w:eastAsia="Calibri" w:cs="Calibri"/>
          <w:b/>
          <w:noProof/>
        </w:rPr>
      </w:pPr>
      <w:r>
        <w:rPr>
          <w:b/>
          <w:noProof/>
        </w:rPr>
        <w:t>2. daļa</w:t>
      </w:r>
    </w:p>
    <w:p w:rsidR="003E022D" w:rsidRDefault="003E022D">
      <w:pPr>
        <w:spacing w:after="0"/>
        <w:rPr>
          <w:rFonts w:eastAsia="Calibri" w:cs="Calibri"/>
          <w:noProof/>
        </w:rPr>
      </w:pPr>
    </w:p>
    <w:p w:rsidR="003E022D" w:rsidRDefault="007D19D6">
      <w:pPr>
        <w:spacing w:after="0"/>
        <w:rPr>
          <w:rFonts w:eastAsia="Calibri" w:cs="Calibri"/>
          <w:noProof/>
        </w:rPr>
      </w:pPr>
      <w:r>
        <w:rPr>
          <w:noProof/>
        </w:rPr>
        <w:t>Šā pielikuma īstenošanas grafiks sākas šā nolīguma spēkā stāšanās dienā un ir šāds:</w:t>
      </w:r>
    </w:p>
    <w:p w:rsidR="003E022D" w:rsidRDefault="003E022D">
      <w:pPr>
        <w:spacing w:after="0"/>
        <w:rPr>
          <w:rFonts w:eastAsia="Calibri" w:cs="Calibri"/>
          <w:noProof/>
        </w:rPr>
      </w:pPr>
    </w:p>
    <w:p w:rsidR="003E022D" w:rsidRDefault="007D19D6">
      <w:pPr>
        <w:numPr>
          <w:ilvl w:val="0"/>
          <w:numId w:val="962"/>
        </w:numPr>
        <w:spacing w:after="0"/>
        <w:ind w:left="360"/>
        <w:rPr>
          <w:rFonts w:eastAsia="Times New Roman" w:cs="Calibri"/>
          <w:noProof/>
        </w:rPr>
      </w:pPr>
      <w:r>
        <w:rPr>
          <w:noProof/>
        </w:rPr>
        <w:t>3 mēnešu laikā – izmaksu un ieguvumu analīze un tehnisko procedūru priekšlikumu izklāsts;</w:t>
      </w:r>
    </w:p>
    <w:p w:rsidR="003E022D" w:rsidRDefault="003E022D">
      <w:pPr>
        <w:spacing w:after="0"/>
        <w:rPr>
          <w:rFonts w:eastAsia="Times New Roman" w:cs="Calibri"/>
          <w:noProof/>
        </w:rPr>
      </w:pPr>
    </w:p>
    <w:p w:rsidR="003E022D" w:rsidRDefault="007D19D6">
      <w:pPr>
        <w:numPr>
          <w:ilvl w:val="0"/>
          <w:numId w:val="962"/>
        </w:numPr>
        <w:spacing w:after="0"/>
        <w:ind w:left="360"/>
        <w:rPr>
          <w:rFonts w:eastAsia="Times New Roman" w:cs="Calibri"/>
          <w:noProof/>
        </w:rPr>
      </w:pPr>
      <w:r>
        <w:rPr>
          <w:noProof/>
        </w:rPr>
        <w:t>10 mēnešu laikā – tehnisko procedūru priekšlikums;</w:t>
      </w:r>
    </w:p>
    <w:p w:rsidR="003E022D" w:rsidRDefault="003E022D">
      <w:pPr>
        <w:spacing w:after="0"/>
        <w:rPr>
          <w:rFonts w:eastAsia="Times New Roman" w:cs="Calibri"/>
          <w:noProof/>
        </w:rPr>
      </w:pPr>
    </w:p>
    <w:p w:rsidR="003E022D" w:rsidRDefault="007D19D6">
      <w:pPr>
        <w:numPr>
          <w:ilvl w:val="0"/>
          <w:numId w:val="962"/>
        </w:numPr>
        <w:spacing w:after="0"/>
        <w:ind w:left="360"/>
        <w:rPr>
          <w:rFonts w:eastAsia="Times New Roman" w:cs="Calibri"/>
          <w:noProof/>
        </w:rPr>
      </w:pPr>
      <w:r>
        <w:rPr>
          <w:noProof/>
        </w:rPr>
        <w:t>15</w:t>
      </w:r>
      <w:r>
        <w:rPr>
          <w:noProof/>
        </w:rPr>
        <w:t xml:space="preserve"> mēnešu laikā – tehnisko procedūru darbības sākšana.</w:t>
      </w:r>
    </w:p>
    <w:p w:rsidR="003E022D" w:rsidRDefault="003E022D">
      <w:pPr>
        <w:rPr>
          <w:noProof/>
        </w:rPr>
      </w:pPr>
    </w:p>
    <w:p w:rsidR="003E022D" w:rsidRDefault="003E022D">
      <w:pPr>
        <w:rPr>
          <w:noProof/>
        </w:rPr>
      </w:pPr>
    </w:p>
    <w:p w:rsidR="003E022D" w:rsidRDefault="003E022D">
      <w:pPr>
        <w:rPr>
          <w:noProof/>
        </w:rPr>
      </w:pPr>
    </w:p>
    <w:p w:rsidR="003E022D" w:rsidRDefault="007D19D6">
      <w:pPr>
        <w:pStyle w:val="ANNEX"/>
        <w:rPr>
          <w:noProof/>
        </w:rPr>
      </w:pPr>
      <w:r>
        <w:rPr>
          <w:noProof/>
        </w:rPr>
        <w:t xml:space="preserve"> </w:t>
      </w:r>
    </w:p>
    <w:p w:rsidR="003E022D" w:rsidRDefault="007D19D6">
      <w:pPr>
        <w:spacing w:after="160" w:line="259" w:lineRule="auto"/>
        <w:jc w:val="left"/>
        <w:rPr>
          <w:rFonts w:eastAsia="Century" w:cs="Times New Roman"/>
          <w:i/>
          <w:noProof/>
        </w:rPr>
      </w:pPr>
      <w:r>
        <w:rPr>
          <w:noProof/>
        </w:rPr>
        <w:br w:type="page"/>
      </w:r>
    </w:p>
    <w:p w:rsidR="003E022D" w:rsidRDefault="007D19D6">
      <w:pPr>
        <w:pStyle w:val="ANNEX"/>
        <w:rPr>
          <w:b/>
          <w:bCs/>
          <w:i w:val="0"/>
          <w:noProof/>
          <w:sz w:val="28"/>
          <w:szCs w:val="28"/>
        </w:rPr>
      </w:pPr>
      <w:bookmarkStart w:id="1327" w:name="_Toc59645271"/>
      <w:bookmarkStart w:id="1328" w:name="_Toc59988412"/>
      <w:r>
        <w:rPr>
          <w:noProof/>
        </w:rPr>
        <w:t>AVSAF-1. PIELIKUMS. SERTIFIKĀCIJA LIDOJUMDERĪGUMA UN VIDES JOMĀ</w:t>
      </w:r>
      <w:bookmarkEnd w:id="1327"/>
      <w:bookmarkEnd w:id="1328"/>
    </w:p>
    <w:p w:rsidR="003E022D" w:rsidRDefault="007D19D6">
      <w:pPr>
        <w:pStyle w:val="Section"/>
        <w:rPr>
          <w:b/>
          <w:bCs/>
          <w:i w:val="0"/>
          <w:noProof/>
          <w:sz w:val="24"/>
          <w:szCs w:val="24"/>
        </w:rPr>
      </w:pPr>
      <w:r>
        <w:rPr>
          <w:noProof/>
        </w:rPr>
        <w:t>A IEDAĻA. Vispārīgi noteikumi</w:t>
      </w:r>
    </w:p>
    <w:p w:rsidR="003E022D" w:rsidRDefault="007D19D6">
      <w:pPr>
        <w:pStyle w:val="Article"/>
        <w:rPr>
          <w:b/>
          <w:bCs/>
          <w:noProof/>
          <w:sz w:val="24"/>
          <w:szCs w:val="24"/>
        </w:rPr>
      </w:pPr>
      <w:r>
        <w:rPr>
          <w:noProof/>
        </w:rPr>
        <w:t>1. pants. Mērķis un darbības joma</w:t>
      </w:r>
    </w:p>
    <w:p w:rsidR="003E022D" w:rsidRDefault="007D19D6">
      <w:pPr>
        <w:rPr>
          <w:rFonts w:cstheme="minorHAnsi"/>
          <w:noProof/>
        </w:rPr>
      </w:pPr>
      <w:r>
        <w:rPr>
          <w:noProof/>
        </w:rPr>
        <w:t xml:space="preserve">1. </w:t>
      </w:r>
      <w:r>
        <w:rPr>
          <w:noProof/>
        </w:rPr>
        <w:tab/>
        <w:t>Šā pielikuma mērķis ir īstenot sadarbību turpmāk minētajās jomās</w:t>
      </w:r>
      <w:r>
        <w:rPr>
          <w:noProof/>
        </w:rPr>
        <w:t xml:space="preserve"> saskaņā ar šā nolīguma AVSAF.3. panta [Darbības joma un īstenošana] 2. punktu , un tajā aprakstīti atbilstības atzinumu un sertifikātu savstarpējas atzīšanas noteikumi, nosacījumi un metodes:</w:t>
      </w:r>
    </w:p>
    <w:p w:rsidR="003E022D" w:rsidRDefault="007D19D6">
      <w:pPr>
        <w:numPr>
          <w:ilvl w:val="0"/>
          <w:numId w:val="963"/>
        </w:numPr>
        <w:ind w:left="567" w:hanging="567"/>
        <w:rPr>
          <w:rFonts w:cstheme="minorHAnsi"/>
          <w:noProof/>
        </w:rPr>
      </w:pPr>
      <w:r>
        <w:rPr>
          <w:noProof/>
        </w:rPr>
        <w:t>civilās aeronavigācijas ražojumu lidojumderīguma sertifikāti un</w:t>
      </w:r>
      <w:r>
        <w:rPr>
          <w:noProof/>
        </w:rPr>
        <w:t xml:space="preserve"> uzraudzība, kā minēts šā nolīguma AVSAF.3. panta [Darbības joma un īstenošana] 1. punkta a) apakšpunktā;</w:t>
      </w:r>
    </w:p>
    <w:p w:rsidR="003E022D" w:rsidRDefault="007D19D6">
      <w:pPr>
        <w:numPr>
          <w:ilvl w:val="0"/>
          <w:numId w:val="963"/>
        </w:numPr>
        <w:ind w:left="567" w:hanging="567"/>
        <w:rPr>
          <w:rFonts w:cstheme="minorHAnsi"/>
          <w:noProof/>
        </w:rPr>
      </w:pPr>
      <w:r>
        <w:rPr>
          <w:noProof/>
        </w:rPr>
        <w:t>civilās aeronavigācijas ražojumu vides sertifikāti un testēšana, kā minēts šā nolīguma AVSAF.3. panta [Darbības joma un īstenošana] 1. punkta b) apakš</w:t>
      </w:r>
      <w:r>
        <w:rPr>
          <w:noProof/>
        </w:rPr>
        <w:t>punktā un</w:t>
      </w:r>
    </w:p>
    <w:p w:rsidR="003E022D" w:rsidRDefault="007D19D6">
      <w:pPr>
        <w:numPr>
          <w:ilvl w:val="0"/>
          <w:numId w:val="963"/>
        </w:numPr>
        <w:ind w:left="567" w:hanging="567"/>
        <w:rPr>
          <w:noProof/>
        </w:rPr>
      </w:pPr>
      <w:r>
        <w:rPr>
          <w:noProof/>
        </w:rPr>
        <w:t>konstrukcijas un ražošanas sertifikāti un konstruēšanas un ražošanas organizāciju uzraudzība, kā minēts šā nolīguma AVSAF.3. panta [Darbības joma un īstenošana] 1. punkta c) apakšpunktā.</w:t>
      </w:r>
    </w:p>
    <w:p w:rsidR="003E022D" w:rsidRDefault="007D19D6">
      <w:pPr>
        <w:rPr>
          <w:rFonts w:cstheme="minorHAnsi"/>
          <w:noProof/>
        </w:rPr>
      </w:pPr>
      <w:r>
        <w:rPr>
          <w:noProof/>
        </w:rPr>
        <w:t xml:space="preserve">2. </w:t>
      </w:r>
      <w:r>
        <w:rPr>
          <w:noProof/>
        </w:rPr>
        <w:tab/>
        <w:t>Neatkarīgi no 1. punkta, lietoti civilās aeronavigācija</w:t>
      </w:r>
      <w:r>
        <w:rPr>
          <w:noProof/>
        </w:rPr>
        <w:t>s ražojumi, kas nav lietoti gaisa kuģi, ir izslēgti no šā pielikuma darbības jomas.</w:t>
      </w:r>
    </w:p>
    <w:p w:rsidR="003E022D" w:rsidRDefault="007D19D6">
      <w:pPr>
        <w:pStyle w:val="Article"/>
        <w:rPr>
          <w:noProof/>
        </w:rPr>
      </w:pPr>
      <w:r>
        <w:rPr>
          <w:noProof/>
        </w:rPr>
        <w:t>2. pants. Definīcijas</w:t>
      </w:r>
    </w:p>
    <w:p w:rsidR="003E022D" w:rsidRDefault="007D19D6">
      <w:pPr>
        <w:rPr>
          <w:rFonts w:cstheme="minorHAnsi"/>
          <w:noProof/>
        </w:rPr>
      </w:pPr>
      <w:r>
        <w:rPr>
          <w:noProof/>
        </w:rPr>
        <w:t>Šajā pielikumā piemēro šādas definīcijas:</w:t>
      </w:r>
    </w:p>
    <w:p w:rsidR="003E022D" w:rsidRDefault="007D19D6">
      <w:pPr>
        <w:numPr>
          <w:ilvl w:val="0"/>
          <w:numId w:val="964"/>
        </w:numPr>
        <w:ind w:left="567" w:hanging="567"/>
        <w:rPr>
          <w:rFonts w:cstheme="minorHAnsi"/>
          <w:noProof/>
        </w:rPr>
      </w:pPr>
      <w:r>
        <w:rPr>
          <w:noProof/>
        </w:rPr>
        <w:t xml:space="preserve">“atzīšana” ir vienas Puses sertifikātu, apstiprinājumu, izmaiņu, remontdarbu, dokumentu un datu uzskatīšana </w:t>
      </w:r>
      <w:r>
        <w:rPr>
          <w:noProof/>
        </w:rPr>
        <w:t>par derīgiem otrā Pusē, neveicot apstiprināšanas darbības un bez šīs otras Puses izdota atbilstoša sertifikāta,</w:t>
      </w:r>
    </w:p>
    <w:p w:rsidR="003E022D" w:rsidRDefault="007D19D6">
      <w:pPr>
        <w:numPr>
          <w:ilvl w:val="0"/>
          <w:numId w:val="964"/>
        </w:numPr>
        <w:ind w:left="567" w:hanging="567"/>
        <w:rPr>
          <w:rFonts w:cstheme="minorHAnsi"/>
          <w:noProof/>
        </w:rPr>
      </w:pPr>
      <w:r>
        <w:rPr>
          <w:noProof/>
        </w:rPr>
        <w:t xml:space="preserve"> “autorizēts izmantošanas sertifikāts” ir sertifikāts, ko eksportētājas Puses apstiprinātā organizācija vai kompetentā iestāde izdevusi kā aplie</w:t>
      </w:r>
      <w:r>
        <w:rPr>
          <w:noProof/>
        </w:rPr>
        <w:t>cinājumu tam, ka jauns civilās aeronavigācijas ražojums, kas nav gaisa kuģis, atbilst eksportētājas Puses apstiprinātai konstrukcijai un ir ekspluatācijai drošā stāvoklī;</w:t>
      </w:r>
    </w:p>
    <w:p w:rsidR="003E022D" w:rsidRDefault="007D19D6">
      <w:pPr>
        <w:numPr>
          <w:ilvl w:val="0"/>
          <w:numId w:val="964"/>
        </w:numPr>
        <w:ind w:left="567" w:hanging="567"/>
        <w:rPr>
          <w:rFonts w:cstheme="minorHAnsi"/>
          <w:noProof/>
        </w:rPr>
      </w:pPr>
      <w:r>
        <w:rPr>
          <w:noProof/>
        </w:rPr>
        <w:t>“civilās aeronavigācijas ražojumu kategorija" ir ražojumu kopums, kam ir kopīgi rakst</w:t>
      </w:r>
      <w:r>
        <w:rPr>
          <w:noProof/>
        </w:rPr>
        <w:t xml:space="preserve">urlielumi atbilstoši grupējumam tehniskās īstenošanas procedūrās, pamatojoties uz </w:t>
      </w:r>
      <w:r>
        <w:rPr>
          <w:i/>
          <w:noProof/>
        </w:rPr>
        <w:t>EASA</w:t>
      </w:r>
      <w:r>
        <w:rPr>
          <w:noProof/>
        </w:rPr>
        <w:t xml:space="preserve"> un Apvienotās Karalistes </w:t>
      </w:r>
      <w:r>
        <w:rPr>
          <w:i/>
          <w:noProof/>
        </w:rPr>
        <w:t>CAA</w:t>
      </w:r>
      <w:r>
        <w:rPr>
          <w:noProof/>
        </w:rPr>
        <w:t xml:space="preserve"> sertifikācijas specifikācijām;</w:t>
      </w:r>
    </w:p>
    <w:p w:rsidR="003E022D" w:rsidRDefault="007D19D6">
      <w:pPr>
        <w:numPr>
          <w:ilvl w:val="0"/>
          <w:numId w:val="964"/>
        </w:numPr>
        <w:ind w:left="567" w:hanging="567"/>
        <w:rPr>
          <w:rFonts w:cstheme="minorHAnsi"/>
          <w:noProof/>
          <w:color w:val="FF0000"/>
        </w:rPr>
      </w:pPr>
      <w:r>
        <w:rPr>
          <w:noProof/>
        </w:rPr>
        <w:t>“sertificētājiestāde” ir eksportētājas Puses tehniskais pārstāvis, kas izdod civilās aeronavigācijas ražojuma konstrukcijas sertifikātu kā iestāde, kura izpilda projektētājvalsts pienākumus, kas noteikti Konvencijas par starptautisko civilo aviāciju 8. pie</w:t>
      </w:r>
      <w:r>
        <w:rPr>
          <w:noProof/>
        </w:rPr>
        <w:t xml:space="preserve">likumā; </w:t>
      </w:r>
      <w:bookmarkStart w:id="1329" w:name="_Hlk56784066"/>
      <w:r>
        <w:rPr>
          <w:noProof/>
        </w:rPr>
        <w:t xml:space="preserve">Ja konstrukcijas sertifikātu izdod eksportētājas Puses apstiprināta organizācija, tad par sertificētājiestādi uzskata eksportētājas Puses tehnisko pārstāvi, </w:t>
      </w:r>
      <w:bookmarkEnd w:id="1329"/>
    </w:p>
    <w:p w:rsidR="003E022D" w:rsidRDefault="007D19D6">
      <w:pPr>
        <w:numPr>
          <w:ilvl w:val="0"/>
          <w:numId w:val="964"/>
        </w:numPr>
        <w:ind w:left="567" w:hanging="567"/>
        <w:rPr>
          <w:rFonts w:cstheme="minorHAnsi"/>
          <w:noProof/>
        </w:rPr>
      </w:pPr>
      <w:r>
        <w:rPr>
          <w:noProof/>
        </w:rPr>
        <w:t>“konstrukcijas sertifikāts” ir apliecinājuma veids, ko Puses tehniskais pārstāvis vai apst</w:t>
      </w:r>
      <w:r>
        <w:rPr>
          <w:noProof/>
        </w:rPr>
        <w:t>iprinātā organizācija izdevusi par to, ka civilās aeronavigācijas ražojuma konstrukcija vai konstrukcijas izmaiņas atbilst lidojumderīguma prasībām, attiecīgā gadījumā, un vides aizsardzības prasībām, jo īpaši attiecībā uz minētās Puses normatīvajos un adm</w:t>
      </w:r>
      <w:r>
        <w:rPr>
          <w:noProof/>
        </w:rPr>
        <w:t>inistratīvajos aktos noteiktajiem ekoloģiskajiem raksturlielumiem;</w:t>
      </w:r>
    </w:p>
    <w:p w:rsidR="003E022D" w:rsidRDefault="007D19D6">
      <w:pPr>
        <w:numPr>
          <w:ilvl w:val="0"/>
          <w:numId w:val="964"/>
        </w:numPr>
        <w:ind w:left="567" w:hanging="567"/>
        <w:rPr>
          <w:rFonts w:cstheme="minorHAnsi"/>
          <w:noProof/>
        </w:rPr>
      </w:pPr>
      <w:r>
        <w:rPr>
          <w:noProof/>
        </w:rPr>
        <w:t>“ekspluatācijas prasības konstrukcijai" ir ekspluatācijas, tostarp vides aizsardzības, prasības, kas ietekmē vai nu aeronavigācijas ražojuma konstrukcijas īpašības, vai konstrukcijas datus,</w:t>
      </w:r>
      <w:r>
        <w:rPr>
          <w:noProof/>
        </w:rPr>
        <w:t xml:space="preserve"> kuri saistīti ar attiecīgā ražojuma ekspluatāciju vai tehnisko apkopi, un kas padara to piemērotu kādam īpašam ekspluatācijas veidam;</w:t>
      </w:r>
    </w:p>
    <w:p w:rsidR="003E022D" w:rsidRDefault="007D19D6">
      <w:pPr>
        <w:numPr>
          <w:ilvl w:val="0"/>
          <w:numId w:val="964"/>
        </w:numPr>
        <w:ind w:left="567" w:hanging="567"/>
        <w:rPr>
          <w:rFonts w:cstheme="minorHAnsi"/>
          <w:noProof/>
        </w:rPr>
      </w:pPr>
      <w:r>
        <w:rPr>
          <w:noProof/>
        </w:rPr>
        <w:t>“eksports” ir process, ar kuru civilās aeronavigācijas ražojums no vienas Puses civilās aviācijas drošības regulatīvās si</w:t>
      </w:r>
      <w:r>
        <w:rPr>
          <w:noProof/>
        </w:rPr>
        <w:t>stēmas tiek nodots otras Puses civilās aviācijas drošības regulatīvajai sistēmai;</w:t>
      </w:r>
    </w:p>
    <w:p w:rsidR="003E022D" w:rsidRDefault="007D19D6">
      <w:pPr>
        <w:numPr>
          <w:ilvl w:val="0"/>
          <w:numId w:val="964"/>
        </w:numPr>
        <w:ind w:left="567" w:hanging="567"/>
        <w:rPr>
          <w:rFonts w:cstheme="minorHAnsi"/>
          <w:noProof/>
        </w:rPr>
      </w:pPr>
      <w:r>
        <w:rPr>
          <w:noProof/>
        </w:rPr>
        <w:t>“lidojumderīguma eksporta sertifikāts” ir sertifikāts, ko eksportētājas Puses kompetentā iestāde vai – attiecībā uz lietotiem gaisa kuģiem – tās reģistrācijas valsts kompeten</w:t>
      </w:r>
      <w:r>
        <w:rPr>
          <w:noProof/>
        </w:rPr>
        <w:t>tā iestāde, no kuras ražojums ir eksportēts, izdevusi kā apliecinājumu tam, ka gaisa kuģis atbilst piemērojamajām lidojumderīguma un vides aizsardzības prasībām, kuras paziņojusi importētāja Puse;</w:t>
      </w:r>
    </w:p>
    <w:p w:rsidR="003E022D" w:rsidRDefault="007D19D6">
      <w:pPr>
        <w:numPr>
          <w:ilvl w:val="0"/>
          <w:numId w:val="964"/>
        </w:numPr>
        <w:ind w:left="567" w:hanging="567"/>
        <w:rPr>
          <w:rFonts w:cstheme="minorHAnsi"/>
          <w:noProof/>
        </w:rPr>
      </w:pPr>
      <w:r>
        <w:rPr>
          <w:noProof/>
        </w:rPr>
        <w:t>“eksportētāja Puse” ir Puse, no kuras civilās aviācijas dro</w:t>
      </w:r>
      <w:r>
        <w:rPr>
          <w:noProof/>
        </w:rPr>
        <w:t>šības regulatīvās sistēmas civilās aeronavigācijas ražojums tiek nodots;</w:t>
      </w:r>
    </w:p>
    <w:p w:rsidR="003E022D" w:rsidRDefault="007D19D6">
      <w:pPr>
        <w:numPr>
          <w:ilvl w:val="0"/>
          <w:numId w:val="964"/>
        </w:numPr>
        <w:ind w:left="567" w:hanging="567"/>
        <w:rPr>
          <w:rFonts w:cstheme="minorHAnsi"/>
          <w:noProof/>
        </w:rPr>
      </w:pPr>
      <w:r>
        <w:rPr>
          <w:noProof/>
        </w:rPr>
        <w:t xml:space="preserve">“imports” ir process, ar kuru eksportētais civilās aeronavigācijas ražojums no vienas Puses civilās aviācijas drošības regulatīvās sistēmas tiek saņemts otras Puses civilās aviācijas </w:t>
      </w:r>
      <w:r>
        <w:rPr>
          <w:noProof/>
        </w:rPr>
        <w:t>drošības regulatīvajā sistēmā;</w:t>
      </w:r>
    </w:p>
    <w:p w:rsidR="003E022D" w:rsidRDefault="007D19D6">
      <w:pPr>
        <w:numPr>
          <w:ilvl w:val="0"/>
          <w:numId w:val="964"/>
        </w:numPr>
        <w:ind w:left="567" w:hanging="567"/>
        <w:rPr>
          <w:rFonts w:cstheme="minorHAnsi"/>
          <w:noProof/>
        </w:rPr>
      </w:pPr>
      <w:r>
        <w:rPr>
          <w:noProof/>
        </w:rPr>
        <w:t>“importētāja Puse” ir Puse, kuras civilās aviācijas drošības regulatīvajā sistēmā civilās aeronavigācijas ražojums tiek saņemts;</w:t>
      </w:r>
    </w:p>
    <w:p w:rsidR="003E022D" w:rsidRDefault="007D19D6">
      <w:pPr>
        <w:numPr>
          <w:ilvl w:val="0"/>
          <w:numId w:val="964"/>
        </w:numPr>
        <w:ind w:left="567" w:hanging="567"/>
        <w:rPr>
          <w:rFonts w:cstheme="minorHAnsi"/>
          <w:noProof/>
        </w:rPr>
      </w:pPr>
      <w:r>
        <w:rPr>
          <w:noProof/>
        </w:rPr>
        <w:t>“lielas izmaiņas” ir visas tipa konstrukcijas izmaiņas, kas nav “nelielas izmaiņas”;</w:t>
      </w:r>
    </w:p>
    <w:p w:rsidR="003E022D" w:rsidRDefault="007D19D6">
      <w:pPr>
        <w:numPr>
          <w:ilvl w:val="0"/>
          <w:numId w:val="964"/>
        </w:numPr>
        <w:ind w:left="567" w:hanging="567"/>
        <w:rPr>
          <w:rFonts w:cstheme="minorHAnsi"/>
          <w:noProof/>
        </w:rPr>
      </w:pPr>
      <w:r>
        <w:rPr>
          <w:noProof/>
        </w:rPr>
        <w:t>“nelielas i</w:t>
      </w:r>
      <w:r>
        <w:rPr>
          <w:noProof/>
        </w:rPr>
        <w:t>zmaiņas” ir tipa konstrukcijas izmaiņas, kam nav ievērojamas ietekmes uz masu, līdzsvaru, konstrukcijas stiprību, izturību, ekspluatācijas rādītājiem, ekoloģiskajiem rādītājiem vai citiem rādītājiem, kuri ietekmē civilās aeronavigācijas ražojuma lidojumder</w:t>
      </w:r>
      <w:r>
        <w:rPr>
          <w:noProof/>
        </w:rPr>
        <w:t>īgumu;</w:t>
      </w:r>
    </w:p>
    <w:p w:rsidR="003E022D" w:rsidRDefault="007D19D6">
      <w:pPr>
        <w:numPr>
          <w:ilvl w:val="0"/>
          <w:numId w:val="964"/>
        </w:numPr>
        <w:ind w:left="567" w:hanging="567"/>
        <w:rPr>
          <w:rFonts w:cstheme="minorHAnsi"/>
          <w:noProof/>
        </w:rPr>
      </w:pPr>
      <w:r>
        <w:rPr>
          <w:noProof/>
        </w:rPr>
        <w:t>“dati par piemērotību ekspluatācijai” ir datu kopums, kas vajadzīgs, lai atbalstītu un ļautu īstenot ekspluatācijas aspektus, kas ir specifiski konkrētiem gaisa kuģu tipiem, kuri tiek reglamentēti saskaņā ar Savienības vai Apvienotās Karalistes civi</w:t>
      </w:r>
      <w:r>
        <w:rPr>
          <w:noProof/>
        </w:rPr>
        <w:t>lās aviācijas drošības regulatīvo sistēmu. Tas jāizstrādā gaisa kuģa tipa sertifikāta pieteikuma iesniedzējam vai turētājam, un tam jābūt daļai no tipa sertifikāta. Saskaņā ar Savienības vai Apvienotās Karalistes civilās aviācijas drošības regulatīvo sistē</w:t>
      </w:r>
      <w:r>
        <w:rPr>
          <w:noProof/>
        </w:rPr>
        <w:t>mu tipa sertifikāta vai ierobežota tipa sertifikāta sākotnējā pieteikumā iekļauj vai tam pēcāk pievieno pieteikumu, ar ko lūdz apstiprināt datus par piemērotību ekspluatācijai, kuri attiecas uz gaisa kuģa tipu;</w:t>
      </w:r>
    </w:p>
    <w:p w:rsidR="003E022D" w:rsidRDefault="007D19D6">
      <w:pPr>
        <w:numPr>
          <w:ilvl w:val="0"/>
          <w:numId w:val="964"/>
        </w:numPr>
        <w:ind w:left="567" w:hanging="567"/>
        <w:rPr>
          <w:rFonts w:cstheme="minorHAnsi"/>
          <w:noProof/>
        </w:rPr>
      </w:pPr>
      <w:r>
        <w:rPr>
          <w:noProof/>
        </w:rPr>
        <w:t>“ražošanas apstiprinājums” ir sertifikāts, ko</w:t>
      </w:r>
      <w:r>
        <w:rPr>
          <w:noProof/>
        </w:rPr>
        <w:t xml:space="preserve"> Puses kompetentā iestāde izdevusi ražotājam, kurš ražo civilās aeronavigācijas ražojumus, kā apliecinājumu tam, ka ražotājs ievēro piemērojamās prasības, kas minētās Puses normatīvajos un administratīvajos aktos noteiktas attiecībā uz konkrētu civilo aero</w:t>
      </w:r>
      <w:r>
        <w:rPr>
          <w:noProof/>
        </w:rPr>
        <w:t>navigācijas ražojumu ražošanu;</w:t>
      </w:r>
    </w:p>
    <w:p w:rsidR="003E022D" w:rsidRDefault="007D19D6">
      <w:pPr>
        <w:numPr>
          <w:ilvl w:val="0"/>
          <w:numId w:val="964"/>
        </w:numPr>
        <w:ind w:left="567" w:hanging="567"/>
        <w:rPr>
          <w:rFonts w:cstheme="minorHAnsi"/>
          <w:noProof/>
        </w:rPr>
      </w:pPr>
      <w:r>
        <w:rPr>
          <w:noProof/>
        </w:rPr>
        <w:t>“tehniskās īstenošanas procedūras” ir šā pielikuma īstenošanas procedūras, ko Pušu tehniskie pārstāvji ir izstrādājuši saskaņā ar šā nolīguma AVSAF.3. panta [Darbības joma un īstenošana] 5. punktu,</w:t>
      </w:r>
    </w:p>
    <w:p w:rsidR="003E022D" w:rsidRDefault="007D19D6">
      <w:pPr>
        <w:numPr>
          <w:ilvl w:val="0"/>
          <w:numId w:val="964"/>
        </w:numPr>
        <w:ind w:left="567" w:hanging="567"/>
        <w:rPr>
          <w:rFonts w:cstheme="minorHAnsi"/>
          <w:noProof/>
        </w:rPr>
      </w:pPr>
      <w:r>
        <w:rPr>
          <w:noProof/>
        </w:rPr>
        <w:t>“apstiprinātājiestāde” ir i</w:t>
      </w:r>
      <w:r>
        <w:rPr>
          <w:noProof/>
        </w:rPr>
        <w:t xml:space="preserve">mportētājas Puses tehniskais pārstāvis, kas atzīst vai apstiprina šajā pielikumā norādītos konstrukcijas sertifikātus, ko izdevusi sertificētājiestāde, </w:t>
      </w:r>
    </w:p>
    <w:p w:rsidR="003E022D" w:rsidRDefault="007D19D6">
      <w:pPr>
        <w:pStyle w:val="Section"/>
        <w:rPr>
          <w:noProof/>
        </w:rPr>
      </w:pPr>
      <w:r>
        <w:rPr>
          <w:noProof/>
        </w:rPr>
        <w:t>B IEDAĻA. Sertifikācijas uzraudzības padome</w:t>
      </w:r>
    </w:p>
    <w:p w:rsidR="003E022D" w:rsidRDefault="007D19D6">
      <w:pPr>
        <w:pStyle w:val="Article"/>
        <w:rPr>
          <w:noProof/>
        </w:rPr>
      </w:pPr>
      <w:r>
        <w:rPr>
          <w:noProof/>
        </w:rPr>
        <w:t>3. pants. Izveide un sastāvs</w:t>
      </w:r>
    </w:p>
    <w:p w:rsidR="003E022D" w:rsidRDefault="007D19D6">
      <w:pPr>
        <w:rPr>
          <w:rFonts w:cstheme="minorHAnsi"/>
          <w:noProof/>
        </w:rPr>
      </w:pPr>
      <w:r>
        <w:rPr>
          <w:noProof/>
        </w:rPr>
        <w:t>1.</w:t>
      </w:r>
      <w:r>
        <w:rPr>
          <w:noProof/>
        </w:rPr>
        <w:tab/>
        <w:t>Ar šo tiek izveidota Sertif</w:t>
      </w:r>
      <w:r>
        <w:rPr>
          <w:noProof/>
        </w:rPr>
        <w:t>ikācijas uzraudzības padome, kas ir atbildīga Specializētajai komitejai aviācijas drošības jomā un ko kopīgi vada Pušu tehniskie pārstāvji; padome ir tehniskas koordinācijas struktūra, kas ir atbildīga par šā pielikuma efektīvu īstenošanu. Tajā ir pārstāvē</w:t>
      </w:r>
      <w:r>
        <w:rPr>
          <w:noProof/>
        </w:rPr>
        <w:t>ti katras Puses tehniskie pārstāvji, un, lai veicinātu tās pilnvaru īstenošanu, tajā var uzaicināt papildu dalībniekus.</w:t>
      </w:r>
    </w:p>
    <w:p w:rsidR="003E022D" w:rsidRDefault="007D19D6">
      <w:pPr>
        <w:rPr>
          <w:rFonts w:cstheme="minorHAnsi"/>
          <w:noProof/>
        </w:rPr>
      </w:pPr>
      <w:r>
        <w:rPr>
          <w:noProof/>
        </w:rPr>
        <w:t>2.</w:t>
      </w:r>
      <w:r>
        <w:rPr>
          <w:noProof/>
        </w:rPr>
        <w:tab/>
        <w:t>Sertifikācijas uzraudzības padome regulāri sanāk pēc viena vai otra tehniskā pārstāvja pieprasījuma un pieņem lēmumus un sniedz ietei</w:t>
      </w:r>
      <w:r>
        <w:rPr>
          <w:noProof/>
        </w:rPr>
        <w:t>kumus vienprātīgi. Tā izstrādā un pieņem savu reglamentu.</w:t>
      </w:r>
    </w:p>
    <w:p w:rsidR="003E022D" w:rsidRDefault="007D19D6">
      <w:pPr>
        <w:pStyle w:val="Article"/>
        <w:rPr>
          <w:noProof/>
        </w:rPr>
      </w:pPr>
      <w:r>
        <w:rPr>
          <w:noProof/>
        </w:rPr>
        <w:t>4. pants. Pilnvaras</w:t>
      </w:r>
    </w:p>
    <w:p w:rsidR="003E022D" w:rsidRDefault="007D19D6">
      <w:pPr>
        <w:rPr>
          <w:rFonts w:cstheme="minorHAnsi"/>
          <w:noProof/>
        </w:rPr>
      </w:pPr>
      <w:r>
        <w:rPr>
          <w:noProof/>
        </w:rPr>
        <w:t>Sertifikācijas uzraudzības padomes pilnvaras jo īpaši ietver:</w:t>
      </w:r>
    </w:p>
    <w:p w:rsidR="003E022D" w:rsidRDefault="007D19D6">
      <w:pPr>
        <w:numPr>
          <w:ilvl w:val="0"/>
          <w:numId w:val="965"/>
        </w:numPr>
        <w:ind w:left="567" w:hanging="567"/>
        <w:rPr>
          <w:rFonts w:cstheme="minorHAnsi"/>
          <w:noProof/>
        </w:rPr>
      </w:pPr>
      <w:r>
        <w:rPr>
          <w:noProof/>
        </w:rPr>
        <w:t>6. pantā [Tehniskās īstenošanas procedūras] minēto tehniskās īstenošanas procedūru izstrādi, pieņemšanu un pārskatīš</w:t>
      </w:r>
      <w:r>
        <w:rPr>
          <w:noProof/>
        </w:rPr>
        <w:t>anu;</w:t>
      </w:r>
    </w:p>
    <w:p w:rsidR="003E022D" w:rsidRDefault="007D19D6">
      <w:pPr>
        <w:numPr>
          <w:ilvl w:val="0"/>
          <w:numId w:val="965"/>
        </w:numPr>
        <w:ind w:left="567" w:hanging="567"/>
        <w:rPr>
          <w:rFonts w:cstheme="minorHAnsi"/>
          <w:noProof/>
        </w:rPr>
      </w:pPr>
      <w:r>
        <w:rPr>
          <w:noProof/>
        </w:rPr>
        <w:t>informācijas apmaiņu par būtiskām bažām par drošību un, attiecīgā gadījumā, rīcības plānu izstrādi minēto bažu risināšanai;</w:t>
      </w:r>
    </w:p>
    <w:p w:rsidR="003E022D" w:rsidRDefault="007D19D6">
      <w:pPr>
        <w:numPr>
          <w:ilvl w:val="0"/>
          <w:numId w:val="965"/>
        </w:numPr>
        <w:ind w:left="567" w:hanging="567"/>
        <w:rPr>
          <w:rFonts w:cstheme="minorHAnsi"/>
          <w:noProof/>
        </w:rPr>
      </w:pPr>
      <w:r>
        <w:rPr>
          <w:noProof/>
        </w:rPr>
        <w:t>tādu tehnisku jautājumu risināšanu, kas ietilpst kompetento iestāžu pienākumos un ietekmē šā pielikuma īstenošanu;</w:t>
      </w:r>
    </w:p>
    <w:p w:rsidR="003E022D" w:rsidRDefault="007D19D6">
      <w:pPr>
        <w:numPr>
          <w:ilvl w:val="0"/>
          <w:numId w:val="965"/>
        </w:numPr>
        <w:ind w:left="567" w:hanging="567"/>
        <w:rPr>
          <w:rFonts w:cstheme="minorHAnsi"/>
          <w:noProof/>
        </w:rPr>
      </w:pPr>
      <w:r>
        <w:rPr>
          <w:noProof/>
        </w:rPr>
        <w:t>attiecīgā ga</w:t>
      </w:r>
      <w:r>
        <w:rPr>
          <w:noProof/>
        </w:rPr>
        <w:t>dījumā efektīvu sadarbības, tehniskajā atbalsta un informācijas apmaiņas līdzekļu izstrādi attiecībā uz drošības un vides aizsardzības prasībām, sertifikācijas sistēmām, kvalitātes vadības un standartizācijas sistēmām;</w:t>
      </w:r>
    </w:p>
    <w:p w:rsidR="003E022D" w:rsidRDefault="007D19D6">
      <w:pPr>
        <w:numPr>
          <w:ilvl w:val="0"/>
          <w:numId w:val="965"/>
        </w:numPr>
        <w:ind w:left="567" w:hanging="567"/>
        <w:rPr>
          <w:rFonts w:cstheme="minorHAnsi"/>
          <w:noProof/>
        </w:rPr>
      </w:pPr>
      <w:r>
        <w:rPr>
          <w:noProof/>
        </w:rPr>
        <w:t>konstrukcijas sertifikātu apstiprināš</w:t>
      </w:r>
      <w:r>
        <w:rPr>
          <w:noProof/>
        </w:rPr>
        <w:t>anas vai atzīšanas kārtības periodisku pārskatīšanu, kā izklāstīts 10. pantā [Konstrukcijas sertifikātu apstiprināšanas kārtība]un 13. pantā [Atzīšana];</w:t>
      </w:r>
    </w:p>
    <w:p w:rsidR="003E022D" w:rsidRDefault="007D19D6">
      <w:pPr>
        <w:numPr>
          <w:ilvl w:val="0"/>
          <w:numId w:val="965"/>
        </w:numPr>
        <w:ind w:left="567" w:hanging="567"/>
        <w:rPr>
          <w:rFonts w:cstheme="minorHAnsi"/>
          <w:noProof/>
        </w:rPr>
      </w:pPr>
      <w:r>
        <w:rPr>
          <w:noProof/>
        </w:rPr>
        <w:t>grozījumu ierosināšanu šajā pielikumā Specializētajai komitejai aviācijas drošības jomā;</w:t>
      </w:r>
    </w:p>
    <w:p w:rsidR="003E022D" w:rsidRDefault="007D19D6">
      <w:pPr>
        <w:numPr>
          <w:ilvl w:val="0"/>
          <w:numId w:val="965"/>
        </w:numPr>
        <w:ind w:left="567" w:hanging="567"/>
        <w:rPr>
          <w:rFonts w:cstheme="minorHAnsi"/>
          <w:noProof/>
        </w:rPr>
      </w:pPr>
      <w:r>
        <w:rPr>
          <w:noProof/>
        </w:rPr>
        <w:t xml:space="preserve">procedūru </w:t>
      </w:r>
      <w:r>
        <w:rPr>
          <w:noProof/>
        </w:rPr>
        <w:t>noteikšanu saskaņā ar 29. pantu [Kompetento iestāžu kvalifikācijas uzturēšana] nolūkā nodrošināt katras Puses pastāvīgu pārliecību par otras Puses atbilstības atzinumu procesu uzticamību;</w:t>
      </w:r>
    </w:p>
    <w:p w:rsidR="003E022D" w:rsidRDefault="007D19D6">
      <w:pPr>
        <w:numPr>
          <w:ilvl w:val="0"/>
          <w:numId w:val="965"/>
        </w:numPr>
        <w:ind w:left="567" w:hanging="567"/>
        <w:rPr>
          <w:rFonts w:cstheme="minorHAnsi"/>
          <w:noProof/>
        </w:rPr>
      </w:pPr>
      <w:r>
        <w:rPr>
          <w:noProof/>
        </w:rPr>
        <w:t>analīzi un rīcību saistībā ar g) apakšpunktā minēto procedūru īsteno</w:t>
      </w:r>
      <w:r>
        <w:rPr>
          <w:noProof/>
        </w:rPr>
        <w:t>šanu; un</w:t>
      </w:r>
    </w:p>
    <w:p w:rsidR="003E022D" w:rsidRDefault="007D19D6">
      <w:pPr>
        <w:numPr>
          <w:ilvl w:val="0"/>
          <w:numId w:val="965"/>
        </w:numPr>
        <w:ind w:left="567" w:hanging="567"/>
        <w:rPr>
          <w:rFonts w:cstheme="minorHAnsi"/>
          <w:noProof/>
        </w:rPr>
      </w:pPr>
      <w:r>
        <w:rPr>
          <w:noProof/>
        </w:rPr>
        <w:t>ziņošanu par neatrisinātiem jautājumiem Specializētajai komitejai aviācijas drošības jomā un nodrošināšanu, ka tiek īstenoti lēmumi, ko Specializētā komiteja aviācijas drošības jomā pieņēmusi attiecībā uz šo pielikumu.</w:t>
      </w:r>
    </w:p>
    <w:p w:rsidR="003E022D" w:rsidRDefault="007D19D6">
      <w:pPr>
        <w:pStyle w:val="Section"/>
        <w:rPr>
          <w:noProof/>
        </w:rPr>
      </w:pPr>
      <w:r>
        <w:rPr>
          <w:noProof/>
        </w:rPr>
        <w:t>C IEDAĻA. Īstenošana</w:t>
      </w:r>
    </w:p>
    <w:p w:rsidR="003E022D" w:rsidRDefault="007D19D6">
      <w:pPr>
        <w:pStyle w:val="Article"/>
        <w:rPr>
          <w:noProof/>
        </w:rPr>
      </w:pPr>
      <w:r>
        <w:rPr>
          <w:noProof/>
        </w:rPr>
        <w:t>5. pant</w:t>
      </w:r>
      <w:r>
        <w:rPr>
          <w:noProof/>
        </w:rPr>
        <w:t>s. Kompetentās iestādes konstrukcijas sertifikācijas, ražošanas sertifikācijas un eksporta sertifikātu jomā</w:t>
      </w:r>
    </w:p>
    <w:p w:rsidR="003E022D" w:rsidRDefault="007D19D6">
      <w:pPr>
        <w:rPr>
          <w:rFonts w:cstheme="minorHAnsi"/>
          <w:noProof/>
        </w:rPr>
      </w:pPr>
      <w:r>
        <w:rPr>
          <w:noProof/>
        </w:rPr>
        <w:t>1.</w:t>
      </w:r>
      <w:r>
        <w:rPr>
          <w:noProof/>
        </w:rPr>
        <w:tab/>
        <w:t>Kompetentās iestādes konstrukcijas sertifikācijas jomā ir:</w:t>
      </w:r>
    </w:p>
    <w:p w:rsidR="003E022D" w:rsidRDefault="007D19D6">
      <w:pPr>
        <w:numPr>
          <w:ilvl w:val="0"/>
          <w:numId w:val="966"/>
        </w:numPr>
        <w:ind w:left="567" w:hanging="567"/>
        <w:rPr>
          <w:rFonts w:cstheme="minorHAnsi"/>
          <w:noProof/>
        </w:rPr>
      </w:pPr>
      <w:r>
        <w:rPr>
          <w:noProof/>
        </w:rPr>
        <w:t>Savienībai : Eiropas Savienības Aviācijas drošības aģentūra un</w:t>
      </w:r>
    </w:p>
    <w:p w:rsidR="003E022D" w:rsidRDefault="007D19D6">
      <w:pPr>
        <w:numPr>
          <w:ilvl w:val="0"/>
          <w:numId w:val="966"/>
        </w:numPr>
        <w:ind w:left="567" w:hanging="567"/>
        <w:rPr>
          <w:rFonts w:cstheme="minorHAnsi"/>
          <w:noProof/>
        </w:rPr>
      </w:pPr>
      <w:r>
        <w:rPr>
          <w:noProof/>
        </w:rPr>
        <w:t>Apvienotajai Karalistei</w:t>
      </w:r>
      <w:r>
        <w:rPr>
          <w:noProof/>
        </w:rPr>
        <w:t>: Apvienotās Karalistes Civilās aviācijas iestāde.</w:t>
      </w:r>
    </w:p>
    <w:p w:rsidR="003E022D" w:rsidRDefault="007D19D6">
      <w:pPr>
        <w:rPr>
          <w:noProof/>
        </w:rPr>
      </w:pPr>
      <w:r>
        <w:rPr>
          <w:noProof/>
        </w:rPr>
        <w:t>2.</w:t>
      </w:r>
      <w:r>
        <w:rPr>
          <w:noProof/>
        </w:rPr>
        <w:tab/>
        <w:t>Kompetentās iestādes ražošanas sertifikācijas un eksporta sertifikātu jomā ir:</w:t>
      </w:r>
    </w:p>
    <w:p w:rsidR="003E022D" w:rsidRDefault="007D19D6">
      <w:pPr>
        <w:numPr>
          <w:ilvl w:val="0"/>
          <w:numId w:val="967"/>
        </w:numPr>
        <w:ind w:left="567" w:hanging="567"/>
        <w:rPr>
          <w:rFonts w:cstheme="minorHAnsi"/>
          <w:noProof/>
        </w:rPr>
      </w:pPr>
      <w:r>
        <w:rPr>
          <w:noProof/>
        </w:rPr>
        <w:t>Savienībai : Eiropas Aviācijas drošības aģentūra un dalībvalstu kompetentās iestādes. Kompetentā iestāde attiecībā uz lieto</w:t>
      </w:r>
      <w:r>
        <w:rPr>
          <w:noProof/>
        </w:rPr>
        <w:t>ta gaisa kuģa eksporta sertifikātu ir tās gaisa kuģa reģistrācijas valsts kompetentā iestāde, no kuras gaisa kuģis ir eksportēts, un</w:t>
      </w:r>
    </w:p>
    <w:p w:rsidR="003E022D" w:rsidRDefault="007D19D6">
      <w:pPr>
        <w:numPr>
          <w:ilvl w:val="0"/>
          <w:numId w:val="967"/>
        </w:numPr>
        <w:ind w:left="567" w:hanging="567"/>
        <w:rPr>
          <w:bCs/>
          <w:noProof/>
          <w:sz w:val="24"/>
          <w:szCs w:val="24"/>
        </w:rPr>
      </w:pPr>
      <w:r>
        <w:rPr>
          <w:noProof/>
        </w:rPr>
        <w:t>Apvienotajai Karalistei: Apvienotās Karalistes Civilās aviācijas iestāde (</w:t>
      </w:r>
      <w:r>
        <w:rPr>
          <w:i/>
          <w:noProof/>
        </w:rPr>
        <w:t>CAA</w:t>
      </w:r>
      <w:r>
        <w:rPr>
          <w:noProof/>
        </w:rPr>
        <w:t>).</w:t>
      </w:r>
    </w:p>
    <w:p w:rsidR="003E022D" w:rsidRDefault="007D19D6">
      <w:pPr>
        <w:pStyle w:val="Article"/>
        <w:rPr>
          <w:noProof/>
        </w:rPr>
      </w:pPr>
      <w:r>
        <w:rPr>
          <w:noProof/>
        </w:rPr>
        <w:t>6. pants. Tehniskās īstenošanas procedūras</w:t>
      </w:r>
    </w:p>
    <w:p w:rsidR="003E022D" w:rsidRDefault="007D19D6">
      <w:pPr>
        <w:rPr>
          <w:rFonts w:cstheme="minorHAnsi"/>
          <w:noProof/>
        </w:rPr>
      </w:pPr>
      <w:r>
        <w:rPr>
          <w:noProof/>
        </w:rPr>
        <w:t>1.</w:t>
      </w:r>
      <w:r>
        <w:rPr>
          <w:noProof/>
        </w:rPr>
        <w:tab/>
        <w:t>Lai nodrošinātu īpašas procedūras, kas atvieglo šā pielikuma īstenošanu, Pušu tehniskie pārstāvji Sertifikācijas uzraudzības padomē izstrādā tehniskās īstenošanas procedūras, nosakot procedūras saziņai starp Pušu kompetentajām iestādēm.</w:t>
      </w:r>
    </w:p>
    <w:p w:rsidR="003E022D" w:rsidRDefault="007D19D6">
      <w:pPr>
        <w:rPr>
          <w:rFonts w:cstheme="minorHAnsi"/>
          <w:noProof/>
        </w:rPr>
      </w:pPr>
      <w:r>
        <w:rPr>
          <w:noProof/>
        </w:rPr>
        <w:t>2.</w:t>
      </w:r>
      <w:r>
        <w:rPr>
          <w:noProof/>
        </w:rPr>
        <w:tab/>
        <w:t>Tehniskās īst</w:t>
      </w:r>
      <w:r>
        <w:rPr>
          <w:noProof/>
        </w:rPr>
        <w:t>enošanas procedūrās arī izskata atšķirības starp Pušu civilās aviācijas standartiem, noteikumiem, praksi, procedūrām un sistēmām saistībā ar šā pielikuma īstenošanu, kā paredzēts šā nolīguma AVSAF.3. panta [Darbības joma un īstenošana] 5. punktā.</w:t>
      </w:r>
    </w:p>
    <w:p w:rsidR="003E022D" w:rsidRDefault="007D19D6">
      <w:pPr>
        <w:pStyle w:val="Article"/>
        <w:rPr>
          <w:noProof/>
        </w:rPr>
      </w:pPr>
      <w:r>
        <w:rPr>
          <w:noProof/>
        </w:rPr>
        <w:t>7. pants.</w:t>
      </w:r>
      <w:r>
        <w:rPr>
          <w:noProof/>
        </w:rPr>
        <w:t xml:space="preserve"> Konfidenciālu datu un īpašumtiesību datu un informācijas apmaiņa un aizsardzība</w:t>
      </w:r>
    </w:p>
    <w:p w:rsidR="003E022D" w:rsidRDefault="007D19D6">
      <w:pPr>
        <w:rPr>
          <w:rFonts w:cstheme="minorHAnsi"/>
          <w:noProof/>
        </w:rPr>
      </w:pPr>
      <w:r>
        <w:rPr>
          <w:noProof/>
        </w:rPr>
        <w:t>1.</w:t>
      </w:r>
      <w:r>
        <w:rPr>
          <w:noProof/>
        </w:rPr>
        <w:tab/>
        <w:t>Uz datiem un informāciju, ar ko apmainās, īstenojot šo pielikumu, attiecas šā nolīguma AVSAF.11. pants [Konfidencialitāte un datu un informācijas aizsardzība].</w:t>
      </w:r>
    </w:p>
    <w:p w:rsidR="003E022D" w:rsidRDefault="007D19D6">
      <w:pPr>
        <w:rPr>
          <w:rFonts w:cstheme="minorHAnsi"/>
          <w:noProof/>
        </w:rPr>
      </w:pPr>
      <w:r>
        <w:rPr>
          <w:noProof/>
        </w:rPr>
        <w:t>2.</w:t>
      </w:r>
      <w:r>
        <w:rPr>
          <w:noProof/>
        </w:rPr>
        <w:tab/>
        <w:t>Apstiprin</w:t>
      </w:r>
      <w:r>
        <w:rPr>
          <w:noProof/>
        </w:rPr>
        <w:t>āšanas procesa laikā datu un informācijas apmaiņa veida un satura ziņā aprobežojas tikai ar to, kas ir nepieciešams, lai pierādītu atbilstību piemērojamajām tehniskajām prasībām, kā sīki izklāstīts tehniskās īstenošanas procedūrās.</w:t>
      </w:r>
    </w:p>
    <w:p w:rsidR="003E022D" w:rsidRDefault="007D19D6">
      <w:pPr>
        <w:rPr>
          <w:rFonts w:cstheme="minorHAnsi"/>
          <w:noProof/>
        </w:rPr>
      </w:pPr>
      <w:r>
        <w:rPr>
          <w:noProof/>
        </w:rPr>
        <w:t>3.</w:t>
      </w:r>
      <w:r>
        <w:rPr>
          <w:noProof/>
        </w:rPr>
        <w:tab/>
        <w:t>Visas domstarpības at</w:t>
      </w:r>
      <w:r>
        <w:rPr>
          <w:noProof/>
        </w:rPr>
        <w:t>tiecībā uz datu un informācijas apmaiņu starp kompetentajām iestādēm izskata, kā sīki izklāstīts tehniskās īstenošanas procedūrās. Katra Puse saglabā tiesības vērsties Sertifikācijas uzraudzības padomē domstarpību izšķiršanai.</w:t>
      </w:r>
    </w:p>
    <w:p w:rsidR="003E022D" w:rsidRDefault="007D19D6">
      <w:pPr>
        <w:pStyle w:val="Section"/>
        <w:rPr>
          <w:noProof/>
        </w:rPr>
      </w:pPr>
      <w:r>
        <w:rPr>
          <w:noProof/>
        </w:rPr>
        <w:t>D IEDAĻA. Konstrukcijas serti</w:t>
      </w:r>
      <w:r>
        <w:rPr>
          <w:noProof/>
        </w:rPr>
        <w:t>fikācija</w:t>
      </w:r>
    </w:p>
    <w:p w:rsidR="003E022D" w:rsidRDefault="007D19D6">
      <w:pPr>
        <w:pStyle w:val="Article"/>
        <w:rPr>
          <w:noProof/>
        </w:rPr>
      </w:pPr>
      <w:r>
        <w:rPr>
          <w:noProof/>
        </w:rPr>
        <w:t>8. pants. Vispārīgi principi</w:t>
      </w:r>
    </w:p>
    <w:p w:rsidR="003E022D" w:rsidRDefault="007D19D6">
      <w:pPr>
        <w:rPr>
          <w:rFonts w:cstheme="minorHAnsi"/>
          <w:noProof/>
        </w:rPr>
      </w:pPr>
      <w:r>
        <w:rPr>
          <w:noProof/>
        </w:rPr>
        <w:t>1.</w:t>
      </w:r>
      <w:r>
        <w:rPr>
          <w:noProof/>
        </w:rPr>
        <w:tab/>
        <w:t>Šī iedaļa attiecas uz visiem konstrukcijas sertifikātiem un attiecīgā gadījumā to izmaiņām šā pielikuma darbības jomā, jo īpaši uz:</w:t>
      </w:r>
    </w:p>
    <w:p w:rsidR="003E022D" w:rsidRDefault="007D19D6">
      <w:pPr>
        <w:numPr>
          <w:ilvl w:val="0"/>
          <w:numId w:val="968"/>
        </w:numPr>
        <w:ind w:left="567" w:hanging="567"/>
        <w:rPr>
          <w:rFonts w:cstheme="minorHAnsi"/>
          <w:noProof/>
        </w:rPr>
      </w:pPr>
      <w:r>
        <w:rPr>
          <w:noProof/>
        </w:rPr>
        <w:t>tipa sertifikātiem, tostarp uz ierobežotajiem tipa sertifikātiem;</w:t>
      </w:r>
    </w:p>
    <w:p w:rsidR="003E022D" w:rsidRDefault="007D19D6">
      <w:pPr>
        <w:numPr>
          <w:ilvl w:val="0"/>
          <w:numId w:val="968"/>
        </w:numPr>
        <w:ind w:left="567" w:hanging="567"/>
        <w:rPr>
          <w:rFonts w:cstheme="minorHAnsi"/>
          <w:noProof/>
        </w:rPr>
      </w:pPr>
      <w:r>
        <w:rPr>
          <w:noProof/>
        </w:rPr>
        <w:t xml:space="preserve">papildu tipa </w:t>
      </w:r>
      <w:r>
        <w:rPr>
          <w:noProof/>
        </w:rPr>
        <w:t>sertifikātiem;</w:t>
      </w:r>
    </w:p>
    <w:p w:rsidR="003E022D" w:rsidRDefault="007D19D6">
      <w:pPr>
        <w:numPr>
          <w:ilvl w:val="0"/>
          <w:numId w:val="968"/>
        </w:numPr>
        <w:ind w:left="567" w:hanging="567"/>
        <w:rPr>
          <w:rFonts w:cstheme="minorHAnsi"/>
          <w:noProof/>
        </w:rPr>
      </w:pPr>
      <w:r>
        <w:rPr>
          <w:noProof/>
        </w:rPr>
        <w:t>remonta projektu apstiprinājumiem; un</w:t>
      </w:r>
    </w:p>
    <w:p w:rsidR="003E022D" w:rsidRDefault="007D19D6">
      <w:pPr>
        <w:numPr>
          <w:ilvl w:val="0"/>
          <w:numId w:val="968"/>
        </w:numPr>
        <w:ind w:left="567" w:hanging="567"/>
        <w:rPr>
          <w:rFonts w:cstheme="minorHAnsi"/>
          <w:noProof/>
        </w:rPr>
      </w:pPr>
      <w:r>
        <w:rPr>
          <w:noProof/>
        </w:rPr>
        <w:t>tehnisko standartu prasību atļaujām.</w:t>
      </w:r>
    </w:p>
    <w:p w:rsidR="003E022D" w:rsidRDefault="007D19D6">
      <w:pPr>
        <w:rPr>
          <w:rFonts w:cstheme="minorHAnsi"/>
          <w:noProof/>
        </w:rPr>
      </w:pPr>
      <w:r>
        <w:rPr>
          <w:noProof/>
        </w:rPr>
        <w:t>2.</w:t>
      </w:r>
      <w:r>
        <w:rPr>
          <w:noProof/>
        </w:rPr>
        <w:tab/>
        <w:t>Apstiprinātājiestāde vai nu apstiprina, ņemot vērā 12. pantā [Apstiprinātājiestādes iesaistes pakāpe] minēto iesaistes pakāpi, vai atzīst konstrukcijas sertifikātu</w:t>
      </w:r>
      <w:r>
        <w:rPr>
          <w:noProof/>
        </w:rPr>
        <w:t xml:space="preserve"> vai izmaiņas, ko sertificētājiestāde izdevusi vai apstiprinājusi, vai arī izdod vai apstiprina saskaņā ar šajā pielikumā izklāstītajiem noteikumiem un nosacījumiem un, kā sīki izklāstīts tehniskās īstenošanas procedūrās, tostarp tās sertifikātu atzīšanas </w:t>
      </w:r>
      <w:r>
        <w:rPr>
          <w:noProof/>
        </w:rPr>
        <w:t>un apstiprināšanas kārtībā.</w:t>
      </w:r>
    </w:p>
    <w:p w:rsidR="003E022D" w:rsidRDefault="007D19D6">
      <w:pPr>
        <w:rPr>
          <w:rFonts w:cstheme="minorHAnsi"/>
          <w:noProof/>
        </w:rPr>
      </w:pPr>
      <w:r>
        <w:rPr>
          <w:noProof/>
        </w:rPr>
        <w:t>3.</w:t>
      </w:r>
      <w:r>
        <w:rPr>
          <w:noProof/>
        </w:rPr>
        <w:tab/>
        <w:t>Lai īstenotu šo pielikumu, katra Puse nodrošina, ka tās civilās aviācijas drošības regulatīvajā sistēmā jebkuras konstruēšanas organizācijas spēja pildīt savus pienākumus tiek pietiekami kontrolēta, izmantojot konstruēšanas o</w:t>
      </w:r>
      <w:r>
        <w:rPr>
          <w:noProof/>
        </w:rPr>
        <w:t>rganizāciju sertifikācijas sistēmu.</w:t>
      </w:r>
    </w:p>
    <w:p w:rsidR="003E022D" w:rsidRDefault="007D19D6">
      <w:pPr>
        <w:pStyle w:val="Article"/>
        <w:rPr>
          <w:noProof/>
        </w:rPr>
      </w:pPr>
      <w:r>
        <w:rPr>
          <w:noProof/>
        </w:rPr>
        <w:t>9. pants. Apstiprināšanas process</w:t>
      </w:r>
    </w:p>
    <w:p w:rsidR="003E022D" w:rsidRDefault="007D19D6">
      <w:pPr>
        <w:rPr>
          <w:rFonts w:cstheme="minorHAnsi"/>
          <w:noProof/>
        </w:rPr>
      </w:pPr>
      <w:r>
        <w:rPr>
          <w:noProof/>
        </w:rPr>
        <w:t>1.</w:t>
      </w:r>
      <w:r>
        <w:rPr>
          <w:noProof/>
        </w:rPr>
        <w:tab/>
        <w:t>Civilās aeronavigācijas ražojuma konstrukcijas sertifikāta apstiprināšanas pieteikumu apstiprinātājiestādei iesniedz ar sertificētājiestādes starpniecību, kā sīki izklāstīts tehniskās</w:t>
      </w:r>
      <w:r>
        <w:rPr>
          <w:noProof/>
        </w:rPr>
        <w:t xml:space="preserve"> īstenošanas procedūrās.</w:t>
      </w:r>
    </w:p>
    <w:p w:rsidR="003E022D" w:rsidRDefault="007D19D6">
      <w:pPr>
        <w:rPr>
          <w:rFonts w:cstheme="minorHAnsi"/>
          <w:noProof/>
        </w:rPr>
      </w:pPr>
      <w:r>
        <w:rPr>
          <w:noProof/>
        </w:rPr>
        <w:t>2.</w:t>
      </w:r>
      <w:r>
        <w:rPr>
          <w:noProof/>
        </w:rPr>
        <w:tab/>
        <w:t>Sertificētājiestāde nodrošina, ka apstiprinātājiestāde saņem visus attiecīgos datus un informāciju, kas vajadzīgi konstrukcijas sertifikāta apstiprināšanai, kā sīki izklāstīts tehniskās īstenošanas procedūrās.</w:t>
      </w:r>
    </w:p>
    <w:p w:rsidR="003E022D" w:rsidRDefault="007D19D6">
      <w:pPr>
        <w:rPr>
          <w:rFonts w:cstheme="minorHAnsi"/>
          <w:noProof/>
        </w:rPr>
      </w:pPr>
      <w:r>
        <w:rPr>
          <w:noProof/>
        </w:rPr>
        <w:t>3.</w:t>
      </w:r>
      <w:r>
        <w:rPr>
          <w:noProof/>
        </w:rPr>
        <w:tab/>
        <w:t>Saņēmusi konstr</w:t>
      </w:r>
      <w:r>
        <w:rPr>
          <w:noProof/>
        </w:rPr>
        <w:t>ukcijas sertifikāta apstiprināšanas pieteikumu, apstiprinātājiestāde nosaka sertifikācijas pamatu apstiprināšanai saskaņā ar 11. pantu [Sertifikācijas pamats apstiprināšanai], kā arī apstiprinātājiestādes iesaistes pakāpi apstiprināšanas procesā saskaņā ar</w:t>
      </w:r>
      <w:r>
        <w:rPr>
          <w:noProof/>
        </w:rPr>
        <w:t xml:space="preserve"> 12. pantu [Apstiprinātājiestādes iesaistes pakāpe].</w:t>
      </w:r>
    </w:p>
    <w:p w:rsidR="003E022D" w:rsidRDefault="007D19D6">
      <w:pPr>
        <w:rPr>
          <w:rFonts w:cstheme="minorHAnsi"/>
          <w:noProof/>
        </w:rPr>
      </w:pPr>
      <w:r>
        <w:rPr>
          <w:noProof/>
        </w:rPr>
        <w:t>4.</w:t>
      </w:r>
      <w:r>
        <w:rPr>
          <w:noProof/>
        </w:rPr>
        <w:tab/>
        <w:t>Apstiprinātājiestāde, kā sīki izklāstīts tehniskās īstenošanas procedūrās, apstiprināšanā pēc iespējas lielākā mērā balstās uz sertificētājiestādes sagatavotajiem un veiktajiem tehniskajiem izvērtējum</w:t>
      </w:r>
      <w:r>
        <w:rPr>
          <w:noProof/>
        </w:rPr>
        <w:t>iem, testiem, pārbaudēm un atbilstības atzinumiem.</w:t>
      </w:r>
    </w:p>
    <w:p w:rsidR="003E022D" w:rsidRDefault="007D19D6">
      <w:pPr>
        <w:rPr>
          <w:rFonts w:cstheme="minorHAnsi"/>
          <w:noProof/>
        </w:rPr>
      </w:pPr>
      <w:r>
        <w:rPr>
          <w:noProof/>
        </w:rPr>
        <w:t>5.</w:t>
      </w:r>
      <w:r>
        <w:rPr>
          <w:noProof/>
        </w:rPr>
        <w:tab/>
        <w:t>Pēc sertificētājiestādes iesniegto attiecīgo datu un informācijas izskatīšanas apstiprinātājiestāde izdod savu apstiprinātā civilās aeronavigācijas ražojuma konstrukcijas sertifikātu (“apstiprināts kons</w:t>
      </w:r>
      <w:r>
        <w:rPr>
          <w:noProof/>
        </w:rPr>
        <w:t>trukcijas sertifikāts”), ja:</w:t>
      </w:r>
    </w:p>
    <w:p w:rsidR="003E022D" w:rsidRDefault="007D19D6">
      <w:pPr>
        <w:numPr>
          <w:ilvl w:val="0"/>
          <w:numId w:val="969"/>
        </w:numPr>
        <w:ind w:left="567" w:hanging="567"/>
        <w:rPr>
          <w:rFonts w:cstheme="minorHAnsi"/>
          <w:noProof/>
        </w:rPr>
      </w:pPr>
      <w:r>
        <w:rPr>
          <w:noProof/>
        </w:rPr>
        <w:t>ir apstiprināts, ka sertificētājiestāde ir izdevusi pati savu civilās aeronavigācijas ražojuma konstrukcijas sertifikātu;</w:t>
      </w:r>
    </w:p>
    <w:p w:rsidR="003E022D" w:rsidRDefault="007D19D6">
      <w:pPr>
        <w:numPr>
          <w:ilvl w:val="0"/>
          <w:numId w:val="969"/>
        </w:numPr>
        <w:ind w:left="567" w:hanging="567"/>
        <w:rPr>
          <w:rFonts w:cstheme="minorHAnsi"/>
          <w:noProof/>
        </w:rPr>
      </w:pPr>
      <w:r>
        <w:rPr>
          <w:noProof/>
        </w:rPr>
        <w:t xml:space="preserve">sertificētājiestāde ir paziņojusi, ka civilās aeronavigācijas ražojums atbilst 11. pantā [Sertifikācijas </w:t>
      </w:r>
      <w:r>
        <w:rPr>
          <w:noProof/>
        </w:rPr>
        <w:t>pamats apstiprināšanai] minētajam sertifikācijas pamatam;</w:t>
      </w:r>
    </w:p>
    <w:p w:rsidR="003E022D" w:rsidRDefault="007D19D6">
      <w:pPr>
        <w:numPr>
          <w:ilvl w:val="0"/>
          <w:numId w:val="969"/>
        </w:numPr>
        <w:ind w:left="567" w:hanging="567"/>
        <w:rPr>
          <w:rFonts w:cstheme="minorHAnsi"/>
          <w:noProof/>
        </w:rPr>
      </w:pPr>
      <w:r>
        <w:rPr>
          <w:noProof/>
        </w:rPr>
        <w:t>ir atrisināti visi jautājumi, kas radušies apstiprinošās iestādes veiktā apstiprināšanas procesa laikā, un</w:t>
      </w:r>
    </w:p>
    <w:p w:rsidR="003E022D" w:rsidRDefault="007D19D6">
      <w:pPr>
        <w:numPr>
          <w:ilvl w:val="0"/>
          <w:numId w:val="969"/>
        </w:numPr>
        <w:ind w:left="567" w:hanging="567"/>
        <w:rPr>
          <w:bCs/>
          <w:noProof/>
          <w:sz w:val="24"/>
          <w:szCs w:val="24"/>
        </w:rPr>
      </w:pPr>
      <w:r>
        <w:rPr>
          <w:noProof/>
        </w:rPr>
        <w:t>pieteikuma iesniedzējs ir izpildījis papildu administratīvās prasības, kā sīki izklāstīts t</w:t>
      </w:r>
      <w:r>
        <w:rPr>
          <w:noProof/>
        </w:rPr>
        <w:t>ehniskās īstenošanas procedūrās.</w:t>
      </w:r>
    </w:p>
    <w:p w:rsidR="003E022D" w:rsidRDefault="007D19D6">
      <w:pPr>
        <w:rPr>
          <w:rFonts w:cstheme="minorHAnsi"/>
          <w:noProof/>
        </w:rPr>
      </w:pPr>
      <w:r>
        <w:rPr>
          <w:noProof/>
        </w:rPr>
        <w:t>6.</w:t>
      </w:r>
      <w:r>
        <w:rPr>
          <w:noProof/>
        </w:rPr>
        <w:tab/>
        <w:t>Katra Puse nodrošina, ka nolūkā iegūt un saglabāt apstiprinātu konstrukcijas sertifikātu pieteikuma iesniedzējam ir visa attiecīgā konstrukcijas informācija, rasējumi un testu ziņojumi, tostarp sertificētā civilās aerona</w:t>
      </w:r>
      <w:r>
        <w:rPr>
          <w:noProof/>
        </w:rPr>
        <w:t>vigācijas ražojuma pārbaudes dokumentācija, ko tas nodod sertificētājiestādes rīcībā, lai sniegtu informāciju, kas vajadzīga, lai nodrošinātu civilās aeronavigācijas ražojuma pastāvīgu lidojumderīgumu un atbilstību piemērojamajām vides aizsardzības prasībā</w:t>
      </w:r>
      <w:r>
        <w:rPr>
          <w:noProof/>
        </w:rPr>
        <w:t>m.</w:t>
      </w:r>
    </w:p>
    <w:p w:rsidR="003E022D" w:rsidRDefault="007D19D6">
      <w:pPr>
        <w:pStyle w:val="Article"/>
        <w:rPr>
          <w:noProof/>
        </w:rPr>
      </w:pPr>
      <w:r>
        <w:rPr>
          <w:noProof/>
        </w:rPr>
        <w:t>10. pants. Konstrukcijas sertifikātu apstiprināšanas kārtība</w:t>
      </w:r>
    </w:p>
    <w:p w:rsidR="003E022D" w:rsidRDefault="007D19D6">
      <w:pPr>
        <w:rPr>
          <w:rFonts w:cstheme="minorHAnsi"/>
          <w:noProof/>
        </w:rPr>
      </w:pPr>
      <w:r>
        <w:rPr>
          <w:noProof/>
        </w:rPr>
        <w:t>1.</w:t>
      </w:r>
      <w:r>
        <w:rPr>
          <w:noProof/>
        </w:rPr>
        <w:tab/>
        <w:t>Tipa sertifikātus, ko izdevis Savienības kā sertificētājiestādes tehniskais pārstāvis, apstiprina Apvienotās Karalistes kā apstiprinātājiestādes tehniskais pārstāvis. Atzīšana skar šādus da</w:t>
      </w:r>
      <w:r>
        <w:rPr>
          <w:noProof/>
        </w:rPr>
        <w:t xml:space="preserve">tus: </w:t>
      </w:r>
    </w:p>
    <w:p w:rsidR="003E022D" w:rsidRDefault="007D19D6">
      <w:pPr>
        <w:numPr>
          <w:ilvl w:val="0"/>
          <w:numId w:val="970"/>
        </w:numPr>
        <w:ind w:left="567" w:hanging="567"/>
        <w:rPr>
          <w:rFonts w:cstheme="minorHAnsi"/>
          <w:noProof/>
        </w:rPr>
      </w:pPr>
      <w:r>
        <w:rPr>
          <w:noProof/>
        </w:rPr>
        <w:t xml:space="preserve">dzinēja uzstādīšanas rokasgrāmata (dzinēja tipa sertifikātam); </w:t>
      </w:r>
    </w:p>
    <w:p w:rsidR="003E022D" w:rsidRDefault="007D19D6">
      <w:pPr>
        <w:numPr>
          <w:ilvl w:val="0"/>
          <w:numId w:val="970"/>
        </w:numPr>
        <w:ind w:left="567" w:hanging="567"/>
        <w:rPr>
          <w:rFonts w:cstheme="minorHAnsi"/>
          <w:noProof/>
        </w:rPr>
      </w:pPr>
      <w:r>
        <w:rPr>
          <w:noProof/>
        </w:rPr>
        <w:t xml:space="preserve">konstrukcijas remonta rokasgrāmata; </w:t>
      </w:r>
    </w:p>
    <w:p w:rsidR="003E022D" w:rsidRDefault="007D19D6">
      <w:pPr>
        <w:numPr>
          <w:ilvl w:val="0"/>
          <w:numId w:val="970"/>
        </w:numPr>
        <w:ind w:left="567" w:hanging="567"/>
        <w:rPr>
          <w:rFonts w:cstheme="minorHAnsi"/>
          <w:noProof/>
        </w:rPr>
      </w:pPr>
      <w:r>
        <w:rPr>
          <w:noProof/>
        </w:rPr>
        <w:t xml:space="preserve">norādījumi par elektroinstalāciju starpsavienojumu sistēmu lidojumderīguma uzturēšanu un </w:t>
      </w:r>
    </w:p>
    <w:p w:rsidR="003E022D" w:rsidRDefault="007D19D6">
      <w:pPr>
        <w:numPr>
          <w:ilvl w:val="0"/>
          <w:numId w:val="970"/>
        </w:numPr>
        <w:ind w:left="567" w:hanging="567"/>
        <w:rPr>
          <w:rFonts w:cstheme="minorHAnsi"/>
          <w:noProof/>
        </w:rPr>
      </w:pPr>
      <w:r>
        <w:rPr>
          <w:noProof/>
        </w:rPr>
        <w:t xml:space="preserve">masas izsvarojuma rokasgrāmata. </w:t>
      </w:r>
    </w:p>
    <w:p w:rsidR="003E022D" w:rsidRDefault="007D19D6">
      <w:pPr>
        <w:rPr>
          <w:rFonts w:cstheme="minorHAnsi"/>
          <w:noProof/>
        </w:rPr>
      </w:pPr>
      <w:r>
        <w:rPr>
          <w:noProof/>
        </w:rPr>
        <w:t>Izmantojot tehniskās īsten</w:t>
      </w:r>
      <w:r>
        <w:rPr>
          <w:noProof/>
        </w:rPr>
        <w:t>ošanas procedūras, var izstrādāt procedurālo kārtību attiecībā uz attiecīgo datu atzīšanu. Jebkura šāda procedurālā kārtība nedrīkst ietekmēt pirmajā daļā noteikto atzīšanas prasību.</w:t>
      </w:r>
    </w:p>
    <w:p w:rsidR="003E022D" w:rsidRDefault="007D19D6">
      <w:pPr>
        <w:rPr>
          <w:rFonts w:cstheme="minorHAnsi"/>
          <w:noProof/>
        </w:rPr>
      </w:pPr>
      <w:r>
        <w:rPr>
          <w:noProof/>
        </w:rPr>
        <w:t>2.</w:t>
      </w:r>
      <w:r>
        <w:rPr>
          <w:noProof/>
        </w:rPr>
        <w:tab/>
        <w:t>Nozīmīgus papildu tipa sertifikātus un apstiprinājumus nozīmīgām liela</w:t>
      </w:r>
      <w:r>
        <w:rPr>
          <w:noProof/>
        </w:rPr>
        <w:t>jām izmaiņām, ko izdevis Savienības kā sertificētājiestādes tehniskais pārstāvis, apstiprina Apvienotās Karalistes kā apstiprinātājiestādes tehniskais pārstāvis. Principā izmanto racionalizētu apstiprināšanas procesu, kas aprobežojas ar iepazīšanos ar tehn</w:t>
      </w:r>
      <w:r>
        <w:rPr>
          <w:noProof/>
        </w:rPr>
        <w:t>isko informāciju bez apstiprinātājiestādes iesaistīšanās atbilstības pierādīšanas darbībās, ko veic pieteikuma iesniedzējs, izņemot gadījumu, kad tehniskie pārstāvji atsevišķā gadījumā lemj citādi.</w:t>
      </w:r>
    </w:p>
    <w:p w:rsidR="003E022D" w:rsidRDefault="007D19D6">
      <w:pPr>
        <w:rPr>
          <w:rFonts w:cstheme="minorHAnsi"/>
          <w:noProof/>
        </w:rPr>
      </w:pPr>
      <w:r>
        <w:rPr>
          <w:noProof/>
        </w:rPr>
        <w:t>3.</w:t>
      </w:r>
      <w:r>
        <w:rPr>
          <w:noProof/>
        </w:rPr>
        <w:tab/>
        <w:t xml:space="preserve">Apvienotās Karalistes kā sertificētājiestādes tehniskā </w:t>
      </w:r>
      <w:r>
        <w:rPr>
          <w:noProof/>
        </w:rPr>
        <w:t>pārstāvja izdotos tipa sertifikātus apstiprina Savienības kā apstiprinātājiestādes tehniskais pārstāvis.</w:t>
      </w:r>
    </w:p>
    <w:p w:rsidR="003E022D" w:rsidRDefault="007D19D6">
      <w:pPr>
        <w:rPr>
          <w:rFonts w:cstheme="minorHAnsi"/>
          <w:noProof/>
        </w:rPr>
      </w:pPr>
      <w:r>
        <w:rPr>
          <w:noProof/>
        </w:rPr>
        <w:t>4.</w:t>
      </w:r>
      <w:r>
        <w:rPr>
          <w:noProof/>
        </w:rPr>
        <w:tab/>
        <w:t xml:space="preserve">Papildu tipa sertifikātus, lielu izmaiņu un lielu remontu apstiprinājumus, tehnisko standartu prasību atļaujas, ko izdevis Apvienotās Karalistes kā </w:t>
      </w:r>
      <w:r>
        <w:rPr>
          <w:noProof/>
        </w:rPr>
        <w:t>sertificētajiestādes tehniskais pārstāvis vai apstiprināta organizācija saskaņā ar Apvienotās Karalistes normatīvajiem aktiem, apstiprina Savienības kā apstiprinātājiestādes tehniskais pārstāvis. Tehniskie pārstāvji katrā gadījumā atsevišķi var lemt izmant</w:t>
      </w:r>
      <w:r>
        <w:rPr>
          <w:noProof/>
        </w:rPr>
        <w:t>ot racionalizētu apstiprināšanas procesu, kas aprobežojas ar iepazīšanos ar tehnisko informāciju bez apstiprinātājiestādes iesaistīšanās atbilstības pierādīšanas darbībās, ko veic pieteikuma iesniedzējs.</w:t>
      </w:r>
    </w:p>
    <w:p w:rsidR="003E022D" w:rsidRDefault="007D19D6">
      <w:pPr>
        <w:pStyle w:val="Article"/>
        <w:rPr>
          <w:noProof/>
        </w:rPr>
      </w:pPr>
      <w:r>
        <w:rPr>
          <w:noProof/>
        </w:rPr>
        <w:t>11. pants. Sertifikācijas pamats apstiprināšanai</w:t>
      </w:r>
    </w:p>
    <w:p w:rsidR="003E022D" w:rsidRDefault="007D19D6">
      <w:pPr>
        <w:rPr>
          <w:rFonts w:cstheme="minorHAnsi"/>
          <w:noProof/>
        </w:rPr>
      </w:pPr>
      <w:r>
        <w:rPr>
          <w:noProof/>
        </w:rPr>
        <w:t>1.</w:t>
      </w:r>
      <w:r>
        <w:rPr>
          <w:noProof/>
        </w:rPr>
        <w:tab/>
      </w:r>
      <w:r>
        <w:rPr>
          <w:noProof/>
        </w:rPr>
        <w:t>Lai apstiprinātu civilās aeronavigācijas ražojuma konstrukcijas sertifikātu, apstiprinātājiestāde, nosakot sertifikācijas pamatu, atsaucas uz šādām prasībām, kas noteiktas attiecīgās Puses normatīvajos un administratīvajos aktos:</w:t>
      </w:r>
    </w:p>
    <w:p w:rsidR="003E022D" w:rsidRDefault="007D19D6">
      <w:pPr>
        <w:numPr>
          <w:ilvl w:val="0"/>
          <w:numId w:val="971"/>
        </w:numPr>
        <w:ind w:left="567" w:hanging="567"/>
        <w:rPr>
          <w:rFonts w:cstheme="minorHAnsi"/>
          <w:noProof/>
        </w:rPr>
      </w:pPr>
      <w:r>
        <w:rPr>
          <w:noProof/>
        </w:rPr>
        <w:t>lidojumderīguma prasības l</w:t>
      </w:r>
      <w:r>
        <w:rPr>
          <w:noProof/>
        </w:rPr>
        <w:t>īdzīgam civilās aeronavigācijas ražojumam, kuras bija spēkā faktiskajā pieteikuma iesniegšanas datumā, ko noteikusi sertificētājiestāde, un kuras attiecīgā gadījumā papildina ar papildu tehniskajiem nosacījumiem, kā sīki izklāstīts tehniskās īstenošanas pr</w:t>
      </w:r>
      <w:r>
        <w:rPr>
          <w:noProof/>
        </w:rPr>
        <w:t>ocedūrās, un</w:t>
      </w:r>
    </w:p>
    <w:p w:rsidR="003E022D" w:rsidRDefault="007D19D6">
      <w:pPr>
        <w:numPr>
          <w:ilvl w:val="0"/>
          <w:numId w:val="971"/>
        </w:numPr>
        <w:ind w:left="567" w:hanging="567"/>
        <w:rPr>
          <w:bCs/>
          <w:noProof/>
          <w:sz w:val="24"/>
          <w:szCs w:val="24"/>
        </w:rPr>
      </w:pPr>
      <w:r>
        <w:rPr>
          <w:noProof/>
        </w:rPr>
        <w:t>vides aizsardzības prasības civilās aeronavigācijas ražojumam, kuras bija spēkā dienā, kad apstiprinātājiestādei iesniegts apstiprināšanas pieteikums.</w:t>
      </w:r>
    </w:p>
    <w:p w:rsidR="003E022D" w:rsidRDefault="007D19D6">
      <w:pPr>
        <w:rPr>
          <w:rFonts w:cstheme="minorHAnsi"/>
          <w:noProof/>
        </w:rPr>
      </w:pPr>
      <w:r>
        <w:rPr>
          <w:noProof/>
        </w:rPr>
        <w:t xml:space="preserve">2. </w:t>
      </w:r>
      <w:r>
        <w:rPr>
          <w:noProof/>
        </w:rPr>
        <w:tab/>
        <w:t>Apstiprinātājiestāde attiecīgā gadījumā norāda:</w:t>
      </w:r>
    </w:p>
    <w:p w:rsidR="003E022D" w:rsidRDefault="007D19D6">
      <w:pPr>
        <w:numPr>
          <w:ilvl w:val="0"/>
          <w:numId w:val="972"/>
        </w:numPr>
        <w:ind w:left="567" w:hanging="567"/>
        <w:rPr>
          <w:rFonts w:cstheme="minorHAnsi"/>
          <w:noProof/>
        </w:rPr>
      </w:pPr>
      <w:r>
        <w:rPr>
          <w:noProof/>
        </w:rPr>
        <w:t>visus atbrīvojumus no piemērojamajām pra</w:t>
      </w:r>
      <w:r>
        <w:rPr>
          <w:noProof/>
        </w:rPr>
        <w:t>sībām;</w:t>
      </w:r>
    </w:p>
    <w:p w:rsidR="003E022D" w:rsidRDefault="007D19D6">
      <w:pPr>
        <w:numPr>
          <w:ilvl w:val="0"/>
          <w:numId w:val="972"/>
        </w:numPr>
        <w:ind w:left="567" w:hanging="567"/>
        <w:rPr>
          <w:rFonts w:cstheme="minorHAnsi"/>
          <w:noProof/>
        </w:rPr>
      </w:pPr>
      <w:r>
        <w:rPr>
          <w:noProof/>
        </w:rPr>
        <w:t>visas atkāpes no piemērojamajām prasībām vai</w:t>
      </w:r>
    </w:p>
    <w:p w:rsidR="003E022D" w:rsidRDefault="007D19D6">
      <w:pPr>
        <w:numPr>
          <w:ilvl w:val="0"/>
          <w:numId w:val="972"/>
        </w:numPr>
        <w:ind w:left="567" w:hanging="567"/>
        <w:rPr>
          <w:bCs/>
          <w:noProof/>
          <w:sz w:val="24"/>
          <w:szCs w:val="24"/>
        </w:rPr>
      </w:pPr>
      <w:r>
        <w:rPr>
          <w:noProof/>
        </w:rPr>
        <w:t>visus kompensējošos faktorus, kuri nodrošina līdzvērtīgu drošības līmeni, ja piemērojamās prasības nav izpildītas.</w:t>
      </w:r>
    </w:p>
    <w:p w:rsidR="003E022D" w:rsidRDefault="007D19D6">
      <w:pPr>
        <w:rPr>
          <w:rFonts w:cstheme="minorHAnsi"/>
          <w:noProof/>
        </w:rPr>
      </w:pPr>
      <w:r>
        <w:rPr>
          <w:noProof/>
        </w:rPr>
        <w:t>3.</w:t>
      </w:r>
      <w:r>
        <w:rPr>
          <w:noProof/>
        </w:rPr>
        <w:tab/>
        <w:t>Papildus 1. un 2. punktā noteiktajām prasībām apstiprinātājiestāde nosaka visus īpašos</w:t>
      </w:r>
      <w:r>
        <w:rPr>
          <w:noProof/>
        </w:rPr>
        <w:t xml:space="preserve"> nosacījumus, kas jāpiemēro, ja saistītās lidojumderīguma normas, normatīvie un administratīvie akti neietver atbilstošas vai piemērotas drošības prasības civilās aeronavigācijas ražojumam tāpēc, ka:</w:t>
      </w:r>
    </w:p>
    <w:p w:rsidR="003E022D" w:rsidRDefault="007D19D6">
      <w:pPr>
        <w:numPr>
          <w:ilvl w:val="0"/>
          <w:numId w:val="973"/>
        </w:numPr>
        <w:ind w:left="567" w:hanging="567"/>
        <w:rPr>
          <w:rFonts w:cstheme="minorHAnsi"/>
          <w:noProof/>
        </w:rPr>
      </w:pPr>
      <w:r>
        <w:rPr>
          <w:noProof/>
        </w:rPr>
        <w:t>civilās aeronavigācijas ražojumam ir jauni vai neparasti</w:t>
      </w:r>
      <w:r>
        <w:rPr>
          <w:noProof/>
        </w:rPr>
        <w:t xml:space="preserve"> konstrukcijas parametri attiecībā pret konstruēšanas praksi, kas ir piemērojamo lidojumderīguma normu, normatīvo un administratīvo aktu pamatā;</w:t>
      </w:r>
    </w:p>
    <w:p w:rsidR="003E022D" w:rsidRDefault="007D19D6">
      <w:pPr>
        <w:numPr>
          <w:ilvl w:val="0"/>
          <w:numId w:val="973"/>
        </w:numPr>
        <w:ind w:left="567" w:hanging="567"/>
        <w:rPr>
          <w:rFonts w:cstheme="minorHAnsi"/>
          <w:noProof/>
        </w:rPr>
      </w:pPr>
      <w:r>
        <w:rPr>
          <w:noProof/>
        </w:rPr>
        <w:t>civilās aeronavigācijas ražojuma paredzētais izmantojums ir neparasts vai</w:t>
      </w:r>
    </w:p>
    <w:p w:rsidR="003E022D" w:rsidRDefault="007D19D6">
      <w:pPr>
        <w:numPr>
          <w:ilvl w:val="0"/>
          <w:numId w:val="973"/>
        </w:numPr>
        <w:ind w:left="567" w:hanging="567"/>
        <w:rPr>
          <w:bCs/>
          <w:noProof/>
          <w:sz w:val="24"/>
          <w:szCs w:val="24"/>
        </w:rPr>
      </w:pPr>
      <w:r>
        <w:rPr>
          <w:noProof/>
        </w:rPr>
        <w:t>pieredze ar citiem līdzīgiem ekspluat</w:t>
      </w:r>
      <w:r>
        <w:rPr>
          <w:noProof/>
        </w:rPr>
        <w:t>ācijā esošiem civilās aeronavigācijas ražojumiem vai civilās aeronavigācijas ražojumiem ar līdzīgiem konstrukcijas parametriem liecina, ka var rasties nedroši stāvokļi.</w:t>
      </w:r>
    </w:p>
    <w:p w:rsidR="003E022D" w:rsidRDefault="007D19D6">
      <w:pPr>
        <w:rPr>
          <w:rFonts w:cstheme="minorHAnsi"/>
          <w:noProof/>
        </w:rPr>
      </w:pPr>
      <w:r>
        <w:rPr>
          <w:noProof/>
        </w:rPr>
        <w:t>4.</w:t>
      </w:r>
      <w:r>
        <w:rPr>
          <w:noProof/>
        </w:rPr>
        <w:tab/>
        <w:t>Nosakot atbrīvojumus, atkāpes, kompensējošos faktorus vai īpašos nosacījumus, apstip</w:t>
      </w:r>
      <w:r>
        <w:rPr>
          <w:noProof/>
        </w:rPr>
        <w:t>rinātājiestāde pienācīgi ņem vērā tādus, ko piemēro sertificētājiestāde, un nenosaka apstiprināmajiem civilās aeronavigācijas ražojumiem stingrākas prasības, kā tā noteiktu saviem līdzīgiem ražojumiem. Apstiprinātājiestāde paziņo sertificētājiestādei jebkā</w:t>
      </w:r>
      <w:r>
        <w:rPr>
          <w:noProof/>
        </w:rPr>
        <w:t>dus šādus atbrīvojumus, atkāpes, kompensējošos faktorus vai īpašos nosacījumus.</w:t>
      </w:r>
    </w:p>
    <w:p w:rsidR="003E022D" w:rsidRDefault="007D19D6">
      <w:pPr>
        <w:pStyle w:val="Article"/>
        <w:rPr>
          <w:noProof/>
        </w:rPr>
      </w:pPr>
      <w:r>
        <w:rPr>
          <w:noProof/>
        </w:rPr>
        <w:t>12. pants. Apstiprinātājiestādes iesaistes pakāpe</w:t>
      </w:r>
    </w:p>
    <w:p w:rsidR="003E022D" w:rsidRDefault="007D19D6">
      <w:pPr>
        <w:rPr>
          <w:rFonts w:cstheme="minorHAnsi"/>
          <w:noProof/>
        </w:rPr>
      </w:pPr>
      <w:r>
        <w:rPr>
          <w:noProof/>
        </w:rPr>
        <w:t>1.</w:t>
      </w:r>
      <w:r>
        <w:rPr>
          <w:noProof/>
        </w:rPr>
        <w:tab/>
        <w:t>Puses apstiprinātājiestādes iesaistes pakāpi apstiprināšanas procesā, kas noteikts 9. pantā [Apstiprināšanas process] un sī</w:t>
      </w:r>
      <w:r>
        <w:rPr>
          <w:noProof/>
        </w:rPr>
        <w:t>ki izklāstīts tehniskās īstenošanas procedūrās, galvenokārt nosaka:</w:t>
      </w:r>
    </w:p>
    <w:p w:rsidR="003E022D" w:rsidRDefault="007D19D6">
      <w:pPr>
        <w:numPr>
          <w:ilvl w:val="0"/>
          <w:numId w:val="974"/>
        </w:numPr>
        <w:ind w:left="567" w:hanging="567"/>
        <w:rPr>
          <w:rFonts w:cstheme="minorHAnsi"/>
          <w:noProof/>
        </w:rPr>
      </w:pPr>
      <w:r>
        <w:rPr>
          <w:noProof/>
        </w:rPr>
        <w:t>otras Puses kompetentās iestādes kā sertificētājiestādes pieredze un dokumentācija;</w:t>
      </w:r>
    </w:p>
    <w:p w:rsidR="003E022D" w:rsidRDefault="007D19D6">
      <w:pPr>
        <w:numPr>
          <w:ilvl w:val="0"/>
          <w:numId w:val="974"/>
        </w:numPr>
        <w:ind w:left="567" w:hanging="567"/>
        <w:rPr>
          <w:rFonts w:cstheme="minorHAnsi"/>
          <w:noProof/>
        </w:rPr>
      </w:pPr>
      <w:r>
        <w:rPr>
          <w:noProof/>
        </w:rPr>
        <w:t xml:space="preserve">pieredze, ko minētā apstiprinātājiestāde guvusi, iepriekšējās apstiprināšanas procedūrās sadarbojoties </w:t>
      </w:r>
      <w:r>
        <w:rPr>
          <w:noProof/>
        </w:rPr>
        <w:t>ar otras Puses kompetento iestādi;</w:t>
      </w:r>
    </w:p>
    <w:p w:rsidR="003E022D" w:rsidRDefault="007D19D6">
      <w:pPr>
        <w:numPr>
          <w:ilvl w:val="0"/>
          <w:numId w:val="974"/>
        </w:numPr>
        <w:ind w:left="567" w:hanging="567"/>
        <w:rPr>
          <w:rFonts w:cstheme="minorHAnsi"/>
          <w:noProof/>
        </w:rPr>
      </w:pPr>
      <w:r>
        <w:rPr>
          <w:noProof/>
        </w:rPr>
        <w:t>apstiprināmās konstrukcijas veids;</w:t>
      </w:r>
    </w:p>
    <w:p w:rsidR="003E022D" w:rsidRDefault="007D19D6">
      <w:pPr>
        <w:numPr>
          <w:ilvl w:val="0"/>
          <w:numId w:val="974"/>
        </w:numPr>
        <w:ind w:left="567" w:hanging="567"/>
        <w:rPr>
          <w:rFonts w:cstheme="minorHAnsi"/>
          <w:noProof/>
        </w:rPr>
      </w:pPr>
      <w:r>
        <w:rPr>
          <w:noProof/>
        </w:rPr>
        <w:t>pieteikuma iesniedzēja darbība un pieredze ar apstiprinātājiestādi un</w:t>
      </w:r>
    </w:p>
    <w:p w:rsidR="003E022D" w:rsidRDefault="007D19D6">
      <w:pPr>
        <w:numPr>
          <w:ilvl w:val="0"/>
          <w:numId w:val="974"/>
        </w:numPr>
        <w:ind w:left="567" w:hanging="567"/>
        <w:rPr>
          <w:rFonts w:cstheme="minorHAnsi"/>
          <w:noProof/>
        </w:rPr>
      </w:pPr>
      <w:r>
        <w:rPr>
          <w:noProof/>
        </w:rPr>
        <w:t>28. pantā [Kvalifikācijas prasības atbilstības atzinumu un sertifikātu atzīšanai] un 29. pantā [Kompetento iestāžu k</w:t>
      </w:r>
      <w:r>
        <w:rPr>
          <w:noProof/>
        </w:rPr>
        <w:t>valifikācijas uzturēšana] minēto kvalifikācijas prasību novērtējumu rezultāti.</w:t>
      </w:r>
    </w:p>
    <w:p w:rsidR="003E022D" w:rsidRDefault="007D19D6">
      <w:pPr>
        <w:rPr>
          <w:rFonts w:cstheme="minorHAnsi"/>
          <w:noProof/>
        </w:rPr>
      </w:pPr>
      <w:r>
        <w:rPr>
          <w:noProof/>
        </w:rPr>
        <w:t>2.</w:t>
      </w:r>
      <w:r>
        <w:rPr>
          <w:noProof/>
        </w:rPr>
        <w:tab/>
        <w:t>Apstiprinātājiestāde jebkura sertifikāta pirmās apstiprināšanas gaitā veic īpašas procedūras un rūpīgu pārbaudi, jo īpaši attiecībā uz sertificētājiestādes procesiem un metod</w:t>
      </w:r>
      <w:r>
        <w:rPr>
          <w:noProof/>
        </w:rPr>
        <w:t>ēm, ja sertificētājiestāde nav iepriekš izdevusi sertifikātu attiecīgo civilās aeronavigācijas ražojumu kategorijā pēc 2004. gada 30. septembra. Piemērojamās procedūras un kritērijus sīki izklāsta tehniskās īstenošanas procedūrās.</w:t>
      </w:r>
    </w:p>
    <w:p w:rsidR="003E022D" w:rsidRDefault="007D19D6">
      <w:pPr>
        <w:rPr>
          <w:rFonts w:cstheme="minorHAnsi"/>
          <w:noProof/>
        </w:rPr>
      </w:pPr>
      <w:r>
        <w:rPr>
          <w:noProof/>
        </w:rPr>
        <w:t>3.</w:t>
      </w:r>
      <w:r>
        <w:rPr>
          <w:noProof/>
        </w:rPr>
        <w:tab/>
        <w:t xml:space="preserve">Sertifikācijas </w:t>
      </w:r>
      <w:r>
        <w:rPr>
          <w:noProof/>
        </w:rPr>
        <w:t>uzraudzības padome, izmantojot tehniskās īstenošanas procedūrās noteiktos rādītājus, regulāri novērtē, uzrauga, pārskata 1. un 2. punktā noteikto principu faktisko īstenošanu.</w:t>
      </w:r>
    </w:p>
    <w:p w:rsidR="003E022D" w:rsidRDefault="007D19D6">
      <w:pPr>
        <w:pStyle w:val="Article"/>
        <w:rPr>
          <w:noProof/>
        </w:rPr>
      </w:pPr>
      <w:r>
        <w:rPr>
          <w:noProof/>
        </w:rPr>
        <w:t>13. pants. Atzīšana</w:t>
      </w:r>
    </w:p>
    <w:p w:rsidR="003E022D" w:rsidRDefault="007D19D6">
      <w:pPr>
        <w:rPr>
          <w:rFonts w:cstheme="minorHAnsi"/>
          <w:noProof/>
        </w:rPr>
      </w:pPr>
      <w:r>
        <w:rPr>
          <w:noProof/>
        </w:rPr>
        <w:t>1.</w:t>
      </w:r>
      <w:r>
        <w:rPr>
          <w:noProof/>
        </w:rPr>
        <w:tab/>
        <w:t>Ja uz konstrukcijas sertifikātu attiecas atzīšana, apstip</w:t>
      </w:r>
      <w:r>
        <w:rPr>
          <w:noProof/>
        </w:rPr>
        <w:t>rinātājiestāde atzīst sertificētājiestādes izdoto konstrukcijas sertifikātu, neveicot nekādas apstiprināšanas darbības. Šādā gadījumā apstiprinātājiestāde atzīst konstrukcijas sertifikātu par līdzvērtīgu sertifikātam, kas izdots saskaņā ar apstiprinātājies</w:t>
      </w:r>
      <w:r>
        <w:rPr>
          <w:noProof/>
        </w:rPr>
        <w:t>tādes Puses normatīvajiem un administratīvajiem aktiem, un apstiprinātājiestāde neizdod savu atbilstošo sertifikātu.</w:t>
      </w:r>
    </w:p>
    <w:p w:rsidR="003E022D" w:rsidRDefault="007D19D6">
      <w:pPr>
        <w:rPr>
          <w:rFonts w:cstheme="minorHAnsi"/>
          <w:noProof/>
        </w:rPr>
      </w:pPr>
      <w:r>
        <w:rPr>
          <w:noProof/>
        </w:rPr>
        <w:t xml:space="preserve">2. </w:t>
      </w:r>
      <w:r>
        <w:rPr>
          <w:noProof/>
        </w:rPr>
        <w:tab/>
        <w:t>Apvienotās Karalistes kā apstiprinātājiestādes tehniskais pārstāvis atzīst nenozīmīgus papildu tipa sertifikātus, nenozīmīgas lielu izm</w:t>
      </w:r>
      <w:r>
        <w:rPr>
          <w:noProof/>
        </w:rPr>
        <w:t>aiņu un tehnisko standartu prasību atļaujas, ko izdevis vai apstiprinājis Savienības kā sertificētājiestādes tehniskais pārstāvis vai apstiprināta organizācija saskaņā ar Savienības tiesību aktiem.</w:t>
      </w:r>
    </w:p>
    <w:p w:rsidR="003E022D" w:rsidRDefault="007D19D6">
      <w:pPr>
        <w:rPr>
          <w:rFonts w:cstheme="minorHAnsi"/>
          <w:noProof/>
        </w:rPr>
      </w:pPr>
      <w:r>
        <w:rPr>
          <w:noProof/>
        </w:rPr>
        <w:t>3.</w:t>
      </w:r>
      <w:r>
        <w:rPr>
          <w:noProof/>
        </w:rPr>
        <w:tab/>
        <w:t>Nelielas izmaiņas un remontus, ko apstiprinājis Savienī</w:t>
      </w:r>
      <w:r>
        <w:rPr>
          <w:noProof/>
        </w:rPr>
        <w:t>bas tehniskais pārstāvis kā sertificētājiestāde vai apstiprināta organizācija saskaņā ar  Savienības tiesībām, atzīst Apvienotās Karalistes tehniskais pārstāvis kā apstiprinātājiestāde.</w:t>
      </w:r>
    </w:p>
    <w:p w:rsidR="003E022D" w:rsidRDefault="007D19D6">
      <w:pPr>
        <w:rPr>
          <w:rFonts w:cstheme="minorHAnsi"/>
          <w:noProof/>
        </w:rPr>
      </w:pPr>
      <w:r>
        <w:rPr>
          <w:noProof/>
        </w:rPr>
        <w:t>4.</w:t>
      </w:r>
      <w:r>
        <w:rPr>
          <w:noProof/>
        </w:rPr>
        <w:tab/>
        <w:t>Nelielas izmaiņas un nelielus remontus, ko apstiprinājis Apvienotās</w:t>
      </w:r>
      <w:r>
        <w:rPr>
          <w:noProof/>
        </w:rPr>
        <w:t xml:space="preserve"> Karalistes tehniskais pārstāvis kā sertificētājiestāde vai apstiprināta organizācija saskaņā ar Apvienotās Karalistes normatīvajiem aktiem, atzīst Savienības tehniskais pārstāvis kā apstiprinātājiestāde.</w:t>
      </w:r>
    </w:p>
    <w:p w:rsidR="003E022D" w:rsidRDefault="007D19D6">
      <w:pPr>
        <w:pStyle w:val="Article"/>
        <w:rPr>
          <w:noProof/>
        </w:rPr>
      </w:pPr>
      <w:r>
        <w:rPr>
          <w:noProof/>
        </w:rPr>
        <w:t>14. pants. 10. panta [Konstrukcijas sertifikātu aps</w:t>
      </w:r>
      <w:r>
        <w:rPr>
          <w:noProof/>
        </w:rPr>
        <w:t>tiprināšanas kārtība] un 13. panta [Atzīšana] īstenošanas noteikumi</w:t>
      </w:r>
    </w:p>
    <w:p w:rsidR="003E022D" w:rsidRDefault="007D19D6">
      <w:pPr>
        <w:rPr>
          <w:rFonts w:cstheme="minorHAnsi"/>
          <w:noProof/>
        </w:rPr>
      </w:pPr>
      <w:r>
        <w:rPr>
          <w:noProof/>
        </w:rPr>
        <w:t>1.</w:t>
      </w:r>
      <w:r>
        <w:rPr>
          <w:noProof/>
        </w:rPr>
        <w:tab/>
        <w:t>Nelielu izmaiņu vai lielu izmaiņu klasifikāciju izstrādā sertificētājiestāde saskaņā ar šajā pielikumā noteiktajām definīcijām un interpretē saskaņā ar sertificētājiestādes piemērojamaj</w:t>
      </w:r>
      <w:r>
        <w:rPr>
          <w:noProof/>
        </w:rPr>
        <w:t>iem noteikumiem un procedūrām.</w:t>
      </w:r>
    </w:p>
    <w:p w:rsidR="003E022D" w:rsidRDefault="007D19D6">
      <w:pPr>
        <w:rPr>
          <w:rFonts w:cstheme="minorHAnsi"/>
          <w:noProof/>
        </w:rPr>
      </w:pPr>
      <w:r>
        <w:rPr>
          <w:noProof/>
        </w:rPr>
        <w:t>2.</w:t>
      </w:r>
      <w:r>
        <w:rPr>
          <w:noProof/>
        </w:rPr>
        <w:tab/>
        <w:t>Lai papildu tipa sertifikāta vai lielas izmaiņas klasificētu kā nozīmīgas vai nenozīmīgas, sertificētājiestāde apsver izmaiņas visu iepriekšējo attiecīgo projekta izmaiņu un visu attiecīgo labojumu piemērojamajās sertifikā</w:t>
      </w:r>
      <w:r>
        <w:rPr>
          <w:noProof/>
        </w:rPr>
        <w:t>cijas specifikācijās kontekstā, kas iekļauti civilās aeronavigācijas ražojuma tipa sertifikātā. Izmaiņas, kas neatbilst nevienam no šiem kritērijiem, automātiski uzskata par nozīmīgām:</w:t>
      </w:r>
    </w:p>
    <w:p w:rsidR="003E022D" w:rsidRDefault="007D19D6">
      <w:pPr>
        <w:numPr>
          <w:ilvl w:val="0"/>
          <w:numId w:val="975"/>
        </w:numPr>
        <w:ind w:left="567" w:hanging="567"/>
        <w:rPr>
          <w:rFonts w:cstheme="minorHAnsi"/>
          <w:noProof/>
        </w:rPr>
      </w:pPr>
      <w:r>
        <w:rPr>
          <w:noProof/>
        </w:rPr>
        <w:t>nav saglabāta vispārējā konfigurācija vai uzbūves principi vai</w:t>
      </w:r>
    </w:p>
    <w:p w:rsidR="003E022D" w:rsidRDefault="007D19D6">
      <w:pPr>
        <w:numPr>
          <w:ilvl w:val="0"/>
          <w:numId w:val="975"/>
        </w:numPr>
        <w:ind w:left="567" w:hanging="567"/>
        <w:rPr>
          <w:rFonts w:cstheme="minorHAnsi"/>
          <w:noProof/>
        </w:rPr>
      </w:pPr>
      <w:r>
        <w:rPr>
          <w:noProof/>
        </w:rPr>
        <w:t>nepaliek</w:t>
      </w:r>
      <w:r>
        <w:rPr>
          <w:noProof/>
        </w:rPr>
        <w:t xml:space="preserve"> spēkā pieņēmumi, kas izmantoti pārveidojamā ražojuma sertificēšanai.</w:t>
      </w:r>
    </w:p>
    <w:p w:rsidR="003E022D" w:rsidRDefault="007D19D6">
      <w:pPr>
        <w:pStyle w:val="Article"/>
        <w:rPr>
          <w:noProof/>
        </w:rPr>
      </w:pPr>
      <w:r>
        <w:rPr>
          <w:noProof/>
        </w:rPr>
        <w:t>15. pants. Esošie konstrukcijas sertifikāti</w:t>
      </w:r>
    </w:p>
    <w:p w:rsidR="003E022D" w:rsidRDefault="007D19D6">
      <w:pPr>
        <w:rPr>
          <w:rFonts w:cstheme="minorHAnsi"/>
          <w:noProof/>
        </w:rPr>
      </w:pPr>
      <w:r>
        <w:rPr>
          <w:noProof/>
        </w:rPr>
        <w:t>Šajā pielikumā piemēro šādas definīcijas:</w:t>
      </w:r>
    </w:p>
    <w:p w:rsidR="003E022D" w:rsidRDefault="007D19D6">
      <w:pPr>
        <w:numPr>
          <w:ilvl w:val="0"/>
          <w:numId w:val="976"/>
        </w:numPr>
        <w:ind w:left="567" w:hanging="567"/>
        <w:rPr>
          <w:rFonts w:cstheme="minorHAnsi"/>
          <w:noProof/>
        </w:rPr>
      </w:pPr>
      <w:r>
        <w:rPr>
          <w:noProof/>
        </w:rPr>
        <w:t>tipa sertifikātus, papildu tipa sertifikātus, izmaiņu un remonta apstiprinājumus, kā arī tehnisko st</w:t>
      </w:r>
      <w:r>
        <w:rPr>
          <w:noProof/>
        </w:rPr>
        <w:t>andartu prasību atļaujas un to izmaiņas, ko Savienības tehniskais pārstāvis izdevis Apvienotās Karalistes pieteikumu iesniedzējiem vai ko izdevusi atzīta projektēšanas organizācija, kas atrodas Apvienotajā Karalistē, pamatojoties uz Savienības tiesību akti</w:t>
      </w:r>
      <w:r>
        <w:rPr>
          <w:noProof/>
        </w:rPr>
        <w:t>em, un kas ir spēkā 2020. gada 31. decembrī, uzskata par tādiem, kurus izdevis Apvienotās Karalistes kā sertificētājiestādes tehniskais pārstāvis vai apstiprināta organizācija saskaņā ar Apvienotās Karalistes normatīvajiem aktiem un kurus Savienības kā aps</w:t>
      </w:r>
      <w:r>
        <w:rPr>
          <w:noProof/>
        </w:rPr>
        <w:t>tiprinātājiestādes tehniskais pārstāvis ir atzinis saskaņā ar 13. panta [Atzīšana] 1. punktu;</w:t>
      </w:r>
    </w:p>
    <w:p w:rsidR="003E022D" w:rsidRDefault="007D19D6">
      <w:pPr>
        <w:numPr>
          <w:ilvl w:val="0"/>
          <w:numId w:val="976"/>
        </w:numPr>
        <w:ind w:left="567" w:hanging="567"/>
        <w:rPr>
          <w:bCs/>
          <w:noProof/>
          <w:sz w:val="24"/>
          <w:szCs w:val="24"/>
        </w:rPr>
      </w:pPr>
      <w:r>
        <w:rPr>
          <w:noProof/>
        </w:rPr>
        <w:t>uzskata, ka Apvienotās Karalistes tehniskais pārstāvis kā apstiprinātājiestāde saskaņā ar 13. panta[Atzīšana] 1. punktu ir atzinis tādus tipa sertifikātus, papild</w:t>
      </w:r>
      <w:r>
        <w:rPr>
          <w:noProof/>
        </w:rPr>
        <w:t>u tipa sertifikātus, izmaiņu un remonta apstiprinājumus, kā arī tehnisko standartu prasību atļaujas un to izmaiņas, ko izdevis Savienības tehniskais pārstāvis  Savienības pieteikumu iesniedzējiem vai projektēšanas organizācija, kura atrodas Savienībā, pama</w:t>
      </w:r>
      <w:r>
        <w:rPr>
          <w:noProof/>
        </w:rPr>
        <w:t>tojoties uz Savienības tiesību aktiem, un kas ir spēkā 2020. gada 31. decembrī.</w:t>
      </w:r>
    </w:p>
    <w:p w:rsidR="003E022D" w:rsidRDefault="007D19D6">
      <w:pPr>
        <w:pStyle w:val="Article"/>
        <w:rPr>
          <w:noProof/>
        </w:rPr>
      </w:pPr>
      <w:r>
        <w:rPr>
          <w:noProof/>
        </w:rPr>
        <w:t>16. pants. Konstrukcijas sertifikāta nodošana</w:t>
      </w:r>
    </w:p>
    <w:p w:rsidR="003E022D" w:rsidRDefault="007D19D6">
      <w:pPr>
        <w:rPr>
          <w:rFonts w:cstheme="minorHAnsi"/>
          <w:noProof/>
        </w:rPr>
      </w:pPr>
      <w:r>
        <w:rPr>
          <w:noProof/>
        </w:rPr>
        <w:t>Ja konstrukcijas sertifikātu nodod citai struktūrai, par konstrukcijas sertifikātu atbildīgā sertificētājiestāde par šo nodošanu n</w:t>
      </w:r>
      <w:r>
        <w:rPr>
          <w:noProof/>
        </w:rPr>
        <w:t>ekavējoties paziņo apstiprinātājiestādei un piemēro ar konstrukcijas sertifikātu nodošanu saistīto procedūru, kā sīki izklāstīts tehniskās īstenošanas procedūrās.</w:t>
      </w:r>
    </w:p>
    <w:p w:rsidR="003E022D" w:rsidRDefault="007D19D6">
      <w:pPr>
        <w:pStyle w:val="Article"/>
        <w:rPr>
          <w:noProof/>
        </w:rPr>
      </w:pPr>
      <w:r>
        <w:rPr>
          <w:noProof/>
        </w:rPr>
        <w:t>17. pants. Ekspluatācijas prasības konstrukcijai</w:t>
      </w:r>
    </w:p>
    <w:p w:rsidR="003E022D" w:rsidRDefault="007D19D6">
      <w:pPr>
        <w:rPr>
          <w:rFonts w:cstheme="minorHAnsi"/>
          <w:noProof/>
        </w:rPr>
      </w:pPr>
      <w:r>
        <w:rPr>
          <w:noProof/>
        </w:rPr>
        <w:t>1.</w:t>
      </w:r>
      <w:r>
        <w:rPr>
          <w:noProof/>
        </w:rPr>
        <w:tab/>
        <w:t>Tehniskie pārstāvji nodrošina, ka vajadzī</w:t>
      </w:r>
      <w:r>
        <w:rPr>
          <w:noProof/>
        </w:rPr>
        <w:t>bas gadījumā apstiprināšanas procesa laikā notiek to datu un informācijas apmaiņa, kas saistīti ar ekspluatācijas prasībām konstrukcijai.</w:t>
      </w:r>
    </w:p>
    <w:p w:rsidR="003E022D" w:rsidRDefault="007D19D6">
      <w:pPr>
        <w:rPr>
          <w:rFonts w:cstheme="minorHAnsi"/>
          <w:noProof/>
        </w:rPr>
      </w:pPr>
      <w:r>
        <w:rPr>
          <w:noProof/>
        </w:rPr>
        <w:t>2.</w:t>
      </w:r>
      <w:r>
        <w:rPr>
          <w:noProof/>
        </w:rPr>
        <w:tab/>
        <w:t>Ievērojot tehnisko pārstāvju lēmumu, kas attiecas uz dažām ekspluatācijas prasībām konstrukcijai, apstiprinātājiest</w:t>
      </w:r>
      <w:r>
        <w:rPr>
          <w:noProof/>
        </w:rPr>
        <w:t>āde apstiprināšanas procesā var atzīt sertificētājiestādes atbilstības apliecinājumu.</w:t>
      </w:r>
    </w:p>
    <w:p w:rsidR="003E022D" w:rsidRDefault="007D19D6">
      <w:pPr>
        <w:pStyle w:val="Article"/>
        <w:rPr>
          <w:noProof/>
        </w:rPr>
      </w:pPr>
      <w:r>
        <w:rPr>
          <w:noProof/>
        </w:rPr>
        <w:t>18. pants. Ar tipu saistīti ekspluatācijas dokumenti un dati</w:t>
      </w:r>
    </w:p>
    <w:p w:rsidR="003E022D" w:rsidRDefault="007D19D6">
      <w:pPr>
        <w:rPr>
          <w:rFonts w:cstheme="minorHAnsi"/>
          <w:noProof/>
        </w:rPr>
      </w:pPr>
      <w:r>
        <w:rPr>
          <w:noProof/>
        </w:rPr>
        <w:t>1.</w:t>
      </w:r>
      <w:r>
        <w:rPr>
          <w:noProof/>
        </w:rPr>
        <w:tab/>
        <w:t>Dažus tipam specifiskus ekspluatācijas dokumentu un datu kopumus, tostarp datus par piemērotību ekspluatāc</w:t>
      </w:r>
      <w:r>
        <w:rPr>
          <w:noProof/>
        </w:rPr>
        <w:t>ijai Savienības sistēmā un līdzvērtīgus datus Apvienotās Karalistes sistēmā, ko iesniedzis tipa sertifikāta turētājs, apstiprina vai atzīst sertificētājiestāde, un vajadzības gadījumā ar tiem apmainās apstiprināšanas procesā.</w:t>
      </w:r>
    </w:p>
    <w:p w:rsidR="003E022D" w:rsidRDefault="007D19D6">
      <w:pPr>
        <w:rPr>
          <w:rFonts w:cstheme="minorHAnsi"/>
          <w:noProof/>
        </w:rPr>
      </w:pPr>
      <w:r>
        <w:rPr>
          <w:noProof/>
        </w:rPr>
        <w:t>2.</w:t>
      </w:r>
      <w:r>
        <w:rPr>
          <w:noProof/>
        </w:rPr>
        <w:tab/>
        <w:t xml:space="preserve">Šā panta 1. punktā minētos </w:t>
      </w:r>
      <w:r>
        <w:rPr>
          <w:noProof/>
        </w:rPr>
        <w:t>ekspluatācijas dokumentus un datus var vai nu atzīt, vai apstiprināt apstiprinātāja iestāde, kā detalizēti izklāstīts tehniskās īstenošanas procedūrās.</w:t>
      </w:r>
    </w:p>
    <w:p w:rsidR="003E022D" w:rsidRDefault="007D19D6">
      <w:pPr>
        <w:pStyle w:val="Article"/>
        <w:rPr>
          <w:noProof/>
        </w:rPr>
      </w:pPr>
      <w:r>
        <w:rPr>
          <w:noProof/>
        </w:rPr>
        <w:t>19. pants. Vienlaicīga apstiprināšana</w:t>
      </w:r>
    </w:p>
    <w:p w:rsidR="003E022D" w:rsidRDefault="007D19D6">
      <w:pPr>
        <w:rPr>
          <w:rFonts w:cstheme="minorHAnsi"/>
          <w:noProof/>
        </w:rPr>
      </w:pPr>
      <w:r>
        <w:rPr>
          <w:noProof/>
        </w:rPr>
        <w:t>Ja pieteikuma iesniedzējs un tehniskie pārstāvji tā nolēmuši, atti</w:t>
      </w:r>
      <w:r>
        <w:rPr>
          <w:noProof/>
        </w:rPr>
        <w:t>ecīgā gadījumā var izmantot vienlaicīgas sertificēšanas un apstiprināšanas procesu, kā sīki izklāstīts tehniskās īstenošanas procedūrās.</w:t>
      </w:r>
    </w:p>
    <w:p w:rsidR="003E022D" w:rsidRDefault="007D19D6">
      <w:pPr>
        <w:pStyle w:val="Article"/>
        <w:rPr>
          <w:noProof/>
        </w:rPr>
      </w:pPr>
      <w:r>
        <w:rPr>
          <w:noProof/>
        </w:rPr>
        <w:t>20. pants. Lidojumderīguma uzturēšana</w:t>
      </w:r>
    </w:p>
    <w:p w:rsidR="003E022D" w:rsidRDefault="007D19D6">
      <w:pPr>
        <w:rPr>
          <w:rFonts w:cstheme="minorHAnsi"/>
          <w:noProof/>
        </w:rPr>
      </w:pPr>
      <w:r>
        <w:rPr>
          <w:noProof/>
        </w:rPr>
        <w:t>1.</w:t>
      </w:r>
      <w:r>
        <w:rPr>
          <w:noProof/>
        </w:rPr>
        <w:tab/>
        <w:t xml:space="preserve">Kompetentās iestādes veic darbības, kuru mērķis ir novērst nedrošus stāvokļus </w:t>
      </w:r>
      <w:r>
        <w:rPr>
          <w:noProof/>
        </w:rPr>
        <w:t>saistībā ar civilās aeronavigācijas ražojumiem, attiecībā uz kuriem tās ir sertificētājiestādes.</w:t>
      </w:r>
    </w:p>
    <w:p w:rsidR="003E022D" w:rsidRDefault="007D19D6">
      <w:pPr>
        <w:rPr>
          <w:rFonts w:cstheme="minorHAnsi"/>
          <w:noProof/>
        </w:rPr>
      </w:pPr>
      <w:r>
        <w:rPr>
          <w:noProof/>
        </w:rPr>
        <w:t>2.</w:t>
      </w:r>
      <w:r>
        <w:rPr>
          <w:noProof/>
        </w:rPr>
        <w:tab/>
        <w:t>Vienas Puses kompetentā iestāde attiecībā uz civilās aeronavigācijas ražojumiem, kas konstruēti vai ražoti tās regulatīvajā sistēmā, pēc pieprasījuma palīdz</w:t>
      </w:r>
      <w:r>
        <w:rPr>
          <w:noProof/>
        </w:rPr>
        <w:t xml:space="preserve"> otras Puses kompetentajai iestādei noteikt jebkādas darbības, kuras tiek uzskatītas par nepieciešamām šo civilās aeronavigācijas ražojumu lidojumderīguma uzturēšanai.</w:t>
      </w:r>
    </w:p>
    <w:p w:rsidR="003E022D" w:rsidRDefault="007D19D6">
      <w:pPr>
        <w:rPr>
          <w:rFonts w:cstheme="minorHAnsi"/>
          <w:noProof/>
        </w:rPr>
      </w:pPr>
      <w:r>
        <w:rPr>
          <w:noProof/>
        </w:rPr>
        <w:t>3.</w:t>
      </w:r>
      <w:r>
        <w:rPr>
          <w:noProof/>
        </w:rPr>
        <w:tab/>
        <w:t>Ja ekspluatācijas grūtības vai citas iespējamas drošības problēmas, kas ietekmē civil</w:t>
      </w:r>
      <w:r>
        <w:rPr>
          <w:noProof/>
        </w:rPr>
        <w:t>ās aeronavigācijas ražojumu, uz kuru attiecas šā pielikuma darbības joma, noved pie izmeklēšanas, ko veic tās Puses tehniskais pārstāvis, kura ir civilās aeronavigācijas ražojuma sertificētājiestāde, tad otras Puses tehniskais pārstāvis pēc pieprasījuma sn</w:t>
      </w:r>
      <w:r>
        <w:rPr>
          <w:noProof/>
        </w:rPr>
        <w:t>iedz atbalstu minētajā izmeklēšanā, tostarp sniedzot attiecīgo struktūru paziņoto attiecīgo informāciju par atteicēm, nepareizu darbību, defektiem vai citiem atgadījumiem, kas ietekmē minēto civilās aeronavigācijas ražojumu.</w:t>
      </w:r>
    </w:p>
    <w:p w:rsidR="003E022D" w:rsidRDefault="007D19D6">
      <w:pPr>
        <w:rPr>
          <w:rFonts w:cstheme="minorHAnsi"/>
          <w:noProof/>
        </w:rPr>
      </w:pPr>
      <w:r>
        <w:rPr>
          <w:noProof/>
        </w:rPr>
        <w:t>4.</w:t>
      </w:r>
      <w:r>
        <w:rPr>
          <w:noProof/>
        </w:rPr>
        <w:tab/>
        <w:t>Uzskata, ka ar konstrukcijas</w:t>
      </w:r>
      <w:r>
        <w:rPr>
          <w:noProof/>
        </w:rPr>
        <w:t xml:space="preserve"> sertifikāta turētāju pienākumu ziņot sertificētājiestādei un ar informācijas apmaiņas mehānismu, kas izveidots saskaņā ar šo pielikumu, tiek izpildīts katra konstrukcijas sertifikāta turētāja pienākums ziņot apstiprinātājiestādei par atteicēm, nepareizu d</w:t>
      </w:r>
      <w:r>
        <w:rPr>
          <w:noProof/>
        </w:rPr>
        <w:t>arbību, defektiem vai citiem atgadījumiem, kas ietekmē minēto civilās aeronavigācijas ražojumu.</w:t>
      </w:r>
    </w:p>
    <w:p w:rsidR="003E022D" w:rsidRDefault="007D19D6">
      <w:pPr>
        <w:rPr>
          <w:rFonts w:cstheme="minorHAnsi"/>
          <w:noProof/>
        </w:rPr>
      </w:pPr>
      <w:r>
        <w:rPr>
          <w:noProof/>
        </w:rPr>
        <w:t>5.</w:t>
      </w:r>
      <w:r>
        <w:rPr>
          <w:noProof/>
        </w:rPr>
        <w:tab/>
        <w:t>Šā panta 1.–4. punktā minētās darbības nedrošu stāvokļu novēršanai un drošības informācijas apmaiņai sīki izklāsta tehniskās īstenošanas procedūrās.</w:t>
      </w:r>
    </w:p>
    <w:p w:rsidR="003E022D" w:rsidRDefault="007D19D6">
      <w:pPr>
        <w:rPr>
          <w:rFonts w:cstheme="minorHAnsi"/>
          <w:noProof/>
        </w:rPr>
      </w:pPr>
      <w:r>
        <w:rPr>
          <w:noProof/>
        </w:rPr>
        <w:t>6.</w:t>
      </w:r>
      <w:r>
        <w:rPr>
          <w:noProof/>
        </w:rPr>
        <w:tab/>
        <w:t>Viena</w:t>
      </w:r>
      <w:r>
        <w:rPr>
          <w:noProof/>
        </w:rPr>
        <w:t>s Puses tehniskais pārstāvis sniedz otras Puses tehniskajam pārstāvim visu obligāto informāciju par lidojumderīguma uzturēšanu saistībā ar civilās aeronavigācijas ražojumiem, kas konstruēti vai ražoti tā uzraudzības sistēmā un kas ietilpst šā pielikuma dar</w:t>
      </w:r>
      <w:r>
        <w:rPr>
          <w:noProof/>
        </w:rPr>
        <w:t>bības jomā.</w:t>
      </w:r>
    </w:p>
    <w:p w:rsidR="003E022D" w:rsidRDefault="007D19D6">
      <w:pPr>
        <w:rPr>
          <w:rFonts w:cstheme="minorHAnsi"/>
          <w:noProof/>
        </w:rPr>
      </w:pPr>
      <w:r>
        <w:rPr>
          <w:noProof/>
        </w:rPr>
        <w:t>7.</w:t>
      </w:r>
      <w:r>
        <w:rPr>
          <w:noProof/>
        </w:rPr>
        <w:tab/>
        <w:t>Par jebkādām vienas Puses tehniskā pārstāvja izdota sertifikāta lidojumderīguma statusa izmaiņām savlaicīgi paziņo otras Puses tehniskajam pārstāvim.</w:t>
      </w:r>
    </w:p>
    <w:p w:rsidR="003E022D" w:rsidRDefault="007D19D6">
      <w:pPr>
        <w:pStyle w:val="Section"/>
        <w:rPr>
          <w:noProof/>
        </w:rPr>
      </w:pPr>
      <w:r>
        <w:rPr>
          <w:noProof/>
        </w:rPr>
        <w:t>E IEDAĻA. Ražošanas sertifikācija</w:t>
      </w:r>
    </w:p>
    <w:p w:rsidR="003E022D" w:rsidRDefault="007D19D6">
      <w:pPr>
        <w:pStyle w:val="Article"/>
        <w:rPr>
          <w:noProof/>
          <w:color w:val="FF0000"/>
        </w:rPr>
      </w:pPr>
      <w:r>
        <w:rPr>
          <w:noProof/>
        </w:rPr>
        <w:t>21. pants.</w:t>
      </w:r>
      <w:r>
        <w:rPr>
          <w:noProof/>
          <w:color w:val="FF0000"/>
        </w:rPr>
        <w:t xml:space="preserve"> </w:t>
      </w:r>
      <w:r>
        <w:rPr>
          <w:noProof/>
        </w:rPr>
        <w:t xml:space="preserve">Ražošanas sertifikācijas un ražošanas </w:t>
      </w:r>
      <w:r>
        <w:rPr>
          <w:noProof/>
        </w:rPr>
        <w:t>pārraudzības sistēmu atzīšana</w:t>
      </w:r>
    </w:p>
    <w:p w:rsidR="003E022D" w:rsidRDefault="007D19D6">
      <w:pPr>
        <w:rPr>
          <w:rFonts w:cstheme="minorHAnsi"/>
          <w:noProof/>
        </w:rPr>
      </w:pPr>
      <w:r>
        <w:rPr>
          <w:noProof/>
        </w:rPr>
        <w:t>1.</w:t>
      </w:r>
      <w:r>
        <w:rPr>
          <w:noProof/>
        </w:rPr>
        <w:tab/>
        <w:t>Importētāja Puse atzīst eksportētājas Puses ražošanas sertifikācijas un ražošanas pārraudzības sistēmu, jo sistēmu uzskata par pietiekami līdzvērtīgu importētājas Puses sistēmai šā pielikuma darbības jomā, ievērojot šā pant</w:t>
      </w:r>
      <w:r>
        <w:rPr>
          <w:noProof/>
        </w:rPr>
        <w:t>a noteikumus.</w:t>
      </w:r>
    </w:p>
    <w:p w:rsidR="003E022D" w:rsidRDefault="007D19D6">
      <w:pPr>
        <w:rPr>
          <w:rFonts w:cstheme="minorHAnsi"/>
          <w:noProof/>
        </w:rPr>
      </w:pPr>
      <w:r>
        <w:rPr>
          <w:noProof/>
        </w:rPr>
        <w:t>2.</w:t>
      </w:r>
      <w:r>
        <w:rPr>
          <w:noProof/>
        </w:rPr>
        <w:tab/>
        <w:t>Savienība atzīst Apvienotās Karalistes ražošanas sertifikācijas un ražošanas pārraudzības sistēmu tikai attiecībā uz to civilās aeronavigācijas ražojumu kategoriju ražošanas atzīšanu, uz kurām minētā sistēma attiecās jau 2020. gada 31. dec</w:t>
      </w:r>
      <w:r>
        <w:rPr>
          <w:noProof/>
        </w:rPr>
        <w:t>embrī, kā sīki izklāstīts tehniskās īstenošanas procedūrās.</w:t>
      </w:r>
    </w:p>
    <w:p w:rsidR="003E022D" w:rsidRDefault="007D19D6">
      <w:pPr>
        <w:rPr>
          <w:rFonts w:cstheme="minorHAnsi"/>
          <w:noProof/>
        </w:rPr>
      </w:pPr>
      <w:r>
        <w:rPr>
          <w:noProof/>
        </w:rPr>
        <w:t>3.</w:t>
      </w:r>
      <w:r>
        <w:rPr>
          <w:noProof/>
        </w:rPr>
        <w:tab/>
        <w:t>Gadījumā, ja eksportētājas Puses ražošanas sertifikācijas un ražošanas pārraudzības sistēmā tiek pievienota jauna civilās aeronavigācijas ražojumu kategorija, tad eksportētāja Puse to paziņo im</w:t>
      </w:r>
      <w:r>
        <w:rPr>
          <w:noProof/>
        </w:rPr>
        <w:t>portētājas Puses tehniskajam pārstāvim. Pirms ražošanas sertifikācijas un ražošanas pārraudzības sistēmas atzīšanas paplašināšanas, attiecinot to uz jauno civilās aeronavigācijas ražojumu kategoriju, importētājas Puses tehniskais pārstāvis var nolemt veikt</w:t>
      </w:r>
      <w:r>
        <w:rPr>
          <w:noProof/>
        </w:rPr>
        <w:t xml:space="preserve"> novērtējumu, lai apstiprinātu, ka eksportētājas Puses ražošanas sertifikācijas un ražošanas pārraudzības sistēma attiecībā uz šo civilās aeronavigācijas ražojumu kategoriju ir pietiekami līdzvērtīga importētājas Puses ražošanas sertifikācijas un ražošanas</w:t>
      </w:r>
      <w:r>
        <w:rPr>
          <w:noProof/>
        </w:rPr>
        <w:t xml:space="preserve"> pārraudzības sistēmai. Minēto novērtējumu veic, kā norādīts tehniskās īstenošanas procedūrās, un tajā var ietvert ražošanas apstiprinājuma turētāja novērtējumu eksportētājas Puses kompetentās iestādes pārraudzībā. Eksportētājas Puses ražošanas sertifikāci</w:t>
      </w:r>
      <w:r>
        <w:rPr>
          <w:noProof/>
        </w:rPr>
        <w:t xml:space="preserve">jas un ražošanas pārraudzības sistēmas atzīšanas paplašināšanas procesu, to attiecinot uz jauno importētājas Puses civilās aeronavigācijas ražojumu kategoriju, detalizēti izklāsta tehniskās īstenošanas procedūrās. </w:t>
      </w:r>
    </w:p>
    <w:p w:rsidR="003E022D" w:rsidRDefault="007D19D6">
      <w:pPr>
        <w:rPr>
          <w:rFonts w:cstheme="minorHAnsi"/>
          <w:noProof/>
        </w:rPr>
      </w:pPr>
      <w:r>
        <w:rPr>
          <w:noProof/>
        </w:rPr>
        <w:t xml:space="preserve">  4.</w:t>
      </w:r>
      <w:r>
        <w:rPr>
          <w:noProof/>
        </w:rPr>
        <w:tab/>
        <w:t>Importētāja Puse atzīst eksportētāja</w:t>
      </w:r>
      <w:r>
        <w:rPr>
          <w:noProof/>
        </w:rPr>
        <w:t>s Puses ražošanas sertifikācijas un ražošanas pārraudzības sistēmu, ja drošības līmenis, ko nodrošina eksportētājas Puses ražošanas sertifikācijas un ražošanas pārraudzības sistēma, arī turpmāk ir pietiekami līdzvērtīgs tam līmenim, ko nodrošina importētāj</w:t>
      </w:r>
      <w:r>
        <w:rPr>
          <w:noProof/>
        </w:rPr>
        <w:t>as Puses ražošanas sertifikācijas un ražošanas pārraudzības sistēma. Ražošanas sertifikācijas un ražošanas pārraudzības sistēmas līdzvērtību pastāvīgi uzrauga, izmantojot 29. pantā [Kompetento iestāžu kvalifikācijas uzturēšana] minētās procedūras.</w:t>
      </w:r>
    </w:p>
    <w:p w:rsidR="003E022D" w:rsidRDefault="007D19D6">
      <w:pPr>
        <w:rPr>
          <w:rFonts w:cstheme="minorHAnsi"/>
          <w:noProof/>
        </w:rPr>
      </w:pPr>
      <w:r>
        <w:rPr>
          <w:noProof/>
        </w:rPr>
        <w:t>5.</w:t>
      </w:r>
      <w:r>
        <w:rPr>
          <w:noProof/>
        </w:rPr>
        <w:tab/>
        <w:t>Šā pa</w:t>
      </w:r>
      <w:r>
        <w:rPr>
          <w:noProof/>
        </w:rPr>
        <w:t>nta 1. līdz 3. punktu piemēro arī tāda civilās aeronavigācijas ražojuma ražošanai, kura projektētājvalsts pienākumus veic valsts, kas nav civilās aeronavigācijas ražojuma eksportētāja Puse, ar nosacījumu, ka eksportētājas Puses kompetentā iestāde ir izveid</w:t>
      </w:r>
      <w:r>
        <w:rPr>
          <w:noProof/>
        </w:rPr>
        <w:t>ojusi un īstenojusi nepieciešamās procedūras ar projektētājvalsts attiecīgo iestādi, kas vajadzīgas, lai kontrolētu saskarsmi starp attiecīgā civilās aeronavigācijas ražojuma konstrukcijas sertifikāta turētāju un ražošanas apstiprinājuma turētāju par to ci</w:t>
      </w:r>
      <w:r>
        <w:rPr>
          <w:noProof/>
        </w:rPr>
        <w:t>vilās aeronavigācijas ražojumu.</w:t>
      </w:r>
    </w:p>
    <w:p w:rsidR="003E022D" w:rsidRDefault="007D19D6">
      <w:pPr>
        <w:pStyle w:val="Article"/>
        <w:rPr>
          <w:noProof/>
          <w:color w:val="FF0000"/>
        </w:rPr>
      </w:pPr>
      <w:r>
        <w:rPr>
          <w:noProof/>
        </w:rPr>
        <w:t>22. pants. Ražošanas apstiprinājuma paplašināšana</w:t>
      </w:r>
    </w:p>
    <w:p w:rsidR="003E022D" w:rsidRDefault="007D19D6">
      <w:pPr>
        <w:rPr>
          <w:rFonts w:cstheme="minorHAnsi"/>
          <w:noProof/>
        </w:rPr>
      </w:pPr>
      <w:r>
        <w:rPr>
          <w:noProof/>
        </w:rPr>
        <w:t>1. Ražošanas apstiprinājumu, ko eksportētājas Puses kompetentā iestāde izdevusi ražotājam, kura galvenā mītne ir minētās eksportētājas Puses teritorijā un kurš atzīts saskaņā</w:t>
      </w:r>
      <w:r>
        <w:rPr>
          <w:noProof/>
        </w:rPr>
        <w:t xml:space="preserve"> ar 21. panta [Ražošanas sertifikācijas un ražošanas pārraudzības sistēmu atzīšana] 1. punktu, var paplašināt, iekļaujot tajos ražotāja ražotnes un iekārtas, kuras atrodas otras Puses teritorijā vai trešās valsts teritorijā, neatkarīgi no minēto ražotņu un</w:t>
      </w:r>
      <w:r>
        <w:rPr>
          <w:noProof/>
        </w:rPr>
        <w:t xml:space="preserve"> iekārtu juridiskā statusa un neatkarīgi no tā, kāda veida aeronavigācijas ražojums tiek ražots minētajās ražotnēs vai iekārtās. Šādā gadījumā eksportētājas Puses kompetentā iestāde saglabā atbildību par minēto ražotņu un iekārtu uzraudzību un importētājas</w:t>
      </w:r>
      <w:r>
        <w:rPr>
          <w:noProof/>
        </w:rPr>
        <w:t xml:space="preserve"> Puses kompetentā iestāde neizdod savu ražošanas apstiprinājumu šīm ražotnēm un iekārtām attiecībā uz to pašu civilās aeronavigācijas ražojumu.</w:t>
      </w:r>
    </w:p>
    <w:p w:rsidR="003E022D" w:rsidRDefault="007D19D6">
      <w:pPr>
        <w:rPr>
          <w:rFonts w:cstheme="minorHAnsi"/>
          <w:noProof/>
        </w:rPr>
      </w:pPr>
      <w:r>
        <w:rPr>
          <w:noProof/>
        </w:rPr>
        <w:t>2.</w:t>
      </w:r>
      <w:r>
        <w:rPr>
          <w:noProof/>
        </w:rPr>
        <w:tab/>
        <w:t>Ja ražotāja, kas galvenokārt atrodas eksportētājas Puses teritorijā, iekārtas un ražotnes atrodas otras Puses</w:t>
      </w:r>
      <w:r>
        <w:rPr>
          <w:noProof/>
        </w:rPr>
        <w:t xml:space="preserve"> teritorijā, tad abu Pušu kompetentās iestādes sadarbojas viena ar otru saskaņā ar 32. pantu [Atbalsts sertifikācijas un lidojumderīguma uzturēšanas uzraudzības darbībām], lai nodrošinātu importētājai Pusei iespēju piedalīties eksportētājas Puses uzraudzīb</w:t>
      </w:r>
      <w:r>
        <w:rPr>
          <w:noProof/>
        </w:rPr>
        <w:t>as darbībās saistībā ar šīm iekārtām.</w:t>
      </w:r>
    </w:p>
    <w:p w:rsidR="003E022D" w:rsidRDefault="007D19D6">
      <w:pPr>
        <w:pStyle w:val="Article"/>
        <w:rPr>
          <w:noProof/>
        </w:rPr>
      </w:pPr>
      <w:r>
        <w:rPr>
          <w:noProof/>
        </w:rPr>
        <w:t>23. pants. Ražošanas apstiprinājuma turētāja un konstrukcijas sertifikāta turētāja saskarsme</w:t>
      </w:r>
    </w:p>
    <w:p w:rsidR="003E022D" w:rsidRDefault="007D19D6">
      <w:pPr>
        <w:rPr>
          <w:rFonts w:cstheme="minorHAnsi"/>
          <w:noProof/>
        </w:rPr>
      </w:pPr>
      <w:r>
        <w:rPr>
          <w:noProof/>
        </w:rPr>
        <w:t>1.</w:t>
      </w:r>
      <w:r>
        <w:rPr>
          <w:noProof/>
        </w:rPr>
        <w:tab/>
        <w:t xml:space="preserve">Gadījumos, kad kāda civilās aeronavigācijas ražojuma ražošanas apstiprinājuma turētāju reglamentē vienas Puses kompetentā </w:t>
      </w:r>
      <w:r>
        <w:rPr>
          <w:noProof/>
        </w:rPr>
        <w:t>iestāde un tā paša civilās aeronavigācijas ražojuma konstrukcijas sertifikāta turētāju reglamentē otras Puses kompetentā iestāde, abu Pušu kompetentās iestādes izstrādā procedūras, ar ko nosaka katras Puses pienākumus ražošanas apstiprinājuma turētāja un k</w:t>
      </w:r>
      <w:r>
        <w:rPr>
          <w:noProof/>
        </w:rPr>
        <w:t>onstrukcijas sertifikāta turētāja saskarsmes kontrolei.</w:t>
      </w:r>
    </w:p>
    <w:p w:rsidR="003E022D" w:rsidRDefault="007D19D6">
      <w:pPr>
        <w:rPr>
          <w:rFonts w:cstheme="minorHAnsi"/>
          <w:noProof/>
        </w:rPr>
      </w:pPr>
      <w:r>
        <w:rPr>
          <w:noProof/>
        </w:rPr>
        <w:t>2.</w:t>
      </w:r>
      <w:r>
        <w:rPr>
          <w:noProof/>
        </w:rPr>
        <w:tab/>
        <w:t>Ja konstrukcijas sertifikāta turētājs un ražošanas apstiprinājuma turētājs nav viens un tas pats tiesību subjekts, civilās aeronavigācijas ražojumu eksportēšanai saskaņā ar šo pielikumu Pušu kompet</w:t>
      </w:r>
      <w:r>
        <w:rPr>
          <w:noProof/>
        </w:rPr>
        <w:t>entās iestādes nodrošina, ka konstrukcijas sertifikāta turētājs panāk atbilstošu vienošanos ar ražošanas apstiprinājuma turētāju nolūkā nodrošināt apmierinošu konstruēšanas un ražošanas koordināciju un pienācīgu civilās aeronavigācijas ražojuma lidojumderī</w:t>
      </w:r>
      <w:r>
        <w:rPr>
          <w:noProof/>
        </w:rPr>
        <w:t>guma uzturēšanas atbalstu.</w:t>
      </w:r>
    </w:p>
    <w:p w:rsidR="003E022D" w:rsidRDefault="007D19D6">
      <w:pPr>
        <w:pStyle w:val="Section"/>
        <w:rPr>
          <w:noProof/>
        </w:rPr>
      </w:pPr>
      <w:r>
        <w:rPr>
          <w:noProof/>
        </w:rPr>
        <w:t>F IEDAĻA. Eksporta sertifikāti</w:t>
      </w:r>
    </w:p>
    <w:p w:rsidR="003E022D" w:rsidRDefault="007D19D6">
      <w:pPr>
        <w:pStyle w:val="Article"/>
        <w:rPr>
          <w:noProof/>
        </w:rPr>
      </w:pPr>
      <w:r>
        <w:rPr>
          <w:noProof/>
        </w:rPr>
        <w:t>24. pants. Veidlapas</w:t>
      </w:r>
    </w:p>
    <w:p w:rsidR="003E022D" w:rsidRDefault="007D19D6">
      <w:pPr>
        <w:rPr>
          <w:rFonts w:cstheme="minorHAnsi"/>
          <w:noProof/>
        </w:rPr>
      </w:pPr>
      <w:r>
        <w:rPr>
          <w:noProof/>
        </w:rPr>
        <w:t>Eksportētājas Puses veidlapas ir:</w:t>
      </w:r>
    </w:p>
    <w:p w:rsidR="003E022D" w:rsidRDefault="007D19D6">
      <w:pPr>
        <w:numPr>
          <w:ilvl w:val="0"/>
          <w:numId w:val="977"/>
        </w:numPr>
        <w:ind w:left="567" w:hanging="567"/>
        <w:rPr>
          <w:rFonts w:cstheme="minorHAnsi"/>
          <w:noProof/>
        </w:rPr>
      </w:pPr>
      <w:r>
        <w:rPr>
          <w:noProof/>
        </w:rPr>
        <w:t xml:space="preserve">ja eksportētāja Puse ir Apvienotā Karaliste, </w:t>
      </w:r>
      <w:r>
        <w:rPr>
          <w:i/>
          <w:iCs/>
          <w:noProof/>
        </w:rPr>
        <w:t>CAA</w:t>
      </w:r>
      <w:r>
        <w:rPr>
          <w:noProof/>
        </w:rPr>
        <w:t xml:space="preserve"> 52. veidlapa jauniem gaisa kuģiem, eksporta lidojumderīguma sertifikāts lietotiem gaisa kuģiem</w:t>
      </w:r>
      <w:r>
        <w:rPr>
          <w:noProof/>
        </w:rPr>
        <w:t xml:space="preserve"> un </w:t>
      </w:r>
      <w:r>
        <w:rPr>
          <w:i/>
          <w:iCs/>
          <w:noProof/>
        </w:rPr>
        <w:t>CAA</w:t>
      </w:r>
      <w:r>
        <w:rPr>
          <w:noProof/>
        </w:rPr>
        <w:t xml:space="preserve"> 1. veidlapa citiem jauniem ražojumiem; un</w:t>
      </w:r>
    </w:p>
    <w:p w:rsidR="003E022D" w:rsidRDefault="007D19D6">
      <w:pPr>
        <w:numPr>
          <w:ilvl w:val="0"/>
          <w:numId w:val="977"/>
        </w:numPr>
        <w:ind w:left="567" w:hanging="567"/>
        <w:rPr>
          <w:rFonts w:cstheme="minorHAnsi"/>
          <w:noProof/>
        </w:rPr>
      </w:pPr>
      <w:r>
        <w:rPr>
          <w:noProof/>
        </w:rPr>
        <w:t xml:space="preserve">ja eksportētāja Puse ir Savienība, </w:t>
      </w:r>
      <w:r>
        <w:rPr>
          <w:i/>
          <w:iCs/>
          <w:noProof/>
        </w:rPr>
        <w:t>EASA</w:t>
      </w:r>
      <w:r>
        <w:rPr>
          <w:noProof/>
        </w:rPr>
        <w:t xml:space="preserve"> 52. veidlapa jauniem gaisa kuģiem, eksporta lidojumderīguma sertifikāts lietotiem gaisa kuģiem un </w:t>
      </w:r>
      <w:r>
        <w:rPr>
          <w:i/>
          <w:iCs/>
          <w:noProof/>
        </w:rPr>
        <w:t>EASA</w:t>
      </w:r>
      <w:r>
        <w:rPr>
          <w:noProof/>
        </w:rPr>
        <w:t xml:space="preserve"> 1. veidlapa citiem jauniem ražojumiem.</w:t>
      </w:r>
    </w:p>
    <w:p w:rsidR="003E022D" w:rsidRDefault="007D19D6">
      <w:pPr>
        <w:pStyle w:val="Article"/>
        <w:rPr>
          <w:noProof/>
        </w:rPr>
      </w:pPr>
      <w:r>
        <w:rPr>
          <w:noProof/>
        </w:rPr>
        <w:t>25. pants. Eksporta sert</w:t>
      </w:r>
      <w:r>
        <w:rPr>
          <w:noProof/>
        </w:rPr>
        <w:t>ifikāta izdošana</w:t>
      </w:r>
    </w:p>
    <w:p w:rsidR="003E022D" w:rsidRDefault="007D19D6">
      <w:pPr>
        <w:rPr>
          <w:rFonts w:cstheme="minorHAnsi"/>
          <w:noProof/>
        </w:rPr>
      </w:pPr>
      <w:r>
        <w:rPr>
          <w:noProof/>
        </w:rPr>
        <w:t>1.</w:t>
      </w:r>
      <w:r>
        <w:rPr>
          <w:noProof/>
        </w:rPr>
        <w:tab/>
        <w:t>Izdodot eksporta sertifikātu, eksportētājas Puses kompetentā iestāde vai ražošanas apstiprinājuma turētājs nodrošina, ka šāds civilās aeronavigācijas ražojums:</w:t>
      </w:r>
    </w:p>
    <w:p w:rsidR="003E022D" w:rsidRDefault="007D19D6">
      <w:pPr>
        <w:numPr>
          <w:ilvl w:val="0"/>
          <w:numId w:val="978"/>
        </w:numPr>
        <w:ind w:left="567" w:hanging="567"/>
        <w:rPr>
          <w:rFonts w:cstheme="minorHAnsi"/>
          <w:noProof/>
        </w:rPr>
      </w:pPr>
      <w:r>
        <w:rPr>
          <w:noProof/>
        </w:rPr>
        <w:t xml:space="preserve">atbilst konstrukcijai, kas automātiski atzīta vai apstiprināta vai </w:t>
      </w:r>
      <w:r>
        <w:rPr>
          <w:noProof/>
        </w:rPr>
        <w:t>sertificēta importētājā Pusē saskaņā ar šo pielikumu, un kā sīki izklāstīts tehniskās īstenošanas procedūrās;</w:t>
      </w:r>
    </w:p>
    <w:p w:rsidR="003E022D" w:rsidRDefault="007D19D6">
      <w:pPr>
        <w:numPr>
          <w:ilvl w:val="0"/>
          <w:numId w:val="978"/>
        </w:numPr>
        <w:ind w:left="567" w:hanging="567"/>
        <w:rPr>
          <w:rFonts w:cstheme="minorHAnsi"/>
          <w:noProof/>
        </w:rPr>
      </w:pPr>
      <w:r>
        <w:rPr>
          <w:noProof/>
        </w:rPr>
        <w:t>ir drošas ekspluatācijas stāvoklī;</w:t>
      </w:r>
    </w:p>
    <w:p w:rsidR="003E022D" w:rsidRDefault="007D19D6">
      <w:pPr>
        <w:numPr>
          <w:ilvl w:val="0"/>
          <w:numId w:val="978"/>
        </w:numPr>
        <w:ind w:left="567" w:hanging="567"/>
        <w:rPr>
          <w:rFonts w:cstheme="minorHAnsi"/>
          <w:noProof/>
        </w:rPr>
      </w:pPr>
      <w:r>
        <w:rPr>
          <w:noProof/>
        </w:rPr>
        <w:t>atbilst visām importētājas Puses paziņotajām papildprasībām; un</w:t>
      </w:r>
    </w:p>
    <w:p w:rsidR="003E022D" w:rsidRDefault="007D19D6">
      <w:pPr>
        <w:numPr>
          <w:ilvl w:val="0"/>
          <w:numId w:val="978"/>
        </w:numPr>
        <w:ind w:left="567" w:hanging="567"/>
        <w:rPr>
          <w:bCs/>
          <w:noProof/>
          <w:sz w:val="24"/>
          <w:szCs w:val="24"/>
        </w:rPr>
      </w:pPr>
      <w:r>
        <w:rPr>
          <w:noProof/>
        </w:rPr>
        <w:t>attiecībā uz civilās aviācijas gaisa kuģiem, ga</w:t>
      </w:r>
      <w:r>
        <w:rPr>
          <w:noProof/>
        </w:rPr>
        <w:t>isa kuģu dzinējiem un gaisa kuģu propelleriem atbilst piemērojamajai obligātajai lidojumderīguma uzturēšanas informācijai, tostarp importētājas Puses lidojumderīguma direktīvām, ko paziņojusi minētā Puse.</w:t>
      </w:r>
    </w:p>
    <w:p w:rsidR="003E022D" w:rsidRDefault="007D19D6">
      <w:pPr>
        <w:rPr>
          <w:rFonts w:cstheme="minorHAnsi"/>
          <w:noProof/>
        </w:rPr>
      </w:pPr>
      <w:r>
        <w:rPr>
          <w:noProof/>
        </w:rPr>
        <w:t>2.</w:t>
      </w:r>
      <w:r>
        <w:rPr>
          <w:noProof/>
        </w:rPr>
        <w:tab/>
        <w:t>Izdodot lidojumderīguma eksporta sertifikātu lie</w:t>
      </w:r>
      <w:r>
        <w:rPr>
          <w:noProof/>
        </w:rPr>
        <w:t>totam gaisa kuģim, kas reģistrēts eksportētājā Pusē, papildus 1. punkta a) līdz d) apakšpunktā minētajām prasībām eksportētājas Puses kompetentā iestāde nodrošina, ka šādam gaisa kuģim tā ekspluatācijas laikā ir veikta pienācīga tehniskā apkope, izmantojot</w:t>
      </w:r>
      <w:r>
        <w:rPr>
          <w:noProof/>
        </w:rPr>
        <w:t xml:space="preserve"> eksportētājas Puses apstiprinātas procedūras un metodes, par ko liecina gaisa kuģa žurnāli un tehniskās apkopes uzskaite.</w:t>
      </w:r>
    </w:p>
    <w:p w:rsidR="003E022D" w:rsidRDefault="007D19D6">
      <w:pPr>
        <w:pStyle w:val="Article"/>
        <w:rPr>
          <w:noProof/>
        </w:rPr>
      </w:pPr>
      <w:r>
        <w:rPr>
          <w:noProof/>
        </w:rPr>
        <w:t>26. pants. Jauna civilās aeronavigācijas ražojuma eksporta sertifikāta atzīšana</w:t>
      </w:r>
    </w:p>
    <w:p w:rsidR="003E022D" w:rsidRDefault="007D19D6">
      <w:pPr>
        <w:rPr>
          <w:rFonts w:cstheme="minorHAnsi"/>
          <w:noProof/>
        </w:rPr>
      </w:pPr>
      <w:r>
        <w:rPr>
          <w:noProof/>
        </w:rPr>
        <w:t>Importētājas Puses kompetentā iestāde atzīst eksporta</w:t>
      </w:r>
      <w:r>
        <w:rPr>
          <w:noProof/>
        </w:rPr>
        <w:t xml:space="preserve"> sertifikātu, ko attiecībā uz civilās aeronavigācijas ražojumu izdevusi eksportētājas Puses kompetentā iestāde vai ražošanas apstiprinājuma turētājs, saskaņā ar šajā pielikumā izklāstītajiem noteikumiem un nosacījumiem un kā sīki izklāstīts tehniskās īsten</w:t>
      </w:r>
      <w:r>
        <w:rPr>
          <w:noProof/>
        </w:rPr>
        <w:t>ošanas procedūrās.</w:t>
      </w:r>
    </w:p>
    <w:p w:rsidR="003E022D" w:rsidRDefault="007D19D6">
      <w:pPr>
        <w:pStyle w:val="Article"/>
        <w:rPr>
          <w:noProof/>
        </w:rPr>
      </w:pPr>
      <w:r>
        <w:rPr>
          <w:noProof/>
        </w:rPr>
        <w:t>27. pants. Lietota gaisa kuģa lidojumderīguma eksporta sertifikāta atzīšana</w:t>
      </w:r>
    </w:p>
    <w:p w:rsidR="003E022D" w:rsidRDefault="007D19D6">
      <w:pPr>
        <w:rPr>
          <w:rFonts w:cstheme="minorHAnsi"/>
          <w:noProof/>
        </w:rPr>
      </w:pPr>
      <w:r>
        <w:rPr>
          <w:noProof/>
        </w:rPr>
        <w:t>1.</w:t>
      </w:r>
      <w:r>
        <w:rPr>
          <w:noProof/>
        </w:rPr>
        <w:tab/>
        <w:t>Importētājas Puses kompetentā iestāde atzīst lidojumderīguma eksporta sertifikātu, ko eksportētājas Puses kompetentā iestāde izdevusi lietotam gaisa kuģim sas</w:t>
      </w:r>
      <w:r>
        <w:rPr>
          <w:noProof/>
        </w:rPr>
        <w:t>kaņā ar šajā pielikumā izklāstītajiem noteikumiem un nosacījumiem un tehniskās īstenošanas procedūrām, tikai tad, ja lietotajam gaisa kuģim attiecīgā gaisa kuģa tipa lidojumderīguma uzturēšanas atbalstam ir tipa sertifikāta turētājs vai ierobežota tipa ser</w:t>
      </w:r>
      <w:r>
        <w:rPr>
          <w:noProof/>
        </w:rPr>
        <w:t>tifikāta turētājs.</w:t>
      </w:r>
    </w:p>
    <w:p w:rsidR="003E022D" w:rsidRDefault="007D19D6">
      <w:pPr>
        <w:rPr>
          <w:rFonts w:cstheme="minorHAnsi"/>
          <w:noProof/>
        </w:rPr>
      </w:pPr>
      <w:r>
        <w:rPr>
          <w:noProof/>
        </w:rPr>
        <w:t>2.</w:t>
      </w:r>
      <w:r>
        <w:rPr>
          <w:noProof/>
        </w:rPr>
        <w:tab/>
        <w:t>Lai lietota gaisa kuģa, kas ražots eksportētājas Puses ražošanas uzraudzībā, lidojumderīguma eksporta sertifikātu varētu atzīt saskaņā ar 1. punktu, eksportētājas Puses kompetentā iestāde pēc pieprasījuma palīdz importētājas Puses kom</w:t>
      </w:r>
      <w:r>
        <w:rPr>
          <w:noProof/>
        </w:rPr>
        <w:t>petentajai iestādei iegūt datus un informāciju par:</w:t>
      </w:r>
    </w:p>
    <w:p w:rsidR="003E022D" w:rsidRDefault="007D19D6">
      <w:pPr>
        <w:numPr>
          <w:ilvl w:val="0"/>
          <w:numId w:val="979"/>
        </w:numPr>
        <w:ind w:left="567" w:hanging="567"/>
        <w:rPr>
          <w:rFonts w:cstheme="minorHAnsi"/>
          <w:noProof/>
        </w:rPr>
      </w:pPr>
      <w:r>
        <w:rPr>
          <w:noProof/>
        </w:rPr>
        <w:t>gaisa kuģa konfigurāciju laikā, kad tas atstāja ražotāja rūpnīcu; un</w:t>
      </w:r>
    </w:p>
    <w:p w:rsidR="003E022D" w:rsidRDefault="007D19D6">
      <w:pPr>
        <w:numPr>
          <w:ilvl w:val="0"/>
          <w:numId w:val="979"/>
        </w:numPr>
        <w:ind w:left="567" w:hanging="567"/>
        <w:rPr>
          <w:rFonts w:cstheme="minorHAnsi"/>
          <w:noProof/>
        </w:rPr>
      </w:pPr>
      <w:r>
        <w:rPr>
          <w:noProof/>
        </w:rPr>
        <w:t>tās apstiprinātām turpmākām izmaiņām un remontiem, kas veikti gaisa kuģim.</w:t>
      </w:r>
    </w:p>
    <w:p w:rsidR="003E022D" w:rsidRDefault="007D19D6">
      <w:pPr>
        <w:rPr>
          <w:rFonts w:cstheme="minorHAnsi"/>
          <w:noProof/>
        </w:rPr>
      </w:pPr>
      <w:r>
        <w:rPr>
          <w:noProof/>
        </w:rPr>
        <w:t>3.</w:t>
      </w:r>
      <w:r>
        <w:rPr>
          <w:noProof/>
        </w:rPr>
        <w:tab/>
        <w:t xml:space="preserve">Importētāja Puse var pieprasīt pārbaužu dokumentāciju un </w:t>
      </w:r>
      <w:r>
        <w:rPr>
          <w:noProof/>
        </w:rPr>
        <w:t>tehniskās apkopes uzskaiti, kā sīki izklāstīts tehniskās īstenošanas procedūrās.</w:t>
      </w:r>
    </w:p>
    <w:p w:rsidR="003E022D" w:rsidRDefault="007D19D6">
      <w:pPr>
        <w:rPr>
          <w:rFonts w:cstheme="minorHAnsi"/>
          <w:noProof/>
        </w:rPr>
      </w:pPr>
      <w:r>
        <w:rPr>
          <w:noProof/>
        </w:rPr>
        <w:t>4.</w:t>
      </w:r>
      <w:r>
        <w:rPr>
          <w:noProof/>
        </w:rPr>
        <w:tab/>
        <w:t>Ja, izvērtējot kāda eksportam paredzēta lietota gaisa kuģa lidojumderīguma statusu, eksportētājas Puses kompetentā iestāde nespēj noteikt atbilstību visām 25. panta [Ekspor</w:t>
      </w:r>
      <w:r>
        <w:rPr>
          <w:noProof/>
        </w:rPr>
        <w:t>ta sertifikāta izdošana] 2. punktā un šā panta 1. un 2. punktā noteiktajām prasībām, tā:</w:t>
      </w:r>
    </w:p>
    <w:p w:rsidR="003E022D" w:rsidRDefault="007D19D6">
      <w:pPr>
        <w:numPr>
          <w:ilvl w:val="0"/>
          <w:numId w:val="980"/>
        </w:numPr>
        <w:ind w:left="567" w:hanging="567"/>
        <w:rPr>
          <w:rFonts w:cstheme="minorHAnsi"/>
          <w:noProof/>
        </w:rPr>
      </w:pPr>
      <w:r>
        <w:rPr>
          <w:noProof/>
        </w:rPr>
        <w:t>informē importētājas Puses kompetento iestādi;</w:t>
      </w:r>
    </w:p>
    <w:p w:rsidR="003E022D" w:rsidRDefault="007D19D6">
      <w:pPr>
        <w:numPr>
          <w:ilvl w:val="0"/>
          <w:numId w:val="980"/>
        </w:numPr>
        <w:ind w:left="567" w:hanging="567"/>
        <w:rPr>
          <w:rFonts w:cstheme="minorHAnsi"/>
          <w:noProof/>
        </w:rPr>
      </w:pPr>
      <w:r>
        <w:rPr>
          <w:noProof/>
        </w:rPr>
        <w:t xml:space="preserve">ar importētājas Puses kompetento iestādi saskaņo, kā sīki izklāstīts tehniskās īstenošanas procedūrās, piekrišanu </w:t>
      </w:r>
      <w:r>
        <w:rPr>
          <w:noProof/>
        </w:rPr>
        <w:t>izņēmumiem no piemērojamajām prasībām vai to noraidīšanu un</w:t>
      </w:r>
    </w:p>
    <w:p w:rsidR="003E022D" w:rsidRDefault="007D19D6">
      <w:pPr>
        <w:numPr>
          <w:ilvl w:val="0"/>
          <w:numId w:val="980"/>
        </w:numPr>
        <w:ind w:left="567" w:hanging="567"/>
        <w:rPr>
          <w:bCs/>
          <w:noProof/>
          <w:sz w:val="24"/>
          <w:szCs w:val="24"/>
        </w:rPr>
      </w:pPr>
      <w:r>
        <w:rPr>
          <w:noProof/>
        </w:rPr>
        <w:t>reģistrē visus pieņemtos izņēmumus, ja eksports tiek veikts.</w:t>
      </w:r>
    </w:p>
    <w:p w:rsidR="003E022D" w:rsidRDefault="007D19D6">
      <w:pPr>
        <w:pStyle w:val="Section"/>
        <w:rPr>
          <w:noProof/>
        </w:rPr>
      </w:pPr>
      <w:r>
        <w:rPr>
          <w:noProof/>
        </w:rPr>
        <w:t>G IEDAĻA. Kompetento iestāžu kvalifikācija</w:t>
      </w:r>
    </w:p>
    <w:p w:rsidR="003E022D" w:rsidRDefault="007D19D6">
      <w:pPr>
        <w:pStyle w:val="Article"/>
        <w:rPr>
          <w:noProof/>
        </w:rPr>
      </w:pPr>
      <w:r>
        <w:rPr>
          <w:noProof/>
        </w:rPr>
        <w:t>28. pants. Kvalifikācijas prasības atbilstības atzinumu un sertifikātu atzīšanai</w:t>
      </w:r>
    </w:p>
    <w:p w:rsidR="003E022D" w:rsidRDefault="007D19D6">
      <w:pPr>
        <w:rPr>
          <w:rFonts w:cstheme="minorHAnsi"/>
          <w:noProof/>
        </w:rPr>
      </w:pPr>
      <w:r>
        <w:rPr>
          <w:noProof/>
        </w:rPr>
        <w:t>1.</w:t>
      </w:r>
      <w:r>
        <w:rPr>
          <w:noProof/>
        </w:rPr>
        <w:tab/>
        <w:t>Katra Pu</w:t>
      </w:r>
      <w:r>
        <w:rPr>
          <w:noProof/>
        </w:rPr>
        <w:t>se uztur strukturētu un efektīvu sertifikācijas un uzraudzības sistēmu šā pielikuma īstenošanai, tostarp:</w:t>
      </w:r>
    </w:p>
    <w:p w:rsidR="003E022D" w:rsidRDefault="007D19D6">
      <w:pPr>
        <w:numPr>
          <w:ilvl w:val="0"/>
          <w:numId w:val="981"/>
        </w:numPr>
        <w:ind w:left="567" w:hanging="567"/>
        <w:rPr>
          <w:rFonts w:cstheme="minorHAnsi"/>
          <w:noProof/>
        </w:rPr>
      </w:pPr>
      <w:r>
        <w:rPr>
          <w:noProof/>
        </w:rPr>
        <w:t xml:space="preserve">tiesisko un normatīvo regulējumu, kas jo īpaši nodrošina reglamentējošās pilnvaras attiecībā uz struktūrām, kuras tiek reglamentētas saskaņā ar Puses </w:t>
      </w:r>
      <w:r>
        <w:rPr>
          <w:noProof/>
        </w:rPr>
        <w:t>civilās aviācijas drošības regulatīvo sistēmu;</w:t>
      </w:r>
    </w:p>
    <w:p w:rsidR="003E022D" w:rsidRDefault="007D19D6">
      <w:pPr>
        <w:numPr>
          <w:ilvl w:val="0"/>
          <w:numId w:val="981"/>
        </w:numPr>
        <w:ind w:left="567" w:hanging="567"/>
        <w:rPr>
          <w:rFonts w:cstheme="minorHAnsi"/>
          <w:noProof/>
        </w:rPr>
      </w:pPr>
      <w:r>
        <w:rPr>
          <w:noProof/>
        </w:rPr>
        <w:t>organizatorisko struktūru, tostarp atbildības skaidru aprakstu;</w:t>
      </w:r>
    </w:p>
    <w:p w:rsidR="003E022D" w:rsidRDefault="007D19D6">
      <w:pPr>
        <w:numPr>
          <w:ilvl w:val="0"/>
          <w:numId w:val="981"/>
        </w:numPr>
        <w:ind w:left="567" w:hanging="567"/>
        <w:rPr>
          <w:rFonts w:cstheme="minorHAnsi"/>
          <w:noProof/>
        </w:rPr>
      </w:pPr>
      <w:r>
        <w:rPr>
          <w:noProof/>
        </w:rPr>
        <w:t>pietiekamus resursus, tostarp kvalificētus darbiniekus ar pietiekamām zināšanām, pieredzi un apmācību;</w:t>
      </w:r>
    </w:p>
    <w:p w:rsidR="003E022D" w:rsidRDefault="007D19D6">
      <w:pPr>
        <w:numPr>
          <w:ilvl w:val="0"/>
          <w:numId w:val="981"/>
        </w:numPr>
        <w:ind w:left="567" w:hanging="567"/>
        <w:rPr>
          <w:rFonts w:cstheme="minorHAnsi"/>
          <w:noProof/>
        </w:rPr>
      </w:pPr>
      <w:r>
        <w:rPr>
          <w:noProof/>
        </w:rPr>
        <w:t xml:space="preserve">piemērotus procesus, kas dokumentēti </w:t>
      </w:r>
      <w:r>
        <w:rPr>
          <w:noProof/>
        </w:rPr>
        <w:t>politikā un procedūrās;</w:t>
      </w:r>
    </w:p>
    <w:p w:rsidR="003E022D" w:rsidRDefault="007D19D6">
      <w:pPr>
        <w:numPr>
          <w:ilvl w:val="0"/>
          <w:numId w:val="981"/>
        </w:numPr>
        <w:ind w:left="567" w:hanging="567"/>
        <w:rPr>
          <w:rFonts w:cstheme="minorHAnsi"/>
          <w:noProof/>
        </w:rPr>
      </w:pPr>
      <w:r>
        <w:rPr>
          <w:noProof/>
        </w:rPr>
        <w:t>dokumentāciju un uzskaiti un</w:t>
      </w:r>
    </w:p>
    <w:p w:rsidR="003E022D" w:rsidRDefault="007D19D6">
      <w:pPr>
        <w:numPr>
          <w:ilvl w:val="0"/>
          <w:numId w:val="981"/>
        </w:numPr>
        <w:ind w:left="567" w:hanging="567"/>
        <w:rPr>
          <w:bCs/>
          <w:noProof/>
          <w:sz w:val="24"/>
          <w:szCs w:val="24"/>
        </w:rPr>
      </w:pPr>
      <w:r>
        <w:rPr>
          <w:noProof/>
        </w:rPr>
        <w:t>izveidotu pārbaužu programmu, ar kuru nodrošina tiesiskā un normatīvā regulējuma vienādu īstenošanu dažādos uzraudzības sistēmas elementos.</w:t>
      </w:r>
    </w:p>
    <w:p w:rsidR="003E022D" w:rsidRDefault="007D19D6">
      <w:pPr>
        <w:pStyle w:val="Article"/>
        <w:rPr>
          <w:noProof/>
        </w:rPr>
      </w:pPr>
      <w:r>
        <w:rPr>
          <w:noProof/>
        </w:rPr>
        <w:t>29. pants. Kompetento iestāžu kvalifikācijas uzturēšana</w:t>
      </w:r>
    </w:p>
    <w:p w:rsidR="003E022D" w:rsidRDefault="007D19D6">
      <w:pPr>
        <w:rPr>
          <w:rFonts w:cstheme="minorHAnsi"/>
          <w:noProof/>
        </w:rPr>
      </w:pPr>
      <w:r>
        <w:rPr>
          <w:noProof/>
        </w:rPr>
        <w:t>1.</w:t>
      </w:r>
      <w:r>
        <w:rPr>
          <w:noProof/>
        </w:rPr>
        <w:tab/>
        <w:t xml:space="preserve">Lai </w:t>
      </w:r>
      <w:r>
        <w:rPr>
          <w:noProof/>
        </w:rPr>
        <w:t>saglabātu savstarpēju uzticēšanos katras Puses regulatīvajai sistēmai attiecībā uz šā pielikuma īstenošanu, tādējādi nodrošinot pietiekami līdzvērtīgu drošības līmeni, katras Puses tehniskais pārstāvis regulāri novērtē otras Puses kompetento iestāžu atbils</w:t>
      </w:r>
      <w:r>
        <w:rPr>
          <w:noProof/>
        </w:rPr>
        <w:t>tību kvalifikācijas prasībām, kas minētas 28. pantā [Kvalifikācijas prasības atbilstības atzinumu un sertifikātu atzīšanai]. Šādas pastāvīgas savstarpējas novērtēšanas kārtību sīki izklāsta tehniskās īstenošanas procedūrās.</w:t>
      </w:r>
    </w:p>
    <w:p w:rsidR="003E022D" w:rsidRDefault="007D19D6">
      <w:pPr>
        <w:rPr>
          <w:rFonts w:cstheme="minorHAnsi"/>
          <w:noProof/>
        </w:rPr>
      </w:pPr>
      <w:r>
        <w:rPr>
          <w:noProof/>
        </w:rPr>
        <w:t>2.</w:t>
      </w:r>
      <w:r>
        <w:rPr>
          <w:noProof/>
        </w:rPr>
        <w:tab/>
        <w:t>Vienas Puses kompetentā iestā</w:t>
      </w:r>
      <w:r>
        <w:rPr>
          <w:noProof/>
        </w:rPr>
        <w:t>de sadarbojas ar otras Puses kompetento iestādi, kad vien šādi novērtējumi ir vajadzīgi, un nodrošina, ka to uzraudzībā esošās reglamentētās struktūras dod Pušu tehniskajiem pārstāvjiem piekļuvi.</w:t>
      </w:r>
    </w:p>
    <w:p w:rsidR="003E022D" w:rsidRDefault="007D19D6">
      <w:pPr>
        <w:rPr>
          <w:rFonts w:cstheme="minorHAnsi"/>
          <w:noProof/>
        </w:rPr>
      </w:pPr>
      <w:r>
        <w:rPr>
          <w:noProof/>
        </w:rPr>
        <w:t>3.</w:t>
      </w:r>
      <w:r>
        <w:rPr>
          <w:noProof/>
        </w:rPr>
        <w:tab/>
        <w:t>Ja kādas Puses tehniskais pārstāvis uzskata, ka otras Pus</w:t>
      </w:r>
      <w:r>
        <w:rPr>
          <w:noProof/>
        </w:rPr>
        <w:t>es kompetentās iestādes tehniskā kompetence vairs nav atbilstoša vai ka būtu jāaptur minētās kompetentās iestādes sagatavoto atbilstības atzinumu un izdoto sertifikātu atzīšana, jo otras Puses sistēmas, kas attiecas uz šā pielikuma īstenošanu, vairs nenodr</w:t>
      </w:r>
      <w:r>
        <w:rPr>
          <w:noProof/>
        </w:rPr>
        <w:t>ošina pietiekami līdzvērtīgu drošības līmeni, kas atļauj šādu atzīšanu, tad Pušu tehniskie pārstāvji apspriežas, lai noteiktu korektīvas darbības.</w:t>
      </w:r>
    </w:p>
    <w:p w:rsidR="003E022D" w:rsidRDefault="007D19D6">
      <w:pPr>
        <w:rPr>
          <w:rFonts w:cstheme="minorHAnsi"/>
          <w:noProof/>
        </w:rPr>
      </w:pPr>
      <w:r>
        <w:rPr>
          <w:noProof/>
        </w:rPr>
        <w:t>4.</w:t>
      </w:r>
      <w:r>
        <w:rPr>
          <w:noProof/>
        </w:rPr>
        <w:tab/>
        <w:t>Ja savstarpēja uzticēšanās netiek atjaunota ar savstarpēji pieņemamiem līdzekļiem, katras Puses tehniskais</w:t>
      </w:r>
      <w:r>
        <w:rPr>
          <w:noProof/>
        </w:rPr>
        <w:t xml:space="preserve"> pārstāvis var nodot 3. punktā minēto jautājumu izskatīšanai Sertifikācijas uzraudzības padomē.</w:t>
      </w:r>
    </w:p>
    <w:p w:rsidR="003E022D" w:rsidRDefault="007D19D6">
      <w:pPr>
        <w:rPr>
          <w:rFonts w:cstheme="minorHAnsi"/>
          <w:noProof/>
        </w:rPr>
      </w:pPr>
      <w:r>
        <w:rPr>
          <w:noProof/>
        </w:rPr>
        <w:t>5.</w:t>
      </w:r>
      <w:r>
        <w:rPr>
          <w:noProof/>
        </w:rPr>
        <w:tab/>
        <w:t xml:space="preserve">Ja Sertifikācijas uzraudzības padome neatrisina jautājumu, katra Puse 3. punktā minēto jautājumu var iesniegt izskatīšanai Specializētajā komitejā aviācijas </w:t>
      </w:r>
      <w:r>
        <w:rPr>
          <w:noProof/>
        </w:rPr>
        <w:t>drošības jomā.</w:t>
      </w:r>
    </w:p>
    <w:p w:rsidR="003E022D" w:rsidRDefault="007D19D6">
      <w:pPr>
        <w:pStyle w:val="Section"/>
        <w:rPr>
          <w:noProof/>
        </w:rPr>
      </w:pPr>
      <w:r>
        <w:rPr>
          <w:noProof/>
        </w:rPr>
        <w:t>H IEDAĻA. Saziņa, apspriedes un atbalsts</w:t>
      </w:r>
    </w:p>
    <w:p w:rsidR="003E022D" w:rsidRDefault="007D19D6">
      <w:pPr>
        <w:pStyle w:val="Article"/>
        <w:rPr>
          <w:noProof/>
        </w:rPr>
      </w:pPr>
      <w:r>
        <w:rPr>
          <w:noProof/>
        </w:rPr>
        <w:t>30. pants. Paziņojumi</w:t>
      </w:r>
    </w:p>
    <w:p w:rsidR="003E022D" w:rsidRDefault="007D19D6">
      <w:pPr>
        <w:rPr>
          <w:rFonts w:cstheme="minorHAnsi"/>
          <w:noProof/>
        </w:rPr>
      </w:pPr>
      <w:r>
        <w:rPr>
          <w:noProof/>
        </w:rPr>
        <w:t>Ievērojot izņēmumus, par kuriem Pušu tehniskie pārstāvji lemj katrā atsevišķā gadījumā, visa saziņa starp Pušu kompetentajām iestādēm, tostarp dokumentācijas sagatavošana, kā sīk</w:t>
      </w:r>
      <w:r>
        <w:rPr>
          <w:noProof/>
        </w:rPr>
        <w:t>i izklāstīts tehniskās īstenošanas procedūrās, notiek angļu valodā.</w:t>
      </w:r>
    </w:p>
    <w:p w:rsidR="003E022D" w:rsidRDefault="007D19D6">
      <w:pPr>
        <w:pStyle w:val="Article"/>
        <w:rPr>
          <w:noProof/>
        </w:rPr>
      </w:pPr>
      <w:r>
        <w:rPr>
          <w:noProof/>
        </w:rPr>
        <w:t>31. pants. Tehniskas apspriedes</w:t>
      </w:r>
    </w:p>
    <w:p w:rsidR="003E022D" w:rsidRDefault="007D19D6">
      <w:pPr>
        <w:rPr>
          <w:rFonts w:cstheme="minorHAnsi"/>
          <w:noProof/>
        </w:rPr>
      </w:pPr>
      <w:r>
        <w:rPr>
          <w:noProof/>
        </w:rPr>
        <w:t>1.</w:t>
      </w:r>
      <w:r>
        <w:rPr>
          <w:noProof/>
        </w:rPr>
        <w:tab/>
        <w:t>Pušu tehniskie pārstāvji jautājumus, kas saistīti ar šā pielikuma īstenošanu, risina apspriedēs.</w:t>
      </w:r>
    </w:p>
    <w:p w:rsidR="003E022D" w:rsidRDefault="007D19D6">
      <w:pPr>
        <w:rPr>
          <w:rFonts w:cstheme="minorHAnsi"/>
          <w:noProof/>
        </w:rPr>
      </w:pPr>
      <w:r>
        <w:rPr>
          <w:noProof/>
        </w:rPr>
        <w:t>2.</w:t>
      </w:r>
      <w:r>
        <w:rPr>
          <w:noProof/>
        </w:rPr>
        <w:tab/>
        <w:t>Ja apspriedēs, kas notiek saskaņā ar 1. punktu, netie</w:t>
      </w:r>
      <w:r>
        <w:rPr>
          <w:noProof/>
        </w:rPr>
        <w:t>k panākts abpusēji pieņemams risinājums, katras Puses tehniskais pārstāvis var nodot 1. punktā minēto jautājumu Sertifikācijas uzraudzības padomei.</w:t>
      </w:r>
    </w:p>
    <w:p w:rsidR="003E022D" w:rsidRDefault="007D19D6">
      <w:pPr>
        <w:rPr>
          <w:rFonts w:cstheme="minorHAnsi"/>
          <w:noProof/>
        </w:rPr>
      </w:pPr>
      <w:r>
        <w:rPr>
          <w:noProof/>
        </w:rPr>
        <w:t>3.</w:t>
      </w:r>
      <w:r>
        <w:rPr>
          <w:noProof/>
        </w:rPr>
        <w:tab/>
        <w:t>Ja Sertifikācijas uzraudzības padome neatrisina šo jautājumu, katra Puse 1. punktā minēto jautājumu var n</w:t>
      </w:r>
      <w:r>
        <w:rPr>
          <w:noProof/>
        </w:rPr>
        <w:t>odot izskatīšanai Specializētajā komitejā aviācijas drošības jomā.</w:t>
      </w:r>
    </w:p>
    <w:p w:rsidR="003E022D" w:rsidRDefault="007D19D6">
      <w:pPr>
        <w:pStyle w:val="Article"/>
        <w:rPr>
          <w:noProof/>
        </w:rPr>
      </w:pPr>
      <w:r>
        <w:rPr>
          <w:noProof/>
        </w:rPr>
        <w:t>32. pants. Atbalsts sertifikācijas un lidojumderīguma uzturēšanas uzraudzības darbībām</w:t>
      </w:r>
    </w:p>
    <w:p w:rsidR="003E022D" w:rsidRDefault="007D19D6">
      <w:pPr>
        <w:rPr>
          <w:rFonts w:cstheme="minorHAnsi"/>
          <w:noProof/>
        </w:rPr>
      </w:pPr>
      <w:r>
        <w:rPr>
          <w:noProof/>
        </w:rPr>
        <w:t>Pēc pieprasījuma, pēc abpusējas piekrišanas un pieejamo resursu apmērā vienas Puses kompetentā iestāde</w:t>
      </w:r>
      <w:r>
        <w:rPr>
          <w:noProof/>
        </w:rPr>
        <w:t xml:space="preserve"> var otras Puses kompetentajai iestādei sniegt tehnisku atbalstu, datus un informāciju attiecībā uz sertifikācijas un lidojumderīguma uzturēšanas uzraudzības darbībām saistībā ar konstruēšanas, ražošanas un vides aizsardzības sertifikāciju. Sniedzamais atb</w:t>
      </w:r>
      <w:r>
        <w:rPr>
          <w:noProof/>
        </w:rPr>
        <w:t>alsts un šāda atbalsta sniegšanas process ir sīki izklāstīts tehniskās īstenošanas procedūrās.</w:t>
      </w:r>
    </w:p>
    <w:p w:rsidR="003E022D" w:rsidRDefault="003E022D">
      <w:pPr>
        <w:pStyle w:val="ANNEX"/>
        <w:rPr>
          <w:noProof/>
        </w:rPr>
      </w:pPr>
    </w:p>
    <w:p w:rsidR="003E022D" w:rsidRDefault="003E022D">
      <w:pPr>
        <w:autoSpaceDE w:val="0"/>
        <w:autoSpaceDN w:val="0"/>
        <w:adjustRightInd w:val="0"/>
        <w:spacing w:after="0"/>
        <w:rPr>
          <w:rFonts w:ascii="Arial" w:hAnsi="Arial" w:cs="Arial"/>
          <w:b/>
          <w:bCs/>
          <w:noProof/>
          <w:color w:val="0070C0"/>
        </w:rPr>
      </w:pPr>
    </w:p>
    <w:p w:rsidR="003E022D" w:rsidRDefault="007D19D6">
      <w:pPr>
        <w:pStyle w:val="ANNEX"/>
        <w:rPr>
          <w:rFonts w:cstheme="minorHAnsi"/>
          <w:noProof/>
        </w:rPr>
      </w:pPr>
      <w:r>
        <w:rPr>
          <w:noProof/>
        </w:rPr>
        <w:br w:type="page"/>
      </w:r>
    </w:p>
    <w:p w:rsidR="003E022D" w:rsidRDefault="007D19D6">
      <w:pPr>
        <w:pStyle w:val="ANNEX"/>
        <w:rPr>
          <w:rFonts w:cstheme="minorHAnsi"/>
          <w:noProof/>
        </w:rPr>
      </w:pPr>
      <w:bookmarkStart w:id="1330" w:name="_Toc58427922"/>
      <w:bookmarkStart w:id="1331" w:name="_Toc58844138"/>
      <w:bookmarkStart w:id="1332" w:name="_Toc59645272"/>
      <w:bookmarkStart w:id="1333" w:name="_Toc59988413"/>
      <w:bookmarkStart w:id="1334" w:name="_Toc58427923"/>
      <w:r>
        <w:rPr>
          <w:noProof/>
        </w:rPr>
        <w:t>ROAD-1. PIELIKUMS. KRAVU AUTOPĀRVADĀJUMI</w:t>
      </w:r>
      <w:bookmarkEnd w:id="1330"/>
      <w:bookmarkEnd w:id="1331"/>
      <w:bookmarkEnd w:id="1332"/>
      <w:bookmarkEnd w:id="1333"/>
    </w:p>
    <w:p w:rsidR="003E022D" w:rsidRDefault="007D19D6">
      <w:pPr>
        <w:pStyle w:val="Part2"/>
        <w:rPr>
          <w:rFonts w:asciiTheme="minorHAnsi" w:hAnsiTheme="minorHAnsi" w:cstheme="minorHAnsi"/>
          <w:noProof/>
        </w:rPr>
      </w:pPr>
      <w:r>
        <w:rPr>
          <w:rFonts w:asciiTheme="minorHAnsi" w:hAnsiTheme="minorHAnsi"/>
          <w:noProof/>
        </w:rPr>
        <w:t xml:space="preserve">A daļa. Prasības kravu autopārvadātājiem saskaņā ar šā nolīguma ROAD.5. pantu </w:t>
      </w:r>
    </w:p>
    <w:p w:rsidR="003E022D" w:rsidRDefault="007D19D6">
      <w:pPr>
        <w:pStyle w:val="Section"/>
        <w:rPr>
          <w:rFonts w:cstheme="minorHAnsi"/>
          <w:b/>
          <w:noProof/>
          <w:color w:val="000000" w:themeColor="text1"/>
          <w:sz w:val="28"/>
          <w:szCs w:val="28"/>
        </w:rPr>
      </w:pPr>
      <w:r>
        <w:rPr>
          <w:noProof/>
        </w:rPr>
        <w:t xml:space="preserve">1. iedaļa. Atļauja veikt kravu </w:t>
      </w:r>
      <w:r>
        <w:rPr>
          <w:noProof/>
        </w:rPr>
        <w:t>autopārvadātāja profesionālo darbību un tās veikšana</w:t>
      </w:r>
    </w:p>
    <w:p w:rsidR="003E022D" w:rsidRDefault="007D19D6">
      <w:pPr>
        <w:pStyle w:val="Article"/>
        <w:rPr>
          <w:rFonts w:cstheme="minorHAnsi"/>
          <w:noProof/>
          <w:color w:val="000000" w:themeColor="text1"/>
        </w:rPr>
      </w:pPr>
      <w:r>
        <w:rPr>
          <w:noProof/>
        </w:rPr>
        <w:t xml:space="preserve">1. pants. Darbības joma </w:t>
      </w:r>
    </w:p>
    <w:p w:rsidR="003E022D" w:rsidRDefault="007D19D6">
      <w:pPr>
        <w:rPr>
          <w:rFonts w:cstheme="minorHAnsi"/>
          <w:noProof/>
          <w:color w:val="000000" w:themeColor="text1"/>
        </w:rPr>
      </w:pPr>
      <w:r>
        <w:rPr>
          <w:noProof/>
        </w:rPr>
        <w:t xml:space="preserve">Šajā iedaļā reglamentē kravu autopārvadātāja profesionālās darbības atļaušanu un šīs profesijas veikšanu, un tā attiecas uz visiem tās Puses kravu autopārvadātājiem, kas veic </w:t>
      </w:r>
      <w:r>
        <w:rPr>
          <w:noProof/>
        </w:rPr>
        <w:t>kravu pārvadājumus šā nolīguma ROAD.4. panta [Kravu pārvadāšana starp Pušu teritorijām, caur tām un tajās] darbības jomā.</w:t>
      </w:r>
      <w:r>
        <w:rPr>
          <w:noProof/>
          <w:color w:val="000000" w:themeColor="text1"/>
        </w:rPr>
        <w:t xml:space="preserve"> </w:t>
      </w:r>
    </w:p>
    <w:p w:rsidR="003E022D" w:rsidRDefault="007D19D6">
      <w:pPr>
        <w:pStyle w:val="Article"/>
        <w:rPr>
          <w:rFonts w:cstheme="minorHAnsi"/>
          <w:noProof/>
        </w:rPr>
      </w:pPr>
      <w:r>
        <w:rPr>
          <w:noProof/>
        </w:rPr>
        <w:t xml:space="preserve"> 2. pants. Definīcijas </w:t>
      </w:r>
    </w:p>
    <w:p w:rsidR="003E022D" w:rsidRDefault="007D19D6">
      <w:pPr>
        <w:rPr>
          <w:rFonts w:cstheme="minorHAnsi"/>
          <w:noProof/>
        </w:rPr>
      </w:pPr>
      <w:r>
        <w:rPr>
          <w:noProof/>
        </w:rPr>
        <w:t xml:space="preserve">Šajā iedaļā:  </w:t>
      </w:r>
    </w:p>
    <w:p w:rsidR="003E022D" w:rsidRDefault="007D19D6">
      <w:pPr>
        <w:rPr>
          <w:rFonts w:cstheme="minorHAnsi"/>
          <w:noProof/>
        </w:rPr>
      </w:pPr>
      <w:r>
        <w:rPr>
          <w:noProof/>
        </w:rPr>
        <w:t>a)</w:t>
      </w:r>
      <w:r>
        <w:rPr>
          <w:noProof/>
        </w:rPr>
        <w:tab/>
        <w:t>“atļauja veikt kravu autopārvadātāja profesionālo darbību” ir administratīvs lēmums, ar kur</w:t>
      </w:r>
      <w:r>
        <w:rPr>
          <w:noProof/>
        </w:rPr>
        <w:t xml:space="preserve">u fiziskai vai juridiskai personai, kas atbilst šajā iedaļā paredzētajiem nosacījumiem, atļauj veikt kravu autopārvadātāja profesionālo darbību; </w:t>
      </w:r>
    </w:p>
    <w:p w:rsidR="003E022D" w:rsidRDefault="007D19D6">
      <w:pPr>
        <w:rPr>
          <w:rFonts w:cstheme="minorHAnsi"/>
          <w:noProof/>
        </w:rPr>
      </w:pPr>
      <w:r>
        <w:rPr>
          <w:noProof/>
        </w:rPr>
        <w:t>b)</w:t>
      </w:r>
      <w:r>
        <w:rPr>
          <w:noProof/>
        </w:rPr>
        <w:tab/>
        <w:t>“kompetentā iestāde” ir valsts, reģionālā vai vietējā līmeņa iestāde Pusē, kura, lai izsniegtu atļauju veik</w:t>
      </w:r>
      <w:r>
        <w:rPr>
          <w:noProof/>
        </w:rPr>
        <w:t>t kravu autopārvadātāja profesionālo darbību, pārbauda fiziskās vai juridiskās personas atbilstību nosacījumiem, kas paredzēti šajā iedaļā, un kurai ir pilnvaras piešķirt, apturēt vai anulēt atļauju kravu autopārvadātāja profesionālās darbības veikšanai; u</w:t>
      </w:r>
      <w:r>
        <w:rPr>
          <w:noProof/>
        </w:rPr>
        <w:t xml:space="preserve">n  </w:t>
      </w:r>
    </w:p>
    <w:p w:rsidR="003E022D" w:rsidRDefault="007D19D6">
      <w:pPr>
        <w:rPr>
          <w:rFonts w:cstheme="minorHAnsi"/>
          <w:noProof/>
        </w:rPr>
      </w:pPr>
      <w:r>
        <w:rPr>
          <w:noProof/>
        </w:rPr>
        <w:t>c)</w:t>
      </w:r>
      <w:r>
        <w:rPr>
          <w:noProof/>
        </w:rPr>
        <w:tab/>
        <w:t xml:space="preserve">“parastā dzīvesvieta” ir vieta, kurā persona dzīvo pastāvīgi, proti, vismaz 185 dienas katrā kalendārajā gadā, personīgo saišu dēļ, kas apliecina ciešu saistību starp minēto personu un vietu, kur tā dzīvo. </w:t>
      </w:r>
    </w:p>
    <w:p w:rsidR="003E022D" w:rsidRDefault="007D19D6">
      <w:pPr>
        <w:pStyle w:val="Article"/>
        <w:rPr>
          <w:rFonts w:cstheme="minorHAnsi"/>
          <w:noProof/>
        </w:rPr>
      </w:pPr>
      <w:r>
        <w:rPr>
          <w:noProof/>
        </w:rPr>
        <w:t>3. pants. Autopārvadātāja profesionālās da</w:t>
      </w:r>
      <w:r>
        <w:rPr>
          <w:noProof/>
        </w:rPr>
        <w:t xml:space="preserve">rbības veikšanas prasības </w:t>
      </w:r>
    </w:p>
    <w:p w:rsidR="003E022D" w:rsidRDefault="007D19D6">
      <w:pPr>
        <w:rPr>
          <w:rFonts w:cstheme="minorHAnsi"/>
          <w:noProof/>
        </w:rPr>
      </w:pPr>
      <w:r>
        <w:rPr>
          <w:noProof/>
        </w:rPr>
        <w:t xml:space="preserve">Fiziskām vai juridiskām personām, kas veic kravu autopārvadātāja profesionālo darbību: </w:t>
      </w:r>
    </w:p>
    <w:p w:rsidR="003E022D" w:rsidRDefault="007D19D6">
      <w:pPr>
        <w:pStyle w:val="ListParagraph"/>
        <w:numPr>
          <w:ilvl w:val="0"/>
          <w:numId w:val="843"/>
        </w:numPr>
        <w:spacing w:after="160" w:line="360" w:lineRule="auto"/>
        <w:ind w:left="851" w:hanging="851"/>
        <w:rPr>
          <w:rFonts w:cstheme="minorHAnsi"/>
          <w:noProof/>
        </w:rPr>
      </w:pPr>
      <w:r>
        <w:rPr>
          <w:noProof/>
        </w:rPr>
        <w:t xml:space="preserve">jābūt faktiskai un stabilai uzņēmējdarbības veikšanas vietai Pusē, kā noteikts šīs iedaļas 5. pantā; </w:t>
      </w:r>
    </w:p>
    <w:p w:rsidR="003E022D" w:rsidRDefault="007D19D6">
      <w:pPr>
        <w:pStyle w:val="ListParagraph"/>
        <w:numPr>
          <w:ilvl w:val="0"/>
          <w:numId w:val="843"/>
        </w:numPr>
        <w:spacing w:after="160" w:line="360" w:lineRule="auto"/>
        <w:ind w:left="851" w:hanging="851"/>
        <w:rPr>
          <w:rFonts w:cstheme="minorHAnsi"/>
          <w:noProof/>
        </w:rPr>
      </w:pPr>
      <w:r>
        <w:rPr>
          <w:noProof/>
        </w:rPr>
        <w:t>jābūt labai reputācijai, kā noteikts šī</w:t>
      </w:r>
      <w:r>
        <w:rPr>
          <w:noProof/>
        </w:rPr>
        <w:t xml:space="preserve">s iedaļas 6. pantā; </w:t>
      </w:r>
    </w:p>
    <w:p w:rsidR="003E022D" w:rsidRDefault="007D19D6">
      <w:pPr>
        <w:pStyle w:val="ListParagraph"/>
        <w:numPr>
          <w:ilvl w:val="0"/>
          <w:numId w:val="843"/>
        </w:numPr>
        <w:spacing w:after="160" w:line="360" w:lineRule="auto"/>
        <w:ind w:left="851" w:hanging="851"/>
        <w:rPr>
          <w:rFonts w:cstheme="minorHAnsi"/>
          <w:noProof/>
        </w:rPr>
      </w:pPr>
      <w:r>
        <w:rPr>
          <w:noProof/>
        </w:rPr>
        <w:t xml:space="preserve">jābūt atbilstīgam finansiālajam stāvoklim, kā noteikts šīs iedaļas 7. pantā; un </w:t>
      </w:r>
    </w:p>
    <w:p w:rsidR="003E022D" w:rsidRDefault="007D19D6">
      <w:pPr>
        <w:pStyle w:val="ListParagraph"/>
        <w:numPr>
          <w:ilvl w:val="0"/>
          <w:numId w:val="843"/>
        </w:numPr>
        <w:spacing w:after="160" w:line="360" w:lineRule="auto"/>
        <w:ind w:left="851" w:hanging="851"/>
        <w:rPr>
          <w:rFonts w:cstheme="minorHAnsi"/>
          <w:noProof/>
        </w:rPr>
      </w:pPr>
      <w:r>
        <w:rPr>
          <w:noProof/>
        </w:rPr>
        <w:t xml:space="preserve">jābūt nepieciešamai profesionālajai kompetencei, kā noteikts šīs iedaļas 8. pantā. </w:t>
      </w:r>
    </w:p>
    <w:p w:rsidR="003E022D" w:rsidRDefault="007D19D6">
      <w:pPr>
        <w:pStyle w:val="Article"/>
        <w:rPr>
          <w:rFonts w:cstheme="minorHAnsi"/>
          <w:noProof/>
        </w:rPr>
      </w:pPr>
      <w:r>
        <w:rPr>
          <w:noProof/>
        </w:rPr>
        <w:t xml:space="preserve">4. pants. Pārvadājumu vadītājs </w:t>
      </w:r>
    </w:p>
    <w:p w:rsidR="003E022D" w:rsidRDefault="007D19D6">
      <w:pPr>
        <w:rPr>
          <w:rFonts w:cstheme="minorHAnsi"/>
          <w:noProof/>
        </w:rPr>
      </w:pPr>
      <w:r>
        <w:rPr>
          <w:noProof/>
        </w:rPr>
        <w:t>1.</w:t>
      </w:r>
      <w:r>
        <w:rPr>
          <w:noProof/>
        </w:rPr>
        <w:tab/>
        <w:t>Kravu autopārvadātājs izraugās vism</w:t>
      </w:r>
      <w:r>
        <w:rPr>
          <w:noProof/>
        </w:rPr>
        <w:t xml:space="preserve">az vienu fizisku personu, pārvadājumu vadītāju, kas faktiski un pastāvīgi vada tā pārvadājumu darbības un atbilst 3. panta b) un d) punktā izklāstītajām prasībām, un kas: </w:t>
      </w:r>
    </w:p>
    <w:p w:rsidR="003E022D" w:rsidRDefault="007D19D6">
      <w:pPr>
        <w:pStyle w:val="Point0letter"/>
        <w:numPr>
          <w:ilvl w:val="0"/>
          <w:numId w:val="844"/>
        </w:numPr>
        <w:tabs>
          <w:tab w:val="num" w:pos="850"/>
        </w:tabs>
        <w:ind w:left="850" w:hanging="850"/>
        <w:jc w:val="both"/>
        <w:rPr>
          <w:rFonts w:asciiTheme="minorHAnsi" w:hAnsiTheme="minorHAnsi" w:cstheme="minorHAnsi"/>
          <w:noProof/>
        </w:rPr>
      </w:pPr>
      <w:r>
        <w:rPr>
          <w:rFonts w:asciiTheme="minorHAnsi" w:hAnsiTheme="minorHAnsi"/>
          <w:noProof/>
        </w:rPr>
        <w:t>ir faktiski saistīts ar kravu autopārvadātāju, piemēram, ir tā darbinieks, direktors</w:t>
      </w:r>
      <w:r>
        <w:rPr>
          <w:rFonts w:asciiTheme="minorHAnsi" w:hAnsiTheme="minorHAnsi"/>
          <w:noProof/>
        </w:rPr>
        <w:t xml:space="preserve">, īpašnieks vai persona, kas to pārvalda, vai minētā persona; un </w:t>
      </w:r>
    </w:p>
    <w:p w:rsidR="003E022D" w:rsidRDefault="007D19D6">
      <w:pPr>
        <w:pStyle w:val="Point0letter"/>
        <w:numPr>
          <w:ilvl w:val="0"/>
          <w:numId w:val="844"/>
        </w:numPr>
        <w:tabs>
          <w:tab w:val="num" w:pos="850"/>
        </w:tabs>
        <w:ind w:left="850" w:hanging="850"/>
        <w:jc w:val="both"/>
        <w:rPr>
          <w:rFonts w:asciiTheme="minorHAnsi" w:hAnsiTheme="minorHAnsi" w:cstheme="minorHAnsi"/>
          <w:noProof/>
        </w:rPr>
      </w:pPr>
      <w:r>
        <w:rPr>
          <w:rFonts w:asciiTheme="minorHAnsi" w:hAnsiTheme="minorHAnsi"/>
          <w:noProof/>
        </w:rPr>
        <w:t xml:space="preserve">ir tās Puses pastāvīgais iedzīvotājs, kuras teritorijā kravu autopārvadātājs veic uzņēmējdarbību. </w:t>
      </w:r>
    </w:p>
    <w:p w:rsidR="003E022D" w:rsidRDefault="007D19D6">
      <w:pPr>
        <w:rPr>
          <w:rFonts w:cstheme="minorHAnsi"/>
          <w:noProof/>
        </w:rPr>
      </w:pPr>
      <w:r>
        <w:rPr>
          <w:noProof/>
        </w:rPr>
        <w:t>2.</w:t>
      </w:r>
      <w:r>
        <w:rPr>
          <w:noProof/>
        </w:rPr>
        <w:tab/>
        <w:t>Ja fiziskā vai juridiskā persona neatbilst profesionālās kompetences prasībai, kompetent</w:t>
      </w:r>
      <w:r>
        <w:rPr>
          <w:noProof/>
        </w:rPr>
        <w:t xml:space="preserve">ā iestāde var atļaut fiziskajai vai juridiskajai personai veikt kravu autopārvadātāja profesionālo darbību, ja saskaņā ar 1. punktu nav izraudzīts pārvadājumu vadītājs, ar nosacījumu, ka: </w:t>
      </w:r>
    </w:p>
    <w:p w:rsidR="003E022D" w:rsidRDefault="007D19D6">
      <w:pPr>
        <w:pStyle w:val="Point0letter"/>
        <w:numPr>
          <w:ilvl w:val="0"/>
          <w:numId w:val="845"/>
        </w:numPr>
        <w:ind w:left="851" w:hanging="851"/>
        <w:jc w:val="both"/>
        <w:rPr>
          <w:rFonts w:asciiTheme="minorHAnsi" w:hAnsiTheme="minorHAnsi" w:cstheme="minorHAnsi"/>
          <w:noProof/>
        </w:rPr>
      </w:pPr>
      <w:r>
        <w:rPr>
          <w:rFonts w:asciiTheme="minorHAnsi" w:hAnsiTheme="minorHAnsi"/>
          <w:noProof/>
        </w:rPr>
        <w:t>fiziskā vai juridiskā persona izraugās kravu autopārvadātāja uzņēmē</w:t>
      </w:r>
      <w:r>
        <w:rPr>
          <w:rFonts w:asciiTheme="minorHAnsi" w:hAnsiTheme="minorHAnsi"/>
          <w:noProof/>
        </w:rPr>
        <w:t xml:space="preserve">jdarbības veikšanas vietas Pusē pastāvīgi dzīvojošu fizisku personu, kas atbilst 3. panta b) un d) punktā noteiktajām prasībām un kas uz līguma pamata uzņēmuma vārdā ir pilnvarota veikt uzņēmuma pārvadājumu vadītāja pienākumus; </w:t>
      </w:r>
    </w:p>
    <w:p w:rsidR="003E022D" w:rsidRDefault="007D19D6">
      <w:pPr>
        <w:pStyle w:val="Point0letter"/>
        <w:numPr>
          <w:ilvl w:val="0"/>
          <w:numId w:val="845"/>
        </w:numPr>
        <w:ind w:left="850" w:hanging="850"/>
        <w:jc w:val="both"/>
        <w:rPr>
          <w:rFonts w:asciiTheme="minorHAnsi" w:hAnsiTheme="minorHAnsi" w:cstheme="minorHAnsi"/>
          <w:noProof/>
        </w:rPr>
      </w:pPr>
      <w:r>
        <w:rPr>
          <w:rFonts w:asciiTheme="minorHAnsi" w:hAnsiTheme="minorHAnsi"/>
          <w:noProof/>
        </w:rPr>
        <w:t xml:space="preserve">līgumā, kas noslēgts starp </w:t>
      </w:r>
      <w:r>
        <w:rPr>
          <w:rFonts w:asciiTheme="minorHAnsi" w:hAnsiTheme="minorHAnsi"/>
          <w:noProof/>
        </w:rPr>
        <w:t>fizisko vai juridisko personu un a) apakšpunktā minēto personu, ir noteikti pienākumi, kas minētajai personai faktiski un pastāvīgi jāpilda, un norādīti minētās personas pārvadājumu vadītāja pienākumi. Nosakāmajos pienākumos jo īpaši ir iekļauta transportl</w:t>
      </w:r>
      <w:r>
        <w:rPr>
          <w:rFonts w:asciiTheme="minorHAnsi" w:hAnsiTheme="minorHAnsi"/>
          <w:noProof/>
        </w:rPr>
        <w:t xml:space="preserve">īdzekļu tehniskās apkopes uzraudzība, pārvadājumu līgumu un dokumentu pārbaude, galvenie grāmatvedības jautājumi, kravu vai pakalpojumu sadale transportlīdzekļu vadītājiem un transportlīdzekļiem un drošības pasākumu kontrole; </w:t>
      </w:r>
    </w:p>
    <w:p w:rsidR="003E022D" w:rsidRDefault="007D19D6">
      <w:pPr>
        <w:pStyle w:val="Point0letter"/>
        <w:numPr>
          <w:ilvl w:val="0"/>
          <w:numId w:val="845"/>
        </w:numPr>
        <w:ind w:left="850" w:hanging="850"/>
        <w:jc w:val="both"/>
        <w:rPr>
          <w:rFonts w:asciiTheme="minorHAnsi" w:hAnsiTheme="minorHAnsi" w:cstheme="minorHAnsi"/>
          <w:noProof/>
        </w:rPr>
      </w:pPr>
      <w:r>
        <w:rPr>
          <w:rFonts w:asciiTheme="minorHAnsi" w:hAnsiTheme="minorHAnsi"/>
          <w:noProof/>
        </w:rPr>
        <w:t>kā pārvadājumu vadītājs a) ap</w:t>
      </w:r>
      <w:r>
        <w:rPr>
          <w:rFonts w:asciiTheme="minorHAnsi" w:hAnsiTheme="minorHAnsi"/>
          <w:noProof/>
        </w:rPr>
        <w:t xml:space="preserve">akšpunktā minētā persona var vadīt pārvadājumu darbības ne vairāk kā četros dažādos kravu autopārvadātājos, kuru kopējā autoparka automašīnu skaits nepārsniedz 50 automašīnas; un </w:t>
      </w:r>
    </w:p>
    <w:p w:rsidR="003E022D" w:rsidRDefault="007D19D6">
      <w:pPr>
        <w:pStyle w:val="Point0letter"/>
        <w:numPr>
          <w:ilvl w:val="0"/>
          <w:numId w:val="845"/>
        </w:numPr>
        <w:ind w:left="850" w:hanging="850"/>
        <w:jc w:val="both"/>
        <w:rPr>
          <w:rFonts w:asciiTheme="minorHAnsi" w:hAnsiTheme="minorHAnsi" w:cstheme="minorHAnsi"/>
          <w:noProof/>
        </w:rPr>
      </w:pPr>
      <w:r>
        <w:rPr>
          <w:rFonts w:asciiTheme="minorHAnsi" w:hAnsiTheme="minorHAnsi"/>
          <w:noProof/>
        </w:rPr>
        <w:t>šā punkta a) apakšpunktā minētā persona konkrētos pienākumus veic vienīgi fi</w:t>
      </w:r>
      <w:r>
        <w:rPr>
          <w:rFonts w:asciiTheme="minorHAnsi" w:hAnsiTheme="minorHAnsi"/>
          <w:noProof/>
        </w:rPr>
        <w:t xml:space="preserve">ziskās vai juridiskās personas interesēs, un minētās personas pienākumi tiek pildīti neatkarīgi no jebkuras fiziskas vai juridiskas personas, kuras labā tā veic pārvadājumu operācijas. </w:t>
      </w:r>
    </w:p>
    <w:p w:rsidR="003E022D" w:rsidRDefault="007D19D6">
      <w:pPr>
        <w:rPr>
          <w:rFonts w:cstheme="minorHAnsi"/>
          <w:noProof/>
        </w:rPr>
      </w:pPr>
      <w:r>
        <w:rPr>
          <w:noProof/>
        </w:rPr>
        <w:t>3.</w:t>
      </w:r>
      <w:r>
        <w:rPr>
          <w:noProof/>
        </w:rPr>
        <w:tab/>
      </w:r>
      <w:r>
        <w:rPr>
          <w:noProof/>
        </w:rPr>
        <w:t xml:space="preserve">Puse var pieņemt lēmumu, ka saskaņā ar 1. punktu izraudzītu pārvadājumu vadītāju nevar izraudzīt arī saskaņā ar 2. punktu vai arī viņu var izraudzīt tikai attiecībā uz fizisku vai juridisku personu vai autoparka automašīnu ierobežotu skaitu, kas ir mazāks </w:t>
      </w:r>
      <w:r>
        <w:rPr>
          <w:noProof/>
        </w:rPr>
        <w:t xml:space="preserve">par 2. punkta c) apakšpunktā minēto. </w:t>
      </w:r>
    </w:p>
    <w:p w:rsidR="003E022D" w:rsidRDefault="007D19D6">
      <w:pPr>
        <w:rPr>
          <w:rFonts w:cstheme="minorHAnsi"/>
          <w:noProof/>
        </w:rPr>
      </w:pPr>
      <w:r>
        <w:rPr>
          <w:noProof/>
        </w:rPr>
        <w:t>4.</w:t>
      </w:r>
      <w:r>
        <w:rPr>
          <w:noProof/>
        </w:rPr>
        <w:tab/>
        <w:t xml:space="preserve">Fiziskā vai juridiskā persona paziņo kompetentajai iestādei par izraudzīto pārvadājumu vadītāju vai vadītājiem. </w:t>
      </w:r>
    </w:p>
    <w:p w:rsidR="003E022D" w:rsidRDefault="007D19D6">
      <w:pPr>
        <w:pStyle w:val="Article"/>
        <w:rPr>
          <w:rFonts w:cstheme="minorHAnsi"/>
          <w:noProof/>
        </w:rPr>
      </w:pPr>
      <w:r>
        <w:rPr>
          <w:noProof/>
        </w:rPr>
        <w:t xml:space="preserve">5. pants. Uzņēmējdarbības veikšanas vietas prasības nosacījumi  </w:t>
      </w:r>
    </w:p>
    <w:p w:rsidR="003E022D" w:rsidRDefault="007D19D6">
      <w:pPr>
        <w:rPr>
          <w:rFonts w:cstheme="minorHAnsi"/>
          <w:noProof/>
        </w:rPr>
      </w:pPr>
      <w:r>
        <w:rPr>
          <w:noProof/>
        </w:rPr>
        <w:t>Lai izpildītu prasību par faktisko un</w:t>
      </w:r>
      <w:r>
        <w:rPr>
          <w:noProof/>
        </w:rPr>
        <w:t xml:space="preserve"> stabilo uzņēmējdarbības veikšanas vietu uzņēmējdarbības veikšanas vietas Pusē fiziskajai vai juridiskajai personai: </w:t>
      </w:r>
    </w:p>
    <w:p w:rsidR="003E022D" w:rsidRDefault="007D19D6">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ir telpas, kurās tai ir pieejami uzņēmējdarbības pamatdokumentu oriģināli, kas var būt elektroniskā vai jebkurā citā formātā; jo īpaši tas</w:t>
      </w:r>
      <w:r>
        <w:rPr>
          <w:rFonts w:asciiTheme="minorHAnsi" w:hAnsiTheme="minorHAnsi"/>
          <w:noProof/>
        </w:rPr>
        <w:t xml:space="preserve"> attiecas uz tās pārvadājuma līgumiem, dokumentiem, kuri saistīti ar transportlīdzekļiem, kas ir fiziskās vai juridiskās personas rīcībā, uz grāmatvedības dokumentiem, personālvadības dokumentiem, darba līgumiem, sociālā nodrošinājuma dokumentiem, dokument</w:t>
      </w:r>
      <w:r>
        <w:rPr>
          <w:rFonts w:asciiTheme="minorHAnsi" w:hAnsiTheme="minorHAnsi"/>
          <w:noProof/>
        </w:rPr>
        <w:t xml:space="preserve">iem, kuros ir dati par transportlīdzekļa vadītāju nosūtīšanu un norīkošanu darbā, dokumentiem, kuros ir dati par braucieniem, transportlīdzekļa vadīšanas laiku un atpūtas laikposmiem, un jebkuriem citiem dokumentiem, kuriem ir jābūt kompetentajai iestādei </w:t>
      </w:r>
      <w:r>
        <w:rPr>
          <w:rFonts w:asciiTheme="minorHAnsi" w:hAnsiTheme="minorHAnsi"/>
          <w:noProof/>
        </w:rPr>
        <w:t xml:space="preserve">pieejamiem, lai pārbaudītu atbilstību šajā iedaļā paredzētajiem nosacījumiem; </w:t>
      </w:r>
    </w:p>
    <w:p w:rsidR="003E022D" w:rsidRDefault="007D19D6">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tā ir reģistrēta minētās Puses komercsabiedrību reģistrā vai līdzīgā reģistrā, ja tas ir prasīts valsts tiesību aktos; </w:t>
      </w:r>
    </w:p>
    <w:p w:rsidR="003E022D" w:rsidRDefault="007D19D6">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tai piemēro ieņēmumu nodokli un, ja tas ir prasīts valsts</w:t>
      </w:r>
      <w:r>
        <w:rPr>
          <w:rFonts w:asciiTheme="minorHAnsi" w:hAnsiTheme="minorHAnsi"/>
          <w:noProof/>
        </w:rPr>
        <w:t xml:space="preserve"> tiesību aktos, tai ir piešķirts PVN identifikācijas numurs; </w:t>
      </w:r>
    </w:p>
    <w:p w:rsidR="003E022D" w:rsidRDefault="007D19D6">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pēc atļaujas piešķiršanas tās rīcībā ir viens vai vairāki transportlīdzekļi, kuri ir reģistrēti vai laisti apritē un kurus atļauts lietot saskaņā ar minētās Puses tiesību aktiem, neatkarīgi no t</w:t>
      </w:r>
      <w:r>
        <w:rPr>
          <w:rFonts w:asciiTheme="minorHAnsi" w:hAnsiTheme="minorHAnsi"/>
          <w:noProof/>
        </w:rPr>
        <w:t xml:space="preserve">ā, vai minētie transportlīdzekļi ir pilnīgā  īpašumā vai, piemēram, turējumā saskaņā ar nomas-izpirkuma līgumu vai saskaņā ar nomas vai līzinga līgumu; </w:t>
      </w:r>
    </w:p>
    <w:p w:rsidR="003E022D" w:rsidRDefault="007D19D6">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tā faktiski un pastāvīgi veic administratīvo un komerciālo darbību, izmantojot atbilstošas iekārtas un </w:t>
      </w:r>
      <w:r>
        <w:rPr>
          <w:rFonts w:asciiTheme="minorHAnsi" w:hAnsiTheme="minorHAnsi"/>
          <w:noProof/>
        </w:rPr>
        <w:t>aprīkojumu minētajā Pusē esošās telpās, kā minēts a) punktā, un faktiski un pastāvīgi vada pārvadājumu operācijas, izmantojot f) punktā minētos transportlīdzekļus, kuriem ir atbilstošas tehniskās iekārtas, kas izvietotas minētajā Pusē; un</w:t>
      </w:r>
    </w:p>
    <w:p w:rsidR="003E022D" w:rsidRDefault="007D19D6">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pastāvīgi un regu</w:t>
      </w:r>
      <w:r>
        <w:rPr>
          <w:rFonts w:asciiTheme="minorHAnsi" w:hAnsiTheme="minorHAnsi"/>
          <w:noProof/>
        </w:rPr>
        <w:t>lāri tās rīcībā ir zināms skaits transportlīdzekļu, kuri atbilst d) punkta nosacījumiem, un transportlīdzekļa vadītāju, kuri parasti atrodas kādā saimnieciskās darbības centrā minētajā Pusē, un tas ir samērīgs ar uzņēmuma veikto pārvadājumu operāciju apjom</w:t>
      </w:r>
      <w:r>
        <w:rPr>
          <w:rFonts w:asciiTheme="minorHAnsi" w:hAnsiTheme="minorHAnsi"/>
          <w:noProof/>
        </w:rPr>
        <w:t xml:space="preserve">u. </w:t>
      </w:r>
    </w:p>
    <w:p w:rsidR="003E022D" w:rsidRDefault="007D19D6">
      <w:pPr>
        <w:pStyle w:val="Article"/>
        <w:rPr>
          <w:rFonts w:cstheme="minorHAnsi"/>
          <w:noProof/>
        </w:rPr>
      </w:pPr>
      <w:r>
        <w:rPr>
          <w:noProof/>
        </w:rPr>
        <w:t xml:space="preserve">6. pants. Labas reputācijas prasības nosacījumi  </w:t>
      </w:r>
    </w:p>
    <w:p w:rsidR="003E022D" w:rsidRDefault="007D19D6">
      <w:pPr>
        <w:rPr>
          <w:rFonts w:cstheme="minorHAnsi"/>
          <w:noProof/>
        </w:rPr>
      </w:pPr>
      <w:r>
        <w:rPr>
          <w:noProof/>
        </w:rPr>
        <w:t>1.</w:t>
      </w:r>
      <w:r>
        <w:rPr>
          <w:noProof/>
        </w:rPr>
        <w:tab/>
        <w:t xml:space="preserve">Saskaņā ar 2. punktu Puses paredz nosacījumus, kas jāpilda fiziskajām vai juridiskajām personām un pārvadājumu vadītājiem, lai atbilstu prasībai par labu reputāciju. </w:t>
      </w:r>
    </w:p>
    <w:p w:rsidR="003E022D" w:rsidRDefault="007D19D6">
      <w:pPr>
        <w:rPr>
          <w:rFonts w:cstheme="minorHAnsi"/>
          <w:noProof/>
        </w:rPr>
      </w:pPr>
      <w:r>
        <w:rPr>
          <w:noProof/>
        </w:rPr>
        <w:t xml:space="preserve">Nosakot to, vai fiziskā vai juridiskā persona atbilst minētajai prasībai, Puses ņem vērā fiziskās vai juridiskās personas, tās pārvadājumu vadītāju, izpilddirektoru un jebkuras citas tādas attiecīgas personas rīcību, kā Puse to var būt noteikusi.  Jebkura </w:t>
      </w:r>
      <w:r>
        <w:rPr>
          <w:noProof/>
        </w:rPr>
        <w:t xml:space="preserve">atsauce šajā pantā uz notiesāšanu, sankcijām vai pārkāpumiem ietver notiesāšanu, sankcijas vai pārkāpumus, kas attiecas uz pašu fizisko vai juridisko personu, tās pārvadājumu vadītājiem, izpilddirektoriem un jebkuru citu tādu attiecīgo personu, kā Puse to </w:t>
      </w:r>
      <w:r>
        <w:rPr>
          <w:noProof/>
        </w:rPr>
        <w:t xml:space="preserve">var būt noteikusi. </w:t>
      </w:r>
    </w:p>
    <w:p w:rsidR="003E022D" w:rsidRDefault="007D19D6">
      <w:pPr>
        <w:rPr>
          <w:rFonts w:cstheme="minorHAnsi"/>
          <w:noProof/>
        </w:rPr>
      </w:pPr>
      <w:r>
        <w:rPr>
          <w:noProof/>
        </w:rPr>
        <w:t xml:space="preserve">Pirmajā daļā minētajos nosacījumos ir iekļauts vismaz turpmāk norādītais: </w:t>
      </w:r>
    </w:p>
    <w:p w:rsidR="003E022D" w:rsidRDefault="007D19D6">
      <w:pPr>
        <w:pStyle w:val="ListParagraph"/>
        <w:numPr>
          <w:ilvl w:val="0"/>
          <w:numId w:val="847"/>
        </w:numPr>
        <w:spacing w:after="160" w:line="254" w:lineRule="auto"/>
        <w:ind w:left="851" w:hanging="851"/>
        <w:rPr>
          <w:rFonts w:cstheme="minorHAnsi"/>
          <w:noProof/>
        </w:rPr>
      </w:pPr>
      <w:r>
        <w:rPr>
          <w:noProof/>
        </w:rPr>
        <w:t xml:space="preserve">nav nopietna pamatojuma apstrīdēt pārvadājumu vadītāja vai kravu autopārvadātāja labo reputāciju, ja tie, piemēram, nav tikuši notiesāti vai tiem nav piemērotas </w:t>
      </w:r>
      <w:r>
        <w:rPr>
          <w:noProof/>
        </w:rPr>
        <w:t xml:space="preserve">sankcijas par jebkādiem smagiem to valsts spēkā esošo normatīvo aktu pārkāpumiem šādās jomās: </w:t>
      </w:r>
    </w:p>
    <w:p w:rsidR="003E022D" w:rsidRDefault="007D19D6">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komerctiesības; </w:t>
      </w:r>
    </w:p>
    <w:p w:rsidR="003E022D" w:rsidRDefault="007D19D6">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maksātnespējas tiesības; </w:t>
      </w:r>
    </w:p>
    <w:p w:rsidR="003E022D" w:rsidRDefault="007D19D6">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samaksu un nodarbināšanas nosacījumi profesijā; </w:t>
      </w:r>
    </w:p>
    <w:p w:rsidR="003E022D" w:rsidRDefault="007D19D6">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ceļu satiksme; </w:t>
      </w:r>
    </w:p>
    <w:p w:rsidR="003E022D" w:rsidRDefault="007D19D6">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profesionālā atbildība; </w:t>
      </w:r>
    </w:p>
    <w:p w:rsidR="003E022D" w:rsidRDefault="007D19D6">
      <w:pPr>
        <w:pStyle w:val="Point1"/>
        <w:numPr>
          <w:ilvl w:val="0"/>
          <w:numId w:val="848"/>
        </w:numPr>
        <w:rPr>
          <w:rFonts w:asciiTheme="minorHAnsi" w:hAnsiTheme="minorHAnsi" w:cstheme="minorHAnsi"/>
          <w:noProof/>
          <w:color w:val="000000"/>
        </w:rPr>
      </w:pPr>
      <w:r>
        <w:rPr>
          <w:rFonts w:asciiTheme="minorHAnsi" w:hAnsiTheme="minorHAnsi"/>
          <w:noProof/>
          <w:color w:val="000000"/>
        </w:rPr>
        <w:t>cilvēku vai narkotiku tirdzn</w:t>
      </w:r>
      <w:r>
        <w:rPr>
          <w:rFonts w:asciiTheme="minorHAnsi" w:hAnsiTheme="minorHAnsi"/>
          <w:noProof/>
          <w:color w:val="000000"/>
        </w:rPr>
        <w:t xml:space="preserve">iecība;  </w:t>
      </w:r>
    </w:p>
    <w:p w:rsidR="003E022D" w:rsidRDefault="007D19D6">
      <w:pPr>
        <w:pStyle w:val="Point1"/>
        <w:numPr>
          <w:ilvl w:val="0"/>
          <w:numId w:val="848"/>
        </w:numPr>
        <w:rPr>
          <w:rFonts w:asciiTheme="minorHAnsi" w:hAnsiTheme="minorHAnsi" w:cstheme="minorHAnsi"/>
          <w:noProof/>
        </w:rPr>
      </w:pPr>
      <w:r>
        <w:rPr>
          <w:rFonts w:asciiTheme="minorHAnsi" w:hAnsiTheme="minorHAnsi"/>
          <w:noProof/>
          <w:color w:val="000000"/>
        </w:rPr>
        <w:t>nodokļu tiesības;</w:t>
      </w:r>
      <w:r>
        <w:rPr>
          <w:rFonts w:asciiTheme="minorHAnsi" w:hAnsiTheme="minorHAnsi"/>
          <w:noProof/>
        </w:rPr>
        <w:t xml:space="preserve"> un </w:t>
      </w:r>
    </w:p>
    <w:p w:rsidR="003E022D" w:rsidRDefault="007D19D6">
      <w:pPr>
        <w:pStyle w:val="ListParagraph"/>
        <w:numPr>
          <w:ilvl w:val="0"/>
          <w:numId w:val="847"/>
        </w:numPr>
        <w:spacing w:after="160" w:line="254" w:lineRule="auto"/>
        <w:ind w:left="851" w:hanging="851"/>
        <w:rPr>
          <w:rFonts w:cstheme="minorHAnsi"/>
          <w:noProof/>
        </w:rPr>
      </w:pPr>
      <w:r>
        <w:rPr>
          <w:noProof/>
        </w:rPr>
        <w:t>pārvadājumu vadītājs vai kravu autopārvadātājs vienā vai abās Pusēs nav bijis notiesāts par smagu kriminālnoziegumu vai sodīts par šā nolīguma Otrās daļas Trešā temata I sadaļas [Kravu autopārvadājumi] noteikumu vai valsts n</w:t>
      </w:r>
      <w:r>
        <w:rPr>
          <w:noProof/>
        </w:rPr>
        <w:t xml:space="preserve">oteikumu smagiem pārkāpumiem, kas jo īpaši attiecas uz: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transportlīdzekļa vadīšanas laiku un transportlīdzekļa vadītāja atpūtas laikposmiem, darba laiku un kontrolierīču uzstādīšanu un izmantošanu;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starptautiskajā satiksmē izmantojamo komerciālo transportlīdzekļu maksimālajām svara un gabarītu normām;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transportlīdzekļa vadītāju sākotnējās kvalifikācijas iegūšanu un turpmāko apmācību;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komerciālo transportlīdzekļu tehnisko pārbaudi uz ceļiem, tostarp</w:t>
      </w:r>
      <w:r>
        <w:rPr>
          <w:rFonts w:asciiTheme="minorHAnsi" w:hAnsiTheme="minorHAnsi"/>
          <w:noProof/>
          <w:color w:val="000000"/>
        </w:rPr>
        <w:t xml:space="preserve"> mehānisko transportlīdzekļu obligātajām tehniskajām pārbaudēm;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piekļuvi starptautisko kravu autopārvadājumu tirgum;  </w:t>
      </w:r>
      <w:r>
        <w:rPr>
          <w:noProof/>
        </w:rPr>
        <w:tab/>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bīstamu kravu autopārvadājumu drošību;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ātruma ierobežošanas ierīču uzstādīšanu noteiktu kategoriju transportlīdzekļos;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transportlīdze</w:t>
      </w:r>
      <w:r>
        <w:rPr>
          <w:rFonts w:asciiTheme="minorHAnsi" w:hAnsiTheme="minorHAnsi"/>
          <w:noProof/>
          <w:color w:val="000000"/>
        </w:rPr>
        <w:t xml:space="preserve">kļa vadītāja apliecību;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profesionālās darbības atļaušanu;  </w:t>
      </w:r>
      <w:r>
        <w:rPr>
          <w:noProof/>
        </w:rPr>
        <w:tab/>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dzīvnieku pārvadāšanu;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darba ņēmēju norīkošanu darbā autopārvadājumu jomā; </w:t>
      </w:r>
    </w:p>
    <w:p w:rsidR="003E022D" w:rsidRDefault="007D19D6">
      <w:pPr>
        <w:pStyle w:val="Point1"/>
        <w:numPr>
          <w:ilvl w:val="0"/>
          <w:numId w:val="849"/>
        </w:numPr>
        <w:rPr>
          <w:rFonts w:asciiTheme="minorHAnsi" w:hAnsiTheme="minorHAnsi" w:cstheme="minorHAnsi"/>
          <w:noProof/>
          <w:color w:val="000000"/>
        </w:rPr>
      </w:pPr>
      <w:r>
        <w:rPr>
          <w:rFonts w:asciiTheme="minorHAnsi" w:hAnsiTheme="minorHAnsi"/>
          <w:noProof/>
          <w:color w:val="000000"/>
        </w:rPr>
        <w:t>tiesību aktiem, kas piemērojami līgumsaistībām; un</w:t>
      </w:r>
    </w:p>
    <w:p w:rsidR="003E022D" w:rsidRDefault="007D19D6">
      <w:pPr>
        <w:pStyle w:val="Point1"/>
        <w:numPr>
          <w:ilvl w:val="0"/>
          <w:numId w:val="849"/>
        </w:numPr>
        <w:rPr>
          <w:rFonts w:asciiTheme="minorHAnsi" w:hAnsiTheme="minorHAnsi" w:cstheme="minorHAnsi"/>
          <w:noProof/>
        </w:rPr>
      </w:pPr>
      <w:r>
        <w:rPr>
          <w:rFonts w:asciiTheme="minorHAnsi" w:hAnsiTheme="minorHAnsi"/>
          <w:noProof/>
        </w:rPr>
        <w:t>braucieniem, kuru iekraušanas un izkraušanas punkti atrodas otrā P</w:t>
      </w:r>
      <w:r>
        <w:rPr>
          <w:rFonts w:asciiTheme="minorHAnsi" w:hAnsiTheme="minorHAnsi"/>
          <w:noProof/>
        </w:rPr>
        <w:t xml:space="preserve">usē. </w:t>
      </w:r>
    </w:p>
    <w:p w:rsidR="003E022D" w:rsidRDefault="007D19D6">
      <w:pPr>
        <w:rPr>
          <w:rFonts w:cstheme="minorHAnsi"/>
          <w:noProof/>
        </w:rPr>
      </w:pPr>
      <w:r>
        <w:rPr>
          <w:noProof/>
        </w:rPr>
        <w:t>2.</w:t>
      </w:r>
      <w:r>
        <w:rPr>
          <w:noProof/>
        </w:rPr>
        <w:tab/>
        <w:t>Piemērojot šā panta 1. punkta trešās daļas b) apakšpunktu, ja pārvadājumu vadītājs vai kravu autopārvadātājs vienā vai abās Pusēs ir notiesāts par smagu kriminālnoziegumu vai sodīts par vienu no vissmagākajiem pārkāpumiem, kā noteikts ROAD.A.1.1. </w:t>
      </w:r>
      <w:r>
        <w:rPr>
          <w:noProof/>
        </w:rPr>
        <w:t xml:space="preserve">papildinājumā , kompetentā iestāde uzņēmējdarbības veikšanas vietas Pusē atbilstīgi un savlaicīgi īsteno administratīvu procedūru, kas ietver, ja vajadzīgs, pārbaudi attiecīgās fiziskās vai juridiskās personas telpās.  </w:t>
      </w:r>
    </w:p>
    <w:p w:rsidR="003E022D" w:rsidRDefault="007D19D6">
      <w:pPr>
        <w:rPr>
          <w:rFonts w:cstheme="minorHAnsi"/>
          <w:noProof/>
        </w:rPr>
      </w:pPr>
      <w:r>
        <w:rPr>
          <w:noProof/>
        </w:rPr>
        <w:t>Administratīvās procedūras laikā kom</w:t>
      </w:r>
      <w:r>
        <w:rPr>
          <w:noProof/>
        </w:rPr>
        <w:t>petentā iestāde novērtē, vai īpašu apstākļu dēļ labas reputācijas zaudēšana konkrētajā gadījumā būtu nesamērīga reakcija. Minētajā novērtējumā kompetentā iestāde ņem vērā smagu šā panta 1. punkta trešajā daļā minēto noteikumu pārkāpumu skaitu, kā arī to RO</w:t>
      </w:r>
      <w:r>
        <w:rPr>
          <w:noProof/>
        </w:rPr>
        <w:t xml:space="preserve">AD.A.1.1. papildinājumā noteikto vissmagāko pārkāpumu skaitu, par kuriem pārvadājumu vadītājs vai kravu autopārvadātājs ir notiesāts vai par kuriem tiem piemērotas sankcijas. Jebkuri šādi konstatējumi ir pienācīgi pierādīti un pamatoti. </w:t>
      </w:r>
    </w:p>
    <w:p w:rsidR="003E022D" w:rsidRDefault="007D19D6">
      <w:pPr>
        <w:rPr>
          <w:rFonts w:cstheme="minorHAnsi"/>
          <w:noProof/>
        </w:rPr>
      </w:pPr>
      <w:r>
        <w:rPr>
          <w:noProof/>
        </w:rPr>
        <w:t>Ja kompetentā iest</w:t>
      </w:r>
      <w:r>
        <w:rPr>
          <w:noProof/>
        </w:rPr>
        <w:t>āde konstatē, ka labas reputācijas zaudēšana būtu nesamērīga, tā nolemj, ka attiecīgā fiziskā vai juridiskā persona saglabā labu reputāciju. Ja kompetentā iestāde nekonstatē, ka labas reputācijas zaudēšana būtu nesamērīga, tad notiesāšana vai sankcija rada</w:t>
      </w:r>
      <w:r>
        <w:rPr>
          <w:noProof/>
        </w:rPr>
        <w:t xml:space="preserve"> labas reputācijas zaudējumu. </w:t>
      </w:r>
    </w:p>
    <w:p w:rsidR="003E022D" w:rsidRDefault="007D19D6">
      <w:pPr>
        <w:rPr>
          <w:rFonts w:cstheme="minorHAnsi"/>
          <w:noProof/>
          <w:color w:val="000000" w:themeColor="text1"/>
        </w:rPr>
      </w:pPr>
      <w:r>
        <w:rPr>
          <w:noProof/>
          <w:color w:val="000000" w:themeColor="text1"/>
        </w:rPr>
        <w:t>3.</w:t>
      </w:r>
      <w:r>
        <w:rPr>
          <w:noProof/>
        </w:rPr>
        <w:tab/>
      </w:r>
      <w:r>
        <w:rPr>
          <w:noProof/>
          <w:color w:val="000000" w:themeColor="text1"/>
        </w:rPr>
        <w:t>Specializētā autotransporta komiteja sastāda tādu nopietnu pārkāpumu kategoriju, veidu un smaguma pakāpju sarakstu, kuri papildus ROAD.A.1.1. papildinājumā norādītajiem pārkāpumiem var izraisīt labas reputācijas zaudēšanu.</w:t>
      </w:r>
      <w:r>
        <w:rPr>
          <w:noProof/>
          <w:color w:val="000000" w:themeColor="text1"/>
        </w:rPr>
        <w:t xml:space="preserve"> </w:t>
      </w:r>
    </w:p>
    <w:p w:rsidR="003E022D" w:rsidRDefault="003E022D">
      <w:pPr>
        <w:rPr>
          <w:rFonts w:cstheme="minorHAnsi"/>
          <w:noProof/>
        </w:rPr>
      </w:pPr>
    </w:p>
    <w:p w:rsidR="003E022D" w:rsidRDefault="007D19D6">
      <w:pPr>
        <w:rPr>
          <w:rFonts w:cstheme="minorHAnsi"/>
          <w:noProof/>
        </w:rPr>
      </w:pPr>
      <w:r>
        <w:rPr>
          <w:noProof/>
        </w:rPr>
        <w:t>4.</w:t>
      </w:r>
      <w:r>
        <w:rPr>
          <w:noProof/>
        </w:rPr>
        <w:tab/>
        <w:t xml:space="preserve">Prasību par labu reputāciju neuzskata izpildītu līdz dienai, kad saskaņā ar attiecīgajiem Pušu valsts tiesību aktu noteikumiem tiek veikta reabilitācija vai jebkāds cits pasākums ar līdzvērtīgu iedarbību. </w:t>
      </w:r>
    </w:p>
    <w:p w:rsidR="003E022D" w:rsidRDefault="007D19D6">
      <w:pPr>
        <w:pStyle w:val="Article"/>
        <w:rPr>
          <w:rFonts w:cstheme="minorHAnsi"/>
          <w:noProof/>
        </w:rPr>
      </w:pPr>
      <w:r>
        <w:rPr>
          <w:noProof/>
        </w:rPr>
        <w:t xml:space="preserve"> 7. pants. Finansiālā stāvokļa prasības nosa</w:t>
      </w:r>
      <w:r>
        <w:rPr>
          <w:noProof/>
        </w:rPr>
        <w:t xml:space="preserve">cījumi  </w:t>
      </w:r>
    </w:p>
    <w:p w:rsidR="003E022D" w:rsidRDefault="007D19D6">
      <w:pPr>
        <w:rPr>
          <w:rFonts w:cstheme="minorHAnsi"/>
          <w:noProof/>
          <w:color w:val="000000" w:themeColor="text1"/>
        </w:rPr>
      </w:pPr>
      <w:r>
        <w:rPr>
          <w:noProof/>
        </w:rPr>
        <w:t>1.</w:t>
      </w:r>
      <w:r>
        <w:rPr>
          <w:noProof/>
        </w:rPr>
        <w:tab/>
      </w:r>
      <w:r>
        <w:rPr>
          <w:noProof/>
        </w:rPr>
        <w:t>Lai izpildītu prasību par finansiālo stāvokli, fiziskā vai juridiskā persona vienmēr attiecīgā finanšu gada laikā ir spējīga izpildīt savas finanšu saistības. Fiziskā vai juridiskā persona, pamatojoties uz gada pārskatiem, kurus apstiprinājis revidents vai</w:t>
      </w:r>
      <w:r>
        <w:rPr>
          <w:noProof/>
        </w:rPr>
        <w:t xml:space="preserve"> attiecīgi pilnvarota persona, pierāda, ka katru gadu tās rīcībā ir kapitāls un rezerves: </w:t>
      </w:r>
    </w:p>
    <w:p w:rsidR="003E022D" w:rsidRDefault="007D19D6">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noProof/>
        </w:rPr>
        <w:t>kopsummā vismaz 9000 EUR / 8000 GBP, ja tiek izmantots tikai viens transportlīdzeklis, 5000 EUR / 4500 GBP par katru papildu izmantoto mehānisko transportlīdzekli va</w:t>
      </w:r>
      <w:r>
        <w:rPr>
          <w:rFonts w:asciiTheme="minorHAnsi" w:hAnsiTheme="minorHAnsi"/>
          <w:noProof/>
        </w:rPr>
        <w:t xml:space="preserve">i transportlīdzekļu sastāvu, kura pieļaujamā pilnmasa pārsniedz 3,5 tonnas, un 900 EUR / 800 GBP par katru papildu mehānisko transportlīdzekli vai transportlīdzekļu sastāvu, kura pieļaujamā pilnmasa pārsniedz 2,5 tonnas, bet nepārsniedz 3,5 tonnas; </w:t>
      </w:r>
    </w:p>
    <w:p w:rsidR="003E022D" w:rsidRDefault="007D19D6">
      <w:pPr>
        <w:pStyle w:val="Point0letter"/>
        <w:numPr>
          <w:ilvl w:val="0"/>
          <w:numId w:val="850"/>
        </w:numPr>
        <w:ind w:left="851" w:hanging="851"/>
        <w:jc w:val="both"/>
        <w:rPr>
          <w:rFonts w:asciiTheme="minorHAnsi" w:hAnsiTheme="minorHAnsi" w:cstheme="minorHAnsi"/>
          <w:noProof/>
        </w:rPr>
      </w:pPr>
      <w:r>
        <w:rPr>
          <w:rFonts w:asciiTheme="minorHAnsi" w:hAnsiTheme="minorHAnsi"/>
          <w:noProof/>
        </w:rPr>
        <w:t>fizisk</w:t>
      </w:r>
      <w:r>
        <w:rPr>
          <w:rFonts w:asciiTheme="minorHAnsi" w:hAnsiTheme="minorHAnsi"/>
          <w:noProof/>
        </w:rPr>
        <w:t xml:space="preserve">ās vai juridiskās personas, kas veic kravu autopārvadātāja profesionālo darbību, izmantojot tikai mehāniskos transportlīdzekļus vai transportlīdzekļu sastāvus, kuru pieļaujamā pilnmasa pārsniedz 2,5 tonnas, bet nepārsniedz 3,5 tonnas, pamatojoties uz gada </w:t>
      </w:r>
      <w:r>
        <w:rPr>
          <w:rFonts w:asciiTheme="minorHAnsi" w:hAnsiTheme="minorHAnsi"/>
          <w:noProof/>
        </w:rPr>
        <w:t>pārskatiem, kurus apstiprinājis revidents vai attiecīgi pilnvarota persona, pierāda, ka katru gadu to rīcībā ir kapitāls un rezerves kopsummā vismaz 1800 EUR / 1600 GBP, ja tiek izmantots tikai viens transportlīdzeklis, un 900 EUR / 800 GBP par katru papil</w:t>
      </w:r>
      <w:r>
        <w:rPr>
          <w:rFonts w:asciiTheme="minorHAnsi" w:hAnsiTheme="minorHAnsi"/>
          <w:noProof/>
        </w:rPr>
        <w:t>du izmantoto transportlīdzekli.</w:t>
      </w:r>
      <w:r>
        <w:rPr>
          <w:rFonts w:asciiTheme="minorHAnsi" w:hAnsiTheme="minorHAnsi"/>
          <w:noProof/>
          <w:color w:val="FF0000"/>
        </w:rPr>
        <w:t xml:space="preserve"> </w:t>
      </w:r>
    </w:p>
    <w:p w:rsidR="003E022D" w:rsidRDefault="007D19D6">
      <w:pPr>
        <w:rPr>
          <w:rFonts w:cstheme="minorHAnsi"/>
          <w:noProof/>
        </w:rPr>
      </w:pPr>
      <w:r>
        <w:rPr>
          <w:noProof/>
        </w:rPr>
        <w:t>2.</w:t>
      </w:r>
      <w:r>
        <w:rPr>
          <w:noProof/>
        </w:rPr>
        <w:tab/>
        <w:t>Atkāpjoties no 1. punkta, kompetentā iestāde var atļaut vai pieprasīt uzņēmumam apliecināt savu finansiālo stāvokli ar apliecinošu dokumentu, ko nosaka kompetentā iestāde, piemēram, bankas garantiju vai apdrošināšanas ap</w:t>
      </w:r>
      <w:r>
        <w:rPr>
          <w:noProof/>
        </w:rPr>
        <w:t xml:space="preserve">liecinājumu, tostarp profesionālās atbildības apdrošināšanas apliecinājumu, ko ir izsniegusi viena vai vairākas bankas vai citas finanšu iestādes, tostarp apdrošināšanas sabiedrības, vai citu saistošu dokumentu, kas sniedz kopēju un solidāru galvojumu par </w:t>
      </w:r>
      <w:r>
        <w:rPr>
          <w:noProof/>
        </w:rPr>
        <w:t xml:space="preserve">uzņēmumu attiecībā uz summām, kas noteiktas 1. punkta a) apakšpunktā. </w:t>
      </w:r>
    </w:p>
    <w:p w:rsidR="003E022D" w:rsidRDefault="007D19D6">
      <w:pPr>
        <w:rPr>
          <w:rFonts w:cstheme="minorHAnsi"/>
          <w:noProof/>
        </w:rPr>
      </w:pPr>
      <w:r>
        <w:rPr>
          <w:noProof/>
        </w:rPr>
        <w:t>3.</w:t>
      </w:r>
      <w:r>
        <w:rPr>
          <w:noProof/>
        </w:rPr>
        <w:tab/>
        <w:t>Atkāpjoties no 1. punkta, ja nav apstiprinātu gada pārskatu par uzņēmuma reģistrācijas gadu, kompetentā iestāde piekrīt, ka uzņēmumam jāpierāda savs finansiālais stāvoklis, izmantojo</w:t>
      </w:r>
      <w:r>
        <w:rPr>
          <w:noProof/>
        </w:rPr>
        <w:t>t apliecinošu dokumentu, piemēram, bankas garantiju, finanšu iestādes izdotu dokumentu, kurā noteikta piekļuve kredītam uzņēmuma vārdā, vai citu saistošu dokumentu, ko noteikusi kompetentā iestāde un kas pierāda, ka uzņēmuma rīcībā ir 1. punkta a) apakšpun</w:t>
      </w:r>
      <w:r>
        <w:rPr>
          <w:noProof/>
        </w:rPr>
        <w:t xml:space="preserve">ktā norādītās summas.  </w:t>
      </w:r>
    </w:p>
    <w:p w:rsidR="003E022D" w:rsidRDefault="007D19D6">
      <w:pPr>
        <w:rPr>
          <w:rFonts w:cstheme="minorHAnsi"/>
          <w:noProof/>
        </w:rPr>
      </w:pPr>
      <w:r>
        <w:rPr>
          <w:noProof/>
        </w:rPr>
        <w:t>4.</w:t>
      </w:r>
      <w:r>
        <w:rPr>
          <w:noProof/>
        </w:rPr>
        <w:tab/>
      </w:r>
      <w:r>
        <w:rPr>
          <w:noProof/>
        </w:rPr>
        <w:t>Šā panta 1. punktā minētie gada pārskati un 2. punktā minētā garantija, kurus paredzēts pārbaudīt, attiecas uz saimniecisko vienību, kas veic uzņēmējdarbību Pusē, kurā ir bijusi pieprasīta atļauja, bet ne uz jebkuru citu vienību, kas veic uzņēmējdarbību ot</w:t>
      </w:r>
      <w:r>
        <w:rPr>
          <w:noProof/>
        </w:rPr>
        <w:t xml:space="preserve">rā Pusē. </w:t>
      </w:r>
    </w:p>
    <w:p w:rsidR="003E022D" w:rsidRDefault="007D19D6">
      <w:pPr>
        <w:pStyle w:val="Article"/>
        <w:rPr>
          <w:rFonts w:cstheme="minorHAnsi"/>
          <w:noProof/>
        </w:rPr>
      </w:pPr>
      <w:r>
        <w:rPr>
          <w:noProof/>
        </w:rPr>
        <w:t xml:space="preserve"> 8. pants. Profesionālās kompetences prasības nosacījumi  </w:t>
      </w:r>
    </w:p>
    <w:p w:rsidR="003E022D" w:rsidRDefault="007D19D6">
      <w:pPr>
        <w:rPr>
          <w:rFonts w:cstheme="minorHAnsi"/>
          <w:noProof/>
        </w:rPr>
      </w:pPr>
      <w:r>
        <w:rPr>
          <w:noProof/>
        </w:rPr>
        <w:t>1.</w:t>
      </w:r>
      <w:r>
        <w:rPr>
          <w:noProof/>
        </w:rPr>
        <w:tab/>
        <w:t>Lai izpildītu prasību par profesionālo kompetenci, attiecīgajai personai vai attiecīgajām personām ir ROAD.A.1.2. papildinājuma I daļā minētajam līmenim atbilstīgas zināšanas šajā ieda</w:t>
      </w:r>
      <w:r>
        <w:rPr>
          <w:noProof/>
        </w:rPr>
        <w:t>ļā uzskaitītajos mācību priekšmetos. Šīs zināšanas pierāda, izmantojot obligātu rakstisku eksāmenu, ko, ja Puse pieņem attiecīgu lēmumu, var papildināt ar mutisku eksāmenu. Minētos eksāmenus organizē saskaņā ar ROAD.A.1.2. papildinājuma II daļu. Šajā sakar</w:t>
      </w:r>
      <w:r>
        <w:rPr>
          <w:noProof/>
        </w:rPr>
        <w:t xml:space="preserve">ā Puse var pieņemt lēmumu pirms eksāmena paredzēt mācības. </w:t>
      </w:r>
    </w:p>
    <w:p w:rsidR="003E022D" w:rsidRDefault="007D19D6">
      <w:pPr>
        <w:rPr>
          <w:rFonts w:cstheme="minorHAnsi"/>
          <w:noProof/>
        </w:rPr>
      </w:pPr>
      <w:r>
        <w:rPr>
          <w:noProof/>
        </w:rPr>
        <w:t>2.</w:t>
      </w:r>
      <w:r>
        <w:rPr>
          <w:noProof/>
        </w:rPr>
        <w:tab/>
        <w:t xml:space="preserve">Attiecīgās personas kārto eksāmenu tajā Pusē, kurā ir to parastā dzīvesvieta. </w:t>
      </w:r>
    </w:p>
    <w:p w:rsidR="003E022D" w:rsidRDefault="007D19D6">
      <w:pPr>
        <w:rPr>
          <w:rFonts w:cstheme="minorHAnsi"/>
          <w:noProof/>
        </w:rPr>
      </w:pPr>
      <w:r>
        <w:rPr>
          <w:noProof/>
        </w:rPr>
        <w:t>3.</w:t>
      </w:r>
      <w:r>
        <w:rPr>
          <w:noProof/>
        </w:rPr>
        <w:tab/>
        <w:t xml:space="preserve">Šā panta 1. punktā minētos rakstiskos un mutiskos eksāmenus drīkst organizēt un par tiem izsniegt sertifikātus </w:t>
      </w:r>
      <w:r>
        <w:rPr>
          <w:noProof/>
        </w:rPr>
        <w:t xml:space="preserve">tikai tās iestādes vai struktūras, kurām šim nolūkam Puse saskaņā ar tās noteiktajiem kritērijiem ir izdevusi attiecīgu atļauju. Puses regulāri pārbauda, vai eksāmeni, ko organizē minētās iestādes vai struktūras, atbilst ROAD.A.1.2. papildinājumam. </w:t>
      </w:r>
    </w:p>
    <w:p w:rsidR="003E022D" w:rsidRDefault="007D19D6">
      <w:pPr>
        <w:rPr>
          <w:rFonts w:cstheme="minorHAnsi"/>
          <w:noProof/>
        </w:rPr>
      </w:pPr>
      <w:r>
        <w:rPr>
          <w:noProof/>
        </w:rPr>
        <w:t>4.</w:t>
      </w:r>
      <w:r>
        <w:rPr>
          <w:noProof/>
        </w:rPr>
        <w:tab/>
        <w:t xml:space="preserve">Ja </w:t>
      </w:r>
      <w:r>
        <w:rPr>
          <w:noProof/>
        </w:rPr>
        <w:t>persona ir saņēmusi noteiktas augstākās vai tehniskās izglītības kvalifikācijas, kuras piešķirtas Pusē un nodrošina zināšanas visos ROAD.A.1.2. papildinājumā uzskaitītajos mācību priekšmetos, un kuras īpaši norādītas šim nolūkam, tad minētā Puse viņu var a</w:t>
      </w:r>
      <w:r>
        <w:rPr>
          <w:noProof/>
        </w:rPr>
        <w:t>tbrīvot no obligātiem eksāmeniem šajos priekšmetos, par kuriem piešķirtas minētās kvalifikācijas. Šo izņēmumu piemēro tikai tām ROAD.A.1.2. papildinājuma I daļas iedaļām, par kurām izsniegtā kvalifikācija attiecas uz visiem mācību priekšmetiem, kas uzskait</w:t>
      </w:r>
      <w:r>
        <w:rPr>
          <w:noProof/>
        </w:rPr>
        <w:t xml:space="preserve">īti zem katras iedaļas virsraksta. </w:t>
      </w:r>
    </w:p>
    <w:p w:rsidR="003E022D" w:rsidRDefault="007D19D6">
      <w:pPr>
        <w:rPr>
          <w:rFonts w:cstheme="minorHAnsi"/>
          <w:noProof/>
        </w:rPr>
      </w:pPr>
      <w:r>
        <w:rPr>
          <w:noProof/>
        </w:rPr>
        <w:t xml:space="preserve">Puse var atbrīvot no īpašām eksāmena daļām personas, kas uzrāda profesionālās kompetences sertifikātus, kuri ir derīgi, lai minētajā Pusē veiktu iekšzemes pārvadājumu operācijas. </w:t>
      </w:r>
    </w:p>
    <w:p w:rsidR="003E022D" w:rsidRDefault="007D19D6">
      <w:pPr>
        <w:pStyle w:val="Article"/>
        <w:rPr>
          <w:rFonts w:cstheme="minorHAnsi"/>
          <w:noProof/>
        </w:rPr>
      </w:pPr>
      <w:r>
        <w:rPr>
          <w:noProof/>
        </w:rPr>
        <w:t xml:space="preserve">9. pants. Atbrīvojums no eksāmena  </w:t>
      </w:r>
    </w:p>
    <w:p w:rsidR="003E022D" w:rsidRDefault="007D19D6">
      <w:pPr>
        <w:rPr>
          <w:rFonts w:cstheme="minorHAnsi"/>
          <w:noProof/>
        </w:rPr>
      </w:pPr>
      <w:r>
        <w:rPr>
          <w:noProof/>
        </w:rPr>
        <w:t>Sais</w:t>
      </w:r>
      <w:r>
        <w:rPr>
          <w:noProof/>
        </w:rPr>
        <w:t>tībā ar atļaujas piešķiršanu kravu autopārvadātājam, kas izmanto tikai mehāniskos transportlīdzekļus vai transportlīdzekļu sastāvus, kuru pieļaujamā pilnmasa nepārsniedz 3,5 tonnas, Puse var nolemt atbrīvot no prasības kārtot 8. panta 1. punktā minētos eks</w:t>
      </w:r>
      <w:r>
        <w:rPr>
          <w:noProof/>
        </w:rPr>
        <w:t>āmenus personas, kas pierāda, ka tās nepārtraukti desmit gadus pirms 2020. gada 20. augusta ir vadījušas tāda paša veida fizisku vai juridisku personu.</w:t>
      </w:r>
    </w:p>
    <w:p w:rsidR="003E022D" w:rsidRDefault="007D19D6">
      <w:pPr>
        <w:pStyle w:val="Article"/>
        <w:rPr>
          <w:rFonts w:cstheme="minorHAnsi"/>
          <w:noProof/>
        </w:rPr>
      </w:pPr>
      <w:r>
        <w:rPr>
          <w:noProof/>
        </w:rPr>
        <w:t xml:space="preserve">10. pants. Atļauju apturēšana un anulēšana </w:t>
      </w:r>
    </w:p>
    <w:p w:rsidR="003E022D" w:rsidRDefault="007D19D6">
      <w:pPr>
        <w:rPr>
          <w:rFonts w:cstheme="minorHAnsi"/>
          <w:noProof/>
        </w:rPr>
      </w:pPr>
      <w:r>
        <w:rPr>
          <w:noProof/>
        </w:rPr>
        <w:t>1.</w:t>
      </w:r>
      <w:r>
        <w:rPr>
          <w:noProof/>
        </w:rPr>
        <w:tab/>
        <w:t>Ja kompetentā iestāde konstatē, ka pastāv risks, ka fizis</w:t>
      </w:r>
      <w:r>
        <w:rPr>
          <w:noProof/>
        </w:rPr>
        <w:t xml:space="preserve">kā vai juridiskā persona vairs nespēs izpildīt 3. pantā paredzētās prasības, šī iestāde par to informē fizisko vai juridisko personu. Ja kompetentā iestāde konstatē, ka viena vai vairākas no šīm prasībām vairs netiek izpildītas, tā nosaka vienu no turpmāk </w:t>
      </w:r>
      <w:r>
        <w:rPr>
          <w:noProof/>
        </w:rPr>
        <w:t xml:space="preserve">norādītajiem termiņiem, kurā fiziskā vai juridiskā persona var labot situāciju: </w:t>
      </w:r>
    </w:p>
    <w:p w:rsidR="003E022D" w:rsidRDefault="007D19D6">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ja pārvadājumu vadītājs vairs neatbilst prasībām attiecībā uz labu reputāciju vai profesionālo kompetenci, – ne vairāk kā 6 mēneši, lai pieņemtu darbā pārvadājumu vadītāja aiz</w:t>
      </w:r>
      <w:r>
        <w:rPr>
          <w:rFonts w:asciiTheme="minorHAnsi" w:hAnsiTheme="minorHAnsi"/>
          <w:noProof/>
        </w:rPr>
        <w:t xml:space="preserve">vietotāju; šo termiņu var pagarināt par 3 mēnešiem pārvadājumu vadītāja nāves vai invaliditātes gadījumā; </w:t>
      </w:r>
    </w:p>
    <w:p w:rsidR="003E022D" w:rsidRDefault="007D19D6">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ja fiziskajai vai juridiskajai personai ir nepieciešams labot situāciju, pierādot, ka fiziskajai vai juridiskajai personai ir faktiska un stabila uzņ</w:t>
      </w:r>
      <w:r>
        <w:rPr>
          <w:rFonts w:asciiTheme="minorHAnsi" w:hAnsiTheme="minorHAnsi"/>
          <w:noProof/>
        </w:rPr>
        <w:t>ēmējdarbības veikšanas vieta, – ne vairāk kā 6 mēneši; vai</w:t>
      </w:r>
    </w:p>
    <w:p w:rsidR="003E022D" w:rsidRDefault="007D19D6">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ja finansiālais stāvoklis neatbilst prasībām, – ne vairāk kā 6 mēneši, lai pierādītu, ka minētā prasība atkal tiek nepārtraukti izpildīta. </w:t>
      </w:r>
    </w:p>
    <w:p w:rsidR="003E022D" w:rsidRDefault="007D19D6">
      <w:pPr>
        <w:rPr>
          <w:rFonts w:cstheme="minorHAnsi"/>
          <w:noProof/>
        </w:rPr>
      </w:pPr>
      <w:r>
        <w:rPr>
          <w:noProof/>
        </w:rPr>
        <w:t>2.</w:t>
      </w:r>
      <w:r>
        <w:rPr>
          <w:noProof/>
        </w:rPr>
        <w:tab/>
        <w:t>Kompetentā iestāde var prasīt, lai fiziskā vai juridis</w:t>
      </w:r>
      <w:r>
        <w:rPr>
          <w:noProof/>
        </w:rPr>
        <w:t xml:space="preserve">kā persona, kuras atļauja ir apturēta vai anulēta, nodrošinātu, ka pirms jebkāda reabilitācijas pasākuma veikšanas tās pārvadājumu vadītāji ir nokārtojuši eksāmenus, kas minēti 8. panta 1. punktā. </w:t>
      </w:r>
    </w:p>
    <w:p w:rsidR="003E022D" w:rsidRDefault="007D19D6">
      <w:pPr>
        <w:rPr>
          <w:rFonts w:cstheme="minorHAnsi"/>
          <w:noProof/>
        </w:rPr>
      </w:pPr>
      <w:r>
        <w:rPr>
          <w:noProof/>
        </w:rPr>
        <w:t>3.</w:t>
      </w:r>
      <w:r>
        <w:rPr>
          <w:noProof/>
        </w:rPr>
        <w:tab/>
        <w:t>Ja kompetentā iestāde konstatē, ka fiziskā vai juridisk</w:t>
      </w:r>
      <w:r>
        <w:rPr>
          <w:noProof/>
        </w:rPr>
        <w:t xml:space="preserve">ā persona vairs neizpilda vienu vai vairākas no 3. pantā paredzētajām prasībām, tā atļauju kravu autopārvadātāja profesionālās darbības veikšanai aptur vai anulē vēlākais, kad beidzas šā panta 1. punktā minētie termiņi. </w:t>
      </w:r>
    </w:p>
    <w:p w:rsidR="003E022D" w:rsidRDefault="007D19D6">
      <w:pPr>
        <w:pStyle w:val="Article"/>
        <w:rPr>
          <w:rFonts w:cstheme="minorHAnsi"/>
          <w:noProof/>
        </w:rPr>
      </w:pPr>
      <w:r>
        <w:rPr>
          <w:noProof/>
        </w:rPr>
        <w:t xml:space="preserve"> 11. pants. Atzinums par pārvadājum</w:t>
      </w:r>
      <w:r>
        <w:rPr>
          <w:noProof/>
        </w:rPr>
        <w:t xml:space="preserve">u vadītāja nepiemērotību </w:t>
      </w:r>
    </w:p>
    <w:p w:rsidR="003E022D" w:rsidRDefault="007D19D6">
      <w:pPr>
        <w:rPr>
          <w:rFonts w:cstheme="minorHAnsi"/>
          <w:noProof/>
        </w:rPr>
      </w:pPr>
      <w:r>
        <w:rPr>
          <w:noProof/>
        </w:rPr>
        <w:t>1.</w:t>
      </w:r>
      <w:r>
        <w:rPr>
          <w:noProof/>
        </w:rPr>
        <w:tab/>
        <w:t xml:space="preserve">Ja pārvadājumu vadītājs zaudē labu reputāciju saskaņā ar 6. pantu, kompetentā iestāde pasludina minēto pārvadājumu vadītāju par nepiemērotu kravu autopārvadātāja pārvadājumu darbību vadīšanai. </w:t>
      </w:r>
    </w:p>
    <w:p w:rsidR="003E022D" w:rsidRDefault="007D19D6">
      <w:pPr>
        <w:rPr>
          <w:rFonts w:cstheme="minorHAnsi"/>
          <w:noProof/>
        </w:rPr>
      </w:pPr>
      <w:r>
        <w:rPr>
          <w:noProof/>
        </w:rPr>
        <w:t>Kompetentā iestāde nereabilitē pā</w:t>
      </w:r>
      <w:r>
        <w:rPr>
          <w:noProof/>
        </w:rPr>
        <w:t>rvadājumu vadītāju agrāk kā vienu gadu pēc labas reputācijas zaudēšanas dienas un pirms pārvadājumu vadītājs nav pierādījis, ka vismaz 3 mēnešus ir piedalījies atbilstīgā apmācībā vai nolicis eksāmenu par ROAD.A.1.2. papildinājuma I daļā uzskaitītajiem pri</w:t>
      </w:r>
      <w:r>
        <w:rPr>
          <w:noProof/>
        </w:rPr>
        <w:t xml:space="preserve">ekšmetiem. </w:t>
      </w:r>
    </w:p>
    <w:p w:rsidR="003E022D" w:rsidRDefault="007D19D6">
      <w:pPr>
        <w:rPr>
          <w:rFonts w:cstheme="minorHAnsi"/>
          <w:noProof/>
        </w:rPr>
      </w:pPr>
      <w:r>
        <w:rPr>
          <w:noProof/>
        </w:rPr>
        <w:t>2.</w:t>
      </w:r>
      <w:r>
        <w:rPr>
          <w:noProof/>
        </w:rPr>
        <w:tab/>
        <w:t xml:space="preserve">Ja pārvadājumu vadītājs zaudē labu reputāciju saskaņā ar 6. pantu, reabilitācijas pieteikumu drīkst iesniegt ne agrāk kā vienu gadu pēc labas reputācijas zaudēšanas dienas. </w:t>
      </w:r>
    </w:p>
    <w:p w:rsidR="003E022D" w:rsidRDefault="007D19D6">
      <w:pPr>
        <w:pStyle w:val="Article"/>
        <w:rPr>
          <w:rFonts w:cstheme="minorHAnsi"/>
          <w:noProof/>
        </w:rPr>
      </w:pPr>
      <w:r>
        <w:rPr>
          <w:noProof/>
        </w:rPr>
        <w:t xml:space="preserve">12. pants. Pieteikumu izskatīšana un reģistrācija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Kompetentās i</w:t>
      </w:r>
      <w:r>
        <w:rPr>
          <w:noProof/>
          <w:color w:val="000000" w:themeColor="text1"/>
        </w:rPr>
        <w:t xml:space="preserve">estādes katrā Pusē valsts elektroniskajos reģistros, kas minēti 13. panta 1. punktā, reģistrē datus par uzņēmumiem, kuriem tās izsniedz atļaujas. </w:t>
      </w:r>
    </w:p>
    <w:p w:rsidR="003E022D" w:rsidRDefault="007D19D6">
      <w:pPr>
        <w:rPr>
          <w:rFonts w:cstheme="minorHAnsi"/>
          <w:noProof/>
          <w:color w:val="000000" w:themeColor="text1"/>
        </w:rPr>
      </w:pPr>
      <w:r>
        <w:rPr>
          <w:noProof/>
          <w:color w:val="000000" w:themeColor="text1"/>
        </w:rPr>
        <w:t>2.</w:t>
      </w:r>
      <w:r>
        <w:rPr>
          <w:noProof/>
        </w:rPr>
        <w:tab/>
      </w:r>
      <w:r>
        <w:rPr>
          <w:noProof/>
          <w:color w:val="000000" w:themeColor="text1"/>
        </w:rPr>
        <w:t>Novērtējot uzņēmuma labo reputāciju, kompetentās iestādes pārbauda, vai pieteikuma iesniegšanas laikā izra</w:t>
      </w:r>
      <w:r>
        <w:rPr>
          <w:noProof/>
          <w:color w:val="000000" w:themeColor="text1"/>
        </w:rPr>
        <w:t xml:space="preserve">udzītais pārvadājumu vadītājs vai vadītāji vienā no Pusēm ir atzīti par nepiemērotiem uzņēmuma pārvadājumu darbību vadīšanai saskaņā ar 11. pantu. </w:t>
      </w:r>
    </w:p>
    <w:p w:rsidR="003E022D" w:rsidRDefault="007D19D6">
      <w:pPr>
        <w:rPr>
          <w:rFonts w:cstheme="minorHAnsi"/>
          <w:noProof/>
          <w:color w:val="000000" w:themeColor="text1"/>
        </w:rPr>
      </w:pPr>
      <w:r>
        <w:rPr>
          <w:noProof/>
          <w:color w:val="000000" w:themeColor="text1"/>
        </w:rPr>
        <w:t>3.</w:t>
      </w:r>
      <w:r>
        <w:rPr>
          <w:noProof/>
        </w:rPr>
        <w:tab/>
      </w:r>
      <w:r>
        <w:rPr>
          <w:noProof/>
          <w:color w:val="000000" w:themeColor="text1"/>
        </w:rPr>
        <w:t>Kompetentās iestādes regulāri uzrauga, vai uzņēmumi, kuriem tās izsniegušas atļauju kravu autopārvadātāja</w:t>
      </w:r>
      <w:r>
        <w:rPr>
          <w:noProof/>
          <w:color w:val="000000" w:themeColor="text1"/>
        </w:rPr>
        <w:t xml:space="preserve"> profesionālās darbības veikšanai, joprojām atbilst 3. pantā minētajām prasībām. Šajā nolūkā kompetentās iestādes veic pārbaudes, tostarp attiecīgā gadījumā pārbaudes uz vietas attiecīgā uzņēmuma telpās, pievēršot uzmanību uzņēmumiem, kuri atzīti par paaug</w:t>
      </w:r>
      <w:r>
        <w:rPr>
          <w:noProof/>
          <w:color w:val="000000" w:themeColor="text1"/>
        </w:rPr>
        <w:t xml:space="preserve">stināta riska uzņēmumiem. </w:t>
      </w:r>
    </w:p>
    <w:p w:rsidR="003E022D" w:rsidRDefault="007D19D6">
      <w:pPr>
        <w:pStyle w:val="Article"/>
        <w:rPr>
          <w:rFonts w:cstheme="minorHAnsi"/>
          <w:noProof/>
        </w:rPr>
      </w:pPr>
      <w:r>
        <w:rPr>
          <w:noProof/>
          <w:color w:val="00B0F0"/>
        </w:rPr>
        <w:t xml:space="preserve"> </w:t>
      </w:r>
      <w:r>
        <w:rPr>
          <w:noProof/>
        </w:rPr>
        <w:t xml:space="preserve">13. pants. Valsts elektroniskie reģistri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Kompetentās iestādes uztur valsts elektronisko reģistru, kurā reģistrē autopārvadājumu uzņēmumus, kuriem ir atļauts veikt kravu autopārvadātāja profesionālo darbību.</w:t>
      </w:r>
    </w:p>
    <w:p w:rsidR="003E022D" w:rsidRDefault="007D19D6">
      <w:pPr>
        <w:rPr>
          <w:rFonts w:cstheme="minorHAnsi"/>
          <w:noProof/>
          <w:color w:val="000000" w:themeColor="text1"/>
        </w:rPr>
      </w:pPr>
      <w:r>
        <w:rPr>
          <w:noProof/>
          <w:color w:val="000000" w:themeColor="text1"/>
        </w:rPr>
        <w:t>2.</w:t>
      </w:r>
      <w:r>
        <w:rPr>
          <w:noProof/>
        </w:rPr>
        <w:tab/>
      </w:r>
      <w:r>
        <w:rPr>
          <w:noProof/>
          <w:color w:val="000000" w:themeColor="text1"/>
        </w:rPr>
        <w:t xml:space="preserve">Specializētā autotransporta komiteja nosaka autopārvadājumu uzņēmumu valsts reģistros iekļautos datus un nosacījumus attiecībā uz piekļuvi šiem datiem. </w:t>
      </w:r>
    </w:p>
    <w:p w:rsidR="003E022D" w:rsidRDefault="007D19D6">
      <w:pPr>
        <w:pStyle w:val="Article"/>
        <w:rPr>
          <w:rFonts w:cstheme="minorHAnsi"/>
          <w:noProof/>
        </w:rPr>
      </w:pPr>
      <w:r>
        <w:rPr>
          <w:noProof/>
        </w:rPr>
        <w:t xml:space="preserve">14. pants. Kompetento iestāžu administratīvā sadarbība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Kompetentās iestādes katrā Pusē izraugās val</w:t>
      </w:r>
      <w:r>
        <w:rPr>
          <w:noProof/>
          <w:color w:val="000000" w:themeColor="text1"/>
        </w:rPr>
        <w:t xml:space="preserve">sts kontaktpunktu, kas ir atbildīgs par informācijas apmaiņu ar otras Puses kompetentajām iestādēm attiecībā uz šīs iedaļas piemērošanu. </w:t>
      </w:r>
    </w:p>
    <w:p w:rsidR="003E022D" w:rsidRDefault="007D19D6">
      <w:pPr>
        <w:rPr>
          <w:rFonts w:cstheme="minorHAnsi"/>
          <w:noProof/>
          <w:color w:val="000000" w:themeColor="text1"/>
        </w:rPr>
      </w:pPr>
      <w:r>
        <w:rPr>
          <w:noProof/>
          <w:color w:val="000000" w:themeColor="text1"/>
        </w:rPr>
        <w:t>2.</w:t>
      </w:r>
      <w:r>
        <w:rPr>
          <w:noProof/>
        </w:rPr>
        <w:tab/>
      </w:r>
      <w:r>
        <w:rPr>
          <w:noProof/>
          <w:color w:val="000000" w:themeColor="text1"/>
        </w:rPr>
        <w:t>Kompetentās iestādes katrā Pusē cieši sadarbojas un ātri sniedz cita citai savstarpēju palīdzību un jebkādu citu at</w:t>
      </w:r>
      <w:r>
        <w:rPr>
          <w:noProof/>
          <w:color w:val="000000" w:themeColor="text1"/>
        </w:rPr>
        <w:t xml:space="preserve">bilstīgu informāciju, lai veicinātu šīs iedaļas īstenošanu un izpildi. </w:t>
      </w:r>
    </w:p>
    <w:p w:rsidR="003E022D" w:rsidRDefault="007D19D6">
      <w:pPr>
        <w:rPr>
          <w:rFonts w:cstheme="minorHAnsi"/>
          <w:noProof/>
          <w:color w:val="000000" w:themeColor="text1"/>
        </w:rPr>
      </w:pPr>
      <w:r>
        <w:rPr>
          <w:noProof/>
          <w:color w:val="000000" w:themeColor="text1"/>
        </w:rPr>
        <w:t>3.</w:t>
      </w:r>
      <w:r>
        <w:rPr>
          <w:noProof/>
        </w:rPr>
        <w:tab/>
      </w:r>
      <w:r>
        <w:rPr>
          <w:noProof/>
          <w:color w:val="000000" w:themeColor="text1"/>
        </w:rPr>
        <w:t>Kompetentās iestādes katrā Pusē veic individuālas pārbaudes, lai pārliecinātos, vai uzņēmums atbilst nosacījumiem, kas reglamentē atļauju kravu autopārvadātājam veikt profesionālo d</w:t>
      </w:r>
      <w:r>
        <w:rPr>
          <w:noProof/>
          <w:color w:val="000000" w:themeColor="text1"/>
        </w:rPr>
        <w:t>arbību, ja pienācīgi pamatotos gadījumos to pieprasa kompetentā iestāde otrā Pusē. Tā informē kompetento iestādi otrā Pusē par šādu pārbaužu rezultātiem un par veiktajiem pasākumiem, ja konstatē, ka uzņēmums vairs neatbilst šajā iedaļā noteiktajām prasībām</w:t>
      </w:r>
      <w:r>
        <w:rPr>
          <w:noProof/>
          <w:color w:val="000000" w:themeColor="text1"/>
        </w:rPr>
        <w:t xml:space="preserve">.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 xml:space="preserve">Kompetentās iestādes katrā Pusē apmainās ar informāciju par notiesāšanu un sankcijām par jebkādiem smagiem pārkāpumiem, kas minēti 6. panta 2. punktā. </w:t>
      </w:r>
    </w:p>
    <w:p w:rsidR="003E022D" w:rsidRDefault="007D19D6">
      <w:pPr>
        <w:rPr>
          <w:rFonts w:cstheme="minorHAnsi"/>
          <w:noProof/>
          <w:color w:val="000000" w:themeColor="text1"/>
        </w:rPr>
      </w:pPr>
      <w:r>
        <w:rPr>
          <w:noProof/>
          <w:color w:val="000000" w:themeColor="text1"/>
        </w:rPr>
        <w:t>5.</w:t>
      </w:r>
      <w:r>
        <w:rPr>
          <w:noProof/>
        </w:rPr>
        <w:tab/>
      </w:r>
      <w:r>
        <w:rPr>
          <w:noProof/>
          <w:color w:val="000000" w:themeColor="text1"/>
        </w:rPr>
        <w:t>Specializētā autotransporta komiteja paredz sīki izstrādātus noteikumus par 3. un 4. punktā min</w:t>
      </w:r>
      <w:r>
        <w:rPr>
          <w:noProof/>
          <w:color w:val="000000" w:themeColor="text1"/>
        </w:rPr>
        <w:t xml:space="preserve">ētās informācijas apmaiņas kārtību.  </w:t>
      </w:r>
    </w:p>
    <w:p w:rsidR="003E022D" w:rsidRDefault="007D19D6">
      <w:pPr>
        <w:rPr>
          <w:rFonts w:cstheme="minorHAnsi"/>
          <w:b/>
          <w:noProof/>
          <w:u w:val="single" w:color="000000"/>
        </w:rPr>
      </w:pPr>
      <w:r>
        <w:rPr>
          <w:noProof/>
        </w:rPr>
        <w:br w:type="page"/>
      </w:r>
    </w:p>
    <w:p w:rsidR="003E022D" w:rsidRDefault="007D19D6">
      <w:pPr>
        <w:pStyle w:val="Appendix"/>
        <w:rPr>
          <w:noProof/>
        </w:rPr>
      </w:pPr>
      <w:r>
        <w:rPr>
          <w:noProof/>
        </w:rPr>
        <w:t>ROAD.A.1.1. PAPILDINĀJUMS. Vissmagākie pārkāpumi ROAD.1. pielikuma A daļas 1. iedaļas 6. panta 2. punkta nozīmē</w:t>
      </w:r>
    </w:p>
    <w:p w:rsidR="003E022D" w:rsidRDefault="007D19D6">
      <w:pPr>
        <w:rPr>
          <w:rFonts w:cstheme="minorHAnsi"/>
          <w:noProof/>
        </w:rPr>
      </w:pPr>
      <w:r>
        <w:rPr>
          <w:noProof/>
        </w:rPr>
        <w:t>1.</w:t>
      </w:r>
      <w:r>
        <w:rPr>
          <w:noProof/>
        </w:rPr>
        <w:tab/>
        <w:t>Vadīšanas laika pārsniegšana:</w:t>
      </w:r>
    </w:p>
    <w:p w:rsidR="003E022D" w:rsidRDefault="007D19D6">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Sešu dienu vai divu nedēļu laikposma maksimālā transportlīdzekļa vadīša</w:t>
      </w:r>
      <w:r>
        <w:rPr>
          <w:rFonts w:asciiTheme="minorHAnsi" w:hAnsiTheme="minorHAnsi"/>
          <w:noProof/>
        </w:rPr>
        <w:t xml:space="preserve">nas laika pārsniegšana par 25 % vai vairāk.  </w:t>
      </w:r>
    </w:p>
    <w:p w:rsidR="003E022D" w:rsidRDefault="007D19D6">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Dienas darba laikā maksimālā ikdienas transportlīdzekļa vadīšanas laika pārsniegšana par 50 % vai vairāk. </w:t>
      </w:r>
    </w:p>
    <w:p w:rsidR="003E022D" w:rsidRDefault="007D19D6">
      <w:pPr>
        <w:rPr>
          <w:rFonts w:cstheme="minorHAnsi"/>
          <w:noProof/>
        </w:rPr>
      </w:pPr>
      <w:r>
        <w:rPr>
          <w:noProof/>
        </w:rPr>
        <w:t>2.</w:t>
      </w:r>
      <w:r>
        <w:rPr>
          <w:noProof/>
        </w:rPr>
        <w:tab/>
        <w:t>Tahogrāfa un/vai ātruma ierobežotāja neuzstādīšana vai tādas krāpnieciskā nolūkā izmantojamas ierīce</w:t>
      </w:r>
      <w:r>
        <w:rPr>
          <w:noProof/>
        </w:rPr>
        <w:t xml:space="preserve">s uzstādīšana transportlīdzeklī un/vai lietošana, ar ko iespējams grozīt reģistrācijas kontrolierīces un/vai ātruma ierobežotāja datus, vai reģistrācijas diagrammu vai no tahogrāfa un/vai no vadītāja kartes lejupielādēto datu viltošana. </w:t>
      </w:r>
    </w:p>
    <w:p w:rsidR="003E022D" w:rsidRDefault="007D19D6">
      <w:pPr>
        <w:rPr>
          <w:rFonts w:cstheme="minorHAnsi"/>
          <w:noProof/>
        </w:rPr>
      </w:pPr>
      <w:r>
        <w:rPr>
          <w:noProof/>
        </w:rPr>
        <w:t>3.</w:t>
      </w:r>
      <w:r>
        <w:rPr>
          <w:noProof/>
        </w:rPr>
        <w:tab/>
        <w:t>Braukšana bez d</w:t>
      </w:r>
      <w:r>
        <w:rPr>
          <w:noProof/>
        </w:rPr>
        <w:t xml:space="preserve">erīgas transportlīdzekļa tehniskās apskates apliecības un/vai braukšana ar, </w:t>
      </w:r>
      <w:r>
        <w:rPr>
          <w:i/>
          <w:noProof/>
        </w:rPr>
        <w:t>inter alia</w:t>
      </w:r>
      <w:r>
        <w:rPr>
          <w:noProof/>
        </w:rPr>
        <w:t>, bremžu sistēmas, stūres pārvadu, riteņu/riepu, balstiekārtas vai šasijas ļoti nopietnām nepilnībām, kas varētu radīt tik lielu satiksmes drošības tūlītēju apdraudējumu,</w:t>
      </w:r>
      <w:r>
        <w:rPr>
          <w:noProof/>
        </w:rPr>
        <w:t xml:space="preserve"> ka tādēļ pieņem lēmumu transportlīdzekli imobilizēt. </w:t>
      </w:r>
    </w:p>
    <w:p w:rsidR="003E022D" w:rsidRDefault="007D19D6">
      <w:pPr>
        <w:rPr>
          <w:rFonts w:cstheme="minorHAnsi"/>
          <w:noProof/>
        </w:rPr>
      </w:pPr>
      <w:r>
        <w:rPr>
          <w:noProof/>
        </w:rPr>
        <w:t>4.</w:t>
      </w:r>
      <w:r>
        <w:rPr>
          <w:noProof/>
        </w:rPr>
        <w:tab/>
        <w:t>Tādu bīstamu kravu pārvadājumi, kuras ir aizliegts pārvadāt vai kuras pārvadā ar aizliegtu vai neatļautu taru vai nelietojot identifikācijas zīmes uz transportlīdzekļa par to, ka tās ir bīstamas kra</w:t>
      </w:r>
      <w:r>
        <w:rPr>
          <w:noProof/>
        </w:rPr>
        <w:t xml:space="preserve">vas, tādējādi apdraudot dzīvības vai vidi tik lielā mērā, ka tādēļ pieņem lēmumu transportlīdzekli imobilizēt. </w:t>
      </w:r>
    </w:p>
    <w:p w:rsidR="003E022D" w:rsidRDefault="007D19D6">
      <w:pPr>
        <w:rPr>
          <w:rFonts w:cstheme="minorHAnsi"/>
          <w:noProof/>
        </w:rPr>
      </w:pPr>
      <w:r>
        <w:rPr>
          <w:noProof/>
        </w:rPr>
        <w:t>5.</w:t>
      </w:r>
      <w:r>
        <w:rPr>
          <w:noProof/>
        </w:rPr>
        <w:tab/>
        <w:t>Kravu pārvadāšana, ja nav derīgas transportlīdzekļa vadītāja apliecības, vai pārvadāšana, ko veic uzņēmums, kuram nav derīgas atļaujas, kā mi</w:t>
      </w:r>
      <w:r>
        <w:rPr>
          <w:noProof/>
        </w:rPr>
        <w:t xml:space="preserve">nēts šā nolīguma ROAD.5. pantā. </w:t>
      </w:r>
    </w:p>
    <w:p w:rsidR="003E022D" w:rsidRDefault="007D19D6">
      <w:pPr>
        <w:rPr>
          <w:rFonts w:cstheme="minorHAnsi"/>
          <w:noProof/>
        </w:rPr>
      </w:pPr>
      <w:r>
        <w:rPr>
          <w:noProof/>
        </w:rPr>
        <w:t>6.</w:t>
      </w:r>
      <w:r>
        <w:rPr>
          <w:noProof/>
        </w:rPr>
        <w:tab/>
        <w:t xml:space="preserve">Transportlīdzekļa vadīšana, izmantojot vadītāja karti, kas ir viltota, nav viņa karte vai kas iegūta, pamatojoties uz nepatiesiem apliecinājumiem un/vai viltotiem dokumentiem. </w:t>
      </w:r>
    </w:p>
    <w:p w:rsidR="003E022D" w:rsidRDefault="007D19D6">
      <w:pPr>
        <w:rPr>
          <w:rFonts w:cstheme="minorHAnsi"/>
          <w:noProof/>
        </w:rPr>
      </w:pPr>
      <w:r>
        <w:rPr>
          <w:noProof/>
        </w:rPr>
        <w:t>7.</w:t>
      </w:r>
      <w:r>
        <w:rPr>
          <w:noProof/>
        </w:rPr>
        <w:tab/>
        <w:t>Kravu pārvadāšana ar transportlīdzekļiem</w:t>
      </w:r>
      <w:r>
        <w:rPr>
          <w:noProof/>
        </w:rPr>
        <w:t>, kuru pieļaujamais pilnais svars ir lielāks par 12 tonnām, ja tie pārsnieguši maksimālo pieļaujamo pilnmasu par 20 % vai vairāk, un kravu pārvadāšana ar transportlīdzekļiem, kuru pieļaujamais pilnais svars ir mazāks par 12 tonnām, ja tie pārsnieguši maksi</w:t>
      </w:r>
      <w:r>
        <w:rPr>
          <w:noProof/>
        </w:rPr>
        <w:t xml:space="preserve">mālo pieļaujamo pilnmasu par 25 % vai vairāk. </w:t>
      </w:r>
    </w:p>
    <w:p w:rsidR="003E022D" w:rsidRDefault="007D19D6">
      <w:pPr>
        <w:rPr>
          <w:rFonts w:cstheme="minorHAnsi"/>
          <w:b/>
          <w:noProof/>
          <w:u w:val="single" w:color="000000"/>
        </w:rPr>
      </w:pPr>
      <w:r>
        <w:rPr>
          <w:noProof/>
        </w:rPr>
        <w:br w:type="page"/>
      </w:r>
    </w:p>
    <w:p w:rsidR="003E022D" w:rsidRDefault="007D19D6">
      <w:pPr>
        <w:pStyle w:val="Appendix"/>
        <w:rPr>
          <w:noProof/>
        </w:rPr>
      </w:pPr>
      <w:r>
        <w:rPr>
          <w:noProof/>
        </w:rPr>
        <w:t xml:space="preserve">ROAD.A.1.2. PAPILDINĀJUMS. </w:t>
      </w:r>
      <w:r>
        <w:rPr>
          <w:noProof/>
        </w:rPr>
        <w:tab/>
        <w:t xml:space="preserve">I daļa. </w:t>
      </w:r>
      <w:r>
        <w:rPr>
          <w:noProof/>
        </w:rPr>
        <w:tab/>
        <w:t xml:space="preserve">ROAD.1. pielikuma A daļas 1. iedaļas 8. PANTĀ MINĒTO MĀCĪBU PRIEKŠMETU SARAKSTS </w:t>
      </w:r>
    </w:p>
    <w:p w:rsidR="003E022D" w:rsidRDefault="007D19D6">
      <w:pPr>
        <w:rPr>
          <w:rFonts w:cstheme="minorHAnsi"/>
          <w:noProof/>
        </w:rPr>
      </w:pPr>
      <w:r>
        <w:rPr>
          <w:noProof/>
        </w:rPr>
        <w:t>Zināšanām, kas jāņem vērā, lai Puses oficiāli atzītu profesionālo kompetenci, jāaptver vi</w:t>
      </w:r>
      <w:r>
        <w:rPr>
          <w:noProof/>
        </w:rPr>
        <w:t xml:space="preserve">smaz turpmāk uzskaitītie mācību priekšmeti. Attiecībā uz minētajiem mācību priekšmetiem pretendentiem uz kravu autopārvadātāja kvalifikāciju ir jābūt pārvadājumu uzņēmuma vadīšanai vajadzīgajam zināšanu un praktisko spēju līmenim. </w:t>
      </w:r>
    </w:p>
    <w:p w:rsidR="003E022D" w:rsidRDefault="007D19D6">
      <w:pPr>
        <w:rPr>
          <w:rFonts w:cstheme="minorHAnsi"/>
          <w:noProof/>
        </w:rPr>
      </w:pPr>
      <w:r>
        <w:rPr>
          <w:noProof/>
        </w:rPr>
        <w:t>Turpmāk norādītajam mini</w:t>
      </w:r>
      <w:r>
        <w:rPr>
          <w:noProof/>
        </w:rPr>
        <w:t xml:space="preserve">mālajam zināšanu līmenim ir jāatbilst vismaz tam zināšanu līmenim, ko sasniedz, iegūstot obligāto izglītību, kas ir papildināta vai nu ar arodmācībām un papildu tehnisko apmācību, vai ar mācībām vidusskolā vai citu tehnisko apmācību. </w:t>
      </w:r>
    </w:p>
    <w:p w:rsidR="003E022D" w:rsidRDefault="007D19D6">
      <w:pPr>
        <w:rPr>
          <w:rFonts w:cstheme="minorHAnsi"/>
          <w:noProof/>
        </w:rPr>
      </w:pPr>
      <w:r>
        <w:rPr>
          <w:noProof/>
        </w:rPr>
        <w:tab/>
        <w:t xml:space="preserve">A. </w:t>
      </w:r>
      <w:r>
        <w:rPr>
          <w:noProof/>
        </w:rPr>
        <w:tab/>
        <w:t xml:space="preserve">Civiltiesības </w:t>
      </w:r>
    </w:p>
    <w:p w:rsidR="003E022D" w:rsidRDefault="007D19D6">
      <w:pPr>
        <w:rPr>
          <w:rFonts w:cstheme="minorHAnsi"/>
          <w:noProof/>
        </w:rPr>
      </w:pPr>
      <w:r>
        <w:rPr>
          <w:noProof/>
        </w:rPr>
        <w:t>P</w:t>
      </w:r>
      <w:r>
        <w:rPr>
          <w:noProof/>
        </w:rPr>
        <w:t xml:space="preserve">retendentam jo īpaši: </w:t>
      </w:r>
    </w:p>
    <w:p w:rsidR="003E022D" w:rsidRDefault="007D19D6">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jāzina galvenie autopārvadājumos izmantojamo līgumu veidi, kā arī no tiem izrietošās tiesības un saistības; </w:t>
      </w:r>
    </w:p>
    <w:p w:rsidR="003E022D" w:rsidRDefault="007D19D6">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jāprot vest sarunas par juridiski spēkā esošu pārvadājumu līgumu, jo īpaši attiecībā uz pārvadājumu noteikumiem; </w:t>
      </w:r>
    </w:p>
    <w:p w:rsidR="003E022D" w:rsidRDefault="007D19D6">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jāprot </w:t>
      </w:r>
      <w:r>
        <w:rPr>
          <w:rFonts w:asciiTheme="minorHAnsi" w:hAnsiTheme="minorHAnsi"/>
          <w:noProof/>
        </w:rPr>
        <w:t>analizēt pretendenta principāla prasību attiecībā uz kompensāciju par kravas nozaudēšanu vai bojāšanu pārvadājumu laikā vai tās novēlotu piegādi un izprast, kā šī prasība ietekmē pretendenta līgumsaistības; un</w:t>
      </w:r>
    </w:p>
    <w:p w:rsidR="003E022D" w:rsidRDefault="007D19D6">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jāzina noteikumi un saistības, kas izriet no </w:t>
      </w:r>
      <w:r>
        <w:rPr>
          <w:rFonts w:asciiTheme="minorHAnsi" w:hAnsiTheme="minorHAnsi"/>
          <w:i/>
          <w:iCs/>
          <w:noProof/>
        </w:rPr>
        <w:t>C</w:t>
      </w:r>
      <w:r>
        <w:rPr>
          <w:rFonts w:asciiTheme="minorHAnsi" w:hAnsiTheme="minorHAnsi"/>
          <w:i/>
          <w:iCs/>
          <w:noProof/>
        </w:rPr>
        <w:t>MR</w:t>
      </w:r>
      <w:r>
        <w:rPr>
          <w:rFonts w:asciiTheme="minorHAnsi" w:hAnsiTheme="minorHAnsi"/>
          <w:noProof/>
        </w:rPr>
        <w:t xml:space="preserve"> Konvencijas par kravu starptautisko autopārvadājumu līgumu, kas pieņemta 1956. gada 19. maijā Ženēvā. </w:t>
      </w:r>
    </w:p>
    <w:p w:rsidR="003E022D" w:rsidRDefault="007D19D6">
      <w:pPr>
        <w:rPr>
          <w:rFonts w:cstheme="minorHAnsi"/>
          <w:noProof/>
        </w:rPr>
      </w:pPr>
      <w:r>
        <w:rPr>
          <w:noProof/>
        </w:rPr>
        <w:tab/>
        <w:t xml:space="preserve">B. </w:t>
      </w:r>
      <w:r>
        <w:rPr>
          <w:noProof/>
        </w:rPr>
        <w:tab/>
        <w:t xml:space="preserve">Komerctiesības </w:t>
      </w:r>
    </w:p>
    <w:p w:rsidR="003E022D" w:rsidRDefault="007D19D6">
      <w:pPr>
        <w:rPr>
          <w:rFonts w:cstheme="minorHAnsi"/>
          <w:noProof/>
        </w:rPr>
      </w:pPr>
      <w:r>
        <w:rPr>
          <w:noProof/>
        </w:rPr>
        <w:t xml:space="preserve">Pretendentam jo īpaši: </w:t>
      </w:r>
    </w:p>
    <w:p w:rsidR="003E022D" w:rsidRDefault="007D19D6">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jāzina darījumu slēgšanas nosacījumi un formalitāšu kārtošana, pārvadātājiem noteiktie vispārējie pienāku</w:t>
      </w:r>
      <w:r>
        <w:rPr>
          <w:rFonts w:asciiTheme="minorHAnsi" w:hAnsiTheme="minorHAnsi"/>
          <w:noProof/>
        </w:rPr>
        <w:t>mi (reģistrēšanās, grāmatvedības uzskaite u. c.) un bankrota sekas; un</w:t>
      </w:r>
    </w:p>
    <w:p w:rsidR="003E022D" w:rsidRDefault="007D19D6">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 xml:space="preserve">jābūt pietiekamām zināšanām par dažādiem uzņēmumu veidiem un normām, kas reglamentē to izveidi un darbību. </w:t>
      </w:r>
    </w:p>
    <w:p w:rsidR="003E022D" w:rsidRDefault="007D19D6">
      <w:pPr>
        <w:rPr>
          <w:rFonts w:cstheme="minorHAnsi"/>
          <w:noProof/>
        </w:rPr>
      </w:pPr>
      <w:r>
        <w:rPr>
          <w:noProof/>
        </w:rPr>
        <w:tab/>
        <w:t xml:space="preserve">C. </w:t>
      </w:r>
      <w:r>
        <w:rPr>
          <w:noProof/>
        </w:rPr>
        <w:tab/>
        <w:t xml:space="preserve">Sociālās tiesības </w:t>
      </w:r>
    </w:p>
    <w:p w:rsidR="003E022D" w:rsidRDefault="007D19D6">
      <w:pPr>
        <w:rPr>
          <w:rFonts w:cstheme="minorHAnsi"/>
          <w:noProof/>
        </w:rPr>
      </w:pPr>
      <w:r>
        <w:rPr>
          <w:noProof/>
        </w:rPr>
        <w:t xml:space="preserve">Pretendentam jo īpaši: </w:t>
      </w:r>
    </w:p>
    <w:p w:rsidR="003E022D" w:rsidRDefault="007D19D6">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jāzina dažādu ar autopārvadāj</w:t>
      </w:r>
      <w:r>
        <w:rPr>
          <w:rFonts w:asciiTheme="minorHAnsi" w:hAnsiTheme="minorHAnsi"/>
          <w:noProof/>
        </w:rPr>
        <w:t xml:space="preserve">umiem saistītu sabiedrisko iestāžu loma un darbība (arodbiedrības, rūpnīcu padomes, darbnīcu pārvaldnieki, darba aizsardzības inspektori u. c.); </w:t>
      </w:r>
    </w:p>
    <w:p w:rsidR="003E022D" w:rsidRDefault="007D19D6">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jāzina darba devēja sociālā nodrošinājuma saistības;</w:t>
      </w:r>
    </w:p>
    <w:p w:rsidR="003E022D" w:rsidRDefault="007D19D6">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jāzina ar autopārvadājumu uzņēmumu dažādu kategoriju darb</w:t>
      </w:r>
      <w:r>
        <w:rPr>
          <w:rFonts w:asciiTheme="minorHAnsi" w:hAnsiTheme="minorHAnsi"/>
          <w:noProof/>
        </w:rPr>
        <w:t xml:space="preserve">iniekiem noslēdzamo darba līgumu noteikumi (līgumu veidi, pušu saistības, darba apstākļi un darbalaiks, apmaksāti atvaļinājumi, atalgojums, līguma laušana u. c.); </w:t>
      </w:r>
    </w:p>
    <w:p w:rsidR="003E022D" w:rsidRDefault="007D19D6">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jāzina piemērojamie noteikumi attiecībā uz transportlīdzekļa vadīšanas laiku, transportlīdze</w:t>
      </w:r>
      <w:r>
        <w:rPr>
          <w:rFonts w:asciiTheme="minorHAnsi" w:hAnsiTheme="minorHAnsi"/>
          <w:noProof/>
        </w:rPr>
        <w:t xml:space="preserve">kļa vadītāja atpūtas laikposmiem un darba laiku un minēto noteikumu piemērošanas praktiskie aspekti; un </w:t>
      </w:r>
    </w:p>
    <w:p w:rsidR="003E022D" w:rsidRDefault="007D19D6">
      <w:pPr>
        <w:pStyle w:val="Point0letter"/>
        <w:numPr>
          <w:ilvl w:val="0"/>
          <w:numId w:val="855"/>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jāzina piemērojamie noteikumi attiecībā uz transportlīdzekļa vadītāju sākotnējās kvalifikācijas iegūšanu un turpmāko apmācību, kas paredzēti šā pieliku</w:t>
      </w:r>
      <w:r>
        <w:rPr>
          <w:rFonts w:asciiTheme="minorHAnsi" w:hAnsiTheme="minorHAnsi"/>
          <w:noProof/>
        </w:rPr>
        <w:t>ma B daļas 1. iedaļā.</w:t>
      </w:r>
      <w:r>
        <w:rPr>
          <w:rFonts w:asciiTheme="minorHAnsi" w:hAnsiTheme="minorHAnsi"/>
          <w:noProof/>
          <w:color w:val="000000" w:themeColor="text1"/>
        </w:rPr>
        <w:t xml:space="preserve"> </w:t>
      </w:r>
    </w:p>
    <w:p w:rsidR="003E022D" w:rsidRDefault="007D19D6">
      <w:pPr>
        <w:rPr>
          <w:rFonts w:cstheme="minorHAnsi"/>
          <w:noProof/>
        </w:rPr>
      </w:pPr>
      <w:r>
        <w:rPr>
          <w:noProof/>
        </w:rPr>
        <w:tab/>
        <w:t xml:space="preserve">D. </w:t>
      </w:r>
      <w:r>
        <w:rPr>
          <w:noProof/>
        </w:rPr>
        <w:tab/>
        <w:t xml:space="preserve">Nodokļu tiesības </w:t>
      </w:r>
    </w:p>
    <w:p w:rsidR="003E022D" w:rsidRDefault="007D19D6">
      <w:pPr>
        <w:rPr>
          <w:rFonts w:cstheme="minorHAnsi"/>
          <w:noProof/>
        </w:rPr>
      </w:pPr>
      <w:r>
        <w:rPr>
          <w:noProof/>
        </w:rPr>
        <w:t xml:space="preserve">Pretendentam jo īpaši jāzina noteikumi, ar ko reglamentē: </w:t>
      </w:r>
    </w:p>
    <w:p w:rsidR="003E022D" w:rsidRDefault="007D19D6">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pievienotās vērtības nodokli (PVN) par pārvadājumu pakalpojumiem; </w:t>
      </w:r>
    </w:p>
    <w:p w:rsidR="003E022D" w:rsidRDefault="007D19D6">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autotransporta nodokli; </w:t>
      </w:r>
    </w:p>
    <w:p w:rsidR="003E022D" w:rsidRDefault="007D19D6">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nodokļus dažiem kravu autopārvadājumu transportlīdzekļu vei</w:t>
      </w:r>
      <w:r>
        <w:rPr>
          <w:rFonts w:asciiTheme="minorHAnsi" w:hAnsiTheme="minorHAnsi"/>
          <w:noProof/>
        </w:rPr>
        <w:t>diem, ceļu nodevas un infrastruktūras lietošanas maksu; un</w:t>
      </w:r>
    </w:p>
    <w:p w:rsidR="003E022D" w:rsidRDefault="007D19D6">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ienākuma nodokli. </w:t>
      </w:r>
    </w:p>
    <w:p w:rsidR="003E022D" w:rsidRDefault="007D19D6">
      <w:pPr>
        <w:ind w:firstLine="720"/>
        <w:rPr>
          <w:rFonts w:cstheme="minorHAnsi"/>
          <w:noProof/>
        </w:rPr>
      </w:pPr>
      <w:r>
        <w:rPr>
          <w:noProof/>
        </w:rPr>
        <w:t xml:space="preserve">E. </w:t>
      </w:r>
      <w:r>
        <w:rPr>
          <w:noProof/>
        </w:rPr>
        <w:tab/>
        <w:t xml:space="preserve">Uzņēmējdarbības un finanšu pārvaldība </w:t>
      </w:r>
    </w:p>
    <w:p w:rsidR="003E022D" w:rsidRDefault="007D19D6">
      <w:pPr>
        <w:rPr>
          <w:rFonts w:cstheme="minorHAnsi"/>
          <w:noProof/>
        </w:rPr>
      </w:pPr>
      <w:r>
        <w:rPr>
          <w:noProof/>
        </w:rPr>
        <w:t xml:space="preserve">Pretendentam jo īpaši: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jāzina normatīvie akti un prakse, kas saistīta ar čeku, vekseļu, parādzīmju, kredītkaršu un citu maksāšanas līdzekļu vai veidu izmantošanu;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jāzina dažādi kreditēšanas veidi (bankas kredīts, dokumentārais kredīts, garantijas depozīts, ķīlu zīmes, līzings, </w:t>
      </w:r>
      <w:r>
        <w:rPr>
          <w:rFonts w:asciiTheme="minorHAnsi" w:hAnsiTheme="minorHAnsi"/>
          <w:noProof/>
        </w:rPr>
        <w:t xml:space="preserve">noma, faktorings u. c.), kā arī maksājumi un saistības, kas no tiem izriet;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jāzina, kas ir bilance, kas tajā ietverts un kā to interpretēt;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jāizprot un jāprot interpretēt peļņas un zaudējumu pārskatu;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jāprot novērtēt uzņēmuma finanšu stāvoklis un rentab</w:t>
      </w:r>
      <w:r>
        <w:rPr>
          <w:rFonts w:asciiTheme="minorHAnsi" w:hAnsiTheme="minorHAnsi"/>
          <w:noProof/>
        </w:rPr>
        <w:t xml:space="preserve">ilitāte, jo īpaši pamatojoties uz finanšu rādītājiem;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jāprot izstrādāt budžetu;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jāzina sava uzņēmuma izmaksu elementi (pastāvīgās izmaksas, mainīgās izmaksas, apgrozāmie līdzekļi, amortizācija u. c.) un jāprot aprēķināt izmaksas uz vienu transportlīdzekl</w:t>
      </w:r>
      <w:r>
        <w:rPr>
          <w:rFonts w:asciiTheme="minorHAnsi" w:hAnsiTheme="minorHAnsi"/>
          <w:noProof/>
        </w:rPr>
        <w:t xml:space="preserve">i, kilometru, reisu vai tonnu;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jāprot sastādīt visa uzņēmuma personāla darba organizācijas shēmas un sastādīt darbu grafikus, u.c.;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jāzina tirgus pētījuma sagatavošanas (mārketinga), pārvadājumu pakalpojumu realizācijas veicināšanas, klientu kartotēkas s</w:t>
      </w:r>
      <w:r>
        <w:rPr>
          <w:rFonts w:asciiTheme="minorHAnsi" w:hAnsiTheme="minorHAnsi"/>
          <w:noProof/>
        </w:rPr>
        <w:t xml:space="preserve">astādināšanas, reklāmas un sabiedrisko attiecību principi u. c.;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jāzina dažādi ar autopārvadājumiem saistīti apdrošināšanas veidi (atbildības apdrošināšana, apdrošināšana nelaimes gadījumiem/dzīvības apdrošināšana, nedzīvības apdrošināšana un bagāžas apdr</w:t>
      </w:r>
      <w:r>
        <w:rPr>
          <w:rFonts w:asciiTheme="minorHAnsi" w:hAnsiTheme="minorHAnsi"/>
          <w:noProof/>
        </w:rPr>
        <w:t xml:space="preserve">ošināšana) un to radītās garantijas un saistības;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jāzina autotransportā izmantojamās datu elektroniskās pārraides lietotnes; </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jāprot praktiski izmantot faktūru noformēšanas noteikumus par kravu autopārvadājumu pakalpojumiem un jāzina </w:t>
      </w:r>
      <w:r>
        <w:rPr>
          <w:rFonts w:asciiTheme="minorHAnsi" w:hAnsiTheme="minorHAnsi"/>
          <w:i/>
          <w:noProof/>
        </w:rPr>
        <w:t>Incoterms</w:t>
      </w:r>
      <w:r>
        <w:rPr>
          <w:rFonts w:asciiTheme="minorHAnsi" w:hAnsiTheme="minorHAnsi"/>
          <w:noProof/>
        </w:rPr>
        <w:t xml:space="preserve"> nozīme un izmantošana; un</w:t>
      </w:r>
    </w:p>
    <w:p w:rsidR="003E022D" w:rsidRDefault="007D19D6">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jāzina dažādi transporta papildpakalpojumu veidi, to nozīme, funkcijas un, atsevišķos gadījumos, to statuss. </w:t>
      </w:r>
    </w:p>
    <w:p w:rsidR="003E022D" w:rsidRDefault="007D19D6">
      <w:pPr>
        <w:ind w:firstLine="720"/>
        <w:rPr>
          <w:rFonts w:cstheme="minorHAnsi"/>
          <w:noProof/>
        </w:rPr>
      </w:pPr>
      <w:r>
        <w:rPr>
          <w:noProof/>
        </w:rPr>
        <w:t xml:space="preserve">F. </w:t>
      </w:r>
      <w:r>
        <w:rPr>
          <w:noProof/>
        </w:rPr>
        <w:tab/>
        <w:t xml:space="preserve">Piekļuve tirgum </w:t>
      </w:r>
    </w:p>
    <w:p w:rsidR="003E022D" w:rsidRDefault="007D19D6">
      <w:pPr>
        <w:rPr>
          <w:rFonts w:cstheme="minorHAnsi"/>
          <w:noProof/>
        </w:rPr>
      </w:pPr>
      <w:r>
        <w:rPr>
          <w:noProof/>
        </w:rPr>
        <w:t xml:space="preserve">Pretendentam jo īpaši: </w:t>
      </w:r>
    </w:p>
    <w:p w:rsidR="003E022D" w:rsidRDefault="007D19D6">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jāzina profesionālās darbības noteikumi, ar ko reglamentē autopārvadājumus</w:t>
      </w:r>
      <w:r>
        <w:rPr>
          <w:rFonts w:asciiTheme="minorHAnsi" w:hAnsiTheme="minorHAnsi"/>
          <w:noProof/>
        </w:rPr>
        <w:t xml:space="preserve">, industriālo autotransporta līdzekļu nomu un apakšlīgumu slēgšanu, un jo īpaši noteikumi, ar ko reglamentē autopārvadātāja profesionālo darbību, darbības uzsākšanu, atļaujas, kas vajadzīgas autopārvadājumu operāciju veikšanai, pārbaudes un sankcijas; </w:t>
      </w:r>
    </w:p>
    <w:p w:rsidR="003E022D" w:rsidRDefault="007D19D6">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jāz</w:t>
      </w:r>
      <w:r>
        <w:rPr>
          <w:rFonts w:asciiTheme="minorHAnsi" w:hAnsiTheme="minorHAnsi"/>
          <w:noProof/>
        </w:rPr>
        <w:t xml:space="preserve">ina autopārvadājumu uzņēmumu izveides noteikumi; </w:t>
      </w:r>
    </w:p>
    <w:p w:rsidR="003E022D" w:rsidRDefault="007D19D6">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jāzina dažādi dokumenti, kas nepieciešami autopārvadājumu pakalpojumu sniegšanai, un jāprot ieviest pārbaudes procedūras, ar kurām nodrošina, ka apstiprinātie dokumenti, kas attiecas uz katru pārvadājumu op</w:t>
      </w:r>
      <w:r>
        <w:rPr>
          <w:rFonts w:asciiTheme="minorHAnsi" w:hAnsiTheme="minorHAnsi"/>
          <w:noProof/>
        </w:rPr>
        <w:t xml:space="preserve">erāciju, jo īpaši tie, kas attiecas uz transportlīdzekli, transportlīdzekļa vadītāju, kravu un bagāžu, glabātos gan transportlīdzeklī, gan uzņēmuma telpās; </w:t>
      </w:r>
    </w:p>
    <w:p w:rsidR="003E022D" w:rsidRDefault="007D19D6">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jāzina kravu autopārvadājumu tirgus organizācijas, kravu apstrādes un loģistikas noteikumi; un</w:t>
      </w:r>
    </w:p>
    <w:p w:rsidR="003E022D" w:rsidRDefault="007D19D6">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jāzina robežas šķērsošanas formalitātes, T dokumentu un </w:t>
      </w:r>
      <w:r>
        <w:rPr>
          <w:rFonts w:asciiTheme="minorHAnsi" w:hAnsiTheme="minorHAnsi"/>
          <w:i/>
          <w:noProof/>
        </w:rPr>
        <w:t>TIR</w:t>
      </w:r>
      <w:r>
        <w:rPr>
          <w:rFonts w:asciiTheme="minorHAnsi" w:hAnsiTheme="minorHAnsi"/>
          <w:noProof/>
        </w:rPr>
        <w:t xml:space="preserve"> karnetes nozīme un izmantojums, kā arī pienākumi un atbildība, kas izriet no to izmantojuma. </w:t>
      </w:r>
    </w:p>
    <w:p w:rsidR="003E022D" w:rsidRDefault="007D19D6">
      <w:pPr>
        <w:ind w:firstLine="720"/>
        <w:rPr>
          <w:rFonts w:cstheme="minorHAnsi"/>
          <w:noProof/>
        </w:rPr>
      </w:pPr>
      <w:r>
        <w:rPr>
          <w:noProof/>
        </w:rPr>
        <w:t xml:space="preserve">G. </w:t>
      </w:r>
      <w:r>
        <w:rPr>
          <w:noProof/>
        </w:rPr>
        <w:tab/>
        <w:t xml:space="preserve">Tehniskie standarti un darbības tehniskie aspekti </w:t>
      </w:r>
    </w:p>
    <w:p w:rsidR="003E022D" w:rsidRDefault="007D19D6">
      <w:pPr>
        <w:rPr>
          <w:rFonts w:cstheme="minorHAnsi"/>
          <w:noProof/>
        </w:rPr>
      </w:pPr>
      <w:r>
        <w:rPr>
          <w:noProof/>
        </w:rPr>
        <w:t xml:space="preserve">Pretendentam jo īpaši: </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jāzina noteikumi par tr</w:t>
      </w:r>
      <w:r>
        <w:rPr>
          <w:rFonts w:asciiTheme="minorHAnsi" w:hAnsiTheme="minorHAnsi"/>
          <w:noProof/>
        </w:rPr>
        <w:t xml:space="preserve">ansportlīdzekļu svaru un gabarītiem Pusēs, kā arī procedūras, kas jāievēro, pārvadājot nestandarta kravas, kas neatbilst šiem noteikumiem; </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jāprot izvēlēties uzņēmuma vajadzībām atbilstīgus transportlīdzekļus un to sastāvdaļas (šasiju, motoru, transmisijas</w:t>
      </w:r>
      <w:r>
        <w:rPr>
          <w:rFonts w:asciiTheme="minorHAnsi" w:hAnsiTheme="minorHAnsi"/>
          <w:noProof/>
        </w:rPr>
        <w:t xml:space="preserve"> sistēmu, bremžu sistēmu u. c.); </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jāzina formalitātes, kas attiecas uz šo transportlīdzekļu tipa apstiprināšanu, reģistrāciju un tehniskajām apskatēm; </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jāizprot, kādi pasākumi jāveic mehānisko transportlīdzekļu radītā trokšņa un izplūdes emisiju samazināša</w:t>
      </w:r>
      <w:r>
        <w:rPr>
          <w:rFonts w:asciiTheme="minorHAnsi" w:hAnsiTheme="minorHAnsi"/>
          <w:noProof/>
        </w:rPr>
        <w:t xml:space="preserve">nai; </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jāprot sastādīt transportlīdzekļu un to iekārtu regulāro tehnisko apkopju grafikus; </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jāzina dažāda veida kravu apstrādes un kraušanas ierīces (aizmugurējais borts, konteineri, paliktņi u. c.) un jāprot noteikt procedūras un dot instrukcijas par kravu</w:t>
      </w:r>
      <w:r>
        <w:rPr>
          <w:rFonts w:asciiTheme="minorHAnsi" w:hAnsiTheme="minorHAnsi"/>
          <w:noProof/>
        </w:rPr>
        <w:t xml:space="preserve"> iekraušanu un izkraušanu (slodzes sadalījumu, nokraušanu, novietošanu, nostiprināšanu un balstīšanu u. c.); </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jāzina dažādi kombinēto pārvadājumu veidi, ja kādu pārvadājuma daļu veic pa dzelzceļu vai ar prāmi; </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jāprot īstenot procedūras, lai ievērotu notei</w:t>
      </w:r>
      <w:r>
        <w:rPr>
          <w:rFonts w:asciiTheme="minorHAnsi" w:hAnsiTheme="minorHAnsi"/>
          <w:noProof/>
        </w:rPr>
        <w:t xml:space="preserve">kumus par bīstamu kravu un atkritumu pārvadāšanu; </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jāprot ieviest procedūras, lai ievērotu noteikumus par ātri bojājošos pārtikas produktu pārvadāšanu, un jo īpaši tos, kas izriet no Nolīguma par ātri bojājošos pārtikas produktu starptautiskajiem pārvadāju</w:t>
      </w:r>
      <w:r>
        <w:rPr>
          <w:rFonts w:asciiTheme="minorHAnsi" w:hAnsiTheme="minorHAnsi"/>
          <w:noProof/>
        </w:rPr>
        <w:t>miem un par speciālām iekārtām, kas izmantojamas šajos pārvadājumos (</w:t>
      </w:r>
      <w:r>
        <w:rPr>
          <w:rFonts w:asciiTheme="minorHAnsi" w:hAnsiTheme="minorHAnsi"/>
          <w:i/>
          <w:noProof/>
        </w:rPr>
        <w:t>ATP</w:t>
      </w:r>
      <w:r>
        <w:rPr>
          <w:rFonts w:asciiTheme="minorHAnsi" w:hAnsiTheme="minorHAnsi"/>
          <w:noProof/>
        </w:rPr>
        <w:t>); un</w:t>
      </w:r>
    </w:p>
    <w:p w:rsidR="003E022D" w:rsidRDefault="007D19D6">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jāprot īstenot procedūras, lai ievērotu dzīvu dzīvnieku pārvadāšanas noteikumus. </w:t>
      </w:r>
    </w:p>
    <w:p w:rsidR="003E022D" w:rsidRDefault="007D19D6">
      <w:pPr>
        <w:rPr>
          <w:rFonts w:cstheme="minorHAnsi"/>
          <w:noProof/>
        </w:rPr>
      </w:pPr>
      <w:r>
        <w:rPr>
          <w:noProof/>
        </w:rPr>
        <w:tab/>
        <w:t xml:space="preserve">H. </w:t>
      </w:r>
      <w:r>
        <w:rPr>
          <w:noProof/>
        </w:rPr>
        <w:tab/>
        <w:t xml:space="preserve">Ceļu satiksmes drošība </w:t>
      </w:r>
    </w:p>
    <w:p w:rsidR="003E022D" w:rsidRDefault="007D19D6">
      <w:pPr>
        <w:rPr>
          <w:rFonts w:cstheme="minorHAnsi"/>
          <w:noProof/>
        </w:rPr>
      </w:pPr>
      <w:r>
        <w:rPr>
          <w:noProof/>
        </w:rPr>
        <w:t xml:space="preserve">Pretendentam jo īpaši: </w:t>
      </w:r>
    </w:p>
    <w:p w:rsidR="003E022D" w:rsidRDefault="007D19D6">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jāzina, kādas ir transportlīdzekļa vadītāji</w:t>
      </w:r>
      <w:r>
        <w:rPr>
          <w:rFonts w:asciiTheme="minorHAnsi" w:hAnsiTheme="minorHAnsi"/>
          <w:noProof/>
        </w:rPr>
        <w:t xml:space="preserve">em noteiktās kvalifikācijas prasības (transportlīdzekļa vadītāja apliecība, medicīniskās izziņas, sagatavotības sertifikāti u. c.); </w:t>
      </w:r>
    </w:p>
    <w:p w:rsidR="003E022D" w:rsidRDefault="007D19D6">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jāprot veikt nepieciešamos pasākumus, ar kuriem nodrošināt, lai transportlīdzekļa vadītāji pilnībā ievērotu Pusēs spēkā eso</w:t>
      </w:r>
      <w:r>
        <w:rPr>
          <w:rFonts w:asciiTheme="minorHAnsi" w:hAnsiTheme="minorHAnsi"/>
          <w:noProof/>
        </w:rPr>
        <w:t xml:space="preserve">šos satiksmes noteikumus, aizliegumus un ierobežojumus (braukšanas ātruma ierobežojumus, kustības priekšrocības, apstāšanās un stāvēšanas ierobežojumus, gaismu lietošanu, ceļa zīmes u. c.); </w:t>
      </w:r>
    </w:p>
    <w:p w:rsidR="003E022D" w:rsidRDefault="007D19D6">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jāprot izstrādāt instrukcijas, kā transportlīdzekļa vadītājiem pā</w:t>
      </w:r>
      <w:r>
        <w:rPr>
          <w:rFonts w:asciiTheme="minorHAnsi" w:hAnsiTheme="minorHAnsi"/>
          <w:noProof/>
        </w:rPr>
        <w:t xml:space="preserve">rbaudīt drošības noteikumu pilnīgu ievērošanu attiecībā uz transportlīdzekļu un to iekārtu, kā arī kravas tehnisko stāvokli un veicamajiem profilakses pasākumiem; </w:t>
      </w:r>
    </w:p>
    <w:p w:rsidR="003E022D" w:rsidRDefault="007D19D6">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jāprot noteikt procedūras, kuras jāievēro, notiekot satiksmes negadījumam, un īstenot piemēr</w:t>
      </w:r>
      <w:r>
        <w:rPr>
          <w:rFonts w:asciiTheme="minorHAnsi" w:hAnsiTheme="minorHAnsi"/>
          <w:noProof/>
        </w:rPr>
        <w:t>otas procedūras negadījumu atkārtošanās vai satiksmes drošības noteikumu smagu pārkāpumu novēršanai; un</w:t>
      </w:r>
    </w:p>
    <w:p w:rsidR="003E022D" w:rsidRDefault="007D19D6">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jāprot ieviest drošības procedūras attiecībā uz kravas nostiprināšanu un jāzina attiecīgie nostiprināšanas veidi. </w:t>
      </w:r>
    </w:p>
    <w:p w:rsidR="003E022D" w:rsidRDefault="007D19D6">
      <w:pPr>
        <w:pStyle w:val="Part2"/>
        <w:rPr>
          <w:rFonts w:asciiTheme="minorHAnsi" w:hAnsiTheme="minorHAnsi" w:cstheme="minorHAnsi"/>
          <w:noProof/>
        </w:rPr>
      </w:pPr>
      <w:r>
        <w:rPr>
          <w:rFonts w:asciiTheme="minorHAnsi" w:hAnsiTheme="minorHAnsi"/>
          <w:noProof/>
        </w:rPr>
        <w:t xml:space="preserve">II daļa. </w:t>
      </w:r>
      <w:r>
        <w:rPr>
          <w:noProof/>
        </w:rPr>
        <w:tab/>
      </w:r>
      <w:r>
        <w:rPr>
          <w:rFonts w:asciiTheme="minorHAnsi" w:hAnsiTheme="minorHAnsi"/>
          <w:noProof/>
        </w:rPr>
        <w:t xml:space="preserve">EKSĀMENA ORGANIZĀCIJA </w:t>
      </w:r>
    </w:p>
    <w:p w:rsidR="003E022D" w:rsidRDefault="007D19D6">
      <w:pPr>
        <w:rPr>
          <w:rFonts w:cstheme="minorHAnsi"/>
          <w:noProof/>
        </w:rPr>
      </w:pPr>
      <w:r>
        <w:rPr>
          <w:noProof/>
        </w:rPr>
        <w:t>1.</w:t>
      </w:r>
      <w:r>
        <w:rPr>
          <w:noProof/>
        </w:rPr>
        <w:tab/>
      </w:r>
      <w:r>
        <w:rPr>
          <w:noProof/>
        </w:rPr>
        <w:t>Puses organizēs obligāto rakstisko eksāmenu, kuru tās pēc izvēles var papildināt ar mutisko eksāmenu, lai pārbaudītu, vai pretendenti uz kravu autopārvadātāja kvalifikāciju atbilstīgajā līmenī apguvuši zināšanas I daļā uzskaitītajos priekšmetos, un jo īpaš</w:t>
      </w:r>
      <w:r>
        <w:rPr>
          <w:noProof/>
        </w:rPr>
        <w:t xml:space="preserve">i viņu spēju pielietot attiecīgās zināšanas un prasmes un pildīt paredzētos vadītāja un koordinatora pienākumus. </w:t>
      </w:r>
    </w:p>
    <w:p w:rsidR="003E022D" w:rsidRDefault="007D19D6">
      <w:pPr>
        <w:pStyle w:val="ListParagraph"/>
        <w:numPr>
          <w:ilvl w:val="0"/>
          <w:numId w:val="861"/>
        </w:numPr>
        <w:spacing w:after="160" w:line="254" w:lineRule="auto"/>
        <w:ind w:left="851" w:hanging="851"/>
        <w:rPr>
          <w:rFonts w:cstheme="minorHAnsi"/>
          <w:noProof/>
        </w:rPr>
      </w:pPr>
      <w:r>
        <w:rPr>
          <w:noProof/>
        </w:rPr>
        <w:t xml:space="preserve">Obligātajā rakstiskajā eksāmenā ir divas pārbaudes, proti: </w:t>
      </w:r>
    </w:p>
    <w:p w:rsidR="003E022D" w:rsidRDefault="003E022D">
      <w:pPr>
        <w:pStyle w:val="ListParagraph"/>
        <w:ind w:left="851"/>
        <w:rPr>
          <w:rFonts w:cstheme="minorHAnsi"/>
          <w:noProof/>
        </w:rPr>
      </w:pPr>
    </w:p>
    <w:p w:rsidR="003E022D" w:rsidRDefault="007D19D6">
      <w:pPr>
        <w:pStyle w:val="ListParagraph"/>
        <w:numPr>
          <w:ilvl w:val="0"/>
          <w:numId w:val="949"/>
        </w:numPr>
        <w:spacing w:after="160" w:line="254" w:lineRule="auto"/>
        <w:ind w:left="1080"/>
        <w:rPr>
          <w:rFonts w:cstheme="minorHAnsi"/>
          <w:noProof/>
          <w:color w:val="000000"/>
        </w:rPr>
      </w:pPr>
      <w:r>
        <w:rPr>
          <w:noProof/>
          <w:color w:val="000000"/>
        </w:rPr>
        <w:t>rakstisku jautājumu pārbaudījumā ir jautājumi ar vairākiem atbilžu variantiem (dr</w:t>
      </w:r>
      <w:r>
        <w:rPr>
          <w:noProof/>
          <w:color w:val="000000"/>
        </w:rPr>
        <w:t>īkst iekļaut četrus atbilžu variantus) vai jautājumi, uz kuriem jādod tiešas atbildes, vai arī abu veidu jautājumi; un</w:t>
      </w:r>
    </w:p>
    <w:p w:rsidR="003E022D" w:rsidRDefault="003E022D">
      <w:pPr>
        <w:pStyle w:val="ListParagraph"/>
        <w:ind w:left="1080"/>
        <w:rPr>
          <w:rFonts w:cstheme="minorHAnsi"/>
          <w:noProof/>
          <w:color w:val="000000"/>
        </w:rPr>
      </w:pPr>
    </w:p>
    <w:p w:rsidR="003E022D" w:rsidRDefault="007D19D6">
      <w:pPr>
        <w:pStyle w:val="ListParagraph"/>
        <w:numPr>
          <w:ilvl w:val="0"/>
          <w:numId w:val="949"/>
        </w:numPr>
        <w:spacing w:after="160" w:line="254" w:lineRule="auto"/>
        <w:ind w:left="1080"/>
        <w:rPr>
          <w:rFonts w:cstheme="minorHAnsi"/>
          <w:noProof/>
        </w:rPr>
      </w:pPr>
      <w:r>
        <w:rPr>
          <w:noProof/>
        </w:rPr>
        <w:t xml:space="preserve">rakstiski uzdevumi/situācijas analīze. </w:t>
      </w:r>
    </w:p>
    <w:p w:rsidR="003E022D" w:rsidRDefault="007D19D6">
      <w:pPr>
        <w:ind w:left="360"/>
        <w:rPr>
          <w:rFonts w:cstheme="minorHAnsi"/>
          <w:noProof/>
        </w:rPr>
      </w:pPr>
      <w:r>
        <w:rPr>
          <w:noProof/>
        </w:rPr>
        <w:tab/>
        <w:t xml:space="preserve">Katrs pārbaudījums ilgs vismaz divas stundas. </w:t>
      </w:r>
    </w:p>
    <w:p w:rsidR="003E022D" w:rsidRDefault="007D19D6">
      <w:pPr>
        <w:pStyle w:val="ListParagraph"/>
        <w:numPr>
          <w:ilvl w:val="0"/>
          <w:numId w:val="861"/>
        </w:numPr>
        <w:spacing w:after="160" w:line="254" w:lineRule="auto"/>
        <w:ind w:left="851" w:hanging="851"/>
        <w:rPr>
          <w:rFonts w:cstheme="minorHAnsi"/>
          <w:noProof/>
        </w:rPr>
      </w:pPr>
      <w:r>
        <w:rPr>
          <w:noProof/>
        </w:rPr>
        <w:t xml:space="preserve">Ja organizē mutiskos eksāmenus, Puses var izvirzīt noteikumu, ka tos var kārtot tikai pēc rakstiskā eksāmena sekmīgas nokārtošanas. </w:t>
      </w:r>
    </w:p>
    <w:p w:rsidR="003E022D" w:rsidRDefault="007D19D6">
      <w:pPr>
        <w:rPr>
          <w:rFonts w:cstheme="minorHAnsi"/>
          <w:noProof/>
        </w:rPr>
      </w:pPr>
      <w:r>
        <w:rPr>
          <w:noProof/>
        </w:rPr>
        <w:t>2.</w:t>
      </w:r>
      <w:r>
        <w:rPr>
          <w:noProof/>
        </w:rPr>
        <w:tab/>
        <w:t xml:space="preserve">Ja Puses organizē arī mutisko eksāmenu, tām katram no trim pārbaudījumiem jānosaka korekcijas koeficients, paredzot, ka </w:t>
      </w:r>
      <w:r>
        <w:rPr>
          <w:noProof/>
        </w:rPr>
        <w:t xml:space="preserve">tā novērtējums ir ne mazāks par 25 % un ne lielāks par 40 % no kopējā novērtējuma. </w:t>
      </w:r>
    </w:p>
    <w:p w:rsidR="003E022D" w:rsidRDefault="007D19D6">
      <w:pPr>
        <w:rPr>
          <w:rFonts w:cstheme="minorHAnsi"/>
          <w:noProof/>
        </w:rPr>
      </w:pPr>
      <w:r>
        <w:rPr>
          <w:noProof/>
        </w:rPr>
        <w:t xml:space="preserve">Ja Puses organizē tikai rakstiskos eksāmenus, tām katram pārbaudījumam jānosaka korekcijas koeficients, paredzot, ka tā novērtējums ir ne mazāks par 40 % un ne lielāks par </w:t>
      </w:r>
      <w:r>
        <w:rPr>
          <w:noProof/>
        </w:rPr>
        <w:t xml:space="preserve">60 % no kopējā novērtējuma. </w:t>
      </w:r>
    </w:p>
    <w:p w:rsidR="003E022D" w:rsidRDefault="007D19D6">
      <w:pPr>
        <w:rPr>
          <w:rFonts w:cstheme="minorHAnsi"/>
          <w:noProof/>
        </w:rPr>
      </w:pPr>
      <w:r>
        <w:rPr>
          <w:noProof/>
        </w:rPr>
        <w:t>3.</w:t>
      </w:r>
      <w:r>
        <w:rPr>
          <w:noProof/>
        </w:rPr>
        <w:tab/>
        <w:t>Visās pārbaudēs kopā pretendentiem jāsaņem vidēji vismaz 60 % no kopējā novērtējuma, turklāt katrā atsevišķā pārbaudē jāsaņem ne mazāk par 50 % no tās maksimāli iespējamā novērtējuma. Puse drīkst tikai vienam pārbaudījumam s</w:t>
      </w:r>
      <w:r>
        <w:rPr>
          <w:noProof/>
        </w:rPr>
        <w:t xml:space="preserve">amazināt šo koeficientu no 50 % līdz 40 %. </w:t>
      </w:r>
      <w:r>
        <w:rPr>
          <w:noProof/>
        </w:rPr>
        <w:br w:type="page"/>
      </w:r>
    </w:p>
    <w:p w:rsidR="003E022D" w:rsidRDefault="007D19D6">
      <w:pPr>
        <w:pStyle w:val="Appendix"/>
        <w:rPr>
          <w:noProof/>
        </w:rPr>
      </w:pPr>
      <w:r>
        <w:rPr>
          <w:noProof/>
        </w:rPr>
        <w:t xml:space="preserve">ROAD.A.1.3. PAPILDINĀJUMS </w:t>
      </w:r>
    </w:p>
    <w:p w:rsidR="003E022D" w:rsidRDefault="007D19D6">
      <w:pPr>
        <w:pStyle w:val="Part2"/>
        <w:rPr>
          <w:rFonts w:asciiTheme="minorHAnsi" w:hAnsiTheme="minorHAnsi" w:cstheme="minorHAnsi"/>
          <w:noProof/>
        </w:rPr>
      </w:pPr>
      <w:r>
        <w:rPr>
          <w:rFonts w:asciiTheme="minorHAnsi" w:hAnsiTheme="minorHAnsi"/>
          <w:noProof/>
        </w:rPr>
        <w:t>A daļa</w:t>
      </w:r>
    </w:p>
    <w:p w:rsidR="003E022D" w:rsidRDefault="007D19D6">
      <w:pPr>
        <w:pStyle w:val="Part2"/>
        <w:rPr>
          <w:rFonts w:asciiTheme="minorHAnsi" w:hAnsiTheme="minorHAnsi" w:cstheme="minorHAnsi"/>
          <w:noProof/>
        </w:rPr>
      </w:pPr>
      <w:r>
        <w:rPr>
          <w:rFonts w:asciiTheme="minorHAnsi" w:hAnsiTheme="minorHAnsi"/>
          <w:noProof/>
        </w:rPr>
        <w:t xml:space="preserve"> Licences paraugs Savienībai</w:t>
      </w:r>
    </w:p>
    <w:p w:rsidR="003E022D" w:rsidRDefault="007D19D6">
      <w:pPr>
        <w:jc w:val="center"/>
        <w:rPr>
          <w:rFonts w:eastAsia="Times New Roman" w:cstheme="minorHAnsi"/>
          <w:b/>
          <w:noProof/>
          <w:szCs w:val="20"/>
        </w:rPr>
      </w:pPr>
      <w:bookmarkStart w:id="1335" w:name="_Toc58245200"/>
      <w:r>
        <w:rPr>
          <w:b/>
          <w:noProof/>
        </w:rPr>
        <w:t>EIROPAS KOPIENA</w:t>
      </w:r>
      <w:bookmarkEnd w:id="1335"/>
    </w:p>
    <w:p w:rsidR="003E022D" w:rsidRDefault="007D19D6">
      <w:pPr>
        <w:spacing w:after="0" w:line="360" w:lineRule="auto"/>
        <w:jc w:val="center"/>
        <w:rPr>
          <w:rFonts w:eastAsia="Times New Roman" w:cstheme="minorHAnsi"/>
          <w:noProof/>
        </w:rPr>
      </w:pPr>
      <w:r>
        <w:rPr>
          <w:noProof/>
        </w:rPr>
        <w:t>a)</w:t>
      </w:r>
    </w:p>
    <w:p w:rsidR="003E022D" w:rsidRDefault="007D19D6">
      <w:pPr>
        <w:spacing w:after="0"/>
        <w:jc w:val="center"/>
        <w:rPr>
          <w:rFonts w:eastAsia="Times New Roman" w:cstheme="minorHAnsi"/>
          <w:noProof/>
        </w:rPr>
      </w:pPr>
      <w:r>
        <w:rPr>
          <w:noProof/>
        </w:rPr>
        <w:t xml:space="preserve">(Krāsa – pantonis gaiši zils 290 vai pēc iespējas tuvu šai krāsai, </w:t>
      </w:r>
      <w:r>
        <w:rPr>
          <w:i/>
          <w:noProof/>
        </w:rPr>
        <w:t>DIN</w:t>
      </w:r>
      <w:r>
        <w:rPr>
          <w:noProof/>
        </w:rPr>
        <w:t xml:space="preserve"> A4 formāta celulozes papīrs, masa – 100 g/m</w:t>
      </w:r>
      <w:r>
        <w:rPr>
          <w:noProof/>
          <w:vertAlign w:val="superscript"/>
        </w:rPr>
        <w:t>2</w:t>
      </w:r>
      <w:r>
        <w:rPr>
          <w:noProof/>
        </w:rPr>
        <w:t xml:space="preserve"> vai vairāk)</w:t>
      </w:r>
    </w:p>
    <w:p w:rsidR="003E022D" w:rsidRDefault="003E022D">
      <w:pPr>
        <w:spacing w:after="0"/>
        <w:jc w:val="center"/>
        <w:rPr>
          <w:rFonts w:eastAsia="Times New Roman" w:cstheme="minorHAnsi"/>
          <w:noProof/>
          <w:sz w:val="10"/>
          <w:szCs w:val="10"/>
        </w:rPr>
      </w:pPr>
    </w:p>
    <w:p w:rsidR="003E022D" w:rsidRDefault="007D19D6">
      <w:pPr>
        <w:spacing w:after="0" w:line="360" w:lineRule="auto"/>
        <w:jc w:val="center"/>
        <w:rPr>
          <w:rFonts w:eastAsia="Times New Roman" w:cstheme="minorHAnsi"/>
          <w:noProof/>
        </w:rPr>
      </w:pPr>
      <w:r>
        <w:rPr>
          <w:noProof/>
        </w:rPr>
        <w:t>(Licences pirmā lappuse)</w:t>
      </w:r>
    </w:p>
    <w:p w:rsidR="003E022D" w:rsidRDefault="007D19D6">
      <w:pPr>
        <w:spacing w:after="0" w:line="360" w:lineRule="auto"/>
        <w:jc w:val="center"/>
        <w:rPr>
          <w:rFonts w:eastAsia="Times New Roman" w:cstheme="minorHAnsi"/>
          <w:noProof/>
        </w:rPr>
      </w:pPr>
      <w:r>
        <w:rPr>
          <w:noProof/>
        </w:rPr>
        <w:t>(Teksts licences izdošanas dalībvalsts oficiālajā(-ās) valodā(-ās) vai kādā no oficiālajām valodām)</w:t>
      </w:r>
    </w:p>
    <w:p w:rsidR="003E022D" w:rsidRDefault="003E022D">
      <w:pPr>
        <w:spacing w:after="0" w:line="360" w:lineRule="auto"/>
        <w:rPr>
          <w:rFonts w:eastAsia="Times New Roman" w:cstheme="minorHAnsi"/>
          <w:noProof/>
          <w:sz w:val="10"/>
          <w:szCs w:val="10"/>
        </w:rPr>
      </w:pPr>
    </w:p>
    <w:tbl>
      <w:tblPr>
        <w:tblW w:w="0" w:type="auto"/>
        <w:tblCellMar>
          <w:left w:w="70" w:type="dxa"/>
          <w:right w:w="70" w:type="dxa"/>
        </w:tblCellMar>
        <w:tblLook w:val="0000" w:firstRow="0" w:lastRow="0" w:firstColumn="0" w:lastColumn="0" w:noHBand="0" w:noVBand="0"/>
      </w:tblPr>
      <w:tblGrid>
        <w:gridCol w:w="9166"/>
      </w:tblGrid>
      <w:tr w:rsidR="003E022D">
        <w:trPr>
          <w:trHeight w:val="823"/>
        </w:trPr>
        <w:tc>
          <w:tcPr>
            <w:tcW w:w="9778" w:type="dxa"/>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843"/>
              <w:gridCol w:w="3540"/>
            </w:tblGrid>
            <w:tr w:rsidR="003E022D">
              <w:tc>
                <w:tcPr>
                  <w:tcW w:w="3612" w:type="dxa"/>
                  <w:shd w:val="clear" w:color="auto" w:fill="auto"/>
                </w:tcPr>
                <w:p w:rsidR="003E022D" w:rsidRDefault="007D19D6">
                  <w:pPr>
                    <w:spacing w:before="60" w:after="0"/>
                    <w:jc w:val="center"/>
                    <w:rPr>
                      <w:rFonts w:cstheme="minorHAnsi"/>
                      <w:noProof/>
                      <w:sz w:val="18"/>
                    </w:rPr>
                  </w:pPr>
                  <w:r>
                    <w:rPr>
                      <w:noProof/>
                      <w:sz w:val="18"/>
                    </w:rPr>
                    <w:t>Licences izdošanas dalībvalsts(</w:t>
                  </w:r>
                  <w:r>
                    <w:rPr>
                      <w:noProof/>
                      <w:sz w:val="18"/>
                      <w:vertAlign w:val="superscript"/>
                    </w:rPr>
                    <w:t>1</w:t>
                  </w:r>
                  <w:r>
                    <w:rPr>
                      <w:noProof/>
                      <w:sz w:val="18"/>
                    </w:rPr>
                    <w:t>) atšķirības zīme</w:t>
                  </w:r>
                </w:p>
                <w:p w:rsidR="003E022D" w:rsidRDefault="003E022D">
                  <w:pPr>
                    <w:spacing w:before="60" w:after="0"/>
                    <w:jc w:val="center"/>
                    <w:rPr>
                      <w:rFonts w:eastAsia="Times New Roman" w:cstheme="minorHAnsi"/>
                      <w:noProof/>
                      <w:sz w:val="18"/>
                      <w:szCs w:val="18"/>
                    </w:rPr>
                  </w:pPr>
                </w:p>
                <w:p w:rsidR="003E022D" w:rsidRDefault="003E022D">
                  <w:pPr>
                    <w:spacing w:after="0"/>
                    <w:jc w:val="center"/>
                    <w:rPr>
                      <w:rFonts w:eastAsia="Times New Roman" w:cstheme="minorHAnsi"/>
                      <w:noProof/>
                      <w:sz w:val="18"/>
                      <w:szCs w:val="18"/>
                    </w:rPr>
                  </w:pPr>
                </w:p>
              </w:tc>
              <w:tc>
                <w:tcPr>
                  <w:tcW w:w="1843" w:type="dxa"/>
                  <w:tcBorders>
                    <w:top w:val="nil"/>
                    <w:bottom w:val="nil"/>
                  </w:tcBorders>
                  <w:shd w:val="clear" w:color="auto" w:fill="auto"/>
                </w:tcPr>
                <w:p w:rsidR="003E022D" w:rsidRDefault="003E022D">
                  <w:pPr>
                    <w:spacing w:before="120" w:after="0" w:line="360" w:lineRule="auto"/>
                    <w:rPr>
                      <w:rFonts w:eastAsia="Times New Roman" w:cstheme="minorHAnsi"/>
                      <w:noProof/>
                      <w:sz w:val="18"/>
                      <w:szCs w:val="18"/>
                    </w:rPr>
                  </w:pPr>
                </w:p>
              </w:tc>
              <w:tc>
                <w:tcPr>
                  <w:tcW w:w="3540" w:type="dxa"/>
                  <w:shd w:val="clear" w:color="auto" w:fill="auto"/>
                </w:tcPr>
                <w:p w:rsidR="003E022D" w:rsidRDefault="007D19D6">
                  <w:pPr>
                    <w:spacing w:before="60" w:after="0"/>
                    <w:jc w:val="center"/>
                    <w:rPr>
                      <w:rFonts w:cstheme="minorHAnsi"/>
                      <w:noProof/>
                      <w:sz w:val="18"/>
                    </w:rPr>
                  </w:pPr>
                  <w:r>
                    <w:rPr>
                      <w:noProof/>
                      <w:sz w:val="18"/>
                    </w:rPr>
                    <w:t>Kompetentās iestādes vai struktūras nosaukums</w:t>
                  </w:r>
                </w:p>
                <w:p w:rsidR="003E022D" w:rsidRDefault="003E022D">
                  <w:pPr>
                    <w:spacing w:before="60" w:after="0"/>
                    <w:jc w:val="center"/>
                    <w:rPr>
                      <w:rFonts w:eastAsia="Times New Roman" w:cstheme="minorHAnsi"/>
                      <w:noProof/>
                      <w:sz w:val="18"/>
                      <w:szCs w:val="18"/>
                    </w:rPr>
                  </w:pPr>
                </w:p>
                <w:p w:rsidR="003E022D" w:rsidRDefault="003E022D">
                  <w:pPr>
                    <w:spacing w:after="0"/>
                    <w:jc w:val="center"/>
                    <w:rPr>
                      <w:rFonts w:eastAsia="Times New Roman" w:cstheme="minorHAnsi"/>
                      <w:noProof/>
                      <w:sz w:val="18"/>
                      <w:szCs w:val="18"/>
                    </w:rPr>
                  </w:pPr>
                </w:p>
              </w:tc>
            </w:tr>
          </w:tbl>
          <w:p w:rsidR="003E022D" w:rsidRDefault="003E022D">
            <w:pPr>
              <w:spacing w:after="0" w:line="360" w:lineRule="auto"/>
              <w:rPr>
                <w:rFonts w:eastAsia="Times New Roman" w:cstheme="minorHAnsi"/>
                <w:noProof/>
                <w:sz w:val="20"/>
                <w:szCs w:val="20"/>
              </w:rPr>
            </w:pPr>
          </w:p>
        </w:tc>
      </w:tr>
    </w:tbl>
    <w:p w:rsidR="003E022D" w:rsidRDefault="003E022D">
      <w:pPr>
        <w:spacing w:after="0" w:line="360" w:lineRule="auto"/>
        <w:jc w:val="center"/>
        <w:rPr>
          <w:rFonts w:eastAsia="Times New Roman" w:cstheme="minorHAnsi"/>
          <w:noProof/>
          <w:sz w:val="10"/>
          <w:szCs w:val="10"/>
        </w:rPr>
      </w:pPr>
    </w:p>
    <w:p w:rsidR="003E022D" w:rsidRDefault="007D19D6">
      <w:pPr>
        <w:spacing w:after="60"/>
        <w:jc w:val="center"/>
        <w:rPr>
          <w:rFonts w:eastAsia="Times New Roman" w:cstheme="minorHAnsi"/>
          <w:noProof/>
          <w:sz w:val="20"/>
          <w:szCs w:val="20"/>
        </w:rPr>
      </w:pPr>
      <w:r>
        <w:rPr>
          <w:noProof/>
          <w:sz w:val="20"/>
          <w:szCs w:val="20"/>
        </w:rPr>
        <w:t>LICENCE Nr. ...</w:t>
      </w:r>
    </w:p>
    <w:p w:rsidR="003E022D" w:rsidRDefault="007D19D6">
      <w:pPr>
        <w:spacing w:after="60"/>
        <w:jc w:val="center"/>
        <w:rPr>
          <w:rFonts w:eastAsia="Times New Roman" w:cstheme="minorHAnsi"/>
          <w:noProof/>
          <w:sz w:val="20"/>
          <w:szCs w:val="20"/>
        </w:rPr>
      </w:pPr>
      <w:r>
        <w:rPr>
          <w:noProof/>
          <w:sz w:val="20"/>
          <w:szCs w:val="20"/>
        </w:rPr>
        <w:t>vai</w:t>
      </w:r>
    </w:p>
    <w:p w:rsidR="003E022D" w:rsidRDefault="007D19D6">
      <w:pPr>
        <w:spacing w:after="60"/>
        <w:jc w:val="center"/>
        <w:rPr>
          <w:rFonts w:eastAsia="Times New Roman" w:cstheme="minorHAnsi"/>
          <w:noProof/>
          <w:sz w:val="20"/>
          <w:szCs w:val="20"/>
        </w:rPr>
      </w:pPr>
      <w:r>
        <w:rPr>
          <w:noProof/>
          <w:sz w:val="20"/>
          <w:szCs w:val="20"/>
        </w:rPr>
        <w:t>APLIECINĀTA KOPIJA Nr. ...</w:t>
      </w:r>
    </w:p>
    <w:p w:rsidR="003E022D" w:rsidRDefault="007D19D6">
      <w:pPr>
        <w:spacing w:after="0" w:line="360" w:lineRule="auto"/>
        <w:jc w:val="center"/>
        <w:rPr>
          <w:rFonts w:eastAsia="Times New Roman" w:cstheme="minorHAnsi"/>
          <w:noProof/>
          <w:sz w:val="20"/>
          <w:szCs w:val="20"/>
        </w:rPr>
      </w:pPr>
      <w:r>
        <w:rPr>
          <w:noProof/>
          <w:sz w:val="20"/>
          <w:szCs w:val="20"/>
        </w:rPr>
        <w:t>starptautiskiem kravu komercpārvadājumiem ar autotransportu</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226"/>
      </w:tblGrid>
      <w:tr w:rsidR="003E022D">
        <w:tc>
          <w:tcPr>
            <w:tcW w:w="2988" w:type="dxa"/>
            <w:tcBorders>
              <w:top w:val="nil"/>
              <w:left w:val="nil"/>
              <w:bottom w:val="nil"/>
              <w:right w:val="nil"/>
            </w:tcBorders>
            <w:shd w:val="clear" w:color="auto" w:fill="auto"/>
          </w:tcPr>
          <w:p w:rsidR="003E022D" w:rsidRDefault="007D19D6">
            <w:pPr>
              <w:spacing w:before="180" w:after="0" w:line="360" w:lineRule="auto"/>
              <w:rPr>
                <w:rFonts w:eastAsia="Times New Roman" w:cstheme="minorHAnsi"/>
                <w:noProof/>
                <w:sz w:val="20"/>
                <w:szCs w:val="20"/>
              </w:rPr>
            </w:pPr>
            <w:r>
              <w:rPr>
                <w:noProof/>
                <w:sz w:val="20"/>
              </w:rPr>
              <w:t>Šī licence dod tiesības(</w:t>
            </w:r>
            <w:r>
              <w:rPr>
                <w:noProof/>
                <w:sz w:val="20"/>
                <w:vertAlign w:val="superscript"/>
              </w:rPr>
              <w:t>2</w:t>
            </w:r>
            <w:r>
              <w:rPr>
                <w:noProof/>
                <w:sz w:val="20"/>
              </w:rPr>
              <w:t>)</w:t>
            </w:r>
          </w:p>
        </w:tc>
        <w:tc>
          <w:tcPr>
            <w:tcW w:w="6226" w:type="dxa"/>
            <w:tcBorders>
              <w:top w:val="nil"/>
              <w:left w:val="nil"/>
              <w:bottom w:val="nil"/>
              <w:right w:val="nil"/>
            </w:tcBorders>
            <w:shd w:val="clear" w:color="auto" w:fill="auto"/>
          </w:tcPr>
          <w:p w:rsidR="003E022D" w:rsidRDefault="007D19D6">
            <w:pPr>
              <w:spacing w:before="180" w:after="0" w:line="360" w:lineRule="auto"/>
              <w:rPr>
                <w:rFonts w:eastAsia="Times New Roman" w:cstheme="minorHAnsi"/>
                <w:noProof/>
                <w:sz w:val="20"/>
                <w:szCs w:val="20"/>
              </w:rPr>
            </w:pPr>
            <w:r>
              <w:rPr>
                <w:noProof/>
                <w:sz w:val="20"/>
              </w:rPr>
              <w:t>..........................................................................................................</w:t>
            </w:r>
          </w:p>
        </w:tc>
      </w:tr>
      <w:tr w:rsidR="003E022D">
        <w:tc>
          <w:tcPr>
            <w:tcW w:w="9214" w:type="dxa"/>
            <w:gridSpan w:val="2"/>
            <w:tcBorders>
              <w:top w:val="nil"/>
              <w:left w:val="nil"/>
              <w:bottom w:val="nil"/>
              <w:right w:val="nil"/>
            </w:tcBorders>
            <w:shd w:val="clear" w:color="auto" w:fill="auto"/>
          </w:tcPr>
          <w:p w:rsidR="003E022D" w:rsidRDefault="007D19D6">
            <w:pPr>
              <w:spacing w:after="60" w:line="360" w:lineRule="auto"/>
              <w:rPr>
                <w:rFonts w:eastAsia="Times New Roman" w:cstheme="minorHAnsi"/>
                <w:noProof/>
                <w:sz w:val="20"/>
                <w:szCs w:val="20"/>
              </w:rPr>
            </w:pPr>
            <w:r>
              <w:rPr>
                <w:noProof/>
                <w:sz w:val="20"/>
              </w:rPr>
              <w:t>................................................................................................................................................................................................................................................................</w:t>
            </w:r>
            <w:r>
              <w:rPr>
                <w:noProof/>
                <w:sz w:val="20"/>
              </w:rPr>
              <w:t>..................................................................</w:t>
            </w:r>
          </w:p>
        </w:tc>
      </w:tr>
    </w:tbl>
    <w:p w:rsidR="003E022D" w:rsidRDefault="007D19D6">
      <w:pPr>
        <w:spacing w:after="120"/>
        <w:ind w:right="3"/>
        <w:rPr>
          <w:rFonts w:eastAsia="Times New Roman" w:cstheme="minorHAnsi"/>
          <w:noProof/>
          <w:sz w:val="20"/>
          <w:szCs w:val="20"/>
        </w:rPr>
      </w:pPr>
      <w:r>
        <w:rPr>
          <w:noProof/>
          <w:sz w:val="20"/>
        </w:rPr>
        <w:t>ir atļauts veikt starptautiskus kravu komercpārvadājumus ar autotransportu jebkurā maršrutā, komercpārvadājumu braucienos vai braucienu daļās Kopienā saskaņā ar Eiropas Parlamenta un Padom</w:t>
      </w:r>
      <w:r>
        <w:rPr>
          <w:noProof/>
          <w:sz w:val="20"/>
        </w:rPr>
        <w:t>es Regulu (EK) Nr. 1072/2009 (2009. gada 21. oktobris) par kopīgiem noteikumiem attiecībā uz piekļuvi starptautisko kravas autopārvadājumu tirgum (OV L 300, 14.11.2009., 72. lpp.)., ievērojot šīs Kopienas atļaujas vispārīgos noteikumus.</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5"/>
        <w:gridCol w:w="4536"/>
      </w:tblGrid>
      <w:tr w:rsidR="003E022D">
        <w:tc>
          <w:tcPr>
            <w:tcW w:w="9221" w:type="dxa"/>
            <w:gridSpan w:val="2"/>
            <w:shd w:val="clear" w:color="auto" w:fill="auto"/>
          </w:tcPr>
          <w:p w:rsidR="003E022D" w:rsidRDefault="007D19D6">
            <w:pPr>
              <w:spacing w:before="240" w:after="120"/>
              <w:rPr>
                <w:rFonts w:eastAsia="Times New Roman" w:cstheme="minorHAnsi"/>
                <w:noProof/>
                <w:sz w:val="20"/>
                <w:szCs w:val="20"/>
              </w:rPr>
            </w:pPr>
            <w:r>
              <w:rPr>
                <w:noProof/>
                <w:sz w:val="20"/>
                <w:szCs w:val="20"/>
              </w:rPr>
              <w:t>Īpašas piezīmes: ..</w:t>
            </w:r>
            <w:r>
              <w:rPr>
                <w:noProof/>
                <w:sz w:val="20"/>
                <w:szCs w:val="20"/>
              </w:rPr>
              <w:t>..............................................................................................................................</w:t>
            </w:r>
          </w:p>
        </w:tc>
      </w:tr>
      <w:tr w:rsidR="003E022D">
        <w:tblPrEx>
          <w:tblCellMar>
            <w:left w:w="70" w:type="dxa"/>
            <w:right w:w="70" w:type="dxa"/>
          </w:tblCellMar>
          <w:tblLook w:val="0000" w:firstRow="0" w:lastRow="0" w:firstColumn="0" w:lastColumn="0" w:noHBand="0" w:noVBand="0"/>
        </w:tblPrEx>
        <w:tc>
          <w:tcPr>
            <w:tcW w:w="9221" w:type="dxa"/>
            <w:gridSpan w:val="2"/>
            <w:shd w:val="clear" w:color="auto" w:fill="auto"/>
          </w:tcPr>
          <w:p w:rsidR="003E022D" w:rsidRDefault="007D19D6">
            <w:pPr>
              <w:spacing w:before="240" w:after="120"/>
              <w:rPr>
                <w:rFonts w:eastAsia="Times New Roman" w:cstheme="minorHAnsi"/>
                <w:noProof/>
                <w:sz w:val="20"/>
                <w:szCs w:val="20"/>
              </w:rPr>
            </w:pPr>
            <w:r>
              <w:rPr>
                <w:noProof/>
                <w:sz w:val="20"/>
                <w:szCs w:val="20"/>
              </w:rPr>
              <w:t>................................................................................................................................</w:t>
            </w:r>
            <w:r>
              <w:rPr>
                <w:noProof/>
                <w:sz w:val="20"/>
                <w:szCs w:val="20"/>
              </w:rPr>
              <w:t>................................</w:t>
            </w:r>
          </w:p>
        </w:tc>
      </w:tr>
      <w:tr w:rsidR="003E022D">
        <w:tblPrEx>
          <w:tblCellMar>
            <w:left w:w="70" w:type="dxa"/>
            <w:right w:w="70" w:type="dxa"/>
          </w:tblCellMar>
          <w:tblLook w:val="0000" w:firstRow="0" w:lastRow="0" w:firstColumn="0" w:lastColumn="0" w:noHBand="0" w:noVBand="0"/>
        </w:tblPrEx>
        <w:tc>
          <w:tcPr>
            <w:tcW w:w="4685" w:type="dxa"/>
            <w:shd w:val="clear" w:color="auto" w:fill="auto"/>
          </w:tcPr>
          <w:p w:rsidR="003E022D" w:rsidRDefault="007D19D6">
            <w:pPr>
              <w:spacing w:before="240" w:after="120"/>
              <w:rPr>
                <w:rFonts w:eastAsia="Times New Roman" w:cstheme="minorHAnsi"/>
                <w:noProof/>
                <w:sz w:val="20"/>
                <w:szCs w:val="20"/>
              </w:rPr>
            </w:pPr>
            <w:r>
              <w:rPr>
                <w:noProof/>
                <w:sz w:val="20"/>
                <w:szCs w:val="20"/>
              </w:rPr>
              <w:t>Šī licence ir derīga no .......................................</w:t>
            </w:r>
          </w:p>
        </w:tc>
        <w:tc>
          <w:tcPr>
            <w:tcW w:w="4536" w:type="dxa"/>
            <w:shd w:val="clear" w:color="auto" w:fill="auto"/>
            <w:vAlign w:val="center"/>
          </w:tcPr>
          <w:p w:rsidR="003E022D" w:rsidRDefault="007D19D6">
            <w:pPr>
              <w:spacing w:before="240" w:after="120"/>
              <w:rPr>
                <w:rFonts w:eastAsia="Times New Roman" w:cstheme="minorHAnsi"/>
                <w:noProof/>
                <w:sz w:val="20"/>
                <w:szCs w:val="20"/>
              </w:rPr>
            </w:pPr>
            <w:r>
              <w:rPr>
                <w:noProof/>
                <w:sz w:val="20"/>
                <w:szCs w:val="20"/>
              </w:rPr>
              <w:t>līdz .......................................................................</w:t>
            </w:r>
          </w:p>
        </w:tc>
      </w:tr>
      <w:tr w:rsidR="003E022D">
        <w:tblPrEx>
          <w:tblCellMar>
            <w:left w:w="70" w:type="dxa"/>
            <w:right w:w="70" w:type="dxa"/>
          </w:tblCellMar>
          <w:tblLook w:val="0000" w:firstRow="0" w:lastRow="0" w:firstColumn="0" w:lastColumn="0" w:noHBand="0" w:noVBand="0"/>
        </w:tblPrEx>
        <w:tc>
          <w:tcPr>
            <w:tcW w:w="4685" w:type="dxa"/>
            <w:shd w:val="clear" w:color="auto" w:fill="auto"/>
          </w:tcPr>
          <w:p w:rsidR="003E022D" w:rsidRDefault="007D19D6">
            <w:pPr>
              <w:spacing w:before="240" w:after="120"/>
              <w:rPr>
                <w:rFonts w:eastAsia="Times New Roman" w:cstheme="minorHAnsi"/>
                <w:noProof/>
                <w:sz w:val="20"/>
                <w:szCs w:val="20"/>
              </w:rPr>
            </w:pPr>
            <w:r>
              <w:rPr>
                <w:noProof/>
                <w:sz w:val="20"/>
                <w:szCs w:val="20"/>
              </w:rPr>
              <w:t>Izdota (vieta) ................................................................,</w:t>
            </w:r>
          </w:p>
        </w:tc>
        <w:tc>
          <w:tcPr>
            <w:tcW w:w="4536" w:type="dxa"/>
            <w:shd w:val="clear" w:color="auto" w:fill="auto"/>
          </w:tcPr>
          <w:p w:rsidR="003E022D" w:rsidRDefault="007D19D6">
            <w:pPr>
              <w:spacing w:before="240" w:after="120"/>
              <w:rPr>
                <w:rFonts w:eastAsia="Times New Roman" w:cstheme="minorHAnsi"/>
                <w:noProof/>
                <w:sz w:val="20"/>
                <w:szCs w:val="20"/>
              </w:rPr>
            </w:pPr>
            <w:r>
              <w:rPr>
                <w:noProof/>
                <w:sz w:val="20"/>
                <w:szCs w:val="20"/>
              </w:rPr>
              <w:t>(datums) .......................................................................</w:t>
            </w:r>
          </w:p>
        </w:tc>
      </w:tr>
      <w:tr w:rsidR="003E022D">
        <w:tblPrEx>
          <w:tblCellMar>
            <w:left w:w="70" w:type="dxa"/>
            <w:right w:w="70" w:type="dxa"/>
          </w:tblCellMar>
          <w:tblLook w:val="0000" w:firstRow="0" w:lastRow="0" w:firstColumn="0" w:lastColumn="0" w:noHBand="0" w:noVBand="0"/>
        </w:tblPrEx>
        <w:tc>
          <w:tcPr>
            <w:tcW w:w="9221" w:type="dxa"/>
            <w:gridSpan w:val="2"/>
            <w:shd w:val="clear" w:color="auto" w:fill="auto"/>
          </w:tcPr>
          <w:p w:rsidR="003E022D" w:rsidRDefault="007D19D6">
            <w:pPr>
              <w:spacing w:before="240" w:after="120"/>
              <w:rPr>
                <w:rFonts w:eastAsia="Times New Roman" w:cstheme="minorHAnsi"/>
                <w:noProof/>
                <w:sz w:val="18"/>
                <w:szCs w:val="18"/>
              </w:rPr>
            </w:pPr>
            <w:r>
              <w:rPr>
                <w:noProof/>
                <w:sz w:val="20"/>
                <w:szCs w:val="20"/>
              </w:rPr>
              <w:t>............................................................................</w:t>
            </w:r>
            <w:r>
              <w:rPr>
                <w:noProof/>
                <w:sz w:val="18"/>
              </w:rPr>
              <w:t xml:space="preserve"> </w:t>
            </w:r>
            <w:r>
              <w:rPr>
                <w:noProof/>
                <w:sz w:val="20"/>
                <w:szCs w:val="20"/>
              </w:rPr>
              <w:t>(</w:t>
            </w:r>
            <w:r>
              <w:rPr>
                <w:noProof/>
                <w:sz w:val="20"/>
                <w:szCs w:val="20"/>
                <w:vertAlign w:val="superscript"/>
              </w:rPr>
              <w:t>3</w:t>
            </w:r>
            <w:r>
              <w:rPr>
                <w:noProof/>
                <w:sz w:val="20"/>
                <w:szCs w:val="20"/>
              </w:rPr>
              <w:t>)</w:t>
            </w:r>
          </w:p>
        </w:tc>
      </w:tr>
    </w:tbl>
    <w:p w:rsidR="003E022D" w:rsidRDefault="007D19D6">
      <w:pPr>
        <w:spacing w:after="0"/>
        <w:rPr>
          <w:rFonts w:eastAsia="Times New Roman" w:cstheme="minorHAnsi"/>
          <w:noProof/>
          <w:sz w:val="24"/>
        </w:rPr>
      </w:pPr>
      <w:r>
        <w:rPr>
          <w:noProof/>
          <w:sz w:val="24"/>
        </w:rPr>
        <w:t>______________</w:t>
      </w:r>
    </w:p>
    <w:p w:rsidR="003E022D" w:rsidRDefault="007D19D6">
      <w:pPr>
        <w:tabs>
          <w:tab w:val="left" w:pos="360"/>
        </w:tabs>
        <w:spacing w:before="60" w:after="0"/>
        <w:ind w:left="360" w:hanging="360"/>
        <w:rPr>
          <w:rFonts w:eastAsia="Times New Roman" w:cstheme="minorHAnsi"/>
          <w:noProof/>
          <w:sz w:val="16"/>
          <w:szCs w:val="16"/>
        </w:rPr>
      </w:pPr>
      <w:r>
        <w:rPr>
          <w:noProof/>
          <w:sz w:val="16"/>
          <w:vertAlign w:val="superscript"/>
        </w:rPr>
        <w:t>(1)</w:t>
      </w:r>
      <w:r>
        <w:rPr>
          <w:noProof/>
        </w:rPr>
        <w:tab/>
      </w:r>
      <w:r>
        <w:rPr>
          <w:noProof/>
          <w:sz w:val="16"/>
        </w:rPr>
        <w:t>Dalībvalstu atšķirības zīmes ir šādas: (B) Beļģija, (BG) Bulgārija, (CZ)</w:t>
      </w:r>
      <w:r>
        <w:rPr>
          <w:noProof/>
          <w:sz w:val="16"/>
        </w:rPr>
        <w:t xml:space="preserve"> Čehijas Republika, (DK) Dānija, (D) Vācija, (EST) Igaunija, (IRL) Īrija, (GR) Grieķija, (E) Spānija, (F) Francija, (HR) Horvātija, (I) Itālija, (CY) Kipra, (LV) Latvija, (LT) Lietuva, (L) Luksemburga, (H) Ungārija, (MT) Malta, (NL) Nīderlande, (A) Austrij</w:t>
      </w:r>
      <w:r>
        <w:rPr>
          <w:noProof/>
          <w:sz w:val="16"/>
        </w:rPr>
        <w:t>a, (PL) Polija, (P) Portugāle, (RO) Rumānija, (SLO) Slovēnija, (SK) Slovākija, (FIN) Somija, (S) Zviedrija.</w:t>
      </w:r>
    </w:p>
    <w:p w:rsidR="003E022D" w:rsidRDefault="007D19D6">
      <w:pPr>
        <w:tabs>
          <w:tab w:val="left" w:pos="360"/>
        </w:tabs>
        <w:spacing w:before="60" w:after="0"/>
        <w:ind w:left="360" w:hanging="360"/>
        <w:rPr>
          <w:rFonts w:eastAsia="Times New Roman" w:cstheme="minorHAnsi"/>
          <w:noProof/>
          <w:sz w:val="16"/>
          <w:szCs w:val="16"/>
        </w:rPr>
      </w:pPr>
      <w:r>
        <w:rPr>
          <w:noProof/>
          <w:sz w:val="16"/>
          <w:vertAlign w:val="superscript"/>
        </w:rPr>
        <w:t>(2)</w:t>
      </w:r>
      <w:r>
        <w:rPr>
          <w:noProof/>
        </w:rPr>
        <w:tab/>
      </w:r>
      <w:r>
        <w:rPr>
          <w:noProof/>
          <w:sz w:val="16"/>
        </w:rPr>
        <w:t>Pārvadātāja pilns vārds vai uzņēmuma nosaukums un pilna adrese.</w:t>
      </w:r>
    </w:p>
    <w:p w:rsidR="003E022D" w:rsidRDefault="007D19D6">
      <w:pPr>
        <w:tabs>
          <w:tab w:val="left" w:pos="360"/>
        </w:tabs>
        <w:spacing w:before="60" w:after="0"/>
        <w:ind w:left="360" w:hanging="360"/>
        <w:rPr>
          <w:rFonts w:cstheme="minorHAnsi"/>
          <w:noProof/>
          <w:sz w:val="16"/>
        </w:rPr>
      </w:pPr>
      <w:r>
        <w:rPr>
          <w:noProof/>
          <w:sz w:val="16"/>
          <w:vertAlign w:val="superscript"/>
        </w:rPr>
        <w:t>(3)</w:t>
      </w:r>
      <w:r>
        <w:rPr>
          <w:noProof/>
        </w:rPr>
        <w:tab/>
      </w:r>
      <w:r>
        <w:rPr>
          <w:noProof/>
          <w:sz w:val="16"/>
        </w:rPr>
        <w:t>Izdevējas kompetentās iestādes vai struktūras paraksts un zīmogs.</w:t>
      </w:r>
      <w:r>
        <w:rPr>
          <w:noProof/>
          <w:sz w:val="16"/>
        </w:rPr>
        <w:br w:type="page"/>
      </w:r>
    </w:p>
    <w:p w:rsidR="003E022D" w:rsidRDefault="007D19D6">
      <w:pPr>
        <w:spacing w:after="236"/>
        <w:ind w:left="10" w:right="7" w:hanging="10"/>
        <w:jc w:val="center"/>
        <w:rPr>
          <w:rFonts w:cstheme="minorHAnsi"/>
          <w:noProof/>
          <w:color w:val="000000" w:themeColor="text1"/>
        </w:rPr>
      </w:pPr>
      <w:r>
        <w:rPr>
          <w:noProof/>
          <w:color w:val="000000" w:themeColor="text1"/>
        </w:rPr>
        <w:t>b)</w:t>
      </w:r>
    </w:p>
    <w:p w:rsidR="003E022D" w:rsidRDefault="007D19D6">
      <w:pPr>
        <w:spacing w:after="236"/>
        <w:ind w:left="10" w:right="7" w:hanging="10"/>
        <w:jc w:val="center"/>
        <w:rPr>
          <w:rFonts w:cstheme="minorHAnsi"/>
          <w:noProof/>
          <w:color w:val="000000" w:themeColor="text1"/>
        </w:rPr>
      </w:pPr>
      <w:r>
        <w:rPr>
          <w:noProof/>
          <w:color w:val="000000" w:themeColor="text1"/>
        </w:rPr>
        <w:t xml:space="preserve">(Licences otrā lappuse) </w:t>
      </w:r>
    </w:p>
    <w:p w:rsidR="003E022D" w:rsidRDefault="007D19D6">
      <w:pPr>
        <w:spacing w:after="236"/>
        <w:ind w:left="10" w:right="11" w:hanging="10"/>
        <w:jc w:val="center"/>
        <w:rPr>
          <w:rFonts w:cstheme="minorHAnsi"/>
          <w:noProof/>
          <w:color w:val="000000" w:themeColor="text1"/>
        </w:rPr>
      </w:pPr>
      <w:r>
        <w:rPr>
          <w:noProof/>
          <w:color w:val="000000" w:themeColor="text1"/>
        </w:rPr>
        <w:t xml:space="preserve">(Teksts licences izdošanas dalībvalsts oficiālajā(-ās) valodā(-ās) vai kādā no oficiālajām valodām) </w:t>
      </w:r>
    </w:p>
    <w:p w:rsidR="003E022D" w:rsidRDefault="007D19D6">
      <w:pPr>
        <w:jc w:val="center"/>
        <w:rPr>
          <w:rFonts w:cstheme="minorHAnsi"/>
          <w:noProof/>
          <w:sz w:val="32"/>
        </w:rPr>
      </w:pPr>
      <w:r>
        <w:rPr>
          <w:noProof/>
          <w:sz w:val="32"/>
        </w:rPr>
        <w:t>VISPĀRĪGI NOTEIKUMI</w:t>
      </w:r>
    </w:p>
    <w:p w:rsidR="003E022D" w:rsidRDefault="007D19D6">
      <w:pPr>
        <w:spacing w:after="125" w:line="250" w:lineRule="auto"/>
        <w:ind w:left="-5" w:hanging="10"/>
        <w:rPr>
          <w:rFonts w:cstheme="minorHAnsi"/>
          <w:noProof/>
          <w:color w:val="000000" w:themeColor="text1"/>
        </w:rPr>
      </w:pPr>
      <w:r>
        <w:rPr>
          <w:noProof/>
          <w:color w:val="000000" w:themeColor="text1"/>
        </w:rPr>
        <w:t xml:space="preserve">Šī licence izdota saskaņā ar Regulu (EK) Nr. 1072/2009. </w:t>
      </w:r>
    </w:p>
    <w:p w:rsidR="003E022D" w:rsidRDefault="007D19D6">
      <w:pPr>
        <w:spacing w:after="126" w:line="250" w:lineRule="auto"/>
        <w:ind w:left="-5" w:hanging="10"/>
        <w:rPr>
          <w:rFonts w:cstheme="minorHAnsi"/>
          <w:noProof/>
          <w:color w:val="000000" w:themeColor="text1"/>
        </w:rPr>
      </w:pPr>
      <w:r>
        <w:rPr>
          <w:noProof/>
          <w:color w:val="000000" w:themeColor="text1"/>
        </w:rPr>
        <w:t xml:space="preserve">Tā turētājam dod tiesības veikt starptautiskus kravu </w:t>
      </w:r>
      <w:r>
        <w:rPr>
          <w:noProof/>
          <w:color w:val="000000" w:themeColor="text1"/>
        </w:rPr>
        <w:t xml:space="preserve">komercpārvadājumus ar autotransportu jebkurā maršrutā, braucienos vai braucienu daļās Kopienas teritorijā, ievērojot tajā paredzētos nosacījumus: </w:t>
      </w:r>
    </w:p>
    <w:p w:rsidR="003E022D" w:rsidRDefault="007D19D6">
      <w:pPr>
        <w:spacing w:after="126" w:line="250" w:lineRule="auto"/>
        <w:ind w:left="203" w:hanging="218"/>
        <w:rPr>
          <w:rFonts w:cstheme="minorHAnsi"/>
          <w:noProof/>
          <w:color w:val="000000" w:themeColor="text1"/>
        </w:rPr>
      </w:pPr>
      <w:r>
        <w:rPr>
          <w:noProof/>
          <w:color w:val="000000" w:themeColor="text1"/>
        </w:rPr>
        <w:t>— ja pārvadājuma sākuma vieta un galamērķa vieta atrodas divās dažādās dalībvalstīs, braucot vai nebraucot tr</w:t>
      </w:r>
      <w:r>
        <w:rPr>
          <w:noProof/>
          <w:color w:val="000000" w:themeColor="text1"/>
        </w:rPr>
        <w:t xml:space="preserve">anzītā cauri vienai vai vairākām dalībvalstīm vai trešām valstīm, </w:t>
      </w:r>
    </w:p>
    <w:p w:rsidR="003E022D" w:rsidRDefault="007D19D6">
      <w:pPr>
        <w:spacing w:after="126" w:line="250" w:lineRule="auto"/>
        <w:ind w:left="203" w:hanging="218"/>
        <w:rPr>
          <w:rFonts w:cstheme="minorHAnsi"/>
          <w:noProof/>
          <w:color w:val="000000" w:themeColor="text1"/>
        </w:rPr>
      </w:pPr>
      <w:r>
        <w:rPr>
          <w:noProof/>
          <w:color w:val="000000" w:themeColor="text1"/>
        </w:rPr>
        <w:t xml:space="preserve">— ja pārvadājums tiek veikts no dalībvalsts uz trešo valsti vai otrādi, braucot vai nebraucot tranzītā cauri vienai vai vairākām dalībvalstīm vai trešām valstīm, </w:t>
      </w:r>
    </w:p>
    <w:p w:rsidR="003E022D" w:rsidRDefault="007D19D6">
      <w:pPr>
        <w:spacing w:after="0" w:line="354" w:lineRule="auto"/>
        <w:ind w:left="-5" w:hanging="10"/>
        <w:rPr>
          <w:rFonts w:cstheme="minorHAnsi"/>
          <w:noProof/>
          <w:color w:val="000000" w:themeColor="text1"/>
        </w:rPr>
      </w:pPr>
      <w:r>
        <w:rPr>
          <w:noProof/>
          <w:color w:val="000000" w:themeColor="text1"/>
        </w:rPr>
        <w:t>— ja pārvadājums tiek veik</w:t>
      </w:r>
      <w:r>
        <w:rPr>
          <w:noProof/>
          <w:color w:val="000000" w:themeColor="text1"/>
        </w:rPr>
        <w:t>ts starp trešām valstīm, braucot tranzītā cauri vienas vai vairāku dalībvalstu teritorijai,</w:t>
      </w:r>
    </w:p>
    <w:p w:rsidR="003E022D" w:rsidRDefault="007D19D6">
      <w:pPr>
        <w:spacing w:after="0" w:line="354" w:lineRule="auto"/>
        <w:ind w:left="-5" w:hanging="10"/>
        <w:rPr>
          <w:rFonts w:cstheme="minorHAnsi"/>
          <w:noProof/>
          <w:color w:val="000000" w:themeColor="text1"/>
        </w:rPr>
      </w:pPr>
      <w:r>
        <w:rPr>
          <w:noProof/>
          <w:color w:val="000000" w:themeColor="text1"/>
        </w:rPr>
        <w:t xml:space="preserve">kā arī veikt ar šādiem pārvadājumiem saistītus tukšbraucienus. </w:t>
      </w:r>
    </w:p>
    <w:p w:rsidR="003E022D" w:rsidRDefault="007D19D6">
      <w:pPr>
        <w:spacing w:after="126" w:line="250" w:lineRule="auto"/>
        <w:ind w:left="-5" w:hanging="10"/>
        <w:rPr>
          <w:rFonts w:cstheme="minorHAnsi"/>
          <w:noProof/>
          <w:color w:val="000000" w:themeColor="text1"/>
        </w:rPr>
      </w:pPr>
      <w:r>
        <w:rPr>
          <w:noProof/>
          <w:color w:val="000000" w:themeColor="text1"/>
        </w:rPr>
        <w:t xml:space="preserve">Veicot pārvadājumus no dalībvalsts uz trešo valsti vai otrādi, šī licence ir derīga brauciena daļai </w:t>
      </w:r>
      <w:r>
        <w:rPr>
          <w:noProof/>
          <w:color w:val="000000" w:themeColor="text1"/>
        </w:rPr>
        <w:t xml:space="preserve">Kopienas teritorijā. Tā ir derīga tās dalībvalsts teritorijā, kurā krava tiek iekrauta vai izkrauta, tikai pēc tam, kad starp Kopienu un šo trešo valsti ir noslēgts attiecīgs nolīgums saskaņā ar Regulu (EK) Nr. 1072/2009. </w:t>
      </w:r>
    </w:p>
    <w:p w:rsidR="003E022D" w:rsidRDefault="007D19D6">
      <w:pPr>
        <w:spacing w:after="125" w:line="250" w:lineRule="auto"/>
        <w:ind w:left="-5" w:hanging="10"/>
        <w:rPr>
          <w:rFonts w:cstheme="minorHAnsi"/>
          <w:noProof/>
          <w:color w:val="000000" w:themeColor="text1"/>
        </w:rPr>
      </w:pPr>
      <w:r>
        <w:rPr>
          <w:noProof/>
          <w:color w:val="000000" w:themeColor="text1"/>
        </w:rPr>
        <w:t>Licenci var izmantot tikai tās tu</w:t>
      </w:r>
      <w:r>
        <w:rPr>
          <w:noProof/>
          <w:color w:val="000000" w:themeColor="text1"/>
        </w:rPr>
        <w:t xml:space="preserve">rētājs, un tā nav nododama trešām personām. </w:t>
      </w:r>
    </w:p>
    <w:p w:rsidR="003E022D" w:rsidRDefault="007D19D6">
      <w:pPr>
        <w:spacing w:after="126" w:line="250" w:lineRule="auto"/>
        <w:ind w:left="-5" w:hanging="10"/>
        <w:rPr>
          <w:rFonts w:cstheme="minorHAnsi"/>
          <w:noProof/>
          <w:color w:val="000000" w:themeColor="text1"/>
        </w:rPr>
      </w:pPr>
      <w:r>
        <w:rPr>
          <w:noProof/>
          <w:color w:val="000000" w:themeColor="text1"/>
        </w:rPr>
        <w:t xml:space="preserve">Izdevējas dalībvalsts kompetentā iestāde to var anulēt, sevišķi gadījumos, ja tās turētājs: </w:t>
      </w:r>
    </w:p>
    <w:p w:rsidR="003E022D" w:rsidRDefault="007D19D6">
      <w:pPr>
        <w:spacing w:after="125" w:line="250" w:lineRule="auto"/>
        <w:ind w:left="-5" w:hanging="10"/>
        <w:rPr>
          <w:rFonts w:cstheme="minorHAnsi"/>
          <w:noProof/>
          <w:color w:val="000000" w:themeColor="text1"/>
        </w:rPr>
      </w:pPr>
      <w:r>
        <w:rPr>
          <w:noProof/>
          <w:color w:val="000000" w:themeColor="text1"/>
        </w:rPr>
        <w:t xml:space="preserve">— nav ievērojis visus licences izmantošanas nosacījumus, </w:t>
      </w:r>
    </w:p>
    <w:p w:rsidR="003E022D" w:rsidRDefault="007D19D6">
      <w:pPr>
        <w:spacing w:after="126" w:line="250" w:lineRule="auto"/>
        <w:ind w:left="203" w:hanging="218"/>
        <w:rPr>
          <w:rFonts w:cstheme="minorHAnsi"/>
          <w:noProof/>
          <w:color w:val="000000" w:themeColor="text1"/>
        </w:rPr>
      </w:pPr>
      <w:r>
        <w:rPr>
          <w:noProof/>
          <w:color w:val="000000" w:themeColor="text1"/>
        </w:rPr>
        <w:t>— sniedzis nepatiesu informāciju par datiem, kas nepieciešam</w:t>
      </w:r>
      <w:r>
        <w:rPr>
          <w:noProof/>
          <w:color w:val="000000" w:themeColor="text1"/>
        </w:rPr>
        <w:t xml:space="preserve">i licences izdošanai vai pagarināšanai. </w:t>
      </w:r>
    </w:p>
    <w:p w:rsidR="003E022D" w:rsidRDefault="007D19D6">
      <w:pPr>
        <w:spacing w:after="118" w:line="250" w:lineRule="auto"/>
        <w:ind w:left="-5" w:hanging="10"/>
        <w:rPr>
          <w:rFonts w:cstheme="minorHAnsi"/>
          <w:noProof/>
          <w:color w:val="000000" w:themeColor="text1"/>
        </w:rPr>
      </w:pPr>
      <w:r>
        <w:rPr>
          <w:noProof/>
          <w:color w:val="000000" w:themeColor="text1"/>
        </w:rPr>
        <w:t xml:space="preserve">Licences oriģināls jāglabā pārvadātāja uzņēmumā. </w:t>
      </w:r>
    </w:p>
    <w:p w:rsidR="003E022D" w:rsidRDefault="007D19D6">
      <w:pPr>
        <w:spacing w:after="126" w:line="250" w:lineRule="auto"/>
        <w:ind w:left="-5" w:hanging="10"/>
        <w:rPr>
          <w:rFonts w:cstheme="minorHAnsi"/>
          <w:noProof/>
          <w:color w:val="000000" w:themeColor="text1"/>
        </w:rPr>
      </w:pPr>
      <w:r>
        <w:rPr>
          <w:noProof/>
          <w:color w:val="000000" w:themeColor="text1"/>
        </w:rPr>
        <w:t>Apliecinātai licences kopijai jāatrodas transportlīdzeklī</w:t>
      </w:r>
      <w:hyperlink r:id="rId16" w:anchor="ntr1-L_2009300EN.01008201-E0001">
        <w:r>
          <w:rPr>
            <w:noProof/>
            <w:color w:val="000000" w:themeColor="text1"/>
            <w:u w:val="single" w:color="00B0F0"/>
          </w:rPr>
          <w:t xml:space="preserve"> (</w:t>
        </w:r>
      </w:hyperlink>
      <w:r>
        <w:rPr>
          <w:noProof/>
          <w:vertAlign w:val="superscript"/>
        </w:rPr>
        <w:t>1</w:t>
      </w:r>
      <w:hyperlink r:id="rId17" w:anchor="ntr1-L_2009300EN.01008201-E0001">
        <w:r>
          <w:rPr>
            <w:noProof/>
            <w:color w:val="000000" w:themeColor="text1"/>
            <w:u w:val="single" w:color="00B0F0"/>
          </w:rPr>
          <w:t>)</w:t>
        </w:r>
      </w:hyperlink>
      <w:hyperlink r:id="rId18" w:anchor="ntr1-L_2009300EN.01008201-E0001">
        <w:r>
          <w:rPr>
            <w:noProof/>
            <w:color w:val="000000" w:themeColor="text1"/>
          </w:rPr>
          <w:t>.</w:t>
        </w:r>
      </w:hyperlink>
      <w:r>
        <w:rPr>
          <w:noProof/>
          <w:color w:val="000000" w:themeColor="text1"/>
        </w:rPr>
        <w:t xml:space="preserve"> Izmantojot savienotu transportlīdzekļu sastāvus, licencei jābūt mehāniskajā transportlīdzeklī. Savienotu transportlīdzekļu sastāviem </w:t>
      </w:r>
      <w:r>
        <w:rPr>
          <w:noProof/>
          <w:color w:val="000000" w:themeColor="text1"/>
        </w:rPr>
        <w:t xml:space="preserve">tā derīga arī tad, ja piekabe vai puspiekabe nav reģistrēta vai tiesības izmantot to autopārvadājumiem nav reģistrētas uz licences turētāja vārda, kā arī tad, ja piekabes ir reģistrētas vai ja tās atļauts izmantot autopārvadājumiem citā valstī. </w:t>
      </w:r>
    </w:p>
    <w:p w:rsidR="003E022D" w:rsidRDefault="007D19D6">
      <w:pPr>
        <w:spacing w:after="125" w:line="250" w:lineRule="auto"/>
        <w:ind w:left="-5" w:hanging="10"/>
        <w:rPr>
          <w:rFonts w:cstheme="minorHAnsi"/>
          <w:noProof/>
          <w:color w:val="000000" w:themeColor="text1"/>
        </w:rPr>
      </w:pPr>
      <w:r>
        <w:rPr>
          <w:noProof/>
          <w:color w:val="000000" w:themeColor="text1"/>
        </w:rPr>
        <w:t>Licence jā</w:t>
      </w:r>
      <w:r>
        <w:rPr>
          <w:noProof/>
          <w:color w:val="000000" w:themeColor="text1"/>
        </w:rPr>
        <w:t xml:space="preserve">uzrāda pārbaudei pēc attiecīgi pilnvarota kontroles darbinieka pieprasījuma. </w:t>
      </w:r>
    </w:p>
    <w:p w:rsidR="003E022D" w:rsidRDefault="007D19D6">
      <w:pPr>
        <w:spacing w:after="6" w:line="250" w:lineRule="auto"/>
        <w:ind w:left="-5" w:hanging="10"/>
        <w:rPr>
          <w:rFonts w:cstheme="minorHAnsi"/>
          <w:noProof/>
          <w:color w:val="000000" w:themeColor="text1"/>
        </w:rPr>
      </w:pPr>
      <w:r>
        <w:rPr>
          <w:noProof/>
          <w:color w:val="000000" w:themeColor="text1"/>
        </w:rPr>
        <w:t>Atrodoties kādā dalībvalstī, licences turētājam jāievēro tajā spēkā esošie normatīvie un administratīvie akti, īpaši attiecībā uz pārvadājumiem un satiksmi.</w:t>
      </w:r>
    </w:p>
    <w:p w:rsidR="003E022D" w:rsidRDefault="003E022D">
      <w:pPr>
        <w:spacing w:after="6" w:line="250" w:lineRule="auto"/>
        <w:rPr>
          <w:rFonts w:cstheme="minorHAnsi"/>
          <w:noProof/>
          <w:color w:val="000000" w:themeColor="text1"/>
        </w:rPr>
      </w:pPr>
    </w:p>
    <w:p w:rsidR="003E022D" w:rsidRDefault="007D19D6">
      <w:pPr>
        <w:spacing w:after="6" w:line="250" w:lineRule="auto"/>
        <w:ind w:left="-5" w:hanging="10"/>
        <w:rPr>
          <w:rFonts w:cstheme="minorHAnsi"/>
          <w:noProof/>
          <w:color w:val="000000" w:themeColor="text1"/>
        </w:rPr>
      </w:pPr>
      <w:r>
        <w:rPr>
          <w:noProof/>
          <w:color w:val="000000" w:themeColor="text1"/>
        </w:rPr>
        <w:t>__________________</w:t>
      </w:r>
    </w:p>
    <w:p w:rsidR="003E022D" w:rsidRDefault="007D19D6">
      <w:pPr>
        <w:pStyle w:val="Part2"/>
        <w:jc w:val="left"/>
        <w:rPr>
          <w:rFonts w:asciiTheme="minorHAnsi" w:hAnsiTheme="minorHAnsi" w:cstheme="minorHAnsi"/>
          <w:noProof/>
          <w:color w:val="000000" w:themeColor="text1"/>
          <w:sz w:val="20"/>
          <w:szCs w:val="20"/>
        </w:rPr>
      </w:pP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u w:val="single" w:color="00B0F0"/>
          <w:vertAlign w:val="superscript"/>
        </w:rPr>
        <w:t>1</w:t>
      </w: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rPr>
        <w:t xml:space="preserve"> “Transportlīdzeklis” ir dalībvalstī reģistrēts mehānisks transportlīdzeklis vai sakabinātu transportlīdzekļu apvienojums, no kuriem vismaz sakabē esošais mehāniskais transportlīdzeklis ir reģistrēts dalībvalstī, un to izmanto tikai kravu pārvadājumiem. </w:t>
      </w:r>
    </w:p>
    <w:p w:rsidR="003E022D" w:rsidRDefault="007D19D6">
      <w:pPr>
        <w:jc w:val="left"/>
        <w:rPr>
          <w:rFonts w:cstheme="minorHAnsi"/>
          <w:noProof/>
          <w:color w:val="000000" w:themeColor="text1"/>
          <w:sz w:val="20"/>
          <w:szCs w:val="20"/>
        </w:rPr>
      </w:pPr>
      <w:r>
        <w:rPr>
          <w:noProof/>
        </w:rPr>
        <w:br w:type="page"/>
      </w:r>
    </w:p>
    <w:p w:rsidR="003E022D" w:rsidRDefault="007D19D6">
      <w:pPr>
        <w:pStyle w:val="Part2"/>
        <w:rPr>
          <w:rFonts w:asciiTheme="minorHAnsi" w:hAnsiTheme="minorHAnsi" w:cstheme="minorHAnsi"/>
          <w:noProof/>
        </w:rPr>
      </w:pPr>
      <w:r>
        <w:rPr>
          <w:rFonts w:asciiTheme="minorHAnsi" w:hAnsiTheme="minorHAnsi"/>
          <w:noProof/>
        </w:rPr>
        <w:t xml:space="preserve"> B daļa</w:t>
      </w:r>
    </w:p>
    <w:p w:rsidR="003E022D" w:rsidRDefault="007D19D6">
      <w:pPr>
        <w:pStyle w:val="Part2"/>
        <w:rPr>
          <w:rFonts w:asciiTheme="minorHAnsi" w:hAnsiTheme="minorHAnsi" w:cstheme="minorHAnsi"/>
          <w:noProof/>
        </w:rPr>
      </w:pPr>
      <w:r>
        <w:rPr>
          <w:rFonts w:asciiTheme="minorHAnsi" w:hAnsiTheme="minorHAnsi"/>
          <w:noProof/>
        </w:rPr>
        <w:t>Licences paraugs Apvienotajai Karalistei</w:t>
      </w:r>
    </w:p>
    <w:p w:rsidR="003E022D" w:rsidRDefault="003E022D">
      <w:pPr>
        <w:spacing w:after="10" w:line="250" w:lineRule="auto"/>
        <w:ind w:left="-5" w:hanging="10"/>
        <w:rPr>
          <w:rFonts w:cstheme="minorHAnsi"/>
          <w:noProof/>
          <w:color w:val="000000" w:themeColor="text1"/>
          <w:sz w:val="24"/>
        </w:rPr>
      </w:pPr>
    </w:p>
    <w:tbl>
      <w:tblPr>
        <w:tblW w:w="5002" w:type="pct"/>
        <w:tblInd w:w="2" w:type="dxa"/>
        <w:tblLayout w:type="fixed"/>
        <w:tblLook w:val="0000" w:firstRow="0" w:lastRow="0" w:firstColumn="0" w:lastColumn="0" w:noHBand="0" w:noVBand="0"/>
      </w:tblPr>
      <w:tblGrid>
        <w:gridCol w:w="564"/>
        <w:gridCol w:w="8210"/>
        <w:gridCol w:w="256"/>
      </w:tblGrid>
      <w:tr w:rsidR="003E022D">
        <w:trPr>
          <w:trHeight w:val="576"/>
        </w:trPr>
        <w:tc>
          <w:tcPr>
            <w:tcW w:w="312" w:type="pct"/>
            <w:tcMar>
              <w:left w:w="0" w:type="dxa"/>
              <w:right w:w="0" w:type="dxa"/>
            </w:tcMar>
          </w:tcPr>
          <w:p w:rsidR="003E022D" w:rsidRDefault="007D19D6">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rsidR="003E022D" w:rsidRDefault="003E022D">
            <w:pPr>
              <w:pStyle w:val="FormHeading"/>
              <w:rPr>
                <w:rFonts w:asciiTheme="minorHAnsi" w:hAnsiTheme="minorHAnsi" w:cstheme="minorHAnsi"/>
                <w:i/>
                <w:noProof/>
                <w:sz w:val="24"/>
                <w:szCs w:val="24"/>
              </w:rPr>
            </w:pPr>
          </w:p>
        </w:tc>
        <w:tc>
          <w:tcPr>
            <w:tcW w:w="142" w:type="pct"/>
            <w:tcBorders>
              <w:left w:val="nil"/>
            </w:tcBorders>
            <w:tcMar>
              <w:left w:w="0" w:type="dxa"/>
              <w:right w:w="0" w:type="dxa"/>
            </w:tcMar>
          </w:tcPr>
          <w:p w:rsidR="003E022D" w:rsidRDefault="003E022D">
            <w:pPr>
              <w:pStyle w:val="FormText"/>
              <w:spacing w:after="240"/>
              <w:jc w:val="both"/>
              <w:rPr>
                <w:rFonts w:asciiTheme="minorHAnsi" w:hAnsiTheme="minorHAnsi" w:cstheme="minorHAnsi"/>
                <w:noProof/>
              </w:rPr>
            </w:pPr>
          </w:p>
        </w:tc>
      </w:tr>
      <w:tr w:rsidR="003E022D">
        <w:trPr>
          <w:trHeight w:val="362"/>
        </w:trPr>
        <w:tc>
          <w:tcPr>
            <w:tcW w:w="312" w:type="pct"/>
            <w:tcMar>
              <w:left w:w="0" w:type="dxa"/>
              <w:right w:w="0" w:type="dxa"/>
            </w:tcMar>
          </w:tcPr>
          <w:p w:rsidR="003E022D" w:rsidRDefault="003E022D">
            <w:pPr>
              <w:pStyle w:val="FormText"/>
              <w:spacing w:after="240"/>
              <w:jc w:val="both"/>
              <w:rPr>
                <w:rFonts w:asciiTheme="minorHAnsi" w:hAnsiTheme="minorHAnsi" w:cstheme="minorHAnsi"/>
                <w:noProof/>
              </w:rPr>
            </w:pPr>
          </w:p>
        </w:tc>
        <w:tc>
          <w:tcPr>
            <w:tcW w:w="4546" w:type="pct"/>
          </w:tcPr>
          <w:p w:rsidR="003E022D" w:rsidRDefault="007D19D6">
            <w:pPr>
              <w:pStyle w:val="FormSubHeading"/>
              <w:spacing w:before="120" w:after="120"/>
              <w:rPr>
                <w:rFonts w:asciiTheme="minorHAnsi" w:hAnsiTheme="minorHAnsi" w:cstheme="minorHAnsi"/>
                <w:b/>
                <w:noProof/>
                <w:sz w:val="20"/>
              </w:rPr>
            </w:pPr>
            <w:r>
              <w:rPr>
                <w:rFonts w:asciiTheme="minorHAnsi" w:hAnsiTheme="minorHAnsi"/>
                <w:b/>
                <w:noProof/>
                <w:sz w:val="20"/>
              </w:rPr>
              <w:t>AK licence Kopienai</w:t>
            </w:r>
          </w:p>
        </w:tc>
        <w:tc>
          <w:tcPr>
            <w:tcW w:w="142" w:type="pct"/>
            <w:tcBorders>
              <w:left w:val="nil"/>
            </w:tcBorders>
            <w:tcMar>
              <w:left w:w="0" w:type="dxa"/>
              <w:right w:w="0" w:type="dxa"/>
            </w:tcMar>
          </w:tcPr>
          <w:p w:rsidR="003E022D" w:rsidRDefault="003E022D">
            <w:pPr>
              <w:pStyle w:val="FormText"/>
              <w:spacing w:after="240"/>
              <w:jc w:val="both"/>
              <w:rPr>
                <w:rFonts w:asciiTheme="minorHAnsi" w:hAnsiTheme="minorHAnsi" w:cstheme="minorHAnsi"/>
                <w:noProof/>
              </w:rPr>
            </w:pPr>
          </w:p>
        </w:tc>
      </w:tr>
      <w:tr w:rsidR="003E022D">
        <w:tc>
          <w:tcPr>
            <w:tcW w:w="312" w:type="pct"/>
            <w:tcMar>
              <w:left w:w="0" w:type="dxa"/>
              <w:right w:w="0" w:type="dxa"/>
            </w:tcMar>
          </w:tcPr>
          <w:p w:rsidR="003E022D" w:rsidRDefault="003E022D">
            <w:pPr>
              <w:pStyle w:val="FormText"/>
              <w:spacing w:after="240"/>
              <w:jc w:val="both"/>
              <w:rPr>
                <w:rFonts w:asciiTheme="minorHAnsi" w:hAnsiTheme="minorHAnsi" w:cstheme="minorHAnsi"/>
                <w:noProof/>
              </w:rPr>
            </w:pPr>
          </w:p>
        </w:tc>
        <w:tc>
          <w:tcPr>
            <w:tcW w:w="4546" w:type="pct"/>
          </w:tcPr>
          <w:p w:rsidR="003E022D" w:rsidRDefault="007D19D6">
            <w:pPr>
              <w:pStyle w:val="FormText"/>
              <w:spacing w:after="240"/>
              <w:jc w:val="center"/>
              <w:rPr>
                <w:rFonts w:asciiTheme="minorHAnsi" w:hAnsiTheme="minorHAnsi" w:cstheme="minorHAnsi"/>
                <w:noProof/>
              </w:rPr>
            </w:pPr>
            <w:r>
              <w:rPr>
                <w:rFonts w:asciiTheme="minorHAnsi" w:hAnsiTheme="minorHAnsi"/>
                <w:noProof/>
              </w:rPr>
              <w:t>a)</w:t>
            </w:r>
          </w:p>
          <w:p w:rsidR="003E022D" w:rsidRDefault="007D19D6">
            <w:pPr>
              <w:pStyle w:val="FormText"/>
              <w:spacing w:after="240"/>
              <w:jc w:val="center"/>
              <w:rPr>
                <w:rFonts w:asciiTheme="minorHAnsi" w:hAnsiTheme="minorHAnsi" w:cstheme="minorHAnsi"/>
                <w:noProof/>
              </w:rPr>
            </w:pPr>
            <w:r>
              <w:rPr>
                <w:rFonts w:asciiTheme="minorHAnsi" w:hAnsiTheme="minorHAnsi"/>
                <w:noProof/>
              </w:rPr>
              <w:t xml:space="preserve">(Krāsa – pantonis gaiši zils, </w:t>
            </w:r>
            <w:r>
              <w:rPr>
                <w:rFonts w:asciiTheme="minorHAnsi" w:hAnsiTheme="minorHAnsi"/>
                <w:i/>
                <w:noProof/>
              </w:rPr>
              <w:t>DIN</w:t>
            </w:r>
            <w:r>
              <w:rPr>
                <w:rFonts w:asciiTheme="minorHAnsi" w:hAnsiTheme="minorHAnsi"/>
                <w:noProof/>
              </w:rPr>
              <w:t xml:space="preserve"> A4 formāta celulozes papīrs, masa – 100 g/m2 vai vairāk)</w:t>
            </w:r>
          </w:p>
          <w:p w:rsidR="003E022D" w:rsidRDefault="007D19D6">
            <w:pPr>
              <w:pStyle w:val="FormText"/>
              <w:spacing w:after="240"/>
              <w:jc w:val="center"/>
              <w:rPr>
                <w:rFonts w:asciiTheme="minorHAnsi" w:hAnsiTheme="minorHAnsi" w:cstheme="minorHAnsi"/>
                <w:noProof/>
              </w:rPr>
            </w:pPr>
            <w:r>
              <w:rPr>
                <w:rFonts w:asciiTheme="minorHAnsi" w:hAnsiTheme="minorHAnsi"/>
                <w:noProof/>
              </w:rPr>
              <w:t>(Licences pirmā lappuse)</w:t>
            </w:r>
          </w:p>
          <w:p w:rsidR="003E022D" w:rsidRDefault="007D19D6">
            <w:pPr>
              <w:pStyle w:val="FormText"/>
              <w:spacing w:after="240"/>
              <w:jc w:val="center"/>
              <w:rPr>
                <w:rFonts w:asciiTheme="minorHAnsi" w:hAnsiTheme="minorHAnsi" w:cstheme="minorHAnsi"/>
                <w:noProof/>
              </w:rPr>
            </w:pPr>
            <w:r>
              <w:rPr>
                <w:rFonts w:asciiTheme="minorHAnsi" w:hAnsiTheme="minorHAnsi"/>
                <w:noProof/>
              </w:rPr>
              <w:t>(Teksts angļu vai velsiešu valodā)</w:t>
            </w:r>
          </w:p>
          <w:tbl>
            <w:tblPr>
              <w:tblW w:w="7588" w:type="dxa"/>
              <w:tblLayout w:type="fixed"/>
              <w:tblLook w:val="0000" w:firstRow="0" w:lastRow="0" w:firstColumn="0" w:lastColumn="0" w:noHBand="0" w:noVBand="0"/>
            </w:tblPr>
            <w:tblGrid>
              <w:gridCol w:w="1918"/>
              <w:gridCol w:w="283"/>
              <w:gridCol w:w="1593"/>
              <w:gridCol w:w="228"/>
              <w:gridCol w:w="3566"/>
            </w:tblGrid>
            <w:tr w:rsidR="003E022D">
              <w:tc>
                <w:tcPr>
                  <w:tcW w:w="1918" w:type="dxa"/>
                  <w:tcBorders>
                    <w:top w:val="single" w:sz="4" w:space="0" w:color="auto"/>
                    <w:left w:val="single" w:sz="4" w:space="0" w:color="auto"/>
                    <w:bottom w:val="single" w:sz="4" w:space="0" w:color="auto"/>
                    <w:right w:val="single" w:sz="4" w:space="0" w:color="auto"/>
                  </w:tcBorders>
                  <w:shd w:val="clear" w:color="auto" w:fill="auto"/>
                </w:tcPr>
                <w:p w:rsidR="003E022D" w:rsidRDefault="007D19D6">
                  <w:pPr>
                    <w:pStyle w:val="ColumnHeader"/>
                    <w:spacing w:before="0"/>
                    <w:jc w:val="left"/>
                    <w:rPr>
                      <w:rFonts w:asciiTheme="minorHAnsi" w:hAnsiTheme="minorHAnsi" w:cstheme="minorHAnsi"/>
                      <w:i w:val="0"/>
                      <w:noProof/>
                      <w:sz w:val="96"/>
                      <w:szCs w:val="96"/>
                    </w:rPr>
                  </w:pPr>
                  <w:r>
                    <w:rPr>
                      <w:rFonts w:asciiTheme="minorHAnsi" w:hAnsiTheme="minorHAnsi"/>
                      <w:i w:val="0"/>
                      <w:noProof/>
                      <w:sz w:val="96"/>
                      <w:szCs w:val="96"/>
                    </w:rPr>
                    <w:t>AK</w:t>
                  </w:r>
                </w:p>
              </w:tc>
              <w:tc>
                <w:tcPr>
                  <w:tcW w:w="283" w:type="dxa"/>
                  <w:tcBorders>
                    <w:left w:val="single" w:sz="4" w:space="0" w:color="auto"/>
                    <w:right w:val="single" w:sz="4" w:space="0" w:color="auto"/>
                  </w:tcBorders>
                  <w:shd w:val="clear" w:color="auto" w:fill="auto"/>
                </w:tcPr>
                <w:p w:rsidR="003E022D" w:rsidRDefault="003E022D">
                  <w:pPr>
                    <w:pStyle w:val="ColumnHeader"/>
                    <w:rPr>
                      <w:rFonts w:asciiTheme="minorHAnsi" w:hAnsiTheme="minorHAnsi" w:cstheme="minorHAnsi"/>
                      <w:noProof/>
                      <w:sz w:val="17"/>
                      <w:szCs w:val="17"/>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rsidR="003E022D" w:rsidRDefault="007D19D6">
                  <w:pPr>
                    <w:keepNext/>
                    <w:rPr>
                      <w:rFonts w:cstheme="minorHAnsi"/>
                      <w:b/>
                      <w:bCs/>
                      <w:noProof/>
                    </w:rPr>
                  </w:pPr>
                  <w:r>
                    <w:rPr>
                      <w:b/>
                      <w:bCs/>
                      <w:noProof/>
                    </w:rPr>
                    <w:t xml:space="preserve">AK KOMPETENTĀS </w:t>
                  </w:r>
                  <w:r>
                    <w:rPr>
                      <w:b/>
                      <w:bCs/>
                      <w:noProof/>
                    </w:rPr>
                    <w:t>IESTĀDES NOSAUKUMS</w:t>
                  </w:r>
                </w:p>
                <w:p w:rsidR="003E022D" w:rsidRDefault="007D19D6">
                  <w:pPr>
                    <w:pStyle w:val="linespace"/>
                    <w:rPr>
                      <w:rFonts w:asciiTheme="minorHAnsi" w:hAnsiTheme="minorHAnsi" w:cstheme="minorHAnsi"/>
                    </w:rPr>
                  </w:pPr>
                  <w:r>
                    <w:rPr>
                      <w:rFonts w:asciiTheme="minorHAnsi" w:hAnsiTheme="minorHAnsi"/>
                      <w:bCs/>
                      <w:sz w:val="17"/>
                      <w:szCs w:val="17"/>
                      <w:vertAlign w:val="superscript"/>
                    </w:rPr>
                    <w:t>(1)</w:t>
                  </w:r>
                </w:p>
              </w:tc>
            </w:tr>
            <w:tr w:rsidR="003E022D">
              <w:tc>
                <w:tcPr>
                  <w:tcW w:w="7588" w:type="dxa"/>
                  <w:gridSpan w:val="5"/>
                </w:tcPr>
                <w:p w:rsidR="003E022D" w:rsidRDefault="007D19D6">
                  <w:pPr>
                    <w:jc w:val="center"/>
                    <w:rPr>
                      <w:rFonts w:cstheme="minorHAnsi"/>
                      <w:noProof/>
                    </w:rPr>
                  </w:pPr>
                  <w:r>
                    <w:rPr>
                      <w:noProof/>
                    </w:rPr>
                    <w:t>LICENCE Nr.:</w:t>
                  </w:r>
                </w:p>
              </w:tc>
            </w:tr>
            <w:tr w:rsidR="003E022D">
              <w:tc>
                <w:tcPr>
                  <w:tcW w:w="7588" w:type="dxa"/>
                  <w:gridSpan w:val="5"/>
                </w:tcPr>
                <w:p w:rsidR="003E022D" w:rsidRDefault="007D19D6">
                  <w:pPr>
                    <w:jc w:val="center"/>
                    <w:rPr>
                      <w:rFonts w:cstheme="minorHAnsi"/>
                      <w:noProof/>
                    </w:rPr>
                  </w:pPr>
                  <w:r>
                    <w:rPr>
                      <w:noProof/>
                    </w:rPr>
                    <w:t>vai</w:t>
                  </w:r>
                </w:p>
              </w:tc>
            </w:tr>
            <w:tr w:rsidR="003E022D">
              <w:tc>
                <w:tcPr>
                  <w:tcW w:w="7588" w:type="dxa"/>
                  <w:gridSpan w:val="5"/>
                </w:tcPr>
                <w:p w:rsidR="003E022D" w:rsidRDefault="007D19D6">
                  <w:pPr>
                    <w:jc w:val="center"/>
                    <w:rPr>
                      <w:rFonts w:cstheme="minorHAnsi"/>
                      <w:noProof/>
                    </w:rPr>
                  </w:pPr>
                  <w:r>
                    <w:rPr>
                      <w:noProof/>
                    </w:rPr>
                    <w:t>APLIECINĀTA KOPIJA Nr.:</w:t>
                  </w:r>
                </w:p>
              </w:tc>
            </w:tr>
            <w:tr w:rsidR="003E022D">
              <w:tc>
                <w:tcPr>
                  <w:tcW w:w="7588" w:type="dxa"/>
                  <w:gridSpan w:val="5"/>
                </w:tcPr>
                <w:p w:rsidR="003E022D" w:rsidRDefault="007D19D6">
                  <w:pPr>
                    <w:jc w:val="center"/>
                    <w:rPr>
                      <w:rFonts w:cstheme="minorHAnsi"/>
                      <w:noProof/>
                      <w:sz w:val="17"/>
                      <w:szCs w:val="17"/>
                    </w:rPr>
                  </w:pPr>
                  <w:r>
                    <w:rPr>
                      <w:noProof/>
                      <w:sz w:val="17"/>
                      <w:szCs w:val="17"/>
                    </w:rPr>
                    <w:t>starptautiskiem kravu komercpārvadājumiem ar autotransportu</w:t>
                  </w:r>
                </w:p>
              </w:tc>
            </w:tr>
            <w:tr w:rsidR="003E022D">
              <w:tc>
                <w:tcPr>
                  <w:tcW w:w="7588" w:type="dxa"/>
                  <w:gridSpan w:val="5"/>
                </w:tcPr>
                <w:p w:rsidR="003E022D" w:rsidRDefault="003E022D">
                  <w:pPr>
                    <w:rPr>
                      <w:rFonts w:cstheme="minorHAnsi"/>
                      <w:noProof/>
                      <w:sz w:val="17"/>
                      <w:szCs w:val="17"/>
                    </w:rPr>
                  </w:pPr>
                </w:p>
              </w:tc>
            </w:tr>
            <w:tr w:rsidR="003E022D">
              <w:tc>
                <w:tcPr>
                  <w:tcW w:w="1918" w:type="dxa"/>
                </w:tcPr>
                <w:p w:rsidR="003E022D" w:rsidRDefault="007D19D6">
                  <w:pPr>
                    <w:rPr>
                      <w:rFonts w:cstheme="minorHAnsi"/>
                      <w:noProof/>
                      <w:sz w:val="17"/>
                      <w:szCs w:val="17"/>
                    </w:rPr>
                  </w:pPr>
                  <w:r>
                    <w:rPr>
                      <w:noProof/>
                      <w:sz w:val="17"/>
                      <w:szCs w:val="17"/>
                    </w:rPr>
                    <w:t>Šī licence dod tiesības</w:t>
                  </w:r>
                  <w:r>
                    <w:rPr>
                      <w:noProof/>
                      <w:sz w:val="17"/>
                      <w:szCs w:val="17"/>
                      <w:vertAlign w:val="superscript"/>
                    </w:rPr>
                    <w:t>(2)</w:t>
                  </w:r>
                </w:p>
              </w:tc>
              <w:tc>
                <w:tcPr>
                  <w:tcW w:w="283" w:type="dxa"/>
                  <w:tcBorders>
                    <w:bottom w:val="single" w:sz="4" w:space="0" w:color="auto"/>
                  </w:tcBorders>
                </w:tcPr>
                <w:p w:rsidR="003E022D" w:rsidRDefault="003E022D">
                  <w:pPr>
                    <w:rPr>
                      <w:rFonts w:cstheme="minorHAnsi"/>
                      <w:noProof/>
                      <w:sz w:val="17"/>
                      <w:szCs w:val="17"/>
                    </w:rPr>
                  </w:pPr>
                </w:p>
              </w:tc>
              <w:tc>
                <w:tcPr>
                  <w:tcW w:w="5387" w:type="dxa"/>
                  <w:gridSpan w:val="3"/>
                  <w:tcBorders>
                    <w:bottom w:val="single" w:sz="4" w:space="0" w:color="auto"/>
                  </w:tcBorders>
                </w:tcPr>
                <w:p w:rsidR="003E022D" w:rsidRDefault="003E022D">
                  <w:pPr>
                    <w:rPr>
                      <w:rFonts w:cstheme="minorHAnsi"/>
                      <w:noProof/>
                      <w:sz w:val="17"/>
                      <w:szCs w:val="17"/>
                    </w:rPr>
                  </w:pPr>
                </w:p>
              </w:tc>
            </w:tr>
            <w:tr w:rsidR="003E022D">
              <w:tc>
                <w:tcPr>
                  <w:tcW w:w="1918" w:type="dxa"/>
                </w:tcPr>
                <w:p w:rsidR="003E022D" w:rsidRDefault="003E022D">
                  <w:pPr>
                    <w:rPr>
                      <w:rFonts w:cstheme="minorHAnsi"/>
                      <w:noProof/>
                      <w:sz w:val="17"/>
                      <w:szCs w:val="17"/>
                    </w:rPr>
                  </w:pPr>
                </w:p>
              </w:tc>
              <w:tc>
                <w:tcPr>
                  <w:tcW w:w="283" w:type="dxa"/>
                  <w:tcBorders>
                    <w:top w:val="single" w:sz="4" w:space="0" w:color="auto"/>
                    <w:bottom w:val="single" w:sz="4" w:space="0" w:color="auto"/>
                  </w:tcBorders>
                </w:tcPr>
                <w:p w:rsidR="003E022D" w:rsidRDefault="003E022D">
                  <w:pPr>
                    <w:rPr>
                      <w:rFonts w:cstheme="minorHAnsi"/>
                      <w:noProof/>
                      <w:sz w:val="17"/>
                      <w:szCs w:val="17"/>
                    </w:rPr>
                  </w:pPr>
                </w:p>
              </w:tc>
              <w:tc>
                <w:tcPr>
                  <w:tcW w:w="5387" w:type="dxa"/>
                  <w:gridSpan w:val="3"/>
                  <w:tcBorders>
                    <w:top w:val="single" w:sz="4" w:space="0" w:color="auto"/>
                    <w:bottom w:val="single" w:sz="4" w:space="0" w:color="auto"/>
                  </w:tcBorders>
                </w:tcPr>
                <w:p w:rsidR="003E022D" w:rsidRDefault="003E022D">
                  <w:pPr>
                    <w:rPr>
                      <w:rFonts w:cstheme="minorHAnsi"/>
                      <w:noProof/>
                      <w:sz w:val="17"/>
                      <w:szCs w:val="17"/>
                    </w:rPr>
                  </w:pPr>
                </w:p>
              </w:tc>
            </w:tr>
            <w:tr w:rsidR="003E022D">
              <w:tc>
                <w:tcPr>
                  <w:tcW w:w="1918" w:type="dxa"/>
                </w:tcPr>
                <w:p w:rsidR="003E022D" w:rsidRDefault="003E022D">
                  <w:pPr>
                    <w:rPr>
                      <w:rFonts w:cstheme="minorHAnsi"/>
                      <w:noProof/>
                      <w:sz w:val="17"/>
                      <w:szCs w:val="17"/>
                    </w:rPr>
                  </w:pPr>
                </w:p>
              </w:tc>
              <w:tc>
                <w:tcPr>
                  <w:tcW w:w="283" w:type="dxa"/>
                  <w:tcBorders>
                    <w:top w:val="single" w:sz="4" w:space="0" w:color="auto"/>
                    <w:bottom w:val="single" w:sz="4" w:space="0" w:color="auto"/>
                  </w:tcBorders>
                </w:tcPr>
                <w:p w:rsidR="003E022D" w:rsidRDefault="003E022D">
                  <w:pPr>
                    <w:rPr>
                      <w:rFonts w:cstheme="minorHAnsi"/>
                      <w:noProof/>
                      <w:sz w:val="17"/>
                      <w:szCs w:val="17"/>
                    </w:rPr>
                  </w:pPr>
                </w:p>
              </w:tc>
              <w:tc>
                <w:tcPr>
                  <w:tcW w:w="5387" w:type="dxa"/>
                  <w:gridSpan w:val="3"/>
                  <w:tcBorders>
                    <w:top w:val="single" w:sz="4" w:space="0" w:color="auto"/>
                    <w:bottom w:val="single" w:sz="4" w:space="0" w:color="auto"/>
                  </w:tcBorders>
                </w:tcPr>
                <w:p w:rsidR="003E022D" w:rsidRDefault="003E022D">
                  <w:pPr>
                    <w:rPr>
                      <w:rFonts w:cstheme="minorHAnsi"/>
                      <w:noProof/>
                      <w:sz w:val="17"/>
                      <w:szCs w:val="17"/>
                    </w:rPr>
                  </w:pPr>
                </w:p>
              </w:tc>
            </w:tr>
            <w:tr w:rsidR="003E022D">
              <w:tc>
                <w:tcPr>
                  <w:tcW w:w="7588" w:type="dxa"/>
                  <w:gridSpan w:val="5"/>
                  <w:tcBorders>
                    <w:bottom w:val="single" w:sz="4" w:space="0" w:color="auto"/>
                  </w:tcBorders>
                </w:tcPr>
                <w:p w:rsidR="003E022D" w:rsidRDefault="007D19D6">
                  <w:pPr>
                    <w:rPr>
                      <w:rFonts w:cstheme="minorHAnsi"/>
                      <w:noProof/>
                      <w:sz w:val="17"/>
                      <w:szCs w:val="17"/>
                    </w:rPr>
                  </w:pPr>
                  <w:r>
                    <w:rPr>
                      <w:noProof/>
                      <w:sz w:val="17"/>
                      <w:szCs w:val="17"/>
                    </w:rPr>
                    <w:t xml:space="preserve">veikt starptautiskus kravu komercpārvadājumus ar autotransportu jebkurā maršrutā, </w:t>
                  </w:r>
                  <w:r>
                    <w:rPr>
                      <w:noProof/>
                      <w:sz w:val="17"/>
                      <w:szCs w:val="17"/>
                    </w:rPr>
                    <w:t>komercpārvadājumu braucienos vai braucienu daļās dalībvalsts teritorijā, kā noteikts Regulā (EK) Nr. 1072/2009</w:t>
                  </w:r>
                  <w:r>
                    <w:rPr>
                      <w:noProof/>
                      <w:sz w:val="17"/>
                      <w:szCs w:val="17"/>
                      <w:vertAlign w:val="superscript"/>
                    </w:rPr>
                    <w:t>(3)</w:t>
                  </w:r>
                  <w:r>
                    <w:rPr>
                      <w:noProof/>
                      <w:sz w:val="17"/>
                      <w:szCs w:val="17"/>
                    </w:rPr>
                    <w:t>.</w:t>
                  </w:r>
                </w:p>
              </w:tc>
            </w:tr>
            <w:tr w:rsidR="003E022D">
              <w:tc>
                <w:tcPr>
                  <w:tcW w:w="7588" w:type="dxa"/>
                  <w:gridSpan w:val="5"/>
                  <w:tcBorders>
                    <w:top w:val="single" w:sz="4" w:space="0" w:color="auto"/>
                    <w:left w:val="single" w:sz="4" w:space="0" w:color="auto"/>
                    <w:bottom w:val="single" w:sz="4" w:space="0" w:color="auto"/>
                    <w:right w:val="single" w:sz="4" w:space="0" w:color="auto"/>
                  </w:tcBorders>
                </w:tcPr>
                <w:p w:rsidR="003E022D" w:rsidRDefault="007D19D6">
                  <w:pPr>
                    <w:rPr>
                      <w:rFonts w:cstheme="minorHAnsi"/>
                      <w:noProof/>
                      <w:sz w:val="17"/>
                      <w:szCs w:val="17"/>
                    </w:rPr>
                  </w:pPr>
                  <w:r>
                    <w:rPr>
                      <w:noProof/>
                      <w:sz w:val="17"/>
                      <w:szCs w:val="17"/>
                    </w:rPr>
                    <w:t>Īpašas piezīmes: ……………………………………………………………………………………</w:t>
                  </w:r>
                </w:p>
              </w:tc>
            </w:tr>
            <w:tr w:rsidR="003E022D">
              <w:tc>
                <w:tcPr>
                  <w:tcW w:w="7588" w:type="dxa"/>
                  <w:gridSpan w:val="5"/>
                  <w:tcBorders>
                    <w:top w:val="single" w:sz="4" w:space="0" w:color="auto"/>
                    <w:left w:val="single" w:sz="4" w:space="0" w:color="auto"/>
                    <w:bottom w:val="single" w:sz="4" w:space="0" w:color="auto"/>
                    <w:right w:val="single" w:sz="4" w:space="0" w:color="auto"/>
                  </w:tcBorders>
                </w:tcPr>
                <w:p w:rsidR="003E022D" w:rsidRDefault="007D19D6">
                  <w:pPr>
                    <w:rPr>
                      <w:rFonts w:cstheme="minorHAnsi"/>
                      <w:noProof/>
                      <w:sz w:val="17"/>
                      <w:szCs w:val="17"/>
                    </w:rPr>
                  </w:pPr>
                  <w:r>
                    <w:rPr>
                      <w:noProof/>
                      <w:sz w:val="17"/>
                      <w:szCs w:val="17"/>
                    </w:rPr>
                    <w:t>………………………………………………………………………………………………………….</w:t>
                  </w:r>
                </w:p>
              </w:tc>
            </w:tr>
            <w:tr w:rsidR="003E022D">
              <w:tc>
                <w:tcPr>
                  <w:tcW w:w="4022" w:type="dxa"/>
                  <w:gridSpan w:val="4"/>
                  <w:tcBorders>
                    <w:top w:val="single" w:sz="4" w:space="0" w:color="auto"/>
                    <w:left w:val="single" w:sz="4" w:space="0" w:color="auto"/>
                    <w:bottom w:val="single" w:sz="4" w:space="0" w:color="auto"/>
                    <w:right w:val="single" w:sz="4" w:space="0" w:color="auto"/>
                  </w:tcBorders>
                </w:tcPr>
                <w:p w:rsidR="003E022D" w:rsidRDefault="007D19D6">
                  <w:pPr>
                    <w:rPr>
                      <w:rFonts w:cstheme="minorHAnsi"/>
                      <w:noProof/>
                      <w:sz w:val="17"/>
                      <w:szCs w:val="17"/>
                    </w:rPr>
                  </w:pPr>
                  <w:r>
                    <w:rPr>
                      <w:noProof/>
                      <w:sz w:val="17"/>
                      <w:szCs w:val="17"/>
                    </w:rPr>
                    <w:t>Šī licence ir derīga no ……………….</w:t>
                  </w:r>
                </w:p>
              </w:tc>
              <w:tc>
                <w:tcPr>
                  <w:tcW w:w="3566" w:type="dxa"/>
                  <w:tcBorders>
                    <w:top w:val="single" w:sz="4" w:space="0" w:color="auto"/>
                    <w:left w:val="single" w:sz="4" w:space="0" w:color="auto"/>
                    <w:bottom w:val="single" w:sz="4" w:space="0" w:color="auto"/>
                    <w:right w:val="single" w:sz="4" w:space="0" w:color="auto"/>
                  </w:tcBorders>
                </w:tcPr>
                <w:p w:rsidR="003E022D" w:rsidRDefault="007D19D6">
                  <w:pPr>
                    <w:rPr>
                      <w:rFonts w:cstheme="minorHAnsi"/>
                      <w:noProof/>
                      <w:sz w:val="17"/>
                      <w:szCs w:val="17"/>
                    </w:rPr>
                  </w:pPr>
                  <w:r>
                    <w:rPr>
                      <w:noProof/>
                      <w:sz w:val="17"/>
                      <w:szCs w:val="17"/>
                    </w:rPr>
                    <w:t>līdz ………………………</w:t>
                  </w:r>
                  <w:r>
                    <w:rPr>
                      <w:noProof/>
                      <w:sz w:val="17"/>
                      <w:szCs w:val="17"/>
                    </w:rPr>
                    <w:t>………………………</w:t>
                  </w:r>
                </w:p>
              </w:tc>
            </w:tr>
            <w:tr w:rsidR="003E022D">
              <w:tc>
                <w:tcPr>
                  <w:tcW w:w="4022" w:type="dxa"/>
                  <w:gridSpan w:val="4"/>
                  <w:tcBorders>
                    <w:top w:val="single" w:sz="4" w:space="0" w:color="auto"/>
                    <w:left w:val="single" w:sz="4" w:space="0" w:color="auto"/>
                    <w:bottom w:val="single" w:sz="4" w:space="0" w:color="auto"/>
                    <w:right w:val="single" w:sz="4" w:space="0" w:color="auto"/>
                  </w:tcBorders>
                </w:tcPr>
                <w:p w:rsidR="003E022D" w:rsidRDefault="007D19D6">
                  <w:pPr>
                    <w:rPr>
                      <w:rFonts w:cstheme="minorHAnsi"/>
                      <w:noProof/>
                      <w:sz w:val="17"/>
                      <w:szCs w:val="17"/>
                    </w:rPr>
                  </w:pPr>
                  <w:r>
                    <w:rPr>
                      <w:noProof/>
                      <w:sz w:val="17"/>
                      <w:szCs w:val="17"/>
                    </w:rPr>
                    <w:t>Izdota (vieta) ………………………………………..</w:t>
                  </w:r>
                </w:p>
              </w:tc>
              <w:tc>
                <w:tcPr>
                  <w:tcW w:w="3566" w:type="dxa"/>
                  <w:tcBorders>
                    <w:top w:val="single" w:sz="4" w:space="0" w:color="auto"/>
                    <w:left w:val="single" w:sz="4" w:space="0" w:color="auto"/>
                    <w:bottom w:val="single" w:sz="4" w:space="0" w:color="auto"/>
                    <w:right w:val="single" w:sz="4" w:space="0" w:color="auto"/>
                  </w:tcBorders>
                </w:tcPr>
                <w:p w:rsidR="003E022D" w:rsidRDefault="007D19D6">
                  <w:pPr>
                    <w:rPr>
                      <w:rFonts w:cstheme="minorHAnsi"/>
                      <w:noProof/>
                      <w:sz w:val="17"/>
                      <w:szCs w:val="17"/>
                    </w:rPr>
                  </w:pPr>
                  <w:r>
                    <w:rPr>
                      <w:noProof/>
                      <w:sz w:val="17"/>
                      <w:szCs w:val="17"/>
                    </w:rPr>
                    <w:t>(datums) ………………………………………………</w:t>
                  </w:r>
                </w:p>
              </w:tc>
            </w:tr>
            <w:tr w:rsidR="003E022D">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3E022D" w:rsidRDefault="007D19D6">
                  <w:pPr>
                    <w:rPr>
                      <w:rFonts w:cstheme="minorHAnsi"/>
                      <w:noProof/>
                      <w:sz w:val="17"/>
                      <w:szCs w:val="17"/>
                    </w:rPr>
                  </w:pPr>
                  <w:r>
                    <w:rPr>
                      <w:noProof/>
                      <w:sz w:val="17"/>
                      <w:szCs w:val="17"/>
                      <w:lang w:val="fr-BE" w:eastAsia="fr-BE"/>
                    </w:rPr>
                    <w:drawing>
                      <wp:inline distT="0" distB="0" distL="0" distR="0">
                        <wp:extent cx="13239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pic:spPr>
                            </pic:pic>
                          </a:graphicData>
                        </a:graphic>
                      </wp:inline>
                    </w:drawing>
                  </w:r>
                </w:p>
              </w:t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rsidR="003E022D" w:rsidRDefault="003E022D">
                  <w:pPr>
                    <w:pStyle w:val="linespace"/>
                    <w:rPr>
                      <w:rFonts w:asciiTheme="minorHAnsi" w:hAnsiTheme="minorHAnsi" w:cstheme="minorHAnsi"/>
                    </w:rPr>
                  </w:pPr>
                </w:p>
                <w:p w:rsidR="003E022D" w:rsidRDefault="003E022D">
                  <w:pPr>
                    <w:pStyle w:val="linespace"/>
                    <w:rPr>
                      <w:rFonts w:asciiTheme="minorHAnsi" w:hAnsiTheme="minorHAnsi" w:cstheme="minorHAnsi"/>
                    </w:rPr>
                  </w:pPr>
                </w:p>
                <w:p w:rsidR="003E022D" w:rsidRDefault="003E022D">
                  <w:pPr>
                    <w:pStyle w:val="linespace"/>
                    <w:rPr>
                      <w:rFonts w:asciiTheme="minorHAnsi" w:hAnsiTheme="minorHAnsi" w:cstheme="minorHAnsi"/>
                    </w:rPr>
                  </w:pPr>
                </w:p>
                <w:p w:rsidR="003E022D" w:rsidRDefault="003E022D">
                  <w:pPr>
                    <w:pStyle w:val="linespace"/>
                    <w:rPr>
                      <w:rFonts w:asciiTheme="minorHAnsi" w:hAnsiTheme="minorHAnsi" w:cstheme="minorHAnsi"/>
                    </w:rPr>
                  </w:pPr>
                </w:p>
                <w:p w:rsidR="003E022D" w:rsidRDefault="003E022D">
                  <w:pPr>
                    <w:pStyle w:val="linespace"/>
                    <w:rPr>
                      <w:rFonts w:asciiTheme="minorHAnsi" w:hAnsiTheme="minorHAnsi" w:cstheme="minorHAnsi"/>
                    </w:rPr>
                  </w:pPr>
                </w:p>
                <w:p w:rsidR="003E022D" w:rsidRDefault="003E022D">
                  <w:pPr>
                    <w:pStyle w:val="linespace"/>
                    <w:rPr>
                      <w:rFonts w:asciiTheme="minorHAnsi" w:hAnsiTheme="minorHAnsi" w:cstheme="minorHAnsi"/>
                    </w:rPr>
                  </w:pPr>
                </w:p>
                <w:p w:rsidR="003E022D" w:rsidRDefault="003E022D">
                  <w:pPr>
                    <w:rPr>
                      <w:rFonts w:cstheme="minorHAnsi"/>
                      <w:strike/>
                      <w:noProof/>
                      <w:sz w:val="17"/>
                      <w:szCs w:val="17"/>
                    </w:rPr>
                  </w:pPr>
                </w:p>
              </w:tc>
            </w:tr>
          </w:tbl>
          <w:p w:rsidR="003E022D" w:rsidRDefault="003E022D">
            <w:pPr>
              <w:pStyle w:val="linespace"/>
              <w:rPr>
                <w:rFonts w:asciiTheme="minorHAnsi" w:hAnsiTheme="minorHAnsi" w:cstheme="minorHAnsi"/>
                <w:vertAlign w:val="superscript"/>
              </w:rPr>
            </w:pPr>
          </w:p>
          <w:p w:rsidR="003E022D" w:rsidRDefault="007D19D6">
            <w:pPr>
              <w:rPr>
                <w:rFonts w:cstheme="minorHAnsi"/>
                <w:noProof/>
                <w:sz w:val="17"/>
                <w:szCs w:val="17"/>
                <w:vertAlign w:val="superscript"/>
              </w:rPr>
            </w:pPr>
            <w:r>
              <w:rPr>
                <w:noProof/>
                <w:sz w:val="17"/>
                <w:szCs w:val="17"/>
                <w:vertAlign w:val="superscript"/>
              </w:rPr>
              <w:t>___________________________</w:t>
            </w:r>
          </w:p>
          <w:p w:rsidR="003E022D" w:rsidRDefault="007D19D6">
            <w:pPr>
              <w:rPr>
                <w:rFonts w:cstheme="minorHAnsi"/>
                <w:noProof/>
                <w:sz w:val="17"/>
                <w:szCs w:val="17"/>
              </w:rPr>
            </w:pPr>
            <w:r>
              <w:rPr>
                <w:noProof/>
                <w:sz w:val="17"/>
                <w:szCs w:val="17"/>
                <w:vertAlign w:val="superscript"/>
              </w:rPr>
              <w:t>(1)</w:t>
            </w:r>
            <w:r>
              <w:rPr>
                <w:noProof/>
                <w:sz w:val="17"/>
                <w:szCs w:val="17"/>
              </w:rPr>
              <w:t xml:space="preserve"> Kompetentā iestāde attiecīgajā reģionā, attiecībā uz kuru sertifikāts ir izdots.</w:t>
            </w:r>
          </w:p>
          <w:p w:rsidR="003E022D" w:rsidRDefault="007D19D6">
            <w:pPr>
              <w:rPr>
                <w:rFonts w:cstheme="minorHAnsi"/>
                <w:noProof/>
              </w:rPr>
            </w:pPr>
            <w:r>
              <w:rPr>
                <w:noProof/>
                <w:sz w:val="17"/>
                <w:szCs w:val="17"/>
                <w:vertAlign w:val="superscript"/>
              </w:rPr>
              <w:t>(2)</w:t>
            </w:r>
            <w:r>
              <w:rPr>
                <w:noProof/>
                <w:sz w:val="17"/>
                <w:szCs w:val="17"/>
              </w:rPr>
              <w:t xml:space="preserve"> Pārvadātāja pilns vārds vai uzņēmuma nosaukums un pilna adrese.</w:t>
            </w:r>
          </w:p>
        </w:tc>
        <w:tc>
          <w:tcPr>
            <w:tcW w:w="142" w:type="pct"/>
            <w:tcBorders>
              <w:left w:val="nil"/>
            </w:tcBorders>
            <w:tcMar>
              <w:left w:w="0" w:type="dxa"/>
              <w:right w:w="0" w:type="dxa"/>
            </w:tcMar>
          </w:tcPr>
          <w:p w:rsidR="003E022D" w:rsidRDefault="003E022D">
            <w:pPr>
              <w:pStyle w:val="FormText"/>
              <w:spacing w:after="240"/>
              <w:jc w:val="both"/>
              <w:rPr>
                <w:rFonts w:asciiTheme="minorHAnsi" w:hAnsiTheme="minorHAnsi" w:cstheme="minorHAnsi"/>
                <w:noProof/>
              </w:rPr>
            </w:pPr>
          </w:p>
        </w:tc>
      </w:tr>
      <w:tr w:rsidR="003E022D">
        <w:tc>
          <w:tcPr>
            <w:tcW w:w="312" w:type="pct"/>
            <w:tcMar>
              <w:left w:w="0" w:type="dxa"/>
              <w:right w:w="0" w:type="dxa"/>
            </w:tcMar>
          </w:tcPr>
          <w:p w:rsidR="003E022D" w:rsidRDefault="003E022D">
            <w:pPr>
              <w:pStyle w:val="FormText"/>
              <w:spacing w:after="240"/>
              <w:jc w:val="both"/>
              <w:rPr>
                <w:rFonts w:asciiTheme="minorHAnsi" w:hAnsiTheme="minorHAnsi" w:cstheme="minorHAnsi"/>
                <w:noProof/>
              </w:rPr>
            </w:pPr>
          </w:p>
        </w:tc>
        <w:tc>
          <w:tcPr>
            <w:tcW w:w="4546" w:type="pct"/>
          </w:tcPr>
          <w:p w:rsidR="003E022D" w:rsidRDefault="007D19D6">
            <w:pPr>
              <w:pStyle w:val="FormText"/>
              <w:spacing w:after="240"/>
              <w:jc w:val="both"/>
              <w:rPr>
                <w:rFonts w:asciiTheme="minorHAnsi" w:hAnsiTheme="minorHAnsi" w:cstheme="minorHAnsi"/>
                <w:noProof/>
                <w:color w:val="FF0000"/>
              </w:rPr>
            </w:pPr>
            <w:r>
              <w:rPr>
                <w:rFonts w:asciiTheme="minorHAnsi" w:hAnsiTheme="minorHAnsi"/>
                <w:noProof/>
                <w:sz w:val="17"/>
                <w:szCs w:val="17"/>
                <w:vertAlign w:val="superscript"/>
              </w:rPr>
              <w:t>(3)</w:t>
            </w:r>
            <w:r>
              <w:rPr>
                <w:rFonts w:asciiTheme="minorHAnsi" w:hAnsiTheme="minorHAnsi"/>
                <w:noProof/>
                <w:sz w:val="20"/>
              </w:rPr>
              <w:t xml:space="preserve"> </w:t>
            </w:r>
            <w:r>
              <w:rPr>
                <w:rFonts w:asciiTheme="minorHAnsi" w:hAnsiTheme="minorHAnsi"/>
                <w:noProof/>
                <w:sz w:val="17"/>
                <w:szCs w:val="17"/>
              </w:rPr>
              <w:t xml:space="preserve">Regula (EK) Nr. 1072/2009, kas AK tiesību aktos saglabāta ar 2018. gada Akta par Eiropas Savienību (izstāšanās) 3. iedaļu un grozīta ar noteikumiem, kas paredzēti saskaņā ar minētā </w:t>
            </w:r>
            <w:r>
              <w:rPr>
                <w:rFonts w:asciiTheme="minorHAnsi" w:hAnsiTheme="minorHAnsi"/>
                <w:noProof/>
                <w:sz w:val="17"/>
                <w:szCs w:val="17"/>
              </w:rPr>
              <w:t>akta 8. iedaļu.</w:t>
            </w:r>
          </w:p>
        </w:tc>
        <w:tc>
          <w:tcPr>
            <w:tcW w:w="237" w:type="dxa"/>
            <w:tcBorders>
              <w:left w:val="nil"/>
            </w:tcBorders>
            <w:tcMar>
              <w:left w:w="0" w:type="dxa"/>
              <w:right w:w="0" w:type="dxa"/>
            </w:tcMar>
            <w:vAlign w:val="bottom"/>
          </w:tcPr>
          <w:p w:rsidR="003E022D" w:rsidRDefault="003E022D">
            <w:pPr>
              <w:pStyle w:val="FormText"/>
              <w:spacing w:after="240"/>
              <w:jc w:val="both"/>
              <w:rPr>
                <w:rFonts w:asciiTheme="minorHAnsi" w:hAnsiTheme="minorHAnsi" w:cstheme="minorHAnsi"/>
                <w:noProof/>
              </w:rPr>
            </w:pPr>
          </w:p>
        </w:tc>
      </w:tr>
    </w:tbl>
    <w:p w:rsidR="003E022D" w:rsidRDefault="007D19D6">
      <w:pPr>
        <w:pStyle w:val="linespace"/>
        <w:rPr>
          <w:rFonts w:asciiTheme="minorHAnsi" w:hAnsiTheme="minorHAnsi" w:cstheme="minorHAnsi"/>
        </w:rPr>
      </w:pPr>
      <w:r>
        <w:br w:type="page"/>
      </w:r>
    </w:p>
    <w:tbl>
      <w:tblPr>
        <w:tblW w:w="5002" w:type="pct"/>
        <w:tblInd w:w="2" w:type="dxa"/>
        <w:tblLayout w:type="fixed"/>
        <w:tblLook w:val="0000" w:firstRow="0" w:lastRow="0" w:firstColumn="0" w:lastColumn="0" w:noHBand="0" w:noVBand="0"/>
      </w:tblPr>
      <w:tblGrid>
        <w:gridCol w:w="564"/>
        <w:gridCol w:w="8210"/>
        <w:gridCol w:w="256"/>
      </w:tblGrid>
      <w:tr w:rsidR="003E022D">
        <w:trPr>
          <w:trHeight w:val="576"/>
        </w:trPr>
        <w:tc>
          <w:tcPr>
            <w:tcW w:w="312" w:type="pct"/>
            <w:tcMar>
              <w:left w:w="0" w:type="dxa"/>
              <w:right w:w="0" w:type="dxa"/>
            </w:tcMar>
          </w:tcPr>
          <w:p w:rsidR="003E022D" w:rsidRDefault="007D19D6">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rsidR="003E022D" w:rsidRDefault="003E022D">
            <w:pPr>
              <w:pStyle w:val="FormHeading"/>
              <w:jc w:val="right"/>
              <w:rPr>
                <w:rFonts w:asciiTheme="minorHAnsi" w:hAnsiTheme="minorHAnsi" w:cstheme="minorHAnsi"/>
                <w:noProof/>
                <w:sz w:val="17"/>
                <w:szCs w:val="17"/>
              </w:rPr>
            </w:pPr>
          </w:p>
          <w:p w:rsidR="003E022D" w:rsidRDefault="007D19D6">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b)</w:t>
            </w:r>
          </w:p>
          <w:p w:rsidR="003E022D" w:rsidRDefault="007D19D6">
            <w:pPr>
              <w:pStyle w:val="FormText"/>
              <w:spacing w:after="240"/>
              <w:jc w:val="center"/>
              <w:rPr>
                <w:rFonts w:asciiTheme="minorHAnsi" w:hAnsiTheme="minorHAnsi" w:cstheme="minorHAnsi"/>
                <w:noProof/>
                <w:sz w:val="17"/>
                <w:szCs w:val="17"/>
              </w:rPr>
            </w:pPr>
            <w:r>
              <w:rPr>
                <w:rFonts w:asciiTheme="minorHAnsi" w:hAnsiTheme="minorHAnsi"/>
                <w:noProof/>
                <w:sz w:val="17"/>
                <w:szCs w:val="17"/>
              </w:rPr>
              <w:t>(Licences otrā lappuse)</w:t>
            </w:r>
          </w:p>
          <w:p w:rsidR="003E022D" w:rsidRDefault="007D19D6">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(Teksts angļu vai velsiešu valodā)</w:t>
            </w:r>
          </w:p>
        </w:tc>
        <w:tc>
          <w:tcPr>
            <w:tcW w:w="142" w:type="pct"/>
            <w:tcBorders>
              <w:left w:val="nil"/>
            </w:tcBorders>
            <w:tcMar>
              <w:left w:w="0" w:type="dxa"/>
              <w:right w:w="0" w:type="dxa"/>
            </w:tcMar>
          </w:tcPr>
          <w:p w:rsidR="003E022D" w:rsidRDefault="003E022D">
            <w:pPr>
              <w:pStyle w:val="FormText"/>
              <w:spacing w:after="240"/>
              <w:jc w:val="both"/>
              <w:rPr>
                <w:rFonts w:asciiTheme="minorHAnsi" w:hAnsiTheme="minorHAnsi" w:cstheme="minorHAnsi"/>
                <w:noProof/>
              </w:rPr>
            </w:pPr>
          </w:p>
        </w:tc>
      </w:tr>
      <w:tr w:rsidR="003E022D">
        <w:trPr>
          <w:trHeight w:val="362"/>
        </w:trPr>
        <w:tc>
          <w:tcPr>
            <w:tcW w:w="312" w:type="pct"/>
            <w:tcMar>
              <w:left w:w="0" w:type="dxa"/>
              <w:right w:w="0" w:type="dxa"/>
            </w:tcMar>
          </w:tcPr>
          <w:p w:rsidR="003E022D" w:rsidRDefault="003E022D">
            <w:pPr>
              <w:pStyle w:val="FormText"/>
              <w:spacing w:after="240"/>
              <w:jc w:val="both"/>
              <w:rPr>
                <w:rFonts w:asciiTheme="minorHAnsi" w:hAnsiTheme="minorHAnsi" w:cstheme="minorHAnsi"/>
                <w:noProof/>
              </w:rPr>
            </w:pPr>
          </w:p>
        </w:tc>
        <w:tc>
          <w:tcPr>
            <w:tcW w:w="4546" w:type="pct"/>
          </w:tcPr>
          <w:p w:rsidR="003E022D" w:rsidRDefault="003E022D">
            <w:pPr>
              <w:pStyle w:val="FormSubHeading"/>
              <w:spacing w:before="120" w:after="120"/>
              <w:jc w:val="left"/>
              <w:rPr>
                <w:rFonts w:asciiTheme="minorHAnsi" w:hAnsiTheme="minorHAnsi" w:cstheme="minorHAnsi"/>
                <w:b/>
                <w:noProof/>
                <w:sz w:val="20"/>
              </w:rPr>
            </w:pPr>
          </w:p>
          <w:tbl>
            <w:tblPr>
              <w:tblW w:w="7407" w:type="dxa"/>
              <w:tblLayout w:type="fixed"/>
              <w:tblLook w:val="0000" w:firstRow="0" w:lastRow="0" w:firstColumn="0" w:lastColumn="0" w:noHBand="0" w:noVBand="0"/>
            </w:tblPr>
            <w:tblGrid>
              <w:gridCol w:w="7407"/>
            </w:tblGrid>
            <w:tr w:rsidR="003E022D">
              <w:tc>
                <w:tcPr>
                  <w:tcW w:w="7407" w:type="dxa"/>
                  <w:shd w:val="clear" w:color="auto" w:fill="auto"/>
                </w:tcPr>
                <w:p w:rsidR="003E022D" w:rsidRDefault="007D19D6">
                  <w:pPr>
                    <w:pStyle w:val="FormSubHeading"/>
                    <w:spacing w:before="120" w:after="120"/>
                    <w:rPr>
                      <w:rFonts w:asciiTheme="minorHAnsi" w:hAnsiTheme="minorHAnsi" w:cstheme="minorHAnsi"/>
                      <w:b/>
                      <w:noProof/>
                      <w:sz w:val="20"/>
                    </w:rPr>
                  </w:pPr>
                  <w:r>
                    <w:rPr>
                      <w:rFonts w:asciiTheme="minorHAnsi" w:hAnsiTheme="minorHAnsi"/>
                      <w:b/>
                      <w:noProof/>
                      <w:sz w:val="20"/>
                    </w:rPr>
                    <w:t>VISPĀRĪGI NOTEIKUMI</w:t>
                  </w:r>
                </w:p>
              </w:tc>
            </w:tr>
            <w:tr w:rsidR="003E022D">
              <w:tc>
                <w:tcPr>
                  <w:tcW w:w="7407" w:type="dxa"/>
                  <w:shd w:val="clear" w:color="auto" w:fill="auto"/>
                </w:tcPr>
                <w:p w:rsidR="003E022D" w:rsidRDefault="007D19D6">
                  <w:pPr>
                    <w:spacing w:before="60" w:after="60"/>
                    <w:rPr>
                      <w:rFonts w:asciiTheme="minorHAnsi" w:hAnsiTheme="minorHAnsi" w:cstheme="minorHAnsi"/>
                      <w:noProof/>
                      <w:sz w:val="17"/>
                      <w:szCs w:val="17"/>
                    </w:rPr>
                  </w:pPr>
                  <w:r>
                    <w:rPr>
                      <w:rFonts w:asciiTheme="minorHAnsi" w:hAnsiTheme="minorHAnsi"/>
                      <w:noProof/>
                      <w:sz w:val="17"/>
                      <w:szCs w:val="17"/>
                    </w:rPr>
                    <w:t>Šī licence izdota saskaņā ar Regulu (EK) Nr. 1072/2009</w:t>
                  </w:r>
                  <w:r>
                    <w:rPr>
                      <w:rFonts w:asciiTheme="minorHAnsi" w:hAnsiTheme="minorHAnsi"/>
                      <w:noProof/>
                      <w:sz w:val="17"/>
                      <w:szCs w:val="17"/>
                      <w:vertAlign w:val="superscript"/>
                    </w:rPr>
                    <w:t>(1)</w:t>
                  </w:r>
                  <w:r>
                    <w:rPr>
                      <w:rFonts w:asciiTheme="minorHAnsi" w:hAnsiTheme="minorHAnsi"/>
                      <w:noProof/>
                      <w:sz w:val="17"/>
                      <w:szCs w:val="17"/>
                    </w:rPr>
                    <w:t>.</w:t>
                  </w:r>
                </w:p>
                <w:p w:rsidR="003E022D" w:rsidRDefault="003E022D">
                  <w:pPr>
                    <w:pStyle w:val="linespace"/>
                    <w:rPr>
                      <w:rFonts w:asciiTheme="minorHAnsi" w:hAnsiTheme="minorHAnsi" w:cstheme="minorHAnsi"/>
                    </w:rPr>
                  </w:pPr>
                </w:p>
                <w:p w:rsidR="003E022D" w:rsidRDefault="007D19D6">
                  <w:pPr>
                    <w:spacing w:before="60" w:after="60"/>
                    <w:rPr>
                      <w:rFonts w:asciiTheme="minorHAnsi" w:hAnsiTheme="minorHAnsi" w:cstheme="minorHAnsi"/>
                      <w:noProof/>
                      <w:color w:val="000000"/>
                      <w:sz w:val="17"/>
                      <w:szCs w:val="17"/>
                    </w:rPr>
                  </w:pPr>
                  <w:r>
                    <w:rPr>
                      <w:rFonts w:asciiTheme="minorHAnsi" w:hAnsiTheme="minorHAnsi"/>
                      <w:noProof/>
                      <w:color w:val="000000"/>
                      <w:sz w:val="17"/>
                      <w:szCs w:val="17"/>
                    </w:rPr>
                    <w:t xml:space="preserve">Tā turētājam dod tiesības veikt starptautiskus kravu komercpārvadājumus ar </w:t>
                  </w:r>
                  <w:r>
                    <w:rPr>
                      <w:rFonts w:asciiTheme="minorHAnsi" w:hAnsiTheme="minorHAnsi"/>
                      <w:noProof/>
                      <w:color w:val="000000"/>
                      <w:sz w:val="17"/>
                      <w:szCs w:val="17"/>
                    </w:rPr>
                    <w:t>autotransportu jebkurā maršrutā, braucienos vai braucienu daļās dalībvalsts teritorijā, kas atļauti ar jebkuru starptautisku nolīgumu starp Apvienoto Karalisti un Eiropas Savienību vai dalībvalsti.</w:t>
                  </w:r>
                </w:p>
                <w:p w:rsidR="003E022D" w:rsidRDefault="003E022D">
                  <w:pPr>
                    <w:pStyle w:val="linespace"/>
                    <w:rPr>
                      <w:rFonts w:asciiTheme="minorHAnsi" w:hAnsiTheme="minorHAnsi" w:cstheme="minorHAnsi"/>
                    </w:rPr>
                  </w:pPr>
                </w:p>
                <w:p w:rsidR="003E022D" w:rsidRDefault="007D19D6">
                  <w:pPr>
                    <w:spacing w:before="60" w:after="60"/>
                    <w:rPr>
                      <w:rFonts w:asciiTheme="minorHAnsi" w:hAnsiTheme="minorHAnsi" w:cstheme="minorHAnsi"/>
                      <w:noProof/>
                      <w:sz w:val="17"/>
                      <w:szCs w:val="17"/>
                    </w:rPr>
                  </w:pPr>
                  <w:r>
                    <w:rPr>
                      <w:rFonts w:asciiTheme="minorHAnsi" w:hAnsiTheme="minorHAnsi"/>
                      <w:noProof/>
                      <w:sz w:val="17"/>
                      <w:szCs w:val="17"/>
                    </w:rPr>
                    <w:t>Ja pārvadājums tiek veikts no Apvienotās Karalistes uz tr</w:t>
                  </w:r>
                  <w:r>
                    <w:rPr>
                      <w:rFonts w:asciiTheme="minorHAnsi" w:hAnsiTheme="minorHAnsi"/>
                      <w:noProof/>
                      <w:sz w:val="17"/>
                      <w:szCs w:val="17"/>
                    </w:rPr>
                    <w:t>ešo valsti vai otrādi, šī licence ir derīga brauciena daļai, ko veic jebkuras dalībvalsts teritorijā.</w:t>
                  </w:r>
                </w:p>
                <w:p w:rsidR="003E022D" w:rsidRDefault="003E022D">
                  <w:pPr>
                    <w:pStyle w:val="linespace"/>
                    <w:rPr>
                      <w:rFonts w:asciiTheme="minorHAnsi" w:hAnsiTheme="minorHAnsi" w:cstheme="minorHAnsi"/>
                    </w:rPr>
                  </w:pPr>
                </w:p>
                <w:p w:rsidR="003E022D" w:rsidRDefault="007D19D6">
                  <w:pPr>
                    <w:spacing w:before="60" w:after="60"/>
                    <w:rPr>
                      <w:rFonts w:asciiTheme="minorHAnsi" w:hAnsiTheme="minorHAnsi" w:cstheme="minorHAnsi"/>
                      <w:noProof/>
                      <w:color w:val="000000"/>
                      <w:sz w:val="17"/>
                      <w:szCs w:val="17"/>
                    </w:rPr>
                  </w:pPr>
                  <w:r>
                    <w:rPr>
                      <w:rFonts w:asciiTheme="minorHAnsi" w:hAnsiTheme="minorHAnsi"/>
                      <w:noProof/>
                      <w:sz w:val="17"/>
                      <w:szCs w:val="17"/>
                    </w:rPr>
                    <w:t>Licenci var izmantot tikai tās turētājs, un tā nav nododama trešām personām.</w:t>
                  </w:r>
                </w:p>
                <w:p w:rsidR="003E022D" w:rsidRDefault="003E022D">
                  <w:pPr>
                    <w:pStyle w:val="linespace"/>
                    <w:rPr>
                      <w:rFonts w:asciiTheme="minorHAnsi" w:hAnsiTheme="minorHAnsi" w:cstheme="minorHAnsi"/>
                    </w:rPr>
                  </w:pPr>
                </w:p>
                <w:p w:rsidR="003E022D" w:rsidRDefault="007D19D6">
                  <w:pPr>
                    <w:spacing w:before="60" w:after="60"/>
                    <w:rPr>
                      <w:rFonts w:asciiTheme="minorHAnsi" w:hAnsiTheme="minorHAnsi" w:cstheme="minorHAnsi"/>
                      <w:noProof/>
                      <w:color w:val="000000"/>
                      <w:sz w:val="17"/>
                      <w:szCs w:val="17"/>
                    </w:rPr>
                  </w:pPr>
                  <w:r>
                    <w:rPr>
                      <w:rFonts w:asciiTheme="minorHAnsi" w:hAnsiTheme="minorHAnsi"/>
                      <w:noProof/>
                      <w:sz w:val="17"/>
                      <w:szCs w:val="17"/>
                    </w:rPr>
                    <w:t>To var anulēt satiksmes komisārs vai Infrastruktūras ministrija (Ziemeļīrij</w:t>
                  </w:r>
                  <w:r>
                    <w:rPr>
                      <w:rFonts w:asciiTheme="minorHAnsi" w:hAnsiTheme="minorHAnsi"/>
                      <w:noProof/>
                      <w:sz w:val="17"/>
                      <w:szCs w:val="17"/>
                    </w:rPr>
                    <w:t>a), piemēram, ja tās turētājs:</w:t>
                  </w:r>
                </w:p>
                <w:p w:rsidR="003E022D" w:rsidRDefault="007D19D6">
                  <w:pPr>
                    <w:spacing w:before="60" w:after="60"/>
                    <w:rPr>
                      <w:rFonts w:asciiTheme="minorHAnsi" w:hAnsiTheme="minorHAnsi" w:cstheme="minorHAnsi"/>
                      <w:noProof/>
                      <w:color w:val="000000"/>
                      <w:sz w:val="17"/>
                      <w:szCs w:val="17"/>
                    </w:rPr>
                  </w:pPr>
                  <w:r>
                    <w:rPr>
                      <w:rFonts w:asciiTheme="minorHAnsi" w:hAnsiTheme="minorHAnsi"/>
                      <w:noProof/>
                      <w:sz w:val="17"/>
                      <w:szCs w:val="17"/>
                    </w:rPr>
                    <w:t>– nav ievērojis visus licences izmantošanas noteikumus,</w:t>
                  </w:r>
                </w:p>
                <w:p w:rsidR="003E022D" w:rsidRDefault="007D19D6">
                  <w:pPr>
                    <w:spacing w:before="60" w:after="60"/>
                    <w:ind w:left="222" w:hanging="222"/>
                    <w:rPr>
                      <w:rFonts w:asciiTheme="minorHAnsi" w:hAnsiTheme="minorHAnsi" w:cstheme="minorHAnsi"/>
                      <w:noProof/>
                      <w:color w:val="000000"/>
                      <w:sz w:val="17"/>
                      <w:szCs w:val="17"/>
                    </w:rPr>
                  </w:pPr>
                  <w:r>
                    <w:rPr>
                      <w:rFonts w:asciiTheme="minorHAnsi" w:hAnsiTheme="minorHAnsi"/>
                      <w:noProof/>
                      <w:sz w:val="17"/>
                      <w:szCs w:val="17"/>
                    </w:rPr>
                    <w:t>– sniedzis nepatiesu informāciju par datiem, kas nepieciešami licences izdošanai vai pagarināšanai.</w:t>
                  </w:r>
                </w:p>
                <w:p w:rsidR="003E022D" w:rsidRDefault="003E022D">
                  <w:pPr>
                    <w:pStyle w:val="linespace"/>
                    <w:rPr>
                      <w:rFonts w:asciiTheme="minorHAnsi" w:hAnsiTheme="minorHAnsi" w:cstheme="minorHAnsi"/>
                    </w:rPr>
                  </w:pPr>
                </w:p>
                <w:p w:rsidR="003E022D" w:rsidRDefault="007D19D6">
                  <w:pPr>
                    <w:spacing w:before="60" w:after="60"/>
                    <w:rPr>
                      <w:rFonts w:asciiTheme="minorHAnsi" w:hAnsiTheme="minorHAnsi" w:cstheme="minorHAnsi"/>
                      <w:noProof/>
                      <w:color w:val="000000"/>
                      <w:sz w:val="17"/>
                      <w:szCs w:val="17"/>
                    </w:rPr>
                  </w:pPr>
                  <w:r>
                    <w:rPr>
                      <w:rFonts w:asciiTheme="minorHAnsi" w:hAnsiTheme="minorHAnsi"/>
                      <w:noProof/>
                      <w:sz w:val="17"/>
                      <w:szCs w:val="17"/>
                    </w:rPr>
                    <w:t>Licences oriģināls jāglabā pārvadātāja uzņēmumā.</w:t>
                  </w:r>
                </w:p>
                <w:p w:rsidR="003E022D" w:rsidRDefault="003E022D">
                  <w:pPr>
                    <w:pStyle w:val="linespace"/>
                    <w:rPr>
                      <w:rFonts w:asciiTheme="minorHAnsi" w:hAnsiTheme="minorHAnsi" w:cstheme="minorHAnsi"/>
                    </w:rPr>
                  </w:pPr>
                </w:p>
                <w:p w:rsidR="003E022D" w:rsidRDefault="007D19D6">
                  <w:pPr>
                    <w:spacing w:before="60" w:after="60"/>
                    <w:rPr>
                      <w:rFonts w:asciiTheme="minorHAnsi" w:hAnsiTheme="minorHAnsi" w:cstheme="minorHAnsi"/>
                      <w:noProof/>
                      <w:color w:val="000000"/>
                      <w:sz w:val="17"/>
                      <w:szCs w:val="17"/>
                    </w:rPr>
                  </w:pPr>
                  <w:r>
                    <w:rPr>
                      <w:rFonts w:asciiTheme="minorHAnsi" w:hAnsiTheme="minorHAnsi"/>
                      <w:noProof/>
                      <w:sz w:val="17"/>
                      <w:szCs w:val="17"/>
                    </w:rPr>
                    <w:t>Apliecinātai licen</w:t>
                  </w:r>
                  <w:r>
                    <w:rPr>
                      <w:rFonts w:asciiTheme="minorHAnsi" w:hAnsiTheme="minorHAnsi"/>
                      <w:noProof/>
                      <w:sz w:val="17"/>
                      <w:szCs w:val="17"/>
                    </w:rPr>
                    <w:t>ces kopijai jāatrodas transportlīdzeklī</w:t>
                  </w:r>
                  <w:r>
                    <w:rPr>
                      <w:rFonts w:asciiTheme="minorHAnsi" w:hAnsiTheme="minorHAnsi"/>
                      <w:noProof/>
                      <w:sz w:val="17"/>
                      <w:szCs w:val="17"/>
                      <w:vertAlign w:val="superscript"/>
                    </w:rPr>
                    <w:t>(2)</w:t>
                  </w:r>
                  <w:r>
                    <w:rPr>
                      <w:rFonts w:asciiTheme="minorHAnsi" w:hAnsiTheme="minorHAnsi"/>
                      <w:noProof/>
                      <w:sz w:val="17"/>
                      <w:szCs w:val="17"/>
                    </w:rPr>
                    <w:t>. Izmantojot savienotu transportlīdzekļu sastāvus, licencei jābūt mehāniskajā transportlīdzeklī. Savienotiem transportlīdzekļu sastāviem tā derīga arī tad, ja piekabe vai puspiekabe nav reģistrēta vai tiesības izma</w:t>
                  </w:r>
                  <w:r>
                    <w:rPr>
                      <w:rFonts w:asciiTheme="minorHAnsi" w:hAnsiTheme="minorHAnsi"/>
                      <w:noProof/>
                      <w:sz w:val="17"/>
                      <w:szCs w:val="17"/>
                    </w:rPr>
                    <w:t>ntot to autopārvadājumiem nav reģistrētas uz licences turētāja vārda, kā arī tad, ja piekabes ir reģistrētas vai ja tās atļauts izmantot autopārvadājumiem citā valstī.</w:t>
                  </w:r>
                </w:p>
                <w:p w:rsidR="003E022D" w:rsidRDefault="003E022D">
                  <w:pPr>
                    <w:pStyle w:val="linespace"/>
                    <w:rPr>
                      <w:rFonts w:asciiTheme="minorHAnsi" w:hAnsiTheme="minorHAnsi" w:cstheme="minorHAnsi"/>
                    </w:rPr>
                  </w:pPr>
                </w:p>
                <w:p w:rsidR="003E022D" w:rsidRDefault="007D19D6">
                  <w:pPr>
                    <w:spacing w:before="60" w:after="60"/>
                    <w:rPr>
                      <w:rFonts w:asciiTheme="minorHAnsi" w:hAnsiTheme="minorHAnsi" w:cstheme="minorHAnsi"/>
                      <w:noProof/>
                      <w:color w:val="000000"/>
                      <w:sz w:val="17"/>
                      <w:szCs w:val="17"/>
                    </w:rPr>
                  </w:pPr>
                  <w:r>
                    <w:rPr>
                      <w:rFonts w:asciiTheme="minorHAnsi" w:hAnsiTheme="minorHAnsi"/>
                      <w:noProof/>
                      <w:sz w:val="17"/>
                      <w:szCs w:val="17"/>
                    </w:rPr>
                    <w:t>Licence jāuzrāda pārbaudei pēc attiecīgi pilnvarota kontroles darbinieka pieprasījuma.</w:t>
                  </w:r>
                </w:p>
                <w:p w:rsidR="003E022D" w:rsidRDefault="003E022D">
                  <w:pPr>
                    <w:pStyle w:val="linespace"/>
                    <w:rPr>
                      <w:rFonts w:asciiTheme="minorHAnsi" w:hAnsiTheme="minorHAnsi" w:cstheme="minorHAnsi"/>
                    </w:rPr>
                  </w:pPr>
                </w:p>
                <w:p w:rsidR="003E022D" w:rsidRDefault="007D19D6">
                  <w:pPr>
                    <w:rPr>
                      <w:rFonts w:cstheme="minorHAnsi"/>
                      <w:noProof/>
                      <w:color w:val="000000"/>
                      <w:sz w:val="17"/>
                      <w:szCs w:val="17"/>
                    </w:rPr>
                  </w:pPr>
                  <w:r>
                    <w:rPr>
                      <w:noProof/>
                      <w:sz w:val="17"/>
                      <w:szCs w:val="17"/>
                    </w:rPr>
                    <w:t>Apvienotās Karalistes vai katras dalībvalsts teritorijā licences turētājam jāievēro šajā valstī spēkā esošie normatīvie un administratīvie akti, īpaši attiecībā uz pārvadājumiem un satiksmi.</w:t>
                  </w:r>
                </w:p>
                <w:p w:rsidR="003E022D" w:rsidRDefault="003E022D">
                  <w:pPr>
                    <w:pStyle w:val="linespace"/>
                    <w:rPr>
                      <w:rFonts w:asciiTheme="minorHAnsi" w:hAnsiTheme="minorHAnsi" w:cstheme="minorHAnsi"/>
                    </w:rPr>
                  </w:pPr>
                </w:p>
              </w:tc>
            </w:tr>
          </w:tbl>
          <w:p w:rsidR="003E022D" w:rsidRDefault="007D19D6">
            <w:pPr>
              <w:rPr>
                <w:rFonts w:cstheme="minorHAnsi"/>
                <w:noProof/>
                <w:sz w:val="17"/>
                <w:szCs w:val="17"/>
                <w:vertAlign w:val="superscript"/>
              </w:rPr>
            </w:pPr>
            <w:r>
              <w:rPr>
                <w:noProof/>
                <w:sz w:val="17"/>
                <w:szCs w:val="17"/>
                <w:vertAlign w:val="superscript"/>
              </w:rPr>
              <w:t>(1)</w:t>
            </w:r>
            <w:r>
              <w:rPr>
                <w:noProof/>
                <w:sz w:val="17"/>
                <w:szCs w:val="17"/>
              </w:rPr>
              <w:t xml:space="preserve"> Regula (EK) Nr. 1072/2009, kas AK tiesību aktos saglabāta ar 2018. gada Akta par Eiropas Savienību (izstāšanās) 3. iedaļu un grozīta ar noteikumiem, kas paredzēti saskaņā ar minētā akta 8. iedaļu.</w:t>
            </w:r>
            <w:r>
              <w:rPr>
                <w:noProof/>
                <w:sz w:val="17"/>
                <w:szCs w:val="17"/>
                <w:vertAlign w:val="superscript"/>
              </w:rPr>
              <w:t xml:space="preserve"> </w:t>
            </w:r>
          </w:p>
          <w:p w:rsidR="003E022D" w:rsidRDefault="007D19D6">
            <w:pPr>
              <w:rPr>
                <w:rFonts w:cstheme="minorHAnsi"/>
                <w:noProof/>
                <w:sz w:val="17"/>
                <w:szCs w:val="17"/>
              </w:rPr>
            </w:pPr>
            <w:r>
              <w:rPr>
                <w:noProof/>
                <w:sz w:val="17"/>
                <w:szCs w:val="17"/>
                <w:vertAlign w:val="superscript"/>
              </w:rPr>
              <w:t>(2)</w:t>
            </w:r>
            <w:r>
              <w:rPr>
                <w:noProof/>
                <w:sz w:val="17"/>
                <w:szCs w:val="17"/>
              </w:rPr>
              <w:t xml:space="preserve"> “Transportlīdzeklis” ir Apvienotajā Karalistē vai dal</w:t>
            </w:r>
            <w:r>
              <w:rPr>
                <w:noProof/>
                <w:sz w:val="17"/>
                <w:szCs w:val="17"/>
              </w:rPr>
              <w:t>ībvalstī reģistrēts mehānisks transportlīdzeklis vai savienotu mehānisku transportlīdzekļu sastāvs, no kuriem vismaz mehāniskais transportlīdzeklis ir reģistrēts Apvienotajā Karalistē vai dalībvalstī, un to izmanto tikai kravu pārvadājumiem.</w:t>
            </w:r>
          </w:p>
        </w:tc>
        <w:tc>
          <w:tcPr>
            <w:tcW w:w="142" w:type="pct"/>
            <w:tcBorders>
              <w:left w:val="nil"/>
            </w:tcBorders>
            <w:tcMar>
              <w:left w:w="0" w:type="dxa"/>
              <w:right w:w="0" w:type="dxa"/>
            </w:tcMar>
          </w:tcPr>
          <w:p w:rsidR="003E022D" w:rsidRDefault="003E022D">
            <w:pPr>
              <w:pStyle w:val="FormText"/>
              <w:spacing w:after="240"/>
              <w:jc w:val="both"/>
              <w:rPr>
                <w:rFonts w:asciiTheme="minorHAnsi" w:hAnsiTheme="minorHAnsi" w:cstheme="minorHAnsi"/>
                <w:noProof/>
              </w:rPr>
            </w:pPr>
          </w:p>
        </w:tc>
      </w:tr>
    </w:tbl>
    <w:p w:rsidR="003E022D" w:rsidRDefault="003E022D">
      <w:pPr>
        <w:rPr>
          <w:rFonts w:cstheme="minorHAnsi"/>
          <w:noProof/>
        </w:rPr>
      </w:pPr>
    </w:p>
    <w:p w:rsidR="003E022D" w:rsidRDefault="003E022D">
      <w:pPr>
        <w:rPr>
          <w:rFonts w:cstheme="minorHAnsi"/>
          <w:noProof/>
        </w:rPr>
      </w:pPr>
    </w:p>
    <w:p w:rsidR="003E022D" w:rsidRDefault="007D19D6">
      <w:pPr>
        <w:rPr>
          <w:rFonts w:cstheme="minorHAnsi"/>
          <w:noProof/>
        </w:rPr>
      </w:pPr>
      <w:r>
        <w:rPr>
          <w:noProof/>
        </w:rPr>
        <w:br w:type="page"/>
      </w:r>
    </w:p>
    <w:p w:rsidR="003E022D" w:rsidRDefault="007D19D6">
      <w:pPr>
        <w:pStyle w:val="Appendix"/>
        <w:rPr>
          <w:noProof/>
        </w:rPr>
      </w:pPr>
      <w:r>
        <w:rPr>
          <w:noProof/>
        </w:rPr>
        <w:t xml:space="preserve"> ROAD.A.1.4. PAPILDINĀJUMS. Licences aizsardzības elementi  </w:t>
      </w:r>
    </w:p>
    <w:p w:rsidR="003E022D" w:rsidRDefault="007D19D6">
      <w:pPr>
        <w:rPr>
          <w:rFonts w:cstheme="minorHAnsi"/>
          <w:noProof/>
          <w:color w:val="000000" w:themeColor="text1"/>
        </w:rPr>
      </w:pPr>
      <w:r>
        <w:rPr>
          <w:noProof/>
          <w:color w:val="000000" w:themeColor="text1"/>
        </w:rPr>
        <w:t xml:space="preserve">Licencē jābūt vismaz diviem no šādiem aizsardzības elementiem: </w:t>
      </w:r>
    </w:p>
    <w:p w:rsidR="003E022D" w:rsidRDefault="007D19D6">
      <w:pPr>
        <w:rPr>
          <w:rFonts w:cstheme="minorHAnsi"/>
          <w:noProof/>
          <w:color w:val="000000" w:themeColor="text1"/>
        </w:rPr>
      </w:pPr>
      <w:r>
        <w:rPr>
          <w:noProof/>
          <w:color w:val="000000" w:themeColor="text1"/>
        </w:rPr>
        <w:t>— hologramma,</w:t>
      </w:r>
    </w:p>
    <w:p w:rsidR="003E022D" w:rsidRDefault="007D19D6">
      <w:pPr>
        <w:rPr>
          <w:rFonts w:cstheme="minorHAnsi"/>
          <w:noProof/>
          <w:color w:val="000000" w:themeColor="text1"/>
        </w:rPr>
      </w:pPr>
      <w:r>
        <w:rPr>
          <w:noProof/>
          <w:color w:val="000000" w:themeColor="text1"/>
        </w:rPr>
        <w:t>— īpašas šķiedras papīrā, kas ir redzamas ultravioletajā gaismā,</w:t>
      </w:r>
    </w:p>
    <w:p w:rsidR="003E022D" w:rsidRDefault="007D19D6">
      <w:pPr>
        <w:rPr>
          <w:rFonts w:cstheme="minorHAnsi"/>
          <w:noProof/>
          <w:color w:val="000000" w:themeColor="text1"/>
        </w:rPr>
      </w:pPr>
      <w:r>
        <w:rPr>
          <w:noProof/>
          <w:color w:val="000000" w:themeColor="text1"/>
        </w:rPr>
        <w:t>— vismaz viena mikrodrukas rinda (druka, kas ir redz</w:t>
      </w:r>
      <w:r>
        <w:rPr>
          <w:noProof/>
          <w:color w:val="000000" w:themeColor="text1"/>
        </w:rPr>
        <w:t xml:space="preserve">ama tikai ar palielināmo stiklu un ko nevar nokopēt ar fotokopētāju), </w:t>
      </w:r>
    </w:p>
    <w:p w:rsidR="003E022D" w:rsidRDefault="007D19D6">
      <w:pPr>
        <w:rPr>
          <w:rFonts w:cstheme="minorHAnsi"/>
          <w:noProof/>
          <w:color w:val="000000" w:themeColor="text1"/>
        </w:rPr>
      </w:pPr>
      <w:r>
        <w:rPr>
          <w:noProof/>
          <w:color w:val="000000" w:themeColor="text1"/>
        </w:rPr>
        <w:t xml:space="preserve">— reljefi burti, simboli vai raksti, </w:t>
      </w:r>
    </w:p>
    <w:p w:rsidR="003E022D" w:rsidRDefault="007D19D6">
      <w:pPr>
        <w:rPr>
          <w:rFonts w:cstheme="minorHAnsi"/>
          <w:noProof/>
          <w:color w:val="000000" w:themeColor="text1"/>
        </w:rPr>
      </w:pPr>
      <w:r>
        <w:rPr>
          <w:noProof/>
          <w:color w:val="000000" w:themeColor="text1"/>
        </w:rPr>
        <w:t xml:space="preserve">— divkārša numerācija: licences, tās apliecinātas kopijas sērijas numurs, kā arī katrā gadījumā izdošanas numurs, </w:t>
      </w:r>
    </w:p>
    <w:p w:rsidR="003E022D" w:rsidRDefault="007D19D6">
      <w:pPr>
        <w:rPr>
          <w:rFonts w:cstheme="minorHAnsi"/>
          <w:noProof/>
          <w:color w:val="000000" w:themeColor="text1"/>
        </w:rPr>
      </w:pPr>
      <w:r>
        <w:rPr>
          <w:noProof/>
          <w:color w:val="000000" w:themeColor="text1"/>
        </w:rPr>
        <w:t xml:space="preserve">— aizsargfons ar sīku gijošētu rakstu un īrisiespiedumu. </w:t>
      </w:r>
    </w:p>
    <w:p w:rsidR="003E022D" w:rsidRDefault="007D19D6">
      <w:pPr>
        <w:rPr>
          <w:rFonts w:cstheme="minorHAnsi"/>
          <w:noProof/>
          <w:color w:val="000000" w:themeColor="text1"/>
        </w:rPr>
      </w:pPr>
      <w:r>
        <w:rPr>
          <w:noProof/>
          <w:color w:val="000000" w:themeColor="text1"/>
        </w:rPr>
        <w:t xml:space="preserve"> </w:t>
      </w:r>
      <w:r>
        <w:rPr>
          <w:noProof/>
          <w:color w:val="000000" w:themeColor="text1"/>
        </w:rPr>
        <w:br w:type="page"/>
      </w:r>
    </w:p>
    <w:p w:rsidR="003E022D" w:rsidRDefault="007D19D6">
      <w:pPr>
        <w:pStyle w:val="Section"/>
        <w:rPr>
          <w:rFonts w:cstheme="minorHAnsi"/>
          <w:noProof/>
        </w:rPr>
      </w:pPr>
      <w:r>
        <w:rPr>
          <w:noProof/>
        </w:rPr>
        <w:t>2. iedaļa. Transportlīdzekļa vadītāju norīkošana darbā</w:t>
      </w:r>
      <w:r>
        <w:rPr>
          <w:noProof/>
          <w:sz w:val="32"/>
        </w:rPr>
        <w:t xml:space="preserve"> </w:t>
      </w:r>
    </w:p>
    <w:p w:rsidR="003E022D" w:rsidRDefault="007D19D6">
      <w:pPr>
        <w:pStyle w:val="Article"/>
        <w:rPr>
          <w:rFonts w:cstheme="minorHAnsi"/>
          <w:noProof/>
        </w:rPr>
      </w:pPr>
      <w:r>
        <w:rPr>
          <w:noProof/>
        </w:rPr>
        <w:t xml:space="preserve">1. pants. Priekšmets  </w:t>
      </w:r>
    </w:p>
    <w:p w:rsidR="003E022D" w:rsidRDefault="007D19D6">
      <w:pPr>
        <w:rPr>
          <w:rFonts w:cstheme="minorHAnsi"/>
          <w:noProof/>
          <w:color w:val="000000" w:themeColor="text1"/>
        </w:rPr>
      </w:pPr>
      <w:r>
        <w:rPr>
          <w:noProof/>
          <w:color w:val="000000" w:themeColor="text1"/>
        </w:rPr>
        <w:t>Šajā iedaļā ir noteiktas prasības kravu autopārvadātājiem, kas veic uzņēmējdarbību vienā no Pusēm un kas saistībā ar</w:t>
      </w:r>
      <w:r>
        <w:rPr>
          <w:noProof/>
          <w:color w:val="000000" w:themeColor="text1"/>
        </w:rPr>
        <w:t xml:space="preserve"> kravu pārvadājumiem norīko transportlīdzekļa vadītājus saskaņā ar šīs iedaļas 3. pantu darbā uz otras Puses teritoriju.  </w:t>
      </w:r>
    </w:p>
    <w:p w:rsidR="003E022D" w:rsidRDefault="007D19D6">
      <w:pPr>
        <w:rPr>
          <w:rFonts w:cstheme="minorHAnsi"/>
          <w:noProof/>
          <w:color w:val="000000" w:themeColor="text1"/>
        </w:rPr>
      </w:pPr>
      <w:r>
        <w:rPr>
          <w:noProof/>
          <w:color w:val="000000" w:themeColor="text1"/>
        </w:rPr>
        <w:t>Šī iedaļa neliedz Pusei piemērot pasākumus, kas reglamentē fizisko personu ieceļošanu vai pagaidu uzturēšanos tās teritorijā, tai ska</w:t>
      </w:r>
      <w:r>
        <w:rPr>
          <w:noProof/>
          <w:color w:val="000000" w:themeColor="text1"/>
        </w:rPr>
        <w:t>itā pasākumus, kas vajadzīgi, lai aizsargātu savu robežu neaizskaramību un nodrošinātu to, ka fiziskās personas tās šķērso likumīgi, ja vien tādus pasākumus nepiemēro tā, ka tie likvidē vai mazina ieguvumus, kuri otrai Pusei rodas saskaņā ar šīs iedaļas no</w:t>
      </w:r>
      <w:r>
        <w:rPr>
          <w:noProof/>
          <w:color w:val="000000" w:themeColor="text1"/>
        </w:rPr>
        <w:t xml:space="preserve">teikumiem. Vīzu pieprasīšana fiziskām personām no konkrētām valstīm un to nepieprasīšana fiziskām personām no citām valstīm netiek uzskatīta par ieguvumu likvidēšanu vai mazināšanu saskaņā ar šo iedaļu.  </w:t>
      </w:r>
    </w:p>
    <w:p w:rsidR="003E022D" w:rsidRDefault="007D19D6">
      <w:pPr>
        <w:rPr>
          <w:rFonts w:cstheme="minorHAnsi"/>
          <w:noProof/>
          <w:color w:val="000000" w:themeColor="text1"/>
        </w:rPr>
      </w:pPr>
      <w:r>
        <w:rPr>
          <w:noProof/>
          <w:color w:val="000000" w:themeColor="text1"/>
        </w:rPr>
        <w:t>Šī iedaļa neietekmē to, kā Savienības teritorijā Sa</w:t>
      </w:r>
      <w:r>
        <w:rPr>
          <w:noProof/>
          <w:color w:val="000000" w:themeColor="text1"/>
        </w:rPr>
        <w:t xml:space="preserve">vienības kravu autopārvadātājiem piemēro Savienības noteikumus par transportlīdzekļa vadītāju norīkošanu darbā autotransportā. </w:t>
      </w:r>
    </w:p>
    <w:p w:rsidR="003E022D" w:rsidRDefault="007D19D6">
      <w:pPr>
        <w:pStyle w:val="Article"/>
        <w:rPr>
          <w:rFonts w:cstheme="minorHAnsi"/>
          <w:noProof/>
        </w:rPr>
      </w:pPr>
      <w:r>
        <w:rPr>
          <w:noProof/>
        </w:rPr>
        <w:t xml:space="preserve">2. pants. Definīcijas  </w:t>
      </w:r>
    </w:p>
    <w:p w:rsidR="003E022D" w:rsidRDefault="007D19D6">
      <w:pPr>
        <w:rPr>
          <w:rFonts w:cstheme="minorHAnsi"/>
          <w:noProof/>
          <w:color w:val="000000" w:themeColor="text1"/>
        </w:rPr>
      </w:pPr>
      <w:r>
        <w:rPr>
          <w:noProof/>
          <w:color w:val="000000" w:themeColor="text1"/>
        </w:rPr>
        <w:t>Šajā iedaļā “darbā norīkots transportlīdzekļa vadītājs” ir transportlīdzekļa vadītājs, kurš uz ierobežot</w:t>
      </w:r>
      <w:r>
        <w:rPr>
          <w:noProof/>
          <w:color w:val="000000" w:themeColor="text1"/>
        </w:rPr>
        <w:t xml:space="preserve">u laiku veic darbu tās Puses teritorijā, kas nav Puse, kurā viņš parasti strādā. </w:t>
      </w:r>
    </w:p>
    <w:p w:rsidR="003E022D" w:rsidRDefault="007D19D6">
      <w:pPr>
        <w:pStyle w:val="Article"/>
        <w:rPr>
          <w:rFonts w:cstheme="minorHAnsi"/>
          <w:noProof/>
        </w:rPr>
      </w:pPr>
      <w:r>
        <w:rPr>
          <w:noProof/>
        </w:rPr>
        <w:t xml:space="preserve">3. pants. Principi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 xml:space="preserve">Šīs iedaļas noteikumus piemēro tiktāl, ciktāl kravu autopārvadātājs norīko transportlīdzekļa vadītājus darbā uz otras Puses teritoriju uz tā atbildību </w:t>
      </w:r>
      <w:r>
        <w:rPr>
          <w:noProof/>
          <w:color w:val="000000" w:themeColor="text1"/>
        </w:rPr>
        <w:t>un tā vadībā saskaņā ar līgumu, kas noslēgts starp kravu autopārvadātāju, kas veic norīkošanu darbā, un pusi, kam pārvadājumu pakalpojumi ir paredzēti, un minētie transportlīdzekļa vadītāji darbojas minētās Puses teritorijā, ar noteikumu, ka starp kravu au</w:t>
      </w:r>
      <w:r>
        <w:rPr>
          <w:noProof/>
          <w:color w:val="000000" w:themeColor="text1"/>
        </w:rPr>
        <w:t xml:space="preserve">topārvadātāju, kas veic norīkošanu darbā, un transportlīdzekļa vadītāju norīkojuma laikposmā ir darba tiesiskās attiecības. </w:t>
      </w:r>
    </w:p>
    <w:p w:rsidR="003E022D" w:rsidRDefault="007D19D6">
      <w:pPr>
        <w:rPr>
          <w:rFonts w:cstheme="minorHAnsi"/>
          <w:noProof/>
          <w:color w:val="000000" w:themeColor="text1"/>
        </w:rPr>
      </w:pPr>
      <w:r>
        <w:rPr>
          <w:noProof/>
          <w:color w:val="000000" w:themeColor="text1"/>
        </w:rPr>
        <w:t>2.</w:t>
      </w:r>
      <w:r>
        <w:rPr>
          <w:noProof/>
        </w:rPr>
        <w:tab/>
      </w:r>
      <w:r>
        <w:rPr>
          <w:noProof/>
          <w:color w:val="000000" w:themeColor="text1"/>
        </w:rPr>
        <w:t>Šā panta 1. punkta nolūkā uzskata, ka norīkojums darbā sākas, kad transportlīdzekļa vadītājs ierodas otras Puses teritorijā, lai</w:t>
      </w:r>
      <w:r>
        <w:rPr>
          <w:noProof/>
          <w:color w:val="000000" w:themeColor="text1"/>
        </w:rPr>
        <w:t xml:space="preserve"> iekrautu un/vai izkrautu kravu, un beidzas, kad transportlīdzekļa vadītājs atstāj minētās Puses teritoriju.  </w:t>
      </w:r>
    </w:p>
    <w:p w:rsidR="003E022D" w:rsidRDefault="007D19D6">
      <w:pPr>
        <w:rPr>
          <w:rFonts w:cstheme="minorHAnsi"/>
          <w:noProof/>
          <w:color w:val="000000" w:themeColor="text1"/>
        </w:rPr>
      </w:pPr>
      <w:r>
        <w:rPr>
          <w:noProof/>
          <w:color w:val="000000" w:themeColor="text1"/>
        </w:rPr>
        <w:t>Šā panta 1. punkta nolūkā uzskata, ka attiecībā uz norīkošanu darbā Savienībā norīkojums darbā sākas, kad transportlīdzekļa vadītājs ierodas dalī</w:t>
      </w:r>
      <w:r>
        <w:rPr>
          <w:noProof/>
          <w:color w:val="000000" w:themeColor="text1"/>
        </w:rPr>
        <w:t xml:space="preserve">bvalsts teritorijā, lai iekrautu un/vai izkrautu kravu minētajā dalībvalstī, un beidzas, kad transportlīdzekļa vadītājs atstāj minētās dalībvalsts teritoriju. </w:t>
      </w:r>
    </w:p>
    <w:p w:rsidR="003E022D" w:rsidRDefault="007D19D6">
      <w:pPr>
        <w:rPr>
          <w:rFonts w:cstheme="minorHAnsi"/>
          <w:noProof/>
          <w:color w:val="000000" w:themeColor="text1"/>
        </w:rPr>
      </w:pPr>
      <w:r>
        <w:rPr>
          <w:noProof/>
          <w:color w:val="000000" w:themeColor="text1"/>
        </w:rPr>
        <w:t>3.</w:t>
      </w:r>
      <w:r>
        <w:rPr>
          <w:noProof/>
        </w:rPr>
        <w:tab/>
        <w:t>Neatkarīgi no 1. un 2. punkta transportlīdzekļa vadītāju neuzskata par norīkotu darbā, ja viņ</w:t>
      </w:r>
      <w:r>
        <w:rPr>
          <w:noProof/>
        </w:rPr>
        <w:t>š veic pārvadājumu operācijas, pamatojoties uz pārvadājuma līgumu, kā definēts šā nolīguma ROAD.4. panta [Kravu pārvadāšana starp Pušu teritorijām, caur tām un tajās] 1. punkta a) apakšpunktā.</w:t>
      </w:r>
      <w:r>
        <w:rPr>
          <w:noProof/>
          <w:color w:val="000000" w:themeColor="text1"/>
        </w:rPr>
        <w:t xml:space="preserve">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Transportlīdzekļa vadītāju neuzskata par norīkotu darbā Ap</w:t>
      </w:r>
      <w:r>
        <w:rPr>
          <w:noProof/>
          <w:color w:val="000000" w:themeColor="text1"/>
        </w:rPr>
        <w:t>vienotajā Karalistē, ja transportlīdzekļa vadītājs tranzītā šķērso Apvienotās Karalistes teritoriju, neiekraujot vai neizkraujot kravu. Attiecībā uz Savienību transportlīdzekļa vadītāju neuzskata par norīkotu darbā kādā dalībvalstī, ja transportlīdzekļa va</w:t>
      </w:r>
      <w:r>
        <w:rPr>
          <w:noProof/>
          <w:color w:val="000000" w:themeColor="text1"/>
        </w:rPr>
        <w:t xml:space="preserve">dītājs tranzītā šķērso minētās dalībvalsts teritoriju, neiekraujot vai neizkraujot kravu. </w:t>
      </w:r>
    </w:p>
    <w:p w:rsidR="003E022D" w:rsidRDefault="007D19D6">
      <w:pPr>
        <w:jc w:val="center"/>
        <w:rPr>
          <w:rFonts w:cstheme="minorHAnsi"/>
          <w:noProof/>
          <w:color w:val="000000" w:themeColor="text1"/>
        </w:rPr>
      </w:pPr>
      <w:r>
        <w:rPr>
          <w:noProof/>
          <w:color w:val="000000" w:themeColor="text1"/>
        </w:rPr>
        <w:t>4. pants. Nodarbinātības noteikumi</w:t>
      </w:r>
    </w:p>
    <w:p w:rsidR="003E022D" w:rsidRDefault="007D19D6">
      <w:pPr>
        <w:rPr>
          <w:rFonts w:cstheme="minorHAnsi"/>
          <w:noProof/>
          <w:color w:val="000000" w:themeColor="text1"/>
        </w:rPr>
      </w:pPr>
      <w:r>
        <w:rPr>
          <w:noProof/>
          <w:color w:val="000000" w:themeColor="text1"/>
        </w:rPr>
        <w:t>1. Neatkarīgi no tā, kādi tiesību akti ir piemērojami darba tiesiskajām attiecībām, katra Puse nodrošina, ka, pamatojoties uz vien</w:t>
      </w:r>
      <w:r>
        <w:rPr>
          <w:noProof/>
          <w:color w:val="000000" w:themeColor="text1"/>
        </w:rPr>
        <w:t>līdzīgu attieksmi, kravu autopārvadātāji garantē transportlīdzekļu vadītājiem, kuri ir norīkoti darbā uz to teritoriju, nodarbinātības noteikumus, kas aptver šādus jautājumus, kuri Pusē vai – Savienības gadījumā – dalībvalstī, kurā darbu veic, ir izklāstīt</w:t>
      </w:r>
      <w:r>
        <w:rPr>
          <w:noProof/>
          <w:color w:val="000000" w:themeColor="text1"/>
        </w:rPr>
        <w:t xml:space="preserve">i: </w:t>
      </w:r>
    </w:p>
    <w:p w:rsidR="003E022D" w:rsidRDefault="007D19D6">
      <w:pPr>
        <w:rPr>
          <w:rFonts w:cstheme="minorHAnsi"/>
          <w:noProof/>
          <w:color w:val="000000" w:themeColor="text1"/>
        </w:rPr>
      </w:pPr>
      <w:r>
        <w:rPr>
          <w:noProof/>
          <w:color w:val="000000" w:themeColor="text1"/>
        </w:rPr>
        <w:t xml:space="preserve">— normatīvos vai administratīvos aktos; un/vai </w:t>
      </w:r>
    </w:p>
    <w:p w:rsidR="003E022D" w:rsidRDefault="007D19D6">
      <w:pPr>
        <w:rPr>
          <w:rFonts w:cstheme="minorHAnsi"/>
          <w:noProof/>
          <w:color w:val="000000" w:themeColor="text1"/>
        </w:rPr>
      </w:pPr>
      <w:r>
        <w:rPr>
          <w:noProof/>
          <w:color w:val="000000" w:themeColor="text1"/>
        </w:rPr>
        <w:t xml:space="preserve">— ar koplīgumiem vai šķīrējtiesas nolēmumiem, kuri ir pasludināti par vispārēji piemērojamiem vai kurus citādā veidā piemēro saskaņā ar 4. punktu: </w:t>
      </w:r>
    </w:p>
    <w:p w:rsidR="003E022D" w:rsidRDefault="007D19D6">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maksimālais darba un minimālais atpūtas laikposms; </w:t>
      </w:r>
    </w:p>
    <w:p w:rsidR="003E022D" w:rsidRDefault="007D19D6">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mini</w:t>
      </w:r>
      <w:r>
        <w:rPr>
          <w:rFonts w:asciiTheme="minorHAnsi" w:hAnsiTheme="minorHAnsi"/>
          <w:noProof/>
        </w:rPr>
        <w:t xml:space="preserve">mālais ikgadējais apmaksātais atvaļinājums; </w:t>
      </w:r>
    </w:p>
    <w:p w:rsidR="003E022D" w:rsidRDefault="007D19D6">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atalgojums, tai skaitā likmes par virsstundām; šo punktu nepiemēro papildu arodpensiju shēmām; </w:t>
      </w:r>
    </w:p>
    <w:p w:rsidR="003E022D" w:rsidRDefault="007D19D6">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veselības aizsardzība, darba drošība un higiēna darbā; </w:t>
      </w:r>
    </w:p>
    <w:p w:rsidR="003E022D" w:rsidRDefault="007D19D6">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aizsardzības pasākumi attiecībā uz grūtnieču nodarbinātības</w:t>
      </w:r>
      <w:r>
        <w:rPr>
          <w:rFonts w:asciiTheme="minorHAnsi" w:hAnsiTheme="minorHAnsi"/>
          <w:noProof/>
        </w:rPr>
        <w:t xml:space="preserve"> noteikumiem vai sieviešu nodarbinātības noteikumiem pēcdzemdību periodā, kā arī attiecībā uz bērnu un jauniešu nodarbinātības noteikumiem; un</w:t>
      </w:r>
    </w:p>
    <w:p w:rsidR="003E022D" w:rsidRDefault="007D19D6">
      <w:pPr>
        <w:pStyle w:val="Point0letter"/>
        <w:numPr>
          <w:ilvl w:val="0"/>
          <w:numId w:val="862"/>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vienlīdzīga attieksme pret vīriešiem un sievietēm un citi diskrimināciju aizliedzoši noteikumi.</w:t>
      </w:r>
      <w:r>
        <w:rPr>
          <w:rFonts w:asciiTheme="minorHAnsi" w:hAnsiTheme="minorHAnsi"/>
          <w:noProof/>
          <w:color w:val="000000" w:themeColor="text1"/>
        </w:rPr>
        <w:t xml:space="preserve"> </w:t>
      </w:r>
    </w:p>
    <w:p w:rsidR="003E022D" w:rsidRDefault="007D19D6">
      <w:pPr>
        <w:rPr>
          <w:rFonts w:cstheme="minorHAnsi"/>
          <w:noProof/>
          <w:color w:val="000000" w:themeColor="text1"/>
        </w:rPr>
      </w:pPr>
      <w:r>
        <w:rPr>
          <w:noProof/>
          <w:color w:val="000000" w:themeColor="text1"/>
        </w:rPr>
        <w:t>2.</w:t>
      </w:r>
      <w:r>
        <w:rPr>
          <w:noProof/>
        </w:rPr>
        <w:tab/>
      </w:r>
      <w:r>
        <w:rPr>
          <w:noProof/>
          <w:color w:val="000000" w:themeColor="text1"/>
        </w:rPr>
        <w:t>Šajā iedaļā a</w:t>
      </w:r>
      <w:r>
        <w:rPr>
          <w:noProof/>
          <w:color w:val="000000" w:themeColor="text1"/>
        </w:rPr>
        <w:t>talgojuma jēdzienu nosaka Puses tiesību akti un/vai prakse un – Savienības gadījumā – tās dalībvalsts tiesību akti un/vai prakse, uz kuras teritoriju transportlīdzekļa vadītājs ir norīkots darbā, un tas nozīmē visus atalgojuma elementus, kas ir obligāti sa</w:t>
      </w:r>
      <w:r>
        <w:rPr>
          <w:noProof/>
          <w:color w:val="000000" w:themeColor="text1"/>
        </w:rPr>
        <w:t xml:space="preserve">skaņā ar valsts normatīvajiem vai administratīvajiem aktiem, vai koplīgumiem, vai šķīrējtiesas nolēmumiem, kuri minētajā Pusē vai minētajā dalībvalstī ir pasludināti par vispārēji piemērojamiem vai citādi piemērojamiem saskaņā ar 4. punktu. </w:t>
      </w:r>
    </w:p>
    <w:p w:rsidR="003E022D" w:rsidRDefault="007D19D6">
      <w:pPr>
        <w:rPr>
          <w:rFonts w:cstheme="minorHAnsi"/>
          <w:noProof/>
          <w:color w:val="000000" w:themeColor="text1"/>
        </w:rPr>
      </w:pPr>
      <w:r>
        <w:rPr>
          <w:noProof/>
          <w:color w:val="000000" w:themeColor="text1"/>
        </w:rPr>
        <w:t>3.</w:t>
      </w:r>
      <w:r>
        <w:rPr>
          <w:noProof/>
        </w:rPr>
        <w:tab/>
      </w:r>
      <w:r>
        <w:rPr>
          <w:noProof/>
          <w:color w:val="000000" w:themeColor="text1"/>
        </w:rPr>
        <w:t>Komandējuma naudu, kas saistīta ar attiecīgo norīkojumu, uzskata par atalgojuma daļu, ja vien to neizmaksā, atlīdzinot tādus izdevumus, kas faktiski radušies saistībā ar norīkojumu darbā kā ceļa, ēdināšanas un naktsmītnes izdevumi. Kravu autopārvadātājs da</w:t>
      </w:r>
      <w:r>
        <w:rPr>
          <w:noProof/>
          <w:color w:val="000000" w:themeColor="text1"/>
        </w:rPr>
        <w:t xml:space="preserve">rbā norīkotajam transportlīdzekļa vadītājam atlīdzina šādus izdevumus saskaņā ar tiesību aktiem un/vai praksi, ko piemēro darba tiesiskajām attiecībām.  </w:t>
      </w:r>
    </w:p>
    <w:p w:rsidR="003E022D" w:rsidRDefault="007D19D6">
      <w:pPr>
        <w:rPr>
          <w:rFonts w:cstheme="minorHAnsi"/>
          <w:noProof/>
          <w:color w:val="000000" w:themeColor="text1"/>
        </w:rPr>
      </w:pPr>
      <w:r>
        <w:rPr>
          <w:noProof/>
          <w:color w:val="000000" w:themeColor="text1"/>
        </w:rPr>
        <w:t>Ja darba tiesiskajām attiecībām piemērojamos nodarbinātības noteikumos nav noteikts, kurus ar attiecīg</w:t>
      </w:r>
      <w:r>
        <w:rPr>
          <w:noProof/>
          <w:color w:val="000000" w:themeColor="text1"/>
        </w:rPr>
        <w:t>o norīkojumu saistītās komandējuma naudas elementus izmaksā, atlīdzinot tādus faktiskos izdevumus, kas radušies saistībā ar norīkojumu darbā, vai kuri no šiem elementiem ir daļa no atalgojuma, tad uzskata, ka visa komandējuma nauda tiek izmaksāta kā izdevu</w:t>
      </w:r>
      <w:r>
        <w:rPr>
          <w:noProof/>
          <w:color w:val="000000" w:themeColor="text1"/>
        </w:rPr>
        <w:t xml:space="preserve">mu atlīdzinājums.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Šajā iedaļā “kolektīvi līgumi vai šķīrējtiesas nolēmumi, kas ir pasludināti par vispārēji piemērojamiem”, nozīmē kolektīvus līgumus vai šķīrējtiesas nolēmumus, kas jāievēro visiem uzņēmumiem attiecīgajā ģeogrāfiskajā apgabalā un atti</w:t>
      </w:r>
      <w:r>
        <w:rPr>
          <w:noProof/>
          <w:color w:val="000000" w:themeColor="text1"/>
        </w:rPr>
        <w:t xml:space="preserve">ecīgajā profesijā vai nozarē. </w:t>
      </w:r>
    </w:p>
    <w:p w:rsidR="003E022D" w:rsidRDefault="007D19D6">
      <w:pPr>
        <w:rPr>
          <w:rFonts w:cstheme="minorHAnsi"/>
          <w:noProof/>
          <w:color w:val="000000" w:themeColor="text1"/>
        </w:rPr>
      </w:pPr>
      <w:r>
        <w:rPr>
          <w:noProof/>
          <w:color w:val="000000" w:themeColor="text1"/>
        </w:rPr>
        <w:t>Ja nav ieviesta sistēma kolektīvo līgumu vai šķīrējtiesas nolēmumu pasludināšanai par vispārēji piemērojamiem šā punkta pirmās daļas nozīmē vai papildus šādai sistēmai, katra Puse vai – Savienības gadījumā – katra dalībvalsts</w:t>
      </w:r>
      <w:r>
        <w:rPr>
          <w:noProof/>
          <w:color w:val="000000" w:themeColor="text1"/>
        </w:rPr>
        <w:t xml:space="preserve"> var, ja tās tā nolemj, balstīties uz: </w:t>
      </w:r>
    </w:p>
    <w:p w:rsidR="003E022D" w:rsidRDefault="007D19D6">
      <w:pPr>
        <w:rPr>
          <w:rFonts w:cstheme="minorHAnsi"/>
          <w:noProof/>
          <w:color w:val="000000" w:themeColor="text1"/>
        </w:rPr>
      </w:pPr>
      <w:r>
        <w:rPr>
          <w:noProof/>
          <w:color w:val="000000" w:themeColor="text1"/>
        </w:rPr>
        <w:t xml:space="preserve">— koplīgumiem vai šķīrējtiesas nolēmumiem, kas ir vispārēji piemērojami visiem līdzīgiem uzņēmumiem attiecīgajā ģeogrāfiskajā apgabalā un attiecīgajā profesijā vai rūpniecības nozarē, un/vai </w:t>
      </w:r>
    </w:p>
    <w:p w:rsidR="003E022D" w:rsidRDefault="007D19D6">
      <w:pPr>
        <w:rPr>
          <w:rFonts w:cstheme="minorHAnsi"/>
          <w:noProof/>
          <w:color w:val="000000" w:themeColor="text1"/>
        </w:rPr>
      </w:pPr>
      <w:r>
        <w:rPr>
          <w:noProof/>
          <w:color w:val="000000" w:themeColor="text1"/>
        </w:rPr>
        <w:t>— koplīgumiem, ko ir nos</w:t>
      </w:r>
      <w:r>
        <w:rPr>
          <w:noProof/>
          <w:color w:val="000000" w:themeColor="text1"/>
        </w:rPr>
        <w:t xml:space="preserve">lēgušas visplašāk pārstāvētās darba devēju un darba ņēmēju organizācijas valsts līmenī un ko piemēro visā valsts teritorijā.  </w:t>
      </w:r>
    </w:p>
    <w:p w:rsidR="003E022D" w:rsidRDefault="007D19D6">
      <w:pPr>
        <w:rPr>
          <w:rFonts w:cstheme="minorHAnsi"/>
          <w:noProof/>
          <w:color w:val="000000" w:themeColor="text1"/>
        </w:rPr>
      </w:pPr>
      <w:r>
        <w:rPr>
          <w:noProof/>
          <w:color w:val="000000" w:themeColor="text1"/>
        </w:rPr>
        <w:t xml:space="preserve">Uzskata, ka vienlīdzīga attieksme 1. punkta nozīmē pastāv, ja attiecīgās valsts uzņēmumiem līdzīgā situācijā: </w:t>
      </w:r>
    </w:p>
    <w:p w:rsidR="003E022D" w:rsidRDefault="007D19D6">
      <w:pPr>
        <w:pStyle w:val="ListParagraph"/>
        <w:numPr>
          <w:ilvl w:val="0"/>
          <w:numId w:val="863"/>
        </w:numPr>
        <w:spacing w:after="160" w:line="254" w:lineRule="auto"/>
        <w:rPr>
          <w:rFonts w:cstheme="minorHAnsi"/>
          <w:noProof/>
          <w:color w:val="000000" w:themeColor="text1"/>
        </w:rPr>
      </w:pPr>
      <w:r>
        <w:rPr>
          <w:noProof/>
          <w:color w:val="000000" w:themeColor="text1"/>
        </w:rPr>
        <w:t xml:space="preserve">attiecīgajā vietā </w:t>
      </w:r>
      <w:r>
        <w:rPr>
          <w:noProof/>
          <w:color w:val="000000" w:themeColor="text1"/>
        </w:rPr>
        <w:t xml:space="preserve">un jomā ir uzliktas tādas pašas saistības kā darbā norīkojošajiem uzņēmumiem attiecībā uz 1. punkta pirmajā daļā minētajiem jautājumiem un </w:t>
      </w:r>
    </w:p>
    <w:p w:rsidR="003E022D" w:rsidRDefault="007D19D6">
      <w:pPr>
        <w:pStyle w:val="ListParagraph"/>
        <w:numPr>
          <w:ilvl w:val="0"/>
          <w:numId w:val="863"/>
        </w:numPr>
        <w:spacing w:after="160" w:line="254" w:lineRule="auto"/>
        <w:rPr>
          <w:rFonts w:cstheme="minorHAnsi"/>
          <w:noProof/>
          <w:color w:val="000000" w:themeColor="text1"/>
        </w:rPr>
      </w:pPr>
      <w:r>
        <w:rPr>
          <w:noProof/>
          <w:color w:val="000000" w:themeColor="text1"/>
        </w:rPr>
        <w:t xml:space="preserve">jāizpilda šādas saistības ar tādām pašām sekām. </w:t>
      </w:r>
    </w:p>
    <w:p w:rsidR="003E022D" w:rsidRDefault="007D19D6">
      <w:pPr>
        <w:pStyle w:val="Article"/>
        <w:rPr>
          <w:rFonts w:cstheme="minorHAnsi"/>
          <w:noProof/>
        </w:rPr>
      </w:pPr>
      <w:r>
        <w:rPr>
          <w:noProof/>
        </w:rPr>
        <w:t xml:space="preserve">5. pants. Uzlabota pieeja informācijai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Katra Puse vai – Savienī</w:t>
      </w:r>
      <w:r>
        <w:rPr>
          <w:noProof/>
          <w:color w:val="000000" w:themeColor="text1"/>
        </w:rPr>
        <w:t>bas gadījumā – katra dalībvalsts bez liekas kavēšanās un pārredzamā veidā vienotā oficiālā valsts tīmekļa vietnē publicē informāciju par nodarbinātības noteikumiem saskaņā ar valsts tiesību aktiem un/vai praksi, tostarp atalgojuma elementus, kā minēts 4. p</w:t>
      </w:r>
      <w:r>
        <w:rPr>
          <w:noProof/>
          <w:color w:val="000000" w:themeColor="text1"/>
        </w:rPr>
        <w:t xml:space="preserve">anta 2. punktā, un visus nodarbinātības noteikumus saskaņā ar 4. panta 1. punktu.  </w:t>
      </w:r>
    </w:p>
    <w:p w:rsidR="003E022D" w:rsidRDefault="007D19D6">
      <w:pPr>
        <w:rPr>
          <w:rFonts w:cstheme="minorHAnsi"/>
          <w:noProof/>
          <w:color w:val="000000" w:themeColor="text1"/>
        </w:rPr>
      </w:pPr>
      <w:r>
        <w:rPr>
          <w:noProof/>
          <w:color w:val="000000" w:themeColor="text1"/>
        </w:rPr>
        <w:t xml:space="preserve">Katra Puse vai – Savienības gadījumā – katra dalībvalsts nodrošina, ka vienotajā oficiālajā valsts tīmekļa vietnē sniegtā informācija ir precīza un atjaunināta.  </w:t>
      </w:r>
    </w:p>
    <w:p w:rsidR="003E022D" w:rsidRDefault="007D19D6">
      <w:pPr>
        <w:rPr>
          <w:rFonts w:cstheme="minorHAnsi"/>
          <w:noProof/>
          <w:color w:val="000000" w:themeColor="text1"/>
        </w:rPr>
      </w:pPr>
      <w:r>
        <w:rPr>
          <w:noProof/>
          <w:color w:val="000000" w:themeColor="text1"/>
        </w:rPr>
        <w:t>2.</w:t>
      </w:r>
      <w:r>
        <w:rPr>
          <w:noProof/>
        </w:rPr>
        <w:tab/>
      </w:r>
      <w:r>
        <w:rPr>
          <w:noProof/>
          <w:color w:val="000000" w:themeColor="text1"/>
        </w:rPr>
        <w:t xml:space="preserve">Katra </w:t>
      </w:r>
      <w:r>
        <w:rPr>
          <w:noProof/>
          <w:color w:val="000000" w:themeColor="text1"/>
        </w:rPr>
        <w:t>Puse vai – Savienības gadījumā – katra dalībvalsts veic atbilstīgus pasākumus, lai nodrošinātu, ka 1. punktā minētā informācija tiek darīta vispārēji pieejama bez maksas skaidrā, pārredzamā, visaptverošā un viegli pieejamā veidā attālināti un elektroniski,</w:t>
      </w:r>
      <w:r>
        <w:rPr>
          <w:noProof/>
          <w:color w:val="000000" w:themeColor="text1"/>
        </w:rPr>
        <w:t xml:space="preserve"> tādos formātos un saskaņā ar tīmekļa pieejamības standartiem, kas nodrošina piekļuvi personām ar invaliditāti, un lai nodrošinātu, ka kompetentās valsts iestādes spēj efektīvi veikt savus uzdevumus.  </w:t>
      </w:r>
    </w:p>
    <w:p w:rsidR="003E022D" w:rsidRDefault="007D19D6">
      <w:pPr>
        <w:rPr>
          <w:rFonts w:cstheme="minorHAnsi"/>
          <w:noProof/>
          <w:color w:val="000000" w:themeColor="text1"/>
        </w:rPr>
      </w:pPr>
      <w:r>
        <w:rPr>
          <w:noProof/>
          <w:color w:val="000000" w:themeColor="text1"/>
        </w:rPr>
        <w:t>3.</w:t>
      </w:r>
      <w:r>
        <w:rPr>
          <w:noProof/>
        </w:rPr>
        <w:tab/>
      </w:r>
      <w:r>
        <w:rPr>
          <w:noProof/>
          <w:color w:val="000000" w:themeColor="text1"/>
        </w:rPr>
        <w:t xml:space="preserve">Ja saskaņā ar valsts tiesību aktiem, tradīcijām un </w:t>
      </w:r>
      <w:r>
        <w:rPr>
          <w:noProof/>
          <w:color w:val="000000" w:themeColor="text1"/>
        </w:rPr>
        <w:t>praksi, tostarp pilnībā ievērojot sociālo partneru neatkarību, 4. pantā minētos nodarbinātības noteikumus nosaka koplīgumi saskaņā ar 4. panta 1. punktu, katra Puse vai – Savienības gadījumā – katra dalībvalsts nodrošina, ka minētie noteikumi pieejamā un p</w:t>
      </w:r>
      <w:r>
        <w:rPr>
          <w:noProof/>
          <w:color w:val="000000" w:themeColor="text1"/>
        </w:rPr>
        <w:t xml:space="preserve">ārredzamā veidā tiek darīti pieejami otras Puses pakalpojumu sniedzējiem un darbā norīkotajiem transportlīdzekļa vadītājiem, un šā jautājuma risināšanā iesaista sociālos partnerus. Attiecīgajā informācijā jo īpaši būtu jāiekļauj atšķirīgās minimālās algas </w:t>
      </w:r>
      <w:r>
        <w:rPr>
          <w:noProof/>
          <w:color w:val="000000" w:themeColor="text1"/>
        </w:rPr>
        <w:t>likmes un to veidojošie elementi, izmaksājamā atalgojuma aprēķina metode un attiecīgā gadījumā kritēriji, pēc kuriem nosaka iedalījumu atšķirīgās darba algas kategorijās.</w:t>
      </w:r>
      <w:r>
        <w:rPr>
          <w:b/>
          <w:noProof/>
          <w:color w:val="000000" w:themeColor="text1"/>
        </w:rPr>
        <w:t xml:space="preserve">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Ja pretēji 1. punktam vienotajā oficiālajā valsts tīmekļa vietnē netiek norādīts,</w:t>
      </w:r>
      <w:r>
        <w:rPr>
          <w:noProof/>
          <w:color w:val="000000" w:themeColor="text1"/>
        </w:rPr>
        <w:t xml:space="preserve"> kuri nodarbinātības noteikumi ir jāpiemēro, šo apstākli ņem vērā saskaņā ar valsts tiesību aktiem un/vai praksi, kad tiek noteiktas sankcijas gadījumā, ja ir pārkāpti šīs iedaļas noteikumi, ciktāl tas nepieciešams, lai nodrošinātu minēto sankciju samērīgu</w:t>
      </w:r>
      <w:r>
        <w:rPr>
          <w:noProof/>
          <w:color w:val="000000" w:themeColor="text1"/>
        </w:rPr>
        <w:t xml:space="preserve">mu.  </w:t>
      </w:r>
    </w:p>
    <w:p w:rsidR="003E022D" w:rsidRDefault="007D19D6">
      <w:pPr>
        <w:rPr>
          <w:rFonts w:cstheme="minorHAnsi"/>
          <w:noProof/>
          <w:color w:val="000000" w:themeColor="text1"/>
        </w:rPr>
      </w:pPr>
      <w:r>
        <w:rPr>
          <w:noProof/>
          <w:color w:val="000000" w:themeColor="text1"/>
        </w:rPr>
        <w:t>5.</w:t>
      </w:r>
      <w:r>
        <w:rPr>
          <w:noProof/>
        </w:rPr>
        <w:tab/>
      </w:r>
      <w:r>
        <w:rPr>
          <w:noProof/>
          <w:color w:val="000000" w:themeColor="text1"/>
        </w:rPr>
        <w:t>Katra Puse vai – Savienības gadījumā – katra dalībvalsts norāda struktūras un iestādes, pie kurām transportlīdzekļa vadītāji un kravu autopārvadātāji var vērsties, lai saņemtu vispārīgu informāciju par valsts tiesību aktiem un praksi, kas tiem pie</w:t>
      </w:r>
      <w:r>
        <w:rPr>
          <w:noProof/>
          <w:color w:val="000000" w:themeColor="text1"/>
        </w:rPr>
        <w:t xml:space="preserve">mērojama attiecībā uz viņu tiesībām un pienākumiem to teritorijā.  </w:t>
      </w:r>
    </w:p>
    <w:p w:rsidR="003E022D" w:rsidRDefault="007D19D6">
      <w:pPr>
        <w:pStyle w:val="Article"/>
        <w:rPr>
          <w:rFonts w:cstheme="minorHAnsi"/>
          <w:noProof/>
        </w:rPr>
      </w:pPr>
      <w:r>
        <w:rPr>
          <w:noProof/>
        </w:rPr>
        <w:t xml:space="preserve">6. pants. Administratīvās prasības, kontrole un izpilde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 xml:space="preserve">Katra Puse vai – Savienības gadījumā – katra dalībvalsts attiecībā uz transportlīdzekļa vadītāju norīkošanu darbā var noteikt tikai šādas administratīvās prasības un kontroles pasākumus: </w:t>
      </w:r>
    </w:p>
    <w:p w:rsidR="003E022D" w:rsidRDefault="007D19D6">
      <w:pPr>
        <w:pStyle w:val="Point0letter"/>
        <w:numPr>
          <w:ilvl w:val="0"/>
          <w:numId w:val="864"/>
        </w:numPr>
        <w:tabs>
          <w:tab w:val="left" w:pos="851"/>
        </w:tabs>
        <w:ind w:left="851" w:hanging="851"/>
        <w:jc w:val="both"/>
        <w:rPr>
          <w:rFonts w:asciiTheme="minorHAnsi" w:hAnsiTheme="minorHAnsi" w:cstheme="minorHAnsi"/>
          <w:noProof/>
        </w:rPr>
      </w:pPr>
      <w:r>
        <w:rPr>
          <w:rFonts w:asciiTheme="minorHAnsi" w:hAnsiTheme="minorHAnsi"/>
          <w:noProof/>
        </w:rPr>
        <w:t xml:space="preserve">pienākumu pārvadātājam, kas veic uzņēmējdarbību otrā Pusē, ne vēlāk </w:t>
      </w:r>
      <w:r>
        <w:rPr>
          <w:rFonts w:asciiTheme="minorHAnsi" w:hAnsiTheme="minorHAnsi"/>
          <w:noProof/>
        </w:rPr>
        <w:t>kā norīkojuma darbā sākumā iesniegt norīkojuma deklarāciju tās Puses valsts kompetentajām iestādēm vai – Savienības gadījumā – tās dalībvalsts kompetentajām iestādēm, uz kuru transportlīdzekļa vadītājs ir norīkots darbā, no 2022. gada 2. februāra izmantojo</w:t>
      </w:r>
      <w:r>
        <w:rPr>
          <w:rFonts w:asciiTheme="minorHAnsi" w:hAnsiTheme="minorHAnsi"/>
          <w:noProof/>
        </w:rPr>
        <w:t>t daudzvalodu standarta veidlapu publiskajā saskarnē, kas savienota ar ES Iekšējā tirgus informācijas sistēmu</w:t>
      </w:r>
      <w:r>
        <w:rPr>
          <w:rFonts w:asciiTheme="minorHAnsi" w:hAnsiTheme="minorHAnsi" w:cstheme="minorHAnsi"/>
          <w:noProof/>
          <w:vertAlign w:val="superscript"/>
        </w:rPr>
        <w:footnoteReference w:id="123"/>
      </w:r>
      <w:r>
        <w:rPr>
          <w:rFonts w:asciiTheme="minorHAnsi" w:hAnsiTheme="minorHAnsi"/>
          <w:noProof/>
        </w:rPr>
        <w:t xml:space="preserve"> administratīvai sadarbībai (“IMI”); minētajā norīkojuma darbā deklarācijā ir ietverta šāda informācija: </w:t>
      </w:r>
    </w:p>
    <w:p w:rsidR="003E022D" w:rsidRDefault="007D19D6">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pārvadātāja identitāte, norādot vismaz d</w:t>
      </w:r>
      <w:r>
        <w:rPr>
          <w:rFonts w:asciiTheme="minorHAnsi" w:hAnsiTheme="minorHAnsi"/>
          <w:noProof/>
        </w:rPr>
        <w:t xml:space="preserve">erīgās licences numuru, ja šis numurs ir pieejams; </w:t>
      </w:r>
    </w:p>
    <w:p w:rsidR="003E022D" w:rsidRDefault="007D19D6">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pārvadājumu vadītāja vai citas kontaktpersonas kontaktinformācija Pusē, kurā ir uzņēmējdarbības veikšanas vieta, vai – Savienības gadījumā – dalībvalstī, kurā ir uzņēmējdarbības veikšanas vieta, lai sadar</w:t>
      </w:r>
      <w:r>
        <w:rPr>
          <w:rFonts w:asciiTheme="minorHAnsi" w:hAnsiTheme="minorHAnsi"/>
          <w:noProof/>
        </w:rPr>
        <w:t xml:space="preserve">botos ar uzņēmējas Puses kompetentajām iestādēm vai – Savienības gadījumā – tās dalībvalsts kompetentajām iestādēm, kurā sniedz pakalpojumus, un lai nosūtītu un saņemtu dokumentus vai paziņojumus; </w:t>
      </w:r>
    </w:p>
    <w:p w:rsidR="003E022D" w:rsidRDefault="007D19D6">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noProof/>
        </w:rPr>
        <w:t>transportlīdzekļa vadītāja identitāte, dzīvesvietas adrese</w:t>
      </w:r>
      <w:r>
        <w:rPr>
          <w:rFonts w:asciiTheme="minorHAnsi" w:hAnsiTheme="minorHAnsi"/>
          <w:noProof/>
        </w:rPr>
        <w:t xml:space="preserve"> un transportlīdzekļa vadītāja apliecības numurs;</w:t>
      </w:r>
      <w:r>
        <w:rPr>
          <w:rFonts w:asciiTheme="minorHAnsi" w:hAnsiTheme="minorHAnsi"/>
          <w:noProof/>
          <w:color w:val="000000" w:themeColor="text1"/>
        </w:rPr>
        <w:t xml:space="preserve"> </w:t>
      </w:r>
    </w:p>
    <w:p w:rsidR="003E022D" w:rsidRDefault="007D19D6">
      <w:pPr>
        <w:pStyle w:val="ListParagraph"/>
        <w:numPr>
          <w:ilvl w:val="0"/>
          <w:numId w:val="865"/>
        </w:numPr>
        <w:spacing w:after="160" w:line="254" w:lineRule="auto"/>
        <w:rPr>
          <w:rFonts w:cstheme="minorHAnsi"/>
          <w:noProof/>
          <w:color w:val="000000" w:themeColor="text1"/>
        </w:rPr>
      </w:pPr>
      <w:r>
        <w:rPr>
          <w:noProof/>
          <w:color w:val="000000" w:themeColor="text1"/>
        </w:rPr>
        <w:t xml:space="preserve">transportlīdzekļa vadītāja darba līguma sākuma datums un tam piemērojamie tiesību akti; </w:t>
      </w:r>
    </w:p>
    <w:p w:rsidR="003E022D" w:rsidRDefault="007D19D6">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plānotais norīkojuma darbā sākuma un beigu datums; un</w:t>
      </w:r>
    </w:p>
    <w:p w:rsidR="003E022D" w:rsidRDefault="007D19D6">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noProof/>
        </w:rPr>
        <w:t>mehānisko transportlīdzekļu numura zīmes;</w:t>
      </w:r>
      <w:r>
        <w:rPr>
          <w:rFonts w:asciiTheme="minorHAnsi" w:hAnsiTheme="minorHAnsi"/>
          <w:noProof/>
          <w:color w:val="000000" w:themeColor="text1"/>
        </w:rPr>
        <w:t xml:space="preserve"> </w:t>
      </w:r>
    </w:p>
    <w:p w:rsidR="003E022D" w:rsidRDefault="007D19D6">
      <w:pPr>
        <w:pStyle w:val="ListParagraph"/>
        <w:numPr>
          <w:ilvl w:val="0"/>
          <w:numId w:val="864"/>
        </w:numPr>
        <w:spacing w:after="160" w:line="254" w:lineRule="auto"/>
        <w:ind w:left="851" w:hanging="851"/>
        <w:rPr>
          <w:rFonts w:cstheme="minorHAnsi"/>
          <w:noProof/>
          <w:color w:val="000000" w:themeColor="text1"/>
        </w:rPr>
      </w:pPr>
      <w:r>
        <w:rPr>
          <w:noProof/>
          <w:color w:val="000000" w:themeColor="text1"/>
        </w:rPr>
        <w:t xml:space="preserve">pienākumu pārvadātājam nodrošināt, ka transportlīdzekļa vadītāja rīcībā papīra vai elektroniskā formātā ir šādi dokumenti un informācija, un pienākumu transportlīdzekļa vadītājam tos glabāt un pēc pieprasījuma uz ceļa uzrādīt: </w:t>
      </w:r>
    </w:p>
    <w:p w:rsidR="003E022D" w:rsidRDefault="007D19D6">
      <w:pPr>
        <w:pStyle w:val="Point0letter"/>
        <w:numPr>
          <w:ilvl w:val="0"/>
          <w:numId w:val="866"/>
        </w:numPr>
        <w:tabs>
          <w:tab w:val="left" w:pos="851"/>
        </w:tabs>
        <w:jc w:val="both"/>
        <w:rPr>
          <w:rFonts w:asciiTheme="minorHAnsi" w:hAnsiTheme="minorHAnsi" w:cstheme="minorHAnsi"/>
          <w:noProof/>
        </w:rPr>
      </w:pPr>
      <w:r>
        <w:rPr>
          <w:rFonts w:asciiTheme="minorHAnsi" w:hAnsiTheme="minorHAnsi"/>
          <w:noProof/>
        </w:rPr>
        <w:t>no 2022. gada 2. februāra ar</w:t>
      </w:r>
      <w:r>
        <w:rPr>
          <w:rFonts w:asciiTheme="minorHAnsi" w:hAnsiTheme="minorHAnsi"/>
          <w:noProof/>
        </w:rPr>
        <w:t xml:space="preserve"> </w:t>
      </w:r>
      <w:r>
        <w:rPr>
          <w:rFonts w:asciiTheme="minorHAnsi" w:hAnsiTheme="minorHAnsi"/>
          <w:i/>
          <w:noProof/>
        </w:rPr>
        <w:t>IMI</w:t>
      </w:r>
      <w:r>
        <w:rPr>
          <w:rFonts w:asciiTheme="minorHAnsi" w:hAnsiTheme="minorHAnsi"/>
          <w:noProof/>
        </w:rPr>
        <w:t xml:space="preserve"> sistēmas starpniecību iesniegtās norīkojuma darbā deklarācijas kopija; </w:t>
      </w:r>
    </w:p>
    <w:p w:rsidR="003E022D" w:rsidRDefault="007D19D6">
      <w:pPr>
        <w:pStyle w:val="Point0letter"/>
        <w:numPr>
          <w:ilvl w:val="0"/>
          <w:numId w:val="866"/>
        </w:numPr>
        <w:tabs>
          <w:tab w:val="left" w:pos="851"/>
        </w:tabs>
        <w:jc w:val="both"/>
        <w:rPr>
          <w:rFonts w:asciiTheme="minorHAnsi" w:hAnsiTheme="minorHAnsi" w:cstheme="minorHAnsi"/>
          <w:noProof/>
        </w:rPr>
      </w:pPr>
      <w:r>
        <w:rPr>
          <w:rFonts w:asciiTheme="minorHAnsi" w:hAnsiTheme="minorHAnsi"/>
          <w:noProof/>
        </w:rPr>
        <w:t>uzņēmējā Pusē veikto pārvadājumu operāciju pierādījumi, piemēram, elektroniska preču pavadzīme (e-</w:t>
      </w:r>
      <w:r>
        <w:rPr>
          <w:rFonts w:asciiTheme="minorHAnsi" w:hAnsiTheme="minorHAnsi"/>
          <w:i/>
          <w:noProof/>
        </w:rPr>
        <w:t>CMR</w:t>
      </w:r>
      <w:r>
        <w:rPr>
          <w:rFonts w:asciiTheme="minorHAnsi" w:hAnsiTheme="minorHAnsi"/>
          <w:noProof/>
        </w:rPr>
        <w:t>); un</w:t>
      </w:r>
    </w:p>
    <w:p w:rsidR="003E022D" w:rsidRDefault="007D19D6">
      <w:pPr>
        <w:pStyle w:val="Point0letter"/>
        <w:numPr>
          <w:ilvl w:val="0"/>
          <w:numId w:val="866"/>
        </w:numPr>
        <w:tabs>
          <w:tab w:val="left" w:pos="851"/>
        </w:tabs>
        <w:jc w:val="both"/>
        <w:rPr>
          <w:rFonts w:asciiTheme="minorHAnsi" w:hAnsiTheme="minorHAnsi" w:cstheme="minorHAnsi"/>
          <w:noProof/>
          <w:color w:val="000000" w:themeColor="text1"/>
        </w:rPr>
      </w:pPr>
      <w:r>
        <w:rPr>
          <w:rFonts w:asciiTheme="minorHAnsi" w:hAnsiTheme="minorHAnsi"/>
          <w:noProof/>
        </w:rPr>
        <w:t>tahogrāfa rādījumi un jo īpaši tās Puses vai – Savienības gadījumā – tās</w:t>
      </w:r>
      <w:r>
        <w:rPr>
          <w:rFonts w:asciiTheme="minorHAnsi" w:hAnsiTheme="minorHAnsi"/>
          <w:noProof/>
        </w:rPr>
        <w:t xml:space="preserve"> dalībvalsts valsts simboli, kurā transportlīdzekļa vadītājs atradās, veicot pārvadājumu operācijas, saskaņā ar reģistrācijas un uzskaites prasībām, kas noteiktas </w:t>
      </w:r>
      <w:r>
        <w:rPr>
          <w:rFonts w:asciiTheme="minorHAnsi" w:hAnsiTheme="minorHAnsi"/>
          <w:noProof/>
          <w:color w:val="000000" w:themeColor="text1"/>
        </w:rPr>
        <w:t>B daļas 2. iedaļā un B daļas 4. iedaļā</w:t>
      </w:r>
      <w:r>
        <w:rPr>
          <w:rFonts w:asciiTheme="minorHAnsi" w:hAnsiTheme="minorHAnsi"/>
          <w:noProof/>
        </w:rPr>
        <w:t>;</w:t>
      </w:r>
      <w:r>
        <w:rPr>
          <w:rFonts w:asciiTheme="minorHAnsi" w:hAnsiTheme="minorHAnsi"/>
          <w:noProof/>
          <w:color w:val="000000" w:themeColor="text1"/>
        </w:rPr>
        <w:t xml:space="preserve"> </w:t>
      </w:r>
    </w:p>
    <w:p w:rsidR="003E022D" w:rsidRDefault="007D19D6">
      <w:pPr>
        <w:pStyle w:val="ListParagraph"/>
        <w:numPr>
          <w:ilvl w:val="0"/>
          <w:numId w:val="864"/>
        </w:numPr>
        <w:spacing w:after="160" w:line="254" w:lineRule="auto"/>
        <w:ind w:left="851" w:hanging="851"/>
        <w:rPr>
          <w:rFonts w:cstheme="minorHAnsi"/>
          <w:noProof/>
          <w:color w:val="000000" w:themeColor="text1"/>
        </w:rPr>
      </w:pPr>
      <w:r>
        <w:rPr>
          <w:noProof/>
          <w:color w:val="000000" w:themeColor="text1"/>
        </w:rPr>
        <w:t>pienākumu pārvadātājam pēc tieša otras Puses vai – S</w:t>
      </w:r>
      <w:r>
        <w:rPr>
          <w:noProof/>
          <w:color w:val="000000" w:themeColor="text1"/>
        </w:rPr>
        <w:t>avienības gadījumā – tās dalībvalsts kompetento iestāžu pieprasījuma, kurā notika norīkošana darbā, pēc tam, kad ir beidzies norīkojuma darbā laikposms, iesniegt šā punkta b) apakšpunkta ii) un iii) punktā minēto dokumentu kopijas, kā arī dokumentāciju sai</w:t>
      </w:r>
      <w:r>
        <w:rPr>
          <w:noProof/>
          <w:color w:val="000000" w:themeColor="text1"/>
        </w:rPr>
        <w:t>stībā ar transportlīdzekļa vadītāja atalgojumu, kas attiecas uz norīkojuma laikposmu, darba līgumu vai līdzvērtīgu dokumentu, darba laika uzskaites lapas saistībā ar transportlīdzekļa vadītāja darbu un maksājumu apliecinājumus, no 2022. gada 2. februāra iz</w:t>
      </w:r>
      <w:r>
        <w:rPr>
          <w:noProof/>
          <w:color w:val="000000" w:themeColor="text1"/>
        </w:rPr>
        <w:t xml:space="preserve">mantojot ar IMI sistēmu savienotu publisku saskarni. </w:t>
      </w:r>
    </w:p>
    <w:p w:rsidR="003E022D" w:rsidRDefault="007D19D6">
      <w:pPr>
        <w:rPr>
          <w:rFonts w:cstheme="minorHAnsi"/>
          <w:noProof/>
          <w:color w:val="000000" w:themeColor="text1"/>
        </w:rPr>
      </w:pPr>
      <w:r>
        <w:rPr>
          <w:noProof/>
          <w:color w:val="000000" w:themeColor="text1"/>
        </w:rPr>
        <w:t xml:space="preserve">Pārvadātājs dokumentāciju sniedz ne vēlāk kā astoņas nedēļas pēc pieprasījuma dienas, no 2022. gada 2. februāra izmantojot ar </w:t>
      </w:r>
      <w:r>
        <w:rPr>
          <w:i/>
          <w:noProof/>
          <w:color w:val="000000" w:themeColor="text1"/>
        </w:rPr>
        <w:t>IMI</w:t>
      </w:r>
      <w:r>
        <w:rPr>
          <w:noProof/>
          <w:color w:val="000000" w:themeColor="text1"/>
        </w:rPr>
        <w:t xml:space="preserve"> sistēmu savienotu publisku saskarni. Ja pārvadātājs minētajā termiņā nei</w:t>
      </w:r>
      <w:r>
        <w:rPr>
          <w:noProof/>
          <w:color w:val="000000" w:themeColor="text1"/>
        </w:rPr>
        <w:t>esniedz pieprasīto dokumentāciju, tās Puses vai – Savienības gadījumā – tās dalībvalsts kompetentās iestādes, kurā notika norīkošana darbā, var pieprasīt tās Puses vai – Savienības gadījumā – tās dalībvalsts kompetento iestāžu palīdzību, kurā ir uzņēmējdar</w:t>
      </w:r>
      <w:r>
        <w:rPr>
          <w:noProof/>
          <w:color w:val="000000" w:themeColor="text1"/>
        </w:rPr>
        <w:t xml:space="preserve">bības veikšanas vieta, no 2022. gada 2. februāra izmantojot </w:t>
      </w:r>
      <w:r>
        <w:rPr>
          <w:i/>
          <w:noProof/>
          <w:color w:val="000000" w:themeColor="text1"/>
        </w:rPr>
        <w:t>IMI</w:t>
      </w:r>
      <w:r>
        <w:rPr>
          <w:noProof/>
          <w:color w:val="000000" w:themeColor="text1"/>
        </w:rPr>
        <w:t xml:space="preserve"> sistēmu. Ja ir iesniegts šāds savstarpējas palīdzības pieprasījums, tās Puses vai – Savienības gadījumā – tās dalībvalsts kompetentajām iestādēm, kurā ir pārvadātāja  uzņēmējdarbības veikšanas</w:t>
      </w:r>
      <w:r>
        <w:rPr>
          <w:noProof/>
          <w:color w:val="000000" w:themeColor="text1"/>
        </w:rPr>
        <w:t xml:space="preserve"> vieta, ir piekļuve norīkojuma darbā deklarācijai un citai attiecīgai informācijai, ko iesniedzis pārvadātājs, no 2022. gada 2. februāra izmantojot ar </w:t>
      </w:r>
      <w:r>
        <w:rPr>
          <w:i/>
          <w:noProof/>
          <w:color w:val="000000" w:themeColor="text1"/>
        </w:rPr>
        <w:t>IMI</w:t>
      </w:r>
      <w:r>
        <w:rPr>
          <w:noProof/>
          <w:color w:val="000000" w:themeColor="text1"/>
        </w:rPr>
        <w:t xml:space="preserve"> sistēmu savienotu publisku saskarni. </w:t>
      </w:r>
    </w:p>
    <w:p w:rsidR="003E022D" w:rsidRDefault="007D19D6">
      <w:pPr>
        <w:rPr>
          <w:rFonts w:cstheme="minorHAnsi"/>
          <w:noProof/>
          <w:color w:val="000000" w:themeColor="text1"/>
        </w:rPr>
      </w:pPr>
      <w:r>
        <w:rPr>
          <w:noProof/>
          <w:color w:val="000000" w:themeColor="text1"/>
        </w:rPr>
        <w:t>Uzņēmējdarbības veikšanas vietas Puses vai – Savienības gadījum</w:t>
      </w:r>
      <w:r>
        <w:rPr>
          <w:noProof/>
          <w:color w:val="000000" w:themeColor="text1"/>
        </w:rPr>
        <w:t>ā – uzņēmējdarbības veikšanas vietas dalībvalsts kompetentās iestādes nodrošina, ka tās sniedz pieprasīto dokumentāciju tās Puses kompetentajām iestādēm vai – Savienības gadījumā – tās dalībvalsts kompetentajām iestādēm, kurā notika norīkošana darbā, 25 da</w:t>
      </w:r>
      <w:r>
        <w:rPr>
          <w:noProof/>
          <w:color w:val="000000" w:themeColor="text1"/>
        </w:rPr>
        <w:t xml:space="preserve">rba dienu laikā no dienas, kad iesniegts savstarpējas palīdzības pieprasījums, no 2022. gada 2. februāra izmantojot </w:t>
      </w:r>
      <w:r>
        <w:rPr>
          <w:i/>
          <w:noProof/>
          <w:color w:val="000000" w:themeColor="text1"/>
        </w:rPr>
        <w:t>IMI</w:t>
      </w:r>
      <w:r>
        <w:rPr>
          <w:noProof/>
          <w:color w:val="000000" w:themeColor="text1"/>
        </w:rPr>
        <w:t xml:space="preserve"> sistēmu. </w:t>
      </w:r>
    </w:p>
    <w:p w:rsidR="003E022D" w:rsidRDefault="007D19D6">
      <w:pPr>
        <w:rPr>
          <w:rFonts w:cstheme="minorHAnsi"/>
          <w:noProof/>
          <w:color w:val="000000" w:themeColor="text1"/>
        </w:rPr>
      </w:pPr>
      <w:r>
        <w:rPr>
          <w:noProof/>
          <w:color w:val="000000" w:themeColor="text1"/>
        </w:rPr>
        <w:t>Katra Puse nodrošina to, ka informāciju, ar ko apmainās valsts kompetentās iestādes vai kas tām ir nosūtīta, izmanto tikai sai</w:t>
      </w:r>
      <w:r>
        <w:rPr>
          <w:noProof/>
          <w:color w:val="000000" w:themeColor="text1"/>
        </w:rPr>
        <w:t xml:space="preserve">stībā ar lietu vai lietām, kuras(-u) dēļ tā pieprasīta. </w:t>
      </w:r>
    </w:p>
    <w:p w:rsidR="003E022D" w:rsidRDefault="007D19D6">
      <w:pPr>
        <w:rPr>
          <w:rFonts w:cstheme="minorHAnsi"/>
          <w:noProof/>
          <w:color w:val="000000" w:themeColor="text1"/>
        </w:rPr>
      </w:pPr>
      <w:r>
        <w:rPr>
          <w:noProof/>
          <w:color w:val="000000" w:themeColor="text1"/>
        </w:rPr>
        <w:t xml:space="preserve">Savstarpēju administratīvu sadarbību un palīdzību nodrošina bez maksas. </w:t>
      </w:r>
    </w:p>
    <w:p w:rsidR="003E022D" w:rsidRDefault="007D19D6">
      <w:pPr>
        <w:rPr>
          <w:rFonts w:cstheme="minorHAnsi"/>
          <w:noProof/>
          <w:color w:val="000000" w:themeColor="text1"/>
        </w:rPr>
      </w:pPr>
      <w:r>
        <w:rPr>
          <w:noProof/>
          <w:color w:val="000000" w:themeColor="text1"/>
        </w:rPr>
        <w:t>Informācijas pieprasījums neliedz kompetentajām iestādēm veikt pasākumus, lai izmeklētu un novērstu iespējamus šīs iedaļas pār</w:t>
      </w:r>
      <w:r>
        <w:rPr>
          <w:noProof/>
          <w:color w:val="000000" w:themeColor="text1"/>
        </w:rPr>
        <w:t xml:space="preserve">kāpumus.  </w:t>
      </w:r>
    </w:p>
    <w:p w:rsidR="003E022D" w:rsidRDefault="007D19D6">
      <w:pPr>
        <w:rPr>
          <w:rFonts w:cstheme="minorHAnsi"/>
          <w:noProof/>
          <w:color w:val="000000" w:themeColor="text1"/>
        </w:rPr>
      </w:pPr>
      <w:r>
        <w:rPr>
          <w:noProof/>
          <w:color w:val="000000" w:themeColor="text1"/>
        </w:rPr>
        <w:t>3.</w:t>
      </w:r>
      <w:r>
        <w:rPr>
          <w:noProof/>
        </w:rPr>
        <w:tab/>
      </w:r>
      <w:r>
        <w:rPr>
          <w:noProof/>
          <w:color w:val="000000" w:themeColor="text1"/>
        </w:rPr>
        <w:t>Lai pārliecinātos, vai transportlīdzekļa vadītājs nav uzskatāms par norīkotu darbā saskaņā ar 1. pantu, katra Puse kā kontroles pasākumu var noteikt vienīgi pienākumu transportlīdzekļa vadītājam glabāt un pēc pieprasījuma pārbaudes laikā uz ceļa darīt piee</w:t>
      </w:r>
      <w:r>
        <w:rPr>
          <w:noProof/>
          <w:color w:val="000000" w:themeColor="text1"/>
        </w:rPr>
        <w:t xml:space="preserve">jamus pierādījumus par attiecīgajām pārvadājumu operācijām papīra vai elektroniskā formātā, piemēram, elektronisku preču pavadzīmi (e-CMR) un tahogrāfa rādījumus, kā minēts šā panta 2. punkta b) apakšpunkta iii) punktā.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 xml:space="preserve">Kontroles nolūkā pārvadātājs 2. </w:t>
      </w:r>
      <w:r>
        <w:rPr>
          <w:noProof/>
          <w:color w:val="000000" w:themeColor="text1"/>
        </w:rPr>
        <w:t xml:space="preserve">punkta a) apakšpunktā minētās norīkojuma darbā deklarācijas no 2022. gada 2. februāra atjaunina ar </w:t>
      </w:r>
      <w:r>
        <w:rPr>
          <w:i/>
          <w:noProof/>
          <w:color w:val="000000" w:themeColor="text1"/>
        </w:rPr>
        <w:t>IMI</w:t>
      </w:r>
      <w:r>
        <w:rPr>
          <w:noProof/>
          <w:color w:val="000000" w:themeColor="text1"/>
        </w:rPr>
        <w:t xml:space="preserve"> savienotajā publiskajā saskarnē. </w:t>
      </w:r>
    </w:p>
    <w:p w:rsidR="003E022D" w:rsidRDefault="007D19D6">
      <w:pPr>
        <w:rPr>
          <w:rFonts w:cstheme="minorHAnsi"/>
          <w:noProof/>
          <w:color w:val="000000" w:themeColor="text1"/>
        </w:rPr>
      </w:pPr>
      <w:r>
        <w:rPr>
          <w:noProof/>
          <w:color w:val="000000" w:themeColor="text1"/>
        </w:rPr>
        <w:t>5.</w:t>
      </w:r>
      <w:r>
        <w:rPr>
          <w:noProof/>
        </w:rPr>
        <w:tab/>
      </w:r>
      <w:r>
        <w:rPr>
          <w:noProof/>
          <w:color w:val="000000" w:themeColor="text1"/>
        </w:rPr>
        <w:t xml:space="preserve">Norīkojuma darbā deklarācijās ietverto informāciju no 2022. gada 2. februāra pārbaužu nolūkā 24 mēnešus glabā </w:t>
      </w:r>
      <w:r>
        <w:rPr>
          <w:i/>
          <w:noProof/>
          <w:color w:val="000000" w:themeColor="text1"/>
        </w:rPr>
        <w:t>IMI</w:t>
      </w:r>
      <w:r>
        <w:rPr>
          <w:noProof/>
          <w:color w:val="000000" w:themeColor="text1"/>
        </w:rPr>
        <w:t xml:space="preserve"> re</w:t>
      </w:r>
      <w:r>
        <w:rPr>
          <w:noProof/>
          <w:color w:val="000000" w:themeColor="text1"/>
        </w:rPr>
        <w:t xml:space="preserve">pozitorijā. </w:t>
      </w:r>
    </w:p>
    <w:p w:rsidR="003E022D" w:rsidRDefault="007D19D6">
      <w:pPr>
        <w:rPr>
          <w:rFonts w:cstheme="minorHAnsi"/>
          <w:noProof/>
          <w:color w:val="000000" w:themeColor="text1"/>
        </w:rPr>
      </w:pPr>
      <w:r>
        <w:rPr>
          <w:noProof/>
          <w:color w:val="000000" w:themeColor="text1"/>
        </w:rPr>
        <w:t>6.</w:t>
      </w:r>
      <w:r>
        <w:rPr>
          <w:noProof/>
        </w:rPr>
        <w:tab/>
      </w:r>
      <w:r>
        <w:rPr>
          <w:noProof/>
          <w:color w:val="000000" w:themeColor="text1"/>
        </w:rPr>
        <w:t>Puse vai – Savienības gadījumā – dalībvalsts, uz kuras teritoriju transportlīdzekļa vadītājs ir norīkots darbā, un Puse vai – Savienības gadījumā – dalībvalsts, no kuras transportlīdzekļa vadītājs ir norīkots darbā, ir atbildīga par šajā ie</w:t>
      </w:r>
      <w:r>
        <w:rPr>
          <w:noProof/>
          <w:color w:val="000000" w:themeColor="text1"/>
        </w:rPr>
        <w:t xml:space="preserve">daļā noteikto pienākumu uzraudzību, kontroli un izpildi un veic attiecīgus pasākumus šīs iedaļas neievērošanas gadījumā. </w:t>
      </w:r>
    </w:p>
    <w:p w:rsidR="003E022D" w:rsidRDefault="007D19D6">
      <w:pPr>
        <w:rPr>
          <w:rFonts w:cstheme="minorHAnsi"/>
          <w:noProof/>
          <w:color w:val="000000" w:themeColor="text1"/>
        </w:rPr>
      </w:pPr>
      <w:r>
        <w:rPr>
          <w:noProof/>
          <w:color w:val="000000" w:themeColor="text1"/>
        </w:rPr>
        <w:t>7.</w:t>
      </w:r>
      <w:r>
        <w:rPr>
          <w:noProof/>
        </w:rPr>
        <w:tab/>
      </w:r>
      <w:r>
        <w:rPr>
          <w:noProof/>
          <w:color w:val="000000" w:themeColor="text1"/>
        </w:rPr>
        <w:t>Katra Puse vai – Savienības gadījumā – dalībvalstis nodrošina, ka atbilstības pārbaudes un kontroles saskaņā ar šo pantu nav diskri</w:t>
      </w:r>
      <w:r>
        <w:rPr>
          <w:noProof/>
          <w:color w:val="000000" w:themeColor="text1"/>
        </w:rPr>
        <w:t xml:space="preserve">minējošas un/vai nesamērīgas, vienlaikus ņemot vērā šīs iedaļas attiecīgos noteikumus.  </w:t>
      </w:r>
    </w:p>
    <w:p w:rsidR="003E022D" w:rsidRDefault="007D19D6">
      <w:pPr>
        <w:rPr>
          <w:rFonts w:cstheme="minorHAnsi"/>
          <w:noProof/>
          <w:color w:val="000000" w:themeColor="text1"/>
        </w:rPr>
      </w:pPr>
      <w:r>
        <w:rPr>
          <w:noProof/>
          <w:color w:val="000000" w:themeColor="text1"/>
        </w:rPr>
        <w:t>8.</w:t>
      </w:r>
      <w:r>
        <w:rPr>
          <w:noProof/>
        </w:rPr>
        <w:tab/>
      </w:r>
      <w:r>
        <w:rPr>
          <w:noProof/>
          <w:color w:val="000000" w:themeColor="text1"/>
        </w:rPr>
        <w:t>No šī iedaļas izrietošo pienākumu izpildei katra Puse vai – Savienības gadījumā – dalībvalstis nodrošina, ka arī tajā Pusē, kuras teritorijā transportlīdzekļa vadīt</w:t>
      </w:r>
      <w:r>
        <w:rPr>
          <w:noProof/>
          <w:color w:val="000000" w:themeColor="text1"/>
        </w:rPr>
        <w:t>āji ir vai ir bijuši norīkoti darbā, visiem darbā norīkotajiem transportlīdzekļa vadītājiem, kuri uzskata, ka piemērojamo noteikumu nepiemērošanas rezultātā viņi ir cietuši zaudējumus, pat pēc tam, kad darba attiecības, kurās it kā notikusi šī noteikumu ne</w:t>
      </w:r>
      <w:r>
        <w:rPr>
          <w:noProof/>
          <w:color w:val="000000" w:themeColor="text1"/>
        </w:rPr>
        <w:t xml:space="preserve">ievērošana, ir beigušās, būtu pieejami efektīvi mehānismi, ar kuru palīdzību darbā norīkotie transportlīdzekļa vadītāji var iesniegt sūdzības par saviem darba devējiem tieši, kā arī viņiem būtu tiesības sākt tiesvedību vai administratīvo procesu.  </w:t>
      </w:r>
    </w:p>
    <w:p w:rsidR="003E022D" w:rsidRDefault="007D19D6">
      <w:pPr>
        <w:rPr>
          <w:rFonts w:cstheme="minorHAnsi"/>
          <w:noProof/>
          <w:color w:val="000000" w:themeColor="text1"/>
        </w:rPr>
      </w:pPr>
      <w:r>
        <w:rPr>
          <w:noProof/>
          <w:color w:val="000000" w:themeColor="text1"/>
        </w:rPr>
        <w:t>9.</w:t>
      </w:r>
      <w:r>
        <w:rPr>
          <w:noProof/>
        </w:rPr>
        <w:tab/>
      </w:r>
      <w:r>
        <w:rPr>
          <w:noProof/>
          <w:color w:val="000000" w:themeColor="text1"/>
        </w:rPr>
        <w:t>Šā p</w:t>
      </w:r>
      <w:r>
        <w:rPr>
          <w:noProof/>
          <w:color w:val="000000" w:themeColor="text1"/>
        </w:rPr>
        <w:t xml:space="preserve">anta 8. punktu piemēro, neskarot katras Puses vai – Savienības gadījumā – dalībvalstu tiesu jurisdikciju, kā jo īpaši noteikts attiecīgajos Savienības tiesību aktu instrumentos un/vai starptautiskajās konvencijās. </w:t>
      </w:r>
    </w:p>
    <w:p w:rsidR="003E022D" w:rsidRDefault="007D19D6">
      <w:pPr>
        <w:rPr>
          <w:rFonts w:cstheme="minorHAnsi"/>
          <w:noProof/>
          <w:color w:val="000000" w:themeColor="text1"/>
        </w:rPr>
      </w:pPr>
      <w:r>
        <w:rPr>
          <w:noProof/>
          <w:color w:val="000000" w:themeColor="text1"/>
        </w:rPr>
        <w:t>10.</w:t>
      </w:r>
      <w:r>
        <w:rPr>
          <w:noProof/>
        </w:rPr>
        <w:tab/>
      </w:r>
      <w:r>
        <w:rPr>
          <w:noProof/>
          <w:color w:val="000000" w:themeColor="text1"/>
        </w:rPr>
        <w:t xml:space="preserve">Katra Puse vai – Savienības gadījumā </w:t>
      </w:r>
      <w:r>
        <w:rPr>
          <w:noProof/>
          <w:color w:val="000000" w:themeColor="text1"/>
        </w:rPr>
        <w:t>– dalībvalstis paredz noteikumus par sankcijām, ko piemēro to valsts noteikumu pārkāpumiem, kuri pieņemti saskaņā ar šo iedaļu, un veic vajadzīgos pasākumus, lai nodrošinātu, ka tie tiek īstenoti un izpildīti. Paredzētās sankcijas ir efektīvas, samērīgas u</w:t>
      </w:r>
      <w:r>
        <w:rPr>
          <w:noProof/>
          <w:color w:val="000000" w:themeColor="text1"/>
        </w:rPr>
        <w:t xml:space="preserve">n atturošas. </w:t>
      </w:r>
    </w:p>
    <w:p w:rsidR="003E022D" w:rsidRDefault="007D19D6">
      <w:pPr>
        <w:rPr>
          <w:rFonts w:cstheme="minorHAnsi"/>
          <w:noProof/>
          <w:color w:val="000000" w:themeColor="text1"/>
        </w:rPr>
      </w:pPr>
      <w:r>
        <w:rPr>
          <w:noProof/>
          <w:color w:val="000000" w:themeColor="text1"/>
        </w:rPr>
        <w:t xml:space="preserve">Katra Puse līdz 2021. gada 30. jūnijam paziņo minētos noteikumus otrai Pusei. Tās nekavējoties ziņo par visiem turpmākiem šo noteikumu grozījumiem. </w:t>
      </w:r>
    </w:p>
    <w:p w:rsidR="003E022D" w:rsidRDefault="007D19D6">
      <w:pPr>
        <w:pStyle w:val="Article"/>
        <w:rPr>
          <w:rFonts w:cstheme="minorHAnsi"/>
          <w:noProof/>
        </w:rPr>
      </w:pPr>
      <w:r>
        <w:rPr>
          <w:noProof/>
        </w:rPr>
        <w:t xml:space="preserve">7. pants. </w:t>
      </w:r>
      <w:r>
        <w:rPr>
          <w:i/>
          <w:noProof/>
        </w:rPr>
        <w:t>IMI</w:t>
      </w:r>
      <w:r>
        <w:rPr>
          <w:noProof/>
        </w:rPr>
        <w:t xml:space="preserve"> sistēmas izmantošana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No 2022. gada 2. februāra IMI sistēmā apmainās ar 6. p</w:t>
      </w:r>
      <w:r>
        <w:rPr>
          <w:noProof/>
          <w:color w:val="000000" w:themeColor="text1"/>
        </w:rPr>
        <w:t xml:space="preserve">antā minēto informāciju, tostarp personas datiem, un to apstrādā, ja ir izpildīti šādi nosacījumi:  </w:t>
      </w:r>
    </w:p>
    <w:p w:rsidR="003E022D" w:rsidRDefault="007D19D6">
      <w:pPr>
        <w:pStyle w:val="Point0letter"/>
        <w:numPr>
          <w:ilvl w:val="0"/>
          <w:numId w:val="867"/>
        </w:numPr>
        <w:tabs>
          <w:tab w:val="left" w:pos="851"/>
        </w:tabs>
        <w:ind w:left="851" w:hanging="851"/>
        <w:jc w:val="both"/>
        <w:rPr>
          <w:rFonts w:asciiTheme="minorHAnsi" w:hAnsiTheme="minorHAnsi" w:cstheme="minorHAnsi"/>
          <w:noProof/>
        </w:rPr>
      </w:pPr>
      <w:r>
        <w:rPr>
          <w:rFonts w:asciiTheme="minorHAnsi" w:hAnsiTheme="minorHAnsi"/>
          <w:noProof/>
        </w:rPr>
        <w:t xml:space="preserve">Puses sniedz aizsardzības pasākumus, kas nodrošina, ka </w:t>
      </w:r>
      <w:r>
        <w:rPr>
          <w:rFonts w:asciiTheme="minorHAnsi" w:hAnsiTheme="minorHAnsi"/>
          <w:i/>
          <w:noProof/>
        </w:rPr>
        <w:t>IMI</w:t>
      </w:r>
      <w:r>
        <w:rPr>
          <w:rFonts w:asciiTheme="minorHAnsi" w:hAnsiTheme="minorHAnsi"/>
          <w:noProof/>
        </w:rPr>
        <w:t xml:space="preserve"> sistēmā apstrādātie dati tiek izmantoti tikai tādam mērķim, kādam bija paredzēta to sākotnējā apmaiņa;  </w:t>
      </w:r>
    </w:p>
    <w:p w:rsidR="003E022D" w:rsidRDefault="007D19D6">
      <w:pPr>
        <w:pStyle w:val="Point0letter"/>
        <w:numPr>
          <w:ilvl w:val="0"/>
          <w:numId w:val="867"/>
        </w:numPr>
        <w:tabs>
          <w:tab w:val="left" w:pos="851"/>
        </w:tabs>
        <w:ind w:left="851" w:hanging="851"/>
        <w:jc w:val="both"/>
        <w:rPr>
          <w:rFonts w:asciiTheme="minorHAnsi" w:hAnsiTheme="minorHAnsi" w:cstheme="minorHAnsi"/>
          <w:noProof/>
        </w:rPr>
      </w:pPr>
      <w:r>
        <w:rPr>
          <w:noProof/>
        </w:rPr>
        <w:t>jebkāda personas datu nosūtīšana uz Apvienoto Karalisti saskaņā ar šo pantu var notikt tikai saskaņā ar Regulas (ES) Nr. 1024/2012</w:t>
      </w:r>
      <w:r>
        <w:rPr>
          <w:rStyle w:val="FootnoteReference"/>
          <w:rFonts w:cstheme="minorHAnsi"/>
          <w:noProof/>
        </w:rPr>
        <w:footnoteReference w:id="124"/>
      </w:r>
      <w:r>
        <w:rPr>
          <w:noProof/>
        </w:rPr>
        <w:t xml:space="preserve"> 23. panta 1. punkt</w:t>
      </w:r>
      <w:r>
        <w:rPr>
          <w:noProof/>
        </w:rPr>
        <w:t>a c) apakšpunktu;</w:t>
      </w:r>
      <w:r>
        <w:rPr>
          <w:rFonts w:asciiTheme="minorHAnsi" w:hAnsiTheme="minorHAnsi"/>
          <w:noProof/>
        </w:rPr>
        <w:t xml:space="preserve"> un</w:t>
      </w:r>
    </w:p>
    <w:p w:rsidR="003E022D" w:rsidRDefault="007D19D6">
      <w:pPr>
        <w:pStyle w:val="Point0letter"/>
        <w:numPr>
          <w:ilvl w:val="0"/>
          <w:numId w:val="867"/>
        </w:numPr>
        <w:tabs>
          <w:tab w:val="left" w:pos="851"/>
        </w:tabs>
        <w:ind w:left="851" w:hanging="851"/>
        <w:jc w:val="both"/>
        <w:rPr>
          <w:rFonts w:asciiTheme="minorHAnsi" w:hAnsiTheme="minorHAnsi" w:cstheme="minorHAnsi"/>
          <w:iCs/>
          <w:noProof/>
        </w:rPr>
      </w:pPr>
      <w:r>
        <w:rPr>
          <w:rFonts w:asciiTheme="minorHAnsi" w:hAnsiTheme="minorHAnsi"/>
          <w:noProof/>
        </w:rPr>
        <w:t xml:space="preserve">jebkāda personas datu nosūtīšana uz Savienību saskaņā ar šo pantu var notikt tikai saskaņā ar datu aizsardzības noteikumiem par Apvienotās Karalistes veiktām starptautiskām nosūtīšanām. </w:t>
      </w:r>
    </w:p>
    <w:p w:rsidR="003E022D" w:rsidRDefault="007D19D6">
      <w:pPr>
        <w:rPr>
          <w:rFonts w:cstheme="minorHAnsi"/>
          <w:noProof/>
          <w:color w:val="000000" w:themeColor="text1"/>
        </w:rPr>
      </w:pPr>
      <w:r>
        <w:rPr>
          <w:noProof/>
          <w:color w:val="000000" w:themeColor="text1"/>
        </w:rPr>
        <w:t>2.</w:t>
      </w:r>
      <w:r>
        <w:rPr>
          <w:noProof/>
        </w:rPr>
        <w:tab/>
      </w:r>
      <w:r>
        <w:rPr>
          <w:noProof/>
          <w:color w:val="000000" w:themeColor="text1"/>
        </w:rPr>
        <w:t>Kompetentās iestādes katrā Pusē piešķir un at</w:t>
      </w:r>
      <w:r>
        <w:rPr>
          <w:noProof/>
          <w:color w:val="000000" w:themeColor="text1"/>
        </w:rPr>
        <w:t xml:space="preserve">sauc atbilstīgas piekļuves tiesības </w:t>
      </w:r>
      <w:r>
        <w:rPr>
          <w:i/>
          <w:noProof/>
          <w:color w:val="000000" w:themeColor="text1"/>
        </w:rPr>
        <w:t>IMI</w:t>
      </w:r>
      <w:r>
        <w:rPr>
          <w:noProof/>
          <w:color w:val="000000" w:themeColor="text1"/>
        </w:rPr>
        <w:t xml:space="preserve"> lietotājiem. </w:t>
      </w:r>
    </w:p>
    <w:p w:rsidR="003E022D" w:rsidRDefault="007D19D6">
      <w:pPr>
        <w:rPr>
          <w:rFonts w:cstheme="minorHAnsi"/>
          <w:noProof/>
          <w:color w:val="000000" w:themeColor="text1"/>
        </w:rPr>
      </w:pPr>
      <w:r>
        <w:rPr>
          <w:noProof/>
          <w:color w:val="000000" w:themeColor="text1"/>
        </w:rPr>
        <w:t>3.</w:t>
      </w:r>
      <w:r>
        <w:rPr>
          <w:noProof/>
        </w:rPr>
        <w:tab/>
      </w:r>
      <w:r>
        <w:rPr>
          <w:i/>
          <w:noProof/>
          <w:color w:val="000000" w:themeColor="text1"/>
        </w:rPr>
        <w:t>IMI</w:t>
      </w:r>
      <w:r>
        <w:rPr>
          <w:noProof/>
          <w:color w:val="000000" w:themeColor="text1"/>
        </w:rPr>
        <w:t xml:space="preserve"> lietotājiem ir atļauts piekļūt </w:t>
      </w:r>
      <w:r>
        <w:rPr>
          <w:i/>
          <w:noProof/>
          <w:color w:val="000000" w:themeColor="text1"/>
        </w:rPr>
        <w:t>IMI</w:t>
      </w:r>
      <w:r>
        <w:rPr>
          <w:noProof/>
          <w:color w:val="000000" w:themeColor="text1"/>
        </w:rPr>
        <w:t xml:space="preserve"> sistēmā apstrādātajiem personas datiem tikai tad, ja ir vajadzība pēc informācijas, un vienīgi šīs iedaļas īstenošanas un izpildes nolūkā.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 xml:space="preserve">Katra Puse vai – Savienības gadījumā – katra dalībvalsts var atļaut kompetentajai iestādei, izmantojot citus līdzekļus, nevis </w:t>
      </w:r>
      <w:r>
        <w:rPr>
          <w:i/>
          <w:noProof/>
          <w:color w:val="000000" w:themeColor="text1"/>
        </w:rPr>
        <w:t>IMI</w:t>
      </w:r>
      <w:r>
        <w:rPr>
          <w:noProof/>
          <w:color w:val="000000" w:themeColor="text1"/>
        </w:rPr>
        <w:t xml:space="preserve"> sistēmu, sniegt valsts sociālajiem partneriem attiecīgo </w:t>
      </w:r>
      <w:r>
        <w:rPr>
          <w:i/>
          <w:noProof/>
          <w:color w:val="000000" w:themeColor="text1"/>
        </w:rPr>
        <w:t>IMI</w:t>
      </w:r>
      <w:r>
        <w:rPr>
          <w:noProof/>
          <w:color w:val="000000" w:themeColor="text1"/>
        </w:rPr>
        <w:t xml:space="preserve"> sistēmā pieejamo informāciju, ciktāl tas nepieciešams, lai pārbaud</w:t>
      </w:r>
      <w:r>
        <w:rPr>
          <w:noProof/>
          <w:color w:val="000000" w:themeColor="text1"/>
        </w:rPr>
        <w:t xml:space="preserve">ītu atbilstību norīkošanas darbā noteikumiem, un saskaņā ar valsts tiesību aktiem un praksi, ar noteikumu, ka:  </w:t>
      </w:r>
    </w:p>
    <w:p w:rsidR="003E022D" w:rsidRDefault="007D19D6">
      <w:pPr>
        <w:pStyle w:val="Point0letter"/>
        <w:numPr>
          <w:ilvl w:val="0"/>
          <w:numId w:val="868"/>
        </w:numPr>
        <w:tabs>
          <w:tab w:val="left" w:pos="851"/>
        </w:tabs>
        <w:ind w:left="851" w:hanging="851"/>
        <w:jc w:val="both"/>
        <w:rPr>
          <w:rFonts w:asciiTheme="minorHAnsi" w:hAnsiTheme="minorHAnsi" w:cstheme="minorHAnsi"/>
          <w:noProof/>
        </w:rPr>
      </w:pPr>
      <w:r>
        <w:rPr>
          <w:rFonts w:asciiTheme="minorHAnsi" w:hAnsiTheme="minorHAnsi"/>
          <w:noProof/>
        </w:rPr>
        <w:t xml:space="preserve">informācija attiecas uz norīkošanu darbā attiecīgās Puses vai – Savienības gadījumā – attiecīgās dalībvalsts teritorijā; un </w:t>
      </w:r>
    </w:p>
    <w:p w:rsidR="003E022D" w:rsidRDefault="007D19D6">
      <w:pPr>
        <w:pStyle w:val="Point0letter"/>
        <w:numPr>
          <w:ilvl w:val="0"/>
          <w:numId w:val="868"/>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informācija tiek i</w:t>
      </w:r>
      <w:r>
        <w:rPr>
          <w:rFonts w:asciiTheme="minorHAnsi" w:hAnsiTheme="minorHAnsi"/>
          <w:noProof/>
        </w:rPr>
        <w:t>zmantota vienīgi, lai izpildītu noteikumus par norīkošanu darbā.</w:t>
      </w:r>
      <w:r>
        <w:rPr>
          <w:rFonts w:asciiTheme="minorHAnsi" w:hAnsiTheme="minorHAnsi"/>
          <w:noProof/>
          <w:color w:val="000000" w:themeColor="text1"/>
        </w:rPr>
        <w:t xml:space="preserve">  </w:t>
      </w:r>
    </w:p>
    <w:p w:rsidR="003E022D" w:rsidRDefault="007D19D6">
      <w:pPr>
        <w:rPr>
          <w:rFonts w:cstheme="minorHAnsi"/>
          <w:noProof/>
          <w:color w:val="000000" w:themeColor="text1"/>
        </w:rPr>
      </w:pPr>
      <w:r>
        <w:rPr>
          <w:noProof/>
          <w:color w:val="000000" w:themeColor="text1"/>
        </w:rPr>
        <w:t>5.</w:t>
      </w:r>
      <w:r>
        <w:rPr>
          <w:noProof/>
        </w:rPr>
        <w:tab/>
      </w:r>
      <w:r>
        <w:rPr>
          <w:noProof/>
          <w:color w:val="000000" w:themeColor="text1"/>
        </w:rPr>
        <w:t xml:space="preserve">Specializētā autotransporta komiteja nosaka tehniskās un procedūras specifikācijas IMI sistēmas izmantošanai, ko veic Apvienotā Karaliste. </w:t>
      </w:r>
    </w:p>
    <w:p w:rsidR="003E022D" w:rsidRDefault="007D19D6">
      <w:pPr>
        <w:rPr>
          <w:rFonts w:cstheme="minorHAnsi"/>
          <w:noProof/>
          <w:color w:val="000000" w:themeColor="text1"/>
        </w:rPr>
      </w:pPr>
      <w:r>
        <w:rPr>
          <w:noProof/>
          <w:color w:val="000000" w:themeColor="text1"/>
        </w:rPr>
        <w:t>6.</w:t>
      </w:r>
      <w:r>
        <w:rPr>
          <w:noProof/>
        </w:rPr>
        <w:tab/>
      </w:r>
      <w:r>
        <w:rPr>
          <w:noProof/>
          <w:color w:val="000000" w:themeColor="text1"/>
        </w:rPr>
        <w:t xml:space="preserve">Katra Puse piedalās </w:t>
      </w:r>
      <w:r>
        <w:rPr>
          <w:i/>
          <w:noProof/>
          <w:color w:val="000000" w:themeColor="text1"/>
        </w:rPr>
        <w:t>IMI</w:t>
      </w:r>
      <w:r>
        <w:rPr>
          <w:noProof/>
          <w:color w:val="000000" w:themeColor="text1"/>
        </w:rPr>
        <w:t xml:space="preserve"> sistēmas darbības i</w:t>
      </w:r>
      <w:r>
        <w:rPr>
          <w:noProof/>
          <w:color w:val="000000" w:themeColor="text1"/>
        </w:rPr>
        <w:t>zmaksu segšanā. Specializētā autotransporta komiteja nosaka izmaksas, kas jāsedz katrai Pusei.</w:t>
      </w:r>
    </w:p>
    <w:p w:rsidR="003E022D" w:rsidRDefault="003E022D">
      <w:pPr>
        <w:rPr>
          <w:rFonts w:cstheme="minorHAnsi"/>
          <w:noProof/>
          <w:color w:val="000000" w:themeColor="text1"/>
        </w:rPr>
      </w:pPr>
    </w:p>
    <w:p w:rsidR="003E022D" w:rsidRDefault="007D19D6">
      <w:pPr>
        <w:rPr>
          <w:rFonts w:cstheme="minorHAnsi"/>
          <w:noProof/>
          <w:color w:val="000000" w:themeColor="text1"/>
        </w:rPr>
      </w:pPr>
      <w:r>
        <w:rPr>
          <w:noProof/>
        </w:rPr>
        <w:br w:type="page"/>
      </w:r>
    </w:p>
    <w:p w:rsidR="003E022D" w:rsidRDefault="003E022D">
      <w:pPr>
        <w:rPr>
          <w:rFonts w:cstheme="minorHAnsi"/>
          <w:noProof/>
        </w:rPr>
      </w:pPr>
    </w:p>
    <w:p w:rsidR="003E022D" w:rsidRDefault="007D19D6">
      <w:pPr>
        <w:pStyle w:val="Part2"/>
        <w:rPr>
          <w:rFonts w:asciiTheme="minorHAnsi" w:hAnsiTheme="minorHAnsi" w:cstheme="minorHAnsi"/>
          <w:noProof/>
        </w:rPr>
      </w:pPr>
      <w:r>
        <w:rPr>
          <w:rFonts w:asciiTheme="minorHAnsi" w:hAnsiTheme="minorHAnsi"/>
          <w:noProof/>
        </w:rPr>
        <w:t xml:space="preserve">B DAĻA. Prasības transportlīdzekļa vadītājiem, kas iesaistīti kravu pārvadājumos saskaņā ar šā nolīguma ROAD.7. pantu </w:t>
      </w:r>
    </w:p>
    <w:p w:rsidR="003E022D" w:rsidRDefault="007D19D6">
      <w:pPr>
        <w:pStyle w:val="Section"/>
        <w:rPr>
          <w:rFonts w:cstheme="minorHAnsi"/>
          <w:noProof/>
        </w:rPr>
      </w:pPr>
      <w:r>
        <w:rPr>
          <w:noProof/>
        </w:rPr>
        <w:t>1. iedaļa. Profesionālās kompetences s</w:t>
      </w:r>
      <w:r>
        <w:rPr>
          <w:noProof/>
        </w:rPr>
        <w:t xml:space="preserve">ertifikāts </w:t>
      </w:r>
    </w:p>
    <w:p w:rsidR="003E022D" w:rsidRDefault="007D19D6">
      <w:pPr>
        <w:pStyle w:val="Article"/>
        <w:rPr>
          <w:rFonts w:cstheme="minorHAnsi"/>
          <w:noProof/>
        </w:rPr>
      </w:pPr>
      <w:r>
        <w:rPr>
          <w:noProof/>
        </w:rPr>
        <w:t xml:space="preserve">1. pants. Darbības joma </w:t>
      </w:r>
    </w:p>
    <w:p w:rsidR="003E022D" w:rsidRDefault="007D19D6">
      <w:pPr>
        <w:rPr>
          <w:rFonts w:cstheme="minorHAnsi"/>
          <w:noProof/>
        </w:rPr>
      </w:pPr>
      <w:r>
        <w:rPr>
          <w:noProof/>
        </w:rPr>
        <w:t>Šī iedaļa attiecas uz transportlīdzekļa vadīšanu, ko veic jebkura persona, kuru nodarbina vai izmanto Puses kravu autopārvadātājs, veicot braucienus, kas minēti šā nolīguma ROAD.4. panta [Kravu pārvadāšana starp Pušu te</w:t>
      </w:r>
      <w:r>
        <w:rPr>
          <w:noProof/>
        </w:rPr>
        <w:t>ritorijām, caur tām un tajās], un izmantojot transportlīdzekļus, kuriem nepieciešama C1, C1+E, C vai C+E kategorijas transportlīdzekļa vadītāja apliecība vai transportlīdzekļa vadītāja apliecība, ko par līdzvērtīgu atzinusi Specializētā autotransporta komi</w:t>
      </w:r>
      <w:r>
        <w:rPr>
          <w:noProof/>
        </w:rPr>
        <w:t xml:space="preserve">teja.  </w:t>
      </w:r>
    </w:p>
    <w:p w:rsidR="003E022D" w:rsidRDefault="007D19D6">
      <w:pPr>
        <w:pStyle w:val="Article"/>
        <w:rPr>
          <w:rFonts w:cstheme="minorHAnsi"/>
          <w:noProof/>
        </w:rPr>
      </w:pPr>
      <w:r>
        <w:rPr>
          <w:noProof/>
        </w:rPr>
        <w:t xml:space="preserve">2. pants. Atbrīvojumi </w:t>
      </w:r>
    </w:p>
    <w:p w:rsidR="003E022D" w:rsidRDefault="007D19D6">
      <w:pPr>
        <w:rPr>
          <w:rFonts w:cstheme="minorHAnsi"/>
          <w:noProof/>
        </w:rPr>
      </w:pPr>
      <w:r>
        <w:rPr>
          <w:noProof/>
        </w:rPr>
        <w:t>Profesionālās kompetences sertifikāts (</w:t>
      </w:r>
      <w:r>
        <w:rPr>
          <w:i/>
          <w:noProof/>
        </w:rPr>
        <w:t>CPC</w:t>
      </w:r>
      <w:r>
        <w:rPr>
          <w:noProof/>
        </w:rPr>
        <w:t xml:space="preserve">) netiek prasīts tādu transportlīdzekļu vadītājiem:  </w:t>
      </w:r>
    </w:p>
    <w:p w:rsidR="003E022D" w:rsidRDefault="007D19D6">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kuru maksimālais atļautais ātrums nepārsniedz 45 km/h;  </w:t>
      </w:r>
    </w:p>
    <w:p w:rsidR="003E022D" w:rsidRDefault="007D19D6">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kurus izmanto vai kontrolē valsts bruņotie spēki, civilās aizsardzības d</w:t>
      </w:r>
      <w:r>
        <w:rPr>
          <w:rFonts w:asciiTheme="minorHAnsi" w:hAnsiTheme="minorHAnsi"/>
          <w:noProof/>
        </w:rPr>
        <w:t xml:space="preserve">ienests, ugunsdzēsības dienests, sabiedriskās kārtības uzturēšanas spēki un neatliekamās medicīniskās palīdzības dienests, kad pārvadāšana notiek minētajiem dienestiem noteikto uzdevumu rezultātā; </w:t>
      </w:r>
    </w:p>
    <w:p w:rsidR="003E022D" w:rsidRDefault="007D19D6">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kuriem veic braukšanas pārbaudi tehniskās attīstības, remonta vai apkopes mērķiem, vai transportlīdzekļa vadītājiem, kas vada jaunus vai pārbūvētus transportlīdzekļus, kuri vēl nav nodoti ekspluatācijā; </w:t>
      </w:r>
    </w:p>
    <w:p w:rsidR="003E022D" w:rsidRDefault="007D19D6">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kurus izmanto ārkārtas situācijās vai kuri paredzēti</w:t>
      </w:r>
      <w:r>
        <w:rPr>
          <w:rFonts w:asciiTheme="minorHAnsi" w:hAnsiTheme="minorHAnsi"/>
          <w:noProof/>
        </w:rPr>
        <w:t xml:space="preserve"> glābšanas uzdevumu veikšanai; </w:t>
      </w:r>
    </w:p>
    <w:p w:rsidR="003E022D" w:rsidRDefault="007D19D6">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ar ko pārvadā materiālus, iekārtas vai tehniku, kuru transportlīdzekļa vadītāji izmantos sava darba ietvaros, ja transportlīdzekļu vadīšana nav transportlīdzekļa vadītāja pamatdarbība; vai </w:t>
      </w:r>
    </w:p>
    <w:p w:rsidR="003E022D" w:rsidRDefault="007D19D6">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kurus izmanto vai bez transportlīd</w:t>
      </w:r>
      <w:r>
        <w:rPr>
          <w:rFonts w:asciiTheme="minorHAnsi" w:hAnsiTheme="minorHAnsi"/>
          <w:noProof/>
        </w:rPr>
        <w:t>zekļa vadītāja nomā lauksaimniecības, dārzniecības, mežsaimniecības, zemkopības un zvejniecības uzņēmumi, lai pārvadātu ar savu uzņēmējdarbību saistītas kravas, izņemot gadījumus, kad transportlīdzekļa vadīšana ir daļa no transportlīdzekļa vadītāja pamatda</w:t>
      </w:r>
      <w:r>
        <w:rPr>
          <w:rFonts w:asciiTheme="minorHAnsi" w:hAnsiTheme="minorHAnsi"/>
          <w:noProof/>
        </w:rPr>
        <w:t xml:space="preserve">rbības vai pārsniedz valsts tiesību aktos noteikto attālumu no tā uzņēmuma bāzes vietas, kuram pieder transportlīdzeklis, kurš to nomā vai nomā ar izpirkumu.  </w:t>
      </w:r>
    </w:p>
    <w:p w:rsidR="003E022D" w:rsidRDefault="007D19D6">
      <w:pPr>
        <w:pStyle w:val="Article"/>
        <w:rPr>
          <w:rFonts w:cstheme="minorHAnsi"/>
          <w:noProof/>
        </w:rPr>
      </w:pPr>
      <w:r>
        <w:rPr>
          <w:noProof/>
        </w:rPr>
        <w:t xml:space="preserve"> 3. pants. Kvalifikācija un apmācība  </w:t>
      </w:r>
    </w:p>
    <w:p w:rsidR="003E022D" w:rsidRDefault="007D19D6">
      <w:pPr>
        <w:rPr>
          <w:rFonts w:cstheme="minorHAnsi"/>
          <w:noProof/>
        </w:rPr>
      </w:pPr>
      <w:r>
        <w:rPr>
          <w:noProof/>
        </w:rPr>
        <w:t>1.</w:t>
      </w:r>
      <w:r>
        <w:rPr>
          <w:noProof/>
        </w:rPr>
        <w:tab/>
      </w:r>
      <w:r>
        <w:rPr>
          <w:noProof/>
        </w:rPr>
        <w:t xml:space="preserve">Transportlīdzekļa vadīšanai, kas definēta 1. pantā, ir jāiegūst obligātā sākotnējā kvalifikācija un vajadzīga obligāta periodiska apmācība. Šim nolūkam Puses paredz:  </w:t>
      </w:r>
    </w:p>
    <w:p w:rsidR="003E022D" w:rsidRDefault="007D19D6">
      <w:pPr>
        <w:pStyle w:val="Point0letter"/>
        <w:numPr>
          <w:ilvl w:val="0"/>
          <w:numId w:val="870"/>
        </w:numPr>
        <w:tabs>
          <w:tab w:val="left" w:pos="851"/>
        </w:tabs>
        <w:ind w:left="851" w:hanging="851"/>
        <w:jc w:val="both"/>
        <w:rPr>
          <w:rFonts w:asciiTheme="minorHAnsi" w:hAnsiTheme="minorHAnsi" w:cstheme="minorHAnsi"/>
          <w:noProof/>
        </w:rPr>
      </w:pPr>
      <w:r>
        <w:rPr>
          <w:rFonts w:asciiTheme="minorHAnsi" w:hAnsiTheme="minorHAnsi"/>
          <w:noProof/>
        </w:rPr>
        <w:t>sistēmu sākotnējās kvalifikācijas iegūšanai, kas atbilst vienai no šādām divām iespējām:</w:t>
      </w:r>
      <w:r>
        <w:rPr>
          <w:rFonts w:asciiTheme="minorHAnsi" w:hAnsiTheme="minorHAnsi"/>
          <w:noProof/>
        </w:rPr>
        <w:t xml:space="preserve">  </w:t>
      </w:r>
    </w:p>
    <w:p w:rsidR="003E022D" w:rsidRDefault="007D19D6">
      <w:pPr>
        <w:pStyle w:val="Point0letter"/>
        <w:numPr>
          <w:ilvl w:val="0"/>
          <w:numId w:val="871"/>
        </w:numPr>
        <w:tabs>
          <w:tab w:val="left" w:pos="851"/>
        </w:tabs>
        <w:jc w:val="both"/>
        <w:rPr>
          <w:rFonts w:asciiTheme="minorHAnsi" w:hAnsiTheme="minorHAnsi" w:cstheme="minorHAnsi"/>
          <w:noProof/>
          <w:color w:val="000000" w:themeColor="text1"/>
        </w:rPr>
      </w:pPr>
      <w:r>
        <w:rPr>
          <w:rFonts w:asciiTheme="minorHAnsi" w:hAnsiTheme="minorHAnsi"/>
          <w:noProof/>
          <w:color w:val="000000" w:themeColor="text1"/>
        </w:rPr>
        <w:t xml:space="preserve">iespēja, kas apvieno nodarbību apmeklēšanu un testu  </w:t>
      </w:r>
    </w:p>
    <w:p w:rsidR="003E022D" w:rsidRDefault="007D19D6">
      <w:pPr>
        <w:rPr>
          <w:rFonts w:cstheme="minorHAnsi"/>
          <w:noProof/>
        </w:rPr>
      </w:pPr>
      <w:r>
        <w:rPr>
          <w:noProof/>
        </w:rPr>
        <w:t>Saskaņā ar ROAD.B.1.1. papildinājuma 2. iedaļas 2.1. punktu šāda veida sākotnējās kvalifikācijas iegūšana ietver obligātu nodarbību apmeklēšanu noteiktu laiku. To noslēdz tests. Pēc sekmīgas testa no</w:t>
      </w:r>
      <w:r>
        <w:rPr>
          <w:noProof/>
        </w:rPr>
        <w:t xml:space="preserve">kārtošanas kvalifikāciju apliecina ar 6. panta 1. punkta a) apakšpunktā paredzēto CPC; </w:t>
      </w:r>
    </w:p>
    <w:p w:rsidR="003E022D" w:rsidRDefault="007D19D6">
      <w:pPr>
        <w:pStyle w:val="ListParagraph"/>
        <w:numPr>
          <w:ilvl w:val="0"/>
          <w:numId w:val="871"/>
        </w:numPr>
        <w:spacing w:after="160" w:line="254" w:lineRule="auto"/>
        <w:rPr>
          <w:rFonts w:cstheme="minorHAnsi"/>
          <w:noProof/>
        </w:rPr>
      </w:pPr>
      <w:r>
        <w:rPr>
          <w:noProof/>
        </w:rPr>
        <w:t xml:space="preserve">iespēja, kas ietver tikai testus  </w:t>
      </w:r>
    </w:p>
    <w:p w:rsidR="003E022D" w:rsidRDefault="007D19D6">
      <w:pPr>
        <w:rPr>
          <w:rFonts w:cstheme="minorHAnsi"/>
          <w:noProof/>
        </w:rPr>
      </w:pPr>
      <w:r>
        <w:rPr>
          <w:noProof/>
        </w:rPr>
        <w:t>Saskaņā ar ROAD.B.1.1. papildinājuma 2. iedaļas 2.2. punktu šāda veida sākotnējās kvalifikācijas iegūšana neietver obligātu nodarbību</w:t>
      </w:r>
      <w:r>
        <w:rPr>
          <w:noProof/>
        </w:rPr>
        <w:t xml:space="preserve"> apmeklēšanu, bet tikai teorētiskos un praktiskos testus. Pēc sekmīgas testu nokārtošanas kvalifikāciju apliecina ar 6. panta 1. punkta b) apakšpunktā paredzēto CPC.  </w:t>
      </w:r>
    </w:p>
    <w:p w:rsidR="003E022D" w:rsidRDefault="007D19D6">
      <w:pPr>
        <w:rPr>
          <w:rFonts w:cstheme="minorHAnsi"/>
          <w:noProof/>
        </w:rPr>
      </w:pPr>
      <w:r>
        <w:rPr>
          <w:noProof/>
        </w:rPr>
        <w:t xml:space="preserve">Taču Puse var atļaut transportlīdzekļa vadītājam vadīt transportlīdzekli tās teritorijā </w:t>
      </w:r>
      <w:r>
        <w:rPr>
          <w:noProof/>
        </w:rPr>
        <w:t xml:space="preserve">pirms </w:t>
      </w:r>
      <w:r>
        <w:rPr>
          <w:i/>
          <w:noProof/>
        </w:rPr>
        <w:t>CPC</w:t>
      </w:r>
      <w:r>
        <w:rPr>
          <w:noProof/>
        </w:rPr>
        <w:t xml:space="preserve"> iegūšanas ilgākais trīs gadus, ja transportlīdzekļa vadītājs vismaz sešus mēnešus apmeklē arodmācības šajā valstī. Minēto arodmācību sakarā šā punkta i) un ii) punktā minētos testus drīkst kārtot pakāpeniski;  </w:t>
      </w:r>
    </w:p>
    <w:p w:rsidR="003E022D" w:rsidRDefault="007D19D6">
      <w:pPr>
        <w:pStyle w:val="ListParagraph"/>
        <w:numPr>
          <w:ilvl w:val="0"/>
          <w:numId w:val="870"/>
        </w:numPr>
        <w:spacing w:after="160" w:line="254" w:lineRule="auto"/>
        <w:ind w:left="851" w:hanging="851"/>
        <w:rPr>
          <w:rFonts w:cstheme="minorHAnsi"/>
          <w:noProof/>
        </w:rPr>
      </w:pPr>
      <w:r>
        <w:rPr>
          <w:noProof/>
        </w:rPr>
        <w:t xml:space="preserve">periodiskas apmācības sistēmu  </w:t>
      </w:r>
    </w:p>
    <w:p w:rsidR="003E022D" w:rsidRDefault="007D19D6">
      <w:pPr>
        <w:rPr>
          <w:rFonts w:cstheme="minorHAnsi"/>
          <w:noProof/>
        </w:rPr>
      </w:pPr>
      <w:r>
        <w:rPr>
          <w:noProof/>
        </w:rPr>
        <w:t>Sas</w:t>
      </w:r>
      <w:r>
        <w:rPr>
          <w:noProof/>
        </w:rPr>
        <w:t xml:space="preserve">kaņā ar ROAD.B.1.1. papildinājuma 4. iedaļu periodiska apmācība ietver obligātu nodarbību apmeklēšanu. To apliecina ar 8. panta 1. punktā paredzēto </w:t>
      </w:r>
      <w:r>
        <w:rPr>
          <w:i/>
          <w:iCs/>
          <w:noProof/>
        </w:rPr>
        <w:t>CPC</w:t>
      </w:r>
      <w:r>
        <w:rPr>
          <w:noProof/>
        </w:rPr>
        <w:t xml:space="preserve">.  </w:t>
      </w:r>
    </w:p>
    <w:p w:rsidR="003E022D" w:rsidRDefault="007D19D6">
      <w:pPr>
        <w:rPr>
          <w:rFonts w:cstheme="minorHAnsi"/>
          <w:noProof/>
        </w:rPr>
      </w:pPr>
      <w:r>
        <w:rPr>
          <w:noProof/>
        </w:rPr>
        <w:t>2.</w:t>
      </w:r>
      <w:r>
        <w:rPr>
          <w:noProof/>
        </w:rPr>
        <w:tab/>
        <w:t>Puse var paredzēt arī sistēmu sākotnējās kvalifikācijas paātrinātai iegūšanai, lai transportlīdzek</w:t>
      </w:r>
      <w:r>
        <w:rPr>
          <w:noProof/>
        </w:rPr>
        <w:t xml:space="preserve">ļa vadītājs drīkstētu vadīt transportlīdzekli gadījumos, kas minēti 5. panta 2. punkta a) apakšpunkta ii) punktā un b) apakšpunktā.  </w:t>
      </w:r>
    </w:p>
    <w:p w:rsidR="003E022D" w:rsidRDefault="007D19D6">
      <w:pPr>
        <w:rPr>
          <w:rFonts w:cstheme="minorHAnsi"/>
          <w:noProof/>
        </w:rPr>
      </w:pPr>
      <w:r>
        <w:rPr>
          <w:noProof/>
        </w:rPr>
        <w:t>Saskaņā ar ROAD.B.1.1. papildinājuma 3. iedaļu sākotnējās kvalifikācijas paātrinātā iegūšana ietver obligātu nodarbību apm</w:t>
      </w:r>
      <w:r>
        <w:rPr>
          <w:noProof/>
        </w:rPr>
        <w:t xml:space="preserve">eklēšanu. To noslēdz tests. Pēc sekmīgas testa nokārtošanas kvalifikāciju apliecina ar 6. panta 2. punktā paredzēto CPC.  </w:t>
      </w:r>
    </w:p>
    <w:p w:rsidR="003E022D" w:rsidRDefault="007D19D6">
      <w:pPr>
        <w:rPr>
          <w:rFonts w:cstheme="minorHAnsi"/>
          <w:noProof/>
        </w:rPr>
      </w:pPr>
      <w:r>
        <w:rPr>
          <w:noProof/>
        </w:rPr>
        <w:t>3.</w:t>
      </w:r>
      <w:r>
        <w:rPr>
          <w:noProof/>
        </w:rPr>
        <w:tab/>
        <w:t>Puse var atbrīvot transportlīdzekļa vadītājus, kas ieguvuši A daļas 1. iedaļas 8. pantā paredzēto profesionālās kompetences sertif</w:t>
      </w:r>
      <w:r>
        <w:rPr>
          <w:noProof/>
        </w:rPr>
        <w:t xml:space="preserve">ikātu, no šā panta 1. punkta a) apakšpunkta i) un ii) daļā un 2. punktā minētajiem testiem priekšmetos, kuri ietverti šā pielikuma minētajā daļā paredzētajā testā, un attiecīgā gadījumā – no tiem atbilstošās nodarbību daļas apmeklēšanas. </w:t>
      </w:r>
    </w:p>
    <w:p w:rsidR="003E022D" w:rsidRDefault="007D19D6">
      <w:pPr>
        <w:pStyle w:val="Article"/>
        <w:rPr>
          <w:rFonts w:cstheme="minorHAnsi"/>
          <w:noProof/>
        </w:rPr>
      </w:pPr>
      <w:r>
        <w:rPr>
          <w:noProof/>
        </w:rPr>
        <w:t>4. pants. Iegūtās</w:t>
      </w:r>
      <w:r>
        <w:rPr>
          <w:noProof/>
        </w:rPr>
        <w:t xml:space="preserve"> tiesības  </w:t>
      </w:r>
    </w:p>
    <w:p w:rsidR="003E022D" w:rsidRDefault="007D19D6">
      <w:pPr>
        <w:rPr>
          <w:rFonts w:cstheme="minorHAnsi"/>
          <w:noProof/>
        </w:rPr>
      </w:pPr>
      <w:r>
        <w:rPr>
          <w:noProof/>
        </w:rPr>
        <w:t>Transportlīdzekļa vadītājus, kuriem ir C1, C1+E, C vai C+E kategorijas transportlīdzekļa vadītāja apliecība vai apliecība, ko Specializētā autotransporta komiteja atzinusi par līdzvērtīgu un kas izdota ne vēlāk kā 2009. gada 10. septembrī, atbr</w:t>
      </w:r>
      <w:r>
        <w:rPr>
          <w:noProof/>
        </w:rPr>
        <w:t xml:space="preserve">īvo no prasības iegūt sākotnējo kvalifikāciju. </w:t>
      </w:r>
    </w:p>
    <w:p w:rsidR="003E022D" w:rsidRDefault="007D19D6">
      <w:pPr>
        <w:pStyle w:val="Article"/>
        <w:rPr>
          <w:rFonts w:cstheme="minorHAnsi"/>
          <w:noProof/>
        </w:rPr>
      </w:pPr>
      <w:r>
        <w:rPr>
          <w:noProof/>
        </w:rPr>
        <w:t xml:space="preserve">5. pants. Sākotnējās kvalifikācijas iegūšana  </w:t>
      </w:r>
    </w:p>
    <w:p w:rsidR="003E022D" w:rsidRDefault="007D19D6">
      <w:pPr>
        <w:rPr>
          <w:rFonts w:cstheme="minorHAnsi"/>
          <w:noProof/>
        </w:rPr>
      </w:pPr>
      <w:r>
        <w:rPr>
          <w:noProof/>
        </w:rPr>
        <w:t>1.</w:t>
      </w:r>
      <w:r>
        <w:rPr>
          <w:noProof/>
        </w:rPr>
        <w:tab/>
        <w:t xml:space="preserve">Pirms sākotnējās kvalifikācijas iegūšanas nav nepieciešams iegūt attiecīgo transportlīdzekļa vadītāja apliecību.  </w:t>
      </w:r>
    </w:p>
    <w:p w:rsidR="003E022D" w:rsidRDefault="007D19D6">
      <w:pPr>
        <w:rPr>
          <w:rFonts w:cstheme="minorHAnsi"/>
          <w:noProof/>
        </w:rPr>
      </w:pPr>
      <w:r>
        <w:rPr>
          <w:noProof/>
        </w:rPr>
        <w:t>2.</w:t>
      </w:r>
      <w:r>
        <w:rPr>
          <w:noProof/>
        </w:rPr>
        <w:tab/>
      </w:r>
      <w:r>
        <w:rPr>
          <w:noProof/>
        </w:rPr>
        <w:t xml:space="preserve">Kravu pārvadāšanai paredzēta transportlīdzekļa vadītāji drīkst vadīt:  </w:t>
      </w:r>
    </w:p>
    <w:p w:rsidR="003E022D" w:rsidRDefault="007D19D6">
      <w:pPr>
        <w:pStyle w:val="ListParagraph"/>
        <w:numPr>
          <w:ilvl w:val="0"/>
          <w:numId w:val="872"/>
        </w:numPr>
        <w:spacing w:after="160" w:line="254" w:lineRule="auto"/>
        <w:ind w:left="851" w:hanging="851"/>
        <w:rPr>
          <w:rFonts w:cstheme="minorHAnsi"/>
          <w:noProof/>
        </w:rPr>
      </w:pPr>
      <w:r>
        <w:rPr>
          <w:noProof/>
        </w:rPr>
        <w:t xml:space="preserve">no 18 gadiem:  </w:t>
      </w:r>
    </w:p>
    <w:p w:rsidR="003E022D" w:rsidRDefault="007D19D6">
      <w:pPr>
        <w:pStyle w:val="ListParagraph"/>
        <w:numPr>
          <w:ilvl w:val="0"/>
          <w:numId w:val="873"/>
        </w:numPr>
        <w:spacing w:after="160" w:line="254" w:lineRule="auto"/>
        <w:rPr>
          <w:rFonts w:cstheme="minorHAnsi"/>
          <w:noProof/>
        </w:rPr>
      </w:pPr>
      <w:r>
        <w:rPr>
          <w:noProof/>
        </w:rPr>
        <w:t xml:space="preserve">vadītāja apliecībā norādītās C un C+E kategorijas transportlīdzekli, ja tiem ir </w:t>
      </w:r>
      <w:r>
        <w:rPr>
          <w:i/>
          <w:iCs/>
          <w:noProof/>
        </w:rPr>
        <w:t>CPC</w:t>
      </w:r>
      <w:r>
        <w:rPr>
          <w:noProof/>
        </w:rPr>
        <w:t xml:space="preserve">, kas minēts 6. panta 1. punktā; un </w:t>
      </w:r>
    </w:p>
    <w:p w:rsidR="003E022D" w:rsidRDefault="007D19D6">
      <w:pPr>
        <w:pStyle w:val="ListParagraph"/>
        <w:numPr>
          <w:ilvl w:val="0"/>
          <w:numId w:val="873"/>
        </w:numPr>
        <w:spacing w:after="160" w:line="254" w:lineRule="auto"/>
        <w:rPr>
          <w:rFonts w:cstheme="minorHAnsi"/>
          <w:noProof/>
        </w:rPr>
      </w:pPr>
      <w:r>
        <w:rPr>
          <w:noProof/>
        </w:rPr>
        <w:t>vadītāja apliecībā norādītās C1 un C1+E kategori</w:t>
      </w:r>
      <w:r>
        <w:rPr>
          <w:noProof/>
        </w:rPr>
        <w:t xml:space="preserve">jas transportlīdzekli, ja tiem ir </w:t>
      </w:r>
      <w:r>
        <w:rPr>
          <w:i/>
          <w:iCs/>
          <w:noProof/>
        </w:rPr>
        <w:t>CPC</w:t>
      </w:r>
      <w:r>
        <w:rPr>
          <w:noProof/>
        </w:rPr>
        <w:t xml:space="preserve">, kas minēts 6. panta 2. punktā;  </w:t>
      </w:r>
    </w:p>
    <w:p w:rsidR="003E022D" w:rsidRDefault="007D19D6">
      <w:pPr>
        <w:pStyle w:val="ListParagraph"/>
        <w:numPr>
          <w:ilvl w:val="0"/>
          <w:numId w:val="872"/>
        </w:numPr>
        <w:spacing w:after="160" w:line="254" w:lineRule="auto"/>
        <w:ind w:left="851" w:hanging="851"/>
        <w:rPr>
          <w:rFonts w:cstheme="minorHAnsi"/>
          <w:noProof/>
        </w:rPr>
      </w:pPr>
      <w:r>
        <w:rPr>
          <w:noProof/>
        </w:rPr>
        <w:t xml:space="preserve">no 21 gada – vadītāja apliecībā norādītās C un C+E kategorijas transportlīdzekli, ja tiem ir CPC, kas minēts 6. panta 2. punktā.  </w:t>
      </w:r>
    </w:p>
    <w:p w:rsidR="003E022D" w:rsidRDefault="007D19D6">
      <w:pPr>
        <w:rPr>
          <w:rFonts w:cstheme="minorHAnsi"/>
          <w:noProof/>
        </w:rPr>
      </w:pPr>
      <w:r>
        <w:rPr>
          <w:noProof/>
        </w:rPr>
        <w:t>3.</w:t>
      </w:r>
      <w:r>
        <w:rPr>
          <w:noProof/>
        </w:rPr>
        <w:tab/>
        <w:t>Neskarot 2. punktā noteiktos vecuma ierobežojumus,</w:t>
      </w:r>
      <w:r>
        <w:rPr>
          <w:noProof/>
        </w:rPr>
        <w:t xml:space="preserve"> vadītājus, kuri uzņemas pārvadāt kravas un kuriem ir kāda no šā panta 2. punktā paredzētās kategorijas transportlīdzekļa APA, kas minētas 6. pantā, atbrīvo no šādas APA iegūšanas attiecībā uz jebkuru citu minētajā punktā norādīto kategoriju.  </w:t>
      </w:r>
    </w:p>
    <w:p w:rsidR="003E022D" w:rsidRDefault="007D19D6">
      <w:pPr>
        <w:rPr>
          <w:rFonts w:cstheme="minorHAnsi"/>
          <w:noProof/>
        </w:rPr>
      </w:pPr>
      <w:r>
        <w:rPr>
          <w:noProof/>
        </w:rPr>
        <w:t>4.</w:t>
      </w:r>
      <w:r>
        <w:rPr>
          <w:noProof/>
        </w:rPr>
        <w:tab/>
        <w:t>Transpor</w:t>
      </w:r>
      <w:r>
        <w:rPr>
          <w:noProof/>
        </w:rPr>
        <w:t>tlīdzekļa vadītājiem, kuri veic kravu pārvadājumus un kas paplašina vai maina savu darbību, lai pārvadātu pasažierus, vai otrādi, un kam ir 6. pantā minētais CPC, neprasa atkārtot sākotnējās kvalifikācijas iegūšanai paredzētās vispārīgās daļas, bet gan tik</w:t>
      </w:r>
      <w:r>
        <w:rPr>
          <w:noProof/>
        </w:rPr>
        <w:t xml:space="preserve">ai tās daļas, kas ir specifiskas jaunajai kvalifikācijai. </w:t>
      </w:r>
    </w:p>
    <w:p w:rsidR="003E022D" w:rsidRDefault="007D19D6">
      <w:pPr>
        <w:pStyle w:val="Article"/>
        <w:rPr>
          <w:rFonts w:cstheme="minorHAnsi"/>
          <w:noProof/>
        </w:rPr>
      </w:pPr>
      <w:r>
        <w:rPr>
          <w:noProof/>
        </w:rPr>
        <w:t xml:space="preserve">6. pants. Sākotnējās kvalifikācijas iegūšanu apliecinošs </w:t>
      </w:r>
      <w:r>
        <w:rPr>
          <w:i/>
          <w:iCs/>
          <w:noProof/>
        </w:rPr>
        <w:t>CPC</w:t>
      </w:r>
      <w:r>
        <w:rPr>
          <w:b/>
          <w:noProof/>
        </w:rPr>
        <w:t xml:space="preserve"> </w:t>
      </w:r>
    </w:p>
    <w:p w:rsidR="003E022D" w:rsidRDefault="007D19D6">
      <w:pPr>
        <w:rPr>
          <w:rFonts w:cstheme="minorHAnsi"/>
          <w:noProof/>
        </w:rPr>
      </w:pPr>
      <w:r>
        <w:rPr>
          <w:noProof/>
        </w:rPr>
        <w:t>1.</w:t>
      </w:r>
      <w:r>
        <w:rPr>
          <w:noProof/>
        </w:rPr>
        <w:tab/>
        <w:t xml:space="preserve">Sākotnējās kvalifikācijas iegūšanu apliecinošs </w:t>
      </w:r>
      <w:r>
        <w:rPr>
          <w:i/>
          <w:noProof/>
        </w:rPr>
        <w:t>CPC</w:t>
      </w:r>
      <w:r>
        <w:rPr>
          <w:noProof/>
        </w:rPr>
        <w:t xml:space="preserve">  </w:t>
      </w:r>
    </w:p>
    <w:p w:rsidR="003E022D" w:rsidRDefault="007D19D6">
      <w:pPr>
        <w:pStyle w:val="ListParagraph"/>
        <w:numPr>
          <w:ilvl w:val="0"/>
          <w:numId w:val="874"/>
        </w:numPr>
        <w:spacing w:after="160" w:line="254" w:lineRule="auto"/>
        <w:ind w:left="851" w:hanging="851"/>
        <w:rPr>
          <w:rFonts w:cstheme="minorHAnsi"/>
          <w:noProof/>
        </w:rPr>
      </w:pPr>
      <w:r>
        <w:rPr>
          <w:i/>
          <w:noProof/>
        </w:rPr>
        <w:t>CPC</w:t>
      </w:r>
      <w:r>
        <w:rPr>
          <w:noProof/>
        </w:rPr>
        <w:t xml:space="preserve">, kas piešķirts, pamatojoties uz nodarbību apmeklēšanu un testu  </w:t>
      </w:r>
    </w:p>
    <w:p w:rsidR="003E022D" w:rsidRDefault="007D19D6">
      <w:pPr>
        <w:rPr>
          <w:rFonts w:cstheme="minorHAnsi"/>
          <w:noProof/>
        </w:rPr>
      </w:pPr>
      <w:r>
        <w:rPr>
          <w:noProof/>
        </w:rPr>
        <w:t>Saskaņā ar</w:t>
      </w:r>
      <w:r>
        <w:rPr>
          <w:noProof/>
        </w:rPr>
        <w:t xml:space="preserve"> 3. panta 1. punkta a) apakšpunkta i) punktu Puses prasa, lai apmācāmais transportlīdzekļa vadītājs apmeklētu nodarbības mācību centrā, ko kompetentās iestādes apstiprinājušas saskaņā ar ROAD.B.1.1. papildinājuma 5. iedaļu, turpmāk — “apstiprinātais mācību</w:t>
      </w:r>
      <w:r>
        <w:rPr>
          <w:noProof/>
        </w:rPr>
        <w:t xml:space="preserve"> centrs”. Minētās nodarbības aptver visus priekšmetus, kas minēti ROAD.B.1.1. papildinājuma 1. iedaļā. Minēto apmācību noslēdz ROAD.B.1.1. papildinājuma 2. iedaļas 2.1. punktā paredzētā testa veiksmīga nokārtošana. Minēto testu organizē kompetentās iestāde</w:t>
      </w:r>
      <w:r>
        <w:rPr>
          <w:noProof/>
        </w:rPr>
        <w:t>s Pusēs vai to izraudzīta struktūra, un tā mērķis ir pārbaudīt, vai apmācāmajam transportlīdzekļa vadītājam iepriekš minētajos priekšmetos ir ROAD.B.1.1. papildinājuma 1. iedaļā noteiktais zināšanu līmenis. Minētās iestādes vai struktūras pārrauga testu un</w:t>
      </w:r>
      <w:r>
        <w:rPr>
          <w:noProof/>
        </w:rPr>
        <w:t xml:space="preserve"> pēc veiksmīgas nokārtošanas izdod transportlīdzekļa vadītajiem sākotnējās kvalifikācijas iegūšanu apliecinošu </w:t>
      </w:r>
      <w:r>
        <w:rPr>
          <w:i/>
          <w:noProof/>
        </w:rPr>
        <w:t>CPC</w:t>
      </w:r>
      <w:r>
        <w:rPr>
          <w:noProof/>
        </w:rPr>
        <w:t xml:space="preserve">.  </w:t>
      </w:r>
    </w:p>
    <w:p w:rsidR="003E022D" w:rsidRDefault="007D19D6">
      <w:pPr>
        <w:pStyle w:val="ListParagraph"/>
        <w:numPr>
          <w:ilvl w:val="0"/>
          <w:numId w:val="874"/>
        </w:numPr>
        <w:spacing w:after="160" w:line="254" w:lineRule="auto"/>
        <w:ind w:left="851" w:hanging="851"/>
        <w:rPr>
          <w:rFonts w:cstheme="minorHAnsi"/>
          <w:noProof/>
        </w:rPr>
      </w:pPr>
      <w:r>
        <w:rPr>
          <w:i/>
          <w:noProof/>
        </w:rPr>
        <w:t>CPC</w:t>
      </w:r>
      <w:r>
        <w:rPr>
          <w:noProof/>
        </w:rPr>
        <w:t xml:space="preserve">, kas piešķirts, pamatojoties uz testiem  </w:t>
      </w:r>
    </w:p>
    <w:p w:rsidR="003E022D" w:rsidRDefault="007D19D6">
      <w:pPr>
        <w:rPr>
          <w:rFonts w:cstheme="minorHAnsi"/>
          <w:noProof/>
        </w:rPr>
      </w:pPr>
      <w:r>
        <w:rPr>
          <w:noProof/>
        </w:rPr>
        <w:t>Saskaņā ar 3. panta 1. punkta a) apakšpunkta ii) punktu Puses prasa, lai apmācāmais transportlīdzekļa vadītājs nokārtotu teorētiskos un praktiskos testus, kas minēti ROAD.B.1.1. papildinājuma 2. iedaļas 2.2. punktā. Minētos testus organizē kompetentās iest</w:t>
      </w:r>
      <w:r>
        <w:rPr>
          <w:noProof/>
        </w:rPr>
        <w:t xml:space="preserve">ādes Pusēs vai to izraudzīta struktūra un to mērķis ir pārbaudīt, vai visos iepriekš minētajos priekšmetos apmācāmajam transportlīdzekļa vadītājam ir ROAD.B.1.1. papildinājuma 1. iedaļā noteiktais zināšanu līmenis. Minētās iestādes vai struktūras pārrauga </w:t>
      </w:r>
      <w:r>
        <w:rPr>
          <w:noProof/>
        </w:rPr>
        <w:t xml:space="preserve">testus un pēc veiksmīgas nokārtošanas izdod transportlīdzekļa vadītajiem sākotnējās kvalifikācijas iegūšanu apliecinošu </w:t>
      </w:r>
      <w:r>
        <w:rPr>
          <w:i/>
          <w:noProof/>
        </w:rPr>
        <w:t>CPC</w:t>
      </w:r>
      <w:r>
        <w:rPr>
          <w:noProof/>
        </w:rPr>
        <w:t xml:space="preserve">.  </w:t>
      </w:r>
    </w:p>
    <w:p w:rsidR="003E022D" w:rsidRDefault="007D19D6">
      <w:pPr>
        <w:rPr>
          <w:rFonts w:cstheme="minorHAnsi"/>
          <w:noProof/>
        </w:rPr>
      </w:pPr>
      <w:r>
        <w:rPr>
          <w:noProof/>
        </w:rPr>
        <w:t>2.</w:t>
      </w:r>
      <w:r>
        <w:rPr>
          <w:noProof/>
        </w:rPr>
        <w:tab/>
        <w:t xml:space="preserve"> Sākotnējās kvalifikācijas paātrinātu iegūšanu apliecinošs </w:t>
      </w:r>
      <w:r>
        <w:rPr>
          <w:i/>
          <w:noProof/>
        </w:rPr>
        <w:t>CPC</w:t>
      </w:r>
      <w:r>
        <w:rPr>
          <w:noProof/>
        </w:rPr>
        <w:t xml:space="preserve">  </w:t>
      </w:r>
    </w:p>
    <w:p w:rsidR="003E022D" w:rsidRDefault="007D19D6">
      <w:pPr>
        <w:rPr>
          <w:rFonts w:cstheme="minorHAnsi"/>
          <w:noProof/>
        </w:rPr>
      </w:pPr>
      <w:r>
        <w:rPr>
          <w:noProof/>
        </w:rPr>
        <w:t>Saskaņā ar 3. panta 2. punktu Puses prasa apmācāmajiem transp</w:t>
      </w:r>
      <w:r>
        <w:rPr>
          <w:noProof/>
        </w:rPr>
        <w:t xml:space="preserve">ortlīdzekļa vadītājiem apmeklēt nodarbības apstiprinātā mācību centrā. Minētās nodarbības aptver visus priekšmetus, kas minēti ROAD.B.1.1. papildinājuma 1. iedaļā.  </w:t>
      </w:r>
    </w:p>
    <w:p w:rsidR="003E022D" w:rsidRDefault="007D19D6">
      <w:pPr>
        <w:rPr>
          <w:rFonts w:cstheme="minorHAnsi"/>
          <w:noProof/>
        </w:rPr>
      </w:pPr>
      <w:r>
        <w:rPr>
          <w:noProof/>
        </w:rPr>
        <w:t>Minēto apmācību noslēdz ROAD.B.1.1. papildinājuma 3. iedaļā paredzētais tests. Minēto test</w:t>
      </w:r>
      <w:r>
        <w:rPr>
          <w:noProof/>
        </w:rPr>
        <w:t>u organizē kompetentās iestādes Pusēs vai to izraudzīta struktūra, un tā mērķis ir pārbaudīt, vai apmācāmajam transportlīdzekļa vadītājam iepriekš minētajos priekšmetos ir ROAD.B.1.1. papildinājuma 1. iedaļā noteiktais zināšanu līmenis. Minētās iestādes va</w:t>
      </w:r>
      <w:r>
        <w:rPr>
          <w:noProof/>
        </w:rPr>
        <w:t xml:space="preserve">i struktūras pārrauga testu un pēc veiksmīgas nokārtošanas izdod transportlīdzekļa vadītajiem sākotnējās kvalifikācijas paātrinātu iegūšanu apliecinošu </w:t>
      </w:r>
      <w:r>
        <w:rPr>
          <w:i/>
          <w:noProof/>
        </w:rPr>
        <w:t>CPC</w:t>
      </w:r>
      <w:r>
        <w:rPr>
          <w:noProof/>
        </w:rPr>
        <w:t xml:space="preserve">.  </w:t>
      </w:r>
    </w:p>
    <w:p w:rsidR="003E022D" w:rsidRDefault="007D19D6">
      <w:pPr>
        <w:pStyle w:val="Article"/>
        <w:rPr>
          <w:rFonts w:cstheme="minorHAnsi"/>
          <w:noProof/>
        </w:rPr>
      </w:pPr>
      <w:r>
        <w:rPr>
          <w:noProof/>
        </w:rPr>
        <w:t xml:space="preserve">7. pants. Periodiska apmācība  </w:t>
      </w:r>
    </w:p>
    <w:p w:rsidR="003E022D" w:rsidRDefault="007D19D6">
      <w:pPr>
        <w:rPr>
          <w:rFonts w:cstheme="minorHAnsi"/>
          <w:noProof/>
        </w:rPr>
      </w:pPr>
      <w:r>
        <w:rPr>
          <w:noProof/>
        </w:rPr>
        <w:t xml:space="preserve">Periodisku apmācību veido apmācības, ko organizē, lai </w:t>
      </w:r>
      <w:r>
        <w:rPr>
          <w:i/>
          <w:noProof/>
        </w:rPr>
        <w:t>CPC</w:t>
      </w:r>
      <w:r>
        <w:rPr>
          <w:noProof/>
        </w:rPr>
        <w:t xml:space="preserve"> turētāj</w:t>
      </w:r>
      <w:r>
        <w:rPr>
          <w:noProof/>
        </w:rPr>
        <w:t xml:space="preserve">i varētu atjaunot zināšanas, kas ir būtiskas viņu darbā, īpašu vērību veltot ceļu satiksmes drošībai, darba aizsardzībai un tam, kā samazināt braukšanas ietekmi uz vidi.  </w:t>
      </w:r>
    </w:p>
    <w:p w:rsidR="003E022D" w:rsidRDefault="007D19D6">
      <w:pPr>
        <w:rPr>
          <w:rFonts w:cstheme="minorHAnsi"/>
          <w:noProof/>
        </w:rPr>
      </w:pPr>
      <w:r>
        <w:rPr>
          <w:noProof/>
        </w:rPr>
        <w:t>Minēto apmācību organizē apstiprināts mācību centrs saskaņā ar ROAD.B.1.1. papildinā</w:t>
      </w:r>
      <w:r>
        <w:rPr>
          <w:noProof/>
        </w:rPr>
        <w:t>juma 5. iedaļu. Apmācību veido teorētiskās mācības, praktiskā apmācība un, ja iespējams, apmācība ar informācijas un komunikācijas tehnoloģiju (IKT) rīkiem vai visaugstākās klases simulatoros. Ja transportlīdzekļa vadītājs pāriet uz citu uzņēmumu, jāņem vē</w:t>
      </w:r>
      <w:r>
        <w:rPr>
          <w:noProof/>
        </w:rPr>
        <w:t xml:space="preserve">rā iepriekš gūtā periodiskā apmācība.  </w:t>
      </w:r>
    </w:p>
    <w:p w:rsidR="003E022D" w:rsidRDefault="007D19D6">
      <w:pPr>
        <w:rPr>
          <w:rFonts w:cstheme="minorHAnsi"/>
          <w:noProof/>
        </w:rPr>
      </w:pPr>
      <w:r>
        <w:rPr>
          <w:noProof/>
        </w:rPr>
        <w:t>Periodisku apmācību veido, lai padziļināti apgūtu un atkārtotu dažus ROAD.B.1.1. papildinājuma 1. iedaļā minētos priekšmetus. Tā aptver dažādus priekšmetus, un tajā vienmēr iekļauj vismaz vienu ar ceļu satiksmes droš</w:t>
      </w:r>
      <w:r>
        <w:rPr>
          <w:noProof/>
        </w:rPr>
        <w:t xml:space="preserve">ību saistītu priekšmetu. Apmācības priekšmetos ņem vērā jaunākās norises attiecīgajos tiesību aktos un tehnoloģijā un, cik vien iespējams, ņem vērā transportlīdzekļa vadītāja konkrētās apmācības vajadzības.  </w:t>
      </w:r>
    </w:p>
    <w:p w:rsidR="003E022D" w:rsidRDefault="007D19D6">
      <w:pPr>
        <w:pStyle w:val="Article"/>
        <w:rPr>
          <w:rFonts w:cstheme="minorHAnsi"/>
          <w:noProof/>
        </w:rPr>
      </w:pPr>
      <w:r>
        <w:rPr>
          <w:noProof/>
        </w:rPr>
        <w:t xml:space="preserve">8. pants. Periodisku apmācību apliecinošs </w:t>
      </w:r>
      <w:r>
        <w:rPr>
          <w:i/>
          <w:iCs/>
          <w:noProof/>
        </w:rPr>
        <w:t>CPC</w:t>
      </w:r>
      <w:r>
        <w:rPr>
          <w:noProof/>
        </w:rPr>
        <w:t xml:space="preserve">  </w:t>
      </w:r>
    </w:p>
    <w:p w:rsidR="003E022D" w:rsidRDefault="007D19D6">
      <w:pPr>
        <w:rPr>
          <w:rFonts w:cstheme="minorHAnsi"/>
          <w:noProof/>
        </w:rPr>
      </w:pPr>
      <w:r>
        <w:rPr>
          <w:noProof/>
        </w:rPr>
        <w:t>1.</w:t>
      </w:r>
      <w:r>
        <w:rPr>
          <w:noProof/>
        </w:rPr>
        <w:tab/>
        <w:t xml:space="preserve">Kad transportlīdzekļa vadītājs ir pabeidzis 7. pantā minēto periodisko apmācību, kompetentās iestādes Pusēs vai apstiprinātais mācību centrs izdod viņam periodisku apmācību apliecinošu </w:t>
      </w:r>
      <w:r>
        <w:rPr>
          <w:i/>
          <w:iCs/>
          <w:noProof/>
        </w:rPr>
        <w:t>CPC</w:t>
      </w:r>
      <w:r>
        <w:rPr>
          <w:noProof/>
        </w:rPr>
        <w:t xml:space="preserve">.  </w:t>
      </w:r>
    </w:p>
    <w:p w:rsidR="003E022D" w:rsidRDefault="007D19D6">
      <w:pPr>
        <w:rPr>
          <w:rFonts w:cstheme="minorHAnsi"/>
          <w:noProof/>
        </w:rPr>
      </w:pPr>
      <w:r>
        <w:rPr>
          <w:noProof/>
        </w:rPr>
        <w:t>2.</w:t>
      </w:r>
      <w:r>
        <w:rPr>
          <w:noProof/>
        </w:rPr>
        <w:tab/>
      </w:r>
      <w:r>
        <w:rPr>
          <w:noProof/>
        </w:rPr>
        <w:t xml:space="preserve">Pirmo periodisko apmācību saņem šādi transportlīdzekļa vadītāji:  </w:t>
      </w:r>
    </w:p>
    <w:p w:rsidR="003E022D" w:rsidRDefault="007D19D6">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noProof/>
        </w:rPr>
        <w:t xml:space="preserve">6. pantā minētā </w:t>
      </w:r>
      <w:r>
        <w:rPr>
          <w:rFonts w:asciiTheme="minorHAnsi" w:hAnsiTheme="minorHAnsi"/>
          <w:i/>
          <w:noProof/>
        </w:rPr>
        <w:t>CPC</w:t>
      </w:r>
      <w:r>
        <w:rPr>
          <w:rFonts w:asciiTheme="minorHAnsi" w:hAnsiTheme="minorHAnsi"/>
          <w:noProof/>
        </w:rPr>
        <w:t xml:space="preserve"> turētāji – piecu gadu laikā pēc minētā </w:t>
      </w:r>
      <w:r>
        <w:rPr>
          <w:rFonts w:asciiTheme="minorHAnsi" w:hAnsiTheme="minorHAnsi"/>
          <w:i/>
          <w:noProof/>
        </w:rPr>
        <w:t>CPC</w:t>
      </w:r>
      <w:r>
        <w:rPr>
          <w:rFonts w:asciiTheme="minorHAnsi" w:hAnsiTheme="minorHAnsi"/>
          <w:noProof/>
        </w:rPr>
        <w:t xml:space="preserve"> izdošanas; un </w:t>
      </w:r>
    </w:p>
    <w:p w:rsidR="003E022D" w:rsidRDefault="007D19D6">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noProof/>
        </w:rPr>
        <w:t xml:space="preserve">4. pantā minētie transportlīdzekļa vadītāji – piecu gadu laikā no 2009. gada 10. septembra. </w:t>
      </w:r>
    </w:p>
    <w:p w:rsidR="003E022D" w:rsidRDefault="007D19D6">
      <w:pPr>
        <w:rPr>
          <w:rFonts w:cstheme="minorHAnsi"/>
          <w:noProof/>
        </w:rPr>
      </w:pPr>
      <w:r>
        <w:rPr>
          <w:noProof/>
        </w:rPr>
        <w:t xml:space="preserve">Puse var saīsināt </w:t>
      </w:r>
      <w:r>
        <w:rPr>
          <w:noProof/>
        </w:rPr>
        <w:t xml:space="preserve">a) vai b) apakšpunktā minētos laikposmus ne vairāk kā par diviem gadiem vai noteikt tiem atbrīvojumu. </w:t>
      </w:r>
    </w:p>
    <w:p w:rsidR="003E022D" w:rsidRDefault="007D19D6">
      <w:pPr>
        <w:rPr>
          <w:rFonts w:cstheme="minorHAnsi"/>
          <w:noProof/>
        </w:rPr>
      </w:pPr>
      <w:r>
        <w:rPr>
          <w:noProof/>
        </w:rPr>
        <w:t>3.</w:t>
      </w:r>
      <w:r>
        <w:rPr>
          <w:noProof/>
        </w:rPr>
        <w:tab/>
        <w:t>Transportlīdzekļa vadītājs, kas pabeidzis pirmo periodisko apmācību, kura minēta šā panta 2. punktā, tiek periodiski apmācīts ik pēc pieciem gadiem, p</w:t>
      </w:r>
      <w:r>
        <w:rPr>
          <w:noProof/>
        </w:rPr>
        <w:t xml:space="preserve">irms beidzas periodisko apmācību apliecinošā </w:t>
      </w:r>
      <w:r>
        <w:rPr>
          <w:i/>
          <w:iCs/>
          <w:noProof/>
        </w:rPr>
        <w:t>CPC</w:t>
      </w:r>
      <w:r>
        <w:rPr>
          <w:noProof/>
        </w:rPr>
        <w:t xml:space="preserve"> derīguma termiņš. </w:t>
      </w:r>
    </w:p>
    <w:p w:rsidR="003E022D" w:rsidRDefault="007D19D6">
      <w:pPr>
        <w:rPr>
          <w:rFonts w:cstheme="minorHAnsi"/>
          <w:noProof/>
        </w:rPr>
      </w:pPr>
      <w:r>
        <w:rPr>
          <w:noProof/>
        </w:rPr>
        <w:t>4.</w:t>
      </w:r>
      <w:r>
        <w:rPr>
          <w:noProof/>
        </w:rPr>
        <w:tab/>
        <w:t xml:space="preserve">Šīs direktīvas 6. pantā minēto </w:t>
      </w:r>
      <w:r>
        <w:rPr>
          <w:i/>
          <w:iCs/>
          <w:noProof/>
        </w:rPr>
        <w:t>CPC</w:t>
      </w:r>
      <w:r>
        <w:rPr>
          <w:noProof/>
        </w:rPr>
        <w:t xml:space="preserve"> vai šā panta 1. punktā minēto </w:t>
      </w:r>
      <w:r>
        <w:rPr>
          <w:i/>
          <w:iCs/>
          <w:noProof/>
        </w:rPr>
        <w:t>CPC</w:t>
      </w:r>
      <w:r>
        <w:rPr>
          <w:noProof/>
        </w:rPr>
        <w:t xml:space="preserve"> turētāji un vadītāji, kas minēti 4. pantā, kuri pārtraukuši darbu un neatbilst 1., 2. un 3. punkta prasībām, pirms d</w:t>
      </w:r>
      <w:r>
        <w:rPr>
          <w:noProof/>
        </w:rPr>
        <w:t xml:space="preserve">arba atsākšanas piedalās periodiskā apmācībā.  </w:t>
      </w:r>
    </w:p>
    <w:p w:rsidR="003E022D" w:rsidRDefault="007D19D6">
      <w:pPr>
        <w:rPr>
          <w:rFonts w:cstheme="minorHAnsi"/>
          <w:noProof/>
        </w:rPr>
      </w:pPr>
      <w:r>
        <w:rPr>
          <w:noProof/>
        </w:rPr>
        <w:t>5.</w:t>
      </w:r>
      <w:r>
        <w:rPr>
          <w:noProof/>
        </w:rPr>
        <w:tab/>
        <w:t>Transportlīdzekļa vadītājus, kuri veic kravu autopārvadājumus un kuri pabeiguši periodisko apmācību vienā no 5. panta 2. punktā paredzētajām transportlīdzekļa vadītāja apliecībā norādītajām kategorijām, at</w:t>
      </w:r>
      <w:r>
        <w:rPr>
          <w:noProof/>
        </w:rPr>
        <w:t xml:space="preserve">brīvo no pienākuma saņemt turpmāku periodisku apmācību citās minētajā punktā paredzētajās kategorijās. </w:t>
      </w:r>
    </w:p>
    <w:p w:rsidR="003E022D" w:rsidRDefault="007D19D6">
      <w:pPr>
        <w:pStyle w:val="Article"/>
        <w:rPr>
          <w:rFonts w:cstheme="minorHAnsi"/>
          <w:noProof/>
        </w:rPr>
      </w:pPr>
      <w:r>
        <w:rPr>
          <w:noProof/>
        </w:rPr>
        <w:t xml:space="preserve">9. pants. Izpilde </w:t>
      </w:r>
    </w:p>
    <w:p w:rsidR="003E022D" w:rsidRDefault="007D19D6">
      <w:pPr>
        <w:rPr>
          <w:rFonts w:cstheme="minorHAnsi"/>
          <w:noProof/>
          <w:color w:val="000000" w:themeColor="text1"/>
        </w:rPr>
      </w:pPr>
      <w:r>
        <w:rPr>
          <w:noProof/>
          <w:color w:val="000000" w:themeColor="text1"/>
        </w:rPr>
        <w:t>Kompetentās iestādes Pusē vai nu tieši uzliek atšķirības zīmi vadītāja transportlīdzekļa vadīšanas atļaujai (apliecībai) līdzās aplie</w:t>
      </w:r>
      <w:r>
        <w:rPr>
          <w:noProof/>
          <w:color w:val="000000" w:themeColor="text1"/>
        </w:rPr>
        <w:t xml:space="preserve">cības attiecīgajām kategorijām, kas apliecina, ka personai ir </w:t>
      </w:r>
      <w:r>
        <w:rPr>
          <w:i/>
          <w:iCs/>
          <w:noProof/>
          <w:color w:val="000000" w:themeColor="text1"/>
        </w:rPr>
        <w:t>CPC</w:t>
      </w:r>
      <w:r>
        <w:rPr>
          <w:noProof/>
          <w:color w:val="000000" w:themeColor="text1"/>
        </w:rPr>
        <w:t xml:space="preserve">, un norāda derīguma termiņu, vai ievieš īpašu transportlīdzekļa vadītāja kvalifikācijas karti, kas būtu jāsagatavo saskaņā ar ROAD.B.1.2. papildinājumā sniegto paraugu. Jebkurš cits paraugs </w:t>
      </w:r>
      <w:r>
        <w:rPr>
          <w:noProof/>
          <w:color w:val="000000" w:themeColor="text1"/>
        </w:rPr>
        <w:t>var būt pieņemams ar noteikumu, ka Specializētā autotransporta komiteja to ir atzinusi par līdzvērtīgu. Šīs nodaļas nolūkā Puse atzīst transportlīdzekļa vadītāja kvalifikācijas karti vai jebkuru līdzvērtīgu dokumentu, kā norādīts iepriekš, ko izdevušas kom</w:t>
      </w:r>
      <w:r>
        <w:rPr>
          <w:noProof/>
          <w:color w:val="000000" w:themeColor="text1"/>
        </w:rPr>
        <w:t xml:space="preserve">petentās iestādes otrā Pusē.  </w:t>
      </w:r>
    </w:p>
    <w:p w:rsidR="003E022D" w:rsidRDefault="007D19D6">
      <w:pPr>
        <w:rPr>
          <w:rFonts w:cstheme="minorHAnsi"/>
          <w:b/>
          <w:noProof/>
        </w:rPr>
      </w:pPr>
      <w:r>
        <w:rPr>
          <w:noProof/>
          <w:color w:val="000000" w:themeColor="text1"/>
        </w:rPr>
        <w:t xml:space="preserve">Transportlīdzekļa vadītājiem pēc jebkura pilnvarota inspekcijas darbinieka pieprasījuma jāspēj uzrādīt transportlīdzekļa vadīšanas atļauju (apliecību) vai īpašu vadītāja kvalifikācijas karti, vai līdzvērtīgu dokumentu ar atšķirības zīmi, kas apliecina, ka </w:t>
      </w:r>
      <w:r>
        <w:rPr>
          <w:noProof/>
          <w:color w:val="000000" w:themeColor="text1"/>
        </w:rPr>
        <w:t xml:space="preserve">personai ir </w:t>
      </w:r>
      <w:r>
        <w:rPr>
          <w:i/>
          <w:noProof/>
          <w:color w:val="000000" w:themeColor="text1"/>
        </w:rPr>
        <w:t>CPC</w:t>
      </w:r>
      <w:r>
        <w:rPr>
          <w:noProof/>
          <w:color w:val="000000" w:themeColor="text1"/>
        </w:rPr>
        <w:t xml:space="preserve">. </w:t>
      </w:r>
    </w:p>
    <w:p w:rsidR="003E022D" w:rsidRDefault="007D19D6">
      <w:pPr>
        <w:pStyle w:val="Appendix"/>
        <w:rPr>
          <w:noProof/>
        </w:rPr>
      </w:pPr>
      <w:r>
        <w:rPr>
          <w:noProof/>
        </w:rPr>
        <w:t xml:space="preserve">ROAD.B.1.1. papildinājums MINIMĀLĀS PRASĪBAS ATTIECĪBĀ UZ KVALIFIKĀCIJAS IEGŪŠANU UN APMĀCĪBU  </w:t>
      </w:r>
    </w:p>
    <w:p w:rsidR="003E022D" w:rsidRDefault="007D19D6">
      <w:pPr>
        <w:rPr>
          <w:rFonts w:cstheme="minorHAnsi"/>
          <w:noProof/>
        </w:rPr>
      </w:pPr>
      <w:r>
        <w:rPr>
          <w:noProof/>
        </w:rPr>
        <w:t>Lai nodrošinātu, ka noteikumi, kas reglamentē kravu autopārvadājumus, uz kuriem attiecas Otrās daļas Trešā temata I sadaļa [Kravu autopārvadāj</w:t>
      </w:r>
      <w:r>
        <w:rPr>
          <w:noProof/>
        </w:rPr>
        <w:t>umi], ir pēc iespējas saskaņoti, minimālās prasības transportlīdzekļa vadītāju kvalifikācijai un apmācībai, kā arī mācību centru apstiprināšanai ir noteiktas turpmāk šā papildinājuma 1. līdz 5. iedaļā. Jebkurš cits šīs kvalifikācijas vai apmācības saturs v</w:t>
      </w:r>
      <w:r>
        <w:rPr>
          <w:noProof/>
        </w:rPr>
        <w:t xml:space="preserve">ar būt pieņemams ar noteikumu, ka Specializētā autotransporta komiteja to uzskata par līdzvērtīgu. </w:t>
      </w:r>
    </w:p>
    <w:p w:rsidR="003E022D" w:rsidRDefault="007D19D6">
      <w:pPr>
        <w:pStyle w:val="Section"/>
        <w:rPr>
          <w:rFonts w:cstheme="minorHAnsi"/>
          <w:noProof/>
        </w:rPr>
      </w:pPr>
      <w:r>
        <w:rPr>
          <w:noProof/>
        </w:rPr>
        <w:t xml:space="preserve"> 1. iedaļa. Priekšmetu saraksts  </w:t>
      </w:r>
    </w:p>
    <w:p w:rsidR="003E022D" w:rsidRDefault="007D19D6">
      <w:pPr>
        <w:rPr>
          <w:rFonts w:cstheme="minorHAnsi"/>
          <w:noProof/>
        </w:rPr>
      </w:pPr>
      <w:r>
        <w:rPr>
          <w:noProof/>
        </w:rPr>
        <w:t>Zināšanām, kas Pusēm jāņem vērā, nosakot transportlīdzekļa vadītāja sākotnējās kvalifikācijas iegūšanu un periodisku apmāc</w:t>
      </w:r>
      <w:r>
        <w:rPr>
          <w:noProof/>
        </w:rPr>
        <w:t xml:space="preserve">ību, jāaptver vismaz priekšmeti, kas ir šajā sarakstā. Apmācāmiem transportlīdzekļa vadītājiem jāiegūst zināšanu līmenis un praktiskās iemaņas, kas vajadzīgas, lai pilnīgi droši vadītu attiecīgās transportlīdzekļa vadītāja apliecībā norādītās  kategorijas </w:t>
      </w:r>
      <w:r>
        <w:rPr>
          <w:noProof/>
        </w:rPr>
        <w:t xml:space="preserve">transportlīdzekļus. Minimālais zināšanu līmenis nedrīkst būt zemāks par līmeni, kas sasniegts obligātās izglītības laikā, ko papildina profesionālā apmācība. </w:t>
      </w:r>
    </w:p>
    <w:p w:rsidR="003E022D" w:rsidRDefault="007D19D6">
      <w:pPr>
        <w:rPr>
          <w:rFonts w:cstheme="minorHAnsi"/>
          <w:noProof/>
        </w:rPr>
      </w:pPr>
      <w:r>
        <w:rPr>
          <w:noProof/>
        </w:rPr>
        <w:t>1.</w:t>
      </w:r>
      <w:r>
        <w:rPr>
          <w:noProof/>
        </w:rPr>
        <w:tab/>
        <w:t xml:space="preserve">Prasmju attīstīšana attiecībā uz racionālu braukšanu, ievērojot drošības noteikumus  </w:t>
      </w:r>
    </w:p>
    <w:p w:rsidR="003E022D" w:rsidRDefault="007D19D6">
      <w:pPr>
        <w:ind w:firstLine="720"/>
        <w:rPr>
          <w:rFonts w:cstheme="minorHAnsi"/>
          <w:noProof/>
        </w:rPr>
      </w:pPr>
      <w:r>
        <w:rPr>
          <w:noProof/>
        </w:rPr>
        <w:t>1.1.</w:t>
      </w:r>
      <w:r>
        <w:rPr>
          <w:noProof/>
        </w:rPr>
        <w:tab/>
        <w:t>Mēr</w:t>
      </w:r>
      <w:r>
        <w:rPr>
          <w:noProof/>
        </w:rPr>
        <w:t xml:space="preserve">ķis: lai iespējami labi izmantotu transmisijas sistēmu, zināt tās parametrus:  </w:t>
      </w:r>
    </w:p>
    <w:p w:rsidR="003E022D" w:rsidRDefault="007D19D6">
      <w:pPr>
        <w:rPr>
          <w:rFonts w:cstheme="minorHAnsi"/>
          <w:noProof/>
        </w:rPr>
      </w:pPr>
      <w:r>
        <w:rPr>
          <w:noProof/>
        </w:rPr>
        <w:t>līknes, kas attiecas uz motora griezes momentu, jaudu un īpatnējo patēriņu, apgriezienu mērītāja optimālas izmantošanas diapazonu, pārnesumkārbas pārnesumu lietošanas robežu di</w:t>
      </w:r>
      <w:r>
        <w:rPr>
          <w:noProof/>
        </w:rPr>
        <w:t xml:space="preserve">agrammas.  </w:t>
      </w:r>
    </w:p>
    <w:p w:rsidR="003E022D" w:rsidRDefault="007D19D6">
      <w:pPr>
        <w:ind w:firstLine="720"/>
        <w:rPr>
          <w:rFonts w:cstheme="minorHAnsi"/>
          <w:noProof/>
        </w:rPr>
      </w:pPr>
      <w:r>
        <w:rPr>
          <w:noProof/>
        </w:rPr>
        <w:t>1.2.</w:t>
      </w:r>
      <w:r>
        <w:rPr>
          <w:noProof/>
        </w:rPr>
        <w:tab/>
        <w:t xml:space="preserve">Mērķis: lai kontrolētu transportlīdzekli, līdz minimumam samazinātu nodilumu un nepieļautu darbības traucējumus, pārzināt drošības ierīču tehniskos parametrus un to vadību:  </w:t>
      </w:r>
    </w:p>
    <w:p w:rsidR="003E022D" w:rsidRDefault="007D19D6">
      <w:pPr>
        <w:rPr>
          <w:rFonts w:cstheme="minorHAnsi"/>
          <w:noProof/>
        </w:rPr>
      </w:pPr>
      <w:r>
        <w:rPr>
          <w:noProof/>
        </w:rPr>
        <w:t xml:space="preserve">bremžu un lēninātāja izmantošanas robežas, bremžu un lēninātāja </w:t>
      </w:r>
      <w:r>
        <w:rPr>
          <w:noProof/>
        </w:rPr>
        <w:t>kombinēta izmantošana, ātruma un pārnesuma skaitļa labāka izmantošana, transportlīdzekļa inerces izmantošana, ātruma samazināšanas un bremzēšanas veidu izmantošana, braucot no kalna, rīcība tehniskas kļūmes gadījumā, tādu elektronisku un mehānisku ierīču l</w:t>
      </w:r>
      <w:r>
        <w:rPr>
          <w:noProof/>
        </w:rPr>
        <w:t>ietošana kā elektroniskā stabilitātes programma (ESP), uzlabota avārijas bremzēšanas sistēma (</w:t>
      </w:r>
      <w:r>
        <w:rPr>
          <w:i/>
          <w:noProof/>
        </w:rPr>
        <w:t>AEBS</w:t>
      </w:r>
      <w:r>
        <w:rPr>
          <w:noProof/>
        </w:rPr>
        <w:t>), bremžu pretbloķēšanas sistēma (</w:t>
      </w:r>
      <w:r>
        <w:rPr>
          <w:i/>
          <w:noProof/>
        </w:rPr>
        <w:t>ABS</w:t>
      </w:r>
      <w:r>
        <w:rPr>
          <w:noProof/>
        </w:rPr>
        <w:t>), vilces vadības sistēmas (</w:t>
      </w:r>
      <w:r>
        <w:rPr>
          <w:i/>
          <w:noProof/>
        </w:rPr>
        <w:t>TCS</w:t>
      </w:r>
      <w:r>
        <w:rPr>
          <w:noProof/>
        </w:rPr>
        <w:t>) un iebūvētās transportlīdzekļa uzraudzības sistēmas (</w:t>
      </w:r>
      <w:r>
        <w:rPr>
          <w:i/>
          <w:noProof/>
        </w:rPr>
        <w:t>IVMS</w:t>
      </w:r>
      <w:r>
        <w:rPr>
          <w:noProof/>
        </w:rPr>
        <w:t>), un citas lietošanai apstipri</w:t>
      </w:r>
      <w:r>
        <w:rPr>
          <w:noProof/>
        </w:rPr>
        <w:t xml:space="preserve">nātas transportlīdzekļa vadītāja palīdzības vai automatizācijas ierīces.  </w:t>
      </w:r>
    </w:p>
    <w:p w:rsidR="003E022D" w:rsidRDefault="007D19D6">
      <w:pPr>
        <w:ind w:firstLine="720"/>
        <w:rPr>
          <w:rFonts w:cstheme="minorHAnsi"/>
          <w:noProof/>
        </w:rPr>
      </w:pPr>
      <w:r>
        <w:rPr>
          <w:noProof/>
        </w:rPr>
        <w:t>1.3.</w:t>
      </w:r>
      <w:r>
        <w:rPr>
          <w:noProof/>
        </w:rPr>
        <w:tab/>
        <w:t xml:space="preserve">Mērķis: spēja optimizēt degvielas patēriņu:  </w:t>
      </w:r>
    </w:p>
    <w:p w:rsidR="003E022D" w:rsidRDefault="007D19D6">
      <w:pPr>
        <w:rPr>
          <w:rFonts w:cstheme="minorHAnsi"/>
          <w:noProof/>
        </w:rPr>
      </w:pPr>
      <w:r>
        <w:rPr>
          <w:noProof/>
        </w:rPr>
        <w:t>degvielas patēriņa optimizācija, izmantojot zināšanas un prasmes attiecībā uz 1.1. un 1.2. punktu, satiksmes plūsmas, pienācīgas d</w:t>
      </w:r>
      <w:r>
        <w:rPr>
          <w:noProof/>
        </w:rPr>
        <w:t xml:space="preserve">istances paredzēšanas līdz citiem transportlīdzekļiem nozīmība, un transportlīdzekļa kustības inerces izmantošana, vienmērīgs ātrums, laidens braukšanas stils un atbilstošs spiediens riepās, kā arī zināšanas par intelektiskām transporta sistēmām, ar kurām </w:t>
      </w:r>
      <w:r>
        <w:rPr>
          <w:noProof/>
        </w:rPr>
        <w:t xml:space="preserve">uzlabo braukšanas efektivitāti un palīdz plānot maršrutu.  </w:t>
      </w:r>
    </w:p>
    <w:p w:rsidR="003E022D" w:rsidRDefault="007D19D6">
      <w:pPr>
        <w:ind w:firstLine="720"/>
        <w:rPr>
          <w:rFonts w:cstheme="minorHAnsi"/>
          <w:noProof/>
        </w:rPr>
      </w:pPr>
      <w:r>
        <w:rPr>
          <w:noProof/>
        </w:rPr>
        <w:t>1.4.</w:t>
      </w:r>
      <w:r>
        <w:rPr>
          <w:noProof/>
        </w:rPr>
        <w:tab/>
        <w:t xml:space="preserve">Mērķis: spēja paredzēt un novērtēt riskus ceļu satiksmē un pielāgoties tiem:  </w:t>
      </w:r>
    </w:p>
    <w:p w:rsidR="003E022D" w:rsidRDefault="007D19D6">
      <w:pPr>
        <w:rPr>
          <w:rFonts w:cstheme="minorHAnsi"/>
          <w:noProof/>
        </w:rPr>
      </w:pPr>
      <w:r>
        <w:rPr>
          <w:noProof/>
        </w:rPr>
        <w:t xml:space="preserve">apzināties dažādus ceļa, satiksmes un klimatiskos apstākļus un pielāgoties tiem, paredzēt iespējamus notikumus; </w:t>
      </w:r>
      <w:r>
        <w:rPr>
          <w:noProof/>
        </w:rPr>
        <w:t>saprast to, kā sagatavot un plānot braucienu ekstremālos laika apstākļos; mācēt rīkoties ar attiecīgo drošības aprīkojumu un saprast, kad brauciens būtu jāatliek vai jāatceļ ekstremālu laika apstākļu dēļ; pielāgoties ceļu satiksmes riskiem, tostarp ceļu sa</w:t>
      </w:r>
      <w:r>
        <w:rPr>
          <w:noProof/>
        </w:rPr>
        <w:t>tiksmē bīstamai uzvedībai vai neuzmanīgai transportlīdzekļa vadīšanai (ko izraisījusi elektronisku ierīču lietošana, ēšana, dzeršana u. tml.); atpazīt bīstamas situācijas, pielāgoties tām un spēt pārvarēt to radīto stresu, jo īpaši saistībā ar transportlīd</w:t>
      </w:r>
      <w:r>
        <w:rPr>
          <w:noProof/>
        </w:rPr>
        <w:t xml:space="preserve">zekļu lielumu un svaru un neaizsargātajiem satiksmes dalībniekiem, tādiem kā gājēji, velobraucēji un motorizēti divu riteņu transportlīdzekļi;  </w:t>
      </w:r>
    </w:p>
    <w:p w:rsidR="003E022D" w:rsidRDefault="007D19D6">
      <w:pPr>
        <w:rPr>
          <w:rFonts w:cstheme="minorHAnsi"/>
          <w:noProof/>
        </w:rPr>
      </w:pPr>
      <w:r>
        <w:rPr>
          <w:noProof/>
        </w:rPr>
        <w:t>identificēt iespējami bīstamas situācijas un pienācīgi izvērtēt, kā minētās iespējami bīstamas situācijas var k</w:t>
      </w:r>
      <w:r>
        <w:rPr>
          <w:noProof/>
        </w:rPr>
        <w:t xml:space="preserve">ļūt par situācijām, kad vairs nav iespējams novērst sadursmi, un izvēlēties un veikt darbības, kas uzlabo drošības rezervi tādā mērā, ka no sadursmes tomēr ir iespējams izvairīties gadījumā, ja rodas potenciāla bīstamība.  </w:t>
      </w:r>
    </w:p>
    <w:p w:rsidR="003E022D" w:rsidRDefault="007D19D6">
      <w:pPr>
        <w:ind w:firstLine="720"/>
        <w:rPr>
          <w:rFonts w:cstheme="minorHAnsi"/>
          <w:noProof/>
        </w:rPr>
      </w:pPr>
      <w:r>
        <w:rPr>
          <w:noProof/>
        </w:rPr>
        <w:t>1.5.</w:t>
      </w:r>
      <w:r>
        <w:rPr>
          <w:noProof/>
        </w:rPr>
        <w:tab/>
      </w:r>
      <w:r>
        <w:rPr>
          <w:noProof/>
        </w:rPr>
        <w:t xml:space="preserve">Mērķis: prasme piekraut transportlīdzekli, ievērojot drošības noteikumus un pareizu transportlīdzekļa izmantošanu:  </w:t>
      </w:r>
    </w:p>
    <w:p w:rsidR="003E022D" w:rsidRDefault="007D19D6">
      <w:pPr>
        <w:rPr>
          <w:rFonts w:cstheme="minorHAnsi"/>
          <w:noProof/>
        </w:rPr>
      </w:pPr>
      <w:r>
        <w:rPr>
          <w:noProof/>
        </w:rPr>
        <w:t>spēki, kas iedarbojas uz braucošu transportlīdzekli, pārnesumkārbas pārnesumu skaitļu izmantošana atbilstīgi transportlīdzekļa noslodzei un</w:t>
      </w:r>
      <w:r>
        <w:rPr>
          <w:noProof/>
        </w:rPr>
        <w:t xml:space="preserve"> ceļa profilam, automātisko transmisijas sistēmu lietošana, transportlīdzekļa vai transportlīdzekļu sastāva kravnesības aprēķināšana, kopējā tilpuma aprēķināšana, slodzes sadalījums, ass noslodzes pārsniegšanas sekas, transportlīdzekļa stabilitāte un smagu</w:t>
      </w:r>
      <w:r>
        <w:rPr>
          <w:noProof/>
        </w:rPr>
        <w:t xml:space="preserve">ma centrs, iepakojuma un palešu veidi;  </w:t>
      </w:r>
    </w:p>
    <w:p w:rsidR="003E022D" w:rsidRDefault="007D19D6">
      <w:pPr>
        <w:rPr>
          <w:rFonts w:cstheme="minorHAnsi"/>
          <w:noProof/>
        </w:rPr>
      </w:pPr>
      <w:r>
        <w:rPr>
          <w:noProof/>
        </w:rPr>
        <w:t>galvenās nostiprināmo kravu kategorijas, piestiprināšanas un nostiprināšanas paņēmieni, stiprināšanas siksnu izmantošana, nostiprināšanas ierīču pārbaude, pārkraušanas iekārtu izmantošana, brezenta pārvalka uzlikšan</w:t>
      </w:r>
      <w:r>
        <w:rPr>
          <w:noProof/>
        </w:rPr>
        <w:t xml:space="preserve">a un noņemšana.  </w:t>
      </w:r>
    </w:p>
    <w:p w:rsidR="003E022D" w:rsidRDefault="007D19D6">
      <w:pPr>
        <w:rPr>
          <w:rFonts w:cstheme="minorHAnsi"/>
          <w:noProof/>
        </w:rPr>
      </w:pPr>
      <w:r>
        <w:rPr>
          <w:noProof/>
        </w:rPr>
        <w:t>2.</w:t>
      </w:r>
      <w:r>
        <w:rPr>
          <w:noProof/>
        </w:rPr>
        <w:tab/>
        <w:t xml:space="preserve">Noteikumu piemērošana  </w:t>
      </w:r>
    </w:p>
    <w:p w:rsidR="003E022D" w:rsidRDefault="007D19D6">
      <w:pPr>
        <w:ind w:firstLine="720"/>
        <w:rPr>
          <w:rFonts w:cstheme="minorHAnsi"/>
          <w:noProof/>
        </w:rPr>
      </w:pPr>
      <w:r>
        <w:rPr>
          <w:noProof/>
        </w:rPr>
        <w:t>2.1.</w:t>
      </w:r>
      <w:r>
        <w:rPr>
          <w:noProof/>
        </w:rPr>
        <w:tab/>
        <w:t xml:space="preserve">Mērķis: zināt autotransporta sociālo vidi un to reglamentējošos noteikumus:  </w:t>
      </w:r>
    </w:p>
    <w:p w:rsidR="003E022D" w:rsidRDefault="007D19D6">
      <w:pPr>
        <w:rPr>
          <w:rFonts w:cstheme="minorHAnsi"/>
          <w:noProof/>
        </w:rPr>
      </w:pPr>
      <w:r>
        <w:rPr>
          <w:noProof/>
        </w:rPr>
        <w:t>maksimālie darba laika posmi, kas raksturīgi transporta nozarei; ar transportlīdzekļa vadīšanas un atpūtas laikposmiem un ar tah</w:t>
      </w:r>
      <w:r>
        <w:rPr>
          <w:noProof/>
        </w:rPr>
        <w:t>ogrāfu saistīto noteikumu principi, piemērošana un sekas; sodi par tahogrāfa neizmantošanu, nepareizu izmantošanu un neatļautām manipulācijām ar to; zināšanas par autotransporta sociālo vidi: transportlīdzekļa vadītāju tiesības un pienākumi sākotnējās kval</w:t>
      </w:r>
      <w:r>
        <w:rPr>
          <w:noProof/>
        </w:rPr>
        <w:t xml:space="preserve">ifikācijas iegūšanas un periodiskas apmācības jomā.  </w:t>
      </w:r>
    </w:p>
    <w:p w:rsidR="003E022D" w:rsidRDefault="007D19D6">
      <w:pPr>
        <w:ind w:firstLine="720"/>
        <w:rPr>
          <w:rFonts w:cstheme="minorHAnsi"/>
          <w:noProof/>
        </w:rPr>
      </w:pPr>
      <w:r>
        <w:rPr>
          <w:noProof/>
        </w:rPr>
        <w:t>2.2.</w:t>
      </w:r>
      <w:r>
        <w:rPr>
          <w:noProof/>
        </w:rPr>
        <w:tab/>
        <w:t xml:space="preserve">Mērķis: zināt noteikumus, kas reglamentē kravu pārvadājumus:  </w:t>
      </w:r>
    </w:p>
    <w:p w:rsidR="003E022D" w:rsidRDefault="007D19D6">
      <w:pPr>
        <w:rPr>
          <w:rFonts w:cstheme="minorHAnsi"/>
          <w:noProof/>
        </w:rPr>
      </w:pPr>
      <w:r>
        <w:rPr>
          <w:noProof/>
        </w:rPr>
        <w:t>licences pārvadājumu operāciju veikšanai, dokumenti, kam jābūt transportlīdzeklī, noteiktu ceļu izmantošanas aizliegumi, ceļu nodevas,</w:t>
      </w:r>
      <w:r>
        <w:rPr>
          <w:noProof/>
        </w:rPr>
        <w:t xml:space="preserve"> pienākumi, kas noteikti standarta līgumos par kravu pārvadāšanu, pārvadājuma līguma dokumentu sagatavošana, starptautisko pārvadājumu atļaujas, pienākumi, kas noteikti </w:t>
      </w:r>
      <w:r>
        <w:rPr>
          <w:i/>
          <w:iCs/>
          <w:noProof/>
        </w:rPr>
        <w:t>CMR</w:t>
      </w:r>
      <w:r>
        <w:rPr>
          <w:noProof/>
        </w:rPr>
        <w:t xml:space="preserve"> Konvencijā par starptautisko kravu autopārvadājumu līgumu</w:t>
      </w:r>
      <w:r>
        <w:rPr>
          <w:rStyle w:val="FootnoteReference"/>
          <w:rFonts w:cstheme="minorHAnsi"/>
          <w:noProof/>
        </w:rPr>
        <w:footnoteReference w:id="125"/>
      </w:r>
      <w:r>
        <w:rPr>
          <w:noProof/>
        </w:rPr>
        <w:t>, starptautiskās kravas p</w:t>
      </w:r>
      <w:r>
        <w:rPr>
          <w:noProof/>
        </w:rPr>
        <w:t xml:space="preserve">avadzīmes sagatavošana, robežu šķērsošana, kravas ekspeditori, īpaši preču pavaddokumenti.  </w:t>
      </w:r>
    </w:p>
    <w:p w:rsidR="003E022D" w:rsidRDefault="007D19D6">
      <w:pPr>
        <w:rPr>
          <w:rFonts w:cstheme="minorHAnsi"/>
          <w:noProof/>
        </w:rPr>
      </w:pPr>
      <w:r>
        <w:rPr>
          <w:noProof/>
        </w:rPr>
        <w:t>3.</w:t>
      </w:r>
      <w:r>
        <w:rPr>
          <w:noProof/>
        </w:rPr>
        <w:tab/>
        <w:t xml:space="preserve">Veselības aizsardzība, satiksmes un vides drošība, pakalpojumi, loģistika  </w:t>
      </w:r>
    </w:p>
    <w:p w:rsidR="003E022D" w:rsidRDefault="007D19D6">
      <w:pPr>
        <w:ind w:firstLine="720"/>
        <w:rPr>
          <w:rFonts w:cstheme="minorHAnsi"/>
          <w:noProof/>
        </w:rPr>
      </w:pPr>
      <w:r>
        <w:rPr>
          <w:noProof/>
        </w:rPr>
        <w:t>3.1.</w:t>
      </w:r>
      <w:r>
        <w:rPr>
          <w:noProof/>
        </w:rPr>
        <w:tab/>
        <w:t xml:space="preserve">Mērķis: likt transportlīdzekļa vadītājiem apzināties ceļu satiksmes negadījumu </w:t>
      </w:r>
      <w:r>
        <w:rPr>
          <w:noProof/>
        </w:rPr>
        <w:t xml:space="preserve">risku un nelaimes gadījumu iespējamību darbā:  </w:t>
      </w:r>
    </w:p>
    <w:p w:rsidR="003E022D" w:rsidRDefault="007D19D6">
      <w:pPr>
        <w:rPr>
          <w:rFonts w:cstheme="minorHAnsi"/>
          <w:noProof/>
        </w:rPr>
      </w:pPr>
      <w:r>
        <w:rPr>
          <w:noProof/>
        </w:rPr>
        <w:t xml:space="preserve">nelaimes gadījumu veidi darbā transporta nozarē, ceļus satiksmes negadījumu statistika, negadījumi ar kravas automobiļiem/autobusiem, cilvēku dzīvības, materiālie un finansiālie zaudējumi.  </w:t>
      </w:r>
    </w:p>
    <w:p w:rsidR="003E022D" w:rsidRDefault="007D19D6">
      <w:pPr>
        <w:ind w:firstLine="720"/>
        <w:rPr>
          <w:rFonts w:cstheme="minorHAnsi"/>
          <w:noProof/>
        </w:rPr>
      </w:pPr>
      <w:r>
        <w:rPr>
          <w:noProof/>
        </w:rPr>
        <w:t>3.2.</w:t>
      </w:r>
      <w:r>
        <w:rPr>
          <w:noProof/>
        </w:rPr>
        <w:tab/>
        <w:t>Mērķis: pras</w:t>
      </w:r>
      <w:r>
        <w:rPr>
          <w:noProof/>
        </w:rPr>
        <w:t xml:space="preserve">me novērst noziedzību un neatbilstīgu imigrantu tirdzniecību:  </w:t>
      </w:r>
    </w:p>
    <w:p w:rsidR="003E022D" w:rsidRDefault="007D19D6">
      <w:pPr>
        <w:rPr>
          <w:rFonts w:cstheme="minorHAnsi"/>
          <w:noProof/>
        </w:rPr>
      </w:pPr>
      <w:r>
        <w:rPr>
          <w:noProof/>
        </w:rPr>
        <w:t xml:space="preserve">vispārīgas ziņas, ietekme uz transportlīdzekļa vadītājiem, preventīvie pasākumi, pārbaudes punktu saraksts, tiesību akti par pārvadātāju atbildību.  </w:t>
      </w:r>
    </w:p>
    <w:p w:rsidR="003E022D" w:rsidRDefault="007D19D6">
      <w:pPr>
        <w:ind w:firstLine="720"/>
        <w:rPr>
          <w:rFonts w:cstheme="minorHAnsi"/>
          <w:noProof/>
        </w:rPr>
      </w:pPr>
      <w:r>
        <w:rPr>
          <w:noProof/>
        </w:rPr>
        <w:t>3.3.</w:t>
      </w:r>
      <w:r>
        <w:rPr>
          <w:noProof/>
        </w:rPr>
        <w:tab/>
        <w:t>Mērķis: prasme novērst fiziskus risku</w:t>
      </w:r>
      <w:r>
        <w:rPr>
          <w:noProof/>
        </w:rPr>
        <w:t xml:space="preserve">s:  </w:t>
      </w:r>
    </w:p>
    <w:p w:rsidR="003E022D" w:rsidRDefault="007D19D6">
      <w:pPr>
        <w:rPr>
          <w:rFonts w:cstheme="minorHAnsi"/>
          <w:noProof/>
        </w:rPr>
      </w:pPr>
      <w:r>
        <w:rPr>
          <w:noProof/>
        </w:rPr>
        <w:t xml:space="preserve">ergonomikas principi; riskantas kustības un pozas, fiziskais stāvoklis, manevrēšanas vingrinājumi, individuālā aizsardzība.  </w:t>
      </w:r>
    </w:p>
    <w:p w:rsidR="003E022D" w:rsidRDefault="007D19D6">
      <w:pPr>
        <w:ind w:firstLine="720"/>
        <w:rPr>
          <w:rFonts w:cstheme="minorHAnsi"/>
          <w:noProof/>
        </w:rPr>
      </w:pPr>
      <w:r>
        <w:rPr>
          <w:noProof/>
        </w:rPr>
        <w:t>3.4.</w:t>
      </w:r>
      <w:r>
        <w:rPr>
          <w:noProof/>
        </w:rPr>
        <w:tab/>
        <w:t xml:space="preserve">Mērķis: apzināties fizisko un garīgo spēju svarīgumu:  </w:t>
      </w:r>
    </w:p>
    <w:p w:rsidR="003E022D" w:rsidRDefault="007D19D6">
      <w:pPr>
        <w:rPr>
          <w:rFonts w:cstheme="minorHAnsi"/>
          <w:noProof/>
        </w:rPr>
      </w:pPr>
      <w:r>
        <w:rPr>
          <w:noProof/>
        </w:rPr>
        <w:t xml:space="preserve">veselīga, sabalansēta uztura lietošanas principi, alkohola, narkotisku vielu vai citu uzvedību ietekmējošu vielu ietekme, noguruma un stresa pazīmes, iemesli, sekas, darba/atpūtas pamata cikla svarīgums.  </w:t>
      </w:r>
    </w:p>
    <w:p w:rsidR="003E022D" w:rsidRDefault="007D19D6">
      <w:pPr>
        <w:ind w:firstLine="720"/>
        <w:rPr>
          <w:rFonts w:cstheme="minorHAnsi"/>
          <w:noProof/>
        </w:rPr>
      </w:pPr>
      <w:r>
        <w:rPr>
          <w:noProof/>
        </w:rPr>
        <w:t>3.5.</w:t>
      </w:r>
      <w:r>
        <w:rPr>
          <w:noProof/>
        </w:rPr>
        <w:tab/>
        <w:t xml:space="preserve">Mērķis: spēja novērtēt avārijas situācijas:  </w:t>
      </w:r>
    </w:p>
    <w:p w:rsidR="003E022D" w:rsidRDefault="007D19D6">
      <w:pPr>
        <w:rPr>
          <w:rFonts w:cstheme="minorHAnsi"/>
          <w:noProof/>
        </w:rPr>
      </w:pPr>
      <w:r>
        <w:rPr>
          <w:noProof/>
        </w:rPr>
        <w:t>izturēšanās avārijas situācijā: situācijas novērtēšana, izvairīšanās no sarežģījumiem negadījumā, palīdzības izsaukšana, palīdzība cietušajiem un pirmās palīdzības sniegšana, reakcija ugunsgrēka gadījumā, kravas automobilī esošu personu evakuācija; reakci</w:t>
      </w:r>
      <w:r>
        <w:rPr>
          <w:noProof/>
        </w:rPr>
        <w:t xml:space="preserve">ja agresijas gadījumā; negadījuma protokola sagatavošanas pamatprincipi.  </w:t>
      </w:r>
    </w:p>
    <w:p w:rsidR="003E022D" w:rsidRDefault="007D19D6">
      <w:pPr>
        <w:ind w:firstLine="720"/>
        <w:rPr>
          <w:rFonts w:cstheme="minorHAnsi"/>
          <w:noProof/>
        </w:rPr>
      </w:pPr>
      <w:r>
        <w:rPr>
          <w:noProof/>
        </w:rPr>
        <w:t>3.6.</w:t>
      </w:r>
      <w:r>
        <w:rPr>
          <w:noProof/>
        </w:rPr>
        <w:tab/>
        <w:t xml:space="preserve">Mērķis: prasme atbilstoši rīkoties, palīdzot veidot pozitīvu uzņēmuma tēlu:  </w:t>
      </w:r>
    </w:p>
    <w:p w:rsidR="003E022D" w:rsidRDefault="007D19D6">
      <w:pPr>
        <w:rPr>
          <w:rFonts w:cstheme="minorHAnsi"/>
          <w:noProof/>
        </w:rPr>
      </w:pPr>
      <w:r>
        <w:rPr>
          <w:noProof/>
        </w:rPr>
        <w:t>transportlīdzekļa vadītāja rīcība un uzņēmuma tēls: transportlīdzekļa vadītāja sniegto pakalpojumu</w:t>
      </w:r>
      <w:r>
        <w:rPr>
          <w:noProof/>
        </w:rPr>
        <w:t xml:space="preserve"> standarta svarīgā loma uzņēmuma darbā, vadītāja pienākumi, cilvēki, ar ko vadītājam būs darīšana, transportlīdzekļa apkope, darba organizācija, domstarpību saimnieciskās un finansiālās sekas.  </w:t>
      </w:r>
    </w:p>
    <w:p w:rsidR="003E022D" w:rsidRDefault="007D19D6">
      <w:pPr>
        <w:ind w:firstLine="720"/>
        <w:rPr>
          <w:rFonts w:cstheme="minorHAnsi"/>
          <w:noProof/>
        </w:rPr>
      </w:pPr>
      <w:r>
        <w:rPr>
          <w:noProof/>
        </w:rPr>
        <w:t>3.7.</w:t>
      </w:r>
      <w:r>
        <w:rPr>
          <w:noProof/>
        </w:rPr>
        <w:tab/>
        <w:t>Mērķis: zināt kravu autopārvadājumu ekonomisko vidi un t</w:t>
      </w:r>
      <w:r>
        <w:rPr>
          <w:noProof/>
        </w:rPr>
        <w:t xml:space="preserve">irgus organizāciju:  </w:t>
      </w:r>
    </w:p>
    <w:p w:rsidR="003E022D" w:rsidRDefault="007D19D6">
      <w:pPr>
        <w:rPr>
          <w:rFonts w:cstheme="minorHAnsi"/>
          <w:noProof/>
        </w:rPr>
      </w:pPr>
      <w:r>
        <w:rPr>
          <w:noProof/>
        </w:rPr>
        <w:t>autotransports attiecībā pret citiem transporta veidiem (konkurence, nosūtītāji), dažādas autopārvadājumu darbības (komercpārvadājumi, pašpārvadājumi, transporta palīgdarbības), transporta uzņēmumu un transporta palīgdarbību galveno v</w:t>
      </w:r>
      <w:r>
        <w:rPr>
          <w:noProof/>
        </w:rPr>
        <w:t>eidu organizācija, dažādas transporta specializācijas (autocisterna, kontrolēta temperatūra, bīstamās kravas, dzīvnieku pārvadāšana utt.), pārmaiņas nozarē (sniegto pakalpojumu dažādošana, pārvadājumi pa dzelzceļu un autoceļiem, apakšuzņēmuma līgumi utt.).</w:t>
      </w:r>
      <w:r>
        <w:rPr>
          <w:noProof/>
        </w:rPr>
        <w:t xml:space="preserve"> </w:t>
      </w:r>
    </w:p>
    <w:p w:rsidR="003E022D" w:rsidRDefault="007D19D6">
      <w:pPr>
        <w:pStyle w:val="Section"/>
        <w:rPr>
          <w:rFonts w:cstheme="minorHAnsi"/>
          <w:noProof/>
        </w:rPr>
      </w:pPr>
      <w:r>
        <w:rPr>
          <w:noProof/>
        </w:rPr>
        <w:t>2. iedaļa. Obligātā sākotnējās kvalifikācijas iegūšana, kas paredzēta B daļas 1. iedaļas 3. panta 1. punkta a) apakšpunktā</w:t>
      </w:r>
    </w:p>
    <w:p w:rsidR="003E022D" w:rsidRDefault="007D19D6">
      <w:pPr>
        <w:rPr>
          <w:rFonts w:cstheme="minorHAnsi"/>
          <w:noProof/>
        </w:rPr>
      </w:pPr>
      <w:r>
        <w:rPr>
          <w:noProof/>
        </w:rPr>
        <w:t xml:space="preserve">Puse kā daļu no apmācības saskaņā ar šo iedaļu un šā papildinājuma 3. iedaļu var ieskaitīt konkrētu citu apmācību, kas saistīta ar </w:t>
      </w:r>
      <w:r>
        <w:rPr>
          <w:noProof/>
        </w:rPr>
        <w:t xml:space="preserve">kravu autopārvadājumiem un kas tiek prasīta saskaņā ar tās tiesību aktiem. </w:t>
      </w:r>
    </w:p>
    <w:p w:rsidR="003E022D" w:rsidRDefault="007D19D6">
      <w:pPr>
        <w:rPr>
          <w:rFonts w:cstheme="minorHAnsi"/>
          <w:noProof/>
        </w:rPr>
      </w:pPr>
      <w:r>
        <w:rPr>
          <w:noProof/>
        </w:rPr>
        <w:t>2.1.</w:t>
      </w:r>
      <w:r>
        <w:rPr>
          <w:noProof/>
        </w:rPr>
        <w:tab/>
        <w:t xml:space="preserve">Iespēja, kas apvieno nodarbību apmeklēšanu un testu  </w:t>
      </w:r>
    </w:p>
    <w:p w:rsidR="003E022D" w:rsidRDefault="007D19D6">
      <w:pPr>
        <w:rPr>
          <w:rFonts w:cstheme="minorHAnsi"/>
          <w:noProof/>
        </w:rPr>
      </w:pPr>
      <w:r>
        <w:rPr>
          <w:noProof/>
        </w:rPr>
        <w:t>Sākotnējās kvalifikācijas iegūšanai jāietver visu šā papildinājuma 1. iedaļā uzskaitīto priekšmetu mācīšana. Minētās sāko</w:t>
      </w:r>
      <w:r>
        <w:rPr>
          <w:noProof/>
        </w:rPr>
        <w:t xml:space="preserve">tnējās kvalifikācijas iegūšanas procesam jāilgst 280 stundas.  </w:t>
      </w:r>
    </w:p>
    <w:p w:rsidR="003E022D" w:rsidRDefault="007D19D6">
      <w:pPr>
        <w:rPr>
          <w:rFonts w:cstheme="minorHAnsi"/>
          <w:noProof/>
        </w:rPr>
      </w:pPr>
      <w:r>
        <w:rPr>
          <w:noProof/>
        </w:rPr>
        <w:t xml:space="preserve">Katram apmācāmajam transportlīdzekļa vadītājam vismaz 20 stundas pašam jāvada attiecīgās kategorijas transportlīdzeklis, kas atbilst vismaz testa transportlīdzekļiem noteiktajām prasībām.   </w:t>
      </w:r>
    </w:p>
    <w:p w:rsidR="003E022D" w:rsidRDefault="007D19D6">
      <w:pPr>
        <w:rPr>
          <w:rFonts w:cstheme="minorHAnsi"/>
          <w:noProof/>
          <w:color w:val="000000" w:themeColor="text1"/>
        </w:rPr>
      </w:pPr>
      <w:r>
        <w:rPr>
          <w:noProof/>
        </w:rPr>
        <w:t xml:space="preserve">Kad apmācāmais transportlīdzekļa vadītājs pats vada transportlīdzekli, viņš jāpavada instruktoram, ko nodarbina apstiprināts mācību centrs. Katrs apmācāmais transportlīdzekļa vadītājs ne ilgāk kā astoņas no 20 individuālās braukšanas stundām var braukt pa </w:t>
      </w:r>
      <w:r>
        <w:rPr>
          <w:noProof/>
        </w:rPr>
        <w:t xml:space="preserve">īpašu apvidu vai visaugstākās klases simulatorā, lai novērtētu prasmi racionāli braukt, ievērojot drošības noteikumus, jo īpaši attiecībā uz transportlīdzekļa vadīšanu uz ceļa dažādos apstākļos, tiem mainoties atkarībā no dažādiem atmosfēras stāvokļiem un </w:t>
      </w:r>
      <w:r>
        <w:rPr>
          <w:noProof/>
        </w:rPr>
        <w:t>dienas vai nakts laika, un spēju optimizēt degvielas patēriņu.</w:t>
      </w:r>
      <w:r>
        <w:rPr>
          <w:noProof/>
          <w:color w:val="000000" w:themeColor="text1"/>
        </w:rPr>
        <w:t xml:space="preserve">  </w:t>
      </w:r>
    </w:p>
    <w:p w:rsidR="003E022D" w:rsidRDefault="007D19D6">
      <w:pPr>
        <w:rPr>
          <w:rFonts w:cstheme="minorHAnsi"/>
          <w:noProof/>
        </w:rPr>
      </w:pPr>
      <w:r>
        <w:rPr>
          <w:noProof/>
        </w:rPr>
        <w:t>Puse un – Savienības gadījumā – dalībvalsts var atļaut apstiprinātā mācību centra veikto apmācību daļēji sniegt, izmantojot IKT rīkus, tādus kā e-apmācība, tajā pašā laikā nodrošinot, ka tiek</w:t>
      </w:r>
      <w:r>
        <w:rPr>
          <w:noProof/>
        </w:rPr>
        <w:t xml:space="preserve"> uzturēta augsta apmācības kvalitāte un efektivitāte, un izvēloties priekšmetus, kuros visefektīvāk var izmantot IKT rīkus. Šādā gadījumā ir vajadzīga uzticama lietotāju identifikācija un pienācīgi kontroles līdzekļi. </w:t>
      </w:r>
    </w:p>
    <w:p w:rsidR="003E022D" w:rsidRDefault="007D19D6">
      <w:pPr>
        <w:rPr>
          <w:rFonts w:cstheme="minorHAnsi"/>
          <w:noProof/>
        </w:rPr>
      </w:pPr>
      <w:r>
        <w:rPr>
          <w:noProof/>
        </w:rPr>
        <w:t>Transportlīdzekļa vadītāju, kas minēt</w:t>
      </w:r>
      <w:r>
        <w:rPr>
          <w:noProof/>
        </w:rPr>
        <w:t xml:space="preserve">i B daļas 1. iedaļas 5. panta 4. punktā, sākotnējās kvalifikācijas iegūšanas procesam jāilgst 70 stundas, ieskaitot piecas individuālās vadīšanas stundas.  </w:t>
      </w:r>
    </w:p>
    <w:p w:rsidR="003E022D" w:rsidRDefault="007D19D6">
      <w:pPr>
        <w:rPr>
          <w:rFonts w:cstheme="minorHAnsi"/>
          <w:noProof/>
        </w:rPr>
      </w:pPr>
      <w:r>
        <w:rPr>
          <w:noProof/>
        </w:rPr>
        <w:t>Minētās apmācības beigās kompetentās iestādes Pusēs vai to izraudzīta struktūra rakstiski vai mutis</w:t>
      </w:r>
      <w:r>
        <w:rPr>
          <w:noProof/>
        </w:rPr>
        <w:t xml:space="preserve">ki testē transportlīdzekļa vadītāju. Testā jāiekļauj vismaz viens jautājums par katru mērķi no šā papildinājuma 1. iedaļā iekļautā priekšmetu saraksta. </w:t>
      </w:r>
    </w:p>
    <w:p w:rsidR="003E022D" w:rsidRDefault="007D19D6">
      <w:pPr>
        <w:rPr>
          <w:rFonts w:cstheme="minorHAnsi"/>
          <w:noProof/>
        </w:rPr>
      </w:pPr>
      <w:r>
        <w:rPr>
          <w:noProof/>
        </w:rPr>
        <w:t>2.2.</w:t>
      </w:r>
      <w:r>
        <w:rPr>
          <w:noProof/>
        </w:rPr>
        <w:tab/>
        <w:t xml:space="preserve">Iespēja, kas ietver testu  </w:t>
      </w:r>
    </w:p>
    <w:p w:rsidR="003E022D" w:rsidRDefault="007D19D6">
      <w:pPr>
        <w:rPr>
          <w:rFonts w:cstheme="minorHAnsi"/>
          <w:noProof/>
        </w:rPr>
      </w:pPr>
      <w:r>
        <w:rPr>
          <w:noProof/>
        </w:rPr>
        <w:t>Kompetentās iestādes Pusēs vai to izraudzīta struktūra organizē ieprie</w:t>
      </w:r>
      <w:r>
        <w:rPr>
          <w:noProof/>
        </w:rPr>
        <w:t xml:space="preserve">kš minētos teorētiskos un praktiskos testus, lai pārbaudītu, vai apmācāmajam transportlīdzekļa vadītājam ir šā papildinājuma 1. iedaļā noteiktais zināšanu līmenis par tajā uzskaitītajiem mērķiem un priekšmetiem.  </w:t>
      </w:r>
    </w:p>
    <w:p w:rsidR="003E022D" w:rsidRDefault="007D19D6">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noProof/>
        </w:rPr>
        <w:t>Teorētiskajam testam ir vismaz divas daļas</w:t>
      </w:r>
      <w:r>
        <w:rPr>
          <w:rFonts w:asciiTheme="minorHAnsi" w:hAnsiTheme="minorHAnsi"/>
          <w:noProof/>
        </w:rPr>
        <w:t xml:space="preserve">:  </w:t>
      </w:r>
    </w:p>
    <w:p w:rsidR="003E022D" w:rsidRDefault="007D19D6">
      <w:pPr>
        <w:pStyle w:val="Point0letter"/>
        <w:numPr>
          <w:ilvl w:val="0"/>
          <w:numId w:val="877"/>
        </w:numPr>
        <w:tabs>
          <w:tab w:val="left" w:pos="851"/>
        </w:tabs>
        <w:jc w:val="both"/>
        <w:rPr>
          <w:rFonts w:asciiTheme="minorHAnsi" w:hAnsiTheme="minorHAnsi" w:cstheme="minorHAnsi"/>
          <w:noProof/>
        </w:rPr>
      </w:pPr>
      <w:r>
        <w:rPr>
          <w:rFonts w:asciiTheme="minorHAnsi" w:hAnsiTheme="minorHAnsi"/>
          <w:noProof/>
        </w:rPr>
        <w:t>jautājumi, kas ietver jautājumus ar atbilžu variantiem, jautājumi, uz kuriem jāsniedz tieša atbilde, vai abu kombinācija; un</w:t>
      </w:r>
    </w:p>
    <w:p w:rsidR="003E022D" w:rsidRDefault="007D19D6">
      <w:pPr>
        <w:pStyle w:val="ListParagraph"/>
        <w:numPr>
          <w:ilvl w:val="0"/>
          <w:numId w:val="877"/>
        </w:numPr>
        <w:spacing w:after="160" w:line="254" w:lineRule="auto"/>
        <w:rPr>
          <w:rFonts w:cstheme="minorHAnsi"/>
          <w:noProof/>
        </w:rPr>
      </w:pPr>
      <w:r>
        <w:rPr>
          <w:noProof/>
        </w:rPr>
        <w:t xml:space="preserve">situācijas analīze.  </w:t>
      </w:r>
    </w:p>
    <w:p w:rsidR="003E022D" w:rsidRDefault="007D19D6">
      <w:pPr>
        <w:rPr>
          <w:rFonts w:cstheme="minorHAnsi"/>
          <w:noProof/>
        </w:rPr>
      </w:pPr>
      <w:r>
        <w:rPr>
          <w:noProof/>
        </w:rPr>
        <w:t xml:space="preserve">Teorētiskajam testam jāilgst vismaz četras stundas.  </w:t>
      </w:r>
    </w:p>
    <w:p w:rsidR="003E022D" w:rsidRDefault="007D19D6">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noProof/>
        </w:rPr>
        <w:t xml:space="preserve">Praktiskajam testam ir divas daļas:  </w:t>
      </w:r>
    </w:p>
    <w:p w:rsidR="003E022D" w:rsidRDefault="007D19D6">
      <w:pPr>
        <w:pStyle w:val="Point0letter"/>
        <w:numPr>
          <w:ilvl w:val="0"/>
          <w:numId w:val="878"/>
        </w:numPr>
        <w:tabs>
          <w:tab w:val="left" w:pos="851"/>
        </w:tabs>
        <w:jc w:val="both"/>
        <w:rPr>
          <w:rFonts w:asciiTheme="minorHAnsi" w:hAnsiTheme="minorHAnsi" w:cstheme="minorHAnsi"/>
          <w:noProof/>
        </w:rPr>
      </w:pPr>
      <w:r>
        <w:rPr>
          <w:rFonts w:asciiTheme="minorHAnsi" w:hAnsiTheme="minorHAnsi"/>
          <w:noProof/>
        </w:rPr>
        <w:t>braukšanas te</w:t>
      </w:r>
      <w:r>
        <w:rPr>
          <w:rFonts w:asciiTheme="minorHAnsi" w:hAnsiTheme="minorHAnsi"/>
          <w:noProof/>
        </w:rPr>
        <w:t>sts, kura mērķis ir novērtēt prasmi racionāli braukt, ievērojot drošības noteikumus. Ja vien iespējams, testam jānotiek uz ceļiem ārpus apbūvētām zonām, uz ātrsatiksmes ceļiem un automaģistrālēm (vai tamlīdzīgiem ceļiem) un uz visu veidu pilsētas automaģis</w:t>
      </w:r>
      <w:r>
        <w:rPr>
          <w:rFonts w:asciiTheme="minorHAnsi" w:hAnsiTheme="minorHAnsi"/>
          <w:noProof/>
        </w:rPr>
        <w:t>trālēm, uz kurām paredzamas dažāda veida grūtības, ar ko transportlīdzekļa vadītājam nākas saskarties. Vēlams, lai minētais tests notiktu atšķirīgos satiksmes blīvuma apstākļos. Transportlīdzekļa vadīšanas laiks uz ceļa jāizmanto optimāli, lai novērtētu ka</w:t>
      </w:r>
      <w:r>
        <w:rPr>
          <w:rFonts w:asciiTheme="minorHAnsi" w:hAnsiTheme="minorHAnsi"/>
          <w:noProof/>
        </w:rPr>
        <w:t xml:space="preserve">ndidātu visās satiksmei izbūvētās teritorijās, par kurām var nākties braukt. Minētajam testam jāilgst vismaz 90 minūtes;  </w:t>
      </w:r>
    </w:p>
    <w:p w:rsidR="003E022D" w:rsidRDefault="007D19D6">
      <w:pPr>
        <w:pStyle w:val="ListParagraph"/>
        <w:numPr>
          <w:ilvl w:val="0"/>
          <w:numId w:val="878"/>
        </w:numPr>
        <w:spacing w:after="160" w:line="254" w:lineRule="auto"/>
        <w:rPr>
          <w:rFonts w:cstheme="minorHAnsi"/>
          <w:noProof/>
        </w:rPr>
      </w:pPr>
      <w:r>
        <w:rPr>
          <w:noProof/>
        </w:rPr>
        <w:t xml:space="preserve">praktiskais tests, kas ietver vismaz šā papildinājuma 1. iedaļas 1.5., 3.2., 3.3. un 3.5. punktā noteikto.  </w:t>
      </w:r>
    </w:p>
    <w:p w:rsidR="003E022D" w:rsidRDefault="007D19D6">
      <w:pPr>
        <w:rPr>
          <w:rFonts w:cstheme="minorHAnsi"/>
          <w:noProof/>
        </w:rPr>
      </w:pPr>
      <w:r>
        <w:rPr>
          <w:noProof/>
        </w:rPr>
        <w:t>Minētajam testam jāilgst</w:t>
      </w:r>
      <w:r>
        <w:rPr>
          <w:noProof/>
        </w:rPr>
        <w:t xml:space="preserve"> vismaz 30 minūtes.  </w:t>
      </w:r>
    </w:p>
    <w:p w:rsidR="003E022D" w:rsidRDefault="007D19D6">
      <w:pPr>
        <w:rPr>
          <w:rFonts w:cstheme="minorHAnsi"/>
          <w:noProof/>
        </w:rPr>
      </w:pPr>
      <w:r>
        <w:rPr>
          <w:noProof/>
        </w:rPr>
        <w:t xml:space="preserve">Praktiskajā testā izmantotajam transportlīdzeklim jāatbilst vismaz testa transportlīdzekļiem noteiktajām prasībām. </w:t>
      </w:r>
    </w:p>
    <w:p w:rsidR="003E022D" w:rsidRDefault="007D19D6">
      <w:pPr>
        <w:rPr>
          <w:rFonts w:cstheme="minorHAnsi"/>
          <w:noProof/>
        </w:rPr>
      </w:pPr>
      <w:r>
        <w:rPr>
          <w:noProof/>
        </w:rPr>
        <w:t>Praktisko testu var papildināt ar trešo testu īpašā apvidū vai piemērotā simulatorā, lai novērtētu prasmi racionāli br</w:t>
      </w:r>
      <w:r>
        <w:rPr>
          <w:noProof/>
        </w:rPr>
        <w:t xml:space="preserve">aukt, ievērojot drošības noteikumus, jo īpaši attiecībā uz transportlīdzekļa vadīšanu uz ceļa dažādos apstākļos un tiem mainoties atkarībā no dažādiem atmosfēras stāvokļiem un dienas vai nakts laika.  </w:t>
      </w:r>
    </w:p>
    <w:p w:rsidR="003E022D" w:rsidRDefault="007D19D6">
      <w:pPr>
        <w:rPr>
          <w:rFonts w:cstheme="minorHAnsi"/>
          <w:noProof/>
        </w:rPr>
      </w:pPr>
      <w:r>
        <w:rPr>
          <w:noProof/>
        </w:rPr>
        <w:t>Minētā neobligātā praktiskā testa ilgums nav noteikts.</w:t>
      </w:r>
      <w:r>
        <w:rPr>
          <w:noProof/>
        </w:rPr>
        <w:t xml:space="preserve"> Ja transportlīdzekļa vadītājam jākārto šāds tests, tā laiku drīkst atskaitīt no 90 minūtēm, kas paredzētas i) punktā minētajam braukšanas testam, taču šis laiks nedrīkst pārsniegt 30 minūtes.  </w:t>
      </w:r>
    </w:p>
    <w:p w:rsidR="003E022D" w:rsidRDefault="007D19D6">
      <w:pPr>
        <w:rPr>
          <w:rFonts w:cstheme="minorHAnsi"/>
          <w:noProof/>
        </w:rPr>
      </w:pPr>
      <w:r>
        <w:rPr>
          <w:noProof/>
        </w:rPr>
        <w:t>Transportlīdzekļa vadītāju, kas minēti B daļas 1. iedaļas 5. </w:t>
      </w:r>
      <w:r>
        <w:rPr>
          <w:noProof/>
        </w:rPr>
        <w:t>panta 4. punktā, teorētiskajam testam jāaprobežojas ar šā papildinājuma 1. iedaļā minētajiem priekšmetiem, kuri saistīti ar transportlīdzekļiem, uz ko attiecas jaunā sākotnējās kvalifikācijas iegūšana. Šādiem transportlīdzekļa vadītājiem tomēr jānokārto vi</w:t>
      </w:r>
      <w:r>
        <w:rPr>
          <w:noProof/>
        </w:rPr>
        <w:t xml:space="preserve">ss praktiskais tests.  </w:t>
      </w:r>
    </w:p>
    <w:p w:rsidR="003E022D" w:rsidRDefault="007D19D6">
      <w:pPr>
        <w:pStyle w:val="Section"/>
        <w:rPr>
          <w:rFonts w:cstheme="minorHAnsi"/>
          <w:noProof/>
        </w:rPr>
      </w:pPr>
      <w:r>
        <w:rPr>
          <w:noProof/>
        </w:rPr>
        <w:t xml:space="preserve">3. iedaļa. Paātrinātā sākotnējās kvalifikācijas iegūšana, kas paredzēta ROAD.1. pielikuma B daļas 1. iedaļas 3. panta 2. punktā  </w:t>
      </w:r>
    </w:p>
    <w:p w:rsidR="003E022D" w:rsidRDefault="007D19D6">
      <w:pPr>
        <w:rPr>
          <w:rFonts w:cstheme="minorHAnsi"/>
          <w:noProof/>
        </w:rPr>
      </w:pPr>
      <w:r>
        <w:rPr>
          <w:noProof/>
        </w:rPr>
        <w:t xml:space="preserve">Paātrinātajai sākotnējās kvalifikācijas iegūšanai jāietver visu šā papildinājuma 1. iedaļā uzskaitīto </w:t>
      </w:r>
      <w:r>
        <w:rPr>
          <w:noProof/>
        </w:rPr>
        <w:t xml:space="preserve">priekšmetu mācīšana. Tai jāilgst 140 stundas.  </w:t>
      </w:r>
    </w:p>
    <w:p w:rsidR="003E022D" w:rsidRDefault="007D19D6">
      <w:pPr>
        <w:rPr>
          <w:rFonts w:cstheme="minorHAnsi"/>
          <w:noProof/>
        </w:rPr>
      </w:pPr>
      <w:r>
        <w:rPr>
          <w:noProof/>
        </w:rPr>
        <w:t xml:space="preserve">Katram apmācāmajam transportlīdzekļa vadītājam vismaz 10 stundas pašam jāvada attiecīgās kategorijas transportlīdzeklis, kas atbilst vismaz testa transportlīdzekļiem noteiktajām prasībām. </w:t>
      </w:r>
    </w:p>
    <w:p w:rsidR="003E022D" w:rsidRDefault="007D19D6">
      <w:pPr>
        <w:rPr>
          <w:rFonts w:cstheme="minorHAnsi"/>
          <w:noProof/>
        </w:rPr>
      </w:pPr>
      <w:r>
        <w:rPr>
          <w:noProof/>
        </w:rPr>
        <w:t>Kad apmācāmais transportlīdzekļa vadītājs pats vada transportlīdzekli, viņš jāpavada instruktoram, ko nodarbina apstiprināts mācību centrs. Katrs apmācāmais transportlīdzekļa vadītājs ne ilgāk kā četras no 10 individuālās braukšanas stundām var braukt pa ī</w:t>
      </w:r>
      <w:r>
        <w:rPr>
          <w:noProof/>
        </w:rPr>
        <w:t>pašu apvidu vai visaugstākās klases simulatorā, lai novērtētu prasmi racionāli braukt, ievērojot drošības noteikumus, jo īpaši attiecībā uz transportlīdzekļa vadīšanu uz ceļa dažādos apstākļos, minētajiem ceļa apstākļiem mainoties atkarībā no dažādiem atmo</w:t>
      </w:r>
      <w:r>
        <w:rPr>
          <w:noProof/>
        </w:rPr>
        <w:t xml:space="preserve">sfēras stāvokļiem un dienas vai nakts laika, un spēju optimizēt degvielas patēriņu.  </w:t>
      </w:r>
    </w:p>
    <w:p w:rsidR="003E022D" w:rsidRDefault="007D19D6">
      <w:pPr>
        <w:rPr>
          <w:rFonts w:cstheme="minorHAnsi"/>
          <w:noProof/>
        </w:rPr>
      </w:pPr>
      <w:r>
        <w:rPr>
          <w:noProof/>
        </w:rPr>
        <w:t xml:space="preserve">Uz paātrināto sākotnējās kvalifikācijas iegūšanu attiecas arī šā papildinājuma 2. iedaļas 2.1. punkta ceturtās daļas nosacījumi.  </w:t>
      </w:r>
    </w:p>
    <w:p w:rsidR="003E022D" w:rsidRDefault="007D19D6">
      <w:pPr>
        <w:rPr>
          <w:rFonts w:cstheme="minorHAnsi"/>
          <w:noProof/>
        </w:rPr>
      </w:pPr>
      <w:r>
        <w:rPr>
          <w:noProof/>
        </w:rPr>
        <w:t xml:space="preserve">Transportlīdzekļa vadītāju, kas minēti </w:t>
      </w:r>
      <w:r>
        <w:rPr>
          <w:noProof/>
        </w:rPr>
        <w:t xml:space="preserve">B daļas 1. iedaļas 5. panta 4. punktā, paātrinātās sākotnējās kvalifikācijas iegūšanas procesam jāilgst 35 stundas, ieskaitot divarpus individuālās vadīšanas stundas.  </w:t>
      </w:r>
    </w:p>
    <w:p w:rsidR="003E022D" w:rsidRDefault="007D19D6">
      <w:pPr>
        <w:rPr>
          <w:rFonts w:cstheme="minorHAnsi"/>
          <w:noProof/>
        </w:rPr>
      </w:pPr>
      <w:r>
        <w:rPr>
          <w:noProof/>
        </w:rPr>
        <w:t>Minētās apmācības beigās kompetentās iestādes Pusēs vai to izraudzīta struktūra rakstis</w:t>
      </w:r>
      <w:r>
        <w:rPr>
          <w:noProof/>
        </w:rPr>
        <w:t xml:space="preserve">ki vai mutiski testē transportlīdzekļa vadītāju. Testā jāiekļauj vismaz viens jautājums par katru mērķi no šā papildinājuma 1. iedaļā iekļautā priekšmetu saraksta. </w:t>
      </w:r>
    </w:p>
    <w:p w:rsidR="003E022D" w:rsidRDefault="007D19D6">
      <w:pPr>
        <w:rPr>
          <w:rFonts w:cstheme="minorHAnsi"/>
          <w:noProof/>
        </w:rPr>
      </w:pPr>
      <w:r>
        <w:rPr>
          <w:noProof/>
        </w:rPr>
        <w:t>Puse kā daļu no apmācības saskaņā ar šo iedaļu var ieskaitīt konkrētu citu apmācību, kas sa</w:t>
      </w:r>
      <w:r>
        <w:rPr>
          <w:noProof/>
        </w:rPr>
        <w:t xml:space="preserve">istīta ar kravu autopārvadājumiem un kas tiek prasīta saskaņā ar tās tiesību aktiem. </w:t>
      </w:r>
    </w:p>
    <w:p w:rsidR="003E022D" w:rsidRDefault="007D19D6">
      <w:pPr>
        <w:pStyle w:val="Section"/>
        <w:rPr>
          <w:rFonts w:cstheme="minorHAnsi"/>
          <w:noProof/>
        </w:rPr>
      </w:pPr>
      <w:r>
        <w:rPr>
          <w:noProof/>
        </w:rPr>
        <w:t xml:space="preserve">4. iedaļa. Obligāta periodiskā apmācība, kas paredzēta ROAD.1. pielikuma B daļas 1. iedaļas 3. panta 1. punkta b) apakšpunktā </w:t>
      </w:r>
    </w:p>
    <w:p w:rsidR="003E022D" w:rsidRDefault="007D19D6">
      <w:pPr>
        <w:rPr>
          <w:rFonts w:cstheme="minorHAnsi"/>
          <w:noProof/>
        </w:rPr>
      </w:pPr>
      <w:r>
        <w:rPr>
          <w:noProof/>
        </w:rPr>
        <w:t>Apstiprinātam mācību centram jāorganizē obligātā periodiskā apmācība. Tai jānotiek ik pēc pieciem gadiem un jāilgst 35 stundas, kas sadalītas vismaz septiņu stundu garos laika posmos, ko var sadalīt divās dienās pēc kārtas. Izmantojot e-apmācību, apstiprin</w:t>
      </w:r>
      <w:r>
        <w:rPr>
          <w:noProof/>
        </w:rPr>
        <w:t>ātais mācību centrs nodrošina, ka tiek nodrošināta pienācīga apmācības kvalitāte, tostarp izvēloties mācību priekšmetus, kuros visefektīvāk var izmantot IKT rīkus. Puses jo īpaši prasa, lai tiktu nodrošināta uzticama lietotāju identifikācija un pienācīgi k</w:t>
      </w:r>
      <w:r>
        <w:rPr>
          <w:noProof/>
        </w:rPr>
        <w:t>ontroles līdzekļi. E-apmācības maksimālais ilgums nepārsniedz 12 stundas. Vismaz viens no apmācību kursa posmiem ir veltīts ar ceļu satiksmes drošību saistītam priekšmetam. Apmācības saturs ir salāgots ar apmācības vajadzībām konkrētām pārvadājumu operācij</w:t>
      </w:r>
      <w:r>
        <w:rPr>
          <w:noProof/>
        </w:rPr>
        <w:t>ām, ko veic transportlīdzekļa vadītājs, un attiecīgiem jauninājumiem juridiskajā un tehnoloģiju jomā, un, cik vien iespējams, būtu jāņem vērā transportlīdzekļa vadītāja konkrētās apmācības vajadzības. Apmācības 35 stundās būtu jāaptver virkne dažādu priekš</w:t>
      </w:r>
      <w:r>
        <w:rPr>
          <w:noProof/>
        </w:rPr>
        <w:t xml:space="preserve">metu, tostarp jāveic atkārtotas apmācības, ja ir apliecinājies, ka transportlīdzekļa vadītājam ir vajadzīga noteikta korektīva apmācība. </w:t>
      </w:r>
    </w:p>
    <w:p w:rsidR="003E022D" w:rsidRDefault="007D19D6">
      <w:pPr>
        <w:rPr>
          <w:rFonts w:cstheme="minorHAnsi"/>
          <w:noProof/>
        </w:rPr>
      </w:pPr>
      <w:r>
        <w:rPr>
          <w:noProof/>
        </w:rPr>
        <w:t>Puse un – Savienības gadījumā – dalībvalsts kā daļu no apmācības saskaņā ar šo iedaļu var ieskaitīt konkrētu citu apmā</w:t>
      </w:r>
      <w:r>
        <w:rPr>
          <w:noProof/>
        </w:rPr>
        <w:t xml:space="preserve">cību, kas saistīta ar kravu autopārvadājumiem un kas tiek prasīta saskaņā ar tās tiesību aktiem. </w:t>
      </w:r>
    </w:p>
    <w:p w:rsidR="003E022D" w:rsidRDefault="007D19D6">
      <w:pPr>
        <w:pStyle w:val="Section"/>
        <w:rPr>
          <w:rFonts w:cstheme="minorHAnsi"/>
          <w:noProof/>
        </w:rPr>
      </w:pPr>
      <w:r>
        <w:rPr>
          <w:noProof/>
        </w:rPr>
        <w:t xml:space="preserve">5. iedaļa. Sākotnējās kvalifikācijas iegūšanas un periodiskas apmācības apstiprināšana </w:t>
      </w:r>
      <w:r>
        <w:rPr>
          <w:b/>
          <w:noProof/>
        </w:rPr>
        <w:t xml:space="preserve"> </w:t>
      </w:r>
    </w:p>
    <w:p w:rsidR="003E022D" w:rsidRDefault="007D19D6">
      <w:pPr>
        <w:rPr>
          <w:rFonts w:cstheme="minorHAnsi"/>
          <w:noProof/>
        </w:rPr>
      </w:pPr>
      <w:r>
        <w:rPr>
          <w:noProof/>
        </w:rPr>
        <w:t>5.1.</w:t>
      </w:r>
      <w:r>
        <w:rPr>
          <w:noProof/>
        </w:rPr>
        <w:tab/>
        <w:t>Mācību centriem, kas piedalās sākotnējās kvalifikācijas iegūšana</w:t>
      </w:r>
      <w:r>
        <w:rPr>
          <w:noProof/>
        </w:rPr>
        <w:t xml:space="preserve">s un periodiskas apmācības nodrošināšanā, jābūt Pušu kompetento iestāžu apstiprinātiem. Apstiprināt drīkst, tikai atbildot uz rakstveida pieteikumu. Pieteikumam jāpievieno dokumenti, tostarp:  </w:t>
      </w:r>
    </w:p>
    <w:p w:rsidR="003E022D" w:rsidRDefault="007D19D6">
      <w:pPr>
        <w:ind w:firstLine="720"/>
        <w:rPr>
          <w:rFonts w:cstheme="minorHAnsi"/>
          <w:noProof/>
        </w:rPr>
      </w:pPr>
      <w:r>
        <w:rPr>
          <w:noProof/>
        </w:rPr>
        <w:t>5.1.1.</w:t>
      </w:r>
      <w:r>
        <w:rPr>
          <w:noProof/>
        </w:rPr>
        <w:tab/>
        <w:t>piemērota kvalifikācijas iegūšanas un apmācības program</w:t>
      </w:r>
      <w:r>
        <w:rPr>
          <w:noProof/>
        </w:rPr>
        <w:t xml:space="preserve">ma, kurā norādīti mācītie priekšmeti, iecerētais īstenošanas plāns un mācību metodes;  </w:t>
      </w:r>
    </w:p>
    <w:p w:rsidR="003E022D" w:rsidRDefault="007D19D6">
      <w:pPr>
        <w:ind w:firstLine="720"/>
        <w:rPr>
          <w:rFonts w:cstheme="minorHAnsi"/>
          <w:noProof/>
        </w:rPr>
      </w:pPr>
      <w:r>
        <w:rPr>
          <w:noProof/>
        </w:rPr>
        <w:t>5.1.2.</w:t>
      </w:r>
      <w:r>
        <w:rPr>
          <w:noProof/>
        </w:rPr>
        <w:tab/>
        <w:t xml:space="preserve">informācija par instruktoru kvalifikāciju un darbības jomām;  </w:t>
      </w:r>
    </w:p>
    <w:p w:rsidR="003E022D" w:rsidRDefault="007D19D6">
      <w:pPr>
        <w:ind w:firstLine="720"/>
        <w:rPr>
          <w:rFonts w:cstheme="minorHAnsi"/>
          <w:noProof/>
        </w:rPr>
      </w:pPr>
      <w:r>
        <w:rPr>
          <w:noProof/>
        </w:rPr>
        <w:t>5.1.3.</w:t>
      </w:r>
      <w:r>
        <w:rPr>
          <w:noProof/>
        </w:rPr>
        <w:tab/>
        <w:t>informācija par telpām, kurās notiek nodarbības, par mācību materiāliem, par praktiskajam d</w:t>
      </w:r>
      <w:r>
        <w:rPr>
          <w:noProof/>
        </w:rPr>
        <w:t xml:space="preserve">arbam pieejamajiem resursiem un izmantoto autoparku;  </w:t>
      </w:r>
    </w:p>
    <w:p w:rsidR="003E022D" w:rsidRDefault="007D19D6">
      <w:pPr>
        <w:ind w:firstLine="720"/>
        <w:rPr>
          <w:rFonts w:cstheme="minorHAnsi"/>
          <w:noProof/>
        </w:rPr>
      </w:pPr>
      <w:r>
        <w:rPr>
          <w:noProof/>
        </w:rPr>
        <w:t>5.1.4.</w:t>
      </w:r>
      <w:r>
        <w:rPr>
          <w:noProof/>
        </w:rPr>
        <w:tab/>
        <w:t xml:space="preserve">informācija par nosacījumiem attiecībā uz nodarbību apmeklēšanu (dalībnieku skaits).  </w:t>
      </w:r>
    </w:p>
    <w:p w:rsidR="003E022D" w:rsidRDefault="007D19D6">
      <w:pPr>
        <w:rPr>
          <w:rFonts w:cstheme="minorHAnsi"/>
          <w:noProof/>
        </w:rPr>
      </w:pPr>
      <w:r>
        <w:rPr>
          <w:noProof/>
        </w:rPr>
        <w:t>5.2.</w:t>
      </w:r>
      <w:r>
        <w:rPr>
          <w:noProof/>
        </w:rPr>
        <w:tab/>
        <w:t xml:space="preserve">Kompetentajai iestādei jāsniedz rakstisks apstiprinājums ar šādiem nosacījumiem:  </w:t>
      </w:r>
    </w:p>
    <w:p w:rsidR="003E022D" w:rsidRDefault="007D19D6">
      <w:pPr>
        <w:ind w:firstLine="720"/>
        <w:rPr>
          <w:rFonts w:cstheme="minorHAnsi"/>
          <w:noProof/>
        </w:rPr>
      </w:pPr>
      <w:r>
        <w:rPr>
          <w:noProof/>
        </w:rPr>
        <w:t>5.2.1.</w:t>
      </w:r>
      <w:r>
        <w:rPr>
          <w:noProof/>
        </w:rPr>
        <w:tab/>
        <w:t>apmācība jās</w:t>
      </w:r>
      <w:r>
        <w:rPr>
          <w:noProof/>
        </w:rPr>
        <w:t xml:space="preserve">niedz saskaņā ar pieteikumam pievienotajiem dokumentiem;  </w:t>
      </w:r>
    </w:p>
    <w:p w:rsidR="003E022D" w:rsidRDefault="007D19D6">
      <w:pPr>
        <w:ind w:firstLine="720"/>
        <w:rPr>
          <w:rFonts w:cstheme="minorHAnsi"/>
          <w:noProof/>
        </w:rPr>
      </w:pPr>
      <w:r>
        <w:rPr>
          <w:noProof/>
        </w:rPr>
        <w:t>5.2.2.</w:t>
      </w:r>
      <w:r>
        <w:rPr>
          <w:noProof/>
        </w:rPr>
        <w:tab/>
        <w:t>kompetentajai iestādei jābūt tiesīgai norīkot pilnvarotas personas, kas palīdzētu apstiprināto centru nodarbībās, un pārraudzīt šādus centrus attiecībā uz izmantotajiem resursiem un nodarbīb</w:t>
      </w:r>
      <w:r>
        <w:rPr>
          <w:noProof/>
        </w:rPr>
        <w:t xml:space="preserve">u un testu pareizu organizāciju;  </w:t>
      </w:r>
    </w:p>
    <w:p w:rsidR="003E022D" w:rsidRDefault="007D19D6">
      <w:pPr>
        <w:ind w:firstLine="720"/>
        <w:rPr>
          <w:rFonts w:cstheme="minorHAnsi"/>
          <w:noProof/>
        </w:rPr>
      </w:pPr>
      <w:r>
        <w:rPr>
          <w:noProof/>
        </w:rPr>
        <w:t>5.2.3.</w:t>
      </w:r>
      <w:r>
        <w:rPr>
          <w:noProof/>
        </w:rPr>
        <w:tab/>
        <w:t xml:space="preserve">apstiprinājumu drīkst atsaukt vai arī drīkst apturēt tā darbību, ja vairs netiek pildīti apstiprinājuma nosacījumi.  </w:t>
      </w:r>
    </w:p>
    <w:p w:rsidR="003E022D" w:rsidRDefault="007D19D6">
      <w:pPr>
        <w:rPr>
          <w:rFonts w:cstheme="minorHAnsi"/>
          <w:noProof/>
        </w:rPr>
      </w:pPr>
      <w:r>
        <w:rPr>
          <w:noProof/>
        </w:rPr>
        <w:t>Apstiprinātajam centram jāgarantē, ka instruktori labi pārzina visjaunākos noteikumus un prasība</w:t>
      </w:r>
      <w:r>
        <w:rPr>
          <w:noProof/>
        </w:rPr>
        <w:t>s, kas attiecas uz apmācību. Īpaša atlases procedūras daļa ir tāda, ka instruktoriem jāapliecina zināšanas gan par priekšmetu, gan par mācību metodēm. Attiecībā uz apmācības praktisko daļu instruktoriem jāapliecina profesionāla transportlīdzekļa vadītāja p</w:t>
      </w:r>
      <w:r>
        <w:rPr>
          <w:noProof/>
        </w:rPr>
        <w:t xml:space="preserve">ieredze vai tamlīdzīga transportlīdzekļa vadīšanas pieredze, tāda kā smagā transporta vadīšanas instruktora pieredze.  </w:t>
      </w:r>
    </w:p>
    <w:p w:rsidR="003E022D" w:rsidRDefault="007D19D6">
      <w:pPr>
        <w:rPr>
          <w:rFonts w:cstheme="minorHAnsi"/>
          <w:noProof/>
        </w:rPr>
      </w:pPr>
      <w:r>
        <w:rPr>
          <w:noProof/>
        </w:rPr>
        <w:t xml:space="preserve">Mācību programmām jāatbilst apstiprinājumam un jāietver 1. iedaļā uzskaitītie priekšmeti. </w:t>
      </w:r>
    </w:p>
    <w:p w:rsidR="003E022D" w:rsidRDefault="007D19D6">
      <w:pPr>
        <w:rPr>
          <w:rFonts w:cstheme="minorHAnsi"/>
          <w:noProof/>
        </w:rPr>
      </w:pPr>
      <w:r>
        <w:rPr>
          <w:noProof/>
        </w:rPr>
        <w:t xml:space="preserve"> </w:t>
      </w:r>
      <w:r>
        <w:rPr>
          <w:noProof/>
        </w:rPr>
        <w:tab/>
        <w:t xml:space="preserve"> </w:t>
      </w:r>
      <w:r>
        <w:rPr>
          <w:noProof/>
        </w:rPr>
        <w:br w:type="page"/>
      </w:r>
    </w:p>
    <w:p w:rsidR="003E022D" w:rsidRDefault="007D19D6">
      <w:pPr>
        <w:pStyle w:val="Appendix"/>
        <w:rPr>
          <w:noProof/>
        </w:rPr>
      </w:pPr>
      <w:r>
        <w:rPr>
          <w:noProof/>
        </w:rPr>
        <w:t>ROAD.B.1.2. papildinājums. Transportlīdz</w:t>
      </w:r>
      <w:r>
        <w:rPr>
          <w:noProof/>
        </w:rPr>
        <w:t>ekļa vadītāja kvalifikācijas kartes, kas minēta šā pielikuma B daļas 1. iedaļas 9. pantā, paraugs</w:t>
      </w:r>
    </w:p>
    <w:p w:rsidR="003E022D" w:rsidRDefault="003E022D">
      <w:pPr>
        <w:rPr>
          <w:rFonts w:cstheme="minorHAnsi"/>
          <w:noProof/>
          <w:lang w:eastAsia="en-GB"/>
        </w:rPr>
      </w:pPr>
    </w:p>
    <w:p w:rsidR="003E022D" w:rsidRDefault="007D19D6">
      <w:pPr>
        <w:rPr>
          <w:rFonts w:cstheme="minorHAnsi"/>
          <w:i/>
          <w:noProof/>
        </w:rPr>
      </w:pPr>
      <w:r>
        <w:rPr>
          <w:rFonts w:ascii="Times New Roman" w:hAnsi="Times New Roman"/>
          <w:i/>
          <w:noProof/>
          <w:sz w:val="24"/>
          <w:lang w:val="fr-BE" w:eastAsia="fr-BE"/>
        </w:rPr>
        <mc:AlternateContent>
          <mc:Choice Requires="wps">
            <w:drawing>
              <wp:anchor distT="0" distB="0" distL="114300" distR="114300" simplePos="0" relativeHeight="251635200" behindDoc="1" locked="0" layoutInCell="1" allowOverlap="1">
                <wp:simplePos x="0" y="0"/>
                <wp:positionH relativeFrom="column">
                  <wp:posOffset>279610</wp:posOffset>
                </wp:positionH>
                <wp:positionV relativeFrom="paragraph">
                  <wp:posOffset>413569</wp:posOffset>
                </wp:positionV>
                <wp:extent cx="4352715" cy="2690301"/>
                <wp:effectExtent l="0" t="0" r="10160" b="15240"/>
                <wp:wrapNone/>
                <wp:docPr id="8" name="Rounded Rectangle 8"/>
                <wp:cNvGraphicFramePr/>
                <a:graphic xmlns:a="http://schemas.openxmlformats.org/drawingml/2006/main">
                  <a:graphicData uri="http://schemas.microsoft.com/office/word/2010/wordprocessingShape">
                    <wps:wsp>
                      <wps:cNvSpPr/>
                      <wps:spPr>
                        <a:xfrm>
                          <a:off x="0" y="0"/>
                          <a:ext cx="4352715" cy="2690301"/>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C4AD2" id="Rounded Rectangle 8" o:spid="_x0000_s1026" style="position:absolute;margin-left:22pt;margin-top:32.55pt;width:342.75pt;height:211.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" filled="f" strokecolor="black [3213]" strokeweight="2pt"/>
            </w:pict>
          </mc:Fallback>
        </mc:AlternateContent>
      </w:r>
      <w:r>
        <w:rPr>
          <w:i/>
          <w:noProof/>
        </w:rPr>
        <w:t>1. puse</w:t>
      </w:r>
      <w:r>
        <w:rPr>
          <w:i/>
          <w:noProof/>
          <w:color w:val="00B0F0"/>
        </w:rPr>
        <w:t xml:space="preserve"> </w:t>
      </w:r>
    </w:p>
    <w:p w:rsidR="003E022D" w:rsidRDefault="007D19D6">
      <w:pPr>
        <w:rPr>
          <w:rFonts w:ascii="Times New Roman" w:hAnsi="Times New Roman" w:cs="Times New Roman"/>
          <w:i/>
          <w:noProof/>
          <w:sz w:val="24"/>
        </w:rPr>
      </w:pPr>
      <w:r>
        <w:rPr>
          <w:noProof/>
          <w:color w:val="00B0F0"/>
        </w:rPr>
        <w:t xml:space="preserve"> </w:t>
      </w:r>
      <w:r>
        <w:rPr>
          <w:noProof/>
        </w:rPr>
        <w:tab/>
      </w:r>
    </w:p>
    <w:p w:rsidR="003E022D" w:rsidRDefault="007D19D6">
      <w:pPr>
        <w:ind w:left="1440" w:right="1814" w:firstLine="720"/>
        <w:rPr>
          <w:rFonts w:cstheme="minorHAnsi"/>
          <w:noProof/>
          <w:color w:val="00B0F0"/>
        </w:rPr>
      </w:pPr>
      <w:r>
        <w:rPr>
          <w:b/>
          <w:noProof/>
        </w:rPr>
        <w:t xml:space="preserve">TRANSPORTLĪDZEKĻA VADĪTĀJA KVALIFIKĀCIJAS KARTE </w:t>
      </w:r>
      <w:r>
        <w:rPr>
          <w:noProof/>
        </w:rPr>
        <w:tab/>
      </w:r>
      <w:r>
        <w:rPr>
          <w:b/>
          <w:noProof/>
        </w:rPr>
        <w:t>(DALĪBVALSTS/ APVIENOTĀ KARALISTE)</w:t>
      </w:r>
    </w:p>
    <w:p w:rsidR="003E022D" w:rsidRDefault="007D19D6">
      <w:pPr>
        <w:spacing w:after="0"/>
        <w:ind w:firstLine="720"/>
        <w:rPr>
          <w:rFonts w:cstheme="minorHAnsi"/>
          <w:noProof/>
        </w:rPr>
      </w:pPr>
      <w:r>
        <w:rPr>
          <w:noProof/>
        </w:rPr>
        <w:t>1.</w:t>
      </w:r>
    </w:p>
    <w:p w:rsidR="003E022D" w:rsidRDefault="007D19D6">
      <w:pPr>
        <w:spacing w:after="0"/>
        <w:ind w:firstLine="720"/>
        <w:rPr>
          <w:rFonts w:cstheme="minorHAnsi"/>
          <w:noProof/>
        </w:rPr>
      </w:pPr>
      <w:r>
        <w:rPr>
          <w:noProof/>
          <w:lang w:val="fr-BE" w:eastAsia="fr-BE"/>
        </w:rPr>
        <mc:AlternateContent>
          <mc:Choice Requires="wps">
            <w:drawing>
              <wp:anchor distT="45720" distB="45720" distL="114300" distR="114300" simplePos="0" relativeHeight="251639296" behindDoc="0" locked="0" layoutInCell="1" allowOverlap="1">
                <wp:simplePos x="0" y="0"/>
                <wp:positionH relativeFrom="column">
                  <wp:posOffset>339725</wp:posOffset>
                </wp:positionH>
                <wp:positionV relativeFrom="paragraph">
                  <wp:posOffset>11430</wp:posOffset>
                </wp:positionV>
                <wp:extent cx="899160" cy="1201420"/>
                <wp:effectExtent l="0" t="0" r="152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201420"/>
                        </a:xfrm>
                        <a:prstGeom prst="rect">
                          <a:avLst/>
                        </a:prstGeom>
                        <a:solidFill>
                          <a:srgbClr val="FFFFFF"/>
                        </a:solidFill>
                        <a:ln w="9525">
                          <a:solidFill>
                            <a:srgbClr val="000000"/>
                          </a:solidFill>
                          <a:miter lim="800000"/>
                          <a:headEnd/>
                          <a:tailEnd/>
                        </a:ln>
                      </wps:spPr>
                      <wps:txbx>
                        <w:txbxContent>
                          <w:p w:rsidR="003E022D" w:rsidRDefault="007D19D6">
                            <w:pPr>
                              <w:rPr>
                                <w:rFonts w:cstheme="minorHAnsi"/>
                              </w:rPr>
                            </w:pPr>
                            <w:r>
                              <w:t>6. 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9pt;width:70.8pt;height:94.6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">
                <v:textbox>
                  <w:txbxContent>
                    <w:p w:rsidR="003E022D" w:rsidRDefault="007D19D6">
                      <w:pPr>
                        <w:rPr>
                          <w:rFonts w:cstheme="minorHAnsi"/>
                        </w:rPr>
                      </w:pPr>
                      <w:r>
                        <w:t>6. FOTO</w:t>
                      </w:r>
                    </w:p>
                  </w:txbxContent>
                </v:textbox>
                <w10:wrap type="square"/>
              </v:shape>
            </w:pict>
          </mc:Fallback>
        </mc:AlternateContent>
      </w:r>
      <w:r>
        <w:rPr>
          <w:noProof/>
        </w:rPr>
        <w:t>2</w:t>
      </w:r>
    </w:p>
    <w:p w:rsidR="003E022D" w:rsidRDefault="007D19D6">
      <w:pPr>
        <w:spacing w:after="0"/>
        <w:ind w:left="1440" w:firstLine="720"/>
        <w:rPr>
          <w:rFonts w:cstheme="minorHAnsi"/>
          <w:noProof/>
        </w:rPr>
      </w:pPr>
      <w:r>
        <w:rPr>
          <w:noProof/>
        </w:rPr>
        <w:t>3</w:t>
      </w:r>
    </w:p>
    <w:p w:rsidR="003E022D" w:rsidRDefault="007D19D6">
      <w:pPr>
        <w:spacing w:after="0"/>
        <w:ind w:left="1440" w:firstLine="720"/>
        <w:rPr>
          <w:rFonts w:cstheme="minorHAnsi"/>
          <w:noProof/>
        </w:rPr>
      </w:pPr>
      <w:r>
        <w:rPr>
          <w:noProof/>
        </w:rPr>
        <w:t>4a.</w:t>
      </w:r>
      <w:r>
        <w:rPr>
          <w:noProof/>
        </w:rPr>
        <w:tab/>
        <w:t>4b.</w:t>
      </w:r>
    </w:p>
    <w:p w:rsidR="003E022D" w:rsidRDefault="007D19D6">
      <w:pPr>
        <w:spacing w:after="0"/>
        <w:ind w:left="1440" w:firstLine="720"/>
        <w:rPr>
          <w:rFonts w:cstheme="minorHAnsi"/>
          <w:noProof/>
        </w:rPr>
      </w:pPr>
      <w:r>
        <w:rPr>
          <w:noProof/>
        </w:rPr>
        <w:t>4c.</w:t>
      </w:r>
      <w:r>
        <w:rPr>
          <w:noProof/>
        </w:rPr>
        <w:tab/>
        <w:t>(4d.)</w:t>
      </w:r>
    </w:p>
    <w:p w:rsidR="003E022D" w:rsidRDefault="007D19D6">
      <w:pPr>
        <w:spacing w:after="0"/>
        <w:ind w:left="1440" w:firstLine="720"/>
        <w:rPr>
          <w:rFonts w:cstheme="minorHAnsi"/>
          <w:noProof/>
        </w:rPr>
      </w:pPr>
      <w:r>
        <w:rPr>
          <w:noProof/>
        </w:rPr>
        <w:t>5a.</w:t>
      </w:r>
      <w:r>
        <w:rPr>
          <w:noProof/>
        </w:rPr>
        <w:tab/>
        <w:t>5b.</w:t>
      </w:r>
    </w:p>
    <w:p w:rsidR="003E022D" w:rsidRDefault="007D19D6">
      <w:pPr>
        <w:spacing w:after="0"/>
        <w:ind w:left="1440" w:firstLine="720"/>
        <w:rPr>
          <w:rFonts w:cstheme="minorHAnsi"/>
          <w:noProof/>
        </w:rPr>
      </w:pPr>
      <w:r>
        <w:rPr>
          <w:noProof/>
        </w:rPr>
        <w:t>7.</w:t>
      </w:r>
    </w:p>
    <w:p w:rsidR="003E022D" w:rsidRDefault="007D19D6">
      <w:pPr>
        <w:spacing w:after="0"/>
        <w:ind w:left="1440" w:firstLine="720"/>
        <w:rPr>
          <w:rFonts w:cstheme="minorHAnsi"/>
          <w:noProof/>
        </w:rPr>
      </w:pPr>
      <w:r>
        <w:rPr>
          <w:noProof/>
        </w:rPr>
        <w:t>(8.)</w:t>
      </w:r>
    </w:p>
    <w:p w:rsidR="003E022D" w:rsidRDefault="003E022D">
      <w:pPr>
        <w:spacing w:after="0"/>
        <w:ind w:firstLine="720"/>
        <w:rPr>
          <w:rFonts w:cstheme="minorHAnsi"/>
          <w:b/>
          <w:noProof/>
        </w:rPr>
      </w:pPr>
    </w:p>
    <w:p w:rsidR="003E022D" w:rsidRDefault="007D19D6">
      <w:pPr>
        <w:spacing w:after="0"/>
        <w:ind w:firstLine="720"/>
        <w:rPr>
          <w:rFonts w:cstheme="minorHAnsi"/>
          <w:noProof/>
        </w:rPr>
      </w:pPr>
      <w:r>
        <w:rPr>
          <w:noProof/>
        </w:rPr>
        <w:t>9.</w:t>
      </w:r>
    </w:p>
    <w:p w:rsidR="003E022D" w:rsidRDefault="003E022D">
      <w:pPr>
        <w:rPr>
          <w:rFonts w:cstheme="minorHAnsi"/>
          <w:noProof/>
          <w:color w:val="00B0F0"/>
        </w:rPr>
      </w:pPr>
    </w:p>
    <w:p w:rsidR="003E022D" w:rsidRDefault="003E022D">
      <w:pPr>
        <w:rPr>
          <w:rFonts w:cstheme="minorHAnsi"/>
          <w:noProof/>
          <w:color w:val="00B0F0"/>
        </w:rPr>
      </w:pPr>
    </w:p>
    <w:p w:rsidR="003E022D" w:rsidRDefault="003E022D">
      <w:pPr>
        <w:rPr>
          <w:rFonts w:cstheme="minorHAnsi"/>
          <w:noProof/>
          <w:color w:val="00B0F0"/>
        </w:rPr>
      </w:pPr>
    </w:p>
    <w:p w:rsidR="003E022D" w:rsidRDefault="007D19D6">
      <w:pPr>
        <w:rPr>
          <w:rFonts w:cstheme="minorHAnsi"/>
          <w:noProof/>
          <w:color w:val="00B0F0"/>
        </w:rPr>
      </w:pPr>
      <w:r>
        <w:rPr>
          <w:i/>
          <w:noProof/>
        </w:rPr>
        <w:t>2. puse</w:t>
      </w:r>
    </w:p>
    <w:p w:rsidR="003E022D" w:rsidRDefault="003E022D">
      <w:pPr>
        <w:rPr>
          <w:rFonts w:cstheme="minorHAnsi"/>
          <w:noProof/>
          <w:color w:val="00B0F0"/>
        </w:rPr>
      </w:pPr>
    </w:p>
    <w:tbl>
      <w:tblPr>
        <w:tblStyle w:val="TableGrid0"/>
        <w:tblpPr w:leftFromText="180" w:rightFromText="180" w:vertAnchor="text" w:horzAnchor="page" w:tblpX="2249" w:tblpY="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1"/>
      </w:tblGrid>
      <w:tr w:rsidR="003E022D">
        <w:trPr>
          <w:trHeight w:val="367"/>
        </w:trPr>
        <w:tc>
          <w:tcPr>
            <w:tcW w:w="1991" w:type="dxa"/>
            <w:vAlign w:val="center"/>
          </w:tcPr>
          <w:p w:rsidR="003E022D" w:rsidRDefault="007D19D6">
            <w:pPr>
              <w:tabs>
                <w:tab w:val="left" w:pos="3059"/>
              </w:tabs>
              <w:rPr>
                <w:rFonts w:cstheme="minorHAnsi"/>
                <w:noProof/>
                <w:sz w:val="24"/>
              </w:rPr>
            </w:pPr>
            <w:r>
              <w:rPr>
                <w:rFonts w:ascii="Times New Roman" w:hAnsi="Times New Roman"/>
                <w:i/>
                <w:noProof/>
                <w:sz w:val="24"/>
                <w:lang w:val="fr-BE" w:eastAsia="fr-BE"/>
              </w:rPr>
              <mc:AlternateContent>
                <mc:Choice Requires="wps">
                  <w:drawing>
                    <wp:anchor distT="0" distB="0" distL="114300" distR="114300" simplePos="0" relativeHeight="251641344" behindDoc="1" locked="0" layoutInCell="1" allowOverlap="1">
                      <wp:simplePos x="0" y="0"/>
                      <wp:positionH relativeFrom="column">
                        <wp:posOffset>-132715</wp:posOffset>
                      </wp:positionH>
                      <wp:positionV relativeFrom="paragraph">
                        <wp:posOffset>-185420</wp:posOffset>
                      </wp:positionV>
                      <wp:extent cx="4352290" cy="2894330"/>
                      <wp:effectExtent l="0" t="0" r="10160" b="20320"/>
                      <wp:wrapNone/>
                      <wp:docPr id="26" name="Rounded Rectangle 26"/>
                      <wp:cNvGraphicFramePr/>
                      <a:graphic xmlns:a="http://schemas.openxmlformats.org/drawingml/2006/main">
                        <a:graphicData uri="http://schemas.microsoft.com/office/word/2010/wordprocessingShape">
                          <wps:wsp>
                            <wps:cNvSpPr/>
                            <wps:spPr>
                              <a:xfrm>
                                <a:off x="0" y="0"/>
                                <a:ext cx="4352290" cy="2894330"/>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B86EE" id="Rounded Rectangle 26" o:spid="_x0000_s1026" style="position:absolute;margin-left:-10.45pt;margin-top:-14.6pt;width:342.7pt;height:227.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" filled="f" strokecolor="black [3213]" strokeweight="2pt"/>
                  </w:pict>
                </mc:Fallback>
              </mc:AlternateContent>
            </w:r>
            <w:r>
              <w:rPr>
                <w:noProof/>
              </w:rPr>
              <w:t>11.</w:t>
            </w:r>
          </w:p>
        </w:tc>
      </w:tr>
      <w:tr w:rsidR="003E022D">
        <w:trPr>
          <w:trHeight w:val="367"/>
        </w:trPr>
        <w:tc>
          <w:tcPr>
            <w:tcW w:w="1991" w:type="dxa"/>
          </w:tcPr>
          <w:p w:rsidR="003E022D" w:rsidRDefault="003E022D">
            <w:pPr>
              <w:tabs>
                <w:tab w:val="left" w:pos="3059"/>
              </w:tabs>
              <w:rPr>
                <w:rFonts w:ascii="Times New Roman" w:hAnsi="Times New Roman" w:cs="Times New Roman"/>
                <w:noProof/>
                <w:sz w:val="24"/>
              </w:rPr>
            </w:pPr>
          </w:p>
        </w:tc>
      </w:tr>
      <w:tr w:rsidR="003E022D">
        <w:trPr>
          <w:trHeight w:val="367"/>
        </w:trPr>
        <w:tc>
          <w:tcPr>
            <w:tcW w:w="1991" w:type="dxa"/>
          </w:tcPr>
          <w:p w:rsidR="003E022D" w:rsidRDefault="003E022D">
            <w:pPr>
              <w:tabs>
                <w:tab w:val="left" w:pos="3059"/>
              </w:tabs>
              <w:rPr>
                <w:rFonts w:ascii="Times New Roman" w:hAnsi="Times New Roman" w:cs="Times New Roman"/>
                <w:noProof/>
                <w:sz w:val="24"/>
              </w:rPr>
            </w:pPr>
          </w:p>
        </w:tc>
      </w:tr>
    </w:tbl>
    <w:tbl>
      <w:tblPr>
        <w:tblStyle w:val="TableGrid0"/>
        <w:tblpPr w:leftFromText="180" w:rightFromText="180" w:vertAnchor="text" w:horzAnchor="page" w:tblpX="548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659"/>
      </w:tblGrid>
      <w:tr w:rsidR="003E022D">
        <w:trPr>
          <w:trHeight w:val="422"/>
        </w:trPr>
        <w:tc>
          <w:tcPr>
            <w:tcW w:w="669" w:type="dxa"/>
            <w:shd w:val="clear" w:color="auto" w:fill="auto"/>
            <w:vAlign w:val="center"/>
          </w:tcPr>
          <w:p w:rsidR="003E022D" w:rsidRDefault="007D19D6">
            <w:pPr>
              <w:rPr>
                <w:rFonts w:cstheme="minorHAnsi"/>
                <w:noProof/>
              </w:rPr>
            </w:pPr>
            <w:r>
              <w:rPr>
                <w:noProof/>
              </w:rPr>
              <w:t>9.</w:t>
            </w:r>
          </w:p>
        </w:tc>
        <w:tc>
          <w:tcPr>
            <w:tcW w:w="1659" w:type="dxa"/>
            <w:shd w:val="clear" w:color="auto" w:fill="auto"/>
            <w:vAlign w:val="center"/>
          </w:tcPr>
          <w:p w:rsidR="003E022D" w:rsidRDefault="007D19D6">
            <w:pPr>
              <w:rPr>
                <w:rFonts w:cstheme="minorHAnsi"/>
                <w:noProof/>
                <w:sz w:val="24"/>
              </w:rPr>
            </w:pPr>
            <w:r>
              <w:rPr>
                <w:noProof/>
              </w:rPr>
              <w:t>10.</w:t>
            </w:r>
          </w:p>
        </w:tc>
      </w:tr>
      <w:tr w:rsidR="003E022D">
        <w:trPr>
          <w:trHeight w:val="422"/>
        </w:trPr>
        <w:tc>
          <w:tcPr>
            <w:tcW w:w="669" w:type="dxa"/>
            <w:shd w:val="clear" w:color="auto" w:fill="auto"/>
            <w:vAlign w:val="center"/>
          </w:tcPr>
          <w:p w:rsidR="003E022D" w:rsidRDefault="007D19D6">
            <w:pPr>
              <w:rPr>
                <w:rFonts w:cstheme="minorHAnsi"/>
                <w:noProof/>
              </w:rPr>
            </w:pPr>
            <w:r>
              <w:rPr>
                <w:noProof/>
              </w:rPr>
              <w:t>C1</w:t>
            </w:r>
          </w:p>
        </w:tc>
        <w:tc>
          <w:tcPr>
            <w:tcW w:w="1659" w:type="dxa"/>
            <w:shd w:val="clear" w:color="auto" w:fill="auto"/>
            <w:vAlign w:val="center"/>
          </w:tcPr>
          <w:p w:rsidR="003E022D" w:rsidRDefault="003E022D">
            <w:pPr>
              <w:rPr>
                <w:rFonts w:ascii="Times New Roman" w:hAnsi="Times New Roman" w:cs="Times New Roman"/>
                <w:noProof/>
                <w:sz w:val="24"/>
              </w:rPr>
            </w:pPr>
          </w:p>
        </w:tc>
      </w:tr>
      <w:tr w:rsidR="003E022D">
        <w:trPr>
          <w:trHeight w:val="422"/>
        </w:trPr>
        <w:tc>
          <w:tcPr>
            <w:tcW w:w="669" w:type="dxa"/>
            <w:shd w:val="clear" w:color="auto" w:fill="auto"/>
            <w:vAlign w:val="center"/>
          </w:tcPr>
          <w:p w:rsidR="003E022D" w:rsidRDefault="007D19D6">
            <w:pPr>
              <w:rPr>
                <w:rFonts w:cstheme="minorHAnsi"/>
                <w:noProof/>
              </w:rPr>
            </w:pPr>
            <w:r>
              <w:rPr>
                <w:noProof/>
              </w:rPr>
              <w:t>C</w:t>
            </w:r>
          </w:p>
        </w:tc>
        <w:tc>
          <w:tcPr>
            <w:tcW w:w="1659" w:type="dxa"/>
            <w:shd w:val="clear" w:color="auto" w:fill="auto"/>
            <w:vAlign w:val="center"/>
          </w:tcPr>
          <w:p w:rsidR="003E022D" w:rsidRDefault="003E022D">
            <w:pPr>
              <w:rPr>
                <w:rFonts w:ascii="Times New Roman" w:hAnsi="Times New Roman" w:cs="Times New Roman"/>
                <w:noProof/>
                <w:sz w:val="24"/>
              </w:rPr>
            </w:pPr>
          </w:p>
        </w:tc>
      </w:tr>
      <w:tr w:rsidR="003E022D">
        <w:trPr>
          <w:trHeight w:val="422"/>
        </w:trPr>
        <w:tc>
          <w:tcPr>
            <w:tcW w:w="669" w:type="dxa"/>
            <w:shd w:val="clear" w:color="auto" w:fill="auto"/>
            <w:vAlign w:val="center"/>
          </w:tcPr>
          <w:p w:rsidR="003E022D" w:rsidRDefault="007D19D6">
            <w:pPr>
              <w:rPr>
                <w:rFonts w:cstheme="minorHAnsi"/>
                <w:noProof/>
              </w:rPr>
            </w:pPr>
            <w:r>
              <w:rPr>
                <w:noProof/>
              </w:rPr>
              <w:t>D1</w:t>
            </w:r>
          </w:p>
        </w:tc>
        <w:tc>
          <w:tcPr>
            <w:tcW w:w="1659" w:type="dxa"/>
            <w:shd w:val="clear" w:color="auto" w:fill="auto"/>
            <w:vAlign w:val="center"/>
          </w:tcPr>
          <w:p w:rsidR="003E022D" w:rsidRDefault="003E022D">
            <w:pPr>
              <w:rPr>
                <w:rFonts w:ascii="Times New Roman" w:hAnsi="Times New Roman" w:cs="Times New Roman"/>
                <w:noProof/>
                <w:sz w:val="24"/>
              </w:rPr>
            </w:pPr>
          </w:p>
        </w:tc>
      </w:tr>
      <w:tr w:rsidR="003E022D">
        <w:trPr>
          <w:trHeight w:val="422"/>
        </w:trPr>
        <w:tc>
          <w:tcPr>
            <w:tcW w:w="669" w:type="dxa"/>
            <w:shd w:val="clear" w:color="auto" w:fill="auto"/>
            <w:vAlign w:val="center"/>
          </w:tcPr>
          <w:p w:rsidR="003E022D" w:rsidRDefault="007D19D6">
            <w:pPr>
              <w:rPr>
                <w:rFonts w:cstheme="minorHAnsi"/>
                <w:noProof/>
              </w:rPr>
            </w:pPr>
            <w:r>
              <w:rPr>
                <w:noProof/>
              </w:rPr>
              <w:t>D</w:t>
            </w:r>
          </w:p>
        </w:tc>
        <w:tc>
          <w:tcPr>
            <w:tcW w:w="1659" w:type="dxa"/>
            <w:shd w:val="clear" w:color="auto" w:fill="auto"/>
            <w:vAlign w:val="center"/>
          </w:tcPr>
          <w:p w:rsidR="003E022D" w:rsidRDefault="003E022D">
            <w:pPr>
              <w:rPr>
                <w:rFonts w:ascii="Times New Roman" w:hAnsi="Times New Roman" w:cs="Times New Roman"/>
                <w:noProof/>
                <w:sz w:val="24"/>
              </w:rPr>
            </w:pPr>
          </w:p>
        </w:tc>
      </w:tr>
      <w:tr w:rsidR="003E022D">
        <w:trPr>
          <w:trHeight w:val="422"/>
        </w:trPr>
        <w:tc>
          <w:tcPr>
            <w:tcW w:w="669" w:type="dxa"/>
            <w:shd w:val="clear" w:color="auto" w:fill="auto"/>
            <w:vAlign w:val="center"/>
          </w:tcPr>
          <w:p w:rsidR="003E022D" w:rsidRDefault="007D19D6">
            <w:pPr>
              <w:rPr>
                <w:rFonts w:cstheme="minorHAnsi"/>
                <w:noProof/>
              </w:rPr>
            </w:pPr>
            <w:r>
              <w:rPr>
                <w:noProof/>
              </w:rPr>
              <w:t>C1E</w:t>
            </w:r>
          </w:p>
        </w:tc>
        <w:tc>
          <w:tcPr>
            <w:tcW w:w="1659" w:type="dxa"/>
            <w:shd w:val="clear" w:color="auto" w:fill="auto"/>
            <w:vAlign w:val="center"/>
          </w:tcPr>
          <w:p w:rsidR="003E022D" w:rsidRDefault="003E022D">
            <w:pPr>
              <w:rPr>
                <w:rFonts w:ascii="Times New Roman" w:hAnsi="Times New Roman" w:cs="Times New Roman"/>
                <w:noProof/>
                <w:sz w:val="24"/>
              </w:rPr>
            </w:pPr>
          </w:p>
        </w:tc>
      </w:tr>
      <w:tr w:rsidR="003E022D">
        <w:trPr>
          <w:trHeight w:val="422"/>
        </w:trPr>
        <w:tc>
          <w:tcPr>
            <w:tcW w:w="669" w:type="dxa"/>
            <w:shd w:val="clear" w:color="auto" w:fill="auto"/>
            <w:vAlign w:val="center"/>
          </w:tcPr>
          <w:p w:rsidR="003E022D" w:rsidRDefault="007D19D6">
            <w:pPr>
              <w:rPr>
                <w:rFonts w:cstheme="minorHAnsi"/>
                <w:noProof/>
              </w:rPr>
            </w:pPr>
            <w:r>
              <w:rPr>
                <w:noProof/>
              </w:rPr>
              <w:t>CE</w:t>
            </w:r>
          </w:p>
        </w:tc>
        <w:tc>
          <w:tcPr>
            <w:tcW w:w="1659" w:type="dxa"/>
            <w:shd w:val="clear" w:color="auto" w:fill="auto"/>
            <w:vAlign w:val="center"/>
          </w:tcPr>
          <w:p w:rsidR="003E022D" w:rsidRDefault="003E022D">
            <w:pPr>
              <w:rPr>
                <w:rFonts w:ascii="Times New Roman" w:hAnsi="Times New Roman" w:cs="Times New Roman"/>
                <w:noProof/>
                <w:sz w:val="24"/>
              </w:rPr>
            </w:pPr>
          </w:p>
        </w:tc>
      </w:tr>
      <w:tr w:rsidR="003E022D">
        <w:trPr>
          <w:trHeight w:val="422"/>
        </w:trPr>
        <w:tc>
          <w:tcPr>
            <w:tcW w:w="669" w:type="dxa"/>
            <w:shd w:val="clear" w:color="auto" w:fill="auto"/>
            <w:vAlign w:val="center"/>
          </w:tcPr>
          <w:p w:rsidR="003E022D" w:rsidRDefault="007D19D6">
            <w:pPr>
              <w:rPr>
                <w:rFonts w:cstheme="minorHAnsi"/>
                <w:noProof/>
              </w:rPr>
            </w:pPr>
            <w:r>
              <w:rPr>
                <w:noProof/>
              </w:rPr>
              <w:t>D1E</w:t>
            </w:r>
          </w:p>
        </w:tc>
        <w:tc>
          <w:tcPr>
            <w:tcW w:w="1659" w:type="dxa"/>
            <w:shd w:val="clear" w:color="auto" w:fill="auto"/>
            <w:vAlign w:val="center"/>
          </w:tcPr>
          <w:p w:rsidR="003E022D" w:rsidRDefault="003E022D">
            <w:pPr>
              <w:rPr>
                <w:rFonts w:ascii="Times New Roman" w:hAnsi="Times New Roman" w:cs="Times New Roman"/>
                <w:noProof/>
                <w:sz w:val="24"/>
              </w:rPr>
            </w:pPr>
          </w:p>
        </w:tc>
      </w:tr>
      <w:tr w:rsidR="003E022D">
        <w:trPr>
          <w:trHeight w:val="422"/>
        </w:trPr>
        <w:tc>
          <w:tcPr>
            <w:tcW w:w="669" w:type="dxa"/>
            <w:shd w:val="clear" w:color="auto" w:fill="auto"/>
            <w:vAlign w:val="center"/>
          </w:tcPr>
          <w:p w:rsidR="003E022D" w:rsidRDefault="007D19D6">
            <w:pPr>
              <w:rPr>
                <w:rFonts w:cstheme="minorHAnsi"/>
                <w:noProof/>
              </w:rPr>
            </w:pPr>
            <w:r>
              <w:rPr>
                <w:noProof/>
              </w:rPr>
              <w:t>DE</w:t>
            </w:r>
          </w:p>
        </w:tc>
        <w:tc>
          <w:tcPr>
            <w:tcW w:w="1659" w:type="dxa"/>
            <w:shd w:val="clear" w:color="auto" w:fill="auto"/>
            <w:vAlign w:val="center"/>
          </w:tcPr>
          <w:p w:rsidR="003E022D" w:rsidRDefault="003E022D">
            <w:pPr>
              <w:rPr>
                <w:rFonts w:ascii="Times New Roman" w:hAnsi="Times New Roman" w:cs="Times New Roman"/>
                <w:noProof/>
                <w:sz w:val="24"/>
              </w:rPr>
            </w:pPr>
          </w:p>
        </w:tc>
      </w:tr>
    </w:tbl>
    <w:p w:rsidR="003E022D" w:rsidRDefault="003E022D">
      <w:pPr>
        <w:rPr>
          <w:noProof/>
        </w:rPr>
      </w:pPr>
    </w:p>
    <w:p w:rsidR="003E022D" w:rsidRDefault="007D19D6">
      <w:pPr>
        <w:tabs>
          <w:tab w:val="left" w:pos="3059"/>
        </w:tabs>
        <w:rPr>
          <w:rFonts w:ascii="Times New Roman" w:hAnsi="Times New Roman" w:cs="Times New Roman"/>
          <w:noProof/>
          <w:sz w:val="24"/>
        </w:rPr>
      </w:pPr>
      <w:r>
        <w:rPr>
          <w:noProof/>
        </w:rPr>
        <w:tab/>
      </w:r>
    </w:p>
    <w:p w:rsidR="003E022D" w:rsidRDefault="003E022D">
      <w:pPr>
        <w:tabs>
          <w:tab w:val="left" w:pos="3059"/>
        </w:tabs>
        <w:rPr>
          <w:rFonts w:ascii="Times New Roman" w:hAnsi="Times New Roman" w:cs="Times New Roman"/>
          <w:noProof/>
          <w:sz w:val="24"/>
        </w:rPr>
      </w:pPr>
    </w:p>
    <w:p w:rsidR="003E022D" w:rsidRDefault="007D19D6">
      <w:pPr>
        <w:pStyle w:val="ListParagraph"/>
        <w:numPr>
          <w:ilvl w:val="0"/>
          <w:numId w:val="993"/>
        </w:numPr>
        <w:spacing w:after="0" w:line="276" w:lineRule="auto"/>
        <w:jc w:val="left"/>
        <w:rPr>
          <w:rFonts w:cstheme="minorHAnsi"/>
          <w:noProof/>
        </w:rPr>
      </w:pPr>
      <w:r>
        <w:rPr>
          <w:noProof/>
        </w:rPr>
        <w:t>Uzvārds</w:t>
      </w:r>
    </w:p>
    <w:p w:rsidR="003E022D" w:rsidRDefault="007D19D6">
      <w:pPr>
        <w:pStyle w:val="ListParagraph"/>
        <w:numPr>
          <w:ilvl w:val="0"/>
          <w:numId w:val="993"/>
        </w:numPr>
        <w:spacing w:after="0" w:line="276" w:lineRule="auto"/>
        <w:jc w:val="left"/>
        <w:rPr>
          <w:rFonts w:cstheme="minorHAnsi"/>
          <w:noProof/>
        </w:rPr>
      </w:pPr>
      <w:r>
        <w:rPr>
          <w:noProof/>
        </w:rPr>
        <w:t>Vārds</w:t>
      </w:r>
    </w:p>
    <w:p w:rsidR="003E022D" w:rsidRDefault="007D19D6">
      <w:pPr>
        <w:pStyle w:val="ListParagraph"/>
        <w:numPr>
          <w:ilvl w:val="0"/>
          <w:numId w:val="993"/>
        </w:numPr>
        <w:spacing w:after="0" w:line="276" w:lineRule="auto"/>
        <w:jc w:val="left"/>
        <w:rPr>
          <w:rFonts w:cstheme="minorHAnsi"/>
          <w:noProof/>
        </w:rPr>
      </w:pPr>
      <w:r>
        <w:rPr>
          <w:noProof/>
        </w:rPr>
        <w:t>Dzimšanas datums un vieta</w:t>
      </w:r>
    </w:p>
    <w:p w:rsidR="003E022D" w:rsidRDefault="007D19D6">
      <w:pPr>
        <w:spacing w:after="0"/>
        <w:ind w:left="360" w:firstLine="360"/>
        <w:rPr>
          <w:rFonts w:cstheme="minorHAnsi"/>
          <w:noProof/>
        </w:rPr>
      </w:pPr>
      <w:r>
        <w:rPr>
          <w:noProof/>
        </w:rPr>
        <w:t>4a. Izdošanas datums</w:t>
      </w:r>
    </w:p>
    <w:p w:rsidR="003E022D" w:rsidRDefault="007D19D6">
      <w:pPr>
        <w:spacing w:after="0"/>
        <w:ind w:left="360" w:firstLine="360"/>
        <w:rPr>
          <w:rFonts w:cstheme="minorHAnsi"/>
          <w:noProof/>
        </w:rPr>
      </w:pPr>
      <w:r>
        <w:rPr>
          <w:noProof/>
        </w:rPr>
        <w:t>4b. Administratīvais derīguma termiņš</w:t>
      </w:r>
    </w:p>
    <w:p w:rsidR="003E022D" w:rsidRDefault="007D19D6">
      <w:pPr>
        <w:spacing w:after="0"/>
        <w:ind w:left="360" w:firstLine="360"/>
        <w:rPr>
          <w:rFonts w:cstheme="minorHAnsi"/>
          <w:noProof/>
        </w:rPr>
      </w:pPr>
      <w:r>
        <w:rPr>
          <w:noProof/>
        </w:rPr>
        <w:t>4c. Izdevējiestāde</w:t>
      </w:r>
    </w:p>
    <w:p w:rsidR="003E022D" w:rsidRDefault="007D19D6">
      <w:pPr>
        <w:spacing w:after="0"/>
        <w:ind w:left="360" w:firstLine="360"/>
        <w:rPr>
          <w:rFonts w:cstheme="minorHAnsi"/>
          <w:noProof/>
        </w:rPr>
      </w:pPr>
      <w:r>
        <w:rPr>
          <w:noProof/>
        </w:rPr>
        <w:t>5a. Apliecības numurs</w:t>
      </w:r>
    </w:p>
    <w:p w:rsidR="003E022D" w:rsidRDefault="007D19D6">
      <w:pPr>
        <w:spacing w:after="0"/>
        <w:ind w:left="360" w:firstLine="360"/>
        <w:rPr>
          <w:rFonts w:cstheme="minorHAnsi"/>
          <w:noProof/>
        </w:rPr>
      </w:pPr>
      <w:r>
        <w:rPr>
          <w:noProof/>
        </w:rPr>
        <w:t>5b. Sērijas Nr.</w:t>
      </w:r>
    </w:p>
    <w:p w:rsidR="003E022D" w:rsidRDefault="007D19D6">
      <w:pPr>
        <w:ind w:firstLine="720"/>
        <w:rPr>
          <w:rFonts w:cstheme="minorHAnsi"/>
          <w:noProof/>
        </w:rPr>
      </w:pPr>
      <w:r>
        <w:rPr>
          <w:noProof/>
        </w:rPr>
        <w:t>10. Savienības kods</w:t>
      </w:r>
      <w:r>
        <w:rPr>
          <w:rStyle w:val="FootnoteReference"/>
          <w:rFonts w:cstheme="minorHAnsi"/>
          <w:noProof/>
        </w:rPr>
        <w:footnoteReference w:id="126"/>
      </w:r>
    </w:p>
    <w:p w:rsidR="003E022D" w:rsidRDefault="003E022D">
      <w:pPr>
        <w:rPr>
          <w:rFonts w:cstheme="minorHAnsi"/>
          <w:noProof/>
          <w:color w:val="00B0F0"/>
        </w:rPr>
      </w:pPr>
    </w:p>
    <w:p w:rsidR="003E022D" w:rsidRDefault="007D19D6">
      <w:pPr>
        <w:pStyle w:val="Section"/>
        <w:rPr>
          <w:rFonts w:cstheme="minorHAnsi"/>
          <w:noProof/>
        </w:rPr>
      </w:pPr>
      <w:r>
        <w:rPr>
          <w:noProof/>
        </w:rPr>
        <w:t xml:space="preserve">2. iedaļa. Transportlīdzekļa vadīšanas laiks, pārtraukumi un atpūtas laikposmi </w:t>
      </w:r>
    </w:p>
    <w:p w:rsidR="003E022D" w:rsidRDefault="007D19D6">
      <w:pPr>
        <w:pStyle w:val="Article"/>
        <w:rPr>
          <w:rFonts w:cstheme="minorHAnsi"/>
          <w:noProof/>
        </w:rPr>
      </w:pPr>
      <w:r>
        <w:rPr>
          <w:noProof/>
        </w:rPr>
        <w:t xml:space="preserve">1. pants. Darbības joma  </w:t>
      </w:r>
    </w:p>
    <w:p w:rsidR="003E022D" w:rsidRDefault="007D19D6">
      <w:pPr>
        <w:rPr>
          <w:rFonts w:cstheme="minorHAnsi"/>
          <w:noProof/>
          <w:color w:val="000000" w:themeColor="text1"/>
        </w:rPr>
      </w:pPr>
      <w:r>
        <w:rPr>
          <w:noProof/>
        </w:rPr>
        <w:t>1.</w:t>
      </w:r>
      <w:r>
        <w:rPr>
          <w:noProof/>
        </w:rPr>
        <w:tab/>
        <w:t>Šajā iedaļā izklāstīti noteikumi par to transportlīdzekļu vadītāju transportlīdzekļa vadīšanas laiku, pārtraukumiem un atpūtas laikposmiem, kas min</w:t>
      </w:r>
      <w:r>
        <w:rPr>
          <w:noProof/>
        </w:rPr>
        <w:t xml:space="preserve">ēti šā nolīguma ROAD.7. panta 1. punkta b) apakšpunktā un kas veic šā nolīguma </w:t>
      </w:r>
      <w:r>
        <w:rPr>
          <w:noProof/>
          <w:color w:val="000000" w:themeColor="text1"/>
        </w:rPr>
        <w:t>ROAD.4. pantā [Kravu pārvadāšana starp Pušu teritorijām, caur tām un tajās</w:t>
      </w:r>
      <w:r>
        <w:rPr>
          <w:noProof/>
        </w:rPr>
        <w:t>] minētos braucienus.</w:t>
      </w:r>
      <w:r>
        <w:rPr>
          <w:noProof/>
          <w:color w:val="000000" w:themeColor="text1"/>
        </w:rPr>
        <w:t xml:space="preserve">  </w:t>
      </w:r>
    </w:p>
    <w:p w:rsidR="003E022D" w:rsidRDefault="007D19D6">
      <w:pPr>
        <w:rPr>
          <w:rFonts w:cstheme="minorHAnsi"/>
          <w:noProof/>
        </w:rPr>
      </w:pPr>
      <w:r>
        <w:rPr>
          <w:noProof/>
        </w:rPr>
        <w:t>2.</w:t>
      </w:r>
      <w:r>
        <w:rPr>
          <w:noProof/>
        </w:rPr>
        <w:tab/>
        <w:t>Ja transportlīdzekļa vadītājs veic braucienu, kas minēts šā nolīguma ROAD.4.</w:t>
      </w:r>
      <w:r>
        <w:rPr>
          <w:noProof/>
        </w:rPr>
        <w:t xml:space="preserve"> pantā </w:t>
      </w:r>
      <w:r>
        <w:rPr>
          <w:noProof/>
          <w:color w:val="000000" w:themeColor="text1"/>
        </w:rPr>
        <w:t>[Kravu pārvadāšana starp Pušu teritorijām, caur tām un tajās]</w:t>
      </w:r>
      <w:r>
        <w:rPr>
          <w:noProof/>
        </w:rPr>
        <w:t>, šīs iedaļas noteikumus piemēro visām autopārvadājumu operācijām, ko minētais transportlīdzekļa vadītājs veic starp Pušu teritorijām un starp dalībvalstīm.</w:t>
      </w:r>
    </w:p>
    <w:p w:rsidR="003E022D" w:rsidRDefault="007D19D6">
      <w:pPr>
        <w:rPr>
          <w:rFonts w:cstheme="minorHAnsi"/>
          <w:noProof/>
        </w:rPr>
      </w:pPr>
      <w:r>
        <w:rPr>
          <w:noProof/>
        </w:rPr>
        <w:t>3.</w:t>
      </w:r>
      <w:r>
        <w:rPr>
          <w:noProof/>
        </w:rPr>
        <w:tab/>
        <w:t xml:space="preserve">Šo iedaļu piemēro:  </w:t>
      </w:r>
    </w:p>
    <w:p w:rsidR="003E022D" w:rsidRDefault="007D19D6">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ja tran</w:t>
      </w:r>
      <w:r>
        <w:rPr>
          <w:rFonts w:asciiTheme="minorHAnsi" w:hAnsiTheme="minorHAnsi"/>
          <w:noProof/>
        </w:rPr>
        <w:t xml:space="preserve">sportlīdzekļa maksimālā pieļaujamā masa, ieskaitot piekabi vai puspiekabi, pārsniedz 3,5 tonnas; vai  </w:t>
      </w:r>
    </w:p>
    <w:p w:rsidR="003E022D" w:rsidRDefault="007D19D6">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no 2026. gada 1. jūlija, ja transportlīdzekļa maksimālā pieļaujamā masa, ieskaitot piekabi vai puspiekabi, pārsniedz 2,5 tonnas. </w:t>
      </w:r>
      <w:r>
        <w:rPr>
          <w:rFonts w:asciiTheme="minorHAnsi" w:hAnsiTheme="minorHAnsi"/>
          <w:noProof/>
          <w:color w:val="00B0F0"/>
        </w:rPr>
        <w:t xml:space="preserve"> </w:t>
      </w:r>
    </w:p>
    <w:p w:rsidR="003E022D" w:rsidRDefault="007D19D6">
      <w:pPr>
        <w:rPr>
          <w:rFonts w:cstheme="minorHAnsi"/>
          <w:noProof/>
        </w:rPr>
      </w:pPr>
      <w:r>
        <w:rPr>
          <w:noProof/>
        </w:rPr>
        <w:t>4.</w:t>
      </w:r>
      <w:r>
        <w:rPr>
          <w:noProof/>
        </w:rPr>
        <w:tab/>
      </w:r>
      <w:r>
        <w:rPr>
          <w:noProof/>
        </w:rPr>
        <w:t xml:space="preserve">Šo iedaļu nepiemēro pārvadājumiem ar:  </w:t>
      </w:r>
    </w:p>
    <w:p w:rsidR="003E022D" w:rsidRDefault="007D19D6">
      <w:pPr>
        <w:pStyle w:val="Point0letter"/>
        <w:numPr>
          <w:ilvl w:val="0"/>
          <w:numId w:val="880"/>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transportlīdzekļiem vai transportlīdzekļu sastāviem, kuru maksimālā pieļaujamā masa nepārsniedz 7,5 tonnas un kurus izmanto:  </w:t>
      </w:r>
    </w:p>
    <w:p w:rsidR="003E022D" w:rsidRDefault="007D19D6">
      <w:pPr>
        <w:pStyle w:val="Point0letter"/>
        <w:numPr>
          <w:ilvl w:val="0"/>
          <w:numId w:val="881"/>
        </w:numPr>
        <w:tabs>
          <w:tab w:val="left" w:pos="851"/>
        </w:tabs>
        <w:jc w:val="both"/>
        <w:rPr>
          <w:rFonts w:asciiTheme="minorHAnsi" w:hAnsiTheme="minorHAnsi" w:cstheme="minorHAnsi"/>
          <w:noProof/>
        </w:rPr>
      </w:pPr>
      <w:r>
        <w:rPr>
          <w:rFonts w:asciiTheme="minorHAnsi" w:hAnsiTheme="minorHAnsi"/>
          <w:noProof/>
        </w:rPr>
        <w:t xml:space="preserve">tādu materiālu, iekārtu vai tehnikas pārvadāšanai, ko transportlīdzekļa vadītājs izmanto </w:t>
      </w:r>
      <w:r>
        <w:rPr>
          <w:rFonts w:asciiTheme="minorHAnsi" w:hAnsiTheme="minorHAnsi"/>
          <w:noProof/>
        </w:rPr>
        <w:t xml:space="preserve">transportlīdzekļa vadītāja darba veikšanā; vai  </w:t>
      </w:r>
    </w:p>
    <w:p w:rsidR="003E022D" w:rsidRDefault="007D19D6">
      <w:pPr>
        <w:pStyle w:val="ListParagraph"/>
        <w:numPr>
          <w:ilvl w:val="0"/>
          <w:numId w:val="881"/>
        </w:numPr>
        <w:spacing w:after="160" w:line="254" w:lineRule="auto"/>
        <w:rPr>
          <w:rFonts w:cstheme="minorHAnsi"/>
          <w:noProof/>
        </w:rPr>
      </w:pPr>
      <w:r>
        <w:rPr>
          <w:noProof/>
        </w:rPr>
        <w:t xml:space="preserve">ar kuriem piegādā preces, kuras ražotas amatniecībā,  </w:t>
      </w:r>
    </w:p>
    <w:p w:rsidR="003E022D" w:rsidRDefault="007D19D6">
      <w:pPr>
        <w:rPr>
          <w:rFonts w:cstheme="minorHAnsi"/>
          <w:noProof/>
        </w:rPr>
      </w:pPr>
      <w:r>
        <w:rPr>
          <w:noProof/>
        </w:rPr>
        <w:t>tikai 100 km rādiusā no uzņēmuma bāzes vietas, un ar nosacījumu, ka transportlīdzekļa vadīšana nav transportlīdzekļa vadītāja pamatnodarbošanās un pārva</w:t>
      </w:r>
      <w:r>
        <w:rPr>
          <w:noProof/>
        </w:rPr>
        <w:t xml:space="preserve">dāšana netiek veikta kā komercpārvadājums; </w:t>
      </w:r>
    </w:p>
    <w:p w:rsidR="003E022D" w:rsidRDefault="007D19D6">
      <w:pPr>
        <w:pStyle w:val="ListParagraph"/>
        <w:numPr>
          <w:ilvl w:val="0"/>
          <w:numId w:val="880"/>
        </w:numPr>
        <w:spacing w:after="160" w:line="254" w:lineRule="auto"/>
        <w:ind w:left="851" w:hanging="851"/>
        <w:rPr>
          <w:rFonts w:cstheme="minorHAnsi"/>
          <w:noProof/>
        </w:rPr>
      </w:pPr>
      <w:r>
        <w:rPr>
          <w:noProof/>
        </w:rPr>
        <w:t xml:space="preserve">transportlīdzekļiem, kuru maksimālais atļautais ātrums nepārsniedz 40 km/h;  </w:t>
      </w:r>
    </w:p>
    <w:p w:rsidR="003E022D" w:rsidRDefault="007D19D6">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transportlīdzekļiem, kas pieder vai ko bez transportlīdzekļa vadītāja nomā bruņotie spēki, civilās aizsardzības dienesti, ugunsdzēsības dienesti vai sabiedriskās kārtības uzturēšanas spēki, ja pārvadājuma veikšana izriet no minēto dienestu uzdevumiem un ir</w:t>
      </w:r>
      <w:r>
        <w:rPr>
          <w:rFonts w:asciiTheme="minorHAnsi" w:hAnsiTheme="minorHAnsi"/>
          <w:noProof/>
        </w:rPr>
        <w:t xml:space="preserve"> to kontrolē;  </w:t>
      </w:r>
    </w:p>
    <w:p w:rsidR="003E022D" w:rsidRDefault="007D19D6">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transportlīdzekļiem, ko izmanto ārkārtas situācijās un glābšanas operācijās;  </w:t>
      </w:r>
    </w:p>
    <w:p w:rsidR="003E022D" w:rsidRDefault="007D19D6">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specializētiem transportlīdzekļiem, ko izmanto medicīnas vajadzībām;  </w:t>
      </w:r>
    </w:p>
    <w:p w:rsidR="003E022D" w:rsidRDefault="007D19D6">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specializētiem avārijas transportlīdzekļiem, kas darbojas 100 km rādiusā ap to bāzes vietu</w:t>
      </w:r>
      <w:r>
        <w:rPr>
          <w:rFonts w:asciiTheme="minorHAnsi" w:hAnsiTheme="minorHAnsi"/>
          <w:noProof/>
        </w:rPr>
        <w:t xml:space="preserve">;  </w:t>
      </w:r>
    </w:p>
    <w:p w:rsidR="003E022D" w:rsidRDefault="007D19D6">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transportlīdzekļiem, ko testē uz ceļa tehniskās attīstības, remonta vai uzturēšanas nolūkā, kā arī jauniem un pārbūvētiem transportlīdzekļiem, kas vēl nav ekspluatācijā;  </w:t>
      </w:r>
    </w:p>
    <w:p w:rsidR="003E022D" w:rsidRDefault="007D19D6">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transportlīdzekļiem, kurus izmanto kravu pārvadājumiem un kuru maksimālā pieļauj</w:t>
      </w:r>
      <w:r>
        <w:rPr>
          <w:rFonts w:asciiTheme="minorHAnsi" w:hAnsiTheme="minorHAnsi"/>
          <w:noProof/>
        </w:rPr>
        <w:t>amā masa, ieskaitot jebkādu piekabi vai puspiekabi, pārsniedz 2,5 tonnas, bet ne 3,5 tonnas, ja pārvadāšana netiek veikta kā komercpārvadājums, bet gan ir uzņēmuma vai transportlīdzekļa vadītāja veikts pašpārvadājums, un ja transportlīdzekļa vadīšana nav p</w:t>
      </w:r>
      <w:r>
        <w:rPr>
          <w:rFonts w:asciiTheme="minorHAnsi" w:hAnsiTheme="minorHAnsi"/>
          <w:noProof/>
        </w:rPr>
        <w:t xml:space="preserve">ersonas, kas vada transportlīdzekli, pamatnodarbošanās; </w:t>
      </w:r>
    </w:p>
    <w:p w:rsidR="003E022D" w:rsidRDefault="007D19D6">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komerciāliem transportlīdzekļiem, kam ir vēsturisks statuss saskaņā ar tās dalībvalsts tiesību aktiem, kurā tie tiek ekspluatēti, un kas tiek izmantoti nekomerciāliem kravu pārvadājumiem.  </w:t>
      </w:r>
    </w:p>
    <w:p w:rsidR="003E022D" w:rsidRDefault="007D19D6">
      <w:pPr>
        <w:pStyle w:val="Article"/>
        <w:rPr>
          <w:rFonts w:cstheme="minorHAnsi"/>
          <w:noProof/>
        </w:rPr>
      </w:pPr>
      <w:r>
        <w:rPr>
          <w:noProof/>
        </w:rPr>
        <w:t>2. pants.</w:t>
      </w:r>
      <w:r>
        <w:rPr>
          <w:noProof/>
        </w:rPr>
        <w:t xml:space="preserve"> Definīcijas  </w:t>
      </w:r>
    </w:p>
    <w:p w:rsidR="003E022D" w:rsidRDefault="007D19D6">
      <w:pPr>
        <w:rPr>
          <w:rFonts w:cstheme="minorHAnsi"/>
          <w:noProof/>
        </w:rPr>
      </w:pPr>
      <w:r>
        <w:rPr>
          <w:noProof/>
        </w:rPr>
        <w:t xml:space="preserve">Šajā iedaļā piemēro šādas definīcijas: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“autopārvadājums” ir jebkurš brauciens, ko pilnībā vai daļēji veic pa publiski pieejamiem ceļiem ar piekrautu vai nepiekrautu transportlīdzekli;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“pārtraukums” ir jebkurš laikposms, kura laikā transpo</w:t>
      </w:r>
      <w:r>
        <w:rPr>
          <w:rFonts w:asciiTheme="minorHAnsi" w:hAnsiTheme="minorHAnsi"/>
          <w:noProof/>
        </w:rPr>
        <w:t xml:space="preserve">rtlīdzekļa vadītājs nedrīkst vadīt transportlīdzekli vai veikt kādu citu darbu un kurš tiek izmantots tikai spēku atgūšanai;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“cits darbs” ir jebkādas darbības, kas tiek definētas kā darba laiks B daļas 3. iedaļas 2. panta a) punktā un kas nav “transportl</w:t>
      </w:r>
      <w:r>
        <w:rPr>
          <w:rFonts w:asciiTheme="minorHAnsi" w:hAnsiTheme="minorHAnsi"/>
          <w:noProof/>
        </w:rPr>
        <w:t xml:space="preserve">īdzekļa vadīšana”, tostarp jebkurš darbs tam pašam vai citam darba devējam transporta nozarē vai ārpus tās;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“atpūta” ir jebkurš nepārtraukts laikposms, kuru transportlīdzekļa vadītājs var brīvi izmantot pēc saviem ieskatiem;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“ikdienas atpūtas laikposms</w:t>
      </w:r>
      <w:r>
        <w:rPr>
          <w:rFonts w:asciiTheme="minorHAnsi" w:hAnsiTheme="minorHAnsi"/>
          <w:noProof/>
        </w:rPr>
        <w:t xml:space="preserve">” ir ikdienas laikposms, ko transportlīdzekļa vadītājs drīkst brīvi izmantot pēc saviem ieskatiem un kas ietver “regulāru ikdienas atpūtas laikposmu” un “saīsinātu ikdienas atpūtas laikposmu”:  </w:t>
      </w:r>
    </w:p>
    <w:p w:rsidR="003E022D" w:rsidRDefault="007D19D6">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“regulārs ikdienas atpūtas laikposms” ir jebkurš vismaz 11 st</w:t>
      </w:r>
      <w:r>
        <w:rPr>
          <w:rFonts w:asciiTheme="minorHAnsi" w:hAnsiTheme="minorHAnsi"/>
          <w:noProof/>
        </w:rPr>
        <w:t xml:space="preserve">undas ilgs atpūtas laikposms, ko var ņemt divos laikposmos, no kuriem pirmajam jābūt vismaz 3 stundu nepārtrauktam laikposmam un otrajam – vismaz deviņu stundu nepārtrauktam laikposmam, un  </w:t>
      </w:r>
    </w:p>
    <w:p w:rsidR="003E022D" w:rsidRDefault="007D19D6">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“saīsināts ikdienas atpūtas laikposms” ir jebkurš atpūtas laikpos</w:t>
      </w:r>
      <w:r>
        <w:rPr>
          <w:rFonts w:asciiTheme="minorHAnsi" w:hAnsiTheme="minorHAnsi"/>
          <w:noProof/>
        </w:rPr>
        <w:t xml:space="preserve">ms, kas ilgst vismaz deviņas stundas, bet mazāk nekā 11 stundas;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“iknedēļas atpūtas laikposms” ir nedēļas laikposms, ko transportlīdzekļa vadītājs drīkst brīvi izmantot pēc saviem ieskatiem un kas ietver “regulāru iknedēļas atpūtas laikposmu” un “saīsinā</w:t>
      </w:r>
      <w:r>
        <w:rPr>
          <w:rFonts w:asciiTheme="minorHAnsi" w:hAnsiTheme="minorHAnsi"/>
          <w:noProof/>
        </w:rPr>
        <w:t xml:space="preserve">tu iknedēļas atpūtas laikposmu”:  </w:t>
      </w:r>
    </w:p>
    <w:p w:rsidR="003E022D" w:rsidRDefault="007D19D6">
      <w:pPr>
        <w:pStyle w:val="Point0letter"/>
        <w:numPr>
          <w:ilvl w:val="0"/>
          <w:numId w:val="884"/>
        </w:numPr>
        <w:tabs>
          <w:tab w:val="left" w:pos="851"/>
        </w:tabs>
        <w:jc w:val="both"/>
        <w:rPr>
          <w:rFonts w:asciiTheme="minorHAnsi" w:hAnsiTheme="minorHAnsi" w:cstheme="minorHAnsi"/>
          <w:noProof/>
        </w:rPr>
      </w:pPr>
      <w:r>
        <w:rPr>
          <w:rFonts w:asciiTheme="minorHAnsi" w:hAnsiTheme="minorHAnsi"/>
          <w:noProof/>
        </w:rPr>
        <w:t xml:space="preserve">“regulārs iknedēļas atpūtas laikposms” ir jebkurš vismaz 45 stundas ilgs atpūtas laikposms, un  </w:t>
      </w:r>
    </w:p>
    <w:p w:rsidR="003E022D" w:rsidRDefault="007D19D6">
      <w:pPr>
        <w:pStyle w:val="Point0letter"/>
        <w:numPr>
          <w:ilvl w:val="0"/>
          <w:numId w:val="884"/>
        </w:numPr>
        <w:tabs>
          <w:tab w:val="left" w:pos="851"/>
        </w:tabs>
        <w:jc w:val="both"/>
        <w:rPr>
          <w:rFonts w:asciiTheme="minorHAnsi" w:hAnsiTheme="minorHAnsi" w:cstheme="minorHAnsi"/>
          <w:noProof/>
        </w:rPr>
      </w:pPr>
      <w:r>
        <w:rPr>
          <w:rFonts w:asciiTheme="minorHAnsi" w:hAnsiTheme="minorHAnsi"/>
          <w:noProof/>
        </w:rPr>
        <w:t xml:space="preserve">“saīsināts iknedēļas atpūtas laikposms” ir jebkurš atpūtas laikposms, kas ilgst mazāk par 45 stundām un ko saskaņā ar šīs iedaļas 6. panta 6. un 7. punkta nosacījumiem var saīsināt līdz, mazākais, 24 secīgām stundām;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“nedēļa” ir laikposms no pirmdienas p</w:t>
      </w:r>
      <w:r>
        <w:rPr>
          <w:rFonts w:asciiTheme="minorHAnsi" w:hAnsiTheme="minorHAnsi"/>
          <w:noProof/>
        </w:rPr>
        <w:t xml:space="preserve">lkst. 00.00 līdz svētdienas plkst. 24.00;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“transportlīdzekļa vadīšanas laiks” ir transportlīdzekļa vadīšanas darbības ilgums, ko reģistrē:  </w:t>
      </w:r>
    </w:p>
    <w:p w:rsidR="003E022D" w:rsidRDefault="007D19D6">
      <w:pPr>
        <w:pStyle w:val="Point0letter"/>
        <w:numPr>
          <w:ilvl w:val="0"/>
          <w:numId w:val="885"/>
        </w:numPr>
        <w:tabs>
          <w:tab w:val="left" w:pos="851"/>
        </w:tabs>
        <w:jc w:val="both"/>
        <w:rPr>
          <w:rFonts w:asciiTheme="minorHAnsi" w:hAnsiTheme="minorHAnsi" w:cstheme="minorHAnsi"/>
          <w:noProof/>
          <w:color w:val="000000" w:themeColor="text1"/>
        </w:rPr>
      </w:pPr>
      <w:r>
        <w:rPr>
          <w:rFonts w:asciiTheme="minorHAnsi" w:hAnsiTheme="minorHAnsi"/>
          <w:noProof/>
        </w:rPr>
        <w:t>automātiski vai pusautomātiski ar tahogrāfu, kā noteikts šā pielikuma B daļas 4. iedaļas 2. panta e), f), g) un h</w:t>
      </w:r>
      <w:r>
        <w:rPr>
          <w:rFonts w:asciiTheme="minorHAnsi" w:hAnsiTheme="minorHAnsi"/>
          <w:noProof/>
        </w:rPr>
        <w:t>) punktā;</w:t>
      </w:r>
      <w:r>
        <w:rPr>
          <w:rFonts w:asciiTheme="minorHAnsi" w:hAnsiTheme="minorHAnsi"/>
          <w:noProof/>
          <w:color w:val="000000" w:themeColor="text1"/>
        </w:rPr>
        <w:t xml:space="preserve"> vai</w:t>
      </w:r>
    </w:p>
    <w:p w:rsidR="003E022D" w:rsidRDefault="007D19D6">
      <w:pPr>
        <w:pStyle w:val="ListParagraph"/>
        <w:numPr>
          <w:ilvl w:val="0"/>
          <w:numId w:val="885"/>
        </w:numPr>
        <w:spacing w:after="160" w:line="254" w:lineRule="auto"/>
        <w:rPr>
          <w:rFonts w:cstheme="minorHAnsi"/>
          <w:noProof/>
          <w:color w:val="000000" w:themeColor="text1"/>
        </w:rPr>
      </w:pPr>
      <w:r>
        <w:rPr>
          <w:noProof/>
          <w:color w:val="000000" w:themeColor="text1"/>
        </w:rPr>
        <w:t xml:space="preserve">manuāli, kā prasīts šā pielikuma B daļas 4. iedaļas 9. panta 2. punktā un 11. pantā; </w:t>
      </w:r>
    </w:p>
    <w:p w:rsidR="003E022D" w:rsidRDefault="007D19D6">
      <w:pPr>
        <w:rPr>
          <w:rFonts w:cstheme="minorHAnsi"/>
          <w:noProof/>
          <w:color w:val="000000" w:themeColor="text1"/>
        </w:rPr>
      </w:pPr>
      <w:r>
        <w:rPr>
          <w:noProof/>
          <w:color w:val="000000" w:themeColor="text1"/>
        </w:rPr>
        <w:t xml:space="preserve">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“transportlīdzekļa ikdienas vadīšanas laiks” ir kopējais uzkrātais transportlīdzekļa vadīšanas laiks starp viena ikdienas atpūtas laikposma beigām un otra ikdienas atpūtas laikposma sākumu vai starp ikdienas atpūtas laikposmu un iknedēļas atpūtas laikposmu</w:t>
      </w:r>
      <w:r>
        <w:rPr>
          <w:rFonts w:asciiTheme="minorHAnsi" w:hAnsiTheme="minorHAnsi"/>
          <w:noProof/>
        </w:rPr>
        <w:t xml:space="preserve">;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“transportlīdzekļa iknedēļas vadīšanas laiks” ir nedēļas laikā kopā uzkrātais transportlīdzekļa vadīšanas laiks;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“maksimālā pieļaujamā masa” ir maksimālā atļautā piekrauta transportlīdzekļa masa, ar kādu to var ekspluatēt;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“pārvadājums ar vairākiem</w:t>
      </w:r>
      <w:r>
        <w:rPr>
          <w:rFonts w:asciiTheme="minorHAnsi" w:hAnsiTheme="minorHAnsi"/>
          <w:noProof/>
        </w:rPr>
        <w:t xml:space="preserve"> transportlīdzekļa vadītājiem” ir stāvoklis, kad katrā transportlīdzekļa vadīšanas laikposmā starp jebkuriem diviem secīgiem ikdienas atpūtas laikposmiem vai starp ikdienas atpūtas laikposmu un iknedēļas atpūtas laikposmu transportlīdzeklī ir vismaz divi t</w:t>
      </w:r>
      <w:r>
        <w:rPr>
          <w:rFonts w:asciiTheme="minorHAnsi" w:hAnsiTheme="minorHAnsi"/>
          <w:noProof/>
        </w:rPr>
        <w:t xml:space="preserve">ransportlīdzekļa vadītāji, kas var vadīt transportlīdzekli; pirmajā pārvadājuma ar vairākiem transportlīdzekļa vadītājiem stundā cita transportlīdzekļa vadītāja vai vadītāju klātbūtne nav obligāta, bet pārējā laikposmā ir obligāta;  </w:t>
      </w:r>
    </w:p>
    <w:p w:rsidR="003E022D" w:rsidRDefault="007D19D6">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“transportlīdzekļa vad</w:t>
      </w:r>
      <w:r>
        <w:rPr>
          <w:rFonts w:asciiTheme="minorHAnsi" w:hAnsiTheme="minorHAnsi"/>
          <w:noProof/>
        </w:rPr>
        <w:t>īšanas laikposms” ir uzkrātais transportlīdzekļa vadīšanas laiks kopš brīža, kad transportlīdzekļa vadītājs uzsāk transportlīdzekļa vadīšanu pēc atpūtas laikposma vai pārtraukuma, līdz brīdim, kamēr viņš paņem atpūtas laikposmu vai pārtraukumu; transportlī</w:t>
      </w:r>
      <w:r>
        <w:rPr>
          <w:rFonts w:asciiTheme="minorHAnsi" w:hAnsiTheme="minorHAnsi"/>
          <w:noProof/>
        </w:rPr>
        <w:t xml:space="preserve">dzekļa vadīšanas laikposms var būt nepārtraukts vai pārtraukts.  </w:t>
      </w:r>
    </w:p>
    <w:p w:rsidR="003E022D" w:rsidRDefault="007D19D6">
      <w:pPr>
        <w:pStyle w:val="Article"/>
        <w:rPr>
          <w:rFonts w:cstheme="minorHAnsi"/>
          <w:noProof/>
        </w:rPr>
      </w:pPr>
      <w:r>
        <w:rPr>
          <w:noProof/>
        </w:rPr>
        <w:t xml:space="preserve">3. pants. Prasības transportlīdzekļa vadītāju palīgiem </w:t>
      </w:r>
    </w:p>
    <w:p w:rsidR="003E022D" w:rsidRDefault="007D19D6">
      <w:pPr>
        <w:rPr>
          <w:rFonts w:cstheme="minorHAnsi"/>
          <w:noProof/>
          <w:color w:val="000000" w:themeColor="text1"/>
        </w:rPr>
      </w:pPr>
      <w:r>
        <w:rPr>
          <w:noProof/>
        </w:rPr>
        <w:t>Transportlīdzekļu vadītāju palīgu minimālais vecums ir 18 gadi.  Tomēr katra Puse un – Savienības gadījumā – dalībvalsts var samazināt</w:t>
      </w:r>
      <w:r>
        <w:rPr>
          <w:noProof/>
        </w:rPr>
        <w:t xml:space="preserve"> transportlīdzekļu vadītāju palīgu minimālo vecumu līdz 16 gadiem ar noteikumu, ka samazinājums ir paredzēts arodapmācībām un ka tiek ievēroti ierobežojumi, ko noteikusi Apvienotā Karaliste, un attiecībā uz Savienību – ierobežojumi, kas paredzēti dalībvals</w:t>
      </w:r>
      <w:r>
        <w:rPr>
          <w:noProof/>
        </w:rPr>
        <w:t>ts noteikumos nodarbinātības jomā.</w:t>
      </w:r>
      <w:r>
        <w:rPr>
          <w:noProof/>
          <w:color w:val="000000" w:themeColor="text1"/>
        </w:rPr>
        <w:t xml:space="preserve"> </w:t>
      </w:r>
    </w:p>
    <w:p w:rsidR="003E022D" w:rsidRDefault="007D19D6">
      <w:pPr>
        <w:pStyle w:val="Article"/>
        <w:rPr>
          <w:rFonts w:cstheme="minorHAnsi"/>
          <w:noProof/>
        </w:rPr>
      </w:pPr>
      <w:r>
        <w:rPr>
          <w:noProof/>
        </w:rPr>
        <w:t xml:space="preserve">4. pants. Transportlīdzekļa vadīšanas laiki  </w:t>
      </w:r>
    </w:p>
    <w:p w:rsidR="003E022D" w:rsidRDefault="007D19D6">
      <w:pPr>
        <w:rPr>
          <w:rFonts w:cstheme="minorHAnsi"/>
          <w:noProof/>
        </w:rPr>
      </w:pPr>
      <w:r>
        <w:rPr>
          <w:noProof/>
        </w:rPr>
        <w:t>1.</w:t>
      </w:r>
      <w:r>
        <w:rPr>
          <w:noProof/>
        </w:rPr>
        <w:tab/>
        <w:t xml:space="preserve">Ikdienas transportlīdzekļa vadīšanas laiks nepārsniedz 9 stundas.  </w:t>
      </w:r>
    </w:p>
    <w:p w:rsidR="003E022D" w:rsidRDefault="007D19D6">
      <w:pPr>
        <w:rPr>
          <w:rFonts w:cstheme="minorHAnsi"/>
          <w:noProof/>
        </w:rPr>
      </w:pPr>
      <w:r>
        <w:rPr>
          <w:noProof/>
        </w:rPr>
        <w:t xml:space="preserve">Tomēr ikdienas transportlīdzekļa vadīšanas laiku var pagarināt līdz, ilgākais, 10 stundām ne vairāk kā </w:t>
      </w:r>
      <w:r>
        <w:rPr>
          <w:noProof/>
        </w:rPr>
        <w:t xml:space="preserve">divreiz vienā nedēļā.  </w:t>
      </w:r>
    </w:p>
    <w:p w:rsidR="003E022D" w:rsidRDefault="007D19D6">
      <w:pPr>
        <w:rPr>
          <w:rFonts w:cstheme="minorHAnsi"/>
          <w:noProof/>
        </w:rPr>
      </w:pPr>
      <w:r>
        <w:rPr>
          <w:noProof/>
        </w:rPr>
        <w:t>2.</w:t>
      </w:r>
      <w:r>
        <w:rPr>
          <w:noProof/>
        </w:rPr>
        <w:tab/>
        <w:t xml:space="preserve">Iknedēļas transportlīdzekļa vadīšanas laiks nepārsniedz 56 stundas un nepārsniedz maksimālo iknedēļas darba laiku, kas ir 60 stundas.  </w:t>
      </w:r>
    </w:p>
    <w:p w:rsidR="003E022D" w:rsidRDefault="007D19D6">
      <w:pPr>
        <w:rPr>
          <w:rFonts w:cstheme="minorHAnsi"/>
          <w:noProof/>
        </w:rPr>
      </w:pPr>
      <w:r>
        <w:rPr>
          <w:noProof/>
        </w:rPr>
        <w:t>3.</w:t>
      </w:r>
      <w:r>
        <w:rPr>
          <w:noProof/>
        </w:rPr>
        <w:tab/>
        <w:t xml:space="preserve">Kopējais uzkrātais transportlīdzekļa vadīšanas laiks divu secīgu nedēļu laikā nepārsniedz </w:t>
      </w:r>
      <w:r>
        <w:rPr>
          <w:noProof/>
        </w:rPr>
        <w:t xml:space="preserve">90 stundas.  </w:t>
      </w:r>
    </w:p>
    <w:p w:rsidR="003E022D" w:rsidRDefault="007D19D6">
      <w:pPr>
        <w:rPr>
          <w:rFonts w:cstheme="minorHAnsi"/>
          <w:noProof/>
        </w:rPr>
      </w:pPr>
      <w:r>
        <w:rPr>
          <w:noProof/>
        </w:rPr>
        <w:t>4.</w:t>
      </w:r>
      <w:r>
        <w:rPr>
          <w:noProof/>
        </w:rPr>
        <w:tab/>
        <w:t xml:space="preserve">Ikdienas un iknedēļas transportlīdzekļa vadīšanas laiki ietver visu transportlīdzekļa vadīšanas laiku Pušu teritorijā.  </w:t>
      </w:r>
    </w:p>
    <w:p w:rsidR="003E022D" w:rsidRDefault="007D19D6">
      <w:pPr>
        <w:rPr>
          <w:rFonts w:cstheme="minorHAnsi"/>
          <w:noProof/>
        </w:rPr>
      </w:pPr>
      <w:r>
        <w:rPr>
          <w:noProof/>
        </w:rPr>
        <w:t>5.</w:t>
      </w:r>
      <w:r>
        <w:rPr>
          <w:noProof/>
        </w:rPr>
        <w:tab/>
        <w:t>Transportlīdzekļa vadītājs kā citu darbu reģistrē visu laiku, kas pavadīts, kā aprakstīts šīs iedaļas 2. panta c) p</w:t>
      </w:r>
      <w:r>
        <w:rPr>
          <w:noProof/>
        </w:rPr>
        <w:t>unktā, kā arī laiku, kas pavadīts, vadot transportlīdzekli, ko izmanto komercpārvadājumos, ja transportlīdzekļa vadītājam nav jāreģistrē vadīšanas laiks, un reģistrē visus darbgatavības laikposmus, kā noteikts B daļas 3. iedaļas 2. panta 2. punktā, saskaņā</w:t>
      </w:r>
      <w:r>
        <w:rPr>
          <w:noProof/>
        </w:rPr>
        <w:t xml:space="preserve"> ar B daļas 4. iedaļas 6. panta 5. punkta b) apakšpunkta iii) punktu. Šo ierakstu reģistrē vai nu manuāli reģistrācijas diagrammā vai izdrukā, vai izmantojot manuālās ievadīšanas ierīces, kas ir reģistrācijas kontrolierīcē. </w:t>
      </w:r>
    </w:p>
    <w:p w:rsidR="003E022D" w:rsidRDefault="007D19D6">
      <w:pPr>
        <w:pStyle w:val="Article"/>
        <w:rPr>
          <w:rFonts w:cstheme="minorHAnsi"/>
          <w:noProof/>
        </w:rPr>
      </w:pPr>
      <w:r>
        <w:rPr>
          <w:noProof/>
        </w:rPr>
        <w:t xml:space="preserve">5. pants. Pārtraukumi  </w:t>
      </w:r>
    </w:p>
    <w:p w:rsidR="003E022D" w:rsidRDefault="007D19D6">
      <w:pPr>
        <w:rPr>
          <w:rFonts w:cstheme="minorHAnsi"/>
          <w:noProof/>
        </w:rPr>
      </w:pPr>
      <w:r>
        <w:rPr>
          <w:noProof/>
        </w:rPr>
        <w:t>Pēc čet</w:t>
      </w:r>
      <w:r>
        <w:rPr>
          <w:noProof/>
        </w:rPr>
        <w:t xml:space="preserve">rarpus transportlīdzekļa vadīšanas stundām transportlīdzekļa vadītājs ņem vismaz 45 minūšu pārtraukumu, izņemot gadījumu, ja viņš sāk atpūtas laikposmu.  </w:t>
      </w:r>
    </w:p>
    <w:p w:rsidR="003E022D" w:rsidRDefault="007D19D6">
      <w:pPr>
        <w:rPr>
          <w:rFonts w:cstheme="minorHAnsi"/>
          <w:noProof/>
        </w:rPr>
      </w:pPr>
      <w:r>
        <w:rPr>
          <w:noProof/>
        </w:rPr>
        <w:t xml:space="preserve">Minēto pārtraukumu var aizstāt ar vismaz 15 minūšu ilgu pārtraukumu, kam seko vismaz 30 minūšu ilgs pārtraukums, kas katrs sadalīts visā laikposmā tā, lai atbilstu pirmās daļas noteikumiem.  </w:t>
      </w:r>
    </w:p>
    <w:p w:rsidR="003E022D" w:rsidRDefault="007D19D6">
      <w:pPr>
        <w:rPr>
          <w:rFonts w:cstheme="minorHAnsi"/>
          <w:noProof/>
        </w:rPr>
      </w:pPr>
      <w:r>
        <w:rPr>
          <w:noProof/>
        </w:rPr>
        <w:t>Ja veic pārvadājumu ar vairākiem transportlīdzekļa vadītājiem, t</w:t>
      </w:r>
      <w:r>
        <w:rPr>
          <w:noProof/>
        </w:rPr>
        <w:t xml:space="preserve">ransportlīdzekļa vadītājs var ņemt 45 minūtes ilgu pārtraukumu transportlīdzeklī, kuru vada cits transportlīdzekļa vadītājs, ar noteikumu, ka pārtraukumā esošais transportlīdzekļa vadītājs nepalīdz tam vadītājam, kurš vada transportlīdzekli. </w:t>
      </w:r>
    </w:p>
    <w:p w:rsidR="003E022D" w:rsidRDefault="007D19D6">
      <w:pPr>
        <w:pStyle w:val="Article"/>
        <w:rPr>
          <w:rFonts w:cstheme="minorHAnsi"/>
          <w:noProof/>
        </w:rPr>
      </w:pPr>
      <w:r>
        <w:rPr>
          <w:noProof/>
        </w:rPr>
        <w:t>6. pants. Atp</w:t>
      </w:r>
      <w:r>
        <w:rPr>
          <w:noProof/>
        </w:rPr>
        <w:t xml:space="preserve">ūta  </w:t>
      </w:r>
    </w:p>
    <w:p w:rsidR="003E022D" w:rsidRDefault="007D19D6">
      <w:pPr>
        <w:rPr>
          <w:rFonts w:cstheme="minorHAnsi"/>
          <w:noProof/>
        </w:rPr>
      </w:pPr>
      <w:r>
        <w:rPr>
          <w:noProof/>
        </w:rPr>
        <w:t>1.</w:t>
      </w:r>
      <w:r>
        <w:rPr>
          <w:noProof/>
        </w:rPr>
        <w:tab/>
        <w:t xml:space="preserve">Transportlīdzekļa vadītājs ņem ikdienas un iknedēļas atpūtas laikposmus.  </w:t>
      </w:r>
    </w:p>
    <w:p w:rsidR="003E022D" w:rsidRDefault="007D19D6">
      <w:pPr>
        <w:rPr>
          <w:rFonts w:cstheme="minorHAnsi"/>
          <w:noProof/>
        </w:rPr>
      </w:pPr>
      <w:r>
        <w:rPr>
          <w:noProof/>
        </w:rPr>
        <w:t>2.</w:t>
      </w:r>
      <w:r>
        <w:rPr>
          <w:noProof/>
        </w:rPr>
        <w:tab/>
        <w:t xml:space="preserve">Katrā 24 stundu laikposmā pēc iepriekšējā ikdienas vai iknedēļas atpūtas laikposma beigām transportlīdzekļa vadītājs ņem jaunu ikdienas atpūtas laikposmu.  </w:t>
      </w:r>
    </w:p>
    <w:p w:rsidR="003E022D" w:rsidRDefault="007D19D6">
      <w:pPr>
        <w:rPr>
          <w:rFonts w:cstheme="minorHAnsi"/>
          <w:noProof/>
        </w:rPr>
      </w:pPr>
      <w:r>
        <w:rPr>
          <w:noProof/>
        </w:rPr>
        <w:t>Ja 24 stundu</w:t>
      </w:r>
      <w:r>
        <w:rPr>
          <w:noProof/>
        </w:rPr>
        <w:t xml:space="preserve"> laikā ikdienas atpūtas laikposms ir vismaz 9 stundas, bet mazāk nekā 11 stundas, tad attiecīgo ikdienas atpūtas laikposmu uzskata par saīsinātu ikdienas atpūtas laikposmu.  </w:t>
      </w:r>
    </w:p>
    <w:p w:rsidR="003E022D" w:rsidRDefault="007D19D6">
      <w:pPr>
        <w:rPr>
          <w:rFonts w:cstheme="minorHAnsi"/>
          <w:noProof/>
        </w:rPr>
      </w:pPr>
      <w:r>
        <w:rPr>
          <w:noProof/>
        </w:rPr>
        <w:t>3.</w:t>
      </w:r>
      <w:r>
        <w:rPr>
          <w:noProof/>
        </w:rPr>
        <w:tab/>
        <w:t>Ikdienas atpūtas laikposmu var pagarināt, lai tas sasniegtu regulāru iknedēļas</w:t>
      </w:r>
      <w:r>
        <w:rPr>
          <w:noProof/>
        </w:rPr>
        <w:t xml:space="preserve"> atpūtas laikposmu vai saīsinātu iknedēļas atpūtas laikposmu.  </w:t>
      </w:r>
    </w:p>
    <w:p w:rsidR="003E022D" w:rsidRDefault="007D19D6">
      <w:pPr>
        <w:rPr>
          <w:rFonts w:cstheme="minorHAnsi"/>
          <w:noProof/>
        </w:rPr>
      </w:pPr>
      <w:r>
        <w:rPr>
          <w:noProof/>
        </w:rPr>
        <w:t>4.</w:t>
      </w:r>
      <w:r>
        <w:rPr>
          <w:noProof/>
        </w:rPr>
        <w:tab/>
        <w:t xml:space="preserve">Transportlīdzekļa vadītājam drīkst būt, lielākais, trīs saīsināti ikdienas atpūtas laikposmi starp jebkuriem diviem iknedēļas atpūtas laikposmiem.  </w:t>
      </w:r>
    </w:p>
    <w:p w:rsidR="003E022D" w:rsidRDefault="007D19D6">
      <w:pPr>
        <w:rPr>
          <w:rFonts w:cstheme="minorHAnsi"/>
          <w:noProof/>
        </w:rPr>
      </w:pPr>
      <w:r>
        <w:rPr>
          <w:noProof/>
        </w:rPr>
        <w:t>5.</w:t>
      </w:r>
      <w:r>
        <w:rPr>
          <w:noProof/>
        </w:rPr>
        <w:tab/>
        <w:t>Atkāpjoties no 2. punkta, 30 stundu l</w:t>
      </w:r>
      <w:r>
        <w:rPr>
          <w:noProof/>
        </w:rPr>
        <w:t xml:space="preserve">aikā no ikdienas vai iknedēļas atpūtas laikposma beigām transportlīdzekļa vadītājam, kurš veic pārvadājumu ar vairākiem transportlīdzekļa vadītājiem, ir jāņem jauns ikdienas atpūtas laikposms, kas ir vismaz deviņas stundas.  </w:t>
      </w:r>
    </w:p>
    <w:p w:rsidR="003E022D" w:rsidRDefault="007D19D6">
      <w:pPr>
        <w:rPr>
          <w:rFonts w:cstheme="minorHAnsi"/>
          <w:noProof/>
        </w:rPr>
      </w:pPr>
      <w:r>
        <w:rPr>
          <w:noProof/>
        </w:rPr>
        <w:t>6.</w:t>
      </w:r>
      <w:r>
        <w:rPr>
          <w:noProof/>
        </w:rPr>
        <w:tab/>
        <w:t>Jebkurās divās secīgās nedē</w:t>
      </w:r>
      <w:r>
        <w:rPr>
          <w:noProof/>
        </w:rPr>
        <w:t xml:space="preserve">ļās transportlīdzekļa vadītājs ņem vismaz:  </w:t>
      </w:r>
    </w:p>
    <w:p w:rsidR="003E022D" w:rsidRDefault="007D19D6">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 xml:space="preserve">divus regulārus iknedēļas atpūtas laikposmus;  vai  </w:t>
      </w:r>
    </w:p>
    <w:p w:rsidR="003E022D" w:rsidRDefault="007D19D6">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 xml:space="preserve">vienu regulāru iknedēļas atpūtas laikposmu un vienu saīsinātu iknedēļas atpūtas laikposmu, kura ilgums ir vismaz 24 stundas.  </w:t>
      </w:r>
    </w:p>
    <w:p w:rsidR="003E022D" w:rsidRDefault="007D19D6">
      <w:pPr>
        <w:pStyle w:val="Point0letter"/>
        <w:tabs>
          <w:tab w:val="left" w:pos="851"/>
        </w:tabs>
        <w:ind w:left="0"/>
        <w:jc w:val="both"/>
        <w:rPr>
          <w:rFonts w:asciiTheme="minorHAnsi" w:hAnsiTheme="minorHAnsi" w:cstheme="minorHAnsi"/>
          <w:noProof/>
        </w:rPr>
      </w:pPr>
      <w:r>
        <w:rPr>
          <w:rFonts w:asciiTheme="minorHAnsi" w:hAnsiTheme="minorHAnsi"/>
          <w:noProof/>
        </w:rPr>
        <w:t>Iknedēļas atpūtas laikposms sāk</w:t>
      </w:r>
      <w:r>
        <w:rPr>
          <w:rFonts w:asciiTheme="minorHAnsi" w:hAnsiTheme="minorHAnsi"/>
          <w:noProof/>
        </w:rPr>
        <w:t xml:space="preserve">as ne vēlāk kā pēc sešiem 24 stundu laikposmiem, skaitot no iepriekšējā iknedēļas atpūtas laikposma beigām. </w:t>
      </w:r>
    </w:p>
    <w:p w:rsidR="003E022D" w:rsidRDefault="007D19D6">
      <w:pPr>
        <w:rPr>
          <w:rFonts w:cstheme="minorHAnsi"/>
          <w:noProof/>
          <w:color w:val="000000" w:themeColor="text1"/>
        </w:rPr>
      </w:pPr>
      <w:r>
        <w:rPr>
          <w:noProof/>
          <w:color w:val="000000" w:themeColor="text1"/>
        </w:rPr>
        <w:t>7.</w:t>
      </w:r>
      <w:r>
        <w:rPr>
          <w:noProof/>
        </w:rPr>
        <w:tab/>
      </w:r>
      <w:r>
        <w:rPr>
          <w:noProof/>
          <w:color w:val="000000" w:themeColor="text1"/>
        </w:rPr>
        <w:t xml:space="preserve"> Atkāpjoties no 6. punkta, transportlīdzekļa vadītājs, kas veic starptautiskos kravu pārvadājumus, ārpus kravu autopārvadātāja Puses teritorijas</w:t>
      </w:r>
      <w:r>
        <w:rPr>
          <w:noProof/>
          <w:color w:val="000000" w:themeColor="text1"/>
        </w:rPr>
        <w:t xml:space="preserve"> vai – ES kravu autopārvadātāju transportlīdzekļa vadītāju gadījumā – ārpus kravu autopārvadātāja dalībvalsts teritorijas var ņemt divus secīgus saīsinātus iknedēļas atpūtas laikposmus ar noteikumu, ka transportlīdzekļa vadītājs jebkurās četrās secīgās ned</w:t>
      </w:r>
      <w:r>
        <w:rPr>
          <w:noProof/>
          <w:color w:val="000000" w:themeColor="text1"/>
        </w:rPr>
        <w:t xml:space="preserve">ēļās ņem vismaz četrus iknedēļas atpūtas laikposmus, no kuriem vismaz divi ir regulārie iknedēļas atpūtas laikposmi. </w:t>
      </w:r>
    </w:p>
    <w:p w:rsidR="003E022D" w:rsidRDefault="007D19D6">
      <w:pPr>
        <w:rPr>
          <w:rFonts w:cstheme="minorHAnsi"/>
          <w:noProof/>
          <w:color w:val="000000" w:themeColor="text1"/>
        </w:rPr>
      </w:pPr>
      <w:r>
        <w:rPr>
          <w:noProof/>
          <w:color w:val="000000" w:themeColor="text1"/>
        </w:rPr>
        <w:t>Šā punkta nolūkā transportlīdzekļa vadītāju uzskata par tādu, kas veic starptautiskos pārvadājumus, ja transportlīdzekļa vadītājs uzsāk di</w:t>
      </w:r>
      <w:r>
        <w:rPr>
          <w:noProof/>
          <w:color w:val="000000" w:themeColor="text1"/>
        </w:rPr>
        <w:t>vus secīgos saīsinātos iknedēļas atpūtas laikposmus ārpus kravu autopārvadātāja Puses teritorijas un transportlīdzekļa vadītāja dzīvesvietas vai – attiecībā uz Savienību – ārpus kravu autopārvadātāja dalībvalsts teritorijas un transportlīdzekļa vadītāja dz</w:t>
      </w:r>
      <w:r>
        <w:rPr>
          <w:noProof/>
          <w:color w:val="000000" w:themeColor="text1"/>
        </w:rPr>
        <w:t xml:space="preserve">īvesvietas valsts.  </w:t>
      </w:r>
    </w:p>
    <w:p w:rsidR="003E022D" w:rsidRDefault="007D19D6">
      <w:pPr>
        <w:rPr>
          <w:rFonts w:cstheme="minorHAnsi"/>
          <w:noProof/>
          <w:color w:val="000000" w:themeColor="text1"/>
        </w:rPr>
      </w:pPr>
      <w:r>
        <w:rPr>
          <w:noProof/>
          <w:color w:val="000000" w:themeColor="text1"/>
        </w:rPr>
        <w:t xml:space="preserve">Jebkuru iknedēļas atpūtas laikposma saīsinājumu kompensē ar līdzvērtīga ilguma atpūtas laikposmu, ko ņem vienā reizē pirms trešās nedēļas beigām, skaitot no konkrētās nedēļas. </w:t>
      </w:r>
    </w:p>
    <w:p w:rsidR="003E022D" w:rsidRDefault="007D19D6">
      <w:pPr>
        <w:rPr>
          <w:rFonts w:cstheme="minorHAnsi"/>
          <w:noProof/>
          <w:color w:val="000000" w:themeColor="text1"/>
        </w:rPr>
      </w:pPr>
      <w:r>
        <w:rPr>
          <w:noProof/>
          <w:color w:val="000000" w:themeColor="text1"/>
        </w:rPr>
        <w:t>Ja ir ņemti divi secīgi saīsinātie iknedēļas atpūtas laikp</w:t>
      </w:r>
      <w:r>
        <w:rPr>
          <w:noProof/>
          <w:color w:val="000000" w:themeColor="text1"/>
        </w:rPr>
        <w:t xml:space="preserve">osmi saskaņā ar trešo daļu, tad pirms nākamā iknedēļas atpūtas laikposma transportlīdzekļa vadītājam ir atpūtas laikposms, kas ir kompensācija par minētajiem diviem saīsinātajiem iknedēļas atpūtas laikposmiem. </w:t>
      </w:r>
    </w:p>
    <w:p w:rsidR="003E022D" w:rsidRDefault="007D19D6">
      <w:pPr>
        <w:rPr>
          <w:rFonts w:cstheme="minorHAnsi"/>
          <w:noProof/>
        </w:rPr>
      </w:pPr>
      <w:r>
        <w:rPr>
          <w:noProof/>
        </w:rPr>
        <w:t>8.</w:t>
      </w:r>
      <w:r>
        <w:rPr>
          <w:noProof/>
        </w:rPr>
        <w:tab/>
        <w:t>Jebkuru atpūtu, kas ir ņemta kā kompensāci</w:t>
      </w:r>
      <w:r>
        <w:rPr>
          <w:noProof/>
        </w:rPr>
        <w:t xml:space="preserve">ja saīsināta iknedēļas atpūtas laikposma vietā, ņem kopā ar atpūtas laikposmu, kura ilgums ir vismaz deviņas stundas.  </w:t>
      </w:r>
    </w:p>
    <w:p w:rsidR="003E022D" w:rsidRDefault="007D19D6">
      <w:pPr>
        <w:rPr>
          <w:rFonts w:cstheme="minorHAnsi"/>
          <w:noProof/>
        </w:rPr>
      </w:pPr>
      <w:r>
        <w:rPr>
          <w:noProof/>
        </w:rPr>
        <w:t>9.</w:t>
      </w:r>
      <w:r>
        <w:rPr>
          <w:noProof/>
        </w:rPr>
        <w:tab/>
        <w:t>Regulāros iknedēļas atpūtas laikposmus un jebkuru iknedēļas atpūtas laikposmu, kas ir ilgāks par 45 stundām un ir kompensācija par ie</w:t>
      </w:r>
      <w:r>
        <w:rPr>
          <w:noProof/>
        </w:rPr>
        <w:t xml:space="preserve">priekšējiem saīsinātiem iknedēļas atpūtas laikposmiem, neizmanto transportlīdzeklī. Šos laikposmus transportlīdzekļa vadītājs izmanto atbilstošā un katram dzimumam piemērotā izmitināšanas vietā, kurā ir pienācīgas guļasvietas un sanitārās telpas.  </w:t>
      </w:r>
    </w:p>
    <w:p w:rsidR="003E022D" w:rsidRDefault="007D19D6">
      <w:pPr>
        <w:rPr>
          <w:rFonts w:cstheme="minorHAnsi"/>
          <w:noProof/>
        </w:rPr>
      </w:pPr>
      <w:r>
        <w:rPr>
          <w:noProof/>
        </w:rPr>
        <w:t>Visas i</w:t>
      </w:r>
      <w:r>
        <w:rPr>
          <w:noProof/>
        </w:rPr>
        <w:t xml:space="preserve">zmaksas par izmitināšanu ārpus transportlīdzekļa sedz darba devējs. </w:t>
      </w:r>
    </w:p>
    <w:p w:rsidR="003E022D" w:rsidRDefault="007D19D6">
      <w:pPr>
        <w:rPr>
          <w:rFonts w:cstheme="minorHAnsi"/>
          <w:noProof/>
          <w:color w:val="000000" w:themeColor="text1"/>
        </w:rPr>
      </w:pPr>
      <w:r>
        <w:rPr>
          <w:noProof/>
          <w:color w:val="000000" w:themeColor="text1"/>
        </w:rPr>
        <w:t>10.</w:t>
      </w:r>
      <w:r>
        <w:rPr>
          <w:noProof/>
        </w:rPr>
        <w:tab/>
      </w:r>
      <w:r>
        <w:rPr>
          <w:noProof/>
          <w:color w:val="000000" w:themeColor="text1"/>
        </w:rPr>
        <w:t>Pārvadājumu uzņēmumi organizē transportlīdzekļu vadītāju darbu tā, lai transportlīdzekļu vadītāji varētu atgriezties darba devēja darbības centrā, kur transportlīdzekļa vadītājs parasti atrodas un kur sākas transportlīdzekļa vadītāja iknedēļas atpūtas laik</w:t>
      </w:r>
      <w:r>
        <w:rPr>
          <w:noProof/>
          <w:color w:val="000000" w:themeColor="text1"/>
        </w:rPr>
        <w:t>posms, Apvienotajā Karalistē un – Savienības gadījumā – dalībvalstī, kurā ir darba devēja uzņēmējdarbības veikšanas vieta, vai arī savā dzīvesvietā katrā četru secīgu nedēļu laikposmā nolūkā izmantot vismaz vienu regulāru iknedēļas atpūtas laikposmu vai ik</w:t>
      </w:r>
      <w:r>
        <w:rPr>
          <w:noProof/>
          <w:color w:val="000000" w:themeColor="text1"/>
        </w:rPr>
        <w:t xml:space="preserve">nedēļas atpūtas laikposmu, kas ir ilgāks par 45 stundām un ir kompensācija par saīsinātu iknedēļas atpūtas laikposmu. </w:t>
      </w:r>
    </w:p>
    <w:p w:rsidR="003E022D" w:rsidRDefault="007D19D6">
      <w:pPr>
        <w:rPr>
          <w:rFonts w:cstheme="minorHAnsi"/>
          <w:noProof/>
          <w:color w:val="000000" w:themeColor="text1"/>
        </w:rPr>
      </w:pPr>
      <w:r>
        <w:rPr>
          <w:noProof/>
          <w:color w:val="000000" w:themeColor="text1"/>
        </w:rPr>
        <w:t>Tomēr, ja transportlīdzekļa vadītājs saskaņā ar 7. punktu ir ņēmis divus secīgus saīsinātus iknedēļas atpūtas laikposmus, transporta uzņē</w:t>
      </w:r>
      <w:r>
        <w:rPr>
          <w:noProof/>
          <w:color w:val="000000" w:themeColor="text1"/>
        </w:rPr>
        <w:t xml:space="preserve">mums transportlīdzekļa vadītāja darbu organizē tā, lai minētais vadītājs varētu atgriezties, pirms ir sācies regulārais iknedēļas atpūtas laikposms, kas ir ilgāks par 45 stundām un tiek izmantots kā kompensācija. </w:t>
      </w:r>
    </w:p>
    <w:p w:rsidR="003E022D" w:rsidRDefault="007D19D6">
      <w:pPr>
        <w:rPr>
          <w:rFonts w:cstheme="minorHAnsi"/>
          <w:noProof/>
        </w:rPr>
      </w:pPr>
      <w:r>
        <w:rPr>
          <w:noProof/>
          <w:color w:val="000000" w:themeColor="text1"/>
        </w:rPr>
        <w:t xml:space="preserve">Uzņēmums dokumentē, kā tas izpilda minēto </w:t>
      </w:r>
      <w:r>
        <w:rPr>
          <w:noProof/>
          <w:color w:val="000000" w:themeColor="text1"/>
        </w:rPr>
        <w:t xml:space="preserve">pienākumu, un glabā dokumentus savās telpās, lai tos uzrādītu pēc kontroles iestāžu pieprasījuma. </w:t>
      </w:r>
    </w:p>
    <w:p w:rsidR="003E022D" w:rsidRDefault="007D19D6">
      <w:pPr>
        <w:rPr>
          <w:rFonts w:cstheme="minorHAnsi"/>
          <w:noProof/>
        </w:rPr>
      </w:pPr>
      <w:r>
        <w:rPr>
          <w:noProof/>
        </w:rPr>
        <w:t>11.</w:t>
      </w:r>
      <w:r>
        <w:rPr>
          <w:noProof/>
        </w:rPr>
        <w:tab/>
        <w:t xml:space="preserve">Iknedēļas atpūtas laikposmu, kas sākas vienā nedēļā un turpinās nākamajā nedēļā, var pieskaitīt jebkurai no šīm nedēļām, bet ne abām.  </w:t>
      </w:r>
    </w:p>
    <w:p w:rsidR="003E022D" w:rsidRDefault="007D19D6">
      <w:pPr>
        <w:rPr>
          <w:rFonts w:cstheme="minorHAnsi"/>
          <w:noProof/>
        </w:rPr>
      </w:pPr>
      <w:r>
        <w:rPr>
          <w:noProof/>
        </w:rPr>
        <w:t>12.</w:t>
      </w:r>
      <w:r>
        <w:rPr>
          <w:noProof/>
        </w:rPr>
        <w:tab/>
        <w:t>Ja transportl</w:t>
      </w:r>
      <w:r>
        <w:rPr>
          <w:noProof/>
        </w:rPr>
        <w:t>īdzekļa vadītājs pavada transportlīdzekli, ko pārvadā ar prāmi vai vilcienu, un viņš izmanto regulāro ikdienas atpūtas laikposmu vai saīsināto iknedēļas atpūtas laikposmu, minēto laikposmu, izmantojot atkāpi, var pārtraukt ne vairāk kā divas reizes ar citā</w:t>
      </w:r>
      <w:r>
        <w:rPr>
          <w:noProof/>
        </w:rPr>
        <w:t xml:space="preserve">m darbībām, kas kopā nepārsniedz vienu stundu. Minētajā regulārajā ikdienas atpūtas laikposmā vai saīsinātajā iknedēļas atpūtas laikposmā transportlīdzekļa vadītājam ir pieejama guļamkabīne vai guļasvieta. </w:t>
      </w:r>
    </w:p>
    <w:p w:rsidR="003E022D" w:rsidRDefault="007D19D6">
      <w:pPr>
        <w:rPr>
          <w:rFonts w:cstheme="minorHAnsi"/>
          <w:noProof/>
        </w:rPr>
      </w:pPr>
      <w:r>
        <w:rPr>
          <w:noProof/>
        </w:rPr>
        <w:t xml:space="preserve">Attiecībā uz regulārajiem iknedēļas atpūtas laikposmiem minēto atkāpi braucieniem ar prāmi vai vilcienu piemēro vienīgi tad, ja:  </w:t>
      </w:r>
    </w:p>
    <w:p w:rsidR="003E022D" w:rsidRDefault="007D19D6">
      <w:pPr>
        <w:pStyle w:val="Point0letter"/>
        <w:numPr>
          <w:ilvl w:val="0"/>
          <w:numId w:val="887"/>
        </w:numPr>
        <w:tabs>
          <w:tab w:val="left" w:pos="851"/>
        </w:tabs>
        <w:ind w:left="851" w:hanging="851"/>
        <w:jc w:val="both"/>
        <w:rPr>
          <w:rFonts w:asciiTheme="minorHAnsi" w:hAnsiTheme="minorHAnsi" w:cstheme="minorHAnsi"/>
          <w:noProof/>
        </w:rPr>
      </w:pPr>
      <w:r>
        <w:rPr>
          <w:rFonts w:asciiTheme="minorHAnsi" w:hAnsiTheme="minorHAnsi"/>
          <w:noProof/>
        </w:rPr>
        <w:t xml:space="preserve">brauciena paredzamais ilgums ir 8 vai vairāk stundas; un  </w:t>
      </w:r>
    </w:p>
    <w:p w:rsidR="003E022D" w:rsidRDefault="007D19D6">
      <w:pPr>
        <w:pStyle w:val="Point0letter"/>
        <w:numPr>
          <w:ilvl w:val="0"/>
          <w:numId w:val="887"/>
        </w:numPr>
        <w:tabs>
          <w:tab w:val="left" w:pos="851"/>
        </w:tabs>
        <w:ind w:left="851" w:hanging="851"/>
        <w:jc w:val="both"/>
        <w:rPr>
          <w:rFonts w:asciiTheme="minorHAnsi" w:hAnsiTheme="minorHAnsi" w:cstheme="minorHAnsi"/>
          <w:noProof/>
        </w:rPr>
      </w:pPr>
      <w:r>
        <w:rPr>
          <w:rFonts w:asciiTheme="minorHAnsi" w:hAnsiTheme="minorHAnsi"/>
          <w:noProof/>
        </w:rPr>
        <w:t>transportlīdzekļa vadītājam uz prāmja ir pieejama kajīte ar guļasv</w:t>
      </w:r>
      <w:r>
        <w:rPr>
          <w:rFonts w:asciiTheme="minorHAnsi" w:hAnsiTheme="minorHAnsi"/>
          <w:noProof/>
        </w:rPr>
        <w:t xml:space="preserve">ietu vai vilcienā – vieta guļamvagonā. </w:t>
      </w:r>
    </w:p>
    <w:p w:rsidR="003E022D" w:rsidRDefault="007D19D6">
      <w:pPr>
        <w:rPr>
          <w:rFonts w:cstheme="minorHAnsi"/>
          <w:noProof/>
        </w:rPr>
      </w:pPr>
      <w:r>
        <w:rPr>
          <w:noProof/>
        </w:rPr>
        <w:t>13.</w:t>
      </w:r>
      <w:r>
        <w:rPr>
          <w:noProof/>
        </w:rPr>
        <w:tab/>
        <w:t>Laiku, ko pavada, dodoties uz kādu vietu, lai pārņemtu tāda transportlīdzekļa vadību, uz kuru attiecas šī iedaļa, vai atgriežoties no šādas vietas, ja šis transportlīdzeklis neatrodas ne transportlīdzekļa vadītāj</w:t>
      </w:r>
      <w:r>
        <w:rPr>
          <w:noProof/>
        </w:rPr>
        <w:t>a mājās, ne arī darba devēja darbības centrā, kur transportlīdzekļa vadītājs parasti atrodas, neskaita kā atpūtu vai pārtraukumu, izņemot gadījumus, kad transportlīdzekļa vadītājs atrodas uz prāmja vai vilcienā un viņam ir pieejama guļamkabīne vai guļasvie</w:t>
      </w:r>
      <w:r>
        <w:rPr>
          <w:noProof/>
        </w:rPr>
        <w:t xml:space="preserve">ta. </w:t>
      </w:r>
    </w:p>
    <w:p w:rsidR="003E022D" w:rsidRDefault="007D19D6">
      <w:pPr>
        <w:rPr>
          <w:rFonts w:cstheme="minorHAnsi"/>
          <w:noProof/>
        </w:rPr>
      </w:pPr>
      <w:r>
        <w:rPr>
          <w:noProof/>
        </w:rPr>
        <w:t>14.</w:t>
      </w:r>
      <w:r>
        <w:rPr>
          <w:noProof/>
        </w:rPr>
        <w:tab/>
        <w:t xml:space="preserve">Laiku, kad transportlīdzekļa vadītājs vada transportlīdzekli, uz kuru neattiecas šī iedaļa, dodoties uz transportlīdzekli, uz kuru attiecas šīs iedaļas darbības joma, vai no tā, ja šis transportlīdzeklis neatrodas transportlīdzekļa vadītāja mājās </w:t>
      </w:r>
      <w:r>
        <w:rPr>
          <w:noProof/>
        </w:rPr>
        <w:t xml:space="preserve">vai darba devēja darbības centrā, kur transportlīdzekļa vadītājs parasti atrodas, skaita kā citu darbu. </w:t>
      </w:r>
    </w:p>
    <w:p w:rsidR="003E022D" w:rsidRDefault="007D19D6">
      <w:pPr>
        <w:pStyle w:val="Article"/>
        <w:rPr>
          <w:rFonts w:cstheme="minorHAnsi"/>
          <w:noProof/>
        </w:rPr>
      </w:pPr>
      <w:r>
        <w:rPr>
          <w:noProof/>
        </w:rPr>
        <w:t xml:space="preserve">7. pants. Kravu autopārvadātāju atbildība  </w:t>
      </w:r>
    </w:p>
    <w:p w:rsidR="003E022D" w:rsidRDefault="007D19D6">
      <w:pPr>
        <w:rPr>
          <w:rFonts w:cstheme="minorHAnsi"/>
          <w:noProof/>
        </w:rPr>
      </w:pPr>
      <w:r>
        <w:rPr>
          <w:noProof/>
        </w:rPr>
        <w:t>1.</w:t>
      </w:r>
      <w:r>
        <w:rPr>
          <w:noProof/>
        </w:rPr>
        <w:tab/>
        <w:t>Puses kravu autopārvadātājs transportlīdzekļa vadītājiem, kurus tas nodarbina vai kuri ir tā rīcībā, nem</w:t>
      </w:r>
      <w:r>
        <w:rPr>
          <w:noProof/>
        </w:rPr>
        <w:t>aksā – pat ne kā maksājumu prēmijas vai algas piemaksas formā – jebkādu maksājumu, kas saistīts ar nobrauktajiem attālumiem, piegādes ātrumu vai pārvadātās kravas daudzumu, ja minētais maksājums ir tāds, ka tā dēļ var tikt apdraudēta ceļu satiksmes drošība</w:t>
      </w:r>
      <w:r>
        <w:rPr>
          <w:noProof/>
        </w:rPr>
        <w:t xml:space="preserve"> vai veicināta šīs iedaļas pārkāpšana. </w:t>
      </w:r>
    </w:p>
    <w:p w:rsidR="003E022D" w:rsidRDefault="007D19D6">
      <w:pPr>
        <w:rPr>
          <w:rFonts w:cstheme="minorHAnsi"/>
          <w:noProof/>
        </w:rPr>
      </w:pPr>
      <w:r>
        <w:rPr>
          <w:noProof/>
        </w:rPr>
        <w:t>2.</w:t>
      </w:r>
      <w:r>
        <w:rPr>
          <w:noProof/>
        </w:rPr>
        <w:tab/>
        <w:t xml:space="preserve">Puses kravu autopārvadātājs organizē autopārvadājumu operācijas un pienācīgi instruē apkalpes locekļus tā, lai viņi varētu ievērot šīs iedaļas noteikumus. </w:t>
      </w:r>
    </w:p>
    <w:p w:rsidR="003E022D" w:rsidRDefault="007D19D6">
      <w:pPr>
        <w:rPr>
          <w:rFonts w:cstheme="minorHAnsi"/>
          <w:noProof/>
        </w:rPr>
      </w:pPr>
      <w:r>
        <w:rPr>
          <w:noProof/>
        </w:rPr>
        <w:t>3.</w:t>
      </w:r>
      <w:r>
        <w:rPr>
          <w:noProof/>
        </w:rPr>
        <w:tab/>
        <w:t>Puses kravu autopārvadātājs ir atbildīgs par pārkāpumi</w:t>
      </w:r>
      <w:r>
        <w:rPr>
          <w:noProof/>
        </w:rPr>
        <w:t xml:space="preserve">em, ko ir izdarījuši pārvadātāja transportlīdzekļa vadītāji, pat ja pārkāpums ir izdarīts otras Puses teritorijā.  </w:t>
      </w:r>
    </w:p>
    <w:p w:rsidR="003E022D" w:rsidRDefault="007D19D6">
      <w:pPr>
        <w:rPr>
          <w:rFonts w:cstheme="minorHAnsi"/>
          <w:noProof/>
        </w:rPr>
      </w:pPr>
      <w:r>
        <w:rPr>
          <w:noProof/>
        </w:rPr>
        <w:t>Neskarot Pušu tiesības noteikt, ka kravu autopārvadātāji ir pilnībā atbildīgi, Puses var noteikt, ka šī atbildība ir atkarīga no tā, vai pār</w:t>
      </w:r>
      <w:r>
        <w:rPr>
          <w:noProof/>
        </w:rPr>
        <w:t xml:space="preserve">vadātājs ir pārkāpis 1. un 2. punktu. Puses var apsvērt jebkuru pierādījumu, kas pierāda, ka kravu autopārvadātāju nevar pamatoti atzīt par atbildīgu par pārkāpumiem.  </w:t>
      </w:r>
    </w:p>
    <w:p w:rsidR="003E022D" w:rsidRDefault="007D19D6">
      <w:pPr>
        <w:rPr>
          <w:rFonts w:cstheme="minorHAnsi"/>
          <w:noProof/>
        </w:rPr>
      </w:pPr>
      <w:r>
        <w:rPr>
          <w:noProof/>
        </w:rPr>
        <w:t>4.</w:t>
      </w:r>
      <w:r>
        <w:rPr>
          <w:noProof/>
        </w:rPr>
        <w:tab/>
        <w:t>Kravu autopārvadātāji, kravu nosūtītāji, kravu ekspeditori, galvenie darbuzņēmēji, a</w:t>
      </w:r>
      <w:r>
        <w:rPr>
          <w:noProof/>
        </w:rPr>
        <w:t xml:space="preserve">pakšuzņēmēji un transportlīdzekļu vadītāju aģentūras nodrošina, ka līgumiski noteiktie pārvadājumu grafiki ir saskaņā ar šīs iedaļas noteikumiem.  </w:t>
      </w:r>
    </w:p>
    <w:p w:rsidR="003E022D" w:rsidRDefault="007D19D6">
      <w:pPr>
        <w:rPr>
          <w:rFonts w:cstheme="minorHAnsi"/>
          <w:noProof/>
        </w:rPr>
      </w:pPr>
      <w:r>
        <w:rPr>
          <w:noProof/>
        </w:rPr>
        <w:t>5.</w:t>
      </w:r>
      <w:r>
        <w:rPr>
          <w:noProof/>
        </w:rPr>
        <w:tab/>
        <w:t xml:space="preserve">Kravu autopārvadātājs, kas izmanto transportlīdzekļus, kuri ir aprīkoti ar reģistrācijas kontrolierīcēm, </w:t>
      </w:r>
      <w:r>
        <w:rPr>
          <w:noProof/>
        </w:rPr>
        <w:t xml:space="preserve">kas atbilst B daļas 4. iedaļas 2. panta f), g) vai h) punktam, un uz kuriem attiecas šī iedaļa, nodrošina:  </w:t>
      </w:r>
    </w:p>
    <w:p w:rsidR="003E022D" w:rsidRDefault="007D19D6">
      <w:pPr>
        <w:pStyle w:val="Point0letter"/>
        <w:numPr>
          <w:ilvl w:val="0"/>
          <w:numId w:val="888"/>
        </w:numPr>
        <w:tabs>
          <w:tab w:val="left" w:pos="851"/>
        </w:tabs>
        <w:jc w:val="both"/>
        <w:rPr>
          <w:rFonts w:asciiTheme="minorHAnsi" w:hAnsiTheme="minorHAnsi" w:cstheme="minorHAnsi"/>
          <w:noProof/>
        </w:rPr>
      </w:pPr>
      <w:r>
        <w:rPr>
          <w:rFonts w:asciiTheme="minorHAnsi" w:hAnsiTheme="minorHAnsi"/>
          <w:noProof/>
        </w:rPr>
        <w:t xml:space="preserve">ka visi dati tiek lejupielādēti no transportlīdzekļa datu saglabāšanas ierīces un vadītāja kartes tik bieži, kā to pieprasa Puse, un ka attiecīgie </w:t>
      </w:r>
      <w:r>
        <w:rPr>
          <w:rFonts w:asciiTheme="minorHAnsi" w:hAnsiTheme="minorHAnsi"/>
          <w:noProof/>
        </w:rPr>
        <w:t xml:space="preserve">dati tiek lejupielādēti biežāk, lai nodrošinātu, ka tiek lejupielādēti visi dati par darbībām, ko ir veicis minētais kravu autopārvadātājs vai kas ir veiktas tā labā; un </w:t>
      </w:r>
    </w:p>
    <w:p w:rsidR="003E022D" w:rsidRDefault="007D19D6">
      <w:pPr>
        <w:pStyle w:val="Point0letter"/>
        <w:numPr>
          <w:ilvl w:val="0"/>
          <w:numId w:val="888"/>
        </w:numPr>
        <w:tabs>
          <w:tab w:val="left" w:pos="851"/>
        </w:tabs>
        <w:jc w:val="both"/>
        <w:rPr>
          <w:rFonts w:asciiTheme="minorHAnsi" w:hAnsiTheme="minorHAnsi" w:cstheme="minorHAnsi"/>
          <w:noProof/>
        </w:rPr>
      </w:pPr>
      <w:r>
        <w:rPr>
          <w:rFonts w:asciiTheme="minorHAnsi" w:hAnsiTheme="minorHAnsi"/>
          <w:noProof/>
        </w:rPr>
        <w:t>ka visi dati, kas lejupielādēti gan no transportlīdzekļa datu saglabāšanas ierīces, g</w:t>
      </w:r>
      <w:r>
        <w:rPr>
          <w:rFonts w:asciiTheme="minorHAnsi" w:hAnsiTheme="minorHAnsi"/>
          <w:noProof/>
        </w:rPr>
        <w:t>an vadītāja kartes, tiek saglabāti vismaz 12 mēnešus pēc to ierakstīšanas, un ka gadījumā, ja šādus datus pieprasa inspektors, tie ir pieejami tieši vai attālināti no kravu autopārvadātāja telpām.</w:t>
      </w:r>
    </w:p>
    <w:p w:rsidR="003E022D" w:rsidRDefault="007D19D6">
      <w:pPr>
        <w:rPr>
          <w:rFonts w:cstheme="minorHAnsi"/>
          <w:noProof/>
        </w:rPr>
      </w:pPr>
      <w:r>
        <w:rPr>
          <w:noProof/>
        </w:rPr>
        <w:t>Šajā punktā terminu “lejupielāde” interpretē saskaņā ar def</w:t>
      </w:r>
      <w:r>
        <w:rPr>
          <w:noProof/>
        </w:rPr>
        <w:t xml:space="preserve">inīciju, kas paredzēta C daļas 2. iedaļas 2. panta 2. punkta h) apakšpunktā.   </w:t>
      </w:r>
    </w:p>
    <w:p w:rsidR="003E022D" w:rsidRDefault="007D19D6">
      <w:pPr>
        <w:rPr>
          <w:rFonts w:cstheme="minorHAnsi"/>
          <w:noProof/>
        </w:rPr>
      </w:pPr>
      <w:r>
        <w:rPr>
          <w:noProof/>
        </w:rPr>
        <w:t>Maksimālais termiņš, kurā saskaņā ar šīs daļas i) apakšpunktu lejupielādē attiecīgos datus, ir 90 dienas attiecībā uz datiem no transportlīdzekļa bloka un 28 dienas attiecībā u</w:t>
      </w:r>
      <w:r>
        <w:rPr>
          <w:noProof/>
        </w:rPr>
        <w:t xml:space="preserve">z datiem no vadītāja kartes.  </w:t>
      </w:r>
    </w:p>
    <w:p w:rsidR="003E022D" w:rsidRDefault="007D19D6">
      <w:pPr>
        <w:pStyle w:val="Article"/>
        <w:rPr>
          <w:rFonts w:cstheme="minorHAnsi"/>
          <w:noProof/>
        </w:rPr>
      </w:pPr>
      <w:r>
        <w:rPr>
          <w:noProof/>
        </w:rPr>
        <w:t xml:space="preserve">8. pants. Izņēmumi  </w:t>
      </w:r>
    </w:p>
    <w:p w:rsidR="003E022D" w:rsidRDefault="007D19D6">
      <w:pPr>
        <w:rPr>
          <w:rFonts w:cstheme="minorHAnsi"/>
          <w:noProof/>
        </w:rPr>
      </w:pPr>
      <w:r>
        <w:rPr>
          <w:noProof/>
        </w:rPr>
        <w:t>1.</w:t>
      </w:r>
      <w:r>
        <w:rPr>
          <w:noProof/>
        </w:rPr>
        <w:tab/>
        <w:t>Lai ļautu transportlīdzekļa vadītājam sasniegt atbilstīgu apstāšanās vietu, ar noteikumu, ka nav apdraudēta satiksmes drošība, transportlīdzekļa vadītājs var atkāpties no 4. līdz 6. panta, ciktāl tas n</w:t>
      </w:r>
      <w:r>
        <w:rPr>
          <w:noProof/>
        </w:rPr>
        <w:t>epieciešams personu, transportlīdzekļa vai tā kravas drošībai. Vēlākais, pēc ierašanās piemērotā apstāšanās vietā transportlīdzekļa vadītājs manuāli norāda šīs atkāpšanās iemeslus reģistrācijas kontrolierīces reģistrācijas diagrammā vai reģistrācijas kontr</w:t>
      </w:r>
      <w:r>
        <w:rPr>
          <w:noProof/>
        </w:rPr>
        <w:t xml:space="preserve">olierīces izdrukā, vai savā darba žurnālā.  </w:t>
      </w:r>
    </w:p>
    <w:p w:rsidR="003E022D" w:rsidRDefault="007D19D6">
      <w:pPr>
        <w:rPr>
          <w:rFonts w:cstheme="minorHAnsi"/>
          <w:noProof/>
        </w:rPr>
      </w:pPr>
      <w:r>
        <w:rPr>
          <w:noProof/>
        </w:rPr>
        <w:t>2.</w:t>
      </w:r>
      <w:r>
        <w:rPr>
          <w:noProof/>
        </w:rPr>
        <w:tab/>
        <w:t>Ar noteikumu, ka tādējādi netiek apdraudēta ceļu satiksmes drošība, ārkārtas apstākļos transportlīdzekļa vadītājs var arī atkāpties no 4. panta 1. un 2. punkta un 6. panta 2. punkta, pārsniedzot ikdienas un i</w:t>
      </w:r>
      <w:r>
        <w:rPr>
          <w:noProof/>
        </w:rPr>
        <w:t xml:space="preserve">knedēļas transportlīdzekļa vadīšanas laiku par ne vairāk kā vienu stundu, lai sasniegtu darba devēja darbības centru vai transportlīdzekļa vadītāja dzīvesvietu, lai izmantotu iknedēļas atpūtas laikposmu.  </w:t>
      </w:r>
    </w:p>
    <w:p w:rsidR="003E022D" w:rsidRDefault="007D19D6">
      <w:pPr>
        <w:rPr>
          <w:rFonts w:cstheme="minorHAnsi"/>
          <w:noProof/>
        </w:rPr>
      </w:pPr>
      <w:r>
        <w:rPr>
          <w:noProof/>
        </w:rPr>
        <w:t>Ievērojot tādus pašus priekšnosacījumus, transport</w:t>
      </w:r>
      <w:r>
        <w:rPr>
          <w:noProof/>
        </w:rPr>
        <w:t>līdzekļa vadītājs var pārsniegt ikdienas un iknedēļas transportlīdzekļa vadīšanas laiku par ne vairāk kā divām stundām, ar noteikumu, ka tieši pirms transportlīdzekļa vadīšanas papildu laikposma, kura mērķis ir sasniegt darba devēja darbības centru vai sav</w:t>
      </w:r>
      <w:r>
        <w:rPr>
          <w:noProof/>
        </w:rPr>
        <w:t>u dzīvesvietu nolūkā izmantot regulāro iknedēļas atpūtas laikposmu, transportlīdzekļa vadītājs ir paņēmis 30 minūšu nepārtrauktu atpūtas laikposmu.</w:t>
      </w:r>
    </w:p>
    <w:p w:rsidR="003E022D" w:rsidRDefault="007D19D6">
      <w:pPr>
        <w:rPr>
          <w:rFonts w:cstheme="minorHAnsi"/>
          <w:noProof/>
        </w:rPr>
      </w:pPr>
      <w:r>
        <w:rPr>
          <w:noProof/>
        </w:rPr>
        <w:t>Transportlīdzekļa vadītājs, vēlākais, tūlīt pēc ierašanās galamērķī vai piemērotajā apstāšanās vietā manuāli</w:t>
      </w:r>
      <w:r>
        <w:rPr>
          <w:noProof/>
        </w:rPr>
        <w:t xml:space="preserve"> norāda šādas atkāpšanās iemeslus reģistrācijas kontrolierīces reģistrācijas diagrammā vai reģistrācijas kontrolierīces izdrukā, vai savā darba žurnālā. </w:t>
      </w:r>
    </w:p>
    <w:p w:rsidR="003E022D" w:rsidRDefault="007D19D6">
      <w:pPr>
        <w:rPr>
          <w:rFonts w:cstheme="minorHAnsi"/>
          <w:noProof/>
        </w:rPr>
      </w:pPr>
      <w:r>
        <w:rPr>
          <w:noProof/>
        </w:rPr>
        <w:t>Jebkuru transportlīdzekļa vadīšanas laikposma pagarinājumu kompensē ar līdzvērtīga ilguma atpūtas laik</w:t>
      </w:r>
      <w:r>
        <w:rPr>
          <w:noProof/>
        </w:rPr>
        <w:t xml:space="preserve">posmu, ko izmanto vienā reizē kopā ar jebkuru atpūtas laikposmu, līdz trešās nedēļas beigām, kura seko attiecīgajai nedēļai. </w:t>
      </w:r>
    </w:p>
    <w:p w:rsidR="003E022D" w:rsidRDefault="007D19D6">
      <w:pPr>
        <w:rPr>
          <w:rFonts w:cstheme="minorHAnsi"/>
          <w:noProof/>
        </w:rPr>
      </w:pPr>
      <w:r>
        <w:rPr>
          <w:noProof/>
        </w:rPr>
        <w:t>3.</w:t>
      </w:r>
      <w:r>
        <w:rPr>
          <w:noProof/>
        </w:rPr>
        <w:tab/>
        <w:t xml:space="preserve">Ar noteikumu, ka tādējādi netiek apdraudēta ceļu satiksmes drošība, katra Puse un – Savienības gadījumā – dalībvalsts var savā </w:t>
      </w:r>
      <w:r>
        <w:rPr>
          <w:noProof/>
        </w:rPr>
        <w:t xml:space="preserve">teritorijā vai – ar otras Puses piekrišanu – otras Puses teritorijā pieļaut izņēmumus no 3. līdz 6. panta un noteikt šādus izņēmumus saskaņā ar individuāliem nosacījumiem, kas piemērojami pārvadājumiem ar: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transportlīdzekļiem, kuri pieder valsts iestādēm vai kurus tās bez transportlīdzekļa vadītāja nomā autopārvadājumu veikšanai, nekonkurējot ar privātiem kravu autopārvadātājiem;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transportlīdzekļiem, kurus izmanto vai bez transportlīdzekļa vadītāja nomā la</w:t>
      </w:r>
      <w:r>
        <w:rPr>
          <w:rFonts w:asciiTheme="minorHAnsi" w:hAnsiTheme="minorHAnsi"/>
          <w:noProof/>
        </w:rPr>
        <w:t xml:space="preserve">uksaimniecības, dārzniecības, mežsaimniecības, zemkopības un zvejniecības uzņēmumi, lai preces, kas saistītas ar to komercdarbību, pārvadātu 100 kilometru rādiusā no transportlīdzekļa bāzes vietas, kas ir kā daļa no to komercdarbības;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lauksaimniecības tr</w:t>
      </w:r>
      <w:r>
        <w:rPr>
          <w:rFonts w:asciiTheme="minorHAnsi" w:hAnsiTheme="minorHAnsi"/>
          <w:noProof/>
        </w:rPr>
        <w:t xml:space="preserve">aktoriem un mežsaimniecības traktoriem, kurus izmanto lauksaimniecības un mežsaimniecības darbos, kas veikti līdz 100 kilometru rādiusā no tā uzņēmuma bāzes vietas, kuram pieder transportlīdzeklis, kurš to nomā vai nomā ar izpirkumu;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transportlīdzekļiem </w:t>
      </w:r>
      <w:r>
        <w:rPr>
          <w:rFonts w:asciiTheme="minorHAnsi" w:hAnsiTheme="minorHAnsi"/>
          <w:noProof/>
        </w:rPr>
        <w:t>vai transportlīdzekļu sastāviem, kuru maksimālā pieļaujamā masa nepārsniedz 7,5 tonnas un kurus izmanto vispārējā pakalpojuma sniedzēji, lai saistībā ar vispārējo pakalpojumu piegādātu sūtījumus. Minētos transportlīdzekļus izmanto tikai 100 km rādiusā no u</w:t>
      </w:r>
      <w:r>
        <w:rPr>
          <w:rFonts w:asciiTheme="minorHAnsi" w:hAnsiTheme="minorHAnsi"/>
          <w:noProof/>
        </w:rPr>
        <w:t>zņēmuma bāzes vietas un ar nosacījumu, ka transportlīdzekļa vadīšana nav transportlīdzekļa vadītāja pamatnodarbošanās;</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transportlīdzekļiem, ko izmanto vienīgi uz salām, kuru platība nepārsniedz 2300 kvadrātkilometrus un kuras nav savienotas ar pārējo valst</w:t>
      </w:r>
      <w:r>
        <w:rPr>
          <w:rFonts w:asciiTheme="minorHAnsi" w:hAnsiTheme="minorHAnsi"/>
          <w:noProof/>
        </w:rPr>
        <w:t>s teritoriju ar tiltu, braslu vai tuneli, ko var izmantot mehāniski transportlīdzekļi;</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transportlīdzekļiem, kurus izmanto, lai pārvadātu kravas līdz 100 km rādiusā no uzņēmuma bāzes vietas, kuri darbojas ar dabasgāzi vai sašķidrināto gāzi, vai elektrību, u</w:t>
      </w:r>
      <w:r>
        <w:rPr>
          <w:rFonts w:asciiTheme="minorHAnsi" w:hAnsiTheme="minorHAnsi"/>
          <w:noProof/>
        </w:rPr>
        <w:t xml:space="preserve">n kuru maksimālā pieļaujamā masa, ieskaitot piekabes vai puspiekabes, nepārsniedz 7,5 tonnas;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transportlīdzekļiem, kurus izmanto saistībā ar kanalizāciju, plūdu novēršanu, ūdens, gāzes un elektrības sistēmas uzturēšanas pakalpojumiem, ceļu uzturēšanu un </w:t>
      </w:r>
      <w:r>
        <w:rPr>
          <w:rFonts w:asciiTheme="minorHAnsi" w:hAnsiTheme="minorHAnsi"/>
          <w:noProof/>
        </w:rPr>
        <w:t xml:space="preserve">pārraudzību, sadzīves atkritumu savākšanu uz vietas un pārstrādi, telegrāfa un tālruņa pakalpojumiem, radio un televīzijas pārraidīšanu un radio un televīzijas pārraidītāju un uztvērēju noteikšanu;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specializētiem transportlīdzekļiem, kas pārvadā cirku un</w:t>
      </w:r>
      <w:r>
        <w:rPr>
          <w:rFonts w:asciiTheme="minorHAnsi" w:hAnsiTheme="minorHAnsi"/>
          <w:noProof/>
        </w:rPr>
        <w:t xml:space="preserve"> atrakciju parku aprīkojumu;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speciāli aprīkotiem pārvietojamu projektu transportlīdzekļiem, kuri – kad tie neatrodas kustībā – primāri tiek izmantoti kā izglītojošiem nolūkiem;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transportlīdzekļiem, ko izmanto piena savākšanai no fermām un/vai piena tve</w:t>
      </w:r>
      <w:r>
        <w:rPr>
          <w:rFonts w:asciiTheme="minorHAnsi" w:hAnsiTheme="minorHAnsi"/>
          <w:noProof/>
        </w:rPr>
        <w:t xml:space="preserve">rtņu vai dzīvnieku ēdināšanai paredzētu piena produktu nogādei atpakaļ fermās;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specializētiem transportlīdzekļiem, kas pārvadā naudu un/vai vērtslietas;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transportlīdzekļiem, kurus izmanto, lai pārvadātu dzīvnieku atkritumus vai ķermeņus, ko nav paredzēts izmantot cilvēku patēriņam;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transportlīdzekļiem, kurus izmanto tika uz ceļiem, kas atrodas tādās vietās, kā ostas un dzelzceļa termināli;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transportlīd</w:t>
      </w:r>
      <w:r>
        <w:rPr>
          <w:rFonts w:asciiTheme="minorHAnsi" w:hAnsiTheme="minorHAnsi"/>
          <w:noProof/>
        </w:rPr>
        <w:t>zekļiem, ko izmanto, lai pārvadātu dzīvus dzīvniekus no saimniecībām uz vietējiem tirgiem un atpakaļ vai no tirgiem uz vietējām kautuvēm 100 km rādiusā;</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transportlīdzekļiem vai transportlīdzekļu sastāviem, ar kuriem celtniecības uzņēmumam pārvadā būvtehnik</w:t>
      </w:r>
      <w:r>
        <w:rPr>
          <w:rFonts w:asciiTheme="minorHAnsi" w:hAnsiTheme="minorHAnsi"/>
          <w:noProof/>
        </w:rPr>
        <w:t xml:space="preserve">u ne vairāk kā 100 km rādiusā no uzņēmuma bāzes vietas, ar noteikumu, ka minētā transportlīdzekļa vadīšana nav transportlīdzekļa vadītāja pamatnodarbošanās; un </w:t>
      </w:r>
    </w:p>
    <w:p w:rsidR="003E022D" w:rsidRDefault="007D19D6">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transportlīdzekļiem, kurus izmanto gatavo betona maisījumu piegādei.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Ja tādējādi netiek apd</w:t>
      </w:r>
      <w:r>
        <w:rPr>
          <w:noProof/>
          <w:color w:val="000000" w:themeColor="text1"/>
        </w:rPr>
        <w:t>raudēti transportlīdzekļa vadītāju darba apstākļi un ceļu satiksmes drošība un tiek ievēroti B daļas 3. iedaļas 3. pantā noteiktie ierobežojumi, Puse un – Savienības gadījumā – dalībvalsts saskaņā ar Pusē piemērojamo procedūru var piešķirt pagaidu izņēmumu</w:t>
      </w:r>
      <w:r>
        <w:rPr>
          <w:noProof/>
          <w:color w:val="000000" w:themeColor="text1"/>
        </w:rPr>
        <w:t xml:space="preserve">s no šīs iedaļas 4. līdz 6. panta piemērošanas pārvadājumu operācijām, ko veic ārkārtas apstākļos.  </w:t>
      </w:r>
    </w:p>
    <w:p w:rsidR="003E022D" w:rsidRDefault="007D19D6">
      <w:pPr>
        <w:rPr>
          <w:rFonts w:cstheme="minorHAnsi"/>
          <w:noProof/>
          <w:color w:val="000000" w:themeColor="text1"/>
        </w:rPr>
      </w:pPr>
      <w:r>
        <w:rPr>
          <w:noProof/>
          <w:color w:val="000000" w:themeColor="text1"/>
        </w:rPr>
        <w:t>Pagaidu izņēmumi ir pienācīgi pamatoti, un tos nekavējoties paziņo otrai Pusei. Specializētā autotransporta komiteja precizē minētā paziņojuma kārtību. Kat</w:t>
      </w:r>
      <w:r>
        <w:rPr>
          <w:noProof/>
          <w:color w:val="000000" w:themeColor="text1"/>
        </w:rPr>
        <w:t xml:space="preserve">ra Puse nekavējoties publicē minēto informāciju publiskā tīmekļa vietnē un nodrošina, ka tās izpildes darbībās tiek ņemts vērā otras Puses piešķirts izņēmums.   </w:t>
      </w:r>
    </w:p>
    <w:p w:rsidR="003E022D" w:rsidRDefault="007D19D6">
      <w:pPr>
        <w:rPr>
          <w:rFonts w:cstheme="minorHAnsi"/>
          <w:b/>
          <w:noProof/>
          <w:sz w:val="28"/>
        </w:rPr>
      </w:pPr>
      <w:r>
        <w:rPr>
          <w:noProof/>
        </w:rPr>
        <w:br w:type="page"/>
      </w:r>
    </w:p>
    <w:p w:rsidR="003E022D" w:rsidRDefault="007D19D6">
      <w:pPr>
        <w:pStyle w:val="Section"/>
        <w:rPr>
          <w:rFonts w:cstheme="minorHAnsi"/>
          <w:noProof/>
        </w:rPr>
      </w:pPr>
      <w:r>
        <w:rPr>
          <w:noProof/>
        </w:rPr>
        <w:t>3. iedaļa.</w:t>
      </w:r>
      <w:r>
        <w:rPr>
          <w:noProof/>
          <w:color w:val="FF0000"/>
        </w:rPr>
        <w:t xml:space="preserve"> </w:t>
      </w:r>
      <w:r>
        <w:rPr>
          <w:noProof/>
        </w:rPr>
        <w:t>Mobilo darba ņēmēju darba laiks</w:t>
      </w:r>
    </w:p>
    <w:p w:rsidR="003E022D" w:rsidRDefault="007D19D6">
      <w:pPr>
        <w:pStyle w:val="Article"/>
        <w:rPr>
          <w:rFonts w:cstheme="minorHAnsi"/>
          <w:noProof/>
        </w:rPr>
      </w:pPr>
      <w:r>
        <w:rPr>
          <w:noProof/>
        </w:rPr>
        <w:t xml:space="preserve">1. pants. Darbības joma </w:t>
      </w:r>
    </w:p>
    <w:p w:rsidR="003E022D" w:rsidRDefault="007D19D6">
      <w:pPr>
        <w:rPr>
          <w:rFonts w:cstheme="minorHAnsi"/>
          <w:noProof/>
        </w:rPr>
      </w:pPr>
      <w:r>
        <w:rPr>
          <w:noProof/>
        </w:rPr>
        <w:t>1.</w:t>
      </w:r>
      <w:r>
        <w:rPr>
          <w:noProof/>
        </w:rPr>
        <w:tab/>
        <w:t>Šī iedaļa attiecas uz</w:t>
      </w:r>
      <w:r>
        <w:rPr>
          <w:noProof/>
        </w:rPr>
        <w:t xml:space="preserve"> mobiliem darba ņēmējiem, kurus nodarbina Pušu kravu autopārvadātāji un kuri veic braucienus, kas minēti šā nolīguma ROAD.4. pantā [Kravu pārvadāšana starp Pušu teritorijām, caur tām un tajās].  </w:t>
      </w:r>
    </w:p>
    <w:p w:rsidR="003E022D" w:rsidRDefault="007D19D6">
      <w:pPr>
        <w:rPr>
          <w:rFonts w:cstheme="minorHAnsi"/>
          <w:noProof/>
        </w:rPr>
      </w:pPr>
      <w:r>
        <w:rPr>
          <w:noProof/>
        </w:rPr>
        <w:t>Šī iedaļa attiecas arī uz pašnodarbinātiem transportlīdzekļa</w:t>
      </w:r>
      <w:r>
        <w:rPr>
          <w:noProof/>
        </w:rPr>
        <w:t xml:space="preserve"> vadītājiem.  </w:t>
      </w:r>
    </w:p>
    <w:p w:rsidR="003E022D" w:rsidRDefault="007D19D6">
      <w:pPr>
        <w:rPr>
          <w:rFonts w:cstheme="minorHAnsi"/>
          <w:noProof/>
        </w:rPr>
      </w:pPr>
      <w:r>
        <w:rPr>
          <w:noProof/>
        </w:rPr>
        <w:t>2.</w:t>
      </w:r>
      <w:r>
        <w:rPr>
          <w:noProof/>
        </w:rPr>
        <w:tab/>
        <w:t xml:space="preserve">Ciktāl šajā iedaļā ir ietverti konkrētāki noteikumi attiecībā uz mobiliem darba ņēmējiem, kuri veic autopārvadājumu darbības, tai ir augstāks spēks nekā attiecīgajiem LPF.2.27. panta noteikumiem. </w:t>
      </w:r>
    </w:p>
    <w:p w:rsidR="003E022D" w:rsidRDefault="007D19D6">
      <w:pPr>
        <w:rPr>
          <w:rFonts w:cstheme="minorHAnsi"/>
          <w:noProof/>
        </w:rPr>
      </w:pPr>
      <w:r>
        <w:rPr>
          <w:noProof/>
        </w:rPr>
        <w:t>3.</w:t>
      </w:r>
      <w:r>
        <w:rPr>
          <w:noProof/>
        </w:rPr>
        <w:tab/>
        <w:t>Šī iedaļa papildina B daļas 2. iedaļas</w:t>
      </w:r>
      <w:r>
        <w:rPr>
          <w:noProof/>
        </w:rPr>
        <w:t xml:space="preserve"> noteikumus, kam ir augstāks spēks nekā šīs iedaļas noteikumiem.</w:t>
      </w:r>
    </w:p>
    <w:p w:rsidR="003E022D" w:rsidRDefault="007D19D6">
      <w:pPr>
        <w:rPr>
          <w:rFonts w:cstheme="minorHAnsi"/>
          <w:noProof/>
        </w:rPr>
      </w:pPr>
      <w:r>
        <w:rPr>
          <w:noProof/>
        </w:rPr>
        <w:t>4.</w:t>
      </w:r>
      <w:r>
        <w:rPr>
          <w:noProof/>
        </w:rPr>
        <w:tab/>
        <w:t>Puse var nepiemērot šo iedaļu mobiliem darba ņēmējiem un pašnodarbinātiem transportlīdzekļa vadītājiem, kas kalendārajā mēnesī veic ne vairāk kā divus braucienus turp un atpakaļ saskaņā ar</w:t>
      </w:r>
      <w:r>
        <w:rPr>
          <w:noProof/>
        </w:rPr>
        <w:t xml:space="preserve"> šā nolīguma ROAD.4. pantu [Kravu pārvadāšana starp Pušu teritorijām, caur tām un tajās]</w:t>
      </w:r>
    </w:p>
    <w:p w:rsidR="003E022D" w:rsidRDefault="007D19D6">
      <w:pPr>
        <w:rPr>
          <w:rFonts w:cstheme="minorHAnsi"/>
          <w:noProof/>
        </w:rPr>
      </w:pPr>
      <w:r>
        <w:rPr>
          <w:noProof/>
        </w:rPr>
        <w:t>5.</w:t>
      </w:r>
      <w:r>
        <w:rPr>
          <w:noProof/>
        </w:rPr>
        <w:tab/>
        <w:t>Ja Puse nepiemēro šo iedaļu saskaņā ar 4. punktu, minētā Puse to paziņo otrai Pusei.</w:t>
      </w:r>
    </w:p>
    <w:p w:rsidR="003E022D" w:rsidRDefault="007D19D6">
      <w:pPr>
        <w:pStyle w:val="Article"/>
        <w:rPr>
          <w:rFonts w:cstheme="minorHAnsi"/>
          <w:noProof/>
        </w:rPr>
      </w:pPr>
      <w:r>
        <w:rPr>
          <w:noProof/>
        </w:rPr>
        <w:t xml:space="preserve">2. pants. Definīcijas </w:t>
      </w:r>
    </w:p>
    <w:p w:rsidR="003E022D" w:rsidRDefault="007D19D6">
      <w:pPr>
        <w:rPr>
          <w:rFonts w:cstheme="minorHAnsi"/>
          <w:noProof/>
        </w:rPr>
      </w:pPr>
      <w:r>
        <w:rPr>
          <w:noProof/>
        </w:rPr>
        <w:t xml:space="preserve">Šajā iedaļā piemēro šādas definīcijas: </w:t>
      </w:r>
    </w:p>
    <w:p w:rsidR="003E022D" w:rsidRDefault="007D19D6">
      <w:pPr>
        <w:rPr>
          <w:rFonts w:cstheme="minorHAnsi"/>
          <w:noProof/>
        </w:rPr>
      </w:pPr>
      <w:r>
        <w:rPr>
          <w:noProof/>
        </w:rPr>
        <w:t>1)</w:t>
      </w:r>
      <w:r>
        <w:rPr>
          <w:noProof/>
        </w:rPr>
        <w:tab/>
      </w:r>
      <w:r>
        <w:rPr>
          <w:noProof/>
        </w:rPr>
        <w:t xml:space="preserve">“darba laiks” ir: </w:t>
      </w:r>
    </w:p>
    <w:p w:rsidR="003E022D" w:rsidRDefault="007D19D6">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 xml:space="preserve">mobilu darba ņēmēju gadījumā: laiks no darba sākuma līdz beigām, kurā mobilais darba ņēmējs ir savā darba vietā darba devēja rīcībā un pilda savas funkcijas vai veic darbības, tas ir: </w:t>
      </w:r>
    </w:p>
    <w:p w:rsidR="003E022D" w:rsidRDefault="007D19D6">
      <w:pPr>
        <w:pStyle w:val="Point0letter"/>
        <w:tabs>
          <w:tab w:val="left" w:pos="851"/>
        </w:tabs>
        <w:ind w:left="0"/>
        <w:jc w:val="both"/>
        <w:rPr>
          <w:rFonts w:asciiTheme="minorHAnsi" w:hAnsiTheme="minorHAnsi" w:cstheme="minorHAnsi"/>
          <w:noProof/>
        </w:rPr>
      </w:pPr>
      <w:r>
        <w:rPr>
          <w:noProof/>
        </w:rPr>
        <w:tab/>
      </w:r>
      <w:r>
        <w:rPr>
          <w:rFonts w:asciiTheme="minorHAnsi" w:hAnsiTheme="minorHAnsi"/>
          <w:noProof/>
        </w:rPr>
        <w:t xml:space="preserve"> - laiks, kas veltīts visām autopārvadājumu darbībā</w:t>
      </w:r>
      <w:r>
        <w:rPr>
          <w:rFonts w:asciiTheme="minorHAnsi" w:hAnsiTheme="minorHAnsi"/>
          <w:noProof/>
        </w:rPr>
        <w:t xml:space="preserve">m, proti: </w:t>
      </w:r>
    </w:p>
    <w:p w:rsidR="003E022D" w:rsidRDefault="007D19D6">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transportlīdzekļa vadīšana; </w:t>
      </w:r>
    </w:p>
    <w:p w:rsidR="003E022D" w:rsidRDefault="007D19D6">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iekraušana un izkraušana; </w:t>
      </w:r>
    </w:p>
    <w:p w:rsidR="003E022D" w:rsidRDefault="007D19D6">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palīdzība pasažieriem, iekāpjot transportlīdzeklī un izkāpjot no tā; </w:t>
      </w:r>
    </w:p>
    <w:p w:rsidR="003E022D" w:rsidRDefault="007D19D6">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tīrīšana un tehnikas apkope; un</w:t>
      </w:r>
    </w:p>
    <w:p w:rsidR="003E022D" w:rsidRDefault="007D19D6">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visi pārējie darbi, lai nodrošinātu transportlīdzekļa un tā kravas drošību vai izpildīt</w:t>
      </w:r>
      <w:r>
        <w:rPr>
          <w:rFonts w:asciiTheme="minorHAnsi" w:hAnsiTheme="minorHAnsi"/>
          <w:noProof/>
        </w:rPr>
        <w:t xml:space="preserve">u juridiskas vai normatīvas saistības, kas tieši saistītas ar konkrētās pārvadājuma operācijas sagatavošanu, tostarp iekraušanas un izkraušanas uzraudzību, administratīvās formalitātes ar policiju, muitu, imigrācijas iestādēm utt., </w:t>
      </w:r>
    </w:p>
    <w:p w:rsidR="003E022D" w:rsidRDefault="007D19D6">
      <w:pPr>
        <w:pStyle w:val="Point0letter"/>
        <w:tabs>
          <w:tab w:val="left" w:pos="851"/>
        </w:tabs>
        <w:ind w:left="851"/>
        <w:jc w:val="both"/>
        <w:rPr>
          <w:rFonts w:asciiTheme="minorHAnsi" w:hAnsiTheme="minorHAnsi" w:cstheme="minorHAnsi"/>
          <w:noProof/>
        </w:rPr>
      </w:pPr>
      <w:r>
        <w:rPr>
          <w:rFonts w:asciiTheme="minorHAnsi" w:hAnsiTheme="minorHAnsi"/>
          <w:noProof/>
        </w:rPr>
        <w:t>- laiks, kurā transport</w:t>
      </w:r>
      <w:r>
        <w:rPr>
          <w:rFonts w:asciiTheme="minorHAnsi" w:hAnsiTheme="minorHAnsi"/>
          <w:noProof/>
        </w:rPr>
        <w:t xml:space="preserve">līdzekļa vadītājs nevar rīkoties brīvi un viņam jābūt savā darba vietā, gatavam veikt parasto darbu ar konkrētu uzdevumu, kas saistīts ar dežūru, īpaši laikposmos, kad gaida iekraušanu vai izkraušanu, ja to ilgums nav zināms iepriekš, tas ir, vai nu pirms </w:t>
      </w:r>
      <w:r>
        <w:rPr>
          <w:rFonts w:asciiTheme="minorHAnsi" w:hAnsiTheme="minorHAnsi"/>
          <w:noProof/>
        </w:rPr>
        <w:t xml:space="preserve">prombraukšanas, vai tikai pirms attiecīgā laikposma faktiskā sākuma, vai saskaņā ar vispārīgiem nosacījumiem, par ko vienojas sarunās starp sociālajiem partneriem, un/vai saskaņā ar Pušu tiesību aktiem; </w:t>
      </w:r>
    </w:p>
    <w:p w:rsidR="003E022D" w:rsidRDefault="007D19D6">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pašnodarbinātiem transportlīdzekļa vadītājiem piemēr</w:t>
      </w:r>
      <w:r>
        <w:rPr>
          <w:rFonts w:asciiTheme="minorHAnsi" w:hAnsiTheme="minorHAnsi"/>
          <w:noProof/>
        </w:rPr>
        <w:t xml:space="preserve">o to pašu definīciju laikam no darba sākuma līdz beigām, kurā pašnodarbinātais transportlīdzekļa vadītājs ir savā darba vietā klienta rīcībā un pilda savas funkcijas vai veic darbības, kas nav parasts administratīvais darbs un nav tieši saistītas ar īpašu </w:t>
      </w:r>
      <w:r>
        <w:rPr>
          <w:rFonts w:asciiTheme="minorHAnsi" w:hAnsiTheme="minorHAnsi"/>
          <w:noProof/>
        </w:rPr>
        <w:t xml:space="preserve">pārvadājumu operāciju sagatavošanu. </w:t>
      </w:r>
    </w:p>
    <w:p w:rsidR="003E022D" w:rsidRDefault="007D19D6">
      <w:pPr>
        <w:rPr>
          <w:rFonts w:cstheme="minorHAnsi"/>
          <w:noProof/>
        </w:rPr>
      </w:pPr>
      <w:r>
        <w:rPr>
          <w:noProof/>
        </w:rPr>
        <w:t>Darba laikā neieskaita 4. pantā minētos pārtraukuma laikus, 5. pantā minētos atpūtas laikus un, neskarot Pušu tiesību aktus vai vienošanās starp sociālajiem partneriem, kas paredz, ka šie laikposmi būtu jāapmaksā vai jā</w:t>
      </w:r>
      <w:r>
        <w:rPr>
          <w:noProof/>
        </w:rPr>
        <w:t xml:space="preserve">ierobežo, šā panta 2. punktā minētos darbgatavības laikposmus; </w:t>
      </w:r>
    </w:p>
    <w:p w:rsidR="003E022D" w:rsidRDefault="007D19D6">
      <w:pPr>
        <w:rPr>
          <w:rFonts w:cstheme="minorHAnsi"/>
          <w:noProof/>
        </w:rPr>
      </w:pPr>
      <w:r>
        <w:rPr>
          <w:noProof/>
        </w:rPr>
        <w:t>2)</w:t>
      </w:r>
      <w:r>
        <w:rPr>
          <w:noProof/>
        </w:rPr>
        <w:tab/>
        <w:t xml:space="preserve">“darbgatavības laikposmi” ir: </w:t>
      </w:r>
    </w:p>
    <w:p w:rsidR="003E022D" w:rsidRDefault="007D19D6">
      <w:pPr>
        <w:rPr>
          <w:rFonts w:cstheme="minorHAnsi"/>
          <w:noProof/>
        </w:rPr>
      </w:pPr>
      <w:r>
        <w:rPr>
          <w:noProof/>
        </w:rPr>
        <w:t>- laikposmi, izņemot pārtraukuma laikus un atpūtas laikus, kuros mobilajam darba ņēmējam nav jāpaliek savā darba vietā, bet jābūt gatavam atsaukties uz prasīb</w:t>
      </w:r>
      <w:r>
        <w:rPr>
          <w:noProof/>
        </w:rPr>
        <w:t>u sākt vai atsākt transportlīdzekļa vadīšanu vai veikt citu darbu. Šādos darbgatavības laikposmos jo īpaši iekļauj laikposmus, kuros mobilais darba ņēmējs pavada ar prāmi vai vilcienu transportētu transportlīdzekli, kā arī gaidīšanas posmus uz robežām un s</w:t>
      </w:r>
      <w:r>
        <w:rPr>
          <w:noProof/>
        </w:rPr>
        <w:t xml:space="preserve">aistībā ar satiksmes aizliegumiem. </w:t>
      </w:r>
    </w:p>
    <w:p w:rsidR="003E022D" w:rsidRDefault="007D19D6">
      <w:pPr>
        <w:rPr>
          <w:rFonts w:cstheme="minorHAnsi"/>
          <w:noProof/>
        </w:rPr>
      </w:pPr>
      <w:r>
        <w:rPr>
          <w:noProof/>
        </w:rPr>
        <w:t>- Minētie laikposmi un to paredzamais ilgums mobilajam darba ņēmējam jāzina iepriekš, tas ir, vai nu pirms prombraukšanas, vai tikai pirms attiecīgā laikposma faktiskā sākuma, vai saskaņā ar vispārīgiem nosacījumiem, par ko vienojas sarunās starp sociālaji</w:t>
      </w:r>
      <w:r>
        <w:rPr>
          <w:noProof/>
        </w:rPr>
        <w:t xml:space="preserve">em partneriem, un/vai saskaņā ar Pušu tiesību aktiem, </w:t>
      </w:r>
    </w:p>
    <w:p w:rsidR="003E022D" w:rsidRDefault="007D19D6">
      <w:pPr>
        <w:rPr>
          <w:rFonts w:cstheme="minorHAnsi"/>
          <w:noProof/>
        </w:rPr>
      </w:pPr>
      <w:r>
        <w:rPr>
          <w:noProof/>
        </w:rPr>
        <w:t xml:space="preserve">- mobiliem darba ņēmējiem, kuri brauc vairāki, laiks, ko pavada, sēžot blakus transportlīdzekļa vadītājam vai atrodoties guļamkabīnē, kamēr transportlīdzeklis pārvietojas; </w:t>
      </w:r>
    </w:p>
    <w:p w:rsidR="003E022D" w:rsidRDefault="007D19D6">
      <w:pPr>
        <w:rPr>
          <w:rFonts w:cstheme="minorHAnsi"/>
          <w:noProof/>
        </w:rPr>
      </w:pPr>
      <w:r>
        <w:rPr>
          <w:noProof/>
        </w:rPr>
        <w:t>3)</w:t>
      </w:r>
      <w:r>
        <w:rPr>
          <w:noProof/>
        </w:rPr>
        <w:tab/>
        <w:t xml:space="preserve">“darba vieta” ir: </w:t>
      </w:r>
    </w:p>
    <w:p w:rsidR="003E022D" w:rsidRDefault="007D19D6">
      <w:pPr>
        <w:rPr>
          <w:rFonts w:cstheme="minorHAnsi"/>
          <w:noProof/>
        </w:rPr>
      </w:pPr>
      <w:r>
        <w:rPr>
          <w:noProof/>
        </w:rPr>
        <w:t>- tā k</w:t>
      </w:r>
      <w:r>
        <w:rPr>
          <w:noProof/>
        </w:rPr>
        <w:t>ravu autopārvadātāja pamata uzņēmējdarbības atrašanās vieta, pie kā pilda pienākumus persona, kas veic autopārvadājumu darbības, kopā ar dažādām uzņēmējdarbības vietas filiālēm neatkarīgi no tā, vai tās atrodas vienā vietā ar galveno biroju vai uzņēmējdarb</w:t>
      </w:r>
      <w:r>
        <w:rPr>
          <w:noProof/>
        </w:rPr>
        <w:t xml:space="preserve">ības pamata atrašanās vietu, </w:t>
      </w:r>
    </w:p>
    <w:p w:rsidR="003E022D" w:rsidRDefault="007D19D6">
      <w:pPr>
        <w:rPr>
          <w:rFonts w:cstheme="minorHAnsi"/>
          <w:noProof/>
        </w:rPr>
      </w:pPr>
      <w:r>
        <w:rPr>
          <w:noProof/>
        </w:rPr>
        <w:t xml:space="preserve">- transportlīdzeklis, ko savu pienākumu pildīšanai izmanto persona, kas veic autopārvadājumu darbības, un </w:t>
      </w:r>
    </w:p>
    <w:p w:rsidR="003E022D" w:rsidRDefault="007D19D6">
      <w:pPr>
        <w:rPr>
          <w:rFonts w:cstheme="minorHAnsi"/>
          <w:noProof/>
        </w:rPr>
      </w:pPr>
      <w:r>
        <w:rPr>
          <w:noProof/>
        </w:rPr>
        <w:t xml:space="preserve">- jebkura cita vieta, kurā tiek veiktas ar pārvadāšanu saistītas darbības;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“mobils darba ņēmējs” šajā iedaļā ir jebkurš darba ņēmējs, kas pieder pie ceļojošā personālsastāva, tostarp mācekļi un praktikanti, un kas strādā uzņēmumā, kurš sniedz pārvadājumu pakalpojumus, veicot kravu vai pasažieru autopārvadājumus, otras Puses terit</w:t>
      </w:r>
      <w:r>
        <w:rPr>
          <w:noProof/>
          <w:color w:val="000000" w:themeColor="text1"/>
        </w:rPr>
        <w:t xml:space="preserve">orijā; </w:t>
      </w:r>
    </w:p>
    <w:p w:rsidR="003E022D" w:rsidRDefault="007D19D6">
      <w:pPr>
        <w:rPr>
          <w:rFonts w:cstheme="minorHAnsi"/>
          <w:noProof/>
        </w:rPr>
      </w:pPr>
      <w:r>
        <w:rPr>
          <w:noProof/>
        </w:rPr>
        <w:t>5)</w:t>
      </w:r>
      <w:r>
        <w:rPr>
          <w:noProof/>
        </w:rPr>
        <w:tab/>
        <w:t>“pašnodarbināts transportlīdzekļa vadītājs” ir ikviens, kura galvenā nodarbošanās ir veikt kravu komercpārvadājumus ar autotransportu, kam ir tiesības strādāt sev un kas nav piesaistīts darba devējam ar darba līgumu vai ar jebkura cita veida dar</w:t>
      </w:r>
      <w:r>
        <w:rPr>
          <w:noProof/>
        </w:rPr>
        <w:t xml:space="preserve">ba hierarhijas attiecībām, kas pats organizē attiecīgās darba aktivitātes, kura ienākumi ir tieši atkarīgi no gūtās peļņas un kas personiski vai sadarbībā ar citiem pašnodarbinātiem autovadītājiem veido komerciālas attiecības ar dažādiem pasūtītājiem. </w:t>
      </w:r>
    </w:p>
    <w:p w:rsidR="003E022D" w:rsidRDefault="007D19D6">
      <w:pPr>
        <w:rPr>
          <w:rFonts w:cstheme="minorHAnsi"/>
          <w:noProof/>
        </w:rPr>
      </w:pPr>
      <w:r>
        <w:rPr>
          <w:noProof/>
        </w:rPr>
        <w:t>Šaj</w:t>
      </w:r>
      <w:r>
        <w:rPr>
          <w:noProof/>
        </w:rPr>
        <w:t xml:space="preserve">ā iedaļā uz tiem transportlīdzekļa vadītājiem, kas neatbilst minētajiem kritērijiem, attiecas tie paši pienākumi un tie gūst labumu no tādām pašām tiesībām kā mobilie darba ņēmēji atbilstīgi šai iedaļai; </w:t>
      </w:r>
    </w:p>
    <w:p w:rsidR="003E022D" w:rsidRDefault="007D19D6">
      <w:pPr>
        <w:rPr>
          <w:rFonts w:cstheme="minorHAnsi"/>
          <w:noProof/>
        </w:rPr>
      </w:pPr>
      <w:r>
        <w:rPr>
          <w:noProof/>
        </w:rPr>
        <w:t>6)</w:t>
      </w:r>
      <w:r>
        <w:rPr>
          <w:noProof/>
        </w:rPr>
        <w:tab/>
        <w:t xml:space="preserve">“persona, kas veic autopārvadājumu darbības” ir </w:t>
      </w:r>
      <w:r>
        <w:rPr>
          <w:noProof/>
        </w:rPr>
        <w:t xml:space="preserve">jebkurš mobils darba ņēmējs vai pašnodarbināts transportlīdzekļa vadītājs, kurš veic šādas darbības; </w:t>
      </w:r>
    </w:p>
    <w:p w:rsidR="003E022D" w:rsidRDefault="007D19D6">
      <w:pPr>
        <w:rPr>
          <w:rFonts w:cstheme="minorHAnsi"/>
          <w:noProof/>
        </w:rPr>
      </w:pPr>
      <w:r>
        <w:rPr>
          <w:noProof/>
        </w:rPr>
        <w:t>7)</w:t>
      </w:r>
      <w:r>
        <w:rPr>
          <w:noProof/>
        </w:rPr>
        <w:tab/>
        <w:t xml:space="preserve">"nedēļa" ir laikposms starp plkst. 00.00 pirmdienā un 24.00 svētdienā; </w:t>
      </w:r>
    </w:p>
    <w:p w:rsidR="003E022D" w:rsidRDefault="007D19D6">
      <w:pPr>
        <w:rPr>
          <w:rFonts w:cstheme="minorHAnsi"/>
          <w:noProof/>
        </w:rPr>
      </w:pPr>
      <w:r>
        <w:rPr>
          <w:noProof/>
        </w:rPr>
        <w:t>8)</w:t>
      </w:r>
      <w:r>
        <w:rPr>
          <w:noProof/>
        </w:rPr>
        <w:tab/>
        <w:t xml:space="preserve">“nakts laiks” ir vismaz četras stundas ilgs laikposms starp plkst. 00.00 un </w:t>
      </w:r>
      <w:r>
        <w:rPr>
          <w:noProof/>
        </w:rPr>
        <w:t>07.00, kā noteikts valsts tiesību aktos; un</w:t>
      </w:r>
    </w:p>
    <w:p w:rsidR="003E022D" w:rsidRDefault="007D19D6">
      <w:pPr>
        <w:rPr>
          <w:rFonts w:cstheme="minorHAnsi"/>
          <w:noProof/>
        </w:rPr>
      </w:pPr>
      <w:r>
        <w:rPr>
          <w:noProof/>
        </w:rPr>
        <w:t>9)</w:t>
      </w:r>
      <w:r>
        <w:rPr>
          <w:noProof/>
        </w:rPr>
        <w:tab/>
        <w:t xml:space="preserve">“darbs naktīs” ir jebkurš darbs, ko veic nakts laikā. </w:t>
      </w:r>
    </w:p>
    <w:p w:rsidR="003E022D" w:rsidRDefault="007D19D6">
      <w:pPr>
        <w:pStyle w:val="Article"/>
        <w:rPr>
          <w:rFonts w:cstheme="minorHAnsi"/>
          <w:noProof/>
        </w:rPr>
      </w:pPr>
      <w:r>
        <w:rPr>
          <w:noProof/>
        </w:rPr>
        <w:t xml:space="preserve">3. pants. Maksimālais nedēļas darba laiks </w:t>
      </w:r>
    </w:p>
    <w:p w:rsidR="003E022D" w:rsidRDefault="007D19D6">
      <w:pPr>
        <w:rPr>
          <w:rFonts w:cstheme="minorHAnsi"/>
          <w:noProof/>
        </w:rPr>
      </w:pPr>
      <w:r>
        <w:rPr>
          <w:noProof/>
        </w:rPr>
        <w:t>1.</w:t>
      </w:r>
      <w:r>
        <w:rPr>
          <w:noProof/>
        </w:rPr>
        <w:tab/>
        <w:t>Katra Puse veic vajadzīgos pasākumus, lai nodrošinātu, ka vidējais nedēļas darba laiks nepārsniedz 48 stunda</w:t>
      </w:r>
      <w:r>
        <w:rPr>
          <w:noProof/>
        </w:rPr>
        <w:t xml:space="preserve">s. Maksimālo nedēļas darba laiku var pagarināt līdz 60 stundām tikai tad, ja četrus mēnešus nav pārsniegtas vidēji 48 stundas nedēļā.  </w:t>
      </w:r>
    </w:p>
    <w:p w:rsidR="003E022D" w:rsidRDefault="007D19D6">
      <w:pPr>
        <w:rPr>
          <w:rFonts w:cstheme="minorHAnsi"/>
          <w:noProof/>
        </w:rPr>
      </w:pPr>
      <w:r>
        <w:rPr>
          <w:noProof/>
        </w:rPr>
        <w:t>2.</w:t>
      </w:r>
      <w:r>
        <w:rPr>
          <w:noProof/>
        </w:rPr>
        <w:tab/>
        <w:t>Katra Puse veic vajadzīgos pasākumus, lai nodrošinātu, ka tāda darba laiks, kas veikts pie dažādiem darba devējiem, i</w:t>
      </w:r>
      <w:r>
        <w:rPr>
          <w:noProof/>
        </w:rPr>
        <w:t xml:space="preserve">r darba stundu summa. Darba devējs rakstiski lūdz attiecīgajam mobilajam darba ņēmējam pārskatu par nostrādāto laiku pie cita darba devēja. Mobilais darba ņēmējs sniedz šo informāciju rakstiski. </w:t>
      </w:r>
    </w:p>
    <w:p w:rsidR="003E022D" w:rsidRDefault="007D19D6">
      <w:pPr>
        <w:pStyle w:val="Article"/>
        <w:rPr>
          <w:rFonts w:cstheme="minorHAnsi"/>
          <w:noProof/>
        </w:rPr>
      </w:pPr>
      <w:r>
        <w:rPr>
          <w:noProof/>
        </w:rPr>
        <w:t xml:space="preserve">4. pants. Pārtraukumi </w:t>
      </w:r>
    </w:p>
    <w:p w:rsidR="003E022D" w:rsidRDefault="007D19D6">
      <w:pPr>
        <w:rPr>
          <w:rFonts w:cstheme="minorHAnsi"/>
          <w:noProof/>
        </w:rPr>
      </w:pPr>
      <w:r>
        <w:rPr>
          <w:noProof/>
        </w:rPr>
        <w:t>Katra Puse veic vajadzīgos pasākumus,</w:t>
      </w:r>
      <w:r>
        <w:rPr>
          <w:noProof/>
        </w:rPr>
        <w:t xml:space="preserve"> lai nodrošinātu, ka, neskarot šā pielikuma B daļas 2. iedaļas noteikumus, personas, kas veic autopārvadājumu darbības, nekādā gadījumā bez pārtraukuma nestrādā ilgāk kā sešas stundas pēc kārtas. Darba laiks jāpārtrauc vismaz uz 30 minūtēm, ja kopā ir star</w:t>
      </w:r>
      <w:r>
        <w:rPr>
          <w:noProof/>
        </w:rPr>
        <w:t xml:space="preserve">p sešām un deviņām darba stundām, un vismaz uz 45 minūtēm, ja kopā ir vairāk nekā deviņas darba stundas. </w:t>
      </w:r>
    </w:p>
    <w:p w:rsidR="003E022D" w:rsidRDefault="007D19D6">
      <w:pPr>
        <w:rPr>
          <w:rFonts w:cstheme="minorHAnsi"/>
          <w:noProof/>
        </w:rPr>
      </w:pPr>
      <w:r>
        <w:rPr>
          <w:noProof/>
        </w:rPr>
        <w:t xml:space="preserve">Pārtraukumus drīkst sadalīt laikposmos, no kuriem katrs ir vismaz 15 minūtes garš. </w:t>
      </w:r>
    </w:p>
    <w:p w:rsidR="003E022D" w:rsidRDefault="007D19D6">
      <w:pPr>
        <w:pStyle w:val="Article"/>
        <w:rPr>
          <w:rFonts w:cstheme="minorHAnsi"/>
          <w:noProof/>
        </w:rPr>
      </w:pPr>
      <w:r>
        <w:rPr>
          <w:noProof/>
        </w:rPr>
        <w:t xml:space="preserve">5. pants. Atpūtas laikposmi </w:t>
      </w:r>
    </w:p>
    <w:p w:rsidR="003E022D" w:rsidRDefault="007D19D6">
      <w:pPr>
        <w:rPr>
          <w:rFonts w:cstheme="minorHAnsi"/>
          <w:noProof/>
          <w:color w:val="000000" w:themeColor="text1"/>
        </w:rPr>
      </w:pPr>
      <w:r>
        <w:rPr>
          <w:noProof/>
          <w:color w:val="000000" w:themeColor="text1"/>
        </w:rPr>
        <w:t>Šajā iedaļā mācekļiem un praktikantie</w:t>
      </w:r>
      <w:r>
        <w:rPr>
          <w:noProof/>
          <w:color w:val="000000" w:themeColor="text1"/>
        </w:rPr>
        <w:t>m, kas strādā uzņēmumā, kurš sniedz pārvadājumu pakalpojumus, veicot kravu vai pasažieru autopārvadājumus, otras Puses teritorijā, piemēro tādus pašus noteikumus par atpūtas laikposmu kā citiem mobiliem darba ņēmējiem saskaņā ar šā pielikuma B daļas 2. ied</w:t>
      </w:r>
      <w:r>
        <w:rPr>
          <w:noProof/>
          <w:color w:val="000000" w:themeColor="text1"/>
        </w:rPr>
        <w:t xml:space="preserve">aļu.  </w:t>
      </w:r>
    </w:p>
    <w:p w:rsidR="003E022D" w:rsidRDefault="007D19D6">
      <w:pPr>
        <w:pStyle w:val="Article"/>
        <w:rPr>
          <w:rFonts w:cstheme="minorHAnsi"/>
          <w:noProof/>
        </w:rPr>
      </w:pPr>
      <w:r>
        <w:rPr>
          <w:noProof/>
        </w:rPr>
        <w:t xml:space="preserve">6. pants. Darbs naktīs </w:t>
      </w:r>
    </w:p>
    <w:p w:rsidR="003E022D" w:rsidRDefault="007D19D6">
      <w:pPr>
        <w:rPr>
          <w:rFonts w:cstheme="minorHAnsi"/>
          <w:noProof/>
        </w:rPr>
      </w:pPr>
      <w:r>
        <w:rPr>
          <w:noProof/>
        </w:rPr>
        <w:t xml:space="preserve">Katra Puse veic vajadzīgos pasākumus, lai nodrošinātu, ka: </w:t>
      </w:r>
    </w:p>
    <w:p w:rsidR="003E022D" w:rsidRDefault="007D19D6">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noProof/>
        </w:rPr>
        <w:t>veicot darbu naktīs, katras dienas darba laiks katrās 24 stundās nepārsniedz desmit stundas, un un</w:t>
      </w:r>
    </w:p>
    <w:p w:rsidR="003E022D" w:rsidRDefault="007D19D6">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noProof/>
        </w:rPr>
        <w:t>par darbu naktīs atlīdzina saskaņā ar valsts normatīvajiem un admi</w:t>
      </w:r>
      <w:r>
        <w:rPr>
          <w:rFonts w:asciiTheme="minorHAnsi" w:hAnsiTheme="minorHAnsi"/>
          <w:noProof/>
        </w:rPr>
        <w:t xml:space="preserve">nistratīvajiem aktiem, koplīgumiem, līgumiem starp darba devējiem un darba ņēmējiem un/vai valstī esošo praksi ar nosacījumu, ka šāds atlīdzinājums neapdraud ceļu satiksmes drošību. </w:t>
      </w:r>
    </w:p>
    <w:p w:rsidR="003E022D" w:rsidRDefault="007D19D6">
      <w:pPr>
        <w:pStyle w:val="Article"/>
        <w:rPr>
          <w:rFonts w:cstheme="minorHAnsi"/>
          <w:noProof/>
        </w:rPr>
      </w:pPr>
      <w:r>
        <w:rPr>
          <w:noProof/>
        </w:rPr>
        <w:t xml:space="preserve">7. pants. Atkāpes </w:t>
      </w:r>
    </w:p>
    <w:p w:rsidR="003E022D" w:rsidRDefault="007D19D6">
      <w:pPr>
        <w:rPr>
          <w:rFonts w:cstheme="minorHAnsi"/>
          <w:noProof/>
        </w:rPr>
      </w:pPr>
      <w:r>
        <w:rPr>
          <w:noProof/>
        </w:rPr>
        <w:t>1.</w:t>
      </w:r>
      <w:r>
        <w:rPr>
          <w:noProof/>
        </w:rPr>
        <w:tab/>
        <w:t>Objektīvu vai tehnisku iemeslu dēļ vai ar darba org</w:t>
      </w:r>
      <w:r>
        <w:rPr>
          <w:noProof/>
        </w:rPr>
        <w:t xml:space="preserve">anizāciju saistītu iemeslu dēļ var pieļaut atkāpes no 3. un 6. panta ar koplīgumiem, vienošanos starp sociālajiem partneriem vai, ja tas nav iespējams, ar normatīviem un administratīviem aktiem ar noteikumu, ka starp darba devēja un attiecīgo darba ņēmēju </w:t>
      </w:r>
      <w:r>
        <w:rPr>
          <w:noProof/>
        </w:rPr>
        <w:t xml:space="preserve">pārstāvjiem notiek apspriede un tiek pieliktas pūles, lai veicinātu visas attiecīgās sociālā dialoga formas. </w:t>
      </w:r>
    </w:p>
    <w:p w:rsidR="003E022D" w:rsidRDefault="007D19D6">
      <w:pPr>
        <w:rPr>
          <w:rFonts w:cstheme="minorHAnsi"/>
          <w:noProof/>
        </w:rPr>
      </w:pPr>
      <w:r>
        <w:rPr>
          <w:noProof/>
        </w:rPr>
        <w:t>2.</w:t>
      </w:r>
      <w:r>
        <w:rPr>
          <w:noProof/>
        </w:rPr>
        <w:tab/>
        <w:t>Atkāpšanās no 3. panta nedrīkst radīt to, ka vidējā maksimālā nedēļas 48 stundu darba laika aprēķināšanai nosaka references laikposmu, kas pārs</w:t>
      </w:r>
      <w:r>
        <w:rPr>
          <w:noProof/>
        </w:rPr>
        <w:t xml:space="preserve">niedz sešus mēnešus. </w:t>
      </w:r>
    </w:p>
    <w:p w:rsidR="003E022D" w:rsidRDefault="007D19D6">
      <w:pPr>
        <w:rPr>
          <w:rFonts w:cstheme="minorHAnsi"/>
          <w:noProof/>
        </w:rPr>
      </w:pPr>
      <w:r>
        <w:rPr>
          <w:noProof/>
        </w:rPr>
        <w:t>3.</w:t>
      </w:r>
      <w:r>
        <w:rPr>
          <w:noProof/>
        </w:rPr>
        <w:tab/>
        <w:t xml:space="preserve">Specializēto autotransporta komiteju informē par atkāpēm, ko Puse piemēro saskaņā ar 1. punktu. </w:t>
      </w:r>
    </w:p>
    <w:p w:rsidR="003E022D" w:rsidRDefault="007D19D6">
      <w:pPr>
        <w:pStyle w:val="Article"/>
        <w:rPr>
          <w:rFonts w:cstheme="minorHAnsi"/>
          <w:noProof/>
        </w:rPr>
      </w:pPr>
      <w:r>
        <w:rPr>
          <w:noProof/>
        </w:rPr>
        <w:t xml:space="preserve">8. pants. Informācija un dokumentācija </w:t>
      </w:r>
    </w:p>
    <w:p w:rsidR="003E022D" w:rsidRDefault="007D19D6">
      <w:pPr>
        <w:rPr>
          <w:rFonts w:cstheme="minorHAnsi"/>
          <w:noProof/>
        </w:rPr>
      </w:pPr>
      <w:r>
        <w:rPr>
          <w:noProof/>
        </w:rPr>
        <w:t xml:space="preserve">Katra Puse nodrošina, ka: </w:t>
      </w:r>
    </w:p>
    <w:p w:rsidR="003E022D" w:rsidRDefault="007D19D6">
      <w:pPr>
        <w:pStyle w:val="Point0letter"/>
        <w:numPr>
          <w:ilvl w:val="0"/>
          <w:numId w:val="893"/>
        </w:numPr>
        <w:tabs>
          <w:tab w:val="left" w:pos="851"/>
        </w:tabs>
        <w:ind w:left="851" w:hanging="851"/>
        <w:jc w:val="both"/>
        <w:rPr>
          <w:rFonts w:asciiTheme="minorHAnsi" w:hAnsiTheme="minorHAnsi" w:cstheme="minorHAnsi"/>
          <w:noProof/>
        </w:rPr>
      </w:pPr>
      <w:r>
        <w:rPr>
          <w:rFonts w:asciiTheme="minorHAnsi" w:hAnsiTheme="minorHAnsi"/>
          <w:noProof/>
        </w:rPr>
        <w:t>mobilie darba ņēmēji tiek informēti par attiecīgām valsts prasībām,</w:t>
      </w:r>
      <w:r>
        <w:rPr>
          <w:rFonts w:asciiTheme="minorHAnsi" w:hAnsiTheme="minorHAnsi"/>
          <w:noProof/>
        </w:rPr>
        <w:t xml:space="preserve"> kravu autopārvadātāja iekšējiem noteikumiem un līgumiem starp darba devējiem un darba ņēmējiem, jo īpaši koplīgumiem un jebkuriem uzņēmuma līgumiem, kas noslēgti, pamatojoties uz šo iedaļu; un</w:t>
      </w:r>
    </w:p>
    <w:p w:rsidR="003E022D" w:rsidRDefault="007D19D6">
      <w:pPr>
        <w:pStyle w:val="Point0letter"/>
        <w:numPr>
          <w:ilvl w:val="0"/>
          <w:numId w:val="893"/>
        </w:numPr>
        <w:tabs>
          <w:tab w:val="left" w:pos="851"/>
        </w:tabs>
        <w:ind w:left="851" w:hanging="851"/>
        <w:jc w:val="both"/>
        <w:rPr>
          <w:rFonts w:asciiTheme="minorHAnsi" w:hAnsiTheme="minorHAnsi" w:cstheme="minorHAnsi"/>
          <w:noProof/>
        </w:rPr>
      </w:pPr>
      <w:r>
        <w:rPr>
          <w:rFonts w:asciiTheme="minorHAnsi" w:hAnsiTheme="minorHAnsi"/>
          <w:noProof/>
        </w:rPr>
        <w:t>tiek reģistrēts to personu darba laiks, kuras veic autopārvadā</w:t>
      </w:r>
      <w:r>
        <w:rPr>
          <w:rFonts w:asciiTheme="minorHAnsi" w:hAnsiTheme="minorHAnsi"/>
          <w:noProof/>
        </w:rPr>
        <w:t>jumu darbības. Dokumentāciju glabā vismaz divus gadus pēc attiecīgā laikposma beigām. Darba devēji atbild par mobilo darba ņēmēju darba laika reģistrēšanu. Darba devēji pēc pieprasījuma izsniedz mobilajiem darba ņēmējiem nostrādāto stundu reģistra kopijas.</w:t>
      </w:r>
      <w:r>
        <w:rPr>
          <w:rFonts w:asciiTheme="minorHAnsi" w:hAnsiTheme="minorHAnsi"/>
          <w:noProof/>
        </w:rPr>
        <w:t xml:space="preserve"> </w:t>
      </w:r>
    </w:p>
    <w:p w:rsidR="003E022D" w:rsidRDefault="007D19D6">
      <w:pPr>
        <w:pStyle w:val="Article"/>
        <w:rPr>
          <w:rFonts w:cstheme="minorHAnsi"/>
          <w:noProof/>
        </w:rPr>
      </w:pPr>
      <w:r>
        <w:rPr>
          <w:noProof/>
        </w:rPr>
        <w:t xml:space="preserve">9. pants. Labvēlīgāki noteikumi </w:t>
      </w:r>
    </w:p>
    <w:p w:rsidR="003E022D" w:rsidRDefault="007D19D6">
      <w:pPr>
        <w:rPr>
          <w:rFonts w:cstheme="minorHAnsi"/>
          <w:noProof/>
        </w:rPr>
      </w:pPr>
      <w:r>
        <w:rPr>
          <w:noProof/>
        </w:rPr>
        <w:t>Šī iedaļa neskar katras Puses tiesības piemērot vai ieviest normatīvus un administratīvus aktus, kas ir labvēlīgāki tādu personu veselības un drošības aizsardzībai, kuras veic autopārvadājumu darbības, vai tiesības veicin</w:t>
      </w:r>
      <w:r>
        <w:rPr>
          <w:noProof/>
        </w:rPr>
        <w:t>āt vai atļaut piemērot koplīgumus vai citus līgumus starp darba devējiem un darba ņēmējiem, kas ir labvēlīgāki attiecībā uz mobilu darba ņēmēju veselības un drošības aizsardzību. Minētos noteikumus piemēro nediskriminējošā veidā.</w:t>
      </w:r>
    </w:p>
    <w:p w:rsidR="003E022D" w:rsidRDefault="007D19D6">
      <w:pPr>
        <w:rPr>
          <w:rFonts w:cstheme="minorHAnsi"/>
          <w:b/>
          <w:noProof/>
          <w:sz w:val="28"/>
        </w:rPr>
      </w:pPr>
      <w:r>
        <w:rPr>
          <w:noProof/>
        </w:rPr>
        <w:br w:type="page"/>
      </w:r>
    </w:p>
    <w:p w:rsidR="003E022D" w:rsidRDefault="003E022D">
      <w:pPr>
        <w:rPr>
          <w:rFonts w:cstheme="minorHAnsi"/>
          <w:noProof/>
        </w:rPr>
      </w:pPr>
    </w:p>
    <w:p w:rsidR="003E022D" w:rsidRDefault="007D19D6">
      <w:pPr>
        <w:pStyle w:val="Section"/>
        <w:rPr>
          <w:rFonts w:cstheme="minorHAnsi"/>
          <w:noProof/>
        </w:rPr>
      </w:pPr>
      <w:r>
        <w:rPr>
          <w:noProof/>
        </w:rPr>
        <w:t xml:space="preserve">4. iedaļa. Tahogrāfu </w:t>
      </w:r>
      <w:r>
        <w:rPr>
          <w:noProof/>
        </w:rPr>
        <w:t>izmantošana transportlīdzekļa vadītājiem</w:t>
      </w:r>
      <w:r>
        <w:rPr>
          <w:b/>
          <w:noProof/>
        </w:rPr>
        <w:t xml:space="preserve"> </w:t>
      </w:r>
    </w:p>
    <w:p w:rsidR="003E022D" w:rsidRDefault="007D19D6">
      <w:pPr>
        <w:pStyle w:val="Article"/>
        <w:rPr>
          <w:rFonts w:cstheme="minorHAnsi"/>
          <w:noProof/>
        </w:rPr>
      </w:pPr>
      <w:r>
        <w:rPr>
          <w:noProof/>
        </w:rPr>
        <w:t>1. pants. Priekšmets un principi</w:t>
      </w:r>
      <w:r>
        <w:rPr>
          <w:b/>
          <w:noProof/>
        </w:rPr>
        <w:t xml:space="preserve"> </w:t>
      </w:r>
    </w:p>
    <w:p w:rsidR="003E022D" w:rsidRDefault="007D19D6">
      <w:pPr>
        <w:rPr>
          <w:rFonts w:cstheme="minorHAnsi"/>
          <w:noProof/>
        </w:rPr>
      </w:pPr>
      <w:r>
        <w:rPr>
          <w:noProof/>
        </w:rPr>
        <w:t>Šajā iedaļā ir noteiktas prasības transportlīdzekļa vadītājiem, uz kuriem attiecas B daļas 2. iedaļa, attiecībā uz šā nolīguma ROAD.7. panta 1. punkta b) apakšpunktā minēto tahogrā</w:t>
      </w:r>
      <w:r>
        <w:rPr>
          <w:noProof/>
        </w:rPr>
        <w:t xml:space="preserve">fu izmantošanu. </w:t>
      </w:r>
    </w:p>
    <w:p w:rsidR="003E022D" w:rsidRDefault="007D19D6">
      <w:pPr>
        <w:pStyle w:val="Article"/>
        <w:rPr>
          <w:rFonts w:cstheme="minorHAnsi"/>
          <w:noProof/>
        </w:rPr>
      </w:pPr>
      <w:r>
        <w:rPr>
          <w:noProof/>
        </w:rPr>
        <w:t>2. pants. Definīcijas</w:t>
      </w:r>
      <w:r>
        <w:rPr>
          <w:b/>
          <w:noProof/>
        </w:rPr>
        <w:t xml:space="preserve"> </w:t>
      </w:r>
    </w:p>
    <w:p w:rsidR="003E022D" w:rsidRDefault="007D19D6">
      <w:pPr>
        <w:rPr>
          <w:rFonts w:cstheme="minorHAnsi"/>
          <w:noProof/>
        </w:rPr>
      </w:pPr>
      <w:r>
        <w:rPr>
          <w:noProof/>
        </w:rPr>
        <w:t xml:space="preserve">Šajā iedaļā piemēro B daļas 2. iedaļas 2. pantā izklāstītās definīcijas. </w:t>
      </w:r>
    </w:p>
    <w:p w:rsidR="003E022D" w:rsidRDefault="007D19D6">
      <w:pPr>
        <w:rPr>
          <w:rFonts w:cstheme="minorHAnsi"/>
          <w:noProof/>
        </w:rPr>
      </w:pPr>
      <w:r>
        <w:rPr>
          <w:noProof/>
        </w:rPr>
        <w:t xml:space="preserve">Papildus 1. punktā minētajām definīcijām šajā iedaļā piemēro šādas definīcijas: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“tahogrāfs” jeb “reģistrācijas kontrolierīce” ir ierīce, kas </w:t>
      </w:r>
      <w:r>
        <w:rPr>
          <w:rFonts w:asciiTheme="minorHAnsi" w:hAnsiTheme="minorHAnsi"/>
          <w:noProof/>
        </w:rPr>
        <w:t xml:space="preserve">paredzēta uzstādīšanai autotransporta līdzekļos, lai automātiski vai pusautomātiski attēlotu, reģistrētu, drukātu, saglabātu un izvadītu datus par šādu transportlīdzekļu kustību, tostarp to ātrumu, un ziņas par konkrētiem to vadītāju darbības laikposmiem; </w:t>
      </w:r>
      <w:r>
        <w:rPr>
          <w:rFonts w:asciiTheme="minorHAnsi" w:hAnsiTheme="minorHAnsi"/>
          <w:noProof/>
        </w:rPr>
        <w:t xml:space="preserve">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“reģistrācijas diagramma” ir diagramma, kas paredzēta reģistrēto datu atzīmēšanai un saglabāšanai un ko ievieto analogajā tahogrāfā, kura marķēšanas ierīces nepārtraukti pieraksta reģistrējamo informāciju;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 “tahogrāfa karte” ir viedkarte, kas paredzēta </w:t>
      </w:r>
      <w:r>
        <w:rPr>
          <w:rFonts w:asciiTheme="minorHAnsi" w:hAnsiTheme="minorHAnsi"/>
          <w:noProof/>
        </w:rPr>
        <w:t xml:space="preserve">lietošanai kopā ar tahogrāfu; tā ļauj tahogrāfam identificēt kartes turētāja funkciju un ļauj pārsūtīt un uzglabāt datus;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“vadītāja karte” ir tahogrāfa karte, kuru Puses kompetentās iestādes ir izdevušas konkrētam transportlīdzekļa vadītājam; tā identifi</w:t>
      </w:r>
      <w:r>
        <w:rPr>
          <w:rFonts w:asciiTheme="minorHAnsi" w:hAnsiTheme="minorHAnsi"/>
          <w:noProof/>
        </w:rPr>
        <w:t xml:space="preserve">cē vadītāju un ļauj saglabāt datus par vadītāja darbību;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noProof/>
        </w:rPr>
        <w:t>“analogais tahogrāfs” ir tahogrāfs, kas atbilst specifikācijām Padomes Regulas (EEK) Nr. 3821/85</w:t>
      </w:r>
      <w:r>
        <w:rPr>
          <w:rStyle w:val="FootnoteReference"/>
          <w:rFonts w:cstheme="minorHAnsi"/>
          <w:noProof/>
        </w:rPr>
        <w:footnoteReference w:id="127"/>
      </w:r>
      <w:r>
        <w:rPr>
          <w:noProof/>
        </w:rPr>
        <w:t xml:space="preserve"> I pielikumā, kas pielāgots ar ROAD.B.4.1. papildinājumu;</w:t>
      </w:r>
      <w:r>
        <w:rPr>
          <w:rFonts w:asciiTheme="minorHAnsi" w:hAnsiTheme="minorHAnsi"/>
          <w:noProof/>
        </w:rPr>
        <w:t xml:space="preserve">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“digitālais tahogrāfs” ir tahogrāfs, kas </w:t>
      </w:r>
      <w:r>
        <w:rPr>
          <w:rFonts w:asciiTheme="minorHAnsi" w:hAnsiTheme="minorHAnsi"/>
          <w:noProof/>
        </w:rPr>
        <w:t xml:space="preserve">atbilst vienam no šādiem specifikāciju kopumiem, kas pielāgoti ar ROAD.B.4.2. papildinājumu:  </w:t>
      </w:r>
    </w:p>
    <w:p w:rsidR="003E022D" w:rsidRDefault="007D19D6">
      <w:pPr>
        <w:pStyle w:val="ListParagraph"/>
        <w:numPr>
          <w:ilvl w:val="0"/>
          <w:numId w:val="895"/>
        </w:numPr>
        <w:spacing w:after="160" w:line="254" w:lineRule="auto"/>
        <w:rPr>
          <w:rFonts w:cstheme="minorHAnsi"/>
          <w:noProof/>
        </w:rPr>
      </w:pPr>
      <w:r>
        <w:rPr>
          <w:noProof/>
        </w:rPr>
        <w:t xml:space="preserve">Padomes Regulas (EEK) Nr. 3821/85 IB pielikums (piemēro līdz 2011. gada 30. septembrim);  </w:t>
      </w:r>
    </w:p>
    <w:p w:rsidR="003E022D" w:rsidRDefault="007D19D6">
      <w:pPr>
        <w:pStyle w:val="ListParagraph"/>
        <w:numPr>
          <w:ilvl w:val="0"/>
          <w:numId w:val="895"/>
        </w:numPr>
        <w:spacing w:after="160" w:line="254" w:lineRule="auto"/>
        <w:rPr>
          <w:rFonts w:cstheme="minorHAnsi"/>
          <w:noProof/>
        </w:rPr>
      </w:pPr>
      <w:r>
        <w:rPr>
          <w:noProof/>
        </w:rPr>
        <w:t xml:space="preserve">Padomes Regulas (EEK) Nr. 3821/85 IB pielikums (piemēro no 2011. gada </w:t>
      </w:r>
      <w:r>
        <w:rPr>
          <w:noProof/>
        </w:rPr>
        <w:t>1. oktobra); vai</w:t>
      </w:r>
    </w:p>
    <w:p w:rsidR="003E022D" w:rsidRDefault="007D19D6">
      <w:pPr>
        <w:pStyle w:val="ListParagraph"/>
        <w:numPr>
          <w:ilvl w:val="0"/>
          <w:numId w:val="895"/>
        </w:numPr>
        <w:spacing w:after="160" w:line="254" w:lineRule="auto"/>
        <w:rPr>
          <w:rFonts w:cstheme="minorHAnsi"/>
          <w:noProof/>
        </w:rPr>
      </w:pPr>
      <w:r>
        <w:rPr>
          <w:noProof/>
        </w:rPr>
        <w:t xml:space="preserve">Padomes Regulas (EEK) Nr. 3821/85 IB pielikums (piemēro no 2012. gada 1. oktobra);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“viedais tahogrāfs 1” ir tahogrāfs, kas atbilst Komisijas Īstenošanas regulas (ES) 2016/799 I.C pielikumam (piemēro no 2019. gada 15. jūnija), kas pielāgot</w:t>
      </w:r>
      <w:r>
        <w:rPr>
          <w:rFonts w:asciiTheme="minorHAnsi" w:hAnsiTheme="minorHAnsi"/>
          <w:noProof/>
        </w:rPr>
        <w:t xml:space="preserve">s ar ROAD.B.4.3. papildinājumu;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“viedais tahogrāfs 2” ir tahogrāfs, kas atbilst šādām prasībām:  </w:t>
      </w:r>
    </w:p>
    <w:p w:rsidR="003E022D" w:rsidRDefault="007D19D6">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robežšķērsošanas automātiska reģistrēšana; </w:t>
      </w:r>
    </w:p>
    <w:p w:rsidR="003E022D" w:rsidRDefault="007D19D6">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iekraušanas un izkraušanas darbību reģistrēšana; </w:t>
      </w:r>
    </w:p>
    <w:p w:rsidR="003E022D" w:rsidRDefault="007D19D6">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reģistrēšana, vai transportlīdzekli izmanto kravu vai pasažieru pārvadāšanai; un </w:t>
      </w:r>
    </w:p>
    <w:p w:rsidR="003E022D" w:rsidRDefault="007D19D6">
      <w:pPr>
        <w:pStyle w:val="Point0letter"/>
        <w:numPr>
          <w:ilvl w:val="0"/>
          <w:numId w:val="895"/>
        </w:numPr>
        <w:tabs>
          <w:tab w:val="left" w:pos="851"/>
        </w:tabs>
        <w:jc w:val="both"/>
        <w:rPr>
          <w:rFonts w:asciiTheme="minorHAnsi" w:hAnsiTheme="minorHAnsi" w:cstheme="minorHAnsi"/>
          <w:noProof/>
        </w:rPr>
      </w:pPr>
      <w:r>
        <w:rPr>
          <w:noProof/>
        </w:rPr>
        <w:t>un specifikācijām, kuras jāizklāsta īstenošanas aktos, kuri minēti 11. panta pirmajā daļā Regulā (ES) Nr. 165/2014</w:t>
      </w:r>
      <w:r>
        <w:rPr>
          <w:rStyle w:val="FootnoteReference"/>
          <w:rFonts w:cstheme="minorHAnsi"/>
          <w:noProof/>
        </w:rPr>
        <w:footnoteReference w:id="128"/>
      </w:r>
      <w:r>
        <w:rPr>
          <w:noProof/>
        </w:rPr>
        <w:t>, kas pielāgota ar Specializētās autotransporta komitejas l</w:t>
      </w:r>
      <w:r>
        <w:rPr>
          <w:noProof/>
        </w:rPr>
        <w:t>ēmumu;</w:t>
      </w:r>
      <w:r>
        <w:rPr>
          <w:rFonts w:asciiTheme="minorHAnsi" w:hAnsiTheme="minorHAnsi"/>
          <w:noProof/>
        </w:rPr>
        <w:t xml:space="preserve">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“notikums” ir digitālā tahogrāfa konstatēta anomāla darbība, kas var būt datu viltošanas mēģinājuma rezultāts; </w:t>
      </w:r>
    </w:p>
    <w:p w:rsidR="003E022D" w:rsidRDefault="007D19D6">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“nederīga karte” ir karte, kas konstatēta kā bojāta vai kurai nav izdevies veikt sākotnējo autentificēšanu, vai kurai nav sācies vai ir </w:t>
      </w:r>
      <w:r>
        <w:rPr>
          <w:rFonts w:asciiTheme="minorHAnsi" w:hAnsiTheme="minorHAnsi"/>
          <w:noProof/>
        </w:rPr>
        <w:t xml:space="preserve">beidzies derīguma termiņš. </w:t>
      </w:r>
    </w:p>
    <w:p w:rsidR="003E022D" w:rsidRDefault="007D19D6">
      <w:pPr>
        <w:pStyle w:val="Article"/>
        <w:rPr>
          <w:rFonts w:cstheme="minorHAnsi"/>
          <w:noProof/>
        </w:rPr>
      </w:pPr>
      <w:r>
        <w:rPr>
          <w:noProof/>
        </w:rPr>
        <w:t xml:space="preserve">3. pants. Vadītāja karšu lietošana </w:t>
      </w:r>
    </w:p>
    <w:p w:rsidR="003E022D" w:rsidRDefault="007D19D6">
      <w:pPr>
        <w:rPr>
          <w:rFonts w:cstheme="minorHAnsi"/>
          <w:noProof/>
        </w:rPr>
      </w:pPr>
      <w:r>
        <w:rPr>
          <w:noProof/>
        </w:rPr>
        <w:t>1.</w:t>
      </w:r>
      <w:r>
        <w:rPr>
          <w:noProof/>
        </w:rPr>
        <w:tab/>
        <w:t xml:space="preserve">Vadītāja karti izdod konkrētai personai. </w:t>
      </w:r>
    </w:p>
    <w:p w:rsidR="003E022D" w:rsidRDefault="007D19D6">
      <w:pPr>
        <w:rPr>
          <w:rFonts w:cstheme="minorHAnsi"/>
          <w:noProof/>
        </w:rPr>
      </w:pPr>
      <w:r>
        <w:rPr>
          <w:noProof/>
        </w:rPr>
        <w:t>2.</w:t>
      </w:r>
      <w:r>
        <w:rPr>
          <w:noProof/>
        </w:rPr>
        <w:tab/>
        <w:t>Transportlīdzekļa vadītājam var būt tikai viena derīga vadītāja karte, un viņam ir atļauts izmantot vienīgi savu personalizēto vadītāja karti. T</w:t>
      </w:r>
      <w:r>
        <w:rPr>
          <w:noProof/>
        </w:rPr>
        <w:t xml:space="preserve">ransportlīdzekļa vadītājs neizmanto bojātu vadītāja karti vai karti, kuras derīguma termiņš ir beidzies. </w:t>
      </w:r>
    </w:p>
    <w:p w:rsidR="003E022D" w:rsidRDefault="007D19D6">
      <w:pPr>
        <w:pStyle w:val="Article"/>
        <w:rPr>
          <w:rFonts w:cstheme="minorHAnsi"/>
          <w:noProof/>
        </w:rPr>
      </w:pPr>
      <w:r>
        <w:rPr>
          <w:noProof/>
        </w:rPr>
        <w:t xml:space="preserve">4. pants. Vadītāja karšu izdošana </w:t>
      </w:r>
    </w:p>
    <w:p w:rsidR="003E022D" w:rsidRDefault="007D19D6">
      <w:pPr>
        <w:rPr>
          <w:rFonts w:cstheme="minorHAnsi"/>
          <w:noProof/>
        </w:rPr>
      </w:pPr>
      <w:r>
        <w:rPr>
          <w:noProof/>
        </w:rPr>
        <w:t>1.</w:t>
      </w:r>
      <w:r>
        <w:rPr>
          <w:noProof/>
        </w:rPr>
        <w:tab/>
        <w:t>Vadītāja kartes pieprasa tās Puses kompetentajai iestādei, kurā ir transportlīdzekļa vadītāja parastā dzīvesviet</w:t>
      </w:r>
      <w:r>
        <w:rPr>
          <w:noProof/>
        </w:rPr>
        <w:t xml:space="preserve">a.  </w:t>
      </w:r>
    </w:p>
    <w:p w:rsidR="003E022D" w:rsidRDefault="007D19D6">
      <w:pPr>
        <w:rPr>
          <w:rFonts w:cstheme="minorHAnsi"/>
          <w:noProof/>
        </w:rPr>
      </w:pPr>
      <w:r>
        <w:rPr>
          <w:noProof/>
        </w:rPr>
        <w:t>2.</w:t>
      </w:r>
      <w:r>
        <w:rPr>
          <w:noProof/>
        </w:rPr>
        <w:tab/>
        <w:t>Šā panta nolūkos “parastā dzīvesvieta” ir vieta, kurā persona parasti dzīvo, t. i., katrā kalendāra gadā vismaz 185 dienas, personisku vai profesionālu saistību dēļ vai, ja personai nav profesionālo saistību, ciešas personiskas saiknes dēļ starp mi</w:t>
      </w:r>
      <w:r>
        <w:rPr>
          <w:noProof/>
        </w:rPr>
        <w:t xml:space="preserve">nēto personu un vietu, kur tā dzīvo. </w:t>
      </w:r>
    </w:p>
    <w:p w:rsidR="003E022D" w:rsidRDefault="007D19D6">
      <w:pPr>
        <w:rPr>
          <w:rFonts w:cstheme="minorHAnsi"/>
          <w:noProof/>
        </w:rPr>
      </w:pPr>
      <w:r>
        <w:rPr>
          <w:noProof/>
        </w:rPr>
        <w:t>Tomēr personai, kuras profesionālās saistības un privātās saiknes ir atšķirīgās vietās un kurai tādēļ pārmaiņus nākas uzturēties dažādās vietās, kas atrodas abās Pusēs, par parasto dzīvesvietu uzskata to vietu, ar kuru</w:t>
      </w:r>
      <w:r>
        <w:rPr>
          <w:noProof/>
        </w:rPr>
        <w:t xml:space="preserve"> tai ir personiska saikne, ar noteikumu, ka šāda persona tur regulāri atgriežas. Šis pēdējais nosacījums nav jāievēro, ja persona noteiktu laiku dzīvo Pusē kāda uzdevuma veikšanai noteiktā termiņā. </w:t>
      </w:r>
    </w:p>
    <w:p w:rsidR="003E022D" w:rsidRDefault="007D19D6">
      <w:pPr>
        <w:rPr>
          <w:rFonts w:cstheme="minorHAnsi"/>
          <w:noProof/>
        </w:rPr>
      </w:pPr>
      <w:r>
        <w:rPr>
          <w:noProof/>
        </w:rPr>
        <w:t>3.</w:t>
      </w:r>
      <w:r>
        <w:rPr>
          <w:noProof/>
        </w:rPr>
        <w:tab/>
        <w:t>Transportlīdzekļa vadītāji apliecina savu parasto dzīv</w:t>
      </w:r>
      <w:r>
        <w:rPr>
          <w:noProof/>
        </w:rPr>
        <w:t xml:space="preserve">esvietu, izmantojot jebkuru atbilstīgu līdzekli, piemēram, personas apliecību vai kādu citu derīgu dokumentu. </w:t>
      </w:r>
    </w:p>
    <w:p w:rsidR="003E022D" w:rsidRDefault="007D19D6">
      <w:pPr>
        <w:pStyle w:val="Article"/>
        <w:rPr>
          <w:rFonts w:cstheme="minorHAnsi"/>
          <w:noProof/>
        </w:rPr>
      </w:pPr>
      <w:r>
        <w:rPr>
          <w:noProof/>
        </w:rPr>
        <w:t xml:space="preserve">5. pants. Vadītāja karšu atjaunošana </w:t>
      </w:r>
    </w:p>
    <w:p w:rsidR="003E022D" w:rsidRDefault="007D19D6">
      <w:pPr>
        <w:rPr>
          <w:rFonts w:cstheme="minorHAnsi"/>
          <w:noProof/>
        </w:rPr>
      </w:pPr>
      <w:r>
        <w:rPr>
          <w:noProof/>
        </w:rPr>
        <w:t>Ja transportlīdzekļa vadītājs vēlas atjaunot savu vadītāja karti, viņš ne vēlāk kā 15 darba dienas pirms ka</w:t>
      </w:r>
      <w:r>
        <w:rPr>
          <w:noProof/>
        </w:rPr>
        <w:t xml:space="preserve">rtes derīguma termiņa beigām iesniedz pieteikumu savas parastās dzīvesvietas Puses kompetentajām iestādēm. </w:t>
      </w:r>
    </w:p>
    <w:p w:rsidR="003E022D" w:rsidRDefault="007D19D6">
      <w:pPr>
        <w:pStyle w:val="Article"/>
        <w:rPr>
          <w:rFonts w:cstheme="minorHAnsi"/>
          <w:noProof/>
        </w:rPr>
      </w:pPr>
      <w:r>
        <w:rPr>
          <w:noProof/>
        </w:rPr>
        <w:t xml:space="preserve">6. pants. Vadītāja karšu un reģistrācijas diagrammu izmantošana </w:t>
      </w:r>
    </w:p>
    <w:p w:rsidR="003E022D" w:rsidRDefault="007D19D6">
      <w:pPr>
        <w:rPr>
          <w:rFonts w:cstheme="minorHAnsi"/>
          <w:noProof/>
        </w:rPr>
      </w:pPr>
      <w:r>
        <w:rPr>
          <w:noProof/>
        </w:rPr>
        <w:t>1.</w:t>
      </w:r>
      <w:r>
        <w:rPr>
          <w:noProof/>
        </w:rPr>
        <w:tab/>
      </w:r>
      <w:r>
        <w:rPr>
          <w:noProof/>
        </w:rPr>
        <w:t>Transportlīdzekļa vadītāji izmanto datu reģistrācijas diagrammas vai vadītāja kartes katru dienu, kad tie vada transportlīdzekli, sākot no brīža, kad tie saņem transportlīdzekli. Reģistrācijas diagrammu vai vadītāja karti neizņem pirms ikdienas darba laikp</w:t>
      </w:r>
      <w:r>
        <w:rPr>
          <w:noProof/>
        </w:rPr>
        <w:t>osma beigām, izņemot gadījumus, kad to atļauts darīt kāda cita iemesla dēļ vai kad tas nepieciešams, lai ievadītu valsts simbolu pēc robežas šķērsošanas. Nevienu reģistrācijas diagrammu vai vadītāja karti nedrīkst izmantot ilgāk par laikposmu, kādam tā par</w:t>
      </w:r>
      <w:r>
        <w:rPr>
          <w:noProof/>
        </w:rPr>
        <w:t xml:space="preserve">edzēta.  </w:t>
      </w:r>
    </w:p>
    <w:p w:rsidR="003E022D" w:rsidRDefault="007D19D6">
      <w:pPr>
        <w:rPr>
          <w:rFonts w:cstheme="minorHAnsi"/>
          <w:noProof/>
        </w:rPr>
      </w:pPr>
      <w:r>
        <w:rPr>
          <w:noProof/>
        </w:rPr>
        <w:t>2.</w:t>
      </w:r>
      <w:r>
        <w:rPr>
          <w:noProof/>
        </w:rPr>
        <w:tab/>
        <w:t>Transportlīdzekļa vadītāji pienācīgi aizsargā reģistrācijas diagrammas vai vadītāja kartes un neizmanto netīras vai bojātas reģistrācijas diagrammas vai vadītāja kartes. Transportlīdzekļa vadītājs nodrošina, lai, ņemot vērā darba laikposma ilg</w:t>
      </w:r>
      <w:r>
        <w:rPr>
          <w:noProof/>
        </w:rPr>
        <w:t xml:space="preserve">umu, inspekcijas gadījumā pēc kontroliera pieprasījuma var pareizi izdrukāt datus no tahogrāfa. </w:t>
      </w:r>
    </w:p>
    <w:p w:rsidR="003E022D" w:rsidRDefault="007D19D6">
      <w:pPr>
        <w:rPr>
          <w:rFonts w:cstheme="minorHAnsi"/>
          <w:noProof/>
        </w:rPr>
      </w:pPr>
      <w:r>
        <w:rPr>
          <w:noProof/>
        </w:rPr>
        <w:t>3.</w:t>
      </w:r>
      <w:r>
        <w:rPr>
          <w:noProof/>
        </w:rPr>
        <w:tab/>
        <w:t>Ja transportlīdzekļa vadītājs prombūtnes dēļ nevar izmantot tahogrāfu, kas uzstādīts transportlīdzeklī, tad 5. punkta b) apakšpunkta ii), iii) un iv) punktā</w:t>
      </w:r>
      <w:r>
        <w:rPr>
          <w:noProof/>
        </w:rPr>
        <w:t xml:space="preserve"> minētos laikposmus: </w:t>
      </w:r>
    </w:p>
    <w:p w:rsidR="003E022D" w:rsidRDefault="007D19D6">
      <w:pPr>
        <w:pStyle w:val="Point0letter"/>
        <w:numPr>
          <w:ilvl w:val="0"/>
          <w:numId w:val="896"/>
        </w:numPr>
        <w:tabs>
          <w:tab w:val="left" w:pos="851"/>
        </w:tabs>
        <w:ind w:left="851" w:hanging="851"/>
        <w:jc w:val="both"/>
        <w:rPr>
          <w:rFonts w:asciiTheme="minorHAnsi" w:hAnsiTheme="minorHAnsi" w:cstheme="minorHAnsi"/>
          <w:noProof/>
        </w:rPr>
      </w:pPr>
      <w:r>
        <w:rPr>
          <w:rFonts w:asciiTheme="minorHAnsi" w:hAnsiTheme="minorHAnsi"/>
          <w:noProof/>
        </w:rPr>
        <w:t>ja transportlīdzeklī ir uzstādīts analogais tahogrāfs, – ievada reģistrācijas diagrammā vai nu manuāli, vai izmantojot automātisko reģistrēšanas ierīci, vai ar citu līdzekļu palīdzību, salasāmi un nenosmērējot reģistrācijas diagrammu;</w:t>
      </w:r>
      <w:r>
        <w:rPr>
          <w:rFonts w:asciiTheme="minorHAnsi" w:hAnsiTheme="minorHAnsi"/>
          <w:noProof/>
        </w:rPr>
        <w:t xml:space="preserve"> vai </w:t>
      </w:r>
    </w:p>
    <w:p w:rsidR="003E022D" w:rsidRDefault="007D19D6">
      <w:pPr>
        <w:pStyle w:val="Point0letter"/>
        <w:numPr>
          <w:ilvl w:val="0"/>
          <w:numId w:val="896"/>
        </w:numPr>
        <w:tabs>
          <w:tab w:val="left" w:pos="851"/>
        </w:tabs>
        <w:ind w:left="851" w:hanging="851"/>
        <w:jc w:val="both"/>
        <w:rPr>
          <w:rFonts w:asciiTheme="minorHAnsi" w:hAnsiTheme="minorHAnsi" w:cstheme="minorHAnsi"/>
          <w:noProof/>
        </w:rPr>
      </w:pPr>
      <w:r>
        <w:rPr>
          <w:rFonts w:asciiTheme="minorHAnsi" w:hAnsiTheme="minorHAnsi"/>
          <w:noProof/>
        </w:rPr>
        <w:t xml:space="preserve">ja transportlīdzeklī ir uzstādīts digitālais tahogrāfs, viedais tahogrāfs 1 vai viedais tahogrāfs 2, – ievada transportlīdzekļa vadītāja kartē, izmantojot manuālā ieraksta iespējas, kas ir tahogrāfam. </w:t>
      </w:r>
    </w:p>
    <w:p w:rsidR="003E022D" w:rsidRDefault="007D19D6">
      <w:pPr>
        <w:rPr>
          <w:rFonts w:cstheme="minorHAnsi"/>
          <w:noProof/>
        </w:rPr>
      </w:pPr>
      <w:r>
        <w:rPr>
          <w:noProof/>
        </w:rPr>
        <w:t>Katra Puse transportlīdzekļa vadītājiem neuzliek</w:t>
      </w:r>
      <w:r>
        <w:rPr>
          <w:noProof/>
        </w:rPr>
        <w:t xml:space="preserve"> pienākumu iesniegt veidlapas, kas apliecina viņu darbības tikmēr, kamēr transportlīdzekļa vadītājs neatrodas transportlīdzeklī. </w:t>
      </w:r>
    </w:p>
    <w:p w:rsidR="003E022D" w:rsidRDefault="007D19D6">
      <w:pPr>
        <w:rPr>
          <w:rFonts w:cstheme="minorHAnsi"/>
          <w:noProof/>
        </w:rPr>
      </w:pPr>
      <w:r>
        <w:rPr>
          <w:noProof/>
        </w:rPr>
        <w:t>4.</w:t>
      </w:r>
      <w:r>
        <w:rPr>
          <w:noProof/>
        </w:rPr>
        <w:tab/>
      </w:r>
      <w:r>
        <w:rPr>
          <w:noProof/>
        </w:rPr>
        <w:t>Ja transportlīdzeklī, kurā uzstādīts digitālais tahogrāfs, viedais tahogrāfs 1 vai viedais tahogrāfs 2, atrodas vairāk par vienu transportlīdzekļa vadītāju, katrs transportlīdzekļa vadītājs nodrošina, lai viņa vadītāja karte būtu ievietota pareizajā tahogr</w:t>
      </w:r>
      <w:r>
        <w:rPr>
          <w:noProof/>
        </w:rPr>
        <w:t xml:space="preserve">āfa spraugā. </w:t>
      </w:r>
    </w:p>
    <w:p w:rsidR="003E022D" w:rsidRDefault="007D19D6">
      <w:pPr>
        <w:rPr>
          <w:rFonts w:cstheme="minorHAnsi"/>
          <w:noProof/>
        </w:rPr>
      </w:pPr>
      <w:r>
        <w:rPr>
          <w:noProof/>
        </w:rPr>
        <w:t>Ja transportlīdzeklī, kurā uzstādīts analogais tahogrāfs, ir vairāk par vienu transportlīdzekļa vadītāju, viņi reģistrācijas diagrammas pēc vajadzības nomaina tā, lai attiecīgā informācija tiktu reģistrēta tā transportlīdzekļa vadītāja reģist</w:t>
      </w:r>
      <w:r>
        <w:rPr>
          <w:noProof/>
        </w:rPr>
        <w:t xml:space="preserve">rācijas diagrammā, kas faktiski vada transportlīdzekli. </w:t>
      </w:r>
    </w:p>
    <w:p w:rsidR="003E022D" w:rsidRDefault="007D19D6">
      <w:pPr>
        <w:rPr>
          <w:rFonts w:cstheme="minorHAnsi"/>
          <w:noProof/>
        </w:rPr>
      </w:pPr>
      <w:r>
        <w:rPr>
          <w:noProof/>
        </w:rPr>
        <w:t>5.</w:t>
      </w:r>
      <w:r>
        <w:rPr>
          <w:noProof/>
        </w:rPr>
        <w:tab/>
        <w:t xml:space="preserve">Transportlīdzekļa vadītāji: </w:t>
      </w:r>
    </w:p>
    <w:p w:rsidR="003E022D" w:rsidRDefault="007D19D6">
      <w:pPr>
        <w:pStyle w:val="ListParagraph"/>
        <w:numPr>
          <w:ilvl w:val="1"/>
          <w:numId w:val="866"/>
        </w:numPr>
        <w:tabs>
          <w:tab w:val="num" w:pos="720"/>
        </w:tabs>
        <w:spacing w:after="160" w:line="254" w:lineRule="auto"/>
        <w:ind w:left="720" w:hanging="720"/>
        <w:rPr>
          <w:rFonts w:cstheme="minorHAnsi"/>
          <w:noProof/>
        </w:rPr>
      </w:pPr>
      <w:r>
        <w:rPr>
          <w:noProof/>
        </w:rPr>
        <w:t xml:space="preserve">nodrošina, lai reģistrācijas diagrammā reģistrētais laiks atbilstu tās valsts pulksteņa laikam, kurā transportlīdzeklis reģistrēts; </w:t>
      </w:r>
    </w:p>
    <w:p w:rsidR="003E022D" w:rsidRDefault="007D19D6">
      <w:pPr>
        <w:pStyle w:val="ListParagraph"/>
        <w:numPr>
          <w:ilvl w:val="1"/>
          <w:numId w:val="866"/>
        </w:numPr>
        <w:tabs>
          <w:tab w:val="num" w:pos="720"/>
        </w:tabs>
        <w:spacing w:after="160" w:line="254" w:lineRule="auto"/>
        <w:ind w:left="720" w:hanging="720"/>
        <w:rPr>
          <w:rFonts w:cstheme="minorHAnsi"/>
          <w:noProof/>
        </w:rPr>
      </w:pPr>
      <w:r>
        <w:rPr>
          <w:noProof/>
        </w:rPr>
        <w:t>darbina slēdža mehānismus, ar kuru</w:t>
      </w:r>
      <w:r>
        <w:rPr>
          <w:noProof/>
        </w:rPr>
        <w:t xml:space="preserve"> palīdzību atsevišķi un precīzi var reģistrēt šādus laikposmus: </w:t>
      </w:r>
    </w:p>
    <w:p w:rsidR="003E022D" w:rsidRDefault="007D19D6">
      <w:pPr>
        <w:pStyle w:val="Point0letter"/>
        <w:numPr>
          <w:ilvl w:val="0"/>
          <w:numId w:val="897"/>
        </w:numPr>
        <w:tabs>
          <w:tab w:val="left" w:pos="851"/>
        </w:tabs>
        <w:jc w:val="both"/>
        <w:rPr>
          <w:rFonts w:asciiTheme="minorHAnsi" w:hAnsiTheme="minorHAnsi" w:cstheme="minorHAnsi"/>
          <w:noProof/>
        </w:rPr>
      </w:pPr>
      <w:r>
        <w:rPr>
          <w:rFonts w:asciiTheme="minorHAnsi" w:hAnsiTheme="minorHAnsi"/>
          <w:noProof/>
        </w:rPr>
        <w:t xml:space="preserve">zem </w:t>
      </w:r>
      <w:r>
        <w:rPr>
          <w:noProof/>
          <w:lang w:val="fr-BE" w:eastAsia="fr-BE"/>
        </w:rPr>
        <w:drawing>
          <wp:inline distT="0" distB="0" distL="0" distR="0">
            <wp:extent cx="244475" cy="2038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 cy="203835"/>
                    </a:xfrm>
                    <a:prstGeom prst="rect">
                      <a:avLst/>
                    </a:prstGeom>
                    <a:noFill/>
                    <a:ln>
                      <a:noFill/>
                    </a:ln>
                  </pic:spPr>
                </pic:pic>
              </a:graphicData>
            </a:graphic>
          </wp:inline>
        </w:drawing>
      </w:r>
      <w:r>
        <w:rPr>
          <w:rFonts w:asciiTheme="minorHAnsi" w:hAnsiTheme="minorHAnsi"/>
          <w:noProof/>
        </w:rPr>
        <w:t xml:space="preserve"> atzīmes: transportlīdzekļa vadīšanas laiks, </w:t>
      </w:r>
    </w:p>
    <w:p w:rsidR="003E022D" w:rsidRDefault="007D19D6">
      <w:pPr>
        <w:pStyle w:val="Point0letter"/>
        <w:numPr>
          <w:ilvl w:val="0"/>
          <w:numId w:val="897"/>
        </w:numPr>
        <w:tabs>
          <w:tab w:val="left" w:pos="851"/>
        </w:tabs>
        <w:jc w:val="both"/>
        <w:rPr>
          <w:rFonts w:asciiTheme="minorHAnsi" w:hAnsiTheme="minorHAnsi" w:cstheme="minorHAnsi"/>
          <w:noProof/>
        </w:rPr>
      </w:pPr>
      <w:r>
        <w:rPr>
          <w:noProof/>
        </w:rPr>
        <w:t xml:space="preserve">zem </w:t>
      </w:r>
      <w:r>
        <w:rPr>
          <w:rFonts w:asciiTheme="minorHAnsi" w:hAnsiTheme="minorHAnsi"/>
          <w:noProof/>
          <w:lang w:val="fr-BE" w:eastAsia="fr-BE"/>
        </w:rPr>
        <w:drawing>
          <wp:anchor distT="0" distB="0" distL="114300" distR="114300" simplePos="0" relativeHeight="251629056" behindDoc="0" locked="0" layoutInCell="1" allowOverlap="0">
            <wp:simplePos x="0" y="0"/>
            <wp:positionH relativeFrom="column">
              <wp:posOffset>1873885</wp:posOffset>
            </wp:positionH>
            <wp:positionV relativeFrom="paragraph">
              <wp:posOffset>37</wp:posOffset>
            </wp:positionV>
            <wp:extent cx="266700" cy="228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atzīmes:</w:t>
      </w:r>
      <w:r>
        <w:rPr>
          <w:rFonts w:asciiTheme="minorHAnsi" w:hAnsiTheme="minorHAnsi"/>
          <w:noProof/>
        </w:rPr>
        <w:t xml:space="preserve"> “cits darbs”, kas nozīmē jebkādas darbības, kuras nav transportlīdzekļa vadīšana, kā definēts B daļas 3. iedaļas 2. panta a) </w:t>
      </w:r>
      <w:r>
        <w:rPr>
          <w:rFonts w:asciiTheme="minorHAnsi" w:hAnsiTheme="minorHAnsi"/>
          <w:noProof/>
        </w:rPr>
        <w:t xml:space="preserve">punktā, kā arī jebkuru darbu tam pašam vai citam darba devējam transporta nozarē vai ārpus tās, </w:t>
      </w:r>
    </w:p>
    <w:p w:rsidR="003E022D" w:rsidRDefault="007D19D6">
      <w:pPr>
        <w:pStyle w:val="ListParagraph"/>
        <w:numPr>
          <w:ilvl w:val="0"/>
          <w:numId w:val="897"/>
        </w:numPr>
        <w:spacing w:after="160" w:line="254" w:lineRule="auto"/>
        <w:rPr>
          <w:rFonts w:cstheme="minorHAnsi"/>
          <w:noProof/>
        </w:rPr>
      </w:pPr>
      <w:r>
        <w:rPr>
          <w:noProof/>
        </w:rPr>
        <w:t xml:space="preserve">zem </w:t>
      </w:r>
      <w:r>
        <w:rPr>
          <w:noProof/>
          <w:lang w:val="fr-BE" w:eastAsia="fr-BE"/>
        </w:rPr>
        <w:drawing>
          <wp:anchor distT="0" distB="0" distL="114300" distR="114300" simplePos="0" relativeHeight="251631104" behindDoc="0" locked="0" layoutInCell="1" allowOverlap="0">
            <wp:simplePos x="0" y="0"/>
            <wp:positionH relativeFrom="column">
              <wp:posOffset>1792605</wp:posOffset>
            </wp:positionH>
            <wp:positionV relativeFrom="paragraph">
              <wp:posOffset>635</wp:posOffset>
            </wp:positionV>
            <wp:extent cx="228600" cy="266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atzīmes: “darbgatavība”, kā definēts </w:t>
      </w:r>
      <w:r>
        <w:rPr>
          <w:noProof/>
          <w:color w:val="000000" w:themeColor="text1"/>
        </w:rPr>
        <w:t>B daļas 3. iedaļas 2. panta</w:t>
      </w:r>
      <w:r>
        <w:rPr>
          <w:noProof/>
        </w:rPr>
        <w:t xml:space="preserve"> b) punktā,  </w:t>
      </w:r>
    </w:p>
    <w:p w:rsidR="003E022D" w:rsidRDefault="007D19D6">
      <w:pPr>
        <w:pStyle w:val="ListParagraph"/>
        <w:numPr>
          <w:ilvl w:val="0"/>
          <w:numId w:val="897"/>
        </w:numPr>
        <w:spacing w:after="160" w:line="254" w:lineRule="auto"/>
        <w:rPr>
          <w:rFonts w:cstheme="minorHAnsi"/>
          <w:noProof/>
        </w:rPr>
      </w:pPr>
      <w:r>
        <w:rPr>
          <w:noProof/>
        </w:rPr>
        <w:t xml:space="preserve">zem </w:t>
      </w:r>
      <w:r>
        <w:rPr>
          <w:noProof/>
          <w:lang w:val="fr-BE" w:eastAsia="fr-BE"/>
        </w:rPr>
        <w:drawing>
          <wp:anchor distT="0" distB="0" distL="114300" distR="114300" simplePos="0" relativeHeight="251633152" behindDoc="0" locked="0" layoutInCell="1" allowOverlap="0">
            <wp:simplePos x="0" y="0"/>
            <wp:positionH relativeFrom="column">
              <wp:posOffset>1701800</wp:posOffset>
            </wp:positionH>
            <wp:positionV relativeFrom="paragraph">
              <wp:posOffset>1270</wp:posOffset>
            </wp:positionV>
            <wp:extent cx="381000" cy="241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atzīmes: pārtraukumi, atpūta, ikgadējais atvaļinājums vai slimības at</w:t>
      </w:r>
      <w:r>
        <w:rPr>
          <w:noProof/>
        </w:rPr>
        <w:t xml:space="preserve">vaļinājums un </w:t>
      </w:r>
    </w:p>
    <w:p w:rsidR="003E022D" w:rsidRDefault="007D19D6">
      <w:pPr>
        <w:pStyle w:val="ListParagraph"/>
        <w:numPr>
          <w:ilvl w:val="0"/>
          <w:numId w:val="897"/>
        </w:numPr>
        <w:spacing w:after="160" w:line="254" w:lineRule="auto"/>
        <w:rPr>
          <w:rFonts w:cstheme="minorHAnsi"/>
          <w:noProof/>
          <w:color w:val="000000" w:themeColor="text1"/>
        </w:rPr>
      </w:pPr>
      <w:r>
        <w:rPr>
          <w:noProof/>
        </w:rPr>
        <w:t xml:space="preserve">zem </w:t>
      </w:r>
      <w:r>
        <w:rPr>
          <w:noProof/>
          <w:lang w:val="fr-BE" w:eastAsia="fr-BE"/>
        </w:rPr>
        <w:drawing>
          <wp:anchor distT="0" distB="0" distL="114300" distR="114300" simplePos="0" relativeHeight="251637248" behindDoc="0" locked="0" layoutInCell="1" allowOverlap="0">
            <wp:simplePos x="0" y="0"/>
            <wp:positionH relativeFrom="column">
              <wp:posOffset>4526280</wp:posOffset>
            </wp:positionH>
            <wp:positionV relativeFrom="paragraph">
              <wp:posOffset>53340</wp:posOffset>
            </wp:positionV>
            <wp:extent cx="390525" cy="2571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atzīmes “prāmim/vilcienam”: Papildus atzīmei: atpūtas laikposms, kas pavadīts uz prāmja vai vilcienā, kā noteikts B daļas 2. iedaļas 6. panta 12. punktā.</w:t>
      </w:r>
      <w:r>
        <w:rPr>
          <w:noProof/>
          <w:color w:val="000000" w:themeColor="text1"/>
        </w:rPr>
        <w:t xml:space="preserve">   </w:t>
      </w:r>
    </w:p>
    <w:p w:rsidR="003E022D" w:rsidRDefault="007D19D6">
      <w:pPr>
        <w:rPr>
          <w:rFonts w:cstheme="minorHAnsi"/>
          <w:noProof/>
        </w:rPr>
      </w:pPr>
      <w:r>
        <w:rPr>
          <w:noProof/>
        </w:rPr>
        <w:t>6.</w:t>
      </w:r>
      <w:r>
        <w:rPr>
          <w:noProof/>
        </w:rPr>
        <w:tab/>
        <w:t xml:space="preserve">Katrs tāda transportlīdzekļa vadītājs, kurā uzstādīts analogais tahogrāfs, </w:t>
      </w:r>
      <w:r>
        <w:rPr>
          <w:noProof/>
        </w:rPr>
        <w:t xml:space="preserve">savā reģistrācijas diagrammā ieraksta šādu informāciju: </w:t>
      </w:r>
    </w:p>
    <w:p w:rsidR="003E022D" w:rsidRDefault="007D19D6">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sākot izmantot jaunu reģistrācijas diagrammu, – transportlīdzekļa vadītāja uzvārdu un vārdu; </w:t>
      </w:r>
    </w:p>
    <w:p w:rsidR="003E022D" w:rsidRDefault="007D19D6">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reģistrācijas diagrammas izmantošanas sākuma datumu un vietu un izmantošanas beigu datumu un vietu; </w:t>
      </w:r>
    </w:p>
    <w:p w:rsidR="003E022D" w:rsidRDefault="007D19D6">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izma</w:t>
      </w:r>
      <w:r>
        <w:rPr>
          <w:rFonts w:asciiTheme="minorHAnsi" w:hAnsiTheme="minorHAnsi"/>
          <w:noProof/>
        </w:rPr>
        <w:t xml:space="preserve">ntojamā transportlīdzekļa reģistrācijas numuru pirmā reģistrācijas diagrammā reģistrētā brauciena sākumā, kā arī reģistrācijas diagrammas izmantošanas laikā nomainītā transportlīdzekļa numuru; </w:t>
      </w:r>
    </w:p>
    <w:p w:rsidR="003E022D" w:rsidRDefault="007D19D6">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odometra rādījumus:</w:t>
      </w:r>
    </w:p>
    <w:p w:rsidR="003E022D" w:rsidRDefault="007D19D6">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pirmā reģistrācijas diagrammā reģistrētā b</w:t>
      </w:r>
      <w:r>
        <w:rPr>
          <w:rFonts w:asciiTheme="minorHAnsi" w:hAnsiTheme="minorHAnsi"/>
          <w:noProof/>
        </w:rPr>
        <w:t xml:space="preserve">rauciena sākumā; </w:t>
      </w:r>
    </w:p>
    <w:p w:rsidR="003E022D" w:rsidRDefault="007D19D6">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 xml:space="preserve">pēdējā reģistrācijas diagrammā reģistrētā brauciena beigās; </w:t>
      </w:r>
    </w:p>
    <w:p w:rsidR="003E022D" w:rsidRDefault="007D19D6">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nomainot transportlīdzekli darba dienas laikā, – nolasījumus no pirmā transportlīdzekļa, uz kura transportlīdzekļa vadītājs norīkots darbā, un nolasījumus no nākamā transportlīd</w:t>
      </w:r>
      <w:r>
        <w:rPr>
          <w:rFonts w:asciiTheme="minorHAnsi" w:hAnsiTheme="minorHAnsi"/>
          <w:noProof/>
        </w:rPr>
        <w:t xml:space="preserve">zekļa; </w:t>
      </w:r>
    </w:p>
    <w:p w:rsidR="003E022D" w:rsidRDefault="007D19D6">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transportlīdzekļa nomaiņas laiku; un </w:t>
      </w:r>
    </w:p>
    <w:p w:rsidR="003E022D" w:rsidRDefault="007D19D6">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to valstu simbolus, kurās sākas un beidzas ikdienas darba laikposms. Transportlīdzekļa vadītājs ievada arī tās valsts simbolu, kurā viņš iebrauc pēc ES dalībvalsts un Apvienotās Karalistes robežas šķērsošanas, tiklīdz viņš minētajā dalībvalstī vai Apvienot</w:t>
      </w:r>
      <w:r>
        <w:rPr>
          <w:rFonts w:asciiTheme="minorHAnsi" w:hAnsiTheme="minorHAnsi"/>
          <w:noProof/>
        </w:rPr>
        <w:t xml:space="preserve">ajā Karalistē ir pirmo reizi apstājies.   Minētā pirmā apstāšanās ir tuvākajā iespējamā pieturvietā uz robežas vai pēc tās šķērsošanas. Ja robežu šķērso ar prāmi vai vilcienā, transportlīdzekļa vadītājs ievada valsts simbolu ostā vai pienākšanas stacijā.  </w:t>
      </w:r>
    </w:p>
    <w:p w:rsidR="003E022D" w:rsidRDefault="007D19D6">
      <w:pPr>
        <w:rPr>
          <w:rFonts w:cstheme="minorHAnsi"/>
          <w:noProof/>
        </w:rPr>
      </w:pPr>
      <w:r>
        <w:rPr>
          <w:noProof/>
        </w:rPr>
        <w:t>7.</w:t>
      </w:r>
      <w:r>
        <w:rPr>
          <w:noProof/>
        </w:rPr>
        <w:tab/>
        <w:t xml:space="preserve">Transportlīdzekļa vadītājs ievada digitālajā tahogrāfā to valstu simbolus, kurās viņš uzsāka un pabeidza ikdienas darba laikposmu. </w:t>
      </w:r>
    </w:p>
    <w:p w:rsidR="003E022D" w:rsidRDefault="007D19D6">
      <w:pPr>
        <w:rPr>
          <w:rFonts w:cstheme="minorHAnsi"/>
          <w:noProof/>
        </w:rPr>
      </w:pPr>
      <w:r>
        <w:rPr>
          <w:noProof/>
        </w:rPr>
        <w:t>No 2022. gada 2. februāra transportlīdzekļa vadītājs ievada arī tās valsts simbolu, kurā viņš iebrauc pēc dalībvalsts un</w:t>
      </w:r>
      <w:r>
        <w:rPr>
          <w:noProof/>
        </w:rPr>
        <w:t xml:space="preserve"> Apvienotās Karalistes robežas šķērsošanas, tiklīdz viņš minētajā dalībvalstī vai Apvienotajā Karalistē ir pirmo reizi apstājies. Minētā pirmā apstāšanās ir tuvākajā iespējamā pieturvietā uz robežas vai pēc tās šķērsošanas. Ja robežu šķērso ar prāmi vai vi</w:t>
      </w:r>
      <w:r>
        <w:rPr>
          <w:noProof/>
        </w:rPr>
        <w:t>lcienā, transportlīdzekļa vadītājs ievada valsts simbolu ostā vai pienākšanas stacijā.</w:t>
      </w:r>
    </w:p>
    <w:p w:rsidR="003E022D" w:rsidRDefault="007D19D6">
      <w:pPr>
        <w:rPr>
          <w:rFonts w:cstheme="minorHAnsi"/>
          <w:noProof/>
        </w:rPr>
      </w:pPr>
      <w:r>
        <w:rPr>
          <w:noProof/>
        </w:rPr>
        <w:t>Dalībvalsts vai Apvienotā Karaliste var pieprasīt, lai transportlīdzekļa vadītāji, kas veic pārvadājumu operācijas to teritorijā, valsts simbolam pievienotu detalizētāka</w:t>
      </w:r>
      <w:r>
        <w:rPr>
          <w:noProof/>
        </w:rPr>
        <w:t xml:space="preserve">s ģeogrāfiskās specifikācijas, ar noteikumu, ka katra Puse iepriekš paziņo otrai Pusei par minētajām detalizētajām ģeogrāfiskajām specifikācijām. </w:t>
      </w:r>
    </w:p>
    <w:p w:rsidR="003E022D" w:rsidRDefault="007D19D6">
      <w:pPr>
        <w:rPr>
          <w:rFonts w:cstheme="minorHAnsi"/>
          <w:noProof/>
        </w:rPr>
      </w:pPr>
      <w:r>
        <w:rPr>
          <w:noProof/>
        </w:rPr>
        <w:t>Transportlīdzekļa vadītājiem nav nepieciešams ievadīt informāciju, kas minēta pirmās daļas pirmajā teikumā, j</w:t>
      </w:r>
      <w:r>
        <w:rPr>
          <w:noProof/>
        </w:rPr>
        <w:t xml:space="preserve">a tahogrāfs automātiski reģistrē minētos atrašanās vietas datus. </w:t>
      </w:r>
    </w:p>
    <w:p w:rsidR="003E022D" w:rsidRDefault="007D19D6">
      <w:pPr>
        <w:pStyle w:val="Article"/>
        <w:rPr>
          <w:rFonts w:cstheme="minorHAnsi"/>
          <w:noProof/>
        </w:rPr>
      </w:pPr>
      <w:r>
        <w:rPr>
          <w:noProof/>
        </w:rPr>
        <w:t xml:space="preserve">7. pants. Tahogrāfu pareiza izmantošana </w:t>
      </w:r>
    </w:p>
    <w:p w:rsidR="003E022D" w:rsidRDefault="007D19D6">
      <w:pPr>
        <w:rPr>
          <w:rFonts w:cstheme="minorHAnsi"/>
          <w:noProof/>
        </w:rPr>
      </w:pPr>
      <w:r>
        <w:rPr>
          <w:noProof/>
        </w:rPr>
        <w:t>1.</w:t>
      </w:r>
      <w:r>
        <w:rPr>
          <w:noProof/>
        </w:rPr>
        <w:tab/>
        <w:t>Transporta uzņēmumi un transportlīdzekļa vadītāji nodrošina digitālo tahogrāfu pareizu darbību, to pienācīgu lietošanu un vadītāja karšu izmantoša</w:t>
      </w:r>
      <w:r>
        <w:rPr>
          <w:noProof/>
        </w:rPr>
        <w:t xml:space="preserve">nu. Transporta uzņēmumi un transportlīdzekļa vadītāji, kas izmanto analogos tahogrāfus, nodrošina to pareizu darbību un reģistrācijas diagrammu pienācīgu izmantošanu. </w:t>
      </w:r>
    </w:p>
    <w:p w:rsidR="003E022D" w:rsidRDefault="007D19D6">
      <w:pPr>
        <w:rPr>
          <w:rFonts w:cstheme="minorHAnsi"/>
          <w:noProof/>
        </w:rPr>
      </w:pPr>
      <w:r>
        <w:rPr>
          <w:noProof/>
        </w:rPr>
        <w:t>2.</w:t>
      </w:r>
      <w:r>
        <w:rPr>
          <w:noProof/>
        </w:rPr>
        <w:tab/>
        <w:t>Ir aizliegts viltot, noklusēt, slēpt vai iznīcināt datus, kas ierakstīti reģistrācija</w:t>
      </w:r>
      <w:r>
        <w:rPr>
          <w:noProof/>
        </w:rPr>
        <w:t>s diagrammā vai saglabāti tahogrāfā vai vadītāja kartē, vai izdrukās no tahogrāfa. Ir aizliegtas jebkādas manipulācijas ar tahogrāfu, reģistrācijas diagrammu vai vadītāja karti, kuras var radīt datu un/vai izdrukātās informācijas viltojumus, noklusējumus v</w:t>
      </w:r>
      <w:r>
        <w:rPr>
          <w:noProof/>
        </w:rPr>
        <w:t xml:space="preserve">ai iznīcināšanu. Transportlīdzeklī nedrīkst būt ierīces, kuras var izmantot minētajā nolūkā. </w:t>
      </w:r>
    </w:p>
    <w:p w:rsidR="003E022D" w:rsidRDefault="007D19D6">
      <w:pPr>
        <w:pStyle w:val="Article"/>
        <w:rPr>
          <w:rFonts w:cstheme="minorHAnsi"/>
          <w:noProof/>
        </w:rPr>
      </w:pPr>
      <w:r>
        <w:rPr>
          <w:noProof/>
        </w:rPr>
        <w:t xml:space="preserve">8. pants. Nozagtas, pazaudētas vai bojātas vadītāja kartes </w:t>
      </w:r>
    </w:p>
    <w:p w:rsidR="003E022D" w:rsidRDefault="007D19D6">
      <w:pPr>
        <w:rPr>
          <w:rFonts w:cstheme="minorHAnsi"/>
          <w:noProof/>
        </w:rPr>
      </w:pPr>
      <w:r>
        <w:rPr>
          <w:noProof/>
        </w:rPr>
        <w:t>1.</w:t>
      </w:r>
      <w:r>
        <w:rPr>
          <w:noProof/>
        </w:rPr>
        <w:tab/>
        <w:t>Pušu izdevējas iestādes uztur izdoto, nozagto, pazaudēto un bojāto vadītāja karšu reģistru laikposm</w:t>
      </w:r>
      <w:r>
        <w:rPr>
          <w:noProof/>
        </w:rPr>
        <w:t xml:space="preserve">ā, kas nav mazāks par to derīguma termiņu. </w:t>
      </w:r>
    </w:p>
    <w:p w:rsidR="003E022D" w:rsidRDefault="007D19D6">
      <w:pPr>
        <w:rPr>
          <w:rFonts w:cstheme="minorHAnsi"/>
          <w:noProof/>
        </w:rPr>
      </w:pPr>
      <w:r>
        <w:rPr>
          <w:noProof/>
        </w:rPr>
        <w:t>2.</w:t>
      </w:r>
      <w:r>
        <w:rPr>
          <w:noProof/>
        </w:rPr>
        <w:tab/>
        <w:t>Ja vadītāja karte ir bojāta vai tā nedarbojas pareizi, transportlīdzekļa vadītājs to nodod atpakaļ kompetentajai iestādei savas parastās dzīvesvietas valstī. Par vadītāja kartes zādzību iesniedz oficiālu paziņ</w:t>
      </w:r>
      <w:r>
        <w:rPr>
          <w:noProof/>
        </w:rPr>
        <w:t xml:space="preserve">ojumu kompetentajām iestādēm valstī, kurā zādzība ir notikusi. </w:t>
      </w:r>
    </w:p>
    <w:p w:rsidR="003E022D" w:rsidRDefault="007D19D6">
      <w:pPr>
        <w:rPr>
          <w:rFonts w:cstheme="minorHAnsi"/>
          <w:noProof/>
        </w:rPr>
      </w:pPr>
      <w:r>
        <w:rPr>
          <w:noProof/>
        </w:rPr>
        <w:t>3.</w:t>
      </w:r>
      <w:r>
        <w:rPr>
          <w:noProof/>
        </w:rPr>
        <w:tab/>
        <w:t>Par jebkuru vadītāja kartes nozaudēšanu ar oficiālu paziņojumu informē kompetentās iestādes Pusē, kura to ir izdevusi, un kompetentās iestādes Pusē, kurā ir transportlīdzekļa vadītāja paras</w:t>
      </w:r>
      <w:r>
        <w:rPr>
          <w:noProof/>
        </w:rPr>
        <w:t xml:space="preserve">tā dzīvesvieta, ja tās ir dažādas valstis. </w:t>
      </w:r>
    </w:p>
    <w:p w:rsidR="003E022D" w:rsidRDefault="007D19D6">
      <w:pPr>
        <w:rPr>
          <w:rFonts w:cstheme="minorHAnsi"/>
          <w:noProof/>
        </w:rPr>
      </w:pPr>
      <w:r>
        <w:rPr>
          <w:noProof/>
        </w:rPr>
        <w:t>4.</w:t>
      </w:r>
      <w:r>
        <w:rPr>
          <w:noProof/>
        </w:rPr>
        <w:tab/>
        <w:t>Ja vadītāja karte ir bojāta, nedarbojas pareizi, ir nozaudēta vai nozagta, transportlīdzekļa vadītājs septiņās dienās iesniedz pieteikumu par tās aizvietošanu savas parastās dzīvesvietas Puses kompetentajām ie</w:t>
      </w:r>
      <w:r>
        <w:rPr>
          <w:noProof/>
        </w:rPr>
        <w:t xml:space="preserve">stādēm. </w:t>
      </w:r>
      <w:r>
        <w:rPr>
          <w:i/>
          <w:noProof/>
        </w:rPr>
        <w:t xml:space="preserve"> </w:t>
      </w:r>
    </w:p>
    <w:p w:rsidR="003E022D" w:rsidRDefault="007D19D6">
      <w:pPr>
        <w:rPr>
          <w:rFonts w:cstheme="minorHAnsi"/>
          <w:noProof/>
        </w:rPr>
      </w:pPr>
      <w:r>
        <w:rPr>
          <w:noProof/>
        </w:rPr>
        <w:t>5.</w:t>
      </w:r>
      <w:r>
        <w:rPr>
          <w:noProof/>
        </w:rPr>
        <w:tab/>
        <w:t>Apstākļos, kas noteikti 4. punktā, transportlīdzekļa vadītājs var turpināt braukt bez vadītāja kartes ne ilgāk par 15 dienām vai ilgāk, ja ir vajadzīgs ilgāks laiks, lai transportlīdzekli nogādātu atpakaļ telpās, kur tas tiek novietots, ar not</w:t>
      </w:r>
      <w:r>
        <w:rPr>
          <w:noProof/>
        </w:rPr>
        <w:t xml:space="preserve">eikumu, ka transportlīdzekļa vadītājs var pierādīt, ka minētajā laikposmā karti uzrādīt vai lietot nav iespējams.  </w:t>
      </w:r>
    </w:p>
    <w:p w:rsidR="003E022D" w:rsidRDefault="007D19D6">
      <w:pPr>
        <w:pStyle w:val="Article"/>
        <w:rPr>
          <w:rFonts w:cstheme="minorHAnsi"/>
          <w:noProof/>
        </w:rPr>
      </w:pPr>
      <w:r>
        <w:rPr>
          <w:noProof/>
        </w:rPr>
        <w:t xml:space="preserve">9. pants. Bojātas vadītāja kartes un reģistrācijas diagrammas </w:t>
      </w:r>
    </w:p>
    <w:p w:rsidR="003E022D" w:rsidRDefault="007D19D6">
      <w:pPr>
        <w:rPr>
          <w:rFonts w:cstheme="minorHAnsi"/>
          <w:noProof/>
        </w:rPr>
      </w:pPr>
      <w:r>
        <w:rPr>
          <w:noProof/>
        </w:rPr>
        <w:t>1.</w:t>
      </w:r>
      <w:r>
        <w:rPr>
          <w:noProof/>
        </w:rPr>
        <w:tab/>
        <w:t>Bojātas reģistrācijas diagrammas, kurā ir reģistrēti dati, vai vadītāja ka</w:t>
      </w:r>
      <w:r>
        <w:rPr>
          <w:noProof/>
        </w:rPr>
        <w:t xml:space="preserve">rtes gadījumā transportlīdzekļa vadītāji bojāto reģistrācijas diagrammu vai vadītāja karti glabā kopā ar jauno reģistrācijas diagrammu, kuru izmanto tās aizvietošanai. </w:t>
      </w:r>
    </w:p>
    <w:p w:rsidR="003E022D" w:rsidRDefault="007D19D6">
      <w:pPr>
        <w:rPr>
          <w:rFonts w:cstheme="minorHAnsi"/>
          <w:noProof/>
        </w:rPr>
      </w:pPr>
      <w:r>
        <w:rPr>
          <w:noProof/>
        </w:rPr>
        <w:t>2.</w:t>
      </w:r>
      <w:r>
        <w:rPr>
          <w:noProof/>
        </w:rPr>
        <w:tab/>
        <w:t>Ja vadītāja karte ir bojāta, nedarbojas pareizi, ir nozaudēta vai nozagta, transport</w:t>
      </w:r>
      <w:r>
        <w:rPr>
          <w:noProof/>
        </w:rPr>
        <w:t xml:space="preserve">līdzekļa vadītājs: </w:t>
      </w:r>
    </w:p>
    <w:p w:rsidR="003E022D" w:rsidRDefault="007D19D6">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 xml:space="preserve">brauciena sākumā izdrukā informāciju par transportlīdzekli, kuru viņš vada, un minētajā izdrukā norāda: </w:t>
      </w:r>
    </w:p>
    <w:p w:rsidR="003E022D" w:rsidRDefault="007D19D6">
      <w:pPr>
        <w:pStyle w:val="Point0letter"/>
        <w:numPr>
          <w:ilvl w:val="0"/>
          <w:numId w:val="901"/>
        </w:numPr>
        <w:tabs>
          <w:tab w:val="left" w:pos="851"/>
        </w:tabs>
        <w:jc w:val="both"/>
        <w:rPr>
          <w:rFonts w:asciiTheme="minorHAnsi" w:hAnsiTheme="minorHAnsi" w:cstheme="minorHAnsi"/>
          <w:noProof/>
        </w:rPr>
      </w:pPr>
      <w:r>
        <w:rPr>
          <w:rFonts w:asciiTheme="minorHAnsi" w:hAnsiTheme="minorHAnsi"/>
          <w:noProof/>
        </w:rPr>
        <w:t>informāciju, kas ļauj identificēt transportlīdzekļa vadītāju (vārdu, uzvārdu, vadītāja kartes vai transportlīdzekļa vadītāja apliec</w:t>
      </w:r>
      <w:r>
        <w:rPr>
          <w:rFonts w:asciiTheme="minorHAnsi" w:hAnsiTheme="minorHAnsi"/>
          <w:noProof/>
        </w:rPr>
        <w:t>ības numuru), tostarp viņa parakstu; un</w:t>
      </w:r>
    </w:p>
    <w:p w:rsidR="003E022D" w:rsidRDefault="007D19D6">
      <w:pPr>
        <w:pStyle w:val="Point0letter"/>
        <w:numPr>
          <w:ilvl w:val="0"/>
          <w:numId w:val="901"/>
        </w:numPr>
        <w:tabs>
          <w:tab w:val="left" w:pos="851"/>
        </w:tabs>
        <w:jc w:val="both"/>
        <w:rPr>
          <w:rFonts w:asciiTheme="minorHAnsi" w:hAnsiTheme="minorHAnsi" w:cstheme="minorHAnsi"/>
          <w:noProof/>
        </w:rPr>
      </w:pPr>
      <w:r>
        <w:rPr>
          <w:rFonts w:asciiTheme="minorHAnsi" w:hAnsiTheme="minorHAnsi"/>
          <w:noProof/>
        </w:rPr>
        <w:t xml:space="preserve">laikposmus, kas minēti 6. panta 5. punkta b) apakšpunkta ii), iii) un iv) punktā; </w:t>
      </w:r>
    </w:p>
    <w:p w:rsidR="003E022D" w:rsidRDefault="007D19D6">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brauciena beigās izdrukā informāciju par laikposmiem, ko ir reģistrējis tahogrāfs, reģistrē visus cita darba, darbgatavības un atpūta</w:t>
      </w:r>
      <w:r>
        <w:rPr>
          <w:rFonts w:asciiTheme="minorHAnsi" w:hAnsiTheme="minorHAnsi"/>
          <w:noProof/>
        </w:rPr>
        <w:t>s laikposmus kopš brauciena sākumā veiktās izdrukas, ja tie nav reģistrēti tahogrāfā, un uz šā dokumenta norāda informāciju, kas ļauj identificēt transportlīdzekļa vadītāju (vārdu, uzvārdu, vadītāja kartes vai transportlīdzekļa vadītāja apliecības numuru),</w:t>
      </w:r>
      <w:r>
        <w:rPr>
          <w:rFonts w:asciiTheme="minorHAnsi" w:hAnsiTheme="minorHAnsi"/>
          <w:noProof/>
        </w:rPr>
        <w:t xml:space="preserve"> tostarp viņa parakstu. </w:t>
      </w:r>
    </w:p>
    <w:p w:rsidR="003E022D" w:rsidRDefault="007D19D6">
      <w:pPr>
        <w:pStyle w:val="Article"/>
        <w:rPr>
          <w:rFonts w:cstheme="minorHAnsi"/>
          <w:noProof/>
        </w:rPr>
      </w:pPr>
      <w:r>
        <w:rPr>
          <w:noProof/>
        </w:rPr>
        <w:t xml:space="preserve">10. pants. Datu reģistrācija, ko veic transportlīdzekļa vadītājs </w:t>
      </w:r>
    </w:p>
    <w:p w:rsidR="003E022D" w:rsidRDefault="007D19D6">
      <w:pPr>
        <w:rPr>
          <w:rFonts w:cstheme="minorHAnsi"/>
          <w:noProof/>
        </w:rPr>
      </w:pPr>
      <w:r>
        <w:rPr>
          <w:noProof/>
        </w:rPr>
        <w:t>1.</w:t>
      </w:r>
      <w:r>
        <w:rPr>
          <w:noProof/>
        </w:rPr>
        <w:tab/>
        <w:t xml:space="preserve">Ja transportlīdzekļa vadītājs vada transportlīdzekli, kurā uzstādīts analogais tahogrāfs, pēc pilnvarota kontroliera pieprasījuma viņš uzrāda: </w:t>
      </w:r>
    </w:p>
    <w:p w:rsidR="003E022D" w:rsidRDefault="007D19D6">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reģistrācijas diag</w:t>
      </w:r>
      <w:r>
        <w:rPr>
          <w:rFonts w:asciiTheme="minorHAnsi" w:hAnsiTheme="minorHAnsi"/>
          <w:noProof/>
        </w:rPr>
        <w:t xml:space="preserve">rammas par kārtējo dienu un iepriekšējām 28 dienām; </w:t>
      </w:r>
    </w:p>
    <w:p w:rsidR="003E022D" w:rsidRDefault="007D19D6">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vadītāja karti, ja viņam tāda ir; un </w:t>
      </w:r>
    </w:p>
    <w:p w:rsidR="003E022D" w:rsidRDefault="007D19D6">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jebkurus manuālos pierakstus un izdrukas par kārtējo dienu un iepriekšējām 28 dienām.  </w:t>
      </w:r>
    </w:p>
    <w:p w:rsidR="003E022D" w:rsidRDefault="007D19D6">
      <w:pPr>
        <w:rPr>
          <w:rFonts w:cstheme="minorHAnsi"/>
          <w:noProof/>
        </w:rPr>
      </w:pPr>
      <w:r>
        <w:rPr>
          <w:noProof/>
        </w:rPr>
        <w:t>2.</w:t>
      </w:r>
      <w:r>
        <w:rPr>
          <w:noProof/>
        </w:rPr>
        <w:tab/>
      </w:r>
      <w:r>
        <w:rPr>
          <w:noProof/>
        </w:rPr>
        <w:t xml:space="preserve">Ja transportlīdzekļa vadītājs vada transportlīdzekli, kurā uzstādīts digitālais tahogrāfs, viedais tahogrāfs 1 vai viedais tahogrāfs 2, pēc pilnvarota kontroliera pieprasījuma viņš uzrāda: </w:t>
      </w:r>
    </w:p>
    <w:p w:rsidR="003E022D" w:rsidRDefault="007D19D6">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 xml:space="preserve">transportlīdzekļa vadītāja vadītāja karti; </w:t>
      </w:r>
    </w:p>
    <w:p w:rsidR="003E022D" w:rsidRDefault="007D19D6">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jebkurus manuālos pier</w:t>
      </w:r>
      <w:r>
        <w:rPr>
          <w:rFonts w:asciiTheme="minorHAnsi" w:hAnsiTheme="minorHAnsi"/>
          <w:noProof/>
        </w:rPr>
        <w:t>akstus un izdrukas par kārtējo darba dienu un iepriekšējām 28 dienām; un</w:t>
      </w:r>
    </w:p>
    <w:p w:rsidR="003E022D" w:rsidRDefault="007D19D6">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 xml:space="preserve">reģistrācijas diagrammas par to pašu laikposmu, kurš minēts ii) apakšpunktā un kura laikā transportlīdzekļa vadītājs vadīja transportlīdzekli, kurā uzstādīts analogais tahogrāfs.  </w:t>
      </w:r>
    </w:p>
    <w:p w:rsidR="003E022D" w:rsidRDefault="007D19D6">
      <w:pPr>
        <w:rPr>
          <w:rFonts w:cstheme="minorHAnsi"/>
          <w:noProof/>
        </w:rPr>
      </w:pPr>
      <w:r>
        <w:rPr>
          <w:noProof/>
        </w:rPr>
        <w:t>No</w:t>
      </w:r>
      <w:r>
        <w:rPr>
          <w:noProof/>
        </w:rPr>
        <w:t xml:space="preserve"> 2024. gada 31. decembra 1. punkta i) un ii) apakšpunktā un 2. punkta ii) apakšpunktā minēto 28 dienu laikposmu aizstāj ar 56 dienām.  </w:t>
      </w:r>
    </w:p>
    <w:p w:rsidR="003E022D" w:rsidRDefault="007D19D6">
      <w:pPr>
        <w:rPr>
          <w:rFonts w:cstheme="minorHAnsi"/>
          <w:noProof/>
        </w:rPr>
      </w:pPr>
      <w:r>
        <w:rPr>
          <w:noProof/>
        </w:rPr>
        <w:t>3.</w:t>
      </w:r>
      <w:r>
        <w:rPr>
          <w:noProof/>
        </w:rPr>
        <w:tab/>
        <w:t>Pilnvarots kontrolieris var pārbaudīt atbilstību B daļas 2 iedaļai, analizējot reģistrācijas diagrammas, displejā red</w:t>
      </w:r>
      <w:r>
        <w:rPr>
          <w:noProof/>
        </w:rPr>
        <w:t xml:space="preserve">zamos, izdrukātos vai lejupielādētos datus, kurus ir reģistrējis tahogrāfs vai vadītāja karte, vai, ja tas neizdodas, – jebkurus citus papilddokumentus, kas pamato minētās iedaļas noteikumu neievērošanu. </w:t>
      </w:r>
    </w:p>
    <w:p w:rsidR="003E022D" w:rsidRDefault="007D19D6">
      <w:pPr>
        <w:pStyle w:val="Article"/>
        <w:rPr>
          <w:rFonts w:cstheme="minorHAnsi"/>
          <w:noProof/>
        </w:rPr>
      </w:pPr>
      <w:r>
        <w:rPr>
          <w:noProof/>
        </w:rPr>
        <w:t xml:space="preserve">11. pants. Procedūras transportlīdzekļa vadītājiem </w:t>
      </w:r>
      <w:r>
        <w:rPr>
          <w:noProof/>
        </w:rPr>
        <w:t xml:space="preserve">iekārtas nepareizas darbības gadījumā </w:t>
      </w:r>
    </w:p>
    <w:p w:rsidR="003E022D" w:rsidRDefault="007D19D6">
      <w:pPr>
        <w:rPr>
          <w:rFonts w:cstheme="minorHAnsi"/>
          <w:noProof/>
        </w:rPr>
      </w:pPr>
      <w:r>
        <w:rPr>
          <w:noProof/>
        </w:rPr>
        <w:t>Kamēr tahogrāfs ir nelietojams vai darbojas nepareizi, transportlīdzekļa vadītājs atzīmē datus, kas ļauj veikt viņa identificēšanu (vārdu, uzvārdu, vadītāja kartes vai transportlīdzekļa vadītāja apliecības numuru), to</w:t>
      </w:r>
      <w:r>
        <w:rPr>
          <w:noProof/>
        </w:rPr>
        <w:t xml:space="preserve">starp parakstu, kā arī informāciju par dažādiem laikposmiem, kurus tahogrāfs vairs nereģistrē vai neizdrukā pareizi: </w:t>
      </w:r>
    </w:p>
    <w:p w:rsidR="003E022D" w:rsidRDefault="007D19D6">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noProof/>
        </w:rPr>
        <w:t xml:space="preserve">uz reģistrācijas diagrammas vai diagrammām; vai </w:t>
      </w:r>
    </w:p>
    <w:p w:rsidR="003E022D" w:rsidRDefault="007D19D6">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noProof/>
        </w:rPr>
        <w:t>uz pagaidu diagrammas, ko pievieno reģistrācijas diagrammai vai glabā kopā ar vadītāja ka</w:t>
      </w:r>
      <w:r>
        <w:rPr>
          <w:rFonts w:asciiTheme="minorHAnsi" w:hAnsiTheme="minorHAnsi"/>
          <w:noProof/>
        </w:rPr>
        <w:t xml:space="preserve">rti. </w:t>
      </w:r>
    </w:p>
    <w:p w:rsidR="003E022D" w:rsidRDefault="007D19D6">
      <w:pPr>
        <w:pStyle w:val="Article"/>
        <w:rPr>
          <w:rFonts w:cstheme="minorHAnsi"/>
          <w:noProof/>
        </w:rPr>
      </w:pPr>
      <w:r>
        <w:rPr>
          <w:noProof/>
        </w:rPr>
        <w:t xml:space="preserve">12. pants. Izpildes pasākumi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Katra Puse pieņem visus atbilstīgos pasākumus, lai nodrošinātu B daļas 2. līdz 4. iedaļas noteikumu ievērošanu, jo īpaši, katru gadu nodrošinot pārbaužu uz ceļiem un pārbaužu uzņēmumu telpās pienācīgu līmeni, kas aptver plašu un reprezentatīvu to mobilo da</w:t>
      </w:r>
      <w:r>
        <w:rPr>
          <w:noProof/>
          <w:color w:val="000000" w:themeColor="text1"/>
        </w:rPr>
        <w:t xml:space="preserve">rba ņēmēju, transportlīdzekļa vadītāju, uzņēmumu un visu transporta kategoriju transportlīdzekļu šķērsgriezumu, uz kuriem attiecas minētās iedaļas.  </w:t>
      </w:r>
    </w:p>
    <w:p w:rsidR="003E022D" w:rsidRDefault="007D19D6">
      <w:pPr>
        <w:rPr>
          <w:rFonts w:cstheme="minorHAnsi"/>
          <w:noProof/>
          <w:color w:val="000000" w:themeColor="text1"/>
        </w:rPr>
      </w:pPr>
      <w:r>
        <w:rPr>
          <w:noProof/>
          <w:color w:val="000000" w:themeColor="text1"/>
        </w:rPr>
        <w:t xml:space="preserve">Kompetentās iestādes katrā Pusē organizē pārbaudes tā, lai:  </w:t>
      </w:r>
    </w:p>
    <w:p w:rsidR="003E022D" w:rsidRDefault="007D19D6">
      <w:pPr>
        <w:pStyle w:val="Point0letter"/>
        <w:numPr>
          <w:ilvl w:val="0"/>
          <w:numId w:val="905"/>
        </w:numPr>
        <w:tabs>
          <w:tab w:val="left" w:pos="851"/>
        </w:tabs>
        <w:jc w:val="both"/>
        <w:rPr>
          <w:rFonts w:asciiTheme="minorHAnsi" w:hAnsiTheme="minorHAnsi" w:cstheme="minorHAnsi"/>
          <w:noProof/>
        </w:rPr>
      </w:pPr>
      <w:r>
        <w:rPr>
          <w:rFonts w:asciiTheme="minorHAnsi" w:hAnsiTheme="minorHAnsi"/>
          <w:noProof/>
        </w:rPr>
        <w:t>katrā kalendārajā gadā pārbaudītu vismaz 3 %</w:t>
      </w:r>
      <w:r>
        <w:rPr>
          <w:rFonts w:asciiTheme="minorHAnsi" w:hAnsiTheme="minorHAnsi"/>
          <w:noProof/>
        </w:rPr>
        <w:t xml:space="preserve"> dienu, ko nostrādājuši to transportlīdzekļu vadītāji, uz kuriem attiecas B daļas 2. iedaļa; un </w:t>
      </w:r>
    </w:p>
    <w:p w:rsidR="003E022D" w:rsidRDefault="007D19D6">
      <w:pPr>
        <w:pStyle w:val="Point0letter"/>
        <w:numPr>
          <w:ilvl w:val="0"/>
          <w:numId w:val="905"/>
        </w:numPr>
        <w:tabs>
          <w:tab w:val="left" w:pos="851"/>
        </w:tabs>
        <w:jc w:val="both"/>
        <w:rPr>
          <w:rFonts w:asciiTheme="minorHAnsi" w:hAnsiTheme="minorHAnsi" w:cstheme="minorHAnsi"/>
          <w:noProof/>
          <w:color w:val="000000" w:themeColor="text1"/>
        </w:rPr>
      </w:pPr>
      <w:r>
        <w:rPr>
          <w:rFonts w:asciiTheme="minorHAnsi" w:hAnsiTheme="minorHAnsi"/>
          <w:noProof/>
        </w:rPr>
        <w:t>vismaz 30 % no kopējā pārbaudīto darba dienu skaita pārbaudītu uz ceļiem un vismaz 50 % – uzņēmumu telpās.</w:t>
      </w:r>
      <w:r>
        <w:rPr>
          <w:rFonts w:asciiTheme="minorHAnsi" w:hAnsiTheme="minorHAnsi"/>
          <w:noProof/>
          <w:color w:val="000000" w:themeColor="text1"/>
        </w:rPr>
        <w:t xml:space="preserve"> </w:t>
      </w:r>
    </w:p>
    <w:p w:rsidR="003E022D" w:rsidRDefault="007D19D6">
      <w:pPr>
        <w:rPr>
          <w:rFonts w:cstheme="minorHAnsi"/>
          <w:noProof/>
          <w:color w:val="000000" w:themeColor="text1"/>
        </w:rPr>
      </w:pPr>
      <w:r>
        <w:rPr>
          <w:noProof/>
          <w:color w:val="000000" w:themeColor="text1"/>
        </w:rPr>
        <w:t xml:space="preserve">Pārbaužu uz ceļiem elementi ietver:  </w:t>
      </w:r>
    </w:p>
    <w:p w:rsidR="003E022D" w:rsidRDefault="007D19D6">
      <w:pPr>
        <w:pStyle w:val="Point0letter"/>
        <w:numPr>
          <w:ilvl w:val="0"/>
          <w:numId w:val="906"/>
        </w:numPr>
        <w:tabs>
          <w:tab w:val="left" w:pos="851"/>
        </w:tabs>
        <w:jc w:val="both"/>
        <w:rPr>
          <w:rFonts w:asciiTheme="minorHAnsi" w:hAnsiTheme="minorHAnsi" w:cstheme="minorHAnsi"/>
          <w:noProof/>
        </w:rPr>
      </w:pPr>
      <w:r>
        <w:rPr>
          <w:rFonts w:asciiTheme="minorHAnsi" w:hAnsiTheme="minorHAnsi"/>
          <w:noProof/>
        </w:rPr>
        <w:t>ikdienas un i</w:t>
      </w:r>
      <w:r>
        <w:rPr>
          <w:rFonts w:asciiTheme="minorHAnsi" w:hAnsiTheme="minorHAnsi"/>
          <w:noProof/>
        </w:rPr>
        <w:t xml:space="preserve">knedēļas transportlīdzekļa vadīšanas laikposmus, pārtraukumus un ikdienas un iknedēļas atpūtas laikposmus; </w:t>
      </w:r>
    </w:p>
    <w:p w:rsidR="003E022D" w:rsidRDefault="007D19D6">
      <w:pPr>
        <w:pStyle w:val="Point0letter"/>
        <w:numPr>
          <w:ilvl w:val="0"/>
          <w:numId w:val="906"/>
        </w:numPr>
        <w:tabs>
          <w:tab w:val="left" w:pos="851"/>
        </w:tabs>
        <w:jc w:val="both"/>
        <w:rPr>
          <w:rFonts w:asciiTheme="minorHAnsi" w:hAnsiTheme="minorHAnsi" w:cstheme="minorHAnsi"/>
          <w:noProof/>
        </w:rPr>
      </w:pPr>
      <w:r>
        <w:rPr>
          <w:rFonts w:asciiTheme="minorHAnsi" w:hAnsiTheme="minorHAnsi"/>
          <w:noProof/>
        </w:rPr>
        <w:t>iepriekšējo dienu reģistrācijas diagrammas, kurām jāatrodas transportlīdzeklī, un/vai datus, kas par to pašu laikposmu saglabāti vadītāja kartē un/v</w:t>
      </w:r>
      <w:r>
        <w:rPr>
          <w:rFonts w:asciiTheme="minorHAnsi" w:hAnsiTheme="minorHAnsi"/>
          <w:noProof/>
        </w:rPr>
        <w:t xml:space="preserve">ai tahogrāfa atmiņā, un/vai izdrukās (ja nepieciešams); un  </w:t>
      </w:r>
    </w:p>
    <w:p w:rsidR="003E022D" w:rsidRDefault="007D19D6">
      <w:pPr>
        <w:pStyle w:val="Point0letter"/>
        <w:numPr>
          <w:ilvl w:val="0"/>
          <w:numId w:val="906"/>
        </w:numPr>
        <w:tabs>
          <w:tab w:val="left" w:pos="851"/>
        </w:tabs>
        <w:jc w:val="both"/>
        <w:rPr>
          <w:rFonts w:asciiTheme="minorHAnsi" w:hAnsiTheme="minorHAnsi" w:cstheme="minorHAnsi"/>
          <w:noProof/>
          <w:color w:val="000000" w:themeColor="text1"/>
        </w:rPr>
      </w:pPr>
      <w:r>
        <w:rPr>
          <w:rFonts w:asciiTheme="minorHAnsi" w:hAnsiTheme="minorHAnsi"/>
          <w:noProof/>
        </w:rPr>
        <w:t>tahogrāfa pareizu darbību.</w:t>
      </w:r>
      <w:r>
        <w:rPr>
          <w:rFonts w:asciiTheme="minorHAnsi" w:hAnsiTheme="minorHAnsi"/>
          <w:noProof/>
          <w:color w:val="000000" w:themeColor="text1"/>
        </w:rPr>
        <w:t xml:space="preserve">  </w:t>
      </w:r>
    </w:p>
    <w:p w:rsidR="003E022D" w:rsidRDefault="007D19D6">
      <w:pPr>
        <w:rPr>
          <w:rFonts w:cstheme="minorHAnsi"/>
          <w:noProof/>
          <w:color w:val="000000" w:themeColor="text1"/>
        </w:rPr>
      </w:pPr>
      <w:r>
        <w:rPr>
          <w:noProof/>
          <w:color w:val="000000" w:themeColor="text1"/>
        </w:rPr>
        <w:t>Minētās pārbaudes veic, nediskriminējot transportlīdzekļus, uzņēmumus un transportlīdzekļa vadītājus, neatkarīgi no tā, vai tie ir vai nav rezidenti, un neatkarīgi no</w:t>
      </w:r>
      <w:r>
        <w:rPr>
          <w:noProof/>
          <w:color w:val="000000" w:themeColor="text1"/>
        </w:rPr>
        <w:t xml:space="preserve"> brauciena izcelsmes vai galamērķa vai tahogrāfa veida.  </w:t>
      </w:r>
    </w:p>
    <w:p w:rsidR="003E022D" w:rsidRDefault="007D19D6">
      <w:pPr>
        <w:rPr>
          <w:rFonts w:cstheme="minorHAnsi"/>
          <w:noProof/>
          <w:color w:val="000000" w:themeColor="text1"/>
        </w:rPr>
      </w:pPr>
      <w:r>
        <w:rPr>
          <w:noProof/>
          <w:color w:val="000000" w:themeColor="text1"/>
        </w:rPr>
        <w:t xml:space="preserve">Uzņēmumu telpās veicamo pārbaužu elementi papildus elementiem, uz kuriem attiecas pārbaudes uz ceļiem, ietver:  </w:t>
      </w:r>
    </w:p>
    <w:p w:rsidR="003E022D" w:rsidRDefault="007D19D6">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iknedēļas atpūtas laikposmus un transportlīdzekļa vadīšanas laikposmus starp minētajiem atpūtas laikposmiem;  </w:t>
      </w:r>
    </w:p>
    <w:p w:rsidR="003E022D" w:rsidRDefault="007D19D6">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divu nedēļu laikposma transportlīdzekļa vadīšanas ierobežojumus;  </w:t>
      </w:r>
    </w:p>
    <w:p w:rsidR="003E022D" w:rsidRDefault="007D19D6">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samazināto iknedēļas atpūtas laikposmu kompensāciju saskaņā ar B daļas 2. ieda</w:t>
      </w:r>
      <w:r>
        <w:rPr>
          <w:rFonts w:asciiTheme="minorHAnsi" w:hAnsiTheme="minorHAnsi"/>
          <w:noProof/>
        </w:rPr>
        <w:t xml:space="preserve">ļas 6. panta 6. un 7. punktu; un </w:t>
      </w:r>
    </w:p>
    <w:p w:rsidR="003E022D" w:rsidRDefault="007D19D6">
      <w:pPr>
        <w:pStyle w:val="Point0letter"/>
        <w:numPr>
          <w:ilvl w:val="0"/>
          <w:numId w:val="907"/>
        </w:numPr>
        <w:tabs>
          <w:tab w:val="left" w:pos="851"/>
        </w:tabs>
        <w:jc w:val="both"/>
        <w:rPr>
          <w:rFonts w:asciiTheme="minorHAnsi" w:hAnsiTheme="minorHAnsi" w:cstheme="minorHAnsi"/>
          <w:noProof/>
          <w:color w:val="000000" w:themeColor="text1"/>
        </w:rPr>
      </w:pPr>
      <w:r>
        <w:rPr>
          <w:rFonts w:asciiTheme="minorHAnsi" w:hAnsiTheme="minorHAnsi"/>
          <w:noProof/>
        </w:rPr>
        <w:t>reģistrācijas diagrammu un/vai transportlīdzekļa bloka un vadītāja kartes datu un izdruku izmantošanu un/vai transportlīdzekļa vadītāja darba laika organizēšanu.</w:t>
      </w:r>
      <w:r>
        <w:rPr>
          <w:rFonts w:asciiTheme="minorHAnsi" w:hAnsiTheme="minorHAnsi"/>
          <w:noProof/>
          <w:color w:val="000000" w:themeColor="text1"/>
        </w:rPr>
        <w:t xml:space="preserve">  </w:t>
      </w:r>
    </w:p>
    <w:p w:rsidR="003E022D" w:rsidRDefault="007D19D6">
      <w:pPr>
        <w:rPr>
          <w:rFonts w:cstheme="minorHAnsi"/>
          <w:noProof/>
          <w:color w:val="000000" w:themeColor="text1"/>
        </w:rPr>
      </w:pPr>
      <w:r>
        <w:rPr>
          <w:noProof/>
          <w:color w:val="000000" w:themeColor="text1"/>
        </w:rPr>
        <w:t>2.</w:t>
      </w:r>
      <w:r>
        <w:rPr>
          <w:noProof/>
        </w:rPr>
        <w:tab/>
      </w:r>
      <w:r>
        <w:rPr>
          <w:noProof/>
          <w:color w:val="000000" w:themeColor="text1"/>
        </w:rPr>
        <w:t>Ja, uz ceļa pārbaudot transportlīdzekļa vadītāju, kas v</w:t>
      </w:r>
      <w:r>
        <w:rPr>
          <w:noProof/>
          <w:color w:val="000000" w:themeColor="text1"/>
        </w:rPr>
        <w:t>ada otras Puses teritorijā reģistrētu transportlīdzekli, rodas pamats aizdomām par iespējamiem pārkāpumiem, kurus vajadzīgo datu trūkuma dēļ nav iespējams noteikt pārbaudes laikā, tad kompetentās iestādes katrā Pusē palīdz viena otrai, lai noskaidrotu situ</w:t>
      </w:r>
      <w:r>
        <w:rPr>
          <w:noProof/>
          <w:color w:val="000000" w:themeColor="text1"/>
        </w:rPr>
        <w:t xml:space="preserve">āciju. Ja minētajā nolūkā kompetentās iestādes Pusē veic pārbaudi uzņēmuma telpās, šīs pārbaudes rezultātus paziņo otras Puses kompetentajām iestādēm.  </w:t>
      </w:r>
    </w:p>
    <w:p w:rsidR="003E022D" w:rsidRDefault="007D19D6">
      <w:pPr>
        <w:rPr>
          <w:rFonts w:cstheme="minorHAnsi"/>
          <w:noProof/>
          <w:color w:val="000000" w:themeColor="text1"/>
        </w:rPr>
      </w:pPr>
      <w:r>
        <w:rPr>
          <w:noProof/>
          <w:color w:val="000000" w:themeColor="text1"/>
        </w:rPr>
        <w:t>3.</w:t>
      </w:r>
      <w:r>
        <w:rPr>
          <w:noProof/>
        </w:rPr>
        <w:tab/>
      </w:r>
      <w:r>
        <w:rPr>
          <w:noProof/>
          <w:color w:val="000000" w:themeColor="text1"/>
        </w:rPr>
        <w:t xml:space="preserve">Kompetentās iestādes Pusēs sadarbojas, organizējot saskaņotas pārbaudes uz ceļiem.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Katra Puse i</w:t>
      </w:r>
      <w:r>
        <w:rPr>
          <w:noProof/>
          <w:color w:val="000000" w:themeColor="text1"/>
        </w:rPr>
        <w:t>evieš riska novērtējuma sistēmu uzņēmumiem, pamatojoties uz ROAD.A.1. papildinājumā noteikto pārkāpumu un visu to pārkāpumu relatīvo skaitu un smagumu, kuri iekļauti sarakstā, ko Specializētā autotransporta komiteja sagatavojusi saskaņā ar A daļas 1. iedaļ</w:t>
      </w:r>
      <w:r>
        <w:rPr>
          <w:noProof/>
          <w:color w:val="000000" w:themeColor="text1"/>
        </w:rPr>
        <w:t xml:space="preserve">as 6. panta 3. punktu, un kurus izdarījis atsevišķs uzņēmums.   </w:t>
      </w:r>
    </w:p>
    <w:p w:rsidR="003E022D" w:rsidRDefault="007D19D6">
      <w:pPr>
        <w:rPr>
          <w:rFonts w:cstheme="minorHAnsi"/>
          <w:noProof/>
          <w:color w:val="000000" w:themeColor="text1"/>
        </w:rPr>
      </w:pPr>
      <w:r>
        <w:rPr>
          <w:noProof/>
          <w:color w:val="000000" w:themeColor="text1"/>
        </w:rPr>
        <w:t>5.</w:t>
      </w:r>
      <w:r>
        <w:rPr>
          <w:noProof/>
        </w:rPr>
        <w:tab/>
      </w:r>
      <w:r>
        <w:rPr>
          <w:noProof/>
          <w:color w:val="000000" w:themeColor="text1"/>
        </w:rPr>
        <w:t>Uzņēmumus ar augstu riska novērtējumu pārbauda daudz detalizētāk un biežāk.</w:t>
      </w:r>
    </w:p>
    <w:p w:rsidR="003E022D" w:rsidRDefault="007D19D6">
      <w:pPr>
        <w:rPr>
          <w:rFonts w:cstheme="minorHAnsi"/>
          <w:noProof/>
          <w:color w:val="000000" w:themeColor="text1"/>
        </w:rPr>
      </w:pPr>
      <w:r>
        <w:rPr>
          <w:noProof/>
          <w:color w:val="000000" w:themeColor="text1"/>
        </w:rPr>
        <w:t>6.</w:t>
      </w:r>
      <w:r>
        <w:rPr>
          <w:noProof/>
        </w:rPr>
        <w:tab/>
      </w:r>
      <w:r>
        <w:rPr>
          <w:noProof/>
          <w:color w:val="000000" w:themeColor="text1"/>
        </w:rPr>
        <w:t>Katra Puse un – Savienības gadījumā – katra dalībvalsts nodrošina iespēju savām kompetentajām iestādēm piemēr</w:t>
      </w:r>
      <w:r>
        <w:rPr>
          <w:noProof/>
          <w:color w:val="000000" w:themeColor="text1"/>
        </w:rPr>
        <w:t xml:space="preserve">ot sodu kravu autopārvadātājam un/vai transportlīdzekļa vadītājam par piemērojamo noteikumu pārkāpumu attiecībā uz transportlīdzekļa vadīšanas laiku, pārtraukumiem un atpūtas laikposmiem, kas konstatēti tās teritorijā un par ko vēl nav piemērots sods, pat </w:t>
      </w:r>
      <w:r>
        <w:rPr>
          <w:noProof/>
          <w:color w:val="000000" w:themeColor="text1"/>
        </w:rPr>
        <w:t>ja minētais pārkāpums ir izdarīts otras Puses teritorijā vai – Savienības gadījumā – dalībvalsts vai trešās valsts teritorijā.</w:t>
      </w:r>
    </w:p>
    <w:p w:rsidR="003E022D" w:rsidRDefault="007D19D6">
      <w:pPr>
        <w:pStyle w:val="Appendix"/>
        <w:rPr>
          <w:noProof/>
        </w:rPr>
      </w:pPr>
      <w:r>
        <w:rPr>
          <w:noProof/>
        </w:rPr>
        <w:t xml:space="preserve"> </w:t>
      </w:r>
      <w:r>
        <w:rPr>
          <w:noProof/>
        </w:rPr>
        <w:tab/>
        <w:t xml:space="preserve"> </w:t>
      </w:r>
      <w:r>
        <w:rPr>
          <w:noProof/>
        </w:rPr>
        <w:br w:type="page"/>
        <w:t xml:space="preserve">ROAD.B.4.1. papildinājums. Analogā tahogrāfa tehnisko specifikāciju pielāgojumi </w:t>
      </w:r>
    </w:p>
    <w:p w:rsidR="003E022D" w:rsidRDefault="007D19D6">
      <w:pPr>
        <w:rPr>
          <w:rFonts w:cstheme="minorHAnsi"/>
          <w:b/>
          <w:noProof/>
        </w:rPr>
      </w:pPr>
      <w:r>
        <w:rPr>
          <w:b/>
          <w:noProof/>
        </w:rPr>
        <w:t>Šīs iedaļas nolūkā Padomes Regulas (EEK) Nr.</w:t>
      </w:r>
      <w:r>
        <w:rPr>
          <w:b/>
          <w:noProof/>
        </w:rPr>
        <w:t xml:space="preserve"> 3821/85 I pielikumu pielāgo šādi: </w:t>
      </w:r>
    </w:p>
    <w:p w:rsidR="003E022D" w:rsidRDefault="007D19D6">
      <w:pPr>
        <w:pStyle w:val="Point0letter"/>
        <w:numPr>
          <w:ilvl w:val="0"/>
          <w:numId w:val="908"/>
        </w:numPr>
        <w:tabs>
          <w:tab w:val="left" w:pos="851"/>
        </w:tabs>
        <w:ind w:left="851" w:hanging="851"/>
        <w:jc w:val="both"/>
        <w:rPr>
          <w:rFonts w:asciiTheme="minorHAnsi" w:hAnsiTheme="minorHAnsi" w:cstheme="minorHAnsi"/>
          <w:noProof/>
        </w:rPr>
      </w:pPr>
      <w:r>
        <w:rPr>
          <w:noProof/>
        </w:rPr>
        <w:t>III iedaļas [Reģistrācijas kontrolierīču konstrukcijai noteiktās prasības] c) apakšiedaļas [Reģistrējošie pašrakstītāji instrumenti] 4.1. punktā “regulas 15. panta 3. punkta otrā ievilkuma b), c) un d) apakšpunktu” aizvi</w:t>
      </w:r>
      <w:r>
        <w:rPr>
          <w:noProof/>
        </w:rPr>
        <w:t xml:space="preserve">eto ar “Tirdzniecības un sadarbības nolīguma starp Eiropas Savienību un Eiropas Atomenerģijas kopienu, no vienas puses, un Lielbritānijas un Ziemeļīrijas Apvienoto Karalisti, no otras puses, </w:t>
      </w:r>
      <w:bookmarkStart w:id="1336" w:name="_Hlk54374099"/>
      <w:r>
        <w:rPr>
          <w:noProof/>
        </w:rPr>
        <w:t>ROAD-1. pielikuma</w:t>
      </w:r>
      <w:bookmarkEnd w:id="1336"/>
      <w:r>
        <w:rPr>
          <w:noProof/>
        </w:rPr>
        <w:t xml:space="preserve"> B daļas 4. iedaļas 6. panta 5. punkta b) apakšp</w:t>
      </w:r>
      <w:r>
        <w:rPr>
          <w:noProof/>
        </w:rPr>
        <w:t>unkta ii), iii) un iv) punktu”.</w:t>
      </w:r>
      <w:r>
        <w:rPr>
          <w:rFonts w:asciiTheme="minorHAnsi" w:hAnsiTheme="minorHAnsi"/>
          <w:noProof/>
        </w:rPr>
        <w:t xml:space="preserve"> </w:t>
      </w:r>
    </w:p>
    <w:p w:rsidR="003E022D" w:rsidRDefault="007D19D6">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III iedaļas [Reģistrācijas kontrolierīču konstrukcijai noteiktās prasības] c) apakšiedaļas [Reģistrējošie pašrakstītāji instrumenti] 4.2. punktā “regulas 15. pantu” aizvieto ar “Tirdzniecības un sadarbības nolīguma starp Ei</w:t>
      </w:r>
      <w:r>
        <w:rPr>
          <w:rFonts w:asciiTheme="minorHAnsi" w:hAnsiTheme="minorHAnsi"/>
          <w:noProof/>
        </w:rPr>
        <w:t xml:space="preserve">ropas Savienību un Eiropas Atomenerģijas kopienu, no vienas puses, un Lielbritānijas un Ziemeļīrijas Apvienoto Karalisti, no otras puses, ROAD-1. pielikuma B daļas 4. iedaļas 6. panta 5. punktu”.  </w:t>
      </w:r>
    </w:p>
    <w:p w:rsidR="003E022D" w:rsidRDefault="007D19D6">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IV iedaļas [Reģistrācijas diagrammas] a) apakšiedaļas [Vispārīgas prasības] 1. punkta trešajā daļā “regulas 15. panta 5. punktu” aizvieto ar “Tirdzniecības un sadarbības nolīguma starp Eiropas Savienību un Eiropas Atomenerģijas kopienu, no vienas puses, un</w:t>
      </w:r>
      <w:r>
        <w:rPr>
          <w:rFonts w:asciiTheme="minorHAnsi" w:hAnsiTheme="minorHAnsi"/>
          <w:noProof/>
        </w:rPr>
        <w:t xml:space="preserve"> Lielbritānijas un Ziemeļīrijas Apvienoto Karalisti, no otras puses, ROAD-1. pielikuma B daļas 4. iedaļas 6. panta 6. punktu”.  </w:t>
      </w:r>
    </w:p>
    <w:p w:rsidR="003E022D" w:rsidRDefault="007D19D6">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V iedaļas [Reģistrācijas kontrolierīces uzstādīšana] 5. punkta pirmajā daļā “šo regulu” aizvieto ar “Tirdzniecības un sadarbība</w:t>
      </w:r>
      <w:r>
        <w:rPr>
          <w:rFonts w:asciiTheme="minorHAnsi" w:hAnsiTheme="minorHAnsi"/>
          <w:noProof/>
        </w:rPr>
        <w:t xml:space="preserve">s nolīguma starp Eiropas Savienību un Eiropas Atomenerģijas kopienu, no vienas puses, un Lielbritānijas un Ziemeļīrijas Apvienoto Karalisti, no otras puses, ROAD-1. pielikuma B daļas 4. iedaļu un C daļas 2. iedaļu”.  </w:t>
      </w:r>
    </w:p>
    <w:p w:rsidR="003E022D" w:rsidRDefault="007D19D6">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V iedaļas (Reģistrācijas kontrolierīce</w:t>
      </w:r>
      <w:r>
        <w:rPr>
          <w:rFonts w:asciiTheme="minorHAnsi" w:hAnsiTheme="minorHAnsi"/>
          <w:noProof/>
        </w:rPr>
        <w:t xml:space="preserve">s uzstādīšana) 5. punkta trešajā daļā “Padomes Direktīvas 70/156/EEK II pielikuma A daļu” aizvieto ar “Konsolidēto rezolūciju par transportlīdzekļu konstrukciju (R.E.3)” un “regulu” aizvieto ar “Tirdzniecības un sadarbības nolīguma starp Eiropas Savienību </w:t>
      </w:r>
      <w:r>
        <w:rPr>
          <w:rFonts w:asciiTheme="minorHAnsi" w:hAnsiTheme="minorHAnsi"/>
          <w:noProof/>
        </w:rPr>
        <w:t xml:space="preserve">un Eiropas Atomenerģijas kopienu, no vienas puses, un Lielbritānijas un Ziemeļīrijas Apvienoto Karalisti, no otras puses, ROAD-1. pielikuma C daļas 2. iedaļu”. </w:t>
      </w:r>
    </w:p>
    <w:p w:rsidR="003E022D" w:rsidRDefault="007D19D6">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VI iedaļā [Pārbaudes un inspekcijas] tekstā pirms 1. punkta pēc vārda “dalībvalstis” iekļauj “u</w:t>
      </w:r>
      <w:r>
        <w:rPr>
          <w:rFonts w:asciiTheme="minorHAnsi" w:hAnsiTheme="minorHAnsi"/>
          <w:noProof/>
        </w:rPr>
        <w:t>n Apvienotā Karaliste”.</w:t>
      </w:r>
    </w:p>
    <w:p w:rsidR="003E022D" w:rsidRDefault="007D19D6">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VI iedaļā [Pārbaudes un inspekcijas] 1. punkta [Jaunu un izremontētu instrumentu sertificēšana] otrajā daļā pēc vārda “dalībvalstis” iekļauj “un Apvienotā Karaliste” un “regulu un tās pielikumus” aizvieto ar “Tirdzniecības un sadarb</w:t>
      </w:r>
      <w:r>
        <w:rPr>
          <w:rFonts w:asciiTheme="minorHAnsi" w:hAnsiTheme="minorHAnsi"/>
          <w:noProof/>
        </w:rPr>
        <w:t>ības nolīguma starp Eiropas Savienību un Eiropas Atomenerģijas kopienu, no vienas puses, un Lielbritānijas un Ziemeļīrijas Apvienoto Karalisti, no otras puses, ROAD-1. pielikuma B daļas 4. iedaļu un C daļas 2. iedaļu”.</w:t>
      </w:r>
    </w:p>
    <w:p w:rsidR="003E022D" w:rsidRDefault="007D19D6">
      <w:pPr>
        <w:pStyle w:val="Point0letter"/>
        <w:numPr>
          <w:ilvl w:val="0"/>
          <w:numId w:val="908"/>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 xml:space="preserve">VI iedaļā [Pārbaudes un inspekcijas] </w:t>
      </w:r>
      <w:r>
        <w:rPr>
          <w:rFonts w:asciiTheme="minorHAnsi" w:hAnsiTheme="minorHAnsi"/>
          <w:noProof/>
        </w:rPr>
        <w:t>3. punkta [Periodiskas inspekcijas] b) apakšpunktā pēc vārda “dalībvalsts” iekļauj “un Apvienotā Karaliste”.</w:t>
      </w:r>
    </w:p>
    <w:p w:rsidR="003E022D" w:rsidRDefault="007D19D6">
      <w:pPr>
        <w:rPr>
          <w:rFonts w:cstheme="minorHAnsi"/>
          <w:b/>
          <w:noProof/>
          <w:color w:val="000000" w:themeColor="text1"/>
        </w:rPr>
      </w:pPr>
      <w:r>
        <w:rPr>
          <w:noProof/>
        </w:rPr>
        <w:br w:type="page"/>
      </w:r>
    </w:p>
    <w:p w:rsidR="003E022D" w:rsidRDefault="007D19D6">
      <w:pPr>
        <w:pStyle w:val="Appendix"/>
        <w:rPr>
          <w:noProof/>
        </w:rPr>
      </w:pPr>
      <w:r>
        <w:rPr>
          <w:noProof/>
        </w:rPr>
        <w:t xml:space="preserve">ROAD.B.4.2. papildinājums. Digitālā tahogrāfa tehnisko specifikāciju pielāgojumi  </w:t>
      </w:r>
    </w:p>
    <w:p w:rsidR="003E022D" w:rsidRDefault="007D19D6">
      <w:pPr>
        <w:rPr>
          <w:rFonts w:cstheme="minorHAnsi"/>
          <w:b/>
          <w:noProof/>
        </w:rPr>
      </w:pPr>
      <w:r>
        <w:rPr>
          <w:b/>
          <w:noProof/>
        </w:rPr>
        <w:t>Šīs iedaļas nolūkā Padomes Regulas (EEK) Nr. 3821/85 IB pielik</w:t>
      </w:r>
      <w:r>
        <w:rPr>
          <w:b/>
          <w:noProof/>
        </w:rPr>
        <w:t xml:space="preserve">umu, tostarp tā papildinājumus, kas ieviesti ar Padomes Regulu (EK) Nr. 2135/98, pielāgo šādi: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Apvienotās Karalistes gadījumā atsauces uz “dalībvalsti” aizstāj ar atsauci uz “Pusi”, izņemot atsauces IV apakšiedaļas [Prasības attiecībā uz tahogrāfa karš</w:t>
      </w:r>
      <w:r>
        <w:rPr>
          <w:noProof/>
          <w:color w:val="000000" w:themeColor="text1"/>
        </w:rPr>
        <w:t xml:space="preserve">u konstrukciju un darbību] 174. punktā un VII apakšiedaļas [Karšu izsniegšana] 268.a punktā;  </w:t>
      </w:r>
    </w:p>
    <w:p w:rsidR="003E022D" w:rsidRDefault="007D19D6">
      <w:pPr>
        <w:rPr>
          <w:rFonts w:cstheme="minorHAnsi"/>
          <w:noProof/>
          <w:color w:val="000000" w:themeColor="text1"/>
        </w:rPr>
      </w:pPr>
      <w:r>
        <w:rPr>
          <w:noProof/>
          <w:color w:val="000000" w:themeColor="text1"/>
        </w:rPr>
        <w:t>2.</w:t>
      </w:r>
      <w:r>
        <w:rPr>
          <w:noProof/>
        </w:rPr>
        <w:tab/>
        <w:t>“Padomes Regulu (EEK) Nr. 3820/85” un “Regulu (EK) Nr. 561/2006” aizvieto ar “Tirdzniecības un sadarbības nolīguma starp Eiropas Savienību un Eiropas Atomener</w:t>
      </w:r>
      <w:r>
        <w:rPr>
          <w:noProof/>
        </w:rPr>
        <w:t>ģijas kopienu, no vienas puses, un Lielbritānijas un Ziemeļīrijas Apvienoto Karalisti, no otras puses, ROAD-1. pielikuma B daļas 2. iedaļu";</w:t>
      </w:r>
      <w:r>
        <w:rPr>
          <w:noProof/>
          <w:color w:val="000000" w:themeColor="text1"/>
        </w:rPr>
        <w:t xml:space="preserve">  </w:t>
      </w:r>
    </w:p>
    <w:p w:rsidR="003E022D" w:rsidRDefault="007D19D6">
      <w:pPr>
        <w:rPr>
          <w:rFonts w:cstheme="minorHAnsi"/>
          <w:b/>
          <w:noProof/>
        </w:rPr>
      </w:pPr>
      <w:r>
        <w:rPr>
          <w:b/>
          <w:noProof/>
        </w:rPr>
        <w:t xml:space="preserve">Šīs iedaļas nolūkā Padomes Regulas (EEK) Nr. 3821/85 IB pielikuma I iedaļu (Definīcijas) pielāgo šādi:  </w:t>
      </w:r>
    </w:p>
    <w:p w:rsidR="003E022D" w:rsidRDefault="007D19D6">
      <w:pPr>
        <w:rPr>
          <w:rFonts w:cstheme="minorHAnsi"/>
          <w:noProof/>
          <w:color w:val="000000" w:themeColor="text1"/>
        </w:rPr>
      </w:pPr>
      <w:r>
        <w:rPr>
          <w:noProof/>
          <w:color w:val="000000" w:themeColor="text1"/>
        </w:rPr>
        <w:t>3.</w:t>
      </w:r>
      <w:r>
        <w:rPr>
          <w:noProof/>
        </w:rPr>
        <w:tab/>
      </w:r>
      <w:r>
        <w:rPr>
          <w:noProof/>
          <w:color w:val="000000" w:themeColor="text1"/>
        </w:rPr>
        <w:t xml:space="preserve">Iedaļas u) punktu aizstāj ar šādu:  </w:t>
      </w:r>
    </w:p>
    <w:p w:rsidR="003E022D" w:rsidRDefault="007D19D6">
      <w:pPr>
        <w:rPr>
          <w:rFonts w:cstheme="minorHAnsi"/>
          <w:noProof/>
          <w:color w:val="000000" w:themeColor="text1"/>
        </w:rPr>
      </w:pPr>
      <w:r>
        <w:rPr>
          <w:noProof/>
          <w:color w:val="000000" w:themeColor="text1"/>
        </w:rPr>
        <w:t>“u) “riteņu faktiskais apkārtmērs” ir vidējais attālums, ko, pārvietojot transportlīdzekli, viena pilna apgrieziena laikā nobrauc katrs no dzenošajiem riteņiem. Minētie attālumi jāmēra testēšanas standartapstākļos, kā n</w:t>
      </w:r>
      <w:r>
        <w:rPr>
          <w:noProof/>
          <w:color w:val="000000" w:themeColor="text1"/>
        </w:rPr>
        <w:t>orādīts 414. prasībā, un tos izsaka šādi: “l = … mm”. Transportlīdzekļu ražotāji minēto attālumu mērīšanu var aizstāt ar teorētiskiem aprēķiniem, kuros ņem vērā neslogotu un tehniskā kārtībā esošu transportlīdzekļu svara sadalījumu pa asīm, proti, ar dzesē</w:t>
      </w:r>
      <w:r>
        <w:rPr>
          <w:noProof/>
          <w:color w:val="000000" w:themeColor="text1"/>
        </w:rPr>
        <w:t xml:space="preserve">šanas šķidrumu, smērvielām, degvielu, instrumentiem, rezerves riteni un transportlīdzekļa vadītāju. Šādu teorētisko aprēķinu veikšanas metodes jāapstiprina kompetentajai iestādei Pusē, un tās var īstenot tikai pirms tahogrāfa aktivēšanas;” </w:t>
      </w:r>
    </w:p>
    <w:p w:rsidR="003E022D" w:rsidRDefault="007D19D6">
      <w:pPr>
        <w:rPr>
          <w:rFonts w:cstheme="minorHAnsi"/>
          <w:noProof/>
          <w:color w:val="000000" w:themeColor="text1"/>
        </w:rPr>
      </w:pPr>
      <w:r>
        <w:rPr>
          <w:noProof/>
          <w:color w:val="000000" w:themeColor="text1"/>
        </w:rPr>
        <w:t>4.</w:t>
      </w:r>
      <w:r>
        <w:rPr>
          <w:noProof/>
        </w:rPr>
        <w:tab/>
      </w:r>
      <w:r>
        <w:rPr>
          <w:noProof/>
          <w:color w:val="000000" w:themeColor="text1"/>
        </w:rPr>
        <w:t>Iedaļas bb) </w:t>
      </w:r>
      <w:r>
        <w:rPr>
          <w:noProof/>
          <w:color w:val="000000" w:themeColor="text1"/>
        </w:rPr>
        <w:t xml:space="preserve">punktā atsauci uz “Padomes Direktīvu 92/6/EEK” aizstāj ar atsauci uz “katras Puses piemērojamajiem tiesību aktiem”.  </w:t>
      </w:r>
    </w:p>
    <w:p w:rsidR="003E022D" w:rsidRDefault="007D19D6">
      <w:pPr>
        <w:rPr>
          <w:rFonts w:cstheme="minorHAnsi"/>
          <w:noProof/>
          <w:color w:val="000000" w:themeColor="text1"/>
        </w:rPr>
      </w:pPr>
      <w:r>
        <w:rPr>
          <w:noProof/>
          <w:color w:val="000000" w:themeColor="text1"/>
        </w:rPr>
        <w:t>5.</w:t>
      </w:r>
      <w:r>
        <w:rPr>
          <w:noProof/>
        </w:rPr>
        <w:tab/>
      </w:r>
      <w:r>
        <w:rPr>
          <w:noProof/>
          <w:color w:val="000000" w:themeColor="text1"/>
        </w:rPr>
        <w:t xml:space="preserve">Iedaļas ii) punktu aizstāj ar šādu:  </w:t>
      </w:r>
    </w:p>
    <w:p w:rsidR="003E022D" w:rsidRDefault="007D19D6">
      <w:pPr>
        <w:rPr>
          <w:rFonts w:cstheme="minorHAnsi"/>
          <w:noProof/>
          <w:color w:val="000000" w:themeColor="text1"/>
        </w:rPr>
      </w:pPr>
      <w:r>
        <w:rPr>
          <w:noProof/>
          <w:color w:val="000000" w:themeColor="text1"/>
        </w:rPr>
        <w:t>“drošības sertifikācija” ir process, kurā kopējo kritēriju sertifikācijas iestāde apliecina, ka p</w:t>
      </w:r>
      <w:r>
        <w:rPr>
          <w:noProof/>
          <w:color w:val="000000" w:themeColor="text1"/>
        </w:rPr>
        <w:t xml:space="preserve">ārbaudītā reģistrācijas kontrolierīce (vai sastāvdaļa) vai tahogrāfa karte atbilst attiecīgajos aizsardzības profilos noteiktajām drošības prasībām;” </w:t>
      </w:r>
    </w:p>
    <w:p w:rsidR="003E022D" w:rsidRDefault="007D19D6">
      <w:pPr>
        <w:rPr>
          <w:rFonts w:cstheme="minorHAnsi"/>
          <w:noProof/>
          <w:color w:val="000000" w:themeColor="text1"/>
        </w:rPr>
      </w:pPr>
      <w:r>
        <w:rPr>
          <w:noProof/>
          <w:color w:val="000000" w:themeColor="text1"/>
        </w:rPr>
        <w:t>6.</w:t>
      </w:r>
      <w:r>
        <w:rPr>
          <w:noProof/>
        </w:rPr>
        <w:tab/>
      </w:r>
      <w:r>
        <w:rPr>
          <w:noProof/>
          <w:color w:val="000000" w:themeColor="text1"/>
        </w:rPr>
        <w:t>Iedaļas mm) punktā atsauci uz “Direktīvu 92/23/EEK” aizstāj ar atsauci uz “ANO EEK Noteikumiem Nr. 54”</w:t>
      </w:r>
      <w:r>
        <w:rPr>
          <w:noProof/>
          <w:color w:val="000000" w:themeColor="text1"/>
        </w:rPr>
        <w:t xml:space="preserve">.  </w:t>
      </w:r>
    </w:p>
    <w:p w:rsidR="003E022D" w:rsidRDefault="007D19D6">
      <w:pPr>
        <w:rPr>
          <w:rFonts w:cstheme="minorHAnsi"/>
          <w:noProof/>
          <w:color w:val="000000" w:themeColor="text1"/>
        </w:rPr>
      </w:pPr>
      <w:r>
        <w:rPr>
          <w:noProof/>
          <w:color w:val="000000" w:themeColor="text1"/>
        </w:rPr>
        <w:t>7.</w:t>
      </w:r>
      <w:r>
        <w:rPr>
          <w:noProof/>
        </w:rPr>
        <w:tab/>
      </w:r>
      <w:r>
        <w:rPr>
          <w:noProof/>
          <w:color w:val="000000" w:themeColor="text1"/>
        </w:rPr>
        <w:t xml:space="preserve">Iedaļas nn) punktā 17. zemsvītras piezīmi aizstāj ar šādu:   </w:t>
      </w:r>
    </w:p>
    <w:p w:rsidR="003E022D" w:rsidRDefault="007D19D6">
      <w:pPr>
        <w:rPr>
          <w:rFonts w:cstheme="minorHAnsi"/>
          <w:noProof/>
          <w:color w:val="000000" w:themeColor="text1"/>
        </w:rPr>
      </w:pPr>
      <w:r>
        <w:rPr>
          <w:noProof/>
          <w:color w:val="000000" w:themeColor="text1"/>
        </w:rPr>
        <w:t xml:space="preserve">““Transportlīdzekļa identifikācijas numurs” ir noteikta rakstzīmju kombinācija, ko ražotājs piešķir katram transportlīdzeklim un kas sastāv no divām iedaļām: pirmo iedaļu veido ne vairāk </w:t>
      </w:r>
      <w:r>
        <w:rPr>
          <w:noProof/>
          <w:color w:val="000000" w:themeColor="text1"/>
        </w:rPr>
        <w:t>kā sešas rakstzīmes (burti vai skaitļi), kas norāda transportlīdzekļa galvenos parametrus, jo īpaši tipu un modeli; otru iedaļu veido astoņas rakstzīmes, no kurām pirmās četras var būt burti vai skaitļi, bet pārējās četras – tikai skaitļi, kopā ar pirmo ie</w:t>
      </w:r>
      <w:r>
        <w:rPr>
          <w:noProof/>
          <w:color w:val="000000" w:themeColor="text1"/>
        </w:rPr>
        <w:t>daļu sniedzot konkrētā transportlīdzekļa skaidru identifikāciju.”</w:t>
      </w:r>
    </w:p>
    <w:p w:rsidR="003E022D" w:rsidRDefault="007D19D6">
      <w:pPr>
        <w:rPr>
          <w:rFonts w:cstheme="minorHAnsi"/>
          <w:noProof/>
          <w:color w:val="000000" w:themeColor="text1"/>
        </w:rPr>
      </w:pPr>
      <w:r>
        <w:rPr>
          <w:noProof/>
          <w:color w:val="000000" w:themeColor="text1"/>
        </w:rPr>
        <w:t>8.</w:t>
      </w:r>
      <w:r>
        <w:rPr>
          <w:noProof/>
        </w:rPr>
        <w:tab/>
      </w:r>
      <w:r>
        <w:rPr>
          <w:noProof/>
          <w:color w:val="000000" w:themeColor="text1"/>
        </w:rPr>
        <w:t xml:space="preserve">Iedaļas rr) punkta pirmo ievilkumu aizstāj ar šādu: </w:t>
      </w:r>
    </w:p>
    <w:p w:rsidR="003E022D" w:rsidRDefault="007D19D6">
      <w:pPr>
        <w:rPr>
          <w:rFonts w:cstheme="minorHAnsi"/>
          <w:noProof/>
          <w:color w:val="000000" w:themeColor="text1"/>
        </w:rPr>
      </w:pPr>
      <w:r>
        <w:rPr>
          <w:noProof/>
          <w:color w:val="000000" w:themeColor="text1"/>
        </w:rPr>
        <w:t xml:space="preserve">“– uzstāda un izmanto tikai M1 un N1 tipa transportlīdzekļos, kā definēts Konsolidētajā rezolūcijā par transportlīdzekļu konstrukciju </w:t>
      </w:r>
      <w:r>
        <w:rPr>
          <w:noProof/>
          <w:color w:val="000000" w:themeColor="text1"/>
        </w:rPr>
        <w:t>(R.E.3);”</w:t>
      </w:r>
    </w:p>
    <w:p w:rsidR="003E022D" w:rsidRDefault="003E022D">
      <w:pPr>
        <w:rPr>
          <w:rFonts w:cstheme="minorHAnsi"/>
          <w:noProof/>
          <w:color w:val="000000" w:themeColor="text1"/>
        </w:rPr>
      </w:pPr>
    </w:p>
    <w:p w:rsidR="003E022D" w:rsidRDefault="007D19D6">
      <w:pPr>
        <w:rPr>
          <w:rFonts w:cstheme="minorHAnsi"/>
          <w:i/>
          <w:noProof/>
        </w:rPr>
      </w:pPr>
      <w:r>
        <w:rPr>
          <w:i/>
          <w:noProof/>
        </w:rPr>
        <w:t xml:space="preserve">Šīs iedaļas nolūkā Padomes Regulas (EEK) Nr. 3821/85 IB pielikuma II iedaļu (Reģistrācijas kontrolierīču vispārīgs raksturojums un funkcijas) pielāgo šādi: </w:t>
      </w:r>
    </w:p>
    <w:p w:rsidR="003E022D" w:rsidRDefault="007D19D6">
      <w:pPr>
        <w:rPr>
          <w:rFonts w:cstheme="minorHAnsi"/>
          <w:noProof/>
          <w:color w:val="000000" w:themeColor="text1"/>
        </w:rPr>
      </w:pPr>
      <w:r>
        <w:rPr>
          <w:noProof/>
          <w:color w:val="000000" w:themeColor="text1"/>
        </w:rPr>
        <w:t>9.</w:t>
      </w:r>
      <w:r>
        <w:rPr>
          <w:noProof/>
        </w:rPr>
        <w:tab/>
      </w:r>
      <w:r>
        <w:rPr>
          <w:noProof/>
          <w:color w:val="000000" w:themeColor="text1"/>
        </w:rPr>
        <w:t xml:space="preserve">Iedaļas 004. punkta pēdējo daļu svītro.  </w:t>
      </w:r>
    </w:p>
    <w:p w:rsidR="003E022D" w:rsidRDefault="007D19D6">
      <w:pPr>
        <w:rPr>
          <w:rFonts w:cstheme="minorHAnsi"/>
          <w:b/>
          <w:noProof/>
        </w:rPr>
      </w:pPr>
      <w:r>
        <w:rPr>
          <w:b/>
          <w:noProof/>
        </w:rPr>
        <w:t>Šīs iedaļas nolūkā Padomes Regulas (EEK) Nr</w:t>
      </w:r>
      <w:r>
        <w:rPr>
          <w:b/>
          <w:noProof/>
        </w:rPr>
        <w:t xml:space="preserve">. 3821/85 IB pielikuma III iedaļu (Prasības attiecībā uz reģistrācijas kontrolierīču konstrukciju un darbību) pielāgo šādi:  </w:t>
      </w:r>
    </w:p>
    <w:p w:rsidR="003E022D" w:rsidRDefault="007D19D6">
      <w:pPr>
        <w:rPr>
          <w:rFonts w:cstheme="minorHAnsi"/>
          <w:noProof/>
          <w:color w:val="000000" w:themeColor="text1"/>
        </w:rPr>
      </w:pPr>
      <w:r>
        <w:rPr>
          <w:noProof/>
          <w:color w:val="000000" w:themeColor="text1"/>
        </w:rPr>
        <w:t>10.</w:t>
      </w:r>
      <w:r>
        <w:rPr>
          <w:noProof/>
        </w:rPr>
        <w:tab/>
      </w:r>
      <w:r>
        <w:rPr>
          <w:noProof/>
          <w:color w:val="000000" w:themeColor="text1"/>
        </w:rPr>
        <w:t>Iedaļas 065. punktā atsauci uz “Direktīvu 2007/46/EK” aizstāj ar atsauci uz “Konsolidēto rezolūciju par transportlīdzekļu kons</w:t>
      </w:r>
      <w:r>
        <w:rPr>
          <w:noProof/>
          <w:color w:val="000000" w:themeColor="text1"/>
        </w:rPr>
        <w:t xml:space="preserve">trukciju (R.E.3)”.   </w:t>
      </w:r>
    </w:p>
    <w:p w:rsidR="003E022D" w:rsidRDefault="007D19D6">
      <w:pPr>
        <w:rPr>
          <w:rFonts w:cstheme="minorHAnsi"/>
          <w:noProof/>
          <w:color w:val="000000" w:themeColor="text1"/>
        </w:rPr>
      </w:pPr>
      <w:r>
        <w:rPr>
          <w:noProof/>
          <w:color w:val="000000" w:themeColor="text1"/>
        </w:rPr>
        <w:t>11.</w:t>
      </w:r>
      <w:r>
        <w:rPr>
          <w:noProof/>
        </w:rPr>
        <w:tab/>
      </w:r>
      <w:r>
        <w:rPr>
          <w:noProof/>
          <w:color w:val="000000" w:themeColor="text1"/>
        </w:rPr>
        <w:t>Iedaļas 162. punktā atsauci uz “Komisijas 1995. gada 31. oktobra Direktīvu 95/54/EK, ar kuru pielāgo tehniskajam progresam Padomes Direktīvu 72/245/EEK” aizstāj ar atsauci uz “ANO EEK Noteikumiem Nr. 10”.</w:t>
      </w:r>
    </w:p>
    <w:p w:rsidR="003E022D" w:rsidRDefault="007D19D6">
      <w:pPr>
        <w:rPr>
          <w:rFonts w:cstheme="minorHAnsi"/>
          <w:noProof/>
          <w:color w:val="000000" w:themeColor="text1"/>
        </w:rPr>
      </w:pPr>
      <w:r>
        <w:rPr>
          <w:b/>
          <w:noProof/>
          <w:color w:val="000000" w:themeColor="text1"/>
        </w:rPr>
        <w:t>Šīs iedaļas nolūkā Padome</w:t>
      </w:r>
      <w:r>
        <w:rPr>
          <w:b/>
          <w:noProof/>
          <w:color w:val="000000" w:themeColor="text1"/>
        </w:rPr>
        <w:t xml:space="preserve">s Regulas (EEK) Nr. 3821/85 IB pielikuma IV iedaļu (Prasības attiecībā uz tahogrāfa karšu konstrukciju un darbību) pielāgo šādi:  </w:t>
      </w:r>
    </w:p>
    <w:p w:rsidR="003E022D" w:rsidRDefault="007D19D6">
      <w:pPr>
        <w:rPr>
          <w:rFonts w:cstheme="minorHAnsi"/>
          <w:noProof/>
          <w:color w:val="000000" w:themeColor="text1"/>
        </w:rPr>
      </w:pPr>
      <w:r>
        <w:rPr>
          <w:noProof/>
          <w:color w:val="000000" w:themeColor="text1"/>
        </w:rPr>
        <w:t>12.</w:t>
      </w:r>
      <w:r>
        <w:rPr>
          <w:noProof/>
        </w:rPr>
        <w:tab/>
      </w:r>
      <w:r>
        <w:rPr>
          <w:noProof/>
          <w:color w:val="000000" w:themeColor="text1"/>
        </w:rPr>
        <w:t xml:space="preserve">Iedaļas 174. punktā atsauci uz “UK: Apvienotā Karaliste" aizstāj ar atsauci “Attiecībā uz Apvienoto Karalisti atšķirības </w:t>
      </w:r>
      <w:r>
        <w:rPr>
          <w:noProof/>
          <w:color w:val="000000" w:themeColor="text1"/>
        </w:rPr>
        <w:t xml:space="preserve">zīme ir UK”.  </w:t>
      </w:r>
    </w:p>
    <w:p w:rsidR="003E022D" w:rsidRDefault="007D19D6">
      <w:pPr>
        <w:rPr>
          <w:rFonts w:cstheme="minorHAnsi"/>
          <w:noProof/>
          <w:color w:val="000000" w:themeColor="text1"/>
        </w:rPr>
      </w:pPr>
      <w:r>
        <w:rPr>
          <w:noProof/>
          <w:color w:val="000000" w:themeColor="text1"/>
        </w:rPr>
        <w:t>13.</w:t>
      </w:r>
      <w:r>
        <w:rPr>
          <w:noProof/>
        </w:rPr>
        <w:tab/>
      </w:r>
      <w:r>
        <w:rPr>
          <w:noProof/>
          <w:color w:val="000000" w:themeColor="text1"/>
        </w:rPr>
        <w:t xml:space="preserve">Iedaļas 185. punktā atsauci uz “Kopienas teritoriju” aizstāj ar atsauci uz “Savienības un Apvienotās Karalistes teritoriju”.  </w:t>
      </w:r>
    </w:p>
    <w:p w:rsidR="003E022D" w:rsidRDefault="007D19D6">
      <w:pPr>
        <w:rPr>
          <w:rFonts w:cstheme="minorHAnsi"/>
          <w:noProof/>
          <w:color w:val="000000" w:themeColor="text1"/>
        </w:rPr>
      </w:pPr>
      <w:r>
        <w:rPr>
          <w:noProof/>
          <w:color w:val="000000" w:themeColor="text1"/>
        </w:rPr>
        <w:t>14.</w:t>
      </w:r>
      <w:r>
        <w:rPr>
          <w:noProof/>
        </w:rPr>
        <w:tab/>
      </w:r>
      <w:r>
        <w:rPr>
          <w:noProof/>
          <w:color w:val="000000" w:themeColor="text1"/>
        </w:rPr>
        <w:t>Iedaļas 188. punktā atsauci uz “Komisijas 1995. gada 31. oktobra Direktīvu 95/54/EK” aizstāj ar atsauci uz</w:t>
      </w:r>
      <w:r>
        <w:rPr>
          <w:noProof/>
          <w:color w:val="000000" w:themeColor="text1"/>
        </w:rPr>
        <w:t xml:space="preserve"> “ANO EEK Noteikumiem Nr. 10”.</w:t>
      </w:r>
    </w:p>
    <w:p w:rsidR="003E022D" w:rsidRDefault="007D19D6">
      <w:pPr>
        <w:rPr>
          <w:rFonts w:cstheme="minorHAnsi"/>
          <w:noProof/>
          <w:color w:val="000000" w:themeColor="text1"/>
        </w:rPr>
      </w:pPr>
      <w:r>
        <w:rPr>
          <w:noProof/>
          <w:color w:val="000000" w:themeColor="text1"/>
        </w:rPr>
        <w:t>15.</w:t>
      </w:r>
      <w:r>
        <w:rPr>
          <w:noProof/>
        </w:rPr>
        <w:tab/>
      </w:r>
      <w:r>
        <w:rPr>
          <w:noProof/>
          <w:color w:val="000000" w:themeColor="text1"/>
        </w:rPr>
        <w:t>Iedaļas 189. punkta pēdējo daļu svītro.</w:t>
      </w:r>
    </w:p>
    <w:p w:rsidR="003E022D" w:rsidRDefault="007D19D6">
      <w:pPr>
        <w:rPr>
          <w:rFonts w:cstheme="minorHAnsi"/>
          <w:noProof/>
          <w:color w:val="000000" w:themeColor="text1"/>
        </w:rPr>
      </w:pPr>
      <w:r>
        <w:rPr>
          <w:b/>
          <w:noProof/>
          <w:color w:val="000000" w:themeColor="text1"/>
        </w:rPr>
        <w:t xml:space="preserve">Šīs iedaļas nolūkā Padomes Regulas (EEK) Nr. 3821/85 IB pielikuma V iedaļu (Reģistrācijas kontrolierīces uzstādīšana) pielāgo šādi:  </w:t>
      </w:r>
    </w:p>
    <w:p w:rsidR="003E022D" w:rsidRDefault="007D19D6">
      <w:pPr>
        <w:rPr>
          <w:rFonts w:cstheme="minorHAnsi"/>
          <w:noProof/>
          <w:color w:val="000000" w:themeColor="text1"/>
        </w:rPr>
      </w:pPr>
      <w:r>
        <w:rPr>
          <w:noProof/>
          <w:color w:val="000000" w:themeColor="text1"/>
        </w:rPr>
        <w:t>16.</w:t>
      </w:r>
      <w:r>
        <w:rPr>
          <w:noProof/>
        </w:rPr>
        <w:tab/>
      </w:r>
      <w:r>
        <w:rPr>
          <w:noProof/>
          <w:color w:val="000000" w:themeColor="text1"/>
        </w:rPr>
        <w:t>Iedaļas 250.a punktā atsauci uz “Regulu (EK</w:t>
      </w:r>
      <w:r>
        <w:rPr>
          <w:noProof/>
          <w:color w:val="000000" w:themeColor="text1"/>
        </w:rPr>
        <w:t xml:space="preserve">) Nr. 68/2009” aizstāj ar atsauci uz “šā pielikuma 12. papildinājumu”. </w:t>
      </w:r>
    </w:p>
    <w:p w:rsidR="003E022D" w:rsidRDefault="007D19D6">
      <w:pPr>
        <w:rPr>
          <w:rFonts w:cstheme="minorHAnsi"/>
          <w:noProof/>
          <w:color w:val="000000" w:themeColor="text1"/>
        </w:rPr>
      </w:pPr>
      <w:r>
        <w:rPr>
          <w:b/>
          <w:noProof/>
          <w:color w:val="000000" w:themeColor="text1"/>
        </w:rPr>
        <w:t xml:space="preserve">Šīs iedaļas nolūkā Padomes Regulas (EEK) Nr. 3821/85 IB pielikuma VI iedaļu (Pārbaudes, inspekcijas un remonti) pielāgo šādi: </w:t>
      </w:r>
    </w:p>
    <w:p w:rsidR="003E022D" w:rsidRDefault="007D19D6">
      <w:pPr>
        <w:rPr>
          <w:rFonts w:cstheme="minorHAnsi"/>
          <w:noProof/>
          <w:color w:val="000000" w:themeColor="text1"/>
        </w:rPr>
      </w:pPr>
      <w:r>
        <w:rPr>
          <w:noProof/>
          <w:color w:val="000000" w:themeColor="text1"/>
        </w:rPr>
        <w:t>17.</w:t>
      </w:r>
      <w:r>
        <w:rPr>
          <w:noProof/>
        </w:rPr>
        <w:tab/>
      </w:r>
      <w:r>
        <w:rPr>
          <w:noProof/>
          <w:color w:val="000000" w:themeColor="text1"/>
        </w:rPr>
        <w:t xml:space="preserve">Ievadteikumu aizstāj ar šādu:  </w:t>
      </w:r>
    </w:p>
    <w:p w:rsidR="003E022D" w:rsidRDefault="007D19D6">
      <w:pPr>
        <w:rPr>
          <w:rFonts w:cstheme="minorHAnsi"/>
          <w:noProof/>
          <w:color w:val="000000" w:themeColor="text1"/>
        </w:rPr>
      </w:pPr>
      <w:r>
        <w:rPr>
          <w:noProof/>
        </w:rPr>
        <w:t>Prasības attiecībā uz</w:t>
      </w:r>
      <w:r>
        <w:rPr>
          <w:noProof/>
        </w:rPr>
        <w:t xml:space="preserve"> apstākļiem, kādos drīkst noņemt plombas, kā minēts Tirdzniecības un sadarbības nolīguma starp Eiropas Savienību un Eiropas Atomenerģijas kopienu, no vienas puses, un Lielbritānijas un Ziemeļīrijas Apvienoto Karalisti, no otras puses, ROAD-1. pielikuma C d</w:t>
      </w:r>
      <w:r>
        <w:rPr>
          <w:noProof/>
        </w:rPr>
        <w:t>aļas 2. iedaļas 5. panta 5. punktā, ir noteiktas šā pielikuma V nodaļas 3. punktā.”</w:t>
      </w:r>
      <w:r>
        <w:rPr>
          <w:noProof/>
          <w:color w:val="000000" w:themeColor="text1"/>
        </w:rPr>
        <w:t xml:space="preserve"> </w:t>
      </w:r>
    </w:p>
    <w:p w:rsidR="003E022D" w:rsidRDefault="007D19D6">
      <w:pPr>
        <w:rPr>
          <w:rFonts w:cstheme="minorHAnsi"/>
          <w:noProof/>
          <w:color w:val="000000" w:themeColor="text1"/>
        </w:rPr>
      </w:pPr>
      <w:r>
        <w:rPr>
          <w:noProof/>
          <w:color w:val="000000" w:themeColor="text1"/>
        </w:rPr>
        <w:t>18.</w:t>
      </w:r>
      <w:r>
        <w:rPr>
          <w:noProof/>
        </w:rPr>
        <w:tab/>
        <w:t>Saskaņā ar 1. apakšiedaļu [Montieru vai darbnīcu apstiprināšana] atsauci uz “šīs regulas 12. panta 1. punktu” aizstāj ar atsauci uz “Tirdzniecības un sadarbības nolīgu</w:t>
      </w:r>
      <w:r>
        <w:rPr>
          <w:noProof/>
        </w:rPr>
        <w:t>ma starp Eiropas Savienību un Eiropas Atomenerģijas kopienu, no vienas puses, un Lielbritānijas un Ziemeļīrijas Apvienoto Karalisti, no otras puses, ROAD-1. pielikuma C daļas 2. iedaļas 8. pantu”.</w:t>
      </w:r>
    </w:p>
    <w:p w:rsidR="003E022D" w:rsidRDefault="007D19D6">
      <w:pPr>
        <w:rPr>
          <w:rFonts w:cstheme="minorHAnsi"/>
          <w:noProof/>
          <w:color w:val="000000" w:themeColor="text1"/>
        </w:rPr>
      </w:pPr>
      <w:r>
        <w:rPr>
          <w:b/>
          <w:noProof/>
          <w:color w:val="000000" w:themeColor="text1"/>
        </w:rPr>
        <w:t>Šīs iedaļas nolūkā Padomes Regulas (EEK) Nr. 3821/85 IB pie</w:t>
      </w:r>
      <w:r>
        <w:rPr>
          <w:b/>
          <w:noProof/>
          <w:color w:val="000000" w:themeColor="text1"/>
        </w:rPr>
        <w:t xml:space="preserve">likuma VII iedaļu (Karšu izsniegšana) pielāgo šādi: </w:t>
      </w:r>
    </w:p>
    <w:p w:rsidR="003E022D" w:rsidRDefault="007D19D6">
      <w:pPr>
        <w:rPr>
          <w:rFonts w:cstheme="minorHAnsi"/>
          <w:noProof/>
          <w:color w:val="000000" w:themeColor="text1"/>
        </w:rPr>
      </w:pPr>
      <w:r>
        <w:rPr>
          <w:noProof/>
          <w:color w:val="000000" w:themeColor="text1"/>
        </w:rPr>
        <w:t>19.</w:t>
      </w:r>
      <w:r>
        <w:rPr>
          <w:noProof/>
        </w:rPr>
        <w:tab/>
      </w:r>
      <w:r>
        <w:rPr>
          <w:noProof/>
          <w:color w:val="000000" w:themeColor="text1"/>
        </w:rPr>
        <w:t xml:space="preserve">Iedaļas 268.a punktā pēc vārda “dalībvalstis” visur, kur tas parādās, iekļauj “un Apvienotā Karaliste”.  </w:t>
      </w:r>
    </w:p>
    <w:p w:rsidR="003E022D" w:rsidRDefault="007D19D6">
      <w:pPr>
        <w:rPr>
          <w:rFonts w:cstheme="minorHAnsi"/>
          <w:noProof/>
          <w:color w:val="000000" w:themeColor="text1"/>
        </w:rPr>
      </w:pPr>
      <w:r>
        <w:rPr>
          <w:b/>
          <w:noProof/>
          <w:color w:val="000000" w:themeColor="text1"/>
        </w:rPr>
        <w:t xml:space="preserve">Šīs iedaļas nolūkā Padomes Regulas (EEK) Nr. 3821/85 IB pielikuma VIII iedaļu (Reģistrācijas kontrolierīču un tahogrāfa karšu tipa apstiprināšana) pielāgo šādi: </w:t>
      </w:r>
    </w:p>
    <w:p w:rsidR="003E022D" w:rsidRDefault="007D19D6">
      <w:pPr>
        <w:rPr>
          <w:rFonts w:cstheme="minorHAnsi"/>
          <w:noProof/>
          <w:color w:val="000000" w:themeColor="text1"/>
        </w:rPr>
      </w:pPr>
      <w:r>
        <w:rPr>
          <w:noProof/>
          <w:color w:val="000000" w:themeColor="text1"/>
        </w:rPr>
        <w:t>20.</w:t>
      </w:r>
      <w:r>
        <w:rPr>
          <w:noProof/>
        </w:rPr>
        <w:tab/>
      </w:r>
      <w:r>
        <w:rPr>
          <w:noProof/>
          <w:color w:val="000000" w:themeColor="text1"/>
        </w:rPr>
        <w:t xml:space="preserve">Iedaļas 271. punktā izlaiž vārdus “saskaņā ar šīs regulas 5. pantu”.  </w:t>
      </w:r>
    </w:p>
    <w:p w:rsidR="003E022D" w:rsidRDefault="007D19D6">
      <w:pPr>
        <w:rPr>
          <w:rFonts w:cstheme="minorHAnsi"/>
          <w:b/>
          <w:noProof/>
          <w:color w:val="000000" w:themeColor="text1"/>
        </w:rPr>
      </w:pPr>
      <w:r>
        <w:rPr>
          <w:b/>
          <w:noProof/>
          <w:color w:val="000000" w:themeColor="text1"/>
        </w:rPr>
        <w:t xml:space="preserve">Šīs iedaļas nolūkā Padomes Regulas (EEK) Nr. 3821/85 IB pielikuma 1. papildinājumu (Datu vārdnīca) pielāgo šādi: </w:t>
      </w:r>
    </w:p>
    <w:p w:rsidR="003E022D" w:rsidRDefault="007D19D6">
      <w:pPr>
        <w:rPr>
          <w:rFonts w:cstheme="minorHAnsi"/>
          <w:noProof/>
          <w:color w:val="000000" w:themeColor="text1"/>
        </w:rPr>
      </w:pPr>
      <w:r>
        <w:rPr>
          <w:noProof/>
          <w:color w:val="000000" w:themeColor="text1"/>
        </w:rPr>
        <w:t>21.</w:t>
      </w:r>
      <w:r>
        <w:rPr>
          <w:noProof/>
        </w:rPr>
        <w:tab/>
      </w:r>
      <w:r>
        <w:rPr>
          <w:noProof/>
          <w:color w:val="000000" w:themeColor="text1"/>
        </w:rPr>
        <w:t>Papildinājuma 2.111. punktā atsauci uz “Direktīvu 92/23/EEK 31.3.1992., OV L 129, 95. lpp.” aizstāj ar atsauci uz “ANO EEK Noteikumiem Nr.</w:t>
      </w:r>
      <w:r>
        <w:rPr>
          <w:noProof/>
          <w:color w:val="000000" w:themeColor="text1"/>
        </w:rPr>
        <w:t> 54”.</w:t>
      </w:r>
    </w:p>
    <w:p w:rsidR="003E022D" w:rsidRDefault="007D19D6">
      <w:pPr>
        <w:rPr>
          <w:rFonts w:cstheme="minorHAnsi"/>
          <w:b/>
          <w:noProof/>
          <w:color w:val="000000" w:themeColor="text1"/>
        </w:rPr>
      </w:pPr>
      <w:r>
        <w:rPr>
          <w:b/>
          <w:noProof/>
          <w:color w:val="000000" w:themeColor="text1"/>
        </w:rPr>
        <w:t xml:space="preserve">Šīs iedaļas nolūkā Padomes Regulas (EEK) Nr. 3821/85 IB pielikuma 9. papildinājumu (Tipa apstiprināšana — minimāli nepieciešamo testu saraksts) pielāgo šādi: </w:t>
      </w:r>
    </w:p>
    <w:p w:rsidR="003E022D" w:rsidRDefault="007D19D6">
      <w:pPr>
        <w:rPr>
          <w:rFonts w:cstheme="minorHAnsi"/>
          <w:noProof/>
          <w:color w:val="000000" w:themeColor="text1"/>
        </w:rPr>
      </w:pPr>
      <w:r>
        <w:rPr>
          <w:noProof/>
          <w:color w:val="000000" w:themeColor="text1"/>
        </w:rPr>
        <w:t>22.</w:t>
      </w:r>
      <w:r>
        <w:rPr>
          <w:noProof/>
        </w:rPr>
        <w:tab/>
      </w:r>
      <w:r>
        <w:rPr>
          <w:noProof/>
          <w:color w:val="000000" w:themeColor="text1"/>
        </w:rPr>
        <w:t>Papildinājuma 2. iedaļas [Transportlīdzekļa bloka funkcionalitātes testi] 5.1. punktā a</w:t>
      </w:r>
      <w:r>
        <w:rPr>
          <w:noProof/>
          <w:color w:val="000000" w:themeColor="text1"/>
        </w:rPr>
        <w:t>tsauci uz “Direktīvu 95/54/EK” aizstāj ar atsauci uz “ANO EEK Noteikumiem Nr. 10”.</w:t>
      </w:r>
    </w:p>
    <w:p w:rsidR="003E022D" w:rsidRDefault="007D19D6">
      <w:pPr>
        <w:rPr>
          <w:rFonts w:cstheme="minorHAnsi"/>
          <w:noProof/>
          <w:color w:val="000000" w:themeColor="text1"/>
        </w:rPr>
      </w:pPr>
      <w:r>
        <w:rPr>
          <w:noProof/>
          <w:color w:val="000000" w:themeColor="text1"/>
        </w:rPr>
        <w:t>23.</w:t>
      </w:r>
      <w:r>
        <w:rPr>
          <w:noProof/>
        </w:rPr>
        <w:tab/>
      </w:r>
      <w:r>
        <w:rPr>
          <w:noProof/>
          <w:color w:val="000000" w:themeColor="text1"/>
        </w:rPr>
        <w:t>Papildinājuma 3. iedaļas [Kustības sensora funkcionālās pārbaudes] 5.1. punktā atsauci uz “Direktīvu 95/54/EK” aizstāj ar atsauci uz “ANO EEK Noteikumiem Nr. 10”.</w:t>
      </w:r>
    </w:p>
    <w:p w:rsidR="003E022D" w:rsidRDefault="007D19D6">
      <w:pPr>
        <w:rPr>
          <w:rFonts w:cstheme="minorHAnsi"/>
          <w:b/>
          <w:noProof/>
          <w:color w:val="000000" w:themeColor="text1"/>
        </w:rPr>
      </w:pPr>
      <w:r>
        <w:rPr>
          <w:b/>
          <w:noProof/>
          <w:color w:val="000000" w:themeColor="text1"/>
        </w:rPr>
        <w:t>Šīs ie</w:t>
      </w:r>
      <w:r>
        <w:rPr>
          <w:b/>
          <w:noProof/>
          <w:color w:val="000000" w:themeColor="text1"/>
        </w:rPr>
        <w:t>daļas nolūkā Padomes Regulas (EEK) Nr. 3821/85 IB pielikuma 12. papildinājumu (Adapters M1 un N1 kategorijas transportlīdzekļiem) pielāgo šādi:</w:t>
      </w:r>
    </w:p>
    <w:p w:rsidR="003E022D" w:rsidRDefault="007D19D6">
      <w:pPr>
        <w:rPr>
          <w:rFonts w:cstheme="minorHAnsi"/>
          <w:noProof/>
          <w:color w:val="000000" w:themeColor="text1"/>
        </w:rPr>
      </w:pPr>
      <w:r>
        <w:rPr>
          <w:noProof/>
          <w:color w:val="000000" w:themeColor="text1"/>
        </w:rPr>
        <w:t>24.</w:t>
      </w:r>
      <w:r>
        <w:rPr>
          <w:noProof/>
        </w:rPr>
        <w:tab/>
      </w:r>
      <w:r>
        <w:rPr>
          <w:noProof/>
          <w:color w:val="000000" w:themeColor="text1"/>
        </w:rPr>
        <w:t>Papildinājuma 4. iedaļas [Prasības par adaptera konstrukciju un darbību] 4.5. punktā [Darbības raksturlielum</w:t>
      </w:r>
      <w:r>
        <w:rPr>
          <w:noProof/>
          <w:color w:val="000000" w:themeColor="text1"/>
        </w:rPr>
        <w:t xml:space="preserve">i] iedaļā ADA_023 “Komisijas Direktīvu 2006/28/EK, ar kuru pielāgo tehniskajam progresam Padomes Direktīvu 72/245/EEK” aizvieto ar “ANO EEK Noteikumiem Nr. 10”. </w:t>
      </w:r>
    </w:p>
    <w:p w:rsidR="003E022D" w:rsidRDefault="007D19D6">
      <w:pPr>
        <w:rPr>
          <w:rFonts w:cstheme="minorHAnsi"/>
          <w:noProof/>
          <w:color w:val="000000" w:themeColor="text1"/>
        </w:rPr>
      </w:pPr>
      <w:r>
        <w:rPr>
          <w:noProof/>
          <w:color w:val="000000" w:themeColor="text1"/>
        </w:rPr>
        <w:t>25.</w:t>
      </w:r>
      <w:r>
        <w:rPr>
          <w:noProof/>
        </w:rPr>
        <w:tab/>
      </w:r>
      <w:r>
        <w:rPr>
          <w:noProof/>
          <w:color w:val="000000" w:themeColor="text1"/>
        </w:rPr>
        <w:t>Papildinājuma 7.2. apakšiedaļas [Funkcionalitātes sertifikāts] tabulas 5.1. punktā “Direkt</w:t>
      </w:r>
      <w:r>
        <w:rPr>
          <w:noProof/>
          <w:color w:val="000000" w:themeColor="text1"/>
        </w:rPr>
        <w:t xml:space="preserve">īvu 2006/28/EK” aizvieto ar “ANO EEK Noteikumiem Nr. 10”. </w:t>
      </w:r>
    </w:p>
    <w:p w:rsidR="003E022D" w:rsidRDefault="007D19D6">
      <w:pPr>
        <w:rPr>
          <w:rFonts w:cstheme="minorHAnsi"/>
          <w:noProof/>
          <w:color w:val="000000" w:themeColor="text1"/>
        </w:rPr>
      </w:pPr>
      <w:r>
        <w:rPr>
          <w:noProof/>
        </w:rPr>
        <w:br w:type="page"/>
      </w:r>
    </w:p>
    <w:p w:rsidR="003E022D" w:rsidRDefault="007D19D6">
      <w:pPr>
        <w:pStyle w:val="Appendix"/>
        <w:rPr>
          <w:noProof/>
        </w:rPr>
      </w:pPr>
      <w:r>
        <w:rPr>
          <w:noProof/>
        </w:rPr>
        <w:t xml:space="preserve">ROAD.B.4.3. papildinājums. Viedā tahogrāfa tehnisko specifikāciju pielāgojumi </w:t>
      </w:r>
    </w:p>
    <w:p w:rsidR="003E022D" w:rsidRDefault="007D19D6">
      <w:pPr>
        <w:rPr>
          <w:rFonts w:cstheme="minorHAnsi"/>
          <w:noProof/>
          <w:color w:val="000000" w:themeColor="text1"/>
        </w:rPr>
      </w:pPr>
      <w:r>
        <w:rPr>
          <w:b/>
          <w:noProof/>
          <w:color w:val="000000" w:themeColor="text1"/>
        </w:rPr>
        <w:t>Šīs iedaļas nolūkā Komisijas Īstenošanas regulu (ES) Nr. 2016/799, tostarp tās pielikumus un papildinājumus, pielāgo</w:t>
      </w:r>
      <w:r>
        <w:rPr>
          <w:b/>
          <w:noProof/>
          <w:color w:val="000000" w:themeColor="text1"/>
        </w:rPr>
        <w:t xml:space="preserve"> šādi: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 xml:space="preserve">Apvienotās Karalistes gadījumā atsauces uz “dalībvalsti” aizstāj ar atsauci uz “Pusi”, izņemot atsauces 4.1. apakšiedaļas (229) punktā un 7. iedaļas (424) punktā; </w:t>
      </w:r>
    </w:p>
    <w:p w:rsidR="003E022D" w:rsidRDefault="007D19D6">
      <w:pPr>
        <w:rPr>
          <w:rFonts w:cstheme="minorHAnsi"/>
          <w:noProof/>
          <w:color w:val="000000" w:themeColor="text1"/>
        </w:rPr>
      </w:pPr>
      <w:r>
        <w:rPr>
          <w:noProof/>
          <w:color w:val="000000" w:themeColor="text1"/>
        </w:rPr>
        <w:t>2.</w:t>
      </w:r>
      <w:r>
        <w:rPr>
          <w:noProof/>
        </w:rPr>
        <w:tab/>
        <w:t>“Regulu (EEK) Nr. 3820/85” un “Regulu (EK) Nr. 561/2006” aizvieto ar “Tirdznie</w:t>
      </w:r>
      <w:r>
        <w:rPr>
          <w:noProof/>
        </w:rPr>
        <w:t>cības un sadarbības nolīguma starp Eiropas Savienību un Eiropas Atomenerģijas kopienu, no vienas puses, un Lielbritānijas un Ziemeļīrijas Apvienoto Karalisti, no otras puses, ROAD-1. pielikuma B daļas 2. iedaļu";</w:t>
      </w:r>
      <w:r>
        <w:rPr>
          <w:noProof/>
          <w:color w:val="000000" w:themeColor="text1"/>
        </w:rPr>
        <w:t xml:space="preserve">  </w:t>
      </w:r>
    </w:p>
    <w:p w:rsidR="003E022D" w:rsidRDefault="007D19D6">
      <w:pPr>
        <w:rPr>
          <w:rFonts w:cstheme="minorHAnsi"/>
          <w:noProof/>
          <w:color w:val="000000" w:themeColor="text1"/>
        </w:rPr>
      </w:pPr>
      <w:r>
        <w:rPr>
          <w:noProof/>
          <w:color w:val="000000" w:themeColor="text1"/>
        </w:rPr>
        <w:t>3.</w:t>
      </w:r>
      <w:r>
        <w:rPr>
          <w:noProof/>
        </w:rPr>
        <w:tab/>
        <w:t>“Regulu (ES) Nr. 165/2014” aizvieto ar</w:t>
      </w:r>
      <w:r>
        <w:rPr>
          <w:noProof/>
        </w:rPr>
        <w:t xml:space="preserve"> “Tirdzniecības un sadarbības nolīguma starp Eiropas Savienību un Eiropas Atomenerģijas kopienu, no vienas puses, un Lielbritānijas un Ziemeļīrijas Apvienoto Karalisti, no otras puses, ROAD-1. pielikuma B daļas 4. iedaļu un C daļas 2. iedaļu”, izņemot atsa</w:t>
      </w:r>
      <w:r>
        <w:rPr>
          <w:noProof/>
        </w:rPr>
        <w:t>uces 5.3. apakšiedaļas (402) punktā un 7. iedaļas (424) punktā.”;</w:t>
      </w:r>
    </w:p>
    <w:p w:rsidR="003E022D" w:rsidRDefault="007D19D6">
      <w:pPr>
        <w:rPr>
          <w:rFonts w:cstheme="minorHAnsi"/>
          <w:noProof/>
          <w:color w:val="000000" w:themeColor="text1"/>
        </w:rPr>
      </w:pPr>
      <w:r>
        <w:rPr>
          <w:noProof/>
          <w:color w:val="000000" w:themeColor="text1"/>
        </w:rPr>
        <w:t>4.</w:t>
      </w:r>
      <w:r>
        <w:rPr>
          <w:noProof/>
        </w:rPr>
        <w:tab/>
        <w:t>“Direktīvu (ES) 2015/719” un “Padomes Direktīvu 96/53/EK” aizvieto ar “Tirdzniecības un sadarbības nolīguma starp Eiropas Savienību un Eiropas Atomenerģijas kopienu, no vienas puses, un L</w:t>
      </w:r>
      <w:r>
        <w:rPr>
          <w:noProof/>
        </w:rPr>
        <w:t>ielbritānijas un Ziemeļīrijas Apvienoto Karalisti, no otras puses, ROAD-1. pielikuma C daļas 1. iedaļu”.</w:t>
      </w:r>
      <w:r>
        <w:rPr>
          <w:noProof/>
          <w:color w:val="000000" w:themeColor="text1"/>
        </w:rPr>
        <w:t xml:space="preserve">  </w:t>
      </w:r>
    </w:p>
    <w:p w:rsidR="003E022D" w:rsidRDefault="007D19D6">
      <w:pPr>
        <w:rPr>
          <w:rFonts w:cstheme="minorHAnsi"/>
          <w:noProof/>
          <w:color w:val="000000" w:themeColor="text1"/>
        </w:rPr>
      </w:pPr>
      <w:r>
        <w:rPr>
          <w:b/>
          <w:noProof/>
          <w:color w:val="000000" w:themeColor="text1"/>
        </w:rPr>
        <w:t xml:space="preserve">Šīs iedaļas nolūkā Komisijas Īstenošanas regulas (ES) Nr. 2016/799 I.C pielikuma 1. iedaļu (Definīcijas) pielāgo šādi:  </w:t>
      </w:r>
    </w:p>
    <w:p w:rsidR="003E022D" w:rsidRDefault="007D19D6">
      <w:pPr>
        <w:rPr>
          <w:rFonts w:cstheme="minorHAnsi"/>
          <w:noProof/>
          <w:color w:val="000000" w:themeColor="text1"/>
        </w:rPr>
      </w:pPr>
      <w:r>
        <w:rPr>
          <w:noProof/>
          <w:color w:val="000000" w:themeColor="text1"/>
        </w:rPr>
        <w:t>5.</w:t>
      </w:r>
      <w:r>
        <w:rPr>
          <w:noProof/>
        </w:rPr>
        <w:tab/>
      </w:r>
      <w:r>
        <w:rPr>
          <w:noProof/>
          <w:color w:val="000000" w:themeColor="text1"/>
        </w:rPr>
        <w:t>Iedaļas u) punktu aizstāj</w:t>
      </w:r>
      <w:r>
        <w:rPr>
          <w:noProof/>
          <w:color w:val="000000" w:themeColor="text1"/>
        </w:rPr>
        <w:t xml:space="preserve"> ar šādu:  </w:t>
      </w:r>
    </w:p>
    <w:p w:rsidR="003E022D" w:rsidRDefault="007D19D6">
      <w:pPr>
        <w:rPr>
          <w:rFonts w:cstheme="minorHAnsi"/>
          <w:noProof/>
          <w:color w:val="000000" w:themeColor="text1"/>
        </w:rPr>
      </w:pPr>
      <w:r>
        <w:rPr>
          <w:noProof/>
          <w:color w:val="000000" w:themeColor="text1"/>
        </w:rPr>
        <w:t xml:space="preserve">“u)“riteņu faktiskais apkārtmērs” </w:t>
      </w:r>
    </w:p>
    <w:p w:rsidR="003E022D" w:rsidRDefault="007D19D6">
      <w:pPr>
        <w:rPr>
          <w:rFonts w:cstheme="minorHAnsi"/>
          <w:noProof/>
          <w:color w:val="000000" w:themeColor="text1"/>
        </w:rPr>
      </w:pPr>
      <w:r>
        <w:rPr>
          <w:noProof/>
          <w:color w:val="000000" w:themeColor="text1"/>
        </w:rPr>
        <w:t xml:space="preserve">ir vidējais attālums, ko, pārvietojot transportlīdzekli, viena pilna apgrieziena laikā nobrauc katrs no dzenošajiem riteņiem. Minētie attālumi jāmēra testēšanas standartapstākļos, kā norādīts 414. prasībā, un </w:t>
      </w:r>
      <w:r>
        <w:rPr>
          <w:noProof/>
          <w:color w:val="000000" w:themeColor="text1"/>
        </w:rPr>
        <w:t>tos izsaka šādi: “l = … mm”. Transportlīdzekļu ražotāji minēto attālumu mērīšanu var aizstāt ar teorētiskiem aprēķiniem, kuros ņem vērā neslogotu un tehniskā kārtībā esošu transportlīdzekļu svara sadalījumu pa asīm, proti, ar dzesēšanas šķidrumu, smērvielā</w:t>
      </w:r>
      <w:r>
        <w:rPr>
          <w:noProof/>
          <w:color w:val="000000" w:themeColor="text1"/>
        </w:rPr>
        <w:t xml:space="preserve">m, degvielu, instrumentiem, rezerves riteni un transportlīdzekļa vadītāju. Šādu teorētisko aprēķinu veikšanas metodes jāapstiprina kompetentajai iestādei Pusē, un tās var īstenot tikai pirms tahogrāfa aktivēšanas;” </w:t>
      </w:r>
    </w:p>
    <w:p w:rsidR="003E022D" w:rsidRDefault="007D19D6">
      <w:pPr>
        <w:rPr>
          <w:rFonts w:cstheme="minorHAnsi"/>
          <w:noProof/>
          <w:color w:val="000000" w:themeColor="text1"/>
        </w:rPr>
      </w:pPr>
      <w:r>
        <w:rPr>
          <w:noProof/>
          <w:color w:val="000000" w:themeColor="text1"/>
        </w:rPr>
        <w:t>6.</w:t>
      </w:r>
      <w:r>
        <w:rPr>
          <w:noProof/>
        </w:rPr>
        <w:tab/>
      </w:r>
      <w:r>
        <w:rPr>
          <w:noProof/>
          <w:color w:val="000000" w:themeColor="text1"/>
        </w:rPr>
        <w:t>Iedaļas hh) punktā atsauci uz “Padome</w:t>
      </w:r>
      <w:r>
        <w:rPr>
          <w:noProof/>
          <w:color w:val="000000" w:themeColor="text1"/>
        </w:rPr>
        <w:t xml:space="preserve">s Direktīvu 92/6/EEK” aizstāj ar atsauci uz “katras Puses piemērojamajiem tiesību aktiem”.  </w:t>
      </w:r>
    </w:p>
    <w:p w:rsidR="003E022D" w:rsidRDefault="007D19D6">
      <w:pPr>
        <w:rPr>
          <w:rFonts w:cstheme="minorHAnsi"/>
          <w:noProof/>
          <w:color w:val="000000" w:themeColor="text1"/>
        </w:rPr>
      </w:pPr>
      <w:r>
        <w:rPr>
          <w:noProof/>
          <w:color w:val="000000" w:themeColor="text1"/>
        </w:rPr>
        <w:t>7.</w:t>
      </w:r>
      <w:r>
        <w:rPr>
          <w:noProof/>
        </w:rPr>
        <w:tab/>
      </w:r>
      <w:r>
        <w:rPr>
          <w:noProof/>
          <w:color w:val="000000" w:themeColor="text1"/>
        </w:rPr>
        <w:t>Iedaļas uu) punktā atsauci uz “Direktīvu 92/23/EEK” aizstāj ar atsauci uz “ANO EEK Noteikumiem Nr. 54”.</w:t>
      </w:r>
    </w:p>
    <w:p w:rsidR="003E022D" w:rsidRDefault="007D19D6">
      <w:pPr>
        <w:rPr>
          <w:rFonts w:cstheme="minorHAnsi"/>
          <w:noProof/>
          <w:color w:val="000000" w:themeColor="text1"/>
        </w:rPr>
      </w:pPr>
      <w:r>
        <w:rPr>
          <w:noProof/>
          <w:color w:val="000000" w:themeColor="text1"/>
        </w:rPr>
        <w:t>8.</w:t>
      </w:r>
      <w:r>
        <w:rPr>
          <w:noProof/>
        </w:rPr>
        <w:tab/>
      </w:r>
      <w:r>
        <w:rPr>
          <w:noProof/>
          <w:color w:val="000000" w:themeColor="text1"/>
        </w:rPr>
        <w:t>Iedaļas vv) punktā 9. zemsvītras piezīmi aizstāj ar š</w:t>
      </w:r>
      <w:r>
        <w:rPr>
          <w:noProof/>
          <w:color w:val="000000" w:themeColor="text1"/>
        </w:rPr>
        <w:t xml:space="preserve">ādu:   </w:t>
      </w:r>
    </w:p>
    <w:p w:rsidR="003E022D" w:rsidRDefault="007D19D6">
      <w:pPr>
        <w:rPr>
          <w:rFonts w:cstheme="minorHAnsi"/>
          <w:noProof/>
          <w:color w:val="000000" w:themeColor="text1"/>
        </w:rPr>
      </w:pPr>
      <w:r>
        <w:rPr>
          <w:noProof/>
          <w:color w:val="000000" w:themeColor="text1"/>
        </w:rPr>
        <w:t>““Transportlīdzekļa identifikācijas numurs” ir noteikta rakstzīmju kombinācija, ko ražotājs piešķir katram transportlīdzeklim un kas sastāv no divām iedaļām: pirmo iedaļu veido ne vairāk kā sešas rakstzīmes (burti vai skaitļi), kas norāda transport</w:t>
      </w:r>
      <w:r>
        <w:rPr>
          <w:noProof/>
          <w:color w:val="000000" w:themeColor="text1"/>
        </w:rPr>
        <w:t>līdzekļa galvenos parametrus, jo īpaši tipu un modeli; otru iedaļu veido astoņas rakstzīmes, no kurām pirmās četras var būt burti vai skaitļi, bet pārējās četras – tikai skaitļi, kopā ar pirmo iedaļu sniedzot konkrētā transportlīdzekļa skaidru identifikāci</w:t>
      </w:r>
      <w:r>
        <w:rPr>
          <w:noProof/>
          <w:color w:val="000000" w:themeColor="text1"/>
        </w:rPr>
        <w:t xml:space="preserve">ju.” </w:t>
      </w:r>
    </w:p>
    <w:p w:rsidR="003E022D" w:rsidRDefault="007D19D6">
      <w:pPr>
        <w:rPr>
          <w:rFonts w:cstheme="minorHAnsi"/>
          <w:noProof/>
          <w:color w:val="000000" w:themeColor="text1"/>
        </w:rPr>
      </w:pPr>
      <w:r>
        <w:rPr>
          <w:noProof/>
          <w:color w:val="000000" w:themeColor="text1"/>
        </w:rPr>
        <w:t>9.</w:t>
      </w:r>
      <w:r>
        <w:rPr>
          <w:noProof/>
        </w:rPr>
        <w:tab/>
      </w:r>
      <w:r>
        <w:rPr>
          <w:noProof/>
          <w:color w:val="000000" w:themeColor="text1"/>
        </w:rPr>
        <w:t xml:space="preserve">Iedaļas yy) punkta pirmo ievilkumu aizstāj ar šādu:  </w:t>
      </w:r>
    </w:p>
    <w:p w:rsidR="003E022D" w:rsidRDefault="007D19D6">
      <w:pPr>
        <w:rPr>
          <w:rFonts w:cstheme="minorHAnsi"/>
          <w:noProof/>
          <w:color w:val="000000" w:themeColor="text1"/>
        </w:rPr>
      </w:pPr>
      <w:r>
        <w:rPr>
          <w:noProof/>
          <w:color w:val="000000" w:themeColor="text1"/>
        </w:rPr>
        <w:t>“– uzstāda un izmanto tikai M1 un N1 tipa transportlīdzekļos, kā definēts Konsolidētajā rezolūcijā par transportlīdzekļu konstrukciju (R.E.3);”</w:t>
      </w:r>
    </w:p>
    <w:p w:rsidR="003E022D" w:rsidRDefault="007D19D6">
      <w:pPr>
        <w:rPr>
          <w:rFonts w:cstheme="minorHAnsi"/>
          <w:noProof/>
          <w:color w:val="000000" w:themeColor="text1"/>
        </w:rPr>
      </w:pPr>
      <w:r>
        <w:rPr>
          <w:noProof/>
          <w:color w:val="000000" w:themeColor="text1"/>
        </w:rPr>
        <w:t>10.</w:t>
      </w:r>
      <w:r>
        <w:rPr>
          <w:noProof/>
        </w:rPr>
        <w:tab/>
      </w:r>
      <w:r>
        <w:rPr>
          <w:noProof/>
          <w:color w:val="000000" w:themeColor="text1"/>
        </w:rPr>
        <w:t>Iedaļas aaa) punktu svītro.</w:t>
      </w:r>
    </w:p>
    <w:p w:rsidR="003E022D" w:rsidRDefault="007D19D6">
      <w:pPr>
        <w:rPr>
          <w:rFonts w:cstheme="minorHAnsi"/>
          <w:noProof/>
          <w:color w:val="000000" w:themeColor="text1"/>
        </w:rPr>
      </w:pPr>
      <w:r>
        <w:rPr>
          <w:noProof/>
          <w:color w:val="000000" w:themeColor="text1"/>
        </w:rPr>
        <w:t>11.</w:t>
      </w:r>
      <w:r>
        <w:rPr>
          <w:noProof/>
        </w:rPr>
        <w:tab/>
      </w:r>
      <w:r>
        <w:rPr>
          <w:noProof/>
          <w:color w:val="000000" w:themeColor="text1"/>
        </w:rPr>
        <w:t xml:space="preserve">Iedaļas </w:t>
      </w:r>
      <w:r>
        <w:rPr>
          <w:noProof/>
          <w:color w:val="000000" w:themeColor="text1"/>
        </w:rPr>
        <w:t>ccc) punkta pirmo daļu aizstāj ar tekstu “2019. gada 15. jūnijs”.</w:t>
      </w:r>
    </w:p>
    <w:p w:rsidR="003E022D" w:rsidRDefault="007D19D6">
      <w:pPr>
        <w:rPr>
          <w:rFonts w:cstheme="minorHAnsi"/>
          <w:noProof/>
          <w:color w:val="000000" w:themeColor="text1"/>
        </w:rPr>
      </w:pPr>
      <w:r>
        <w:rPr>
          <w:b/>
          <w:noProof/>
          <w:color w:val="000000" w:themeColor="text1"/>
        </w:rPr>
        <w:t xml:space="preserve">Šīs iedaļas nolūkā Komisijas Īstenošanas regulas (ES) Nr. 2016/799 I.B pielikuma 2. iedaļu (Reģistrācijas kontrolierīču vispārīgs raksturojums un funkcijas) pielāgo šādi:  </w:t>
      </w:r>
    </w:p>
    <w:p w:rsidR="003E022D" w:rsidRDefault="007D19D6">
      <w:pPr>
        <w:rPr>
          <w:rFonts w:cstheme="minorHAnsi"/>
          <w:noProof/>
          <w:color w:val="000000" w:themeColor="text1"/>
        </w:rPr>
      </w:pPr>
      <w:r>
        <w:rPr>
          <w:noProof/>
          <w:color w:val="000000" w:themeColor="text1"/>
        </w:rPr>
        <w:t>12.</w:t>
      </w:r>
      <w:r>
        <w:rPr>
          <w:noProof/>
        </w:rPr>
        <w:tab/>
      </w:r>
      <w:r>
        <w:rPr>
          <w:noProof/>
          <w:color w:val="000000" w:themeColor="text1"/>
        </w:rPr>
        <w:t>Iedaļas 2.1. </w:t>
      </w:r>
      <w:r>
        <w:rPr>
          <w:noProof/>
          <w:color w:val="000000" w:themeColor="text1"/>
        </w:rPr>
        <w:t>apakšiedaļas 7. punkta pēdējo daļu svītro.</w:t>
      </w:r>
    </w:p>
    <w:p w:rsidR="003E022D" w:rsidRDefault="007D19D6">
      <w:pPr>
        <w:rPr>
          <w:rFonts w:cstheme="minorHAnsi"/>
          <w:b/>
          <w:noProof/>
          <w:color w:val="000000" w:themeColor="text1"/>
        </w:rPr>
      </w:pPr>
      <w:r>
        <w:rPr>
          <w:b/>
          <w:noProof/>
          <w:color w:val="000000" w:themeColor="text1"/>
        </w:rPr>
        <w:t xml:space="preserve">Šīs iedaļas nolūkā Komisijas Īstenošanas regulas (ES) 2016/799 I.C pielikuma 3. iedaļu (Reģistrācijas kontrolierīcēm noteiktās konstruktīvās un funkcionālās prasības) pielāgo šādi: </w:t>
      </w:r>
    </w:p>
    <w:p w:rsidR="003E022D" w:rsidRDefault="007D19D6">
      <w:pPr>
        <w:rPr>
          <w:rFonts w:cstheme="minorHAnsi"/>
          <w:noProof/>
          <w:color w:val="000000" w:themeColor="text1"/>
        </w:rPr>
      </w:pPr>
      <w:r>
        <w:rPr>
          <w:noProof/>
          <w:color w:val="000000" w:themeColor="text1"/>
        </w:rPr>
        <w:t>13.</w:t>
      </w:r>
      <w:r>
        <w:rPr>
          <w:noProof/>
        </w:rPr>
        <w:tab/>
      </w:r>
      <w:r>
        <w:rPr>
          <w:noProof/>
          <w:color w:val="000000" w:themeColor="text1"/>
        </w:rPr>
        <w:t xml:space="preserve">Iedaļas 3.20. apakšiedaļas </w:t>
      </w:r>
      <w:r>
        <w:rPr>
          <w:noProof/>
          <w:color w:val="000000" w:themeColor="text1"/>
        </w:rPr>
        <w:t>(200) punktā svītro trešās daļas otro teikumu.</w:t>
      </w:r>
    </w:p>
    <w:p w:rsidR="003E022D" w:rsidRDefault="007D19D6">
      <w:pPr>
        <w:rPr>
          <w:rFonts w:cstheme="minorHAnsi"/>
          <w:noProof/>
          <w:color w:val="000000" w:themeColor="text1"/>
        </w:rPr>
      </w:pPr>
      <w:r>
        <w:rPr>
          <w:noProof/>
          <w:color w:val="000000" w:themeColor="text1"/>
        </w:rPr>
        <w:t>14.</w:t>
      </w:r>
      <w:r>
        <w:rPr>
          <w:noProof/>
        </w:rPr>
        <w:tab/>
      </w:r>
      <w:r>
        <w:rPr>
          <w:noProof/>
          <w:color w:val="000000" w:themeColor="text1"/>
        </w:rPr>
        <w:t xml:space="preserve">Iedaļas 3.20. apakšiedaļas (201) punktu aizstāj ar šādu:  </w:t>
      </w:r>
    </w:p>
    <w:p w:rsidR="003E022D" w:rsidRDefault="007D19D6">
      <w:pPr>
        <w:rPr>
          <w:rFonts w:cstheme="minorHAnsi"/>
          <w:noProof/>
          <w:color w:val="000000" w:themeColor="text1"/>
        </w:rPr>
      </w:pPr>
      <w:r>
        <w:rPr>
          <w:noProof/>
          <w:color w:val="000000" w:themeColor="text1"/>
        </w:rPr>
        <w:t xml:space="preserve">“Transportlīdzekļa bloks var arī izvadīt šādus datus, lietojot no </w:t>
      </w:r>
      <w:r>
        <w:rPr>
          <w:i/>
          <w:iCs/>
          <w:noProof/>
          <w:color w:val="000000" w:themeColor="text1"/>
        </w:rPr>
        <w:t>CAN</w:t>
      </w:r>
      <w:r>
        <w:rPr>
          <w:noProof/>
          <w:color w:val="000000" w:themeColor="text1"/>
        </w:rPr>
        <w:t xml:space="preserve"> kopnes savienojuma neatkarīgu īpašo seriālo saiti (ISO 11898 Autotransporta </w:t>
      </w:r>
      <w:r>
        <w:rPr>
          <w:noProof/>
          <w:color w:val="000000" w:themeColor="text1"/>
        </w:rPr>
        <w:t>līdzekļi — Ciparu informācijas apmaiņa — Kontrolleru tīkls (</w:t>
      </w:r>
      <w:r>
        <w:rPr>
          <w:i/>
          <w:iCs/>
          <w:noProof/>
          <w:color w:val="000000" w:themeColor="text1"/>
        </w:rPr>
        <w:t>CAN</w:t>
      </w:r>
      <w:r>
        <w:rPr>
          <w:noProof/>
          <w:color w:val="000000" w:themeColor="text1"/>
        </w:rPr>
        <w:t xml:space="preserve">) ātrdarbīgiem sakariem), lai tos apstrādātu citos transportlīdzeklī uzstādītos elektroniskos blokos:  </w:t>
      </w:r>
    </w:p>
    <w:p w:rsidR="003E022D" w:rsidRDefault="007D19D6">
      <w:pPr>
        <w:rPr>
          <w:rFonts w:cstheme="minorHAnsi"/>
          <w:noProof/>
          <w:color w:val="000000" w:themeColor="text1"/>
        </w:rPr>
      </w:pPr>
      <w:r>
        <w:rPr>
          <w:noProof/>
          <w:color w:val="000000" w:themeColor="text1"/>
        </w:rPr>
        <w:t xml:space="preserve">— kārtējo datumu un laiku pēc pasaules laika,  </w:t>
      </w:r>
    </w:p>
    <w:p w:rsidR="003E022D" w:rsidRDefault="007D19D6">
      <w:pPr>
        <w:rPr>
          <w:rFonts w:cstheme="minorHAnsi"/>
          <w:noProof/>
          <w:color w:val="000000" w:themeColor="text1"/>
        </w:rPr>
      </w:pPr>
      <w:r>
        <w:rPr>
          <w:noProof/>
          <w:color w:val="000000" w:themeColor="text1"/>
        </w:rPr>
        <w:t xml:space="preserve">— transportlīdzekļa ātrumu,  </w:t>
      </w:r>
    </w:p>
    <w:p w:rsidR="003E022D" w:rsidRDefault="007D19D6">
      <w:pPr>
        <w:rPr>
          <w:rFonts w:cstheme="minorHAnsi"/>
          <w:noProof/>
          <w:color w:val="000000" w:themeColor="text1"/>
        </w:rPr>
      </w:pPr>
      <w:r>
        <w:rPr>
          <w:noProof/>
          <w:color w:val="000000" w:themeColor="text1"/>
        </w:rPr>
        <w:t>— transport</w:t>
      </w:r>
      <w:r>
        <w:rPr>
          <w:noProof/>
          <w:color w:val="000000" w:themeColor="text1"/>
        </w:rPr>
        <w:t xml:space="preserve">līdzekļa kopējo nobraukumu (odometra rādījumu),  </w:t>
      </w:r>
    </w:p>
    <w:p w:rsidR="003E022D" w:rsidRDefault="007D19D6">
      <w:pPr>
        <w:rPr>
          <w:rFonts w:cstheme="minorHAnsi"/>
          <w:noProof/>
          <w:color w:val="000000" w:themeColor="text1"/>
        </w:rPr>
      </w:pPr>
      <w:r>
        <w:rPr>
          <w:noProof/>
          <w:color w:val="000000" w:themeColor="text1"/>
        </w:rPr>
        <w:t xml:space="preserve">— kārtējo atzīmēto transportlīdzekļa vadītāja vai otra vadītāja darbību,  </w:t>
      </w:r>
    </w:p>
    <w:p w:rsidR="003E022D" w:rsidRDefault="007D19D6">
      <w:pPr>
        <w:rPr>
          <w:rFonts w:cstheme="minorHAnsi"/>
          <w:noProof/>
          <w:color w:val="000000" w:themeColor="text1"/>
        </w:rPr>
      </w:pPr>
      <w:r>
        <w:rPr>
          <w:noProof/>
          <w:color w:val="000000" w:themeColor="text1"/>
        </w:rPr>
        <w:t>— informāciju par to, vai transportlīdzekļa vadītāja tahogrāfa spraugā un otra vadītāja tahogrāfa spraugā ir ievietota tahogrāfa ka</w:t>
      </w:r>
      <w:r>
        <w:rPr>
          <w:noProof/>
          <w:color w:val="000000" w:themeColor="text1"/>
        </w:rPr>
        <w:t xml:space="preserve">rte, un (ja vajadzīgs) informācija par attiecīgo karšu identifikāciju (kartes numuru un kartes izdevēju valsti).  </w:t>
      </w:r>
    </w:p>
    <w:p w:rsidR="003E022D" w:rsidRDefault="007D19D6">
      <w:pPr>
        <w:rPr>
          <w:rFonts w:cstheme="minorHAnsi"/>
          <w:noProof/>
          <w:color w:val="000000" w:themeColor="text1"/>
        </w:rPr>
      </w:pPr>
      <w:r>
        <w:rPr>
          <w:noProof/>
          <w:color w:val="000000" w:themeColor="text1"/>
        </w:rPr>
        <w:t xml:space="preserve">Papildus minētajam minimālajam apjomam var izvadīt arī citus datus.  </w:t>
      </w:r>
    </w:p>
    <w:p w:rsidR="003E022D" w:rsidRDefault="007D19D6">
      <w:pPr>
        <w:rPr>
          <w:rFonts w:cstheme="minorHAnsi"/>
          <w:noProof/>
          <w:color w:val="000000" w:themeColor="text1"/>
        </w:rPr>
      </w:pPr>
      <w:r>
        <w:rPr>
          <w:noProof/>
          <w:color w:val="000000" w:themeColor="text1"/>
        </w:rPr>
        <w:t>Kad transportlīdzekļa aizdedze ir ieslēgta, minētie dati tiek pastāvīgi</w:t>
      </w:r>
      <w:r>
        <w:rPr>
          <w:noProof/>
          <w:color w:val="000000" w:themeColor="text1"/>
        </w:rPr>
        <w:t xml:space="preserve"> nosūtīti. Ja transportlīdzekļa aizdedze ir izslēgta, attiecīgu datu izvadīšanu rada vismaz transportlīdzekļa vadītāja vai otra vadītāja darbības izmaiņas un/vai tahogrāfa kartes ievietošana vai izņemšana. Ja šo datu izvadīšana nenotiek, kamēr transportlīd</w:t>
      </w:r>
      <w:r>
        <w:rPr>
          <w:noProof/>
          <w:color w:val="000000" w:themeColor="text1"/>
        </w:rPr>
        <w:t xml:space="preserve">zekļa aizdedze ir izslēgta, šie dati ir pieejami pēc tam, kad transportlīdzekļa aizdedze tiek atkal ieslēgta. </w:t>
      </w:r>
    </w:p>
    <w:p w:rsidR="003E022D" w:rsidRDefault="007D19D6">
      <w:pPr>
        <w:rPr>
          <w:rFonts w:cstheme="minorHAnsi"/>
          <w:noProof/>
          <w:color w:val="000000" w:themeColor="text1"/>
        </w:rPr>
      </w:pPr>
      <w:r>
        <w:rPr>
          <w:noProof/>
          <w:color w:val="000000" w:themeColor="text1"/>
        </w:rPr>
        <w:t xml:space="preserve">Personas datu pārraidīšanas gadījumā ir jāsaņem transportlīdzekļa vadītāja apstiprinājums.” </w:t>
      </w:r>
    </w:p>
    <w:p w:rsidR="003E022D" w:rsidRDefault="007D19D6">
      <w:pPr>
        <w:rPr>
          <w:rFonts w:cstheme="minorHAnsi"/>
          <w:noProof/>
          <w:color w:val="000000" w:themeColor="text1"/>
        </w:rPr>
      </w:pPr>
      <w:r>
        <w:rPr>
          <w:b/>
          <w:noProof/>
          <w:color w:val="000000" w:themeColor="text1"/>
        </w:rPr>
        <w:t>Šīs iedaļas nolūkā Komisijas Īstenošanas regulas (ES</w:t>
      </w:r>
      <w:r>
        <w:rPr>
          <w:b/>
          <w:noProof/>
          <w:color w:val="000000" w:themeColor="text1"/>
        </w:rPr>
        <w:t xml:space="preserve">) 2016/799 I.C pielikuma 4. iedaļu (Prasības attiecībā uz tahogrāfa karšu konstrukciju un darbību) pielāgo šādi:  </w:t>
      </w:r>
    </w:p>
    <w:p w:rsidR="003E022D" w:rsidRDefault="007D19D6">
      <w:pPr>
        <w:rPr>
          <w:rFonts w:cstheme="minorHAnsi"/>
          <w:noProof/>
          <w:color w:val="000000" w:themeColor="text1"/>
        </w:rPr>
      </w:pPr>
      <w:bookmarkStart w:id="1337" w:name="_Hlk54423519"/>
      <w:r>
        <w:rPr>
          <w:noProof/>
          <w:color w:val="000000" w:themeColor="text1"/>
        </w:rPr>
        <w:t>15.</w:t>
      </w:r>
      <w:r>
        <w:rPr>
          <w:noProof/>
        </w:rPr>
        <w:tab/>
      </w:r>
      <w:r>
        <w:rPr>
          <w:noProof/>
          <w:color w:val="000000" w:themeColor="text1"/>
        </w:rPr>
        <w:t xml:space="preserve">Iedaļas 4.1. apakšiedaļas (229) punktam pievieno šādu daļu:  </w:t>
      </w:r>
    </w:p>
    <w:bookmarkEnd w:id="1337"/>
    <w:p w:rsidR="003E022D" w:rsidRDefault="007D19D6">
      <w:pPr>
        <w:rPr>
          <w:rFonts w:cstheme="minorHAnsi"/>
          <w:noProof/>
          <w:color w:val="000000" w:themeColor="text1"/>
        </w:rPr>
      </w:pPr>
      <w:r>
        <w:rPr>
          <w:noProof/>
          <w:color w:val="000000" w:themeColor="text1"/>
        </w:rPr>
        <w:t xml:space="preserve">“Attiecībā uz Apvienoto Karalisti atšķirības zīme ir UK.”; </w:t>
      </w:r>
    </w:p>
    <w:p w:rsidR="003E022D" w:rsidRDefault="007D19D6">
      <w:pPr>
        <w:rPr>
          <w:rFonts w:cstheme="minorHAnsi"/>
          <w:noProof/>
          <w:color w:val="000000" w:themeColor="text1"/>
        </w:rPr>
      </w:pPr>
      <w:r>
        <w:rPr>
          <w:noProof/>
          <w:color w:val="000000" w:themeColor="text1"/>
        </w:rPr>
        <w:t>16.</w:t>
      </w:r>
      <w:r>
        <w:rPr>
          <w:noProof/>
        </w:rPr>
        <w:tab/>
        <w:t>Iedaļas (23</w:t>
      </w:r>
      <w:r>
        <w:rPr>
          <w:noProof/>
        </w:rPr>
        <w:t>7) punktā “Regulas (ES) Nr. 165/2014 26.4. pantu” aizvieto ar “Tirdzniecības un sadarbības nolīguma starp Eiropas Savienību un Eiropas Atomenerģijas kopienu, no vienas puses, un Lielbritānijas un Ziemeļīrijas Apvienoto Karalisti, no otras puses, ROAD-1. pi</w:t>
      </w:r>
      <w:r>
        <w:rPr>
          <w:noProof/>
        </w:rPr>
        <w:t>elikuma C daļas 2. iedaļas 9. panta 2. punktu”.;</w:t>
      </w:r>
    </w:p>
    <w:p w:rsidR="003E022D" w:rsidRDefault="007D19D6">
      <w:pPr>
        <w:rPr>
          <w:rFonts w:cstheme="minorHAnsi"/>
          <w:noProof/>
          <w:color w:val="000000" w:themeColor="text1"/>
        </w:rPr>
      </w:pPr>
      <w:r>
        <w:rPr>
          <w:noProof/>
          <w:color w:val="000000" w:themeColor="text1"/>
        </w:rPr>
        <w:t>17.</w:t>
      </w:r>
      <w:r>
        <w:rPr>
          <w:noProof/>
        </w:rPr>
        <w:tab/>
      </w:r>
      <w:r>
        <w:rPr>
          <w:noProof/>
          <w:color w:val="000000" w:themeColor="text1"/>
        </w:rPr>
        <w:t xml:space="preserve">Šā pielikuma 4. nodaļas 4.4. apakšiedaļas (241) punktā “Kopienas teritoriju” aizvieto ar “Savienības un Apvienotās Karalistes teritoriju”. </w:t>
      </w:r>
    </w:p>
    <w:p w:rsidR="003E022D" w:rsidRDefault="007D19D6">
      <w:pPr>
        <w:rPr>
          <w:rFonts w:cstheme="minorHAnsi"/>
          <w:noProof/>
          <w:color w:val="000000" w:themeColor="text1"/>
        </w:rPr>
      </w:pPr>
      <w:r>
        <w:rPr>
          <w:noProof/>
          <w:color w:val="000000" w:themeColor="text1"/>
        </w:rPr>
        <w:t>18.</w:t>
      </w:r>
      <w:r>
        <w:rPr>
          <w:noProof/>
        </w:rPr>
        <w:tab/>
      </w:r>
      <w:r>
        <w:rPr>
          <w:noProof/>
          <w:color w:val="000000" w:themeColor="text1"/>
        </w:rPr>
        <w:t xml:space="preserve">Iedaļas 4.5. apakšiedaļā (246) punktu svītro. </w:t>
      </w:r>
    </w:p>
    <w:p w:rsidR="003E022D" w:rsidRDefault="007D19D6">
      <w:pPr>
        <w:rPr>
          <w:rFonts w:cstheme="minorHAnsi"/>
          <w:noProof/>
          <w:color w:val="000000" w:themeColor="text1"/>
        </w:rPr>
      </w:pPr>
      <w:r>
        <w:rPr>
          <w:b/>
          <w:noProof/>
          <w:color w:val="000000" w:themeColor="text1"/>
        </w:rPr>
        <w:t xml:space="preserve">Šīs iedaļas </w:t>
      </w:r>
      <w:r>
        <w:rPr>
          <w:b/>
          <w:noProof/>
          <w:color w:val="000000" w:themeColor="text1"/>
        </w:rPr>
        <w:t xml:space="preserve">nolūkā Komisijas Īstenošanas regulas (ES) Nr. 2016/799 I.C pielikuma 5. iedaļu (Reģistrācijas kontrolierīces uzstādīšana) pielāgo šādi:  </w:t>
      </w:r>
    </w:p>
    <w:p w:rsidR="003E022D" w:rsidRDefault="007D19D6">
      <w:pPr>
        <w:rPr>
          <w:rFonts w:cstheme="minorHAnsi"/>
          <w:noProof/>
          <w:color w:val="000000" w:themeColor="text1"/>
        </w:rPr>
      </w:pPr>
      <w:r>
        <w:rPr>
          <w:noProof/>
          <w:color w:val="000000" w:themeColor="text1"/>
        </w:rPr>
        <w:t>19.</w:t>
      </w:r>
      <w:r>
        <w:rPr>
          <w:noProof/>
        </w:rPr>
        <w:tab/>
      </w:r>
      <w:r>
        <w:rPr>
          <w:noProof/>
          <w:color w:val="000000" w:themeColor="text1"/>
        </w:rPr>
        <w:t xml:space="preserve">Iedaļas 5.2. apakšiedaļā (397) punktu aizstāj ar šādu:  </w:t>
      </w:r>
    </w:p>
    <w:p w:rsidR="003E022D" w:rsidRDefault="007D19D6">
      <w:pPr>
        <w:ind w:firstLine="720"/>
        <w:rPr>
          <w:rFonts w:cstheme="minorHAnsi"/>
          <w:noProof/>
          <w:color w:val="000000" w:themeColor="text1"/>
        </w:rPr>
      </w:pPr>
      <w:r>
        <w:rPr>
          <w:noProof/>
          <w:color w:val="000000" w:themeColor="text1"/>
        </w:rPr>
        <w:t>“(397)</w:t>
      </w:r>
      <w:r>
        <w:rPr>
          <w:noProof/>
        </w:rPr>
        <w:tab/>
      </w:r>
      <w:r>
        <w:rPr>
          <w:noProof/>
          <w:color w:val="000000" w:themeColor="text1"/>
        </w:rPr>
        <w:t>Tikai tajos M1 un N1 kategorijas transportlīdzekļo</w:t>
      </w:r>
      <w:r>
        <w:rPr>
          <w:noProof/>
          <w:color w:val="000000" w:themeColor="text1"/>
        </w:rPr>
        <w:t>s, kas aprīkoti ar adapteru atbilstoši šā pielikuma 16. papildinājumam, un ja nav iespējams visu 396. prasībā norādīto vajadzīgo informāciju ietvert vienā plāksnītē, var izmantot otru, papildu plāksnīti.  Šādos gadījumos šajā papildu plāksnītē norāda visma</w:t>
      </w:r>
      <w:r>
        <w:rPr>
          <w:noProof/>
          <w:color w:val="000000" w:themeColor="text1"/>
        </w:rPr>
        <w:t xml:space="preserve">z to informāciju, kas aprakstīta 396. prasības pēdējos četros ievilkumos.” </w:t>
      </w:r>
    </w:p>
    <w:p w:rsidR="003E022D" w:rsidRDefault="007D19D6">
      <w:pPr>
        <w:rPr>
          <w:rFonts w:cstheme="minorHAnsi"/>
          <w:noProof/>
          <w:color w:val="000000" w:themeColor="text1"/>
        </w:rPr>
      </w:pPr>
      <w:r>
        <w:rPr>
          <w:noProof/>
          <w:color w:val="000000" w:themeColor="text1"/>
        </w:rPr>
        <w:t>20.</w:t>
      </w:r>
      <w:r>
        <w:rPr>
          <w:noProof/>
        </w:rPr>
        <w:tab/>
        <w:t>Iedaļas 5.3. apakšiedaļas (402) punktā “Regulas (ES) Nr. 165/2014 22. panta 3. punktu” aizvieto ar “Tirdzniecības un sadarbības nolīguma starp Eiropas Savienību un Eiropas Atom</w:t>
      </w:r>
      <w:r>
        <w:rPr>
          <w:noProof/>
        </w:rPr>
        <w:t>enerģijas kopienu, no vienas puses, un Lielbritānijas un Ziemeļīrijas Apvienoto Karalisti, no otras puses, ROAD-1. pielikuma C daļas 2. iedaļas 5. panta 3. punktu”.;</w:t>
      </w:r>
      <w:r>
        <w:rPr>
          <w:noProof/>
          <w:color w:val="000000" w:themeColor="text1"/>
        </w:rPr>
        <w:t xml:space="preserve"> </w:t>
      </w:r>
    </w:p>
    <w:p w:rsidR="003E022D" w:rsidRDefault="007D19D6">
      <w:pPr>
        <w:rPr>
          <w:rFonts w:cstheme="minorHAnsi"/>
          <w:noProof/>
          <w:color w:val="000000" w:themeColor="text1"/>
        </w:rPr>
      </w:pPr>
      <w:r>
        <w:rPr>
          <w:b/>
          <w:noProof/>
          <w:color w:val="000000" w:themeColor="text1"/>
        </w:rPr>
        <w:t xml:space="preserve">Šīs iedaļas nolūkā Komisijas Īstenošanas regulas (ES) Nr. 2016/799 I.C pielikuma 6. iedaļu (Pārbaudes, inspekcijas un remonti) pielāgo šādi:  </w:t>
      </w:r>
    </w:p>
    <w:p w:rsidR="003E022D" w:rsidRDefault="007D19D6">
      <w:pPr>
        <w:rPr>
          <w:rFonts w:cstheme="minorHAnsi"/>
          <w:noProof/>
          <w:color w:val="000000" w:themeColor="text1"/>
        </w:rPr>
      </w:pPr>
      <w:r>
        <w:rPr>
          <w:noProof/>
          <w:color w:val="000000" w:themeColor="text1"/>
        </w:rPr>
        <w:t>21.</w:t>
      </w:r>
      <w:r>
        <w:rPr>
          <w:noProof/>
        </w:rPr>
        <w:tab/>
      </w:r>
      <w:r>
        <w:rPr>
          <w:noProof/>
          <w:color w:val="000000" w:themeColor="text1"/>
        </w:rPr>
        <w:t>Ievadteikumu aizstāj ar šādu:</w:t>
      </w:r>
    </w:p>
    <w:p w:rsidR="003E022D" w:rsidRDefault="007D19D6">
      <w:pPr>
        <w:ind w:firstLine="720"/>
        <w:rPr>
          <w:rFonts w:cstheme="minorHAnsi"/>
          <w:noProof/>
          <w:color w:val="000000" w:themeColor="text1"/>
        </w:rPr>
      </w:pPr>
      <w:r>
        <w:rPr>
          <w:noProof/>
          <w:color w:val="000000" w:themeColor="text1"/>
        </w:rPr>
        <w:t>“Prasības attiecībā uz apstākļiem, kādos plombas drīkst noņemt, ir noteiktas šā</w:t>
      </w:r>
      <w:r>
        <w:rPr>
          <w:noProof/>
          <w:color w:val="000000" w:themeColor="text1"/>
        </w:rPr>
        <w:t xml:space="preserve"> pielikuma 5.3. nodaļā.”</w:t>
      </w:r>
    </w:p>
    <w:p w:rsidR="003E022D" w:rsidRDefault="007D19D6">
      <w:pPr>
        <w:rPr>
          <w:rFonts w:cstheme="minorHAnsi"/>
          <w:noProof/>
          <w:color w:val="000000" w:themeColor="text1"/>
        </w:rPr>
      </w:pPr>
      <w:r>
        <w:rPr>
          <w:b/>
          <w:noProof/>
          <w:color w:val="000000" w:themeColor="text1"/>
        </w:rPr>
        <w:t xml:space="preserve">Šīs iedaļas nolūkā Komisijas Īstenošanas regulas (ES) Nr. 2016/799 I.C pielikuma 7. iedaļu (Karšu izsniegšana) pielāgo šādi:  </w:t>
      </w:r>
    </w:p>
    <w:p w:rsidR="003E022D" w:rsidRDefault="007D19D6">
      <w:pPr>
        <w:rPr>
          <w:rFonts w:cstheme="minorHAnsi"/>
          <w:noProof/>
          <w:color w:val="000000" w:themeColor="text1"/>
        </w:rPr>
      </w:pPr>
      <w:r>
        <w:rPr>
          <w:noProof/>
          <w:color w:val="000000" w:themeColor="text1"/>
        </w:rPr>
        <w:t>22.</w:t>
      </w:r>
      <w:r>
        <w:rPr>
          <w:noProof/>
        </w:rPr>
        <w:tab/>
        <w:t xml:space="preserve">Iedaļas (424) punktā pēc atsauces uz “dalībvalstīm” iekļauj “un Apvienotā Karaliste” un atsauci uz </w:t>
      </w:r>
      <w:r>
        <w:rPr>
          <w:noProof/>
        </w:rPr>
        <w:t>“Regulas (ES) Nr. 165/2014 31. pantu” aizvieto ar “Tirdzniecības un sadarbības nolīguma starp Eiropas Savienību un Eiropas Atomenerģijas kopienu, no vienas puses, un Lielbritānijas un Ziemeļīrijas Apvienoto Karalisti, no otras puses, ROAD-1. pielikuma C da</w:t>
      </w:r>
      <w:r>
        <w:rPr>
          <w:noProof/>
        </w:rPr>
        <w:t>ļas 2. iedaļas 13. pantu”.;</w:t>
      </w:r>
      <w:r>
        <w:rPr>
          <w:noProof/>
          <w:color w:val="000000" w:themeColor="text1"/>
        </w:rPr>
        <w:t xml:space="preserve"> </w:t>
      </w:r>
    </w:p>
    <w:p w:rsidR="003E022D" w:rsidRDefault="007D19D6">
      <w:pPr>
        <w:rPr>
          <w:rFonts w:cstheme="minorHAnsi"/>
          <w:noProof/>
          <w:color w:val="000000" w:themeColor="text1"/>
        </w:rPr>
      </w:pPr>
      <w:r>
        <w:rPr>
          <w:b/>
          <w:noProof/>
          <w:color w:val="000000" w:themeColor="text1"/>
        </w:rPr>
        <w:t xml:space="preserve">Šīs iedaļas nolūkā Komisijas Īstenošanas regulas (ES) Nr. 2016/799 I.C pielikuma 1. papildinājumu (Datu vārdnīca) pielāgo šādi: </w:t>
      </w:r>
    </w:p>
    <w:p w:rsidR="003E022D" w:rsidRDefault="007D19D6">
      <w:pPr>
        <w:rPr>
          <w:rFonts w:cstheme="minorHAnsi"/>
          <w:noProof/>
          <w:color w:val="000000" w:themeColor="text1"/>
        </w:rPr>
      </w:pPr>
      <w:r>
        <w:rPr>
          <w:noProof/>
          <w:color w:val="000000" w:themeColor="text1"/>
        </w:rPr>
        <w:t>23.</w:t>
      </w:r>
      <w:r>
        <w:rPr>
          <w:noProof/>
        </w:rPr>
        <w:tab/>
      </w:r>
      <w:r>
        <w:rPr>
          <w:noProof/>
          <w:color w:val="000000" w:themeColor="text1"/>
        </w:rPr>
        <w:t xml:space="preserve">Papildinājuma 2.163. punktā “Direktīvu 92/23/EEK” aizvieto ar “ANO EEK Noteikumiem Nr. 54”. </w:t>
      </w:r>
    </w:p>
    <w:p w:rsidR="003E022D" w:rsidRDefault="007D19D6">
      <w:pPr>
        <w:rPr>
          <w:rFonts w:cstheme="minorHAnsi"/>
          <w:noProof/>
          <w:color w:val="000000" w:themeColor="text1"/>
        </w:rPr>
      </w:pPr>
      <w:r>
        <w:rPr>
          <w:b/>
          <w:noProof/>
          <w:color w:val="000000" w:themeColor="text1"/>
        </w:rPr>
        <w:t>Š</w:t>
      </w:r>
      <w:r>
        <w:rPr>
          <w:b/>
          <w:noProof/>
          <w:color w:val="000000" w:themeColor="text1"/>
        </w:rPr>
        <w:t xml:space="preserve">īs iedaļas nolūkā Komisijas Īstenošanas regulas (ES) Nr. 2016/799 I.C pielikuma 11. papildinājumu (Vienotie drošības mehānismi) pielāgo šādi: </w:t>
      </w:r>
    </w:p>
    <w:p w:rsidR="003E022D" w:rsidRDefault="007D19D6">
      <w:pPr>
        <w:rPr>
          <w:rFonts w:cstheme="minorHAnsi"/>
          <w:noProof/>
          <w:color w:val="000000" w:themeColor="text1"/>
        </w:rPr>
      </w:pPr>
      <w:r>
        <w:rPr>
          <w:noProof/>
          <w:color w:val="000000" w:themeColor="text1"/>
        </w:rPr>
        <w:t>24.</w:t>
      </w:r>
      <w:r>
        <w:rPr>
          <w:noProof/>
        </w:rPr>
        <w:tab/>
      </w:r>
      <w:r>
        <w:rPr>
          <w:noProof/>
          <w:color w:val="000000" w:themeColor="text1"/>
        </w:rPr>
        <w:t xml:space="preserve">Papildinājuma 9.1.4. punktā [Ierīces līmenis — </w:t>
      </w:r>
      <w:r>
        <w:rPr>
          <w:noProof/>
        </w:rPr>
        <w:t>transportlīdzekļa bloki] pirmajā piezīmē zem CSM_78 “Regulu (E</w:t>
      </w:r>
      <w:r>
        <w:rPr>
          <w:noProof/>
        </w:rPr>
        <w:t>S) Nr. 581/2010” aizvieto ar “Tirdzniecības un sadarbības nolīguma starp Eiropas Savienību un Eiropas Atomenerģijas kopienu, no vienas puses, un Lielbritānijas un Ziemeļīrijas Apvienoto Karalisti, no otras puses, ROAD-1. pielikuma B daļas 2. iedaļas 7. pan</w:t>
      </w:r>
      <w:r>
        <w:rPr>
          <w:noProof/>
        </w:rPr>
        <w:t>ta 5. punktu”.</w:t>
      </w:r>
    </w:p>
    <w:p w:rsidR="003E022D" w:rsidRDefault="007D19D6">
      <w:pPr>
        <w:rPr>
          <w:rFonts w:cstheme="minorHAnsi"/>
          <w:noProof/>
          <w:color w:val="000000" w:themeColor="text1"/>
        </w:rPr>
      </w:pPr>
      <w:r>
        <w:rPr>
          <w:noProof/>
          <w:color w:val="000000" w:themeColor="text1"/>
        </w:rPr>
        <w:t>25.</w:t>
      </w:r>
      <w:r>
        <w:rPr>
          <w:noProof/>
        </w:rPr>
        <w:tab/>
      </w:r>
      <w:r>
        <w:rPr>
          <w:noProof/>
          <w:color w:val="000000" w:themeColor="text1"/>
        </w:rPr>
        <w:t xml:space="preserve">Papildinājuma 9.1.5. punktā [Ierīces līmenis — </w:t>
      </w:r>
      <w:r>
        <w:rPr>
          <w:noProof/>
        </w:rPr>
        <w:t>tahogrāfa kartes] piezīmē zem CSM_89 “Regulu (ES) Nr. 581/2010” aizvieto ar “Tirdzniecības un sadarbības nolīguma starp Eiropas Savienību un Eiropas Atomenerģijas kopienu, no vienas puses, u</w:t>
      </w:r>
      <w:r>
        <w:rPr>
          <w:noProof/>
        </w:rPr>
        <w:t>n Lielbritānijas un Ziemeļīrijas Apvienoto Karalisti, no otras puses, ROAD-1. pielikuma B daļas 2. iedaļas 7. panta 5. punktu”.</w:t>
      </w:r>
      <w:r>
        <w:rPr>
          <w:noProof/>
          <w:color w:val="000000" w:themeColor="text1"/>
        </w:rPr>
        <w:t xml:space="preserve"> </w:t>
      </w:r>
    </w:p>
    <w:p w:rsidR="003E022D" w:rsidRDefault="007D19D6">
      <w:pPr>
        <w:rPr>
          <w:rFonts w:cstheme="minorHAnsi"/>
          <w:noProof/>
          <w:color w:val="000000" w:themeColor="text1"/>
        </w:rPr>
      </w:pPr>
      <w:r>
        <w:rPr>
          <w:b/>
          <w:noProof/>
          <w:color w:val="000000" w:themeColor="text1"/>
        </w:rPr>
        <w:t>Šīs iedaļas nolūkā Komisijas Īstenošanas regulas (ES) Nr. 2016/799 I.C pielikuma 12. papildinājumu (Pozicionēšana uz globālās n</w:t>
      </w:r>
      <w:r>
        <w:rPr>
          <w:b/>
          <w:noProof/>
          <w:color w:val="000000" w:themeColor="text1"/>
        </w:rPr>
        <w:t xml:space="preserve">avigācijas satelītu sistēmas (GNSS) pamata ) pielāgo šādi: </w:t>
      </w:r>
    </w:p>
    <w:p w:rsidR="003E022D" w:rsidRDefault="007D19D6">
      <w:pPr>
        <w:rPr>
          <w:rFonts w:cstheme="minorHAnsi"/>
          <w:noProof/>
          <w:color w:val="000000" w:themeColor="text1"/>
        </w:rPr>
      </w:pPr>
      <w:r>
        <w:rPr>
          <w:noProof/>
          <w:color w:val="000000" w:themeColor="text1"/>
        </w:rPr>
        <w:t>26.</w:t>
      </w:r>
      <w:r>
        <w:rPr>
          <w:noProof/>
        </w:rPr>
        <w:tab/>
      </w:r>
      <w:r>
        <w:rPr>
          <w:noProof/>
          <w:color w:val="000000" w:themeColor="text1"/>
        </w:rPr>
        <w:t>Papildinājuma 1. iedaļas (Ievads) otro daļu svītro.</w:t>
      </w:r>
    </w:p>
    <w:p w:rsidR="003E022D" w:rsidRDefault="007D19D6">
      <w:pPr>
        <w:rPr>
          <w:rFonts w:cstheme="minorHAnsi"/>
          <w:noProof/>
          <w:color w:val="000000" w:themeColor="text1"/>
        </w:rPr>
      </w:pPr>
      <w:r>
        <w:rPr>
          <w:noProof/>
          <w:color w:val="000000" w:themeColor="text1"/>
        </w:rPr>
        <w:t>27.</w:t>
      </w:r>
      <w:r>
        <w:rPr>
          <w:noProof/>
        </w:rPr>
        <w:tab/>
      </w:r>
      <w:r>
        <w:rPr>
          <w:noProof/>
          <w:color w:val="000000" w:themeColor="text1"/>
        </w:rPr>
        <w:t>Papildinājuma 2. iedaļā [GNSS uztvērēja specifikācija] atsauci uz “saderību ar pakalpojumiem, ko sniedz Galileo un Eiropas Ģeostacionārā</w:t>
      </w:r>
      <w:r>
        <w:rPr>
          <w:noProof/>
          <w:color w:val="000000" w:themeColor="text1"/>
        </w:rPr>
        <w:t>s navigācijas pārklājuma dienesta (</w:t>
      </w:r>
      <w:r>
        <w:rPr>
          <w:i/>
          <w:iCs/>
          <w:noProof/>
          <w:color w:val="000000" w:themeColor="text1"/>
        </w:rPr>
        <w:t>EGNOS</w:t>
      </w:r>
      <w:r>
        <w:rPr>
          <w:noProof/>
          <w:color w:val="000000" w:themeColor="text1"/>
        </w:rPr>
        <w:t>) programmas, kā tas izklāstīts Eiropas Parlamenta un Padomes Regulā (ES) Nr. 1285/2013” aizstāj ar “saderību ar satelīta funkcionālā papildinājuma sistēmām (</w:t>
      </w:r>
      <w:r>
        <w:rPr>
          <w:i/>
          <w:iCs/>
          <w:noProof/>
          <w:color w:val="000000" w:themeColor="text1"/>
        </w:rPr>
        <w:t>SBAS</w:t>
      </w:r>
      <w:r>
        <w:rPr>
          <w:noProof/>
          <w:color w:val="000000" w:themeColor="text1"/>
        </w:rPr>
        <w:t>)”.</w:t>
      </w:r>
    </w:p>
    <w:p w:rsidR="003E022D" w:rsidRDefault="007D19D6">
      <w:pPr>
        <w:rPr>
          <w:rFonts w:cstheme="minorHAnsi"/>
          <w:noProof/>
          <w:color w:val="000000" w:themeColor="text1"/>
        </w:rPr>
      </w:pPr>
      <w:r>
        <w:rPr>
          <w:b/>
          <w:noProof/>
          <w:color w:val="000000" w:themeColor="text1"/>
        </w:rPr>
        <w:t>Šīs iedaļas nolūkā Komisijas Īstenošanas regulas (</w:t>
      </w:r>
      <w:r>
        <w:rPr>
          <w:b/>
          <w:noProof/>
          <w:color w:val="000000" w:themeColor="text1"/>
        </w:rPr>
        <w:t xml:space="preserve">ES) Nr. 2016/799 I.C pielikuma 16. papildinājumu (Adapters M1 un N1 kategorijas transportlīdzekļiem) pielāgo šādi: </w:t>
      </w:r>
    </w:p>
    <w:p w:rsidR="003E022D" w:rsidRDefault="007D19D6">
      <w:pPr>
        <w:rPr>
          <w:rFonts w:cstheme="minorHAnsi"/>
          <w:noProof/>
          <w:color w:val="000000" w:themeColor="text1"/>
        </w:rPr>
      </w:pPr>
      <w:r>
        <w:rPr>
          <w:noProof/>
          <w:color w:val="000000" w:themeColor="text1"/>
        </w:rPr>
        <w:t>28.</w:t>
      </w:r>
      <w:r>
        <w:rPr>
          <w:noProof/>
        </w:rPr>
        <w:tab/>
      </w:r>
      <w:r>
        <w:rPr>
          <w:noProof/>
          <w:color w:val="000000" w:themeColor="text1"/>
        </w:rPr>
        <w:t>Papildinājuma 7. iedaļas [Reģistrācijas kontrolierīču tipa apstiprināšana, ja izmanto adapteru] tabulas 5.1. punktā  atsauci uz “Direktī</w:t>
      </w:r>
      <w:r>
        <w:rPr>
          <w:noProof/>
          <w:color w:val="000000" w:themeColor="text1"/>
        </w:rPr>
        <w:t xml:space="preserve">vu 2006/28/EK” aizstāj ar atsauci uz “ANO EEK Noteikumiem Nr. 10”. </w:t>
      </w:r>
    </w:p>
    <w:p w:rsidR="003E022D" w:rsidRDefault="003E022D">
      <w:pPr>
        <w:rPr>
          <w:rFonts w:cstheme="minorHAnsi"/>
          <w:noProof/>
          <w:color w:val="000000" w:themeColor="text1"/>
        </w:rPr>
      </w:pPr>
    </w:p>
    <w:p w:rsidR="003E022D" w:rsidRDefault="007D19D6">
      <w:pPr>
        <w:rPr>
          <w:rFonts w:cstheme="minorHAnsi"/>
          <w:noProof/>
          <w:color w:val="000000" w:themeColor="text1"/>
        </w:rPr>
      </w:pPr>
      <w:r>
        <w:rPr>
          <w:noProof/>
        </w:rPr>
        <w:br w:type="page"/>
      </w:r>
    </w:p>
    <w:p w:rsidR="003E022D" w:rsidRDefault="007D19D6">
      <w:pPr>
        <w:pStyle w:val="Part2"/>
        <w:rPr>
          <w:rFonts w:asciiTheme="minorHAnsi" w:hAnsiTheme="minorHAnsi" w:cstheme="minorHAnsi"/>
          <w:noProof/>
        </w:rPr>
      </w:pPr>
      <w:r>
        <w:rPr>
          <w:rFonts w:asciiTheme="minorHAnsi" w:hAnsiTheme="minorHAnsi"/>
          <w:noProof/>
        </w:rPr>
        <w:t xml:space="preserve">C DAĻA. Prasības transportlīdzekļiem, kurus izmanto kravu pārvadājumiem saskaņā ar šā nolīguma ROAD.8. pantu </w:t>
      </w:r>
    </w:p>
    <w:p w:rsidR="003E022D" w:rsidRDefault="007D19D6">
      <w:pPr>
        <w:pStyle w:val="Section"/>
        <w:rPr>
          <w:rFonts w:cstheme="minorHAnsi"/>
          <w:noProof/>
        </w:rPr>
      </w:pPr>
      <w:r>
        <w:rPr>
          <w:noProof/>
        </w:rPr>
        <w:t xml:space="preserve">1. iedaļa. Svars un gabarīti </w:t>
      </w:r>
    </w:p>
    <w:p w:rsidR="003E022D" w:rsidRDefault="007D19D6">
      <w:pPr>
        <w:pStyle w:val="Article"/>
        <w:rPr>
          <w:rFonts w:cstheme="minorHAnsi"/>
          <w:noProof/>
        </w:rPr>
      </w:pPr>
      <w:r>
        <w:rPr>
          <w:noProof/>
        </w:rPr>
        <w:t xml:space="preserve">1. pants. Priekšmets un principi </w:t>
      </w:r>
    </w:p>
    <w:p w:rsidR="003E022D" w:rsidRDefault="007D19D6">
      <w:pPr>
        <w:rPr>
          <w:rFonts w:cstheme="minorHAnsi"/>
          <w:noProof/>
        </w:rPr>
      </w:pPr>
      <w:r>
        <w:rPr>
          <w:noProof/>
        </w:rPr>
        <w:t>To transpor</w:t>
      </w:r>
      <w:r>
        <w:rPr>
          <w:noProof/>
        </w:rPr>
        <w:t xml:space="preserve">tlīdzekļu maksimālais svars un gabarīti, kurus var izmantot braucienos, kas minēti šā nolīguma ROAD.4. pantā [Kravu pārvadāšana starp Pušu teritorijām, caur tām un tajās], ir noteikti ROAD.C.1.1. papildinājumā. </w:t>
      </w:r>
    </w:p>
    <w:p w:rsidR="003E022D" w:rsidRDefault="007D19D6">
      <w:pPr>
        <w:pStyle w:val="Article"/>
        <w:rPr>
          <w:rFonts w:cstheme="minorHAnsi"/>
          <w:noProof/>
        </w:rPr>
      </w:pPr>
      <w:r>
        <w:rPr>
          <w:noProof/>
        </w:rPr>
        <w:t xml:space="preserve">2. pants. Definīcijas </w:t>
      </w:r>
    </w:p>
    <w:p w:rsidR="003E022D" w:rsidRDefault="007D19D6">
      <w:pPr>
        <w:rPr>
          <w:rFonts w:cstheme="minorHAnsi"/>
          <w:noProof/>
        </w:rPr>
      </w:pPr>
      <w:r>
        <w:rPr>
          <w:noProof/>
        </w:rPr>
        <w:t>Šajā iedaļā piemēro š</w:t>
      </w:r>
      <w:r>
        <w:rPr>
          <w:noProof/>
        </w:rPr>
        <w:t xml:space="preserve">ādas definīcijas: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“mehāniskais transportlīdzeklis” ir jebkurš pašgājējs transportlīdzeklis, kas pārvietojas pa ceļu, izmantojot savu enerģiju;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“piekabe” ir jebkurš transportlīdzeklis, kas domāts savienošanai ar mehānisko transportlīdzekli, izņemot puspiekabes, un kas būvēts un aprīkots kravu pārvadāšanai;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“puspiekabe” ir jebkurš transportlīdzeklis, kas domāts savienošanai ar mehānisko transport</w:t>
      </w:r>
      <w:r>
        <w:rPr>
          <w:rFonts w:asciiTheme="minorHAnsi" w:hAnsiTheme="minorHAnsi"/>
          <w:noProof/>
        </w:rPr>
        <w:t xml:space="preserve">līdzekli tādā veidā, ka daļa no tās balstās uz mehāniskā transportlīdzekļa un būtisku tās svara un vedamās kravas svara daļu nes mehāniskais transportlīdzeklis; puspiekabe ir būvēta un aprīkota kravu pārvadāšanai;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“transportlīdzekļu sastāvs” ir:  </w:t>
      </w:r>
    </w:p>
    <w:p w:rsidR="003E022D" w:rsidRDefault="007D19D6">
      <w:pPr>
        <w:rPr>
          <w:rFonts w:cstheme="minorHAnsi"/>
          <w:noProof/>
        </w:rPr>
      </w:pPr>
      <w:r>
        <w:rPr>
          <w:noProof/>
        </w:rPr>
        <w:t>— auto</w:t>
      </w:r>
      <w:r>
        <w:rPr>
          <w:noProof/>
        </w:rPr>
        <w:t xml:space="preserve">vilciens, kas sastāv no mehāniskā transportlīdzekļa, kurš savienots ar piekabi, vai  </w:t>
      </w:r>
    </w:p>
    <w:p w:rsidR="003E022D" w:rsidRDefault="007D19D6">
      <w:pPr>
        <w:rPr>
          <w:rFonts w:cstheme="minorHAnsi"/>
          <w:noProof/>
        </w:rPr>
      </w:pPr>
      <w:r>
        <w:rPr>
          <w:noProof/>
        </w:rPr>
        <w:t xml:space="preserve">— posmainais transportlīdzeklis, kas sastāv no mehāniskā transportlīdzekļa, kurš savienots ar puspiekabi;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“kondicionēts transportlīdzeklis” ir jebkurš transportlīdzeklis, kurā fiksētā vai kustīgā virsbūve ir īpaši aprīkota, lai pārvadātu kravas kontrolētas temperatūras apstākļos un kura sānsienas, ieskaitot izolāciju, ir vismaz 45 mm biezas;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“maksimālie pieļ</w:t>
      </w:r>
      <w:r>
        <w:rPr>
          <w:rFonts w:asciiTheme="minorHAnsi" w:hAnsiTheme="minorHAnsi"/>
          <w:noProof/>
        </w:rPr>
        <w:t xml:space="preserve">aujamie gabarīti” ir maksimālie gabarīti transportlīdzekļa izmantošanai;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“maksimāli pieļaujamais svars” ir maksimālais svars piekrauta transportlīdzekļa izmantošanai;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“maksimāli pieļaujamais ass svars” ir maksimālais svars slogotas ass vai asu grupu izm</w:t>
      </w:r>
      <w:r>
        <w:rPr>
          <w:rFonts w:asciiTheme="minorHAnsi" w:hAnsiTheme="minorHAnsi"/>
          <w:noProof/>
        </w:rPr>
        <w:t xml:space="preserve">antošanai;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“tonna” ir svars, kas ir atvasināts no tonnas masas un kas atbilst 9,8 kiloņūtoniem (kN);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“nedalāma krava” ir krava, ko pārvadājumiem pa ceļiem nevar sadalīt divās vai vairāk kravās bez neparedzētiem izdevumiem vai bojājuma draudiem un kas t</w:t>
      </w:r>
      <w:r>
        <w:rPr>
          <w:rFonts w:asciiTheme="minorHAnsi" w:hAnsiTheme="minorHAnsi"/>
          <w:noProof/>
        </w:rPr>
        <w:t xml:space="preserve">ās gabarītu vai masas dēļ nedrīkst tikt pārvadāta ar mehānisko transportlīdzekli, piekabi, autovilcienu vai posmaino transportlīdzekli, ievērojot visus šīs iedaļas nosacījumus;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“alternatīvās degvielas” ir degvielas vai enerģijas avoti, ar kuriem vismaz da</w:t>
      </w:r>
      <w:r>
        <w:rPr>
          <w:rFonts w:asciiTheme="minorHAnsi" w:hAnsiTheme="minorHAnsi"/>
          <w:noProof/>
        </w:rPr>
        <w:t xml:space="preserve">ļēji aizvieto fosilos naftas avotus transportlīdzekļu apgādē ar enerģiju un kuriem ir potenciāls veicināt transporta dekarbonizāciju un uzlabot transporta nozares ekoloģiskos raksturlielumus, kas ietver:  </w:t>
      </w:r>
    </w:p>
    <w:p w:rsidR="003E022D" w:rsidRDefault="007D19D6">
      <w:pPr>
        <w:pStyle w:val="Point0letter"/>
        <w:tabs>
          <w:tab w:val="left" w:pos="851"/>
        </w:tabs>
        <w:ind w:left="851"/>
        <w:jc w:val="both"/>
        <w:rPr>
          <w:rFonts w:asciiTheme="minorHAnsi" w:hAnsiTheme="minorHAnsi" w:cstheme="minorHAnsi"/>
          <w:noProof/>
        </w:rPr>
      </w:pPr>
      <w:r>
        <w:rPr>
          <w:rFonts w:asciiTheme="minorHAnsi" w:hAnsiTheme="minorHAnsi"/>
          <w:noProof/>
        </w:rPr>
        <w:t>i) elektroenerģiju, kas patērēta visa veida elektr</w:t>
      </w:r>
      <w:r>
        <w:rPr>
          <w:rFonts w:asciiTheme="minorHAnsi" w:hAnsiTheme="minorHAnsi"/>
          <w:noProof/>
        </w:rPr>
        <w:t xml:space="preserve">otransportlīdzekļos,  </w:t>
      </w:r>
    </w:p>
    <w:p w:rsidR="003E022D" w:rsidRDefault="007D19D6">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ii) ūdeņradi,  </w:t>
      </w:r>
    </w:p>
    <w:p w:rsidR="003E022D" w:rsidRDefault="007D19D6">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iii) dabasgāzi, tostarp biometānu, gāzveida agregātstāvoklī (saspiestā dabasgāze – </w:t>
      </w:r>
      <w:r>
        <w:rPr>
          <w:rFonts w:asciiTheme="minorHAnsi" w:hAnsiTheme="minorHAnsi"/>
          <w:i/>
          <w:noProof/>
        </w:rPr>
        <w:t>CNG</w:t>
      </w:r>
      <w:r>
        <w:rPr>
          <w:rFonts w:asciiTheme="minorHAnsi" w:hAnsiTheme="minorHAnsi"/>
          <w:noProof/>
        </w:rPr>
        <w:t xml:space="preserve">) un šķidrā agregātstāvoklī (sašķidrinātā dabasgāze – </w:t>
      </w:r>
      <w:r>
        <w:rPr>
          <w:rFonts w:asciiTheme="minorHAnsi" w:hAnsiTheme="minorHAnsi"/>
          <w:i/>
          <w:noProof/>
        </w:rPr>
        <w:t>LNG</w:t>
      </w:r>
      <w:r>
        <w:rPr>
          <w:rFonts w:asciiTheme="minorHAnsi" w:hAnsiTheme="minorHAnsi"/>
          <w:noProof/>
        </w:rPr>
        <w:t xml:space="preserve">),  </w:t>
      </w:r>
    </w:p>
    <w:p w:rsidR="003E022D" w:rsidRDefault="007D19D6">
      <w:pPr>
        <w:pStyle w:val="Point0letter"/>
        <w:tabs>
          <w:tab w:val="left" w:pos="851"/>
        </w:tabs>
        <w:ind w:left="851"/>
        <w:jc w:val="both"/>
        <w:rPr>
          <w:rFonts w:asciiTheme="minorHAnsi" w:hAnsiTheme="minorHAnsi" w:cstheme="minorHAnsi"/>
          <w:noProof/>
        </w:rPr>
      </w:pPr>
      <w:r>
        <w:rPr>
          <w:rFonts w:asciiTheme="minorHAnsi" w:hAnsiTheme="minorHAnsi"/>
          <w:noProof/>
        </w:rPr>
        <w:t>iv) sašķidrināto naftas gāzi (</w:t>
      </w:r>
      <w:r>
        <w:rPr>
          <w:rFonts w:asciiTheme="minorHAnsi" w:hAnsiTheme="minorHAnsi"/>
          <w:i/>
          <w:noProof/>
        </w:rPr>
        <w:t>LPG</w:t>
      </w:r>
      <w:r>
        <w:rPr>
          <w:rFonts w:asciiTheme="minorHAnsi" w:hAnsiTheme="minorHAnsi"/>
          <w:noProof/>
        </w:rPr>
        <w:t xml:space="preserve">),  </w:t>
      </w:r>
    </w:p>
    <w:p w:rsidR="003E022D" w:rsidRDefault="007D19D6">
      <w:pPr>
        <w:pStyle w:val="Point0letter"/>
        <w:tabs>
          <w:tab w:val="left" w:pos="851"/>
        </w:tabs>
        <w:ind w:left="851"/>
        <w:jc w:val="both"/>
        <w:rPr>
          <w:rFonts w:asciiTheme="minorHAnsi" w:hAnsiTheme="minorHAnsi" w:cstheme="minorHAnsi"/>
          <w:noProof/>
        </w:rPr>
      </w:pPr>
      <w:r>
        <w:rPr>
          <w:rFonts w:asciiTheme="minorHAnsi" w:hAnsiTheme="minorHAnsi"/>
          <w:noProof/>
        </w:rPr>
        <w:t>v) mehānisku enerģiju, kas gūta</w:t>
      </w:r>
      <w:r>
        <w:rPr>
          <w:rFonts w:asciiTheme="minorHAnsi" w:hAnsiTheme="minorHAnsi"/>
          <w:noProof/>
        </w:rPr>
        <w:t xml:space="preserve"> no transportlīdzekļos uzstādītas uzglabāšanas iekārtas/uzstādītiem avotiem, tostarp siltuma pārpalikumu;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“ar alternatīvu degvielu darbināms transportlīdzeklis” ir mehānisks transportlīdzeklis, kuru pilnībā vai daļēji darbina ar alternatīvu degvielu;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w:t>
      </w:r>
      <w:r>
        <w:rPr>
          <w:rFonts w:asciiTheme="minorHAnsi" w:hAnsiTheme="minorHAnsi"/>
          <w:noProof/>
        </w:rPr>
        <w:t>bezemisiju transportlīdzeklis” ir smagais kravas transportlīdzeklis bez iekšdedzes motora vai ar iekšdedzes motoru, kura emisijas ir mazākas par 1 g CO</w:t>
      </w:r>
      <w:r>
        <w:rPr>
          <w:rFonts w:asciiTheme="minorHAnsi" w:hAnsiTheme="minorHAnsi"/>
          <w:noProof/>
          <w:vertAlign w:val="subscript"/>
        </w:rPr>
        <w:t>2</w:t>
      </w:r>
      <w:r>
        <w:rPr>
          <w:rFonts w:asciiTheme="minorHAnsi" w:hAnsiTheme="minorHAnsi"/>
          <w:noProof/>
        </w:rPr>
        <w:t xml:space="preserve">/kWh; un  </w:t>
      </w:r>
    </w:p>
    <w:p w:rsidR="003E022D" w:rsidRDefault="007D19D6">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“intermodālo pārvadājumu operācija” ir viena vai vairāku konteineru vai noņemamu virsbūvju, k</w:t>
      </w:r>
      <w:r>
        <w:rPr>
          <w:rFonts w:asciiTheme="minorHAnsi" w:hAnsiTheme="minorHAnsi"/>
          <w:noProof/>
        </w:rPr>
        <w:t>uru kopējais maksimālais garums ir līdz 45 pēdām, pārvadājums, kura laikā kravas automobilis, piekabe, puspiekabe (ar vilcēju vai bez tā), noņemamā virsbūve vai konteiners izmanto sauszemes ceļu brauciena sākuma un/vai beigu posmā un dzelzceļa vai iekšzeme</w:t>
      </w:r>
      <w:r>
        <w:rPr>
          <w:rFonts w:asciiTheme="minorHAnsi" w:hAnsiTheme="minorHAnsi"/>
          <w:noProof/>
        </w:rPr>
        <w:t xml:space="preserve">s ūdensceļu, vai ostu pakalpojumus atlikušajā brauciena posmā. </w:t>
      </w:r>
    </w:p>
    <w:p w:rsidR="003E022D" w:rsidRDefault="007D19D6">
      <w:pPr>
        <w:pStyle w:val="Article"/>
        <w:rPr>
          <w:rFonts w:cstheme="minorHAnsi"/>
          <w:noProof/>
        </w:rPr>
      </w:pPr>
      <w:r>
        <w:rPr>
          <w:noProof/>
        </w:rPr>
        <w:t xml:space="preserve">3. pants. Speciālās atļaujas </w:t>
      </w:r>
    </w:p>
    <w:p w:rsidR="003E022D" w:rsidRDefault="007D19D6">
      <w:pPr>
        <w:rPr>
          <w:rFonts w:cstheme="minorHAnsi"/>
          <w:noProof/>
        </w:rPr>
      </w:pPr>
      <w:r>
        <w:rPr>
          <w:noProof/>
        </w:rPr>
        <w:t xml:space="preserve">Transportlīdzekli vai transportlīdzekļu sastāvu, kas pārsniedz maksimālo svaru un gabarītus, kuri noteikti ROAD.C.1.1. papildinājumā, var atļaut ekspluatēt tikai </w:t>
      </w:r>
      <w:r>
        <w:rPr>
          <w:noProof/>
        </w:rPr>
        <w:t>ar speciālu atļauju, kuru bez diskriminācijas izdod kompetentās iestādes, vai arī saskaņā ar līdzīgiem nediskriminējošiem pasākumiem, par ko katrā konkrētajā gadījumā vienojas ar minētajām iestādēm, ja šie transportlīdzekļi vai transportlīdzekļu sastāvi pā</w:t>
      </w:r>
      <w:r>
        <w:rPr>
          <w:noProof/>
        </w:rPr>
        <w:t xml:space="preserve">rvadā nedalāmas kravas vai paredzēts, ka tie tās pārvadās. </w:t>
      </w:r>
    </w:p>
    <w:p w:rsidR="003E022D" w:rsidRDefault="007D19D6">
      <w:pPr>
        <w:pStyle w:val="Article"/>
        <w:rPr>
          <w:rFonts w:cstheme="minorHAnsi"/>
          <w:noProof/>
        </w:rPr>
      </w:pPr>
      <w:r>
        <w:rPr>
          <w:noProof/>
        </w:rPr>
        <w:t xml:space="preserve">4. pants. Vietējie ierobežojumi </w:t>
      </w:r>
    </w:p>
    <w:p w:rsidR="003E022D" w:rsidRDefault="007D19D6">
      <w:pPr>
        <w:rPr>
          <w:rFonts w:cstheme="minorHAnsi"/>
          <w:noProof/>
        </w:rPr>
      </w:pPr>
      <w:r>
        <w:rPr>
          <w:noProof/>
        </w:rPr>
        <w:t>Šī iedaļa neliedz nediskriminējoši piemērot katrā Pusē spēkā esošos ceļu satiksmes noteikumus, kas ļauj ierobežot transportlīdzekļu svaru un/vai gabarītus uz konkr</w:t>
      </w:r>
      <w:r>
        <w:rPr>
          <w:noProof/>
        </w:rPr>
        <w:t xml:space="preserve">ētiem ceļiem vai inženiertehniskām būvēm.  </w:t>
      </w:r>
    </w:p>
    <w:p w:rsidR="003E022D" w:rsidRDefault="007D19D6">
      <w:pPr>
        <w:rPr>
          <w:rFonts w:cstheme="minorHAnsi"/>
          <w:noProof/>
        </w:rPr>
      </w:pPr>
      <w:r>
        <w:rPr>
          <w:noProof/>
        </w:rPr>
        <w:t>Tas attiecas arī uz iespēju ieviest vietējus atļauto maksimālo gabarītu un/vai svara ierobežojumus transportlīdzekļiem, kurus var ekspluatēt noteiktos apgabalos vai uz noteiktiem ceļiem, kur infrastruktūra nav pi</w:t>
      </w:r>
      <w:r>
        <w:rPr>
          <w:noProof/>
        </w:rPr>
        <w:t xml:space="preserve">emērota gariem un smagiem transportlīdzekļiem, piemēram, pilsētu centros, mazos ciematos vai īpašas nozīmes dabas objektos.  </w:t>
      </w:r>
    </w:p>
    <w:p w:rsidR="003E022D" w:rsidRDefault="007D19D6">
      <w:pPr>
        <w:pStyle w:val="Article"/>
        <w:rPr>
          <w:rFonts w:cstheme="minorHAnsi"/>
          <w:noProof/>
        </w:rPr>
      </w:pPr>
      <w:r>
        <w:rPr>
          <w:noProof/>
        </w:rPr>
        <w:t xml:space="preserve">5. pants. Aerodinamiskās ierīces, kas piestiprinātas transportlīdzekļu vai transportlīdzekļu sastāvu aizmugurē </w:t>
      </w:r>
    </w:p>
    <w:p w:rsidR="003E022D" w:rsidRDefault="007D19D6">
      <w:pPr>
        <w:rPr>
          <w:rFonts w:cstheme="minorHAnsi"/>
          <w:noProof/>
        </w:rPr>
      </w:pPr>
      <w:r>
        <w:rPr>
          <w:noProof/>
        </w:rPr>
        <w:t>1.</w:t>
      </w:r>
      <w:r>
        <w:rPr>
          <w:noProof/>
        </w:rPr>
        <w:tab/>
        <w:t>Transportlīdzek</w:t>
      </w:r>
      <w:r>
        <w:rPr>
          <w:noProof/>
        </w:rPr>
        <w:t>ļi vai transportlīdzekļu sastāvi, kas aprīkoti ar aerodinamiskām ierīcēm, var pārsniegt maksimālos garumus, kas paredzēti ROAD.C.1.1. papildinājuma 1.1. punktā, lai ļautu pievienot šādas ierīces transportlīdzekļu vai transportlīdzekļu sastāva aizmugurē. Tr</w:t>
      </w:r>
      <w:r>
        <w:rPr>
          <w:noProof/>
        </w:rPr>
        <w:t>ansportlīdzekļi vai transportlīdzekļu sastāvi, kas aprīkoti ar šādām ierīcēm, atbilst ROAD.C.1.1. papildinājuma 1.5. punktam, un jebkāda maksimālo garumu pārsniegšana nerada minēto transportlīdzekļu vai transportlīdzekļu sastāvu kravas garuma palielinājumu</w:t>
      </w:r>
      <w:r>
        <w:rPr>
          <w:noProof/>
        </w:rPr>
        <w:t xml:space="preserve">.  </w:t>
      </w:r>
    </w:p>
    <w:p w:rsidR="003E022D" w:rsidRDefault="007D19D6">
      <w:pPr>
        <w:rPr>
          <w:rFonts w:cstheme="minorHAnsi"/>
          <w:noProof/>
        </w:rPr>
      </w:pPr>
      <w:r>
        <w:rPr>
          <w:noProof/>
        </w:rPr>
        <w:t>2.</w:t>
      </w:r>
      <w:r>
        <w:rPr>
          <w:noProof/>
        </w:rPr>
        <w:tab/>
        <w:t xml:space="preserve">Aerodinamiskās ierīces, kas minētas 1. punktā, atbilst šādiem darbības nosacījumiem:  </w:t>
      </w:r>
    </w:p>
    <w:p w:rsidR="003E022D" w:rsidRDefault="007D19D6">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apstākļos, kad ir apdraudēta citu ceļu satiksmes dalībnieku vai transportlīdzekļa vadītāja drošība, transportlīdzekļa vadītājs tās saloka, ievelk vai atvieno;  </w:t>
      </w:r>
    </w:p>
    <w:p w:rsidR="003E022D" w:rsidRDefault="007D19D6">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ja aerodinamiskās ierīces un aprīkojums ekspluatācijas stāvoklī pārsniedz 500 mm garumu, tās ir ievelkamas vai salokāmas; </w:t>
      </w:r>
    </w:p>
    <w:p w:rsidR="003E022D" w:rsidRDefault="007D19D6">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to pielietojumā pilsētu un starppilsētu ceļu infrastruktūrās ņem vērā tādu teritoriju īpatnības, kurās ātruma ierobežojums ir 50 km/h</w:t>
      </w:r>
      <w:r>
        <w:rPr>
          <w:rFonts w:asciiTheme="minorHAnsi" w:hAnsiTheme="minorHAnsi"/>
          <w:noProof/>
        </w:rPr>
        <w:t xml:space="preserve"> vai zemāks un kurās ir lielāka iespējamība atrasties neaizsargātiem ceļu satiksmes dalībniekiem; un  </w:t>
      </w:r>
    </w:p>
    <w:p w:rsidR="003E022D" w:rsidRDefault="007D19D6">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kad tās ir ievilktas/salocītas, tās nepārsniedz maksimālo atļauto garumu par vairāk nekā 20 cm.  </w:t>
      </w:r>
    </w:p>
    <w:p w:rsidR="003E022D" w:rsidRDefault="007D19D6">
      <w:pPr>
        <w:pStyle w:val="Article"/>
        <w:rPr>
          <w:rFonts w:cstheme="minorHAnsi"/>
          <w:noProof/>
        </w:rPr>
      </w:pPr>
      <w:r>
        <w:rPr>
          <w:noProof/>
        </w:rPr>
        <w:t xml:space="preserve">6. pants. Aerodinamiskās kabīnes </w:t>
      </w:r>
    </w:p>
    <w:p w:rsidR="003E022D" w:rsidRDefault="007D19D6">
      <w:pPr>
        <w:rPr>
          <w:rFonts w:cstheme="minorHAnsi"/>
          <w:noProof/>
        </w:rPr>
      </w:pPr>
      <w:r>
        <w:rPr>
          <w:noProof/>
        </w:rPr>
        <w:t>Transportlīdzekļi vai</w:t>
      </w:r>
      <w:r>
        <w:rPr>
          <w:noProof/>
        </w:rPr>
        <w:t xml:space="preserve"> transportlīdzekļu sastāvi var pārsniegt maksimālos garumus, kas paredzēti ROAD.C.1.1. papildinājuma 1.1. punktā, ar noteikumu, ka tiem ir tādas kabīnes, kas uzlabo to aerodinamikas rādītājus, energoefektivitāti un drošības rādītājus. Transportlīdzekļi vai</w:t>
      </w:r>
      <w:r>
        <w:rPr>
          <w:noProof/>
        </w:rPr>
        <w:t xml:space="preserve"> transportlīdzekļu sastāvi, kas aprīkoti ar tādām kabīnēm, atbilst ROAD.C.1.1. papildinājuma 1.5. punktam, un jebkāda maksimālo garumu pārsniegšana nerada minēto transportlīdzekļu kravietilpības palielinājumu. </w:t>
      </w:r>
    </w:p>
    <w:p w:rsidR="003E022D" w:rsidRDefault="007D19D6">
      <w:pPr>
        <w:pStyle w:val="Article"/>
        <w:rPr>
          <w:rFonts w:cstheme="minorHAnsi"/>
          <w:noProof/>
        </w:rPr>
      </w:pPr>
      <w:r>
        <w:rPr>
          <w:noProof/>
        </w:rPr>
        <w:t xml:space="preserve">7. pants. Intermodālo pārvadājumu operācijas </w:t>
      </w:r>
    </w:p>
    <w:p w:rsidR="003E022D" w:rsidRDefault="007D19D6">
      <w:pPr>
        <w:rPr>
          <w:rFonts w:cstheme="minorHAnsi"/>
          <w:noProof/>
        </w:rPr>
      </w:pPr>
      <w:r>
        <w:rPr>
          <w:noProof/>
        </w:rPr>
        <w:t>1.</w:t>
      </w:r>
      <w:r>
        <w:rPr>
          <w:noProof/>
        </w:rPr>
        <w:tab/>
        <w:t>Maksimālos garumus, kas noteikti ROAD.C.1.1. papildinājuma 1.1. punktā, attiecīgā gadījumā ievērojot 6. pantu, un maksimālo attālumu, kas noteikts ROAD.C.1.1. papildinājuma 1.6. punktā, var par 15 cm pārsniegt transportlīdzekļi vai transportlīdzekļu sa</w:t>
      </w:r>
      <w:r>
        <w:rPr>
          <w:noProof/>
        </w:rPr>
        <w:t>stāvi, kas pārvadā tukšus vai piekrautus 45 pēdu konteinerus vai 45 pēdu noņemamas virsbūves, ar noteikumu, ka attiecīgā konteinera vai noņemamās virsbūves pārvadājums pa autoceļiem ir intermodāla pārvadājuma operācijas daļa, ko veic saskaņā ar katras Puse</w:t>
      </w:r>
      <w:r>
        <w:rPr>
          <w:noProof/>
        </w:rPr>
        <w:t xml:space="preserve">s paredzētajiem nosacījumiem. </w:t>
      </w:r>
    </w:p>
    <w:p w:rsidR="003E022D" w:rsidRDefault="007D19D6">
      <w:pPr>
        <w:rPr>
          <w:rFonts w:cstheme="minorHAnsi"/>
          <w:noProof/>
        </w:rPr>
      </w:pPr>
      <w:r>
        <w:rPr>
          <w:noProof/>
          <w:color w:val="000000" w:themeColor="text1"/>
        </w:rPr>
        <w:t>2.</w:t>
      </w:r>
      <w:r>
        <w:rPr>
          <w:noProof/>
        </w:rPr>
        <w:tab/>
        <w:t xml:space="preserve">Intermodālo pārvadājumu operāciju gadījumā maksimālo pieļaujamo transportlīdzekļa svaru posmainajiem transportlīdzekļiem ar piecām vai sešām asīm drīkst pārsniegt par divām tonnām sastāvā, kas noteikts </w:t>
      </w:r>
      <w:r>
        <w:rPr>
          <w:noProof/>
        </w:rPr>
        <w:t>ROAD.C.1.1. papildinājuma 2.2.2. punkta a) apakšpunktā, un par četrām tonnām sastāvā, kas noteikts ROAD.C.1.1. papildinājuma 2.2.2. punkta b) apakšpunktā.</w:t>
      </w:r>
      <w:r>
        <w:rPr>
          <w:noProof/>
          <w:color w:val="000000" w:themeColor="text1"/>
        </w:rPr>
        <w:t xml:space="preserve"> Šo transportlīdzekļu maksimālais pieļaujamais transportlīdzekļa svars nedrīkst pārsniegt 44 tonnas.</w:t>
      </w:r>
    </w:p>
    <w:p w:rsidR="003E022D" w:rsidRDefault="007D19D6">
      <w:pPr>
        <w:pStyle w:val="Article"/>
        <w:rPr>
          <w:rFonts w:cstheme="minorHAnsi"/>
          <w:noProof/>
        </w:rPr>
      </w:pPr>
      <w:r>
        <w:rPr>
          <w:noProof/>
        </w:rPr>
        <w:t>8</w:t>
      </w:r>
      <w:r>
        <w:rPr>
          <w:noProof/>
        </w:rPr>
        <w:t xml:space="preserve">. pants. Atbilstības apliecinājums </w:t>
      </w:r>
    </w:p>
    <w:p w:rsidR="003E022D" w:rsidRDefault="007D19D6">
      <w:pPr>
        <w:rPr>
          <w:rFonts w:cstheme="minorHAnsi"/>
          <w:noProof/>
          <w:color w:val="000000" w:themeColor="text1"/>
        </w:rPr>
      </w:pPr>
      <w:r>
        <w:rPr>
          <w:noProof/>
          <w:color w:val="000000" w:themeColor="text1"/>
        </w:rPr>
        <w:t>1.</w:t>
      </w:r>
      <w:r>
        <w:rPr>
          <w:noProof/>
        </w:rPr>
        <w:tab/>
      </w:r>
      <w:r>
        <w:rPr>
          <w:noProof/>
          <w:color w:val="000000" w:themeColor="text1"/>
        </w:rPr>
        <w:t xml:space="preserve">Lai apliecinātu atbilstību šai iedaļai, transportlīdzekļi, uz kuriem tā attiecas, ir nodrošināti ar vienu no šādiem apliecinājumiem: </w:t>
      </w:r>
      <w:r>
        <w:rPr>
          <w:b/>
          <w:noProof/>
          <w:color w:val="000000" w:themeColor="text1"/>
        </w:rPr>
        <w:t xml:space="preserve"> </w:t>
      </w:r>
    </w:p>
    <w:p w:rsidR="003E022D" w:rsidRDefault="007D19D6">
      <w:pPr>
        <w:numPr>
          <w:ilvl w:val="1"/>
          <w:numId w:val="911"/>
        </w:numPr>
        <w:spacing w:after="266" w:line="250" w:lineRule="auto"/>
        <w:ind w:hanging="360"/>
        <w:rPr>
          <w:rFonts w:cstheme="minorHAnsi"/>
          <w:noProof/>
          <w:color w:val="000000" w:themeColor="text1"/>
        </w:rPr>
      </w:pPr>
      <w:r>
        <w:rPr>
          <w:noProof/>
          <w:color w:val="000000" w:themeColor="text1"/>
        </w:rPr>
        <w:t xml:space="preserve">divu šādu plāksnīšu kombināciju:  </w:t>
      </w:r>
    </w:p>
    <w:p w:rsidR="003E022D" w:rsidRDefault="007D19D6">
      <w:pPr>
        <w:numPr>
          <w:ilvl w:val="2"/>
          <w:numId w:val="911"/>
        </w:numPr>
        <w:spacing w:after="266" w:line="250" w:lineRule="auto"/>
        <w:ind w:hanging="180"/>
        <w:rPr>
          <w:rFonts w:cstheme="minorHAnsi"/>
          <w:noProof/>
          <w:color w:val="000000" w:themeColor="text1"/>
        </w:rPr>
      </w:pPr>
      <w:r>
        <w:rPr>
          <w:noProof/>
          <w:color w:val="000000" w:themeColor="text1"/>
        </w:rPr>
        <w:t>obligātā ražotāja plāksnīte, kas ir plāksnīte v</w:t>
      </w:r>
      <w:r>
        <w:rPr>
          <w:noProof/>
          <w:color w:val="000000" w:themeColor="text1"/>
        </w:rPr>
        <w:t>ai uzlīme, kuru ražotājs piestiprina pie transportlīdzekļa un kurā norādīti galvenie tehniskie parametri, kas vajadzīgi, lai identificētu transportlīdzekli un kompetentajām iestādēm norādītu attiecīgo informāciju par maksimālo pieļaujamo pilnmasu; un</w:t>
      </w:r>
    </w:p>
    <w:p w:rsidR="003E022D" w:rsidRDefault="007D19D6">
      <w:pPr>
        <w:numPr>
          <w:ilvl w:val="2"/>
          <w:numId w:val="911"/>
        </w:numPr>
        <w:spacing w:after="266" w:line="250" w:lineRule="auto"/>
        <w:ind w:hanging="180"/>
        <w:rPr>
          <w:rFonts w:cstheme="minorHAnsi"/>
          <w:noProof/>
          <w:color w:val="000000" w:themeColor="text1"/>
        </w:rPr>
      </w:pPr>
      <w:r>
        <w:rPr>
          <w:noProof/>
          <w:color w:val="000000" w:themeColor="text1"/>
        </w:rPr>
        <w:t>plāks</w:t>
      </w:r>
      <w:r>
        <w:rPr>
          <w:noProof/>
          <w:color w:val="000000" w:themeColor="text1"/>
        </w:rPr>
        <w:t xml:space="preserve">nīte, kas attiecas uz gabarītiem un kas pēc iespējas tuvāk piestiprināta pie obligātās ražotāja plāksnītes, un kurā ir šāda informācija: </w:t>
      </w:r>
    </w:p>
    <w:p w:rsidR="003E022D" w:rsidRDefault="007D19D6">
      <w:pPr>
        <w:numPr>
          <w:ilvl w:val="3"/>
          <w:numId w:val="911"/>
        </w:numPr>
        <w:spacing w:after="266" w:line="250" w:lineRule="auto"/>
        <w:ind w:hanging="360"/>
        <w:rPr>
          <w:rFonts w:cstheme="minorHAnsi"/>
          <w:noProof/>
          <w:color w:val="000000" w:themeColor="text1"/>
        </w:rPr>
      </w:pPr>
      <w:r>
        <w:rPr>
          <w:noProof/>
          <w:color w:val="000000" w:themeColor="text1"/>
        </w:rPr>
        <w:t xml:space="preserve">ražotāja nosaukums; </w:t>
      </w:r>
    </w:p>
    <w:p w:rsidR="003E022D" w:rsidRDefault="007D19D6">
      <w:pPr>
        <w:numPr>
          <w:ilvl w:val="3"/>
          <w:numId w:val="911"/>
        </w:numPr>
        <w:spacing w:after="266" w:line="250" w:lineRule="auto"/>
        <w:ind w:hanging="360"/>
        <w:rPr>
          <w:rFonts w:cstheme="minorHAnsi"/>
          <w:noProof/>
          <w:color w:val="000000" w:themeColor="text1"/>
        </w:rPr>
      </w:pPr>
      <w:r>
        <w:rPr>
          <w:noProof/>
          <w:color w:val="000000" w:themeColor="text1"/>
        </w:rPr>
        <w:t xml:space="preserve">transportlīdzekļa identifikācijas numurs; </w:t>
      </w:r>
    </w:p>
    <w:p w:rsidR="003E022D" w:rsidRDefault="007D19D6">
      <w:pPr>
        <w:numPr>
          <w:ilvl w:val="3"/>
          <w:numId w:val="911"/>
        </w:numPr>
        <w:spacing w:after="266" w:line="250" w:lineRule="auto"/>
        <w:ind w:hanging="360"/>
        <w:rPr>
          <w:rFonts w:cstheme="minorHAnsi"/>
          <w:noProof/>
          <w:color w:val="000000" w:themeColor="text1"/>
        </w:rPr>
      </w:pPr>
      <w:r>
        <w:rPr>
          <w:noProof/>
          <w:color w:val="000000" w:themeColor="text1"/>
        </w:rPr>
        <w:t xml:space="preserve">mehāniskā transportlīdzekļa, piekabes vai puspiekabes </w:t>
      </w:r>
      <w:r>
        <w:rPr>
          <w:noProof/>
          <w:color w:val="000000" w:themeColor="text1"/>
        </w:rPr>
        <w:t xml:space="preserve">garums (L); </w:t>
      </w:r>
    </w:p>
    <w:p w:rsidR="003E022D" w:rsidRDefault="007D19D6">
      <w:pPr>
        <w:numPr>
          <w:ilvl w:val="3"/>
          <w:numId w:val="911"/>
        </w:numPr>
        <w:spacing w:after="266" w:line="250" w:lineRule="auto"/>
        <w:ind w:hanging="360"/>
        <w:rPr>
          <w:rFonts w:cstheme="minorHAnsi"/>
          <w:noProof/>
          <w:color w:val="000000" w:themeColor="text1"/>
        </w:rPr>
      </w:pPr>
      <w:r>
        <w:rPr>
          <w:noProof/>
          <w:color w:val="000000" w:themeColor="text1"/>
        </w:rPr>
        <w:t>mehāniskā transportlīdzekļa, piekabes vai puspiekabes platums (W); un</w:t>
      </w:r>
    </w:p>
    <w:p w:rsidR="003E022D" w:rsidRDefault="007D19D6">
      <w:pPr>
        <w:numPr>
          <w:ilvl w:val="3"/>
          <w:numId w:val="911"/>
        </w:numPr>
        <w:spacing w:after="226" w:line="250" w:lineRule="auto"/>
        <w:ind w:hanging="360"/>
        <w:rPr>
          <w:rFonts w:cstheme="minorHAnsi"/>
          <w:noProof/>
          <w:color w:val="000000" w:themeColor="text1"/>
        </w:rPr>
      </w:pPr>
      <w:r>
        <w:rPr>
          <w:noProof/>
          <w:color w:val="000000" w:themeColor="text1"/>
        </w:rPr>
        <w:t xml:space="preserve">transportlīdzekļu sastāvu garuma mērījuma dati: </w:t>
      </w:r>
    </w:p>
    <w:p w:rsidR="003E022D" w:rsidRDefault="007D19D6">
      <w:pPr>
        <w:spacing w:after="225"/>
        <w:ind w:left="1712"/>
        <w:rPr>
          <w:rFonts w:cstheme="minorHAnsi"/>
          <w:noProof/>
          <w:color w:val="000000" w:themeColor="text1"/>
        </w:rPr>
      </w:pPr>
      <w:r>
        <w:rPr>
          <w:noProof/>
          <w:color w:val="000000" w:themeColor="text1"/>
        </w:rPr>
        <w:t xml:space="preserve">— attālums a no mehāniskā transportlīdzekļa priekšpuses līdz savienotājierīces centram (savienojuma āķis vai piektais </w:t>
      </w:r>
      <w:r>
        <w:rPr>
          <w:noProof/>
          <w:color w:val="000000" w:themeColor="text1"/>
        </w:rPr>
        <w:t>ritenis); gadījumā, ja ir piektais ritenis ar vairākiem savienojuma punktiem, ir jādod minimālās un maksimālās vērtības (a</w:t>
      </w:r>
      <w:r>
        <w:rPr>
          <w:noProof/>
          <w:color w:val="000000" w:themeColor="text1"/>
          <w:vertAlign w:val="subscript"/>
        </w:rPr>
        <w:t>min</w:t>
      </w:r>
      <w:r>
        <w:rPr>
          <w:noProof/>
          <w:color w:val="000000" w:themeColor="text1"/>
        </w:rPr>
        <w:t xml:space="preserve"> un a</w:t>
      </w:r>
      <w:r>
        <w:rPr>
          <w:noProof/>
          <w:color w:val="000000" w:themeColor="text1"/>
          <w:vertAlign w:val="subscript"/>
        </w:rPr>
        <w:t>max</w:t>
      </w:r>
      <w:r>
        <w:rPr>
          <w:noProof/>
          <w:color w:val="000000" w:themeColor="text1"/>
        </w:rPr>
        <w:t xml:space="preserve">),  </w:t>
      </w:r>
    </w:p>
    <w:p w:rsidR="003E022D" w:rsidRDefault="007D19D6">
      <w:pPr>
        <w:spacing w:after="227"/>
        <w:ind w:left="1712"/>
        <w:rPr>
          <w:rFonts w:cstheme="minorHAnsi"/>
          <w:noProof/>
          <w:color w:val="000000" w:themeColor="text1"/>
        </w:rPr>
      </w:pPr>
      <w:r>
        <w:rPr>
          <w:noProof/>
          <w:color w:val="000000" w:themeColor="text1"/>
        </w:rPr>
        <w:t>— attālums b starp piekabes savienotājierīces centru (piektā riteņa gredzens) vai puspiekabes asi un piekabes vai pusp</w:t>
      </w:r>
      <w:r>
        <w:rPr>
          <w:noProof/>
          <w:color w:val="000000" w:themeColor="text1"/>
        </w:rPr>
        <w:t>iekabes aizmuguri; gadījumā, ja ir ierīce ar vairākiem savienojuma punktiem, ir jādod minimālās un maksimālās vērtības (b</w:t>
      </w:r>
      <w:r>
        <w:rPr>
          <w:noProof/>
          <w:color w:val="000000" w:themeColor="text1"/>
          <w:vertAlign w:val="subscript"/>
        </w:rPr>
        <w:t>min</w:t>
      </w:r>
      <w:r>
        <w:rPr>
          <w:noProof/>
          <w:color w:val="000000" w:themeColor="text1"/>
        </w:rPr>
        <w:t xml:space="preserve"> un b</w:t>
      </w:r>
      <w:r>
        <w:rPr>
          <w:noProof/>
          <w:color w:val="000000" w:themeColor="text1"/>
          <w:vertAlign w:val="subscript"/>
        </w:rPr>
        <w:t>max</w:t>
      </w:r>
      <w:r>
        <w:rPr>
          <w:noProof/>
          <w:color w:val="000000" w:themeColor="text1"/>
        </w:rPr>
        <w:t xml:space="preserve">).  </w:t>
      </w:r>
    </w:p>
    <w:p w:rsidR="003E022D" w:rsidRDefault="007D19D6">
      <w:pPr>
        <w:spacing w:after="266"/>
        <w:ind w:left="1712"/>
        <w:rPr>
          <w:rFonts w:cstheme="minorHAnsi"/>
          <w:noProof/>
          <w:color w:val="000000" w:themeColor="text1"/>
        </w:rPr>
      </w:pPr>
      <w:r>
        <w:rPr>
          <w:noProof/>
          <w:color w:val="000000" w:themeColor="text1"/>
        </w:rPr>
        <w:t xml:space="preserve">Transportlīdzekļu sastāva garums ir mehāniskā transportlīdzekļa un piekabes vai puspiekabes garums, kas nolikti taisnā </w:t>
      </w:r>
      <w:r>
        <w:rPr>
          <w:noProof/>
          <w:color w:val="000000" w:themeColor="text1"/>
        </w:rPr>
        <w:t xml:space="preserve">līnijā viens aiz otra; </w:t>
      </w:r>
    </w:p>
    <w:p w:rsidR="003E022D" w:rsidRDefault="007D19D6">
      <w:pPr>
        <w:numPr>
          <w:ilvl w:val="1"/>
          <w:numId w:val="911"/>
        </w:numPr>
        <w:spacing w:after="266" w:line="250" w:lineRule="auto"/>
        <w:ind w:hanging="360"/>
        <w:rPr>
          <w:rFonts w:cstheme="minorHAnsi"/>
          <w:noProof/>
          <w:color w:val="000000" w:themeColor="text1"/>
        </w:rPr>
      </w:pPr>
      <w:r>
        <w:rPr>
          <w:noProof/>
          <w:color w:val="000000" w:themeColor="text1"/>
        </w:rPr>
        <w:t>vienu plāksnīti, kas satur informāciju, kura ir iekļauta a) apakšpunktā minētajās abās plāksnītēs; vai</w:t>
      </w:r>
    </w:p>
    <w:p w:rsidR="003E022D" w:rsidRDefault="007D19D6">
      <w:pPr>
        <w:numPr>
          <w:ilvl w:val="1"/>
          <w:numId w:val="911"/>
        </w:numPr>
        <w:spacing w:after="230" w:line="250" w:lineRule="auto"/>
        <w:ind w:hanging="360"/>
        <w:rPr>
          <w:rFonts w:cstheme="minorHAnsi"/>
          <w:noProof/>
          <w:color w:val="000000" w:themeColor="text1"/>
        </w:rPr>
      </w:pPr>
      <w:r>
        <w:rPr>
          <w:noProof/>
          <w:color w:val="000000" w:themeColor="text1"/>
        </w:rPr>
        <w:t>vienu dokumentu, ko izdevušas Puses kompetentās iestādes vai – Savienības gadījumā – dalībvalsts, kurā transportlīdzeklis ir reģi</w:t>
      </w:r>
      <w:r>
        <w:rPr>
          <w:noProof/>
          <w:color w:val="000000" w:themeColor="text1"/>
        </w:rPr>
        <w:t xml:space="preserve">strēts vai laists apritē, un kas satur tādu pašu informāciju kā a) apakšpunktā minētās plāksnītes. Tas ir jāglabā pārbaudei viegli pieejamā vietā un attiecīgi jāaizsargā. </w:t>
      </w:r>
    </w:p>
    <w:p w:rsidR="003E022D" w:rsidRDefault="007D19D6">
      <w:pPr>
        <w:numPr>
          <w:ilvl w:val="0"/>
          <w:numId w:val="911"/>
        </w:numPr>
        <w:spacing w:after="266" w:line="250" w:lineRule="auto"/>
        <w:ind w:hanging="360"/>
        <w:rPr>
          <w:rFonts w:cstheme="minorHAnsi"/>
          <w:noProof/>
          <w:color w:val="000000" w:themeColor="text1"/>
        </w:rPr>
      </w:pPr>
      <w:r>
        <w:rPr>
          <w:noProof/>
          <w:color w:val="000000" w:themeColor="text1"/>
        </w:rPr>
        <w:t>Ja transportlīdzekļa parametri vairs neatbilst tiem, kas norādīti uz atbilstības apl</w:t>
      </w:r>
      <w:r>
        <w:rPr>
          <w:noProof/>
          <w:color w:val="000000" w:themeColor="text1"/>
        </w:rPr>
        <w:t xml:space="preserve">iecinājuma, Puse vai – Savienības gadījumā – dalībvalsts, kurā transportlīdzeklis ir reģistrēts vai laists apritē, veic visus nepieciešamos pasākumus, lai nodrošinātu, ka atbilstības apliecinājums tiek mainīts. </w:t>
      </w:r>
    </w:p>
    <w:p w:rsidR="003E022D" w:rsidRDefault="007D19D6">
      <w:pPr>
        <w:numPr>
          <w:ilvl w:val="0"/>
          <w:numId w:val="911"/>
        </w:numPr>
        <w:spacing w:after="230" w:line="250" w:lineRule="auto"/>
        <w:ind w:hanging="360"/>
        <w:rPr>
          <w:rFonts w:cstheme="minorHAnsi"/>
          <w:noProof/>
          <w:color w:val="000000" w:themeColor="text1"/>
        </w:rPr>
      </w:pPr>
      <w:r>
        <w:rPr>
          <w:noProof/>
          <w:color w:val="000000" w:themeColor="text1"/>
        </w:rPr>
        <w:t>Puses atzīst 1. punktā minētās plāksnītes un</w:t>
      </w:r>
      <w:r>
        <w:rPr>
          <w:noProof/>
          <w:color w:val="000000" w:themeColor="text1"/>
        </w:rPr>
        <w:t xml:space="preserve"> dokumentus par transportlīdzekļa atbilstības apliecinājumu, kas paredzēts šajā iedaļā. </w:t>
      </w:r>
    </w:p>
    <w:p w:rsidR="003E022D" w:rsidRDefault="007D19D6">
      <w:pPr>
        <w:pStyle w:val="Article"/>
        <w:rPr>
          <w:rFonts w:cstheme="minorHAnsi"/>
          <w:noProof/>
        </w:rPr>
      </w:pPr>
      <w:r>
        <w:rPr>
          <w:noProof/>
        </w:rPr>
        <w:t xml:space="preserve">9. pants. Izpilde  </w:t>
      </w:r>
    </w:p>
    <w:p w:rsidR="003E022D" w:rsidRDefault="007D19D6">
      <w:pPr>
        <w:numPr>
          <w:ilvl w:val="0"/>
          <w:numId w:val="912"/>
        </w:numPr>
        <w:spacing w:after="230" w:line="250" w:lineRule="auto"/>
        <w:ind w:hanging="360"/>
        <w:rPr>
          <w:rFonts w:cstheme="minorHAnsi"/>
          <w:noProof/>
          <w:color w:val="000000" w:themeColor="text1"/>
        </w:rPr>
      </w:pPr>
      <w:r>
        <w:rPr>
          <w:noProof/>
          <w:color w:val="000000" w:themeColor="text1"/>
        </w:rPr>
        <w:t>Katra Puse veic konkrētus pasākumus, lai apzinātu apritē esošus transportlīdzekļus vai transportlīdzekļu sastāvus, kas varētu būt pārsnieguši maksi</w:t>
      </w:r>
      <w:r>
        <w:rPr>
          <w:noProof/>
          <w:color w:val="000000" w:themeColor="text1"/>
        </w:rPr>
        <w:t>māli pieļaujamo svaru un kurus tādēļ pārbauda Pušu kompetentās iestādes, lai nodrošinātu atbilstību šīs iedaļas prasībām. To var izdarīt, izmantojot automātiskas, ceļu infrastruktūrā izvietotas sistēmas vai izmantojot svēršanas ierīces, kas uzstādītas tran</w:t>
      </w:r>
      <w:r>
        <w:rPr>
          <w:noProof/>
          <w:color w:val="000000" w:themeColor="text1"/>
        </w:rPr>
        <w:t xml:space="preserve">sportlīdzekļos. Šādas transportlīdzekļos uzstādītas svēršanas ierīces ir precīzas un uzticamas, pilnībā sadarbspējīgas un savietojamas ar visiem transportlīdzekļu tipiem. </w:t>
      </w:r>
    </w:p>
    <w:p w:rsidR="003E022D" w:rsidRDefault="007D19D6">
      <w:pPr>
        <w:numPr>
          <w:ilvl w:val="0"/>
          <w:numId w:val="912"/>
        </w:numPr>
        <w:spacing w:after="231" w:line="250" w:lineRule="auto"/>
        <w:ind w:hanging="360"/>
        <w:rPr>
          <w:rFonts w:cstheme="minorHAnsi"/>
          <w:noProof/>
          <w:color w:val="000000" w:themeColor="text1"/>
        </w:rPr>
      </w:pPr>
      <w:r>
        <w:rPr>
          <w:noProof/>
          <w:color w:val="000000" w:themeColor="text1"/>
        </w:rPr>
        <w:t xml:space="preserve">Puse nepieprasa uzstādīt svēršanas ierīces transportlīdzekļos vai transportlīdzekļu </w:t>
      </w:r>
      <w:r>
        <w:rPr>
          <w:noProof/>
          <w:color w:val="000000" w:themeColor="text1"/>
        </w:rPr>
        <w:t xml:space="preserve">sastāvos, kas ir reģistrēti otrā Pusē. </w:t>
      </w:r>
    </w:p>
    <w:p w:rsidR="003E022D" w:rsidRDefault="007D19D6">
      <w:pPr>
        <w:numPr>
          <w:ilvl w:val="0"/>
          <w:numId w:val="912"/>
        </w:numPr>
        <w:spacing w:after="230" w:line="250" w:lineRule="auto"/>
        <w:ind w:hanging="360"/>
        <w:rPr>
          <w:rFonts w:cstheme="minorHAnsi"/>
          <w:noProof/>
          <w:color w:val="000000" w:themeColor="text1"/>
        </w:rPr>
      </w:pPr>
      <w:r>
        <w:rPr>
          <w:noProof/>
          <w:color w:val="000000" w:themeColor="text1"/>
        </w:rPr>
        <w:t>Ja tiek izmantotas automātiskas sistēmas, lai konstatētu šīs iedaļas pārkāpumus un piemērotu sankcijas, šādas automātiskas sistēmas ir sertificētas. Ja automātiskas sistēmas izmanto tikai identifikācijas nolūkiem, to</w:t>
      </w:r>
      <w:r>
        <w:rPr>
          <w:noProof/>
          <w:color w:val="000000" w:themeColor="text1"/>
        </w:rPr>
        <w:t xml:space="preserve"> sertifikācija nav vajadzīga. </w:t>
      </w:r>
    </w:p>
    <w:p w:rsidR="003E022D" w:rsidRDefault="007D19D6">
      <w:pPr>
        <w:numPr>
          <w:ilvl w:val="0"/>
          <w:numId w:val="912"/>
        </w:numPr>
        <w:spacing w:after="266" w:line="250" w:lineRule="auto"/>
        <w:ind w:hanging="360"/>
        <w:rPr>
          <w:rFonts w:cstheme="minorHAnsi"/>
          <w:noProof/>
          <w:color w:val="000000" w:themeColor="text1"/>
        </w:rPr>
      </w:pPr>
      <w:r>
        <w:rPr>
          <w:noProof/>
          <w:color w:val="000000" w:themeColor="text1"/>
        </w:rPr>
        <w:t xml:space="preserve">Puses saskaņā ar šā pielikuma A daļas 1. iedaļas 14. pantu nodrošina, ka to kompetentās iestādes apmainās ar informāciju par pārkāpumiem un sankcijām saistībā ar šo pantu. </w:t>
      </w:r>
    </w:p>
    <w:p w:rsidR="003E022D" w:rsidRDefault="007D19D6">
      <w:pPr>
        <w:rPr>
          <w:rFonts w:cstheme="minorHAnsi"/>
          <w:noProof/>
        </w:rPr>
      </w:pPr>
      <w:r>
        <w:rPr>
          <w:noProof/>
        </w:rPr>
        <w:br w:type="page"/>
      </w:r>
    </w:p>
    <w:p w:rsidR="003E022D" w:rsidRDefault="003E022D">
      <w:pPr>
        <w:rPr>
          <w:rFonts w:cstheme="minorHAnsi"/>
          <w:noProof/>
        </w:rPr>
      </w:pPr>
    </w:p>
    <w:p w:rsidR="003E022D" w:rsidRDefault="007D19D6">
      <w:pPr>
        <w:pStyle w:val="Appendix"/>
        <w:rPr>
          <w:noProof/>
        </w:rPr>
      </w:pPr>
      <w:r>
        <w:rPr>
          <w:noProof/>
          <w:color w:val="000000" w:themeColor="text1"/>
        </w:rPr>
        <w:t xml:space="preserve">ROAD.C.1.1. PAPILDINĀJUMS. </w:t>
      </w:r>
      <w:r>
        <w:rPr>
          <w:noProof/>
        </w:rPr>
        <w:t xml:space="preserve">MAKSIMĀLI PIEĻAUJAMAIS SVARS UN GABARĪTI UN AR TIEM SAISTĪTIE TRANSPORTLĪDZEKĻU PARAMETRI </w:t>
      </w:r>
    </w:p>
    <w:p w:rsidR="003E022D" w:rsidRDefault="007D19D6">
      <w:pPr>
        <w:jc w:val="center"/>
        <w:rPr>
          <w:rFonts w:cstheme="minorHAnsi"/>
          <w:b/>
          <w:bCs/>
          <w:noProof/>
        </w:rPr>
      </w:pPr>
      <w:r>
        <w:rPr>
          <w:b/>
          <w:bCs/>
          <w:noProof/>
        </w:rPr>
        <w:t>1.</w:t>
      </w:r>
      <w:r>
        <w:rPr>
          <w:noProof/>
        </w:rPr>
        <w:tab/>
      </w:r>
      <w:r>
        <w:rPr>
          <w:b/>
          <w:bCs/>
          <w:noProof/>
        </w:rPr>
        <w:t>Maksimāli pieļaujamie gabarīti transportlīdzekļiem (metros; “m”)</w:t>
      </w:r>
    </w:p>
    <w:tbl>
      <w:tblPr>
        <w:tblStyle w:val="TableGrid"/>
        <w:tblW w:w="7423" w:type="dxa"/>
        <w:tblInd w:w="0" w:type="dxa"/>
        <w:tblLook w:val="04A0" w:firstRow="1" w:lastRow="0" w:firstColumn="1" w:lastColumn="0" w:noHBand="0" w:noVBand="1"/>
      </w:tblPr>
      <w:tblGrid>
        <w:gridCol w:w="6339"/>
        <w:gridCol w:w="1084"/>
      </w:tblGrid>
      <w:tr w:rsidR="003E022D">
        <w:trPr>
          <w:trHeight w:val="269"/>
        </w:trPr>
        <w:tc>
          <w:tcPr>
            <w:tcW w:w="6339" w:type="dxa"/>
            <w:tcBorders>
              <w:top w:val="nil"/>
              <w:left w:val="nil"/>
              <w:bottom w:val="nil"/>
              <w:right w:val="nil"/>
            </w:tcBorders>
          </w:tcPr>
          <w:p w:rsidR="003E022D" w:rsidRDefault="007D19D6">
            <w:pPr>
              <w:rPr>
                <w:rFonts w:cstheme="minorHAnsi"/>
                <w:i/>
                <w:noProof/>
              </w:rPr>
            </w:pPr>
            <w:r>
              <w:rPr>
                <w:i/>
                <w:noProof/>
              </w:rPr>
              <w:t xml:space="preserve">1.1. Maksimālais garums:  </w:t>
            </w:r>
          </w:p>
        </w:tc>
        <w:tc>
          <w:tcPr>
            <w:tcW w:w="1084" w:type="dxa"/>
            <w:tcBorders>
              <w:top w:val="nil"/>
              <w:left w:val="nil"/>
              <w:bottom w:val="nil"/>
              <w:right w:val="nil"/>
            </w:tcBorders>
          </w:tcPr>
          <w:p w:rsidR="003E022D" w:rsidRDefault="003E022D">
            <w:pPr>
              <w:rPr>
                <w:rFonts w:cstheme="minorHAnsi"/>
                <w:noProof/>
              </w:rPr>
            </w:pPr>
          </w:p>
        </w:tc>
      </w:tr>
      <w:tr w:rsidR="003E022D">
        <w:trPr>
          <w:trHeight w:val="293"/>
        </w:trPr>
        <w:tc>
          <w:tcPr>
            <w:tcW w:w="6339" w:type="dxa"/>
            <w:tcBorders>
              <w:top w:val="nil"/>
              <w:left w:val="nil"/>
              <w:bottom w:val="nil"/>
              <w:right w:val="nil"/>
            </w:tcBorders>
          </w:tcPr>
          <w:p w:rsidR="003E022D" w:rsidRDefault="007D19D6">
            <w:pPr>
              <w:rPr>
                <w:rFonts w:cstheme="minorHAnsi"/>
                <w:noProof/>
              </w:rPr>
            </w:pPr>
            <w:r>
              <w:rPr>
                <w:noProof/>
              </w:rPr>
              <w:t xml:space="preserve">— mehāniskajam transportlīdzeklim </w:t>
            </w:r>
          </w:p>
        </w:tc>
        <w:tc>
          <w:tcPr>
            <w:tcW w:w="1084" w:type="dxa"/>
            <w:tcBorders>
              <w:top w:val="nil"/>
              <w:left w:val="nil"/>
              <w:bottom w:val="nil"/>
              <w:right w:val="nil"/>
            </w:tcBorders>
          </w:tcPr>
          <w:p w:rsidR="003E022D" w:rsidRDefault="007D19D6">
            <w:pPr>
              <w:rPr>
                <w:rFonts w:cstheme="minorHAnsi"/>
                <w:noProof/>
              </w:rPr>
            </w:pPr>
            <w:r>
              <w:rPr>
                <w:noProof/>
              </w:rPr>
              <w:t xml:space="preserve">12,00 m  </w:t>
            </w:r>
          </w:p>
        </w:tc>
      </w:tr>
      <w:tr w:rsidR="003E022D">
        <w:trPr>
          <w:trHeight w:val="293"/>
        </w:trPr>
        <w:tc>
          <w:tcPr>
            <w:tcW w:w="6339" w:type="dxa"/>
            <w:tcBorders>
              <w:top w:val="nil"/>
              <w:left w:val="nil"/>
              <w:bottom w:val="nil"/>
              <w:right w:val="nil"/>
            </w:tcBorders>
          </w:tcPr>
          <w:p w:rsidR="003E022D" w:rsidRDefault="007D19D6">
            <w:pPr>
              <w:rPr>
                <w:rFonts w:cstheme="minorHAnsi"/>
                <w:noProof/>
              </w:rPr>
            </w:pPr>
            <w:r>
              <w:rPr>
                <w:noProof/>
              </w:rPr>
              <w:t xml:space="preserve">— piekabei  </w:t>
            </w:r>
          </w:p>
        </w:tc>
        <w:tc>
          <w:tcPr>
            <w:tcW w:w="1084" w:type="dxa"/>
            <w:tcBorders>
              <w:top w:val="nil"/>
              <w:left w:val="nil"/>
              <w:bottom w:val="nil"/>
              <w:right w:val="nil"/>
            </w:tcBorders>
          </w:tcPr>
          <w:p w:rsidR="003E022D" w:rsidRDefault="007D19D6">
            <w:pPr>
              <w:rPr>
                <w:rFonts w:cstheme="minorHAnsi"/>
                <w:noProof/>
              </w:rPr>
            </w:pPr>
            <w:r>
              <w:rPr>
                <w:noProof/>
              </w:rPr>
              <w:t xml:space="preserve">12,00 m  </w:t>
            </w:r>
          </w:p>
        </w:tc>
      </w:tr>
      <w:tr w:rsidR="003E022D">
        <w:trPr>
          <w:trHeight w:val="293"/>
        </w:trPr>
        <w:tc>
          <w:tcPr>
            <w:tcW w:w="6339" w:type="dxa"/>
            <w:tcBorders>
              <w:top w:val="nil"/>
              <w:left w:val="nil"/>
              <w:bottom w:val="nil"/>
              <w:right w:val="nil"/>
            </w:tcBorders>
          </w:tcPr>
          <w:p w:rsidR="003E022D" w:rsidRDefault="007D19D6">
            <w:pPr>
              <w:rPr>
                <w:rFonts w:cstheme="minorHAnsi"/>
                <w:noProof/>
              </w:rPr>
            </w:pPr>
            <w:r>
              <w:rPr>
                <w:noProof/>
              </w:rPr>
              <w:t xml:space="preserve">— posmainajam transportlīdzeklim  </w:t>
            </w:r>
          </w:p>
        </w:tc>
        <w:tc>
          <w:tcPr>
            <w:tcW w:w="1084" w:type="dxa"/>
            <w:tcBorders>
              <w:top w:val="nil"/>
              <w:left w:val="nil"/>
              <w:bottom w:val="nil"/>
              <w:right w:val="nil"/>
            </w:tcBorders>
          </w:tcPr>
          <w:p w:rsidR="003E022D" w:rsidRDefault="007D19D6">
            <w:pPr>
              <w:rPr>
                <w:rFonts w:cstheme="minorHAnsi"/>
                <w:noProof/>
              </w:rPr>
            </w:pPr>
            <w:r>
              <w:rPr>
                <w:noProof/>
              </w:rPr>
              <w:t xml:space="preserve">16,50 m  </w:t>
            </w:r>
          </w:p>
        </w:tc>
      </w:tr>
      <w:tr w:rsidR="003E022D">
        <w:trPr>
          <w:trHeight w:val="828"/>
        </w:trPr>
        <w:tc>
          <w:tcPr>
            <w:tcW w:w="6339" w:type="dxa"/>
            <w:tcBorders>
              <w:top w:val="nil"/>
              <w:left w:val="nil"/>
              <w:bottom w:val="nil"/>
              <w:right w:val="nil"/>
            </w:tcBorders>
          </w:tcPr>
          <w:p w:rsidR="003E022D" w:rsidRDefault="007D19D6">
            <w:pPr>
              <w:rPr>
                <w:rFonts w:cstheme="minorHAnsi"/>
                <w:noProof/>
              </w:rPr>
            </w:pPr>
            <w:r>
              <w:rPr>
                <w:noProof/>
              </w:rPr>
              <w:t xml:space="preserve">— autovilcienam  </w:t>
            </w:r>
          </w:p>
          <w:p w:rsidR="003E022D" w:rsidRDefault="007D19D6">
            <w:pPr>
              <w:rPr>
                <w:rFonts w:cstheme="minorHAnsi"/>
                <w:i/>
                <w:noProof/>
              </w:rPr>
            </w:pPr>
            <w:r>
              <w:rPr>
                <w:i/>
                <w:noProof/>
              </w:rPr>
              <w:t xml:space="preserve">1.2. Maksimālais platums:  </w:t>
            </w:r>
          </w:p>
        </w:tc>
        <w:tc>
          <w:tcPr>
            <w:tcW w:w="1084" w:type="dxa"/>
            <w:tcBorders>
              <w:top w:val="nil"/>
              <w:left w:val="nil"/>
              <w:bottom w:val="nil"/>
              <w:right w:val="nil"/>
            </w:tcBorders>
          </w:tcPr>
          <w:p w:rsidR="003E022D" w:rsidRDefault="007D19D6">
            <w:pPr>
              <w:rPr>
                <w:rFonts w:cstheme="minorHAnsi"/>
                <w:noProof/>
              </w:rPr>
            </w:pPr>
            <w:r>
              <w:rPr>
                <w:noProof/>
              </w:rPr>
              <w:t xml:space="preserve">18,75 m </w:t>
            </w:r>
          </w:p>
        </w:tc>
      </w:tr>
      <w:tr w:rsidR="003E022D">
        <w:trPr>
          <w:trHeight w:val="269"/>
        </w:trPr>
        <w:tc>
          <w:tcPr>
            <w:tcW w:w="6339" w:type="dxa"/>
            <w:tcBorders>
              <w:top w:val="nil"/>
              <w:left w:val="nil"/>
              <w:bottom w:val="nil"/>
              <w:right w:val="nil"/>
            </w:tcBorders>
          </w:tcPr>
          <w:p w:rsidR="003E022D" w:rsidRDefault="007D19D6">
            <w:pPr>
              <w:spacing w:afterAutospacing="0"/>
              <w:rPr>
                <w:rFonts w:cstheme="minorHAnsi"/>
                <w:noProof/>
              </w:rPr>
            </w:pPr>
            <w:r>
              <w:rPr>
                <w:noProof/>
              </w:rPr>
              <w:t xml:space="preserve">a) visiem transportlīdzekļiem, izņemot tos transportlīdzekļus, kas minēti b) apakšpunktā  </w:t>
            </w:r>
          </w:p>
        </w:tc>
        <w:tc>
          <w:tcPr>
            <w:tcW w:w="1084" w:type="dxa"/>
            <w:tcBorders>
              <w:top w:val="nil"/>
              <w:left w:val="nil"/>
              <w:bottom w:val="nil"/>
              <w:right w:val="nil"/>
            </w:tcBorders>
          </w:tcPr>
          <w:p w:rsidR="003E022D" w:rsidRDefault="007D19D6">
            <w:pPr>
              <w:rPr>
                <w:rFonts w:cstheme="minorHAnsi"/>
                <w:noProof/>
              </w:rPr>
            </w:pPr>
            <w:r>
              <w:rPr>
                <w:noProof/>
              </w:rPr>
              <w:t xml:space="preserve">2,55 m  </w:t>
            </w:r>
          </w:p>
        </w:tc>
      </w:tr>
      <w:tr w:rsidR="003E022D">
        <w:trPr>
          <w:trHeight w:val="269"/>
        </w:trPr>
        <w:tc>
          <w:tcPr>
            <w:tcW w:w="6339" w:type="dxa"/>
            <w:tcBorders>
              <w:top w:val="nil"/>
              <w:left w:val="nil"/>
              <w:bottom w:val="nil"/>
              <w:right w:val="nil"/>
            </w:tcBorders>
          </w:tcPr>
          <w:p w:rsidR="003E022D" w:rsidRDefault="007D19D6">
            <w:pPr>
              <w:rPr>
                <w:rFonts w:cstheme="minorHAnsi"/>
                <w:noProof/>
              </w:rPr>
            </w:pPr>
            <w:r>
              <w:rPr>
                <w:noProof/>
              </w:rPr>
              <w:t xml:space="preserve">b) kondicionēto transportlīdzekļu virsbūvēm vai </w:t>
            </w:r>
            <w:r>
              <w:rPr>
                <w:noProof/>
              </w:rPr>
              <w:t>kondicionētiem konteineriem</w:t>
            </w:r>
          </w:p>
        </w:tc>
        <w:tc>
          <w:tcPr>
            <w:tcW w:w="1084" w:type="dxa"/>
            <w:tcBorders>
              <w:top w:val="nil"/>
              <w:left w:val="nil"/>
              <w:bottom w:val="nil"/>
              <w:right w:val="nil"/>
            </w:tcBorders>
          </w:tcPr>
          <w:p w:rsidR="003E022D" w:rsidRDefault="007D19D6">
            <w:pPr>
              <w:rPr>
                <w:rFonts w:cstheme="minorHAnsi"/>
                <w:noProof/>
              </w:rPr>
            </w:pPr>
            <w:r>
              <w:rPr>
                <w:noProof/>
              </w:rPr>
              <w:t>2,60 m</w:t>
            </w:r>
          </w:p>
        </w:tc>
      </w:tr>
      <w:tr w:rsidR="003E022D">
        <w:trPr>
          <w:trHeight w:val="269"/>
        </w:trPr>
        <w:tc>
          <w:tcPr>
            <w:tcW w:w="6339" w:type="dxa"/>
            <w:tcBorders>
              <w:top w:val="nil"/>
              <w:left w:val="nil"/>
              <w:bottom w:val="nil"/>
              <w:right w:val="nil"/>
            </w:tcBorders>
          </w:tcPr>
          <w:p w:rsidR="003E022D" w:rsidRDefault="007D19D6">
            <w:pPr>
              <w:rPr>
                <w:rFonts w:cstheme="minorHAnsi"/>
                <w:noProof/>
              </w:rPr>
            </w:pPr>
            <w:r>
              <w:rPr>
                <w:noProof/>
              </w:rPr>
              <w:t>vai noņemamām virsbūvēm, ko pārvadā ar transportlīdzekļiem</w:t>
            </w:r>
          </w:p>
        </w:tc>
        <w:tc>
          <w:tcPr>
            <w:tcW w:w="1084" w:type="dxa"/>
            <w:tcBorders>
              <w:top w:val="nil"/>
              <w:left w:val="nil"/>
              <w:bottom w:val="nil"/>
              <w:right w:val="nil"/>
            </w:tcBorders>
          </w:tcPr>
          <w:p w:rsidR="003E022D" w:rsidRDefault="003E022D">
            <w:pPr>
              <w:rPr>
                <w:rFonts w:cstheme="minorHAnsi"/>
                <w:noProof/>
              </w:rPr>
            </w:pPr>
          </w:p>
        </w:tc>
      </w:tr>
      <w:tr w:rsidR="003E022D">
        <w:trPr>
          <w:trHeight w:val="269"/>
        </w:trPr>
        <w:tc>
          <w:tcPr>
            <w:tcW w:w="6339" w:type="dxa"/>
            <w:tcBorders>
              <w:top w:val="nil"/>
              <w:left w:val="nil"/>
              <w:bottom w:val="nil"/>
              <w:right w:val="nil"/>
            </w:tcBorders>
          </w:tcPr>
          <w:p w:rsidR="003E022D" w:rsidRDefault="003E022D">
            <w:pPr>
              <w:rPr>
                <w:rFonts w:cstheme="minorHAnsi"/>
                <w:noProof/>
              </w:rPr>
            </w:pPr>
          </w:p>
        </w:tc>
        <w:tc>
          <w:tcPr>
            <w:tcW w:w="1084" w:type="dxa"/>
            <w:tcBorders>
              <w:top w:val="nil"/>
              <w:left w:val="nil"/>
              <w:bottom w:val="nil"/>
              <w:right w:val="nil"/>
            </w:tcBorders>
          </w:tcPr>
          <w:p w:rsidR="003E022D" w:rsidRDefault="003E022D">
            <w:pPr>
              <w:rPr>
                <w:rFonts w:cstheme="minorHAnsi"/>
                <w:noProof/>
              </w:rPr>
            </w:pPr>
          </w:p>
        </w:tc>
      </w:tr>
      <w:tr w:rsidR="003E022D">
        <w:trPr>
          <w:trHeight w:val="269"/>
        </w:trPr>
        <w:tc>
          <w:tcPr>
            <w:tcW w:w="6339" w:type="dxa"/>
            <w:tcBorders>
              <w:top w:val="nil"/>
              <w:left w:val="nil"/>
              <w:bottom w:val="nil"/>
              <w:right w:val="nil"/>
            </w:tcBorders>
          </w:tcPr>
          <w:p w:rsidR="003E022D" w:rsidRDefault="007D19D6">
            <w:pPr>
              <w:rPr>
                <w:rFonts w:cstheme="minorHAnsi"/>
                <w:i/>
                <w:noProof/>
              </w:rPr>
            </w:pPr>
            <w:r>
              <w:rPr>
                <w:i/>
                <w:noProof/>
              </w:rPr>
              <w:t>1.3. Maksimālais augstums (jebkuram transportlīdzeklim)</w:t>
            </w:r>
          </w:p>
        </w:tc>
        <w:tc>
          <w:tcPr>
            <w:tcW w:w="1084" w:type="dxa"/>
            <w:tcBorders>
              <w:top w:val="nil"/>
              <w:left w:val="nil"/>
              <w:bottom w:val="nil"/>
              <w:right w:val="nil"/>
            </w:tcBorders>
          </w:tcPr>
          <w:p w:rsidR="003E022D" w:rsidRDefault="007D19D6">
            <w:pPr>
              <w:rPr>
                <w:rFonts w:cstheme="minorHAnsi"/>
                <w:noProof/>
              </w:rPr>
            </w:pPr>
            <w:r>
              <w:rPr>
                <w:noProof/>
              </w:rPr>
              <w:t xml:space="preserve">4,00 m  </w:t>
            </w:r>
          </w:p>
        </w:tc>
      </w:tr>
    </w:tbl>
    <w:p w:rsidR="003E022D" w:rsidRDefault="007D19D6">
      <w:pPr>
        <w:rPr>
          <w:rFonts w:cstheme="minorHAnsi"/>
          <w:noProof/>
        </w:rPr>
      </w:pPr>
      <w:r>
        <w:rPr>
          <w:noProof/>
        </w:rPr>
        <w:t xml:space="preserve"> </w:t>
      </w:r>
    </w:p>
    <w:p w:rsidR="003E022D" w:rsidRDefault="007D19D6">
      <w:pPr>
        <w:rPr>
          <w:rFonts w:cstheme="minorHAnsi"/>
          <w:noProof/>
        </w:rPr>
      </w:pPr>
      <w:r>
        <w:rPr>
          <w:noProof/>
        </w:rPr>
        <w:t xml:space="preserve">1.4. Noņemamās virsbūves un standartizētas kravas vienības, tādas kā konteineri, ir ietvertas 1.1., 1.2., 1.3., 1.6., 1.7., 1.8. un 4.4. punktā. noteiktajos gabarītos.  </w:t>
      </w:r>
    </w:p>
    <w:p w:rsidR="003E022D" w:rsidRDefault="007D19D6">
      <w:pPr>
        <w:rPr>
          <w:rFonts w:cstheme="minorHAnsi"/>
          <w:noProof/>
        </w:rPr>
      </w:pPr>
      <w:r>
        <w:rPr>
          <w:noProof/>
        </w:rPr>
        <w:t>1.5. Ikvienam kustībā esošam mehāniskajam transportlīdzeklim vai transportlīdzekļu sas</w:t>
      </w:r>
      <w:r>
        <w:rPr>
          <w:noProof/>
        </w:rPr>
        <w:t xml:space="preserve">tāvam ir jāspēj pagriezties pa apli ar ārējo rādiusu 12,50 m un iekšējo rādiusu 5,30 m.  </w:t>
      </w:r>
    </w:p>
    <w:p w:rsidR="003E022D" w:rsidRDefault="007D19D6">
      <w:pPr>
        <w:spacing w:after="0"/>
        <w:rPr>
          <w:rFonts w:cstheme="minorHAnsi"/>
          <w:noProof/>
        </w:rPr>
      </w:pPr>
      <w:r>
        <w:rPr>
          <w:noProof/>
        </w:rPr>
        <w:t xml:space="preserve">1.6. Maksimālais attālums starp piektā riteņa asi un puspiekabes aizmuguri </w:t>
      </w:r>
    </w:p>
    <w:tbl>
      <w:tblPr>
        <w:tblStyle w:val="TableGrid"/>
        <w:tblW w:w="7423" w:type="dxa"/>
        <w:tblInd w:w="0" w:type="dxa"/>
        <w:tblLook w:val="04A0" w:firstRow="1" w:lastRow="0" w:firstColumn="1" w:lastColumn="0" w:noHBand="0" w:noVBand="1"/>
      </w:tblPr>
      <w:tblGrid>
        <w:gridCol w:w="6339"/>
        <w:gridCol w:w="1084"/>
      </w:tblGrid>
      <w:tr w:rsidR="003E022D">
        <w:trPr>
          <w:trHeight w:val="269"/>
        </w:trPr>
        <w:tc>
          <w:tcPr>
            <w:tcW w:w="6339" w:type="dxa"/>
            <w:tcBorders>
              <w:top w:val="nil"/>
              <w:left w:val="nil"/>
              <w:bottom w:val="nil"/>
              <w:right w:val="nil"/>
            </w:tcBorders>
          </w:tcPr>
          <w:p w:rsidR="003E022D" w:rsidRDefault="003E022D">
            <w:pPr>
              <w:spacing w:afterAutospacing="0"/>
              <w:rPr>
                <w:rFonts w:cstheme="minorHAnsi"/>
                <w:noProof/>
              </w:rPr>
            </w:pPr>
          </w:p>
        </w:tc>
        <w:tc>
          <w:tcPr>
            <w:tcW w:w="1084" w:type="dxa"/>
            <w:tcBorders>
              <w:top w:val="nil"/>
              <w:left w:val="nil"/>
              <w:bottom w:val="nil"/>
              <w:right w:val="nil"/>
            </w:tcBorders>
          </w:tcPr>
          <w:p w:rsidR="003E022D" w:rsidRDefault="007D19D6">
            <w:pPr>
              <w:spacing w:afterAutospacing="0"/>
              <w:rPr>
                <w:rFonts w:cstheme="minorHAnsi"/>
                <w:noProof/>
              </w:rPr>
            </w:pPr>
            <w:r>
              <w:rPr>
                <w:noProof/>
              </w:rPr>
              <w:t xml:space="preserve">12,00 m  </w:t>
            </w:r>
          </w:p>
        </w:tc>
      </w:tr>
    </w:tbl>
    <w:p w:rsidR="003E022D" w:rsidRDefault="007D19D6">
      <w:pPr>
        <w:spacing w:after="0"/>
        <w:rPr>
          <w:rFonts w:cstheme="minorHAnsi"/>
          <w:noProof/>
        </w:rPr>
      </w:pPr>
      <w:r>
        <w:rPr>
          <w:noProof/>
        </w:rPr>
        <w:t xml:space="preserve">1.7. Maksimālais attālums, kas mērīts paralēli autovilciena gareniskajai asij </w:t>
      </w:r>
      <w:r>
        <w:rPr>
          <w:noProof/>
        </w:rPr>
        <w:t xml:space="preserve">no vistālākā ārējā punkta iekraušanas zonā aiz kabīnes līdz aizmugurē vistālāk esošajam ārējam sastāva piekabes punktam mīnus attālums starp vilcēja aizmuguri un piekabes priekšpusi  </w:t>
      </w:r>
    </w:p>
    <w:tbl>
      <w:tblPr>
        <w:tblStyle w:val="TableGrid"/>
        <w:tblW w:w="7423" w:type="dxa"/>
        <w:tblInd w:w="0" w:type="dxa"/>
        <w:tblLook w:val="04A0" w:firstRow="1" w:lastRow="0" w:firstColumn="1" w:lastColumn="0" w:noHBand="0" w:noVBand="1"/>
      </w:tblPr>
      <w:tblGrid>
        <w:gridCol w:w="6339"/>
        <w:gridCol w:w="1084"/>
      </w:tblGrid>
      <w:tr w:rsidR="003E022D">
        <w:trPr>
          <w:trHeight w:val="269"/>
        </w:trPr>
        <w:tc>
          <w:tcPr>
            <w:tcW w:w="6339" w:type="dxa"/>
            <w:tcBorders>
              <w:top w:val="nil"/>
              <w:left w:val="nil"/>
              <w:bottom w:val="nil"/>
              <w:right w:val="nil"/>
            </w:tcBorders>
          </w:tcPr>
          <w:p w:rsidR="003E022D" w:rsidRDefault="007D19D6">
            <w:pPr>
              <w:spacing w:afterAutospacing="0"/>
              <w:rPr>
                <w:rFonts w:cstheme="minorHAnsi"/>
                <w:noProof/>
              </w:rPr>
            </w:pPr>
            <w:r>
              <w:rPr>
                <w:noProof/>
              </w:rPr>
              <w:t>:</w:t>
            </w:r>
          </w:p>
        </w:tc>
        <w:tc>
          <w:tcPr>
            <w:tcW w:w="1084" w:type="dxa"/>
            <w:tcBorders>
              <w:top w:val="nil"/>
              <w:left w:val="nil"/>
              <w:bottom w:val="nil"/>
              <w:right w:val="nil"/>
            </w:tcBorders>
          </w:tcPr>
          <w:p w:rsidR="003E022D" w:rsidRDefault="007D19D6">
            <w:pPr>
              <w:spacing w:afterAutospacing="0"/>
              <w:rPr>
                <w:rFonts w:cstheme="minorHAnsi"/>
                <w:noProof/>
              </w:rPr>
            </w:pPr>
            <w:r>
              <w:rPr>
                <w:noProof/>
              </w:rPr>
              <w:t>15,65 m</w:t>
            </w:r>
          </w:p>
        </w:tc>
      </w:tr>
    </w:tbl>
    <w:p w:rsidR="003E022D" w:rsidRDefault="007D19D6">
      <w:pPr>
        <w:spacing w:after="0"/>
        <w:rPr>
          <w:rFonts w:cstheme="minorHAnsi"/>
          <w:noProof/>
        </w:rPr>
      </w:pPr>
      <w:r>
        <w:rPr>
          <w:noProof/>
        </w:rPr>
        <w:t>1.8. Maksimālais attālums, kas mērīts paralēli autovilciena g</w:t>
      </w:r>
      <w:r>
        <w:rPr>
          <w:noProof/>
        </w:rPr>
        <w:t>areniskajai asij no vistālākā ārējā punkta iekraušanas zonā aiz kabīnes līdz sastāva piekabes aizmugurē vistālāk esošajam ārējam punktam</w:t>
      </w:r>
    </w:p>
    <w:tbl>
      <w:tblPr>
        <w:tblStyle w:val="TableGrid"/>
        <w:tblW w:w="7423" w:type="dxa"/>
        <w:tblInd w:w="0" w:type="dxa"/>
        <w:tblLook w:val="04A0" w:firstRow="1" w:lastRow="0" w:firstColumn="1" w:lastColumn="0" w:noHBand="0" w:noVBand="1"/>
      </w:tblPr>
      <w:tblGrid>
        <w:gridCol w:w="6339"/>
        <w:gridCol w:w="1084"/>
      </w:tblGrid>
      <w:tr w:rsidR="003E022D">
        <w:trPr>
          <w:trHeight w:val="269"/>
        </w:trPr>
        <w:tc>
          <w:tcPr>
            <w:tcW w:w="6339" w:type="dxa"/>
            <w:tcBorders>
              <w:top w:val="nil"/>
              <w:left w:val="nil"/>
              <w:bottom w:val="nil"/>
              <w:right w:val="nil"/>
            </w:tcBorders>
          </w:tcPr>
          <w:p w:rsidR="003E022D" w:rsidRDefault="007D19D6">
            <w:pPr>
              <w:rPr>
                <w:rFonts w:cstheme="minorHAnsi"/>
                <w:noProof/>
              </w:rPr>
            </w:pPr>
            <w:r>
              <w:rPr>
                <w:noProof/>
              </w:rPr>
              <w:t xml:space="preserve">:  </w:t>
            </w:r>
          </w:p>
        </w:tc>
        <w:tc>
          <w:tcPr>
            <w:tcW w:w="1084" w:type="dxa"/>
            <w:tcBorders>
              <w:top w:val="nil"/>
              <w:left w:val="nil"/>
              <w:bottom w:val="nil"/>
              <w:right w:val="nil"/>
            </w:tcBorders>
          </w:tcPr>
          <w:p w:rsidR="003E022D" w:rsidRDefault="007D19D6">
            <w:pPr>
              <w:rPr>
                <w:rFonts w:cstheme="minorHAnsi"/>
                <w:noProof/>
              </w:rPr>
            </w:pPr>
            <w:r>
              <w:rPr>
                <w:noProof/>
              </w:rPr>
              <w:t>16,40 m</w:t>
            </w:r>
          </w:p>
        </w:tc>
      </w:tr>
    </w:tbl>
    <w:p w:rsidR="003E022D" w:rsidRDefault="007D19D6">
      <w:pPr>
        <w:rPr>
          <w:rFonts w:cstheme="minorHAnsi"/>
          <w:noProof/>
        </w:rPr>
      </w:pPr>
      <w:r>
        <w:rPr>
          <w:noProof/>
        </w:rPr>
        <w:t xml:space="preserve"> </w:t>
      </w:r>
    </w:p>
    <w:p w:rsidR="003E022D" w:rsidRDefault="007D19D6">
      <w:pPr>
        <w:rPr>
          <w:rFonts w:cstheme="minorHAnsi"/>
          <w:b/>
          <w:bCs/>
          <w:noProof/>
        </w:rPr>
      </w:pPr>
      <w:r>
        <w:rPr>
          <w:b/>
          <w:bCs/>
          <w:noProof/>
        </w:rPr>
        <w:t>2.</w:t>
      </w:r>
      <w:r>
        <w:rPr>
          <w:noProof/>
        </w:rPr>
        <w:tab/>
      </w:r>
      <w:r>
        <w:rPr>
          <w:b/>
          <w:bCs/>
          <w:noProof/>
        </w:rPr>
        <w:t xml:space="preserve">Maksimāli pieļaujamais transportlīdzekļa svars (tonnās)  </w:t>
      </w:r>
    </w:p>
    <w:p w:rsidR="003E022D" w:rsidRDefault="007D19D6">
      <w:pPr>
        <w:rPr>
          <w:rFonts w:cstheme="minorHAnsi"/>
          <w:noProof/>
        </w:rPr>
      </w:pPr>
      <w:r>
        <w:rPr>
          <w:i/>
          <w:noProof/>
        </w:rPr>
        <w:t>2.1. Transportlīdzekļi, kas veido transport</w:t>
      </w:r>
      <w:r>
        <w:rPr>
          <w:i/>
          <w:noProof/>
        </w:rPr>
        <w:t xml:space="preserve">līdzekļu sastāva daļu </w:t>
      </w:r>
    </w:p>
    <w:tbl>
      <w:tblPr>
        <w:tblStyle w:val="TableGrid"/>
        <w:tblW w:w="7423" w:type="dxa"/>
        <w:tblInd w:w="0" w:type="dxa"/>
        <w:tblLook w:val="04A0" w:firstRow="1" w:lastRow="0" w:firstColumn="1" w:lastColumn="0" w:noHBand="0" w:noVBand="1"/>
      </w:tblPr>
      <w:tblGrid>
        <w:gridCol w:w="6339"/>
        <w:gridCol w:w="1084"/>
      </w:tblGrid>
      <w:tr w:rsidR="003E022D">
        <w:trPr>
          <w:trHeight w:val="269"/>
        </w:trPr>
        <w:tc>
          <w:tcPr>
            <w:tcW w:w="6339" w:type="dxa"/>
            <w:tcBorders>
              <w:top w:val="nil"/>
              <w:left w:val="nil"/>
              <w:bottom w:val="nil"/>
              <w:right w:val="nil"/>
            </w:tcBorders>
          </w:tcPr>
          <w:p w:rsidR="003E022D" w:rsidRDefault="007D19D6">
            <w:pPr>
              <w:rPr>
                <w:rFonts w:cstheme="minorHAnsi"/>
                <w:noProof/>
              </w:rPr>
            </w:pPr>
            <w:r>
              <w:rPr>
                <w:noProof/>
              </w:rPr>
              <w:t xml:space="preserve">2.1.1. Divasu piekabe  </w:t>
            </w:r>
          </w:p>
        </w:tc>
        <w:tc>
          <w:tcPr>
            <w:tcW w:w="1084" w:type="dxa"/>
            <w:tcBorders>
              <w:top w:val="nil"/>
              <w:left w:val="nil"/>
              <w:bottom w:val="nil"/>
              <w:right w:val="nil"/>
            </w:tcBorders>
          </w:tcPr>
          <w:p w:rsidR="003E022D" w:rsidRDefault="007D19D6">
            <w:pPr>
              <w:rPr>
                <w:rFonts w:cstheme="minorHAnsi"/>
                <w:noProof/>
              </w:rPr>
            </w:pPr>
            <w:r>
              <w:rPr>
                <w:noProof/>
              </w:rPr>
              <w:t xml:space="preserve">18 tonnas  </w:t>
            </w:r>
          </w:p>
        </w:tc>
      </w:tr>
      <w:tr w:rsidR="003E022D">
        <w:trPr>
          <w:trHeight w:val="269"/>
        </w:trPr>
        <w:tc>
          <w:tcPr>
            <w:tcW w:w="6339" w:type="dxa"/>
          </w:tcPr>
          <w:p w:rsidR="003E022D" w:rsidRDefault="003E022D">
            <w:pPr>
              <w:rPr>
                <w:rFonts w:cstheme="minorHAnsi"/>
                <w:iCs/>
                <w:noProof/>
              </w:rPr>
            </w:pPr>
          </w:p>
        </w:tc>
        <w:tc>
          <w:tcPr>
            <w:tcW w:w="1084" w:type="dxa"/>
          </w:tcPr>
          <w:p w:rsidR="003E022D" w:rsidRDefault="003E022D">
            <w:pPr>
              <w:rPr>
                <w:rFonts w:cstheme="minorHAnsi"/>
                <w:iCs/>
                <w:noProof/>
              </w:rPr>
            </w:pPr>
          </w:p>
        </w:tc>
      </w:tr>
      <w:tr w:rsidR="003E022D">
        <w:trPr>
          <w:trHeight w:val="269"/>
        </w:trPr>
        <w:tc>
          <w:tcPr>
            <w:tcW w:w="6339" w:type="dxa"/>
          </w:tcPr>
          <w:p w:rsidR="003E022D" w:rsidRDefault="007D19D6">
            <w:pPr>
              <w:spacing w:afterAutospacing="0"/>
              <w:rPr>
                <w:rFonts w:cstheme="minorHAnsi"/>
                <w:noProof/>
              </w:rPr>
            </w:pPr>
            <w:r>
              <w:rPr>
                <w:noProof/>
              </w:rPr>
              <w:t>2.1.2. Divasu piekabe</w:t>
            </w:r>
            <w:r>
              <w:rPr>
                <w:i/>
                <w:noProof/>
              </w:rPr>
              <w:t xml:space="preserve"> </w:t>
            </w:r>
          </w:p>
        </w:tc>
        <w:tc>
          <w:tcPr>
            <w:tcW w:w="1084" w:type="dxa"/>
          </w:tcPr>
          <w:p w:rsidR="003E022D" w:rsidRDefault="007D19D6">
            <w:pPr>
              <w:spacing w:afterAutospacing="0"/>
              <w:rPr>
                <w:rFonts w:cstheme="minorHAnsi"/>
                <w:noProof/>
              </w:rPr>
            </w:pPr>
            <w:r>
              <w:rPr>
                <w:noProof/>
              </w:rPr>
              <w:t>24 tonnas</w:t>
            </w:r>
            <w:r>
              <w:rPr>
                <w:i/>
                <w:noProof/>
              </w:rPr>
              <w:t xml:space="preserve"> </w:t>
            </w:r>
          </w:p>
        </w:tc>
      </w:tr>
    </w:tbl>
    <w:p w:rsidR="003E022D" w:rsidRDefault="007D19D6">
      <w:pPr>
        <w:rPr>
          <w:rFonts w:cstheme="minorHAnsi"/>
          <w:i/>
          <w:noProof/>
        </w:rPr>
      </w:pPr>
      <w:r>
        <w:rPr>
          <w:i/>
          <w:noProof/>
        </w:rPr>
        <w:t xml:space="preserve">2.2. Transportlīdzekļu sastāvi  </w:t>
      </w:r>
    </w:p>
    <w:p w:rsidR="003E022D" w:rsidRDefault="007D19D6">
      <w:pPr>
        <w:rPr>
          <w:rFonts w:cstheme="minorHAnsi"/>
          <w:noProof/>
        </w:rPr>
      </w:pPr>
      <w:r>
        <w:rPr>
          <w:noProof/>
        </w:rPr>
        <w:t xml:space="preserve">Transportlīdzekļu sastāvu, tostarp ar alternatīvu degvielu darbināmu vai bezemisiju transportlīdzekļu, gadījumā šajā iedaļā </w:t>
      </w:r>
      <w:r>
        <w:rPr>
          <w:noProof/>
        </w:rPr>
        <w:t>paredzētais maksimāli pieļaujamais svars tiek palielināts par alternatīvās degvielas vai bezemisiju tehnoloģijas papildu svaru, kas attiecīgi nepārsniedz vienu un divas tonnas.</w:t>
      </w:r>
      <w:r>
        <w:rPr>
          <w:noProof/>
          <w:color w:val="000000" w:themeColor="text1"/>
        </w:rPr>
        <w:t xml:space="preserve"> </w:t>
      </w:r>
    </w:p>
    <w:p w:rsidR="003E022D" w:rsidRDefault="007D19D6">
      <w:pPr>
        <w:rPr>
          <w:rFonts w:cstheme="minorHAnsi"/>
          <w:iCs/>
          <w:noProof/>
        </w:rPr>
      </w:pPr>
      <w:r>
        <w:rPr>
          <w:noProof/>
        </w:rPr>
        <w:t xml:space="preserve">2.2.1. Autovilcieni ar piecām vai sešām asīm  </w:t>
      </w:r>
    </w:p>
    <w:tbl>
      <w:tblPr>
        <w:tblStyle w:val="TableGrid"/>
        <w:tblW w:w="7601" w:type="dxa"/>
        <w:tblInd w:w="0" w:type="dxa"/>
        <w:tblLook w:val="04A0" w:firstRow="1" w:lastRow="0" w:firstColumn="1" w:lastColumn="0" w:noHBand="0" w:noVBand="1"/>
      </w:tblPr>
      <w:tblGrid>
        <w:gridCol w:w="6522"/>
        <w:gridCol w:w="1079"/>
      </w:tblGrid>
      <w:tr w:rsidR="003E022D">
        <w:trPr>
          <w:trHeight w:val="269"/>
        </w:trPr>
        <w:tc>
          <w:tcPr>
            <w:tcW w:w="6522" w:type="dxa"/>
            <w:tcBorders>
              <w:top w:val="nil"/>
              <w:left w:val="nil"/>
              <w:bottom w:val="nil"/>
              <w:right w:val="nil"/>
            </w:tcBorders>
          </w:tcPr>
          <w:p w:rsidR="003E022D" w:rsidRDefault="007D19D6">
            <w:pPr>
              <w:rPr>
                <w:rFonts w:cstheme="minorHAnsi"/>
                <w:noProof/>
              </w:rPr>
            </w:pPr>
            <w:r>
              <w:rPr>
                <w:noProof/>
              </w:rPr>
              <w:t>a) divasu mehāniskais transport</w:t>
            </w:r>
            <w:r>
              <w:rPr>
                <w:noProof/>
              </w:rPr>
              <w:t xml:space="preserve">līdzeklis ar trīsasu piekabi  </w:t>
            </w:r>
          </w:p>
        </w:tc>
        <w:tc>
          <w:tcPr>
            <w:tcW w:w="1079" w:type="dxa"/>
            <w:tcBorders>
              <w:top w:val="nil"/>
              <w:left w:val="nil"/>
              <w:bottom w:val="nil"/>
              <w:right w:val="nil"/>
            </w:tcBorders>
          </w:tcPr>
          <w:p w:rsidR="003E022D" w:rsidRDefault="007D19D6">
            <w:pPr>
              <w:rPr>
                <w:rFonts w:cstheme="minorHAnsi"/>
                <w:noProof/>
              </w:rPr>
            </w:pPr>
            <w:r>
              <w:rPr>
                <w:noProof/>
              </w:rPr>
              <w:t xml:space="preserve">40 tonnas  </w:t>
            </w:r>
          </w:p>
        </w:tc>
      </w:tr>
      <w:tr w:rsidR="003E022D">
        <w:trPr>
          <w:trHeight w:val="827"/>
        </w:trPr>
        <w:tc>
          <w:tcPr>
            <w:tcW w:w="6522" w:type="dxa"/>
            <w:tcBorders>
              <w:top w:val="nil"/>
              <w:left w:val="nil"/>
              <w:bottom w:val="nil"/>
              <w:right w:val="nil"/>
            </w:tcBorders>
          </w:tcPr>
          <w:p w:rsidR="003E022D" w:rsidRDefault="007D19D6">
            <w:pPr>
              <w:rPr>
                <w:rFonts w:cstheme="minorHAnsi"/>
                <w:noProof/>
              </w:rPr>
            </w:pPr>
            <w:r>
              <w:rPr>
                <w:noProof/>
              </w:rPr>
              <w:t xml:space="preserve">b) trīsasu mehāniskais transportlīdzeklis ar divasu vai trīsasu piekabi  </w:t>
            </w:r>
          </w:p>
          <w:p w:rsidR="003E022D" w:rsidRDefault="007D19D6">
            <w:pPr>
              <w:rPr>
                <w:rFonts w:cstheme="minorHAnsi"/>
                <w:noProof/>
              </w:rPr>
            </w:pPr>
            <w:r>
              <w:rPr>
                <w:noProof/>
              </w:rPr>
              <w:t xml:space="preserve">2.2.2. Posmainie transportlīdzekļi ar piecām vai sešām asīm  </w:t>
            </w:r>
          </w:p>
        </w:tc>
        <w:tc>
          <w:tcPr>
            <w:tcW w:w="1079" w:type="dxa"/>
            <w:tcBorders>
              <w:top w:val="nil"/>
              <w:left w:val="nil"/>
              <w:bottom w:val="nil"/>
              <w:right w:val="nil"/>
            </w:tcBorders>
          </w:tcPr>
          <w:p w:rsidR="003E022D" w:rsidRDefault="007D19D6">
            <w:pPr>
              <w:rPr>
                <w:rFonts w:cstheme="minorHAnsi"/>
                <w:noProof/>
              </w:rPr>
            </w:pPr>
            <w:r>
              <w:rPr>
                <w:noProof/>
              </w:rPr>
              <w:t xml:space="preserve">40 tonnas  </w:t>
            </w:r>
          </w:p>
        </w:tc>
      </w:tr>
      <w:tr w:rsidR="003E022D">
        <w:trPr>
          <w:trHeight w:val="294"/>
        </w:trPr>
        <w:tc>
          <w:tcPr>
            <w:tcW w:w="6522" w:type="dxa"/>
            <w:tcBorders>
              <w:top w:val="nil"/>
              <w:left w:val="nil"/>
              <w:bottom w:val="nil"/>
              <w:right w:val="nil"/>
            </w:tcBorders>
          </w:tcPr>
          <w:p w:rsidR="003E022D" w:rsidRDefault="007D19D6">
            <w:pPr>
              <w:rPr>
                <w:rFonts w:cstheme="minorHAnsi"/>
                <w:noProof/>
              </w:rPr>
            </w:pPr>
            <w:r>
              <w:rPr>
                <w:noProof/>
              </w:rPr>
              <w:t xml:space="preserve">a) divasu mehāniskais transportlīdzeklis ar trīsasu puspiekabi  </w:t>
            </w:r>
          </w:p>
        </w:tc>
        <w:tc>
          <w:tcPr>
            <w:tcW w:w="1079" w:type="dxa"/>
            <w:tcBorders>
              <w:top w:val="nil"/>
              <w:left w:val="nil"/>
              <w:bottom w:val="nil"/>
              <w:right w:val="nil"/>
            </w:tcBorders>
          </w:tcPr>
          <w:p w:rsidR="003E022D" w:rsidRDefault="007D19D6">
            <w:pPr>
              <w:rPr>
                <w:rFonts w:cstheme="minorHAnsi"/>
                <w:noProof/>
              </w:rPr>
            </w:pPr>
            <w:r>
              <w:rPr>
                <w:noProof/>
              </w:rPr>
              <w:t xml:space="preserve">40 tonnas  </w:t>
            </w:r>
          </w:p>
        </w:tc>
      </w:tr>
      <w:tr w:rsidR="003E022D">
        <w:trPr>
          <w:trHeight w:val="826"/>
        </w:trPr>
        <w:tc>
          <w:tcPr>
            <w:tcW w:w="6522" w:type="dxa"/>
            <w:tcBorders>
              <w:top w:val="nil"/>
              <w:left w:val="nil"/>
              <w:bottom w:val="nil"/>
              <w:right w:val="nil"/>
            </w:tcBorders>
          </w:tcPr>
          <w:p w:rsidR="003E022D" w:rsidRDefault="007D19D6">
            <w:pPr>
              <w:rPr>
                <w:rFonts w:cstheme="minorHAnsi"/>
                <w:noProof/>
              </w:rPr>
            </w:pPr>
            <w:r>
              <w:rPr>
                <w:noProof/>
              </w:rPr>
              <w:t xml:space="preserve">b) trīsasu mehāniskais transportlīdzeklis ar divasu vai trīsasu puspiekabi  </w:t>
            </w:r>
          </w:p>
          <w:p w:rsidR="003E022D" w:rsidRDefault="007D19D6">
            <w:pPr>
              <w:rPr>
                <w:rFonts w:cstheme="minorHAnsi"/>
                <w:noProof/>
              </w:rPr>
            </w:pPr>
            <w:r>
              <w:rPr>
                <w:noProof/>
              </w:rPr>
              <w:t xml:space="preserve">2.2.3. Autovilcieni ar četrām asīm, kas sastāv  </w:t>
            </w:r>
          </w:p>
        </w:tc>
        <w:tc>
          <w:tcPr>
            <w:tcW w:w="1079" w:type="dxa"/>
            <w:tcBorders>
              <w:top w:val="nil"/>
              <w:left w:val="nil"/>
              <w:bottom w:val="nil"/>
              <w:right w:val="nil"/>
            </w:tcBorders>
          </w:tcPr>
          <w:p w:rsidR="003E022D" w:rsidRDefault="007D19D6">
            <w:pPr>
              <w:rPr>
                <w:rFonts w:cstheme="minorHAnsi"/>
                <w:noProof/>
              </w:rPr>
            </w:pPr>
            <w:r>
              <w:rPr>
                <w:noProof/>
              </w:rPr>
              <w:t xml:space="preserve">40 tonnas </w:t>
            </w:r>
          </w:p>
        </w:tc>
      </w:tr>
      <w:tr w:rsidR="003E022D">
        <w:trPr>
          <w:trHeight w:val="269"/>
        </w:trPr>
        <w:tc>
          <w:tcPr>
            <w:tcW w:w="6522" w:type="dxa"/>
            <w:tcBorders>
              <w:top w:val="nil"/>
              <w:left w:val="nil"/>
              <w:bottom w:val="nil"/>
              <w:right w:val="nil"/>
            </w:tcBorders>
          </w:tcPr>
          <w:p w:rsidR="003E022D" w:rsidRDefault="007D19D6">
            <w:pPr>
              <w:spacing w:afterAutospacing="0"/>
              <w:rPr>
                <w:rFonts w:cstheme="minorHAnsi"/>
                <w:noProof/>
              </w:rPr>
            </w:pPr>
            <w:r>
              <w:rPr>
                <w:noProof/>
              </w:rPr>
              <w:t xml:space="preserve">no divasu mehāniskā transportlīdzekļa un divasu piekabes  </w:t>
            </w:r>
          </w:p>
        </w:tc>
        <w:tc>
          <w:tcPr>
            <w:tcW w:w="1079" w:type="dxa"/>
            <w:tcBorders>
              <w:top w:val="nil"/>
              <w:left w:val="nil"/>
              <w:bottom w:val="nil"/>
              <w:right w:val="nil"/>
            </w:tcBorders>
          </w:tcPr>
          <w:p w:rsidR="003E022D" w:rsidRDefault="007D19D6">
            <w:pPr>
              <w:spacing w:afterAutospacing="0"/>
              <w:rPr>
                <w:rFonts w:cstheme="minorHAnsi"/>
                <w:noProof/>
              </w:rPr>
            </w:pPr>
            <w:r>
              <w:rPr>
                <w:noProof/>
              </w:rPr>
              <w:t xml:space="preserve">36 tonnas  </w:t>
            </w:r>
          </w:p>
        </w:tc>
      </w:tr>
    </w:tbl>
    <w:p w:rsidR="003E022D" w:rsidRDefault="007D19D6">
      <w:pPr>
        <w:rPr>
          <w:rFonts w:cstheme="minorHAnsi"/>
          <w:noProof/>
        </w:rPr>
      </w:pPr>
      <w:r>
        <w:rPr>
          <w:noProof/>
        </w:rPr>
        <w:t xml:space="preserve">2.2.4. Posmainie transportlīdzekļi ar četrām asīm, kas sastāv no divasu mehāniskā transportlīdzekļa un divasu puspiekabes, ja attālums starp puspiekabes asīm: </w:t>
      </w:r>
    </w:p>
    <w:p w:rsidR="003E022D" w:rsidRDefault="007D19D6">
      <w:pPr>
        <w:rPr>
          <w:rFonts w:cstheme="minorHAnsi"/>
          <w:noProof/>
        </w:rPr>
      </w:pPr>
      <w:r>
        <w:rPr>
          <w:noProof/>
        </w:rPr>
        <w:t>ir 1,3 m vai vairāk, bet</w:t>
      </w:r>
      <w:r>
        <w:rPr>
          <w:noProof/>
        </w:rPr>
        <w:t xml:space="preserve"> nepārsniedzot 1,8 m  </w:t>
      </w:r>
      <w:r>
        <w:rPr>
          <w:noProof/>
        </w:rPr>
        <w:tab/>
      </w:r>
      <w:r>
        <w:rPr>
          <w:noProof/>
        </w:rPr>
        <w:tab/>
      </w:r>
      <w:r>
        <w:rPr>
          <w:noProof/>
        </w:rPr>
        <w:tab/>
      </w:r>
      <w:r>
        <w:rPr>
          <w:noProof/>
        </w:rPr>
        <w:tab/>
        <w:t xml:space="preserve">36 tonnas </w:t>
      </w:r>
    </w:p>
    <w:p w:rsidR="003E022D" w:rsidRDefault="007D19D6">
      <w:pPr>
        <w:rPr>
          <w:rFonts w:cstheme="minorHAnsi"/>
          <w:noProof/>
        </w:rPr>
      </w:pPr>
      <w:r>
        <w:rPr>
          <w:noProof/>
        </w:rPr>
        <w:t>ir vairāk nekā 1,8 m 36 tonnas (+ 2 tonnas rezervei, kur tiek ievērots maksimāli pieļaujamais mehāniskā transportlīdzekļa svars (MPS) (18 tonnas) un puspiekabes tandēmass MPS (20 tonnas) un kur velkošā ass ir aprīkota a</w:t>
      </w:r>
      <w:r>
        <w:rPr>
          <w:noProof/>
        </w:rPr>
        <w:t xml:space="preserve">r dubultriepām un pneimatisko balstiekārtu vai līdzvērtīgu balstiekārtu) </w:t>
      </w:r>
    </w:p>
    <w:p w:rsidR="003E022D" w:rsidRDefault="007D19D6">
      <w:pPr>
        <w:rPr>
          <w:rFonts w:cstheme="minorHAnsi"/>
          <w:i/>
          <w:noProof/>
        </w:rPr>
      </w:pPr>
      <w:r>
        <w:rPr>
          <w:i/>
          <w:noProof/>
        </w:rPr>
        <w:t xml:space="preserve">2.3. Mehāniskie transportlīdzekļi  </w:t>
      </w:r>
    </w:p>
    <w:p w:rsidR="003E022D" w:rsidRDefault="007D19D6">
      <w:pPr>
        <w:rPr>
          <w:rFonts w:cstheme="minorHAnsi"/>
          <w:noProof/>
        </w:rPr>
      </w:pPr>
      <w:r>
        <w:rPr>
          <w:noProof/>
        </w:rPr>
        <w:t>Ar alternatīvu degvielu darbināmu mehānisko transportlīdzekļu vai bezemisiju transportlīdzekļu gadījumā 2.3.1. un 2.3.2. apakšiedaļā paredzētais m</w:t>
      </w:r>
      <w:r>
        <w:rPr>
          <w:noProof/>
        </w:rPr>
        <w:t xml:space="preserve">aksimāli pieļaujamais svars tiek palielināts par alternatīvās degvielas vai bezemisiju tehnoloģijas papildu svaru, kas attiecīgi nepārsniedz vienu un divas tonnas. </w:t>
      </w:r>
    </w:p>
    <w:tbl>
      <w:tblPr>
        <w:tblStyle w:val="TableGrid"/>
        <w:tblW w:w="9080" w:type="dxa"/>
        <w:tblInd w:w="0" w:type="dxa"/>
        <w:tblLook w:val="04A0" w:firstRow="1" w:lastRow="0" w:firstColumn="1" w:lastColumn="0" w:noHBand="0" w:noVBand="1"/>
      </w:tblPr>
      <w:tblGrid>
        <w:gridCol w:w="6521"/>
        <w:gridCol w:w="2559"/>
      </w:tblGrid>
      <w:tr w:rsidR="003E022D">
        <w:trPr>
          <w:trHeight w:val="389"/>
        </w:trPr>
        <w:tc>
          <w:tcPr>
            <w:tcW w:w="6521" w:type="dxa"/>
            <w:tcBorders>
              <w:top w:val="nil"/>
              <w:left w:val="nil"/>
              <w:bottom w:val="nil"/>
              <w:right w:val="nil"/>
            </w:tcBorders>
          </w:tcPr>
          <w:p w:rsidR="003E022D" w:rsidRDefault="007D19D6">
            <w:pPr>
              <w:spacing w:after="100"/>
              <w:rPr>
                <w:rFonts w:cstheme="minorHAnsi"/>
                <w:noProof/>
              </w:rPr>
            </w:pPr>
            <w:r>
              <w:rPr>
                <w:noProof/>
              </w:rPr>
              <w:t xml:space="preserve">2.3.1. Divasu mehāniskie transportlīdzekļi   </w:t>
            </w:r>
          </w:p>
        </w:tc>
        <w:tc>
          <w:tcPr>
            <w:tcW w:w="2559" w:type="dxa"/>
            <w:tcBorders>
              <w:top w:val="nil"/>
              <w:left w:val="nil"/>
              <w:bottom w:val="nil"/>
              <w:right w:val="nil"/>
            </w:tcBorders>
          </w:tcPr>
          <w:p w:rsidR="003E022D" w:rsidRDefault="007D19D6">
            <w:pPr>
              <w:spacing w:after="100"/>
              <w:rPr>
                <w:rFonts w:cstheme="minorHAnsi"/>
                <w:noProof/>
              </w:rPr>
            </w:pPr>
            <w:r>
              <w:rPr>
                <w:noProof/>
              </w:rPr>
              <w:t xml:space="preserve">18 tonnas  </w:t>
            </w:r>
          </w:p>
        </w:tc>
      </w:tr>
      <w:tr w:rsidR="003E022D">
        <w:trPr>
          <w:trHeight w:val="2148"/>
        </w:trPr>
        <w:tc>
          <w:tcPr>
            <w:tcW w:w="6521" w:type="dxa"/>
            <w:tcBorders>
              <w:top w:val="nil"/>
              <w:left w:val="nil"/>
              <w:bottom w:val="nil"/>
              <w:right w:val="nil"/>
            </w:tcBorders>
          </w:tcPr>
          <w:p w:rsidR="003E022D" w:rsidRDefault="007D19D6">
            <w:pPr>
              <w:spacing w:after="100"/>
              <w:rPr>
                <w:rFonts w:cstheme="minorHAnsi"/>
                <w:noProof/>
              </w:rPr>
            </w:pPr>
            <w:r>
              <w:rPr>
                <w:noProof/>
              </w:rPr>
              <w:t xml:space="preserve">2.3.2. Trīsasu mehāniskie transportlīdzekļi  </w:t>
            </w:r>
          </w:p>
        </w:tc>
        <w:tc>
          <w:tcPr>
            <w:tcW w:w="2559" w:type="dxa"/>
            <w:tcBorders>
              <w:top w:val="nil"/>
              <w:left w:val="nil"/>
              <w:bottom w:val="nil"/>
              <w:right w:val="nil"/>
            </w:tcBorders>
            <w:vAlign w:val="bottom"/>
          </w:tcPr>
          <w:p w:rsidR="003E022D" w:rsidRDefault="007D19D6">
            <w:pPr>
              <w:spacing w:afterAutospacing="0"/>
              <w:rPr>
                <w:rFonts w:cstheme="minorHAnsi"/>
                <w:noProof/>
              </w:rPr>
            </w:pPr>
            <w:r>
              <w:rPr>
                <w:noProof/>
              </w:rPr>
              <w:t>25 tonnas (26 tonnas, ja velkošā ass ir aprīkota ar dubultriepām un pneimatisko balstiekārtu vai līdzvērtīgu balstiekārtu vai ja katra velkošā ass ir aprīkota ar dubultriepām un katras ass maksimālais svars nep</w:t>
            </w:r>
            <w:r>
              <w:rPr>
                <w:noProof/>
              </w:rPr>
              <w:t>ārsniedz 9,5 tonnas)</w:t>
            </w:r>
          </w:p>
        </w:tc>
      </w:tr>
      <w:tr w:rsidR="003E022D">
        <w:trPr>
          <w:trHeight w:val="2148"/>
        </w:trPr>
        <w:tc>
          <w:tcPr>
            <w:tcW w:w="6521" w:type="dxa"/>
            <w:tcBorders>
              <w:top w:val="nil"/>
              <w:left w:val="nil"/>
              <w:bottom w:val="nil"/>
              <w:right w:val="nil"/>
            </w:tcBorders>
          </w:tcPr>
          <w:p w:rsidR="003E022D" w:rsidRDefault="007D19D6">
            <w:pPr>
              <w:spacing w:after="100"/>
              <w:rPr>
                <w:rFonts w:cstheme="minorHAnsi"/>
                <w:noProof/>
              </w:rPr>
            </w:pPr>
            <w:r>
              <w:rPr>
                <w:noProof/>
              </w:rPr>
              <w:t>2.3.3. Četrasu mehāniskie transportlīdzekļi ar divām stūrējošām asīm</w:t>
            </w:r>
            <w:r>
              <w:rPr>
                <w:i/>
                <w:noProof/>
              </w:rPr>
              <w:t xml:space="preserve"> </w:t>
            </w:r>
            <w:r>
              <w:rPr>
                <w:noProof/>
              </w:rPr>
              <w:t xml:space="preserve"> </w:t>
            </w:r>
          </w:p>
        </w:tc>
        <w:tc>
          <w:tcPr>
            <w:tcW w:w="2559" w:type="dxa"/>
            <w:tcBorders>
              <w:top w:val="nil"/>
              <w:left w:val="nil"/>
              <w:bottom w:val="nil"/>
              <w:right w:val="nil"/>
            </w:tcBorders>
            <w:vAlign w:val="bottom"/>
          </w:tcPr>
          <w:p w:rsidR="003E022D" w:rsidRDefault="007D19D6">
            <w:pPr>
              <w:spacing w:after="100"/>
              <w:rPr>
                <w:rFonts w:cstheme="minorHAnsi"/>
                <w:noProof/>
              </w:rPr>
            </w:pPr>
            <w:r>
              <w:rPr>
                <w:noProof/>
              </w:rPr>
              <w:t>32 tonnas, ja velkošā ass ir aprīkota ar dubultriepām un pneimatisko balstiekārtu vai līdzvērtīgu balstiekārtu vai ja katra velkošā ass ir aprīkota ar dubultriepām</w:t>
            </w:r>
            <w:r>
              <w:rPr>
                <w:noProof/>
              </w:rPr>
              <w:t xml:space="preserve"> un katras ass maksimālais svars nepārsniedz 9,5 tonnas</w:t>
            </w:r>
          </w:p>
        </w:tc>
      </w:tr>
    </w:tbl>
    <w:p w:rsidR="003E022D" w:rsidRDefault="007D19D6">
      <w:pPr>
        <w:rPr>
          <w:rFonts w:cstheme="minorHAnsi"/>
          <w:noProof/>
        </w:rPr>
      </w:pPr>
      <w:r>
        <w:rPr>
          <w:noProof/>
        </w:rPr>
        <w:tab/>
      </w:r>
    </w:p>
    <w:p w:rsidR="003E022D" w:rsidRDefault="007D19D6">
      <w:pPr>
        <w:rPr>
          <w:rFonts w:cstheme="minorHAnsi"/>
          <w:b/>
          <w:bCs/>
          <w:noProof/>
        </w:rPr>
      </w:pPr>
      <w:r>
        <w:rPr>
          <w:b/>
          <w:bCs/>
          <w:noProof/>
        </w:rPr>
        <w:t>3.</w:t>
      </w:r>
      <w:r>
        <w:rPr>
          <w:noProof/>
        </w:rPr>
        <w:tab/>
      </w:r>
      <w:r>
        <w:rPr>
          <w:b/>
          <w:bCs/>
          <w:noProof/>
        </w:rPr>
        <w:t xml:space="preserve">Transportlīdzekļu maksimāli pieļaujamais ass svars (tonnās)  </w:t>
      </w:r>
    </w:p>
    <w:p w:rsidR="003E022D" w:rsidRDefault="007D19D6">
      <w:pPr>
        <w:rPr>
          <w:rFonts w:cstheme="minorHAnsi"/>
          <w:noProof/>
        </w:rPr>
      </w:pPr>
      <w:r>
        <w:rPr>
          <w:noProof/>
        </w:rPr>
        <w:t xml:space="preserve">3.1. Vienkāršas asis  </w:t>
      </w:r>
    </w:p>
    <w:tbl>
      <w:tblPr>
        <w:tblStyle w:val="TableGrid"/>
        <w:tblW w:w="7601" w:type="dxa"/>
        <w:tblInd w:w="0" w:type="dxa"/>
        <w:tblLook w:val="04A0" w:firstRow="1" w:lastRow="0" w:firstColumn="1" w:lastColumn="0" w:noHBand="0" w:noVBand="1"/>
      </w:tblPr>
      <w:tblGrid>
        <w:gridCol w:w="6522"/>
        <w:gridCol w:w="1079"/>
      </w:tblGrid>
      <w:tr w:rsidR="003E022D">
        <w:trPr>
          <w:trHeight w:val="1387"/>
        </w:trPr>
        <w:tc>
          <w:tcPr>
            <w:tcW w:w="6522" w:type="dxa"/>
            <w:tcBorders>
              <w:top w:val="nil"/>
              <w:left w:val="nil"/>
              <w:bottom w:val="nil"/>
              <w:right w:val="nil"/>
            </w:tcBorders>
          </w:tcPr>
          <w:p w:rsidR="003E022D" w:rsidRDefault="007D19D6">
            <w:pPr>
              <w:rPr>
                <w:rFonts w:cstheme="minorHAnsi"/>
                <w:noProof/>
              </w:rPr>
            </w:pPr>
            <w:r>
              <w:rPr>
                <w:noProof/>
              </w:rPr>
              <w:t xml:space="preserve">Vienkārša nevelkoša ass  </w:t>
            </w:r>
          </w:p>
          <w:p w:rsidR="003E022D" w:rsidRDefault="007D19D6">
            <w:pPr>
              <w:rPr>
                <w:rFonts w:cstheme="minorHAnsi"/>
                <w:noProof/>
              </w:rPr>
            </w:pPr>
            <w:r>
              <w:rPr>
                <w:i/>
                <w:noProof/>
              </w:rPr>
              <w:t xml:space="preserve">3.2. Tandēmasis piekabēm un puspiekabēm  </w:t>
            </w:r>
          </w:p>
          <w:p w:rsidR="003E022D" w:rsidRDefault="007D19D6">
            <w:pPr>
              <w:rPr>
                <w:rFonts w:cstheme="minorHAnsi"/>
                <w:noProof/>
              </w:rPr>
            </w:pPr>
            <w:r>
              <w:rPr>
                <w:noProof/>
              </w:rPr>
              <w:t xml:space="preserve">Asu svara summa uz tandēmasi nedrīkst pārsniegt, ja attālums starp asīm (d) ir:  </w:t>
            </w:r>
          </w:p>
        </w:tc>
        <w:tc>
          <w:tcPr>
            <w:tcW w:w="1079" w:type="dxa"/>
            <w:tcBorders>
              <w:top w:val="nil"/>
              <w:left w:val="nil"/>
              <w:bottom w:val="nil"/>
              <w:right w:val="nil"/>
            </w:tcBorders>
          </w:tcPr>
          <w:p w:rsidR="003E022D" w:rsidRDefault="007D19D6">
            <w:pPr>
              <w:rPr>
                <w:rFonts w:cstheme="minorHAnsi"/>
                <w:noProof/>
              </w:rPr>
            </w:pPr>
            <w:r>
              <w:rPr>
                <w:noProof/>
              </w:rPr>
              <w:t xml:space="preserve">10 tonnas  </w:t>
            </w:r>
          </w:p>
        </w:tc>
      </w:tr>
      <w:tr w:rsidR="003E022D">
        <w:trPr>
          <w:trHeight w:val="293"/>
        </w:trPr>
        <w:tc>
          <w:tcPr>
            <w:tcW w:w="6522" w:type="dxa"/>
            <w:tcBorders>
              <w:top w:val="nil"/>
              <w:left w:val="nil"/>
              <w:bottom w:val="nil"/>
              <w:right w:val="nil"/>
            </w:tcBorders>
          </w:tcPr>
          <w:p w:rsidR="003E022D" w:rsidRDefault="007D19D6">
            <w:pPr>
              <w:rPr>
                <w:rFonts w:cstheme="minorHAnsi"/>
                <w:noProof/>
              </w:rPr>
            </w:pPr>
            <w:r>
              <w:rPr>
                <w:noProof/>
              </w:rPr>
              <w:t xml:space="preserve">- mazāks par 1 m (d &lt; 1,0)  </w:t>
            </w:r>
          </w:p>
        </w:tc>
        <w:tc>
          <w:tcPr>
            <w:tcW w:w="1079" w:type="dxa"/>
            <w:tcBorders>
              <w:top w:val="nil"/>
              <w:left w:val="nil"/>
              <w:bottom w:val="nil"/>
              <w:right w:val="nil"/>
            </w:tcBorders>
          </w:tcPr>
          <w:p w:rsidR="003E022D" w:rsidRDefault="007D19D6">
            <w:pPr>
              <w:rPr>
                <w:rFonts w:cstheme="minorHAnsi"/>
                <w:noProof/>
              </w:rPr>
            </w:pPr>
            <w:r>
              <w:rPr>
                <w:noProof/>
              </w:rPr>
              <w:t xml:space="preserve">11 tonnas  </w:t>
            </w:r>
          </w:p>
        </w:tc>
      </w:tr>
      <w:tr w:rsidR="003E022D">
        <w:trPr>
          <w:trHeight w:val="294"/>
        </w:trPr>
        <w:tc>
          <w:tcPr>
            <w:tcW w:w="6522" w:type="dxa"/>
            <w:tcBorders>
              <w:top w:val="nil"/>
              <w:left w:val="nil"/>
              <w:bottom w:val="nil"/>
              <w:right w:val="nil"/>
            </w:tcBorders>
          </w:tcPr>
          <w:p w:rsidR="003E022D" w:rsidRDefault="007D19D6">
            <w:pPr>
              <w:rPr>
                <w:rFonts w:cstheme="minorHAnsi"/>
                <w:noProof/>
              </w:rPr>
            </w:pPr>
            <w:r>
              <w:rPr>
                <w:noProof/>
              </w:rPr>
              <w:t xml:space="preserve">- 1,0 m un mazāks par 1,3 m (1,0 ≤ d &lt; 1,3)  </w:t>
            </w:r>
          </w:p>
        </w:tc>
        <w:tc>
          <w:tcPr>
            <w:tcW w:w="1079" w:type="dxa"/>
            <w:tcBorders>
              <w:top w:val="nil"/>
              <w:left w:val="nil"/>
              <w:bottom w:val="nil"/>
              <w:right w:val="nil"/>
            </w:tcBorders>
          </w:tcPr>
          <w:p w:rsidR="003E022D" w:rsidRDefault="007D19D6">
            <w:pPr>
              <w:rPr>
                <w:rFonts w:cstheme="minorHAnsi"/>
                <w:noProof/>
              </w:rPr>
            </w:pPr>
            <w:r>
              <w:rPr>
                <w:noProof/>
              </w:rPr>
              <w:t xml:space="preserve">16 tonnas  </w:t>
            </w:r>
          </w:p>
        </w:tc>
      </w:tr>
      <w:tr w:rsidR="003E022D">
        <w:trPr>
          <w:trHeight w:val="294"/>
        </w:trPr>
        <w:tc>
          <w:tcPr>
            <w:tcW w:w="6522" w:type="dxa"/>
            <w:tcBorders>
              <w:top w:val="nil"/>
              <w:left w:val="nil"/>
              <w:bottom w:val="nil"/>
              <w:right w:val="nil"/>
            </w:tcBorders>
          </w:tcPr>
          <w:p w:rsidR="003E022D" w:rsidRDefault="007D19D6">
            <w:pPr>
              <w:rPr>
                <w:rFonts w:cstheme="minorHAnsi"/>
                <w:noProof/>
              </w:rPr>
            </w:pPr>
            <w:r>
              <w:rPr>
                <w:noProof/>
              </w:rPr>
              <w:t xml:space="preserve">- 1,3 m un mazāks par 1,8 m (1,3 ≤ d &lt; 1,8)  </w:t>
            </w:r>
          </w:p>
        </w:tc>
        <w:tc>
          <w:tcPr>
            <w:tcW w:w="1079" w:type="dxa"/>
            <w:tcBorders>
              <w:top w:val="nil"/>
              <w:left w:val="nil"/>
              <w:bottom w:val="nil"/>
              <w:right w:val="nil"/>
            </w:tcBorders>
          </w:tcPr>
          <w:p w:rsidR="003E022D" w:rsidRDefault="007D19D6">
            <w:pPr>
              <w:rPr>
                <w:rFonts w:cstheme="minorHAnsi"/>
                <w:noProof/>
              </w:rPr>
            </w:pPr>
            <w:r>
              <w:rPr>
                <w:noProof/>
              </w:rPr>
              <w:t xml:space="preserve">18 tonnas  </w:t>
            </w:r>
          </w:p>
        </w:tc>
      </w:tr>
      <w:tr w:rsidR="003E022D">
        <w:trPr>
          <w:trHeight w:val="269"/>
        </w:trPr>
        <w:tc>
          <w:tcPr>
            <w:tcW w:w="6522" w:type="dxa"/>
            <w:tcBorders>
              <w:top w:val="nil"/>
              <w:left w:val="nil"/>
              <w:bottom w:val="nil"/>
              <w:right w:val="nil"/>
            </w:tcBorders>
          </w:tcPr>
          <w:p w:rsidR="003E022D" w:rsidRDefault="007D19D6">
            <w:pPr>
              <w:spacing w:afterAutospacing="0"/>
              <w:rPr>
                <w:rFonts w:cstheme="minorHAnsi"/>
                <w:noProof/>
              </w:rPr>
            </w:pPr>
            <w:r>
              <w:rPr>
                <w:noProof/>
              </w:rPr>
              <w:t xml:space="preserve">- 1,8 m vai vairāk (1,8 ≤ d)  </w:t>
            </w:r>
          </w:p>
        </w:tc>
        <w:tc>
          <w:tcPr>
            <w:tcW w:w="1079" w:type="dxa"/>
            <w:tcBorders>
              <w:top w:val="nil"/>
              <w:left w:val="nil"/>
              <w:bottom w:val="nil"/>
              <w:right w:val="nil"/>
            </w:tcBorders>
          </w:tcPr>
          <w:p w:rsidR="003E022D" w:rsidRDefault="007D19D6">
            <w:pPr>
              <w:rPr>
                <w:rFonts w:cstheme="minorHAnsi"/>
                <w:noProof/>
              </w:rPr>
            </w:pPr>
            <w:r>
              <w:rPr>
                <w:noProof/>
              </w:rPr>
              <w:t xml:space="preserve">20 tonnas </w:t>
            </w:r>
          </w:p>
        </w:tc>
      </w:tr>
    </w:tbl>
    <w:p w:rsidR="003E022D" w:rsidRDefault="007D19D6">
      <w:pPr>
        <w:rPr>
          <w:rFonts w:cstheme="minorHAnsi"/>
          <w:iCs/>
          <w:noProof/>
        </w:rPr>
      </w:pPr>
      <w:r>
        <w:rPr>
          <w:noProof/>
        </w:rPr>
        <w:t xml:space="preserve">3.3. Trīsasis piekabēm un puspiekabēm  </w:t>
      </w:r>
    </w:p>
    <w:p w:rsidR="003E022D" w:rsidRDefault="007D19D6">
      <w:pPr>
        <w:rPr>
          <w:rFonts w:cstheme="minorHAnsi"/>
          <w:noProof/>
        </w:rPr>
      </w:pPr>
      <w:r>
        <w:rPr>
          <w:noProof/>
        </w:rPr>
        <w:t xml:space="preserve">Asu svara summa uz trīsasi nedrīkst pārsniegt, ja attālums starp asīm (d) ir:  </w:t>
      </w:r>
    </w:p>
    <w:p w:rsidR="003E022D" w:rsidRDefault="007D19D6">
      <w:pPr>
        <w:rPr>
          <w:rFonts w:cstheme="minorHAnsi"/>
          <w:noProof/>
        </w:rPr>
      </w:pPr>
      <w:r>
        <w:rPr>
          <w:noProof/>
        </w:rPr>
        <w:t xml:space="preserve">- 1,3 m vai mazāks (d ≤ 1,3)  </w:t>
      </w:r>
      <w:r>
        <w:rPr>
          <w:noProof/>
        </w:rPr>
        <w:tab/>
      </w:r>
      <w:r>
        <w:rPr>
          <w:noProof/>
        </w:rPr>
        <w:tab/>
      </w:r>
      <w:r>
        <w:rPr>
          <w:noProof/>
        </w:rPr>
        <w:tab/>
      </w:r>
      <w:r>
        <w:rPr>
          <w:noProof/>
        </w:rPr>
        <w:tab/>
      </w:r>
      <w:r>
        <w:rPr>
          <w:noProof/>
        </w:rPr>
        <w:tab/>
      </w:r>
      <w:r>
        <w:rPr>
          <w:noProof/>
        </w:rPr>
        <w:tab/>
        <w:t xml:space="preserve">21 tonnu  </w:t>
      </w:r>
    </w:p>
    <w:p w:rsidR="003E022D" w:rsidRDefault="007D19D6">
      <w:pPr>
        <w:rPr>
          <w:rFonts w:cstheme="minorHAnsi"/>
          <w:noProof/>
        </w:rPr>
      </w:pPr>
      <w:r>
        <w:rPr>
          <w:noProof/>
        </w:rPr>
        <w:t xml:space="preserve">vairāk nekā 1,3 m un līdz 1,4 m (1,3 &lt;d ≤ 1,4)  </w:t>
      </w:r>
      <w:r>
        <w:rPr>
          <w:noProof/>
        </w:rPr>
        <w:tab/>
      </w:r>
      <w:r>
        <w:rPr>
          <w:noProof/>
        </w:rPr>
        <w:tab/>
      </w:r>
      <w:r>
        <w:rPr>
          <w:noProof/>
        </w:rPr>
        <w:tab/>
      </w:r>
      <w:r>
        <w:rPr>
          <w:noProof/>
        </w:rPr>
        <w:tab/>
        <w:t xml:space="preserve">24 tonnas  </w:t>
      </w:r>
    </w:p>
    <w:p w:rsidR="003E022D" w:rsidRDefault="007D19D6">
      <w:pPr>
        <w:rPr>
          <w:rFonts w:cstheme="minorHAnsi"/>
          <w:noProof/>
        </w:rPr>
      </w:pPr>
      <w:r>
        <w:rPr>
          <w:i/>
          <w:noProof/>
        </w:rPr>
        <w:t xml:space="preserve">3.4. Velkošā ass  </w:t>
      </w:r>
    </w:p>
    <w:p w:rsidR="003E022D" w:rsidRDefault="007D19D6">
      <w:pPr>
        <w:rPr>
          <w:rFonts w:cstheme="minorHAnsi"/>
          <w:noProof/>
        </w:rPr>
      </w:pPr>
      <w:r>
        <w:rPr>
          <w:noProof/>
        </w:rPr>
        <w:t xml:space="preserve">Velkošā ass transportlīdzekļiem, kas minēti 2.2. un 2.3. punktā </w:t>
      </w:r>
      <w:r>
        <w:rPr>
          <w:noProof/>
        </w:rPr>
        <w:tab/>
      </w:r>
      <w:r>
        <w:rPr>
          <w:noProof/>
        </w:rPr>
        <w:tab/>
        <w:t xml:space="preserve">11,5 tonnas  </w:t>
      </w:r>
    </w:p>
    <w:p w:rsidR="003E022D" w:rsidRDefault="007D19D6">
      <w:pPr>
        <w:rPr>
          <w:rFonts w:cstheme="minorHAnsi"/>
          <w:iCs/>
          <w:noProof/>
        </w:rPr>
      </w:pPr>
      <w:r>
        <w:rPr>
          <w:noProof/>
        </w:rPr>
        <w:t xml:space="preserve">3.5. Tandēmasis mehāniskiem transportlīdzekļiem  </w:t>
      </w:r>
    </w:p>
    <w:p w:rsidR="003E022D" w:rsidRDefault="007D19D6">
      <w:pPr>
        <w:rPr>
          <w:rFonts w:cstheme="minorHAnsi"/>
          <w:noProof/>
        </w:rPr>
      </w:pPr>
      <w:r>
        <w:rPr>
          <w:noProof/>
        </w:rPr>
        <w:t>Asu svara summa uz tandēmasi nedrīkst pārsn</w:t>
      </w:r>
      <w:r>
        <w:rPr>
          <w:noProof/>
        </w:rPr>
        <w:t xml:space="preserve">iegt, ja attālums starp asīm (d) ir:  </w:t>
      </w:r>
    </w:p>
    <w:tbl>
      <w:tblPr>
        <w:tblStyle w:val="TableGrid"/>
        <w:tblW w:w="9070" w:type="dxa"/>
        <w:tblInd w:w="0" w:type="dxa"/>
        <w:tblLook w:val="04A0" w:firstRow="1" w:lastRow="0" w:firstColumn="1" w:lastColumn="0" w:noHBand="0" w:noVBand="1"/>
      </w:tblPr>
      <w:tblGrid>
        <w:gridCol w:w="6522"/>
        <w:gridCol w:w="2548"/>
      </w:tblGrid>
      <w:tr w:rsidR="003E022D">
        <w:trPr>
          <w:trHeight w:val="269"/>
        </w:trPr>
        <w:tc>
          <w:tcPr>
            <w:tcW w:w="6522" w:type="dxa"/>
            <w:tcBorders>
              <w:top w:val="nil"/>
              <w:left w:val="nil"/>
              <w:bottom w:val="nil"/>
              <w:right w:val="nil"/>
            </w:tcBorders>
          </w:tcPr>
          <w:p w:rsidR="003E022D" w:rsidRDefault="007D19D6">
            <w:pPr>
              <w:rPr>
                <w:rFonts w:cstheme="minorHAnsi"/>
                <w:noProof/>
              </w:rPr>
            </w:pPr>
            <w:r>
              <w:rPr>
                <w:noProof/>
              </w:rPr>
              <w:t xml:space="preserve">- mazāks par 1 m (d &lt; 1,0)  </w:t>
            </w:r>
          </w:p>
        </w:tc>
        <w:tc>
          <w:tcPr>
            <w:tcW w:w="2548" w:type="dxa"/>
            <w:tcBorders>
              <w:top w:val="nil"/>
              <w:left w:val="nil"/>
              <w:bottom w:val="nil"/>
              <w:right w:val="nil"/>
            </w:tcBorders>
          </w:tcPr>
          <w:p w:rsidR="003E022D" w:rsidRDefault="007D19D6">
            <w:pPr>
              <w:rPr>
                <w:rFonts w:cstheme="minorHAnsi"/>
                <w:noProof/>
              </w:rPr>
            </w:pPr>
            <w:r>
              <w:rPr>
                <w:noProof/>
              </w:rPr>
              <w:t xml:space="preserve">11,5 tonnas  </w:t>
            </w:r>
          </w:p>
        </w:tc>
      </w:tr>
      <w:tr w:rsidR="003E022D">
        <w:trPr>
          <w:trHeight w:val="294"/>
        </w:trPr>
        <w:tc>
          <w:tcPr>
            <w:tcW w:w="6522" w:type="dxa"/>
            <w:tcBorders>
              <w:top w:val="nil"/>
              <w:left w:val="nil"/>
              <w:bottom w:val="nil"/>
              <w:right w:val="nil"/>
            </w:tcBorders>
          </w:tcPr>
          <w:p w:rsidR="003E022D" w:rsidRDefault="007D19D6">
            <w:pPr>
              <w:rPr>
                <w:rFonts w:cstheme="minorHAnsi"/>
                <w:noProof/>
              </w:rPr>
            </w:pPr>
            <w:r>
              <w:rPr>
                <w:noProof/>
              </w:rPr>
              <w:t xml:space="preserve">- 1,0 m vai vairāk, bet mazāk par 1,3 m (1,0 ≤ d &lt; 1,3)  </w:t>
            </w:r>
          </w:p>
        </w:tc>
        <w:tc>
          <w:tcPr>
            <w:tcW w:w="2548" w:type="dxa"/>
            <w:tcBorders>
              <w:top w:val="nil"/>
              <w:left w:val="nil"/>
              <w:bottom w:val="nil"/>
              <w:right w:val="nil"/>
            </w:tcBorders>
          </w:tcPr>
          <w:p w:rsidR="003E022D" w:rsidRDefault="007D19D6">
            <w:pPr>
              <w:rPr>
                <w:rFonts w:cstheme="minorHAnsi"/>
                <w:noProof/>
              </w:rPr>
            </w:pPr>
            <w:r>
              <w:rPr>
                <w:noProof/>
              </w:rPr>
              <w:t xml:space="preserve">16 tonnas  </w:t>
            </w:r>
          </w:p>
        </w:tc>
      </w:tr>
      <w:tr w:rsidR="003E022D">
        <w:trPr>
          <w:trHeight w:val="1441"/>
        </w:trPr>
        <w:tc>
          <w:tcPr>
            <w:tcW w:w="6522" w:type="dxa"/>
            <w:tcBorders>
              <w:top w:val="nil"/>
              <w:left w:val="nil"/>
              <w:bottom w:val="nil"/>
              <w:right w:val="nil"/>
            </w:tcBorders>
          </w:tcPr>
          <w:p w:rsidR="003E022D" w:rsidRDefault="007D19D6">
            <w:pPr>
              <w:rPr>
                <w:rFonts w:cstheme="minorHAnsi"/>
                <w:noProof/>
              </w:rPr>
            </w:pPr>
            <w:r>
              <w:rPr>
                <w:noProof/>
              </w:rPr>
              <w:t xml:space="preserve">- 1,3 m vai vairāk, bet mazāk par 1,8 m (1,3 ≤ d &lt; 1,8)  </w:t>
            </w:r>
          </w:p>
        </w:tc>
        <w:tc>
          <w:tcPr>
            <w:tcW w:w="2548" w:type="dxa"/>
            <w:tcBorders>
              <w:top w:val="nil"/>
              <w:left w:val="nil"/>
              <w:bottom w:val="nil"/>
              <w:right w:val="nil"/>
            </w:tcBorders>
          </w:tcPr>
          <w:p w:rsidR="003E022D" w:rsidRDefault="007D19D6">
            <w:pPr>
              <w:rPr>
                <w:rFonts w:cstheme="minorHAnsi"/>
                <w:noProof/>
              </w:rPr>
            </w:pPr>
            <w:r>
              <w:rPr>
                <w:noProof/>
              </w:rPr>
              <w:t xml:space="preserve">18 tonnas (19 tonnas, ja velkošā ass ir aprīkota ar dubultriepām un pneimatisko balstiekārtu vai  </w:t>
            </w:r>
          </w:p>
        </w:tc>
      </w:tr>
    </w:tbl>
    <w:p w:rsidR="003E022D" w:rsidRDefault="007D19D6">
      <w:pPr>
        <w:rPr>
          <w:rFonts w:cstheme="minorHAnsi"/>
          <w:noProof/>
        </w:rPr>
      </w:pPr>
      <w:r>
        <w:rPr>
          <w:noProof/>
        </w:rPr>
        <w:t xml:space="preserve">līdzvērtīgu balstiekārtu vai ja katra velkošā ass ir aprīkota ar dubultriepām </w:t>
      </w:r>
    </w:p>
    <w:p w:rsidR="003E022D" w:rsidRDefault="007D19D6">
      <w:pPr>
        <w:rPr>
          <w:rFonts w:cstheme="minorHAnsi"/>
          <w:noProof/>
        </w:rPr>
      </w:pPr>
      <w:r>
        <w:rPr>
          <w:noProof/>
        </w:rPr>
        <w:t xml:space="preserve">un katras ass maksimālais svars nepārsniedz 9,5 tonnas) </w:t>
      </w:r>
    </w:p>
    <w:p w:rsidR="003E022D" w:rsidRDefault="007D19D6">
      <w:pPr>
        <w:rPr>
          <w:rFonts w:cstheme="minorHAnsi"/>
          <w:b/>
          <w:bCs/>
          <w:noProof/>
        </w:rPr>
      </w:pPr>
      <w:r>
        <w:rPr>
          <w:b/>
          <w:bCs/>
          <w:noProof/>
        </w:rPr>
        <w:t>4.</w:t>
      </w:r>
      <w:r>
        <w:rPr>
          <w:noProof/>
        </w:rPr>
        <w:tab/>
      </w:r>
      <w:r>
        <w:rPr>
          <w:b/>
          <w:bCs/>
          <w:noProof/>
        </w:rPr>
        <w:t>Citi transportlīd</w:t>
      </w:r>
      <w:r>
        <w:rPr>
          <w:b/>
          <w:bCs/>
          <w:noProof/>
        </w:rPr>
        <w:t xml:space="preserve">zekļu parametri </w:t>
      </w:r>
    </w:p>
    <w:p w:rsidR="003E022D" w:rsidRDefault="007D19D6">
      <w:pPr>
        <w:rPr>
          <w:rFonts w:cstheme="minorHAnsi"/>
          <w:noProof/>
        </w:rPr>
      </w:pPr>
      <w:r>
        <w:rPr>
          <w:noProof/>
        </w:rPr>
        <w:t xml:space="preserve">4.1. Visi transportlīdzekļi  </w:t>
      </w:r>
    </w:p>
    <w:p w:rsidR="003E022D" w:rsidRDefault="007D19D6">
      <w:pPr>
        <w:rPr>
          <w:rFonts w:cstheme="minorHAnsi"/>
          <w:noProof/>
        </w:rPr>
      </w:pPr>
      <w:r>
        <w:rPr>
          <w:noProof/>
        </w:rPr>
        <w:t xml:space="preserve">Svars, ko nes transportlīdzekļa vai transportlīdzekļu sastāva velkošā ass vai velkošās asis, nedrīkst būt mazāks kā 25 % no transportlīdzekļa vai transportlīdzekļu sastāva kopējās pilnmasas. </w:t>
      </w:r>
    </w:p>
    <w:p w:rsidR="003E022D" w:rsidRDefault="007D19D6">
      <w:pPr>
        <w:rPr>
          <w:rFonts w:cstheme="minorHAnsi"/>
          <w:noProof/>
        </w:rPr>
      </w:pPr>
      <w:r>
        <w:rPr>
          <w:noProof/>
        </w:rPr>
        <w:t>4.2. Autovilcieni</w:t>
      </w:r>
      <w:r>
        <w:rPr>
          <w:noProof/>
        </w:rPr>
        <w:t xml:space="preserve">  </w:t>
      </w:r>
    </w:p>
    <w:p w:rsidR="003E022D" w:rsidRDefault="007D19D6">
      <w:pPr>
        <w:rPr>
          <w:rFonts w:cstheme="minorHAnsi"/>
          <w:noProof/>
        </w:rPr>
      </w:pPr>
      <w:r>
        <w:rPr>
          <w:noProof/>
        </w:rPr>
        <w:t xml:space="preserve">Attālums starp mehāniskā transportlīdzekļa aizmugures asi un piekabes priekšējo asi nedrīkst būt mazāks par 3,00 m.  </w:t>
      </w:r>
    </w:p>
    <w:p w:rsidR="003E022D" w:rsidRDefault="007D19D6">
      <w:pPr>
        <w:rPr>
          <w:rFonts w:cstheme="minorHAnsi"/>
          <w:noProof/>
        </w:rPr>
      </w:pPr>
      <w:r>
        <w:rPr>
          <w:noProof/>
        </w:rPr>
        <w:t xml:space="preserve">4.3. Maksimāli pieļaujamais svars atkarībā no riteņu bāzes  </w:t>
      </w:r>
    </w:p>
    <w:p w:rsidR="003E022D" w:rsidRDefault="007D19D6">
      <w:pPr>
        <w:rPr>
          <w:rFonts w:cstheme="minorHAnsi"/>
          <w:noProof/>
        </w:rPr>
      </w:pPr>
      <w:r>
        <w:rPr>
          <w:noProof/>
        </w:rPr>
        <w:t xml:space="preserve">Maksimāli pieļaujamais četru asu mehāniskā transportlīdzekļa svara tonnu skaits nedrīkst pārsniegt metru skaitu, kas atbilst pieciem attālumiem starp transportlīdzekļa priekšējām un aizmugures asīm. </w:t>
      </w:r>
    </w:p>
    <w:p w:rsidR="003E022D" w:rsidRDefault="007D19D6">
      <w:pPr>
        <w:rPr>
          <w:rFonts w:cstheme="minorHAnsi"/>
          <w:noProof/>
        </w:rPr>
      </w:pPr>
      <w:r>
        <w:rPr>
          <w:noProof/>
        </w:rPr>
        <w:t xml:space="preserve">4.4. Puspiekabes  </w:t>
      </w:r>
    </w:p>
    <w:p w:rsidR="003E022D" w:rsidRDefault="007D19D6">
      <w:pPr>
        <w:rPr>
          <w:rFonts w:cstheme="minorHAnsi"/>
          <w:noProof/>
        </w:rPr>
      </w:pPr>
      <w:r>
        <w:rPr>
          <w:noProof/>
        </w:rPr>
        <w:t>Attālums, kas mērīts horizontālajā pl</w:t>
      </w:r>
      <w:r>
        <w:rPr>
          <w:noProof/>
        </w:rPr>
        <w:t xml:space="preserve">aknē, starp piektā riteņa asīm un jebkuru punktu puspiekabes priekšā nedrīkst pārsniegt 2,04 m. </w:t>
      </w:r>
    </w:p>
    <w:p w:rsidR="003E022D" w:rsidRDefault="003E022D">
      <w:pPr>
        <w:rPr>
          <w:rFonts w:cstheme="minorHAnsi"/>
          <w:b/>
          <w:noProof/>
        </w:rPr>
      </w:pPr>
    </w:p>
    <w:p w:rsidR="003E022D" w:rsidRDefault="007D19D6">
      <w:pPr>
        <w:rPr>
          <w:rFonts w:cstheme="minorHAnsi"/>
          <w:b/>
          <w:noProof/>
        </w:rPr>
      </w:pPr>
      <w:r>
        <w:rPr>
          <w:noProof/>
        </w:rPr>
        <w:br w:type="page"/>
      </w:r>
    </w:p>
    <w:p w:rsidR="003E022D" w:rsidRDefault="003E022D">
      <w:pPr>
        <w:rPr>
          <w:rFonts w:cstheme="minorHAnsi"/>
          <w:noProof/>
        </w:rPr>
      </w:pPr>
    </w:p>
    <w:p w:rsidR="003E022D" w:rsidRDefault="007D19D6">
      <w:pPr>
        <w:pStyle w:val="Section"/>
        <w:rPr>
          <w:rFonts w:cstheme="minorHAnsi"/>
          <w:noProof/>
        </w:rPr>
      </w:pPr>
      <w:r>
        <w:rPr>
          <w:noProof/>
        </w:rPr>
        <w:t xml:space="preserve">2. iedaļa. Prasības attiecībā uz tahogrāfiem, vadītāja kartēm un darbnīcas kartēm </w:t>
      </w:r>
    </w:p>
    <w:p w:rsidR="003E022D" w:rsidRDefault="007D19D6">
      <w:pPr>
        <w:pStyle w:val="Article"/>
        <w:rPr>
          <w:rFonts w:cstheme="minorHAnsi"/>
          <w:noProof/>
        </w:rPr>
      </w:pPr>
      <w:r>
        <w:rPr>
          <w:noProof/>
        </w:rPr>
        <w:t xml:space="preserve">1. pants. Priekšmets un principi </w:t>
      </w:r>
    </w:p>
    <w:p w:rsidR="003E022D" w:rsidRDefault="007D19D6">
      <w:pPr>
        <w:rPr>
          <w:rFonts w:cstheme="minorHAnsi"/>
          <w:noProof/>
        </w:rPr>
      </w:pPr>
      <w:r>
        <w:rPr>
          <w:noProof/>
        </w:rPr>
        <w:t xml:space="preserve">Šajā iedaļā ir noteiktas prasības transportlīdzekļiem, uz kuriem attiecas šā pielikuma B daļas 2. iedaļa, attiecībā uz tahogrāfu uzstādīšanu, testēšanu un kontroli, kā minēts šā nolīguma ROAD.8. panta 2. punktā.  </w:t>
      </w:r>
    </w:p>
    <w:p w:rsidR="003E022D" w:rsidRDefault="007D19D6">
      <w:pPr>
        <w:pStyle w:val="Article"/>
        <w:rPr>
          <w:rFonts w:cstheme="minorHAnsi"/>
          <w:noProof/>
        </w:rPr>
      </w:pPr>
      <w:r>
        <w:rPr>
          <w:noProof/>
        </w:rPr>
        <w:t>2. pants. Definīcijas</w:t>
      </w:r>
      <w:r>
        <w:rPr>
          <w:b/>
          <w:noProof/>
        </w:rPr>
        <w:t xml:space="preserve"> </w:t>
      </w:r>
    </w:p>
    <w:p w:rsidR="003E022D" w:rsidRDefault="007D19D6">
      <w:pPr>
        <w:numPr>
          <w:ilvl w:val="0"/>
          <w:numId w:val="913"/>
        </w:numPr>
        <w:spacing w:after="230" w:line="250" w:lineRule="auto"/>
        <w:ind w:right="3" w:hanging="360"/>
        <w:jc w:val="left"/>
        <w:rPr>
          <w:rFonts w:cstheme="minorHAnsi"/>
          <w:noProof/>
        </w:rPr>
      </w:pPr>
      <w:r>
        <w:rPr>
          <w:noProof/>
        </w:rPr>
        <w:t>Šajā iedaļā piemēro</w:t>
      </w:r>
      <w:r>
        <w:rPr>
          <w:noProof/>
        </w:rPr>
        <w:t xml:space="preserve"> šā pielikuma B daļas 2. iedaļas 2. pantā un 4. iedaļas 2. pantā izklāstītās definīcijas. </w:t>
      </w:r>
    </w:p>
    <w:p w:rsidR="003E022D" w:rsidRDefault="007D19D6">
      <w:pPr>
        <w:numPr>
          <w:ilvl w:val="0"/>
          <w:numId w:val="913"/>
        </w:numPr>
        <w:spacing w:after="308" w:line="250" w:lineRule="auto"/>
        <w:ind w:right="3" w:hanging="360"/>
        <w:jc w:val="left"/>
        <w:rPr>
          <w:rFonts w:cstheme="minorHAnsi"/>
          <w:noProof/>
        </w:rPr>
      </w:pPr>
      <w:r>
        <w:rPr>
          <w:noProof/>
        </w:rPr>
        <w:t xml:space="preserve">Papildus 1. punktā minētajām definīcijām šajā iedaļā piemēro šādas definīcijas: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“transportlīdzekļa bloks” ir tahogrāfs, izņemot kustības sensoru un vadus tā pievien</w:t>
      </w:r>
      <w:r>
        <w:rPr>
          <w:rFonts w:asciiTheme="minorHAnsi" w:hAnsiTheme="minorHAnsi"/>
          <w:noProof/>
        </w:rPr>
        <w:t>ošanai. Transportlīdzekļa bloks var būt viens bloks vai vairāki bloki, kas sadalīti pa transportlīdzekli, ar noteikumu, ka tas atbilst šīs iedaļas drošības prasībām; transportlīdzekļa blokā cita starpā ietilpst procesors, datu atmiņa, laika mērījumu funkci</w:t>
      </w:r>
      <w:r>
        <w:rPr>
          <w:rFonts w:asciiTheme="minorHAnsi" w:hAnsiTheme="minorHAnsi"/>
          <w:noProof/>
        </w:rPr>
        <w:t xml:space="preserve">ja, divas viedkaršu saskarnes ierīces vadītājam un otrajam vadītājam, printeris, displejs, savienotāji un ierīces lietotāja datu ievadīšanai;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“kustības sensors” ir tahogrāfa daļa, kas rada signālu, kurš liecina par transportlīdzekļa ātrumu un/vai nobrauk</w:t>
      </w:r>
      <w:r>
        <w:rPr>
          <w:rFonts w:asciiTheme="minorHAnsi" w:hAnsiTheme="minorHAnsi"/>
          <w:noProof/>
        </w:rPr>
        <w:t xml:space="preserve">to attālumu;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“kontroles karte” ir tahogrāfa karte, kuru Puses iestādes ir izdevušas valsts kompetentajai kontroles iestādei; tā identificē kontroles struktūru un, iespējams, arī kontrolieri, un tā ļauj piekļūt datiem, kas glabājas datu atmiņā vai vadītāj</w:t>
      </w:r>
      <w:r>
        <w:rPr>
          <w:rFonts w:asciiTheme="minorHAnsi" w:hAnsiTheme="minorHAnsi"/>
          <w:noProof/>
        </w:rPr>
        <w:t xml:space="preserve">a kartēs un pēc izvēles – darbnīcas kartēs, lai tos nolasītu, izdrukātu un/vai lejupielādētu;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“darbnīcas karte” ir tahogrāfa karte, kuru Puses iestādes ir izdevušas attiecīgās Puses apstiprinātam tahogrāfu ražotāja personālam, montierim, transportlīdzekļa</w:t>
      </w:r>
      <w:r>
        <w:rPr>
          <w:rFonts w:asciiTheme="minorHAnsi" w:hAnsiTheme="minorHAnsi"/>
          <w:noProof/>
        </w:rPr>
        <w:t xml:space="preserve"> ražotājam vai darbnīcai; tā identificē kartes turētāju un ļauj testēt, kalibrēt un aktivēt tahogrāfus un/vai lejupielādēt no tiem;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“aktivācija” ir posms, kurā tahogrāfs pilnībā ieslēdzas darba režīmā un veic visas funkcijas, tostarp drošības funkcijas, i</w:t>
      </w:r>
      <w:r>
        <w:rPr>
          <w:rFonts w:asciiTheme="minorHAnsi" w:hAnsiTheme="minorHAnsi"/>
          <w:noProof/>
        </w:rPr>
        <w:t xml:space="preserve">zmantojot darbnīcas karti;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“kalibrācija” attiecībā uz digitālo tahogrāfu ir datu atmiņā glabājamo transportlīdzekļa parametru, tostarp transportlīdzekļa identifikācijas un transportlīdzekļa raksturlielumu, aktualizēšana vai apstiprināšana, izmantojot darb</w:t>
      </w:r>
      <w:r>
        <w:rPr>
          <w:rFonts w:asciiTheme="minorHAnsi" w:hAnsiTheme="minorHAnsi"/>
          <w:noProof/>
        </w:rPr>
        <w:t xml:space="preserve">nīcas karti;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“lejupielāde” no digitālā vai viedā tahogrāfa ir visu transportlīdzekļa bloka atmiņā vai tahogrāfa kartes atmiņā reģistrēto datu datņu vai to daļas kopēšana kopā ar elektronisko parakstu ar noteikumu, ka ar šo procesu netiek grozīti vai dzēst</w:t>
      </w:r>
      <w:r>
        <w:rPr>
          <w:rFonts w:asciiTheme="minorHAnsi" w:hAnsiTheme="minorHAnsi"/>
          <w:noProof/>
        </w:rPr>
        <w:t xml:space="preserve">i saglabātie dati;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“kļūda” ir digitālā tahogrāfa konstatēta anomāla darbība, kas var būt iekārtas nepareizas darbības vai bojājuma rezultāts;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“uzstādīšana” ir tahogrāfa uzstādīšana transportlīdzeklī;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“regulāra inspekcija” ir darbību kopums, ko veic, lai</w:t>
      </w:r>
      <w:r>
        <w:rPr>
          <w:rFonts w:asciiTheme="minorHAnsi" w:hAnsiTheme="minorHAnsi"/>
          <w:noProof/>
        </w:rPr>
        <w:t xml:space="preserve"> pārbaudītu, vai tahogrāfs darbojas pareizi, vai tā iestatījumi atbilst transportlīdzekļa parametriem un vai tahogrāfam nav piestiprinātas ierīces manipulāciju veikšanai ar tahogrāfu;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“remonts” ir kustību sensora vai transportlīdzekļa bloka remonts, kura </w:t>
      </w:r>
      <w:r>
        <w:rPr>
          <w:rFonts w:asciiTheme="minorHAnsi" w:hAnsiTheme="minorHAnsi"/>
          <w:noProof/>
        </w:rPr>
        <w:t xml:space="preserve">veikšanai šai ierīcei jāatslēdz barošana, tā jāatvieno no citām tahogrāfa sastāvdaļām vai ir jāatver kustību sensors vai transportlīdzekļa bloks;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“sadarbspēja” ir sistēmu un ar tām saistīto uzņēmējdarbības procesu spēja veikt datu apmaiņu un nodrošināt in</w:t>
      </w:r>
      <w:r>
        <w:rPr>
          <w:rFonts w:asciiTheme="minorHAnsi" w:hAnsiTheme="minorHAnsi"/>
          <w:noProof/>
        </w:rPr>
        <w:t xml:space="preserve">formācijas apriti;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“saskarne” nodrošina starpniecības līdzekli starp sistēmām, ar kura palīdzību tās var savienoties un mijiedarboties; </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“laika skaitīšana” ir koordinētā universālā laika (UTC) un datuma pastāvīga digitāla reģistrēšana; un</w:t>
      </w:r>
    </w:p>
    <w:p w:rsidR="003E022D" w:rsidRDefault="007D19D6">
      <w:pPr>
        <w:pStyle w:val="Point0letter"/>
        <w:numPr>
          <w:ilvl w:val="0"/>
          <w:numId w:val="914"/>
        </w:numPr>
        <w:tabs>
          <w:tab w:val="left" w:pos="851"/>
        </w:tabs>
        <w:ind w:left="851" w:hanging="851"/>
        <w:jc w:val="both"/>
        <w:rPr>
          <w:rFonts w:asciiTheme="minorHAnsi" w:hAnsiTheme="minorHAnsi" w:cstheme="minorHAnsi"/>
          <w:noProof/>
        </w:rPr>
      </w:pPr>
      <w:r>
        <w:rPr>
          <w:noProof/>
        </w:rPr>
        <w:t xml:space="preserve">“ziņojumapmaiņas sistēma </w:t>
      </w:r>
      <w:r>
        <w:rPr>
          <w:i/>
          <w:iCs/>
          <w:noProof/>
        </w:rPr>
        <w:t>TACHOnet</w:t>
      </w:r>
      <w:r>
        <w:rPr>
          <w:noProof/>
        </w:rPr>
        <w:t>” ir  ziņojumapmaiņas sistēma, kas atbilst tehniskajām specifikācijām, kuras noteiktas I līdz VII pielikumā Komisijas Īstenošanas regulā (ES) 2016/68 (2016. gada 21. janvāris) par kopīgām procedūrām un specifikācijām, kas v</w:t>
      </w:r>
      <w:r>
        <w:rPr>
          <w:noProof/>
        </w:rPr>
        <w:t>ajadzīgas vadītāja karšu elektronisko reģistru savstarpējai savienojamībai</w:t>
      </w:r>
      <w:r>
        <w:rPr>
          <w:rStyle w:val="FootnoteReference"/>
          <w:rFonts w:cstheme="minorHAnsi"/>
          <w:noProof/>
        </w:rPr>
        <w:footnoteReference w:id="129"/>
      </w:r>
      <w:r>
        <w:rPr>
          <w:noProof/>
        </w:rPr>
        <w:t>.</w:t>
      </w:r>
      <w:r>
        <w:rPr>
          <w:rFonts w:asciiTheme="minorHAnsi" w:hAnsiTheme="minorHAnsi"/>
          <w:noProof/>
        </w:rPr>
        <w:t xml:space="preserve">  </w:t>
      </w:r>
    </w:p>
    <w:p w:rsidR="003E022D" w:rsidRDefault="007D19D6">
      <w:pPr>
        <w:pStyle w:val="Article"/>
        <w:rPr>
          <w:rFonts w:cstheme="minorHAnsi"/>
          <w:noProof/>
        </w:rPr>
      </w:pPr>
      <w:r>
        <w:rPr>
          <w:noProof/>
        </w:rPr>
        <w:t xml:space="preserve">3. pants. Uzstādīšana </w:t>
      </w:r>
    </w:p>
    <w:p w:rsidR="003E022D" w:rsidRDefault="007D19D6">
      <w:pPr>
        <w:numPr>
          <w:ilvl w:val="0"/>
          <w:numId w:val="915"/>
        </w:numPr>
        <w:spacing w:after="266" w:line="250" w:lineRule="auto"/>
        <w:ind w:right="3" w:hanging="360"/>
        <w:rPr>
          <w:rFonts w:cstheme="minorHAnsi"/>
          <w:noProof/>
        </w:rPr>
      </w:pPr>
      <w:r>
        <w:rPr>
          <w:noProof/>
        </w:rPr>
        <w:t xml:space="preserve">Tahogrāfus, kas minēti 2. punktā, uzstāda transportlīdzekļos:  </w:t>
      </w:r>
    </w:p>
    <w:p w:rsidR="003E022D" w:rsidRDefault="007D19D6">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noProof/>
        </w:rPr>
        <w:t>ja transportlīdzekļa maksimālā pieļaujamā masa, ieskaitot piekabi vai puspiekabi, pārsnied</w:t>
      </w:r>
      <w:r>
        <w:rPr>
          <w:rFonts w:asciiTheme="minorHAnsi" w:hAnsiTheme="minorHAnsi"/>
          <w:noProof/>
        </w:rPr>
        <w:t xml:space="preserve">z 3,5 tonnas; vai  </w:t>
      </w:r>
    </w:p>
    <w:p w:rsidR="003E022D" w:rsidRDefault="007D19D6">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noProof/>
        </w:rPr>
        <w:t>no 2026. gada 1. jūlija, ja transportlīdzekļa maksimālā pieļaujamā masa, ieskaitot piekabi vai puspiekabi, pārsniedz 2,5 tonnas.</w:t>
      </w:r>
      <w:r>
        <w:rPr>
          <w:rFonts w:asciiTheme="minorHAnsi" w:hAnsiTheme="minorHAnsi"/>
          <w:noProof/>
          <w:color w:val="FF0000"/>
        </w:rPr>
        <w:t xml:space="preserve"> </w:t>
      </w:r>
      <w:r>
        <w:rPr>
          <w:rFonts w:asciiTheme="minorHAnsi" w:hAnsiTheme="minorHAnsi"/>
          <w:noProof/>
        </w:rPr>
        <w:t xml:space="preserve"> </w:t>
      </w:r>
    </w:p>
    <w:p w:rsidR="003E022D" w:rsidRDefault="007D19D6">
      <w:pPr>
        <w:pStyle w:val="ListParagraph"/>
        <w:numPr>
          <w:ilvl w:val="0"/>
          <w:numId w:val="915"/>
        </w:numPr>
        <w:spacing w:after="232" w:line="248" w:lineRule="auto"/>
        <w:ind w:hanging="360"/>
        <w:rPr>
          <w:rFonts w:cstheme="minorHAnsi"/>
          <w:noProof/>
          <w:color w:val="000000" w:themeColor="text1"/>
          <w:szCs w:val="24"/>
        </w:rPr>
      </w:pPr>
      <w:r>
        <w:rPr>
          <w:noProof/>
          <w:color w:val="000000" w:themeColor="text1"/>
          <w:szCs w:val="24"/>
        </w:rPr>
        <w:t>Tahogrāfi ir šādi:</w:t>
      </w:r>
    </w:p>
    <w:p w:rsidR="003E022D" w:rsidRDefault="007D19D6">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transportlīdzekļiem, kas pirmo reizi nodoti ekspluatācijā līdz 2006. gada 1. maijam, –</w:t>
      </w:r>
      <w:r>
        <w:rPr>
          <w:noProof/>
          <w:color w:val="000000" w:themeColor="text1"/>
          <w:szCs w:val="24"/>
        </w:rPr>
        <w:t xml:space="preserve"> analogais tahogrāfs;</w:t>
      </w:r>
    </w:p>
    <w:p w:rsidR="003E022D" w:rsidRDefault="007D19D6">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transportlīdzekļiem, kas pirmo reizi nodoti ekspluatācijā no 2006. gada 1. maija līdz 2011. gada 30. septembrim, – digitālā tahogrāfa pirmā versija;</w:t>
      </w:r>
    </w:p>
    <w:p w:rsidR="003E022D" w:rsidRDefault="007D19D6">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transportlīdzekļiem, kas pirmo reizi nodoti ekspluatācijā no 2011. gada 1. oktobra lī</w:t>
      </w:r>
      <w:r>
        <w:rPr>
          <w:noProof/>
          <w:color w:val="000000" w:themeColor="text1"/>
          <w:szCs w:val="24"/>
        </w:rPr>
        <w:t>dz 2012. gada 30. septembrim, – digitālā tahogrāfa otrā versija;</w:t>
      </w:r>
    </w:p>
    <w:p w:rsidR="003E022D" w:rsidRDefault="007D19D6">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 xml:space="preserve">transportlīdzekļiem, kas pirmo reizi nodoti ekspluatācijā no 2012. gada 1. oktobra līdz 2019. gada 14. jūnijam, – digitālā tahogrāfa trešā versija; </w:t>
      </w:r>
    </w:p>
    <w:p w:rsidR="003E022D" w:rsidRDefault="007D19D6">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transportlīdzekļiem, kas pirmo reizi reģis</w:t>
      </w:r>
      <w:r>
        <w:rPr>
          <w:noProof/>
          <w:color w:val="000000" w:themeColor="text1"/>
          <w:szCs w:val="24"/>
        </w:rPr>
        <w:t>trēti no 2019. gada 15. jūnija un līdz 2 gadiem pēc šā pielikuma B daļas 4. iedaļas 2. panta 2. punkta g) apakšpunktā minēto detalizēto specifikāciju stāšanās spēkā, – viedais tahogrāfs 1; un</w:t>
      </w:r>
    </w:p>
    <w:p w:rsidR="003E022D" w:rsidRDefault="007D19D6">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transportlīdzekļiem, kas pirmo reizi reģistrēti vairāk nekā 2 ga</w:t>
      </w:r>
      <w:r>
        <w:rPr>
          <w:noProof/>
          <w:color w:val="000000" w:themeColor="text1"/>
          <w:szCs w:val="24"/>
        </w:rPr>
        <w:t>dus pēc šā pielikuma B daļas 4. iedaļas 2. panta 2. punkta h) apakšpunktā minēto detalizēto specifikāciju stāšanās spēkā, – viedais tahogrāfs 2.</w:t>
      </w:r>
    </w:p>
    <w:p w:rsidR="003E022D" w:rsidRDefault="007D19D6">
      <w:pPr>
        <w:numPr>
          <w:ilvl w:val="0"/>
          <w:numId w:val="915"/>
        </w:numPr>
        <w:spacing w:after="230" w:line="250" w:lineRule="auto"/>
        <w:ind w:right="3" w:hanging="360"/>
        <w:rPr>
          <w:rFonts w:cstheme="minorHAnsi"/>
          <w:noProof/>
        </w:rPr>
      </w:pPr>
      <w:r>
        <w:rPr>
          <w:noProof/>
        </w:rPr>
        <w:t>Katra Puse var noteikt, ka šī iedaļa nav piemērojama transportlīdzekļiem, kas minēti šā pielikuma B daļas 2. ie</w:t>
      </w:r>
      <w:r>
        <w:rPr>
          <w:noProof/>
        </w:rPr>
        <w:t xml:space="preserve">daļas 8. panta 3. punktā. </w:t>
      </w:r>
    </w:p>
    <w:p w:rsidR="003E022D" w:rsidRDefault="007D19D6">
      <w:pPr>
        <w:numPr>
          <w:ilvl w:val="0"/>
          <w:numId w:val="915"/>
        </w:numPr>
        <w:spacing w:after="230" w:line="250" w:lineRule="auto"/>
        <w:ind w:right="3" w:hanging="360"/>
        <w:rPr>
          <w:rFonts w:cstheme="minorHAnsi"/>
          <w:noProof/>
        </w:rPr>
      </w:pPr>
      <w:r>
        <w:rPr>
          <w:noProof/>
        </w:rPr>
        <w:t>Katra Puse var noteikt, ka šī iedaļa nav piemērojama transportlīdzekļiem, kurus izmanto pārvadājumu operācijām un kuriem piešķirts izņēmums saskaņā ar šā pielikuma B daļas 2. iedaļas 8. panta 4. punktu. Katra Puse nekavējoties in</w:t>
      </w:r>
      <w:r>
        <w:rPr>
          <w:noProof/>
        </w:rPr>
        <w:t xml:space="preserve">formē cita citu, kad tā izmanto šo punktu. </w:t>
      </w:r>
    </w:p>
    <w:p w:rsidR="003E022D" w:rsidRDefault="007D19D6">
      <w:pPr>
        <w:numPr>
          <w:ilvl w:val="0"/>
          <w:numId w:val="915"/>
        </w:numPr>
        <w:spacing w:after="230" w:line="250" w:lineRule="auto"/>
        <w:ind w:right="3" w:hanging="360"/>
        <w:rPr>
          <w:rFonts w:cstheme="minorHAnsi"/>
          <w:noProof/>
        </w:rPr>
      </w:pPr>
      <w:r>
        <w:rPr>
          <w:noProof/>
        </w:rPr>
        <w:t>Ne vēlāk kā trīs gadus no viedā tahogrāfa 2 sīki izstrādāto tehnisko specifikāciju spēkā stāšanās gada beigām 1. punkta a) apakšpunktā minētos transportlīdzekļus, kas ir aprīkoti ar analogo tahogrāfu vai digitālo</w:t>
      </w:r>
      <w:r>
        <w:rPr>
          <w:noProof/>
        </w:rPr>
        <w:t xml:space="preserve"> tahogrāfu, aprīko ar viedo tahogrāfu 2, kad tos izmanto tās Puses teritorijā, kas nav Puse, kurā tie ir reģistrēti.  </w:t>
      </w:r>
    </w:p>
    <w:p w:rsidR="003E022D" w:rsidRDefault="007D19D6">
      <w:pPr>
        <w:numPr>
          <w:ilvl w:val="0"/>
          <w:numId w:val="915"/>
        </w:numPr>
        <w:spacing w:after="233" w:line="250" w:lineRule="auto"/>
        <w:ind w:right="3" w:hanging="360"/>
        <w:rPr>
          <w:rFonts w:cstheme="minorHAnsi"/>
          <w:noProof/>
        </w:rPr>
      </w:pPr>
      <w:r>
        <w:rPr>
          <w:noProof/>
        </w:rPr>
        <w:t>Ne vēlāk kā četrus gadus pēc viedā tahogrāfa 2 sīki izstrādāto tehnisko specifikāciju spēkā stāšanās 1. punkta a) apakšpunktā minētos transportlīdzekļus, kas ir aprīkoti ar viedo tahogrāfu 1, aprīko ar viedo tahogrāfu 2, kad tos izmanto tās Puses teritorij</w:t>
      </w:r>
      <w:r>
        <w:rPr>
          <w:noProof/>
        </w:rPr>
        <w:t xml:space="preserve">ā, kas nav Puse, kurā tie ir reģistrēti. </w:t>
      </w:r>
    </w:p>
    <w:p w:rsidR="003E022D" w:rsidRDefault="007D19D6">
      <w:pPr>
        <w:numPr>
          <w:ilvl w:val="0"/>
          <w:numId w:val="915"/>
        </w:numPr>
        <w:spacing w:after="230" w:line="250" w:lineRule="auto"/>
        <w:ind w:right="3" w:hanging="360"/>
        <w:rPr>
          <w:rFonts w:cstheme="minorHAnsi"/>
          <w:noProof/>
        </w:rPr>
      </w:pPr>
      <w:r>
        <w:rPr>
          <w:noProof/>
        </w:rPr>
        <w:t>No 2026. gada 1. jūlija 1. punkta b) apakšpunktā minētos transportlīdzekļus aprīko ar viedo tahogrāfu 2, kad tos izmanto tās Puses teritorijā, kas nav Puse, kurā tie ir reģistrēti.</w:t>
      </w:r>
      <w:r>
        <w:rPr>
          <w:noProof/>
          <w:color w:val="FF0000"/>
        </w:rPr>
        <w:t xml:space="preserve"> </w:t>
      </w:r>
    </w:p>
    <w:p w:rsidR="003E022D" w:rsidRDefault="007D19D6">
      <w:pPr>
        <w:numPr>
          <w:ilvl w:val="0"/>
          <w:numId w:val="915"/>
        </w:numPr>
        <w:spacing w:after="266" w:line="250" w:lineRule="auto"/>
        <w:ind w:right="3" w:hanging="360"/>
        <w:rPr>
          <w:rFonts w:cstheme="minorHAnsi"/>
          <w:noProof/>
          <w:color w:val="000000" w:themeColor="text1"/>
        </w:rPr>
      </w:pPr>
      <w:r>
        <w:rPr>
          <w:noProof/>
          <w:color w:val="000000" w:themeColor="text1"/>
        </w:rPr>
        <w:t>Šī iedaļa neietekmē to, kā Savie</w:t>
      </w:r>
      <w:r>
        <w:rPr>
          <w:noProof/>
          <w:color w:val="000000" w:themeColor="text1"/>
        </w:rPr>
        <w:t xml:space="preserve">nības teritorijā Savienības kravu autopārvadātājiem piemēro ES noteikumus par reģistrācijas kontrolierīcēm autotransportā. </w:t>
      </w:r>
    </w:p>
    <w:p w:rsidR="003E022D" w:rsidRDefault="007D19D6">
      <w:pPr>
        <w:pStyle w:val="Article"/>
        <w:rPr>
          <w:rFonts w:cstheme="minorHAnsi"/>
          <w:noProof/>
        </w:rPr>
      </w:pPr>
      <w:r>
        <w:rPr>
          <w:noProof/>
        </w:rPr>
        <w:t xml:space="preserve">4. pants. Datu aizsardzība </w:t>
      </w:r>
    </w:p>
    <w:p w:rsidR="003E022D" w:rsidRDefault="007D19D6">
      <w:pPr>
        <w:numPr>
          <w:ilvl w:val="0"/>
          <w:numId w:val="918"/>
        </w:numPr>
        <w:spacing w:after="268" w:line="250" w:lineRule="auto"/>
        <w:ind w:right="3" w:hanging="360"/>
        <w:rPr>
          <w:rFonts w:cstheme="minorHAnsi"/>
          <w:noProof/>
        </w:rPr>
      </w:pPr>
      <w:r>
        <w:rPr>
          <w:noProof/>
        </w:rPr>
        <w:t>Katra Puse nodrošina, ka personas datu apstrādi saistībā ar šo iedaļu veic vienīgi nolūkā pārbaudīt atbi</w:t>
      </w:r>
      <w:r>
        <w:rPr>
          <w:noProof/>
        </w:rPr>
        <w:t xml:space="preserve">lstību šai iedaļai.  </w:t>
      </w:r>
    </w:p>
    <w:p w:rsidR="003E022D" w:rsidRDefault="007D19D6">
      <w:pPr>
        <w:numPr>
          <w:ilvl w:val="0"/>
          <w:numId w:val="918"/>
        </w:numPr>
        <w:spacing w:after="268" w:line="250" w:lineRule="auto"/>
        <w:ind w:right="3" w:hanging="360"/>
        <w:rPr>
          <w:rFonts w:cstheme="minorHAnsi"/>
          <w:noProof/>
        </w:rPr>
      </w:pPr>
      <w:r>
        <w:rPr>
          <w:noProof/>
        </w:rPr>
        <w:t xml:space="preserve">Katra Puse jo īpaši nodrošina personas datu aizsardzību pret izmantošanu, kas nav stingri minēta 1. punktā, attiecībā uz: </w:t>
      </w:r>
    </w:p>
    <w:p w:rsidR="003E022D" w:rsidRDefault="007D19D6">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globālās navigācijas satelītu sistēmas (GNSS) izmantošanu, lai reģistrētu atrašanās vietas datus, kā minēts teh</w:t>
      </w:r>
      <w:r>
        <w:rPr>
          <w:noProof/>
          <w:color w:val="000000" w:themeColor="text1"/>
          <w:szCs w:val="24"/>
        </w:rPr>
        <w:t>niskajās specifikācijās viedajam tahogrāfam 1 un viedajam tahogrāfam 2;</w:t>
      </w:r>
    </w:p>
    <w:p w:rsidR="003E022D" w:rsidRDefault="007D19D6">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 xml:space="preserve">elektronisko informācijas apmaiņu par vadītāja kartēm, kā minēts 13. pantā, un jo īpaši šādu datu pārrobežu apmaiņu ar trešām pusēm; un </w:t>
      </w:r>
    </w:p>
    <w:p w:rsidR="003E022D" w:rsidRDefault="007D19D6">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kravu autopārvadātāju reģistrēto datu glabāšanu</w:t>
      </w:r>
      <w:r>
        <w:rPr>
          <w:noProof/>
          <w:color w:val="000000" w:themeColor="text1"/>
          <w:szCs w:val="24"/>
        </w:rPr>
        <w:t xml:space="preserve">, kā minēts 15. pantā.  </w:t>
      </w:r>
    </w:p>
    <w:p w:rsidR="003E022D" w:rsidRDefault="007D19D6">
      <w:pPr>
        <w:numPr>
          <w:ilvl w:val="0"/>
          <w:numId w:val="919"/>
        </w:numPr>
        <w:spacing w:after="268" w:line="250" w:lineRule="auto"/>
        <w:ind w:right="3" w:hanging="360"/>
        <w:rPr>
          <w:rFonts w:cstheme="minorHAnsi"/>
          <w:noProof/>
        </w:rPr>
      </w:pPr>
      <w:r>
        <w:rPr>
          <w:noProof/>
        </w:rPr>
        <w:t xml:space="preserve">Digitālos tahogrāfus izstrādā tā, lai nodrošinātu privātumu. Apstrādā vienīgi tos datus, kas nepieciešami 1. punktā minētajos nolūkos.  </w:t>
      </w:r>
    </w:p>
    <w:p w:rsidR="003E022D" w:rsidRDefault="007D19D6">
      <w:pPr>
        <w:numPr>
          <w:ilvl w:val="0"/>
          <w:numId w:val="919"/>
        </w:numPr>
        <w:spacing w:after="268" w:line="250" w:lineRule="auto"/>
        <w:ind w:right="3" w:hanging="360"/>
        <w:rPr>
          <w:rFonts w:cstheme="minorHAnsi"/>
          <w:noProof/>
        </w:rPr>
      </w:pPr>
      <w:r>
        <w:rPr>
          <w:noProof/>
        </w:rPr>
        <w:t>Transportlīdzekļu īpašnieki, kravu autopārvadātāji un visas citas attiecīgās struktūras ievēro</w:t>
      </w:r>
      <w:r>
        <w:rPr>
          <w:noProof/>
        </w:rPr>
        <w:t xml:space="preserve"> attiecīgos noteikumus par personas datu aizsardzību.  </w:t>
      </w:r>
    </w:p>
    <w:p w:rsidR="003E022D" w:rsidRDefault="007D19D6">
      <w:pPr>
        <w:pStyle w:val="Article"/>
        <w:rPr>
          <w:rFonts w:cstheme="minorHAnsi"/>
          <w:noProof/>
        </w:rPr>
      </w:pPr>
      <w:r>
        <w:rPr>
          <w:noProof/>
        </w:rPr>
        <w:t xml:space="preserve">5. pants. Uzstādīšana un remonts </w:t>
      </w:r>
    </w:p>
    <w:p w:rsidR="003E022D" w:rsidRDefault="007D19D6">
      <w:pPr>
        <w:numPr>
          <w:ilvl w:val="0"/>
          <w:numId w:val="921"/>
        </w:numPr>
        <w:spacing w:after="268" w:line="250" w:lineRule="auto"/>
        <w:ind w:right="3" w:hanging="360"/>
        <w:rPr>
          <w:rFonts w:cstheme="minorHAnsi"/>
          <w:noProof/>
        </w:rPr>
      </w:pPr>
      <w:r>
        <w:rPr>
          <w:noProof/>
        </w:rPr>
        <w:t xml:space="preserve">Tahogrāfus uzstādīt vai remontēt var vienīgi montieri, darbnīcas vai transportlīdzekļu ražotāji, kurus šim nolūkam saskaņā ar 7. pantu ir apstiprinājušas kompetentās </w:t>
      </w:r>
      <w:r>
        <w:rPr>
          <w:noProof/>
        </w:rPr>
        <w:t xml:space="preserve">iestādes Pusē.  </w:t>
      </w:r>
    </w:p>
    <w:p w:rsidR="003E022D" w:rsidRDefault="007D19D6">
      <w:pPr>
        <w:numPr>
          <w:ilvl w:val="0"/>
          <w:numId w:val="921"/>
        </w:numPr>
        <w:spacing w:after="268" w:line="250" w:lineRule="auto"/>
        <w:ind w:right="3" w:hanging="360"/>
        <w:rPr>
          <w:rFonts w:cstheme="minorHAnsi"/>
          <w:noProof/>
        </w:rPr>
      </w:pPr>
      <w:r>
        <w:rPr>
          <w:noProof/>
        </w:rPr>
        <w:t>Apstiprināti montieri, darbnīcas vai transportlīdzekļu ražotāji uzliek tahogrāfam plombu pēc tam, kad ir pārbaudījuši, ka tas darbojas pareizi, un jo īpaši tādā veidā, lai nodrošinātu to, ka nekāda manipulācijas ierīce nevar viltot vai gro</w:t>
      </w:r>
      <w:r>
        <w:rPr>
          <w:noProof/>
        </w:rPr>
        <w:t xml:space="preserve">zīt reģistrētos datus. </w:t>
      </w:r>
    </w:p>
    <w:p w:rsidR="003E022D" w:rsidRDefault="007D19D6">
      <w:pPr>
        <w:numPr>
          <w:ilvl w:val="0"/>
          <w:numId w:val="921"/>
        </w:numPr>
        <w:spacing w:after="268" w:line="250" w:lineRule="auto"/>
        <w:ind w:right="3" w:hanging="360"/>
        <w:rPr>
          <w:rFonts w:cstheme="minorHAnsi"/>
          <w:noProof/>
        </w:rPr>
      </w:pPr>
      <w:r>
        <w:rPr>
          <w:noProof/>
        </w:rPr>
        <w:t>Apstiprinātais montieris, darbnīca vai transportlīdzekļu ražotājs, uzliekot plombas, uz tām izvieto īpašu zīmi un digitālajiem tahogrāfiem, viedajiem tahogrāfiem 1 un viedajiem tahogrāfiem 2 turklāt ievada elektroniskās drošības datus autentifikācijas pārb</w:t>
      </w:r>
      <w:r>
        <w:rPr>
          <w:noProof/>
        </w:rPr>
        <w:t xml:space="preserve">aužu veikšanai. Katra Puse uztur un publicē izmantoto zīmju un elektroniskās drošības datu reģistru un nepieciešamo informāciju saistībā ar izmantotajiem elektroniskās drošības datiem.  </w:t>
      </w:r>
    </w:p>
    <w:p w:rsidR="003E022D" w:rsidRDefault="007D19D6">
      <w:pPr>
        <w:numPr>
          <w:ilvl w:val="0"/>
          <w:numId w:val="921"/>
        </w:numPr>
        <w:spacing w:after="268" w:line="250" w:lineRule="auto"/>
        <w:ind w:right="3" w:hanging="360"/>
        <w:rPr>
          <w:rFonts w:cstheme="minorHAnsi"/>
          <w:noProof/>
        </w:rPr>
      </w:pPr>
      <w:r>
        <w:rPr>
          <w:noProof/>
        </w:rPr>
        <w:t>Lai apliecinātu, ka tahogrāfi uzstādīti saskaņā ar šīs iedaļas prasīb</w:t>
      </w:r>
      <w:r>
        <w:rPr>
          <w:noProof/>
        </w:rPr>
        <w:t xml:space="preserve">ām, piestiprina uzstādīšanas plāksni tādā veidā, lai tā būtu skaidri redzama un viegli pieejama.  </w:t>
      </w:r>
    </w:p>
    <w:p w:rsidR="003E022D" w:rsidRDefault="007D19D6">
      <w:pPr>
        <w:numPr>
          <w:ilvl w:val="0"/>
          <w:numId w:val="921"/>
        </w:numPr>
        <w:spacing w:after="268" w:line="250" w:lineRule="auto"/>
        <w:ind w:right="3" w:hanging="360"/>
        <w:rPr>
          <w:rFonts w:cstheme="minorHAnsi"/>
          <w:noProof/>
        </w:rPr>
      </w:pPr>
      <w:r>
        <w:rPr>
          <w:noProof/>
        </w:rPr>
        <w:t>Tahogrāfa sastāvdaļas plombē. Visus savienojumus ar tahogrāfu, kurus iespējams sabojāt, tostarp savienojumu starp kustību sensoru un pārnesumkārbu, un uzstād</w:t>
      </w:r>
      <w:r>
        <w:rPr>
          <w:noProof/>
        </w:rPr>
        <w:t xml:space="preserve">īšanas plāksni attiecīgos gadījumos plombē. </w:t>
      </w:r>
    </w:p>
    <w:p w:rsidR="003E022D" w:rsidRDefault="007D19D6">
      <w:pPr>
        <w:ind w:left="-5" w:right="3"/>
        <w:rPr>
          <w:rFonts w:cstheme="minorHAnsi"/>
          <w:noProof/>
        </w:rPr>
      </w:pPr>
      <w:r>
        <w:rPr>
          <w:noProof/>
        </w:rPr>
        <w:t xml:space="preserve">Plombu noņem vai nolauž vienīgi: </w:t>
      </w:r>
    </w:p>
    <w:p w:rsidR="003E022D" w:rsidRDefault="007D19D6">
      <w:pPr>
        <w:ind w:left="714" w:right="6" w:hanging="357"/>
        <w:rPr>
          <w:rFonts w:cstheme="minorHAnsi"/>
          <w:noProof/>
        </w:rPr>
      </w:pPr>
      <w:r>
        <w:rPr>
          <w:noProof/>
        </w:rPr>
        <w:t xml:space="preserve">— </w:t>
      </w:r>
      <w:r>
        <w:rPr>
          <w:noProof/>
        </w:rPr>
        <w:tab/>
        <w:t>kompetento iestāžu saskaņā ar 7. pantu apstiprinātie montieri vai darbnīcas, lai veiktu tahogrāfa remontu, apkopi vai kalibrēšanu, vai atbilstīgi apmācīti un vajadzības gadīj</w:t>
      </w:r>
      <w:r>
        <w:rPr>
          <w:noProof/>
        </w:rPr>
        <w:t>umā pilnvaroti kontrolieri, lai veiktu kontroli; vai</w:t>
      </w:r>
    </w:p>
    <w:p w:rsidR="003E022D" w:rsidRDefault="007D19D6">
      <w:pPr>
        <w:spacing w:after="294"/>
        <w:ind w:left="709" w:hanging="349"/>
        <w:rPr>
          <w:rFonts w:cstheme="minorHAnsi"/>
          <w:noProof/>
        </w:rPr>
      </w:pPr>
      <w:r>
        <w:rPr>
          <w:noProof/>
        </w:rPr>
        <w:t xml:space="preserve">— </w:t>
      </w:r>
      <w:r>
        <w:rPr>
          <w:noProof/>
        </w:rPr>
        <w:tab/>
        <w:t xml:space="preserve">lai veiktu transportlīdzekļa remontu vai pārveidojumu, kas skar plombu. Šādos gadījumos transportlīdzeklī glabā rakstveida paziņojumu, kurā minēts datums un laiks, kad plomba tika noņemta, un sniegts </w:t>
      </w:r>
      <w:r>
        <w:rPr>
          <w:noProof/>
        </w:rPr>
        <w:t>paskaidrojums, kāpēc plombu noņēma.</w:t>
      </w:r>
      <w:r>
        <w:rPr>
          <w:noProof/>
          <w:color w:val="000000" w:themeColor="text1"/>
        </w:rPr>
        <w:t xml:space="preserve"> </w:t>
      </w:r>
    </w:p>
    <w:p w:rsidR="003E022D" w:rsidRDefault="007D19D6">
      <w:pPr>
        <w:ind w:left="-5" w:right="3"/>
        <w:rPr>
          <w:rFonts w:cstheme="minorHAnsi"/>
          <w:noProof/>
        </w:rPr>
      </w:pPr>
      <w:r>
        <w:rPr>
          <w:noProof/>
        </w:rPr>
        <w:t>Noņemtās vai nolauztās plombas nekavējoties un, vēlākais, septiņu dienu laikā pēc to noņemšanas vai nolaušanas nomaina apstiprināts montieris vai darbnīca. Ja plombas ir noņemtas vai nolauztas kontroles nolūkos, tās bez</w:t>
      </w:r>
      <w:r>
        <w:rPr>
          <w:noProof/>
        </w:rPr>
        <w:t xml:space="preserve"> nepamatotas kavēšanās var nomainīt kontrolieris, kuram ir plombēšanas ierīces un unikāla īpaša zīme. </w:t>
      </w:r>
    </w:p>
    <w:p w:rsidR="003E022D" w:rsidRDefault="007D19D6">
      <w:pPr>
        <w:ind w:left="-5" w:right="3"/>
        <w:rPr>
          <w:rFonts w:cstheme="minorHAnsi"/>
          <w:noProof/>
        </w:rPr>
      </w:pPr>
      <w:r>
        <w:rPr>
          <w:noProof/>
        </w:rPr>
        <w:t>Kad kontrolieris noņem plombu, tahogrāfā no plombas noņemšanas brīža līdz inspekcijas pabeigšanai tiek ievietota kontroles karte, tostarp arī gadījumā, j</w:t>
      </w:r>
      <w:r>
        <w:rPr>
          <w:noProof/>
        </w:rPr>
        <w:t xml:space="preserve">a tiek uzlikta jauna plomba. Kontrolieris izdod rakstisku paziņojumu, kurā ir vismaz šāda informācija: </w:t>
      </w:r>
    </w:p>
    <w:p w:rsidR="003E022D" w:rsidRDefault="007D19D6">
      <w:pPr>
        <w:numPr>
          <w:ilvl w:val="0"/>
          <w:numId w:val="922"/>
        </w:numPr>
        <w:spacing w:after="268" w:line="250" w:lineRule="auto"/>
        <w:ind w:right="3" w:hanging="360"/>
        <w:rPr>
          <w:rFonts w:cstheme="minorHAnsi"/>
          <w:noProof/>
        </w:rPr>
      </w:pPr>
      <w:r>
        <w:rPr>
          <w:noProof/>
        </w:rPr>
        <w:t xml:space="preserve">transportlīdzekļa identifikācijas numurs; </w:t>
      </w:r>
    </w:p>
    <w:p w:rsidR="003E022D" w:rsidRDefault="007D19D6">
      <w:pPr>
        <w:numPr>
          <w:ilvl w:val="0"/>
          <w:numId w:val="922"/>
        </w:numPr>
        <w:spacing w:after="268" w:line="250" w:lineRule="auto"/>
        <w:ind w:right="3" w:hanging="360"/>
        <w:rPr>
          <w:rFonts w:cstheme="minorHAnsi"/>
          <w:noProof/>
        </w:rPr>
      </w:pPr>
      <w:r>
        <w:rPr>
          <w:noProof/>
        </w:rPr>
        <w:t xml:space="preserve">kontroliera vārds un uzvārds; </w:t>
      </w:r>
    </w:p>
    <w:p w:rsidR="003E022D" w:rsidRDefault="007D19D6">
      <w:pPr>
        <w:numPr>
          <w:ilvl w:val="0"/>
          <w:numId w:val="922"/>
        </w:numPr>
        <w:spacing w:after="268" w:line="250" w:lineRule="auto"/>
        <w:ind w:right="3" w:hanging="360"/>
        <w:rPr>
          <w:rFonts w:cstheme="minorHAnsi"/>
          <w:noProof/>
        </w:rPr>
      </w:pPr>
      <w:r>
        <w:rPr>
          <w:noProof/>
        </w:rPr>
        <w:t xml:space="preserve">kontroles iestāde un valsts; </w:t>
      </w:r>
    </w:p>
    <w:p w:rsidR="003E022D" w:rsidRDefault="007D19D6">
      <w:pPr>
        <w:numPr>
          <w:ilvl w:val="0"/>
          <w:numId w:val="922"/>
        </w:numPr>
        <w:spacing w:after="268" w:line="250" w:lineRule="auto"/>
        <w:ind w:right="3" w:hanging="360"/>
        <w:rPr>
          <w:rFonts w:cstheme="minorHAnsi"/>
          <w:noProof/>
        </w:rPr>
      </w:pPr>
      <w:r>
        <w:rPr>
          <w:noProof/>
        </w:rPr>
        <w:t xml:space="preserve">kontroles kartes numurs;  </w:t>
      </w:r>
    </w:p>
    <w:p w:rsidR="003E022D" w:rsidRDefault="007D19D6">
      <w:pPr>
        <w:numPr>
          <w:ilvl w:val="0"/>
          <w:numId w:val="922"/>
        </w:numPr>
        <w:spacing w:after="268" w:line="250" w:lineRule="auto"/>
        <w:ind w:right="3" w:hanging="360"/>
        <w:rPr>
          <w:rFonts w:cstheme="minorHAnsi"/>
          <w:noProof/>
        </w:rPr>
      </w:pPr>
      <w:r>
        <w:rPr>
          <w:noProof/>
        </w:rPr>
        <w:t xml:space="preserve">noņemtās plombas numurs; </w:t>
      </w:r>
    </w:p>
    <w:p w:rsidR="003E022D" w:rsidRDefault="007D19D6">
      <w:pPr>
        <w:numPr>
          <w:ilvl w:val="0"/>
          <w:numId w:val="922"/>
        </w:numPr>
        <w:spacing w:after="268" w:line="250" w:lineRule="auto"/>
        <w:ind w:right="3" w:hanging="360"/>
        <w:rPr>
          <w:rFonts w:cstheme="minorHAnsi"/>
          <w:noProof/>
        </w:rPr>
      </w:pPr>
      <w:r>
        <w:rPr>
          <w:noProof/>
        </w:rPr>
        <w:t>plombas noņemšanas datums un laiks; un</w:t>
      </w:r>
    </w:p>
    <w:p w:rsidR="003E022D" w:rsidRDefault="007D19D6">
      <w:pPr>
        <w:numPr>
          <w:ilvl w:val="0"/>
          <w:numId w:val="922"/>
        </w:numPr>
        <w:spacing w:after="268" w:line="250" w:lineRule="auto"/>
        <w:ind w:right="3" w:hanging="360"/>
        <w:rPr>
          <w:rFonts w:cstheme="minorHAnsi"/>
          <w:noProof/>
        </w:rPr>
      </w:pPr>
      <w:r>
        <w:rPr>
          <w:noProof/>
        </w:rPr>
        <w:t xml:space="preserve">ja kontrolieris uzlicis jaunu plombu, – jaunās plombas numurs. </w:t>
      </w:r>
    </w:p>
    <w:p w:rsidR="003E022D" w:rsidRDefault="007D19D6">
      <w:pPr>
        <w:ind w:left="-5" w:right="3"/>
        <w:rPr>
          <w:rFonts w:cstheme="minorHAnsi"/>
          <w:noProof/>
        </w:rPr>
      </w:pPr>
      <w:r>
        <w:rPr>
          <w:noProof/>
        </w:rPr>
        <w:t>Pirms plombu nomaiņas apstiprināta darbnīca veic tahogrāfa pārbaudi un kalibrāciju, izņemot gadījumus, kad plomba ir noņemta va</w:t>
      </w:r>
      <w:r>
        <w:rPr>
          <w:noProof/>
        </w:rPr>
        <w:t xml:space="preserve">i nolauzta kontroles nolūkos un kad tās vietā kontrolieris ir uzlicis jaunu plombu. </w:t>
      </w:r>
    </w:p>
    <w:p w:rsidR="003E022D" w:rsidRDefault="007D19D6">
      <w:pPr>
        <w:pStyle w:val="Article"/>
        <w:rPr>
          <w:rFonts w:cstheme="minorHAnsi"/>
          <w:noProof/>
        </w:rPr>
      </w:pPr>
      <w:r>
        <w:rPr>
          <w:noProof/>
        </w:rPr>
        <w:t xml:space="preserve">6. pants. Tahogrāfu inspekcijas </w:t>
      </w:r>
    </w:p>
    <w:p w:rsidR="003E022D" w:rsidRDefault="007D19D6">
      <w:pPr>
        <w:numPr>
          <w:ilvl w:val="0"/>
          <w:numId w:val="923"/>
        </w:numPr>
        <w:spacing w:after="268" w:line="250" w:lineRule="auto"/>
        <w:ind w:right="3" w:hanging="360"/>
        <w:rPr>
          <w:rFonts w:cstheme="minorHAnsi"/>
          <w:noProof/>
        </w:rPr>
      </w:pPr>
      <w:r>
        <w:rPr>
          <w:noProof/>
        </w:rPr>
        <w:t xml:space="preserve">Tahogrāfu inspekciju regulāri veic apstiprinātas darbnīcas. Regulāras inspekcijas veic vismaz reizi divos gados.  </w:t>
      </w:r>
    </w:p>
    <w:p w:rsidR="003E022D" w:rsidRDefault="007D19D6">
      <w:pPr>
        <w:numPr>
          <w:ilvl w:val="0"/>
          <w:numId w:val="923"/>
        </w:numPr>
        <w:spacing w:after="268" w:line="250" w:lineRule="auto"/>
        <w:ind w:right="3" w:hanging="360"/>
        <w:rPr>
          <w:rFonts w:cstheme="minorHAnsi"/>
          <w:noProof/>
        </w:rPr>
      </w:pPr>
      <w:r>
        <w:rPr>
          <w:noProof/>
        </w:rPr>
        <w:t xml:space="preserve">Šā panta 1. punktā minēto inspekciju laikā pārbauda vismaz: </w:t>
      </w:r>
    </w:p>
    <w:p w:rsidR="003E022D" w:rsidRDefault="007D19D6">
      <w:pPr>
        <w:tabs>
          <w:tab w:val="center" w:pos="3897"/>
        </w:tabs>
        <w:ind w:left="-15"/>
        <w:rPr>
          <w:rFonts w:cstheme="minorHAnsi"/>
          <w:noProof/>
        </w:rPr>
      </w:pPr>
      <w:r>
        <w:rPr>
          <w:noProof/>
        </w:rPr>
        <w:t xml:space="preserve">— </w:t>
      </w:r>
      <w:r>
        <w:rPr>
          <w:noProof/>
        </w:rPr>
        <w:tab/>
        <w:t xml:space="preserve">vai tahogrāfs ir pareizi piestiprināts un vai tas ir transportlīdzeklim piemērots; </w:t>
      </w:r>
    </w:p>
    <w:p w:rsidR="003E022D" w:rsidRDefault="007D19D6">
      <w:pPr>
        <w:tabs>
          <w:tab w:val="center" w:pos="2462"/>
        </w:tabs>
        <w:ind w:left="-15"/>
        <w:rPr>
          <w:rFonts w:cstheme="minorHAnsi"/>
          <w:noProof/>
        </w:rPr>
      </w:pPr>
      <w:r>
        <w:rPr>
          <w:noProof/>
        </w:rPr>
        <w:t xml:space="preserve">— </w:t>
      </w:r>
      <w:r>
        <w:rPr>
          <w:noProof/>
        </w:rPr>
        <w:tab/>
        <w:t xml:space="preserve">vai tahogrāfs darbojas pareizi; </w:t>
      </w:r>
    </w:p>
    <w:p w:rsidR="003E022D" w:rsidRDefault="007D19D6">
      <w:pPr>
        <w:tabs>
          <w:tab w:val="center" w:pos="3028"/>
        </w:tabs>
        <w:ind w:left="-15"/>
        <w:rPr>
          <w:rFonts w:cstheme="minorHAnsi"/>
          <w:noProof/>
        </w:rPr>
      </w:pPr>
      <w:r>
        <w:rPr>
          <w:noProof/>
        </w:rPr>
        <w:t xml:space="preserve">— </w:t>
      </w:r>
      <w:r>
        <w:rPr>
          <w:noProof/>
        </w:rPr>
        <w:tab/>
        <w:t xml:space="preserve">vai uz tahogrāfa ir tipa apstiprinājuma zīme; </w:t>
      </w:r>
    </w:p>
    <w:p w:rsidR="003E022D" w:rsidRDefault="007D19D6">
      <w:pPr>
        <w:tabs>
          <w:tab w:val="center" w:pos="2306"/>
        </w:tabs>
        <w:ind w:left="-15"/>
        <w:rPr>
          <w:rFonts w:cstheme="minorHAnsi"/>
          <w:noProof/>
        </w:rPr>
      </w:pPr>
      <w:r>
        <w:rPr>
          <w:noProof/>
        </w:rPr>
        <w:t xml:space="preserve">— </w:t>
      </w:r>
      <w:r>
        <w:rPr>
          <w:noProof/>
        </w:rPr>
        <w:tab/>
        <w:t>vai ir piestiprināt</w:t>
      </w:r>
      <w:r>
        <w:rPr>
          <w:noProof/>
        </w:rPr>
        <w:t xml:space="preserve">a uzstādīšanas plāksne; </w:t>
      </w:r>
    </w:p>
    <w:p w:rsidR="003E022D" w:rsidRDefault="007D19D6">
      <w:pPr>
        <w:tabs>
          <w:tab w:val="center" w:pos="2286"/>
        </w:tabs>
        <w:ind w:left="-15"/>
        <w:rPr>
          <w:rFonts w:cstheme="minorHAnsi"/>
          <w:noProof/>
        </w:rPr>
      </w:pPr>
      <w:r>
        <w:rPr>
          <w:noProof/>
        </w:rPr>
        <w:t xml:space="preserve">— </w:t>
      </w:r>
      <w:r>
        <w:rPr>
          <w:noProof/>
        </w:rPr>
        <w:tab/>
        <w:t xml:space="preserve">vai visas plombas ir nebojātas un derīgas; </w:t>
      </w:r>
    </w:p>
    <w:p w:rsidR="003E022D" w:rsidRDefault="007D19D6">
      <w:pPr>
        <w:ind w:left="-5" w:right="3"/>
        <w:rPr>
          <w:rFonts w:cstheme="minorHAnsi"/>
          <w:noProof/>
        </w:rPr>
      </w:pPr>
      <w:r>
        <w:rPr>
          <w:noProof/>
        </w:rPr>
        <w:t xml:space="preserve">— </w:t>
      </w:r>
      <w:r>
        <w:rPr>
          <w:noProof/>
        </w:rPr>
        <w:tab/>
        <w:t>vai tahogrāfam nav pievienotas ierīces manipulāciju veikšanai ar tahogrāfu un vai nav redzamas šādu ierīču izmantošanas pēdas; un</w:t>
      </w:r>
    </w:p>
    <w:p w:rsidR="003E022D" w:rsidRDefault="007D19D6">
      <w:pPr>
        <w:tabs>
          <w:tab w:val="center" w:pos="3383"/>
        </w:tabs>
        <w:ind w:left="-15"/>
        <w:rPr>
          <w:rFonts w:cstheme="minorHAnsi"/>
          <w:noProof/>
        </w:rPr>
      </w:pPr>
      <w:r>
        <w:rPr>
          <w:noProof/>
        </w:rPr>
        <w:t xml:space="preserve">— </w:t>
      </w:r>
      <w:r>
        <w:rPr>
          <w:noProof/>
        </w:rPr>
        <w:tab/>
        <w:t xml:space="preserve">riepu izmēru un riepu faktisko apkārtmēru. </w:t>
      </w:r>
    </w:p>
    <w:p w:rsidR="003E022D" w:rsidRDefault="007D19D6">
      <w:pPr>
        <w:numPr>
          <w:ilvl w:val="0"/>
          <w:numId w:val="923"/>
        </w:numPr>
        <w:spacing w:after="268" w:line="250" w:lineRule="auto"/>
        <w:ind w:right="3" w:hanging="360"/>
        <w:rPr>
          <w:rFonts w:cstheme="minorHAnsi"/>
          <w:noProof/>
        </w:rPr>
      </w:pPr>
      <w:r>
        <w:rPr>
          <w:noProof/>
        </w:rPr>
        <w:t>Darb</w:t>
      </w:r>
      <w:r>
        <w:rPr>
          <w:noProof/>
        </w:rPr>
        <w:t>nīcas sagatavo inspekcijas ziņojumu gadījumos, ja regulāras inspekcijas vai inspekcijas, ko veic pēc valsts kompetentās iestādes īpaša pieprasījuma, rezultātā bija jānovērš pārkāpumi tahogrāfu darbībā. Tās uztur visu sagatavoto inspekcijas ziņojumu sarakst</w:t>
      </w:r>
      <w:r>
        <w:rPr>
          <w:noProof/>
        </w:rPr>
        <w:t xml:space="preserve">u. </w:t>
      </w:r>
    </w:p>
    <w:p w:rsidR="003E022D" w:rsidRDefault="007D19D6">
      <w:pPr>
        <w:numPr>
          <w:ilvl w:val="0"/>
          <w:numId w:val="923"/>
        </w:numPr>
        <w:spacing w:after="268" w:line="250" w:lineRule="auto"/>
        <w:ind w:right="3" w:hanging="360"/>
        <w:rPr>
          <w:rFonts w:cstheme="minorHAnsi"/>
          <w:noProof/>
        </w:rPr>
      </w:pPr>
      <w:r>
        <w:rPr>
          <w:noProof/>
        </w:rPr>
        <w:t xml:space="preserve">Inspekcijas ziņojumus glabā vismaz divus gadus kopš brīža, kad tie sagatavoti. Katra Puse nolemj, vai inspekcijas ziņojumi šajā laikposmā jāglabā vai jānosūta kompetentajai iestādei. Gadījumos, kad inspekcijas ziņojumus glabā darbnīca, pēc kompetentās </w:t>
      </w:r>
      <w:r>
        <w:rPr>
          <w:noProof/>
        </w:rPr>
        <w:t xml:space="preserve">iestādes pieprasījuma darbnīca dara pieejamus šajā laikposmā veikto inspekciju un kalibrēšanu ziņojumus. </w:t>
      </w:r>
    </w:p>
    <w:p w:rsidR="003E022D" w:rsidRDefault="007D19D6">
      <w:pPr>
        <w:pStyle w:val="Article"/>
        <w:rPr>
          <w:rFonts w:cstheme="minorHAnsi"/>
          <w:noProof/>
        </w:rPr>
      </w:pPr>
      <w:r>
        <w:rPr>
          <w:noProof/>
        </w:rPr>
        <w:t xml:space="preserve">7. pants. Montieru, darbnīcu un transportlīdzekļu ražotāju apstiprināšana </w:t>
      </w:r>
    </w:p>
    <w:p w:rsidR="003E022D" w:rsidRDefault="007D19D6">
      <w:pPr>
        <w:numPr>
          <w:ilvl w:val="0"/>
          <w:numId w:val="924"/>
        </w:numPr>
        <w:spacing w:after="268" w:line="250" w:lineRule="auto"/>
        <w:ind w:right="3" w:hanging="360"/>
        <w:rPr>
          <w:rFonts w:cstheme="minorHAnsi"/>
          <w:noProof/>
          <w:color w:val="000000" w:themeColor="text1"/>
        </w:rPr>
      </w:pPr>
      <w:r>
        <w:rPr>
          <w:noProof/>
        </w:rPr>
        <w:t>Katra Puse vai – Savienības gadījumā – katra dalībvalsts apstiprina, regulā</w:t>
      </w:r>
      <w:r>
        <w:rPr>
          <w:noProof/>
        </w:rPr>
        <w:t>ri kontrolē un sertificē montierus, darbnīcas un transportlīdzekļu ražotājus, kas var veikt tahogrāfu uzstādīšanu, pārbaudes, inspekcijas un remontu.</w:t>
      </w:r>
      <w:r>
        <w:rPr>
          <w:noProof/>
          <w:color w:val="000000" w:themeColor="text1"/>
        </w:rPr>
        <w:t xml:space="preserve"> </w:t>
      </w:r>
    </w:p>
    <w:p w:rsidR="003E022D" w:rsidRDefault="007D19D6">
      <w:pPr>
        <w:numPr>
          <w:ilvl w:val="0"/>
          <w:numId w:val="924"/>
        </w:numPr>
        <w:spacing w:after="268" w:line="250" w:lineRule="auto"/>
        <w:ind w:right="3" w:hanging="360"/>
        <w:rPr>
          <w:rFonts w:cstheme="minorHAnsi"/>
          <w:noProof/>
        </w:rPr>
      </w:pPr>
      <w:r>
        <w:rPr>
          <w:noProof/>
          <w:color w:val="000000" w:themeColor="text1"/>
        </w:rPr>
        <w:t>Katra Puse vai – Savienības gadījumā – katra dalībvalsts nodrošina, lai montieri, darbnīcas un transportl</w:t>
      </w:r>
      <w:r>
        <w:rPr>
          <w:noProof/>
          <w:color w:val="000000" w:themeColor="text1"/>
        </w:rPr>
        <w:t xml:space="preserve">īdzekļu ražotāji būtu kompetenti un uzticami. </w:t>
      </w:r>
      <w:r>
        <w:rPr>
          <w:noProof/>
        </w:rPr>
        <w:t xml:space="preserve">Šim nolūkam tās izveido un publicē skaidru valsts procedūru kopumu un nodrošina, lai būtu izpildīti šādi minimālie kritēriji: </w:t>
      </w:r>
    </w:p>
    <w:p w:rsidR="003E022D" w:rsidRDefault="007D19D6">
      <w:pPr>
        <w:numPr>
          <w:ilvl w:val="0"/>
          <w:numId w:val="925"/>
        </w:numPr>
        <w:spacing w:after="268" w:line="250" w:lineRule="auto"/>
        <w:ind w:right="3" w:hanging="360"/>
        <w:rPr>
          <w:rFonts w:cstheme="minorHAnsi"/>
          <w:noProof/>
        </w:rPr>
      </w:pPr>
      <w:r>
        <w:rPr>
          <w:noProof/>
        </w:rPr>
        <w:t xml:space="preserve">personāls ir pienācīgi apmācīts; </w:t>
      </w:r>
    </w:p>
    <w:p w:rsidR="003E022D" w:rsidRDefault="007D19D6">
      <w:pPr>
        <w:numPr>
          <w:ilvl w:val="0"/>
          <w:numId w:val="925"/>
        </w:numPr>
        <w:spacing w:after="268" w:line="250" w:lineRule="auto"/>
        <w:ind w:right="3" w:hanging="360"/>
        <w:rPr>
          <w:rFonts w:cstheme="minorHAnsi"/>
          <w:noProof/>
        </w:rPr>
      </w:pPr>
      <w:r>
        <w:rPr>
          <w:noProof/>
        </w:rPr>
        <w:t xml:space="preserve">ir pieejams aprīkojums, kas nepieciešams </w:t>
      </w:r>
      <w:r>
        <w:rPr>
          <w:noProof/>
        </w:rPr>
        <w:t>attiecīgo testu un uzdevumu veikšanai; un</w:t>
      </w:r>
    </w:p>
    <w:p w:rsidR="003E022D" w:rsidRDefault="007D19D6">
      <w:pPr>
        <w:numPr>
          <w:ilvl w:val="0"/>
          <w:numId w:val="925"/>
        </w:numPr>
        <w:spacing w:after="268" w:line="250" w:lineRule="auto"/>
        <w:ind w:right="3" w:hanging="360"/>
        <w:rPr>
          <w:rFonts w:cstheme="minorHAnsi"/>
          <w:noProof/>
        </w:rPr>
      </w:pPr>
      <w:r>
        <w:rPr>
          <w:noProof/>
        </w:rPr>
        <w:t xml:space="preserve">montieriem, darbnīcām un transportlīdzekļu ražotājiem ir laba reputācija. </w:t>
      </w:r>
    </w:p>
    <w:p w:rsidR="003E022D" w:rsidRDefault="007D19D6">
      <w:pPr>
        <w:ind w:left="-5" w:right="3"/>
        <w:rPr>
          <w:rFonts w:cstheme="minorHAnsi"/>
          <w:noProof/>
        </w:rPr>
      </w:pPr>
      <w:r>
        <w:rPr>
          <w:noProof/>
        </w:rPr>
        <w:t>3.</w:t>
      </w:r>
      <w:r>
        <w:rPr>
          <w:noProof/>
        </w:rPr>
        <w:tab/>
        <w:t xml:space="preserve">Apstiprināto montieru un darbnīcu revīzijas veic šādi: </w:t>
      </w:r>
    </w:p>
    <w:p w:rsidR="003E022D" w:rsidRDefault="007D19D6">
      <w:pPr>
        <w:numPr>
          <w:ilvl w:val="0"/>
          <w:numId w:val="926"/>
        </w:numPr>
        <w:spacing w:after="268" w:line="250" w:lineRule="auto"/>
        <w:ind w:right="3" w:hanging="360"/>
        <w:rPr>
          <w:rFonts w:cstheme="minorHAnsi"/>
          <w:noProof/>
        </w:rPr>
      </w:pPr>
      <w:r>
        <w:rPr>
          <w:noProof/>
        </w:rPr>
        <w:t>apstiprinātajiem montieriem vai darbnīcām vismaz reizi divos gados tiek veikta r</w:t>
      </w:r>
      <w:r>
        <w:rPr>
          <w:noProof/>
        </w:rPr>
        <w:t>evīzija procedūrām, kuras tie piemēro, rīkojoties ar tahogrāfiem. Revīzija īpaši koncentrējas uz īstenotajiem drošības pasākumiem un to, kā notiek darbs ar darbnīcas kartēm. Puses vai – Savienības gadījumā – dalībvalstis šīs revīzijas var veikt, neīstenojo</w:t>
      </w:r>
      <w:r>
        <w:rPr>
          <w:noProof/>
        </w:rPr>
        <w:t>t apmeklējumu uz vietas; un</w:t>
      </w:r>
    </w:p>
    <w:p w:rsidR="003E022D" w:rsidRDefault="007D19D6">
      <w:pPr>
        <w:numPr>
          <w:ilvl w:val="0"/>
          <w:numId w:val="926"/>
        </w:numPr>
        <w:spacing w:after="268" w:line="250" w:lineRule="auto"/>
        <w:ind w:right="3" w:hanging="360"/>
        <w:rPr>
          <w:rFonts w:cstheme="minorHAnsi"/>
          <w:noProof/>
        </w:rPr>
      </w:pPr>
      <w:r>
        <w:rPr>
          <w:noProof/>
        </w:rPr>
        <w:t>notiek arī nepaziņotas apstiprināto montieru vai darbnīcu tehniskās revīzijas, lai pārbaudītu veiktās kalibrēšanas, inspekcijas un uzstādīšanas darbības. Minētās revīzijas veic vismaz 10 % apstiprināto montieru un darbnīcu gadā.</w:t>
      </w:r>
      <w:r>
        <w:rPr>
          <w:noProof/>
        </w:rPr>
        <w:t xml:space="preserve"> </w:t>
      </w:r>
    </w:p>
    <w:p w:rsidR="003E022D" w:rsidRDefault="007D19D6">
      <w:pPr>
        <w:numPr>
          <w:ilvl w:val="0"/>
          <w:numId w:val="927"/>
        </w:numPr>
        <w:spacing w:after="268" w:line="250" w:lineRule="auto"/>
        <w:ind w:right="3" w:hanging="360"/>
        <w:rPr>
          <w:rFonts w:cstheme="minorHAnsi"/>
          <w:noProof/>
        </w:rPr>
      </w:pPr>
      <w:r>
        <w:rPr>
          <w:noProof/>
        </w:rPr>
        <w:t xml:space="preserve">Katra Puse un tās kompetentās iestādes veic atbilstīgus pasākumus, lai novērstu interešu konfliktus starp montieriem vai darbnīcām un kravu autopārvadātājiem. Jo īpaši, ja pastāv nopietns interešu konflikta risks, tiek veikti īpaši papildu pasākumi, lai </w:t>
      </w:r>
      <w:r>
        <w:rPr>
          <w:noProof/>
        </w:rPr>
        <w:t xml:space="preserve">nodrošinātu, ka montieris vai darbnīca atbilst šīs iedaļas noteikumiem. </w:t>
      </w:r>
    </w:p>
    <w:p w:rsidR="003E022D" w:rsidRDefault="007D19D6">
      <w:pPr>
        <w:numPr>
          <w:ilvl w:val="0"/>
          <w:numId w:val="927"/>
        </w:numPr>
        <w:spacing w:after="268" w:line="250" w:lineRule="auto"/>
        <w:ind w:right="3" w:hanging="360"/>
        <w:rPr>
          <w:rFonts w:cstheme="minorHAnsi"/>
          <w:noProof/>
        </w:rPr>
      </w:pPr>
      <w:r>
        <w:rPr>
          <w:noProof/>
        </w:rPr>
        <w:t xml:space="preserve">Kompetentās iestādes katrā Pusē uz laiku vai pastāvīgi anulē apstiprinājumus montieriem, darbnīcām un transportlīdzekļu ražotājiem, kas nepilda savas saistības saskaņā ar šo iedaļu. </w:t>
      </w:r>
    </w:p>
    <w:p w:rsidR="003E022D" w:rsidRDefault="007D19D6">
      <w:pPr>
        <w:pStyle w:val="Article"/>
        <w:rPr>
          <w:rFonts w:cstheme="minorHAnsi"/>
          <w:noProof/>
        </w:rPr>
      </w:pPr>
      <w:r>
        <w:rPr>
          <w:noProof/>
        </w:rPr>
        <w:t xml:space="preserve">8. pants. Darbnīcas kartes </w:t>
      </w:r>
    </w:p>
    <w:p w:rsidR="003E022D" w:rsidRDefault="007D19D6">
      <w:pPr>
        <w:numPr>
          <w:ilvl w:val="0"/>
          <w:numId w:val="928"/>
        </w:numPr>
        <w:spacing w:after="268" w:line="250" w:lineRule="auto"/>
        <w:ind w:right="3" w:hanging="720"/>
        <w:rPr>
          <w:rFonts w:cstheme="minorHAnsi"/>
          <w:noProof/>
        </w:rPr>
      </w:pPr>
      <w:r>
        <w:rPr>
          <w:noProof/>
        </w:rPr>
        <w:t xml:space="preserve">Darbnīcas karšu derīguma termiņš nepārsniedz vienu gadu. Atjaunojot darbnīcas karti, kompetentā iestāde nodrošina, lai montieris, darbnīca vai transportlīdzekļu ražotājs atbilstu 7. panta 2. punkta kritērijiem. </w:t>
      </w:r>
    </w:p>
    <w:p w:rsidR="003E022D" w:rsidRDefault="007D19D6">
      <w:pPr>
        <w:numPr>
          <w:ilvl w:val="0"/>
          <w:numId w:val="928"/>
        </w:numPr>
        <w:spacing w:after="268" w:line="250" w:lineRule="auto"/>
        <w:ind w:right="3" w:hanging="720"/>
        <w:rPr>
          <w:rFonts w:cstheme="minorHAnsi"/>
          <w:noProof/>
        </w:rPr>
      </w:pPr>
      <w:r>
        <w:rPr>
          <w:noProof/>
        </w:rPr>
        <w:t>Kompetentā iestā</w:t>
      </w:r>
      <w:r>
        <w:rPr>
          <w:noProof/>
        </w:rPr>
        <w:t>de darbnīcas karti atjauno 15 darba dienās pēc derīga atjaunošanas pieprasījuma un visu vajadzīgo dokumentu saņemšanas. Ja darbnīcas karte ir bojāta, nedarbojas pareizi, ir pazaudēta vai nozagta, kompetentā iestāde aizstāj karti piecu darba dienu laikā pēc</w:t>
      </w:r>
      <w:r>
        <w:rPr>
          <w:noProof/>
        </w:rPr>
        <w:t xml:space="preserve"> detalizēta pieprasījuma saņemšanas. Kompetentās iestādes uztur pazaudēto, nozagto un bojāto karšu reģistru. </w:t>
      </w:r>
    </w:p>
    <w:p w:rsidR="003E022D" w:rsidRDefault="007D19D6">
      <w:pPr>
        <w:numPr>
          <w:ilvl w:val="0"/>
          <w:numId w:val="928"/>
        </w:numPr>
        <w:spacing w:after="268" w:line="250" w:lineRule="auto"/>
        <w:ind w:right="3" w:hanging="720"/>
        <w:rPr>
          <w:rFonts w:cstheme="minorHAnsi"/>
          <w:noProof/>
        </w:rPr>
      </w:pPr>
      <w:r>
        <w:rPr>
          <w:noProof/>
        </w:rPr>
        <w:t>Ja Puse vai – Savienības gadījumā – dalībvalsts anulē montiera, darbnīcas vai transportlīdzekļu ražotāja apstiprinājumu, kā paredzēts 7. pantā, tā</w:t>
      </w:r>
      <w:r>
        <w:rPr>
          <w:noProof/>
        </w:rPr>
        <w:t xml:space="preserve"> anulē arī tiem izdotās darbnīcas kartes. </w:t>
      </w:r>
    </w:p>
    <w:p w:rsidR="003E022D" w:rsidRDefault="007D19D6">
      <w:pPr>
        <w:numPr>
          <w:ilvl w:val="0"/>
          <w:numId w:val="928"/>
        </w:numPr>
        <w:spacing w:after="268" w:line="250" w:lineRule="auto"/>
        <w:ind w:right="3" w:hanging="720"/>
        <w:rPr>
          <w:rFonts w:cstheme="minorHAnsi"/>
          <w:noProof/>
        </w:rPr>
      </w:pPr>
      <w:r>
        <w:rPr>
          <w:noProof/>
        </w:rPr>
        <w:t xml:space="preserve">Katra Puse veic visus vajadzīgos pasākumus, lai novērstu apstiprinātajiem montieriem, darbnīcām un transportlīdzekļu ražotājiem izdoto karšu viltošanu. </w:t>
      </w:r>
    </w:p>
    <w:p w:rsidR="003E022D" w:rsidRDefault="007D19D6">
      <w:pPr>
        <w:pStyle w:val="Article"/>
        <w:rPr>
          <w:rFonts w:cstheme="minorHAnsi"/>
          <w:noProof/>
        </w:rPr>
      </w:pPr>
      <w:r>
        <w:rPr>
          <w:noProof/>
        </w:rPr>
        <w:t xml:space="preserve">9. pants. Vadītāja karšu izdošana </w:t>
      </w:r>
    </w:p>
    <w:p w:rsidR="003E022D" w:rsidRDefault="007D19D6">
      <w:pPr>
        <w:spacing w:after="268" w:line="250" w:lineRule="auto"/>
        <w:ind w:right="3"/>
        <w:rPr>
          <w:rFonts w:cstheme="minorHAnsi"/>
          <w:noProof/>
        </w:rPr>
      </w:pPr>
      <w:r>
        <w:rPr>
          <w:noProof/>
        </w:rPr>
        <w:t>1.</w:t>
      </w:r>
      <w:r>
        <w:rPr>
          <w:noProof/>
        </w:rPr>
        <w:tab/>
        <w:t xml:space="preserve">Pēc transportlīdzekļa </w:t>
      </w:r>
      <w:r>
        <w:rPr>
          <w:noProof/>
        </w:rPr>
        <w:t>vadītāja pieprasījuma vadītāja karti izdod kompetentā iestāde Pusē, kurā ir transportlīdzekļa vadītāja parastā dzīvesvieta. Ja kompetentās iestādes Pusē, kas izdod vadītāja karti, apšauba paziņojuma par parasto dzīvesvietu derīgumu vai arī lai veiktu kādas</w:t>
      </w:r>
      <w:r>
        <w:rPr>
          <w:noProof/>
        </w:rPr>
        <w:t xml:space="preserve"> īpašas pārbaudes, tās transportlīdzekļa vadītājam var pieprasīt iesniegt jebkādu papildu informāciju vai pierādījumus. </w:t>
      </w:r>
    </w:p>
    <w:p w:rsidR="003E022D" w:rsidRDefault="007D19D6">
      <w:pPr>
        <w:ind w:left="-5" w:right="3"/>
        <w:rPr>
          <w:rFonts w:cstheme="minorHAnsi"/>
          <w:noProof/>
        </w:rPr>
      </w:pPr>
      <w:r>
        <w:rPr>
          <w:noProof/>
        </w:rPr>
        <w:t>Šajā pantā “parastā dzīvesvieta” ir vieta, kurā persona parasti dzīvo, t. i., katrā kalendāra gadā vismaz 185 dienas, personisku vai pr</w:t>
      </w:r>
      <w:r>
        <w:rPr>
          <w:noProof/>
        </w:rPr>
        <w:t xml:space="preserve">ofesionālu saistību dēļ vai, ja personai nav profesionālo saistību, ciešas personiskas saiknes dēļ starp minēto personu un vietu, kur tā dzīvo. </w:t>
      </w:r>
    </w:p>
    <w:p w:rsidR="003E022D" w:rsidRDefault="007D19D6">
      <w:pPr>
        <w:ind w:left="-5" w:right="3"/>
        <w:rPr>
          <w:rFonts w:cstheme="minorHAnsi"/>
          <w:noProof/>
        </w:rPr>
      </w:pPr>
      <w:r>
        <w:rPr>
          <w:noProof/>
        </w:rPr>
        <w:t>Tomēr personai, kuras profesionālās saistības un privātās saiknes ir atšķirīgās vietās un kurai tādēļ pārmaiņus</w:t>
      </w:r>
      <w:r>
        <w:rPr>
          <w:noProof/>
        </w:rPr>
        <w:t xml:space="preserve"> nākas uzturēties dažādās vietās, kas atrodas abās Pusēs, par parasto dzīvesvietu uzskata to vietu, ar kuru tai ir personiska saikne, ar noteikumu, ka šāda persona tur regulāri atgriežas. Šis pēdējais nosacījums nav jāievēro, ja persona noteiktu laiku dzīv</w:t>
      </w:r>
      <w:r>
        <w:rPr>
          <w:noProof/>
        </w:rPr>
        <w:t xml:space="preserve">o Pusē kāda uzdevuma veikšanai noteiktā termiņā. </w:t>
      </w:r>
    </w:p>
    <w:p w:rsidR="003E022D" w:rsidRDefault="007D19D6">
      <w:pPr>
        <w:spacing w:after="268" w:line="250" w:lineRule="auto"/>
        <w:ind w:right="3"/>
        <w:rPr>
          <w:rFonts w:cstheme="minorHAnsi"/>
          <w:noProof/>
        </w:rPr>
      </w:pPr>
      <w:r>
        <w:rPr>
          <w:noProof/>
        </w:rPr>
        <w:t>2.</w:t>
      </w:r>
      <w:r>
        <w:rPr>
          <w:noProof/>
        </w:rPr>
        <w:tab/>
        <w:t>Pienācīgi pamatotos un izņēmuma gadījumos katra Puse vai – Savienības gadījumā – dalībvalsts var uz laikposmu, kas nepārsniedz 185 dienas, izdot pagaidu vadītāja karti, kuras termiņš nav atjaunojams, tād</w:t>
      </w:r>
      <w:r>
        <w:rPr>
          <w:noProof/>
        </w:rPr>
        <w:t>am transportlīdzekļa vadītājam, kura parastā dzīvesvieta nav Pusē, ar noteikumu, ka šāds transportlīdzekļa vadītājs ir stājies darba tiesiskajās attiecībās ar uzņēmumu, kas veic uzņēmējdarbību izdevējā Pusē, un ciktāl uzrāda transportlīdzekļa vadītāja ates</w:t>
      </w:r>
      <w:r>
        <w:rPr>
          <w:noProof/>
        </w:rPr>
        <w:t xml:space="preserve">tātu, ja tas ir nepieciešams. </w:t>
      </w:r>
    </w:p>
    <w:p w:rsidR="003E022D" w:rsidRDefault="007D19D6">
      <w:pPr>
        <w:spacing w:after="268" w:line="250" w:lineRule="auto"/>
        <w:ind w:right="3"/>
        <w:rPr>
          <w:rFonts w:cstheme="minorHAnsi"/>
          <w:noProof/>
        </w:rPr>
      </w:pPr>
      <w:r>
        <w:rPr>
          <w:noProof/>
        </w:rPr>
        <w:t>3.</w:t>
      </w:r>
      <w:r>
        <w:rPr>
          <w:noProof/>
        </w:rPr>
        <w:tab/>
        <w:t>Izdevējas Puses kompetentās iestādes veic visus atbilstīgos pasākumus, lai nodrošinātu to, ka pieteikuma iesniedzēja rīcībā jau nav derīgas vadītāja kartes, un tās personalizē vadītāja karti, nodrošinot, ka tās dati ir red</w:t>
      </w:r>
      <w:r>
        <w:rPr>
          <w:noProof/>
        </w:rPr>
        <w:t xml:space="preserve">zami un droši. </w:t>
      </w:r>
    </w:p>
    <w:p w:rsidR="003E022D" w:rsidRDefault="007D19D6">
      <w:pPr>
        <w:spacing w:after="268" w:line="250" w:lineRule="auto"/>
        <w:ind w:right="3"/>
        <w:rPr>
          <w:rFonts w:cstheme="minorHAnsi"/>
          <w:noProof/>
        </w:rPr>
      </w:pPr>
      <w:r>
        <w:rPr>
          <w:noProof/>
        </w:rPr>
        <w:t>4.</w:t>
      </w:r>
      <w:r>
        <w:rPr>
          <w:noProof/>
        </w:rPr>
        <w:tab/>
        <w:t xml:space="preserve">Vadītāja kartes derīguma termiņš nepārsniedz piecus gadus. </w:t>
      </w:r>
    </w:p>
    <w:p w:rsidR="003E022D" w:rsidRDefault="007D19D6">
      <w:pPr>
        <w:spacing w:after="268" w:line="250" w:lineRule="auto"/>
        <w:ind w:right="3"/>
        <w:rPr>
          <w:rFonts w:cstheme="minorHAnsi"/>
          <w:noProof/>
          <w:color w:val="000000" w:themeColor="text1"/>
        </w:rPr>
      </w:pPr>
      <w:r>
        <w:rPr>
          <w:noProof/>
        </w:rPr>
        <w:t>5.</w:t>
      </w:r>
      <w:r>
        <w:rPr>
          <w:noProof/>
        </w:rPr>
        <w:tab/>
        <w:t xml:space="preserve">Derīgu vadītāja karti nevar anulēt vai apturēt, izņemot gadījumus, kad Puses kompetentās iestādes atklājušas, ka karte ir viltota, vai arī transportlīdzekļa vadītājs izmanto </w:t>
      </w:r>
      <w:r>
        <w:rPr>
          <w:noProof/>
        </w:rPr>
        <w:t>karti, kura nav tā turējumā, vai arī karte ir iegūta, pamatojoties uz nepatiesiem paziņojumiem un/vai viltotiem dokumentiem. Ja šādus apturēšanas vai anulēšanas pasākumus veic Puse vai – Savienības gadījumā – dalībvalsts, kas nav izdevēja Puse, vai – Savie</w:t>
      </w:r>
      <w:r>
        <w:rPr>
          <w:noProof/>
        </w:rPr>
        <w:t>nības gadījumā – dalībvalsts, kas nav izdevēja dalībvalsts, tā iespējami ātri nosūta karti tās Puses iestādēm vai – Savienības gadījumā – tās dalībvalsts iestādēm, kas to izdeva, norādot apturēšanas vai anulēšanas iemeslus.</w:t>
      </w:r>
      <w:r>
        <w:rPr>
          <w:noProof/>
          <w:color w:val="000000" w:themeColor="text1"/>
        </w:rPr>
        <w:t xml:space="preserve"> Ja gaidāms, ka kartes nosūtīšana</w:t>
      </w:r>
      <w:r>
        <w:rPr>
          <w:noProof/>
          <w:color w:val="000000" w:themeColor="text1"/>
        </w:rPr>
        <w:t>i nepieciešamais laiks būs ilgāks par divām nedēļām, tā Puse, kura aptur vai anulē karti, vai – Savienības gadījumā – tā dalībvalsts, kura aptur vai anulē karti, šo divu nedēļu laikā informē izdevēju Pusi vai  – Savienības gadījumā – izdevēju dalībvalsti p</w:t>
      </w:r>
      <w:r>
        <w:rPr>
          <w:noProof/>
          <w:color w:val="000000" w:themeColor="text1"/>
        </w:rPr>
        <w:t xml:space="preserve">ar kartes anulēšanas vai apturēšanas iemesliem.  </w:t>
      </w:r>
    </w:p>
    <w:p w:rsidR="003E022D" w:rsidRDefault="007D19D6">
      <w:pPr>
        <w:spacing w:after="268" w:line="250" w:lineRule="auto"/>
        <w:ind w:right="3"/>
        <w:rPr>
          <w:rFonts w:cstheme="minorHAnsi"/>
          <w:noProof/>
        </w:rPr>
      </w:pPr>
      <w:r>
        <w:rPr>
          <w:noProof/>
        </w:rPr>
        <w:t>6.</w:t>
      </w:r>
      <w:r>
        <w:rPr>
          <w:noProof/>
        </w:rPr>
        <w:tab/>
        <w:t xml:space="preserve">Izdevējas Puses kompetentā iestāde var prasīt, lai transportlīdzekļa vadītājs aizstātu vadītāja karti ar jaunu, ja tas ir vajadzīgs, lai izpildītu attiecīgās tehniskās specifikācijas.  </w:t>
      </w:r>
    </w:p>
    <w:p w:rsidR="003E022D" w:rsidRDefault="007D19D6">
      <w:pPr>
        <w:spacing w:after="268" w:line="250" w:lineRule="auto"/>
        <w:ind w:right="3"/>
        <w:rPr>
          <w:rFonts w:cstheme="minorHAnsi"/>
          <w:noProof/>
        </w:rPr>
      </w:pPr>
      <w:r>
        <w:rPr>
          <w:noProof/>
        </w:rPr>
        <w:t>7.</w:t>
      </w:r>
      <w:r>
        <w:rPr>
          <w:noProof/>
        </w:rPr>
        <w:tab/>
      </w:r>
      <w:r>
        <w:rPr>
          <w:noProof/>
        </w:rPr>
        <w:t xml:space="preserve">Katra Puse veic visus vajadzīgos pasākumus, lai novērstu vadītāja karšu viltošanu. </w:t>
      </w:r>
    </w:p>
    <w:p w:rsidR="003E022D" w:rsidRDefault="007D19D6">
      <w:pPr>
        <w:spacing w:after="268" w:line="250" w:lineRule="auto"/>
        <w:ind w:right="3"/>
        <w:rPr>
          <w:rFonts w:cstheme="minorHAnsi"/>
          <w:noProof/>
        </w:rPr>
      </w:pPr>
      <w:r>
        <w:rPr>
          <w:noProof/>
        </w:rPr>
        <w:t>8.</w:t>
      </w:r>
      <w:r>
        <w:rPr>
          <w:noProof/>
        </w:rPr>
        <w:tab/>
        <w:t>Šis pants neliedz Pusei vai – Savienības gadījumā – dalībvalstij izdot vadītāja karti transportlīdzekļa vadītājam, kura parastā dzīvesvieta ir tajā minētās Puses teritor</w:t>
      </w:r>
      <w:r>
        <w:rPr>
          <w:noProof/>
        </w:rPr>
        <w:t xml:space="preserve">ijas daļā, uz ko šis pielikums neattiecas, ar noteikumu, ka šādos gadījumos tiek piemēroti attiecīgie šīs iedaļas noteikumi. </w:t>
      </w:r>
    </w:p>
    <w:p w:rsidR="003E022D" w:rsidRDefault="007D19D6">
      <w:pPr>
        <w:pStyle w:val="Article"/>
        <w:rPr>
          <w:rFonts w:cstheme="minorHAnsi"/>
          <w:noProof/>
        </w:rPr>
      </w:pPr>
      <w:r>
        <w:rPr>
          <w:noProof/>
        </w:rPr>
        <w:t xml:space="preserve">10. pants. Vadītāja karšu atjaunošana </w:t>
      </w:r>
    </w:p>
    <w:p w:rsidR="003E022D" w:rsidRDefault="007D19D6">
      <w:pPr>
        <w:numPr>
          <w:ilvl w:val="0"/>
          <w:numId w:val="929"/>
        </w:numPr>
        <w:spacing w:after="268" w:line="250" w:lineRule="auto"/>
        <w:ind w:right="3" w:hanging="420"/>
        <w:rPr>
          <w:rFonts w:cstheme="minorHAnsi"/>
          <w:noProof/>
        </w:rPr>
      </w:pPr>
      <w:r>
        <w:rPr>
          <w:noProof/>
        </w:rPr>
        <w:t xml:space="preserve">Ja atjaunošanas gadījumā transportlīdzekļa vadītāja parastās dzīvesvietas Puse nav tā, kas </w:t>
      </w:r>
      <w:r>
        <w:rPr>
          <w:noProof/>
        </w:rPr>
        <w:t xml:space="preserve">izdevusi viņa pašreizējo karti, un ja iepriekšējās Puses iestādēm ir pieprasīts atjaunot vadītāja karti, tās informē iestādes, kuras ir izdevušas iepriekšējo karti, par tās atjaunošanas iemesliem. </w:t>
      </w:r>
    </w:p>
    <w:p w:rsidR="003E022D" w:rsidRDefault="007D19D6">
      <w:pPr>
        <w:numPr>
          <w:ilvl w:val="0"/>
          <w:numId w:val="929"/>
        </w:numPr>
        <w:spacing w:after="268" w:line="250" w:lineRule="auto"/>
        <w:ind w:right="3" w:hanging="420"/>
        <w:rPr>
          <w:rFonts w:cstheme="minorHAnsi"/>
          <w:noProof/>
        </w:rPr>
      </w:pPr>
      <w:r>
        <w:rPr>
          <w:noProof/>
        </w:rPr>
        <w:t>Ja ir iesniegts pieprasījums atjaunot karti, kurai derīgum</w:t>
      </w:r>
      <w:r>
        <w:rPr>
          <w:noProof/>
        </w:rPr>
        <w:t xml:space="preserve">a termiņš tūlīt beigsies, kompetentā iestāde izsniedz jaunu karti pirms derīguma termiņa beigām ar noteikumu, ka pieprasījums nosūtīts šā pielikuma B daļas 4. iedaļas 5. pantā noteiktajā termiņā. </w:t>
      </w:r>
    </w:p>
    <w:p w:rsidR="003E022D" w:rsidRDefault="007D19D6">
      <w:pPr>
        <w:pStyle w:val="Article"/>
        <w:rPr>
          <w:rFonts w:cstheme="minorHAnsi"/>
          <w:noProof/>
        </w:rPr>
      </w:pPr>
      <w:r>
        <w:rPr>
          <w:noProof/>
        </w:rPr>
        <w:t>11. pants. Nozagtas, pazaudētas vai bojātas vadītāja kartes</w:t>
      </w:r>
      <w:r>
        <w:rPr>
          <w:noProof/>
        </w:rPr>
        <w:t xml:space="preserve"> </w:t>
      </w:r>
    </w:p>
    <w:p w:rsidR="003E022D" w:rsidRDefault="007D19D6">
      <w:pPr>
        <w:numPr>
          <w:ilvl w:val="0"/>
          <w:numId w:val="930"/>
        </w:numPr>
        <w:spacing w:after="268" w:line="250" w:lineRule="auto"/>
        <w:ind w:right="3" w:hanging="720"/>
        <w:rPr>
          <w:rFonts w:cstheme="minorHAnsi"/>
          <w:noProof/>
        </w:rPr>
      </w:pPr>
      <w:r>
        <w:rPr>
          <w:noProof/>
        </w:rPr>
        <w:t xml:space="preserve">Izdevējas iestādes uztur izdoto, nozagto, pazaudēto un bojāto vadītāja karšu reģistru laikposmā, kas nav mazāks par to derīguma termiņu. </w:t>
      </w:r>
    </w:p>
    <w:p w:rsidR="003E022D" w:rsidRDefault="007D19D6">
      <w:pPr>
        <w:numPr>
          <w:ilvl w:val="0"/>
          <w:numId w:val="930"/>
        </w:numPr>
        <w:spacing w:after="268" w:line="250" w:lineRule="auto"/>
        <w:ind w:right="3" w:hanging="720"/>
        <w:rPr>
          <w:rFonts w:cstheme="minorHAnsi"/>
          <w:noProof/>
        </w:rPr>
      </w:pPr>
      <w:r>
        <w:rPr>
          <w:noProof/>
        </w:rPr>
        <w:t>Ja vadītāja karte ir bojāta, nedarbojas pareizi, ir pazaudēta vai nozagta, kompetentās iestādes tā parastās dzīvesvi</w:t>
      </w:r>
      <w:r>
        <w:rPr>
          <w:noProof/>
        </w:rPr>
        <w:t xml:space="preserve">etas Pusē aizstāj karti astoņu darba dienu laikā pēc detalizēta pieprasījuma saņemšanas. </w:t>
      </w:r>
    </w:p>
    <w:p w:rsidR="003E022D" w:rsidRDefault="007D19D6">
      <w:pPr>
        <w:pStyle w:val="Article"/>
        <w:rPr>
          <w:rFonts w:cstheme="minorHAnsi"/>
          <w:noProof/>
        </w:rPr>
      </w:pPr>
      <w:r>
        <w:rPr>
          <w:noProof/>
        </w:rPr>
        <w:t xml:space="preserve">12. pants. Vadītāja karšu savstarpēja atzīšana </w:t>
      </w:r>
    </w:p>
    <w:p w:rsidR="003E022D" w:rsidRDefault="007D19D6">
      <w:pPr>
        <w:numPr>
          <w:ilvl w:val="0"/>
          <w:numId w:val="931"/>
        </w:numPr>
        <w:spacing w:after="268" w:line="250" w:lineRule="auto"/>
        <w:ind w:right="3" w:hanging="360"/>
        <w:rPr>
          <w:rFonts w:cstheme="minorHAnsi"/>
          <w:noProof/>
        </w:rPr>
      </w:pPr>
      <w:r>
        <w:rPr>
          <w:noProof/>
        </w:rPr>
        <w:t xml:space="preserve">Katra Puse atzīst otras Puses izdotās vadītāja kartes. </w:t>
      </w:r>
    </w:p>
    <w:p w:rsidR="003E022D" w:rsidRDefault="007D19D6">
      <w:pPr>
        <w:numPr>
          <w:ilvl w:val="0"/>
          <w:numId w:val="931"/>
        </w:numPr>
        <w:spacing w:after="268" w:line="250" w:lineRule="auto"/>
        <w:ind w:right="3" w:hanging="360"/>
        <w:rPr>
          <w:rFonts w:cstheme="minorHAnsi"/>
          <w:noProof/>
        </w:rPr>
      </w:pPr>
      <w:r>
        <w:rPr>
          <w:noProof/>
        </w:rPr>
        <w:t>Ja Puses izdotas derīgas vadītāja kartes turētājs ir iedibināj</w:t>
      </w:r>
      <w:r>
        <w:rPr>
          <w:noProof/>
        </w:rPr>
        <w:t xml:space="preserve">is savu parasto dzīvesvietu otrā Pusē un ir lūdzis viņa karti apmainīt pret līdzvērtīgu vadītāja karti, Puse vai – Savienības gadījumā – dalībvalsts, kas veic apmaiņu, ir atbildīga par to, lai pārbaudītu, vai uzrādītā karte joprojām ir derīga. </w:t>
      </w:r>
    </w:p>
    <w:p w:rsidR="003E022D" w:rsidRDefault="007D19D6">
      <w:pPr>
        <w:numPr>
          <w:ilvl w:val="0"/>
          <w:numId w:val="931"/>
        </w:numPr>
        <w:spacing w:after="268" w:line="250" w:lineRule="auto"/>
        <w:ind w:right="3" w:hanging="360"/>
        <w:rPr>
          <w:rFonts w:cstheme="minorHAnsi"/>
          <w:noProof/>
          <w:color w:val="000000" w:themeColor="text1"/>
        </w:rPr>
      </w:pPr>
      <w:r>
        <w:rPr>
          <w:noProof/>
          <w:color w:val="000000" w:themeColor="text1"/>
        </w:rPr>
        <w:t>Puses vai –</w:t>
      </w:r>
      <w:r>
        <w:rPr>
          <w:noProof/>
          <w:color w:val="000000" w:themeColor="text1"/>
        </w:rPr>
        <w:t xml:space="preserve"> Savienības gadījumā – dalībvalstis, kas veic apmaiņu, veco karti atdod izdevējas Puses iestādēm vai – Savienības gadījumā – izdevējas dalībvalsts iestādēm un norāda šādas rīcības iemeslus. </w:t>
      </w:r>
    </w:p>
    <w:p w:rsidR="003E022D" w:rsidRDefault="007D19D6">
      <w:pPr>
        <w:numPr>
          <w:ilvl w:val="0"/>
          <w:numId w:val="931"/>
        </w:numPr>
        <w:spacing w:after="268" w:line="250" w:lineRule="auto"/>
        <w:ind w:right="3" w:hanging="360"/>
        <w:rPr>
          <w:rFonts w:cstheme="minorHAnsi"/>
          <w:noProof/>
          <w:color w:val="000000" w:themeColor="text1"/>
        </w:rPr>
      </w:pPr>
      <w:r>
        <w:rPr>
          <w:noProof/>
          <w:color w:val="000000" w:themeColor="text1"/>
        </w:rPr>
        <w:t>Ja Puse vai – Savienības gadījumā – dalībvalsts aizstāj vai apmai</w:t>
      </w:r>
      <w:r>
        <w:rPr>
          <w:noProof/>
          <w:color w:val="000000" w:themeColor="text1"/>
        </w:rPr>
        <w:t xml:space="preserve">na vadītāja karti, aizstāšanu vai apmaiņu un jebkādu turpmāku aizstāšanu vai apmaiņu reģistrē minētajā Pusē vai – Savienības gadījumā – minētajā dalībvalstī. </w:t>
      </w:r>
    </w:p>
    <w:p w:rsidR="003E022D" w:rsidRDefault="007D19D6">
      <w:pPr>
        <w:pStyle w:val="Article"/>
        <w:rPr>
          <w:rFonts w:cstheme="minorHAnsi"/>
          <w:noProof/>
        </w:rPr>
      </w:pPr>
      <w:r>
        <w:rPr>
          <w:noProof/>
        </w:rPr>
        <w:t xml:space="preserve">13. pants. Elektroniska informācijas apmaiņa par vadītāja kartēm </w:t>
      </w:r>
    </w:p>
    <w:p w:rsidR="003E022D" w:rsidRDefault="007D19D6">
      <w:pPr>
        <w:numPr>
          <w:ilvl w:val="0"/>
          <w:numId w:val="932"/>
        </w:numPr>
        <w:spacing w:after="22" w:line="250" w:lineRule="auto"/>
        <w:ind w:right="3" w:hanging="360"/>
        <w:rPr>
          <w:rFonts w:cstheme="minorHAnsi"/>
          <w:noProof/>
        </w:rPr>
      </w:pPr>
      <w:r>
        <w:rPr>
          <w:noProof/>
        </w:rPr>
        <w:t>Lai nodrošinātu to, ka pieteiku</w:t>
      </w:r>
      <w:r>
        <w:rPr>
          <w:noProof/>
        </w:rPr>
        <w:t>ma iesniedzējam jau nav derīgas vadītāja kartes, Puses vai – Savienības gadījumā – dalībvalstis uztur valsts elektroniskos reģistrus, kuros ir iekļauta turpmāk minētā informācija par vadītāja kartēm, vismaz tik ilgu laikposmu, kāds ir minēto karšu derīguma</w:t>
      </w:r>
      <w:r>
        <w:rPr>
          <w:noProof/>
        </w:rPr>
        <w:t xml:space="preserve"> termiņš:  </w:t>
      </w:r>
    </w:p>
    <w:tbl>
      <w:tblPr>
        <w:tblStyle w:val="TableGrid"/>
        <w:tblW w:w="9058" w:type="dxa"/>
        <w:tblInd w:w="0" w:type="dxa"/>
        <w:tblLook w:val="04A0" w:firstRow="1" w:lastRow="0" w:firstColumn="1" w:lastColumn="0" w:noHBand="0" w:noVBand="1"/>
      </w:tblPr>
      <w:tblGrid>
        <w:gridCol w:w="708"/>
        <w:gridCol w:w="8350"/>
      </w:tblGrid>
      <w:tr w:rsidR="003E022D">
        <w:trPr>
          <w:trHeight w:val="409"/>
        </w:trPr>
        <w:tc>
          <w:tcPr>
            <w:tcW w:w="708" w:type="dxa"/>
            <w:tcBorders>
              <w:top w:val="nil"/>
              <w:left w:val="nil"/>
              <w:bottom w:val="nil"/>
              <w:right w:val="nil"/>
            </w:tcBorders>
          </w:tcPr>
          <w:p w:rsidR="003E022D" w:rsidRDefault="007D19D6">
            <w:pPr>
              <w:spacing w:line="259" w:lineRule="auto"/>
              <w:rPr>
                <w:rFonts w:cstheme="minorHAnsi"/>
                <w:noProof/>
              </w:rPr>
            </w:pPr>
            <w:r>
              <w:rPr>
                <w:noProof/>
              </w:rPr>
              <w:t xml:space="preserve">— </w:t>
            </w:r>
          </w:p>
        </w:tc>
        <w:tc>
          <w:tcPr>
            <w:tcW w:w="8350" w:type="dxa"/>
            <w:tcBorders>
              <w:top w:val="nil"/>
              <w:left w:val="nil"/>
              <w:bottom w:val="nil"/>
              <w:right w:val="nil"/>
            </w:tcBorders>
          </w:tcPr>
          <w:p w:rsidR="003E022D" w:rsidRDefault="007D19D6">
            <w:pPr>
              <w:spacing w:line="259" w:lineRule="auto"/>
              <w:ind w:left="12"/>
              <w:rPr>
                <w:rFonts w:cstheme="minorHAnsi"/>
                <w:noProof/>
              </w:rPr>
            </w:pPr>
            <w:r>
              <w:rPr>
                <w:noProof/>
              </w:rPr>
              <w:t xml:space="preserve">transportlīdzekļa vadītāja uzvārds un vārds; </w:t>
            </w:r>
          </w:p>
        </w:tc>
      </w:tr>
      <w:tr w:rsidR="003E022D">
        <w:trPr>
          <w:trHeight w:val="574"/>
        </w:trPr>
        <w:tc>
          <w:tcPr>
            <w:tcW w:w="708" w:type="dxa"/>
            <w:tcBorders>
              <w:top w:val="nil"/>
              <w:left w:val="nil"/>
              <w:bottom w:val="nil"/>
              <w:right w:val="nil"/>
            </w:tcBorders>
            <w:vAlign w:val="center"/>
          </w:tcPr>
          <w:p w:rsidR="003E022D" w:rsidRDefault="007D19D6">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3E022D" w:rsidRDefault="007D19D6">
            <w:pPr>
              <w:spacing w:line="259" w:lineRule="auto"/>
              <w:ind w:left="12"/>
              <w:rPr>
                <w:rFonts w:cstheme="minorHAnsi"/>
                <w:noProof/>
              </w:rPr>
            </w:pPr>
            <w:r>
              <w:rPr>
                <w:noProof/>
              </w:rPr>
              <w:t xml:space="preserve">transportlīdzekļa vadītāja dzimšanas datums un, ja zināms, dzimšanas vieta; </w:t>
            </w:r>
          </w:p>
        </w:tc>
      </w:tr>
      <w:tr w:rsidR="003E022D">
        <w:trPr>
          <w:trHeight w:val="572"/>
        </w:trPr>
        <w:tc>
          <w:tcPr>
            <w:tcW w:w="708" w:type="dxa"/>
            <w:tcBorders>
              <w:top w:val="nil"/>
              <w:left w:val="nil"/>
              <w:bottom w:val="nil"/>
              <w:right w:val="nil"/>
            </w:tcBorders>
            <w:vAlign w:val="center"/>
          </w:tcPr>
          <w:p w:rsidR="003E022D" w:rsidRDefault="007D19D6">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3E022D" w:rsidRDefault="007D19D6">
            <w:pPr>
              <w:spacing w:line="259" w:lineRule="auto"/>
              <w:rPr>
                <w:rFonts w:cstheme="minorHAnsi"/>
                <w:noProof/>
              </w:rPr>
            </w:pPr>
            <w:r>
              <w:rPr>
                <w:noProof/>
              </w:rPr>
              <w:t xml:space="preserve">derīgas transportlīdzekļa vadītāja apliecības numurs un valsts, kas izdevusi transportlīdzekļa vadītāja apliecību (ja tas ir piemērojams); </w:t>
            </w:r>
          </w:p>
        </w:tc>
      </w:tr>
      <w:tr w:rsidR="003E022D">
        <w:trPr>
          <w:trHeight w:val="572"/>
        </w:trPr>
        <w:tc>
          <w:tcPr>
            <w:tcW w:w="708" w:type="dxa"/>
            <w:tcBorders>
              <w:top w:val="nil"/>
              <w:left w:val="nil"/>
              <w:bottom w:val="nil"/>
              <w:right w:val="nil"/>
            </w:tcBorders>
            <w:vAlign w:val="center"/>
          </w:tcPr>
          <w:p w:rsidR="003E022D" w:rsidRDefault="007D19D6">
            <w:pPr>
              <w:spacing w:afterLines="109" w:after="261" w:line="259" w:lineRule="auto"/>
              <w:rPr>
                <w:rFonts w:cstheme="minorHAnsi"/>
                <w:noProof/>
              </w:rPr>
            </w:pPr>
            <w:r>
              <w:rPr>
                <w:noProof/>
              </w:rPr>
              <w:t xml:space="preserve">— </w:t>
            </w:r>
          </w:p>
        </w:tc>
        <w:tc>
          <w:tcPr>
            <w:tcW w:w="8350" w:type="dxa"/>
            <w:tcBorders>
              <w:top w:val="nil"/>
              <w:left w:val="nil"/>
              <w:bottom w:val="nil"/>
              <w:right w:val="nil"/>
            </w:tcBorders>
            <w:vAlign w:val="center"/>
          </w:tcPr>
          <w:p w:rsidR="003E022D" w:rsidRDefault="007D19D6">
            <w:pPr>
              <w:spacing w:afterLines="109" w:after="261" w:line="259" w:lineRule="auto"/>
              <w:ind w:left="12"/>
              <w:rPr>
                <w:rFonts w:cstheme="minorHAnsi"/>
                <w:noProof/>
              </w:rPr>
            </w:pPr>
            <w:r>
              <w:rPr>
                <w:noProof/>
              </w:rPr>
              <w:t xml:space="preserve">vadītāja kartes statuss; un </w:t>
            </w:r>
          </w:p>
        </w:tc>
      </w:tr>
      <w:tr w:rsidR="003E022D">
        <w:trPr>
          <w:trHeight w:val="409"/>
        </w:trPr>
        <w:tc>
          <w:tcPr>
            <w:tcW w:w="708" w:type="dxa"/>
            <w:tcBorders>
              <w:top w:val="nil"/>
              <w:left w:val="nil"/>
              <w:bottom w:val="nil"/>
              <w:right w:val="nil"/>
            </w:tcBorders>
            <w:vAlign w:val="bottom"/>
          </w:tcPr>
          <w:p w:rsidR="003E022D" w:rsidRDefault="007D19D6">
            <w:pPr>
              <w:spacing w:afterAutospacing="0" w:line="259" w:lineRule="auto"/>
              <w:rPr>
                <w:rFonts w:cstheme="minorHAnsi"/>
                <w:noProof/>
              </w:rPr>
            </w:pPr>
            <w:r>
              <w:rPr>
                <w:noProof/>
              </w:rPr>
              <w:t xml:space="preserve">— </w:t>
            </w:r>
          </w:p>
        </w:tc>
        <w:tc>
          <w:tcPr>
            <w:tcW w:w="8350" w:type="dxa"/>
            <w:tcBorders>
              <w:top w:val="nil"/>
              <w:left w:val="nil"/>
              <w:bottom w:val="nil"/>
              <w:right w:val="nil"/>
            </w:tcBorders>
            <w:vAlign w:val="bottom"/>
          </w:tcPr>
          <w:p w:rsidR="003E022D" w:rsidRDefault="007D19D6">
            <w:pPr>
              <w:spacing w:afterAutospacing="0" w:line="259" w:lineRule="auto"/>
              <w:ind w:left="12"/>
              <w:rPr>
                <w:rFonts w:cstheme="minorHAnsi"/>
                <w:noProof/>
              </w:rPr>
            </w:pPr>
            <w:r>
              <w:rPr>
                <w:noProof/>
              </w:rPr>
              <w:t xml:space="preserve">vadītāja kartes numurs. </w:t>
            </w:r>
          </w:p>
        </w:tc>
      </w:tr>
    </w:tbl>
    <w:p w:rsidR="003E022D" w:rsidRDefault="007D19D6">
      <w:pPr>
        <w:numPr>
          <w:ilvl w:val="0"/>
          <w:numId w:val="932"/>
        </w:numPr>
        <w:spacing w:afterLines="109" w:after="261" w:line="250" w:lineRule="auto"/>
        <w:ind w:right="3" w:hanging="360"/>
        <w:rPr>
          <w:rFonts w:cstheme="minorHAnsi"/>
          <w:noProof/>
        </w:rPr>
      </w:pPr>
      <w:r>
        <w:rPr>
          <w:noProof/>
        </w:rPr>
        <w:t>Pušu vai – Savienības gadījumā – dalībvalstu elektroniskie reģistri ir savstarpēji savienoti un pieejami visā Pušu teritorijā, izmantojot ziņojumapmaiņas sistēmu TACHOnet vai saderīgu sistēmu. Ja tiek izmantota saderīga sistēma, elektronisko datu apmaiņa a</w:t>
      </w:r>
      <w:r>
        <w:rPr>
          <w:noProof/>
        </w:rPr>
        <w:t xml:space="preserve">r otro Pusi ir iespējama, izmantojot ziņojumapmaiņas sistēmu </w:t>
      </w:r>
      <w:r>
        <w:rPr>
          <w:i/>
          <w:noProof/>
        </w:rPr>
        <w:t>TACHOnet</w:t>
      </w:r>
      <w:r>
        <w:rPr>
          <w:noProof/>
        </w:rPr>
        <w:t xml:space="preserve">. </w:t>
      </w:r>
    </w:p>
    <w:p w:rsidR="003E022D" w:rsidRDefault="007D19D6">
      <w:pPr>
        <w:numPr>
          <w:ilvl w:val="0"/>
          <w:numId w:val="932"/>
        </w:numPr>
        <w:spacing w:after="268" w:line="250" w:lineRule="auto"/>
        <w:ind w:right="3" w:hanging="360"/>
        <w:rPr>
          <w:rFonts w:cstheme="minorHAnsi"/>
          <w:noProof/>
        </w:rPr>
      </w:pPr>
      <w:r>
        <w:rPr>
          <w:noProof/>
        </w:rPr>
        <w:t>Izdodot, aizstājot un vajadzības gadījumā atjaunojot vadītāja karti, Puses vai – Savienības gadījumā – dalībvalstis, izmantojot elektronisko datu apmaiņu, pārbauda, vai transportlīdzekļa vadītājam jau nav citas derīgas vadītāja kartes. Datu apmaiņa ir iero</w:t>
      </w:r>
      <w:r>
        <w:rPr>
          <w:noProof/>
        </w:rPr>
        <w:t xml:space="preserve">bežota līdz datiem, kas nepieciešami, lai veiktu šo pārbaudi. </w:t>
      </w:r>
    </w:p>
    <w:p w:rsidR="003E022D" w:rsidRDefault="007D19D6">
      <w:pPr>
        <w:numPr>
          <w:ilvl w:val="0"/>
          <w:numId w:val="932"/>
        </w:numPr>
        <w:spacing w:after="268" w:line="250" w:lineRule="auto"/>
        <w:ind w:right="3" w:hanging="360"/>
        <w:rPr>
          <w:rFonts w:cstheme="minorHAnsi"/>
          <w:noProof/>
        </w:rPr>
      </w:pPr>
      <w:r>
        <w:rPr>
          <w:noProof/>
        </w:rPr>
        <w:t xml:space="preserve">Kontrolieriem var būt piekļuve elektroniskajam reģistram, lai varētu pārbaudīt vadītāja kartes statusu. </w:t>
      </w:r>
    </w:p>
    <w:p w:rsidR="003E022D" w:rsidRDefault="007D19D6">
      <w:pPr>
        <w:pStyle w:val="Article"/>
        <w:rPr>
          <w:rFonts w:cstheme="minorHAnsi"/>
          <w:noProof/>
        </w:rPr>
      </w:pPr>
      <w:r>
        <w:rPr>
          <w:noProof/>
        </w:rPr>
        <w:t xml:space="preserve">14. pants. Tahogrāfu iestatījumi </w:t>
      </w:r>
    </w:p>
    <w:p w:rsidR="003E022D" w:rsidRDefault="007D19D6">
      <w:pPr>
        <w:numPr>
          <w:ilvl w:val="0"/>
          <w:numId w:val="933"/>
        </w:numPr>
        <w:spacing w:after="268" w:line="250" w:lineRule="auto"/>
        <w:ind w:right="3" w:hanging="360"/>
        <w:rPr>
          <w:rFonts w:cstheme="minorHAnsi"/>
          <w:noProof/>
        </w:rPr>
      </w:pPr>
      <w:r>
        <w:rPr>
          <w:noProof/>
        </w:rPr>
        <w:t>Digitālie tahogrāfi nav iestatīti tā, lai tie automāti</w:t>
      </w:r>
      <w:r>
        <w:rPr>
          <w:noProof/>
        </w:rPr>
        <w:t xml:space="preserve">ski pārslēgtos uz konkrētu darbības kategoriju, kad transportlīdzekļa motors vai aizdedze ir izslēgta, izņemot gadījumu, ja transportlīdzekļa vadītājs joprojām spēj manuāli izvēlēties pareizo darbības kategoriju. </w:t>
      </w:r>
    </w:p>
    <w:p w:rsidR="003E022D" w:rsidRDefault="007D19D6">
      <w:pPr>
        <w:numPr>
          <w:ilvl w:val="0"/>
          <w:numId w:val="933"/>
        </w:numPr>
        <w:spacing w:after="268" w:line="250" w:lineRule="auto"/>
        <w:ind w:right="3" w:hanging="360"/>
        <w:rPr>
          <w:rFonts w:cstheme="minorHAnsi"/>
          <w:noProof/>
        </w:rPr>
      </w:pPr>
      <w:r>
        <w:rPr>
          <w:noProof/>
        </w:rPr>
        <w:t>Transportlīdzekļos uzstāda tikai vienu tah</w:t>
      </w:r>
      <w:r>
        <w:rPr>
          <w:noProof/>
        </w:rPr>
        <w:t xml:space="preserve">ogrāfu, izņemot laukizmēģinājumus. </w:t>
      </w:r>
    </w:p>
    <w:p w:rsidR="003E022D" w:rsidRDefault="007D19D6">
      <w:pPr>
        <w:numPr>
          <w:ilvl w:val="0"/>
          <w:numId w:val="933"/>
        </w:numPr>
        <w:spacing w:after="268" w:line="250" w:lineRule="auto"/>
        <w:ind w:right="3" w:hanging="360"/>
        <w:rPr>
          <w:rFonts w:cstheme="minorHAnsi"/>
          <w:noProof/>
        </w:rPr>
      </w:pPr>
      <w:r>
        <w:rPr>
          <w:noProof/>
        </w:rPr>
        <w:t xml:space="preserve">Katra Puse aizliedz ražot, izplatīt, reklamēt un/vai pārdot ierīces, kas konstruētas un/vai paredzētas, lai veiktu manipulācijas ar tahogrāfiem. </w:t>
      </w:r>
    </w:p>
    <w:p w:rsidR="003E022D" w:rsidRDefault="007D19D6">
      <w:pPr>
        <w:pStyle w:val="Article"/>
        <w:rPr>
          <w:rFonts w:cstheme="minorHAnsi"/>
          <w:noProof/>
        </w:rPr>
      </w:pPr>
      <w:r>
        <w:rPr>
          <w:noProof/>
        </w:rPr>
        <w:t xml:space="preserve">15. pants. Kravu autopārvadātāju atbildība </w:t>
      </w:r>
    </w:p>
    <w:p w:rsidR="003E022D" w:rsidRDefault="007D19D6">
      <w:pPr>
        <w:numPr>
          <w:ilvl w:val="0"/>
          <w:numId w:val="934"/>
        </w:numPr>
        <w:spacing w:after="268" w:line="250" w:lineRule="auto"/>
        <w:ind w:right="3" w:hanging="567"/>
        <w:rPr>
          <w:rFonts w:cstheme="minorHAnsi"/>
          <w:noProof/>
        </w:rPr>
      </w:pPr>
      <w:r>
        <w:rPr>
          <w:noProof/>
        </w:rPr>
        <w:t>Kravu autopārvadātāji ir atbil</w:t>
      </w:r>
      <w:r>
        <w:rPr>
          <w:noProof/>
        </w:rPr>
        <w:t>dīgi par to, lai nodrošinātu, ka to transportlīdzekļa vadītāji ir atbilstīgi apmācīti un instruēti attiecībā uz digitālo, viedo vai analogo tahogrāfu pareizu darbību, tie veic regulāras pārbaudes, lai pārliecinātos, ka to transportlīdzekļa vadītāji tahogrā</w:t>
      </w:r>
      <w:r>
        <w:rPr>
          <w:noProof/>
        </w:rPr>
        <w:t xml:space="preserve">fus izmanto pareizi, un tie ne tiešā, ne netiešā veidā nemudina transportlīdzekļa vadītājus uz tahogrāfu ļaunprātīgu izmantošanu. </w:t>
      </w:r>
    </w:p>
    <w:p w:rsidR="003E022D" w:rsidRDefault="007D19D6">
      <w:pPr>
        <w:ind w:left="-5" w:right="3"/>
        <w:rPr>
          <w:rFonts w:cstheme="minorHAnsi"/>
          <w:noProof/>
        </w:rPr>
      </w:pPr>
      <w:r>
        <w:rPr>
          <w:noProof/>
        </w:rPr>
        <w:t>Kravu autopārvadātāji to transportlīdzekļu vadītājiem, kuros uzstādīts analogais tahogrāfs, izsniedz pietiekamu skaitu reģist</w:t>
      </w:r>
      <w:r>
        <w:rPr>
          <w:noProof/>
        </w:rPr>
        <w:t>rācijas diagrammu, ņemot vērā reģistrācijas diagrammu personisko raksturu, darba laikposma ilgumu un iespējamo vajadzību nomainīt bojātās reģistrācijas diagrammas vai pilnvarotu kontrolieru atsavinātās reģistrācijas diagrammas. Kravu autopārvadātāji transp</w:t>
      </w:r>
      <w:r>
        <w:rPr>
          <w:noProof/>
        </w:rPr>
        <w:t xml:space="preserve">ortlīdzekļa vadītājiem izsniedz tikai apstiprināta parauga reģistrācijas diagrammas, kas piemērotas izmantošanai transportlīdzeklī uzstādītajā ierīcē. </w:t>
      </w:r>
    </w:p>
    <w:p w:rsidR="003E022D" w:rsidRDefault="007D19D6">
      <w:pPr>
        <w:ind w:left="-5" w:right="3"/>
        <w:rPr>
          <w:rFonts w:cstheme="minorHAnsi"/>
          <w:noProof/>
        </w:rPr>
      </w:pPr>
      <w:r>
        <w:rPr>
          <w:noProof/>
        </w:rPr>
        <w:t>Kravu autopārvadātājs nodrošina, lai, ņemot vērā darba laikposma ilgumu, inspekcijas gadījumā pēc kontro</w:t>
      </w:r>
      <w:r>
        <w:rPr>
          <w:noProof/>
        </w:rPr>
        <w:t xml:space="preserve">liera pieprasījuma var pareizi izdrukāt datus no tahogrāfa. </w:t>
      </w:r>
    </w:p>
    <w:p w:rsidR="003E022D" w:rsidRDefault="007D19D6">
      <w:pPr>
        <w:numPr>
          <w:ilvl w:val="0"/>
          <w:numId w:val="934"/>
        </w:numPr>
        <w:spacing w:after="268" w:line="250" w:lineRule="auto"/>
        <w:ind w:right="3" w:hanging="567"/>
        <w:rPr>
          <w:rFonts w:cstheme="minorHAnsi"/>
          <w:noProof/>
        </w:rPr>
      </w:pPr>
      <w:r>
        <w:rPr>
          <w:noProof/>
        </w:rPr>
        <w:t>Ja izdrukas ir veiktas, lai nodrošinātu atbilstību šā pielikuma B daļas 4. iedaļas 9. pantam, kravu autopārvadātāji reģistrācijas diagrammas un izdrukas hronoloģiskā secībā un salasāmā veidā glab</w:t>
      </w:r>
      <w:r>
        <w:rPr>
          <w:noProof/>
        </w:rPr>
        <w:t>ā vismaz vienu gadu pēc to izmantošanas un pēc attiecīgo transportlīdzekļa vadītāju pieprasījuma izsniedz viņiem kopijas. Kravu autopārvadātāji pēc attiecīgo transportlīdzekļa vadītāju pieprasījuma izsniedz arī kopijas datiem, kas lejupielādēti no vadītāja</w:t>
      </w:r>
      <w:r>
        <w:rPr>
          <w:noProof/>
        </w:rPr>
        <w:t xml:space="preserve"> kartēm, kopā ar minēto kopiju izdrukām. Reģistrācijas diagrammas, izdrukas un lejupielādētos datus pēc pieprasījuma uzrāda vai nodod pilnvarotam kontrolierim. </w:t>
      </w:r>
    </w:p>
    <w:p w:rsidR="003E022D" w:rsidRDefault="007D19D6">
      <w:pPr>
        <w:numPr>
          <w:ilvl w:val="0"/>
          <w:numId w:val="934"/>
        </w:numPr>
        <w:spacing w:after="268" w:line="250" w:lineRule="auto"/>
        <w:ind w:right="3" w:hanging="567"/>
        <w:rPr>
          <w:rFonts w:cstheme="minorHAnsi"/>
          <w:noProof/>
        </w:rPr>
      </w:pPr>
      <w:r>
        <w:rPr>
          <w:noProof/>
        </w:rPr>
        <w:t>Kravu autopārvadātāji ir atbildīgi par šīs iedaļas un šā pielikuma B daļas 4. iedaļas pārkāpumi</w:t>
      </w:r>
      <w:r>
        <w:rPr>
          <w:noProof/>
        </w:rPr>
        <w:t xml:space="preserve">em, ko izdarījuši to transportlīdzekļa vadītāji vai to rīcībā esošie transportlīdzekļa vadītāji. Tomēr katra Puse var noteikt, ka šāda atbildība ir atkarīga no tā, vai kravu autopārvadātājs ir pārkāpis šā panta 1. punkta pirmo daļu un šā pielikuma B daļas </w:t>
      </w:r>
      <w:r>
        <w:rPr>
          <w:noProof/>
        </w:rPr>
        <w:t xml:space="preserve">2. iedaļas 7. panta 1. un 2. punktu. </w:t>
      </w:r>
    </w:p>
    <w:p w:rsidR="003E022D" w:rsidRDefault="007D19D6">
      <w:pPr>
        <w:pStyle w:val="Article"/>
        <w:rPr>
          <w:rFonts w:cstheme="minorHAnsi"/>
          <w:noProof/>
        </w:rPr>
      </w:pPr>
      <w:r>
        <w:rPr>
          <w:noProof/>
        </w:rPr>
        <w:t xml:space="preserve">16. pants. Procedūras kravu autopārvadātājiem iekārtas nepareizas darbības gadījumā </w:t>
      </w:r>
    </w:p>
    <w:p w:rsidR="003E022D" w:rsidRDefault="007D19D6">
      <w:pPr>
        <w:numPr>
          <w:ilvl w:val="0"/>
          <w:numId w:val="935"/>
        </w:numPr>
        <w:spacing w:after="268" w:line="250" w:lineRule="auto"/>
        <w:ind w:right="3" w:hanging="567"/>
        <w:rPr>
          <w:rFonts w:cstheme="minorHAnsi"/>
          <w:noProof/>
        </w:rPr>
      </w:pPr>
      <w:r>
        <w:rPr>
          <w:noProof/>
        </w:rPr>
        <w:t xml:space="preserve">Tahogrāfa bojājuma vai nepareizas darbības gadījumos kravu autopārvadātājs iespējami drīz to nodod remontā apstiprinātam montierim vai darbnīcai. </w:t>
      </w:r>
    </w:p>
    <w:p w:rsidR="003E022D" w:rsidRDefault="007D19D6">
      <w:pPr>
        <w:numPr>
          <w:ilvl w:val="0"/>
          <w:numId w:val="935"/>
        </w:numPr>
        <w:spacing w:after="268" w:line="250" w:lineRule="auto"/>
        <w:ind w:right="3" w:hanging="567"/>
        <w:rPr>
          <w:rFonts w:cstheme="minorHAnsi"/>
          <w:noProof/>
        </w:rPr>
      </w:pPr>
      <w:r>
        <w:rPr>
          <w:noProof/>
        </w:rPr>
        <w:t>Ja transportlīdzeklis nevar atgriezties kravu autopārvadātāja telpās vienas nedēļas laikposmā pēc bojājuma va</w:t>
      </w:r>
      <w:r>
        <w:rPr>
          <w:noProof/>
        </w:rPr>
        <w:t xml:space="preserve">i nepareizas darbības konstatēšanas, remontu veic pa ceļam. </w:t>
      </w:r>
    </w:p>
    <w:p w:rsidR="003E022D" w:rsidRDefault="007D19D6">
      <w:pPr>
        <w:numPr>
          <w:ilvl w:val="0"/>
          <w:numId w:val="935"/>
        </w:numPr>
        <w:spacing w:after="268" w:line="250" w:lineRule="auto"/>
        <w:ind w:right="3" w:hanging="567"/>
        <w:rPr>
          <w:rFonts w:cstheme="minorHAnsi"/>
          <w:noProof/>
        </w:rPr>
      </w:pPr>
      <w:r>
        <w:rPr>
          <w:noProof/>
        </w:rPr>
        <w:t>Katra Puse vai – Savienības gadījumā – dalībvalstis kompetentajām iestādēm piešķir pilnvaras aizliegt izmantot transportlīdzekli gadījumos, kad bojājums vai nepareiza darbība nav novērsta, kā not</w:t>
      </w:r>
      <w:r>
        <w:rPr>
          <w:noProof/>
        </w:rPr>
        <w:t xml:space="preserve">eikts 1. un 2. punktā, ciktāl tas atbilst attiecīgās Puses valsts tiesību aktiem. </w:t>
      </w:r>
    </w:p>
    <w:p w:rsidR="003E022D" w:rsidRDefault="007D19D6">
      <w:pPr>
        <w:pStyle w:val="Article"/>
        <w:rPr>
          <w:rFonts w:cstheme="minorHAnsi"/>
          <w:noProof/>
        </w:rPr>
      </w:pPr>
      <w:r>
        <w:rPr>
          <w:noProof/>
        </w:rPr>
        <w:t xml:space="preserve">17. pants. Tahogrāfa karšu izdošanas procedūra </w:t>
      </w:r>
    </w:p>
    <w:p w:rsidR="003E022D" w:rsidRDefault="007D19D6">
      <w:pPr>
        <w:rPr>
          <w:rFonts w:cstheme="minorHAnsi"/>
          <w:noProof/>
          <w:color w:val="000000" w:themeColor="text1"/>
        </w:rPr>
      </w:pPr>
      <w:r>
        <w:rPr>
          <w:noProof/>
          <w:color w:val="000000" w:themeColor="text1"/>
        </w:rPr>
        <w:t>Eiropas Komisija iesniedz Apvienotās Karalistes kompetentajām iestādēm kriptogrāfisko materiālu tahogrāfu karšu izdošanai tra</w:t>
      </w:r>
      <w:r>
        <w:rPr>
          <w:noProof/>
          <w:color w:val="000000" w:themeColor="text1"/>
        </w:rPr>
        <w:t>nsportlīdzekļa vadītājiem, darbnīcām un kontroles iestādēm saskaņā ar Eiropas galvenās sertifikācijas iestādes (</w:t>
      </w:r>
      <w:r>
        <w:rPr>
          <w:i/>
          <w:noProof/>
          <w:color w:val="000000" w:themeColor="text1"/>
        </w:rPr>
        <w:t>European Root Certification Authority</w:t>
      </w:r>
      <w:r>
        <w:rPr>
          <w:noProof/>
          <w:color w:val="000000" w:themeColor="text1"/>
        </w:rPr>
        <w:t xml:space="preserve"> (</w:t>
      </w:r>
      <w:r>
        <w:rPr>
          <w:i/>
          <w:noProof/>
          <w:color w:val="000000" w:themeColor="text1"/>
        </w:rPr>
        <w:t>ERCA</w:t>
      </w:r>
      <w:r>
        <w:rPr>
          <w:noProof/>
          <w:color w:val="000000" w:themeColor="text1"/>
        </w:rPr>
        <w:t>)) un Apvienotās Karalistes politiku attiecībā uz sertifikātiem.</w:t>
      </w:r>
      <w:r>
        <w:rPr>
          <w:noProof/>
          <w:color w:val="000000" w:themeColor="text1"/>
          <w:sz w:val="28"/>
        </w:rPr>
        <w:t xml:space="preserve"> </w:t>
      </w:r>
    </w:p>
    <w:p w:rsidR="003E022D" w:rsidRDefault="007D19D6">
      <w:pPr>
        <w:rPr>
          <w:rFonts w:cstheme="minorHAnsi"/>
          <w:noProof/>
        </w:rPr>
      </w:pPr>
      <w:r>
        <w:rPr>
          <w:noProof/>
        </w:rPr>
        <w:t xml:space="preserve"> </w:t>
      </w:r>
      <w:r>
        <w:rPr>
          <w:noProof/>
        </w:rPr>
        <w:br w:type="page"/>
      </w:r>
    </w:p>
    <w:p w:rsidR="003E022D" w:rsidRDefault="007D19D6">
      <w:pPr>
        <w:pStyle w:val="ANNEX"/>
        <w:rPr>
          <w:caps/>
          <w:noProof/>
        </w:rPr>
      </w:pPr>
      <w:bookmarkStart w:id="1338" w:name="_Toc59645273"/>
      <w:bookmarkStart w:id="1339" w:name="_Toc59988414"/>
      <w:r>
        <w:rPr>
          <w:noProof/>
        </w:rPr>
        <w:t xml:space="preserve">ROAD-2. PIELIKUMS. </w:t>
      </w:r>
      <w:r>
        <w:rPr>
          <w:caps/>
          <w:noProof/>
        </w:rPr>
        <w:t xml:space="preserve">Regulāro un </w:t>
      </w:r>
      <w:r>
        <w:rPr>
          <w:caps/>
          <w:noProof/>
        </w:rPr>
        <w:t>speciālo regulāro starptautisko pārvadājumu atļaujas paraugs</w:t>
      </w:r>
      <w:bookmarkEnd w:id="1334"/>
      <w:bookmarkEnd w:id="1338"/>
      <w:bookmarkEnd w:id="1339"/>
      <w:r>
        <w:rPr>
          <w:caps/>
          <w:noProof/>
        </w:rPr>
        <w:t xml:space="preserve"> </w:t>
      </w:r>
    </w:p>
    <w:p w:rsidR="003E022D" w:rsidRDefault="007D19D6">
      <w:pPr>
        <w:spacing w:after="237"/>
        <w:jc w:val="center"/>
        <w:rPr>
          <w:noProof/>
          <w:color w:val="000000" w:themeColor="text1"/>
        </w:rPr>
      </w:pPr>
      <w:r>
        <w:rPr>
          <w:rFonts w:ascii="Times New Roman" w:hAnsi="Times New Roman"/>
          <w:noProof/>
          <w:color w:val="000000" w:themeColor="text1"/>
        </w:rPr>
        <w:t xml:space="preserve">(Atļaujas pirmā lappuse) </w:t>
      </w:r>
    </w:p>
    <w:p w:rsidR="003E022D" w:rsidRDefault="007D19D6">
      <w:pPr>
        <w:spacing w:after="321"/>
        <w:ind w:right="6"/>
        <w:jc w:val="center"/>
        <w:rPr>
          <w:noProof/>
          <w:color w:val="000000" w:themeColor="text1"/>
        </w:rPr>
      </w:pPr>
      <w:r>
        <w:rPr>
          <w:rFonts w:ascii="Times New Roman" w:hAnsi="Times New Roman"/>
          <w:noProof/>
          <w:color w:val="000000" w:themeColor="text1"/>
        </w:rPr>
        <w:t xml:space="preserve">(Oranžs papīrs – </w:t>
      </w:r>
      <w:r>
        <w:rPr>
          <w:rFonts w:ascii="Times New Roman" w:hAnsi="Times New Roman"/>
          <w:i/>
          <w:noProof/>
          <w:color w:val="000000" w:themeColor="text1"/>
        </w:rPr>
        <w:t>DIN</w:t>
      </w:r>
      <w:r>
        <w:rPr>
          <w:rFonts w:ascii="Times New Roman" w:hAnsi="Times New Roman"/>
          <w:noProof/>
          <w:color w:val="000000" w:themeColor="text1"/>
        </w:rPr>
        <w:t xml:space="preserve"> A4) </w:t>
      </w:r>
    </w:p>
    <w:p w:rsidR="003E022D" w:rsidRDefault="007D19D6">
      <w:pPr>
        <w:pBdr>
          <w:top w:val="single" w:sz="17" w:space="0" w:color="000000"/>
          <w:left w:val="single" w:sz="17" w:space="0" w:color="000000"/>
          <w:bottom w:val="single" w:sz="17" w:space="0" w:color="000000"/>
          <w:right w:val="single" w:sz="17" w:space="0" w:color="000000"/>
        </w:pBdr>
        <w:spacing w:after="270" w:line="238" w:lineRule="auto"/>
        <w:ind w:left="503" w:right="453"/>
        <w:jc w:val="center"/>
        <w:rPr>
          <w:noProof/>
          <w:color w:val="000000" w:themeColor="text1"/>
        </w:rPr>
      </w:pPr>
      <w:r>
        <w:rPr>
          <w:rFonts w:ascii="Times New Roman" w:hAnsi="Times New Roman"/>
          <w:noProof/>
          <w:color w:val="000000" w:themeColor="text1"/>
        </w:rPr>
        <w:t xml:space="preserve">(Formulējama tās Puses oficiālajā(-ās) valodā(-ās) vai kādā no oficiālajām valodām, kur iesniedz pieteikumu) </w:t>
      </w:r>
    </w:p>
    <w:p w:rsidR="003E022D" w:rsidRDefault="007D19D6">
      <w:pPr>
        <w:spacing w:after="0"/>
        <w:rPr>
          <w:noProof/>
          <w:color w:val="000000" w:themeColor="text1"/>
        </w:rPr>
      </w:pPr>
      <w:r>
        <w:rPr>
          <w:rFonts w:ascii="Times New Roman" w:hAnsi="Times New Roman"/>
          <w:noProof/>
          <w:color w:val="000000" w:themeColor="text1"/>
          <w:sz w:val="27"/>
        </w:rPr>
        <w:t xml:space="preserve"> </w:t>
      </w:r>
    </w:p>
    <w:p w:rsidR="003E022D" w:rsidRDefault="007D19D6">
      <w:pPr>
        <w:jc w:val="center"/>
        <w:rPr>
          <w:b/>
          <w:noProof/>
        </w:rPr>
      </w:pPr>
      <w:bookmarkStart w:id="1340" w:name="_Toc58245201"/>
      <w:r>
        <w:rPr>
          <w:b/>
          <w:noProof/>
        </w:rPr>
        <w:t>Atļauja</w:t>
      </w:r>
      <w:bookmarkEnd w:id="1340"/>
    </w:p>
    <w:p w:rsidR="003E022D" w:rsidRDefault="007D19D6">
      <w:pPr>
        <w:spacing w:after="109" w:line="248" w:lineRule="auto"/>
        <w:ind w:left="-5"/>
        <w:rPr>
          <w:noProof/>
          <w:color w:val="000000" w:themeColor="text1"/>
        </w:rPr>
      </w:pPr>
      <w:r>
        <w:rPr>
          <w:rFonts w:ascii="Times New Roman" w:hAnsi="Times New Roman"/>
          <w:noProof/>
        </w:rPr>
        <w:t>Saskaņā ar Tirdzniecīb</w:t>
      </w:r>
      <w:r>
        <w:rPr>
          <w:rFonts w:ascii="Times New Roman" w:hAnsi="Times New Roman"/>
          <w:noProof/>
        </w:rPr>
        <w:t>as un sadarbības nolīguma starp Eiropas Savienību un Eiropas Atomenerģijas kopienu, no vienas puses, un Lielbritānijas un Ziemeļīrijas Apvienoto Karalisti, no otras puses, Otrās daļas Trešā temata I sadaļu [Kravu autopārvadājumi]</w:t>
      </w:r>
      <w:r>
        <w:rPr>
          <w:rFonts w:ascii="Times New Roman" w:hAnsi="Times New Roman"/>
          <w:noProof/>
          <w:color w:val="000000" w:themeColor="text1"/>
        </w:rPr>
        <w:t xml:space="preserve">  </w:t>
      </w:r>
    </w:p>
    <w:p w:rsidR="003E022D" w:rsidRDefault="007D19D6">
      <w:pPr>
        <w:spacing w:after="147"/>
        <w:rPr>
          <w:noProof/>
          <w:color w:val="000000" w:themeColor="text1"/>
        </w:rPr>
      </w:pPr>
      <w:r>
        <w:rPr>
          <w:rFonts w:ascii="Times New Roman" w:hAnsi="Times New Roman"/>
          <w:noProof/>
          <w:color w:val="000000" w:themeColor="text1"/>
        </w:rPr>
        <w:t xml:space="preserve"> </w:t>
      </w:r>
    </w:p>
    <w:p w:rsidR="003E022D" w:rsidRDefault="007D19D6">
      <w:pPr>
        <w:spacing w:after="139" w:line="248" w:lineRule="auto"/>
        <w:ind w:left="-5"/>
        <w:rPr>
          <w:noProof/>
          <w:color w:val="000000" w:themeColor="text1"/>
        </w:rPr>
      </w:pPr>
      <w:r>
        <w:rPr>
          <w:rFonts w:ascii="Times New Roman" w:hAnsi="Times New Roman"/>
          <w:noProof/>
          <w:color w:val="000000" w:themeColor="text1"/>
        </w:rPr>
        <w:t>IZDOŠANAS VALSTS:</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rsidR="003E022D" w:rsidRDefault="007D19D6">
      <w:pPr>
        <w:spacing w:after="109" w:line="248" w:lineRule="auto"/>
        <w:ind w:left="-5"/>
        <w:rPr>
          <w:noProof/>
          <w:color w:val="000000" w:themeColor="text1"/>
        </w:rPr>
      </w:pPr>
      <w:r>
        <w:rPr>
          <w:rFonts w:ascii="Times New Roman" w:hAnsi="Times New Roman"/>
          <w:noProof/>
          <w:color w:val="000000" w:themeColor="text1"/>
        </w:rPr>
        <w:t>Atļaujas izdevējiestāde:</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rsidR="003E022D" w:rsidRDefault="007D19D6">
      <w:pPr>
        <w:spacing w:after="141" w:line="248" w:lineRule="auto"/>
        <w:ind w:left="-5"/>
        <w:rPr>
          <w:noProof/>
          <w:color w:val="000000" w:themeColor="text1"/>
        </w:rPr>
      </w:pPr>
      <w:r>
        <w:rPr>
          <w:rFonts w:ascii="Times New Roman" w:hAnsi="Times New Roman"/>
          <w:noProof/>
          <w:color w:val="000000" w:themeColor="text1"/>
        </w:rPr>
        <w:t>Izdošanas valsts atšķirības zīme: ……………. (</w:t>
      </w:r>
      <w:r>
        <w:rPr>
          <w:rFonts w:ascii="Times New Roman" w:eastAsia="Times New Roman" w:hAnsi="Times New Roman" w:cs="Times New Roman"/>
          <w:noProof/>
          <w:color w:val="000000" w:themeColor="text1"/>
          <w:vertAlign w:val="superscript"/>
        </w:rPr>
        <w:footnoteReference w:id="130"/>
      </w:r>
      <w:r>
        <w:rPr>
          <w:rFonts w:ascii="Times New Roman" w:hAnsi="Times New Roman"/>
          <w:noProof/>
          <w:color w:val="000000" w:themeColor="text1"/>
        </w:rPr>
        <w:t xml:space="preserve">) </w:t>
      </w:r>
    </w:p>
    <w:p w:rsidR="003E022D" w:rsidRDefault="007D19D6">
      <w:pPr>
        <w:spacing w:after="0" w:line="386" w:lineRule="auto"/>
        <w:ind w:left="-5" w:right="4045"/>
        <w:rPr>
          <w:noProof/>
          <w:color w:val="000000" w:themeColor="text1"/>
        </w:rPr>
      </w:pPr>
      <w:r>
        <w:rPr>
          <w:rFonts w:ascii="Times New Roman" w:hAnsi="Times New Roman"/>
          <w:b/>
          <w:noProof/>
          <w:color w:val="000000" w:themeColor="text1"/>
        </w:rPr>
        <w:t>ATĻAUJA Nr.:</w:t>
      </w:r>
      <w:r>
        <w:rPr>
          <w:rFonts w:ascii="Times New Roman" w:hAnsi="Times New Roman"/>
          <w:noProof/>
          <w:color w:val="000000" w:themeColor="text1"/>
        </w:rPr>
        <w:t xml:space="preserve"> ……………………………... regulāriem pārvadājumiem □ (</w:t>
      </w:r>
      <w:r>
        <w:rPr>
          <w:rFonts w:ascii="Times New Roman" w:hAnsi="Times New Roman"/>
          <w:noProof/>
          <w:color w:val="000000" w:themeColor="text1"/>
          <w:vertAlign w:val="superscript"/>
        </w:rPr>
        <w:t>2</w:t>
      </w:r>
      <w:r>
        <w:rPr>
          <w:rFonts w:ascii="Times New Roman" w:hAnsi="Times New Roman"/>
          <w:noProof/>
          <w:color w:val="000000" w:themeColor="text1"/>
        </w:rPr>
        <w:t>) speciāliem regulāriem pārvadājumiem □ (</w:t>
      </w:r>
      <w:r>
        <w:rPr>
          <w:rFonts w:ascii="Times New Roman" w:hAnsi="Times New Roman"/>
          <w:noProof/>
          <w:color w:val="000000" w:themeColor="text1"/>
          <w:vertAlign w:val="superscript"/>
        </w:rPr>
        <w:t>2</w:t>
      </w:r>
      <w:r>
        <w:rPr>
          <w:rFonts w:ascii="Times New Roman" w:hAnsi="Times New Roman"/>
          <w:noProof/>
          <w:color w:val="000000" w:themeColor="text1"/>
        </w:rPr>
        <w:t xml:space="preserve">) </w:t>
      </w:r>
    </w:p>
    <w:p w:rsidR="003E022D" w:rsidRDefault="007D19D6">
      <w:pPr>
        <w:spacing w:after="153" w:line="248" w:lineRule="auto"/>
        <w:ind w:left="-5"/>
        <w:rPr>
          <w:rFonts w:ascii="Times New Roman" w:hAnsi="Times New Roman" w:cs="Times New Roman"/>
          <w:noProof/>
          <w:color w:val="000000" w:themeColor="text1"/>
        </w:rPr>
      </w:pPr>
      <w:r>
        <w:rPr>
          <w:rFonts w:ascii="Times New Roman" w:hAnsi="Times New Roman"/>
          <w:noProof/>
        </w:rPr>
        <w:t xml:space="preserve">ar autobusiem </w:t>
      </w:r>
      <w:r>
        <w:rPr>
          <w:rFonts w:ascii="Times New Roman" w:hAnsi="Times New Roman"/>
          <w:noProof/>
        </w:rPr>
        <w:t>starp Tirdzniecības un sadarbības nolīguma starp Eiropas Savienību un Eiropas Atomenerģijas kopienu, no vienas puses, un Lielbritānijas un Ziemeļīrijas Apvienoto Karalisti, no otras puses, līgumslēdzējām pusēm,</w:t>
      </w:r>
      <w:r>
        <w:rPr>
          <w:rFonts w:ascii="Times New Roman" w:hAnsi="Times New Roman"/>
          <w:noProof/>
          <w:color w:val="000000" w:themeColor="text1"/>
        </w:rPr>
        <w:t xml:space="preserve"> </w:t>
      </w:r>
    </w:p>
    <w:p w:rsidR="003E022D" w:rsidRDefault="007D19D6">
      <w:pPr>
        <w:spacing w:after="152" w:line="248" w:lineRule="auto"/>
        <w:ind w:left="-5"/>
        <w:rPr>
          <w:noProof/>
          <w:color w:val="000000" w:themeColor="text1"/>
        </w:rPr>
      </w:pPr>
      <w:r>
        <w:rPr>
          <w:rFonts w:ascii="Times New Roman" w:hAnsi="Times New Roman"/>
          <w:noProof/>
          <w:color w:val="000000" w:themeColor="text1"/>
        </w:rPr>
        <w:t>Pārvadātājam: ………………………………………………………………………………</w:t>
      </w:r>
      <w:r>
        <w:rPr>
          <w:rFonts w:ascii="Times New Roman" w:hAnsi="Times New Roman"/>
          <w:noProof/>
          <w:color w:val="000000" w:themeColor="text1"/>
        </w:rPr>
        <w:t xml:space="preserve">…………………... </w:t>
      </w:r>
    </w:p>
    <w:p w:rsidR="003E022D" w:rsidRDefault="007D19D6">
      <w:pPr>
        <w:spacing w:after="109" w:line="248" w:lineRule="auto"/>
        <w:ind w:left="-5"/>
        <w:rPr>
          <w:noProof/>
          <w:color w:val="000000" w:themeColor="text1"/>
        </w:rPr>
      </w:pPr>
      <w:r>
        <w:rPr>
          <w:rFonts w:ascii="Times New Roman" w:hAnsi="Times New Roman"/>
          <w:noProof/>
          <w:color w:val="000000" w:themeColor="text1"/>
        </w:rPr>
        <w:t xml:space="preserve">……………………………………………………………………………………………………….. </w:t>
      </w:r>
    </w:p>
    <w:p w:rsidR="003E022D" w:rsidRDefault="007D19D6">
      <w:pPr>
        <w:spacing w:after="109" w:line="248" w:lineRule="auto"/>
        <w:ind w:left="-5"/>
        <w:rPr>
          <w:noProof/>
          <w:color w:val="000000" w:themeColor="text1"/>
        </w:rPr>
      </w:pPr>
      <w:r>
        <w:rPr>
          <w:rFonts w:ascii="Times New Roman" w:hAnsi="Times New Roman"/>
          <w:noProof/>
          <w:color w:val="000000" w:themeColor="text1"/>
        </w:rPr>
        <w:t xml:space="preserve">Pārvadātāja vai –  uzņēmumu grupas vai partnerības gadījumā – pilnvarotā pārvadātāja uzvārds un vārds vai uzņēmuma nosaukums: </w:t>
      </w:r>
    </w:p>
    <w:p w:rsidR="003E022D" w:rsidRDefault="007D19D6">
      <w:pPr>
        <w:spacing w:after="30" w:line="248" w:lineRule="auto"/>
        <w:ind w:left="-5"/>
        <w:rPr>
          <w:noProof/>
          <w:color w:val="000000" w:themeColor="text1"/>
        </w:rPr>
      </w:pPr>
      <w:r>
        <w:rPr>
          <w:rFonts w:ascii="Times New Roman" w:hAnsi="Times New Roman"/>
          <w:noProof/>
          <w:color w:val="000000" w:themeColor="text1"/>
        </w:rPr>
        <w:t xml:space="preserve">Adrese: </w:t>
      </w:r>
    </w:p>
    <w:p w:rsidR="003E022D" w:rsidRDefault="007D19D6">
      <w:pPr>
        <w:spacing w:after="0" w:line="351" w:lineRule="auto"/>
        <w:ind w:left="-5"/>
        <w:rPr>
          <w:noProof/>
          <w:color w:val="000000" w:themeColor="text1"/>
        </w:rPr>
      </w:pPr>
      <w:r>
        <w:rPr>
          <w:rFonts w:ascii="Times New Roman" w:hAnsi="Times New Roman"/>
          <w:noProof/>
          <w:color w:val="000000" w:themeColor="text1"/>
        </w:rPr>
        <w:t>…………………………………………………………………………………………………... ………………………………………………………………</w:t>
      </w:r>
      <w:r>
        <w:rPr>
          <w:rFonts w:ascii="Times New Roman" w:hAnsi="Times New Roman"/>
          <w:noProof/>
          <w:color w:val="000000" w:themeColor="text1"/>
        </w:rPr>
        <w:t>……………………………………………</w:t>
      </w:r>
    </w:p>
    <w:p w:rsidR="003E022D" w:rsidRDefault="007D19D6">
      <w:pPr>
        <w:spacing w:after="109" w:line="248" w:lineRule="auto"/>
        <w:ind w:left="-5"/>
        <w:rPr>
          <w:noProof/>
          <w:color w:val="000000" w:themeColor="text1"/>
        </w:rPr>
      </w:pPr>
      <w:r>
        <w:rPr>
          <w:rFonts w:ascii="Times New Roman" w:hAnsi="Times New Roman"/>
          <w:noProof/>
          <w:color w:val="000000" w:themeColor="text1"/>
        </w:rPr>
        <w:t xml:space="preserve">... </w:t>
      </w:r>
    </w:p>
    <w:p w:rsidR="003E022D" w:rsidRDefault="007D19D6">
      <w:pPr>
        <w:spacing w:after="29" w:line="248" w:lineRule="auto"/>
        <w:ind w:left="-5"/>
        <w:rPr>
          <w:noProof/>
          <w:color w:val="000000" w:themeColor="text1"/>
        </w:rPr>
      </w:pPr>
      <w:r>
        <w:rPr>
          <w:rFonts w:ascii="Times New Roman" w:hAnsi="Times New Roman"/>
          <w:noProof/>
          <w:color w:val="000000" w:themeColor="text1"/>
        </w:rPr>
        <w:t xml:space="preserve">Tālrunis un fakss vai e-pasts: </w:t>
      </w:r>
    </w:p>
    <w:p w:rsidR="003E022D" w:rsidRDefault="007D19D6">
      <w:pPr>
        <w:spacing w:after="169" w:line="248" w:lineRule="auto"/>
        <w:ind w:left="-5"/>
        <w:rPr>
          <w:noProof/>
          <w:color w:val="000000" w:themeColor="text1"/>
        </w:rPr>
      </w:pPr>
      <w:r>
        <w:rPr>
          <w:rFonts w:ascii="Times New Roman" w:hAnsi="Times New Roman"/>
          <w:noProof/>
          <w:color w:val="000000" w:themeColor="text1"/>
        </w:rPr>
        <w:t xml:space="preserve">.……………………………………………………………………………. </w:t>
      </w:r>
    </w:p>
    <w:p w:rsidR="003E022D" w:rsidRDefault="007D19D6">
      <w:pPr>
        <w:spacing w:after="141" w:line="248" w:lineRule="auto"/>
        <w:ind w:left="178"/>
        <w:rPr>
          <w:noProof/>
          <w:color w:val="000000" w:themeColor="text1"/>
        </w:rPr>
      </w:pPr>
      <w:r>
        <w:rPr>
          <w:rFonts w:ascii="Times New Roman" w:hAnsi="Times New Roman"/>
          <w:noProof/>
          <w:color w:val="000000" w:themeColor="text1"/>
        </w:rPr>
        <w:t>………………………………………………………………………………………………………..</w:t>
      </w:r>
      <w:r>
        <w:rPr>
          <w:rFonts w:ascii="Times New Roman" w:hAnsi="Times New Roman"/>
          <w:noProof/>
          <w:color w:val="000000" w:themeColor="text1"/>
          <w:sz w:val="24"/>
        </w:rPr>
        <w:t xml:space="preserve"> </w:t>
      </w:r>
    </w:p>
    <w:p w:rsidR="003E022D" w:rsidRDefault="003E022D">
      <w:pPr>
        <w:spacing w:after="138"/>
        <w:ind w:right="8"/>
        <w:jc w:val="center"/>
        <w:rPr>
          <w:rFonts w:ascii="Times New Roman" w:eastAsia="Times New Roman" w:hAnsi="Times New Roman" w:cs="Times New Roman"/>
          <w:noProof/>
          <w:color w:val="000000" w:themeColor="text1"/>
        </w:rPr>
      </w:pPr>
    </w:p>
    <w:p w:rsidR="003E022D" w:rsidRDefault="003E022D">
      <w:pPr>
        <w:spacing w:after="138"/>
        <w:ind w:right="8"/>
        <w:jc w:val="center"/>
        <w:rPr>
          <w:rFonts w:ascii="Times New Roman" w:eastAsia="Times New Roman" w:hAnsi="Times New Roman" w:cs="Times New Roman"/>
          <w:noProof/>
          <w:color w:val="000000" w:themeColor="text1"/>
        </w:rPr>
      </w:pPr>
    </w:p>
    <w:p w:rsidR="003E022D" w:rsidRDefault="003E022D">
      <w:pPr>
        <w:spacing w:after="138"/>
        <w:ind w:right="8"/>
        <w:jc w:val="center"/>
        <w:rPr>
          <w:rFonts w:ascii="Times New Roman" w:eastAsia="Times New Roman" w:hAnsi="Times New Roman" w:cs="Times New Roman"/>
          <w:noProof/>
          <w:color w:val="000000" w:themeColor="text1"/>
        </w:rPr>
      </w:pPr>
    </w:p>
    <w:p w:rsidR="003E022D" w:rsidRDefault="007D19D6">
      <w:pPr>
        <w:spacing w:after="138"/>
        <w:ind w:right="8"/>
        <w:jc w:val="center"/>
        <w:rPr>
          <w:noProof/>
          <w:color w:val="000000" w:themeColor="text1"/>
          <w:sz w:val="24"/>
        </w:rPr>
      </w:pPr>
      <w:r>
        <w:rPr>
          <w:rFonts w:ascii="Times New Roman" w:hAnsi="Times New Roman"/>
          <w:noProof/>
          <w:color w:val="000000" w:themeColor="text1"/>
        </w:rPr>
        <w:t xml:space="preserve">(Atļaujas otrā lappuse)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Pārvadātāja nosaukums, adrese, tālruņa un faksa numuri vai e-pasta adreses vai – pārvadātāju grup</w:t>
      </w:r>
      <w:r>
        <w:rPr>
          <w:rFonts w:ascii="Times New Roman" w:hAnsi="Times New Roman"/>
          <w:noProof/>
          <w:color w:val="000000" w:themeColor="text1"/>
          <w:sz w:val="20"/>
        </w:rPr>
        <w:t xml:space="preserve">u vai partnerību gadījumā – visu pārvadātāju grupas vai partnerības pārvadātāju nosaukumi; turklāt norāda visu apakšuzņēmēju nosaukumus: </w:t>
      </w:r>
    </w:p>
    <w:p w:rsidR="003E022D" w:rsidRDefault="007D19D6">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3E022D" w:rsidRDefault="007D19D6">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3E022D" w:rsidRDefault="007D19D6">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3E022D" w:rsidRDefault="007D19D6">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rsidR="003E022D" w:rsidRDefault="007D19D6">
      <w:pPr>
        <w:numPr>
          <w:ilvl w:val="0"/>
          <w:numId w:val="936"/>
        </w:numPr>
        <w:spacing w:after="130" w:line="248" w:lineRule="auto"/>
        <w:ind w:right="3" w:hanging="567"/>
        <w:rPr>
          <w:noProof/>
          <w:color w:val="000000" w:themeColor="text1"/>
        </w:rPr>
      </w:pPr>
      <w:r>
        <w:rPr>
          <w:rFonts w:ascii="Times New Roman" w:hAnsi="Times New Roman"/>
          <w:noProof/>
          <w:color w:val="000000" w:themeColor="text1"/>
          <w:sz w:val="20"/>
        </w:rPr>
        <w:t xml:space="preserve">……………………………………………………………………………………………………………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 xml:space="preserve">Vajadzības gadījumā pievienots saraksts.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 xml:space="preserve">Atļaujas derīguma termiņš: no: ………………………………. līdz: ……………………………..……...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Izdošanas viet</w:t>
      </w:r>
      <w:r>
        <w:rPr>
          <w:rFonts w:ascii="Times New Roman" w:hAnsi="Times New Roman"/>
          <w:noProof/>
          <w:color w:val="000000" w:themeColor="text1"/>
          <w:sz w:val="20"/>
        </w:rPr>
        <w:t xml:space="preserve">a un datums: ………………………………………………………………………………………..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 xml:space="preserve">Izdevējiestādes vai aģentūras paraksts un zīmogs: ……………………………………………………..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 xml:space="preserve">1. Maršruts: ……………………………………………………………………………………………………….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3E022D" w:rsidRDefault="007D19D6">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Pārvadājumu sākumpunkts: ………</w:t>
      </w:r>
      <w:r>
        <w:rPr>
          <w:rFonts w:ascii="Times New Roman" w:hAnsi="Times New Roman"/>
          <w:noProof/>
          <w:color w:val="000000" w:themeColor="text1"/>
          <w:sz w:val="20"/>
        </w:rPr>
        <w:t xml:space="preserve">…………………………...…………………………………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3E022D" w:rsidRDefault="007D19D6">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 xml:space="preserve">Pārvadājumu galapunkts: …………….……………………………………………………..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Pamatmaršruts, pasvītrojot pasažieru iekāpšanas un izkāpšanas pun</w:t>
      </w:r>
      <w:r>
        <w:rPr>
          <w:rFonts w:ascii="Times New Roman" w:hAnsi="Times New Roman"/>
          <w:noProof/>
          <w:color w:val="000000" w:themeColor="text1"/>
          <w:sz w:val="20"/>
        </w:rPr>
        <w:t xml:space="preserve">ktus: ………………..……..………… </w:t>
      </w:r>
    </w:p>
    <w:p w:rsidR="003E022D" w:rsidRDefault="007D19D6">
      <w:pPr>
        <w:spacing w:after="0" w:line="425" w:lineRule="auto"/>
        <w:ind w:left="-5" w:right="131"/>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 </w:t>
      </w:r>
    </w:p>
    <w:p w:rsidR="003E022D" w:rsidRDefault="007D19D6">
      <w:pPr>
        <w:spacing w:after="0" w:line="425" w:lineRule="auto"/>
        <w:ind w:left="-5" w:right="131"/>
        <w:rPr>
          <w:noProof/>
          <w:color w:val="000000" w:themeColor="text1"/>
        </w:rPr>
      </w:pPr>
      <w:r>
        <w:rPr>
          <w:rFonts w:ascii="Times New Roman" w:hAnsi="Times New Roman"/>
          <w:noProof/>
          <w:color w:val="000000" w:themeColor="text1"/>
          <w:sz w:val="20"/>
        </w:rPr>
        <w:t xml:space="preserve">2. Kustības grafiks: ………………………………………………………………………………………………..…. </w:t>
      </w:r>
    </w:p>
    <w:p w:rsidR="003E022D" w:rsidRDefault="007D19D6">
      <w:pPr>
        <w:spacing w:after="39" w:line="385" w:lineRule="auto"/>
        <w:ind w:left="-5" w:right="6394"/>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(pievienots šai atļaujai) </w:t>
      </w:r>
    </w:p>
    <w:p w:rsidR="003E022D" w:rsidRDefault="007D19D6">
      <w:pPr>
        <w:spacing w:after="39" w:line="385" w:lineRule="auto"/>
        <w:ind w:left="-5" w:right="6394"/>
        <w:rPr>
          <w:noProof/>
          <w:color w:val="000000" w:themeColor="text1"/>
        </w:rPr>
      </w:pPr>
      <w:r>
        <w:rPr>
          <w:rFonts w:ascii="Times New Roman" w:hAnsi="Times New Roman"/>
          <w:noProof/>
          <w:color w:val="000000" w:themeColor="text1"/>
          <w:sz w:val="20"/>
        </w:rPr>
        <w:t xml:space="preserve">3. Speciālie regulārie pārvadājumi: </w:t>
      </w:r>
    </w:p>
    <w:p w:rsidR="003E022D" w:rsidRDefault="007D19D6">
      <w:pPr>
        <w:spacing w:after="170" w:line="248" w:lineRule="auto"/>
        <w:ind w:left="1426" w:right="3"/>
        <w:rPr>
          <w:noProof/>
          <w:color w:val="000000" w:themeColor="text1"/>
        </w:rPr>
      </w:pPr>
      <w:r>
        <w:rPr>
          <w:rFonts w:ascii="Times New Roman" w:hAnsi="Times New Roman"/>
          <w:noProof/>
          <w:color w:val="000000" w:themeColor="text1"/>
          <w:sz w:val="20"/>
        </w:rPr>
        <w:t xml:space="preserve">a) Pasažieru kategorija: ………………….………………….……. </w:t>
      </w:r>
    </w:p>
    <w:p w:rsidR="003E022D" w:rsidRDefault="007D19D6">
      <w:pPr>
        <w:spacing w:after="170" w:line="248" w:lineRule="auto"/>
        <w:ind w:left="1426" w:right="3"/>
        <w:rPr>
          <w:noProof/>
          <w:color w:val="000000" w:themeColor="text1"/>
        </w:rPr>
      </w:pPr>
      <w:r>
        <w:rPr>
          <w:rFonts w:ascii="Times New Roman" w:hAnsi="Times New Roman"/>
          <w:noProof/>
          <w:color w:val="000000" w:themeColor="text1"/>
          <w:sz w:val="20"/>
        </w:rPr>
        <w:t xml:space="preserve">……………………………........................................................................... </w:t>
      </w:r>
    </w:p>
    <w:p w:rsidR="003E022D" w:rsidRDefault="007D19D6">
      <w:pPr>
        <w:spacing w:after="130" w:line="248" w:lineRule="auto"/>
        <w:ind w:left="-5" w:right="3"/>
        <w:rPr>
          <w:noProof/>
          <w:color w:val="000000" w:themeColor="text1"/>
        </w:rPr>
      </w:pPr>
      <w:r>
        <w:rPr>
          <w:rFonts w:ascii="Times New Roman" w:hAnsi="Times New Roman"/>
          <w:noProof/>
          <w:color w:val="000000" w:themeColor="text1"/>
          <w:sz w:val="20"/>
        </w:rPr>
        <w:t xml:space="preserve">4. Citi nosacījumi vai īpaši noteikumi …...…………................................................... </w:t>
      </w:r>
    </w:p>
    <w:p w:rsidR="003E022D" w:rsidRDefault="007D19D6">
      <w:pPr>
        <w:spacing w:after="132" w:line="248" w:lineRule="auto"/>
        <w:ind w:left="1426" w:right="3"/>
        <w:rPr>
          <w:noProof/>
          <w:color w:val="000000" w:themeColor="text1"/>
        </w:rPr>
      </w:pPr>
      <w:r>
        <w:rPr>
          <w:rFonts w:ascii="Times New Roman" w:hAnsi="Times New Roman"/>
          <w:noProof/>
          <w:color w:val="000000" w:themeColor="text1"/>
          <w:sz w:val="20"/>
        </w:rPr>
        <w:t>....................................................................</w:t>
      </w:r>
      <w:r>
        <w:rPr>
          <w:rFonts w:ascii="Times New Roman" w:hAnsi="Times New Roman"/>
          <w:noProof/>
          <w:color w:val="000000" w:themeColor="text1"/>
          <w:sz w:val="20"/>
        </w:rPr>
        <w:t xml:space="preserve">......................................... </w:t>
      </w:r>
    </w:p>
    <w:p w:rsidR="003E022D" w:rsidRDefault="007D19D6">
      <w:pPr>
        <w:spacing w:after="130" w:line="248" w:lineRule="auto"/>
        <w:ind w:left="1426" w:right="3"/>
        <w:rPr>
          <w:noProof/>
          <w:color w:val="000000" w:themeColor="text1"/>
        </w:rPr>
      </w:pPr>
      <w:r>
        <w:rPr>
          <w:rFonts w:ascii="Times New Roman" w:hAnsi="Times New Roman"/>
          <w:noProof/>
          <w:color w:val="000000" w:themeColor="text1"/>
          <w:sz w:val="20"/>
        </w:rPr>
        <w:t xml:space="preserve">............................................................................................................. </w:t>
      </w:r>
    </w:p>
    <w:p w:rsidR="003E022D" w:rsidRDefault="007D19D6">
      <w:pPr>
        <w:spacing w:after="0" w:line="367" w:lineRule="auto"/>
        <w:ind w:left="-15" w:right="3" w:firstLine="5521"/>
        <w:rPr>
          <w:noProof/>
          <w:color w:val="000000" w:themeColor="text1"/>
        </w:rPr>
      </w:pPr>
      <w:r>
        <w:rPr>
          <w:rFonts w:ascii="Times New Roman" w:hAnsi="Times New Roman"/>
          <w:noProof/>
          <w:color w:val="000000" w:themeColor="text1"/>
          <w:sz w:val="20"/>
        </w:rPr>
        <w:t xml:space="preserve">Atļaujas izdevējiestādes zīmogs </w:t>
      </w:r>
      <w:r>
        <w:rPr>
          <w:rFonts w:ascii="Times New Roman" w:hAnsi="Times New Roman"/>
          <w:b/>
          <w:noProof/>
          <w:color w:val="000000" w:themeColor="text1"/>
          <w:sz w:val="20"/>
          <w:u w:val="single" w:color="00B0F0"/>
        </w:rPr>
        <w:t>Svarīgs paziņojums:</w:t>
      </w:r>
      <w:r>
        <w:rPr>
          <w:rFonts w:ascii="Times New Roman" w:hAnsi="Times New Roman"/>
          <w:b/>
          <w:noProof/>
          <w:color w:val="000000" w:themeColor="text1"/>
          <w:sz w:val="20"/>
        </w:rPr>
        <w:t xml:space="preserve"> </w:t>
      </w:r>
    </w:p>
    <w:p w:rsidR="003E022D" w:rsidRDefault="007D19D6">
      <w:pPr>
        <w:spacing w:after="118" w:line="248" w:lineRule="auto"/>
        <w:ind w:left="567" w:right="3" w:hanging="567"/>
        <w:rPr>
          <w:noProof/>
          <w:color w:val="000000" w:themeColor="text1"/>
        </w:rPr>
      </w:pPr>
      <w:r>
        <w:rPr>
          <w:rFonts w:ascii="Times New Roman" w:hAnsi="Times New Roman"/>
          <w:noProof/>
          <w:color w:val="000000" w:themeColor="text1"/>
          <w:sz w:val="20"/>
        </w:rPr>
        <w:t xml:space="preserve">1) </w:t>
      </w:r>
      <w:r>
        <w:rPr>
          <w:noProof/>
        </w:rPr>
        <w:tab/>
      </w:r>
      <w:r>
        <w:rPr>
          <w:rFonts w:ascii="Times New Roman" w:hAnsi="Times New Roman"/>
          <w:noProof/>
          <w:color w:val="000000" w:themeColor="text1"/>
          <w:sz w:val="20"/>
        </w:rPr>
        <w:t xml:space="preserve">Šī atļauja ir derīga visam braucienam. </w:t>
      </w:r>
    </w:p>
    <w:p w:rsidR="003E022D" w:rsidRDefault="007D19D6">
      <w:pPr>
        <w:spacing w:after="116" w:line="248" w:lineRule="auto"/>
        <w:ind w:left="567" w:right="3" w:hanging="567"/>
        <w:rPr>
          <w:noProof/>
          <w:color w:val="000000" w:themeColor="text1"/>
        </w:rPr>
      </w:pPr>
      <w:r>
        <w:rPr>
          <w:rFonts w:ascii="Times New Roman" w:hAnsi="Times New Roman"/>
          <w:noProof/>
          <w:color w:val="000000" w:themeColor="text1"/>
          <w:sz w:val="20"/>
        </w:rPr>
        <w:t xml:space="preserve">2) </w:t>
      </w:r>
      <w:r>
        <w:rPr>
          <w:noProof/>
        </w:rPr>
        <w:tab/>
      </w:r>
      <w:r>
        <w:rPr>
          <w:rFonts w:ascii="Times New Roman" w:hAnsi="Times New Roman"/>
          <w:noProof/>
          <w:color w:val="000000" w:themeColor="text1"/>
          <w:sz w:val="20"/>
        </w:rPr>
        <w:t>A</w:t>
      </w:r>
      <w:r>
        <w:rPr>
          <w:rFonts w:ascii="Times New Roman" w:hAnsi="Times New Roman"/>
          <w:noProof/>
          <w:color w:val="000000" w:themeColor="text1"/>
          <w:sz w:val="20"/>
        </w:rPr>
        <w:t xml:space="preserve">tļauju vai atļaujas izdevējiestādes apliecinātu kopiju visu brauciena laiku glabā transportlīdzeklī un pēc pieprasījuma uzrāda izpildes amatpersonām. </w:t>
      </w:r>
    </w:p>
    <w:p w:rsidR="003E022D" w:rsidRDefault="007D19D6">
      <w:pPr>
        <w:spacing w:after="170" w:line="248" w:lineRule="auto"/>
        <w:ind w:left="567" w:right="3" w:hanging="567"/>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3) </w:t>
      </w:r>
      <w:r>
        <w:rPr>
          <w:noProof/>
        </w:rPr>
        <w:tab/>
      </w:r>
      <w:r>
        <w:rPr>
          <w:rFonts w:ascii="Times New Roman" w:hAnsi="Times New Roman"/>
          <w:noProof/>
          <w:color w:val="000000" w:themeColor="text1"/>
          <w:sz w:val="20"/>
        </w:rPr>
        <w:t>Maršruta sākumpunkts vai galapunkts ir tās līgumslēdzējas puses teritorijā, kurā pārvadātājs veic uzņ</w:t>
      </w:r>
      <w:r>
        <w:rPr>
          <w:rFonts w:ascii="Times New Roman" w:hAnsi="Times New Roman"/>
          <w:noProof/>
          <w:color w:val="000000" w:themeColor="text1"/>
          <w:sz w:val="20"/>
        </w:rPr>
        <w:t xml:space="preserve">ēmējdarbību un kurā reģistrēti autobusi. </w:t>
      </w:r>
    </w:p>
    <w:p w:rsidR="003E022D" w:rsidRDefault="007D19D6">
      <w:pPr>
        <w:spacing w:after="96"/>
        <w:ind w:right="7"/>
        <w:jc w:val="center"/>
        <w:rPr>
          <w:noProof/>
          <w:color w:val="000000" w:themeColor="text1"/>
        </w:rPr>
      </w:pPr>
      <w:r>
        <w:rPr>
          <w:rFonts w:ascii="Times New Roman" w:hAnsi="Times New Roman"/>
          <w:noProof/>
          <w:color w:val="000000" w:themeColor="text1"/>
          <w:sz w:val="24"/>
        </w:rPr>
        <w:t xml:space="preserve">(Atļaujas trešā lappuse) </w:t>
      </w:r>
    </w:p>
    <w:p w:rsidR="003E022D" w:rsidRDefault="007D19D6">
      <w:pPr>
        <w:spacing w:after="100"/>
        <w:ind w:left="53"/>
        <w:jc w:val="center"/>
        <w:rPr>
          <w:noProof/>
          <w:color w:val="000000" w:themeColor="text1"/>
        </w:rPr>
      </w:pPr>
      <w:r>
        <w:rPr>
          <w:rFonts w:ascii="Times New Roman" w:hAnsi="Times New Roman"/>
          <w:noProof/>
          <w:color w:val="000000" w:themeColor="text1"/>
          <w:sz w:val="24"/>
        </w:rPr>
        <w:t xml:space="preserve"> </w:t>
      </w:r>
    </w:p>
    <w:p w:rsidR="003E022D" w:rsidRDefault="007D19D6">
      <w:pPr>
        <w:spacing w:after="10"/>
        <w:ind w:right="7"/>
        <w:jc w:val="center"/>
        <w:rPr>
          <w:noProof/>
          <w:color w:val="000000" w:themeColor="text1"/>
        </w:rPr>
      </w:pPr>
      <w:r>
        <w:rPr>
          <w:rFonts w:ascii="Times New Roman" w:hAnsi="Times New Roman"/>
          <w:b/>
          <w:noProof/>
          <w:color w:val="000000" w:themeColor="text1"/>
          <w:sz w:val="24"/>
        </w:rPr>
        <w:t xml:space="preserve">VISPĀRĪGI APSVĒRUMI </w:t>
      </w:r>
    </w:p>
    <w:p w:rsidR="003E022D" w:rsidRDefault="007D19D6">
      <w:pPr>
        <w:spacing w:after="96"/>
        <w:ind w:left="53"/>
        <w:jc w:val="center"/>
        <w:rPr>
          <w:noProof/>
          <w:color w:val="000000" w:themeColor="text1"/>
        </w:rPr>
      </w:pPr>
      <w:r>
        <w:rPr>
          <w:rFonts w:ascii="Times New Roman" w:hAnsi="Times New Roman"/>
          <w:noProof/>
          <w:color w:val="000000" w:themeColor="text1"/>
          <w:sz w:val="24"/>
        </w:rPr>
        <w:t xml:space="preserve"> </w:t>
      </w:r>
    </w:p>
    <w:p w:rsidR="003E022D" w:rsidRDefault="007D19D6">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Pasažieru autopārvadātājs pārvadājumus sāk laikposmā, kas norādīts atļauju piešķīrušās atļaujas izdevējiestādes lēmumā. </w:t>
      </w:r>
    </w:p>
    <w:p w:rsidR="003E022D" w:rsidRDefault="007D19D6">
      <w:pPr>
        <w:spacing w:after="96"/>
        <w:rPr>
          <w:noProof/>
          <w:color w:val="000000" w:themeColor="text1"/>
        </w:rPr>
      </w:pPr>
      <w:r>
        <w:rPr>
          <w:rFonts w:ascii="Times New Roman" w:hAnsi="Times New Roman"/>
          <w:noProof/>
          <w:color w:val="000000" w:themeColor="text1"/>
          <w:sz w:val="24"/>
        </w:rPr>
        <w:t xml:space="preserve"> </w:t>
      </w:r>
    </w:p>
    <w:p w:rsidR="003E022D" w:rsidRDefault="007D19D6">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Izņemot nepārvaramas varas gadījumus, pārvadātājs, kas nodrošina regulāros vai speciālos regulāros starptautiskos pārvadājumus, veic visus pasākumus nolūkā garantēt pārvadājumu atbilstību atļaujā norādītajiem nosacījumiem. </w:t>
      </w:r>
    </w:p>
    <w:p w:rsidR="003E022D" w:rsidRDefault="007D19D6">
      <w:pPr>
        <w:spacing w:after="96"/>
        <w:rPr>
          <w:noProof/>
          <w:color w:val="000000" w:themeColor="text1"/>
        </w:rPr>
      </w:pPr>
      <w:r>
        <w:rPr>
          <w:rFonts w:ascii="Times New Roman" w:hAnsi="Times New Roman"/>
          <w:noProof/>
          <w:color w:val="000000" w:themeColor="text1"/>
          <w:sz w:val="24"/>
        </w:rPr>
        <w:t xml:space="preserve"> </w:t>
      </w:r>
    </w:p>
    <w:p w:rsidR="003E022D" w:rsidRDefault="007D19D6">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Pārvadātājs publisko informāci</w:t>
      </w:r>
      <w:r>
        <w:rPr>
          <w:rFonts w:ascii="Times New Roman" w:hAnsi="Times New Roman"/>
          <w:noProof/>
          <w:color w:val="000000" w:themeColor="text1"/>
          <w:sz w:val="24"/>
        </w:rPr>
        <w:t xml:space="preserve">ju par pārvadājumu maršrutu, pieturvietām, kustības grafiku, braukšanas maksām un pārvadāšanas nosacījumiem. </w:t>
      </w:r>
    </w:p>
    <w:p w:rsidR="003E022D" w:rsidRDefault="007D19D6">
      <w:pPr>
        <w:spacing w:after="96"/>
        <w:rPr>
          <w:noProof/>
          <w:color w:val="000000" w:themeColor="text1"/>
        </w:rPr>
      </w:pPr>
      <w:r>
        <w:rPr>
          <w:rFonts w:ascii="Times New Roman" w:hAnsi="Times New Roman"/>
          <w:noProof/>
          <w:color w:val="000000" w:themeColor="text1"/>
          <w:sz w:val="24"/>
        </w:rPr>
        <w:t xml:space="preserve"> </w:t>
      </w:r>
    </w:p>
    <w:p w:rsidR="003E022D" w:rsidRDefault="007D19D6">
      <w:pPr>
        <w:numPr>
          <w:ilvl w:val="0"/>
          <w:numId w:val="938"/>
        </w:numPr>
        <w:spacing w:after="3" w:line="249" w:lineRule="auto"/>
        <w:ind w:hanging="850"/>
        <w:rPr>
          <w:noProof/>
          <w:color w:val="000000" w:themeColor="text1"/>
          <w:sz w:val="24"/>
          <w:szCs w:val="24"/>
        </w:rPr>
      </w:pPr>
      <w:r>
        <w:rPr>
          <w:rFonts w:ascii="Times New Roman" w:hAnsi="Times New Roman"/>
          <w:noProof/>
          <w:sz w:val="24"/>
        </w:rPr>
        <w:t xml:space="preserve">Neskarot dokumentus, kas attiecas uz transportlīdzekli un tā vadītāju (piemēram, transportlīdzekļa reģistrācijas apliecība un transportlīdzekļa </w:t>
      </w:r>
      <w:r>
        <w:rPr>
          <w:rFonts w:ascii="Times New Roman" w:hAnsi="Times New Roman"/>
          <w:noProof/>
          <w:sz w:val="24"/>
        </w:rPr>
        <w:t>vadītāja apliecība), turpmāk norādītie dokumenti ir kontroles dokumenti, kas prasīti saskaņā ar Tirdzniecības un sadarbības nolīguma starp Eiropas Savienību un Eiropas Atomenerģijas kopienu, no vienas puses, un Lielbritānijas un Ziemeļīrijas Apvienoto Kara</w:t>
      </w:r>
      <w:r>
        <w:rPr>
          <w:rFonts w:ascii="Times New Roman" w:hAnsi="Times New Roman"/>
          <w:noProof/>
          <w:sz w:val="24"/>
        </w:rPr>
        <w:t xml:space="preserve">listi, no otras puses, </w:t>
      </w:r>
      <w:r>
        <w:rPr>
          <w:rFonts w:ascii="Times New Roman" w:hAnsi="Times New Roman"/>
          <w:noProof/>
          <w:sz w:val="24"/>
          <w:szCs w:val="24"/>
        </w:rPr>
        <w:t>Otrās daļas Trešā temata II sadaļas [Pasažieru autopārvadājumi] X+4 pantu</w:t>
      </w:r>
      <w:r>
        <w:rPr>
          <w:rFonts w:ascii="Times New Roman" w:hAnsi="Times New Roman"/>
          <w:noProof/>
          <w:sz w:val="24"/>
        </w:rPr>
        <w:t xml:space="preserve"> un glabājami transportlīdzeklī un pēc pieprasījuma uzrādāmi attiecīgi pilnvarotam kontroles darbiniekam:</w:t>
      </w:r>
      <w:r>
        <w:rPr>
          <w:rFonts w:ascii="Times New Roman" w:hAnsi="Times New Roman"/>
          <w:noProof/>
          <w:color w:val="000000" w:themeColor="text1"/>
          <w:sz w:val="24"/>
          <w:szCs w:val="24"/>
        </w:rPr>
        <w:t xml:space="preserve"> </w:t>
      </w:r>
    </w:p>
    <w:p w:rsidR="003E022D" w:rsidRDefault="007D19D6">
      <w:pPr>
        <w:spacing w:after="96"/>
        <w:rPr>
          <w:noProof/>
          <w:color w:val="000000" w:themeColor="text1"/>
        </w:rPr>
      </w:pPr>
      <w:r>
        <w:rPr>
          <w:rFonts w:ascii="Times New Roman" w:hAnsi="Times New Roman"/>
          <w:noProof/>
          <w:color w:val="000000" w:themeColor="text1"/>
          <w:sz w:val="24"/>
        </w:rPr>
        <w:t xml:space="preserve"> </w:t>
      </w:r>
    </w:p>
    <w:p w:rsidR="003E022D" w:rsidRDefault="007D19D6">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regulāro vai speciālo regulāro starptautisko pārvad</w:t>
      </w:r>
      <w:r>
        <w:rPr>
          <w:rFonts w:ascii="Times New Roman" w:hAnsi="Times New Roman"/>
          <w:noProof/>
          <w:color w:val="000000" w:themeColor="text1"/>
          <w:sz w:val="24"/>
        </w:rPr>
        <w:t xml:space="preserve">ājumu atļauja vai tās apliecināta kopija; </w:t>
      </w:r>
    </w:p>
    <w:p w:rsidR="003E022D" w:rsidRDefault="007D19D6">
      <w:pPr>
        <w:spacing w:after="96"/>
        <w:rPr>
          <w:noProof/>
          <w:color w:val="000000" w:themeColor="text1"/>
        </w:rPr>
      </w:pPr>
      <w:r>
        <w:rPr>
          <w:rFonts w:ascii="Times New Roman" w:hAnsi="Times New Roman"/>
          <w:noProof/>
          <w:color w:val="000000" w:themeColor="text1"/>
          <w:sz w:val="24"/>
        </w:rPr>
        <w:t xml:space="preserve"> </w:t>
      </w:r>
    </w:p>
    <w:p w:rsidR="003E022D" w:rsidRDefault="007D19D6">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pārvadātāja licence starptautiskajiem pasažieru autopārvadājumiem, kas izdota saskaņā ar Apvienotās Karalistes vai Savienības tiesību aktiem, vai tās apliecināta kopija; </w:t>
      </w:r>
    </w:p>
    <w:p w:rsidR="003E022D" w:rsidRDefault="007D19D6">
      <w:pPr>
        <w:spacing w:after="96"/>
        <w:rPr>
          <w:noProof/>
          <w:color w:val="000000" w:themeColor="text1"/>
        </w:rPr>
      </w:pPr>
      <w:r>
        <w:rPr>
          <w:rFonts w:ascii="Times New Roman" w:hAnsi="Times New Roman"/>
          <w:noProof/>
          <w:color w:val="000000" w:themeColor="text1"/>
          <w:sz w:val="24"/>
        </w:rPr>
        <w:t xml:space="preserve"> </w:t>
      </w:r>
    </w:p>
    <w:p w:rsidR="003E022D" w:rsidRDefault="007D19D6">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speciālo regulāro starptautisko pārvad</w:t>
      </w:r>
      <w:r>
        <w:rPr>
          <w:rFonts w:ascii="Times New Roman" w:hAnsi="Times New Roman"/>
          <w:noProof/>
          <w:color w:val="000000" w:themeColor="text1"/>
          <w:sz w:val="24"/>
        </w:rPr>
        <w:t xml:space="preserve">ājumu gadījumā – starp organizētāju un pārvadātāju noslēgtais līgums vai tā apliecināta kopija, kā arī dokuments, kas apliecina, ka speciālo regulāro pārvadājumu pasažieri ir īpaša pasažieru kategorija, no kuras izslēgti citi pasažieri; </w:t>
      </w:r>
    </w:p>
    <w:p w:rsidR="003E022D" w:rsidRDefault="007D19D6">
      <w:pPr>
        <w:spacing w:after="96"/>
        <w:rPr>
          <w:noProof/>
          <w:color w:val="000000" w:themeColor="text1"/>
        </w:rPr>
      </w:pPr>
      <w:r>
        <w:rPr>
          <w:rFonts w:ascii="Times New Roman" w:hAnsi="Times New Roman"/>
          <w:noProof/>
          <w:color w:val="000000" w:themeColor="text1"/>
          <w:sz w:val="24"/>
        </w:rPr>
        <w:t xml:space="preserve"> </w:t>
      </w:r>
    </w:p>
    <w:p w:rsidR="003E022D" w:rsidRDefault="007D19D6">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ja pārvadātājs, </w:t>
      </w:r>
      <w:r>
        <w:rPr>
          <w:rFonts w:ascii="Times New Roman" w:hAnsi="Times New Roman"/>
          <w:noProof/>
          <w:color w:val="000000" w:themeColor="text1"/>
          <w:sz w:val="24"/>
        </w:rPr>
        <w:t>kas nodrošina regulāros vai speciālos regulāros pārvadājumus, zināmu laiku un izņēmuma apstākļos izmanto papildu transportlīdzekļus, papildus iepriekš minētajiem attiecīgajiem dokumentiem – starp pārvadātāju, kas veic regulāros vai speciālos regulāros star</w:t>
      </w:r>
      <w:r>
        <w:rPr>
          <w:rFonts w:ascii="Times New Roman" w:hAnsi="Times New Roman"/>
          <w:noProof/>
          <w:color w:val="000000" w:themeColor="text1"/>
          <w:sz w:val="24"/>
        </w:rPr>
        <w:t xml:space="preserve">ptautiskos pārvadājumus, un uzņēmumu, kas nodrošina papildu transportlīdzekļus, noslēgtā līguma kopija vai līdzvērtīgs dokuments. </w:t>
      </w:r>
    </w:p>
    <w:p w:rsidR="003E022D" w:rsidRDefault="007D19D6">
      <w:pPr>
        <w:spacing w:after="96"/>
        <w:jc w:val="center"/>
        <w:rPr>
          <w:noProof/>
          <w:color w:val="000000" w:themeColor="text1"/>
        </w:rPr>
      </w:pPr>
      <w:r>
        <w:rPr>
          <w:rFonts w:ascii="Times New Roman" w:hAnsi="Times New Roman"/>
          <w:noProof/>
          <w:color w:val="000000" w:themeColor="text1"/>
          <w:sz w:val="24"/>
        </w:rPr>
        <w:t xml:space="preserve">(Atļaujas ceturtā lappuse) </w:t>
      </w:r>
    </w:p>
    <w:p w:rsidR="003E022D" w:rsidRDefault="007D19D6">
      <w:pPr>
        <w:spacing w:after="96"/>
        <w:ind w:left="53"/>
        <w:jc w:val="center"/>
        <w:rPr>
          <w:noProof/>
          <w:color w:val="000000" w:themeColor="text1"/>
        </w:rPr>
      </w:pPr>
      <w:r>
        <w:rPr>
          <w:rFonts w:ascii="Times New Roman" w:hAnsi="Times New Roman"/>
          <w:noProof/>
          <w:color w:val="000000" w:themeColor="text1"/>
          <w:sz w:val="24"/>
        </w:rPr>
        <w:t xml:space="preserve"> </w:t>
      </w:r>
    </w:p>
    <w:p w:rsidR="003E022D" w:rsidRDefault="007D19D6">
      <w:pPr>
        <w:spacing w:after="106"/>
        <w:jc w:val="center"/>
        <w:rPr>
          <w:b/>
          <w:noProof/>
          <w:color w:val="000000" w:themeColor="text1"/>
        </w:rPr>
      </w:pPr>
      <w:r>
        <w:rPr>
          <w:rFonts w:ascii="Times New Roman" w:hAnsi="Times New Roman"/>
          <w:b/>
          <w:noProof/>
          <w:color w:val="000000" w:themeColor="text1"/>
          <w:sz w:val="24"/>
        </w:rPr>
        <w:t xml:space="preserve">VISPĀRĪGI APSVĒRUMI (turp.) </w:t>
      </w:r>
    </w:p>
    <w:p w:rsidR="003E022D" w:rsidRDefault="007D19D6">
      <w:pPr>
        <w:spacing w:after="96"/>
        <w:ind w:left="53"/>
        <w:jc w:val="center"/>
        <w:rPr>
          <w:noProof/>
          <w:color w:val="000000" w:themeColor="text1"/>
        </w:rPr>
      </w:pPr>
      <w:r>
        <w:rPr>
          <w:rFonts w:ascii="Times New Roman" w:hAnsi="Times New Roman"/>
          <w:noProof/>
          <w:color w:val="000000" w:themeColor="text1"/>
          <w:sz w:val="24"/>
        </w:rPr>
        <w:t xml:space="preserve"> </w:t>
      </w:r>
    </w:p>
    <w:p w:rsidR="003E022D" w:rsidRDefault="007D19D6">
      <w:pPr>
        <w:numPr>
          <w:ilvl w:val="0"/>
          <w:numId w:val="938"/>
        </w:numPr>
        <w:spacing w:after="110" w:line="249" w:lineRule="auto"/>
        <w:ind w:hanging="850"/>
        <w:rPr>
          <w:noProof/>
          <w:color w:val="000000" w:themeColor="text1"/>
        </w:rPr>
      </w:pPr>
      <w:r>
        <w:rPr>
          <w:rFonts w:ascii="Times New Roman" w:hAnsi="Times New Roman"/>
          <w:noProof/>
          <w:color w:val="000000" w:themeColor="text1"/>
          <w:sz w:val="24"/>
        </w:rPr>
        <w:t>Pārvadātāji, kuri nodrošina regulāros starptautiskos pārvadājumus, izņemot speciālos regulāros pārvadājumus, izdod transporta biļetes, kas apliecina pasažiera tiesības tikt pārvadātam un ir kontroles dokuments, kas liecina par individuāla vai kolektīva pār</w:t>
      </w:r>
      <w:r>
        <w:rPr>
          <w:rFonts w:ascii="Times New Roman" w:hAnsi="Times New Roman"/>
          <w:noProof/>
          <w:color w:val="000000" w:themeColor="text1"/>
          <w:sz w:val="24"/>
        </w:rPr>
        <w:t xml:space="preserve">vadājuma līguma noslēgšanu starp pasažieri un pārvadātāju. Biļetēs, kas var arī būt elektroniskas, norāda: </w:t>
      </w:r>
    </w:p>
    <w:p w:rsidR="003E022D" w:rsidRDefault="007D19D6">
      <w:pPr>
        <w:spacing w:after="99"/>
        <w:rPr>
          <w:noProof/>
          <w:color w:val="000000" w:themeColor="text1"/>
        </w:rPr>
      </w:pPr>
      <w:r>
        <w:rPr>
          <w:rFonts w:ascii="Times New Roman" w:hAnsi="Times New Roman"/>
          <w:noProof/>
          <w:color w:val="000000" w:themeColor="text1"/>
          <w:sz w:val="24"/>
        </w:rPr>
        <w:t xml:space="preserve"> </w:t>
      </w:r>
    </w:p>
    <w:p w:rsidR="003E022D" w:rsidRDefault="007D19D6">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pārvadātāja nosaukumu; </w:t>
      </w:r>
    </w:p>
    <w:p w:rsidR="003E022D" w:rsidRDefault="007D19D6">
      <w:pPr>
        <w:spacing w:after="100"/>
        <w:ind w:left="566"/>
        <w:rPr>
          <w:noProof/>
          <w:color w:val="000000" w:themeColor="text1"/>
        </w:rPr>
      </w:pPr>
      <w:r>
        <w:rPr>
          <w:rFonts w:ascii="Times New Roman" w:hAnsi="Times New Roman"/>
          <w:noProof/>
          <w:color w:val="000000" w:themeColor="text1"/>
          <w:sz w:val="24"/>
        </w:rPr>
        <w:t xml:space="preserve"> </w:t>
      </w:r>
    </w:p>
    <w:p w:rsidR="003E022D" w:rsidRDefault="007D19D6">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brauciena sākumpunktu un galapunktu un attiecīgā gadījumā atpakaļbraucienu; </w:t>
      </w:r>
    </w:p>
    <w:p w:rsidR="003E022D" w:rsidRDefault="007D19D6">
      <w:pPr>
        <w:spacing w:after="99"/>
        <w:ind w:left="566"/>
        <w:rPr>
          <w:noProof/>
          <w:color w:val="000000" w:themeColor="text1"/>
        </w:rPr>
      </w:pPr>
      <w:r>
        <w:rPr>
          <w:rFonts w:ascii="Times New Roman" w:hAnsi="Times New Roman"/>
          <w:noProof/>
          <w:color w:val="000000" w:themeColor="text1"/>
          <w:sz w:val="24"/>
        </w:rPr>
        <w:t xml:space="preserve"> </w:t>
      </w:r>
    </w:p>
    <w:p w:rsidR="003E022D" w:rsidRDefault="007D19D6">
      <w:pPr>
        <w:numPr>
          <w:ilvl w:val="2"/>
          <w:numId w:val="939"/>
        </w:numPr>
        <w:spacing w:after="109" w:line="249" w:lineRule="auto"/>
        <w:ind w:hanging="567"/>
        <w:rPr>
          <w:noProof/>
          <w:color w:val="000000" w:themeColor="text1"/>
        </w:rPr>
      </w:pPr>
      <w:r>
        <w:rPr>
          <w:rFonts w:ascii="Times New Roman" w:hAnsi="Times New Roman"/>
          <w:noProof/>
          <w:color w:val="000000" w:themeColor="text1"/>
          <w:sz w:val="24"/>
        </w:rPr>
        <w:t xml:space="preserve">biļetes derīguma termiņu un attiecīgā gadījumā izbraukšanas datumu un laiku; </w:t>
      </w:r>
    </w:p>
    <w:p w:rsidR="003E022D" w:rsidRDefault="007D19D6">
      <w:pPr>
        <w:spacing w:after="99"/>
        <w:ind w:left="566"/>
        <w:rPr>
          <w:noProof/>
          <w:color w:val="000000" w:themeColor="text1"/>
        </w:rPr>
      </w:pPr>
      <w:r>
        <w:rPr>
          <w:rFonts w:ascii="Times New Roman" w:hAnsi="Times New Roman"/>
          <w:noProof/>
          <w:color w:val="000000" w:themeColor="text1"/>
          <w:sz w:val="24"/>
        </w:rPr>
        <w:t xml:space="preserve"> </w:t>
      </w:r>
    </w:p>
    <w:p w:rsidR="003E022D" w:rsidRDefault="007D19D6">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maksu par braucienu. </w:t>
      </w:r>
    </w:p>
    <w:p w:rsidR="003E022D" w:rsidRDefault="007D19D6">
      <w:pPr>
        <w:spacing w:after="96"/>
        <w:ind w:left="566"/>
        <w:rPr>
          <w:noProof/>
          <w:color w:val="000000" w:themeColor="text1"/>
        </w:rPr>
      </w:pPr>
      <w:r>
        <w:rPr>
          <w:rFonts w:ascii="Times New Roman" w:hAnsi="Times New Roman"/>
          <w:noProof/>
          <w:color w:val="000000" w:themeColor="text1"/>
          <w:sz w:val="24"/>
        </w:rPr>
        <w:t xml:space="preserve"> </w:t>
      </w:r>
    </w:p>
    <w:p w:rsidR="003E022D" w:rsidRDefault="007D19D6">
      <w:pPr>
        <w:spacing w:after="110"/>
        <w:ind w:left="566"/>
        <w:rPr>
          <w:noProof/>
          <w:color w:val="000000" w:themeColor="text1"/>
        </w:rPr>
      </w:pPr>
      <w:r>
        <w:rPr>
          <w:rFonts w:ascii="Times New Roman" w:hAnsi="Times New Roman"/>
          <w:noProof/>
          <w:color w:val="000000" w:themeColor="text1"/>
          <w:sz w:val="24"/>
        </w:rPr>
        <w:t xml:space="preserve">Pasažieris uzrāda biļeti pēc attiecīgi pilnvarota kontroles darbinieka pieprasījuma. </w:t>
      </w:r>
    </w:p>
    <w:p w:rsidR="003E022D" w:rsidRDefault="007D19D6">
      <w:pPr>
        <w:spacing w:after="96"/>
        <w:ind w:left="566"/>
        <w:rPr>
          <w:noProof/>
          <w:color w:val="000000" w:themeColor="text1"/>
        </w:rPr>
      </w:pPr>
      <w:r>
        <w:rPr>
          <w:rFonts w:ascii="Times New Roman" w:hAnsi="Times New Roman"/>
          <w:noProof/>
          <w:color w:val="000000" w:themeColor="text1"/>
          <w:sz w:val="24"/>
        </w:rPr>
        <w:t xml:space="preserve"> </w:t>
      </w:r>
    </w:p>
    <w:p w:rsidR="003E022D" w:rsidRDefault="007D19D6">
      <w:pPr>
        <w:numPr>
          <w:ilvl w:val="0"/>
          <w:numId w:val="938"/>
        </w:numPr>
        <w:spacing w:after="110" w:line="249" w:lineRule="auto"/>
        <w:ind w:hanging="850"/>
        <w:rPr>
          <w:noProof/>
          <w:color w:val="000000" w:themeColor="text1"/>
        </w:rPr>
      </w:pPr>
      <w:r>
        <w:rPr>
          <w:rFonts w:ascii="Times New Roman" w:hAnsi="Times New Roman"/>
          <w:noProof/>
          <w:color w:val="000000" w:themeColor="text1"/>
          <w:sz w:val="24"/>
        </w:rPr>
        <w:t>Pārvadātāji, kas nodrošina pasažieru regulāros vai speciālos reg</w:t>
      </w:r>
      <w:r>
        <w:rPr>
          <w:rFonts w:ascii="Times New Roman" w:hAnsi="Times New Roman"/>
          <w:noProof/>
          <w:color w:val="000000" w:themeColor="text1"/>
          <w:sz w:val="24"/>
        </w:rPr>
        <w:t>ulāros starptautiskos pārvadājumus, ļauj veikt visas pārbaudes, kuru nolūks ir nodrošināt, ka pārvadājumi tiek veikti pareizi, jo īpaši attiecībā uz transportlīdzekļa vadīšanas laiku un transportlīdzekļa vadītāju atpūtas laikposmiem, ceļu satiksmes drošību</w:t>
      </w:r>
      <w:r>
        <w:rPr>
          <w:rFonts w:ascii="Times New Roman" w:hAnsi="Times New Roman"/>
          <w:noProof/>
          <w:color w:val="000000" w:themeColor="text1"/>
          <w:sz w:val="24"/>
        </w:rPr>
        <w:t xml:space="preserve"> un emisijām. </w:t>
      </w:r>
    </w:p>
    <w:p w:rsidR="003E022D" w:rsidRDefault="007D19D6">
      <w:pPr>
        <w:spacing w:after="96"/>
        <w:rPr>
          <w:noProof/>
          <w:color w:val="000000" w:themeColor="text1"/>
        </w:rPr>
      </w:pPr>
      <w:r>
        <w:rPr>
          <w:rFonts w:ascii="Times New Roman" w:hAnsi="Times New Roman"/>
          <w:noProof/>
          <w:color w:val="000000" w:themeColor="text1"/>
          <w:sz w:val="24"/>
        </w:rPr>
        <w:t xml:space="preserve"> </w:t>
      </w:r>
    </w:p>
    <w:p w:rsidR="003E022D" w:rsidRDefault="007D19D6">
      <w:pPr>
        <w:spacing w:after="129"/>
        <w:ind w:right="7"/>
        <w:jc w:val="center"/>
        <w:rPr>
          <w:noProof/>
          <w:color w:val="000000" w:themeColor="text1"/>
        </w:rPr>
      </w:pPr>
      <w:r>
        <w:rPr>
          <w:rFonts w:ascii="Times New Roman" w:hAnsi="Times New Roman"/>
          <w:noProof/>
          <w:color w:val="000000" w:themeColor="text1"/>
          <w:sz w:val="24"/>
        </w:rPr>
        <w:t xml:space="preserve">________________ </w:t>
      </w:r>
    </w:p>
    <w:p w:rsidR="003E022D" w:rsidRDefault="007D19D6">
      <w:pPr>
        <w:rPr>
          <w:rFonts w:ascii="Times New Roman" w:eastAsia="Times New Roman" w:hAnsi="Times New Roman" w:cs="Times New Roman"/>
          <w:noProof/>
          <w:color w:val="000000" w:themeColor="text1"/>
          <w:sz w:val="24"/>
        </w:rPr>
      </w:pPr>
      <w:r>
        <w:rPr>
          <w:noProof/>
        </w:rPr>
        <w:br w:type="page"/>
      </w:r>
    </w:p>
    <w:p w:rsidR="003E022D" w:rsidRDefault="007D19D6">
      <w:pPr>
        <w:pStyle w:val="ANNEX"/>
        <w:rPr>
          <w:noProof/>
        </w:rPr>
      </w:pPr>
      <w:bookmarkStart w:id="1341" w:name="_Toc58427924"/>
      <w:bookmarkStart w:id="1342" w:name="_Toc59645274"/>
      <w:bookmarkStart w:id="1343" w:name="_Toc59988415"/>
      <w:r>
        <w:rPr>
          <w:noProof/>
        </w:rPr>
        <w:t>ROAD-3. PIELIKUMS. REGULĀRO UN SPECIĀLO REGULĀRO STARPTAUTISKO PĀRVADĀJUMU ATĻAUJAS PIETEIKUMA PARAUGS</w:t>
      </w:r>
      <w:bookmarkEnd w:id="1341"/>
      <w:bookmarkEnd w:id="1342"/>
      <w:bookmarkEnd w:id="1343"/>
      <w:r>
        <w:rPr>
          <w:noProof/>
        </w:rPr>
        <w:t xml:space="preserve"> </w:t>
      </w:r>
    </w:p>
    <w:p w:rsidR="003E022D" w:rsidRDefault="007D19D6">
      <w:pPr>
        <w:spacing w:after="221"/>
        <w:ind w:right="7"/>
        <w:jc w:val="center"/>
        <w:rPr>
          <w:noProof/>
          <w:color w:val="000000" w:themeColor="text1"/>
        </w:rPr>
      </w:pPr>
      <w:r>
        <w:rPr>
          <w:rFonts w:ascii="Times New Roman" w:hAnsi="Times New Roman"/>
          <w:noProof/>
          <w:color w:val="000000" w:themeColor="text1"/>
          <w:sz w:val="24"/>
        </w:rPr>
        <w:t xml:space="preserve">(Balts papīrs – </w:t>
      </w:r>
      <w:r>
        <w:rPr>
          <w:rFonts w:ascii="Times New Roman" w:hAnsi="Times New Roman"/>
          <w:i/>
          <w:noProof/>
          <w:color w:val="000000" w:themeColor="text1"/>
          <w:sz w:val="24"/>
        </w:rPr>
        <w:t>DIN</w:t>
      </w:r>
      <w:r>
        <w:rPr>
          <w:rFonts w:ascii="Times New Roman" w:hAnsi="Times New Roman"/>
          <w:noProof/>
          <w:color w:val="000000" w:themeColor="text1"/>
          <w:sz w:val="24"/>
        </w:rPr>
        <w:t xml:space="preserve"> A4) </w:t>
      </w:r>
    </w:p>
    <w:p w:rsidR="003E022D" w:rsidRDefault="007D19D6">
      <w:pPr>
        <w:pBdr>
          <w:top w:val="single" w:sz="17" w:space="0" w:color="000000"/>
          <w:left w:val="single" w:sz="17" w:space="0" w:color="000000"/>
          <w:bottom w:val="single" w:sz="17" w:space="0" w:color="000000"/>
          <w:right w:val="single" w:sz="17" w:space="0" w:color="000000"/>
        </w:pBdr>
        <w:spacing w:after="92" w:line="238" w:lineRule="auto"/>
        <w:ind w:left="503" w:right="453"/>
        <w:jc w:val="center"/>
        <w:rPr>
          <w:noProof/>
          <w:color w:val="000000" w:themeColor="text1"/>
        </w:rPr>
      </w:pPr>
      <w:r>
        <w:rPr>
          <w:rFonts w:ascii="Times New Roman" w:hAnsi="Times New Roman"/>
          <w:noProof/>
          <w:color w:val="000000" w:themeColor="text1"/>
        </w:rPr>
        <w:t xml:space="preserve">(Formulējama tās Puses oficiālajā(-ās) valodā(-ās) vai kādā no oficiālajām valodām, kur iesniedz pieteikumu) </w:t>
      </w:r>
    </w:p>
    <w:p w:rsidR="003E022D" w:rsidRDefault="007D19D6">
      <w:pPr>
        <w:spacing w:after="17"/>
        <w:ind w:left="42"/>
        <w:jc w:val="center"/>
        <w:rPr>
          <w:noProof/>
          <w:color w:val="000000" w:themeColor="text1"/>
        </w:rPr>
      </w:pPr>
      <w:r>
        <w:rPr>
          <w:rFonts w:ascii="Times New Roman" w:hAnsi="Times New Roman"/>
          <w:b/>
          <w:noProof/>
          <w:color w:val="000000" w:themeColor="text1"/>
          <w:sz w:val="20"/>
        </w:rPr>
        <w:t xml:space="preserve"> </w:t>
      </w:r>
    </w:p>
    <w:p w:rsidR="003E022D" w:rsidRDefault="007D19D6">
      <w:pPr>
        <w:spacing w:after="10"/>
        <w:ind w:right="8"/>
        <w:jc w:val="center"/>
        <w:rPr>
          <w:noProof/>
          <w:color w:val="000000" w:themeColor="text1"/>
        </w:rPr>
      </w:pPr>
      <w:r>
        <w:rPr>
          <w:rFonts w:ascii="Times New Roman" w:hAnsi="Times New Roman"/>
          <w:b/>
          <w:noProof/>
          <w:color w:val="000000" w:themeColor="text1"/>
          <w:sz w:val="24"/>
        </w:rPr>
        <w:t xml:space="preserve">REGULĀRO STARPTAUTISKO PĀRVADĀJUMU  </w:t>
      </w:r>
    </w:p>
    <w:p w:rsidR="003E022D" w:rsidRDefault="007D19D6">
      <w:pPr>
        <w:spacing w:after="204"/>
        <w:jc w:val="center"/>
        <w:rPr>
          <w:noProof/>
          <w:color w:val="000000" w:themeColor="text1"/>
        </w:rPr>
      </w:pPr>
      <w:r>
        <w:rPr>
          <w:rFonts w:ascii="Times New Roman" w:hAnsi="Times New Roman"/>
          <w:b/>
          <w:noProof/>
          <w:color w:val="000000" w:themeColor="text1"/>
          <w:sz w:val="24"/>
        </w:rPr>
        <w:t>VAI SPECIĀLO REGULĀRO STARPTAUTISKO PĀRVADĀJUMU ATĻAUJAS PIETEIKUMA VAI ATĻAUJAS ATJAUNOŠANAS PIETEIKUMA VE</w:t>
      </w:r>
      <w:r>
        <w:rPr>
          <w:rFonts w:ascii="Times New Roman" w:hAnsi="Times New Roman"/>
          <w:b/>
          <w:noProof/>
          <w:color w:val="000000" w:themeColor="text1"/>
          <w:sz w:val="24"/>
        </w:rPr>
        <w:t>IDLAPA (</w:t>
      </w:r>
      <w:r>
        <w:rPr>
          <w:rFonts w:ascii="Times New Roman" w:eastAsia="Times New Roman" w:hAnsi="Times New Roman" w:cs="Times New Roman"/>
          <w:noProof/>
          <w:color w:val="000000" w:themeColor="text1"/>
          <w:sz w:val="24"/>
          <w:vertAlign w:val="superscript"/>
        </w:rPr>
        <w:footnoteReference w:id="131"/>
      </w:r>
      <w:r>
        <w:rPr>
          <w:rFonts w:ascii="Times New Roman" w:hAnsi="Times New Roman"/>
          <w:b/>
          <w:noProof/>
          <w:color w:val="000000" w:themeColor="text1"/>
          <w:sz w:val="24"/>
        </w:rPr>
        <w:t xml:space="preserve">) </w:t>
      </w:r>
    </w:p>
    <w:p w:rsidR="003E022D" w:rsidRDefault="007D19D6">
      <w:pPr>
        <w:spacing w:after="237" w:line="248" w:lineRule="auto"/>
        <w:ind w:left="-5" w:right="3"/>
        <w:rPr>
          <w:noProof/>
          <w:color w:val="000000" w:themeColor="text1"/>
        </w:rPr>
      </w:pPr>
      <w:r>
        <w:rPr>
          <w:rFonts w:ascii="Times New Roman" w:hAnsi="Times New Roman"/>
          <w:noProof/>
          <w:color w:val="000000" w:themeColor="text1"/>
          <w:sz w:val="20"/>
        </w:rPr>
        <w:t xml:space="preserve">Regulāro pārvadājumu sākšana </w:t>
      </w:r>
      <w:r>
        <w:rPr>
          <w:noProof/>
        </w:rPr>
        <w:tab/>
      </w:r>
      <w:r>
        <w:rPr>
          <w:rFonts w:ascii="Times New Roman" w:hAnsi="Times New Roman"/>
          <w:noProof/>
          <w:color w:val="000000" w:themeColor="text1"/>
          <w:sz w:val="20"/>
        </w:rPr>
        <w:t>□</w:t>
      </w:r>
    </w:p>
    <w:p w:rsidR="003E022D" w:rsidRDefault="007D19D6">
      <w:pPr>
        <w:tabs>
          <w:tab w:val="center" w:pos="2941"/>
        </w:tabs>
        <w:spacing w:line="248" w:lineRule="auto"/>
        <w:ind w:left="-15"/>
        <w:rPr>
          <w:noProof/>
          <w:color w:val="000000" w:themeColor="text1"/>
        </w:rPr>
      </w:pPr>
      <w:r>
        <w:rPr>
          <w:rFonts w:ascii="Times New Roman" w:hAnsi="Times New Roman"/>
          <w:noProof/>
          <w:color w:val="000000" w:themeColor="text1"/>
          <w:sz w:val="20"/>
        </w:rPr>
        <w:t xml:space="preserve">Speciālo regulāro pārvadājumu sākšana </w:t>
      </w:r>
      <w:r>
        <w:rPr>
          <w:noProof/>
        </w:rPr>
        <w:tab/>
      </w:r>
      <w:r>
        <w:rPr>
          <w:rFonts w:ascii="Times New Roman" w:hAnsi="Times New Roman"/>
          <w:noProof/>
          <w:color w:val="000000" w:themeColor="text1"/>
          <w:sz w:val="20"/>
        </w:rPr>
        <w:t>□</w:t>
      </w:r>
    </w:p>
    <w:p w:rsidR="003E022D" w:rsidRDefault="007D19D6">
      <w:pPr>
        <w:tabs>
          <w:tab w:val="center" w:pos="3261"/>
        </w:tabs>
        <w:spacing w:after="242" w:line="248" w:lineRule="auto"/>
        <w:ind w:left="-15"/>
        <w:rPr>
          <w:noProof/>
          <w:color w:val="000000" w:themeColor="text1"/>
        </w:rPr>
      </w:pPr>
      <w:r>
        <w:rPr>
          <w:rFonts w:ascii="Times New Roman" w:hAnsi="Times New Roman"/>
          <w:noProof/>
          <w:color w:val="000000" w:themeColor="text1"/>
          <w:sz w:val="20"/>
        </w:rPr>
        <w:t xml:space="preserve">Pārvadājumu atļaujas atjaunošana </w:t>
      </w:r>
      <w:r>
        <w:rPr>
          <w:noProof/>
        </w:rPr>
        <w:tab/>
      </w:r>
      <w:r>
        <w:rPr>
          <w:rFonts w:ascii="Times New Roman" w:hAnsi="Times New Roman"/>
          <w:noProof/>
          <w:color w:val="000000" w:themeColor="text1"/>
          <w:sz w:val="20"/>
        </w:rPr>
        <w:t>□</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 xml:space="preserve">Pārvadājumu atļaujas nosacījumu izmaiņas, </w:t>
      </w:r>
      <w:r>
        <w:rPr>
          <w:noProof/>
        </w:rPr>
        <w:tab/>
      </w:r>
      <w:r>
        <w:rPr>
          <w:rFonts w:ascii="Times New Roman" w:hAnsi="Times New Roman"/>
          <w:noProof/>
          <w:color w:val="000000" w:themeColor="text1"/>
          <w:sz w:val="20"/>
        </w:rPr>
        <w:t xml:space="preserve">□ </w:t>
      </w:r>
    </w:p>
    <w:p w:rsidR="003E022D" w:rsidRDefault="007D19D6">
      <w:pPr>
        <w:spacing w:after="92" w:line="248" w:lineRule="auto"/>
        <w:ind w:left="-5" w:right="3"/>
        <w:rPr>
          <w:noProof/>
          <w:color w:val="000000" w:themeColor="text1"/>
        </w:rPr>
      </w:pPr>
      <w:r>
        <w:rPr>
          <w:rFonts w:ascii="Times New Roman" w:hAnsi="Times New Roman"/>
          <w:noProof/>
          <w:color w:val="000000" w:themeColor="text1"/>
          <w:sz w:val="20"/>
        </w:rPr>
        <w:t xml:space="preserve">ko veic ar autobusiem starp Pusēm saskaņā ar Tirdzniecības un sadarbības nolīgumu starp </w:t>
      </w:r>
      <w:r>
        <w:rPr>
          <w:rFonts w:ascii="Times New Roman" w:hAnsi="Times New Roman"/>
          <w:noProof/>
          <w:color w:val="000000" w:themeColor="text1"/>
          <w:sz w:val="20"/>
        </w:rPr>
        <w:t>Eiropas Savienību un Eiropas Atomenerģijas kopienu, no vienas puses, un Lielbritānijas un Ziemeļīrijas Apvienoto Karalisti, no otras puses,</w:t>
      </w:r>
    </w:p>
    <w:p w:rsidR="003E022D" w:rsidRDefault="007D19D6">
      <w:pPr>
        <w:spacing w:before="240" w:after="41" w:line="247" w:lineRule="auto"/>
        <w:ind w:left="-6" w:right="6" w:hanging="11"/>
        <w:rPr>
          <w:noProof/>
          <w:color w:val="000000" w:themeColor="text1"/>
        </w:rPr>
      </w:pPr>
      <w:r>
        <w:rPr>
          <w:rFonts w:ascii="Times New Roman" w:hAnsi="Times New Roman"/>
          <w:noProof/>
          <w:color w:val="000000" w:themeColor="text1"/>
          <w:sz w:val="20"/>
        </w:rPr>
        <w:t xml:space="preserve">………………………………………………………………………………………………………........ </w:t>
      </w:r>
    </w:p>
    <w:p w:rsidR="003E022D" w:rsidRDefault="007D19D6">
      <w:pPr>
        <w:spacing w:after="97"/>
        <w:ind w:right="10"/>
        <w:jc w:val="center"/>
        <w:rPr>
          <w:noProof/>
          <w:color w:val="000000" w:themeColor="text1"/>
        </w:rPr>
      </w:pPr>
      <w:r>
        <w:rPr>
          <w:rFonts w:ascii="Times New Roman" w:hAnsi="Times New Roman"/>
          <w:noProof/>
          <w:color w:val="000000" w:themeColor="text1"/>
          <w:sz w:val="20"/>
        </w:rPr>
        <w:t xml:space="preserve">(Atļaujas izdevējiestāde) </w:t>
      </w:r>
    </w:p>
    <w:p w:rsidR="003E022D" w:rsidRDefault="007D19D6">
      <w:pPr>
        <w:numPr>
          <w:ilvl w:val="0"/>
          <w:numId w:val="940"/>
        </w:numPr>
        <w:spacing w:after="170" w:line="248" w:lineRule="auto"/>
        <w:ind w:left="567" w:right="3" w:hanging="567"/>
        <w:rPr>
          <w:noProof/>
          <w:color w:val="000000" w:themeColor="text1"/>
        </w:rPr>
      </w:pPr>
      <w:r>
        <w:rPr>
          <w:rFonts w:ascii="Times New Roman" w:hAnsi="Times New Roman"/>
          <w:noProof/>
          <w:color w:val="000000" w:themeColor="text1"/>
          <w:sz w:val="20"/>
        </w:rPr>
        <w:t>Pieteikuma iesniedzēja pārvadātāja uzvār</w:t>
      </w:r>
      <w:r>
        <w:rPr>
          <w:rFonts w:ascii="Times New Roman" w:hAnsi="Times New Roman"/>
          <w:noProof/>
          <w:color w:val="000000" w:themeColor="text1"/>
          <w:sz w:val="20"/>
        </w:rPr>
        <w:t xml:space="preserve">ds un vārds vai nosaukums; ja pieteikumu iesniedz pārvadātāju grupa vai partnerība, tā pārvadātāja nosaukums, kuru pārējie pārvadātāji pilnvarojuši iesniegt pieteikumu: </w:t>
      </w:r>
    </w:p>
    <w:p w:rsidR="003E022D" w:rsidRDefault="007D19D6">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rsidR="003E022D" w:rsidRDefault="007D19D6">
      <w:pPr>
        <w:spacing w:after="109" w:line="248" w:lineRule="auto"/>
        <w:ind w:left="-5" w:right="3"/>
        <w:rPr>
          <w:noProof/>
          <w:color w:val="000000" w:themeColor="text1"/>
        </w:rPr>
      </w:pPr>
      <w:r>
        <w:rPr>
          <w:rFonts w:ascii="Times New Roman" w:hAnsi="Times New Roman"/>
          <w:noProof/>
          <w:color w:val="000000" w:themeColor="text1"/>
          <w:sz w:val="20"/>
        </w:rPr>
        <w:t>…………………………………………………………………………………………………</w:t>
      </w:r>
      <w:r>
        <w:rPr>
          <w:rFonts w:ascii="Times New Roman" w:hAnsi="Times New Roman"/>
          <w:noProof/>
          <w:color w:val="000000" w:themeColor="text1"/>
          <w:sz w:val="20"/>
        </w:rPr>
        <w:t xml:space="preserve">……........ </w:t>
      </w:r>
    </w:p>
    <w:p w:rsidR="003E022D" w:rsidRDefault="007D19D6">
      <w:pPr>
        <w:numPr>
          <w:ilvl w:val="0"/>
          <w:numId w:val="940"/>
        </w:numPr>
        <w:spacing w:after="170" w:line="248" w:lineRule="auto"/>
        <w:ind w:left="567" w:right="3" w:hanging="567"/>
        <w:rPr>
          <w:noProof/>
          <w:color w:val="000000" w:themeColor="text1"/>
        </w:rPr>
      </w:pPr>
      <w:r>
        <w:rPr>
          <w:rFonts w:ascii="Times New Roman" w:hAnsi="Times New Roman"/>
          <w:noProof/>
          <w:color w:val="000000" w:themeColor="text1"/>
          <w:sz w:val="20"/>
        </w:rPr>
        <w:t>Pārvadājumus veic (</w:t>
      </w:r>
      <w:r>
        <w:rPr>
          <w:rFonts w:ascii="Times New Roman" w:hAnsi="Times New Roman"/>
          <w:noProof/>
          <w:color w:val="000000" w:themeColor="text1"/>
          <w:sz w:val="20"/>
          <w:vertAlign w:val="superscript"/>
        </w:rPr>
        <w:t>1</w:t>
      </w:r>
      <w:r>
        <w:rPr>
          <w:rFonts w:ascii="Times New Roman" w:hAnsi="Times New Roman"/>
          <w:noProof/>
          <w:color w:val="000000" w:themeColor="text1"/>
          <w:sz w:val="20"/>
        </w:rPr>
        <w:t xml:space="preserve">) </w:t>
      </w:r>
    </w:p>
    <w:p w:rsidR="003E022D" w:rsidRDefault="007D19D6">
      <w:pPr>
        <w:spacing w:after="114" w:line="248" w:lineRule="auto"/>
        <w:ind w:left="567" w:right="3"/>
        <w:rPr>
          <w:noProof/>
          <w:color w:val="000000" w:themeColor="text1"/>
        </w:rPr>
      </w:pPr>
      <w:r>
        <w:rPr>
          <w:rFonts w:ascii="Times New Roman" w:hAnsi="Times New Roman"/>
          <w:noProof/>
          <w:color w:val="000000" w:themeColor="text1"/>
          <w:sz w:val="20"/>
        </w:rPr>
        <w:t xml:space="preserve">pārvadātājs □ pārvadātāju grupa □ partnerība □ apakšuzņēmējs □ </w:t>
      </w:r>
    </w:p>
    <w:p w:rsidR="003E022D" w:rsidRDefault="007D19D6">
      <w:pPr>
        <w:pStyle w:val="ListParagraph"/>
        <w:numPr>
          <w:ilvl w:val="0"/>
          <w:numId w:val="940"/>
        </w:numPr>
        <w:spacing w:after="125" w:line="248" w:lineRule="auto"/>
        <w:ind w:left="567" w:right="3" w:hanging="567"/>
        <w:jc w:val="left"/>
        <w:rPr>
          <w:noProof/>
          <w:color w:val="000000" w:themeColor="text1"/>
        </w:rPr>
      </w:pPr>
      <w:r>
        <w:rPr>
          <w:rFonts w:ascii="Times New Roman" w:hAnsi="Times New Roman"/>
          <w:noProof/>
          <w:color w:val="000000" w:themeColor="text1"/>
          <w:sz w:val="20"/>
        </w:rPr>
        <w:t xml:space="preserve">Pārvadātāja nosaukumi un adreses vai – pārvadātāju grupas vai partnerības gadījumā – visu pārvadātāju grupas vai partnerības  pārvadātāju nosaukumi; turklāt </w:t>
      </w:r>
      <w:r>
        <w:rPr>
          <w:rFonts w:ascii="Times New Roman" w:hAnsi="Times New Roman"/>
          <w:noProof/>
          <w:color w:val="000000" w:themeColor="text1"/>
          <w:sz w:val="20"/>
        </w:rPr>
        <w:t>norāda visu apakšuzņēmēju nosaukumus (</w:t>
      </w:r>
      <w:r>
        <w:rPr>
          <w:rFonts w:ascii="Times New Roman" w:hAnsi="Times New Roman"/>
          <w:b/>
          <w:noProof/>
          <w:color w:val="000000" w:themeColor="text1"/>
          <w:sz w:val="25"/>
          <w:vertAlign w:val="superscript"/>
        </w:rPr>
        <w:t>2</w:t>
      </w:r>
      <w:r>
        <w:rPr>
          <w:rFonts w:ascii="Times New Roman" w:hAnsi="Times New Roman"/>
          <w:noProof/>
          <w:color w:val="000000" w:themeColor="text1"/>
          <w:sz w:val="20"/>
        </w:rPr>
        <w:t xml:space="preserve">) </w:t>
      </w:r>
    </w:p>
    <w:p w:rsidR="003E022D" w:rsidRDefault="007D19D6">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tālr. ………………….…….… </w:t>
      </w:r>
    </w:p>
    <w:p w:rsidR="003E022D" w:rsidRDefault="007D19D6">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tālr. ………………….………. </w:t>
      </w:r>
    </w:p>
    <w:p w:rsidR="003E022D" w:rsidRDefault="007D19D6">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tālr. ………………….....….… </w:t>
      </w:r>
    </w:p>
    <w:p w:rsidR="003E022D" w:rsidRDefault="007D19D6">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tālr. ……………………......… </w:t>
      </w:r>
    </w:p>
    <w:p w:rsidR="003E022D" w:rsidRDefault="003E022D">
      <w:pPr>
        <w:spacing w:after="170" w:line="248" w:lineRule="auto"/>
        <w:ind w:right="3"/>
        <w:rPr>
          <w:noProof/>
          <w:color w:val="000000" w:themeColor="text1"/>
        </w:rPr>
      </w:pPr>
    </w:p>
    <w:p w:rsidR="003E022D" w:rsidRDefault="007D19D6">
      <w:pPr>
        <w:spacing w:after="97"/>
        <w:ind w:right="19"/>
        <w:jc w:val="center"/>
        <w:rPr>
          <w:noProof/>
          <w:color w:val="000000" w:themeColor="text1"/>
        </w:rPr>
      </w:pPr>
      <w:r>
        <w:rPr>
          <w:rFonts w:ascii="Times New Roman" w:hAnsi="Times New Roman"/>
          <w:noProof/>
          <w:color w:val="000000" w:themeColor="text1"/>
          <w:sz w:val="20"/>
        </w:rPr>
        <w:t xml:space="preserve">(Atļaujas pieteikuma vai atļaujas atjaunošanas pieteikuma otrā lappuse) </w:t>
      </w:r>
    </w:p>
    <w:p w:rsidR="003E022D" w:rsidRDefault="003E022D">
      <w:pPr>
        <w:spacing w:after="0"/>
        <w:ind w:left="40"/>
        <w:jc w:val="center"/>
        <w:rPr>
          <w:noProof/>
          <w:color w:val="000000" w:themeColor="text1"/>
          <w:sz w:val="10"/>
          <w:szCs w:val="10"/>
        </w:rPr>
      </w:pPr>
    </w:p>
    <w:p w:rsidR="003E022D" w:rsidRDefault="007D19D6">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Speciālo regulāro pārvadājumu gadījumā: </w:t>
      </w:r>
    </w:p>
    <w:p w:rsidR="003E022D" w:rsidRDefault="007D19D6">
      <w:pPr>
        <w:pStyle w:val="ListParagraph"/>
        <w:numPr>
          <w:ilvl w:val="1"/>
          <w:numId w:val="942"/>
        </w:numPr>
        <w:spacing w:after="26" w:line="403" w:lineRule="auto"/>
        <w:ind w:left="993" w:right="3" w:hanging="567"/>
        <w:jc w:val="left"/>
        <w:rPr>
          <w:rFonts w:ascii="Times New Roman" w:hAnsi="Times New Roman" w:cs="Times New Roman"/>
          <w:noProof/>
          <w:color w:val="000000" w:themeColor="text1"/>
        </w:rPr>
      </w:pPr>
      <w:r>
        <w:rPr>
          <w:rFonts w:ascii="Times New Roman" w:hAnsi="Times New Roman"/>
          <w:noProof/>
          <w:color w:val="000000" w:themeColor="text1"/>
          <w:sz w:val="20"/>
        </w:rPr>
        <w:t>Pasažieru kategorija: (</w:t>
      </w:r>
      <w:r>
        <w:rPr>
          <w:rFonts w:ascii="Times New Roman" w:hAnsi="Times New Roman" w:cs="Times New Roman"/>
          <w:noProof/>
          <w:vertAlign w:val="superscript"/>
        </w:rPr>
        <w:footnoteReference w:id="132"/>
      </w:r>
      <w:r>
        <w:rPr>
          <w:rFonts w:ascii="Times New Roman" w:hAnsi="Times New Roman"/>
          <w:noProof/>
          <w:color w:val="000000" w:themeColor="text1"/>
          <w:sz w:val="20"/>
        </w:rPr>
        <w:t>)</w:t>
      </w:r>
      <w:r>
        <w:rPr>
          <w:rFonts w:ascii="Times New Roman" w:hAnsi="Times New Roman"/>
          <w:noProof/>
        </w:rPr>
        <w:t xml:space="preserve"> strādājošie □ skolēni/studenti □ citi □</w:t>
      </w:r>
      <w:r>
        <w:rPr>
          <w:rFonts w:ascii="Times New Roman" w:hAnsi="Times New Roman"/>
          <w:noProof/>
          <w:color w:val="000000" w:themeColor="text1"/>
          <w:sz w:val="20"/>
        </w:rPr>
        <w:t xml:space="preserve"> </w:t>
      </w:r>
    </w:p>
    <w:p w:rsidR="003E022D" w:rsidRDefault="007D19D6">
      <w:pPr>
        <w:numPr>
          <w:ilvl w:val="0"/>
          <w:numId w:val="942"/>
        </w:numPr>
        <w:spacing w:after="26" w:line="403"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Prasītās atļaujas ilgums vai datums, kurā beidzas pārvadājumu veikšana: </w:t>
      </w:r>
    </w:p>
    <w:p w:rsidR="003E022D" w:rsidRDefault="007D19D6">
      <w:pPr>
        <w:spacing w:after="132"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3E022D" w:rsidRDefault="007D19D6">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Galvenais pārvadājumu maršruts (pasvītrot pieturvietas, kurās tiek uzņemti vai izlaisti pasažieri, norādīt pilnas adreses): (</w:t>
      </w:r>
      <w:r>
        <w:rPr>
          <w:rFonts w:ascii="Times New Roman" w:eastAsia="Times New Roman" w:hAnsi="Times New Roman" w:cs="Times New Roman"/>
          <w:noProof/>
          <w:color w:val="000000" w:themeColor="text1"/>
          <w:sz w:val="20"/>
          <w:vertAlign w:val="superscript"/>
        </w:rPr>
        <w:footnoteReference w:id="133"/>
      </w:r>
      <w:r>
        <w:rPr>
          <w:rFonts w:ascii="Times New Roman" w:hAnsi="Times New Roman"/>
          <w:noProof/>
          <w:color w:val="000000" w:themeColor="text1"/>
          <w:sz w:val="20"/>
        </w:rPr>
        <w:t xml:space="preserve">) </w:t>
      </w:r>
    </w:p>
    <w:p w:rsidR="003E022D" w:rsidRDefault="007D19D6">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3E022D" w:rsidRDefault="007D19D6">
      <w:pPr>
        <w:spacing w:after="2" w:line="425"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 </w:t>
      </w:r>
    </w:p>
    <w:p w:rsidR="003E022D" w:rsidRDefault="007D19D6">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Pārvadājumu veikšanas periods: …………………………………………………………………….……. </w:t>
      </w:r>
    </w:p>
    <w:p w:rsidR="003E022D" w:rsidRDefault="007D19D6">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3E022D" w:rsidRDefault="007D19D6">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w:t>
      </w:r>
      <w:r>
        <w:rPr>
          <w:rFonts w:ascii="Times New Roman" w:hAnsi="Times New Roman"/>
          <w:noProof/>
          <w:color w:val="000000" w:themeColor="text1"/>
          <w:sz w:val="20"/>
        </w:rPr>
        <w:t xml:space="preserve">..……….... </w:t>
      </w:r>
    </w:p>
    <w:p w:rsidR="003E022D" w:rsidRDefault="007D19D6">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Biežums (dienā, nedēļā utt.): ………………………………………………………...……. </w:t>
      </w:r>
    </w:p>
    <w:p w:rsidR="003E022D" w:rsidRDefault="007D19D6">
      <w:pPr>
        <w:numPr>
          <w:ilvl w:val="0"/>
          <w:numId w:val="942"/>
        </w:numPr>
        <w:spacing w:after="138"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Braukšanas maksas ……………………………………… Pielikums pievienots. </w:t>
      </w:r>
    </w:p>
    <w:p w:rsidR="003E022D" w:rsidRDefault="007D19D6">
      <w:pPr>
        <w:numPr>
          <w:ilvl w:val="0"/>
          <w:numId w:val="942"/>
        </w:numPr>
        <w:spacing w:after="127"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Iekļaut braukšanas grafiku, kas ļauj pārliecināties par atbilstību starptautiskajiem noteikumiem par transportlīdzekļa vadīšanas </w:t>
      </w:r>
      <w:r>
        <w:rPr>
          <w:rFonts w:ascii="Times New Roman" w:hAnsi="Times New Roman"/>
          <w:noProof/>
          <w:color w:val="000000" w:themeColor="text1"/>
          <w:sz w:val="20"/>
        </w:rPr>
        <w:t xml:space="preserve">laiku un transportlīdzekļa vadītāju atpūtas laikposmiem. </w:t>
      </w:r>
    </w:p>
    <w:p w:rsidR="003E022D" w:rsidRDefault="007D19D6">
      <w:pPr>
        <w:numPr>
          <w:ilvl w:val="0"/>
          <w:numId w:val="942"/>
        </w:numPr>
        <w:spacing w:after="206"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Pieprasītais atļauju vai atļauju apliecināto kopiju skaits: ( </w:t>
      </w:r>
      <w:r>
        <w:rPr>
          <w:rFonts w:ascii="Times New Roman" w:hAnsi="Times New Roman"/>
          <w:noProof/>
          <w:color w:val="000000" w:themeColor="text1"/>
          <w:sz w:val="20"/>
          <w:vertAlign w:val="superscript"/>
        </w:rPr>
        <w:t>3</w:t>
      </w:r>
      <w:r>
        <w:rPr>
          <w:rFonts w:ascii="Times New Roman" w:hAnsi="Times New Roman"/>
          <w:noProof/>
          <w:color w:val="000000" w:themeColor="text1"/>
          <w:sz w:val="20"/>
        </w:rPr>
        <w:t xml:space="preserve">) </w:t>
      </w:r>
    </w:p>
    <w:p w:rsidR="003E022D" w:rsidRDefault="007D19D6">
      <w:pPr>
        <w:spacing w:after="134"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3E022D" w:rsidRDefault="007D19D6">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Papildinformācija: </w:t>
      </w:r>
    </w:p>
    <w:p w:rsidR="003E022D" w:rsidRDefault="007D19D6">
      <w:pPr>
        <w:spacing w:after="106"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rsidR="003E022D" w:rsidRDefault="007D19D6">
      <w:pPr>
        <w:spacing w:after="193"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(Vieta un datu</w:t>
      </w:r>
      <w:r>
        <w:rPr>
          <w:rFonts w:ascii="Times New Roman" w:hAnsi="Times New Roman"/>
          <w:noProof/>
          <w:color w:val="000000" w:themeColor="text1"/>
          <w:sz w:val="20"/>
        </w:rPr>
        <w:t xml:space="preserve">ms) (Pieteikuma iesniedzēja paraksts) </w:t>
      </w:r>
    </w:p>
    <w:p w:rsidR="003E022D" w:rsidRDefault="007D19D6">
      <w:pPr>
        <w:spacing w:after="108" w:line="248" w:lineRule="auto"/>
        <w:ind w:left="-5" w:right="3"/>
        <w:rPr>
          <w:noProof/>
          <w:color w:val="000000" w:themeColor="text1"/>
        </w:rPr>
      </w:pPr>
      <w:r>
        <w:rPr>
          <w:rFonts w:ascii="Times New Roman" w:hAnsi="Times New Roman"/>
          <w:noProof/>
          <w:color w:val="000000" w:themeColor="text1"/>
          <w:sz w:val="20"/>
        </w:rPr>
        <w:t xml:space="preserve">…………………………………………………………………………………………………………. </w:t>
      </w:r>
    </w:p>
    <w:p w:rsidR="003E022D" w:rsidRDefault="007D19D6">
      <w:pPr>
        <w:spacing w:after="118" w:line="248" w:lineRule="auto"/>
        <w:ind w:left="-5" w:right="3"/>
        <w:rPr>
          <w:noProof/>
          <w:color w:val="000000" w:themeColor="text1"/>
        </w:rPr>
      </w:pPr>
      <w:r>
        <w:rPr>
          <w:rFonts w:ascii="Times New Roman" w:hAnsi="Times New Roman"/>
          <w:noProof/>
          <w:color w:val="000000" w:themeColor="text1"/>
          <w:sz w:val="20"/>
        </w:rPr>
        <w:t>Pieteikuma iesniedzēja uzmanība tiek vērsta uz to, ka pieteikuma iesniedzēja rīcībā jābūt tik daudzām atļaujas izdevējiestādes izsniegtajām atļaujām vai atļauju apliecinātajām kopijām, cik transportlīdzekļi vienlaikus ir vajadzīgi attiecīgo pārvadājumu vei</w:t>
      </w:r>
      <w:r>
        <w:rPr>
          <w:rFonts w:ascii="Times New Roman" w:hAnsi="Times New Roman"/>
          <w:noProof/>
          <w:color w:val="000000" w:themeColor="text1"/>
          <w:sz w:val="20"/>
        </w:rPr>
        <w:t xml:space="preserve">kšanai, jo atļaujai vai tās apliecinātai kopijai jāglabājas transportlīdzeklī. </w:t>
      </w:r>
    </w:p>
    <w:p w:rsidR="003E022D" w:rsidRDefault="007D19D6">
      <w:pPr>
        <w:spacing w:after="96"/>
        <w:rPr>
          <w:noProof/>
          <w:color w:val="000000" w:themeColor="text1"/>
        </w:rPr>
      </w:pPr>
      <w:r>
        <w:rPr>
          <w:rFonts w:ascii="Times New Roman" w:hAnsi="Times New Roman"/>
          <w:b/>
          <w:noProof/>
          <w:color w:val="000000" w:themeColor="text1"/>
          <w:sz w:val="20"/>
        </w:rPr>
        <w:t xml:space="preserve">Svarīga piezīme </w:t>
      </w:r>
    </w:p>
    <w:p w:rsidR="003E022D" w:rsidRDefault="007D19D6">
      <w:pPr>
        <w:spacing w:after="9" w:line="248" w:lineRule="auto"/>
        <w:ind w:left="-5" w:right="3"/>
        <w:rPr>
          <w:noProof/>
          <w:color w:val="000000" w:themeColor="text1"/>
          <w:sz w:val="20"/>
          <w:szCs w:val="20"/>
        </w:rPr>
      </w:pPr>
      <w:r>
        <w:rPr>
          <w:rFonts w:ascii="Times New Roman" w:hAnsi="Times New Roman"/>
          <w:noProof/>
          <w:color w:val="000000" w:themeColor="text1"/>
          <w:sz w:val="20"/>
          <w:szCs w:val="20"/>
        </w:rPr>
        <w:t xml:space="preserve">Pieteikumam noteikti jāpievieno: </w:t>
      </w:r>
    </w:p>
    <w:p w:rsidR="003E022D" w:rsidRDefault="007D19D6">
      <w:pPr>
        <w:numPr>
          <w:ilvl w:val="0"/>
          <w:numId w:val="941"/>
        </w:numPr>
        <w:spacing w:after="9"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kustības grafiks, kurā norādītas laika nišas, kas paredzētas kontrolei attiecīgajās robežšķērsošanas vietās; </w:t>
      </w:r>
    </w:p>
    <w:p w:rsidR="003E022D" w:rsidRDefault="007D19D6">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saskaņā ar valsts vai Savienības tiesību aktiem izdotas(-u) pārvadātāja(-u) licences(-ču) starptautiskajiem pasažieru pārvadājumiem pa autoceļiem apliecināta kopija; </w:t>
      </w:r>
    </w:p>
    <w:p w:rsidR="003E022D" w:rsidRDefault="007D19D6">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piemērota mēroga karte, kurā atzīmēts maršruts un pieturvietas, kurās tiek uzņemti vai iz</w:t>
      </w:r>
      <w:r>
        <w:rPr>
          <w:rFonts w:ascii="Times New Roman" w:hAnsi="Times New Roman"/>
          <w:noProof/>
          <w:color w:val="000000" w:themeColor="text1"/>
          <w:sz w:val="20"/>
          <w:szCs w:val="20"/>
        </w:rPr>
        <w:t xml:space="preserve">laisti pasažieri; </w:t>
      </w:r>
    </w:p>
    <w:p w:rsidR="003E022D" w:rsidRDefault="007D19D6">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braukšanas grafiks, kas ļauj pārliecināties par atbilstību starptautiskajiem noteikumiem par transportlīdzekļa vadīšanas laiku un transportlīdzekļa vadītāju atpūtas laikposmiem; </w:t>
      </w:r>
    </w:p>
    <w:p w:rsidR="003E022D" w:rsidRDefault="007D19D6">
      <w:pPr>
        <w:numPr>
          <w:ilvl w:val="0"/>
          <w:numId w:val="941"/>
        </w:numPr>
        <w:tabs>
          <w:tab w:val="left" w:pos="284"/>
        </w:tabs>
        <w:spacing w:after="160" w:line="259" w:lineRule="auto"/>
        <w:ind w:left="0"/>
        <w:jc w:val="left"/>
        <w:rPr>
          <w:noProof/>
          <w:color w:val="000000" w:themeColor="text1"/>
          <w:sz w:val="18"/>
          <w:szCs w:val="18"/>
        </w:rPr>
      </w:pPr>
      <w:r>
        <w:rPr>
          <w:rFonts w:ascii="Times New Roman" w:hAnsi="Times New Roman"/>
          <w:noProof/>
          <w:color w:val="000000" w:themeColor="text1"/>
          <w:sz w:val="20"/>
          <w:szCs w:val="20"/>
        </w:rPr>
        <w:t>jebkāda lietderīga informācija par autoostām.</w:t>
      </w:r>
      <w:r>
        <w:rPr>
          <w:noProof/>
          <w:color w:val="000000" w:themeColor="text1"/>
          <w:sz w:val="20"/>
          <w:szCs w:val="20"/>
        </w:rPr>
        <w:t xml:space="preserve"> </w:t>
      </w:r>
      <w:r>
        <w:rPr>
          <w:noProof/>
          <w:color w:val="000000" w:themeColor="text1"/>
        </w:rPr>
        <w:br w:type="page"/>
      </w:r>
    </w:p>
    <w:p w:rsidR="003E022D" w:rsidRDefault="007D19D6">
      <w:pPr>
        <w:pStyle w:val="ANNEX"/>
        <w:rPr>
          <w:rFonts w:ascii="Times New Roman" w:eastAsia="Times New Roman" w:hAnsi="Times New Roman"/>
          <w:noProof/>
          <w:sz w:val="24"/>
        </w:rPr>
      </w:pPr>
      <w:bookmarkStart w:id="1344" w:name="_Toc58427925"/>
      <w:bookmarkStart w:id="1345" w:name="_Toc59645275"/>
      <w:bookmarkStart w:id="1346" w:name="_Toc59988416"/>
      <w:r>
        <w:rPr>
          <w:noProof/>
        </w:rPr>
        <w:t>ROAD-4. PI</w:t>
      </w:r>
      <w:r>
        <w:rPr>
          <w:noProof/>
        </w:rPr>
        <w:t>ELIKUMS. NEREGULĀRO PĀRVADĀJUMU BRAUCIENA VEIDLAPAS PARAUGS</w:t>
      </w:r>
      <w:bookmarkEnd w:id="1344"/>
      <w:bookmarkEnd w:id="1345"/>
      <w:bookmarkEnd w:id="1346"/>
    </w:p>
    <w:p w:rsidR="003E022D" w:rsidRDefault="003E022D">
      <w:pPr>
        <w:spacing w:after="0"/>
        <w:rPr>
          <w:noProof/>
          <w:sz w:val="10"/>
          <w:szCs w:val="10"/>
        </w:rPr>
      </w:pPr>
    </w:p>
    <w:p w:rsidR="003E022D" w:rsidRDefault="003E022D">
      <w:pPr>
        <w:spacing w:after="0" w:line="250" w:lineRule="auto"/>
        <w:ind w:left="731" w:right="6" w:hanging="731"/>
        <w:jc w:val="center"/>
        <w:rPr>
          <w:rFonts w:ascii="Arial" w:hAnsi="Arial" w:cs="Arial"/>
          <w:noProof/>
          <w:sz w:val="10"/>
          <w:szCs w:val="10"/>
        </w:rPr>
      </w:pPr>
    </w:p>
    <w:p w:rsidR="003E022D" w:rsidRDefault="007D19D6">
      <w:pPr>
        <w:spacing w:after="180" w:line="250" w:lineRule="auto"/>
        <w:ind w:left="731" w:right="6" w:hanging="731"/>
        <w:jc w:val="center"/>
        <w:rPr>
          <w:rFonts w:ascii="Arial" w:hAnsi="Arial" w:cs="Arial"/>
          <w:b/>
          <w:noProof/>
          <w:sz w:val="18"/>
          <w:szCs w:val="18"/>
        </w:rPr>
      </w:pPr>
      <w:r>
        <w:rPr>
          <w:rFonts w:ascii="Arial" w:hAnsi="Arial"/>
          <w:b/>
          <w:noProof/>
          <w:sz w:val="18"/>
          <w:szCs w:val="18"/>
        </w:rPr>
        <w:t>BRAUCIENA VEIDLAPA Nr. ............. grāmatiņā Nr. .............</w:t>
      </w:r>
    </w:p>
    <w:p w:rsidR="003E022D" w:rsidRDefault="007D19D6">
      <w:pPr>
        <w:spacing w:after="180" w:line="250" w:lineRule="auto"/>
        <w:ind w:left="731" w:right="6" w:hanging="731"/>
        <w:jc w:val="center"/>
        <w:rPr>
          <w:rFonts w:ascii="Arial" w:hAnsi="Arial" w:cs="Arial"/>
          <w:noProof/>
          <w:sz w:val="18"/>
          <w:szCs w:val="18"/>
        </w:rPr>
      </w:pPr>
      <w:r>
        <w:rPr>
          <w:rFonts w:ascii="Arial" w:hAnsi="Arial"/>
          <w:noProof/>
          <w:sz w:val="18"/>
          <w:szCs w:val="18"/>
        </w:rPr>
        <w:t xml:space="preserve">(krāsa – “Pantone 358” (gaiši zaļa) vai pēc iespējas tuvu šai krāsai, </w:t>
      </w:r>
      <w:r>
        <w:rPr>
          <w:rFonts w:ascii="Arial" w:hAnsi="Arial"/>
          <w:i/>
          <w:noProof/>
          <w:sz w:val="18"/>
          <w:szCs w:val="18"/>
        </w:rPr>
        <w:t>DIN</w:t>
      </w:r>
      <w:r>
        <w:rPr>
          <w:rFonts w:ascii="Arial" w:hAnsi="Arial"/>
          <w:noProof/>
          <w:sz w:val="18"/>
          <w:szCs w:val="18"/>
        </w:rPr>
        <w:t xml:space="preserve"> A4 formāta nekrītots papīrs)</w:t>
      </w:r>
    </w:p>
    <w:p w:rsidR="003E022D" w:rsidRDefault="007D19D6">
      <w:pPr>
        <w:spacing w:after="180" w:line="250" w:lineRule="auto"/>
        <w:ind w:left="731" w:right="6" w:hanging="731"/>
        <w:jc w:val="center"/>
        <w:rPr>
          <w:rFonts w:ascii="Arial" w:hAnsi="Arial" w:cs="Arial"/>
          <w:b/>
          <w:bCs/>
          <w:noProof/>
          <w:sz w:val="18"/>
          <w:szCs w:val="18"/>
        </w:rPr>
      </w:pPr>
      <w:r>
        <w:rPr>
          <w:rFonts w:ascii="Arial" w:hAnsi="Arial"/>
          <w:b/>
          <w:bCs/>
          <w:noProof/>
          <w:sz w:val="18"/>
          <w:szCs w:val="18"/>
        </w:rPr>
        <w:t>NEREGULĀRIE PĀRVADĀJUMI AR</w:t>
      </w:r>
      <w:r>
        <w:rPr>
          <w:rFonts w:ascii="Arial" w:hAnsi="Arial"/>
          <w:b/>
          <w:bCs/>
          <w:noProof/>
          <w:sz w:val="18"/>
          <w:szCs w:val="18"/>
        </w:rPr>
        <w:t xml:space="preserve"> KABOTĀŽU UN NEREGULĀRIE PĀRVADĀJUMI AR TRANZĪTU</w:t>
      </w:r>
    </w:p>
    <w:p w:rsidR="003E022D" w:rsidRDefault="007D19D6">
      <w:pPr>
        <w:jc w:val="center"/>
        <w:rPr>
          <w:rFonts w:ascii="Arial" w:hAnsi="Arial" w:cs="Arial"/>
          <w:noProof/>
          <w:sz w:val="18"/>
          <w:szCs w:val="18"/>
        </w:rPr>
      </w:pPr>
      <w:r>
        <w:rPr>
          <w:rFonts w:ascii="Arial" w:hAnsi="Arial"/>
          <w:noProof/>
          <w:sz w:val="18"/>
          <w:szCs w:val="18"/>
        </w:rPr>
        <w:t>(Ja vajadzīgs, katru punktu var papildināt uz atsevišķas lapas)</w:t>
      </w:r>
    </w:p>
    <w:tbl>
      <w:tblPr>
        <w:tblStyle w:val="TableGrid1"/>
        <w:tblW w:w="9773" w:type="dxa"/>
        <w:tblLayout w:type="fixed"/>
        <w:tblLook w:val="04A0" w:firstRow="1" w:lastRow="0" w:firstColumn="1" w:lastColumn="0" w:noHBand="0" w:noVBand="1"/>
      </w:tblPr>
      <w:tblGrid>
        <w:gridCol w:w="317"/>
        <w:gridCol w:w="1728"/>
        <w:gridCol w:w="1692"/>
        <w:gridCol w:w="639"/>
        <w:gridCol w:w="864"/>
        <w:gridCol w:w="1276"/>
        <w:gridCol w:w="1134"/>
        <w:gridCol w:w="2123"/>
      </w:tblGrid>
      <w:tr w:rsidR="003E022D">
        <w:trPr>
          <w:trHeight w:val="970"/>
        </w:trPr>
        <w:tc>
          <w:tcPr>
            <w:tcW w:w="317" w:type="dxa"/>
          </w:tcPr>
          <w:p w:rsidR="003E022D" w:rsidRDefault="007D19D6">
            <w:pPr>
              <w:jc w:val="center"/>
              <w:rPr>
                <w:rFonts w:ascii="Arial" w:hAnsi="Arial" w:cs="Arial"/>
                <w:noProof/>
                <w:sz w:val="18"/>
                <w:szCs w:val="18"/>
              </w:rPr>
            </w:pPr>
            <w:r>
              <w:rPr>
                <w:rFonts w:ascii="Arial" w:hAnsi="Arial"/>
                <w:noProof/>
                <w:sz w:val="18"/>
                <w:szCs w:val="18"/>
              </w:rPr>
              <w:t>1</w:t>
            </w:r>
          </w:p>
        </w:tc>
        <w:tc>
          <w:tcPr>
            <w:tcW w:w="4059" w:type="dxa"/>
            <w:gridSpan w:val="3"/>
          </w:tcPr>
          <w:p w:rsidR="003E022D" w:rsidRDefault="007D19D6">
            <w:pPr>
              <w:jc w:val="center"/>
              <w:rPr>
                <w:rFonts w:ascii="Arial" w:hAnsi="Arial" w:cs="Arial"/>
                <w:noProof/>
                <w:sz w:val="18"/>
                <w:szCs w:val="18"/>
              </w:rPr>
            </w:pPr>
            <w:r>
              <w:rPr>
                <w:rFonts w:ascii="Arial" w:hAnsi="Arial"/>
                <w:noProof/>
                <w:sz w:val="18"/>
                <w:szCs w:val="18"/>
                <w:lang w:val="fr-BE" w:eastAsia="fr-BE"/>
              </w:rPr>
              <w:drawing>
                <wp:anchor distT="0" distB="0" distL="114300" distR="114300" simplePos="0" relativeHeight="251615744" behindDoc="1" locked="0" layoutInCell="1" allowOverlap="1">
                  <wp:simplePos x="0" y="0"/>
                  <wp:positionH relativeFrom="column">
                    <wp:posOffset>175260</wp:posOffset>
                  </wp:positionH>
                  <wp:positionV relativeFrom="paragraph">
                    <wp:posOffset>63500</wp:posOffset>
                  </wp:positionV>
                  <wp:extent cx="1898650" cy="349250"/>
                  <wp:effectExtent l="0" t="0" r="6350" b="0"/>
                  <wp:wrapTight wrapText="bothSides">
                    <wp:wrapPolygon edited="0">
                      <wp:start x="0" y="0"/>
                      <wp:lineTo x="0" y="20029"/>
                      <wp:lineTo x="21456" y="20029"/>
                      <wp:lineTo x="21456" y="0"/>
                      <wp:lineTo x="0" y="0"/>
                    </wp:wrapPolygon>
                  </wp:wrapTight>
                  <wp:docPr id="11" name="Picture 11"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9865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Autobusa reģistrācijas numurs</w:t>
            </w:r>
          </w:p>
        </w:tc>
        <w:tc>
          <w:tcPr>
            <w:tcW w:w="5397" w:type="dxa"/>
            <w:gridSpan w:val="4"/>
          </w:tcPr>
          <w:p w:rsidR="003E022D" w:rsidRDefault="003E022D">
            <w:pPr>
              <w:jc w:val="center"/>
              <w:rPr>
                <w:rFonts w:ascii="Arial" w:hAnsi="Arial" w:cs="Arial"/>
                <w:noProof/>
                <w:sz w:val="18"/>
                <w:szCs w:val="18"/>
              </w:rPr>
            </w:pPr>
          </w:p>
          <w:p w:rsidR="003E022D" w:rsidRDefault="007D19D6">
            <w:pPr>
              <w:jc w:val="center"/>
              <w:rPr>
                <w:rFonts w:ascii="Arial" w:hAnsi="Arial" w:cs="Arial"/>
                <w:noProof/>
                <w:sz w:val="18"/>
                <w:szCs w:val="18"/>
              </w:rPr>
            </w:pPr>
            <w:r>
              <w:rPr>
                <w:rFonts w:ascii="Arial" w:hAnsi="Arial"/>
                <w:noProof/>
                <w:sz w:val="18"/>
                <w:szCs w:val="18"/>
              </w:rPr>
              <w:t>………………………………………………………</w:t>
            </w:r>
          </w:p>
          <w:p w:rsidR="003E022D" w:rsidRDefault="007D19D6">
            <w:pPr>
              <w:jc w:val="center"/>
              <w:rPr>
                <w:rFonts w:ascii="Arial" w:hAnsi="Arial" w:cs="Arial"/>
                <w:noProof/>
                <w:sz w:val="18"/>
                <w:szCs w:val="18"/>
              </w:rPr>
            </w:pPr>
            <w:r>
              <w:rPr>
                <w:rFonts w:ascii="Arial" w:hAnsi="Arial"/>
                <w:noProof/>
                <w:sz w:val="18"/>
                <w:szCs w:val="18"/>
              </w:rPr>
              <w:t>Vieta, datums un pārvadātāja paraksts</w:t>
            </w:r>
          </w:p>
        </w:tc>
      </w:tr>
      <w:tr w:rsidR="003E022D">
        <w:trPr>
          <w:trHeight w:val="1125"/>
        </w:trPr>
        <w:tc>
          <w:tcPr>
            <w:tcW w:w="317" w:type="dxa"/>
          </w:tcPr>
          <w:p w:rsidR="003E022D" w:rsidRDefault="007D19D6">
            <w:pPr>
              <w:jc w:val="center"/>
              <w:rPr>
                <w:rFonts w:ascii="Arial" w:hAnsi="Arial" w:cs="Arial"/>
                <w:noProof/>
                <w:sz w:val="18"/>
                <w:szCs w:val="18"/>
              </w:rPr>
            </w:pPr>
            <w:r>
              <w:rPr>
                <w:rFonts w:ascii="Arial" w:hAnsi="Arial"/>
                <w:noProof/>
                <w:sz w:val="18"/>
                <w:szCs w:val="18"/>
              </w:rPr>
              <w:t>2</w:t>
            </w:r>
          </w:p>
        </w:tc>
        <w:tc>
          <w:tcPr>
            <w:tcW w:w="4059" w:type="dxa"/>
            <w:gridSpan w:val="3"/>
          </w:tcPr>
          <w:p w:rsidR="003E022D" w:rsidRDefault="007D19D6">
            <w:pPr>
              <w:jc w:val="center"/>
              <w:rPr>
                <w:rFonts w:ascii="Arial" w:hAnsi="Arial" w:cs="Arial"/>
                <w:noProof/>
                <w:sz w:val="18"/>
                <w:szCs w:val="18"/>
              </w:rPr>
            </w:pPr>
            <w:r>
              <w:rPr>
                <w:rFonts w:ascii="Arial" w:hAnsi="Arial"/>
                <w:noProof/>
                <w:sz w:val="18"/>
                <w:szCs w:val="18"/>
                <w:lang w:val="fr-BE" w:eastAsia="fr-BE"/>
              </w:rPr>
              <w:drawing>
                <wp:anchor distT="0" distB="0" distL="114300" distR="114300" simplePos="0" relativeHeight="251613696" behindDoc="1" locked="0" layoutInCell="1" allowOverlap="1">
                  <wp:simplePos x="0" y="0"/>
                  <wp:positionH relativeFrom="column">
                    <wp:posOffset>544635</wp:posOffset>
                  </wp:positionH>
                  <wp:positionV relativeFrom="paragraph">
                    <wp:posOffset>96667</wp:posOffset>
                  </wp:positionV>
                  <wp:extent cx="1543048" cy="247650"/>
                  <wp:effectExtent l="0" t="0" r="635" b="0"/>
                  <wp:wrapTight wrapText="bothSides">
                    <wp:wrapPolygon edited="0">
                      <wp:start x="0" y="0"/>
                      <wp:lineTo x="0" y="19938"/>
                      <wp:lineTo x="21342" y="19938"/>
                      <wp:lineTo x="21342" y="0"/>
                      <wp:lineTo x="0" y="0"/>
                    </wp:wrapPolygon>
                  </wp:wrapTight>
                  <wp:docPr id="12" name="Picture 12"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543048" cy="247650"/>
                          </a:xfrm>
                          <a:prstGeom prst="rect">
                            <a:avLst/>
                          </a:prstGeom>
                          <a:noFill/>
                          <a:ln>
                            <a:noFill/>
                          </a:ln>
                          <a:extLst>
                            <a:ext uri="{53640926-AAD7-44D8-BBD7-CCE9431645EC}">
                              <a14:shadowObscured xmlns:a14="http://schemas.microsoft.com/office/drawing/2010/main"/>
                            </a:ext>
                          </a:extLst>
                        </pic:spPr>
                      </pic:pic>
                    </a:graphicData>
                  </a:graphic>
                </wp:anchor>
              </w:drawing>
            </w:r>
          </w:p>
          <w:p w:rsidR="003E022D" w:rsidRDefault="003E022D">
            <w:pPr>
              <w:jc w:val="center"/>
              <w:rPr>
                <w:rFonts w:ascii="Arial" w:hAnsi="Arial" w:cs="Arial"/>
                <w:noProof/>
                <w:sz w:val="18"/>
                <w:szCs w:val="18"/>
              </w:rPr>
            </w:pPr>
          </w:p>
          <w:p w:rsidR="003E022D" w:rsidRDefault="003E022D">
            <w:pPr>
              <w:jc w:val="center"/>
              <w:rPr>
                <w:rFonts w:ascii="Arial" w:hAnsi="Arial" w:cs="Arial"/>
                <w:noProof/>
                <w:sz w:val="18"/>
                <w:szCs w:val="18"/>
              </w:rPr>
            </w:pPr>
          </w:p>
          <w:p w:rsidR="003E022D" w:rsidRDefault="007D19D6">
            <w:pPr>
              <w:jc w:val="center"/>
              <w:rPr>
                <w:rFonts w:ascii="Arial" w:hAnsi="Arial" w:cs="Arial"/>
                <w:noProof/>
                <w:sz w:val="18"/>
                <w:szCs w:val="18"/>
              </w:rPr>
            </w:pPr>
            <w:r>
              <w:rPr>
                <w:rFonts w:ascii="Arial" w:hAnsi="Arial"/>
                <w:noProof/>
                <w:sz w:val="18"/>
                <w:szCs w:val="18"/>
              </w:rPr>
              <w:t>Pārvadātājs un – attiecīgā gadījumā – apak</w:t>
            </w:r>
            <w:r>
              <w:rPr>
                <w:rFonts w:ascii="Arial" w:hAnsi="Arial"/>
                <w:noProof/>
                <w:sz w:val="18"/>
                <w:szCs w:val="18"/>
              </w:rPr>
              <w:t>šuzņēmējs vai pārvadātāju grupa</w:t>
            </w:r>
          </w:p>
        </w:tc>
        <w:tc>
          <w:tcPr>
            <w:tcW w:w="5397" w:type="dxa"/>
            <w:gridSpan w:val="4"/>
          </w:tcPr>
          <w:p w:rsidR="003E022D" w:rsidRDefault="007D19D6">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rsidR="003E022D" w:rsidRDefault="007D19D6">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rsidR="003E022D" w:rsidRDefault="007D19D6">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tc>
      </w:tr>
      <w:tr w:rsidR="003E022D">
        <w:trPr>
          <w:trHeight w:val="694"/>
        </w:trPr>
        <w:tc>
          <w:tcPr>
            <w:tcW w:w="317" w:type="dxa"/>
          </w:tcPr>
          <w:p w:rsidR="003E022D" w:rsidRDefault="007D19D6">
            <w:pPr>
              <w:jc w:val="center"/>
              <w:rPr>
                <w:rFonts w:ascii="Arial" w:hAnsi="Arial" w:cs="Arial"/>
                <w:noProof/>
                <w:sz w:val="18"/>
                <w:szCs w:val="18"/>
              </w:rPr>
            </w:pPr>
            <w:r>
              <w:rPr>
                <w:rFonts w:ascii="Arial" w:hAnsi="Arial"/>
                <w:noProof/>
                <w:sz w:val="18"/>
                <w:szCs w:val="18"/>
              </w:rPr>
              <w:t>3</w:t>
            </w:r>
          </w:p>
        </w:tc>
        <w:tc>
          <w:tcPr>
            <w:tcW w:w="4059" w:type="dxa"/>
            <w:gridSpan w:val="3"/>
          </w:tcPr>
          <w:p w:rsidR="003E022D" w:rsidRDefault="007D19D6">
            <w:pPr>
              <w:jc w:val="center"/>
              <w:rPr>
                <w:rFonts w:ascii="Arial" w:hAnsi="Arial" w:cs="Arial"/>
                <w:noProof/>
                <w:sz w:val="18"/>
                <w:szCs w:val="18"/>
              </w:rPr>
            </w:pPr>
            <w:r>
              <w:rPr>
                <w:rFonts w:ascii="Arial" w:hAnsi="Arial"/>
                <w:noProof/>
                <w:sz w:val="18"/>
                <w:szCs w:val="18"/>
                <w:lang w:val="fr-BE" w:eastAsia="fr-BE"/>
              </w:rPr>
              <w:drawing>
                <wp:anchor distT="0" distB="0" distL="114300" distR="114300" simplePos="0" relativeHeight="251617792" behindDoc="1" locked="0" layoutInCell="1" allowOverlap="1">
                  <wp:simplePos x="0" y="0"/>
                  <wp:positionH relativeFrom="column">
                    <wp:posOffset>405032</wp:posOffset>
                  </wp:positionH>
                  <wp:positionV relativeFrom="paragraph">
                    <wp:posOffset>96520</wp:posOffset>
                  </wp:positionV>
                  <wp:extent cx="1651000" cy="349250"/>
                  <wp:effectExtent l="0" t="0" r="6350" b="0"/>
                  <wp:wrapTight wrapText="bothSides">
                    <wp:wrapPolygon edited="0">
                      <wp:start x="0" y="0"/>
                      <wp:lineTo x="0" y="20029"/>
                      <wp:lineTo x="21434" y="20029"/>
                      <wp:lineTo x="21434" y="0"/>
                      <wp:lineTo x="0" y="0"/>
                    </wp:wrapPolygon>
                  </wp:wrapTight>
                  <wp:docPr id="13" name="Picture 13"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5100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Transportlīdzekļa vadītāja(-u) vārds, uzvārds</w:t>
            </w:r>
          </w:p>
        </w:tc>
        <w:tc>
          <w:tcPr>
            <w:tcW w:w="5397" w:type="dxa"/>
            <w:gridSpan w:val="4"/>
          </w:tcPr>
          <w:p w:rsidR="003E022D" w:rsidRDefault="007D19D6">
            <w:pPr>
              <w:numPr>
                <w:ilvl w:val="0"/>
                <w:numId w:val="944"/>
              </w:numPr>
              <w:spacing w:after="160" w:line="360" w:lineRule="auto"/>
              <w:contextualSpacing/>
              <w:jc w:val="center"/>
              <w:rPr>
                <w:rFonts w:ascii="Arial" w:hAnsi="Arial" w:cs="Arial"/>
                <w:noProof/>
                <w:sz w:val="18"/>
                <w:szCs w:val="18"/>
              </w:rPr>
            </w:pPr>
            <w:r>
              <w:rPr>
                <w:rFonts w:ascii="Arial" w:hAnsi="Arial"/>
                <w:noProof/>
                <w:sz w:val="18"/>
                <w:szCs w:val="18"/>
              </w:rPr>
              <w:t>…………………………………………………</w:t>
            </w:r>
          </w:p>
          <w:p w:rsidR="003E022D" w:rsidRDefault="007D19D6">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p w:rsidR="003E022D" w:rsidRDefault="007D19D6">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tc>
      </w:tr>
      <w:tr w:rsidR="003E022D">
        <w:trPr>
          <w:trHeight w:val="694"/>
        </w:trPr>
        <w:tc>
          <w:tcPr>
            <w:tcW w:w="317" w:type="dxa"/>
          </w:tcPr>
          <w:p w:rsidR="003E022D" w:rsidRDefault="007D19D6">
            <w:pPr>
              <w:jc w:val="center"/>
              <w:rPr>
                <w:rFonts w:ascii="Arial" w:hAnsi="Arial" w:cs="Arial"/>
                <w:noProof/>
                <w:sz w:val="18"/>
                <w:szCs w:val="18"/>
              </w:rPr>
            </w:pPr>
            <w:r>
              <w:rPr>
                <w:rFonts w:ascii="Arial" w:hAnsi="Arial"/>
                <w:noProof/>
                <w:sz w:val="18"/>
                <w:szCs w:val="18"/>
              </w:rPr>
              <w:t>4</w:t>
            </w:r>
          </w:p>
        </w:tc>
        <w:tc>
          <w:tcPr>
            <w:tcW w:w="4059" w:type="dxa"/>
            <w:gridSpan w:val="3"/>
          </w:tcPr>
          <w:p w:rsidR="003E022D" w:rsidRDefault="007D19D6">
            <w:pPr>
              <w:jc w:val="center"/>
              <w:rPr>
                <w:rFonts w:ascii="Arial" w:hAnsi="Arial" w:cs="Arial"/>
                <w:noProof/>
                <w:sz w:val="18"/>
                <w:szCs w:val="18"/>
              </w:rPr>
            </w:pPr>
            <w:r>
              <w:rPr>
                <w:rFonts w:ascii="Arial" w:hAnsi="Arial"/>
                <w:noProof/>
                <w:sz w:val="18"/>
                <w:szCs w:val="18"/>
              </w:rPr>
              <w:t>Organizācija vai persona, kas atbild par neregulāro</w:t>
            </w:r>
            <w:r>
              <w:rPr>
                <w:rFonts w:ascii="Arial" w:hAnsi="Arial"/>
                <w:noProof/>
                <w:sz w:val="18"/>
                <w:szCs w:val="18"/>
              </w:rPr>
              <w:t xml:space="preserve"> pārvadājumu</w:t>
            </w:r>
          </w:p>
        </w:tc>
        <w:tc>
          <w:tcPr>
            <w:tcW w:w="5397" w:type="dxa"/>
            <w:gridSpan w:val="4"/>
          </w:tcPr>
          <w:p w:rsidR="003E022D" w:rsidRDefault="007D19D6">
            <w:pPr>
              <w:spacing w:line="360" w:lineRule="auto"/>
              <w:jc w:val="center"/>
              <w:rPr>
                <w:rFonts w:ascii="Arial" w:hAnsi="Arial" w:cs="Arial"/>
                <w:noProof/>
                <w:sz w:val="18"/>
                <w:szCs w:val="18"/>
              </w:rPr>
            </w:pPr>
            <w:r>
              <w:rPr>
                <w:rFonts w:ascii="Arial" w:hAnsi="Arial"/>
                <w:noProof/>
                <w:sz w:val="18"/>
                <w:szCs w:val="18"/>
              </w:rPr>
              <w:t>1. ………………………. 2. ……………………….</w:t>
            </w:r>
          </w:p>
          <w:p w:rsidR="003E022D" w:rsidRDefault="007D19D6">
            <w:pPr>
              <w:spacing w:line="360" w:lineRule="auto"/>
              <w:jc w:val="center"/>
              <w:rPr>
                <w:rFonts w:ascii="Arial" w:hAnsi="Arial" w:cs="Arial"/>
                <w:noProof/>
                <w:sz w:val="18"/>
                <w:szCs w:val="18"/>
              </w:rPr>
            </w:pPr>
            <w:r>
              <w:rPr>
                <w:rFonts w:ascii="Arial" w:hAnsi="Arial"/>
                <w:noProof/>
                <w:sz w:val="18"/>
                <w:szCs w:val="18"/>
              </w:rPr>
              <w:t>3. ………………………. 4. ……………………….</w:t>
            </w:r>
          </w:p>
        </w:tc>
      </w:tr>
      <w:tr w:rsidR="003E022D">
        <w:trPr>
          <w:trHeight w:val="514"/>
        </w:trPr>
        <w:tc>
          <w:tcPr>
            <w:tcW w:w="317" w:type="dxa"/>
          </w:tcPr>
          <w:p w:rsidR="003E022D" w:rsidRDefault="007D19D6">
            <w:pPr>
              <w:jc w:val="center"/>
              <w:rPr>
                <w:rFonts w:ascii="Arial" w:hAnsi="Arial" w:cs="Arial"/>
                <w:noProof/>
                <w:sz w:val="18"/>
                <w:szCs w:val="18"/>
              </w:rPr>
            </w:pPr>
            <w:r>
              <w:rPr>
                <w:rFonts w:ascii="Arial" w:hAnsi="Arial"/>
                <w:noProof/>
                <w:sz w:val="18"/>
                <w:szCs w:val="18"/>
              </w:rPr>
              <w:t>5</w:t>
            </w:r>
          </w:p>
        </w:tc>
        <w:tc>
          <w:tcPr>
            <w:tcW w:w="4059" w:type="dxa"/>
            <w:gridSpan w:val="3"/>
          </w:tcPr>
          <w:p w:rsidR="003E022D" w:rsidRDefault="007D19D6">
            <w:pPr>
              <w:jc w:val="center"/>
              <w:rPr>
                <w:rFonts w:ascii="Arial" w:hAnsi="Arial" w:cs="Arial"/>
                <w:b/>
                <w:noProof/>
                <w:sz w:val="18"/>
                <w:szCs w:val="18"/>
              </w:rPr>
            </w:pPr>
            <w:r>
              <w:rPr>
                <w:rFonts w:ascii="Arial" w:hAnsi="Arial"/>
                <w:b/>
                <w:noProof/>
                <w:sz w:val="18"/>
                <w:szCs w:val="18"/>
              </w:rPr>
              <w:t>Pārvadājuma veids</w:t>
            </w:r>
          </w:p>
        </w:tc>
        <w:tc>
          <w:tcPr>
            <w:tcW w:w="5397" w:type="dxa"/>
            <w:gridSpan w:val="4"/>
          </w:tcPr>
          <w:p w:rsidR="003E022D" w:rsidRDefault="007D19D6">
            <w:pPr>
              <w:spacing w:line="360" w:lineRule="auto"/>
              <w:ind w:left="720"/>
              <w:rPr>
                <w:rFonts w:ascii="Arial" w:hAnsi="Arial" w:cs="Arial"/>
                <w:noProof/>
                <w:sz w:val="18"/>
                <w:szCs w:val="18"/>
              </w:rPr>
            </w:pPr>
            <w:r>
              <w:rPr>
                <w:rFonts w:ascii="Arial" w:hAnsi="Arial"/>
                <w:noProof/>
                <w:sz w:val="18"/>
                <w:szCs w:val="18"/>
                <w:lang w:val="fr-BE" w:eastAsia="fr-BE"/>
              </w:rPr>
              <mc:AlternateContent>
                <mc:Choice Requires="wps">
                  <w:drawing>
                    <wp:anchor distT="0" distB="0" distL="114300" distR="114300" simplePos="0" relativeHeight="251619840" behindDoc="0" locked="0" layoutInCell="1" allowOverlap="1">
                      <wp:simplePos x="0" y="0"/>
                      <wp:positionH relativeFrom="column">
                        <wp:posOffset>274320</wp:posOffset>
                      </wp:positionH>
                      <wp:positionV relativeFrom="paragraph">
                        <wp:posOffset>26670</wp:posOffset>
                      </wp:positionV>
                      <wp:extent cx="104775" cy="111125"/>
                      <wp:effectExtent l="0" t="0" r="28575" b="22225"/>
                      <wp:wrapNone/>
                      <wp:docPr id="9" name="Rectangle 9"/>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B12BB" id="Rectangle 9" o:spid="_x0000_s1026" style="position:absolute;margin-left:21.6pt;margin-top:2.1pt;width:8.25pt;height:8.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" filled="f" strokecolor="windowText" strokeweight="1pt"/>
                  </w:pict>
                </mc:Fallback>
              </mc:AlternateContent>
            </w:r>
            <w:r>
              <w:rPr>
                <w:rFonts w:ascii="Arial" w:hAnsi="Arial"/>
                <w:noProof/>
                <w:sz w:val="18"/>
                <w:szCs w:val="18"/>
              </w:rPr>
              <w:t>Neregulārais pārvadījums ar kabotāžu</w:t>
            </w:r>
          </w:p>
          <w:p w:rsidR="003E022D" w:rsidRDefault="007D19D6">
            <w:pPr>
              <w:spacing w:line="360" w:lineRule="auto"/>
              <w:ind w:left="720"/>
              <w:rPr>
                <w:rFonts w:ascii="Arial" w:hAnsi="Arial" w:cs="Arial"/>
                <w:noProof/>
                <w:sz w:val="18"/>
                <w:szCs w:val="18"/>
              </w:rPr>
            </w:pPr>
            <w:r>
              <w:rPr>
                <w:rFonts w:ascii="Arial" w:hAnsi="Arial"/>
                <w:noProof/>
                <w:sz w:val="18"/>
                <w:szCs w:val="18"/>
                <w:lang w:val="fr-BE" w:eastAsia="fr-BE"/>
              </w:rPr>
              <mc:AlternateContent>
                <mc:Choice Requires="wps">
                  <w:drawing>
                    <wp:anchor distT="0" distB="0" distL="114300" distR="114300" simplePos="0" relativeHeight="251621888" behindDoc="0" locked="0" layoutInCell="1" allowOverlap="1">
                      <wp:simplePos x="0" y="0"/>
                      <wp:positionH relativeFrom="column">
                        <wp:posOffset>276225</wp:posOffset>
                      </wp:positionH>
                      <wp:positionV relativeFrom="paragraph">
                        <wp:posOffset>26670</wp:posOffset>
                      </wp:positionV>
                      <wp:extent cx="104775" cy="111125"/>
                      <wp:effectExtent l="0" t="0" r="28575" b="22225"/>
                      <wp:wrapNone/>
                      <wp:docPr id="10" name="Rectangle 10"/>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59DD4" id="Rectangle 10" o:spid="_x0000_s1026" style="position:absolute;margin-left:21.75pt;margin-top:2.1pt;width:8.25pt;height:8.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" filled="f" strokecolor="windowText" strokeweight="1pt"/>
                  </w:pict>
                </mc:Fallback>
              </mc:AlternateContent>
            </w:r>
            <w:r>
              <w:rPr>
                <w:rFonts w:ascii="Arial" w:hAnsi="Arial"/>
                <w:noProof/>
                <w:sz w:val="18"/>
                <w:szCs w:val="18"/>
              </w:rPr>
              <w:t>Neregulārais pārvadājums ar tranzītu</w:t>
            </w:r>
          </w:p>
        </w:tc>
      </w:tr>
      <w:tr w:rsidR="003E022D">
        <w:trPr>
          <w:trHeight w:val="593"/>
        </w:trPr>
        <w:tc>
          <w:tcPr>
            <w:tcW w:w="317" w:type="dxa"/>
          </w:tcPr>
          <w:p w:rsidR="003E022D" w:rsidRDefault="007D19D6">
            <w:pPr>
              <w:jc w:val="center"/>
              <w:rPr>
                <w:rFonts w:ascii="Arial" w:hAnsi="Arial" w:cs="Arial"/>
                <w:noProof/>
                <w:sz w:val="18"/>
                <w:szCs w:val="18"/>
              </w:rPr>
            </w:pPr>
            <w:r>
              <w:rPr>
                <w:rFonts w:ascii="Arial" w:hAnsi="Arial"/>
                <w:noProof/>
                <w:sz w:val="18"/>
                <w:szCs w:val="18"/>
              </w:rPr>
              <w:t>6</w:t>
            </w:r>
          </w:p>
        </w:tc>
        <w:tc>
          <w:tcPr>
            <w:tcW w:w="9456" w:type="dxa"/>
            <w:gridSpan w:val="7"/>
          </w:tcPr>
          <w:p w:rsidR="003E022D" w:rsidRDefault="007D19D6">
            <w:pPr>
              <w:spacing w:line="360" w:lineRule="auto"/>
              <w:jc w:val="center"/>
              <w:rPr>
                <w:rFonts w:ascii="Arial" w:hAnsi="Arial" w:cs="Arial"/>
                <w:noProof/>
                <w:sz w:val="18"/>
                <w:szCs w:val="18"/>
              </w:rPr>
            </w:pPr>
            <w:r>
              <w:rPr>
                <w:rFonts w:ascii="Arial" w:hAnsi="Arial"/>
                <w:noProof/>
                <w:sz w:val="18"/>
                <w:szCs w:val="18"/>
              </w:rPr>
              <w:t>Pārvadājuma sākumpunkts: ………………………… Valsts: …………………………</w:t>
            </w:r>
          </w:p>
          <w:p w:rsidR="003E022D" w:rsidRDefault="007D19D6">
            <w:pPr>
              <w:spacing w:line="360" w:lineRule="auto"/>
              <w:jc w:val="center"/>
              <w:rPr>
                <w:rFonts w:ascii="Arial" w:hAnsi="Arial" w:cs="Arial"/>
                <w:noProof/>
                <w:sz w:val="18"/>
                <w:szCs w:val="18"/>
              </w:rPr>
            </w:pPr>
            <w:r>
              <w:rPr>
                <w:rFonts w:ascii="Arial" w:hAnsi="Arial"/>
                <w:noProof/>
                <w:sz w:val="18"/>
                <w:szCs w:val="18"/>
              </w:rPr>
              <w:t xml:space="preserve">Pārvadājuma galapunkts: </w:t>
            </w:r>
            <w:r>
              <w:rPr>
                <w:rFonts w:ascii="Arial" w:hAnsi="Arial"/>
                <w:noProof/>
                <w:sz w:val="18"/>
                <w:szCs w:val="18"/>
              </w:rPr>
              <w:t>………………………… Valsts: …………………………</w:t>
            </w:r>
          </w:p>
        </w:tc>
      </w:tr>
      <w:tr w:rsidR="003E022D">
        <w:trPr>
          <w:trHeight w:val="331"/>
        </w:trPr>
        <w:tc>
          <w:tcPr>
            <w:tcW w:w="317" w:type="dxa"/>
            <w:vMerge w:val="restart"/>
          </w:tcPr>
          <w:p w:rsidR="003E022D" w:rsidRDefault="007D19D6">
            <w:pPr>
              <w:jc w:val="center"/>
              <w:rPr>
                <w:rFonts w:ascii="Arial" w:hAnsi="Arial" w:cs="Arial"/>
                <w:noProof/>
                <w:sz w:val="18"/>
                <w:szCs w:val="18"/>
              </w:rPr>
            </w:pPr>
            <w:r>
              <w:rPr>
                <w:rFonts w:ascii="Arial" w:hAnsi="Arial"/>
                <w:noProof/>
                <w:sz w:val="18"/>
                <w:szCs w:val="18"/>
              </w:rPr>
              <w:t>7</w:t>
            </w:r>
          </w:p>
        </w:tc>
        <w:tc>
          <w:tcPr>
            <w:tcW w:w="1728" w:type="dxa"/>
          </w:tcPr>
          <w:p w:rsidR="003E022D" w:rsidRDefault="007D19D6">
            <w:pPr>
              <w:jc w:val="center"/>
              <w:rPr>
                <w:rFonts w:ascii="Arial" w:hAnsi="Arial" w:cs="Arial"/>
                <w:noProof/>
                <w:sz w:val="18"/>
                <w:szCs w:val="18"/>
              </w:rPr>
            </w:pPr>
            <w:r>
              <w:rPr>
                <w:rFonts w:ascii="Arial" w:hAnsi="Arial"/>
                <w:noProof/>
                <w:sz w:val="18"/>
                <w:szCs w:val="18"/>
              </w:rPr>
              <w:t>Brauciens</w:t>
            </w:r>
          </w:p>
        </w:tc>
        <w:tc>
          <w:tcPr>
            <w:tcW w:w="3195" w:type="dxa"/>
            <w:gridSpan w:val="3"/>
          </w:tcPr>
          <w:p w:rsidR="003E022D" w:rsidRDefault="007D19D6">
            <w:pPr>
              <w:jc w:val="center"/>
              <w:rPr>
                <w:rFonts w:ascii="Arial" w:hAnsi="Arial" w:cs="Arial"/>
                <w:noProof/>
                <w:sz w:val="18"/>
                <w:szCs w:val="18"/>
              </w:rPr>
            </w:pPr>
            <w:r>
              <w:rPr>
                <w:rFonts w:ascii="Arial" w:hAnsi="Arial"/>
                <w:noProof/>
                <w:sz w:val="18"/>
                <w:szCs w:val="18"/>
              </w:rPr>
              <w:t>Maršruts / dienas posmi un/vai pasažieru iekāpšanas vai izkāpšanas punkti</w:t>
            </w:r>
          </w:p>
        </w:tc>
        <w:tc>
          <w:tcPr>
            <w:tcW w:w="1276" w:type="dxa"/>
            <w:vMerge w:val="restart"/>
          </w:tcPr>
          <w:p w:rsidR="003E022D" w:rsidRDefault="007D19D6">
            <w:pPr>
              <w:jc w:val="center"/>
              <w:rPr>
                <w:rFonts w:ascii="Arial" w:hAnsi="Arial" w:cs="Arial"/>
                <w:noProof/>
                <w:sz w:val="18"/>
                <w:szCs w:val="18"/>
              </w:rPr>
            </w:pPr>
            <w:r>
              <w:rPr>
                <w:noProof/>
                <w:lang w:val="fr-BE" w:eastAsia="fr-BE"/>
              </w:rPr>
              <w:drawing>
                <wp:anchor distT="0" distB="0" distL="114300" distR="114300" simplePos="0" relativeHeight="251625984" behindDoc="1" locked="0" layoutInCell="1" allowOverlap="1">
                  <wp:simplePos x="0" y="0"/>
                  <wp:positionH relativeFrom="column">
                    <wp:posOffset>-10795</wp:posOffset>
                  </wp:positionH>
                  <wp:positionV relativeFrom="paragraph">
                    <wp:posOffset>427711</wp:posOffset>
                  </wp:positionV>
                  <wp:extent cx="707981" cy="264277"/>
                  <wp:effectExtent l="0" t="0" r="0" b="2540"/>
                  <wp:wrapTight wrapText="bothSides">
                    <wp:wrapPolygon edited="0">
                      <wp:start x="0" y="0"/>
                      <wp:lineTo x="0" y="20250"/>
                      <wp:lineTo x="20941" y="20250"/>
                      <wp:lineTo x="20941" y="0"/>
                      <wp:lineTo x="0" y="0"/>
                    </wp:wrapPolygon>
                  </wp:wrapTight>
                  <wp:docPr id="14" name="Picture 14"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707981" cy="26427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Pasažieru skaits</w:t>
            </w:r>
          </w:p>
        </w:tc>
        <w:tc>
          <w:tcPr>
            <w:tcW w:w="1134" w:type="dxa"/>
            <w:vMerge w:val="restart"/>
          </w:tcPr>
          <w:p w:rsidR="003E022D" w:rsidRDefault="007D19D6">
            <w:pPr>
              <w:jc w:val="center"/>
              <w:rPr>
                <w:rFonts w:ascii="Arial" w:hAnsi="Arial" w:cs="Arial"/>
                <w:noProof/>
                <w:sz w:val="18"/>
                <w:szCs w:val="18"/>
              </w:rPr>
            </w:pPr>
            <w:r>
              <w:rPr>
                <w:noProof/>
                <w:lang w:val="fr-BE" w:eastAsia="fr-BE"/>
              </w:rPr>
              <w:drawing>
                <wp:anchor distT="0" distB="0" distL="114300" distR="114300" simplePos="0" relativeHeight="251628032" behindDoc="1" locked="0" layoutInCell="1" allowOverlap="1">
                  <wp:simplePos x="0" y="0"/>
                  <wp:positionH relativeFrom="column">
                    <wp:posOffset>-64884</wp:posOffset>
                  </wp:positionH>
                  <wp:positionV relativeFrom="paragraph">
                    <wp:posOffset>441270</wp:posOffset>
                  </wp:positionV>
                  <wp:extent cx="781609" cy="247848"/>
                  <wp:effectExtent l="0" t="0" r="0" b="0"/>
                  <wp:wrapTight wrapText="bothSides">
                    <wp:wrapPolygon edited="0">
                      <wp:start x="0" y="0"/>
                      <wp:lineTo x="0" y="19938"/>
                      <wp:lineTo x="21073" y="19938"/>
                      <wp:lineTo x="21073" y="0"/>
                      <wp:lineTo x="0" y="0"/>
                    </wp:wrapPolygon>
                  </wp:wrapTight>
                  <wp:docPr id="15" name="Picture 15"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81609" cy="2478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Tukšs (atzīmē ar X)</w:t>
            </w:r>
            <w:r>
              <w:rPr>
                <w:noProof/>
              </w:rPr>
              <w:t xml:space="preserve"> </w:t>
            </w:r>
          </w:p>
        </w:tc>
        <w:tc>
          <w:tcPr>
            <w:tcW w:w="2123" w:type="dxa"/>
            <w:vMerge w:val="restart"/>
          </w:tcPr>
          <w:p w:rsidR="003E022D" w:rsidRDefault="007D19D6">
            <w:pPr>
              <w:jc w:val="center"/>
              <w:rPr>
                <w:rFonts w:ascii="Arial" w:hAnsi="Arial" w:cs="Arial"/>
                <w:noProof/>
                <w:sz w:val="18"/>
                <w:szCs w:val="18"/>
              </w:rPr>
            </w:pPr>
            <w:r>
              <w:rPr>
                <w:rFonts w:ascii="Arial" w:hAnsi="Arial"/>
                <w:noProof/>
                <w:sz w:val="18"/>
                <w:szCs w:val="18"/>
              </w:rPr>
              <w:t>Plānotie km</w:t>
            </w:r>
          </w:p>
        </w:tc>
      </w:tr>
      <w:tr w:rsidR="003E022D">
        <w:trPr>
          <w:trHeight w:val="665"/>
        </w:trPr>
        <w:tc>
          <w:tcPr>
            <w:tcW w:w="317" w:type="dxa"/>
            <w:vMerge/>
          </w:tcPr>
          <w:p w:rsidR="003E022D" w:rsidRDefault="003E022D">
            <w:pPr>
              <w:jc w:val="center"/>
              <w:rPr>
                <w:rFonts w:ascii="Arial" w:hAnsi="Arial" w:cs="Arial"/>
                <w:noProof/>
                <w:sz w:val="18"/>
                <w:szCs w:val="18"/>
              </w:rPr>
            </w:pPr>
          </w:p>
        </w:tc>
        <w:tc>
          <w:tcPr>
            <w:tcW w:w="1728" w:type="dxa"/>
          </w:tcPr>
          <w:p w:rsidR="003E022D" w:rsidRDefault="007D19D6">
            <w:pPr>
              <w:jc w:val="center"/>
              <w:rPr>
                <w:rFonts w:ascii="Arial" w:hAnsi="Arial" w:cs="Arial"/>
                <w:noProof/>
                <w:sz w:val="18"/>
                <w:szCs w:val="18"/>
              </w:rPr>
            </w:pPr>
            <w:r>
              <w:rPr>
                <w:rFonts w:ascii="Arial" w:hAnsi="Arial"/>
                <w:noProof/>
                <w:sz w:val="18"/>
                <w:szCs w:val="18"/>
              </w:rPr>
              <w:t>Datumi</w:t>
            </w:r>
          </w:p>
        </w:tc>
        <w:tc>
          <w:tcPr>
            <w:tcW w:w="1692" w:type="dxa"/>
          </w:tcPr>
          <w:p w:rsidR="003E022D" w:rsidRDefault="007D19D6">
            <w:pPr>
              <w:jc w:val="center"/>
              <w:rPr>
                <w:rFonts w:ascii="Arial" w:hAnsi="Arial" w:cs="Arial"/>
                <w:noProof/>
                <w:sz w:val="18"/>
                <w:szCs w:val="18"/>
              </w:rPr>
            </w:pPr>
            <w:r>
              <w:rPr>
                <w:rFonts w:ascii="Arial" w:hAnsi="Arial"/>
                <w:noProof/>
                <w:sz w:val="18"/>
                <w:szCs w:val="18"/>
                <w:lang w:val="fr-BE" w:eastAsia="fr-BE"/>
              </w:rPr>
              <mc:AlternateContent>
                <mc:Choice Requires="wps">
                  <w:drawing>
                    <wp:anchor distT="0" distB="0" distL="114300" distR="114300" simplePos="0" relativeHeight="251623936" behindDoc="0" locked="0" layoutInCell="1" allowOverlap="1">
                      <wp:simplePos x="0" y="0"/>
                      <wp:positionH relativeFrom="column">
                        <wp:posOffset>814656</wp:posOffset>
                      </wp:positionH>
                      <wp:positionV relativeFrom="paragraph">
                        <wp:posOffset>112395</wp:posOffset>
                      </wp:positionV>
                      <wp:extent cx="36000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40BEB18" id="_x0000_t32" coordsize="21600,21600" o:spt="32" o:oned="t" path="m,l21600,21600e" filled="f">
                      <v:path arrowok="t" fillok="f" o:connecttype="none"/>
                      <o:lock v:ext="edit" shapetype="t"/>
                    </v:shapetype>
                    <v:shape id="Straight Arrow Connector 16" o:spid="_x0000_s1026" type="#_x0000_t32" style="position:absolute;margin-left:64.15pt;margin-top:8.85pt;width:28.35pt;height:0;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" strokecolor="windowText" strokeweight="2.25pt">
                      <v:stroke endarrow="block" joinstyle="miter"/>
                    </v:shape>
                  </w:pict>
                </mc:Fallback>
              </mc:AlternateContent>
            </w:r>
            <w:r>
              <w:rPr>
                <w:rFonts w:ascii="Arial" w:hAnsi="Arial"/>
                <w:noProof/>
                <w:sz w:val="18"/>
                <w:szCs w:val="18"/>
              </w:rPr>
              <w:t>no</w:t>
            </w:r>
          </w:p>
        </w:tc>
        <w:tc>
          <w:tcPr>
            <w:tcW w:w="1503" w:type="dxa"/>
            <w:gridSpan w:val="2"/>
          </w:tcPr>
          <w:p w:rsidR="003E022D" w:rsidRDefault="007D19D6">
            <w:pPr>
              <w:jc w:val="center"/>
              <w:rPr>
                <w:rFonts w:ascii="Arial" w:hAnsi="Arial" w:cs="Arial"/>
                <w:noProof/>
                <w:sz w:val="18"/>
                <w:szCs w:val="18"/>
              </w:rPr>
            </w:pPr>
            <w:r>
              <w:rPr>
                <w:rFonts w:ascii="Arial" w:hAnsi="Arial"/>
                <w:noProof/>
                <w:sz w:val="18"/>
                <w:szCs w:val="18"/>
              </w:rPr>
              <w:t>līdz</w:t>
            </w:r>
          </w:p>
        </w:tc>
        <w:tc>
          <w:tcPr>
            <w:tcW w:w="1276" w:type="dxa"/>
            <w:vMerge/>
          </w:tcPr>
          <w:p w:rsidR="003E022D" w:rsidRDefault="003E022D">
            <w:pPr>
              <w:jc w:val="center"/>
              <w:rPr>
                <w:rFonts w:ascii="Arial" w:hAnsi="Arial" w:cs="Arial"/>
                <w:noProof/>
                <w:sz w:val="18"/>
                <w:szCs w:val="18"/>
              </w:rPr>
            </w:pPr>
          </w:p>
        </w:tc>
        <w:tc>
          <w:tcPr>
            <w:tcW w:w="1134" w:type="dxa"/>
            <w:vMerge/>
          </w:tcPr>
          <w:p w:rsidR="003E022D" w:rsidRDefault="003E022D">
            <w:pPr>
              <w:jc w:val="center"/>
              <w:rPr>
                <w:rFonts w:ascii="Arial" w:hAnsi="Arial" w:cs="Arial"/>
                <w:noProof/>
                <w:sz w:val="18"/>
                <w:szCs w:val="18"/>
              </w:rPr>
            </w:pPr>
          </w:p>
        </w:tc>
        <w:tc>
          <w:tcPr>
            <w:tcW w:w="2123" w:type="dxa"/>
            <w:vMerge/>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227"/>
        </w:trPr>
        <w:tc>
          <w:tcPr>
            <w:tcW w:w="317" w:type="dxa"/>
            <w:vMerge/>
          </w:tcPr>
          <w:p w:rsidR="003E022D" w:rsidRDefault="003E022D">
            <w:pPr>
              <w:jc w:val="center"/>
              <w:rPr>
                <w:rFonts w:ascii="Arial" w:hAnsi="Arial" w:cs="Arial"/>
                <w:noProof/>
                <w:sz w:val="18"/>
                <w:szCs w:val="18"/>
              </w:rPr>
            </w:pPr>
          </w:p>
        </w:tc>
        <w:tc>
          <w:tcPr>
            <w:tcW w:w="1728" w:type="dxa"/>
          </w:tcPr>
          <w:p w:rsidR="003E022D" w:rsidRDefault="003E022D">
            <w:pPr>
              <w:jc w:val="center"/>
              <w:rPr>
                <w:rFonts w:ascii="Arial" w:hAnsi="Arial" w:cs="Arial"/>
                <w:noProof/>
                <w:sz w:val="18"/>
                <w:szCs w:val="18"/>
              </w:rPr>
            </w:pPr>
          </w:p>
        </w:tc>
        <w:tc>
          <w:tcPr>
            <w:tcW w:w="1692" w:type="dxa"/>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1276" w:type="dxa"/>
          </w:tcPr>
          <w:p w:rsidR="003E022D" w:rsidRDefault="003E022D">
            <w:pPr>
              <w:jc w:val="center"/>
              <w:rPr>
                <w:rFonts w:ascii="Arial" w:hAnsi="Arial" w:cs="Arial"/>
                <w:noProof/>
                <w:sz w:val="18"/>
                <w:szCs w:val="18"/>
              </w:rPr>
            </w:pPr>
          </w:p>
        </w:tc>
        <w:tc>
          <w:tcPr>
            <w:tcW w:w="1134" w:type="dxa"/>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642"/>
        </w:trPr>
        <w:tc>
          <w:tcPr>
            <w:tcW w:w="317" w:type="dxa"/>
            <w:vMerge w:val="restart"/>
          </w:tcPr>
          <w:p w:rsidR="003E022D" w:rsidRDefault="007D19D6">
            <w:pPr>
              <w:jc w:val="center"/>
              <w:rPr>
                <w:rFonts w:ascii="Arial" w:hAnsi="Arial" w:cs="Arial"/>
                <w:noProof/>
                <w:sz w:val="18"/>
                <w:szCs w:val="18"/>
              </w:rPr>
            </w:pPr>
            <w:r>
              <w:rPr>
                <w:rFonts w:ascii="Arial" w:hAnsi="Arial"/>
                <w:noProof/>
                <w:sz w:val="18"/>
                <w:szCs w:val="18"/>
              </w:rPr>
              <w:t>8</w:t>
            </w:r>
          </w:p>
        </w:tc>
        <w:tc>
          <w:tcPr>
            <w:tcW w:w="3420" w:type="dxa"/>
            <w:gridSpan w:val="2"/>
          </w:tcPr>
          <w:p w:rsidR="003E022D" w:rsidRDefault="007D19D6">
            <w:pPr>
              <w:jc w:val="center"/>
              <w:rPr>
                <w:rFonts w:ascii="Arial" w:hAnsi="Arial" w:cs="Arial"/>
                <w:noProof/>
                <w:sz w:val="18"/>
                <w:szCs w:val="18"/>
              </w:rPr>
            </w:pPr>
            <w:r>
              <w:rPr>
                <w:rFonts w:ascii="Arial" w:hAnsi="Arial"/>
                <w:noProof/>
                <w:sz w:val="18"/>
                <w:szCs w:val="18"/>
              </w:rPr>
              <w:t>Pārsēšanās punkti, ja tādi ir, ar citu pārvadātāju no tās pašas grupas</w:t>
            </w:r>
          </w:p>
        </w:tc>
        <w:tc>
          <w:tcPr>
            <w:tcW w:w="1503" w:type="dxa"/>
            <w:gridSpan w:val="2"/>
          </w:tcPr>
          <w:p w:rsidR="003E022D" w:rsidRDefault="007D19D6">
            <w:pPr>
              <w:jc w:val="center"/>
              <w:rPr>
                <w:rFonts w:ascii="Arial" w:hAnsi="Arial" w:cs="Arial"/>
                <w:noProof/>
                <w:sz w:val="18"/>
                <w:szCs w:val="18"/>
              </w:rPr>
            </w:pPr>
            <w:r>
              <w:rPr>
                <w:rFonts w:ascii="Arial" w:hAnsi="Arial"/>
                <w:noProof/>
                <w:sz w:val="18"/>
                <w:szCs w:val="18"/>
              </w:rPr>
              <w:t>Izkāpušo pasažieru skaits</w:t>
            </w:r>
          </w:p>
        </w:tc>
        <w:tc>
          <w:tcPr>
            <w:tcW w:w="2410" w:type="dxa"/>
            <w:gridSpan w:val="2"/>
          </w:tcPr>
          <w:p w:rsidR="003E022D" w:rsidRDefault="007D19D6">
            <w:pPr>
              <w:jc w:val="center"/>
              <w:rPr>
                <w:rFonts w:ascii="Arial" w:hAnsi="Arial" w:cs="Arial"/>
                <w:noProof/>
                <w:sz w:val="18"/>
                <w:szCs w:val="18"/>
              </w:rPr>
            </w:pPr>
            <w:r>
              <w:rPr>
                <w:rFonts w:ascii="Arial" w:hAnsi="Arial"/>
                <w:noProof/>
                <w:sz w:val="18"/>
                <w:szCs w:val="18"/>
              </w:rPr>
              <w:t>Izkāpušo pasažieru galamērķis</w:t>
            </w:r>
          </w:p>
        </w:tc>
        <w:tc>
          <w:tcPr>
            <w:tcW w:w="2123" w:type="dxa"/>
          </w:tcPr>
          <w:p w:rsidR="003E022D" w:rsidRDefault="007D19D6">
            <w:pPr>
              <w:jc w:val="center"/>
              <w:rPr>
                <w:rFonts w:ascii="Arial" w:hAnsi="Arial" w:cs="Arial"/>
                <w:noProof/>
                <w:sz w:val="18"/>
                <w:szCs w:val="18"/>
              </w:rPr>
            </w:pPr>
            <w:r>
              <w:rPr>
                <w:rFonts w:ascii="Arial" w:hAnsi="Arial"/>
                <w:noProof/>
                <w:sz w:val="18"/>
                <w:szCs w:val="18"/>
              </w:rPr>
              <w:t>Pārvadātājs, kas uzņēmis pasažierus</w:t>
            </w:r>
          </w:p>
        </w:tc>
      </w:tr>
      <w:tr w:rsidR="003E022D">
        <w:trPr>
          <w:trHeight w:val="191"/>
        </w:trPr>
        <w:tc>
          <w:tcPr>
            <w:tcW w:w="317" w:type="dxa"/>
            <w:vMerge/>
          </w:tcPr>
          <w:p w:rsidR="003E022D" w:rsidRDefault="003E022D">
            <w:pPr>
              <w:jc w:val="center"/>
              <w:rPr>
                <w:rFonts w:ascii="Arial" w:hAnsi="Arial" w:cs="Arial"/>
                <w:noProof/>
                <w:sz w:val="18"/>
                <w:szCs w:val="18"/>
              </w:rPr>
            </w:pPr>
          </w:p>
        </w:tc>
        <w:tc>
          <w:tcPr>
            <w:tcW w:w="3420" w:type="dxa"/>
            <w:gridSpan w:val="2"/>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2410" w:type="dxa"/>
            <w:gridSpan w:val="2"/>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191"/>
        </w:trPr>
        <w:tc>
          <w:tcPr>
            <w:tcW w:w="317" w:type="dxa"/>
            <w:vMerge/>
          </w:tcPr>
          <w:p w:rsidR="003E022D" w:rsidRDefault="003E022D">
            <w:pPr>
              <w:jc w:val="center"/>
              <w:rPr>
                <w:rFonts w:ascii="Arial" w:hAnsi="Arial" w:cs="Arial"/>
                <w:noProof/>
                <w:sz w:val="18"/>
                <w:szCs w:val="18"/>
              </w:rPr>
            </w:pPr>
          </w:p>
        </w:tc>
        <w:tc>
          <w:tcPr>
            <w:tcW w:w="3420" w:type="dxa"/>
            <w:gridSpan w:val="2"/>
          </w:tcPr>
          <w:p w:rsidR="003E022D" w:rsidRDefault="003E022D">
            <w:pPr>
              <w:jc w:val="center"/>
              <w:rPr>
                <w:rFonts w:ascii="Arial" w:hAnsi="Arial" w:cs="Arial"/>
                <w:noProof/>
                <w:sz w:val="18"/>
                <w:szCs w:val="18"/>
              </w:rPr>
            </w:pPr>
          </w:p>
        </w:tc>
        <w:tc>
          <w:tcPr>
            <w:tcW w:w="1503" w:type="dxa"/>
            <w:gridSpan w:val="2"/>
          </w:tcPr>
          <w:p w:rsidR="003E022D" w:rsidRDefault="003E022D">
            <w:pPr>
              <w:jc w:val="center"/>
              <w:rPr>
                <w:rFonts w:ascii="Arial" w:hAnsi="Arial" w:cs="Arial"/>
                <w:noProof/>
                <w:sz w:val="18"/>
                <w:szCs w:val="18"/>
              </w:rPr>
            </w:pPr>
          </w:p>
        </w:tc>
        <w:tc>
          <w:tcPr>
            <w:tcW w:w="2410" w:type="dxa"/>
            <w:gridSpan w:val="2"/>
          </w:tcPr>
          <w:p w:rsidR="003E022D" w:rsidRDefault="003E022D">
            <w:pPr>
              <w:jc w:val="center"/>
              <w:rPr>
                <w:rFonts w:ascii="Arial" w:hAnsi="Arial" w:cs="Arial"/>
                <w:noProof/>
                <w:sz w:val="18"/>
                <w:szCs w:val="18"/>
              </w:rPr>
            </w:pPr>
          </w:p>
        </w:tc>
        <w:tc>
          <w:tcPr>
            <w:tcW w:w="2123" w:type="dxa"/>
          </w:tcPr>
          <w:p w:rsidR="003E022D" w:rsidRDefault="003E022D">
            <w:pPr>
              <w:jc w:val="center"/>
              <w:rPr>
                <w:rFonts w:ascii="Arial" w:hAnsi="Arial" w:cs="Arial"/>
                <w:noProof/>
                <w:sz w:val="18"/>
                <w:szCs w:val="18"/>
              </w:rPr>
            </w:pPr>
          </w:p>
        </w:tc>
      </w:tr>
      <w:tr w:rsidR="003E022D">
        <w:trPr>
          <w:trHeight w:val="333"/>
        </w:trPr>
        <w:tc>
          <w:tcPr>
            <w:tcW w:w="317" w:type="dxa"/>
            <w:vMerge w:val="restart"/>
          </w:tcPr>
          <w:p w:rsidR="003E022D" w:rsidRDefault="007D19D6">
            <w:pPr>
              <w:jc w:val="center"/>
              <w:rPr>
                <w:rFonts w:ascii="Arial" w:hAnsi="Arial" w:cs="Arial"/>
                <w:noProof/>
                <w:sz w:val="18"/>
                <w:szCs w:val="18"/>
              </w:rPr>
            </w:pPr>
            <w:r>
              <w:rPr>
                <w:rFonts w:ascii="Arial" w:hAnsi="Arial"/>
                <w:noProof/>
                <w:sz w:val="18"/>
                <w:szCs w:val="18"/>
              </w:rPr>
              <w:t>9</w:t>
            </w:r>
          </w:p>
        </w:tc>
        <w:tc>
          <w:tcPr>
            <w:tcW w:w="9456" w:type="dxa"/>
            <w:gridSpan w:val="7"/>
          </w:tcPr>
          <w:p w:rsidR="003E022D" w:rsidRDefault="007D19D6">
            <w:pPr>
              <w:spacing w:before="60" w:after="60"/>
              <w:jc w:val="center"/>
              <w:rPr>
                <w:rFonts w:ascii="Arial" w:hAnsi="Arial" w:cs="Arial"/>
                <w:noProof/>
                <w:sz w:val="18"/>
                <w:szCs w:val="18"/>
              </w:rPr>
            </w:pPr>
            <w:r>
              <w:rPr>
                <w:rFonts w:ascii="Arial" w:hAnsi="Arial"/>
                <w:noProof/>
                <w:sz w:val="18"/>
                <w:szCs w:val="18"/>
              </w:rPr>
              <w:t>Neparedzētas izmaiņas</w:t>
            </w:r>
          </w:p>
        </w:tc>
      </w:tr>
      <w:tr w:rsidR="003E022D">
        <w:trPr>
          <w:trHeight w:val="595"/>
        </w:trPr>
        <w:tc>
          <w:tcPr>
            <w:tcW w:w="317" w:type="dxa"/>
            <w:vMerge/>
          </w:tcPr>
          <w:p w:rsidR="003E022D" w:rsidRDefault="003E022D">
            <w:pPr>
              <w:jc w:val="center"/>
              <w:rPr>
                <w:rFonts w:ascii="Arial" w:hAnsi="Arial" w:cs="Arial"/>
                <w:noProof/>
              </w:rPr>
            </w:pPr>
          </w:p>
        </w:tc>
        <w:tc>
          <w:tcPr>
            <w:tcW w:w="9456" w:type="dxa"/>
            <w:gridSpan w:val="7"/>
          </w:tcPr>
          <w:p w:rsidR="003E022D" w:rsidRDefault="007D19D6">
            <w:pPr>
              <w:jc w:val="center"/>
              <w:rPr>
                <w:rFonts w:ascii="Arial" w:hAnsi="Arial" w:cs="Arial"/>
                <w:noProof/>
              </w:rPr>
            </w:pPr>
            <w:r>
              <w:rPr>
                <w:rFonts w:ascii="Arial" w:hAnsi="Arial"/>
                <w:noProof/>
              </w:rPr>
              <w:t>………………………………………………………………………………………………………………</w:t>
            </w:r>
          </w:p>
          <w:p w:rsidR="003E022D" w:rsidRDefault="007D19D6">
            <w:pPr>
              <w:jc w:val="center"/>
              <w:rPr>
                <w:rFonts w:ascii="Arial" w:hAnsi="Arial" w:cs="Arial"/>
                <w:noProof/>
              </w:rPr>
            </w:pPr>
            <w:r>
              <w:rPr>
                <w:rFonts w:ascii="Arial" w:hAnsi="Arial"/>
                <w:noProof/>
              </w:rPr>
              <w:t>………………………………………………………………………………………………………………</w:t>
            </w:r>
          </w:p>
        </w:tc>
      </w:tr>
    </w:tbl>
    <w:p w:rsidR="003E022D" w:rsidRDefault="003E022D">
      <w:pPr>
        <w:rPr>
          <w:rFonts w:cstheme="minorHAnsi"/>
          <w:noProof/>
        </w:rPr>
      </w:pPr>
    </w:p>
    <w:p w:rsidR="003E022D" w:rsidRDefault="003E022D">
      <w:pPr>
        <w:rPr>
          <w:rFonts w:cstheme="minorHAnsi"/>
          <w:noProof/>
        </w:rPr>
      </w:pPr>
    </w:p>
    <w:p w:rsidR="003E022D" w:rsidRDefault="003E022D">
      <w:pPr>
        <w:rPr>
          <w:rFonts w:cstheme="minorHAnsi"/>
          <w:noProof/>
        </w:rPr>
      </w:pPr>
    </w:p>
    <w:p w:rsidR="003E022D" w:rsidRDefault="003E022D">
      <w:pPr>
        <w:rPr>
          <w:rFonts w:cstheme="minorHAnsi"/>
          <w:noProof/>
        </w:rPr>
      </w:pPr>
    </w:p>
    <w:p w:rsidR="003E022D" w:rsidRDefault="007D19D6">
      <w:pPr>
        <w:pStyle w:val="ANNEX"/>
        <w:rPr>
          <w:rFonts w:cstheme="minorHAnsi"/>
          <w:noProof/>
        </w:rPr>
      </w:pPr>
      <w:hyperlink w:anchor="_Toc35449678" w:history="1">
        <w:bookmarkStart w:id="1347" w:name="_Toc59988417"/>
        <w:bookmarkStart w:id="1348" w:name="_Toc59645276"/>
        <w:r>
          <w:rPr>
            <w:noProof/>
          </w:rPr>
          <w:t>FISH.1. PIELIKUMS</w:t>
        </w:r>
        <w:bookmarkEnd w:id="1347"/>
      </w:hyperlink>
      <w:bookmarkEnd w:id="1348"/>
    </w:p>
    <w:p w:rsidR="003E022D" w:rsidRDefault="007D19D6">
      <w:pPr>
        <w:rPr>
          <w:rFonts w:cstheme="minorHAnsi"/>
          <w:noProof/>
        </w:rPr>
      </w:pPr>
      <w:r>
        <w:rPr>
          <w:noProof/>
          <w:lang w:val="fr-BE" w:eastAsia="fr-BE"/>
        </w:rPr>
        <w:drawing>
          <wp:inline distT="0" distB="0" distL="0" distR="0">
            <wp:extent cx="8863330" cy="4940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4940809"/>
                    </a:xfrm>
                    <a:prstGeom prst="rect">
                      <a:avLst/>
                    </a:prstGeom>
                    <a:noFill/>
                    <a:ln>
                      <a:noFill/>
                    </a:ln>
                  </pic:spPr>
                </pic:pic>
              </a:graphicData>
            </a:graphic>
          </wp:inline>
        </w:drawing>
      </w:r>
    </w:p>
    <w:p w:rsidR="003E022D" w:rsidRDefault="007D19D6">
      <w:pPr>
        <w:rPr>
          <w:rFonts w:cstheme="minorHAnsi"/>
          <w:noProof/>
        </w:rPr>
      </w:pPr>
      <w:r>
        <w:rPr>
          <w:noProof/>
          <w:lang w:val="fr-BE" w:eastAsia="fr-BE"/>
        </w:rPr>
        <w:drawing>
          <wp:inline distT="0" distB="0" distL="0" distR="0">
            <wp:extent cx="8863330" cy="50191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330" cy="5019139"/>
                    </a:xfrm>
                    <a:prstGeom prst="rect">
                      <a:avLst/>
                    </a:prstGeom>
                    <a:noFill/>
                    <a:ln>
                      <a:noFill/>
                    </a:ln>
                  </pic:spPr>
                </pic:pic>
              </a:graphicData>
            </a:graphic>
          </wp:inline>
        </w:drawing>
      </w:r>
    </w:p>
    <w:p w:rsidR="003E022D" w:rsidRDefault="007D19D6">
      <w:pPr>
        <w:rPr>
          <w:rFonts w:cstheme="minorHAnsi"/>
          <w:noProof/>
        </w:rPr>
      </w:pPr>
      <w:r>
        <w:rPr>
          <w:noProof/>
          <w:lang w:val="fr-BE" w:eastAsia="fr-BE"/>
        </w:rPr>
        <w:drawing>
          <wp:inline distT="0" distB="0" distL="0" distR="0">
            <wp:extent cx="8863330" cy="3910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3910470"/>
                    </a:xfrm>
                    <a:prstGeom prst="rect">
                      <a:avLst/>
                    </a:prstGeom>
                    <a:noFill/>
                    <a:ln>
                      <a:noFill/>
                    </a:ln>
                  </pic:spPr>
                </pic:pic>
              </a:graphicData>
            </a:graphic>
          </wp:inline>
        </w:drawing>
      </w:r>
    </w:p>
    <w:p w:rsidR="003E022D" w:rsidRDefault="007D19D6">
      <w:pPr>
        <w:pStyle w:val="ANNEX"/>
        <w:spacing w:after="0"/>
        <w:rPr>
          <w:noProof/>
        </w:rPr>
      </w:pPr>
      <w:hyperlink w:anchor="_Toc35449679" w:history="1">
        <w:bookmarkStart w:id="1349" w:name="_Toc58422635"/>
        <w:bookmarkStart w:id="1350" w:name="_Toc59645277"/>
        <w:bookmarkStart w:id="1351" w:name="_Toc59988418"/>
        <w:r>
          <w:rPr>
            <w:noProof/>
          </w:rPr>
          <w:t xml:space="preserve">FISH.2. PIELIKUMS </w:t>
        </w:r>
      </w:hyperlink>
      <w:bookmarkEnd w:id="1349"/>
      <w:bookmarkEnd w:id="1350"/>
      <w:r>
        <w:rPr>
          <w:noProof/>
          <w:lang w:val="fr-BE" w:eastAsia="fr-BE"/>
        </w:rPr>
        <w:drawing>
          <wp:inline distT="0" distB="0" distL="0" distR="0">
            <wp:extent cx="8722800" cy="5443200"/>
            <wp:effectExtent l="0" t="0" r="2540" b="571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22800" cy="5443200"/>
                    </a:xfrm>
                    <a:prstGeom prst="rect">
                      <a:avLst/>
                    </a:prstGeom>
                    <a:noFill/>
                    <a:ln>
                      <a:noFill/>
                    </a:ln>
                  </pic:spPr>
                </pic:pic>
              </a:graphicData>
            </a:graphic>
          </wp:inline>
        </w:drawing>
      </w:r>
      <w:bookmarkEnd w:id="1351"/>
    </w:p>
    <w:p w:rsidR="003E022D" w:rsidRDefault="007D19D6">
      <w:pPr>
        <w:rPr>
          <w:noProof/>
        </w:rPr>
      </w:pPr>
      <w:r>
        <w:rPr>
          <w:noProof/>
          <w:lang w:val="fr-BE" w:eastAsia="fr-BE"/>
        </w:rPr>
        <w:drawing>
          <wp:inline distT="0" distB="0" distL="0" distR="0">
            <wp:extent cx="5184000" cy="5119200"/>
            <wp:effectExtent l="0" t="0" r="0" b="571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4000" cy="5119200"/>
                    </a:xfrm>
                    <a:prstGeom prst="rect">
                      <a:avLst/>
                    </a:prstGeom>
                    <a:noFill/>
                    <a:ln>
                      <a:noFill/>
                    </a:ln>
                  </pic:spPr>
                </pic:pic>
              </a:graphicData>
            </a:graphic>
          </wp:inline>
        </w:drawing>
      </w:r>
    </w:p>
    <w:p w:rsidR="003E022D" w:rsidRDefault="003E022D">
      <w:pPr>
        <w:spacing w:before="8"/>
        <w:rPr>
          <w:noProof/>
          <w:sz w:val="20"/>
          <w:szCs w:val="20"/>
        </w:rPr>
        <w:sectPr w:rsidR="003E022D">
          <w:headerReference w:type="even" r:id="rId35"/>
          <w:headerReference w:type="default" r:id="rId36"/>
          <w:footerReference w:type="even" r:id="rId37"/>
          <w:footerReference w:type="default" r:id="rId38"/>
          <w:headerReference w:type="first" r:id="rId39"/>
          <w:footerReference w:type="first" r:id="rId40"/>
          <w:pgSz w:w="11906" w:h="16838" w:code="9"/>
          <w:pgMar w:top="1440" w:right="1440" w:bottom="1440" w:left="1440" w:header="610" w:footer="578" w:gutter="0"/>
          <w:cols w:space="720"/>
          <w:docGrid w:linePitch="299"/>
        </w:sectPr>
      </w:pPr>
    </w:p>
    <w:p w:rsidR="003E022D" w:rsidRDefault="007D19D6">
      <w:pPr>
        <w:pStyle w:val="ANNEX"/>
        <w:rPr>
          <w:bCs/>
          <w:noProof/>
        </w:rPr>
      </w:pPr>
      <w:hyperlink w:anchor="_Toc35449680" w:history="1">
        <w:bookmarkStart w:id="1352" w:name="_Toc59988419"/>
        <w:bookmarkStart w:id="1353" w:name="_Toc59645278"/>
        <w:r>
          <w:rPr>
            <w:noProof/>
          </w:rPr>
          <w:t>FISH.3. PIELIKUMS</w:t>
        </w:r>
        <w:bookmarkEnd w:id="1352"/>
      </w:hyperlink>
      <w:r>
        <w:rPr>
          <w:noProof/>
        </w:rPr>
        <w:t xml:space="preserve"> </w:t>
      </w:r>
      <w:bookmarkStart w:id="1354" w:name="_z4jydeof5n3r"/>
      <w:bookmarkEnd w:id="1353"/>
      <w:bookmarkEnd w:id="1354"/>
    </w:p>
    <w:tbl>
      <w:tblPr>
        <w:tblW w:w="9107" w:type="dxa"/>
        <w:tblInd w:w="-5" w:type="dxa"/>
        <w:tblLook w:val="04A0" w:firstRow="1" w:lastRow="0" w:firstColumn="1" w:lastColumn="0" w:noHBand="0" w:noVBand="1"/>
      </w:tblPr>
      <w:tblGrid>
        <w:gridCol w:w="547"/>
        <w:gridCol w:w="1416"/>
        <w:gridCol w:w="3005"/>
        <w:gridCol w:w="4279"/>
      </w:tblGrid>
      <w:tr w:rsidR="003E022D">
        <w:trPr>
          <w:trHeight w:val="442"/>
        </w:trPr>
        <w:tc>
          <w:tcPr>
            <w:tcW w:w="4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E022D" w:rsidRDefault="007D19D6">
            <w:pPr>
              <w:jc w:val="center"/>
              <w:rPr>
                <w:rFonts w:eastAsia="Times New Roman"/>
                <w:b/>
                <w:bCs/>
                <w:noProof/>
                <w:color w:val="000000"/>
              </w:rPr>
            </w:pPr>
            <w:r>
              <w:rPr>
                <w:b/>
                <w:bCs/>
                <w:noProof/>
                <w:color w:val="000000"/>
              </w:rPr>
              <w:t>#</w:t>
            </w:r>
          </w:p>
        </w:tc>
        <w:tc>
          <w:tcPr>
            <w:tcW w:w="1287" w:type="dxa"/>
            <w:tcBorders>
              <w:top w:val="single" w:sz="4" w:space="0" w:color="auto"/>
              <w:left w:val="nil"/>
              <w:bottom w:val="single" w:sz="4" w:space="0" w:color="auto"/>
              <w:right w:val="single" w:sz="4" w:space="0" w:color="auto"/>
            </w:tcBorders>
            <w:shd w:val="clear" w:color="000000" w:fill="D9D9D9"/>
            <w:vAlign w:val="center"/>
            <w:hideMark/>
          </w:tcPr>
          <w:p w:rsidR="003E022D" w:rsidRDefault="007D19D6">
            <w:pPr>
              <w:jc w:val="center"/>
              <w:rPr>
                <w:rFonts w:eastAsia="Times New Roman"/>
                <w:b/>
                <w:bCs/>
                <w:noProof/>
                <w:color w:val="000000"/>
              </w:rPr>
            </w:pPr>
            <w:r>
              <w:rPr>
                <w:b/>
                <w:bCs/>
                <w:noProof/>
                <w:color w:val="000000"/>
              </w:rPr>
              <w:t>Krājuma kods</w:t>
            </w:r>
          </w:p>
        </w:tc>
        <w:tc>
          <w:tcPr>
            <w:tcW w:w="3036" w:type="dxa"/>
            <w:tcBorders>
              <w:top w:val="single" w:sz="4" w:space="0" w:color="auto"/>
              <w:left w:val="nil"/>
              <w:bottom w:val="single" w:sz="4" w:space="0" w:color="auto"/>
              <w:right w:val="single" w:sz="4" w:space="0" w:color="auto"/>
            </w:tcBorders>
            <w:shd w:val="clear" w:color="000000" w:fill="D9D9D9"/>
            <w:vAlign w:val="center"/>
            <w:hideMark/>
          </w:tcPr>
          <w:p w:rsidR="003E022D" w:rsidRDefault="007D19D6">
            <w:pPr>
              <w:jc w:val="center"/>
              <w:rPr>
                <w:rFonts w:eastAsia="Times New Roman"/>
                <w:b/>
                <w:bCs/>
                <w:noProof/>
                <w:color w:val="000000"/>
              </w:rPr>
            </w:pPr>
            <w:r>
              <w:rPr>
                <w:b/>
                <w:bCs/>
                <w:noProof/>
                <w:color w:val="000000"/>
              </w:rPr>
              <w:t>Vispārpieņemtais nosaukums</w:t>
            </w:r>
          </w:p>
        </w:tc>
        <w:tc>
          <w:tcPr>
            <w:tcW w:w="4324" w:type="dxa"/>
            <w:tcBorders>
              <w:top w:val="single" w:sz="4" w:space="0" w:color="auto"/>
              <w:left w:val="nil"/>
              <w:bottom w:val="single" w:sz="4" w:space="0" w:color="auto"/>
              <w:right w:val="single" w:sz="4" w:space="0" w:color="auto"/>
            </w:tcBorders>
            <w:shd w:val="clear" w:color="000000" w:fill="D9D9D9"/>
            <w:vAlign w:val="center"/>
            <w:hideMark/>
          </w:tcPr>
          <w:p w:rsidR="003E022D" w:rsidRDefault="007D19D6">
            <w:pPr>
              <w:jc w:val="center"/>
              <w:rPr>
                <w:rFonts w:eastAsia="Times New Roman"/>
                <w:b/>
                <w:bCs/>
                <w:noProof/>
                <w:color w:val="000000"/>
              </w:rPr>
            </w:pPr>
            <w:r>
              <w:rPr>
                <w:b/>
                <w:bCs/>
                <w:i/>
                <w:iCs/>
                <w:noProof/>
                <w:color w:val="000000"/>
              </w:rPr>
              <w:t>ICES</w:t>
            </w:r>
            <w:r>
              <w:rPr>
                <w:b/>
                <w:bCs/>
                <w:noProof/>
                <w:color w:val="000000"/>
              </w:rPr>
              <w:t xml:space="preserve"> apgabali</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106</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ANF/8ABDE.</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Makšķerniekzivju dzimta (8)</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8.a, 8.b, 8.d un 8.e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107</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BLI/03A-</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Zilā jūraslīdaka (3a)</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Savienības ūdeņi 3.a zonā</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108</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BSF/8910-</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Melnā mataste (8, 9, 10)</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8., 9. un 10.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109</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COD/03AN.</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Menca (Skageraks)</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Skageraks</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110</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HAD/03 A.</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Menca (3a)</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3.a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111</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HER/03A.</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Siļķe (3a)</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3.a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112</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HER/03A-BC</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Siļķe (piezveja 3a)</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3.a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113</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HER/6AS7BC</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Siļķe (uz rietumiem no Īrijas)</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 xml:space="preserve">6.aS, </w:t>
            </w:r>
            <w:r>
              <w:rPr>
                <w:noProof/>
                <w:color w:val="000000"/>
              </w:rPr>
              <w:t>7.b un 7.c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114</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HKE/03A.</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Heks (3a)</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3.a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115</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HKE/8ABDE.</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Heks (8)</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8.a, 8.b, 8.d un 8.e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116</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JAX/08C.</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Stavridas (8c)</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8.c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117</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LEZ/8ABDE.</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Megrimi (8)</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8.a, 8.b, 8.d un 8.e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118</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MAC/2A4A-N</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 xml:space="preserve">Makrele (Dānijai iedalītās zvejas iespējas </w:t>
            </w:r>
            <w:r>
              <w:rPr>
                <w:noProof/>
                <w:color w:val="000000"/>
              </w:rPr>
              <w:t>Norvēģijas ūdeņos)</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Norvēģijas ūdeņi 2.a un 4.a zonā</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119</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MAC/8C3411</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Makrele (dienvidu)</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 xml:space="preserve">8.c, 9. un 10. zona; Savienības ūdeņi </w:t>
            </w:r>
            <w:r>
              <w:rPr>
                <w:i/>
                <w:iCs/>
                <w:noProof/>
                <w:color w:val="000000"/>
              </w:rPr>
              <w:t>CECAF</w:t>
            </w:r>
            <w:r>
              <w:rPr>
                <w:noProof/>
                <w:color w:val="000000"/>
              </w:rPr>
              <w:t xml:space="preserve"> 34.1.1. zonā</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120</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PLE/03AN.</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Jūras zeltplekste (Skageraks)</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Skageraks</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121</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SPR/03A.</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Brētliņa (3a)</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3.a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122</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SRX/03A-C.</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Rajveidīgās zivis (3a)</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Savienības ūdeņi 3.a zonā</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123</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USK/03A.</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Brosme (3a)</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3.a zona</w:t>
            </w:r>
          </w:p>
        </w:tc>
      </w:tr>
      <w:tr w:rsidR="003E022D">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022D" w:rsidRDefault="007D19D6">
            <w:pPr>
              <w:jc w:val="center"/>
              <w:rPr>
                <w:rFonts w:eastAsia="Times New Roman"/>
                <w:noProof/>
                <w:color w:val="000000"/>
              </w:rPr>
            </w:pPr>
            <w:r>
              <w:rPr>
                <w:noProof/>
                <w:color w:val="000000"/>
              </w:rPr>
              <w:t>124</w:t>
            </w:r>
          </w:p>
        </w:tc>
        <w:tc>
          <w:tcPr>
            <w:tcW w:w="1287"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WHB/8C3411</w:t>
            </w:r>
          </w:p>
        </w:tc>
        <w:tc>
          <w:tcPr>
            <w:tcW w:w="3036"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Putasu (dienvidu)</w:t>
            </w:r>
          </w:p>
        </w:tc>
        <w:tc>
          <w:tcPr>
            <w:tcW w:w="4324" w:type="dxa"/>
            <w:tcBorders>
              <w:top w:val="nil"/>
              <w:left w:val="nil"/>
              <w:bottom w:val="single" w:sz="4" w:space="0" w:color="auto"/>
              <w:right w:val="single" w:sz="4" w:space="0" w:color="auto"/>
            </w:tcBorders>
            <w:shd w:val="clear" w:color="auto" w:fill="auto"/>
            <w:noWrap/>
            <w:vAlign w:val="center"/>
            <w:hideMark/>
          </w:tcPr>
          <w:p w:rsidR="003E022D" w:rsidRDefault="007D19D6">
            <w:pPr>
              <w:rPr>
                <w:rFonts w:eastAsia="Times New Roman"/>
                <w:noProof/>
                <w:color w:val="000000"/>
              </w:rPr>
            </w:pPr>
            <w:r>
              <w:rPr>
                <w:noProof/>
                <w:color w:val="000000"/>
              </w:rPr>
              <w:t xml:space="preserve">8.c, 9. un 10. zona; Savienības ūdeņi </w:t>
            </w:r>
            <w:r>
              <w:rPr>
                <w:i/>
                <w:iCs/>
                <w:noProof/>
                <w:color w:val="000000"/>
              </w:rPr>
              <w:t>CECAF</w:t>
            </w:r>
            <w:r>
              <w:rPr>
                <w:noProof/>
                <w:color w:val="000000"/>
              </w:rPr>
              <w:t xml:space="preserve"> 34.1.1. zonā</w:t>
            </w:r>
          </w:p>
        </w:tc>
      </w:tr>
    </w:tbl>
    <w:p w:rsidR="003E022D" w:rsidRDefault="003E022D">
      <w:pPr>
        <w:rPr>
          <w:noProof/>
        </w:rPr>
      </w:pPr>
    </w:p>
    <w:p w:rsidR="003E022D" w:rsidRDefault="007D19D6">
      <w:pPr>
        <w:pStyle w:val="ANNEX"/>
        <w:rPr>
          <w:bCs/>
          <w:noProof/>
        </w:rPr>
      </w:pPr>
      <w:r>
        <w:rPr>
          <w:noProof/>
        </w:rPr>
        <w:br w:type="page"/>
      </w:r>
      <w:bookmarkStart w:id="1355" w:name="_Toc59988420"/>
      <w:r>
        <w:rPr>
          <w:noProof/>
        </w:rPr>
        <w:t>FISH.4. PIELIKUMS. PROTOKOLS PAR PIEKĻUVI ŪDEŅIEM</w:t>
      </w:r>
      <w:bookmarkEnd w:id="1355"/>
    </w:p>
    <w:p w:rsidR="003E022D" w:rsidRDefault="007D19D6">
      <w:pPr>
        <w:keepNext/>
        <w:widowControl w:val="0"/>
        <w:spacing w:before="120"/>
        <w:rPr>
          <w:rFonts w:asciiTheme="majorHAnsi" w:eastAsia="Calibri" w:hAnsiTheme="majorHAnsi" w:cstheme="majorHAnsi"/>
          <w:bCs/>
          <w:noProof/>
        </w:rPr>
      </w:pPr>
      <w:r>
        <w:rPr>
          <w:rFonts w:asciiTheme="majorHAnsi" w:hAnsiTheme="majorHAnsi"/>
          <w:bCs/>
          <w:noProof/>
        </w:rPr>
        <w:t xml:space="preserve">Apvienotā Karaliste un </w:t>
      </w:r>
      <w:r>
        <w:rPr>
          <w:rFonts w:asciiTheme="majorHAnsi" w:hAnsiTheme="majorHAnsi"/>
          <w:bCs/>
          <w:noProof/>
        </w:rPr>
        <w:t>Savienība,</w:t>
      </w:r>
    </w:p>
    <w:p w:rsidR="003E022D" w:rsidRDefault="007D19D6">
      <w:pPr>
        <w:keepNext/>
        <w:widowControl w:val="0"/>
        <w:spacing w:before="120"/>
        <w:rPr>
          <w:rFonts w:asciiTheme="majorHAnsi" w:eastAsia="Calibri" w:hAnsiTheme="majorHAnsi" w:cstheme="majorHAnsi"/>
          <w:bCs/>
          <w:noProof/>
        </w:rPr>
      </w:pPr>
      <w:r>
        <w:rPr>
          <w:rFonts w:asciiTheme="majorHAnsi" w:hAnsiTheme="majorHAnsi"/>
          <w:bCs/>
          <w:noProof/>
        </w:rPr>
        <w:t>APLIECINOT neatkarīgu piekrastes valstu suverēnās tiesības un saistības, ko īsteno Puses,</w:t>
      </w:r>
    </w:p>
    <w:p w:rsidR="003E022D" w:rsidRDefault="007D19D6">
      <w:pPr>
        <w:keepNext/>
        <w:widowControl w:val="0"/>
        <w:spacing w:before="120"/>
        <w:rPr>
          <w:rFonts w:asciiTheme="majorHAnsi" w:eastAsia="Calibri" w:hAnsiTheme="majorHAnsi" w:cstheme="majorHAnsi"/>
          <w:bCs/>
          <w:noProof/>
        </w:rPr>
      </w:pPr>
      <w:r>
        <w:rPr>
          <w:rFonts w:asciiTheme="majorHAnsi" w:hAnsiTheme="majorHAnsi"/>
          <w:bCs/>
          <w:noProof/>
        </w:rPr>
        <w:t>UZSVEROT, ka katras Puses tiesības piešķirt otras Puses kuģiem piekļuvi, kas ļauj zvejot tās ūdeņos, ir parasti jāīsteno ikgadējās apspriešanās pēc tam kad</w:t>
      </w:r>
      <w:r>
        <w:rPr>
          <w:rFonts w:asciiTheme="majorHAnsi" w:hAnsiTheme="majorHAnsi"/>
          <w:bCs/>
          <w:noProof/>
        </w:rPr>
        <w:t>, ikgadējās apspriešanās ir noteiktas konkrēta gada KPN,</w:t>
      </w:r>
    </w:p>
    <w:p w:rsidR="003E022D" w:rsidRDefault="007D19D6">
      <w:pPr>
        <w:keepNext/>
        <w:widowControl w:val="0"/>
        <w:spacing w:before="120"/>
        <w:rPr>
          <w:rFonts w:asciiTheme="majorHAnsi" w:eastAsia="Calibri" w:hAnsiTheme="majorHAnsi" w:cstheme="majorHAnsi"/>
          <w:bCs/>
          <w:noProof/>
        </w:rPr>
      </w:pPr>
      <w:r>
        <w:rPr>
          <w:rFonts w:asciiTheme="majorHAnsi" w:hAnsiTheme="majorHAnsi"/>
          <w:bCs/>
          <w:noProof/>
        </w:rPr>
        <w:t xml:space="preserve">ATZĪMĒJOT sociālos un ekonomiskos ieguvumus, ko sagādātu vēl viens stabilitātes periods, kurā zvejniekiem būtu atļauts līdz 2026. gada 30. jūnijam turpināt piekļūt otras Puses ūdeņiem tāpat kā pirms </w:t>
      </w:r>
      <w:r>
        <w:rPr>
          <w:rFonts w:asciiTheme="majorHAnsi" w:hAnsiTheme="majorHAnsi"/>
          <w:bCs/>
          <w:noProof/>
        </w:rPr>
        <w:t>šā nolīguma stāšanās spēkā,</w:t>
      </w:r>
    </w:p>
    <w:p w:rsidR="003E022D" w:rsidRDefault="007D19D6">
      <w:pPr>
        <w:keepNext/>
        <w:widowControl w:val="0"/>
        <w:spacing w:before="120"/>
        <w:rPr>
          <w:rFonts w:asciiTheme="majorHAnsi" w:eastAsia="Calibri" w:hAnsiTheme="majorHAnsi" w:cstheme="majorHAnsi"/>
          <w:bCs/>
          <w:noProof/>
        </w:rPr>
      </w:pPr>
      <w:r>
        <w:rPr>
          <w:rFonts w:asciiTheme="majorHAnsi" w:hAnsiTheme="majorHAnsi"/>
          <w:bCs/>
          <w:noProof/>
        </w:rPr>
        <w:t>IR VIENOJUŠĀS ŠĀDI.</w:t>
      </w:r>
    </w:p>
    <w:p w:rsidR="003E022D" w:rsidRDefault="007D19D6">
      <w:pPr>
        <w:keepNext/>
        <w:widowControl w:val="0"/>
        <w:spacing w:before="120"/>
        <w:jc w:val="center"/>
        <w:rPr>
          <w:rFonts w:asciiTheme="majorHAnsi" w:eastAsia="Calibri" w:hAnsiTheme="majorHAnsi" w:cstheme="majorHAnsi"/>
          <w:b/>
          <w:noProof/>
        </w:rPr>
      </w:pPr>
      <w:r>
        <w:rPr>
          <w:rFonts w:asciiTheme="majorHAnsi" w:hAnsiTheme="majorHAnsi"/>
          <w:b/>
          <w:noProof/>
        </w:rPr>
        <w:t>1. pants</w:t>
      </w:r>
    </w:p>
    <w:p w:rsidR="003E022D" w:rsidRDefault="007D19D6">
      <w:pPr>
        <w:keepNext/>
        <w:widowControl w:val="0"/>
        <w:spacing w:before="120"/>
        <w:rPr>
          <w:rFonts w:cs="Calibri"/>
          <w:noProof/>
        </w:rPr>
      </w:pPr>
      <w:r>
        <w:rPr>
          <w:rFonts w:asciiTheme="majorHAnsi" w:hAnsiTheme="majorHAnsi"/>
          <w:bCs/>
          <w:noProof/>
        </w:rPr>
        <w:t xml:space="preserve"> </w:t>
      </w:r>
      <w:r>
        <w:rPr>
          <w:noProof/>
        </w:rPr>
        <w:t>Ar šo tiek noteikts pielāgošanās periods. Pielāgošanās periods ilgst no 2021. gada 1. janvāra līdz 2026. gada 30. jūnijam.</w:t>
      </w:r>
    </w:p>
    <w:p w:rsidR="003E022D" w:rsidRDefault="007D19D6">
      <w:pPr>
        <w:keepNext/>
        <w:jc w:val="center"/>
        <w:rPr>
          <w:rFonts w:cs="Calibri"/>
          <w:b/>
          <w:bCs/>
          <w:noProof/>
        </w:rPr>
      </w:pPr>
      <w:r>
        <w:rPr>
          <w:b/>
          <w:bCs/>
          <w:noProof/>
        </w:rPr>
        <w:t xml:space="preserve">2. pants </w:t>
      </w:r>
    </w:p>
    <w:p w:rsidR="003E022D" w:rsidRDefault="007D19D6">
      <w:pPr>
        <w:numPr>
          <w:ilvl w:val="0"/>
          <w:numId w:val="1376"/>
        </w:numPr>
        <w:ind w:left="0" w:firstLine="0"/>
        <w:rPr>
          <w:rFonts w:cs="Calibri"/>
          <w:noProof/>
        </w:rPr>
      </w:pPr>
      <w:r>
        <w:rPr>
          <w:noProof/>
        </w:rPr>
        <w:t xml:space="preserve">Atkāpjoties no V temata [Zvejniecība] FISH.8. panta [Piekļuve </w:t>
      </w:r>
      <w:r>
        <w:rPr>
          <w:noProof/>
        </w:rPr>
        <w:t>ūdeņiem] 1., 3., 4., 5., 6. un 7. punkta, pielāgošanās perioda laikā katra Puse piešķir otras Puses kuģiem tādu pilnu piekļuvi tās ūdeņiem, kas ļauj:</w:t>
      </w:r>
    </w:p>
    <w:p w:rsidR="003E022D" w:rsidRDefault="007D19D6">
      <w:pPr>
        <w:numPr>
          <w:ilvl w:val="1"/>
          <w:numId w:val="1390"/>
        </w:numPr>
        <w:ind w:left="567" w:hanging="567"/>
        <w:rPr>
          <w:rFonts w:asciiTheme="minorHAnsi" w:hAnsiTheme="minorHAnsi" w:cstheme="minorHAnsi"/>
          <w:noProof/>
        </w:rPr>
      </w:pPr>
      <w:r>
        <w:rPr>
          <w:rFonts w:asciiTheme="minorHAnsi" w:hAnsiTheme="minorHAnsi"/>
          <w:noProof/>
        </w:rPr>
        <w:t>FISH.1. pielikumā un FISH.2.A, B un F pielikumā uzskaitītajos krājumos zvejot apjomā, kas ir pamatoti samē</w:t>
      </w:r>
      <w:r>
        <w:rPr>
          <w:rFonts w:asciiTheme="minorHAnsi" w:hAnsiTheme="minorHAnsi"/>
          <w:noProof/>
        </w:rPr>
        <w:t>rīgs ar Pušu attiecīgajām zvejas iespēju daļām;</w:t>
      </w:r>
    </w:p>
    <w:p w:rsidR="003E022D" w:rsidRDefault="007D19D6">
      <w:pPr>
        <w:numPr>
          <w:ilvl w:val="1"/>
          <w:numId w:val="1390"/>
        </w:numPr>
        <w:ind w:left="567" w:hanging="567"/>
        <w:rPr>
          <w:rFonts w:asciiTheme="minorHAnsi" w:hAnsiTheme="minorHAnsi" w:cstheme="minorHAnsi"/>
          <w:noProof/>
        </w:rPr>
      </w:pPr>
      <w:r>
        <w:rPr>
          <w:rFonts w:asciiTheme="minorHAnsi" w:hAnsiTheme="minorHAnsi"/>
          <w:noProof/>
        </w:rPr>
        <w:t>ārpuskvotas krājumos zvejot apjomā, kas ir vienāds ar tonnās izteiktu vidējo apjomu, kādu attiecīgā Puse otras Puses ūdeņos nozvejojusi 2012.–2016. gada periodā;</w:t>
      </w:r>
    </w:p>
    <w:p w:rsidR="003E022D" w:rsidRDefault="007D19D6">
      <w:pPr>
        <w:numPr>
          <w:ilvl w:val="1"/>
          <w:numId w:val="1390"/>
        </w:numPr>
        <w:ind w:left="567" w:hanging="567"/>
        <w:rPr>
          <w:rFonts w:asciiTheme="minorHAnsi" w:hAnsiTheme="minorHAnsi" w:cstheme="minorHAnsi"/>
          <w:noProof/>
        </w:rPr>
      </w:pPr>
      <w:r>
        <w:rPr>
          <w:rFonts w:asciiTheme="minorHAnsi" w:hAnsiTheme="minorHAnsi"/>
          <w:noProof/>
        </w:rPr>
        <w:t xml:space="preserve">nosacījumiem atbilstošiem kuģiem piekļūt Pušu </w:t>
      </w:r>
      <w:r>
        <w:rPr>
          <w:rFonts w:asciiTheme="minorHAnsi" w:hAnsiTheme="minorHAnsi"/>
          <w:noProof/>
        </w:rPr>
        <w:t xml:space="preserve">ūdeņiem zonā, kas atrodas sešu līdz divpadsmit jūras jūdžu attālumā no bāzes līnijas </w:t>
      </w:r>
      <w:r>
        <w:rPr>
          <w:rFonts w:asciiTheme="minorHAnsi" w:hAnsiTheme="minorHAnsi"/>
          <w:i/>
          <w:iCs/>
          <w:noProof/>
        </w:rPr>
        <w:t>ICES</w:t>
      </w:r>
      <w:r>
        <w:rPr>
          <w:rFonts w:asciiTheme="minorHAnsi" w:hAnsiTheme="minorHAnsi"/>
          <w:noProof/>
        </w:rPr>
        <w:t xml:space="preserve"> 4.c un 7.d–g rajonā, tādā apmērā, kādā nosacījumiem atbilstošiem katras Puses kuģiem bija piekļuve minētajai zonai 2020. gada 31. decembrī. </w:t>
      </w:r>
    </w:p>
    <w:p w:rsidR="003E022D" w:rsidRDefault="007D19D6">
      <w:pPr>
        <w:rPr>
          <w:rFonts w:cs="Calibri"/>
          <w:noProof/>
        </w:rPr>
      </w:pPr>
      <w:r>
        <w:rPr>
          <w:noProof/>
        </w:rPr>
        <w:t>Šajā punktā “nosacījumiem</w:t>
      </w:r>
      <w:r>
        <w:rPr>
          <w:noProof/>
        </w:rPr>
        <w:t xml:space="preserve"> atbilstošs kuģis” ir Puses kuģis, kas iepriekšējā teikumā minētajā zonā zvejojis vismaz četros gados, kas ietilpst laikposmā no 2012. līdz 2016. gadam, vai šāda kuģa tiešs aizstājējkuģis.</w:t>
      </w:r>
    </w:p>
    <w:p w:rsidR="003E022D" w:rsidRDefault="007D19D6">
      <w:pPr>
        <w:numPr>
          <w:ilvl w:val="0"/>
          <w:numId w:val="1376"/>
        </w:numPr>
        <w:ind w:left="0" w:firstLine="0"/>
        <w:rPr>
          <w:rFonts w:cs="Calibri"/>
          <w:noProof/>
        </w:rPr>
      </w:pPr>
      <w:r>
        <w:rPr>
          <w:noProof/>
        </w:rPr>
        <w:t xml:space="preserve">Puses paziņo otrai Pusei visas ūdeņiem piešķirtās piekļuves apjoma </w:t>
      </w:r>
      <w:r>
        <w:rPr>
          <w:noProof/>
        </w:rPr>
        <w:t xml:space="preserve">un nosacījumu izmaiņas, kas būs piemērojamas no 2026. gada 1. jūlija. </w:t>
      </w:r>
    </w:p>
    <w:p w:rsidR="003E022D" w:rsidRDefault="007D19D6">
      <w:pPr>
        <w:numPr>
          <w:ilvl w:val="0"/>
          <w:numId w:val="1376"/>
        </w:numPr>
        <w:ind w:left="0" w:firstLine="0"/>
        <w:rPr>
          <w:rFonts w:cs="Calibri"/>
          <w:noProof/>
        </w:rPr>
      </w:pPr>
      <w:r>
        <w:rPr>
          <w:noProof/>
        </w:rPr>
        <w:t xml:space="preserve"> Attiecībā uz visām izmaiņām, kas saskaņā ar šā panta 2. punktu izdarītas attiecībā uz laikposmu no 2026. gada 1. jūlija līdz 2026. gada 31. decembrim, </w:t>
      </w:r>
      <w:r>
        <w:rPr>
          <w:i/>
          <w:noProof/>
        </w:rPr>
        <w:t>mutatis mutandis</w:t>
      </w:r>
      <w:r>
        <w:rPr>
          <w:noProof/>
        </w:rPr>
        <w:t xml:space="preserve"> piemēro 9. pantu</w:t>
      </w:r>
      <w:r>
        <w:rPr>
          <w:noProof/>
        </w:rPr>
        <w:t xml:space="preserve"> [Kompensējoši pasākumi, kas veicami piekļuves atsaukšanas vai samazināšanas gadījumā]. </w:t>
      </w:r>
    </w:p>
    <w:p w:rsidR="003E022D" w:rsidRDefault="003E022D">
      <w:pPr>
        <w:rPr>
          <w:rFonts w:eastAsia="Century" w:cstheme="minorHAnsi"/>
          <w:i/>
          <w:noProof/>
        </w:rPr>
      </w:pPr>
    </w:p>
    <w:p w:rsidR="003E022D" w:rsidRDefault="007D19D6">
      <w:pPr>
        <w:rPr>
          <w:rFonts w:eastAsia="Calibri" w:cs="Times New Roman"/>
          <w:b/>
          <w:bCs/>
          <w:noProof/>
        </w:rPr>
      </w:pPr>
      <w:r>
        <w:rPr>
          <w:noProof/>
        </w:rPr>
        <w:br w:type="page"/>
      </w:r>
    </w:p>
    <w:p w:rsidR="003E022D" w:rsidRDefault="007D19D6">
      <w:pPr>
        <w:pStyle w:val="ANNEX"/>
        <w:rPr>
          <w:noProof/>
        </w:rPr>
      </w:pPr>
      <w:bookmarkStart w:id="1356" w:name="_Toc58431971"/>
      <w:bookmarkStart w:id="1357" w:name="_Toc59439623"/>
      <w:bookmarkStart w:id="1358" w:name="_Toc59645280"/>
      <w:bookmarkStart w:id="1359" w:name="_Toc59988421"/>
      <w:r>
        <w:rPr>
          <w:noProof/>
        </w:rPr>
        <w:t>LAW-1. PIELIKUMS. APMAIŅA AR DNS, PIRKSTU NOSPIEDUMU UN TRANSPORTLĪDZEKĻU REĢISTRĀCIJAS DATIEM</w:t>
      </w:r>
      <w:bookmarkEnd w:id="1356"/>
      <w:bookmarkEnd w:id="1357"/>
      <w:bookmarkEnd w:id="1358"/>
      <w:bookmarkEnd w:id="1359"/>
    </w:p>
    <w:p w:rsidR="003E022D" w:rsidRDefault="007D19D6">
      <w:pPr>
        <w:pStyle w:val="Chapter"/>
        <w:rPr>
          <w:noProof/>
        </w:rPr>
      </w:pPr>
      <w:r>
        <w:rPr>
          <w:noProof/>
        </w:rPr>
        <w:t>0. NODAĻA. Vispārīgi noteikumi</w:t>
      </w:r>
    </w:p>
    <w:p w:rsidR="003E022D" w:rsidRDefault="007D19D6">
      <w:pPr>
        <w:pStyle w:val="Article"/>
        <w:rPr>
          <w:b/>
          <w:noProof/>
        </w:rPr>
      </w:pPr>
      <w:r>
        <w:rPr>
          <w:noProof/>
        </w:rPr>
        <w:t>1. pants. Mērķis</w:t>
      </w:r>
    </w:p>
    <w:p w:rsidR="003E022D" w:rsidRDefault="007D19D6">
      <w:pPr>
        <w:rPr>
          <w:rFonts w:cs="Calibri"/>
          <w:strike/>
          <w:noProof/>
        </w:rPr>
      </w:pPr>
      <w:r>
        <w:rPr>
          <w:noProof/>
        </w:rPr>
        <w:t>Šā pielikuma mērķis i</w:t>
      </w:r>
      <w:r>
        <w:rPr>
          <w:noProof/>
        </w:rPr>
        <w:t xml:space="preserve">r noteikt datu aizsardzības, administratīvas un tehniskas normas, kas vajadzīgas, lai īstenotu trešās daļas </w:t>
      </w:r>
      <w:bookmarkStart w:id="1360" w:name="_Hlk57130404"/>
      <w:r>
        <w:rPr>
          <w:noProof/>
        </w:rPr>
        <w:t>II sadaļu [Apmaiņa ar DNS, pirkstu nospiedumu un transportlīdzekļu reģistrācijas datiem]</w:t>
      </w:r>
      <w:bookmarkEnd w:id="1360"/>
      <w:r>
        <w:rPr>
          <w:noProof/>
        </w:rPr>
        <w:t>.</w:t>
      </w:r>
    </w:p>
    <w:p w:rsidR="003E022D" w:rsidRDefault="007D19D6">
      <w:pPr>
        <w:pStyle w:val="Article"/>
        <w:rPr>
          <w:b/>
          <w:noProof/>
        </w:rPr>
      </w:pPr>
      <w:r>
        <w:rPr>
          <w:noProof/>
        </w:rPr>
        <w:t>2. pants. Tehniski parametri</w:t>
      </w:r>
    </w:p>
    <w:p w:rsidR="003E022D" w:rsidRDefault="007D19D6">
      <w:pPr>
        <w:rPr>
          <w:rFonts w:cs="Calibri"/>
          <w:noProof/>
        </w:rPr>
      </w:pPr>
      <w:r>
        <w:rPr>
          <w:noProof/>
        </w:rPr>
        <w:t xml:space="preserve">Visos pieprasījumos un </w:t>
      </w:r>
      <w:r>
        <w:rPr>
          <w:noProof/>
        </w:rPr>
        <w:t>atbildēs, meklējot un salīdzinot DNS profilus, daktiloskopijas datus un transportlīdzekļu reģistrācijas datus, valstis ievēro vienotus tehniskus parametrus. Šie tehniskie parametri ir noteikti 1.–3. nodaļā.</w:t>
      </w:r>
    </w:p>
    <w:p w:rsidR="003E022D" w:rsidRDefault="007D19D6">
      <w:pPr>
        <w:pStyle w:val="Article"/>
        <w:rPr>
          <w:b/>
          <w:noProof/>
        </w:rPr>
      </w:pPr>
      <w:r>
        <w:rPr>
          <w:noProof/>
        </w:rPr>
        <w:t>3. pants. Saziņas tīkls</w:t>
      </w:r>
    </w:p>
    <w:p w:rsidR="003E022D" w:rsidRDefault="007D19D6">
      <w:pPr>
        <w:rPr>
          <w:rFonts w:cs="Calibri"/>
          <w:noProof/>
        </w:rPr>
      </w:pPr>
      <w:r>
        <w:rPr>
          <w:noProof/>
        </w:rPr>
        <w:t>Valstu savstarpēja elektr</w:t>
      </w:r>
      <w:r>
        <w:rPr>
          <w:noProof/>
        </w:rPr>
        <w:t>oniska apmaiņa ar DNS datiem, daktiloskopijas datiem un transportlīdzekļu reģistrācijas datiem notiek, izmantojot pārvaldes iestāžu saziņas tīklā (</w:t>
      </w:r>
      <w:r>
        <w:rPr>
          <w:i/>
          <w:noProof/>
        </w:rPr>
        <w:t>Trans European Services for Telematics between Administrations</w:t>
      </w:r>
      <w:r>
        <w:rPr>
          <w:noProof/>
        </w:rPr>
        <w:t xml:space="preserve"> – </w:t>
      </w:r>
      <w:r>
        <w:rPr>
          <w:i/>
          <w:noProof/>
        </w:rPr>
        <w:t>TESTA II</w:t>
      </w:r>
      <w:r>
        <w:rPr>
          <w:noProof/>
        </w:rPr>
        <w:t xml:space="preserve">) apvienotos Eiropas telemātikas </w:t>
      </w:r>
      <w:r>
        <w:rPr>
          <w:noProof/>
        </w:rPr>
        <w:t>dienestus, kā arī turpmākus šā saziņas tīkla uzlabojumus.</w:t>
      </w:r>
    </w:p>
    <w:p w:rsidR="003E022D" w:rsidRDefault="007D19D6">
      <w:pPr>
        <w:pStyle w:val="Article"/>
        <w:rPr>
          <w:b/>
          <w:noProof/>
        </w:rPr>
      </w:pPr>
      <w:r>
        <w:rPr>
          <w:noProof/>
        </w:rPr>
        <w:t>4. pants. Automatizētas datu apmaiņas pieejamība</w:t>
      </w:r>
    </w:p>
    <w:p w:rsidR="003E022D" w:rsidRDefault="007D19D6">
      <w:pPr>
        <w:rPr>
          <w:rFonts w:cs="Calibri"/>
          <w:noProof/>
        </w:rPr>
      </w:pPr>
      <w:r>
        <w:rPr>
          <w:noProof/>
        </w:rPr>
        <w:t>Valstis veic visus vajadzīgos pasākumus, lai nodrošinātu, ka automatizēta DNS datu, daktiloskopijas datu un transportlīdzekļu reģistrācijas datu mekl</w:t>
      </w:r>
      <w:r>
        <w:rPr>
          <w:noProof/>
        </w:rPr>
        <w:t xml:space="preserve">ēšana un salīdzināšana būtu iespējama 24 stundas dienā un septiņas dienas nedēļā. Tehnisku kļūmju gadījumā valstu kontaktpunkti tūlīt informē cits citu un vienojas par alternatīviem pagaidu informācijas apmaiņas mehānismiem, ievērojot spēkā esošos tiesību </w:t>
      </w:r>
      <w:r>
        <w:rPr>
          <w:noProof/>
        </w:rPr>
        <w:t>aktus. Automatizētu datu apmaiņu atjauno, cik drīz vien iespējams.</w:t>
      </w:r>
    </w:p>
    <w:p w:rsidR="003E022D" w:rsidRDefault="007D19D6">
      <w:pPr>
        <w:pStyle w:val="Article"/>
        <w:rPr>
          <w:b/>
          <w:noProof/>
        </w:rPr>
      </w:pPr>
      <w:r>
        <w:rPr>
          <w:noProof/>
        </w:rPr>
        <w:t>5. pants. DNS datu un daktiloskopijas datu atsauces numerācija</w:t>
      </w:r>
    </w:p>
    <w:p w:rsidR="003E022D" w:rsidRDefault="007D19D6">
      <w:pPr>
        <w:rPr>
          <w:rFonts w:cs="Calibri"/>
          <w:noProof/>
        </w:rPr>
      </w:pPr>
      <w:r>
        <w:rPr>
          <w:noProof/>
        </w:rPr>
        <w:t xml:space="preserve">Atsauces numuros, kas minēti LAW.PRUM.7. pantā [Iekšzemes DNS analīzes datņu izveide] un LAW.PRUM.11. pantā [Daktiloskopiskie </w:t>
      </w:r>
      <w:r>
        <w:rPr>
          <w:noProof/>
        </w:rPr>
        <w:t>dati], ir ietverts:</w:t>
      </w:r>
    </w:p>
    <w:p w:rsidR="003E022D" w:rsidRDefault="007D19D6">
      <w:pPr>
        <w:pStyle w:val="ListParagraph"/>
        <w:numPr>
          <w:ilvl w:val="1"/>
          <w:numId w:val="726"/>
        </w:numPr>
        <w:spacing w:line="276" w:lineRule="auto"/>
        <w:ind w:left="567" w:hanging="567"/>
        <w:contextualSpacing w:val="0"/>
        <w:rPr>
          <w:noProof/>
        </w:rPr>
      </w:pPr>
      <w:r>
        <w:rPr>
          <w:noProof/>
        </w:rPr>
        <w:t>kods, kas datu sakritības gadījumos ļauj valstīm iegūt personas datus un citu informāciju no datubāzēm, lai saskaņā ar LAW.PRUM.14. pantu [Papildu personas datu un citu datu sniegšana] to piegādātu vienai, vairākām vai visām valstīm;</w:t>
      </w:r>
    </w:p>
    <w:p w:rsidR="003E022D" w:rsidRDefault="007D19D6">
      <w:pPr>
        <w:pStyle w:val="ListParagraph"/>
        <w:numPr>
          <w:ilvl w:val="1"/>
          <w:numId w:val="726"/>
        </w:numPr>
        <w:spacing w:line="276" w:lineRule="auto"/>
        <w:ind w:left="567" w:hanging="567"/>
        <w:contextualSpacing w:val="0"/>
        <w:rPr>
          <w:noProof/>
        </w:rPr>
      </w:pPr>
      <w:r>
        <w:rPr>
          <w:noProof/>
        </w:rPr>
        <w:t>ko</w:t>
      </w:r>
      <w:r>
        <w:rPr>
          <w:noProof/>
        </w:rPr>
        <w:t>ds, kas rāda, kurā valstī ir iegūts DNS profils vai daktiloskopijas dati; un</w:t>
      </w:r>
    </w:p>
    <w:p w:rsidR="003E022D" w:rsidRDefault="007D19D6">
      <w:pPr>
        <w:pStyle w:val="ListParagraph"/>
        <w:numPr>
          <w:ilvl w:val="1"/>
          <w:numId w:val="726"/>
        </w:numPr>
        <w:spacing w:line="276" w:lineRule="auto"/>
        <w:ind w:left="567" w:hanging="567"/>
        <w:contextualSpacing w:val="0"/>
        <w:rPr>
          <w:noProof/>
        </w:rPr>
      </w:pPr>
      <w:r>
        <w:rPr>
          <w:noProof/>
        </w:rPr>
        <w:t>DNS datu sakarā – kods, kas rāda DNS profila tipu.</w:t>
      </w:r>
    </w:p>
    <w:p w:rsidR="003E022D" w:rsidRDefault="007D19D6">
      <w:pPr>
        <w:pStyle w:val="Article"/>
        <w:rPr>
          <w:b/>
          <w:noProof/>
        </w:rPr>
      </w:pPr>
      <w:r>
        <w:rPr>
          <w:noProof/>
        </w:rPr>
        <w:t>6. pants. DNS datu apmaiņas principi</w:t>
      </w:r>
    </w:p>
    <w:p w:rsidR="003E022D" w:rsidRDefault="007D19D6">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Valstis izmanto spēkā esošos DNS datu apmaiņas standartus, piemēram, Eiropas standartu komp</w:t>
      </w:r>
      <w:r>
        <w:rPr>
          <w:noProof/>
        </w:rPr>
        <w:t>leksu (</w:t>
      </w:r>
      <w:r>
        <w:rPr>
          <w:i/>
          <w:noProof/>
        </w:rPr>
        <w:t>European Standard Set</w:t>
      </w:r>
      <w:r>
        <w:rPr>
          <w:noProof/>
        </w:rPr>
        <w:t xml:space="preserve"> – </w:t>
      </w:r>
      <w:r>
        <w:rPr>
          <w:i/>
          <w:noProof/>
        </w:rPr>
        <w:t>ESS</w:t>
      </w:r>
      <w:r>
        <w:rPr>
          <w:noProof/>
        </w:rPr>
        <w:t>) vai Interpola standartu kompleksu (</w:t>
      </w:r>
      <w:r>
        <w:rPr>
          <w:i/>
          <w:noProof/>
        </w:rPr>
        <w:t>Interpol Standard Set of Loci</w:t>
      </w:r>
      <w:r>
        <w:rPr>
          <w:noProof/>
        </w:rPr>
        <w:t xml:space="preserve"> – </w:t>
      </w:r>
      <w:r>
        <w:rPr>
          <w:i/>
          <w:noProof/>
        </w:rPr>
        <w:t>ISSOL</w:t>
      </w:r>
      <w:r>
        <w:rPr>
          <w:noProof/>
        </w:rPr>
        <w:t>).</w:t>
      </w:r>
    </w:p>
    <w:p w:rsidR="003E022D" w:rsidRDefault="007D19D6">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Ja DNS profilus meklē un salīdzina automatizēti, pārsūtīšana notiek, izmantojot decentralizētu struktūru.</w:t>
      </w:r>
    </w:p>
    <w:p w:rsidR="003E022D" w:rsidRDefault="007D19D6">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Lai nodrošinātu citām valstīm pārsūtāmu</w:t>
      </w:r>
      <w:r>
        <w:rPr>
          <w:noProof/>
        </w:rPr>
        <w:t xml:space="preserve"> datu konfidencialitāti un integritāti, veic attiecīgus pasākumus, arī šifrēšanu.</w:t>
      </w:r>
    </w:p>
    <w:p w:rsidR="003E022D" w:rsidRDefault="007D19D6">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 xml:space="preserve">Valstis veic pasākumus, kas vajadzīgi, lai garantētu tādu DNS profilu integritāti, kurus dara pieejamus vai sūta citām valstīm salīdzināšanai, un lai nodrošinātu, ka minētie </w:t>
      </w:r>
      <w:r>
        <w:rPr>
          <w:noProof/>
        </w:rPr>
        <w:t>pasākumi atbilst starptautiskiem standartiem, piemēram, ISO 17025.</w:t>
      </w:r>
    </w:p>
    <w:p w:rsidR="003E022D" w:rsidRDefault="007D19D6">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Valstis izmanto savus kodus saskaņā ar ISO 3166-1 alfa-2 standartu.</w:t>
      </w:r>
    </w:p>
    <w:p w:rsidR="003E022D" w:rsidRDefault="007D19D6">
      <w:pPr>
        <w:pStyle w:val="Article"/>
        <w:rPr>
          <w:b/>
          <w:noProof/>
        </w:rPr>
      </w:pPr>
      <w:r>
        <w:rPr>
          <w:noProof/>
        </w:rPr>
        <w:t>7. pants. Noteikumi par pieprasījumiem un atbildēm saistībā ar DNS datiem</w:t>
      </w:r>
    </w:p>
    <w:p w:rsidR="003E022D" w:rsidRDefault="007D19D6">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 xml:space="preserve">Pieprasījumā veikt automatizētu datu meklēšanu </w:t>
      </w:r>
      <w:r>
        <w:rPr>
          <w:noProof/>
        </w:rPr>
        <w:t>vai salīdzināšanu, kā minēts LAW.PRUM.8. pantā [Automatizēta DNS profilu meklēšana] vai LAW.PRUM.9. pantā [Automatizēta DNS profilu salīdzināšana], iekļauj tikai šādu informāciju:</w:t>
      </w:r>
    </w:p>
    <w:p w:rsidR="003E022D" w:rsidRDefault="007D19D6">
      <w:pPr>
        <w:pStyle w:val="ListParagraph"/>
        <w:numPr>
          <w:ilvl w:val="1"/>
          <w:numId w:val="728"/>
        </w:numPr>
        <w:spacing w:line="276" w:lineRule="auto"/>
        <w:ind w:left="567" w:hanging="567"/>
        <w:contextualSpacing w:val="0"/>
        <w:rPr>
          <w:noProof/>
        </w:rPr>
      </w:pPr>
      <w:r>
        <w:rPr>
          <w:noProof/>
        </w:rPr>
        <w:t>pieprasījuma iesniedzējas valsts kodu;</w:t>
      </w:r>
    </w:p>
    <w:p w:rsidR="003E022D" w:rsidRDefault="007D19D6">
      <w:pPr>
        <w:pStyle w:val="ListParagraph"/>
        <w:numPr>
          <w:ilvl w:val="1"/>
          <w:numId w:val="728"/>
        </w:numPr>
        <w:spacing w:line="276" w:lineRule="auto"/>
        <w:ind w:left="567" w:hanging="567"/>
        <w:contextualSpacing w:val="0"/>
        <w:rPr>
          <w:noProof/>
        </w:rPr>
      </w:pPr>
      <w:r>
        <w:rPr>
          <w:noProof/>
        </w:rPr>
        <w:t>pieprasījuma iesniegšanas datumu, lai</w:t>
      </w:r>
      <w:r>
        <w:rPr>
          <w:noProof/>
        </w:rPr>
        <w:t>ku, un datu meklējuma kārtas numuru;</w:t>
      </w:r>
    </w:p>
    <w:p w:rsidR="003E022D" w:rsidRDefault="007D19D6">
      <w:pPr>
        <w:pStyle w:val="ListParagraph"/>
        <w:numPr>
          <w:ilvl w:val="1"/>
          <w:numId w:val="728"/>
        </w:numPr>
        <w:spacing w:line="276" w:lineRule="auto"/>
        <w:ind w:left="567" w:hanging="567"/>
        <w:contextualSpacing w:val="0"/>
        <w:rPr>
          <w:noProof/>
        </w:rPr>
      </w:pPr>
      <w:r>
        <w:rPr>
          <w:noProof/>
        </w:rPr>
        <w:t>DNS profilus un to atsauces numurus;</w:t>
      </w:r>
    </w:p>
    <w:p w:rsidR="003E022D" w:rsidRDefault="007D19D6">
      <w:pPr>
        <w:pStyle w:val="ListParagraph"/>
        <w:numPr>
          <w:ilvl w:val="1"/>
          <w:numId w:val="728"/>
        </w:numPr>
        <w:spacing w:line="276" w:lineRule="auto"/>
        <w:ind w:left="567" w:hanging="567"/>
        <w:contextualSpacing w:val="0"/>
        <w:rPr>
          <w:noProof/>
        </w:rPr>
      </w:pPr>
      <w:r>
        <w:rPr>
          <w:noProof/>
        </w:rPr>
        <w:t>to, kāda tipa DNS profilus pārsūtīs (neidentificētus DNS profilus vai atsauces DNS profilus); un</w:t>
      </w:r>
    </w:p>
    <w:p w:rsidR="003E022D" w:rsidRDefault="007D19D6">
      <w:pPr>
        <w:pStyle w:val="ListParagraph"/>
        <w:numPr>
          <w:ilvl w:val="1"/>
          <w:numId w:val="728"/>
        </w:numPr>
        <w:spacing w:line="276" w:lineRule="auto"/>
        <w:ind w:left="567" w:hanging="567"/>
        <w:contextualSpacing w:val="0"/>
        <w:rPr>
          <w:noProof/>
        </w:rPr>
      </w:pPr>
      <w:r>
        <w:rPr>
          <w:noProof/>
        </w:rPr>
        <w:t xml:space="preserve">informāciju, kas vajadzīga datubāzu sistēmu kontrolei, kā arī automātisko meklēšanas </w:t>
      </w:r>
      <w:r>
        <w:rPr>
          <w:noProof/>
        </w:rPr>
        <w:t>procesu kvalitātes kontrolei.</w:t>
      </w:r>
    </w:p>
    <w:p w:rsidR="003E022D" w:rsidRDefault="007D19D6">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Atbildē uz 1. punktā minēto pieprasījumu (ziņojumā par atbilsmēm) ir tikai šāda informācija:</w:t>
      </w:r>
    </w:p>
    <w:p w:rsidR="003E022D" w:rsidRDefault="007D19D6">
      <w:pPr>
        <w:pStyle w:val="ListParagraph"/>
        <w:numPr>
          <w:ilvl w:val="1"/>
          <w:numId w:val="729"/>
        </w:numPr>
        <w:spacing w:line="276" w:lineRule="auto"/>
        <w:ind w:left="567" w:hanging="567"/>
        <w:contextualSpacing w:val="0"/>
        <w:rPr>
          <w:noProof/>
        </w:rPr>
      </w:pPr>
      <w:r>
        <w:rPr>
          <w:noProof/>
        </w:rPr>
        <w:t>norāde, vai ir konstatēta viena vai vairākas sakritības (atbilsmes) vai arī sakritības nav konstatētas (atbilsmju nav);</w:t>
      </w:r>
    </w:p>
    <w:p w:rsidR="003E022D" w:rsidRDefault="007D19D6">
      <w:pPr>
        <w:pStyle w:val="ListParagraph"/>
        <w:numPr>
          <w:ilvl w:val="1"/>
          <w:numId w:val="729"/>
        </w:numPr>
        <w:spacing w:line="276" w:lineRule="auto"/>
        <w:ind w:left="567" w:hanging="567"/>
        <w:contextualSpacing w:val="0"/>
        <w:rPr>
          <w:noProof/>
        </w:rPr>
      </w:pPr>
      <w:r>
        <w:rPr>
          <w:noProof/>
        </w:rPr>
        <w:t xml:space="preserve">pieprasījuma </w:t>
      </w:r>
      <w:r>
        <w:rPr>
          <w:noProof/>
        </w:rPr>
        <w:t>iesniegšanas datums, laiks, un datu meklējuma kārtas numurs;</w:t>
      </w:r>
    </w:p>
    <w:p w:rsidR="003E022D" w:rsidRDefault="007D19D6">
      <w:pPr>
        <w:pStyle w:val="ListParagraph"/>
        <w:numPr>
          <w:ilvl w:val="1"/>
          <w:numId w:val="729"/>
        </w:numPr>
        <w:spacing w:line="276" w:lineRule="auto"/>
        <w:ind w:left="567" w:hanging="567"/>
        <w:contextualSpacing w:val="0"/>
        <w:rPr>
          <w:noProof/>
        </w:rPr>
      </w:pPr>
      <w:r>
        <w:rPr>
          <w:noProof/>
        </w:rPr>
        <w:t>atbildes datums, laiks, un datu meklējuma kārtas numurs;</w:t>
      </w:r>
    </w:p>
    <w:p w:rsidR="003E022D" w:rsidRDefault="007D19D6">
      <w:pPr>
        <w:pStyle w:val="ListParagraph"/>
        <w:numPr>
          <w:ilvl w:val="1"/>
          <w:numId w:val="729"/>
        </w:numPr>
        <w:spacing w:line="276" w:lineRule="auto"/>
        <w:ind w:left="567" w:hanging="567"/>
        <w:contextualSpacing w:val="0"/>
        <w:rPr>
          <w:noProof/>
        </w:rPr>
      </w:pPr>
      <w:r>
        <w:rPr>
          <w:noProof/>
        </w:rPr>
        <w:t>pieprasījuma iesniedzējas valsts un pieprasījuma saņēmējas valsts kods;</w:t>
      </w:r>
    </w:p>
    <w:p w:rsidR="003E022D" w:rsidRDefault="007D19D6">
      <w:pPr>
        <w:pStyle w:val="ListParagraph"/>
        <w:numPr>
          <w:ilvl w:val="1"/>
          <w:numId w:val="729"/>
        </w:numPr>
        <w:spacing w:line="276" w:lineRule="auto"/>
        <w:ind w:left="567" w:hanging="567"/>
        <w:contextualSpacing w:val="0"/>
        <w:rPr>
          <w:noProof/>
        </w:rPr>
      </w:pPr>
      <w:r>
        <w:rPr>
          <w:noProof/>
        </w:rPr>
        <w:t xml:space="preserve">pieprasījuma iesniedzējas valsts un pieprasījuma saņēmējas valsts </w:t>
      </w:r>
      <w:r>
        <w:rPr>
          <w:noProof/>
        </w:rPr>
        <w:t>atsauces numurs;</w:t>
      </w:r>
    </w:p>
    <w:p w:rsidR="003E022D" w:rsidRDefault="007D19D6">
      <w:pPr>
        <w:pStyle w:val="ListParagraph"/>
        <w:numPr>
          <w:ilvl w:val="1"/>
          <w:numId w:val="729"/>
        </w:numPr>
        <w:spacing w:line="276" w:lineRule="auto"/>
        <w:ind w:left="567" w:hanging="567"/>
        <w:contextualSpacing w:val="0"/>
        <w:rPr>
          <w:noProof/>
        </w:rPr>
      </w:pPr>
      <w:r>
        <w:rPr>
          <w:noProof/>
        </w:rPr>
        <w:t>kāda tipa DNS profili ir pārsūtīti (neidentificēti DNS profili vai atsauces DNS profili);</w:t>
      </w:r>
    </w:p>
    <w:p w:rsidR="003E022D" w:rsidRDefault="007D19D6">
      <w:pPr>
        <w:pStyle w:val="ListParagraph"/>
        <w:numPr>
          <w:ilvl w:val="1"/>
          <w:numId w:val="729"/>
        </w:numPr>
        <w:spacing w:line="276" w:lineRule="auto"/>
        <w:ind w:left="567" w:hanging="567"/>
        <w:contextualSpacing w:val="0"/>
        <w:rPr>
          <w:noProof/>
        </w:rPr>
      </w:pPr>
      <w:r>
        <w:rPr>
          <w:noProof/>
        </w:rPr>
        <w:t>DNS profili, par ko ir iesniegts pieprasījums un saņemta pozitīva atbilde par atbilsmi; un</w:t>
      </w:r>
    </w:p>
    <w:p w:rsidR="003E022D" w:rsidRDefault="007D19D6">
      <w:pPr>
        <w:pStyle w:val="ListParagraph"/>
        <w:numPr>
          <w:ilvl w:val="1"/>
          <w:numId w:val="729"/>
        </w:numPr>
        <w:spacing w:line="276" w:lineRule="auto"/>
        <w:ind w:left="567" w:hanging="567"/>
        <w:contextualSpacing w:val="0"/>
        <w:rPr>
          <w:noProof/>
        </w:rPr>
      </w:pPr>
      <w:r>
        <w:rPr>
          <w:noProof/>
        </w:rPr>
        <w:t xml:space="preserve">informācija, kas vajadzīga datubāzu sistēmu kontrolei, kā </w:t>
      </w:r>
      <w:r>
        <w:rPr>
          <w:noProof/>
        </w:rPr>
        <w:t>arī automātisko meklēšanas procesu kvalitātes kontrolei.</w:t>
      </w:r>
    </w:p>
    <w:p w:rsidR="003E022D" w:rsidRDefault="007D19D6">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 xml:space="preserve"> Automatizētu atbilsmes paziņošanu nodrošina tikai ar noteikumu, ka, automatizēti meklējot vai salīdzinot, ir iegūtas atbilsmes pietiekamā skaitā lokusu (loci). Pietiekamais skaits ir dots 1. nodaļā.</w:t>
      </w:r>
    </w:p>
    <w:p w:rsidR="003E022D" w:rsidRDefault="007D19D6">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Valstis nodrošina, ka pieprasījumi atbilst deklarācijām, kas izdotas saskaņā ar LAW.PRUM 7. panta [Iekšzemes DNS analīzes datņu izveide] 3. punktu.</w:t>
      </w:r>
    </w:p>
    <w:p w:rsidR="003E022D" w:rsidRDefault="007D19D6">
      <w:pPr>
        <w:pStyle w:val="Article"/>
        <w:rPr>
          <w:noProof/>
        </w:rPr>
      </w:pPr>
      <w:r>
        <w:rPr>
          <w:noProof/>
        </w:rPr>
        <w:t xml:space="preserve">8. pants. Pārsūtīšanas procedūra neidentificētu DNS profilu automatizētai meklēšanai saskaņā ar </w:t>
      </w:r>
      <w:r>
        <w:rPr>
          <w:noProof/>
        </w:rPr>
        <w:t>LAW.PRUM.8. pantu [Automatizēta DNA profilu meklēšana].</w:t>
      </w:r>
    </w:p>
    <w:p w:rsidR="003E022D" w:rsidRDefault="007D19D6">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rPr>
      </w:pPr>
      <w:r>
        <w:rPr>
          <w:noProof/>
        </w:rPr>
        <w:t>Ja kādas valsts datubāzē, veicot meklējumus ar kādu neidentificētu DNS profilu, atbilsme nav atrasta vai ir atrasta atbilsme neidentificētam DNS profilam, neidentificēto DNS profilu var pārsūtīt uz vi</w:t>
      </w:r>
      <w:r>
        <w:rPr>
          <w:noProof/>
        </w:rPr>
        <w:t xml:space="preserve">su citu dalībvalstu datubāzēm, un, ja, veicot meklējumus ar tādu neidentificētu DNS profilu, citu dalībvalstu datubāzēs atrodas atbilsmes atsauces DNS profiliem un/vai neidentificētiem DNS profiliem, pieprasījuma iesniedzējai dalībvalstij automātiski dara </w:t>
      </w:r>
      <w:r>
        <w:rPr>
          <w:noProof/>
        </w:rPr>
        <w:t>zināmas atbilsmes un pārsūta DNS atsauces datus; ja citu valstu datubāzēs atbilsmes atrast nevar, to automātiski dara zināmu pieprasījuma iesniedzējai valstij.</w:t>
      </w:r>
    </w:p>
    <w:p w:rsidR="003E022D" w:rsidRDefault="007D19D6">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rPr>
      </w:pPr>
      <w:r>
        <w:rPr>
          <w:noProof/>
        </w:rPr>
        <w:t>Ja citu valstu datubāzēs, veicot meklējumus ar kādu neidentificētu DNS profilu, atrodas atbilsme</w:t>
      </w:r>
      <w:r>
        <w:rPr>
          <w:noProof/>
        </w:rPr>
        <w:t>, katra attiecīgā iesaistītā valsts savā datubāzē par to var pievienot atzīmi.</w:t>
      </w:r>
    </w:p>
    <w:p w:rsidR="003E022D" w:rsidRDefault="007D19D6">
      <w:pPr>
        <w:pStyle w:val="Article"/>
        <w:rPr>
          <w:noProof/>
        </w:rPr>
      </w:pPr>
      <w:r>
        <w:rPr>
          <w:noProof/>
        </w:rPr>
        <w:t>9. pants. Pārsūtīšanas procedūra, automatizēti meklējot atsauces DNS profilus saskaņā ar LAW.PRUM.8. pantu [Automatizēta DNS profilu meklēšana].</w:t>
      </w:r>
    </w:p>
    <w:p w:rsidR="003E022D" w:rsidRDefault="007D19D6">
      <w:pPr>
        <w:rPr>
          <w:rFonts w:cs="Calibri"/>
          <w:noProof/>
        </w:rPr>
      </w:pPr>
      <w:r>
        <w:rPr>
          <w:noProof/>
        </w:rPr>
        <w:t>Ja kādas valsts datubāzē, veicot</w:t>
      </w:r>
      <w:r>
        <w:rPr>
          <w:noProof/>
        </w:rPr>
        <w:t xml:space="preserve"> meklējumus ar atsauces DNS profilu, nav atrasta atbilsme atsauces DNS profilam vai ir atrasta atbilsme neidentificētam DNS profilam, attiecīgo atsauces DNS profilu var pārsūtīt visu citu valstu datubāzēm, un, ja, veicot meklējumus ar attiecīgo atsauces DN</w:t>
      </w:r>
      <w:r>
        <w:rPr>
          <w:noProof/>
        </w:rPr>
        <w:t>S profilu, citu valstu datubāzēs atrodas atbilsmes atsauces DNS profiliem un/vai neidentificētiem DNS profiliem, pieprasījuma iesniedzējai valstij automātiski dara zināmas atbilsmes un pārsūta DNS atsauces datus; ja citu valstu datubāzēs atbilsmes atrast n</w:t>
      </w:r>
      <w:r>
        <w:rPr>
          <w:noProof/>
        </w:rPr>
        <w:t>evar, to automātiski dara zināmu pieprasījuma iesniedzējai valstij.</w:t>
      </w:r>
    </w:p>
    <w:p w:rsidR="003E022D" w:rsidRDefault="007D19D6">
      <w:pPr>
        <w:pStyle w:val="Article"/>
        <w:rPr>
          <w:noProof/>
        </w:rPr>
      </w:pPr>
      <w:r>
        <w:rPr>
          <w:noProof/>
        </w:rPr>
        <w:t>10. pants. Pārsūtīšanas procedūra, automatizēti salīdzinot neidentificētus DNS profilus saskaņā ar LAW.PRUM.9. pantu [Automatizēta DNS profilu salīdzināšana].</w:t>
      </w:r>
    </w:p>
    <w:p w:rsidR="003E022D" w:rsidRDefault="007D19D6">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rPr>
      </w:pPr>
      <w:r>
        <w:rPr>
          <w:noProof/>
        </w:rPr>
        <w:t xml:space="preserve">Ja, veicot salīdzinājumus ar </w:t>
      </w:r>
      <w:r>
        <w:rPr>
          <w:noProof/>
        </w:rPr>
        <w:t>neidentificētiem DNS profiliem, citas valsts datubāzēs atrodas atbilsme kādam atsauces DNS profilam un/vai neidentificētam DNS profilam, pieprasījuma iesniedzējai valstij automātiski dara zināmas atbilsmes un pārsūta DNS atsauces datus.</w:t>
      </w:r>
    </w:p>
    <w:p w:rsidR="003E022D" w:rsidRDefault="007D19D6">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rPr>
      </w:pPr>
      <w:r>
        <w:rPr>
          <w:noProof/>
        </w:rPr>
        <w:t>Ja, veicot salīdzin</w:t>
      </w:r>
      <w:r>
        <w:rPr>
          <w:noProof/>
        </w:rPr>
        <w:t>ājumus ar neidentificētiem DNS profiliem, citu valstu datubāzēs atrodas atbilsme kādam neidentificētam DNS profilam vai atsauces DNS profilam, katra attiecīgā valsts var savā datubāzē tam pievienot atzīmi.</w:t>
      </w:r>
    </w:p>
    <w:p w:rsidR="003E022D" w:rsidRDefault="007D19D6">
      <w:pPr>
        <w:pStyle w:val="Article"/>
        <w:rPr>
          <w:b/>
          <w:noProof/>
        </w:rPr>
      </w:pPr>
      <w:r>
        <w:rPr>
          <w:noProof/>
        </w:rPr>
        <w:t>11. pants. Daktiloskopijas datu apmaiņas principi</w:t>
      </w:r>
    </w:p>
    <w:p w:rsidR="003E022D" w:rsidRDefault="007D19D6">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Daktiloskopijas datus digitalizē un pārsūta citām valstīm, izmantojot vienotu datu formātu, kā norādīts 2. nodaļā.</w:t>
      </w:r>
    </w:p>
    <w:p w:rsidR="003E022D" w:rsidRDefault="007D19D6">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Katra valsts nodrošina, lai tās pārsūtītie daktiloskopijas dati būtu pietiekami kvalitatīvi, ka tos varētu salīdzināt automatizētās pirkstu n</w:t>
      </w:r>
      <w:r>
        <w:rPr>
          <w:noProof/>
        </w:rPr>
        <w:t xml:space="preserve">ospiedumu identifikācijas sistēmās </w:t>
      </w:r>
      <w:r>
        <w:rPr>
          <w:i/>
          <w:noProof/>
        </w:rPr>
        <w:t>(automated fingerprint identification systems</w:t>
      </w:r>
      <w:r>
        <w:rPr>
          <w:noProof/>
        </w:rPr>
        <w:t xml:space="preserve"> – </w:t>
      </w:r>
      <w:r>
        <w:rPr>
          <w:i/>
          <w:noProof/>
        </w:rPr>
        <w:t>AFIS</w:t>
      </w:r>
      <w:r>
        <w:rPr>
          <w:noProof/>
        </w:rPr>
        <w:t>).</w:t>
      </w:r>
    </w:p>
    <w:p w:rsidR="003E022D" w:rsidRDefault="007D19D6">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Pārsūtīšanas procedūra, apmainoties ar daktiloskopijas datiem, notiek, izmantojot decentralizētu struktūru.</w:t>
      </w:r>
    </w:p>
    <w:p w:rsidR="003E022D" w:rsidRDefault="007D19D6">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Lai daktiloskopijas datiem, ko pārsūta citām valstīm, nodr</w:t>
      </w:r>
      <w:r>
        <w:rPr>
          <w:noProof/>
        </w:rPr>
        <w:t>ošinātu konfidencialitāti un integritāti, veic attiecīgus pasākumus, arī šifrēšanu.</w:t>
      </w:r>
    </w:p>
    <w:p w:rsidR="003E022D" w:rsidRDefault="007D19D6">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Valstis izmanto savus kodus saskaņā ar ISO 3166-1 alfa-2 standartu.</w:t>
      </w:r>
    </w:p>
    <w:p w:rsidR="003E022D" w:rsidRDefault="007D19D6">
      <w:pPr>
        <w:pStyle w:val="Article"/>
        <w:rPr>
          <w:b/>
          <w:noProof/>
        </w:rPr>
      </w:pPr>
      <w:r>
        <w:rPr>
          <w:noProof/>
        </w:rPr>
        <w:t>12. pants. Daktiloskopijas datu meklēšanas jaudas</w:t>
      </w:r>
    </w:p>
    <w:p w:rsidR="003E022D" w:rsidRDefault="007D19D6">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rPr>
      </w:pPr>
      <w:r>
        <w:rPr>
          <w:noProof/>
        </w:rPr>
        <w:t xml:space="preserve">Katra valsts nodrošina, lai tās meklējamo datu apjoms </w:t>
      </w:r>
      <w:r>
        <w:rPr>
          <w:noProof/>
        </w:rPr>
        <w:t>nebūtu lielāks par pieprasījuma saņēmējas valsts uzrādītām datu meklēšanas jaudām. Apvienotā Karaliste deklarē savas vienā dienā maksimāli iespējamās identificētu personu un vēl neidentificētu personu daktiloskopijas datu meklēšanas jaudas.</w:t>
      </w:r>
    </w:p>
    <w:p w:rsidR="003E022D" w:rsidRDefault="007D19D6">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rPr>
      </w:pPr>
      <w:r>
        <w:rPr>
          <w:noProof/>
        </w:rPr>
        <w:t>Maksimāli iespē</w:t>
      </w:r>
      <w:r>
        <w:rPr>
          <w:noProof/>
        </w:rPr>
        <w:t>jamais personu skaits, ko var pieņemt pārbaudei vienā pārsūtīšanas reizē ir norādīts 2. nodaļā.</w:t>
      </w:r>
    </w:p>
    <w:p w:rsidR="003E022D" w:rsidRDefault="007D19D6">
      <w:pPr>
        <w:pStyle w:val="Article"/>
        <w:rPr>
          <w:b/>
          <w:noProof/>
        </w:rPr>
      </w:pPr>
      <w:r>
        <w:rPr>
          <w:noProof/>
        </w:rPr>
        <w:t>13. pants. Noteikumi par pieprasījumiem un atbildēm saistībā ar daktiloskopijas datiem</w:t>
      </w:r>
    </w:p>
    <w:p w:rsidR="003E022D" w:rsidRDefault="007D19D6">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 xml:space="preserve">Pieprasījuma saņēmēja valsts tūlīt pārbauda pārsūtīto daktiloskopijas </w:t>
      </w:r>
      <w:r>
        <w:rPr>
          <w:noProof/>
        </w:rPr>
        <w:t>datu kvalitāti, izmantojot pilnībā automatizētu procedūru. Ja izrādās, ka dati nav izmantojami automatizētai salīdzināšanai, pieprasījuma saņēmēja valsts tūlīt informē pieprasījuma iesniedzēju valsti.</w:t>
      </w:r>
    </w:p>
    <w:p w:rsidR="003E022D" w:rsidRDefault="007D19D6">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Pieprasījuma saņēmēja valsts veic meklējumus tādā kārtī</w:t>
      </w:r>
      <w:r>
        <w:rPr>
          <w:noProof/>
        </w:rPr>
        <w:t>bā, kādā ir saņemti pieprasījumi. Pieprasījumus apstrādā 24 stundās, izmantojot pilnībā automatizētu procedūru. Pieprasījuma iesniedzēja valsts, ja tas ir paredzēts tās iekšzemes tiesībās, var lūgt paātrināti apstrādāt pieprasījumus, un pieprasījuma saņēmē</w:t>
      </w:r>
      <w:r>
        <w:rPr>
          <w:noProof/>
        </w:rPr>
        <w:t xml:space="preserve">ja valsts tūlīt veic minētos meklējumus. Ja termiņus nevar ievērot </w:t>
      </w:r>
      <w:r>
        <w:rPr>
          <w:i/>
          <w:iCs/>
          <w:noProof/>
        </w:rPr>
        <w:t>force majeure</w:t>
      </w:r>
      <w:r>
        <w:rPr>
          <w:noProof/>
        </w:rPr>
        <w:t xml:space="preserve"> dēļ, salīdzināšanu veic uzreiz, līdzko šķēršļi ir novērsti.</w:t>
      </w:r>
    </w:p>
    <w:p w:rsidR="003E022D" w:rsidRDefault="007D19D6">
      <w:pPr>
        <w:pStyle w:val="Article"/>
        <w:rPr>
          <w:b/>
          <w:noProof/>
        </w:rPr>
      </w:pPr>
      <w:r>
        <w:rPr>
          <w:noProof/>
        </w:rPr>
        <w:t>14. pants. Automatizētas transportlīdzekļu reģistrācijas datu meklēšanas principi</w:t>
      </w:r>
    </w:p>
    <w:p w:rsidR="003E022D" w:rsidRDefault="007D19D6">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Lai automatizēti meklētu transpor</w:t>
      </w:r>
      <w:r>
        <w:rPr>
          <w:noProof/>
        </w:rPr>
        <w:t>tlīdzekļu reģistrācijas datus, valstis izmanto īpaši LAW.PRUM.15. panta [Automatizēta transportlīdzekļu reģistrācijas datu meklēšana] vajadzībām izstrādātu Eiropas transportlīdzekļu un vadītāja apliecību informācijas sistēmas (</w:t>
      </w:r>
      <w:r>
        <w:rPr>
          <w:i/>
          <w:iCs/>
          <w:noProof/>
        </w:rPr>
        <w:t xml:space="preserve">European Vehicle and Driving </w:t>
      </w:r>
      <w:r>
        <w:rPr>
          <w:i/>
          <w:iCs/>
          <w:noProof/>
        </w:rPr>
        <w:t>Licence Information System – Eucaris</w:t>
      </w:r>
      <w:r>
        <w:rPr>
          <w:noProof/>
        </w:rPr>
        <w:t>) programmatūru un grozītas šīs programmatūras versijas.</w:t>
      </w:r>
    </w:p>
    <w:p w:rsidR="003E022D" w:rsidRDefault="007D19D6">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Automatizēta transportlīdzekļu reģistrācijas datu meklēšana notiek, izmantojot decentralizētu struktūru.</w:t>
      </w:r>
    </w:p>
    <w:p w:rsidR="003E022D" w:rsidRDefault="007D19D6">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 xml:space="preserve">Informāciju, ar ko apmainās, izmantojot </w:t>
      </w:r>
      <w:r>
        <w:rPr>
          <w:i/>
          <w:noProof/>
        </w:rPr>
        <w:t>Eucaris</w:t>
      </w:r>
      <w:r>
        <w:rPr>
          <w:noProof/>
        </w:rPr>
        <w:t xml:space="preserve"> sistēmu, p</w:t>
      </w:r>
      <w:r>
        <w:rPr>
          <w:noProof/>
        </w:rPr>
        <w:t>irms pārsūtīšanas šifrē.</w:t>
      </w:r>
    </w:p>
    <w:p w:rsidR="003E022D" w:rsidRDefault="007D19D6">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Tie transportlīdzekļu reģistrācijas datu elementi, ar ko ir paredzēts apmainīties, ir uzskaitīti 3. nodaļā.</w:t>
      </w:r>
    </w:p>
    <w:p w:rsidR="003E022D" w:rsidRDefault="007D19D6">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Īstenojot LAW.PRUM.15. pantu [Automatizēta transportlīdzekļu reģistrācijas datu meklēšana], valstis var piešķirt prioritāti</w:t>
      </w:r>
      <w:r>
        <w:rPr>
          <w:noProof/>
        </w:rPr>
        <w:t xml:space="preserve"> meklējumiem, kas ir saistīti ar smagu noziegumu apkarošanu.</w:t>
      </w:r>
    </w:p>
    <w:p w:rsidR="003E022D" w:rsidRDefault="007D19D6">
      <w:pPr>
        <w:pStyle w:val="Article"/>
        <w:rPr>
          <w:b/>
          <w:noProof/>
        </w:rPr>
      </w:pPr>
      <w:r>
        <w:rPr>
          <w:noProof/>
        </w:rPr>
        <w:t>15. pants. Izmaksas</w:t>
      </w:r>
    </w:p>
    <w:p w:rsidR="003E022D" w:rsidRDefault="007D19D6">
      <w:pPr>
        <w:rPr>
          <w:rFonts w:cs="Calibri"/>
          <w:noProof/>
        </w:rPr>
      </w:pPr>
      <w:r>
        <w:rPr>
          <w:noProof/>
        </w:rPr>
        <w:t xml:space="preserve">Katra valsts sedz izmaksas, ko rada 14. panta 1. punktā minētās </w:t>
      </w:r>
      <w:r>
        <w:rPr>
          <w:i/>
          <w:noProof/>
        </w:rPr>
        <w:t>Eucaris</w:t>
      </w:r>
      <w:r>
        <w:rPr>
          <w:noProof/>
        </w:rPr>
        <w:t xml:space="preserve"> programmatūras apsaimniekošana, lietojums un profilakse.</w:t>
      </w:r>
    </w:p>
    <w:p w:rsidR="003E022D" w:rsidRDefault="007D19D6">
      <w:pPr>
        <w:pStyle w:val="Article"/>
        <w:rPr>
          <w:b/>
          <w:noProof/>
        </w:rPr>
      </w:pPr>
      <w:r>
        <w:rPr>
          <w:noProof/>
        </w:rPr>
        <w:t>16. pants. Mērķis</w:t>
      </w:r>
    </w:p>
    <w:p w:rsidR="003E022D" w:rsidRDefault="007D19D6">
      <w:pPr>
        <w:pStyle w:val="ListParagraph"/>
        <w:numPr>
          <w:ilvl w:val="3"/>
          <w:numId w:val="744"/>
        </w:numPr>
        <w:pBdr>
          <w:top w:val="nil"/>
          <w:left w:val="nil"/>
          <w:bottom w:val="nil"/>
          <w:right w:val="nil"/>
          <w:between w:val="nil"/>
          <w:bar w:val="nil"/>
        </w:pBdr>
        <w:spacing w:line="276" w:lineRule="auto"/>
        <w:ind w:left="0" w:firstLine="0"/>
        <w:contextualSpacing w:val="0"/>
        <w:rPr>
          <w:noProof/>
        </w:rPr>
      </w:pPr>
      <w:r>
        <w:rPr>
          <w:noProof/>
        </w:rPr>
        <w:t xml:space="preserve">Personas datu apstrāde, ko </w:t>
      </w:r>
      <w:r>
        <w:rPr>
          <w:noProof/>
        </w:rPr>
        <w:t>veic saņēmēja valsts, ir atļauta vienīgi tiem nolūkiem, kādiem dati ir sniegti saskaņā ar trešās daļas II sadaļu [Apmaiņa ar DNS, pirkstu nospiedumu un transportlīdzekļu reģistrācijas datiem]. Tos var apstrādāt citiem mērķiem vienīgi tad, ja pirms tam saņe</w:t>
      </w:r>
      <w:r>
        <w:rPr>
          <w:noProof/>
        </w:rPr>
        <w:t>mta atļauja no valsts, kas pārvalda datni, un vienīgi saskaņā ar saņēmējas valsts iekšzemes tiesību aktiem. Tādu atļauju var sniegt vienīgi tad, ja datu apstrāde tādiem citiem mērķiem ir atļauta tās valsts iekšzemes tiesību aktos, kas pārvalda attiecīgo da</w:t>
      </w:r>
      <w:r>
        <w:rPr>
          <w:noProof/>
        </w:rPr>
        <w:t>tni.</w:t>
      </w:r>
    </w:p>
    <w:p w:rsidR="003E022D" w:rsidRDefault="007D19D6">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Saskaņā ar LAW.PRUM.8. pantu [Automatizēta DNS profilu meklēšana], LAW.PRUM.9. pantu [Automatizēta DNS profilu salīdzināšana] un LAW.PRUM.12. pantu [Automatizēta daktiloskopisko datu meklēšana] sniegto datu apstrāde, ko veic meklēšanas vai salīdzināša</w:t>
      </w:r>
      <w:r>
        <w:rPr>
          <w:noProof/>
        </w:rPr>
        <w:t>nas valsts, ir atļauta vienīgi tādēļ, lai:</w:t>
      </w:r>
    </w:p>
    <w:p w:rsidR="003E022D" w:rsidRDefault="007D19D6">
      <w:pPr>
        <w:pStyle w:val="ListParagraph"/>
        <w:numPr>
          <w:ilvl w:val="1"/>
          <w:numId w:val="730"/>
        </w:numPr>
        <w:spacing w:line="276" w:lineRule="auto"/>
        <w:ind w:left="567" w:hanging="567"/>
        <w:contextualSpacing w:val="0"/>
        <w:rPr>
          <w:noProof/>
        </w:rPr>
      </w:pPr>
      <w:r>
        <w:rPr>
          <w:noProof/>
        </w:rPr>
        <w:t>konstatētu, vai salīdzinātie DNS profili vai daktiloskopijas dati sakrīt;</w:t>
      </w:r>
    </w:p>
    <w:p w:rsidR="003E022D" w:rsidRDefault="007D19D6">
      <w:pPr>
        <w:pStyle w:val="ListParagraph"/>
        <w:numPr>
          <w:ilvl w:val="1"/>
          <w:numId w:val="730"/>
        </w:numPr>
        <w:spacing w:line="276" w:lineRule="auto"/>
        <w:ind w:left="567" w:hanging="567"/>
        <w:contextualSpacing w:val="0"/>
        <w:rPr>
          <w:noProof/>
        </w:rPr>
      </w:pPr>
      <w:r>
        <w:rPr>
          <w:noProof/>
        </w:rPr>
        <w:t>sagatavotu un iesniegtu policijas vai tiesu iestādes lūgumu pēc juridiskas palīdzības atbilstīgi attiecīgās valsts iekšzemes tiesību aktiem</w:t>
      </w:r>
      <w:r>
        <w:rPr>
          <w:noProof/>
        </w:rPr>
        <w:t>, ja dati sakrīt;</w:t>
      </w:r>
    </w:p>
    <w:p w:rsidR="003E022D" w:rsidRDefault="007D19D6">
      <w:pPr>
        <w:pStyle w:val="ListParagraph"/>
        <w:numPr>
          <w:ilvl w:val="1"/>
          <w:numId w:val="730"/>
        </w:numPr>
        <w:spacing w:line="276" w:lineRule="auto"/>
        <w:ind w:left="567" w:hanging="567"/>
        <w:contextualSpacing w:val="0"/>
        <w:rPr>
          <w:noProof/>
        </w:rPr>
      </w:pPr>
      <w:r>
        <w:rPr>
          <w:noProof/>
        </w:rPr>
        <w:t>veiktu reģistrēšanu šīs nodaļas 19. panta nozīmē.</w:t>
      </w:r>
    </w:p>
    <w:p w:rsidR="003E022D" w:rsidRDefault="007D19D6">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 xml:space="preserve">Valsts, kas pārvalda datni, var apstrādāt tai saskaņā ar LAW.PRUM.8. pantu [Automatizēta DNS profilu meklēšana], LAW.PRUM.9. pantu [Automatizēta DNS profilu salīdzināšana] un LAW.PRUM.12. </w:t>
      </w:r>
      <w:r>
        <w:rPr>
          <w:noProof/>
        </w:rPr>
        <w:t>pantu [Automatizēta daktiloskopisko datu meklēšana] sniegtos vienīgi tad, ja tas vajadzīgs salīdzināšanai, automatizētu atbilžu sniegšanai uz meklēšanu vai reģistrēšanai saskaņā ar šīs nodaļas 19. pantu. Sniegtos datus dzēš uzreiz pēc datu salīdzināšanas v</w:t>
      </w:r>
      <w:r>
        <w:rPr>
          <w:noProof/>
        </w:rPr>
        <w:t>ai automatizētām atbildēm uz meklēšanu, ja vien nav vajadzīga turpmāka datu apstrāde atbilstīgi mērķiem, kas minēti šā panta 2. punkta b) un c) apakšpunktā.</w:t>
      </w:r>
    </w:p>
    <w:p w:rsidR="003E022D" w:rsidRDefault="007D19D6">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Valsts, kas pārvalda datni, var izmantot datus, kas sniegti saskaņā ar LAW.PRUM.15. pantu [Automati</w:t>
      </w:r>
      <w:r>
        <w:rPr>
          <w:noProof/>
        </w:rPr>
        <w:t>zēta transportlīdzekļu reģistrācijas datu meklēšana], vienīgi tad, ja tas vajadzīgs, lai sniegtu automatizētas atbildes uz meklēšanas procedūrās vai lai veiktu datu reģistrēšanu, kā paredzēts šīs nodaļas 19. pantā. Sniegtos datus dzēš uzreiz pēc tam, kad s</w:t>
      </w:r>
      <w:r>
        <w:rPr>
          <w:noProof/>
        </w:rPr>
        <w:t>niegtas automātiskas atbildes uz meklēšanu, ja vien nav vajadzīga turpmāka datu apstrāde atbilstīgi šīs nodaļas 19. pantam. Sniedzot atbildi, valsts, kas meklē, saņemtos datus var izmantot tikai procedūrā, kuras dēļ meklēšanu veica.</w:t>
      </w:r>
    </w:p>
    <w:p w:rsidR="003E022D" w:rsidRDefault="007D19D6">
      <w:pPr>
        <w:pStyle w:val="Article"/>
        <w:rPr>
          <w:b/>
          <w:noProof/>
        </w:rPr>
      </w:pPr>
      <w:r>
        <w:rPr>
          <w:noProof/>
        </w:rPr>
        <w:t>17. pants. Datu precizi</w:t>
      </w:r>
      <w:r>
        <w:rPr>
          <w:noProof/>
        </w:rPr>
        <w:t>tāte, aktualitāte un uzglabāšanas laiks</w:t>
      </w:r>
    </w:p>
    <w:p w:rsidR="003E022D" w:rsidRDefault="007D19D6">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 xml:space="preserve">Valstis nodrošina personas datu precizitāti un aktualitāti. Ja </w:t>
      </w:r>
      <w:r>
        <w:rPr>
          <w:i/>
          <w:noProof/>
        </w:rPr>
        <w:t>ex officio</w:t>
      </w:r>
      <w:r>
        <w:rPr>
          <w:noProof/>
        </w:rPr>
        <w:t xml:space="preserve"> vai no datu subjekta iesniegta paziņojuma izriet, ka ir sniegti nepareizi dati vai ir sniegti dati, kam nevajadzētu būt sniegtiem, par to neka</w:t>
      </w:r>
      <w:r>
        <w:rPr>
          <w:noProof/>
        </w:rPr>
        <w:t>vējoties paziņo saņēmējai valstij. Attiecīgajai(-ām) valstij(-īm) dati jālabo vai jāizdzēš. Turklāt, ja atklāj, ka sniegtie personas dati ir nepareizi, tie jālabo. Ja saņēmējai struktūrai ir iemesls uzskatīt, ka sniegtie dati nav pareizi vai būtu jādzēš, p</w:t>
      </w:r>
      <w:r>
        <w:rPr>
          <w:noProof/>
        </w:rPr>
        <w:t>ar to tūlīt informē sniedzēju struktūru.</w:t>
      </w:r>
    </w:p>
    <w:p w:rsidR="003E022D" w:rsidRDefault="007D19D6">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Datus, kuru precizitāti datu subjekts apstrīd, un tādus datus, kuru precizitāti vai neprecizitāti nevar noteikt, pēc datu subjekta lūguma atzīmē ar karodziņu atbilstīgi attiecīgās valsts iekšzemes tiesību aktiem. Ja</w:t>
      </w:r>
      <w:r>
        <w:rPr>
          <w:noProof/>
        </w:rPr>
        <w:t xml:space="preserve"> karodziņš jau ir, to var noņemt, pamatojoties uz attiecīgās valsts iekšzemes tiesību aktiem un tikai ar datu subjekta atļauju vai balstoties uz kompetentas tiesas vai neatkarīgas datu aizsardzības iestādes lēmumu.</w:t>
      </w:r>
    </w:p>
    <w:p w:rsidR="003E022D" w:rsidRDefault="007D19D6">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 xml:space="preserve">Sniegtos personas datus, kam nevajadzēja </w:t>
      </w:r>
      <w:r>
        <w:rPr>
          <w:noProof/>
        </w:rPr>
        <w:t>tikt sniegtiem vai saņemtiem, izdzēš. Likumīgi sniegtos un saņemtos datus izdzēš:</w:t>
      </w:r>
    </w:p>
    <w:p w:rsidR="003E022D" w:rsidRDefault="007D19D6">
      <w:pPr>
        <w:pStyle w:val="ListParagraph"/>
        <w:numPr>
          <w:ilvl w:val="1"/>
          <w:numId w:val="731"/>
        </w:numPr>
        <w:spacing w:line="276" w:lineRule="auto"/>
        <w:ind w:left="567" w:hanging="567"/>
        <w:contextualSpacing w:val="0"/>
        <w:rPr>
          <w:noProof/>
        </w:rPr>
      </w:pPr>
      <w:r>
        <w:rPr>
          <w:noProof/>
        </w:rPr>
        <w:t xml:space="preserve">ja tie nav vajadzīgi vai vairs nav vajadzīgi mērķim, kādam tie sniegti; ja personas dati ir sniegti bez pieprasījuma, saņēmēja iestāde tūlīt pārbauda, vai tie ir vajadzīgi </w:t>
      </w:r>
      <w:r>
        <w:rPr>
          <w:noProof/>
        </w:rPr>
        <w:t>sniegšanas mērķim;</w:t>
      </w:r>
    </w:p>
    <w:p w:rsidR="003E022D" w:rsidRDefault="007D19D6">
      <w:pPr>
        <w:pStyle w:val="ListParagraph"/>
        <w:numPr>
          <w:ilvl w:val="1"/>
          <w:numId w:val="731"/>
        </w:numPr>
        <w:spacing w:line="276" w:lineRule="auto"/>
        <w:ind w:left="567" w:hanging="567"/>
        <w:contextualSpacing w:val="0"/>
        <w:rPr>
          <w:noProof/>
        </w:rPr>
      </w:pPr>
      <w:r>
        <w:rPr>
          <w:noProof/>
        </w:rPr>
        <w:t>pēc iesniedzējas valsts iekšzemes tiesību aktos minētā datu maksimāli pieļaujamā uzglabāšanas termiņa, ja iesniedzēja iestāde informē saņēmēju iestādi par šo maksimālo termiņu datu sniegšanas laikā.</w:t>
      </w:r>
    </w:p>
    <w:p w:rsidR="003E022D" w:rsidRDefault="007D19D6">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 xml:space="preserve">Ja ir iemesls uzskatīt, ka dzēšana </w:t>
      </w:r>
      <w:r>
        <w:rPr>
          <w:noProof/>
        </w:rPr>
        <w:t>kaitētu datu subjektam, atbilstīgi attiecīgās valsts iekšzemes tiesību aktiem datiem noslēdz piekļuvi, nevis tos dzēš. Datus, kam noslēgta piekļuve, var sniegt vai izmantot tikai mērķim, kura dēļ tos nedzēš.</w:t>
      </w:r>
    </w:p>
    <w:p w:rsidR="003E022D" w:rsidRDefault="007D19D6">
      <w:pPr>
        <w:pStyle w:val="Article"/>
        <w:rPr>
          <w:b/>
          <w:noProof/>
        </w:rPr>
      </w:pPr>
      <w:r>
        <w:rPr>
          <w:noProof/>
        </w:rPr>
        <w:t>18. pants. Tehniski un organizatoriski pasākumi,</w:t>
      </w:r>
      <w:r>
        <w:rPr>
          <w:noProof/>
        </w:rPr>
        <w:t xml:space="preserve"> lai nodrošinātu datu aizsardzību un datu drošību</w:t>
      </w:r>
    </w:p>
    <w:p w:rsidR="003E022D" w:rsidRDefault="007D19D6">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rPr>
      </w:pPr>
      <w:r>
        <w:rPr>
          <w:noProof/>
        </w:rPr>
        <w:t>Iesniedzējas un saņēmējas iestādes veic pasākumus, lai nodrošinātu, ka personas datus efektīvi aizsargā no nejaušas vai neatļautas iznīcināšanas, nejaušas zaudēšanas, neatļautas piekļuves, neatļautas vai ne</w:t>
      </w:r>
      <w:r>
        <w:rPr>
          <w:noProof/>
        </w:rPr>
        <w:t>jaušas pārveidošanas un neatļautas izpaušanas.</w:t>
      </w:r>
    </w:p>
    <w:p w:rsidR="003E022D" w:rsidRDefault="007D19D6">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rPr>
      </w:pPr>
      <w:r>
        <w:rPr>
          <w:noProof/>
        </w:rPr>
        <w:t>Automātiskas meklēšanas procedūras raksturlielumu tehnisko specifikāciju regulē īstenošanas pasākumos, kas minēti LAW.PRUM.17. pantā [Īstenošanas pasākumi] un kas garantē, ka:</w:t>
      </w:r>
    </w:p>
    <w:p w:rsidR="003E022D" w:rsidRDefault="007D19D6">
      <w:pPr>
        <w:pStyle w:val="ListParagraph"/>
        <w:numPr>
          <w:ilvl w:val="1"/>
          <w:numId w:val="732"/>
        </w:numPr>
        <w:spacing w:line="276" w:lineRule="auto"/>
        <w:ind w:left="567" w:hanging="567"/>
        <w:contextualSpacing w:val="0"/>
        <w:rPr>
          <w:noProof/>
        </w:rPr>
      </w:pPr>
      <w:r>
        <w:rPr>
          <w:noProof/>
        </w:rPr>
        <w:t>ir veikti moderni tehniski pasāku</w:t>
      </w:r>
      <w:r>
        <w:rPr>
          <w:noProof/>
        </w:rPr>
        <w:t>mi, lai nodrošinātu datu aizsardzību un datu drošību, jo īpaši – datu konfidencialitāti un integritāti;</w:t>
      </w:r>
    </w:p>
    <w:p w:rsidR="003E022D" w:rsidRDefault="007D19D6">
      <w:pPr>
        <w:pStyle w:val="ListParagraph"/>
        <w:numPr>
          <w:ilvl w:val="1"/>
          <w:numId w:val="732"/>
        </w:numPr>
        <w:spacing w:line="276" w:lineRule="auto"/>
        <w:ind w:left="567" w:hanging="567"/>
        <w:contextualSpacing w:val="0"/>
        <w:rPr>
          <w:noProof/>
        </w:rPr>
      </w:pPr>
      <w:r>
        <w:rPr>
          <w:noProof/>
        </w:rPr>
        <w:t>izmantojot vispārēji pieejamus tīklus, lieto kompetentu iestāžu atzītas šifrēšanas un atšifrēšanas procedūras; un</w:t>
      </w:r>
    </w:p>
    <w:p w:rsidR="003E022D" w:rsidRDefault="007D19D6">
      <w:pPr>
        <w:pStyle w:val="ListParagraph"/>
        <w:numPr>
          <w:ilvl w:val="1"/>
          <w:numId w:val="732"/>
        </w:numPr>
        <w:spacing w:line="276" w:lineRule="auto"/>
        <w:ind w:left="567" w:hanging="567"/>
        <w:contextualSpacing w:val="0"/>
        <w:rPr>
          <w:noProof/>
        </w:rPr>
      </w:pPr>
      <w:r>
        <w:rPr>
          <w:noProof/>
        </w:rPr>
        <w:t xml:space="preserve">var pārbaudīt meklēšanas pieļaujamību </w:t>
      </w:r>
      <w:r>
        <w:rPr>
          <w:noProof/>
        </w:rPr>
        <w:t>saskaņā ar šīs nodaļas 19. panta 2., 5. un 6. punktu.</w:t>
      </w:r>
    </w:p>
    <w:p w:rsidR="003E022D" w:rsidRDefault="007D19D6">
      <w:pPr>
        <w:pStyle w:val="Article"/>
        <w:rPr>
          <w:b/>
          <w:noProof/>
        </w:rPr>
      </w:pPr>
      <w:r>
        <w:rPr>
          <w:noProof/>
        </w:rPr>
        <w:t>19. pants. Dokumentēšana un reģistrēšana: īpaši noteikumi, ar ko reglamentē datu automātisku un neautomātisku sniegšanu</w:t>
      </w:r>
    </w:p>
    <w:p w:rsidR="003E022D" w:rsidRDefault="007D19D6">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 xml:space="preserve">Katra valsts garantē, ka katra neautomātiska personas datu sniegšana un katra </w:t>
      </w:r>
      <w:r>
        <w:rPr>
          <w:noProof/>
        </w:rPr>
        <w:t>neautomātiska saņemšana struktūrā, kas pārvalda datni, un struktūrā, kas meklē, ir dokumentēta, lai pārbaudītu sniegšanas pieļaujamību. Dokumentācijā ietver šādu informāciju:</w:t>
      </w:r>
    </w:p>
    <w:p w:rsidR="003E022D" w:rsidRDefault="007D19D6">
      <w:pPr>
        <w:pStyle w:val="ListParagraph"/>
        <w:numPr>
          <w:ilvl w:val="1"/>
          <w:numId w:val="733"/>
        </w:numPr>
        <w:spacing w:line="276" w:lineRule="auto"/>
        <w:ind w:left="567" w:hanging="567"/>
        <w:contextualSpacing w:val="0"/>
        <w:rPr>
          <w:noProof/>
        </w:rPr>
      </w:pPr>
      <w:r>
        <w:rPr>
          <w:noProof/>
        </w:rPr>
        <w:t>sniegšanas iemesls;</w:t>
      </w:r>
    </w:p>
    <w:p w:rsidR="003E022D" w:rsidRDefault="007D19D6">
      <w:pPr>
        <w:pStyle w:val="ListParagraph"/>
        <w:numPr>
          <w:ilvl w:val="1"/>
          <w:numId w:val="733"/>
        </w:numPr>
        <w:spacing w:line="276" w:lineRule="auto"/>
        <w:ind w:left="567" w:hanging="567"/>
        <w:contextualSpacing w:val="0"/>
        <w:rPr>
          <w:noProof/>
        </w:rPr>
      </w:pPr>
      <w:r>
        <w:rPr>
          <w:noProof/>
        </w:rPr>
        <w:t>sniegtie dati;</w:t>
      </w:r>
    </w:p>
    <w:p w:rsidR="003E022D" w:rsidRDefault="007D19D6">
      <w:pPr>
        <w:pStyle w:val="ListParagraph"/>
        <w:numPr>
          <w:ilvl w:val="1"/>
          <w:numId w:val="733"/>
        </w:numPr>
        <w:spacing w:line="276" w:lineRule="auto"/>
        <w:ind w:left="567" w:hanging="567"/>
        <w:contextualSpacing w:val="0"/>
        <w:rPr>
          <w:noProof/>
        </w:rPr>
      </w:pPr>
      <w:r>
        <w:rPr>
          <w:noProof/>
        </w:rPr>
        <w:t>sniegšanas datums; un</w:t>
      </w:r>
    </w:p>
    <w:p w:rsidR="003E022D" w:rsidRDefault="007D19D6">
      <w:pPr>
        <w:pStyle w:val="ListParagraph"/>
        <w:numPr>
          <w:ilvl w:val="1"/>
          <w:numId w:val="733"/>
        </w:numPr>
        <w:spacing w:line="276" w:lineRule="auto"/>
        <w:ind w:left="567" w:hanging="567"/>
        <w:contextualSpacing w:val="0"/>
        <w:rPr>
          <w:noProof/>
        </w:rPr>
      </w:pPr>
      <w:r>
        <w:rPr>
          <w:noProof/>
        </w:rPr>
        <w:t>struktūras, kas meklē, u</w:t>
      </w:r>
      <w:r>
        <w:rPr>
          <w:noProof/>
        </w:rPr>
        <w:t>n struktūras, kura pārvalda attiecīgo datni, nosaukums vai atsauces kods.</w:t>
      </w:r>
    </w:p>
    <w:p w:rsidR="003E022D" w:rsidRDefault="007D19D6">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Datu automatizētai meklēšanai, pamatojoties uz LAW.PRUM.8. pantu [Automatizēta DNS profilu meklēšana], LAW.PRUM.12. pantu [Automatizēta daktiloskopisko datu meklēšana] un LAW.PRUM.15</w:t>
      </w:r>
      <w:r>
        <w:rPr>
          <w:noProof/>
        </w:rPr>
        <w:t>. pantu [Automatizēta transportlīdzekļu reģistrācijas datu meklēšana], un automatizētai salīdzināšanai saskaņā ar LAW.PRUM.9. pantu [Automatizēta DNS profilu salīdzināšana] piemēro šādus noteikumus:</w:t>
      </w:r>
    </w:p>
    <w:p w:rsidR="003E022D" w:rsidRDefault="007D19D6">
      <w:pPr>
        <w:pStyle w:val="ListParagraph"/>
        <w:numPr>
          <w:ilvl w:val="1"/>
          <w:numId w:val="734"/>
        </w:numPr>
        <w:spacing w:line="276" w:lineRule="auto"/>
        <w:ind w:left="567" w:hanging="567"/>
        <w:contextualSpacing w:val="0"/>
        <w:rPr>
          <w:noProof/>
        </w:rPr>
      </w:pPr>
      <w:r>
        <w:rPr>
          <w:noProof/>
        </w:rPr>
        <w:t>tikai īpaši pilnvarotas valsts kontaktpunktu amatpersonas</w:t>
      </w:r>
      <w:r>
        <w:rPr>
          <w:noProof/>
        </w:rPr>
        <w:t xml:space="preserve"> var veikt automatizētu meklēšanu vai salīdzināšanu; to amatpersonu saraksts, kas ir pilnvarotas veikt automatizētu meklēšanu vai salīdzināšanu, pēc pieprasījuma ir pieejams uzraudzības iestādēm, kas minētas 6. punktā, un pārējām valstīm;</w:t>
      </w:r>
    </w:p>
    <w:p w:rsidR="003E022D" w:rsidRDefault="007D19D6">
      <w:pPr>
        <w:pStyle w:val="ListParagraph"/>
        <w:numPr>
          <w:ilvl w:val="1"/>
          <w:numId w:val="734"/>
        </w:numPr>
        <w:spacing w:line="276" w:lineRule="auto"/>
        <w:ind w:left="567" w:hanging="567"/>
        <w:contextualSpacing w:val="0"/>
        <w:rPr>
          <w:noProof/>
        </w:rPr>
      </w:pPr>
      <w:r>
        <w:rPr>
          <w:noProof/>
        </w:rPr>
        <w:t>katra valsts nodr</w:t>
      </w:r>
      <w:r>
        <w:rPr>
          <w:noProof/>
        </w:rPr>
        <w:t>ošina, lai struktūra, kas pārvalda datni, un struktūra, kura meklē, reģistrētu katru personas datu sniegšanu un saņemšanu, tostarp paziņojumu par to, vai pastāv atbilstība. reģistrācijas ierakstā iekļauj šādu informāciju:</w:t>
      </w:r>
    </w:p>
    <w:p w:rsidR="003E022D" w:rsidRDefault="007D19D6">
      <w:pPr>
        <w:pStyle w:val="ListParagraph"/>
        <w:numPr>
          <w:ilvl w:val="2"/>
          <w:numId w:val="735"/>
        </w:numPr>
        <w:spacing w:line="276" w:lineRule="auto"/>
        <w:ind w:left="1134" w:hanging="567"/>
        <w:contextualSpacing w:val="0"/>
        <w:rPr>
          <w:noProof/>
        </w:rPr>
      </w:pPr>
      <w:r>
        <w:rPr>
          <w:noProof/>
        </w:rPr>
        <w:t>sniegtie dati;</w:t>
      </w:r>
    </w:p>
    <w:p w:rsidR="003E022D" w:rsidRDefault="007D19D6">
      <w:pPr>
        <w:pStyle w:val="ListParagraph"/>
        <w:numPr>
          <w:ilvl w:val="2"/>
          <w:numId w:val="735"/>
        </w:numPr>
        <w:spacing w:line="276" w:lineRule="auto"/>
        <w:ind w:left="1134" w:hanging="567"/>
        <w:contextualSpacing w:val="0"/>
        <w:rPr>
          <w:noProof/>
        </w:rPr>
      </w:pPr>
      <w:r>
        <w:rPr>
          <w:noProof/>
        </w:rPr>
        <w:t>sniegšanas datums u</w:t>
      </w:r>
      <w:r>
        <w:rPr>
          <w:noProof/>
        </w:rPr>
        <w:t>n precīzs laiks; un</w:t>
      </w:r>
    </w:p>
    <w:p w:rsidR="003E022D" w:rsidRDefault="007D19D6">
      <w:pPr>
        <w:pStyle w:val="ListParagraph"/>
        <w:numPr>
          <w:ilvl w:val="2"/>
          <w:numId w:val="735"/>
        </w:numPr>
        <w:spacing w:line="276" w:lineRule="auto"/>
        <w:ind w:left="1134" w:hanging="567"/>
        <w:contextualSpacing w:val="0"/>
        <w:rPr>
          <w:noProof/>
        </w:rPr>
      </w:pPr>
      <w:r>
        <w:rPr>
          <w:noProof/>
        </w:rPr>
        <w:t>struktūras, kas meklē, un struktūras, kura pārvalda attiecīgo datni, nosaukums vai atsauces kods.</w:t>
      </w:r>
    </w:p>
    <w:p w:rsidR="003E022D" w:rsidRDefault="007D19D6">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Iestāde, kas meklē, reģistrē arī iemeslu, kādēļ veic meklēšanu vai sniegšanu, kā arī tās amatpersonas, kura veica meklēšanu, un tās amatpe</w:t>
      </w:r>
      <w:r>
        <w:rPr>
          <w:noProof/>
        </w:rPr>
        <w:t>rsonas, kura lika datus meklēt vai sniegt, identifikatoru.</w:t>
      </w:r>
    </w:p>
    <w:p w:rsidR="003E022D" w:rsidRDefault="007D19D6">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Reģistrācijas struktūra pēc pieprasījuma tūlīt sniedz reģistrētos datus atbilstīgās valsts kompetentajām datu aizsardzības iestādēm – vēlākais četras nedēļas pēc lūguma saņemšanas. Reģistrētos datu</w:t>
      </w:r>
      <w:r>
        <w:rPr>
          <w:noProof/>
        </w:rPr>
        <w:t>s drīkst izmantot tikai šādiem mērķiem:</w:t>
      </w:r>
    </w:p>
    <w:p w:rsidR="003E022D" w:rsidRDefault="007D19D6">
      <w:pPr>
        <w:pStyle w:val="ListParagraph"/>
        <w:numPr>
          <w:ilvl w:val="1"/>
          <w:numId w:val="736"/>
        </w:numPr>
        <w:spacing w:line="276" w:lineRule="auto"/>
        <w:ind w:left="567" w:hanging="567"/>
        <w:contextualSpacing w:val="0"/>
        <w:rPr>
          <w:noProof/>
        </w:rPr>
      </w:pPr>
      <w:r>
        <w:rPr>
          <w:noProof/>
        </w:rPr>
        <w:t>datu aizsardzības uzraudzībai;</w:t>
      </w:r>
    </w:p>
    <w:p w:rsidR="003E022D" w:rsidRDefault="007D19D6">
      <w:pPr>
        <w:pStyle w:val="ListParagraph"/>
        <w:numPr>
          <w:ilvl w:val="1"/>
          <w:numId w:val="736"/>
        </w:numPr>
        <w:spacing w:line="276" w:lineRule="auto"/>
        <w:ind w:left="567" w:hanging="567"/>
        <w:contextualSpacing w:val="0"/>
        <w:rPr>
          <w:noProof/>
        </w:rPr>
      </w:pPr>
      <w:r>
        <w:rPr>
          <w:noProof/>
        </w:rPr>
        <w:t>datu drošības nodrošināšanai.</w:t>
      </w:r>
    </w:p>
    <w:p w:rsidR="003E022D" w:rsidRDefault="007D19D6">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 xml:space="preserve">Izmantojot piemērotus pasākumus, reģistrētos datus sargā no neatbilstīgas izmantošanas un citādi nepareizas izmantošanas un glabā divus gadus. Pēc </w:t>
      </w:r>
      <w:r>
        <w:rPr>
          <w:noProof/>
        </w:rPr>
        <w:t>glabāšanas laikposma reģistrētos datus tūlīt izdzēš.</w:t>
      </w:r>
    </w:p>
    <w:p w:rsidR="003E022D" w:rsidRDefault="007D19D6">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Attiecīgo valstu neatkarīgās datu aizsardzības iestādes vai attiecīgā gadījumā tiesu iestādes ir atbildīgas par juridiskām pārbaudēm attiecībā uz personas datu sniegšanu vai saņemšanu. Ikviens var lūgt š</w:t>
      </w:r>
      <w:r>
        <w:rPr>
          <w:noProof/>
        </w:rPr>
        <w:t xml:space="preserve">īm iestādēm pārbaudīt datu apstrādes likumību attiecībā uz savu personu atbilstīgi attiecīgās valsts iekšzemes tiesību aktiem. Neatkarīgi no šādiem lūgumiem minētās iestādes un struktūras, kas atbild par reģistrāciju, pamatojoties uz iesaistītajām lietām, </w:t>
      </w:r>
      <w:r>
        <w:rPr>
          <w:noProof/>
        </w:rPr>
        <w:t>izlases kārtā veic pārbaudes par sniegšanas likumīgumu.</w:t>
      </w:r>
    </w:p>
    <w:p w:rsidR="003E022D" w:rsidRDefault="007D19D6">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Neatkarīgās datu aizsardzības iestādes tādus pārbaužu rezultātus glabā 18 mēnešus, lai varētu veikt pārbaudes. Pēc šā laikposma tos tūlīt izdzēš. Citas valsts neatkarīgā datu aizsardzības iestāde katr</w:t>
      </w:r>
      <w:r>
        <w:rPr>
          <w:noProof/>
        </w:rPr>
        <w:t>ai datu aizsardzības struktūrai var lūgt īstenot tās pilnvaras atbilstīgi attiecīgās valsts iekšzemes tiesību aktiem. Valstu neatkarīgās datu aizsardzības iestādes veic pārbaudes, kas vajadzīgas, lai nodrošinātu savstarpēju sadarbību, jo īpaši – apmainotie</w:t>
      </w:r>
      <w:r>
        <w:rPr>
          <w:noProof/>
        </w:rPr>
        <w:t>s ar atbilstīgu informāciju.</w:t>
      </w:r>
    </w:p>
    <w:p w:rsidR="003E022D" w:rsidRDefault="007D19D6">
      <w:pPr>
        <w:pStyle w:val="Article"/>
        <w:rPr>
          <w:b/>
          <w:noProof/>
        </w:rPr>
      </w:pPr>
      <w:r>
        <w:rPr>
          <w:noProof/>
        </w:rPr>
        <w:t>20. pants. Datu subjektu tiesības uz kompensāciju par nodarītu kaitējumu</w:t>
      </w:r>
    </w:p>
    <w:p w:rsidR="003E022D" w:rsidRDefault="007D19D6">
      <w:pPr>
        <w:rPr>
          <w:rFonts w:cs="Calibri"/>
          <w:noProof/>
        </w:rPr>
      </w:pPr>
      <w:r>
        <w:rPr>
          <w:noProof/>
        </w:rPr>
        <w:t>Ja vienas valsts struktūra ir sniegusi personas datus saskaņā ar trešās daļas II sadaļu [Apmaiņa ar DNS, pirkstu nospiedumu un transportlīdzekļu reģistrāc</w:t>
      </w:r>
      <w:r>
        <w:rPr>
          <w:noProof/>
        </w:rPr>
        <w:t>ijas datiem], citas valsts saņēmēja iestāde nevar izmantot sniegto datu neprecizitāti par iemeslu, lai saskaņā ar attiecīgās valsts iekšzemes tiesību aktiem izvairītos no atbildības pret cietušo pusi. Ja saņēmējai iestādei ir piespriesta kompensācija par n</w:t>
      </w:r>
      <w:r>
        <w:rPr>
          <w:noProof/>
        </w:rPr>
        <w:t>odarītu kaitējumu sakarā ar neprecīzi sniegtu datu izmantošanu, iestāde, kas datus sniegusi, pilnībā atmaksā saņēmējai iestādei summu, kas izmaksāta kā kompensācija par nodarītu kaitējumu.</w:t>
      </w:r>
    </w:p>
    <w:p w:rsidR="003E022D" w:rsidRDefault="007D19D6">
      <w:pPr>
        <w:pStyle w:val="Article"/>
        <w:rPr>
          <w:b/>
          <w:noProof/>
        </w:rPr>
      </w:pPr>
      <w:r>
        <w:rPr>
          <w:noProof/>
        </w:rPr>
        <w:t>21. pants. Valstu pieprasītā informācija</w:t>
      </w:r>
    </w:p>
    <w:p w:rsidR="003E022D" w:rsidRDefault="007D19D6">
      <w:pPr>
        <w:rPr>
          <w:rFonts w:cs="Calibri"/>
          <w:noProof/>
        </w:rPr>
      </w:pPr>
      <w:r>
        <w:rPr>
          <w:noProof/>
        </w:rPr>
        <w:t>Saņēmēja valsts pēc piepra</w:t>
      </w:r>
      <w:r>
        <w:rPr>
          <w:noProof/>
        </w:rPr>
        <w:t>sījuma informē sniedzēju valsti par sniegto datu apstrādi un gūtajiem rezultātiem.</w:t>
      </w:r>
    </w:p>
    <w:p w:rsidR="003E022D" w:rsidRDefault="007D19D6">
      <w:pPr>
        <w:pStyle w:val="Article"/>
        <w:rPr>
          <w:b/>
          <w:noProof/>
        </w:rPr>
      </w:pPr>
      <w:r>
        <w:rPr>
          <w:noProof/>
        </w:rPr>
        <w:t>22. pants. Deklarācijas un norīkojumi</w:t>
      </w:r>
    </w:p>
    <w:p w:rsidR="003E022D" w:rsidRDefault="007D19D6">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 xml:space="preserve">Apvienotā Karaliste saskaņā ar LAW.PRUM 7. panta [Iekšzemes DNS analīzes datņu izveide] 3. punktu  un šīs nodaļas 12. panta 1. punktu, </w:t>
      </w:r>
      <w:r>
        <w:rPr>
          <w:noProof/>
        </w:rPr>
        <w:t>kā arī saskaņā ar norīkojumiem saskaņā ar LAW.PRUM 13. panta [Valsts kontaktpunkti] 1. punktu un LAW.PRUM 15. panta [Automatizēta transportlīdzekļu reģistrācijas datu meklēšana] 3. punktu  paziņo savas deklarācijas Specializētajai komitejai tiesībaizsardzī</w:t>
      </w:r>
      <w:r>
        <w:rPr>
          <w:noProof/>
        </w:rPr>
        <w:t>bas un tiesu iestāžu sadarbības jautājumos.</w:t>
      </w:r>
    </w:p>
    <w:p w:rsidR="003E022D" w:rsidRDefault="007D19D6">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Faktus, ko Apvienotā Karaliste darījusi zināmus šajās deklarācijās un ko darījušas zināmus dalībvalstis saskaņā ar LAW.PRUM 17. panta [Īstenošanas pasākumi] 3. punktu , iekļauj rokasgrāmatā, kas minēta Lēmuma 200</w:t>
      </w:r>
      <w:r>
        <w:rPr>
          <w:noProof/>
        </w:rPr>
        <w:t>8/616/TI 18. panta 2. punktā.</w:t>
      </w:r>
    </w:p>
    <w:p w:rsidR="003E022D" w:rsidRDefault="007D19D6">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Valstis jebkurā laikā var grozīt saskaņā ar 1. punktu iesniegtās deklarācijas un norīkojumus, iesniedzot par to paziņojumu Specializētajai komitejai tiesībaizsardzības un tiesu iestāžu sadarbības jautājumos. Specializētā komit</w:t>
      </w:r>
      <w:r>
        <w:rPr>
          <w:noProof/>
        </w:rPr>
        <w:t>eja tiesībaizsardzības un tiesu iestāžu sadarbības jautājumos visas saņemtās deklarācijas pārsūta Padomes Ģenerālsekretariātam.</w:t>
      </w:r>
    </w:p>
    <w:p w:rsidR="003E022D" w:rsidRDefault="007D19D6">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Padomes Ģenerālsekretariāts par jebkādām izmaiņām 2. punktā minētajā rokasgrāmatā paziņo Specializētajai komitejai tiesībaizsard</w:t>
      </w:r>
      <w:r>
        <w:rPr>
          <w:noProof/>
        </w:rPr>
        <w:t xml:space="preserve">zības un tiesu iestāžu sadarbības jautājumos. </w:t>
      </w:r>
    </w:p>
    <w:p w:rsidR="003E022D" w:rsidRDefault="007D19D6">
      <w:pPr>
        <w:pStyle w:val="Article"/>
        <w:rPr>
          <w:b/>
          <w:noProof/>
        </w:rPr>
      </w:pPr>
      <w:r>
        <w:rPr>
          <w:noProof/>
        </w:rPr>
        <w:t>23. pants. Lēmumu sagatavošana, kā minēts LAW.PRUM.18. pantā [</w:t>
      </w:r>
      <w:r>
        <w:rPr>
          <w:i/>
          <w:iCs/>
          <w:noProof/>
        </w:rPr>
        <w:t>Ex ante</w:t>
      </w:r>
      <w:r>
        <w:rPr>
          <w:noProof/>
        </w:rPr>
        <w:t xml:space="preserve"> izvērtēšana]</w:t>
      </w:r>
    </w:p>
    <w:p w:rsidR="003E022D" w:rsidRDefault="007D19D6">
      <w:pPr>
        <w:pStyle w:val="ListParagraph"/>
        <w:numPr>
          <w:ilvl w:val="3"/>
          <w:numId w:val="749"/>
        </w:numPr>
        <w:pBdr>
          <w:top w:val="nil"/>
          <w:left w:val="nil"/>
          <w:bottom w:val="nil"/>
          <w:right w:val="nil"/>
          <w:between w:val="nil"/>
          <w:bar w:val="nil"/>
        </w:pBdr>
        <w:spacing w:line="276" w:lineRule="auto"/>
        <w:ind w:left="0" w:firstLine="0"/>
        <w:contextualSpacing w:val="0"/>
        <w:rPr>
          <w:rFonts w:cs="Calibri"/>
          <w:noProof/>
        </w:rPr>
      </w:pPr>
      <w:r>
        <w:rPr>
          <w:noProof/>
        </w:rPr>
        <w:t>Padome pieņem lēmumu, kā minēts LAW.PRUM.18. pantā [Ex ante izvērtēšana], pamatojoties uz novērtējuma ziņojumu, ko izstrādā ar</w:t>
      </w:r>
      <w:r>
        <w:rPr>
          <w:noProof/>
        </w:rPr>
        <w:t xml:space="preserve"> anketas palīdzību.</w:t>
      </w:r>
    </w:p>
    <w:p w:rsidR="003E022D" w:rsidRDefault="007D19D6">
      <w:pPr>
        <w:pStyle w:val="ListParagraph"/>
        <w:numPr>
          <w:ilvl w:val="3"/>
          <w:numId w:val="749"/>
        </w:numPr>
        <w:pBdr>
          <w:top w:val="nil"/>
          <w:left w:val="nil"/>
          <w:bottom w:val="nil"/>
          <w:right w:val="nil"/>
          <w:between w:val="nil"/>
          <w:bar w:val="nil"/>
        </w:pBdr>
        <w:spacing w:line="276" w:lineRule="auto"/>
        <w:ind w:left="0" w:firstLine="0"/>
        <w:contextualSpacing w:val="0"/>
        <w:rPr>
          <w:noProof/>
        </w:rPr>
      </w:pPr>
      <w:r>
        <w:rPr>
          <w:noProof/>
        </w:rPr>
        <w:t xml:space="preserve">Attiecībā uz automatizētu datu apmaiņu saskaņā ar trešās daļas II sadaļu [Apmaiņa ar DNS, pirkstu nospiedumu un transportlīdzekļu reģistrācijas datiem] novērtējuma ziņojuma pamatā ir arī novērtējuma inspekcija un izmēģinājuma darbības, </w:t>
      </w:r>
      <w:r>
        <w:rPr>
          <w:noProof/>
        </w:rPr>
        <w:t xml:space="preserve">ko vajadzības gadījumā veic, kad Apvienotā Karaliste ir informējusi Specializēto komiteju tiesībaizsardzības un tiesu iestāžu sadarbības jautājumos, ka tā ir īstenojusi pienākumus, kas tai uzlikti saskaņā ar trešās daļas II sadaļu [Apmaiņa ar DNS, pirkstu </w:t>
      </w:r>
      <w:r>
        <w:rPr>
          <w:noProof/>
        </w:rPr>
        <w:t>nospiedumu un transportlīdzekļu reģistrācijas datiem], un iesniedz šīs nodaļas 22. pantā paredzētās deklarācijas. Sīkāki šīs procedūras nosacījumi ir izklāstīti šā pielikuma 4. nodaļā.</w:t>
      </w:r>
    </w:p>
    <w:p w:rsidR="003E022D" w:rsidRDefault="007D19D6">
      <w:pPr>
        <w:pStyle w:val="Article"/>
        <w:rPr>
          <w:b/>
          <w:noProof/>
        </w:rPr>
      </w:pPr>
      <w:r>
        <w:rPr>
          <w:noProof/>
        </w:rPr>
        <w:t>24. pants. Statistika un ziņošana</w:t>
      </w:r>
    </w:p>
    <w:p w:rsidR="003E022D" w:rsidRDefault="007D19D6">
      <w:pPr>
        <w:pStyle w:val="ListParagraph"/>
        <w:numPr>
          <w:ilvl w:val="3"/>
          <w:numId w:val="750"/>
        </w:numPr>
        <w:pBdr>
          <w:top w:val="nil"/>
          <w:left w:val="nil"/>
          <w:bottom w:val="nil"/>
          <w:right w:val="nil"/>
          <w:between w:val="nil"/>
          <w:bar w:val="nil"/>
        </w:pBdr>
        <w:spacing w:line="276" w:lineRule="auto"/>
        <w:ind w:left="0" w:firstLine="0"/>
        <w:contextualSpacing w:val="0"/>
        <w:rPr>
          <w:noProof/>
        </w:rPr>
      </w:pPr>
      <w:r>
        <w:rPr>
          <w:noProof/>
        </w:rPr>
        <w:t xml:space="preserve">Saskaņā ar trešās daļas II sadaļu </w:t>
      </w:r>
      <w:r>
        <w:rPr>
          <w:noProof/>
        </w:rPr>
        <w:t>[Apmaiņa ar DNS, pirkstu nospiedumu un transportlīdzekļu reģistrācijas datiem] regulāri tiek veikts datu apmaiņas administratīvās, tehniskās un finansiālās piemērošanas izvērtējums. Izvērtējumu veic attiecībā uz tām datu kategorijām, par kurām starp attiec</w:t>
      </w:r>
      <w:r>
        <w:rPr>
          <w:noProof/>
        </w:rPr>
        <w:t>īgajām valstīm ir sākta datu apmaiņa. Izvērtējumu pamatā ir attiecīgo valstu ziņojumi.</w:t>
      </w:r>
    </w:p>
    <w:p w:rsidR="003E022D" w:rsidRDefault="007D19D6">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Katra valsts apkopo statistiku par automatizētas datu apmaiņas rezultātiem. Lai nodrošinātu iespēju statistiku salīdzināt, attiecīgā Padomes darba grupa izstrādās statis</w:t>
      </w:r>
      <w:r>
        <w:rPr>
          <w:noProof/>
        </w:rPr>
        <w:t>tikas modeli. Šo statistiku ik gadus nosūtīs Specializētajai komitejai tiesībaizsardzības un tiesu iestāžu sadarbības jautājumos.</w:t>
      </w:r>
    </w:p>
    <w:p w:rsidR="003E022D" w:rsidRDefault="007D19D6">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 xml:space="preserve">Turklāt valstīm lūgs regulāri, ne biežāk kā reizi gadā iesniegt papildu informāciju par automatizētās datu apmaiņas </w:t>
      </w:r>
      <w:r>
        <w:rPr>
          <w:noProof/>
        </w:rPr>
        <w:t>administratīvu, tehnisku un finansiālu īstenošanu, lai informāciju analizētu un izmantotu procesa uzlabošanai.</w:t>
      </w:r>
    </w:p>
    <w:p w:rsidR="003E022D" w:rsidRDefault="007D19D6">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Statistiku un ziņošanu, ko dalībvalstis veikušas saskaņā ar Padomes Lēmumiem 2008/615/TI un 2008/616/TI, piemēro saistībā ar šo pantu.</w:t>
      </w:r>
    </w:p>
    <w:p w:rsidR="003E022D" w:rsidRDefault="007D19D6">
      <w:pPr>
        <w:pStyle w:val="Chapter"/>
        <w:rPr>
          <w:noProof/>
        </w:rPr>
      </w:pPr>
      <w:r>
        <w:rPr>
          <w:noProof/>
        </w:rPr>
        <w:t>1. NODAĻA.</w:t>
      </w:r>
      <w:r>
        <w:rPr>
          <w:noProof/>
        </w:rPr>
        <w:t xml:space="preserve"> DNS datu apmaiņa</w:t>
      </w:r>
    </w:p>
    <w:p w:rsidR="003E022D" w:rsidRDefault="007D19D6">
      <w:pPr>
        <w:spacing w:line="276" w:lineRule="auto"/>
        <w:rPr>
          <w:noProof/>
        </w:rPr>
      </w:pPr>
      <w:r>
        <w:rPr>
          <w:noProof/>
        </w:rPr>
        <w:t>1.</w:t>
      </w:r>
      <w:r>
        <w:rPr>
          <w:noProof/>
        </w:rPr>
        <w:tab/>
      </w:r>
      <w:r>
        <w:rPr>
          <w:noProof/>
        </w:rPr>
        <w:tab/>
        <w:t>Kriminālistikas jautājumi, sakritības noteikumi un algoritmi saistībā ar DNS</w:t>
      </w:r>
    </w:p>
    <w:p w:rsidR="003E022D" w:rsidRDefault="007D19D6">
      <w:pPr>
        <w:spacing w:line="276" w:lineRule="auto"/>
        <w:rPr>
          <w:noProof/>
        </w:rPr>
      </w:pPr>
      <w:r>
        <w:rPr>
          <w:noProof/>
        </w:rPr>
        <w:t>1.1.</w:t>
      </w:r>
      <w:r>
        <w:rPr>
          <w:noProof/>
        </w:rPr>
        <w:tab/>
        <w:t>DNS profilu pazīmes</w:t>
      </w:r>
    </w:p>
    <w:p w:rsidR="003E022D" w:rsidRDefault="007D19D6">
      <w:pPr>
        <w:rPr>
          <w:noProof/>
        </w:rPr>
      </w:pPr>
      <w:r>
        <w:rPr>
          <w:noProof/>
        </w:rPr>
        <w:t>DNS profilā var būt 24 ciparu pāri, kas atbilst 24 lokusu alēlēm, ko izmanto arī Interpola DNS procedūrās. Lokusu (loci) nosaukumi i</w:t>
      </w:r>
      <w:r>
        <w:rPr>
          <w:noProof/>
        </w:rPr>
        <w:t>r doti šajā tabulā:</w:t>
      </w:r>
    </w:p>
    <w:tbl>
      <w:tblPr>
        <w:tblW w:w="0" w:type="auto"/>
        <w:tblLayout w:type="fixed"/>
        <w:tblLook w:val="0000" w:firstRow="0" w:lastRow="0" w:firstColumn="0" w:lastColumn="0" w:noHBand="0" w:noVBand="0"/>
      </w:tblPr>
      <w:tblGrid>
        <w:gridCol w:w="1207"/>
        <w:gridCol w:w="1115"/>
        <w:gridCol w:w="1114"/>
        <w:gridCol w:w="1207"/>
        <w:gridCol w:w="1114"/>
        <w:gridCol w:w="1208"/>
        <w:gridCol w:w="1114"/>
        <w:gridCol w:w="1207"/>
      </w:tblGrid>
      <w:tr w:rsidR="003E022D">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VWA</w:t>
            </w:r>
          </w:p>
        </w:tc>
        <w:tc>
          <w:tcPr>
            <w:tcW w:w="111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TH01</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D21S11</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FGA</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D8S1179</w:t>
            </w:r>
          </w:p>
        </w:tc>
        <w:tc>
          <w:tcPr>
            <w:tcW w:w="12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D3S1358</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D18S51</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Amelogenin</w:t>
            </w:r>
          </w:p>
        </w:tc>
      </w:tr>
      <w:tr w:rsidR="003E022D">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TPOX</w:t>
            </w:r>
          </w:p>
        </w:tc>
        <w:tc>
          <w:tcPr>
            <w:tcW w:w="111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CSF1P0</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D13S317</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D7S820</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D5S818</w:t>
            </w:r>
          </w:p>
        </w:tc>
        <w:tc>
          <w:tcPr>
            <w:tcW w:w="12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D16S539</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D2S1338</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D19S433</w:t>
            </w:r>
          </w:p>
        </w:tc>
      </w:tr>
      <w:tr w:rsidR="003E022D">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Penta D</w:t>
            </w:r>
          </w:p>
        </w:tc>
        <w:tc>
          <w:tcPr>
            <w:tcW w:w="111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Penta E</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FES</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F13A1</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F13B</w:t>
            </w:r>
          </w:p>
        </w:tc>
        <w:tc>
          <w:tcPr>
            <w:tcW w:w="12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SE33</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CD4</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GABA</w:t>
            </w:r>
          </w:p>
        </w:tc>
      </w:tr>
    </w:tbl>
    <w:p w:rsidR="003E022D" w:rsidRDefault="003E022D">
      <w:pPr>
        <w:rPr>
          <w:noProof/>
          <w:lang w:val="en-IE"/>
        </w:rPr>
      </w:pPr>
    </w:p>
    <w:p w:rsidR="003E022D" w:rsidRDefault="007D19D6">
      <w:pPr>
        <w:rPr>
          <w:noProof/>
        </w:rPr>
      </w:pPr>
      <w:r>
        <w:rPr>
          <w:noProof/>
        </w:rPr>
        <w:t xml:space="preserve">Septiņi pelēki iekrāsotie lokusi augšējā rindā ir iekļauti gan Eiropas </w:t>
      </w:r>
      <w:r>
        <w:rPr>
          <w:noProof/>
        </w:rPr>
        <w:t>standartu kompleksā (</w:t>
      </w:r>
      <w:r>
        <w:rPr>
          <w:i/>
          <w:noProof/>
        </w:rPr>
        <w:t>European Standard Set</w:t>
      </w:r>
      <w:r>
        <w:rPr>
          <w:noProof/>
        </w:rPr>
        <w:t xml:space="preserve"> – </w:t>
      </w:r>
      <w:r>
        <w:rPr>
          <w:i/>
          <w:noProof/>
        </w:rPr>
        <w:t>ESS</w:t>
      </w:r>
      <w:r>
        <w:rPr>
          <w:noProof/>
        </w:rPr>
        <w:t>), gan arī Interpola standartu kompleksā (</w:t>
      </w:r>
      <w:r>
        <w:rPr>
          <w:i/>
          <w:noProof/>
        </w:rPr>
        <w:t>Interpol Standard Set of Loci</w:t>
      </w:r>
      <w:r>
        <w:rPr>
          <w:noProof/>
        </w:rPr>
        <w:t xml:space="preserve"> – </w:t>
      </w:r>
      <w:r>
        <w:rPr>
          <w:i/>
          <w:noProof/>
        </w:rPr>
        <w:t>ISSOL</w:t>
      </w:r>
      <w:r>
        <w:rPr>
          <w:noProof/>
        </w:rPr>
        <w:t>).</w:t>
      </w:r>
    </w:p>
    <w:p w:rsidR="003E022D" w:rsidRDefault="007D19D6">
      <w:pPr>
        <w:rPr>
          <w:noProof/>
        </w:rPr>
      </w:pPr>
      <w:r>
        <w:rPr>
          <w:noProof/>
        </w:rPr>
        <w:t>Lietošanas noteikumi:</w:t>
      </w:r>
    </w:p>
    <w:p w:rsidR="003E022D" w:rsidRDefault="007D19D6">
      <w:pPr>
        <w:rPr>
          <w:noProof/>
        </w:rPr>
      </w:pPr>
      <w:r>
        <w:rPr>
          <w:noProof/>
        </w:rPr>
        <w:t>DNS profilos, ko valstis dara pieejamus meklēšanai un salīdzināšanai, kā arī DNS profilos, ko nosūta mek</w:t>
      </w:r>
      <w:r>
        <w:rPr>
          <w:noProof/>
        </w:rPr>
        <w:t>lēšanas un salīdzināšanas vajadzībām, ir vismaz seši pilnīgi </w:t>
      </w:r>
      <w:r>
        <w:rPr>
          <w:rStyle w:val="FootnoteReference"/>
          <w:noProof/>
          <w:lang w:val="en-IE"/>
        </w:rPr>
        <w:footnoteReference w:id="134"/>
      </w:r>
      <w:r>
        <w:rPr>
          <w:noProof/>
        </w:rPr>
        <w:t xml:space="preserve"> lokusi, turklāt tajos – atkarībā no pieejamības – var būt arī papildu lokusi vai atstātas tukšas vietas. Atsauces DNS profilos ir vismaz seši no septiņiem Eiropas standartu kompleksa (ESS) loku</w:t>
      </w:r>
      <w:r>
        <w:rPr>
          <w:noProof/>
        </w:rPr>
        <w:t xml:space="preserve">siem. Lai celtu meklēšanas rezultātu sakritību precizitāti, visas pieejamās alēles glabā indeksētā DNS profilu datubāzē un izmanto meklējumos un salīdzinājumos. Katrai valstij tik drīz, cik vien tas praktiski iespējams, būtu jāīsteno jebkurš jauns Eiropas </w:t>
      </w:r>
      <w:r>
        <w:rPr>
          <w:noProof/>
        </w:rPr>
        <w:t xml:space="preserve">Savienībā pieņemts </w:t>
      </w:r>
      <w:r>
        <w:rPr>
          <w:i/>
          <w:noProof/>
        </w:rPr>
        <w:t>ESS</w:t>
      </w:r>
      <w:r>
        <w:rPr>
          <w:noProof/>
        </w:rPr>
        <w:t>.</w:t>
      </w:r>
    </w:p>
    <w:p w:rsidR="003E022D" w:rsidRDefault="007D19D6">
      <w:pPr>
        <w:rPr>
          <w:noProof/>
        </w:rPr>
      </w:pPr>
      <w:r>
        <w:rPr>
          <w:noProof/>
        </w:rPr>
        <w:t>Jaukti profili (</w:t>
      </w:r>
      <w:r>
        <w:rPr>
          <w:i/>
          <w:noProof/>
        </w:rPr>
        <w:t>mixed profiles</w:t>
      </w:r>
      <w:r>
        <w:rPr>
          <w:noProof/>
        </w:rPr>
        <w:t>) nav atļauti, jo tad katra lokusa alēles vērtība būs tikai divi cipari, kas var būt tādi paši, ja attiecīgais lokuss ir homozigots.</w:t>
      </w:r>
    </w:p>
    <w:p w:rsidR="003E022D" w:rsidRDefault="007D19D6">
      <w:pPr>
        <w:rPr>
          <w:noProof/>
        </w:rPr>
      </w:pPr>
      <w:r>
        <w:rPr>
          <w:noProof/>
        </w:rPr>
        <w:t>Aizstājējzīmes funkciju (</w:t>
      </w:r>
      <w:r>
        <w:rPr>
          <w:i/>
          <w:noProof/>
        </w:rPr>
        <w:t>wild-cards</w:t>
      </w:r>
      <w:r>
        <w:rPr>
          <w:noProof/>
        </w:rPr>
        <w:t>) un mikrovariantus (</w:t>
      </w:r>
      <w:r>
        <w:rPr>
          <w:i/>
          <w:noProof/>
        </w:rPr>
        <w:t>micro-variants</w:t>
      </w:r>
      <w:r>
        <w:rPr>
          <w:noProof/>
        </w:rPr>
        <w:t>) izmanto saskaņā ar šādiem noteikumiem:</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jebkura neskaitliska vērtība (piemēram, "o", "f", "r", "na", "nr" vai "un"), izņemot profilā iekļautu amelogenīnu, ir automātiski jākonvertē, lai to lietotu ar aizstājējzīmes (*) funkciju, un meklēšana</w:t>
      </w:r>
      <w:r>
        <w:rPr>
          <w:rFonts w:ascii="Calibri" w:hAnsi="Calibri"/>
          <w:noProof/>
          <w:sz w:val="22"/>
          <w:szCs w:val="22"/>
        </w:rPr>
        <w:t xml:space="preserve"> būtu jāveic, salīdzinājumos izmantojot visus meklēšanas kritērijus,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profilā iekļautas skaitliskas vērtības “0”, “1” vai “99” ir automātiski jākonvertē, lai tās lietotu ar aizstājējzīmes (*) funkciju, un meklēšana būtu jāveic, salīdzinājumos izmantojot vis</w:t>
      </w:r>
      <w:r>
        <w:rPr>
          <w:rFonts w:ascii="Calibri" w:hAnsi="Calibri"/>
          <w:noProof/>
          <w:sz w:val="22"/>
          <w:szCs w:val="22"/>
        </w:rPr>
        <w:t>us meklēšanas kritērijus,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ja vienam lokusam ir dotas trīs alēles, tad pieņem tikai pirmo alēli, bet pārējās divas alēles automātiski jākonvertē, lai tās lietotu ar aizstājējzīmes (*) funkciju, un meklēšana būtu jāveic, salīdzinājumos izmantojot visus meklē</w:t>
      </w:r>
      <w:r>
        <w:rPr>
          <w:rFonts w:ascii="Calibri" w:hAnsi="Calibri"/>
          <w:noProof/>
          <w:sz w:val="22"/>
          <w:szCs w:val="22"/>
        </w:rPr>
        <w:t>šanas kritērijus,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ja aizstājējzīmes vērtības (</w:t>
      </w:r>
      <w:r>
        <w:rPr>
          <w:rFonts w:ascii="Calibri" w:hAnsi="Calibri"/>
          <w:i/>
          <w:noProof/>
          <w:sz w:val="22"/>
          <w:szCs w:val="22"/>
        </w:rPr>
        <w:t>wild card values</w:t>
      </w:r>
      <w:r>
        <w:rPr>
          <w:rFonts w:ascii="Calibri" w:hAnsi="Calibri"/>
          <w:noProof/>
          <w:sz w:val="22"/>
          <w:szCs w:val="22"/>
        </w:rPr>
        <w:t>) ir dotas 1. vai 2. alēlei, tad meklēs abas attiecīgās lokusa skaitliskās vērtības permutācijas (piemēram, 12, * varētu sakrist ar 12,14 vai 9,12),</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pentanukleotīdu (</w:t>
      </w:r>
      <w:r>
        <w:rPr>
          <w:rFonts w:ascii="Calibri" w:hAnsi="Calibri"/>
          <w:i/>
          <w:noProof/>
          <w:sz w:val="22"/>
          <w:szCs w:val="22"/>
        </w:rPr>
        <w:t>Penta D</w:t>
      </w:r>
      <w:r>
        <w:rPr>
          <w:rFonts w:ascii="Calibri" w:hAnsi="Calibri"/>
          <w:noProof/>
          <w:sz w:val="22"/>
          <w:szCs w:val="22"/>
        </w:rPr>
        <w:t xml:space="preserve">, </w:t>
      </w:r>
      <w:r>
        <w:rPr>
          <w:rFonts w:ascii="Calibri" w:hAnsi="Calibri"/>
          <w:i/>
          <w:noProof/>
          <w:sz w:val="22"/>
          <w:szCs w:val="22"/>
        </w:rPr>
        <w:t>Penta E</w:t>
      </w:r>
      <w:r>
        <w:rPr>
          <w:rFonts w:ascii="Calibri" w:hAnsi="Calibri"/>
          <w:noProof/>
          <w:sz w:val="22"/>
          <w:szCs w:val="22"/>
        </w:rPr>
        <w:t xml:space="preserve"> &amp; </w:t>
      </w:r>
      <w:r>
        <w:rPr>
          <w:rFonts w:ascii="Calibri" w:hAnsi="Calibri"/>
          <w:i/>
          <w:noProof/>
          <w:sz w:val="22"/>
          <w:szCs w:val="22"/>
        </w:rPr>
        <w:t>CD4</w:t>
      </w:r>
      <w:r>
        <w:rPr>
          <w:rFonts w:ascii="Calibri" w:hAnsi="Calibri"/>
          <w:noProof/>
          <w:sz w:val="22"/>
          <w:szCs w:val="22"/>
        </w:rPr>
        <w:t>) mikr</w:t>
      </w:r>
      <w:r>
        <w:rPr>
          <w:rFonts w:ascii="Calibri" w:hAnsi="Calibri"/>
          <w:noProof/>
          <w:sz w:val="22"/>
          <w:szCs w:val="22"/>
        </w:rPr>
        <w:t>ovariantu sakritību nosaka saskaņā ar šādu formulu:</w:t>
      </w:r>
    </w:p>
    <w:p w:rsidR="003E022D" w:rsidRDefault="007D19D6">
      <w:pPr>
        <w:pStyle w:val="Point0"/>
        <w:spacing w:after="240" w:line="276" w:lineRule="auto"/>
        <w:rPr>
          <w:rFonts w:ascii="Calibri" w:hAnsi="Calibri"/>
          <w:noProof/>
        </w:rPr>
      </w:pPr>
      <w:r>
        <w:rPr>
          <w:noProof/>
        </w:rPr>
        <w:tab/>
      </w:r>
      <w:r>
        <w:rPr>
          <w:rFonts w:ascii="Calibri" w:hAnsi="Calibri"/>
          <w:noProof/>
        </w:rPr>
        <w:t>x.1 = x, x.1, x.2</w:t>
      </w:r>
    </w:p>
    <w:p w:rsidR="003E022D" w:rsidRDefault="007D19D6">
      <w:pPr>
        <w:pStyle w:val="Point0"/>
        <w:spacing w:after="240" w:line="276" w:lineRule="auto"/>
        <w:rPr>
          <w:rFonts w:ascii="Calibri" w:hAnsi="Calibri"/>
          <w:noProof/>
        </w:rPr>
      </w:pPr>
      <w:r>
        <w:rPr>
          <w:noProof/>
        </w:rPr>
        <w:tab/>
      </w:r>
      <w:r>
        <w:rPr>
          <w:rFonts w:ascii="Calibri" w:hAnsi="Calibri"/>
          <w:noProof/>
        </w:rPr>
        <w:t>x.2 = x.1, x.2, x.3</w:t>
      </w:r>
    </w:p>
    <w:p w:rsidR="003E022D" w:rsidRDefault="007D19D6">
      <w:pPr>
        <w:pStyle w:val="Point0"/>
        <w:spacing w:after="240" w:line="276" w:lineRule="auto"/>
        <w:rPr>
          <w:rFonts w:ascii="Calibri" w:hAnsi="Calibri"/>
          <w:noProof/>
        </w:rPr>
      </w:pPr>
      <w:r>
        <w:rPr>
          <w:noProof/>
        </w:rPr>
        <w:tab/>
      </w:r>
      <w:r>
        <w:rPr>
          <w:rFonts w:ascii="Calibri" w:hAnsi="Calibri"/>
          <w:noProof/>
        </w:rPr>
        <w:t>x.3 = x.2, x.3, x.4</w:t>
      </w:r>
    </w:p>
    <w:p w:rsidR="003E022D" w:rsidRDefault="007D19D6">
      <w:pPr>
        <w:pStyle w:val="Point0"/>
        <w:spacing w:after="240" w:line="276" w:lineRule="auto"/>
        <w:rPr>
          <w:rFonts w:ascii="Calibri" w:hAnsi="Calibri"/>
          <w:noProof/>
        </w:rPr>
      </w:pPr>
      <w:r>
        <w:rPr>
          <w:noProof/>
        </w:rPr>
        <w:tab/>
      </w:r>
      <w:r>
        <w:rPr>
          <w:rFonts w:ascii="Calibri" w:hAnsi="Calibri"/>
          <w:noProof/>
        </w:rPr>
        <w:t>x.4 = x.3, x.4, x + 1,</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tetranukleotīdu (pārējie lokusi datubāzē ir tetranukleotīdi) mikrovariantu sakritību nosaka saskaņā ar šādu formulu:</w:t>
      </w:r>
    </w:p>
    <w:p w:rsidR="003E022D" w:rsidRDefault="007D19D6">
      <w:pPr>
        <w:pStyle w:val="Point0"/>
        <w:spacing w:after="240" w:line="276" w:lineRule="auto"/>
        <w:rPr>
          <w:rFonts w:ascii="Calibri" w:hAnsi="Calibri"/>
          <w:noProof/>
        </w:rPr>
      </w:pPr>
      <w:r>
        <w:rPr>
          <w:noProof/>
        </w:rPr>
        <w:tab/>
      </w:r>
      <w:r>
        <w:rPr>
          <w:rFonts w:ascii="Calibri" w:hAnsi="Calibri"/>
          <w:noProof/>
        </w:rPr>
        <w:t>x.1 = x, x.1, x.2</w:t>
      </w:r>
    </w:p>
    <w:p w:rsidR="003E022D" w:rsidRDefault="007D19D6">
      <w:pPr>
        <w:pStyle w:val="Point0"/>
        <w:spacing w:after="240" w:line="276" w:lineRule="auto"/>
        <w:rPr>
          <w:rFonts w:ascii="Calibri" w:hAnsi="Calibri"/>
          <w:noProof/>
        </w:rPr>
      </w:pPr>
      <w:r>
        <w:rPr>
          <w:noProof/>
        </w:rPr>
        <w:tab/>
      </w:r>
      <w:r>
        <w:rPr>
          <w:rFonts w:ascii="Calibri" w:hAnsi="Calibri"/>
          <w:noProof/>
        </w:rPr>
        <w:t>x.2 = x.1, x.2, x.3</w:t>
      </w:r>
    </w:p>
    <w:p w:rsidR="003E022D" w:rsidRDefault="007D19D6">
      <w:pPr>
        <w:pStyle w:val="Point0"/>
        <w:spacing w:after="240" w:line="276" w:lineRule="auto"/>
        <w:rPr>
          <w:rFonts w:ascii="Calibri" w:hAnsi="Calibri"/>
          <w:noProof/>
        </w:rPr>
      </w:pPr>
      <w:r>
        <w:rPr>
          <w:noProof/>
        </w:rPr>
        <w:tab/>
      </w:r>
      <w:r>
        <w:rPr>
          <w:rFonts w:ascii="Calibri" w:hAnsi="Calibri"/>
          <w:noProof/>
        </w:rPr>
        <w:t>x.3 = x.2, x.3, x + 1.</w:t>
      </w:r>
    </w:p>
    <w:p w:rsidR="003E022D" w:rsidRDefault="007D19D6">
      <w:pPr>
        <w:spacing w:line="276" w:lineRule="auto"/>
        <w:rPr>
          <w:noProof/>
        </w:rPr>
      </w:pPr>
      <w:r>
        <w:rPr>
          <w:noProof/>
        </w:rPr>
        <w:t>1.2.</w:t>
      </w:r>
      <w:r>
        <w:rPr>
          <w:noProof/>
        </w:rPr>
        <w:tab/>
        <w:t>Sakritības noteikumi</w:t>
      </w:r>
    </w:p>
    <w:p w:rsidR="003E022D" w:rsidRDefault="007D19D6">
      <w:pPr>
        <w:rPr>
          <w:noProof/>
        </w:rPr>
      </w:pPr>
      <w:r>
        <w:rPr>
          <w:noProof/>
        </w:rPr>
        <w:t xml:space="preserve">Divu DNS profilu salīdzināšanu veiks, pamatojoties uz lokusiem, kuriem abos DNS profilos ir pieejams alēles vērtību pāris. Abos DNS profilos ir jāsakrīt vismaz sešiem </w:t>
      </w:r>
      <w:r>
        <w:rPr>
          <w:noProof/>
        </w:rPr>
        <w:t>pilnīgiem lokusiem (izņemot amelogenīnu), pirms dot atbildi par konstatētu sakritību.</w:t>
      </w:r>
    </w:p>
    <w:p w:rsidR="003E022D" w:rsidRDefault="007D19D6">
      <w:pPr>
        <w:rPr>
          <w:noProof/>
        </w:rPr>
      </w:pPr>
      <w:r>
        <w:rPr>
          <w:noProof/>
        </w:rPr>
        <w:t>Pilnīga sakritība (1. ticamības pakāpe) ir sakritība, kurā ir vienādas visas salīdzināto to lokusu alēļu vērtības, kas atrodas abos salīdzinātajos DNS profila paraugos. D</w:t>
      </w:r>
      <w:r>
        <w:rPr>
          <w:noProof/>
        </w:rPr>
        <w:t>aļēja sakritība ir sakritība, kurā divos DNS profilos atšķiras tikai viena no visu salīdzināto lokusu alēļu vērtībām (2., 3. un 4. ticamības pakāpe). Daļēju sakritību akceptē tikai tad, ja ir reģistrēta sakritība vismaz sešos pilnīgos abu salīdzināto DNS p</w:t>
      </w:r>
      <w:r>
        <w:rPr>
          <w:noProof/>
        </w:rPr>
        <w:t>rofilu lokusos.</w:t>
      </w:r>
    </w:p>
    <w:p w:rsidR="003E022D" w:rsidRDefault="007D19D6">
      <w:pPr>
        <w:rPr>
          <w:noProof/>
        </w:rPr>
      </w:pPr>
      <w:r>
        <w:rPr>
          <w:noProof/>
        </w:rPr>
        <w:t>Daļējas sakritības iemesls var būt:</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ir pieļauta pārrakstīšanās kļūda, ievadot vienu DNS profilu meklēšanas funkcijā vai DNS datubāzē,</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izstrādājot DNS profilu, ir pieļauta alēles noteikšanas (</w:t>
      </w:r>
      <w:r>
        <w:rPr>
          <w:rFonts w:ascii="Calibri" w:hAnsi="Calibri"/>
          <w:i/>
          <w:noProof/>
          <w:sz w:val="22"/>
          <w:szCs w:val="22"/>
        </w:rPr>
        <w:t>allele-determination</w:t>
      </w:r>
      <w:r>
        <w:rPr>
          <w:rFonts w:ascii="Calibri" w:hAnsi="Calibri"/>
          <w:noProof/>
          <w:sz w:val="22"/>
          <w:szCs w:val="22"/>
        </w:rPr>
        <w:t xml:space="preserve">) vai alēles identifikācijas </w:t>
      </w:r>
      <w:r>
        <w:rPr>
          <w:rFonts w:ascii="Calibri" w:hAnsi="Calibri"/>
          <w:noProof/>
          <w:sz w:val="22"/>
          <w:szCs w:val="22"/>
        </w:rPr>
        <w:t>(</w:t>
      </w:r>
      <w:r>
        <w:rPr>
          <w:rFonts w:ascii="Calibri" w:hAnsi="Calibri"/>
          <w:i/>
          <w:noProof/>
          <w:sz w:val="22"/>
          <w:szCs w:val="22"/>
        </w:rPr>
        <w:t>allele-calling</w:t>
      </w:r>
      <w:r>
        <w:rPr>
          <w:rFonts w:ascii="Calibri" w:hAnsi="Calibri"/>
          <w:noProof/>
          <w:sz w:val="22"/>
          <w:szCs w:val="22"/>
        </w:rPr>
        <w:t>) kļūda.</w:t>
      </w:r>
    </w:p>
    <w:p w:rsidR="003E022D" w:rsidRDefault="007D19D6">
      <w:pPr>
        <w:spacing w:line="276" w:lineRule="auto"/>
        <w:rPr>
          <w:noProof/>
        </w:rPr>
      </w:pPr>
      <w:r>
        <w:rPr>
          <w:noProof/>
        </w:rPr>
        <w:t>1.3.</w:t>
      </w:r>
      <w:r>
        <w:rPr>
          <w:noProof/>
        </w:rPr>
        <w:tab/>
        <w:t>Ziņojumu sastādīšanas noteikumi</w:t>
      </w:r>
    </w:p>
    <w:p w:rsidR="003E022D" w:rsidRDefault="007D19D6">
      <w:pPr>
        <w:rPr>
          <w:noProof/>
        </w:rPr>
      </w:pPr>
      <w:r>
        <w:rPr>
          <w:noProof/>
        </w:rPr>
        <w:t>Ziņojumus sastāda gan par pilnīgām sakritībām, gan daļējām sakritībām, gan par to, ka sakritības nav konstatētas.</w:t>
      </w:r>
    </w:p>
    <w:p w:rsidR="003E022D" w:rsidRDefault="007D19D6">
      <w:pPr>
        <w:rPr>
          <w:noProof/>
        </w:rPr>
      </w:pPr>
      <w:r>
        <w:rPr>
          <w:noProof/>
        </w:rPr>
        <w:t>Sakritības ziņojumu nosūta valsts kontaktpunktam, kas iesniedzis pieprasījumu, kā</w:t>
      </w:r>
      <w:r>
        <w:rPr>
          <w:noProof/>
        </w:rPr>
        <w:t xml:space="preserve"> arī to dara pieejamu tās valsts kontaktpunktam, kurā pieprasījums ir iesniegts (lai dotu iespēju tam novērtēt iespējamus turpmākus pieprasījumus vai pieprasījumu skaitu par citiem pieejamiem personas datiem vai citu informāciju saistībā ar DNS profilu, ku</w:t>
      </w:r>
      <w:r>
        <w:rPr>
          <w:noProof/>
        </w:rPr>
        <w:t>ra saistīta ar atbilsmi saskaņā ar LAW.PRUM.14. pantu [Papildu personas datu un citu datu sniegšana]).</w:t>
      </w:r>
    </w:p>
    <w:p w:rsidR="003E022D" w:rsidRDefault="007D19D6">
      <w:pPr>
        <w:spacing w:line="276" w:lineRule="auto"/>
        <w:rPr>
          <w:noProof/>
        </w:rPr>
      </w:pPr>
      <w:r>
        <w:rPr>
          <w:noProof/>
        </w:rPr>
        <w:t>2.</w:t>
      </w:r>
      <w:r>
        <w:rPr>
          <w:noProof/>
        </w:rPr>
        <w:tab/>
        <w:t>Valstu kodu tabula</w:t>
      </w:r>
    </w:p>
    <w:p w:rsidR="003E022D" w:rsidRDefault="007D19D6">
      <w:pPr>
        <w:rPr>
          <w:noProof/>
        </w:rPr>
      </w:pPr>
      <w:r>
        <w:rPr>
          <w:noProof/>
        </w:rPr>
        <w:t>Saskaņā ar trešās daļas II sadaļu [Apmaiņa apmaiņa ar DNS, pirkstu nospiedumu un transportlīdzekļu reģistrācijas datiem], lai izvei</w:t>
      </w:r>
      <w:r>
        <w:rPr>
          <w:noProof/>
        </w:rPr>
        <w:t>dotu domēnu nosaukumus un citus Prīmes Līgumā paredzētus konfigurācijas parametrus, ko slēgtā tīklā lietot DNS datu apmaiņas programmatūrās, izmanto ISO kodu 3166-1 alpha-2.</w:t>
      </w:r>
    </w:p>
    <w:p w:rsidR="003E022D" w:rsidRDefault="007D19D6">
      <w:pPr>
        <w:rPr>
          <w:noProof/>
        </w:rPr>
      </w:pPr>
      <w:r>
        <w:rPr>
          <w:noProof/>
        </w:rPr>
        <w:t>ISO 3166-1 alpha-2 kodi ir šādi valstu kodi, kas sastāv no diviem burtiem.</w:t>
      </w:r>
    </w:p>
    <w:tbl>
      <w:tblPr>
        <w:tblW w:w="0" w:type="auto"/>
        <w:tblInd w:w="1346" w:type="dxa"/>
        <w:tblLayout w:type="fixed"/>
        <w:tblLook w:val="0000" w:firstRow="0" w:lastRow="0" w:firstColumn="0" w:lastColumn="0" w:noHBand="0" w:noVBand="0"/>
      </w:tblPr>
      <w:tblGrid>
        <w:gridCol w:w="2374"/>
        <w:gridCol w:w="923"/>
        <w:gridCol w:w="2373"/>
        <w:gridCol w:w="923"/>
      </w:tblGrid>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Valsts </w:t>
            </w:r>
            <w:r>
              <w:rPr>
                <w:noProof/>
              </w:rPr>
              <w:t>nosaukums</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Kods</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Valsts nosaukums</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Kods</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Beļģija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BE</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Lietuva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LT</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Bulgārija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BG</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Luksemburga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LU</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Čehija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CZ</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Ungārija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HU</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Dānija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DK</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Malta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MT</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Vācija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Nīderlande</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NL</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Igaunija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EE</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Austrija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AT</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Īrija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IE</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Polija </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PL</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Grieķija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EL</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Portugāle</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PT</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Spānija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ES</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Rumānija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RO</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Francija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FR</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Slovākija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SK</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Horvātija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HR</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Slovēnija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Itālija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IT</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Somija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Kipra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CY</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Zviedrija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w:t>
            </w:r>
          </w:p>
        </w:tc>
      </w:tr>
      <w:tr w:rsidR="003E022D">
        <w:tc>
          <w:tcPr>
            <w:tcW w:w="237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Latvija</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LV</w:t>
            </w:r>
          </w:p>
        </w:tc>
        <w:tc>
          <w:tcPr>
            <w:tcW w:w="23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Apvienotā Karaliste</w:t>
            </w:r>
          </w:p>
        </w:tc>
        <w:tc>
          <w:tcPr>
            <w:tcW w:w="92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UK</w:t>
            </w:r>
          </w:p>
        </w:tc>
      </w:tr>
    </w:tbl>
    <w:p w:rsidR="003E022D" w:rsidRDefault="003E022D">
      <w:pPr>
        <w:rPr>
          <w:noProof/>
          <w:lang w:val="en-IE"/>
        </w:rPr>
      </w:pPr>
    </w:p>
    <w:p w:rsidR="003E022D" w:rsidRDefault="007D19D6">
      <w:pPr>
        <w:spacing w:line="276" w:lineRule="auto"/>
        <w:rPr>
          <w:noProof/>
        </w:rPr>
      </w:pPr>
      <w:r>
        <w:rPr>
          <w:noProof/>
        </w:rPr>
        <w:t>3.</w:t>
      </w:r>
      <w:r>
        <w:rPr>
          <w:noProof/>
        </w:rPr>
        <w:tab/>
        <w:t>Funkcionāla analīze</w:t>
      </w:r>
    </w:p>
    <w:p w:rsidR="003E022D" w:rsidRDefault="007D19D6">
      <w:pPr>
        <w:spacing w:line="276" w:lineRule="auto"/>
        <w:rPr>
          <w:noProof/>
        </w:rPr>
      </w:pPr>
      <w:r>
        <w:rPr>
          <w:noProof/>
        </w:rPr>
        <w:t>3.1.</w:t>
      </w:r>
      <w:r>
        <w:rPr>
          <w:noProof/>
        </w:rPr>
        <w:tab/>
        <w:t>Sistēmas pieejamība</w:t>
      </w:r>
    </w:p>
    <w:p w:rsidR="003E022D" w:rsidRDefault="007D19D6">
      <w:pPr>
        <w:rPr>
          <w:noProof/>
        </w:rPr>
      </w:pPr>
      <w:r>
        <w:rPr>
          <w:noProof/>
        </w:rPr>
        <w:t xml:space="preserve">Pieprasījumiem saskaņā ar LAW.PRUM.8. pantu [Automatizēta DNS profilu </w:t>
      </w:r>
      <w:r>
        <w:rPr>
          <w:noProof/>
        </w:rPr>
        <w:t>meklēšana] būtu attiecīgā datubāzē jānonāk hronoloģiskā pieprasījumu izsūtīšanas secībā, savukārt atbildēm pieprasījuma iesniedzējā dalībvalstī būtu jānonāk 15 minūtēs pēc pieprasījuma pienākšanas.</w:t>
      </w:r>
    </w:p>
    <w:p w:rsidR="003E022D" w:rsidRDefault="007D19D6">
      <w:pPr>
        <w:spacing w:line="276" w:lineRule="auto"/>
        <w:rPr>
          <w:noProof/>
        </w:rPr>
      </w:pPr>
      <w:r>
        <w:rPr>
          <w:noProof/>
        </w:rPr>
        <w:t>3.2.</w:t>
      </w:r>
      <w:r>
        <w:rPr>
          <w:noProof/>
        </w:rPr>
        <w:tab/>
        <w:t>Nākamais solis</w:t>
      </w:r>
    </w:p>
    <w:p w:rsidR="003E022D" w:rsidRDefault="007D19D6">
      <w:pPr>
        <w:rPr>
          <w:noProof/>
        </w:rPr>
      </w:pPr>
      <w:r>
        <w:rPr>
          <w:noProof/>
        </w:rPr>
        <w:t>Ja valsts saņem ziņojumu par sakritību</w:t>
      </w:r>
      <w:r>
        <w:rPr>
          <w:noProof/>
        </w:rPr>
        <w:t>, tās kontaktpunkts ir atbildīgs par attiecīgā iesniegtā profila vērtības un atbildē saņemtā profila(-u) vērtības salīdzināšanu, lai apstiprinātu un pārbaudītu profila iespējamo vērtību. Valstu kontaktpunkti apstiprināšanas sakarā var tieši sazināties cits</w:t>
      </w:r>
      <w:r>
        <w:rPr>
          <w:noProof/>
        </w:rPr>
        <w:t xml:space="preserve"> ar citu.</w:t>
      </w:r>
    </w:p>
    <w:p w:rsidR="003E022D" w:rsidRDefault="007D19D6">
      <w:pPr>
        <w:rPr>
          <w:noProof/>
        </w:rPr>
      </w:pPr>
      <w:r>
        <w:rPr>
          <w:noProof/>
        </w:rPr>
        <w:t>Pēc divu profilu sakritības apstiprinājuma sākas tiesiskās palīdzības procedūras, pamatojoties uz "pilnīgu sakritību" (</w:t>
      </w:r>
      <w:r>
        <w:rPr>
          <w:i/>
          <w:noProof/>
        </w:rPr>
        <w:t>full match</w:t>
      </w:r>
      <w:r>
        <w:rPr>
          <w:noProof/>
        </w:rPr>
        <w:t>) vai "daļēju sakritību" (</w:t>
      </w:r>
      <w:r>
        <w:rPr>
          <w:i/>
          <w:noProof/>
        </w:rPr>
        <w:t>near match</w:t>
      </w:r>
      <w:r>
        <w:rPr>
          <w:noProof/>
        </w:rPr>
        <w:t>), kas ir iegūta automatizēto konsultāciju fāzē.</w:t>
      </w:r>
    </w:p>
    <w:p w:rsidR="003E022D" w:rsidRDefault="007D19D6">
      <w:pPr>
        <w:spacing w:line="276" w:lineRule="auto"/>
        <w:rPr>
          <w:noProof/>
        </w:rPr>
      </w:pPr>
      <w:r>
        <w:rPr>
          <w:noProof/>
        </w:rPr>
        <w:t>4.</w:t>
      </w:r>
      <w:r>
        <w:rPr>
          <w:noProof/>
        </w:rPr>
        <w:tab/>
        <w:t>DNS saskarņu kontroles dokume</w:t>
      </w:r>
      <w:r>
        <w:rPr>
          <w:noProof/>
        </w:rPr>
        <w:t>nts</w:t>
      </w:r>
    </w:p>
    <w:p w:rsidR="003E022D" w:rsidRDefault="007D19D6">
      <w:pPr>
        <w:spacing w:line="276" w:lineRule="auto"/>
        <w:rPr>
          <w:noProof/>
        </w:rPr>
      </w:pPr>
      <w:r>
        <w:rPr>
          <w:noProof/>
        </w:rPr>
        <w:t>4.1.</w:t>
      </w:r>
      <w:r>
        <w:rPr>
          <w:noProof/>
        </w:rPr>
        <w:tab/>
        <w:t>Ievads</w:t>
      </w:r>
    </w:p>
    <w:p w:rsidR="003E022D" w:rsidRDefault="007D19D6">
      <w:pPr>
        <w:spacing w:line="276" w:lineRule="auto"/>
        <w:rPr>
          <w:noProof/>
        </w:rPr>
      </w:pPr>
      <w:r>
        <w:rPr>
          <w:noProof/>
        </w:rPr>
        <w:t>4.1.1.</w:t>
      </w:r>
      <w:r>
        <w:rPr>
          <w:noProof/>
        </w:rPr>
        <w:tab/>
      </w:r>
      <w:r>
        <w:rPr>
          <w:i/>
          <w:iCs/>
          <w:noProof/>
        </w:rPr>
        <w:t>Mērķi</w:t>
      </w:r>
    </w:p>
    <w:p w:rsidR="003E022D" w:rsidRDefault="007D19D6">
      <w:pPr>
        <w:rPr>
          <w:noProof/>
        </w:rPr>
      </w:pPr>
      <w:r>
        <w:rPr>
          <w:noProof/>
        </w:rPr>
        <w:t>Šajā nodaļā ir definētas prasības, lai veiktu DNS profilu informācijas apmaiņu starp visu valstu DNS datubāzu sistēmām. Galvenes laukumi ir definēti īpaši Prīmes DNS datu apmaiņas vajadzībām, savukārt datu daļas pamatojumā ir i</w:t>
      </w:r>
      <w:r>
        <w:rPr>
          <w:noProof/>
        </w:rPr>
        <w:t xml:space="preserve">zmantota XML shēmas DNS profila datu daļa, kas noteikta Interpola DNS datu apmaiņas vārtejas </w:t>
      </w:r>
      <w:r>
        <w:rPr>
          <w:i/>
          <w:noProof/>
        </w:rPr>
        <w:t>(Interpol DNA exchange gateway</w:t>
      </w:r>
      <w:r>
        <w:rPr>
          <w:noProof/>
        </w:rPr>
        <w:t>) vajadzībām.</w:t>
      </w:r>
    </w:p>
    <w:p w:rsidR="003E022D" w:rsidRDefault="007D19D6">
      <w:pPr>
        <w:rPr>
          <w:noProof/>
        </w:rPr>
      </w:pPr>
      <w:r>
        <w:rPr>
          <w:noProof/>
        </w:rPr>
        <w:t>Datu apmaiņa notiek ar SMTP protokolu (</w:t>
      </w:r>
      <w:r>
        <w:rPr>
          <w:i/>
          <w:noProof/>
        </w:rPr>
        <w:t>Simple Mail Transfer Protocol – vienkāršais pasta pārsūtīšanas protokols</w:t>
      </w:r>
      <w:r>
        <w:rPr>
          <w:noProof/>
        </w:rPr>
        <w:t>) un cit</w:t>
      </w:r>
      <w:r>
        <w:rPr>
          <w:noProof/>
        </w:rPr>
        <w:t>u modernu tehnoloģiju starpniecību, izmantojot centrālā releja pasta serveri (</w:t>
      </w:r>
      <w:r>
        <w:rPr>
          <w:i/>
          <w:noProof/>
        </w:rPr>
        <w:t>central relay mail server</w:t>
      </w:r>
      <w:r>
        <w:rPr>
          <w:noProof/>
        </w:rPr>
        <w:t xml:space="preserve">), ko nodrošina tīkla pakalpojumu sniedzējs. </w:t>
      </w:r>
      <w:r>
        <w:rPr>
          <w:i/>
          <w:noProof/>
        </w:rPr>
        <w:t>XML</w:t>
      </w:r>
      <w:r>
        <w:rPr>
          <w:noProof/>
        </w:rPr>
        <w:t xml:space="preserve"> valodā izstrādātu datni pārsūta kā e-pasta pamattekstu.</w:t>
      </w:r>
    </w:p>
    <w:p w:rsidR="003E022D" w:rsidRDefault="007D19D6">
      <w:pPr>
        <w:spacing w:line="276" w:lineRule="auto"/>
        <w:rPr>
          <w:noProof/>
        </w:rPr>
      </w:pPr>
      <w:r>
        <w:rPr>
          <w:noProof/>
        </w:rPr>
        <w:t>4.1.2.</w:t>
      </w:r>
      <w:r>
        <w:rPr>
          <w:noProof/>
        </w:rPr>
        <w:tab/>
      </w:r>
      <w:r>
        <w:rPr>
          <w:i/>
          <w:iCs/>
          <w:noProof/>
        </w:rPr>
        <w:t>Darbības joma</w:t>
      </w:r>
    </w:p>
    <w:p w:rsidR="003E022D" w:rsidRDefault="007D19D6">
      <w:pPr>
        <w:rPr>
          <w:noProof/>
        </w:rPr>
      </w:pPr>
      <w:r>
        <w:rPr>
          <w:noProof/>
        </w:rPr>
        <w:t xml:space="preserve">Saskarņu kontroles </w:t>
      </w:r>
      <w:r>
        <w:rPr>
          <w:noProof/>
        </w:rPr>
        <w:t>dokumentā (</w:t>
      </w:r>
      <w:r>
        <w:rPr>
          <w:i/>
          <w:noProof/>
        </w:rPr>
        <w:t>ICD</w:t>
      </w:r>
      <w:r>
        <w:rPr>
          <w:noProof/>
        </w:rPr>
        <w:t>) ir definēts tikai sūtījuma (e-pasta) saturs. Visi ar tīkla darbību un e-pastiem saistītie jautājumi ir definēti vienotā formātā, lai varētu izveidot vienotu DNS datu apmaiņas tehnisko bāzi.</w:t>
      </w:r>
    </w:p>
    <w:p w:rsidR="003E022D" w:rsidRDefault="007D19D6">
      <w:pPr>
        <w:rPr>
          <w:noProof/>
        </w:rPr>
      </w:pPr>
      <w:r>
        <w:rPr>
          <w:noProof/>
        </w:rPr>
        <w:t>Tas ietver:</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sūtījuma temata formātu, lai dotu iesp</w:t>
      </w:r>
      <w:r>
        <w:rPr>
          <w:rFonts w:ascii="Calibri" w:hAnsi="Calibri"/>
          <w:noProof/>
          <w:sz w:val="22"/>
          <w:szCs w:val="22"/>
        </w:rPr>
        <w:t>ēju veikt sūtījuma automatizētu apstrādi,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to, vai ir vajadzīga satura šifrēšana un, ja jā, kāda metode būtu jāizvēlas,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sūtījuma maksimālo garumu.</w:t>
      </w:r>
    </w:p>
    <w:p w:rsidR="003E022D" w:rsidRDefault="007D19D6">
      <w:pPr>
        <w:spacing w:line="276" w:lineRule="auto"/>
        <w:rPr>
          <w:noProof/>
        </w:rPr>
      </w:pPr>
      <w:r>
        <w:rPr>
          <w:noProof/>
        </w:rPr>
        <w:t>4.1.3.</w:t>
      </w:r>
      <w:r>
        <w:rPr>
          <w:noProof/>
        </w:rPr>
        <w:tab/>
      </w:r>
      <w:r>
        <w:rPr>
          <w:i/>
          <w:iCs/>
          <w:noProof/>
        </w:rPr>
        <w:t>XML struktūra un principi</w:t>
      </w:r>
    </w:p>
    <w:p w:rsidR="003E022D" w:rsidRDefault="007D19D6">
      <w:pPr>
        <w:rPr>
          <w:noProof/>
        </w:rPr>
      </w:pPr>
      <w:r>
        <w:rPr>
          <w:noProof/>
        </w:rPr>
        <w:t>XML sūtījums ir strukturēts šādi: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galvenes daļa, kurā ir iekļauta informācija</w:t>
      </w:r>
      <w:r>
        <w:rPr>
          <w:rFonts w:ascii="Calibri" w:hAnsi="Calibri"/>
          <w:noProof/>
          <w:sz w:val="22"/>
          <w:szCs w:val="22"/>
        </w:rPr>
        <w:t xml:space="preserve"> par pārsūtījumu, un</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datu daļa, kurā ir iekļauta konkrēta profila informācija, kā arī pats profils.</w:t>
      </w:r>
    </w:p>
    <w:p w:rsidR="003E022D" w:rsidRDefault="007D19D6">
      <w:pPr>
        <w:rPr>
          <w:noProof/>
        </w:rPr>
      </w:pPr>
      <w:r>
        <w:rPr>
          <w:noProof/>
        </w:rPr>
        <w:t xml:space="preserve">Tādu pašu </w:t>
      </w:r>
      <w:r>
        <w:rPr>
          <w:i/>
          <w:noProof/>
        </w:rPr>
        <w:t>XML</w:t>
      </w:r>
      <w:r>
        <w:rPr>
          <w:noProof/>
        </w:rPr>
        <w:t xml:space="preserve"> shēmu izmanto pieprasījumos un atbildēs.</w:t>
      </w:r>
    </w:p>
    <w:p w:rsidR="003E022D" w:rsidRDefault="007D19D6">
      <w:pPr>
        <w:rPr>
          <w:noProof/>
        </w:rPr>
      </w:pPr>
      <w:r>
        <w:rPr>
          <w:noProof/>
        </w:rPr>
        <w:t>Lai veiktu pilnīgas pārbaudes par neidentificētiem DNS profiliem, kā paredzēts LAW.PRUM.9. pantā [Aut</w:t>
      </w:r>
      <w:r>
        <w:rPr>
          <w:noProof/>
        </w:rPr>
        <w:t>omatizēta DNS profilu salīdzināšana], jāparedz iespēja, ka vienā sūtījumā iekļauj vairākus profilus. Jānosaka maksimālais vienā sūtījumā iekļaujamo profilu skaits. Skaits ir atkarīgs no maksimāli pieļaujamā e-pasta lieluma, un tas būtu jānosaka pēc tam, ka</w:t>
      </w:r>
      <w:r>
        <w:rPr>
          <w:noProof/>
        </w:rPr>
        <w:t>d ir notikusi pasta servera izvēle.</w:t>
      </w:r>
    </w:p>
    <w:p w:rsidR="003E022D" w:rsidRDefault="007D19D6">
      <w:pPr>
        <w:rPr>
          <w:noProof/>
        </w:rPr>
      </w:pPr>
      <w:r>
        <w:rPr>
          <w:i/>
          <w:noProof/>
        </w:rPr>
        <w:t>XML</w:t>
      </w:r>
      <w:r>
        <w:rPr>
          <w:noProof/>
        </w:rPr>
        <w:t xml:space="preserve"> piemērs:</w:t>
      </w:r>
    </w:p>
    <w:p w:rsidR="003E022D" w:rsidRDefault="007D19D6">
      <w:pPr>
        <w:rPr>
          <w:noProof/>
        </w:rPr>
      </w:pPr>
      <w:r>
        <w:rPr>
          <w:noProof/>
        </w:rPr>
        <w:t>&lt;?version=“1.0” standalone=“yes”?&gt;</w:t>
      </w:r>
    </w:p>
    <w:p w:rsidR="003E022D" w:rsidRDefault="007D19D6">
      <w:pPr>
        <w:rPr>
          <w:noProof/>
        </w:rPr>
      </w:pPr>
      <w:r>
        <w:rPr>
          <w:noProof/>
        </w:rPr>
        <w:t>&lt;PRUEMDNAx xmlns:msxsl=“urn:schemas-microsoft-com:xslt”</w:t>
      </w:r>
    </w:p>
    <w:p w:rsidR="003E022D" w:rsidRDefault="007D19D6">
      <w:pPr>
        <w:rPr>
          <w:noProof/>
        </w:rPr>
      </w:pPr>
      <w:r>
        <w:rPr>
          <w:noProof/>
        </w:rPr>
        <w:t>xmlns:xsi=“http://www.w3.org/2001/XMLSchema-instance”&gt;</w:t>
      </w:r>
    </w:p>
    <w:p w:rsidR="003E022D" w:rsidRDefault="007D19D6">
      <w:pPr>
        <w:rPr>
          <w:noProof/>
        </w:rPr>
      </w:pPr>
      <w:r>
        <w:rPr>
          <w:noProof/>
        </w:rPr>
        <w:t>&lt;header&gt;</w:t>
      </w:r>
    </w:p>
    <w:p w:rsidR="003E022D" w:rsidRDefault="007D19D6">
      <w:pPr>
        <w:rPr>
          <w:noProof/>
        </w:rPr>
      </w:pPr>
      <w:r>
        <w:rPr>
          <w:noProof/>
        </w:rPr>
        <w:t>(…)</w:t>
      </w:r>
    </w:p>
    <w:p w:rsidR="003E022D" w:rsidRDefault="007D19D6">
      <w:pPr>
        <w:rPr>
          <w:noProof/>
        </w:rPr>
      </w:pPr>
      <w:r>
        <w:rPr>
          <w:noProof/>
        </w:rPr>
        <w:t>&lt;/header&gt;</w:t>
      </w:r>
    </w:p>
    <w:p w:rsidR="003E022D" w:rsidRDefault="007D19D6">
      <w:pPr>
        <w:rPr>
          <w:noProof/>
        </w:rPr>
      </w:pPr>
      <w:r>
        <w:rPr>
          <w:noProof/>
        </w:rPr>
        <w:t>&lt;datas&gt;</w:t>
      </w:r>
    </w:p>
    <w:p w:rsidR="003E022D" w:rsidRDefault="007D19D6">
      <w:pPr>
        <w:rPr>
          <w:noProof/>
        </w:rPr>
      </w:pPr>
      <w:r>
        <w:rPr>
          <w:noProof/>
        </w:rPr>
        <w:t>(…)</w:t>
      </w:r>
    </w:p>
    <w:p w:rsidR="003E022D" w:rsidRDefault="007D19D6">
      <w:pPr>
        <w:rPr>
          <w:noProof/>
        </w:rPr>
      </w:pPr>
      <w:r>
        <w:rPr>
          <w:noProof/>
        </w:rPr>
        <w:t>&lt;/datas&gt;</w:t>
      </w:r>
    </w:p>
    <w:p w:rsidR="003E022D" w:rsidRDefault="007D19D6">
      <w:pPr>
        <w:rPr>
          <w:noProof/>
        </w:rPr>
      </w:pPr>
      <w:r>
        <w:rPr>
          <w:noProof/>
        </w:rPr>
        <w:t>[&lt;datas&gt; datu str</w:t>
      </w:r>
      <w:r>
        <w:rPr>
          <w:noProof/>
        </w:rPr>
        <w:t>uktūra ir atkārtota, ja vienā SMTP sūtījumā (…) ir nosūtīti vairāki profili; tas atļauts tikai lietās, uz ko attiecas LAW.PRUM.9. pants [Automatizēta DNS profilu salīdzināšana]</w:t>
      </w:r>
    </w:p>
    <w:p w:rsidR="003E022D" w:rsidRDefault="007D19D6">
      <w:pPr>
        <w:rPr>
          <w:noProof/>
        </w:rPr>
      </w:pPr>
      <w:r>
        <w:rPr>
          <w:noProof/>
        </w:rPr>
        <w:t>&lt;/datas&gt;]</w:t>
      </w:r>
    </w:p>
    <w:p w:rsidR="003E022D" w:rsidRDefault="007D19D6">
      <w:pPr>
        <w:rPr>
          <w:noProof/>
        </w:rPr>
      </w:pPr>
      <w:r>
        <w:rPr>
          <w:noProof/>
        </w:rPr>
        <w:t>&lt;/PRUEMDNA&gt;</w:t>
      </w:r>
    </w:p>
    <w:p w:rsidR="003E022D" w:rsidRDefault="007D19D6">
      <w:pPr>
        <w:spacing w:line="276" w:lineRule="auto"/>
        <w:rPr>
          <w:noProof/>
        </w:rPr>
      </w:pPr>
      <w:r>
        <w:rPr>
          <w:noProof/>
        </w:rPr>
        <w:t>4.2.</w:t>
      </w:r>
      <w:r>
        <w:rPr>
          <w:noProof/>
        </w:rPr>
        <w:tab/>
        <w:t>XML struktūras definējums</w:t>
      </w:r>
    </w:p>
    <w:p w:rsidR="003E022D" w:rsidRDefault="007D19D6">
      <w:pPr>
        <w:rPr>
          <w:noProof/>
        </w:rPr>
      </w:pPr>
      <w:r>
        <w:rPr>
          <w:noProof/>
        </w:rPr>
        <w:t xml:space="preserve">Šis definējums ir </w:t>
      </w:r>
      <w:r>
        <w:rPr>
          <w:noProof/>
        </w:rPr>
        <w:t>paredzēts dokumentācijas un labākas salasāmības nolūkos, savukārt informācija, kas uzliek saistības, ir paredzēta XML shēmas datnē (PRUEM DNA.xsd).</w:t>
      </w:r>
    </w:p>
    <w:p w:rsidR="003E022D" w:rsidRDefault="007D19D6">
      <w:pPr>
        <w:spacing w:line="276" w:lineRule="auto"/>
        <w:rPr>
          <w:noProof/>
        </w:rPr>
      </w:pPr>
      <w:r>
        <w:rPr>
          <w:noProof/>
        </w:rPr>
        <w:t>4.2.1.</w:t>
      </w:r>
      <w:r>
        <w:rPr>
          <w:noProof/>
        </w:rPr>
        <w:tab/>
      </w:r>
      <w:r>
        <w:rPr>
          <w:i/>
          <w:iCs/>
          <w:noProof/>
        </w:rPr>
        <w:t>PRUEMDNAx shēma</w:t>
      </w:r>
    </w:p>
    <w:p w:rsidR="003E022D" w:rsidRDefault="007D19D6">
      <w:pPr>
        <w:rPr>
          <w:noProof/>
        </w:rPr>
      </w:pPr>
      <w:r>
        <w:rPr>
          <w:noProof/>
        </w:rPr>
        <w:t>Tā ietver šādus laukus:</w:t>
      </w:r>
    </w:p>
    <w:tbl>
      <w:tblPr>
        <w:tblW w:w="0" w:type="auto"/>
        <w:tblInd w:w="2229" w:type="dxa"/>
        <w:tblLayout w:type="fixed"/>
        <w:tblLook w:val="0000" w:firstRow="0" w:lastRow="0" w:firstColumn="0" w:lastColumn="0" w:noHBand="0" w:noVBand="0"/>
      </w:tblPr>
      <w:tblGrid>
        <w:gridCol w:w="1062"/>
        <w:gridCol w:w="2028"/>
        <w:gridCol w:w="1739"/>
      </w:tblGrid>
      <w:tr w:rsidR="003E022D">
        <w:tc>
          <w:tcPr>
            <w:tcW w:w="106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Fields</w:t>
            </w:r>
          </w:p>
        </w:tc>
        <w:tc>
          <w:tcPr>
            <w:tcW w:w="20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173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06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header</w:t>
            </w:r>
          </w:p>
        </w:tc>
        <w:tc>
          <w:tcPr>
            <w:tcW w:w="20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PRUEM_header</w:t>
            </w:r>
          </w:p>
        </w:tc>
        <w:tc>
          <w:tcPr>
            <w:tcW w:w="173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Occurs: 1</w:t>
            </w:r>
          </w:p>
        </w:tc>
      </w:tr>
      <w:tr w:rsidR="003E022D">
        <w:tc>
          <w:tcPr>
            <w:tcW w:w="106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datas</w:t>
            </w:r>
          </w:p>
        </w:tc>
        <w:tc>
          <w:tcPr>
            <w:tcW w:w="20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PRUEM_datas</w:t>
            </w:r>
          </w:p>
        </w:tc>
        <w:tc>
          <w:tcPr>
            <w:tcW w:w="173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Occurs: 1 … 500</w:t>
            </w:r>
          </w:p>
        </w:tc>
      </w:tr>
    </w:tbl>
    <w:p w:rsidR="003E022D" w:rsidRDefault="003E022D">
      <w:pPr>
        <w:rPr>
          <w:noProof/>
          <w:lang w:val="en-IE"/>
        </w:rPr>
      </w:pPr>
    </w:p>
    <w:p w:rsidR="003E022D" w:rsidRDefault="007D19D6">
      <w:pPr>
        <w:spacing w:line="276" w:lineRule="auto"/>
        <w:rPr>
          <w:noProof/>
        </w:rPr>
      </w:pPr>
      <w:r>
        <w:rPr>
          <w:noProof/>
        </w:rPr>
        <w:t>4.2.2.</w:t>
      </w:r>
      <w:r>
        <w:rPr>
          <w:noProof/>
        </w:rPr>
        <w:tab/>
      </w:r>
      <w:r>
        <w:rPr>
          <w:i/>
          <w:iCs/>
          <w:noProof/>
        </w:rPr>
        <w:t>Galvenes struktūras saturs</w:t>
      </w:r>
    </w:p>
    <w:p w:rsidR="003E022D" w:rsidRDefault="007D19D6">
      <w:pPr>
        <w:rPr>
          <w:noProof/>
        </w:rPr>
      </w:pPr>
      <w:r>
        <w:rPr>
          <w:noProof/>
        </w:rPr>
        <w:t>4.2.2.1.</w:t>
      </w:r>
      <w:r>
        <w:rPr>
          <w:noProof/>
        </w:rPr>
        <w:tab/>
      </w:r>
      <w:r>
        <w:rPr>
          <w:i/>
          <w:noProof/>
        </w:rPr>
        <w:t>PRUEM</w:t>
      </w:r>
      <w:r>
        <w:rPr>
          <w:noProof/>
        </w:rPr>
        <w:t xml:space="preserve"> galvene</w:t>
      </w:r>
    </w:p>
    <w:p w:rsidR="003E022D" w:rsidRDefault="007D19D6">
      <w:pPr>
        <w:rPr>
          <w:noProof/>
        </w:rPr>
      </w:pPr>
      <w:r>
        <w:rPr>
          <w:noProof/>
        </w:rPr>
        <w:t xml:space="preserve">Šajā struktūrā ir aprakstīta </w:t>
      </w:r>
      <w:r>
        <w:rPr>
          <w:i/>
          <w:noProof/>
        </w:rPr>
        <w:t>XML</w:t>
      </w:r>
      <w:r>
        <w:rPr>
          <w:noProof/>
        </w:rPr>
        <w:t xml:space="preserve"> galvene. Tā ietver šādus laukus:</w:t>
      </w:r>
    </w:p>
    <w:tbl>
      <w:tblPr>
        <w:tblW w:w="0" w:type="auto"/>
        <w:tblInd w:w="650" w:type="dxa"/>
        <w:tblLayout w:type="fixed"/>
        <w:tblLook w:val="0000" w:firstRow="0" w:lastRow="0" w:firstColumn="0" w:lastColumn="0" w:noHBand="0" w:noVBand="0"/>
      </w:tblPr>
      <w:tblGrid>
        <w:gridCol w:w="1917"/>
        <w:gridCol w:w="2555"/>
        <w:gridCol w:w="3514"/>
      </w:tblGrid>
      <w:tr w:rsidR="003E022D">
        <w:tc>
          <w:tcPr>
            <w:tcW w:w="191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Fields</w:t>
            </w:r>
          </w:p>
        </w:tc>
        <w:tc>
          <w:tcPr>
            <w:tcW w:w="255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35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91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direction</w:t>
            </w:r>
          </w:p>
        </w:tc>
        <w:tc>
          <w:tcPr>
            <w:tcW w:w="255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PRUEM_header_dir</w:t>
            </w:r>
          </w:p>
        </w:tc>
        <w:tc>
          <w:tcPr>
            <w:tcW w:w="35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Direction of message flow</w:t>
            </w:r>
          </w:p>
        </w:tc>
      </w:tr>
      <w:tr w:rsidR="003E022D">
        <w:tc>
          <w:tcPr>
            <w:tcW w:w="191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ref</w:t>
            </w:r>
          </w:p>
        </w:tc>
        <w:tc>
          <w:tcPr>
            <w:tcW w:w="255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Reference of</w:t>
            </w:r>
            <w:r>
              <w:rPr>
                <w:noProof/>
              </w:rPr>
              <w:t xml:space="preserve"> the XML file</w:t>
            </w:r>
          </w:p>
        </w:tc>
      </w:tr>
      <w:tr w:rsidR="003E022D">
        <w:tc>
          <w:tcPr>
            <w:tcW w:w="191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generator</w:t>
            </w:r>
          </w:p>
        </w:tc>
        <w:tc>
          <w:tcPr>
            <w:tcW w:w="255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Generator of XML file</w:t>
            </w:r>
          </w:p>
        </w:tc>
      </w:tr>
      <w:tr w:rsidR="003E022D">
        <w:tc>
          <w:tcPr>
            <w:tcW w:w="191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schema_version</w:t>
            </w:r>
          </w:p>
        </w:tc>
        <w:tc>
          <w:tcPr>
            <w:tcW w:w="255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Version number of schema to use</w:t>
            </w:r>
          </w:p>
        </w:tc>
      </w:tr>
      <w:tr w:rsidR="003E022D">
        <w:tc>
          <w:tcPr>
            <w:tcW w:w="191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requesting</w:t>
            </w:r>
          </w:p>
        </w:tc>
        <w:tc>
          <w:tcPr>
            <w:tcW w:w="255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Requesting State info</w:t>
            </w:r>
          </w:p>
        </w:tc>
      </w:tr>
      <w:tr w:rsidR="003E022D">
        <w:tc>
          <w:tcPr>
            <w:tcW w:w="191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requested</w:t>
            </w:r>
          </w:p>
        </w:tc>
        <w:tc>
          <w:tcPr>
            <w:tcW w:w="255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Requested State info</w:t>
            </w:r>
          </w:p>
        </w:tc>
      </w:tr>
    </w:tbl>
    <w:p w:rsidR="003E022D" w:rsidRDefault="003E022D">
      <w:pPr>
        <w:rPr>
          <w:noProof/>
          <w:lang w:val="en-IE"/>
        </w:rPr>
      </w:pPr>
    </w:p>
    <w:p w:rsidR="003E022D" w:rsidRDefault="007D19D6">
      <w:pPr>
        <w:rPr>
          <w:noProof/>
        </w:rPr>
      </w:pPr>
      <w:r>
        <w:rPr>
          <w:noProof/>
        </w:rPr>
        <w:t>4.2.2.2.</w:t>
      </w:r>
      <w:r>
        <w:rPr>
          <w:noProof/>
        </w:rPr>
        <w:tab/>
      </w:r>
      <w:r>
        <w:rPr>
          <w:i/>
          <w:noProof/>
        </w:rPr>
        <w:t>PRUEM_header dir</w:t>
      </w:r>
    </w:p>
    <w:p w:rsidR="003E022D" w:rsidRDefault="007D19D6">
      <w:pPr>
        <w:rPr>
          <w:noProof/>
        </w:rPr>
      </w:pPr>
      <w:r>
        <w:rPr>
          <w:noProof/>
        </w:rPr>
        <w:t>Sūtījumā iekļauto</w:t>
      </w:r>
      <w:r>
        <w:rPr>
          <w:noProof/>
        </w:rPr>
        <w:t xml:space="preserve"> datu tips, kuru vērtība var būt:</w:t>
      </w:r>
    </w:p>
    <w:tbl>
      <w:tblPr>
        <w:tblW w:w="0" w:type="auto"/>
        <w:tblInd w:w="3389" w:type="dxa"/>
        <w:tblLayout w:type="fixed"/>
        <w:tblLook w:val="0000" w:firstRow="0" w:lastRow="0" w:firstColumn="0" w:lastColumn="0" w:noHBand="0" w:noVBand="0"/>
      </w:tblPr>
      <w:tblGrid>
        <w:gridCol w:w="1003"/>
        <w:gridCol w:w="1504"/>
      </w:tblGrid>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Value</w:t>
            </w:r>
          </w:p>
        </w:tc>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w:t>
            </w:r>
          </w:p>
        </w:tc>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Request</w:t>
            </w:r>
          </w:p>
        </w:tc>
      </w:tr>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Answer</w:t>
            </w:r>
          </w:p>
        </w:tc>
      </w:tr>
    </w:tbl>
    <w:p w:rsidR="003E022D" w:rsidRDefault="003E022D">
      <w:pPr>
        <w:rPr>
          <w:noProof/>
          <w:lang w:val="en-IE"/>
        </w:rPr>
      </w:pPr>
    </w:p>
    <w:p w:rsidR="003E022D" w:rsidRDefault="007D19D6">
      <w:pPr>
        <w:rPr>
          <w:noProof/>
        </w:rPr>
      </w:pPr>
      <w:r>
        <w:rPr>
          <w:noProof/>
        </w:rPr>
        <w:t>4.2.2.3.</w:t>
      </w:r>
      <w:r>
        <w:rPr>
          <w:noProof/>
        </w:rPr>
        <w:tab/>
      </w:r>
      <w:r>
        <w:rPr>
          <w:i/>
          <w:noProof/>
        </w:rPr>
        <w:t>PRUEM</w:t>
      </w:r>
      <w:r>
        <w:rPr>
          <w:noProof/>
        </w:rPr>
        <w:t xml:space="preserve"> galvenes informācija</w:t>
      </w:r>
    </w:p>
    <w:p w:rsidR="003E022D" w:rsidRDefault="007D19D6">
      <w:pPr>
        <w:rPr>
          <w:noProof/>
        </w:rPr>
      </w:pPr>
      <w:r>
        <w:rPr>
          <w:noProof/>
        </w:rPr>
        <w:t>Struktūra, lai aprakstītu valsti, kā arī sūtījuma datumu/laiku. Tā ietver šādus laukus:</w:t>
      </w:r>
    </w:p>
    <w:tbl>
      <w:tblPr>
        <w:tblW w:w="0" w:type="auto"/>
        <w:tblInd w:w="604" w:type="dxa"/>
        <w:tblLayout w:type="fixed"/>
        <w:tblLook w:val="0000" w:firstRow="0" w:lastRow="0" w:firstColumn="0" w:lastColumn="0" w:noHBand="0" w:noVBand="0"/>
      </w:tblPr>
      <w:tblGrid>
        <w:gridCol w:w="2262"/>
        <w:gridCol w:w="970"/>
        <w:gridCol w:w="4847"/>
      </w:tblGrid>
      <w:tr w:rsidR="003E022D">
        <w:tc>
          <w:tcPr>
            <w:tcW w:w="226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Fields</w:t>
            </w:r>
          </w:p>
        </w:tc>
        <w:tc>
          <w:tcPr>
            <w:tcW w:w="9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484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226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source_isocode</w:t>
            </w:r>
          </w:p>
        </w:tc>
        <w:tc>
          <w:tcPr>
            <w:tcW w:w="9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ISO 3166-2</w:t>
            </w:r>
            <w:r>
              <w:rPr>
                <w:noProof/>
              </w:rPr>
              <w:t xml:space="preserve"> code of the requesting State</w:t>
            </w:r>
          </w:p>
        </w:tc>
      </w:tr>
      <w:tr w:rsidR="003E022D">
        <w:tc>
          <w:tcPr>
            <w:tcW w:w="226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destination_isocode</w:t>
            </w:r>
          </w:p>
        </w:tc>
        <w:tc>
          <w:tcPr>
            <w:tcW w:w="9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ISO 3166-2 code of the requested State</w:t>
            </w:r>
          </w:p>
        </w:tc>
      </w:tr>
      <w:tr w:rsidR="003E022D">
        <w:tc>
          <w:tcPr>
            <w:tcW w:w="226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request_id</w:t>
            </w:r>
          </w:p>
        </w:tc>
        <w:tc>
          <w:tcPr>
            <w:tcW w:w="9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unique Identifier for a request</w:t>
            </w:r>
          </w:p>
        </w:tc>
      </w:tr>
      <w:tr w:rsidR="003E022D">
        <w:tc>
          <w:tcPr>
            <w:tcW w:w="226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w:t>
            </w:r>
          </w:p>
        </w:tc>
        <w:tc>
          <w:tcPr>
            <w:tcW w:w="9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w:t>
            </w:r>
          </w:p>
        </w:tc>
        <w:tc>
          <w:tcPr>
            <w:tcW w:w="484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 of creation of message</w:t>
            </w:r>
          </w:p>
        </w:tc>
      </w:tr>
      <w:tr w:rsidR="003E022D">
        <w:tc>
          <w:tcPr>
            <w:tcW w:w="226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time</w:t>
            </w:r>
          </w:p>
        </w:tc>
        <w:tc>
          <w:tcPr>
            <w:tcW w:w="9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Time</w:t>
            </w:r>
          </w:p>
        </w:tc>
        <w:tc>
          <w:tcPr>
            <w:tcW w:w="484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Time of creation of message</w:t>
            </w:r>
          </w:p>
        </w:tc>
      </w:tr>
    </w:tbl>
    <w:p w:rsidR="003E022D" w:rsidRDefault="003E022D">
      <w:pPr>
        <w:rPr>
          <w:noProof/>
          <w:lang w:val="en-IE"/>
        </w:rPr>
      </w:pPr>
    </w:p>
    <w:p w:rsidR="003E022D" w:rsidRDefault="007D19D6">
      <w:pPr>
        <w:spacing w:line="276" w:lineRule="auto"/>
        <w:rPr>
          <w:noProof/>
        </w:rPr>
      </w:pPr>
      <w:r>
        <w:rPr>
          <w:noProof/>
        </w:rPr>
        <w:t>4.2.3.</w:t>
      </w:r>
      <w:r>
        <w:rPr>
          <w:noProof/>
        </w:rPr>
        <w:tab/>
      </w:r>
      <w:r>
        <w:rPr>
          <w:i/>
          <w:iCs/>
          <w:noProof/>
        </w:rPr>
        <w:t xml:space="preserve">PRUEM profilu datu </w:t>
      </w:r>
      <w:r>
        <w:rPr>
          <w:i/>
          <w:iCs/>
          <w:noProof/>
        </w:rPr>
        <w:t>saturs</w:t>
      </w:r>
    </w:p>
    <w:p w:rsidR="003E022D" w:rsidRDefault="007D19D6">
      <w:pPr>
        <w:rPr>
          <w:noProof/>
        </w:rPr>
      </w:pPr>
      <w:r>
        <w:rPr>
          <w:noProof/>
        </w:rPr>
        <w:t>4.2.3.1.</w:t>
      </w:r>
      <w:r>
        <w:rPr>
          <w:noProof/>
        </w:rPr>
        <w:tab/>
      </w:r>
      <w:r>
        <w:rPr>
          <w:i/>
          <w:noProof/>
        </w:rPr>
        <w:t>PRUEM_datas</w:t>
      </w:r>
    </w:p>
    <w:p w:rsidR="003E022D" w:rsidRDefault="007D19D6">
      <w:pPr>
        <w:rPr>
          <w:noProof/>
        </w:rPr>
      </w:pPr>
      <w:r>
        <w:rPr>
          <w:noProof/>
        </w:rPr>
        <w:t xml:space="preserve">Šajā struktūrā ir aprakstīta </w:t>
      </w:r>
      <w:r>
        <w:rPr>
          <w:i/>
          <w:noProof/>
        </w:rPr>
        <w:t>XML</w:t>
      </w:r>
      <w:r>
        <w:rPr>
          <w:noProof/>
        </w:rPr>
        <w:t xml:space="preserve"> profila datu daļa. Tā ietver šādus laukus:</w:t>
      </w:r>
    </w:p>
    <w:tbl>
      <w:tblPr>
        <w:tblW w:w="0" w:type="auto"/>
        <w:tblLayout w:type="fixed"/>
        <w:tblLook w:val="0000" w:firstRow="0" w:lastRow="0" w:firstColumn="0" w:lastColumn="0" w:noHBand="0" w:noVBand="0"/>
      </w:tblPr>
      <w:tblGrid>
        <w:gridCol w:w="1671"/>
        <w:gridCol w:w="2786"/>
        <w:gridCol w:w="4829"/>
      </w:tblGrid>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Fields</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reqtype</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PRUEM request type</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Type of request (LAW.PRUM.8. pants [Automatizēta DNS profilu meklēšana] vai LAW.PRUM.9. pants </w:t>
            </w:r>
            <w:r>
              <w:rPr>
                <w:noProof/>
              </w:rPr>
              <w:t>[Automatizēta DNS profilu salīdzināšana])</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 profile stored</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PRUEM_datas_type</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 of profile</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result</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PRUEM_datas_result</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Result of request</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agency</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Name of corresponding unit responsible for the profile</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profile_ident</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Unique </w:t>
            </w:r>
            <w:r>
              <w:rPr>
                <w:noProof/>
              </w:rPr>
              <w:t>State profile ID</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message</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Error Message, if result = E</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profile</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IPSG_DNA_profile</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If direction = A (Answer) AND result ≠ H (Hit) empty</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match_id</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 case of a HIT PROFILE_ID of the requesting profile</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quality</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PRUEM_hitquality_type</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Quality of </w:t>
            </w:r>
            <w:r>
              <w:rPr>
                <w:noProof/>
              </w:rPr>
              <w:t>Hit</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hitcount</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Count of matched Alleles</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rescount</w:t>
            </w:r>
          </w:p>
        </w:tc>
        <w:tc>
          <w:tcPr>
            <w:tcW w:w="27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Count of matched profiles. If direction = R (Request), then empty. If quality!=0 (the original requested profile), then empty.</w:t>
            </w:r>
          </w:p>
        </w:tc>
      </w:tr>
    </w:tbl>
    <w:p w:rsidR="003E022D" w:rsidRDefault="003E022D">
      <w:pPr>
        <w:rPr>
          <w:noProof/>
          <w:lang w:val="en-IE"/>
        </w:rPr>
      </w:pPr>
    </w:p>
    <w:p w:rsidR="003E022D" w:rsidRDefault="007D19D6">
      <w:pPr>
        <w:rPr>
          <w:noProof/>
        </w:rPr>
      </w:pPr>
      <w:r>
        <w:rPr>
          <w:noProof/>
        </w:rPr>
        <w:t>4.2.3.2.</w:t>
      </w:r>
      <w:r>
        <w:rPr>
          <w:noProof/>
        </w:rPr>
        <w:tab/>
      </w:r>
      <w:r>
        <w:rPr>
          <w:i/>
          <w:noProof/>
        </w:rPr>
        <w:t>PRUEM_request_type</w:t>
      </w:r>
    </w:p>
    <w:p w:rsidR="003E022D" w:rsidRDefault="007D19D6">
      <w:pPr>
        <w:rPr>
          <w:noProof/>
        </w:rPr>
      </w:pPr>
      <w:r>
        <w:rPr>
          <w:noProof/>
        </w:rPr>
        <w:t xml:space="preserve">Sūtījumā iekļauto datu tips, kuru </w:t>
      </w:r>
      <w:r>
        <w:rPr>
          <w:noProof/>
        </w:rPr>
        <w:t>vērtība var būt:</w:t>
      </w:r>
    </w:p>
    <w:tbl>
      <w:tblPr>
        <w:tblW w:w="0" w:type="auto"/>
        <w:tblInd w:w="1300" w:type="dxa"/>
        <w:tblLayout w:type="fixed"/>
        <w:tblLook w:val="0000" w:firstRow="0" w:lastRow="0" w:firstColumn="0" w:lastColumn="0" w:noHBand="0" w:noVBand="0"/>
      </w:tblPr>
      <w:tblGrid>
        <w:gridCol w:w="1003"/>
        <w:gridCol w:w="5683"/>
      </w:tblGrid>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Value</w:t>
            </w:r>
          </w:p>
        </w:tc>
        <w:tc>
          <w:tcPr>
            <w:tcW w:w="568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568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Requests pursuant to LAW.PRUM.8. pants [Automatizēta DNS profilu meklēšana]</w:t>
            </w:r>
          </w:p>
        </w:tc>
      </w:tr>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568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Requests pursuant to LAW.PRUM.9. pants [Automatizēta DNS profilu salīdzināšana]</w:t>
            </w:r>
          </w:p>
        </w:tc>
      </w:tr>
    </w:tbl>
    <w:p w:rsidR="003E022D" w:rsidRDefault="003E022D">
      <w:pPr>
        <w:rPr>
          <w:noProof/>
          <w:lang w:val="en-IE"/>
        </w:rPr>
      </w:pPr>
    </w:p>
    <w:p w:rsidR="003E022D" w:rsidRDefault="007D19D6">
      <w:pPr>
        <w:rPr>
          <w:noProof/>
        </w:rPr>
      </w:pPr>
      <w:r>
        <w:rPr>
          <w:noProof/>
        </w:rPr>
        <w:t>4.2.3.3.</w:t>
      </w:r>
      <w:r>
        <w:rPr>
          <w:noProof/>
        </w:rPr>
        <w:tab/>
      </w:r>
      <w:r>
        <w:rPr>
          <w:i/>
          <w:noProof/>
        </w:rPr>
        <w:t>PRUEM_hitquality_type</w:t>
      </w:r>
    </w:p>
    <w:tbl>
      <w:tblPr>
        <w:tblW w:w="0" w:type="auto"/>
        <w:tblLayout w:type="fixed"/>
        <w:tblLook w:val="0000" w:firstRow="0" w:lastRow="0" w:firstColumn="0" w:lastColumn="0" w:noHBand="0" w:noVBand="0"/>
      </w:tblPr>
      <w:tblGrid>
        <w:gridCol w:w="1021"/>
        <w:gridCol w:w="8265"/>
      </w:tblGrid>
      <w:tr w:rsidR="003E022D">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Value</w:t>
            </w:r>
          </w:p>
        </w:tc>
        <w:tc>
          <w:tcPr>
            <w:tcW w:w="826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w:t>
            </w:r>
          </w:p>
        </w:tc>
        <w:tc>
          <w:tcPr>
            <w:tcW w:w="826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Referring original requesting profile:</w:t>
            </w:r>
          </w:p>
          <w:p w:rsidR="003E022D" w:rsidRDefault="007D19D6">
            <w:pPr>
              <w:spacing w:line="276" w:lineRule="auto"/>
              <w:rPr>
                <w:noProof/>
              </w:rPr>
            </w:pPr>
            <w:r>
              <w:rPr>
                <w:noProof/>
              </w:rPr>
              <w:t>Case ‘No-HIT’: original requesting profile sent back only;</w:t>
            </w:r>
          </w:p>
          <w:p w:rsidR="003E022D" w:rsidRDefault="007D19D6">
            <w:pPr>
              <w:spacing w:line="276" w:lineRule="auto"/>
              <w:rPr>
                <w:noProof/>
              </w:rPr>
            </w:pPr>
            <w:r>
              <w:rPr>
                <w:noProof/>
              </w:rPr>
              <w:t>Case ‘HIT’: original requesting profile and matched profiles sent back.</w:t>
            </w:r>
          </w:p>
        </w:tc>
      </w:tr>
      <w:tr w:rsidR="003E022D">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26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Equal in all available alleles without wildcards</w:t>
            </w:r>
          </w:p>
        </w:tc>
      </w:tr>
      <w:tr w:rsidR="003E022D">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826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Equal in all available alleles </w:t>
            </w:r>
            <w:r>
              <w:rPr>
                <w:noProof/>
              </w:rPr>
              <w:t>with wildcards</w:t>
            </w:r>
          </w:p>
        </w:tc>
      </w:tr>
      <w:tr w:rsidR="003E022D">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826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HIT with Deviation (Microvariant)</w:t>
            </w:r>
          </w:p>
        </w:tc>
      </w:tr>
      <w:tr w:rsidR="003E022D">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826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HIT with mismatch</w:t>
            </w:r>
          </w:p>
        </w:tc>
      </w:tr>
    </w:tbl>
    <w:p w:rsidR="003E022D" w:rsidRDefault="003E022D">
      <w:pPr>
        <w:rPr>
          <w:noProof/>
          <w:lang w:val="en-IE"/>
        </w:rPr>
      </w:pPr>
    </w:p>
    <w:p w:rsidR="003E022D" w:rsidRDefault="007D19D6">
      <w:pPr>
        <w:rPr>
          <w:noProof/>
        </w:rPr>
      </w:pPr>
      <w:r>
        <w:rPr>
          <w:noProof/>
        </w:rPr>
        <w:t>4.2.3.4.</w:t>
      </w:r>
      <w:r>
        <w:rPr>
          <w:noProof/>
        </w:rPr>
        <w:tab/>
      </w:r>
      <w:r>
        <w:rPr>
          <w:i/>
          <w:noProof/>
        </w:rPr>
        <w:t>PRUEM_data_type</w:t>
      </w:r>
    </w:p>
    <w:p w:rsidR="003E022D" w:rsidRDefault="007D19D6">
      <w:pPr>
        <w:rPr>
          <w:noProof/>
        </w:rPr>
      </w:pPr>
      <w:r>
        <w:rPr>
          <w:noProof/>
        </w:rPr>
        <w:t>Sūtījumā iekļauto datu tips, kuru vērtība var būt:</w:t>
      </w:r>
    </w:p>
    <w:tbl>
      <w:tblPr>
        <w:tblW w:w="0" w:type="auto"/>
        <w:tblInd w:w="3297" w:type="dxa"/>
        <w:tblLayout w:type="fixed"/>
        <w:tblLook w:val="0000" w:firstRow="0" w:lastRow="0" w:firstColumn="0" w:lastColumn="0" w:noHBand="0" w:noVBand="0"/>
      </w:tblPr>
      <w:tblGrid>
        <w:gridCol w:w="969"/>
        <w:gridCol w:w="1724"/>
      </w:tblGrid>
      <w:tr w:rsidR="003E022D">
        <w:tc>
          <w:tcPr>
            <w:tcW w:w="96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Value</w:t>
            </w:r>
          </w:p>
        </w:tc>
        <w:tc>
          <w:tcPr>
            <w:tcW w:w="172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96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w:t>
            </w:r>
          </w:p>
        </w:tc>
        <w:tc>
          <w:tcPr>
            <w:tcW w:w="172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Person profile</w:t>
            </w:r>
          </w:p>
        </w:tc>
      </w:tr>
      <w:tr w:rsidR="003E022D">
        <w:tc>
          <w:tcPr>
            <w:tcW w:w="96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w:t>
            </w:r>
          </w:p>
        </w:tc>
        <w:tc>
          <w:tcPr>
            <w:tcW w:w="172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Stain</w:t>
            </w:r>
          </w:p>
        </w:tc>
      </w:tr>
    </w:tbl>
    <w:p w:rsidR="003E022D" w:rsidRDefault="003E022D">
      <w:pPr>
        <w:rPr>
          <w:noProof/>
          <w:lang w:val="en-IE"/>
        </w:rPr>
      </w:pPr>
    </w:p>
    <w:p w:rsidR="003E022D" w:rsidRDefault="007D19D6">
      <w:pPr>
        <w:rPr>
          <w:noProof/>
        </w:rPr>
      </w:pPr>
      <w:r>
        <w:rPr>
          <w:noProof/>
        </w:rPr>
        <w:t>4.2.3.5.</w:t>
      </w:r>
      <w:r>
        <w:rPr>
          <w:noProof/>
        </w:rPr>
        <w:tab/>
      </w:r>
      <w:r>
        <w:rPr>
          <w:i/>
          <w:noProof/>
        </w:rPr>
        <w:t>PRUEM_data_result</w:t>
      </w:r>
    </w:p>
    <w:p w:rsidR="003E022D" w:rsidRDefault="007D19D6">
      <w:pPr>
        <w:rPr>
          <w:noProof/>
        </w:rPr>
      </w:pPr>
      <w:r>
        <w:rPr>
          <w:noProof/>
        </w:rPr>
        <w:t xml:space="preserve">Sūtījumā iekļauto datu tips, </w:t>
      </w:r>
      <w:r>
        <w:rPr>
          <w:noProof/>
        </w:rPr>
        <w:t>kuru vērtība var būt:</w:t>
      </w:r>
    </w:p>
    <w:tbl>
      <w:tblPr>
        <w:tblW w:w="0" w:type="auto"/>
        <w:tblInd w:w="2229" w:type="dxa"/>
        <w:tblLayout w:type="fixed"/>
        <w:tblLook w:val="0000" w:firstRow="0" w:lastRow="0" w:firstColumn="0" w:lastColumn="0" w:noHBand="0" w:noVBand="0"/>
      </w:tblPr>
      <w:tblGrid>
        <w:gridCol w:w="966"/>
        <w:gridCol w:w="3863"/>
      </w:tblGrid>
      <w:tr w:rsidR="003E022D">
        <w:tc>
          <w:tcPr>
            <w:tcW w:w="9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Value</w:t>
            </w:r>
          </w:p>
        </w:tc>
        <w:tc>
          <w:tcPr>
            <w:tcW w:w="386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9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w:t>
            </w:r>
          </w:p>
        </w:tc>
        <w:tc>
          <w:tcPr>
            <w:tcW w:w="386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Undefined, If direction = R (request)</w:t>
            </w:r>
          </w:p>
        </w:tc>
      </w:tr>
      <w:tr w:rsidR="003E022D">
        <w:tc>
          <w:tcPr>
            <w:tcW w:w="9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w:t>
            </w:r>
          </w:p>
        </w:tc>
        <w:tc>
          <w:tcPr>
            <w:tcW w:w="386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HIT</w:t>
            </w:r>
          </w:p>
        </w:tc>
      </w:tr>
      <w:tr w:rsidR="003E022D">
        <w:tc>
          <w:tcPr>
            <w:tcW w:w="9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386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No-HIT</w:t>
            </w:r>
          </w:p>
        </w:tc>
      </w:tr>
      <w:tr w:rsidR="003E022D">
        <w:tc>
          <w:tcPr>
            <w:tcW w:w="9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w:t>
            </w:r>
          </w:p>
        </w:tc>
        <w:tc>
          <w:tcPr>
            <w:tcW w:w="386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Error</w:t>
            </w:r>
          </w:p>
        </w:tc>
      </w:tr>
    </w:tbl>
    <w:p w:rsidR="003E022D" w:rsidRDefault="003E022D">
      <w:pPr>
        <w:rPr>
          <w:noProof/>
          <w:lang w:val="en-IE"/>
        </w:rPr>
      </w:pPr>
    </w:p>
    <w:p w:rsidR="003E022D" w:rsidRDefault="007D19D6">
      <w:pPr>
        <w:rPr>
          <w:noProof/>
        </w:rPr>
      </w:pPr>
      <w:r>
        <w:rPr>
          <w:noProof/>
        </w:rPr>
        <w:t>4.2.3.6.</w:t>
      </w:r>
      <w:r>
        <w:rPr>
          <w:noProof/>
        </w:rPr>
        <w:tab/>
      </w:r>
      <w:r>
        <w:rPr>
          <w:i/>
          <w:noProof/>
        </w:rPr>
        <w:t>IPSG_DNA_profile</w:t>
      </w:r>
    </w:p>
    <w:p w:rsidR="003E022D" w:rsidRDefault="007D19D6">
      <w:pPr>
        <w:rPr>
          <w:noProof/>
        </w:rPr>
      </w:pPr>
      <w:r>
        <w:rPr>
          <w:noProof/>
        </w:rPr>
        <w:t>DNS profila apraksta struktūra. Tā ietver šādus laukus:</w:t>
      </w:r>
    </w:p>
    <w:tbl>
      <w:tblPr>
        <w:tblW w:w="0" w:type="auto"/>
        <w:tblLayout w:type="fixed"/>
        <w:tblLook w:val="0000" w:firstRow="0" w:lastRow="0" w:firstColumn="0" w:lastColumn="0" w:noHBand="0" w:noVBand="0"/>
      </w:tblPr>
      <w:tblGrid>
        <w:gridCol w:w="1764"/>
        <w:gridCol w:w="3158"/>
        <w:gridCol w:w="4364"/>
      </w:tblGrid>
      <w:tr w:rsidR="003E022D">
        <w:tc>
          <w:tcPr>
            <w:tcW w:w="17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Fields</w:t>
            </w:r>
          </w:p>
        </w:tc>
        <w:tc>
          <w:tcPr>
            <w:tcW w:w="315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43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7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ess_issol</w:t>
            </w:r>
          </w:p>
        </w:tc>
        <w:tc>
          <w:tcPr>
            <w:tcW w:w="315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IPSG_DNA_ISSOL</w:t>
            </w:r>
          </w:p>
        </w:tc>
        <w:tc>
          <w:tcPr>
            <w:tcW w:w="43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Group of loci </w:t>
            </w:r>
            <w:r>
              <w:rPr>
                <w:noProof/>
              </w:rPr>
              <w:t>corresponding to the ISSOL (standard group of Loci of Interpol)</w:t>
            </w:r>
          </w:p>
        </w:tc>
      </w:tr>
      <w:tr w:rsidR="003E022D">
        <w:tc>
          <w:tcPr>
            <w:tcW w:w="17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additional_loci</w:t>
            </w:r>
          </w:p>
        </w:tc>
        <w:tc>
          <w:tcPr>
            <w:tcW w:w="315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IPSG_DNA_additional_loci</w:t>
            </w:r>
          </w:p>
        </w:tc>
        <w:tc>
          <w:tcPr>
            <w:tcW w:w="43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Other loci</w:t>
            </w:r>
          </w:p>
        </w:tc>
      </w:tr>
      <w:tr w:rsidR="003E022D">
        <w:tc>
          <w:tcPr>
            <w:tcW w:w="17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marker</w:t>
            </w:r>
          </w:p>
        </w:tc>
        <w:tc>
          <w:tcPr>
            <w:tcW w:w="315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Method used to generate of DNA</w:t>
            </w:r>
          </w:p>
        </w:tc>
      </w:tr>
      <w:tr w:rsidR="003E022D">
        <w:tc>
          <w:tcPr>
            <w:tcW w:w="17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profile_id</w:t>
            </w:r>
          </w:p>
        </w:tc>
        <w:tc>
          <w:tcPr>
            <w:tcW w:w="315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Unique identifier for DNA profile</w:t>
            </w:r>
          </w:p>
        </w:tc>
      </w:tr>
    </w:tbl>
    <w:p w:rsidR="003E022D" w:rsidRDefault="003E022D">
      <w:pPr>
        <w:rPr>
          <w:noProof/>
          <w:lang w:val="fr-FR"/>
        </w:rPr>
      </w:pPr>
    </w:p>
    <w:p w:rsidR="003E022D" w:rsidRDefault="007D19D6">
      <w:pPr>
        <w:rPr>
          <w:noProof/>
        </w:rPr>
      </w:pPr>
      <w:r>
        <w:rPr>
          <w:noProof/>
        </w:rPr>
        <w:t>4.2.3.7.</w:t>
      </w:r>
      <w:r>
        <w:rPr>
          <w:noProof/>
        </w:rPr>
        <w:tab/>
      </w:r>
      <w:r>
        <w:rPr>
          <w:i/>
          <w:noProof/>
        </w:rPr>
        <w:t>IPSG_DNA_ISSOL</w:t>
      </w:r>
    </w:p>
    <w:p w:rsidR="003E022D" w:rsidRDefault="007D19D6">
      <w:pPr>
        <w:rPr>
          <w:noProof/>
        </w:rPr>
      </w:pPr>
      <w:r>
        <w:rPr>
          <w:noProof/>
        </w:rPr>
        <w:t>Struktūra, kur</w:t>
      </w:r>
      <w:r>
        <w:rPr>
          <w:noProof/>
        </w:rPr>
        <w:t xml:space="preserve">ā iekļauti </w:t>
      </w:r>
      <w:r>
        <w:rPr>
          <w:i/>
          <w:noProof/>
        </w:rPr>
        <w:t>ISSOL</w:t>
      </w:r>
      <w:r>
        <w:rPr>
          <w:noProof/>
        </w:rPr>
        <w:t xml:space="preserve"> lokusi (Interpola lokusu standarta komplekss). Tā ietver šādus laukus:</w:t>
      </w:r>
    </w:p>
    <w:tbl>
      <w:tblPr>
        <w:tblW w:w="0" w:type="auto"/>
        <w:tblInd w:w="1857" w:type="dxa"/>
        <w:tblLayout w:type="fixed"/>
        <w:tblLook w:val="0000" w:firstRow="0" w:lastRow="0" w:firstColumn="0" w:lastColumn="0" w:noHBand="0" w:noVBand="0"/>
      </w:tblPr>
      <w:tblGrid>
        <w:gridCol w:w="1504"/>
        <w:gridCol w:w="2173"/>
        <w:gridCol w:w="1895"/>
      </w:tblGrid>
      <w:tr w:rsidR="003E022D">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Fields</w:t>
            </w:r>
          </w:p>
        </w:tc>
        <w:tc>
          <w:tcPr>
            <w:tcW w:w="21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189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vwa</w:t>
            </w:r>
          </w:p>
        </w:tc>
        <w:tc>
          <w:tcPr>
            <w:tcW w:w="21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vwa</w:t>
            </w:r>
          </w:p>
        </w:tc>
      </w:tr>
      <w:tr w:rsidR="003E022D">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th01</w:t>
            </w:r>
          </w:p>
        </w:tc>
        <w:tc>
          <w:tcPr>
            <w:tcW w:w="21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th01</w:t>
            </w:r>
          </w:p>
        </w:tc>
      </w:tr>
      <w:tr w:rsidR="003E022D">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d21s11</w:t>
            </w:r>
          </w:p>
        </w:tc>
        <w:tc>
          <w:tcPr>
            <w:tcW w:w="21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d21s11</w:t>
            </w:r>
          </w:p>
        </w:tc>
      </w:tr>
      <w:tr w:rsidR="003E022D">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fga</w:t>
            </w:r>
          </w:p>
        </w:tc>
        <w:tc>
          <w:tcPr>
            <w:tcW w:w="21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fga</w:t>
            </w:r>
          </w:p>
        </w:tc>
      </w:tr>
      <w:tr w:rsidR="003E022D">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d8s1179</w:t>
            </w:r>
          </w:p>
        </w:tc>
        <w:tc>
          <w:tcPr>
            <w:tcW w:w="21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d8s1179</w:t>
            </w:r>
          </w:p>
        </w:tc>
      </w:tr>
      <w:tr w:rsidR="003E022D">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d3s1358</w:t>
            </w:r>
          </w:p>
        </w:tc>
        <w:tc>
          <w:tcPr>
            <w:tcW w:w="21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d3s1358</w:t>
            </w:r>
          </w:p>
        </w:tc>
      </w:tr>
      <w:tr w:rsidR="003E022D">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d18s51</w:t>
            </w:r>
          </w:p>
        </w:tc>
        <w:tc>
          <w:tcPr>
            <w:tcW w:w="21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d18s51</w:t>
            </w:r>
          </w:p>
        </w:tc>
      </w:tr>
      <w:tr w:rsidR="003E022D">
        <w:tc>
          <w:tcPr>
            <w:tcW w:w="150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amelogenin</w:t>
            </w:r>
          </w:p>
        </w:tc>
        <w:tc>
          <w:tcPr>
            <w:tcW w:w="217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amelogin</w:t>
            </w:r>
          </w:p>
        </w:tc>
      </w:tr>
    </w:tbl>
    <w:p w:rsidR="003E022D" w:rsidRDefault="003E022D">
      <w:pPr>
        <w:rPr>
          <w:noProof/>
          <w:lang w:val="en-IE"/>
        </w:rPr>
      </w:pPr>
    </w:p>
    <w:p w:rsidR="003E022D" w:rsidRDefault="007D19D6">
      <w:pPr>
        <w:rPr>
          <w:noProof/>
        </w:rPr>
      </w:pPr>
      <w:r>
        <w:rPr>
          <w:noProof/>
        </w:rPr>
        <w:t>4.2.3.8.</w:t>
      </w:r>
      <w:r>
        <w:rPr>
          <w:noProof/>
        </w:rPr>
        <w:tab/>
      </w:r>
      <w:r>
        <w:rPr>
          <w:i/>
          <w:noProof/>
        </w:rPr>
        <w:t>IPSG_DNA_additional_loci</w:t>
      </w:r>
    </w:p>
    <w:p w:rsidR="003E022D" w:rsidRDefault="007D19D6">
      <w:pPr>
        <w:rPr>
          <w:noProof/>
        </w:rPr>
      </w:pPr>
      <w:r>
        <w:rPr>
          <w:noProof/>
        </w:rPr>
        <w:t>Struktūra, kurā iekļauti citi lokusi. Tā ietver šādus laukus:</w:t>
      </w:r>
    </w:p>
    <w:tbl>
      <w:tblPr>
        <w:tblW w:w="0" w:type="auto"/>
        <w:tblInd w:w="2089" w:type="dxa"/>
        <w:tblLayout w:type="fixed"/>
        <w:tblLook w:val="0000" w:firstRow="0" w:lastRow="0" w:firstColumn="0" w:lastColumn="0" w:noHBand="0" w:noVBand="0"/>
      </w:tblPr>
      <w:tblGrid>
        <w:gridCol w:w="1175"/>
        <w:gridCol w:w="2145"/>
        <w:gridCol w:w="1787"/>
      </w:tblGrid>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Fields</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tpox</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tpox</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csf1po</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csf1po</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d13s317</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d13s317</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d7s820</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d7s820</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d5s818</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d5s818</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d16s539</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d16s539</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d2s1338</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d2s1338</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d19s433</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d19s433</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penta_d</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penta_d</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penta_e</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penta_e</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fes</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fes</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f13a1</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f13a1</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f13b</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f13b</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se33</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se33</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cd4</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cd4</w:t>
            </w:r>
          </w:p>
        </w:tc>
      </w:tr>
      <w:tr w:rsidR="003E022D">
        <w:tc>
          <w:tcPr>
            <w:tcW w:w="11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gaba</w:t>
            </w:r>
          </w:p>
        </w:tc>
        <w:tc>
          <w:tcPr>
            <w:tcW w:w="214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Locus gaba</w:t>
            </w:r>
          </w:p>
        </w:tc>
      </w:tr>
    </w:tbl>
    <w:p w:rsidR="003E022D" w:rsidRDefault="003E022D">
      <w:pPr>
        <w:rPr>
          <w:noProof/>
          <w:lang w:val="en-IE"/>
        </w:rPr>
      </w:pPr>
    </w:p>
    <w:p w:rsidR="003E022D" w:rsidRDefault="007D19D6">
      <w:pPr>
        <w:rPr>
          <w:noProof/>
        </w:rPr>
      </w:pPr>
      <w:r>
        <w:rPr>
          <w:noProof/>
        </w:rPr>
        <w:t>4.2.3.9.</w:t>
      </w:r>
      <w:r>
        <w:rPr>
          <w:noProof/>
        </w:rPr>
        <w:tab/>
      </w:r>
      <w:r>
        <w:rPr>
          <w:i/>
          <w:noProof/>
        </w:rPr>
        <w:t>IPSG_DNA_locus</w:t>
      </w:r>
    </w:p>
    <w:p w:rsidR="003E022D" w:rsidRDefault="007D19D6">
      <w:pPr>
        <w:rPr>
          <w:noProof/>
        </w:rPr>
      </w:pPr>
      <w:r>
        <w:rPr>
          <w:noProof/>
        </w:rPr>
        <w:t>Lokusa apraksta struktūra. Tā ietver šādus laukus:</w:t>
      </w:r>
    </w:p>
    <w:tbl>
      <w:tblPr>
        <w:tblW w:w="0" w:type="auto"/>
        <w:tblInd w:w="2043" w:type="dxa"/>
        <w:tblLayout w:type="fixed"/>
        <w:tblLook w:val="0000" w:firstRow="0" w:lastRow="0" w:firstColumn="0" w:lastColumn="0" w:noHBand="0" w:noVBand="0"/>
      </w:tblPr>
      <w:tblGrid>
        <w:gridCol w:w="1456"/>
        <w:gridCol w:w="988"/>
        <w:gridCol w:w="2756"/>
      </w:tblGrid>
      <w:tr w:rsidR="003E022D">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Fields</w:t>
            </w:r>
          </w:p>
        </w:tc>
        <w:tc>
          <w:tcPr>
            <w:tcW w:w="98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27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low_allele</w:t>
            </w:r>
          </w:p>
        </w:tc>
        <w:tc>
          <w:tcPr>
            <w:tcW w:w="98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Lowest value of an allele</w:t>
            </w:r>
          </w:p>
        </w:tc>
      </w:tr>
      <w:tr w:rsidR="003E022D">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high_allele</w:t>
            </w:r>
          </w:p>
        </w:tc>
        <w:tc>
          <w:tcPr>
            <w:tcW w:w="98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Highest value of an allele</w:t>
            </w:r>
          </w:p>
        </w:tc>
      </w:tr>
    </w:tbl>
    <w:p w:rsidR="003E022D" w:rsidRDefault="003E022D">
      <w:pPr>
        <w:rPr>
          <w:noProof/>
          <w:lang w:val="en-IE"/>
        </w:rPr>
      </w:pPr>
    </w:p>
    <w:p w:rsidR="003E022D" w:rsidRDefault="007D19D6">
      <w:pPr>
        <w:spacing w:line="276" w:lineRule="auto"/>
        <w:rPr>
          <w:noProof/>
        </w:rPr>
      </w:pPr>
      <w:r>
        <w:rPr>
          <w:noProof/>
        </w:rPr>
        <w:t>5.</w:t>
      </w:r>
      <w:r>
        <w:rPr>
          <w:noProof/>
        </w:rPr>
        <w:tab/>
        <w:t>Programmatūras, drošības un sakaru arhitektūra</w:t>
      </w:r>
    </w:p>
    <w:p w:rsidR="003E022D" w:rsidRDefault="007D19D6">
      <w:pPr>
        <w:spacing w:line="276" w:lineRule="auto"/>
        <w:rPr>
          <w:noProof/>
        </w:rPr>
      </w:pPr>
      <w:r>
        <w:rPr>
          <w:noProof/>
        </w:rPr>
        <w:t>5.1.</w:t>
      </w:r>
      <w:r>
        <w:rPr>
          <w:noProof/>
        </w:rPr>
        <w:tab/>
        <w:t>Pārskats</w:t>
      </w:r>
    </w:p>
    <w:p w:rsidR="003E022D" w:rsidRDefault="007D19D6">
      <w:pPr>
        <w:rPr>
          <w:noProof/>
        </w:rPr>
      </w:pPr>
      <w:r>
        <w:rPr>
          <w:noProof/>
        </w:rPr>
        <w:t>Īstenojot lietojumprogrammu, lai veiktu DNS datu apmaiņu saistībā ar trešās daļas II sadaļu [Apmaiņa ar DNS, pirkstu nospiedumu un transportlīdzekļu reģistrācijas datiem, izmanto kopēju saziņ</w:t>
      </w:r>
      <w:r>
        <w:rPr>
          <w:noProof/>
        </w:rPr>
        <w:t>as tīklu, ko loģiski saslēgs valstu starpā. Lai kopējo saziņas infrastruktūru efektīvāk izmantotu pieprasījumu nosūtīšanai un atbilžu saņemšanai, ir izstrādāts asinhrons mehānisms, ar ko DNS un daktiloskopijas datu pieprasījumus konvertē par SMTP e-pasta s</w:t>
      </w:r>
      <w:r>
        <w:rPr>
          <w:noProof/>
        </w:rPr>
        <w:t xml:space="preserve">ūtījumiem. Ņemot vērā drošības apsvērumus, kā </w:t>
      </w:r>
      <w:r>
        <w:rPr>
          <w:i/>
          <w:noProof/>
        </w:rPr>
        <w:t>SMTP</w:t>
      </w:r>
      <w:r>
        <w:rPr>
          <w:noProof/>
        </w:rPr>
        <w:t xml:space="preserve"> protokola paplašinājumu izmantos </w:t>
      </w:r>
      <w:r>
        <w:rPr>
          <w:i/>
          <w:noProof/>
        </w:rPr>
        <w:t>s/MIME</w:t>
      </w:r>
      <w:r>
        <w:rPr>
          <w:noProof/>
        </w:rPr>
        <w:t xml:space="preserve"> mehānismu, lai tīklā nodrošinātu drošu datu pārraidi visā sakaru tuneļa garumā (</w:t>
      </w:r>
      <w:r>
        <w:rPr>
          <w:i/>
          <w:noProof/>
        </w:rPr>
        <w:t>true end-to-end secure tunnel</w:t>
      </w:r>
      <w:r>
        <w:rPr>
          <w:noProof/>
        </w:rPr>
        <w:t>).</w:t>
      </w:r>
    </w:p>
    <w:p w:rsidR="003E022D" w:rsidRDefault="007D19D6">
      <w:pPr>
        <w:rPr>
          <w:noProof/>
        </w:rPr>
      </w:pPr>
      <w:r>
        <w:rPr>
          <w:noProof/>
        </w:rPr>
        <w:t xml:space="preserve">Operatīvo </w:t>
      </w:r>
      <w:r>
        <w:rPr>
          <w:i/>
          <w:noProof/>
        </w:rPr>
        <w:t xml:space="preserve">Trans European Services for Telematics </w:t>
      </w:r>
      <w:r>
        <w:rPr>
          <w:i/>
          <w:noProof/>
        </w:rPr>
        <w:t>between Administrations</w:t>
      </w:r>
      <w:r>
        <w:rPr>
          <w:noProof/>
        </w:rPr>
        <w:t xml:space="preserve"> – Eiropas pārvaldes iestāžu saziņas tīklu (</w:t>
      </w:r>
      <w:r>
        <w:rPr>
          <w:i/>
          <w:noProof/>
        </w:rPr>
        <w:t>TESTA</w:t>
      </w:r>
      <w:r>
        <w:rPr>
          <w:noProof/>
        </w:rPr>
        <w:t xml:space="preserve">) valstis izmanto kā sakaru tīklu, lai apmainītos ar datiem. Par </w:t>
      </w:r>
      <w:r>
        <w:rPr>
          <w:i/>
          <w:noProof/>
        </w:rPr>
        <w:t>TESTA</w:t>
      </w:r>
      <w:r>
        <w:rPr>
          <w:noProof/>
        </w:rPr>
        <w:t xml:space="preserve"> darbību ir atbildīga Eiropas Komisija. Ņemot vērā to, ka valstu DNS datubāzes un pašreizējie valstu piekļuves pun</w:t>
      </w:r>
      <w:r>
        <w:rPr>
          <w:noProof/>
        </w:rPr>
        <w:t xml:space="preserve">kti </w:t>
      </w:r>
      <w:r>
        <w:rPr>
          <w:i/>
          <w:noProof/>
        </w:rPr>
        <w:t>TESTA</w:t>
      </w:r>
      <w:r>
        <w:rPr>
          <w:noProof/>
        </w:rPr>
        <w:t xml:space="preserve"> var atrasties dažādās valstu vietās, piekļuvi </w:t>
      </w:r>
      <w:r>
        <w:rPr>
          <w:i/>
          <w:noProof/>
        </w:rPr>
        <w:t>TESTA</w:t>
      </w:r>
      <w:r>
        <w:rPr>
          <w:noProof/>
        </w:rPr>
        <w:t xml:space="preserve"> var izstrādāt:</w:t>
      </w:r>
    </w:p>
    <w:p w:rsidR="003E022D" w:rsidRDefault="007D19D6">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 xml:space="preserve">izmantojot pašreizējo valsts piekļuves punktu vai izveidojot jaunu valsts </w:t>
      </w:r>
      <w:r>
        <w:rPr>
          <w:rFonts w:ascii="Calibri" w:hAnsi="Calibri"/>
          <w:i/>
          <w:noProof/>
        </w:rPr>
        <w:t>TESTA</w:t>
      </w:r>
      <w:r>
        <w:rPr>
          <w:rFonts w:ascii="Calibri" w:hAnsi="Calibri"/>
          <w:noProof/>
        </w:rPr>
        <w:t xml:space="preserve"> piekļuves punktu; vai </w:t>
      </w:r>
    </w:p>
    <w:p w:rsidR="003E022D" w:rsidRDefault="007D19D6">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 xml:space="preserve">izveidojot drošu vietēju saiti no vietnes, kurā atrodas kompetentas valsts aģentūras pārvaldītā DNS datubāze, līdz pastāvošajam valsts </w:t>
      </w:r>
      <w:r>
        <w:rPr>
          <w:rFonts w:ascii="Calibri" w:hAnsi="Calibri"/>
          <w:i/>
          <w:noProof/>
        </w:rPr>
        <w:t>TESTA</w:t>
      </w:r>
      <w:r>
        <w:rPr>
          <w:rFonts w:ascii="Calibri" w:hAnsi="Calibri"/>
          <w:noProof/>
        </w:rPr>
        <w:t xml:space="preserve"> piekļuves punktam.</w:t>
      </w:r>
    </w:p>
    <w:p w:rsidR="003E022D" w:rsidRDefault="007D19D6">
      <w:pPr>
        <w:rPr>
          <w:noProof/>
        </w:rPr>
      </w:pPr>
      <w:r>
        <w:rPr>
          <w:noProof/>
        </w:rPr>
        <w:t>Protokoli un standarti, ko izmanto, lai īstenotu trešās daļas II sadaļu [Apmaiņa ar DNS, pirkstu</w:t>
      </w:r>
      <w:r>
        <w:rPr>
          <w:noProof/>
        </w:rPr>
        <w:t xml:space="preserve"> nospiedumu un transportlīdzekļu reģistrācijas datiem], ir saskaņā ar atvērtiem standartiem (</w:t>
      </w:r>
      <w:r>
        <w:rPr>
          <w:i/>
          <w:iCs/>
          <w:noProof/>
        </w:rPr>
        <w:t>open standards</w:t>
      </w:r>
      <w:r>
        <w:rPr>
          <w:noProof/>
        </w:rPr>
        <w:t>) un prasībām, ko paredzējuši valstu valsts drošības politikas veidotāji.</w:t>
      </w:r>
    </w:p>
    <w:p w:rsidR="003E022D" w:rsidRDefault="007D19D6">
      <w:pPr>
        <w:spacing w:line="276" w:lineRule="auto"/>
        <w:rPr>
          <w:noProof/>
        </w:rPr>
      </w:pPr>
      <w:r>
        <w:rPr>
          <w:noProof/>
        </w:rPr>
        <w:t>5.2.</w:t>
      </w:r>
      <w:r>
        <w:rPr>
          <w:noProof/>
        </w:rPr>
        <w:tab/>
        <w:t>Augstākā līmeņa arhitektūra (</w:t>
      </w:r>
      <w:r>
        <w:rPr>
          <w:i/>
          <w:noProof/>
        </w:rPr>
        <w:t>Upper Level Architecture</w:t>
      </w:r>
      <w:r>
        <w:rPr>
          <w:noProof/>
        </w:rPr>
        <w:t>)</w:t>
      </w:r>
    </w:p>
    <w:p w:rsidR="003E022D" w:rsidRDefault="007D19D6">
      <w:pPr>
        <w:rPr>
          <w:noProof/>
        </w:rPr>
      </w:pPr>
      <w:r>
        <w:rPr>
          <w:noProof/>
        </w:rPr>
        <w:t>Trešās daļas II</w:t>
      </w:r>
      <w:r>
        <w:rPr>
          <w:noProof/>
        </w:rPr>
        <w:t> sadaļas [Apmaiņa ar DNS, pirkstu nospiedumu un transportlīdzekļu reģistrācijas datiem] darbības jomā paredzēts, ka katra valsts darīs pieejamus DNS datus, lai veiktu to apmaiņu ar citām valstīm un/vai lai citas valstis varētu datus izmantot meklēšanā sask</w:t>
      </w:r>
      <w:r>
        <w:rPr>
          <w:noProof/>
        </w:rPr>
        <w:t>aņā ar standartizētu un kopēju datu formātu. Arhitektūra ir veidota tā, lai būtu iespējama jebkura tīkla dalībnieka komunikācija ar jebkuru citu tīkla dalībnieku. Tādējādi nav nedz centrāla datora servera, nedz centralizētas datubāzes, kurā uzglabā DNS pro</w:t>
      </w:r>
      <w:r>
        <w:rPr>
          <w:noProof/>
        </w:rPr>
        <w:t>filus.</w:t>
      </w:r>
    </w:p>
    <w:p w:rsidR="003E022D" w:rsidRDefault="007D19D6">
      <w:pPr>
        <w:spacing w:line="276" w:lineRule="auto"/>
        <w:jc w:val="center"/>
        <w:rPr>
          <w:i/>
          <w:noProof/>
        </w:rPr>
      </w:pPr>
      <w:r>
        <w:rPr>
          <w:i/>
          <w:noProof/>
        </w:rPr>
        <w:t>1.attēls: DNS datu apmaiņas topoloģija</w:t>
      </w:r>
    </w:p>
    <w:p w:rsidR="003E022D" w:rsidRDefault="007D19D6">
      <w:pPr>
        <w:spacing w:line="276" w:lineRule="auto"/>
        <w:rPr>
          <w:noProof/>
        </w:rPr>
      </w:pPr>
      <w:r>
        <w:rPr>
          <w:noProof/>
          <w:lang w:val="fr-BE" w:eastAsia="fr-BE"/>
        </w:rPr>
        <w:drawing>
          <wp:inline distT="0" distB="0" distL="0" distR="0">
            <wp:extent cx="4311015" cy="333121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11015" cy="3331210"/>
                    </a:xfrm>
                    <a:prstGeom prst="rect">
                      <a:avLst/>
                    </a:prstGeom>
                    <a:noFill/>
                    <a:ln>
                      <a:noFill/>
                    </a:ln>
                  </pic:spPr>
                </pic:pic>
              </a:graphicData>
            </a:graphic>
          </wp:inline>
        </w:drawing>
      </w:r>
    </w:p>
    <w:p w:rsidR="003E022D" w:rsidRDefault="007D19D6">
      <w:pPr>
        <w:rPr>
          <w:noProof/>
        </w:rPr>
      </w:pPr>
      <w:r>
        <w:rPr>
          <w:noProof/>
        </w:rPr>
        <w:t>Papildus tam, ka valstu vietnēs ievēro iekšzemes juridiskos ierobežojumus, katra valsts var nolemt, kāda tipa aparatūra un programmatūra būtu jāizmanto, lai tās vietnē veiktu konfigurāciju saskaņā ar trešās d</w:t>
      </w:r>
      <w:r>
        <w:rPr>
          <w:noProof/>
        </w:rPr>
        <w:t>aļas II sadaļas [Apmaiņa ar DNS, pirkstu nospiedumu un transportlīdzekļu reģistrācijas datiem] paredzētajām prasībām.</w:t>
      </w:r>
    </w:p>
    <w:p w:rsidR="003E022D" w:rsidRDefault="007D19D6">
      <w:pPr>
        <w:spacing w:line="276" w:lineRule="auto"/>
        <w:rPr>
          <w:noProof/>
        </w:rPr>
      </w:pPr>
      <w:r>
        <w:rPr>
          <w:noProof/>
        </w:rPr>
        <w:t>5.3.</w:t>
      </w:r>
      <w:r>
        <w:rPr>
          <w:noProof/>
        </w:rPr>
        <w:tab/>
        <w:t>Drošības standarti un datu aizsardzība</w:t>
      </w:r>
    </w:p>
    <w:p w:rsidR="003E022D" w:rsidRDefault="007D19D6">
      <w:pPr>
        <w:rPr>
          <w:noProof/>
        </w:rPr>
      </w:pPr>
      <w:r>
        <w:rPr>
          <w:noProof/>
        </w:rPr>
        <w:t>Ir apsvērti un ieviesti trīs drošības līmeņi.</w:t>
      </w:r>
    </w:p>
    <w:p w:rsidR="003E022D" w:rsidRDefault="007D19D6">
      <w:pPr>
        <w:spacing w:line="276" w:lineRule="auto"/>
        <w:rPr>
          <w:noProof/>
        </w:rPr>
      </w:pPr>
      <w:r>
        <w:rPr>
          <w:noProof/>
        </w:rPr>
        <w:t>5.3.1.</w:t>
      </w:r>
      <w:r>
        <w:rPr>
          <w:noProof/>
        </w:rPr>
        <w:tab/>
      </w:r>
      <w:r>
        <w:rPr>
          <w:i/>
          <w:iCs/>
          <w:noProof/>
        </w:rPr>
        <w:t>Datu līmenis</w:t>
      </w:r>
    </w:p>
    <w:p w:rsidR="003E022D" w:rsidRDefault="007D19D6">
      <w:pPr>
        <w:rPr>
          <w:noProof/>
        </w:rPr>
      </w:pPr>
      <w:r>
        <w:rPr>
          <w:noProof/>
        </w:rPr>
        <w:t>DNS profilu datus, ko iesnie</w:t>
      </w:r>
      <w:r>
        <w:rPr>
          <w:noProof/>
        </w:rPr>
        <w:t>gusi katra valsts, sagatavo saskaņā ar kopējiem datu aizsardzības standartiem, lai pieprasījuma iesniedzējas valstis saņemtu atbildi, kurā galvenokārt būtu norādīts, vai IR vai NAV konstatēta ATBILSME, kā arī – ja ir konstatēta ATBILSME – norāda identifikā</w:t>
      </w:r>
      <w:r>
        <w:rPr>
          <w:noProof/>
        </w:rPr>
        <w:t>cijas numuru, kurā nav iekļauti nekādi personas dati. Pēc tam, kad saņemts paziņojums par ATBILSMI, turpmāku izmeklēšanu veiks divpusēji saskaņā ar spēkā esošiem iekšzemes juridiskiem un organizatoriskiem noteikumiem par attiecīgo valstu vietnēm.</w:t>
      </w:r>
    </w:p>
    <w:p w:rsidR="003E022D" w:rsidRDefault="007D19D6">
      <w:pPr>
        <w:spacing w:line="276" w:lineRule="auto"/>
        <w:rPr>
          <w:noProof/>
        </w:rPr>
      </w:pPr>
      <w:r>
        <w:rPr>
          <w:noProof/>
        </w:rPr>
        <w:t>5.3.2.</w:t>
      </w:r>
      <w:r>
        <w:rPr>
          <w:noProof/>
        </w:rPr>
        <w:tab/>
      </w:r>
      <w:r>
        <w:rPr>
          <w:i/>
          <w:iCs/>
          <w:noProof/>
        </w:rPr>
        <w:t>Sa</w:t>
      </w:r>
      <w:r>
        <w:rPr>
          <w:i/>
          <w:iCs/>
          <w:noProof/>
        </w:rPr>
        <w:t>karu līmenis</w:t>
      </w:r>
    </w:p>
    <w:p w:rsidR="003E022D" w:rsidRDefault="007D19D6">
      <w:pPr>
        <w:rPr>
          <w:noProof/>
        </w:rPr>
      </w:pPr>
      <w:r>
        <w:rPr>
          <w:noProof/>
        </w:rPr>
        <w:t xml:space="preserve">DNS profila informācijas sūtījumus (pieprasījumus un atbildes) pirms pārsūtīšanas citām valstīm šifrēs, izmantojot modernu mehānismu, kas ir saskaņā ar atvērtiem standartiem, piemēram, </w:t>
      </w:r>
      <w:r>
        <w:rPr>
          <w:i/>
          <w:noProof/>
        </w:rPr>
        <w:t>s/MIME</w:t>
      </w:r>
      <w:r>
        <w:rPr>
          <w:noProof/>
        </w:rPr>
        <w:t>.</w:t>
      </w:r>
    </w:p>
    <w:p w:rsidR="003E022D" w:rsidRDefault="007D19D6">
      <w:pPr>
        <w:spacing w:line="276" w:lineRule="auto"/>
        <w:rPr>
          <w:noProof/>
        </w:rPr>
      </w:pPr>
      <w:r>
        <w:rPr>
          <w:noProof/>
        </w:rPr>
        <w:t>5.3.3.</w:t>
      </w:r>
      <w:r>
        <w:rPr>
          <w:noProof/>
        </w:rPr>
        <w:tab/>
      </w:r>
      <w:r>
        <w:rPr>
          <w:i/>
          <w:iCs/>
          <w:noProof/>
        </w:rPr>
        <w:t>Pārsūtīšanas līmenis</w:t>
      </w:r>
    </w:p>
    <w:p w:rsidR="003E022D" w:rsidRDefault="007D19D6">
      <w:pPr>
        <w:rPr>
          <w:noProof/>
        </w:rPr>
      </w:pPr>
      <w:r>
        <w:rPr>
          <w:noProof/>
        </w:rPr>
        <w:t>Visus šifrētos DNS pro</w:t>
      </w:r>
      <w:r>
        <w:rPr>
          <w:noProof/>
        </w:rPr>
        <w:t>fila informācijas sūtījumus pārsūtīs citām valstīm, starptautiskā mērogā izmantojot virtuālu privātu tunelēšanas sistēmu (</w:t>
      </w:r>
      <w:r>
        <w:rPr>
          <w:i/>
          <w:noProof/>
        </w:rPr>
        <w:t>tunneling system</w:t>
      </w:r>
      <w:r>
        <w:rPr>
          <w:noProof/>
        </w:rPr>
        <w:t>), ko apsaimnieko uzticams tīkla pakalpojumu sniedzējs, valstu mērogā savukārt nodrošinot drošas saites ar tunelēšanas</w:t>
      </w:r>
      <w:r>
        <w:rPr>
          <w:noProof/>
        </w:rPr>
        <w:t xml:space="preserve"> sistēmu, par kurām ir atbildīgas attiecīgās valstis. Tādai virtuālai privātai tunelēšanas sistēmai nav savienojuma punktu ar atklātībā pieejamo internetu.</w:t>
      </w:r>
    </w:p>
    <w:p w:rsidR="003E022D" w:rsidRDefault="007D19D6">
      <w:pPr>
        <w:spacing w:line="276" w:lineRule="auto"/>
        <w:rPr>
          <w:noProof/>
        </w:rPr>
      </w:pPr>
      <w:r>
        <w:rPr>
          <w:noProof/>
        </w:rPr>
        <w:t>5.4.</w:t>
      </w:r>
      <w:r>
        <w:rPr>
          <w:noProof/>
        </w:rPr>
        <w:tab/>
        <w:t>Šifrēšanas mehānisma protokoli un standarti: s/MIME un saistītas pakotnes (packages)</w:t>
      </w:r>
    </w:p>
    <w:p w:rsidR="003E022D" w:rsidRDefault="007D19D6">
      <w:pPr>
        <w:rPr>
          <w:noProof/>
        </w:rPr>
      </w:pPr>
      <w:bookmarkStart w:id="1361" w:name="_Hlk57135330"/>
      <w:r>
        <w:rPr>
          <w:noProof/>
        </w:rPr>
        <w:t xml:space="preserve">Lai šifrētu DNS profila informācijas sūtījumus, izmantos atvērtā standarta protokola </w:t>
      </w:r>
      <w:r>
        <w:rPr>
          <w:i/>
          <w:noProof/>
        </w:rPr>
        <w:t>s/MIME</w:t>
      </w:r>
      <w:r>
        <w:rPr>
          <w:noProof/>
        </w:rPr>
        <w:t xml:space="preserve"> paplašinājumu, ko pievienos e-pasta standartam </w:t>
      </w:r>
      <w:r>
        <w:rPr>
          <w:i/>
          <w:noProof/>
        </w:rPr>
        <w:t>SMTP</w:t>
      </w:r>
      <w:r>
        <w:rPr>
          <w:noProof/>
        </w:rPr>
        <w:t>. Protokols s/MIME (V3) ļauj izmantot parakstītus sūtījumus, drošības iezīmes (</w:t>
      </w:r>
      <w:r>
        <w:rPr>
          <w:i/>
          <w:noProof/>
        </w:rPr>
        <w:t>security labels</w:t>
      </w:r>
      <w:r>
        <w:rPr>
          <w:noProof/>
        </w:rPr>
        <w:t>) un drošus e-pastu</w:t>
      </w:r>
      <w:r>
        <w:rPr>
          <w:noProof/>
        </w:rPr>
        <w:t xml:space="preserve"> sarakstus, turklāt tas ir papildu slānis (</w:t>
      </w:r>
      <w:r>
        <w:rPr>
          <w:i/>
          <w:noProof/>
        </w:rPr>
        <w:t>layer</w:t>
      </w:r>
      <w:r>
        <w:rPr>
          <w:noProof/>
        </w:rPr>
        <w:t>) CMS sintaksei (</w:t>
      </w:r>
      <w:r>
        <w:rPr>
          <w:i/>
          <w:noProof/>
        </w:rPr>
        <w:t>Cryptographic Message Syntax – CMS</w:t>
      </w:r>
      <w:r>
        <w:rPr>
          <w:noProof/>
        </w:rPr>
        <w:t>), kas ir Interneta tehniskās uzdevumgrupas (</w:t>
      </w:r>
      <w:r>
        <w:rPr>
          <w:i/>
          <w:noProof/>
        </w:rPr>
        <w:t>IETF</w:t>
      </w:r>
      <w:r>
        <w:rPr>
          <w:noProof/>
        </w:rPr>
        <w:t>) specifikācija, lai nodrošinātu sūtījumu kriptogrāfisku aizsardzību. To var izmantot, lai digitāli parakstī</w:t>
      </w:r>
      <w:r>
        <w:rPr>
          <w:noProof/>
        </w:rPr>
        <w:t>tu, apstrādātu (</w:t>
      </w:r>
      <w:r>
        <w:rPr>
          <w:i/>
          <w:noProof/>
        </w:rPr>
        <w:t>digest</w:t>
      </w:r>
      <w:r>
        <w:rPr>
          <w:noProof/>
        </w:rPr>
        <w:t>), autentificētu vai šifrētu jebkuru digitālu datu formu.</w:t>
      </w:r>
    </w:p>
    <w:bookmarkEnd w:id="1361"/>
    <w:p w:rsidR="003E022D" w:rsidRDefault="007D19D6">
      <w:pPr>
        <w:rPr>
          <w:noProof/>
        </w:rPr>
      </w:pPr>
      <w:r>
        <w:rPr>
          <w:noProof/>
        </w:rPr>
        <w:t>s/MIME mehānisma pamatā esošajam un tajā izmantotajam sertifikātam (</w:t>
      </w:r>
      <w:r>
        <w:rPr>
          <w:i/>
          <w:noProof/>
        </w:rPr>
        <w:t>certificate</w:t>
      </w:r>
      <w:r>
        <w:rPr>
          <w:noProof/>
        </w:rPr>
        <w:t>) ir jāatbilst X.509 standartam. Lai nodrošinātu ar citām Prīmes lietojumprogrammām kopējus stand</w:t>
      </w:r>
      <w:r>
        <w:rPr>
          <w:noProof/>
        </w:rPr>
        <w:t>artus un procedūras, s/MIME šifrēšanas darbībām vai darbībām, ko paredzēts veikt dažādās komercializētās, publiski pieejamās sistēmās (</w:t>
      </w:r>
      <w:r>
        <w:rPr>
          <w:i/>
          <w:noProof/>
        </w:rPr>
        <w:t>Commercial Product of the Shelves – COTS</w:t>
      </w:r>
      <w:r>
        <w:rPr>
          <w:noProof/>
        </w:rPr>
        <w:t>) piemēro šādus noteikumus: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darbību secība ir šāda: no sākuma šifrē, pēc tam para</w:t>
      </w:r>
      <w:r>
        <w:rPr>
          <w:rFonts w:ascii="Calibri" w:hAnsi="Calibri"/>
          <w:noProof/>
          <w:sz w:val="22"/>
          <w:szCs w:val="22"/>
        </w:rPr>
        <w:t>ksta,</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 xml:space="preserve">šifrēšanas algoritmu </w:t>
      </w:r>
      <w:r>
        <w:rPr>
          <w:rFonts w:ascii="Calibri" w:hAnsi="Calibri"/>
          <w:i/>
          <w:noProof/>
          <w:sz w:val="22"/>
          <w:szCs w:val="22"/>
        </w:rPr>
        <w:t>AES</w:t>
      </w:r>
      <w:r>
        <w:rPr>
          <w:rFonts w:ascii="Calibri" w:hAnsi="Calibri"/>
          <w:noProof/>
          <w:sz w:val="22"/>
          <w:szCs w:val="22"/>
        </w:rPr>
        <w:t xml:space="preserve"> (</w:t>
      </w:r>
      <w:r>
        <w:rPr>
          <w:rFonts w:ascii="Calibri" w:hAnsi="Calibri"/>
          <w:i/>
          <w:noProof/>
          <w:sz w:val="22"/>
          <w:szCs w:val="22"/>
        </w:rPr>
        <w:t>Advanced Encryption Standard</w:t>
      </w:r>
      <w:r>
        <w:rPr>
          <w:rFonts w:ascii="Calibri" w:hAnsi="Calibri"/>
          <w:noProof/>
          <w:sz w:val="22"/>
          <w:szCs w:val="22"/>
        </w:rPr>
        <w:t>) ar 256 bitu atslēgas garumu (</w:t>
      </w:r>
      <w:r>
        <w:rPr>
          <w:rFonts w:ascii="Calibri" w:hAnsi="Calibri"/>
          <w:i/>
          <w:noProof/>
          <w:sz w:val="22"/>
          <w:szCs w:val="22"/>
        </w:rPr>
        <w:t>key length</w:t>
      </w:r>
      <w:r>
        <w:rPr>
          <w:rFonts w:ascii="Calibri" w:hAnsi="Calibri"/>
          <w:noProof/>
          <w:sz w:val="22"/>
          <w:szCs w:val="22"/>
        </w:rPr>
        <w:t xml:space="preserve">) un </w:t>
      </w:r>
      <w:r>
        <w:rPr>
          <w:rFonts w:ascii="Calibri" w:hAnsi="Calibri"/>
          <w:i/>
          <w:noProof/>
          <w:sz w:val="22"/>
          <w:szCs w:val="22"/>
        </w:rPr>
        <w:t>RSA</w:t>
      </w:r>
      <w:r>
        <w:rPr>
          <w:rFonts w:ascii="Calibri" w:hAnsi="Calibri"/>
          <w:noProof/>
          <w:sz w:val="22"/>
          <w:szCs w:val="22"/>
        </w:rPr>
        <w:t xml:space="preserve"> ar 1024 bitu atslēgas garumu attiecīgi piemēro simetriskai un asimetriskai šifrēšanai,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piemēro jaucējfunkcijas algoritmu ("</w:t>
      </w:r>
      <w:r>
        <w:rPr>
          <w:rFonts w:ascii="Calibri" w:hAnsi="Calibri"/>
          <w:i/>
          <w:noProof/>
          <w:sz w:val="22"/>
          <w:szCs w:val="22"/>
        </w:rPr>
        <w:t>hash algorithm</w:t>
      </w:r>
      <w:r>
        <w:rPr>
          <w:rFonts w:ascii="Calibri" w:hAnsi="Calibri"/>
          <w:noProof/>
          <w:sz w:val="22"/>
          <w:szCs w:val="22"/>
        </w:rPr>
        <w:t xml:space="preserve">") </w:t>
      </w:r>
      <w:r>
        <w:rPr>
          <w:rFonts w:ascii="Calibri" w:hAnsi="Calibri"/>
          <w:i/>
          <w:noProof/>
          <w:sz w:val="22"/>
          <w:szCs w:val="22"/>
        </w:rPr>
        <w:t>SHA-1</w:t>
      </w:r>
      <w:r>
        <w:rPr>
          <w:rFonts w:ascii="Calibri" w:hAnsi="Calibri"/>
          <w:noProof/>
          <w:sz w:val="22"/>
          <w:szCs w:val="22"/>
        </w:rPr>
        <w:t>.</w:t>
      </w:r>
    </w:p>
    <w:p w:rsidR="003E022D" w:rsidRDefault="007D19D6">
      <w:pPr>
        <w:rPr>
          <w:noProof/>
        </w:rPr>
      </w:pPr>
      <w:r>
        <w:rPr>
          <w:i/>
          <w:noProof/>
        </w:rPr>
        <w:t>s/MIME</w:t>
      </w:r>
      <w:r>
        <w:rPr>
          <w:noProof/>
        </w:rPr>
        <w:t xml:space="preserve"> funkcionalitāte ir integrēta ļoti daudzās modernās e-pasta programmatūras pakotnēs, tostarp </w:t>
      </w:r>
      <w:r>
        <w:rPr>
          <w:i/>
          <w:noProof/>
        </w:rPr>
        <w:t>Outlook</w:t>
      </w:r>
      <w:r>
        <w:rPr>
          <w:noProof/>
        </w:rPr>
        <w:t xml:space="preserve">, </w:t>
      </w:r>
      <w:r>
        <w:rPr>
          <w:i/>
          <w:noProof/>
        </w:rPr>
        <w:t>Mozilla Mail</w:t>
      </w:r>
      <w:r>
        <w:rPr>
          <w:noProof/>
        </w:rPr>
        <w:t xml:space="preserve">, kā arī </w:t>
      </w:r>
      <w:r>
        <w:rPr>
          <w:i/>
          <w:noProof/>
        </w:rPr>
        <w:t>Netscape Communicator 4.x</w:t>
      </w:r>
      <w:r>
        <w:rPr>
          <w:noProof/>
        </w:rPr>
        <w:t>, turklāt to izmanto savstarpējā komunikācijā visās galvenās e-pastu programmatūru pakotnēs.</w:t>
      </w:r>
    </w:p>
    <w:p w:rsidR="003E022D" w:rsidRDefault="007D19D6">
      <w:pPr>
        <w:rPr>
          <w:noProof/>
        </w:rPr>
      </w:pPr>
      <w:r>
        <w:rPr>
          <w:noProof/>
        </w:rPr>
        <w:t xml:space="preserve">Tā kā </w:t>
      </w:r>
      <w:r>
        <w:rPr>
          <w:i/>
          <w:noProof/>
        </w:rPr>
        <w:t>s/</w:t>
      </w:r>
      <w:r>
        <w:rPr>
          <w:i/>
          <w:noProof/>
        </w:rPr>
        <w:t>MIME</w:t>
      </w:r>
      <w:r>
        <w:rPr>
          <w:noProof/>
        </w:rPr>
        <w:t xml:space="preserve"> standartu ir vienkārši integrēt visu valstu vietņu IT infrastruktūrā, tas ir izvēlēts kā lietderīgs mehānisms, lai nodrošinātu saziņas drošības līmeni. Lai efektīvāk sasniegtu mērķi "Koncepcijas pierādījums" ("Proof of Concept") un lai mazinātu izmaks</w:t>
      </w:r>
      <w:r>
        <w:rPr>
          <w:noProof/>
        </w:rPr>
        <w:t xml:space="preserve">as, DNS datu apmaiņas prototipa pamatā savukārt ir izvēlēts atvērtais standarts JavaMail API. </w:t>
      </w:r>
      <w:r>
        <w:rPr>
          <w:i/>
          <w:noProof/>
        </w:rPr>
        <w:t>JavaMail API</w:t>
      </w:r>
      <w:r>
        <w:rPr>
          <w:noProof/>
        </w:rPr>
        <w:t xml:space="preserve"> nodrošina vienkāršas e-pastu šifrēšanas un atšifrēšanas funkcijas, izmantojot </w:t>
      </w:r>
      <w:r>
        <w:rPr>
          <w:i/>
          <w:noProof/>
        </w:rPr>
        <w:t>s/MIME</w:t>
      </w:r>
      <w:r>
        <w:rPr>
          <w:noProof/>
        </w:rPr>
        <w:t xml:space="preserve"> un/vai </w:t>
      </w:r>
      <w:r>
        <w:rPr>
          <w:i/>
          <w:noProof/>
        </w:rPr>
        <w:t>OpenPGP</w:t>
      </w:r>
      <w:r>
        <w:rPr>
          <w:noProof/>
        </w:rPr>
        <w:t>. Iecere ir sniegt vienu viegli izmantojamu API sa</w:t>
      </w:r>
      <w:r>
        <w:rPr>
          <w:noProof/>
        </w:rPr>
        <w:t>skarni tiem e-pasta klientiem, kas vēlas sūtīt un saņemt šifrētus e-pastus, izmantojot vienu no abiem populārākajiem e-pastu šifrēšanas formātiem. Tāpēc jebkāds moderns JavaMail API īstenojums būs pietiekams, lai izpildītu trešās daļas II sadaļā [Apmaiņa a</w:t>
      </w:r>
      <w:r>
        <w:rPr>
          <w:noProof/>
        </w:rPr>
        <w:t xml:space="preserve">r DNS, pirkstu nospiedumu un transportlīdzekļu reģistrācijas datiem] izvirzītās prasības, piemēram, </w:t>
      </w:r>
      <w:r>
        <w:rPr>
          <w:i/>
          <w:iCs/>
          <w:noProof/>
        </w:rPr>
        <w:t>Bouncy Castle JCE (Java Cryptographic Extension</w:t>
      </w:r>
      <w:r>
        <w:rPr>
          <w:noProof/>
        </w:rPr>
        <w:t>) izstrādājums, ko izmantos, lai īstenotu s/</w:t>
      </w:r>
      <w:r>
        <w:rPr>
          <w:i/>
          <w:iCs/>
          <w:noProof/>
        </w:rPr>
        <w:t>MIME</w:t>
      </w:r>
      <w:r>
        <w:rPr>
          <w:noProof/>
        </w:rPr>
        <w:t xml:space="preserve"> standartu, kas būtu visu valstu starpā veidotās DNS datu apm</w:t>
      </w:r>
      <w:r>
        <w:rPr>
          <w:noProof/>
        </w:rPr>
        <w:t>aiņas sistēmas prototipa pamatā.</w:t>
      </w:r>
    </w:p>
    <w:p w:rsidR="003E022D" w:rsidRDefault="007D19D6">
      <w:pPr>
        <w:spacing w:line="276" w:lineRule="auto"/>
        <w:rPr>
          <w:noProof/>
        </w:rPr>
      </w:pPr>
      <w:r>
        <w:rPr>
          <w:noProof/>
        </w:rPr>
        <w:t>5.5.</w:t>
      </w:r>
      <w:r>
        <w:rPr>
          <w:noProof/>
        </w:rPr>
        <w:tab/>
        <w:t>Lietojumprogrammu arhitektūra</w:t>
      </w:r>
    </w:p>
    <w:p w:rsidR="003E022D" w:rsidRDefault="007D19D6">
      <w:pPr>
        <w:rPr>
          <w:noProof/>
        </w:rPr>
      </w:pPr>
      <w:r>
        <w:rPr>
          <w:noProof/>
        </w:rPr>
        <w:t xml:space="preserve">Katra valsts citām valstīm iesniedz standartizētus DNS profilu datus, kas saskan ar pašreizējo kopējo </w:t>
      </w:r>
      <w:r>
        <w:rPr>
          <w:i/>
          <w:noProof/>
        </w:rPr>
        <w:t>ICD</w:t>
      </w:r>
      <w:r>
        <w:rPr>
          <w:noProof/>
        </w:rPr>
        <w:t xml:space="preserve">. To var izdarīt, sniedzot loģisku pārskatu par konkrētu valstu datubāzēm vai </w:t>
      </w:r>
      <w:r>
        <w:rPr>
          <w:noProof/>
        </w:rPr>
        <w:t>nodrošinot fiziski eksportētu datubāzi (indeksētu datubāzi).</w:t>
      </w:r>
    </w:p>
    <w:p w:rsidR="003E022D" w:rsidRDefault="007D19D6">
      <w:pPr>
        <w:rPr>
          <w:noProof/>
        </w:rPr>
      </w:pPr>
      <w:r>
        <w:rPr>
          <w:noProof/>
        </w:rPr>
        <w:t>Lietojumprogrammas darbības loģiku neatkarīgi no izmantotā izstrādājuma īsteno četri šādi galvenie komponenti: e-pasta serveris/</w:t>
      </w:r>
      <w:r>
        <w:rPr>
          <w:i/>
          <w:noProof/>
        </w:rPr>
        <w:t>s/MIME</w:t>
      </w:r>
      <w:r>
        <w:rPr>
          <w:noProof/>
        </w:rPr>
        <w:t>, lietojumprogrammas serveris, datu struktūras protokols (</w:t>
      </w:r>
      <w:r>
        <w:rPr>
          <w:i/>
          <w:noProof/>
        </w:rPr>
        <w:t>Dat</w:t>
      </w:r>
      <w:r>
        <w:rPr>
          <w:i/>
          <w:noProof/>
        </w:rPr>
        <w:t>a Structure Area</w:t>
      </w:r>
      <w:r>
        <w:rPr>
          <w:noProof/>
        </w:rPr>
        <w:t>), lai veiktu datu ienesi (</w:t>
      </w:r>
      <w:r>
        <w:rPr>
          <w:i/>
          <w:noProof/>
        </w:rPr>
        <w:t>fetching</w:t>
      </w:r>
      <w:r>
        <w:rPr>
          <w:noProof/>
        </w:rPr>
        <w:t>) un ievadīšanu (</w:t>
      </w:r>
      <w:r>
        <w:rPr>
          <w:i/>
          <w:noProof/>
        </w:rPr>
        <w:t>feeding</w:t>
      </w:r>
      <w:r>
        <w:rPr>
          <w:noProof/>
        </w:rPr>
        <w:t>) un reģistrētu saņemtos un nosūtītos sūtījumus, kā arī sakritību apstrādes sistēma (</w:t>
      </w:r>
      <w:r>
        <w:rPr>
          <w:i/>
          <w:noProof/>
        </w:rPr>
        <w:t>Match Engine</w:t>
      </w:r>
      <w:r>
        <w:rPr>
          <w:noProof/>
        </w:rPr>
        <w:t>).</w:t>
      </w:r>
    </w:p>
    <w:p w:rsidR="003E022D" w:rsidRDefault="007D19D6">
      <w:pPr>
        <w:rPr>
          <w:noProof/>
        </w:rPr>
      </w:pPr>
      <w:r>
        <w:rPr>
          <w:noProof/>
        </w:rPr>
        <w:t xml:space="preserve">Lai visām valstīm atvieglotu komponentu integrāciju to attiecīgajās valstu </w:t>
      </w:r>
      <w:r>
        <w:rPr>
          <w:noProof/>
        </w:rPr>
        <w:t>vietnēs, ir īstenota īpaša kopēja funkcionalitāte, izmantojot atvērto avotu komponentus, ko katra valsts var izvēlēties saskaņā ar savu IT politiku un noteikumiem. Tā kā ir paredzēts īstenot neatkarīgas iezīmes, lai gūtu piekļuvi indeksētām datubāzēm, kurā</w:t>
      </w:r>
      <w:r>
        <w:rPr>
          <w:noProof/>
        </w:rPr>
        <w:t>s iekļauti ar trešās daļas II sadaļu [Apmaiņa ar DNS, pirkstu nospiedumu un transportlīdzekļu reģistrācijas datiem] reglamentētie DNS profili, katra valsts var brīvi izraudzīties aparatūras un programmatūras platformu, tostarp datubāzi un operētājsistēmas.</w:t>
      </w:r>
    </w:p>
    <w:p w:rsidR="003E022D" w:rsidRDefault="007D19D6">
      <w:pPr>
        <w:rPr>
          <w:noProof/>
        </w:rPr>
      </w:pPr>
      <w:r>
        <w:rPr>
          <w:noProof/>
        </w:rPr>
        <w:t xml:space="preserve">Ir izstrādāts un pastāvošajā kopējā tīklā sekmīgi pārbaudīts DNS datu apmaiņas prototips. Versija 1.0 jau darbojas reāla darba apstākļos, un to izmanto, veicot ikdienas darbības. Valstis var izmantot kopīgi izstrādātus IT izstrādājumus, tomēr tās var arī </w:t>
      </w:r>
      <w:r>
        <w:rPr>
          <w:noProof/>
        </w:rPr>
        <w:t>attīstīt savus izstrādājumus. Kopējā izstrādājuma komponentus uzturēs, piemēros un turpinās attīstīt saskaņā ar izmaiņām IT tehnoloģijās, kriminālistikā un/vai saskaņā ar funkcionālām policijas vajadzībām.</w:t>
      </w:r>
    </w:p>
    <w:p w:rsidR="003E022D" w:rsidRDefault="007D19D6">
      <w:pPr>
        <w:spacing w:line="276" w:lineRule="auto"/>
        <w:jc w:val="center"/>
        <w:rPr>
          <w:i/>
          <w:noProof/>
        </w:rPr>
      </w:pPr>
      <w:r>
        <w:rPr>
          <w:i/>
          <w:noProof/>
        </w:rPr>
        <w:t>2.attēls: Lietojumprogrammas topoloģijas pārskats</w:t>
      </w:r>
    </w:p>
    <w:p w:rsidR="003E022D" w:rsidRDefault="007D19D6">
      <w:pPr>
        <w:spacing w:line="276" w:lineRule="auto"/>
        <w:rPr>
          <w:noProof/>
        </w:rPr>
      </w:pPr>
      <w:r>
        <w:rPr>
          <w:noProof/>
          <w:lang w:val="fr-BE" w:eastAsia="fr-BE"/>
        </w:rPr>
        <w:drawing>
          <wp:inline distT="0" distB="0" distL="0" distR="0">
            <wp:extent cx="4311015" cy="2220595"/>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rsidR="003E022D" w:rsidRDefault="007D19D6">
      <w:pPr>
        <w:spacing w:line="276" w:lineRule="auto"/>
        <w:rPr>
          <w:noProof/>
        </w:rPr>
      </w:pPr>
      <w:r>
        <w:rPr>
          <w:noProof/>
        </w:rPr>
        <w:t>5.6.</w:t>
      </w:r>
      <w:r>
        <w:rPr>
          <w:noProof/>
        </w:rPr>
        <w:tab/>
        <w:t>Lietojumprogrammas arhitektūrā izmantotie protokoli un standarti:</w:t>
      </w:r>
    </w:p>
    <w:p w:rsidR="003E022D" w:rsidRDefault="007D19D6">
      <w:pPr>
        <w:spacing w:line="276" w:lineRule="auto"/>
        <w:rPr>
          <w:noProof/>
        </w:rPr>
      </w:pPr>
      <w:r>
        <w:rPr>
          <w:noProof/>
        </w:rPr>
        <w:t>5.6.1.</w:t>
      </w:r>
      <w:r>
        <w:rPr>
          <w:noProof/>
        </w:rPr>
        <w:tab/>
      </w:r>
      <w:r>
        <w:rPr>
          <w:i/>
          <w:iCs/>
          <w:noProof/>
        </w:rPr>
        <w:t>XML</w:t>
      </w:r>
    </w:p>
    <w:p w:rsidR="003E022D" w:rsidRDefault="007D19D6">
      <w:pPr>
        <w:rPr>
          <w:noProof/>
        </w:rPr>
      </w:pPr>
      <w:r>
        <w:rPr>
          <w:noProof/>
        </w:rPr>
        <w:t xml:space="preserve">DNS datu apmaiņā kā pielikumu </w:t>
      </w:r>
      <w:r>
        <w:rPr>
          <w:i/>
          <w:noProof/>
        </w:rPr>
        <w:t>SMTP</w:t>
      </w:r>
      <w:r>
        <w:rPr>
          <w:noProof/>
        </w:rPr>
        <w:t xml:space="preserve"> e-pasta sūtījumiem pilnībā izmantos </w:t>
      </w:r>
      <w:r>
        <w:rPr>
          <w:i/>
          <w:noProof/>
        </w:rPr>
        <w:t>XML</w:t>
      </w:r>
      <w:r>
        <w:rPr>
          <w:noProof/>
        </w:rPr>
        <w:t xml:space="preserve"> shēmu. Paplašināmās iezīmēšanas valoda (</w:t>
      </w:r>
      <w:r>
        <w:rPr>
          <w:i/>
          <w:noProof/>
        </w:rPr>
        <w:t>eXtensible Markup Language</w:t>
      </w:r>
      <w:r>
        <w:rPr>
          <w:noProof/>
        </w:rPr>
        <w:t xml:space="preserve"> – </w:t>
      </w:r>
      <w:r>
        <w:rPr>
          <w:i/>
          <w:noProof/>
        </w:rPr>
        <w:t>XML</w:t>
      </w:r>
      <w:r>
        <w:rPr>
          <w:noProof/>
        </w:rPr>
        <w:t>) ir Pasaules tīmekļa kon</w:t>
      </w:r>
      <w:r>
        <w:rPr>
          <w:noProof/>
        </w:rPr>
        <w:t>sorcija (</w:t>
      </w:r>
      <w:r>
        <w:rPr>
          <w:i/>
          <w:noProof/>
        </w:rPr>
        <w:t>W3C</w:t>
      </w:r>
      <w:r>
        <w:rPr>
          <w:noProof/>
        </w:rPr>
        <w:t>) ieteikta vispārēja iezīmēšanas valoda (</w:t>
      </w:r>
      <w:r>
        <w:rPr>
          <w:i/>
          <w:noProof/>
        </w:rPr>
        <w:t>markup language</w:t>
      </w:r>
      <w:r>
        <w:rPr>
          <w:noProof/>
        </w:rPr>
        <w:t xml:space="preserve">), lai izstrādātu īpašas iezīmēšanas valodas, kas ļautu aprakstīt daudzus dažādu tipu datus. DNS profila apraksts, kas ir piemērots, lai visas valstis apmainītos ar datiem, ir izstrādāts, </w:t>
      </w:r>
      <w:r>
        <w:rPr>
          <w:i/>
          <w:noProof/>
        </w:rPr>
        <w:t>ICD</w:t>
      </w:r>
      <w:r>
        <w:rPr>
          <w:noProof/>
        </w:rPr>
        <w:t xml:space="preserve"> dokumentos izmantojot </w:t>
      </w:r>
      <w:r>
        <w:rPr>
          <w:i/>
          <w:noProof/>
        </w:rPr>
        <w:t>XML</w:t>
      </w:r>
      <w:r>
        <w:rPr>
          <w:noProof/>
        </w:rPr>
        <w:t xml:space="preserve"> valodu un </w:t>
      </w:r>
      <w:r>
        <w:rPr>
          <w:i/>
          <w:noProof/>
        </w:rPr>
        <w:t>XML</w:t>
      </w:r>
      <w:r>
        <w:rPr>
          <w:noProof/>
        </w:rPr>
        <w:t xml:space="preserve"> shēmu.</w:t>
      </w:r>
    </w:p>
    <w:p w:rsidR="003E022D" w:rsidRDefault="007D19D6">
      <w:pPr>
        <w:spacing w:line="276" w:lineRule="auto"/>
        <w:rPr>
          <w:noProof/>
        </w:rPr>
      </w:pPr>
      <w:r>
        <w:rPr>
          <w:noProof/>
        </w:rPr>
        <w:t>5.6.2.</w:t>
      </w:r>
      <w:r>
        <w:rPr>
          <w:noProof/>
        </w:rPr>
        <w:tab/>
      </w:r>
      <w:r>
        <w:rPr>
          <w:i/>
          <w:iCs/>
          <w:noProof/>
        </w:rPr>
        <w:t>ODBC</w:t>
      </w:r>
    </w:p>
    <w:p w:rsidR="003E022D" w:rsidRDefault="007D19D6">
      <w:pPr>
        <w:rPr>
          <w:noProof/>
        </w:rPr>
      </w:pPr>
      <w:r>
        <w:rPr>
          <w:noProof/>
        </w:rPr>
        <w:t>Atvērto datubāzu savienojamība (</w:t>
      </w:r>
      <w:r>
        <w:rPr>
          <w:i/>
          <w:noProof/>
        </w:rPr>
        <w:t>Open DataBase Connectivity</w:t>
      </w:r>
      <w:r>
        <w:rPr>
          <w:noProof/>
        </w:rPr>
        <w:t xml:space="preserve">) dod iespēju izmantot standarta programmatūras </w:t>
      </w:r>
      <w:r>
        <w:rPr>
          <w:i/>
          <w:noProof/>
        </w:rPr>
        <w:t>API</w:t>
      </w:r>
      <w:r>
        <w:rPr>
          <w:noProof/>
        </w:rPr>
        <w:t xml:space="preserve"> saskarnes metodi, lai piekļūtu datubāzu pārvaldības sistēmām (</w:t>
      </w:r>
      <w:r>
        <w:rPr>
          <w:i/>
          <w:noProof/>
        </w:rPr>
        <w:t>database management s</w:t>
      </w:r>
      <w:r>
        <w:rPr>
          <w:i/>
          <w:noProof/>
        </w:rPr>
        <w:t>ystems</w:t>
      </w:r>
      <w:r>
        <w:rPr>
          <w:noProof/>
        </w:rPr>
        <w:t xml:space="preserve">), turklāt tā darbojas neatkarīgi no programmēšanas valodām, datubāzes un operētājsistēmām. Tomēr </w:t>
      </w:r>
      <w:r>
        <w:rPr>
          <w:i/>
          <w:noProof/>
        </w:rPr>
        <w:t>ODBC</w:t>
      </w:r>
      <w:r>
        <w:rPr>
          <w:noProof/>
        </w:rPr>
        <w:t xml:space="preserve"> ir arī savi trūkumi. Liela skaita klientu aparatūras administrēšana var būt saistīta ar daudziem draiveriem un </w:t>
      </w:r>
      <w:r>
        <w:rPr>
          <w:i/>
          <w:noProof/>
        </w:rPr>
        <w:t>DLLs</w:t>
      </w:r>
      <w:r>
        <w:rPr>
          <w:noProof/>
        </w:rPr>
        <w:t xml:space="preserve">. Šī sarežģītība var palielināt </w:t>
      </w:r>
      <w:r>
        <w:rPr>
          <w:noProof/>
        </w:rPr>
        <w:t>sistēmas administrēšanas izmaksas.</w:t>
      </w:r>
    </w:p>
    <w:p w:rsidR="003E022D" w:rsidRDefault="007D19D6">
      <w:pPr>
        <w:spacing w:line="276" w:lineRule="auto"/>
        <w:rPr>
          <w:noProof/>
        </w:rPr>
      </w:pPr>
      <w:r>
        <w:rPr>
          <w:noProof/>
        </w:rPr>
        <w:t>5.6.3.</w:t>
      </w:r>
      <w:r>
        <w:rPr>
          <w:noProof/>
        </w:rPr>
        <w:tab/>
      </w:r>
      <w:r>
        <w:rPr>
          <w:i/>
          <w:iCs/>
          <w:noProof/>
        </w:rPr>
        <w:t>JDBC</w:t>
      </w:r>
    </w:p>
    <w:p w:rsidR="003E022D" w:rsidRDefault="007D19D6">
      <w:pPr>
        <w:rPr>
          <w:noProof/>
        </w:rPr>
      </w:pPr>
      <w:r>
        <w:rPr>
          <w:noProof/>
        </w:rPr>
        <w:t>Java datubāzes savienojamība (</w:t>
      </w:r>
      <w:r>
        <w:rPr>
          <w:i/>
          <w:noProof/>
        </w:rPr>
        <w:t>Java DataBase Connectivity</w:t>
      </w:r>
      <w:r>
        <w:rPr>
          <w:noProof/>
        </w:rPr>
        <w:t xml:space="preserve"> – </w:t>
      </w:r>
      <w:r>
        <w:rPr>
          <w:i/>
          <w:noProof/>
        </w:rPr>
        <w:t>JDBC</w:t>
      </w:r>
      <w:r>
        <w:rPr>
          <w:noProof/>
        </w:rPr>
        <w:t xml:space="preserve">) ir </w:t>
      </w:r>
      <w:r>
        <w:rPr>
          <w:i/>
          <w:noProof/>
        </w:rPr>
        <w:t>API</w:t>
      </w:r>
      <w:r>
        <w:rPr>
          <w:noProof/>
        </w:rPr>
        <w:t xml:space="preserve"> saskarne ar </w:t>
      </w:r>
      <w:r>
        <w:rPr>
          <w:i/>
          <w:noProof/>
        </w:rPr>
        <w:t>Java</w:t>
      </w:r>
      <w:r>
        <w:rPr>
          <w:noProof/>
        </w:rPr>
        <w:t xml:space="preserve"> programmēšanas valodu, ar ko nosaka, kā klients piekļūst datubāzei. Pretstatā </w:t>
      </w:r>
      <w:r>
        <w:rPr>
          <w:i/>
          <w:noProof/>
        </w:rPr>
        <w:t>ODBC</w:t>
      </w:r>
      <w:r>
        <w:rPr>
          <w:noProof/>
        </w:rPr>
        <w:t xml:space="preserve">, lietojot </w:t>
      </w:r>
      <w:r>
        <w:rPr>
          <w:i/>
          <w:noProof/>
        </w:rPr>
        <w:t>JDBC</w:t>
      </w:r>
      <w:r>
        <w:rPr>
          <w:noProof/>
        </w:rPr>
        <w:t>, darbvirsmā (</w:t>
      </w:r>
      <w:r>
        <w:rPr>
          <w:i/>
          <w:noProof/>
        </w:rPr>
        <w:t>desktop</w:t>
      </w:r>
      <w:r>
        <w:rPr>
          <w:noProof/>
        </w:rPr>
        <w:t xml:space="preserve">) </w:t>
      </w:r>
      <w:r>
        <w:rPr>
          <w:noProof/>
        </w:rPr>
        <w:t xml:space="preserve">nav vajadzīgs lietot konkrētu lokālu </w:t>
      </w:r>
      <w:r>
        <w:rPr>
          <w:i/>
          <w:noProof/>
        </w:rPr>
        <w:t>DLLs</w:t>
      </w:r>
      <w:r>
        <w:rPr>
          <w:noProof/>
        </w:rPr>
        <w:t xml:space="preserve"> kopumu.</w:t>
      </w:r>
    </w:p>
    <w:p w:rsidR="003E022D" w:rsidRDefault="007D19D6">
      <w:pPr>
        <w:rPr>
          <w:noProof/>
        </w:rPr>
      </w:pPr>
      <w:r>
        <w:rPr>
          <w:noProof/>
        </w:rPr>
        <w:t>Šajā diagrammā ir parādīta katras valsts vietnē veiktās DNS profilu pieprasījumu un atbilžu apstrādes darbību loģika. Gan pieprasījumu, gan atbilžu datu plūsma ir mijiedarbībā ar neitrāliem datiem (</w:t>
      </w:r>
      <w:r>
        <w:rPr>
          <w:i/>
          <w:noProof/>
        </w:rPr>
        <w:t xml:space="preserve">neutral </w:t>
      </w:r>
      <w:r>
        <w:rPr>
          <w:i/>
          <w:noProof/>
        </w:rPr>
        <w:t>data</w:t>
      </w:r>
      <w:r>
        <w:rPr>
          <w:noProof/>
        </w:rPr>
        <w:t>), kas aptver dažādu datu kopumus ar kopēju struktūru.</w:t>
      </w:r>
    </w:p>
    <w:p w:rsidR="003E022D" w:rsidRDefault="007D19D6">
      <w:pPr>
        <w:spacing w:line="276" w:lineRule="auto"/>
        <w:jc w:val="center"/>
        <w:rPr>
          <w:i/>
          <w:noProof/>
        </w:rPr>
      </w:pPr>
      <w:r>
        <w:rPr>
          <w:i/>
          <w:noProof/>
        </w:rPr>
        <w:t>3.attēls. Pārskats par katrā valsts vietnē notiekošo lietojumprogrammu datu plūsmu</w:t>
      </w:r>
    </w:p>
    <w:p w:rsidR="003E022D" w:rsidRDefault="007D19D6">
      <w:pPr>
        <w:spacing w:line="276" w:lineRule="auto"/>
        <w:rPr>
          <w:noProof/>
        </w:rPr>
      </w:pPr>
      <w:r>
        <w:rPr>
          <w:noProof/>
          <w:lang w:val="fr-BE" w:eastAsia="fr-BE"/>
        </w:rPr>
        <w:drawing>
          <wp:inline distT="0" distB="0" distL="0" distR="0">
            <wp:extent cx="4311015" cy="261239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1015" cy="2612390"/>
                    </a:xfrm>
                    <a:prstGeom prst="rect">
                      <a:avLst/>
                    </a:prstGeom>
                    <a:noFill/>
                    <a:ln>
                      <a:noFill/>
                    </a:ln>
                  </pic:spPr>
                </pic:pic>
              </a:graphicData>
            </a:graphic>
          </wp:inline>
        </w:drawing>
      </w:r>
    </w:p>
    <w:p w:rsidR="003E022D" w:rsidRDefault="007D19D6">
      <w:pPr>
        <w:spacing w:line="276" w:lineRule="auto"/>
        <w:rPr>
          <w:noProof/>
        </w:rPr>
      </w:pPr>
      <w:r>
        <w:rPr>
          <w:noProof/>
        </w:rPr>
        <w:t>5.7.</w:t>
      </w:r>
      <w:r>
        <w:rPr>
          <w:noProof/>
        </w:rPr>
        <w:tab/>
        <w:t>Saziņas sistēmas</w:t>
      </w:r>
    </w:p>
    <w:p w:rsidR="003E022D" w:rsidRDefault="007D19D6">
      <w:pPr>
        <w:spacing w:line="276" w:lineRule="auto"/>
        <w:rPr>
          <w:noProof/>
        </w:rPr>
      </w:pPr>
      <w:r>
        <w:rPr>
          <w:noProof/>
        </w:rPr>
        <w:t>5.7.1.</w:t>
      </w:r>
      <w:r>
        <w:rPr>
          <w:noProof/>
        </w:rPr>
        <w:tab/>
      </w:r>
      <w:r>
        <w:rPr>
          <w:i/>
          <w:iCs/>
          <w:noProof/>
        </w:rPr>
        <w:t>Kopējais saziņas tīkls: TESTA un ar to saistīta infrastruktūra</w:t>
      </w:r>
    </w:p>
    <w:p w:rsidR="003E022D" w:rsidRDefault="007D19D6">
      <w:pPr>
        <w:rPr>
          <w:noProof/>
        </w:rPr>
      </w:pPr>
      <w:r>
        <w:rPr>
          <w:noProof/>
        </w:rPr>
        <w:t xml:space="preserve">Lai valstis savstarpēji nosūtītu pieprasījumus un saņemtu atbildes, lietojumprogrammās DNS datu apmaiņai izmantos e-pastu, kas ir asinhrons mehānisms. Tā kā katrai valstij ir vismaz viens valsts piekļuves punkts </w:t>
      </w:r>
      <w:r>
        <w:rPr>
          <w:i/>
          <w:noProof/>
        </w:rPr>
        <w:t>TESTA</w:t>
      </w:r>
      <w:r>
        <w:rPr>
          <w:noProof/>
        </w:rPr>
        <w:t xml:space="preserve"> tīklam, DNS datu apmaiņu veiks, izmant</w:t>
      </w:r>
      <w:r>
        <w:rPr>
          <w:noProof/>
        </w:rPr>
        <w:t xml:space="preserve">ojot </w:t>
      </w:r>
      <w:r>
        <w:rPr>
          <w:i/>
          <w:noProof/>
        </w:rPr>
        <w:t>TESTA</w:t>
      </w:r>
      <w:r>
        <w:rPr>
          <w:noProof/>
        </w:rPr>
        <w:t xml:space="preserve"> tīklu. </w:t>
      </w:r>
      <w:r>
        <w:rPr>
          <w:i/>
          <w:noProof/>
        </w:rPr>
        <w:t>TESTA</w:t>
      </w:r>
      <w:r>
        <w:rPr>
          <w:noProof/>
        </w:rPr>
        <w:t xml:space="preserve"> tīklā e-pasta releja serveris dod iespēju izmantot vairākus papildu pakalpojumus. Papildus tam, ka </w:t>
      </w:r>
      <w:r>
        <w:rPr>
          <w:i/>
          <w:noProof/>
        </w:rPr>
        <w:t>TESTA</w:t>
      </w:r>
      <w:r>
        <w:rPr>
          <w:noProof/>
        </w:rPr>
        <w:t xml:space="preserve"> tīklā uztur īpašas e-pasta sistēmas, tās infrastruktūra var īstenot e-pasta sarakstu izsūtīšanu un maršrutēšanas principus. Tas</w:t>
      </w:r>
      <w:r>
        <w:rPr>
          <w:noProof/>
        </w:rPr>
        <w:t xml:space="preserve"> ļauj </w:t>
      </w:r>
      <w:r>
        <w:rPr>
          <w:i/>
          <w:noProof/>
        </w:rPr>
        <w:t>TESTA</w:t>
      </w:r>
      <w:r>
        <w:rPr>
          <w:noProof/>
        </w:rPr>
        <w:t xml:space="preserve"> tīklu izmantot par datu sadales sistēmu (</w:t>
      </w:r>
      <w:r>
        <w:rPr>
          <w:i/>
          <w:noProof/>
        </w:rPr>
        <w:t>clearing house</w:t>
      </w:r>
      <w:r>
        <w:rPr>
          <w:noProof/>
        </w:rPr>
        <w:t>) tām iestādēm adresētiem sūtījumiem, kuras ir savienotas ar ES domēniem. Var uzstādīt arī vīrusu apkarošanas mehānismus.</w:t>
      </w:r>
    </w:p>
    <w:p w:rsidR="003E022D" w:rsidRDefault="007D19D6">
      <w:pPr>
        <w:rPr>
          <w:noProof/>
        </w:rPr>
      </w:pPr>
      <w:r>
        <w:rPr>
          <w:i/>
          <w:noProof/>
        </w:rPr>
        <w:t>TESTA</w:t>
      </w:r>
      <w:r>
        <w:rPr>
          <w:noProof/>
        </w:rPr>
        <w:t xml:space="preserve"> e-pasta releja pamatā ir augstas pieejamības aparatūras platf</w:t>
      </w:r>
      <w:r>
        <w:rPr>
          <w:noProof/>
        </w:rPr>
        <w:t>orma (</w:t>
      </w:r>
      <w:r>
        <w:rPr>
          <w:i/>
          <w:noProof/>
        </w:rPr>
        <w:t>high availability hardware platform</w:t>
      </w:r>
      <w:r>
        <w:rPr>
          <w:noProof/>
        </w:rPr>
        <w:t xml:space="preserve">), kura ir izvietota centrālajā </w:t>
      </w:r>
      <w:r>
        <w:rPr>
          <w:i/>
          <w:noProof/>
        </w:rPr>
        <w:t>TESTA</w:t>
      </w:r>
      <w:r>
        <w:rPr>
          <w:noProof/>
        </w:rPr>
        <w:t xml:space="preserve"> lietojumprogrammas objektā un kuru aizsargā ar ugunssienu. </w:t>
      </w:r>
      <w:r>
        <w:rPr>
          <w:i/>
          <w:noProof/>
        </w:rPr>
        <w:t>TESTA</w:t>
      </w:r>
      <w:r>
        <w:rPr>
          <w:noProof/>
        </w:rPr>
        <w:t xml:space="preserve"> tīkla domēna vārdu sistēma (</w:t>
      </w:r>
      <w:r>
        <w:rPr>
          <w:i/>
          <w:noProof/>
        </w:rPr>
        <w:t>Domain Name Systems – DNS</w:t>
      </w:r>
      <w:r>
        <w:rPr>
          <w:noProof/>
        </w:rPr>
        <w:t>) pārveidos resursu norādes IP adresēs un slēps adresēto in</w:t>
      </w:r>
      <w:r>
        <w:rPr>
          <w:noProof/>
        </w:rPr>
        <w:t>formāciju no lietotāja un no lietojumprogrammas.</w:t>
      </w:r>
    </w:p>
    <w:p w:rsidR="003E022D" w:rsidRDefault="007D19D6">
      <w:pPr>
        <w:spacing w:line="276" w:lineRule="auto"/>
        <w:rPr>
          <w:noProof/>
        </w:rPr>
      </w:pPr>
      <w:r>
        <w:rPr>
          <w:noProof/>
        </w:rPr>
        <w:t>5.7.2.</w:t>
      </w:r>
      <w:r>
        <w:rPr>
          <w:noProof/>
        </w:rPr>
        <w:tab/>
      </w:r>
      <w:r>
        <w:rPr>
          <w:i/>
          <w:iCs/>
          <w:noProof/>
        </w:rPr>
        <w:t>Drošības apsvērumi</w:t>
      </w:r>
    </w:p>
    <w:p w:rsidR="003E022D" w:rsidRDefault="007D19D6">
      <w:pPr>
        <w:rPr>
          <w:noProof/>
        </w:rPr>
      </w:pPr>
      <w:r>
        <w:rPr>
          <w:i/>
          <w:noProof/>
        </w:rPr>
        <w:t>TESTA</w:t>
      </w:r>
      <w:r>
        <w:rPr>
          <w:noProof/>
        </w:rPr>
        <w:t xml:space="preserve"> sistēma ir īstenota saskaņā ar virtuāla privāta tīkla (</w:t>
      </w:r>
      <w:r>
        <w:rPr>
          <w:i/>
          <w:noProof/>
        </w:rPr>
        <w:t>Virtual Private Network – VPN</w:t>
      </w:r>
      <w:r>
        <w:rPr>
          <w:noProof/>
        </w:rPr>
        <w:t xml:space="preserve">) koncepciju. </w:t>
      </w:r>
      <w:r>
        <w:rPr>
          <w:i/>
          <w:noProof/>
        </w:rPr>
        <w:t>VPN</w:t>
      </w:r>
      <w:r>
        <w:rPr>
          <w:noProof/>
        </w:rPr>
        <w:t xml:space="preserve"> tīklu izveidē izmantoto marķējumu komutācijas tehnoloģiju (</w:t>
      </w:r>
      <w:r>
        <w:rPr>
          <w:i/>
          <w:noProof/>
        </w:rPr>
        <w:t xml:space="preserve">Tag Switching </w:t>
      </w:r>
      <w:r>
        <w:rPr>
          <w:i/>
          <w:noProof/>
        </w:rPr>
        <w:t>Technology</w:t>
      </w:r>
      <w:r>
        <w:rPr>
          <w:noProof/>
        </w:rPr>
        <w:t>) attīstīs, lai tā strādātu ar vairākprotokolu iezīmju komutāciju (</w:t>
      </w:r>
      <w:r>
        <w:rPr>
          <w:i/>
          <w:noProof/>
        </w:rPr>
        <w:t>Multi-Protocol Label Switching</w:t>
      </w:r>
      <w:r>
        <w:rPr>
          <w:noProof/>
        </w:rPr>
        <w:t xml:space="preserve"> – </w:t>
      </w:r>
      <w:r>
        <w:rPr>
          <w:i/>
          <w:noProof/>
        </w:rPr>
        <w:t>MPLS</w:t>
      </w:r>
      <w:r>
        <w:rPr>
          <w:noProof/>
        </w:rPr>
        <w:t>) standartu, ko ir izstrādājusi Interneta tehniskā uzdevumgrupa (</w:t>
      </w:r>
      <w:r>
        <w:rPr>
          <w:i/>
          <w:noProof/>
        </w:rPr>
        <w:t>IETF</w:t>
      </w:r>
      <w:r>
        <w:rPr>
          <w:noProof/>
        </w:rPr>
        <w:t>).</w:t>
      </w:r>
    </w:p>
    <w:p w:rsidR="003E022D" w:rsidRDefault="007D19D6">
      <w:pPr>
        <w:jc w:val="center"/>
        <w:rPr>
          <w:noProof/>
        </w:rPr>
      </w:pPr>
      <w:r>
        <w:rPr>
          <w:noProof/>
          <w:lang w:val="fr-BE" w:eastAsia="fr-BE"/>
        </w:rPr>
        <w:drawing>
          <wp:inline distT="0" distB="0" distL="0" distR="0">
            <wp:extent cx="2874010" cy="3331210"/>
            <wp:effectExtent l="0" t="0" r="2540"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4010" cy="3331210"/>
                    </a:xfrm>
                    <a:prstGeom prst="rect">
                      <a:avLst/>
                    </a:prstGeom>
                    <a:noFill/>
                    <a:ln>
                      <a:noFill/>
                    </a:ln>
                  </pic:spPr>
                </pic:pic>
              </a:graphicData>
            </a:graphic>
          </wp:inline>
        </w:drawing>
      </w:r>
    </w:p>
    <w:p w:rsidR="003E022D" w:rsidRDefault="007D19D6">
      <w:pPr>
        <w:rPr>
          <w:noProof/>
        </w:rPr>
      </w:pPr>
      <w:r>
        <w:rPr>
          <w:i/>
          <w:noProof/>
        </w:rPr>
        <w:t>MPLS</w:t>
      </w:r>
      <w:r>
        <w:rPr>
          <w:noProof/>
        </w:rPr>
        <w:t xml:space="preserve"> ir </w:t>
      </w:r>
      <w:r>
        <w:rPr>
          <w:i/>
          <w:noProof/>
        </w:rPr>
        <w:t>IETF</w:t>
      </w:r>
      <w:r>
        <w:rPr>
          <w:noProof/>
        </w:rPr>
        <w:t xml:space="preserve"> standarta tehnoloģija, ar ko paātrina tīklā notiekošās </w:t>
      </w:r>
      <w:r>
        <w:rPr>
          <w:noProof/>
        </w:rPr>
        <w:t>datu plūsmas ātrumu, izvairoties no starpnieku maršrutētāju (</w:t>
      </w:r>
      <w:r>
        <w:rPr>
          <w:i/>
          <w:noProof/>
        </w:rPr>
        <w:t>intermediate routers</w:t>
      </w:r>
      <w:r>
        <w:rPr>
          <w:noProof/>
        </w:rPr>
        <w:t xml:space="preserve"> (</w:t>
      </w:r>
      <w:r>
        <w:rPr>
          <w:i/>
          <w:noProof/>
        </w:rPr>
        <w:t>hops</w:t>
      </w:r>
      <w:r>
        <w:rPr>
          <w:noProof/>
        </w:rPr>
        <w:t>)) veiktas pakešu analīzes. To dara, pamatojoties uz tā sauktajām iezīmēm (</w:t>
      </w:r>
      <w:r>
        <w:rPr>
          <w:i/>
          <w:noProof/>
        </w:rPr>
        <w:t>labels</w:t>
      </w:r>
      <w:r>
        <w:rPr>
          <w:noProof/>
        </w:rPr>
        <w:t>), ko paketei pievieno pamatsistēmas malas maršrutētāji (</w:t>
      </w:r>
      <w:r>
        <w:rPr>
          <w:i/>
          <w:noProof/>
        </w:rPr>
        <w:t>edge routers of the backbone</w:t>
      </w:r>
      <w:r>
        <w:rPr>
          <w:noProof/>
        </w:rPr>
        <w:t xml:space="preserve">), </w:t>
      </w:r>
      <w:r>
        <w:rPr>
          <w:noProof/>
        </w:rPr>
        <w:t>pamatojoties uz pārsūtīšanas informācijas bāzē (</w:t>
      </w:r>
      <w:r>
        <w:rPr>
          <w:i/>
          <w:noProof/>
        </w:rPr>
        <w:t>forwarding information base</w:t>
      </w:r>
      <w:r>
        <w:rPr>
          <w:noProof/>
        </w:rPr>
        <w:t xml:space="preserve"> – </w:t>
      </w:r>
      <w:r>
        <w:rPr>
          <w:i/>
          <w:noProof/>
        </w:rPr>
        <w:t>FIB</w:t>
      </w:r>
      <w:r>
        <w:rPr>
          <w:noProof/>
        </w:rPr>
        <w:t>) iekļauto informāciju. Iezīmes izmanto arī, lai īstenotu virtuālus privātus tīklus (</w:t>
      </w:r>
      <w:r>
        <w:rPr>
          <w:i/>
          <w:noProof/>
        </w:rPr>
        <w:t>VPN</w:t>
      </w:r>
      <w:r>
        <w:rPr>
          <w:noProof/>
        </w:rPr>
        <w:t>).</w:t>
      </w:r>
    </w:p>
    <w:p w:rsidR="003E022D" w:rsidRDefault="007D19D6">
      <w:pPr>
        <w:rPr>
          <w:noProof/>
        </w:rPr>
      </w:pPr>
      <w:r>
        <w:rPr>
          <w:i/>
          <w:noProof/>
        </w:rPr>
        <w:t>MPLS</w:t>
      </w:r>
      <w:r>
        <w:rPr>
          <w:noProof/>
        </w:rPr>
        <w:t xml:space="preserve"> ļauj gūt labumu gan no 3. slāņa maršrutēšanas (</w:t>
      </w:r>
      <w:r>
        <w:rPr>
          <w:i/>
          <w:noProof/>
        </w:rPr>
        <w:t>layer 3 routing</w:t>
      </w:r>
      <w:r>
        <w:rPr>
          <w:noProof/>
        </w:rPr>
        <w:t>), gan izmantot 2</w:t>
      </w:r>
      <w:r>
        <w:rPr>
          <w:noProof/>
        </w:rPr>
        <w:t>. slāņa komutāciju (</w:t>
      </w:r>
      <w:r>
        <w:rPr>
          <w:i/>
          <w:noProof/>
        </w:rPr>
        <w:t>layer 2 switching</w:t>
      </w:r>
      <w:r>
        <w:rPr>
          <w:noProof/>
        </w:rPr>
        <w:t>) priekšrocības. Tā kā IP adresēm, pārsūtot caur pamatsistēmu (</w:t>
      </w:r>
      <w:r>
        <w:rPr>
          <w:i/>
          <w:noProof/>
        </w:rPr>
        <w:t>backbone</w:t>
      </w:r>
      <w:r>
        <w:rPr>
          <w:noProof/>
        </w:rPr>
        <w:t xml:space="preserve">), nenotiek to izvērtējums, </w:t>
      </w:r>
      <w:r>
        <w:rPr>
          <w:i/>
          <w:noProof/>
        </w:rPr>
        <w:t>MPLS</w:t>
      </w:r>
      <w:r>
        <w:rPr>
          <w:noProof/>
        </w:rPr>
        <w:t xml:space="preserve"> neuzliek nekādus ierobežojumus IP adresēšanai.</w:t>
      </w:r>
    </w:p>
    <w:p w:rsidR="003E022D" w:rsidRDefault="007D19D6">
      <w:pPr>
        <w:rPr>
          <w:noProof/>
        </w:rPr>
      </w:pPr>
      <w:r>
        <w:rPr>
          <w:noProof/>
        </w:rPr>
        <w:t xml:space="preserve">Turklāt e-pastu sūtījumiem </w:t>
      </w:r>
      <w:r>
        <w:rPr>
          <w:i/>
          <w:noProof/>
        </w:rPr>
        <w:t>TESTA</w:t>
      </w:r>
      <w:r>
        <w:rPr>
          <w:noProof/>
        </w:rPr>
        <w:t xml:space="preserve"> tīklā piemēro </w:t>
      </w:r>
      <w:r>
        <w:rPr>
          <w:i/>
          <w:noProof/>
        </w:rPr>
        <w:t>s/MIME</w:t>
      </w:r>
      <w:r>
        <w:rPr>
          <w:noProof/>
        </w:rPr>
        <w:t xml:space="preserve"> šifrēšanas meh</w:t>
      </w:r>
      <w:r>
        <w:rPr>
          <w:noProof/>
        </w:rPr>
        <w:t>ānismu. Nezinot atslēgu un bez pareiza sertifikāta, šajā tīklā nav iespējams atšifrēt sūtījumus.</w:t>
      </w:r>
    </w:p>
    <w:p w:rsidR="003E022D" w:rsidRDefault="007D19D6">
      <w:pPr>
        <w:spacing w:line="276" w:lineRule="auto"/>
        <w:rPr>
          <w:noProof/>
        </w:rPr>
      </w:pPr>
      <w:r>
        <w:rPr>
          <w:noProof/>
        </w:rPr>
        <w:t>5.7.3.</w:t>
      </w:r>
      <w:r>
        <w:rPr>
          <w:noProof/>
        </w:rPr>
        <w:tab/>
      </w:r>
      <w:r>
        <w:rPr>
          <w:i/>
          <w:iCs/>
          <w:noProof/>
        </w:rPr>
        <w:t>Saziņas tīklā izmantotie protokoli un standarti</w:t>
      </w:r>
    </w:p>
    <w:p w:rsidR="003E022D" w:rsidRDefault="007D19D6">
      <w:pPr>
        <w:rPr>
          <w:noProof/>
        </w:rPr>
      </w:pPr>
      <w:r>
        <w:rPr>
          <w:noProof/>
        </w:rPr>
        <w:t>5.7.3.1.</w:t>
      </w:r>
      <w:r>
        <w:rPr>
          <w:noProof/>
        </w:rPr>
        <w:tab/>
      </w:r>
      <w:r>
        <w:rPr>
          <w:i/>
          <w:noProof/>
        </w:rPr>
        <w:t>SMTP</w:t>
      </w:r>
    </w:p>
    <w:p w:rsidR="003E022D" w:rsidRDefault="007D19D6">
      <w:pPr>
        <w:rPr>
          <w:noProof/>
        </w:rPr>
      </w:pPr>
      <w:r>
        <w:rPr>
          <w:noProof/>
        </w:rPr>
        <w:t>Vienkāršo pasta pārsūtīšanas protokolu (</w:t>
      </w:r>
      <w:r>
        <w:rPr>
          <w:i/>
          <w:noProof/>
        </w:rPr>
        <w:t>SMTP</w:t>
      </w:r>
      <w:r>
        <w:rPr>
          <w:noProof/>
        </w:rPr>
        <w:t xml:space="preserve">) faktiski internetā izmanto kā e-pasta pārsūtīšanas standartu. </w:t>
      </w:r>
      <w:r>
        <w:rPr>
          <w:i/>
          <w:noProof/>
        </w:rPr>
        <w:t>SMTP</w:t>
      </w:r>
      <w:r>
        <w:rPr>
          <w:noProof/>
        </w:rPr>
        <w:t xml:space="preserve"> standarts ir samērā vienkāršs teksta protokols, kurā ir norādīts viens vai vairāki sūtījuma saņēmēji un pēc tam notiek sūtījuma teksta pārsūtīšana. </w:t>
      </w:r>
      <w:r>
        <w:rPr>
          <w:i/>
          <w:noProof/>
        </w:rPr>
        <w:t>SMTP</w:t>
      </w:r>
      <w:r>
        <w:rPr>
          <w:noProof/>
        </w:rPr>
        <w:t xml:space="preserve"> standarts saskaņā ar </w:t>
      </w:r>
      <w:r>
        <w:rPr>
          <w:i/>
          <w:noProof/>
        </w:rPr>
        <w:t>IETF</w:t>
      </w:r>
      <w:r>
        <w:rPr>
          <w:noProof/>
        </w:rPr>
        <w:t xml:space="preserve"> norādēm </w:t>
      </w:r>
      <w:r>
        <w:rPr>
          <w:noProof/>
        </w:rPr>
        <w:t xml:space="preserve">izmanto </w:t>
      </w:r>
      <w:r>
        <w:rPr>
          <w:i/>
          <w:noProof/>
        </w:rPr>
        <w:t>TCP</w:t>
      </w:r>
      <w:r>
        <w:rPr>
          <w:noProof/>
        </w:rPr>
        <w:t xml:space="preserve"> protokola 25. pieslēgvietu (</w:t>
      </w:r>
      <w:r>
        <w:rPr>
          <w:i/>
          <w:noProof/>
        </w:rPr>
        <w:t>port</w:t>
      </w:r>
      <w:r>
        <w:rPr>
          <w:noProof/>
        </w:rPr>
        <w:t xml:space="preserve">). Lai attiecīgam domēna vārdam noteiktu </w:t>
      </w:r>
      <w:r>
        <w:rPr>
          <w:i/>
          <w:noProof/>
        </w:rPr>
        <w:t>SMTP</w:t>
      </w:r>
      <w:r>
        <w:rPr>
          <w:noProof/>
        </w:rPr>
        <w:t xml:space="preserve"> serveri, izmanto </w:t>
      </w:r>
      <w:r>
        <w:rPr>
          <w:i/>
          <w:noProof/>
        </w:rPr>
        <w:t>MX</w:t>
      </w:r>
      <w:r>
        <w:rPr>
          <w:noProof/>
        </w:rPr>
        <w:t xml:space="preserve"> (</w:t>
      </w:r>
      <w:r>
        <w:rPr>
          <w:i/>
          <w:noProof/>
        </w:rPr>
        <w:t>Mail eXchange</w:t>
      </w:r>
      <w:r>
        <w:rPr>
          <w:noProof/>
        </w:rPr>
        <w:t xml:space="preserve">) </w:t>
      </w:r>
      <w:r>
        <w:rPr>
          <w:i/>
          <w:noProof/>
        </w:rPr>
        <w:t>DNS</w:t>
      </w:r>
      <w:r>
        <w:rPr>
          <w:noProof/>
        </w:rPr>
        <w:t xml:space="preserve"> (</w:t>
      </w:r>
      <w:r>
        <w:rPr>
          <w:i/>
          <w:noProof/>
        </w:rPr>
        <w:t>Domain Name Systems</w:t>
      </w:r>
      <w:r>
        <w:rPr>
          <w:noProof/>
        </w:rPr>
        <w:t>) sistēmas ierakstu.</w:t>
      </w:r>
    </w:p>
    <w:p w:rsidR="003E022D" w:rsidRDefault="007D19D6">
      <w:pPr>
        <w:rPr>
          <w:noProof/>
        </w:rPr>
      </w:pPr>
      <w:r>
        <w:rPr>
          <w:noProof/>
        </w:rPr>
        <w:t xml:space="preserve">Tā kā šis protokols sākotnēji bija teksta formāta </w:t>
      </w:r>
      <w:r>
        <w:rPr>
          <w:i/>
          <w:noProof/>
        </w:rPr>
        <w:t>ASCII</w:t>
      </w:r>
      <w:r>
        <w:rPr>
          <w:noProof/>
        </w:rPr>
        <w:t xml:space="preserve"> standartkods, pastāvēja binār</w:t>
      </w:r>
      <w:r>
        <w:rPr>
          <w:noProof/>
        </w:rPr>
        <w:t xml:space="preserve">u datņu apstrādes problēmas. Tādus standartus kā </w:t>
      </w:r>
      <w:r>
        <w:rPr>
          <w:i/>
          <w:noProof/>
        </w:rPr>
        <w:t>MIME</w:t>
      </w:r>
      <w:r>
        <w:rPr>
          <w:noProof/>
        </w:rPr>
        <w:t xml:space="preserve"> izstrādāja, lai varētu kodēt bināras datnes to pārsūtīšanai, izmantojot </w:t>
      </w:r>
      <w:r>
        <w:rPr>
          <w:i/>
          <w:noProof/>
        </w:rPr>
        <w:t>SMTP</w:t>
      </w:r>
      <w:r>
        <w:rPr>
          <w:noProof/>
        </w:rPr>
        <w:t xml:space="preserve">. Pašlaik vairums </w:t>
      </w:r>
      <w:r>
        <w:rPr>
          <w:i/>
          <w:noProof/>
        </w:rPr>
        <w:t>SMTP</w:t>
      </w:r>
      <w:r>
        <w:rPr>
          <w:noProof/>
        </w:rPr>
        <w:t xml:space="preserve"> serveru darbojas ar </w:t>
      </w:r>
      <w:r>
        <w:rPr>
          <w:i/>
          <w:noProof/>
        </w:rPr>
        <w:t>8BITMIME</w:t>
      </w:r>
      <w:r>
        <w:rPr>
          <w:noProof/>
        </w:rPr>
        <w:t xml:space="preserve"> un </w:t>
      </w:r>
      <w:r>
        <w:rPr>
          <w:i/>
          <w:noProof/>
        </w:rPr>
        <w:t>s/MIME</w:t>
      </w:r>
      <w:r>
        <w:rPr>
          <w:noProof/>
        </w:rPr>
        <w:t xml:space="preserve"> paplašinājumu, kas ļauj bināras datnes pārsūtīt gandrīz tikpat v</w:t>
      </w:r>
      <w:r>
        <w:rPr>
          <w:noProof/>
        </w:rPr>
        <w:t xml:space="preserve">iegli kā parastu tekstu. </w:t>
      </w:r>
      <w:r>
        <w:rPr>
          <w:i/>
          <w:noProof/>
        </w:rPr>
        <w:t>s/MIME</w:t>
      </w:r>
      <w:r>
        <w:rPr>
          <w:noProof/>
        </w:rPr>
        <w:t xml:space="preserve"> apstrādes noteikumi ir aprakstīti iedaļā </w:t>
      </w:r>
      <w:r>
        <w:rPr>
          <w:i/>
          <w:noProof/>
        </w:rPr>
        <w:t>s/MIME</w:t>
      </w:r>
      <w:r>
        <w:rPr>
          <w:noProof/>
        </w:rPr>
        <w:t xml:space="preserve"> (skatīt 5.4. iedaļu).</w:t>
      </w:r>
    </w:p>
    <w:p w:rsidR="003E022D" w:rsidRDefault="007D19D6">
      <w:pPr>
        <w:rPr>
          <w:noProof/>
        </w:rPr>
      </w:pPr>
      <w:r>
        <w:rPr>
          <w:i/>
          <w:noProof/>
        </w:rPr>
        <w:t>SMTP</w:t>
      </w:r>
      <w:r>
        <w:rPr>
          <w:noProof/>
        </w:rPr>
        <w:t xml:space="preserve"> ir stūmējtehnoloģijas protokols ("</w:t>
      </w:r>
      <w:r>
        <w:rPr>
          <w:i/>
          <w:noProof/>
        </w:rPr>
        <w:t>push</w:t>
      </w:r>
      <w:r>
        <w:rPr>
          <w:noProof/>
        </w:rPr>
        <w:t xml:space="preserve">" </w:t>
      </w:r>
      <w:r>
        <w:rPr>
          <w:i/>
          <w:noProof/>
        </w:rPr>
        <w:t>protocol</w:t>
      </w:r>
      <w:r>
        <w:rPr>
          <w:noProof/>
        </w:rPr>
        <w:t>), kas nedod iespēju no attālas piekļuves servera izmantot vilcējtehnoloģijas un pēc pieprasījuma lej</w:t>
      </w:r>
      <w:r>
        <w:rPr>
          <w:noProof/>
        </w:rPr>
        <w:t>upielādēt ("</w:t>
      </w:r>
      <w:r>
        <w:rPr>
          <w:i/>
          <w:noProof/>
        </w:rPr>
        <w:t>pull</w:t>
      </w:r>
      <w:r>
        <w:rPr>
          <w:noProof/>
        </w:rPr>
        <w:t xml:space="preserve">") sūtījumus. Lai to darītu, pasta klients izmanto </w:t>
      </w:r>
      <w:r>
        <w:rPr>
          <w:i/>
          <w:noProof/>
        </w:rPr>
        <w:t>POP3</w:t>
      </w:r>
      <w:r>
        <w:rPr>
          <w:noProof/>
        </w:rPr>
        <w:t xml:space="preserve"> vai </w:t>
      </w:r>
      <w:r>
        <w:rPr>
          <w:i/>
          <w:noProof/>
        </w:rPr>
        <w:t>IMAP</w:t>
      </w:r>
      <w:r>
        <w:rPr>
          <w:noProof/>
        </w:rPr>
        <w:t xml:space="preserve">. Lai veiktu DNS datu apmaiņu, ir pieņemts lēmums izmantot </w:t>
      </w:r>
      <w:r>
        <w:rPr>
          <w:i/>
          <w:noProof/>
        </w:rPr>
        <w:t>POP3</w:t>
      </w:r>
      <w:r>
        <w:rPr>
          <w:noProof/>
        </w:rPr>
        <w:t xml:space="preserve"> protokolu.</w:t>
      </w:r>
    </w:p>
    <w:p w:rsidR="003E022D" w:rsidRDefault="007D19D6">
      <w:pPr>
        <w:rPr>
          <w:noProof/>
        </w:rPr>
      </w:pPr>
      <w:r>
        <w:rPr>
          <w:noProof/>
        </w:rPr>
        <w:t>5.7.3.2.</w:t>
      </w:r>
      <w:r>
        <w:rPr>
          <w:noProof/>
        </w:rPr>
        <w:tab/>
      </w:r>
      <w:r>
        <w:rPr>
          <w:i/>
          <w:noProof/>
        </w:rPr>
        <w:t>POP</w:t>
      </w:r>
    </w:p>
    <w:p w:rsidR="003E022D" w:rsidRDefault="007D19D6">
      <w:pPr>
        <w:rPr>
          <w:noProof/>
        </w:rPr>
      </w:pPr>
      <w:r>
        <w:rPr>
          <w:noProof/>
        </w:rPr>
        <w:t>Vietēji e-pasta klienti izmanto pasta nodaļas protokola 3. versiju (</w:t>
      </w:r>
      <w:r>
        <w:rPr>
          <w:i/>
          <w:noProof/>
        </w:rPr>
        <w:t>Post Office Protocol</w:t>
      </w:r>
      <w:r>
        <w:rPr>
          <w:i/>
          <w:noProof/>
        </w:rPr>
        <w:t xml:space="preserve"> version 3</w:t>
      </w:r>
      <w:r>
        <w:rPr>
          <w:noProof/>
        </w:rPr>
        <w:t xml:space="preserve"> – </w:t>
      </w:r>
      <w:r>
        <w:rPr>
          <w:i/>
          <w:noProof/>
        </w:rPr>
        <w:t>POP3</w:t>
      </w:r>
      <w:r>
        <w:rPr>
          <w:noProof/>
        </w:rPr>
        <w:t xml:space="preserve">), kas ir lietojumslāņa (application-layer) interneta standarta protokols, lai e-pastam piekļūtu no attāla servera, izmantojot </w:t>
      </w:r>
      <w:r>
        <w:rPr>
          <w:i/>
          <w:noProof/>
        </w:rPr>
        <w:t>TCP/IP</w:t>
      </w:r>
      <w:r>
        <w:rPr>
          <w:noProof/>
        </w:rPr>
        <w:t xml:space="preserve"> savienojumu. Ar </w:t>
      </w:r>
      <w:r>
        <w:rPr>
          <w:i/>
          <w:noProof/>
        </w:rPr>
        <w:t>SMTP</w:t>
      </w:r>
      <w:r>
        <w:rPr>
          <w:noProof/>
        </w:rPr>
        <w:t xml:space="preserve"> protokola </w:t>
      </w:r>
      <w:r>
        <w:rPr>
          <w:i/>
          <w:noProof/>
        </w:rPr>
        <w:t>SMTP Submit</w:t>
      </w:r>
      <w:r>
        <w:rPr>
          <w:noProof/>
        </w:rPr>
        <w:t xml:space="preserve"> profilu e-pasta klienti sūta sūtījumus internetā vai privātā t</w:t>
      </w:r>
      <w:r>
        <w:rPr>
          <w:noProof/>
        </w:rPr>
        <w:t>īklā (</w:t>
      </w:r>
      <w:r>
        <w:rPr>
          <w:i/>
          <w:noProof/>
        </w:rPr>
        <w:t>corporate network</w:t>
      </w:r>
      <w:r>
        <w:rPr>
          <w:noProof/>
        </w:rPr>
        <w:t xml:space="preserve">). </w:t>
      </w:r>
      <w:r>
        <w:rPr>
          <w:i/>
          <w:noProof/>
        </w:rPr>
        <w:t>MIME</w:t>
      </w:r>
      <w:r>
        <w:rPr>
          <w:noProof/>
        </w:rPr>
        <w:t xml:space="preserve"> izmanto kā standartu pielikumiem un e-pastu tekstam, kas nav </w:t>
      </w:r>
      <w:r>
        <w:rPr>
          <w:i/>
          <w:noProof/>
        </w:rPr>
        <w:t>ASCII</w:t>
      </w:r>
      <w:r>
        <w:rPr>
          <w:noProof/>
        </w:rPr>
        <w:t xml:space="preserve"> standartkodā. Kaut gan, izmantojot gan </w:t>
      </w:r>
      <w:r>
        <w:rPr>
          <w:i/>
          <w:noProof/>
        </w:rPr>
        <w:t>POP3</w:t>
      </w:r>
      <w:r>
        <w:rPr>
          <w:noProof/>
        </w:rPr>
        <w:t xml:space="preserve">, gan </w:t>
      </w:r>
      <w:r>
        <w:rPr>
          <w:i/>
          <w:noProof/>
        </w:rPr>
        <w:t>SMTP</w:t>
      </w:r>
      <w:r>
        <w:rPr>
          <w:noProof/>
        </w:rPr>
        <w:t xml:space="preserve"> protokolu, nav vajadzīgs, lai e-pasti būtu </w:t>
      </w:r>
      <w:r>
        <w:rPr>
          <w:i/>
          <w:noProof/>
        </w:rPr>
        <w:t>MIME</w:t>
      </w:r>
      <w:r>
        <w:rPr>
          <w:noProof/>
        </w:rPr>
        <w:t xml:space="preserve"> standartā, tomēr </w:t>
      </w:r>
      <w:r>
        <w:rPr>
          <w:i/>
          <w:noProof/>
        </w:rPr>
        <w:t>MIME</w:t>
      </w:r>
      <w:r>
        <w:rPr>
          <w:noProof/>
        </w:rPr>
        <w:t xml:space="preserve"> parasti izmanto interneta e-pastos</w:t>
      </w:r>
      <w:r>
        <w:rPr>
          <w:noProof/>
        </w:rPr>
        <w:t xml:space="preserve">, tāpēc </w:t>
      </w:r>
      <w:r>
        <w:rPr>
          <w:i/>
          <w:noProof/>
        </w:rPr>
        <w:t>POP</w:t>
      </w:r>
      <w:r>
        <w:rPr>
          <w:noProof/>
        </w:rPr>
        <w:t xml:space="preserve"> klientiem arī ir jāsaprot un jāizmanto </w:t>
      </w:r>
      <w:r>
        <w:rPr>
          <w:i/>
          <w:noProof/>
        </w:rPr>
        <w:t>MIME</w:t>
      </w:r>
      <w:r>
        <w:rPr>
          <w:noProof/>
        </w:rPr>
        <w:t xml:space="preserve"> standarts. Tāpēc trešās daļas II sadaļā [Apmaiņa ar DNS, pirkstu nospiedumu un transportlīdzekļu reģistrācijas datiem] paredzētajās saziņas darbībās iekļaus POP komponentus.</w:t>
      </w:r>
    </w:p>
    <w:p w:rsidR="003E022D" w:rsidRDefault="007D19D6">
      <w:pPr>
        <w:spacing w:line="276" w:lineRule="auto"/>
        <w:rPr>
          <w:noProof/>
        </w:rPr>
      </w:pPr>
      <w:r>
        <w:rPr>
          <w:noProof/>
        </w:rPr>
        <w:t>5.7.4.</w:t>
      </w:r>
      <w:r>
        <w:rPr>
          <w:noProof/>
        </w:rPr>
        <w:tab/>
      </w:r>
      <w:r>
        <w:rPr>
          <w:i/>
          <w:iCs/>
          <w:noProof/>
        </w:rPr>
        <w:t xml:space="preserve">Tīkla adrešu </w:t>
      </w:r>
      <w:r>
        <w:rPr>
          <w:i/>
          <w:iCs/>
          <w:noProof/>
        </w:rPr>
        <w:t>piešķire</w:t>
      </w:r>
    </w:p>
    <w:p w:rsidR="003E022D" w:rsidRDefault="007D19D6">
      <w:pPr>
        <w:spacing w:line="276" w:lineRule="auto"/>
        <w:rPr>
          <w:noProof/>
        </w:rPr>
      </w:pPr>
      <w:r>
        <w:rPr>
          <w:noProof/>
        </w:rPr>
        <w:t>Darbības vide</w:t>
      </w:r>
    </w:p>
    <w:p w:rsidR="003E022D" w:rsidRDefault="007D19D6">
      <w:pPr>
        <w:rPr>
          <w:noProof/>
        </w:rPr>
      </w:pPr>
      <w:r>
        <w:rPr>
          <w:noProof/>
        </w:rPr>
        <w:t>Eiropas IP reģistrācijas iestāde (</w:t>
      </w:r>
      <w:r>
        <w:rPr>
          <w:i/>
          <w:noProof/>
        </w:rPr>
        <w:t>European IP registration authority</w:t>
      </w:r>
      <w:r>
        <w:rPr>
          <w:noProof/>
        </w:rPr>
        <w:t xml:space="preserve"> – </w:t>
      </w:r>
      <w:r>
        <w:rPr>
          <w:i/>
          <w:noProof/>
        </w:rPr>
        <w:t>RIPE</w:t>
      </w:r>
      <w:r>
        <w:rPr>
          <w:noProof/>
        </w:rPr>
        <w:t xml:space="preserve">) pašlaik </w:t>
      </w:r>
      <w:r>
        <w:rPr>
          <w:i/>
          <w:noProof/>
        </w:rPr>
        <w:t>TESTA</w:t>
      </w:r>
      <w:r>
        <w:rPr>
          <w:noProof/>
        </w:rPr>
        <w:t xml:space="preserve"> vajadzībām ir atvēlējusi īpašu B klases apakštīkla adrešu kopumu (</w:t>
      </w:r>
      <w:r>
        <w:rPr>
          <w:i/>
          <w:noProof/>
        </w:rPr>
        <w:t>half B class subnet</w:t>
      </w:r>
      <w:r>
        <w:rPr>
          <w:noProof/>
        </w:rPr>
        <w:t>). IP adreses valstīm piešķir, pamatojoties uz ģeogrāfisk</w:t>
      </w:r>
      <w:r>
        <w:rPr>
          <w:noProof/>
        </w:rPr>
        <w:t>u Eiropas shēmu. Datu apmaiņa valstu starpā saistībā ar trešās daļas II sadaļu [Apmaiņa ar DNS, pirkstu nospiedumu un transportlīdzekļu reģistrācijas datiem] notiek Eiropas mēroga loģiski slēgtā IP tīklā.</w:t>
      </w:r>
    </w:p>
    <w:p w:rsidR="003E022D" w:rsidRDefault="007D19D6">
      <w:pPr>
        <w:spacing w:line="276" w:lineRule="auto"/>
        <w:rPr>
          <w:noProof/>
        </w:rPr>
      </w:pPr>
      <w:r>
        <w:rPr>
          <w:noProof/>
        </w:rPr>
        <w:t>Testēšanas vide</w:t>
      </w:r>
    </w:p>
    <w:p w:rsidR="003E022D" w:rsidRDefault="007D19D6">
      <w:pPr>
        <w:rPr>
          <w:noProof/>
        </w:rPr>
      </w:pPr>
      <w:r>
        <w:rPr>
          <w:noProof/>
        </w:rPr>
        <w:t>Lai ikdienā visām valstīm, kas pies</w:t>
      </w:r>
      <w:r>
        <w:rPr>
          <w:noProof/>
        </w:rPr>
        <w:t>lēgušās tīklam, nodrošinātu efektīvus darbības apstākļus, slēgtā tīklā jāizveido testēšanas sistēma, kurai pieslēgtos valstis, kas gatavojas pievienoties tīklam. Attiecīgo valstu vietnēs būtu jādara pieejams precizētu parametru saraksts, tostarp IP adreses</w:t>
      </w:r>
      <w:r>
        <w:rPr>
          <w:noProof/>
        </w:rPr>
        <w:t>, tīkla iestatījumi, e-pasta domēni, kā arī lietojuma lietotāja konti. Turklāt testēšanas nolūkos ir izveidots DNS pseidoprofilu kopums.</w:t>
      </w:r>
    </w:p>
    <w:p w:rsidR="003E022D" w:rsidRDefault="007D19D6">
      <w:pPr>
        <w:spacing w:line="276" w:lineRule="auto"/>
        <w:rPr>
          <w:noProof/>
        </w:rPr>
      </w:pPr>
      <w:r>
        <w:rPr>
          <w:noProof/>
        </w:rPr>
        <w:t>5.7.5.</w:t>
      </w:r>
      <w:r>
        <w:rPr>
          <w:noProof/>
        </w:rPr>
        <w:tab/>
      </w:r>
      <w:r>
        <w:rPr>
          <w:i/>
          <w:iCs/>
          <w:noProof/>
        </w:rPr>
        <w:t>Konfigurācijas parametri</w:t>
      </w:r>
    </w:p>
    <w:p w:rsidR="003E022D" w:rsidRDefault="007D19D6">
      <w:pPr>
        <w:rPr>
          <w:noProof/>
        </w:rPr>
      </w:pPr>
      <w:r>
        <w:rPr>
          <w:noProof/>
        </w:rPr>
        <w:t>Ir izveidota droša e-pastu sistēma, izmantojot domēnu eu-admin.net. Šis domēns un tā ad</w:t>
      </w:r>
      <w:r>
        <w:rPr>
          <w:noProof/>
        </w:rPr>
        <w:t xml:space="preserve">reses nebūs pieejamas no adresēm, kas neatrodas ES </w:t>
      </w:r>
      <w:r>
        <w:rPr>
          <w:i/>
          <w:noProof/>
        </w:rPr>
        <w:t>TESTA</w:t>
      </w:r>
      <w:r>
        <w:rPr>
          <w:noProof/>
        </w:rPr>
        <w:t xml:space="preserve"> tīkla domēnā, jo vārdus atpazītu tikai </w:t>
      </w:r>
      <w:r>
        <w:rPr>
          <w:i/>
          <w:noProof/>
        </w:rPr>
        <w:t>TESTA</w:t>
      </w:r>
      <w:r>
        <w:rPr>
          <w:noProof/>
        </w:rPr>
        <w:t xml:space="preserve"> centrālais DNS serveris, kas nav pieslēgts internetam.</w:t>
      </w:r>
    </w:p>
    <w:p w:rsidR="003E022D" w:rsidRDefault="007D19D6">
      <w:pPr>
        <w:rPr>
          <w:noProof/>
        </w:rPr>
      </w:pPr>
      <w:r>
        <w:rPr>
          <w:i/>
          <w:noProof/>
        </w:rPr>
        <w:t>TESTA</w:t>
      </w:r>
      <w:r>
        <w:rPr>
          <w:noProof/>
        </w:rPr>
        <w:t xml:space="preserve"> vietņu adrešu (resursdatora vārdu) kartēšanu (</w:t>
      </w:r>
      <w:r>
        <w:rPr>
          <w:i/>
          <w:noProof/>
        </w:rPr>
        <w:t>mapping</w:t>
      </w:r>
      <w:r>
        <w:rPr>
          <w:noProof/>
        </w:rPr>
        <w:t xml:space="preserve">) attiecībā uz to IP adresēm veic </w:t>
      </w:r>
      <w:r>
        <w:rPr>
          <w:i/>
          <w:noProof/>
        </w:rPr>
        <w:t xml:space="preserve">TESTA </w:t>
      </w:r>
      <w:r>
        <w:rPr>
          <w:i/>
          <w:noProof/>
        </w:rPr>
        <w:t>DNS</w:t>
      </w:r>
      <w:r>
        <w:rPr>
          <w:noProof/>
        </w:rPr>
        <w:t xml:space="preserve"> sistēma. Attiecībā uz katru lokālo domēnu šim </w:t>
      </w:r>
      <w:r>
        <w:rPr>
          <w:i/>
          <w:noProof/>
        </w:rPr>
        <w:t>TESTA</w:t>
      </w:r>
      <w:r>
        <w:rPr>
          <w:noProof/>
        </w:rPr>
        <w:t xml:space="preserve"> centrālajam </w:t>
      </w:r>
      <w:r>
        <w:rPr>
          <w:i/>
          <w:noProof/>
        </w:rPr>
        <w:t>DNS</w:t>
      </w:r>
      <w:r>
        <w:rPr>
          <w:noProof/>
        </w:rPr>
        <w:t xml:space="preserve"> serverim pievienos e-pasta ierakstu, kas visus </w:t>
      </w:r>
      <w:r>
        <w:rPr>
          <w:i/>
          <w:noProof/>
        </w:rPr>
        <w:t>TESTA</w:t>
      </w:r>
      <w:r>
        <w:rPr>
          <w:noProof/>
        </w:rPr>
        <w:t xml:space="preserve"> lokāliem domēniem sūtītos e-pasta sūtījumus pārsūtīs </w:t>
      </w:r>
      <w:r>
        <w:rPr>
          <w:i/>
          <w:noProof/>
        </w:rPr>
        <w:t>TESTA</w:t>
      </w:r>
      <w:r>
        <w:rPr>
          <w:noProof/>
        </w:rPr>
        <w:t xml:space="preserve"> centrālajam pasta relejam. Šis TESTA centrālais pasta relejs pēc tam tos</w:t>
      </w:r>
      <w:r>
        <w:rPr>
          <w:noProof/>
        </w:rPr>
        <w:t xml:space="preserve"> pārsūtīs konkrētiem lokālā domēna e-pasta serveriem, izmantojot lokālā domēna e-pasta adreses. Šādi pārsūtot e-pastu, tajos iekļautā nozīmīgā informācija būs nosūtīta, izmantojot tikai Eiropas mēroga slēgto tīkla infrastruktūru un apejot nedrošo internetu</w:t>
      </w:r>
      <w:r>
        <w:rPr>
          <w:noProof/>
        </w:rPr>
        <w:t>.</w:t>
      </w:r>
    </w:p>
    <w:p w:rsidR="003E022D" w:rsidRDefault="007D19D6">
      <w:pPr>
        <w:rPr>
          <w:noProof/>
        </w:rPr>
      </w:pPr>
      <w:r>
        <w:rPr>
          <w:noProof/>
        </w:rPr>
        <w:t>Visu valstu vietnēs jāizveido apakšdomēni (kursīvā treknrakstā) saskaņā ar šādu sintaksi:</w:t>
      </w:r>
    </w:p>
    <w:p w:rsidR="003E022D" w:rsidRDefault="007D19D6">
      <w:pPr>
        <w:rPr>
          <w:noProof/>
        </w:rPr>
      </w:pPr>
      <w:r>
        <w:rPr>
          <w:noProof/>
        </w:rPr>
        <w:t>“application-type.State-code.pruem.testa.eu”, kur:</w:t>
      </w:r>
    </w:p>
    <w:p w:rsidR="003E022D" w:rsidRDefault="007D19D6">
      <w:pPr>
        <w:rPr>
          <w:noProof/>
        </w:rPr>
      </w:pPr>
      <w:r>
        <w:rPr>
          <w:noProof/>
        </w:rPr>
        <w:t>"</w:t>
      </w:r>
      <w:r>
        <w:rPr>
          <w:i/>
          <w:iCs/>
          <w:noProof/>
        </w:rPr>
        <w:t>State-code</w:t>
      </w:r>
      <w:r>
        <w:rPr>
          <w:noProof/>
        </w:rPr>
        <w:t>"(valsts kods) ir valstu divu burtu kods (t. i., AT, BE u. c.);</w:t>
      </w:r>
    </w:p>
    <w:p w:rsidR="003E022D" w:rsidRDefault="007D19D6">
      <w:pPr>
        <w:rPr>
          <w:noProof/>
        </w:rPr>
      </w:pPr>
      <w:r>
        <w:rPr>
          <w:noProof/>
        </w:rPr>
        <w:t>savukārt "</w:t>
      </w:r>
      <w:r>
        <w:rPr>
          <w:i/>
          <w:iCs/>
          <w:noProof/>
        </w:rPr>
        <w:t>application-type</w:t>
      </w:r>
      <w:r>
        <w:rPr>
          <w:noProof/>
        </w:rPr>
        <w:t>" (lietojuma</w:t>
      </w:r>
      <w:r>
        <w:rPr>
          <w:noProof/>
        </w:rPr>
        <w:t xml:space="preserve"> tips) ir viena no vienībām: </w:t>
      </w:r>
      <w:r>
        <w:rPr>
          <w:i/>
          <w:noProof/>
        </w:rPr>
        <w:t>DNA</w:t>
      </w:r>
      <w:r>
        <w:rPr>
          <w:noProof/>
        </w:rPr>
        <w:t xml:space="preserve">, </w:t>
      </w:r>
      <w:r>
        <w:rPr>
          <w:i/>
          <w:noProof/>
        </w:rPr>
        <w:t>FP</w:t>
      </w:r>
      <w:r>
        <w:rPr>
          <w:noProof/>
        </w:rPr>
        <w:t xml:space="preserve"> un </w:t>
      </w:r>
      <w:r>
        <w:rPr>
          <w:i/>
          <w:noProof/>
        </w:rPr>
        <w:t>CAR</w:t>
      </w:r>
      <w:r>
        <w:rPr>
          <w:noProof/>
        </w:rPr>
        <w:t>.</w:t>
      </w:r>
    </w:p>
    <w:p w:rsidR="003E022D" w:rsidRDefault="007D19D6">
      <w:pPr>
        <w:rPr>
          <w:noProof/>
        </w:rPr>
      </w:pPr>
      <w:r>
        <w:rPr>
          <w:noProof/>
        </w:rPr>
        <w:t>Minētās sintakses piemērošanai vajadzīgie valstu apakšdomēni ir parādīti šajā tabulā:</w:t>
      </w:r>
    </w:p>
    <w:p w:rsidR="003E022D" w:rsidRDefault="007D19D6">
      <w:pPr>
        <w:rPr>
          <w:noProof/>
          <w:u w:val="single"/>
        </w:rPr>
      </w:pPr>
      <w:r>
        <w:rPr>
          <w:b/>
          <w:bCs/>
          <w:noProof/>
          <w:u w:val="single"/>
        </w:rPr>
        <w:t>Valstu apakšdomēnu sintakse (</w:t>
      </w:r>
      <w:r>
        <w:rPr>
          <w:b/>
          <w:bCs/>
          <w:i/>
          <w:noProof/>
          <w:u w:val="single"/>
        </w:rPr>
        <w:t>States’ sub domains syntax</w:t>
      </w:r>
      <w:r>
        <w:rPr>
          <w:b/>
          <w:bCs/>
          <w:noProof/>
          <w:u w:val="single"/>
        </w:rPr>
        <w:t>)</w:t>
      </w:r>
    </w:p>
    <w:tbl>
      <w:tblPr>
        <w:tblW w:w="9286" w:type="dxa"/>
        <w:tblLayout w:type="fixed"/>
        <w:tblLook w:val="0000" w:firstRow="0" w:lastRow="0" w:firstColumn="0" w:lastColumn="0" w:noHBand="0" w:noVBand="0"/>
      </w:tblPr>
      <w:tblGrid>
        <w:gridCol w:w="743"/>
        <w:gridCol w:w="2971"/>
        <w:gridCol w:w="5572"/>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State</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Sub Domains</w:t>
            </w:r>
          </w:p>
        </w:tc>
        <w:tc>
          <w:tcPr>
            <w:tcW w:w="55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Comments</w:t>
            </w: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BE</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strike/>
                <w:noProof/>
              </w:rPr>
            </w:pPr>
            <w:r>
              <w:rPr>
                <w:noProof/>
              </w:rPr>
              <w:t>dna.be.pruem.testa.eu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strike/>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strike/>
                <w:noProof/>
              </w:rPr>
            </w:pPr>
            <w:r>
              <w:rPr>
                <w:noProof/>
              </w:rPr>
              <w:t>fp.be.pruem.testa.eu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car.be.pruem.testa.eu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test.dna.be.pruem.testa.eu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test.fp.be.pruem.testa.eu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test.car.be.pruem.testa.eu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BG</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iCs/>
                <w:noProof/>
              </w:rPr>
            </w:pPr>
            <w:r>
              <w:rPr>
                <w:noProof/>
              </w:rPr>
              <w:t xml:space="preserve">dna.bg.pruem.testa.eu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iCs/>
                <w:noProof/>
              </w:rPr>
            </w:pPr>
            <w:r>
              <w:rPr>
                <w:noProof/>
              </w:rPr>
              <w:t xml:space="preserve">fp.bg.pruem.testa.eu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car.bg.pruem.testa.eu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test.dna.bg.pruem.testa.eu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test.fp.bg.pruem.testa.eu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test.car.bg.pruem.testa.eu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CZ</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car.cz.pruem.testa.eu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test.dna.cz.pruem.testa.eu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test.fp.cz.pruem.testa.eu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test.car.cz.pruem.testa.eu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DK</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car.dk.pruem.testa.eu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test.dna.dk.pruem.testa.eu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test.fp.dk.pruem.testa.eu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test.car.dk.pruem.testa.eu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DE</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strike/>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car.de.pruem.testa.eu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test.dna.de.pruem.testa.eu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test.fp.de.pruem.testa.eu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test.car.de.pruem.testa.eu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EE</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car.ee.pruem.testa.eu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test.dna.ee.pruem.testa.eu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test.fp.ee.pruem.testa.eu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test.car.ee.pruem.testa.eu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IE</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
                <w:iCs/>
                <w:noProof/>
              </w:rPr>
            </w:pPr>
            <w:r>
              <w:rPr>
                <w:noProof/>
              </w:rPr>
              <w:t>car.ie.pruem.testa.eu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test.dna.ie.pruem.testa.eu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test.fp.ie.pruem.testa.eu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test.car.ie.pruem.testa.eu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EL</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iCs/>
                <w:noProof/>
              </w:rPr>
            </w:pPr>
            <w:r>
              <w:rPr>
                <w:noProof/>
              </w:rPr>
              <w:t>car.el.pruem.testa.eu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iCs/>
                <w:noProof/>
              </w:rPr>
            </w:pPr>
            <w:r>
              <w:rPr>
                <w:noProof/>
              </w:rPr>
              <w:t>test.dna.el.pruem.testa.eu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iCs/>
                <w:noProof/>
              </w:rPr>
            </w:pPr>
            <w:r>
              <w:rPr>
                <w:noProof/>
              </w:rPr>
              <w:t>test.fp.el.pruem.testa.eu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iCs/>
                <w:noProof/>
              </w:rPr>
            </w:pPr>
            <w:r>
              <w:rPr>
                <w:noProof/>
              </w:rPr>
              <w:t>test.car.el.pruem.testa.eu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ES</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car.es.pruem.testa.eu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test.dna.es.pruem.testa.eu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test.fp.es.pruem.testa.eu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test.car.es.pruem.testa.eu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FR</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car.fr.pruem.testa.eu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test.dna.fr.pruem.testa.eu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test.fp.fr.pruem.testa.eu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test.car.fr.pruem.testa.eu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adjustRightInd w:val="0"/>
              <w:rPr>
                <w:noProof/>
              </w:rPr>
            </w:pPr>
            <w:r>
              <w:rPr>
                <w:noProof/>
              </w:rPr>
              <w:t>HR</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i/>
                <w:iCs/>
                <w:noProof/>
              </w:rPr>
            </w:pPr>
            <w:r>
              <w:rPr>
                <w:noProof/>
              </w:rPr>
              <w:t>dna.hr.pruem.testa.eu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i/>
                <w:iCs/>
                <w:noProof/>
              </w:rPr>
            </w:pPr>
            <w:r>
              <w:rPr>
                <w:noProof/>
              </w:rPr>
              <w:t>fp.hr.pruem.testa.eu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car.hr.pruem.testa.eu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test.dna.hr.pruem.testa.eu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test.fp.hr.pruem.testa.eu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test.car.hr.pruem.testa.eu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IT</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car.it.pruem.testa.eu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test.dna.it.pruem.testa.eu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test.fp.it.pruem.testa.eu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test.car.it.pruem.testa.eu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CY</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car.cy.pruem.testa.eu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test.dna.cy.pruem.testa.eu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test.fp.cy.pruem.testa.eu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test.car.cy.pruem.testa.eu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LV</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car.lv.pruem.testa.eu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test.dna.lv.pruem.testa.eu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test.fp.lv.pruem.testa.eu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test.car.lv.pruem.testa.eu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LT</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car.lt.pruem.testa.eu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test.dna.lt.pruem.testa.eu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test.fp.lt.pruem.testa.eu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test.car.lt.pruem.testa.eu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LU</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car.lu.pruem.testa.eu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test.dna.lu.pruem.testa.eu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test.fp.lu.pruem.testa.eu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test.car.lu.pruem.testa.eu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HU</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car.hu.pruem.testa.eu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test.dna.hu.pruem.testa.eu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test.fp.hu.pruem.testa.eu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test.car.hu.pruem.testa.eu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MT</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car.mt.pruem.testa.eu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test.dna.mt.pruem.testa.eu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test.fp.mt.pruem.testa.eu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test.car.mt.pruem.testa.eu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NL</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dna.nl.pruem.nl.testa.eu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fp.nl.pruem.testa.eu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car.nl.pruem.testa.eu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test.dna.nl.pruem.testa.eu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test.fp.nl.pruem.testa.eu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test.car.nl.pruem.testa.eu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AT</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car.at.pruem.testa.eu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test.dna.at.pruem.testa.eu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test.fp.at.pruem.testa.eu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test.car.at.pruem.testa.eu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PL</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car.pl.pruem.testa.eu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test.dna.pl.pruem.testa.eu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test.fp.pl.pruem.testa.eu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test.car.pl.pruem.testa.eu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b/>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PT</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car.pt.pruem.testa.eu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test.dna.pt.pruem.testa.eu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test.fp.pt.pruem.testa.eu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test.car.pt.pruem.testa.eu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RO</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car.ro.pruem.testa.eu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test.dna.ro.pruem.testa.eu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test.fp.ro.pruem.testa.eu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test.car.ro.pruem.testa.eu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SI</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car.si.pruem.testa.eu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test.dna.si.pruem.testa.eu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test.fp.si.pruem.testa.eu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test.car.si.pruem.testa.eu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SK</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car.sk.pruem.testa.eu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test.dna.sk.pruem.testa.eu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test.fp.sk.pruem.testa.eu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test.car.sk.pruem.testa.eu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FI</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i/>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car.fi.pruem.testa.eu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test.dna.fi.pruem.testa.eu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test.fp.fi.pruem.testa.eu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test.car.fi.pruem.testa.eu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SE</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car.se.pruem.testa.eu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test.dna.se.pruem.testa.eu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test.fp.se.pruem.testa.eu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test.car.se.pruem.testa.eu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val="restart"/>
            <w:tcBorders>
              <w:top w:val="single" w:sz="2" w:space="0" w:color="auto"/>
              <w:left w:val="single" w:sz="2" w:space="0" w:color="auto"/>
              <w:right w:val="single" w:sz="2" w:space="0" w:color="auto"/>
            </w:tcBorders>
          </w:tcPr>
          <w:p w:rsidR="003E022D" w:rsidRDefault="007D19D6">
            <w:pPr>
              <w:spacing w:line="276" w:lineRule="auto"/>
              <w:rPr>
                <w:noProof/>
              </w:rPr>
            </w:pPr>
            <w:r>
              <w:rPr>
                <w:noProof/>
              </w:rPr>
              <w:t>UK</w:t>
            </w: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dna.uk.pruem.testa.eu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fp.uk.pruem.testa.eu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car.uk.pruem.testa.eu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test.dna.uk.pruem.testa.eu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test.fp.uk.pruem.testa.eu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r w:rsidR="003E022D">
        <w:tc>
          <w:tcPr>
            <w:tcW w:w="743" w:type="dxa"/>
            <w:vMerge/>
            <w:tcBorders>
              <w:left w:val="single" w:sz="2" w:space="0" w:color="auto"/>
              <w:bottom w:val="single" w:sz="2" w:space="0" w:color="auto"/>
              <w:right w:val="single" w:sz="2" w:space="0" w:color="auto"/>
            </w:tcBorders>
          </w:tcPr>
          <w:p w:rsidR="003E022D" w:rsidRDefault="003E022D">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3E022D" w:rsidRDefault="007D19D6">
            <w:pPr>
              <w:spacing w:line="276" w:lineRule="auto"/>
              <w:rPr>
                <w:iCs/>
                <w:noProof/>
              </w:rPr>
            </w:pPr>
            <w:r>
              <w:rPr>
                <w:noProof/>
              </w:rPr>
              <w:t>test.car.uk.pruem.testa.eu</w:t>
            </w:r>
          </w:p>
        </w:tc>
        <w:tc>
          <w:tcPr>
            <w:tcW w:w="557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rPr>
            </w:pPr>
          </w:p>
        </w:tc>
      </w:tr>
    </w:tbl>
    <w:p w:rsidR="003E022D" w:rsidRDefault="003E022D">
      <w:pPr>
        <w:rPr>
          <w:noProof/>
        </w:rPr>
      </w:pPr>
    </w:p>
    <w:p w:rsidR="003E022D" w:rsidRDefault="007D19D6">
      <w:pPr>
        <w:pStyle w:val="Chapter"/>
        <w:rPr>
          <w:noProof/>
        </w:rPr>
      </w:pPr>
      <w:r>
        <w:rPr>
          <w:noProof/>
        </w:rPr>
        <w:t xml:space="preserve">2. NODAĻA: Daktiloskopijas datu apmaiņa (saskarņu kontroles dokuments – </w:t>
      </w:r>
      <w:r>
        <w:rPr>
          <w:i/>
          <w:noProof/>
        </w:rPr>
        <w:t>interface control document</w:t>
      </w:r>
      <w:r>
        <w:rPr>
          <w:noProof/>
        </w:rPr>
        <w:t>)</w:t>
      </w:r>
    </w:p>
    <w:p w:rsidR="003E022D" w:rsidRDefault="007D19D6">
      <w:pPr>
        <w:spacing w:before="240"/>
        <w:rPr>
          <w:noProof/>
        </w:rPr>
      </w:pPr>
      <w:r>
        <w:rPr>
          <w:noProof/>
        </w:rPr>
        <w:t xml:space="preserve">Dokumentu </w:t>
      </w:r>
      <w:r>
        <w:rPr>
          <w:noProof/>
        </w:rPr>
        <w:t>saskarne "</w:t>
      </w:r>
      <w:r>
        <w:rPr>
          <w:i/>
          <w:noProof/>
        </w:rPr>
        <w:t>Control Document</w:t>
      </w:r>
      <w:r>
        <w:rPr>
          <w:noProof/>
        </w:rPr>
        <w:t xml:space="preserve"> (dokumentu kontrole)" ir izstrādāta, lai noteiktu prasības, ka jāievēro, valstīm savstarpēji veicot daktiloskopijas informācijas apmaiņu, izmantojot automatizētas pirkstu nospiedumu identifikācijas sistēmas (</w:t>
      </w:r>
      <w:r>
        <w:rPr>
          <w:i/>
          <w:noProof/>
        </w:rPr>
        <w:t>Automated Fingerprint</w:t>
      </w:r>
      <w:r>
        <w:rPr>
          <w:i/>
          <w:noProof/>
        </w:rPr>
        <w:t xml:space="preserve"> Identification Systems</w:t>
      </w:r>
      <w:r>
        <w:rPr>
          <w:noProof/>
        </w:rPr>
        <w:t xml:space="preserve"> – </w:t>
      </w:r>
      <w:r>
        <w:rPr>
          <w:i/>
          <w:noProof/>
        </w:rPr>
        <w:t>AFIS</w:t>
      </w:r>
      <w:r>
        <w:rPr>
          <w:noProof/>
        </w:rPr>
        <w:t xml:space="preserve">). Tajā ir izmantots Interpola īstenotais </w:t>
      </w:r>
      <w:r>
        <w:rPr>
          <w:i/>
          <w:noProof/>
        </w:rPr>
        <w:t>ANSI/NIST-ITL 1-2000</w:t>
      </w:r>
      <w:r>
        <w:rPr>
          <w:noProof/>
        </w:rPr>
        <w:t xml:space="preserve"> (</w:t>
      </w:r>
      <w:r>
        <w:rPr>
          <w:i/>
          <w:noProof/>
        </w:rPr>
        <w:t>INT-I</w:t>
      </w:r>
      <w:r>
        <w:rPr>
          <w:noProof/>
        </w:rPr>
        <w:t xml:space="preserve">, </w:t>
      </w:r>
      <w:r>
        <w:rPr>
          <w:i/>
          <w:noProof/>
        </w:rPr>
        <w:t>Version 4.22b</w:t>
      </w:r>
      <w:r>
        <w:rPr>
          <w:noProof/>
        </w:rPr>
        <w:t>).</w:t>
      </w:r>
    </w:p>
    <w:p w:rsidR="003E022D" w:rsidRDefault="007D19D6">
      <w:pPr>
        <w:rPr>
          <w:noProof/>
        </w:rPr>
      </w:pPr>
      <w:r>
        <w:rPr>
          <w:noProof/>
        </w:rPr>
        <w:t>Šī versija attiecas uz visām 1. tipa, 2. tipa, 4. tipa, 9. tipa, 13. tipa un 15. tipa loģisku ierakstu pamatdefinīcijām, kuras ir vajadzīga</w:t>
      </w:r>
      <w:r>
        <w:rPr>
          <w:noProof/>
        </w:rPr>
        <w:t>s daktiloskopijas apstrādei, kurā izmanto attēlus un papilārlīniju detaļas.</w:t>
      </w:r>
    </w:p>
    <w:p w:rsidR="003E022D" w:rsidRDefault="007D19D6">
      <w:pPr>
        <w:spacing w:line="276" w:lineRule="auto"/>
        <w:rPr>
          <w:noProof/>
        </w:rPr>
      </w:pPr>
      <w:r>
        <w:rPr>
          <w:noProof/>
        </w:rPr>
        <w:t>1.</w:t>
      </w:r>
      <w:r>
        <w:rPr>
          <w:noProof/>
        </w:rPr>
        <w:tab/>
        <w:t>Datņu satura pārskats</w:t>
      </w:r>
    </w:p>
    <w:p w:rsidR="003E022D" w:rsidRDefault="007D19D6">
      <w:pPr>
        <w:rPr>
          <w:noProof/>
        </w:rPr>
      </w:pPr>
      <w:r>
        <w:rPr>
          <w:noProof/>
        </w:rPr>
        <w:t xml:space="preserve">Vienā daktiloskopijas datnē ir vairāki loģiski elementi. Oriģinālajā </w:t>
      </w:r>
      <w:r>
        <w:rPr>
          <w:i/>
          <w:noProof/>
        </w:rPr>
        <w:t>ANSI/NIST-ITL 1-2000</w:t>
      </w:r>
      <w:r>
        <w:rPr>
          <w:noProof/>
        </w:rPr>
        <w:t xml:space="preserve"> standartā ir sešpadsmit dažādu tipu elementu. Attiecīgas </w:t>
      </w:r>
      <w:r>
        <w:rPr>
          <w:i/>
          <w:noProof/>
        </w:rPr>
        <w:t>ASCII</w:t>
      </w:r>
      <w:r>
        <w:rPr>
          <w:noProof/>
        </w:rPr>
        <w:t xml:space="preserve"> nošķīrējzīmes lieto, nodalot katru ierakstu, un ierakstos – laukus un pakārtotus laukus.</w:t>
      </w:r>
    </w:p>
    <w:p w:rsidR="003E022D" w:rsidRDefault="007D19D6">
      <w:pPr>
        <w:rPr>
          <w:noProof/>
        </w:rPr>
      </w:pPr>
      <w:r>
        <w:rPr>
          <w:noProof/>
        </w:rPr>
        <w:t>Tikai sešu tipu ierakstus lieto, lai datu izcelsmes aģentūra dalītos informācijā ar datu saņēmēju aģentūru:</w:t>
      </w:r>
    </w:p>
    <w:tbl>
      <w:tblPr>
        <w:tblW w:w="0" w:type="auto"/>
        <w:tblInd w:w="1439" w:type="dxa"/>
        <w:tblLayout w:type="fixed"/>
        <w:tblLook w:val="0000" w:firstRow="0" w:lastRow="0" w:firstColumn="0" w:lastColumn="0" w:noHBand="0" w:noVBand="0"/>
      </w:tblPr>
      <w:tblGrid>
        <w:gridCol w:w="1153"/>
        <w:gridCol w:w="513"/>
        <w:gridCol w:w="4741"/>
      </w:tblGrid>
      <w:tr w:rsidR="003E022D">
        <w:tc>
          <w:tcPr>
            <w:tcW w:w="11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 tips</w:t>
            </w:r>
          </w:p>
        </w:tc>
        <w:tc>
          <w:tcPr>
            <w:tcW w:w="51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informācija par darbību</w:t>
            </w:r>
          </w:p>
        </w:tc>
      </w:tr>
      <w:tr w:rsidR="003E022D">
        <w:tc>
          <w:tcPr>
            <w:tcW w:w="11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 tips</w:t>
            </w:r>
          </w:p>
        </w:tc>
        <w:tc>
          <w:tcPr>
            <w:tcW w:w="51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burtu un </w:t>
            </w:r>
            <w:r>
              <w:rPr>
                <w:noProof/>
              </w:rPr>
              <w:t>skaitļu dati par personām un attiecīgām lietām</w:t>
            </w:r>
          </w:p>
        </w:tc>
      </w:tr>
      <w:tr w:rsidR="003E022D">
        <w:tc>
          <w:tcPr>
            <w:tcW w:w="11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 tips</w:t>
            </w:r>
          </w:p>
        </w:tc>
        <w:tc>
          <w:tcPr>
            <w:tcW w:w="51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melnbalti tonāli daktiloskopiski attēli ar lielu izšķirtspēju</w:t>
            </w:r>
          </w:p>
        </w:tc>
      </w:tr>
      <w:tr w:rsidR="003E022D">
        <w:tc>
          <w:tcPr>
            <w:tcW w:w="11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 tips</w:t>
            </w:r>
          </w:p>
        </w:tc>
        <w:tc>
          <w:tcPr>
            <w:tcW w:w="51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papilārlīniju detaļu uzskaitījums</w:t>
            </w:r>
          </w:p>
        </w:tc>
      </w:tr>
      <w:tr w:rsidR="003E022D">
        <w:tc>
          <w:tcPr>
            <w:tcW w:w="11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 tips</w:t>
            </w:r>
          </w:p>
        </w:tc>
        <w:tc>
          <w:tcPr>
            <w:tcW w:w="51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ierakstīti latenti attēli ar maināmu izšķirtspēju</w:t>
            </w:r>
          </w:p>
        </w:tc>
      </w:tr>
      <w:tr w:rsidR="003E022D">
        <w:tc>
          <w:tcPr>
            <w:tcW w:w="11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 tips</w:t>
            </w:r>
          </w:p>
        </w:tc>
        <w:tc>
          <w:tcPr>
            <w:tcW w:w="51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ierakstīti plauks</w:t>
            </w:r>
            <w:r>
              <w:rPr>
                <w:noProof/>
              </w:rPr>
              <w:t>tu nospiedumu attēli ar maināmu izšķirtspēju</w:t>
            </w:r>
          </w:p>
        </w:tc>
      </w:tr>
    </w:tbl>
    <w:p w:rsidR="003E022D" w:rsidRDefault="003E022D">
      <w:pPr>
        <w:rPr>
          <w:noProof/>
        </w:rPr>
      </w:pPr>
    </w:p>
    <w:p w:rsidR="003E022D" w:rsidRDefault="007D19D6">
      <w:pPr>
        <w:spacing w:line="276" w:lineRule="auto"/>
        <w:rPr>
          <w:noProof/>
        </w:rPr>
      </w:pPr>
      <w:r>
        <w:rPr>
          <w:noProof/>
        </w:rPr>
        <w:t>1.1.</w:t>
      </w:r>
      <w:r>
        <w:rPr>
          <w:noProof/>
        </w:rPr>
        <w:tab/>
        <w:t>1. tips – datnes galvene</w:t>
      </w:r>
    </w:p>
    <w:p w:rsidR="003E022D" w:rsidRDefault="007D19D6">
      <w:pPr>
        <w:rPr>
          <w:noProof/>
        </w:rPr>
      </w:pPr>
      <w:r>
        <w:rPr>
          <w:noProof/>
        </w:rPr>
        <w:t>Šajos ierakstos ir maršrutēšanas informācija un informācija par pārējo datnes struktūru. Šajos ierakstos ir noteikti arī darbību tipi, kas atbilst šādām plašām kategorijām.</w:t>
      </w:r>
    </w:p>
    <w:p w:rsidR="003E022D" w:rsidRDefault="007D19D6">
      <w:pPr>
        <w:spacing w:line="276" w:lineRule="auto"/>
        <w:rPr>
          <w:noProof/>
        </w:rPr>
      </w:pPr>
      <w:r>
        <w:rPr>
          <w:noProof/>
        </w:rPr>
        <w:t>1.2.</w:t>
      </w:r>
      <w:r>
        <w:rPr>
          <w:noProof/>
        </w:rPr>
        <w:tab/>
      </w:r>
      <w:r>
        <w:rPr>
          <w:noProof/>
        </w:rPr>
        <w:t>2. tips – apraksts</w:t>
      </w:r>
    </w:p>
    <w:p w:rsidR="003E022D" w:rsidRDefault="007D19D6">
      <w:pPr>
        <w:rPr>
          <w:noProof/>
        </w:rPr>
      </w:pPr>
      <w:r>
        <w:rPr>
          <w:noProof/>
        </w:rPr>
        <w:t>Šajos ierakstos ir tekstuāla informācija, kas attiecas gan uz sūtītāju, gan uz saņēmēju aģentūru.</w:t>
      </w:r>
    </w:p>
    <w:p w:rsidR="003E022D" w:rsidRDefault="007D19D6">
      <w:pPr>
        <w:spacing w:line="276" w:lineRule="auto"/>
        <w:rPr>
          <w:noProof/>
        </w:rPr>
      </w:pPr>
      <w:r>
        <w:rPr>
          <w:noProof/>
        </w:rPr>
        <w:t>1.3.</w:t>
      </w:r>
      <w:r>
        <w:rPr>
          <w:noProof/>
        </w:rPr>
        <w:tab/>
        <w:t>4. tips – melnbalti tonāli attēli ar lielu izšķirtspēju</w:t>
      </w:r>
    </w:p>
    <w:p w:rsidR="003E022D" w:rsidRDefault="007D19D6">
      <w:pPr>
        <w:rPr>
          <w:noProof/>
        </w:rPr>
      </w:pPr>
      <w:r>
        <w:rPr>
          <w:noProof/>
        </w:rPr>
        <w:t>Tādus ierakstus izmanto, lai dalītos ar melnbaltiem tonāliem daktiloskopijas a</w:t>
      </w:r>
      <w:r>
        <w:rPr>
          <w:noProof/>
        </w:rPr>
        <w:t xml:space="preserve">ttēliem, kas ir nolasīti ar lielu (astoņu bitu) izšķirtspēju, 500 pikseļiem collā. Daktiloskopijas attēlus saspiež, izmantojot </w:t>
      </w:r>
      <w:r>
        <w:rPr>
          <w:i/>
          <w:noProof/>
        </w:rPr>
        <w:t>WSQ</w:t>
      </w:r>
      <w:r>
        <w:rPr>
          <w:noProof/>
        </w:rPr>
        <w:t xml:space="preserve"> algoritmu, ar koeficientu līdz 15:1. Nelieto citus saspiešanas algoritmus vai nesaspiestus attēlus.</w:t>
      </w:r>
    </w:p>
    <w:p w:rsidR="003E022D" w:rsidRDefault="007D19D6">
      <w:pPr>
        <w:spacing w:line="276" w:lineRule="auto"/>
        <w:rPr>
          <w:noProof/>
        </w:rPr>
      </w:pPr>
      <w:r>
        <w:rPr>
          <w:noProof/>
        </w:rPr>
        <w:t>1.4.</w:t>
      </w:r>
      <w:r>
        <w:rPr>
          <w:noProof/>
        </w:rPr>
        <w:tab/>
        <w:t>9. tips – ierakstīta</w:t>
      </w:r>
      <w:r>
        <w:rPr>
          <w:noProof/>
        </w:rPr>
        <w:t>s papilārlīniju detaļas</w:t>
      </w:r>
    </w:p>
    <w:p w:rsidR="003E022D" w:rsidRDefault="007D19D6">
      <w:pPr>
        <w:rPr>
          <w:noProof/>
        </w:rPr>
      </w:pPr>
      <w:r>
        <w:rPr>
          <w:noProof/>
        </w:rPr>
        <w:t xml:space="preserve">9. tipa ierakstus izmanto, lai veiktu apmaiņu ar papilārlīniju parametriem vai papilārlīniju detaļu datiem. Viens iemesls to izmantojumam ir izvairīties no nevajadzīgas </w:t>
      </w:r>
      <w:r>
        <w:rPr>
          <w:i/>
          <w:noProof/>
        </w:rPr>
        <w:t>AFIS</w:t>
      </w:r>
      <w:r>
        <w:rPr>
          <w:noProof/>
        </w:rPr>
        <w:t xml:space="preserve"> kodēšanas procesu atkārtošanās un arī – lai varētu pārraid</w:t>
      </w:r>
      <w:r>
        <w:rPr>
          <w:noProof/>
        </w:rPr>
        <w:t xml:space="preserve">īt </w:t>
      </w:r>
      <w:r>
        <w:rPr>
          <w:i/>
          <w:noProof/>
        </w:rPr>
        <w:t>AFIS</w:t>
      </w:r>
      <w:r>
        <w:rPr>
          <w:noProof/>
        </w:rPr>
        <w:t xml:space="preserve"> kodus, kuros ir mazāk datu nekā atbilstošos attēlos.</w:t>
      </w:r>
    </w:p>
    <w:p w:rsidR="003E022D" w:rsidRDefault="007D19D6">
      <w:pPr>
        <w:spacing w:line="276" w:lineRule="auto"/>
        <w:rPr>
          <w:noProof/>
        </w:rPr>
      </w:pPr>
      <w:r>
        <w:rPr>
          <w:noProof/>
        </w:rPr>
        <w:t>1.5.</w:t>
      </w:r>
      <w:r>
        <w:rPr>
          <w:noProof/>
        </w:rPr>
        <w:tab/>
        <w:t>13. tips – ierakstīti latenti attēli ar maināmu izšķirtspēju</w:t>
      </w:r>
    </w:p>
    <w:p w:rsidR="003E022D" w:rsidRDefault="007D19D6">
      <w:pPr>
        <w:rPr>
          <w:noProof/>
        </w:rPr>
      </w:pPr>
      <w:r>
        <w:rPr>
          <w:noProof/>
        </w:rPr>
        <w:t>Tādus ierakstus izmanto, lai apmainītos ar ierakstītiem latentiem pirkstu nospiedumu attēliem ar maināmu izšķirtspēju un latentie</w:t>
      </w:r>
      <w:r>
        <w:rPr>
          <w:noProof/>
        </w:rPr>
        <w:t xml:space="preserve">m plaukstu nospiedumu attēliem, kā arī ar tekstuālu burtu un skaitļu informāciju. Skenēto attēlu izšķirtspējai ir jābūt 500 pikseļiem collā ar 256 toņu pelēkumu. Ja latentā attēla kvalitāte ir pietiekama, to saspiež, izmantojot </w:t>
      </w:r>
      <w:r>
        <w:rPr>
          <w:i/>
          <w:noProof/>
        </w:rPr>
        <w:t>WSQ</w:t>
      </w:r>
      <w:r>
        <w:rPr>
          <w:noProof/>
        </w:rPr>
        <w:t xml:space="preserve"> algoritmu. Vajadzības ga</w:t>
      </w:r>
      <w:r>
        <w:rPr>
          <w:noProof/>
        </w:rPr>
        <w:t xml:space="preserve">dījumā, savstarpēji vienojoties, attēlu izšķirtspēju var palielināt līdz vairāk nekā 500 pikseļiem collā un vairāk nekā līdz 256 toņu pelēkumam. Šādos gadījumos ļoti ieteicams ir lietot </w:t>
      </w:r>
      <w:r>
        <w:rPr>
          <w:i/>
          <w:noProof/>
        </w:rPr>
        <w:t>JPEG</w:t>
      </w:r>
      <w:r>
        <w:rPr>
          <w:noProof/>
        </w:rPr>
        <w:t> 2000 (sk. 7. papildinājumu).</w:t>
      </w:r>
    </w:p>
    <w:p w:rsidR="003E022D" w:rsidRDefault="007D19D6">
      <w:pPr>
        <w:spacing w:line="276" w:lineRule="auto"/>
        <w:rPr>
          <w:noProof/>
        </w:rPr>
      </w:pPr>
      <w:r>
        <w:rPr>
          <w:noProof/>
        </w:rPr>
        <w:t>1.6.</w:t>
      </w:r>
      <w:r>
        <w:rPr>
          <w:noProof/>
        </w:rPr>
        <w:tab/>
        <w:t xml:space="preserve">Ierakstīti plaukstu nospiedumu </w:t>
      </w:r>
      <w:r>
        <w:rPr>
          <w:noProof/>
        </w:rPr>
        <w:t>attēli ar maināmu izšķirtspēju</w:t>
      </w:r>
    </w:p>
    <w:p w:rsidR="003E022D" w:rsidRDefault="007D19D6">
      <w:pPr>
        <w:rPr>
          <w:noProof/>
        </w:rPr>
      </w:pPr>
      <w:r>
        <w:rPr>
          <w:noProof/>
        </w:rPr>
        <w:t>15. tipa marķētus lauka attēlu ierakstus izmanto, lai veiktu apmaiņu ar plaukstu nospiedumu attēliem ar maināmu izšķirtspēju, kā arī ar tekstuālu burtu un skaitļu informāciju. Skenēto attēlu izšķirtspējai ir jābūt 500 pikseļi</w:t>
      </w:r>
      <w:r>
        <w:rPr>
          <w:noProof/>
        </w:rPr>
        <w:t xml:space="preserve">em collā ar 256 toņu pelēkumu. Lai mazinātu visu plaukstu nospiedumu attēlu datu apjomu, tie jāsaspiež, izmantojot </w:t>
      </w:r>
      <w:r>
        <w:rPr>
          <w:i/>
          <w:noProof/>
        </w:rPr>
        <w:t>WSQ</w:t>
      </w:r>
      <w:r>
        <w:rPr>
          <w:noProof/>
        </w:rPr>
        <w:t xml:space="preserve"> algoritmu. Vajadzības gadījumā, savstarpēji vienojoties, attēlu izšķirtspēju var palielināt līdz vairāk nekā 500 pikseļiem collā un vairā</w:t>
      </w:r>
      <w:r>
        <w:rPr>
          <w:noProof/>
        </w:rPr>
        <w:t xml:space="preserve">k nekā līdz 256 toņu pelēkumam. Šādos gadījumos ļoti ieteicams ir lietot </w:t>
      </w:r>
      <w:r>
        <w:rPr>
          <w:i/>
          <w:noProof/>
        </w:rPr>
        <w:t>JPEG</w:t>
      </w:r>
      <w:r>
        <w:rPr>
          <w:noProof/>
        </w:rPr>
        <w:t> 2000 (sk. 7. papildinājumu).</w:t>
      </w:r>
    </w:p>
    <w:p w:rsidR="003E022D" w:rsidRDefault="007D19D6">
      <w:pPr>
        <w:spacing w:line="276" w:lineRule="auto"/>
        <w:rPr>
          <w:noProof/>
        </w:rPr>
      </w:pPr>
      <w:r>
        <w:rPr>
          <w:noProof/>
        </w:rPr>
        <w:t>2.</w:t>
      </w:r>
      <w:r>
        <w:rPr>
          <w:noProof/>
        </w:rPr>
        <w:tab/>
        <w:t>Ierakstu forma</w:t>
      </w:r>
    </w:p>
    <w:p w:rsidR="003E022D" w:rsidRDefault="007D19D6">
      <w:pPr>
        <w:rPr>
          <w:noProof/>
        </w:rPr>
      </w:pPr>
      <w:r>
        <w:rPr>
          <w:noProof/>
        </w:rPr>
        <w:t>Vienā darbību datnē ir viens vai vairāki loģiski ieraksti. Katram loģiskam ierakstam datnē ir vairāki informācijas lauki, kas ir pi</w:t>
      </w:r>
      <w:r>
        <w:rPr>
          <w:noProof/>
        </w:rPr>
        <w:t>emēroti attiecīga tipa ierakstiem. Katrā informācijas laukā var būt viens vai vairāki elementāri vienvērtīgi informācijas elementi. Kopumā minētos elementus izmanto, lai atklātu dažādus attiecīgā lauka datu aspektus. Informācijas laukā var būt arī viens va</w:t>
      </w:r>
      <w:r>
        <w:rPr>
          <w:noProof/>
        </w:rPr>
        <w:t>i vairāki sagrupēti informācijas elementi, kas laukā atkārtojas vairākkārt. Tādas informācijas elementu grupas dēvē par pakārtotiem laukiem. Tādējādi informācijas laukā var būt viens vai vairāki pakārtoti informācijas elementu lauki.</w:t>
      </w:r>
    </w:p>
    <w:p w:rsidR="003E022D" w:rsidRDefault="007D19D6">
      <w:pPr>
        <w:spacing w:line="276" w:lineRule="auto"/>
        <w:rPr>
          <w:noProof/>
        </w:rPr>
      </w:pPr>
      <w:r>
        <w:rPr>
          <w:noProof/>
        </w:rPr>
        <w:t>2.1.</w:t>
      </w:r>
      <w:r>
        <w:rPr>
          <w:noProof/>
        </w:rPr>
        <w:tab/>
        <w:t>Informācijas nošķ</w:t>
      </w:r>
      <w:r>
        <w:rPr>
          <w:noProof/>
        </w:rPr>
        <w:t>īrēji</w:t>
      </w:r>
    </w:p>
    <w:p w:rsidR="003E022D" w:rsidRDefault="007D19D6">
      <w:pPr>
        <w:rPr>
          <w:noProof/>
        </w:rPr>
      </w:pPr>
      <w:r>
        <w:rPr>
          <w:noProof/>
        </w:rPr>
        <w:t xml:space="preserve">Marķētu lauku loģiskos ierakstos liek lietā informācijas norobežošanas mehānismus, izmantojot četrus </w:t>
      </w:r>
      <w:r>
        <w:rPr>
          <w:i/>
          <w:noProof/>
        </w:rPr>
        <w:t>ASCII</w:t>
      </w:r>
      <w:r>
        <w:rPr>
          <w:noProof/>
        </w:rPr>
        <w:t xml:space="preserve"> informācijas nošķīrējus. Norobežota informācija var būt elementi kādā laukā vai pakārtotā laukā, laukos, kas atrodas loģiskos ierakstos, vai ar</w:t>
      </w:r>
      <w:r>
        <w:rPr>
          <w:noProof/>
        </w:rPr>
        <w:t xml:space="preserve">ī daudzkārtējos pakārtotos laukos. Informācijas nošķīrējus nosaka pēc standarta </w:t>
      </w:r>
      <w:r>
        <w:rPr>
          <w:i/>
          <w:noProof/>
        </w:rPr>
        <w:t>ANSI X3.4</w:t>
      </w:r>
      <w:r>
        <w:rPr>
          <w:noProof/>
        </w:rPr>
        <w:t>. Tādas zīmes izmanto, lai nošķirtu un klasificētu informāciju loģiskā nozīmē. Hierarhiski datnes nošķīrēja (</w:t>
      </w:r>
      <w:r>
        <w:rPr>
          <w:i/>
          <w:noProof/>
        </w:rPr>
        <w:t>File Separator</w:t>
      </w:r>
      <w:r>
        <w:rPr>
          <w:noProof/>
        </w:rPr>
        <w:t xml:space="preserve"> – "</w:t>
      </w:r>
      <w:r>
        <w:rPr>
          <w:i/>
          <w:noProof/>
        </w:rPr>
        <w:t>FS</w:t>
      </w:r>
      <w:r>
        <w:rPr>
          <w:noProof/>
        </w:rPr>
        <w:t>") zīme aptver visvairāk informācijas,</w:t>
      </w:r>
      <w:r>
        <w:rPr>
          <w:noProof/>
        </w:rPr>
        <w:t xml:space="preserve"> nākamā ir grupu nošķīrēja (</w:t>
      </w:r>
      <w:r>
        <w:rPr>
          <w:i/>
          <w:noProof/>
        </w:rPr>
        <w:t>Group Separator</w:t>
      </w:r>
      <w:r>
        <w:rPr>
          <w:noProof/>
        </w:rPr>
        <w:t xml:space="preserve"> – "</w:t>
      </w:r>
      <w:r>
        <w:rPr>
          <w:i/>
          <w:noProof/>
        </w:rPr>
        <w:t>GS</w:t>
      </w:r>
      <w:r>
        <w:rPr>
          <w:noProof/>
        </w:rPr>
        <w:t>"), ierakstu nošķīrēja (</w:t>
      </w:r>
      <w:r>
        <w:rPr>
          <w:i/>
          <w:noProof/>
        </w:rPr>
        <w:t>Record Separator</w:t>
      </w:r>
      <w:r>
        <w:rPr>
          <w:noProof/>
        </w:rPr>
        <w:t xml:space="preserve"> – "</w:t>
      </w:r>
      <w:r>
        <w:rPr>
          <w:i/>
          <w:noProof/>
        </w:rPr>
        <w:t>RS</w:t>
      </w:r>
      <w:r>
        <w:rPr>
          <w:noProof/>
        </w:rPr>
        <w:t>") un visbeidzot vienību nošķīrēja (</w:t>
      </w:r>
      <w:r>
        <w:rPr>
          <w:i/>
          <w:noProof/>
        </w:rPr>
        <w:t>Unit Separator</w:t>
      </w:r>
      <w:r>
        <w:rPr>
          <w:noProof/>
        </w:rPr>
        <w:t xml:space="preserve"> – "</w:t>
      </w:r>
      <w:r>
        <w:rPr>
          <w:i/>
          <w:noProof/>
        </w:rPr>
        <w:t>US</w:t>
      </w:r>
      <w:r>
        <w:rPr>
          <w:noProof/>
        </w:rPr>
        <w:t xml:space="preserve">") zīme. 1. tabulā ir uzskaitīti minētie </w:t>
      </w:r>
      <w:r>
        <w:rPr>
          <w:i/>
          <w:noProof/>
        </w:rPr>
        <w:t>ASCII</w:t>
      </w:r>
      <w:r>
        <w:rPr>
          <w:noProof/>
        </w:rPr>
        <w:t xml:space="preserve"> nošķīrēji un aprakstīts to lietojums saskaņā ar minēto sta</w:t>
      </w:r>
      <w:r>
        <w:rPr>
          <w:noProof/>
        </w:rPr>
        <w:t>ndartu.</w:t>
      </w:r>
    </w:p>
    <w:p w:rsidR="003E022D" w:rsidRDefault="007D19D6">
      <w:pPr>
        <w:rPr>
          <w:noProof/>
        </w:rPr>
      </w:pPr>
      <w:r>
        <w:rPr>
          <w:noProof/>
        </w:rPr>
        <w:t>Informācijas nošķīrēji no funkciju viedokļa būtu jāuzskata par norādēm, kāda tipa dati tām seko. Zīme "</w:t>
      </w:r>
      <w:r>
        <w:rPr>
          <w:i/>
          <w:noProof/>
        </w:rPr>
        <w:t>US</w:t>
      </w:r>
      <w:r>
        <w:rPr>
          <w:noProof/>
        </w:rPr>
        <w:t>" nošķir atsevišķus informācijas elementus kādā laukā vai pakārtotā laukā. Tas nozīmē, ka nākamais informācijas elements ir attiecīga lauka vai</w:t>
      </w:r>
      <w:r>
        <w:rPr>
          <w:noProof/>
        </w:rPr>
        <w:t xml:space="preserve"> pakārtota lauka datu fragments. Vairāki pakārtoti lauki vienā laukā, kas ir nošķirts ar "</w:t>
      </w:r>
      <w:r>
        <w:rPr>
          <w:i/>
          <w:noProof/>
        </w:rPr>
        <w:t>RS</w:t>
      </w:r>
      <w:r>
        <w:rPr>
          <w:noProof/>
        </w:rPr>
        <w:t>" zīmi, liecina, ka sākas nākamā atkārtota(-u) informācijas elementa(-u) grupa. Nošķīrējzīme "</w:t>
      </w:r>
      <w:r>
        <w:rPr>
          <w:i/>
          <w:noProof/>
        </w:rPr>
        <w:t>GS</w:t>
      </w:r>
      <w:r>
        <w:rPr>
          <w:noProof/>
        </w:rPr>
        <w:t>", ko lieto starp informācijas laukiem, liecina, ka sākas jauns lauk</w:t>
      </w:r>
      <w:r>
        <w:rPr>
          <w:noProof/>
        </w:rPr>
        <w:t>s – pirms lauka identifikācijas numura, kas tai tūdaļ seko. Līdzīgi – par jauna loģiska ieraksta sākumu liecina "</w:t>
      </w:r>
      <w:r>
        <w:rPr>
          <w:i/>
          <w:noProof/>
        </w:rPr>
        <w:t>FS</w:t>
      </w:r>
      <w:r>
        <w:rPr>
          <w:noProof/>
        </w:rPr>
        <w:t>" zīme.</w:t>
      </w:r>
    </w:p>
    <w:p w:rsidR="003E022D" w:rsidRDefault="007D19D6">
      <w:pPr>
        <w:rPr>
          <w:noProof/>
        </w:rPr>
      </w:pPr>
      <w:r>
        <w:rPr>
          <w:noProof/>
        </w:rPr>
        <w:t xml:space="preserve">Šīm četrām zīmēm ir nozīme tikai tad, ja tās </w:t>
      </w:r>
      <w:r>
        <w:rPr>
          <w:i/>
          <w:noProof/>
        </w:rPr>
        <w:t>ASCII</w:t>
      </w:r>
      <w:r>
        <w:rPr>
          <w:noProof/>
        </w:rPr>
        <w:t xml:space="preserve"> teksta ierakstu laukos lieto kā datu elementu nošķīrējas. Šīm zīmēm, kas ir sastop</w:t>
      </w:r>
      <w:r>
        <w:rPr>
          <w:noProof/>
        </w:rPr>
        <w:t>amas bināros attēlu ierakstos un bināros laukos, nav patstāvīgas nozīmes – tās tikai pieder pie datiem, ar kuriem veic apmaiņu.</w:t>
      </w:r>
    </w:p>
    <w:p w:rsidR="003E022D" w:rsidRDefault="007D19D6">
      <w:pPr>
        <w:rPr>
          <w:noProof/>
        </w:rPr>
      </w:pPr>
      <w:r>
        <w:rPr>
          <w:noProof/>
        </w:rPr>
        <w:t xml:space="preserve">Parastos apstākļos nevajadzētu būt tukšiem laukiem vai informācijas elementiem, tāpēc starp katriem diviem datu elementiem būtu </w:t>
      </w:r>
      <w:r>
        <w:rPr>
          <w:noProof/>
        </w:rPr>
        <w:t>jābūt tikai vienai nošķīrējzīmei. Šim likumam izņēmums ir gadījumos, ja kādā darbībā dati laukos vai informācijas elementos nav pieejami, to nav vai tie nav obligāti, un darbības apstrāde nav atkarīga no tā, vai attiecīgie dati ir pieejami. Tādos gadījumos</w:t>
      </w:r>
      <w:r>
        <w:rPr>
          <w:noProof/>
        </w:rPr>
        <w:t xml:space="preserve"> vairākas un blakus esošas nošķīrējzīmes parādīsies kopā, un nošķīrējzīmju starpā nevajadzēs iespraust butaforiskus datus.</w:t>
      </w:r>
    </w:p>
    <w:p w:rsidR="003E022D" w:rsidRDefault="007D19D6">
      <w:pPr>
        <w:rPr>
          <w:noProof/>
        </w:rPr>
      </w:pPr>
      <w:r>
        <w:rPr>
          <w:noProof/>
        </w:rPr>
        <w:t>Uz tādu lauku definīciju, kuri sastāv no trijiem informācijas elementiem, attiecas šādi noteikumi. Ja otrajā informācijas elementā na</w:t>
      </w:r>
      <w:r>
        <w:rPr>
          <w:noProof/>
        </w:rPr>
        <w:t>v informācijas, tad divas blakus esošas "</w:t>
      </w:r>
      <w:r>
        <w:rPr>
          <w:i/>
          <w:noProof/>
        </w:rPr>
        <w:t>US</w:t>
      </w:r>
      <w:r>
        <w:rPr>
          <w:noProof/>
        </w:rPr>
        <w:t>" informācijas nošķīrējzīmes atradīsies starp pirmo un trešo informācijas elementu. Ja nav informācijas nedz otrajā, nedz trešajā informācijas elementā, būtu jālieto trīs nošķīrējzīmes – divas "</w:t>
      </w:r>
      <w:r>
        <w:rPr>
          <w:i/>
          <w:noProof/>
        </w:rPr>
        <w:t>US</w:t>
      </w:r>
      <w:r>
        <w:rPr>
          <w:noProof/>
        </w:rPr>
        <w:t>" zīmes, kas papi</w:t>
      </w:r>
      <w:r>
        <w:rPr>
          <w:noProof/>
        </w:rPr>
        <w:t>ldina beigu lauka vai pakārtota lauka nošķīrējzīmi. Īsumā – ja viens vai vairāki obligāti vai fakultatīvi lauka vai pakārtota lauka informācijas elementi nav pieejami, būtu jāiesprauž attiecīgs skaits nošķīrējzīmju.</w:t>
      </w:r>
    </w:p>
    <w:p w:rsidR="003E022D" w:rsidRDefault="007D19D6">
      <w:pPr>
        <w:rPr>
          <w:noProof/>
        </w:rPr>
      </w:pPr>
      <w:r>
        <w:rPr>
          <w:noProof/>
        </w:rPr>
        <w:t>Ir iespējams, ka blakus atrodas divas va</w:t>
      </w:r>
      <w:r>
        <w:rPr>
          <w:noProof/>
        </w:rPr>
        <w:t>i vairākas no četrām izmantojamām nošķīrējzīmēm. Ja trūkst datu vai tādu nav informācijas elementos, pakārtotos laukos vai laukos, ir par vienu nošķīrējzīmi mazāk nekā ir datu elementu, pakārtotu lauku vai prasītu lauku.</w:t>
      </w:r>
    </w:p>
    <w:tbl>
      <w:tblPr>
        <w:tblW w:w="0" w:type="auto"/>
        <w:tblLayout w:type="fixed"/>
        <w:tblLook w:val="0000" w:firstRow="0" w:lastRow="0" w:firstColumn="0" w:lastColumn="0" w:noHBand="0" w:noVBand="0"/>
      </w:tblPr>
      <w:tblGrid>
        <w:gridCol w:w="929"/>
        <w:gridCol w:w="1857"/>
        <w:gridCol w:w="2693"/>
        <w:gridCol w:w="2136"/>
        <w:gridCol w:w="1671"/>
      </w:tblGrid>
      <w:tr w:rsidR="003E022D">
        <w:tc>
          <w:tcPr>
            <w:tcW w:w="9286" w:type="dxa"/>
            <w:gridSpan w:val="5"/>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 tabula. Izmantotie nošķīrēji</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Code</w:t>
            </w:r>
          </w:p>
        </w:tc>
        <w:tc>
          <w:tcPr>
            <w:tcW w:w="185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Hexadecimal Value</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Decimal Value</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US</w:t>
            </w:r>
          </w:p>
        </w:tc>
        <w:tc>
          <w:tcPr>
            <w:tcW w:w="185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Unit Separator</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Separates information items</w:t>
            </w:r>
          </w:p>
        </w:tc>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1F</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31</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RS</w:t>
            </w:r>
          </w:p>
        </w:tc>
        <w:tc>
          <w:tcPr>
            <w:tcW w:w="185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Record Separator</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Separates subfields</w:t>
            </w:r>
          </w:p>
        </w:tc>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1E</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30</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GS</w:t>
            </w:r>
          </w:p>
        </w:tc>
        <w:tc>
          <w:tcPr>
            <w:tcW w:w="185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Group Separator</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Separates fields</w:t>
            </w:r>
          </w:p>
        </w:tc>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1D</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29</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FS</w:t>
            </w:r>
          </w:p>
        </w:tc>
        <w:tc>
          <w:tcPr>
            <w:tcW w:w="185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File Separator</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Separates logical records</w:t>
            </w:r>
          </w:p>
        </w:tc>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1C</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28</w:t>
            </w:r>
          </w:p>
        </w:tc>
      </w:tr>
    </w:tbl>
    <w:p w:rsidR="003E022D" w:rsidRDefault="003E022D">
      <w:pPr>
        <w:rPr>
          <w:noProof/>
          <w:lang w:val="en-IE"/>
        </w:rPr>
      </w:pPr>
    </w:p>
    <w:p w:rsidR="003E022D" w:rsidRDefault="007D19D6">
      <w:pPr>
        <w:spacing w:line="276" w:lineRule="auto"/>
        <w:rPr>
          <w:noProof/>
        </w:rPr>
      </w:pPr>
      <w:r>
        <w:rPr>
          <w:noProof/>
        </w:rPr>
        <w:t>2.2.</w:t>
      </w:r>
      <w:r>
        <w:rPr>
          <w:noProof/>
        </w:rPr>
        <w:tab/>
      </w:r>
      <w:r>
        <w:rPr>
          <w:noProof/>
        </w:rPr>
        <w:t>Ierakstu izkārtojums</w:t>
      </w:r>
    </w:p>
    <w:p w:rsidR="003E022D" w:rsidRDefault="007D19D6">
      <w:pPr>
        <w:rPr>
          <w:noProof/>
        </w:rPr>
      </w:pPr>
      <w:r>
        <w:rPr>
          <w:noProof/>
        </w:rPr>
        <w:t>Loģiskos ierakstos ar marķētiem laukiem katru izmantoto informācijas lauku numurē saskaņā ar šo standartu. Katra lauka formā ir loģiskā ieraksta tipa numurs, kam seko punkts ".", lauka numurs, kam seko kols ":", kam savukārt seko infor</w:t>
      </w:r>
      <w:r>
        <w:rPr>
          <w:noProof/>
        </w:rPr>
        <w:t>mācija, kas piederas attiecīgā laukā. Marķētu lauku numurs var būt jebkurš skaitlis no viens līdz deviņi, ko raksta starp punktu "." un kolu ":". To interpretē kā lauka numuru nenegatīvos veselos skaitļos. Tas nozīmē, ka lauks numur "2.123:" ir līdzvērtīgs</w:t>
      </w:r>
      <w:r>
        <w:rPr>
          <w:noProof/>
        </w:rPr>
        <w:t xml:space="preserve"> laukam numur "2.000000123:", un tas ir jāinterpretē tāpat.</w:t>
      </w:r>
    </w:p>
    <w:p w:rsidR="003E022D" w:rsidRDefault="007D19D6">
      <w:pPr>
        <w:rPr>
          <w:noProof/>
        </w:rPr>
      </w:pPr>
      <w:r>
        <w:rPr>
          <w:noProof/>
        </w:rPr>
        <w:t>Visā šajā dokumentā skaidrojumam trīsciparu skaitļi ir lietoti tādu lauku numurēšanai, kas atrodas katrā šeit aprakstītā marķētu lauku loģiskā ierakstā. Lauku numuri būs doti šādā formā – "</w:t>
      </w:r>
      <w:r>
        <w:rPr>
          <w:i/>
          <w:noProof/>
        </w:rPr>
        <w:t>TT.xxx:</w:t>
      </w:r>
      <w:r>
        <w:rPr>
          <w:noProof/>
        </w:rPr>
        <w:t>", un "</w:t>
      </w:r>
      <w:r>
        <w:rPr>
          <w:i/>
          <w:noProof/>
        </w:rPr>
        <w:t>TT</w:t>
      </w:r>
      <w:r>
        <w:rPr>
          <w:noProof/>
        </w:rPr>
        <w:t xml:space="preserve">" apzīmē vienzīmes vai divzīmju tipa ierakstus, kam seko punkts. Nākamās trīs zīmes ir attiecīgā lauka numurs, kam seko kols. Kolam seko informatīvs </w:t>
      </w:r>
      <w:r>
        <w:rPr>
          <w:i/>
          <w:noProof/>
        </w:rPr>
        <w:t>ASCII</w:t>
      </w:r>
      <w:r>
        <w:rPr>
          <w:noProof/>
        </w:rPr>
        <w:t xml:space="preserve"> apraksts vai attēla dati.</w:t>
      </w:r>
    </w:p>
    <w:p w:rsidR="003E022D" w:rsidRDefault="007D19D6">
      <w:pPr>
        <w:rPr>
          <w:noProof/>
        </w:rPr>
      </w:pPr>
      <w:r>
        <w:rPr>
          <w:noProof/>
        </w:rPr>
        <w:t xml:space="preserve">1. tipa un 2. tipa loģiskos ierakstos ir tikai </w:t>
      </w:r>
      <w:r>
        <w:rPr>
          <w:i/>
          <w:noProof/>
        </w:rPr>
        <w:t>ASCII</w:t>
      </w:r>
      <w:r>
        <w:rPr>
          <w:noProof/>
        </w:rPr>
        <w:t xml:space="preserve"> teksta datu l</w:t>
      </w:r>
      <w:r>
        <w:rPr>
          <w:noProof/>
        </w:rPr>
        <w:t xml:space="preserve">auki. Katrā šā tipa ierakstā kā pirmo </w:t>
      </w:r>
      <w:r>
        <w:rPr>
          <w:i/>
          <w:noProof/>
        </w:rPr>
        <w:t>ASCII</w:t>
      </w:r>
      <w:r>
        <w:rPr>
          <w:noProof/>
        </w:rPr>
        <w:t xml:space="preserve"> lauku ieraksta visu ierakstu pilnībā (arī lauku numurus, kolus un nošķīrējzīmes). </w:t>
      </w:r>
      <w:r>
        <w:rPr>
          <w:i/>
          <w:noProof/>
        </w:rPr>
        <w:t>ASCII</w:t>
      </w:r>
      <w:r>
        <w:rPr>
          <w:noProof/>
        </w:rPr>
        <w:t xml:space="preserve"> datņu nošķīrēja "</w:t>
      </w:r>
      <w:r>
        <w:rPr>
          <w:i/>
          <w:noProof/>
        </w:rPr>
        <w:t>ASCII File Separator</w:t>
      </w:r>
      <w:r>
        <w:rPr>
          <w:noProof/>
        </w:rPr>
        <w:t xml:space="preserve"> – </w:t>
      </w:r>
      <w:r>
        <w:rPr>
          <w:i/>
          <w:noProof/>
        </w:rPr>
        <w:t>FS</w:t>
      </w:r>
      <w:r>
        <w:rPr>
          <w:noProof/>
        </w:rPr>
        <w:t xml:space="preserve">" zīme (ar ko apzīmē loģisku ierakstu vai darbību beigas) seko pēdējam </w:t>
      </w:r>
      <w:r>
        <w:rPr>
          <w:i/>
          <w:noProof/>
        </w:rPr>
        <w:t>ASCII</w:t>
      </w:r>
      <w:r>
        <w:rPr>
          <w:noProof/>
        </w:rPr>
        <w:t xml:space="preserve"> infor</w:t>
      </w:r>
      <w:r>
        <w:rPr>
          <w:noProof/>
        </w:rPr>
        <w:t>mācijas baitam, un to iekļauj ierakstā.</w:t>
      </w:r>
    </w:p>
    <w:p w:rsidR="003E022D" w:rsidRDefault="007D19D6">
      <w:pPr>
        <w:rPr>
          <w:noProof/>
        </w:rPr>
      </w:pPr>
      <w:r>
        <w:rPr>
          <w:noProof/>
        </w:rPr>
        <w:t>Pretstatā marķētu lauku jēdzienam 4. tipa ierakstos ir tikai bināri dati, ko ieraksta kā sakārtotus fiksēta garuma binārus laukus. Ierakstu visā garumā ieraksta pirmajā katra ieraksta četru baitu binārā laukā. Tādiem</w:t>
      </w:r>
      <w:r>
        <w:rPr>
          <w:noProof/>
        </w:rPr>
        <w:t xml:space="preserve"> bināriem ierakstiem nepieraksta ne ieraksta numuru līdz ar punktu, ne lauka identifikācijas numuru līdz ar sekojošu kolu. Turklāt, tā kā tādu ierakstu lauku garumi ir vai nu fiksēti, vai konkrēti noteikti, nevienu no četrām nošķīrējzīmēm ("</w:t>
      </w:r>
      <w:r>
        <w:rPr>
          <w:i/>
          <w:noProof/>
        </w:rPr>
        <w:t>US</w:t>
      </w:r>
      <w:r>
        <w:rPr>
          <w:noProof/>
        </w:rPr>
        <w:t>", "</w:t>
      </w:r>
      <w:r>
        <w:rPr>
          <w:i/>
          <w:noProof/>
        </w:rPr>
        <w:t>RS</w:t>
      </w:r>
      <w:r>
        <w:rPr>
          <w:noProof/>
        </w:rPr>
        <w:t>", "</w:t>
      </w:r>
      <w:r>
        <w:rPr>
          <w:i/>
          <w:noProof/>
        </w:rPr>
        <w:t>GS</w:t>
      </w:r>
      <w:r>
        <w:rPr>
          <w:noProof/>
        </w:rPr>
        <w:t>"</w:t>
      </w:r>
      <w:r>
        <w:rPr>
          <w:noProof/>
        </w:rPr>
        <w:t xml:space="preserve"> vai "</w:t>
      </w:r>
      <w:r>
        <w:rPr>
          <w:i/>
          <w:noProof/>
        </w:rPr>
        <w:t>FS</w:t>
      </w:r>
      <w:r>
        <w:rPr>
          <w:noProof/>
        </w:rPr>
        <w:t>") neinterpretē citādi kā vien binārus datus. Bināros ierakstos "</w:t>
      </w:r>
      <w:r>
        <w:rPr>
          <w:i/>
          <w:noProof/>
        </w:rPr>
        <w:t>FS</w:t>
      </w:r>
      <w:r>
        <w:rPr>
          <w:noProof/>
        </w:rPr>
        <w:t>" zīmi nelieto kā ierakstu nošķīrēju vai darbības beigu zīmi.</w:t>
      </w:r>
    </w:p>
    <w:p w:rsidR="003E022D" w:rsidRDefault="007D19D6">
      <w:pPr>
        <w:spacing w:line="276" w:lineRule="auto"/>
        <w:rPr>
          <w:noProof/>
        </w:rPr>
      </w:pPr>
      <w:r>
        <w:rPr>
          <w:noProof/>
        </w:rPr>
        <w:t>3.</w:t>
      </w:r>
      <w:r>
        <w:rPr>
          <w:noProof/>
        </w:rPr>
        <w:tab/>
        <w:t>1. tipa loģiski dati – datnes galvene</w:t>
      </w:r>
    </w:p>
    <w:p w:rsidR="003E022D" w:rsidRDefault="007D19D6">
      <w:pPr>
        <w:rPr>
          <w:noProof/>
        </w:rPr>
      </w:pPr>
      <w:r>
        <w:rPr>
          <w:noProof/>
        </w:rPr>
        <w:t>Šajā ierakstā ir aprakstīta datnes struktūra, datnes tips un dota cita svarīga</w:t>
      </w:r>
      <w:r>
        <w:rPr>
          <w:noProof/>
        </w:rPr>
        <w:t xml:space="preserve"> informācija. Zīmju kompleksā, ko izmanto 1. tipa laukos, ir tikai 7 bitu </w:t>
      </w:r>
      <w:r>
        <w:rPr>
          <w:i/>
          <w:noProof/>
        </w:rPr>
        <w:t>ANSI</w:t>
      </w:r>
      <w:r>
        <w:rPr>
          <w:noProof/>
        </w:rPr>
        <w:t xml:space="preserve"> kods savstarpējai informācijas apmaiņai.</w:t>
      </w:r>
    </w:p>
    <w:p w:rsidR="003E022D" w:rsidRDefault="007D19D6">
      <w:pPr>
        <w:spacing w:line="276" w:lineRule="auto"/>
        <w:rPr>
          <w:noProof/>
        </w:rPr>
      </w:pPr>
      <w:r>
        <w:rPr>
          <w:noProof/>
        </w:rPr>
        <w:t>3.1.</w:t>
      </w:r>
      <w:r>
        <w:rPr>
          <w:noProof/>
        </w:rPr>
        <w:tab/>
        <w:t>1. tipa loģisku datu lauki</w:t>
      </w:r>
    </w:p>
    <w:p w:rsidR="003E022D" w:rsidRDefault="007D19D6">
      <w:pPr>
        <w:spacing w:line="276" w:lineRule="auto"/>
        <w:rPr>
          <w:noProof/>
        </w:rPr>
      </w:pPr>
      <w:r>
        <w:rPr>
          <w:noProof/>
        </w:rPr>
        <w:t>3.1.1.</w:t>
      </w:r>
      <w:r>
        <w:rPr>
          <w:noProof/>
        </w:rPr>
        <w:tab/>
      </w:r>
      <w:r>
        <w:rPr>
          <w:i/>
          <w:iCs/>
          <w:noProof/>
        </w:rPr>
        <w:t>1.001. lauks – loģiska ieraksta garums (Logical Record Length – LEN)</w:t>
      </w:r>
    </w:p>
    <w:p w:rsidR="003E022D" w:rsidRDefault="007D19D6">
      <w:pPr>
        <w:rPr>
          <w:noProof/>
        </w:rPr>
      </w:pPr>
      <w:r>
        <w:rPr>
          <w:noProof/>
        </w:rPr>
        <w:t xml:space="preserve">Šajā laukā ir visa 1. tipa </w:t>
      </w:r>
      <w:r>
        <w:rPr>
          <w:noProof/>
        </w:rPr>
        <w:t>loģiskā ieraksta baitu kopskaits. Lauks sākas ar "1.001:", kam seko ieraksta kopgarums, kurā ietverta katra zīme, kas atrodas katrā laukā, un informācijas nošķīrēji.</w:t>
      </w:r>
    </w:p>
    <w:p w:rsidR="003E022D" w:rsidRDefault="007D19D6">
      <w:pPr>
        <w:spacing w:line="276" w:lineRule="auto"/>
        <w:rPr>
          <w:noProof/>
        </w:rPr>
      </w:pPr>
      <w:r>
        <w:rPr>
          <w:noProof/>
        </w:rPr>
        <w:t>3.1.2.</w:t>
      </w:r>
      <w:r>
        <w:rPr>
          <w:noProof/>
        </w:rPr>
        <w:tab/>
      </w:r>
      <w:r>
        <w:rPr>
          <w:i/>
          <w:iCs/>
          <w:noProof/>
        </w:rPr>
        <w:t>1.002. lauks – versijas numurs (Version Number – VER)</w:t>
      </w:r>
    </w:p>
    <w:p w:rsidR="003E022D" w:rsidRDefault="007D19D6">
      <w:pPr>
        <w:rPr>
          <w:noProof/>
        </w:rPr>
      </w:pPr>
      <w:r>
        <w:rPr>
          <w:noProof/>
        </w:rPr>
        <w:t xml:space="preserve">Lai lietotāji zinātu, kādu </w:t>
      </w:r>
      <w:r>
        <w:rPr>
          <w:i/>
          <w:noProof/>
        </w:rPr>
        <w:t>AN</w:t>
      </w:r>
      <w:r>
        <w:rPr>
          <w:i/>
          <w:noProof/>
        </w:rPr>
        <w:t>SI/NIST</w:t>
      </w:r>
      <w:r>
        <w:rPr>
          <w:noProof/>
        </w:rPr>
        <w:t xml:space="preserve"> standarta versiju lieto programmatūra vai sistēma, kas izstrādā datni, šajā četru baitu laukā ir konkrēti norādīts īstenotā standarta versijas numurs. Pirmie divi baiti norāda uz pamatversijas atsauces numuru, nākamie divi – uz mazāk būtisku uzlabo</w:t>
      </w:r>
      <w:r>
        <w:rPr>
          <w:noProof/>
        </w:rPr>
        <w:t xml:space="preserve">jumu numuru. Piemēram, oriģinālais 1986. gada standarts būtu uzskatāms par pirmo versiju, un to apzīmētu ar "0100", bet pašreizējais </w:t>
      </w:r>
      <w:r>
        <w:rPr>
          <w:i/>
          <w:noProof/>
        </w:rPr>
        <w:t>ANSI/NIST-ITL 1-2000</w:t>
      </w:r>
      <w:r>
        <w:rPr>
          <w:noProof/>
        </w:rPr>
        <w:t xml:space="preserve"> standarts ir "0300".</w:t>
      </w:r>
    </w:p>
    <w:p w:rsidR="003E022D" w:rsidRDefault="007D19D6">
      <w:pPr>
        <w:spacing w:line="276" w:lineRule="auto"/>
        <w:rPr>
          <w:noProof/>
        </w:rPr>
      </w:pPr>
      <w:r>
        <w:rPr>
          <w:noProof/>
        </w:rPr>
        <w:t>3.1.3.</w:t>
      </w:r>
      <w:r>
        <w:rPr>
          <w:noProof/>
        </w:rPr>
        <w:tab/>
      </w:r>
      <w:r>
        <w:rPr>
          <w:i/>
          <w:iCs/>
          <w:noProof/>
        </w:rPr>
        <w:t>1.003. lauks – datnes saturs (File Content – CNT)</w:t>
      </w:r>
    </w:p>
    <w:p w:rsidR="003E022D" w:rsidRDefault="007D19D6">
      <w:pPr>
        <w:rPr>
          <w:noProof/>
        </w:rPr>
      </w:pPr>
      <w:r>
        <w:rPr>
          <w:noProof/>
        </w:rPr>
        <w:t>Šajā laukā ir uzskaitīts</w:t>
      </w:r>
      <w:r>
        <w:rPr>
          <w:noProof/>
        </w:rPr>
        <w:t xml:space="preserve"> katrs datnes ieraksts pēc ieraksta tipa un secība, kādā ieraksti ir fiksēti loģiskā datnē. Tajā ir viens vai vairāki pakārtoti lauki, un katrā no tiem savukārt ir divi informācijas elementi, kuros ir aprakstīts vienīgais loģiskais ieraksts, kas atrodas ap</w:t>
      </w:r>
      <w:r>
        <w:rPr>
          <w:noProof/>
        </w:rPr>
        <w:t>lūkojamā datnē. Pakārtotos laukus aizpilda tādā pašā secībā, kā ieraksta un pārraida ierakstus.</w:t>
      </w:r>
    </w:p>
    <w:p w:rsidR="003E022D" w:rsidRDefault="007D19D6">
      <w:pPr>
        <w:rPr>
          <w:noProof/>
        </w:rPr>
      </w:pPr>
      <w:r>
        <w:rPr>
          <w:noProof/>
        </w:rPr>
        <w:t>Pirmais informācijas elements pirmajā pakārtotajā laukā ir "1", lai dotu atsauci uz 1. tipa ierakstu. Tam seko otrs informācijas elements, kurā ir pārējo datnes</w:t>
      </w:r>
      <w:r>
        <w:rPr>
          <w:noProof/>
        </w:rPr>
        <w:t xml:space="preserve"> ierakstu skaits. Turklāt skaits ir vienāds ar 1.003. lauka atlikušo pakārtoto lauku skaitu.</w:t>
      </w:r>
    </w:p>
    <w:p w:rsidR="003E022D" w:rsidRDefault="007D19D6">
      <w:pPr>
        <w:rPr>
          <w:noProof/>
        </w:rPr>
      </w:pPr>
      <w:r>
        <w:rPr>
          <w:noProof/>
        </w:rPr>
        <w:t xml:space="preserve">Katrs no atlikušajiem pakārtotajiem laukiem ir saistīts ar vienu ierakstu datnē, un pakārtoto lauku secība atbilst ierakstu secībai. Katrā pakārtotā laukā ir divi </w:t>
      </w:r>
      <w:r>
        <w:rPr>
          <w:noProof/>
        </w:rPr>
        <w:t xml:space="preserve">informācijas elementi. Ar pirmo identificē ieraksta tipu. Otrais ir ieraksta </w:t>
      </w:r>
      <w:r>
        <w:rPr>
          <w:i/>
          <w:noProof/>
        </w:rPr>
        <w:t>IDC</w:t>
      </w:r>
      <w:r>
        <w:rPr>
          <w:noProof/>
        </w:rPr>
        <w:t>. "</w:t>
      </w:r>
      <w:r>
        <w:rPr>
          <w:i/>
          <w:noProof/>
        </w:rPr>
        <w:t>US</w:t>
      </w:r>
      <w:r>
        <w:rPr>
          <w:noProof/>
        </w:rPr>
        <w:t>" zīmi lieto, lai nošķirtu abus informācijas elementus.</w:t>
      </w:r>
    </w:p>
    <w:p w:rsidR="003E022D" w:rsidRDefault="007D19D6">
      <w:pPr>
        <w:spacing w:line="276" w:lineRule="auto"/>
        <w:rPr>
          <w:noProof/>
        </w:rPr>
      </w:pPr>
      <w:r>
        <w:rPr>
          <w:noProof/>
        </w:rPr>
        <w:t>3.1.4.</w:t>
      </w:r>
      <w:r>
        <w:rPr>
          <w:noProof/>
        </w:rPr>
        <w:tab/>
      </w:r>
      <w:r>
        <w:rPr>
          <w:i/>
          <w:iCs/>
          <w:noProof/>
        </w:rPr>
        <w:t>1.004. lauks – darbību tips (Type of Transaction – TOT)</w:t>
      </w:r>
    </w:p>
    <w:p w:rsidR="003E022D" w:rsidRDefault="007D19D6">
      <w:pPr>
        <w:rPr>
          <w:noProof/>
        </w:rPr>
      </w:pPr>
      <w:r>
        <w:rPr>
          <w:noProof/>
        </w:rPr>
        <w:t>Šajā laukā ir mnemonisks kods (piekļuves atslēga) no</w:t>
      </w:r>
      <w:r>
        <w:rPr>
          <w:noProof/>
        </w:rPr>
        <w:t xml:space="preserve"> trijiem burtiem, kurš apzīmē darbības tipu. Kodi var atšķirties no tiem kodiem, ko lieto citos </w:t>
      </w:r>
      <w:r>
        <w:rPr>
          <w:i/>
          <w:noProof/>
        </w:rPr>
        <w:t>ANSI</w:t>
      </w:r>
      <w:r>
        <w:rPr>
          <w:noProof/>
        </w:rPr>
        <w:t>/</w:t>
      </w:r>
      <w:r>
        <w:rPr>
          <w:i/>
          <w:noProof/>
        </w:rPr>
        <w:t>NIST</w:t>
      </w:r>
      <w:r>
        <w:rPr>
          <w:noProof/>
        </w:rPr>
        <w:t xml:space="preserve"> standartu īstenojumos.</w:t>
      </w:r>
    </w:p>
    <w:p w:rsidR="003E022D" w:rsidRDefault="007D19D6">
      <w:pPr>
        <w:rPr>
          <w:noProof/>
        </w:rPr>
      </w:pPr>
      <w:r>
        <w:rPr>
          <w:i/>
          <w:noProof/>
        </w:rPr>
        <w:t>CPS</w:t>
      </w:r>
      <w:r>
        <w:rPr>
          <w:noProof/>
        </w:rPr>
        <w:t>: (</w:t>
      </w:r>
      <w:r>
        <w:rPr>
          <w:i/>
          <w:noProof/>
        </w:rPr>
        <w:t>Criminal Print-to-Print Search</w:t>
      </w:r>
      <w:r>
        <w:rPr>
          <w:noProof/>
        </w:rPr>
        <w:t xml:space="preserve">) – meklējumi, salīdzinot kriminālnoziedznieku atstātos nospiedumus. Šī darbība ir pieprasījums nospiedumu datubāzē meklēt ierakstus, kas attiecas uz kādu kriminālnoziegumu. Attiecīgās personas atstātos nospiedumus iekļauj datnē kā ar </w:t>
      </w:r>
      <w:r>
        <w:rPr>
          <w:i/>
          <w:noProof/>
        </w:rPr>
        <w:t>WSQ</w:t>
      </w:r>
      <w:r>
        <w:rPr>
          <w:noProof/>
        </w:rPr>
        <w:t xml:space="preserve"> saspiestus attēlu</w:t>
      </w:r>
      <w:r>
        <w:rPr>
          <w:noProof/>
        </w:rPr>
        <w:t>s.</w:t>
      </w:r>
    </w:p>
    <w:p w:rsidR="003E022D" w:rsidRDefault="007D19D6">
      <w:pPr>
        <w:rPr>
          <w:noProof/>
        </w:rPr>
      </w:pPr>
      <w:r>
        <w:rPr>
          <w:noProof/>
        </w:rPr>
        <w:t>Ja dati nebūs atrasti (</w:t>
      </w:r>
      <w:r>
        <w:rPr>
          <w:i/>
          <w:noProof/>
        </w:rPr>
        <w:t>No-HIT</w:t>
      </w:r>
      <w:r>
        <w:rPr>
          <w:noProof/>
        </w:rPr>
        <w:t>), atbildē būs šādi loģiski ieraksti: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2. tipa ieraksts.</w:t>
      </w:r>
    </w:p>
    <w:p w:rsidR="003E022D" w:rsidRDefault="007D19D6">
      <w:pPr>
        <w:rPr>
          <w:noProof/>
        </w:rPr>
      </w:pPr>
      <w:r>
        <w:rPr>
          <w:noProof/>
        </w:rPr>
        <w:t>Ja dati būs atrasti (</w:t>
      </w:r>
      <w:r>
        <w:rPr>
          <w:i/>
          <w:noProof/>
        </w:rPr>
        <w:t>HIT</w:t>
      </w:r>
      <w:r>
        <w:rPr>
          <w:noProof/>
        </w:rPr>
        <w:t>), atbildē būs šādi loģiski ieraksti: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2.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1-14 4. tipa ieraksti.</w:t>
      </w:r>
    </w:p>
    <w:p w:rsidR="003E022D" w:rsidRDefault="007D19D6">
      <w:pPr>
        <w:rPr>
          <w:noProof/>
        </w:rPr>
      </w:pPr>
      <w:r>
        <w:rPr>
          <w:i/>
          <w:noProof/>
        </w:rPr>
        <w:t>CPS TOT</w:t>
      </w:r>
      <w:r>
        <w:rPr>
          <w:noProof/>
        </w:rPr>
        <w:t xml:space="preserve"> ir apkopoti A</w:t>
      </w:r>
      <w:r>
        <w:rPr>
          <w:noProof/>
        </w:rPr>
        <w:t>.6.1. tabulā (6. papildinājums).</w:t>
      </w:r>
    </w:p>
    <w:p w:rsidR="003E022D" w:rsidRDefault="007D19D6">
      <w:pPr>
        <w:rPr>
          <w:noProof/>
        </w:rPr>
      </w:pPr>
      <w:r>
        <w:rPr>
          <w:i/>
          <w:noProof/>
        </w:rPr>
        <w:t>PMS</w:t>
      </w:r>
      <w:r>
        <w:rPr>
          <w:noProof/>
        </w:rPr>
        <w:t>: (</w:t>
      </w:r>
      <w:r>
        <w:rPr>
          <w:i/>
          <w:noProof/>
        </w:rPr>
        <w:t>Print-to-Latent Search</w:t>
      </w:r>
      <w:r>
        <w:rPr>
          <w:noProof/>
        </w:rPr>
        <w:t>) – datu meklējumi neidentificētu latentu nospiedumu datubāzē. Šādu darbību izmanto, ja kādu nospiedumu kompleksa atbilsmi meklē neidentificētu latentu nospiedumu datubāzē (</w:t>
      </w:r>
      <w:r>
        <w:rPr>
          <w:i/>
          <w:noProof/>
        </w:rPr>
        <w:t>Unidentified Latent da</w:t>
      </w:r>
      <w:r>
        <w:rPr>
          <w:i/>
          <w:noProof/>
        </w:rPr>
        <w:t>tabase</w:t>
      </w:r>
      <w:r>
        <w:rPr>
          <w:noProof/>
        </w:rPr>
        <w:t xml:space="preserve">). Atbildē būs </w:t>
      </w:r>
      <w:r>
        <w:rPr>
          <w:i/>
          <w:noProof/>
        </w:rPr>
        <w:t>AFIS</w:t>
      </w:r>
      <w:r>
        <w:rPr>
          <w:noProof/>
        </w:rPr>
        <w:t xml:space="preserve"> meklējumā iegūts lēmums "dati ir atrasti/dati nav atrasti" (</w:t>
      </w:r>
      <w:r>
        <w:rPr>
          <w:i/>
          <w:noProof/>
        </w:rPr>
        <w:t>Hit/No-Hit</w:t>
      </w:r>
      <w:r>
        <w:rPr>
          <w:noProof/>
        </w:rPr>
        <w:t xml:space="preserve">). Ja ir vairāki neidentificēti latenti nospiedumi, būs vairākas atbildes par </w:t>
      </w:r>
      <w:r>
        <w:rPr>
          <w:i/>
          <w:noProof/>
        </w:rPr>
        <w:t>SRE</w:t>
      </w:r>
      <w:r>
        <w:rPr>
          <w:noProof/>
        </w:rPr>
        <w:t xml:space="preserve"> darbībām un katrā darbībā būs apstrādāts viens latentais nospiedums. Attiecīgā</w:t>
      </w:r>
      <w:r>
        <w:rPr>
          <w:noProof/>
        </w:rPr>
        <w:t xml:space="preserve">s personas atstātos nospiedumus iekļauj datnē kā ar </w:t>
      </w:r>
      <w:r>
        <w:rPr>
          <w:i/>
          <w:noProof/>
        </w:rPr>
        <w:t>WSQ</w:t>
      </w:r>
      <w:r>
        <w:rPr>
          <w:noProof/>
        </w:rPr>
        <w:t xml:space="preserve"> saspiestus attēlus.</w:t>
      </w:r>
    </w:p>
    <w:p w:rsidR="003E022D" w:rsidRDefault="007D19D6">
      <w:pPr>
        <w:rPr>
          <w:noProof/>
        </w:rPr>
      </w:pPr>
      <w:r>
        <w:rPr>
          <w:noProof/>
        </w:rPr>
        <w:t>Ja dati nebūs atrasti (</w:t>
      </w:r>
      <w:r>
        <w:rPr>
          <w:i/>
          <w:noProof/>
        </w:rPr>
        <w:t>No-HIT</w:t>
      </w:r>
      <w:r>
        <w:rPr>
          <w:noProof/>
        </w:rPr>
        <w:t>), atbildē būs šādi loģiski ieraksti: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2. tipa ieraksts.</w:t>
      </w:r>
    </w:p>
    <w:p w:rsidR="003E022D" w:rsidRDefault="007D19D6">
      <w:pPr>
        <w:rPr>
          <w:noProof/>
        </w:rPr>
      </w:pPr>
      <w:r>
        <w:rPr>
          <w:noProof/>
        </w:rPr>
        <w:t>Ja dati būs atrasti (</w:t>
      </w:r>
      <w:r>
        <w:rPr>
          <w:i/>
          <w:noProof/>
        </w:rPr>
        <w:t>HIT</w:t>
      </w:r>
      <w:r>
        <w:rPr>
          <w:noProof/>
        </w:rPr>
        <w:t>), atbildē būs šādi loģiski ieraksti: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 tipa i</w:t>
      </w:r>
      <w:r>
        <w:rPr>
          <w:rFonts w:ascii="Calibri" w:hAnsi="Calibri"/>
          <w:noProof/>
          <w:sz w:val="22"/>
          <w:szCs w:val="22"/>
        </w:rPr>
        <w:t>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2.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13. tipa ieraksts.</w:t>
      </w:r>
    </w:p>
    <w:p w:rsidR="003E022D" w:rsidRDefault="007D19D6">
      <w:pPr>
        <w:rPr>
          <w:noProof/>
        </w:rPr>
      </w:pPr>
      <w:r>
        <w:rPr>
          <w:i/>
          <w:noProof/>
        </w:rPr>
        <w:t>PMS TOT</w:t>
      </w:r>
      <w:r>
        <w:rPr>
          <w:noProof/>
        </w:rPr>
        <w:t xml:space="preserve"> ir apkopoti A.6.1. tabulā (6. papildinājums).</w:t>
      </w:r>
    </w:p>
    <w:p w:rsidR="003E022D" w:rsidRDefault="007D19D6">
      <w:pPr>
        <w:rPr>
          <w:noProof/>
        </w:rPr>
      </w:pPr>
      <w:r>
        <w:rPr>
          <w:i/>
          <w:noProof/>
        </w:rPr>
        <w:t>MPS</w:t>
      </w:r>
      <w:r>
        <w:rPr>
          <w:noProof/>
        </w:rPr>
        <w:t>: (</w:t>
      </w:r>
      <w:r>
        <w:rPr>
          <w:i/>
          <w:noProof/>
        </w:rPr>
        <w:t>Latent-to-Print Search</w:t>
      </w:r>
      <w:r>
        <w:rPr>
          <w:noProof/>
        </w:rPr>
        <w:t>) – latentu nospiedumu datu meklējumi nospiedumu datubāzē. Šādu darbību izmanto, ja latenti nospiedumi ir jāmeklē nospiedumu</w:t>
      </w:r>
      <w:r>
        <w:rPr>
          <w:noProof/>
        </w:rPr>
        <w:t xml:space="preserve"> datubāzē. Datnē iekļauj informāciju par latentām papilārlīniju detaļām un attēlu (saspiestu ar WSQ).</w:t>
      </w:r>
    </w:p>
    <w:p w:rsidR="003E022D" w:rsidRDefault="007D19D6">
      <w:pPr>
        <w:rPr>
          <w:noProof/>
        </w:rPr>
      </w:pPr>
      <w:r>
        <w:rPr>
          <w:noProof/>
        </w:rPr>
        <w:t>Ja dati nebūs atrasti (</w:t>
      </w:r>
      <w:r>
        <w:rPr>
          <w:i/>
          <w:noProof/>
        </w:rPr>
        <w:t>No-HIT</w:t>
      </w:r>
      <w:r>
        <w:rPr>
          <w:noProof/>
        </w:rPr>
        <w:t>), atbildē būs šādi loģiski ieraksti: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2. tipa ieraksts.</w:t>
      </w:r>
    </w:p>
    <w:p w:rsidR="003E022D" w:rsidRDefault="007D19D6">
      <w:pPr>
        <w:rPr>
          <w:noProof/>
        </w:rPr>
      </w:pPr>
      <w:r>
        <w:rPr>
          <w:noProof/>
        </w:rPr>
        <w:t>Ja dati būs atrasti (</w:t>
      </w:r>
      <w:r>
        <w:rPr>
          <w:i/>
          <w:noProof/>
        </w:rPr>
        <w:t>HIT</w:t>
      </w:r>
      <w:r>
        <w:rPr>
          <w:noProof/>
        </w:rPr>
        <w:t>), atbildē būs šādi loģ</w:t>
      </w:r>
      <w:r>
        <w:rPr>
          <w:noProof/>
        </w:rPr>
        <w:t>iski ieraksti: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2.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4. tipa vai 15. tipa ieraksts.</w:t>
      </w:r>
    </w:p>
    <w:p w:rsidR="003E022D" w:rsidRDefault="007D19D6">
      <w:pPr>
        <w:rPr>
          <w:noProof/>
        </w:rPr>
      </w:pPr>
      <w:r>
        <w:rPr>
          <w:i/>
          <w:noProof/>
        </w:rPr>
        <w:t>MPS TOT</w:t>
      </w:r>
      <w:r>
        <w:rPr>
          <w:noProof/>
        </w:rPr>
        <w:t xml:space="preserve"> ir apkopoti A.6.4. tabulā (6. papildinājums).</w:t>
      </w:r>
    </w:p>
    <w:p w:rsidR="003E022D" w:rsidRDefault="007D19D6">
      <w:pPr>
        <w:rPr>
          <w:noProof/>
        </w:rPr>
      </w:pPr>
      <w:r>
        <w:rPr>
          <w:i/>
          <w:noProof/>
        </w:rPr>
        <w:t>MMS</w:t>
      </w:r>
      <w:r>
        <w:rPr>
          <w:noProof/>
        </w:rPr>
        <w:t>: (</w:t>
      </w:r>
      <w:r>
        <w:rPr>
          <w:i/>
          <w:noProof/>
        </w:rPr>
        <w:t>Latent-to-Latent Search</w:t>
      </w:r>
      <w:r>
        <w:rPr>
          <w:noProof/>
        </w:rPr>
        <w:t>) – latentu nospiedumu salīdzinājums savā starpā. Veicot šo darbību, datnē ir latents</w:t>
      </w:r>
      <w:r>
        <w:rPr>
          <w:noProof/>
        </w:rPr>
        <w:t xml:space="preserve"> nospiedums, kas jāsalīdzina ar neidentificētu latentu nospiedumu datubāzē (</w:t>
      </w:r>
      <w:r>
        <w:rPr>
          <w:i/>
          <w:noProof/>
        </w:rPr>
        <w:t>Unidentified Latent database</w:t>
      </w:r>
      <w:r>
        <w:rPr>
          <w:noProof/>
        </w:rPr>
        <w:t>) glabātiem datiem, lai noskaidrotu dažādu noziegumu vietu savstarpējo saistību. Datnē ir jāiekļauj informācija par latentām papilārlīniju detaļām un at</w:t>
      </w:r>
      <w:r>
        <w:rPr>
          <w:noProof/>
        </w:rPr>
        <w:t xml:space="preserve">tēls (saspiests ar </w:t>
      </w:r>
      <w:r>
        <w:rPr>
          <w:i/>
          <w:noProof/>
        </w:rPr>
        <w:t>WSQ</w:t>
      </w:r>
      <w:r>
        <w:rPr>
          <w:noProof/>
        </w:rPr>
        <w:t>).</w:t>
      </w:r>
    </w:p>
    <w:p w:rsidR="003E022D" w:rsidRDefault="007D19D6">
      <w:pPr>
        <w:rPr>
          <w:noProof/>
        </w:rPr>
      </w:pPr>
      <w:r>
        <w:rPr>
          <w:noProof/>
        </w:rPr>
        <w:t>Ja dati nebūs atrasti (</w:t>
      </w:r>
      <w:r>
        <w:rPr>
          <w:i/>
          <w:noProof/>
        </w:rPr>
        <w:t>No-HIT</w:t>
      </w:r>
      <w:r>
        <w:rPr>
          <w:noProof/>
        </w:rPr>
        <w:t>), atbildē būs šādi loģiski ieraksti: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2. tipa ieraksts.</w:t>
      </w:r>
    </w:p>
    <w:p w:rsidR="003E022D" w:rsidRDefault="007D19D6">
      <w:pPr>
        <w:rPr>
          <w:noProof/>
        </w:rPr>
      </w:pPr>
      <w:r>
        <w:rPr>
          <w:noProof/>
        </w:rPr>
        <w:t>Ja dati būs atrasti (</w:t>
      </w:r>
      <w:r>
        <w:rPr>
          <w:i/>
          <w:noProof/>
        </w:rPr>
        <w:t>HIT</w:t>
      </w:r>
      <w:r>
        <w:rPr>
          <w:noProof/>
        </w:rPr>
        <w:t>), atbildē būs šādi loģiski ieraksti: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2.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13. tipa ieraksts.</w:t>
      </w:r>
    </w:p>
    <w:p w:rsidR="003E022D" w:rsidRDefault="007D19D6">
      <w:pPr>
        <w:rPr>
          <w:noProof/>
        </w:rPr>
      </w:pPr>
      <w:r>
        <w:rPr>
          <w:i/>
          <w:noProof/>
        </w:rPr>
        <w:t>M</w:t>
      </w:r>
      <w:r>
        <w:rPr>
          <w:i/>
          <w:noProof/>
        </w:rPr>
        <w:t>MS TOT</w:t>
      </w:r>
      <w:r>
        <w:rPr>
          <w:noProof/>
        </w:rPr>
        <w:t xml:space="preserve"> ir apkopoti A.6.4. tabulā (6. papildinājums).</w:t>
      </w:r>
    </w:p>
    <w:p w:rsidR="003E022D" w:rsidRDefault="007D19D6">
      <w:pPr>
        <w:rPr>
          <w:noProof/>
        </w:rPr>
      </w:pPr>
      <w:r>
        <w:rPr>
          <w:i/>
          <w:noProof/>
        </w:rPr>
        <w:t>SRE</w:t>
      </w:r>
      <w:r>
        <w:rPr>
          <w:noProof/>
        </w:rPr>
        <w:t xml:space="preserve">: šo darbību datu saņēmēja aģentūra sūta atpakaļ kā atbildi uz iesūtītiem daktiloskopijas datiem. Atbildē būs </w:t>
      </w:r>
      <w:r>
        <w:rPr>
          <w:i/>
          <w:noProof/>
        </w:rPr>
        <w:t>AFIS</w:t>
      </w:r>
      <w:r>
        <w:rPr>
          <w:noProof/>
        </w:rPr>
        <w:t xml:space="preserve"> meklējumā iegūts lēmums "dati ir atrasti/dati nav atrasti" (</w:t>
      </w:r>
      <w:r>
        <w:rPr>
          <w:i/>
          <w:noProof/>
        </w:rPr>
        <w:t>Hit/No-Hit</w:t>
      </w:r>
      <w:r>
        <w:rPr>
          <w:noProof/>
        </w:rPr>
        <w:t>). Ja kandidātu</w:t>
      </w:r>
      <w:r>
        <w:rPr>
          <w:noProof/>
        </w:rPr>
        <w:t xml:space="preserve"> ir vairāki, atpakaļ sūtīs vairākas </w:t>
      </w:r>
      <w:r>
        <w:rPr>
          <w:i/>
          <w:noProof/>
        </w:rPr>
        <w:t>SRE</w:t>
      </w:r>
      <w:r>
        <w:rPr>
          <w:noProof/>
        </w:rPr>
        <w:t xml:space="preserve"> darbības un katram kandidātam būs veltīta viena darbība.</w:t>
      </w:r>
    </w:p>
    <w:p w:rsidR="003E022D" w:rsidRDefault="007D19D6">
      <w:pPr>
        <w:rPr>
          <w:noProof/>
        </w:rPr>
      </w:pPr>
      <w:r>
        <w:rPr>
          <w:i/>
          <w:noProof/>
        </w:rPr>
        <w:t>SRE TOT</w:t>
      </w:r>
      <w:r>
        <w:rPr>
          <w:noProof/>
        </w:rPr>
        <w:t xml:space="preserve"> ir apkopoti A.6.2. tabulā (6. papildinājums).</w:t>
      </w:r>
    </w:p>
    <w:p w:rsidR="003E022D" w:rsidRDefault="007D19D6">
      <w:pPr>
        <w:rPr>
          <w:noProof/>
        </w:rPr>
      </w:pPr>
      <w:r>
        <w:rPr>
          <w:i/>
          <w:noProof/>
        </w:rPr>
        <w:t>ERR</w:t>
      </w:r>
      <w:r>
        <w:rPr>
          <w:noProof/>
        </w:rPr>
        <w:t xml:space="preserve">: šo darbību datu saņēmēja </w:t>
      </w:r>
      <w:r>
        <w:rPr>
          <w:i/>
          <w:noProof/>
        </w:rPr>
        <w:t>AFIS</w:t>
      </w:r>
      <w:r>
        <w:rPr>
          <w:noProof/>
        </w:rPr>
        <w:t xml:space="preserve"> sūta atpakaļ kā atbildi, lai norādītu uz kļūdu darbībā. Tajā ir vēstīj</w:t>
      </w:r>
      <w:r>
        <w:rPr>
          <w:noProof/>
        </w:rPr>
        <w:t>uma lauks (</w:t>
      </w:r>
      <w:r>
        <w:rPr>
          <w:i/>
          <w:noProof/>
        </w:rPr>
        <w:t>message field</w:t>
      </w:r>
      <w:r>
        <w:rPr>
          <w:noProof/>
        </w:rPr>
        <w:t xml:space="preserve"> – </w:t>
      </w:r>
      <w:r>
        <w:rPr>
          <w:i/>
          <w:noProof/>
        </w:rPr>
        <w:t>ERM</w:t>
      </w:r>
      <w:r>
        <w:rPr>
          <w:noProof/>
        </w:rPr>
        <w:t>), kurā ir norādīta konstatētā kļūda. Atbildē būs šādi loģiski ieraksti:</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1. tipa ieraksts,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2. tipa ieraksts.</w:t>
      </w:r>
    </w:p>
    <w:p w:rsidR="003E022D" w:rsidRDefault="007D19D6">
      <w:pPr>
        <w:rPr>
          <w:noProof/>
        </w:rPr>
      </w:pPr>
      <w:r>
        <w:rPr>
          <w:i/>
          <w:noProof/>
        </w:rPr>
        <w:t>ERR TOT</w:t>
      </w:r>
      <w:r>
        <w:rPr>
          <w:noProof/>
        </w:rPr>
        <w:t xml:space="preserve"> ir apkopoti A.6.3. tabulā (6. papildinājums).</w:t>
      </w:r>
    </w:p>
    <w:tbl>
      <w:tblPr>
        <w:tblW w:w="0" w:type="auto"/>
        <w:tblInd w:w="557" w:type="dxa"/>
        <w:tblLayout w:type="fixed"/>
        <w:tblLook w:val="0000" w:firstRow="0" w:lastRow="0" w:firstColumn="0" w:lastColumn="0" w:noHBand="0" w:noVBand="0"/>
      </w:tblPr>
      <w:tblGrid>
        <w:gridCol w:w="2043"/>
        <w:gridCol w:w="654"/>
        <w:gridCol w:w="653"/>
        <w:gridCol w:w="736"/>
        <w:gridCol w:w="2696"/>
        <w:gridCol w:w="654"/>
        <w:gridCol w:w="736"/>
      </w:tblGrid>
      <w:tr w:rsidR="003E022D">
        <w:tc>
          <w:tcPr>
            <w:tcW w:w="8172" w:type="dxa"/>
            <w:gridSpan w:val="7"/>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 tabula. Pieļaujami darbību kodi</w:t>
            </w:r>
          </w:p>
        </w:tc>
      </w:tr>
      <w:tr w:rsidR="003E022D">
        <w:tc>
          <w:tcPr>
            <w:tcW w:w="2043"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Transaction Type</w:t>
            </w:r>
          </w:p>
        </w:tc>
        <w:tc>
          <w:tcPr>
            <w:tcW w:w="6129" w:type="dxa"/>
            <w:gridSpan w:val="6"/>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Type</w:t>
            </w:r>
          </w:p>
        </w:tc>
      </w:tr>
      <w:tr w:rsidR="003E022D">
        <w:tc>
          <w:tcPr>
            <w:tcW w:w="2043"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6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269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w:t>
            </w:r>
          </w:p>
        </w:tc>
      </w:tr>
      <w:tr w:rsidR="003E022D">
        <w:tc>
          <w:tcPr>
            <w:tcW w:w="20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CPS</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20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SRE</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269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p w:rsidR="003E022D" w:rsidRDefault="007D19D6">
            <w:pPr>
              <w:spacing w:line="276" w:lineRule="auto"/>
              <w:rPr>
                <w:noProof/>
              </w:rPr>
            </w:pPr>
            <w:r>
              <w:rPr>
                <w:noProof/>
              </w:rPr>
              <w:t>(C in case of latent hits)</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r>
      <w:tr w:rsidR="003E022D">
        <w:tc>
          <w:tcPr>
            <w:tcW w:w="20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MPS</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20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MMS</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20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PMS</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20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bl>
    <w:p w:rsidR="003E022D" w:rsidRDefault="003E022D">
      <w:pPr>
        <w:rPr>
          <w:noProof/>
          <w:lang w:val="en-IE"/>
        </w:rPr>
      </w:pPr>
    </w:p>
    <w:p w:rsidR="003E022D" w:rsidRDefault="007D19D6">
      <w:pPr>
        <w:rPr>
          <w:noProof/>
        </w:rPr>
      </w:pPr>
      <w:r>
        <w:rPr>
          <w:noProof/>
        </w:rPr>
        <w:t>Atšifrējums:</w:t>
      </w:r>
    </w:p>
    <w:tbl>
      <w:tblPr>
        <w:tblW w:w="0" w:type="auto"/>
        <w:tblInd w:w="1579" w:type="dxa"/>
        <w:tblLayout w:type="fixed"/>
        <w:tblLook w:val="0000" w:firstRow="0" w:lastRow="0" w:firstColumn="0" w:lastColumn="0" w:noHBand="0" w:noVBand="0"/>
      </w:tblPr>
      <w:tblGrid>
        <w:gridCol w:w="735"/>
        <w:gridCol w:w="552"/>
        <w:gridCol w:w="4842"/>
      </w:tblGrid>
      <w:tr w:rsidR="003E022D">
        <w:tc>
          <w:tcPr>
            <w:tcW w:w="7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obligāts (</w:t>
            </w:r>
            <w:r>
              <w:rPr>
                <w:i/>
                <w:noProof/>
              </w:rPr>
              <w:t>Mandatory</w:t>
            </w:r>
            <w:r>
              <w:rPr>
                <w:noProof/>
              </w:rPr>
              <w:t>)</w:t>
            </w:r>
          </w:p>
        </w:tc>
      </w:tr>
      <w:tr w:rsidR="003E022D">
        <w:tc>
          <w:tcPr>
            <w:tcW w:w="7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var iekļaut tikai vienu no abu </w:t>
            </w:r>
            <w:r>
              <w:rPr>
                <w:noProof/>
              </w:rPr>
              <w:t>tipu ierakstiem</w:t>
            </w:r>
          </w:p>
        </w:tc>
      </w:tr>
      <w:tr w:rsidR="003E022D">
        <w:tc>
          <w:tcPr>
            <w:tcW w:w="7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5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fakultatīvs (</w:t>
            </w:r>
            <w:r>
              <w:rPr>
                <w:i/>
                <w:noProof/>
              </w:rPr>
              <w:t>Optional</w:t>
            </w:r>
            <w:r>
              <w:rPr>
                <w:noProof/>
              </w:rPr>
              <w:t>)</w:t>
            </w:r>
          </w:p>
        </w:tc>
      </w:tr>
      <w:tr w:rsidR="003E022D">
        <w:tc>
          <w:tcPr>
            <w:tcW w:w="7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55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ar nosacījumu, ka dati ir pieejami (</w:t>
            </w:r>
            <w:r>
              <w:rPr>
                <w:i/>
                <w:noProof/>
              </w:rPr>
              <w:t>Conditional</w:t>
            </w:r>
            <w:r>
              <w:rPr>
                <w:noProof/>
              </w:rPr>
              <w:t>)</w:t>
            </w:r>
          </w:p>
        </w:tc>
      </w:tr>
      <w:tr w:rsidR="003E022D">
        <w:tc>
          <w:tcPr>
            <w:tcW w:w="7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55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nav piekļuves</w:t>
            </w:r>
          </w:p>
        </w:tc>
      </w:tr>
      <w:tr w:rsidR="003E022D">
        <w:tc>
          <w:tcPr>
            <w:tcW w:w="7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55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ar nosacījumu – atkarībā no tā, kādas uzstādītas sistēmas izmanto darbā</w:t>
            </w:r>
          </w:p>
        </w:tc>
      </w:tr>
    </w:tbl>
    <w:p w:rsidR="003E022D" w:rsidRDefault="003E022D">
      <w:pPr>
        <w:rPr>
          <w:noProof/>
        </w:rPr>
      </w:pPr>
    </w:p>
    <w:p w:rsidR="003E022D" w:rsidRDefault="007D19D6">
      <w:pPr>
        <w:spacing w:line="276" w:lineRule="auto"/>
        <w:rPr>
          <w:noProof/>
        </w:rPr>
      </w:pPr>
      <w:r>
        <w:rPr>
          <w:noProof/>
        </w:rPr>
        <w:t>3.1.5.</w:t>
      </w:r>
      <w:r>
        <w:rPr>
          <w:noProof/>
        </w:rPr>
        <w:tab/>
      </w:r>
      <w:r>
        <w:rPr>
          <w:i/>
          <w:iCs/>
          <w:noProof/>
        </w:rPr>
        <w:t xml:space="preserve">1.005. lauks – darbības datums (Date of Transaction </w:t>
      </w:r>
      <w:r>
        <w:rPr>
          <w:i/>
          <w:iCs/>
          <w:noProof/>
        </w:rPr>
        <w:t>– DAT)</w:t>
      </w:r>
    </w:p>
    <w:p w:rsidR="003E022D" w:rsidRDefault="007D19D6">
      <w:pPr>
        <w:rPr>
          <w:noProof/>
        </w:rPr>
      </w:pPr>
      <w:r>
        <w:rPr>
          <w:noProof/>
        </w:rPr>
        <w:t xml:space="preserve">Šajā laukā ir norādīts datums, kad darbība ir sākta, un tam ir jāatbilst </w:t>
      </w:r>
      <w:r>
        <w:rPr>
          <w:i/>
          <w:noProof/>
        </w:rPr>
        <w:t>ISO</w:t>
      </w:r>
      <w:r>
        <w:rPr>
          <w:noProof/>
        </w:rPr>
        <w:t xml:space="preserve"> standartapzīmējumam – </w:t>
      </w:r>
      <w:r>
        <w:rPr>
          <w:i/>
          <w:noProof/>
        </w:rPr>
        <w:t>YYYYMMDD</w:t>
      </w:r>
      <w:r>
        <w:rPr>
          <w:noProof/>
        </w:rPr>
        <w:t>,</w:t>
      </w:r>
    </w:p>
    <w:p w:rsidR="003E022D" w:rsidRDefault="007D19D6">
      <w:pPr>
        <w:rPr>
          <w:noProof/>
        </w:rPr>
      </w:pPr>
      <w:r>
        <w:rPr>
          <w:noProof/>
        </w:rPr>
        <w:t xml:space="preserve">kur </w:t>
      </w:r>
      <w:r>
        <w:rPr>
          <w:i/>
          <w:noProof/>
        </w:rPr>
        <w:t>YYYY</w:t>
      </w:r>
      <w:r>
        <w:rPr>
          <w:noProof/>
        </w:rPr>
        <w:t xml:space="preserve"> ir gads, </w:t>
      </w:r>
      <w:r>
        <w:rPr>
          <w:i/>
          <w:noProof/>
        </w:rPr>
        <w:t>MM</w:t>
      </w:r>
      <w:r>
        <w:rPr>
          <w:noProof/>
        </w:rPr>
        <w:t xml:space="preserve"> ir mēnesis un </w:t>
      </w:r>
      <w:r>
        <w:rPr>
          <w:i/>
          <w:noProof/>
        </w:rPr>
        <w:t>DD</w:t>
      </w:r>
      <w:r>
        <w:rPr>
          <w:noProof/>
        </w:rPr>
        <w:t xml:space="preserve"> ir mēneša diena. Viencipara skaitļu priekšā liek nulles. Piemēram, "19931004" nozīmē 1993. gada 4. oktobri.</w:t>
      </w:r>
    </w:p>
    <w:p w:rsidR="003E022D" w:rsidRDefault="007D19D6">
      <w:pPr>
        <w:spacing w:line="276" w:lineRule="auto"/>
        <w:rPr>
          <w:noProof/>
        </w:rPr>
      </w:pPr>
      <w:r>
        <w:rPr>
          <w:noProof/>
        </w:rPr>
        <w:t>3.1.6.</w:t>
      </w:r>
      <w:r>
        <w:rPr>
          <w:noProof/>
        </w:rPr>
        <w:tab/>
      </w:r>
      <w:r>
        <w:rPr>
          <w:i/>
          <w:iCs/>
          <w:noProof/>
        </w:rPr>
        <w:t>1.006. lauks – prioritāte (Priority – PRY)</w:t>
      </w:r>
    </w:p>
    <w:p w:rsidR="003E022D" w:rsidRDefault="007D19D6">
      <w:pPr>
        <w:rPr>
          <w:noProof/>
        </w:rPr>
      </w:pPr>
      <w:r>
        <w:rPr>
          <w:noProof/>
        </w:rPr>
        <w:t xml:space="preserve">Šajā fakultatīvajā laukā ir uzrādīta pieprasījuma prioritāte pakāpēs no 1 līdz 9. "1" ir lielākā </w:t>
      </w:r>
      <w:r>
        <w:rPr>
          <w:noProof/>
        </w:rPr>
        <w:t>prioritāte, un "9" – mazākā. "1. prioritātes” darbības apstrādā uzreiz.</w:t>
      </w:r>
    </w:p>
    <w:p w:rsidR="003E022D" w:rsidRDefault="007D19D6">
      <w:pPr>
        <w:spacing w:line="276" w:lineRule="auto"/>
        <w:rPr>
          <w:noProof/>
        </w:rPr>
      </w:pPr>
      <w:r>
        <w:rPr>
          <w:noProof/>
        </w:rPr>
        <w:t>3.1.7.</w:t>
      </w:r>
      <w:r>
        <w:rPr>
          <w:noProof/>
        </w:rPr>
        <w:tab/>
      </w:r>
      <w:r>
        <w:rPr>
          <w:i/>
          <w:iCs/>
          <w:noProof/>
        </w:rPr>
        <w:t>1.007. lauks – pieprasījuma saņēmējas aģentūras identifikators (Destination Agency Identifier – DAI)</w:t>
      </w:r>
    </w:p>
    <w:p w:rsidR="003E022D" w:rsidRDefault="007D19D6">
      <w:pPr>
        <w:rPr>
          <w:noProof/>
        </w:rPr>
      </w:pPr>
      <w:r>
        <w:rPr>
          <w:noProof/>
        </w:rPr>
        <w:t>Šajā laukā ir konkrēti norādīta darbības veicēja aģentūra.</w:t>
      </w:r>
    </w:p>
    <w:p w:rsidR="003E022D" w:rsidRDefault="007D19D6">
      <w:pPr>
        <w:rPr>
          <w:noProof/>
        </w:rPr>
      </w:pPr>
      <w:r>
        <w:rPr>
          <w:noProof/>
        </w:rPr>
        <w:t xml:space="preserve">Tajā ir divi </w:t>
      </w:r>
      <w:r>
        <w:rPr>
          <w:noProof/>
        </w:rPr>
        <w:t>informācijas elementi šādā formā – valsts kods un aģentūra (</w:t>
      </w:r>
      <w:r>
        <w:rPr>
          <w:i/>
          <w:noProof/>
        </w:rPr>
        <w:t>CC</w:t>
      </w:r>
      <w:r>
        <w:rPr>
          <w:noProof/>
        </w:rPr>
        <w:t>/</w:t>
      </w:r>
      <w:r>
        <w:rPr>
          <w:i/>
          <w:noProof/>
        </w:rPr>
        <w:t>agency</w:t>
      </w:r>
      <w:r>
        <w:rPr>
          <w:noProof/>
        </w:rPr>
        <w:t>).</w:t>
      </w:r>
    </w:p>
    <w:p w:rsidR="003E022D" w:rsidRDefault="007D19D6">
      <w:pPr>
        <w:rPr>
          <w:noProof/>
        </w:rPr>
      </w:pPr>
      <w:r>
        <w:rPr>
          <w:noProof/>
        </w:rPr>
        <w:t>Pirmajā informācijas elementā ir valsts kods (</w:t>
      </w:r>
      <w:r>
        <w:rPr>
          <w:i/>
          <w:noProof/>
        </w:rPr>
        <w:t>Country Code</w:t>
      </w:r>
      <w:r>
        <w:rPr>
          <w:noProof/>
        </w:rPr>
        <w:t xml:space="preserve">), ko definē, izmantojot </w:t>
      </w:r>
      <w:r>
        <w:rPr>
          <w:i/>
          <w:noProof/>
        </w:rPr>
        <w:t>ISO 3166</w:t>
      </w:r>
      <w:r>
        <w:rPr>
          <w:noProof/>
        </w:rPr>
        <w:t xml:space="preserve"> – tajā ir divas burtu vai ciparu zīmes. Otrs elements, aģentūra (</w:t>
      </w:r>
      <w:r>
        <w:rPr>
          <w:i/>
          <w:iCs/>
          <w:noProof/>
        </w:rPr>
        <w:t>agency</w:t>
      </w:r>
      <w:r>
        <w:rPr>
          <w:noProof/>
        </w:rPr>
        <w:t>), ir līdz 32 burtu v</w:t>
      </w:r>
      <w:r>
        <w:rPr>
          <w:noProof/>
        </w:rPr>
        <w:t>ai ciparu zīmes garš brīvs teksts, un ar to identificē aģentūru.</w:t>
      </w:r>
    </w:p>
    <w:p w:rsidR="003E022D" w:rsidRDefault="007D19D6">
      <w:pPr>
        <w:spacing w:line="276" w:lineRule="auto"/>
        <w:rPr>
          <w:noProof/>
        </w:rPr>
      </w:pPr>
      <w:r>
        <w:rPr>
          <w:noProof/>
        </w:rPr>
        <w:t>3.1.8.</w:t>
      </w:r>
      <w:r>
        <w:rPr>
          <w:noProof/>
        </w:rPr>
        <w:tab/>
      </w:r>
      <w:r>
        <w:rPr>
          <w:i/>
          <w:iCs/>
          <w:noProof/>
        </w:rPr>
        <w:t>1.008. lauks – pieprasījuma iesniedzējas aģentūras identifikators (Originating Agency Identifier – ORI)</w:t>
      </w:r>
    </w:p>
    <w:p w:rsidR="003E022D" w:rsidRDefault="007D19D6">
      <w:pPr>
        <w:rPr>
          <w:noProof/>
        </w:rPr>
      </w:pPr>
      <w:r>
        <w:rPr>
          <w:noProof/>
        </w:rPr>
        <w:t>Šajā laukā ir konkrēti norādīta datnes izcelsmes aģentūra, un tā forma ir tāda p</w:t>
      </w:r>
      <w:r>
        <w:rPr>
          <w:noProof/>
        </w:rPr>
        <w:t xml:space="preserve">ati kā </w:t>
      </w:r>
      <w:r>
        <w:rPr>
          <w:i/>
          <w:noProof/>
        </w:rPr>
        <w:t>DAI</w:t>
      </w:r>
      <w:r>
        <w:rPr>
          <w:noProof/>
        </w:rPr>
        <w:t xml:space="preserve"> (1.007. lauks).</w:t>
      </w:r>
    </w:p>
    <w:p w:rsidR="003E022D" w:rsidRDefault="007D19D6">
      <w:pPr>
        <w:spacing w:line="276" w:lineRule="auto"/>
        <w:rPr>
          <w:noProof/>
        </w:rPr>
      </w:pPr>
      <w:r>
        <w:rPr>
          <w:noProof/>
        </w:rPr>
        <w:t>3.1.9.</w:t>
      </w:r>
      <w:r>
        <w:rPr>
          <w:noProof/>
        </w:rPr>
        <w:tab/>
      </w:r>
      <w:r>
        <w:rPr>
          <w:i/>
          <w:iCs/>
          <w:noProof/>
        </w:rPr>
        <w:t>1.009. lauks – darbības kontrolnumurs (Transaction Control Number TCN)</w:t>
      </w:r>
    </w:p>
    <w:p w:rsidR="003E022D" w:rsidRDefault="007D19D6">
      <w:pPr>
        <w:rPr>
          <w:noProof/>
        </w:rPr>
      </w:pPr>
      <w:r>
        <w:rPr>
          <w:noProof/>
        </w:rPr>
        <w:t xml:space="preserve">Kontrolnumurs ir domāts atsaucēm. Tam būtu jābūt datora ģenerētam un šādā formā – </w:t>
      </w:r>
      <w:r>
        <w:rPr>
          <w:i/>
          <w:noProof/>
        </w:rPr>
        <w:t>YYSSSSSSSSA</w:t>
      </w:r>
      <w:r>
        <w:rPr>
          <w:noProof/>
        </w:rPr>
        <w:t>,</w:t>
      </w:r>
    </w:p>
    <w:p w:rsidR="003E022D" w:rsidRDefault="007D19D6">
      <w:pPr>
        <w:rPr>
          <w:noProof/>
        </w:rPr>
      </w:pPr>
      <w:r>
        <w:rPr>
          <w:noProof/>
        </w:rPr>
        <w:t xml:space="preserve">kur </w:t>
      </w:r>
      <w:r>
        <w:rPr>
          <w:i/>
          <w:noProof/>
        </w:rPr>
        <w:t>YY</w:t>
      </w:r>
      <w:r>
        <w:rPr>
          <w:noProof/>
        </w:rPr>
        <w:t xml:space="preserve"> ir darbības gads, </w:t>
      </w:r>
      <w:r>
        <w:rPr>
          <w:i/>
          <w:noProof/>
        </w:rPr>
        <w:t>SSSSSSSS</w:t>
      </w:r>
      <w:r>
        <w:rPr>
          <w:noProof/>
        </w:rPr>
        <w:t xml:space="preserve"> ir astoņciparu sērijas</w:t>
      </w:r>
      <w:r>
        <w:rPr>
          <w:noProof/>
        </w:rPr>
        <w:t xml:space="preserve"> numurs un </w:t>
      </w:r>
      <w:r>
        <w:rPr>
          <w:i/>
          <w:noProof/>
        </w:rPr>
        <w:t>A</w:t>
      </w:r>
      <w:r>
        <w:rPr>
          <w:noProof/>
        </w:rPr>
        <w:t xml:space="preserve"> ir pārbaudes zīme, kas ģenerēta, ievērojot 2. papildinājumā paredzēto procedūru.</w:t>
      </w:r>
    </w:p>
    <w:p w:rsidR="003E022D" w:rsidRDefault="007D19D6">
      <w:pPr>
        <w:rPr>
          <w:noProof/>
        </w:rPr>
      </w:pPr>
      <w:r>
        <w:rPr>
          <w:noProof/>
        </w:rPr>
        <w:t xml:space="preserve">Ja </w:t>
      </w:r>
      <w:r>
        <w:rPr>
          <w:i/>
          <w:noProof/>
        </w:rPr>
        <w:t>TCN</w:t>
      </w:r>
      <w:r>
        <w:rPr>
          <w:noProof/>
        </w:rPr>
        <w:t xml:space="preserve"> nav pieejams, lauku </w:t>
      </w:r>
      <w:r>
        <w:rPr>
          <w:i/>
          <w:noProof/>
        </w:rPr>
        <w:t>YYSSSSSSSS</w:t>
      </w:r>
      <w:r>
        <w:rPr>
          <w:noProof/>
        </w:rPr>
        <w:t xml:space="preserve"> aizpilda ar nullēm un pārbaudes zīmi ģenerē, kā iepriekš norādīts.</w:t>
      </w:r>
    </w:p>
    <w:p w:rsidR="003E022D" w:rsidRDefault="007D19D6">
      <w:pPr>
        <w:spacing w:line="276" w:lineRule="auto"/>
        <w:rPr>
          <w:noProof/>
        </w:rPr>
      </w:pPr>
      <w:r>
        <w:rPr>
          <w:noProof/>
        </w:rPr>
        <w:t>3.1.10.</w:t>
      </w:r>
      <w:r>
        <w:rPr>
          <w:noProof/>
        </w:rPr>
        <w:tab/>
      </w:r>
      <w:r>
        <w:rPr>
          <w:i/>
          <w:iCs/>
          <w:noProof/>
        </w:rPr>
        <w:t>1.010. lauks – darbības atbildes kontrolnumurs (T</w:t>
      </w:r>
      <w:r>
        <w:rPr>
          <w:i/>
          <w:iCs/>
          <w:noProof/>
        </w:rPr>
        <w:t>ransaction Control Response – TCR)</w:t>
      </w:r>
    </w:p>
    <w:p w:rsidR="003E022D" w:rsidRDefault="007D19D6">
      <w:pPr>
        <w:rPr>
          <w:noProof/>
        </w:rPr>
      </w:pPr>
      <w:r>
        <w:rPr>
          <w:noProof/>
        </w:rPr>
        <w:t xml:space="preserve">Ja ir izsūtīts pieprasījums, uz ko saņemta šāda atbilde, šajā fakultatīvajā laukā būs pieprasījuma atbildes darbības kontrolnumurs. Tālab tam ir tāda pati forma kā </w:t>
      </w:r>
      <w:r>
        <w:rPr>
          <w:i/>
          <w:noProof/>
        </w:rPr>
        <w:t>TCN</w:t>
      </w:r>
      <w:r>
        <w:rPr>
          <w:noProof/>
        </w:rPr>
        <w:t xml:space="preserve"> (1.009. lauks).</w:t>
      </w:r>
    </w:p>
    <w:p w:rsidR="003E022D" w:rsidRDefault="007D19D6">
      <w:pPr>
        <w:spacing w:line="276" w:lineRule="auto"/>
        <w:rPr>
          <w:noProof/>
        </w:rPr>
      </w:pPr>
      <w:r>
        <w:rPr>
          <w:noProof/>
        </w:rPr>
        <w:t>3.1.11.</w:t>
      </w:r>
      <w:r>
        <w:rPr>
          <w:noProof/>
        </w:rPr>
        <w:tab/>
      </w:r>
      <w:r>
        <w:rPr>
          <w:i/>
          <w:iCs/>
          <w:noProof/>
        </w:rPr>
        <w:t>1.011. lauks – oriģinālā sken</w:t>
      </w:r>
      <w:r>
        <w:rPr>
          <w:i/>
          <w:iCs/>
          <w:noProof/>
        </w:rPr>
        <w:t>ējuma izšķirtspēja (Native Scanning Resolution – NSR)</w:t>
      </w:r>
    </w:p>
    <w:p w:rsidR="003E022D" w:rsidRDefault="007D19D6">
      <w:pPr>
        <w:rPr>
          <w:noProof/>
        </w:rPr>
      </w:pPr>
      <w:r>
        <w:rPr>
          <w:noProof/>
        </w:rPr>
        <w:t>Šajā laukā ir uzrādīta normālā skenējuma izšķirtspēja sistēmai, ko izmanto darbības veicējs. Izšķirtspēju raksturo ar diviem cipariem, kam seko decimāldaļas punkts un pēc tā – vēl divi skaitļi.</w:t>
      </w:r>
    </w:p>
    <w:p w:rsidR="003E022D" w:rsidRDefault="007D19D6">
      <w:pPr>
        <w:rPr>
          <w:noProof/>
        </w:rPr>
      </w:pPr>
      <w:r>
        <w:rPr>
          <w:noProof/>
        </w:rPr>
        <w:t>Visām da</w:t>
      </w:r>
      <w:r>
        <w:rPr>
          <w:noProof/>
        </w:rPr>
        <w:t>rbībām saskaņā ar LAW.PRUM.11. pantu [Daktiloskopiskie dati] un LAW.PRUM.12. pantu [Automatizēta daktiloskopisko datu meklēšana] nolasījumu koeficients ir 500 pikseļi collā jeb 19,68 pikseļi milimetrā.</w:t>
      </w:r>
    </w:p>
    <w:p w:rsidR="003E022D" w:rsidRDefault="007D19D6">
      <w:pPr>
        <w:spacing w:line="276" w:lineRule="auto"/>
        <w:rPr>
          <w:noProof/>
        </w:rPr>
      </w:pPr>
      <w:r>
        <w:rPr>
          <w:noProof/>
        </w:rPr>
        <w:t>3.1.12.</w:t>
      </w:r>
      <w:r>
        <w:rPr>
          <w:noProof/>
        </w:rPr>
        <w:tab/>
      </w:r>
      <w:r>
        <w:rPr>
          <w:i/>
          <w:iCs/>
          <w:noProof/>
        </w:rPr>
        <w:t>1.012. lauks – nominālā pārraides izšķirtspēja</w:t>
      </w:r>
      <w:r>
        <w:rPr>
          <w:i/>
          <w:iCs/>
          <w:noProof/>
        </w:rPr>
        <w:t xml:space="preserve"> (Nominal Transmitting Resolution – NTR)</w:t>
      </w:r>
    </w:p>
    <w:p w:rsidR="003E022D" w:rsidRDefault="007D19D6">
      <w:pPr>
        <w:rPr>
          <w:noProof/>
        </w:rPr>
      </w:pPr>
      <w:r>
        <w:rPr>
          <w:noProof/>
        </w:rPr>
        <w:t xml:space="preserve">Šajā piecu baitu laukā ir konkrēti norādīta nominālā pārraides izšķirtspēja attēliem, ko pārraida. Izšķirtspēju izsaka pikseļos milimetrā – tādā pašā formā kā </w:t>
      </w:r>
      <w:r>
        <w:rPr>
          <w:i/>
          <w:noProof/>
        </w:rPr>
        <w:t>NSR</w:t>
      </w:r>
      <w:r>
        <w:rPr>
          <w:noProof/>
        </w:rPr>
        <w:t xml:space="preserve"> (1.011. lauks).</w:t>
      </w:r>
    </w:p>
    <w:p w:rsidR="003E022D" w:rsidRDefault="007D19D6">
      <w:pPr>
        <w:spacing w:line="276" w:lineRule="auto"/>
        <w:rPr>
          <w:noProof/>
        </w:rPr>
      </w:pPr>
      <w:r>
        <w:rPr>
          <w:noProof/>
        </w:rPr>
        <w:t>3.1.13.</w:t>
      </w:r>
      <w:r>
        <w:rPr>
          <w:noProof/>
        </w:rPr>
        <w:tab/>
      </w:r>
      <w:r>
        <w:rPr>
          <w:i/>
          <w:iCs/>
          <w:noProof/>
        </w:rPr>
        <w:t>1.013. lauks – domēna nosauk</w:t>
      </w:r>
      <w:r>
        <w:rPr>
          <w:i/>
          <w:iCs/>
          <w:noProof/>
        </w:rPr>
        <w:t>ums (Domain name – DOM)</w:t>
      </w:r>
    </w:p>
    <w:p w:rsidR="003E022D" w:rsidRDefault="007D19D6">
      <w:pPr>
        <w:rPr>
          <w:noProof/>
        </w:rPr>
      </w:pPr>
      <w:r>
        <w:rPr>
          <w:noProof/>
        </w:rPr>
        <w:t>Šajā obligātajā laukā ir identificēts domēna nosaukums lietotāja noteiktai 2. tipa loģiska ieraksta īstenošanai. Tajā ir divi informācijas elementi, un tie ir "INT-I{}{US}}4.22{}{GS}}".</w:t>
      </w:r>
    </w:p>
    <w:p w:rsidR="003E022D" w:rsidRDefault="007D19D6">
      <w:pPr>
        <w:spacing w:line="276" w:lineRule="auto"/>
        <w:rPr>
          <w:noProof/>
        </w:rPr>
      </w:pPr>
      <w:r>
        <w:rPr>
          <w:noProof/>
        </w:rPr>
        <w:t>3.1.14.</w:t>
      </w:r>
      <w:r>
        <w:rPr>
          <w:noProof/>
        </w:rPr>
        <w:tab/>
      </w:r>
      <w:r>
        <w:rPr>
          <w:i/>
          <w:iCs/>
          <w:noProof/>
        </w:rPr>
        <w:t>1.014. lauks – Griničas laiks (Greenwi</w:t>
      </w:r>
      <w:r>
        <w:rPr>
          <w:i/>
          <w:iCs/>
          <w:noProof/>
        </w:rPr>
        <w:t>ch mean time – GMT)</w:t>
      </w:r>
    </w:p>
    <w:p w:rsidR="003E022D" w:rsidRDefault="007D19D6">
      <w:pPr>
        <w:rPr>
          <w:noProof/>
        </w:rPr>
      </w:pPr>
      <w:r>
        <w:rPr>
          <w:noProof/>
        </w:rPr>
        <w:t>Šis obligātais lauks nodrošina mehānismu, kā izteikt datumu un pulksteņa laiku Griničas laika (</w:t>
      </w:r>
      <w:r>
        <w:rPr>
          <w:i/>
          <w:noProof/>
        </w:rPr>
        <w:t>Greenwich Mean Time</w:t>
      </w:r>
      <w:r>
        <w:rPr>
          <w:noProof/>
        </w:rPr>
        <w:t xml:space="preserve"> – </w:t>
      </w:r>
      <w:r>
        <w:rPr>
          <w:i/>
          <w:noProof/>
        </w:rPr>
        <w:t>GMT</w:t>
      </w:r>
      <w:r>
        <w:rPr>
          <w:noProof/>
        </w:rPr>
        <w:t xml:space="preserve">) vienībās. </w:t>
      </w:r>
      <w:r>
        <w:rPr>
          <w:i/>
          <w:noProof/>
        </w:rPr>
        <w:t>GMT</w:t>
      </w:r>
      <w:r>
        <w:rPr>
          <w:noProof/>
        </w:rPr>
        <w:t xml:space="preserve"> laukā, ja to lieto, ir vispārējs datums, kas papildinās vietējo datumu, kas ir dots 1.005. laukā (</w:t>
      </w:r>
      <w:r>
        <w:rPr>
          <w:i/>
          <w:noProof/>
        </w:rPr>
        <w:t>DA</w:t>
      </w:r>
      <w:r>
        <w:rPr>
          <w:i/>
          <w:noProof/>
        </w:rPr>
        <w:t>T</w:t>
      </w:r>
      <w:r>
        <w:rPr>
          <w:noProof/>
        </w:rPr>
        <w:t xml:space="preserve">). </w:t>
      </w:r>
      <w:r>
        <w:rPr>
          <w:i/>
          <w:noProof/>
        </w:rPr>
        <w:t>GMT</w:t>
      </w:r>
      <w:r>
        <w:rPr>
          <w:noProof/>
        </w:rPr>
        <w:t xml:space="preserve"> lauka lietojums likvidē vietējā laika nekonsekvences, kas izpaužas, ja darbību un atbildi pārraida starp divām vietām, ko šķir vairākas laika zonas. </w:t>
      </w:r>
      <w:r>
        <w:rPr>
          <w:i/>
          <w:noProof/>
        </w:rPr>
        <w:t>GMT</w:t>
      </w:r>
      <w:r>
        <w:rPr>
          <w:noProof/>
        </w:rPr>
        <w:t xml:space="preserve"> laukā ir vispārpiemērojams datums un 24 stundu pulkstenis, kas nav atkarīgs no laika zonām. To </w:t>
      </w:r>
      <w:r>
        <w:rPr>
          <w:noProof/>
        </w:rPr>
        <w:t>atveido "</w:t>
      </w:r>
      <w:r>
        <w:rPr>
          <w:i/>
          <w:noProof/>
        </w:rPr>
        <w:t>CCYYMMDDHHMMSSZ</w:t>
      </w:r>
      <w:r>
        <w:rPr>
          <w:noProof/>
        </w:rPr>
        <w:t xml:space="preserve">" – kā 15 zīmju virkni, kurā datums ir sasaistīts ar </w:t>
      </w:r>
      <w:r>
        <w:rPr>
          <w:i/>
          <w:noProof/>
        </w:rPr>
        <w:t>GMT</w:t>
      </w:r>
      <w:r>
        <w:rPr>
          <w:noProof/>
        </w:rPr>
        <w:t xml:space="preserve"> un kas beidzas ar "</w:t>
      </w:r>
      <w:r>
        <w:rPr>
          <w:i/>
          <w:noProof/>
        </w:rPr>
        <w:t>Z</w:t>
      </w:r>
      <w:r>
        <w:rPr>
          <w:noProof/>
        </w:rPr>
        <w:t>". Zīmes "</w:t>
      </w:r>
      <w:r>
        <w:rPr>
          <w:i/>
          <w:noProof/>
        </w:rPr>
        <w:t>CCYY</w:t>
      </w:r>
      <w:r>
        <w:rPr>
          <w:noProof/>
        </w:rPr>
        <w:t>" rāda darbības gadu, zīmes "</w:t>
      </w:r>
      <w:r>
        <w:rPr>
          <w:i/>
          <w:noProof/>
        </w:rPr>
        <w:t>MM</w:t>
      </w:r>
      <w:r>
        <w:rPr>
          <w:noProof/>
        </w:rPr>
        <w:t>" rāda mēnešus, un zīmes "</w:t>
      </w:r>
      <w:r>
        <w:rPr>
          <w:i/>
          <w:noProof/>
        </w:rPr>
        <w:t>DD</w:t>
      </w:r>
      <w:r>
        <w:rPr>
          <w:noProof/>
        </w:rPr>
        <w:t>" rāda mēneša dienas, zīmes "</w:t>
      </w:r>
      <w:r>
        <w:rPr>
          <w:i/>
          <w:noProof/>
        </w:rPr>
        <w:t>HH</w:t>
      </w:r>
      <w:r>
        <w:rPr>
          <w:noProof/>
        </w:rPr>
        <w:t>" rāda stundas, "</w:t>
      </w:r>
      <w:r>
        <w:rPr>
          <w:i/>
          <w:noProof/>
        </w:rPr>
        <w:t>MM</w:t>
      </w:r>
      <w:r>
        <w:rPr>
          <w:noProof/>
        </w:rPr>
        <w:t>" rāda minūtes, un "</w:t>
      </w:r>
      <w:r>
        <w:rPr>
          <w:i/>
          <w:noProof/>
        </w:rPr>
        <w:t>SS</w:t>
      </w:r>
      <w:r>
        <w:rPr>
          <w:noProof/>
        </w:rPr>
        <w:t xml:space="preserve">" – </w:t>
      </w:r>
      <w:r>
        <w:rPr>
          <w:noProof/>
        </w:rPr>
        <w:t>sekundes. Pilnais datums nav lielāks par attiecīgās dienas datumu.</w:t>
      </w:r>
    </w:p>
    <w:p w:rsidR="003E022D" w:rsidRDefault="007D19D6">
      <w:pPr>
        <w:spacing w:line="276" w:lineRule="auto"/>
        <w:rPr>
          <w:noProof/>
        </w:rPr>
      </w:pPr>
      <w:r>
        <w:rPr>
          <w:noProof/>
        </w:rPr>
        <w:t>4.</w:t>
      </w:r>
      <w:r>
        <w:rPr>
          <w:noProof/>
        </w:rPr>
        <w:tab/>
        <w:t>2. tipa loģiski dati – ieraksts</w:t>
      </w:r>
    </w:p>
    <w:p w:rsidR="003E022D" w:rsidRDefault="007D19D6">
      <w:pPr>
        <w:rPr>
          <w:noProof/>
        </w:rPr>
      </w:pPr>
      <w:r>
        <w:rPr>
          <w:noProof/>
        </w:rPr>
        <w:t xml:space="preserve">Tādu ierakstu struktūras lielāko daļu nedefinē ar oriģinālo </w:t>
      </w:r>
      <w:r>
        <w:rPr>
          <w:i/>
          <w:noProof/>
        </w:rPr>
        <w:t>ANSI</w:t>
      </w:r>
      <w:r>
        <w:rPr>
          <w:noProof/>
        </w:rPr>
        <w:t>/</w:t>
      </w:r>
      <w:r>
        <w:rPr>
          <w:i/>
          <w:noProof/>
        </w:rPr>
        <w:t>NIST</w:t>
      </w:r>
      <w:r>
        <w:rPr>
          <w:noProof/>
        </w:rPr>
        <w:t xml:space="preserve"> standartu. Šajos ierakstos ir informācija, kas rada īpašu ieinteresētību aģentūrām, </w:t>
      </w:r>
      <w:r>
        <w:rPr>
          <w:noProof/>
        </w:rPr>
        <w:t>kas sūta vai saņem attiecīgo datni. Lai nodrošinātu to, ka daktiloskopijas sistēmas, kas savā starpā sazinās, būtu saderīgas, ierakstā ir jābūt tikai šeit turpmāk uzskaitītajiem laukiem. Šajā dokumentā ir konkrēti norādīts, kuri lauki ir obligāti, kuri fak</w:t>
      </w:r>
      <w:r>
        <w:rPr>
          <w:noProof/>
        </w:rPr>
        <w:t>ultatīvi, un arī definēta atsevišķu lauku struktūra.</w:t>
      </w:r>
    </w:p>
    <w:p w:rsidR="003E022D" w:rsidRDefault="007D19D6">
      <w:pPr>
        <w:spacing w:line="276" w:lineRule="auto"/>
        <w:rPr>
          <w:noProof/>
        </w:rPr>
      </w:pPr>
      <w:r>
        <w:rPr>
          <w:noProof/>
        </w:rPr>
        <w:t>4.1.</w:t>
      </w:r>
      <w:r>
        <w:rPr>
          <w:noProof/>
        </w:rPr>
        <w:tab/>
        <w:t>2. tipa loģisku datu lauki</w:t>
      </w:r>
    </w:p>
    <w:p w:rsidR="003E022D" w:rsidRDefault="007D19D6">
      <w:pPr>
        <w:spacing w:line="276" w:lineRule="auto"/>
        <w:rPr>
          <w:noProof/>
        </w:rPr>
      </w:pPr>
      <w:r>
        <w:rPr>
          <w:noProof/>
        </w:rPr>
        <w:t>4.1.1.</w:t>
      </w:r>
      <w:r>
        <w:rPr>
          <w:noProof/>
        </w:rPr>
        <w:tab/>
      </w:r>
      <w:r>
        <w:rPr>
          <w:i/>
          <w:iCs/>
          <w:noProof/>
        </w:rPr>
        <w:t>2.001. lauks – loģiska ieraksta garums (Logical Record Length – LEN)</w:t>
      </w:r>
    </w:p>
    <w:p w:rsidR="003E022D" w:rsidRDefault="007D19D6">
      <w:pPr>
        <w:rPr>
          <w:noProof/>
        </w:rPr>
      </w:pPr>
      <w:r>
        <w:rPr>
          <w:noProof/>
        </w:rPr>
        <w:t xml:space="preserve">Šajā obligātajā laukā ir fiksēts attiecīgā 2. tipa ieraksta garums un konkrēti norādīts baitu </w:t>
      </w:r>
      <w:r>
        <w:rPr>
          <w:noProof/>
        </w:rPr>
        <w:t>kopskaits, ietverot katru ieraksta lauka zīmi un informācijas nošķīrējus.</w:t>
      </w:r>
    </w:p>
    <w:p w:rsidR="003E022D" w:rsidRDefault="007D19D6">
      <w:pPr>
        <w:spacing w:line="276" w:lineRule="auto"/>
        <w:rPr>
          <w:noProof/>
        </w:rPr>
      </w:pPr>
      <w:r>
        <w:rPr>
          <w:noProof/>
        </w:rPr>
        <w:t>4.1.2.</w:t>
      </w:r>
      <w:r>
        <w:rPr>
          <w:noProof/>
        </w:rPr>
        <w:tab/>
      </w:r>
      <w:r>
        <w:rPr>
          <w:i/>
          <w:iCs/>
          <w:noProof/>
        </w:rPr>
        <w:t>2.002. lauks – attēla raksturotāja zīme (Image Designation Character – IDC)</w:t>
      </w:r>
    </w:p>
    <w:p w:rsidR="003E022D" w:rsidRDefault="007D19D6">
      <w:pPr>
        <w:rPr>
          <w:noProof/>
        </w:rPr>
      </w:pPr>
      <w:r>
        <w:rPr>
          <w:i/>
          <w:noProof/>
        </w:rPr>
        <w:t>IDC</w:t>
      </w:r>
      <w:r>
        <w:rPr>
          <w:noProof/>
        </w:rPr>
        <w:t xml:space="preserve">, kas atrodas šajā obligātajā laukā, </w:t>
      </w:r>
      <w:r>
        <w:rPr>
          <w:i/>
          <w:noProof/>
        </w:rPr>
        <w:t>ASCII</w:t>
      </w:r>
      <w:r>
        <w:rPr>
          <w:noProof/>
        </w:rPr>
        <w:t xml:space="preserve"> izteiksmē pārstāv </w:t>
      </w:r>
      <w:r>
        <w:rPr>
          <w:i/>
          <w:noProof/>
        </w:rPr>
        <w:t>IDC</w:t>
      </w:r>
      <w:r>
        <w:rPr>
          <w:noProof/>
        </w:rPr>
        <w:t>, kas ir definēta 1. tipa ieraks</w:t>
      </w:r>
      <w:r>
        <w:rPr>
          <w:noProof/>
        </w:rPr>
        <w:t>ta datņu satura laukā (</w:t>
      </w:r>
      <w:r>
        <w:rPr>
          <w:i/>
          <w:noProof/>
        </w:rPr>
        <w:t>File Content field</w:t>
      </w:r>
      <w:r>
        <w:rPr>
          <w:noProof/>
        </w:rPr>
        <w:t xml:space="preserve"> – </w:t>
      </w:r>
      <w:r>
        <w:rPr>
          <w:i/>
          <w:noProof/>
        </w:rPr>
        <w:t>CNT</w:t>
      </w:r>
      <w:r>
        <w:rPr>
          <w:noProof/>
        </w:rPr>
        <w:t>) (1.003. lauks).</w:t>
      </w:r>
    </w:p>
    <w:p w:rsidR="003E022D" w:rsidRDefault="007D19D6">
      <w:pPr>
        <w:spacing w:line="276" w:lineRule="auto"/>
        <w:rPr>
          <w:noProof/>
        </w:rPr>
      </w:pPr>
      <w:r>
        <w:rPr>
          <w:noProof/>
        </w:rPr>
        <w:t>4.1.3.</w:t>
      </w:r>
      <w:r>
        <w:rPr>
          <w:noProof/>
        </w:rPr>
        <w:tab/>
      </w:r>
      <w:r>
        <w:rPr>
          <w:i/>
          <w:iCs/>
          <w:noProof/>
        </w:rPr>
        <w:t>2.003. lauks – sistēmas informācija (System Information – SYS)</w:t>
      </w:r>
    </w:p>
    <w:p w:rsidR="003E022D" w:rsidRDefault="007D19D6">
      <w:pPr>
        <w:rPr>
          <w:noProof/>
        </w:rPr>
      </w:pPr>
      <w:r>
        <w:rPr>
          <w:noProof/>
        </w:rPr>
        <w:t xml:space="preserve">Šis lauks ir obligāts, un tajā ir četri baiti, kas rāda, kurai </w:t>
      </w:r>
      <w:r>
        <w:rPr>
          <w:i/>
          <w:noProof/>
        </w:rPr>
        <w:t>INT-I</w:t>
      </w:r>
      <w:r>
        <w:rPr>
          <w:noProof/>
        </w:rPr>
        <w:t xml:space="preserve"> versijai atbilst konkrētais 2. tipa ieraksts.</w:t>
      </w:r>
    </w:p>
    <w:p w:rsidR="003E022D" w:rsidRDefault="007D19D6">
      <w:pPr>
        <w:rPr>
          <w:noProof/>
        </w:rPr>
      </w:pPr>
      <w:r>
        <w:rPr>
          <w:noProof/>
        </w:rPr>
        <w:t>Pirmie</w:t>
      </w:r>
      <w:r>
        <w:rPr>
          <w:noProof/>
        </w:rPr>
        <w:t xml:space="preserve"> divi baiti norāda uz pamatversijas numuru, nākamie divi – uz mazāk būtisku uzlabojumu numuru. Piemēram, šajā īstenojumā ir izmantota </w:t>
      </w:r>
      <w:r>
        <w:rPr>
          <w:i/>
          <w:noProof/>
        </w:rPr>
        <w:t>INT-I</w:t>
      </w:r>
      <w:r>
        <w:rPr>
          <w:noProof/>
        </w:rPr>
        <w:t xml:space="preserve"> 4. versija 22. pārskatījumā, un to atveido "0422".</w:t>
      </w:r>
    </w:p>
    <w:p w:rsidR="003E022D" w:rsidRDefault="007D19D6">
      <w:pPr>
        <w:spacing w:line="276" w:lineRule="auto"/>
        <w:rPr>
          <w:noProof/>
        </w:rPr>
      </w:pPr>
      <w:r>
        <w:rPr>
          <w:noProof/>
        </w:rPr>
        <w:t>4.1.4.</w:t>
      </w:r>
      <w:r>
        <w:rPr>
          <w:noProof/>
        </w:rPr>
        <w:tab/>
      </w:r>
      <w:r>
        <w:rPr>
          <w:i/>
          <w:iCs/>
          <w:noProof/>
        </w:rPr>
        <w:t>2.007. lauks – lietas numurs (Case Number – CNO)</w:t>
      </w:r>
    </w:p>
    <w:p w:rsidR="003E022D" w:rsidRDefault="007D19D6">
      <w:pPr>
        <w:rPr>
          <w:noProof/>
        </w:rPr>
      </w:pPr>
      <w:r>
        <w:rPr>
          <w:noProof/>
        </w:rPr>
        <w:t>Šis ir nu</w:t>
      </w:r>
      <w:r>
        <w:rPr>
          <w:noProof/>
        </w:rPr>
        <w:t xml:space="preserve">murs, ko vietējais daktiloskopijas birojs ir piešķīris nozieguma vietā savāktajiem latentajiem nospiedumiem. Izmanto šādu formu – </w:t>
      </w:r>
      <w:r>
        <w:rPr>
          <w:i/>
          <w:noProof/>
        </w:rPr>
        <w:t>CC</w:t>
      </w:r>
      <w:r>
        <w:rPr>
          <w:noProof/>
        </w:rPr>
        <w:t>/numurs (</w:t>
      </w:r>
      <w:r>
        <w:rPr>
          <w:i/>
          <w:noProof/>
        </w:rPr>
        <w:t>CC</w:t>
      </w:r>
      <w:r>
        <w:rPr>
          <w:noProof/>
        </w:rPr>
        <w:t>/</w:t>
      </w:r>
      <w:r>
        <w:rPr>
          <w:i/>
          <w:noProof/>
        </w:rPr>
        <w:t>number</w:t>
      </w:r>
      <w:r>
        <w:rPr>
          <w:noProof/>
        </w:rPr>
        <w:t>),</w:t>
      </w:r>
    </w:p>
    <w:p w:rsidR="003E022D" w:rsidRDefault="007D19D6">
      <w:pPr>
        <w:rPr>
          <w:noProof/>
        </w:rPr>
      </w:pPr>
      <w:r>
        <w:rPr>
          <w:noProof/>
        </w:rPr>
        <w:t>kur "</w:t>
      </w:r>
      <w:r>
        <w:rPr>
          <w:i/>
          <w:noProof/>
        </w:rPr>
        <w:t>CC</w:t>
      </w:r>
      <w:r>
        <w:rPr>
          <w:noProof/>
        </w:rPr>
        <w:t>" ir interpola valsts kods (</w:t>
      </w:r>
      <w:r>
        <w:rPr>
          <w:i/>
          <w:noProof/>
        </w:rPr>
        <w:t>Interpol Country Code</w:t>
      </w:r>
      <w:r>
        <w:rPr>
          <w:noProof/>
        </w:rPr>
        <w:t>) no divām burtu vai ciparu zīmēm, bet numurs a</w:t>
      </w:r>
      <w:r>
        <w:rPr>
          <w:noProof/>
        </w:rPr>
        <w:t>tbilst attiecīgām vietējām pamatnorādēm, un tajā var būt līdz 32 burtu vai ciparu zīmes.</w:t>
      </w:r>
    </w:p>
    <w:p w:rsidR="003E022D" w:rsidRDefault="007D19D6">
      <w:pPr>
        <w:rPr>
          <w:noProof/>
        </w:rPr>
      </w:pPr>
      <w:r>
        <w:rPr>
          <w:noProof/>
        </w:rPr>
        <w:t>Šis lauks ļauj sistēmai identificēt latentos nospiedumus, kas ir saistīti ar konkrētu noziegumu.</w:t>
      </w:r>
    </w:p>
    <w:p w:rsidR="003E022D" w:rsidRDefault="007D19D6">
      <w:pPr>
        <w:spacing w:line="276" w:lineRule="auto"/>
        <w:rPr>
          <w:noProof/>
        </w:rPr>
      </w:pPr>
      <w:r>
        <w:rPr>
          <w:noProof/>
        </w:rPr>
        <w:t>4.1.5.</w:t>
      </w:r>
      <w:r>
        <w:rPr>
          <w:noProof/>
        </w:rPr>
        <w:tab/>
      </w:r>
      <w:r>
        <w:rPr>
          <w:i/>
          <w:iCs/>
          <w:noProof/>
        </w:rPr>
        <w:t>2.008. lauks – secības numurs (Sequence Number – SQN)</w:t>
      </w:r>
    </w:p>
    <w:p w:rsidR="003E022D" w:rsidRDefault="007D19D6">
      <w:pPr>
        <w:rPr>
          <w:noProof/>
        </w:rPr>
      </w:pPr>
      <w:r>
        <w:rPr>
          <w:noProof/>
        </w:rPr>
        <w:t>Tajā ir n</w:t>
      </w:r>
      <w:r>
        <w:rPr>
          <w:noProof/>
        </w:rPr>
        <w:t>orādīta visu lietas latento nospiedumu secība. Tajā var būt līdz četras ciparu zīmes. Secība ir latentu nospiedumu attēls vai latentu nospiedumu attēlu sērija, kas sagrupēta uzskaites un/vai meklēšanas vajadzībām. Šī definīcija paredz, ka pat atsevišķiem l</w:t>
      </w:r>
      <w:r>
        <w:rPr>
          <w:noProof/>
        </w:rPr>
        <w:t>atentiem nospiedumu attēliem būs jāpiešķir secības numurs.</w:t>
      </w:r>
    </w:p>
    <w:p w:rsidR="003E022D" w:rsidRDefault="007D19D6">
      <w:pPr>
        <w:rPr>
          <w:noProof/>
        </w:rPr>
      </w:pPr>
      <w:r>
        <w:rPr>
          <w:noProof/>
        </w:rPr>
        <w:t xml:space="preserve">Šo lauku līdz ar </w:t>
      </w:r>
      <w:r>
        <w:rPr>
          <w:i/>
          <w:noProof/>
        </w:rPr>
        <w:t>MID</w:t>
      </w:r>
      <w:r>
        <w:rPr>
          <w:noProof/>
        </w:rPr>
        <w:t xml:space="preserve"> (2.009. lauks) var iekļaut, lai identificētu konkrētu latentu attēlu kādā secīgā virknē.</w:t>
      </w:r>
    </w:p>
    <w:p w:rsidR="003E022D" w:rsidRDefault="007D19D6">
      <w:pPr>
        <w:spacing w:line="276" w:lineRule="auto"/>
        <w:rPr>
          <w:noProof/>
        </w:rPr>
      </w:pPr>
      <w:r>
        <w:rPr>
          <w:noProof/>
        </w:rPr>
        <w:t>4.1.6.</w:t>
      </w:r>
      <w:r>
        <w:rPr>
          <w:noProof/>
        </w:rPr>
        <w:tab/>
      </w:r>
      <w:r>
        <w:rPr>
          <w:i/>
          <w:iCs/>
          <w:noProof/>
        </w:rPr>
        <w:t>2.009. lauks – latento nospiedumu identifikators (Latent Identifier – MID)</w:t>
      </w:r>
    </w:p>
    <w:p w:rsidR="003E022D" w:rsidRDefault="007D19D6">
      <w:pPr>
        <w:rPr>
          <w:noProof/>
        </w:rPr>
      </w:pPr>
      <w:r>
        <w:rPr>
          <w:noProof/>
        </w:rPr>
        <w:t>Ar šo</w:t>
      </w:r>
      <w:r>
        <w:rPr>
          <w:noProof/>
        </w:rPr>
        <w:t xml:space="preserve"> ir konkrēti norādīts konkrēts latents nospiedums kādā secīgā virknē. Vērtība ir viens vai divi burti, un ar burtu "</w:t>
      </w:r>
      <w:r>
        <w:rPr>
          <w:i/>
          <w:noProof/>
        </w:rPr>
        <w:t>A</w:t>
      </w:r>
      <w:r>
        <w:rPr>
          <w:noProof/>
        </w:rPr>
        <w:t>" apzīmē pirmo latento attēlu, ar "</w:t>
      </w:r>
      <w:r>
        <w:rPr>
          <w:i/>
          <w:noProof/>
        </w:rPr>
        <w:t>B</w:t>
      </w:r>
      <w:r>
        <w:rPr>
          <w:noProof/>
        </w:rPr>
        <w:t>" – otro, un tā tālāk – līdz robežlielumam "</w:t>
      </w:r>
      <w:r>
        <w:rPr>
          <w:i/>
          <w:noProof/>
        </w:rPr>
        <w:t>ZZ</w:t>
      </w:r>
      <w:r>
        <w:rPr>
          <w:noProof/>
        </w:rPr>
        <w:t xml:space="preserve">". Lauku izmanto analogi latento attēlu secības numuram, </w:t>
      </w:r>
      <w:r>
        <w:rPr>
          <w:noProof/>
        </w:rPr>
        <w:t xml:space="preserve">par ko ir runāts, aprakstot </w:t>
      </w:r>
      <w:r>
        <w:rPr>
          <w:i/>
          <w:noProof/>
        </w:rPr>
        <w:t>SQN</w:t>
      </w:r>
      <w:r>
        <w:rPr>
          <w:noProof/>
        </w:rPr>
        <w:t xml:space="preserve"> (2.008. lauks).</w:t>
      </w:r>
    </w:p>
    <w:p w:rsidR="003E022D" w:rsidRDefault="007D19D6">
      <w:pPr>
        <w:spacing w:line="276" w:lineRule="auto"/>
        <w:rPr>
          <w:noProof/>
        </w:rPr>
      </w:pPr>
      <w:r>
        <w:rPr>
          <w:noProof/>
        </w:rPr>
        <w:t>4.1.7.</w:t>
      </w:r>
      <w:r>
        <w:rPr>
          <w:noProof/>
        </w:rPr>
        <w:tab/>
      </w:r>
      <w:r>
        <w:rPr>
          <w:i/>
          <w:iCs/>
          <w:noProof/>
        </w:rPr>
        <w:t>2.010. lauks – noziedznieka atsauces numurs (Criminal Reference Number – CRN)</w:t>
      </w:r>
    </w:p>
    <w:p w:rsidR="003E022D" w:rsidRDefault="007D19D6">
      <w:pPr>
        <w:rPr>
          <w:noProof/>
        </w:rPr>
      </w:pPr>
      <w:r>
        <w:rPr>
          <w:noProof/>
        </w:rPr>
        <w:t xml:space="preserve">Šis ir unikāls atsauces numurs, ko attiecīgās valsts aģentūra piešķir indivīdam, kas pirmo reizi ir notiesāts par izdarītu noziegumu. Vienā valstī nevienam indivīdam nekad nav vairāk par vienu </w:t>
      </w:r>
      <w:r>
        <w:rPr>
          <w:i/>
          <w:noProof/>
        </w:rPr>
        <w:t>CRN</w:t>
      </w:r>
      <w:r>
        <w:rPr>
          <w:noProof/>
        </w:rPr>
        <w:t>, un tas viņam nav kopīgs ne ar vienu citu cilvēku. Vienam u</w:t>
      </w:r>
      <w:r>
        <w:rPr>
          <w:noProof/>
        </w:rPr>
        <w:t>n tam pašam cilvēkam gan var būt noziedznieka atsauces numurs vairākās valstīs, un to varēs atšķirt pēc valsts koda.</w:t>
      </w:r>
    </w:p>
    <w:p w:rsidR="003E022D" w:rsidRDefault="007D19D6">
      <w:pPr>
        <w:rPr>
          <w:noProof/>
        </w:rPr>
      </w:pPr>
      <w:r>
        <w:rPr>
          <w:i/>
          <w:noProof/>
        </w:rPr>
        <w:t>CRN</w:t>
      </w:r>
      <w:r>
        <w:rPr>
          <w:noProof/>
        </w:rPr>
        <w:t xml:space="preserve"> laukam ir izstrādāta šāda forma – </w:t>
      </w:r>
      <w:r>
        <w:rPr>
          <w:i/>
          <w:noProof/>
        </w:rPr>
        <w:t>CC</w:t>
      </w:r>
      <w:r>
        <w:rPr>
          <w:noProof/>
        </w:rPr>
        <w:t>/numurs (</w:t>
      </w:r>
      <w:r>
        <w:rPr>
          <w:i/>
          <w:noProof/>
        </w:rPr>
        <w:t>CC</w:t>
      </w:r>
      <w:r>
        <w:rPr>
          <w:noProof/>
        </w:rPr>
        <w:t>/</w:t>
      </w:r>
      <w:r>
        <w:rPr>
          <w:i/>
          <w:noProof/>
        </w:rPr>
        <w:t>number</w:t>
      </w:r>
      <w:r>
        <w:rPr>
          <w:noProof/>
        </w:rPr>
        <w:t>),</w:t>
      </w:r>
    </w:p>
    <w:p w:rsidR="003E022D" w:rsidRDefault="007D19D6">
      <w:pPr>
        <w:rPr>
          <w:noProof/>
        </w:rPr>
      </w:pPr>
      <w:r>
        <w:rPr>
          <w:noProof/>
        </w:rPr>
        <w:t>kur "</w:t>
      </w:r>
      <w:r>
        <w:rPr>
          <w:i/>
          <w:noProof/>
        </w:rPr>
        <w:t>CC</w:t>
      </w:r>
      <w:r>
        <w:rPr>
          <w:noProof/>
        </w:rPr>
        <w:t>" ir valsts kods (</w:t>
      </w:r>
      <w:r>
        <w:rPr>
          <w:i/>
          <w:noProof/>
        </w:rPr>
        <w:t>Country Code</w:t>
      </w:r>
      <w:r>
        <w:rPr>
          <w:noProof/>
        </w:rPr>
        <w:t xml:space="preserve">), kas noteikts saskaņā ar </w:t>
      </w:r>
      <w:r>
        <w:rPr>
          <w:i/>
          <w:noProof/>
        </w:rPr>
        <w:t>ISO 3166</w:t>
      </w:r>
      <w:r>
        <w:rPr>
          <w:noProof/>
        </w:rPr>
        <w:t>, kurā</w:t>
      </w:r>
      <w:r>
        <w:rPr>
          <w:noProof/>
        </w:rPr>
        <w:t xml:space="preserve"> ir divas burtu vai ciparu zīmes, un numurs atbilst attiecīgās valsts pieprasījuma izdevējas aģentūras pamatnorādēm, un tajā var būt līdz 32 burtu vai ciparu zīmes.</w:t>
      </w:r>
    </w:p>
    <w:p w:rsidR="003E022D" w:rsidRDefault="007D19D6">
      <w:pPr>
        <w:rPr>
          <w:noProof/>
        </w:rPr>
      </w:pPr>
      <w:r>
        <w:rPr>
          <w:noProof/>
        </w:rPr>
        <w:t>Darbībām saskaņā ar LAW.PRUM.11. pantu [Daktiloskopiskie dati] un LAW.PRUM.12. pantu [Autom</w:t>
      </w:r>
      <w:r>
        <w:rPr>
          <w:noProof/>
        </w:rPr>
        <w:t>atizēta daktiloskopisko datu meklēšana] šo lauku izmantos attiecīgās valsts pieprasījuma izdevējas aģentūras nozieguma atsauces numuram, kas ir saistīts ar 4. tipa vai 15. tipa ierakstu attēliem.</w:t>
      </w:r>
    </w:p>
    <w:p w:rsidR="003E022D" w:rsidRDefault="007D19D6">
      <w:pPr>
        <w:spacing w:line="276" w:lineRule="auto"/>
        <w:rPr>
          <w:noProof/>
        </w:rPr>
      </w:pPr>
      <w:r>
        <w:rPr>
          <w:noProof/>
        </w:rPr>
        <w:t>4.1.8.</w:t>
      </w:r>
      <w:r>
        <w:rPr>
          <w:noProof/>
        </w:rPr>
        <w:tab/>
      </w:r>
      <w:r>
        <w:rPr>
          <w:i/>
          <w:iCs/>
          <w:noProof/>
        </w:rPr>
        <w:t>2.012. lauks – identifikācijas numurs dažādām vajadzī</w:t>
      </w:r>
      <w:r>
        <w:rPr>
          <w:i/>
          <w:iCs/>
          <w:noProof/>
        </w:rPr>
        <w:t>bām (Miscellaneous Identification Number – MN1)</w:t>
      </w:r>
    </w:p>
    <w:p w:rsidR="003E022D" w:rsidRDefault="007D19D6">
      <w:pPr>
        <w:rPr>
          <w:noProof/>
        </w:rPr>
      </w:pPr>
      <w:r>
        <w:rPr>
          <w:noProof/>
        </w:rPr>
        <w:t xml:space="preserve">Šajā laukā ir </w:t>
      </w:r>
      <w:r>
        <w:rPr>
          <w:i/>
          <w:noProof/>
        </w:rPr>
        <w:t>CRN</w:t>
      </w:r>
      <w:r>
        <w:rPr>
          <w:noProof/>
        </w:rPr>
        <w:t xml:space="preserve"> (2.010. lauks), ko pārraida, izmantojot </w:t>
      </w:r>
      <w:r>
        <w:rPr>
          <w:i/>
          <w:noProof/>
        </w:rPr>
        <w:t>CPS</w:t>
      </w:r>
      <w:r>
        <w:rPr>
          <w:noProof/>
        </w:rPr>
        <w:t xml:space="preserve"> vai </w:t>
      </w:r>
      <w:r>
        <w:rPr>
          <w:i/>
          <w:noProof/>
        </w:rPr>
        <w:t>PMS</w:t>
      </w:r>
      <w:r>
        <w:rPr>
          <w:noProof/>
        </w:rPr>
        <w:t xml:space="preserve"> darbības – bez iepriekš uzrādīta valsts koda.</w:t>
      </w:r>
    </w:p>
    <w:p w:rsidR="003E022D" w:rsidRDefault="007D19D6">
      <w:pPr>
        <w:spacing w:line="276" w:lineRule="auto"/>
        <w:rPr>
          <w:noProof/>
        </w:rPr>
      </w:pPr>
      <w:r>
        <w:rPr>
          <w:noProof/>
        </w:rPr>
        <w:t>4.1.9.</w:t>
      </w:r>
      <w:r>
        <w:rPr>
          <w:noProof/>
        </w:rPr>
        <w:tab/>
      </w:r>
      <w:r>
        <w:rPr>
          <w:i/>
          <w:iCs/>
          <w:noProof/>
        </w:rPr>
        <w:t>2.013. lauks – identifikācijas numurs dažādām vajadzībām (Miscellaneous Identificatio</w:t>
      </w:r>
      <w:r>
        <w:rPr>
          <w:i/>
          <w:iCs/>
          <w:noProof/>
        </w:rPr>
        <w:t>n Number – MN2)</w:t>
      </w:r>
    </w:p>
    <w:p w:rsidR="003E022D" w:rsidRDefault="007D19D6">
      <w:pPr>
        <w:rPr>
          <w:noProof/>
        </w:rPr>
      </w:pPr>
      <w:r>
        <w:rPr>
          <w:noProof/>
        </w:rPr>
        <w:t xml:space="preserve">Šajā laukā ir </w:t>
      </w:r>
      <w:r>
        <w:rPr>
          <w:i/>
          <w:noProof/>
        </w:rPr>
        <w:t>CNO</w:t>
      </w:r>
      <w:r>
        <w:rPr>
          <w:noProof/>
        </w:rPr>
        <w:t xml:space="preserve"> (2.007. lauks), ko pārraida, izmantojot </w:t>
      </w:r>
      <w:r>
        <w:rPr>
          <w:i/>
          <w:noProof/>
        </w:rPr>
        <w:t>MPS</w:t>
      </w:r>
      <w:r>
        <w:rPr>
          <w:noProof/>
        </w:rPr>
        <w:t xml:space="preserve"> vai </w:t>
      </w:r>
      <w:r>
        <w:rPr>
          <w:i/>
          <w:noProof/>
        </w:rPr>
        <w:t>MMS</w:t>
      </w:r>
      <w:r>
        <w:rPr>
          <w:noProof/>
        </w:rPr>
        <w:t xml:space="preserve"> darbības – bez iepriekš uzrādīta valsts koda.</w:t>
      </w:r>
    </w:p>
    <w:p w:rsidR="003E022D" w:rsidRDefault="007D19D6">
      <w:pPr>
        <w:spacing w:line="276" w:lineRule="auto"/>
        <w:rPr>
          <w:noProof/>
        </w:rPr>
      </w:pPr>
      <w:r>
        <w:rPr>
          <w:noProof/>
        </w:rPr>
        <w:t>4.1.10.</w:t>
      </w:r>
      <w:r>
        <w:rPr>
          <w:noProof/>
        </w:rPr>
        <w:tab/>
      </w:r>
      <w:r>
        <w:rPr>
          <w:i/>
          <w:iCs/>
          <w:noProof/>
        </w:rPr>
        <w:t>2.014. lauks – identifikācijas numurs dažādām vajadzībām (Miscellaneous Identification Number – MN3)</w:t>
      </w:r>
    </w:p>
    <w:p w:rsidR="003E022D" w:rsidRDefault="007D19D6">
      <w:pPr>
        <w:rPr>
          <w:noProof/>
        </w:rPr>
      </w:pPr>
      <w:r>
        <w:rPr>
          <w:noProof/>
        </w:rPr>
        <w:t xml:space="preserve">Šajā laukā ir </w:t>
      </w:r>
      <w:r>
        <w:rPr>
          <w:i/>
          <w:noProof/>
        </w:rPr>
        <w:t>S</w:t>
      </w:r>
      <w:r>
        <w:rPr>
          <w:i/>
          <w:noProof/>
        </w:rPr>
        <w:t>QN</w:t>
      </w:r>
      <w:r>
        <w:rPr>
          <w:noProof/>
        </w:rPr>
        <w:t xml:space="preserve"> (2.008. lauks), ko pārraida, izmantojot </w:t>
      </w:r>
      <w:r>
        <w:rPr>
          <w:i/>
          <w:noProof/>
        </w:rPr>
        <w:t>MPS</w:t>
      </w:r>
      <w:r>
        <w:rPr>
          <w:noProof/>
        </w:rPr>
        <w:t xml:space="preserve"> vai </w:t>
      </w:r>
      <w:r>
        <w:rPr>
          <w:i/>
          <w:noProof/>
        </w:rPr>
        <w:t>MMS</w:t>
      </w:r>
      <w:r>
        <w:rPr>
          <w:noProof/>
        </w:rPr>
        <w:t xml:space="preserve"> darbības.</w:t>
      </w:r>
    </w:p>
    <w:p w:rsidR="003E022D" w:rsidRDefault="007D19D6">
      <w:pPr>
        <w:spacing w:line="276" w:lineRule="auto"/>
        <w:rPr>
          <w:noProof/>
        </w:rPr>
      </w:pPr>
      <w:r>
        <w:rPr>
          <w:noProof/>
        </w:rPr>
        <w:t>4.1.11.</w:t>
      </w:r>
      <w:r>
        <w:rPr>
          <w:noProof/>
        </w:rPr>
        <w:tab/>
      </w:r>
      <w:r>
        <w:rPr>
          <w:i/>
          <w:iCs/>
          <w:noProof/>
        </w:rPr>
        <w:t>2.015. lauks – identifikācijas numurs dažādām vajadzībām (Miscellaneous Identification Number – MN4)</w:t>
      </w:r>
    </w:p>
    <w:p w:rsidR="003E022D" w:rsidRDefault="007D19D6">
      <w:pPr>
        <w:rPr>
          <w:noProof/>
        </w:rPr>
      </w:pPr>
      <w:r>
        <w:rPr>
          <w:noProof/>
        </w:rPr>
        <w:t xml:space="preserve">Šajā laukā ir </w:t>
      </w:r>
      <w:r>
        <w:rPr>
          <w:i/>
          <w:noProof/>
        </w:rPr>
        <w:t>MID</w:t>
      </w:r>
      <w:r>
        <w:rPr>
          <w:noProof/>
        </w:rPr>
        <w:t xml:space="preserve"> (2.009. lauks), ko pārraida, izmantojot </w:t>
      </w:r>
      <w:r>
        <w:rPr>
          <w:i/>
          <w:noProof/>
        </w:rPr>
        <w:t>MPS</w:t>
      </w:r>
      <w:r>
        <w:rPr>
          <w:noProof/>
        </w:rPr>
        <w:t xml:space="preserve"> vai </w:t>
      </w:r>
      <w:r>
        <w:rPr>
          <w:i/>
          <w:noProof/>
        </w:rPr>
        <w:t>MMS</w:t>
      </w:r>
      <w:r>
        <w:rPr>
          <w:noProof/>
        </w:rPr>
        <w:t xml:space="preserve"> darbības.</w:t>
      </w:r>
    </w:p>
    <w:p w:rsidR="003E022D" w:rsidRDefault="007D19D6">
      <w:pPr>
        <w:spacing w:line="276" w:lineRule="auto"/>
        <w:rPr>
          <w:noProof/>
        </w:rPr>
      </w:pPr>
      <w:r>
        <w:rPr>
          <w:noProof/>
        </w:rPr>
        <w:t>4.1.12.</w:t>
      </w:r>
      <w:r>
        <w:rPr>
          <w:noProof/>
        </w:rPr>
        <w:tab/>
      </w:r>
      <w:r>
        <w:rPr>
          <w:i/>
          <w:iCs/>
          <w:noProof/>
        </w:rPr>
        <w:t>2.063. lauks – papildu informācija (Additional Information – INF)</w:t>
      </w:r>
    </w:p>
    <w:p w:rsidR="003E022D" w:rsidRDefault="007D19D6">
      <w:pPr>
        <w:rPr>
          <w:noProof/>
        </w:rPr>
      </w:pPr>
      <w:r>
        <w:rPr>
          <w:noProof/>
        </w:rPr>
        <w:t xml:space="preserve">Ja notiek </w:t>
      </w:r>
      <w:r>
        <w:rPr>
          <w:i/>
          <w:noProof/>
        </w:rPr>
        <w:t>SRE</w:t>
      </w:r>
      <w:r>
        <w:rPr>
          <w:noProof/>
        </w:rPr>
        <w:t xml:space="preserve"> darbība, atbildot uz </w:t>
      </w:r>
      <w:r>
        <w:rPr>
          <w:i/>
          <w:noProof/>
        </w:rPr>
        <w:t>PMS</w:t>
      </w:r>
      <w:r>
        <w:rPr>
          <w:noProof/>
        </w:rPr>
        <w:t xml:space="preserve"> pieprasījumu, šajā laukā dod informāciju par pirkstu, kura parametri devuši iespējamu pozitīvu dokumentu atrašanas rezultātu (</w:t>
      </w:r>
      <w:r>
        <w:rPr>
          <w:i/>
          <w:noProof/>
        </w:rPr>
        <w:t>HIT</w:t>
      </w:r>
      <w:r>
        <w:rPr>
          <w:noProof/>
        </w:rPr>
        <w:t>). Lauka forma</w:t>
      </w:r>
      <w:r>
        <w:rPr>
          <w:noProof/>
        </w:rPr>
        <w:t xml:space="preserve"> ir:</w:t>
      </w:r>
    </w:p>
    <w:p w:rsidR="003E022D" w:rsidRDefault="007D19D6">
      <w:pPr>
        <w:rPr>
          <w:noProof/>
        </w:rPr>
      </w:pPr>
      <w:r>
        <w:rPr>
          <w:i/>
          <w:iCs/>
          <w:noProof/>
        </w:rPr>
        <w:t>NN</w:t>
      </w:r>
      <w:r>
        <w:rPr>
          <w:noProof/>
        </w:rPr>
        <w:t xml:space="preserve">, kur </w:t>
      </w:r>
      <w:r>
        <w:rPr>
          <w:i/>
          <w:iCs/>
          <w:noProof/>
        </w:rPr>
        <w:t>NN</w:t>
      </w:r>
      <w:r>
        <w:rPr>
          <w:noProof/>
        </w:rPr>
        <w:t xml:space="preserve"> ir 5. tabulā dotais pirksta novietojuma kods no diviem cipariem.</w:t>
      </w:r>
    </w:p>
    <w:p w:rsidR="003E022D" w:rsidRDefault="007D19D6">
      <w:pPr>
        <w:rPr>
          <w:noProof/>
        </w:rPr>
      </w:pPr>
      <w:r>
        <w:rPr>
          <w:noProof/>
        </w:rPr>
        <w:t>Citos gadījumos lauku izmantot nav obligāti. Tajā ir līdz 32 burtu vai ciparu zīmes, un tas var dot papildu informāciju par pieprasījumu.</w:t>
      </w:r>
    </w:p>
    <w:p w:rsidR="003E022D" w:rsidRDefault="007D19D6">
      <w:pPr>
        <w:spacing w:line="276" w:lineRule="auto"/>
        <w:rPr>
          <w:noProof/>
        </w:rPr>
      </w:pPr>
      <w:r>
        <w:rPr>
          <w:noProof/>
        </w:rPr>
        <w:t>4.1.13.</w:t>
      </w:r>
      <w:r>
        <w:rPr>
          <w:noProof/>
        </w:rPr>
        <w:tab/>
      </w:r>
      <w:r>
        <w:rPr>
          <w:i/>
          <w:iCs/>
          <w:noProof/>
        </w:rPr>
        <w:t>2.064. lauks – atbildētāju sa</w:t>
      </w:r>
      <w:r>
        <w:rPr>
          <w:i/>
          <w:iCs/>
          <w:noProof/>
        </w:rPr>
        <w:t>raksts (Respondents List – RLS)</w:t>
      </w:r>
    </w:p>
    <w:p w:rsidR="003E022D" w:rsidRDefault="007D19D6">
      <w:pPr>
        <w:rPr>
          <w:noProof/>
        </w:rPr>
      </w:pPr>
      <w:r>
        <w:rPr>
          <w:noProof/>
        </w:rPr>
        <w:t xml:space="preserve">Šajā laukā ir vismaz divi pakārtoti lauki. Pirmajā pakārtotajā laukā ir aprakstīts veiktā meklējuma tips, izmantojot mnemonisku kodu no trijiem burtiem, kurš norāda uz darbības tipu </w:t>
      </w:r>
      <w:r>
        <w:rPr>
          <w:i/>
          <w:noProof/>
        </w:rPr>
        <w:t>TOT</w:t>
      </w:r>
      <w:r>
        <w:rPr>
          <w:noProof/>
        </w:rPr>
        <w:t xml:space="preserve"> laukā (1.004. lauks). Otrajā pakārtota</w:t>
      </w:r>
      <w:r>
        <w:rPr>
          <w:noProof/>
        </w:rPr>
        <w:t>jā laukā ir viena zīme. Zīmi "I" lieto, lai norādītu, ka dati ir atrasti (HIT), un zīmi "N" lieto, lai norādītu, ka sakritīgi dati nav atrasti (No-HIT). Trešajā pakārtotajā laukā ir secības identifikators, kas attiecas uz kandidāta rezultātu un kandidātu k</w:t>
      </w:r>
      <w:r>
        <w:rPr>
          <w:noProof/>
        </w:rPr>
        <w:t>opskaitu, ko vienu no otra atdala slīpsvītra. Ja kandidāti ir vairāki, arī atbildes būs vairākas.</w:t>
      </w:r>
    </w:p>
    <w:p w:rsidR="003E022D" w:rsidRDefault="007D19D6">
      <w:pPr>
        <w:rPr>
          <w:noProof/>
        </w:rPr>
      </w:pPr>
      <w:r>
        <w:rPr>
          <w:noProof/>
        </w:rPr>
        <w:t>Iespējamā datu atrašanas gadījumā (</w:t>
      </w:r>
      <w:r>
        <w:rPr>
          <w:i/>
          <w:noProof/>
        </w:rPr>
        <w:t>HIT</w:t>
      </w:r>
      <w:r>
        <w:rPr>
          <w:noProof/>
        </w:rPr>
        <w:t>) ceturtā pakārtotā laukā būs rezultāts – līdz sešiem cipariem. Ja datu atrašana (</w:t>
      </w:r>
      <w:r>
        <w:rPr>
          <w:i/>
          <w:noProof/>
        </w:rPr>
        <w:t>HIT</w:t>
      </w:r>
      <w:r>
        <w:rPr>
          <w:noProof/>
        </w:rPr>
        <w:t xml:space="preserve">) ir apstiprināta, šā pakārtotā </w:t>
      </w:r>
      <w:r>
        <w:rPr>
          <w:noProof/>
        </w:rPr>
        <w:t>lauka vērtība ir definēta kā "999999".</w:t>
      </w:r>
    </w:p>
    <w:p w:rsidR="003E022D" w:rsidRDefault="007D19D6">
      <w:pPr>
        <w:rPr>
          <w:noProof/>
        </w:rPr>
      </w:pPr>
      <w:r>
        <w:rPr>
          <w:noProof/>
        </w:rPr>
        <w:t>Piemērs: "CPS{}{RS}}I{}{RS}}001/001{}{RS}}999999{}{GS}}".</w:t>
      </w:r>
    </w:p>
    <w:p w:rsidR="003E022D" w:rsidRDefault="007D19D6">
      <w:pPr>
        <w:rPr>
          <w:noProof/>
        </w:rPr>
      </w:pPr>
      <w:r>
        <w:rPr>
          <w:noProof/>
        </w:rPr>
        <w:t xml:space="preserve">Ja attālinātā </w:t>
      </w:r>
      <w:r>
        <w:rPr>
          <w:i/>
          <w:noProof/>
        </w:rPr>
        <w:t>AFIS</w:t>
      </w:r>
      <w:r>
        <w:rPr>
          <w:noProof/>
        </w:rPr>
        <w:t xml:space="preserve"> nedod datus par rezultātiem, attiecīgajā punktā būtu jādod rezultāts nulle.</w:t>
      </w:r>
    </w:p>
    <w:p w:rsidR="003E022D" w:rsidRDefault="007D19D6">
      <w:pPr>
        <w:spacing w:line="276" w:lineRule="auto"/>
        <w:rPr>
          <w:noProof/>
        </w:rPr>
      </w:pPr>
      <w:r>
        <w:rPr>
          <w:noProof/>
        </w:rPr>
        <w:t>4.1.14.</w:t>
      </w:r>
      <w:r>
        <w:rPr>
          <w:noProof/>
        </w:rPr>
        <w:tab/>
      </w:r>
      <w:r>
        <w:rPr>
          <w:i/>
          <w:iCs/>
          <w:noProof/>
        </w:rPr>
        <w:t>2.074. lauks – statusa lauks/lauks ar paziņojumu par kļū</w:t>
      </w:r>
      <w:r>
        <w:rPr>
          <w:i/>
          <w:iCs/>
          <w:noProof/>
        </w:rPr>
        <w:t>du (Status/Error Message – ERM)</w:t>
      </w:r>
    </w:p>
    <w:p w:rsidR="003E022D" w:rsidRDefault="007D19D6">
      <w:pPr>
        <w:rPr>
          <w:noProof/>
        </w:rPr>
      </w:pPr>
      <w:r>
        <w:rPr>
          <w:noProof/>
        </w:rPr>
        <w:t>Šajā laukā ir paziņojumi par kļūdām, kas radušās darbībās un ko sūtīs atpakaļ pieprasījuma iesniedzējam kā piederīgu pie kļūdainas darbības (</w:t>
      </w:r>
      <w:r>
        <w:rPr>
          <w:i/>
          <w:noProof/>
        </w:rPr>
        <w:t>Error Transaction</w:t>
      </w:r>
      <w:r>
        <w:rPr>
          <w:noProof/>
        </w:rPr>
        <w:t>).</w:t>
      </w:r>
    </w:p>
    <w:tbl>
      <w:tblPr>
        <w:tblW w:w="0" w:type="auto"/>
        <w:tblLayout w:type="fixed"/>
        <w:tblLook w:val="0000" w:firstRow="0" w:lastRow="0" w:firstColumn="0" w:lastColumn="0" w:noHBand="0" w:noVBand="0"/>
      </w:tblPr>
      <w:tblGrid>
        <w:gridCol w:w="2136"/>
        <w:gridCol w:w="7150"/>
      </w:tblGrid>
      <w:tr w:rsidR="003E022D">
        <w:tc>
          <w:tcPr>
            <w:tcW w:w="9286" w:type="dxa"/>
            <w:gridSpan w:val="2"/>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 tabula. Paziņojumi par kļūdām</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Numeric code (1-3)</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Meaning (5</w:t>
            </w:r>
            <w:r>
              <w:rPr>
                <w:noProof/>
              </w:rPr>
              <w:t>-128)</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003</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ERROR: UNAUTHORISED ACCESS</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Mandatory field missing</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102</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Invalid record type</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103</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Undefined field</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104</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Exceed the maximum occurrence</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105</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Invalid number of subfields</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106</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length too short</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107</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length too long</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108</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Field is not a </w:t>
            </w:r>
            <w:r>
              <w:rPr>
                <w:noProof/>
              </w:rPr>
              <w:t>number as expected</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109</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number value too small</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110</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number value too big</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111</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Invalid character</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112</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Invalid date</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115</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Invalid item value</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116</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Invalid type of transaction</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117</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Invalid record data</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ERROR: INVALID TCN</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501</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ERROR: INSUFFICIENT</w:t>
            </w:r>
            <w:r>
              <w:rPr>
                <w:noProof/>
              </w:rPr>
              <w:t xml:space="preserve"> FINGERPRINT QUALITY</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502</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ERROR: MISSING FINGERPRINTS</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503</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ERROR: FINGERPRINT SEQUENCE CHECK FAILED</w:t>
            </w:r>
          </w:p>
        </w:tc>
      </w:tr>
      <w:tr w:rsidR="003E022D">
        <w:tc>
          <w:tcPr>
            <w:tcW w:w="21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999</w:t>
            </w:r>
          </w:p>
        </w:tc>
        <w:tc>
          <w:tcPr>
            <w:tcW w:w="71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ERROR: ANY OTHER ERROR. FOR FURTHER DETAILS CALL DESTINATION AGENCY</w:t>
            </w:r>
          </w:p>
        </w:tc>
      </w:tr>
    </w:tbl>
    <w:p w:rsidR="003E022D" w:rsidRDefault="003E022D">
      <w:pPr>
        <w:rPr>
          <w:noProof/>
          <w:lang w:val="en-IE"/>
        </w:rPr>
      </w:pPr>
    </w:p>
    <w:p w:rsidR="003E022D" w:rsidRDefault="007D19D6">
      <w:pPr>
        <w:rPr>
          <w:noProof/>
        </w:rPr>
      </w:pPr>
      <w:r>
        <w:rPr>
          <w:noProof/>
        </w:rPr>
        <w:t>Paziņojumi par kļūdām diapazonā no 100 līdz 199:</w:t>
      </w:r>
    </w:p>
    <w:p w:rsidR="003E022D" w:rsidRDefault="007D19D6">
      <w:pPr>
        <w:rPr>
          <w:noProof/>
        </w:rPr>
      </w:pPr>
      <w:r>
        <w:rPr>
          <w:noProof/>
        </w:rPr>
        <w:t>Paziņojumi par kļūdām ir saistīt</w:t>
      </w:r>
      <w:r>
        <w:rPr>
          <w:noProof/>
        </w:rPr>
        <w:t xml:space="preserve">i ar </w:t>
      </w:r>
      <w:r>
        <w:rPr>
          <w:i/>
          <w:noProof/>
        </w:rPr>
        <w:t>ANSI</w:t>
      </w:r>
      <w:r>
        <w:rPr>
          <w:noProof/>
        </w:rPr>
        <w:t>/</w:t>
      </w:r>
      <w:r>
        <w:rPr>
          <w:i/>
          <w:noProof/>
        </w:rPr>
        <w:t>NIST</w:t>
      </w:r>
      <w:r>
        <w:rPr>
          <w:noProof/>
        </w:rPr>
        <w:t xml:space="preserve"> ierakstu apstiprināšanu, un tos definē šādi:</w:t>
      </w:r>
    </w:p>
    <w:p w:rsidR="003E022D" w:rsidRDefault="007D19D6">
      <w:pPr>
        <w:rPr>
          <w:noProof/>
        </w:rPr>
      </w:pPr>
      <w:r>
        <w:rPr>
          <w:noProof/>
        </w:rPr>
        <w:t>&lt;error_code 1&gt;: IDC &lt;idc_number 1&gt; FIELD &lt;field_id 1&gt; &lt;dynamic text 1&gt; LF</w:t>
      </w:r>
    </w:p>
    <w:p w:rsidR="003E022D" w:rsidRDefault="007D19D6">
      <w:pPr>
        <w:rPr>
          <w:noProof/>
        </w:rPr>
      </w:pPr>
      <w:r>
        <w:rPr>
          <w:noProof/>
        </w:rPr>
        <w:t>&lt;error_code 2&gt;: IDC &lt;idc_number 2&gt; FIELD &lt;field_id 2&gt; &lt;dynamic text 2&gt;…</w:t>
      </w:r>
    </w:p>
    <w:p w:rsidR="003E022D" w:rsidRDefault="007D19D6">
      <w:pPr>
        <w:rPr>
          <w:noProof/>
        </w:rPr>
      </w:pPr>
      <w:r>
        <w:rPr>
          <w:noProof/>
        </w:rPr>
        <w:t>kur:</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 xml:space="preserve">"error_code" ir kods, kas ir saistīts tikai </w:t>
      </w:r>
      <w:r>
        <w:rPr>
          <w:rFonts w:ascii="Calibri" w:hAnsi="Calibri"/>
          <w:noProof/>
          <w:sz w:val="22"/>
          <w:szCs w:val="22"/>
        </w:rPr>
        <w:t>ar konkrētu iemeslu (sk. 3. tabulu),</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 xml:space="preserve">"field_id" ir nepareiza </w:t>
      </w:r>
      <w:r>
        <w:rPr>
          <w:rFonts w:ascii="Calibri" w:hAnsi="Calibri"/>
          <w:i/>
          <w:noProof/>
          <w:sz w:val="22"/>
          <w:szCs w:val="22"/>
        </w:rPr>
        <w:t>ANSI</w:t>
      </w:r>
      <w:r>
        <w:rPr>
          <w:rFonts w:ascii="Calibri" w:hAnsi="Calibri"/>
          <w:noProof/>
          <w:sz w:val="22"/>
          <w:szCs w:val="22"/>
        </w:rPr>
        <w:t>/</w:t>
      </w:r>
      <w:r>
        <w:rPr>
          <w:rFonts w:ascii="Calibri" w:hAnsi="Calibri"/>
          <w:i/>
          <w:noProof/>
          <w:sz w:val="22"/>
          <w:szCs w:val="22"/>
        </w:rPr>
        <w:t>NIST</w:t>
      </w:r>
      <w:r>
        <w:rPr>
          <w:rFonts w:ascii="Calibri" w:hAnsi="Calibri"/>
          <w:noProof/>
          <w:sz w:val="22"/>
          <w:szCs w:val="22"/>
        </w:rPr>
        <w:t xml:space="preserve"> lauka numurs (piem., 1.001, 2.001, ...) šādā formā – "&lt;record_type&gt;.&lt;field_id&gt;.&lt;sub_field_id&gt;",</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dinamisks teksts (</w:t>
      </w:r>
      <w:r>
        <w:rPr>
          <w:rFonts w:ascii="Calibri" w:hAnsi="Calibri"/>
          <w:i/>
          <w:noProof/>
          <w:sz w:val="22"/>
          <w:szCs w:val="22"/>
        </w:rPr>
        <w:t>dynamic text</w:t>
      </w:r>
      <w:r>
        <w:rPr>
          <w:rFonts w:ascii="Calibri" w:hAnsi="Calibri"/>
          <w:noProof/>
          <w:sz w:val="22"/>
          <w:szCs w:val="22"/>
        </w:rPr>
        <w:t>) ir sīkāks, dinamisks kļūdas apraksts,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i/>
          <w:noProof/>
          <w:sz w:val="22"/>
          <w:szCs w:val="22"/>
        </w:rPr>
        <w:t>LF</w:t>
      </w:r>
      <w:r>
        <w:rPr>
          <w:rFonts w:ascii="Calibri" w:hAnsi="Calibri"/>
          <w:noProof/>
          <w:sz w:val="22"/>
          <w:szCs w:val="22"/>
        </w:rPr>
        <w:t xml:space="preserve"> (</w:t>
      </w:r>
      <w:r>
        <w:rPr>
          <w:rFonts w:ascii="Calibri" w:hAnsi="Calibri"/>
          <w:i/>
          <w:noProof/>
          <w:sz w:val="22"/>
          <w:szCs w:val="22"/>
        </w:rPr>
        <w:t>Line Feed</w:t>
      </w:r>
      <w:r>
        <w:rPr>
          <w:rFonts w:ascii="Calibri" w:hAnsi="Calibri"/>
          <w:noProof/>
          <w:sz w:val="22"/>
          <w:szCs w:val="22"/>
        </w:rPr>
        <w:t>) ir r</w:t>
      </w:r>
      <w:r>
        <w:rPr>
          <w:rFonts w:ascii="Calibri" w:hAnsi="Calibri"/>
          <w:noProof/>
          <w:sz w:val="22"/>
          <w:szCs w:val="22"/>
        </w:rPr>
        <w:t>indas pārnesums, kas atdala kļūdas, ja ir sastapta vairāk nekā viena kļūda,</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 xml:space="preserve">1. tipa ierakstiem </w:t>
      </w:r>
      <w:r>
        <w:rPr>
          <w:rFonts w:ascii="Calibri" w:hAnsi="Calibri"/>
          <w:i/>
          <w:noProof/>
          <w:sz w:val="22"/>
          <w:szCs w:val="22"/>
        </w:rPr>
        <w:t>ICD</w:t>
      </w:r>
      <w:r>
        <w:rPr>
          <w:rFonts w:ascii="Calibri" w:hAnsi="Calibri"/>
          <w:noProof/>
          <w:sz w:val="22"/>
          <w:szCs w:val="22"/>
        </w:rPr>
        <w:t xml:space="preserve"> ir definēts kā "-1".</w:t>
      </w:r>
    </w:p>
    <w:p w:rsidR="003E022D" w:rsidRDefault="007D19D6">
      <w:pPr>
        <w:rPr>
          <w:noProof/>
        </w:rPr>
      </w:pPr>
      <w:r>
        <w:rPr>
          <w:noProof/>
        </w:rPr>
        <w:t>Piemērs:</w:t>
      </w:r>
    </w:p>
    <w:p w:rsidR="003E022D" w:rsidRDefault="007D19D6">
      <w:pPr>
        <w:rPr>
          <w:noProof/>
        </w:rPr>
      </w:pPr>
      <w:r>
        <w:rPr>
          <w:noProof/>
        </w:rPr>
        <w:t>201: IDC - 1 FIELD 1.009 WRONG CONTROL CHARACTER {}{LF}} 115: IDC 0 FIELD 2.003 INVALID SYSTEM INFORMATION</w:t>
      </w:r>
    </w:p>
    <w:p w:rsidR="003E022D" w:rsidRDefault="007D19D6">
      <w:pPr>
        <w:rPr>
          <w:noProof/>
        </w:rPr>
      </w:pPr>
      <w:r>
        <w:rPr>
          <w:noProof/>
        </w:rPr>
        <w:t xml:space="preserve">Šis lauks ir </w:t>
      </w:r>
      <w:r>
        <w:rPr>
          <w:noProof/>
        </w:rPr>
        <w:t>obligāts kļūdainu darbību gadījumā.</w:t>
      </w:r>
    </w:p>
    <w:p w:rsidR="003E022D" w:rsidRDefault="007D19D6">
      <w:pPr>
        <w:spacing w:line="276" w:lineRule="auto"/>
        <w:rPr>
          <w:noProof/>
        </w:rPr>
      </w:pPr>
      <w:r>
        <w:rPr>
          <w:noProof/>
        </w:rPr>
        <w:t>4.1.15.</w:t>
      </w:r>
      <w:r>
        <w:rPr>
          <w:noProof/>
        </w:rPr>
        <w:tab/>
      </w:r>
      <w:r>
        <w:rPr>
          <w:i/>
          <w:iCs/>
          <w:noProof/>
        </w:rPr>
        <w:t>2.320. lauks – paredzamais kandidātu skaits (Expected Number of Candidates – ENC)</w:t>
      </w:r>
    </w:p>
    <w:p w:rsidR="003E022D" w:rsidRDefault="007D19D6">
      <w:pPr>
        <w:rPr>
          <w:noProof/>
        </w:rPr>
      </w:pPr>
      <w:r>
        <w:rPr>
          <w:noProof/>
        </w:rPr>
        <w:t xml:space="preserve">Šajā laukā ir dots lielākais iespējamais kandidātu skaits pārbaudei, ko pieprasījuma iesniedzēja aģentūra var paredzēt. </w:t>
      </w:r>
      <w:r>
        <w:rPr>
          <w:i/>
          <w:noProof/>
        </w:rPr>
        <w:t>ENC</w:t>
      </w:r>
      <w:r>
        <w:rPr>
          <w:noProof/>
        </w:rPr>
        <w:t xml:space="preserve"> vērtīb</w:t>
      </w:r>
      <w:r>
        <w:rPr>
          <w:noProof/>
        </w:rPr>
        <w:t>a nav lielāka par 11. tabulā noteiktajām vērtībām.</w:t>
      </w:r>
    </w:p>
    <w:p w:rsidR="003E022D" w:rsidRDefault="007D19D6">
      <w:pPr>
        <w:spacing w:line="276" w:lineRule="auto"/>
        <w:rPr>
          <w:noProof/>
        </w:rPr>
      </w:pPr>
      <w:r>
        <w:rPr>
          <w:noProof/>
        </w:rPr>
        <w:t>5.</w:t>
      </w:r>
      <w:r>
        <w:rPr>
          <w:noProof/>
        </w:rPr>
        <w:tab/>
        <w:t>4. tipa loģiski dati – melnbalti tonāli attēli ar lielu izšķirtspēju</w:t>
      </w:r>
    </w:p>
    <w:p w:rsidR="003E022D" w:rsidRDefault="007D19D6">
      <w:pPr>
        <w:rPr>
          <w:noProof/>
        </w:rPr>
      </w:pPr>
      <w:r>
        <w:rPr>
          <w:noProof/>
        </w:rPr>
        <w:t xml:space="preserve">Būtu jāņem vērā, ka 4. tipa ieraksti būtībā ir bināri, nevis </w:t>
      </w:r>
      <w:r>
        <w:rPr>
          <w:i/>
          <w:noProof/>
        </w:rPr>
        <w:t>ASCII</w:t>
      </w:r>
      <w:r>
        <w:rPr>
          <w:noProof/>
        </w:rPr>
        <w:t>. Tālab katram laukam ierakstā atvēl īpašu vietu, un tas nozīmē, ka</w:t>
      </w:r>
      <w:r>
        <w:rPr>
          <w:noProof/>
        </w:rPr>
        <w:t xml:space="preserve"> visi lauki ir obligāti.</w:t>
      </w:r>
    </w:p>
    <w:p w:rsidR="003E022D" w:rsidRDefault="007D19D6">
      <w:pPr>
        <w:rPr>
          <w:noProof/>
        </w:rPr>
      </w:pPr>
      <w:r>
        <w:rPr>
          <w:noProof/>
        </w:rPr>
        <w:t>Standarts ļauj ierakstā konkrēti uzrādīt gan attēla lielumu, gan izšķirtspēju. Ir vajadzīgi 4. tipa loģiski ieraksti, lai varētu glabāt daktiloskopijas attēlu datus, ko pārraida ar nominālu pikseļu blīvumu – 500 līdz 520 pikseļu co</w:t>
      </w:r>
      <w:r>
        <w:rPr>
          <w:noProof/>
        </w:rPr>
        <w:t xml:space="preserve">llā. Ieteicamais jaunu izstrādņu koeficients ir paredzēt pikseļu blīvumu – 500 pikseļu collā jeb 19,68 pikseļu milimetrā. 500 pikseļu collā ir blīvums, kas ir paredzēts ar </w:t>
      </w:r>
      <w:r>
        <w:rPr>
          <w:i/>
          <w:noProof/>
        </w:rPr>
        <w:t>INT-I</w:t>
      </w:r>
      <w:r>
        <w:rPr>
          <w:noProof/>
        </w:rPr>
        <w:t>, taču līdzīgas sistēmas var savā starpā sazināties, neizmantojot ieteicamo koe</w:t>
      </w:r>
      <w:r>
        <w:rPr>
          <w:noProof/>
        </w:rPr>
        <w:t>ficientu un izmantojot ieteicamo robežlielumu – 500 līdz 520 pikseļiem collā.</w:t>
      </w:r>
    </w:p>
    <w:p w:rsidR="003E022D" w:rsidRDefault="007D19D6">
      <w:pPr>
        <w:spacing w:line="276" w:lineRule="auto"/>
        <w:rPr>
          <w:noProof/>
        </w:rPr>
      </w:pPr>
      <w:r>
        <w:rPr>
          <w:noProof/>
        </w:rPr>
        <w:t>5.1.</w:t>
      </w:r>
      <w:r>
        <w:rPr>
          <w:noProof/>
        </w:rPr>
        <w:tab/>
        <w:t>4. tipa loģisku datu lauki</w:t>
      </w:r>
    </w:p>
    <w:p w:rsidR="003E022D" w:rsidRDefault="007D19D6">
      <w:pPr>
        <w:spacing w:line="276" w:lineRule="auto"/>
        <w:rPr>
          <w:noProof/>
        </w:rPr>
      </w:pPr>
      <w:r>
        <w:rPr>
          <w:noProof/>
        </w:rPr>
        <w:t>5.1.1.</w:t>
      </w:r>
      <w:r>
        <w:rPr>
          <w:noProof/>
        </w:rPr>
        <w:tab/>
      </w:r>
      <w:r>
        <w:rPr>
          <w:i/>
          <w:iCs/>
          <w:noProof/>
        </w:rPr>
        <w:t>4.001. lauks – loģiska ieraksta garums (Logical Record Length – LEN)</w:t>
      </w:r>
    </w:p>
    <w:p w:rsidR="003E022D" w:rsidRDefault="007D19D6">
      <w:pPr>
        <w:rPr>
          <w:noProof/>
        </w:rPr>
      </w:pPr>
      <w:r>
        <w:rPr>
          <w:noProof/>
        </w:rPr>
        <w:t>Šajā četru baitu laukā ir fiksēts minētā 4. tipa ieraksta garums un ko</w:t>
      </w:r>
      <w:r>
        <w:rPr>
          <w:noProof/>
        </w:rPr>
        <w:t>nkrēti norādīts baitu kopskaits, aptverot katru baitu katrā ieraksta laukā.</w:t>
      </w:r>
    </w:p>
    <w:p w:rsidR="003E022D" w:rsidRDefault="007D19D6">
      <w:pPr>
        <w:spacing w:line="276" w:lineRule="auto"/>
        <w:rPr>
          <w:noProof/>
        </w:rPr>
      </w:pPr>
      <w:r>
        <w:rPr>
          <w:noProof/>
        </w:rPr>
        <w:t>5.1.2.</w:t>
      </w:r>
      <w:r>
        <w:rPr>
          <w:noProof/>
        </w:rPr>
        <w:tab/>
      </w:r>
      <w:r>
        <w:rPr>
          <w:i/>
          <w:iCs/>
          <w:noProof/>
        </w:rPr>
        <w:t>4.002. lauks – attēla raksturotāja zīme (Image Designation Character – IDC)</w:t>
      </w:r>
    </w:p>
    <w:p w:rsidR="003E022D" w:rsidRDefault="007D19D6">
      <w:pPr>
        <w:rPr>
          <w:noProof/>
        </w:rPr>
      </w:pPr>
      <w:r>
        <w:rPr>
          <w:noProof/>
        </w:rPr>
        <w:t xml:space="preserve">Šis ir datnes galvenē dotā </w:t>
      </w:r>
      <w:r>
        <w:rPr>
          <w:i/>
          <w:noProof/>
        </w:rPr>
        <w:t>IDC</w:t>
      </w:r>
      <w:r>
        <w:rPr>
          <w:noProof/>
        </w:rPr>
        <w:t xml:space="preserve"> numura binārs atveidojums vienā baitā.</w:t>
      </w:r>
    </w:p>
    <w:p w:rsidR="003E022D" w:rsidRDefault="007D19D6">
      <w:pPr>
        <w:spacing w:line="276" w:lineRule="auto"/>
        <w:rPr>
          <w:noProof/>
        </w:rPr>
      </w:pPr>
      <w:r>
        <w:rPr>
          <w:noProof/>
        </w:rPr>
        <w:t>5.1.3.</w:t>
      </w:r>
      <w:r>
        <w:rPr>
          <w:noProof/>
        </w:rPr>
        <w:tab/>
      </w:r>
      <w:r>
        <w:rPr>
          <w:i/>
          <w:iCs/>
          <w:noProof/>
        </w:rPr>
        <w:t>4.003. lauks – nospi</w:t>
      </w:r>
      <w:r>
        <w:rPr>
          <w:i/>
          <w:iCs/>
          <w:noProof/>
        </w:rPr>
        <w:t>eduma tips (Impression Type – IMP)</w:t>
      </w:r>
    </w:p>
    <w:p w:rsidR="003E022D" w:rsidRDefault="007D19D6">
      <w:pPr>
        <w:rPr>
          <w:noProof/>
        </w:rPr>
      </w:pPr>
      <w:r>
        <w:rPr>
          <w:noProof/>
        </w:rPr>
        <w:t>Nospieduma tips ir viena baita lauks, kas aizņem ieraksta sesto baitu.</w:t>
      </w:r>
    </w:p>
    <w:tbl>
      <w:tblPr>
        <w:tblW w:w="0" w:type="auto"/>
        <w:tblInd w:w="464" w:type="dxa"/>
        <w:tblLayout w:type="fixed"/>
        <w:tblLook w:val="0000" w:firstRow="0" w:lastRow="0" w:firstColumn="0" w:lastColumn="0" w:noHBand="0" w:noVBand="0"/>
      </w:tblPr>
      <w:tblGrid>
        <w:gridCol w:w="1671"/>
        <w:gridCol w:w="6686"/>
      </w:tblGrid>
      <w:tr w:rsidR="003E022D">
        <w:tc>
          <w:tcPr>
            <w:tcW w:w="8357" w:type="dxa"/>
            <w:gridSpan w:val="2"/>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 tabula. Pirkstu nospiedumu tipi</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Code</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Live-scan of plain fingerprint</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Live-scan of rolled fingerprint</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Non-live scan impression </w:t>
            </w:r>
            <w:r>
              <w:rPr>
                <w:noProof/>
              </w:rPr>
              <w:t>of plain fingerprint captured from paper</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Non-live scan impression of rolled fingerprint captured from paper</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impression captured directly</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tracing</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photo</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lift</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Swipe</w:t>
            </w:r>
          </w:p>
        </w:tc>
      </w:tr>
      <w:tr w:rsidR="003E022D">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c>
          <w:tcPr>
            <w:tcW w:w="66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Unknown</w:t>
            </w:r>
          </w:p>
        </w:tc>
      </w:tr>
    </w:tbl>
    <w:p w:rsidR="003E022D" w:rsidRDefault="003E022D">
      <w:pPr>
        <w:rPr>
          <w:noProof/>
          <w:lang w:val="en-IE"/>
        </w:rPr>
      </w:pPr>
    </w:p>
    <w:p w:rsidR="003E022D" w:rsidRDefault="007D19D6">
      <w:pPr>
        <w:spacing w:line="276" w:lineRule="auto"/>
        <w:rPr>
          <w:noProof/>
        </w:rPr>
      </w:pPr>
      <w:r>
        <w:rPr>
          <w:noProof/>
        </w:rPr>
        <w:t>5.1.4.</w:t>
      </w:r>
      <w:r>
        <w:rPr>
          <w:noProof/>
        </w:rPr>
        <w:tab/>
      </w:r>
      <w:r>
        <w:rPr>
          <w:i/>
          <w:iCs/>
          <w:noProof/>
        </w:rPr>
        <w:t xml:space="preserve">4.004. lauks – pirksta </w:t>
      </w:r>
      <w:r>
        <w:rPr>
          <w:i/>
          <w:iCs/>
          <w:noProof/>
        </w:rPr>
        <w:t>novietojums (Finger Position – FGP)</w:t>
      </w:r>
    </w:p>
    <w:p w:rsidR="003E022D" w:rsidRDefault="007D19D6">
      <w:pPr>
        <w:rPr>
          <w:noProof/>
        </w:rPr>
      </w:pPr>
      <w:r>
        <w:rPr>
          <w:noProof/>
        </w:rPr>
        <w:t>Šis fiksēta garuma sešu baitu lauks aizņem no septītā līdz divpadsmitajam baitam 4. tipa ierakstā. Tajā ir uzrādīti iespējamie pirkstu novietojumi, sākot no baita, kas atrodas vistālāk pa kreisi (ieraksta septītais baits</w:t>
      </w:r>
      <w:r>
        <w:rPr>
          <w:noProof/>
        </w:rPr>
        <w:t>). Zināmais vai visticamākais pirksta novietojums ir ņemts no 5. tabulas. Var dot atsauces vēl līdz pat pieciem citiem pirkstiem, ierakstot citu pirkstu novietojumus atlikušajos piecos baitos – tādā pašā formā. Ja ir paredzams izmantot mazāk nekā piecu pir</w:t>
      </w:r>
      <w:r>
        <w:rPr>
          <w:noProof/>
        </w:rPr>
        <w:t>kstu novietojumu atsauces, neizmantotos baitus aizpilda ar bināriem "255". Lai dotu atsauci uz visiem pirkstu novietojumiem, lieto kodu "0" – "nav zināms".</w:t>
      </w:r>
    </w:p>
    <w:tbl>
      <w:tblPr>
        <w:tblW w:w="0" w:type="auto"/>
        <w:tblInd w:w="1021" w:type="dxa"/>
        <w:tblLayout w:type="fixed"/>
        <w:tblLook w:val="0000" w:firstRow="0" w:lastRow="0" w:firstColumn="0" w:lastColumn="0" w:noHBand="0" w:noVBand="0"/>
      </w:tblPr>
      <w:tblGrid>
        <w:gridCol w:w="2608"/>
        <w:gridCol w:w="1448"/>
        <w:gridCol w:w="1594"/>
        <w:gridCol w:w="1593"/>
      </w:tblGrid>
      <w:tr w:rsidR="003E022D">
        <w:tc>
          <w:tcPr>
            <w:tcW w:w="7243" w:type="dxa"/>
            <w:gridSpan w:val="4"/>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 tabula. Pirkstu novietojuma kodi un maksimāli iespējamie lielumi</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Finger position</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Finger code</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Width</w:t>
            </w:r>
          </w:p>
          <w:p w:rsidR="003E022D" w:rsidRDefault="007D19D6">
            <w:pPr>
              <w:spacing w:line="276" w:lineRule="auto"/>
              <w:rPr>
                <w:noProof/>
              </w:rPr>
            </w:pPr>
            <w:r>
              <w:rPr>
                <w:noProof/>
              </w:rPr>
              <w:t>(mm)</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Length</w:t>
            </w:r>
          </w:p>
          <w:p w:rsidR="003E022D" w:rsidRDefault="007D19D6">
            <w:pPr>
              <w:spacing w:line="276" w:lineRule="auto"/>
              <w:rPr>
                <w:noProof/>
              </w:rPr>
            </w:pPr>
            <w:r>
              <w:rPr>
                <w:noProof/>
              </w:rPr>
              <w:t>(mm)</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Unknown</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thumb</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index finger</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middle finger</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ring finger</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little finger</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thumb</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index finger</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middle finger</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ring finger</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little finger</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Plain right thumb</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55,0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Plain left thumb</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55,0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Plain right four fingers</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65,0</w:t>
            </w:r>
          </w:p>
        </w:tc>
      </w:tr>
      <w:tr w:rsidR="003E022D">
        <w:tc>
          <w:tcPr>
            <w:tcW w:w="260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Plain left four fingers</w:t>
            </w:r>
          </w:p>
        </w:tc>
        <w:tc>
          <w:tcPr>
            <w:tcW w:w="144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14</w:t>
            </w:r>
          </w:p>
        </w:tc>
        <w:tc>
          <w:tcPr>
            <w:tcW w:w="159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65,0</w:t>
            </w:r>
          </w:p>
        </w:tc>
      </w:tr>
    </w:tbl>
    <w:p w:rsidR="003E022D" w:rsidRDefault="003E022D">
      <w:pPr>
        <w:rPr>
          <w:noProof/>
          <w:lang w:val="en-IE"/>
        </w:rPr>
      </w:pPr>
    </w:p>
    <w:p w:rsidR="003E022D" w:rsidRDefault="007D19D6">
      <w:pPr>
        <w:rPr>
          <w:noProof/>
        </w:rPr>
      </w:pPr>
      <w:r>
        <w:rPr>
          <w:noProof/>
        </w:rPr>
        <w:t xml:space="preserve">Apzīmējot noziegumu </w:t>
      </w:r>
      <w:r>
        <w:rPr>
          <w:noProof/>
        </w:rPr>
        <w:t>vietās atrastus latentus nospiedumus, būtu jāizmanto tikai kodi no "0" līdz "10".</w:t>
      </w:r>
    </w:p>
    <w:p w:rsidR="003E022D" w:rsidRDefault="007D19D6">
      <w:pPr>
        <w:spacing w:line="276" w:lineRule="auto"/>
        <w:rPr>
          <w:noProof/>
        </w:rPr>
      </w:pPr>
      <w:r>
        <w:rPr>
          <w:noProof/>
        </w:rPr>
        <w:t>5.1.5.</w:t>
      </w:r>
      <w:r>
        <w:rPr>
          <w:noProof/>
        </w:rPr>
        <w:tab/>
      </w:r>
      <w:r>
        <w:rPr>
          <w:i/>
          <w:iCs/>
          <w:noProof/>
        </w:rPr>
        <w:t>4.005. lauks – attēla skenējuma izšķirtspēja (Image Scanning Resolution – ISR)</w:t>
      </w:r>
    </w:p>
    <w:p w:rsidR="003E022D" w:rsidRDefault="007D19D6">
      <w:pPr>
        <w:rPr>
          <w:noProof/>
        </w:rPr>
      </w:pPr>
      <w:r>
        <w:rPr>
          <w:noProof/>
        </w:rPr>
        <w:t>Šis viena baita lauks 4. tipa ierakstā aizņem 13. baitu. Ja tajā ir "0", tad attēls ir n</w:t>
      </w:r>
      <w:r>
        <w:rPr>
          <w:noProof/>
        </w:rPr>
        <w:t>olasīts ar ieteicamo skenējuma koeficientu – 19,68 pikseļi milimetrā (500 pikseļu collā). Ja tajā ir "1", tad attēls ir nolasīts ar citu skenējuma koeficientu, kas ir konkrēti norādīts 1. tipa ierakstā.</w:t>
      </w:r>
    </w:p>
    <w:p w:rsidR="003E022D" w:rsidRDefault="007D19D6">
      <w:pPr>
        <w:spacing w:line="276" w:lineRule="auto"/>
        <w:rPr>
          <w:noProof/>
        </w:rPr>
      </w:pPr>
      <w:r>
        <w:rPr>
          <w:noProof/>
        </w:rPr>
        <w:t>5.1.6.</w:t>
      </w:r>
      <w:r>
        <w:rPr>
          <w:noProof/>
        </w:rPr>
        <w:tab/>
      </w:r>
      <w:r>
        <w:rPr>
          <w:i/>
          <w:iCs/>
          <w:noProof/>
        </w:rPr>
        <w:t>4.006. lauks – horizontālo līniju garums (Hori</w:t>
      </w:r>
      <w:r>
        <w:rPr>
          <w:i/>
          <w:iCs/>
          <w:noProof/>
        </w:rPr>
        <w:t>zontal Line Length – HLL)</w:t>
      </w:r>
    </w:p>
    <w:p w:rsidR="003E022D" w:rsidRDefault="007D19D6">
      <w:pPr>
        <w:rPr>
          <w:noProof/>
        </w:rPr>
      </w:pPr>
      <w:r>
        <w:rPr>
          <w:noProof/>
        </w:rPr>
        <w:t>Šis lauks 4. tipa ierakstā aizņem 14. un 15. baitu. Tajā ir norādīts katras skenējuma līnijas pikseļu skaits. Pirmais baits būs pats svarīgākais.</w:t>
      </w:r>
    </w:p>
    <w:p w:rsidR="003E022D" w:rsidRDefault="007D19D6">
      <w:pPr>
        <w:spacing w:line="276" w:lineRule="auto"/>
        <w:rPr>
          <w:noProof/>
        </w:rPr>
      </w:pPr>
      <w:r>
        <w:rPr>
          <w:noProof/>
        </w:rPr>
        <w:t>5.1.7.</w:t>
      </w:r>
      <w:r>
        <w:rPr>
          <w:noProof/>
        </w:rPr>
        <w:tab/>
      </w:r>
      <w:r>
        <w:rPr>
          <w:i/>
          <w:iCs/>
          <w:noProof/>
        </w:rPr>
        <w:t>4.007. lauks – vertikālo līniju garums (Vertical Line Length – VLL)</w:t>
      </w:r>
    </w:p>
    <w:p w:rsidR="003E022D" w:rsidRDefault="007D19D6">
      <w:pPr>
        <w:rPr>
          <w:noProof/>
        </w:rPr>
      </w:pPr>
      <w:r>
        <w:rPr>
          <w:noProof/>
        </w:rPr>
        <w:t xml:space="preserve">Šā lauka </w:t>
      </w:r>
      <w:r>
        <w:rPr>
          <w:noProof/>
        </w:rPr>
        <w:t>16. un 17. baitā ir fiksēts attēla skenējuma līniju skaits. Pirmais baits ir pats svarīgākais.</w:t>
      </w:r>
    </w:p>
    <w:p w:rsidR="003E022D" w:rsidRDefault="007D19D6">
      <w:pPr>
        <w:spacing w:line="276" w:lineRule="auto"/>
        <w:rPr>
          <w:noProof/>
        </w:rPr>
      </w:pPr>
      <w:r>
        <w:rPr>
          <w:noProof/>
        </w:rPr>
        <w:t>5.1.8.</w:t>
      </w:r>
      <w:r>
        <w:rPr>
          <w:noProof/>
        </w:rPr>
        <w:tab/>
      </w:r>
      <w:r>
        <w:rPr>
          <w:i/>
          <w:iCs/>
          <w:noProof/>
        </w:rPr>
        <w:t>4.008. lauks – melnbaltu tonālu attēlu saspiešanas algoritms (Gray-scale Compression Algorithm – GCA)</w:t>
      </w:r>
    </w:p>
    <w:p w:rsidR="003E022D" w:rsidRDefault="007D19D6">
      <w:pPr>
        <w:rPr>
          <w:noProof/>
        </w:rPr>
      </w:pPr>
      <w:r>
        <w:rPr>
          <w:noProof/>
        </w:rPr>
        <w:t>Šajā viena baita laukā norāda melnbaltu tonālu attēl</w:t>
      </w:r>
      <w:r>
        <w:rPr>
          <w:noProof/>
        </w:rPr>
        <w:t xml:space="preserve">u saspiešanas algoritmu, ko izmanto, lai kodētu attēla datus. Šādā īstenojumā binārs kods "1" norāda, ka ir lietota </w:t>
      </w:r>
      <w:r>
        <w:rPr>
          <w:i/>
          <w:noProof/>
        </w:rPr>
        <w:t>WSQ</w:t>
      </w:r>
      <w:r>
        <w:rPr>
          <w:noProof/>
        </w:rPr>
        <w:t xml:space="preserve"> saspiešana (7. papildinājums).</w:t>
      </w:r>
    </w:p>
    <w:p w:rsidR="003E022D" w:rsidRDefault="007D19D6">
      <w:pPr>
        <w:spacing w:line="276" w:lineRule="auto"/>
        <w:rPr>
          <w:noProof/>
        </w:rPr>
      </w:pPr>
      <w:r>
        <w:rPr>
          <w:noProof/>
        </w:rPr>
        <w:t>5.1.9.</w:t>
      </w:r>
      <w:r>
        <w:rPr>
          <w:noProof/>
        </w:rPr>
        <w:tab/>
      </w:r>
      <w:r>
        <w:rPr>
          <w:i/>
          <w:iCs/>
          <w:noProof/>
        </w:rPr>
        <w:t>4.009. lauks – attēls</w:t>
      </w:r>
    </w:p>
    <w:p w:rsidR="003E022D" w:rsidRDefault="007D19D6">
      <w:pPr>
        <w:rPr>
          <w:noProof/>
        </w:rPr>
      </w:pPr>
      <w:r>
        <w:rPr>
          <w:noProof/>
        </w:rPr>
        <w:t>Šajā laukā ir attēla atveidotāju baitu straume. Tās struktūra acīmredzot būs</w:t>
      </w:r>
      <w:r>
        <w:rPr>
          <w:noProof/>
        </w:rPr>
        <w:t xml:space="preserve"> atkarīga no izmantotā saspiešanas algoritma.</w:t>
      </w:r>
    </w:p>
    <w:p w:rsidR="003E022D" w:rsidRDefault="007D19D6">
      <w:pPr>
        <w:spacing w:line="276" w:lineRule="auto"/>
        <w:rPr>
          <w:noProof/>
        </w:rPr>
      </w:pPr>
      <w:r>
        <w:rPr>
          <w:noProof/>
        </w:rPr>
        <w:t>6.</w:t>
      </w:r>
      <w:r>
        <w:rPr>
          <w:noProof/>
        </w:rPr>
        <w:tab/>
        <w:t>9. tipa loģiski dati – papilārlīniju detaļu ieraksts</w:t>
      </w:r>
    </w:p>
    <w:p w:rsidR="003E022D" w:rsidRDefault="007D19D6">
      <w:pPr>
        <w:rPr>
          <w:noProof/>
        </w:rPr>
      </w:pPr>
      <w:r>
        <w:rPr>
          <w:noProof/>
        </w:rPr>
        <w:t>9. tipa ierakstos ir ASCII teksts, kurā ir aprakstītas papilārlīniju detaļas un saistīta informācija, kas ir kodēta no latenta nospieduma. Latentu nospied</w:t>
      </w:r>
      <w:r>
        <w:rPr>
          <w:noProof/>
        </w:rPr>
        <w:t>umu meklēšanas darbībās tādiem 9. tipa ierakstiem datnē nav nekādu ierobežojumu, jo katrs no tiem būs citā leņķī – vai cits latents nospiedums.</w:t>
      </w:r>
    </w:p>
    <w:p w:rsidR="003E022D" w:rsidRDefault="007D19D6">
      <w:pPr>
        <w:spacing w:line="276" w:lineRule="auto"/>
        <w:rPr>
          <w:noProof/>
        </w:rPr>
      </w:pPr>
      <w:r>
        <w:rPr>
          <w:noProof/>
        </w:rPr>
        <w:t>6.1.</w:t>
      </w:r>
      <w:r>
        <w:rPr>
          <w:noProof/>
        </w:rPr>
        <w:tab/>
        <w:t>Papilārlīniju detaļu konstatācija</w:t>
      </w:r>
    </w:p>
    <w:p w:rsidR="003E022D" w:rsidRDefault="007D19D6">
      <w:pPr>
        <w:spacing w:line="276" w:lineRule="auto"/>
        <w:rPr>
          <w:noProof/>
        </w:rPr>
      </w:pPr>
      <w:r>
        <w:rPr>
          <w:noProof/>
        </w:rPr>
        <w:t>6.1.1.</w:t>
      </w:r>
      <w:r>
        <w:rPr>
          <w:noProof/>
        </w:rPr>
        <w:tab/>
      </w:r>
      <w:r>
        <w:rPr>
          <w:i/>
          <w:iCs/>
          <w:noProof/>
        </w:rPr>
        <w:t>Papilārlīniju detaļu tipa identifikācija</w:t>
      </w:r>
    </w:p>
    <w:p w:rsidR="003E022D" w:rsidRDefault="007D19D6">
      <w:pPr>
        <w:rPr>
          <w:noProof/>
        </w:rPr>
      </w:pPr>
      <w:r>
        <w:rPr>
          <w:noProof/>
        </w:rPr>
        <w:t>Šajā standartā ir definēt</w:t>
      </w:r>
      <w:r>
        <w:rPr>
          <w:noProof/>
        </w:rPr>
        <w:t>i trīs identifikācijas numuri, ko lieto, lai raksturotu papilārlīniju detaļu tipu. Tie ir uzskaitīti 6. tabulā. Papilārlīniju nobeigumu dēvē par 1. tipu. Bifurkāciju dēvē par 2. tipu. Ja papilārlīniju detaļas nevar skaidri klasificēt kā vienu no abiem iepr</w:t>
      </w:r>
      <w:r>
        <w:rPr>
          <w:noProof/>
        </w:rPr>
        <w:t>iekš minētajiem tipiem, to dēvē par "citu" (</w:t>
      </w:r>
      <w:r>
        <w:rPr>
          <w:i/>
          <w:noProof/>
        </w:rPr>
        <w:t>other</w:t>
      </w:r>
      <w:r>
        <w:rPr>
          <w:noProof/>
        </w:rPr>
        <w:t>), 0. tipu.</w:t>
      </w:r>
    </w:p>
    <w:tbl>
      <w:tblPr>
        <w:tblW w:w="0" w:type="auto"/>
        <w:tblInd w:w="3204" w:type="dxa"/>
        <w:tblLayout w:type="fixed"/>
        <w:tblLook w:val="0000" w:firstRow="0" w:lastRow="0" w:firstColumn="0" w:lastColumn="0" w:noHBand="0" w:noVBand="0"/>
      </w:tblPr>
      <w:tblGrid>
        <w:gridCol w:w="1238"/>
        <w:gridCol w:w="1641"/>
      </w:tblGrid>
      <w:tr w:rsidR="003E022D">
        <w:tc>
          <w:tcPr>
            <w:tcW w:w="2879" w:type="dxa"/>
            <w:gridSpan w:val="2"/>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 tabula. Papilārlīniju detaļu tipi</w:t>
            </w:r>
          </w:p>
        </w:tc>
      </w:tr>
      <w:tr w:rsidR="003E022D">
        <w:tc>
          <w:tcPr>
            <w:tcW w:w="12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w:t>
            </w:r>
          </w:p>
        </w:tc>
        <w:tc>
          <w:tcPr>
            <w:tcW w:w="16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2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w:t>
            </w:r>
          </w:p>
        </w:tc>
        <w:tc>
          <w:tcPr>
            <w:tcW w:w="16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Other</w:t>
            </w:r>
          </w:p>
        </w:tc>
      </w:tr>
      <w:tr w:rsidR="003E022D">
        <w:tc>
          <w:tcPr>
            <w:tcW w:w="12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16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Ridge ending</w:t>
            </w:r>
          </w:p>
        </w:tc>
      </w:tr>
      <w:tr w:rsidR="003E022D">
        <w:tc>
          <w:tcPr>
            <w:tcW w:w="12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164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Bifurcation</w:t>
            </w:r>
          </w:p>
        </w:tc>
      </w:tr>
    </w:tbl>
    <w:p w:rsidR="003E022D" w:rsidRDefault="003E022D">
      <w:pPr>
        <w:rPr>
          <w:noProof/>
          <w:lang w:val="en-IE"/>
        </w:rPr>
      </w:pPr>
    </w:p>
    <w:p w:rsidR="003E022D" w:rsidRDefault="007D19D6">
      <w:pPr>
        <w:spacing w:line="276" w:lineRule="auto"/>
        <w:rPr>
          <w:noProof/>
        </w:rPr>
      </w:pPr>
      <w:r>
        <w:rPr>
          <w:noProof/>
        </w:rPr>
        <w:t>6.1.2.</w:t>
      </w:r>
      <w:r>
        <w:rPr>
          <w:noProof/>
        </w:rPr>
        <w:tab/>
      </w:r>
      <w:r>
        <w:rPr>
          <w:i/>
          <w:iCs/>
          <w:noProof/>
        </w:rPr>
        <w:t>Papilārlīniju detaļu atrašanās vieta un tips</w:t>
      </w:r>
    </w:p>
    <w:p w:rsidR="003E022D" w:rsidRDefault="007D19D6">
      <w:pPr>
        <w:rPr>
          <w:noProof/>
        </w:rPr>
      </w:pPr>
      <w:r>
        <w:rPr>
          <w:noProof/>
        </w:rPr>
        <w:t xml:space="preserve">Lai paraugi būtu saderīgi ar </w:t>
      </w:r>
      <w:r>
        <w:rPr>
          <w:i/>
          <w:noProof/>
        </w:rPr>
        <w:t>ANSI INCITS</w:t>
      </w:r>
      <w:r>
        <w:rPr>
          <w:noProof/>
        </w:rPr>
        <w:t xml:space="preserve"> 378-2004 standarta 5. iedaļu, atsevišķu papilārlīniju detaļu atrašanās vietas (vietas un novietojuma leņķa) noteikšanai izmanto šādu metodi, kas papildina pašlaik spēkā esošo </w:t>
      </w:r>
      <w:r>
        <w:rPr>
          <w:i/>
          <w:noProof/>
        </w:rPr>
        <w:t>INCITS</w:t>
      </w:r>
      <w:r>
        <w:rPr>
          <w:noProof/>
        </w:rPr>
        <w:t xml:space="preserve"> 378-2004 standartu.</w:t>
      </w:r>
    </w:p>
    <w:p w:rsidR="003E022D" w:rsidRDefault="007D19D6">
      <w:pPr>
        <w:rPr>
          <w:noProof/>
        </w:rPr>
      </w:pPr>
      <w:r>
        <w:rPr>
          <w:noProof/>
        </w:rPr>
        <w:t>Papilārlīniju detaļu, t. i., papilārlīnijas gals ir v</w:t>
      </w:r>
      <w:r>
        <w:rPr>
          <w:noProof/>
        </w:rPr>
        <w:t>iduspunkts, kurā tieši pirms papilārlīnijas gala sazarojas starplīniju iedobes. Ja trīs starplīniju iedobju atzarlīnijas sašaurina līdz viena pikseļa platai līnijai, krustpunkts ir papilārlīniju detaļu atrašanās vieta. Līdzīgi bifurkāciju papilārlīniju det</w:t>
      </w:r>
      <w:r>
        <w:rPr>
          <w:noProof/>
        </w:rPr>
        <w:t>aļu atrašanās vieta ir punkts, kur sazarojas papilārlīniju viduslīnija. Ja papilārlīniju trīs atzarlīnijas sašaurina līdz viena pikseļa platai līnijai, punkts, kur trīs atzarlīnijas šķērso cita citu, ir papilārlīniju detaļu atrašanās vieta.</w:t>
      </w:r>
    </w:p>
    <w:p w:rsidR="003E022D" w:rsidRDefault="007D19D6">
      <w:pPr>
        <w:rPr>
          <w:noProof/>
        </w:rPr>
      </w:pPr>
      <w:r>
        <w:rPr>
          <w:noProof/>
        </w:rPr>
        <w:t xml:space="preserve">Kad visi </w:t>
      </w:r>
      <w:r>
        <w:rPr>
          <w:noProof/>
        </w:rPr>
        <w:t>papilārlīniju gali ir pārvērsti bifurkācijās, visas daktiloskopijas attēla papilārlīniju detaļas parādās kā bifurkācijas. Pikseļu X un Y koordināšu līnijas katru papilārlīniju detaļu triju atzarlīniju krustpunktā var formatēt tieši. Papilārlīniju detaļu vi</w:t>
      </w:r>
      <w:r>
        <w:rPr>
          <w:noProof/>
        </w:rPr>
        <w:t>rzienu var atvasināt pēc katras līnijas bifurkācijas. Katras līnijas bifurkācijas trīs atzarlīnijas analizē, un nosaka katras atzarlīnijas galu. 6.1.2. attēlā ir rādītas trīs metodes, ko izmanto, lai noteiktu atzarlīniju galu, izmantojot skenējuma izšķirts</w:t>
      </w:r>
      <w:r>
        <w:rPr>
          <w:noProof/>
        </w:rPr>
        <w:t>pēju 500 punkti collā.</w:t>
      </w:r>
    </w:p>
    <w:p w:rsidR="003E022D" w:rsidRDefault="007D19D6">
      <w:pPr>
        <w:rPr>
          <w:noProof/>
        </w:rPr>
      </w:pPr>
      <w:r>
        <w:rPr>
          <w:noProof/>
        </w:rPr>
        <w:t>Atzarlīniju galu nosaka atkarībā no tā, kas ir pirmais. Pikseļu skaitu nosaka pēc skenējuma ar izšķirtspēju 500 punkti collā. Dažādu skenējumu izšķirtspēja nozīmētu dažādu pikseļu skaitu.</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Attālums – 0,064" (32. pikselis);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atzarlīnijas, kas sākas attālumā no 0,02" līdz 0,064", gals (no 10. līdz 32. pikselim ieskaitot); īsākas atzarlīnijas neņem vērā;</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konstatēta otra bifurkācija 0,064" attālumā (pirms 32. pikseļa).</w:t>
      </w:r>
    </w:p>
    <w:p w:rsidR="003E022D" w:rsidRDefault="007D19D6">
      <w:pPr>
        <w:spacing w:line="276" w:lineRule="auto"/>
        <w:jc w:val="center"/>
        <w:rPr>
          <w:i/>
          <w:noProof/>
        </w:rPr>
      </w:pPr>
      <w:r>
        <w:rPr>
          <w:i/>
          <w:noProof/>
        </w:rPr>
        <w:t>4. attēls</w:t>
      </w:r>
    </w:p>
    <w:p w:rsidR="003E022D" w:rsidRDefault="007D19D6">
      <w:pPr>
        <w:spacing w:line="276" w:lineRule="auto"/>
        <w:rPr>
          <w:noProof/>
        </w:rPr>
      </w:pPr>
      <w:r>
        <w:rPr>
          <w:noProof/>
          <w:lang w:val="fr-BE" w:eastAsia="fr-BE"/>
        </w:rPr>
        <w:drawing>
          <wp:inline distT="0" distB="0" distL="0" distR="0">
            <wp:extent cx="4311015" cy="1632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1015" cy="1632585"/>
                    </a:xfrm>
                    <a:prstGeom prst="rect">
                      <a:avLst/>
                    </a:prstGeom>
                    <a:noFill/>
                    <a:ln>
                      <a:noFill/>
                    </a:ln>
                  </pic:spPr>
                </pic:pic>
              </a:graphicData>
            </a:graphic>
          </wp:inline>
        </w:drawing>
      </w:r>
    </w:p>
    <w:p w:rsidR="003E022D" w:rsidRDefault="007D19D6">
      <w:pPr>
        <w:rPr>
          <w:noProof/>
        </w:rPr>
      </w:pPr>
      <w:r>
        <w:rPr>
          <w:noProof/>
        </w:rPr>
        <w:t>Papilārlīniju detaļu leņķi nosaka, konstruējot tr</w:t>
      </w:r>
      <w:r>
        <w:rPr>
          <w:noProof/>
        </w:rPr>
        <w:t>īs iedomātas līnijas no bifurkācijas punkta un velkot tās līdz katras atzarlīnijas galam. Mazāko no trijiem līniju veidotajiem leņķiem sadala uz pusēm, lai rādītu papilārlīniju detaļu virzienu.</w:t>
      </w:r>
    </w:p>
    <w:p w:rsidR="003E022D" w:rsidRDefault="007D19D6">
      <w:pPr>
        <w:spacing w:line="276" w:lineRule="auto"/>
        <w:rPr>
          <w:noProof/>
        </w:rPr>
      </w:pPr>
      <w:r>
        <w:rPr>
          <w:noProof/>
        </w:rPr>
        <w:t>6.1.3.</w:t>
      </w:r>
      <w:r>
        <w:rPr>
          <w:noProof/>
        </w:rPr>
        <w:tab/>
      </w:r>
      <w:r>
        <w:rPr>
          <w:i/>
          <w:iCs/>
          <w:noProof/>
        </w:rPr>
        <w:t>Koordinātu sistēma</w:t>
      </w:r>
    </w:p>
    <w:p w:rsidR="003E022D" w:rsidRDefault="007D19D6">
      <w:pPr>
        <w:rPr>
          <w:noProof/>
        </w:rPr>
      </w:pPr>
      <w:r>
        <w:rPr>
          <w:noProof/>
        </w:rPr>
        <w:t xml:space="preserve">Koordinātu sistēma, ko izmanto, lai </w:t>
      </w:r>
      <w:r>
        <w:rPr>
          <w:noProof/>
        </w:rPr>
        <w:t xml:space="preserve">raksturotu pirkstu nospiedumu papilārlīniju detaļas, ir Dekarta koordinātu sistēma. Papilārlīniju detaļu atrašanās vietu raksturo to x un y koordinātas. Koordinātu sistēmas sākumpunkts ir oriģinālā attēla kreisais augšējais stūris, no kā </w:t>
      </w:r>
      <w:r>
        <w:rPr>
          <w:i/>
          <w:noProof/>
        </w:rPr>
        <w:t>x</w:t>
      </w:r>
      <w:r>
        <w:rPr>
          <w:noProof/>
        </w:rPr>
        <w:t xml:space="preserve"> virzās pa labi u</w:t>
      </w:r>
      <w:r>
        <w:rPr>
          <w:noProof/>
        </w:rPr>
        <w:t xml:space="preserve">n </w:t>
      </w:r>
      <w:r>
        <w:rPr>
          <w:i/>
          <w:noProof/>
        </w:rPr>
        <w:t>y</w:t>
      </w:r>
      <w:r>
        <w:rPr>
          <w:noProof/>
        </w:rPr>
        <w:t xml:space="preserve"> virzās lejup. Gan papilārlīniju detaļu x, gan y koordinātas atveido pikseļu vienībās, sākot no sākumpunkta. Būtu jāņem vērā, ka sākumpunkta vieta un mērvienības neatbilst parastajām, ko izmanto 9. tipa definīcijās, kas dotas standartā </w:t>
      </w:r>
      <w:r>
        <w:rPr>
          <w:i/>
          <w:noProof/>
        </w:rPr>
        <w:t>ANSI/NIST-ITL 1-2</w:t>
      </w:r>
      <w:r>
        <w:rPr>
          <w:i/>
          <w:noProof/>
        </w:rPr>
        <w:t>000</w:t>
      </w:r>
      <w:r>
        <w:rPr>
          <w:noProof/>
        </w:rPr>
        <w:t>.</w:t>
      </w:r>
    </w:p>
    <w:p w:rsidR="003E022D" w:rsidRDefault="007D19D6">
      <w:pPr>
        <w:spacing w:line="276" w:lineRule="auto"/>
        <w:rPr>
          <w:noProof/>
        </w:rPr>
      </w:pPr>
      <w:r>
        <w:rPr>
          <w:noProof/>
        </w:rPr>
        <w:t>6.1.4.</w:t>
      </w:r>
      <w:r>
        <w:rPr>
          <w:noProof/>
        </w:rPr>
        <w:tab/>
      </w:r>
      <w:r>
        <w:rPr>
          <w:i/>
          <w:iCs/>
          <w:noProof/>
        </w:rPr>
        <w:t>Papilārlīniju detaļu virziens</w:t>
      </w:r>
    </w:p>
    <w:p w:rsidR="003E022D" w:rsidRDefault="007D19D6">
      <w:pPr>
        <w:rPr>
          <w:noProof/>
        </w:rPr>
      </w:pPr>
      <w:r>
        <w:rPr>
          <w:noProof/>
        </w:rPr>
        <w:t>Leņķus izsaka parastā matemātiskā formā, ar nulli grādu labajā pusē un leņķiem, kas palielinās pretēji pulksteņa rādītāja virzienam. Papilārlīniju galu leņķus fiksē atpakaļvirzienā gar papilārlīnijām un bifurkāciju</w:t>
      </w:r>
      <w:r>
        <w:rPr>
          <w:noProof/>
        </w:rPr>
        <w:t xml:space="preserve"> leņķus – virzienā uz iedobes vidu. Tas ir 180 grādus pretī 9. tipa standartā </w:t>
      </w:r>
      <w:r>
        <w:rPr>
          <w:i/>
          <w:noProof/>
        </w:rPr>
        <w:t>ANSI/NIST-ITL 1-2000</w:t>
      </w:r>
      <w:r>
        <w:rPr>
          <w:noProof/>
        </w:rPr>
        <w:t xml:space="preserve"> aprakstītajiem leņķiem.</w:t>
      </w:r>
    </w:p>
    <w:p w:rsidR="003E022D" w:rsidRDefault="007D19D6">
      <w:pPr>
        <w:spacing w:line="276" w:lineRule="auto"/>
        <w:rPr>
          <w:noProof/>
        </w:rPr>
      </w:pPr>
      <w:r>
        <w:rPr>
          <w:noProof/>
        </w:rPr>
        <w:t>6.2.</w:t>
      </w:r>
      <w:r>
        <w:rPr>
          <w:noProof/>
        </w:rPr>
        <w:tab/>
        <w:t xml:space="preserve">Lauki 9. tipa loģiskiem ierakstiem </w:t>
      </w:r>
      <w:r>
        <w:rPr>
          <w:i/>
          <w:noProof/>
        </w:rPr>
        <w:t>INCITS-378</w:t>
      </w:r>
      <w:r>
        <w:rPr>
          <w:noProof/>
        </w:rPr>
        <w:t xml:space="preserve"> formā</w:t>
      </w:r>
    </w:p>
    <w:p w:rsidR="003E022D" w:rsidRDefault="007D19D6">
      <w:pPr>
        <w:rPr>
          <w:noProof/>
        </w:rPr>
      </w:pPr>
      <w:r>
        <w:rPr>
          <w:noProof/>
        </w:rPr>
        <w:t xml:space="preserve">Visos 9. tipa ierakstu laukos tekstu raksta </w:t>
      </w:r>
      <w:r>
        <w:rPr>
          <w:i/>
          <w:noProof/>
        </w:rPr>
        <w:t>ASCII</w:t>
      </w:r>
      <w:r>
        <w:rPr>
          <w:noProof/>
        </w:rPr>
        <w:t xml:space="preserve"> formā. Šajos marķētu lauku</w:t>
      </w:r>
      <w:r>
        <w:rPr>
          <w:noProof/>
        </w:rPr>
        <w:t xml:space="preserve"> ierakstos nav pieļaujami bināri lauki.</w:t>
      </w:r>
    </w:p>
    <w:p w:rsidR="003E022D" w:rsidRDefault="007D19D6">
      <w:pPr>
        <w:spacing w:line="276" w:lineRule="auto"/>
        <w:rPr>
          <w:noProof/>
        </w:rPr>
      </w:pPr>
      <w:r>
        <w:rPr>
          <w:noProof/>
        </w:rPr>
        <w:t>6.2.1.</w:t>
      </w:r>
      <w:r>
        <w:rPr>
          <w:noProof/>
        </w:rPr>
        <w:tab/>
      </w:r>
      <w:r>
        <w:rPr>
          <w:i/>
          <w:iCs/>
          <w:noProof/>
        </w:rPr>
        <w:t>9.001. lauks – loģisku ierakstu garums (Logical record length – LEN)</w:t>
      </w:r>
    </w:p>
    <w:p w:rsidR="003E022D" w:rsidRDefault="007D19D6">
      <w:pPr>
        <w:rPr>
          <w:noProof/>
        </w:rPr>
      </w:pPr>
      <w:r>
        <w:rPr>
          <w:noProof/>
        </w:rPr>
        <w:t xml:space="preserve">Šajā obligātajā </w:t>
      </w:r>
      <w:r>
        <w:rPr>
          <w:i/>
          <w:noProof/>
        </w:rPr>
        <w:t>ASCII</w:t>
      </w:r>
      <w:r>
        <w:rPr>
          <w:noProof/>
        </w:rPr>
        <w:t xml:space="preserve"> laukā ir loģisku ierakstu garums, konkrēti norādot baitu kopskaitu, ietverot katru ieraksta lauka zīmi.</w:t>
      </w:r>
    </w:p>
    <w:p w:rsidR="003E022D" w:rsidRDefault="007D19D6">
      <w:pPr>
        <w:spacing w:line="276" w:lineRule="auto"/>
        <w:rPr>
          <w:noProof/>
        </w:rPr>
      </w:pPr>
      <w:r>
        <w:rPr>
          <w:noProof/>
        </w:rPr>
        <w:t>6.2.2.</w:t>
      </w:r>
      <w:r>
        <w:rPr>
          <w:noProof/>
        </w:rPr>
        <w:tab/>
      </w:r>
      <w:r>
        <w:rPr>
          <w:i/>
          <w:iCs/>
          <w:noProof/>
        </w:rPr>
        <w:t>9.002. </w:t>
      </w:r>
      <w:r>
        <w:rPr>
          <w:i/>
          <w:iCs/>
          <w:noProof/>
        </w:rPr>
        <w:t>lauks – attēla raksturotāja zīme (Image designation character – IDC)</w:t>
      </w:r>
    </w:p>
    <w:p w:rsidR="003E022D" w:rsidRDefault="007D19D6">
      <w:pPr>
        <w:rPr>
          <w:noProof/>
        </w:rPr>
      </w:pPr>
      <w:r>
        <w:rPr>
          <w:noProof/>
        </w:rPr>
        <w:t xml:space="preserve">Šo obligāto divu baitu lauku izmanto papilārlīniju detaļu datu identifikācijai un atrašanās vietas norādei. Šajā laukā dotais </w:t>
      </w:r>
      <w:r>
        <w:rPr>
          <w:i/>
          <w:noProof/>
        </w:rPr>
        <w:t>IDC</w:t>
      </w:r>
      <w:r>
        <w:rPr>
          <w:noProof/>
        </w:rPr>
        <w:t xml:space="preserve"> saskan ar </w:t>
      </w:r>
      <w:r>
        <w:rPr>
          <w:i/>
          <w:noProof/>
        </w:rPr>
        <w:t>IDC</w:t>
      </w:r>
      <w:r>
        <w:rPr>
          <w:noProof/>
        </w:rPr>
        <w:t>, kas atrodas 1. tipa ieraksta datnes satura</w:t>
      </w:r>
      <w:r>
        <w:rPr>
          <w:noProof/>
        </w:rPr>
        <w:t xml:space="preserve"> laukā.</w:t>
      </w:r>
    </w:p>
    <w:p w:rsidR="003E022D" w:rsidRDefault="007D19D6">
      <w:pPr>
        <w:spacing w:line="276" w:lineRule="auto"/>
        <w:rPr>
          <w:noProof/>
        </w:rPr>
      </w:pPr>
      <w:r>
        <w:rPr>
          <w:noProof/>
        </w:rPr>
        <w:t>6.2.3.</w:t>
      </w:r>
      <w:r>
        <w:rPr>
          <w:noProof/>
        </w:rPr>
        <w:tab/>
      </w:r>
      <w:r>
        <w:rPr>
          <w:i/>
          <w:iCs/>
          <w:noProof/>
        </w:rPr>
        <w:t>9.003. lauks – nospieduma tips (Impression type – IMP)</w:t>
      </w:r>
    </w:p>
    <w:p w:rsidR="003E022D" w:rsidRDefault="007D19D6">
      <w:pPr>
        <w:rPr>
          <w:noProof/>
        </w:rPr>
      </w:pPr>
      <w:r>
        <w:rPr>
          <w:noProof/>
        </w:rPr>
        <w:t xml:space="preserve">Šajā obligātajā viena baita laukā ir aprakstīts, kā iegūta daktiloskopijas attēla informācija. Atbilstošā 4. tabulā izvēlētā koda </w:t>
      </w:r>
      <w:r>
        <w:rPr>
          <w:i/>
          <w:noProof/>
        </w:rPr>
        <w:t>ASCII</w:t>
      </w:r>
      <w:r>
        <w:rPr>
          <w:noProof/>
        </w:rPr>
        <w:t xml:space="preserve"> vērtību ieraksta šajā laukā, lai raksturotu nospie</w:t>
      </w:r>
      <w:r>
        <w:rPr>
          <w:noProof/>
        </w:rPr>
        <w:t>duma tipu.</w:t>
      </w:r>
    </w:p>
    <w:p w:rsidR="003E022D" w:rsidRDefault="007D19D6">
      <w:pPr>
        <w:spacing w:line="276" w:lineRule="auto"/>
        <w:rPr>
          <w:noProof/>
        </w:rPr>
      </w:pPr>
      <w:r>
        <w:rPr>
          <w:noProof/>
        </w:rPr>
        <w:t>6.2.4.</w:t>
      </w:r>
      <w:r>
        <w:rPr>
          <w:noProof/>
        </w:rPr>
        <w:tab/>
      </w:r>
      <w:r>
        <w:rPr>
          <w:i/>
          <w:iCs/>
          <w:noProof/>
        </w:rPr>
        <w:t>9.004. lauks – papilārlīniju detaļu forma (Minutiæ format – FMT)</w:t>
      </w:r>
    </w:p>
    <w:p w:rsidR="003E022D" w:rsidRDefault="007D19D6">
      <w:pPr>
        <w:rPr>
          <w:noProof/>
        </w:rPr>
      </w:pPr>
      <w:r>
        <w:rPr>
          <w:noProof/>
        </w:rPr>
        <w:t xml:space="preserve">Šajā laukā ir "U", kas norāda, ka papilārlīniju detaļas ir formatētas saskaņā ar </w:t>
      </w:r>
      <w:r>
        <w:rPr>
          <w:i/>
          <w:noProof/>
        </w:rPr>
        <w:t>M1-378</w:t>
      </w:r>
      <w:r>
        <w:rPr>
          <w:noProof/>
        </w:rPr>
        <w:t xml:space="preserve">. Kaut arī informācija var būt kodēta saskaņā ar standartu </w:t>
      </w:r>
      <w:r>
        <w:rPr>
          <w:i/>
          <w:noProof/>
        </w:rPr>
        <w:t>M1-378</w:t>
      </w:r>
      <w:r>
        <w:rPr>
          <w:noProof/>
        </w:rPr>
        <w:t>, visiem 9. tipa iera</w:t>
      </w:r>
      <w:r>
        <w:rPr>
          <w:noProof/>
        </w:rPr>
        <w:t xml:space="preserve">ksta datu laukiem ir jāpaliek </w:t>
      </w:r>
      <w:r>
        <w:rPr>
          <w:i/>
          <w:noProof/>
        </w:rPr>
        <w:t>ASCII</w:t>
      </w:r>
      <w:r>
        <w:rPr>
          <w:noProof/>
        </w:rPr>
        <w:t xml:space="preserve"> teksta laukiem.</w:t>
      </w:r>
    </w:p>
    <w:p w:rsidR="003E022D" w:rsidRDefault="007D19D6">
      <w:pPr>
        <w:spacing w:line="276" w:lineRule="auto"/>
        <w:rPr>
          <w:noProof/>
        </w:rPr>
      </w:pPr>
      <w:r>
        <w:rPr>
          <w:noProof/>
        </w:rPr>
        <w:t>6.2.5.</w:t>
      </w:r>
      <w:r>
        <w:rPr>
          <w:noProof/>
        </w:rPr>
        <w:tab/>
      </w:r>
      <w:r>
        <w:rPr>
          <w:i/>
          <w:iCs/>
          <w:noProof/>
        </w:rPr>
        <w:t>9.126. lauks – CBEFF informācija</w:t>
      </w:r>
    </w:p>
    <w:p w:rsidR="003E022D" w:rsidRDefault="007D19D6">
      <w:pPr>
        <w:rPr>
          <w:noProof/>
        </w:rPr>
      </w:pPr>
      <w:r>
        <w:rPr>
          <w:noProof/>
        </w:rPr>
        <w:t xml:space="preserve">Šajā laukā ir trīs informācijas elementi. Pirmajā informācijas elementā ir vērtība "27" (0x1B). Tā identificē </w:t>
      </w:r>
      <w:r>
        <w:rPr>
          <w:i/>
          <w:noProof/>
        </w:rPr>
        <w:t>CBEFF</w:t>
      </w:r>
      <w:r>
        <w:rPr>
          <w:noProof/>
        </w:rPr>
        <w:t xml:space="preserve"> formu (</w:t>
      </w:r>
      <w:r>
        <w:rPr>
          <w:i/>
          <w:noProof/>
        </w:rPr>
        <w:t>CBEFF Format Owner</w:t>
      </w:r>
      <w:r>
        <w:rPr>
          <w:noProof/>
        </w:rPr>
        <w:t xml:space="preserve">), ko Starptautiskā </w:t>
      </w:r>
      <w:r>
        <w:rPr>
          <w:noProof/>
        </w:rPr>
        <w:t>Biometrijas nozares apvienība (</w:t>
      </w:r>
      <w:r>
        <w:rPr>
          <w:i/>
          <w:noProof/>
        </w:rPr>
        <w:t>International Biometric Industry Association</w:t>
      </w:r>
      <w:r>
        <w:rPr>
          <w:noProof/>
        </w:rPr>
        <w:t xml:space="preserve"> – </w:t>
      </w:r>
      <w:r>
        <w:rPr>
          <w:i/>
          <w:noProof/>
        </w:rPr>
        <w:t>IBIA</w:t>
      </w:r>
      <w:r>
        <w:rPr>
          <w:noProof/>
        </w:rPr>
        <w:t xml:space="preserve">) piešķīrusi </w:t>
      </w:r>
      <w:r>
        <w:rPr>
          <w:i/>
          <w:noProof/>
        </w:rPr>
        <w:t>INCITS</w:t>
      </w:r>
      <w:r>
        <w:rPr>
          <w:noProof/>
        </w:rPr>
        <w:t xml:space="preserve"> tehniskai komitejai </w:t>
      </w:r>
      <w:r>
        <w:rPr>
          <w:i/>
          <w:noProof/>
        </w:rPr>
        <w:t>M1</w:t>
      </w:r>
      <w:r>
        <w:rPr>
          <w:noProof/>
        </w:rPr>
        <w:t xml:space="preserve"> (</w:t>
      </w:r>
      <w:r>
        <w:rPr>
          <w:i/>
          <w:noProof/>
        </w:rPr>
        <w:t>INCITS Technical Committee M1</w:t>
      </w:r>
      <w:r>
        <w:rPr>
          <w:noProof/>
        </w:rPr>
        <w:t xml:space="preserve">). Zīme &lt;US&gt; norobežo šo elementu no </w:t>
      </w:r>
      <w:r>
        <w:rPr>
          <w:i/>
          <w:noProof/>
        </w:rPr>
        <w:t>CBEFF</w:t>
      </w:r>
      <w:r>
        <w:rPr>
          <w:noProof/>
        </w:rPr>
        <w:t xml:space="preserve"> formas tipa (</w:t>
      </w:r>
      <w:r>
        <w:rPr>
          <w:i/>
          <w:noProof/>
        </w:rPr>
        <w:t>CBEFF Format Type</w:t>
      </w:r>
      <w:r>
        <w:rPr>
          <w:noProof/>
        </w:rPr>
        <w:t xml:space="preserve">), kam ir piešķirta vērtība </w:t>
      </w:r>
      <w:r>
        <w:rPr>
          <w:noProof/>
        </w:rPr>
        <w:t>"513" (0x0201), lai norādītu, ka šajā ierakstā ir tikai atrašanās vietas un virziena leņķa dati bez kādas paplašinātas datu bloku informācijas (</w:t>
      </w:r>
      <w:r>
        <w:rPr>
          <w:i/>
          <w:noProof/>
        </w:rPr>
        <w:t>Extended Data Block information</w:t>
      </w:r>
      <w:r>
        <w:rPr>
          <w:noProof/>
        </w:rPr>
        <w:t>). Zīme </w:t>
      </w:r>
      <w:r>
        <w:rPr>
          <w:i/>
          <w:noProof/>
        </w:rPr>
        <w:t>&lt;US&gt;</w:t>
      </w:r>
      <w:r>
        <w:rPr>
          <w:noProof/>
        </w:rPr>
        <w:t xml:space="preserve"> norobežo šo elementu no </w:t>
      </w:r>
      <w:r>
        <w:rPr>
          <w:i/>
          <w:noProof/>
        </w:rPr>
        <w:t>CBEFF</w:t>
      </w:r>
      <w:r>
        <w:rPr>
          <w:noProof/>
        </w:rPr>
        <w:t xml:space="preserve"> ražojuma identifikatora (</w:t>
      </w:r>
      <w:r>
        <w:rPr>
          <w:i/>
          <w:noProof/>
        </w:rPr>
        <w:t>Product Ident</w:t>
      </w:r>
      <w:r>
        <w:rPr>
          <w:i/>
          <w:noProof/>
        </w:rPr>
        <w:t>ifier</w:t>
      </w:r>
      <w:r>
        <w:rPr>
          <w:noProof/>
        </w:rPr>
        <w:t xml:space="preserve"> – </w:t>
      </w:r>
      <w:r>
        <w:rPr>
          <w:i/>
          <w:noProof/>
        </w:rPr>
        <w:t>PID</w:t>
      </w:r>
      <w:r>
        <w:rPr>
          <w:noProof/>
        </w:rPr>
        <w:t xml:space="preserve">), kas identificē kodēšanas iekārtas nosacīto īpašnieku. Šo vērtību nosaka iekārtas pārdevējs. To var saņemt </w:t>
      </w:r>
      <w:r>
        <w:rPr>
          <w:i/>
          <w:noProof/>
        </w:rPr>
        <w:t>IBIA</w:t>
      </w:r>
      <w:r>
        <w:rPr>
          <w:noProof/>
        </w:rPr>
        <w:t xml:space="preserve"> tīkla lapā (www.ibia.org), ja tā ir paredzēts.</w:t>
      </w:r>
    </w:p>
    <w:p w:rsidR="003E022D" w:rsidRDefault="007D19D6">
      <w:pPr>
        <w:spacing w:line="276" w:lineRule="auto"/>
        <w:rPr>
          <w:noProof/>
        </w:rPr>
      </w:pPr>
      <w:r>
        <w:rPr>
          <w:noProof/>
        </w:rPr>
        <w:t>6.2.6.</w:t>
      </w:r>
      <w:r>
        <w:rPr>
          <w:noProof/>
        </w:rPr>
        <w:tab/>
      </w:r>
      <w:r>
        <w:rPr>
          <w:i/>
          <w:iCs/>
          <w:noProof/>
        </w:rPr>
        <w:t>9.127. lauks – fiksācijas iekārtu identifikācija</w:t>
      </w:r>
    </w:p>
    <w:p w:rsidR="003E022D" w:rsidRDefault="007D19D6">
      <w:pPr>
        <w:rPr>
          <w:noProof/>
        </w:rPr>
      </w:pPr>
      <w:r>
        <w:rPr>
          <w:noProof/>
        </w:rPr>
        <w:t xml:space="preserve">Šajā laukā ir divi </w:t>
      </w:r>
      <w:r>
        <w:rPr>
          <w:noProof/>
        </w:rPr>
        <w:t>informācijas elementi, ko nošķir </w:t>
      </w:r>
      <w:r>
        <w:rPr>
          <w:i/>
          <w:noProof/>
        </w:rPr>
        <w:t>&lt;US&gt;</w:t>
      </w:r>
      <w:r>
        <w:rPr>
          <w:noProof/>
        </w:rPr>
        <w:t> zīme. Pirmajā ir "</w:t>
      </w:r>
      <w:r>
        <w:rPr>
          <w:i/>
          <w:noProof/>
        </w:rPr>
        <w:t>APPF</w:t>
      </w:r>
      <w:r>
        <w:rPr>
          <w:noProof/>
        </w:rPr>
        <w:t xml:space="preserve">", ja attēla ieguvei lietotā iekārta ir sertificēta kā atbilstoša Federālā izmeklēšanas biroja elektroniskas pirkstu nospiedumu pārsūtīšanas parametru </w:t>
      </w:r>
      <w:r>
        <w:rPr>
          <w:i/>
          <w:noProof/>
        </w:rPr>
        <w:t>CJIS-RS-0010</w:t>
      </w:r>
      <w:r>
        <w:rPr>
          <w:noProof/>
        </w:rPr>
        <w:t xml:space="preserve"> (</w:t>
      </w:r>
      <w:r>
        <w:rPr>
          <w:i/>
          <w:noProof/>
        </w:rPr>
        <w:t>Federal Bureau of Investigation</w:t>
      </w:r>
      <w:r>
        <w:rPr>
          <w:i/>
          <w:noProof/>
        </w:rPr>
        <w:t>’s Electronic Fingerprint Transmission Specification</w:t>
      </w:r>
      <w:r>
        <w:rPr>
          <w:noProof/>
        </w:rPr>
        <w:t>) F papildinājumam (</w:t>
      </w:r>
      <w:r>
        <w:rPr>
          <w:i/>
          <w:noProof/>
        </w:rPr>
        <w:t>IAFIS Image Quality Specification</w:t>
      </w:r>
      <w:r>
        <w:rPr>
          <w:noProof/>
        </w:rPr>
        <w:t xml:space="preserve">, </w:t>
      </w:r>
      <w:r>
        <w:rPr>
          <w:i/>
          <w:noProof/>
        </w:rPr>
        <w:t>January 29</w:t>
      </w:r>
      <w:r>
        <w:rPr>
          <w:noProof/>
        </w:rPr>
        <w:t xml:space="preserve">, </w:t>
      </w:r>
      <w:r>
        <w:rPr>
          <w:i/>
          <w:noProof/>
        </w:rPr>
        <w:t>1999</w:t>
      </w:r>
      <w:r>
        <w:rPr>
          <w:noProof/>
        </w:rPr>
        <w:t>). Ja iekārta tam neatbilst, laukā būs vērtība "NONE". Otrā informācijas elementā ir fiksācijas iekārtas identifikācija (</w:t>
      </w:r>
      <w:r>
        <w:rPr>
          <w:i/>
          <w:noProof/>
        </w:rPr>
        <w:t>Capture Equi</w:t>
      </w:r>
      <w:r>
        <w:rPr>
          <w:i/>
          <w:noProof/>
        </w:rPr>
        <w:t>pment ID</w:t>
      </w:r>
      <w:r>
        <w:rPr>
          <w:noProof/>
        </w:rPr>
        <w:t>), fiksācijas iekārtas pārdevēja piešķirts ražojuma numurs. Vērtība "0" rāda, ka fiksācijas iekārtas identifikācija (</w:t>
      </w:r>
      <w:r>
        <w:rPr>
          <w:i/>
          <w:noProof/>
        </w:rPr>
        <w:t>ID</w:t>
      </w:r>
      <w:r>
        <w:rPr>
          <w:noProof/>
        </w:rPr>
        <w:t>) nav darīta zināma.</w:t>
      </w:r>
    </w:p>
    <w:p w:rsidR="003E022D" w:rsidRDefault="007D19D6">
      <w:pPr>
        <w:spacing w:line="276" w:lineRule="auto"/>
        <w:rPr>
          <w:noProof/>
        </w:rPr>
      </w:pPr>
      <w:r>
        <w:rPr>
          <w:noProof/>
        </w:rPr>
        <w:t>6.2.7.</w:t>
      </w:r>
      <w:r>
        <w:rPr>
          <w:noProof/>
        </w:rPr>
        <w:tab/>
      </w:r>
      <w:r>
        <w:rPr>
          <w:i/>
          <w:iCs/>
          <w:noProof/>
        </w:rPr>
        <w:t>9.128. lauks – horizontālo līniju garums (Horizontal line length – HLL)</w:t>
      </w:r>
    </w:p>
    <w:p w:rsidR="003E022D" w:rsidRDefault="007D19D6">
      <w:pPr>
        <w:rPr>
          <w:noProof/>
        </w:rPr>
      </w:pPr>
      <w:r>
        <w:rPr>
          <w:noProof/>
        </w:rPr>
        <w:t xml:space="preserve">Šajā obligātajā </w:t>
      </w:r>
      <w:r>
        <w:rPr>
          <w:i/>
          <w:noProof/>
        </w:rPr>
        <w:t>ASCII</w:t>
      </w:r>
      <w:r>
        <w:rPr>
          <w:noProof/>
        </w:rPr>
        <w:t xml:space="preserve"> laukā i</w:t>
      </w:r>
      <w:r>
        <w:rPr>
          <w:noProof/>
        </w:rPr>
        <w:t>r vienā horizontālā pārraidītā attēla līnijā esošo pikseļu skaits. Maksimālais pieļaujamais horizontālais lielums ir 65 534 pikseļi.</w:t>
      </w:r>
    </w:p>
    <w:p w:rsidR="003E022D" w:rsidRDefault="007D19D6">
      <w:pPr>
        <w:spacing w:line="276" w:lineRule="auto"/>
        <w:rPr>
          <w:noProof/>
        </w:rPr>
      </w:pPr>
      <w:r>
        <w:rPr>
          <w:noProof/>
        </w:rPr>
        <w:t>6.2.8.</w:t>
      </w:r>
      <w:r>
        <w:rPr>
          <w:noProof/>
        </w:rPr>
        <w:tab/>
      </w:r>
      <w:r>
        <w:rPr>
          <w:i/>
          <w:iCs/>
          <w:noProof/>
        </w:rPr>
        <w:t>9.129. lauks – vertikālo līniju garums (Vertical line length – VLL)</w:t>
      </w:r>
    </w:p>
    <w:p w:rsidR="003E022D" w:rsidRDefault="007D19D6">
      <w:pPr>
        <w:rPr>
          <w:noProof/>
        </w:rPr>
      </w:pPr>
      <w:r>
        <w:rPr>
          <w:noProof/>
        </w:rPr>
        <w:t xml:space="preserve">Šajā obligātajā </w:t>
      </w:r>
      <w:r>
        <w:rPr>
          <w:i/>
          <w:noProof/>
        </w:rPr>
        <w:t>ASCII</w:t>
      </w:r>
      <w:r>
        <w:rPr>
          <w:noProof/>
        </w:rPr>
        <w:t xml:space="preserve"> laukā ir pārraidītā attēla</w:t>
      </w:r>
      <w:r>
        <w:rPr>
          <w:noProof/>
        </w:rPr>
        <w:t xml:space="preserve"> horizontālo līniju skaits. Maksimālais pieļaujamais vertikālais lielums ir 65 534 pikseļi.</w:t>
      </w:r>
    </w:p>
    <w:p w:rsidR="003E022D" w:rsidRDefault="007D19D6">
      <w:pPr>
        <w:spacing w:line="276" w:lineRule="auto"/>
        <w:rPr>
          <w:noProof/>
        </w:rPr>
      </w:pPr>
      <w:r>
        <w:rPr>
          <w:noProof/>
        </w:rPr>
        <w:t>6.2.9.</w:t>
      </w:r>
      <w:r>
        <w:rPr>
          <w:noProof/>
        </w:rPr>
        <w:tab/>
      </w:r>
      <w:r>
        <w:rPr>
          <w:i/>
          <w:iCs/>
          <w:noProof/>
        </w:rPr>
        <w:t>9.130. lauks – mērogi (Scale units – SLC)</w:t>
      </w:r>
    </w:p>
    <w:p w:rsidR="003E022D" w:rsidRDefault="007D19D6">
      <w:pPr>
        <w:rPr>
          <w:noProof/>
        </w:rPr>
      </w:pPr>
      <w:r>
        <w:rPr>
          <w:noProof/>
        </w:rPr>
        <w:t xml:space="preserve">Šajā obligātajā </w:t>
      </w:r>
      <w:r>
        <w:rPr>
          <w:i/>
          <w:noProof/>
        </w:rPr>
        <w:t>ASCII</w:t>
      </w:r>
      <w:r>
        <w:rPr>
          <w:noProof/>
        </w:rPr>
        <w:t xml:space="preserve"> laukā ir norādītas vienības, ko izmanto, lai aprakstītu attēla nolasīšanas frekvenci (pikseļu</w:t>
      </w:r>
      <w:r>
        <w:rPr>
          <w:noProof/>
        </w:rPr>
        <w:t xml:space="preserve"> blīvumu). Cipars "1" šajā laukā rāda pikseļus collā, savukārt "2" rāda pikseļus centimetrā. Cipars "0" šajā laukā nozīmē, ka mērogs nav uzrādīts. Tādos gadījumos </w:t>
      </w:r>
      <w:r>
        <w:rPr>
          <w:i/>
          <w:noProof/>
        </w:rPr>
        <w:t>HPS/VPS</w:t>
      </w:r>
      <w:r>
        <w:rPr>
          <w:noProof/>
        </w:rPr>
        <w:t xml:space="preserve"> dalījums dod pikseļu attiecības koeficientu.</w:t>
      </w:r>
    </w:p>
    <w:p w:rsidR="003E022D" w:rsidRDefault="007D19D6">
      <w:pPr>
        <w:spacing w:line="276" w:lineRule="auto"/>
        <w:rPr>
          <w:noProof/>
        </w:rPr>
      </w:pPr>
      <w:r>
        <w:rPr>
          <w:noProof/>
        </w:rPr>
        <w:t>6.2.10.</w:t>
      </w:r>
      <w:r>
        <w:rPr>
          <w:noProof/>
        </w:rPr>
        <w:tab/>
      </w:r>
      <w:r>
        <w:rPr>
          <w:i/>
          <w:iCs/>
          <w:noProof/>
        </w:rPr>
        <w:t>9.131. lauks – horizontālais pik</w:t>
      </w:r>
      <w:r>
        <w:rPr>
          <w:i/>
          <w:iCs/>
          <w:noProof/>
        </w:rPr>
        <w:t>seļu mērogs (Horizontal pixel scale – HPS)</w:t>
      </w:r>
    </w:p>
    <w:p w:rsidR="003E022D" w:rsidRDefault="007D19D6">
      <w:pPr>
        <w:rPr>
          <w:noProof/>
        </w:rPr>
      </w:pPr>
      <w:r>
        <w:rPr>
          <w:noProof/>
        </w:rPr>
        <w:t xml:space="preserve">Šajā obligātajā </w:t>
      </w:r>
      <w:r>
        <w:rPr>
          <w:i/>
          <w:noProof/>
        </w:rPr>
        <w:t>ASCII</w:t>
      </w:r>
      <w:r>
        <w:rPr>
          <w:noProof/>
        </w:rPr>
        <w:t xml:space="preserve"> laukā konkrēti norāda horizontālā virzienā izmantoto pikseļu blīvumu veselos skaitļos, ja </w:t>
      </w:r>
      <w:r>
        <w:rPr>
          <w:i/>
          <w:noProof/>
        </w:rPr>
        <w:t>SLC</w:t>
      </w:r>
      <w:r>
        <w:rPr>
          <w:noProof/>
        </w:rPr>
        <w:t xml:space="preserve"> ir ar "1" vai "2". Ja tā nav, tas rāda pikseļu attiecības koeficienta horizontālo komponentu.</w:t>
      </w:r>
    </w:p>
    <w:p w:rsidR="003E022D" w:rsidRDefault="007D19D6">
      <w:pPr>
        <w:spacing w:line="276" w:lineRule="auto"/>
        <w:rPr>
          <w:noProof/>
        </w:rPr>
      </w:pPr>
      <w:r>
        <w:rPr>
          <w:noProof/>
        </w:rPr>
        <w:t>6.2</w:t>
      </w:r>
      <w:r>
        <w:rPr>
          <w:noProof/>
        </w:rPr>
        <w:t>.11.</w:t>
      </w:r>
      <w:r>
        <w:rPr>
          <w:noProof/>
        </w:rPr>
        <w:tab/>
      </w:r>
      <w:r>
        <w:rPr>
          <w:i/>
          <w:iCs/>
          <w:noProof/>
        </w:rPr>
        <w:t>9.132. lauks – vertikālais pikseļu mērogs (Vertical pixel scale – VPS)</w:t>
      </w:r>
    </w:p>
    <w:p w:rsidR="003E022D" w:rsidRDefault="007D19D6">
      <w:pPr>
        <w:rPr>
          <w:noProof/>
        </w:rPr>
      </w:pPr>
      <w:r>
        <w:rPr>
          <w:noProof/>
        </w:rPr>
        <w:t xml:space="preserve">Šajā obligātajā </w:t>
      </w:r>
      <w:r>
        <w:rPr>
          <w:i/>
          <w:noProof/>
        </w:rPr>
        <w:t>ASCII</w:t>
      </w:r>
      <w:r>
        <w:rPr>
          <w:noProof/>
        </w:rPr>
        <w:t xml:space="preserve"> laukā konkrēti norāda vertikālā virzienā izmantoto pikseļu blīvumu veselos skaitļos, ja </w:t>
      </w:r>
      <w:r>
        <w:rPr>
          <w:i/>
          <w:noProof/>
        </w:rPr>
        <w:t>SLC</w:t>
      </w:r>
      <w:r>
        <w:rPr>
          <w:noProof/>
        </w:rPr>
        <w:t xml:space="preserve"> ir ar "1" vai "2". Ja tā nav, tas rāda pikseļu attiecības koeficienta vertikālo komponentu.</w:t>
      </w:r>
    </w:p>
    <w:p w:rsidR="003E022D" w:rsidRDefault="007D19D6">
      <w:pPr>
        <w:spacing w:line="276" w:lineRule="auto"/>
        <w:rPr>
          <w:noProof/>
        </w:rPr>
      </w:pPr>
      <w:r>
        <w:rPr>
          <w:noProof/>
        </w:rPr>
        <w:t>6.2.12.</w:t>
      </w:r>
      <w:r>
        <w:rPr>
          <w:noProof/>
        </w:rPr>
        <w:tab/>
      </w:r>
      <w:r>
        <w:rPr>
          <w:i/>
          <w:iCs/>
          <w:noProof/>
        </w:rPr>
        <w:t>9.133. lauks – pirksta attēls</w:t>
      </w:r>
    </w:p>
    <w:p w:rsidR="003E022D" w:rsidRDefault="007D19D6">
      <w:pPr>
        <w:rPr>
          <w:noProof/>
        </w:rPr>
      </w:pPr>
      <w:r>
        <w:rPr>
          <w:noProof/>
        </w:rPr>
        <w:t xml:space="preserve">Šajā obligātajā laukā ir ar ieraksta datiem saistītā pirksta attēla kārtas skaitlis. Attēlu kārtas skaitlis sākas ar "0", un </w:t>
      </w:r>
      <w:r>
        <w:rPr>
          <w:noProof/>
        </w:rPr>
        <w:t>mainās pa vienam līdz "15".</w:t>
      </w:r>
    </w:p>
    <w:p w:rsidR="003E022D" w:rsidRDefault="007D19D6">
      <w:pPr>
        <w:spacing w:line="276" w:lineRule="auto"/>
        <w:rPr>
          <w:noProof/>
        </w:rPr>
      </w:pPr>
      <w:r>
        <w:rPr>
          <w:noProof/>
        </w:rPr>
        <w:t>6.2.13.</w:t>
      </w:r>
      <w:r>
        <w:rPr>
          <w:noProof/>
        </w:rPr>
        <w:tab/>
      </w:r>
      <w:r>
        <w:rPr>
          <w:i/>
          <w:iCs/>
          <w:noProof/>
        </w:rPr>
        <w:t>9.134. lauks – pirksta novietojums (Finger position – FGP)</w:t>
      </w:r>
    </w:p>
    <w:p w:rsidR="003E022D" w:rsidRDefault="007D19D6">
      <w:pPr>
        <w:rPr>
          <w:noProof/>
        </w:rPr>
      </w:pPr>
      <w:r>
        <w:rPr>
          <w:noProof/>
        </w:rPr>
        <w:t>Šajā laukā ir kods, kas apzīmē pirksta novietojumu, kādā ir iegūta šā 9. tipa ieraksta informācija. Kodu no 1 līdz 10, ņemtu no 5. tabulas vai attiecīgi 10. plau</w:t>
      </w:r>
      <w:r>
        <w:rPr>
          <w:noProof/>
        </w:rPr>
        <w:t>kstu koda tabulas, izmanto, lai norādītu pirksta vai plaukstas novietojumu.</w:t>
      </w:r>
    </w:p>
    <w:p w:rsidR="003E022D" w:rsidRDefault="007D19D6">
      <w:pPr>
        <w:spacing w:line="276" w:lineRule="auto"/>
        <w:rPr>
          <w:noProof/>
        </w:rPr>
      </w:pPr>
      <w:r>
        <w:rPr>
          <w:noProof/>
        </w:rPr>
        <w:t>6.2.14.</w:t>
      </w:r>
      <w:r>
        <w:rPr>
          <w:noProof/>
        </w:rPr>
        <w:tab/>
      </w:r>
      <w:r>
        <w:rPr>
          <w:i/>
          <w:iCs/>
          <w:noProof/>
        </w:rPr>
        <w:t>9.135. lauks – pirksta kvalitāte</w:t>
      </w:r>
    </w:p>
    <w:p w:rsidR="003E022D" w:rsidRDefault="007D19D6">
      <w:pPr>
        <w:rPr>
          <w:noProof/>
        </w:rPr>
      </w:pPr>
      <w:r>
        <w:rPr>
          <w:noProof/>
        </w:rPr>
        <w:t>Laukā ir visu pirksta papilārlīniju detaļu datu kvalitāte, un to raksturo skaitlis no 0 līdz 100. Šis skaitlis kopumā raksturo pirksta attē</w:t>
      </w:r>
      <w:r>
        <w:rPr>
          <w:noProof/>
        </w:rPr>
        <w:t>la ieraksta kvalitāti, kā arī rāda iegūtā attēla kvalitāti, iespēju nošķirt papilārlīniju detaļas un veikt visas papildu darbības, kas var iespaidot papilārlīniju detaļu ierakstus.</w:t>
      </w:r>
    </w:p>
    <w:p w:rsidR="003E022D" w:rsidRDefault="007D19D6">
      <w:pPr>
        <w:spacing w:line="276" w:lineRule="auto"/>
        <w:rPr>
          <w:noProof/>
        </w:rPr>
      </w:pPr>
      <w:r>
        <w:rPr>
          <w:noProof/>
        </w:rPr>
        <w:t>6.2.15.</w:t>
      </w:r>
      <w:r>
        <w:rPr>
          <w:noProof/>
        </w:rPr>
        <w:tab/>
      </w:r>
      <w:r>
        <w:rPr>
          <w:i/>
          <w:iCs/>
          <w:noProof/>
        </w:rPr>
        <w:t>9.136. lauks – papilārlīniju detaļu skaits</w:t>
      </w:r>
    </w:p>
    <w:p w:rsidR="003E022D" w:rsidRDefault="007D19D6">
      <w:pPr>
        <w:rPr>
          <w:noProof/>
        </w:rPr>
      </w:pPr>
      <w:r>
        <w:rPr>
          <w:noProof/>
        </w:rPr>
        <w:t>Šajā obligātajā laukā ir</w:t>
      </w:r>
      <w:r>
        <w:rPr>
          <w:noProof/>
        </w:rPr>
        <w:t xml:space="preserve"> attiecīgajā loģiskajā ierakstā fiksēts papilārlīniju detaļu skaits.</w:t>
      </w:r>
    </w:p>
    <w:p w:rsidR="003E022D" w:rsidRDefault="007D19D6">
      <w:pPr>
        <w:spacing w:line="276" w:lineRule="auto"/>
        <w:rPr>
          <w:noProof/>
        </w:rPr>
      </w:pPr>
      <w:r>
        <w:rPr>
          <w:noProof/>
        </w:rPr>
        <w:t>6.2.16.</w:t>
      </w:r>
      <w:r>
        <w:rPr>
          <w:noProof/>
        </w:rPr>
        <w:tab/>
      </w:r>
      <w:r>
        <w:rPr>
          <w:i/>
          <w:iCs/>
          <w:noProof/>
        </w:rPr>
        <w:t>9.137. lauks – pirkstu papilārlīniju detaļu dati</w:t>
      </w:r>
    </w:p>
    <w:p w:rsidR="003E022D" w:rsidRDefault="007D19D6">
      <w:pPr>
        <w:rPr>
          <w:noProof/>
        </w:rPr>
      </w:pPr>
      <w:r>
        <w:rPr>
          <w:noProof/>
        </w:rPr>
        <w:t>Šajā obligātajā laukā ir seši informācijas elementi, nošķirti ar </w:t>
      </w:r>
      <w:r>
        <w:rPr>
          <w:i/>
          <w:noProof/>
        </w:rPr>
        <w:t>&lt;US&gt;</w:t>
      </w:r>
      <w:r>
        <w:rPr>
          <w:noProof/>
        </w:rPr>
        <w:t> zīmi. Tajā ir vairāki pakārtoti lauki, un katrā no tiem ir k</w:t>
      </w:r>
      <w:r>
        <w:rPr>
          <w:noProof/>
        </w:rPr>
        <w:t>ādas papilārlīnijas sīkākas detaļas. Papilārlīniju detaļu pakārtoto lauku kopskaitam jāsaskan ar 136. laukā doto skaitu. Pirmais informācijas elements ir papilārlīniju detaļu kārtas numurs, ko raksta kā pirmo "1" un palielina par "1" katrai papildu papilār</w:t>
      </w:r>
      <w:r>
        <w:rPr>
          <w:noProof/>
        </w:rPr>
        <w:t>līniju detaļai pirksta nospiedumā. Otrais un trešais informācijas elements ir papilārlīniju detaļu "x" un "y" koordinātas pikseļu vienībās. Ceturtais informācijas elements ir papilārlīniju detaļu leņķis, fiksēts divu grādu vienībās. Tā vērtība ir nenegatīv</w:t>
      </w:r>
      <w:r>
        <w:rPr>
          <w:noProof/>
        </w:rPr>
        <w:t>a, no 0 līdz 179. Piektais informācijas elements ir papilārlīniju detaļu tips. Vērtību "0" lieto, lai raksturotu "OTHER" tipa papilārlīniju detaļas, vērtību "1" papilārlīniju galiem un vērtību "2" – papilārlīniju bifurkācijām. Sestais informācijas elements</w:t>
      </w:r>
      <w:r>
        <w:rPr>
          <w:noProof/>
        </w:rPr>
        <w:t xml:space="preserve"> raksturo katras papilārlīniju detaļas kvalitāti. Tā vērtība sākas no 1 – sliktākās – līdz 100 – labākajai. Vērtība "0" rāda, ka kvalitātes vērtība nav zināma. Katru pakārtoto lauku nošķir no nākamā ar </w:t>
      </w:r>
      <w:r>
        <w:rPr>
          <w:i/>
          <w:noProof/>
        </w:rPr>
        <w:t>&lt;RS&gt;</w:t>
      </w:r>
      <w:r>
        <w:rPr>
          <w:noProof/>
        </w:rPr>
        <w:t> nošķīrējzīmi.</w:t>
      </w:r>
    </w:p>
    <w:p w:rsidR="003E022D" w:rsidRDefault="007D19D6">
      <w:pPr>
        <w:spacing w:line="276" w:lineRule="auto"/>
        <w:rPr>
          <w:noProof/>
        </w:rPr>
      </w:pPr>
      <w:r>
        <w:rPr>
          <w:noProof/>
        </w:rPr>
        <w:t>6.2.17.</w:t>
      </w:r>
      <w:r>
        <w:rPr>
          <w:noProof/>
        </w:rPr>
        <w:tab/>
      </w:r>
      <w:r>
        <w:rPr>
          <w:i/>
          <w:iCs/>
          <w:noProof/>
        </w:rPr>
        <w:t>9.138. lauks – papilārlīnij</w:t>
      </w:r>
      <w:r>
        <w:rPr>
          <w:i/>
          <w:iCs/>
          <w:noProof/>
        </w:rPr>
        <w:t>u skaita informācija</w:t>
      </w:r>
    </w:p>
    <w:p w:rsidR="003E022D" w:rsidRDefault="007D19D6">
      <w:pPr>
        <w:rPr>
          <w:noProof/>
        </w:rPr>
      </w:pPr>
      <w:r>
        <w:rPr>
          <w:noProof/>
        </w:rPr>
        <w:t xml:space="preserve">Šajā laukā ir vairāki pakārtoti lauki, no kuriem katrā ir trīs informācijas elementi. Pirmā pakārtotā lauka pirmais informācijas elements rāda papilārlīniju skaitīšanas metodi. "0" rāda, ka par papilārlīniju skaitīšanas metodi vai par </w:t>
      </w:r>
      <w:r>
        <w:rPr>
          <w:noProof/>
        </w:rPr>
        <w:t>to kārtību ierakstā neizdara nekādus pieņēmumus. “1” rāda, ka dati par visām centra papilārlīniju detaļām, papilārlīniju skaitu ir iegūti līdz tuvākajai blakus esošajai papilārlīniju detaļai četros kvadrantos un visu centra papilārlīniju detaļu papilārlīni</w:t>
      </w:r>
      <w:r>
        <w:rPr>
          <w:noProof/>
        </w:rPr>
        <w:t>ju skaits ir apkopots. “2” rāda, ka visām centra papilārlīniju detaļām papilārlīniju skaita dati ir iegūti līdz tuvākajai blakus esošajai papilārlīniju detaļai astoņos oktantos un visu centra papilārlīniju detaļu papilārlīniju skaits ir apkopots. Atlikušaj</w:t>
      </w:r>
      <w:r>
        <w:rPr>
          <w:noProof/>
        </w:rPr>
        <w:t>os divos pirmā pakārtotā lauka informācijas elementos ir "0". Informācijas elementus nošķir ar </w:t>
      </w:r>
      <w:r>
        <w:rPr>
          <w:i/>
          <w:noProof/>
        </w:rPr>
        <w:t>&lt;US&gt;</w:t>
      </w:r>
      <w:r>
        <w:rPr>
          <w:noProof/>
        </w:rPr>
        <w:t> nošķīrējzīmi. Pārējos pakārtotos laukos tāpat kā pirmajā informācijas elementā būs centra papilārlīniju detaļu kārtas numurs, blakus esošo papilārlīniju det</w:t>
      </w:r>
      <w:r>
        <w:rPr>
          <w:noProof/>
        </w:rPr>
        <w:t>aļu kārtas numurs kā otrs informācijas elements un šķērsotu papilārlīniju skaits kā trešais informācijas elements. Pakārtotos laukus nošķir ar </w:t>
      </w:r>
      <w:r>
        <w:rPr>
          <w:i/>
          <w:noProof/>
        </w:rPr>
        <w:t>&lt;RS&gt;</w:t>
      </w:r>
      <w:r>
        <w:rPr>
          <w:noProof/>
        </w:rPr>
        <w:t> nošķīrējzīmi.</w:t>
      </w:r>
    </w:p>
    <w:p w:rsidR="003E022D" w:rsidRDefault="007D19D6">
      <w:pPr>
        <w:spacing w:line="276" w:lineRule="auto"/>
        <w:rPr>
          <w:noProof/>
        </w:rPr>
      </w:pPr>
      <w:r>
        <w:rPr>
          <w:noProof/>
        </w:rPr>
        <w:t>6.2.18.</w:t>
      </w:r>
      <w:r>
        <w:rPr>
          <w:noProof/>
        </w:rPr>
        <w:tab/>
      </w:r>
      <w:r>
        <w:rPr>
          <w:i/>
          <w:iCs/>
          <w:noProof/>
        </w:rPr>
        <w:t>9.139. lauks – informācija par centriem</w:t>
      </w:r>
    </w:p>
    <w:p w:rsidR="003E022D" w:rsidRDefault="007D19D6">
      <w:pPr>
        <w:rPr>
          <w:noProof/>
        </w:rPr>
      </w:pPr>
      <w:r>
        <w:rPr>
          <w:noProof/>
        </w:rPr>
        <w:t>Šajā laukā būs viens pakārtots lauks katram at</w:t>
      </w:r>
      <w:r>
        <w:rPr>
          <w:noProof/>
        </w:rPr>
        <w:t>tēlā redzamajam centram. Katrā pakārtotajā laukā ir trīs informācijas elementi. Pirmie divi elementi ir "x" un "y" koordinātas pikseļu vienībās. Trešajā informācijas elementā ir centra leņķis, fiksēts 2 grādu vienībās. Tā vērtība ir nenegatīva, no 0 līdz 1</w:t>
      </w:r>
      <w:r>
        <w:rPr>
          <w:noProof/>
        </w:rPr>
        <w:t>79. Vairākus centrus nošķir ar </w:t>
      </w:r>
      <w:r>
        <w:rPr>
          <w:i/>
          <w:noProof/>
        </w:rPr>
        <w:t>&lt;RS&gt;</w:t>
      </w:r>
      <w:r>
        <w:rPr>
          <w:noProof/>
        </w:rPr>
        <w:t> nošķīrējzīmi.</w:t>
      </w:r>
    </w:p>
    <w:p w:rsidR="003E022D" w:rsidRDefault="007D19D6">
      <w:pPr>
        <w:spacing w:line="276" w:lineRule="auto"/>
        <w:rPr>
          <w:noProof/>
        </w:rPr>
      </w:pPr>
      <w:r>
        <w:rPr>
          <w:noProof/>
        </w:rPr>
        <w:t>6.2.19.</w:t>
      </w:r>
      <w:r>
        <w:rPr>
          <w:noProof/>
        </w:rPr>
        <w:tab/>
      </w:r>
      <w:r>
        <w:rPr>
          <w:i/>
          <w:iCs/>
          <w:noProof/>
        </w:rPr>
        <w:t>9.140. lauks – informācija par deltām</w:t>
      </w:r>
    </w:p>
    <w:p w:rsidR="003E022D" w:rsidRDefault="007D19D6">
      <w:pPr>
        <w:rPr>
          <w:noProof/>
        </w:rPr>
      </w:pPr>
      <w:r>
        <w:rPr>
          <w:noProof/>
        </w:rPr>
        <w:t>Šajā laukā ir viens pakārtots lauks katrai attēlā redzamajai deltai. Katrā pakārtotajā laukā ir trīs informācijas elementi. Pirmie divi elementi ir "x" un "y" k</w:t>
      </w:r>
      <w:r>
        <w:rPr>
          <w:noProof/>
        </w:rPr>
        <w:t>oordinātas pikseļu vienībās. Trešajā informācijas elementā ir deltas leņķis, fiksēts 2 grādu vienībās. Tā vērtība ir nenegatīva, no 0 līdz 179. Vairākus centrus nošķir ar </w:t>
      </w:r>
      <w:r>
        <w:rPr>
          <w:i/>
          <w:noProof/>
        </w:rPr>
        <w:t>&lt;RS&gt;</w:t>
      </w:r>
      <w:r>
        <w:rPr>
          <w:noProof/>
        </w:rPr>
        <w:t> nošķīrējzīmi.</w:t>
      </w:r>
    </w:p>
    <w:p w:rsidR="003E022D" w:rsidRDefault="007D19D6">
      <w:pPr>
        <w:spacing w:line="276" w:lineRule="auto"/>
        <w:rPr>
          <w:noProof/>
        </w:rPr>
      </w:pPr>
      <w:r>
        <w:rPr>
          <w:noProof/>
        </w:rPr>
        <w:t>7.</w:t>
      </w:r>
      <w:r>
        <w:rPr>
          <w:noProof/>
        </w:rPr>
        <w:tab/>
        <w:t>13. tips – latentu attēlu ieraksti ar maināmu izšķirtspēju</w:t>
      </w:r>
    </w:p>
    <w:p w:rsidR="003E022D" w:rsidRDefault="007D19D6">
      <w:pPr>
        <w:rPr>
          <w:noProof/>
        </w:rPr>
      </w:pPr>
      <w:r>
        <w:rPr>
          <w:noProof/>
        </w:rPr>
        <w:t>13. tipa marķētu lauku loģiskos ierakstos ir no latentiem attēliem iegūti dati. Minētie attēli ir domāti pārraidīšanai aģentūrām, kas automatizēti iegūs vai ar cilvēku iejaukšanos un apstrādi iegūs vajadzīgo elementu informāciju no attēliem.</w:t>
      </w:r>
    </w:p>
    <w:p w:rsidR="003E022D" w:rsidRDefault="007D19D6">
      <w:pPr>
        <w:rPr>
          <w:noProof/>
        </w:rPr>
      </w:pPr>
      <w:r>
        <w:rPr>
          <w:noProof/>
        </w:rPr>
        <w:t>Informācija pa</w:t>
      </w:r>
      <w:r>
        <w:rPr>
          <w:noProof/>
        </w:rPr>
        <w:t>r izmantoto skenējuma izšķirtspēju, attēla lielumu un citiem parametriem, kas vajadzīgi, lai apstrādātu attēlu, ierakstā ir fiksēta kā marķēti lauki.</w:t>
      </w:r>
    </w:p>
    <w:p w:rsidR="003E022D" w:rsidRDefault="003E022D">
      <w:pPr>
        <w:rPr>
          <w:noProof/>
        </w:rPr>
      </w:pP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3E022D">
        <w:tc>
          <w:tcPr>
            <w:tcW w:w="9286" w:type="dxa"/>
            <w:gridSpan w:val="10"/>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 tabula. 13. tipa latenti attēli ar maināmu izšķirtspēju – ierakstu izkārtojums</w:t>
            </w:r>
          </w:p>
        </w:tc>
      </w:tr>
      <w:tr w:rsidR="003E022D">
        <w:tc>
          <w:tcPr>
            <w:tcW w:w="929"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w:t>
            </w:r>
            <w:r>
              <w:rPr>
                <w:noProof/>
              </w:rPr>
              <w:t xml:space="preserve"> Number</w:t>
            </w:r>
          </w:p>
        </w:tc>
        <w:tc>
          <w:tcPr>
            <w:tcW w:w="928"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Max byte count</w:t>
            </w:r>
          </w:p>
        </w:tc>
      </w:tr>
      <w:tr w:rsidR="003E022D">
        <w:tc>
          <w:tcPr>
            <w:tcW w:w="929"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13.001</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13.002</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13.003</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13.004</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LCD</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13.005</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CAPTURE DATE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16</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13.006</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13.007</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13.008</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13.009</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HORIZONTAL </w:t>
            </w:r>
            <w:r>
              <w:rPr>
                <w:noProof/>
              </w:rPr>
              <w:t>PIXEL SCALE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13.010</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13.011</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14</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13.012</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FGP</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13.013</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FINGER POSITION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25</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13.014</w:t>
            </w:r>
          </w:p>
          <w:p w:rsidR="003E022D" w:rsidRDefault="007D19D6">
            <w:pPr>
              <w:spacing w:line="276" w:lineRule="auto"/>
              <w:rPr>
                <w:noProof/>
              </w:rPr>
            </w:pPr>
            <w:r>
              <w:rPr>
                <w:noProof/>
              </w:rPr>
              <w:t>13.019</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RESERVED FOR FUTURE </w:t>
            </w:r>
            <w:r>
              <w:rPr>
                <w:noProof/>
              </w:rPr>
              <w:t>DEFINITION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13.020</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135</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13.021</w:t>
            </w:r>
          </w:p>
          <w:p w:rsidR="003E022D" w:rsidRDefault="007D19D6">
            <w:pPr>
              <w:spacing w:line="276" w:lineRule="auto"/>
              <w:rPr>
                <w:noProof/>
              </w:rPr>
            </w:pPr>
            <w:r>
              <w:rPr>
                <w:noProof/>
              </w:rPr>
              <w:t>13.199</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13.200</w:t>
            </w:r>
          </w:p>
          <w:p w:rsidR="003E022D" w:rsidRDefault="007D19D6">
            <w:pPr>
              <w:spacing w:line="276" w:lineRule="auto"/>
              <w:rPr>
                <w:noProof/>
              </w:rPr>
            </w:pPr>
            <w:r>
              <w:rPr>
                <w:noProof/>
              </w:rPr>
              <w:t>13.998</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13.999</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bl>
    <w:p w:rsidR="003E022D" w:rsidRDefault="007D19D6">
      <w:pPr>
        <w:rPr>
          <w:noProof/>
        </w:rPr>
      </w:pPr>
      <w:r>
        <w:rPr>
          <w:i/>
          <w:iCs/>
          <w:noProof/>
        </w:rPr>
        <w:t>Simbolu atšifrējums:</w:t>
      </w:r>
      <w:r>
        <w:rPr>
          <w:noProof/>
        </w:rPr>
        <w:t xml:space="preserve"> N = ciparu; A = burtu; AN = ciparu un burtu; B = binārs.</w:t>
      </w:r>
    </w:p>
    <w:p w:rsidR="003E022D" w:rsidRDefault="007D19D6">
      <w:pPr>
        <w:spacing w:line="276" w:lineRule="auto"/>
        <w:rPr>
          <w:noProof/>
        </w:rPr>
      </w:pPr>
      <w:r>
        <w:rPr>
          <w:noProof/>
        </w:rPr>
        <w:t>7.1.</w:t>
      </w:r>
      <w:r>
        <w:rPr>
          <w:noProof/>
        </w:rPr>
        <w:tab/>
        <w:t>13. tipa loģisku datu lauki</w:t>
      </w:r>
    </w:p>
    <w:p w:rsidR="003E022D" w:rsidRDefault="007D19D6">
      <w:pPr>
        <w:rPr>
          <w:noProof/>
        </w:rPr>
      </w:pPr>
      <w:r>
        <w:rPr>
          <w:noProof/>
        </w:rPr>
        <w:t>Šajos punktos ir aprakstīti dati, kas atrodas katrā 13. tipa loģisku ierakstu laukā.</w:t>
      </w:r>
    </w:p>
    <w:p w:rsidR="003E022D" w:rsidRDefault="007D19D6">
      <w:pPr>
        <w:rPr>
          <w:noProof/>
        </w:rPr>
      </w:pPr>
      <w:r>
        <w:rPr>
          <w:noProof/>
        </w:rPr>
        <w:t xml:space="preserve">13. tipa loģiskos ierakstos ierakstu lauki ir numurēti. Pirmajiem diviem </w:t>
      </w:r>
      <w:r>
        <w:rPr>
          <w:noProof/>
        </w:rPr>
        <w:t xml:space="preserve">ieraksta laukiem noteikti jābūt sakārtotiem, un lauks ar attēla datiem ir ieraksta pēdējais fiziskais lauks. Katram 13. tipa ieraksta laukam 7. tabulā ir uzskaitīts "nosacījumu kods" – obligāts "M" vai fakultatīvs "O", lauka numurs, lauka nosaukums, zīmes </w:t>
      </w:r>
      <w:r>
        <w:rPr>
          <w:noProof/>
        </w:rPr>
        <w:t>tips, lauka lielums un sastopamības robežlielumi. Izmantojot trīsciparu lauka numuru, lielākais iespējamais lauka baitu skaits ir dots pēdējā ailē. Jo vairāk ciparu ir izmantots lauka numurā, jo vairāk palielinās arī lielākais iespējamais baitu skaits. Div</w:t>
      </w:r>
      <w:r>
        <w:rPr>
          <w:noProof/>
        </w:rPr>
        <w:t>os ierakstos "lauka lielums katrā konkrētā gadījumā" ietver visas nošķīrējzīmes, kas izmantotas laukā. "Lielākais iespējamais baitu skaits" ietver lauka numuru, informāciju un visas nošķīrējzīmes, arī "</w:t>
      </w:r>
      <w:r>
        <w:rPr>
          <w:i/>
          <w:noProof/>
        </w:rPr>
        <w:t>GS</w:t>
      </w:r>
      <w:r>
        <w:rPr>
          <w:noProof/>
        </w:rPr>
        <w:t>" zīmi.</w:t>
      </w:r>
    </w:p>
    <w:p w:rsidR="003E022D" w:rsidRDefault="007D19D6">
      <w:pPr>
        <w:spacing w:line="276" w:lineRule="auto"/>
        <w:rPr>
          <w:noProof/>
        </w:rPr>
      </w:pPr>
      <w:r>
        <w:rPr>
          <w:noProof/>
        </w:rPr>
        <w:t>7.1.1.</w:t>
      </w:r>
      <w:r>
        <w:rPr>
          <w:noProof/>
        </w:rPr>
        <w:tab/>
      </w:r>
      <w:r>
        <w:rPr>
          <w:i/>
          <w:iCs/>
          <w:noProof/>
        </w:rPr>
        <w:t>13.001. lauks – loģisku ierakstu garu</w:t>
      </w:r>
      <w:r>
        <w:rPr>
          <w:i/>
          <w:iCs/>
          <w:noProof/>
        </w:rPr>
        <w:t>ms (Logical record length – LEN)</w:t>
      </w:r>
    </w:p>
    <w:p w:rsidR="003E022D" w:rsidRDefault="007D19D6">
      <w:pPr>
        <w:rPr>
          <w:noProof/>
        </w:rPr>
      </w:pPr>
      <w:r>
        <w:rPr>
          <w:noProof/>
        </w:rPr>
        <w:t xml:space="preserve">Šajā obligātajā </w:t>
      </w:r>
      <w:r>
        <w:rPr>
          <w:i/>
          <w:noProof/>
        </w:rPr>
        <w:t>ASCII</w:t>
      </w:r>
      <w:r>
        <w:rPr>
          <w:noProof/>
        </w:rPr>
        <w:t xml:space="preserve"> laukā ir 13. tipa loģiskā ieraksta baitu kopskaits. 13.001 laukā konkrēti norāda ieraksta garumu, ietverot katru ieraksta lauka zīmi un informācijas nošķīrējus.</w:t>
      </w:r>
    </w:p>
    <w:p w:rsidR="003E022D" w:rsidRDefault="007D19D6">
      <w:pPr>
        <w:spacing w:line="276" w:lineRule="auto"/>
        <w:rPr>
          <w:noProof/>
        </w:rPr>
      </w:pPr>
      <w:r>
        <w:rPr>
          <w:noProof/>
        </w:rPr>
        <w:t>7.1.2.</w:t>
      </w:r>
      <w:r>
        <w:rPr>
          <w:noProof/>
        </w:rPr>
        <w:tab/>
      </w:r>
      <w:r>
        <w:rPr>
          <w:i/>
          <w:iCs/>
          <w:noProof/>
        </w:rPr>
        <w:t>13.002. lauks – attēla raksturotā</w:t>
      </w:r>
      <w:r>
        <w:rPr>
          <w:i/>
          <w:iCs/>
          <w:noProof/>
        </w:rPr>
        <w:t>ja zīme (Image designation character – IDC)</w:t>
      </w:r>
    </w:p>
    <w:p w:rsidR="003E022D" w:rsidRDefault="007D19D6">
      <w:pPr>
        <w:rPr>
          <w:noProof/>
        </w:rPr>
      </w:pPr>
      <w:r>
        <w:rPr>
          <w:noProof/>
        </w:rPr>
        <w:t xml:space="preserve">Šo obligāto </w:t>
      </w:r>
      <w:r>
        <w:rPr>
          <w:i/>
          <w:noProof/>
        </w:rPr>
        <w:t>ASCII</w:t>
      </w:r>
      <w:r>
        <w:rPr>
          <w:noProof/>
        </w:rPr>
        <w:t xml:space="preserve"> lauku izmanto, lai identificētu latentā attēla datus ierakstā. Šis </w:t>
      </w:r>
      <w:r>
        <w:rPr>
          <w:i/>
          <w:noProof/>
        </w:rPr>
        <w:t>IDC</w:t>
      </w:r>
      <w:r>
        <w:rPr>
          <w:noProof/>
        </w:rPr>
        <w:t xml:space="preserve"> atbilst </w:t>
      </w:r>
      <w:r>
        <w:rPr>
          <w:i/>
          <w:noProof/>
        </w:rPr>
        <w:t>IDC</w:t>
      </w:r>
      <w:r>
        <w:rPr>
          <w:noProof/>
        </w:rPr>
        <w:t>, kas atrodas 1. tipa ieraksta datnes satura (</w:t>
      </w:r>
      <w:r>
        <w:rPr>
          <w:i/>
          <w:noProof/>
        </w:rPr>
        <w:t>CNT</w:t>
      </w:r>
      <w:r>
        <w:rPr>
          <w:noProof/>
        </w:rPr>
        <w:t>) laukā.</w:t>
      </w:r>
    </w:p>
    <w:p w:rsidR="003E022D" w:rsidRDefault="007D19D6">
      <w:pPr>
        <w:spacing w:line="276" w:lineRule="auto"/>
        <w:rPr>
          <w:noProof/>
        </w:rPr>
      </w:pPr>
      <w:r>
        <w:rPr>
          <w:noProof/>
        </w:rPr>
        <w:t>7.1.3.</w:t>
      </w:r>
      <w:r>
        <w:rPr>
          <w:noProof/>
        </w:rPr>
        <w:tab/>
      </w:r>
      <w:r>
        <w:rPr>
          <w:i/>
          <w:iCs/>
          <w:noProof/>
        </w:rPr>
        <w:t>13.003. lauks – nospieduma tips (Impression typ</w:t>
      </w:r>
      <w:r>
        <w:rPr>
          <w:i/>
          <w:iCs/>
          <w:noProof/>
        </w:rPr>
        <w:t>e – IMP)</w:t>
      </w:r>
    </w:p>
    <w:p w:rsidR="003E022D" w:rsidRDefault="007D19D6">
      <w:pPr>
        <w:rPr>
          <w:noProof/>
        </w:rPr>
      </w:pPr>
      <w:r>
        <w:rPr>
          <w:noProof/>
        </w:rPr>
        <w:t xml:space="preserve">Šis obligātais viena vai divu baitu </w:t>
      </w:r>
      <w:r>
        <w:rPr>
          <w:i/>
          <w:noProof/>
        </w:rPr>
        <w:t>ASCII</w:t>
      </w:r>
      <w:r>
        <w:rPr>
          <w:noProof/>
        </w:rPr>
        <w:t xml:space="preserve"> lauks rāda, kā iegūta latentā attēla informācija. Šajā laukā ieraksta attiecīgi izvēlētu latento attēlu kodu no 4. tabulas (pirksti) vai 9. tabulas (plaukstas).</w:t>
      </w:r>
    </w:p>
    <w:p w:rsidR="003E022D" w:rsidRDefault="007D19D6">
      <w:pPr>
        <w:spacing w:line="276" w:lineRule="auto"/>
        <w:rPr>
          <w:noProof/>
        </w:rPr>
      </w:pPr>
      <w:r>
        <w:rPr>
          <w:noProof/>
        </w:rPr>
        <w:t>7.1.4.</w:t>
      </w:r>
      <w:r>
        <w:rPr>
          <w:noProof/>
        </w:rPr>
        <w:tab/>
      </w:r>
      <w:r>
        <w:rPr>
          <w:i/>
          <w:iCs/>
          <w:noProof/>
        </w:rPr>
        <w:t>13.004. lauks – attēla ieguvēja aģent</w:t>
      </w:r>
      <w:r>
        <w:rPr>
          <w:i/>
          <w:iCs/>
          <w:noProof/>
        </w:rPr>
        <w:t>ūra (Source agency/ORI – SRC)</w:t>
      </w:r>
    </w:p>
    <w:p w:rsidR="003E022D" w:rsidRDefault="007D19D6">
      <w:pPr>
        <w:rPr>
          <w:noProof/>
        </w:rPr>
      </w:pPr>
      <w:r>
        <w:rPr>
          <w:noProof/>
        </w:rPr>
        <w:t xml:space="preserve">Šajā obligātajā </w:t>
      </w:r>
      <w:r>
        <w:rPr>
          <w:i/>
          <w:noProof/>
        </w:rPr>
        <w:t>ASCII</w:t>
      </w:r>
      <w:r>
        <w:rPr>
          <w:noProof/>
        </w:rPr>
        <w:t xml:space="preserve"> laukā ir identificēta pārvalde vai organizācija, kas ieguvusi ierakstā doto sejas attēlu. Parastos apstākļos šajā laukā uzrāda izcelsmes aģentūras identifikatoru (</w:t>
      </w:r>
      <w:r>
        <w:rPr>
          <w:i/>
          <w:noProof/>
        </w:rPr>
        <w:t>Originating Agency Identifier</w:t>
      </w:r>
      <w:r>
        <w:rPr>
          <w:noProof/>
        </w:rPr>
        <w:t xml:space="preserve"> – </w:t>
      </w:r>
      <w:r>
        <w:rPr>
          <w:i/>
          <w:noProof/>
        </w:rPr>
        <w:t>ORI</w:t>
      </w:r>
      <w:r>
        <w:rPr>
          <w:noProof/>
        </w:rPr>
        <w:t>) – ku</w:t>
      </w:r>
      <w:r>
        <w:rPr>
          <w:noProof/>
        </w:rPr>
        <w:t xml:space="preserve">ra aģentūra ir ieguvusi attēlu. Tajā ir divi informācijas elementi šādā formā – </w:t>
      </w:r>
      <w:r>
        <w:rPr>
          <w:i/>
          <w:noProof/>
        </w:rPr>
        <w:t>CC</w:t>
      </w:r>
      <w:r>
        <w:rPr>
          <w:noProof/>
        </w:rPr>
        <w:t>/aģentūra (</w:t>
      </w:r>
      <w:r>
        <w:rPr>
          <w:i/>
          <w:noProof/>
        </w:rPr>
        <w:t>CC</w:t>
      </w:r>
      <w:r>
        <w:rPr>
          <w:noProof/>
        </w:rPr>
        <w:t>/</w:t>
      </w:r>
      <w:r>
        <w:rPr>
          <w:i/>
          <w:noProof/>
        </w:rPr>
        <w:t>agency</w:t>
      </w:r>
      <w:r>
        <w:rPr>
          <w:noProof/>
        </w:rPr>
        <w:t>).</w:t>
      </w:r>
    </w:p>
    <w:p w:rsidR="003E022D" w:rsidRDefault="007D19D6">
      <w:pPr>
        <w:rPr>
          <w:noProof/>
        </w:rPr>
      </w:pPr>
      <w:r>
        <w:rPr>
          <w:noProof/>
        </w:rPr>
        <w:t>Pirmajā informācijas elementā ir Interpola izstrādātais valsts kods (</w:t>
      </w:r>
      <w:r>
        <w:rPr>
          <w:i/>
          <w:noProof/>
        </w:rPr>
        <w:t>Country Code</w:t>
      </w:r>
      <w:r>
        <w:rPr>
          <w:noProof/>
        </w:rPr>
        <w:t>), divas burtu vai ciparu zīmes. Otrs elements, aģentūra (</w:t>
      </w:r>
      <w:r>
        <w:rPr>
          <w:i/>
          <w:noProof/>
        </w:rPr>
        <w:t>agency</w:t>
      </w:r>
      <w:r>
        <w:rPr>
          <w:noProof/>
        </w:rPr>
        <w:t xml:space="preserve">), ir </w:t>
      </w:r>
      <w:r>
        <w:rPr>
          <w:noProof/>
        </w:rPr>
        <w:t>līdz 32 burtu vai ciparu zīmes garš brīvs teksts, un ar to identificē aģentūru.</w:t>
      </w:r>
    </w:p>
    <w:p w:rsidR="003E022D" w:rsidRDefault="007D19D6">
      <w:pPr>
        <w:spacing w:line="276" w:lineRule="auto"/>
        <w:rPr>
          <w:noProof/>
        </w:rPr>
      </w:pPr>
      <w:r>
        <w:rPr>
          <w:noProof/>
        </w:rPr>
        <w:t>7.1.5.</w:t>
      </w:r>
      <w:r>
        <w:rPr>
          <w:noProof/>
        </w:rPr>
        <w:tab/>
      </w:r>
      <w:r>
        <w:rPr>
          <w:i/>
          <w:iCs/>
          <w:noProof/>
        </w:rPr>
        <w:t>13.005. lauks – latentā attēla fiksācijas datums (Latent capture date – LCD)</w:t>
      </w:r>
    </w:p>
    <w:p w:rsidR="003E022D" w:rsidRDefault="007D19D6">
      <w:pPr>
        <w:rPr>
          <w:noProof/>
        </w:rPr>
      </w:pPr>
      <w:r>
        <w:rPr>
          <w:noProof/>
        </w:rPr>
        <w:t xml:space="preserve">Šajā obligātajā </w:t>
      </w:r>
      <w:r>
        <w:rPr>
          <w:i/>
          <w:noProof/>
        </w:rPr>
        <w:t>ASCII</w:t>
      </w:r>
      <w:r>
        <w:rPr>
          <w:noProof/>
        </w:rPr>
        <w:t xml:space="preserve"> laukā ir datums – kad fiksēts ierakstā dotais latentais attēls. Datuma</w:t>
      </w:r>
      <w:r>
        <w:rPr>
          <w:noProof/>
        </w:rPr>
        <w:t>m no astoņiem cipariem ir šāda forma "</w:t>
      </w:r>
      <w:r>
        <w:rPr>
          <w:i/>
          <w:noProof/>
        </w:rPr>
        <w:t>CCYYMMDD</w:t>
      </w:r>
      <w:r>
        <w:rPr>
          <w:noProof/>
        </w:rPr>
        <w:t>". Zīmes "</w:t>
      </w:r>
      <w:r>
        <w:rPr>
          <w:i/>
          <w:noProof/>
        </w:rPr>
        <w:t>CCYY</w:t>
      </w:r>
      <w:r>
        <w:rPr>
          <w:noProof/>
        </w:rPr>
        <w:t>" rāda gadu, kad attēls ir fiksēts; zīmes "</w:t>
      </w:r>
      <w:r>
        <w:rPr>
          <w:i/>
          <w:noProof/>
        </w:rPr>
        <w:t>MM</w:t>
      </w:r>
      <w:r>
        <w:rPr>
          <w:noProof/>
        </w:rPr>
        <w:t>" rāda mēnešus; un zīmes "</w:t>
      </w:r>
      <w:r>
        <w:rPr>
          <w:i/>
          <w:noProof/>
        </w:rPr>
        <w:t>DD</w:t>
      </w:r>
      <w:r>
        <w:rPr>
          <w:noProof/>
        </w:rPr>
        <w:t>" rāda mēneša dienas. Piemēram, 20000229 nozīmē 2000. gada 29. februāri. Pilns datums ir likumīgs datums.</w:t>
      </w:r>
    </w:p>
    <w:p w:rsidR="003E022D" w:rsidRDefault="007D19D6">
      <w:pPr>
        <w:spacing w:line="276" w:lineRule="auto"/>
        <w:rPr>
          <w:noProof/>
        </w:rPr>
      </w:pPr>
      <w:r>
        <w:rPr>
          <w:noProof/>
        </w:rPr>
        <w:t>7.1.6.</w:t>
      </w:r>
      <w:r>
        <w:rPr>
          <w:noProof/>
        </w:rPr>
        <w:tab/>
      </w:r>
      <w:r>
        <w:rPr>
          <w:i/>
          <w:iCs/>
          <w:noProof/>
        </w:rPr>
        <w:t>13.006. lauks – horizontālo līniju garums (Horizontal line length – HLL)</w:t>
      </w:r>
    </w:p>
    <w:p w:rsidR="003E022D" w:rsidRDefault="007D19D6">
      <w:pPr>
        <w:rPr>
          <w:noProof/>
        </w:rPr>
      </w:pPr>
      <w:r>
        <w:rPr>
          <w:noProof/>
        </w:rPr>
        <w:t xml:space="preserve">Šajā obligātajā </w:t>
      </w:r>
      <w:r>
        <w:rPr>
          <w:i/>
          <w:noProof/>
        </w:rPr>
        <w:t>ASCII</w:t>
      </w:r>
      <w:r>
        <w:rPr>
          <w:noProof/>
        </w:rPr>
        <w:t xml:space="preserve"> laukā ir vienā horizontālā pārraidītā attēla līnijā esošo pikseļu skaits.</w:t>
      </w:r>
    </w:p>
    <w:p w:rsidR="003E022D" w:rsidRDefault="007D19D6">
      <w:pPr>
        <w:spacing w:line="276" w:lineRule="auto"/>
        <w:rPr>
          <w:noProof/>
        </w:rPr>
      </w:pPr>
      <w:r>
        <w:rPr>
          <w:noProof/>
        </w:rPr>
        <w:t>7.1.7.</w:t>
      </w:r>
      <w:r>
        <w:rPr>
          <w:noProof/>
        </w:rPr>
        <w:tab/>
      </w:r>
      <w:r>
        <w:rPr>
          <w:i/>
          <w:iCs/>
          <w:noProof/>
        </w:rPr>
        <w:t>13.007. lauks – vertikālo līniju garums (Vertical line length – VLL)</w:t>
      </w:r>
    </w:p>
    <w:p w:rsidR="003E022D" w:rsidRDefault="007D19D6">
      <w:pPr>
        <w:rPr>
          <w:noProof/>
        </w:rPr>
      </w:pPr>
      <w:r>
        <w:rPr>
          <w:noProof/>
        </w:rPr>
        <w:t>Šajā obligā</w:t>
      </w:r>
      <w:r>
        <w:rPr>
          <w:noProof/>
        </w:rPr>
        <w:t xml:space="preserve">tajā </w:t>
      </w:r>
      <w:r>
        <w:rPr>
          <w:i/>
          <w:noProof/>
        </w:rPr>
        <w:t>ASCII</w:t>
      </w:r>
      <w:r>
        <w:rPr>
          <w:noProof/>
        </w:rPr>
        <w:t xml:space="preserve"> laukā ir pārraidītā attēla horizontālo līniju skaits.</w:t>
      </w:r>
    </w:p>
    <w:p w:rsidR="003E022D" w:rsidRDefault="007D19D6">
      <w:pPr>
        <w:spacing w:line="276" w:lineRule="auto"/>
        <w:rPr>
          <w:noProof/>
        </w:rPr>
      </w:pPr>
      <w:r>
        <w:rPr>
          <w:noProof/>
        </w:rPr>
        <w:t>7.1.8.</w:t>
      </w:r>
      <w:r>
        <w:rPr>
          <w:noProof/>
        </w:rPr>
        <w:tab/>
      </w:r>
      <w:r>
        <w:rPr>
          <w:i/>
          <w:iCs/>
          <w:noProof/>
        </w:rPr>
        <w:t>13.008. lauks – mēroga mērvienības (Scale units – SLC)</w:t>
      </w:r>
    </w:p>
    <w:p w:rsidR="003E022D" w:rsidRDefault="007D19D6">
      <w:pPr>
        <w:rPr>
          <w:noProof/>
        </w:rPr>
      </w:pPr>
      <w:r>
        <w:rPr>
          <w:noProof/>
        </w:rPr>
        <w:t xml:space="preserve">Šajā obligātajā </w:t>
      </w:r>
      <w:r>
        <w:rPr>
          <w:i/>
          <w:noProof/>
        </w:rPr>
        <w:t>ASCII</w:t>
      </w:r>
      <w:r>
        <w:rPr>
          <w:noProof/>
        </w:rPr>
        <w:t xml:space="preserve"> laukā ir norādītas vienības, ko izmanto, lai aprakstītu attēla nolasīšanas frekvenci (pikseļu blīvumu). Cip</w:t>
      </w:r>
      <w:r>
        <w:rPr>
          <w:noProof/>
        </w:rPr>
        <w:t xml:space="preserve">ars "1" šajā laukā rāda pikseļus collā, savukārt "2" rāda pikseļus centimetrā. Cipars "0" šajā laukā nozīmē, ka mērogs nav uzrādīts. Tādos gadījumos </w:t>
      </w:r>
      <w:r>
        <w:rPr>
          <w:i/>
          <w:noProof/>
        </w:rPr>
        <w:t>HPS/VPS</w:t>
      </w:r>
      <w:r>
        <w:rPr>
          <w:noProof/>
        </w:rPr>
        <w:t xml:space="preserve"> dalījums dod pikseļu attiecības koeficientu.</w:t>
      </w:r>
    </w:p>
    <w:p w:rsidR="003E022D" w:rsidRDefault="007D19D6">
      <w:pPr>
        <w:spacing w:line="276" w:lineRule="auto"/>
        <w:rPr>
          <w:noProof/>
        </w:rPr>
      </w:pPr>
      <w:r>
        <w:rPr>
          <w:noProof/>
        </w:rPr>
        <w:t>7.1.9.</w:t>
      </w:r>
      <w:r>
        <w:rPr>
          <w:noProof/>
        </w:rPr>
        <w:tab/>
      </w:r>
      <w:r>
        <w:rPr>
          <w:i/>
          <w:iCs/>
          <w:noProof/>
        </w:rPr>
        <w:t>13.009. lauks – horizontāls pikseļu mērogs (Hor</w:t>
      </w:r>
      <w:r>
        <w:rPr>
          <w:i/>
          <w:iCs/>
          <w:noProof/>
        </w:rPr>
        <w:t>izontal pixel scale – HPS)</w:t>
      </w:r>
    </w:p>
    <w:p w:rsidR="003E022D" w:rsidRDefault="007D19D6">
      <w:pPr>
        <w:rPr>
          <w:noProof/>
        </w:rPr>
      </w:pPr>
      <w:r>
        <w:rPr>
          <w:noProof/>
        </w:rPr>
        <w:t xml:space="preserve">Šajā obligātajā </w:t>
      </w:r>
      <w:r>
        <w:rPr>
          <w:i/>
          <w:noProof/>
        </w:rPr>
        <w:t>ASCII</w:t>
      </w:r>
      <w:r>
        <w:rPr>
          <w:noProof/>
        </w:rPr>
        <w:t xml:space="preserve"> laukā konkrēti norāda horizontālā virzienā izmantoto pikseļu blīvumu veselos skaitļos, ja </w:t>
      </w:r>
      <w:r>
        <w:rPr>
          <w:i/>
          <w:noProof/>
        </w:rPr>
        <w:t>SLC</w:t>
      </w:r>
      <w:r>
        <w:rPr>
          <w:noProof/>
        </w:rPr>
        <w:t xml:space="preserve"> ir ar "1" vai "2". Ja tā nav, tas rāda pikseļu attiecības koeficienta horizontālo komponentu.</w:t>
      </w:r>
    </w:p>
    <w:p w:rsidR="003E022D" w:rsidRDefault="007D19D6">
      <w:pPr>
        <w:spacing w:line="276" w:lineRule="auto"/>
        <w:rPr>
          <w:noProof/>
        </w:rPr>
      </w:pPr>
      <w:r>
        <w:rPr>
          <w:noProof/>
        </w:rPr>
        <w:t>7.1.10.</w:t>
      </w:r>
      <w:r>
        <w:rPr>
          <w:noProof/>
        </w:rPr>
        <w:tab/>
      </w:r>
      <w:r>
        <w:rPr>
          <w:i/>
          <w:iCs/>
          <w:noProof/>
        </w:rPr>
        <w:t>13.010. lau</w:t>
      </w:r>
      <w:r>
        <w:rPr>
          <w:i/>
          <w:iCs/>
          <w:noProof/>
        </w:rPr>
        <w:t>ks – vertikāls pikseļu mērogs (Vertical pixel scale – VPS)</w:t>
      </w:r>
    </w:p>
    <w:p w:rsidR="003E022D" w:rsidRDefault="007D19D6">
      <w:pPr>
        <w:rPr>
          <w:noProof/>
        </w:rPr>
      </w:pPr>
      <w:r>
        <w:rPr>
          <w:noProof/>
        </w:rPr>
        <w:t xml:space="preserve">Šajā obligātajā </w:t>
      </w:r>
      <w:r>
        <w:rPr>
          <w:i/>
          <w:noProof/>
        </w:rPr>
        <w:t>ASCII</w:t>
      </w:r>
      <w:r>
        <w:rPr>
          <w:noProof/>
        </w:rPr>
        <w:t xml:space="preserve"> laukā konkrēti norāda vertikālā virzienā izmantoto pikseļu blīvumu veselos skaitļos, ja </w:t>
      </w:r>
      <w:r>
        <w:rPr>
          <w:i/>
          <w:noProof/>
        </w:rPr>
        <w:t>SLC</w:t>
      </w:r>
      <w:r>
        <w:rPr>
          <w:noProof/>
        </w:rPr>
        <w:t xml:space="preserve"> ir ar "1" vai "2". Ja tā nav, tas rāda pikseļu attiecības koeficienta vertikālo kom</w:t>
      </w:r>
      <w:r>
        <w:rPr>
          <w:noProof/>
        </w:rPr>
        <w:t>ponentu.</w:t>
      </w:r>
    </w:p>
    <w:p w:rsidR="003E022D" w:rsidRDefault="007D19D6">
      <w:pPr>
        <w:spacing w:line="276" w:lineRule="auto"/>
        <w:rPr>
          <w:noProof/>
        </w:rPr>
      </w:pPr>
      <w:r>
        <w:rPr>
          <w:noProof/>
        </w:rPr>
        <w:t>7.1.11.</w:t>
      </w:r>
      <w:r>
        <w:rPr>
          <w:noProof/>
        </w:rPr>
        <w:tab/>
      </w:r>
      <w:r>
        <w:rPr>
          <w:i/>
          <w:iCs/>
          <w:noProof/>
        </w:rPr>
        <w:t>13.011. lauks – saspiešanas algoritms (Compression algorithm – CGA)</w:t>
      </w:r>
    </w:p>
    <w:p w:rsidR="003E022D" w:rsidRDefault="007D19D6">
      <w:pPr>
        <w:rPr>
          <w:noProof/>
        </w:rPr>
      </w:pPr>
      <w:r>
        <w:rPr>
          <w:noProof/>
        </w:rPr>
        <w:t xml:space="preserve">Šajā obligātajā </w:t>
      </w:r>
      <w:r>
        <w:rPr>
          <w:i/>
          <w:noProof/>
        </w:rPr>
        <w:t>ASCII</w:t>
      </w:r>
      <w:r>
        <w:rPr>
          <w:noProof/>
        </w:rPr>
        <w:t xml:space="preserve"> laukā konkrēti norāda algoritmu, ko lieto, lai saspiestu melnbaltus tonālus attēlus. Saspiešanas kodus sk. 7. papildinājumā.</w:t>
      </w:r>
    </w:p>
    <w:p w:rsidR="003E022D" w:rsidRDefault="007D19D6">
      <w:pPr>
        <w:spacing w:line="276" w:lineRule="auto"/>
        <w:rPr>
          <w:noProof/>
        </w:rPr>
      </w:pPr>
      <w:r>
        <w:rPr>
          <w:noProof/>
        </w:rPr>
        <w:t>7.1.12.</w:t>
      </w:r>
      <w:r>
        <w:rPr>
          <w:noProof/>
        </w:rPr>
        <w:tab/>
      </w:r>
      <w:r>
        <w:rPr>
          <w:i/>
          <w:iCs/>
          <w:noProof/>
        </w:rPr>
        <w:t xml:space="preserve">13.012. lauks – </w:t>
      </w:r>
      <w:r>
        <w:rPr>
          <w:i/>
          <w:iCs/>
          <w:noProof/>
        </w:rPr>
        <w:t>biti pikselī (Bits per pixel – BPX)</w:t>
      </w:r>
    </w:p>
    <w:p w:rsidR="003E022D" w:rsidRDefault="007D19D6">
      <w:pPr>
        <w:rPr>
          <w:noProof/>
        </w:rPr>
      </w:pPr>
      <w:r>
        <w:rPr>
          <w:noProof/>
        </w:rPr>
        <w:t xml:space="preserve">Šajā obligātajā </w:t>
      </w:r>
      <w:r>
        <w:rPr>
          <w:i/>
          <w:noProof/>
        </w:rPr>
        <w:t>ASCII</w:t>
      </w:r>
      <w:r>
        <w:rPr>
          <w:noProof/>
        </w:rPr>
        <w:t xml:space="preserve"> laukā ir bitu skaits, kas izmantots, lai izveidotu pikseli. Šajā laukā ir cipars "8" normālu melnbaltu tonālu attēlu vērtībām no "0" līdz "255". Jebkurš ieraksts šajā laukā, lielāks par "8", rakstur</w:t>
      </w:r>
      <w:r>
        <w:rPr>
          <w:noProof/>
        </w:rPr>
        <w:t>o melnbaltu tonālu attēlu pikseli, kam ir palielināta precizitāte.</w:t>
      </w:r>
    </w:p>
    <w:p w:rsidR="003E022D" w:rsidRDefault="007D19D6">
      <w:pPr>
        <w:spacing w:line="276" w:lineRule="auto"/>
        <w:rPr>
          <w:noProof/>
        </w:rPr>
      </w:pPr>
      <w:r>
        <w:rPr>
          <w:noProof/>
        </w:rPr>
        <w:t>7.1.13.</w:t>
      </w:r>
      <w:r>
        <w:rPr>
          <w:noProof/>
        </w:rPr>
        <w:tab/>
      </w:r>
      <w:r>
        <w:rPr>
          <w:i/>
          <w:iCs/>
          <w:noProof/>
        </w:rPr>
        <w:t>13.013. lauks – pirkstu/plaukstu atrašanās vieta (Finger/palm position – FGP)</w:t>
      </w:r>
    </w:p>
    <w:p w:rsidR="003E022D" w:rsidRDefault="007D19D6">
      <w:pPr>
        <w:rPr>
          <w:noProof/>
        </w:rPr>
      </w:pPr>
      <w:r>
        <w:rPr>
          <w:noProof/>
        </w:rPr>
        <w:t>Šajā obligātajā marķētajā laukā ir viena vai vairākas iespējamas pirkstu vai plaukstu atrašanās vietas, kas var atbilst latentajam attēlam. Decimālciparu koda numuru, kas atbilst zināmam vai visiespējamākam pirksta novietojumam, atrod 5. tabulā – vai visie</w:t>
      </w:r>
      <w:r>
        <w:rPr>
          <w:noProof/>
        </w:rPr>
        <w:t xml:space="preserve">spējamākajam plaukstas novietojumam – 10. tabulā, un ieraksta kā vienu vai divas zīmes pakārtotā </w:t>
      </w:r>
      <w:r>
        <w:rPr>
          <w:i/>
          <w:noProof/>
        </w:rPr>
        <w:t>ASCII</w:t>
      </w:r>
      <w:r>
        <w:rPr>
          <w:noProof/>
        </w:rPr>
        <w:t xml:space="preserve"> laukā. Atsauces par pirkstu un/vai plaukstu papildu atrašanās vietām var ierakstīt, izmantojot citu atrašanās vietu kodus kā pakārtotus laukus, ko nošķir</w:t>
      </w:r>
      <w:r>
        <w:rPr>
          <w:noProof/>
        </w:rPr>
        <w:t xml:space="preserve"> ar "</w:t>
      </w:r>
      <w:r>
        <w:rPr>
          <w:i/>
          <w:noProof/>
        </w:rPr>
        <w:t>RS</w:t>
      </w:r>
      <w:r>
        <w:rPr>
          <w:noProof/>
        </w:rPr>
        <w:t>" nošķīrējzīmi. Kodu "0", lai apzīmētu "nezināmu pirkstu (Unknown Finger)", izmanto, lai dotu atsauci par katru pirksta novietojumu no viena līdz desmit. Kodu "20", lai apzīmētu "nezināmu plaukstu (Unknown Palm)", izmanto, lai dotu atsauci par katru</w:t>
      </w:r>
      <w:r>
        <w:rPr>
          <w:noProof/>
        </w:rPr>
        <w:t xml:space="preserve"> uzskaitītu plaukstas nospieduma atrašanās vietu.</w:t>
      </w:r>
    </w:p>
    <w:p w:rsidR="003E022D" w:rsidRDefault="007D19D6">
      <w:pPr>
        <w:spacing w:line="276" w:lineRule="auto"/>
        <w:rPr>
          <w:noProof/>
        </w:rPr>
      </w:pPr>
      <w:r>
        <w:rPr>
          <w:noProof/>
        </w:rPr>
        <w:t>7.1.14.</w:t>
      </w:r>
      <w:r>
        <w:rPr>
          <w:noProof/>
        </w:rPr>
        <w:tab/>
      </w:r>
      <w:r>
        <w:rPr>
          <w:i/>
          <w:iCs/>
          <w:noProof/>
        </w:rPr>
        <w:t>13.014-019. lauks – rezervēts nākotnē iespējamām vajadzībām (Reserved for future definition – RSV)</w:t>
      </w:r>
    </w:p>
    <w:p w:rsidR="003E022D" w:rsidRDefault="007D19D6">
      <w:pPr>
        <w:rPr>
          <w:noProof/>
        </w:rPr>
      </w:pPr>
      <w:r>
        <w:rPr>
          <w:noProof/>
        </w:rPr>
        <w:t>Šie lauki ir atstāti tukši, lai tajos varētu nākotnē ierakstīt šā standarta pārstrādājumus. Neviens</w:t>
      </w:r>
      <w:r>
        <w:rPr>
          <w:noProof/>
        </w:rPr>
        <w:t xml:space="preserve"> no šiem laukiem nav jālieto pašreizējā izstrādes līmenī. Ja kāds no šiem laukiem parādās, tas jāignorē.</w:t>
      </w:r>
    </w:p>
    <w:p w:rsidR="003E022D" w:rsidRDefault="007D19D6">
      <w:pPr>
        <w:spacing w:line="276" w:lineRule="auto"/>
        <w:rPr>
          <w:noProof/>
        </w:rPr>
      </w:pPr>
      <w:r>
        <w:rPr>
          <w:noProof/>
        </w:rPr>
        <w:t>7.1.15.</w:t>
      </w:r>
      <w:r>
        <w:rPr>
          <w:noProof/>
        </w:rPr>
        <w:tab/>
      </w:r>
      <w:r>
        <w:rPr>
          <w:i/>
          <w:iCs/>
          <w:noProof/>
        </w:rPr>
        <w:t>13.020. lauks – piebildes (Comment – COM)</w:t>
      </w:r>
    </w:p>
    <w:p w:rsidR="003E022D" w:rsidRDefault="007D19D6">
      <w:pPr>
        <w:rPr>
          <w:noProof/>
        </w:rPr>
      </w:pPr>
      <w:r>
        <w:rPr>
          <w:noProof/>
        </w:rPr>
        <w:t xml:space="preserve">Šajā fakultatīvajā laukā var ierakstīt piebildes vai citu </w:t>
      </w:r>
      <w:r>
        <w:rPr>
          <w:i/>
          <w:noProof/>
        </w:rPr>
        <w:t>ASCII</w:t>
      </w:r>
      <w:r>
        <w:rPr>
          <w:noProof/>
        </w:rPr>
        <w:t xml:space="preserve"> teksta informāciju par latentā attēla</w:t>
      </w:r>
      <w:r>
        <w:rPr>
          <w:noProof/>
        </w:rPr>
        <w:t xml:space="preserve"> datiem.</w:t>
      </w:r>
    </w:p>
    <w:p w:rsidR="003E022D" w:rsidRDefault="007D19D6">
      <w:pPr>
        <w:spacing w:line="276" w:lineRule="auto"/>
        <w:rPr>
          <w:noProof/>
        </w:rPr>
      </w:pPr>
      <w:r>
        <w:rPr>
          <w:noProof/>
        </w:rPr>
        <w:t>7.1.16.</w:t>
      </w:r>
      <w:r>
        <w:rPr>
          <w:noProof/>
        </w:rPr>
        <w:tab/>
      </w:r>
      <w:r>
        <w:rPr>
          <w:i/>
          <w:iCs/>
          <w:noProof/>
        </w:rPr>
        <w:t>13.021-199. lauks – rezervēts nākotnē iespējamām vajadzībām (Reserved for future definition – RSV)</w:t>
      </w:r>
    </w:p>
    <w:p w:rsidR="003E022D" w:rsidRDefault="007D19D6">
      <w:pPr>
        <w:rPr>
          <w:noProof/>
        </w:rPr>
      </w:pPr>
      <w:r>
        <w:rPr>
          <w:noProof/>
        </w:rPr>
        <w:t>Šie lauki ir atstāti tukši, lai tajos varētu nākotnē ierakstīt šā standarta pārstrādājumus. Neviens no šiem laukiem nav jālieto pašreizējā i</w:t>
      </w:r>
      <w:r>
        <w:rPr>
          <w:noProof/>
        </w:rPr>
        <w:t>zstrādes līmenī. Ja kāds no šiem laukiem parādās, tas jāignorē.</w:t>
      </w:r>
    </w:p>
    <w:p w:rsidR="003E022D" w:rsidRDefault="007D19D6">
      <w:pPr>
        <w:spacing w:line="276" w:lineRule="auto"/>
        <w:rPr>
          <w:noProof/>
        </w:rPr>
      </w:pPr>
      <w:r>
        <w:rPr>
          <w:noProof/>
        </w:rPr>
        <w:t>7.1.17.</w:t>
      </w:r>
      <w:r>
        <w:rPr>
          <w:noProof/>
        </w:rPr>
        <w:tab/>
      </w:r>
      <w:r>
        <w:rPr>
          <w:i/>
          <w:iCs/>
          <w:noProof/>
        </w:rPr>
        <w:t>13.200-998. lauks – lietotāju definēti lauki (User-defined fields – UDF)</w:t>
      </w:r>
    </w:p>
    <w:p w:rsidR="003E022D" w:rsidRDefault="007D19D6">
      <w:pPr>
        <w:rPr>
          <w:noProof/>
        </w:rPr>
      </w:pPr>
      <w:r>
        <w:rPr>
          <w:noProof/>
        </w:rPr>
        <w:t>Šos laukus var savām vajadzībām piemērot paši lietotāji, un tos lietos nākotnē. To lielumu un saturu definē paš</w:t>
      </w:r>
      <w:r>
        <w:rPr>
          <w:noProof/>
        </w:rPr>
        <w:t xml:space="preserve">i lietotāji saskaņā ar saņēmēju aģentūru. Ja tādi parādās, tajos ir </w:t>
      </w:r>
      <w:r>
        <w:rPr>
          <w:i/>
          <w:noProof/>
        </w:rPr>
        <w:t>ASCII</w:t>
      </w:r>
      <w:r>
        <w:rPr>
          <w:noProof/>
        </w:rPr>
        <w:t xml:space="preserve"> teksta informācija.</w:t>
      </w:r>
    </w:p>
    <w:p w:rsidR="003E022D" w:rsidRDefault="007D19D6">
      <w:pPr>
        <w:spacing w:line="276" w:lineRule="auto"/>
        <w:rPr>
          <w:noProof/>
        </w:rPr>
      </w:pPr>
      <w:r>
        <w:rPr>
          <w:noProof/>
        </w:rPr>
        <w:t>7.1.18.</w:t>
      </w:r>
      <w:r>
        <w:rPr>
          <w:noProof/>
        </w:rPr>
        <w:tab/>
      </w:r>
      <w:r>
        <w:rPr>
          <w:i/>
          <w:iCs/>
          <w:noProof/>
        </w:rPr>
        <w:t>13.999. lauks – attēla dati (Image data – DAT)</w:t>
      </w:r>
    </w:p>
    <w:p w:rsidR="003E022D" w:rsidRDefault="007D19D6">
      <w:pPr>
        <w:rPr>
          <w:noProof/>
        </w:rPr>
      </w:pPr>
      <w:r>
        <w:rPr>
          <w:noProof/>
        </w:rPr>
        <w:t xml:space="preserve">Šajā laukā ir visi fiksētā latentā attēla dati. Tam vienmēr piešķir lauka numuru 999, un tas ir pēdējais </w:t>
      </w:r>
      <w:r>
        <w:rPr>
          <w:noProof/>
        </w:rPr>
        <w:t>fiziskais lauks ierakstā. Piemēram, pēc "13.999:" ir doti attēla dati binārā formā.</w:t>
      </w:r>
    </w:p>
    <w:p w:rsidR="003E022D" w:rsidRDefault="007D19D6">
      <w:pPr>
        <w:rPr>
          <w:noProof/>
        </w:rPr>
      </w:pPr>
      <w:r>
        <w:rPr>
          <w:noProof/>
        </w:rPr>
        <w:t>Katru nesaspiestu melnbaltu tonālu attēlu datu pikseli parasti kvantē par astoņiem bitiem (256 toņu pelēkumu) vienā baitā. Ja ieraksts 13.012. (</w:t>
      </w:r>
      <w:r>
        <w:rPr>
          <w:i/>
          <w:noProof/>
        </w:rPr>
        <w:t>BPX</w:t>
      </w:r>
      <w:r>
        <w:rPr>
          <w:noProof/>
        </w:rPr>
        <w:t>) laukā ir lielāks vai ma</w:t>
      </w:r>
      <w:r>
        <w:rPr>
          <w:noProof/>
        </w:rPr>
        <w:t xml:space="preserve">zāks par "8", baitu skaits, kas vajadzīgs vienam pikselim, būs citāds. Ja lieto saspiešanu, pikseļu dati ir saspiesti saskaņā ar </w:t>
      </w:r>
      <w:r>
        <w:rPr>
          <w:i/>
          <w:noProof/>
        </w:rPr>
        <w:t>GCA</w:t>
      </w:r>
      <w:r>
        <w:rPr>
          <w:noProof/>
        </w:rPr>
        <w:t xml:space="preserve"> laukā norādīto saspiešanas paņēmienu.</w:t>
      </w:r>
    </w:p>
    <w:p w:rsidR="003E022D" w:rsidRDefault="007D19D6">
      <w:pPr>
        <w:spacing w:line="276" w:lineRule="auto"/>
        <w:rPr>
          <w:noProof/>
        </w:rPr>
      </w:pPr>
      <w:r>
        <w:rPr>
          <w:noProof/>
        </w:rPr>
        <w:t>7.2.</w:t>
      </w:r>
      <w:r>
        <w:rPr>
          <w:noProof/>
        </w:rPr>
        <w:tab/>
        <w:t>13. tips – latents attēls ar maināmu izšķirtspēju – beigas</w:t>
      </w:r>
    </w:p>
    <w:p w:rsidR="003E022D" w:rsidRDefault="007D19D6">
      <w:pPr>
        <w:rPr>
          <w:noProof/>
        </w:rPr>
      </w:pPr>
      <w:r>
        <w:rPr>
          <w:noProof/>
        </w:rPr>
        <w:t>Konsekvences labad tū</w:t>
      </w:r>
      <w:r>
        <w:rPr>
          <w:noProof/>
        </w:rPr>
        <w:t>līt pēc pēdējā datu baita 13.999. laukā lieto "</w:t>
      </w:r>
      <w:r>
        <w:rPr>
          <w:i/>
          <w:noProof/>
        </w:rPr>
        <w:t>FS</w:t>
      </w:r>
      <w:r>
        <w:rPr>
          <w:noProof/>
        </w:rPr>
        <w:t>" nošķīrēju, lai nošķirtu to no nākamā loģiskā ieraksta. Šo nošķīrēju iekļauj 13. tipa ieraksta garuma laukā.</w:t>
      </w:r>
    </w:p>
    <w:p w:rsidR="003E022D" w:rsidRDefault="007D19D6">
      <w:pPr>
        <w:spacing w:line="276" w:lineRule="auto"/>
        <w:rPr>
          <w:noProof/>
        </w:rPr>
      </w:pPr>
      <w:r>
        <w:rPr>
          <w:noProof/>
        </w:rPr>
        <w:t>8.</w:t>
      </w:r>
      <w:r>
        <w:rPr>
          <w:noProof/>
        </w:rPr>
        <w:tab/>
        <w:t>15. tips – plaukstu nospiedumu attēli ar maināmu izšķirtspēju</w:t>
      </w:r>
    </w:p>
    <w:p w:rsidR="003E022D" w:rsidRDefault="007D19D6">
      <w:pPr>
        <w:rPr>
          <w:noProof/>
        </w:rPr>
      </w:pPr>
      <w:r>
        <w:rPr>
          <w:noProof/>
        </w:rPr>
        <w:t xml:space="preserve">15. tipa marķētu lauku loģiskos </w:t>
      </w:r>
      <w:r>
        <w:rPr>
          <w:noProof/>
        </w:rPr>
        <w:t>ierakstos ir – un tos lieto apmainoties ar – plaukstu nospiedumu attēlu dati līdz ar fiksētiem un lietotāju definētiem teksta informācijas laukiem, kas atbilst digitalizētiem attēliem. Informācija par lietoto skenējuma izšķirtspēju, attēla lielumu un citie</w:t>
      </w:r>
      <w:r>
        <w:rPr>
          <w:noProof/>
        </w:rPr>
        <w:t>m parametriem vai piebildes, kas vajadzīgas, lai apstrādātu ierakstus, ierakstā ir fiksēta kā marķēti lauki. Plaukstu nospiedumu attēlus, ko pārraida citām aģentūrām, apstrādās saņēmējas aģentūras, lai iegūtu vajadzīgo informāciju, kas vajadzīga salīdzināš</w:t>
      </w:r>
      <w:r>
        <w:rPr>
          <w:noProof/>
        </w:rPr>
        <w:t>anai.</w:t>
      </w:r>
    </w:p>
    <w:p w:rsidR="003E022D" w:rsidRDefault="007D19D6">
      <w:pPr>
        <w:rPr>
          <w:noProof/>
        </w:rPr>
      </w:pPr>
      <w:r>
        <w:rPr>
          <w:noProof/>
        </w:rPr>
        <w:t>Attēlu datus iegūst tieši no subjekta, izmantojot daktiloskopijas skenerus, vai arī no plaukstu nospiedumu kartēm vai citiem informācijas nesējiem, uz kā ir subjektu plaukstu nospiedumi.</w:t>
      </w:r>
    </w:p>
    <w:p w:rsidR="003E022D" w:rsidRDefault="007D19D6">
      <w:pPr>
        <w:rPr>
          <w:noProof/>
        </w:rPr>
      </w:pPr>
      <w:r>
        <w:rPr>
          <w:noProof/>
        </w:rPr>
        <w:t>Jebkura metode, ko izmanto, lai iegūtu plaukstu nospiedumu attē</w:t>
      </w:r>
      <w:r>
        <w:rPr>
          <w:noProof/>
        </w:rPr>
        <w:t>lus, spēj fiksēt katras rokas nospiedumu attēlu kompleksus. Kompleksā ietilpst rakstīšanai savilkta plauksta kā viens skenēts attēls, un visas, izplestas plaukstas laukums no plaukstas locītavas līdz pirkstu galiem – kā viens vai divi skenēti attēli. Ja iz</w:t>
      </w:r>
      <w:r>
        <w:rPr>
          <w:noProof/>
        </w:rPr>
        <w:t>manto divus attēlus, lai atveidotu visu plaukstu, zemākais attēls sākas no plaukstas locītavas un sniedzas līdz starppirkstu joslas augšai (trešā pirksta locītavai), un tajā ietver plaukstas tenāra un hipotenāra apgabalu. Augstākais attēls sākas no starppi</w:t>
      </w:r>
      <w:r>
        <w:rPr>
          <w:noProof/>
        </w:rPr>
        <w:t>rkstu joslas apakšas un sniedzas līdz pirkstu galiem. Tas nodrošina pietiekamu pārklāšanos abiem attēliem, kas abi sniedzas tālāk par plaukstas starppirkstu joslu. Salāgojot papilārlīniju struktūru un detaļas, kas atrodas attēlu kopīgajā joslā, eksperts va</w:t>
      </w:r>
      <w:r>
        <w:rPr>
          <w:noProof/>
        </w:rPr>
        <w:t>r droši konstatēt, ka abi attēli ir iegūti no vienas plaukstas.</w:t>
      </w:r>
    </w:p>
    <w:p w:rsidR="003E022D" w:rsidRDefault="007D19D6">
      <w:pPr>
        <w:rPr>
          <w:noProof/>
        </w:rPr>
      </w:pPr>
      <w:r>
        <w:rPr>
          <w:noProof/>
        </w:rPr>
        <w:t>Tā kā darbības ar plaukstu nospiedumiem var izmantot dažādām vajadzībām, tajās var būt viena vai vairākas unikālas attēla joslas, fiksētas no plaukstas vai rokas. Pilnīgā viena cilvēka plaukst</w:t>
      </w:r>
      <w:r>
        <w:rPr>
          <w:noProof/>
        </w:rPr>
        <w:t>as nospiedumu ierakstu kompleksā parasti ietilpst rakstīšanai savilkta katras rokas plauksta un izplestas(-u) plaukstas(-u) attēli. Tā kā loģiska attēla ieraksta marķētos laukos var būt tikai viens binārs lauks, viens 15. tipa ieraksts būs vajadzīgs katrai</w:t>
      </w:r>
      <w:r>
        <w:rPr>
          <w:noProof/>
        </w:rPr>
        <w:t xml:space="preserve"> rakstīšanai savilktai plaukstai un viens vai divi 15. tipa ieraksti – katrai izplestai plaukstai. Tādējādi būs vajadzīgi četri līdz seši 15. tipa ieraksti, lai atveidotu subjekta plaukstu nospiedumus vienā parastā plaukstas nospiedumu darbībā.</w:t>
      </w:r>
    </w:p>
    <w:p w:rsidR="003E022D" w:rsidRDefault="007D19D6">
      <w:pPr>
        <w:spacing w:line="276" w:lineRule="auto"/>
        <w:rPr>
          <w:noProof/>
        </w:rPr>
      </w:pPr>
      <w:r>
        <w:rPr>
          <w:noProof/>
        </w:rPr>
        <w:t>8.1.</w:t>
      </w:r>
      <w:r>
        <w:rPr>
          <w:noProof/>
        </w:rPr>
        <w:tab/>
        <w:t>15. ti</w:t>
      </w:r>
      <w:r>
        <w:rPr>
          <w:noProof/>
        </w:rPr>
        <w:t>pa loģisku datu lauki</w:t>
      </w:r>
    </w:p>
    <w:p w:rsidR="003E022D" w:rsidRDefault="007D19D6">
      <w:pPr>
        <w:rPr>
          <w:noProof/>
        </w:rPr>
      </w:pPr>
      <w:r>
        <w:rPr>
          <w:noProof/>
        </w:rPr>
        <w:t>Šajos punktos aprakstīti dati katrā 15. tipa loģisku ierakstu laukā.</w:t>
      </w:r>
    </w:p>
    <w:p w:rsidR="003E022D" w:rsidRDefault="007D19D6">
      <w:pPr>
        <w:rPr>
          <w:noProof/>
        </w:rPr>
      </w:pPr>
      <w:r>
        <w:rPr>
          <w:noProof/>
        </w:rPr>
        <w:t>15. tipa loģiskos ierakstus veic numurētos laukos. Ir prasība, lai pirmie divi ieraksta lauki būtu sakārtoti, un lauks ar attēla datiem ir ieraksta pēdējais fiziskai</w:t>
      </w:r>
      <w:r>
        <w:rPr>
          <w:noProof/>
        </w:rPr>
        <w:t>s lauks. Katram 15. tipa ierakstu laukam 8. tabulā ir dots "nosacījumu kods" – obligāts "M" vai fakultatīvs "O", lauka numurs, lauka nosaukums, zīmes tips, lauka lielums un sastopamības robežlielumi. Izmantojot trīsciparu lauka numuru, lielākais iespējamai</w:t>
      </w:r>
      <w:r>
        <w:rPr>
          <w:noProof/>
        </w:rPr>
        <w:t>s lauka baitu skaits ir dots pēdējā ailē. Jo vairāk ciparu ir izmantots lauka numurā, jo vairāk palielinās arī lielākais iespējamais baitu skaits. Divos ierakstos "lauka lielums katrā konkrētā gadījumā" ietver visas nošķīrējzīmes, kas izmantotas laukā. "Li</w:t>
      </w:r>
      <w:r>
        <w:rPr>
          <w:noProof/>
        </w:rPr>
        <w:t>elākais iespējamais baitu skaits" ietver lauka numuru, informāciju un visas nošķīrējzīmes, arī "</w:t>
      </w:r>
      <w:r>
        <w:rPr>
          <w:i/>
          <w:noProof/>
        </w:rPr>
        <w:t>GS</w:t>
      </w:r>
      <w:r>
        <w:rPr>
          <w:noProof/>
        </w:rPr>
        <w:t>" zīmi.</w:t>
      </w:r>
    </w:p>
    <w:p w:rsidR="003E022D" w:rsidRDefault="007D19D6">
      <w:pPr>
        <w:spacing w:line="276" w:lineRule="auto"/>
        <w:rPr>
          <w:noProof/>
        </w:rPr>
      </w:pPr>
      <w:r>
        <w:rPr>
          <w:noProof/>
        </w:rPr>
        <w:t>8.1.1.</w:t>
      </w:r>
      <w:r>
        <w:rPr>
          <w:noProof/>
        </w:rPr>
        <w:tab/>
      </w:r>
      <w:r>
        <w:rPr>
          <w:i/>
          <w:iCs/>
          <w:noProof/>
        </w:rPr>
        <w:t>15.001. lauks – loģiskā ieraksta garums (Logical record length – LEN)</w:t>
      </w:r>
    </w:p>
    <w:p w:rsidR="003E022D" w:rsidRDefault="007D19D6">
      <w:pPr>
        <w:rPr>
          <w:noProof/>
        </w:rPr>
      </w:pPr>
      <w:r>
        <w:rPr>
          <w:noProof/>
        </w:rPr>
        <w:t xml:space="preserve">Šajā obligātajā </w:t>
      </w:r>
      <w:r>
        <w:rPr>
          <w:i/>
          <w:noProof/>
        </w:rPr>
        <w:t>ASCII</w:t>
      </w:r>
      <w:r>
        <w:rPr>
          <w:noProof/>
        </w:rPr>
        <w:t xml:space="preserve"> laukā ir 15. tipa loģiska ieraksta baitu kopskaits.</w:t>
      </w:r>
      <w:r>
        <w:rPr>
          <w:noProof/>
        </w:rPr>
        <w:t xml:space="preserve"> 15.001. laukā ir dots ieraksta garums, ietverot katru ieraksta lauka zīmi visos laukos un informācijas nošķīrējus.</w:t>
      </w:r>
    </w:p>
    <w:p w:rsidR="003E022D" w:rsidRDefault="007D19D6">
      <w:pPr>
        <w:spacing w:line="276" w:lineRule="auto"/>
        <w:rPr>
          <w:noProof/>
        </w:rPr>
      </w:pPr>
      <w:r>
        <w:rPr>
          <w:noProof/>
        </w:rPr>
        <w:t>8.1.2.</w:t>
      </w:r>
      <w:r>
        <w:rPr>
          <w:noProof/>
        </w:rPr>
        <w:tab/>
      </w:r>
      <w:r>
        <w:rPr>
          <w:i/>
          <w:iCs/>
          <w:noProof/>
        </w:rPr>
        <w:t>15.002. lauks – attēla raksturotāja zīme (Image designation character – IDC)</w:t>
      </w:r>
    </w:p>
    <w:p w:rsidR="003E022D" w:rsidRDefault="007D19D6">
      <w:pPr>
        <w:rPr>
          <w:noProof/>
        </w:rPr>
      </w:pPr>
      <w:r>
        <w:rPr>
          <w:noProof/>
        </w:rPr>
        <w:t xml:space="preserve">Šo obligāto </w:t>
      </w:r>
      <w:r>
        <w:rPr>
          <w:i/>
          <w:noProof/>
        </w:rPr>
        <w:t>ASCII</w:t>
      </w:r>
      <w:r>
        <w:rPr>
          <w:noProof/>
        </w:rPr>
        <w:t xml:space="preserve"> lauku izmanto, lai identificētu ieraks</w:t>
      </w:r>
      <w:r>
        <w:rPr>
          <w:noProof/>
        </w:rPr>
        <w:t xml:space="preserve">ta plaukstas nospieduma attēlu. Šis </w:t>
      </w:r>
      <w:r>
        <w:rPr>
          <w:i/>
          <w:noProof/>
        </w:rPr>
        <w:t>IDC</w:t>
      </w:r>
      <w:r>
        <w:rPr>
          <w:noProof/>
        </w:rPr>
        <w:t xml:space="preserve"> atbilst </w:t>
      </w:r>
      <w:r>
        <w:rPr>
          <w:i/>
          <w:noProof/>
        </w:rPr>
        <w:t>IDC</w:t>
      </w:r>
      <w:r>
        <w:rPr>
          <w:noProof/>
        </w:rPr>
        <w:t>, kas atrodas 1. tipa ieraksta datnes satura (</w:t>
      </w:r>
      <w:r>
        <w:rPr>
          <w:i/>
          <w:noProof/>
        </w:rPr>
        <w:t>CNT</w:t>
      </w:r>
      <w:r>
        <w:rPr>
          <w:noProof/>
        </w:rPr>
        <w:t>) laukā.</w:t>
      </w:r>
    </w:p>
    <w:p w:rsidR="003E022D" w:rsidRDefault="007D19D6">
      <w:pPr>
        <w:spacing w:line="276" w:lineRule="auto"/>
        <w:rPr>
          <w:noProof/>
        </w:rPr>
      </w:pPr>
      <w:r>
        <w:rPr>
          <w:noProof/>
        </w:rPr>
        <w:t>8.1.3.</w:t>
      </w:r>
      <w:r>
        <w:rPr>
          <w:noProof/>
        </w:rPr>
        <w:tab/>
      </w:r>
      <w:r>
        <w:rPr>
          <w:i/>
          <w:iCs/>
          <w:noProof/>
        </w:rPr>
        <w:t>15.003. lauks – nospieduma tips (Impression type – IMP)</w:t>
      </w:r>
    </w:p>
    <w:p w:rsidR="003E022D" w:rsidRDefault="007D19D6">
      <w:pPr>
        <w:rPr>
          <w:noProof/>
        </w:rPr>
      </w:pPr>
      <w:r>
        <w:rPr>
          <w:noProof/>
        </w:rPr>
        <w:t xml:space="preserve">Šajā obligātajā viena baita </w:t>
      </w:r>
      <w:r>
        <w:rPr>
          <w:i/>
          <w:noProof/>
        </w:rPr>
        <w:t>ASCII</w:t>
      </w:r>
      <w:r>
        <w:rPr>
          <w:noProof/>
        </w:rPr>
        <w:t xml:space="preserve"> laukā norāda, kā iegūta plaukstas nospieduma attēla informācija. Šajā laukā ieraksta attiecīgus kodus no 9. tabulas.</w:t>
      </w:r>
    </w:p>
    <w:p w:rsidR="003E022D" w:rsidRDefault="007D19D6">
      <w:pPr>
        <w:spacing w:line="276" w:lineRule="auto"/>
        <w:rPr>
          <w:noProof/>
        </w:rPr>
      </w:pPr>
      <w:r>
        <w:rPr>
          <w:noProof/>
        </w:rPr>
        <w:t>8.1.4.</w:t>
      </w:r>
      <w:r>
        <w:rPr>
          <w:noProof/>
        </w:rPr>
        <w:tab/>
      </w:r>
      <w:r>
        <w:rPr>
          <w:i/>
          <w:iCs/>
          <w:noProof/>
        </w:rPr>
        <w:t>15.004. lauks – aģentūra, kas ir ieguvusi attēlu (Source agency/ORI – SRC)</w:t>
      </w:r>
    </w:p>
    <w:p w:rsidR="003E022D" w:rsidRDefault="007D19D6">
      <w:pPr>
        <w:rPr>
          <w:noProof/>
        </w:rPr>
      </w:pPr>
      <w:r>
        <w:rPr>
          <w:noProof/>
        </w:rPr>
        <w:t xml:space="preserve">Šajā obligātajā </w:t>
      </w:r>
      <w:r>
        <w:rPr>
          <w:i/>
          <w:noProof/>
        </w:rPr>
        <w:t>ASCII</w:t>
      </w:r>
      <w:r>
        <w:rPr>
          <w:noProof/>
        </w:rPr>
        <w:t xml:space="preserve"> laukā ir identificēta pārvalde vai</w:t>
      </w:r>
      <w:r>
        <w:rPr>
          <w:noProof/>
        </w:rPr>
        <w:t xml:space="preserve"> organizācija, kas ieguvusi ierakstā doto sejas attēlu. Parastos apstākļos šajā laukā uzrāda izcelsmes aģentūras identifikatoru (</w:t>
      </w:r>
      <w:r>
        <w:rPr>
          <w:i/>
          <w:noProof/>
        </w:rPr>
        <w:t>Originating Agency Identifier</w:t>
      </w:r>
      <w:r>
        <w:rPr>
          <w:noProof/>
        </w:rPr>
        <w:t xml:space="preserve"> – </w:t>
      </w:r>
      <w:r>
        <w:rPr>
          <w:i/>
          <w:noProof/>
        </w:rPr>
        <w:t>ORI</w:t>
      </w:r>
      <w:r>
        <w:rPr>
          <w:noProof/>
        </w:rPr>
        <w:t xml:space="preserve">) – kura aģentūra ir ieguvusi attēlu. Tajā ir divi informācijas elementi šādā formā – </w:t>
      </w:r>
      <w:r>
        <w:rPr>
          <w:i/>
          <w:noProof/>
        </w:rPr>
        <w:t>CC</w:t>
      </w:r>
      <w:r>
        <w:rPr>
          <w:noProof/>
        </w:rPr>
        <w:t>/aģe</w:t>
      </w:r>
      <w:r>
        <w:rPr>
          <w:noProof/>
        </w:rPr>
        <w:t>ntūra (</w:t>
      </w:r>
      <w:r>
        <w:rPr>
          <w:i/>
          <w:noProof/>
        </w:rPr>
        <w:t>CC</w:t>
      </w:r>
      <w:r>
        <w:rPr>
          <w:noProof/>
        </w:rPr>
        <w:t>/</w:t>
      </w:r>
      <w:r>
        <w:rPr>
          <w:i/>
          <w:noProof/>
        </w:rPr>
        <w:t>agency</w:t>
      </w:r>
      <w:r>
        <w:rPr>
          <w:noProof/>
        </w:rPr>
        <w:t>).</w:t>
      </w:r>
    </w:p>
    <w:p w:rsidR="003E022D" w:rsidRDefault="007D19D6">
      <w:pPr>
        <w:rPr>
          <w:noProof/>
        </w:rPr>
      </w:pPr>
      <w:r>
        <w:rPr>
          <w:noProof/>
        </w:rPr>
        <w:t>Pirmajā informācijas elementā ir Interpola izstrādātais valsts kods (</w:t>
      </w:r>
      <w:r>
        <w:rPr>
          <w:i/>
          <w:noProof/>
        </w:rPr>
        <w:t>Country Code</w:t>
      </w:r>
      <w:r>
        <w:rPr>
          <w:noProof/>
        </w:rPr>
        <w:t>), divas burtu vai ciparu zīmes. Otrs elements, aģentūra (</w:t>
      </w:r>
      <w:r>
        <w:rPr>
          <w:i/>
          <w:noProof/>
        </w:rPr>
        <w:t>agency</w:t>
      </w:r>
      <w:r>
        <w:rPr>
          <w:noProof/>
        </w:rPr>
        <w:t>), ir līdz 32 burtu vai ciparu zīmes garš brīvs teksts, un ar to identificē aģentūru.</w:t>
      </w:r>
    </w:p>
    <w:p w:rsidR="003E022D" w:rsidRDefault="007D19D6">
      <w:pPr>
        <w:spacing w:line="276" w:lineRule="auto"/>
        <w:rPr>
          <w:noProof/>
        </w:rPr>
      </w:pPr>
      <w:r>
        <w:rPr>
          <w:noProof/>
        </w:rPr>
        <w:t>8.1.5.</w:t>
      </w:r>
      <w:r>
        <w:rPr>
          <w:noProof/>
        </w:rPr>
        <w:tab/>
      </w:r>
      <w:r>
        <w:rPr>
          <w:i/>
          <w:iCs/>
          <w:noProof/>
        </w:rPr>
        <w:t>15.005. lauks – plaukstas nospieduma fiksācijas datums (Palmprint capture date – PCD)</w:t>
      </w:r>
    </w:p>
    <w:p w:rsidR="003E022D" w:rsidRDefault="007D19D6">
      <w:pPr>
        <w:rPr>
          <w:noProof/>
        </w:rPr>
      </w:pPr>
      <w:r>
        <w:rPr>
          <w:noProof/>
        </w:rPr>
        <w:t xml:space="preserve">Šajā obligātajā </w:t>
      </w:r>
      <w:r>
        <w:rPr>
          <w:i/>
          <w:noProof/>
        </w:rPr>
        <w:t>ASCII</w:t>
      </w:r>
      <w:r>
        <w:rPr>
          <w:noProof/>
        </w:rPr>
        <w:t xml:space="preserve"> laukā ir datums, kad ir fiksēts plaukstas nospieduma attēls. Datumam no astoņiem cipariem ir šāda forma "</w:t>
      </w:r>
      <w:r>
        <w:rPr>
          <w:i/>
          <w:noProof/>
        </w:rPr>
        <w:t>CCYYMMDD</w:t>
      </w:r>
      <w:r>
        <w:rPr>
          <w:noProof/>
        </w:rPr>
        <w:t>". Zīmes "</w:t>
      </w:r>
      <w:r>
        <w:rPr>
          <w:i/>
          <w:noProof/>
        </w:rPr>
        <w:t>CCYY</w:t>
      </w:r>
      <w:r>
        <w:rPr>
          <w:noProof/>
        </w:rPr>
        <w:t xml:space="preserve">" rāda gadu, kad </w:t>
      </w:r>
      <w:r>
        <w:rPr>
          <w:noProof/>
        </w:rPr>
        <w:t>attēls ir fiksēts; zīmes "</w:t>
      </w:r>
      <w:r>
        <w:rPr>
          <w:i/>
          <w:noProof/>
        </w:rPr>
        <w:t>MM</w:t>
      </w:r>
      <w:r>
        <w:rPr>
          <w:noProof/>
        </w:rPr>
        <w:t>" rāda mēnešus; un zīmes "</w:t>
      </w:r>
      <w:r>
        <w:rPr>
          <w:i/>
          <w:noProof/>
        </w:rPr>
        <w:t>DD</w:t>
      </w:r>
      <w:r>
        <w:rPr>
          <w:noProof/>
        </w:rPr>
        <w:t>" rāda mēneša dienas. Piemēram, 20000229 nozīmē 2000. gada 29. februāri. Pilns datums ir likumīgs datums.</w:t>
      </w:r>
    </w:p>
    <w:p w:rsidR="003E022D" w:rsidRDefault="007D19D6">
      <w:pPr>
        <w:spacing w:line="276" w:lineRule="auto"/>
        <w:rPr>
          <w:noProof/>
        </w:rPr>
      </w:pPr>
      <w:r>
        <w:rPr>
          <w:noProof/>
        </w:rPr>
        <w:t>8.1.6.</w:t>
      </w:r>
      <w:r>
        <w:rPr>
          <w:noProof/>
        </w:rPr>
        <w:tab/>
      </w:r>
      <w:r>
        <w:rPr>
          <w:i/>
          <w:iCs/>
          <w:noProof/>
        </w:rPr>
        <w:t>15.006. lauks – horizontālu līniju garums (Horizontal line length – HLL)</w:t>
      </w:r>
    </w:p>
    <w:p w:rsidR="003E022D" w:rsidRDefault="007D19D6">
      <w:pPr>
        <w:rPr>
          <w:noProof/>
        </w:rPr>
      </w:pPr>
      <w:r>
        <w:rPr>
          <w:noProof/>
        </w:rPr>
        <w:t>Šajā obligātaj</w:t>
      </w:r>
      <w:r>
        <w:rPr>
          <w:noProof/>
        </w:rPr>
        <w:t xml:space="preserve">ā </w:t>
      </w:r>
      <w:r>
        <w:rPr>
          <w:i/>
          <w:noProof/>
        </w:rPr>
        <w:t>ASCII</w:t>
      </w:r>
      <w:r>
        <w:rPr>
          <w:noProof/>
        </w:rPr>
        <w:t xml:space="preserve"> laukā ir vienā horizontālā pārraidītā attēla līnijā esošo pikseļu skaits.</w:t>
      </w:r>
    </w:p>
    <w:p w:rsidR="003E022D" w:rsidRDefault="007D19D6">
      <w:pPr>
        <w:spacing w:line="276" w:lineRule="auto"/>
        <w:rPr>
          <w:noProof/>
        </w:rPr>
      </w:pPr>
      <w:r>
        <w:rPr>
          <w:noProof/>
        </w:rPr>
        <w:t>8.1.7.</w:t>
      </w:r>
      <w:r>
        <w:rPr>
          <w:noProof/>
        </w:rPr>
        <w:tab/>
      </w:r>
      <w:r>
        <w:rPr>
          <w:i/>
          <w:iCs/>
          <w:noProof/>
        </w:rPr>
        <w:t>15.007. lauks – vertikālu līniju garums (Vertical line length – VLL)</w:t>
      </w:r>
    </w:p>
    <w:p w:rsidR="003E022D" w:rsidRDefault="007D19D6">
      <w:pPr>
        <w:rPr>
          <w:noProof/>
        </w:rPr>
      </w:pPr>
      <w:r>
        <w:rPr>
          <w:noProof/>
        </w:rPr>
        <w:t xml:space="preserve">Šajā obligātajā </w:t>
      </w:r>
      <w:r>
        <w:rPr>
          <w:i/>
          <w:noProof/>
        </w:rPr>
        <w:t>ASCII</w:t>
      </w:r>
      <w:r>
        <w:rPr>
          <w:noProof/>
        </w:rPr>
        <w:t xml:space="preserve"> laukā ir pārraidītā attēla horizontālo līniju skaits.</w:t>
      </w:r>
    </w:p>
    <w:p w:rsidR="003E022D" w:rsidRDefault="007D19D6">
      <w:pPr>
        <w:spacing w:line="276" w:lineRule="auto"/>
        <w:rPr>
          <w:noProof/>
        </w:rPr>
      </w:pPr>
      <w:r>
        <w:rPr>
          <w:noProof/>
        </w:rPr>
        <w:t>8.1.8.</w:t>
      </w:r>
      <w:r>
        <w:rPr>
          <w:noProof/>
        </w:rPr>
        <w:tab/>
      </w:r>
      <w:r>
        <w:rPr>
          <w:i/>
          <w:iCs/>
          <w:noProof/>
        </w:rPr>
        <w:t>15.008. lauks –</w:t>
      </w:r>
      <w:r>
        <w:rPr>
          <w:i/>
          <w:iCs/>
          <w:noProof/>
        </w:rPr>
        <w:t xml:space="preserve"> mēroga mērvienības (Scale units – SLC)</w:t>
      </w:r>
    </w:p>
    <w:p w:rsidR="003E022D" w:rsidRDefault="007D19D6">
      <w:pPr>
        <w:rPr>
          <w:noProof/>
        </w:rPr>
      </w:pPr>
      <w:r>
        <w:rPr>
          <w:noProof/>
        </w:rPr>
        <w:t xml:space="preserve">Šajā obligātajā </w:t>
      </w:r>
      <w:r>
        <w:rPr>
          <w:i/>
          <w:noProof/>
        </w:rPr>
        <w:t>ASCII</w:t>
      </w:r>
      <w:r>
        <w:rPr>
          <w:noProof/>
        </w:rPr>
        <w:t xml:space="preserve"> laukā ir norādītas vienības, ko izmanto, lai aprakstītu attēla nolasīšanas frekvenci (pikseļu blīvumu). Cipars "1" šajā laukā rāda pikseļus collā, savukārt "2" rāda pikseļus centimetrā. Cipars "</w:t>
      </w:r>
      <w:r>
        <w:rPr>
          <w:noProof/>
        </w:rPr>
        <w:t xml:space="preserve">0" šajā laukā nozīmē, ka mērogs nav uzrādīts. Tādos gadījumos </w:t>
      </w:r>
      <w:r>
        <w:rPr>
          <w:i/>
          <w:noProof/>
        </w:rPr>
        <w:t>HPS/VPS</w:t>
      </w:r>
      <w:r>
        <w:rPr>
          <w:noProof/>
        </w:rPr>
        <w:t xml:space="preserve"> dalījums dod pikseļu attiecības koeficientu.</w:t>
      </w:r>
    </w:p>
    <w:p w:rsidR="003E022D" w:rsidRDefault="007D19D6">
      <w:pPr>
        <w:spacing w:line="276" w:lineRule="auto"/>
        <w:rPr>
          <w:noProof/>
        </w:rPr>
      </w:pPr>
      <w:r>
        <w:rPr>
          <w:noProof/>
        </w:rPr>
        <w:t>8.1.9.</w:t>
      </w:r>
      <w:r>
        <w:rPr>
          <w:noProof/>
        </w:rPr>
        <w:tab/>
      </w:r>
      <w:r>
        <w:rPr>
          <w:i/>
          <w:iCs/>
          <w:noProof/>
        </w:rPr>
        <w:t>15.009. lauks – horizontāls pikseļu mērogs (Horizontal pixel scale – HPS)</w:t>
      </w:r>
    </w:p>
    <w:p w:rsidR="003E022D" w:rsidRDefault="007D19D6">
      <w:pPr>
        <w:rPr>
          <w:noProof/>
        </w:rPr>
      </w:pPr>
      <w:r>
        <w:rPr>
          <w:noProof/>
        </w:rPr>
        <w:t xml:space="preserve">Šajā obligātajā </w:t>
      </w:r>
      <w:r>
        <w:rPr>
          <w:i/>
          <w:noProof/>
        </w:rPr>
        <w:t>ASCII</w:t>
      </w:r>
      <w:r>
        <w:rPr>
          <w:noProof/>
        </w:rPr>
        <w:t xml:space="preserve"> laukā konkrēti norāda horizontālā virz</w:t>
      </w:r>
      <w:r>
        <w:rPr>
          <w:noProof/>
        </w:rPr>
        <w:t xml:space="preserve">ienā izmantoto pikseļu blīvumu veselos skaitļos, ja </w:t>
      </w:r>
      <w:r>
        <w:rPr>
          <w:i/>
          <w:noProof/>
        </w:rPr>
        <w:t>SLC</w:t>
      </w:r>
      <w:r>
        <w:rPr>
          <w:noProof/>
        </w:rPr>
        <w:t xml:space="preserve"> ir ar "1" vai "2". Ja tā nav, tas rāda pikseļu attiecības koeficienta horizontālo komponentu.</w:t>
      </w:r>
    </w:p>
    <w:p w:rsidR="003E022D" w:rsidRDefault="007D19D6">
      <w:pPr>
        <w:spacing w:line="276" w:lineRule="auto"/>
        <w:rPr>
          <w:noProof/>
        </w:rPr>
      </w:pPr>
      <w:r>
        <w:rPr>
          <w:noProof/>
        </w:rPr>
        <w:t>8.1.10.</w:t>
      </w:r>
      <w:r>
        <w:rPr>
          <w:noProof/>
        </w:rPr>
        <w:tab/>
      </w:r>
      <w:r>
        <w:rPr>
          <w:i/>
          <w:iCs/>
          <w:noProof/>
        </w:rPr>
        <w:t>15.010. lauks – vertikāls pikseļu mērogs (Vertical pixel scale – VPS)</w:t>
      </w:r>
    </w:p>
    <w:p w:rsidR="003E022D" w:rsidRDefault="007D19D6">
      <w:pPr>
        <w:rPr>
          <w:noProof/>
        </w:rPr>
      </w:pPr>
      <w:r>
        <w:rPr>
          <w:noProof/>
        </w:rPr>
        <w:t xml:space="preserve">Šajā obligātajā </w:t>
      </w:r>
      <w:r>
        <w:rPr>
          <w:i/>
          <w:noProof/>
        </w:rPr>
        <w:t>ASCII</w:t>
      </w:r>
      <w:r>
        <w:rPr>
          <w:noProof/>
        </w:rPr>
        <w:t xml:space="preserve"> laukā </w:t>
      </w:r>
      <w:r>
        <w:rPr>
          <w:noProof/>
        </w:rPr>
        <w:t xml:space="preserve">konkrēti norāda vertikālā virzienā izmantoto pikseļu blīvumu veselos skaitļos, ja </w:t>
      </w:r>
      <w:r>
        <w:rPr>
          <w:i/>
          <w:noProof/>
        </w:rPr>
        <w:t>SLC</w:t>
      </w:r>
      <w:r>
        <w:rPr>
          <w:noProof/>
        </w:rPr>
        <w:t xml:space="preserve"> ir ar "1" vai "2". Ja tā nav, tas rāda pikseļu attiecības koeficienta vertikālo komponentu.</w:t>
      </w: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3E022D">
        <w:tc>
          <w:tcPr>
            <w:tcW w:w="9286" w:type="dxa"/>
            <w:gridSpan w:val="10"/>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 tabula. 15. tipa plaukstu nospiedumu attēli ar maināmu izšķirtspēju – ierak</w:t>
            </w:r>
            <w:r>
              <w:rPr>
                <w:noProof/>
              </w:rPr>
              <w:t>stu izkārtojums</w:t>
            </w:r>
          </w:p>
        </w:tc>
      </w:tr>
      <w:tr w:rsidR="003E022D">
        <w:tc>
          <w:tcPr>
            <w:tcW w:w="929"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Max byte count</w:t>
            </w:r>
          </w:p>
        </w:tc>
      </w:tr>
      <w:tr w:rsidR="003E022D">
        <w:tc>
          <w:tcPr>
            <w:tcW w:w="929"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rsidR="003E022D" w:rsidRDefault="003E022D">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15.001</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15.002</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15.003</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15.004</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PCD</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15.005</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PALMPRINT CAPTURE DATE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16</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15.006</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15.007</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15.008</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15.009</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15.010</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15.011</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14</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15.012</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PLP</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15.013</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PALMPRINT POSITION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15.014</w:t>
            </w:r>
          </w:p>
          <w:p w:rsidR="003E022D" w:rsidRDefault="007D19D6">
            <w:pPr>
              <w:spacing w:line="276" w:lineRule="auto"/>
              <w:rPr>
                <w:noProof/>
              </w:rPr>
            </w:pPr>
            <w:r>
              <w:rPr>
                <w:noProof/>
              </w:rPr>
              <w:t>15.019</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15.020</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128</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15.021</w:t>
            </w:r>
          </w:p>
          <w:p w:rsidR="003E022D" w:rsidRDefault="007D19D6">
            <w:pPr>
              <w:spacing w:line="276" w:lineRule="auto"/>
              <w:rPr>
                <w:noProof/>
              </w:rPr>
            </w:pPr>
            <w:r>
              <w:rPr>
                <w:noProof/>
              </w:rPr>
              <w:t>15.199</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15.200</w:t>
            </w:r>
          </w:p>
          <w:p w:rsidR="003E022D" w:rsidRDefault="007D19D6">
            <w:pPr>
              <w:spacing w:line="276" w:lineRule="auto"/>
              <w:rPr>
                <w:noProof/>
              </w:rPr>
            </w:pPr>
            <w:r>
              <w:rPr>
                <w:noProof/>
              </w:rPr>
              <w:t>15.998</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15.999</w:t>
            </w:r>
          </w:p>
        </w:tc>
        <w:tc>
          <w:tcPr>
            <w:tcW w:w="92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bl>
    <w:p w:rsidR="003E022D" w:rsidRDefault="003E022D">
      <w:pPr>
        <w:rPr>
          <w:noProof/>
          <w:lang w:val="en-IE"/>
        </w:rPr>
      </w:pPr>
    </w:p>
    <w:tbl>
      <w:tblPr>
        <w:tblW w:w="0" w:type="auto"/>
        <w:tblInd w:w="2507" w:type="dxa"/>
        <w:tblLayout w:type="fixed"/>
        <w:tblLook w:val="0000" w:firstRow="0" w:lastRow="0" w:firstColumn="0" w:lastColumn="0" w:noHBand="0" w:noVBand="0"/>
      </w:tblPr>
      <w:tblGrid>
        <w:gridCol w:w="2606"/>
        <w:gridCol w:w="1666"/>
      </w:tblGrid>
      <w:tr w:rsidR="003E022D">
        <w:tc>
          <w:tcPr>
            <w:tcW w:w="4272" w:type="dxa"/>
            <w:gridSpan w:val="2"/>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 tabula. Plaukstu nospiedumu tipi</w:t>
            </w:r>
          </w:p>
        </w:tc>
      </w:tr>
      <w:tr w:rsidR="003E022D">
        <w:tc>
          <w:tcPr>
            <w:tcW w:w="260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c>
          <w:tcPr>
            <w:tcW w:w="16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Code</w:t>
            </w:r>
          </w:p>
        </w:tc>
      </w:tr>
      <w:tr w:rsidR="003E022D">
        <w:tc>
          <w:tcPr>
            <w:tcW w:w="260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Live-scan palm</w:t>
            </w:r>
          </w:p>
        </w:tc>
        <w:tc>
          <w:tcPr>
            <w:tcW w:w="16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w:t>
            </w:r>
          </w:p>
        </w:tc>
      </w:tr>
      <w:tr w:rsidR="003E022D">
        <w:tc>
          <w:tcPr>
            <w:tcW w:w="260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Nonlive-scan palm</w:t>
            </w:r>
          </w:p>
        </w:tc>
        <w:tc>
          <w:tcPr>
            <w:tcW w:w="16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w:t>
            </w:r>
          </w:p>
        </w:tc>
      </w:tr>
      <w:tr w:rsidR="003E022D">
        <w:tc>
          <w:tcPr>
            <w:tcW w:w="260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palm impression</w:t>
            </w:r>
          </w:p>
        </w:tc>
        <w:tc>
          <w:tcPr>
            <w:tcW w:w="16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r>
      <w:tr w:rsidR="003E022D">
        <w:tc>
          <w:tcPr>
            <w:tcW w:w="260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palm tracing</w:t>
            </w:r>
          </w:p>
        </w:tc>
        <w:tc>
          <w:tcPr>
            <w:tcW w:w="16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w:t>
            </w:r>
          </w:p>
        </w:tc>
      </w:tr>
      <w:tr w:rsidR="003E022D">
        <w:tc>
          <w:tcPr>
            <w:tcW w:w="260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palm photo</w:t>
            </w:r>
          </w:p>
        </w:tc>
        <w:tc>
          <w:tcPr>
            <w:tcW w:w="16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14</w:t>
            </w:r>
          </w:p>
        </w:tc>
      </w:tr>
      <w:tr w:rsidR="003E022D">
        <w:tc>
          <w:tcPr>
            <w:tcW w:w="260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palm lift</w:t>
            </w:r>
          </w:p>
        </w:tc>
        <w:tc>
          <w:tcPr>
            <w:tcW w:w="166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w:t>
            </w:r>
          </w:p>
        </w:tc>
      </w:tr>
    </w:tbl>
    <w:p w:rsidR="003E022D" w:rsidRDefault="003E022D">
      <w:pPr>
        <w:rPr>
          <w:noProof/>
          <w:lang w:val="en-IE"/>
        </w:rPr>
      </w:pPr>
    </w:p>
    <w:p w:rsidR="003E022D" w:rsidRDefault="007D19D6">
      <w:pPr>
        <w:spacing w:line="276" w:lineRule="auto"/>
        <w:rPr>
          <w:noProof/>
        </w:rPr>
      </w:pPr>
      <w:r>
        <w:rPr>
          <w:noProof/>
        </w:rPr>
        <w:t>8.1.11.</w:t>
      </w:r>
      <w:r>
        <w:rPr>
          <w:noProof/>
        </w:rPr>
        <w:tab/>
      </w:r>
      <w:r>
        <w:rPr>
          <w:i/>
          <w:iCs/>
          <w:noProof/>
        </w:rPr>
        <w:t xml:space="preserve">15.011. lauks – saspiešanas algoritms (Compression </w:t>
      </w:r>
      <w:r>
        <w:rPr>
          <w:i/>
          <w:iCs/>
          <w:noProof/>
        </w:rPr>
        <w:t>algorithm – CGA)</w:t>
      </w:r>
    </w:p>
    <w:p w:rsidR="003E022D" w:rsidRDefault="007D19D6">
      <w:pPr>
        <w:rPr>
          <w:noProof/>
        </w:rPr>
      </w:pPr>
      <w:r>
        <w:rPr>
          <w:noProof/>
        </w:rPr>
        <w:t xml:space="preserve">Šajā obligātajā </w:t>
      </w:r>
      <w:r>
        <w:rPr>
          <w:i/>
          <w:noProof/>
        </w:rPr>
        <w:t>ASCII</w:t>
      </w:r>
      <w:r>
        <w:rPr>
          <w:noProof/>
        </w:rPr>
        <w:t xml:space="preserve"> laukā konkrēti norāda algoritmu, ko lieto, lai saspiestu melnbaltus tonālus attēlus. Ieraksts "</w:t>
      </w:r>
      <w:r>
        <w:rPr>
          <w:i/>
          <w:noProof/>
        </w:rPr>
        <w:t>NONE</w:t>
      </w:r>
      <w:r>
        <w:rPr>
          <w:noProof/>
        </w:rPr>
        <w:t>" šajā laukā norāda, ka dati ierakstā nav saspiesti. Attēliem, ko paredzēts saspiest, šajā laukā ir dota ieteicamā des</w:t>
      </w:r>
      <w:r>
        <w:rPr>
          <w:noProof/>
        </w:rPr>
        <w:t>mit pirkstu nospiedumu attēlu saspiešanas metode. Izmantojami saspiešanas kodi ir definēti 7. papildinājumā.</w:t>
      </w:r>
    </w:p>
    <w:p w:rsidR="003E022D" w:rsidRDefault="007D19D6">
      <w:pPr>
        <w:spacing w:line="276" w:lineRule="auto"/>
        <w:rPr>
          <w:noProof/>
        </w:rPr>
      </w:pPr>
      <w:r>
        <w:rPr>
          <w:noProof/>
        </w:rPr>
        <w:t>8.1.12.</w:t>
      </w:r>
      <w:r>
        <w:rPr>
          <w:noProof/>
        </w:rPr>
        <w:tab/>
      </w:r>
      <w:r>
        <w:rPr>
          <w:i/>
          <w:iCs/>
          <w:noProof/>
        </w:rPr>
        <w:t>15.012. lauks – biti pikselī (Bits per pixel – BPX)</w:t>
      </w:r>
    </w:p>
    <w:p w:rsidR="003E022D" w:rsidRDefault="007D19D6">
      <w:pPr>
        <w:rPr>
          <w:noProof/>
        </w:rPr>
      </w:pPr>
      <w:r>
        <w:rPr>
          <w:noProof/>
        </w:rPr>
        <w:t xml:space="preserve">Šajā obligātajā </w:t>
      </w:r>
      <w:r>
        <w:rPr>
          <w:i/>
          <w:noProof/>
        </w:rPr>
        <w:t>ASCII</w:t>
      </w:r>
      <w:r>
        <w:rPr>
          <w:noProof/>
        </w:rPr>
        <w:t xml:space="preserve"> laukā ir bitu skaits, kas izmantots, lai izveidotu pikseli. Šajā </w:t>
      </w:r>
      <w:r>
        <w:rPr>
          <w:noProof/>
        </w:rPr>
        <w:t>laukā ir cipars "8" normālu melnbaltu tonālu attēlu vērtībām no "0" līdz "255". Jebkurš ieraksts šajā laukā, lielāks par "8", raksturo melnbaltu tonālu attēlu pikseli, kam ir palielināta precizitāte.</w:t>
      </w:r>
    </w:p>
    <w:tbl>
      <w:tblPr>
        <w:tblW w:w="0" w:type="auto"/>
        <w:tblInd w:w="93" w:type="dxa"/>
        <w:tblLayout w:type="fixed"/>
        <w:tblLook w:val="0000" w:firstRow="0" w:lastRow="0" w:firstColumn="0" w:lastColumn="0" w:noHBand="0" w:noVBand="0"/>
      </w:tblPr>
      <w:tblGrid>
        <w:gridCol w:w="2275"/>
        <w:gridCol w:w="1456"/>
        <w:gridCol w:w="2093"/>
        <w:gridCol w:w="1638"/>
        <w:gridCol w:w="1638"/>
      </w:tblGrid>
      <w:tr w:rsidR="003E022D">
        <w:tc>
          <w:tcPr>
            <w:tcW w:w="9100" w:type="dxa"/>
            <w:gridSpan w:val="5"/>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 tabula. Plaukstu kodi, laukumi un lielumi</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Palm Posi</w:t>
            </w:r>
            <w:r>
              <w:rPr>
                <w:noProof/>
              </w:rPr>
              <w:t>tion</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Palm code</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area (mm2)</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Width (mm)</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Height (mm)</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Unknown Palm</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203,2</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Full Palm</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21</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203,2</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Writer s Palm</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22</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127,0</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Full Palm</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23</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203,2</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Writer s Palm</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24</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127,0</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Lower</w:t>
            </w:r>
            <w:r>
              <w:rPr>
                <w:noProof/>
              </w:rPr>
              <w:t xml:space="preserve"> Palm</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25</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Upper Palm</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26</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Lower Palm</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27</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Upper Palm</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28</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Right Other</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29</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203,2</w:t>
            </w:r>
          </w:p>
        </w:tc>
      </w:tr>
      <w:tr w:rsidR="003E022D">
        <w:tc>
          <w:tcPr>
            <w:tcW w:w="227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Left Other</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30</w:t>
            </w:r>
          </w:p>
        </w:tc>
        <w:tc>
          <w:tcPr>
            <w:tcW w:w="20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203,2</w:t>
            </w:r>
          </w:p>
        </w:tc>
      </w:tr>
    </w:tbl>
    <w:p w:rsidR="003E022D" w:rsidRDefault="003E022D">
      <w:pPr>
        <w:rPr>
          <w:noProof/>
          <w:lang w:val="en-IE"/>
        </w:rPr>
      </w:pPr>
    </w:p>
    <w:p w:rsidR="003E022D" w:rsidRDefault="007D19D6">
      <w:pPr>
        <w:spacing w:line="276" w:lineRule="auto"/>
        <w:rPr>
          <w:noProof/>
        </w:rPr>
      </w:pPr>
      <w:r>
        <w:rPr>
          <w:noProof/>
        </w:rPr>
        <w:t>8.1.13.</w:t>
      </w:r>
      <w:r>
        <w:rPr>
          <w:noProof/>
        </w:rPr>
        <w:tab/>
      </w:r>
      <w:r>
        <w:rPr>
          <w:i/>
          <w:iCs/>
          <w:noProof/>
        </w:rPr>
        <w:t xml:space="preserve">15.013. lauks – plaukstas nospieduma </w:t>
      </w:r>
      <w:r>
        <w:rPr>
          <w:i/>
          <w:iCs/>
          <w:noProof/>
        </w:rPr>
        <w:t>vieta (Palmprint position – PLP)</w:t>
      </w:r>
    </w:p>
    <w:p w:rsidR="003E022D" w:rsidRDefault="007D19D6">
      <w:pPr>
        <w:rPr>
          <w:noProof/>
        </w:rPr>
      </w:pPr>
      <w:r>
        <w:rPr>
          <w:noProof/>
        </w:rPr>
        <w:t>Šajā obligātajā marķētajā laukā ir plaukstas nospieduma vieta, kas atbilst plaukstas nospieduma attēlam. Decimālciparu koda numuru, kas atbilst zināmai vai visiespējamākai plaukstas nospieduma vietai ņem no 10. tabulas un i</w:t>
      </w:r>
      <w:r>
        <w:rPr>
          <w:noProof/>
        </w:rPr>
        <w:t xml:space="preserve">eraksta kā pakārtotu </w:t>
      </w:r>
      <w:r>
        <w:rPr>
          <w:i/>
          <w:noProof/>
        </w:rPr>
        <w:t>ASCII</w:t>
      </w:r>
      <w:r>
        <w:rPr>
          <w:noProof/>
        </w:rPr>
        <w:t> lauku. 10. tabulā arī ir uzskaitīti lielākie iespējamie katra iespējamā plaukstas novietojuma nospieduma laukumi un izmēri.</w:t>
      </w:r>
    </w:p>
    <w:p w:rsidR="003E022D" w:rsidRDefault="007D19D6">
      <w:pPr>
        <w:spacing w:line="276" w:lineRule="auto"/>
        <w:rPr>
          <w:noProof/>
        </w:rPr>
      </w:pPr>
      <w:r>
        <w:rPr>
          <w:noProof/>
        </w:rPr>
        <w:t>8.1.14.</w:t>
      </w:r>
      <w:r>
        <w:rPr>
          <w:noProof/>
        </w:rPr>
        <w:tab/>
      </w:r>
      <w:r>
        <w:rPr>
          <w:i/>
          <w:iCs/>
          <w:noProof/>
        </w:rPr>
        <w:t>15.014-019. lauks – rezervēts turpmākām vajadzībām (Reserved for future definition – RSV)</w:t>
      </w:r>
    </w:p>
    <w:p w:rsidR="003E022D" w:rsidRDefault="007D19D6">
      <w:pPr>
        <w:rPr>
          <w:noProof/>
        </w:rPr>
      </w:pPr>
      <w:r>
        <w:rPr>
          <w:noProof/>
        </w:rPr>
        <w:t>Šie lau</w:t>
      </w:r>
      <w:r>
        <w:rPr>
          <w:noProof/>
        </w:rPr>
        <w:t>ki ir atstāti tukši, lai tajos varētu nākotnē ierakstīt šā standarta pārstrādājumus. Neviens no šiem laukiem nav jālieto pašreizējā izstrādes līmenī. Ja kāds no šiem laukiem parādās, tas jāignorē.</w:t>
      </w:r>
    </w:p>
    <w:p w:rsidR="003E022D" w:rsidRDefault="007D19D6">
      <w:pPr>
        <w:spacing w:line="276" w:lineRule="auto"/>
        <w:rPr>
          <w:noProof/>
        </w:rPr>
      </w:pPr>
      <w:r>
        <w:rPr>
          <w:noProof/>
        </w:rPr>
        <w:t>8.1.15.</w:t>
      </w:r>
      <w:r>
        <w:rPr>
          <w:noProof/>
        </w:rPr>
        <w:tab/>
      </w:r>
      <w:r>
        <w:rPr>
          <w:i/>
          <w:iCs/>
          <w:noProof/>
        </w:rPr>
        <w:t>15.020. lauks – piebildes (Comment – COM)</w:t>
      </w:r>
    </w:p>
    <w:p w:rsidR="003E022D" w:rsidRDefault="007D19D6">
      <w:pPr>
        <w:rPr>
          <w:noProof/>
        </w:rPr>
      </w:pPr>
      <w:r>
        <w:rPr>
          <w:noProof/>
        </w:rPr>
        <w:t>Šo fakult</w:t>
      </w:r>
      <w:r>
        <w:rPr>
          <w:noProof/>
        </w:rPr>
        <w:t xml:space="preserve">atīvo lauku var izmantot piebildēm vai citai </w:t>
      </w:r>
      <w:r>
        <w:rPr>
          <w:i/>
          <w:noProof/>
        </w:rPr>
        <w:t>ASCII</w:t>
      </w:r>
      <w:r>
        <w:rPr>
          <w:noProof/>
        </w:rPr>
        <w:t xml:space="preserve"> teksta informācijai par plaukstas nospieduma attēla datiem.</w:t>
      </w:r>
    </w:p>
    <w:p w:rsidR="003E022D" w:rsidRDefault="007D19D6">
      <w:pPr>
        <w:spacing w:line="276" w:lineRule="auto"/>
        <w:rPr>
          <w:noProof/>
        </w:rPr>
      </w:pPr>
      <w:r>
        <w:rPr>
          <w:noProof/>
        </w:rPr>
        <w:t>8.1.16.</w:t>
      </w:r>
      <w:r>
        <w:rPr>
          <w:noProof/>
        </w:rPr>
        <w:tab/>
      </w:r>
      <w:r>
        <w:rPr>
          <w:i/>
          <w:iCs/>
          <w:noProof/>
        </w:rPr>
        <w:t xml:space="preserve">15.021-199. lauks – </w:t>
      </w:r>
      <w:r>
        <w:rPr>
          <w:noProof/>
        </w:rPr>
        <w:t>rezervēts turpmākām vajadzībām (</w:t>
      </w:r>
      <w:r>
        <w:rPr>
          <w:i/>
          <w:iCs/>
          <w:noProof/>
        </w:rPr>
        <w:t>Reserved for future definition</w:t>
      </w:r>
      <w:r>
        <w:rPr>
          <w:noProof/>
        </w:rPr>
        <w:t xml:space="preserve"> – </w:t>
      </w:r>
      <w:r>
        <w:rPr>
          <w:i/>
          <w:iCs/>
          <w:noProof/>
        </w:rPr>
        <w:t>RSV</w:t>
      </w:r>
      <w:r>
        <w:rPr>
          <w:noProof/>
        </w:rPr>
        <w:t>)</w:t>
      </w:r>
    </w:p>
    <w:p w:rsidR="003E022D" w:rsidRDefault="007D19D6">
      <w:pPr>
        <w:rPr>
          <w:noProof/>
        </w:rPr>
      </w:pPr>
      <w:r>
        <w:rPr>
          <w:noProof/>
        </w:rPr>
        <w:t>Šie lauki ir atstāti tukši, lai tajos varētu nā</w:t>
      </w:r>
      <w:r>
        <w:rPr>
          <w:noProof/>
        </w:rPr>
        <w:t>kotnē ierakstīt šā standarta pārstrādājumus. Neviens no šiem laukiem nav jālieto pašreizējā izstrādes līmenī. Ja kāds no šiem laukiem parādās, tas jāignorē.</w:t>
      </w:r>
    </w:p>
    <w:p w:rsidR="003E022D" w:rsidRDefault="007D19D6">
      <w:pPr>
        <w:spacing w:line="276" w:lineRule="auto"/>
        <w:rPr>
          <w:noProof/>
        </w:rPr>
      </w:pPr>
      <w:r>
        <w:rPr>
          <w:noProof/>
        </w:rPr>
        <w:t>8.1.17.</w:t>
      </w:r>
      <w:r>
        <w:rPr>
          <w:noProof/>
        </w:rPr>
        <w:tab/>
      </w:r>
      <w:r>
        <w:rPr>
          <w:i/>
          <w:iCs/>
          <w:noProof/>
        </w:rPr>
        <w:t>15.200-998. lauks – lietotāju definēti lauki (User-defined fields – UDF)</w:t>
      </w:r>
    </w:p>
    <w:p w:rsidR="003E022D" w:rsidRDefault="007D19D6">
      <w:pPr>
        <w:rPr>
          <w:noProof/>
        </w:rPr>
      </w:pPr>
      <w:r>
        <w:rPr>
          <w:noProof/>
        </w:rPr>
        <w:t>Šos laukus var sav</w:t>
      </w:r>
      <w:r>
        <w:rPr>
          <w:noProof/>
        </w:rPr>
        <w:t xml:space="preserve">ām vajadzībām piemērot paši lietotāji, un tos lietos nākotnē. To lielumu un saturu definē paši lietotāji saskaņā ar saņēmēju aģentūru. Ja tādi parādās, tajos ir </w:t>
      </w:r>
      <w:r>
        <w:rPr>
          <w:i/>
          <w:noProof/>
        </w:rPr>
        <w:t>ASCII</w:t>
      </w:r>
      <w:r>
        <w:rPr>
          <w:noProof/>
        </w:rPr>
        <w:t xml:space="preserve"> teksta informācija.</w:t>
      </w:r>
    </w:p>
    <w:p w:rsidR="003E022D" w:rsidRDefault="007D19D6">
      <w:pPr>
        <w:spacing w:line="276" w:lineRule="auto"/>
        <w:rPr>
          <w:noProof/>
        </w:rPr>
      </w:pPr>
      <w:r>
        <w:rPr>
          <w:noProof/>
        </w:rPr>
        <w:t>8.1.18.</w:t>
      </w:r>
      <w:r>
        <w:rPr>
          <w:noProof/>
        </w:rPr>
        <w:tab/>
      </w:r>
      <w:r>
        <w:rPr>
          <w:i/>
          <w:iCs/>
          <w:noProof/>
        </w:rPr>
        <w:t>15.999. lauks – attēlu dati (Image data – DAT)</w:t>
      </w:r>
    </w:p>
    <w:p w:rsidR="003E022D" w:rsidRDefault="007D19D6">
      <w:pPr>
        <w:rPr>
          <w:noProof/>
        </w:rPr>
      </w:pPr>
      <w:r>
        <w:rPr>
          <w:noProof/>
        </w:rPr>
        <w:t xml:space="preserve">Šajā laukā ir </w:t>
      </w:r>
      <w:r>
        <w:rPr>
          <w:noProof/>
        </w:rPr>
        <w:t>visi fiksēta plaukstas nospieduma attēla dati. Tam vienmēr piešķir lauka numuru 999, un tas ir pēdējais fiziskais lauks ierakstā. Piemēram, pēc "15.999:" ir doti attēla dati binārā formā. Katru nesaspiestu melnbaltu tonālu attēlu datu pikseli parasti kvant</w:t>
      </w:r>
      <w:r>
        <w:rPr>
          <w:noProof/>
        </w:rPr>
        <w:t xml:space="preserve">ē par astoņiem bitiem (256 toņu pelēkumu) vienā baitā. Ja ieraksts </w:t>
      </w:r>
      <w:r>
        <w:rPr>
          <w:i/>
          <w:noProof/>
        </w:rPr>
        <w:t>BPX</w:t>
      </w:r>
      <w:r>
        <w:rPr>
          <w:noProof/>
        </w:rPr>
        <w:t xml:space="preserve"> laukā 15.012 ir lielāks vai mazāks par 8, baitu skaits, kas vajadzīgs, lai fiksētu pikseli, būs citāds. Ja izmanto saspiešanu, pikseļu datus saspiež saskaņā ar </w:t>
      </w:r>
      <w:r>
        <w:rPr>
          <w:i/>
          <w:noProof/>
        </w:rPr>
        <w:t>CGA</w:t>
      </w:r>
      <w:r>
        <w:rPr>
          <w:noProof/>
        </w:rPr>
        <w:t xml:space="preserve"> laukā norādīto saspie</w:t>
      </w:r>
      <w:r>
        <w:rPr>
          <w:noProof/>
        </w:rPr>
        <w:t>šanas paņēmienu.</w:t>
      </w:r>
    </w:p>
    <w:p w:rsidR="003E022D" w:rsidRDefault="007D19D6">
      <w:pPr>
        <w:spacing w:line="276" w:lineRule="auto"/>
        <w:rPr>
          <w:noProof/>
        </w:rPr>
      </w:pPr>
      <w:r>
        <w:rPr>
          <w:noProof/>
        </w:rPr>
        <w:t>8.2.</w:t>
      </w:r>
      <w:r>
        <w:rPr>
          <w:noProof/>
        </w:rPr>
        <w:tab/>
        <w:t>15. tips – plaukstu nospiedumu attēli ar maināmu izšķirtspēju – beigas</w:t>
      </w:r>
    </w:p>
    <w:p w:rsidR="003E022D" w:rsidRDefault="007D19D6">
      <w:pPr>
        <w:rPr>
          <w:noProof/>
        </w:rPr>
      </w:pPr>
      <w:r>
        <w:rPr>
          <w:noProof/>
        </w:rPr>
        <w:t>Konsekvences labad tūlīt pēc pēdējā datu baita 15.999. laukā lieto nošķīrēju "</w:t>
      </w:r>
      <w:r>
        <w:rPr>
          <w:i/>
          <w:noProof/>
        </w:rPr>
        <w:t>FS</w:t>
      </w:r>
      <w:r>
        <w:rPr>
          <w:noProof/>
        </w:rPr>
        <w:t>", lai to nošķirtu no nākamā loģiskā ieraksta. Šo nošķīrēju iekļauj 15. tipa ieraks</w:t>
      </w:r>
      <w:r>
        <w:rPr>
          <w:noProof/>
        </w:rPr>
        <w:t>ta garuma laukā.</w:t>
      </w:r>
    </w:p>
    <w:p w:rsidR="003E022D" w:rsidRDefault="007D19D6">
      <w:pPr>
        <w:spacing w:line="276" w:lineRule="auto"/>
        <w:rPr>
          <w:noProof/>
        </w:rPr>
      </w:pPr>
      <w:r>
        <w:rPr>
          <w:noProof/>
        </w:rPr>
        <w:t>8.3.</w:t>
      </w:r>
      <w:r>
        <w:rPr>
          <w:noProof/>
        </w:rPr>
        <w:tab/>
        <w:t>Papildu 15. tipa plaukstu nospiedumu attēlu ieraksti ar maināmu izšķirtspēju</w:t>
      </w:r>
    </w:p>
    <w:p w:rsidR="003E022D" w:rsidRDefault="007D19D6">
      <w:pPr>
        <w:rPr>
          <w:noProof/>
        </w:rPr>
      </w:pPr>
      <w:r>
        <w:rPr>
          <w:noProof/>
        </w:rPr>
        <w:t>Datnē var iekļaut papildu 15. tipa ierakstus. Katram papildu plaukstas nospieduma attēlam ir vajadzīgs pilnīgs 15. tipa loģisks ieraksts līdz ar "</w:t>
      </w:r>
      <w:r>
        <w:rPr>
          <w:i/>
          <w:noProof/>
        </w:rPr>
        <w:t>FS</w:t>
      </w:r>
      <w:r>
        <w:rPr>
          <w:noProof/>
        </w:rPr>
        <w:t xml:space="preserve">" </w:t>
      </w:r>
      <w:r>
        <w:rPr>
          <w:noProof/>
        </w:rPr>
        <w:t>nošķīrēju.</w:t>
      </w:r>
    </w:p>
    <w:tbl>
      <w:tblPr>
        <w:tblW w:w="0" w:type="auto"/>
        <w:tblLayout w:type="fixed"/>
        <w:tblLook w:val="0000" w:firstRow="0" w:lastRow="0" w:firstColumn="0" w:lastColumn="0" w:noHBand="0" w:noVBand="0"/>
      </w:tblPr>
      <w:tblGrid>
        <w:gridCol w:w="1579"/>
        <w:gridCol w:w="1021"/>
        <w:gridCol w:w="1022"/>
        <w:gridCol w:w="1021"/>
        <w:gridCol w:w="1114"/>
        <w:gridCol w:w="1115"/>
        <w:gridCol w:w="1207"/>
        <w:gridCol w:w="1207"/>
      </w:tblGrid>
      <w:tr w:rsidR="003E022D">
        <w:tc>
          <w:tcPr>
            <w:tcW w:w="9286" w:type="dxa"/>
            <w:gridSpan w:val="8"/>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 tabula. Lielākais iespējamais kandidātu skaits, ko pieņem pārbaudei vienā datu pārsūtīšanas reizē</w:t>
            </w:r>
          </w:p>
        </w:tc>
      </w:tr>
      <w:tr w:rsidR="003E022D">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 of AFIS Search</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TP/TP</w:t>
            </w:r>
          </w:p>
        </w:tc>
        <w:tc>
          <w:tcPr>
            <w:tcW w:w="10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LT/TP</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LP/PP</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TP/UL</w:t>
            </w:r>
          </w:p>
        </w:tc>
        <w:tc>
          <w:tcPr>
            <w:tcW w:w="111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LT/UL</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PP/ULP</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LP/ULP</w:t>
            </w:r>
          </w:p>
        </w:tc>
      </w:tr>
      <w:tr w:rsidR="003E022D">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Maximum Number of Candidates</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10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111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r>
    </w:tbl>
    <w:p w:rsidR="003E022D" w:rsidRDefault="003E022D">
      <w:pPr>
        <w:rPr>
          <w:noProof/>
          <w:lang w:val="en-IE"/>
        </w:rPr>
      </w:pPr>
    </w:p>
    <w:p w:rsidR="003E022D" w:rsidRDefault="007D19D6">
      <w:pPr>
        <w:rPr>
          <w:noProof/>
        </w:rPr>
      </w:pPr>
      <w:r>
        <w:rPr>
          <w:noProof/>
        </w:rPr>
        <w:t>Meklējumu tipi:</w:t>
      </w:r>
    </w:p>
    <w:p w:rsidR="003E022D" w:rsidRDefault="007D19D6">
      <w:pPr>
        <w:rPr>
          <w:noProof/>
        </w:rPr>
      </w:pPr>
      <w:r>
        <w:rPr>
          <w:noProof/>
        </w:rPr>
        <w:t>TP/TP (</w:t>
      </w:r>
      <w:r>
        <w:rPr>
          <w:i/>
          <w:noProof/>
        </w:rPr>
        <w:t>ten-print against ten-print</w:t>
      </w:r>
      <w:r>
        <w:rPr>
          <w:noProof/>
        </w:rPr>
        <w:t>): desmit pirkstu nospiedumu salīdzināšana ar desmit pirkstu nospiedumiem</w:t>
      </w:r>
    </w:p>
    <w:p w:rsidR="003E022D" w:rsidRDefault="007D19D6">
      <w:pPr>
        <w:rPr>
          <w:noProof/>
        </w:rPr>
      </w:pPr>
      <w:r>
        <w:rPr>
          <w:noProof/>
        </w:rPr>
        <w:t>LT/TP (</w:t>
      </w:r>
      <w:r>
        <w:rPr>
          <w:i/>
          <w:noProof/>
        </w:rPr>
        <w:t>fingerprint latent against ten-print</w:t>
      </w:r>
      <w:r>
        <w:rPr>
          <w:noProof/>
        </w:rPr>
        <w:t>): latentu pirkstu nospiedumu salīdzināšana ar desmit pirkstu nospiedumiem</w:t>
      </w:r>
    </w:p>
    <w:p w:rsidR="003E022D" w:rsidRDefault="007D19D6">
      <w:pPr>
        <w:rPr>
          <w:noProof/>
        </w:rPr>
      </w:pPr>
      <w:r>
        <w:rPr>
          <w:noProof/>
        </w:rPr>
        <w:t>LP/PP (</w:t>
      </w:r>
      <w:r>
        <w:rPr>
          <w:i/>
          <w:noProof/>
        </w:rPr>
        <w:t>palmprint latent against palmp</w:t>
      </w:r>
      <w:r>
        <w:rPr>
          <w:i/>
          <w:noProof/>
        </w:rPr>
        <w:t>rint</w:t>
      </w:r>
      <w:r>
        <w:rPr>
          <w:noProof/>
        </w:rPr>
        <w:t>): latentu plaukstu nospiedumu salīdzināšana ar plaukstu nospiedumiem</w:t>
      </w:r>
    </w:p>
    <w:p w:rsidR="003E022D" w:rsidRDefault="007D19D6">
      <w:pPr>
        <w:rPr>
          <w:noProof/>
        </w:rPr>
      </w:pPr>
      <w:r>
        <w:rPr>
          <w:noProof/>
        </w:rPr>
        <w:t>TP/UL (</w:t>
      </w:r>
      <w:r>
        <w:rPr>
          <w:i/>
          <w:noProof/>
        </w:rPr>
        <w:t>ten-print against unsolved fingerprint latent</w:t>
      </w:r>
      <w:r>
        <w:rPr>
          <w:noProof/>
        </w:rPr>
        <w:t>): desmit pirkstu nospiedumu salīdzināšana ar neatrisinātiem latentiem pirkstu nospiedumiem</w:t>
      </w:r>
    </w:p>
    <w:p w:rsidR="003E022D" w:rsidRDefault="007D19D6">
      <w:pPr>
        <w:rPr>
          <w:noProof/>
        </w:rPr>
      </w:pPr>
      <w:r>
        <w:rPr>
          <w:noProof/>
        </w:rPr>
        <w:t>LT/UL (</w:t>
      </w:r>
      <w:r>
        <w:rPr>
          <w:i/>
          <w:noProof/>
        </w:rPr>
        <w:t>fingerprint latent against unso</w:t>
      </w:r>
      <w:r>
        <w:rPr>
          <w:i/>
          <w:noProof/>
        </w:rPr>
        <w:t>lved fingerprint latent</w:t>
      </w:r>
      <w:r>
        <w:rPr>
          <w:noProof/>
        </w:rPr>
        <w:t>): latentu pirkstu nospiedumu salīdzināšana ar neatrisinātiem latentiem pirkstu nospiedumiem</w:t>
      </w:r>
    </w:p>
    <w:p w:rsidR="003E022D" w:rsidRDefault="007D19D6">
      <w:pPr>
        <w:rPr>
          <w:noProof/>
        </w:rPr>
      </w:pPr>
      <w:r>
        <w:rPr>
          <w:noProof/>
        </w:rPr>
        <w:t>PP/ULP (</w:t>
      </w:r>
      <w:r>
        <w:rPr>
          <w:i/>
          <w:noProof/>
        </w:rPr>
        <w:t>palmprint against unsolved palmprint latent</w:t>
      </w:r>
      <w:r>
        <w:rPr>
          <w:noProof/>
        </w:rPr>
        <w:t>): plaukstu nospiedumu salīdzināšana ar neatrisinātiem latentiem plaukstu nospiedumiem</w:t>
      </w:r>
    </w:p>
    <w:p w:rsidR="003E022D" w:rsidRDefault="007D19D6">
      <w:pPr>
        <w:rPr>
          <w:noProof/>
        </w:rPr>
      </w:pPr>
      <w:r>
        <w:rPr>
          <w:noProof/>
        </w:rPr>
        <w:t>LP</w:t>
      </w:r>
      <w:r>
        <w:rPr>
          <w:noProof/>
        </w:rPr>
        <w:t>/ULP (</w:t>
      </w:r>
      <w:r>
        <w:rPr>
          <w:i/>
          <w:noProof/>
        </w:rPr>
        <w:t>palmprint latent against unsolved palmprint latent</w:t>
      </w:r>
      <w:r>
        <w:rPr>
          <w:noProof/>
        </w:rPr>
        <w:t>): latentu plaukstu nospiedumu salīdzināšana ar neatrisinātiem latentiem plaukstu nospiedumiem</w:t>
      </w:r>
    </w:p>
    <w:p w:rsidR="003E022D" w:rsidRDefault="003E022D">
      <w:pPr>
        <w:rPr>
          <w:noProof/>
        </w:rPr>
      </w:pPr>
    </w:p>
    <w:p w:rsidR="003E022D" w:rsidRDefault="007D19D6">
      <w:pPr>
        <w:spacing w:line="276" w:lineRule="auto"/>
        <w:rPr>
          <w:noProof/>
        </w:rPr>
      </w:pPr>
      <w:r>
        <w:rPr>
          <w:noProof/>
        </w:rPr>
        <w:t>9.</w:t>
      </w:r>
      <w:r>
        <w:rPr>
          <w:noProof/>
        </w:rPr>
        <w:tab/>
        <w:t>2. nodaļas (daktiloskopijas datu apmaiņa) papildinājumi</w:t>
      </w:r>
    </w:p>
    <w:p w:rsidR="003E022D" w:rsidRDefault="007D19D6">
      <w:pPr>
        <w:spacing w:line="276" w:lineRule="auto"/>
        <w:rPr>
          <w:noProof/>
        </w:rPr>
      </w:pPr>
      <w:r>
        <w:rPr>
          <w:noProof/>
        </w:rPr>
        <w:t>9.1.</w:t>
      </w:r>
      <w:r>
        <w:rPr>
          <w:noProof/>
        </w:rPr>
        <w:tab/>
        <w:t>1. papildinājums – ASCII nošķīrēji kodi</w:t>
      </w:r>
    </w:p>
    <w:tbl>
      <w:tblPr>
        <w:tblW w:w="0" w:type="auto"/>
        <w:tblInd w:w="464" w:type="dxa"/>
        <w:tblLayout w:type="fixed"/>
        <w:tblLook w:val="0000" w:firstRow="0" w:lastRow="0" w:firstColumn="0" w:lastColumn="0" w:noHBand="0" w:noVBand="0"/>
      </w:tblPr>
      <w:tblGrid>
        <w:gridCol w:w="1003"/>
        <w:gridCol w:w="1170"/>
        <w:gridCol w:w="6184"/>
      </w:tblGrid>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ASCII</w:t>
            </w:r>
          </w:p>
        </w:tc>
        <w:tc>
          <w:tcPr>
            <w:tcW w:w="11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Position</w:t>
            </w:r>
            <w:r>
              <w:rPr>
                <w:rStyle w:val="FootnoteReference"/>
                <w:noProof/>
                <w:lang w:val="en-IE"/>
              </w:rPr>
              <w:footnoteReference w:id="135"/>
            </w:r>
          </w:p>
        </w:tc>
        <w:tc>
          <w:tcPr>
            <w:tcW w:w="618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Description</w:t>
            </w:r>
          </w:p>
        </w:tc>
      </w:tr>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LF</w:t>
            </w:r>
          </w:p>
        </w:tc>
        <w:tc>
          <w:tcPr>
            <w:tcW w:w="11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1/10</w:t>
            </w:r>
          </w:p>
        </w:tc>
        <w:tc>
          <w:tcPr>
            <w:tcW w:w="618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Separates error codes in Field 2.074</w:t>
            </w:r>
          </w:p>
        </w:tc>
      </w:tr>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FS</w:t>
            </w:r>
          </w:p>
        </w:tc>
        <w:tc>
          <w:tcPr>
            <w:tcW w:w="11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1/12</w:t>
            </w:r>
          </w:p>
        </w:tc>
        <w:tc>
          <w:tcPr>
            <w:tcW w:w="618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Separates logical records of a file</w:t>
            </w:r>
          </w:p>
        </w:tc>
      </w:tr>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GS</w:t>
            </w:r>
          </w:p>
        </w:tc>
        <w:tc>
          <w:tcPr>
            <w:tcW w:w="11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1/13</w:t>
            </w:r>
          </w:p>
        </w:tc>
        <w:tc>
          <w:tcPr>
            <w:tcW w:w="618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Separates fields of a logical record</w:t>
            </w:r>
          </w:p>
        </w:tc>
      </w:tr>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RS</w:t>
            </w:r>
          </w:p>
        </w:tc>
        <w:tc>
          <w:tcPr>
            <w:tcW w:w="11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1/14</w:t>
            </w:r>
          </w:p>
        </w:tc>
        <w:tc>
          <w:tcPr>
            <w:tcW w:w="618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Separates the subfields of a record field</w:t>
            </w:r>
          </w:p>
        </w:tc>
      </w:tr>
      <w:tr w:rsidR="003E022D">
        <w:tc>
          <w:tcPr>
            <w:tcW w:w="100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US</w:t>
            </w:r>
          </w:p>
        </w:tc>
        <w:tc>
          <w:tcPr>
            <w:tcW w:w="117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1/15</w:t>
            </w:r>
          </w:p>
        </w:tc>
        <w:tc>
          <w:tcPr>
            <w:tcW w:w="618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Separates individual </w:t>
            </w:r>
            <w:r>
              <w:rPr>
                <w:noProof/>
              </w:rPr>
              <w:t>information items of the field or subfield</w:t>
            </w:r>
          </w:p>
        </w:tc>
      </w:tr>
    </w:tbl>
    <w:p w:rsidR="003E022D" w:rsidRDefault="003E022D">
      <w:pPr>
        <w:rPr>
          <w:noProof/>
          <w:lang w:val="en-IE"/>
        </w:rPr>
      </w:pPr>
    </w:p>
    <w:p w:rsidR="003E022D" w:rsidRDefault="007D19D6">
      <w:pPr>
        <w:spacing w:line="276" w:lineRule="auto"/>
        <w:rPr>
          <w:noProof/>
        </w:rPr>
      </w:pPr>
      <w:r>
        <w:rPr>
          <w:noProof/>
        </w:rPr>
        <w:t>9.2.</w:t>
      </w:r>
      <w:r>
        <w:rPr>
          <w:noProof/>
        </w:rPr>
        <w:tab/>
        <w:t>2. papildinājums – Burtu vai ciparu pārbaudes zīmju aprēķini</w:t>
      </w:r>
    </w:p>
    <w:p w:rsidR="003E022D" w:rsidRDefault="007D19D6">
      <w:pPr>
        <w:rPr>
          <w:noProof/>
        </w:rPr>
      </w:pPr>
      <w:r>
        <w:rPr>
          <w:i/>
          <w:noProof/>
        </w:rPr>
        <w:t>TCN</w:t>
      </w:r>
      <w:r>
        <w:rPr>
          <w:noProof/>
        </w:rPr>
        <w:t xml:space="preserve"> un </w:t>
      </w:r>
      <w:r>
        <w:rPr>
          <w:i/>
          <w:noProof/>
        </w:rPr>
        <w:t>TCR</w:t>
      </w:r>
      <w:r>
        <w:rPr>
          <w:noProof/>
        </w:rPr>
        <w:t xml:space="preserve"> aprēķiniem (1.09. un 1.10. lauks):</w:t>
      </w:r>
    </w:p>
    <w:p w:rsidR="003E022D" w:rsidRDefault="007D19D6">
      <w:pPr>
        <w:rPr>
          <w:noProof/>
        </w:rPr>
      </w:pPr>
      <w:r>
        <w:rPr>
          <w:noProof/>
        </w:rPr>
        <w:t>Skaitli, kas atbilst pārbaudes zīmei, ģenerē, izmantojot šādu formulu:</w:t>
      </w:r>
    </w:p>
    <w:p w:rsidR="003E022D" w:rsidRDefault="007D19D6">
      <w:pPr>
        <w:rPr>
          <w:noProof/>
        </w:rPr>
      </w:pPr>
      <w:r>
        <w:rPr>
          <w:noProof/>
        </w:rPr>
        <w:t>(YY *10</w:t>
      </w:r>
      <w:r>
        <w:rPr>
          <w:noProof/>
          <w:vertAlign w:val="superscript"/>
        </w:rPr>
        <w:t>8 + S</w:t>
      </w:r>
      <w:r>
        <w:rPr>
          <w:noProof/>
        </w:rPr>
        <w:t>SSSSSSS) modulis</w:t>
      </w:r>
      <w:r>
        <w:rPr>
          <w:noProof/>
        </w:rPr>
        <w:t xml:space="preserve"> 23</w:t>
      </w:r>
    </w:p>
    <w:p w:rsidR="003E022D" w:rsidRDefault="007D19D6">
      <w:pPr>
        <w:rPr>
          <w:noProof/>
        </w:rPr>
      </w:pPr>
      <w:r>
        <w:rPr>
          <w:noProof/>
        </w:rPr>
        <w:t xml:space="preserve">Kur </w:t>
      </w:r>
      <w:r>
        <w:rPr>
          <w:i/>
          <w:noProof/>
        </w:rPr>
        <w:t>YY</w:t>
      </w:r>
      <w:r>
        <w:rPr>
          <w:noProof/>
        </w:rPr>
        <w:t xml:space="preserve"> un </w:t>
      </w:r>
      <w:r>
        <w:rPr>
          <w:i/>
          <w:noProof/>
        </w:rPr>
        <w:t>SSSSSSSS</w:t>
      </w:r>
      <w:r>
        <w:rPr>
          <w:noProof/>
        </w:rPr>
        <w:t xml:space="preserve"> attiecīgi ir gada divu pēdējo ciparu skaitliskās vērtības un sērijas numurs.</w:t>
      </w:r>
    </w:p>
    <w:p w:rsidR="003E022D" w:rsidRDefault="007D19D6">
      <w:pPr>
        <w:rPr>
          <w:noProof/>
        </w:rPr>
      </w:pPr>
      <w:r>
        <w:rPr>
          <w:noProof/>
        </w:rPr>
        <w:t>Pārbaudes zīmi ģenerē no šeit turpmāk dotās salīdzinājumu tabulas.</w:t>
      </w:r>
    </w:p>
    <w:p w:rsidR="003E022D" w:rsidRDefault="007D19D6">
      <w:pPr>
        <w:rPr>
          <w:noProof/>
        </w:rPr>
      </w:pPr>
      <w:r>
        <w:rPr>
          <w:i/>
          <w:noProof/>
        </w:rPr>
        <w:t>CRO</w:t>
      </w:r>
      <w:r>
        <w:rPr>
          <w:noProof/>
        </w:rPr>
        <w:t xml:space="preserve"> aprēķiniem (2.010. lauks)</w:t>
      </w:r>
    </w:p>
    <w:p w:rsidR="003E022D" w:rsidRDefault="007D19D6">
      <w:pPr>
        <w:rPr>
          <w:noProof/>
        </w:rPr>
      </w:pPr>
      <w:r>
        <w:rPr>
          <w:noProof/>
        </w:rPr>
        <w:t>Skaitli, kas atbilst pārbaudes zīmei, ģenerē, izmantojot šā</w:t>
      </w:r>
      <w:r>
        <w:rPr>
          <w:noProof/>
        </w:rPr>
        <w:t>du formulu:</w:t>
      </w:r>
    </w:p>
    <w:p w:rsidR="003E022D" w:rsidRDefault="007D19D6">
      <w:pPr>
        <w:rPr>
          <w:noProof/>
        </w:rPr>
      </w:pPr>
      <w:r>
        <w:rPr>
          <w:noProof/>
        </w:rPr>
        <w:t>(YY * 106 + NNNNNN) modulis 23</w:t>
      </w:r>
    </w:p>
    <w:p w:rsidR="003E022D" w:rsidRDefault="007D19D6">
      <w:pPr>
        <w:rPr>
          <w:noProof/>
        </w:rPr>
      </w:pPr>
      <w:r>
        <w:rPr>
          <w:noProof/>
        </w:rPr>
        <w:t xml:space="preserve">Kur </w:t>
      </w:r>
      <w:r>
        <w:rPr>
          <w:i/>
          <w:noProof/>
        </w:rPr>
        <w:t>YY</w:t>
      </w:r>
      <w:r>
        <w:rPr>
          <w:noProof/>
        </w:rPr>
        <w:t xml:space="preserve"> un </w:t>
      </w:r>
      <w:r>
        <w:rPr>
          <w:i/>
          <w:noProof/>
        </w:rPr>
        <w:t>NNNNNN</w:t>
      </w:r>
      <w:r>
        <w:rPr>
          <w:noProof/>
        </w:rPr>
        <w:t xml:space="preserve"> attiecīgi ir gada divu pēdējo ciparu skaitliskās vērtības un sērijas numurs.</w:t>
      </w:r>
    </w:p>
    <w:p w:rsidR="003E022D" w:rsidRDefault="007D19D6">
      <w:pPr>
        <w:rPr>
          <w:noProof/>
        </w:rPr>
      </w:pPr>
      <w:r>
        <w:rPr>
          <w:noProof/>
        </w:rPr>
        <w:t>Pārbaudes zīmi ģenerē no šeit turpmāk dotās salīdzinājumu tabulas.</w:t>
      </w:r>
    </w:p>
    <w:tbl>
      <w:tblPr>
        <w:tblW w:w="0" w:type="auto"/>
        <w:tblInd w:w="2925" w:type="dxa"/>
        <w:tblLayout w:type="fixed"/>
        <w:tblLook w:val="0000" w:firstRow="0" w:lastRow="0" w:firstColumn="0" w:lastColumn="0" w:noHBand="0" w:noVBand="0"/>
      </w:tblPr>
      <w:tblGrid>
        <w:gridCol w:w="1134"/>
        <w:gridCol w:w="1168"/>
        <w:gridCol w:w="1134"/>
      </w:tblGrid>
      <w:tr w:rsidR="003E022D">
        <w:tc>
          <w:tcPr>
            <w:tcW w:w="3436" w:type="dxa"/>
            <w:gridSpan w:val="3"/>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Pārbaudes zīmju tabula</w:t>
            </w:r>
          </w:p>
        </w:tc>
      </w:tr>
      <w:tr w:rsidR="003E022D">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1-A</w:t>
            </w:r>
          </w:p>
        </w:tc>
        <w:tc>
          <w:tcPr>
            <w:tcW w:w="116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9-J</w:t>
            </w:r>
          </w:p>
        </w:tc>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17-T</w:t>
            </w:r>
          </w:p>
        </w:tc>
      </w:tr>
      <w:tr w:rsidR="003E022D">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2-B</w:t>
            </w:r>
          </w:p>
        </w:tc>
        <w:tc>
          <w:tcPr>
            <w:tcW w:w="116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10-K</w:t>
            </w:r>
          </w:p>
        </w:tc>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18-U</w:t>
            </w:r>
          </w:p>
        </w:tc>
      </w:tr>
      <w:tr w:rsidR="003E022D">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3-C</w:t>
            </w:r>
          </w:p>
        </w:tc>
        <w:tc>
          <w:tcPr>
            <w:tcW w:w="116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11-L</w:t>
            </w:r>
          </w:p>
        </w:tc>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19-V</w:t>
            </w:r>
          </w:p>
        </w:tc>
      </w:tr>
      <w:tr w:rsidR="003E022D">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4-D</w:t>
            </w:r>
          </w:p>
        </w:tc>
        <w:tc>
          <w:tcPr>
            <w:tcW w:w="116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12-M</w:t>
            </w:r>
          </w:p>
        </w:tc>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20-W</w:t>
            </w:r>
          </w:p>
        </w:tc>
      </w:tr>
      <w:tr w:rsidR="003E022D">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5-E</w:t>
            </w:r>
          </w:p>
        </w:tc>
        <w:tc>
          <w:tcPr>
            <w:tcW w:w="116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13-N</w:t>
            </w:r>
          </w:p>
        </w:tc>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21-X</w:t>
            </w:r>
          </w:p>
        </w:tc>
      </w:tr>
      <w:tr w:rsidR="003E022D">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6-F</w:t>
            </w:r>
          </w:p>
        </w:tc>
        <w:tc>
          <w:tcPr>
            <w:tcW w:w="116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14-P</w:t>
            </w:r>
          </w:p>
        </w:tc>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22-Y</w:t>
            </w:r>
          </w:p>
        </w:tc>
      </w:tr>
      <w:tr w:rsidR="003E022D">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7-G</w:t>
            </w:r>
          </w:p>
        </w:tc>
        <w:tc>
          <w:tcPr>
            <w:tcW w:w="116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15-Q</w:t>
            </w:r>
          </w:p>
        </w:tc>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0-Z</w:t>
            </w:r>
          </w:p>
        </w:tc>
      </w:tr>
      <w:tr w:rsidR="003E022D">
        <w:tc>
          <w:tcPr>
            <w:tcW w:w="113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8-H</w:t>
            </w:r>
          </w:p>
        </w:tc>
        <w:tc>
          <w:tcPr>
            <w:tcW w:w="116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16-R</w:t>
            </w:r>
          </w:p>
        </w:tc>
        <w:tc>
          <w:tcPr>
            <w:tcW w:w="1134"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r>
    </w:tbl>
    <w:p w:rsidR="003E022D" w:rsidRDefault="003E022D">
      <w:pPr>
        <w:rPr>
          <w:noProof/>
          <w:lang w:val="en-IE"/>
        </w:rPr>
      </w:pPr>
    </w:p>
    <w:p w:rsidR="003E022D" w:rsidRDefault="007D19D6">
      <w:pPr>
        <w:spacing w:line="276" w:lineRule="auto"/>
        <w:rPr>
          <w:noProof/>
        </w:rPr>
      </w:pPr>
      <w:r>
        <w:rPr>
          <w:noProof/>
        </w:rPr>
        <w:t>9.3.</w:t>
      </w:r>
      <w:r>
        <w:rPr>
          <w:noProof/>
        </w:rPr>
        <w:tab/>
        <w:t>3. papildinājums – Zīmju kodi</w:t>
      </w:r>
    </w:p>
    <w:tbl>
      <w:tblPr>
        <w:tblW w:w="0" w:type="auto"/>
        <w:tblInd w:w="1254" w:type="dxa"/>
        <w:tblLayout w:type="fixed"/>
        <w:tblLook w:val="0000" w:firstRow="0" w:lastRow="0" w:firstColumn="0" w:lastColumn="0" w:noHBand="0" w:noVBand="0"/>
      </w:tblPr>
      <w:tblGrid>
        <w:gridCol w:w="746"/>
        <w:gridCol w:w="542"/>
        <w:gridCol w:w="610"/>
        <w:gridCol w:w="610"/>
        <w:gridCol w:w="542"/>
        <w:gridCol w:w="611"/>
        <w:gridCol w:w="610"/>
        <w:gridCol w:w="610"/>
        <w:gridCol w:w="678"/>
        <w:gridCol w:w="610"/>
        <w:gridCol w:w="610"/>
      </w:tblGrid>
      <w:tr w:rsidR="003E022D">
        <w:tc>
          <w:tcPr>
            <w:tcW w:w="6779" w:type="dxa"/>
            <w:gridSpan w:val="11"/>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7 bitu </w:t>
            </w:r>
            <w:r>
              <w:rPr>
                <w:i/>
                <w:noProof/>
              </w:rPr>
              <w:t>ANSI</w:t>
            </w:r>
            <w:r>
              <w:rPr>
                <w:noProof/>
              </w:rPr>
              <w:t xml:space="preserve"> kods savstarpējai informācijas apmaiņai</w:t>
            </w:r>
          </w:p>
        </w:tc>
      </w:tr>
      <w:tr w:rsidR="003E022D">
        <w:tc>
          <w:tcPr>
            <w:tcW w:w="6779" w:type="dxa"/>
            <w:gridSpan w:val="11"/>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ASCII Character Set</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30</w:t>
            </w:r>
          </w:p>
        </w:tc>
        <w:tc>
          <w:tcPr>
            <w:tcW w:w="542"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&amp;</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50</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60</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&gt;</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70</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J</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80</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Q</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90</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Z</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_</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h</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j</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110</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q</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w:t>
            </w:r>
          </w:p>
        </w:tc>
        <w:tc>
          <w:tcPr>
            <w:tcW w:w="678"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w:t>
            </w:r>
          </w:p>
        </w:tc>
      </w:tr>
      <w:tr w:rsidR="003E022D">
        <w:tc>
          <w:tcPr>
            <w:tcW w:w="74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120</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z</w:t>
            </w:r>
          </w:p>
        </w:tc>
        <w:tc>
          <w:tcPr>
            <w:tcW w:w="54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r>
    </w:tbl>
    <w:p w:rsidR="003E022D" w:rsidRDefault="003E022D">
      <w:pPr>
        <w:rPr>
          <w:noProof/>
          <w:lang w:val="en-IE"/>
        </w:rPr>
      </w:pPr>
    </w:p>
    <w:p w:rsidR="003E022D" w:rsidRDefault="007D19D6">
      <w:pPr>
        <w:spacing w:line="276" w:lineRule="auto"/>
        <w:rPr>
          <w:noProof/>
        </w:rPr>
      </w:pPr>
      <w:r>
        <w:rPr>
          <w:noProof/>
        </w:rPr>
        <w:t>9.4.</w:t>
      </w:r>
      <w:r>
        <w:rPr>
          <w:noProof/>
        </w:rPr>
        <w:tab/>
        <w:t>4. papildinājums – Darbību kopsavilkums</w:t>
      </w:r>
    </w:p>
    <w:tbl>
      <w:tblPr>
        <w:tblW w:w="0" w:type="auto"/>
        <w:tblLayout w:type="fixed"/>
        <w:tblLook w:val="0000" w:firstRow="0" w:lastRow="0" w:firstColumn="0" w:lastColumn="0" w:noHBand="0" w:noVBand="0"/>
      </w:tblPr>
      <w:tblGrid>
        <w:gridCol w:w="1300"/>
        <w:gridCol w:w="1579"/>
        <w:gridCol w:w="3343"/>
        <w:gridCol w:w="1300"/>
        <w:gridCol w:w="835"/>
        <w:gridCol w:w="929"/>
      </w:tblGrid>
      <w:tr w:rsidR="003E022D">
        <w:tc>
          <w:tcPr>
            <w:tcW w:w="9286" w:type="dxa"/>
            <w:gridSpan w:val="6"/>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 tipa</w:t>
            </w:r>
            <w:r>
              <w:rPr>
                <w:noProof/>
              </w:rPr>
              <w:t xml:space="preserve"> ieraksts (obligāts)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Identifier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number</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CPS/PMS</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1.001</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1.002</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Version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CNT</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1.003</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File Content</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TOT</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1.004</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 of Transaction</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1.005</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PRY</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1.006</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Priority</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DAI</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1.007</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Destination Agency</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ORI</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1.008</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Originating Agency</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TCN</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1.009</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Transaction Control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TCR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1.010</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Transaction Control Reference</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NSR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1.011</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Native Scanning Resolution</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NTR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1.012</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Nominal Transmitting Resolution</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DOM</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1.013</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Domain name</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GMT</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1.014</w:t>
            </w:r>
          </w:p>
        </w:tc>
        <w:tc>
          <w:tcPr>
            <w:tcW w:w="33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Greenwich mean time</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bl>
    <w:p w:rsidR="003E022D" w:rsidRDefault="003E022D">
      <w:pPr>
        <w:rPr>
          <w:noProof/>
          <w:lang w:val="en-IE"/>
        </w:rPr>
      </w:pPr>
    </w:p>
    <w:p w:rsidR="003E022D" w:rsidRDefault="007D19D6">
      <w:pPr>
        <w:rPr>
          <w:noProof/>
        </w:rPr>
      </w:pPr>
      <w:r>
        <w:rPr>
          <w:noProof/>
        </w:rPr>
        <w:t>Nosacījumu ailē:</w:t>
      </w:r>
    </w:p>
    <w:p w:rsidR="003E022D" w:rsidRDefault="007D19D6">
      <w:pPr>
        <w:rPr>
          <w:noProof/>
        </w:rPr>
      </w:pPr>
      <w:r>
        <w:rPr>
          <w:noProof/>
        </w:rPr>
        <w:t>O = fakultatīvi (</w:t>
      </w:r>
      <w:r>
        <w:rPr>
          <w:i/>
          <w:noProof/>
        </w:rPr>
        <w:t>optional</w:t>
      </w:r>
      <w:r>
        <w:rPr>
          <w:noProof/>
        </w:rPr>
        <w:t>); M = obligāti (</w:t>
      </w:r>
      <w:r>
        <w:rPr>
          <w:i/>
          <w:noProof/>
        </w:rPr>
        <w:t>mandatory</w:t>
      </w:r>
      <w:r>
        <w:rPr>
          <w:noProof/>
        </w:rPr>
        <w:t>); C = ar nosacījumu (</w:t>
      </w:r>
      <w:r>
        <w:rPr>
          <w:i/>
          <w:noProof/>
        </w:rPr>
        <w:t>conditional</w:t>
      </w:r>
      <w:r>
        <w:rPr>
          <w:noProof/>
        </w:rPr>
        <w:t>), ka darbība ir atbilde attēla ieguvējai aģentūrai.</w:t>
      </w:r>
    </w:p>
    <w:tbl>
      <w:tblPr>
        <w:tblW w:w="0" w:type="auto"/>
        <w:tblLayout w:type="fixed"/>
        <w:tblLook w:val="0000" w:firstRow="0" w:lastRow="0" w:firstColumn="0" w:lastColumn="0" w:noHBand="0" w:noVBand="0"/>
      </w:tblPr>
      <w:tblGrid>
        <w:gridCol w:w="1300"/>
        <w:gridCol w:w="1114"/>
        <w:gridCol w:w="2322"/>
        <w:gridCol w:w="1300"/>
        <w:gridCol w:w="1486"/>
        <w:gridCol w:w="835"/>
        <w:gridCol w:w="929"/>
      </w:tblGrid>
      <w:tr w:rsidR="003E022D">
        <w:tc>
          <w:tcPr>
            <w:tcW w:w="9286" w:type="dxa"/>
            <w:gridSpan w:val="7"/>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 tipa ieraksti (obligāti)</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Identifier</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number</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CPS/PMS</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MPS/MMS</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ERR</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2.001</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IDC</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2.002</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SYS</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2.003</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CNO</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2.007</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Case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SQN</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2.008</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Sequence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MID</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2.009</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Identifier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CRN</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2.010</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MN1</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2.012</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MN2</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2.013</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MN3</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2.014</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MN4</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2.015</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INF</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2.063</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RLS</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2.064</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Respondents List</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ERM</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2.074</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ENC</w:t>
            </w:r>
          </w:p>
        </w:tc>
        <w:tc>
          <w:tcPr>
            <w:tcW w:w="111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2.320</w:t>
            </w:r>
          </w:p>
        </w:tc>
        <w:tc>
          <w:tcPr>
            <w:tcW w:w="232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r>
    </w:tbl>
    <w:p w:rsidR="003E022D" w:rsidRDefault="003E022D">
      <w:pPr>
        <w:rPr>
          <w:noProof/>
          <w:lang w:val="en-IE"/>
        </w:rPr>
      </w:pPr>
    </w:p>
    <w:p w:rsidR="003E022D" w:rsidRDefault="007D19D6">
      <w:pPr>
        <w:rPr>
          <w:noProof/>
        </w:rPr>
      </w:pPr>
      <w:r>
        <w:rPr>
          <w:noProof/>
        </w:rPr>
        <w:t>Nosacījumu ailē:</w:t>
      </w:r>
    </w:p>
    <w:p w:rsidR="003E022D" w:rsidRDefault="007D19D6">
      <w:pPr>
        <w:rPr>
          <w:noProof/>
        </w:rPr>
      </w:pPr>
      <w:r>
        <w:rPr>
          <w:noProof/>
        </w:rPr>
        <w:t>O = fakultatīvi (</w:t>
      </w:r>
      <w:r>
        <w:rPr>
          <w:i/>
          <w:noProof/>
        </w:rPr>
        <w:t>optional</w:t>
      </w:r>
      <w:r>
        <w:rPr>
          <w:noProof/>
        </w:rPr>
        <w:t>); M = obligāti (</w:t>
      </w:r>
      <w:r>
        <w:rPr>
          <w:i/>
          <w:noProof/>
        </w:rPr>
        <w:t>mandatory</w:t>
      </w:r>
      <w:r>
        <w:rPr>
          <w:noProof/>
        </w:rPr>
        <w:t>); C = ar nosacījumu (</w:t>
      </w:r>
      <w:r>
        <w:rPr>
          <w:i/>
          <w:noProof/>
        </w:rPr>
        <w:t>conditional</w:t>
      </w:r>
      <w:r>
        <w:rPr>
          <w:noProof/>
        </w:rPr>
        <w:t>), ka dati ir pieejami,</w:t>
      </w:r>
    </w:p>
    <w:tbl>
      <w:tblPr>
        <w:tblW w:w="0" w:type="auto"/>
        <w:tblLayout w:type="fixed"/>
        <w:tblLook w:val="0000" w:firstRow="0" w:lastRow="0" w:firstColumn="0" w:lastColumn="0" w:noHBand="0" w:noVBand="0"/>
      </w:tblPr>
      <w:tblGrid>
        <w:gridCol w:w="557"/>
        <w:gridCol w:w="557"/>
        <w:gridCol w:w="8172"/>
      </w:tblGrid>
      <w:tr w:rsidR="003E022D">
        <w:tc>
          <w:tcPr>
            <w:tcW w:w="55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55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t>
            </w:r>
          </w:p>
        </w:tc>
        <w:tc>
          <w:tcPr>
            <w:tcW w:w="81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ja datu pārraide saskan ar attiecīgās valsts ieksžemes tiesībām (uz ko neattiecas LAW.PRUM.11. pants [Daktiloskopiskie dati] un LAW.PRUM.12. pants [Automatizēta </w:t>
            </w:r>
            <w:r>
              <w:rPr>
                <w:noProof/>
              </w:rPr>
              <w:t>daktiloskopisko datu meklēšana]).</w:t>
            </w:r>
          </w:p>
        </w:tc>
      </w:tr>
    </w:tbl>
    <w:p w:rsidR="003E022D" w:rsidRDefault="003E022D">
      <w:pPr>
        <w:rPr>
          <w:noProof/>
        </w:rPr>
      </w:pPr>
    </w:p>
    <w:p w:rsidR="003E022D" w:rsidRDefault="007D19D6">
      <w:pPr>
        <w:spacing w:line="276" w:lineRule="auto"/>
        <w:rPr>
          <w:noProof/>
        </w:rPr>
      </w:pPr>
      <w:r>
        <w:rPr>
          <w:noProof/>
        </w:rPr>
        <w:t>9.5.</w:t>
      </w:r>
      <w:r>
        <w:rPr>
          <w:noProof/>
        </w:rPr>
        <w:tab/>
        <w:t>5. papildinājums – 1. tipa ierakstu definīcijas</w:t>
      </w:r>
    </w:p>
    <w:tbl>
      <w:tblPr>
        <w:tblW w:w="0" w:type="auto"/>
        <w:tblLayout w:type="fixed"/>
        <w:tblLook w:val="0000" w:firstRow="0" w:lastRow="0" w:firstColumn="0" w:lastColumn="0" w:noHBand="0" w:noVBand="0"/>
      </w:tblPr>
      <w:tblGrid>
        <w:gridCol w:w="1300"/>
        <w:gridCol w:w="1393"/>
        <w:gridCol w:w="1671"/>
        <w:gridCol w:w="1672"/>
        <w:gridCol w:w="1579"/>
        <w:gridCol w:w="1671"/>
      </w:tblGrid>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Character type</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Example data</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1.001</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1.001:230{}{GS}}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1.002</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Version Number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1.002:0300{}{GS}}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CNT</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1.003</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File Content</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1.003:1{}{US}}15{}{RS}}2{}{US}}00{}{RS}}4{}{US}}01{}{RS}}4{}{US}}02{}{RS}}4{}{US}}03{}{RS}}4{}{US}}04{}{RS}}4{}{US}}05{}{RS}}4{}{US}}06{}{RS}}4{}{US}}07{}{RS}}4{}{US}}08{}{RS}}4{}{US}}09{}{RS}}4{}{US}}10{}{RS}}4{}{US}}11{}{RS}}4{}{US}}12{}{RS}}4{}{US}}13{}</w:t>
            </w:r>
            <w:r>
              <w:rPr>
                <w:noProof/>
              </w:rPr>
              <w:t>{RS}}4{}{US}}14{}{GS}}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TOT</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1.004</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 of Transaction</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1.004:CPS{}{GS}}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1.005</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1.005:20050101{}{GS}}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PRY</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1.006</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Priority</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1.006:4{}{GS}}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DAI</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1.007</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Destination Agency</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1.007:DE/BKA{}{GS}}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ORI</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1.008</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Originating Agency</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1.008:NL/NAFIS{}{GS}}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TCN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1.009</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Transaction Control Number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1.009:0200000004F{}{GS}}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TCR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1.010</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Transaction Control Reference</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1.010:0200000004F{}{GS}}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NSR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1.011</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Native Scanning Resolution</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1.011:19.68{}{GS}}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NTR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1.012</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Nominal Transmitting</w:t>
            </w:r>
            <w:r>
              <w:rPr>
                <w:noProof/>
              </w:rPr>
              <w:t xml:space="preserve"> Resolution</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1.012:19,68{}{GS}}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DOM</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1.013</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Domain Name</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1.013: INT-I{}{US}}4,22{}{GS}}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GMT</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1.014</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Greenwich Mean Time</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1.014:20050101125959Z</w:t>
            </w:r>
          </w:p>
        </w:tc>
      </w:tr>
    </w:tbl>
    <w:p w:rsidR="003E022D" w:rsidRDefault="003E022D">
      <w:pPr>
        <w:rPr>
          <w:noProof/>
          <w:lang w:val="en-IE"/>
        </w:rPr>
      </w:pPr>
    </w:p>
    <w:p w:rsidR="003E022D" w:rsidRDefault="007D19D6">
      <w:pPr>
        <w:rPr>
          <w:noProof/>
        </w:rPr>
      </w:pPr>
      <w:r>
        <w:rPr>
          <w:noProof/>
        </w:rPr>
        <w:t>Nosacījumu ailē: O = fakultatīvi (</w:t>
      </w:r>
      <w:r>
        <w:rPr>
          <w:i/>
          <w:noProof/>
        </w:rPr>
        <w:t>optional</w:t>
      </w:r>
      <w:r>
        <w:rPr>
          <w:noProof/>
        </w:rPr>
        <w:t>); M = obligāti (</w:t>
      </w:r>
      <w:r>
        <w:rPr>
          <w:i/>
          <w:noProof/>
        </w:rPr>
        <w:t>mandatory</w:t>
      </w:r>
      <w:r>
        <w:rPr>
          <w:noProof/>
        </w:rPr>
        <w:t>); C = ar nosacījumiem (</w:t>
      </w:r>
      <w:r>
        <w:rPr>
          <w:i/>
          <w:noProof/>
        </w:rPr>
        <w:t>conditional</w:t>
      </w:r>
      <w:r>
        <w:rPr>
          <w:noProof/>
        </w:rPr>
        <w:t>).</w:t>
      </w:r>
    </w:p>
    <w:p w:rsidR="003E022D" w:rsidRDefault="007D19D6">
      <w:pPr>
        <w:rPr>
          <w:noProof/>
        </w:rPr>
      </w:pPr>
      <w:r>
        <w:rPr>
          <w:noProof/>
        </w:rPr>
        <w:t>Zīmju tipa ailē: A = burtu; N = ciparu; B = bināri.</w:t>
      </w:r>
    </w:p>
    <w:p w:rsidR="003E022D" w:rsidRDefault="007D19D6">
      <w:pPr>
        <w:rPr>
          <w:noProof/>
        </w:rPr>
      </w:pPr>
      <w:r>
        <w:rPr>
          <w:noProof/>
        </w:rPr>
        <w:t>1* pieļaujamās aģentūras nosaukuma zīmes ir ["0..9", "A..Z", "a..z", "_", ".", "", "-"].</w:t>
      </w:r>
    </w:p>
    <w:p w:rsidR="003E022D" w:rsidRDefault="007D19D6">
      <w:pPr>
        <w:spacing w:line="276" w:lineRule="auto"/>
        <w:rPr>
          <w:noProof/>
        </w:rPr>
      </w:pPr>
      <w:r>
        <w:rPr>
          <w:noProof/>
        </w:rPr>
        <w:t>9.6.</w:t>
      </w:r>
      <w:r>
        <w:rPr>
          <w:noProof/>
        </w:rPr>
        <w:tab/>
        <w:t>6. papildinājums – 2. tipa ierakstu definīcijas</w:t>
      </w:r>
    </w:p>
    <w:tbl>
      <w:tblPr>
        <w:tblW w:w="0" w:type="auto"/>
        <w:tblLayout w:type="fixed"/>
        <w:tblLook w:val="0000" w:firstRow="0" w:lastRow="0" w:firstColumn="0" w:lastColumn="0" w:noHBand="0" w:noVBand="0"/>
      </w:tblPr>
      <w:tblGrid>
        <w:gridCol w:w="1300"/>
        <w:gridCol w:w="1393"/>
        <w:gridCol w:w="929"/>
        <w:gridCol w:w="1485"/>
        <w:gridCol w:w="1300"/>
        <w:gridCol w:w="2879"/>
      </w:tblGrid>
      <w:tr w:rsidR="003E022D">
        <w:tc>
          <w:tcPr>
            <w:tcW w:w="9286" w:type="dxa"/>
            <w:gridSpan w:val="6"/>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A.6.1. tabula. CPS un PMS darbības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w:t>
            </w:r>
            <w:r>
              <w:rPr>
                <w:noProof/>
              </w:rPr>
              <w:t>eld number</w:t>
            </w:r>
          </w:p>
        </w:tc>
        <w:tc>
          <w:tcPr>
            <w:tcW w:w="148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Character type</w:t>
            </w:r>
          </w:p>
        </w:tc>
        <w:tc>
          <w:tcPr>
            <w:tcW w:w="28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Example data</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2.001</w:t>
            </w:r>
          </w:p>
        </w:tc>
        <w:tc>
          <w:tcPr>
            <w:tcW w:w="148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2.001:909{}{GS}}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2.002</w:t>
            </w:r>
          </w:p>
        </w:tc>
        <w:tc>
          <w:tcPr>
            <w:tcW w:w="148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2.002:00{}{GS}}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2.003</w:t>
            </w:r>
          </w:p>
        </w:tc>
        <w:tc>
          <w:tcPr>
            <w:tcW w:w="148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2.003:0422{}{GS}}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2.010</w:t>
            </w:r>
          </w:p>
        </w:tc>
        <w:tc>
          <w:tcPr>
            <w:tcW w:w="148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28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2.010:DE/E999999999{}{GS}}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2.063</w:t>
            </w:r>
          </w:p>
        </w:tc>
        <w:tc>
          <w:tcPr>
            <w:tcW w:w="148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28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2.063:Additional Information 123{}{GS}}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2.320</w:t>
            </w:r>
          </w:p>
        </w:tc>
        <w:tc>
          <w:tcPr>
            <w:tcW w:w="1485"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2.320:1{}{GS}}</w:t>
            </w:r>
          </w:p>
        </w:tc>
      </w:tr>
    </w:tbl>
    <w:p w:rsidR="003E022D" w:rsidRDefault="003E022D">
      <w:pPr>
        <w:rPr>
          <w:noProof/>
          <w:lang w:val="en-IE"/>
        </w:rPr>
      </w:pPr>
    </w:p>
    <w:tbl>
      <w:tblPr>
        <w:tblW w:w="0" w:type="auto"/>
        <w:tblLayout w:type="fixed"/>
        <w:tblLook w:val="0000" w:firstRow="0" w:lastRow="0" w:firstColumn="0" w:lastColumn="0" w:noHBand="0" w:noVBand="0"/>
      </w:tblPr>
      <w:tblGrid>
        <w:gridCol w:w="1300"/>
        <w:gridCol w:w="1393"/>
        <w:gridCol w:w="1671"/>
        <w:gridCol w:w="1672"/>
        <w:gridCol w:w="1579"/>
        <w:gridCol w:w="1671"/>
      </w:tblGrid>
      <w:tr w:rsidR="003E022D">
        <w:tc>
          <w:tcPr>
            <w:tcW w:w="9286" w:type="dxa"/>
            <w:gridSpan w:val="6"/>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A.6.2. tabula. SRE darbības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Character </w:t>
            </w:r>
            <w:r>
              <w:rPr>
                <w:noProof/>
              </w:rPr>
              <w:t>type</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Example data</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2.001</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2.001:909{}{GS}}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2.002</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Designation Character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2.002:00{}{GS}}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2.003</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System Information</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2.003:0422{}{GS}}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2.010</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Criminal Reference Number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2.010:NL/2222222222{}{GS}}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2.012</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2.012:E999999999{}{GS}}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2.013</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2.013:E999999999{}{GS}}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2.014</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2.014:0001{}{GS}}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2.015</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Miscellaneous </w:t>
            </w:r>
            <w:r>
              <w:rPr>
                <w:noProof/>
              </w:rPr>
              <w:t>Identification Number</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2.015:A{}{GS}}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2.063</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Additional Information</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2.063:Additional Information 123{}{GS}}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RLS</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2.064</w:t>
            </w:r>
          </w:p>
        </w:tc>
        <w:tc>
          <w:tcPr>
            <w:tcW w:w="16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Respondents List</w:t>
            </w:r>
          </w:p>
        </w:tc>
        <w:tc>
          <w:tcPr>
            <w:tcW w:w="157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2.064:CPS{}{RS}}I{}{RS}}001/001{}{RS}}999999{}{GS}}</w:t>
            </w:r>
          </w:p>
        </w:tc>
      </w:tr>
    </w:tbl>
    <w:p w:rsidR="003E022D" w:rsidRDefault="003E022D">
      <w:pPr>
        <w:rPr>
          <w:noProof/>
        </w:rPr>
      </w:pPr>
    </w:p>
    <w:tbl>
      <w:tblPr>
        <w:tblW w:w="0" w:type="auto"/>
        <w:tblLayout w:type="fixed"/>
        <w:tblLook w:val="0000" w:firstRow="0" w:lastRow="0" w:firstColumn="0" w:lastColumn="0" w:noHBand="0" w:noVBand="0"/>
      </w:tblPr>
      <w:tblGrid>
        <w:gridCol w:w="1300"/>
        <w:gridCol w:w="1393"/>
        <w:gridCol w:w="929"/>
        <w:gridCol w:w="1671"/>
        <w:gridCol w:w="1300"/>
        <w:gridCol w:w="2693"/>
      </w:tblGrid>
      <w:tr w:rsidR="003E022D">
        <w:tc>
          <w:tcPr>
            <w:tcW w:w="9286" w:type="dxa"/>
            <w:gridSpan w:val="6"/>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A.6.3. tabula. ERR darbības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Character type</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Example data</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2.001:909{}{GS}}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2.002:00{}{GS}}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2.003:0422{}{GS}}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2.012</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Miscellaneous </w:t>
            </w:r>
            <w:r>
              <w:rPr>
                <w:noProof/>
              </w:rPr>
              <w:t>Identification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2.012:E999999999{}{GS}}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2.013</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2.013:E999999999{}{GS}}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2.014</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2.014:0001{}{GS}}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2.015</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2.015:A{}{GS}}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2.063:Additional Information 123{}{GS}}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ERM</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2.074</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2.074: 201: IDC - 1 FIELD 1.009 WRONG CONTROL CHARACTER {}{LF}} 115: IDC 0 FIELD 2.003 INVALID SYSTEM INFORMATION </w:t>
            </w:r>
            <w:r>
              <w:rPr>
                <w:noProof/>
              </w:rPr>
              <w:t>{}{GS}}</w:t>
            </w:r>
          </w:p>
        </w:tc>
      </w:tr>
    </w:tbl>
    <w:p w:rsidR="003E022D" w:rsidRDefault="003E022D">
      <w:pPr>
        <w:rPr>
          <w:noProof/>
        </w:rPr>
      </w:pPr>
    </w:p>
    <w:tbl>
      <w:tblPr>
        <w:tblW w:w="0" w:type="auto"/>
        <w:tblLayout w:type="fixed"/>
        <w:tblLook w:val="0000" w:firstRow="0" w:lastRow="0" w:firstColumn="0" w:lastColumn="0" w:noHBand="0" w:noVBand="0"/>
      </w:tblPr>
      <w:tblGrid>
        <w:gridCol w:w="1300"/>
        <w:gridCol w:w="1393"/>
        <w:gridCol w:w="929"/>
        <w:gridCol w:w="1671"/>
        <w:gridCol w:w="1393"/>
        <w:gridCol w:w="2600"/>
      </w:tblGrid>
      <w:tr w:rsidR="003E022D">
        <w:tc>
          <w:tcPr>
            <w:tcW w:w="9286" w:type="dxa"/>
            <w:gridSpan w:val="6"/>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A.6.4. tabula. MPS un MMS darbības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Field name</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Character type</w:t>
            </w:r>
          </w:p>
        </w:tc>
        <w:tc>
          <w:tcPr>
            <w:tcW w:w="26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Example data</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Logical Record Length</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2.001:909{}{GS}}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Image Designation Character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2.002:00{}{GS}}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System </w:t>
            </w:r>
            <w:r>
              <w:rPr>
                <w:noProof/>
              </w:rPr>
              <w:t>Information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2.003:0422{}{GS}}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CNO</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2.007</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Case Number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w:t>
            </w:r>
          </w:p>
        </w:tc>
        <w:tc>
          <w:tcPr>
            <w:tcW w:w="26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2.007:E999999999{}{GS}}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SQN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2.008</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Sequence Number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2.008:0001{}{GS}}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MID</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2.009</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Latent Identifier</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w:t>
            </w:r>
          </w:p>
        </w:tc>
        <w:tc>
          <w:tcPr>
            <w:tcW w:w="26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2.009:A{}{GS}}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Additional Information</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26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2.063:Additional Information </w:t>
            </w:r>
            <w:r>
              <w:rPr>
                <w:noProof/>
              </w:rPr>
              <w:t>123{}{GS}}</w:t>
            </w:r>
          </w:p>
        </w:tc>
      </w:tr>
      <w:tr w:rsidR="003E022D">
        <w:tc>
          <w:tcPr>
            <w:tcW w:w="13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2.320</w:t>
            </w:r>
          </w:p>
        </w:tc>
        <w:tc>
          <w:tcPr>
            <w:tcW w:w="167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Expected Number of Candidates</w:t>
            </w:r>
          </w:p>
        </w:tc>
        <w:tc>
          <w:tcPr>
            <w:tcW w:w="13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2.320:1{}{GS}}</w:t>
            </w:r>
          </w:p>
        </w:tc>
      </w:tr>
    </w:tbl>
    <w:p w:rsidR="003E022D" w:rsidRDefault="003E022D">
      <w:pPr>
        <w:rPr>
          <w:noProof/>
          <w:lang w:val="en-IE"/>
        </w:rPr>
      </w:pPr>
    </w:p>
    <w:p w:rsidR="003E022D" w:rsidRDefault="007D19D6">
      <w:pPr>
        <w:rPr>
          <w:noProof/>
        </w:rPr>
      </w:pPr>
      <w:r>
        <w:rPr>
          <w:noProof/>
        </w:rPr>
        <w:t>Nosacījumu ailē: O = fakultatīvi (</w:t>
      </w:r>
      <w:r>
        <w:rPr>
          <w:i/>
          <w:noProof/>
        </w:rPr>
        <w:t>optional</w:t>
      </w:r>
      <w:r>
        <w:rPr>
          <w:noProof/>
        </w:rPr>
        <w:t>); M = obligāti (</w:t>
      </w:r>
      <w:r>
        <w:rPr>
          <w:i/>
          <w:noProof/>
        </w:rPr>
        <w:t>mandatory</w:t>
      </w:r>
      <w:r>
        <w:rPr>
          <w:noProof/>
        </w:rPr>
        <w:t>); C = ar nosacījumiem (</w:t>
      </w:r>
      <w:r>
        <w:rPr>
          <w:i/>
          <w:noProof/>
        </w:rPr>
        <w:t>conditional</w:t>
      </w:r>
      <w:r>
        <w:rPr>
          <w:noProof/>
        </w:rPr>
        <w:t>).</w:t>
      </w:r>
    </w:p>
    <w:p w:rsidR="003E022D" w:rsidRDefault="007D19D6">
      <w:pPr>
        <w:rPr>
          <w:noProof/>
        </w:rPr>
      </w:pPr>
      <w:r>
        <w:rPr>
          <w:noProof/>
        </w:rPr>
        <w:t>Zīmju tipa ailē: A = burtu; N = ciparu; B = bināri.</w:t>
      </w:r>
    </w:p>
    <w:p w:rsidR="003E022D" w:rsidRDefault="007D19D6">
      <w:pPr>
        <w:rPr>
          <w:noProof/>
        </w:rPr>
      </w:pPr>
      <w:r>
        <w:rPr>
          <w:noProof/>
        </w:rPr>
        <w:t xml:space="preserve">1* pieļaujamās zīmes ir </w:t>
      </w:r>
      <w:r>
        <w:rPr>
          <w:noProof/>
        </w:rPr>
        <w:t>["0..9", "A..Z", "a..z", "_",".", "", "-"].</w:t>
      </w:r>
    </w:p>
    <w:p w:rsidR="003E022D" w:rsidRDefault="007D19D6">
      <w:pPr>
        <w:spacing w:line="276" w:lineRule="auto"/>
        <w:rPr>
          <w:noProof/>
        </w:rPr>
      </w:pPr>
      <w:r>
        <w:rPr>
          <w:noProof/>
        </w:rPr>
        <w:t>9.7.</w:t>
      </w:r>
      <w:r>
        <w:rPr>
          <w:noProof/>
        </w:rPr>
        <w:tab/>
        <w:t>7. papildinājums – Melnbaltu tonālu attēlu saspiešanas kodi</w:t>
      </w:r>
    </w:p>
    <w:p w:rsidR="003E022D" w:rsidRDefault="007D19D6">
      <w:pPr>
        <w:rPr>
          <w:noProof/>
        </w:rPr>
      </w:pPr>
      <w:r>
        <w:rPr>
          <w:noProof/>
        </w:rPr>
        <w:t>Saspiešanas kodi</w:t>
      </w:r>
    </w:p>
    <w:tbl>
      <w:tblPr>
        <w:tblW w:w="0" w:type="auto"/>
        <w:tblLayout w:type="fixed"/>
        <w:tblLook w:val="0000" w:firstRow="0" w:lastRow="0" w:firstColumn="0" w:lastColumn="0" w:noHBand="0" w:noVBand="0"/>
      </w:tblPr>
      <w:tblGrid>
        <w:gridCol w:w="3993"/>
        <w:gridCol w:w="1021"/>
        <w:gridCol w:w="4272"/>
      </w:tblGrid>
      <w:tr w:rsidR="003E022D">
        <w:tc>
          <w:tcPr>
            <w:tcW w:w="39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Compression</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Value</w:t>
            </w:r>
          </w:p>
        </w:tc>
        <w:tc>
          <w:tcPr>
            <w:tcW w:w="42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Remarks</w:t>
            </w:r>
          </w:p>
        </w:tc>
      </w:tr>
      <w:tr w:rsidR="003E022D">
        <w:tc>
          <w:tcPr>
            <w:tcW w:w="39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Wavelet Scalar Quantization Grayscale Fingerprint Image Compression Specification</w:t>
            </w:r>
          </w:p>
          <w:p w:rsidR="003E022D" w:rsidRDefault="007D19D6">
            <w:pPr>
              <w:spacing w:line="276" w:lineRule="auto"/>
              <w:rPr>
                <w:noProof/>
              </w:rPr>
            </w:pPr>
            <w:r>
              <w:rPr>
                <w:noProof/>
              </w:rPr>
              <w:t xml:space="preserve">IAFIS-IC-0010(V3), </w:t>
            </w:r>
            <w:r>
              <w:rPr>
                <w:noProof/>
              </w:rPr>
              <w:t>dated December 19, 1997</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WSQ</w:t>
            </w:r>
          </w:p>
        </w:tc>
        <w:tc>
          <w:tcPr>
            <w:tcW w:w="42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Algorithm to be used for the compression of grayscale images in Type-4, Type-7 and Type-13 to Type-15 records. Shall not be used for resolutions &gt; 500 dpi.</w:t>
            </w:r>
          </w:p>
        </w:tc>
      </w:tr>
      <w:tr w:rsidR="003E022D">
        <w:tc>
          <w:tcPr>
            <w:tcW w:w="399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JPEG 2000</w:t>
            </w:r>
          </w:p>
          <w:p w:rsidR="003E022D" w:rsidRDefault="007D19D6">
            <w:pPr>
              <w:spacing w:line="276" w:lineRule="auto"/>
              <w:rPr>
                <w:noProof/>
              </w:rPr>
            </w:pPr>
            <w:r>
              <w:rPr>
                <w:noProof/>
              </w:rPr>
              <w:t>[ISO 15444/ITU T.800]</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J2K</w:t>
            </w:r>
          </w:p>
        </w:tc>
        <w:tc>
          <w:tcPr>
            <w:tcW w:w="4272"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To be used for lossy and losslessly</w:t>
            </w:r>
            <w:r>
              <w:rPr>
                <w:noProof/>
              </w:rPr>
              <w:t xml:space="preserve"> compression of grayscale images in Type-13 to Type-15 records. Strongly recommended for resolutions &gt; 500 dpi</w:t>
            </w:r>
          </w:p>
        </w:tc>
      </w:tr>
    </w:tbl>
    <w:p w:rsidR="003E022D" w:rsidRDefault="003E022D">
      <w:pPr>
        <w:rPr>
          <w:noProof/>
          <w:lang w:val="en-IE"/>
        </w:rPr>
      </w:pPr>
    </w:p>
    <w:p w:rsidR="003E022D" w:rsidRDefault="007D19D6">
      <w:pPr>
        <w:spacing w:line="276" w:lineRule="auto"/>
        <w:rPr>
          <w:noProof/>
        </w:rPr>
      </w:pPr>
      <w:r>
        <w:rPr>
          <w:noProof/>
        </w:rPr>
        <w:t>9.8.</w:t>
      </w:r>
      <w:r>
        <w:rPr>
          <w:noProof/>
        </w:rPr>
        <w:tab/>
        <w:t>8. papildinājums – Sūtījumu parametri</w:t>
      </w:r>
    </w:p>
    <w:p w:rsidR="003E022D" w:rsidRDefault="007D19D6">
      <w:pPr>
        <w:rPr>
          <w:noProof/>
        </w:rPr>
      </w:pPr>
      <w:r>
        <w:rPr>
          <w:noProof/>
        </w:rPr>
        <w:t xml:space="preserve">Lai uzlabotu iekšējo darba plūsmu, </w:t>
      </w:r>
      <w:r>
        <w:rPr>
          <w:i/>
          <w:noProof/>
        </w:rPr>
        <w:t>PRUEM</w:t>
      </w:r>
      <w:r>
        <w:rPr>
          <w:noProof/>
        </w:rPr>
        <w:t xml:space="preserve"> darbību sūtījumos ir jāieraksta tās valsts kods (</w:t>
      </w:r>
      <w:r>
        <w:rPr>
          <w:i/>
          <w:noProof/>
        </w:rPr>
        <w:t xml:space="preserve">country </w:t>
      </w:r>
      <w:r>
        <w:rPr>
          <w:i/>
          <w:noProof/>
        </w:rPr>
        <w:t>code – CC</w:t>
      </w:r>
      <w:r>
        <w:rPr>
          <w:noProof/>
        </w:rPr>
        <w:t>), kura ir sūtījusi ziņu, un darbības tips (</w:t>
      </w:r>
      <w:r>
        <w:rPr>
          <w:i/>
          <w:noProof/>
        </w:rPr>
        <w:t>TOT</w:t>
      </w:r>
      <w:r>
        <w:rPr>
          <w:noProof/>
        </w:rPr>
        <w:t>, 1.004. lauks).</w:t>
      </w:r>
    </w:p>
    <w:p w:rsidR="003E022D" w:rsidRDefault="007D19D6">
      <w:pPr>
        <w:rPr>
          <w:noProof/>
        </w:rPr>
      </w:pPr>
      <w:r>
        <w:rPr>
          <w:noProof/>
        </w:rPr>
        <w:t xml:space="preserve">Forma – </w:t>
      </w:r>
      <w:r>
        <w:rPr>
          <w:i/>
          <w:noProof/>
        </w:rPr>
        <w:t>CC</w:t>
      </w:r>
      <w:r>
        <w:rPr>
          <w:noProof/>
        </w:rPr>
        <w:t>/darbības tips</w:t>
      </w:r>
    </w:p>
    <w:p w:rsidR="003E022D" w:rsidRDefault="007D19D6">
      <w:pPr>
        <w:rPr>
          <w:noProof/>
        </w:rPr>
      </w:pPr>
      <w:r>
        <w:rPr>
          <w:noProof/>
        </w:rPr>
        <w:t>Piemēram, "</w:t>
      </w:r>
      <w:r>
        <w:rPr>
          <w:i/>
          <w:noProof/>
        </w:rPr>
        <w:t>DE</w:t>
      </w:r>
      <w:r>
        <w:rPr>
          <w:noProof/>
        </w:rPr>
        <w:t>/</w:t>
      </w:r>
      <w:r>
        <w:rPr>
          <w:i/>
          <w:noProof/>
        </w:rPr>
        <w:t>CPS</w:t>
      </w:r>
      <w:r>
        <w:rPr>
          <w:noProof/>
        </w:rPr>
        <w:t>".</w:t>
      </w:r>
    </w:p>
    <w:p w:rsidR="003E022D" w:rsidRDefault="007D19D6">
      <w:pPr>
        <w:rPr>
          <w:noProof/>
        </w:rPr>
      </w:pPr>
      <w:r>
        <w:rPr>
          <w:noProof/>
        </w:rPr>
        <w:t>Sūtījuma satura lauks var būt tukšs.</w:t>
      </w:r>
    </w:p>
    <w:p w:rsidR="003E022D" w:rsidRDefault="007D19D6">
      <w:pPr>
        <w:pStyle w:val="Chapter"/>
        <w:rPr>
          <w:noProof/>
        </w:rPr>
      </w:pPr>
      <w:r>
        <w:rPr>
          <w:noProof/>
        </w:rPr>
        <w:t>3. NODAĻA. Transportlīdzekļu reģistrācijas datu apmaiņa</w:t>
      </w:r>
    </w:p>
    <w:p w:rsidR="003E022D" w:rsidRDefault="007D19D6">
      <w:pPr>
        <w:spacing w:line="276" w:lineRule="auto"/>
        <w:rPr>
          <w:noProof/>
        </w:rPr>
      </w:pPr>
      <w:r>
        <w:rPr>
          <w:noProof/>
        </w:rPr>
        <w:t>1.</w:t>
      </w:r>
      <w:r>
        <w:rPr>
          <w:noProof/>
        </w:rPr>
        <w:tab/>
        <w:t>Kopējs datu kopums automatizētai transport</w:t>
      </w:r>
      <w:r>
        <w:rPr>
          <w:noProof/>
        </w:rPr>
        <w:t>līdzekļu reģistrācijas datu meklēšanai</w:t>
      </w:r>
    </w:p>
    <w:p w:rsidR="003E022D" w:rsidRDefault="007D19D6">
      <w:pPr>
        <w:spacing w:line="276" w:lineRule="auto"/>
        <w:rPr>
          <w:noProof/>
        </w:rPr>
      </w:pPr>
      <w:r>
        <w:rPr>
          <w:noProof/>
        </w:rPr>
        <w:t>1.1.</w:t>
      </w:r>
      <w:r>
        <w:rPr>
          <w:noProof/>
        </w:rPr>
        <w:tab/>
        <w:t>Definīcijas</w:t>
      </w:r>
    </w:p>
    <w:p w:rsidR="003E022D" w:rsidRDefault="007D19D6">
      <w:pPr>
        <w:rPr>
          <w:noProof/>
        </w:rPr>
      </w:pPr>
      <w:r>
        <w:rPr>
          <w:noProof/>
        </w:rPr>
        <w:t>Obligāto un fakultatīvo datu elementu, kas minēti 0. nodaļas 14. panta 4. punktā, definīcijas ir šādas:</w:t>
      </w:r>
    </w:p>
    <w:p w:rsidR="003E022D" w:rsidRDefault="007D19D6">
      <w:pPr>
        <w:rPr>
          <w:noProof/>
        </w:rPr>
      </w:pPr>
      <w:r>
        <w:rPr>
          <w:noProof/>
        </w:rPr>
        <w:t xml:space="preserve">Obligāts (M – </w:t>
      </w:r>
      <w:r>
        <w:rPr>
          <w:i/>
          <w:noProof/>
        </w:rPr>
        <w:t>mandatory</w:t>
      </w:r>
      <w:r>
        <w:rPr>
          <w:noProof/>
        </w:rPr>
        <w:t>):</w:t>
      </w:r>
    </w:p>
    <w:p w:rsidR="003E022D" w:rsidRDefault="007D19D6">
      <w:pPr>
        <w:rPr>
          <w:noProof/>
        </w:rPr>
      </w:pPr>
      <w:r>
        <w:rPr>
          <w:noProof/>
        </w:rPr>
        <w:t>Šie datu elementi ir jādara zināmi, ja šāda informācija ir pieejama va</w:t>
      </w:r>
      <w:r>
        <w:rPr>
          <w:noProof/>
        </w:rPr>
        <w:t>lsts reģistrā. Tādējādi ir obligāti jāapmainās ar informāciju, ja tāda ir pieejama.</w:t>
      </w:r>
    </w:p>
    <w:p w:rsidR="003E022D" w:rsidRDefault="007D19D6">
      <w:pPr>
        <w:rPr>
          <w:noProof/>
        </w:rPr>
      </w:pPr>
      <w:r>
        <w:rPr>
          <w:noProof/>
        </w:rPr>
        <w:t xml:space="preserve">Fakultatīvs (O – </w:t>
      </w:r>
      <w:r>
        <w:rPr>
          <w:i/>
          <w:noProof/>
        </w:rPr>
        <w:t>optional</w:t>
      </w:r>
      <w:r>
        <w:rPr>
          <w:noProof/>
        </w:rPr>
        <w:t>):</w:t>
      </w:r>
    </w:p>
    <w:p w:rsidR="003E022D" w:rsidRDefault="007D19D6">
      <w:pPr>
        <w:rPr>
          <w:noProof/>
        </w:rPr>
      </w:pPr>
      <w:r>
        <w:rPr>
          <w:noProof/>
        </w:rPr>
        <w:t xml:space="preserve">Šos datu elementus var darīt zināmus, ja šāda informācija ir pieejama valsts reģistrā. Tādējādi nav obligāti apmainīties ar informāciju, pat ja </w:t>
      </w:r>
      <w:r>
        <w:rPr>
          <w:noProof/>
        </w:rPr>
        <w:t>tāda ir pieejama.</w:t>
      </w:r>
    </w:p>
    <w:p w:rsidR="003E022D" w:rsidRDefault="007D19D6">
      <w:pPr>
        <w:rPr>
          <w:noProof/>
        </w:rPr>
      </w:pPr>
      <w:r>
        <w:rPr>
          <w:noProof/>
        </w:rPr>
        <w:t>Katram datu kopuma elementam dod norādi (Y), ja šis elements ir īpaši apzināts kā tāds, kas ir nozīmīgs saistībā ar LAW.PRUM.15. pantu [Automatizēta transportlīdzekļu reģistrācijas datu meklēšana].</w:t>
      </w:r>
    </w:p>
    <w:p w:rsidR="003E022D" w:rsidRDefault="007D19D6">
      <w:pPr>
        <w:spacing w:line="276" w:lineRule="auto"/>
        <w:rPr>
          <w:noProof/>
        </w:rPr>
      </w:pPr>
      <w:r>
        <w:rPr>
          <w:noProof/>
        </w:rPr>
        <w:t>1.2.</w:t>
      </w:r>
      <w:r>
        <w:rPr>
          <w:noProof/>
        </w:rPr>
        <w:tab/>
        <w:t>Transportlīdzekļa, tā īpašnieka vai</w:t>
      </w:r>
      <w:r>
        <w:rPr>
          <w:noProof/>
        </w:rPr>
        <w:t xml:space="preserve"> turētāja meklēšana</w:t>
      </w:r>
    </w:p>
    <w:p w:rsidR="003E022D" w:rsidRDefault="007D19D6">
      <w:pPr>
        <w:spacing w:line="276" w:lineRule="auto"/>
        <w:rPr>
          <w:noProof/>
        </w:rPr>
      </w:pPr>
      <w:r>
        <w:rPr>
          <w:noProof/>
        </w:rPr>
        <w:t>1.2.1.</w:t>
      </w:r>
      <w:r>
        <w:rPr>
          <w:noProof/>
        </w:rPr>
        <w:tab/>
      </w:r>
      <w:r>
        <w:rPr>
          <w:i/>
          <w:iCs/>
          <w:noProof/>
        </w:rPr>
        <w:t>Meklēšanas parametri</w:t>
      </w:r>
    </w:p>
    <w:p w:rsidR="003E022D" w:rsidRDefault="007D19D6">
      <w:pPr>
        <w:rPr>
          <w:noProof/>
        </w:rPr>
      </w:pPr>
      <w:r>
        <w:rPr>
          <w:noProof/>
        </w:rPr>
        <w:t>Ir divi dažādi paņēmieni, kā veikt nākamajā punktā minētās informācijas meklēšanu:</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izmantojot šasijas numuru (</w:t>
      </w:r>
      <w:r>
        <w:rPr>
          <w:rFonts w:ascii="Calibri" w:hAnsi="Calibri"/>
          <w:i/>
          <w:noProof/>
          <w:sz w:val="22"/>
          <w:szCs w:val="22"/>
        </w:rPr>
        <w:t>VIN</w:t>
      </w:r>
      <w:r>
        <w:rPr>
          <w:rFonts w:ascii="Calibri" w:hAnsi="Calibri"/>
          <w:noProof/>
          <w:sz w:val="22"/>
          <w:szCs w:val="22"/>
        </w:rPr>
        <w:t>), atsauces datumu un laiku (fakultatīvs),</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izmantojot numura zīmi reģistrācijas numurā, šasijas</w:t>
      </w:r>
      <w:r>
        <w:rPr>
          <w:rFonts w:ascii="Calibri" w:hAnsi="Calibri"/>
          <w:noProof/>
          <w:sz w:val="22"/>
          <w:szCs w:val="22"/>
        </w:rPr>
        <w:t xml:space="preserve"> numuru (</w:t>
      </w:r>
      <w:r>
        <w:rPr>
          <w:rFonts w:ascii="Calibri" w:hAnsi="Calibri"/>
          <w:i/>
          <w:noProof/>
          <w:sz w:val="22"/>
          <w:szCs w:val="22"/>
        </w:rPr>
        <w:t>VIN</w:t>
      </w:r>
      <w:r>
        <w:rPr>
          <w:rFonts w:ascii="Calibri" w:hAnsi="Calibri"/>
          <w:noProof/>
          <w:sz w:val="22"/>
          <w:szCs w:val="22"/>
        </w:rPr>
        <w:t>) (fakultatīvs), atsauces datumu un laiku (fakultatīvs).</w:t>
      </w:r>
    </w:p>
    <w:p w:rsidR="003E022D" w:rsidRDefault="007D19D6">
      <w:pPr>
        <w:rPr>
          <w:noProof/>
        </w:rPr>
      </w:pPr>
      <w:r>
        <w:rPr>
          <w:noProof/>
        </w:rPr>
        <w:t>Izmantojot šos meklēšanas kritērijus, var atrast informāciju par vienu vai dažkārt vairākiem transportlīdzekļiem. Ja ir jāsniedz informācija tikai par vienu transportlīdzekli, tad visus d</w:t>
      </w:r>
      <w:r>
        <w:rPr>
          <w:noProof/>
        </w:rPr>
        <w:t xml:space="preserve">atus nosūta vienā atbildē. Ja ir atrasts vairāk nekā viens transportlīdzeklis, pieprasījuma saņēmēja valsts pati var izlemt, kurus datus nosūtīt; vai būtu jānosūta visi dati vai tikai dati, kas dotu iespēju sīkāk ierobežot meklēšanu (piemēram, jo ņem vērā </w:t>
      </w:r>
      <w:r>
        <w:rPr>
          <w:noProof/>
        </w:rPr>
        <w:t>personas datu aizsardzību vai efektivitātes apsvērumus).</w:t>
      </w:r>
    </w:p>
    <w:p w:rsidR="003E022D" w:rsidRDefault="007D19D6">
      <w:pPr>
        <w:rPr>
          <w:noProof/>
        </w:rPr>
      </w:pPr>
      <w:r>
        <w:rPr>
          <w:noProof/>
        </w:rPr>
        <w:t>1.2.2.1. punktā ir uzskaitīti dati, kas vajadzīgi, lai sīkāk ierobežotu meklēšanas kritērijus. 1.2.2.2. punktā ir aprakstīts viss informācijas datu kopums.</w:t>
      </w:r>
    </w:p>
    <w:p w:rsidR="003E022D" w:rsidRDefault="007D19D6">
      <w:pPr>
        <w:rPr>
          <w:noProof/>
        </w:rPr>
      </w:pPr>
      <w:r>
        <w:rPr>
          <w:noProof/>
        </w:rPr>
        <w:t>Ja meklēšanu veic, izmantojot šasijas numur</w:t>
      </w:r>
      <w:r>
        <w:rPr>
          <w:noProof/>
        </w:rPr>
        <w:t>u, atsauces datumu un laiku, to var veikt vienā vai visās valstīs, kas ir pieslēgušās sistēmai.</w:t>
      </w:r>
    </w:p>
    <w:p w:rsidR="003E022D" w:rsidRDefault="007D19D6">
      <w:pPr>
        <w:rPr>
          <w:noProof/>
        </w:rPr>
      </w:pPr>
      <w:r>
        <w:rPr>
          <w:noProof/>
        </w:rPr>
        <w:t>Ja meklēšanu veic, izmantojot apliecības numuru, atsauces datumu un laiku, to var veikt vienā konkrētā valstī.</w:t>
      </w:r>
    </w:p>
    <w:p w:rsidR="003E022D" w:rsidRDefault="007D19D6">
      <w:pPr>
        <w:rPr>
          <w:noProof/>
        </w:rPr>
      </w:pPr>
      <w:r>
        <w:rPr>
          <w:noProof/>
        </w:rPr>
        <w:t>Parasti, lai veiktu meklēšanu, izmanto faktisko d</w:t>
      </w:r>
      <w:r>
        <w:rPr>
          <w:noProof/>
        </w:rPr>
        <w:t>atumu un laiku, tomēr to ir iespējams veikt izmantojot agrāku atsauces datumu un laiku. Ja meklēšanu veic, izmantojot agrāku atsauces datumu un laiku, un attiecīgās valsts reģistrā šī senākā informācija nav pieejama, jo šāda informācija nav reģistrēta, fak</w:t>
      </w:r>
      <w:r>
        <w:rPr>
          <w:noProof/>
        </w:rPr>
        <w:t>tisko informāciju var nosūtīt atpakaļ ar norādi, ka tā ir faktiska informācija.</w:t>
      </w:r>
    </w:p>
    <w:p w:rsidR="003E022D" w:rsidRDefault="007D19D6">
      <w:pPr>
        <w:spacing w:line="276" w:lineRule="auto"/>
        <w:rPr>
          <w:noProof/>
        </w:rPr>
      </w:pPr>
      <w:r>
        <w:rPr>
          <w:noProof/>
        </w:rPr>
        <w:t>1.2.2.</w:t>
      </w:r>
      <w:r>
        <w:rPr>
          <w:noProof/>
        </w:rPr>
        <w:tab/>
      </w:r>
      <w:r>
        <w:rPr>
          <w:i/>
          <w:iCs/>
          <w:noProof/>
        </w:rPr>
        <w:t>Datu kopa</w:t>
      </w:r>
    </w:p>
    <w:p w:rsidR="003E022D" w:rsidRDefault="007D19D6">
      <w:pPr>
        <w:rPr>
          <w:noProof/>
        </w:rPr>
      </w:pPr>
      <w:r>
        <w:rPr>
          <w:noProof/>
        </w:rPr>
        <w:t>1.2.2.1.</w:t>
      </w:r>
      <w:r>
        <w:rPr>
          <w:noProof/>
        </w:rPr>
        <w:tab/>
        <w:t>Sīkākai meklēšanas kritēriju ierobežošanai nosūtāmi dati</w:t>
      </w:r>
    </w:p>
    <w:tbl>
      <w:tblPr>
        <w:tblW w:w="0" w:type="auto"/>
        <w:tblInd w:w="93" w:type="dxa"/>
        <w:tblLayout w:type="fixed"/>
        <w:tblLook w:val="0000" w:firstRow="0" w:lastRow="0" w:firstColumn="0" w:lastColumn="0" w:noHBand="0" w:noVBand="0"/>
      </w:tblPr>
      <w:tblGrid>
        <w:gridCol w:w="3367"/>
        <w:gridCol w:w="910"/>
        <w:gridCol w:w="3367"/>
        <w:gridCol w:w="1456"/>
      </w:tblGrid>
      <w:tr w:rsidR="003E022D">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Item</w:t>
            </w:r>
          </w:p>
        </w:tc>
        <w:tc>
          <w:tcPr>
            <w:tcW w:w="9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M/O </w:t>
            </w:r>
            <w:r>
              <w:rPr>
                <w:rStyle w:val="FootnoteReference"/>
                <w:noProof/>
                <w:lang w:val="en-IE"/>
              </w:rPr>
              <w:footnoteReference w:id="136"/>
            </w:r>
          </w:p>
        </w:tc>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Remarks</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Prüm Y/N</w:t>
            </w:r>
            <w:r>
              <w:rPr>
                <w:rStyle w:val="FootnoteReference"/>
                <w:noProof/>
                <w:lang w:val="en-IE"/>
              </w:rPr>
              <w:footnoteReference w:id="137"/>
            </w:r>
          </w:p>
        </w:tc>
      </w:tr>
      <w:tr w:rsidR="003E022D">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Data relating to vehicles</w:t>
            </w:r>
          </w:p>
        </w:tc>
        <w:tc>
          <w:tcPr>
            <w:tcW w:w="910"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3367"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r>
      <w:tr w:rsidR="003E022D">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Licence number</w:t>
            </w:r>
          </w:p>
        </w:tc>
        <w:tc>
          <w:tcPr>
            <w:tcW w:w="9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Chassis </w:t>
            </w:r>
            <w:r>
              <w:rPr>
                <w:noProof/>
              </w:rPr>
              <w:t>number/VIN</w:t>
            </w:r>
          </w:p>
        </w:tc>
        <w:tc>
          <w:tcPr>
            <w:tcW w:w="9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Country of registration</w:t>
            </w:r>
          </w:p>
        </w:tc>
        <w:tc>
          <w:tcPr>
            <w:tcW w:w="9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Make</w:t>
            </w:r>
          </w:p>
        </w:tc>
        <w:tc>
          <w:tcPr>
            <w:tcW w:w="9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w:t>
            </w:r>
            <w:r>
              <w:rPr>
                <w:rStyle w:val="FootnoteReference"/>
                <w:noProof/>
                <w:lang w:val="en-IE"/>
              </w:rPr>
              <w:footnoteReference w:id="138"/>
            </w:r>
            <w:r>
              <w:rPr>
                <w:noProof/>
              </w:rPr>
              <w:t>) e.g. Ford, Opel, Renault, etc.</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Commercial type of the vehicle</w:t>
            </w:r>
          </w:p>
        </w:tc>
        <w:tc>
          <w:tcPr>
            <w:tcW w:w="9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(D.3) e.g. Focus, Astra, Megane</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EU Category Code</w:t>
            </w:r>
          </w:p>
        </w:tc>
        <w:tc>
          <w:tcPr>
            <w:tcW w:w="91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(J) mopeds, motorbikes, cars, etc.</w:t>
            </w:r>
          </w:p>
        </w:tc>
        <w:tc>
          <w:tcPr>
            <w:tcW w:w="145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bl>
    <w:p w:rsidR="003E022D" w:rsidRDefault="003E022D">
      <w:pPr>
        <w:rPr>
          <w:noProof/>
          <w:lang w:val="en-IE"/>
        </w:rPr>
      </w:pPr>
    </w:p>
    <w:p w:rsidR="003E022D" w:rsidRDefault="007D19D6">
      <w:pPr>
        <w:rPr>
          <w:noProof/>
        </w:rPr>
      </w:pPr>
      <w:r>
        <w:rPr>
          <w:noProof/>
        </w:rPr>
        <w:t>1.2.2.2.</w:t>
      </w:r>
      <w:r>
        <w:rPr>
          <w:noProof/>
        </w:rPr>
        <w:tab/>
        <w:t>Pilnīgs datu kopums</w:t>
      </w:r>
    </w:p>
    <w:tbl>
      <w:tblPr>
        <w:tblW w:w="0" w:type="auto"/>
        <w:tblLayout w:type="fixed"/>
        <w:tblLook w:val="0000" w:firstRow="0" w:lastRow="0" w:firstColumn="0" w:lastColumn="0" w:noHBand="0" w:noVBand="0"/>
      </w:tblPr>
      <w:tblGrid>
        <w:gridCol w:w="1950"/>
        <w:gridCol w:w="929"/>
        <w:gridCol w:w="5386"/>
        <w:gridCol w:w="1021"/>
      </w:tblGrid>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Item</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M/O </w:t>
            </w:r>
            <w:r>
              <w:rPr>
                <w:rStyle w:val="FootnoteReference"/>
                <w:noProof/>
                <w:lang w:val="en-IE"/>
              </w:rPr>
              <w:footnoteReference w:id="139"/>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Remarks</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Prüm Y/N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Data relating to holders of the vehicle</w:t>
            </w:r>
          </w:p>
        </w:tc>
        <w:tc>
          <w:tcPr>
            <w:tcW w:w="929"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(C.1</w:t>
            </w:r>
            <w:r>
              <w:rPr>
                <w:rStyle w:val="FootnoteReference"/>
                <w:noProof/>
                <w:lang w:val="en-IE"/>
              </w:rPr>
              <w:footnoteReference w:id="140"/>
            </w:r>
            <w:r>
              <w:rPr>
                <w:noProof/>
              </w:rPr>
              <w:t>) The data refer to the holder of the specific registration certificate.</w:t>
            </w:r>
          </w:p>
        </w:tc>
        <w:tc>
          <w:tcPr>
            <w:tcW w:w="1021"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Registration holders’ (company) name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(C.1.1.)</w:t>
            </w:r>
          </w:p>
          <w:p w:rsidR="003E022D" w:rsidRDefault="007D19D6">
            <w:pPr>
              <w:spacing w:line="276" w:lineRule="auto"/>
              <w:rPr>
                <w:noProof/>
              </w:rPr>
            </w:pPr>
            <w:r>
              <w:rPr>
                <w:noProof/>
              </w:rPr>
              <w:t>separate fields will be used for surname, infixes, titles, etc.</w:t>
            </w:r>
            <w:r>
              <w:rPr>
                <w:noProof/>
              </w:rPr>
              <w:t>,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(C.1.2)</w:t>
            </w:r>
          </w:p>
          <w:p w:rsidR="003E022D" w:rsidRDefault="007D19D6">
            <w:pPr>
              <w:spacing w:line="276" w:lineRule="auto"/>
              <w:rPr>
                <w:noProof/>
              </w:rPr>
            </w:pPr>
            <w:r>
              <w:rPr>
                <w:noProof/>
              </w:rPr>
              <w:t>separate fields for first name(s) and initials will be used,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(C.1.3)</w:t>
            </w:r>
          </w:p>
          <w:p w:rsidR="003E022D" w:rsidRDefault="007D19D6">
            <w:pPr>
              <w:spacing w:line="276" w:lineRule="auto"/>
              <w:rPr>
                <w:noProof/>
              </w:rPr>
            </w:pPr>
            <w:r>
              <w:rPr>
                <w:noProof/>
              </w:rPr>
              <w:t>separate fields will be used for Street,</w:t>
            </w:r>
            <w:r>
              <w:rPr>
                <w:noProof/>
              </w:rPr>
              <w:t xml:space="preserve"> House number and Annex, Zip code, Place of residence, Country of residence, etc., and the Address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 of birth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Place</w:t>
            </w:r>
            <w:r>
              <w:rPr>
                <w:noProof/>
              </w:rPr>
              <w:t xml:space="preserve"> of Birth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Start date holdership</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Start date of the holdership of the car. This date will often be t</w:t>
            </w:r>
            <w:r>
              <w:rPr>
                <w:noProof/>
              </w:rPr>
              <w:t>he same as printed under (I) on the registration certificate of the vehicle.</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End date holdership</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End data of the holdership of the car.</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 of holder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If there is no owner of the vehicle (C.2) the reference to the fact that the holder of the </w:t>
            </w:r>
            <w:r>
              <w:rPr>
                <w:noProof/>
              </w:rPr>
              <w:t>registration certificate:</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is the vehicle owner,</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is not the vehicle owner,</w:t>
            </w:r>
          </w:p>
          <w:p w:rsidR="003E022D" w:rsidRDefault="007D19D6">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is not identified by the registration certificate as being the vehicle owner.</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Data relating to owners of the vehicle</w:t>
            </w:r>
          </w:p>
        </w:tc>
        <w:tc>
          <w:tcPr>
            <w:tcW w:w="929"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(C.2)</w:t>
            </w:r>
          </w:p>
        </w:tc>
        <w:tc>
          <w:tcPr>
            <w:tcW w:w="1021"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Owners’ (company) name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(C.2.1)</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(C.2.2)</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(C.2.3)</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Date of birth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Place of Birth</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Type of ID </w:t>
            </w:r>
            <w:r>
              <w:rPr>
                <w:noProof/>
              </w:rPr>
              <w:t>Number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Start date ownership</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Start date of the ownership of the car.</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End date ownership</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End data of the ownership of the car.</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Data relating to vehicles</w:t>
            </w:r>
          </w:p>
        </w:tc>
        <w:tc>
          <w:tcPr>
            <w:tcW w:w="929"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Licence number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Chassis number/VIN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Country of registration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Make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(D.1) e.g. Ford, Opel, Renault, etc.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Commercial type of the vehicle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(D.3) e.g. Focus, Astra, Megane.</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Nature of the vehicle/EU Category Code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(J) mopeds, motorbikes, cars, etc.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Date of first </w:t>
            </w:r>
            <w:r>
              <w:rPr>
                <w:noProof/>
              </w:rPr>
              <w:t>registration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 Date of first registration of the vehicle somewhere in the world.</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Start date (actual) registration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 Date of the registration to which the specific certificate of the vehicle refers.</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End date registration</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End data of the regi</w:t>
            </w:r>
            <w:r>
              <w:rPr>
                <w:noProof/>
              </w:rPr>
              <w:t>stration to which the specific certificate of the vehicle refers. It is possible this date indicates the period of validity as printed on the document if not unlimited (document abbreviation = H).</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Status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Scrapped, stolen, exported, etc.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Start date </w:t>
            </w:r>
            <w:r>
              <w:rPr>
                <w:noProof/>
              </w:rPr>
              <w:t>status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End date status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kW</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(P.2)</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Capacity</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(P.1)</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 of licence number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Regular, transito, etc.</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Vehicle document id 1</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The first unique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Vehicle document id 2</w:t>
            </w:r>
            <w:r>
              <w:rPr>
                <w:rStyle w:val="FootnoteReference"/>
                <w:noProof/>
                <w:lang w:val="en-IE"/>
              </w:rPr>
              <w:footnoteReference w:id="141"/>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A second document </w:t>
            </w:r>
            <w:r>
              <w:rPr>
                <w:noProof/>
              </w:rPr>
              <w:t>ID as printed on the vehicle document.</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Data relating to insurances</w:t>
            </w:r>
          </w:p>
        </w:tc>
        <w:tc>
          <w:tcPr>
            <w:tcW w:w="929"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Insurance company name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Begin date insurance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End date insurance</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Insurance number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3E022D">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Y</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An identifier that uniquely identifies the company.</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r w:rsidR="003E022D">
        <w:tc>
          <w:tcPr>
            <w:tcW w:w="1950"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The type of ID number (e.g. number of the Chamber of Commerce)</w:t>
            </w:r>
          </w:p>
        </w:tc>
        <w:tc>
          <w:tcPr>
            <w:tcW w:w="1021"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w:t>
            </w:r>
          </w:p>
        </w:tc>
      </w:tr>
    </w:tbl>
    <w:p w:rsidR="003E022D" w:rsidRDefault="003E022D">
      <w:pPr>
        <w:rPr>
          <w:noProof/>
          <w:lang w:val="en-IE"/>
        </w:rPr>
      </w:pPr>
    </w:p>
    <w:p w:rsidR="003E022D" w:rsidRDefault="007D19D6">
      <w:pPr>
        <w:spacing w:line="276" w:lineRule="auto"/>
        <w:rPr>
          <w:noProof/>
        </w:rPr>
      </w:pPr>
      <w:r>
        <w:rPr>
          <w:noProof/>
        </w:rPr>
        <w:t>2.</w:t>
      </w:r>
      <w:r>
        <w:rPr>
          <w:noProof/>
        </w:rPr>
        <w:tab/>
        <w:t>Datu drošība</w:t>
      </w:r>
    </w:p>
    <w:p w:rsidR="003E022D" w:rsidRDefault="007D19D6">
      <w:pPr>
        <w:spacing w:line="276" w:lineRule="auto"/>
        <w:rPr>
          <w:noProof/>
        </w:rPr>
      </w:pPr>
      <w:r>
        <w:rPr>
          <w:noProof/>
        </w:rPr>
        <w:t>2.1.</w:t>
      </w:r>
      <w:r>
        <w:rPr>
          <w:noProof/>
        </w:rPr>
        <w:tab/>
        <w:t>Pārskats</w:t>
      </w:r>
    </w:p>
    <w:p w:rsidR="003E022D" w:rsidRDefault="007D19D6">
      <w:pPr>
        <w:rPr>
          <w:noProof/>
        </w:rPr>
      </w:pPr>
      <w:r>
        <w:rPr>
          <w:i/>
          <w:noProof/>
        </w:rPr>
        <w:t>Eucaris</w:t>
      </w:r>
      <w:r>
        <w:rPr>
          <w:noProof/>
        </w:rPr>
        <w:t xml:space="preserve"> lietojumprogrammatūra garantē drošu komunikāciju ar citām valstīm un, izmantojot </w:t>
      </w:r>
      <w:r>
        <w:rPr>
          <w:i/>
          <w:noProof/>
        </w:rPr>
        <w:t>XML</w:t>
      </w:r>
      <w:r>
        <w:rPr>
          <w:noProof/>
        </w:rPr>
        <w:t xml:space="preserve">, nodrošina komunikāciju ar valstu </w:t>
      </w:r>
      <w:r>
        <w:rPr>
          <w:noProof/>
        </w:rPr>
        <w:t>uzstādītajām aizmugursistēmām (</w:t>
      </w:r>
      <w:r>
        <w:rPr>
          <w:i/>
          <w:noProof/>
        </w:rPr>
        <w:t>back-end legacy system</w:t>
      </w:r>
      <w:r>
        <w:rPr>
          <w:noProof/>
        </w:rPr>
        <w:t xml:space="preserve">). Atbildes sūtījumu valstis nosūta tieši saņēmējam. Valsts datu centrs ir savienots ar </w:t>
      </w:r>
      <w:r>
        <w:rPr>
          <w:i/>
          <w:noProof/>
        </w:rPr>
        <w:t>TESTA</w:t>
      </w:r>
      <w:r>
        <w:rPr>
          <w:noProof/>
        </w:rPr>
        <w:t xml:space="preserve"> tīklu.</w:t>
      </w:r>
    </w:p>
    <w:p w:rsidR="003E022D" w:rsidRDefault="007D19D6">
      <w:pPr>
        <w:rPr>
          <w:noProof/>
        </w:rPr>
      </w:pPr>
      <w:r>
        <w:rPr>
          <w:i/>
          <w:noProof/>
        </w:rPr>
        <w:t>XML</w:t>
      </w:r>
      <w:r>
        <w:rPr>
          <w:noProof/>
        </w:rPr>
        <w:t xml:space="preserve"> sūtījumus sūta šifrēti. Šo sūtījumu šifrēšanā izmanto </w:t>
      </w:r>
      <w:r>
        <w:rPr>
          <w:i/>
          <w:noProof/>
        </w:rPr>
        <w:t>SSL</w:t>
      </w:r>
      <w:r>
        <w:rPr>
          <w:noProof/>
        </w:rPr>
        <w:t xml:space="preserve"> tehniku. Aizmugursistēmai sūta parasta t</w:t>
      </w:r>
      <w:r>
        <w:rPr>
          <w:noProof/>
        </w:rPr>
        <w:t xml:space="preserve">eksta </w:t>
      </w:r>
      <w:r>
        <w:rPr>
          <w:i/>
          <w:noProof/>
        </w:rPr>
        <w:t>XML</w:t>
      </w:r>
      <w:r>
        <w:rPr>
          <w:noProof/>
        </w:rPr>
        <w:t xml:space="preserve"> sūtījumus, jo lietojumprogrammas un aizmugursistēmas sakariem jābūt aizsargātiem.</w:t>
      </w:r>
    </w:p>
    <w:p w:rsidR="003E022D" w:rsidRDefault="007D19D6">
      <w:pPr>
        <w:rPr>
          <w:noProof/>
        </w:rPr>
      </w:pPr>
      <w:r>
        <w:rPr>
          <w:noProof/>
        </w:rPr>
        <w:t>Ir paredzēta klientu lietojumprogramma (</w:t>
      </w:r>
      <w:r>
        <w:rPr>
          <w:i/>
          <w:noProof/>
        </w:rPr>
        <w:t>client application</w:t>
      </w:r>
      <w:r>
        <w:rPr>
          <w:noProof/>
        </w:rPr>
        <w:t>), ko var lietot valstī, lai veiktu meklēšanu viņu pašu reģistrā vai citu valstu reģistros. Klientus ident</w:t>
      </w:r>
      <w:r>
        <w:rPr>
          <w:noProof/>
        </w:rPr>
        <w:t>ificēs, izmantojot lietotājvārdu un paroli vai klienta sertifikātu. Savienojumus ar lietotājiem var šifrēt, bet tā ir katras valsts individuāla atbildība.</w:t>
      </w:r>
    </w:p>
    <w:p w:rsidR="003E022D" w:rsidRDefault="007D19D6">
      <w:pPr>
        <w:spacing w:line="276" w:lineRule="auto"/>
        <w:rPr>
          <w:noProof/>
        </w:rPr>
      </w:pPr>
      <w:r>
        <w:rPr>
          <w:noProof/>
        </w:rPr>
        <w:t>2.2.</w:t>
      </w:r>
      <w:r>
        <w:rPr>
          <w:noProof/>
        </w:rPr>
        <w:tab/>
        <w:t>Ar sūtījumu apmaiņu saistītas drošības iezīmes</w:t>
      </w:r>
    </w:p>
    <w:p w:rsidR="003E022D" w:rsidRDefault="007D19D6">
      <w:pPr>
        <w:rPr>
          <w:noProof/>
        </w:rPr>
      </w:pPr>
      <w:r>
        <w:rPr>
          <w:noProof/>
        </w:rPr>
        <w:t xml:space="preserve">Drošības sistēmas pamatā ir </w:t>
      </w:r>
      <w:r>
        <w:rPr>
          <w:i/>
          <w:noProof/>
        </w:rPr>
        <w:t>HTTPS</w:t>
      </w:r>
      <w:r>
        <w:rPr>
          <w:noProof/>
        </w:rPr>
        <w:t xml:space="preserve"> un </w:t>
      </w:r>
      <w:r>
        <w:rPr>
          <w:i/>
          <w:noProof/>
        </w:rPr>
        <w:t>XML</w:t>
      </w:r>
      <w:r>
        <w:rPr>
          <w:noProof/>
        </w:rPr>
        <w:t xml:space="preserve"> paraksta</w:t>
      </w:r>
      <w:r>
        <w:rPr>
          <w:noProof/>
        </w:rPr>
        <w:t xml:space="preserve"> kombinācija. Tas ļauj izmantot </w:t>
      </w:r>
      <w:r>
        <w:rPr>
          <w:i/>
          <w:noProof/>
        </w:rPr>
        <w:t>XML</w:t>
      </w:r>
      <w:r>
        <w:rPr>
          <w:noProof/>
        </w:rPr>
        <w:t xml:space="preserve"> parakstu, lai parakstītu visus serverim nosūtītos sūtījumus, turklāt tā var autentificēt sūtījuma autoru, pārbaudot parakstu. Vienas puses </w:t>
      </w:r>
      <w:r>
        <w:rPr>
          <w:i/>
          <w:noProof/>
        </w:rPr>
        <w:t>SSL</w:t>
      </w:r>
      <w:r>
        <w:rPr>
          <w:noProof/>
        </w:rPr>
        <w:t xml:space="preserve"> (</w:t>
      </w:r>
      <w:r>
        <w:rPr>
          <w:i/>
          <w:noProof/>
        </w:rPr>
        <w:t>1-sided SSL</w:t>
      </w:r>
      <w:r>
        <w:rPr>
          <w:noProof/>
        </w:rPr>
        <w:t>) drošības standartu (tikai servera sertifikāts) izmanto, lai aiz</w:t>
      </w:r>
      <w:r>
        <w:rPr>
          <w:noProof/>
        </w:rPr>
        <w:t xml:space="preserve">sargātu sūtījuma konfidencialitāti un integritāti un lai nodrošinātu aizsardzību pret dzēšanas, atbildes un nesankcionētas datu iekļaušanas uzbrukumiem. Tā vietā, lai attīstītu īpašu programmatūru, kas nodrošinātu divu pušu </w:t>
      </w:r>
      <w:r>
        <w:rPr>
          <w:i/>
          <w:noProof/>
        </w:rPr>
        <w:t>SSL</w:t>
      </w:r>
      <w:r>
        <w:rPr>
          <w:noProof/>
        </w:rPr>
        <w:t xml:space="preserve"> standartu, izmanto </w:t>
      </w:r>
      <w:r>
        <w:rPr>
          <w:i/>
          <w:noProof/>
        </w:rPr>
        <w:t>XML</w:t>
      </w:r>
      <w:r>
        <w:rPr>
          <w:noProof/>
        </w:rPr>
        <w:t xml:space="preserve"> parak</w:t>
      </w:r>
      <w:r>
        <w:rPr>
          <w:noProof/>
        </w:rPr>
        <w:t xml:space="preserve">stu. </w:t>
      </w:r>
      <w:r>
        <w:rPr>
          <w:i/>
          <w:noProof/>
        </w:rPr>
        <w:t>XML</w:t>
      </w:r>
      <w:r>
        <w:rPr>
          <w:noProof/>
        </w:rPr>
        <w:t xml:space="preserve"> paraksta izmantojums ir tuvāks tīkla pakalpojumu standartam nekā divu pušu </w:t>
      </w:r>
      <w:r>
        <w:rPr>
          <w:i/>
          <w:noProof/>
        </w:rPr>
        <w:t>SSL</w:t>
      </w:r>
      <w:r>
        <w:rPr>
          <w:noProof/>
        </w:rPr>
        <w:t>, un tāpēc tā lietojums ir stratēģiski izdevīgāks.</w:t>
      </w:r>
    </w:p>
    <w:p w:rsidR="003E022D" w:rsidRDefault="007D19D6">
      <w:pPr>
        <w:rPr>
          <w:noProof/>
        </w:rPr>
      </w:pPr>
      <w:r>
        <w:rPr>
          <w:i/>
          <w:noProof/>
        </w:rPr>
        <w:t>XML</w:t>
      </w:r>
      <w:r>
        <w:rPr>
          <w:noProof/>
        </w:rPr>
        <w:t xml:space="preserve"> parakstu var īstenot dažādi, bet ir izvēlēta pieeja, ka </w:t>
      </w:r>
      <w:r>
        <w:rPr>
          <w:i/>
          <w:noProof/>
        </w:rPr>
        <w:t>XML</w:t>
      </w:r>
      <w:r>
        <w:rPr>
          <w:noProof/>
        </w:rPr>
        <w:t xml:space="preserve"> parakstu izmanto kā tīkla pakalpojumu drošības daļu (</w:t>
      </w:r>
      <w:r>
        <w:rPr>
          <w:i/>
          <w:noProof/>
        </w:rPr>
        <w:t>Web Services Security</w:t>
      </w:r>
      <w:r>
        <w:rPr>
          <w:noProof/>
        </w:rPr>
        <w:t xml:space="preserve"> – </w:t>
      </w:r>
      <w:r>
        <w:rPr>
          <w:i/>
          <w:noProof/>
        </w:rPr>
        <w:t>WSS</w:t>
      </w:r>
      <w:r>
        <w:rPr>
          <w:noProof/>
        </w:rPr>
        <w:t xml:space="preserve">). </w:t>
      </w:r>
      <w:r>
        <w:rPr>
          <w:i/>
          <w:noProof/>
        </w:rPr>
        <w:t>WSS</w:t>
      </w:r>
      <w:r>
        <w:rPr>
          <w:noProof/>
        </w:rPr>
        <w:t xml:space="preserve"> nosaka, kā izmantot </w:t>
      </w:r>
      <w:r>
        <w:rPr>
          <w:i/>
          <w:noProof/>
        </w:rPr>
        <w:t>XML</w:t>
      </w:r>
      <w:r>
        <w:rPr>
          <w:noProof/>
        </w:rPr>
        <w:t xml:space="preserve"> parakstu. Tā kā </w:t>
      </w:r>
      <w:r>
        <w:rPr>
          <w:i/>
          <w:noProof/>
        </w:rPr>
        <w:t>WSS</w:t>
      </w:r>
      <w:r>
        <w:rPr>
          <w:noProof/>
        </w:rPr>
        <w:t xml:space="preserve"> pamatā ir </w:t>
      </w:r>
      <w:r>
        <w:rPr>
          <w:i/>
          <w:noProof/>
        </w:rPr>
        <w:t>SOAP</w:t>
      </w:r>
      <w:r>
        <w:rPr>
          <w:noProof/>
        </w:rPr>
        <w:t xml:space="preserve"> standarts, būtu loģiski pēc iespējas rīkoties saskaņā ar </w:t>
      </w:r>
      <w:r>
        <w:rPr>
          <w:i/>
          <w:noProof/>
        </w:rPr>
        <w:t>SOAP</w:t>
      </w:r>
      <w:r>
        <w:rPr>
          <w:noProof/>
        </w:rPr>
        <w:t xml:space="preserve"> standartu.</w:t>
      </w:r>
    </w:p>
    <w:p w:rsidR="003E022D" w:rsidRDefault="007D19D6">
      <w:pPr>
        <w:spacing w:line="276" w:lineRule="auto"/>
        <w:rPr>
          <w:noProof/>
        </w:rPr>
      </w:pPr>
      <w:r>
        <w:rPr>
          <w:noProof/>
        </w:rPr>
        <w:t>2.3.</w:t>
      </w:r>
      <w:r>
        <w:rPr>
          <w:noProof/>
        </w:rPr>
        <w:tab/>
        <w:t>Ar sūtījumu apmaiņu nesaistītas drošības iezīmes</w:t>
      </w:r>
    </w:p>
    <w:p w:rsidR="003E022D" w:rsidRDefault="007D19D6">
      <w:pPr>
        <w:spacing w:line="276" w:lineRule="auto"/>
        <w:rPr>
          <w:noProof/>
        </w:rPr>
      </w:pPr>
      <w:r>
        <w:rPr>
          <w:noProof/>
        </w:rPr>
        <w:t>2.3.1.</w:t>
      </w:r>
      <w:r>
        <w:rPr>
          <w:noProof/>
        </w:rPr>
        <w:tab/>
      </w:r>
      <w:r>
        <w:rPr>
          <w:i/>
          <w:iCs/>
          <w:noProof/>
        </w:rPr>
        <w:t>Lietotāju autentifikācija</w:t>
      </w:r>
    </w:p>
    <w:p w:rsidR="003E022D" w:rsidRDefault="007D19D6">
      <w:pPr>
        <w:rPr>
          <w:noProof/>
        </w:rPr>
      </w:pPr>
      <w:r>
        <w:rPr>
          <w:i/>
          <w:noProof/>
        </w:rPr>
        <w:t>Euc</w:t>
      </w:r>
      <w:r>
        <w:rPr>
          <w:i/>
          <w:noProof/>
        </w:rPr>
        <w:t>aris</w:t>
      </w:r>
      <w:r>
        <w:rPr>
          <w:noProof/>
        </w:rPr>
        <w:t xml:space="preserve"> tīkla lietojumprogrammas lietotāji autentificējas, izmantojot lietotājvārdu un paroli. Tā kā izmanto </w:t>
      </w:r>
      <w:r>
        <w:rPr>
          <w:i/>
          <w:noProof/>
        </w:rPr>
        <w:t>Windows</w:t>
      </w:r>
      <w:r>
        <w:rPr>
          <w:noProof/>
        </w:rPr>
        <w:t xml:space="preserve"> standarta autentifikāciju, valstis vajadzības gadījumā lietotāju autentifikācijas drošību var paaugstināt, izmantojot klientu sertifikāciju.</w:t>
      </w:r>
    </w:p>
    <w:p w:rsidR="003E022D" w:rsidRDefault="007D19D6">
      <w:pPr>
        <w:spacing w:line="276" w:lineRule="auto"/>
        <w:rPr>
          <w:noProof/>
        </w:rPr>
      </w:pPr>
      <w:r>
        <w:rPr>
          <w:noProof/>
        </w:rPr>
        <w:t>2</w:t>
      </w:r>
      <w:r>
        <w:rPr>
          <w:noProof/>
        </w:rPr>
        <w:t>.3.2.</w:t>
      </w:r>
      <w:r>
        <w:rPr>
          <w:noProof/>
        </w:rPr>
        <w:tab/>
      </w:r>
      <w:r>
        <w:rPr>
          <w:i/>
          <w:iCs/>
          <w:noProof/>
        </w:rPr>
        <w:t>Lietotāju lomas</w:t>
      </w:r>
    </w:p>
    <w:p w:rsidR="003E022D" w:rsidRDefault="007D19D6">
      <w:pPr>
        <w:rPr>
          <w:noProof/>
        </w:rPr>
      </w:pPr>
      <w:r>
        <w:rPr>
          <w:i/>
          <w:noProof/>
        </w:rPr>
        <w:t>Eucaris</w:t>
      </w:r>
      <w:r>
        <w:rPr>
          <w:noProof/>
        </w:rPr>
        <w:t xml:space="preserve"> lietojumprogramma atbalsta dažādas lietotāju lomas. Katram pakalpojumu kopumam ir sava autorizācija. Piemēram, “</w:t>
      </w:r>
      <w:r>
        <w:rPr>
          <w:i/>
          <w:noProof/>
        </w:rPr>
        <w:t>Eucaris</w:t>
      </w:r>
      <w:r>
        <w:rPr>
          <w:noProof/>
        </w:rPr>
        <w:t xml:space="preserve"> līguma funkcionalitātes” (konkrētiem) lietotājiem var nebūt pieeja “Prīmes funkcionalitātei”. Administrato</w:t>
      </w:r>
      <w:r>
        <w:rPr>
          <w:noProof/>
        </w:rPr>
        <w:t>ra funkcijas ir nošķirtas no regulāru tiešo lietotāju funkcijām.</w:t>
      </w:r>
    </w:p>
    <w:p w:rsidR="003E022D" w:rsidRDefault="007D19D6">
      <w:pPr>
        <w:spacing w:line="276" w:lineRule="auto"/>
        <w:rPr>
          <w:noProof/>
        </w:rPr>
      </w:pPr>
      <w:r>
        <w:rPr>
          <w:noProof/>
        </w:rPr>
        <w:t>2.3.3.</w:t>
      </w:r>
      <w:r>
        <w:rPr>
          <w:noProof/>
        </w:rPr>
        <w:tab/>
      </w:r>
      <w:r>
        <w:rPr>
          <w:i/>
          <w:iCs/>
          <w:noProof/>
        </w:rPr>
        <w:t>Reģistrēšana (logging) un sūtījumu apmaiņas trasēšana (tracing)</w:t>
      </w:r>
    </w:p>
    <w:p w:rsidR="003E022D" w:rsidRDefault="007D19D6">
      <w:pPr>
        <w:rPr>
          <w:noProof/>
        </w:rPr>
      </w:pPr>
      <w:r>
        <w:rPr>
          <w:i/>
          <w:noProof/>
        </w:rPr>
        <w:t>Eucaris</w:t>
      </w:r>
      <w:r>
        <w:rPr>
          <w:noProof/>
        </w:rPr>
        <w:t xml:space="preserve"> lietojumprogramma veicina visu sūtījumu tipu reģistrēšanu (</w:t>
      </w:r>
      <w:r>
        <w:rPr>
          <w:i/>
          <w:noProof/>
        </w:rPr>
        <w:t>logging</w:t>
      </w:r>
      <w:r>
        <w:rPr>
          <w:noProof/>
        </w:rPr>
        <w:t>). Administratora funkcijas dod iespēju valstu</w:t>
      </w:r>
      <w:r>
        <w:rPr>
          <w:noProof/>
        </w:rPr>
        <w:t xml:space="preserve"> administratoriem noteikt, kuri sūtījumi tiek reģistrēti: tiešo lietotāju pieprasījumi, no citām valstīm saņemti pieprasījumi, valstu reģistru sniegta informācija u. c.</w:t>
      </w:r>
    </w:p>
    <w:p w:rsidR="003E022D" w:rsidRDefault="007D19D6">
      <w:pPr>
        <w:rPr>
          <w:noProof/>
        </w:rPr>
      </w:pPr>
      <w:r>
        <w:rPr>
          <w:noProof/>
        </w:rPr>
        <w:t>Lietojumprogrammu var konfigurēt, lai tā, veicot šo reģistrēšanu, izmantotu iekšēju dat</w:t>
      </w:r>
      <w:r>
        <w:rPr>
          <w:noProof/>
        </w:rPr>
        <w:t>ubāzi vai ārēju (</w:t>
      </w:r>
      <w:r>
        <w:rPr>
          <w:i/>
          <w:noProof/>
        </w:rPr>
        <w:t>Oracle</w:t>
      </w:r>
      <w:r>
        <w:rPr>
          <w:noProof/>
        </w:rPr>
        <w:t>) datubāzi. Lēmumi par to, kuri sūtījumi ir jāreģistrē, nepārprotami ir atkarīgi no citām uzstādīto sistēmu (</w:t>
      </w:r>
      <w:r>
        <w:rPr>
          <w:i/>
          <w:noProof/>
        </w:rPr>
        <w:t>legacy systems</w:t>
      </w:r>
      <w:r>
        <w:rPr>
          <w:noProof/>
        </w:rPr>
        <w:t>) reģistrācijas iekārtām un to klientu lietojumprogrammām, kas ir pieslēgušies.</w:t>
      </w:r>
    </w:p>
    <w:p w:rsidR="003E022D" w:rsidRDefault="007D19D6">
      <w:pPr>
        <w:rPr>
          <w:noProof/>
        </w:rPr>
      </w:pPr>
      <w:r>
        <w:rPr>
          <w:noProof/>
        </w:rPr>
        <w:t>Katra sūtījuma galvenē ir info</w:t>
      </w:r>
      <w:r>
        <w:rPr>
          <w:noProof/>
        </w:rPr>
        <w:t>rmācija par pieprasījuma iesniedzēju valsti, par šīs valsts pieprasījuma iesniedzēju organizāciju un iesaistīto lietotāju. Ir norādīts arī pieprasījuma iemesls.</w:t>
      </w:r>
    </w:p>
    <w:p w:rsidR="003E022D" w:rsidRDefault="007D19D6">
      <w:pPr>
        <w:rPr>
          <w:noProof/>
        </w:rPr>
      </w:pPr>
      <w:r>
        <w:rPr>
          <w:noProof/>
        </w:rPr>
        <w:t>Izmantojot kombinētu reģistrēšanu (</w:t>
      </w:r>
      <w:r>
        <w:rPr>
          <w:i/>
          <w:noProof/>
        </w:rPr>
        <w:t>combined logging</w:t>
      </w:r>
      <w:r>
        <w:rPr>
          <w:noProof/>
        </w:rPr>
        <w:t>) pieprasījuma iesniedzējā un atbildes snied</w:t>
      </w:r>
      <w:r>
        <w:rPr>
          <w:noProof/>
        </w:rPr>
        <w:t>zējā valstī, ir iespējams veikt pilnīgu jebkura sūtījuma trasēšanu (piemēram, ja to lūdz attiecīgais iesaistītais pilsonis).</w:t>
      </w:r>
    </w:p>
    <w:p w:rsidR="003E022D" w:rsidRDefault="007D19D6">
      <w:pPr>
        <w:rPr>
          <w:noProof/>
        </w:rPr>
      </w:pPr>
      <w:r>
        <w:rPr>
          <w:noProof/>
        </w:rPr>
        <w:t xml:space="preserve">Reģistrēšanu konfigurē, izmantojot </w:t>
      </w:r>
      <w:r>
        <w:rPr>
          <w:i/>
          <w:noProof/>
        </w:rPr>
        <w:t>Eucaris</w:t>
      </w:r>
      <w:r>
        <w:rPr>
          <w:noProof/>
        </w:rPr>
        <w:t xml:space="preserve"> tīkla klientu (</w:t>
      </w:r>
      <w:r>
        <w:rPr>
          <w:i/>
          <w:noProof/>
        </w:rPr>
        <w:t>web client</w:t>
      </w:r>
      <w:r>
        <w:rPr>
          <w:noProof/>
        </w:rPr>
        <w:t>) (izvēlņu administrēšana, reģistrēšanas konfigurācija). Reģist</w:t>
      </w:r>
      <w:r>
        <w:rPr>
          <w:noProof/>
        </w:rPr>
        <w:t>rēšanas funkcionalitāti pilda pamatsistēma (</w:t>
      </w:r>
      <w:r>
        <w:rPr>
          <w:i/>
          <w:noProof/>
        </w:rPr>
        <w:t>Core System</w:t>
      </w:r>
      <w:r>
        <w:rPr>
          <w:noProof/>
        </w:rPr>
        <w:t>). Kad ir aktivizēta reģistrēšanas funkcija, visu sūtījumu (galveni un pamattekstu) saglabā vienā reģistrācijas ierakstā (</w:t>
      </w:r>
      <w:r>
        <w:rPr>
          <w:i/>
          <w:noProof/>
        </w:rPr>
        <w:t>logging record</w:t>
      </w:r>
      <w:r>
        <w:rPr>
          <w:noProof/>
        </w:rPr>
        <w:t>). Katram definētam pakalpojumam un katram sūtījumu tipam, kas no</w:t>
      </w:r>
      <w:r>
        <w:rPr>
          <w:noProof/>
        </w:rPr>
        <w:t>nāk pamatsistēmā, var iestatīt reģistrācijas līmeni (</w:t>
      </w:r>
      <w:r>
        <w:rPr>
          <w:i/>
          <w:noProof/>
        </w:rPr>
        <w:t>logging level</w:t>
      </w:r>
      <w:r>
        <w:rPr>
          <w:noProof/>
        </w:rPr>
        <w:t>).</w:t>
      </w:r>
    </w:p>
    <w:p w:rsidR="003E022D" w:rsidRDefault="007D19D6">
      <w:pPr>
        <w:rPr>
          <w:noProof/>
        </w:rPr>
      </w:pPr>
      <w:r>
        <w:rPr>
          <w:noProof/>
        </w:rPr>
        <w:t>Reģistrācijas līmeņi</w:t>
      </w:r>
    </w:p>
    <w:p w:rsidR="003E022D" w:rsidRDefault="007D19D6">
      <w:pPr>
        <w:rPr>
          <w:noProof/>
        </w:rPr>
      </w:pPr>
      <w:r>
        <w:rPr>
          <w:noProof/>
        </w:rPr>
        <w:t>Ir iespējami šādi reģistrācijas līmeņi (</w:t>
      </w:r>
      <w:r>
        <w:rPr>
          <w:i/>
          <w:noProof/>
        </w:rPr>
        <w:t>logging levels</w:t>
      </w:r>
      <w:r>
        <w:rPr>
          <w:noProof/>
        </w:rPr>
        <w:t>):</w:t>
      </w:r>
    </w:p>
    <w:p w:rsidR="003E022D" w:rsidRDefault="007D19D6">
      <w:pPr>
        <w:rPr>
          <w:noProof/>
        </w:rPr>
      </w:pPr>
      <w:r>
        <w:rPr>
          <w:noProof/>
        </w:rPr>
        <w:t>Privāts – sūtījums ir reģistrēts: reģistrācija NAV pieejama konkrētam reģistrācijas pakalpojumam (</w:t>
      </w:r>
      <w:r>
        <w:rPr>
          <w:i/>
          <w:noProof/>
        </w:rPr>
        <w:t>extract log</w:t>
      </w:r>
      <w:r>
        <w:rPr>
          <w:i/>
          <w:noProof/>
        </w:rPr>
        <w:t>ging service</w:t>
      </w:r>
      <w:r>
        <w:rPr>
          <w:noProof/>
        </w:rPr>
        <w:t>), tomēr tā ir pieejama valsts līmenī, lai veiktu revīziju un risinātu problēmas.</w:t>
      </w:r>
    </w:p>
    <w:p w:rsidR="003E022D" w:rsidRDefault="007D19D6">
      <w:pPr>
        <w:rPr>
          <w:noProof/>
        </w:rPr>
      </w:pPr>
      <w:r>
        <w:rPr>
          <w:noProof/>
        </w:rPr>
        <w:t>Nav (</w:t>
      </w:r>
      <w:r>
        <w:rPr>
          <w:i/>
          <w:noProof/>
        </w:rPr>
        <w:t>none</w:t>
      </w:r>
      <w:r>
        <w:rPr>
          <w:noProof/>
        </w:rPr>
        <w:t>) – sūtījums nav reģistrēts vispār.</w:t>
      </w:r>
    </w:p>
    <w:p w:rsidR="003E022D" w:rsidRDefault="007D19D6">
      <w:pPr>
        <w:rPr>
          <w:noProof/>
        </w:rPr>
      </w:pPr>
      <w:r>
        <w:rPr>
          <w:noProof/>
        </w:rPr>
        <w:t>Sūtījumu tipi</w:t>
      </w:r>
    </w:p>
    <w:p w:rsidR="003E022D" w:rsidRDefault="007D19D6">
      <w:pPr>
        <w:rPr>
          <w:noProof/>
        </w:rPr>
      </w:pPr>
      <w:r>
        <w:rPr>
          <w:noProof/>
        </w:rPr>
        <w:t>Valstu savstarpēja informācijas apmaiņa notiek ar vairākiem sūtījumiem, kuri shematiski ir attēloti zem</w:t>
      </w:r>
      <w:r>
        <w:rPr>
          <w:noProof/>
        </w:rPr>
        <w:t>āk 5. attēlā.</w:t>
      </w:r>
    </w:p>
    <w:p w:rsidR="003E022D" w:rsidRDefault="007D19D6">
      <w:pPr>
        <w:rPr>
          <w:noProof/>
        </w:rPr>
      </w:pPr>
      <w:r>
        <w:rPr>
          <w:noProof/>
        </w:rPr>
        <w:t xml:space="preserve">Iespējamie sūtījumu tipi (kas 5. attēlā parādīti ar valsts </w:t>
      </w:r>
      <w:r>
        <w:rPr>
          <w:i/>
          <w:noProof/>
        </w:rPr>
        <w:t>X Eucaris</w:t>
      </w:r>
      <w:r>
        <w:rPr>
          <w:noProof/>
        </w:rPr>
        <w:t xml:space="preserve"> pamatsistēmu) ir šādi:</w:t>
      </w:r>
    </w:p>
    <w:p w:rsidR="003E022D" w:rsidRDefault="007D19D6">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pamatsistēmai sūtīts pieprasījums_ klienta sūtīts pieprasījuma sūtījums (Request to Core System_Request message by Client);</w:t>
      </w:r>
    </w:p>
    <w:p w:rsidR="003E022D" w:rsidRDefault="007D19D6">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 xml:space="preserve">citai valstij </w:t>
      </w:r>
      <w:r>
        <w:rPr>
          <w:rFonts w:ascii="Calibri" w:hAnsi="Calibri"/>
          <w:noProof/>
        </w:rPr>
        <w:t>sūtīts pieprasījums_šās valsts pamatsistēmas sūtīts pieprasījuma sūtījums (Request to Other State_Request message by Core System of this State);</w:t>
      </w:r>
    </w:p>
    <w:p w:rsidR="003E022D" w:rsidRDefault="007D19D6">
      <w:pPr>
        <w:pStyle w:val="Point0"/>
        <w:spacing w:after="240" w:line="276" w:lineRule="auto"/>
        <w:rPr>
          <w:rFonts w:ascii="Calibri" w:hAnsi="Calibri"/>
          <w:noProof/>
        </w:rPr>
      </w:pPr>
      <w:r>
        <w:rPr>
          <w:noProof/>
        </w:rPr>
        <w:tab/>
      </w:r>
      <w:r>
        <w:rPr>
          <w:rFonts w:ascii="Calibri" w:hAnsi="Calibri"/>
          <w:noProof/>
        </w:rPr>
        <w:t>3.</w:t>
      </w:r>
      <w:r>
        <w:rPr>
          <w:noProof/>
        </w:rPr>
        <w:tab/>
      </w:r>
      <w:r>
        <w:rPr>
          <w:rFonts w:ascii="Calibri" w:hAnsi="Calibri"/>
          <w:noProof/>
        </w:rPr>
        <w:t>šās valsts pamatsistēmai sūtīts pieprasījums_citas valsts pamatsistēmas sūtīts pieprasījuma sūtījums (Reque</w:t>
      </w:r>
      <w:r>
        <w:rPr>
          <w:rFonts w:ascii="Calibri" w:hAnsi="Calibri"/>
          <w:noProof/>
        </w:rPr>
        <w:t>st to Core System of this State_Request message by Core System of other State);</w:t>
      </w:r>
    </w:p>
    <w:p w:rsidR="003E022D" w:rsidRDefault="007D19D6">
      <w:pPr>
        <w:pStyle w:val="Point0"/>
        <w:spacing w:after="240" w:line="276" w:lineRule="auto"/>
        <w:rPr>
          <w:rFonts w:ascii="Calibri" w:hAnsi="Calibri"/>
          <w:noProof/>
        </w:rPr>
      </w:pPr>
      <w:r>
        <w:rPr>
          <w:noProof/>
        </w:rPr>
        <w:tab/>
      </w:r>
      <w:r>
        <w:rPr>
          <w:rFonts w:ascii="Calibri" w:hAnsi="Calibri"/>
          <w:noProof/>
        </w:rPr>
        <w:t>4.</w:t>
      </w:r>
      <w:r>
        <w:rPr>
          <w:noProof/>
        </w:rPr>
        <w:tab/>
      </w:r>
      <w:r>
        <w:rPr>
          <w:rFonts w:ascii="Calibri" w:hAnsi="Calibri"/>
          <w:noProof/>
        </w:rPr>
        <w:t>uzstādītajam reģistram sūtīts pieprasījums_pamatsistēmas sūtīts pieprasījuma sūtījums (Request to Legacy Register_Request message by Core System);</w:t>
      </w:r>
    </w:p>
    <w:p w:rsidR="003E022D" w:rsidRDefault="007D19D6">
      <w:pPr>
        <w:pStyle w:val="Point0"/>
        <w:spacing w:after="240" w:line="276" w:lineRule="auto"/>
        <w:rPr>
          <w:rFonts w:ascii="Calibri" w:hAnsi="Calibri"/>
          <w:noProof/>
        </w:rPr>
      </w:pPr>
      <w:r>
        <w:rPr>
          <w:noProof/>
        </w:rPr>
        <w:tab/>
      </w:r>
      <w:r>
        <w:rPr>
          <w:rFonts w:ascii="Calibri" w:hAnsi="Calibri"/>
          <w:noProof/>
        </w:rPr>
        <w:t>5.</w:t>
      </w:r>
      <w:r>
        <w:rPr>
          <w:noProof/>
        </w:rPr>
        <w:tab/>
      </w:r>
      <w:r>
        <w:rPr>
          <w:rFonts w:ascii="Calibri" w:hAnsi="Calibri"/>
          <w:noProof/>
        </w:rPr>
        <w:t xml:space="preserve">pamatsistēmai sūtīts </w:t>
      </w:r>
      <w:r>
        <w:rPr>
          <w:rFonts w:ascii="Calibri" w:hAnsi="Calibri"/>
          <w:noProof/>
        </w:rPr>
        <w:t>pieprasījums_uzstādītā reģistra sūtīts pieprasījuma sūtījums (Request to Core System_Request message by Legacy Register);</w:t>
      </w:r>
    </w:p>
    <w:p w:rsidR="003E022D" w:rsidRDefault="007D19D6">
      <w:pPr>
        <w:pStyle w:val="Point0"/>
        <w:spacing w:after="240" w:line="276" w:lineRule="auto"/>
        <w:rPr>
          <w:rFonts w:ascii="Calibri" w:hAnsi="Calibri"/>
          <w:noProof/>
        </w:rPr>
      </w:pPr>
      <w:r>
        <w:rPr>
          <w:noProof/>
        </w:rPr>
        <w:tab/>
      </w:r>
      <w:r>
        <w:rPr>
          <w:rFonts w:ascii="Calibri" w:hAnsi="Calibri"/>
          <w:noProof/>
        </w:rPr>
        <w:t>6.</w:t>
      </w:r>
      <w:r>
        <w:rPr>
          <w:noProof/>
        </w:rPr>
        <w:tab/>
      </w:r>
      <w:r>
        <w:rPr>
          <w:rFonts w:ascii="Calibri" w:hAnsi="Calibri"/>
          <w:noProof/>
        </w:rPr>
        <w:t>pamatsistēmas sūtīta atbilde_klienta sūtīts pieprasījuma sūtījums (Response from Core System_Request message by Client);</w:t>
      </w:r>
    </w:p>
    <w:p w:rsidR="003E022D" w:rsidRDefault="007D19D6">
      <w:pPr>
        <w:pStyle w:val="Point0"/>
        <w:spacing w:after="240" w:line="276" w:lineRule="auto"/>
        <w:rPr>
          <w:rFonts w:ascii="Calibri" w:hAnsi="Calibri"/>
          <w:noProof/>
        </w:rPr>
      </w:pPr>
      <w:r>
        <w:rPr>
          <w:noProof/>
        </w:rPr>
        <w:tab/>
      </w:r>
      <w:r>
        <w:rPr>
          <w:rFonts w:ascii="Calibri" w:hAnsi="Calibri"/>
          <w:noProof/>
        </w:rPr>
        <w:t>7.</w:t>
      </w:r>
      <w:r>
        <w:rPr>
          <w:noProof/>
        </w:rPr>
        <w:tab/>
      </w:r>
      <w:r>
        <w:rPr>
          <w:rFonts w:ascii="Calibri" w:hAnsi="Calibri"/>
          <w:noProof/>
        </w:rPr>
        <w:t>citas</w:t>
      </w:r>
      <w:r>
        <w:rPr>
          <w:rFonts w:ascii="Calibri" w:hAnsi="Calibri"/>
          <w:noProof/>
        </w:rPr>
        <w:t xml:space="preserve"> valsts sūtīta atbilde_šās valsts pamatsistēmas sūtīts pieprasījuma sūtījums (Response from Other State_Request message by Core System of this State);</w:t>
      </w:r>
    </w:p>
    <w:p w:rsidR="003E022D" w:rsidRDefault="007D19D6">
      <w:pPr>
        <w:pStyle w:val="Point0"/>
        <w:spacing w:after="240" w:line="276" w:lineRule="auto"/>
        <w:rPr>
          <w:rFonts w:ascii="Calibri" w:hAnsi="Calibri"/>
          <w:noProof/>
        </w:rPr>
      </w:pPr>
      <w:r>
        <w:rPr>
          <w:noProof/>
        </w:rPr>
        <w:tab/>
      </w:r>
      <w:r>
        <w:rPr>
          <w:rFonts w:ascii="Calibri" w:hAnsi="Calibri"/>
          <w:noProof/>
        </w:rPr>
        <w:t>8.</w:t>
      </w:r>
      <w:r>
        <w:rPr>
          <w:noProof/>
        </w:rPr>
        <w:tab/>
      </w:r>
      <w:r>
        <w:rPr>
          <w:rFonts w:ascii="Calibri" w:hAnsi="Calibri"/>
          <w:noProof/>
        </w:rPr>
        <w:t>šās valsts pamatsistēmas sūtīta atbilde_citas valsts sūtīts pieprasījuma sūtījums (Response from Core</w:t>
      </w:r>
      <w:r>
        <w:rPr>
          <w:rFonts w:ascii="Calibri" w:hAnsi="Calibri"/>
          <w:noProof/>
        </w:rPr>
        <w:t xml:space="preserve"> System of this State_Request message by other State);</w:t>
      </w:r>
    </w:p>
    <w:p w:rsidR="003E022D" w:rsidRDefault="007D19D6">
      <w:pPr>
        <w:pStyle w:val="Point0"/>
        <w:spacing w:after="240" w:line="276" w:lineRule="auto"/>
        <w:rPr>
          <w:rFonts w:ascii="Calibri" w:hAnsi="Calibri"/>
          <w:noProof/>
        </w:rPr>
      </w:pPr>
      <w:r>
        <w:rPr>
          <w:noProof/>
        </w:rPr>
        <w:tab/>
      </w:r>
      <w:r>
        <w:rPr>
          <w:rFonts w:ascii="Calibri" w:hAnsi="Calibri"/>
          <w:noProof/>
        </w:rPr>
        <w:t>9.</w:t>
      </w:r>
      <w:r>
        <w:rPr>
          <w:noProof/>
        </w:rPr>
        <w:tab/>
      </w:r>
      <w:r>
        <w:rPr>
          <w:rFonts w:ascii="Calibri" w:hAnsi="Calibri"/>
          <w:noProof/>
        </w:rPr>
        <w:t>uzstādītā reģistra sūtīta atbilde_pamatsistēmas sūtīts pieprasījuma sūtījums (Response from Legacy Register_Request message by Core System);</w:t>
      </w:r>
    </w:p>
    <w:p w:rsidR="003E022D" w:rsidRDefault="007D19D6">
      <w:pPr>
        <w:pStyle w:val="Point0"/>
        <w:spacing w:after="240" w:line="276" w:lineRule="auto"/>
        <w:rPr>
          <w:rFonts w:ascii="Calibri" w:hAnsi="Calibri"/>
          <w:noProof/>
        </w:rPr>
      </w:pPr>
      <w:r>
        <w:rPr>
          <w:noProof/>
        </w:rPr>
        <w:tab/>
      </w:r>
      <w:r>
        <w:rPr>
          <w:rFonts w:ascii="Calibri" w:hAnsi="Calibri"/>
          <w:noProof/>
        </w:rPr>
        <w:t>10.</w:t>
      </w:r>
      <w:r>
        <w:rPr>
          <w:noProof/>
        </w:rPr>
        <w:tab/>
      </w:r>
      <w:r>
        <w:rPr>
          <w:rFonts w:ascii="Calibri" w:hAnsi="Calibri"/>
          <w:noProof/>
        </w:rPr>
        <w:t>pamatsistēmas sūtīta atbilde_uzstādītā reģistra sūt</w:t>
      </w:r>
      <w:r>
        <w:rPr>
          <w:rFonts w:ascii="Calibri" w:hAnsi="Calibri"/>
          <w:noProof/>
        </w:rPr>
        <w:t>īts pieprasījuma sūtījums (Response from Core System_Request message by Legacy Register).</w:t>
      </w:r>
    </w:p>
    <w:p w:rsidR="003E022D" w:rsidRDefault="007D19D6">
      <w:pPr>
        <w:pStyle w:val="Point0"/>
        <w:spacing w:after="240" w:line="276" w:lineRule="auto"/>
        <w:rPr>
          <w:rFonts w:ascii="Calibri" w:hAnsi="Calibri"/>
          <w:noProof/>
        </w:rPr>
      </w:pPr>
      <w:r>
        <w:rPr>
          <w:noProof/>
        </w:rPr>
        <w:tab/>
      </w:r>
      <w:r>
        <w:rPr>
          <w:rFonts w:ascii="Calibri" w:hAnsi="Calibri"/>
          <w:noProof/>
        </w:rPr>
        <w:t>5. attēlā parādīta šāda informācijas apmaiņa:</w:t>
      </w:r>
    </w:p>
    <w:p w:rsidR="003E022D" w:rsidRDefault="007D19D6">
      <w:pPr>
        <w:pStyle w:val="Tiret1"/>
        <w:numPr>
          <w:ilvl w:val="0"/>
          <w:numId w:val="951"/>
        </w:numPr>
        <w:autoSpaceDE w:val="0"/>
        <w:autoSpaceDN w:val="0"/>
        <w:spacing w:before="0" w:after="240" w:line="276" w:lineRule="auto"/>
        <w:ind w:left="772" w:hanging="567"/>
        <w:rPr>
          <w:rFonts w:ascii="Calibri" w:hAnsi="Calibri"/>
          <w:noProof/>
          <w:sz w:val="22"/>
          <w:szCs w:val="22"/>
        </w:rPr>
      </w:pPr>
      <w:r>
        <w:rPr>
          <w:rFonts w:ascii="Calibri" w:hAnsi="Calibri"/>
          <w:noProof/>
          <w:sz w:val="22"/>
          <w:szCs w:val="22"/>
        </w:rPr>
        <w:t xml:space="preserve">ar zilām bultām attēlots informācijas pieprasījums, ko valsts X sūta valstij Y. Šie pieprasījumi un atbildes attiecīgi </w:t>
      </w:r>
      <w:r>
        <w:rPr>
          <w:rFonts w:ascii="Calibri" w:hAnsi="Calibri"/>
          <w:noProof/>
          <w:sz w:val="22"/>
          <w:szCs w:val="22"/>
        </w:rPr>
        <w:t>sastāv no 1., 2., 7. un 6. sūtījumu tipa;</w:t>
      </w:r>
    </w:p>
    <w:p w:rsidR="003E022D" w:rsidRDefault="007D19D6">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ar sarkanām bultām attēlots informācijas pieprasījums, ko valsts Z nosūta valstij X. Šie pieprasījumi un atbildes attiecīgi sastāv no 3., 4., 9. un 8. sūtījumu tipa;</w:t>
      </w:r>
    </w:p>
    <w:p w:rsidR="003E022D" w:rsidRDefault="007D19D6">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ar zaļām bultām attēlots uzstādītā reģistra sūtī</w:t>
      </w:r>
      <w:r>
        <w:rPr>
          <w:rFonts w:ascii="Calibri" w:hAnsi="Calibri"/>
          <w:noProof/>
          <w:sz w:val="22"/>
          <w:szCs w:val="22"/>
        </w:rPr>
        <w:t>ts informācijas pieprasījums tā pamatsistēmai (šajā datu plūsmā ir iekļauts arī uzstādītā reģistra klienta nosūtīts pieprasījums). Šādi pieprasījumi attiecīgi sastāv no 5. un 10. sūtījuma tipa.</w:t>
      </w:r>
    </w:p>
    <w:p w:rsidR="003E022D" w:rsidRDefault="007D19D6">
      <w:pPr>
        <w:spacing w:line="276" w:lineRule="auto"/>
        <w:jc w:val="center"/>
        <w:rPr>
          <w:i/>
          <w:noProof/>
        </w:rPr>
      </w:pPr>
      <w:r>
        <w:rPr>
          <w:i/>
          <w:noProof/>
        </w:rPr>
        <w:t>5. attēls Reģistrācijā izmantotie sūtījumu tipi</w:t>
      </w:r>
    </w:p>
    <w:p w:rsidR="003E022D" w:rsidRDefault="007D19D6">
      <w:pPr>
        <w:spacing w:line="276" w:lineRule="auto"/>
        <w:rPr>
          <w:noProof/>
        </w:rPr>
      </w:pPr>
      <w:r>
        <w:rPr>
          <w:noProof/>
          <w:lang w:val="fr-BE" w:eastAsia="fr-BE"/>
        </w:rPr>
        <w:drawing>
          <wp:inline distT="0" distB="0" distL="0" distR="0">
            <wp:extent cx="4311015" cy="2939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1015" cy="2939415"/>
                    </a:xfrm>
                    <a:prstGeom prst="rect">
                      <a:avLst/>
                    </a:prstGeom>
                    <a:noFill/>
                    <a:ln>
                      <a:noFill/>
                    </a:ln>
                  </pic:spPr>
                </pic:pic>
              </a:graphicData>
            </a:graphic>
          </wp:inline>
        </w:drawing>
      </w:r>
    </w:p>
    <w:p w:rsidR="003E022D" w:rsidRDefault="007D19D6">
      <w:pPr>
        <w:spacing w:line="276" w:lineRule="auto"/>
        <w:rPr>
          <w:noProof/>
        </w:rPr>
      </w:pPr>
      <w:r>
        <w:rPr>
          <w:noProof/>
        </w:rPr>
        <w:t>2.3.4.</w:t>
      </w:r>
      <w:r>
        <w:rPr>
          <w:noProof/>
        </w:rPr>
        <w:tab/>
      </w:r>
      <w:r>
        <w:rPr>
          <w:i/>
          <w:iCs/>
          <w:noProof/>
        </w:rPr>
        <w:t>Apara</w:t>
      </w:r>
      <w:r>
        <w:rPr>
          <w:i/>
          <w:iCs/>
          <w:noProof/>
        </w:rPr>
        <w:t>tūras drošības modulis (Hardware Security Module)</w:t>
      </w:r>
    </w:p>
    <w:p w:rsidR="003E022D" w:rsidRDefault="007D19D6">
      <w:pPr>
        <w:rPr>
          <w:noProof/>
        </w:rPr>
      </w:pPr>
      <w:r>
        <w:rPr>
          <w:noProof/>
        </w:rPr>
        <w:t>Aparatūras drošības moduli neizmanto.</w:t>
      </w:r>
    </w:p>
    <w:p w:rsidR="003E022D" w:rsidRDefault="007D19D6">
      <w:pPr>
        <w:rPr>
          <w:noProof/>
        </w:rPr>
      </w:pPr>
      <w:r>
        <w:rPr>
          <w:noProof/>
        </w:rPr>
        <w:t>Ar aparatūras drošības moduli (</w:t>
      </w:r>
      <w:r>
        <w:rPr>
          <w:i/>
          <w:noProof/>
        </w:rPr>
        <w:t>Hardware Security Module</w:t>
      </w:r>
      <w:r>
        <w:rPr>
          <w:noProof/>
        </w:rPr>
        <w:t xml:space="preserve"> (</w:t>
      </w:r>
      <w:r>
        <w:rPr>
          <w:i/>
          <w:noProof/>
        </w:rPr>
        <w:t>HSM</w:t>
      </w:r>
      <w:r>
        <w:rPr>
          <w:noProof/>
        </w:rPr>
        <w:t xml:space="preserve">)) nodrošina labu aizsardzību atslēgai, ar ko paraksta sūtījumus un identificē serverus. Tas palielina vispārējo drošības līmeni, tomēr </w:t>
      </w:r>
      <w:r>
        <w:rPr>
          <w:i/>
          <w:noProof/>
        </w:rPr>
        <w:t>HSM</w:t>
      </w:r>
      <w:r>
        <w:rPr>
          <w:noProof/>
        </w:rPr>
        <w:t xml:space="preserve"> moduļa pirkšanas un uzturēšanas izmaksas ir augstas, turklāt nav paredzētas prasības ieviest "</w:t>
      </w:r>
      <w:r>
        <w:rPr>
          <w:i/>
          <w:noProof/>
        </w:rPr>
        <w:t>FIPS 140-2</w:t>
      </w:r>
      <w:r>
        <w:rPr>
          <w:noProof/>
        </w:rPr>
        <w:t xml:space="preserve">" 2. vai 3. </w:t>
      </w:r>
      <w:r>
        <w:rPr>
          <w:noProof/>
        </w:rPr>
        <w:t xml:space="preserve">līmeņa </w:t>
      </w:r>
      <w:r>
        <w:rPr>
          <w:i/>
          <w:noProof/>
        </w:rPr>
        <w:t>HSM</w:t>
      </w:r>
      <w:r>
        <w:rPr>
          <w:noProof/>
        </w:rPr>
        <w:t xml:space="preserve">. Tā kā izmanto slēgtu tīklu, tas lielā mērā mazina apdraudējumu, tāpēc ir pieņemts lēmums sākotnēji neizmantot </w:t>
      </w:r>
      <w:r>
        <w:rPr>
          <w:i/>
          <w:noProof/>
        </w:rPr>
        <w:t>HSM</w:t>
      </w:r>
      <w:r>
        <w:rPr>
          <w:noProof/>
        </w:rPr>
        <w:t xml:space="preserve">. Ja </w:t>
      </w:r>
      <w:r>
        <w:rPr>
          <w:i/>
          <w:noProof/>
        </w:rPr>
        <w:t>HSM</w:t>
      </w:r>
      <w:r>
        <w:rPr>
          <w:noProof/>
        </w:rPr>
        <w:t xml:space="preserve"> ir vajadzīgs, piemēram, lai iegūtu akreditāciju, to var pievienot arhitektūrai vēlāk.</w:t>
      </w:r>
    </w:p>
    <w:p w:rsidR="003E022D" w:rsidRDefault="007D19D6">
      <w:pPr>
        <w:spacing w:line="276" w:lineRule="auto"/>
        <w:rPr>
          <w:noProof/>
        </w:rPr>
      </w:pPr>
      <w:r>
        <w:rPr>
          <w:noProof/>
        </w:rPr>
        <w:t>3.</w:t>
      </w:r>
      <w:r>
        <w:rPr>
          <w:noProof/>
        </w:rPr>
        <w:tab/>
        <w:t>Datu apmaiņas tehniskie nosacījum</w:t>
      </w:r>
      <w:r>
        <w:rPr>
          <w:noProof/>
        </w:rPr>
        <w:t>i</w:t>
      </w:r>
    </w:p>
    <w:p w:rsidR="003E022D" w:rsidRDefault="007D19D6">
      <w:pPr>
        <w:spacing w:line="276" w:lineRule="auto"/>
        <w:rPr>
          <w:noProof/>
        </w:rPr>
      </w:pPr>
      <w:r>
        <w:rPr>
          <w:noProof/>
        </w:rPr>
        <w:t>3.1.</w:t>
      </w:r>
      <w:r>
        <w:rPr>
          <w:noProof/>
        </w:rPr>
        <w:tab/>
        <w:t xml:space="preserve">Vispārējs </w:t>
      </w:r>
      <w:r>
        <w:rPr>
          <w:i/>
          <w:noProof/>
        </w:rPr>
        <w:t>Eucaris</w:t>
      </w:r>
      <w:r>
        <w:rPr>
          <w:noProof/>
        </w:rPr>
        <w:t xml:space="preserve"> lietojumprogrammas apraksts</w:t>
      </w:r>
    </w:p>
    <w:p w:rsidR="003E022D" w:rsidRDefault="007D19D6">
      <w:pPr>
        <w:spacing w:line="276" w:lineRule="auto"/>
        <w:rPr>
          <w:noProof/>
        </w:rPr>
      </w:pPr>
      <w:r>
        <w:rPr>
          <w:noProof/>
        </w:rPr>
        <w:t>3.1.1.</w:t>
      </w:r>
      <w:r>
        <w:rPr>
          <w:noProof/>
        </w:rPr>
        <w:tab/>
      </w:r>
      <w:r>
        <w:rPr>
          <w:i/>
          <w:iCs/>
          <w:noProof/>
        </w:rPr>
        <w:t>Pārskats</w:t>
      </w:r>
    </w:p>
    <w:p w:rsidR="003E022D" w:rsidRDefault="007D19D6">
      <w:pPr>
        <w:rPr>
          <w:noProof/>
        </w:rPr>
      </w:pPr>
      <w:r>
        <w:rPr>
          <w:i/>
          <w:noProof/>
        </w:rPr>
        <w:t>Eucaris</w:t>
      </w:r>
      <w:r>
        <w:rPr>
          <w:noProof/>
        </w:rPr>
        <w:t xml:space="preserve"> lietojumprogramma savieno visas iesaistītās valstis vienotā tīklā, ar kā starpniecību jebkura valsts tieši sazinās ar citu valsti. Lai notiktu saziņa, nav vajadzības izmantot cent</w:t>
      </w:r>
      <w:r>
        <w:rPr>
          <w:noProof/>
        </w:rPr>
        <w:t xml:space="preserve">rālu elementu. </w:t>
      </w:r>
      <w:r>
        <w:rPr>
          <w:i/>
          <w:noProof/>
        </w:rPr>
        <w:t>Eucaris</w:t>
      </w:r>
      <w:r>
        <w:rPr>
          <w:noProof/>
        </w:rPr>
        <w:t xml:space="preserve"> lietojumprogrammatūra garantē drošu komunikāciju ar citām valstīm un, izmantojot </w:t>
      </w:r>
      <w:r>
        <w:rPr>
          <w:i/>
          <w:noProof/>
        </w:rPr>
        <w:t>XML</w:t>
      </w:r>
      <w:r>
        <w:rPr>
          <w:noProof/>
        </w:rPr>
        <w:t>, nodrošina komunikāciju ar valstu uzstādīto aizmugursistēmu (</w:t>
      </w:r>
      <w:r>
        <w:rPr>
          <w:i/>
          <w:noProof/>
        </w:rPr>
        <w:t>back-end legacy system</w:t>
      </w:r>
      <w:r>
        <w:rPr>
          <w:noProof/>
        </w:rPr>
        <w:t>). Šī arhitektūra ir atainota šajā attēlā.</w:t>
      </w:r>
    </w:p>
    <w:p w:rsidR="003E022D" w:rsidRDefault="007D19D6">
      <w:pPr>
        <w:spacing w:line="276" w:lineRule="auto"/>
        <w:rPr>
          <w:noProof/>
        </w:rPr>
      </w:pPr>
      <w:r>
        <w:rPr>
          <w:noProof/>
          <w:lang w:val="fr-BE" w:eastAsia="fr-BE"/>
        </w:rPr>
        <w:drawing>
          <wp:inline distT="0" distB="0" distL="0" distR="0">
            <wp:extent cx="4311015" cy="248221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a:noFill/>
                    </a:ln>
                  </pic:spPr>
                </pic:pic>
              </a:graphicData>
            </a:graphic>
          </wp:inline>
        </w:drawing>
      </w:r>
    </w:p>
    <w:p w:rsidR="003E022D" w:rsidRDefault="007D19D6">
      <w:pPr>
        <w:rPr>
          <w:noProof/>
        </w:rPr>
      </w:pPr>
      <w:r>
        <w:rPr>
          <w:noProof/>
        </w:rPr>
        <w:t xml:space="preserve">Atbildes sūtījumu </w:t>
      </w:r>
      <w:r>
        <w:rPr>
          <w:noProof/>
        </w:rPr>
        <w:t>valstis nosūta tieši saņēmējam. Valsts datu centrs ir savienots ar tīklu, ko izmanto sūtījumu apmaiņai (</w:t>
      </w:r>
      <w:r>
        <w:rPr>
          <w:i/>
          <w:noProof/>
        </w:rPr>
        <w:t>TESTA</w:t>
      </w:r>
      <w:r>
        <w:rPr>
          <w:noProof/>
        </w:rPr>
        <w:t xml:space="preserve">). Lai piekļūtu </w:t>
      </w:r>
      <w:r>
        <w:rPr>
          <w:i/>
          <w:noProof/>
        </w:rPr>
        <w:t>TESTA</w:t>
      </w:r>
      <w:r>
        <w:rPr>
          <w:noProof/>
        </w:rPr>
        <w:t xml:space="preserve"> tīklam, valstis tam pieslēdzas, izmantojot savu pieslēguma līniju (</w:t>
      </w:r>
      <w:r>
        <w:rPr>
          <w:i/>
          <w:noProof/>
        </w:rPr>
        <w:t>national gate</w:t>
      </w:r>
      <w:r>
        <w:rPr>
          <w:noProof/>
        </w:rPr>
        <w:t>). Lai pieslēgtos tīklam, izmanto ugunssienu,</w:t>
      </w:r>
      <w:r>
        <w:rPr>
          <w:noProof/>
        </w:rPr>
        <w:t xml:space="preserve"> turklāt </w:t>
      </w:r>
      <w:r>
        <w:rPr>
          <w:i/>
          <w:noProof/>
        </w:rPr>
        <w:t>Eucaris</w:t>
      </w:r>
      <w:r>
        <w:rPr>
          <w:noProof/>
        </w:rPr>
        <w:t xml:space="preserve"> lietojumprogrammu ugunssienai pievieno ar maršrutētāju. Atkarībā no izvēlētā sūtījumu aizsardzības veida vai nu maršrutētājs, vai </w:t>
      </w:r>
      <w:r>
        <w:rPr>
          <w:i/>
          <w:noProof/>
        </w:rPr>
        <w:t>Eucaris</w:t>
      </w:r>
      <w:r>
        <w:rPr>
          <w:noProof/>
        </w:rPr>
        <w:t xml:space="preserve"> lietojumprogramma izmanto sertifikātu.</w:t>
      </w:r>
    </w:p>
    <w:p w:rsidR="003E022D" w:rsidRDefault="007D19D6">
      <w:pPr>
        <w:rPr>
          <w:noProof/>
        </w:rPr>
      </w:pPr>
      <w:r>
        <w:rPr>
          <w:noProof/>
        </w:rPr>
        <w:t>Ir paredzēta klientu lietojumprogramma (</w:t>
      </w:r>
      <w:r>
        <w:rPr>
          <w:i/>
          <w:noProof/>
        </w:rPr>
        <w:t>client application</w:t>
      </w:r>
      <w:r>
        <w:rPr>
          <w:noProof/>
        </w:rPr>
        <w:t>), k</w:t>
      </w:r>
      <w:r>
        <w:rPr>
          <w:noProof/>
        </w:rPr>
        <w:t xml:space="preserve">o var lietot valstī, lai veiktu meklēšanu šīs valsts reģistrā vai citu valstu reģistros. Klientu lietojumprogramma pieslēdzas </w:t>
      </w:r>
      <w:r>
        <w:rPr>
          <w:i/>
          <w:noProof/>
        </w:rPr>
        <w:t>Eucaris</w:t>
      </w:r>
      <w:r>
        <w:rPr>
          <w:noProof/>
        </w:rPr>
        <w:t>. Klientus identificēs, izmantojot lietotājvārdu un paroli vai klienta sertifikātu. Savienojumu ar lietotājiem ārējā organi</w:t>
      </w:r>
      <w:r>
        <w:rPr>
          <w:noProof/>
        </w:rPr>
        <w:t>zācijā (piemēram, policijā) var šifrēt, bet tā ir katras valsts individuāla atbildība.</w:t>
      </w:r>
    </w:p>
    <w:p w:rsidR="003E022D" w:rsidRDefault="007D19D6">
      <w:pPr>
        <w:spacing w:line="276" w:lineRule="auto"/>
        <w:rPr>
          <w:noProof/>
        </w:rPr>
      </w:pPr>
      <w:r>
        <w:rPr>
          <w:noProof/>
        </w:rPr>
        <w:t>3.1.2.</w:t>
      </w:r>
      <w:r>
        <w:rPr>
          <w:noProof/>
        </w:rPr>
        <w:tab/>
      </w:r>
      <w:r>
        <w:rPr>
          <w:i/>
          <w:iCs/>
          <w:noProof/>
        </w:rPr>
        <w:t>Sistēmas darbības joma</w:t>
      </w:r>
    </w:p>
    <w:p w:rsidR="003E022D" w:rsidRDefault="007D19D6">
      <w:pPr>
        <w:rPr>
          <w:noProof/>
        </w:rPr>
      </w:pPr>
      <w:r>
        <w:rPr>
          <w:i/>
          <w:noProof/>
        </w:rPr>
        <w:t>Eucaris</w:t>
      </w:r>
      <w:r>
        <w:rPr>
          <w:noProof/>
        </w:rPr>
        <w:t xml:space="preserve"> sistēmas darbības joma attiecas tikai uz informācijas apmaiņas procesiem, kas notiek starp valstu reģistrācijas iestādēm, un šīs in</w:t>
      </w:r>
      <w:r>
        <w:rPr>
          <w:noProof/>
        </w:rPr>
        <w:t>formācijas pasniegšanas veidu. Procedūras un automatizēti procesi, kuros informāciju ir paredzēts izmantot, neietilpst sistēmas darbības jomā.</w:t>
      </w:r>
    </w:p>
    <w:p w:rsidR="003E022D" w:rsidRDefault="007D19D6">
      <w:pPr>
        <w:rPr>
          <w:noProof/>
        </w:rPr>
      </w:pPr>
      <w:r>
        <w:rPr>
          <w:noProof/>
        </w:rPr>
        <w:t xml:space="preserve">Valstis var vai nu izvēlēties </w:t>
      </w:r>
      <w:r>
        <w:rPr>
          <w:i/>
          <w:noProof/>
        </w:rPr>
        <w:t>Eucaris</w:t>
      </w:r>
      <w:r>
        <w:rPr>
          <w:noProof/>
        </w:rPr>
        <w:t xml:space="preserve"> klienta funkcionalitāti, vai arī izveidot pašas savu pielāgotu klientu liet</w:t>
      </w:r>
      <w:r>
        <w:rPr>
          <w:noProof/>
        </w:rPr>
        <w:t xml:space="preserve">ojumprogrammu. Tabula zemāk apraksta, kuri </w:t>
      </w:r>
      <w:r>
        <w:rPr>
          <w:i/>
          <w:noProof/>
        </w:rPr>
        <w:t>Eucaris</w:t>
      </w:r>
      <w:r>
        <w:rPr>
          <w:noProof/>
        </w:rPr>
        <w:t xml:space="preserve"> sistēmas aspekti ir obligāti jāizmanto un/vai jāparedz un kurus var izmantot fakultatīvi, un/vai kurus var izmantot pēc valstu brīvas izvēles.</w:t>
      </w:r>
    </w:p>
    <w:tbl>
      <w:tblPr>
        <w:tblW w:w="0" w:type="auto"/>
        <w:tblLayout w:type="fixed"/>
        <w:tblLook w:val="0000" w:firstRow="0" w:lastRow="0" w:firstColumn="0" w:lastColumn="0" w:noHBand="0" w:noVBand="0"/>
      </w:tblPr>
      <w:tblGrid>
        <w:gridCol w:w="1486"/>
        <w:gridCol w:w="836"/>
        <w:gridCol w:w="6964"/>
      </w:tblGrid>
      <w:tr w:rsidR="003E022D">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i/>
                <w:noProof/>
              </w:rPr>
              <w:t>Eucaris</w:t>
            </w:r>
            <w:r>
              <w:rPr>
                <w:noProof/>
              </w:rPr>
              <w:t xml:space="preserve"> aspekti</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M/O </w:t>
            </w:r>
            <w:r>
              <w:rPr>
                <w:rStyle w:val="FootnoteReference"/>
                <w:noProof/>
                <w:lang w:val="en-IE"/>
              </w:rPr>
              <w:footnoteReference w:id="142"/>
            </w:r>
          </w:p>
        </w:tc>
        <w:tc>
          <w:tcPr>
            <w:tcW w:w="69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Piezīme</w:t>
            </w:r>
          </w:p>
        </w:tc>
      </w:tr>
      <w:tr w:rsidR="003E022D">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Tīkla koncepcija</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Jēdziens ir </w:t>
            </w:r>
            <w:r>
              <w:rPr>
                <w:noProof/>
              </w:rPr>
              <w:t>jebkurš paziņojums.</w:t>
            </w:r>
          </w:p>
        </w:tc>
      </w:tr>
      <w:tr w:rsidR="003E022D">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Fiziskais tīkls</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TESTA</w:t>
            </w:r>
          </w:p>
        </w:tc>
      </w:tr>
      <w:tr w:rsidR="003E022D">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Pamata lietojumprogramma</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i/>
                <w:noProof/>
              </w:rPr>
              <w:t>Eucaris</w:t>
            </w:r>
            <w:r>
              <w:rPr>
                <w:noProof/>
              </w:rPr>
              <w:t xml:space="preserve"> pamata lietojumprogramma jāizmanto, lai savienotos ar citām valstīm. Pamata lietojumprogramma piedāvā šādu funkcionalitāti:</w:t>
            </w:r>
          </w:p>
          <w:p w:rsidR="003E022D" w:rsidRDefault="007D19D6">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Sūtījumu šifrēšana un parakstīšana;</w:t>
            </w:r>
          </w:p>
          <w:p w:rsidR="003E022D" w:rsidRDefault="007D19D6">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 xml:space="preserve">Sūtītāja </w:t>
            </w:r>
            <w:r>
              <w:rPr>
                <w:rFonts w:ascii="Calibri" w:hAnsi="Calibri"/>
                <w:noProof/>
                <w:sz w:val="22"/>
                <w:szCs w:val="22"/>
              </w:rPr>
              <w:t>identitātes pārbaude;</w:t>
            </w:r>
          </w:p>
          <w:p w:rsidR="003E022D" w:rsidRDefault="007D19D6">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Valstu un vietējo lietotāju autorizācija;</w:t>
            </w:r>
          </w:p>
          <w:p w:rsidR="003E022D" w:rsidRDefault="007D19D6">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Sūtījumu maršrutēšana;</w:t>
            </w:r>
          </w:p>
          <w:p w:rsidR="003E022D" w:rsidRDefault="007D19D6">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Asinhrono sūtījumu uzkrāšana, ja saņēmēja pakalpojums īslaicīgi nav pieejams;</w:t>
            </w:r>
          </w:p>
          <w:p w:rsidR="003E022D" w:rsidRDefault="007D19D6">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Vairāku valstu izziņas (</w:t>
            </w:r>
            <w:r>
              <w:rPr>
                <w:rFonts w:ascii="Calibri" w:hAnsi="Calibri"/>
                <w:i/>
                <w:noProof/>
                <w:sz w:val="22"/>
                <w:szCs w:val="22"/>
              </w:rPr>
              <w:t>multiple country inquiry</w:t>
            </w:r>
            <w:r>
              <w:rPr>
                <w:rFonts w:ascii="Calibri" w:hAnsi="Calibri"/>
                <w:noProof/>
                <w:sz w:val="22"/>
                <w:szCs w:val="22"/>
              </w:rPr>
              <w:t>) funkcionalitāte;</w:t>
            </w:r>
          </w:p>
          <w:p w:rsidR="003E022D" w:rsidRDefault="007D19D6">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Sūtījumu apmaiņas reģist</w:t>
            </w:r>
            <w:r>
              <w:rPr>
                <w:rFonts w:ascii="Calibri" w:hAnsi="Calibri"/>
                <w:noProof/>
                <w:sz w:val="22"/>
                <w:szCs w:val="22"/>
              </w:rPr>
              <w:t>rācija (</w:t>
            </w:r>
            <w:r>
              <w:rPr>
                <w:rFonts w:ascii="Calibri" w:hAnsi="Calibri"/>
                <w:i/>
                <w:noProof/>
                <w:sz w:val="22"/>
                <w:szCs w:val="22"/>
              </w:rPr>
              <w:t>logging</w:t>
            </w:r>
            <w:r>
              <w:rPr>
                <w:rFonts w:ascii="Calibri" w:hAnsi="Calibri"/>
                <w:noProof/>
                <w:sz w:val="22"/>
                <w:szCs w:val="22"/>
              </w:rPr>
              <w:t>);</w:t>
            </w:r>
          </w:p>
          <w:p w:rsidR="003E022D" w:rsidRDefault="007D19D6">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Ienākošo sūtījumu uzglabāšana</w:t>
            </w:r>
          </w:p>
        </w:tc>
      </w:tr>
      <w:tr w:rsidR="003E022D">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Klienta lietojumprogramma</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O</w:t>
            </w:r>
          </w:p>
        </w:tc>
        <w:tc>
          <w:tcPr>
            <w:tcW w:w="69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Papildus pamata lietojumprogrammai valsts var izmantot </w:t>
            </w:r>
            <w:r>
              <w:rPr>
                <w:i/>
                <w:noProof/>
              </w:rPr>
              <w:t>Eucaris II</w:t>
            </w:r>
            <w:r>
              <w:rPr>
                <w:noProof/>
              </w:rPr>
              <w:t xml:space="preserve"> klienta lietojumprogrammu. Attiecīgā gadījumā </w:t>
            </w:r>
            <w:r>
              <w:rPr>
                <w:i/>
                <w:noProof/>
              </w:rPr>
              <w:t>Eucaris</w:t>
            </w:r>
            <w:r>
              <w:rPr>
                <w:noProof/>
              </w:rPr>
              <w:t xml:space="preserve"> aizbildnībā tiek modificēta pamata lietojumprogramma un kli</w:t>
            </w:r>
            <w:r>
              <w:rPr>
                <w:noProof/>
              </w:rPr>
              <w:t>enta lietojumprogramma.</w:t>
            </w:r>
          </w:p>
        </w:tc>
      </w:tr>
      <w:tr w:rsidR="003E022D">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Drošības koncepcija</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Koncepcijas pamatā ir </w:t>
            </w:r>
            <w:r>
              <w:rPr>
                <w:i/>
                <w:noProof/>
              </w:rPr>
              <w:t>XML</w:t>
            </w:r>
            <w:r>
              <w:rPr>
                <w:noProof/>
              </w:rPr>
              <w:t xml:space="preserve"> paraksts, izmantojot klientu sertifikātus, un </w:t>
            </w:r>
            <w:r>
              <w:rPr>
                <w:i/>
                <w:noProof/>
              </w:rPr>
              <w:t>SSL</w:t>
            </w:r>
            <w:r>
              <w:rPr>
                <w:noProof/>
              </w:rPr>
              <w:t xml:space="preserve"> šifrēšana, izmantojot pakalpojumu sertifikātus.</w:t>
            </w:r>
          </w:p>
        </w:tc>
      </w:tr>
      <w:tr w:rsidR="003E022D">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Sūtījumu specifikācijas</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Katrai valstij ir jāievēro sūtījumu specifikācijas, kas noteiktas </w:t>
            </w:r>
            <w:r>
              <w:rPr>
                <w:i/>
                <w:noProof/>
              </w:rPr>
              <w:t>Eucaris</w:t>
            </w:r>
            <w:r>
              <w:rPr>
                <w:noProof/>
              </w:rPr>
              <w:t xml:space="preserve"> un šajā nodaļā. Specifikācijas var mainīt tikai </w:t>
            </w:r>
            <w:r>
              <w:rPr>
                <w:i/>
                <w:noProof/>
              </w:rPr>
              <w:t>Eucaris</w:t>
            </w:r>
            <w:r>
              <w:rPr>
                <w:noProof/>
              </w:rPr>
              <w:t>, apspriežoties ar valstīm.</w:t>
            </w:r>
          </w:p>
        </w:tc>
      </w:tr>
      <w:tr w:rsidR="003E022D">
        <w:tc>
          <w:tcPr>
            <w:tcW w:w="148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Darbība un atbalsts</w:t>
            </w:r>
          </w:p>
        </w:tc>
        <w:tc>
          <w:tcPr>
            <w:tcW w:w="836"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Jaunu valstu vai jaunas funkcionalitātes pieņemšana notiek </w:t>
            </w:r>
            <w:r>
              <w:rPr>
                <w:i/>
                <w:noProof/>
              </w:rPr>
              <w:t>Eucaris</w:t>
            </w:r>
            <w:r>
              <w:rPr>
                <w:noProof/>
              </w:rPr>
              <w:t xml:space="preserve"> aizbildnī</w:t>
            </w:r>
            <w:r>
              <w:rPr>
                <w:noProof/>
              </w:rPr>
              <w:t>bā. Uzraudzības un palīdzības dienesta funkcijas centralizēti pārvalda norīkotā valsts.</w:t>
            </w:r>
          </w:p>
        </w:tc>
      </w:tr>
    </w:tbl>
    <w:p w:rsidR="003E022D" w:rsidRDefault="003E022D">
      <w:pPr>
        <w:rPr>
          <w:noProof/>
          <w:lang w:val="en-IE"/>
        </w:rPr>
      </w:pPr>
    </w:p>
    <w:p w:rsidR="003E022D" w:rsidRDefault="007D19D6">
      <w:pPr>
        <w:spacing w:line="276" w:lineRule="auto"/>
        <w:rPr>
          <w:noProof/>
        </w:rPr>
      </w:pPr>
      <w:r>
        <w:rPr>
          <w:noProof/>
        </w:rPr>
        <w:t>3.2.</w:t>
      </w:r>
      <w:r>
        <w:rPr>
          <w:noProof/>
        </w:rPr>
        <w:tab/>
        <w:t>Funkcionālas prasības un nefunkcionālas prasības</w:t>
      </w:r>
    </w:p>
    <w:p w:rsidR="003E022D" w:rsidRDefault="007D19D6">
      <w:pPr>
        <w:spacing w:line="276" w:lineRule="auto"/>
        <w:rPr>
          <w:noProof/>
        </w:rPr>
      </w:pPr>
      <w:r>
        <w:rPr>
          <w:noProof/>
        </w:rPr>
        <w:t>3.2.1.</w:t>
      </w:r>
      <w:r>
        <w:rPr>
          <w:noProof/>
        </w:rPr>
        <w:tab/>
      </w:r>
      <w:r>
        <w:rPr>
          <w:i/>
          <w:iCs/>
          <w:noProof/>
        </w:rPr>
        <w:t>Vispārējās funkcijas</w:t>
      </w:r>
    </w:p>
    <w:p w:rsidR="003E022D" w:rsidRDefault="007D19D6">
      <w:pPr>
        <w:rPr>
          <w:noProof/>
        </w:rPr>
      </w:pPr>
      <w:r>
        <w:rPr>
          <w:noProof/>
        </w:rPr>
        <w:t>Šajā iedaļā vispārīgi ir aprakstītas galvenās vispārējās funkcijas.</w:t>
      </w:r>
    </w:p>
    <w:tbl>
      <w:tblPr>
        <w:tblW w:w="0" w:type="auto"/>
        <w:tblLayout w:type="fixed"/>
        <w:tblLook w:val="0000" w:firstRow="0" w:lastRow="0" w:firstColumn="0" w:lastColumn="0" w:noHBand="0" w:noVBand="0"/>
      </w:tblPr>
      <w:tblGrid>
        <w:gridCol w:w="743"/>
        <w:gridCol w:w="8543"/>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Apraksts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dod iespēju valstu reģistrācijas iestādēm interaktīvi apmainīties ar pieprasījuma un atbilžu sūtījumiem.</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Sistēmā ir iekļauta klientu lietojumprogramma, kas dod iespēju tiešajiem lietotājiem nosūtīt savus pieprasījumus un sniegt atbildes </w:t>
            </w:r>
            <w:r>
              <w:rPr>
                <w:noProof/>
              </w:rPr>
              <w:t>informāciju manuālai apstrādei.</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veicina informācijas izplatīšanas darbības, ļaujot valstij pieprasījumu nosūtīt visām pārējām valstīm. Saņemtās atbildes pamata lietojumprogramma (</w:t>
            </w:r>
            <w:r>
              <w:rPr>
                <w:i/>
                <w:noProof/>
              </w:rPr>
              <w:t>core application</w:t>
            </w:r>
            <w:r>
              <w:rPr>
                <w:noProof/>
              </w:rPr>
              <w:t>) apvieno vienā klienta lietojumprogrammai (</w:t>
            </w:r>
            <w:r>
              <w:rPr>
                <w:i/>
                <w:noProof/>
              </w:rPr>
              <w:t>clien</w:t>
            </w:r>
            <w:r>
              <w:rPr>
                <w:i/>
                <w:noProof/>
              </w:rPr>
              <w:t>t application</w:t>
            </w:r>
            <w:r>
              <w:rPr>
                <w:noProof/>
              </w:rPr>
              <w:t>) adresētā atbildes sūtījumā (šo funkcionalitāti sauc “vairāku valstu izziņa” (“Multiple Country Inquiry”)).</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spēj apstrādāt dažādu tipu sūtījumus. Katram lietojuma pakalpojumam definē savas lietotāju lomas: autorizāciju, maršrutēša</w:t>
            </w:r>
            <w:r>
              <w:rPr>
                <w:noProof/>
              </w:rPr>
              <w:t>nu, parakstus un reģistrāciju.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dod iespēju valstīm apmainīties ar sūtījumu paketēm vai sūtījumiem, kuros ir liels pieprasījumu vai atbilžu skaits. Šo sūtījumu apstrāde notiek asinhroni.</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6.</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uzkrāj asinhronos sūtījumus, ja saņēmēja valst</w:t>
            </w:r>
            <w:r>
              <w:rPr>
                <w:noProof/>
              </w:rPr>
              <w:t>s īslaicīgi nav pieejama, un garantē to nosūtīšanu, tiklīdz saņēmējs atkal ir pieejams.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7.</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uzglabā ienākošos asinhronos sūtījumus līdz brīdim, kad tos var apstrādāt.</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8.</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dod piekļuvi tikai citu valstu </w:t>
            </w:r>
            <w:r>
              <w:rPr>
                <w:i/>
                <w:noProof/>
              </w:rPr>
              <w:t>Eucaris</w:t>
            </w:r>
            <w:r>
              <w:rPr>
                <w:noProof/>
              </w:rPr>
              <w:t xml:space="preserve"> lietojumiem, nevis atsevišķām </w:t>
            </w:r>
            <w:r>
              <w:rPr>
                <w:noProof/>
              </w:rPr>
              <w:t>organizācijām šajās citās valstīs, proti, katra reģistrācijas iestāde darbojas kā vienīgā pieslēguma līnija starp attiecīgās valsts tiešajiem lietotājiem un attiecīgām citu valstu iestādēm.</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9.</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Vienā </w:t>
            </w:r>
            <w:r>
              <w:rPr>
                <w:i/>
                <w:noProof/>
              </w:rPr>
              <w:t>Eucaris</w:t>
            </w:r>
            <w:r>
              <w:rPr>
                <w:noProof/>
              </w:rPr>
              <w:t xml:space="preserve"> serverī ir iespējams definēt dažādu valstu lieto</w:t>
            </w:r>
            <w:r>
              <w:rPr>
                <w:noProof/>
              </w:rPr>
              <w:t>tājus un autorizēt tos saskaņā ar attiecīgās valsts piekļuves tiesībām.</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10.</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Sūtījumos ir iekļauta informācija par pieprasījuma iesniedzēju valsti, organizāciju un tiešo lietotāju.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11.</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Ar šo sistēmu veicina dažādu valstu un pamata lietojumprogrammas un </w:t>
            </w:r>
            <w:r>
              <w:rPr>
                <w:noProof/>
              </w:rPr>
              <w:t>valstu reģistrācijas sistēmu starpā sūtīto sūtījumu apmaiņas reģistrēšanu (</w:t>
            </w:r>
            <w:r>
              <w:rPr>
                <w:i/>
                <w:noProof/>
              </w:rPr>
              <w:t>logging</w:t>
            </w:r>
            <w:r>
              <w:rPr>
                <w:noProof/>
              </w:rPr>
              <w:t>).</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12.</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ļauj veidot īpašu sekretariātu, kas ir organizācija vai valsts, kas ir nepārprotami deleģēta veikt šo uzdevumu – apkopot reģistrēto informāciju (</w:t>
            </w:r>
            <w:r>
              <w:rPr>
                <w:i/>
                <w:noProof/>
              </w:rPr>
              <w:t>logged inform</w:t>
            </w:r>
            <w:r>
              <w:rPr>
                <w:i/>
                <w:noProof/>
              </w:rPr>
              <w:t>ation</w:t>
            </w:r>
            <w:r>
              <w:rPr>
                <w:noProof/>
              </w:rPr>
              <w:t>) par visu iesaistīto valstu nosūtītajiem un saņemtajiem sūtījumiem, lai izstrādātu statistikas ziņojumus.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13.</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Katra valsts pati norāda, kāda reģistrētā informācija ir darīta pieejama sekretariātam un kāda informācija ir “privāta”.</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14.</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Šī sistēma </w:t>
            </w:r>
            <w:r>
              <w:rPr>
                <w:noProof/>
              </w:rPr>
              <w:t>ļauj valstu administratoriem katrā valstī apkopot izmantošanas statistiku.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15.</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dod iespēju, izpildot dažus vienkāršus administratīvus uzdevumus, pievienoties jaunām valstīm.</w:t>
            </w:r>
          </w:p>
        </w:tc>
      </w:tr>
    </w:tbl>
    <w:p w:rsidR="003E022D" w:rsidRDefault="003E022D">
      <w:pPr>
        <w:rPr>
          <w:noProof/>
        </w:rPr>
      </w:pPr>
    </w:p>
    <w:p w:rsidR="003E022D" w:rsidRDefault="007D19D6">
      <w:pPr>
        <w:spacing w:line="276" w:lineRule="auto"/>
        <w:rPr>
          <w:noProof/>
        </w:rPr>
      </w:pPr>
      <w:r>
        <w:rPr>
          <w:noProof/>
        </w:rPr>
        <w:t>3.2.2.</w:t>
      </w:r>
      <w:r>
        <w:rPr>
          <w:noProof/>
        </w:rPr>
        <w:tab/>
      </w:r>
      <w:r>
        <w:rPr>
          <w:i/>
          <w:iCs/>
          <w:noProof/>
        </w:rPr>
        <w:t>Izmantojamība</w:t>
      </w:r>
    </w:p>
    <w:tbl>
      <w:tblPr>
        <w:tblW w:w="0" w:type="auto"/>
        <w:tblLayout w:type="fixed"/>
        <w:tblLook w:val="0000" w:firstRow="0" w:lastRow="0" w:firstColumn="0" w:lastColumn="0" w:noHBand="0" w:noVBand="0"/>
      </w:tblPr>
      <w:tblGrid>
        <w:gridCol w:w="743"/>
        <w:gridCol w:w="8543"/>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Apraksts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16.</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nodrošina saskarni, lai </w:t>
            </w:r>
            <w:r>
              <w:rPr>
                <w:noProof/>
              </w:rPr>
              <w:t>veiktu automatizētu sūtījumu apstrādi, izmantojot aizmugursistēmu un uzstādītu sistēmu (</w:t>
            </w:r>
            <w:r>
              <w:rPr>
                <w:i/>
                <w:noProof/>
              </w:rPr>
              <w:t>back-end systems/legacy</w:t>
            </w:r>
            <w:r>
              <w:rPr>
                <w:noProof/>
              </w:rPr>
              <w:t>), un dod iespēju integrēt lietotāja saskarni šajās sistēmās (pielāgota lietotāja saskarne (</w:t>
            </w:r>
            <w:r>
              <w:rPr>
                <w:i/>
                <w:noProof/>
              </w:rPr>
              <w:t>customised user-interface</w:t>
            </w:r>
            <w:r>
              <w:rPr>
                <w:noProof/>
              </w:rPr>
              <w:t>).</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17.</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Sistēmu ir viegli ap</w:t>
            </w:r>
            <w:r>
              <w:rPr>
                <w:noProof/>
              </w:rPr>
              <w:t>gūt, tā ir viegli saprotama, un tajā ir iekļauti palīdzības skaidrojumi.</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18.</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ir dokumentēta, lai valstīm palīdzētu nodrošināt integrāciju, sistēmas darbību un turpmāku uzturēšanu (piemēram, uzziņu rokasgrāmatas, funkcionāla un tehniska dokumentāci</w:t>
            </w:r>
            <w:r>
              <w:rPr>
                <w:noProof/>
              </w:rPr>
              <w:t>ja, darbības instrukcija...).</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19.</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Lietotāja saskarne ir vairākās valodās un dod iespēju tiešajam lietotājam izvēlēties lietojuma valodu.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20.</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Lietotāja saskarnē ir paredzēta iespēja, lai vietējais administrators varētu valsts valodā iztulkot gan redzamo, </w:t>
            </w:r>
            <w:r>
              <w:rPr>
                <w:noProof/>
              </w:rPr>
              <w:t>gan kodēto informāciju.</w:t>
            </w:r>
          </w:p>
        </w:tc>
      </w:tr>
    </w:tbl>
    <w:p w:rsidR="003E022D" w:rsidRDefault="003E022D">
      <w:pPr>
        <w:rPr>
          <w:noProof/>
        </w:rPr>
      </w:pPr>
    </w:p>
    <w:p w:rsidR="003E022D" w:rsidRDefault="007D19D6">
      <w:pPr>
        <w:spacing w:line="276" w:lineRule="auto"/>
        <w:rPr>
          <w:noProof/>
        </w:rPr>
      </w:pPr>
      <w:r>
        <w:rPr>
          <w:noProof/>
        </w:rPr>
        <w:t>3.2.3.</w:t>
      </w:r>
      <w:r>
        <w:rPr>
          <w:noProof/>
        </w:rPr>
        <w:tab/>
      </w:r>
      <w:r>
        <w:rPr>
          <w:i/>
          <w:iCs/>
          <w:noProof/>
        </w:rPr>
        <w:t>Uzticamība</w:t>
      </w:r>
    </w:p>
    <w:tbl>
      <w:tblPr>
        <w:tblW w:w="0" w:type="auto"/>
        <w:tblLayout w:type="fixed"/>
        <w:tblLook w:val="0000" w:firstRow="0" w:lastRow="0" w:firstColumn="0" w:lastColumn="0" w:noHBand="0" w:noVBand="0"/>
      </w:tblPr>
      <w:tblGrid>
        <w:gridCol w:w="743"/>
        <w:gridCol w:w="8543"/>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Apraksts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21.</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ir izveidota kā droša un darbā uzticama sistēma, kas pieļauj zināmas operatoru kļūdas un kas atkopsies (</w:t>
            </w:r>
            <w:r>
              <w:rPr>
                <w:i/>
                <w:noProof/>
              </w:rPr>
              <w:t>clean recovery</w:t>
            </w:r>
            <w:r>
              <w:rPr>
                <w:noProof/>
              </w:rPr>
              <w:t xml:space="preserve">) pēc elektroenerģijas padeves pārtraukumiem vai citiem </w:t>
            </w:r>
            <w:r>
              <w:rPr>
                <w:noProof/>
              </w:rPr>
              <w:t>traucējumiem. Sistēmu var restartēt, izvairoties no datu zuduma vai pieļaujot tikai minimālu datu zudumu.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22.</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Sistēmas darbības rezultāti ir stabili un atkārtojami.</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23.</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ir izstrādāta tā, lai tās darbība būtu uzticama. Ir iespējams īstenot sistēmu</w:t>
            </w:r>
            <w:r>
              <w:rPr>
                <w:noProof/>
              </w:rPr>
              <w:t xml:space="preserve"> konfigurācijā, kas katrā divpusējā komunikācijā garantētu 98 % pieejamību (izmantojot papildelementus (</w:t>
            </w:r>
            <w:r>
              <w:rPr>
                <w:i/>
                <w:noProof/>
              </w:rPr>
              <w:t>redundancy</w:t>
            </w:r>
            <w:r>
              <w:rPr>
                <w:noProof/>
              </w:rPr>
              <w:t>), dublējuma serverus (</w:t>
            </w:r>
            <w:r>
              <w:rPr>
                <w:i/>
                <w:noProof/>
              </w:rPr>
              <w:t>back-up servers</w:t>
            </w:r>
            <w:r>
              <w:rPr>
                <w:noProof/>
              </w:rPr>
              <w:t>) u. c.).</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24.</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Ir iespējams izmantot sistēmas daļu pat tad, ja daži komponenti nedarbojas (ja valsts C n</w:t>
            </w:r>
            <w:r>
              <w:rPr>
                <w:noProof/>
              </w:rPr>
              <w:t>av pieejama, valstis A un B var turpināt uzturēt sakarus). Vajadzētu pēc iespējas novērst atsevišķu informācijas ķēdes punktu kļūdainu darbību.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25.</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Atkopšanās laikam pēc nopietnas sistēmas kļūmes vajadzētu būt mazākam nekā viena diena. Vajadzētu pēc iespē</w:t>
            </w:r>
            <w:r>
              <w:rPr>
                <w:noProof/>
              </w:rPr>
              <w:t>jas samazināt laiku, kad sistēma nedarbojas, izmantojot tālvadību, ko, piemēram, veiktu no centrāla sistēmas kontrolpunkta (</w:t>
            </w:r>
            <w:r>
              <w:rPr>
                <w:i/>
                <w:noProof/>
              </w:rPr>
              <w:t>central service desk</w:t>
            </w:r>
            <w:r>
              <w:rPr>
                <w:noProof/>
              </w:rPr>
              <w:t>).</w:t>
            </w:r>
          </w:p>
        </w:tc>
      </w:tr>
    </w:tbl>
    <w:p w:rsidR="003E022D" w:rsidRDefault="003E022D">
      <w:pPr>
        <w:rPr>
          <w:noProof/>
        </w:rPr>
      </w:pPr>
    </w:p>
    <w:p w:rsidR="003E022D" w:rsidRDefault="007D19D6">
      <w:pPr>
        <w:spacing w:line="276" w:lineRule="auto"/>
        <w:rPr>
          <w:noProof/>
        </w:rPr>
      </w:pPr>
      <w:r>
        <w:rPr>
          <w:noProof/>
        </w:rPr>
        <w:t>3.2.4.</w:t>
      </w:r>
      <w:r>
        <w:rPr>
          <w:noProof/>
        </w:rPr>
        <w:tab/>
      </w:r>
      <w:r>
        <w:rPr>
          <w:i/>
          <w:iCs/>
          <w:noProof/>
        </w:rPr>
        <w:t>Darbība</w:t>
      </w:r>
    </w:p>
    <w:tbl>
      <w:tblPr>
        <w:tblW w:w="0" w:type="auto"/>
        <w:tblLayout w:type="fixed"/>
        <w:tblLook w:val="0000" w:firstRow="0" w:lastRow="0" w:firstColumn="0" w:lastColumn="0" w:noHBand="0" w:noVBand="0"/>
      </w:tblPr>
      <w:tblGrid>
        <w:gridCol w:w="743"/>
        <w:gridCol w:w="8543"/>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Apraksts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26.</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Sistēmu var izmantot cauru diennakti septiņas dienas nedēļā. Šīs darbības </w:t>
            </w:r>
            <w:r>
              <w:rPr>
                <w:noProof/>
              </w:rPr>
              <w:t>laika (</w:t>
            </w:r>
            <w:r>
              <w:rPr>
                <w:i/>
                <w:noProof/>
              </w:rPr>
              <w:t>time-window 24x7</w:t>
            </w:r>
            <w:r>
              <w:rPr>
                <w:noProof/>
              </w:rPr>
              <w:t>) prasības ir jāievēro arī valstu uzstādītām sistēmām.</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27.</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ātri reaģē uz lietotāja prasījumiem neatkarīgi no fonā risinātiem uzdevumiem. Tāda prasība ir izvirzīta arī pušu uzstādītām sistēmām, lai nodrošinātu pieņemamu </w:t>
            </w:r>
            <w:r>
              <w:rPr>
                <w:noProof/>
              </w:rPr>
              <w:t>atbildes laiku. Par pieņemamu uzskata vispārēju atbildes laiku, kas vienam pieprasījumam nav ilgāks kā 10 sekundes.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28.</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ir izstrādāta tā, lai to varētu lietot vairāki lietotāji un lai fonā risināmie uzdevumi varētu turpināt darbību, kamēr lietotāj</w:t>
            </w:r>
            <w:r>
              <w:rPr>
                <w:noProof/>
              </w:rPr>
              <w:t>s risina priekšplāna uzdevumus.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29.</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ir izstrādāta, lai tā būtu adaptīva un varētu tikt galā ar iespējamu sūtījumu skaita pieaugumu, ja sistēmai pievieno jaunu funkcionalitāti vai arī tai pievienojas jaunas organizācijas vai valstis.</w:t>
            </w:r>
          </w:p>
        </w:tc>
      </w:tr>
    </w:tbl>
    <w:p w:rsidR="003E022D" w:rsidRDefault="003E022D">
      <w:pPr>
        <w:rPr>
          <w:noProof/>
        </w:rPr>
      </w:pPr>
    </w:p>
    <w:p w:rsidR="003E022D" w:rsidRDefault="007D19D6">
      <w:pPr>
        <w:spacing w:line="276" w:lineRule="auto"/>
        <w:rPr>
          <w:noProof/>
        </w:rPr>
      </w:pPr>
      <w:r>
        <w:rPr>
          <w:noProof/>
        </w:rPr>
        <w:t>3.2.5.</w:t>
      </w:r>
      <w:r>
        <w:rPr>
          <w:noProof/>
        </w:rPr>
        <w:tab/>
      </w:r>
      <w:r>
        <w:rPr>
          <w:i/>
          <w:iCs/>
          <w:noProof/>
        </w:rPr>
        <w:t>Drošī</w:t>
      </w:r>
      <w:r>
        <w:rPr>
          <w:i/>
          <w:iCs/>
          <w:noProof/>
        </w:rPr>
        <w:t>ba</w:t>
      </w:r>
    </w:p>
    <w:tbl>
      <w:tblPr>
        <w:tblW w:w="0" w:type="auto"/>
        <w:tblLayout w:type="fixed"/>
        <w:tblLook w:val="0000" w:firstRow="0" w:lastRow="0" w:firstColumn="0" w:lastColumn="0" w:noHBand="0" w:noVBand="0"/>
      </w:tblPr>
      <w:tblGrid>
        <w:gridCol w:w="743"/>
        <w:gridCol w:w="8543"/>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Apraksts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30.</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ir piemērota (proti, ir paredzēti atbilstīgi drošības pasākumi), lai varētu veikt apmaiņu ar sūtījumiem, kas satur personas datus (piemēram, transportlīdzekļu īpašnieki/turētāji), kuri ir klasificēti kā ES dati ar ierobežotu pi</w:t>
            </w:r>
            <w:r>
              <w:rPr>
                <w:noProof/>
              </w:rPr>
              <w:t>ekļuvi (</w:t>
            </w:r>
            <w:r>
              <w:rPr>
                <w:i/>
                <w:noProof/>
              </w:rPr>
              <w:t>EU restricted</w:t>
            </w:r>
            <w:r>
              <w:rPr>
                <w:noProof/>
              </w:rPr>
              <w:t>).</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31.</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Sistēmu uztur tā, lai novērstu neatļautu piekļuvi datiem.</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32.</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Sistēmā ir integrēta valstu tiešo lietotāju piekļuves tiesību un atļauju pārvaldības funkcija.</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33.</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Valstīm ir iespējams pārbaudīt sūtītāja identitāti (valsts mērogā), izmantojot </w:t>
            </w:r>
            <w:r>
              <w:rPr>
                <w:i/>
                <w:noProof/>
              </w:rPr>
              <w:t>XML</w:t>
            </w:r>
            <w:r>
              <w:rPr>
                <w:noProof/>
              </w:rPr>
              <w:t xml:space="preserve"> parakstu.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34.</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Valstis skaidri autorizē citas valstis, lai tās varētu lūgt konkrētu informāciju.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35.</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lietojumprogrammas līmenī nodrošina pilnīgu drošības un šifrēša</w:t>
            </w:r>
            <w:r>
              <w:rPr>
                <w:noProof/>
              </w:rPr>
              <w:t xml:space="preserve">nas politiku, kas ir saskaņā ar šādās situācijās vajadzīgo drošības pakāpi. Informācijas pilnīgu aizsardzību un integritāti garantē </w:t>
            </w:r>
            <w:r>
              <w:rPr>
                <w:i/>
                <w:noProof/>
              </w:rPr>
              <w:t>XML</w:t>
            </w:r>
            <w:r>
              <w:rPr>
                <w:noProof/>
              </w:rPr>
              <w:t xml:space="preserve"> paraksta un šifrēšanas izmantojums, ko veic ar </w:t>
            </w:r>
            <w:r>
              <w:rPr>
                <w:i/>
                <w:noProof/>
              </w:rPr>
              <w:t>SSL</w:t>
            </w:r>
            <w:r>
              <w:rPr>
                <w:noProof/>
              </w:rPr>
              <w:t xml:space="preserve"> tunelēšanas (</w:t>
            </w:r>
            <w:r>
              <w:rPr>
                <w:i/>
                <w:noProof/>
              </w:rPr>
              <w:t>SSL-tunnelling</w:t>
            </w:r>
            <w:r>
              <w:rPr>
                <w:noProof/>
              </w:rPr>
              <w:t>) palīdzību.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36.</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Jebkuru sūtījumu apmaiņu</w:t>
            </w:r>
            <w:r>
              <w:rPr>
                <w:noProof/>
              </w:rPr>
              <w:t xml:space="preserve"> var izsekot, izmantojot reģistrēšanu (</w:t>
            </w:r>
            <w:r>
              <w:rPr>
                <w:i/>
                <w:noProof/>
              </w:rPr>
              <w:t>logging</w:t>
            </w:r>
            <w:r>
              <w:rPr>
                <w:noProof/>
              </w:rPr>
              <w:t>).</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37.</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Aizsardzību nodrošina pret informācijas dzēšanas uzbrukumiem (trešā puse dzēš sūtījumu) un atbildes vai datu iekļaušanas uzbrukumiem (trešā puse atbild vai iekļauj sūtījumu).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38.</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izmanto </w:t>
            </w:r>
            <w:r>
              <w:rPr>
                <w:noProof/>
              </w:rPr>
              <w:t>uzticamas trešās puses sertifikātu (</w:t>
            </w:r>
            <w:r>
              <w:rPr>
                <w:i/>
                <w:noProof/>
              </w:rPr>
              <w:t>Trusted Third Party – TTP</w:t>
            </w:r>
            <w:r>
              <w:rPr>
                <w:noProof/>
              </w:rPr>
              <w:t>).</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39.</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var attiecībā uz katru valsti apstrādāt dažādus sertifikātus atkarībā no sūtījuma vai konkrētās darbības tipa.</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40.</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Lietojumprogrammas drošības pasākumi ir pietiekami, lai varētu </w:t>
            </w:r>
            <w:r>
              <w:rPr>
                <w:noProof/>
              </w:rPr>
              <w:t>izmantot neakreditētus tīklus.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41.</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spēj izmantot novatoriskus drošības risinājumus, piemēram, </w:t>
            </w:r>
            <w:r>
              <w:rPr>
                <w:i/>
                <w:noProof/>
              </w:rPr>
              <w:t>XML</w:t>
            </w:r>
            <w:r>
              <w:rPr>
                <w:noProof/>
              </w:rPr>
              <w:t xml:space="preserve"> ugunssienu.</w:t>
            </w:r>
          </w:p>
        </w:tc>
      </w:tr>
    </w:tbl>
    <w:p w:rsidR="003E022D" w:rsidRDefault="003E022D">
      <w:pPr>
        <w:rPr>
          <w:noProof/>
        </w:rPr>
      </w:pPr>
    </w:p>
    <w:p w:rsidR="003E022D" w:rsidRDefault="007D19D6">
      <w:pPr>
        <w:spacing w:line="276" w:lineRule="auto"/>
        <w:rPr>
          <w:noProof/>
        </w:rPr>
      </w:pPr>
      <w:r>
        <w:rPr>
          <w:noProof/>
        </w:rPr>
        <w:t>3.2.6.</w:t>
      </w:r>
      <w:r>
        <w:rPr>
          <w:noProof/>
        </w:rPr>
        <w:tab/>
      </w:r>
      <w:r>
        <w:rPr>
          <w:i/>
          <w:iCs/>
          <w:noProof/>
        </w:rPr>
        <w:t>Pielāgošanās spēja</w:t>
      </w:r>
    </w:p>
    <w:tbl>
      <w:tblPr>
        <w:tblW w:w="0" w:type="auto"/>
        <w:tblLayout w:type="fixed"/>
        <w:tblLook w:val="0000" w:firstRow="0" w:lastRow="0" w:firstColumn="0" w:lastColumn="0" w:noHBand="0" w:noVBand="0"/>
      </w:tblPr>
      <w:tblGrid>
        <w:gridCol w:w="743"/>
        <w:gridCol w:w="8543"/>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Apraksts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42.</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var apstrādāt jaunus sūtījumus, un to var papildināt ar jaunām funkcijām. Pielāgoju</w:t>
            </w:r>
            <w:r>
              <w:rPr>
                <w:noProof/>
              </w:rPr>
              <w:t>mu izmaksas ir minimālas, jo lietojumprogrammas komponentus izstrādā centralizēti.</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43.</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Valstīm ir iespēja divpusēja izmantojuma vajadzībām definēt jaunu sūtījumu tipus. Visām valstīm nav izvirzītas prasības strādāt ar visiem sūtījumu tipiem.</w:t>
            </w:r>
          </w:p>
        </w:tc>
      </w:tr>
    </w:tbl>
    <w:p w:rsidR="003E022D" w:rsidRDefault="003E022D">
      <w:pPr>
        <w:rPr>
          <w:noProof/>
        </w:rPr>
      </w:pPr>
    </w:p>
    <w:p w:rsidR="003E022D" w:rsidRDefault="007D19D6">
      <w:pPr>
        <w:spacing w:line="276" w:lineRule="auto"/>
        <w:rPr>
          <w:noProof/>
        </w:rPr>
      </w:pPr>
      <w:r>
        <w:rPr>
          <w:noProof/>
        </w:rPr>
        <w:t>3.2.7.</w:t>
      </w:r>
      <w:r>
        <w:rPr>
          <w:noProof/>
        </w:rPr>
        <w:tab/>
      </w:r>
      <w:r>
        <w:rPr>
          <w:i/>
          <w:iCs/>
          <w:noProof/>
        </w:rPr>
        <w:t>Atba</w:t>
      </w:r>
      <w:r>
        <w:rPr>
          <w:i/>
          <w:iCs/>
          <w:noProof/>
        </w:rPr>
        <w:t>lsts un uzturēšana</w:t>
      </w:r>
    </w:p>
    <w:tbl>
      <w:tblPr>
        <w:tblW w:w="0" w:type="auto"/>
        <w:tblLayout w:type="fixed"/>
        <w:tblLook w:val="0000" w:firstRow="0" w:lastRow="0" w:firstColumn="0" w:lastColumn="0" w:noHBand="0" w:noVBand="0"/>
      </w:tblPr>
      <w:tblGrid>
        <w:gridCol w:w="743"/>
        <w:gridCol w:w="8543"/>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Apraksts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44.</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Sistēmā ir integrētas pārraudzības funkcijas, ko attiecībā uz dažādu valstu tīkliem un serveriem veic centrālais sistēmas kontrolpunkts un/vai operatori.</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45.</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dod iespēju centrālajam sistēmas kontrolpunktam </w:t>
            </w:r>
            <w:r>
              <w:rPr>
                <w:noProof/>
              </w:rPr>
              <w:t>veikt tālvadību.</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46.</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Sistēmas funkcijas ļauj veikt problēmu analīzi.</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47.</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Sistēmai var pievienoties arī jaunas valstis.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48.</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Lietojumprogrammu var viegli instalēt darbinieki, kuriem ir minimālas IT zināšanas un pieredze. Instalācijas procedūra ir maksimāl</w:t>
            </w:r>
            <w:r>
              <w:rPr>
                <w:noProof/>
              </w:rPr>
              <w:t>i automatizēta.</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49.</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Sistēmā paredzētas pastāvīgas testēšanas un kontroles funkcijas.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50.</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Tā kā sistēma ir veidota atbilstīgi tirgū pieejamiem standartiem, turklāt lietojumprogramma ir izstrādāta tā, lai centrālā sistēmas kontrolpunkta palīdzība būtu pēc </w:t>
            </w:r>
            <w:r>
              <w:rPr>
                <w:noProof/>
              </w:rPr>
              <w:t>iespējas mazāk vajadzīga, tad sistēmas apkopes un uzturēšanas gada izmaksas ir saglabātas iespējami zemā līmenī.</w:t>
            </w:r>
          </w:p>
        </w:tc>
      </w:tr>
    </w:tbl>
    <w:p w:rsidR="003E022D" w:rsidRDefault="003E022D">
      <w:pPr>
        <w:rPr>
          <w:noProof/>
        </w:rPr>
      </w:pPr>
    </w:p>
    <w:p w:rsidR="003E022D" w:rsidRDefault="007D19D6">
      <w:pPr>
        <w:spacing w:line="276" w:lineRule="auto"/>
        <w:rPr>
          <w:noProof/>
        </w:rPr>
      </w:pPr>
      <w:r>
        <w:rPr>
          <w:noProof/>
        </w:rPr>
        <w:t>3.2.8.</w:t>
      </w:r>
      <w:r>
        <w:rPr>
          <w:noProof/>
        </w:rPr>
        <w:tab/>
      </w:r>
      <w:r>
        <w:rPr>
          <w:i/>
          <w:iCs/>
          <w:noProof/>
        </w:rPr>
        <w:t>Izstrādes prasības</w:t>
      </w:r>
    </w:p>
    <w:tbl>
      <w:tblPr>
        <w:tblW w:w="0" w:type="auto"/>
        <w:tblLayout w:type="fixed"/>
        <w:tblLook w:val="0000" w:firstRow="0" w:lastRow="0" w:firstColumn="0" w:lastColumn="0" w:noHBand="0" w:noVBand="0"/>
      </w:tblPr>
      <w:tblGrid>
        <w:gridCol w:w="743"/>
        <w:gridCol w:w="8543"/>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Apraksts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51.</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ir izstrādāta un dokumentēta, lai to varētu ekspluatēt daudzu gadu garumā.</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52.</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w:t>
            </w:r>
            <w:r>
              <w:rPr>
                <w:noProof/>
              </w:rPr>
              <w:t>ir izstrādāta, lai tās darbība būtu neatkarīga no tīkla pakalpojumu sniedzēja.</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53.</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ir saderīga ar pašreizējo valstīs lietoto aparatūru un programmatūru un mijiedarbojas ar šīm reģistrācijas sistēmām, izmantojot atvērto standartu tīkla pakalpojumu </w:t>
            </w:r>
            <w:r>
              <w:rPr>
                <w:noProof/>
              </w:rPr>
              <w:t>tehnoloģijas (</w:t>
            </w:r>
            <w:r>
              <w:rPr>
                <w:i/>
                <w:noProof/>
              </w:rPr>
              <w:t>XML, XSD, SOAP, WSDL, HTTP(s), Web services, WSS, X.509</w:t>
            </w:r>
            <w:r>
              <w:rPr>
                <w:noProof/>
              </w:rPr>
              <w:t xml:space="preserve"> u. c.).</w:t>
            </w:r>
          </w:p>
        </w:tc>
      </w:tr>
    </w:tbl>
    <w:p w:rsidR="003E022D" w:rsidRDefault="003E022D">
      <w:pPr>
        <w:rPr>
          <w:noProof/>
        </w:rPr>
      </w:pPr>
    </w:p>
    <w:p w:rsidR="003E022D" w:rsidRDefault="007D19D6">
      <w:pPr>
        <w:spacing w:line="276" w:lineRule="auto"/>
        <w:rPr>
          <w:noProof/>
        </w:rPr>
      </w:pPr>
      <w:r>
        <w:rPr>
          <w:noProof/>
        </w:rPr>
        <w:t>3.2.9.</w:t>
      </w:r>
      <w:r>
        <w:rPr>
          <w:noProof/>
        </w:rPr>
        <w:tab/>
      </w:r>
      <w:r>
        <w:rPr>
          <w:i/>
          <w:iCs/>
          <w:noProof/>
        </w:rPr>
        <w:t>Piemērojamie standarti</w:t>
      </w:r>
    </w:p>
    <w:tbl>
      <w:tblPr>
        <w:tblW w:w="0" w:type="auto"/>
        <w:tblLayout w:type="fixed"/>
        <w:tblLook w:val="0000" w:firstRow="0" w:lastRow="0" w:firstColumn="0" w:lastColumn="0" w:noHBand="0" w:noVBand="0"/>
      </w:tblPr>
      <w:tblGrid>
        <w:gridCol w:w="743"/>
        <w:gridCol w:w="8543"/>
      </w:tblGrid>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Apraksts</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54.</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Sistēma ir saskaņā ar datu aizsardzības standartiem, kas izklāstīti Regulā (EK) Nr. 45/2001 (21., 22. un 23. pantā) un Direktīvā</w:t>
            </w:r>
            <w:r>
              <w:rPr>
                <w:noProof/>
              </w:rPr>
              <w:t xml:space="preserve"> 95/46/EK.</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55.</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ir saderīga ar </w:t>
            </w:r>
            <w:r>
              <w:rPr>
                <w:i/>
                <w:noProof/>
              </w:rPr>
              <w:t>IDA</w:t>
            </w:r>
            <w:r>
              <w:rPr>
                <w:noProof/>
              </w:rPr>
              <w:t xml:space="preserve"> standartiem.</w:t>
            </w:r>
          </w:p>
        </w:tc>
      </w:tr>
      <w:tr w:rsidR="003E022D">
        <w:tc>
          <w:tcPr>
            <w:tcW w:w="7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56.</w:t>
            </w:r>
          </w:p>
        </w:tc>
        <w:tc>
          <w:tcPr>
            <w:tcW w:w="8543" w:type="dxa"/>
            <w:tcBorders>
              <w:top w:val="single" w:sz="2" w:space="0" w:color="auto"/>
              <w:left w:val="single" w:sz="2" w:space="0" w:color="auto"/>
              <w:bottom w:val="single" w:sz="2" w:space="0" w:color="auto"/>
              <w:right w:val="single" w:sz="2" w:space="0" w:color="auto"/>
            </w:tcBorders>
          </w:tcPr>
          <w:p w:rsidR="003E022D" w:rsidRDefault="007D19D6">
            <w:pPr>
              <w:spacing w:line="276" w:lineRule="auto"/>
              <w:rPr>
                <w:noProof/>
              </w:rPr>
            </w:pPr>
            <w:r>
              <w:rPr>
                <w:noProof/>
              </w:rPr>
              <w:t xml:space="preserve">Sistēma darbojas ar </w:t>
            </w:r>
            <w:r>
              <w:rPr>
                <w:i/>
                <w:noProof/>
              </w:rPr>
              <w:t>UTF8</w:t>
            </w:r>
            <w:r>
              <w:rPr>
                <w:noProof/>
              </w:rPr>
              <w:t>.</w:t>
            </w:r>
          </w:p>
        </w:tc>
      </w:tr>
    </w:tbl>
    <w:p w:rsidR="003E022D" w:rsidRDefault="003E022D">
      <w:pPr>
        <w:rPr>
          <w:noProof/>
          <w:lang w:val="en-IE"/>
        </w:rPr>
      </w:pPr>
    </w:p>
    <w:p w:rsidR="003E022D" w:rsidRDefault="007D19D6">
      <w:pPr>
        <w:pStyle w:val="Chapter"/>
        <w:rPr>
          <w:noProof/>
        </w:rPr>
      </w:pPr>
      <w:r>
        <w:rPr>
          <w:noProof/>
        </w:rPr>
        <w:t>4. NODAĻA: Izvērtējuma procedūra saskaņā ar LAW.PRUM.18. pantu [</w:t>
      </w:r>
      <w:r>
        <w:rPr>
          <w:i/>
          <w:iCs/>
          <w:noProof/>
        </w:rPr>
        <w:t>Ex ante</w:t>
      </w:r>
      <w:r>
        <w:rPr>
          <w:noProof/>
        </w:rPr>
        <w:t xml:space="preserve"> izvērtēšana]</w:t>
      </w:r>
    </w:p>
    <w:p w:rsidR="003E022D" w:rsidRDefault="007D19D6">
      <w:pPr>
        <w:pStyle w:val="Article"/>
        <w:rPr>
          <w:noProof/>
        </w:rPr>
      </w:pPr>
      <w:r>
        <w:rPr>
          <w:noProof/>
        </w:rPr>
        <w:t>1. pants. Anketa</w:t>
      </w:r>
    </w:p>
    <w:p w:rsidR="003E022D" w:rsidRDefault="007D19D6">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 xml:space="preserve">Attiecīgā Eiropas Savienības Padomes darba grupa ("Padomes darba </w:t>
      </w:r>
      <w:r>
        <w:rPr>
          <w:noProof/>
        </w:rPr>
        <w:t>grupa") izstrādā anketu par katru no automatizētajām datu apmaiņas kategorijām, kas minētas no LAW.PRUM.5. panta [Mērķis] līdz LAW.PRUM. 17. pantam [Īstenošanas pasākumi].</w:t>
      </w:r>
    </w:p>
    <w:p w:rsidR="003E022D" w:rsidRDefault="007D19D6">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Tiklīdz Apvienotā Karaliste uzskata, ka tā izpilda priekšnosacījumus, lai veiktu att</w:t>
      </w:r>
      <w:r>
        <w:rPr>
          <w:noProof/>
        </w:rPr>
        <w:t>iecīgās kategorijas datu apmaiņu, tā aizpilda attiecīgo anketu.</w:t>
      </w:r>
    </w:p>
    <w:p w:rsidR="003E022D" w:rsidRDefault="007D19D6">
      <w:pPr>
        <w:pStyle w:val="Article"/>
        <w:rPr>
          <w:noProof/>
        </w:rPr>
      </w:pPr>
      <w:r>
        <w:rPr>
          <w:noProof/>
        </w:rPr>
        <w:t>2. pants. Izmēģinājumi</w:t>
      </w:r>
    </w:p>
    <w:p w:rsidR="003E022D" w:rsidRDefault="007D19D6">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 xml:space="preserve">Ja nepieciešams un lai izvērtētu anketas rezultātus, Apvienotā Karaliste veic izmēģinājumus kopā ar vienu vai vairākām citām dalībvalstīm, kuras saskaņā ar Padomes </w:t>
      </w:r>
      <w:r>
        <w:rPr>
          <w:noProof/>
        </w:rPr>
        <w:t>Lēmumu 2008/615/TI jau piedalās datu apmaiņā. Izmēģinājumus veic vai nu īsi pirms, vai īsi pēc izvērtējuma inspekcijas.</w:t>
      </w:r>
    </w:p>
    <w:p w:rsidR="003E022D" w:rsidRDefault="007D19D6">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Izmēģinājumu apstākļus un mehānismus nosaka attiecīgā Padomes darba grupa, un tos veic saskaņā ar iepriekš panāktu konkrētu vienošanos a</w:t>
      </w:r>
      <w:r>
        <w:rPr>
          <w:noProof/>
        </w:rPr>
        <w:t xml:space="preserve">r Apvienoto Karalisti. Par izmēģinājumu praktiskajiem aspektiem lēmumu pieņem valstis, kas tajos piedalās. </w:t>
      </w:r>
    </w:p>
    <w:p w:rsidR="003E022D" w:rsidRDefault="007D19D6">
      <w:pPr>
        <w:pStyle w:val="Article"/>
        <w:rPr>
          <w:noProof/>
        </w:rPr>
      </w:pPr>
      <w:r>
        <w:rPr>
          <w:noProof/>
        </w:rPr>
        <w:t>3. pants. Izvērtējuma inspekcija</w:t>
      </w:r>
    </w:p>
    <w:p w:rsidR="003E022D" w:rsidRDefault="007D19D6">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Lai izvērtētu anketas rezultātus, rīko izvērtējuma inspekcijas.</w:t>
      </w:r>
    </w:p>
    <w:p w:rsidR="003E022D" w:rsidRDefault="007D19D6">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Šo inspekciju apstākļus un mehānismus nosaka attiec</w:t>
      </w:r>
      <w:r>
        <w:rPr>
          <w:noProof/>
        </w:rPr>
        <w:t>īgā Padomes darba grupa, un tās rīko saskaņā ar konkrēto vienošanos, kas pirms tam panākta starp Apvienoto Karalisti un izvērtējuma grupu. Apvienotā Karaliste dod iespēju izvērtējuma grupai pārbaudīt automatizēto datu apmaiņu datu kategorijā vai kategorijā</w:t>
      </w:r>
      <w:r>
        <w:rPr>
          <w:noProof/>
        </w:rPr>
        <w:t>s, kuras paredzēts izvērtēt, jo īpaši saskaņā ar izvērtējuma grupas pieprasījumiem organizējot inspekcijas norises programmu.</w:t>
      </w:r>
    </w:p>
    <w:p w:rsidR="003E022D" w:rsidRDefault="007D19D6">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Viena mēneša laikā no izvērtējuma inspekcijas izvērtējuma grupa izstrādā izvērtējuma inspekcijas ziņojumu, ko tā nosūta Apvienotaj</w:t>
      </w:r>
      <w:r>
        <w:rPr>
          <w:noProof/>
        </w:rPr>
        <w:t>ai Karalistei, lai tā to komentētu. Vajadzības gadījumā izvērtējuma grupa var pārskatīt šo ziņojumu, pamatojoties uz Apvienotās Karalistes sniegtajiem komentāriem.</w:t>
      </w:r>
    </w:p>
    <w:p w:rsidR="003E022D" w:rsidRDefault="007D19D6">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Izvērtējuma grupā ir ne vairāk kā trīs eksperti, ko izraudzījušās dalībvalstis, kas piedalās</w:t>
      </w:r>
      <w:r>
        <w:rPr>
          <w:noProof/>
        </w:rPr>
        <w:t xml:space="preserve"> automatizētā datu apmaiņā ar tām datu kategorijām, ko paredzēts izvērtēt, turklāt šiem ekspertiem ir darba pieredze ar attiecīgo datu kategoriju, viņiem ir atbilstīga valsts izsniegta drošības pielaide darbam ar šiem jautājumiem, un viņi pauduši vēlmi pie</w:t>
      </w:r>
      <w:r>
        <w:rPr>
          <w:noProof/>
        </w:rPr>
        <w:t>dalīties vismaz vienā izvērtējuma inspekcijā citā valstī. Izvērtējuma grupā iekļauj arī Komisijas pārstāvi.</w:t>
      </w:r>
    </w:p>
    <w:p w:rsidR="003E022D" w:rsidRDefault="007D19D6">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Izvērtējuma grupas dalībnieki ievēro slepenības statusu informācijai, kas viņiem būs kļuvusi zināma, pildot darba uzdevumus.</w:t>
      </w:r>
    </w:p>
    <w:p w:rsidR="003E022D" w:rsidRDefault="007D19D6">
      <w:pPr>
        <w:pStyle w:val="Article"/>
        <w:rPr>
          <w:noProof/>
        </w:rPr>
      </w:pPr>
      <w:r>
        <w:rPr>
          <w:noProof/>
        </w:rPr>
        <w:t xml:space="preserve">4. pants. Izvērtējumi, </w:t>
      </w:r>
      <w:r>
        <w:rPr>
          <w:noProof/>
        </w:rPr>
        <w:t>kas veikti saskaņā ar Padomes Lēmumu 2008/615/TI un 2008/616/TI</w:t>
      </w:r>
    </w:p>
    <w:p w:rsidR="003E022D" w:rsidRDefault="007D19D6">
      <w:pPr>
        <w:rPr>
          <w:rFonts w:cs="Calibri"/>
          <w:noProof/>
        </w:rPr>
      </w:pPr>
      <w:r>
        <w:rPr>
          <w:noProof/>
        </w:rPr>
        <w:t>Veicot LAW.PRUM.18. pantā [</w:t>
      </w:r>
      <w:r>
        <w:rPr>
          <w:i/>
          <w:iCs/>
          <w:noProof/>
        </w:rPr>
        <w:t>Ex ante</w:t>
      </w:r>
      <w:r>
        <w:rPr>
          <w:noProof/>
        </w:rPr>
        <w:t xml:space="preserve"> izvērtēšana] un šajā nodaļā minēto izvērtēšanas procedūru, Padome ar attiecīgās Padomes darba grupas starpniecību ņems vērā to izvērtēšanas procedūru rezultā</w:t>
      </w:r>
      <w:r>
        <w:rPr>
          <w:noProof/>
        </w:rPr>
        <w:t>tus, kas veiktas saistībā ar Padomes Īstenošanas lēmumu (ES) 2019/968</w:t>
      </w:r>
      <w:r>
        <w:rPr>
          <w:rStyle w:val="FootnoteReference"/>
          <w:noProof/>
          <w:lang w:val="en-IE"/>
        </w:rPr>
        <w:footnoteReference w:id="143"/>
      </w:r>
      <w:r>
        <w:rPr>
          <w:noProof/>
        </w:rPr>
        <w:t xml:space="preserve"> un (ES) 2020/1188</w:t>
      </w:r>
      <w:r>
        <w:rPr>
          <w:rStyle w:val="FootnoteReference"/>
          <w:noProof/>
          <w:lang w:val="en-IE"/>
        </w:rPr>
        <w:footnoteReference w:id="144"/>
      </w:r>
      <w:r>
        <w:rPr>
          <w:noProof/>
        </w:rPr>
        <w:t xml:space="preserve"> pieņemšanu. Attiecīgā Padomes darba grupa lems par nepieciešamību veikt izmēģinājuma darbības, kas minētas LAW.PRUM.18. panta [</w:t>
      </w:r>
      <w:r>
        <w:rPr>
          <w:i/>
          <w:iCs/>
          <w:noProof/>
        </w:rPr>
        <w:t>Ex ante</w:t>
      </w:r>
      <w:r>
        <w:rPr>
          <w:noProof/>
        </w:rPr>
        <w:t xml:space="preserve"> izvērtēšana] 1. punktā , šā pielikuma 0. nodaļas 23. panta 2. punktā un šīs nodaļas 2. pantā.</w:t>
      </w:r>
    </w:p>
    <w:p w:rsidR="003E022D" w:rsidRDefault="007D19D6">
      <w:pPr>
        <w:pStyle w:val="Article"/>
        <w:rPr>
          <w:noProof/>
        </w:rPr>
      </w:pPr>
      <w:r>
        <w:rPr>
          <w:noProof/>
        </w:rPr>
        <w:t>5. pants. Ziņojums Padomei</w:t>
      </w:r>
    </w:p>
    <w:p w:rsidR="003E022D" w:rsidRDefault="007D19D6">
      <w:pPr>
        <w:rPr>
          <w:noProof/>
        </w:rPr>
      </w:pPr>
      <w:r>
        <w:rPr>
          <w:noProof/>
        </w:rPr>
        <w:t>Padomei iesniedz vispārēju izvērtējuma ziņojumu, kurā apkopoti anketu izvērtējuma inspekciju un attiecīgā gadījumā izmēģinājumu rezult</w:t>
      </w:r>
      <w:r>
        <w:rPr>
          <w:noProof/>
        </w:rPr>
        <w:t>āti, lai tā pieņemtu lēmumu saskaņā ar LAW.PRUM.18. pantu [</w:t>
      </w:r>
      <w:r>
        <w:rPr>
          <w:i/>
          <w:iCs/>
          <w:noProof/>
        </w:rPr>
        <w:t>Ex ante</w:t>
      </w:r>
      <w:r>
        <w:rPr>
          <w:noProof/>
        </w:rPr>
        <w:t xml:space="preserve"> izvērtēšana].</w:t>
      </w:r>
    </w:p>
    <w:p w:rsidR="003E022D" w:rsidRDefault="007D19D6">
      <w:pPr>
        <w:pStyle w:val="ANNEX"/>
        <w:rPr>
          <w:noProof/>
        </w:rPr>
      </w:pPr>
      <w:r>
        <w:rPr>
          <w:noProof/>
        </w:rPr>
        <w:br w:type="page"/>
      </w:r>
    </w:p>
    <w:p w:rsidR="003E022D" w:rsidRDefault="007D19D6">
      <w:pPr>
        <w:pStyle w:val="ANNEX"/>
        <w:rPr>
          <w:noProof/>
        </w:rPr>
      </w:pPr>
      <w:bookmarkStart w:id="1362" w:name="_Toc58431972"/>
      <w:bookmarkStart w:id="1363" w:name="_Toc59439624"/>
      <w:bookmarkStart w:id="1364" w:name="_Toc59645281"/>
      <w:bookmarkStart w:id="1365" w:name="_Toc59988422"/>
      <w:r>
        <w:rPr>
          <w:noProof/>
        </w:rPr>
        <w:t>LAW-2. PIELIKUMS.  PASAŽIERU DATU REĢISTRA DATI</w:t>
      </w:r>
      <w:bookmarkEnd w:id="1362"/>
      <w:bookmarkEnd w:id="1363"/>
      <w:bookmarkEnd w:id="1364"/>
      <w:bookmarkEnd w:id="1365"/>
      <w:r>
        <w:rPr>
          <w:noProof/>
        </w:rPr>
        <w:tab/>
      </w:r>
    </w:p>
    <w:p w:rsidR="003E022D" w:rsidRDefault="007D19D6">
      <w:pPr>
        <w:spacing w:before="240"/>
        <w:rPr>
          <w:b/>
          <w:bCs/>
          <w:noProof/>
          <w:color w:val="444444"/>
          <w:shd w:val="clear" w:color="auto" w:fill="FFFFFF"/>
        </w:rPr>
      </w:pPr>
      <w:r>
        <w:rPr>
          <w:b/>
          <w:bCs/>
          <w:noProof/>
          <w:color w:val="444444"/>
          <w:shd w:val="clear" w:color="auto" w:fill="FFFFFF"/>
        </w:rPr>
        <w:t>Pasažieru datu reģistra dati, ciktāl tos vāc gaisa pārvadātāji</w:t>
      </w:r>
    </w:p>
    <w:p w:rsidR="003E022D" w:rsidRDefault="007D19D6">
      <w:pPr>
        <w:pStyle w:val="ListParagraph"/>
        <w:numPr>
          <w:ilvl w:val="0"/>
          <w:numId w:val="752"/>
        </w:numPr>
        <w:spacing w:before="240"/>
        <w:ind w:left="426" w:hanging="426"/>
        <w:contextualSpacing w:val="0"/>
        <w:rPr>
          <w:noProof/>
        </w:rPr>
      </w:pPr>
      <w:r>
        <w:rPr>
          <w:noProof/>
        </w:rPr>
        <w:t>PDR ieraksta rādītājs</w:t>
      </w:r>
    </w:p>
    <w:p w:rsidR="003E022D" w:rsidRDefault="007D19D6">
      <w:pPr>
        <w:pStyle w:val="ListParagraph"/>
        <w:numPr>
          <w:ilvl w:val="0"/>
          <w:numId w:val="752"/>
        </w:numPr>
        <w:spacing w:before="240"/>
        <w:ind w:left="426" w:hanging="426"/>
        <w:contextualSpacing w:val="0"/>
        <w:rPr>
          <w:noProof/>
        </w:rPr>
      </w:pPr>
      <w:r>
        <w:rPr>
          <w:noProof/>
        </w:rPr>
        <w:t xml:space="preserve">Rezervācijas/biļetes izsniegšanas </w:t>
      </w:r>
      <w:r>
        <w:rPr>
          <w:noProof/>
        </w:rPr>
        <w:t>datums</w:t>
      </w:r>
    </w:p>
    <w:p w:rsidR="003E022D" w:rsidRDefault="007D19D6">
      <w:pPr>
        <w:pStyle w:val="ListParagraph"/>
        <w:numPr>
          <w:ilvl w:val="0"/>
          <w:numId w:val="752"/>
        </w:numPr>
        <w:spacing w:before="240"/>
        <w:ind w:left="426" w:hanging="426"/>
        <w:contextualSpacing w:val="0"/>
        <w:rPr>
          <w:noProof/>
        </w:rPr>
      </w:pPr>
      <w:r>
        <w:rPr>
          <w:noProof/>
        </w:rPr>
        <w:t>Paredzētā ceļojuma datums (-i)</w:t>
      </w:r>
    </w:p>
    <w:p w:rsidR="003E022D" w:rsidRDefault="007D19D6">
      <w:pPr>
        <w:pStyle w:val="ListParagraph"/>
        <w:numPr>
          <w:ilvl w:val="0"/>
          <w:numId w:val="752"/>
        </w:numPr>
        <w:spacing w:before="240"/>
        <w:ind w:left="426" w:hanging="426"/>
        <w:contextualSpacing w:val="0"/>
        <w:rPr>
          <w:noProof/>
        </w:rPr>
      </w:pPr>
      <w:r>
        <w:rPr>
          <w:noProof/>
        </w:rPr>
        <w:t>Vārds(-i), uzvārds(-i)</w:t>
      </w:r>
    </w:p>
    <w:p w:rsidR="003E022D" w:rsidRDefault="007D19D6">
      <w:pPr>
        <w:pStyle w:val="ListParagraph"/>
        <w:numPr>
          <w:ilvl w:val="0"/>
          <w:numId w:val="752"/>
        </w:numPr>
        <w:spacing w:before="240"/>
        <w:ind w:left="426" w:hanging="426"/>
        <w:contextualSpacing w:val="0"/>
        <w:rPr>
          <w:noProof/>
        </w:rPr>
      </w:pPr>
      <w:r>
        <w:rPr>
          <w:noProof/>
        </w:rPr>
        <w:t>Pasažiera, personas, kura veica rezervāciju pasažierim, personu, ar kuru starpniecību var sazināties ar aviopasažieri, un personas, kuras jāinformē ārkārtas situācijā, adrese, tālruņa numurs un e</w:t>
      </w:r>
      <w:r>
        <w:rPr>
          <w:noProof/>
        </w:rPr>
        <w:t>lektroniskā kontaktinformācija</w:t>
      </w:r>
    </w:p>
    <w:p w:rsidR="003E022D" w:rsidRDefault="007D19D6">
      <w:pPr>
        <w:pStyle w:val="ListParagraph"/>
        <w:numPr>
          <w:ilvl w:val="0"/>
          <w:numId w:val="752"/>
        </w:numPr>
        <w:spacing w:before="240"/>
        <w:ind w:left="426" w:hanging="426"/>
        <w:contextualSpacing w:val="0"/>
        <w:rPr>
          <w:noProof/>
        </w:rPr>
      </w:pPr>
      <w:r>
        <w:rPr>
          <w:noProof/>
        </w:rPr>
        <w:t>Visa pieejamā informācija par maksājumiem/rēķiniem (ietver informāciju, kas attiecas tikai uz lidmašīnas biļetes apmaksas veidiem un rēķinu izrakstīšanu par to, izslēdzot jebkādu citu informāciju, kas nav tieši saistīta ar li</w:t>
      </w:r>
      <w:r>
        <w:rPr>
          <w:noProof/>
        </w:rPr>
        <w:t>dojumu)</w:t>
      </w:r>
    </w:p>
    <w:p w:rsidR="003E022D" w:rsidRDefault="007D19D6">
      <w:pPr>
        <w:pStyle w:val="ListParagraph"/>
        <w:numPr>
          <w:ilvl w:val="0"/>
          <w:numId w:val="752"/>
        </w:numPr>
        <w:spacing w:before="240"/>
        <w:ind w:left="426" w:hanging="426"/>
        <w:contextualSpacing w:val="0"/>
        <w:rPr>
          <w:noProof/>
        </w:rPr>
      </w:pPr>
      <w:r>
        <w:rPr>
          <w:noProof/>
        </w:rPr>
        <w:t>Informācija par visu konkrētajam PDR atbilstošā ceļojuma maršrutu</w:t>
      </w:r>
    </w:p>
    <w:p w:rsidR="003E022D" w:rsidRDefault="007D19D6">
      <w:pPr>
        <w:pStyle w:val="ListParagraph"/>
        <w:numPr>
          <w:ilvl w:val="0"/>
          <w:numId w:val="752"/>
        </w:numPr>
        <w:spacing w:before="240"/>
        <w:ind w:left="426" w:hanging="426"/>
        <w:contextualSpacing w:val="0"/>
        <w:rPr>
          <w:noProof/>
        </w:rPr>
      </w:pPr>
      <w:r>
        <w:rPr>
          <w:noProof/>
        </w:rPr>
        <w:t>Informācija par bieži lidojošu personu (tās aviosabiedrības vai pārdevēja apzīmējums, kas pārvalda programmu, bieži lidojošas personas reģistrācijas numurs, piederības līmenis, līmeņ</w:t>
      </w:r>
      <w:r>
        <w:rPr>
          <w:noProof/>
        </w:rPr>
        <w:t>a apraksts un alianses kods)</w:t>
      </w:r>
    </w:p>
    <w:p w:rsidR="003E022D" w:rsidRDefault="007D19D6">
      <w:pPr>
        <w:pStyle w:val="ListParagraph"/>
        <w:numPr>
          <w:ilvl w:val="0"/>
          <w:numId w:val="752"/>
        </w:numPr>
        <w:spacing w:before="240"/>
        <w:ind w:left="426" w:hanging="426"/>
        <w:contextualSpacing w:val="0"/>
        <w:rPr>
          <w:noProof/>
        </w:rPr>
      </w:pPr>
      <w:r>
        <w:rPr>
          <w:noProof/>
        </w:rPr>
        <w:t>Ceļojuma aģentūra/ceļojuma aģents</w:t>
      </w:r>
    </w:p>
    <w:p w:rsidR="003E022D" w:rsidRDefault="007D19D6">
      <w:pPr>
        <w:pStyle w:val="ListParagraph"/>
        <w:numPr>
          <w:ilvl w:val="0"/>
          <w:numId w:val="752"/>
        </w:numPr>
        <w:spacing w:before="240"/>
        <w:ind w:left="426" w:hanging="426"/>
        <w:contextualSpacing w:val="0"/>
        <w:rPr>
          <w:noProof/>
        </w:rPr>
      </w:pPr>
      <w:r>
        <w:rPr>
          <w:noProof/>
        </w:rPr>
        <w:t>Pasažiera statuss ceļojuma laikā, tostarp lidojuma apstiprinājumi, reģistrēta pasažiera statuss, informācija par neierašanos uz lidojumu (</w:t>
      </w:r>
      <w:r>
        <w:rPr>
          <w:i/>
          <w:noProof/>
        </w:rPr>
        <w:t>no show</w:t>
      </w:r>
      <w:r>
        <w:rPr>
          <w:noProof/>
        </w:rPr>
        <w:t>) vai ierašanos uz lidojumu bez iepriekšējas rez</w:t>
      </w:r>
      <w:r>
        <w:rPr>
          <w:noProof/>
        </w:rPr>
        <w:t>ervācijas (</w:t>
      </w:r>
      <w:r>
        <w:rPr>
          <w:i/>
          <w:noProof/>
        </w:rPr>
        <w:t>go show</w:t>
      </w:r>
      <w:r>
        <w:rPr>
          <w:noProof/>
        </w:rPr>
        <w:t>)</w:t>
      </w:r>
    </w:p>
    <w:p w:rsidR="003E022D" w:rsidRDefault="007D19D6">
      <w:pPr>
        <w:pStyle w:val="ListParagraph"/>
        <w:numPr>
          <w:ilvl w:val="0"/>
          <w:numId w:val="752"/>
        </w:numPr>
        <w:spacing w:before="240"/>
        <w:ind w:left="426" w:hanging="426"/>
        <w:contextualSpacing w:val="0"/>
        <w:rPr>
          <w:noProof/>
        </w:rPr>
      </w:pPr>
      <w:r>
        <w:rPr>
          <w:noProof/>
        </w:rPr>
        <w:t>PDR dati par atdalītajām rezervācijām</w:t>
      </w:r>
    </w:p>
    <w:p w:rsidR="003E022D" w:rsidRDefault="007D19D6">
      <w:pPr>
        <w:pStyle w:val="ListParagraph"/>
        <w:numPr>
          <w:ilvl w:val="0"/>
          <w:numId w:val="752"/>
        </w:numPr>
        <w:spacing w:before="240"/>
        <w:ind w:left="426" w:hanging="426"/>
        <w:contextualSpacing w:val="0"/>
        <w:rPr>
          <w:noProof/>
        </w:rPr>
      </w:pPr>
      <w:r>
        <w:rPr>
          <w:noProof/>
        </w:rPr>
        <w:t>Cita papildu informācija (</w:t>
      </w:r>
      <w:r>
        <w:rPr>
          <w:i/>
          <w:noProof/>
        </w:rPr>
        <w:t>OSI</w:t>
      </w:r>
      <w:r>
        <w:rPr>
          <w:noProof/>
        </w:rPr>
        <w:t>), īpašo pakalpojumu informācija (</w:t>
      </w:r>
      <w:r>
        <w:rPr>
          <w:i/>
          <w:noProof/>
        </w:rPr>
        <w:t>SSI</w:t>
      </w:r>
      <w:r>
        <w:rPr>
          <w:noProof/>
        </w:rPr>
        <w:t>) un īpašā pakalpojuma pieprasījuma (</w:t>
      </w:r>
      <w:r>
        <w:rPr>
          <w:i/>
          <w:noProof/>
        </w:rPr>
        <w:t>SSR</w:t>
      </w:r>
      <w:r>
        <w:rPr>
          <w:noProof/>
        </w:rPr>
        <w:t>) informācija</w:t>
      </w:r>
    </w:p>
    <w:p w:rsidR="003E022D" w:rsidRDefault="007D19D6">
      <w:pPr>
        <w:pStyle w:val="ListParagraph"/>
        <w:numPr>
          <w:ilvl w:val="0"/>
          <w:numId w:val="752"/>
        </w:numPr>
        <w:spacing w:before="240"/>
        <w:ind w:left="426" w:hanging="426"/>
        <w:contextualSpacing w:val="0"/>
        <w:rPr>
          <w:noProof/>
        </w:rPr>
      </w:pPr>
      <w:r>
        <w:rPr>
          <w:noProof/>
        </w:rPr>
        <w:t>Dati par biļetes izdošanu, tostarp biļetes numurs, biļetes izdošanas datums un</w:t>
      </w:r>
      <w:r>
        <w:rPr>
          <w:noProof/>
        </w:rPr>
        <w:t xml:space="preserve"> vienvirziena biļetes, automātiskie biļetes tarifa (</w:t>
      </w:r>
      <w:r>
        <w:rPr>
          <w:i/>
          <w:noProof/>
        </w:rPr>
        <w:t>Automated Ticket Fare Quote</w:t>
      </w:r>
      <w:r>
        <w:rPr>
          <w:noProof/>
        </w:rPr>
        <w:t>) lauki</w:t>
      </w:r>
    </w:p>
    <w:p w:rsidR="003E022D" w:rsidRDefault="007D19D6">
      <w:pPr>
        <w:pStyle w:val="ListParagraph"/>
        <w:numPr>
          <w:ilvl w:val="0"/>
          <w:numId w:val="752"/>
        </w:numPr>
        <w:spacing w:before="240"/>
        <w:ind w:left="426" w:hanging="426"/>
        <w:contextualSpacing w:val="0"/>
        <w:rPr>
          <w:noProof/>
        </w:rPr>
      </w:pPr>
      <w:r>
        <w:rPr>
          <w:noProof/>
        </w:rPr>
        <w:t>Informācija par sēdvietu, tostarp sēdvietas numurs</w:t>
      </w:r>
    </w:p>
    <w:p w:rsidR="003E022D" w:rsidRDefault="007D19D6">
      <w:pPr>
        <w:pStyle w:val="ListParagraph"/>
        <w:numPr>
          <w:ilvl w:val="0"/>
          <w:numId w:val="752"/>
        </w:numPr>
        <w:spacing w:before="240"/>
        <w:ind w:left="426" w:hanging="426"/>
        <w:contextualSpacing w:val="0"/>
        <w:rPr>
          <w:noProof/>
        </w:rPr>
      </w:pPr>
      <w:r>
        <w:rPr>
          <w:noProof/>
        </w:rPr>
        <w:t>Informācija par koplietošanas kodiem (</w:t>
      </w:r>
      <w:r>
        <w:rPr>
          <w:i/>
          <w:noProof/>
        </w:rPr>
        <w:t>code share</w:t>
      </w:r>
      <w:r>
        <w:rPr>
          <w:noProof/>
        </w:rPr>
        <w:t>)</w:t>
      </w:r>
    </w:p>
    <w:p w:rsidR="003E022D" w:rsidRDefault="007D19D6">
      <w:pPr>
        <w:pStyle w:val="ListParagraph"/>
        <w:numPr>
          <w:ilvl w:val="0"/>
          <w:numId w:val="752"/>
        </w:numPr>
        <w:spacing w:before="240"/>
        <w:ind w:left="426" w:hanging="426"/>
        <w:contextualSpacing w:val="0"/>
        <w:rPr>
          <w:noProof/>
        </w:rPr>
      </w:pPr>
      <w:r>
        <w:rPr>
          <w:noProof/>
        </w:rPr>
        <w:t>Visa informācija par bagāžu</w:t>
      </w:r>
    </w:p>
    <w:p w:rsidR="003E022D" w:rsidRDefault="007D19D6">
      <w:pPr>
        <w:pStyle w:val="ListParagraph"/>
        <w:numPr>
          <w:ilvl w:val="0"/>
          <w:numId w:val="752"/>
        </w:numPr>
        <w:spacing w:before="240"/>
        <w:ind w:left="426" w:hanging="426"/>
        <w:contextualSpacing w:val="0"/>
        <w:rPr>
          <w:noProof/>
        </w:rPr>
      </w:pPr>
      <w:r>
        <w:rPr>
          <w:noProof/>
        </w:rPr>
        <w:t>Citu PDR iekļauto pasažieru vārdi, uzvār</w:t>
      </w:r>
      <w:r>
        <w:rPr>
          <w:noProof/>
        </w:rPr>
        <w:t>di un PDR iekļauto kopā ceļojošo ceļotāju skaits</w:t>
      </w:r>
    </w:p>
    <w:p w:rsidR="003E022D" w:rsidRDefault="007D19D6">
      <w:pPr>
        <w:pStyle w:val="ListParagraph"/>
        <w:numPr>
          <w:ilvl w:val="0"/>
          <w:numId w:val="752"/>
        </w:numPr>
        <w:spacing w:before="240"/>
        <w:ind w:left="426" w:hanging="426"/>
        <w:contextualSpacing w:val="0"/>
        <w:rPr>
          <w:noProof/>
        </w:rPr>
      </w:pPr>
      <w:r>
        <w:rPr>
          <w:noProof/>
        </w:rPr>
        <w:t>Visi savāktie iepriekšējās pasažieru informācijas (IPI) dati (identitātes dokumenta veids, numurs, izdevējvalsts un derīguma termiņš, valstspiederība, uzvārds, vārds, dzimums, dzimšanas datums, aviokompānija</w:t>
      </w:r>
      <w:r>
        <w:rPr>
          <w:noProof/>
        </w:rPr>
        <w:t>, lidojuma numurs, izlidošanas datums, ierašanās datums, izlidošanas lidosta, ierašanās lidosta, izlidošanas laiks un ierašanās laiks)</w:t>
      </w:r>
    </w:p>
    <w:p w:rsidR="003E022D" w:rsidRDefault="007D19D6">
      <w:pPr>
        <w:pStyle w:val="ListParagraph"/>
        <w:numPr>
          <w:ilvl w:val="0"/>
          <w:numId w:val="752"/>
        </w:numPr>
        <w:spacing w:after="160" w:line="259" w:lineRule="auto"/>
        <w:ind w:left="426" w:hanging="426"/>
        <w:jc w:val="left"/>
        <w:rPr>
          <w:noProof/>
        </w:rPr>
      </w:pPr>
      <w:r>
        <w:rPr>
          <w:noProof/>
        </w:rPr>
        <w:t xml:space="preserve">Visas vēsturiskās izmaiņas PDR datos, kas uzskaitīti 1.–18. punktā. </w:t>
      </w:r>
      <w:r>
        <w:rPr>
          <w:noProof/>
        </w:rPr>
        <w:br w:type="page"/>
      </w:r>
    </w:p>
    <w:p w:rsidR="003E022D" w:rsidRDefault="007D19D6">
      <w:pPr>
        <w:pStyle w:val="ANNEX"/>
        <w:rPr>
          <w:noProof/>
        </w:rPr>
      </w:pPr>
      <w:bookmarkStart w:id="1366" w:name="_Toc58431973"/>
      <w:bookmarkStart w:id="1367" w:name="_Toc59439625"/>
      <w:bookmarkStart w:id="1368" w:name="_Toc59645282"/>
      <w:bookmarkStart w:id="1369" w:name="_Toc59988423"/>
      <w:r>
        <w:rPr>
          <w:noProof/>
        </w:rPr>
        <w:t>LAW-3. PIELIKUMS. Eiropola kompetencē esošo noziegu</w:t>
      </w:r>
      <w:r>
        <w:rPr>
          <w:noProof/>
        </w:rPr>
        <w:t>mu veidi</w:t>
      </w:r>
      <w:bookmarkEnd w:id="1366"/>
      <w:bookmarkEnd w:id="1367"/>
      <w:bookmarkEnd w:id="1368"/>
      <w:bookmarkEnd w:id="1369"/>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Terorisms,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Organizētā noziedzība,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Narkotiku nelikumīga tirdzniecība,</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Nelikumīgi iegūtu līdzekļu legalizēšanas darbības,</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Ar kodolvielām un radioaktīvajām vielām saistīti noziegumi,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Imigrantu kontrabanda,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Cilvēku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Ar mehāniskiem </w:t>
      </w:r>
      <w:r>
        <w:rPr>
          <w:noProof/>
        </w:rPr>
        <w:t>transportlīdzekļiem saistīti noziegumi,</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Slepkavība un smagi miesas bojājumi,</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Cilvēku orgānu un audu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Personu nolaupīšana, nelikumīga brīvības atņemšana un ķīlnieku sagrābšana,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Rasisms un ksenofobija,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Laupīšana un zādzība atbildīb</w:t>
      </w:r>
      <w:r>
        <w:rPr>
          <w:noProof/>
        </w:rPr>
        <w:t xml:space="preserve">u pastiprinošos apstākļos,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Kultūras preču, tostarp senlietu un mākslas darbu,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Krāpšana,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Noziegumi pret Savienības finansiālajām interesēm,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Iekšējās informācijas izmantošana un finanšu tirgus manipulācija,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Rekets un izspiešana,</w:t>
      </w:r>
      <w:r>
        <w:rPr>
          <w:noProof/>
        </w:rPr>
        <w:t xml:space="preserve">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Izstrādājumu viltošana un pirātisms,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Administratīvu dokumentu viltošana un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Naudas un maksāšanas līdzekļu viltošana,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Datornoziegumi,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Korupcija,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Ieroču, munīcijas un sprāgstvielu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Nelikumīga apdraudēto dzīvnieku sugu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Nelikumīga apdraudēto augu sugu un šķirņu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Noziegumi pret vidi, tostarp kuģu izraisīts piesārņojums,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Hormonu un citu augšanas veicinātāju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Seksuālā vardarbība un se</w:t>
      </w:r>
      <w:r>
        <w:rPr>
          <w:noProof/>
        </w:rPr>
        <w:t>ksuālā izmantošana, tostarp materiāli, kuros attēlota bērnu izmantošana, un uzmākšanās bērniem seksuālos nolūkos,</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Genocīds, noziegumi pret cilvēci un kara noziegumi.  </w:t>
      </w:r>
    </w:p>
    <w:p w:rsidR="003E022D" w:rsidRDefault="007D19D6">
      <w:pPr>
        <w:spacing w:after="160" w:line="259" w:lineRule="auto"/>
        <w:jc w:val="left"/>
        <w:rPr>
          <w:noProof/>
        </w:rPr>
      </w:pPr>
      <w:r>
        <w:rPr>
          <w:noProof/>
        </w:rPr>
        <w:br w:type="page"/>
      </w:r>
    </w:p>
    <w:p w:rsidR="003E022D" w:rsidRDefault="007D19D6">
      <w:pPr>
        <w:pStyle w:val="ANNEX"/>
        <w:rPr>
          <w:caps/>
          <w:noProof/>
        </w:rPr>
      </w:pPr>
      <w:bookmarkStart w:id="1370" w:name="_Toc58431974"/>
      <w:bookmarkStart w:id="1371" w:name="_Toc59439626"/>
      <w:bookmarkStart w:id="1372" w:name="_Toc59645283"/>
      <w:bookmarkStart w:id="1373" w:name="_Toc59988424"/>
      <w:r>
        <w:rPr>
          <w:noProof/>
        </w:rPr>
        <w:t xml:space="preserve">LAW-4. PIELIKUMS. </w:t>
      </w:r>
      <w:r>
        <w:rPr>
          <w:caps/>
          <w:noProof/>
        </w:rPr>
        <w:t>Eurojust kompetencē esošo noziegumu veidi</w:t>
      </w:r>
      <w:bookmarkEnd w:id="1370"/>
      <w:bookmarkEnd w:id="1371"/>
      <w:bookmarkEnd w:id="1372"/>
      <w:bookmarkEnd w:id="1373"/>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Terorisms,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Organizētā noz</w:t>
      </w:r>
      <w:r>
        <w:rPr>
          <w:noProof/>
        </w:rPr>
        <w:t xml:space="preserve">iedzība,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Narkotiku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Nelikumīgi iegūtu līdzekļu legalizēšanas darbības,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Ar kodolvielām un radioaktīvajām vielām saistīti noziegumi,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Imigrantu kontrabanda,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Cilvēku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Ar mehāniskiem transportlīdzekļiem saistīti nozieg</w:t>
      </w:r>
      <w:r>
        <w:rPr>
          <w:noProof/>
        </w:rPr>
        <w:t xml:space="preserve">umi,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Slepkavība un smagi miesas bojājumi,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Cilvēku orgānu un audu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Personu nolaupīšana, nelikumīga brīvības atņemšana un ķīlnieku sagrābšana,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Rasisms un ksenofobija,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Laupīšana un zādzība atbildību pastiprinošos apstākļos,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Kultūras priekšmetu, tostarp senlietu un mākslas darbu,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Krāpšana,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Noziegumi pret Savienības finansiālajām interesēm,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Iekšējās informācijas ļaunprātīga izmantošana un finanšu tirgus manipulācija,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Rekets un izspiešana,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Izstrādājumu viltošana un pirātisms,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Administratīvu dokumentu viltošana un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Naudas un maksāšanas līdzekļu viltošana,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Kibernoziegumi,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Korupcija,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Šaujamieroču, munīcijas un sprāgstvielu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Apdraudētu dzīvnieku sugu ne</w:t>
      </w:r>
      <w:r>
        <w:rPr>
          <w:noProof/>
        </w:rPr>
        <w:t xml:space="preserv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Apdraudētu augu sugu un šķirņu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Noziegumi pret vidi, tostarp kuģu izraisīts piesārņojums,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Hormonu un citu augšanas veicinātāju nelikumīga tirdzniecība,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Seksuālā vardarbība un seksuālā izmantošana, tostarp </w:t>
      </w:r>
      <w:r>
        <w:rPr>
          <w:noProof/>
        </w:rPr>
        <w:t xml:space="preserve">materiāli, kuros attēlota bērnu izmantošana, un uzmākšanās bērniem seksuālos nolūkos, </w:t>
      </w:r>
    </w:p>
    <w:p w:rsidR="003E022D" w:rsidRDefault="007D19D6">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Genocīds, noziegumi pret cilvēci un kara noziegumi.</w:t>
      </w:r>
    </w:p>
    <w:p w:rsidR="003E022D" w:rsidRDefault="007D19D6">
      <w:pPr>
        <w:spacing w:after="160" w:line="259" w:lineRule="auto"/>
        <w:jc w:val="left"/>
        <w:rPr>
          <w:noProof/>
        </w:rPr>
      </w:pPr>
      <w:r>
        <w:rPr>
          <w:noProof/>
        </w:rPr>
        <w:br w:type="page"/>
      </w:r>
    </w:p>
    <w:p w:rsidR="003E022D" w:rsidRDefault="007D19D6">
      <w:pPr>
        <w:pStyle w:val="ANNEX"/>
        <w:rPr>
          <w:noProof/>
        </w:rPr>
      </w:pPr>
      <w:bookmarkStart w:id="1374" w:name="_Toc58431975"/>
      <w:bookmarkStart w:id="1375" w:name="_Toc59439627"/>
      <w:bookmarkStart w:id="1376" w:name="_Toc59645284"/>
      <w:bookmarkStart w:id="1377" w:name="_Toc59988425"/>
      <w:r>
        <w:rPr>
          <w:noProof/>
        </w:rPr>
        <w:t>LAW-5. PIELIKUMS. APCIETINĀŠANAS ORDERIS</w:t>
      </w:r>
      <w:bookmarkEnd w:id="1374"/>
      <w:bookmarkEnd w:id="1375"/>
      <w:bookmarkEnd w:id="1376"/>
      <w:bookmarkEnd w:id="1377"/>
      <w:r>
        <w:rPr>
          <w:noProof/>
        </w:rPr>
        <w:tab/>
      </w:r>
    </w:p>
    <w:p w:rsidR="003E022D" w:rsidRDefault="007D19D6">
      <w:pPr>
        <w:rPr>
          <w:rFonts w:cstheme="minorHAnsi"/>
          <w:noProof/>
        </w:rPr>
      </w:pPr>
      <w:r>
        <w:rPr>
          <w:noProof/>
        </w:rPr>
        <w:t xml:space="preserve">Šo orderi izsniegusi kompetenta tiesu iestāde. Es pieprasu zemāk minētās </w:t>
      </w:r>
      <w:r>
        <w:rPr>
          <w:noProof/>
        </w:rPr>
        <w:t>personas apcietināšanu un nodošanu ar mērķi veikt kriminālvajāšanu vai izpildīt brīvības atņemšanas sodu vai piespiedu līdzekli </w:t>
      </w:r>
      <w:r>
        <w:rPr>
          <w:rStyle w:val="FootnoteReference"/>
          <w:rFonts w:cstheme="minorHAnsi"/>
          <w:noProof/>
        </w:rPr>
        <w:footnoteReference w:id="145"/>
      </w:r>
      <w:r>
        <w:rPr>
          <w:noProof/>
        </w:rPr>
        <w:t>.</w:t>
      </w:r>
    </w:p>
    <w:p w:rsidR="003E022D" w:rsidRDefault="003E022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3E022D">
        <w:tc>
          <w:tcPr>
            <w:tcW w:w="268" w:type="pct"/>
          </w:tcPr>
          <w:p w:rsidR="003E022D" w:rsidRDefault="007D19D6">
            <w:pPr>
              <w:rPr>
                <w:rFonts w:cstheme="minorHAnsi"/>
                <w:noProof/>
              </w:rPr>
            </w:pPr>
            <w:r>
              <w:rPr>
                <w:noProof/>
              </w:rPr>
              <w:t xml:space="preserve">a) </w:t>
            </w:r>
          </w:p>
        </w:tc>
        <w:tc>
          <w:tcPr>
            <w:tcW w:w="4732" w:type="pct"/>
            <w:gridSpan w:val="2"/>
          </w:tcPr>
          <w:p w:rsidR="003E022D" w:rsidRDefault="007D19D6">
            <w:pPr>
              <w:rPr>
                <w:rFonts w:cstheme="minorHAnsi"/>
                <w:noProof/>
              </w:rPr>
            </w:pPr>
            <w:r>
              <w:rPr>
                <w:noProof/>
              </w:rPr>
              <w:t>Informācija par pieprasītās personas identitāti:</w:t>
            </w: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Uzvārds:</w:t>
            </w:r>
          </w:p>
        </w:tc>
        <w:tc>
          <w:tcPr>
            <w:tcW w:w="2969" w:type="pct"/>
            <w:tcBorders>
              <w:top w:val="nil"/>
              <w:bottom w:val="single" w:sz="12" w:space="0" w:color="FFFFFF" w:themeColor="background1"/>
            </w:tcBorders>
            <w:shd w:val="clear" w:color="auto" w:fill="F2F2F2" w:themeFill="background1" w:themeFillShade="F2"/>
          </w:tcPr>
          <w:p w:rsidR="003E022D" w:rsidRDefault="007D19D6">
            <w:pPr>
              <w:rPr>
                <w:rFonts w:cstheme="minorHAnsi"/>
                <w:noProof/>
              </w:rPr>
            </w:pPr>
            <w:r>
              <w:rPr>
                <w:noProof/>
              </w:rPr>
              <w:t xml:space="preserve"> </w:t>
            </w: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Vārds(-i):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Pirmslaulību uzvārds, attiecīgā gadījumā: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Pseidonīms(-i), attiecīgā gadījumā: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Dzimums: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Valstspiederība: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Dzimšanas datums: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Dzimšanas vieta: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Dzīvesvieta un/vai zināmā adrese: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Valoda(-as), ko pieprasītā persona saprot (ja zināmas):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Pieprasītās personas īpašas pazīmes/apraksts: </w:t>
            </w:r>
          </w:p>
        </w:tc>
        <w:tc>
          <w:tcPr>
            <w:tcW w:w="2969" w:type="pct"/>
            <w:tcBorders>
              <w:top w:val="single" w:sz="12" w:space="0" w:color="FFFFFF" w:themeColor="background1"/>
              <w:bottom w:val="nil"/>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4732" w:type="pct"/>
            <w:gridSpan w:val="2"/>
          </w:tcPr>
          <w:p w:rsidR="003E022D" w:rsidRDefault="007D19D6">
            <w:pPr>
              <w:rPr>
                <w:rFonts w:cstheme="minorHAnsi"/>
                <w:noProof/>
              </w:rPr>
            </w:pPr>
            <w:r>
              <w:rPr>
                <w:noProof/>
              </w:rPr>
              <w:t xml:space="preserve">Pieprasītās personas fotogrāfija un pirkstu nospiedumi, ja tie ir pieejami un tos var nosūtīt, vai tās personas kontaktinformācija, ar kuru jāsazinās, lai šādu informāciju saņemtu vai lai saņemtu DNS </w:t>
            </w:r>
            <w:r>
              <w:rPr>
                <w:noProof/>
              </w:rPr>
              <w:t>profilu (ja šādus pierādījumus var piegādāt, bet tie nav iekļauti)</w:t>
            </w:r>
          </w:p>
        </w:tc>
      </w:tr>
    </w:tbl>
    <w:p w:rsidR="003E022D" w:rsidRDefault="003E022D">
      <w:pPr>
        <w:rPr>
          <w:rFonts w:cstheme="minorHAnsi"/>
          <w:noProof/>
        </w:rPr>
      </w:pPr>
    </w:p>
    <w:p w:rsidR="003E022D" w:rsidRDefault="003E022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3E022D">
        <w:tc>
          <w:tcPr>
            <w:tcW w:w="268" w:type="pct"/>
            <w:tcBorders>
              <w:top w:val="single" w:sz="4" w:space="0" w:color="auto"/>
            </w:tcBorders>
          </w:tcPr>
          <w:p w:rsidR="003E022D" w:rsidRDefault="007D19D6">
            <w:pPr>
              <w:rPr>
                <w:rFonts w:cstheme="minorHAnsi"/>
                <w:noProof/>
              </w:rPr>
            </w:pPr>
            <w:r>
              <w:rPr>
                <w:noProof/>
              </w:rPr>
              <w:t>b)</w:t>
            </w:r>
          </w:p>
        </w:tc>
        <w:tc>
          <w:tcPr>
            <w:tcW w:w="4732" w:type="pct"/>
            <w:gridSpan w:val="2"/>
            <w:tcBorders>
              <w:top w:val="single" w:sz="4" w:space="0" w:color="auto"/>
            </w:tcBorders>
          </w:tcPr>
          <w:p w:rsidR="003E022D" w:rsidRDefault="007D19D6">
            <w:pPr>
              <w:rPr>
                <w:rFonts w:cstheme="minorHAnsi"/>
                <w:noProof/>
              </w:rPr>
            </w:pPr>
            <w:r>
              <w:rPr>
                <w:noProof/>
              </w:rPr>
              <w:t>Nolēmums, uz kura pamata izsniegts orderis:</w:t>
            </w:r>
          </w:p>
        </w:tc>
      </w:tr>
      <w:tr w:rsidR="003E022D">
        <w:tc>
          <w:tcPr>
            <w:tcW w:w="268" w:type="pct"/>
          </w:tcPr>
          <w:p w:rsidR="003E022D" w:rsidRDefault="007D19D6">
            <w:pPr>
              <w:jc w:val="right"/>
              <w:rPr>
                <w:rFonts w:cstheme="minorHAnsi"/>
                <w:noProof/>
              </w:rPr>
            </w:pPr>
            <w:r>
              <w:rPr>
                <w:noProof/>
              </w:rPr>
              <w:t>1.</w:t>
            </w:r>
          </w:p>
        </w:tc>
        <w:tc>
          <w:tcPr>
            <w:tcW w:w="1763" w:type="pct"/>
          </w:tcPr>
          <w:p w:rsidR="003E022D" w:rsidRDefault="007D19D6">
            <w:pPr>
              <w:rPr>
                <w:rFonts w:cstheme="minorHAnsi"/>
                <w:noProof/>
              </w:rPr>
            </w:pPr>
            <w:r>
              <w:rPr>
                <w:noProof/>
              </w:rPr>
              <w:t>Apcietināšanas orderis vai tiesas nolēmums ar tādu pašu spēku:</w:t>
            </w:r>
          </w:p>
        </w:tc>
        <w:tc>
          <w:tcPr>
            <w:tcW w:w="2969" w:type="pct"/>
            <w:tcBorders>
              <w:top w:val="nil"/>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jc w:val="right"/>
              <w:rPr>
                <w:rFonts w:cstheme="minorHAnsi"/>
                <w:noProof/>
              </w:rPr>
            </w:pPr>
          </w:p>
        </w:tc>
        <w:tc>
          <w:tcPr>
            <w:tcW w:w="1763" w:type="pct"/>
          </w:tcPr>
          <w:p w:rsidR="003E022D" w:rsidRDefault="007D19D6">
            <w:pPr>
              <w:rPr>
                <w:rFonts w:cstheme="minorHAnsi"/>
                <w:noProof/>
              </w:rPr>
            </w:pPr>
            <w:r>
              <w:rPr>
                <w:noProof/>
              </w:rPr>
              <w:t xml:space="preserve">Veids: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7D19D6">
            <w:pPr>
              <w:jc w:val="right"/>
              <w:rPr>
                <w:rFonts w:cstheme="minorHAnsi"/>
                <w:noProof/>
              </w:rPr>
            </w:pPr>
            <w:r>
              <w:rPr>
                <w:noProof/>
              </w:rPr>
              <w:t>2.</w:t>
            </w:r>
          </w:p>
        </w:tc>
        <w:tc>
          <w:tcPr>
            <w:tcW w:w="1763" w:type="pct"/>
          </w:tcPr>
          <w:p w:rsidR="003E022D" w:rsidRDefault="007D19D6">
            <w:pPr>
              <w:rPr>
                <w:rFonts w:cstheme="minorHAnsi"/>
                <w:noProof/>
              </w:rPr>
            </w:pPr>
            <w:r>
              <w:rPr>
                <w:noProof/>
              </w:rPr>
              <w:t xml:space="preserve">Izpildāms spriedums: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Borders>
              <w:bottom w:val="single" w:sz="4" w:space="0" w:color="auto"/>
            </w:tcBorders>
          </w:tcPr>
          <w:p w:rsidR="003E022D" w:rsidRDefault="003E022D">
            <w:pPr>
              <w:rPr>
                <w:rFonts w:cstheme="minorHAnsi"/>
                <w:noProof/>
              </w:rPr>
            </w:pPr>
          </w:p>
        </w:tc>
        <w:tc>
          <w:tcPr>
            <w:tcW w:w="1763" w:type="pct"/>
            <w:tcBorders>
              <w:bottom w:val="single" w:sz="4" w:space="0" w:color="auto"/>
            </w:tcBorders>
          </w:tcPr>
          <w:p w:rsidR="003E022D" w:rsidRDefault="007D19D6">
            <w:pPr>
              <w:rPr>
                <w:rFonts w:cstheme="minorHAnsi"/>
                <w:noProof/>
              </w:rPr>
            </w:pPr>
            <w:r>
              <w:rPr>
                <w:noProof/>
              </w:rPr>
              <w:t xml:space="preserve">Atsauce: </w:t>
            </w:r>
          </w:p>
        </w:tc>
        <w:tc>
          <w:tcPr>
            <w:tcW w:w="2969" w:type="pct"/>
            <w:tcBorders>
              <w:top w:val="single" w:sz="12" w:space="0" w:color="FFFFFF" w:themeColor="background1"/>
              <w:bottom w:val="single" w:sz="4" w:space="0" w:color="auto"/>
            </w:tcBorders>
            <w:shd w:val="clear" w:color="auto" w:fill="F2F2F2" w:themeFill="background1" w:themeFillShade="F2"/>
          </w:tcPr>
          <w:p w:rsidR="003E022D" w:rsidRDefault="003E022D">
            <w:pPr>
              <w:rPr>
                <w:rFonts w:cstheme="minorHAnsi"/>
                <w:noProof/>
              </w:rPr>
            </w:pPr>
          </w:p>
        </w:tc>
      </w:tr>
    </w:tbl>
    <w:p w:rsidR="003E022D" w:rsidRDefault="003E022D">
      <w:pPr>
        <w:rPr>
          <w:rFonts w:cstheme="minorHAnsi"/>
          <w:noProof/>
        </w:rPr>
      </w:pPr>
    </w:p>
    <w:p w:rsidR="003E022D" w:rsidRDefault="003E022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3E022D">
        <w:tc>
          <w:tcPr>
            <w:tcW w:w="268" w:type="pct"/>
            <w:tcBorders>
              <w:top w:val="single" w:sz="4" w:space="0" w:color="auto"/>
            </w:tcBorders>
          </w:tcPr>
          <w:p w:rsidR="003E022D" w:rsidRDefault="007D19D6">
            <w:pPr>
              <w:rPr>
                <w:rFonts w:cstheme="minorHAnsi"/>
                <w:noProof/>
              </w:rPr>
            </w:pPr>
            <w:r>
              <w:rPr>
                <w:noProof/>
              </w:rPr>
              <w:t>c)</w:t>
            </w:r>
          </w:p>
        </w:tc>
        <w:tc>
          <w:tcPr>
            <w:tcW w:w="4732" w:type="pct"/>
            <w:gridSpan w:val="2"/>
            <w:tcBorders>
              <w:top w:val="single" w:sz="4" w:space="0" w:color="auto"/>
            </w:tcBorders>
          </w:tcPr>
          <w:p w:rsidR="003E022D" w:rsidRDefault="007D19D6">
            <w:pPr>
              <w:rPr>
                <w:rFonts w:cstheme="minorHAnsi"/>
                <w:noProof/>
              </w:rPr>
            </w:pPr>
            <w:r>
              <w:rPr>
                <w:noProof/>
              </w:rPr>
              <w:t xml:space="preserve">Norādes par </w:t>
            </w:r>
            <w:r>
              <w:rPr>
                <w:noProof/>
              </w:rPr>
              <w:t>soda ilgumu:</w:t>
            </w:r>
          </w:p>
        </w:tc>
      </w:tr>
      <w:tr w:rsidR="003E022D">
        <w:tc>
          <w:tcPr>
            <w:tcW w:w="268" w:type="pct"/>
          </w:tcPr>
          <w:p w:rsidR="003E022D" w:rsidRDefault="007D19D6">
            <w:pPr>
              <w:jc w:val="right"/>
              <w:rPr>
                <w:rFonts w:cstheme="minorHAnsi"/>
                <w:noProof/>
              </w:rPr>
            </w:pPr>
            <w:r>
              <w:rPr>
                <w:noProof/>
              </w:rPr>
              <w:t>1.</w:t>
            </w:r>
          </w:p>
        </w:tc>
        <w:tc>
          <w:tcPr>
            <w:tcW w:w="1763" w:type="pct"/>
          </w:tcPr>
          <w:p w:rsidR="003E022D" w:rsidRDefault="007D19D6">
            <w:pPr>
              <w:rPr>
                <w:rFonts w:cstheme="minorHAnsi"/>
                <w:noProof/>
              </w:rPr>
            </w:pPr>
            <w:r>
              <w:rPr>
                <w:noProof/>
              </w:rPr>
              <w:t>Brīvības atņemšanas soda vai piespiedu līdzekļa maksimālais ilgums, ko var piespriest par nodarījumu (nodarījumiem):</w:t>
            </w:r>
          </w:p>
        </w:tc>
        <w:tc>
          <w:tcPr>
            <w:tcW w:w="2969" w:type="pct"/>
            <w:tcBorders>
              <w:top w:val="nil"/>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7D19D6">
            <w:pPr>
              <w:jc w:val="right"/>
              <w:rPr>
                <w:rFonts w:cstheme="minorHAnsi"/>
                <w:noProof/>
              </w:rPr>
            </w:pPr>
            <w:r>
              <w:rPr>
                <w:noProof/>
              </w:rPr>
              <w:t>2.</w:t>
            </w:r>
          </w:p>
        </w:tc>
        <w:tc>
          <w:tcPr>
            <w:tcW w:w="1763" w:type="pct"/>
          </w:tcPr>
          <w:p w:rsidR="003E022D" w:rsidRDefault="007D19D6">
            <w:pPr>
              <w:rPr>
                <w:rFonts w:cstheme="minorHAnsi"/>
                <w:noProof/>
              </w:rPr>
            </w:pPr>
            <w:r>
              <w:rPr>
                <w:noProof/>
              </w:rPr>
              <w:t xml:space="preserve">Piespriestā brīvības atņemšanas soda vai piespiedu līdzekļa ilgums: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Borders>
              <w:bottom w:val="single" w:sz="4" w:space="0" w:color="auto"/>
            </w:tcBorders>
          </w:tcPr>
          <w:p w:rsidR="003E022D" w:rsidRDefault="003E022D">
            <w:pPr>
              <w:rPr>
                <w:rFonts w:cstheme="minorHAnsi"/>
                <w:noProof/>
              </w:rPr>
            </w:pPr>
          </w:p>
        </w:tc>
        <w:tc>
          <w:tcPr>
            <w:tcW w:w="1763" w:type="pct"/>
            <w:tcBorders>
              <w:bottom w:val="single" w:sz="4" w:space="0" w:color="auto"/>
            </w:tcBorders>
          </w:tcPr>
          <w:p w:rsidR="003E022D" w:rsidRDefault="007D19D6">
            <w:pPr>
              <w:rPr>
                <w:rFonts w:cstheme="minorHAnsi"/>
                <w:noProof/>
              </w:rPr>
            </w:pPr>
            <w:r>
              <w:rPr>
                <w:noProof/>
              </w:rPr>
              <w:t xml:space="preserve">Atlikušais izciešamais soda laiks: </w:t>
            </w:r>
          </w:p>
        </w:tc>
        <w:tc>
          <w:tcPr>
            <w:tcW w:w="2969" w:type="pct"/>
            <w:tcBorders>
              <w:top w:val="single" w:sz="12" w:space="0" w:color="FFFFFF" w:themeColor="background1"/>
              <w:bottom w:val="single" w:sz="4" w:space="0" w:color="auto"/>
            </w:tcBorders>
            <w:shd w:val="clear" w:color="auto" w:fill="F2F2F2" w:themeFill="background1" w:themeFillShade="F2"/>
          </w:tcPr>
          <w:p w:rsidR="003E022D" w:rsidRDefault="003E022D">
            <w:pPr>
              <w:rPr>
                <w:rFonts w:cstheme="minorHAnsi"/>
                <w:noProof/>
              </w:rPr>
            </w:pPr>
          </w:p>
        </w:tc>
      </w:tr>
    </w:tbl>
    <w:p w:rsidR="003E022D" w:rsidRDefault="003E022D">
      <w:pPr>
        <w:rPr>
          <w:rFonts w:cstheme="minorHAnsi"/>
          <w:noProof/>
        </w:rPr>
      </w:pPr>
    </w:p>
    <w:p w:rsidR="003E022D" w:rsidRDefault="003E022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118"/>
        <w:gridCol w:w="32"/>
        <w:gridCol w:w="8990"/>
      </w:tblGrid>
      <w:tr w:rsidR="003E022D">
        <w:tc>
          <w:tcPr>
            <w:tcW w:w="74" w:type="pct"/>
            <w:tcBorders>
              <w:top w:val="single" w:sz="4" w:space="0" w:color="auto"/>
              <w:bottom w:val="nil"/>
            </w:tcBorders>
          </w:tcPr>
          <w:p w:rsidR="003E022D" w:rsidRDefault="007D19D6">
            <w:pPr>
              <w:rPr>
                <w:rFonts w:cstheme="minorHAnsi"/>
                <w:noProof/>
              </w:rPr>
            </w:pPr>
            <w:r>
              <w:rPr>
                <w:noProof/>
              </w:rPr>
              <w:t xml:space="preserve"> </w:t>
            </w:r>
          </w:p>
        </w:tc>
        <w:tc>
          <w:tcPr>
            <w:tcW w:w="4926" w:type="pct"/>
            <w:gridSpan w:val="2"/>
            <w:tcBorders>
              <w:top w:val="single" w:sz="4" w:space="0" w:color="auto"/>
              <w:bottom w:val="nil"/>
            </w:tcBorders>
          </w:tcPr>
          <w:p w:rsidR="003E022D" w:rsidRDefault="007D19D6">
            <w:pPr>
              <w:rPr>
                <w:rFonts w:cstheme="minorHAnsi"/>
                <w:noProof/>
              </w:rPr>
            </w:pPr>
            <w:r>
              <w:rPr>
                <w:noProof/>
              </w:rPr>
              <w:t xml:space="preserve">d) </w:t>
            </w:r>
            <w:r>
              <w:rPr>
                <w:noProof/>
              </w:rPr>
              <w:t>Norādiet, vai attiecīgā persona personiski piedalījās tās lietas izskatīšanā, kurā pieņemts nolēmums:</w:t>
            </w:r>
          </w:p>
        </w:tc>
      </w:tr>
      <w:tr w:rsidR="003E022D">
        <w:trPr>
          <w:trHeight w:val="506"/>
        </w:trPr>
        <w:tc>
          <w:tcPr>
            <w:tcW w:w="98" w:type="pct"/>
            <w:gridSpan w:val="2"/>
            <w:tcBorders>
              <w:top w:val="nil"/>
              <w:bottom w:val="single" w:sz="4" w:space="0" w:color="auto"/>
            </w:tcBorders>
          </w:tcPr>
          <w:p w:rsidR="003E022D" w:rsidRDefault="003E022D">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3E022D" w:rsidRDefault="007D19D6">
            <w:pPr>
              <w:pStyle w:val="Point0"/>
              <w:rPr>
                <w:rFonts w:asciiTheme="minorHAnsi" w:hAnsiTheme="minorHAnsi" w:cstheme="minorHAnsi"/>
                <w:noProof/>
              </w:rPr>
            </w:pPr>
            <w:r>
              <w:rPr>
                <w:noProof/>
              </w:rPr>
              <w:t>1.</w:t>
            </w:r>
            <w:r>
              <w:rPr>
                <w:noProof/>
              </w:rPr>
              <w:tab/>
            </w:r>
            <w:sdt>
              <w:sdtPr>
                <w:rPr>
                  <w:rFonts w:asciiTheme="minorHAnsi" w:hAnsiTheme="minorHAnsi" w:cstheme="minorHAnsi"/>
                  <w:noProof/>
                </w:rPr>
                <w:id w:val="123820724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noProof/>
              </w:rPr>
              <w:t xml:space="preserve"> Jā, persona personiski piedalījās tās lietas izskatīšanā, kurā pieņemts nolēmums.</w:t>
            </w:r>
          </w:p>
        </w:tc>
      </w:tr>
      <w:tr w:rsidR="003E022D">
        <w:tc>
          <w:tcPr>
            <w:tcW w:w="98" w:type="pct"/>
            <w:gridSpan w:val="2"/>
            <w:tcBorders>
              <w:top w:val="nil"/>
              <w:bottom w:val="single" w:sz="4" w:space="0" w:color="auto"/>
            </w:tcBorders>
          </w:tcPr>
          <w:p w:rsidR="003E022D" w:rsidRDefault="003E022D">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3E022D" w:rsidRDefault="007D19D6">
            <w:pPr>
              <w:pStyle w:val="Point0"/>
              <w:rPr>
                <w:rFonts w:asciiTheme="minorHAnsi" w:hAnsiTheme="minorHAnsi" w:cstheme="minorHAnsi"/>
                <w:noProof/>
              </w:rPr>
            </w:pPr>
            <w:r>
              <w:rPr>
                <w:noProof/>
              </w:rPr>
              <w:t>2.</w:t>
            </w:r>
            <w:r>
              <w:rPr>
                <w:noProof/>
              </w:rPr>
              <w:tab/>
            </w:r>
            <w:sdt>
              <w:sdtPr>
                <w:rPr>
                  <w:rFonts w:asciiTheme="minorHAnsi" w:hAnsiTheme="minorHAnsi" w:cstheme="minorHAnsi"/>
                  <w:noProof/>
                </w:rPr>
                <w:id w:val="68671520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noProof/>
              </w:rPr>
              <w:t xml:space="preserve"> Nē, persona personiski nepiedalījās tās lietas izskatīšanā, kurā pieņemts nolēmums.</w:t>
            </w:r>
            <w:r>
              <w:rPr>
                <w:rFonts w:asciiTheme="minorHAnsi" w:hAnsiTheme="minorHAnsi"/>
                <w:noProof/>
              </w:rPr>
              <w:t xml:space="preserve"> </w:t>
            </w:r>
          </w:p>
          <w:p w:rsidR="003E022D" w:rsidRDefault="007D19D6">
            <w:pPr>
              <w:pStyle w:val="Point0"/>
              <w:rPr>
                <w:rFonts w:asciiTheme="minorHAnsi" w:hAnsiTheme="minorHAnsi" w:cstheme="minorHAnsi"/>
                <w:noProof/>
              </w:rPr>
            </w:pPr>
            <w:r>
              <w:rPr>
                <w:rFonts w:asciiTheme="minorHAnsi" w:hAnsiTheme="minorHAnsi"/>
                <w:noProof/>
              </w:rPr>
              <w:t>3.</w:t>
            </w:r>
            <w:r>
              <w:rPr>
                <w:noProof/>
              </w:rPr>
              <w:tab/>
            </w:r>
            <w:r>
              <w:rPr>
                <w:rFonts w:asciiTheme="minorHAnsi" w:hAnsiTheme="minorHAnsi"/>
                <w:noProof/>
              </w:rPr>
              <w:t>Ja veikta atzīme lodziņā 2. punktā, lūdzu, apstipriniet, ka pastāv viens no šādiem apstākļiem:</w:t>
            </w:r>
          </w:p>
        </w:tc>
      </w:tr>
      <w:tr w:rsidR="003E022D">
        <w:tc>
          <w:tcPr>
            <w:tcW w:w="98" w:type="pct"/>
            <w:gridSpan w:val="2"/>
            <w:tcBorders>
              <w:top w:val="nil"/>
              <w:bottom w:val="single" w:sz="4" w:space="0" w:color="auto"/>
            </w:tcBorders>
          </w:tcPr>
          <w:p w:rsidR="003E022D" w:rsidRDefault="003E022D">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3E022D" w:rsidRDefault="007D19D6">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747804069"/>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3.1.a</w:t>
            </w:r>
            <w:r>
              <w:rPr>
                <w:noProof/>
              </w:rPr>
              <w:tab/>
            </w:r>
            <w:r>
              <w:rPr>
                <w:rFonts w:asciiTheme="minorHAnsi" w:hAnsiTheme="minorHAnsi"/>
                <w:noProof/>
                <w:sz w:val="22"/>
                <w:szCs w:val="22"/>
              </w:rPr>
              <w:t>personai .. (diena/mēnesis/gads) tika izsniegta pavēste, un</w:t>
            </w:r>
            <w:r>
              <w:rPr>
                <w:rFonts w:asciiTheme="minorHAnsi" w:hAnsiTheme="minorHAnsi"/>
                <w:noProof/>
                <w:sz w:val="22"/>
                <w:szCs w:val="22"/>
              </w:rPr>
              <w:t xml:space="preserve"> tādējādi attiecīgā persona tika informēta par tās lietas izskatīšanas plānoto dienu un vietu, kurā pieņemts nolēmums, un tika informēta par to, ka nolēmums var tikt pieņemts aizmuguriski;</w:t>
            </w:r>
          </w:p>
          <w:p w:rsidR="003E022D" w:rsidRDefault="007D19D6">
            <w:pPr>
              <w:pStyle w:val="Point1"/>
              <w:rPr>
                <w:rFonts w:asciiTheme="minorHAnsi" w:hAnsiTheme="minorHAnsi" w:cstheme="minorHAnsi"/>
                <w:noProof/>
              </w:rPr>
            </w:pPr>
            <w:r>
              <w:rPr>
                <w:rFonts w:asciiTheme="minorHAnsi" w:hAnsiTheme="minorHAnsi"/>
                <w:noProof/>
              </w:rPr>
              <w:t>VAI</w:t>
            </w:r>
          </w:p>
          <w:p w:rsidR="003E022D" w:rsidRDefault="007D19D6">
            <w:pPr>
              <w:pStyle w:val="Point1"/>
              <w:pageBreakBefore/>
              <w:rPr>
                <w:rFonts w:asciiTheme="minorHAnsi" w:hAnsiTheme="minorHAnsi" w:cstheme="minorHAnsi"/>
                <w:noProof/>
              </w:rPr>
            </w:pPr>
            <w:sdt>
              <w:sdtPr>
                <w:rPr>
                  <w:rFonts w:asciiTheme="minorHAnsi" w:hAnsiTheme="minorHAnsi" w:cstheme="minorHAnsi"/>
                  <w:noProof/>
                </w:rPr>
                <w:id w:val="-1712340167"/>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3.1.b</w:t>
            </w:r>
            <w:r>
              <w:rPr>
                <w:noProof/>
              </w:rPr>
              <w:tab/>
            </w:r>
            <w:r>
              <w:rPr>
                <w:rFonts w:asciiTheme="minorHAnsi" w:hAnsiTheme="minorHAnsi"/>
                <w:noProof/>
              </w:rPr>
              <w:t>personai pavēste netika izsniegta, bet attiecīgā pers</w:t>
            </w:r>
            <w:r>
              <w:rPr>
                <w:rFonts w:asciiTheme="minorHAnsi" w:hAnsiTheme="minorHAnsi"/>
                <w:noProof/>
              </w:rPr>
              <w:t xml:space="preserve">ona ar citiem līdzekļiem saņēma oficiālu informāciju par tās lietas izskatīšanas plānoto dienu un vietu, kurā pieņemts spriedums, tādā veidā, ka ir nepārprotami konstatēts, ka attiecīgā persona zināja par paredzēto lietas izskatīšanu un bija informēta par </w:t>
            </w:r>
            <w:r>
              <w:rPr>
                <w:rFonts w:asciiTheme="minorHAnsi" w:hAnsiTheme="minorHAnsi"/>
                <w:noProof/>
              </w:rPr>
              <w:t xml:space="preserve">to, ka nolēmums var tikt pieņemts aizmuguriski; </w:t>
            </w:r>
          </w:p>
          <w:p w:rsidR="003E022D" w:rsidRDefault="007D19D6">
            <w:pPr>
              <w:pStyle w:val="Point1"/>
              <w:pageBreakBefore/>
              <w:rPr>
                <w:rFonts w:asciiTheme="minorHAnsi" w:hAnsiTheme="minorHAnsi" w:cstheme="minorHAnsi"/>
                <w:noProof/>
              </w:rPr>
            </w:pPr>
            <w:r>
              <w:rPr>
                <w:rFonts w:asciiTheme="minorHAnsi" w:hAnsiTheme="minorHAnsi"/>
                <w:noProof/>
              </w:rPr>
              <w:t>VAI</w:t>
            </w:r>
          </w:p>
          <w:p w:rsidR="003E022D" w:rsidRDefault="007D19D6">
            <w:pPr>
              <w:pStyle w:val="PointDouble1"/>
              <w:rPr>
                <w:rFonts w:asciiTheme="minorHAnsi" w:hAnsiTheme="minorHAnsi" w:cstheme="minorHAnsi"/>
                <w:noProof/>
                <w:sz w:val="22"/>
                <w:szCs w:val="22"/>
              </w:rPr>
            </w:pPr>
            <w:sdt>
              <w:sdtPr>
                <w:rPr>
                  <w:rFonts w:asciiTheme="minorHAnsi" w:hAnsiTheme="minorHAnsi" w:cstheme="minorHAnsi"/>
                  <w:noProof/>
                  <w:szCs w:val="22"/>
                </w:rPr>
                <w:id w:val="1516264870"/>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3.2.</w:t>
            </w:r>
            <w:r>
              <w:rPr>
                <w:noProof/>
              </w:rPr>
              <w:tab/>
            </w:r>
            <w:r>
              <w:rPr>
                <w:rFonts w:asciiTheme="minorHAnsi" w:hAnsiTheme="minorHAnsi"/>
                <w:noProof/>
                <w:sz w:val="22"/>
                <w:szCs w:val="22"/>
              </w:rPr>
              <w:t>zinādama par paredzēto lietas izskatīšanu, persona bija pilnvarojusi attiecīgās personas vai valsts ieceltu juriskonsultu aizstāvēt viņu lietas izskatīšanā, un minētais juriskonsults patiešām ai</w:t>
            </w:r>
            <w:r>
              <w:rPr>
                <w:rFonts w:asciiTheme="minorHAnsi" w:hAnsiTheme="minorHAnsi"/>
                <w:noProof/>
                <w:sz w:val="22"/>
                <w:szCs w:val="22"/>
              </w:rPr>
              <w:t>zstāvēja attiecīgo personu minētajā lietas izskatīšanā;</w:t>
            </w:r>
          </w:p>
          <w:p w:rsidR="003E022D" w:rsidRDefault="007D19D6">
            <w:pPr>
              <w:pStyle w:val="PointDouble1"/>
              <w:rPr>
                <w:rFonts w:asciiTheme="minorHAnsi" w:hAnsiTheme="minorHAnsi" w:cstheme="minorHAnsi"/>
                <w:noProof/>
                <w:sz w:val="22"/>
                <w:szCs w:val="22"/>
              </w:rPr>
            </w:pPr>
            <w:r>
              <w:rPr>
                <w:rFonts w:asciiTheme="minorHAnsi" w:hAnsiTheme="minorHAnsi"/>
                <w:noProof/>
                <w:sz w:val="22"/>
                <w:szCs w:val="22"/>
              </w:rPr>
              <w:t>VAI</w:t>
            </w:r>
          </w:p>
          <w:p w:rsidR="003E022D" w:rsidRDefault="007D19D6">
            <w:pPr>
              <w:pStyle w:val="PointDouble1"/>
              <w:rPr>
                <w:rFonts w:asciiTheme="minorHAnsi" w:hAnsiTheme="minorHAnsi" w:cstheme="minorHAnsi"/>
                <w:noProof/>
                <w:sz w:val="22"/>
                <w:szCs w:val="22"/>
              </w:rPr>
            </w:pPr>
            <w:sdt>
              <w:sdtPr>
                <w:rPr>
                  <w:rFonts w:asciiTheme="minorHAnsi" w:hAnsiTheme="minorHAnsi" w:cstheme="minorHAnsi"/>
                  <w:noProof/>
                  <w:szCs w:val="22"/>
                </w:rPr>
                <w:id w:val="1058747437"/>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3.3.</w:t>
            </w:r>
            <w:r>
              <w:rPr>
                <w:noProof/>
              </w:rPr>
              <w:tab/>
            </w:r>
            <w:r>
              <w:rPr>
                <w:rFonts w:asciiTheme="minorHAnsi" w:hAnsiTheme="minorHAnsi"/>
                <w:noProof/>
                <w:sz w:val="22"/>
                <w:szCs w:val="22"/>
              </w:rPr>
              <w:t>personai nolēmums tika izsniegts ... (diena/mēnesis/gads), un persona tika skaidri informēta par tiesībām uz lietas atkārtotu izskatīšanu vai pārsūdzību, kurā tai ir tiesības piedalīties un kura dod iespēju lietu, tostarp jaunus pierādījumus, atkārtoti izs</w:t>
            </w:r>
            <w:r>
              <w:rPr>
                <w:rFonts w:asciiTheme="minorHAnsi" w:hAnsiTheme="minorHAnsi"/>
                <w:noProof/>
                <w:sz w:val="22"/>
                <w:szCs w:val="22"/>
              </w:rPr>
              <w:t xml:space="preserve">katīt pēc būtības, un kuras rezultātā sākotnējais nolēmums varētu tikt atcelts, un </w:t>
            </w:r>
          </w:p>
          <w:p w:rsidR="003E022D" w:rsidRDefault="007D19D6">
            <w:pPr>
              <w:ind w:left="2165" w:hanging="567"/>
              <w:rPr>
                <w:rFonts w:cstheme="minorHAnsi"/>
                <w:noProof/>
              </w:rPr>
            </w:pPr>
            <w:sdt>
              <w:sdtPr>
                <w:rPr>
                  <w:rFonts w:cstheme="minorHAnsi"/>
                  <w:noProof/>
                </w:rPr>
                <w:id w:val="191095401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persona ir skaidri paziņojusi, ka neapstrīd nolēmumu;</w:t>
            </w:r>
          </w:p>
          <w:p w:rsidR="003E022D" w:rsidRDefault="003E022D">
            <w:pPr>
              <w:ind w:left="2165" w:hanging="567"/>
              <w:rPr>
                <w:rFonts w:cstheme="minorHAnsi"/>
                <w:noProof/>
              </w:rPr>
            </w:pPr>
          </w:p>
          <w:p w:rsidR="003E022D" w:rsidRDefault="007D19D6">
            <w:pPr>
              <w:ind w:left="2165" w:hanging="567"/>
              <w:rPr>
                <w:rFonts w:cstheme="minorHAnsi"/>
                <w:noProof/>
              </w:rPr>
            </w:pPr>
            <w:r>
              <w:rPr>
                <w:noProof/>
              </w:rPr>
              <w:t>VAI</w:t>
            </w:r>
          </w:p>
          <w:p w:rsidR="003E022D" w:rsidRDefault="003E022D">
            <w:pPr>
              <w:ind w:left="720" w:firstLine="878"/>
              <w:rPr>
                <w:rFonts w:cstheme="minorHAnsi"/>
                <w:noProof/>
              </w:rPr>
            </w:pPr>
          </w:p>
          <w:p w:rsidR="003E022D" w:rsidRDefault="007D19D6">
            <w:pPr>
              <w:ind w:left="2165" w:hanging="567"/>
              <w:rPr>
                <w:rFonts w:cstheme="minorHAnsi"/>
                <w:noProof/>
              </w:rPr>
            </w:pPr>
            <w:sdt>
              <w:sdtPr>
                <w:rPr>
                  <w:rFonts w:cstheme="minorHAnsi"/>
                  <w:noProof/>
                </w:rPr>
                <w:id w:val="-207627500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persona attiecīgajā termiņā nav lūgusi lietas atkārtotu izskatīšanu vai pārsūdzību;</w:t>
            </w:r>
          </w:p>
          <w:p w:rsidR="003E022D" w:rsidRDefault="007D19D6">
            <w:pPr>
              <w:pStyle w:val="PointDouble1"/>
              <w:rPr>
                <w:rFonts w:asciiTheme="minorHAnsi" w:hAnsiTheme="minorHAnsi" w:cstheme="minorHAnsi"/>
                <w:noProof/>
                <w:sz w:val="22"/>
                <w:szCs w:val="22"/>
              </w:rPr>
            </w:pPr>
            <w:r>
              <w:rPr>
                <w:rFonts w:asciiTheme="minorHAnsi" w:hAnsiTheme="minorHAnsi"/>
                <w:noProof/>
                <w:sz w:val="22"/>
                <w:szCs w:val="22"/>
              </w:rPr>
              <w:t>VAI</w:t>
            </w:r>
          </w:p>
          <w:p w:rsidR="003E022D" w:rsidRDefault="007D19D6">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9512429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3.4.</w:t>
            </w:r>
            <w:r>
              <w:rPr>
                <w:noProof/>
              </w:rPr>
              <w:tab/>
            </w:r>
            <w:r>
              <w:rPr>
                <w:rFonts w:asciiTheme="minorHAnsi" w:hAnsiTheme="minorHAnsi"/>
                <w:noProof/>
                <w:sz w:val="22"/>
                <w:szCs w:val="22"/>
              </w:rPr>
              <w:t>nolēmu</w:t>
            </w:r>
            <w:r>
              <w:rPr>
                <w:rFonts w:asciiTheme="minorHAnsi" w:hAnsiTheme="minorHAnsi"/>
                <w:noProof/>
                <w:sz w:val="22"/>
                <w:szCs w:val="22"/>
              </w:rPr>
              <w:t xml:space="preserve">ms personai netika izsniegts, bet: </w:t>
            </w:r>
          </w:p>
          <w:p w:rsidR="003E022D" w:rsidRDefault="007D19D6">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nolēmums personai tiks izsniegts tūlīt pēc nodošanas, un</w:t>
            </w:r>
          </w:p>
          <w:p w:rsidR="003E022D" w:rsidRDefault="007D19D6">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 xml:space="preserve">izsniedzot nolēmumu, persona tiks skaidri informēta par tās tiesībām uz lietas atkārtotu izskatīšanu vai pārsūdzību, kurā tai ir tiesības piedalīties un kura dod </w:t>
            </w:r>
            <w:r>
              <w:rPr>
                <w:rFonts w:asciiTheme="minorHAnsi" w:hAnsiTheme="minorHAnsi"/>
                <w:noProof/>
                <w:sz w:val="22"/>
                <w:szCs w:val="22"/>
              </w:rPr>
              <w:t>iespēju lietu, tostarp jaunus pierādījumus, atkārtoti izskatīt pēc būtības, un kuras rezultātā sākotnējais nolēmums varētu tikt atcelts, un</w:t>
            </w:r>
          </w:p>
          <w:p w:rsidR="003E022D" w:rsidRDefault="007D19D6">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persona tiks informēta par termiņu, kādā jāpieprasa šāda lietas atkārtota izskatīšana vai pārsūdzība un kurš ir … di</w:t>
            </w:r>
            <w:r>
              <w:rPr>
                <w:rFonts w:asciiTheme="minorHAnsi" w:hAnsiTheme="minorHAnsi"/>
                <w:noProof/>
                <w:sz w:val="22"/>
                <w:szCs w:val="22"/>
              </w:rPr>
              <w:t>enas.</w:t>
            </w:r>
          </w:p>
          <w:p w:rsidR="003E022D" w:rsidRDefault="007D19D6">
            <w:pPr>
              <w:pStyle w:val="Point0"/>
              <w:rPr>
                <w:rFonts w:asciiTheme="minorHAnsi" w:hAnsiTheme="minorHAnsi" w:cstheme="minorHAnsi"/>
                <w:noProof/>
              </w:rPr>
            </w:pPr>
            <w:r>
              <w:rPr>
                <w:rFonts w:asciiTheme="minorHAnsi" w:hAnsiTheme="minorHAnsi"/>
                <w:noProof/>
              </w:rPr>
              <w:t>4.</w:t>
            </w:r>
            <w:r>
              <w:rPr>
                <w:noProof/>
              </w:rPr>
              <w:tab/>
            </w:r>
            <w:r>
              <w:rPr>
                <w:rFonts w:asciiTheme="minorHAnsi" w:hAnsiTheme="minorHAnsi"/>
                <w:noProof/>
              </w:rPr>
              <w:t>Ja veikta atzīme lodziņā 3.1.b, 3.2. vai 3.3. punktā, lūdzu, sniedziet informāciju par to, kā ir izpildīts attiecīgais nosacījums.</w:t>
            </w:r>
          </w:p>
          <w:p w:rsidR="003E022D" w:rsidRDefault="007D19D6">
            <w:pPr>
              <w:pStyle w:val="Text1"/>
              <w:rPr>
                <w:rFonts w:asciiTheme="minorHAnsi" w:hAnsiTheme="minorHAnsi" w:cstheme="minorHAnsi"/>
                <w:noProof/>
                <w:sz w:val="22"/>
                <w:szCs w:val="22"/>
              </w:rPr>
            </w:pPr>
            <w:r>
              <w:rPr>
                <w:rFonts w:asciiTheme="minorHAnsi" w:hAnsiTheme="minorHAnsi"/>
                <w:noProof/>
                <w:sz w:val="22"/>
                <w:szCs w:val="22"/>
              </w:rPr>
              <w:t>………………………………………………………………………………………………………………………………………………………………………………………………</w:t>
            </w:r>
          </w:p>
        </w:tc>
      </w:tr>
    </w:tbl>
    <w:p w:rsidR="003E022D" w:rsidRDefault="003E022D">
      <w:pPr>
        <w:rPr>
          <w:rFonts w:cstheme="minorHAnsi"/>
          <w:noProof/>
        </w:rPr>
      </w:pPr>
    </w:p>
    <w:p w:rsidR="003E022D" w:rsidRDefault="003E022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3146"/>
        <w:gridCol w:w="1144"/>
        <w:gridCol w:w="4283"/>
      </w:tblGrid>
      <w:tr w:rsidR="003E022D">
        <w:tc>
          <w:tcPr>
            <w:tcW w:w="268" w:type="pct"/>
            <w:tcBorders>
              <w:top w:val="single" w:sz="4" w:space="0" w:color="auto"/>
              <w:bottom w:val="nil"/>
            </w:tcBorders>
          </w:tcPr>
          <w:p w:rsidR="003E022D" w:rsidRDefault="007D19D6">
            <w:pPr>
              <w:rPr>
                <w:rFonts w:cstheme="minorHAnsi"/>
                <w:noProof/>
              </w:rPr>
            </w:pPr>
            <w:r>
              <w:rPr>
                <w:noProof/>
              </w:rPr>
              <w:t>e)</w:t>
            </w:r>
          </w:p>
        </w:tc>
        <w:tc>
          <w:tcPr>
            <w:tcW w:w="4732" w:type="pct"/>
            <w:gridSpan w:val="4"/>
            <w:tcBorders>
              <w:top w:val="single" w:sz="4" w:space="0" w:color="auto"/>
              <w:bottom w:val="nil"/>
            </w:tcBorders>
          </w:tcPr>
          <w:p w:rsidR="003E022D" w:rsidRDefault="007D19D6">
            <w:pPr>
              <w:rPr>
                <w:rFonts w:cstheme="minorHAnsi"/>
                <w:noProof/>
              </w:rPr>
            </w:pPr>
            <w:r>
              <w:rPr>
                <w:noProof/>
              </w:rPr>
              <w:t>Nodarījumi:</w:t>
            </w:r>
          </w:p>
        </w:tc>
      </w:tr>
      <w:tr w:rsidR="003E022D">
        <w:tc>
          <w:tcPr>
            <w:tcW w:w="268" w:type="pct"/>
            <w:tcBorders>
              <w:top w:val="nil"/>
              <w:bottom w:val="nil"/>
            </w:tcBorders>
          </w:tcPr>
          <w:p w:rsidR="003E022D" w:rsidRDefault="003E022D">
            <w:pPr>
              <w:rPr>
                <w:rFonts w:cstheme="minorHAnsi"/>
                <w:noProof/>
              </w:rPr>
            </w:pPr>
          </w:p>
        </w:tc>
        <w:tc>
          <w:tcPr>
            <w:tcW w:w="1763" w:type="pct"/>
            <w:gridSpan w:val="2"/>
            <w:tcBorders>
              <w:top w:val="nil"/>
              <w:bottom w:val="nil"/>
            </w:tcBorders>
          </w:tcPr>
          <w:p w:rsidR="003E022D" w:rsidRDefault="007D19D6">
            <w:pPr>
              <w:rPr>
                <w:rFonts w:cstheme="minorHAnsi"/>
                <w:noProof/>
              </w:rPr>
            </w:pPr>
            <w:r>
              <w:rPr>
                <w:noProof/>
              </w:rPr>
              <w:t xml:space="preserve">Šis orderis kopā </w:t>
            </w:r>
            <w:r>
              <w:rPr>
                <w:noProof/>
              </w:rPr>
              <w:t>attiecas uz</w:t>
            </w:r>
          </w:p>
        </w:tc>
        <w:tc>
          <w:tcPr>
            <w:tcW w:w="626" w:type="pct"/>
            <w:tcBorders>
              <w:top w:val="nil"/>
              <w:bottom w:val="nil"/>
            </w:tcBorders>
            <w:shd w:val="clear" w:color="auto" w:fill="F2F2F2" w:themeFill="background1" w:themeFillShade="F2"/>
          </w:tcPr>
          <w:p w:rsidR="003E022D" w:rsidRDefault="003E022D">
            <w:pPr>
              <w:ind w:left="284" w:hanging="284"/>
              <w:jc w:val="center"/>
              <w:rPr>
                <w:rFonts w:cstheme="minorHAnsi"/>
                <w:noProof/>
              </w:rPr>
            </w:pPr>
          </w:p>
        </w:tc>
        <w:tc>
          <w:tcPr>
            <w:tcW w:w="2343" w:type="pct"/>
            <w:tcBorders>
              <w:top w:val="nil"/>
              <w:bottom w:val="nil"/>
            </w:tcBorders>
          </w:tcPr>
          <w:p w:rsidR="003E022D" w:rsidRDefault="007D19D6">
            <w:pPr>
              <w:ind w:left="284" w:hanging="284"/>
              <w:rPr>
                <w:rFonts w:cstheme="minorHAnsi"/>
                <w:noProof/>
              </w:rPr>
            </w:pPr>
            <w:r>
              <w:rPr>
                <w:noProof/>
              </w:rPr>
              <w:t>nodarījumiem.</w:t>
            </w:r>
          </w:p>
        </w:tc>
      </w:tr>
      <w:tr w:rsidR="003E022D">
        <w:tc>
          <w:tcPr>
            <w:tcW w:w="268" w:type="pct"/>
            <w:tcBorders>
              <w:top w:val="nil"/>
              <w:bottom w:val="nil"/>
            </w:tcBorders>
          </w:tcPr>
          <w:p w:rsidR="003E022D" w:rsidRDefault="003E022D">
            <w:pPr>
              <w:rPr>
                <w:rFonts w:cstheme="minorHAnsi"/>
                <w:noProof/>
              </w:rPr>
            </w:pPr>
          </w:p>
        </w:tc>
        <w:tc>
          <w:tcPr>
            <w:tcW w:w="4732" w:type="pct"/>
            <w:gridSpan w:val="4"/>
            <w:tcBorders>
              <w:top w:val="nil"/>
              <w:bottom w:val="nil"/>
            </w:tcBorders>
          </w:tcPr>
          <w:p w:rsidR="003E022D" w:rsidRDefault="007D19D6">
            <w:pPr>
              <w:rPr>
                <w:rFonts w:cstheme="minorHAnsi"/>
                <w:noProof/>
              </w:rPr>
            </w:pPr>
            <w:r>
              <w:rPr>
                <w:noProof/>
              </w:rPr>
              <w:t>To apstākļu apraksts, kādos nodarījums(-i) izdarīts(-i), tostarp laiks, vieta un pieprasītās personas līdzdalības pakāpe nodarījumā(-os):</w:t>
            </w:r>
          </w:p>
        </w:tc>
      </w:tr>
      <w:tr w:rsidR="003E022D">
        <w:tc>
          <w:tcPr>
            <w:tcW w:w="268" w:type="pct"/>
            <w:tcBorders>
              <w:top w:val="nil"/>
              <w:bottom w:val="nil"/>
            </w:tcBorders>
          </w:tcPr>
          <w:p w:rsidR="003E022D" w:rsidRDefault="003E022D">
            <w:pPr>
              <w:rPr>
                <w:rFonts w:cstheme="minorHAnsi"/>
                <w:noProof/>
              </w:rPr>
            </w:pPr>
          </w:p>
        </w:tc>
        <w:tc>
          <w:tcPr>
            <w:tcW w:w="4732" w:type="pct"/>
            <w:gridSpan w:val="4"/>
            <w:tcBorders>
              <w:top w:val="nil"/>
              <w:bottom w:val="nil"/>
            </w:tcBorders>
            <w:shd w:val="clear" w:color="auto" w:fill="F2F2F2" w:themeFill="background1" w:themeFillShade="F2"/>
          </w:tcPr>
          <w:p w:rsidR="003E022D" w:rsidRDefault="003E022D">
            <w:pPr>
              <w:rPr>
                <w:rFonts w:cstheme="minorHAnsi"/>
                <w:noProof/>
              </w:rPr>
            </w:pPr>
          </w:p>
        </w:tc>
      </w:tr>
      <w:tr w:rsidR="003E022D">
        <w:tc>
          <w:tcPr>
            <w:tcW w:w="268" w:type="pct"/>
            <w:tcBorders>
              <w:top w:val="nil"/>
              <w:bottom w:val="nil"/>
            </w:tcBorders>
          </w:tcPr>
          <w:p w:rsidR="003E022D" w:rsidRDefault="003E022D">
            <w:pPr>
              <w:rPr>
                <w:rFonts w:cstheme="minorHAnsi"/>
                <w:noProof/>
              </w:rPr>
            </w:pPr>
          </w:p>
        </w:tc>
        <w:tc>
          <w:tcPr>
            <w:tcW w:w="4732" w:type="pct"/>
            <w:gridSpan w:val="4"/>
            <w:tcBorders>
              <w:top w:val="nil"/>
              <w:bottom w:val="nil"/>
            </w:tcBorders>
          </w:tcPr>
          <w:p w:rsidR="003E022D" w:rsidRDefault="007D19D6">
            <w:pPr>
              <w:rPr>
                <w:rFonts w:cstheme="minorHAnsi"/>
                <w:noProof/>
              </w:rPr>
            </w:pPr>
            <w:r>
              <w:rPr>
                <w:noProof/>
              </w:rPr>
              <w:t xml:space="preserve">Nodarījuma(-u) veids un juridiskā kvalifikācija, un piemērojamā tiesību </w:t>
            </w:r>
            <w:r>
              <w:rPr>
                <w:noProof/>
              </w:rPr>
              <w:t>norma/kodekss:</w:t>
            </w:r>
          </w:p>
        </w:tc>
      </w:tr>
      <w:tr w:rsidR="003E022D">
        <w:tc>
          <w:tcPr>
            <w:tcW w:w="268" w:type="pct"/>
            <w:tcBorders>
              <w:top w:val="nil"/>
              <w:bottom w:val="nil"/>
            </w:tcBorders>
          </w:tcPr>
          <w:p w:rsidR="003E022D" w:rsidRDefault="003E022D">
            <w:pPr>
              <w:rPr>
                <w:rFonts w:cstheme="minorHAnsi"/>
                <w:noProof/>
              </w:rPr>
            </w:pPr>
          </w:p>
        </w:tc>
        <w:tc>
          <w:tcPr>
            <w:tcW w:w="4732" w:type="pct"/>
            <w:gridSpan w:val="4"/>
            <w:tcBorders>
              <w:top w:val="nil"/>
              <w:bottom w:val="nil"/>
            </w:tcBorders>
            <w:shd w:val="clear" w:color="auto" w:fill="F2F2F2" w:themeFill="background1" w:themeFillShade="F2"/>
          </w:tcPr>
          <w:p w:rsidR="003E022D" w:rsidRDefault="003E022D">
            <w:pPr>
              <w:rPr>
                <w:rFonts w:cstheme="minorHAnsi"/>
                <w:noProof/>
              </w:rPr>
            </w:pPr>
          </w:p>
        </w:tc>
      </w:tr>
      <w:tr w:rsidR="003E022D">
        <w:tc>
          <w:tcPr>
            <w:tcW w:w="268" w:type="pct"/>
            <w:tcBorders>
              <w:top w:val="nil"/>
              <w:bottom w:val="nil"/>
            </w:tcBorders>
          </w:tcPr>
          <w:p w:rsidR="003E022D" w:rsidRDefault="003E022D">
            <w:pPr>
              <w:rPr>
                <w:rFonts w:cstheme="minorHAnsi"/>
                <w:noProof/>
              </w:rPr>
            </w:pPr>
          </w:p>
        </w:tc>
        <w:tc>
          <w:tcPr>
            <w:tcW w:w="4732" w:type="pct"/>
            <w:gridSpan w:val="4"/>
            <w:tcBorders>
              <w:top w:val="nil"/>
              <w:bottom w:val="nil"/>
            </w:tcBorders>
          </w:tcPr>
          <w:p w:rsidR="003E022D" w:rsidRDefault="003E022D">
            <w:pPr>
              <w:rPr>
                <w:rFonts w:cstheme="minorHAnsi"/>
                <w:noProof/>
              </w:rPr>
            </w:pPr>
          </w:p>
        </w:tc>
      </w:tr>
      <w:tr w:rsidR="003E022D">
        <w:tc>
          <w:tcPr>
            <w:tcW w:w="268" w:type="pct"/>
            <w:tcBorders>
              <w:top w:val="nil"/>
              <w:bottom w:val="nil"/>
            </w:tcBorders>
          </w:tcPr>
          <w:p w:rsidR="003E022D" w:rsidRDefault="007D19D6">
            <w:pPr>
              <w:jc w:val="right"/>
              <w:rPr>
                <w:rFonts w:cstheme="minorHAnsi"/>
                <w:noProof/>
              </w:rPr>
            </w:pPr>
            <w:r>
              <w:rPr>
                <w:noProof/>
              </w:rPr>
              <w:t>I.</w:t>
            </w:r>
          </w:p>
        </w:tc>
        <w:tc>
          <w:tcPr>
            <w:tcW w:w="4732" w:type="pct"/>
            <w:gridSpan w:val="4"/>
            <w:tcBorders>
              <w:top w:val="nil"/>
              <w:bottom w:val="nil"/>
            </w:tcBorders>
          </w:tcPr>
          <w:p w:rsidR="003E022D" w:rsidRDefault="007D19D6">
            <w:pPr>
              <w:rPr>
                <w:rFonts w:cstheme="minorHAnsi"/>
                <w:noProof/>
              </w:rPr>
            </w:pPr>
            <w:r>
              <w:rPr>
                <w:noProof/>
              </w:rPr>
              <w:t xml:space="preserve">Tālāk minētais attiecas tikai uz gadījumu(-iem), kad gan pieprasījuma iesniedzēja valsts, gan pieprasījuma saņēmēja valsts ir iesniegusi paziņojumu saskaņā ar Nolīguma LAW.SURR.79. panta [Darbības joma] 4. punktu: attiecīgā </w:t>
            </w:r>
            <w:r>
              <w:rPr>
                <w:noProof/>
              </w:rPr>
              <w:t>gadījumā atzīmē vienu vai vairākus no šiem nodarījumiem, kas izsniegšanas valstī sodāmi ar brīvības atņemšanas sodu vai piespiedu līdzekli, kura maksimālais ilgums ir vismaz 3 gadi, kā noteikts izsniegšanas valsts tiesībās.</w:t>
            </w:r>
          </w:p>
        </w:tc>
      </w:tr>
      <w:tr w:rsidR="003E022D">
        <w:tc>
          <w:tcPr>
            <w:tcW w:w="268" w:type="pct"/>
            <w:tcBorders>
              <w:top w:val="nil"/>
              <w:bottom w:val="nil"/>
            </w:tcBorders>
          </w:tcPr>
          <w:p w:rsidR="003E022D" w:rsidRDefault="003E022D">
            <w:pPr>
              <w:rPr>
                <w:rFonts w:cstheme="minorHAnsi"/>
                <w:noProof/>
              </w:rPr>
            </w:pPr>
          </w:p>
        </w:tc>
        <w:tc>
          <w:tcPr>
            <w:tcW w:w="4732" w:type="pct"/>
            <w:gridSpan w:val="4"/>
            <w:tcBorders>
              <w:top w:val="nil"/>
              <w:bottom w:val="nil"/>
            </w:tcBorders>
          </w:tcPr>
          <w:p w:rsidR="003E022D" w:rsidRDefault="007D19D6">
            <w:pPr>
              <w:ind w:left="284" w:hanging="284"/>
              <w:rPr>
                <w:rFonts w:cstheme="minorHAnsi"/>
                <w:noProof/>
              </w:rPr>
            </w:pPr>
            <w:sdt>
              <w:sdtPr>
                <w:rPr>
                  <w:rFonts w:cstheme="minorHAnsi"/>
                  <w:noProof/>
                </w:rPr>
                <w:id w:val="1762024998"/>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dalība noziedzīgā organizā</w:t>
            </w:r>
            <w:r>
              <w:rPr>
                <w:noProof/>
              </w:rPr>
              <w:t>cijā,</w:t>
            </w:r>
          </w:p>
          <w:p w:rsidR="003E022D" w:rsidRDefault="007D19D6">
            <w:pPr>
              <w:ind w:left="284" w:hanging="284"/>
              <w:rPr>
                <w:rFonts w:cstheme="minorHAnsi"/>
                <w:noProof/>
              </w:rPr>
            </w:pPr>
            <w:sdt>
              <w:sdtPr>
                <w:rPr>
                  <w:rFonts w:cstheme="minorHAnsi"/>
                  <w:noProof/>
                </w:rPr>
                <w:id w:val="-68806132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terorisms, kā definēts Nolīguma LAW-7 pielikumā,</w:t>
            </w:r>
          </w:p>
          <w:p w:rsidR="003E022D" w:rsidRDefault="007D19D6">
            <w:pPr>
              <w:ind w:left="284" w:hanging="284"/>
              <w:rPr>
                <w:rFonts w:cstheme="minorHAnsi"/>
                <w:noProof/>
              </w:rPr>
            </w:pPr>
            <w:sdt>
              <w:sdtPr>
                <w:rPr>
                  <w:rFonts w:cstheme="minorHAnsi"/>
                  <w:noProof/>
                </w:rPr>
                <w:id w:val="-205237093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cilvēku tirdzniecība,</w:t>
            </w:r>
          </w:p>
          <w:p w:rsidR="003E022D" w:rsidRDefault="007D19D6">
            <w:pPr>
              <w:ind w:left="284" w:hanging="284"/>
              <w:rPr>
                <w:rFonts w:cstheme="minorHAnsi"/>
                <w:noProof/>
              </w:rPr>
            </w:pPr>
            <w:sdt>
              <w:sdtPr>
                <w:rPr>
                  <w:rFonts w:cstheme="minorHAnsi"/>
                  <w:noProof/>
                </w:rPr>
                <w:id w:val="-189842555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bērnu seksuāla izmantošana un bērnu pornogrāfija,</w:t>
            </w:r>
          </w:p>
          <w:p w:rsidR="003E022D" w:rsidRDefault="007D19D6">
            <w:pPr>
              <w:ind w:left="284" w:hanging="284"/>
              <w:rPr>
                <w:rFonts w:cstheme="minorHAnsi"/>
                <w:noProof/>
              </w:rPr>
            </w:pPr>
            <w:sdt>
              <w:sdtPr>
                <w:rPr>
                  <w:rFonts w:cstheme="minorHAnsi"/>
                  <w:noProof/>
                </w:rPr>
                <w:id w:val="-147204942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narkotisku un psihotropu vielu nelikumīga tirdzniecība,</w:t>
            </w:r>
          </w:p>
          <w:p w:rsidR="003E022D" w:rsidRDefault="007D19D6">
            <w:pPr>
              <w:ind w:left="284" w:hanging="284"/>
              <w:rPr>
                <w:rFonts w:cstheme="minorHAnsi"/>
                <w:noProof/>
              </w:rPr>
            </w:pPr>
            <w:sdt>
              <w:sdtPr>
                <w:rPr>
                  <w:rFonts w:cstheme="minorHAnsi"/>
                  <w:noProof/>
                </w:rPr>
                <w:id w:val="124014385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ieroču, munīcijas un sprāgstvielu nelikumīga tirdzniecība,</w:t>
            </w:r>
          </w:p>
          <w:p w:rsidR="003E022D" w:rsidRDefault="007D19D6">
            <w:pPr>
              <w:ind w:left="284" w:hanging="284"/>
              <w:rPr>
                <w:rFonts w:cstheme="minorHAnsi"/>
                <w:noProof/>
              </w:rPr>
            </w:pPr>
            <w:sdt>
              <w:sdtPr>
                <w:rPr>
                  <w:rFonts w:cstheme="minorHAnsi"/>
                  <w:noProof/>
                </w:rPr>
                <w:id w:val="-201914349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korupcija, tostarp kukuļošana,</w:t>
            </w:r>
          </w:p>
          <w:p w:rsidR="003E022D" w:rsidRDefault="007D19D6">
            <w:pPr>
              <w:ind w:left="284" w:hanging="284"/>
              <w:rPr>
                <w:rFonts w:cstheme="minorHAnsi"/>
                <w:noProof/>
              </w:rPr>
            </w:pPr>
            <w:sdt>
              <w:sdtPr>
                <w:rPr>
                  <w:rFonts w:cstheme="minorHAnsi"/>
                  <w:noProof/>
                </w:rPr>
                <w:id w:val="-39119541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krāpšana, ieskaitot krāpšanu, kas apdraud Apvienotās Karalistes, dalībvalsts vai Savienības finanšu intereses,</w:t>
            </w:r>
          </w:p>
          <w:p w:rsidR="003E022D" w:rsidRDefault="007D19D6">
            <w:pPr>
              <w:ind w:left="284" w:hanging="284"/>
              <w:rPr>
                <w:rFonts w:cstheme="minorHAnsi"/>
                <w:noProof/>
              </w:rPr>
            </w:pPr>
            <w:sdt>
              <w:sdtPr>
                <w:rPr>
                  <w:rFonts w:cstheme="minorHAnsi"/>
                  <w:noProof/>
                </w:rPr>
                <w:id w:val="-198907550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noziedzīgi iegūtu līdzekļu legalizācija,</w:t>
            </w:r>
          </w:p>
          <w:p w:rsidR="003E022D" w:rsidRDefault="007D19D6">
            <w:pPr>
              <w:ind w:left="284" w:hanging="284"/>
              <w:rPr>
                <w:rFonts w:cstheme="minorHAnsi"/>
                <w:noProof/>
              </w:rPr>
            </w:pPr>
            <w:sdt>
              <w:sdtPr>
                <w:rPr>
                  <w:rFonts w:cstheme="minorHAnsi"/>
                  <w:noProof/>
                </w:rPr>
                <w:id w:val="105411801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naudas viltošana, </w:t>
            </w:r>
          </w:p>
          <w:p w:rsidR="003E022D" w:rsidRDefault="007D19D6">
            <w:pPr>
              <w:ind w:left="284" w:hanging="284"/>
              <w:rPr>
                <w:rFonts w:cstheme="minorHAnsi"/>
                <w:noProof/>
              </w:rPr>
            </w:pPr>
            <w:sdt>
              <w:sdtPr>
                <w:rPr>
                  <w:rFonts w:cstheme="minorHAnsi"/>
                  <w:noProof/>
                </w:rPr>
                <w:id w:val="-78973833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datornoziegumi,</w:t>
            </w:r>
          </w:p>
          <w:p w:rsidR="003E022D" w:rsidRDefault="007D19D6">
            <w:pPr>
              <w:ind w:left="284" w:hanging="284"/>
              <w:rPr>
                <w:rFonts w:cstheme="minorHAnsi"/>
                <w:noProof/>
              </w:rPr>
            </w:pPr>
            <w:sdt>
              <w:sdtPr>
                <w:rPr>
                  <w:rFonts w:cstheme="minorHAnsi"/>
                  <w:noProof/>
                </w:rPr>
                <w:id w:val="87767505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noziegumi pret vidi, tostarp apdraudētu dzīvnieku sugu un augu sugu un šķirņu nelikumīga tirdzniecība,</w:t>
            </w:r>
          </w:p>
          <w:p w:rsidR="003E022D" w:rsidRDefault="007D19D6">
            <w:pPr>
              <w:ind w:left="284" w:hanging="284"/>
              <w:rPr>
                <w:rFonts w:cstheme="minorHAnsi"/>
                <w:noProof/>
              </w:rPr>
            </w:pPr>
            <w:sdt>
              <w:sdtPr>
                <w:rPr>
                  <w:rFonts w:cstheme="minorHAnsi"/>
                  <w:noProof/>
                </w:rPr>
                <w:id w:val="-96858729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palīdzība nelikumīgi ieceļot un uzturēties,</w:t>
            </w:r>
          </w:p>
          <w:p w:rsidR="003E022D" w:rsidRDefault="007D19D6">
            <w:pPr>
              <w:ind w:left="284" w:hanging="284"/>
              <w:rPr>
                <w:rFonts w:cstheme="minorHAnsi"/>
                <w:noProof/>
              </w:rPr>
            </w:pPr>
            <w:sdt>
              <w:sdtPr>
                <w:rPr>
                  <w:rFonts w:cstheme="minorHAnsi"/>
                  <w:noProof/>
                </w:rPr>
                <w:id w:val="1454767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slepkavība, smagi miesas bojājumi,</w:t>
            </w:r>
          </w:p>
          <w:p w:rsidR="003E022D" w:rsidRDefault="007D19D6">
            <w:pPr>
              <w:ind w:left="284" w:hanging="284"/>
              <w:rPr>
                <w:rFonts w:cstheme="minorHAnsi"/>
                <w:noProof/>
              </w:rPr>
            </w:pPr>
            <w:sdt>
              <w:sdtPr>
                <w:rPr>
                  <w:rFonts w:cstheme="minorHAnsi"/>
                  <w:noProof/>
                </w:rPr>
                <w:id w:val="193462112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cilvēku orgānu un audu nelikumīga tirdzniecība,</w:t>
            </w:r>
          </w:p>
          <w:p w:rsidR="003E022D" w:rsidRDefault="007D19D6">
            <w:pPr>
              <w:ind w:left="284" w:hanging="284"/>
              <w:rPr>
                <w:rFonts w:cstheme="minorHAnsi"/>
                <w:noProof/>
              </w:rPr>
            </w:pPr>
            <w:sdt>
              <w:sdtPr>
                <w:rPr>
                  <w:rFonts w:cstheme="minorHAnsi"/>
                  <w:noProof/>
                </w:rPr>
                <w:id w:val="-41316498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personas nolaupīšana, nelikumīga brīvības atņemšana un ķīlnieku sagrābšana,</w:t>
            </w:r>
          </w:p>
          <w:p w:rsidR="003E022D" w:rsidRDefault="007D19D6">
            <w:pPr>
              <w:ind w:left="284" w:hanging="284"/>
              <w:rPr>
                <w:rFonts w:cstheme="minorHAnsi"/>
                <w:noProof/>
              </w:rPr>
            </w:pPr>
            <w:sdt>
              <w:sdtPr>
                <w:rPr>
                  <w:rFonts w:cstheme="minorHAnsi"/>
                  <w:noProof/>
                </w:rPr>
                <w:id w:val="1969080799"/>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rasisms un ksenofobija,</w:t>
            </w:r>
          </w:p>
          <w:p w:rsidR="003E022D" w:rsidRDefault="007D19D6">
            <w:pPr>
              <w:ind w:left="284" w:hanging="284"/>
              <w:rPr>
                <w:rFonts w:cstheme="minorHAnsi"/>
                <w:noProof/>
              </w:rPr>
            </w:pPr>
            <w:sdt>
              <w:sdtPr>
                <w:rPr>
                  <w:rFonts w:cstheme="minorHAnsi"/>
                  <w:noProof/>
                </w:rPr>
                <w:id w:val="-60718960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organizēta vai bruņota laupīšana,</w:t>
            </w:r>
          </w:p>
          <w:p w:rsidR="003E022D" w:rsidRDefault="007D19D6">
            <w:pPr>
              <w:ind w:left="284" w:hanging="284"/>
              <w:rPr>
                <w:rFonts w:cstheme="minorHAnsi"/>
                <w:noProof/>
              </w:rPr>
            </w:pPr>
            <w:sdt>
              <w:sdtPr>
                <w:rPr>
                  <w:rFonts w:cstheme="minorHAnsi"/>
                  <w:noProof/>
                </w:rPr>
                <w:id w:val="-17295847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kultūras preču, tostarp senlietu un mākslas darbu, neliku</w:t>
            </w:r>
            <w:r>
              <w:rPr>
                <w:noProof/>
              </w:rPr>
              <w:t>mīga tirdzniecība,</w:t>
            </w:r>
          </w:p>
          <w:p w:rsidR="003E022D" w:rsidRDefault="007D19D6">
            <w:pPr>
              <w:ind w:left="284" w:hanging="284"/>
              <w:rPr>
                <w:rFonts w:cstheme="minorHAnsi"/>
                <w:noProof/>
              </w:rPr>
            </w:pPr>
            <w:sdt>
              <w:sdtPr>
                <w:rPr>
                  <w:rFonts w:cstheme="minorHAnsi"/>
                  <w:noProof/>
                </w:rPr>
                <w:id w:val="-33122767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krāpniecība,</w:t>
            </w:r>
          </w:p>
          <w:p w:rsidR="003E022D" w:rsidRDefault="007D19D6">
            <w:pPr>
              <w:ind w:left="284" w:hanging="284"/>
              <w:rPr>
                <w:rFonts w:cstheme="minorHAnsi"/>
                <w:noProof/>
              </w:rPr>
            </w:pPr>
            <w:sdt>
              <w:sdtPr>
                <w:rPr>
                  <w:rFonts w:cstheme="minorHAnsi"/>
                  <w:noProof/>
                </w:rPr>
                <w:id w:val="-199386209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rekets un izspiešana,</w:t>
            </w:r>
          </w:p>
          <w:p w:rsidR="003E022D" w:rsidRDefault="007D19D6">
            <w:pPr>
              <w:ind w:left="284" w:hanging="284"/>
              <w:rPr>
                <w:rFonts w:cstheme="minorHAnsi"/>
                <w:noProof/>
              </w:rPr>
            </w:pPr>
            <w:sdt>
              <w:sdtPr>
                <w:rPr>
                  <w:rFonts w:cstheme="minorHAnsi"/>
                  <w:noProof/>
                </w:rPr>
                <w:id w:val="38692783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izstrādājumu viltošana un pirātisms,</w:t>
            </w:r>
          </w:p>
          <w:p w:rsidR="003E022D" w:rsidRDefault="007D19D6">
            <w:pPr>
              <w:ind w:left="284" w:hanging="284"/>
              <w:rPr>
                <w:rFonts w:cstheme="minorHAnsi"/>
                <w:noProof/>
              </w:rPr>
            </w:pPr>
            <w:sdt>
              <w:sdtPr>
                <w:rPr>
                  <w:rFonts w:cstheme="minorHAnsi"/>
                  <w:noProof/>
                </w:rPr>
                <w:id w:val="1827467801"/>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administratīvu dokumentu viltošana un tirdzniecība,</w:t>
            </w:r>
          </w:p>
          <w:p w:rsidR="003E022D" w:rsidRDefault="007D19D6">
            <w:pPr>
              <w:ind w:left="284" w:hanging="284"/>
              <w:rPr>
                <w:rFonts w:cstheme="minorHAnsi"/>
                <w:noProof/>
              </w:rPr>
            </w:pPr>
            <w:sdt>
              <w:sdtPr>
                <w:rPr>
                  <w:rFonts w:cstheme="minorHAnsi"/>
                  <w:noProof/>
                </w:rPr>
                <w:id w:val="478727553"/>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maksāšanas līdzekļu viltošana,</w:t>
            </w:r>
          </w:p>
          <w:p w:rsidR="003E022D" w:rsidRDefault="007D19D6">
            <w:pPr>
              <w:ind w:left="284" w:hanging="284"/>
              <w:rPr>
                <w:rFonts w:cstheme="minorHAnsi"/>
                <w:noProof/>
              </w:rPr>
            </w:pPr>
            <w:sdt>
              <w:sdtPr>
                <w:rPr>
                  <w:rFonts w:cstheme="minorHAnsi"/>
                  <w:noProof/>
                </w:rPr>
                <w:id w:val="120529065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hormonu un citu augšanas veicinātāju nelikumīga tirdzniecī</w:t>
            </w:r>
            <w:r>
              <w:rPr>
                <w:noProof/>
              </w:rPr>
              <w:t>ba,</w:t>
            </w:r>
          </w:p>
          <w:p w:rsidR="003E022D" w:rsidRDefault="007D19D6">
            <w:pPr>
              <w:ind w:left="284" w:hanging="284"/>
              <w:rPr>
                <w:rFonts w:cstheme="minorHAnsi"/>
                <w:noProof/>
              </w:rPr>
            </w:pPr>
            <w:sdt>
              <w:sdtPr>
                <w:rPr>
                  <w:rFonts w:cstheme="minorHAnsi"/>
                  <w:noProof/>
                </w:rPr>
                <w:id w:val="-367909651"/>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kodolmateriālu vai radioaktīvu materiālu nelikumīga tirdzniecība,</w:t>
            </w:r>
          </w:p>
          <w:p w:rsidR="003E022D" w:rsidRDefault="007D19D6">
            <w:pPr>
              <w:ind w:left="284" w:hanging="284"/>
              <w:rPr>
                <w:rFonts w:cstheme="minorHAnsi"/>
                <w:noProof/>
              </w:rPr>
            </w:pPr>
            <w:sdt>
              <w:sdtPr>
                <w:rPr>
                  <w:rFonts w:cstheme="minorHAnsi"/>
                  <w:noProof/>
                </w:rPr>
                <w:id w:val="-55986597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zagtu transportlīdzekļu tirdzniecība,</w:t>
            </w:r>
          </w:p>
          <w:p w:rsidR="003E022D" w:rsidRDefault="007D19D6">
            <w:pPr>
              <w:ind w:left="284" w:hanging="284"/>
              <w:rPr>
                <w:rFonts w:cstheme="minorHAnsi"/>
                <w:noProof/>
              </w:rPr>
            </w:pPr>
            <w:sdt>
              <w:sdtPr>
                <w:rPr>
                  <w:rFonts w:cstheme="minorHAnsi"/>
                  <w:noProof/>
                </w:rPr>
                <w:id w:val="90059063"/>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izvarošana,</w:t>
            </w:r>
          </w:p>
          <w:p w:rsidR="003E022D" w:rsidRDefault="007D19D6">
            <w:pPr>
              <w:ind w:left="284" w:hanging="284"/>
              <w:rPr>
                <w:rFonts w:cstheme="minorHAnsi"/>
                <w:noProof/>
              </w:rPr>
            </w:pPr>
            <w:sdt>
              <w:sdtPr>
                <w:rPr>
                  <w:rFonts w:cstheme="minorHAnsi"/>
                  <w:noProof/>
                </w:rPr>
                <w:id w:val="154679574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ļaunprātīga dedzināšana,</w:t>
            </w:r>
          </w:p>
          <w:p w:rsidR="003E022D" w:rsidRDefault="007D19D6">
            <w:pPr>
              <w:ind w:left="284" w:hanging="284"/>
              <w:rPr>
                <w:rFonts w:cstheme="minorHAnsi"/>
                <w:noProof/>
              </w:rPr>
            </w:pPr>
            <w:sdt>
              <w:sdtPr>
                <w:rPr>
                  <w:rFonts w:cstheme="minorHAnsi"/>
                  <w:noProof/>
                </w:rPr>
                <w:id w:val="36711379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noziegumi, kas ir Starptautiskās Krimināltiesas jurisdikcijā,</w:t>
            </w:r>
          </w:p>
          <w:p w:rsidR="003E022D" w:rsidRDefault="007D19D6">
            <w:pPr>
              <w:ind w:left="284" w:hanging="284"/>
              <w:rPr>
                <w:rFonts w:cstheme="minorHAnsi"/>
                <w:noProof/>
              </w:rPr>
            </w:pPr>
            <w:sdt>
              <w:sdtPr>
                <w:rPr>
                  <w:rFonts w:cstheme="minorHAnsi"/>
                  <w:noProof/>
                </w:rPr>
                <w:id w:val="-37037817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gaisa kuģa, kuģa vai kosmosa kuģa nelikumīga sagrābšana,</w:t>
            </w:r>
          </w:p>
          <w:p w:rsidR="003E022D" w:rsidRDefault="007D19D6">
            <w:pPr>
              <w:ind w:left="284" w:hanging="284"/>
              <w:rPr>
                <w:rFonts w:cstheme="minorHAnsi"/>
                <w:noProof/>
              </w:rPr>
            </w:pPr>
            <w:sdt>
              <w:sdtPr>
                <w:rPr>
                  <w:rFonts w:cstheme="minorHAnsi"/>
                  <w:noProof/>
                </w:rPr>
                <w:id w:val="-189118864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sabotāža.</w:t>
            </w:r>
          </w:p>
        </w:tc>
      </w:tr>
      <w:tr w:rsidR="003E022D">
        <w:tc>
          <w:tcPr>
            <w:tcW w:w="268" w:type="pct"/>
            <w:tcBorders>
              <w:top w:val="nil"/>
              <w:bottom w:val="nil"/>
            </w:tcBorders>
          </w:tcPr>
          <w:p w:rsidR="003E022D" w:rsidRDefault="007D19D6">
            <w:pPr>
              <w:jc w:val="right"/>
              <w:rPr>
                <w:rFonts w:cstheme="minorHAnsi"/>
                <w:noProof/>
              </w:rPr>
            </w:pPr>
            <w:r>
              <w:rPr>
                <w:noProof/>
              </w:rPr>
              <w:t>II.</w:t>
            </w:r>
          </w:p>
        </w:tc>
        <w:tc>
          <w:tcPr>
            <w:tcW w:w="4732" w:type="pct"/>
            <w:gridSpan w:val="4"/>
            <w:tcBorders>
              <w:top w:val="nil"/>
              <w:bottom w:val="nil"/>
            </w:tcBorders>
          </w:tcPr>
          <w:p w:rsidR="003E022D" w:rsidRDefault="007D19D6">
            <w:pPr>
              <w:rPr>
                <w:rFonts w:cstheme="minorHAnsi"/>
                <w:noProof/>
              </w:rPr>
            </w:pPr>
            <w:r>
              <w:rPr>
                <w:noProof/>
              </w:rPr>
              <w:t>Nodarījuma(-u), uz ko neattiecas I iedaļa, pilns apraksts:</w:t>
            </w:r>
          </w:p>
        </w:tc>
      </w:tr>
      <w:tr w:rsidR="003E022D">
        <w:tc>
          <w:tcPr>
            <w:tcW w:w="310" w:type="pct"/>
            <w:gridSpan w:val="2"/>
            <w:tcBorders>
              <w:top w:val="nil"/>
              <w:bottom w:val="single" w:sz="4" w:space="0" w:color="auto"/>
            </w:tcBorders>
          </w:tcPr>
          <w:p w:rsidR="003E022D" w:rsidRDefault="003E022D">
            <w:pPr>
              <w:ind w:left="1416" w:hanging="1416"/>
              <w:rPr>
                <w:rFonts w:cstheme="minorHAnsi"/>
                <w:noProof/>
              </w:rPr>
            </w:pPr>
          </w:p>
        </w:tc>
        <w:tc>
          <w:tcPr>
            <w:tcW w:w="4690" w:type="pct"/>
            <w:gridSpan w:val="3"/>
            <w:tcBorders>
              <w:top w:val="nil"/>
              <w:bottom w:val="single" w:sz="4" w:space="0" w:color="auto"/>
            </w:tcBorders>
            <w:shd w:val="clear" w:color="auto" w:fill="F2F2F2" w:themeFill="background1" w:themeFillShade="F2"/>
          </w:tcPr>
          <w:p w:rsidR="003E022D" w:rsidRDefault="003E022D">
            <w:pPr>
              <w:rPr>
                <w:rFonts w:cstheme="minorHAnsi"/>
                <w:noProof/>
              </w:rPr>
            </w:pPr>
          </w:p>
        </w:tc>
      </w:tr>
    </w:tbl>
    <w:p w:rsidR="003E022D" w:rsidRDefault="003E022D">
      <w:pPr>
        <w:rPr>
          <w:rFonts w:cstheme="minorHAnsi"/>
          <w:noProof/>
        </w:rPr>
      </w:pPr>
    </w:p>
    <w:p w:rsidR="003E022D" w:rsidRDefault="003E022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3E022D">
        <w:tc>
          <w:tcPr>
            <w:tcW w:w="268" w:type="pct"/>
            <w:tcBorders>
              <w:top w:val="single" w:sz="4" w:space="0" w:color="auto"/>
              <w:bottom w:val="nil"/>
            </w:tcBorders>
          </w:tcPr>
          <w:p w:rsidR="003E022D" w:rsidRDefault="007D19D6">
            <w:pPr>
              <w:rPr>
                <w:rFonts w:cstheme="minorHAnsi"/>
                <w:noProof/>
              </w:rPr>
            </w:pPr>
            <w:r>
              <w:rPr>
                <w:noProof/>
              </w:rPr>
              <w:t>f)</w:t>
            </w:r>
          </w:p>
        </w:tc>
        <w:tc>
          <w:tcPr>
            <w:tcW w:w="4732" w:type="pct"/>
            <w:gridSpan w:val="2"/>
            <w:tcBorders>
              <w:top w:val="single" w:sz="4" w:space="0" w:color="auto"/>
              <w:bottom w:val="nil"/>
            </w:tcBorders>
          </w:tcPr>
          <w:p w:rsidR="003E022D" w:rsidRDefault="007D19D6">
            <w:pPr>
              <w:rPr>
                <w:rFonts w:cstheme="minorHAnsi"/>
                <w:noProof/>
              </w:rPr>
            </w:pPr>
            <w:r>
              <w:rPr>
                <w:noProof/>
              </w:rPr>
              <w:t xml:space="preserve">Citi lietai būtiski apstākļi (fakultatīva informācija): </w:t>
            </w:r>
            <w:r>
              <w:rPr>
                <w:noProof/>
              </w:rPr>
              <w:br/>
              <w:t>(</w:t>
            </w:r>
            <w:r>
              <w:rPr>
                <w:i/>
                <w:noProof/>
              </w:rPr>
              <w:t>NB!</w:t>
            </w:r>
            <w:r>
              <w:rPr>
                <w:noProof/>
              </w:rPr>
              <w:t xml:space="preserve"> Tās var būt piezīmes par ekstrateritorialitāti, noilguma pārtraukumiem un citām nodarījuma sekām)</w:t>
            </w:r>
          </w:p>
        </w:tc>
      </w:tr>
      <w:tr w:rsidR="003E022D">
        <w:tc>
          <w:tcPr>
            <w:tcW w:w="310" w:type="pct"/>
            <w:gridSpan w:val="2"/>
            <w:tcBorders>
              <w:top w:val="nil"/>
              <w:bottom w:val="single" w:sz="4" w:space="0" w:color="auto"/>
            </w:tcBorders>
          </w:tcPr>
          <w:p w:rsidR="003E022D" w:rsidRDefault="003E022D">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3E022D" w:rsidRDefault="003E022D">
            <w:pPr>
              <w:rPr>
                <w:rFonts w:cstheme="minorHAnsi"/>
                <w:noProof/>
              </w:rPr>
            </w:pPr>
          </w:p>
        </w:tc>
      </w:tr>
    </w:tbl>
    <w:p w:rsidR="003E022D" w:rsidRDefault="003E022D">
      <w:pPr>
        <w:rPr>
          <w:rFonts w:cstheme="minorHAnsi"/>
          <w:noProof/>
        </w:rPr>
      </w:pPr>
    </w:p>
    <w:p w:rsidR="003E022D" w:rsidRDefault="003E022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3E022D">
        <w:tc>
          <w:tcPr>
            <w:tcW w:w="268" w:type="pct"/>
            <w:tcBorders>
              <w:top w:val="single" w:sz="4" w:space="0" w:color="auto"/>
              <w:bottom w:val="nil"/>
            </w:tcBorders>
          </w:tcPr>
          <w:p w:rsidR="003E022D" w:rsidRDefault="007D19D6">
            <w:pPr>
              <w:rPr>
                <w:rFonts w:cstheme="minorHAnsi"/>
                <w:noProof/>
              </w:rPr>
            </w:pPr>
            <w:r>
              <w:rPr>
                <w:noProof/>
              </w:rPr>
              <w:t>g)</w:t>
            </w:r>
          </w:p>
        </w:tc>
        <w:tc>
          <w:tcPr>
            <w:tcW w:w="4732" w:type="pct"/>
            <w:gridSpan w:val="2"/>
            <w:tcBorders>
              <w:top w:val="single" w:sz="4" w:space="0" w:color="auto"/>
              <w:bottom w:val="nil"/>
            </w:tcBorders>
          </w:tcPr>
          <w:p w:rsidR="003E022D" w:rsidRDefault="007D19D6">
            <w:pPr>
              <w:rPr>
                <w:rFonts w:cstheme="minorHAnsi"/>
                <w:noProof/>
              </w:rPr>
            </w:pPr>
            <w:r>
              <w:rPr>
                <w:noProof/>
              </w:rPr>
              <w:t>Šis orderis attiecas arī uz tādu priekšmetu izņemšanu un nodošanu, kas var būt vajadzīgi kā pierādījumi</w:t>
            </w:r>
          </w:p>
          <w:p w:rsidR="003E022D" w:rsidRDefault="003E022D">
            <w:pPr>
              <w:rPr>
                <w:rFonts w:cstheme="minorHAnsi"/>
                <w:noProof/>
              </w:rPr>
            </w:pPr>
          </w:p>
          <w:p w:rsidR="003E022D" w:rsidRDefault="007D19D6">
            <w:pPr>
              <w:rPr>
                <w:rFonts w:cstheme="minorHAnsi"/>
                <w:noProof/>
              </w:rPr>
            </w:pPr>
            <w:r>
              <w:rPr>
                <w:noProof/>
              </w:rPr>
              <w:t xml:space="preserve">Šis orderis attiecas arī uz tādu priekšmetu izņemšanu un nodošanu, ko pieprasītā persona ieguvusi nodarījuma rezultātā. </w:t>
            </w:r>
          </w:p>
          <w:p w:rsidR="003E022D" w:rsidRDefault="003E022D">
            <w:pPr>
              <w:rPr>
                <w:rFonts w:cstheme="minorHAnsi"/>
                <w:noProof/>
              </w:rPr>
            </w:pPr>
          </w:p>
          <w:p w:rsidR="003E022D" w:rsidRDefault="007D19D6">
            <w:pPr>
              <w:rPr>
                <w:rFonts w:cstheme="minorHAnsi"/>
                <w:noProof/>
              </w:rPr>
            </w:pPr>
            <w:r>
              <w:rPr>
                <w:noProof/>
              </w:rPr>
              <w:t>Priekšmetu apraksts (un atrašanās vieta) (ja zināma):</w:t>
            </w:r>
          </w:p>
        </w:tc>
      </w:tr>
      <w:tr w:rsidR="003E022D">
        <w:tc>
          <w:tcPr>
            <w:tcW w:w="310" w:type="pct"/>
            <w:gridSpan w:val="2"/>
            <w:tcBorders>
              <w:top w:val="nil"/>
              <w:bottom w:val="single" w:sz="4" w:space="0" w:color="auto"/>
            </w:tcBorders>
          </w:tcPr>
          <w:p w:rsidR="003E022D" w:rsidRDefault="003E022D">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3E022D" w:rsidRDefault="003E022D">
            <w:pPr>
              <w:rPr>
                <w:rFonts w:cstheme="minorHAnsi"/>
                <w:noProof/>
              </w:rPr>
            </w:pPr>
          </w:p>
        </w:tc>
      </w:tr>
    </w:tbl>
    <w:p w:rsidR="003E022D" w:rsidRDefault="003E022D">
      <w:pPr>
        <w:rPr>
          <w:rFonts w:cstheme="minorHAnsi"/>
          <w:noProof/>
        </w:rPr>
      </w:pPr>
    </w:p>
    <w:p w:rsidR="003E022D" w:rsidRDefault="003E022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3E022D">
        <w:tc>
          <w:tcPr>
            <w:tcW w:w="268" w:type="pct"/>
            <w:tcBorders>
              <w:top w:val="single" w:sz="4" w:space="0" w:color="auto"/>
              <w:bottom w:val="nil"/>
            </w:tcBorders>
          </w:tcPr>
          <w:p w:rsidR="003E022D" w:rsidRDefault="007D19D6">
            <w:pPr>
              <w:rPr>
                <w:rFonts w:cstheme="minorHAnsi"/>
                <w:noProof/>
              </w:rPr>
            </w:pPr>
            <w:r>
              <w:rPr>
                <w:noProof/>
              </w:rPr>
              <w:t>h)</w:t>
            </w:r>
          </w:p>
        </w:tc>
        <w:tc>
          <w:tcPr>
            <w:tcW w:w="4732" w:type="pct"/>
            <w:gridSpan w:val="2"/>
            <w:tcBorders>
              <w:top w:val="single" w:sz="4" w:space="0" w:color="auto"/>
              <w:bottom w:val="nil"/>
            </w:tcBorders>
          </w:tcPr>
          <w:p w:rsidR="003E022D" w:rsidRDefault="007D19D6">
            <w:pPr>
              <w:rPr>
                <w:rFonts w:cstheme="minorHAnsi"/>
                <w:noProof/>
              </w:rPr>
            </w:pPr>
            <w:r>
              <w:rPr>
                <w:noProof/>
              </w:rPr>
              <w:t xml:space="preserve">Nodarījums(-i), uz kura(-u) pamata šis orderis izsniegts, ir </w:t>
            </w:r>
            <w:r>
              <w:rPr>
                <w:noProof/>
              </w:rPr>
              <w:t>sodāms(-i)/</w:t>
            </w:r>
          </w:p>
          <w:p w:rsidR="003E022D" w:rsidRDefault="007D19D6">
            <w:pPr>
              <w:rPr>
                <w:rFonts w:cstheme="minorHAnsi"/>
                <w:noProof/>
              </w:rPr>
            </w:pPr>
            <w:r>
              <w:rPr>
                <w:noProof/>
              </w:rPr>
              <w:t>ir sodīts(-i) ar brīvības atņemšanas sodu vai piespiedu līdzekli uz mūžu:</w:t>
            </w:r>
          </w:p>
        </w:tc>
      </w:tr>
      <w:tr w:rsidR="003E022D">
        <w:tc>
          <w:tcPr>
            <w:tcW w:w="310" w:type="pct"/>
            <w:gridSpan w:val="2"/>
            <w:tcBorders>
              <w:top w:val="nil"/>
              <w:bottom w:val="nil"/>
            </w:tcBorders>
          </w:tcPr>
          <w:p w:rsidR="003E022D" w:rsidRDefault="003E022D">
            <w:pPr>
              <w:ind w:left="1416" w:hanging="1416"/>
              <w:rPr>
                <w:rFonts w:cstheme="minorHAnsi"/>
                <w:noProof/>
              </w:rPr>
            </w:pPr>
          </w:p>
        </w:tc>
        <w:tc>
          <w:tcPr>
            <w:tcW w:w="4690" w:type="pct"/>
            <w:tcBorders>
              <w:top w:val="nil"/>
              <w:bottom w:val="nil"/>
            </w:tcBorders>
            <w:shd w:val="clear" w:color="auto" w:fill="F2F2F2" w:themeFill="background1" w:themeFillShade="F2"/>
          </w:tcPr>
          <w:p w:rsidR="003E022D" w:rsidRDefault="003E022D">
            <w:pPr>
              <w:rPr>
                <w:rFonts w:cstheme="minorHAnsi"/>
                <w:noProof/>
              </w:rPr>
            </w:pPr>
          </w:p>
        </w:tc>
      </w:tr>
      <w:tr w:rsidR="003E022D">
        <w:tc>
          <w:tcPr>
            <w:tcW w:w="268" w:type="pct"/>
            <w:tcBorders>
              <w:top w:val="nil"/>
              <w:bottom w:val="nil"/>
            </w:tcBorders>
          </w:tcPr>
          <w:p w:rsidR="003E022D" w:rsidRDefault="003E022D">
            <w:pPr>
              <w:rPr>
                <w:rFonts w:cstheme="minorHAnsi"/>
                <w:noProof/>
              </w:rPr>
            </w:pPr>
          </w:p>
        </w:tc>
        <w:tc>
          <w:tcPr>
            <w:tcW w:w="4732" w:type="pct"/>
            <w:gridSpan w:val="2"/>
            <w:tcBorders>
              <w:top w:val="nil"/>
              <w:bottom w:val="nil"/>
            </w:tcBorders>
          </w:tcPr>
          <w:p w:rsidR="003E022D" w:rsidRDefault="007D19D6">
            <w:pPr>
              <w:rPr>
                <w:rFonts w:cstheme="minorHAnsi"/>
                <w:noProof/>
              </w:rPr>
            </w:pPr>
            <w:r>
              <w:rPr>
                <w:noProof/>
              </w:rPr>
              <w:t>izsniegšanas valsts pēc izpildes valsts pieprasījuma sniedz garantiju, ka tā:</w:t>
            </w:r>
          </w:p>
        </w:tc>
      </w:tr>
      <w:tr w:rsidR="003E022D">
        <w:tc>
          <w:tcPr>
            <w:tcW w:w="310" w:type="pct"/>
            <w:gridSpan w:val="2"/>
            <w:tcBorders>
              <w:top w:val="nil"/>
              <w:bottom w:val="nil"/>
            </w:tcBorders>
          </w:tcPr>
          <w:p w:rsidR="003E022D" w:rsidRDefault="003E022D">
            <w:pPr>
              <w:ind w:left="1416" w:hanging="1416"/>
              <w:rPr>
                <w:rFonts w:cstheme="minorHAnsi"/>
                <w:noProof/>
              </w:rPr>
            </w:pPr>
          </w:p>
        </w:tc>
        <w:tc>
          <w:tcPr>
            <w:tcW w:w="4690" w:type="pct"/>
            <w:tcBorders>
              <w:top w:val="nil"/>
              <w:bottom w:val="nil"/>
            </w:tcBorders>
            <w:shd w:val="clear" w:color="auto" w:fill="F2F2F2" w:themeFill="background1" w:themeFillShade="F2"/>
          </w:tcPr>
          <w:p w:rsidR="003E022D" w:rsidRDefault="003E022D">
            <w:pPr>
              <w:rPr>
                <w:rFonts w:cstheme="minorHAnsi"/>
                <w:noProof/>
              </w:rPr>
            </w:pPr>
          </w:p>
        </w:tc>
      </w:tr>
      <w:tr w:rsidR="003E022D">
        <w:tc>
          <w:tcPr>
            <w:tcW w:w="310" w:type="pct"/>
            <w:gridSpan w:val="2"/>
            <w:tcBorders>
              <w:top w:val="nil"/>
              <w:bottom w:val="nil"/>
            </w:tcBorders>
          </w:tcPr>
          <w:p w:rsidR="003E022D" w:rsidRDefault="003E022D">
            <w:pPr>
              <w:ind w:left="1416" w:hanging="1416"/>
              <w:rPr>
                <w:rFonts w:cstheme="minorHAnsi"/>
                <w:noProof/>
              </w:rPr>
            </w:pPr>
          </w:p>
        </w:tc>
        <w:tc>
          <w:tcPr>
            <w:tcW w:w="4690" w:type="pct"/>
            <w:tcBorders>
              <w:top w:val="nil"/>
              <w:bottom w:val="nil"/>
            </w:tcBorders>
            <w:shd w:val="clear" w:color="auto" w:fill="F2F2F2" w:themeFill="background1" w:themeFillShade="F2"/>
          </w:tcPr>
          <w:p w:rsidR="003E022D" w:rsidRDefault="003E022D">
            <w:pPr>
              <w:rPr>
                <w:rFonts w:cstheme="minorHAnsi"/>
                <w:noProof/>
              </w:rPr>
            </w:pPr>
          </w:p>
        </w:tc>
      </w:tr>
      <w:tr w:rsidR="003E022D">
        <w:tc>
          <w:tcPr>
            <w:tcW w:w="268" w:type="pct"/>
            <w:tcBorders>
              <w:top w:val="nil"/>
              <w:bottom w:val="single" w:sz="4" w:space="0" w:color="auto"/>
            </w:tcBorders>
          </w:tcPr>
          <w:p w:rsidR="003E022D" w:rsidRDefault="003E022D">
            <w:pPr>
              <w:rPr>
                <w:rFonts w:cstheme="minorHAnsi"/>
                <w:noProof/>
              </w:rPr>
            </w:pPr>
          </w:p>
        </w:tc>
        <w:tc>
          <w:tcPr>
            <w:tcW w:w="4732" w:type="pct"/>
            <w:gridSpan w:val="2"/>
            <w:tcBorders>
              <w:top w:val="nil"/>
              <w:bottom w:val="single" w:sz="4" w:space="0" w:color="auto"/>
            </w:tcBorders>
          </w:tcPr>
          <w:p w:rsidR="003E022D" w:rsidRDefault="007D19D6">
            <w:pPr>
              <w:ind w:left="284" w:hanging="284"/>
              <w:rPr>
                <w:rFonts w:cstheme="minorHAnsi"/>
                <w:noProof/>
              </w:rPr>
            </w:pPr>
            <w:sdt>
              <w:sdtPr>
                <w:rPr>
                  <w:rFonts w:cstheme="minorHAnsi"/>
                  <w:noProof/>
                </w:rPr>
                <w:id w:val="197232213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pārskatīs noteikto sodu vai līdzekli pēc pieprasījuma vai vēlākais pēc 20 gadiem, </w:t>
            </w:r>
            <w:r>
              <w:rPr>
                <w:noProof/>
              </w:rPr>
              <w:br/>
              <w:t xml:space="preserve"> </w:t>
            </w:r>
            <w:r>
              <w:rPr>
                <w:noProof/>
              </w:rPr>
              <w:br/>
              <w:t>un/vai</w:t>
            </w:r>
          </w:p>
          <w:p w:rsidR="003E022D" w:rsidRDefault="003E022D">
            <w:pPr>
              <w:ind w:left="284" w:hanging="284"/>
              <w:rPr>
                <w:rFonts w:cstheme="minorHAnsi"/>
                <w:noProof/>
              </w:rPr>
            </w:pPr>
          </w:p>
          <w:p w:rsidR="003E022D" w:rsidRDefault="007D19D6">
            <w:pPr>
              <w:ind w:left="284" w:hanging="284"/>
              <w:rPr>
                <w:rFonts w:cstheme="minorHAnsi"/>
                <w:noProof/>
              </w:rPr>
            </w:pPr>
            <w:sdt>
              <w:sdtPr>
                <w:rPr>
                  <w:rFonts w:cstheme="minorHAnsi"/>
                  <w:noProof/>
                </w:rPr>
                <w:id w:val="871040963"/>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mudinās piemērot apžēlošanas pasākumus, uz kuriem saskaņā ar izsniegšanas valsts tiesībām vai praksi personai ir tiesības, lai neizpildītu šādu sodu vai līdze</w:t>
            </w:r>
            <w:r>
              <w:rPr>
                <w:noProof/>
              </w:rPr>
              <w:t>kli.</w:t>
            </w:r>
          </w:p>
        </w:tc>
      </w:tr>
    </w:tbl>
    <w:p w:rsidR="003E022D" w:rsidRDefault="003E022D">
      <w:pPr>
        <w:rPr>
          <w:rFonts w:cstheme="minorHAnsi"/>
          <w:noProof/>
        </w:rPr>
      </w:pPr>
    </w:p>
    <w:p w:rsidR="003E022D" w:rsidRDefault="003E022D">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3E022D">
        <w:tc>
          <w:tcPr>
            <w:tcW w:w="268" w:type="pct"/>
          </w:tcPr>
          <w:p w:rsidR="003E022D" w:rsidRDefault="007D19D6">
            <w:pPr>
              <w:rPr>
                <w:rFonts w:cstheme="minorHAnsi"/>
                <w:noProof/>
              </w:rPr>
            </w:pPr>
            <w:r>
              <w:rPr>
                <w:noProof/>
              </w:rPr>
              <w:t xml:space="preserve">i) </w:t>
            </w:r>
          </w:p>
        </w:tc>
        <w:tc>
          <w:tcPr>
            <w:tcW w:w="4732" w:type="pct"/>
            <w:gridSpan w:val="2"/>
          </w:tcPr>
          <w:p w:rsidR="003E022D" w:rsidRDefault="007D19D6">
            <w:pPr>
              <w:rPr>
                <w:rFonts w:cstheme="minorHAnsi"/>
                <w:noProof/>
              </w:rPr>
            </w:pPr>
            <w:r>
              <w:rPr>
                <w:noProof/>
              </w:rPr>
              <w:t>Tiesu iestāde, kas izsniegusi orderi</w:t>
            </w: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Oficiālais nosaukums:</w:t>
            </w:r>
          </w:p>
        </w:tc>
        <w:tc>
          <w:tcPr>
            <w:tcW w:w="2969" w:type="pct"/>
            <w:tcBorders>
              <w:top w:val="nil"/>
              <w:bottom w:val="single" w:sz="12" w:space="0" w:color="FFFFFF" w:themeColor="background1"/>
            </w:tcBorders>
            <w:shd w:val="clear" w:color="auto" w:fill="F2F2F2" w:themeFill="background1" w:themeFillShade="F2"/>
          </w:tcPr>
          <w:p w:rsidR="003E022D" w:rsidRDefault="007D19D6">
            <w:pPr>
              <w:rPr>
                <w:rFonts w:cstheme="minorHAnsi"/>
                <w:noProof/>
              </w:rPr>
            </w:pPr>
            <w:r>
              <w:rPr>
                <w:noProof/>
              </w:rPr>
              <w:t xml:space="preserve"> </w:t>
            </w: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Tās pārstāvja vārds, uzvārds: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Ieņemamais amats (dienesta pakāpe/kategorija):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Lietas numurs: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Adrese: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Tālr. Nr.: (valsts kods) (apgabala/pilsētas kods):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 xml:space="preserve">Faksa Nr. </w:t>
            </w:r>
            <w:r>
              <w:rPr>
                <w:noProof/>
              </w:rPr>
              <w:t>(valsts kods) (apgabala/pilsētas kods):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E-pasts: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Borders>
              <w:bottom w:val="single" w:sz="4" w:space="0" w:color="auto"/>
            </w:tcBorders>
          </w:tcPr>
          <w:p w:rsidR="003E022D" w:rsidRDefault="003E022D">
            <w:pPr>
              <w:rPr>
                <w:rFonts w:cstheme="minorHAnsi"/>
                <w:noProof/>
              </w:rPr>
            </w:pPr>
          </w:p>
        </w:tc>
        <w:tc>
          <w:tcPr>
            <w:tcW w:w="1763" w:type="pct"/>
            <w:tcBorders>
              <w:bottom w:val="single" w:sz="4" w:space="0" w:color="auto"/>
            </w:tcBorders>
          </w:tcPr>
          <w:p w:rsidR="003E022D" w:rsidRDefault="007D19D6">
            <w:pPr>
              <w:rPr>
                <w:rFonts w:cstheme="minorHAnsi"/>
                <w:noProof/>
              </w:rPr>
            </w:pPr>
            <w:r>
              <w:rPr>
                <w:noProof/>
              </w:rPr>
              <w:t>Tās personas kontaktinformācija, ar kuru jāsazinās, lai vienotos par praktisko nodošanas kārtību:</w:t>
            </w:r>
          </w:p>
        </w:tc>
        <w:tc>
          <w:tcPr>
            <w:tcW w:w="2969" w:type="pct"/>
            <w:tcBorders>
              <w:top w:val="single" w:sz="12" w:space="0" w:color="FFFFFF" w:themeColor="background1"/>
              <w:bottom w:val="single" w:sz="4" w:space="0" w:color="auto"/>
            </w:tcBorders>
            <w:shd w:val="clear" w:color="auto" w:fill="F2F2F2" w:themeFill="background1" w:themeFillShade="F2"/>
          </w:tcPr>
          <w:p w:rsidR="003E022D" w:rsidRDefault="003E022D">
            <w:pPr>
              <w:rPr>
                <w:rFonts w:cstheme="minorHAnsi"/>
                <w:noProof/>
              </w:rPr>
            </w:pPr>
          </w:p>
        </w:tc>
      </w:tr>
      <w:tr w:rsidR="003E022D">
        <w:tc>
          <w:tcPr>
            <w:tcW w:w="268" w:type="pct"/>
            <w:tcBorders>
              <w:top w:val="single" w:sz="4" w:space="0" w:color="auto"/>
              <w:bottom w:val="nil"/>
            </w:tcBorders>
          </w:tcPr>
          <w:p w:rsidR="003E022D" w:rsidRDefault="003E022D">
            <w:pPr>
              <w:rPr>
                <w:rFonts w:cstheme="minorHAnsi"/>
                <w:noProof/>
              </w:rPr>
            </w:pPr>
          </w:p>
        </w:tc>
        <w:tc>
          <w:tcPr>
            <w:tcW w:w="4732" w:type="pct"/>
            <w:gridSpan w:val="2"/>
            <w:tcBorders>
              <w:top w:val="single" w:sz="4" w:space="0" w:color="auto"/>
              <w:bottom w:val="nil"/>
            </w:tcBorders>
          </w:tcPr>
          <w:p w:rsidR="003E022D" w:rsidRDefault="007D19D6">
            <w:pPr>
              <w:rPr>
                <w:rFonts w:cstheme="minorHAnsi"/>
                <w:noProof/>
              </w:rPr>
            </w:pPr>
            <w:r>
              <w:rPr>
                <w:noProof/>
              </w:rPr>
              <w:t>Ja par apcietināšanas orderu pārsūtīšanu un administratīvo saņemšanu ir atbildīga centrālā iestāde:</w:t>
            </w:r>
          </w:p>
        </w:tc>
      </w:tr>
      <w:tr w:rsidR="003E022D">
        <w:tc>
          <w:tcPr>
            <w:tcW w:w="268" w:type="pct"/>
            <w:tcBorders>
              <w:top w:val="nil"/>
            </w:tcBorders>
          </w:tcPr>
          <w:p w:rsidR="003E022D" w:rsidRDefault="003E022D">
            <w:pPr>
              <w:rPr>
                <w:rFonts w:cstheme="minorHAnsi"/>
                <w:noProof/>
              </w:rPr>
            </w:pPr>
          </w:p>
        </w:tc>
        <w:tc>
          <w:tcPr>
            <w:tcW w:w="1763" w:type="pct"/>
            <w:tcBorders>
              <w:top w:val="nil"/>
            </w:tcBorders>
          </w:tcPr>
          <w:p w:rsidR="003E022D" w:rsidRDefault="007D19D6">
            <w:pPr>
              <w:rPr>
                <w:rFonts w:cstheme="minorHAnsi"/>
                <w:noProof/>
              </w:rPr>
            </w:pPr>
            <w:r>
              <w:rPr>
                <w:noProof/>
              </w:rPr>
              <w:t>Centrālās iestādes nosaukums:</w:t>
            </w:r>
          </w:p>
        </w:tc>
        <w:tc>
          <w:tcPr>
            <w:tcW w:w="2969" w:type="pct"/>
            <w:tcBorders>
              <w:top w:val="nil"/>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Kontaktpersona, ja tāda ir (dienesta pakāpe / kategorija, vārds un uzvārds):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Adrese: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Tālr. Nr.: (valsts kods) (apgabala/pilsētas kods):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Faksa Nr. (valsts kods) (apgabala/pilsētas kods):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Borders>
              <w:bottom w:val="single" w:sz="4" w:space="0" w:color="auto"/>
            </w:tcBorders>
          </w:tcPr>
          <w:p w:rsidR="003E022D" w:rsidRDefault="003E022D">
            <w:pPr>
              <w:rPr>
                <w:rFonts w:cstheme="minorHAnsi"/>
                <w:noProof/>
              </w:rPr>
            </w:pPr>
          </w:p>
        </w:tc>
        <w:tc>
          <w:tcPr>
            <w:tcW w:w="1763" w:type="pct"/>
            <w:tcBorders>
              <w:bottom w:val="single" w:sz="4" w:space="0" w:color="auto"/>
            </w:tcBorders>
          </w:tcPr>
          <w:p w:rsidR="003E022D" w:rsidRDefault="007D19D6">
            <w:pPr>
              <w:rPr>
                <w:rFonts w:cstheme="minorHAnsi"/>
                <w:noProof/>
              </w:rPr>
            </w:pPr>
            <w:r>
              <w:rPr>
                <w:noProof/>
              </w:rPr>
              <w:t>E-pasts:</w:t>
            </w:r>
          </w:p>
        </w:tc>
        <w:tc>
          <w:tcPr>
            <w:tcW w:w="2969" w:type="pct"/>
            <w:tcBorders>
              <w:top w:val="single" w:sz="12" w:space="0" w:color="FFFFFF" w:themeColor="background1"/>
              <w:bottom w:val="single" w:sz="4" w:space="0" w:color="auto"/>
            </w:tcBorders>
            <w:shd w:val="clear" w:color="auto" w:fill="F2F2F2" w:themeFill="background1" w:themeFillShade="F2"/>
          </w:tcPr>
          <w:p w:rsidR="003E022D" w:rsidRDefault="003E022D">
            <w:pPr>
              <w:rPr>
                <w:rFonts w:cstheme="minorHAnsi"/>
                <w:noProof/>
              </w:rPr>
            </w:pPr>
          </w:p>
        </w:tc>
      </w:tr>
      <w:tr w:rsidR="003E022D">
        <w:tc>
          <w:tcPr>
            <w:tcW w:w="268" w:type="pct"/>
            <w:tcBorders>
              <w:top w:val="single" w:sz="4" w:space="0" w:color="auto"/>
            </w:tcBorders>
          </w:tcPr>
          <w:p w:rsidR="003E022D" w:rsidRDefault="003E022D">
            <w:pPr>
              <w:rPr>
                <w:rFonts w:cstheme="minorHAnsi"/>
                <w:noProof/>
              </w:rPr>
            </w:pPr>
          </w:p>
        </w:tc>
        <w:tc>
          <w:tcPr>
            <w:tcW w:w="1763" w:type="pct"/>
            <w:tcBorders>
              <w:top w:val="single" w:sz="4" w:space="0" w:color="auto"/>
            </w:tcBorders>
          </w:tcPr>
          <w:p w:rsidR="003E022D" w:rsidRDefault="007D19D6">
            <w:pPr>
              <w:rPr>
                <w:rFonts w:cstheme="minorHAnsi"/>
                <w:noProof/>
              </w:rPr>
            </w:pPr>
            <w:r>
              <w:rPr>
                <w:noProof/>
              </w:rPr>
              <w:t>Izsniegšanas tiesu iestādes amatpersonas un/vai tās pārstāvja paraksts:</w:t>
            </w:r>
          </w:p>
        </w:tc>
        <w:tc>
          <w:tcPr>
            <w:tcW w:w="2969" w:type="pct"/>
            <w:tcBorders>
              <w:top w:val="single" w:sz="4" w:space="0" w:color="auto"/>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Vārds un uzvārds:</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Ieņemamais amats (dienesta pakāpe/kategorija):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1763" w:type="pct"/>
          </w:tcPr>
          <w:p w:rsidR="003E022D" w:rsidRDefault="007D19D6">
            <w:pPr>
              <w:rPr>
                <w:rFonts w:cstheme="minorHAnsi"/>
                <w:noProof/>
              </w:rPr>
            </w:pPr>
            <w:r>
              <w:rPr>
                <w:noProof/>
              </w:rPr>
              <w:t>Datums:</w:t>
            </w:r>
          </w:p>
        </w:tc>
        <w:tc>
          <w:tcPr>
            <w:tcW w:w="2969" w:type="pct"/>
            <w:tcBorders>
              <w:top w:val="single" w:sz="12" w:space="0" w:color="FFFFFF" w:themeColor="background1"/>
              <w:bottom w:val="nil"/>
            </w:tcBorders>
            <w:shd w:val="clear" w:color="auto" w:fill="F2F2F2" w:themeFill="background1" w:themeFillShade="F2"/>
          </w:tcPr>
          <w:p w:rsidR="003E022D" w:rsidRDefault="003E022D">
            <w:pPr>
              <w:rPr>
                <w:rFonts w:cstheme="minorHAnsi"/>
                <w:noProof/>
              </w:rPr>
            </w:pPr>
          </w:p>
        </w:tc>
      </w:tr>
      <w:tr w:rsidR="003E022D">
        <w:tc>
          <w:tcPr>
            <w:tcW w:w="268" w:type="pct"/>
          </w:tcPr>
          <w:p w:rsidR="003E022D" w:rsidRDefault="003E022D">
            <w:pPr>
              <w:rPr>
                <w:rFonts w:cstheme="minorHAnsi"/>
                <w:noProof/>
              </w:rPr>
            </w:pPr>
          </w:p>
        </w:tc>
        <w:tc>
          <w:tcPr>
            <w:tcW w:w="4732" w:type="pct"/>
            <w:gridSpan w:val="2"/>
          </w:tcPr>
          <w:p w:rsidR="003E022D" w:rsidRDefault="007D19D6">
            <w:pPr>
              <w:rPr>
                <w:rFonts w:cstheme="minorHAnsi"/>
                <w:noProof/>
              </w:rPr>
            </w:pPr>
            <w:r>
              <w:rPr>
                <w:noProof/>
              </w:rPr>
              <w:t>Oficiālais zīmogs (ja ir):</w:t>
            </w:r>
          </w:p>
          <w:p w:rsidR="003E022D" w:rsidRDefault="003E022D">
            <w:pPr>
              <w:rPr>
                <w:rFonts w:cstheme="minorHAnsi"/>
                <w:noProof/>
              </w:rPr>
            </w:pPr>
          </w:p>
          <w:p w:rsidR="003E022D" w:rsidRDefault="003E022D">
            <w:pPr>
              <w:rPr>
                <w:rFonts w:cstheme="minorHAnsi"/>
                <w:noProof/>
              </w:rPr>
            </w:pPr>
          </w:p>
        </w:tc>
      </w:tr>
    </w:tbl>
    <w:p w:rsidR="003E022D" w:rsidRDefault="003E022D">
      <w:pPr>
        <w:rPr>
          <w:rFonts w:cstheme="minorHAnsi"/>
          <w:noProof/>
        </w:rPr>
      </w:pPr>
    </w:p>
    <w:p w:rsidR="003E022D" w:rsidRDefault="007D19D6">
      <w:pPr>
        <w:spacing w:after="160" w:line="259" w:lineRule="auto"/>
        <w:jc w:val="left"/>
        <w:rPr>
          <w:noProof/>
        </w:rPr>
      </w:pPr>
      <w:r>
        <w:rPr>
          <w:noProof/>
        </w:rPr>
        <w:br w:type="page"/>
      </w:r>
    </w:p>
    <w:p w:rsidR="003E022D" w:rsidRDefault="007D19D6">
      <w:pPr>
        <w:pStyle w:val="ANNEX"/>
        <w:rPr>
          <w:noProof/>
        </w:rPr>
      </w:pPr>
      <w:bookmarkStart w:id="1378" w:name="_Toc58431976"/>
      <w:bookmarkStart w:id="1379" w:name="_Toc59439628"/>
      <w:bookmarkStart w:id="1380" w:name="_Toc59645285"/>
      <w:bookmarkStart w:id="1381" w:name="_Toc59988426"/>
      <w:r>
        <w:rPr>
          <w:noProof/>
        </w:rPr>
        <w:t xml:space="preserve">LAW-6. PIELIKUMS. </w:t>
      </w:r>
      <w:r>
        <w:rPr>
          <w:caps/>
          <w:noProof/>
        </w:rPr>
        <w:t xml:space="preserve">Apmaiņa ar informāciju, kas izgūta no sodāmības </w:t>
      </w:r>
      <w:r>
        <w:rPr>
          <w:caps/>
          <w:noProof/>
        </w:rPr>
        <w:t>reģistra – tehniskās un procesuālās specifikācijas</w:t>
      </w:r>
      <w:bookmarkEnd w:id="1378"/>
      <w:bookmarkEnd w:id="1379"/>
      <w:bookmarkEnd w:id="1380"/>
      <w:bookmarkEnd w:id="1381"/>
      <w:r>
        <w:rPr>
          <w:noProof/>
        </w:rPr>
        <w:tab/>
      </w:r>
    </w:p>
    <w:p w:rsidR="003E022D" w:rsidRDefault="007D19D6">
      <w:pPr>
        <w:pStyle w:val="Chapter"/>
        <w:rPr>
          <w:noProof/>
        </w:rPr>
      </w:pPr>
      <w:r>
        <w:rPr>
          <w:noProof/>
        </w:rPr>
        <w:t>1. NODAĻA. VISPĀRĪGI NOTEIKUMI</w:t>
      </w:r>
    </w:p>
    <w:p w:rsidR="003E022D" w:rsidRDefault="007D19D6">
      <w:pPr>
        <w:pStyle w:val="Article"/>
        <w:rPr>
          <w:noProof/>
        </w:rPr>
      </w:pPr>
      <w:r>
        <w:rPr>
          <w:noProof/>
        </w:rPr>
        <w:t>1. pants. Mērķis</w:t>
      </w:r>
    </w:p>
    <w:p w:rsidR="003E022D" w:rsidRDefault="007D19D6">
      <w:pPr>
        <w:spacing w:before="120" w:after="120"/>
        <w:rPr>
          <w:rFonts w:eastAsia="Calibri" w:cs="Calibri"/>
          <w:strike/>
          <w:noProof/>
        </w:rPr>
      </w:pPr>
      <w:r>
        <w:rPr>
          <w:noProof/>
        </w:rPr>
        <w:t>Šā pielikuma mērķis ir noteikt procesuālos un tehniskos noteikumus, kas vajadzīgi trešās daļas IX sadaļas [Apmaiņa ar informāciju, kas izgūta no sodāmības r</w:t>
      </w:r>
      <w:r>
        <w:rPr>
          <w:noProof/>
        </w:rPr>
        <w:t>eģistra] īstenošanai.</w:t>
      </w:r>
    </w:p>
    <w:p w:rsidR="003E022D" w:rsidRDefault="007D19D6">
      <w:pPr>
        <w:pStyle w:val="Article"/>
        <w:rPr>
          <w:noProof/>
        </w:rPr>
      </w:pPr>
      <w:r>
        <w:rPr>
          <w:noProof/>
        </w:rPr>
        <w:t>2. pants. Saziņas tīkls</w:t>
      </w:r>
    </w:p>
    <w:p w:rsidR="003E022D" w:rsidRDefault="007D19D6">
      <w:pPr>
        <w:numPr>
          <w:ilvl w:val="0"/>
          <w:numId w:val="755"/>
        </w:numPr>
        <w:spacing w:before="120" w:after="120"/>
        <w:ind w:left="0" w:firstLine="0"/>
        <w:rPr>
          <w:rFonts w:eastAsia="Calibri" w:cs="Calibri"/>
          <w:noProof/>
        </w:rPr>
      </w:pPr>
      <w:r>
        <w:rPr>
          <w:noProof/>
        </w:rPr>
        <w:t xml:space="preserve">Elektroniskā apmaiņa ar informāciju, kas izgūta no sodāmības reģistra, starp dalībvalsti, no vienas puses, un Apvienoto Karalisti, no otras puses, notiek, izmantojot kopīgu sakaru infrastruktūru, kas nodrošina </w:t>
      </w:r>
      <w:r>
        <w:rPr>
          <w:noProof/>
        </w:rPr>
        <w:t xml:space="preserve">šifrētus sakarus.   </w:t>
      </w:r>
    </w:p>
    <w:p w:rsidR="003E022D" w:rsidRDefault="007D19D6">
      <w:pPr>
        <w:numPr>
          <w:ilvl w:val="0"/>
          <w:numId w:val="755"/>
        </w:numPr>
        <w:spacing w:before="120" w:after="120"/>
        <w:ind w:left="0" w:firstLine="0"/>
        <w:rPr>
          <w:rFonts w:eastAsia="Calibri" w:cs="Calibri"/>
          <w:noProof/>
        </w:rPr>
      </w:pPr>
      <w:r>
        <w:rPr>
          <w:noProof/>
        </w:rPr>
        <w:t>Kopīgā sakaru infrastruktūra ir Eiropas pakalpojumu telemātikai starp iestādēm (</w:t>
      </w:r>
      <w:r>
        <w:rPr>
          <w:i/>
          <w:noProof/>
        </w:rPr>
        <w:t>TESTA</w:t>
      </w:r>
      <w:r>
        <w:rPr>
          <w:noProof/>
        </w:rPr>
        <w:t>) sakaru tīkls. Turpmāki šā tīkla uzlabojumi vai ikviens alternatīvs drošs tīkls nodrošina ieviestās kopīgās sakaru infrastruktūras atbilstību drošība</w:t>
      </w:r>
      <w:r>
        <w:rPr>
          <w:noProof/>
        </w:rPr>
        <w:t>s prasībām, kas ir piemērotas apmaiņai ar informāciju, kas izgūta no sodāmības reģistra.</w:t>
      </w:r>
    </w:p>
    <w:p w:rsidR="003E022D" w:rsidRDefault="007D19D6">
      <w:pPr>
        <w:pStyle w:val="Article"/>
        <w:rPr>
          <w:noProof/>
        </w:rPr>
      </w:pPr>
      <w:r>
        <w:rPr>
          <w:noProof/>
        </w:rPr>
        <w:t>3. pants. Saslēguma programmatūra</w:t>
      </w:r>
    </w:p>
    <w:p w:rsidR="003E022D" w:rsidRDefault="007D19D6">
      <w:pPr>
        <w:numPr>
          <w:ilvl w:val="0"/>
          <w:numId w:val="756"/>
        </w:numPr>
        <w:spacing w:before="120" w:after="120"/>
        <w:ind w:left="0" w:firstLine="0"/>
        <w:rPr>
          <w:rFonts w:eastAsia="Calibri" w:cs="Calibri"/>
          <w:noProof/>
        </w:rPr>
      </w:pPr>
      <w:r>
        <w:rPr>
          <w:noProof/>
        </w:rPr>
        <w:t>Valstis izmanto standartizētu saslēguma programmatūru, kas ļauj to centrālajām iestādēm pieslēgties kopīgajai sakaru infrastruktūrai,</w:t>
      </w:r>
      <w:r>
        <w:rPr>
          <w:noProof/>
        </w:rPr>
        <w:t xml:space="preserve"> lai elektroniski apmainītos ar informāciju, kura izgūta no sodāmības reģistra, ar pārējām valstīm saskaņā ar trešās daļas IX sadaļas [Apmaiņa ar informāciju, kas izgūta no sodāmības reģistra] un šā pielikuma noteikumiem.</w:t>
      </w:r>
    </w:p>
    <w:p w:rsidR="003E022D" w:rsidRDefault="007D19D6">
      <w:pPr>
        <w:numPr>
          <w:ilvl w:val="0"/>
          <w:numId w:val="756"/>
        </w:numPr>
        <w:spacing w:before="120" w:after="120"/>
        <w:ind w:left="0" w:firstLine="0"/>
        <w:rPr>
          <w:rFonts w:eastAsia="Calibri" w:cs="Calibri"/>
          <w:noProof/>
        </w:rPr>
      </w:pPr>
      <w:r>
        <w:rPr>
          <w:noProof/>
        </w:rPr>
        <w:t>Attiecībā uz dalībvalstīm saslēgum</w:t>
      </w:r>
      <w:r>
        <w:rPr>
          <w:noProof/>
        </w:rPr>
        <w:t xml:space="preserve">a programmatūra ir </w:t>
      </w:r>
      <w:r>
        <w:rPr>
          <w:i/>
          <w:noProof/>
        </w:rPr>
        <w:t>ECRIS</w:t>
      </w:r>
      <w:r>
        <w:rPr>
          <w:noProof/>
        </w:rPr>
        <w:t xml:space="preserve"> ieteicamā īstenošanas programmatūra vai to valsts </w:t>
      </w:r>
      <w:r>
        <w:rPr>
          <w:i/>
          <w:noProof/>
        </w:rPr>
        <w:t>ECRIS</w:t>
      </w:r>
      <w:r>
        <w:rPr>
          <w:noProof/>
        </w:rPr>
        <w:t xml:space="preserve"> īstenošanas programmatūra, kas vajadzības gadījumā pielāgota informācijas apmaiņai ar Apvienoto Karalisti, kā tas izklāstīts šajā nolīgumā. </w:t>
      </w:r>
    </w:p>
    <w:p w:rsidR="003E022D" w:rsidRDefault="007D19D6">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Apvienotā Karaliste ir atbildīga p</w:t>
      </w:r>
      <w:r>
        <w:rPr>
          <w:noProof/>
          <w:color w:val="000000"/>
        </w:rPr>
        <w:t xml:space="preserve">ar savas saslēguma programmatūras izstrādi un darbību. Šajā nolūkā vēlākais pirms šā nolīguma stāšanās spēkā Apvienotā Karaliste nodrošina, ka tās valsts saslēguma programmatūra darbojas saskaņā ar protokoliem un tehniskajām specifikācijām, kas izveidotas </w:t>
      </w:r>
      <w:r>
        <w:rPr>
          <w:i/>
          <w:noProof/>
          <w:color w:val="000000"/>
        </w:rPr>
        <w:t>ECRIS</w:t>
      </w:r>
      <w:r>
        <w:rPr>
          <w:noProof/>
          <w:color w:val="000000"/>
        </w:rPr>
        <w:t xml:space="preserve"> ieteicamajai īstenošanas programmatūrai, un saskaņā ar visām papildu tehniskajām prasībām, ko noteikusi </w:t>
      </w:r>
      <w:r>
        <w:rPr>
          <w:i/>
          <w:noProof/>
          <w:color w:val="000000"/>
        </w:rPr>
        <w:t>eu-LISA</w:t>
      </w:r>
      <w:r>
        <w:rPr>
          <w:noProof/>
          <w:color w:val="000000"/>
        </w:rPr>
        <w:t>.</w:t>
      </w:r>
    </w:p>
    <w:p w:rsidR="003E022D" w:rsidRDefault="007D19D6">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Apvienotā Karaliste bez liekas kavēšanās nodrošina arī, ka tās valsts saslēguma programmatūrā tiek īstenoti visi turpmākie tehniskie piel</w:t>
      </w:r>
      <w:r>
        <w:rPr>
          <w:noProof/>
          <w:color w:val="000000"/>
        </w:rPr>
        <w:t xml:space="preserve">āgojumi, kuri vajadzīgi saistībā ar jebkādām izmaiņām </w:t>
      </w:r>
      <w:r>
        <w:rPr>
          <w:i/>
          <w:noProof/>
          <w:color w:val="000000"/>
        </w:rPr>
        <w:t>ECRIS</w:t>
      </w:r>
      <w:r>
        <w:rPr>
          <w:noProof/>
          <w:color w:val="000000"/>
        </w:rPr>
        <w:t xml:space="preserve"> ieteicamās īstenošanas programmatūras tehniskajās specifikācijās vai izmaiņām jebkādās papildu tehniskajās prasībās, ko noteikusi </w:t>
      </w:r>
      <w:r>
        <w:rPr>
          <w:i/>
          <w:noProof/>
          <w:color w:val="000000"/>
        </w:rPr>
        <w:t>eu-LISA</w:t>
      </w:r>
      <w:r>
        <w:rPr>
          <w:noProof/>
          <w:color w:val="000000"/>
        </w:rPr>
        <w:t>. Šajā nolūkā Savienība nodrošina, ka Apvienoto Karalisti b</w:t>
      </w:r>
      <w:r>
        <w:rPr>
          <w:noProof/>
          <w:color w:val="000000"/>
        </w:rPr>
        <w:t>ez liekas kavēšanās informē par visām plānotajām izmaiņām tehniskajās specifikācijās vai prasībās un ka tai sniedz visu informāciju, kas nepieciešama, lai Apvienotā Karaliste varētu izpildīt savus pienākumus saskaņā ar šo pielikumu.</w:t>
      </w:r>
    </w:p>
    <w:p w:rsidR="003E022D" w:rsidRDefault="007D19D6">
      <w:pPr>
        <w:pStyle w:val="Article"/>
        <w:rPr>
          <w:noProof/>
        </w:rPr>
      </w:pPr>
      <w:r>
        <w:rPr>
          <w:noProof/>
        </w:rPr>
        <w:t xml:space="preserve">4. pants. Paziņojumos, </w:t>
      </w:r>
      <w:r>
        <w:rPr>
          <w:noProof/>
        </w:rPr>
        <w:t xml:space="preserve">pieprasījumos un atbildēs nosūtāmā informācija </w:t>
      </w:r>
    </w:p>
    <w:p w:rsidR="003E022D" w:rsidRDefault="007D19D6">
      <w:pPr>
        <w:numPr>
          <w:ilvl w:val="0"/>
          <w:numId w:val="757"/>
        </w:numPr>
        <w:spacing w:before="120" w:after="120"/>
        <w:ind w:left="0" w:firstLine="0"/>
        <w:rPr>
          <w:rFonts w:eastAsia="Calibri" w:cs="Calibri"/>
          <w:noProof/>
        </w:rPr>
      </w:pPr>
      <w:r>
        <w:rPr>
          <w:noProof/>
        </w:rPr>
        <w:t>Visos paziņojumos, kas minēti LAW.EXINF.123. pantā [Paziņojumi] , iekļauj šādu obligāto informāciju:</w:t>
      </w:r>
    </w:p>
    <w:p w:rsidR="003E022D" w:rsidRDefault="007D19D6">
      <w:pPr>
        <w:numPr>
          <w:ilvl w:val="0"/>
          <w:numId w:val="759"/>
        </w:numPr>
        <w:spacing w:before="120" w:after="120"/>
        <w:ind w:left="567" w:hanging="567"/>
        <w:rPr>
          <w:rFonts w:eastAsia="Calibri" w:cs="Calibri"/>
          <w:noProof/>
        </w:rPr>
      </w:pPr>
      <w:r>
        <w:rPr>
          <w:noProof/>
        </w:rPr>
        <w:t xml:space="preserve">informācija par notiesāto personu (pilns vārds, dzimšanas datums, dzimšanas vieta (pilsēta un valsts), </w:t>
      </w:r>
      <w:r>
        <w:rPr>
          <w:noProof/>
        </w:rPr>
        <w:t>dzimums, valstspiederība un attiecīgā gadījumā iepriekšējais vārds vai vārdi);</w:t>
      </w:r>
    </w:p>
    <w:p w:rsidR="003E022D" w:rsidRDefault="007D19D6">
      <w:pPr>
        <w:numPr>
          <w:ilvl w:val="0"/>
          <w:numId w:val="759"/>
        </w:numPr>
        <w:spacing w:before="120" w:after="120"/>
        <w:ind w:left="567" w:hanging="567"/>
        <w:rPr>
          <w:rFonts w:eastAsia="Calibri" w:cs="Calibri"/>
          <w:noProof/>
        </w:rPr>
      </w:pPr>
      <w:r>
        <w:rPr>
          <w:noProof/>
        </w:rPr>
        <w:t>informācija par notiesājošā sprieduma būtību (notiesājošā sprieduma datums, tiesas nosaukums, diena, kad spriedums kļuvis galīgs);</w:t>
      </w:r>
    </w:p>
    <w:p w:rsidR="003E022D" w:rsidRDefault="007D19D6">
      <w:pPr>
        <w:numPr>
          <w:ilvl w:val="0"/>
          <w:numId w:val="759"/>
        </w:numPr>
        <w:spacing w:before="120" w:after="120"/>
        <w:ind w:left="567" w:hanging="567"/>
        <w:rPr>
          <w:rFonts w:eastAsia="Calibri" w:cs="Calibri"/>
          <w:noProof/>
        </w:rPr>
      </w:pPr>
      <w:r>
        <w:rPr>
          <w:noProof/>
        </w:rPr>
        <w:t xml:space="preserve">informācija par noziedzīgo nodarījumu, kas ir </w:t>
      </w:r>
      <w:r>
        <w:rPr>
          <w:noProof/>
        </w:rPr>
        <w:t>notiesājošā sprieduma pamatā (notiesājošā sprieduma pamatā esošā noziedzīgā nodarījuma izdarīšanas datums un noziedzīgā nodarījuma nosaukums vai juridiskā kvalifikācija, kā arī atsauce uz piemērojamajām tiesību normām); kā arī</w:t>
      </w:r>
    </w:p>
    <w:p w:rsidR="003E022D" w:rsidRDefault="007D19D6">
      <w:pPr>
        <w:numPr>
          <w:ilvl w:val="0"/>
          <w:numId w:val="759"/>
        </w:numPr>
        <w:spacing w:before="120" w:after="120"/>
        <w:ind w:left="567" w:hanging="567"/>
        <w:rPr>
          <w:rFonts w:eastAsia="Calibri" w:cs="Calibri"/>
          <w:noProof/>
        </w:rPr>
      </w:pPr>
      <w:r>
        <w:rPr>
          <w:noProof/>
        </w:rPr>
        <w:t>informācija par notiesājošā s</w:t>
      </w:r>
      <w:r>
        <w:rPr>
          <w:noProof/>
        </w:rPr>
        <w:t>prieduma saturu (proti, piespriestais sods, kā arī jebkādi papildu sodi, drošības pasākumi un turpmāki lēmumi, kas ietekmē sprieduma izpildi).</w:t>
      </w:r>
    </w:p>
    <w:p w:rsidR="003E022D" w:rsidRDefault="007D19D6">
      <w:pPr>
        <w:numPr>
          <w:ilvl w:val="0"/>
          <w:numId w:val="757"/>
        </w:numPr>
        <w:spacing w:before="120" w:after="120"/>
        <w:ind w:left="0" w:firstLine="0"/>
        <w:rPr>
          <w:rFonts w:eastAsia="Calibri" w:cs="Calibri"/>
          <w:noProof/>
        </w:rPr>
      </w:pPr>
      <w:r>
        <w:rPr>
          <w:noProof/>
        </w:rPr>
        <w:t>Paziņojumos tiek nosūtīta šāda fakultatīva informācija, ja tā ir iekļauta sodāmības reģistrā (a) līdz d) apakšpun</w:t>
      </w:r>
      <w:r>
        <w:rPr>
          <w:noProof/>
        </w:rPr>
        <w:t>kts) vai ir pieejama centrālajai iestādei (e) līdz h) apakšpunkts):</w:t>
      </w:r>
    </w:p>
    <w:p w:rsidR="003E022D" w:rsidRDefault="007D19D6">
      <w:pPr>
        <w:numPr>
          <w:ilvl w:val="0"/>
          <w:numId w:val="952"/>
        </w:numPr>
        <w:spacing w:before="120" w:after="120"/>
        <w:ind w:left="567" w:hanging="567"/>
        <w:rPr>
          <w:rFonts w:eastAsia="Calibri" w:cs="Calibri"/>
          <w:noProof/>
        </w:rPr>
      </w:pPr>
      <w:r>
        <w:rPr>
          <w:noProof/>
        </w:rPr>
        <w:t>notiesātās personas vecāku vārdi;</w:t>
      </w:r>
    </w:p>
    <w:p w:rsidR="003E022D" w:rsidRDefault="007D19D6">
      <w:pPr>
        <w:numPr>
          <w:ilvl w:val="0"/>
          <w:numId w:val="952"/>
        </w:numPr>
        <w:spacing w:before="120" w:after="120"/>
        <w:ind w:left="567" w:hanging="567"/>
        <w:rPr>
          <w:rFonts w:eastAsia="Calibri" w:cs="Calibri"/>
          <w:noProof/>
        </w:rPr>
      </w:pPr>
      <w:r>
        <w:rPr>
          <w:noProof/>
        </w:rPr>
        <w:t>notiesājošā sprieduma atsauces numurs;</w:t>
      </w:r>
    </w:p>
    <w:p w:rsidR="003E022D" w:rsidRDefault="007D19D6">
      <w:pPr>
        <w:numPr>
          <w:ilvl w:val="0"/>
          <w:numId w:val="952"/>
        </w:numPr>
        <w:spacing w:before="120" w:after="120"/>
        <w:ind w:left="567" w:hanging="567"/>
        <w:rPr>
          <w:rFonts w:eastAsia="Calibri" w:cs="Calibri"/>
          <w:noProof/>
        </w:rPr>
      </w:pPr>
      <w:r>
        <w:rPr>
          <w:noProof/>
        </w:rPr>
        <w:t>noziedzīgā nodarījuma izdarīšanas vieta;</w:t>
      </w:r>
    </w:p>
    <w:p w:rsidR="003E022D" w:rsidRDefault="007D19D6">
      <w:pPr>
        <w:numPr>
          <w:ilvl w:val="0"/>
          <w:numId w:val="952"/>
        </w:numPr>
        <w:spacing w:before="120" w:after="120"/>
        <w:ind w:left="567" w:hanging="567"/>
        <w:rPr>
          <w:rFonts w:eastAsia="Calibri" w:cs="Calibri"/>
          <w:noProof/>
        </w:rPr>
      </w:pPr>
      <w:r>
        <w:rPr>
          <w:noProof/>
        </w:rPr>
        <w:t xml:space="preserve">no notiesājošā sprieduma izrietoši aizliegumi veikt noteiktu profesionālo </w:t>
      </w:r>
      <w:r>
        <w:rPr>
          <w:noProof/>
        </w:rPr>
        <w:t>darbību;</w:t>
      </w:r>
    </w:p>
    <w:p w:rsidR="003E022D" w:rsidRDefault="007D19D6">
      <w:pPr>
        <w:numPr>
          <w:ilvl w:val="0"/>
          <w:numId w:val="952"/>
        </w:numPr>
        <w:spacing w:before="120" w:after="120"/>
        <w:ind w:left="567" w:hanging="567"/>
        <w:rPr>
          <w:rFonts w:eastAsia="Calibri" w:cs="Calibri"/>
          <w:noProof/>
        </w:rPr>
      </w:pPr>
      <w:r>
        <w:rPr>
          <w:noProof/>
        </w:rPr>
        <w:t>notiesātās personas identitātes numurs vai personas identifikācijas dokumenta veids un numurs;</w:t>
      </w:r>
    </w:p>
    <w:p w:rsidR="003E022D" w:rsidRDefault="007D19D6">
      <w:pPr>
        <w:numPr>
          <w:ilvl w:val="0"/>
          <w:numId w:val="952"/>
        </w:numPr>
        <w:spacing w:before="120" w:after="120"/>
        <w:ind w:left="567" w:hanging="567"/>
        <w:rPr>
          <w:rFonts w:eastAsia="Calibri" w:cs="Calibri"/>
          <w:noProof/>
        </w:rPr>
      </w:pPr>
      <w:r>
        <w:rPr>
          <w:noProof/>
        </w:rPr>
        <w:t>attiecīgajai personai noņemti pirkstu nospiedumi;</w:t>
      </w:r>
    </w:p>
    <w:p w:rsidR="003E022D" w:rsidRDefault="007D19D6">
      <w:pPr>
        <w:numPr>
          <w:ilvl w:val="0"/>
          <w:numId w:val="952"/>
        </w:numPr>
        <w:spacing w:before="120" w:after="120"/>
        <w:ind w:left="567" w:hanging="567"/>
        <w:rPr>
          <w:rFonts w:eastAsia="Calibri" w:cs="Calibri"/>
          <w:noProof/>
        </w:rPr>
      </w:pPr>
      <w:r>
        <w:rPr>
          <w:noProof/>
        </w:rPr>
        <w:t>attiecīgā gadījumā — pseidonīms un/vai pieņemtais(-ie) vārds(-i);</w:t>
      </w:r>
    </w:p>
    <w:p w:rsidR="003E022D" w:rsidRDefault="007D19D6">
      <w:pPr>
        <w:numPr>
          <w:ilvl w:val="0"/>
          <w:numId w:val="952"/>
        </w:numPr>
        <w:spacing w:before="120" w:after="120"/>
        <w:ind w:left="567" w:hanging="567"/>
        <w:rPr>
          <w:rFonts w:eastAsia="Calibri" w:cs="Calibri"/>
          <w:noProof/>
        </w:rPr>
      </w:pPr>
      <w:r>
        <w:rPr>
          <w:noProof/>
        </w:rPr>
        <w:t>sejas attēls.</w:t>
      </w:r>
    </w:p>
    <w:p w:rsidR="003E022D" w:rsidRDefault="007D19D6">
      <w:pPr>
        <w:spacing w:before="120" w:after="120"/>
        <w:rPr>
          <w:rFonts w:eastAsia="Calibri" w:cs="Calibri"/>
          <w:noProof/>
        </w:rPr>
      </w:pPr>
      <w:r>
        <w:rPr>
          <w:noProof/>
        </w:rPr>
        <w:t xml:space="preserve">Turklāt var nosūtīt </w:t>
      </w:r>
      <w:r>
        <w:rPr>
          <w:noProof/>
        </w:rPr>
        <w:t>jebkuru citu sodāmības reģistrā iekļautu informāciju par notiesājošiem spriedumiem.</w:t>
      </w:r>
    </w:p>
    <w:p w:rsidR="003E022D" w:rsidRDefault="007D19D6">
      <w:pPr>
        <w:numPr>
          <w:ilvl w:val="0"/>
          <w:numId w:val="757"/>
        </w:numPr>
        <w:spacing w:before="120" w:after="120"/>
        <w:ind w:left="0" w:firstLine="0"/>
        <w:rPr>
          <w:rFonts w:eastAsia="Calibri" w:cs="Calibri"/>
          <w:noProof/>
        </w:rPr>
      </w:pPr>
      <w:r>
        <w:rPr>
          <w:noProof/>
        </w:rPr>
        <w:t>Visus LAW.EXINF.125. pantā [Informācijas lūgumi] minētos informācijas lūgumus iesniedz standartizētā elektroniskā formātā saskaņā ar šā pielikuma 2. nodaļā [VEIDLAPAS] iekļ</w:t>
      </w:r>
      <w:r>
        <w:rPr>
          <w:noProof/>
        </w:rPr>
        <w:t>auto veidlapas paraugu vienā no lūguma saņēmējas valsts oficiālajām valodām.</w:t>
      </w:r>
    </w:p>
    <w:p w:rsidR="003E022D" w:rsidRDefault="007D19D6">
      <w:pPr>
        <w:numPr>
          <w:ilvl w:val="0"/>
          <w:numId w:val="757"/>
        </w:numPr>
        <w:spacing w:before="120" w:after="120"/>
        <w:ind w:left="0" w:firstLine="0"/>
        <w:rPr>
          <w:rFonts w:eastAsia="Calibri" w:cs="Calibri"/>
          <w:noProof/>
        </w:rPr>
      </w:pPr>
      <w:r>
        <w:rPr>
          <w:noProof/>
        </w:rPr>
        <w:t>Visas atbildes uz LAW.EXINF.126. pantā [Atbildes uz lūgumiem] minētajiem lūgumiem iesniedz standartizētā elektroniskā formātā saskaņā ar šā pielikuma 2. nodaļā [VEIDLAPAS] iekļaut</w:t>
      </w:r>
      <w:r>
        <w:rPr>
          <w:noProof/>
        </w:rPr>
        <w:t>o veidlapas paraugu, pievienojot notiesājošo spriedumu sarakstu, kā paredzēts valsts tiesību aktos. Pieprasījuma saņēmēja valsts atbild vai nu vienā no savām valsts valodām, vai arī citā valodā, kas ir pieņemama abām Pusēm. Apvienotā Karaliste, no vienas p</w:t>
      </w:r>
      <w:r>
        <w:rPr>
          <w:noProof/>
        </w:rPr>
        <w:t>uses, un Savienība jebkuras tās dalībvalsts uzdevumā, no otras puses, var informēt Specializēto komiteju tiesībaizsardzības un tiesu iestāžu sadarbības jautājumos par valodām, kuras ir tām pieņemamas papildus minētās valsts oficiālajām valodām.</w:t>
      </w:r>
    </w:p>
    <w:p w:rsidR="003E022D" w:rsidRDefault="007D19D6">
      <w:pPr>
        <w:numPr>
          <w:ilvl w:val="0"/>
          <w:numId w:val="757"/>
        </w:numPr>
        <w:spacing w:before="120" w:after="120"/>
        <w:ind w:left="0" w:firstLine="0"/>
        <w:rPr>
          <w:rFonts w:eastAsia="Calibri" w:cs="Calibri"/>
          <w:noProof/>
        </w:rPr>
      </w:pPr>
      <w:r>
        <w:rPr>
          <w:noProof/>
        </w:rPr>
        <w:t>Specializēt</w:t>
      </w:r>
      <w:r>
        <w:rPr>
          <w:noProof/>
        </w:rPr>
        <w:t>ā komiteja tiesībaizsardzības un tiesu iestāžu sadarbības jautājumos vajadzības gadījumā pieņem jebkādus grozījumus šā pielikuma 2. nodaļā [VEIDLAPAS] iekļautajās tabulās, kas minētas 3.–4. punktā.</w:t>
      </w:r>
    </w:p>
    <w:p w:rsidR="003E022D" w:rsidRDefault="007D19D6">
      <w:pPr>
        <w:pStyle w:val="Article"/>
        <w:rPr>
          <w:noProof/>
        </w:rPr>
      </w:pPr>
      <w:r>
        <w:rPr>
          <w:noProof/>
        </w:rPr>
        <w:t>5. pants. Informācijas nosūtīšanas formāts</w:t>
      </w:r>
    </w:p>
    <w:p w:rsidR="003E022D" w:rsidRDefault="007D19D6">
      <w:pPr>
        <w:numPr>
          <w:ilvl w:val="0"/>
          <w:numId w:val="758"/>
        </w:numPr>
        <w:spacing w:before="120" w:after="120"/>
        <w:ind w:left="0" w:firstLine="0"/>
        <w:rPr>
          <w:rFonts w:eastAsia="Calibri" w:cs="Calibri"/>
          <w:noProof/>
        </w:rPr>
      </w:pPr>
      <w:r>
        <w:rPr>
          <w:noProof/>
        </w:rPr>
        <w:t>Nosūtot informā</w:t>
      </w:r>
      <w:r>
        <w:rPr>
          <w:noProof/>
        </w:rPr>
        <w:t>ciju saskaņā ar LAW.EXINF.123. pantu [Paziņojumi] un LAW.EXINF.126. pantu [Atbildes uz lūgumiem] attiecībā uz nodarījuma nosaukumu vai juridisko kvalifikāciju un piemērojamiem juridiskajiem noteikumiem, valstis norāda katra nosūtītajā informācijā minētā no</w:t>
      </w:r>
      <w:r>
        <w:rPr>
          <w:noProof/>
        </w:rPr>
        <w:t>ziedzīgā nodarījuma atbilstošo kodu, kas norādīts noziedzīgo nodarījumu tabulā šā pielikuma 3. nodaļā [STANDARTIZĒTS INFORMĀCIJAS NOSŪTĪŠANAS FORMĀTS]. Izņēmuma kārtā, ja noziedzīgais nodarījums neatbilst nevienai konkrētai apakškategorijai, konkrētajam no</w:t>
      </w:r>
      <w:r>
        <w:rPr>
          <w:noProof/>
        </w:rPr>
        <w:t>ziedzīgajam nodarījumam izmanto attiecīgās vai tuvākās noziedzīgo nodarījumu kategorijas “atvērtās kategorijas” kodu vai, ja tāda nav, “citu noziedzīgu nodarījumu” kodu.</w:t>
      </w:r>
    </w:p>
    <w:p w:rsidR="003E022D" w:rsidRDefault="007D19D6">
      <w:pPr>
        <w:numPr>
          <w:ilvl w:val="0"/>
          <w:numId w:val="758"/>
        </w:numPr>
        <w:spacing w:before="120" w:after="120"/>
        <w:ind w:left="0" w:firstLine="0"/>
        <w:rPr>
          <w:rFonts w:eastAsia="Calibri" w:cs="Calibri"/>
          <w:noProof/>
        </w:rPr>
      </w:pPr>
      <w:r>
        <w:rPr>
          <w:noProof/>
        </w:rPr>
        <w:t xml:space="preserve">Valstis var arī sniegt informāciju, kas pieejama attiecībā uz noziedzīga nodarījuma </w:t>
      </w:r>
      <w:r>
        <w:rPr>
          <w:noProof/>
        </w:rPr>
        <w:t>pabeigtības pakāpi un līdzdalības pakāpi, un attiecīgā gadījumā — informāciju par pilnīgu vai daļēju atbrīvojumu no kriminālatbildības vai recidīvismu.</w:t>
      </w:r>
    </w:p>
    <w:p w:rsidR="003E022D" w:rsidRDefault="007D19D6">
      <w:pPr>
        <w:numPr>
          <w:ilvl w:val="0"/>
          <w:numId w:val="758"/>
        </w:numPr>
        <w:spacing w:before="120" w:after="120"/>
        <w:ind w:left="0" w:firstLine="0"/>
        <w:rPr>
          <w:rFonts w:eastAsia="Calibri" w:cs="Calibri"/>
          <w:noProof/>
        </w:rPr>
      </w:pPr>
      <w:r>
        <w:rPr>
          <w:noProof/>
        </w:rPr>
        <w:t>Nosūtot informāciju saskaņā ar LAW.EXINF.123. pantu [Paziņojumi] un LAW.EXINF.126. pantu [Atbildes uz pi</w:t>
      </w:r>
      <w:r>
        <w:rPr>
          <w:noProof/>
        </w:rPr>
        <w:t>eprasījumiem] attiecībā uz notiesājošā sprieduma saturu, proti, piespriesto sodu, kā arī jebkādiem papildu sodiem, drošības pasākumiem un turpmākiem lēmumiem, kas ietekmē sprieduma izpildi, valstis norāda katra nosūtītajā informācijā minētā soda un piespie</w:t>
      </w:r>
      <w:r>
        <w:rPr>
          <w:noProof/>
        </w:rPr>
        <w:t>du pasākuma atbilstošo kodu, kas norādīts sodu un piespiedu līdzekļu tabulā šā pielikuma 3. nodaļā [STANDARTIZĒTS INFORMĀCIJAS NOSŪTĪŠANAS FORMĀTS]. Izņēmuma kārtā, ja sods vai piespiedu pasākums neatbilst nevienai konkrētai apakškategorijai, konkrētajam s</w:t>
      </w:r>
      <w:r>
        <w:rPr>
          <w:noProof/>
        </w:rPr>
        <w:t>odam vai pasākumam izmanto attiecīgās vai tuvākās sodu un pasākumu kategorijas “atvērtās kategorijas” kodu vai, ja tādu nav, “citu sodu un pasākumu” kodu.</w:t>
      </w:r>
    </w:p>
    <w:p w:rsidR="003E022D" w:rsidRDefault="007D19D6">
      <w:pPr>
        <w:numPr>
          <w:ilvl w:val="0"/>
          <w:numId w:val="758"/>
        </w:numPr>
        <w:spacing w:before="120" w:after="120"/>
        <w:ind w:left="0" w:firstLine="0"/>
        <w:rPr>
          <w:rFonts w:eastAsia="Calibri" w:cs="Calibri"/>
          <w:noProof/>
        </w:rPr>
      </w:pPr>
      <w:r>
        <w:rPr>
          <w:noProof/>
        </w:rPr>
        <w:t>Attiecīgā gadījumā valstis sniedz arī pieejamo informāciju par uzliktā soda vai piespiedu pasākuma bū</w:t>
      </w:r>
      <w:r>
        <w:rPr>
          <w:noProof/>
        </w:rPr>
        <w:t>tību un/vai izpildes nosacījumiem, kā paredzēts šā pielikuma 3. nodaļas [STANDARTIZĒTS INFORMĀCIJAS NOSŪTĪŠANAS FORMĀTS] parametru tabulā. Parametru “nolēmums, kas nav saistīts ar krimināllietu” norāda tikai gadījumos, kad informāciju par šādu nolēmumu brī</w:t>
      </w:r>
      <w:r>
        <w:rPr>
          <w:noProof/>
        </w:rPr>
        <w:t>vprātīgi sniedz attiecīgās personas valstspiederības valsts, atbildot uz informācijas pieprasījumu par notiesājošiem spriedumiem.</w:t>
      </w:r>
    </w:p>
    <w:p w:rsidR="003E022D" w:rsidRDefault="007D19D6">
      <w:pPr>
        <w:numPr>
          <w:ilvl w:val="0"/>
          <w:numId w:val="758"/>
        </w:numPr>
        <w:spacing w:before="120" w:after="120"/>
        <w:ind w:left="0" w:firstLine="0"/>
        <w:rPr>
          <w:rFonts w:eastAsia="Calibri" w:cs="Calibri"/>
          <w:noProof/>
        </w:rPr>
      </w:pPr>
      <w:r>
        <w:rPr>
          <w:noProof/>
        </w:rPr>
        <w:t>Lai izplatītu šo informāciju citām valstīm, valstis Specializētajai komitejai tiesībaizsardzības un tiesu iestāžu sadarbības j</w:t>
      </w:r>
      <w:r>
        <w:rPr>
          <w:noProof/>
        </w:rPr>
        <w:t>autājumos sniedz šādu informāciju:</w:t>
      </w:r>
    </w:p>
    <w:p w:rsidR="003E022D" w:rsidRDefault="007D19D6">
      <w:pPr>
        <w:numPr>
          <w:ilvl w:val="0"/>
          <w:numId w:val="760"/>
        </w:numPr>
        <w:spacing w:before="120" w:after="120"/>
        <w:ind w:left="567" w:hanging="567"/>
        <w:rPr>
          <w:rFonts w:eastAsia="Calibri" w:cs="Calibri"/>
          <w:noProof/>
        </w:rPr>
      </w:pPr>
      <w:r>
        <w:rPr>
          <w:noProof/>
        </w:rPr>
        <w:t>valsts noziedzīgo nodarījumu sarakstu katrā kategorijā, kas minēta noziedzīgo nodarījumu tabulā šā pielikuma 3. nodaļā [STANDARTIZĒTS INFORMĀCIJAS NOSŪTĪŠANAS FORMĀTS]. Sarakstā iekļauj noziedzīgā nodarījuma nosaukumu vai</w:t>
      </w:r>
      <w:r>
        <w:rPr>
          <w:noProof/>
        </w:rPr>
        <w:t xml:space="preserve"> juridisko klasifikāciju un atsauci uz piemērojamām tiesību normām. Tajā var iekļaut arī noziedzīgā nodarījuma elementu īsu aprakstu;</w:t>
      </w:r>
    </w:p>
    <w:p w:rsidR="003E022D" w:rsidRDefault="007D19D6">
      <w:pPr>
        <w:numPr>
          <w:ilvl w:val="0"/>
          <w:numId w:val="760"/>
        </w:numPr>
        <w:spacing w:before="120" w:after="120"/>
        <w:ind w:left="567" w:hanging="567"/>
        <w:rPr>
          <w:rFonts w:eastAsia="Calibri" w:cs="Calibri"/>
          <w:noProof/>
        </w:rPr>
      </w:pPr>
      <w:r>
        <w:rPr>
          <w:noProof/>
        </w:rPr>
        <w:t>sarakstu par notiesājošo spriedumu veidiem, iespējamiem papildu sodiem un drošības pasākumiem un iespējamiem turpmākiem lē</w:t>
      </w:r>
      <w:r>
        <w:rPr>
          <w:noProof/>
        </w:rPr>
        <w:t>mumiem, kas ietekmē sprieduma izpildi, kā tie definēti valsts tiesību aktos, katrā no šā pielikuma 3. nodaļā [STANDARTIZĒTS INFORMĀCIJAS NOSŪTĪŠANAS FORMĀTS] sodu un piespiedu pasākumu tabulā minētajām kategorijām. Tajā var arī iekļaut īsu konkrētā soda va</w:t>
      </w:r>
      <w:r>
        <w:rPr>
          <w:noProof/>
        </w:rPr>
        <w:t>i piespiedu pasākuma aprakstu.</w:t>
      </w:r>
    </w:p>
    <w:p w:rsidR="003E022D" w:rsidRDefault="007D19D6">
      <w:pPr>
        <w:numPr>
          <w:ilvl w:val="0"/>
          <w:numId w:val="758"/>
        </w:numPr>
        <w:spacing w:before="120" w:after="120"/>
        <w:ind w:left="0" w:firstLine="0"/>
        <w:rPr>
          <w:rFonts w:eastAsia="Calibri" w:cs="Calibri"/>
          <w:noProof/>
        </w:rPr>
      </w:pPr>
      <w:r>
        <w:rPr>
          <w:noProof/>
        </w:rPr>
        <w:t>Valstis regulāri atjaunina 5. punktā minētos sarakstus un aprakstus. Atjauninātu informāciju nosūta Specializētajai komitejai tiesībaizsardzības un tiesu iestāžu sadarbības jautājumos.</w:t>
      </w:r>
    </w:p>
    <w:p w:rsidR="003E022D" w:rsidRDefault="007D19D6">
      <w:pPr>
        <w:numPr>
          <w:ilvl w:val="0"/>
          <w:numId w:val="758"/>
        </w:numPr>
        <w:spacing w:before="120" w:after="120"/>
        <w:ind w:left="0" w:firstLine="0"/>
        <w:rPr>
          <w:rFonts w:eastAsia="Calibri" w:cs="Calibri"/>
          <w:noProof/>
        </w:rPr>
      </w:pPr>
      <w:r>
        <w:rPr>
          <w:noProof/>
        </w:rPr>
        <w:t>Specializētā komiteja tiesībaizsardzības</w:t>
      </w:r>
      <w:r>
        <w:rPr>
          <w:noProof/>
        </w:rPr>
        <w:t xml:space="preserve"> un tiesu iestāžu sadarbības jautājumos vajadzības gadījumā pieņem jebkādus grozījumus šā pielikuma 3. nodaļā [STANDARTIZĒTS INFORMĀCIJAS NOSŪTĪŠANAS FORMĀTS] iekļautajās tabulās, kas minētas 1.–4. punktā.</w:t>
      </w:r>
    </w:p>
    <w:p w:rsidR="003E022D" w:rsidRDefault="007D19D6">
      <w:pPr>
        <w:pStyle w:val="Article"/>
        <w:rPr>
          <w:noProof/>
        </w:rPr>
      </w:pPr>
      <w:r>
        <w:rPr>
          <w:noProof/>
        </w:rPr>
        <w:t>6. pants. Nosūtīšanas nepārtrauktība</w:t>
      </w:r>
    </w:p>
    <w:p w:rsidR="003E022D" w:rsidRDefault="007D19D6">
      <w:pPr>
        <w:spacing w:before="120" w:after="120"/>
        <w:rPr>
          <w:rFonts w:eastAsia="Calibri" w:cs="Calibri"/>
          <w:noProof/>
        </w:rPr>
      </w:pPr>
      <w:r>
        <w:rPr>
          <w:noProof/>
        </w:rPr>
        <w:t>Ja uz laiku n</w:t>
      </w:r>
      <w:r>
        <w:rPr>
          <w:noProof/>
        </w:rPr>
        <w:t>av pieejams elektroniskais informācijas nosūtīšanas veids, tad visā šādas nepieejamības laikā valstis sūta informāciju jebkādiem līdzekļiem, ar kuriem iespējams iegūt rakstisku dokumentu, ar nosacījumiem, kas pieprasījuma saņēmējas valsts centrālajai iestā</w:t>
      </w:r>
      <w:r>
        <w:rPr>
          <w:noProof/>
        </w:rPr>
        <w:t>dei ļauj noteikt tā autentiskumu.</w:t>
      </w:r>
    </w:p>
    <w:p w:rsidR="003E022D" w:rsidRDefault="007D19D6">
      <w:pPr>
        <w:pStyle w:val="Article"/>
        <w:rPr>
          <w:noProof/>
        </w:rPr>
      </w:pPr>
      <w:r>
        <w:rPr>
          <w:noProof/>
        </w:rPr>
        <w:t>7. pants. Statistika un ziņošana</w:t>
      </w:r>
    </w:p>
    <w:p w:rsidR="003E022D" w:rsidRDefault="007D19D6">
      <w:pPr>
        <w:numPr>
          <w:ilvl w:val="0"/>
          <w:numId w:val="761"/>
        </w:numPr>
        <w:spacing w:before="120" w:after="120"/>
        <w:ind w:left="0" w:firstLine="0"/>
        <w:rPr>
          <w:noProof/>
        </w:rPr>
      </w:pPr>
      <w:r>
        <w:rPr>
          <w:noProof/>
        </w:rPr>
        <w:t xml:space="preserve">Elektroniskā apmaiņa ar informāciju, kas izgūta no sodāmības reģistra, tiek regulāri izvērtēta saskaņā ar trešās daļas IX sadaļu [Apmaiņa ar informāciju, kas izgūta no sodāmības reģistra]. </w:t>
      </w:r>
      <w:r>
        <w:rPr>
          <w:noProof/>
        </w:rPr>
        <w:t>Izvērtējuma pamatā ir attiecīgo valstu statistika un ziņojumi.</w:t>
      </w:r>
    </w:p>
    <w:p w:rsidR="003E022D" w:rsidRDefault="007D19D6">
      <w:pPr>
        <w:numPr>
          <w:ilvl w:val="0"/>
          <w:numId w:val="761"/>
        </w:numPr>
        <w:spacing w:before="120" w:after="120"/>
        <w:ind w:left="0" w:firstLine="0"/>
        <w:rPr>
          <w:noProof/>
        </w:rPr>
      </w:pPr>
      <w:r>
        <w:rPr>
          <w:noProof/>
        </w:rPr>
        <w:t>Katra valsts apkopo statistiku par saslēguma programmatūras ģenerēto informācijas apmaiņu un katru mēnesi nosūta to Specializētajai komitejai tiesībaizsardzības un tiesu iestāžu sadarbības jaut</w:t>
      </w:r>
      <w:r>
        <w:rPr>
          <w:noProof/>
        </w:rPr>
        <w:t xml:space="preserve">ājumos un </w:t>
      </w:r>
      <w:r>
        <w:rPr>
          <w:i/>
          <w:noProof/>
        </w:rPr>
        <w:t>eu-LISA</w:t>
      </w:r>
      <w:r>
        <w:rPr>
          <w:noProof/>
        </w:rPr>
        <w:t xml:space="preserve">. Specializētajai komitejai tiesībaizsardzības un tiesu iestāžu sadarbības jautājumos un </w:t>
      </w:r>
      <w:r>
        <w:rPr>
          <w:i/>
          <w:noProof/>
        </w:rPr>
        <w:t>eu-LISA</w:t>
      </w:r>
      <w:r>
        <w:rPr>
          <w:noProof/>
        </w:rPr>
        <w:t xml:space="preserve"> valstis iesniedz statistiku par citu valstu valstspiederīgo skaitu, kas notiesāti to teritorijā, un par šādu notiesājošu spriedumu skaitu.</w:t>
      </w:r>
    </w:p>
    <w:p w:rsidR="003E022D" w:rsidRDefault="007D19D6">
      <w:pPr>
        <w:pStyle w:val="Article"/>
        <w:rPr>
          <w:noProof/>
        </w:rPr>
      </w:pPr>
      <w:r>
        <w:rPr>
          <w:noProof/>
        </w:rPr>
        <w:t>8. </w:t>
      </w:r>
      <w:r>
        <w:rPr>
          <w:noProof/>
        </w:rPr>
        <w:t>pants. Tehniskās specifikācijas</w:t>
      </w:r>
    </w:p>
    <w:p w:rsidR="003E022D" w:rsidRDefault="007D19D6">
      <w:pPr>
        <w:spacing w:before="120" w:after="120"/>
        <w:rPr>
          <w:rFonts w:eastAsia="Calibri" w:cs="Calibri"/>
          <w:noProof/>
        </w:rPr>
      </w:pPr>
      <w:r>
        <w:rPr>
          <w:noProof/>
        </w:rPr>
        <w:t xml:space="preserve">Īstenojot šo nolīgumu, valstis ievēro kopējās tehniskās specifikācijas elektroniskai apmaiņai ar informāciju, kas izgūta no sodāmības reģistra, kā tās noteikusi </w:t>
      </w:r>
      <w:r>
        <w:rPr>
          <w:i/>
          <w:noProof/>
        </w:rPr>
        <w:t>eu-LISA</w:t>
      </w:r>
      <w:r>
        <w:rPr>
          <w:noProof/>
        </w:rPr>
        <w:t>, un bez liekas kavēšanās attiecīgi pielāgo savas sistēm</w:t>
      </w:r>
      <w:r>
        <w:rPr>
          <w:noProof/>
        </w:rPr>
        <w:t>as.</w:t>
      </w:r>
    </w:p>
    <w:p w:rsidR="003E022D" w:rsidRDefault="003E022D">
      <w:pPr>
        <w:pStyle w:val="Chapter"/>
        <w:rPr>
          <w:noProof/>
        </w:rPr>
      </w:pPr>
    </w:p>
    <w:p w:rsidR="003E022D" w:rsidRDefault="007D19D6">
      <w:pPr>
        <w:pStyle w:val="Chapter"/>
        <w:rPr>
          <w:noProof/>
        </w:rPr>
      </w:pPr>
      <w:r>
        <w:rPr>
          <w:noProof/>
        </w:rPr>
        <w:t>2. NODAĻA. VEIDLAPAS</w:t>
      </w:r>
    </w:p>
    <w:p w:rsidR="003E022D" w:rsidRDefault="007D19D6">
      <w:pPr>
        <w:shd w:val="clear" w:color="auto" w:fill="FFFFFF"/>
        <w:spacing w:before="240" w:after="120"/>
        <w:rPr>
          <w:rFonts w:eastAsia="Calibri" w:cs="Calibri"/>
          <w:b/>
          <w:noProof/>
          <w:color w:val="444444"/>
        </w:rPr>
      </w:pPr>
      <w:r>
        <w:rPr>
          <w:b/>
          <w:noProof/>
          <w:color w:val="444444"/>
        </w:rPr>
        <w:t>Pieprasījums sniegt informāciju no sodāmības reģistra</w:t>
      </w:r>
    </w:p>
    <w:tbl>
      <w:tblPr>
        <w:tblW w:w="8945" w:type="dxa"/>
        <w:tblLayout w:type="fixed"/>
        <w:tblLook w:val="0400" w:firstRow="0" w:lastRow="0" w:firstColumn="0" w:lastColumn="0" w:noHBand="0" w:noVBand="1"/>
      </w:tblPr>
      <w:tblGrid>
        <w:gridCol w:w="817"/>
        <w:gridCol w:w="8128"/>
      </w:tblGrid>
      <w:tr w:rsidR="003E022D">
        <w:tc>
          <w:tcPr>
            <w:tcW w:w="817" w:type="dxa"/>
            <w:shd w:val="clear" w:color="auto" w:fill="FFFFFF"/>
          </w:tcPr>
          <w:p w:rsidR="003E022D" w:rsidRDefault="007D19D6">
            <w:pPr>
              <w:spacing w:before="120" w:after="0"/>
              <w:rPr>
                <w:rFonts w:eastAsia="Calibri" w:cs="Calibri"/>
                <w:noProof/>
                <w:color w:val="444444"/>
              </w:rPr>
            </w:pPr>
            <w:r>
              <w:rPr>
                <w:noProof/>
                <w:color w:val="444444"/>
              </w:rPr>
              <w:t>a)</w:t>
            </w:r>
          </w:p>
        </w:tc>
        <w:tc>
          <w:tcPr>
            <w:tcW w:w="8128" w:type="dxa"/>
            <w:shd w:val="clear" w:color="auto" w:fill="FFFFFF"/>
          </w:tcPr>
          <w:p w:rsidR="003E022D" w:rsidRDefault="007D19D6">
            <w:pPr>
              <w:spacing w:before="120" w:after="0"/>
              <w:rPr>
                <w:rFonts w:eastAsia="Calibri" w:cs="Calibri"/>
                <w:noProof/>
                <w:color w:val="444444"/>
              </w:rPr>
            </w:pPr>
            <w:r>
              <w:rPr>
                <w:noProof/>
                <w:color w:val="444444"/>
              </w:rPr>
              <w:t xml:space="preserve">Informācija par pieprasījuma iesniedzēju valsti: </w:t>
            </w:r>
          </w:p>
          <w:p w:rsidR="003E022D" w:rsidRDefault="007D19D6">
            <w:pPr>
              <w:spacing w:before="120" w:after="0"/>
              <w:rPr>
                <w:rFonts w:eastAsia="Calibri" w:cs="Calibri"/>
                <w:noProof/>
                <w:color w:val="444444"/>
              </w:rPr>
            </w:pPr>
            <w:r>
              <w:rPr>
                <w:noProof/>
                <w:color w:val="444444"/>
              </w:rPr>
              <w:t>Valsts:</w:t>
            </w:r>
          </w:p>
          <w:p w:rsidR="003E022D" w:rsidRDefault="007D19D6">
            <w:pPr>
              <w:spacing w:before="120" w:after="0"/>
              <w:rPr>
                <w:rFonts w:eastAsia="Calibri" w:cs="Calibri"/>
                <w:noProof/>
                <w:color w:val="444444"/>
              </w:rPr>
            </w:pPr>
            <w:r>
              <w:rPr>
                <w:noProof/>
                <w:color w:val="444444"/>
              </w:rPr>
              <w:t>Centrālā(-ās) iestāde(-es):</w:t>
            </w:r>
          </w:p>
          <w:p w:rsidR="003E022D" w:rsidRDefault="007D19D6">
            <w:pPr>
              <w:spacing w:before="120" w:after="0"/>
              <w:rPr>
                <w:rFonts w:eastAsia="Calibri" w:cs="Calibri"/>
                <w:noProof/>
                <w:color w:val="444444"/>
              </w:rPr>
            </w:pPr>
            <w:r>
              <w:rPr>
                <w:noProof/>
                <w:color w:val="444444"/>
              </w:rPr>
              <w:t>Kontaktpersona:</w:t>
            </w:r>
          </w:p>
          <w:p w:rsidR="003E022D" w:rsidRDefault="007D19D6">
            <w:pPr>
              <w:spacing w:before="120" w:after="0"/>
              <w:rPr>
                <w:rFonts w:eastAsia="Calibri" w:cs="Calibri"/>
                <w:noProof/>
                <w:color w:val="444444"/>
              </w:rPr>
            </w:pPr>
            <w:r>
              <w:rPr>
                <w:noProof/>
                <w:color w:val="444444"/>
              </w:rPr>
              <w:t>Tālrunis (norādīt valsts kodu):</w:t>
            </w:r>
          </w:p>
          <w:p w:rsidR="003E022D" w:rsidRDefault="007D19D6">
            <w:pPr>
              <w:spacing w:before="120" w:after="0"/>
              <w:rPr>
                <w:rFonts w:eastAsia="Calibri" w:cs="Calibri"/>
                <w:noProof/>
                <w:color w:val="444444"/>
              </w:rPr>
            </w:pPr>
            <w:r>
              <w:rPr>
                <w:noProof/>
                <w:color w:val="444444"/>
              </w:rPr>
              <w:t>Fakss (norādīt valsts kodu):</w:t>
            </w:r>
          </w:p>
          <w:p w:rsidR="003E022D" w:rsidRDefault="007D19D6">
            <w:pPr>
              <w:spacing w:before="120" w:after="0"/>
              <w:rPr>
                <w:rFonts w:eastAsia="Calibri" w:cs="Calibri"/>
                <w:noProof/>
                <w:color w:val="444444"/>
              </w:rPr>
            </w:pPr>
            <w:r>
              <w:rPr>
                <w:noProof/>
                <w:color w:val="444444"/>
              </w:rPr>
              <w:t xml:space="preserve">E-pasta </w:t>
            </w:r>
            <w:r>
              <w:rPr>
                <w:noProof/>
                <w:color w:val="444444"/>
              </w:rPr>
              <w:t>adrese:</w:t>
            </w:r>
          </w:p>
          <w:p w:rsidR="003E022D" w:rsidRDefault="007D19D6">
            <w:pPr>
              <w:spacing w:before="120" w:after="0"/>
              <w:rPr>
                <w:rFonts w:eastAsia="Calibri" w:cs="Calibri"/>
                <w:noProof/>
                <w:color w:val="444444"/>
              </w:rPr>
            </w:pPr>
            <w:r>
              <w:rPr>
                <w:noProof/>
                <w:color w:val="444444"/>
              </w:rPr>
              <w:t>Pasta adrese:</w:t>
            </w:r>
          </w:p>
          <w:p w:rsidR="003E022D" w:rsidRDefault="007D19D6">
            <w:pPr>
              <w:spacing w:before="120" w:after="0"/>
              <w:rPr>
                <w:rFonts w:eastAsia="Calibri" w:cs="Calibri"/>
                <w:noProof/>
                <w:color w:val="444444"/>
              </w:rPr>
            </w:pPr>
            <w:r>
              <w:rPr>
                <w:noProof/>
                <w:color w:val="444444"/>
              </w:rPr>
              <w:t>Lietas numurs, ja zināms:</w:t>
            </w:r>
          </w:p>
        </w:tc>
      </w:tr>
    </w:tbl>
    <w:p w:rsidR="003E022D" w:rsidRDefault="003E022D">
      <w:pPr>
        <w:widowControl w:val="0"/>
        <w:pBdr>
          <w:top w:val="nil"/>
          <w:left w:val="nil"/>
          <w:bottom w:val="nil"/>
          <w:right w:val="nil"/>
          <w:between w:val="nil"/>
        </w:pBdr>
        <w:spacing w:after="0"/>
        <w:rPr>
          <w:rFonts w:eastAsia="Calibri" w:cs="Calibri"/>
          <w:noProof/>
          <w:color w:val="444444"/>
        </w:rPr>
      </w:pPr>
    </w:p>
    <w:tbl>
      <w:tblPr>
        <w:tblW w:w="9026" w:type="dxa"/>
        <w:tblLayout w:type="fixed"/>
        <w:tblLook w:val="0400" w:firstRow="0" w:lastRow="0" w:firstColumn="0" w:lastColumn="0" w:noHBand="0" w:noVBand="1"/>
      </w:tblPr>
      <w:tblGrid>
        <w:gridCol w:w="534"/>
        <w:gridCol w:w="8492"/>
      </w:tblGrid>
      <w:tr w:rsidR="003E022D">
        <w:tc>
          <w:tcPr>
            <w:tcW w:w="534" w:type="dxa"/>
            <w:shd w:val="clear" w:color="auto" w:fill="FFFFFF"/>
          </w:tcPr>
          <w:p w:rsidR="003E022D" w:rsidRDefault="007D19D6">
            <w:pPr>
              <w:spacing w:before="120" w:after="0"/>
              <w:rPr>
                <w:rFonts w:eastAsia="Calibri" w:cs="Calibri"/>
                <w:noProof/>
                <w:color w:val="444444"/>
              </w:rPr>
            </w:pPr>
            <w:r>
              <w:rPr>
                <w:noProof/>
                <w:color w:val="444444"/>
              </w:rPr>
              <w:t>b)</w:t>
            </w:r>
          </w:p>
        </w:tc>
        <w:tc>
          <w:tcPr>
            <w:tcW w:w="8492" w:type="dxa"/>
            <w:shd w:val="clear" w:color="auto" w:fill="FFFFFF"/>
          </w:tcPr>
          <w:p w:rsidR="003E022D" w:rsidRDefault="007D19D6">
            <w:pPr>
              <w:spacing w:before="120" w:after="0"/>
              <w:ind w:left="266"/>
              <w:rPr>
                <w:rFonts w:eastAsia="Calibri" w:cs="Calibri"/>
                <w:noProof/>
                <w:color w:val="444444"/>
              </w:rPr>
            </w:pPr>
            <w:r>
              <w:rPr>
                <w:noProof/>
                <w:color w:val="444444"/>
              </w:rPr>
              <w:t>Informācija par tās personas identitāti, uz kuru attiecas pieprasījums</w:t>
            </w:r>
            <w:r>
              <w:rPr>
                <w:noProof/>
              </w:rPr>
              <w:t> (</w:t>
            </w:r>
            <w:r>
              <w:rPr>
                <w:noProof/>
                <w:vertAlign w:val="superscript"/>
              </w:rPr>
              <w:t>1</w:t>
            </w:r>
            <w:r>
              <w:rPr>
                <w:noProof/>
              </w:rPr>
              <w:t>)</w:t>
            </w:r>
            <w:r>
              <w:rPr>
                <w:noProof/>
                <w:color w:val="444444"/>
              </w:rPr>
              <w:t>:</w:t>
            </w:r>
          </w:p>
          <w:p w:rsidR="003E022D" w:rsidRDefault="007D19D6">
            <w:pPr>
              <w:spacing w:before="120" w:after="0"/>
              <w:ind w:left="282"/>
              <w:rPr>
                <w:rFonts w:eastAsia="Calibri" w:cs="Calibri"/>
                <w:noProof/>
                <w:color w:val="444444"/>
              </w:rPr>
            </w:pPr>
            <w:r>
              <w:rPr>
                <w:noProof/>
                <w:color w:val="444444"/>
              </w:rPr>
              <w:t>Pilns vārds (vārdi un visi uzvārdi):</w:t>
            </w:r>
          </w:p>
          <w:p w:rsidR="003E022D" w:rsidRDefault="007D19D6">
            <w:pPr>
              <w:spacing w:before="120" w:after="0"/>
              <w:ind w:left="282"/>
              <w:rPr>
                <w:rFonts w:eastAsia="Calibri" w:cs="Calibri"/>
                <w:noProof/>
                <w:color w:val="444444"/>
              </w:rPr>
            </w:pPr>
            <w:r>
              <w:rPr>
                <w:noProof/>
                <w:color w:val="444444"/>
              </w:rPr>
              <w:t>Iepriekšējie vārdi:</w:t>
            </w:r>
          </w:p>
          <w:p w:rsidR="003E022D" w:rsidRDefault="007D19D6">
            <w:pPr>
              <w:spacing w:before="120" w:after="0"/>
              <w:ind w:left="282"/>
              <w:rPr>
                <w:rFonts w:eastAsia="Calibri" w:cs="Calibri"/>
                <w:noProof/>
                <w:color w:val="444444"/>
              </w:rPr>
            </w:pPr>
            <w:r>
              <w:rPr>
                <w:noProof/>
                <w:color w:val="444444"/>
              </w:rPr>
              <w:t>Pseidonīms(-i) un/vai pieņemtais(-ie) vārds(-i), ja tādi ir:</w:t>
            </w:r>
          </w:p>
          <w:p w:rsidR="003E022D" w:rsidRDefault="007D19D6">
            <w:pPr>
              <w:spacing w:before="120" w:after="0"/>
              <w:ind w:left="282"/>
              <w:rPr>
                <w:rFonts w:eastAsia="Calibri" w:cs="Calibri"/>
                <w:noProof/>
                <w:color w:val="444444"/>
              </w:rPr>
            </w:pPr>
            <w:r>
              <w:rPr>
                <w:noProof/>
                <w:color w:val="444444"/>
              </w:rPr>
              <w:t xml:space="preserve">Dzimums: M </w:t>
            </w:r>
            <w:sdt>
              <w:sdtPr>
                <w:rPr>
                  <w:rFonts w:cstheme="minorHAnsi"/>
                  <w:noProof/>
                </w:rPr>
                <w:id w:val="-210316918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noProof/>
                <w:color w:val="444444"/>
              </w:rPr>
              <w:t xml:space="preserve"> F </w:t>
            </w:r>
            <w:sdt>
              <w:sdtPr>
                <w:rPr>
                  <w:rFonts w:cstheme="minorHAnsi"/>
                  <w:noProof/>
                </w:rPr>
                <w:id w:val="205249034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p w:rsidR="003E022D" w:rsidRDefault="007D19D6">
            <w:pPr>
              <w:spacing w:before="120" w:after="0"/>
              <w:ind w:left="282"/>
              <w:rPr>
                <w:rFonts w:eastAsia="Calibri" w:cs="Calibri"/>
                <w:noProof/>
                <w:color w:val="444444"/>
              </w:rPr>
            </w:pPr>
            <w:r>
              <w:rPr>
                <w:noProof/>
                <w:color w:val="444444"/>
              </w:rPr>
              <w:t>Valstspiederība:</w:t>
            </w:r>
          </w:p>
          <w:p w:rsidR="003E022D" w:rsidRDefault="007D19D6">
            <w:pPr>
              <w:spacing w:before="120" w:after="0"/>
              <w:ind w:left="282"/>
              <w:rPr>
                <w:rFonts w:eastAsia="Calibri" w:cs="Calibri"/>
                <w:noProof/>
                <w:color w:val="444444"/>
              </w:rPr>
            </w:pPr>
            <w:r>
              <w:rPr>
                <w:noProof/>
                <w:color w:val="444444"/>
              </w:rPr>
              <w:t>Dzimšanas datums (cipariem: dd/mm/gggg):</w:t>
            </w:r>
          </w:p>
          <w:p w:rsidR="003E022D" w:rsidRDefault="007D19D6">
            <w:pPr>
              <w:spacing w:before="120" w:after="0"/>
              <w:ind w:left="282"/>
              <w:rPr>
                <w:rFonts w:eastAsia="Calibri" w:cs="Calibri"/>
                <w:noProof/>
                <w:color w:val="444444"/>
              </w:rPr>
            </w:pPr>
            <w:r>
              <w:rPr>
                <w:noProof/>
                <w:color w:val="444444"/>
              </w:rPr>
              <w:t>Dzimšanas vieta (pilsēta un valsts):</w:t>
            </w:r>
          </w:p>
          <w:p w:rsidR="003E022D" w:rsidRDefault="007D19D6">
            <w:pPr>
              <w:spacing w:before="120" w:after="0"/>
              <w:ind w:left="282"/>
              <w:rPr>
                <w:rFonts w:eastAsia="Calibri" w:cs="Calibri"/>
                <w:noProof/>
                <w:color w:val="444444"/>
              </w:rPr>
            </w:pPr>
            <w:r>
              <w:rPr>
                <w:noProof/>
                <w:color w:val="444444"/>
              </w:rPr>
              <w:t>Tēva vārds, uzvārds:</w:t>
            </w:r>
          </w:p>
          <w:p w:rsidR="003E022D" w:rsidRDefault="007D19D6">
            <w:pPr>
              <w:spacing w:before="120" w:after="0"/>
              <w:ind w:left="282"/>
              <w:rPr>
                <w:rFonts w:eastAsia="Calibri" w:cs="Calibri"/>
                <w:noProof/>
                <w:color w:val="444444"/>
              </w:rPr>
            </w:pPr>
            <w:r>
              <w:rPr>
                <w:noProof/>
                <w:color w:val="444444"/>
              </w:rPr>
              <w:t>Mātes vārds, uzvārds:</w:t>
            </w:r>
          </w:p>
          <w:p w:rsidR="003E022D" w:rsidRDefault="007D19D6">
            <w:pPr>
              <w:spacing w:before="120" w:after="0"/>
              <w:ind w:left="282"/>
              <w:rPr>
                <w:rFonts w:eastAsia="Calibri" w:cs="Calibri"/>
                <w:noProof/>
                <w:color w:val="444444"/>
              </w:rPr>
            </w:pPr>
            <w:r>
              <w:rPr>
                <w:noProof/>
                <w:color w:val="444444"/>
              </w:rPr>
              <w:t>Dzīvesvieta vai zināmā adrese:</w:t>
            </w:r>
          </w:p>
          <w:p w:rsidR="003E022D" w:rsidRDefault="007D19D6">
            <w:pPr>
              <w:spacing w:before="120" w:after="0"/>
              <w:ind w:left="282"/>
              <w:rPr>
                <w:rFonts w:eastAsia="Calibri" w:cs="Calibri"/>
                <w:noProof/>
                <w:color w:val="444444"/>
              </w:rPr>
            </w:pPr>
            <w:r>
              <w:rPr>
                <w:noProof/>
                <w:color w:val="444444"/>
              </w:rPr>
              <w:t>Personas identitātes numurs vai personas identifikācijas dokumenta</w:t>
            </w:r>
            <w:r>
              <w:rPr>
                <w:noProof/>
                <w:color w:val="444444"/>
              </w:rPr>
              <w:t xml:space="preserve"> veids un numurs:</w:t>
            </w:r>
          </w:p>
          <w:p w:rsidR="003E022D" w:rsidRDefault="007D19D6">
            <w:pPr>
              <w:spacing w:before="120" w:after="0"/>
              <w:ind w:left="282"/>
              <w:rPr>
                <w:rFonts w:eastAsia="Calibri" w:cs="Calibri"/>
                <w:noProof/>
                <w:color w:val="444444"/>
              </w:rPr>
            </w:pPr>
            <w:r>
              <w:rPr>
                <w:noProof/>
                <w:color w:val="444444"/>
              </w:rPr>
              <w:t>Pirkstu nospiedumi:</w:t>
            </w:r>
          </w:p>
          <w:p w:rsidR="003E022D" w:rsidRDefault="007D19D6">
            <w:pPr>
              <w:spacing w:before="120" w:after="0"/>
              <w:ind w:left="282"/>
              <w:rPr>
                <w:rFonts w:eastAsia="Calibri" w:cs="Calibri"/>
                <w:noProof/>
                <w:color w:val="444444"/>
              </w:rPr>
            </w:pPr>
            <w:r>
              <w:rPr>
                <w:noProof/>
                <w:color w:val="444444"/>
              </w:rPr>
              <w:t>Sejas attēls :</w:t>
            </w:r>
          </w:p>
          <w:p w:rsidR="003E022D" w:rsidRDefault="007D19D6">
            <w:pPr>
              <w:spacing w:before="120" w:after="0"/>
              <w:ind w:left="282"/>
              <w:rPr>
                <w:rFonts w:eastAsia="Calibri" w:cs="Calibri"/>
                <w:noProof/>
                <w:color w:val="444444"/>
              </w:rPr>
            </w:pPr>
            <w:r>
              <w:rPr>
                <w:noProof/>
                <w:color w:val="444444"/>
              </w:rPr>
              <w:t>Cita pieejamā identifikācijas informācija:</w:t>
            </w:r>
          </w:p>
        </w:tc>
      </w:tr>
    </w:tbl>
    <w:p w:rsidR="003E022D" w:rsidRDefault="003E022D">
      <w:pPr>
        <w:widowControl w:val="0"/>
        <w:pBdr>
          <w:top w:val="nil"/>
          <w:left w:val="nil"/>
          <w:bottom w:val="nil"/>
          <w:right w:val="nil"/>
          <w:between w:val="nil"/>
        </w:pBdr>
        <w:spacing w:after="0"/>
        <w:rPr>
          <w:rFonts w:eastAsia="Calibri" w:cs="Calibri"/>
          <w:noProof/>
          <w:color w:val="444444"/>
        </w:rPr>
      </w:pPr>
    </w:p>
    <w:tbl>
      <w:tblPr>
        <w:tblW w:w="8979" w:type="dxa"/>
        <w:tblLayout w:type="fixed"/>
        <w:tblLook w:val="0400" w:firstRow="0" w:lastRow="0" w:firstColumn="0" w:lastColumn="0" w:noHBand="0" w:noVBand="1"/>
      </w:tblPr>
      <w:tblGrid>
        <w:gridCol w:w="564"/>
        <w:gridCol w:w="8415"/>
      </w:tblGrid>
      <w:tr w:rsidR="003E022D">
        <w:tc>
          <w:tcPr>
            <w:tcW w:w="564" w:type="dxa"/>
            <w:shd w:val="clear" w:color="auto" w:fill="FFFFFF"/>
          </w:tcPr>
          <w:p w:rsidR="003E022D" w:rsidRDefault="007D19D6">
            <w:pPr>
              <w:spacing w:before="120" w:after="0"/>
              <w:rPr>
                <w:rFonts w:eastAsia="Calibri" w:cs="Calibri"/>
                <w:noProof/>
                <w:color w:val="444444"/>
              </w:rPr>
            </w:pPr>
            <w:r>
              <w:rPr>
                <w:noProof/>
                <w:color w:val="444444"/>
              </w:rPr>
              <w:t>c)</w:t>
            </w:r>
          </w:p>
        </w:tc>
        <w:tc>
          <w:tcPr>
            <w:tcW w:w="8415" w:type="dxa"/>
            <w:shd w:val="clear" w:color="auto" w:fill="FFFFFF"/>
          </w:tcPr>
          <w:p w:rsidR="003E022D" w:rsidRDefault="007D19D6">
            <w:pPr>
              <w:spacing w:before="120" w:after="0"/>
              <w:rPr>
                <w:rFonts w:eastAsia="Calibri" w:cs="Calibri"/>
                <w:noProof/>
                <w:color w:val="444444"/>
              </w:rPr>
            </w:pPr>
            <w:r>
              <w:rPr>
                <w:noProof/>
                <w:color w:val="444444"/>
              </w:rPr>
              <w:t>Pieprasījuma mērķis</w:t>
            </w:r>
          </w:p>
        </w:tc>
      </w:tr>
      <w:tr w:rsidR="003E022D">
        <w:tc>
          <w:tcPr>
            <w:tcW w:w="8979" w:type="dxa"/>
            <w:gridSpan w:val="2"/>
            <w:shd w:val="clear" w:color="auto" w:fill="FFFFFF"/>
          </w:tcPr>
          <w:p w:rsidR="003E022D" w:rsidRDefault="007D19D6">
            <w:pPr>
              <w:spacing w:before="120" w:after="0"/>
              <w:rPr>
                <w:rFonts w:eastAsia="Calibri" w:cs="Calibri"/>
                <w:noProof/>
                <w:color w:val="444444"/>
              </w:rPr>
            </w:pPr>
            <w:r>
              <w:rPr>
                <w:i/>
                <w:noProof/>
                <w:color w:val="444444"/>
              </w:rPr>
              <w:t>Lūdzu, izdariet atzīmi atbilstīgā lodziņā</w:t>
            </w:r>
          </w:p>
        </w:tc>
      </w:tr>
    </w:tbl>
    <w:p w:rsidR="003E022D" w:rsidRDefault="003E022D">
      <w:pPr>
        <w:widowControl w:val="0"/>
        <w:pBdr>
          <w:top w:val="nil"/>
          <w:left w:val="nil"/>
          <w:bottom w:val="nil"/>
          <w:right w:val="nil"/>
          <w:between w:val="nil"/>
        </w:pBdr>
        <w:spacing w:after="0"/>
        <w:rPr>
          <w:rFonts w:eastAsia="Calibri" w:cs="Calibri"/>
          <w:noProof/>
          <w:color w:val="444444"/>
        </w:rPr>
      </w:pPr>
    </w:p>
    <w:tbl>
      <w:tblPr>
        <w:tblW w:w="9310" w:type="dxa"/>
        <w:tblLayout w:type="fixed"/>
        <w:tblLook w:val="0400" w:firstRow="0" w:lastRow="0" w:firstColumn="0" w:lastColumn="0" w:noHBand="0" w:noVBand="1"/>
      </w:tblPr>
      <w:tblGrid>
        <w:gridCol w:w="534"/>
        <w:gridCol w:w="567"/>
        <w:gridCol w:w="8209"/>
      </w:tblGrid>
      <w:tr w:rsidR="003E022D">
        <w:tc>
          <w:tcPr>
            <w:tcW w:w="534" w:type="dxa"/>
            <w:shd w:val="clear" w:color="auto" w:fill="FFFFFF"/>
          </w:tcPr>
          <w:p w:rsidR="003E022D" w:rsidRDefault="007D19D6">
            <w:pPr>
              <w:spacing w:before="120" w:after="0"/>
              <w:rPr>
                <w:rFonts w:eastAsia="Calibri" w:cs="Calibri"/>
                <w:noProof/>
                <w:color w:val="444444"/>
              </w:rPr>
            </w:pPr>
            <w:r>
              <w:rPr>
                <w:noProof/>
                <w:color w:val="444444"/>
              </w:rPr>
              <w:t>1)</w:t>
            </w:r>
          </w:p>
        </w:tc>
        <w:tc>
          <w:tcPr>
            <w:tcW w:w="567" w:type="dxa"/>
            <w:shd w:val="clear" w:color="auto" w:fill="FFFFFF"/>
          </w:tcPr>
          <w:p w:rsidR="003E022D" w:rsidRDefault="007D19D6">
            <w:pPr>
              <w:spacing w:before="120" w:after="0"/>
              <w:rPr>
                <w:rFonts w:eastAsia="Calibri" w:cs="Calibri"/>
                <w:noProof/>
                <w:color w:val="444444"/>
              </w:rPr>
            </w:pPr>
            <w:sdt>
              <w:sdtPr>
                <w:rPr>
                  <w:rFonts w:cstheme="minorHAnsi"/>
                  <w:noProof/>
                </w:rPr>
                <w:id w:val="20151843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209" w:type="dxa"/>
            <w:shd w:val="clear" w:color="auto" w:fill="FFFFFF"/>
          </w:tcPr>
          <w:p w:rsidR="003E022D" w:rsidRDefault="007D19D6">
            <w:pPr>
              <w:spacing w:before="120" w:after="0"/>
              <w:rPr>
                <w:rFonts w:eastAsia="Calibri" w:cs="Calibri"/>
                <w:noProof/>
                <w:color w:val="444444"/>
              </w:rPr>
            </w:pPr>
            <w:r>
              <w:rPr>
                <w:noProof/>
                <w:color w:val="444444"/>
              </w:rPr>
              <w:t xml:space="preserve">Kriminālprocess (lūdzam norādīt iestādi, kurā kriminālprocess notiek, un lietas </w:t>
            </w:r>
            <w:r>
              <w:rPr>
                <w:noProof/>
                <w:color w:val="444444"/>
              </w:rPr>
              <w:t>atsauces numuru, ja tāds ir pieejams)…</w:t>
            </w:r>
          </w:p>
          <w:p w:rsidR="003E022D" w:rsidRDefault="007D19D6">
            <w:pPr>
              <w:spacing w:before="120" w:after="0"/>
              <w:rPr>
                <w:rFonts w:eastAsia="Calibri" w:cs="Calibri"/>
                <w:noProof/>
                <w:color w:val="444444"/>
              </w:rPr>
            </w:pPr>
            <w:r>
              <w:rPr>
                <w:noProof/>
                <w:color w:val="444444"/>
              </w:rPr>
              <w:t>…</w:t>
            </w:r>
          </w:p>
        </w:tc>
      </w:tr>
      <w:tr w:rsidR="003E022D">
        <w:tc>
          <w:tcPr>
            <w:tcW w:w="534" w:type="dxa"/>
            <w:shd w:val="clear" w:color="auto" w:fill="FFFFFF"/>
          </w:tcPr>
          <w:p w:rsidR="003E022D" w:rsidRDefault="007D19D6">
            <w:pPr>
              <w:spacing w:before="120" w:after="0"/>
              <w:rPr>
                <w:rFonts w:eastAsia="Calibri" w:cs="Calibri"/>
                <w:noProof/>
                <w:color w:val="444444"/>
              </w:rPr>
            </w:pPr>
            <w:r>
              <w:rPr>
                <w:noProof/>
                <w:color w:val="444444"/>
              </w:rPr>
              <w:t>2)</w:t>
            </w:r>
          </w:p>
        </w:tc>
        <w:tc>
          <w:tcPr>
            <w:tcW w:w="567" w:type="dxa"/>
            <w:shd w:val="clear" w:color="auto" w:fill="FFFFFF"/>
          </w:tcPr>
          <w:p w:rsidR="003E022D" w:rsidRDefault="007D19D6">
            <w:pPr>
              <w:spacing w:before="120" w:after="0"/>
              <w:rPr>
                <w:rFonts w:eastAsia="Calibri" w:cs="Calibri"/>
                <w:noProof/>
                <w:color w:val="444444"/>
              </w:rPr>
            </w:pPr>
            <w:sdt>
              <w:sdtPr>
                <w:rPr>
                  <w:rFonts w:cstheme="minorHAnsi"/>
                  <w:noProof/>
                </w:rPr>
                <w:id w:val="-152393071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209" w:type="dxa"/>
            <w:shd w:val="clear" w:color="auto" w:fill="FFFFFF"/>
          </w:tcPr>
          <w:p w:rsidR="003E022D" w:rsidRDefault="007D19D6">
            <w:pPr>
              <w:spacing w:before="120" w:after="0"/>
              <w:rPr>
                <w:rFonts w:eastAsia="Calibri" w:cs="Calibri"/>
                <w:noProof/>
                <w:color w:val="444444"/>
              </w:rPr>
            </w:pPr>
            <w:r>
              <w:rPr>
                <w:noProof/>
                <w:color w:val="444444"/>
              </w:rPr>
              <w:t>Ar kriminālprocesu nesaistīts pieprasījums (lūdzam norādīt iestādi, kurā notiek attiecīgās procedūras, un lietas atsauces numuru, ja tāds ir pieejams, izdarot atzīmi atbilstīgā lodziņā):</w:t>
            </w:r>
          </w:p>
          <w:tbl>
            <w:tblPr>
              <w:tblW w:w="9228" w:type="dxa"/>
              <w:tblLayout w:type="fixed"/>
              <w:tblLook w:val="0400" w:firstRow="0" w:lastRow="0" w:firstColumn="0" w:lastColumn="0" w:noHBand="0" w:noVBand="1"/>
            </w:tblPr>
            <w:tblGrid>
              <w:gridCol w:w="603"/>
              <w:gridCol w:w="565"/>
              <w:gridCol w:w="8060"/>
            </w:tblGrid>
            <w:tr w:rsidR="003E022D">
              <w:tc>
                <w:tcPr>
                  <w:tcW w:w="603" w:type="dxa"/>
                </w:tcPr>
                <w:p w:rsidR="003E022D" w:rsidRDefault="007D19D6">
                  <w:pPr>
                    <w:spacing w:before="120" w:after="0"/>
                    <w:rPr>
                      <w:rFonts w:eastAsia="Calibri" w:cs="Calibri"/>
                      <w:noProof/>
                    </w:rPr>
                  </w:pPr>
                  <w:r>
                    <w:rPr>
                      <w:noProof/>
                    </w:rPr>
                    <w:t>i)</w:t>
                  </w:r>
                </w:p>
              </w:tc>
              <w:tc>
                <w:tcPr>
                  <w:tcW w:w="565" w:type="dxa"/>
                </w:tcPr>
                <w:p w:rsidR="003E022D" w:rsidRDefault="007D19D6">
                  <w:pPr>
                    <w:spacing w:before="120" w:after="0"/>
                    <w:rPr>
                      <w:rFonts w:eastAsia="Calibri" w:cs="Calibri"/>
                      <w:noProof/>
                    </w:rPr>
                  </w:pPr>
                  <w:sdt>
                    <w:sdtPr>
                      <w:rPr>
                        <w:rFonts w:cstheme="minorHAnsi"/>
                        <w:noProof/>
                      </w:rPr>
                      <w:id w:val="103068290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3E022D" w:rsidRDefault="007D19D6">
                  <w:pPr>
                    <w:spacing w:before="120" w:after="0"/>
                    <w:rPr>
                      <w:rFonts w:eastAsia="Calibri" w:cs="Calibri"/>
                      <w:noProof/>
                    </w:rPr>
                  </w:pPr>
                  <w:r>
                    <w:rPr>
                      <w:noProof/>
                    </w:rPr>
                    <w:t xml:space="preserve">tiesu </w:t>
                  </w:r>
                  <w:r>
                    <w:rPr>
                      <w:noProof/>
                    </w:rPr>
                    <w:t>iestādes pieprasījums …</w:t>
                  </w:r>
                </w:p>
                <w:p w:rsidR="003E022D" w:rsidRDefault="007D19D6">
                  <w:pPr>
                    <w:spacing w:before="120" w:after="0"/>
                    <w:rPr>
                      <w:rFonts w:eastAsia="Calibri" w:cs="Calibri"/>
                      <w:noProof/>
                    </w:rPr>
                  </w:pPr>
                  <w:r>
                    <w:rPr>
                      <w:noProof/>
                    </w:rPr>
                    <w:t>…</w:t>
                  </w:r>
                </w:p>
              </w:tc>
            </w:tr>
            <w:tr w:rsidR="003E022D">
              <w:tc>
                <w:tcPr>
                  <w:tcW w:w="603" w:type="dxa"/>
                </w:tcPr>
                <w:p w:rsidR="003E022D" w:rsidRDefault="007D19D6">
                  <w:pPr>
                    <w:spacing w:before="120" w:after="0"/>
                    <w:rPr>
                      <w:rFonts w:eastAsia="Calibri" w:cs="Calibri"/>
                      <w:noProof/>
                    </w:rPr>
                  </w:pPr>
                  <w:r>
                    <w:rPr>
                      <w:noProof/>
                    </w:rPr>
                    <w:t>ii)</w:t>
                  </w:r>
                </w:p>
              </w:tc>
              <w:tc>
                <w:tcPr>
                  <w:tcW w:w="565" w:type="dxa"/>
                </w:tcPr>
                <w:p w:rsidR="003E022D" w:rsidRDefault="007D19D6">
                  <w:pPr>
                    <w:spacing w:before="120" w:after="0"/>
                    <w:rPr>
                      <w:rFonts w:eastAsia="Calibri" w:cs="Calibri"/>
                      <w:noProof/>
                    </w:rPr>
                  </w:pPr>
                  <w:sdt>
                    <w:sdtPr>
                      <w:rPr>
                        <w:rFonts w:cstheme="minorHAnsi"/>
                        <w:noProof/>
                      </w:rPr>
                      <w:id w:val="1864932240"/>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3E022D" w:rsidRDefault="007D19D6">
                  <w:pPr>
                    <w:spacing w:before="120" w:after="0"/>
                    <w:rPr>
                      <w:rFonts w:eastAsia="Calibri" w:cs="Calibri"/>
                      <w:noProof/>
                    </w:rPr>
                  </w:pPr>
                  <w:r>
                    <w:rPr>
                      <w:noProof/>
                    </w:rPr>
                    <w:t>kompetentas administratīvās iestādes pieprasījums …</w:t>
                  </w:r>
                </w:p>
                <w:p w:rsidR="003E022D" w:rsidRDefault="007D19D6">
                  <w:pPr>
                    <w:spacing w:before="120" w:after="0"/>
                    <w:rPr>
                      <w:rFonts w:eastAsia="Calibri" w:cs="Calibri"/>
                      <w:noProof/>
                    </w:rPr>
                  </w:pPr>
                  <w:r>
                    <w:rPr>
                      <w:noProof/>
                    </w:rPr>
                    <w:t>…</w:t>
                  </w:r>
                </w:p>
              </w:tc>
            </w:tr>
            <w:tr w:rsidR="003E022D">
              <w:tc>
                <w:tcPr>
                  <w:tcW w:w="603" w:type="dxa"/>
                </w:tcPr>
                <w:p w:rsidR="003E022D" w:rsidRDefault="007D19D6">
                  <w:pPr>
                    <w:spacing w:before="120" w:after="0"/>
                    <w:rPr>
                      <w:rFonts w:eastAsia="Calibri" w:cs="Calibri"/>
                      <w:noProof/>
                    </w:rPr>
                  </w:pPr>
                  <w:r>
                    <w:rPr>
                      <w:noProof/>
                    </w:rPr>
                    <w:t>iii)</w:t>
                  </w:r>
                </w:p>
              </w:tc>
              <w:tc>
                <w:tcPr>
                  <w:tcW w:w="565" w:type="dxa"/>
                </w:tcPr>
                <w:p w:rsidR="003E022D" w:rsidRDefault="007D19D6">
                  <w:pPr>
                    <w:spacing w:before="120" w:after="0"/>
                    <w:rPr>
                      <w:rFonts w:eastAsia="Calibri" w:cs="Calibri"/>
                      <w:noProof/>
                    </w:rPr>
                  </w:pPr>
                  <w:sdt>
                    <w:sdtPr>
                      <w:rPr>
                        <w:rFonts w:cstheme="minorHAnsi"/>
                        <w:noProof/>
                      </w:rPr>
                      <w:id w:val="144396004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3E022D" w:rsidRDefault="007D19D6">
                  <w:pPr>
                    <w:spacing w:before="120" w:after="0"/>
                    <w:rPr>
                      <w:rFonts w:eastAsia="Calibri" w:cs="Calibri"/>
                      <w:noProof/>
                    </w:rPr>
                  </w:pPr>
                  <w:r>
                    <w:rPr>
                      <w:noProof/>
                    </w:rPr>
                    <w:t>attiecīgās personas informācijas pieprasījums par savu sodāmību …</w:t>
                  </w:r>
                </w:p>
                <w:p w:rsidR="003E022D" w:rsidRDefault="007D19D6">
                  <w:pPr>
                    <w:spacing w:before="120" w:after="0"/>
                    <w:rPr>
                      <w:rFonts w:eastAsia="Calibri" w:cs="Calibri"/>
                      <w:noProof/>
                    </w:rPr>
                  </w:pPr>
                  <w:r>
                    <w:rPr>
                      <w:noProof/>
                    </w:rPr>
                    <w:t>…</w:t>
                  </w:r>
                </w:p>
              </w:tc>
            </w:tr>
          </w:tbl>
          <w:p w:rsidR="003E022D" w:rsidRDefault="003E022D">
            <w:pPr>
              <w:spacing w:after="0" w:line="256" w:lineRule="auto"/>
              <w:rPr>
                <w:rFonts w:eastAsia="Calibri" w:cs="Calibri"/>
                <w:noProof/>
              </w:rPr>
            </w:pPr>
          </w:p>
        </w:tc>
      </w:tr>
    </w:tbl>
    <w:p w:rsidR="003E022D" w:rsidRDefault="007D19D6">
      <w:pPr>
        <w:shd w:val="clear" w:color="auto" w:fill="FFFFFF"/>
        <w:spacing w:before="120" w:after="0"/>
        <w:rPr>
          <w:rFonts w:eastAsia="Calibri" w:cs="Calibri"/>
          <w:noProof/>
          <w:color w:val="444444"/>
        </w:rPr>
      </w:pPr>
      <w:r>
        <w:rPr>
          <w:noProof/>
          <w:color w:val="444444"/>
        </w:rPr>
        <w:t>Nolūks, kādā pieprasa informāciju:</w:t>
      </w:r>
    </w:p>
    <w:p w:rsidR="003E022D" w:rsidRDefault="007D19D6">
      <w:pPr>
        <w:shd w:val="clear" w:color="auto" w:fill="FFFFFF"/>
        <w:spacing w:before="120" w:after="0"/>
        <w:rPr>
          <w:rFonts w:eastAsia="Calibri" w:cs="Calibri"/>
          <w:noProof/>
          <w:color w:val="444444"/>
        </w:rPr>
      </w:pPr>
      <w:r>
        <w:rPr>
          <w:noProof/>
          <w:color w:val="444444"/>
        </w:rPr>
        <w:t>Pieprasītāja iestāde:</w:t>
      </w:r>
    </w:p>
    <w:tbl>
      <w:tblPr>
        <w:tblW w:w="9323" w:type="dxa"/>
        <w:tblLayout w:type="fixed"/>
        <w:tblLook w:val="0400" w:firstRow="0" w:lastRow="0" w:firstColumn="0" w:lastColumn="0" w:noHBand="0" w:noVBand="1"/>
      </w:tblPr>
      <w:tblGrid>
        <w:gridCol w:w="534"/>
        <w:gridCol w:w="8789"/>
      </w:tblGrid>
      <w:tr w:rsidR="003E022D">
        <w:tc>
          <w:tcPr>
            <w:tcW w:w="534" w:type="dxa"/>
            <w:shd w:val="clear" w:color="auto" w:fill="FFFFFF"/>
          </w:tcPr>
          <w:p w:rsidR="003E022D" w:rsidRDefault="007D19D6">
            <w:pPr>
              <w:spacing w:before="120" w:after="0"/>
              <w:rPr>
                <w:rFonts w:eastAsia="Calibri" w:cs="Calibri"/>
                <w:noProof/>
                <w:color w:val="444444"/>
              </w:rPr>
            </w:pPr>
            <w:sdt>
              <w:sdtPr>
                <w:rPr>
                  <w:rFonts w:cstheme="minorHAnsi"/>
                  <w:noProof/>
                </w:rPr>
                <w:id w:val="-189210416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89" w:type="dxa"/>
            <w:shd w:val="clear" w:color="auto" w:fill="FFFFFF"/>
          </w:tcPr>
          <w:p w:rsidR="003E022D" w:rsidRDefault="007D19D6">
            <w:pPr>
              <w:spacing w:before="120" w:after="0"/>
              <w:rPr>
                <w:rFonts w:eastAsia="Calibri" w:cs="Calibri"/>
                <w:noProof/>
                <w:color w:val="444444"/>
              </w:rPr>
            </w:pPr>
            <w:r>
              <w:rPr>
                <w:noProof/>
                <w:color w:val="444444"/>
              </w:rPr>
              <w:t xml:space="preserve">Attiecīgā persona </w:t>
            </w:r>
            <w:r>
              <w:rPr>
                <w:noProof/>
                <w:color w:val="444444"/>
              </w:rPr>
              <w:t>nepiekrīt, ka šo informāciju izpauž (ja saskaņā ar pieprasījuma iesniedzējas valsts tiesību aktiem tika lūgta attiecīgās personas piekrišana).</w:t>
            </w:r>
          </w:p>
        </w:tc>
      </w:tr>
    </w:tbl>
    <w:p w:rsidR="003E022D" w:rsidRDefault="007D19D6">
      <w:pPr>
        <w:shd w:val="clear" w:color="auto" w:fill="FFFFFF"/>
        <w:spacing w:before="120" w:after="0"/>
        <w:rPr>
          <w:rFonts w:eastAsia="Calibri" w:cs="Calibri"/>
          <w:noProof/>
          <w:color w:val="444444"/>
        </w:rPr>
      </w:pPr>
      <w:r>
        <w:rPr>
          <w:noProof/>
          <w:color w:val="444444"/>
        </w:rPr>
        <w:t>Kontaktpersona gadījumiem, kad ir vajadzīga papildu informācija:</w:t>
      </w:r>
    </w:p>
    <w:p w:rsidR="003E022D" w:rsidRDefault="007D19D6">
      <w:pPr>
        <w:shd w:val="clear" w:color="auto" w:fill="FFFFFF"/>
        <w:spacing w:before="120" w:after="0"/>
        <w:rPr>
          <w:rFonts w:eastAsia="Calibri" w:cs="Calibri"/>
          <w:noProof/>
          <w:color w:val="444444"/>
        </w:rPr>
      </w:pPr>
      <w:r>
        <w:rPr>
          <w:noProof/>
          <w:color w:val="444444"/>
        </w:rPr>
        <w:t>Vārds, uzvārds:</w:t>
      </w:r>
    </w:p>
    <w:p w:rsidR="003E022D" w:rsidRDefault="007D19D6">
      <w:pPr>
        <w:shd w:val="clear" w:color="auto" w:fill="FFFFFF"/>
        <w:spacing w:before="120" w:after="0"/>
        <w:rPr>
          <w:rFonts w:eastAsia="Calibri" w:cs="Calibri"/>
          <w:noProof/>
          <w:color w:val="444444"/>
        </w:rPr>
      </w:pPr>
      <w:r>
        <w:rPr>
          <w:noProof/>
          <w:color w:val="444444"/>
        </w:rPr>
        <w:t>Tālrunis:</w:t>
      </w:r>
    </w:p>
    <w:p w:rsidR="003E022D" w:rsidRDefault="007D19D6">
      <w:pPr>
        <w:shd w:val="clear" w:color="auto" w:fill="FFFFFF"/>
        <w:spacing w:before="120" w:after="0"/>
        <w:rPr>
          <w:rFonts w:eastAsia="Calibri" w:cs="Calibri"/>
          <w:noProof/>
          <w:color w:val="444444"/>
        </w:rPr>
      </w:pPr>
      <w:r>
        <w:rPr>
          <w:noProof/>
          <w:color w:val="444444"/>
        </w:rPr>
        <w:t>E-pasta adrese:</w:t>
      </w:r>
    </w:p>
    <w:p w:rsidR="003E022D" w:rsidRDefault="007D19D6">
      <w:pPr>
        <w:shd w:val="clear" w:color="auto" w:fill="FFFFFF"/>
        <w:spacing w:before="120" w:after="0"/>
        <w:rPr>
          <w:rFonts w:eastAsia="Calibri" w:cs="Calibri"/>
          <w:noProof/>
          <w:color w:val="444444"/>
        </w:rPr>
      </w:pPr>
      <w:r>
        <w:rPr>
          <w:noProof/>
          <w:color w:val="444444"/>
        </w:rPr>
        <w:t xml:space="preserve">Cita </w:t>
      </w:r>
      <w:r>
        <w:rPr>
          <w:noProof/>
          <w:color w:val="444444"/>
        </w:rPr>
        <w:t>informācija (piem., pieprasījuma steidzamība):</w:t>
      </w:r>
    </w:p>
    <w:p w:rsidR="003E022D" w:rsidRDefault="003E022D">
      <w:pPr>
        <w:spacing w:before="120" w:after="120"/>
        <w:rPr>
          <w:rFonts w:eastAsia="Calibri" w:cs="Calibri"/>
          <w:noProof/>
        </w:rPr>
      </w:pPr>
    </w:p>
    <w:p w:rsidR="003E022D" w:rsidRDefault="007D19D6">
      <w:pPr>
        <w:pBdr>
          <w:top w:val="nil"/>
          <w:left w:val="nil"/>
          <w:bottom w:val="nil"/>
          <w:right w:val="nil"/>
          <w:between w:val="nil"/>
        </w:pBdr>
        <w:shd w:val="clear" w:color="auto" w:fill="FFFFFF"/>
        <w:spacing w:before="240" w:after="120"/>
        <w:rPr>
          <w:rFonts w:eastAsia="Calibri" w:cs="Calibri"/>
          <w:b/>
          <w:noProof/>
          <w:color w:val="444444"/>
        </w:rPr>
      </w:pPr>
      <w:r>
        <w:rPr>
          <w:b/>
          <w:noProof/>
          <w:color w:val="444444"/>
        </w:rPr>
        <w:t>Atbilde uz pieprasījumu</w:t>
      </w:r>
    </w:p>
    <w:p w:rsidR="003E022D" w:rsidRDefault="007D19D6">
      <w:pPr>
        <w:shd w:val="clear" w:color="auto" w:fill="FFFFFF"/>
        <w:spacing w:before="120" w:after="0"/>
        <w:rPr>
          <w:rFonts w:eastAsia="Calibri" w:cs="Calibri"/>
          <w:noProof/>
          <w:color w:val="444444"/>
        </w:rPr>
      </w:pPr>
      <w:r>
        <w:rPr>
          <w:noProof/>
          <w:color w:val="444444"/>
        </w:rPr>
        <w:t>Informācija par attiecīgo personu</w:t>
      </w:r>
    </w:p>
    <w:p w:rsidR="003E022D" w:rsidRDefault="007D19D6">
      <w:pPr>
        <w:shd w:val="clear" w:color="auto" w:fill="FFFFFF"/>
        <w:spacing w:before="120" w:after="0"/>
        <w:rPr>
          <w:rFonts w:eastAsia="Calibri" w:cs="Calibri"/>
          <w:noProof/>
          <w:color w:val="444444"/>
        </w:rPr>
      </w:pPr>
      <w:r>
        <w:rPr>
          <w:i/>
          <w:noProof/>
          <w:color w:val="444444"/>
        </w:rPr>
        <w:t>Lūdzu, izdariet atzīmi atbilstīgā lodziņā</w:t>
      </w:r>
    </w:p>
    <w:p w:rsidR="003E022D" w:rsidRDefault="007D19D6">
      <w:pPr>
        <w:shd w:val="clear" w:color="auto" w:fill="FFFFFF"/>
        <w:spacing w:before="120" w:after="0"/>
        <w:rPr>
          <w:rFonts w:eastAsia="Calibri" w:cs="Calibri"/>
          <w:noProof/>
          <w:color w:val="444444"/>
        </w:rPr>
      </w:pPr>
      <w:r>
        <w:rPr>
          <w:noProof/>
          <w:color w:val="444444"/>
        </w:rPr>
        <w:t>Šo dokumentu parakstījusī amatpersona apstiprina, ka:</w:t>
      </w:r>
    </w:p>
    <w:tbl>
      <w:tblPr>
        <w:tblW w:w="9324" w:type="dxa"/>
        <w:tblLayout w:type="fixed"/>
        <w:tblLook w:val="0400" w:firstRow="0" w:lastRow="0" w:firstColumn="0" w:lastColumn="0" w:noHBand="0" w:noVBand="1"/>
      </w:tblPr>
      <w:tblGrid>
        <w:gridCol w:w="534"/>
        <w:gridCol w:w="8790"/>
      </w:tblGrid>
      <w:tr w:rsidR="003E022D">
        <w:tc>
          <w:tcPr>
            <w:tcW w:w="534" w:type="dxa"/>
            <w:shd w:val="clear" w:color="auto" w:fill="FFFFFF"/>
          </w:tcPr>
          <w:p w:rsidR="003E022D" w:rsidRDefault="007D19D6">
            <w:pPr>
              <w:spacing w:before="120" w:after="0"/>
              <w:rPr>
                <w:rFonts w:eastAsia="Calibri" w:cs="Calibri"/>
                <w:noProof/>
                <w:color w:val="444444"/>
              </w:rPr>
            </w:pPr>
            <w:sdt>
              <w:sdtPr>
                <w:rPr>
                  <w:rFonts w:cstheme="minorHAnsi"/>
                  <w:noProof/>
                </w:rPr>
                <w:id w:val="31145719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3E022D" w:rsidRDefault="007D19D6">
            <w:pPr>
              <w:spacing w:before="120" w:after="0"/>
              <w:rPr>
                <w:rFonts w:eastAsia="Calibri" w:cs="Calibri"/>
                <w:noProof/>
                <w:color w:val="444444"/>
              </w:rPr>
            </w:pPr>
            <w:r>
              <w:rPr>
                <w:noProof/>
                <w:color w:val="444444"/>
              </w:rPr>
              <w:t xml:space="preserve">sodāmības reģistrā nav informācijas par </w:t>
            </w:r>
            <w:r>
              <w:rPr>
                <w:noProof/>
                <w:color w:val="444444"/>
              </w:rPr>
              <w:t>attiecīgajai personai pasludinātiem notiesājošiem spriedumiem</w:t>
            </w:r>
          </w:p>
        </w:tc>
      </w:tr>
      <w:tr w:rsidR="003E022D">
        <w:tc>
          <w:tcPr>
            <w:tcW w:w="534" w:type="dxa"/>
            <w:shd w:val="clear" w:color="auto" w:fill="FFFFFF"/>
          </w:tcPr>
          <w:p w:rsidR="003E022D" w:rsidRDefault="007D19D6">
            <w:pPr>
              <w:spacing w:before="120" w:after="0"/>
              <w:rPr>
                <w:rFonts w:eastAsia="Calibri" w:cs="Calibri"/>
                <w:noProof/>
                <w:color w:val="444444"/>
              </w:rPr>
            </w:pPr>
            <w:sdt>
              <w:sdtPr>
                <w:rPr>
                  <w:rFonts w:cstheme="minorHAnsi"/>
                  <w:noProof/>
                </w:rPr>
                <w:id w:val="-906295224"/>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3E022D" w:rsidRDefault="007D19D6">
            <w:pPr>
              <w:spacing w:before="120" w:after="0"/>
              <w:rPr>
                <w:rFonts w:eastAsia="Calibri" w:cs="Calibri"/>
                <w:noProof/>
                <w:color w:val="444444"/>
              </w:rPr>
            </w:pPr>
            <w:r>
              <w:rPr>
                <w:noProof/>
                <w:color w:val="444444"/>
              </w:rPr>
              <w:t>sodāmības reģistrā ir informācija par attiecīgajai personai pasludinātiem notiesājošiem spriedumiem; notiesājošo spriedumu saraksts pievienots pielikumā</w:t>
            </w:r>
          </w:p>
        </w:tc>
      </w:tr>
      <w:tr w:rsidR="003E022D">
        <w:tc>
          <w:tcPr>
            <w:tcW w:w="534" w:type="dxa"/>
            <w:shd w:val="clear" w:color="auto" w:fill="FFFFFF"/>
          </w:tcPr>
          <w:p w:rsidR="003E022D" w:rsidRDefault="007D19D6">
            <w:pPr>
              <w:spacing w:before="120" w:after="0"/>
              <w:rPr>
                <w:rFonts w:eastAsia="Calibri" w:cs="Calibri"/>
                <w:noProof/>
                <w:color w:val="444444"/>
              </w:rPr>
            </w:pPr>
            <w:sdt>
              <w:sdtPr>
                <w:rPr>
                  <w:rFonts w:cstheme="minorHAnsi"/>
                  <w:noProof/>
                </w:rPr>
                <w:id w:val="-1816556328"/>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3E022D" w:rsidRDefault="007D19D6">
            <w:pPr>
              <w:spacing w:before="120" w:after="0"/>
              <w:rPr>
                <w:rFonts w:eastAsia="Calibri" w:cs="Calibri"/>
                <w:noProof/>
                <w:color w:val="444444"/>
              </w:rPr>
            </w:pPr>
            <w:r>
              <w:rPr>
                <w:noProof/>
                <w:color w:val="444444"/>
              </w:rPr>
              <w:t xml:space="preserve">sodāmības reģistrā ir cita </w:t>
            </w:r>
            <w:r>
              <w:rPr>
                <w:noProof/>
                <w:color w:val="444444"/>
              </w:rPr>
              <w:t>informācija par attiecīgo personu; šāda informācija ir pievienota pielikumā (fakultatīvi)</w:t>
            </w:r>
          </w:p>
        </w:tc>
      </w:tr>
      <w:tr w:rsidR="003E022D">
        <w:tc>
          <w:tcPr>
            <w:tcW w:w="534" w:type="dxa"/>
            <w:shd w:val="clear" w:color="auto" w:fill="FFFFFF"/>
          </w:tcPr>
          <w:p w:rsidR="003E022D" w:rsidRDefault="007D19D6">
            <w:pPr>
              <w:spacing w:before="120" w:after="0"/>
              <w:rPr>
                <w:rFonts w:eastAsia="Calibri" w:cs="Calibri"/>
                <w:noProof/>
                <w:color w:val="444444"/>
              </w:rPr>
            </w:pPr>
            <w:sdt>
              <w:sdtPr>
                <w:rPr>
                  <w:rFonts w:cstheme="minorHAnsi"/>
                  <w:noProof/>
                </w:rPr>
                <w:id w:val="-121727363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3E022D" w:rsidRDefault="007D19D6">
            <w:pPr>
              <w:spacing w:before="120" w:after="0"/>
              <w:rPr>
                <w:rFonts w:eastAsia="Calibri" w:cs="Calibri"/>
                <w:noProof/>
                <w:color w:val="444444"/>
              </w:rPr>
            </w:pPr>
            <w:r>
              <w:rPr>
                <w:noProof/>
                <w:color w:val="444444"/>
              </w:rPr>
              <w:t xml:space="preserve">sodāmības reģistrā ir informācija par attiecīgajai personai pasludinātiem notiesājošiem spriedumiem, taču notiesāšanas valsts ir darījusi zināmu, ka informāciju </w:t>
            </w:r>
            <w:r>
              <w:rPr>
                <w:noProof/>
                <w:color w:val="444444"/>
              </w:rPr>
              <w:t>par šiem notiesājošiem spriedumiem drīkst pārsūtīt vienīgi kriminālprocesa vajadzībām. Papildu informācijas pieprasījumu var iesniegt tieši … (lūdzam norādīt notiesāšanas valsti)</w:t>
            </w:r>
          </w:p>
        </w:tc>
      </w:tr>
      <w:tr w:rsidR="003E022D">
        <w:tc>
          <w:tcPr>
            <w:tcW w:w="534" w:type="dxa"/>
            <w:shd w:val="clear" w:color="auto" w:fill="FFFFFF"/>
          </w:tcPr>
          <w:p w:rsidR="003E022D" w:rsidRDefault="007D19D6">
            <w:pPr>
              <w:spacing w:before="120" w:after="0"/>
              <w:rPr>
                <w:rFonts w:eastAsia="Calibri" w:cs="Calibri"/>
                <w:noProof/>
                <w:color w:val="444444"/>
              </w:rPr>
            </w:pPr>
            <w:sdt>
              <w:sdtPr>
                <w:rPr>
                  <w:rFonts w:cstheme="minorHAnsi"/>
                  <w:noProof/>
                </w:rPr>
                <w:id w:val="1244611954"/>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3E022D" w:rsidRDefault="007D19D6">
            <w:pPr>
              <w:spacing w:before="120" w:after="0"/>
              <w:rPr>
                <w:rFonts w:eastAsia="Calibri" w:cs="Calibri"/>
                <w:noProof/>
                <w:color w:val="444444"/>
              </w:rPr>
            </w:pPr>
            <w:r>
              <w:rPr>
                <w:noProof/>
                <w:color w:val="444444"/>
              </w:rPr>
              <w:t>saskaņā ar pieprasījuma saņēmējas valsts tiesību aktiem nav iespējams sn</w:t>
            </w:r>
            <w:r>
              <w:rPr>
                <w:noProof/>
                <w:color w:val="444444"/>
              </w:rPr>
              <w:t>iegt atbildi uz pieprasījumu, kas nav iesniegts kriminālprocesa vajadzībām.</w:t>
            </w:r>
          </w:p>
        </w:tc>
      </w:tr>
    </w:tbl>
    <w:p w:rsidR="003E022D" w:rsidRDefault="007D19D6">
      <w:pPr>
        <w:shd w:val="clear" w:color="auto" w:fill="FFFFFF"/>
        <w:spacing w:before="120" w:after="0"/>
        <w:rPr>
          <w:rFonts w:eastAsia="Calibri" w:cs="Calibri"/>
          <w:noProof/>
          <w:color w:val="444444"/>
        </w:rPr>
      </w:pPr>
      <w:r>
        <w:rPr>
          <w:noProof/>
          <w:color w:val="444444"/>
        </w:rPr>
        <w:t>Kontaktpersona gadījumiem, kad ir vajadzīga papildu informācija:</w:t>
      </w:r>
    </w:p>
    <w:p w:rsidR="003E022D" w:rsidRDefault="007D19D6">
      <w:pPr>
        <w:shd w:val="clear" w:color="auto" w:fill="FFFFFF"/>
        <w:spacing w:before="120" w:after="0"/>
        <w:rPr>
          <w:rFonts w:eastAsia="Calibri" w:cs="Calibri"/>
          <w:noProof/>
          <w:color w:val="444444"/>
        </w:rPr>
      </w:pPr>
      <w:r>
        <w:rPr>
          <w:noProof/>
          <w:color w:val="444444"/>
        </w:rPr>
        <w:t>Vārds, uzvārds:</w:t>
      </w:r>
    </w:p>
    <w:p w:rsidR="003E022D" w:rsidRDefault="007D19D6">
      <w:pPr>
        <w:shd w:val="clear" w:color="auto" w:fill="FFFFFF"/>
        <w:spacing w:before="120" w:after="0"/>
        <w:rPr>
          <w:rFonts w:eastAsia="Calibri" w:cs="Calibri"/>
          <w:noProof/>
          <w:color w:val="444444"/>
        </w:rPr>
      </w:pPr>
      <w:r>
        <w:rPr>
          <w:noProof/>
          <w:color w:val="444444"/>
        </w:rPr>
        <w:t>Tālrunis:</w:t>
      </w:r>
    </w:p>
    <w:p w:rsidR="003E022D" w:rsidRDefault="007D19D6">
      <w:pPr>
        <w:shd w:val="clear" w:color="auto" w:fill="FFFFFF"/>
        <w:spacing w:before="120" w:after="0"/>
        <w:rPr>
          <w:rFonts w:eastAsia="Calibri" w:cs="Calibri"/>
          <w:noProof/>
          <w:color w:val="444444"/>
        </w:rPr>
      </w:pPr>
      <w:r>
        <w:rPr>
          <w:noProof/>
          <w:color w:val="444444"/>
        </w:rPr>
        <w:t>E-pasta adrese:</w:t>
      </w:r>
    </w:p>
    <w:p w:rsidR="003E022D" w:rsidRDefault="007D19D6">
      <w:pPr>
        <w:shd w:val="clear" w:color="auto" w:fill="FFFFFF"/>
        <w:spacing w:before="120" w:after="0"/>
        <w:rPr>
          <w:rFonts w:eastAsia="Calibri" w:cs="Calibri"/>
          <w:noProof/>
          <w:color w:val="444444"/>
        </w:rPr>
      </w:pPr>
      <w:r>
        <w:rPr>
          <w:noProof/>
          <w:color w:val="444444"/>
        </w:rPr>
        <w:t>Cita informācija (ierobežojumi datu izmantošanai ar kriminālprocesu nesa</w:t>
      </w:r>
      <w:r>
        <w:rPr>
          <w:noProof/>
          <w:color w:val="444444"/>
        </w:rPr>
        <w:t>istītu pieprasījumu gadījumos):</w:t>
      </w:r>
    </w:p>
    <w:p w:rsidR="003E022D" w:rsidRDefault="007D19D6">
      <w:pPr>
        <w:shd w:val="clear" w:color="auto" w:fill="FFFFFF"/>
        <w:spacing w:before="120" w:after="0"/>
        <w:rPr>
          <w:rFonts w:eastAsia="Calibri" w:cs="Calibri"/>
          <w:noProof/>
          <w:color w:val="444444"/>
        </w:rPr>
      </w:pPr>
      <w:r>
        <w:rPr>
          <w:noProof/>
          <w:color w:val="444444"/>
        </w:rPr>
        <w:t>Lūdzam norādīt atbildes veidlapai pievienoto lapu skaitu:</w:t>
      </w:r>
    </w:p>
    <w:p w:rsidR="003E022D" w:rsidRDefault="007D19D6">
      <w:pPr>
        <w:shd w:val="clear" w:color="auto" w:fill="FFFFFF"/>
        <w:spacing w:before="120" w:after="0"/>
        <w:rPr>
          <w:rFonts w:eastAsia="Calibri" w:cs="Calibri"/>
          <w:noProof/>
          <w:color w:val="444444"/>
        </w:rPr>
      </w:pPr>
      <w:r>
        <w:rPr>
          <w:noProof/>
          <w:color w:val="444444"/>
        </w:rPr>
        <w:t>[vieta]</w:t>
      </w:r>
    </w:p>
    <w:p w:rsidR="003E022D" w:rsidRDefault="007D19D6">
      <w:pPr>
        <w:shd w:val="clear" w:color="auto" w:fill="FFFFFF"/>
        <w:spacing w:before="120" w:after="0"/>
        <w:rPr>
          <w:rFonts w:eastAsia="Calibri" w:cs="Calibri"/>
          <w:noProof/>
          <w:color w:val="444444"/>
        </w:rPr>
      </w:pPr>
      <w:r>
        <w:rPr>
          <w:noProof/>
          <w:color w:val="444444"/>
        </w:rPr>
        <w:t>[datums]</w:t>
      </w:r>
    </w:p>
    <w:p w:rsidR="003E022D" w:rsidRDefault="007D19D6">
      <w:pPr>
        <w:shd w:val="clear" w:color="auto" w:fill="FFFFFF"/>
        <w:spacing w:before="120" w:after="0"/>
        <w:rPr>
          <w:rFonts w:eastAsia="Calibri" w:cs="Calibri"/>
          <w:noProof/>
          <w:color w:val="444444"/>
        </w:rPr>
      </w:pPr>
      <w:r>
        <w:rPr>
          <w:noProof/>
          <w:color w:val="444444"/>
        </w:rPr>
        <w:t>Paraksts un oficiālais zīmogs (ja vajadzīgs):</w:t>
      </w:r>
    </w:p>
    <w:p w:rsidR="003E022D" w:rsidRDefault="007D19D6">
      <w:pPr>
        <w:shd w:val="clear" w:color="auto" w:fill="FFFFFF"/>
        <w:spacing w:before="120" w:after="0"/>
        <w:rPr>
          <w:rFonts w:eastAsia="Calibri" w:cs="Calibri"/>
          <w:noProof/>
          <w:color w:val="444444"/>
        </w:rPr>
      </w:pPr>
      <w:r>
        <w:rPr>
          <w:noProof/>
          <w:color w:val="444444"/>
        </w:rPr>
        <w:t>Uzvārds un amats/organizācija:</w:t>
      </w:r>
    </w:p>
    <w:p w:rsidR="003E022D" w:rsidRDefault="007D19D6">
      <w:pPr>
        <w:shd w:val="clear" w:color="auto" w:fill="FFFFFF"/>
        <w:spacing w:before="120" w:after="0"/>
        <w:rPr>
          <w:rFonts w:eastAsia="Calibri" w:cs="Calibri"/>
          <w:noProof/>
          <w:color w:val="444444"/>
        </w:rPr>
      </w:pPr>
      <w:r>
        <w:rPr>
          <w:noProof/>
          <w:color w:val="444444"/>
        </w:rPr>
        <w:t xml:space="preserve">Attiecīgā gadījumā lūdzam pievienot notiesājošo spriedumu sarakstu un </w:t>
      </w:r>
      <w:r>
        <w:rPr>
          <w:noProof/>
          <w:color w:val="444444"/>
        </w:rPr>
        <w:t>visu kopā nosūtīt pieprasījuma iesniedzējai valstij. Veidlapa vai saraksts nav jātulko pieprasījuma iesniedzējas valsts valodā.</w:t>
      </w:r>
    </w:p>
    <w:p w:rsidR="003E022D" w:rsidRDefault="007D19D6">
      <w:pPr>
        <w:spacing w:after="0"/>
        <w:rPr>
          <w:rFonts w:eastAsia="Calibri" w:cs="Calibri"/>
          <w:noProof/>
        </w:rPr>
      </w:pPr>
      <w:r>
        <w:rPr>
          <w:noProof/>
        </w:rPr>
        <w:pict>
          <v:rect id="_x0000_i1026" style="width:0;height:1.5pt" o:hralign="center" o:hrstd="t" o:hr="t" fillcolor="#a0a0a0" stroked="f"/>
        </w:pict>
      </w:r>
    </w:p>
    <w:p w:rsidR="003E022D" w:rsidRDefault="007D19D6">
      <w:pPr>
        <w:pBdr>
          <w:top w:val="nil"/>
          <w:left w:val="nil"/>
          <w:bottom w:val="nil"/>
          <w:right w:val="nil"/>
          <w:between w:val="nil"/>
        </w:pBdr>
        <w:shd w:val="clear" w:color="auto" w:fill="FFFFFF"/>
        <w:spacing w:before="60" w:after="60"/>
        <w:rPr>
          <w:rFonts w:eastAsia="Calibri" w:cs="Calibri"/>
          <w:noProof/>
          <w:color w:val="444444"/>
        </w:rPr>
      </w:pPr>
      <w:r>
        <w:rPr>
          <w:noProof/>
          <w:color w:val="000000"/>
        </w:rPr>
        <w:t>(</w:t>
      </w:r>
      <w:r>
        <w:rPr>
          <w:noProof/>
          <w:color w:val="800080"/>
          <w:vertAlign w:val="superscript"/>
        </w:rPr>
        <w:t>1</w:t>
      </w:r>
      <w:r>
        <w:rPr>
          <w:noProof/>
          <w:color w:val="000000"/>
        </w:rPr>
        <w:t>)</w:t>
      </w:r>
      <w:r>
        <w:rPr>
          <w:noProof/>
          <w:color w:val="444444"/>
        </w:rPr>
        <w:t>  Lai atvieglinātu personas identifikāciju, jāsniedz pēc iespējas vairāk informācijas.</w:t>
      </w:r>
    </w:p>
    <w:p w:rsidR="003E022D" w:rsidRDefault="003E022D">
      <w:pPr>
        <w:spacing w:before="120" w:after="120"/>
        <w:rPr>
          <w:rFonts w:eastAsia="Calibri" w:cs="Calibri"/>
          <w:noProof/>
        </w:rPr>
      </w:pPr>
    </w:p>
    <w:p w:rsidR="003E022D" w:rsidRDefault="007D19D6">
      <w:pPr>
        <w:pStyle w:val="Chapter"/>
        <w:rPr>
          <w:noProof/>
        </w:rPr>
      </w:pPr>
      <w:r>
        <w:rPr>
          <w:noProof/>
        </w:rPr>
        <w:t xml:space="preserve">3. NODAĻA. STANDARTIZĒTS </w:t>
      </w:r>
      <w:r>
        <w:rPr>
          <w:noProof/>
        </w:rPr>
        <w:t>INFORMĀCIJAS NOSŪTĪŠANAS FORMĀTS</w:t>
      </w:r>
    </w:p>
    <w:p w:rsidR="003E022D" w:rsidRDefault="007D19D6">
      <w:pPr>
        <w:pStyle w:val="Chapter"/>
        <w:rPr>
          <w:noProof/>
        </w:rPr>
      </w:pPr>
      <w:r>
        <w:rPr>
          <w:noProof/>
        </w:rPr>
        <w:t xml:space="preserve">Šā pielikuma 1. nodaļas 5. panta [Informācijas nosūtīšanas formāts] 1. un 2. punktā minētā kopējā noziedzīgu nodarījumu kategoriju tabula ar parametru tabulu </w:t>
      </w:r>
    </w:p>
    <w:p w:rsidR="003E022D" w:rsidRDefault="003E022D">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82"/>
        <w:gridCol w:w="7984"/>
      </w:tblGrid>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ind w:right="195"/>
              <w:jc w:val="center"/>
              <w:rPr>
                <w:rFonts w:eastAsia="Calibri" w:cs="Calibri"/>
                <w:b/>
                <w:noProof/>
              </w:rPr>
            </w:pPr>
            <w:r>
              <w:rPr>
                <w:b/>
                <w:noProof/>
              </w:rPr>
              <w:t>Kods</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ind w:right="195"/>
              <w:jc w:val="center"/>
              <w:rPr>
                <w:rFonts w:eastAsia="Calibri" w:cs="Calibri"/>
                <w:b/>
                <w:noProof/>
              </w:rPr>
            </w:pPr>
            <w:r>
              <w:rPr>
                <w:b/>
                <w:noProof/>
              </w:rPr>
              <w:t>Noziedzīgu nodarījumu kategorijas un apakškategorijas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0100 00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Noziegumi, kuri ir Starptautiskās krimināltiesas jurisdikcijā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Genocīds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Noziegumi pret cilvēci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Kara noziegumi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0200 00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Dalība noziedzīgā organizācijā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Noziedzīgas organizācijas</w:t>
            </w:r>
            <w:r>
              <w:rPr>
                <w:noProof/>
              </w:rPr>
              <w:t xml:space="preserve"> vadīšana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Apzināta piedalīšanās noziedzīgas organizācijas noziedzīgās darbībās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Apzināta piedalīšanās noziedzīgas organizācijas darbībās, kam nav noziedzīga rakstura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0300 00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Terorisms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Teroristu grupas vadīšana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Apzināta piedalīšanās teroristu grupas darbībās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Terorisma finansēšana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Publisks aicinājums veikt teroristisku nodarījumu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Vervēšana vai sagatavošana terorismam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0400 00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Cilvēku tirdzniecība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Cilvēku tirdzniecība darba vai pakalpojumu izmantošanas nolūkā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Cilvēku tirdzniecība prostitūcijas vai cita veida seksuālās izmantošanas nolūkos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0403 00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Cilvēku tirdzniecība orgānu vai cilvēku audu ieguves nolūkos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0404 00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Cilvēku tirdzniecība ar </w:t>
            </w:r>
            <w:r>
              <w:rPr>
                <w:noProof/>
              </w:rPr>
              <w:t>mērķi turēt verdzībā vai izmantot verdzībai vai izkalpināšanai līdzīgos apstākļos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0405 00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Cilvēku tirdzniecība nepilngadīgo darba vai pakalpojumu ekspluatācijas nolūkā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0406 00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Cilvēku tirdzniecība nepilngadīgo prostitūcijas vai cita veida seksuālās izman</w:t>
            </w:r>
            <w:r>
              <w:rPr>
                <w:noProof/>
              </w:rPr>
              <w:t>tošanas nolūkos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0407 00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Cilvēku tirdzniecība nepilngadīgo orgānu vai cilvēku audu ieguves nolūkos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0408 00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Cilvēku tirdzniecība ar mērķi turēt verdzībā nepilngadīgos vai izmantot verdzībai vai izkalpināšanai līdzīgos apstākļos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0500 00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Nelikumīga tirdzniecība</w:t>
            </w:r>
            <w:r>
              <w:rPr>
                <w:noProof/>
              </w:rPr>
              <w:t> (1)</w:t>
            </w:r>
            <w:r>
              <w:rPr>
                <w:b/>
                <w:noProof/>
              </w:rPr>
              <w:t> un citi noziedzīgi nodarījumi saistībā ar ieročiem, to daļām un mezgliem, munīciju un sprāgstvielām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Ieroču, šaujamieroču, to daļu un mezglu, munīcijas un sprāgstvielu nelikumīga izgatavošana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Ieroču, šaujamieroč</w:t>
            </w:r>
            <w:r>
              <w:rPr>
                <w:noProof/>
              </w:rPr>
              <w:t>u, to daļu un mezglu, munīcijas un sprāgstvielu nelikumīga tirdzniecība valsts mērogā (2)</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Ieroču, šaujamieroču, to daļu un mezglu, munīcijas un sprāgstvielu nelikumīgs eksports vai imports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Ieroču, šaujamieroču, to daļu un mezglu, munīcija</w:t>
            </w:r>
            <w:r>
              <w:rPr>
                <w:noProof/>
              </w:rPr>
              <w:t>s un sprāgstvielu nelikumīga turēšana īpašumā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0600 00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Noziegumi pret vidi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Aizsargāto dzīvnieku un augu sugu iznīcināšana vai bojāšana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Piesārņojošu vielu vai jonizējošā starojuma nelikumīga izvade gaisā, augsnē vai </w:t>
            </w:r>
            <w:r>
              <w:rPr>
                <w:noProof/>
              </w:rPr>
              <w:t>ūdenī</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Ar atkritumiem, tostarp bīstamiem atkritumiem, saistīti noziedzīgi nodarījumi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Ar aizsargāto dzīvnieku un augu sugu vai to daļu nelegālu tirdzniecību saistīti noziedzīgi nodarījumi (1)</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vides jomā bez ie</w:t>
            </w:r>
            <w:r>
              <w:rPr>
                <w:noProof/>
              </w:rPr>
              <w:t>priekšēja nodoma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0700 00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Ar narkotikām un prekursoriem saistīti noziedzīgi nodarījumi un citi noziedzīgi nodarījumi sabiedrības veselības jomā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Noziedzīgi nodarījumi saistībā ar narkotisko vielu, psihotropo vielu un prekursoru </w:t>
            </w:r>
            <w:r>
              <w:rPr>
                <w:noProof/>
              </w:rPr>
              <w:t>nelikumīgu tirdzniecību (3), kas nav paredzēti vienīgi personīgai lietošanai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Nelikumīga narkotiku lietošana un to iegāde, turēšana īpašumā, izgatavošana vai ražošana vienīgi personīgai lietošanai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Citu personu mudināšana vai kūdīšana uz na</w:t>
            </w:r>
            <w:r>
              <w:rPr>
                <w:noProof/>
              </w:rPr>
              <w:t>rkotisko un psihotropo vielu nelikumīgu lietošanu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Narkotisku vielu izgatavošana vai ražošana ne tikai personīgai lietošanai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Noziegumi pret personu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Tīša nonāvēšana (slepkavība)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Tīša nonāvēšana </w:t>
            </w:r>
            <w:r>
              <w:rPr>
                <w:noProof/>
              </w:rPr>
              <w:t>(slepkavība) atbildību pastiprinošos apstākļos (4)</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Nonāvēšana aiz neuzmanības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Jaundzimuša bērna apzināta nonāvēšana, ko veic viņa māte</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Aborta neatļauta izdarīšana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Eitanāzijas neatļauta izdarīšana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Ar pašnāvības </w:t>
            </w:r>
            <w:r>
              <w:rPr>
                <w:noProof/>
              </w:rPr>
              <w:t>izdarīšanu saistīti noziedzīgi nodarījumi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Vardarbība, kuras rezultātā iestājusies nāve</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Smagu miesas bojājumu nodarīšana, sakropļošana vai neatgriezeniskas invaliditātes izraisīšana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Smagu miesas bojājumu nodarīšana, sakropļošana v</w:t>
            </w:r>
            <w:r>
              <w:rPr>
                <w:noProof/>
              </w:rPr>
              <w:t>ai neatgriezeniskas invaliditātes izraisīšana bez iepriekšēja nodoma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Vieglu miesas bojājumu nodarīšana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Vieglu miesas bojājumu nodarīšana bez iepriekšēja nodoma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Pakļaušana dzīvības zaudēšanas vai smagu miesas bojājumu briesmām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Spīdzināšana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Atstāšana bez palīdzības vai atbalsta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kas saistīti ar orgānu vai audu izņemšanu bez pilnvarojuma vai piekrišanas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kas saistīti ar cilvēku orgānu un audu nelikumīgu</w:t>
            </w:r>
            <w:r>
              <w:rPr>
                <w:noProof/>
              </w:rPr>
              <w:t xml:space="preserve"> tirdzniecību (3)</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0818 00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Vardarbība vai draudēšana ģimenē</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pret personas brīvību, cieņu un citām aizsargātām interesēm, tostarp rasisms un ksenofobija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Personas nolaupīšana, nolaupīšana saistībā ar</w:t>
            </w:r>
            <w:r>
              <w:rPr>
                <w:noProof/>
              </w:rPr>
              <w:t xml:space="preserve"> izpirkuma maksas izspiešanu, nelikumīga brīvības atņemšana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Nelikumīgs arests vai brīvības atņemšana, ko veic valsts iestāde</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Ķīlnieku sagrābšana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Gaisa kuģa vai kuģa nolaupīšana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Apvainojumi, neslavas celšana, goda </w:t>
            </w:r>
            <w:r>
              <w:rPr>
                <w:noProof/>
              </w:rPr>
              <w:t>aizskaršana, necienīga izturēšanās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Draudi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Psiholoģiska vai emocionāla rakstura piespiešana, spiediena izdarīšana, pielavīšanās, aizskaršana vai agresija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Izspiešana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Izspiešana atbildību pastiprinošos apstākļos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w:t>
            </w:r>
            <w:r>
              <w:rPr>
                <w:noProof/>
              </w:rPr>
              <w:t>likumīga iekļuve privātīpašumā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Cita veida privātuma pārkāpšana, kas nav nelikumīga iekļuve privātīpašumā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kas vērsti pret personas datu aizsardzību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Datu vai komunikācijas nelikumīga pārtveršana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Diskriminācija uz dzimuma, rases, seksuālās orientācijas, reliģijas vai etniskās izcelsmes pamata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Publiska kūdīšana uz rasu diskrimināciju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Publiska kūdīšana uz rasu naidu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0917 00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Šantāža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Dzimumnoziegumi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Izvarošana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Izvarošana atbildību pastiprinošos apstākļos (5), izņemot nepilngadīgas personas izvarošanu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Seksuāla vardarbība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Savešana prostitūcijas vai seksuālu darbību nolūkā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Ekshibicionisms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Seksuāla </w:t>
            </w:r>
            <w:r>
              <w:rPr>
                <w:noProof/>
              </w:rPr>
              <w:t>uzmākšanās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Prostitūtas uzmākšanās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Bērnu seksuāla izmantošana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Ar bērnu pornogrāfiju vai nepilngadīgo netikliem attēliem saistīti noziedzīgi nodarījumi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Nepilngadīgā izvarošana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1011 00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Seksuāla vardarbība pret nepilngadīgo</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1100 00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pret ģimenes tiesībām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Nelikumīgas seksuālas attiecības starp tuviem ģimenes locekļiem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Poligāmija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Izvairīšanās no alimentu vai uzturlīdzekļu maksāšanas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Nepilngadīgā vai </w:t>
            </w:r>
            <w:r>
              <w:rPr>
                <w:noProof/>
              </w:rPr>
              <w:t>invalīda atstāšana novārtā vai pamešana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Rīkojuma par nepilngadīgā atdošanu nepildīšana vai nepilngadīgā pretlikumīga aizvešana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pret valsti, sabiedrisko kārtību, tiesas vai valsts amatpersonu darbīb</w:t>
            </w:r>
            <w:r>
              <w:rPr>
                <w:b/>
                <w:noProof/>
              </w:rPr>
              <w:t>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Spiegošana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Valsts nodevība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Ar vēlēšanām un referendumiem saistīti noziedzīgi nodarījumi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Valsts vadītāja dzīvības vai veselības apdraudējums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Valsts, tautas vai valsts simbolu zaimošana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Valsts iestādes </w:t>
            </w:r>
            <w:r>
              <w:rPr>
                <w:noProof/>
              </w:rPr>
              <w:t>pārstāvja apvainošana vai pretošanās tam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Izspiešana, piespiešana, spiediens, kas izdarīts pret valsts varas pārstāvi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Uzbrukums vai draudi valsts varas pārstāvim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Sabiedriskās kārtības pārkāpumi, sabiedrības miera traucēšana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Vardarbība sporta pasākumu laikā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Valsts vai administratīvu dokumentu zādzība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Tiesvedības traucēšana vai sagrozīšana, apzināti nepatiesi paziņojumi kriminālprocesa vai tiesas procesa gaitā, apzināti nepatiesu liecību sniegšana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121</w:t>
            </w:r>
            <w:r>
              <w:rPr>
                <w:noProof/>
              </w:rPr>
              <w:t>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Nelikumīga uzdošanās par citu personu vai amatpersonu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1214 00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Izbēgšana no likumīga apcietinājuma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1300 00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pret valsts īpašumu vai valsts interesēm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Krāpšana ar valsts, sociālā nodrošinājuma vai </w:t>
            </w:r>
            <w:r>
              <w:rPr>
                <w:noProof/>
              </w:rPr>
              <w:t>ģimenes pabalstiem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Krāpšana, kas skar Eiropas pabalstus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Ar nelikumīgām azartspēlēm saistīti noziedzīgi nodarījumi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Publiskā iepirkuma procedūru traucēšana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Ierēdņa, personas, kas pilda valsts dienestu, vai valsts iestādes </w:t>
            </w:r>
            <w:r>
              <w:rPr>
                <w:noProof/>
              </w:rPr>
              <w:t>aktīva vai pasīva iesaistīšana korupcijā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1306 00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Īpašuma piesavināšanās vai izkrāpšana, ko izdara valsts amatpersona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1307 00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Valsts amatpersonas funkciju ļaunprātīga izmantošana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1400 00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nodokļu un muitas jomā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nodokļu jomā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muitas jomā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1500 00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tautsaimniecībā un tirdzniecībā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Bankrots vai krāpnieciska maksātnespēja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Grāmatvedības noteikumu </w:t>
            </w:r>
            <w:r>
              <w:rPr>
                <w:noProof/>
              </w:rPr>
              <w:t>pārkāpumi, līdzekļu piesavināšanās, slēpšana vai uzņēmuma pasīvu pretlikumīga palielināšana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Konkurences noteikumu pārkāpšana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iegūtu līdzekļu legalizēšana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1505 00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Aktīva un pasīva korupcija privātajā sektorā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1506 00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Noslēpuma </w:t>
            </w:r>
            <w:r>
              <w:rPr>
                <w:noProof/>
              </w:rPr>
              <w:t>atklāšana vai pārkāpts pienākums glabāt noslēpumu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1507 00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Iekšējās informācijas ļaunprātīga izmantošana darījumos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pret īpašumu vai preču bojāšana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Nelikumīga piesavināšanās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Nelikumīga </w:t>
            </w:r>
            <w:r>
              <w:rPr>
                <w:noProof/>
              </w:rPr>
              <w:t>enerģijas piesavināšanās vai pārvirzīšana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Krāpšana, ieskaitot izkrāpšanu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Tirdzniecība ar zagtām precēm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Kultūras preču, arī senlietu un mākslas darbu, nelikumīga tirdzniecība (6)</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Īpašuma bojāšana vai iznīcināšana ar </w:t>
            </w:r>
            <w:r>
              <w:rPr>
                <w:noProof/>
              </w:rPr>
              <w:t>iepriekšēju nolūku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Īpašuma bojāšana vai iznīcināšana bez iepriekšēja nolūka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Sabotāža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pret rūpniecisku vai intelektuālu īpašumu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Ļaunprātīga dedzināšana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Ļaunprātīga dedzināšana, kas izraisa </w:t>
            </w:r>
            <w:r>
              <w:rPr>
                <w:noProof/>
              </w:rPr>
              <w:t>cilvēku nāvi vai ievainojumus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1612 00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Ļaunprātīga mežu dedzināšana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1700 00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Ar zādzībām saistīti noziedzīgi nodarījumi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Zādzība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Zādzība, nelikumīgi iekļūstot īpašumā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Zādzība, izmantojot vardarbību vai ieročus, </w:t>
            </w:r>
            <w:r>
              <w:rPr>
                <w:noProof/>
              </w:rPr>
              <w:t>vai draudus lietot vardarbību vai ieročus pret personu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Zādzība atbildību pastiprinošos apstākļos, kas nav saistīta ar vardarbību vai ieroču izmantošanu, vai draudiem lietot vardarbību vai ieročus pret personu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1800 00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w:t>
            </w:r>
            <w:r>
              <w:rPr>
                <w:b/>
                <w:noProof/>
              </w:rPr>
              <w:t xml:space="preserve"> nodarījumi pret informācijas sistēmām un citi ar datoriem saistīti noziegumi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Nelikumīga piekļuve informācijas sistēmām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Nelikumīga iejaukšanās sistēmā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Nelikumīga iejaukšanās datos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Tādu datorierīču vai datu ražošana, </w:t>
            </w:r>
            <w:r>
              <w:rPr>
                <w:noProof/>
              </w:rPr>
              <w:t>turēšana īpašumā, izplatīšana vai tirdzniecība, ar kuriem var izdarīt ar datoriem saistītus noziedzīgus nodarījumus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1900 00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Maksāšanas līdzekļu viltošana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Valūtas viltošana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Bezskaidras naudas maksāšanas līdzekļu </w:t>
            </w:r>
            <w:r>
              <w:rPr>
                <w:noProof/>
              </w:rPr>
              <w:t>viltošana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Publisku fiduciāru dokumentu viltošana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Viltotas valūtas, bezskaidras naudas maksāšanas līdzekļu vai publisku fiduciāru dokumentu laišana apgrozībā/lietošana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1905 00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Valūtas vai publisku fiduciāru dokumentu viltošanas ierīces </w:t>
            </w:r>
            <w:r>
              <w:rPr>
                <w:noProof/>
              </w:rPr>
              <w:t>glabāšana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2000 00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Dokumentu falsificēšana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Publiska vai administratīva dokumenta falsificēšana, ko veic privātpersona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Dokumenta falsificēšana, ko veic ierēdnis vai publiska iestāde</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Viltota publiska vai administ</w:t>
            </w:r>
            <w:r>
              <w:rPr>
                <w:noProof/>
              </w:rPr>
              <w:t>ratīva dokumenta piegāde vai iegūšana; viltota dokumenta piegāde vai iegūšana, ko veic ierēdnis vai publiska iestāde</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Viltotu publisku vai administratīvu dokumentu izmantošana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Publisku vai administratīvu dokumentu falsificēšanai paredzētas</w:t>
            </w:r>
            <w:r>
              <w:rPr>
                <w:noProof/>
              </w:rPr>
              <w:t xml:space="preserve"> ierīces glabāšana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Privātu dokumentu viltošana, ko veic privātpersona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2100 00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pret satiksmes noteikumiem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Bīstama braukšana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Transportlīdzekļa vadīšana alkohola vai narkotisko vielu ietekmē</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Transportlīdzekļa vadīšana bez transportlīdzekļa vadīšanas tiesībām vai laikā, kamēr tās ir atņemtas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Neapstāšanās pēc satiksmes negadījuma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Izvairīšanās no ceļu policijas pārbaudes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2106 00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Noziedzīgi nodarījumi, kas saistīti ar </w:t>
            </w:r>
            <w:r>
              <w:rPr>
                <w:noProof/>
              </w:rPr>
              <w:t>autoceļu transportu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2200 00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pret darba tiesībām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Nelikumīga nodarbinātība</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saistībā ar atlīdzību, tostarp sociālā nodrošinājuma iemaksām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saistībā</w:t>
            </w:r>
            <w:r>
              <w:rPr>
                <w:noProof/>
              </w:rPr>
              <w:t xml:space="preserve"> ar darba apstākļiem, veselību un drošību darba vietā</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saistībā ar darba pienākumu veikšanu vai piekļuvi tai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Noziedzīgi nodarījumi saistībā ar darba laiku un atpūtas laiku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2300 00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w:t>
            </w:r>
            <w:r>
              <w:rPr>
                <w:b/>
                <w:noProof/>
              </w:rPr>
              <w:t>jumi pret migrācijas tiesībām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Neatļauta ieceļošana vai uzturēšanās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Palīdzība nelikumīgi ieceļot un uzturēties</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2400 00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Noziedzīgi nodarījumi pret militāro dienestu</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2500 00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 xml:space="preserve">Noziedzīgi nodarījumi </w:t>
            </w:r>
            <w:r>
              <w:rPr>
                <w:b/>
                <w:noProof/>
              </w:rPr>
              <w:t>saistībā ar hormonu preparātiem un citiem augšanas veicināšanas līdzekļiem</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Hormonu preparātu un citu augšanas veicināšanas līdzekļu nelikumīgs imports, eksports vai piegāde</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2600 00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 xml:space="preserve">Ar kodolmateriāliem un citām bīstamām </w:t>
            </w:r>
            <w:r>
              <w:rPr>
                <w:b/>
                <w:noProof/>
              </w:rPr>
              <w:t>radioaktīvām vielām saistīti noziedzīgi nodarījumi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Kodolmateriālu vai radioaktīvu materiālu nelegāls imports, eksports, piegāde vai iegāde</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2700 00</w:t>
            </w:r>
          </w:p>
          <w:p w:rsidR="003E022D" w:rsidRDefault="007D19D6">
            <w:pPr>
              <w:spacing w:before="60" w:after="60"/>
              <w:rPr>
                <w:rFonts w:eastAsia="Calibri" w:cs="Calibri"/>
                <w:noProof/>
              </w:rPr>
            </w:pPr>
            <w:r>
              <w:rPr>
                <w:noProof/>
              </w:rPr>
              <w:t>atvērta kategorija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Citi noziedzīgi nodarījumi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Citi ar iepriekšēju nodomu veikti noziedzīgi</w:t>
            </w:r>
            <w:r>
              <w:rPr>
                <w:noProof/>
              </w:rPr>
              <w:t xml:space="preserve"> nodarījumi</w:t>
            </w:r>
          </w:p>
        </w:tc>
      </w:tr>
      <w:tr w:rsidR="003E022D">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2702 00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Citi bez iepriekšēja nodoma veikti noziedzīgi nodarījumi</w:t>
            </w:r>
          </w:p>
        </w:tc>
      </w:tr>
    </w:tbl>
    <w:p w:rsidR="003E022D" w:rsidRDefault="007D19D6">
      <w:pPr>
        <w:shd w:val="clear" w:color="auto" w:fill="FFFFFF"/>
        <w:spacing w:after="0"/>
        <w:rPr>
          <w:rFonts w:eastAsia="Calibri" w:cs="Calibri"/>
          <w:noProof/>
          <w:color w:val="444444"/>
        </w:rPr>
      </w:pPr>
      <w:r>
        <w:rPr>
          <w:noProof/>
        </w:rPr>
        <w:pict>
          <v:rect id="_x0000_i1027" style="width:0;height:1.5pt" o:hralign="center" o:hrstd="t" o:hr="t" fillcolor="#a0a0a0" stroked="f"/>
        </w:pict>
      </w:r>
    </w:p>
    <w:p w:rsidR="003E022D" w:rsidRDefault="007D19D6">
      <w:pPr>
        <w:shd w:val="clear" w:color="auto" w:fill="FFFFFF"/>
        <w:spacing w:before="60" w:after="60"/>
        <w:rPr>
          <w:rFonts w:eastAsia="Calibri" w:cs="Calibri"/>
          <w:noProof/>
          <w:color w:val="444444"/>
        </w:rPr>
      </w:pPr>
      <w:r>
        <w:rPr>
          <w:noProof/>
        </w:rPr>
        <w:t>(1)</w:t>
      </w:r>
      <w:r>
        <w:rPr>
          <w:noProof/>
          <w:color w:val="444444"/>
        </w:rPr>
        <w:t>  Ja vien nav norādīts citādi, šajā kategorijā nelikumīga tirdzniecība nozīmē importu, eksportu, iegādi, pārdošanu, piegādi, pārvietošanu vai nodošanu.</w:t>
      </w:r>
    </w:p>
    <w:p w:rsidR="003E022D" w:rsidRDefault="007D19D6">
      <w:pPr>
        <w:shd w:val="clear" w:color="auto" w:fill="FFFFFF"/>
        <w:spacing w:before="60" w:after="60"/>
        <w:rPr>
          <w:rFonts w:eastAsia="Calibri" w:cs="Calibri"/>
          <w:noProof/>
          <w:color w:val="444444"/>
        </w:rPr>
      </w:pPr>
      <w:r>
        <w:rPr>
          <w:noProof/>
        </w:rPr>
        <w:t>(2)</w:t>
      </w:r>
      <w:r>
        <w:rPr>
          <w:noProof/>
          <w:color w:val="444444"/>
        </w:rPr>
        <w:t xml:space="preserve">  Šajā </w:t>
      </w:r>
      <w:r>
        <w:rPr>
          <w:noProof/>
          <w:color w:val="444444"/>
        </w:rPr>
        <w:t>apakškategorijā nelikumīga tirdzniecība ietver iegādi, pārdošanu, piegādi, pārvietošanu vai nodošanu.</w:t>
      </w:r>
    </w:p>
    <w:p w:rsidR="003E022D" w:rsidRDefault="007D19D6">
      <w:pPr>
        <w:shd w:val="clear" w:color="auto" w:fill="FFFFFF"/>
        <w:spacing w:before="60" w:after="60"/>
        <w:rPr>
          <w:rFonts w:eastAsia="Calibri" w:cs="Calibri"/>
          <w:noProof/>
          <w:color w:val="444444"/>
        </w:rPr>
      </w:pPr>
      <w:r>
        <w:rPr>
          <w:noProof/>
        </w:rPr>
        <w:t>(3)</w:t>
      </w:r>
      <w:r>
        <w:rPr>
          <w:noProof/>
          <w:color w:val="444444"/>
        </w:rPr>
        <w:t>  Šajā apakškategorijā nelikumīga tirdzniecība ietver importu, eksportu, iegādi, pārdošanu, piegādi, pārvietošanu vai nodošanu.</w:t>
      </w:r>
    </w:p>
    <w:p w:rsidR="003E022D" w:rsidRDefault="007D19D6">
      <w:pPr>
        <w:shd w:val="clear" w:color="auto" w:fill="FFFFFF"/>
        <w:spacing w:before="60" w:after="60"/>
        <w:rPr>
          <w:rFonts w:eastAsia="Calibri" w:cs="Calibri"/>
          <w:noProof/>
          <w:color w:val="444444"/>
        </w:rPr>
      </w:pPr>
      <w:r>
        <w:rPr>
          <w:noProof/>
        </w:rPr>
        <w:t xml:space="preserve">(4) </w:t>
      </w:r>
      <w:r>
        <w:rPr>
          <w:noProof/>
          <w:color w:val="444444"/>
        </w:rPr>
        <w:t>  Piemēram: īpaši a</w:t>
      </w:r>
      <w:r>
        <w:rPr>
          <w:noProof/>
          <w:color w:val="444444"/>
        </w:rPr>
        <w:t>tbildību pastiprinoši apstākļi.</w:t>
      </w:r>
    </w:p>
    <w:p w:rsidR="003E022D" w:rsidRDefault="007D19D6">
      <w:pPr>
        <w:shd w:val="clear" w:color="auto" w:fill="FFFFFF"/>
        <w:spacing w:before="60" w:after="60"/>
        <w:rPr>
          <w:rFonts w:eastAsia="Calibri" w:cs="Calibri"/>
          <w:noProof/>
          <w:color w:val="444444"/>
        </w:rPr>
      </w:pPr>
      <w:r>
        <w:rPr>
          <w:noProof/>
        </w:rPr>
        <w:t>(5)</w:t>
      </w:r>
      <w:r>
        <w:rPr>
          <w:noProof/>
          <w:color w:val="444444"/>
        </w:rPr>
        <w:t>  Piemēram, īpaši cietsirdīga izvarošana.</w:t>
      </w:r>
    </w:p>
    <w:p w:rsidR="003E022D" w:rsidRDefault="007D19D6">
      <w:pPr>
        <w:shd w:val="clear" w:color="auto" w:fill="FFFFFF"/>
        <w:spacing w:before="60" w:after="60"/>
        <w:rPr>
          <w:rFonts w:eastAsia="Calibri" w:cs="Calibri"/>
          <w:noProof/>
          <w:color w:val="444444"/>
        </w:rPr>
      </w:pPr>
      <w:r>
        <w:rPr>
          <w:noProof/>
        </w:rPr>
        <w:t>(6)</w:t>
      </w:r>
      <w:r>
        <w:rPr>
          <w:noProof/>
          <w:color w:val="444444"/>
        </w:rPr>
        <w:t>  Tirdzniecība ietver importu, eksportu, iegādi, pārdošanu, piegādi, pārvietošanu vai pārsūtīšanu.</w:t>
      </w:r>
    </w:p>
    <w:p w:rsidR="003E022D" w:rsidRDefault="003E022D">
      <w:pPr>
        <w:spacing w:before="120" w:after="120"/>
        <w:rPr>
          <w:rFonts w:eastAsia="Calibri" w:cs="Calibri"/>
          <w:noProof/>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80"/>
        <w:gridCol w:w="5054"/>
        <w:gridCol w:w="432"/>
      </w:tblGrid>
      <w:tr w:rsidR="003E022D">
        <w:tc>
          <w:tcPr>
            <w:tcW w:w="9266"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Parametri</w:t>
            </w:r>
          </w:p>
        </w:tc>
      </w:tr>
      <w:tr w:rsidR="003E022D">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Pabeigtības pakāpe</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Pabeigts nodarījums</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C</w:t>
            </w:r>
          </w:p>
        </w:tc>
      </w:tr>
      <w:tr w:rsidR="003E022D">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3E022D">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 xml:space="preserve">Mēģinājums vai </w:t>
            </w:r>
            <w:r>
              <w:rPr>
                <w:noProof/>
              </w:rPr>
              <w:t>gatavošanās</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w:t>
            </w:r>
          </w:p>
        </w:tc>
      </w:tr>
      <w:tr w:rsidR="003E022D">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3E022D">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Nenosūtīts elements</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Ø</w:t>
            </w:r>
          </w:p>
        </w:tc>
      </w:tr>
      <w:tr w:rsidR="003E022D">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Līdzdalības pakāpe</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Izdarītājs</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M</w:t>
            </w:r>
          </w:p>
        </w:tc>
      </w:tr>
      <w:tr w:rsidR="003E022D">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3E022D">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Palīgs un līdzdalībnieks vai kūdītājs/organizētājs, konspirators</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H</w:t>
            </w:r>
          </w:p>
        </w:tc>
      </w:tr>
      <w:tr w:rsidR="003E022D">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3E022D">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Nenosūtīts elements</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Ø</w:t>
            </w:r>
          </w:p>
        </w:tc>
      </w:tr>
      <w:tr w:rsidR="003E022D">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Atbrīvošana no kriminālatbildības</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Nepieskaitāmība vai ierobežota pieskaitāmība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S</w:t>
            </w:r>
          </w:p>
        </w:tc>
      </w:tr>
      <w:tr w:rsidR="003E022D">
        <w:tc>
          <w:tcPr>
            <w:tcW w:w="8834"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b/>
                <w:noProof/>
              </w:rPr>
              <w:t>Recidīvisms</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rPr>
            </w:pPr>
            <w:r>
              <w:rPr>
                <w:noProof/>
              </w:rPr>
              <w:t>R</w:t>
            </w:r>
          </w:p>
        </w:tc>
      </w:tr>
    </w:tbl>
    <w:p w:rsidR="003E022D" w:rsidRDefault="003E022D">
      <w:pPr>
        <w:spacing w:before="120" w:after="120"/>
        <w:rPr>
          <w:rFonts w:eastAsia="Calibri" w:cs="Calibri"/>
          <w:noProof/>
        </w:rPr>
      </w:pPr>
    </w:p>
    <w:p w:rsidR="003E022D" w:rsidRDefault="007D19D6">
      <w:pPr>
        <w:shd w:val="clear" w:color="auto" w:fill="FFFFFF"/>
        <w:spacing w:before="120" w:after="120"/>
        <w:jc w:val="center"/>
        <w:rPr>
          <w:rFonts w:eastAsia="Calibri" w:cs="Calibri"/>
          <w:noProof/>
          <w:color w:val="444444"/>
        </w:rPr>
      </w:pPr>
      <w:r>
        <w:rPr>
          <w:b/>
          <w:noProof/>
          <w:color w:val="444444"/>
        </w:rPr>
        <w:t xml:space="preserve">Šā pielikuma 1. nodaļas 5. panta [Informācijas nosūtīšanas formāts] 3. un 4. punktā minētā kopējā sodu un piespiedu pasākumu kategoriju tabula ar parametru tabulu </w:t>
      </w: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0"/>
        <w:gridCol w:w="7936"/>
      </w:tblGrid>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ind w:right="195"/>
              <w:jc w:val="center"/>
              <w:rPr>
                <w:rFonts w:eastAsia="Calibri" w:cs="Calibri"/>
                <w:b/>
                <w:noProof/>
                <w:color w:val="444444"/>
              </w:rPr>
            </w:pPr>
            <w:r>
              <w:rPr>
                <w:b/>
                <w:noProof/>
                <w:color w:val="444444"/>
              </w:rPr>
              <w:t>Kods</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ind w:right="195"/>
              <w:jc w:val="center"/>
              <w:rPr>
                <w:rFonts w:eastAsia="Calibri" w:cs="Calibri"/>
                <w:b/>
                <w:noProof/>
                <w:color w:val="444444"/>
              </w:rPr>
            </w:pPr>
            <w:r>
              <w:rPr>
                <w:b/>
                <w:noProof/>
                <w:color w:val="444444"/>
              </w:rPr>
              <w:t>Sodu un piespiedu pasākumu kategorijas un apakškategorijas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1000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Brīvības atņemšana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1001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Ieslodzījums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1002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Mūža ieslodzījums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Personas brīvības ierobežošana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apmeklēt noteiktas vietas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Izceļošanas ierobežojums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uzturēties noteiktās vietās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apmeklēt masu pasākumus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jebkādiem līdzekļiem sazināties ar noteiktām personām</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Elektroniskās novērošanas piemērošana</w:t>
            </w:r>
            <w:r>
              <w:rPr>
                <w:noProof/>
              </w:rPr>
              <w:t> (1)</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Pienākums noteiktā laikā pieteikties norādītā iestādē</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 xml:space="preserve">Pienākums uzturēties/dzīvot </w:t>
            </w:r>
            <w:r>
              <w:rPr>
                <w:noProof/>
                <w:color w:val="444444"/>
              </w:rPr>
              <w:t>noteiktā vietā</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Pienākums atrasties dzīvesvietā noteiktā laikā</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2010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Pienākums ievērot tiesas noteiktos pārbaudes laika pienākumus, tostarp pakļauties novērošanai</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Konkrētu tiesību vai spēju atņemšana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 xml:space="preserve">Atstādināšana no </w:t>
            </w:r>
            <w:r>
              <w:rPr>
                <w:noProof/>
                <w:color w:val="444444"/>
              </w:rPr>
              <w:t>amata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Tiesību būt vai tikt ieceltam par valsts amatpersonu atņemšana/atņemšana uz laiku</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Tiesību vēlēt vai tikt ievēlētam atņemšana/atņemšana uz laiku</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Spējas slēgt līgumus ar valsts pārvaldes iestādēm atņemšana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 xml:space="preserve">Tiesību saņemt valsts </w:t>
            </w:r>
            <w:r>
              <w:rPr>
                <w:noProof/>
                <w:color w:val="444444"/>
              </w:rPr>
              <w:t>subsīdijas atņemšana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Transportlīdzekļa vadīšanas tiesību atņemšana</w:t>
            </w:r>
            <w:r>
              <w:rPr>
                <w:noProof/>
              </w:rPr>
              <w:t> (2)</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Transportlīdzekļa vadīšanas tiesību atņemšana uz laiku</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vadīt konkrētus transportlīdzekļus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Vecāku varas atņemšana / atņemšana uz laiku</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 xml:space="preserve">Tiesību </w:t>
            </w:r>
            <w:r>
              <w:rPr>
                <w:noProof/>
                <w:color w:val="444444"/>
              </w:rPr>
              <w:t>būt par ekspertu tiesas procesā / zvērinātu liecinieku / tiesas piesēdētāju atņemšana / atņemšana uz laiku</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Tiesību būt par likumīgu aizbildni atņemšana/atņemšana uz laiku</w:t>
            </w:r>
            <w:r>
              <w:rPr>
                <w:noProof/>
              </w:rPr>
              <w:t> (3)</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Tiesību uz apbalvojumu vai titulu atņemšana / atņemšana uz laiku</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Tiesību veikt profesionālu, komerciālu vai sociālu darbību atņemšana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strādāt vai nodarboties ar nepilngadīgām personām</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Pienākums izbeigt uzņēmējdarbību</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turēt vai nēsāt ieročus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Medību/makšķerēšanas licences</w:t>
            </w:r>
            <w:r>
              <w:rPr>
                <w:noProof/>
                <w:color w:val="444444"/>
              </w:rPr>
              <w:t xml:space="preserve"> atņemšana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izrakstīt čekus vai lietot maksājumu kartes / kredītkartes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3019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turēt dzīvniekus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3020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turēt īpašumā vai lietot konkrētus priekšmetus, kas nav ieroči</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3021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 xml:space="preserve">Aizliegums nodarboties ar konkrētām spēlēm / </w:t>
            </w:r>
            <w:r>
              <w:rPr>
                <w:noProof/>
                <w:color w:val="444444"/>
              </w:rPr>
              <w:t>sporta veidiem</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4000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Aizliegums ieceļot un uzturēties valsts teritorijā vai izraidīšana no tās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4001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Aizliegums ieceļot un uzturēties valsts teritorijā</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4002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Izraidīšana no valsts teritorijas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Personas pienākumi</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Pakļaušanās medicīniskai aprūpei vai citiem terapijas veidiem</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Iekļaušanās sociālā izglītības programmā</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Pienākums atrasties ģimenes aprūpē/kontrolē</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Izglītojoši pasākumi</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Sociālo un tiesu iestāžu probācija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 xml:space="preserve">Pienākums </w:t>
            </w:r>
            <w:r>
              <w:rPr>
                <w:noProof/>
                <w:color w:val="444444"/>
              </w:rPr>
              <w:t>mācīties/strādāt</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Pienākums sniegt tiesu iestādēm konkrētu informāciju</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Pienākums publicēt spriedumu</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5009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Pienākums kompensēt noziedzīga nodarījuma sakarā radušos kaitējumus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6000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Personīgā īpašuma sods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6001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Konfiskācija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6002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Ēku nojaukšana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6003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Atjaunošana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7000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Ievietošana iestādē</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7001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Ievietošana psihiatriskajā iestādē</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7002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Ievietošana detoksikācijas iestādē</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7003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Ievietošana izglītības iestādē</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8000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Finansiāls sods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8001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 xml:space="preserve">Naudas </w:t>
            </w:r>
            <w:r>
              <w:rPr>
                <w:noProof/>
                <w:color w:val="444444"/>
              </w:rPr>
              <w:t>sods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8002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Dienas naudas sods</w:t>
            </w:r>
            <w:r>
              <w:rPr>
                <w:noProof/>
              </w:rPr>
              <w:t> (4)</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8003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Naudas sods, ko piedzen par labu noteiktam saņēmējam</w:t>
            </w:r>
            <w:r>
              <w:rPr>
                <w:noProof/>
              </w:rPr>
              <w:t> (5)</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9000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Darba sods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9001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Sabiedriskais pakalpojums vai darbs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9002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 xml:space="preserve">Sabiedriskais pakalpojums vai darbs apvienojumā ar citiem ierobežojošiem </w:t>
            </w:r>
            <w:r>
              <w:rPr>
                <w:noProof/>
                <w:color w:val="444444"/>
              </w:rPr>
              <w:t>pasākumiem</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10000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Militārpersonu sods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10001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Dienesta pakāpes zaudēšana</w:t>
            </w:r>
            <w:r>
              <w:rPr>
                <w:noProof/>
              </w:rPr>
              <w:t> (6)</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10002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Atvaļināšana no dienesta pirms paredzētā laika</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10003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Ievietošana militārā ieslodzījuma iestādē</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11000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 xml:space="preserve">Atbrīvošana no soda / soda </w:t>
            </w:r>
            <w:r>
              <w:rPr>
                <w:b/>
                <w:noProof/>
                <w:color w:val="444444"/>
              </w:rPr>
              <w:t>izpildes atlikšana, brīdinājums</w:t>
            </w:r>
          </w:p>
        </w:tc>
      </w:tr>
      <w:tr w:rsidR="003E022D">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12000</w:t>
            </w:r>
          </w:p>
          <w:p w:rsidR="003E022D" w:rsidRDefault="007D19D6">
            <w:pPr>
              <w:spacing w:before="60" w:after="60"/>
              <w:rPr>
                <w:rFonts w:eastAsia="Calibri" w:cs="Calibri"/>
                <w:noProof/>
                <w:color w:val="444444"/>
              </w:rPr>
            </w:pPr>
            <w:r>
              <w:rPr>
                <w:noProof/>
                <w:color w:val="444444"/>
              </w:rPr>
              <w:t>atvērta kategorija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b/>
                <w:noProof/>
                <w:color w:val="444444"/>
              </w:rPr>
              <w:t>Citi sodi un piespiedu pasākumi</w:t>
            </w:r>
          </w:p>
        </w:tc>
      </w:tr>
    </w:tbl>
    <w:p w:rsidR="003E022D" w:rsidRDefault="003E022D">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5"/>
        <w:gridCol w:w="8841"/>
      </w:tblGrid>
      <w:tr w:rsidR="003E022D">
        <w:tc>
          <w:tcPr>
            <w:tcW w:w="9266"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ind w:right="195"/>
              <w:jc w:val="center"/>
              <w:rPr>
                <w:rFonts w:eastAsia="Calibri" w:cs="Calibri"/>
                <w:b/>
                <w:noProof/>
                <w:color w:val="444444"/>
              </w:rPr>
            </w:pPr>
            <w:r>
              <w:rPr>
                <w:b/>
                <w:noProof/>
                <w:color w:val="444444"/>
              </w:rPr>
              <w:t>Parametri (attiecīgā gadījumā precizēt)</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ø</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Sods</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m</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Piespiedu pasākumus</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Nosacīts sods / piespiedu pasākums</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b</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Daļēji nosacīts sods / piespiedu pasākums</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c</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Nosacīts sods / piespiedu pasākums ar probāciju / uzraudzību</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d</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Daļēji nosacīts sods / piespiedu pasākums ar probāciju/uzraudzību</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e</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Soda / piespiedu pasākuma aizstāšana</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f</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Alternatīvs sods / piespiedu pasākums, kuru piemēro kā galveno sodu</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g</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 xml:space="preserve">Alternatīvs </w:t>
            </w:r>
            <w:r>
              <w:rPr>
                <w:noProof/>
                <w:color w:val="444444"/>
              </w:rPr>
              <w:t>sods / piespiedu pasākums, kuru piemēro sākotnēji, ja netiek ievērots galvenais sods</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h</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Nosacītā soda / piespiedu pasākuma atcelšana</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Sodu saskaitīšana</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j</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Izpildes pārtraukšana / soda / piespiedu pasākuma atlikšana</w:t>
            </w:r>
            <w:r>
              <w:rPr>
                <w:noProof/>
              </w:rPr>
              <w:t> (7)</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k</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Atbrīvošana no soda</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l</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Atbrīvošana no nosacītā soda</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n</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Soda izbeigšana</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o</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Apžēlošana</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p</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Amnestija</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q</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Nosacīta atbrīvošana (personas pirmstermiņa atbrīvošana no soda ar konkrētiem nosacījumiem)</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r</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Rehabilitācija (ar soda dzēšanu no sodāmības reģistra vai bez soda dzēšanas)</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s</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Īpašs mazgadīgajiem piemērojams sods vai piespiedu pasākums</w:t>
            </w:r>
          </w:p>
        </w:tc>
      </w:tr>
      <w:tr w:rsidR="003E022D">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t</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3E022D" w:rsidRDefault="007D19D6">
            <w:pPr>
              <w:spacing w:before="60" w:after="60"/>
              <w:rPr>
                <w:rFonts w:eastAsia="Calibri" w:cs="Calibri"/>
                <w:noProof/>
                <w:color w:val="444444"/>
              </w:rPr>
            </w:pPr>
            <w:r>
              <w:rPr>
                <w:noProof/>
                <w:color w:val="444444"/>
              </w:rPr>
              <w:t>Nolēmums, kas nav saistīts ar krimināllietu</w:t>
            </w:r>
            <w:r>
              <w:rPr>
                <w:noProof/>
              </w:rPr>
              <w:t> (8)</w:t>
            </w:r>
          </w:p>
        </w:tc>
      </w:tr>
    </w:tbl>
    <w:p w:rsidR="003E022D" w:rsidRDefault="007D19D6">
      <w:pPr>
        <w:spacing w:after="0"/>
        <w:rPr>
          <w:rFonts w:eastAsia="Calibri" w:cs="Calibri"/>
          <w:noProof/>
        </w:rPr>
      </w:pPr>
      <w:r>
        <w:rPr>
          <w:noProof/>
        </w:rPr>
        <w:pict>
          <v:rect id="_x0000_i1028" style="width:0;height:1.5pt" o:hralign="center" o:hrstd="t" o:hr="t" fillcolor="#a0a0a0" stroked="f"/>
        </w:pict>
      </w:r>
    </w:p>
    <w:p w:rsidR="003E022D" w:rsidRDefault="007D19D6">
      <w:pPr>
        <w:shd w:val="clear" w:color="auto" w:fill="FFFFFF"/>
        <w:spacing w:before="60" w:after="60"/>
        <w:rPr>
          <w:rFonts w:eastAsia="Calibri" w:cs="Calibri"/>
          <w:noProof/>
          <w:color w:val="444444"/>
        </w:rPr>
      </w:pPr>
      <w:r>
        <w:rPr>
          <w:noProof/>
        </w:rPr>
        <w:t>(1)</w:t>
      </w:r>
      <w:r>
        <w:rPr>
          <w:noProof/>
          <w:color w:val="444444"/>
        </w:rPr>
        <w:t>  Fiksēta vai mobila novērošana.</w:t>
      </w:r>
    </w:p>
    <w:p w:rsidR="003E022D" w:rsidRDefault="007D19D6">
      <w:pPr>
        <w:shd w:val="clear" w:color="auto" w:fill="FFFFFF"/>
        <w:spacing w:before="60" w:after="60"/>
        <w:rPr>
          <w:rFonts w:eastAsia="Calibri" w:cs="Calibri"/>
          <w:noProof/>
          <w:color w:val="444444"/>
        </w:rPr>
      </w:pPr>
      <w:r>
        <w:rPr>
          <w:noProof/>
        </w:rPr>
        <w:t>(2)</w:t>
      </w:r>
      <w:r>
        <w:rPr>
          <w:noProof/>
          <w:color w:val="444444"/>
        </w:rPr>
        <w:t>  Nepieciešams atkārtoti iesniegt pieteikumu, lai iegūtu jaunas transportlīdzekļa vadīšanas tiesības.</w:t>
      </w:r>
    </w:p>
    <w:p w:rsidR="003E022D" w:rsidRDefault="007D19D6">
      <w:pPr>
        <w:shd w:val="clear" w:color="auto" w:fill="FFFFFF"/>
        <w:spacing w:before="60" w:after="60"/>
        <w:rPr>
          <w:rFonts w:eastAsia="Calibri" w:cs="Calibri"/>
          <w:noProof/>
          <w:color w:val="444444"/>
        </w:rPr>
      </w:pPr>
      <w:r>
        <w:rPr>
          <w:noProof/>
        </w:rPr>
        <w:t>(</w:t>
      </w:r>
      <w:r>
        <w:rPr>
          <w:noProof/>
        </w:rPr>
        <w:t>3)</w:t>
      </w:r>
      <w:r>
        <w:rPr>
          <w:noProof/>
          <w:color w:val="444444"/>
        </w:rPr>
        <w:t>  Likumīgu aizbildni personai, kas ir rīcībnespējīga vai nepilngadīga.</w:t>
      </w:r>
    </w:p>
    <w:p w:rsidR="003E022D" w:rsidRDefault="007D19D6">
      <w:pPr>
        <w:shd w:val="clear" w:color="auto" w:fill="FFFFFF"/>
        <w:spacing w:before="60" w:after="60"/>
        <w:rPr>
          <w:rFonts w:eastAsia="Calibri" w:cs="Calibri"/>
          <w:noProof/>
          <w:color w:val="444444"/>
        </w:rPr>
      </w:pPr>
      <w:r>
        <w:rPr>
          <w:noProof/>
        </w:rPr>
        <w:t>(4)</w:t>
      </w:r>
      <w:r>
        <w:rPr>
          <w:noProof/>
          <w:color w:val="444444"/>
        </w:rPr>
        <w:t>  Naudas sods dienu izteiksmē.</w:t>
      </w:r>
    </w:p>
    <w:p w:rsidR="003E022D" w:rsidRDefault="007D19D6">
      <w:pPr>
        <w:shd w:val="clear" w:color="auto" w:fill="FFFFFF"/>
        <w:spacing w:before="60" w:after="60"/>
        <w:rPr>
          <w:rFonts w:eastAsia="Calibri" w:cs="Calibri"/>
          <w:noProof/>
          <w:color w:val="444444"/>
        </w:rPr>
      </w:pPr>
      <w:r>
        <w:rPr>
          <w:noProof/>
        </w:rPr>
        <w:t>(5)</w:t>
      </w:r>
      <w:r>
        <w:rPr>
          <w:noProof/>
          <w:color w:val="444444"/>
        </w:rPr>
        <w:t>  Piemēram: iestādei, asociācijai, fondam vai cietušajam.</w:t>
      </w:r>
    </w:p>
    <w:p w:rsidR="003E022D" w:rsidRDefault="007D19D6">
      <w:pPr>
        <w:shd w:val="clear" w:color="auto" w:fill="FFFFFF"/>
        <w:spacing w:before="60" w:after="60"/>
        <w:rPr>
          <w:rFonts w:eastAsia="Calibri" w:cs="Calibri"/>
          <w:noProof/>
          <w:color w:val="444444"/>
        </w:rPr>
      </w:pPr>
      <w:r>
        <w:rPr>
          <w:noProof/>
        </w:rPr>
        <w:t>(6)</w:t>
      </w:r>
      <w:r>
        <w:rPr>
          <w:noProof/>
          <w:color w:val="444444"/>
        </w:rPr>
        <w:t>  Pazemināšana dienestā.</w:t>
      </w:r>
    </w:p>
    <w:p w:rsidR="003E022D" w:rsidRDefault="007D19D6">
      <w:pPr>
        <w:shd w:val="clear" w:color="auto" w:fill="FFFFFF"/>
        <w:spacing w:before="60" w:after="60"/>
        <w:rPr>
          <w:rFonts w:eastAsia="Calibri" w:cs="Calibri"/>
          <w:noProof/>
          <w:color w:val="444444"/>
        </w:rPr>
      </w:pPr>
      <w:r>
        <w:rPr>
          <w:noProof/>
        </w:rPr>
        <w:t>(7)</w:t>
      </w:r>
      <w:r>
        <w:rPr>
          <w:noProof/>
          <w:color w:val="444444"/>
        </w:rPr>
        <w:t>  Neizraisa soda izpildes atcelšanu.</w:t>
      </w:r>
    </w:p>
    <w:p w:rsidR="003E022D" w:rsidRDefault="007D19D6">
      <w:pPr>
        <w:shd w:val="clear" w:color="auto" w:fill="FFFFFF"/>
        <w:spacing w:before="60" w:after="60"/>
        <w:rPr>
          <w:rFonts w:eastAsia="Calibri" w:cs="Calibri"/>
          <w:noProof/>
          <w:color w:val="444444"/>
        </w:rPr>
      </w:pPr>
      <w:r>
        <w:rPr>
          <w:noProof/>
        </w:rPr>
        <w:t>(8)</w:t>
      </w:r>
      <w:r>
        <w:rPr>
          <w:noProof/>
          <w:color w:val="444444"/>
        </w:rPr>
        <w:t>  Šo parametru iz</w:t>
      </w:r>
      <w:r>
        <w:rPr>
          <w:noProof/>
          <w:color w:val="444444"/>
        </w:rPr>
        <w:t>manto tikai tad, ja šādu informāciju sniedz, atbildot uz pieprasījumu, ko saņēmusi valsts, kas ir attiecīgās personas valstspiederības valsts.</w:t>
      </w:r>
    </w:p>
    <w:p w:rsidR="003E022D" w:rsidRDefault="007D19D6">
      <w:pPr>
        <w:spacing w:after="160" w:line="259" w:lineRule="auto"/>
        <w:jc w:val="left"/>
        <w:rPr>
          <w:noProof/>
        </w:rPr>
      </w:pPr>
      <w:r>
        <w:rPr>
          <w:noProof/>
        </w:rPr>
        <w:br w:type="page"/>
      </w:r>
    </w:p>
    <w:p w:rsidR="003E022D" w:rsidRDefault="007D19D6">
      <w:pPr>
        <w:pStyle w:val="ANNEX"/>
        <w:rPr>
          <w:caps/>
          <w:noProof/>
        </w:rPr>
      </w:pPr>
      <w:bookmarkStart w:id="1382" w:name="_Toc58431977"/>
      <w:bookmarkStart w:id="1383" w:name="_Toc59439629"/>
      <w:bookmarkStart w:id="1384" w:name="_Toc59645286"/>
      <w:bookmarkStart w:id="1385" w:name="_Toc59988427"/>
      <w:r>
        <w:rPr>
          <w:noProof/>
        </w:rPr>
        <w:t xml:space="preserve">LAW-7. PIELIKUMS. </w:t>
      </w:r>
      <w:r>
        <w:rPr>
          <w:caps/>
          <w:noProof/>
        </w:rPr>
        <w:t>Terorisma definīcija</w:t>
      </w:r>
      <w:bookmarkEnd w:id="1382"/>
      <w:bookmarkEnd w:id="1383"/>
      <w:bookmarkEnd w:id="1384"/>
      <w:bookmarkEnd w:id="1385"/>
    </w:p>
    <w:p w:rsidR="003E022D" w:rsidRDefault="007D19D6">
      <w:pPr>
        <w:pStyle w:val="Article"/>
        <w:numPr>
          <w:ilvl w:val="0"/>
          <w:numId w:val="698"/>
        </w:numPr>
        <w:spacing w:before="0" w:line="276" w:lineRule="auto"/>
        <w:ind w:left="0" w:firstLine="0"/>
        <w:jc w:val="left"/>
        <w:rPr>
          <w:rFonts w:cstheme="minorHAnsi"/>
          <w:noProof/>
        </w:rPr>
      </w:pPr>
      <w:bookmarkStart w:id="1386" w:name="_Toc58245202"/>
      <w:r>
        <w:rPr>
          <w:noProof/>
        </w:rPr>
        <w:t>Piemērošanas joma</w:t>
      </w:r>
      <w:bookmarkEnd w:id="1386"/>
    </w:p>
    <w:p w:rsidR="003E022D" w:rsidRDefault="007D19D6">
      <w:pPr>
        <w:rPr>
          <w:rFonts w:cstheme="minorHAnsi"/>
          <w:bCs/>
          <w:noProof/>
          <w:shd w:val="clear" w:color="auto" w:fill="FFFFFF"/>
        </w:rPr>
      </w:pPr>
      <w:r>
        <w:rPr>
          <w:noProof/>
        </w:rPr>
        <w:t xml:space="preserve">Trešās daļas IX sadaļā [Apmaiņa ar informāciju no </w:t>
      </w:r>
      <w:r>
        <w:rPr>
          <w:noProof/>
        </w:rPr>
        <w:t>sodāmības reģistra] LAW.SURR 79. panta [Piemērošanas joma] 3. punkta b) apakšpunktā, LAW.SURR 79. panta [Piemērošanas joma] 4. punktā, LAW.SURR 82. panta [Izņēmums politiska nodarījuma gadījumā] 2. punkta c) apakšpunktā, LAW.CONFISC.15. panta [Atteikuma pa</w:t>
      </w:r>
      <w:r>
        <w:rPr>
          <w:noProof/>
        </w:rPr>
        <w:t>matojums] 2. punktā, LAW-5. PIELIKUMĀ [APCIETINĀŠANAS ORDERIS] un LAW-8. PIELIKUMĀ [Iesaldēšana un konfiskācija] “terorisms” ir nodarījumi, kas definēti šā pielikuma 3.–14. punktā.</w:t>
      </w:r>
    </w:p>
    <w:p w:rsidR="003E022D" w:rsidRDefault="007D19D6">
      <w:pPr>
        <w:pStyle w:val="Article"/>
        <w:numPr>
          <w:ilvl w:val="0"/>
          <w:numId w:val="698"/>
        </w:numPr>
        <w:spacing w:before="0" w:line="276" w:lineRule="auto"/>
        <w:ind w:left="0" w:firstLine="0"/>
        <w:jc w:val="left"/>
        <w:rPr>
          <w:rFonts w:cstheme="minorHAnsi"/>
          <w:noProof/>
        </w:rPr>
      </w:pPr>
      <w:r>
        <w:rPr>
          <w:noProof/>
        </w:rPr>
        <w:t xml:space="preserve"> </w:t>
      </w:r>
      <w:bookmarkStart w:id="1387" w:name="_Toc58245203"/>
      <w:r>
        <w:rPr>
          <w:noProof/>
        </w:rPr>
        <w:t>Teroristu grupas un strukturētas grupas definīcija</w:t>
      </w:r>
      <w:bookmarkEnd w:id="1387"/>
    </w:p>
    <w:p w:rsidR="003E022D" w:rsidRDefault="007D19D6">
      <w:pPr>
        <w:pStyle w:val="ListParagraph"/>
        <w:numPr>
          <w:ilvl w:val="1"/>
          <w:numId w:val="698"/>
        </w:numPr>
        <w:spacing w:line="276" w:lineRule="auto"/>
        <w:ind w:left="0" w:firstLine="0"/>
        <w:rPr>
          <w:rFonts w:cstheme="minorHAnsi"/>
          <w:bCs/>
          <w:noProof/>
        </w:rPr>
      </w:pPr>
      <w:r>
        <w:rPr>
          <w:noProof/>
        </w:rPr>
        <w:t xml:space="preserve">“Teroristu grupa” ir </w:t>
      </w:r>
      <w:r>
        <w:rPr>
          <w:noProof/>
        </w:rPr>
        <w:t>strukturēta grupa ar vairāk nekā divām personām, izveidota uz laikposmu un darbojas saskaņoti, lai izdarītu teroristu nodarījumus.</w:t>
      </w:r>
    </w:p>
    <w:p w:rsidR="003E022D" w:rsidRDefault="003E022D">
      <w:pPr>
        <w:pStyle w:val="ListParagraph"/>
        <w:rPr>
          <w:rFonts w:cstheme="minorHAnsi"/>
          <w:bCs/>
          <w:noProof/>
        </w:rPr>
      </w:pPr>
    </w:p>
    <w:p w:rsidR="003E022D" w:rsidRDefault="007D19D6">
      <w:pPr>
        <w:pStyle w:val="ListParagraph"/>
        <w:numPr>
          <w:ilvl w:val="1"/>
          <w:numId w:val="698"/>
        </w:numPr>
        <w:spacing w:line="276" w:lineRule="auto"/>
        <w:ind w:left="0" w:firstLine="0"/>
        <w:rPr>
          <w:rFonts w:cstheme="minorHAnsi"/>
          <w:noProof/>
          <w:shd w:val="clear" w:color="auto" w:fill="FFFFFF"/>
        </w:rPr>
      </w:pPr>
      <w:r>
        <w:rPr>
          <w:noProof/>
        </w:rPr>
        <w:t>“Strukturēta grupa” ir grupa, kas nav nejauši izveidota tūlītējai noziedzīga nodarījuma izdarīšanai un kam nav vajadzīgas fo</w:t>
      </w:r>
      <w:r>
        <w:rPr>
          <w:noProof/>
        </w:rPr>
        <w:t>rmāli noteiktas lomas tās locekļiem, dalības tajā nepārtrauktīa</w:t>
      </w:r>
      <w:r>
        <w:rPr>
          <w:bCs/>
          <w:noProof/>
          <w:shd w:val="clear" w:color="auto" w:fill="FFFFFF"/>
        </w:rPr>
        <w:t xml:space="preserve"> </w:t>
      </w:r>
      <w:r>
        <w:rPr>
          <w:noProof/>
        </w:rPr>
        <w:t xml:space="preserve"> vai attīstīta struktūra.</w:t>
      </w:r>
    </w:p>
    <w:p w:rsidR="003E022D" w:rsidRDefault="007D19D6">
      <w:pPr>
        <w:pStyle w:val="Article"/>
        <w:numPr>
          <w:ilvl w:val="0"/>
          <w:numId w:val="698"/>
        </w:numPr>
        <w:spacing w:before="0" w:line="276" w:lineRule="auto"/>
        <w:ind w:left="0" w:firstLine="0"/>
        <w:jc w:val="left"/>
        <w:rPr>
          <w:rFonts w:cstheme="minorHAnsi"/>
          <w:noProof/>
        </w:rPr>
      </w:pPr>
      <w:bookmarkStart w:id="1388" w:name="_Toc58245204"/>
      <w:r>
        <w:rPr>
          <w:noProof/>
        </w:rPr>
        <w:t>Teroristu nodarījumi</w:t>
      </w:r>
      <w:bookmarkEnd w:id="1388"/>
    </w:p>
    <w:p w:rsidR="003E022D" w:rsidRDefault="007D19D6">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Tīšās darbības</w:t>
      </w:r>
      <w:r>
        <w:rPr>
          <w:noProof/>
        </w:rPr>
        <w:t>,</w:t>
      </w:r>
      <w:r>
        <w:rPr>
          <w:noProof/>
          <w:shd w:val="clear" w:color="auto" w:fill="FFFFFF"/>
        </w:rPr>
        <w:t xml:space="preserve"> kas valstu tiesību aktos tiek definētas kā nodarījumi, kuri pēc to rakstura vai apstākļiem var radīt smagu kaitējumu valstij vai </w:t>
      </w:r>
      <w:r>
        <w:rPr>
          <w:noProof/>
          <w:shd w:val="clear" w:color="auto" w:fill="FFFFFF"/>
        </w:rPr>
        <w:t>starptautiskai organizācijai, ja tās izdarītas ar vienu no mērķiem, kas uzskaitīti 3.2. punktā:</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uzbrukumi personas dzīvībai, kas var izraisīt nāvi;</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uzbrukumi personas fiziskam veselumam;</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personas nolaupīšana vai ķīlnieku sagrābšana;</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valdības vai sabiedrisk</w:t>
      </w:r>
      <w:r>
        <w:rPr>
          <w:noProof/>
          <w:shd w:val="clear" w:color="auto" w:fill="FFFFFF"/>
        </w:rPr>
        <w:t>a objekta, transporta sistēmas, infrastruktūras objekta, tostarp informācijas sistēmas, stacionāras platformas kontinentālajā šelfā, sabiedriskas vietas vai privātīpašuma plašas iznīcināšanas izraisīšana, kas varētu apdraudēt cilvēka dzīvību vai radīt būti</w:t>
      </w:r>
      <w:r>
        <w:rPr>
          <w:noProof/>
          <w:shd w:val="clear" w:color="auto" w:fill="FFFFFF"/>
        </w:rPr>
        <w:t>sku mantisku zaudējumu;</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gaisa kuģa, kuģu vai cita sabiedriskā vai preču transportlīdzekļa sagrābšana;</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sprāgstvielu vai ieroču, tostarp ķīmisko, bioloģisko, radioloģisko ieroču vai kodolieroču ražošana, glabāšana, iegūšana, transportēšana, piegāde vai lieto</w:t>
      </w:r>
      <w:r>
        <w:rPr>
          <w:noProof/>
          <w:shd w:val="clear" w:color="auto" w:fill="FFFFFF"/>
        </w:rPr>
        <w:t>šana, kā arī ķīmisko, bioloģisko, radioloģisko ieroču vai kodolieroču pētniecība un izstrāde;</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bīstamu vielu noplūdes izraisīšana vai ugunsgrēku, plūdu vai sprādzienu radīšana ar mērķi apdraudēt cilvēka dzīvību;</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ūdensapgādes, elektroapgādes vai jebkuru citu</w:t>
      </w:r>
      <w:r>
        <w:rPr>
          <w:noProof/>
          <w:shd w:val="clear" w:color="auto" w:fill="FFFFFF"/>
        </w:rPr>
        <w:t xml:space="preserve"> dabas pamatresursu piegādes traucēšana vai pārtraukšana ar mērķi apdraudēt cilvēka dzīvību;</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 xml:space="preserve">informācijas sistēmas darbības būtiska kavēšana vai pārtraukšana, tīši un bez tiesībām ievadot datorizētus datus, sūtot, bojājot, dzēšot, pasliktinot, pārveidojot </w:t>
      </w:r>
      <w:r>
        <w:rPr>
          <w:noProof/>
          <w:shd w:val="clear" w:color="auto" w:fill="FFFFFF"/>
        </w:rPr>
        <w:t>vai slāpējot šādus datus vai padarot šādus datus nepieejamus, gadījumos, kad:</w:t>
      </w:r>
    </w:p>
    <w:p w:rsidR="003E022D" w:rsidRDefault="007D19D6">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tiek ietekmēts liels skaits informācijas sistēmu, izmantojot rīku, kas izstrādāts vai pielāgots galvenokārt šādam nolūkam;</w:t>
      </w:r>
    </w:p>
    <w:p w:rsidR="003E022D" w:rsidRDefault="007D19D6">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noziedzīgais nodarījums rada nopietnu kaitējumu;</w:t>
      </w:r>
    </w:p>
    <w:p w:rsidR="003E022D" w:rsidRDefault="007D19D6">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noziedzīgais nodarījums ir izdarīts pret kādu kritiskās infrastruktūras informācijas sistēmu;</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datorizētu datu dzēšana, bojāšana, pasliktināšana, pārveidošana vai slāpēšana informācijas sistēmā vai šādu datu padarīšana par nepieejamiem, tīša un bez tiesībām</w:t>
      </w:r>
      <w:r>
        <w:rPr>
          <w:noProof/>
          <w:shd w:val="clear" w:color="auto" w:fill="FFFFFF"/>
        </w:rPr>
        <w:t>, gadījumos, kad noziedzīgais nodarījums ir izdarīts pret kādu kritiskās infrastruktūras informācijas sistēmu;</w:t>
      </w:r>
    </w:p>
    <w:p w:rsidR="003E022D" w:rsidRDefault="007D19D6">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 xml:space="preserve">draudēšana izdarīt jebkuru no a)–j) apakšpunktā uzskaitītajām darbībām. </w:t>
      </w:r>
    </w:p>
    <w:p w:rsidR="003E022D" w:rsidRDefault="007D19D6">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Mērķi, kas minēti 3.1. punktā:</w:t>
      </w:r>
    </w:p>
    <w:p w:rsidR="003E022D" w:rsidRDefault="007D19D6">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nopietni iebiedēt iedzīvotājus;</w:t>
      </w:r>
    </w:p>
    <w:p w:rsidR="003E022D" w:rsidRDefault="007D19D6">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nepienācī</w:t>
      </w:r>
      <w:r>
        <w:rPr>
          <w:noProof/>
          <w:shd w:val="clear" w:color="auto" w:fill="FFFFFF"/>
        </w:rPr>
        <w:t>gā veidā piespiest valdību vai starptautisku organizāciju veikt kādu darbību vai atturēties no tās;</w:t>
      </w:r>
    </w:p>
    <w:p w:rsidR="003E022D" w:rsidRDefault="007D19D6">
      <w:pPr>
        <w:pStyle w:val="ListParagraph"/>
        <w:numPr>
          <w:ilvl w:val="1"/>
          <w:numId w:val="695"/>
        </w:numPr>
        <w:tabs>
          <w:tab w:val="left" w:pos="284"/>
        </w:tabs>
        <w:spacing w:line="276" w:lineRule="auto"/>
        <w:ind w:left="567" w:hanging="567"/>
        <w:contextualSpacing w:val="0"/>
        <w:rPr>
          <w:rFonts w:cstheme="minorHAnsi"/>
          <w:noProof/>
        </w:rPr>
      </w:pPr>
      <w:r>
        <w:rPr>
          <w:noProof/>
          <w:shd w:val="clear" w:color="auto" w:fill="FFFFFF"/>
        </w:rPr>
        <w:t>būtiski destabilizēt vai graut valsts vai starptautiskas organizācijas politiskās, konstitucionālās, ekonomiskās vai sociālās pamatstruktūras</w:t>
      </w:r>
      <w:r>
        <w:rPr>
          <w:noProof/>
        </w:rPr>
        <w:t>.</w:t>
      </w:r>
    </w:p>
    <w:p w:rsidR="003E022D" w:rsidRDefault="007D19D6">
      <w:pPr>
        <w:pStyle w:val="Article"/>
        <w:numPr>
          <w:ilvl w:val="0"/>
          <w:numId w:val="698"/>
        </w:numPr>
        <w:spacing w:before="0" w:line="276" w:lineRule="auto"/>
        <w:ind w:left="0" w:firstLine="0"/>
        <w:jc w:val="left"/>
        <w:rPr>
          <w:rFonts w:cstheme="minorHAnsi"/>
          <w:noProof/>
        </w:rPr>
      </w:pPr>
      <w:r>
        <w:rPr>
          <w:noProof/>
        </w:rPr>
        <w:t xml:space="preserve"> </w:t>
      </w:r>
      <w:bookmarkStart w:id="1389" w:name="_Toc58245205"/>
      <w:r>
        <w:rPr>
          <w:noProof/>
        </w:rPr>
        <w:t xml:space="preserve">Nodarījumi, </w:t>
      </w:r>
      <w:r>
        <w:rPr>
          <w:noProof/>
        </w:rPr>
        <w:t>kas saistīti ar teroristu grupu</w:t>
      </w:r>
      <w:bookmarkEnd w:id="1389"/>
    </w:p>
    <w:p w:rsidR="003E022D" w:rsidRDefault="007D19D6">
      <w:pPr>
        <w:rPr>
          <w:rFonts w:cstheme="minorHAnsi"/>
          <w:noProof/>
          <w:shd w:val="clear" w:color="auto" w:fill="FFFFFF"/>
        </w:rPr>
      </w:pPr>
      <w:r>
        <w:rPr>
          <w:noProof/>
          <w:shd w:val="clear" w:color="auto" w:fill="FFFFFF"/>
        </w:rPr>
        <w:t>Šādas</w:t>
      </w:r>
      <w:r>
        <w:rPr>
          <w:bCs/>
          <w:noProof/>
          <w:shd w:val="clear" w:color="auto" w:fill="FFFFFF"/>
        </w:rPr>
        <w:t xml:space="preserve"> tīšas</w:t>
      </w:r>
      <w:r>
        <w:rPr>
          <w:noProof/>
          <w:shd w:val="clear" w:color="auto" w:fill="FFFFFF"/>
        </w:rPr>
        <w:t xml:space="preserve"> darbības</w:t>
      </w:r>
      <w:r>
        <w:rPr>
          <w:noProof/>
        </w:rPr>
        <w:t>:</w:t>
      </w:r>
    </w:p>
    <w:p w:rsidR="003E022D" w:rsidRDefault="007D19D6">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teroristu grupas vadīšana;</w:t>
      </w:r>
      <w:r>
        <w:rPr>
          <w:bCs/>
          <w:noProof/>
          <w:shd w:val="clear" w:color="auto" w:fill="FFFFFF"/>
        </w:rPr>
        <w:t xml:space="preserve"> </w:t>
      </w:r>
    </w:p>
    <w:p w:rsidR="003E022D" w:rsidRDefault="007D19D6">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dalība teroristu grupas darbībās, tostarp informācijas vai materiālo līdzekļu sniegšana vai tās darbības finansēšana jebkādā veidā, zinot, ka šāda dalība sekmēs teroristu gru</w:t>
      </w:r>
      <w:r>
        <w:rPr>
          <w:noProof/>
          <w:shd w:val="clear" w:color="auto" w:fill="FFFFFF"/>
        </w:rPr>
        <w:t>pas noziedzīgās darbības.</w:t>
      </w:r>
    </w:p>
    <w:p w:rsidR="003E022D" w:rsidRDefault="007D19D6">
      <w:pPr>
        <w:pStyle w:val="Article"/>
        <w:numPr>
          <w:ilvl w:val="0"/>
          <w:numId w:val="698"/>
        </w:numPr>
        <w:spacing w:before="0" w:line="276" w:lineRule="auto"/>
        <w:ind w:left="0" w:firstLine="0"/>
        <w:jc w:val="left"/>
        <w:rPr>
          <w:rFonts w:cstheme="minorHAnsi"/>
          <w:noProof/>
        </w:rPr>
      </w:pPr>
      <w:r>
        <w:rPr>
          <w:noProof/>
        </w:rPr>
        <w:t xml:space="preserve"> </w:t>
      </w:r>
      <w:bookmarkStart w:id="1390" w:name="_Toc58245206"/>
      <w:r>
        <w:rPr>
          <w:noProof/>
        </w:rPr>
        <w:t>Publisks aicinājums veikt teroristisku nodarījumu</w:t>
      </w:r>
      <w:bookmarkEnd w:id="1390"/>
    </w:p>
    <w:p w:rsidR="003E022D" w:rsidRDefault="007D19D6">
      <w:pPr>
        <w:rPr>
          <w:rFonts w:cstheme="minorHAnsi"/>
          <w:noProof/>
          <w:shd w:val="clear" w:color="auto" w:fill="FFFFFF"/>
        </w:rPr>
      </w:pPr>
      <w:r>
        <w:rPr>
          <w:noProof/>
        </w:rPr>
        <w:t xml:space="preserve">Vēstījuma izplatīšana vai citāda tā pieejamības nodrošināšana sabiedrībai, ko veic jebkādā veidā, izmantojot tiešsaistes vai bezsaistes paņēmienus, ar nodomu kūdīt uz to, ka tiek </w:t>
      </w:r>
      <w:r>
        <w:rPr>
          <w:noProof/>
        </w:rPr>
        <w:t xml:space="preserve">izdarīts kāds no 3.1. punkta a) līdz j) apakšpunktā minētajiem nodarījumiem, ja šāda rīcība tieši vai netieši, piemēram, slavinot terora aktus, propagandē teroristu nodarījumu izdarīšanu, tādējādi radot apdraudējumu, ka var tikt izdarīts viens vai vairāki </w:t>
      </w:r>
      <w:r>
        <w:rPr>
          <w:noProof/>
        </w:rPr>
        <w:t>šādi nodarījumi, ja to dara tīši.</w:t>
      </w:r>
    </w:p>
    <w:p w:rsidR="003E022D" w:rsidRDefault="007D19D6">
      <w:pPr>
        <w:pStyle w:val="Article"/>
        <w:numPr>
          <w:ilvl w:val="0"/>
          <w:numId w:val="698"/>
        </w:numPr>
        <w:spacing w:before="0" w:line="276" w:lineRule="auto"/>
        <w:ind w:left="0" w:firstLine="0"/>
        <w:jc w:val="both"/>
        <w:rPr>
          <w:rFonts w:cstheme="minorHAnsi"/>
          <w:noProof/>
        </w:rPr>
      </w:pPr>
      <w:r>
        <w:rPr>
          <w:noProof/>
        </w:rPr>
        <w:t xml:space="preserve"> </w:t>
      </w:r>
      <w:bookmarkStart w:id="1391" w:name="_Toc58245207"/>
      <w:r>
        <w:rPr>
          <w:noProof/>
        </w:rPr>
        <w:t>Vervēšana terorisma nolūkā</w:t>
      </w:r>
      <w:bookmarkEnd w:id="1391"/>
    </w:p>
    <w:p w:rsidR="003E022D" w:rsidRDefault="007D19D6">
      <w:pPr>
        <w:rPr>
          <w:rFonts w:cstheme="minorHAnsi"/>
          <w:noProof/>
          <w:shd w:val="clear" w:color="auto" w:fill="FFFFFF"/>
        </w:rPr>
      </w:pPr>
      <w:r>
        <w:rPr>
          <w:noProof/>
        </w:rPr>
        <w:t>Aicinājums citai personai izdarīt vai palīdzēt izdarīt kādu no nodarījumiem, kas minēti 3.1. punkta a)–j) apakšpunktā vai 4. punktā, ja to dara tīši.</w:t>
      </w:r>
    </w:p>
    <w:p w:rsidR="003E022D" w:rsidRDefault="007D19D6">
      <w:pPr>
        <w:pStyle w:val="Article"/>
        <w:numPr>
          <w:ilvl w:val="0"/>
          <w:numId w:val="698"/>
        </w:numPr>
        <w:spacing w:before="0" w:line="276" w:lineRule="auto"/>
        <w:ind w:left="0" w:firstLine="0"/>
        <w:jc w:val="left"/>
        <w:rPr>
          <w:rFonts w:cstheme="minorHAnsi"/>
          <w:noProof/>
        </w:rPr>
      </w:pPr>
      <w:r>
        <w:rPr>
          <w:noProof/>
        </w:rPr>
        <w:t xml:space="preserve"> </w:t>
      </w:r>
      <w:bookmarkStart w:id="1392" w:name="_Toc58245208"/>
      <w:r>
        <w:rPr>
          <w:noProof/>
        </w:rPr>
        <w:t>Terorisma apmācības sniegšana</w:t>
      </w:r>
      <w:bookmarkEnd w:id="1392"/>
    </w:p>
    <w:p w:rsidR="003E022D" w:rsidRDefault="007D19D6">
      <w:pPr>
        <w:rPr>
          <w:rFonts w:cstheme="minorHAnsi"/>
          <w:noProof/>
          <w:shd w:val="clear" w:color="auto" w:fill="FFFFFF"/>
        </w:rPr>
      </w:pPr>
      <w:r>
        <w:rPr>
          <w:noProof/>
        </w:rPr>
        <w:t xml:space="preserve">Norādījumu </w:t>
      </w:r>
      <w:r>
        <w:rPr>
          <w:noProof/>
        </w:rPr>
        <w:t>sniegšana sprāgstvielu, šaujamieroču vai citu ieroču, vai kaitīgu vai bīstamu vielu izgatavošanai vai izmantošanai, vai citām konkrētām metodēm vai paņēmieniem nolūkā izdarīt vai palīdzēt izdarīt kādu no nodarījumiem, kas minēti 3.1. punkta a) līdz j) apak</w:t>
      </w:r>
      <w:r>
        <w:rPr>
          <w:noProof/>
        </w:rPr>
        <w:t>špunktā, zinot, ka sniegtās prasmes paredzēts izmantot šim nolūkam, ja to dara tīši.</w:t>
      </w:r>
    </w:p>
    <w:p w:rsidR="003E022D" w:rsidRDefault="007D19D6">
      <w:pPr>
        <w:pStyle w:val="Article"/>
        <w:numPr>
          <w:ilvl w:val="0"/>
          <w:numId w:val="698"/>
        </w:numPr>
        <w:spacing w:before="0" w:line="276" w:lineRule="auto"/>
        <w:ind w:left="0" w:firstLine="0"/>
        <w:jc w:val="both"/>
        <w:rPr>
          <w:rFonts w:cstheme="minorHAnsi"/>
          <w:noProof/>
        </w:rPr>
      </w:pPr>
      <w:r>
        <w:rPr>
          <w:noProof/>
        </w:rPr>
        <w:t xml:space="preserve"> </w:t>
      </w:r>
      <w:bookmarkStart w:id="1393" w:name="_Toc58245209"/>
      <w:r>
        <w:rPr>
          <w:noProof/>
        </w:rPr>
        <w:t>Terorisma apmācības saņemšana</w:t>
      </w:r>
      <w:bookmarkEnd w:id="1393"/>
    </w:p>
    <w:p w:rsidR="003E022D" w:rsidRDefault="007D19D6">
      <w:pPr>
        <w:rPr>
          <w:rFonts w:cstheme="minorHAnsi"/>
          <w:noProof/>
          <w:shd w:val="clear" w:color="auto" w:fill="FFFFFF"/>
        </w:rPr>
      </w:pPr>
      <w:r>
        <w:rPr>
          <w:noProof/>
        </w:rPr>
        <w:t xml:space="preserve">Norādījumu saņemšana sprāgstvielu, šaujamieroču vai citu ieroču, vai indīgu vai bīstamu vielu izgatavošanai vai izmantošanai, vai citām </w:t>
      </w:r>
      <w:r>
        <w:rPr>
          <w:noProof/>
        </w:rPr>
        <w:t>konkrētām metodēm vai paņēmieniem nolūkā izdarīt vai palīdzēt izdarīt kādu no nodarījumiem, kas minēti 3.1. punkta a) līdz j) apakšpunktā, ja to dara tīši.</w:t>
      </w:r>
    </w:p>
    <w:p w:rsidR="003E022D" w:rsidRDefault="007D19D6">
      <w:pPr>
        <w:pStyle w:val="Article"/>
        <w:numPr>
          <w:ilvl w:val="0"/>
          <w:numId w:val="698"/>
        </w:numPr>
        <w:spacing w:before="0" w:line="276" w:lineRule="auto"/>
        <w:ind w:left="0" w:firstLine="0"/>
        <w:jc w:val="left"/>
        <w:rPr>
          <w:rFonts w:cstheme="minorHAnsi"/>
          <w:noProof/>
        </w:rPr>
      </w:pPr>
      <w:r>
        <w:rPr>
          <w:noProof/>
        </w:rPr>
        <w:t xml:space="preserve"> </w:t>
      </w:r>
      <w:bookmarkStart w:id="1394" w:name="_Toc58245210"/>
      <w:r>
        <w:rPr>
          <w:noProof/>
        </w:rPr>
        <w:t>Ceļošana terorisma nolūkā</w:t>
      </w:r>
      <w:bookmarkEnd w:id="1394"/>
    </w:p>
    <w:p w:rsidR="003E022D" w:rsidRDefault="007D19D6">
      <w:pPr>
        <w:pStyle w:val="ListParagraph"/>
        <w:numPr>
          <w:ilvl w:val="1"/>
          <w:numId w:val="698"/>
        </w:numPr>
        <w:spacing w:line="276" w:lineRule="auto"/>
        <w:ind w:left="0" w:firstLine="0"/>
        <w:contextualSpacing w:val="0"/>
        <w:rPr>
          <w:rFonts w:cstheme="minorHAnsi"/>
          <w:noProof/>
        </w:rPr>
      </w:pPr>
      <w:r>
        <w:rPr>
          <w:noProof/>
        </w:rPr>
        <w:t xml:space="preserve">Ceļošana uz kādu citu valsti nolūkā izdarīt vai palīdzēt izdarīt kādu no </w:t>
      </w:r>
      <w:r>
        <w:rPr>
          <w:noProof/>
        </w:rPr>
        <w:t>teroristu nodarījumiem, kā minēts 3. punktā, nolūkā piedalīties teroristu grupas darbībās, zinot, ka šāda dalība sekmēs šādas grupas noziedzīgās darbības, kas minētas 4. punktā, vai nolūkā sniegt vai saņemt terorisma apmācību, kā minēts 7. un 8. punktā, ja</w:t>
      </w:r>
      <w:r>
        <w:rPr>
          <w:noProof/>
        </w:rPr>
        <w:t xml:space="preserve"> to dara tīši.</w:t>
      </w:r>
    </w:p>
    <w:p w:rsidR="003E022D" w:rsidRDefault="007D19D6">
      <w:pPr>
        <w:pStyle w:val="ListParagraph"/>
        <w:numPr>
          <w:ilvl w:val="1"/>
          <w:numId w:val="698"/>
        </w:numPr>
        <w:spacing w:line="276" w:lineRule="auto"/>
        <w:ind w:left="0" w:firstLine="0"/>
        <w:contextualSpacing w:val="0"/>
        <w:rPr>
          <w:rFonts w:cstheme="minorHAnsi"/>
          <w:noProof/>
        </w:rPr>
      </w:pPr>
      <w:r>
        <w:rPr>
          <w:bCs/>
          <w:noProof/>
          <w:shd w:val="clear" w:color="auto" w:fill="FFFFFF"/>
        </w:rPr>
        <w:t>Bez tam šāda tīša rīcība:</w:t>
      </w:r>
    </w:p>
    <w:tbl>
      <w:tblPr>
        <w:tblW w:w="5000" w:type="pct"/>
        <w:tblCellMar>
          <w:left w:w="0" w:type="dxa"/>
          <w:right w:w="0" w:type="dxa"/>
        </w:tblCellMar>
        <w:tblLook w:val="04A0" w:firstRow="1" w:lastRow="0" w:firstColumn="1" w:lastColumn="0" w:noHBand="0" w:noVBand="1"/>
      </w:tblPr>
      <w:tblGrid>
        <w:gridCol w:w="6"/>
        <w:gridCol w:w="9020"/>
      </w:tblGrid>
      <w:tr w:rsidR="003E022D">
        <w:tc>
          <w:tcPr>
            <w:tcW w:w="0" w:type="auto"/>
            <w:shd w:val="clear" w:color="auto" w:fill="auto"/>
            <w:hideMark/>
          </w:tcPr>
          <w:p w:rsidR="003E022D" w:rsidRDefault="003E022D">
            <w:pPr>
              <w:rPr>
                <w:rFonts w:cstheme="minorHAnsi"/>
                <w:bCs/>
                <w:noProof/>
                <w:shd w:val="clear" w:color="auto" w:fill="FFFFFF"/>
              </w:rPr>
            </w:pPr>
          </w:p>
        </w:tc>
        <w:tc>
          <w:tcPr>
            <w:tcW w:w="0" w:type="auto"/>
            <w:shd w:val="clear" w:color="auto" w:fill="auto"/>
            <w:hideMark/>
          </w:tcPr>
          <w:p w:rsidR="003E022D" w:rsidRDefault="007D19D6">
            <w:pPr>
              <w:pStyle w:val="ListParagraph"/>
              <w:numPr>
                <w:ilvl w:val="0"/>
                <w:numId w:val="693"/>
              </w:numPr>
              <w:spacing w:line="276" w:lineRule="auto"/>
              <w:ind w:left="567" w:hanging="567"/>
              <w:contextualSpacing w:val="0"/>
              <w:rPr>
                <w:rFonts w:cstheme="minorHAnsi"/>
                <w:bCs/>
                <w:noProof/>
                <w:shd w:val="clear" w:color="auto" w:fill="FFFFFF"/>
              </w:rPr>
            </w:pPr>
            <w:r>
              <w:rPr>
                <w:bCs/>
                <w:noProof/>
                <w:shd w:val="clear" w:color="auto" w:fill="FFFFFF"/>
              </w:rPr>
              <w:t>ceļošana uz valsti nolūkā izdarīt vai palīdzēt izdarīt kādu no 3. punktā minētajiem teroristiskajiem nodarījumiem, nolūkā piedalīties teroristu grupas darbībās, zinot, ka šāda dalība sekmēs šādas grupas noziedzīgās</w:t>
            </w:r>
            <w:r>
              <w:rPr>
                <w:bCs/>
                <w:noProof/>
                <w:shd w:val="clear" w:color="auto" w:fill="FFFFFF"/>
              </w:rPr>
              <w:t xml:space="preserve"> darbības, kas minētas 4. punktā, vai nolūkā sniegt vai saņemt terorisma apmācību, kā minēts 7. un 8. punktā; vai</w:t>
            </w:r>
          </w:p>
        </w:tc>
      </w:tr>
      <w:tr w:rsidR="003E022D">
        <w:tc>
          <w:tcPr>
            <w:tcW w:w="0" w:type="auto"/>
            <w:shd w:val="clear" w:color="auto" w:fill="auto"/>
            <w:hideMark/>
          </w:tcPr>
          <w:p w:rsidR="003E022D" w:rsidRDefault="003E022D">
            <w:pPr>
              <w:rPr>
                <w:rFonts w:cstheme="minorHAnsi"/>
                <w:bCs/>
                <w:noProof/>
                <w:shd w:val="clear" w:color="auto" w:fill="FFFFFF"/>
              </w:rPr>
            </w:pPr>
          </w:p>
        </w:tc>
        <w:tc>
          <w:tcPr>
            <w:tcW w:w="0" w:type="auto"/>
            <w:shd w:val="clear" w:color="auto" w:fill="auto"/>
            <w:hideMark/>
          </w:tcPr>
          <w:p w:rsidR="003E022D" w:rsidRDefault="007D19D6">
            <w:pPr>
              <w:pStyle w:val="ListParagraph"/>
              <w:numPr>
                <w:ilvl w:val="0"/>
                <w:numId w:val="693"/>
              </w:numPr>
              <w:spacing w:line="276" w:lineRule="auto"/>
              <w:ind w:left="567" w:hanging="567"/>
              <w:contextualSpacing w:val="0"/>
              <w:rPr>
                <w:rFonts w:cstheme="minorHAnsi"/>
                <w:bCs/>
                <w:noProof/>
                <w:shd w:val="clear" w:color="auto" w:fill="FFFFFF"/>
              </w:rPr>
            </w:pPr>
            <w:r>
              <w:rPr>
                <w:bCs/>
                <w:noProof/>
                <w:shd w:val="clear" w:color="auto" w:fill="FFFFFF"/>
              </w:rPr>
              <w:t xml:space="preserve">sagatavošanās darbības, ko veic persona, kura ierodas konkrētajā valstī, ar nodomu izdarīt vai palīdzēt izdarīt kādu no 3.1. punktā </w:t>
            </w:r>
            <w:r>
              <w:rPr>
                <w:bCs/>
                <w:noProof/>
                <w:shd w:val="clear" w:color="auto" w:fill="FFFFFF"/>
              </w:rPr>
              <w:t>minētajiem teroristu nodarījumiem.</w:t>
            </w:r>
          </w:p>
        </w:tc>
      </w:tr>
    </w:tbl>
    <w:p w:rsidR="003E022D" w:rsidRDefault="007D19D6">
      <w:pPr>
        <w:pStyle w:val="Article"/>
        <w:numPr>
          <w:ilvl w:val="0"/>
          <w:numId w:val="698"/>
        </w:numPr>
        <w:spacing w:before="0" w:line="276" w:lineRule="auto"/>
        <w:ind w:left="0" w:firstLine="0"/>
        <w:jc w:val="left"/>
        <w:rPr>
          <w:rFonts w:cstheme="minorHAnsi"/>
          <w:noProof/>
        </w:rPr>
      </w:pPr>
      <w:r>
        <w:rPr>
          <w:noProof/>
        </w:rPr>
        <w:t xml:space="preserve"> </w:t>
      </w:r>
      <w:bookmarkStart w:id="1395" w:name="_Toc58245211"/>
      <w:r>
        <w:rPr>
          <w:noProof/>
        </w:rPr>
        <w:t>Ceļošanas terorisma nolūkā organizēšana vai cita veida veicināšana</w:t>
      </w:r>
      <w:bookmarkEnd w:id="1395"/>
    </w:p>
    <w:p w:rsidR="003E022D" w:rsidRDefault="007D19D6">
      <w:pPr>
        <w:rPr>
          <w:rFonts w:cstheme="minorHAnsi"/>
          <w:noProof/>
          <w:shd w:val="clear" w:color="auto" w:fill="FFFFFF"/>
        </w:rPr>
      </w:pPr>
      <w:r>
        <w:rPr>
          <w:noProof/>
          <w:shd w:val="clear" w:color="auto" w:fill="FFFFFF"/>
        </w:rPr>
        <w:t xml:space="preserve">Jebkura organizatoriska vai veicinoša rīcība, kas palīdz jebkurai personai ceļot terorisma nolūkā, kā minēts 9.1. punktā un 9.2. punkta a) apakšpunktā, </w:t>
      </w:r>
      <w:r>
        <w:rPr>
          <w:noProof/>
          <w:shd w:val="clear" w:color="auto" w:fill="FFFFFF"/>
        </w:rPr>
        <w:t>zinot, ka šādi sniegta palīdzība ir paredzēta minētajam nolūkam, ja to dara tīši.</w:t>
      </w:r>
    </w:p>
    <w:p w:rsidR="003E022D" w:rsidRDefault="007D19D6">
      <w:pPr>
        <w:pStyle w:val="Article"/>
        <w:numPr>
          <w:ilvl w:val="0"/>
          <w:numId w:val="698"/>
        </w:numPr>
        <w:spacing w:before="0" w:line="276" w:lineRule="auto"/>
        <w:ind w:left="0" w:firstLine="0"/>
        <w:jc w:val="left"/>
        <w:rPr>
          <w:rFonts w:cstheme="minorHAnsi"/>
          <w:noProof/>
        </w:rPr>
      </w:pPr>
      <w:bookmarkStart w:id="1396" w:name="_Toc58245212"/>
      <w:r>
        <w:rPr>
          <w:noProof/>
        </w:rPr>
        <w:t>Teroristu finansēšana</w:t>
      </w:r>
      <w:bookmarkEnd w:id="1396"/>
    </w:p>
    <w:p w:rsidR="003E022D" w:rsidRDefault="007D19D6">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Līdzekļu sniegšana vai vākšana jebkādā veidā, tieši vai netieši, ar nodomu tos izmantot vai zinot, ka tie pilnībā vai daļēji tiks izmantoti, lai izdarīt</w:t>
      </w:r>
      <w:r>
        <w:rPr>
          <w:noProof/>
          <w:shd w:val="clear" w:color="auto" w:fill="FFFFFF"/>
        </w:rPr>
        <w:t>u vai palīdzētu izdarīt jebkuru no nodarījumiem, kas minēti 3. līdz 10. punktā, ja to izdara tīši.</w:t>
      </w:r>
    </w:p>
    <w:p w:rsidR="003E022D" w:rsidRDefault="007D19D6">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Ja teroristu finansēšana, kas minēta 11.1. punktā, attiecas uz jebkuru no nodarījumiem, kas paredzēti 3., 4. un 9. punktā, nav vajadzīgs, lai līdzekļi faktis</w:t>
      </w:r>
      <w:r>
        <w:rPr>
          <w:noProof/>
          <w:shd w:val="clear" w:color="auto" w:fill="FFFFFF"/>
        </w:rPr>
        <w:t>ki būtu pilnībā vai daļēji izmantoti jebkura šāda nodarījuma izdarīšanai vai sekmēšanai, tāpat netiek prasīts, lai likumpārkāpējs zinātu, kuram konkrētam nodarījumam vai nodarījumiem līdzekļus paredzēts izmantot.</w:t>
      </w:r>
    </w:p>
    <w:p w:rsidR="003E022D" w:rsidRDefault="007D19D6">
      <w:pPr>
        <w:pStyle w:val="Article"/>
        <w:numPr>
          <w:ilvl w:val="0"/>
          <w:numId w:val="698"/>
        </w:numPr>
        <w:spacing w:before="0" w:line="276" w:lineRule="auto"/>
        <w:ind w:left="0" w:firstLine="0"/>
        <w:jc w:val="left"/>
        <w:rPr>
          <w:rFonts w:cstheme="minorHAnsi"/>
          <w:noProof/>
        </w:rPr>
      </w:pPr>
      <w:bookmarkStart w:id="1397" w:name="_Toc58245213"/>
      <w:r>
        <w:rPr>
          <w:noProof/>
        </w:rPr>
        <w:t>Citi ar teroristu darbībām saistīti noziedz</w:t>
      </w:r>
      <w:r>
        <w:rPr>
          <w:noProof/>
        </w:rPr>
        <w:t>īgi nodarījumi</w:t>
      </w:r>
      <w:bookmarkEnd w:id="1397"/>
    </w:p>
    <w:p w:rsidR="003E022D" w:rsidRDefault="007D19D6">
      <w:pPr>
        <w:rPr>
          <w:rFonts w:cstheme="minorHAnsi"/>
          <w:noProof/>
          <w:shd w:val="clear" w:color="auto" w:fill="FFFFFF"/>
        </w:rPr>
      </w:pPr>
      <w:r>
        <w:rPr>
          <w:noProof/>
          <w:shd w:val="clear" w:color="auto" w:fill="FFFFFF"/>
        </w:rPr>
        <w:t>Šādas tīšas darbības:</w:t>
      </w:r>
    </w:p>
    <w:p w:rsidR="003E022D" w:rsidRDefault="007D19D6">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zādzība atbildību pastiprinošos apstākļos ar mērķi izdarīt kādu no 3. punktā uzskaitītajiem noziedzīgajiem nodarījumiem;</w:t>
      </w:r>
    </w:p>
    <w:p w:rsidR="003E022D" w:rsidRDefault="007D19D6">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izspiešana ar mērķi izdarīt kādu no 3. punktā uzskaitītajiem noziedzīgajiem nodarījumiem;</w:t>
      </w:r>
    </w:p>
    <w:p w:rsidR="003E022D" w:rsidRDefault="007D19D6">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 xml:space="preserve">viltotu </w:t>
      </w:r>
      <w:r>
        <w:rPr>
          <w:noProof/>
          <w:shd w:val="clear" w:color="auto" w:fill="FFFFFF"/>
        </w:rPr>
        <w:t>administratīvo dokumentu noformēšana vai izmantošana ar mērķi izdarīt kādu no 3.1. punkta a)–</w:t>
      </w:r>
      <w:r>
        <w:rPr>
          <w:noProof/>
        </w:rPr>
        <w:t>j</w:t>
      </w:r>
      <w:r>
        <w:rPr>
          <w:noProof/>
          <w:shd w:val="clear" w:color="auto" w:fill="FFFFFF"/>
        </w:rPr>
        <w:t>) apakšpunktā</w:t>
      </w:r>
      <w:r>
        <w:rPr>
          <w:noProof/>
        </w:rPr>
        <w:t>, 4. punkta b) apakšpunktā un 9. punktā uzskaitītajiem noziedzīgajiem nodarījumiem</w:t>
      </w:r>
      <w:r>
        <w:rPr>
          <w:noProof/>
          <w:shd w:val="clear" w:color="auto" w:fill="FFFFFF"/>
        </w:rPr>
        <w:t>.</w:t>
      </w:r>
      <w:r>
        <w:rPr>
          <w:bCs/>
          <w:noProof/>
          <w:shd w:val="clear" w:color="auto" w:fill="FFFFFF"/>
        </w:rPr>
        <w:t xml:space="preserve">  </w:t>
      </w:r>
    </w:p>
    <w:p w:rsidR="003E022D" w:rsidRDefault="007D19D6">
      <w:pPr>
        <w:pStyle w:val="Article"/>
        <w:numPr>
          <w:ilvl w:val="0"/>
          <w:numId w:val="698"/>
        </w:numPr>
        <w:spacing w:before="0" w:line="276" w:lineRule="auto"/>
        <w:ind w:left="0" w:firstLine="0"/>
        <w:jc w:val="left"/>
        <w:rPr>
          <w:rFonts w:cstheme="minorHAnsi"/>
          <w:noProof/>
        </w:rPr>
      </w:pPr>
      <w:r>
        <w:rPr>
          <w:noProof/>
        </w:rPr>
        <w:t xml:space="preserve"> </w:t>
      </w:r>
      <w:bookmarkStart w:id="1398" w:name="_Toc58245214"/>
      <w:r>
        <w:rPr>
          <w:noProof/>
        </w:rPr>
        <w:t>Saistība ar teroristu nodarījumiem</w:t>
      </w:r>
      <w:bookmarkEnd w:id="1398"/>
    </w:p>
    <w:p w:rsidR="003E022D" w:rsidRDefault="007D19D6">
      <w:pPr>
        <w:rPr>
          <w:rFonts w:cstheme="minorHAnsi"/>
          <w:noProof/>
          <w:shd w:val="clear" w:color="auto" w:fill="FFFFFF"/>
        </w:rPr>
      </w:pPr>
      <w:r>
        <w:rPr>
          <w:noProof/>
          <w:shd w:val="clear" w:color="auto" w:fill="FFFFFF"/>
        </w:rPr>
        <w:t xml:space="preserve">Lai 4.–12. punktā minētos </w:t>
      </w:r>
      <w:r>
        <w:rPr>
          <w:noProof/>
        </w:rPr>
        <w:t>n</w:t>
      </w:r>
      <w:r>
        <w:rPr>
          <w:noProof/>
        </w:rPr>
        <w:t>oziedzīgos nodarījumus varētu uzskatīt par terorismu,</w:t>
      </w:r>
      <w:r>
        <w:rPr>
          <w:bCs/>
          <w:noProof/>
          <w:shd w:val="clear" w:color="auto" w:fill="FFFFFF"/>
        </w:rPr>
        <w:t xml:space="preserve"> kā tas minēts 1. punktā, </w:t>
      </w:r>
      <w:r>
        <w:rPr>
          <w:noProof/>
          <w:shd w:val="clear" w:color="auto" w:fill="FFFFFF"/>
        </w:rPr>
        <w:t xml:space="preserve">nav nepieciešams, lai terora </w:t>
      </w:r>
      <w:r>
        <w:rPr>
          <w:bCs/>
          <w:noProof/>
          <w:shd w:val="clear" w:color="auto" w:fill="FFFFFF"/>
        </w:rPr>
        <w:t>akts</w:t>
      </w:r>
      <w:r>
        <w:rPr>
          <w:noProof/>
          <w:shd w:val="clear" w:color="auto" w:fill="FFFFFF"/>
        </w:rPr>
        <w:t xml:space="preserve"> būtu faktiski izdarīts</w:t>
      </w:r>
      <w:r>
        <w:rPr>
          <w:noProof/>
        </w:rPr>
        <w:t>, un, ciktāl tas attiecas uz 5.–10. un 12. punktā minētajiem nodarījumiem</w:t>
      </w:r>
      <w:r>
        <w:rPr>
          <w:noProof/>
          <w:shd w:val="clear" w:color="auto" w:fill="FFFFFF"/>
        </w:rPr>
        <w:t>, nav nepieciešams noteikt saikni ar citu konkrē</w:t>
      </w:r>
      <w:r>
        <w:rPr>
          <w:noProof/>
          <w:shd w:val="clear" w:color="auto" w:fill="FFFFFF"/>
        </w:rPr>
        <w:t>tu noziedzīgu nodarījumu, kas noteikts šajā pielikumā.</w:t>
      </w:r>
    </w:p>
    <w:p w:rsidR="003E022D" w:rsidRDefault="007D19D6">
      <w:pPr>
        <w:pStyle w:val="Article"/>
        <w:numPr>
          <w:ilvl w:val="0"/>
          <w:numId w:val="698"/>
        </w:numPr>
        <w:spacing w:before="0" w:line="276" w:lineRule="auto"/>
        <w:ind w:left="0" w:firstLine="0"/>
        <w:jc w:val="left"/>
        <w:rPr>
          <w:rFonts w:cstheme="minorHAnsi"/>
          <w:noProof/>
        </w:rPr>
      </w:pPr>
      <w:r>
        <w:rPr>
          <w:noProof/>
        </w:rPr>
        <w:t xml:space="preserve"> </w:t>
      </w:r>
      <w:bookmarkStart w:id="1399" w:name="_Toc58245215"/>
      <w:r>
        <w:rPr>
          <w:noProof/>
        </w:rPr>
        <w:t>Atbalstīšana un līdzdalība, kūdīšana un mēģinājums</w:t>
      </w:r>
      <w:bookmarkEnd w:id="1399"/>
    </w:p>
    <w:p w:rsidR="003E022D" w:rsidRDefault="007D19D6">
      <w:pPr>
        <w:rPr>
          <w:rFonts w:cstheme="minorHAnsi"/>
          <w:bCs/>
          <w:noProof/>
          <w:shd w:val="clear" w:color="auto" w:fill="FFFFFF"/>
        </w:rPr>
      </w:pPr>
      <w:r>
        <w:rPr>
          <w:bCs/>
          <w:noProof/>
          <w:shd w:val="clear" w:color="auto" w:fill="FFFFFF"/>
        </w:rPr>
        <w:t>Šādas darbības:</w:t>
      </w:r>
    </w:p>
    <w:p w:rsidR="003E022D" w:rsidRDefault="007D19D6">
      <w:pPr>
        <w:pStyle w:val="ListParagraph"/>
        <w:numPr>
          <w:ilvl w:val="1"/>
          <w:numId w:val="692"/>
        </w:numPr>
        <w:spacing w:line="276" w:lineRule="auto"/>
        <w:ind w:left="567" w:hanging="567"/>
        <w:contextualSpacing w:val="0"/>
        <w:rPr>
          <w:rFonts w:cstheme="minorHAnsi"/>
          <w:noProof/>
          <w:shd w:val="clear" w:color="auto" w:fill="FFFFFF"/>
        </w:rPr>
      </w:pPr>
      <w:r>
        <w:rPr>
          <w:noProof/>
          <w:shd w:val="clear" w:color="auto" w:fill="FFFFFF"/>
        </w:rPr>
        <w:t>šā panta 3.–8., 11. un 12. punktā minēta noziedzīga nodarījuma atbalstīšana un līdzdalība tajā;</w:t>
      </w:r>
    </w:p>
    <w:p w:rsidR="003E022D" w:rsidRDefault="007D19D6">
      <w:pPr>
        <w:pStyle w:val="ListParagraph"/>
        <w:numPr>
          <w:ilvl w:val="1"/>
          <w:numId w:val="692"/>
        </w:numPr>
        <w:spacing w:line="276" w:lineRule="auto"/>
        <w:ind w:left="567" w:hanging="567"/>
        <w:contextualSpacing w:val="0"/>
        <w:rPr>
          <w:rFonts w:cstheme="minorHAnsi"/>
          <w:noProof/>
          <w:shd w:val="clear" w:color="auto" w:fill="FFFFFF"/>
        </w:rPr>
      </w:pPr>
      <w:r>
        <w:rPr>
          <w:noProof/>
          <w:shd w:val="clear" w:color="auto" w:fill="FFFFFF"/>
        </w:rPr>
        <w:t>kūdīšana uz 3.–12. punktā minētu nozi</w:t>
      </w:r>
      <w:r>
        <w:rPr>
          <w:noProof/>
          <w:shd w:val="clear" w:color="auto" w:fill="FFFFFF"/>
        </w:rPr>
        <w:t>edzīgu nodarījumu</w:t>
      </w:r>
      <w:r>
        <w:rPr>
          <w:bCs/>
          <w:noProof/>
          <w:shd w:val="clear" w:color="auto" w:fill="FFFFFF"/>
        </w:rPr>
        <w:t xml:space="preserve"> kā arī</w:t>
      </w:r>
    </w:p>
    <w:p w:rsidR="003E022D" w:rsidRDefault="007D19D6">
      <w:pPr>
        <w:pStyle w:val="ListParagraph"/>
        <w:numPr>
          <w:ilvl w:val="1"/>
          <w:numId w:val="692"/>
        </w:numPr>
        <w:spacing w:line="276" w:lineRule="auto"/>
        <w:ind w:left="567" w:hanging="567"/>
        <w:contextualSpacing w:val="0"/>
        <w:rPr>
          <w:rFonts w:cstheme="minorHAnsi"/>
          <w:noProof/>
          <w:shd w:val="clear" w:color="auto" w:fill="FFFFFF"/>
        </w:rPr>
      </w:pPr>
      <w:r>
        <w:rPr>
          <w:noProof/>
        </w:rPr>
        <w:t>mēģinājums izdarīt 3., 6., 7. punktā, 9.1. punktā, 9.2. punkta a) apakšpunktā un 11. un 12. punktā minētu noziedzīgu nodarījumu, izņemot 3.1. punkta f) apakšpunktā paredzēto glabāšanu un 3.1. punkta k) apakšpunktā minēto noziedzīgo</w:t>
      </w:r>
      <w:r>
        <w:rPr>
          <w:noProof/>
        </w:rPr>
        <w:t xml:space="preserve"> nodarījumu.</w:t>
      </w:r>
    </w:p>
    <w:p w:rsidR="003E022D" w:rsidRDefault="007D19D6">
      <w:pPr>
        <w:spacing w:after="160" w:line="259" w:lineRule="auto"/>
        <w:jc w:val="left"/>
        <w:rPr>
          <w:noProof/>
        </w:rPr>
      </w:pPr>
      <w:r>
        <w:rPr>
          <w:noProof/>
        </w:rPr>
        <w:br w:type="page"/>
      </w:r>
    </w:p>
    <w:p w:rsidR="003E022D" w:rsidRDefault="007D19D6">
      <w:pPr>
        <w:pStyle w:val="ANNEX"/>
        <w:rPr>
          <w:caps/>
          <w:noProof/>
        </w:rPr>
      </w:pPr>
      <w:bookmarkStart w:id="1400" w:name="_Toc58431978"/>
      <w:bookmarkStart w:id="1401" w:name="_Toc59439630"/>
      <w:bookmarkStart w:id="1402" w:name="_Toc59645287"/>
      <w:bookmarkStart w:id="1403" w:name="_Toc59988428"/>
      <w:r>
        <w:rPr>
          <w:noProof/>
        </w:rPr>
        <w:t xml:space="preserve">LAW-8. PIELIKUMS. </w:t>
      </w:r>
      <w:r>
        <w:rPr>
          <w:caps/>
          <w:noProof/>
        </w:rPr>
        <w:t>Iesaldēšana un konfiskācija</w:t>
      </w:r>
      <w:bookmarkEnd w:id="1400"/>
      <w:bookmarkEnd w:id="1401"/>
      <w:bookmarkEnd w:id="1402"/>
      <w:bookmarkEnd w:id="1403"/>
    </w:p>
    <w:p w:rsidR="003E022D" w:rsidRDefault="007D19D6">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Iesaldēšanas / Pagaidu pasākumu pieprasījuma veidlapa </w:t>
      </w:r>
    </w:p>
    <w:p w:rsidR="003E022D" w:rsidRDefault="003E022D">
      <w:pPr>
        <w:spacing w:after="0"/>
        <w:ind w:left="3491" w:right="3464"/>
        <w:jc w:val="center"/>
        <w:rPr>
          <w:rFonts w:eastAsia="Times New Roman" w:cs="Times New Roman"/>
          <w:b/>
          <w:bCs/>
          <w:noProof/>
          <w:color w:val="231F1F"/>
          <w:w w:val="89"/>
          <w:sz w:val="16"/>
          <w:szCs w:val="16"/>
        </w:rPr>
      </w:pPr>
    </w:p>
    <w:tbl>
      <w:tblPr>
        <w:tblStyle w:val="TableGrid2"/>
        <w:tblW w:w="0" w:type="auto"/>
        <w:tblInd w:w="250" w:type="dxa"/>
        <w:tblLayout w:type="fixed"/>
        <w:tblLook w:val="04A0" w:firstRow="1" w:lastRow="0" w:firstColumn="1" w:lastColumn="0" w:noHBand="0" w:noVBand="1"/>
      </w:tblPr>
      <w:tblGrid>
        <w:gridCol w:w="8930"/>
      </w:tblGrid>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A IEDAĻA</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Pieprasījuma iesniedzēja valsts: </w:t>
            </w:r>
            <w:r>
              <w:rPr>
                <w:rFonts w:ascii="Arial" w:hAnsi="Arial"/>
                <w:noProof/>
                <w:sz w:val="16"/>
                <w:szCs w:val="16"/>
              </w:rPr>
              <w:t>...................................................................................................................................</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Pieprasījuma saņēmēja valsts: ............................................................................................</w:t>
            </w:r>
            <w:r>
              <w:rPr>
                <w:rFonts w:ascii="Arial" w:hAnsi="Arial"/>
                <w:noProof/>
                <w:sz w:val="16"/>
                <w:szCs w:val="16"/>
              </w:rPr>
              <w:t>........................................</w:t>
            </w: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noProof/>
                <w:sz w:val="16"/>
                <w:szCs w:val="16"/>
              </w:rPr>
            </w:pPr>
            <w:r>
              <w:rPr>
                <w:rFonts w:ascii="Arial" w:hAnsi="Arial"/>
                <w:b/>
                <w:noProof/>
                <w:sz w:val="16"/>
                <w:szCs w:val="16"/>
              </w:rPr>
              <w:t xml:space="preserve">B IEDAĻA. Steidzamība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Steidzamības iemesli un/vai pieprasītais izpildes datums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rPr>
            </w:pPr>
            <w:r>
              <w:rPr>
                <w:rFonts w:ascii="Arial" w:hAnsi="Arial"/>
                <w:noProof/>
                <w:sz w:val="16"/>
                <w:szCs w:val="16"/>
              </w:rPr>
              <w:t xml:space="preserve">Iesaldēšanas pieprasījuma izpildes termiņi ir noteikti nolīguma LAW.CONFISC.8. pantā [Pienākums veikt pagaidu pasākumus]. Tomēr </w:t>
            </w:r>
            <w:r>
              <w:rPr>
                <w:rFonts w:ascii="Arial" w:hAnsi="Arial"/>
                <w:noProof/>
                <w:sz w:val="16"/>
                <w:szCs w:val="16"/>
              </w:rPr>
              <w:t>īsāka vai konkrēta termiņa gadījumā norādīt dienu un paskaidrot iemeslu</w:t>
            </w:r>
            <w:r>
              <w:rPr>
                <w:rFonts w:ascii="Arial" w:hAnsi="Arial"/>
                <w:noProof/>
              </w:rPr>
              <w:t>:</w:t>
            </w:r>
          </w:p>
          <w:p w:rsidR="003E022D" w:rsidRDefault="003E022D">
            <w:pPr>
              <w:spacing w:line="200" w:lineRule="exact"/>
              <w:ind w:left="720" w:hanging="360"/>
              <w:rPr>
                <w:rFonts w:ascii="Arial" w:eastAsia="Calibri" w:hAnsi="Arial" w:cs="Arial"/>
                <w:noProof/>
              </w:rPr>
            </w:pPr>
          </w:p>
          <w:p w:rsidR="003E022D" w:rsidRDefault="003E022D">
            <w:pPr>
              <w:spacing w:line="200" w:lineRule="exact"/>
              <w:ind w:left="720" w:hanging="360"/>
              <w:rPr>
                <w:rFonts w:ascii="Arial" w:eastAsia="Calibri" w:hAnsi="Arial" w:cs="Arial"/>
                <w:noProof/>
              </w:rPr>
            </w:pPr>
          </w:p>
          <w:p w:rsidR="003E022D" w:rsidRDefault="003E022D">
            <w:pPr>
              <w:spacing w:line="200" w:lineRule="exact"/>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C IEDAĻA. Attiecīgās personas</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Sniegt visu zināmo informāciju par tās/to i) fiziskās(-o) vai ii) juridiskās(-o) personas(-u) identitāti, uz ko attiecas iesaldēšanas pieprasījums, </w:t>
            </w:r>
            <w:r>
              <w:rPr>
                <w:rFonts w:ascii="Arial" w:hAnsi="Arial"/>
                <w:noProof/>
                <w:sz w:val="16"/>
                <w:szCs w:val="16"/>
              </w:rPr>
              <w:t>vai par personu(-ām), kam pieder īpašums, uz kuru attiecas iesaldēšanas pieprasījums (ja tas attiecas uz vairākām personām, norādīt informāciju par katru personu):</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Fiziska persona:  </w:t>
            </w:r>
          </w:p>
          <w:p w:rsidR="003E022D" w:rsidRDefault="003E022D">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Uzvārds: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Vārds(-i):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Cits(-i) attiecīgs(-i) vārds(-i), ja ir: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Pieņemtais(-ie) vārds(-i), ja ir: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Dzimums: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Valstspiederība: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Personas kods un sociālā nodrošinājuma numurs: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Personu apliecinošā dokumenta(-u) veids(-i) un numurs(-i) (identitātes karte, pase), ja ir: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Dzimšanas datums: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Dzimšanas vieta: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Dzīvesvi</w:t>
            </w:r>
            <w:r>
              <w:rPr>
                <w:rFonts w:ascii="Arial" w:hAnsi="Arial"/>
                <w:noProof/>
                <w:color w:val="000000"/>
                <w:sz w:val="16"/>
                <w:szCs w:val="16"/>
                <w:u w:color="000000"/>
                <w:bdr w:val="nil"/>
              </w:rPr>
              <w:t xml:space="preserve">eta un/vai zināmā adrese; ja adrese nav zināma, tad pēdējā zināmā adrese: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Valoda(-as), kuru(-as) persona saprot: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Norādīt, vai pret personu ir vērsts iesaldēšanas pieprasījums vai arī tai pieder īpašums, uz kuru attiecas iesaldēšanas pieprasījums: </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J</w:t>
            </w:r>
            <w:r>
              <w:rPr>
                <w:rFonts w:ascii="Arial" w:hAnsi="Arial"/>
                <w:noProof/>
                <w:sz w:val="16"/>
                <w:szCs w:val="16"/>
              </w:rPr>
              <w:t xml:space="preserve">uridiska persona: </w:t>
            </w:r>
          </w:p>
          <w:p w:rsidR="003E022D" w:rsidRDefault="003E022D">
            <w:pPr>
              <w:widowControl w:val="0"/>
              <w:spacing w:after="0" w:line="200" w:lineRule="exact"/>
              <w:ind w:left="720"/>
              <w:contextualSpacing/>
              <w:jc w:val="left"/>
              <w:rPr>
                <w:rFonts w:ascii="Arial" w:eastAsia="Calibri" w:hAnsi="Arial" w:cs="Arial"/>
                <w:noProof/>
                <w:sz w:val="16"/>
                <w:szCs w:val="16"/>
              </w:rPr>
            </w:pP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Nosaukums: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Juridiskas personas forma: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Saīsinātais nosaukums, parasti lietotais nosaukums vai tirdzniecības nosaukums, ja ir: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Reģistrācijas vieta: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Reģistrācijas numurs: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Juridiskās personas adrese: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Juridiskās personas pārstāvja uzvārds, vārds: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Norādīt, vai pret juridisko personu ir vērsts iesaldēšanas pieprasījums vai arī tai pieder īpašums, uz kuru attiecas iesaldēšanas pieprasījums: </w:t>
            </w:r>
          </w:p>
          <w:p w:rsidR="003E022D" w:rsidRDefault="003E022D">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Norādīt vietu, kur izpildāms iesaldēšanas pasākums (ja tā atšķiras no iepriekš minētās adreses):     </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Trešās personas: </w:t>
            </w:r>
          </w:p>
          <w:p w:rsidR="003E022D" w:rsidRDefault="003E022D">
            <w:pPr>
              <w:widowControl w:val="0"/>
              <w:spacing w:after="0" w:line="200" w:lineRule="exact"/>
              <w:ind w:left="720"/>
              <w:contextualSpacing/>
              <w:jc w:val="left"/>
              <w:rPr>
                <w:rFonts w:ascii="Arial" w:eastAsia="Calibri" w:hAnsi="Arial" w:cs="Arial"/>
                <w:noProof/>
                <w:sz w:val="16"/>
                <w:szCs w:val="16"/>
              </w:rPr>
            </w:pPr>
          </w:p>
          <w:p w:rsidR="003E022D" w:rsidRDefault="007D19D6">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Attiecīgā gadījumā trešās personas, kuru tiesības, kas saistītas ar īpašumu, uz kuru attiecas iesaldēšanas pieprasījums, ar pieprasīju</w:t>
            </w:r>
            <w:r>
              <w:rPr>
                <w:rFonts w:ascii="Arial" w:hAnsi="Arial"/>
                <w:noProof/>
                <w:sz w:val="16"/>
                <w:szCs w:val="16"/>
              </w:rPr>
              <w:t xml:space="preserve">mu tiek tieši ierobežotas (identitāte un iemesli): </w:t>
            </w:r>
          </w:p>
          <w:p w:rsidR="003E022D" w:rsidRDefault="003E022D">
            <w:pPr>
              <w:spacing w:line="200" w:lineRule="exact"/>
              <w:ind w:left="567" w:hanging="360"/>
              <w:rPr>
                <w:rFonts w:ascii="Arial" w:eastAsia="Calibri" w:hAnsi="Arial" w:cs="Arial"/>
                <w:noProof/>
                <w:sz w:val="16"/>
                <w:szCs w:val="16"/>
              </w:rPr>
            </w:pPr>
          </w:p>
          <w:p w:rsidR="003E022D" w:rsidRDefault="007D19D6">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Ja trešām personām ir bijusi iespēja pieprasīt to tiesību ievērošanu, pievienot dokumentus, kas to apliecina.</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Sniegt visu pārējo informāciju, kas var būt noderīga iesaldēšanas pieprasījumu izpildē: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D IEDAĻA. Attiecīgais īpašums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Sniegt visu zināmo informāciju par aktīviem, uz kuriem attiecas iesaldēšanas pieprasījums. Attiecīgā gadījumā sniegt sīkāku informāciju par visu īpašumu un atsevišķām sastāvdaļām:</w:t>
            </w:r>
          </w:p>
          <w:p w:rsidR="003E022D" w:rsidRDefault="007D19D6">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Attiecībā uz naudas summu: </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Iemesli, </w:t>
            </w:r>
            <w:r>
              <w:rPr>
                <w:rFonts w:ascii="Arial" w:hAnsi="Arial"/>
                <w:noProof/>
                <w:sz w:val="16"/>
                <w:szCs w:val="16"/>
              </w:rPr>
              <w:t>kas ļauj uzskatīt, ka personai ir īpašums/ienākumi pieprasījuma saņēmējā valstī</w:t>
            </w:r>
          </w:p>
          <w:p w:rsidR="003E022D" w:rsidRDefault="003E022D">
            <w:pPr>
              <w:spacing w:line="200" w:lineRule="exact"/>
              <w:ind w:left="567"/>
              <w:rPr>
                <w:rFonts w:ascii="Arial" w:eastAsia="Calibri" w:hAnsi="Arial" w:cs="Arial"/>
                <w:noProof/>
                <w:sz w:val="16"/>
                <w:szCs w:val="16"/>
              </w:rPr>
            </w:pPr>
          </w:p>
          <w:p w:rsidR="003E022D" w:rsidRDefault="007D19D6">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Personas īpašuma / ienākumu avota apraksts un atrašanās vieta</w:t>
            </w:r>
          </w:p>
          <w:p w:rsidR="003E022D" w:rsidRDefault="003E022D">
            <w:pPr>
              <w:spacing w:line="200" w:lineRule="exact"/>
              <w:ind w:left="567"/>
              <w:rPr>
                <w:rFonts w:ascii="Arial" w:eastAsia="Calibri" w:hAnsi="Arial" w:cs="Arial"/>
                <w:noProof/>
                <w:sz w:val="16"/>
                <w:szCs w:val="16"/>
              </w:rPr>
            </w:pPr>
          </w:p>
          <w:p w:rsidR="003E022D" w:rsidRDefault="007D19D6">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Precīza personas īpašuma / ienākumu avota atrašanās vieta</w:t>
            </w:r>
          </w:p>
          <w:p w:rsidR="003E022D" w:rsidRDefault="003E022D">
            <w:pPr>
              <w:spacing w:line="200" w:lineRule="exact"/>
              <w:ind w:left="567"/>
              <w:rPr>
                <w:rFonts w:ascii="Arial" w:eastAsia="Calibri" w:hAnsi="Arial" w:cs="Arial"/>
                <w:noProof/>
                <w:sz w:val="16"/>
                <w:szCs w:val="16"/>
              </w:rPr>
            </w:pPr>
          </w:p>
          <w:p w:rsidR="003E022D" w:rsidRDefault="007D19D6">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Personas bankas konta rekvizīti (ja zināmi)</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Ja iesa</w:t>
            </w:r>
            <w:r>
              <w:rPr>
                <w:rFonts w:ascii="Arial" w:hAnsi="Arial"/>
                <w:noProof/>
                <w:sz w:val="16"/>
                <w:szCs w:val="16"/>
              </w:rPr>
              <w:t xml:space="preserve">ldēšanas pieprasījums attiecas uz konkrētu(-ām) īpašuma sastāvdaļu(-ām) vai īpašumu, kuram ir šādam īpašumam līdzvērtīga vērtība: </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Iemesli, kas ļauj uzskatīt, ka īpašuma konkrētā(-ās) sastāvdaļa(-as) atrodas pieprasījuma saņēmējā valstī </w:t>
            </w:r>
          </w:p>
          <w:p w:rsidR="003E022D" w:rsidRDefault="003E022D">
            <w:pPr>
              <w:spacing w:line="200" w:lineRule="exact"/>
              <w:ind w:left="567"/>
              <w:rPr>
                <w:rFonts w:ascii="Arial" w:eastAsia="Calibri" w:hAnsi="Arial" w:cs="Arial"/>
                <w:noProof/>
                <w:sz w:val="16"/>
                <w:szCs w:val="16"/>
              </w:rPr>
            </w:pPr>
          </w:p>
          <w:p w:rsidR="003E022D" w:rsidRDefault="007D19D6">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Konkrētās(-o) īpašuma sastāvdaļas(-u) apraksts un atrašanās vieta </w:t>
            </w:r>
          </w:p>
          <w:p w:rsidR="003E022D" w:rsidRDefault="003E022D">
            <w:pPr>
              <w:spacing w:line="200" w:lineRule="exact"/>
              <w:ind w:left="567"/>
              <w:rPr>
                <w:rFonts w:ascii="Arial" w:eastAsia="Calibri" w:hAnsi="Arial" w:cs="Arial"/>
                <w:noProof/>
                <w:sz w:val="16"/>
                <w:szCs w:val="16"/>
              </w:rPr>
            </w:pPr>
          </w:p>
          <w:p w:rsidR="003E022D" w:rsidRDefault="007D19D6">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Cita attiecīga informācija</w:t>
            </w:r>
          </w:p>
          <w:p w:rsidR="003E022D" w:rsidRDefault="003E022D">
            <w:pPr>
              <w:spacing w:line="200" w:lineRule="exact"/>
              <w:ind w:left="567" w:hanging="360"/>
              <w:rPr>
                <w:rFonts w:ascii="Arial" w:eastAsia="Calibri" w:hAnsi="Arial" w:cs="Arial"/>
                <w:noProof/>
                <w:sz w:val="16"/>
                <w:szCs w:val="16"/>
              </w:rPr>
            </w:pPr>
          </w:p>
          <w:p w:rsidR="003E022D" w:rsidRDefault="007D19D6">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Kopējā summa, kas pieprasīta iesaldēšanai vai izpildei pieprasījuma saņēmējā valstī (cipariem un vārdiem, norādīt valūtu):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E IEDAĻA. Pieprasījuma vai</w:t>
            </w:r>
            <w:r>
              <w:rPr>
                <w:rFonts w:ascii="Arial" w:hAnsi="Arial"/>
                <w:b/>
                <w:noProof/>
                <w:sz w:val="16"/>
                <w:szCs w:val="16"/>
              </w:rPr>
              <w:t xml:space="preserve"> iesaldēšanas rīkojuma izdošanas iemesli (attiecīgā gadījumā)</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    Faktu kopsavilkums: </w:t>
            </w:r>
          </w:p>
          <w:p w:rsidR="003E022D" w:rsidRDefault="003E022D">
            <w:pPr>
              <w:spacing w:line="200" w:lineRule="exact"/>
              <w:ind w:left="720" w:hanging="360"/>
              <w:rPr>
                <w:rFonts w:ascii="Arial" w:eastAsia="Calibri" w:hAnsi="Arial" w:cs="Arial"/>
                <w:b/>
                <w:noProof/>
                <w:sz w:val="16"/>
                <w:szCs w:val="16"/>
              </w:rPr>
            </w:pPr>
          </w:p>
          <w:p w:rsidR="003E022D" w:rsidRDefault="007D19D6">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Izklāstīt iesaldēšanas pieprasījuma pamatojumu vai to, kāpēc rīkojums ir izdots, ieskaitot pamatā esošo faktu un iesaldēšanas iemeslu kopsavilkumu un inkriminētā(-o), izmeklētā(-o) vai procedūrai pakļautā(-o) noziedzīgā(-o) nodarījuma(-u) aprakstu, posmu, </w:t>
            </w:r>
            <w:r>
              <w:rPr>
                <w:rFonts w:ascii="Arial" w:hAnsi="Arial"/>
                <w:noProof/>
                <w:sz w:val="16"/>
                <w:szCs w:val="16"/>
              </w:rPr>
              <w:t xml:space="preserve">kurā nonākusi izmeklēšana vai procedūras, jebkādu riska faktoru pamatojumu un jebkuru citu attiecīgu informāciju.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Tā (to) noziedzīgā(-o) nodarījuma(-u) būtība un juridiskā klasifikācija, ar kuru(-iem) saistīts iesaldēšanas pieprasījums vai </w:t>
            </w:r>
            <w:r>
              <w:rPr>
                <w:rFonts w:ascii="Arial" w:hAnsi="Arial"/>
                <w:noProof/>
                <w:sz w:val="16"/>
                <w:szCs w:val="16"/>
              </w:rPr>
              <w:t xml:space="preserve">ar saistīta rīkojuma izdošana, un piemērojamā(-ās) tiesību norma(-as):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Tālāk minētais attiecas tikai uz gadījumu(-iem), kad gan pieprasījuma iesniedzēja valsts, gan pieprasījuma saņēmēja valsts ir iesniegusi paziņojumu saskaņā ar Nolīguma LAW.CON</w:t>
            </w:r>
            <w:r>
              <w:rPr>
                <w:rFonts w:ascii="Arial" w:hAnsi="Arial"/>
                <w:noProof/>
                <w:sz w:val="16"/>
                <w:szCs w:val="16"/>
              </w:rPr>
              <w:t>FISC.15. pantu [Atteikuma pamatojums] (2): attiecīgā gadījumā atzīmēt vienu vai vairākus šādus pieprasījuma iesniedzējas valsts tiesību aktos definētus noziedzīgus nodarījumus, par ko pieprasījuma iesniedzējā valstī ir paredzēts sodīt ar brīvības atņemšanu</w:t>
            </w:r>
            <w:r>
              <w:rPr>
                <w:rFonts w:ascii="Arial" w:hAnsi="Arial"/>
                <w:noProof/>
                <w:sz w:val="16"/>
                <w:szCs w:val="16"/>
              </w:rPr>
              <w:t xml:space="preserve"> vai ar piespiedu līdzekli, kura maksimālais ilgums ir vismaz trīs gadi. Ja iesaldēšanas pieprasījums vai rīkojums attiecas uz vairākiem noziedzīgiem nodarījumiem, tālāk izklāstītajā noziedzīgo nodarījumu sarakstā norādīt numurus (kas atbilst noziedzīgiem </w:t>
            </w:r>
            <w:r>
              <w:rPr>
                <w:rFonts w:ascii="Arial" w:hAnsi="Arial"/>
                <w:noProof/>
                <w:sz w:val="16"/>
                <w:szCs w:val="16"/>
              </w:rPr>
              <w:t>nodarījumiem, kā tie aprakstīti 1. un 2. punktā):</w:t>
            </w:r>
          </w:p>
          <w:p w:rsidR="003E022D" w:rsidRDefault="003E022D">
            <w:pPr>
              <w:rPr>
                <w:rFonts w:ascii="Arial" w:eastAsia="Calibri" w:hAnsi="Arial" w:cs="Arial"/>
                <w:noProof/>
              </w:rPr>
            </w:pP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dalība noziedzīgā organizācijā</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terorisms,</w:t>
            </w:r>
            <w:r>
              <w:rPr>
                <w:rFonts w:ascii="Arial" w:hAnsi="Arial"/>
                <w:noProof/>
                <w:sz w:val="16"/>
                <w:szCs w:val="16"/>
                <w:u w:val="single"/>
              </w:rPr>
              <w:t xml:space="preserve"> kā tas definēts LAW-7. pielikumā [Terorisma definīcija]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cilvēku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bērnu seksuāla izmantošana un bērnu pornogrāfija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narkotisku un psihotropu vielu </w:t>
            </w:r>
            <w:r>
              <w:rPr>
                <w:rFonts w:ascii="Arial" w:hAnsi="Arial"/>
                <w:noProof/>
                <w:sz w:val="16"/>
                <w:szCs w:val="16"/>
              </w:rPr>
              <w:t>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ieroču, munīcijas un sprāgstvielu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korupcija, tai skaitā kukuļošana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krāpšana, ieskaitot krāpšanu, kas apdraud Apvienotās Karalistes, Savienības dalībvalsts finanšu intereses</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noziedzīgi iegūtu līdzekļu legalizē</w:t>
            </w:r>
            <w:r>
              <w:rPr>
                <w:rFonts w:ascii="Arial" w:hAnsi="Arial"/>
                <w:noProof/>
                <w:sz w:val="16"/>
                <w:szCs w:val="16"/>
              </w:rPr>
              <w:t>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naudas viltošana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datornoziegumi</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noziegumi pret vidi, tostarp apdraudētu dzīvnieku un augu sugu un šķirņu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nelikumīgas ieceļošanas un uzturēšanās veicināšana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slepkavība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smagi miesas bojājumi</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cilvēku orgānu un audu nelikumīga tird</w:t>
            </w:r>
            <w:r>
              <w:rPr>
                <w:rFonts w:ascii="Arial" w:hAnsi="Arial"/>
                <w:noProof/>
                <w:sz w:val="16"/>
                <w:szCs w:val="16"/>
              </w:rPr>
              <w:t>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personas nolaupīšana, nelikumīga brīvības atņemšana un ķīlnieku sagrābšana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rasisms un ksenofobija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organizēta vai bruņota laupīšana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kultūras priekšmetu, tostarp senlietu un mākslas darbu,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krāpšana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rekets un izspiešana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izstrādājumu viltošana un pirātisms</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administratīvu dokumentu viltošana un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maksāšanas līdzekļu viltošana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hormonu un citu augšanas veicinātāju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kodolmateriālu vai radioaktīvu materiālu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zagtu </w:t>
            </w:r>
            <w:r>
              <w:rPr>
                <w:rFonts w:ascii="Arial" w:hAnsi="Arial"/>
                <w:noProof/>
                <w:sz w:val="16"/>
                <w:szCs w:val="16"/>
              </w:rPr>
              <w:t>transportlīdzekļu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izvarošana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dedzināšana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noziegumi, kuri ir Starptautiskās Krimināltiesas jurisdikcijā;</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gaisa kuģa, kuģa vai kosmosa kuģa nelikumīga sagrābšana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sabotāža</w:t>
            </w:r>
          </w:p>
          <w:p w:rsidR="003E022D" w:rsidRDefault="003E022D">
            <w:pPr>
              <w:spacing w:line="200" w:lineRule="exact"/>
              <w:ind w:left="720"/>
              <w:contextualSpacing/>
              <w:rPr>
                <w:rFonts w:ascii="Arial" w:eastAsia="Calibri" w:hAnsi="Arial" w:cs="Arial"/>
                <w:noProof/>
                <w:sz w:val="16"/>
                <w:szCs w:val="16"/>
              </w:rPr>
            </w:pPr>
          </w:p>
          <w:p w:rsidR="003E022D" w:rsidRDefault="007D19D6">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Jebkura cita attiecīga informācija (piemēram, saikne starp īpašumu un noz</w:t>
            </w:r>
            <w:r>
              <w:rPr>
                <w:rFonts w:ascii="Arial" w:hAnsi="Arial"/>
                <w:noProof/>
                <w:sz w:val="16"/>
                <w:szCs w:val="16"/>
              </w:rPr>
              <w:t>iedzīgo nodarījumu):</w:t>
            </w:r>
          </w:p>
          <w:p w:rsidR="003E022D" w:rsidRDefault="003E022D">
            <w:pPr>
              <w:spacing w:line="200" w:lineRule="exact"/>
              <w:ind w:left="360" w:hanging="360"/>
              <w:rPr>
                <w:rFonts w:ascii="Arial" w:eastAsia="Calibri" w:hAnsi="Arial" w:cs="Arial"/>
                <w:noProof/>
                <w:sz w:val="16"/>
                <w:szCs w:val="16"/>
              </w:rPr>
            </w:pPr>
          </w:p>
          <w:p w:rsidR="003E022D" w:rsidRDefault="003E022D">
            <w:pPr>
              <w:spacing w:line="200" w:lineRule="exact"/>
              <w:ind w:left="36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F IEDAĻA. Konfidencialitāte </w:t>
            </w:r>
          </w:p>
          <w:p w:rsidR="003E022D" w:rsidRDefault="007D19D6">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Nepieciešamība pēc izpildes uzturēt pieprasījumā iekļautās informācijas konfidencialitāti:</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Nepieciešamība pēc konkrētām formalitātēm izpildes laikā:</w:t>
            </w: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G IEDAĻA. Pieprasījumi vairāk nekā vienai valstij</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Ja iesaldēšanas pieprasījums ir nosūtīts vairāk nekā vienai valstij, sniegt šādu informāciju:</w:t>
            </w:r>
          </w:p>
          <w:p w:rsidR="003E022D" w:rsidRDefault="003E022D">
            <w:pPr>
              <w:spacing w:line="200" w:lineRule="exact"/>
              <w:ind w:left="720" w:hanging="360"/>
              <w:rPr>
                <w:rFonts w:ascii="Arial" w:eastAsia="Calibri" w:hAnsi="Arial" w:cs="Arial"/>
                <w:noProof/>
                <w:sz w:val="16"/>
                <w:szCs w:val="16"/>
              </w:rPr>
            </w:pPr>
          </w:p>
          <w:p w:rsidR="003E022D" w:rsidRDefault="007D19D6">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Iesaldēšanas pieprasījums ir nosūtīts šādai(-ām) citai(-ām) valstij(-īm) (valsts un iestāde):</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Norādīt pamatojumu iesaldēšanas pieprasījumu nosūtīšanai vairākām</w:t>
            </w:r>
            <w:r>
              <w:rPr>
                <w:rFonts w:ascii="Arial" w:hAnsi="Arial"/>
                <w:noProof/>
                <w:sz w:val="16"/>
                <w:szCs w:val="16"/>
              </w:rPr>
              <w:t xml:space="preserve"> valstīm:</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Aktīvu vērtība (ja zināma) katrā pieprasījuma saņēmējā valstī:</w:t>
            </w:r>
          </w:p>
          <w:p w:rsidR="003E022D" w:rsidRDefault="003E022D">
            <w:pPr>
              <w:tabs>
                <w:tab w:val="left" w:pos="284"/>
              </w:tabs>
              <w:spacing w:line="200" w:lineRule="exact"/>
              <w:ind w:left="620"/>
              <w:rPr>
                <w:rFonts w:ascii="Arial" w:eastAsia="Calibri" w:hAnsi="Arial" w:cs="Arial"/>
                <w:noProof/>
                <w:sz w:val="16"/>
                <w:szCs w:val="16"/>
              </w:rPr>
            </w:pPr>
          </w:p>
          <w:p w:rsidR="003E022D" w:rsidRDefault="003E022D">
            <w:pPr>
              <w:tabs>
                <w:tab w:val="left" w:pos="284"/>
              </w:tabs>
              <w:spacing w:line="200" w:lineRule="exact"/>
              <w:ind w:left="620"/>
              <w:rPr>
                <w:rFonts w:ascii="Arial" w:eastAsia="Calibri" w:hAnsi="Arial" w:cs="Arial"/>
                <w:noProof/>
                <w:sz w:val="16"/>
                <w:szCs w:val="16"/>
              </w:rPr>
            </w:pPr>
          </w:p>
          <w:p w:rsidR="003E022D" w:rsidRDefault="007D19D6">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Norādīt īpašas vajadzības:</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H IEDAĻA. Saistība ar agrākiem iesaldēšanas pieprasījumiem vai rīkojumiem</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Attiecīgā gadījumā sniegt informāciju, kas ir būtiska, lai identificētu iepriekšējus vai saistītus iesaldēšanas pieprasījumus: </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Pieprasījuma datums vai rīkojuma izdošanas un nosūtīšanas datums: </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Iestāde, kurai tas nosūtīts: </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Izdevējiestādes un izpildes iestādes sniegtā atsauce: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I IEDAĻA. Konfiskācija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Šim iesaldēšanas pieprasījumam ir pievienots konfiskācijas rīkojums, kas izdots pieprasījuma iesniedzējā valstī (konfiskācijas rīkojuma atsauces numurs):</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Jā, atsauces numurs</w:t>
            </w:r>
            <w:r>
              <w:rPr>
                <w:rFonts w:ascii="Arial" w:hAnsi="Arial"/>
                <w:noProof/>
                <w:sz w:val="16"/>
                <w:szCs w:val="16"/>
              </w:rPr>
              <w:t xml:space="preserve">: </w:t>
            </w:r>
          </w:p>
          <w:p w:rsidR="003E022D" w:rsidRDefault="007D19D6">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Nē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Īpašums paliek iesaldēts pieprasījuma saņēmējā valstī, kamēr tiek nosūtīts un izpildīts konfiskācijas rīkojums (gaidāmais konfiskācijas rīkojuma iesniegšanas datums, ja iespējams):</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J IEDAĻA. Tiesiskās aizsardzības līdzekļi (attiecīgā gadījumā)</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Norādīt, vai ir iespējams pieprasīt tiesiskās aizsardzības līdzekli pieprasījuma iesniedzējā valstī, lai apstrīdētu iesaldēšanas pieprasījuma/rīkojuma izdošanu, un, ja ir, sniegt papildu informāciju (tiesiskās aizsardzības līdzekļa apraksts, tostarp veica</w:t>
            </w:r>
            <w:r>
              <w:rPr>
                <w:rFonts w:ascii="Arial" w:hAnsi="Arial"/>
                <w:noProof/>
                <w:sz w:val="16"/>
                <w:szCs w:val="16"/>
              </w:rPr>
              <w:t xml:space="preserve">mie pasākumi un termiņi):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K IEDAĻA. Izdevējiestāde</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Ja pieprasījuma iesniedzējā valstī ir iesaldēšanas rīkojums, kas ir iesaldēšanas pieprasījuma pamatā, sniegt šādu informāciju: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1. Izdevējiestādes veids:</w:t>
            </w:r>
          </w:p>
          <w:p w:rsidR="003E022D" w:rsidRDefault="003E022D">
            <w:pPr>
              <w:spacing w:line="200" w:lineRule="exact"/>
              <w:rPr>
                <w:rFonts w:ascii="Arial" w:eastAsia="Calibri" w:hAnsi="Arial" w:cs="Arial"/>
                <w:noProof/>
                <w:sz w:val="16"/>
                <w:szCs w:val="16"/>
              </w:rPr>
            </w:pPr>
          </w:p>
          <w:p w:rsidR="003E022D" w:rsidRDefault="007D19D6">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tiesnesis, tiesa, prokurors</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cita </w:t>
            </w:r>
            <w:r>
              <w:rPr>
                <w:rFonts w:ascii="Arial" w:hAnsi="Arial"/>
                <w:noProof/>
                <w:sz w:val="16"/>
                <w:szCs w:val="16"/>
              </w:rPr>
              <w:t>kompetentā iestāde, kuru norīkojusi pieprasījuma iesniedzēja valsts</w:t>
            </w:r>
          </w:p>
          <w:p w:rsidR="003E022D" w:rsidRDefault="003E022D">
            <w:pPr>
              <w:spacing w:line="200" w:lineRule="exact"/>
              <w:ind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2. Kontaktinformācija: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Izdevējiestādes oficiālais nosaukums: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Tās pārstāvja vārds, uzvārds: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Ieņemamais amats (dienesta pakāpe/kategorija):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Lietas Nr.: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Adrese: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Tālrunis: (v</w:t>
            </w:r>
            <w:r>
              <w:rPr>
                <w:rFonts w:ascii="Arial" w:hAnsi="Arial"/>
                <w:noProof/>
                <w:sz w:val="16"/>
                <w:szCs w:val="16"/>
              </w:rPr>
              <w:t xml:space="preserve">alsts kods) (apgabala/pilsētas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Faksa numurs: (valsts kods) (apgabala/pilsētas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E-pasts: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Valodas, kurās var sazināties ar izdevējiestādi: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Izdevējiestādes un/vai tās pārstāvja paraksts, ar ko apliecina, ka iesaldēšanas / pagaidu pasākuma</w:t>
            </w:r>
            <w:r>
              <w:rPr>
                <w:rFonts w:ascii="Arial" w:hAnsi="Arial"/>
                <w:noProof/>
                <w:sz w:val="16"/>
                <w:szCs w:val="16"/>
              </w:rPr>
              <w:t xml:space="preserve"> pieprasījuma veidlapas saturs ir precīzs un pareizs: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Nosaukums / vārds, uzvārds: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Ieņemamais amats (dienesta pakāpe/kategorija):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Datums: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Oficiālais zīmogs (ja ir):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L IEDAĻA. Apstiprinātājiestāde  </w:t>
            </w:r>
          </w:p>
          <w:p w:rsidR="003E022D" w:rsidRDefault="007D19D6">
            <w:pPr>
              <w:ind w:left="720" w:hanging="360"/>
              <w:rPr>
                <w:rFonts w:ascii="Arial" w:eastAsia="Calibri" w:hAnsi="Arial" w:cs="Arial"/>
                <w:noProof/>
                <w:sz w:val="16"/>
                <w:szCs w:val="16"/>
              </w:rPr>
            </w:pPr>
            <w:r>
              <w:rPr>
                <w:rFonts w:ascii="Arial" w:hAnsi="Arial"/>
                <w:noProof/>
                <w:sz w:val="16"/>
                <w:szCs w:val="16"/>
              </w:rPr>
              <w:t xml:space="preserve">Attiecīgā gadījumā norādīt tās iestādes </w:t>
            </w:r>
            <w:r>
              <w:rPr>
                <w:rFonts w:ascii="Arial" w:hAnsi="Arial"/>
                <w:noProof/>
                <w:sz w:val="16"/>
                <w:szCs w:val="16"/>
              </w:rPr>
              <w:t>veidu, kura apstiprinājusi iesaldēšanas / pagaidu pasākumu pieprasījuma veidlapu:</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tiesnesis, tiesa, prokurors</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cita kompetentā iestāde, kuru norīkojusi pieprasījuma iesniedzēja valsts</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Apstiprinātājas iestādes oficiāls nosaukums: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Tās pārstāvja vārds, u</w:t>
            </w:r>
            <w:r>
              <w:rPr>
                <w:rFonts w:ascii="Arial" w:hAnsi="Arial"/>
                <w:noProof/>
                <w:sz w:val="16"/>
                <w:szCs w:val="16"/>
              </w:rPr>
              <w:t xml:space="preserve">zvārds: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Ieņemamais amats (dienesta pakāpe/kategorija):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Lietas Nr.: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Adrese: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Tālrunis: (valsts kods) (apgabala/pilsētas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Faksa numurs: (valsts kods) (apgabala/pilsētas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E-pasts: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Valodas, kurās var sazināties ar kompetento iestādi:  </w:t>
            </w: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M IEDAĻA. Centrālā iestāde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Norādīt centrālo iestādi, kas atbild par iesaldēšanas pieprasījumu administratīvo nosūtīšanu un saņemšanu pieprasījuma iesniedzējā valstī:</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Centrālās iestādes oficiālais n</w:t>
            </w:r>
            <w:r>
              <w:rPr>
                <w:rFonts w:ascii="Arial" w:hAnsi="Arial"/>
                <w:noProof/>
                <w:sz w:val="16"/>
                <w:szCs w:val="16"/>
              </w:rPr>
              <w:t xml:space="preserve">osaukums: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Tās pārstāvja vārds, uzvārds: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Ieņemamais amats (dienesta pakāpe/kategorija):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Lietas Nr.: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Adrese: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Tālrunis: (valsts kods) (apgabala/pilsētas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Faksa numurs: (valsts kods) (apgabala/pilsētas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E-pasts: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Valodas, kurās va</w:t>
            </w:r>
            <w:r>
              <w:rPr>
                <w:rFonts w:ascii="Arial" w:hAnsi="Arial"/>
                <w:noProof/>
                <w:sz w:val="16"/>
                <w:szCs w:val="16"/>
              </w:rPr>
              <w:t xml:space="preserve">r sazināties ar kompetento iestādi: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N IEDAĻA. Papildu informācija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1. Norādīt, vai pieprasījuma iesniedzējas valsts galvenajam kontaktpunktam vajadzētu būt: </w:t>
            </w:r>
          </w:p>
          <w:p w:rsidR="003E022D" w:rsidRDefault="007D19D6">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izdevējiestādei</w:t>
            </w:r>
          </w:p>
          <w:p w:rsidR="003E022D" w:rsidRDefault="007D19D6">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kompetentajai iestādei</w:t>
            </w:r>
          </w:p>
          <w:p w:rsidR="003E022D" w:rsidRDefault="007D19D6">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centrālajai iestādei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2. Ja atšķiras no iepriekš minētā, norādīt tās/to personas(-u) kontaktinformāciju, ar kuru(-ām) sazināties, lai iegūtu papildu informāciju par šo iesaldēšanas pieprasījumu: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Vārds, uzvārds / dienesta pakāpe / organizācija: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Adrese: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E-pasts/Tālrunis:  </w:t>
            </w: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8930"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O IEDAĻA. Pielikumi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Ja pieprasījuma iesniedzējā valstī ir izdots iesaldēšanas rīkojums, tad ar iesaldēšanas / pagaidu pasākumu pieprasījuma veidlapu ir jāiesniedz iesaldēšanas rīkojuma oriģināls vai pienācīgi autentificēta kopija.</w:t>
            </w:r>
          </w:p>
        </w:tc>
      </w:tr>
    </w:tbl>
    <w:p w:rsidR="003E022D" w:rsidRDefault="003E022D">
      <w:pPr>
        <w:spacing w:after="0" w:line="200" w:lineRule="exact"/>
        <w:rPr>
          <w:rFonts w:eastAsia="Calibri" w:cs="Times New Roman"/>
          <w:noProof/>
          <w:sz w:val="16"/>
          <w:szCs w:val="16"/>
        </w:rPr>
      </w:pPr>
    </w:p>
    <w:p w:rsidR="003E022D" w:rsidRDefault="007D19D6">
      <w:pPr>
        <w:rPr>
          <w:rFonts w:eastAsia="Calibri" w:cs="Times New Roman"/>
          <w:noProof/>
          <w:sz w:val="16"/>
          <w:szCs w:val="16"/>
        </w:rPr>
      </w:pPr>
      <w:r>
        <w:rPr>
          <w:noProof/>
        </w:rPr>
        <w:br w:type="page"/>
      </w:r>
    </w:p>
    <w:p w:rsidR="003E022D" w:rsidRDefault="007D19D6">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Konfiskācijas pieprasījuma veidlapa </w:t>
      </w:r>
    </w:p>
    <w:p w:rsidR="003E022D" w:rsidRDefault="003E022D">
      <w:pPr>
        <w:spacing w:after="0"/>
        <w:ind w:left="1324" w:right="1124"/>
        <w:rPr>
          <w:rFonts w:eastAsia="Times New Roman" w:cs="Times New Roman"/>
          <w:noProof/>
          <w:color w:val="231F1F"/>
          <w:sz w:val="16"/>
          <w:szCs w:val="16"/>
        </w:rPr>
      </w:pPr>
    </w:p>
    <w:tbl>
      <w:tblPr>
        <w:tblStyle w:val="TableGrid2"/>
        <w:tblW w:w="0" w:type="auto"/>
        <w:tblInd w:w="392" w:type="dxa"/>
        <w:tblLayout w:type="fixed"/>
        <w:tblLook w:val="04A0" w:firstRow="1" w:lastRow="0" w:firstColumn="1" w:lastColumn="0" w:noHBand="0" w:noVBand="1"/>
      </w:tblPr>
      <w:tblGrid>
        <w:gridCol w:w="9242"/>
      </w:tblGrid>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A IEDAĻA</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Pieprasījuma iesniedzēja valsts: ...................................................................................................................................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Pieprasījuma saņēmēja valsts: ............</w:t>
            </w:r>
            <w:r>
              <w:rPr>
                <w:rFonts w:ascii="Arial" w:hAnsi="Arial"/>
                <w:noProof/>
                <w:sz w:val="16"/>
                <w:szCs w:val="16"/>
              </w:rPr>
              <w:t>........................................................................................................................</w:t>
            </w: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B IEDAĻA. Konfiskācijas rīkojums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Izdošanas datums: .................................................................................</w:t>
            </w:r>
            <w:r>
              <w:rPr>
                <w:rFonts w:ascii="Arial" w:hAnsi="Arial"/>
                <w:noProof/>
                <w:sz w:val="16"/>
                <w:szCs w:val="16"/>
              </w:rPr>
              <w:t>..........................................................</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Datums, kad rīkojums kļuvis galīgs:</w:t>
            </w:r>
            <w:r>
              <w:rPr>
                <w:rFonts w:ascii="Arial" w:hAnsi="Arial"/>
                <w:noProof/>
              </w:rPr>
              <w:t xml:space="preserve"> </w:t>
            </w:r>
            <w:r>
              <w:rPr>
                <w:rFonts w:ascii="Arial" w:hAnsi="Arial"/>
                <w:noProof/>
                <w:sz w:val="16"/>
                <w:szCs w:val="16"/>
              </w:rPr>
              <w:t>..........................................................................................................................</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Atsauces numurs:</w:t>
            </w:r>
            <w:r>
              <w:rPr>
                <w:rFonts w:ascii="Arial" w:hAnsi="Arial"/>
                <w:noProof/>
              </w:rPr>
              <w:t xml:space="preserve"> </w:t>
            </w:r>
            <w:r>
              <w:rPr>
                <w:rFonts w:ascii="Arial" w:hAnsi="Arial"/>
                <w:noProof/>
                <w:sz w:val="16"/>
                <w:szCs w:val="16"/>
              </w:rPr>
              <w:t>.....................</w:t>
            </w:r>
            <w:r>
              <w:rPr>
                <w:rFonts w:ascii="Arial" w:hAnsi="Arial"/>
                <w:noProof/>
                <w:sz w:val="16"/>
                <w:szCs w:val="16"/>
              </w:rPr>
              <w:t>.............................................................................................................</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Kopējā rīkojuma summa cipariem un vārdiem, norādīt valūtu</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Summa, kas pieprasīta izpildei pieprasījuma saņēmējā valstī, vai, attiecībā uz īpašu(-i</w:t>
            </w:r>
            <w:r>
              <w:rPr>
                <w:rFonts w:ascii="Arial" w:hAnsi="Arial"/>
                <w:noProof/>
                <w:sz w:val="16"/>
                <w:szCs w:val="16"/>
              </w:rPr>
              <w:t>em) īpašuma veidu(-iem), īpašuma apraksts un atrašanās vieta</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Sniegt sīkāku informāciju par tiesas konstatējumiem saistībā ar konfiskācijas rīkojumu: </w:t>
            </w:r>
          </w:p>
          <w:p w:rsidR="003E022D" w:rsidRDefault="007D19D6">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īpašums ir noziedzīgā nodarījumā iegūti līdzekļi vai šādu līdzekļu vērtības pilnas summas vai tās daļas </w:t>
            </w:r>
            <w:r>
              <w:rPr>
                <w:rFonts w:ascii="Arial" w:hAnsi="Arial"/>
                <w:noProof/>
                <w:sz w:val="16"/>
                <w:szCs w:val="16"/>
              </w:rPr>
              <w:t>ekvivalents</w:t>
            </w:r>
          </w:p>
          <w:p w:rsidR="003E022D" w:rsidRDefault="007D19D6">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īpašums ir noziedzīgā nodarījuma rīki</w:t>
            </w:r>
          </w:p>
          <w:p w:rsidR="003E022D" w:rsidRDefault="007D19D6">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uz īpašumu var attiecināt paplašinātu konfiskāciju</w:t>
            </w:r>
          </w:p>
          <w:p w:rsidR="003E022D" w:rsidRDefault="007D19D6">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īpašums ir konfiscējams saskaņā ar jebkādiem citiem noteikumiem, kas attiecas uz konfiskācijas pilnvarām, tostarp bez galīgā notiesājošā sprieduma, saskaņā</w:t>
            </w:r>
            <w:r>
              <w:rPr>
                <w:rFonts w:ascii="Arial" w:hAnsi="Arial"/>
                <w:noProof/>
                <w:sz w:val="16"/>
                <w:szCs w:val="16"/>
              </w:rPr>
              <w:t xml:space="preserve"> ar pieprasījuma iesniedzējas valsts tiesību aktiem pēc procesa saistībā ar noziedzīgu nodarījumu</w:t>
            </w: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C IEDAĻA. Skartās personas</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Sniegt visu zināmo informāciju par tās/to i) fiziskās(-o) vai ii) juridiskās(-o) personas(-u) identitāti, uz kuru(-ām) attiecas k</w:t>
            </w:r>
            <w:r>
              <w:rPr>
                <w:rFonts w:ascii="Arial" w:hAnsi="Arial"/>
                <w:noProof/>
                <w:sz w:val="16"/>
                <w:szCs w:val="16"/>
              </w:rPr>
              <w:t>onfiskācijas pieprasījums (ja tas attiecas uz vairākām personām, norādīt informāciju par katru personu):</w:t>
            </w:r>
          </w:p>
          <w:p w:rsidR="003E022D" w:rsidRDefault="007D19D6">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Fiziska persona:  </w:t>
            </w:r>
          </w:p>
          <w:p w:rsidR="003E022D" w:rsidRDefault="003E022D">
            <w:pPr>
              <w:spacing w:line="200" w:lineRule="exact"/>
              <w:ind w:hanging="360"/>
              <w:rPr>
                <w:rFonts w:ascii="Arial" w:eastAsia="Calibri" w:hAnsi="Arial" w:cs="Arial"/>
                <w:noProof/>
                <w:sz w:val="16"/>
                <w:szCs w:val="16"/>
              </w:rPr>
            </w:pP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sz w:val="16"/>
                <w:szCs w:val="16"/>
              </w:rPr>
              <w:t xml:space="preserve">Uzvārds: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Vārds(-i):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Cits(-i) attiecīgs(-i) vārds(-i), ja ir: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Pieņemtais(-ie) vārds(-i), ja ir: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Dzimums: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Valstspiederība: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Personas kods un sociālā nodrošinājuma numurs: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Personu apliecinošā dokumenta(-u) veids(-i) un numurs(-i) (identitātes karte, pase), ja ir: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Dzimšanas datums: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Dzimšanas vieta: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Dzīvesvieta un/vai zināmā adrese; ja adrese nav zināma,</w:t>
            </w:r>
            <w:r>
              <w:rPr>
                <w:rFonts w:ascii="Arial" w:hAnsi="Arial"/>
                <w:noProof/>
                <w:color w:val="000000"/>
                <w:sz w:val="16"/>
                <w:szCs w:val="16"/>
                <w:u w:color="000000"/>
                <w:bdr w:val="nil"/>
              </w:rPr>
              <w:t xml:space="preserve"> tad pēdējā zināmā adrese: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Valoda(-as), kuru(-as) persona saprot: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Norādīt, vai pret personu ir vērsts iesaldēšanas pieprasījums vai arī tai pieder īpašums, uz kuru attiecas iesaldēšanas pieprasījums: </w:t>
            </w:r>
          </w:p>
          <w:p w:rsidR="003E022D" w:rsidRDefault="003E022D">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3E022D" w:rsidRDefault="007D19D6">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Juridiska persona: </w:t>
            </w:r>
          </w:p>
          <w:p w:rsidR="003E022D" w:rsidRDefault="003E022D">
            <w:pPr>
              <w:spacing w:line="200" w:lineRule="exact"/>
              <w:ind w:left="720" w:hanging="360"/>
              <w:rPr>
                <w:rFonts w:ascii="Arial" w:eastAsia="Calibri" w:hAnsi="Arial" w:cs="Arial"/>
                <w:noProof/>
                <w:sz w:val="16"/>
                <w:szCs w:val="16"/>
              </w:rPr>
            </w:pP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Nosaukums: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Juridiskas per</w:t>
            </w:r>
            <w:r>
              <w:rPr>
                <w:rFonts w:ascii="Arial" w:hAnsi="Arial"/>
                <w:noProof/>
                <w:color w:val="000000"/>
                <w:sz w:val="16"/>
                <w:szCs w:val="16"/>
                <w:u w:color="000000"/>
                <w:bdr w:val="nil"/>
              </w:rPr>
              <w:t xml:space="preserve">sonas forma: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Saīsinātais nosaukums, parasti lietotais nosaukums vai tirdzniecības nosaukums, ja ir: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Reģistrācijas vieta: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Reģistrācijas numurs: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Juridiskās personas adrese:  </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Juridiskās personas pārstāvja uzvārds, vārds:  </w:t>
            </w:r>
          </w:p>
          <w:p w:rsidR="003E022D" w:rsidRDefault="007D19D6">
            <w:pPr>
              <w:spacing w:after="0" w:line="200" w:lineRule="exact"/>
              <w:ind w:left="720" w:hanging="360"/>
              <w:jc w:val="left"/>
              <w:rPr>
                <w:rFonts w:ascii="Arial" w:eastAsia="Calibri" w:hAnsi="Arial" w:cs="Arial"/>
                <w:noProof/>
                <w:sz w:val="16"/>
                <w:szCs w:val="16"/>
              </w:rPr>
            </w:pPr>
            <w:r>
              <w:rPr>
                <w:rFonts w:ascii="Arial" w:hAnsi="Arial"/>
                <w:noProof/>
                <w:sz w:val="16"/>
                <w:szCs w:val="16"/>
              </w:rPr>
              <w:t xml:space="preserve">Norādīt vietu, kur izpildāms konfiskācijas pieprasījums (ja tā atšķiras no iepriekš minētās adreses):     </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Trešās personas: </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Ja ir zināmas / attiecīgā gadījumā trešās personas, kuru tiesības, kas saistītas ar īpašumu, uz kuru attiecas konfiskācijas pie</w:t>
            </w:r>
            <w:r>
              <w:rPr>
                <w:rFonts w:ascii="Arial" w:hAnsi="Arial"/>
                <w:noProof/>
                <w:sz w:val="16"/>
                <w:szCs w:val="16"/>
              </w:rPr>
              <w:t>prasījums, ar pieprasījumu tiek tieši ierobežotas (identitāte un iemesli):</w:t>
            </w:r>
          </w:p>
          <w:p w:rsidR="003E022D" w:rsidRDefault="003E022D">
            <w:pPr>
              <w:spacing w:line="200" w:lineRule="exact"/>
              <w:ind w:left="567" w:hanging="360"/>
              <w:rPr>
                <w:rFonts w:ascii="Arial" w:eastAsia="Calibri" w:hAnsi="Arial" w:cs="Arial"/>
                <w:noProof/>
                <w:sz w:val="16"/>
                <w:szCs w:val="16"/>
              </w:rPr>
            </w:pPr>
          </w:p>
          <w:p w:rsidR="003E022D" w:rsidRDefault="007D19D6">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Ja trešām personām ir bijusi iespēja pieprasīt to tiesību ievērošanu, pievienot dokumentus, kas to apliecina.</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Sniegt visu pārējo informāciju, kas var būt noderīga konfiskācijas pieprasījumu izpildē: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D IEDAĻA. Skartais īpašums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Sniegt visu zināmo informāciju par aktīviem, uz kuriem attiecas konfiskācijas pieprasījums. Attiecīgā gadījumā sniegt sīkāku </w:t>
            </w:r>
            <w:r>
              <w:rPr>
                <w:rFonts w:ascii="Arial" w:hAnsi="Arial"/>
                <w:noProof/>
                <w:sz w:val="16"/>
                <w:szCs w:val="16"/>
              </w:rPr>
              <w:t>informāciju par visu īpašumu un atsevišķām sastāvdaļām:</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Attiecībā uz naudas summu: </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Iemesli, kas ļauj uzskatīt, ka personai ir īpašums/ienākumi pieprasījuma saņēmējā valstī</w:t>
            </w:r>
          </w:p>
          <w:p w:rsidR="003E022D" w:rsidRDefault="003E022D">
            <w:pPr>
              <w:spacing w:line="200" w:lineRule="exact"/>
              <w:ind w:left="567" w:hanging="360"/>
              <w:rPr>
                <w:rFonts w:ascii="Arial" w:eastAsia="Calibri" w:hAnsi="Arial" w:cs="Arial"/>
                <w:noProof/>
                <w:sz w:val="16"/>
                <w:szCs w:val="16"/>
              </w:rPr>
            </w:pPr>
          </w:p>
          <w:p w:rsidR="003E022D" w:rsidRDefault="007D19D6">
            <w:pPr>
              <w:tabs>
                <w:tab w:val="left" w:pos="3624"/>
              </w:tabs>
              <w:spacing w:line="200" w:lineRule="exact"/>
              <w:ind w:left="567" w:hanging="360"/>
              <w:rPr>
                <w:rFonts w:ascii="Arial" w:eastAsia="Calibri" w:hAnsi="Arial" w:cs="Arial"/>
                <w:noProof/>
                <w:sz w:val="16"/>
                <w:szCs w:val="16"/>
              </w:rPr>
            </w:pPr>
            <w:r>
              <w:rPr>
                <w:noProof/>
              </w:rPr>
              <w:tab/>
            </w:r>
          </w:p>
          <w:p w:rsidR="003E022D" w:rsidRDefault="007D19D6">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Īpašuma / ienākumu avota apraksts un atrašanās vieta</w:t>
            </w:r>
          </w:p>
          <w:p w:rsidR="003E022D" w:rsidRDefault="003E022D">
            <w:pPr>
              <w:spacing w:line="200" w:lineRule="exact"/>
              <w:ind w:left="567"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Ja pieprasījums attiecas uz konkrētu(-ām) īpašuma sastāvdaļu(-ām): </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Iemesli, kas ļauj uzskatīt, ka īpašuma konkrētā(-ās) sastāvdaļa(-as) atrodas pieprasījuma saņēmējā valstī </w:t>
            </w:r>
          </w:p>
          <w:p w:rsidR="003E022D" w:rsidRDefault="003E022D">
            <w:pPr>
              <w:spacing w:line="200" w:lineRule="exact"/>
              <w:ind w:left="567" w:hanging="360"/>
              <w:rPr>
                <w:rFonts w:ascii="Arial" w:eastAsia="Calibri" w:hAnsi="Arial" w:cs="Arial"/>
                <w:noProof/>
                <w:sz w:val="16"/>
                <w:szCs w:val="16"/>
              </w:rPr>
            </w:pPr>
          </w:p>
          <w:p w:rsidR="003E022D" w:rsidRDefault="003E022D">
            <w:pPr>
              <w:spacing w:line="200" w:lineRule="exact"/>
              <w:ind w:left="567" w:hanging="360"/>
              <w:rPr>
                <w:rFonts w:ascii="Arial" w:eastAsia="Calibri" w:hAnsi="Arial" w:cs="Arial"/>
                <w:noProof/>
                <w:sz w:val="16"/>
                <w:szCs w:val="16"/>
              </w:rPr>
            </w:pPr>
          </w:p>
          <w:p w:rsidR="003E022D" w:rsidRDefault="007D19D6">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Konkrētās(-o) īpašuma sastāvdaļas(-u) apraksts un atrašanās vieta: </w:t>
            </w:r>
          </w:p>
          <w:p w:rsidR="003E022D" w:rsidRDefault="003E022D">
            <w:pPr>
              <w:spacing w:line="200" w:lineRule="exact"/>
              <w:ind w:left="567" w:hanging="360"/>
              <w:rPr>
                <w:rFonts w:ascii="Arial" w:eastAsia="Calibri" w:hAnsi="Arial" w:cs="Arial"/>
                <w:noProof/>
                <w:sz w:val="16"/>
                <w:szCs w:val="16"/>
              </w:rPr>
            </w:pPr>
          </w:p>
          <w:p w:rsidR="003E022D" w:rsidRDefault="003E022D">
            <w:pPr>
              <w:spacing w:line="200" w:lineRule="exact"/>
              <w:ind w:left="567" w:hanging="360"/>
              <w:rPr>
                <w:rFonts w:ascii="Arial" w:eastAsia="Calibri" w:hAnsi="Arial" w:cs="Arial"/>
                <w:noProof/>
                <w:sz w:val="16"/>
                <w:szCs w:val="16"/>
              </w:rPr>
            </w:pPr>
          </w:p>
          <w:p w:rsidR="003E022D" w:rsidRDefault="007D19D6">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Īpašuma </w:t>
            </w:r>
            <w:r>
              <w:rPr>
                <w:rFonts w:ascii="Arial" w:hAnsi="Arial"/>
                <w:noProof/>
                <w:sz w:val="16"/>
                <w:szCs w:val="16"/>
              </w:rPr>
              <w:t xml:space="preserve">vērtība: </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Kopējā pieprasījuma summa (aptuvenā summa): </w:t>
            </w:r>
          </w:p>
          <w:p w:rsidR="003E022D" w:rsidRDefault="003E022D">
            <w:pPr>
              <w:spacing w:line="200" w:lineRule="exact"/>
              <w:ind w:left="567"/>
              <w:rPr>
                <w:rFonts w:ascii="Arial" w:eastAsia="Calibri" w:hAnsi="Arial" w:cs="Arial"/>
                <w:noProof/>
                <w:sz w:val="16"/>
                <w:szCs w:val="16"/>
              </w:rPr>
            </w:pPr>
          </w:p>
          <w:p w:rsidR="003E022D" w:rsidRDefault="007D19D6">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Kopējā summa, kas pieprasīta izpildei pieprasījuma saņēmējā valstī (aptuvena summa):</w:t>
            </w:r>
          </w:p>
          <w:p w:rsidR="003E022D" w:rsidRDefault="003E022D">
            <w:pPr>
              <w:spacing w:line="200" w:lineRule="exact"/>
              <w:ind w:left="567"/>
              <w:rPr>
                <w:rFonts w:ascii="Arial" w:eastAsia="Calibri" w:hAnsi="Arial" w:cs="Arial"/>
                <w:noProof/>
                <w:sz w:val="16"/>
                <w:szCs w:val="16"/>
              </w:rPr>
            </w:pPr>
          </w:p>
          <w:p w:rsidR="003E022D" w:rsidRDefault="007D19D6">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Ja ir konkrēts(-i) īpašuma veids(-i), īpašuma apraksts un atrašanās vieta: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E IEDAĻA. Konfiskācijas iemesli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    Faktu kopsavilkums: </w:t>
            </w:r>
          </w:p>
          <w:p w:rsidR="003E022D" w:rsidRDefault="007D19D6">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Izklāstīt pamatojumu, kāpēc ir izdots konfiskācijas rīkojums, ieskaitot pamatā esošo faktu un konfiskācijas iemeslu kopsavilkumu, noziedzīgo nodarījumu aprakstu, riska faktoru pamatojumu un visu pārējo attiecīgo informāciju (piemēr</w:t>
            </w:r>
            <w:r>
              <w:rPr>
                <w:rFonts w:ascii="Arial" w:hAnsi="Arial"/>
                <w:noProof/>
                <w:sz w:val="16"/>
                <w:szCs w:val="16"/>
              </w:rPr>
              <w:t xml:space="preserve">am, noziedzīgā nodarījuma datumu, vietu un apstākļus):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Tā (to) noziedzīgā(-o) nodarījuma(-u) raksturs un juridiskā klasifikācija, saistībā ar kuru(-iem) ir izdots konfiskācijas rīkojums, kā arī piemērojamā(-as) tiesību norma(-as):</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Tālāk</w:t>
            </w:r>
            <w:r>
              <w:rPr>
                <w:rFonts w:ascii="Arial" w:hAnsi="Arial"/>
                <w:noProof/>
                <w:sz w:val="16"/>
                <w:szCs w:val="16"/>
              </w:rPr>
              <w:t xml:space="preserve"> minētais attiecas tikai uz gadījumu, kad gan pieprasījuma iesniedzēja valsts, gan pieprasījuma saņēmēja valsts ir iesniegusi paziņojumu saskaņā ar Nolīguma LAW.CONFISC.15. pantu [Atteikuma pamatojums] (2): attiecīgā gadījumā atzīmēt vienu vai vairākus šād</w:t>
            </w:r>
            <w:r>
              <w:rPr>
                <w:rFonts w:ascii="Arial" w:hAnsi="Arial"/>
                <w:noProof/>
                <w:sz w:val="16"/>
                <w:szCs w:val="16"/>
              </w:rPr>
              <w:t>us pieprasījuma iesniedzējas valsts tiesību aktos definētus noziedzīgus nodarījumus, par ko pieprasījuma iesniedzējā valstī ir paredzēts sodīt ar brīvības atņemšanu vai ar piespiedu līdzekli, kura maksimālais ilgums ir vismaz trīs gadi. Ja konfiskācijas rī</w:t>
            </w:r>
            <w:r>
              <w:rPr>
                <w:rFonts w:ascii="Arial" w:hAnsi="Arial"/>
                <w:noProof/>
                <w:sz w:val="16"/>
                <w:szCs w:val="16"/>
              </w:rPr>
              <w:t>kojums attiecas uz vairākiem noziedzīgiem nodarījumiem, tālāk izklāstītajā noziedzīgo nodarījumu sarakstā norādīt numurus (kas atbilst noziedzīgiem nodarījumiem, kā tie aprakstīti 1. un 2. punktā).</w:t>
            </w:r>
          </w:p>
          <w:p w:rsidR="003E022D" w:rsidRDefault="003E022D">
            <w:pPr>
              <w:rPr>
                <w:rFonts w:ascii="Arial" w:eastAsia="Calibri" w:hAnsi="Arial" w:cs="Arial"/>
                <w:noProof/>
              </w:rPr>
            </w:pP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dalība noziedzīgā organizācijā</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terorisms,</w:t>
            </w:r>
            <w:r>
              <w:rPr>
                <w:rFonts w:ascii="Arial" w:hAnsi="Arial"/>
                <w:noProof/>
                <w:sz w:val="16"/>
                <w:szCs w:val="16"/>
                <w:u w:val="single"/>
              </w:rPr>
              <w:t xml:space="preserve"> kā tas definēts LAW-7. pielikumā [Terorisma definīcija]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cilvēku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bērnu seksuāla izmantošana un bērnu pornogrāfija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narkotisku un psihotropu vielu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ieroču, munīcijas un sprāgstvielu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korupcija, tai s</w:t>
            </w:r>
            <w:r>
              <w:rPr>
                <w:rFonts w:ascii="Arial" w:hAnsi="Arial"/>
                <w:noProof/>
                <w:sz w:val="16"/>
                <w:szCs w:val="16"/>
              </w:rPr>
              <w:t>kaitā kukuļošana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krāpšana, ieskaitot krāpšanu, kas apdraud Apvienotās Karalistes, Savienības dalībvalsts finanšu intereses</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noziedzīgi iegūtu līdzekļu legalizēšana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naudas viltošana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datornoziegumi</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noziegumi pret vidi, tostarp apdraudētu dzīvnieku un augu </w:t>
            </w:r>
            <w:r>
              <w:rPr>
                <w:rFonts w:ascii="Arial" w:hAnsi="Arial"/>
                <w:noProof/>
                <w:sz w:val="16"/>
                <w:szCs w:val="16"/>
              </w:rPr>
              <w:t>sugu un šķirņu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nelikumīgas ieceļošanas un uzturēšanās veicināšana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slepkavība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smagi miesas bojājumi</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cilvēku orgānu un audu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personas nolaupīšana, nelikumīga brīvības atņemšana un ķīlnieku sagrābšana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rasisms un </w:t>
            </w:r>
            <w:r>
              <w:rPr>
                <w:rFonts w:ascii="Arial" w:hAnsi="Arial"/>
                <w:noProof/>
                <w:sz w:val="16"/>
                <w:szCs w:val="16"/>
              </w:rPr>
              <w:t>ksenofobija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organizēta vai bruņota laupīšana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kultūras priekšmetu, tostarp senlietu un mākslas darbu,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krāpšana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rekets un izspiešana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izstrādājumu viltošana un pirātisms</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administratīvu dokumentu viltošana un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maksāšanas līd</w:t>
            </w:r>
            <w:r>
              <w:rPr>
                <w:rFonts w:ascii="Arial" w:hAnsi="Arial"/>
                <w:noProof/>
                <w:sz w:val="16"/>
                <w:szCs w:val="16"/>
              </w:rPr>
              <w:t>zekļu viltošana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hormonu un citu augšanas veicinātāju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kodolmateriālu vai radioaktīvu materiālu nelikumīga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zagtu transportlīdzekļu tirdzniecība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izvarošana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dedzināšana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noziegumi, kuri ir Starptautiskās Krimināltiesas </w:t>
            </w:r>
            <w:r>
              <w:rPr>
                <w:rFonts w:ascii="Arial" w:hAnsi="Arial"/>
                <w:noProof/>
                <w:sz w:val="16"/>
                <w:szCs w:val="16"/>
              </w:rPr>
              <w:t>jurisdikcijā</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gaisa kuģa, kuģa vai kosmosa kuģa nelikumīga sagrābšana</w:t>
            </w:r>
          </w:p>
          <w:p w:rsidR="003E022D" w:rsidRDefault="007D19D6">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sabotāža</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Jebkura cita attiecīga informācija (piemēram, saikne starp īpašumu un noziedzīgo nodarījumu):</w:t>
            </w:r>
          </w:p>
          <w:p w:rsidR="003E022D" w:rsidRDefault="003E022D">
            <w:pPr>
              <w:spacing w:line="200" w:lineRule="exact"/>
              <w:ind w:left="360" w:hanging="360"/>
              <w:rPr>
                <w:rFonts w:ascii="Arial" w:eastAsia="Calibri" w:hAnsi="Arial" w:cs="Arial"/>
                <w:noProof/>
                <w:sz w:val="16"/>
                <w:szCs w:val="16"/>
              </w:rPr>
            </w:pPr>
          </w:p>
          <w:p w:rsidR="003E022D" w:rsidRDefault="003E022D">
            <w:pPr>
              <w:spacing w:line="200" w:lineRule="exact"/>
              <w:ind w:left="360" w:hanging="360"/>
              <w:rPr>
                <w:rFonts w:ascii="Arial" w:eastAsia="Calibri" w:hAnsi="Arial" w:cs="Arial"/>
                <w:noProof/>
                <w:sz w:val="16"/>
                <w:szCs w:val="16"/>
              </w:rPr>
            </w:pPr>
          </w:p>
          <w:p w:rsidR="003E022D" w:rsidRDefault="003E022D">
            <w:pPr>
              <w:spacing w:line="200" w:lineRule="exact"/>
              <w:ind w:left="360" w:hanging="360"/>
              <w:rPr>
                <w:rFonts w:ascii="Arial" w:eastAsia="Calibri" w:hAnsi="Arial" w:cs="Arial"/>
                <w:noProof/>
                <w:sz w:val="16"/>
                <w:szCs w:val="16"/>
              </w:rPr>
            </w:pPr>
          </w:p>
          <w:p w:rsidR="003E022D" w:rsidRDefault="003E022D">
            <w:pPr>
              <w:spacing w:line="200" w:lineRule="exact"/>
              <w:ind w:left="36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F IEDAĻA. Konfidencialitāte </w:t>
            </w:r>
          </w:p>
          <w:p w:rsidR="003E022D" w:rsidRDefault="007D19D6">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Nepieciešamība uzturēt pieprasījumā vai tā daļā iekļautās informācijas konfidencialitāti </w:t>
            </w:r>
          </w:p>
          <w:p w:rsidR="003E022D" w:rsidRDefault="003E022D">
            <w:pPr>
              <w:spacing w:line="200" w:lineRule="exact"/>
              <w:ind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Norādīt visu attiecīgo informāciju:</w:t>
            </w:r>
          </w:p>
          <w:p w:rsidR="003E022D" w:rsidRDefault="003E022D">
            <w:pPr>
              <w:spacing w:line="200" w:lineRule="exact"/>
              <w:ind w:left="720" w:hanging="360"/>
              <w:rPr>
                <w:rFonts w:ascii="Arial" w:eastAsia="Calibri" w:hAnsi="Arial" w:cs="Arial"/>
                <w:noProof/>
                <w:sz w:val="16"/>
                <w:szCs w:val="16"/>
              </w:rPr>
            </w:pPr>
          </w:p>
          <w:p w:rsidR="003E022D" w:rsidRDefault="007D19D6">
            <w:pPr>
              <w:numPr>
                <w:ilvl w:val="0"/>
                <w:numId w:val="663"/>
              </w:numPr>
              <w:pBdr>
                <w:top w:val="nil"/>
                <w:left w:val="nil"/>
                <w:bottom w:val="nil"/>
                <w:right w:val="nil"/>
                <w:between w:val="nil"/>
                <w:bar w:val="nil"/>
              </w:pBdr>
              <w:tabs>
                <w:tab w:val="clear" w:pos="360"/>
                <w:tab w:val="num" w:pos="-2117"/>
              </w:tabs>
              <w:spacing w:after="0" w:line="200" w:lineRule="exact"/>
              <w:ind w:left="-2117"/>
              <w:jc w:val="left"/>
              <w:rPr>
                <w:rFonts w:ascii="Arial" w:eastAsia="Calibri" w:hAnsi="Arial" w:cs="Arial"/>
                <w:noProof/>
                <w:sz w:val="16"/>
                <w:szCs w:val="16"/>
              </w:rPr>
            </w:pPr>
            <w:r>
              <w:rPr>
                <w:rFonts w:ascii="Arial" w:hAnsi="Arial"/>
                <w:noProof/>
                <w:sz w:val="16"/>
                <w:szCs w:val="16"/>
              </w:rPr>
              <w:t xml:space="preserve">nepieciešamība uzturēt </w:t>
            </w: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G IEDAĻA. Pieprasījumi vairāk nekā vienai valstij</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Ja konfiskācijas pieprasījums ir nosūtīts vairāk nekā</w:t>
            </w:r>
            <w:r>
              <w:rPr>
                <w:rFonts w:ascii="Arial" w:hAnsi="Arial"/>
                <w:noProof/>
                <w:sz w:val="16"/>
                <w:szCs w:val="16"/>
              </w:rPr>
              <w:t xml:space="preserve"> vienai valstij, sniegt šādu informāciju:</w:t>
            </w:r>
          </w:p>
          <w:p w:rsidR="003E022D" w:rsidRDefault="007D19D6">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Konfiskācijas pieprasījums ir nosūtīts šādai(-ām) citai(-ām) valstij(-īm) (valsts un iestāde):</w:t>
            </w:r>
          </w:p>
          <w:p w:rsidR="003E022D" w:rsidRDefault="003E022D">
            <w:pPr>
              <w:spacing w:line="200" w:lineRule="exact"/>
              <w:rPr>
                <w:rFonts w:ascii="Arial" w:eastAsia="Calibri" w:hAnsi="Arial" w:cs="Arial"/>
                <w:noProof/>
                <w:sz w:val="16"/>
                <w:szCs w:val="16"/>
              </w:rPr>
            </w:pPr>
          </w:p>
          <w:p w:rsidR="003E022D" w:rsidRDefault="007D19D6">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Pamatojums konfiskācijas pieprasījuma nosūtīšanai uz vairākām valstīm (izvēlēties attiecīgu pamatojumu):</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Ja </w:t>
            </w:r>
            <w:r>
              <w:rPr>
                <w:rFonts w:ascii="Arial" w:hAnsi="Arial"/>
                <w:noProof/>
                <w:sz w:val="16"/>
                <w:szCs w:val="16"/>
              </w:rPr>
              <w:t>pieprasījums attiecas uz konkrētu īpašuma sastāvdaļu:</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68"/>
              </w:numPr>
              <w:spacing w:after="0" w:line="200" w:lineRule="exact"/>
              <w:contextualSpacing/>
              <w:jc w:val="left"/>
              <w:rPr>
                <w:rFonts w:ascii="Arial" w:eastAsia="Calibri" w:hAnsi="Arial" w:cs="Arial"/>
                <w:noProof/>
                <w:sz w:val="16"/>
                <w:szCs w:val="16"/>
              </w:rPr>
            </w:pPr>
            <w:r>
              <w:rPr>
                <w:rFonts w:ascii="Arial" w:hAnsi="Arial"/>
                <w:noProof/>
                <w:sz w:val="16"/>
                <w:szCs w:val="16"/>
              </w:rPr>
              <w:t>Tiek uzskatīts, ka dažādas īpašuma sastāvdaļas, uz kurām attiecas pieprasījums, atrodas dažādās valstīs</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68"/>
              </w:numPr>
              <w:spacing w:after="0" w:line="200" w:lineRule="exact"/>
              <w:jc w:val="left"/>
              <w:rPr>
                <w:rFonts w:ascii="Arial" w:eastAsia="Calibri" w:hAnsi="Arial" w:cs="Arial"/>
                <w:noProof/>
                <w:sz w:val="16"/>
                <w:szCs w:val="16"/>
              </w:rPr>
            </w:pPr>
            <w:r>
              <w:rPr>
                <w:rFonts w:ascii="Arial" w:hAnsi="Arial"/>
                <w:noProof/>
                <w:sz w:val="16"/>
                <w:szCs w:val="16"/>
              </w:rPr>
              <w:t>Konfiskācijas pieprasījums attiecas uz konkrētu īpašuma sastāvdaļu, un ir nepieciešama rīcība va</w:t>
            </w:r>
            <w:r>
              <w:rPr>
                <w:rFonts w:ascii="Arial" w:hAnsi="Arial"/>
                <w:noProof/>
                <w:sz w:val="16"/>
                <w:szCs w:val="16"/>
              </w:rPr>
              <w:t>irāk nekā vienā valstī</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Ja konfiskācijas pieprasījums attiecas uz naudas summu:</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Tā īpašuma aplēstā vērtība, ko var konfiscēt pieprasījuma iesniedzējā valstī un jebkurā pieprasījuma saņēmējā valstī, visticamāk, nebūs pietiekama, lai segtu visu rīkojumā </w:t>
            </w:r>
            <w:r>
              <w:rPr>
                <w:rFonts w:ascii="Arial" w:hAnsi="Arial"/>
                <w:noProof/>
                <w:sz w:val="16"/>
                <w:szCs w:val="16"/>
              </w:rPr>
              <w:t>norādīto summu.</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Citas īpašas vajadzības:</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Aktīvu vērtība (ja zināma) katrā pieprasījuma saņēmējā valstī:</w:t>
            </w:r>
          </w:p>
          <w:p w:rsidR="003E022D" w:rsidRDefault="003E022D">
            <w:pPr>
              <w:spacing w:line="200" w:lineRule="exact"/>
              <w:ind w:hanging="360"/>
              <w:rPr>
                <w:rFonts w:ascii="Arial" w:eastAsia="Calibri" w:hAnsi="Arial" w:cs="Arial"/>
                <w:noProof/>
                <w:sz w:val="16"/>
                <w:szCs w:val="16"/>
              </w:rPr>
            </w:pPr>
          </w:p>
          <w:p w:rsidR="003E022D" w:rsidRDefault="003E022D">
            <w:pPr>
              <w:spacing w:line="200" w:lineRule="exact"/>
              <w:ind w:hanging="360"/>
              <w:rPr>
                <w:rFonts w:ascii="Arial" w:eastAsia="Calibri" w:hAnsi="Arial" w:cs="Arial"/>
                <w:noProof/>
                <w:sz w:val="16"/>
                <w:szCs w:val="16"/>
              </w:rPr>
            </w:pP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Ja konkrētas(-u) īpašuma sastāvdaļas(-u) konfiskācijai nepieciešama rīcība vairāk nekā vienā valstī, apraksts par darbībām, kas jāveic pieprasījum</w:t>
            </w:r>
            <w:r>
              <w:rPr>
                <w:rFonts w:ascii="Arial" w:hAnsi="Arial"/>
                <w:noProof/>
                <w:sz w:val="16"/>
                <w:szCs w:val="16"/>
              </w:rPr>
              <w:t>a saņēmējā valstī:</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H IEDAĻA. Īpašuma konversija un nodošana  </w:t>
            </w:r>
          </w:p>
          <w:p w:rsidR="003E022D" w:rsidRDefault="007D19D6">
            <w:pPr>
              <w:widowControl w:val="0"/>
              <w:numPr>
                <w:ilvl w:val="0"/>
                <w:numId w:val="679"/>
              </w:numPr>
              <w:spacing w:after="0" w:line="200" w:lineRule="exact"/>
              <w:contextualSpacing/>
              <w:jc w:val="left"/>
              <w:rPr>
                <w:rFonts w:ascii="Arial" w:eastAsia="Calibri" w:hAnsi="Arial" w:cs="Arial"/>
                <w:noProof/>
                <w:sz w:val="16"/>
                <w:szCs w:val="16"/>
              </w:rPr>
            </w:pPr>
            <w:r>
              <w:rPr>
                <w:rFonts w:ascii="Arial" w:hAnsi="Arial"/>
                <w:noProof/>
                <w:sz w:val="16"/>
                <w:szCs w:val="16"/>
              </w:rPr>
              <w:t>Ja konfiskācijas pieprasījums attiecas uz konkrētu īpašuma sastāvdaļu, apstiprināt, vai pieprasījuma iesniedzēja valsts ļauj konfiskāciju veikt pieprasījumā saņēmējā valstī kā prasību maksāt</w:t>
            </w:r>
            <w:r>
              <w:rPr>
                <w:rFonts w:ascii="Arial" w:hAnsi="Arial"/>
                <w:noProof/>
                <w:sz w:val="16"/>
                <w:szCs w:val="16"/>
              </w:rPr>
              <w:t xml:space="preserve"> naudas summu, kas atbilst īpašuma vērtībai:</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Jā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Nē</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79"/>
              </w:numPr>
              <w:spacing w:after="0" w:line="200" w:lineRule="exact"/>
              <w:jc w:val="left"/>
              <w:rPr>
                <w:rFonts w:ascii="Arial" w:eastAsia="Calibri" w:hAnsi="Arial" w:cs="Arial"/>
                <w:noProof/>
                <w:sz w:val="16"/>
                <w:szCs w:val="16"/>
              </w:rPr>
            </w:pPr>
            <w:r>
              <w:rPr>
                <w:rFonts w:ascii="Arial" w:hAnsi="Arial"/>
                <w:noProof/>
                <w:sz w:val="16"/>
                <w:szCs w:val="16"/>
              </w:rPr>
              <w:t>Ja konfiskācija attiecas uz naudas summu, norādīt, vai pieprasījuma iesniedzējai valstij var pārsūtīt cita veida īpašums, nevis naudu, kas ir iegūta, izpildot konfiskācijas pieprasījumu:</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Jā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Nē</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I IEDAĻA. Brīvības atņemšana ar aizmugurisku spriedumu vai citi pasākumi, kas ierobežo personas brīvību</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Norādīt, vai pieprasījuma iesniedzēja valsts atļauj pieprasījuma saņēmējai valstij piemērot brīvības atņemšanu ar aizmugurisku spriedumu vai citus </w:t>
            </w:r>
            <w:r>
              <w:rPr>
                <w:rFonts w:ascii="Arial" w:hAnsi="Arial"/>
                <w:noProof/>
                <w:sz w:val="16"/>
                <w:szCs w:val="16"/>
              </w:rPr>
              <w:t>pasākumus, kas ierobežo personas brīvību, ja konfiskācijas pieprasījumu nav iespējams izpildīt pilnībā vai daļēji:</w:t>
            </w:r>
          </w:p>
          <w:p w:rsidR="003E022D" w:rsidRDefault="007D19D6">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Jā </w:t>
            </w:r>
          </w:p>
          <w:p w:rsidR="003E022D" w:rsidRDefault="007D19D6">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Nē </w:t>
            </w: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J IEDAĻA. Restitūcija vai kompensācija cietušajam </w:t>
            </w:r>
          </w:p>
          <w:p w:rsidR="003E022D" w:rsidRDefault="007D19D6">
            <w:pPr>
              <w:widowControl w:val="0"/>
              <w:numPr>
                <w:ilvl w:val="0"/>
                <w:numId w:val="681"/>
              </w:numPr>
              <w:spacing w:after="0" w:line="200" w:lineRule="exact"/>
              <w:jc w:val="left"/>
              <w:rPr>
                <w:rFonts w:ascii="Arial" w:eastAsia="Calibri" w:hAnsi="Arial" w:cs="Arial"/>
                <w:noProof/>
                <w:sz w:val="16"/>
                <w:szCs w:val="16"/>
              </w:rPr>
            </w:pPr>
            <w:r>
              <w:rPr>
                <w:rFonts w:ascii="Arial" w:hAnsi="Arial"/>
                <w:noProof/>
                <w:sz w:val="16"/>
                <w:szCs w:val="16"/>
              </w:rPr>
              <w:t>Attiecīgā gadījumā norādīt:</w:t>
            </w:r>
          </w:p>
          <w:p w:rsidR="003E022D" w:rsidRDefault="003E022D">
            <w:pPr>
              <w:spacing w:line="200" w:lineRule="exact"/>
              <w:ind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Pieprasījuma iesniedzējas valsts izdevējiestāde va</w:t>
            </w:r>
            <w:r>
              <w:rPr>
                <w:rFonts w:ascii="Arial" w:hAnsi="Arial"/>
                <w:noProof/>
                <w:sz w:val="16"/>
                <w:szCs w:val="16"/>
              </w:rPr>
              <w:t>i cita kompetentā iestāde ir izdevusi lēmumu par kompensāciju vai restitūciju cietušajam šādas naudas summas apmērā:</w:t>
            </w:r>
          </w:p>
          <w:p w:rsidR="003E022D" w:rsidRDefault="003E022D">
            <w:pPr>
              <w:spacing w:line="200" w:lineRule="exact"/>
              <w:ind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Pieprasījuma iesniedzējas valsts izdevējiestāde vai cita kompetentā iestāde ir izdevusi lēmumu par šāda īpašuma (kas nav naudas līdzekļi)</w:t>
            </w:r>
            <w:r>
              <w:rPr>
                <w:rFonts w:ascii="Arial" w:hAnsi="Arial"/>
                <w:noProof/>
                <w:sz w:val="16"/>
                <w:szCs w:val="16"/>
              </w:rPr>
              <w:t xml:space="preserve"> restitūciju cietušajam:</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81"/>
              </w:numPr>
              <w:spacing w:after="0" w:line="200" w:lineRule="exact"/>
              <w:contextualSpacing/>
              <w:jc w:val="left"/>
              <w:rPr>
                <w:rFonts w:ascii="Arial" w:eastAsia="Calibri" w:hAnsi="Arial" w:cs="Arial"/>
                <w:noProof/>
                <w:sz w:val="16"/>
                <w:szCs w:val="16"/>
              </w:rPr>
            </w:pPr>
            <w:r>
              <w:rPr>
                <w:rFonts w:ascii="Arial" w:hAnsi="Arial"/>
                <w:noProof/>
                <w:sz w:val="16"/>
                <w:szCs w:val="16"/>
              </w:rPr>
              <w:t>Informācija par lēmumu par īpašuma restitūciju vai kompensāciju cietušajam:</w:t>
            </w:r>
          </w:p>
          <w:p w:rsidR="003E022D" w:rsidRDefault="003E022D">
            <w:pPr>
              <w:spacing w:line="200" w:lineRule="exact"/>
              <w:ind w:left="720" w:hanging="360"/>
              <w:rPr>
                <w:rFonts w:ascii="Arial" w:eastAsia="Calibri" w:hAnsi="Arial" w:cs="Arial"/>
                <w:noProof/>
                <w:sz w:val="16"/>
                <w:szCs w:val="16"/>
              </w:rPr>
            </w:pP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Izdevējiestāde (oficiālais nosaukums):</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Lēmuma datums:</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Lēmuma atsauces numurs (ja ir):</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Tā īpašuma apraksts, kura restitūcija jāveic, vai summa, kas </w:t>
            </w:r>
            <w:r>
              <w:rPr>
                <w:rFonts w:ascii="Arial" w:hAnsi="Arial"/>
                <w:noProof/>
                <w:color w:val="000000"/>
                <w:sz w:val="16"/>
                <w:szCs w:val="16"/>
                <w:u w:color="000000"/>
                <w:bdr w:val="nil"/>
              </w:rPr>
              <w:t>piešķirta kā kompensācija:</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Cietušā vārds un uzvārds:</w:t>
            </w:r>
          </w:p>
          <w:p w:rsidR="003E022D" w:rsidRDefault="007D19D6">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Cietušā adrese:</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K IEDAĻA. Tiesiskās aizsardzības līdzekļi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Norādīt, vai jau ir pieprasīts tiesiskās aizsardzības līdzeklis, lai apstrīdētu konfiskācijas rīkojuma izdošanu, un, ja ir, sniegt papildu informāciju (tiesiskās aizsardzības līdzekļa apraksts, tostarp veicamie pasākumi un termiņi):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L IEDAĻA. Izd</w:t>
            </w:r>
            <w:r>
              <w:rPr>
                <w:rFonts w:ascii="Arial" w:hAnsi="Arial"/>
                <w:b/>
                <w:noProof/>
                <w:sz w:val="16"/>
                <w:szCs w:val="16"/>
              </w:rPr>
              <w:t>evējiestāde</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Sniegt sīkāku informāciju par iestādi, kas izdevusi konfiskācijas pieprasījumu pieprasījuma iesniedzējā valstī.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1. Izdevējiestādes veids:</w:t>
            </w:r>
          </w:p>
          <w:p w:rsidR="003E022D" w:rsidRDefault="003E022D">
            <w:pPr>
              <w:spacing w:line="200" w:lineRule="exact"/>
              <w:ind w:hanging="360"/>
              <w:rPr>
                <w:rFonts w:ascii="Arial" w:eastAsia="Calibri" w:hAnsi="Arial" w:cs="Arial"/>
                <w:noProof/>
                <w:sz w:val="16"/>
                <w:szCs w:val="16"/>
              </w:rPr>
            </w:pPr>
          </w:p>
          <w:p w:rsidR="003E022D" w:rsidRDefault="007D19D6">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tiesnesis, tiesa, prokurors</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cita kompetentā iestāde, kuru norīkojusi pieprasījuma iesniedzēja valsts</w:t>
            </w:r>
          </w:p>
          <w:p w:rsidR="003E022D" w:rsidRDefault="003E022D">
            <w:pPr>
              <w:spacing w:line="200" w:lineRule="exact"/>
              <w:ind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2. Kontaktinformācija: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Izdevējiestādes oficiālais nosaukums: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Tās pārstāvja vārds, uzvārds: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Ieņemamais amats (dienesta pakāpe/kategorija):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Lietas Nr.: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Adrese: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Tālrunis: (valsts kods) (apgabala/pilsētas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Faksa numurs: (valsts kods) (a</w:t>
            </w:r>
            <w:r>
              <w:rPr>
                <w:rFonts w:ascii="Arial" w:hAnsi="Arial"/>
                <w:noProof/>
                <w:sz w:val="16"/>
                <w:szCs w:val="16"/>
              </w:rPr>
              <w:t xml:space="preserve">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E-pasts: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Valodas, kurās var sazināties ar izdevējiestādi: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Izdevējiestādes un/vai tās pārstāvja paraksts, ar ko apliecina, ka konfiskācijas pieprasījuma veidlapas saturs ir precīzs un pareizs: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Nosaukums / vārds, uzvārds: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Ieņemamais amats (dienesta pakāpe/kategorija):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Datums: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Oficiālais zīmogs (ja ir):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M IEDAĻA. Apstiprinātājiestāde  </w:t>
            </w:r>
          </w:p>
          <w:p w:rsidR="003E022D" w:rsidRDefault="007D19D6">
            <w:pPr>
              <w:ind w:left="720" w:hanging="360"/>
              <w:rPr>
                <w:rFonts w:ascii="Arial" w:eastAsia="Calibri" w:hAnsi="Arial" w:cs="Arial"/>
                <w:noProof/>
                <w:sz w:val="16"/>
                <w:szCs w:val="16"/>
              </w:rPr>
            </w:pPr>
            <w:r>
              <w:rPr>
                <w:rFonts w:ascii="Arial" w:hAnsi="Arial"/>
                <w:noProof/>
                <w:sz w:val="16"/>
                <w:szCs w:val="16"/>
              </w:rPr>
              <w:t>Attiecīgā gadījumā norādīt tās iestādes veidu, kura apstiprinājusi konfiskācijas pieprasījuma veidlapu:</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tiesnesis, tiesa, </w:t>
            </w:r>
            <w:r>
              <w:rPr>
                <w:rFonts w:ascii="Arial" w:hAnsi="Arial"/>
                <w:noProof/>
                <w:sz w:val="16"/>
                <w:szCs w:val="16"/>
              </w:rPr>
              <w:t>prokurors</w:t>
            </w:r>
          </w:p>
          <w:p w:rsidR="003E022D" w:rsidRDefault="003E022D">
            <w:pPr>
              <w:spacing w:line="200" w:lineRule="exact"/>
              <w:ind w:left="720" w:hanging="360"/>
              <w:rPr>
                <w:rFonts w:ascii="Arial" w:eastAsia="Calibri" w:hAnsi="Arial" w:cs="Arial"/>
                <w:noProof/>
                <w:sz w:val="16"/>
                <w:szCs w:val="16"/>
              </w:rPr>
            </w:pPr>
          </w:p>
          <w:p w:rsidR="003E022D" w:rsidRDefault="007D19D6">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cita kompetentā iestāde, kuru norīkojusi izdevējvalsts</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Apstiprinātājas iestādes oficiālais nosaukums: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Tās pārstāvja vārds, uzvārds: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Ieņemamais amats (dienesta pakāpe/kategorija):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Lietas Nr.: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Adrese: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Tālrunis: (valsts kods) (apgab</w:t>
            </w:r>
            <w:r>
              <w:rPr>
                <w:rFonts w:ascii="Arial" w:hAnsi="Arial"/>
                <w:noProof/>
                <w:sz w:val="16"/>
                <w:szCs w:val="16"/>
              </w:rPr>
              <w:t xml:space="preserve">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Faksa numurs: (valsts kods) (apgabala/pilsētas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E-pasts: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Valodas, kurās var sazināties ar kompetento iestādi:  </w:t>
            </w: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N IEDAĻA. Centrālā iestāde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Norādīt centrālo iestādi, kas atbild par konfiskācijas pieprasījuma veidlapas </w:t>
            </w:r>
            <w:r>
              <w:rPr>
                <w:rFonts w:ascii="Arial" w:hAnsi="Arial"/>
                <w:noProof/>
                <w:sz w:val="16"/>
                <w:szCs w:val="16"/>
              </w:rPr>
              <w:t>administratīvo nosūtīšanu un saņemšanu pieprasījuma iesniedzējā valstī:</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Centrālās iestādes oficiālais nosaukums: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Tās pārstāvja vārds, uzvārds: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Ieņemamais amats (dienesta pakāpe/kategorija):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Lietas Nr.: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Adrese: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Tālrunis: (valsts kods) (apgaba</w:t>
            </w:r>
            <w:r>
              <w:rPr>
                <w:rFonts w:ascii="Arial" w:hAnsi="Arial"/>
                <w:noProof/>
                <w:sz w:val="16"/>
                <w:szCs w:val="16"/>
              </w:rPr>
              <w:t>la/pilsētas kods)</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Faksa numurs: (valsts kods) (apgabala/pilsētas kods)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E-pasts: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Valodas, kurās var sazināties ar kompetento iestādi:  </w:t>
            </w:r>
          </w:p>
          <w:p w:rsidR="003E022D" w:rsidRDefault="003E022D">
            <w:pPr>
              <w:spacing w:line="200" w:lineRule="exact"/>
              <w:ind w:left="720" w:hanging="360"/>
              <w:rPr>
                <w:rFonts w:ascii="Arial" w:eastAsia="Calibri" w:hAnsi="Arial" w:cs="Arial"/>
                <w:noProof/>
                <w:sz w:val="16"/>
                <w:szCs w:val="16"/>
              </w:rPr>
            </w:pP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O IEDAĻA. Papildu informācija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1. Norādīt, vai pieprasījuma iesniedzējas valsts galvenajam kontaktpunktam vajadzēt</w:t>
            </w:r>
            <w:r>
              <w:rPr>
                <w:rFonts w:ascii="Arial" w:hAnsi="Arial"/>
                <w:noProof/>
                <w:sz w:val="16"/>
                <w:szCs w:val="16"/>
              </w:rPr>
              <w:t xml:space="preserve">u būt: </w:t>
            </w:r>
          </w:p>
          <w:p w:rsidR="003E022D" w:rsidRDefault="007D19D6">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izdevējiestādei</w:t>
            </w:r>
          </w:p>
          <w:p w:rsidR="003E022D" w:rsidRDefault="007D19D6">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kompetentajai iestādei</w:t>
            </w:r>
          </w:p>
          <w:p w:rsidR="003E022D" w:rsidRDefault="007D19D6">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centrālajai iestādei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2. Ja atšķiras no iepriekš minētā, norādīt tās/to personas(-u) kontaktinformāciju, ar kuru(-ām) sazināties, lai iegūtu papildu informāciju par šo konfiskācijas pieprasījuma veidlapu: </w:t>
            </w:r>
          </w:p>
          <w:p w:rsidR="003E022D" w:rsidRDefault="003E022D">
            <w:pPr>
              <w:spacing w:line="200" w:lineRule="exact"/>
              <w:ind w:left="720" w:hanging="360"/>
              <w:rPr>
                <w:rFonts w:ascii="Arial" w:eastAsia="Calibri" w:hAnsi="Arial" w:cs="Arial"/>
                <w:noProof/>
                <w:sz w:val="16"/>
                <w:szCs w:val="16"/>
              </w:rPr>
            </w:pP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Vārds, uzvārds / dienesta pakāpe / organizācija: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Adrese: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E-pasts/Tālrunis:  </w:t>
            </w:r>
          </w:p>
          <w:p w:rsidR="003E022D" w:rsidRDefault="003E022D">
            <w:pPr>
              <w:spacing w:line="200" w:lineRule="exact"/>
              <w:ind w:left="720" w:hanging="360"/>
              <w:rPr>
                <w:rFonts w:ascii="Arial" w:eastAsia="Calibri" w:hAnsi="Arial" w:cs="Arial"/>
                <w:noProof/>
                <w:sz w:val="16"/>
                <w:szCs w:val="16"/>
              </w:rPr>
            </w:pPr>
          </w:p>
        </w:tc>
      </w:tr>
      <w:tr w:rsidR="003E022D">
        <w:trPr>
          <w:trHeight w:val="255"/>
        </w:trPr>
        <w:tc>
          <w:tcPr>
            <w:tcW w:w="9242" w:type="dxa"/>
          </w:tcPr>
          <w:p w:rsidR="003E022D" w:rsidRDefault="007D19D6">
            <w:pPr>
              <w:spacing w:line="200" w:lineRule="exact"/>
              <w:ind w:left="720" w:hanging="360"/>
              <w:rPr>
                <w:rFonts w:ascii="Arial" w:eastAsia="Calibri" w:hAnsi="Arial" w:cs="Arial"/>
                <w:b/>
                <w:noProof/>
                <w:sz w:val="16"/>
                <w:szCs w:val="16"/>
              </w:rPr>
            </w:pPr>
            <w:r>
              <w:rPr>
                <w:rFonts w:ascii="Arial" w:hAnsi="Arial"/>
                <w:b/>
                <w:noProof/>
                <w:sz w:val="16"/>
                <w:szCs w:val="16"/>
              </w:rPr>
              <w:t xml:space="preserve">P IEDAĻA. Pielikumi </w:t>
            </w:r>
          </w:p>
          <w:p w:rsidR="003E022D" w:rsidRDefault="007D19D6">
            <w:pPr>
              <w:spacing w:line="200" w:lineRule="exact"/>
              <w:ind w:left="720" w:hanging="360"/>
              <w:rPr>
                <w:rFonts w:ascii="Arial" w:eastAsia="Calibri" w:hAnsi="Arial" w:cs="Arial"/>
                <w:noProof/>
                <w:sz w:val="16"/>
                <w:szCs w:val="16"/>
              </w:rPr>
            </w:pPr>
            <w:r>
              <w:rPr>
                <w:rFonts w:ascii="Arial" w:hAnsi="Arial"/>
                <w:noProof/>
                <w:sz w:val="16"/>
                <w:szCs w:val="16"/>
              </w:rPr>
              <w:t xml:space="preserve">Konfiskācijas pieprasījuma veidlapai nepieciešams pievienot konfiskācijas rīkojuma oriģinālu vai pienācīgi autentificētu kopiju. </w:t>
            </w:r>
          </w:p>
        </w:tc>
      </w:tr>
    </w:tbl>
    <w:p w:rsidR="003E022D" w:rsidRDefault="003E022D">
      <w:pPr>
        <w:rPr>
          <w:rFonts w:ascii="Century" w:eastAsia="Century" w:hAnsi="Century" w:cs="Times New Roman"/>
          <w:i/>
          <w:noProof/>
        </w:rPr>
      </w:pPr>
    </w:p>
    <w:p w:rsidR="003E022D" w:rsidRDefault="003E022D">
      <w:pPr>
        <w:spacing w:after="160" w:line="259" w:lineRule="auto"/>
        <w:jc w:val="left"/>
        <w:rPr>
          <w:noProof/>
        </w:rPr>
      </w:pPr>
    </w:p>
    <w:p w:rsidR="003E022D" w:rsidRDefault="007D19D6">
      <w:pPr>
        <w:spacing w:after="0" w:line="276" w:lineRule="auto"/>
        <w:jc w:val="left"/>
        <w:rPr>
          <w:noProof/>
        </w:rPr>
      </w:pPr>
      <w:r>
        <w:rPr>
          <w:noProof/>
        </w:rPr>
        <w:br w:type="page"/>
      </w:r>
    </w:p>
    <w:p w:rsidR="003E022D" w:rsidRDefault="007D19D6">
      <w:pPr>
        <w:pStyle w:val="ANNEX"/>
        <w:rPr>
          <w:rFonts w:cstheme="minorHAnsi"/>
          <w:noProof/>
        </w:rPr>
      </w:pPr>
      <w:hyperlink w:anchor="_Toc35449714" w:history="1">
        <w:bookmarkStart w:id="1404" w:name="_Toc59988429"/>
        <w:bookmarkStart w:id="1405" w:name="_Toc58255919"/>
        <w:r>
          <w:rPr>
            <w:noProof/>
          </w:rPr>
          <w:t>UNPRO-1. PIELIKUMS.</w:t>
        </w:r>
      </w:hyperlink>
      <w:hyperlink w:anchor="_Toc35449714" w:history="1">
        <w:r>
          <w:rPr>
            <w:noProof/>
          </w:rPr>
          <w:t xml:space="preserve"> FINANŠU NOSACĪJUMU ĪSTENOŠANA</w:t>
        </w:r>
        <w:bookmarkEnd w:id="1404"/>
      </w:hyperlink>
      <w:bookmarkEnd w:id="1405"/>
    </w:p>
    <w:p w:rsidR="003E022D" w:rsidRDefault="007D19D6">
      <w:pPr>
        <w:numPr>
          <w:ilvl w:val="0"/>
          <w:numId w:val="945"/>
        </w:numPr>
        <w:ind w:left="0" w:firstLine="0"/>
        <w:rPr>
          <w:rFonts w:cstheme="minorHAnsi"/>
          <w:noProof/>
        </w:rPr>
      </w:pPr>
      <w:r>
        <w:rPr>
          <w:noProof/>
        </w:rPr>
        <w:t xml:space="preserve">Komisija iespējami drīz un vēlākais finanšu gada 16. aprīlī paziņo Apvienotajai Karalistei šādu informāciju par katru Savienības programmu, darbību vai tās daļu, kurā piedalās Apvienotā Karaliste: </w:t>
      </w:r>
    </w:p>
    <w:p w:rsidR="003E022D" w:rsidRDefault="007D19D6">
      <w:pPr>
        <w:numPr>
          <w:ilvl w:val="0"/>
          <w:numId w:val="946"/>
        </w:numPr>
        <w:ind w:left="567" w:hanging="567"/>
        <w:rPr>
          <w:rFonts w:cstheme="minorHAnsi"/>
          <w:noProof/>
        </w:rPr>
      </w:pPr>
      <w:r>
        <w:rPr>
          <w:noProof/>
        </w:rPr>
        <w:t>saistību apropriāciju summas Savienības budžetā, kas galīg</w:t>
      </w:r>
      <w:r>
        <w:rPr>
          <w:noProof/>
        </w:rPr>
        <w:t>i pieņemtas attiecīgajam gadam budžeta pozīcijās, kuras sedz Apvienotās Karalistes dalību saskaņā ar šā nolīguma I protokolu [Programmas un darbības, kurās piedalās Apvienotā Karaliste], un attiecīgā gadījumā asignēto ārējo apropriāciju summu, kas neizriet</w:t>
      </w:r>
      <w:r>
        <w:rPr>
          <w:noProof/>
        </w:rPr>
        <w:t xml:space="preserve"> no citu līdzekļu devēju finansiālā ieguldījuma šajās budžeta pozīcijās;</w:t>
      </w:r>
    </w:p>
    <w:p w:rsidR="003E022D" w:rsidRDefault="007D19D6">
      <w:pPr>
        <w:numPr>
          <w:ilvl w:val="0"/>
          <w:numId w:val="946"/>
        </w:numPr>
        <w:ind w:left="567" w:hanging="567"/>
        <w:rPr>
          <w:rFonts w:cstheme="minorHAnsi"/>
          <w:noProof/>
        </w:rPr>
      </w:pPr>
      <w:r>
        <w:rPr>
          <w:noProof/>
        </w:rPr>
        <w:t>dalības maksas summu, kas minēta šā nolīguma UNPRO.2.1. panta [Finansiālie nosacījumi] 4. punktā;</w:t>
      </w:r>
    </w:p>
    <w:p w:rsidR="003E022D" w:rsidRDefault="007D19D6">
      <w:pPr>
        <w:numPr>
          <w:ilvl w:val="0"/>
          <w:numId w:val="946"/>
        </w:numPr>
        <w:ind w:left="567" w:hanging="567"/>
        <w:rPr>
          <w:rFonts w:cstheme="minorHAnsi"/>
          <w:noProof/>
        </w:rPr>
      </w:pPr>
      <w:r>
        <w:rPr>
          <w:noProof/>
        </w:rPr>
        <w:t>sākot no šā nolīguma UNPRO 1.3. pantā [Dalības noteikšana] minētajā protokolā iekļaut</w:t>
      </w:r>
      <w:r>
        <w:rPr>
          <w:noProof/>
        </w:rPr>
        <w:t>as programmas īstenošanas n+1 gada, saistību apropriāciju īstenošanu, kas atbilst budžeta gadam n, un saistību atcelšanas līmenis;</w:t>
      </w:r>
    </w:p>
    <w:p w:rsidR="003E022D" w:rsidRDefault="007D19D6">
      <w:pPr>
        <w:numPr>
          <w:ilvl w:val="0"/>
          <w:numId w:val="946"/>
        </w:numPr>
        <w:ind w:left="567" w:hanging="567"/>
        <w:rPr>
          <w:rFonts w:cstheme="minorHAnsi"/>
          <w:noProof/>
        </w:rPr>
      </w:pPr>
      <w:r>
        <w:rPr>
          <w:noProof/>
        </w:rPr>
        <w:t>par programmām, uz kurām attiecas UNPRO.2.2. pants [Programmas, kurām piemēro automātisko korekcijas mehānismu], attiecībā uz</w:t>
      </w:r>
      <w:r>
        <w:rPr>
          <w:noProof/>
        </w:rPr>
        <w:t xml:space="preserve"> to programmu daļu, par kuru šī informācija ir vajadzīga, lai aprēķinātu automātisko korekciju, saistību līmeni, ko tā uzņēmusies par labu Apvienotās Karalistes subjektiem, iedalītu pēc budžeta apropriāciju attiecīgā gada, un attiecīgo kopējo saistību līme</w:t>
      </w:r>
      <w:r>
        <w:rPr>
          <w:noProof/>
        </w:rPr>
        <w:t>ni.</w:t>
      </w:r>
    </w:p>
    <w:p w:rsidR="003E022D" w:rsidRDefault="007D19D6">
      <w:pPr>
        <w:rPr>
          <w:rFonts w:cstheme="minorHAnsi"/>
          <w:noProof/>
        </w:rPr>
      </w:pPr>
      <w:r>
        <w:rPr>
          <w:noProof/>
        </w:rPr>
        <w:t>Pamatojoties uz budžeta projektu, Komisija sniedz a) un b) apakšpunktā paredzētās informācijas aplēsi, tiklīdz iespējams, bet ne vēlāk kā līdz finanšu gada 1. septembrim.</w:t>
      </w:r>
    </w:p>
    <w:p w:rsidR="003E022D" w:rsidRDefault="007D19D6">
      <w:pPr>
        <w:numPr>
          <w:ilvl w:val="0"/>
          <w:numId w:val="945"/>
        </w:numPr>
        <w:ind w:left="0" w:firstLine="0"/>
        <w:rPr>
          <w:rFonts w:cstheme="minorHAnsi"/>
          <w:noProof/>
        </w:rPr>
      </w:pPr>
      <w:r>
        <w:rPr>
          <w:noProof/>
        </w:rPr>
        <w:t xml:space="preserve">Komisija vēlākais katra finanšu gada 16. aprīlī un 16. jūlijā izdod Apvienotajai </w:t>
      </w:r>
      <w:r>
        <w:rPr>
          <w:noProof/>
        </w:rPr>
        <w:t>Karalistei uzaicinājumu veikt iemaksu, kas atbilst Apvienotās Karalistes ieguldījumam, kas noteikts šajā nolīgumā attiecībā uz katru programmu, darbību vai to daļu, kurā piedalās Apvienotā Karaliste.</w:t>
      </w:r>
    </w:p>
    <w:p w:rsidR="003E022D" w:rsidRDefault="007D19D6">
      <w:pPr>
        <w:numPr>
          <w:ilvl w:val="0"/>
          <w:numId w:val="945"/>
        </w:numPr>
        <w:ind w:left="0" w:firstLine="0"/>
        <w:rPr>
          <w:rFonts w:cstheme="minorHAnsi"/>
          <w:noProof/>
        </w:rPr>
      </w:pPr>
      <w:r>
        <w:rPr>
          <w:noProof/>
        </w:rPr>
        <w:t>Apvienotā Karaliste samaksā uzaicinājumā veikt iemaksu n</w:t>
      </w:r>
      <w:r>
        <w:rPr>
          <w:noProof/>
        </w:rPr>
        <w:t>orādīto summu ne vēlāk kā 60 dienu laikā pēc tam, kad ir izdots uzaicinājums veikt iemaksu. Apvienotā Karaliste var veikt atsevišķus maksājumus par katru programmu un darbību.</w:t>
      </w:r>
    </w:p>
    <w:p w:rsidR="003E022D" w:rsidRDefault="007D19D6">
      <w:pPr>
        <w:numPr>
          <w:ilvl w:val="0"/>
          <w:numId w:val="945"/>
        </w:numPr>
        <w:ind w:left="0" w:firstLine="0"/>
        <w:rPr>
          <w:rFonts w:cstheme="minorHAnsi"/>
          <w:noProof/>
        </w:rPr>
      </w:pPr>
      <w:r>
        <w:rPr>
          <w:noProof/>
        </w:rPr>
        <w:t>Atkāpjoties no 2. un 3. punkta, par 2021. gadu, kurā noslēgts šā nolīguma UNPRO.</w:t>
      </w:r>
      <w:r>
        <w:rPr>
          <w:noProof/>
        </w:rPr>
        <w:t xml:space="preserve">1.3. pantā [Dalības noteikšana] minētais protokols, Komisija uzaicinājumu veikt iemaksu izdod vēlākais 2021. gada 16. aprīlī, ja protokols ir parakstīts 2021. gada 31. martā vai pirms šā datuma, vai vēlākais tā mēneša 16. datumā, kas seko mēnesim, kurā ir </w:t>
      </w:r>
      <w:r>
        <w:rPr>
          <w:noProof/>
        </w:rPr>
        <w:t>parakstīts protokols, ja tas parakstīts pēc 2021. gada 31. marta. Ja šis uzaicinājums veikt iemaksu ir izdots pēc attiecīgā gada 16. jūlija, tad par šo gadu tiek izdots viens uzaicinājums veikt iemaksu. Apvienotā Karaliste samaksā uzaicinājumā veikt iemaks</w:t>
      </w:r>
      <w:r>
        <w:rPr>
          <w:noProof/>
        </w:rPr>
        <w:t>u norādīto summu ne vēlāk kā 60 dienu laikā pēc tam, kad ir izdots uzaicinājums veikt iemaksu. Apvienotā Karaliste var veikt atsevišķus maksājumus par katru programmu un darbību.</w:t>
      </w:r>
    </w:p>
    <w:p w:rsidR="003E022D" w:rsidRDefault="007D19D6">
      <w:pPr>
        <w:numPr>
          <w:ilvl w:val="0"/>
          <w:numId w:val="945"/>
        </w:numPr>
        <w:ind w:left="0" w:firstLine="0"/>
        <w:rPr>
          <w:rFonts w:cstheme="minorHAnsi"/>
          <w:noProof/>
        </w:rPr>
      </w:pPr>
      <w:r>
        <w:rPr>
          <w:noProof/>
        </w:rPr>
        <w:t>Uzaicinājumā veikt iemaksu par attiecīgo gadu tiek norādīta vērtība, kas iegū</w:t>
      </w:r>
      <w:r>
        <w:rPr>
          <w:noProof/>
        </w:rPr>
        <w:t>ta, gada summu, kura aprēķināta, piemērojot šā nolīguma UNPRO.2.1. pantu [Finansiālie nosacījumi], ietverot visas šā nolīguma UNPRO.2.1. panta [Finansiālie nosacījumi] 8. punktā, UNPRO.2.2. pantā [Programmas, kurām piemēro automātisko korekcijas mehānismu]</w:t>
      </w:r>
      <w:r>
        <w:rPr>
          <w:noProof/>
        </w:rPr>
        <w:t xml:space="preserve"> vai UNPRO.2.3. pantā [Finansējums saistībā ar programmām, ko īsteno, izmantojot finanšu instrumentus vai budžeta garantijas] noteiktās korekcijas, dalot ar minētajā gadā izdoto uzaicinājumu veikt iemaksu skaitu, kas noteikts saskaņā ar šā pielikuma  2. un</w:t>
      </w:r>
      <w:r>
        <w:rPr>
          <w:noProof/>
        </w:rPr>
        <w:t xml:space="preserve"> 4. punktu.</w:t>
      </w:r>
    </w:p>
    <w:p w:rsidR="003E022D" w:rsidRDefault="007D19D6">
      <w:pPr>
        <w:numPr>
          <w:ilvl w:val="0"/>
          <w:numId w:val="945"/>
        </w:numPr>
        <w:ind w:left="0" w:firstLine="0"/>
        <w:rPr>
          <w:rFonts w:cstheme="minorHAnsi"/>
          <w:noProof/>
        </w:rPr>
      </w:pPr>
      <w:r>
        <w:rPr>
          <w:noProof/>
        </w:rPr>
        <w:t xml:space="preserve">Atkāpjoties no 5. punkta, attiecībā uz ieguldījumu pamatprogrammā “Apvārsnis Eiropa” 2021.–2027. gada daudzgadu finanšu shēmā, uzaicinājumam veikt iemaksu konkrētajam N gadam ir vērtība, kāda noteikta, dalot: </w:t>
      </w:r>
    </w:p>
    <w:p w:rsidR="003E022D" w:rsidRDefault="007D19D6">
      <w:pPr>
        <w:numPr>
          <w:ilvl w:val="1"/>
          <w:numId w:val="945"/>
        </w:numPr>
        <w:ind w:left="567" w:hanging="567"/>
        <w:rPr>
          <w:rFonts w:cstheme="minorHAnsi"/>
          <w:noProof/>
        </w:rPr>
      </w:pPr>
      <w:r>
        <w:rPr>
          <w:noProof/>
        </w:rPr>
        <w:t>aprēķināto gada summu,</w:t>
      </w:r>
    </w:p>
    <w:p w:rsidR="003E022D" w:rsidRDefault="007D19D6">
      <w:pPr>
        <w:numPr>
          <w:ilvl w:val="2"/>
          <w:numId w:val="945"/>
        </w:numPr>
        <w:ind w:left="1134" w:hanging="567"/>
        <w:rPr>
          <w:rFonts w:cstheme="minorHAnsi"/>
          <w:noProof/>
        </w:rPr>
      </w:pPr>
      <w:r>
        <w:rPr>
          <w:noProof/>
        </w:rPr>
        <w:t xml:space="preserve">piemērojot </w:t>
      </w:r>
      <w:r>
        <w:rPr>
          <w:noProof/>
        </w:rPr>
        <w:t>šādu maksājumu grafiku maksājumiem, ja N gads ir:</w:t>
      </w:r>
    </w:p>
    <w:p w:rsidR="003E022D" w:rsidRDefault="007D19D6">
      <w:pPr>
        <w:ind w:left="1134"/>
        <w:rPr>
          <w:rFonts w:cstheme="minorHAnsi"/>
          <w:noProof/>
        </w:rPr>
      </w:pPr>
      <w:r>
        <w:rPr>
          <w:noProof/>
        </w:rPr>
        <w:t>-2021.: 50 %, ko maksā 2021. gadā, 50 %, ko maksā 2026. gadā</w:t>
      </w:r>
    </w:p>
    <w:p w:rsidR="003E022D" w:rsidRDefault="007D19D6">
      <w:pPr>
        <w:ind w:left="1134"/>
        <w:rPr>
          <w:rFonts w:cstheme="minorHAnsi"/>
          <w:noProof/>
        </w:rPr>
      </w:pPr>
      <w:r>
        <w:rPr>
          <w:noProof/>
        </w:rPr>
        <w:t>-2022.: 50 %, ko maksā 2022. gadā, 50 %, ko maksā 2027. gadā,</w:t>
      </w:r>
    </w:p>
    <w:p w:rsidR="003E022D" w:rsidRDefault="007D19D6">
      <w:pPr>
        <w:numPr>
          <w:ilvl w:val="2"/>
          <w:numId w:val="945"/>
        </w:numPr>
        <w:ind w:left="1134" w:hanging="567"/>
        <w:rPr>
          <w:rFonts w:cstheme="minorHAnsi"/>
          <w:noProof/>
        </w:rPr>
      </w:pPr>
      <w:r>
        <w:rPr>
          <w:noProof/>
        </w:rPr>
        <w:t>summai, ko iegūst, piemērojot šā nolīguma UNPRO.2.1. pantu [Finansiālie nosacījumi]</w:t>
      </w:r>
      <w:r>
        <w:rPr>
          <w:noProof/>
        </w:rPr>
        <w:t xml:space="preserve"> un UNPRO.2.2. pantu [Programmas, kurām piemēro automātisko korekcijas mehānismu], ieskaitot visas korekcijas, kas veiktas saskaņā ar UNPRO.2.1. panta [Finansiālie nosacījumi] 8. punktu vai UNPRO.2.2. pantu [Programmas, kurām piemēro automātisko korekcijas</w:t>
      </w:r>
      <w:r>
        <w:rPr>
          <w:noProof/>
        </w:rPr>
        <w:t xml:space="preserve"> mehānismu] par N gadu,</w:t>
      </w:r>
    </w:p>
    <w:p w:rsidR="003E022D" w:rsidRDefault="007D19D6">
      <w:pPr>
        <w:numPr>
          <w:ilvl w:val="1"/>
          <w:numId w:val="945"/>
        </w:numPr>
        <w:ind w:left="567" w:hanging="567"/>
        <w:rPr>
          <w:rFonts w:cstheme="minorHAnsi"/>
          <w:noProof/>
        </w:rPr>
      </w:pPr>
      <w:r>
        <w:rPr>
          <w:noProof/>
        </w:rPr>
        <w:t>ar uzaicinājumu veikt iemaksu par N gadu skaitu saskaņā ar 2. un 4. punktu.</w:t>
      </w:r>
    </w:p>
    <w:p w:rsidR="003E022D" w:rsidRDefault="007D19D6">
      <w:pPr>
        <w:rPr>
          <w:rFonts w:cstheme="minorHAnsi"/>
          <w:noProof/>
        </w:rPr>
      </w:pPr>
      <w:r>
        <w:rPr>
          <w:noProof/>
        </w:rPr>
        <w:t>Šā punkta piemērošana neietekmē automātiskās korekcijas aprēķinu saskaņā ar UNPRO.2.2. pantu [Programmas, kurām piemēro automātisko korekcijas mehānismu] un</w:t>
      </w:r>
      <w:r>
        <w:rPr>
          <w:noProof/>
        </w:rPr>
        <w:t xml:space="preserve"> UNPRO.3.4. pantu [Darbības rezultātu izvērtēšana]. </w:t>
      </w:r>
    </w:p>
    <w:p w:rsidR="003E022D" w:rsidRDefault="007D19D6">
      <w:pPr>
        <w:rPr>
          <w:noProof/>
        </w:rPr>
      </w:pPr>
      <w:r>
        <w:rPr>
          <w:noProof/>
        </w:rPr>
        <w:t>Visos pārējo ar nolīguma V daļu saistīto summu aprēķinos Apvienotās Karalistes gada iemaksās ņem vērā šo punktu.</w:t>
      </w:r>
    </w:p>
    <w:p w:rsidR="003E022D" w:rsidRDefault="007D19D6">
      <w:pPr>
        <w:numPr>
          <w:ilvl w:val="0"/>
          <w:numId w:val="945"/>
        </w:numPr>
        <w:ind w:left="0" w:firstLine="0"/>
        <w:rPr>
          <w:rFonts w:cstheme="minorHAnsi"/>
          <w:noProof/>
        </w:rPr>
      </w:pPr>
      <w:r>
        <w:rPr>
          <w:noProof/>
        </w:rPr>
        <w:t>Ja Apvienotās Karalistes dalība tiek izbeigta saskaņā ar UNPRO.3.2. pantu [Apvienotās Kara</w:t>
      </w:r>
      <w:r>
        <w:rPr>
          <w:noProof/>
        </w:rPr>
        <w:t>listes dalības Savienības programmā izbeigšana, ko veic Eiropas Savienība] vai UNPRO.3.3. pantu [Dalības izbeigšana programmā būtisku Savienības programmas grozījumu gadījumā] kļūst veicami visi maksājumi, kas saistīti ar periodu pirms dalības izbeigšanas,</w:t>
      </w:r>
      <w:r>
        <w:rPr>
          <w:noProof/>
        </w:rPr>
        <w:t xml:space="preserve"> kura atlikta saskaņā ar šā pielikuma 6. punktu. Komisija izsludina uzaicinājumu veikt iemaksu attiecībā uz maksājamo summu ne vēlāk kā vienu mēnesi pēc izbeigšanas. Apvienotā Karaliste maksājamo summu samaksā 60 dienu laikā no dienas, kad izdots uzaicināj</w:t>
      </w:r>
      <w:r>
        <w:rPr>
          <w:noProof/>
        </w:rPr>
        <w:t xml:space="preserve">ums veikt iemaksu. </w:t>
      </w:r>
    </w:p>
    <w:p w:rsidR="003E022D" w:rsidRDefault="007D19D6">
      <w:pPr>
        <w:numPr>
          <w:ilvl w:val="0"/>
          <w:numId w:val="945"/>
        </w:numPr>
        <w:ind w:left="0" w:firstLine="0"/>
        <w:rPr>
          <w:rFonts w:cstheme="minorHAnsi"/>
          <w:noProof/>
        </w:rPr>
      </w:pPr>
      <w:r>
        <w:rPr>
          <w:noProof/>
        </w:rPr>
        <w:t>Uz apropriāciju pārvaldību attiecas Eiropas Parlamenta un Padomes Regula (ES, Euratom) 2018/1046</w:t>
      </w:r>
      <w:r>
        <w:rPr>
          <w:noProof/>
          <w:vertAlign w:val="superscript"/>
        </w:rPr>
        <w:footnoteReference w:id="146"/>
      </w:r>
      <w:r>
        <w:rPr>
          <w:noProof/>
        </w:rPr>
        <w:t xml:space="preserve"> (“Finanšu regula”), kas piemērojama Eiropas Savienības vispārējam budžetam.</w:t>
      </w:r>
    </w:p>
    <w:p w:rsidR="003E022D" w:rsidRDefault="007D19D6">
      <w:pPr>
        <w:numPr>
          <w:ilvl w:val="0"/>
          <w:numId w:val="945"/>
        </w:numPr>
        <w:ind w:left="0" w:firstLine="0"/>
        <w:rPr>
          <w:rFonts w:cstheme="minorHAnsi"/>
          <w:noProof/>
        </w:rPr>
      </w:pPr>
      <w:r>
        <w:rPr>
          <w:noProof/>
        </w:rPr>
        <w:t>Ja Apvienotā Karaliste neveic maksājumu noteiktajā termiņā, Ko</w:t>
      </w:r>
      <w:r>
        <w:rPr>
          <w:noProof/>
        </w:rPr>
        <w:t xml:space="preserve">misija nosūta oficiālu atgādinājuma vēstuli. </w:t>
      </w:r>
    </w:p>
    <w:p w:rsidR="003E022D" w:rsidRDefault="007D19D6">
      <w:pPr>
        <w:rPr>
          <w:rFonts w:cstheme="minorHAnsi"/>
          <w:noProof/>
        </w:rPr>
      </w:pPr>
      <w:r>
        <w:rPr>
          <w:noProof/>
        </w:rPr>
        <w:t>Par ikvienu ieguldījuma maksājuma kavējumu Apvienotā Karaliste maksā nokavējuma procentus attiecībā uz nesamaksāto summu no maksājuma termiņa dienas līdz dienai, kurā minētā nesamaksātā summa ir samaksāta pilnā</w:t>
      </w:r>
      <w:r>
        <w:rPr>
          <w:noProof/>
        </w:rPr>
        <w:t xml:space="preserve"> apmērā.</w:t>
      </w:r>
    </w:p>
    <w:p w:rsidR="003E022D" w:rsidRDefault="007D19D6">
      <w:pPr>
        <w:rPr>
          <w:rFonts w:cstheme="minorHAnsi"/>
          <w:noProof/>
        </w:rPr>
      </w:pPr>
      <w:r>
        <w:rPr>
          <w:noProof/>
        </w:rPr>
        <w:t>Procentu likme par debitoru parādiem, kas nav samaksāti termiņā, ir likme, ko savām kapitāla refinansēšanas operācijām piemēro Eiropas Centrālā banka, kas publicēta</w:t>
      </w:r>
      <w:r>
        <w:rPr>
          <w:i/>
          <w:noProof/>
        </w:rPr>
        <w:t xml:space="preserve"> Eiropas Savienības Oficiālā Vēstneša</w:t>
      </w:r>
      <w:r>
        <w:rPr>
          <w:noProof/>
        </w:rPr>
        <w:t xml:space="preserve"> C sērijā un kas ir spēkā tā mēneša pirmajā di</w:t>
      </w:r>
      <w:r>
        <w:rPr>
          <w:noProof/>
        </w:rPr>
        <w:t xml:space="preserve">enā, kurā ir maksāšanas termiņš, vai 0 procenti, atkarībā no tā, kura ir lielāka, un kam ir pieskaitīti trīs ar pusi procentpunkti. </w:t>
      </w:r>
    </w:p>
    <w:p w:rsidR="003E022D" w:rsidRDefault="003E022D">
      <w:pPr>
        <w:rPr>
          <w:rFonts w:cstheme="minorHAnsi"/>
          <w:noProof/>
        </w:rPr>
      </w:pPr>
    </w:p>
    <w:p w:rsidR="003E022D" w:rsidRDefault="003E022D">
      <w:pPr>
        <w:rPr>
          <w:noProof/>
        </w:rPr>
      </w:pPr>
    </w:p>
    <w:p w:rsidR="003E022D" w:rsidRDefault="007D19D6">
      <w:pPr>
        <w:rPr>
          <w:rFonts w:eastAsia="Century" w:cstheme="minorHAnsi"/>
          <w:i/>
          <w:noProof/>
        </w:rPr>
      </w:pPr>
      <w:r>
        <w:rPr>
          <w:noProof/>
        </w:rPr>
        <w:br w:type="page"/>
      </w:r>
    </w:p>
    <w:p w:rsidR="003E022D" w:rsidRDefault="007D19D6">
      <w:pPr>
        <w:pStyle w:val="ANNEX"/>
        <w:rPr>
          <w:rFonts w:cstheme="minorHAnsi"/>
          <w:noProof/>
        </w:rPr>
      </w:pPr>
      <w:hyperlink w:anchor="_Toc35449718" w:history="1">
        <w:bookmarkStart w:id="1406" w:name="_Toc59988430"/>
        <w:bookmarkStart w:id="1407" w:name="_Toc59645289"/>
        <w:r>
          <w:rPr>
            <w:noProof/>
          </w:rPr>
          <w:t xml:space="preserve">INST PIELIKUMS. </w:t>
        </w:r>
      </w:hyperlink>
      <w:r>
        <w:rPr>
          <w:noProof/>
        </w:rPr>
        <w:t xml:space="preserve">STRĪDU IZŠĶIRŠANAS </w:t>
      </w:r>
      <w:hyperlink w:anchor="_Toc35449718" w:history="1">
        <w:r>
          <w:rPr>
            <w:noProof/>
          </w:rPr>
          <w:t>REGLAMENTS</w:t>
        </w:r>
        <w:bookmarkEnd w:id="1406"/>
      </w:hyperlink>
      <w:bookmarkEnd w:id="1407"/>
    </w:p>
    <w:p w:rsidR="003E022D" w:rsidRDefault="007D19D6">
      <w:pPr>
        <w:jc w:val="center"/>
        <w:rPr>
          <w:b/>
          <w:noProof/>
        </w:rPr>
      </w:pPr>
      <w:r>
        <w:rPr>
          <w:b/>
          <w:noProof/>
        </w:rPr>
        <w:t>I.</w:t>
      </w:r>
      <w:r>
        <w:rPr>
          <w:noProof/>
        </w:rPr>
        <w:tab/>
      </w:r>
      <w:r>
        <w:rPr>
          <w:b/>
          <w:noProof/>
        </w:rPr>
        <w:t>Definī</w:t>
      </w:r>
      <w:r>
        <w:rPr>
          <w:b/>
          <w:noProof/>
        </w:rPr>
        <w:t>cijas</w:t>
      </w:r>
    </w:p>
    <w:p w:rsidR="003E022D" w:rsidRDefault="007D19D6">
      <w:pPr>
        <w:pBdr>
          <w:top w:val="nil"/>
          <w:left w:val="nil"/>
          <w:bottom w:val="nil"/>
          <w:right w:val="nil"/>
          <w:between w:val="nil"/>
        </w:pBdr>
        <w:spacing w:before="120" w:after="120"/>
        <w:rPr>
          <w:noProof/>
          <w:color w:val="000000"/>
        </w:rPr>
      </w:pPr>
      <w:r>
        <w:rPr>
          <w:noProof/>
          <w:color w:val="000000"/>
        </w:rPr>
        <w:t>1.</w:t>
      </w:r>
      <w:r>
        <w:rPr>
          <w:noProof/>
        </w:rPr>
        <w:tab/>
        <w:t xml:space="preserve">Šā nolīguma </w:t>
      </w:r>
      <w:r>
        <w:rPr>
          <w:rFonts w:asciiTheme="majorHAnsi" w:hAnsiTheme="majorHAnsi"/>
          <w:noProof/>
        </w:rPr>
        <w:t>sestās daļas I sadaļā [Strīdu izšķiršana] un šajā reglamentā</w:t>
      </w:r>
      <w:r>
        <w:rPr>
          <w:rFonts w:asciiTheme="majorHAnsi" w:hAnsiTheme="majorHAnsi"/>
          <w:noProof/>
          <w:color w:val="000000"/>
        </w:rPr>
        <w:t xml:space="preserve"> piemēro šādas </w:t>
      </w:r>
      <w:r>
        <w:rPr>
          <w:noProof/>
          <w:color w:val="000000"/>
        </w:rPr>
        <w:t>definīcijas:</w:t>
      </w:r>
    </w:p>
    <w:p w:rsidR="003E022D" w:rsidRDefault="007D19D6">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“administratīvie darbinieki” attiecībā uz šķīrējtiesnesi ir personas, kas strādā šķīrējtiesneša vadībā un pakļautībā, izņemot palīgus;</w:t>
      </w:r>
    </w:p>
    <w:p w:rsidR="003E022D" w:rsidRDefault="007D19D6">
      <w:pPr>
        <w:pStyle w:val="ListParagraph"/>
        <w:numPr>
          <w:ilvl w:val="0"/>
          <w:numId w:val="985"/>
        </w:numPr>
        <w:ind w:left="567" w:hanging="567"/>
        <w:contextualSpacing w:val="0"/>
        <w:rPr>
          <w:noProof/>
        </w:rPr>
      </w:pPr>
      <w:r>
        <w:rPr>
          <w:noProof/>
        </w:rPr>
        <w:t>“padomnieks”</w:t>
      </w:r>
      <w:r>
        <w:rPr>
          <w:noProof/>
        </w:rPr>
        <w:t xml:space="preserve"> ir persona, kuru viena no Pusēm piesaistījusi, lai tā minēto Pusi konsultētu vai tai palīdzētu saistībā ar šķīrējtiesas procesu;</w:t>
      </w:r>
    </w:p>
    <w:p w:rsidR="003E022D" w:rsidRDefault="007D19D6">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“šķīrējtiesa” ir tiesa, kas izveidota saskaņā ar šā nolīguma sestās daļas I sadaļas [Strīdu izšķiršana] INST.15. pantu </w:t>
      </w:r>
      <w:r>
        <w:rPr>
          <w:rFonts w:asciiTheme="majorHAnsi" w:hAnsiTheme="majorHAnsi"/>
          <w:noProof/>
        </w:rPr>
        <w:t>[Šķīrējtiesas izveide];</w:t>
      </w:r>
    </w:p>
    <w:p w:rsidR="003E022D" w:rsidRDefault="007D19D6">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“šķīrējtiesnesis” ir šķīrējtiesas loceklis; </w:t>
      </w:r>
    </w:p>
    <w:p w:rsidR="003E022D" w:rsidRDefault="007D19D6">
      <w:pPr>
        <w:pStyle w:val="ListParagraph"/>
        <w:numPr>
          <w:ilvl w:val="0"/>
          <w:numId w:val="985"/>
        </w:numPr>
        <w:ind w:left="567" w:hanging="567"/>
        <w:contextualSpacing w:val="0"/>
        <w:rPr>
          <w:rFonts w:asciiTheme="majorHAnsi" w:hAnsiTheme="majorHAnsi" w:cstheme="majorHAnsi"/>
          <w:noProof/>
        </w:rPr>
      </w:pPr>
      <w:r>
        <w:rPr>
          <w:noProof/>
        </w:rPr>
        <w:t>“palīgs” ir persona, kas saskaņā ar iecelšanas noteikumiem šķīrējtiesneša vadībā un pakļautībā veic izpēti vai palīdz minētajam šķīrējtiesnesim;</w:t>
      </w:r>
    </w:p>
    <w:p w:rsidR="003E022D" w:rsidRDefault="007D19D6">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“prasītāja Puse” ir jebkura Puse, kas piep</w:t>
      </w:r>
      <w:r>
        <w:rPr>
          <w:rFonts w:asciiTheme="majorHAnsi" w:hAnsiTheme="majorHAnsi"/>
          <w:noProof/>
        </w:rPr>
        <w:t>rasa izveidot šķīrējtiesu saskaņā ar šā nolīguma sestās daļas I sadaļas INST.14. pantu [Šķīrējtiesas procedūra];</w:t>
      </w:r>
    </w:p>
    <w:p w:rsidR="003E022D" w:rsidRDefault="007D19D6">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 “reģistrs” ir tāda ārēja struktūra ar attiecīgu zinātību, kuru Puses iecēlušas administratīva atbalsta sniegšanai procesa gaitā;</w:t>
      </w:r>
    </w:p>
    <w:p w:rsidR="003E022D" w:rsidRDefault="007D19D6">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“atbildētāja </w:t>
      </w:r>
      <w:r>
        <w:rPr>
          <w:rFonts w:asciiTheme="majorHAnsi" w:hAnsiTheme="majorHAnsi"/>
          <w:noProof/>
        </w:rPr>
        <w:t>Puse” ir Puse, par kuru tiek apgalvots, ka tā pārkāpj aptvertos noteikumus; un</w:t>
      </w:r>
    </w:p>
    <w:p w:rsidR="003E022D" w:rsidRDefault="007D19D6">
      <w:pPr>
        <w:pStyle w:val="ListParagraph"/>
        <w:numPr>
          <w:ilvl w:val="0"/>
          <w:numId w:val="985"/>
        </w:numPr>
        <w:ind w:left="567" w:hanging="567"/>
        <w:contextualSpacing w:val="0"/>
        <w:rPr>
          <w:noProof/>
          <w:color w:val="000000"/>
        </w:rPr>
      </w:pPr>
      <w:r>
        <w:rPr>
          <w:noProof/>
        </w:rPr>
        <w:t>“Puses pārstāvis” ir Puses valsts pārvaldes iestādes, aģentūras vai cita publisko tiesību subjekta nodarbināta vai iecelta persona, kas Pusi pārstāv strīdā par kādu no šā nolīgu</w:t>
      </w:r>
      <w:r>
        <w:rPr>
          <w:noProof/>
        </w:rPr>
        <w:t>ma vai jebkura papildinoša nolīguma noteikumiem.</w:t>
      </w:r>
      <w:r>
        <w:rPr>
          <w:noProof/>
          <w:color w:val="000000"/>
        </w:rPr>
        <w:t xml:space="preserve"> </w:t>
      </w:r>
    </w:p>
    <w:p w:rsidR="003E022D" w:rsidRDefault="007D19D6">
      <w:pPr>
        <w:jc w:val="center"/>
        <w:rPr>
          <w:b/>
          <w:noProof/>
        </w:rPr>
      </w:pPr>
      <w:r>
        <w:rPr>
          <w:b/>
          <w:noProof/>
        </w:rPr>
        <w:t xml:space="preserve">II. </w:t>
      </w:r>
      <w:r>
        <w:rPr>
          <w:noProof/>
        </w:rPr>
        <w:tab/>
      </w:r>
      <w:r>
        <w:rPr>
          <w:b/>
          <w:noProof/>
        </w:rPr>
        <w:t>Paziņojumi</w:t>
      </w:r>
    </w:p>
    <w:p w:rsidR="003E022D" w:rsidRDefault="007D19D6">
      <w:pPr>
        <w:pBdr>
          <w:top w:val="nil"/>
          <w:left w:val="nil"/>
          <w:bottom w:val="nil"/>
          <w:right w:val="nil"/>
          <w:between w:val="nil"/>
        </w:pBdr>
        <w:spacing w:before="120" w:after="120"/>
        <w:rPr>
          <w:noProof/>
          <w:color w:val="000000"/>
        </w:rPr>
      </w:pPr>
      <w:r>
        <w:rPr>
          <w:noProof/>
          <w:color w:val="000000"/>
        </w:rPr>
        <w:t>2.</w:t>
      </w:r>
      <w:r>
        <w:rPr>
          <w:noProof/>
        </w:rPr>
        <w:tab/>
      </w:r>
      <w:r>
        <w:rPr>
          <w:noProof/>
          <w:color w:val="000000"/>
        </w:rPr>
        <w:t>Ikvienu lūgumu, pieprasījumu, paziņojumu, rakstisku izklāstu vai citu dokumentu:</w:t>
      </w:r>
    </w:p>
    <w:p w:rsidR="003E022D" w:rsidRDefault="007D19D6">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kas saņemts no šķīrējtiesas, vienlaikus nosūta abām Pusēm;</w:t>
      </w:r>
    </w:p>
    <w:p w:rsidR="003E022D" w:rsidRDefault="007D19D6">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 xml:space="preserve">ko viena Puse adresējusi šķīrējtiesai, </w:t>
      </w:r>
      <w:r>
        <w:rPr>
          <w:rFonts w:asciiTheme="majorHAnsi" w:hAnsiTheme="majorHAnsi"/>
          <w:noProof/>
        </w:rPr>
        <w:t>vienlaikus kā kopiju nosūta arī otrai Pusei; un</w:t>
      </w:r>
    </w:p>
    <w:p w:rsidR="003E022D" w:rsidRDefault="007D19D6">
      <w:pPr>
        <w:pStyle w:val="ListParagraph"/>
        <w:numPr>
          <w:ilvl w:val="0"/>
          <w:numId w:val="986"/>
        </w:numPr>
        <w:ind w:left="567" w:hanging="567"/>
        <w:contextualSpacing w:val="0"/>
        <w:rPr>
          <w:noProof/>
          <w:color w:val="000000"/>
        </w:rPr>
      </w:pPr>
      <w:r>
        <w:rPr>
          <w:noProof/>
        </w:rPr>
        <w:t>ko viena Puse adresējusi otrai Pusei, attiecīgā gadījumā vienlaikus kā kopiju nosūta arī šķīrējtiesai.</w:t>
      </w:r>
    </w:p>
    <w:p w:rsidR="003E022D" w:rsidRDefault="007D19D6">
      <w:pPr>
        <w:pBdr>
          <w:top w:val="nil"/>
          <w:left w:val="nil"/>
          <w:bottom w:val="nil"/>
          <w:right w:val="nil"/>
          <w:between w:val="nil"/>
        </w:pBdr>
        <w:spacing w:before="120" w:after="120"/>
        <w:rPr>
          <w:noProof/>
          <w:color w:val="000000"/>
        </w:rPr>
      </w:pPr>
      <w:r>
        <w:rPr>
          <w:noProof/>
          <w:color w:val="000000"/>
        </w:rPr>
        <w:t>3.</w:t>
      </w:r>
      <w:r>
        <w:rPr>
          <w:noProof/>
        </w:rPr>
        <w:tab/>
      </w:r>
      <w:r>
        <w:rPr>
          <w:noProof/>
          <w:color w:val="000000"/>
        </w:rPr>
        <w:t>Visus 2. punktā minētos paziņojumus nosūta, izmantojot e-pastu vai attiecīgā gadījumā citus telesakaru</w:t>
      </w:r>
      <w:r>
        <w:rPr>
          <w:noProof/>
          <w:color w:val="000000"/>
        </w:rPr>
        <w:t xml:space="preserve"> līdzekļus, kas reģistrē nosūtīšanu. Ja vien netiek pierādīts kas cits, šāds paziņojums ir uzskatāms par nogādātu tā nosūtīšanas dienā.</w:t>
      </w:r>
    </w:p>
    <w:p w:rsidR="003E022D" w:rsidRDefault="007D19D6">
      <w:pPr>
        <w:pBdr>
          <w:top w:val="nil"/>
          <w:left w:val="nil"/>
          <w:bottom w:val="nil"/>
          <w:right w:val="nil"/>
          <w:between w:val="nil"/>
        </w:pBdr>
        <w:spacing w:before="120" w:after="120"/>
        <w:rPr>
          <w:noProof/>
          <w:color w:val="000000"/>
        </w:rPr>
      </w:pPr>
      <w:r>
        <w:rPr>
          <w:noProof/>
          <w:color w:val="000000"/>
        </w:rPr>
        <w:t>4.</w:t>
      </w:r>
      <w:r>
        <w:rPr>
          <w:noProof/>
        </w:rPr>
        <w:tab/>
      </w:r>
      <w:r>
        <w:rPr>
          <w:noProof/>
          <w:color w:val="000000"/>
        </w:rPr>
        <w:t>Visus paziņojumus adresē Eiropas Komisijas Juridiskajam dienestam un attiecīgi Apvienotās Karalistes Ārlietu un Sadra</w:t>
      </w:r>
      <w:r>
        <w:rPr>
          <w:noProof/>
          <w:color w:val="000000"/>
        </w:rPr>
        <w:t>udzības lietu un attīstības ministrijas juridiskajam padomniekam.</w:t>
      </w:r>
    </w:p>
    <w:p w:rsidR="003E022D" w:rsidRDefault="007D19D6">
      <w:pPr>
        <w:pBdr>
          <w:top w:val="nil"/>
          <w:left w:val="nil"/>
          <w:bottom w:val="nil"/>
          <w:right w:val="nil"/>
          <w:between w:val="nil"/>
        </w:pBdr>
        <w:spacing w:before="120" w:after="120"/>
        <w:rPr>
          <w:noProof/>
          <w:color w:val="000000"/>
        </w:rPr>
      </w:pPr>
      <w:r>
        <w:rPr>
          <w:noProof/>
          <w:color w:val="000000"/>
        </w:rPr>
        <w:t>5.</w:t>
      </w:r>
      <w:r>
        <w:rPr>
          <w:noProof/>
        </w:rPr>
        <w:tab/>
      </w:r>
      <w:r>
        <w:rPr>
          <w:noProof/>
          <w:color w:val="000000"/>
        </w:rPr>
        <w:t>Sīkas pārrakstīšanās kļūdas pieprasījumos, paziņojumos, rakstiskos izklāstos vai citos dokumentos, kas attiecas uz šķīrējtiesas procesu, var izlabot, nogādājot jaunu dokumentu, kurā skaid</w:t>
      </w:r>
      <w:r>
        <w:rPr>
          <w:noProof/>
          <w:color w:val="000000"/>
        </w:rPr>
        <w:t xml:space="preserve">ri norādītas izmaiņas. </w:t>
      </w:r>
    </w:p>
    <w:p w:rsidR="003E022D" w:rsidRDefault="007D19D6">
      <w:pPr>
        <w:pBdr>
          <w:top w:val="nil"/>
          <w:left w:val="nil"/>
          <w:bottom w:val="nil"/>
          <w:right w:val="nil"/>
          <w:between w:val="nil"/>
        </w:pBdr>
        <w:spacing w:before="120" w:after="120"/>
        <w:rPr>
          <w:noProof/>
          <w:color w:val="000000"/>
        </w:rPr>
      </w:pPr>
      <w:r>
        <w:rPr>
          <w:noProof/>
          <w:color w:val="000000"/>
        </w:rPr>
        <w:t>6.</w:t>
      </w:r>
      <w:r>
        <w:rPr>
          <w:noProof/>
        </w:rPr>
        <w:tab/>
      </w:r>
      <w:r>
        <w:rPr>
          <w:noProof/>
          <w:color w:val="000000"/>
        </w:rPr>
        <w:t>Ja dokumenta iesniegšanas pēdējā diena ir Savienības iestāžu vai Apvienotās Karalistes valdības brīvdiena, dokumenta iesniegšanas termiņš beidzas nākamajā darbdienā.</w:t>
      </w:r>
    </w:p>
    <w:p w:rsidR="003E022D" w:rsidRDefault="007D19D6">
      <w:pPr>
        <w:jc w:val="center"/>
        <w:rPr>
          <w:b/>
          <w:noProof/>
        </w:rPr>
      </w:pPr>
      <w:r>
        <w:rPr>
          <w:b/>
          <w:noProof/>
        </w:rPr>
        <w:t xml:space="preserve">III. </w:t>
      </w:r>
      <w:r>
        <w:rPr>
          <w:noProof/>
        </w:rPr>
        <w:tab/>
      </w:r>
      <w:r>
        <w:rPr>
          <w:b/>
          <w:noProof/>
        </w:rPr>
        <w:t>Šķīrējtiesnešu iecelšana</w:t>
      </w:r>
    </w:p>
    <w:p w:rsidR="003E022D" w:rsidRDefault="007D19D6">
      <w:pPr>
        <w:pBdr>
          <w:top w:val="nil"/>
          <w:left w:val="nil"/>
          <w:bottom w:val="nil"/>
          <w:right w:val="nil"/>
          <w:between w:val="nil"/>
        </w:pBdr>
        <w:spacing w:before="120" w:after="120"/>
        <w:rPr>
          <w:noProof/>
          <w:color w:val="000000"/>
        </w:rPr>
      </w:pPr>
      <w:r>
        <w:rPr>
          <w:noProof/>
          <w:color w:val="000000"/>
        </w:rPr>
        <w:t>7.</w:t>
      </w:r>
      <w:r>
        <w:rPr>
          <w:noProof/>
        </w:rPr>
        <w:tab/>
        <w:t xml:space="preserve">Ja saskaņā ar </w:t>
      </w:r>
      <w:r>
        <w:rPr>
          <w:rFonts w:asciiTheme="majorHAnsi" w:hAnsiTheme="majorHAnsi"/>
          <w:noProof/>
          <w:color w:val="000000"/>
        </w:rPr>
        <w:t>šā nolīguma ses</w:t>
      </w:r>
      <w:r>
        <w:rPr>
          <w:rFonts w:asciiTheme="majorHAnsi" w:hAnsiTheme="majorHAnsi"/>
          <w:noProof/>
          <w:color w:val="000000"/>
        </w:rPr>
        <w:t>tās daļas I sadaļas [Strīdu izšķiršana] INST.15. pantu (Šķīrējtiesas izveide)</w:t>
      </w:r>
      <w:r>
        <w:rPr>
          <w:noProof/>
        </w:rPr>
        <w:t xml:space="preserve"> šķīrējtiesnesi izvēlas lozējot, tad Partnerības padomes līdzpriekšsēdētājs no prasītājas Puses nekavējoties informē līdzpriekšsēdētāju no atbildētājas Puses par izlozes datumu, l</w:t>
      </w:r>
      <w:r>
        <w:rPr>
          <w:noProof/>
        </w:rPr>
        <w:t>aiku un vietu. Ja atbildētāja Puse vēlas, tā var būt klāt izlozē. Katrā ziņā izloze norisinās, klātesot Pusei vai Pusēm, kas ir ieradušās.</w:t>
      </w:r>
    </w:p>
    <w:p w:rsidR="003E022D" w:rsidRDefault="007D19D6">
      <w:pPr>
        <w:pBdr>
          <w:top w:val="nil"/>
          <w:left w:val="nil"/>
          <w:bottom w:val="nil"/>
          <w:right w:val="nil"/>
          <w:between w:val="nil"/>
        </w:pBdr>
        <w:spacing w:before="120" w:after="120"/>
        <w:rPr>
          <w:noProof/>
          <w:color w:val="000000"/>
        </w:rPr>
      </w:pPr>
      <w:r>
        <w:rPr>
          <w:noProof/>
          <w:color w:val="000000"/>
        </w:rPr>
        <w:t>8.</w:t>
      </w:r>
      <w:r>
        <w:rPr>
          <w:noProof/>
        </w:rPr>
        <w:tab/>
      </w:r>
      <w:r>
        <w:rPr>
          <w:noProof/>
          <w:color w:val="000000"/>
        </w:rPr>
        <w:t>Līdzpriekšsēdētājs no prasītājas Puses katrai personai, kas izraudzīta par šķīrējtiesnesi, rakstiski paziņo par tā</w:t>
      </w:r>
      <w:r>
        <w:rPr>
          <w:noProof/>
          <w:color w:val="000000"/>
        </w:rPr>
        <w:t xml:space="preserve">s iecelšanu. Katra šāda persona piecu dienu laikā no dienas, kad tā informēta par iecelšanu, abām Pusēm apliecina savu pieejamību. </w:t>
      </w:r>
    </w:p>
    <w:p w:rsidR="003E022D" w:rsidRDefault="007D19D6">
      <w:pPr>
        <w:rPr>
          <w:noProof/>
        </w:rPr>
      </w:pPr>
      <w:r>
        <w:rPr>
          <w:noProof/>
        </w:rPr>
        <w:t>9.</w:t>
      </w:r>
      <w:r>
        <w:rPr>
          <w:noProof/>
        </w:rPr>
        <w:tab/>
        <w:t xml:space="preserve">Partnerības padomes līdzpriekšsēdētājs no prasītājas Puses lozējot izrauga šķīrējtiesnesi vai priekšsēdētāju piecu dienu </w:t>
      </w:r>
      <w:r>
        <w:rPr>
          <w:noProof/>
        </w:rPr>
        <w:t xml:space="preserve">laikā no šā nolīguma sestās daļas I sadaļas [Strīdu izšķiršana] INST.15 panta [Šķīrējtiesas izveide] 2. punktā minētā termiņa beigām, ja kāds no </w:t>
      </w:r>
      <w:r>
        <w:rPr>
          <w:rFonts w:asciiTheme="majorHAnsi" w:hAnsiTheme="majorHAnsi"/>
          <w:noProof/>
          <w:color w:val="000000"/>
        </w:rPr>
        <w:t xml:space="preserve">šā nolīguma sestās daļas I sadaļas [Strīdu izšķiršana] INST.27. panta (Šķīrējtiesnešu saraksts) 1. punktā </w:t>
      </w:r>
      <w:r>
        <w:rPr>
          <w:noProof/>
        </w:rPr>
        <w:t xml:space="preserve"> minē</w:t>
      </w:r>
      <w:r>
        <w:rPr>
          <w:noProof/>
        </w:rPr>
        <w:t>tajiem apakšsarakstiem:</w:t>
      </w:r>
    </w:p>
    <w:p w:rsidR="003E022D" w:rsidRDefault="007D19D6">
      <w:pPr>
        <w:pStyle w:val="ListParagraph"/>
        <w:numPr>
          <w:ilvl w:val="0"/>
          <w:numId w:val="987"/>
        </w:numPr>
        <w:ind w:left="567" w:hanging="567"/>
        <w:contextualSpacing w:val="0"/>
        <w:rPr>
          <w:rFonts w:asciiTheme="majorHAnsi" w:hAnsiTheme="majorHAnsi" w:cstheme="majorHAnsi"/>
          <w:noProof/>
        </w:rPr>
      </w:pPr>
      <w:r>
        <w:rPr>
          <w:rFonts w:asciiTheme="majorHAnsi" w:hAnsiTheme="majorHAnsi"/>
          <w:noProof/>
        </w:rPr>
        <w:t>nav izveidots no personām, kuras viena vai abas Puses ir oficiāli ierosinājušas iekļaušanai konkrētajā apakšsarakstā; vai</w:t>
      </w:r>
    </w:p>
    <w:p w:rsidR="003E022D" w:rsidRDefault="007D19D6">
      <w:pPr>
        <w:pStyle w:val="ListParagraph"/>
        <w:numPr>
          <w:ilvl w:val="0"/>
          <w:numId w:val="987"/>
        </w:numPr>
        <w:ind w:left="567" w:hanging="567"/>
        <w:contextualSpacing w:val="0"/>
        <w:rPr>
          <w:noProof/>
        </w:rPr>
      </w:pPr>
      <w:r>
        <w:rPr>
          <w:rFonts w:asciiTheme="majorHAnsi" w:hAnsiTheme="majorHAnsi"/>
          <w:noProof/>
        </w:rPr>
        <w:t>vairs</w:t>
      </w:r>
      <w:r>
        <w:rPr>
          <w:noProof/>
        </w:rPr>
        <w:t xml:space="preserve"> neiekļauj vismaz piecas personas no tām personām, kas palikušas konkrētajā apakšsarakstā. </w:t>
      </w:r>
    </w:p>
    <w:p w:rsidR="003E022D" w:rsidRDefault="007D19D6">
      <w:pPr>
        <w:pStyle w:val="NormalWeb"/>
        <w:spacing w:before="120" w:beforeAutospacing="0" w:after="120" w:afterAutospacing="0"/>
        <w:rPr>
          <w:noProof/>
        </w:rPr>
      </w:pPr>
      <w:r>
        <w:rPr>
          <w:noProof/>
        </w:rPr>
        <w:t>9. a.</w:t>
      </w:r>
      <w:r>
        <w:rPr>
          <w:noProof/>
        </w:rPr>
        <w:tab/>
      </w:r>
      <w:r>
        <w:rPr>
          <w:rFonts w:ascii="Calibri" w:hAnsi="Calibri"/>
          <w:noProof/>
          <w:color w:val="000000"/>
          <w:sz w:val="22"/>
          <w:szCs w:val="22"/>
        </w:rPr>
        <w:t xml:space="preserve">Puses var iecelt reģistru, kas palīdz organizēt un veikt konkrētas strīdu izšķiršanas procedūras, pamatojoties uz </w:t>
      </w:r>
      <w:r>
        <w:rPr>
          <w:rFonts w:ascii="Calibri" w:hAnsi="Calibri"/>
          <w:i/>
          <w:iCs/>
          <w:noProof/>
          <w:color w:val="000000"/>
          <w:sz w:val="22"/>
          <w:szCs w:val="22"/>
        </w:rPr>
        <w:t>ad hoc</w:t>
      </w:r>
      <w:r>
        <w:rPr>
          <w:rFonts w:ascii="Calibri" w:hAnsi="Calibri"/>
          <w:noProof/>
          <w:color w:val="000000"/>
          <w:sz w:val="22"/>
          <w:szCs w:val="22"/>
        </w:rPr>
        <w:t xml:space="preserve"> režīmu vai pamatojoties uz režīmu, ko pieņēmusi Partnerības padome saskaņā ar šā nolīguma sestās daļas I sadaļas [Strīdu izšķiršana] IN</w:t>
      </w:r>
      <w:r>
        <w:rPr>
          <w:rFonts w:ascii="Calibri" w:hAnsi="Calibri"/>
          <w:noProof/>
          <w:color w:val="000000"/>
          <w:sz w:val="22"/>
          <w:szCs w:val="22"/>
        </w:rPr>
        <w:t xml:space="preserve">ST.34.A pantu [Pielikumi]. Tālab Partnerības padome ne vēlāk kā 180 dienu laikā pēc šā nolīguma stāšanās spēkā izvērtē, vai šajā reglamentā ir vajadzīgi grozījumi. </w:t>
      </w:r>
    </w:p>
    <w:p w:rsidR="003E022D" w:rsidRDefault="007D19D6">
      <w:pPr>
        <w:pBdr>
          <w:top w:val="nil"/>
          <w:left w:val="nil"/>
          <w:bottom w:val="nil"/>
          <w:right w:val="nil"/>
          <w:between w:val="nil"/>
        </w:pBdr>
        <w:spacing w:before="120" w:after="120"/>
        <w:ind w:left="850" w:hanging="850"/>
        <w:jc w:val="center"/>
        <w:rPr>
          <w:b/>
          <w:noProof/>
          <w:color w:val="000000"/>
        </w:rPr>
      </w:pPr>
      <w:r>
        <w:rPr>
          <w:b/>
          <w:noProof/>
          <w:color w:val="000000"/>
        </w:rPr>
        <w:t xml:space="preserve">IV. </w:t>
      </w:r>
      <w:r>
        <w:rPr>
          <w:noProof/>
        </w:rPr>
        <w:tab/>
      </w:r>
      <w:r>
        <w:rPr>
          <w:b/>
          <w:noProof/>
          <w:color w:val="000000"/>
        </w:rPr>
        <w:t>Darba organizācijas sanāksme</w:t>
      </w:r>
    </w:p>
    <w:p w:rsidR="003E022D" w:rsidRDefault="007D19D6">
      <w:pPr>
        <w:pBdr>
          <w:top w:val="nil"/>
          <w:left w:val="nil"/>
          <w:bottom w:val="nil"/>
          <w:right w:val="nil"/>
          <w:between w:val="nil"/>
        </w:pBdr>
        <w:spacing w:before="120" w:after="120"/>
        <w:rPr>
          <w:noProof/>
          <w:color w:val="000000"/>
        </w:rPr>
      </w:pPr>
      <w:r>
        <w:rPr>
          <w:noProof/>
          <w:color w:val="000000"/>
        </w:rPr>
        <w:t>10.</w:t>
      </w:r>
      <w:r>
        <w:rPr>
          <w:noProof/>
        </w:rPr>
        <w:tab/>
      </w:r>
      <w:r>
        <w:rPr>
          <w:noProof/>
          <w:color w:val="000000"/>
        </w:rPr>
        <w:t xml:space="preserve">Ja vien Puses nevienojas citādi, tās tiekas ar šķīrējtiesu septiņu dienu laikā no šķīrējtiesas izveides dienas, lai vienotos par jautājumiem, kuru apspriešanu Puses vai šķīrējtiesa uzskata par lietderīgu, tostarp, lai vienotos par: </w:t>
      </w:r>
    </w:p>
    <w:p w:rsidR="003E022D" w:rsidRDefault="007D19D6">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ja tas jau nav noteikts</w:t>
      </w:r>
      <w:r>
        <w:rPr>
          <w:rFonts w:asciiTheme="majorHAnsi" w:hAnsiTheme="majorHAnsi"/>
          <w:noProof/>
        </w:rPr>
        <w:t xml:space="preserve"> iepriekš – šķīrējtiesnešu atalgojumu un izdevumiem, kas jebkurā gadījumā atbilst PTO standartiem; </w:t>
      </w:r>
    </w:p>
    <w:p w:rsidR="003E022D" w:rsidRDefault="007D19D6">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palīgiem maksājamo atalgojumu; Katra šķīrējtiesneša palīga vai palīgu atalgojuma kopsumma nepārsniedz 50 % no minētā šķīrējtiesneša atalgojuma; </w:t>
      </w:r>
    </w:p>
    <w:p w:rsidR="003E022D" w:rsidRDefault="007D19D6">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procesa nor</w:t>
      </w:r>
      <w:r>
        <w:rPr>
          <w:rFonts w:asciiTheme="majorHAnsi" w:hAnsiTheme="majorHAnsi"/>
          <w:noProof/>
        </w:rPr>
        <w:t>ises grafiku un</w:t>
      </w:r>
    </w:p>
    <w:p w:rsidR="003E022D" w:rsidRDefault="007D19D6">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i/>
          <w:noProof/>
        </w:rPr>
        <w:t>ad hoc</w:t>
      </w:r>
      <w:r>
        <w:rPr>
          <w:rFonts w:asciiTheme="majorHAnsi" w:hAnsiTheme="majorHAnsi"/>
          <w:noProof/>
        </w:rPr>
        <w:t xml:space="preserve"> procedūras konfidenciālas informācijas aizsardzībai.</w:t>
      </w:r>
    </w:p>
    <w:p w:rsidR="003E022D" w:rsidRDefault="007D19D6">
      <w:pPr>
        <w:rPr>
          <w:noProof/>
          <w:color w:val="000000"/>
        </w:rPr>
      </w:pPr>
      <w:r>
        <w:rPr>
          <w:noProof/>
        </w:rPr>
        <w:t>Šķīrējtiesneši un Pušu pārstāvji var piedalīties šajā sanāksmē telefoniski vai videokonferences veidā.</w:t>
      </w:r>
    </w:p>
    <w:p w:rsidR="003E022D" w:rsidRDefault="007D19D6">
      <w:pPr>
        <w:jc w:val="center"/>
        <w:rPr>
          <w:b/>
          <w:noProof/>
        </w:rPr>
      </w:pPr>
      <w:r>
        <w:rPr>
          <w:b/>
          <w:noProof/>
        </w:rPr>
        <w:t>V.</w:t>
      </w:r>
      <w:r>
        <w:rPr>
          <w:noProof/>
        </w:rPr>
        <w:tab/>
      </w:r>
      <w:r>
        <w:rPr>
          <w:b/>
          <w:noProof/>
        </w:rPr>
        <w:t>Rakstiski izklāsti</w:t>
      </w:r>
    </w:p>
    <w:p w:rsidR="003E022D" w:rsidRDefault="007D19D6">
      <w:pPr>
        <w:rPr>
          <w:noProof/>
        </w:rPr>
      </w:pPr>
      <w:r>
        <w:rPr>
          <w:noProof/>
        </w:rPr>
        <w:t>11.</w:t>
      </w:r>
      <w:r>
        <w:rPr>
          <w:noProof/>
        </w:rPr>
        <w:tab/>
        <w:t xml:space="preserve">Prasītāja Puse savu rakstisko izklāstu iesniedz ne </w:t>
      </w:r>
      <w:r>
        <w:rPr>
          <w:noProof/>
        </w:rPr>
        <w:t>vēlāk kā 20 dienu laikā no šķīrējtiesas izveidošanas dienas. Atbildētāja Puse savu rakstisko izklāstu iesniedz ne vēlāk kā 20 dienu laikā no prasītājas Puses rakstiskā izklāsta iesniegšanas dienas.</w:t>
      </w:r>
    </w:p>
    <w:p w:rsidR="003E022D" w:rsidRDefault="007D19D6">
      <w:pPr>
        <w:jc w:val="center"/>
        <w:rPr>
          <w:b/>
          <w:noProof/>
        </w:rPr>
      </w:pPr>
      <w:r>
        <w:rPr>
          <w:b/>
          <w:noProof/>
        </w:rPr>
        <w:t>VI.</w:t>
      </w:r>
      <w:r>
        <w:rPr>
          <w:noProof/>
        </w:rPr>
        <w:tab/>
      </w:r>
      <w:r>
        <w:rPr>
          <w:b/>
          <w:noProof/>
        </w:rPr>
        <w:t>Šķīrējtiesas darbība</w:t>
      </w:r>
    </w:p>
    <w:p w:rsidR="003E022D" w:rsidRDefault="007D19D6">
      <w:pPr>
        <w:pBdr>
          <w:top w:val="nil"/>
          <w:left w:val="nil"/>
          <w:bottom w:val="nil"/>
          <w:right w:val="nil"/>
          <w:between w:val="nil"/>
        </w:pBdr>
        <w:spacing w:before="120" w:after="120"/>
        <w:rPr>
          <w:noProof/>
          <w:color w:val="000000"/>
        </w:rPr>
      </w:pPr>
      <w:r>
        <w:rPr>
          <w:noProof/>
          <w:color w:val="000000"/>
        </w:rPr>
        <w:t>12.</w:t>
      </w:r>
      <w:r>
        <w:rPr>
          <w:noProof/>
        </w:rPr>
        <w:tab/>
      </w:r>
      <w:r>
        <w:rPr>
          <w:noProof/>
          <w:color w:val="000000"/>
        </w:rPr>
        <w:t>Šķīrējtiesas priekšsēdētājs v</w:t>
      </w:r>
      <w:r>
        <w:rPr>
          <w:noProof/>
          <w:color w:val="000000"/>
        </w:rPr>
        <w:t>ada visas tās sanāksmes. Šķīrējtiesa var deleģēt savam priekšsēdētājam pilnvaras pieņemt administratīvus un procesuālus lēmumus.</w:t>
      </w:r>
    </w:p>
    <w:p w:rsidR="003E022D" w:rsidRDefault="007D19D6">
      <w:pPr>
        <w:pBdr>
          <w:top w:val="nil"/>
          <w:left w:val="nil"/>
          <w:bottom w:val="nil"/>
          <w:right w:val="nil"/>
          <w:between w:val="nil"/>
        </w:pBdr>
        <w:spacing w:before="120" w:after="120"/>
        <w:rPr>
          <w:noProof/>
          <w:color w:val="000000"/>
        </w:rPr>
      </w:pPr>
      <w:r>
        <w:rPr>
          <w:noProof/>
          <w:color w:val="000000"/>
        </w:rPr>
        <w:t>13.</w:t>
      </w:r>
      <w:r>
        <w:rPr>
          <w:noProof/>
        </w:rPr>
        <w:tab/>
        <w:t>Ja vien šā nolīguma sestās I sadaļā [Strīdu izšķiršana] vai šajā reglamentā nav paredzēts citādi, šķīrējtiesa var veikt sav</w:t>
      </w:r>
      <w:r>
        <w:rPr>
          <w:noProof/>
        </w:rPr>
        <w:t>u darbu jebkādā veidā, tostarp pa tālruni, ar faksa sūtījumiem vai ar datorsakariem.</w:t>
      </w:r>
    </w:p>
    <w:p w:rsidR="003E022D" w:rsidRDefault="007D19D6">
      <w:pPr>
        <w:pBdr>
          <w:top w:val="nil"/>
          <w:left w:val="nil"/>
          <w:bottom w:val="nil"/>
          <w:right w:val="nil"/>
          <w:between w:val="nil"/>
        </w:pBdr>
        <w:spacing w:before="120" w:after="120"/>
        <w:rPr>
          <w:noProof/>
          <w:color w:val="000000"/>
        </w:rPr>
      </w:pPr>
      <w:r>
        <w:rPr>
          <w:noProof/>
          <w:color w:val="000000"/>
        </w:rPr>
        <w:t>14.</w:t>
      </w:r>
      <w:r>
        <w:rPr>
          <w:noProof/>
        </w:rPr>
        <w:tab/>
      </w:r>
      <w:r>
        <w:rPr>
          <w:noProof/>
          <w:color w:val="000000"/>
        </w:rPr>
        <w:t>Šķīrējtiesas apspriedēs drīkst piedalīties vienīgi šķīrējtiesneši, tomēr šķīrējtiesa var atļaut šādās apspriedēs piedalīties saviem palīgiem.</w:t>
      </w:r>
    </w:p>
    <w:p w:rsidR="003E022D" w:rsidRDefault="007D19D6">
      <w:pPr>
        <w:pBdr>
          <w:top w:val="nil"/>
          <w:left w:val="nil"/>
          <w:bottom w:val="nil"/>
          <w:right w:val="nil"/>
          <w:between w:val="nil"/>
        </w:pBdr>
        <w:spacing w:before="120" w:after="120"/>
        <w:rPr>
          <w:noProof/>
          <w:color w:val="000000"/>
        </w:rPr>
      </w:pPr>
      <w:r>
        <w:rPr>
          <w:noProof/>
          <w:color w:val="000000"/>
        </w:rPr>
        <w:t>15.</w:t>
      </w:r>
      <w:r>
        <w:rPr>
          <w:noProof/>
        </w:rPr>
        <w:tab/>
      </w:r>
      <w:r>
        <w:rPr>
          <w:noProof/>
          <w:color w:val="000000"/>
        </w:rPr>
        <w:t>Ikvienu lēmumu un ziņ</w:t>
      </w:r>
      <w:r>
        <w:rPr>
          <w:noProof/>
          <w:color w:val="000000"/>
        </w:rPr>
        <w:t>ojumu sagatavo vienīgi pati šķīrējtiesa, un tā šo pienākumu nedeleģē.</w:t>
      </w:r>
    </w:p>
    <w:p w:rsidR="003E022D" w:rsidRDefault="007D19D6">
      <w:pPr>
        <w:pBdr>
          <w:top w:val="nil"/>
          <w:left w:val="nil"/>
          <w:bottom w:val="nil"/>
          <w:right w:val="nil"/>
          <w:between w:val="nil"/>
        </w:pBdr>
        <w:spacing w:before="120" w:after="120"/>
        <w:rPr>
          <w:noProof/>
          <w:color w:val="000000"/>
        </w:rPr>
      </w:pPr>
      <w:r>
        <w:rPr>
          <w:noProof/>
          <w:color w:val="000000"/>
        </w:rPr>
        <w:t>16.</w:t>
      </w:r>
      <w:r>
        <w:rPr>
          <w:noProof/>
        </w:rPr>
        <w:tab/>
        <w:t xml:space="preserve">Ja rodas kāds procesuāls jautājums, uz kuru neattiecas šā nolīguma sestās daļas I sadaļa [Strīdu izšķiršana] un tās pielikumi, šķīrējtiesa pēc apspriešanās ar Pusēm var pieņemt </w:t>
      </w:r>
      <w:r>
        <w:rPr>
          <w:noProof/>
        </w:rPr>
        <w:t>piemērotu procedūru, kura ir saderīga ar minētajiem noteikumiem.</w:t>
      </w:r>
    </w:p>
    <w:p w:rsidR="003E022D" w:rsidRDefault="007D19D6">
      <w:pPr>
        <w:pBdr>
          <w:top w:val="nil"/>
          <w:left w:val="nil"/>
          <w:bottom w:val="nil"/>
          <w:right w:val="nil"/>
          <w:between w:val="nil"/>
        </w:pBdr>
        <w:spacing w:before="120" w:after="120"/>
        <w:rPr>
          <w:noProof/>
          <w:color w:val="000000"/>
        </w:rPr>
      </w:pPr>
      <w:r>
        <w:rPr>
          <w:noProof/>
          <w:color w:val="000000"/>
        </w:rPr>
        <w:t>17.</w:t>
      </w:r>
      <w:r>
        <w:rPr>
          <w:noProof/>
        </w:rPr>
        <w:tab/>
        <w:t xml:space="preserve">Ja šķīrējtiesa uzskata, ka ir nepieciešams mainīt kādu no procesuālajiem termiņiem, izņemot </w:t>
      </w:r>
      <w:r>
        <w:rPr>
          <w:rFonts w:asciiTheme="majorHAnsi" w:hAnsiTheme="majorHAnsi"/>
          <w:noProof/>
        </w:rPr>
        <w:t>šā nolīguma sestās daļas I sadaļā [Strīdu izšķiršana]</w:t>
      </w:r>
      <w:r>
        <w:rPr>
          <w:noProof/>
        </w:rPr>
        <w:t xml:space="preserve"> noteiktos termiņus, vai ka ir nepieciešam</w:t>
      </w:r>
      <w:r>
        <w:rPr>
          <w:noProof/>
        </w:rPr>
        <w:t>s veikt kādus citus procesuālus vai administratīvus pielāgojumus, tā pēc apspriešanās ar Pusēm rakstiski informē Puses par nepieciešamo izmaiņu vai pielāgojumu un ieviešamā termiņa vai pielāgojumu iemesliem.</w:t>
      </w:r>
      <w:r>
        <w:rPr>
          <w:noProof/>
          <w:color w:val="000000"/>
        </w:rPr>
        <w:t xml:space="preserve"> </w:t>
      </w:r>
    </w:p>
    <w:p w:rsidR="003E022D" w:rsidRDefault="007D19D6">
      <w:pPr>
        <w:spacing w:after="0"/>
        <w:jc w:val="center"/>
        <w:rPr>
          <w:b/>
          <w:noProof/>
        </w:rPr>
      </w:pPr>
      <w:r>
        <w:rPr>
          <w:b/>
          <w:noProof/>
        </w:rPr>
        <w:t>VII. Aizstāšana</w:t>
      </w:r>
    </w:p>
    <w:p w:rsidR="003E022D" w:rsidRDefault="007D19D6">
      <w:pPr>
        <w:pBdr>
          <w:top w:val="nil"/>
          <w:left w:val="nil"/>
          <w:bottom w:val="nil"/>
          <w:right w:val="nil"/>
          <w:between w:val="nil"/>
        </w:pBdr>
        <w:spacing w:before="120" w:after="120"/>
        <w:rPr>
          <w:noProof/>
          <w:color w:val="000000"/>
        </w:rPr>
      </w:pPr>
      <w:r>
        <w:rPr>
          <w:noProof/>
          <w:color w:val="000000"/>
        </w:rPr>
        <w:t>18.</w:t>
      </w:r>
      <w:r>
        <w:rPr>
          <w:noProof/>
        </w:rPr>
        <w:tab/>
      </w:r>
      <w:r>
        <w:rPr>
          <w:noProof/>
          <w:color w:val="000000"/>
        </w:rPr>
        <w:t>Ja Puse uzskata, ka šķīrējt</w:t>
      </w:r>
      <w:r>
        <w:rPr>
          <w:noProof/>
          <w:color w:val="000000"/>
        </w:rPr>
        <w:t>iesnesis neatbilst INST-X pielikuma (Šķīrējtiesnešu rīcības kodekss) prasībām un ka šā iemesla dēļ tas būtu jāaizstāj, šī Puse 15 dienu laikā, kopš tā ieguvusi pietiekamus pierādījumus, kas apliecina šķīrējtiesneša iespējamo neatbilstību minētā pielikuma p</w:t>
      </w:r>
      <w:r>
        <w:rPr>
          <w:noProof/>
          <w:color w:val="000000"/>
        </w:rPr>
        <w:t xml:space="preserve">rasībām, par to informē otru Pusi. </w:t>
      </w:r>
    </w:p>
    <w:p w:rsidR="003E022D" w:rsidRDefault="007D19D6">
      <w:pPr>
        <w:pBdr>
          <w:top w:val="nil"/>
          <w:left w:val="nil"/>
          <w:bottom w:val="nil"/>
          <w:right w:val="nil"/>
          <w:between w:val="nil"/>
        </w:pBdr>
        <w:spacing w:before="120" w:after="120"/>
        <w:rPr>
          <w:noProof/>
          <w:color w:val="000000"/>
        </w:rPr>
      </w:pPr>
      <w:r>
        <w:rPr>
          <w:noProof/>
          <w:color w:val="000000"/>
        </w:rPr>
        <w:t>19.</w:t>
      </w:r>
      <w:r>
        <w:rPr>
          <w:noProof/>
        </w:rPr>
        <w:tab/>
      </w:r>
      <w:r>
        <w:rPr>
          <w:noProof/>
          <w:color w:val="000000"/>
        </w:rPr>
        <w:t xml:space="preserve">Puses apspriežas 15 dienu laikā pēc 18. punktā minētā paziņojuma. Tās informē šķīrējtiesnesi par tā iespējamo neatbilstību un var pieprasīt šķīrējtiesnesim veikt pasākumus, lai labotu neatbilstību. </w:t>
      </w:r>
      <w:r>
        <w:rPr>
          <w:noProof/>
        </w:rPr>
        <w:t>Ja Puses vienojas,</w:t>
      </w:r>
      <w:r>
        <w:rPr>
          <w:noProof/>
        </w:rPr>
        <w:t xml:space="preserve"> tās var arī atcelt šķīrējtiesnesi un izraudzīt jaunu šķīrējtiesnesi saskaņā ar </w:t>
      </w:r>
      <w:r>
        <w:rPr>
          <w:rFonts w:asciiTheme="majorHAnsi" w:hAnsiTheme="majorHAnsi"/>
          <w:noProof/>
          <w:color w:val="000000"/>
        </w:rPr>
        <w:t>šā nolīguma sestās daļas I sadaļas [Strīdu izšķiršana] INST.15. pantu (Šķīrējtiesas izveide)</w:t>
      </w:r>
      <w:r>
        <w:rPr>
          <w:noProof/>
        </w:rPr>
        <w:t>.</w:t>
      </w:r>
      <w:r>
        <w:rPr>
          <w:noProof/>
          <w:color w:val="000000"/>
        </w:rPr>
        <w:t xml:space="preserve"> </w:t>
      </w:r>
    </w:p>
    <w:p w:rsidR="003E022D" w:rsidRDefault="007D19D6">
      <w:pPr>
        <w:pBdr>
          <w:top w:val="nil"/>
          <w:left w:val="nil"/>
          <w:bottom w:val="nil"/>
          <w:right w:val="nil"/>
          <w:between w:val="nil"/>
        </w:pBdr>
        <w:spacing w:before="120" w:after="120"/>
        <w:rPr>
          <w:noProof/>
          <w:color w:val="000000"/>
        </w:rPr>
      </w:pPr>
      <w:r>
        <w:rPr>
          <w:noProof/>
          <w:color w:val="000000"/>
        </w:rPr>
        <w:t>20.</w:t>
      </w:r>
      <w:r>
        <w:rPr>
          <w:noProof/>
        </w:rPr>
        <w:tab/>
      </w:r>
      <w:r>
        <w:rPr>
          <w:noProof/>
          <w:color w:val="000000"/>
        </w:rPr>
        <w:t xml:space="preserve">Ja Puses nespēj vienoties par to, ka ir nepieciešams aizstāt šķīrējtiesnesi, </w:t>
      </w:r>
      <w:r>
        <w:rPr>
          <w:noProof/>
          <w:color w:val="000000"/>
        </w:rPr>
        <w:t xml:space="preserve">izņemot šķīrējtiesas priekšsēdētāju, jebkura Puse var pieprasīt, lai šis jautājums tiktu nodots izskatīšanai šķīrējtiesas priekšsēdētājam, kura lēmums ir galīgs. </w:t>
      </w:r>
    </w:p>
    <w:p w:rsidR="003E022D" w:rsidRDefault="007D19D6">
      <w:pPr>
        <w:pBdr>
          <w:top w:val="nil"/>
          <w:left w:val="nil"/>
          <w:bottom w:val="nil"/>
          <w:right w:val="nil"/>
          <w:between w:val="nil"/>
        </w:pBdr>
        <w:spacing w:before="120" w:after="120"/>
        <w:rPr>
          <w:noProof/>
          <w:color w:val="000000"/>
        </w:rPr>
      </w:pPr>
      <w:r>
        <w:rPr>
          <w:noProof/>
        </w:rPr>
        <w:t>Ja šķīrējtiesas priekšsēdētājs konstatē, ka šķīrējtiesnesis neatbilst INST-X pielikuma (Šķīrē</w:t>
      </w:r>
      <w:r>
        <w:rPr>
          <w:noProof/>
        </w:rPr>
        <w:t xml:space="preserve">jtiesnešu rīcības kodekss) prasībām, jauno šķīrējtiesnesi izrauga saskaņā ar </w:t>
      </w:r>
      <w:r>
        <w:rPr>
          <w:rFonts w:asciiTheme="majorHAnsi" w:hAnsiTheme="majorHAnsi"/>
          <w:noProof/>
          <w:color w:val="000000"/>
        </w:rPr>
        <w:t>šā nolīguma sestās daļas I sadaļas [Strīdu izšķiršana] INST.15. pantu (Šķīrējtiesas izveide)</w:t>
      </w:r>
      <w:r>
        <w:rPr>
          <w:noProof/>
        </w:rPr>
        <w:t>.</w:t>
      </w:r>
    </w:p>
    <w:p w:rsidR="003E022D" w:rsidRDefault="007D19D6">
      <w:pPr>
        <w:pBdr>
          <w:top w:val="nil"/>
          <w:left w:val="nil"/>
          <w:bottom w:val="nil"/>
          <w:right w:val="nil"/>
          <w:between w:val="nil"/>
        </w:pBdr>
        <w:spacing w:before="120" w:after="120"/>
        <w:rPr>
          <w:noProof/>
          <w:color w:val="000000"/>
        </w:rPr>
      </w:pPr>
      <w:r>
        <w:rPr>
          <w:noProof/>
          <w:color w:val="000000"/>
        </w:rPr>
        <w:t>21.</w:t>
      </w:r>
      <w:r>
        <w:rPr>
          <w:noProof/>
        </w:rPr>
        <w:tab/>
        <w:t>Ja Puses nevienojas par priekšsēdētāja aizstāšanas nepieciešamību, jebkura Puse v</w:t>
      </w:r>
      <w:r>
        <w:rPr>
          <w:noProof/>
        </w:rPr>
        <w:t xml:space="preserve">ar pieprasīt, lai šis jautājums tiktu nodots izskatīšanai vienam no atlikušajiem locekļiem, kas iekļauti saskaņā ar </w:t>
      </w:r>
      <w:r>
        <w:rPr>
          <w:rFonts w:asciiTheme="majorHAnsi" w:hAnsiTheme="majorHAnsi"/>
          <w:noProof/>
          <w:color w:val="000000"/>
        </w:rPr>
        <w:t>šā nolīguma sestās daļas I sadaļas [Strīdu izšķiršana] INST.27. pantu (Šķīrējtiesnešu saraksti)</w:t>
      </w:r>
      <w:r>
        <w:rPr>
          <w:noProof/>
        </w:rPr>
        <w:t xml:space="preserve"> izveidotā priekšsēdētāju apakšsaraksta perso</w:t>
      </w:r>
      <w:r>
        <w:rPr>
          <w:noProof/>
        </w:rPr>
        <w:t>nu kopā.</w:t>
      </w:r>
      <w:r>
        <w:rPr>
          <w:noProof/>
          <w:color w:val="000000"/>
        </w:rPr>
        <w:t xml:space="preserve"> Viņa vārdu un uzvārdu izlozē Partnerības padomes līdzpriekšsēdētājs no prasītājas Puses vai priekšsēdētāja delegāts. Šīs izraudzītās personas lēmums par nepieciešamību aizstāt priekšsēdētāju ir galīgs. </w:t>
      </w:r>
    </w:p>
    <w:p w:rsidR="003E022D" w:rsidRDefault="007D19D6">
      <w:pPr>
        <w:pBdr>
          <w:top w:val="nil"/>
          <w:left w:val="nil"/>
          <w:bottom w:val="nil"/>
          <w:right w:val="nil"/>
          <w:between w:val="nil"/>
        </w:pBdr>
        <w:spacing w:before="120" w:after="120"/>
        <w:rPr>
          <w:noProof/>
          <w:color w:val="000000"/>
        </w:rPr>
      </w:pPr>
      <w:r>
        <w:rPr>
          <w:noProof/>
        </w:rPr>
        <w:t>Ja šī persona konstatē, ka priekšsēdētājs ne</w:t>
      </w:r>
      <w:r>
        <w:rPr>
          <w:noProof/>
        </w:rPr>
        <w:t xml:space="preserve">atbilst INST-X pielikuma (Šķīrējtiesnešu rīcības kodekss) prasībām, jauno priekšsēdētāju izrauga saskaņā ar </w:t>
      </w:r>
      <w:r>
        <w:rPr>
          <w:rFonts w:asciiTheme="majorHAnsi" w:hAnsiTheme="majorHAnsi"/>
          <w:noProof/>
          <w:color w:val="000000"/>
        </w:rPr>
        <w:t>šā nolīguma sestās daļas I sadaļas [Strīdu izšķiršana] INST.15. pantu (Šķīrējtiesas izveide)</w:t>
      </w:r>
      <w:r>
        <w:rPr>
          <w:noProof/>
        </w:rPr>
        <w:t>.</w:t>
      </w:r>
    </w:p>
    <w:p w:rsidR="003E022D" w:rsidRDefault="007D19D6">
      <w:pPr>
        <w:jc w:val="center"/>
        <w:rPr>
          <w:b/>
          <w:noProof/>
        </w:rPr>
      </w:pPr>
      <w:r>
        <w:rPr>
          <w:b/>
          <w:noProof/>
        </w:rPr>
        <w:t>VIII. Sēdes</w:t>
      </w:r>
    </w:p>
    <w:p w:rsidR="003E022D" w:rsidRDefault="007D19D6">
      <w:pPr>
        <w:pBdr>
          <w:top w:val="nil"/>
          <w:left w:val="nil"/>
          <w:bottom w:val="nil"/>
          <w:right w:val="nil"/>
          <w:between w:val="nil"/>
        </w:pBdr>
        <w:spacing w:before="120" w:after="120"/>
        <w:rPr>
          <w:noProof/>
          <w:color w:val="000000"/>
        </w:rPr>
      </w:pPr>
      <w:r>
        <w:rPr>
          <w:noProof/>
          <w:color w:val="000000"/>
        </w:rPr>
        <w:t>22.</w:t>
      </w:r>
      <w:r>
        <w:rPr>
          <w:noProof/>
        </w:rPr>
        <w:tab/>
      </w:r>
      <w:r>
        <w:rPr>
          <w:noProof/>
          <w:color w:val="000000"/>
        </w:rPr>
        <w:t>Balstoties uz laika grafiku, kas notei</w:t>
      </w:r>
      <w:r>
        <w:rPr>
          <w:noProof/>
          <w:color w:val="000000"/>
        </w:rPr>
        <w:t>kts saskaņā ar 10. punktu, šķīrējtiesas priekšsēdētājs pēc apspriešanās ar Pusēm un pārējiem šķīrējtiesnešiem informē Puses par sēdes datumu, laiku un vietu. Puse, kurā notiek sēde, šo informāciju publisko, ja vien sēde nav slēgta.</w:t>
      </w:r>
    </w:p>
    <w:p w:rsidR="003E022D" w:rsidRDefault="007D19D6">
      <w:pPr>
        <w:pBdr>
          <w:top w:val="nil"/>
          <w:left w:val="nil"/>
          <w:bottom w:val="nil"/>
          <w:right w:val="nil"/>
          <w:between w:val="nil"/>
        </w:pBdr>
        <w:spacing w:before="120" w:after="120"/>
        <w:rPr>
          <w:noProof/>
          <w:color w:val="000000"/>
        </w:rPr>
      </w:pPr>
      <w:r>
        <w:rPr>
          <w:noProof/>
          <w:color w:val="000000"/>
        </w:rPr>
        <w:t>23.</w:t>
      </w:r>
      <w:r>
        <w:rPr>
          <w:noProof/>
        </w:rPr>
        <w:tab/>
      </w:r>
      <w:r>
        <w:rPr>
          <w:noProof/>
          <w:color w:val="000000"/>
        </w:rPr>
        <w:t>Ja vien Puses nevien</w:t>
      </w:r>
      <w:r>
        <w:rPr>
          <w:noProof/>
          <w:color w:val="000000"/>
        </w:rPr>
        <w:t xml:space="preserve">ojas citādi, sēde notiek </w:t>
      </w:r>
      <w:r>
        <w:rPr>
          <w:noProof/>
        </w:rPr>
        <w:t>Londonā</w:t>
      </w:r>
      <w:r>
        <w:rPr>
          <w:noProof/>
          <w:color w:val="000000"/>
        </w:rPr>
        <w:t xml:space="preserve">, ja prasītāja Puse ir Savienība, un Briselē, ja prasītāja Puse ir Apvienotā Karaliste. Atbildētāja Puse sedz izdevumus, kas saistīti ar sēdes loģistiku. </w:t>
      </w:r>
    </w:p>
    <w:p w:rsidR="003E022D" w:rsidRDefault="007D19D6">
      <w:pPr>
        <w:pBdr>
          <w:top w:val="nil"/>
          <w:left w:val="nil"/>
          <w:bottom w:val="nil"/>
          <w:right w:val="nil"/>
          <w:between w:val="nil"/>
        </w:pBdr>
        <w:spacing w:before="120" w:after="120"/>
        <w:rPr>
          <w:noProof/>
          <w:color w:val="000000"/>
        </w:rPr>
      </w:pPr>
      <w:r>
        <w:rPr>
          <w:noProof/>
          <w:color w:val="000000"/>
        </w:rPr>
        <w:t>24.</w:t>
      </w:r>
      <w:r>
        <w:rPr>
          <w:noProof/>
        </w:rPr>
        <w:tab/>
      </w:r>
      <w:r>
        <w:rPr>
          <w:noProof/>
          <w:color w:val="000000"/>
        </w:rPr>
        <w:t>Šķīrējtiesa var rīkot papildu sēdes, ja Puses par to vienojas.</w:t>
      </w:r>
    </w:p>
    <w:p w:rsidR="003E022D" w:rsidRDefault="007D19D6">
      <w:pPr>
        <w:pBdr>
          <w:top w:val="nil"/>
          <w:left w:val="nil"/>
          <w:bottom w:val="nil"/>
          <w:right w:val="nil"/>
          <w:between w:val="nil"/>
        </w:pBdr>
        <w:spacing w:before="120" w:after="120"/>
        <w:rPr>
          <w:noProof/>
          <w:color w:val="000000"/>
        </w:rPr>
      </w:pPr>
      <w:r>
        <w:rPr>
          <w:noProof/>
          <w:color w:val="000000"/>
        </w:rPr>
        <w:t>25</w:t>
      </w:r>
      <w:r>
        <w:rPr>
          <w:noProof/>
          <w:color w:val="000000"/>
        </w:rPr>
        <w:t>.</w:t>
      </w:r>
      <w:r>
        <w:rPr>
          <w:noProof/>
        </w:rPr>
        <w:tab/>
      </w:r>
      <w:r>
        <w:rPr>
          <w:noProof/>
          <w:color w:val="000000"/>
        </w:rPr>
        <w:t>Visi šķīrējtiesneši ir klāt sēdē visu sēdes laiku.</w:t>
      </w:r>
    </w:p>
    <w:p w:rsidR="003E022D" w:rsidRDefault="007D19D6">
      <w:pPr>
        <w:pBdr>
          <w:top w:val="nil"/>
          <w:left w:val="nil"/>
          <w:bottom w:val="nil"/>
          <w:right w:val="nil"/>
          <w:between w:val="nil"/>
        </w:pBdr>
        <w:spacing w:before="120" w:after="120"/>
        <w:rPr>
          <w:noProof/>
          <w:color w:val="000000"/>
        </w:rPr>
      </w:pPr>
      <w:r>
        <w:rPr>
          <w:noProof/>
          <w:color w:val="000000"/>
        </w:rPr>
        <w:t>26.</w:t>
      </w:r>
      <w:r>
        <w:rPr>
          <w:noProof/>
        </w:rPr>
        <w:tab/>
      </w:r>
      <w:r>
        <w:rPr>
          <w:noProof/>
          <w:color w:val="000000"/>
        </w:rPr>
        <w:t>Ja vien Puses nevienojas citādi, neatkarīgi no tā, vai sēde ir atklāta vai slēgta, tajā var piedalīties šādas personas:</w:t>
      </w:r>
    </w:p>
    <w:p w:rsidR="003E022D" w:rsidRDefault="007D19D6">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Puses pārstāvji;</w:t>
      </w:r>
    </w:p>
    <w:p w:rsidR="003E022D" w:rsidRDefault="007D19D6">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padomnieki;</w:t>
      </w:r>
    </w:p>
    <w:p w:rsidR="003E022D" w:rsidRDefault="007D19D6">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palīgi un administratīvie darbinieki;</w:t>
      </w:r>
    </w:p>
    <w:p w:rsidR="003E022D" w:rsidRDefault="007D19D6">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šķīrējtiesas</w:t>
      </w:r>
      <w:r>
        <w:rPr>
          <w:rFonts w:asciiTheme="majorHAnsi" w:hAnsiTheme="majorHAnsi"/>
          <w:noProof/>
        </w:rPr>
        <w:t xml:space="preserve"> tulki, tulkotāji un šķīrējtiesas referenti  un</w:t>
      </w:r>
    </w:p>
    <w:p w:rsidR="003E022D" w:rsidRDefault="007D19D6">
      <w:pPr>
        <w:pStyle w:val="ListParagraph"/>
        <w:numPr>
          <w:ilvl w:val="0"/>
          <w:numId w:val="989"/>
        </w:numPr>
        <w:ind w:left="567" w:hanging="567"/>
        <w:contextualSpacing w:val="0"/>
        <w:rPr>
          <w:noProof/>
          <w:color w:val="000000"/>
        </w:rPr>
      </w:pPr>
      <w:r>
        <w:rPr>
          <w:rFonts w:asciiTheme="majorHAnsi" w:hAnsiTheme="majorHAnsi"/>
          <w:noProof/>
        </w:rPr>
        <w:t>eksperti</w:t>
      </w:r>
      <w:r>
        <w:rPr>
          <w:noProof/>
        </w:rPr>
        <w:t>, kurus nolēmusi pieaicināt šķīrējtiesa saskaņā ar</w:t>
      </w:r>
      <w:r>
        <w:rPr>
          <w:noProof/>
          <w:color w:val="000000"/>
        </w:rPr>
        <w:t xml:space="preserve">šā nolīguma sestās daļas I sadaļas [Strīdu izšķiršana] INST.26. panta [Informācijas saņemšana] 2. punktu. </w:t>
      </w:r>
    </w:p>
    <w:p w:rsidR="003E022D" w:rsidRDefault="007D19D6">
      <w:pPr>
        <w:pBdr>
          <w:top w:val="nil"/>
          <w:left w:val="nil"/>
          <w:bottom w:val="nil"/>
          <w:right w:val="nil"/>
          <w:between w:val="nil"/>
        </w:pBdr>
        <w:spacing w:before="120" w:after="120"/>
        <w:rPr>
          <w:noProof/>
          <w:color w:val="000000"/>
        </w:rPr>
      </w:pPr>
      <w:r>
        <w:rPr>
          <w:noProof/>
          <w:color w:val="000000"/>
        </w:rPr>
        <w:t>27.</w:t>
      </w:r>
      <w:r>
        <w:rPr>
          <w:noProof/>
        </w:rPr>
        <w:tab/>
      </w:r>
      <w:r>
        <w:rPr>
          <w:noProof/>
          <w:color w:val="000000"/>
        </w:rPr>
        <w:t xml:space="preserve">Katra Puse ne vēlāk kā piecas dienas </w:t>
      </w:r>
      <w:r>
        <w:rPr>
          <w:noProof/>
          <w:color w:val="000000"/>
        </w:rPr>
        <w:t>pirms šķīrējtiesas sēdes šķīrējtiesai un otrai Pusei iesniedz sarakstu ar to personu vārdiem un uzvārdiem, kuras attiecīgās Puses uzdevumā šķīrējtiesas sēdē mutvārdos sniegs argumentu vai cita veida izklāstu, un sarakstu ar citiem pārstāvjiem un padomnieki</w:t>
      </w:r>
      <w:r>
        <w:rPr>
          <w:noProof/>
          <w:color w:val="000000"/>
        </w:rPr>
        <w:t>em, kuri piedalīsies šķīrējtiesas sēdē.</w:t>
      </w:r>
    </w:p>
    <w:p w:rsidR="003E022D" w:rsidRDefault="007D19D6">
      <w:pPr>
        <w:pBdr>
          <w:top w:val="nil"/>
          <w:left w:val="nil"/>
          <w:bottom w:val="nil"/>
          <w:right w:val="nil"/>
          <w:between w:val="nil"/>
        </w:pBdr>
        <w:spacing w:before="120" w:after="120"/>
        <w:rPr>
          <w:noProof/>
          <w:color w:val="000000"/>
        </w:rPr>
      </w:pPr>
      <w:r>
        <w:rPr>
          <w:noProof/>
          <w:color w:val="000000"/>
        </w:rPr>
        <w:t xml:space="preserve">28. </w:t>
      </w:r>
      <w:r>
        <w:rPr>
          <w:noProof/>
        </w:rPr>
        <w:tab/>
      </w:r>
      <w:r>
        <w:rPr>
          <w:noProof/>
          <w:color w:val="000000"/>
        </w:rPr>
        <w:t>Šķīrējtiesas sēdes norise, kurā prasītājai Pusei un atbildētājai Pusei nodrošina vienādu laiku gan debašu, gan repliku sadaļā, ir šāda:</w:t>
      </w:r>
    </w:p>
    <w:p w:rsidR="003E022D" w:rsidRDefault="007D19D6">
      <w:pPr>
        <w:pBdr>
          <w:top w:val="nil"/>
          <w:left w:val="nil"/>
          <w:bottom w:val="nil"/>
          <w:right w:val="nil"/>
          <w:between w:val="nil"/>
        </w:pBdr>
        <w:spacing w:before="120" w:after="120"/>
        <w:rPr>
          <w:i/>
          <w:noProof/>
          <w:color w:val="000000"/>
        </w:rPr>
      </w:pPr>
      <w:r>
        <w:rPr>
          <w:i/>
          <w:noProof/>
          <w:color w:val="000000"/>
        </w:rPr>
        <w:t>Argumentu izklāsts</w:t>
      </w:r>
    </w:p>
    <w:p w:rsidR="003E022D" w:rsidRDefault="007D19D6">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prasītājas Puses argumentu izklāsts;</w:t>
      </w:r>
    </w:p>
    <w:p w:rsidR="003E022D" w:rsidRDefault="007D19D6">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 xml:space="preserve">atbildētājas Puses </w:t>
      </w:r>
      <w:r>
        <w:rPr>
          <w:rFonts w:asciiTheme="majorHAnsi" w:hAnsiTheme="majorHAnsi"/>
          <w:noProof/>
        </w:rPr>
        <w:t>argumentu izklāsts.</w:t>
      </w:r>
    </w:p>
    <w:p w:rsidR="003E022D" w:rsidRDefault="007D19D6">
      <w:pPr>
        <w:rPr>
          <w:rFonts w:asciiTheme="majorHAnsi" w:hAnsiTheme="majorHAnsi" w:cstheme="majorHAnsi"/>
          <w:i/>
          <w:noProof/>
        </w:rPr>
      </w:pPr>
      <w:r>
        <w:rPr>
          <w:rFonts w:asciiTheme="majorHAnsi" w:hAnsiTheme="majorHAnsi"/>
          <w:i/>
          <w:noProof/>
        </w:rPr>
        <w:t>Argumentu atspēkošana</w:t>
      </w:r>
    </w:p>
    <w:p w:rsidR="003E022D" w:rsidRDefault="007D19D6">
      <w:pPr>
        <w:pStyle w:val="ListParagraph"/>
        <w:numPr>
          <w:ilvl w:val="0"/>
          <w:numId w:val="992"/>
        </w:numPr>
        <w:ind w:left="567" w:hanging="567"/>
        <w:contextualSpacing w:val="0"/>
        <w:rPr>
          <w:rFonts w:asciiTheme="majorHAnsi" w:hAnsiTheme="majorHAnsi" w:cstheme="majorHAnsi"/>
          <w:noProof/>
        </w:rPr>
      </w:pPr>
      <w:r>
        <w:rPr>
          <w:rFonts w:asciiTheme="majorHAnsi" w:hAnsiTheme="majorHAnsi"/>
          <w:noProof/>
        </w:rPr>
        <w:t>prasītājas Puses replika;</w:t>
      </w:r>
    </w:p>
    <w:p w:rsidR="003E022D" w:rsidRDefault="007D19D6">
      <w:pPr>
        <w:pStyle w:val="ListParagraph"/>
        <w:numPr>
          <w:ilvl w:val="0"/>
          <w:numId w:val="992"/>
        </w:numPr>
        <w:ind w:left="567" w:hanging="567"/>
        <w:contextualSpacing w:val="0"/>
        <w:rPr>
          <w:noProof/>
          <w:color w:val="000000"/>
        </w:rPr>
      </w:pPr>
      <w:r>
        <w:rPr>
          <w:rFonts w:asciiTheme="majorHAnsi" w:hAnsiTheme="majorHAnsi"/>
          <w:noProof/>
        </w:rPr>
        <w:t>atbildētājas Puses replika.</w:t>
      </w:r>
    </w:p>
    <w:p w:rsidR="003E022D" w:rsidRDefault="007D19D6">
      <w:pPr>
        <w:pBdr>
          <w:top w:val="nil"/>
          <w:left w:val="nil"/>
          <w:bottom w:val="nil"/>
          <w:right w:val="nil"/>
          <w:between w:val="nil"/>
        </w:pBdr>
        <w:spacing w:before="120" w:after="120"/>
        <w:rPr>
          <w:noProof/>
          <w:color w:val="000000"/>
        </w:rPr>
      </w:pPr>
      <w:r>
        <w:rPr>
          <w:noProof/>
          <w:color w:val="000000"/>
        </w:rPr>
        <w:t>29.</w:t>
      </w:r>
      <w:r>
        <w:rPr>
          <w:noProof/>
        </w:rPr>
        <w:tab/>
      </w:r>
      <w:r>
        <w:rPr>
          <w:noProof/>
          <w:color w:val="000000"/>
        </w:rPr>
        <w:t>Sēdes laikā šķīrējtiesa var jebkurai no Pusēm jebkurā laikā uzdot jautājumus.</w:t>
      </w:r>
    </w:p>
    <w:p w:rsidR="003E022D" w:rsidRDefault="007D19D6">
      <w:pPr>
        <w:pBdr>
          <w:top w:val="nil"/>
          <w:left w:val="nil"/>
          <w:bottom w:val="nil"/>
          <w:right w:val="nil"/>
          <w:between w:val="nil"/>
        </w:pBdr>
        <w:spacing w:before="120" w:after="120"/>
        <w:rPr>
          <w:noProof/>
          <w:color w:val="000000"/>
        </w:rPr>
      </w:pPr>
      <w:r>
        <w:rPr>
          <w:noProof/>
          <w:color w:val="000000"/>
        </w:rPr>
        <w:t>30.</w:t>
      </w:r>
      <w:r>
        <w:rPr>
          <w:noProof/>
        </w:rPr>
        <w:tab/>
      </w:r>
      <w:r>
        <w:rPr>
          <w:noProof/>
          <w:color w:val="000000"/>
        </w:rPr>
        <w:t>Šķīrējtiesa organizē sēdes protokolēšanu un protokola nodošanu Pusēm iespē</w:t>
      </w:r>
      <w:r>
        <w:rPr>
          <w:noProof/>
          <w:color w:val="000000"/>
        </w:rPr>
        <w:t>jami īsā laikā pēc sēdes. Puses var iesniegt piezīmes par protokolu, un šķīrējtiesa tās var ņemt vērā.</w:t>
      </w:r>
    </w:p>
    <w:p w:rsidR="003E022D" w:rsidRDefault="007D19D6">
      <w:pPr>
        <w:rPr>
          <w:noProof/>
        </w:rPr>
      </w:pPr>
      <w:r>
        <w:rPr>
          <w:noProof/>
        </w:rPr>
        <w:t>31.</w:t>
      </w:r>
      <w:r>
        <w:rPr>
          <w:noProof/>
        </w:rPr>
        <w:tab/>
        <w:t>Katra Puse 10 dienu laikā pēc sēdes dienas var iesniegt papildu rakstisku izklāstu par jebkuru jautājumu, kas radies sēdes laikā.</w:t>
      </w:r>
    </w:p>
    <w:p w:rsidR="003E022D" w:rsidRDefault="007D19D6">
      <w:pPr>
        <w:jc w:val="center"/>
        <w:rPr>
          <w:b/>
          <w:noProof/>
        </w:rPr>
      </w:pPr>
      <w:r>
        <w:rPr>
          <w:b/>
          <w:noProof/>
        </w:rPr>
        <w:t xml:space="preserve">IX. </w:t>
      </w:r>
      <w:r>
        <w:rPr>
          <w:noProof/>
        </w:rPr>
        <w:tab/>
      </w:r>
      <w:r>
        <w:rPr>
          <w:b/>
          <w:noProof/>
        </w:rPr>
        <w:t>Rakstiski jaut</w:t>
      </w:r>
      <w:r>
        <w:rPr>
          <w:b/>
          <w:noProof/>
        </w:rPr>
        <w:t>ājumi</w:t>
      </w:r>
    </w:p>
    <w:p w:rsidR="003E022D" w:rsidRDefault="007D19D6">
      <w:pPr>
        <w:pBdr>
          <w:top w:val="nil"/>
          <w:left w:val="nil"/>
          <w:bottom w:val="nil"/>
          <w:right w:val="nil"/>
          <w:between w:val="nil"/>
        </w:pBdr>
        <w:spacing w:before="120" w:after="120"/>
        <w:rPr>
          <w:noProof/>
          <w:color w:val="000000"/>
        </w:rPr>
      </w:pPr>
      <w:r>
        <w:rPr>
          <w:noProof/>
          <w:color w:val="000000"/>
        </w:rPr>
        <w:t>32.</w:t>
      </w:r>
      <w:r>
        <w:rPr>
          <w:noProof/>
        </w:rPr>
        <w:tab/>
      </w:r>
      <w:r>
        <w:rPr>
          <w:noProof/>
          <w:color w:val="000000"/>
        </w:rPr>
        <w:t>Šķīrējtiesa jebkurā procesa posmā vienai vai abām Pusēm var iesniegt rakstiskus jautājumus. Visu vienai Pusei iesniegto jautājumu kopiju sniedz otrai Pusei.</w:t>
      </w:r>
    </w:p>
    <w:p w:rsidR="003E022D" w:rsidRDefault="007D19D6">
      <w:pPr>
        <w:pBdr>
          <w:top w:val="nil"/>
          <w:left w:val="nil"/>
          <w:bottom w:val="nil"/>
          <w:right w:val="nil"/>
          <w:between w:val="nil"/>
        </w:pBdr>
        <w:spacing w:before="120" w:after="120"/>
        <w:rPr>
          <w:noProof/>
          <w:color w:val="000000"/>
        </w:rPr>
      </w:pPr>
      <w:r>
        <w:rPr>
          <w:noProof/>
          <w:color w:val="000000"/>
        </w:rPr>
        <w:t>33.</w:t>
      </w:r>
      <w:r>
        <w:rPr>
          <w:noProof/>
        </w:rPr>
        <w:tab/>
      </w:r>
      <w:r>
        <w:rPr>
          <w:noProof/>
          <w:color w:val="000000"/>
        </w:rPr>
        <w:t>Katra Puse sniedz otrai Pusei savu uz šķīrējtiesas jautājumiem sniegto atbilžu kopiju</w:t>
      </w:r>
      <w:r>
        <w:rPr>
          <w:noProof/>
          <w:color w:val="000000"/>
        </w:rPr>
        <w:t>. Otrai Pusei ir iespēja piecu dienu laikā pēc šādas kopijas saņemšanas rakstveidā sniegt piezīmes par minētajām Puses atbildēm.</w:t>
      </w:r>
    </w:p>
    <w:p w:rsidR="003E022D" w:rsidRDefault="007D19D6">
      <w:pPr>
        <w:jc w:val="center"/>
        <w:rPr>
          <w:b/>
          <w:noProof/>
        </w:rPr>
      </w:pPr>
      <w:r>
        <w:rPr>
          <w:b/>
          <w:noProof/>
        </w:rPr>
        <w:t>X.</w:t>
      </w:r>
      <w:r>
        <w:rPr>
          <w:noProof/>
        </w:rPr>
        <w:tab/>
      </w:r>
      <w:r>
        <w:rPr>
          <w:b/>
          <w:noProof/>
        </w:rPr>
        <w:t>Konfidencialitāte</w:t>
      </w:r>
    </w:p>
    <w:p w:rsidR="003E022D" w:rsidRDefault="007D19D6">
      <w:pPr>
        <w:rPr>
          <w:noProof/>
        </w:rPr>
      </w:pPr>
      <w:r>
        <w:rPr>
          <w:noProof/>
        </w:rPr>
        <w:t>34.</w:t>
      </w:r>
      <w:r>
        <w:rPr>
          <w:noProof/>
        </w:rPr>
        <w:tab/>
        <w:t>Katra Puse un šķīrējtiesa ievēro konfidencialitāti attiecībā uz informāciju, ko otra Puse iesniegusi š</w:t>
      </w:r>
      <w:r>
        <w:rPr>
          <w:noProof/>
        </w:rPr>
        <w:t xml:space="preserve">ķīrējtiesai un ko minētā otra Puse noteikusi par konfidenciālu. Ja Puse šķīrējtiesai iesniedz rakstisku izklāstu, kas ietver konfidenciālu informāciju, tā 15 dienu laikā iesniedz arī izklāstu bez šīs konfidenciālās informācijas, kas tiek publiskots. </w:t>
      </w:r>
    </w:p>
    <w:p w:rsidR="003E022D" w:rsidRDefault="007D19D6">
      <w:pPr>
        <w:rPr>
          <w:noProof/>
        </w:rPr>
      </w:pPr>
      <w:r>
        <w:rPr>
          <w:noProof/>
        </w:rPr>
        <w:t>35.</w:t>
      </w:r>
      <w:r>
        <w:rPr>
          <w:noProof/>
        </w:rPr>
        <w:tab/>
        <w:t>N</w:t>
      </w:r>
      <w:r>
        <w:rPr>
          <w:noProof/>
        </w:rPr>
        <w:t xml:space="preserve">ekas šajā reglamentā neliedz Pusei publiskot savas nostājas izklāstus, ciktāl, atsaucoties uz otras Puses sniegto informāciju, tā neizpauž nekādu informāciju, ko otra Puse noteikusi par konfidenciālu. </w:t>
      </w:r>
    </w:p>
    <w:p w:rsidR="003E022D" w:rsidRDefault="007D19D6">
      <w:pPr>
        <w:rPr>
          <w:b/>
          <w:noProof/>
        </w:rPr>
      </w:pPr>
      <w:r>
        <w:rPr>
          <w:noProof/>
        </w:rPr>
        <w:t>36.</w:t>
      </w:r>
      <w:r>
        <w:rPr>
          <w:noProof/>
        </w:rPr>
        <w:tab/>
        <w:t>Attiecīgās šķīrējtiesas sēdes daļas ir slēgtas, ja</w:t>
      </w:r>
      <w:r>
        <w:rPr>
          <w:noProof/>
        </w:rPr>
        <w:t xml:space="preserve"> Puses izklāsti un argumenti ietver konfidenciālu informāciju. Ja šķīrējtiesas sēde ir slēgta, Puses ievēro sēdes konfidencialitāti.</w:t>
      </w:r>
    </w:p>
    <w:p w:rsidR="003E022D" w:rsidRDefault="007D19D6">
      <w:pPr>
        <w:jc w:val="center"/>
        <w:rPr>
          <w:b/>
          <w:noProof/>
        </w:rPr>
      </w:pPr>
      <w:r>
        <w:rPr>
          <w:b/>
          <w:noProof/>
        </w:rPr>
        <w:t>XI.</w:t>
      </w:r>
      <w:r>
        <w:rPr>
          <w:b/>
          <w:i/>
          <w:noProof/>
        </w:rPr>
        <w:t xml:space="preserve"> </w:t>
      </w:r>
      <w:r>
        <w:rPr>
          <w:noProof/>
        </w:rPr>
        <w:tab/>
      </w:r>
      <w:r>
        <w:rPr>
          <w:b/>
          <w:i/>
          <w:noProof/>
        </w:rPr>
        <w:t>Ex parte</w:t>
      </w:r>
      <w:r>
        <w:rPr>
          <w:b/>
          <w:noProof/>
        </w:rPr>
        <w:t xml:space="preserve"> saziņa</w:t>
      </w:r>
    </w:p>
    <w:p w:rsidR="003E022D" w:rsidRDefault="007D19D6">
      <w:pPr>
        <w:pBdr>
          <w:top w:val="nil"/>
          <w:left w:val="nil"/>
          <w:bottom w:val="nil"/>
          <w:right w:val="nil"/>
          <w:between w:val="nil"/>
        </w:pBdr>
        <w:spacing w:before="120" w:after="120"/>
        <w:rPr>
          <w:noProof/>
          <w:color w:val="000000"/>
        </w:rPr>
      </w:pPr>
      <w:r>
        <w:rPr>
          <w:noProof/>
          <w:color w:val="000000"/>
        </w:rPr>
        <w:t>37.</w:t>
      </w:r>
      <w:r>
        <w:rPr>
          <w:noProof/>
        </w:rPr>
        <w:tab/>
      </w:r>
      <w:r>
        <w:rPr>
          <w:noProof/>
          <w:color w:val="000000"/>
        </w:rPr>
        <w:t xml:space="preserve">Šķīrējtiesa netiekas un nesazinās ar Pusi, neesot klāt otrai Pusei. </w:t>
      </w:r>
    </w:p>
    <w:p w:rsidR="003E022D" w:rsidRDefault="007D19D6">
      <w:pPr>
        <w:pBdr>
          <w:top w:val="nil"/>
          <w:left w:val="nil"/>
          <w:bottom w:val="nil"/>
          <w:right w:val="nil"/>
          <w:between w:val="nil"/>
        </w:pBdr>
        <w:spacing w:before="120" w:after="120"/>
        <w:rPr>
          <w:noProof/>
          <w:color w:val="000000"/>
        </w:rPr>
      </w:pPr>
      <w:r>
        <w:rPr>
          <w:noProof/>
          <w:color w:val="000000"/>
        </w:rPr>
        <w:t>38.</w:t>
      </w:r>
      <w:r>
        <w:rPr>
          <w:noProof/>
        </w:rPr>
        <w:tab/>
      </w:r>
      <w:r>
        <w:rPr>
          <w:noProof/>
          <w:color w:val="000000"/>
        </w:rPr>
        <w:t xml:space="preserve">Šķīrējtiesnesis </w:t>
      </w:r>
      <w:r>
        <w:rPr>
          <w:noProof/>
          <w:color w:val="000000"/>
        </w:rPr>
        <w:t>neapspriež procesa priekšmetu ne ar vienu, ne ar abām Pusēm pārējo šķīrējtiesnešu prombūtnē.</w:t>
      </w:r>
    </w:p>
    <w:p w:rsidR="003E022D" w:rsidRDefault="007D19D6">
      <w:pPr>
        <w:jc w:val="center"/>
        <w:rPr>
          <w:b/>
          <w:noProof/>
        </w:rPr>
      </w:pPr>
      <w:r>
        <w:rPr>
          <w:b/>
          <w:noProof/>
        </w:rPr>
        <w:t>XII.</w:t>
      </w:r>
      <w:r>
        <w:rPr>
          <w:noProof/>
        </w:rPr>
        <w:tab/>
      </w:r>
      <w:r>
        <w:rPr>
          <w:b/>
          <w:i/>
          <w:noProof/>
        </w:rPr>
        <w:t>Amicus curiae</w:t>
      </w:r>
      <w:r>
        <w:rPr>
          <w:b/>
          <w:noProof/>
        </w:rPr>
        <w:t xml:space="preserve"> izklāsti</w:t>
      </w:r>
    </w:p>
    <w:p w:rsidR="003E022D" w:rsidRDefault="007D19D6">
      <w:pPr>
        <w:pBdr>
          <w:top w:val="nil"/>
          <w:left w:val="nil"/>
          <w:bottom w:val="nil"/>
          <w:right w:val="nil"/>
          <w:between w:val="nil"/>
        </w:pBdr>
        <w:spacing w:before="120" w:after="120"/>
        <w:rPr>
          <w:noProof/>
          <w:color w:val="000000"/>
        </w:rPr>
      </w:pPr>
      <w:r>
        <w:rPr>
          <w:noProof/>
          <w:color w:val="000000"/>
        </w:rPr>
        <w:t>39.</w:t>
      </w:r>
      <w:r>
        <w:rPr>
          <w:noProof/>
        </w:rPr>
        <w:tab/>
      </w:r>
      <w:r>
        <w:rPr>
          <w:noProof/>
          <w:color w:val="000000"/>
        </w:rPr>
        <w:t>Ja vien Puses piecu dienu laikā no šķīrējtiesas izveidošanas dienas nevienojas citādi, šķīrējtiesa var pieņemt brīvprātīgus rakstis</w:t>
      </w:r>
      <w:r>
        <w:rPr>
          <w:noProof/>
          <w:color w:val="000000"/>
        </w:rPr>
        <w:t>kus izklāstus no fiziskām personām, kas saistītas ar vienu Pusi, vai juridiskām personām, kuras dibinātas vienas Puses teritorijā un ir neatkarīga no Pušu valdībām, ar nosacījumu, ka:</w:t>
      </w:r>
    </w:p>
    <w:p w:rsidR="003E022D" w:rsidRDefault="007D19D6">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šķīrējtiesa tos saņēmusi 10 dienu laikā no šķīrējtiesas izveidošanas die</w:t>
      </w:r>
      <w:r>
        <w:rPr>
          <w:rFonts w:asciiTheme="majorHAnsi" w:hAnsiTheme="majorHAnsi"/>
          <w:noProof/>
        </w:rPr>
        <w:t xml:space="preserve">nas; </w:t>
      </w:r>
    </w:p>
    <w:p w:rsidR="003E022D" w:rsidRDefault="007D19D6">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tie ir kodolīgi un, ieskaitot pielikumus, nekādā gadījumā nav garāki par 15 lappusēm ar dubulto atstatumu starp rindiņām; </w:t>
      </w:r>
    </w:p>
    <w:p w:rsidR="003E022D" w:rsidRDefault="007D19D6">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tie ir tieši nozīmīgi šķīrējtiesas izskatāmajiem faktu vai tiesību jautājumiem;</w:t>
      </w:r>
    </w:p>
    <w:p w:rsidR="003E022D" w:rsidRDefault="007D19D6">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tie ietver aprakstu par personu, kas iesniedz š</w:t>
      </w:r>
      <w:r>
        <w:rPr>
          <w:rFonts w:asciiTheme="majorHAnsi" w:hAnsiTheme="majorHAnsi"/>
          <w:noProof/>
        </w:rPr>
        <w:t xml:space="preserve">o izklāstu, tai skaitā attiecībā uz fizisku personu — valstspiederību, bet attiecībā uz juridisku personu — dibināšanas vietu, darbības raksturu, juridisko statusu, vispārīgos mērķus un finansējuma avotus; </w:t>
      </w:r>
    </w:p>
    <w:p w:rsidR="003E022D" w:rsidRDefault="007D19D6">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tajos ir konkretizēts, kādas ir attiecīgās person</w:t>
      </w:r>
      <w:r>
        <w:rPr>
          <w:rFonts w:asciiTheme="majorHAnsi" w:hAnsiTheme="majorHAnsi"/>
          <w:noProof/>
        </w:rPr>
        <w:t xml:space="preserve">as intereses saistībā ar šķīrējtiesas procesu; un  </w:t>
      </w:r>
    </w:p>
    <w:p w:rsidR="003E022D" w:rsidRDefault="007D19D6">
      <w:pPr>
        <w:pStyle w:val="ListParagraph"/>
        <w:numPr>
          <w:ilvl w:val="0"/>
          <w:numId w:val="991"/>
        </w:numPr>
        <w:ind w:left="567" w:hanging="567"/>
        <w:contextualSpacing w:val="0"/>
        <w:rPr>
          <w:noProof/>
          <w:color w:val="000000"/>
        </w:rPr>
      </w:pPr>
      <w:r>
        <w:rPr>
          <w:rFonts w:asciiTheme="majorHAnsi" w:hAnsiTheme="majorHAnsi"/>
          <w:noProof/>
        </w:rPr>
        <w:t>tie ir sastādīti angļu valodā.</w:t>
      </w:r>
    </w:p>
    <w:p w:rsidR="003E022D" w:rsidRDefault="007D19D6">
      <w:pPr>
        <w:pBdr>
          <w:top w:val="nil"/>
          <w:left w:val="nil"/>
          <w:bottom w:val="nil"/>
          <w:right w:val="nil"/>
          <w:between w:val="nil"/>
        </w:pBdr>
        <w:spacing w:before="120" w:after="120"/>
        <w:rPr>
          <w:noProof/>
          <w:color w:val="000000"/>
        </w:rPr>
      </w:pPr>
      <w:r>
        <w:rPr>
          <w:noProof/>
          <w:color w:val="000000"/>
        </w:rPr>
        <w:t>40.</w:t>
      </w:r>
      <w:r>
        <w:rPr>
          <w:noProof/>
        </w:rPr>
        <w:tab/>
      </w:r>
      <w:r>
        <w:rPr>
          <w:noProof/>
          <w:color w:val="000000"/>
        </w:rPr>
        <w:t xml:space="preserve">Izklāstus nosūta Pusēm, lai tās varētu iesniegt piezīmes. Puses var iesniegt šķīrējtiesai savas piezīmes 10 dienu laikā no paziņojuma nosūtīšanas dienas. </w:t>
      </w:r>
    </w:p>
    <w:p w:rsidR="003E022D" w:rsidRDefault="007D19D6">
      <w:pPr>
        <w:pBdr>
          <w:top w:val="nil"/>
          <w:left w:val="nil"/>
          <w:bottom w:val="nil"/>
          <w:right w:val="nil"/>
          <w:between w:val="nil"/>
        </w:pBdr>
        <w:spacing w:before="120" w:after="120"/>
        <w:rPr>
          <w:noProof/>
          <w:color w:val="000000"/>
        </w:rPr>
      </w:pPr>
      <w:r>
        <w:rPr>
          <w:noProof/>
          <w:color w:val="000000"/>
        </w:rPr>
        <w:t>41.</w:t>
      </w:r>
      <w:r>
        <w:rPr>
          <w:noProof/>
        </w:rPr>
        <w:tab/>
      </w:r>
      <w:r>
        <w:rPr>
          <w:noProof/>
          <w:color w:val="000000"/>
        </w:rPr>
        <w:t>Šķīrējties</w:t>
      </w:r>
      <w:r>
        <w:rPr>
          <w:noProof/>
          <w:color w:val="000000"/>
        </w:rPr>
        <w:t>a savā ziņojumā uzskaita visus izklāstus, ko tā saņēmusi saskaņā ar 39. punktu. Šķīrējtiesai nav pienākuma savā ziņojumā pievērsties šādi iesniegtajos izklāstos sniegtajai argumentācijai, tomēr, ja tā to dara, tā ņem vērā arī visas piezīmes, ko Puses snieg</w:t>
      </w:r>
      <w:r>
        <w:rPr>
          <w:noProof/>
          <w:color w:val="000000"/>
        </w:rPr>
        <w:t xml:space="preserve">ušas saskaņā ar 40. punktu. </w:t>
      </w:r>
    </w:p>
    <w:p w:rsidR="003E022D" w:rsidRDefault="007D19D6">
      <w:pPr>
        <w:pBdr>
          <w:top w:val="nil"/>
          <w:left w:val="nil"/>
          <w:bottom w:val="nil"/>
          <w:right w:val="nil"/>
          <w:between w:val="nil"/>
        </w:pBdr>
        <w:spacing w:before="120" w:after="120"/>
        <w:ind w:left="142" w:hanging="142"/>
        <w:jc w:val="center"/>
        <w:rPr>
          <w:b/>
          <w:noProof/>
        </w:rPr>
      </w:pPr>
      <w:r>
        <w:rPr>
          <w:b/>
          <w:noProof/>
        </w:rPr>
        <w:t>XIII.</w:t>
      </w:r>
      <w:r>
        <w:rPr>
          <w:noProof/>
        </w:rPr>
        <w:tab/>
      </w:r>
      <w:r>
        <w:rPr>
          <w:b/>
          <w:noProof/>
        </w:rPr>
        <w:t>Steidzamas lietas</w:t>
      </w:r>
    </w:p>
    <w:p w:rsidR="003E022D" w:rsidRDefault="007D19D6">
      <w:pPr>
        <w:rPr>
          <w:noProof/>
        </w:rPr>
      </w:pPr>
      <w:r>
        <w:rPr>
          <w:noProof/>
        </w:rPr>
        <w:t>42.</w:t>
      </w:r>
      <w:r>
        <w:rPr>
          <w:noProof/>
        </w:rPr>
        <w:tab/>
      </w:r>
      <w:r>
        <w:rPr>
          <w:rFonts w:asciiTheme="majorHAnsi" w:hAnsiTheme="majorHAnsi"/>
          <w:noProof/>
          <w:color w:val="000000"/>
        </w:rPr>
        <w:t>Šā nolīguma sestās daļas I sadaļas [Strīdu izšķiršana] INST.19. pantā [Steidzama tiesvedība]</w:t>
      </w:r>
      <w:r>
        <w:rPr>
          <w:noProof/>
        </w:rPr>
        <w:t xml:space="preserve"> minētajos steidzamajos gadījumos šķīrējtiesa pēc apspriešanās ar Pusēm pēc vajadzības pielāgo šajā reglame</w:t>
      </w:r>
      <w:r>
        <w:rPr>
          <w:noProof/>
        </w:rPr>
        <w:t>ntā minētos termiņus. Šķīrējtiesa informē Puses par šādiem pielāgojumiem.</w:t>
      </w:r>
    </w:p>
    <w:p w:rsidR="003E022D" w:rsidRDefault="007D19D6">
      <w:pPr>
        <w:jc w:val="center"/>
        <w:rPr>
          <w:b/>
          <w:noProof/>
        </w:rPr>
      </w:pPr>
      <w:r>
        <w:rPr>
          <w:b/>
          <w:noProof/>
        </w:rPr>
        <w:t>XIV. Rakstiskā un mutiskā tulkošana</w:t>
      </w:r>
    </w:p>
    <w:p w:rsidR="003E022D" w:rsidRDefault="007D19D6">
      <w:pPr>
        <w:pBdr>
          <w:top w:val="nil"/>
          <w:left w:val="nil"/>
          <w:bottom w:val="nil"/>
          <w:right w:val="nil"/>
          <w:between w:val="nil"/>
        </w:pBdr>
        <w:spacing w:before="120" w:after="120"/>
        <w:rPr>
          <w:noProof/>
        </w:rPr>
      </w:pPr>
      <w:r>
        <w:rPr>
          <w:noProof/>
          <w:color w:val="000000"/>
        </w:rPr>
        <w:t>43.</w:t>
      </w:r>
      <w:r>
        <w:rPr>
          <w:noProof/>
        </w:rPr>
        <w:tab/>
      </w:r>
      <w:r>
        <w:rPr>
          <w:noProof/>
          <w:color w:val="222222"/>
        </w:rPr>
        <w:t xml:space="preserve">Lietas izskatīšanas valoda šķīrējtiesā ir angļu valoda. Šķīrējtiesas ziņojumi un lēmumi tiek pieņemti angļu valodā.  </w:t>
      </w:r>
    </w:p>
    <w:p w:rsidR="003E022D" w:rsidRDefault="007D19D6">
      <w:pPr>
        <w:pBdr>
          <w:top w:val="nil"/>
          <w:left w:val="nil"/>
          <w:bottom w:val="nil"/>
          <w:right w:val="nil"/>
          <w:between w:val="nil"/>
        </w:pBdr>
        <w:spacing w:before="120" w:after="120"/>
        <w:rPr>
          <w:noProof/>
          <w:color w:val="000000"/>
        </w:rPr>
      </w:pPr>
      <w:r>
        <w:rPr>
          <w:noProof/>
          <w:color w:val="000000"/>
        </w:rPr>
        <w:t>44.</w:t>
      </w:r>
      <w:r>
        <w:rPr>
          <w:noProof/>
        </w:rPr>
        <w:tab/>
      </w:r>
      <w:r>
        <w:rPr>
          <w:noProof/>
          <w:color w:val="000000"/>
        </w:rPr>
        <w:t>Katra Puse pati sedz</w:t>
      </w:r>
      <w:r>
        <w:rPr>
          <w:noProof/>
          <w:color w:val="000000"/>
        </w:rPr>
        <w:t xml:space="preserve"> izmaksas par to šķīrējtiesai iesniegto dokumentu tulkošanu, kas sākotnēji nav izstrādāti angļu valodā, kā arī izmaksas par mutisko tulkošanu, kas sēdes laikā ir vajadzīga tās pārstāvjiem vai padomniekiem.</w:t>
      </w:r>
    </w:p>
    <w:p w:rsidR="003E022D" w:rsidRDefault="007D19D6">
      <w:pPr>
        <w:jc w:val="center"/>
        <w:rPr>
          <w:b/>
          <w:noProof/>
        </w:rPr>
      </w:pPr>
      <w:r>
        <w:rPr>
          <w:b/>
          <w:noProof/>
        </w:rPr>
        <w:t xml:space="preserve">XV. </w:t>
      </w:r>
      <w:r>
        <w:rPr>
          <w:noProof/>
        </w:rPr>
        <w:tab/>
      </w:r>
      <w:r>
        <w:rPr>
          <w:b/>
          <w:noProof/>
        </w:rPr>
        <w:t>Citas procedūras</w:t>
      </w:r>
    </w:p>
    <w:p w:rsidR="003E022D" w:rsidRDefault="007D19D6">
      <w:pPr>
        <w:rPr>
          <w:noProof/>
        </w:rPr>
      </w:pPr>
      <w:r>
        <w:rPr>
          <w:noProof/>
        </w:rPr>
        <w:t>48.</w:t>
      </w:r>
      <w:r>
        <w:rPr>
          <w:noProof/>
        </w:rPr>
        <w:tab/>
      </w:r>
      <w:r>
        <w:rPr>
          <w:noProof/>
        </w:rPr>
        <w:t xml:space="preserve">Šajā reglamentā noteiktos termiņus pielāgo atbilstoši īpašajiem termiņiem, kas paredzēti šķīrējtiesas ziņojuma vai lēmuma pieņemšanai procesos, kuri paredzēti </w:t>
      </w:r>
      <w:r>
        <w:rPr>
          <w:rFonts w:asciiTheme="majorHAnsi" w:hAnsiTheme="majorHAnsi"/>
          <w:noProof/>
          <w:color w:val="000000"/>
        </w:rPr>
        <w:t>šā nolīguma sestās daļas I sadaļas [Strīdu izšķiršana] INST.22. pantā (Samērīgs termiņš), INST.23</w:t>
      </w:r>
      <w:r>
        <w:rPr>
          <w:rFonts w:asciiTheme="majorHAnsi" w:hAnsiTheme="majorHAnsi"/>
          <w:noProof/>
          <w:color w:val="000000"/>
        </w:rPr>
        <w:t>. pantā (Atbilstības pārskatīšana), INST.24. pantā (Pagaidu tiesiskās aizsardzības līdzekļi) un INST.25 pantā (Jebkura pasākuma, kas veikts, lai nodrošinātu atbilstību pēc pagaidu tiesiskās aizsardzības līdzekļu pasludināšanas, pārbaude)</w:t>
      </w:r>
      <w:r>
        <w:rPr>
          <w:noProof/>
        </w:rPr>
        <w:t>.</w:t>
      </w:r>
    </w:p>
    <w:p w:rsidR="003E022D" w:rsidRDefault="007D19D6">
      <w:pPr>
        <w:rPr>
          <w:rFonts w:eastAsia="Century" w:cstheme="minorHAnsi"/>
          <w:i/>
          <w:noProof/>
        </w:rPr>
      </w:pPr>
      <w:r>
        <w:rPr>
          <w:noProof/>
        </w:rPr>
        <w:br w:type="page"/>
      </w:r>
    </w:p>
    <w:p w:rsidR="003E022D" w:rsidRDefault="007D19D6">
      <w:pPr>
        <w:pStyle w:val="ANNEX"/>
        <w:rPr>
          <w:rFonts w:cstheme="minorHAnsi"/>
          <w:noProof/>
        </w:rPr>
      </w:pPr>
      <w:hyperlink w:anchor="_Toc35449719" w:history="1">
        <w:bookmarkStart w:id="1408" w:name="_Toc59988431"/>
        <w:bookmarkStart w:id="1409" w:name="_Toc59645290"/>
        <w:r>
          <w:rPr>
            <w:noProof/>
          </w:rPr>
          <w:t xml:space="preserve">INST PIELIKUMS. </w:t>
        </w:r>
      </w:hyperlink>
      <w:r>
        <w:rPr>
          <w:noProof/>
        </w:rPr>
        <w:t xml:space="preserve">ŠĶĪRĒJTIESNEŠU </w:t>
      </w:r>
      <w:hyperlink w:anchor="_Toc35449719" w:history="1">
        <w:r>
          <w:rPr>
            <w:noProof/>
          </w:rPr>
          <w:t>RĪCĪBAS KODEKSS</w:t>
        </w:r>
        <w:bookmarkEnd w:id="1408"/>
      </w:hyperlink>
      <w:bookmarkEnd w:id="1409"/>
    </w:p>
    <w:p w:rsidR="003E022D" w:rsidRDefault="007D19D6">
      <w:pPr>
        <w:spacing w:after="0"/>
        <w:contextualSpacing/>
        <w:jc w:val="center"/>
        <w:rPr>
          <w:b/>
          <w:noProof/>
        </w:rPr>
      </w:pPr>
      <w:r>
        <w:rPr>
          <w:b/>
          <w:noProof/>
        </w:rPr>
        <w:t>I.</w:t>
      </w:r>
      <w:r>
        <w:rPr>
          <w:noProof/>
        </w:rPr>
        <w:tab/>
      </w:r>
      <w:r>
        <w:rPr>
          <w:b/>
          <w:noProof/>
        </w:rPr>
        <w:t>Definīcijas</w:t>
      </w:r>
    </w:p>
    <w:p w:rsidR="003E022D" w:rsidRDefault="003E022D">
      <w:pPr>
        <w:spacing w:after="0"/>
        <w:contextualSpacing/>
        <w:jc w:val="center"/>
        <w:rPr>
          <w:noProof/>
        </w:rPr>
      </w:pPr>
    </w:p>
    <w:p w:rsidR="003E022D" w:rsidRDefault="007D19D6">
      <w:pPr>
        <w:rPr>
          <w:noProof/>
        </w:rPr>
      </w:pPr>
      <w:r>
        <w:rPr>
          <w:noProof/>
        </w:rPr>
        <w:t>1.</w:t>
      </w:r>
      <w:r>
        <w:rPr>
          <w:noProof/>
        </w:rPr>
        <w:tab/>
        <w:t>Šajā rīcības kodeksā piemēro šādas definīcijas:</w:t>
      </w:r>
    </w:p>
    <w:p w:rsidR="003E022D" w:rsidRDefault="007D19D6">
      <w:pPr>
        <w:pStyle w:val="ListParagraph"/>
        <w:numPr>
          <w:ilvl w:val="0"/>
          <w:numId w:val="982"/>
        </w:numPr>
        <w:ind w:left="426" w:hanging="426"/>
        <w:rPr>
          <w:rFonts w:cstheme="minorHAnsi"/>
          <w:noProof/>
        </w:rPr>
      </w:pPr>
      <w:r>
        <w:rPr>
          <w:noProof/>
        </w:rPr>
        <w:t>“administratīvie darbinieki” attiecībā uz šķīrējtiesnesi ir personas, kas strādā šķīrējtiesne</w:t>
      </w:r>
      <w:r>
        <w:rPr>
          <w:noProof/>
        </w:rPr>
        <w:t>ša vadībā un pakļautībā, izņemot palīgus;</w:t>
      </w:r>
    </w:p>
    <w:p w:rsidR="003E022D" w:rsidRDefault="003E022D">
      <w:pPr>
        <w:pStyle w:val="ListParagraph"/>
        <w:ind w:left="426"/>
        <w:rPr>
          <w:rFonts w:cstheme="minorHAnsi"/>
          <w:noProof/>
        </w:rPr>
      </w:pPr>
    </w:p>
    <w:p w:rsidR="003E022D" w:rsidRDefault="007D19D6">
      <w:pPr>
        <w:pStyle w:val="ListParagraph"/>
        <w:numPr>
          <w:ilvl w:val="0"/>
          <w:numId w:val="982"/>
        </w:numPr>
        <w:ind w:left="426" w:hanging="426"/>
        <w:rPr>
          <w:rFonts w:cstheme="minorHAnsi"/>
          <w:noProof/>
        </w:rPr>
      </w:pPr>
      <w:r>
        <w:rPr>
          <w:noProof/>
        </w:rPr>
        <w:t>“šķīrējtiesnesis” ir šķīrējtiesas loceklis;</w:t>
      </w:r>
    </w:p>
    <w:p w:rsidR="003E022D" w:rsidRDefault="003E022D">
      <w:pPr>
        <w:pStyle w:val="ListParagraph"/>
        <w:ind w:left="426"/>
        <w:rPr>
          <w:rFonts w:cstheme="minorHAnsi"/>
          <w:noProof/>
        </w:rPr>
      </w:pPr>
    </w:p>
    <w:p w:rsidR="003E022D" w:rsidRDefault="007D19D6">
      <w:pPr>
        <w:pStyle w:val="ListParagraph"/>
        <w:numPr>
          <w:ilvl w:val="0"/>
          <w:numId w:val="982"/>
        </w:numPr>
        <w:ind w:left="426" w:hanging="426"/>
        <w:rPr>
          <w:rFonts w:cstheme="minorHAnsi"/>
          <w:noProof/>
        </w:rPr>
      </w:pPr>
      <w:r>
        <w:rPr>
          <w:noProof/>
        </w:rPr>
        <w:t>“palīgs” ir persona, kas saskaņā ar šķīrējtiesneša iecelšanas noteikumiem veic izpēti vai palīdz minētajam šķīrējtiesnesim; un</w:t>
      </w:r>
    </w:p>
    <w:p w:rsidR="003E022D" w:rsidRDefault="003E022D">
      <w:pPr>
        <w:pStyle w:val="ListParagraph"/>
        <w:ind w:left="426"/>
        <w:rPr>
          <w:rFonts w:cstheme="minorHAnsi"/>
          <w:noProof/>
        </w:rPr>
      </w:pPr>
    </w:p>
    <w:p w:rsidR="003E022D" w:rsidRDefault="007D19D6">
      <w:pPr>
        <w:pStyle w:val="ListParagraph"/>
        <w:numPr>
          <w:ilvl w:val="0"/>
          <w:numId w:val="982"/>
        </w:numPr>
        <w:ind w:left="426" w:hanging="426"/>
        <w:rPr>
          <w:rFonts w:cstheme="minorHAnsi"/>
          <w:noProof/>
        </w:rPr>
      </w:pPr>
      <w:r>
        <w:rPr>
          <w:noProof/>
        </w:rPr>
        <w:t>“kandidāts” ir persona, kuras vārds un u</w:t>
      </w:r>
      <w:r>
        <w:rPr>
          <w:noProof/>
        </w:rPr>
        <w:t xml:space="preserve">zvārds ir iekļauts šķīrējtiesnešu sarakstā, kas minēts </w:t>
      </w:r>
      <w:r>
        <w:rPr>
          <w:rFonts w:asciiTheme="majorHAnsi" w:hAnsiTheme="majorHAnsi"/>
          <w:noProof/>
          <w:color w:val="000000"/>
        </w:rPr>
        <w:t>šā nolīguma sestās daļas I sadaļas [Strīdu izšķiršana] INST.27. pantā [Šķīrējtiesu saraksti]</w:t>
      </w:r>
      <w:r>
        <w:rPr>
          <w:noProof/>
        </w:rPr>
        <w:t xml:space="preserve">, vai kuras kandidatūra tiek izskatīta iecelšanai par šķīrējtiesnesi saskaņā ar </w:t>
      </w:r>
      <w:r>
        <w:rPr>
          <w:rFonts w:asciiTheme="majorHAnsi" w:hAnsiTheme="majorHAnsi"/>
          <w:noProof/>
          <w:color w:val="000000"/>
        </w:rPr>
        <w:t>šā nolīguma sestās daļas I sa</w:t>
      </w:r>
      <w:r>
        <w:rPr>
          <w:rFonts w:asciiTheme="majorHAnsi" w:hAnsiTheme="majorHAnsi"/>
          <w:noProof/>
          <w:color w:val="000000"/>
        </w:rPr>
        <w:t>daļas [Strīdu izšķiršana] INST.15. pantu [Šķīrējtiesas izveide]</w:t>
      </w:r>
      <w:r>
        <w:rPr>
          <w:noProof/>
        </w:rPr>
        <w:t>;</w:t>
      </w:r>
    </w:p>
    <w:p w:rsidR="003E022D" w:rsidRDefault="003E022D">
      <w:pPr>
        <w:pStyle w:val="ListParagraph"/>
        <w:ind w:left="426"/>
        <w:rPr>
          <w:rFonts w:cstheme="minorHAnsi"/>
          <w:noProof/>
        </w:rPr>
      </w:pPr>
    </w:p>
    <w:p w:rsidR="003E022D" w:rsidRDefault="007D19D6">
      <w:pPr>
        <w:jc w:val="center"/>
        <w:rPr>
          <w:b/>
          <w:noProof/>
        </w:rPr>
      </w:pPr>
      <w:r>
        <w:rPr>
          <w:b/>
          <w:noProof/>
        </w:rPr>
        <w:t xml:space="preserve">II. </w:t>
      </w:r>
      <w:r>
        <w:rPr>
          <w:noProof/>
        </w:rPr>
        <w:tab/>
      </w:r>
      <w:r>
        <w:rPr>
          <w:b/>
          <w:noProof/>
        </w:rPr>
        <w:t>Piemērojamie principi</w:t>
      </w:r>
    </w:p>
    <w:p w:rsidR="003E022D" w:rsidRDefault="007D19D6">
      <w:pPr>
        <w:rPr>
          <w:noProof/>
        </w:rPr>
      </w:pPr>
      <w:r>
        <w:rPr>
          <w:noProof/>
        </w:rPr>
        <w:t>2.</w:t>
      </w:r>
      <w:r>
        <w:rPr>
          <w:noProof/>
        </w:rPr>
        <w:tab/>
        <w:t xml:space="preserve">Lai ievērotu strīdu izšķiršanas mehānisma integritāti un objektivitāti, ikviens kandidāts un šķīrējtiesnesis: </w:t>
      </w:r>
    </w:p>
    <w:p w:rsidR="003E022D" w:rsidRDefault="007D19D6">
      <w:pPr>
        <w:pStyle w:val="ListParagraph"/>
        <w:numPr>
          <w:ilvl w:val="0"/>
          <w:numId w:val="983"/>
        </w:numPr>
        <w:ind w:left="426" w:hanging="426"/>
        <w:rPr>
          <w:rFonts w:cstheme="minorHAnsi"/>
          <w:noProof/>
        </w:rPr>
      </w:pPr>
      <w:r>
        <w:rPr>
          <w:noProof/>
        </w:rPr>
        <w:t>iepazīstas ar šo rīcības kodeksu;</w:t>
      </w:r>
    </w:p>
    <w:p w:rsidR="003E022D" w:rsidRDefault="003E022D">
      <w:pPr>
        <w:pStyle w:val="ListParagraph"/>
        <w:ind w:left="426"/>
        <w:rPr>
          <w:rFonts w:cstheme="minorHAnsi"/>
          <w:noProof/>
        </w:rPr>
      </w:pPr>
    </w:p>
    <w:p w:rsidR="003E022D" w:rsidRDefault="007D19D6">
      <w:pPr>
        <w:pStyle w:val="ListParagraph"/>
        <w:numPr>
          <w:ilvl w:val="0"/>
          <w:numId w:val="983"/>
        </w:numPr>
        <w:ind w:left="426" w:hanging="426"/>
        <w:rPr>
          <w:rFonts w:cstheme="minorHAnsi"/>
          <w:noProof/>
        </w:rPr>
      </w:pPr>
      <w:r>
        <w:rPr>
          <w:noProof/>
        </w:rPr>
        <w:t xml:space="preserve">ir neatkarīgs </w:t>
      </w:r>
      <w:r>
        <w:rPr>
          <w:noProof/>
        </w:rPr>
        <w:t>un objektīvs;</w:t>
      </w:r>
    </w:p>
    <w:p w:rsidR="003E022D" w:rsidRDefault="003E022D">
      <w:pPr>
        <w:pStyle w:val="ListParagraph"/>
        <w:ind w:left="426"/>
        <w:rPr>
          <w:rFonts w:cstheme="minorHAnsi"/>
          <w:noProof/>
        </w:rPr>
      </w:pPr>
    </w:p>
    <w:p w:rsidR="003E022D" w:rsidRDefault="007D19D6">
      <w:pPr>
        <w:pStyle w:val="ListParagraph"/>
        <w:numPr>
          <w:ilvl w:val="0"/>
          <w:numId w:val="983"/>
        </w:numPr>
        <w:ind w:left="426" w:hanging="426"/>
        <w:rPr>
          <w:rFonts w:cstheme="minorHAnsi"/>
          <w:noProof/>
        </w:rPr>
      </w:pPr>
      <w:r>
        <w:rPr>
          <w:noProof/>
        </w:rPr>
        <w:t xml:space="preserve">izvairās no tiešiem vai netiešiem interešu konfliktiem; </w:t>
      </w:r>
    </w:p>
    <w:p w:rsidR="003E022D" w:rsidRDefault="003E022D">
      <w:pPr>
        <w:pStyle w:val="ListParagraph"/>
        <w:ind w:left="426"/>
        <w:rPr>
          <w:rFonts w:cstheme="minorHAnsi"/>
          <w:noProof/>
        </w:rPr>
      </w:pPr>
    </w:p>
    <w:p w:rsidR="003E022D" w:rsidRDefault="007D19D6">
      <w:pPr>
        <w:pStyle w:val="ListParagraph"/>
        <w:numPr>
          <w:ilvl w:val="0"/>
          <w:numId w:val="983"/>
        </w:numPr>
        <w:ind w:left="426" w:hanging="426"/>
        <w:rPr>
          <w:rFonts w:cstheme="minorHAnsi"/>
          <w:noProof/>
        </w:rPr>
      </w:pPr>
      <w:r>
        <w:rPr>
          <w:noProof/>
        </w:rPr>
        <w:t>nepieļauj nepiedienīgu uzvedību un nerada nepiedienīguma vai neobjektivitātes iespaidu;</w:t>
      </w:r>
    </w:p>
    <w:p w:rsidR="003E022D" w:rsidRDefault="003E022D">
      <w:pPr>
        <w:pStyle w:val="ListParagraph"/>
        <w:ind w:left="426"/>
        <w:rPr>
          <w:rFonts w:cstheme="minorHAnsi"/>
          <w:noProof/>
        </w:rPr>
      </w:pPr>
    </w:p>
    <w:p w:rsidR="003E022D" w:rsidRDefault="007D19D6">
      <w:pPr>
        <w:pStyle w:val="ListParagraph"/>
        <w:numPr>
          <w:ilvl w:val="0"/>
          <w:numId w:val="983"/>
        </w:numPr>
        <w:ind w:left="426" w:hanging="426"/>
        <w:rPr>
          <w:rFonts w:cstheme="minorHAnsi"/>
          <w:noProof/>
        </w:rPr>
      </w:pPr>
      <w:r>
        <w:rPr>
          <w:noProof/>
        </w:rPr>
        <w:t xml:space="preserve">rīkojas atbilstoši augstiem uzvedības normu standartiem un </w:t>
      </w:r>
    </w:p>
    <w:p w:rsidR="003E022D" w:rsidRDefault="003E022D">
      <w:pPr>
        <w:pStyle w:val="ListParagraph"/>
        <w:ind w:left="426"/>
        <w:rPr>
          <w:rFonts w:cstheme="minorHAnsi"/>
          <w:noProof/>
        </w:rPr>
      </w:pPr>
    </w:p>
    <w:p w:rsidR="003E022D" w:rsidRDefault="007D19D6">
      <w:pPr>
        <w:pStyle w:val="ListParagraph"/>
        <w:numPr>
          <w:ilvl w:val="0"/>
          <w:numId w:val="983"/>
        </w:numPr>
        <w:ind w:left="426" w:hanging="426"/>
        <w:rPr>
          <w:noProof/>
        </w:rPr>
      </w:pPr>
      <w:r>
        <w:rPr>
          <w:noProof/>
        </w:rPr>
        <w:t>neietekmējas no savtīgām interesē</w:t>
      </w:r>
      <w:r>
        <w:rPr>
          <w:noProof/>
        </w:rPr>
        <w:t>m, ārēja spiediena, politiskiem apsvērumiem, sabiedrības protestiem un lojalitātes pret vienu vai otru Pusi un bailēm no kritikas.</w:t>
      </w:r>
    </w:p>
    <w:p w:rsidR="003E022D" w:rsidRDefault="007D19D6">
      <w:pPr>
        <w:rPr>
          <w:noProof/>
        </w:rPr>
      </w:pPr>
      <w:r>
        <w:rPr>
          <w:noProof/>
        </w:rPr>
        <w:t>3.</w:t>
      </w:r>
      <w:r>
        <w:rPr>
          <w:noProof/>
        </w:rPr>
        <w:tab/>
        <w:t>Šķīrējtiesnesis nedz tieši, nedz netieši neuzņemas saistības un nepieņem labumus, kas jebkādā veidā varētu ietekmēt vai ra</w:t>
      </w:r>
      <w:r>
        <w:rPr>
          <w:noProof/>
        </w:rPr>
        <w:t xml:space="preserve">dīt iespaidu, ka ietekmē viņa pienākumu pienācīgu izpildi. </w:t>
      </w:r>
    </w:p>
    <w:p w:rsidR="003E022D" w:rsidRDefault="007D19D6">
      <w:pPr>
        <w:rPr>
          <w:noProof/>
        </w:rPr>
      </w:pPr>
      <w:r>
        <w:rPr>
          <w:noProof/>
        </w:rPr>
        <w:t>4.</w:t>
      </w:r>
      <w:r>
        <w:rPr>
          <w:noProof/>
        </w:rPr>
        <w:tab/>
        <w:t>Šķīrējtiesnesis neizmanto savu amatu šķīrējtiesā, lai īstenotu kādas personīgas vai privātas intereses. Šķīrējtiesnesis atturas no darbībām, kas varētu radīt iespaidu, ka kāds viņu varētu ietek</w:t>
      </w:r>
      <w:r>
        <w:rPr>
          <w:noProof/>
        </w:rPr>
        <w:t xml:space="preserve">mēt. </w:t>
      </w:r>
    </w:p>
    <w:p w:rsidR="003E022D" w:rsidRDefault="007D19D6">
      <w:pPr>
        <w:rPr>
          <w:noProof/>
        </w:rPr>
      </w:pPr>
      <w:r>
        <w:rPr>
          <w:noProof/>
        </w:rPr>
        <w:t>5.</w:t>
      </w:r>
      <w:r>
        <w:rPr>
          <w:noProof/>
        </w:rPr>
        <w:tab/>
        <w:t xml:space="preserve">Šķīrējtiesnesis neļauj agrākām vai esošām finanšu, darījumdarbības, profesionālajām, personiskajām vai sociālajām attiecībām vai pienākumiem iespaidot viņa rīcību vai spriedumus. </w:t>
      </w:r>
    </w:p>
    <w:p w:rsidR="003E022D" w:rsidRDefault="007D19D6">
      <w:pPr>
        <w:rPr>
          <w:noProof/>
        </w:rPr>
      </w:pPr>
      <w:r>
        <w:rPr>
          <w:noProof/>
        </w:rPr>
        <w:t>6.</w:t>
      </w:r>
      <w:r>
        <w:rPr>
          <w:noProof/>
        </w:rPr>
        <w:tab/>
        <w:t>Šķīrējtiesnesis atturas no stāšanās tādās attiecībās vai finansi</w:t>
      </w:r>
      <w:r>
        <w:rPr>
          <w:noProof/>
        </w:rPr>
        <w:t>ālas ieinteresētības iegūšanas, kas varētu iespaidot viņa objektivitāti vai kas pamatoti varētu radīt nepiedienīguma vai neobjektivitātes iespaidu.</w:t>
      </w:r>
    </w:p>
    <w:p w:rsidR="003E022D" w:rsidRDefault="007D19D6">
      <w:pPr>
        <w:jc w:val="center"/>
        <w:rPr>
          <w:b/>
          <w:noProof/>
        </w:rPr>
      </w:pPr>
      <w:r>
        <w:rPr>
          <w:b/>
          <w:noProof/>
        </w:rPr>
        <w:t>III.</w:t>
      </w:r>
      <w:r>
        <w:rPr>
          <w:noProof/>
        </w:rPr>
        <w:tab/>
      </w:r>
      <w:r>
        <w:rPr>
          <w:b/>
          <w:noProof/>
        </w:rPr>
        <w:t>Informācijas sniegšanas pienākumi</w:t>
      </w:r>
    </w:p>
    <w:p w:rsidR="003E022D" w:rsidRDefault="007D19D6">
      <w:pPr>
        <w:rPr>
          <w:noProof/>
        </w:rPr>
      </w:pPr>
      <w:r>
        <w:rPr>
          <w:noProof/>
        </w:rPr>
        <w:t>7.</w:t>
      </w:r>
      <w:r>
        <w:rPr>
          <w:noProof/>
        </w:rPr>
        <w:tab/>
        <w:t>Pirms tiek akceptēta kandidāta iecelšana par šķīrējtiesnesi saskaņ</w:t>
      </w:r>
      <w:r>
        <w:rPr>
          <w:noProof/>
        </w:rPr>
        <w:t xml:space="preserve">ā ar </w:t>
      </w:r>
      <w:r>
        <w:rPr>
          <w:rFonts w:asciiTheme="majorHAnsi" w:hAnsiTheme="majorHAnsi"/>
          <w:noProof/>
          <w:color w:val="000000"/>
        </w:rPr>
        <w:t>šā nolīguma sestās daļas I sadaļas [Strīdu izšķiršana] INST.15. pantu [Šķīrējtiesas izveide]</w:t>
      </w:r>
      <w:r>
        <w:rPr>
          <w:noProof/>
        </w:rPr>
        <w:t xml:space="preserve">, kandidāts, kas tiek aicināts par šķīrējtiesnesi, sniedz informāciju par visām interesēm, attiecībām vai jautājumiem, kas varētu ietekmēt viņa neatkarību vai </w:t>
      </w:r>
      <w:r>
        <w:rPr>
          <w:noProof/>
        </w:rPr>
        <w:t>objektivitāti vai kas pamatoti varētu radīt iespaidu par nepiedienīgumu vai neobjektivitāti procesā. Šajā nolūkā kandidāts dara visu iespējamo, lai uzzinātu par šādām interesēm, attiecībām un jautājumiem, tostarp finanšu interesēm, profesionālām interesēm,</w:t>
      </w:r>
      <w:r>
        <w:rPr>
          <w:noProof/>
        </w:rPr>
        <w:t xml:space="preserve"> darba interesēm vai ģimenes interesēm. </w:t>
      </w:r>
    </w:p>
    <w:p w:rsidR="003E022D" w:rsidRDefault="007D19D6">
      <w:pPr>
        <w:rPr>
          <w:noProof/>
        </w:rPr>
      </w:pPr>
      <w:r>
        <w:rPr>
          <w:noProof/>
        </w:rPr>
        <w:t>8.</w:t>
      </w:r>
      <w:r>
        <w:rPr>
          <w:noProof/>
        </w:rPr>
        <w:tab/>
        <w:t>Šā panta 7. punktā minētais informācijas sniegšanas pienākums ir ilgstošs pienākums, kas paredz, ka šķīrējtiesnesis informē par šādām interesēm, attiecībām un jautājumiem, kas varētu rasties jebkurā procesa stadi</w:t>
      </w:r>
      <w:r>
        <w:rPr>
          <w:noProof/>
        </w:rPr>
        <w:t xml:space="preserve">jā. </w:t>
      </w:r>
    </w:p>
    <w:p w:rsidR="003E022D" w:rsidRDefault="007D19D6">
      <w:pPr>
        <w:rPr>
          <w:noProof/>
        </w:rPr>
      </w:pPr>
      <w:r>
        <w:rPr>
          <w:noProof/>
        </w:rPr>
        <w:t>9.</w:t>
      </w:r>
      <w:r>
        <w:rPr>
          <w:noProof/>
        </w:rPr>
        <w:tab/>
        <w:t xml:space="preserve">Tiklīdz kandidāts vai šķīrējtiesnesis uzzinājis par jautājumiem, kas attiecas uz šā rīcības kodeksa faktiskiem vai iespējamiem pārkāpumiem, viņš par tiem visiem informē Partnerības padomi, lai Puses tos varētu apsvērt. </w:t>
      </w:r>
    </w:p>
    <w:p w:rsidR="003E022D" w:rsidRDefault="007D19D6">
      <w:pPr>
        <w:jc w:val="center"/>
        <w:rPr>
          <w:b/>
          <w:noProof/>
        </w:rPr>
      </w:pPr>
      <w:r>
        <w:rPr>
          <w:b/>
          <w:noProof/>
        </w:rPr>
        <w:t>IV.</w:t>
      </w:r>
      <w:r>
        <w:rPr>
          <w:noProof/>
        </w:rPr>
        <w:tab/>
      </w:r>
      <w:r>
        <w:rPr>
          <w:b/>
          <w:noProof/>
        </w:rPr>
        <w:t>Šķīrējtiesnešu pienākumi</w:t>
      </w:r>
    </w:p>
    <w:p w:rsidR="003E022D" w:rsidRDefault="007D19D6">
      <w:pPr>
        <w:rPr>
          <w:noProof/>
        </w:rPr>
      </w:pPr>
      <w:r>
        <w:rPr>
          <w:noProof/>
        </w:rPr>
        <w:t>10.</w:t>
      </w:r>
      <w:r>
        <w:rPr>
          <w:noProof/>
        </w:rPr>
        <w:tab/>
        <w:t>Kad šķīrējtiesneša iecelšana tiek akceptēta, šķīrējtiesnesis ir pieejams savu pienākumu veikšanai un visa procesa gaitā veic tos rūpīgi, godprātīgi, taisnīgi un uzcītīgi.</w:t>
      </w:r>
    </w:p>
    <w:p w:rsidR="003E022D" w:rsidRDefault="007D19D6">
      <w:pPr>
        <w:rPr>
          <w:noProof/>
        </w:rPr>
      </w:pPr>
      <w:r>
        <w:rPr>
          <w:noProof/>
        </w:rPr>
        <w:t>11.</w:t>
      </w:r>
      <w:r>
        <w:rPr>
          <w:noProof/>
        </w:rPr>
        <w:tab/>
        <w:t xml:space="preserve">Šķīrējtiesnesis izskata vienīgi tos jautājumus, kas izvirzīti procesa gaitā </w:t>
      </w:r>
      <w:r>
        <w:rPr>
          <w:noProof/>
        </w:rPr>
        <w:t xml:space="preserve">un kas ir nepieciešami lēmuma pieņemšanai, un nedeleģē šo pienākumu nevienai citai personai. </w:t>
      </w:r>
    </w:p>
    <w:p w:rsidR="003E022D" w:rsidRDefault="007D19D6">
      <w:pPr>
        <w:rPr>
          <w:noProof/>
        </w:rPr>
      </w:pPr>
      <w:r>
        <w:rPr>
          <w:noProof/>
        </w:rPr>
        <w:t>12.</w:t>
      </w:r>
      <w:r>
        <w:rPr>
          <w:noProof/>
        </w:rPr>
        <w:tab/>
        <w:t xml:space="preserve">Šķīrējtiesnesis veic visus atbilstošos pasākumus, kas nepieciešami, lai nodrošinātu, ka viņa palīgi un administratīvie darbinieki ir informēti par šā rīcības </w:t>
      </w:r>
      <w:r>
        <w:rPr>
          <w:noProof/>
        </w:rPr>
        <w:t xml:space="preserve">kodeksa II, III, IV un VI daļā noteiktajiem pienākumiem un tos ievēro. </w:t>
      </w:r>
    </w:p>
    <w:p w:rsidR="003E022D" w:rsidRDefault="007D19D6">
      <w:pPr>
        <w:jc w:val="center"/>
        <w:rPr>
          <w:b/>
          <w:noProof/>
        </w:rPr>
      </w:pPr>
      <w:r>
        <w:rPr>
          <w:b/>
          <w:noProof/>
        </w:rPr>
        <w:t>V.</w:t>
      </w:r>
      <w:r>
        <w:rPr>
          <w:noProof/>
        </w:rPr>
        <w:tab/>
      </w:r>
      <w:r>
        <w:rPr>
          <w:b/>
          <w:noProof/>
        </w:rPr>
        <w:t>Bijušo šķīrējtiesnešu pienākumi</w:t>
      </w:r>
    </w:p>
    <w:p w:rsidR="003E022D" w:rsidRDefault="007D19D6">
      <w:pPr>
        <w:rPr>
          <w:noProof/>
        </w:rPr>
      </w:pPr>
      <w:r>
        <w:rPr>
          <w:noProof/>
        </w:rPr>
        <w:t>13.</w:t>
      </w:r>
      <w:r>
        <w:rPr>
          <w:noProof/>
        </w:rPr>
        <w:tab/>
        <w:t>Ikviens bijušais šķīrējtiesnesis izvairās no tādu darbību veikšanas, kas varētu radīt iespaidu par to, ka viņš savu pienākumu veikšanā ir rīkojie</w:t>
      </w:r>
      <w:r>
        <w:rPr>
          <w:noProof/>
        </w:rPr>
        <w:t>s neobjektīvi vai guvis labumu no šķīrējtiesas lēmuma.</w:t>
      </w:r>
    </w:p>
    <w:p w:rsidR="003E022D" w:rsidRDefault="007D19D6">
      <w:pPr>
        <w:rPr>
          <w:noProof/>
        </w:rPr>
      </w:pPr>
      <w:r>
        <w:rPr>
          <w:noProof/>
        </w:rPr>
        <w:t>14.</w:t>
      </w:r>
      <w:r>
        <w:rPr>
          <w:noProof/>
        </w:rPr>
        <w:tab/>
        <w:t>Ikviens bijušais šķīrējtiesnesis ievēro šā rīcības kodeksa VI daļā minētos pienākumus.</w:t>
      </w:r>
    </w:p>
    <w:p w:rsidR="003E022D" w:rsidRDefault="007D19D6">
      <w:pPr>
        <w:jc w:val="center"/>
        <w:rPr>
          <w:b/>
          <w:noProof/>
        </w:rPr>
      </w:pPr>
      <w:r>
        <w:rPr>
          <w:b/>
          <w:noProof/>
        </w:rPr>
        <w:t>VI.</w:t>
      </w:r>
      <w:r>
        <w:rPr>
          <w:noProof/>
        </w:rPr>
        <w:tab/>
      </w:r>
      <w:r>
        <w:rPr>
          <w:noProof/>
        </w:rPr>
        <w:tab/>
      </w:r>
      <w:r>
        <w:rPr>
          <w:b/>
          <w:noProof/>
        </w:rPr>
        <w:t>Konfidencialitāte</w:t>
      </w:r>
    </w:p>
    <w:p w:rsidR="003E022D" w:rsidRDefault="007D19D6">
      <w:pPr>
        <w:rPr>
          <w:noProof/>
        </w:rPr>
      </w:pPr>
      <w:r>
        <w:rPr>
          <w:noProof/>
        </w:rPr>
        <w:t>15.</w:t>
      </w:r>
      <w:r>
        <w:rPr>
          <w:noProof/>
        </w:rPr>
        <w:tab/>
      </w:r>
      <w:r>
        <w:rPr>
          <w:noProof/>
        </w:rPr>
        <w:t>Šķīrējtiesnesis nekādā gadījumā neizpauž publiski nepieejamu informāciju, kas attiecas uz procesu vai kas iegūta procesā, kuram viņš ir iecelts. Šķīrējtiesnesis nekādā gadījumā neizpauž un neizmanto šādu informāciju, lai gūtu personīgu labumu sev vai citām</w:t>
      </w:r>
      <w:r>
        <w:rPr>
          <w:noProof/>
        </w:rPr>
        <w:t xml:space="preserve"> personām vai lai kaitētu citu personu interesēm. </w:t>
      </w:r>
    </w:p>
    <w:p w:rsidR="003E022D" w:rsidRDefault="007D19D6">
      <w:pPr>
        <w:rPr>
          <w:noProof/>
        </w:rPr>
      </w:pPr>
      <w:r>
        <w:rPr>
          <w:noProof/>
        </w:rPr>
        <w:t>16.</w:t>
      </w:r>
      <w:r>
        <w:rPr>
          <w:noProof/>
        </w:rPr>
        <w:tab/>
        <w:t xml:space="preserve">Šķīrējtiesnesis neizpauž šķīrējtiesas lēmumu vai tā daļas, pirms tas tiek publicēts saskaņā ar šā nolīguma sestās daļas I sadaļu [Strīdu izšķiršana]. </w:t>
      </w:r>
    </w:p>
    <w:p w:rsidR="003E022D" w:rsidRDefault="007D19D6">
      <w:pPr>
        <w:rPr>
          <w:noProof/>
        </w:rPr>
      </w:pPr>
      <w:r>
        <w:rPr>
          <w:noProof/>
        </w:rPr>
        <w:t>17.</w:t>
      </w:r>
      <w:r>
        <w:rPr>
          <w:noProof/>
        </w:rPr>
        <w:tab/>
        <w:t>Šķīrējtiesnesis nekādā gadījumā neizpauž infor</w:t>
      </w:r>
      <w:r>
        <w:rPr>
          <w:noProof/>
        </w:rPr>
        <w:t>māciju par šķīrējtiesas apspriedēm vai kāda šķīrējtiesneša viedokli un nesniedz paziņojumus par procesu, kuram viņš iecelts, vai par jautājumiem, kas saistīti ar procesā aplūkojamo strīdu.</w:t>
      </w:r>
    </w:p>
    <w:p w:rsidR="003E022D" w:rsidRDefault="007D19D6">
      <w:pPr>
        <w:jc w:val="center"/>
        <w:rPr>
          <w:b/>
          <w:noProof/>
        </w:rPr>
      </w:pPr>
      <w:r>
        <w:rPr>
          <w:b/>
          <w:noProof/>
        </w:rPr>
        <w:t>VII.</w:t>
      </w:r>
      <w:r>
        <w:rPr>
          <w:noProof/>
        </w:rPr>
        <w:tab/>
      </w:r>
      <w:r>
        <w:rPr>
          <w:noProof/>
        </w:rPr>
        <w:tab/>
      </w:r>
      <w:r>
        <w:rPr>
          <w:b/>
          <w:noProof/>
        </w:rPr>
        <w:t>Izdevumi</w:t>
      </w:r>
    </w:p>
    <w:p w:rsidR="003E022D" w:rsidRDefault="007D19D6">
      <w:pPr>
        <w:rPr>
          <w:noProof/>
        </w:rPr>
      </w:pPr>
      <w:r>
        <w:rPr>
          <w:noProof/>
        </w:rPr>
        <w:t>18.</w:t>
      </w:r>
      <w:r>
        <w:rPr>
          <w:noProof/>
        </w:rPr>
        <w:tab/>
        <w:t>Katrs šķīrējtiesnesis reģistrē un sniedz noslēgu</w:t>
      </w:r>
      <w:r>
        <w:rPr>
          <w:noProof/>
        </w:rPr>
        <w:t>mpārskatu par procesam veltīto laiku un par saviem izdevumiem, kā arī par savu palīgu un administratīvo darbinieku patērēto laiku un izdevumiem.</w:t>
      </w:r>
    </w:p>
    <w:p w:rsidR="003E022D" w:rsidRDefault="003E022D">
      <w:pPr>
        <w:rPr>
          <w:noProof/>
        </w:rPr>
      </w:pPr>
    </w:p>
    <w:p w:rsidR="003E022D" w:rsidRDefault="007D19D6">
      <w:pPr>
        <w:spacing w:after="0" w:line="276" w:lineRule="auto"/>
        <w:jc w:val="left"/>
        <w:rPr>
          <w:noProof/>
        </w:rPr>
      </w:pPr>
      <w:r>
        <w:rPr>
          <w:noProof/>
        </w:rPr>
        <w:br w:type="page"/>
      </w:r>
    </w:p>
    <w:p w:rsidR="003E022D" w:rsidRDefault="007D19D6">
      <w:pPr>
        <w:pStyle w:val="Heading1"/>
        <w:rPr>
          <w:noProof/>
        </w:rPr>
      </w:pPr>
      <w:bookmarkStart w:id="1410" w:name="_Toc59110593"/>
      <w:bookmarkStart w:id="1411" w:name="_Toc59988432"/>
      <w:r>
        <w:rPr>
          <w:noProof/>
        </w:rPr>
        <w:t>PROTOKOLS PAR ADMINISTRATĪVO SADARBĪBU UN KRĀPŠANAS APKAROŠANU PIEVIENOTĀS VĒRTĪBAS NODOKĻA JOMĀ UN PAR SAVS</w:t>
      </w:r>
      <w:r>
        <w:rPr>
          <w:noProof/>
        </w:rPr>
        <w:t>TARPĒJU PALĪDZĪBU PRASĪJUMU PIEDZIŅĀ SAISTĪBĀ AR NODOKĻIEM UN NODEVĀM</w:t>
      </w:r>
      <w:bookmarkEnd w:id="1410"/>
      <w:bookmarkEnd w:id="1411"/>
    </w:p>
    <w:p w:rsidR="003E022D" w:rsidRDefault="007D19D6">
      <w:pPr>
        <w:pStyle w:val="Title1"/>
        <w:rPr>
          <w:noProof/>
        </w:rPr>
      </w:pPr>
      <w:bookmarkStart w:id="1412" w:name="_Toc59110594"/>
      <w:bookmarkStart w:id="1413" w:name="_Toc59988433"/>
      <w:r>
        <w:rPr>
          <w:noProof/>
        </w:rPr>
        <w:t>I SADAĻA. VISPĀRĪGI NOTEIKUMI</w:t>
      </w:r>
      <w:bookmarkEnd w:id="1412"/>
      <w:bookmarkEnd w:id="1413"/>
    </w:p>
    <w:p w:rsidR="003E022D" w:rsidRDefault="007D19D6">
      <w:pPr>
        <w:pStyle w:val="Article"/>
        <w:rPr>
          <w:noProof/>
        </w:rPr>
      </w:pPr>
      <w:r>
        <w:rPr>
          <w:noProof/>
        </w:rPr>
        <w:t>1. pants. Mērķis</w:t>
      </w:r>
    </w:p>
    <w:p w:rsidR="003E022D" w:rsidRDefault="007D19D6">
      <w:pPr>
        <w:rPr>
          <w:noProof/>
        </w:rPr>
      </w:pPr>
      <w:r>
        <w:rPr>
          <w:noProof/>
        </w:rPr>
        <w:t>Šā protokola mērķis ir izveidot satvaru administratīvajai sadarbībai starp dalībvalstīm un Apvienoto Karalisti, lai to iestādes varētu palī</w:t>
      </w:r>
      <w:r>
        <w:rPr>
          <w:noProof/>
        </w:rPr>
        <w:t>dzēt cita citai nodrošināt atbilstību tiesību aktiem PVN jomā un aizsargāt PVN ieņēmumus, kā arī piedzīt prasījumus saistībā ar nodokļiem un nodevām.</w:t>
      </w:r>
    </w:p>
    <w:p w:rsidR="003E022D" w:rsidRDefault="007D19D6">
      <w:pPr>
        <w:pStyle w:val="Article"/>
        <w:rPr>
          <w:noProof/>
        </w:rPr>
      </w:pPr>
      <w:r>
        <w:rPr>
          <w:noProof/>
        </w:rPr>
        <w:t>2. pants. Darbības joma</w:t>
      </w:r>
    </w:p>
    <w:p w:rsidR="003E022D" w:rsidRDefault="007D19D6">
      <w:pPr>
        <w:rPr>
          <w:noProof/>
        </w:rPr>
      </w:pPr>
      <w:r>
        <w:rPr>
          <w:noProof/>
        </w:rPr>
        <w:t>1.</w:t>
      </w:r>
      <w:r>
        <w:rPr>
          <w:noProof/>
        </w:rPr>
        <w:tab/>
        <w:t>Šis protokols paredz noteikumus un procedūras, kā sadarboties:</w:t>
      </w:r>
    </w:p>
    <w:p w:rsidR="003E022D" w:rsidRDefault="007D19D6">
      <w:pPr>
        <w:numPr>
          <w:ilvl w:val="0"/>
          <w:numId w:val="1206"/>
        </w:numPr>
        <w:ind w:left="567" w:hanging="567"/>
        <w:rPr>
          <w:rFonts w:asciiTheme="minorHAnsi" w:hAnsiTheme="minorHAnsi" w:cstheme="minorHAnsi"/>
          <w:noProof/>
        </w:rPr>
      </w:pPr>
      <w:r>
        <w:rPr>
          <w:rFonts w:asciiTheme="minorHAnsi" w:hAnsiTheme="minorHAnsi"/>
          <w:noProof/>
        </w:rPr>
        <w:t>lai apmainītos a</w:t>
      </w:r>
      <w:r>
        <w:rPr>
          <w:rFonts w:asciiTheme="minorHAnsi" w:hAnsiTheme="minorHAnsi"/>
          <w:noProof/>
        </w:rPr>
        <w:t>r jebkādu informāciju, kas varētu palīdzēt pareizi aprēķināt PVN, uzraudzīt pareizu PVN piemērošanu un cīnīties pret krāpšanu PVN jomā; un</w:t>
      </w:r>
    </w:p>
    <w:p w:rsidR="003E022D" w:rsidRDefault="007D19D6">
      <w:pPr>
        <w:numPr>
          <w:ilvl w:val="0"/>
          <w:numId w:val="1206"/>
        </w:numPr>
        <w:ind w:left="567" w:hanging="567"/>
        <w:rPr>
          <w:noProof/>
        </w:rPr>
      </w:pPr>
      <w:r>
        <w:rPr>
          <w:rFonts w:asciiTheme="minorHAnsi" w:hAnsiTheme="minorHAnsi"/>
          <w:noProof/>
        </w:rPr>
        <w:t>lai piedzītu</w:t>
      </w:r>
      <w:r>
        <w:rPr>
          <w:noProof/>
        </w:rPr>
        <w:t>:</w:t>
      </w:r>
    </w:p>
    <w:p w:rsidR="003E022D" w:rsidRDefault="007D19D6">
      <w:pPr>
        <w:ind w:left="1276" w:hanging="567"/>
        <w:rPr>
          <w:noProof/>
        </w:rPr>
      </w:pPr>
      <w:r>
        <w:rPr>
          <w:noProof/>
        </w:rPr>
        <w:t>i)</w:t>
      </w:r>
      <w:r>
        <w:rPr>
          <w:noProof/>
        </w:rPr>
        <w:tab/>
        <w:t xml:space="preserve">prasības saistībā ar </w:t>
      </w:r>
      <w:r>
        <w:rPr>
          <w:rStyle w:val="UKadditionsChar"/>
          <w:noProof/>
          <w:color w:val="auto"/>
        </w:rPr>
        <w:t>PVN, muitas nodokļiem un akcīzes nodokļiem, ko iekasē valsts vai tās teritoriāl</w:t>
      </w:r>
      <w:r>
        <w:rPr>
          <w:rStyle w:val="UKadditionsChar"/>
          <w:noProof/>
          <w:color w:val="auto"/>
        </w:rPr>
        <w:t>ās vai administratīvās apakšvienības, izņemot vietējās iestādes, vai ko iekasē šo dalībvalstu vai apakšvienību vārdā, vai ko iekasē Savienības vārdā</w:t>
      </w:r>
      <w:r>
        <w:rPr>
          <w:noProof/>
        </w:rPr>
        <w:t>;</w:t>
      </w:r>
    </w:p>
    <w:p w:rsidR="003E022D" w:rsidRDefault="007D19D6">
      <w:pPr>
        <w:ind w:left="1276" w:hanging="556"/>
        <w:rPr>
          <w:noProof/>
        </w:rPr>
      </w:pPr>
      <w:r>
        <w:rPr>
          <w:noProof/>
        </w:rPr>
        <w:t>ii)</w:t>
      </w:r>
      <w:r>
        <w:rPr>
          <w:noProof/>
        </w:rPr>
        <w:tab/>
        <w:t>administratīvos sodus, soda naudas, maksas un uzrēķinus saistībā ar i punktā minētajiem prasījumiem, k</w:t>
      </w:r>
      <w:r>
        <w:rPr>
          <w:noProof/>
        </w:rPr>
        <w:t>o uzlikušas administratīvās iestādes, kuru kompetencē ir iekasēt attiecīgos nodokļus vai nodevas vai veikt ar to saistītās administratīvās izmeklēšanas, vai ko ir apstiprinājušas administratīvās vai tiesu struktūras pēc minēto administratīvo iestāžu piepra</w:t>
      </w:r>
      <w:r>
        <w:rPr>
          <w:noProof/>
        </w:rPr>
        <w:t>sījuma; un</w:t>
      </w:r>
    </w:p>
    <w:p w:rsidR="003E022D" w:rsidRDefault="007D19D6">
      <w:pPr>
        <w:ind w:left="1276" w:hanging="567"/>
        <w:rPr>
          <w:noProof/>
        </w:rPr>
      </w:pPr>
      <w:r>
        <w:rPr>
          <w:noProof/>
        </w:rPr>
        <w:t>iii)</w:t>
      </w:r>
      <w:r>
        <w:rPr>
          <w:noProof/>
        </w:rPr>
        <w:tab/>
        <w:t>procentus un izmaksas, kas saistīti ar i) un ii) punktā minētajiem prasījumiem.</w:t>
      </w:r>
    </w:p>
    <w:p w:rsidR="003E022D" w:rsidRDefault="007D19D6">
      <w:pPr>
        <w:rPr>
          <w:noProof/>
        </w:rPr>
      </w:pPr>
      <w:r>
        <w:rPr>
          <w:noProof/>
        </w:rPr>
        <w:t>2.</w:t>
      </w:r>
      <w:r>
        <w:rPr>
          <w:noProof/>
        </w:rPr>
        <w:tab/>
        <w:t>Šis protokols neietekmē to, kā tiek piemēroti noteikumi par administratīvo sadarbību, krāpšanas apkarošanu PVN jomā un palīdzību prasījumu piedziņā starp dal</w:t>
      </w:r>
      <w:r>
        <w:rPr>
          <w:noProof/>
        </w:rPr>
        <w:t>ībvalstīm.</w:t>
      </w:r>
    </w:p>
    <w:p w:rsidR="003E022D" w:rsidRDefault="007D19D6">
      <w:pPr>
        <w:rPr>
          <w:noProof/>
        </w:rPr>
      </w:pPr>
      <w:r>
        <w:rPr>
          <w:noProof/>
        </w:rPr>
        <w:t>3.</w:t>
      </w:r>
      <w:r>
        <w:rPr>
          <w:noProof/>
        </w:rPr>
        <w:tab/>
        <w:t>Šis protokols neietekmē to, kā tiek piemēroti noteikumi par savstarpēju palīdzību krimināllietās.</w:t>
      </w:r>
    </w:p>
    <w:p w:rsidR="003E022D" w:rsidRDefault="007D19D6">
      <w:pPr>
        <w:pStyle w:val="Article"/>
        <w:rPr>
          <w:noProof/>
        </w:rPr>
      </w:pPr>
      <w:r>
        <w:rPr>
          <w:noProof/>
        </w:rPr>
        <w:t>3. pants. Definīcijas</w:t>
      </w:r>
    </w:p>
    <w:p w:rsidR="003E022D" w:rsidRDefault="007D19D6">
      <w:pPr>
        <w:rPr>
          <w:noProof/>
        </w:rPr>
      </w:pPr>
      <w:r>
        <w:rPr>
          <w:noProof/>
        </w:rPr>
        <w:t>Šajā protokolā piemēro šādas definīcijas:</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“administratīvā izmeklēšana” ir visas kontroles, pārbaudes un citas darbības, ko</w:t>
      </w:r>
      <w:r>
        <w:rPr>
          <w:rFonts w:asciiTheme="minorHAnsi" w:hAnsiTheme="minorHAnsi"/>
          <w:noProof/>
        </w:rPr>
        <w:t xml:space="preserve"> valstis veic, pildot savus pienākumus, lai nodrošinātu PVN jomas tiesību aktu pareizu piemērošanu;</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 xml:space="preserve">“pieteikuma iesniedzēja iestāde” ir valsts centrālais koordinācijas birojs vai koordinācijas departaments, kurš iesniedz pieprasījumu saskaņā ar III sadaļu </w:t>
      </w:r>
      <w:r>
        <w:rPr>
          <w:rFonts w:asciiTheme="minorHAnsi" w:hAnsiTheme="minorHAnsi"/>
          <w:noProof/>
        </w:rPr>
        <w:t>[Palīdzība piedziņā];</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“automatizēta apmaiņa” ir iepriekš noteiktas informācijas sistemātiska paziņošana citai valstij bez iepriekšēja pieprasījuma;</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“izmantojot elektroniskus līdzekļus” nozīmē — izmantojot datu elektroniskās apstrādes (ietverot datu saspieš</w:t>
      </w:r>
      <w:r>
        <w:rPr>
          <w:rFonts w:asciiTheme="minorHAnsi" w:hAnsiTheme="minorHAnsi"/>
          <w:noProof/>
        </w:rPr>
        <w:t>anu) un uzglabāšanas iekārtas, izmantojot vadus, radioraidīšanu, optiskās tehnoloģijas vai citus elektromagnētiskus līdzekļus;</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 xml:space="preserve">“CCN/CSI tīkls” ir kopējā platforma, kas balstīta uz kopējo sakaru tīklu (“CCN”) un kopējo sistēmu saskarni (“CSI”), kuru </w:t>
      </w:r>
      <w:r>
        <w:rPr>
          <w:rFonts w:asciiTheme="minorHAnsi" w:hAnsiTheme="minorHAnsi"/>
          <w:noProof/>
        </w:rPr>
        <w:t>Savienība izveidojusi, lai nodrošinātu, ka visa informācija starp kompetentajām nodokļu iestādēm tiek nosūtīta, izmantojot elektroniskus līdzekļus.</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 xml:space="preserve">“centrālais koordinācijas birojs” ir birojs, kuram saskaņā ar 4. panta [Organizācija] 2. punktu ir uzticēta </w:t>
      </w:r>
      <w:r>
        <w:rPr>
          <w:rFonts w:asciiTheme="minorHAnsi" w:hAnsiTheme="minorHAnsi"/>
          <w:noProof/>
        </w:rPr>
        <w:t>galvenā atbildība par saziņu II sadaļas [Administratīvā sadarbība un ar PVN saistītas krāpšanas apkarošana] vai III sadaļas [Palīdzība piedziņā] piemērošanas vajadzībām;</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“kompetentā iestāde” ir iestāde, kas izraudzīta saskaņā ar 4. panta [Organizācija] 1. </w:t>
      </w:r>
      <w:r>
        <w:rPr>
          <w:rFonts w:asciiTheme="minorHAnsi" w:hAnsiTheme="minorHAnsi"/>
          <w:noProof/>
        </w:rPr>
        <w:t>punktu;</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“atbildīgā amatpersona” ir jebkura amatpersona, kas ir iecelta, ievērojot 4. panta [Organizācija]  4. punktu, un kas var veikt tiešu informācijas apmaiņu saskaņā ar II sadaļu [Administratīvā sadarbība un ar PVN saistītas krāpšanas apkarošana];</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“mui</w:t>
      </w:r>
      <w:r>
        <w:rPr>
          <w:rFonts w:asciiTheme="minorHAnsi" w:hAnsiTheme="minorHAnsi"/>
          <w:noProof/>
        </w:rPr>
        <w:t>tas nodokļi” ir nodoklis, kas maksājams par precēm, kuras ieved katras Puses muitas teritorijā vai izved no tās saskaņā ar attiecīgās Puses muitas tiesību aktos izklāstītajiem noteikumiem;</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“akcīzes nodokļi” ir nodokļi un maksas, kas definēti kā tādi tās va</w:t>
      </w:r>
      <w:r>
        <w:rPr>
          <w:rFonts w:asciiTheme="minorHAnsi" w:hAnsiTheme="minorHAnsi"/>
          <w:noProof/>
        </w:rPr>
        <w:t>lsts tiesību aktos, kurā atrodas pieteikuma iesniedzēja iestāde;</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“koordinācijas departaments” ir jebkurš birojs, kurš nav centrālais koordinācijas birojs un kurš izraudzīts saskaņā ar 4. panta [Organizācija] 3. punktu, lai pieprasītu vai sniegtu savstarpēj</w:t>
      </w:r>
      <w:r>
        <w:rPr>
          <w:rFonts w:asciiTheme="minorHAnsi" w:hAnsiTheme="minorHAnsi"/>
          <w:noProof/>
        </w:rPr>
        <w:t>u palīdzību saskaņā ar II sadaļu [Administratīvā sadarbība un ar PVN saistītas krāpšanas apkarošana] vai III sadaļu [Palīdzība piedziņā];</w:t>
      </w:r>
    </w:p>
    <w:p w:rsidR="003E022D" w:rsidRDefault="007D19D6">
      <w:pPr>
        <w:numPr>
          <w:ilvl w:val="0"/>
          <w:numId w:val="1207"/>
        </w:numPr>
        <w:ind w:left="567" w:hanging="567"/>
        <w:rPr>
          <w:rFonts w:asciiTheme="minorHAnsi" w:hAnsiTheme="minorHAnsi" w:cstheme="minorHAnsi"/>
          <w:noProof/>
        </w:rPr>
      </w:pPr>
      <w:r>
        <w:rPr>
          <w:noProof/>
        </w:rPr>
        <w:t xml:space="preserve">“persona” ir jebkura persona, kas definēta </w:t>
      </w:r>
      <w:r>
        <w:rPr>
          <w:rFonts w:asciiTheme="minorHAnsi" w:hAnsiTheme="minorHAnsi"/>
          <w:noProof/>
        </w:rPr>
        <w:t>šā nolīguma otrās daļas XVII sadaļas [CITI NOTEIKUMI] OTH.1. panta l) punkt</w:t>
      </w:r>
      <w:r>
        <w:rPr>
          <w:rFonts w:asciiTheme="minorHAnsi" w:hAnsiTheme="minorHAnsi"/>
          <w:noProof/>
        </w:rPr>
        <w:t>ā</w:t>
      </w:r>
      <w:r>
        <w:rPr>
          <w:rFonts w:cstheme="minorHAnsi"/>
          <w:noProof/>
          <w:lang w:val="fr-BE"/>
        </w:rPr>
        <w:footnoteReference w:id="147"/>
      </w:r>
      <w:r>
        <w:rPr>
          <w:noProof/>
        </w:rPr>
        <w:t>.</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“pieprasījuma saņēmēja iestāde” ir centrālais koordinācijas birojs, koordinācijas departaments vai attiecībā uz sadarbību II sadaļas [Administratīvā sadarbība un ar PVN saistītas krāpšanas apkarošana] ietvaros — atbildīgā amatpersona, kas saņem piepras</w:t>
      </w:r>
      <w:r>
        <w:rPr>
          <w:rFonts w:asciiTheme="minorHAnsi" w:hAnsiTheme="minorHAnsi"/>
          <w:noProof/>
        </w:rPr>
        <w:t>ījumu no pieprasītājas iestādes vai pieteikuma iesniedzējas iestādes;</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“pieprasītāja iestāde” ir centrālais koordinācijas birojs, koordinācijas departaments vai jebkura atbildīgā amatpersona, kas iesniedz palīdzības pieprasījumu saskaņā ar II sadaļu [Admini</w:t>
      </w:r>
      <w:r>
        <w:rPr>
          <w:rFonts w:asciiTheme="minorHAnsi" w:hAnsiTheme="minorHAnsi"/>
          <w:noProof/>
        </w:rPr>
        <w:t>stratīvā sadarbība un ar PVN saistītas krāpšanas apkarošana] kompetentās iestādes vārdā;</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 xml:space="preserve">“vienlaicīga kontrole” ir koordinēta pārbaude, kuras gaitā pārbauda nodokļa maksātāja vai vismaz divu savā starpā saistītu nodokļa maksātāju nodokļa situāciju un kuru </w:t>
      </w:r>
      <w:r>
        <w:rPr>
          <w:rFonts w:asciiTheme="minorHAnsi" w:hAnsiTheme="minorHAnsi"/>
          <w:noProof/>
        </w:rPr>
        <w:t>organizē vismaz divas valstis ar kopīgām vai papildinošām interesēm;</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 xml:space="preserve">“Specializētā komiteja” ir Tirdzniecības specializētā komiteja administratīvajai sadarbībai PVN un nodokļu un nodevu piedziņas jomā; </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“spontāna apmaiņa” ir nesistemātiska informācijas paz</w:t>
      </w:r>
      <w:r>
        <w:rPr>
          <w:rFonts w:asciiTheme="minorHAnsi" w:hAnsiTheme="minorHAnsi"/>
          <w:noProof/>
        </w:rPr>
        <w:t>iņošana citai valstij jebkurā brīdī un bez iepriekšēja pieprasījuma;</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“valsts” ir dalībvalsts vai Apvienotā Karaliste atkarībā no konteksta;</w:t>
      </w:r>
    </w:p>
    <w:p w:rsidR="003E022D" w:rsidRDefault="007D19D6">
      <w:pPr>
        <w:numPr>
          <w:ilvl w:val="0"/>
          <w:numId w:val="1207"/>
        </w:numPr>
        <w:ind w:left="567" w:hanging="567"/>
        <w:rPr>
          <w:rFonts w:asciiTheme="minorHAnsi" w:hAnsiTheme="minorHAnsi" w:cstheme="minorHAnsi"/>
          <w:noProof/>
        </w:rPr>
      </w:pPr>
      <w:r>
        <w:rPr>
          <w:rFonts w:asciiTheme="minorHAnsi" w:hAnsiTheme="minorHAnsi"/>
          <w:noProof/>
        </w:rPr>
        <w:t>“trešā valsts” ir valsts, kas nav ne dalībvalsts, ne Apvienotā Karaliste;</w:t>
      </w:r>
    </w:p>
    <w:p w:rsidR="003E022D" w:rsidRDefault="007D19D6">
      <w:pPr>
        <w:numPr>
          <w:ilvl w:val="0"/>
          <w:numId w:val="1207"/>
        </w:numPr>
        <w:ind w:left="567" w:hanging="567"/>
        <w:rPr>
          <w:noProof/>
        </w:rPr>
      </w:pPr>
      <w:r>
        <w:rPr>
          <w:noProof/>
        </w:rPr>
        <w:t>“PVN” ir pievienotās vērtības nodoklis noz</w:t>
      </w:r>
      <w:r>
        <w:rPr>
          <w:noProof/>
        </w:rPr>
        <w:t xml:space="preserve">īmē, kas lietota Padomes Direktīvā 2006/112/EK par kopējo pievienotās vērtības nodokļa sistēmu attiecībā uz Savienību, un pievienotās vērtības nodoklis nozīmē, kas lietota </w:t>
      </w:r>
      <w:r>
        <w:rPr>
          <w:rStyle w:val="UKadditionsChar"/>
          <w:noProof/>
          <w:color w:val="auto"/>
        </w:rPr>
        <w:t>1994. gada Pievienotās vērtības aktā</w:t>
      </w:r>
      <w:r>
        <w:rPr>
          <w:noProof/>
        </w:rPr>
        <w:t xml:space="preserve"> attiecībā uz Apvienoto Karalisti.</w:t>
      </w:r>
    </w:p>
    <w:p w:rsidR="003E022D" w:rsidRDefault="007D19D6">
      <w:pPr>
        <w:pStyle w:val="Article"/>
        <w:rPr>
          <w:noProof/>
        </w:rPr>
      </w:pPr>
      <w:r>
        <w:rPr>
          <w:noProof/>
        </w:rPr>
        <w:t>4. pants. Org</w:t>
      </w:r>
      <w:r>
        <w:rPr>
          <w:noProof/>
        </w:rPr>
        <w:t>anizācija</w:t>
      </w:r>
    </w:p>
    <w:p w:rsidR="003E022D" w:rsidRDefault="007D19D6">
      <w:pPr>
        <w:rPr>
          <w:noProof/>
        </w:rPr>
      </w:pPr>
      <w:r>
        <w:rPr>
          <w:noProof/>
        </w:rPr>
        <w:t>1.</w:t>
      </w:r>
      <w:r>
        <w:rPr>
          <w:noProof/>
        </w:rPr>
        <w:tab/>
        <w:t xml:space="preserve"> Katra valsts izrauga kompetento iestādi, kura ir atbildīga par šā protokola piemērošanu.</w:t>
      </w:r>
    </w:p>
    <w:p w:rsidR="003E022D" w:rsidRDefault="007D19D6">
      <w:pPr>
        <w:rPr>
          <w:noProof/>
        </w:rPr>
      </w:pPr>
      <w:r>
        <w:rPr>
          <w:noProof/>
        </w:rPr>
        <w:t>2.</w:t>
      </w:r>
      <w:r>
        <w:rPr>
          <w:noProof/>
        </w:rPr>
        <w:tab/>
        <w:t>Katra valsts izrauga:</w:t>
      </w:r>
    </w:p>
    <w:p w:rsidR="003E022D" w:rsidRDefault="007D19D6">
      <w:pPr>
        <w:numPr>
          <w:ilvl w:val="0"/>
          <w:numId w:val="1208"/>
        </w:numPr>
        <w:ind w:left="567" w:hanging="567"/>
        <w:rPr>
          <w:rFonts w:asciiTheme="minorHAnsi" w:hAnsiTheme="minorHAnsi" w:cstheme="minorHAnsi"/>
          <w:noProof/>
        </w:rPr>
      </w:pPr>
      <w:r>
        <w:rPr>
          <w:rFonts w:asciiTheme="minorHAnsi" w:hAnsiTheme="minorHAnsi"/>
          <w:noProof/>
        </w:rPr>
        <w:t>vienu centrālo koordinācijas biroju, kuram ir uzticēta galvenā atbildība par šā protokola II sadaļas [Administratīvā sadarbība u</w:t>
      </w:r>
      <w:r>
        <w:rPr>
          <w:rFonts w:asciiTheme="minorHAnsi" w:hAnsiTheme="minorHAnsi"/>
          <w:noProof/>
        </w:rPr>
        <w:t>n ar PVN saistītas krāpšanas apkarošana] piemērošanu, un</w:t>
      </w:r>
    </w:p>
    <w:p w:rsidR="003E022D" w:rsidRDefault="007D19D6">
      <w:pPr>
        <w:numPr>
          <w:ilvl w:val="0"/>
          <w:numId w:val="1208"/>
        </w:numPr>
        <w:ind w:left="567" w:hanging="567"/>
        <w:rPr>
          <w:noProof/>
        </w:rPr>
      </w:pPr>
      <w:r>
        <w:rPr>
          <w:noProof/>
        </w:rPr>
        <w:t>vienu centrālo koordinācijas biroju, kuram ir uzticēta galvenā atbildība par šā protokola III sadaļas [Palīdzība piedziņā] piemērošanu.</w:t>
      </w:r>
    </w:p>
    <w:p w:rsidR="003E022D" w:rsidRDefault="007D19D6">
      <w:pPr>
        <w:rPr>
          <w:noProof/>
        </w:rPr>
      </w:pPr>
      <w:r>
        <w:rPr>
          <w:noProof/>
        </w:rPr>
        <w:t>3.</w:t>
      </w:r>
      <w:r>
        <w:rPr>
          <w:noProof/>
        </w:rPr>
        <w:tab/>
        <w:t>Katra kompetentā iestāde tieši vai deleģējot var izraudzīt:</w:t>
      </w:r>
    </w:p>
    <w:p w:rsidR="003E022D" w:rsidRDefault="007D19D6">
      <w:pPr>
        <w:numPr>
          <w:ilvl w:val="0"/>
          <w:numId w:val="1209"/>
        </w:numPr>
        <w:ind w:left="567" w:hanging="567"/>
        <w:rPr>
          <w:rFonts w:asciiTheme="minorHAnsi" w:hAnsiTheme="minorHAnsi" w:cstheme="minorHAnsi"/>
          <w:noProof/>
        </w:rPr>
      </w:pPr>
      <w:r>
        <w:rPr>
          <w:rFonts w:asciiTheme="minorHAnsi" w:hAnsiTheme="minorHAnsi"/>
          <w:noProof/>
        </w:rPr>
        <w:t>koordinācijas departamentus tiešai informācijas apmaiņai saskaņā ar šā protokola II sadaļu [Administratīvā sadarbība un ar PVN saistītas krāpšanas apkarošana];</w:t>
      </w:r>
    </w:p>
    <w:p w:rsidR="003E022D" w:rsidRDefault="007D19D6">
      <w:pPr>
        <w:numPr>
          <w:ilvl w:val="0"/>
          <w:numId w:val="1209"/>
        </w:numPr>
        <w:ind w:left="567" w:hanging="567"/>
        <w:rPr>
          <w:noProof/>
        </w:rPr>
      </w:pPr>
      <w:r>
        <w:rPr>
          <w:noProof/>
        </w:rPr>
        <w:t>koordinācijas departamentus</w:t>
      </w:r>
      <w:r>
        <w:rPr>
          <w:rFonts w:asciiTheme="minorHAnsi" w:hAnsiTheme="minorHAnsi"/>
          <w:noProof/>
        </w:rPr>
        <w:t xml:space="preserve"> šā protokola III sadaļā [Palīdzība piedziņā]</w:t>
      </w:r>
      <w:r>
        <w:rPr>
          <w:noProof/>
        </w:rPr>
        <w:t xml:space="preserve"> paredzētās savstarpējās</w:t>
      </w:r>
      <w:r>
        <w:rPr>
          <w:noProof/>
        </w:rPr>
        <w:t xml:space="preserve"> palīdzības pieprasīšanai vai sniegšanai atbilstoši to īpašajai teritoriālajai vai darbības kompetencei.</w:t>
      </w:r>
    </w:p>
    <w:p w:rsidR="003E022D" w:rsidRDefault="007D19D6">
      <w:pPr>
        <w:rPr>
          <w:noProof/>
        </w:rPr>
      </w:pPr>
      <w:r>
        <w:rPr>
          <w:noProof/>
        </w:rPr>
        <w:t>4.</w:t>
      </w:r>
      <w:r>
        <w:rPr>
          <w:noProof/>
        </w:rPr>
        <w:tab/>
        <w:t>Katra kompetentā iestāde tieši vai deleģējot var iecelt atbildīgās amatpersonas, kuras var veikt tiešu apmaiņu ar informāciju, pamatojoties uz šā pr</w:t>
      </w:r>
      <w:r>
        <w:rPr>
          <w:noProof/>
        </w:rPr>
        <w:t>otokola II sadaļu [Administratīvā sadarbība un ar PVN saistītas krāpšanas apkarošana].</w:t>
      </w:r>
    </w:p>
    <w:p w:rsidR="003E022D" w:rsidRDefault="007D19D6">
      <w:pPr>
        <w:rPr>
          <w:noProof/>
        </w:rPr>
      </w:pPr>
      <w:r>
        <w:rPr>
          <w:noProof/>
        </w:rPr>
        <w:t>5.</w:t>
      </w:r>
      <w:r>
        <w:rPr>
          <w:noProof/>
        </w:rPr>
        <w:tab/>
        <w:t>Katrs centrālais koordinācijas birojs uztur atjauninātu sarakstu ar koordinācijas departamentiem un atbildīgajām amatpersonām un dara to pieejamu pārējiem centrālajie</w:t>
      </w:r>
      <w:r>
        <w:rPr>
          <w:noProof/>
        </w:rPr>
        <w:t>m koordinācijas birojiem.</w:t>
      </w:r>
    </w:p>
    <w:p w:rsidR="003E022D" w:rsidRDefault="007D19D6">
      <w:pPr>
        <w:rPr>
          <w:noProof/>
        </w:rPr>
      </w:pPr>
      <w:r>
        <w:rPr>
          <w:noProof/>
        </w:rPr>
        <w:t>6.</w:t>
      </w:r>
      <w:r>
        <w:rPr>
          <w:noProof/>
        </w:rPr>
        <w:tab/>
        <w:t>Ja koordinācijas departaments vai atbildīgā amatpersona nosūta vai saņem palīdzības pieprasījumu saskaņā ar šo protokolu, tie par to informē savu centrālo koordinācijas biroju.</w:t>
      </w:r>
    </w:p>
    <w:p w:rsidR="003E022D" w:rsidRDefault="007D19D6">
      <w:pPr>
        <w:rPr>
          <w:noProof/>
        </w:rPr>
      </w:pPr>
      <w:r>
        <w:rPr>
          <w:noProof/>
        </w:rPr>
        <w:t>7.</w:t>
      </w:r>
      <w:r>
        <w:rPr>
          <w:noProof/>
        </w:rPr>
        <w:tab/>
        <w:t>Ja centrālais koordinācijas birojs, koordinācij</w:t>
      </w:r>
      <w:r>
        <w:rPr>
          <w:noProof/>
        </w:rPr>
        <w:t>as departaments vai atbildīgā amatpersona saņem savstarpējās palīdzības pieprasījumu, kurā lūgts veikt darbības ārpus tā kompetences, tas šo pieprasījumu nekavējoties nosūta kompetentajam centrālajam koordinācijas birojam vai koordinācijas departamentam un</w:t>
      </w:r>
      <w:r>
        <w:rPr>
          <w:noProof/>
        </w:rPr>
        <w:t xml:space="preserve"> par to informē pieprasītāju iestādi vai pieteikuma iesniedzēju iestādi. Šādā gadījumā 8. pantā [Termiņš informācijas sniegšanai] noteiktais termiņš sākas nākamajā dienā pēc palīdzības pieprasījuma nosūtīšanas kompetentajam centrālajam koordinācijas biroja</w:t>
      </w:r>
      <w:r>
        <w:rPr>
          <w:noProof/>
        </w:rPr>
        <w:t>m vai kompetentajam koordinācijas departamentam.</w:t>
      </w:r>
    </w:p>
    <w:p w:rsidR="003E022D" w:rsidRDefault="007D19D6">
      <w:pPr>
        <w:rPr>
          <w:noProof/>
        </w:rPr>
      </w:pPr>
      <w:r>
        <w:rPr>
          <w:noProof/>
        </w:rPr>
        <w:t>8.</w:t>
      </w:r>
      <w:r>
        <w:rPr>
          <w:noProof/>
        </w:rPr>
        <w:tab/>
        <w:t xml:space="preserve">Katra Puse viena mēneša laikā no šā nolīguma parakstīšanas informē </w:t>
      </w:r>
      <w:r>
        <w:rPr>
          <w:rStyle w:val="UKadditionsChar"/>
          <w:noProof/>
          <w:color w:val="auto"/>
        </w:rPr>
        <w:t>Specializēto komiteju</w:t>
      </w:r>
      <w:r>
        <w:rPr>
          <w:noProof/>
        </w:rPr>
        <w:t xml:space="preserve"> par savām kompetentajām iestādēm šā protokola nolūkiem un nekavējoties informē par visām izmaiņām, kas saistītas ar</w:t>
      </w:r>
      <w:r>
        <w:rPr>
          <w:noProof/>
        </w:rPr>
        <w:t xml:space="preserve"> šīm kompetentajām iestādēm. </w:t>
      </w:r>
      <w:r>
        <w:rPr>
          <w:rStyle w:val="UKadditionsChar"/>
          <w:noProof/>
          <w:color w:val="auto"/>
        </w:rPr>
        <w:t>Specializētā komiteja</w:t>
      </w:r>
      <w:r>
        <w:rPr>
          <w:noProof/>
        </w:rPr>
        <w:t xml:space="preserve"> atjaunina kompetento iestāžu sarakstu.</w:t>
      </w:r>
    </w:p>
    <w:p w:rsidR="003E022D" w:rsidRDefault="007D19D6">
      <w:pPr>
        <w:pStyle w:val="Article"/>
        <w:rPr>
          <w:noProof/>
        </w:rPr>
      </w:pPr>
      <w:r>
        <w:rPr>
          <w:noProof/>
        </w:rPr>
        <w:t>5. pants. Pakalpojumu līmeņa nolīgums</w:t>
      </w:r>
    </w:p>
    <w:p w:rsidR="003E022D" w:rsidRDefault="007D19D6">
      <w:pPr>
        <w:rPr>
          <w:noProof/>
        </w:rPr>
      </w:pPr>
      <w:r>
        <w:rPr>
          <w:noProof/>
        </w:rPr>
        <w:t>Saskaņā ar Specializētās komitejas noteikto procedūru noslēdz pakalpojumu līmeņa nolīgumu, ar ko nodrošina tehnisko kvalitāti un</w:t>
      </w:r>
      <w:r>
        <w:rPr>
          <w:noProof/>
        </w:rPr>
        <w:t xml:space="preserve"> kvantitāti pakalpojumiem, kuru mērķis ir nodrošināt sakaru un informācijas apmaiņas sistēmu darbību.</w:t>
      </w:r>
    </w:p>
    <w:p w:rsidR="003E022D" w:rsidRDefault="007D19D6">
      <w:pPr>
        <w:pStyle w:val="Article"/>
        <w:rPr>
          <w:noProof/>
        </w:rPr>
      </w:pPr>
      <w:r>
        <w:rPr>
          <w:noProof/>
        </w:rPr>
        <w:t>6. pants. Konfidencialitāte</w:t>
      </w:r>
    </w:p>
    <w:p w:rsidR="003E022D" w:rsidRDefault="007D19D6">
      <w:pPr>
        <w:spacing w:before="100" w:beforeAutospacing="1" w:after="100" w:afterAutospacing="1"/>
        <w:rPr>
          <w:noProof/>
        </w:rPr>
      </w:pPr>
      <w:r>
        <w:rPr>
          <w:noProof/>
        </w:rPr>
        <w:t>1.</w:t>
      </w:r>
      <w:r>
        <w:rPr>
          <w:noProof/>
        </w:rPr>
        <w:tab/>
        <w:t>Visu informāciju, ko valsts ieguvusi saskaņā ar šo protokolu, uzskata par konfidenciālu un aizsargā tādā pašā veidā kā info</w:t>
      </w:r>
      <w:r>
        <w:rPr>
          <w:noProof/>
        </w:rPr>
        <w:t xml:space="preserve">rmāciju, kas iegūta saskaņā ar attiecīgās valsts tiesību aktiem. </w:t>
      </w:r>
    </w:p>
    <w:p w:rsidR="003E022D" w:rsidRDefault="007D19D6">
      <w:pPr>
        <w:rPr>
          <w:noProof/>
        </w:rPr>
      </w:pPr>
      <w:r>
        <w:rPr>
          <w:noProof/>
        </w:rPr>
        <w:t xml:space="preserve"> 2.</w:t>
      </w:r>
      <w:r>
        <w:rPr>
          <w:noProof/>
        </w:rPr>
        <w:tab/>
        <w:t>Šādu informāciju var izpaust personām vai iestādēm (tostarp tiesām un administratīvajām vai uzraudzības struktūrām), uz kurām attiecas PVN jomas tiesību aktu piemērošana, un PVN pareizas</w:t>
      </w:r>
      <w:r>
        <w:rPr>
          <w:noProof/>
        </w:rPr>
        <w:t xml:space="preserve"> aprēķināšanas nolūkā, kā arī izpildes pasākumu piemērošanas nolūkā, ieskaitot piedziņu vai piesardzības pasākumus saistībā ar 2. panta [Darbības joma] 1. punkta b) apakšpunktā minētajiem prasījumiem.</w:t>
      </w:r>
    </w:p>
    <w:p w:rsidR="003E022D" w:rsidRDefault="007D19D6">
      <w:pPr>
        <w:rPr>
          <w:noProof/>
        </w:rPr>
      </w:pPr>
      <w:r>
        <w:rPr>
          <w:noProof/>
        </w:rPr>
        <w:t>3.</w:t>
      </w:r>
      <w:r>
        <w:rPr>
          <w:noProof/>
        </w:rPr>
        <w:tab/>
        <w:t>Informāciju, kas minēta šā panta 1. punktā, var izma</w:t>
      </w:r>
      <w:r>
        <w:rPr>
          <w:noProof/>
        </w:rPr>
        <w:t xml:space="preserve">ntot arī citu nodokļu aprēķināšanai un piemērošanai, tostarp piedziņai vai piesardzības pasākumiem, attiecībā uz prasījumiem, kas saistīti ar obligātajām sociālā nodrošinājuma iemaksām. Ja informācija, ar kuru notikusi apmaiņa, atklāj vai palīdz pierādīt, </w:t>
      </w:r>
      <w:r>
        <w:rPr>
          <w:noProof/>
        </w:rPr>
        <w:t>ka pastāv nodokļu tiesību aktu pārkāpumi, to var izmantot arī administratīvu vai kriminālu sankciju uzlikšanai. Informāciju var izmantot tikai 2. punktā minētās personas vai iestādes un arī tad tikai šā punkta iepriekšējos teikumos noteiktajiem nolūkiem. T</w:t>
      </w:r>
      <w:r>
        <w:rPr>
          <w:noProof/>
        </w:rPr>
        <w:t>ās to var izpaust atklātās tiesas sēdēs vai tiesu nolēmumos.</w:t>
      </w:r>
    </w:p>
    <w:p w:rsidR="003E022D" w:rsidRDefault="007D19D6">
      <w:pPr>
        <w:rPr>
          <w:noProof/>
        </w:rPr>
      </w:pPr>
      <w:r>
        <w:rPr>
          <w:noProof/>
        </w:rPr>
        <w:t>4.</w:t>
      </w:r>
      <w:r>
        <w:rPr>
          <w:noProof/>
        </w:rPr>
        <w:tab/>
        <w:t xml:space="preserve">Neatkarīgi no 1. un 2. punkta valsts, kas sniedz informāciju, pamatojoties uz motivētu pieprasījumu, ļauj valstij, kura saņem informāciju, to izmantot citiem nolūkiem nekā tie, kas minēti </w:t>
      </w:r>
      <w:r>
        <w:rPr>
          <w:noProof/>
        </w:rPr>
        <w:t>2. panta [Darbības joma] 1. punktā, ja informācijas sniedzējas valsts tiesību aktos ir paredzēta informācijas izmantošana līdzīgiem nolūkiem. Pieprasījuma saņēmēja iestāde šādu pieprasījumu pieņem vai noraida viena mēneša laikā.</w:t>
      </w:r>
    </w:p>
    <w:p w:rsidR="003E022D" w:rsidRDefault="007D19D6">
      <w:pPr>
        <w:rPr>
          <w:noProof/>
        </w:rPr>
      </w:pPr>
      <w:r>
        <w:rPr>
          <w:noProof/>
        </w:rPr>
        <w:t>5.</w:t>
      </w:r>
      <w:r>
        <w:rPr>
          <w:noProof/>
        </w:rPr>
        <w:tab/>
        <w:t>Ziņojumus, paziņojumus u</w:t>
      </w:r>
      <w:r>
        <w:rPr>
          <w:noProof/>
        </w:rPr>
        <w:t>n jebkādus citus dokumentus vai apliecinātas to kopijas vai izrakstus no tiem, ko valsts ieguvusi, saņemot šajā protokolā paredzēto palīdzību, minētajā valstī var izmantot par pierādījumu uz tāda paša pamata kā dokumentus, ko sniegusi cita minētās valsts i</w:t>
      </w:r>
      <w:r>
        <w:rPr>
          <w:noProof/>
        </w:rPr>
        <w:t>estāde.</w:t>
      </w:r>
    </w:p>
    <w:p w:rsidR="003E022D" w:rsidRDefault="007D19D6">
      <w:pPr>
        <w:rPr>
          <w:noProof/>
        </w:rPr>
      </w:pPr>
      <w:r>
        <w:rPr>
          <w:noProof/>
        </w:rPr>
        <w:t>6.</w:t>
      </w:r>
      <w:r>
        <w:rPr>
          <w:noProof/>
        </w:rPr>
        <w:tab/>
        <w:t>Informāciju, ko viena valsts ir sniegusi citai valstij, pēdējā minētā valsts var nosūtīt citai valstij ar tās kompetentās iestādes iepriekšēju atļauju, no kuras šī informācija nākusi. Informācijas izcelsmes valsts var iebilst pret šādu dalīšanos</w:t>
      </w:r>
      <w:r>
        <w:rPr>
          <w:noProof/>
        </w:rPr>
        <w:t xml:space="preserve"> ar informāciju desmit darbdienu laikā no dienas, kad tā saņēmusi ziņu no valsts, kura vēlas dalīties ar informāciju.</w:t>
      </w:r>
    </w:p>
    <w:p w:rsidR="003E022D" w:rsidRDefault="007D19D6">
      <w:pPr>
        <w:rPr>
          <w:noProof/>
        </w:rPr>
      </w:pPr>
      <w:r>
        <w:rPr>
          <w:noProof/>
        </w:rPr>
        <w:t>7.</w:t>
      </w:r>
      <w:r>
        <w:rPr>
          <w:noProof/>
        </w:rPr>
        <w:tab/>
        <w:t>Informāciju, kas iegūta saskaņā ar šo protokolu, valstis var nosūtīt trešām valstīm, ievērojot šādus nosacījumus:</w:t>
      </w:r>
    </w:p>
    <w:p w:rsidR="003E022D" w:rsidRDefault="007D19D6">
      <w:pPr>
        <w:numPr>
          <w:ilvl w:val="0"/>
          <w:numId w:val="1210"/>
        </w:numPr>
        <w:ind w:left="567" w:hanging="567"/>
        <w:rPr>
          <w:rFonts w:asciiTheme="minorHAnsi" w:hAnsiTheme="minorHAnsi" w:cstheme="minorHAnsi"/>
          <w:noProof/>
        </w:rPr>
      </w:pPr>
      <w:r>
        <w:rPr>
          <w:rFonts w:asciiTheme="minorHAnsi" w:hAnsiTheme="minorHAnsi"/>
          <w:noProof/>
        </w:rPr>
        <w:t>informācijas nosūtīša</w:t>
      </w:r>
      <w:r>
        <w:rPr>
          <w:rFonts w:asciiTheme="minorHAnsi" w:hAnsiTheme="minorHAnsi"/>
          <w:noProof/>
        </w:rPr>
        <w:t>nai ir piekritusi kompetentā iestāde, no kuras šī informācija nākusi; un</w:t>
      </w:r>
    </w:p>
    <w:p w:rsidR="003E022D" w:rsidRDefault="007D19D6">
      <w:pPr>
        <w:numPr>
          <w:ilvl w:val="0"/>
          <w:numId w:val="1210"/>
        </w:numPr>
        <w:ind w:left="567" w:hanging="567"/>
        <w:rPr>
          <w:noProof/>
        </w:rPr>
      </w:pPr>
      <w:r>
        <w:rPr>
          <w:rFonts w:asciiTheme="minorHAnsi" w:hAnsiTheme="minorHAnsi"/>
          <w:noProof/>
        </w:rPr>
        <w:t>nosūtīšanu atļauj vienošanās par palīdzību starp valsti, kas nosūta informāciju, un</w:t>
      </w:r>
      <w:r>
        <w:rPr>
          <w:noProof/>
        </w:rPr>
        <w:t xml:space="preserve"> attiecīgo trešo valsti.</w:t>
      </w:r>
    </w:p>
    <w:p w:rsidR="003E022D" w:rsidRDefault="007D19D6">
      <w:pPr>
        <w:rPr>
          <w:noProof/>
        </w:rPr>
      </w:pPr>
      <w:r>
        <w:rPr>
          <w:noProof/>
        </w:rPr>
        <w:t>8.</w:t>
      </w:r>
      <w:r>
        <w:rPr>
          <w:noProof/>
        </w:rPr>
        <w:tab/>
        <w:t>Ja valsts saņem informāciju no trešās valsts, valstis var apmainīties ar</w:t>
      </w:r>
      <w:r>
        <w:rPr>
          <w:noProof/>
        </w:rPr>
        <w:t xml:space="preserve"> šo informāciju, ciktāl to pieļauj vienošanās par palīdzību ar konkrēto trešo valsti.</w:t>
      </w:r>
    </w:p>
    <w:p w:rsidR="003E022D" w:rsidRDefault="007D19D6">
      <w:pPr>
        <w:rPr>
          <w:noProof/>
        </w:rPr>
      </w:pPr>
      <w:r>
        <w:rPr>
          <w:noProof/>
        </w:rPr>
        <w:t>9.</w:t>
      </w:r>
      <w:r>
        <w:rPr>
          <w:noProof/>
        </w:rPr>
        <w:tab/>
        <w:t>Ikviena valsts nekavējoties informē pārējās iesaistītās valstis par visiem konfidencialitātes pārkāpumiem un visām pēc tam uzliktajām sankcijām un koriģējošām darbībām</w:t>
      </w:r>
      <w:r>
        <w:rPr>
          <w:noProof/>
        </w:rPr>
        <w:t>.</w:t>
      </w:r>
    </w:p>
    <w:p w:rsidR="003E022D" w:rsidRDefault="007D19D6">
      <w:pPr>
        <w:rPr>
          <w:noProof/>
        </w:rPr>
      </w:pPr>
      <w:r>
        <w:rPr>
          <w:noProof/>
        </w:rPr>
        <w:t>10.</w:t>
      </w:r>
      <w:r>
        <w:rPr>
          <w:noProof/>
        </w:rPr>
        <w:tab/>
        <w:t>Personas, ko noteiktā kārtībā akreditējusi Eiropas Komisijas drošības akreditācijas iestāde, šai informācijai var piekļūt tikai tiktāl, ciktāl tas ir vajadzīgs, lai apkoptu, uzturētu un izstrādātu Eiropas Komisijas uzturētās elektroniskās sistēmas, k</w:t>
      </w:r>
      <w:r>
        <w:rPr>
          <w:noProof/>
        </w:rPr>
        <w:t>o valstis izmanto šā protokola īstenošanai.</w:t>
      </w:r>
    </w:p>
    <w:p w:rsidR="003E022D" w:rsidRDefault="007D19D6">
      <w:pPr>
        <w:pStyle w:val="Title1"/>
        <w:rPr>
          <w:noProof/>
        </w:rPr>
      </w:pPr>
      <w:bookmarkStart w:id="1414" w:name="_Toc59110595"/>
      <w:bookmarkStart w:id="1415" w:name="_Toc59988434"/>
      <w:r>
        <w:rPr>
          <w:noProof/>
        </w:rPr>
        <w:t>II SADAĻA. ADMINISTRATĪVĀ SADARBĪBA UN AR PVN SAISTĪTAS KRĀPŠANAS APKAROŠANA</w:t>
      </w:r>
      <w:bookmarkEnd w:id="1414"/>
      <w:bookmarkEnd w:id="1415"/>
    </w:p>
    <w:p w:rsidR="003E022D" w:rsidRDefault="007D19D6">
      <w:pPr>
        <w:pStyle w:val="Chapter"/>
        <w:rPr>
          <w:noProof/>
        </w:rPr>
      </w:pPr>
      <w:r>
        <w:rPr>
          <w:noProof/>
        </w:rPr>
        <w:t>Pirmā nodaļa. Informācijas apmaiņa pēc pieprasījuma</w:t>
      </w:r>
    </w:p>
    <w:p w:rsidR="003E022D" w:rsidRDefault="007D19D6">
      <w:pPr>
        <w:pStyle w:val="Article"/>
        <w:rPr>
          <w:noProof/>
        </w:rPr>
      </w:pPr>
      <w:r>
        <w:rPr>
          <w:noProof/>
        </w:rPr>
        <w:t>7. pants. Informācijas apmaiņa un administratīvās izmeklēšanas</w:t>
      </w:r>
    </w:p>
    <w:p w:rsidR="003E022D" w:rsidRDefault="007D19D6">
      <w:pPr>
        <w:rPr>
          <w:noProof/>
        </w:rPr>
      </w:pPr>
      <w:r>
        <w:rPr>
          <w:noProof/>
        </w:rPr>
        <w:t>1.</w:t>
      </w:r>
      <w:r>
        <w:rPr>
          <w:noProof/>
        </w:rPr>
        <w:tab/>
        <w:t xml:space="preserve">Pieprasījuma </w:t>
      </w:r>
      <w:r>
        <w:rPr>
          <w:noProof/>
        </w:rPr>
        <w:t>saņēmēja iestāde 2. panta [Darbības joma] 1. punkta a) apakšpunktā minēto informāciju, ieskaitot jebkādu informāciju, kas attiecas uz kādu konkrētu gadījumu vai vairākiem konkrētiem gadījumiem, paziņo pēc pieprasītājas iestādes pieprasījuma.</w:t>
      </w:r>
    </w:p>
    <w:p w:rsidR="003E022D" w:rsidRDefault="007D19D6">
      <w:pPr>
        <w:rPr>
          <w:noProof/>
        </w:rPr>
      </w:pPr>
      <w:r>
        <w:rPr>
          <w:noProof/>
        </w:rPr>
        <w:t>2.</w:t>
      </w:r>
      <w:r>
        <w:rPr>
          <w:noProof/>
        </w:rPr>
        <w:tab/>
        <w:t>Lai nosūtīt</w:t>
      </w:r>
      <w:r>
        <w:rPr>
          <w:noProof/>
        </w:rPr>
        <w:t>u 1. punktā minēto informāciju, pieprasījuma saņēmēja iestāde organizē jebkādu administratīvo izmeklēšanu veikšanu, kas vajadzīgas šādas informācijas iegūšanai.</w:t>
      </w:r>
    </w:p>
    <w:p w:rsidR="003E022D" w:rsidRDefault="007D19D6">
      <w:pPr>
        <w:rPr>
          <w:noProof/>
        </w:rPr>
      </w:pPr>
      <w:r>
        <w:rPr>
          <w:noProof/>
        </w:rPr>
        <w:t>3.</w:t>
      </w:r>
      <w:r>
        <w:rPr>
          <w:noProof/>
        </w:rPr>
        <w:tab/>
        <w:t>Pieprasījumā, kas minēts 1. punktā, var būt iekļauts pamatots pieprasījums uzsākt īpašu admi</w:t>
      </w:r>
      <w:r>
        <w:rPr>
          <w:noProof/>
        </w:rPr>
        <w:t>nistratīvo izmeklēšanu. Pieprasījuma saņēmēja iestāde uzsāk administratīvo izmeklēšanu, vajadzības gadījumā apspriežoties ar pieprasītāju iestādi. Ja pieprasījuma saņēmēja iestāde uzskata, ka administratīvā izmeklēšana nav vajadzīga, tā nekavējoties paziņo</w:t>
      </w:r>
      <w:r>
        <w:rPr>
          <w:noProof/>
        </w:rPr>
        <w:t xml:space="preserve"> pieprasītājai iestādei attiecīgos iemeslus.</w:t>
      </w:r>
    </w:p>
    <w:p w:rsidR="003E022D" w:rsidRDefault="007D19D6">
      <w:pPr>
        <w:rPr>
          <w:noProof/>
        </w:rPr>
      </w:pPr>
      <w:r>
        <w:rPr>
          <w:noProof/>
        </w:rPr>
        <w:t>4.</w:t>
      </w:r>
      <w:r>
        <w:rPr>
          <w:noProof/>
        </w:rPr>
        <w:tab/>
        <w:t>Ja pieprasījuma saņēmēja iestāde atsakās veikt administratīvu izmeklēšanu attiecībā uz summām, ko ir deklarējis nodokļa maksātājs, kas veic uzņēmējdarbību pieprasījuma saņēmējas iestādes valstī, vai summām, k</w:t>
      </w:r>
      <w:r>
        <w:rPr>
          <w:noProof/>
        </w:rPr>
        <w:t>uras tam būtu bijis jādeklarē saistībā ar preču piegādēm vai pakalpojumu sniegšanu un preču importu, ko veicis šis nodokļa maksātājs un kas ir apliekami ar nodokli pieprasītājas iestādes valstī, pieprasījuma saņēmēja iestāde sniedz pieprasījuma iesniedzēja</w:t>
      </w:r>
      <w:r>
        <w:rPr>
          <w:noProof/>
        </w:rPr>
        <w:t>i iestādei vismaz visu attiecīgo piegāžu un importa datumus un vērtības, ko nodokļa maksātājs veicis pieprasītājas iestādes valstī iepriekšējo divu gadu laikā, ja vien pieprasījuma saņēmēja iestādei neglabā vai saskaņā ar valsts tiesību aktiem tai netiek p</w:t>
      </w:r>
      <w:r>
        <w:rPr>
          <w:noProof/>
        </w:rPr>
        <w:t>rasīts glabāt šo informāciju.</w:t>
      </w:r>
    </w:p>
    <w:p w:rsidR="003E022D" w:rsidRDefault="007D19D6">
      <w:pPr>
        <w:rPr>
          <w:noProof/>
        </w:rPr>
      </w:pPr>
      <w:r>
        <w:rPr>
          <w:noProof/>
        </w:rPr>
        <w:t>5.</w:t>
      </w:r>
      <w:r>
        <w:rPr>
          <w:noProof/>
        </w:rPr>
        <w:tab/>
        <w:t>Lai iegūtu vajadzīgo informāciju vai lai veiktu pieprasīto administratīvo izmeklēšanu, pieprasījuma saņēmēja iestāde vai administratīvā iestāde, pie kuras tā vēršas, darbojas tā, it kā tā rīkotos pati savā vārdā vai pēc cit</w:t>
      </w:r>
      <w:r>
        <w:rPr>
          <w:noProof/>
        </w:rPr>
        <w:t>as iestādes pieprasījuma savā valstī.</w:t>
      </w:r>
    </w:p>
    <w:p w:rsidR="003E022D" w:rsidRDefault="007D19D6">
      <w:pPr>
        <w:rPr>
          <w:noProof/>
        </w:rPr>
      </w:pPr>
      <w:r>
        <w:rPr>
          <w:noProof/>
        </w:rPr>
        <w:t>6.</w:t>
      </w:r>
      <w:r>
        <w:rPr>
          <w:noProof/>
        </w:rPr>
        <w:tab/>
        <w:t xml:space="preserve">Pieprasījuma saņēmēja iestāde pēc pieprasītājas iestādes pieprasījuma tai paziņo visu atbilstīgo informāciju, ko tā iegūst vai kas ir tās rīcībā, kā arī administratīvu izmeklēšanu rezultātus ziņojumu, paziņojumu un </w:t>
      </w:r>
      <w:r>
        <w:rPr>
          <w:noProof/>
        </w:rPr>
        <w:t>jebkādu citādu dokumentu veidā vai arī apliecinātus šo dokumentu kopijas vai izrakstus no tiem.</w:t>
      </w:r>
    </w:p>
    <w:p w:rsidR="003E022D" w:rsidRDefault="007D19D6">
      <w:pPr>
        <w:rPr>
          <w:noProof/>
        </w:rPr>
      </w:pPr>
      <w:r>
        <w:rPr>
          <w:noProof/>
        </w:rPr>
        <w:t>7.</w:t>
      </w:r>
      <w:r>
        <w:rPr>
          <w:noProof/>
        </w:rPr>
        <w:tab/>
        <w:t>Dokumentu oriģinālus iesniedz tikai tad, ja tas nav pretrunā pieprasījuma saņēmējas iestādes valstī spēkā esošajiem noteikumiem.</w:t>
      </w:r>
    </w:p>
    <w:p w:rsidR="003E022D" w:rsidRDefault="007D19D6">
      <w:pPr>
        <w:pStyle w:val="Article"/>
        <w:rPr>
          <w:noProof/>
        </w:rPr>
      </w:pPr>
      <w:r>
        <w:rPr>
          <w:noProof/>
        </w:rPr>
        <w:t>8. pants. Termiņš informācij</w:t>
      </w:r>
      <w:r>
        <w:rPr>
          <w:noProof/>
        </w:rPr>
        <w:t>as sniegšanai</w:t>
      </w:r>
    </w:p>
    <w:p w:rsidR="003E022D" w:rsidRDefault="007D19D6">
      <w:pPr>
        <w:rPr>
          <w:noProof/>
        </w:rPr>
      </w:pPr>
      <w:r>
        <w:rPr>
          <w:noProof/>
        </w:rPr>
        <w:t>1.</w:t>
      </w:r>
      <w:r>
        <w:rPr>
          <w:noProof/>
        </w:rPr>
        <w:tab/>
        <w:t xml:space="preserve">Pieprasījuma saņēmēja iestāde sniedz 7. pantā minēto informāciju iespējami drīz un ne vēlāk kā 90 dienas pēc pieprasījuma saņemšanas dienas. Tomēr, ja pieprasījuma saņēmējas iestādes </w:t>
      </w:r>
      <w:r>
        <w:rPr>
          <w:rStyle w:val="EUtextChar"/>
          <w:noProof/>
          <w:color w:val="auto"/>
        </w:rPr>
        <w:t>rīcībā jau ir</w:t>
      </w:r>
      <w:r>
        <w:rPr>
          <w:noProof/>
        </w:rPr>
        <w:t xml:space="preserve"> šāda informācija, termiņu samazina uz laik</w:t>
      </w:r>
      <w:r>
        <w:rPr>
          <w:noProof/>
        </w:rPr>
        <w:t>posmu, kas nav ilgāks par 30 dienām.</w:t>
      </w:r>
    </w:p>
    <w:p w:rsidR="003E022D" w:rsidRDefault="007D19D6">
      <w:pPr>
        <w:rPr>
          <w:noProof/>
        </w:rPr>
      </w:pPr>
      <w:r>
        <w:rPr>
          <w:noProof/>
        </w:rPr>
        <w:t>2.</w:t>
      </w:r>
      <w:r>
        <w:rPr>
          <w:noProof/>
        </w:rPr>
        <w:tab/>
        <w:t>Konkrētos īpašos gadījumos pieprasītāja iestāde un pieprasījuma saņēmēja iestāde var vienoties par termiņiem, kas atšķiras no 1. punktā paredzētajiem.</w:t>
      </w:r>
    </w:p>
    <w:p w:rsidR="003E022D" w:rsidRDefault="007D19D6">
      <w:pPr>
        <w:rPr>
          <w:noProof/>
        </w:rPr>
      </w:pPr>
      <w:r>
        <w:rPr>
          <w:noProof/>
        </w:rPr>
        <w:t>3.</w:t>
      </w:r>
      <w:r>
        <w:rPr>
          <w:noProof/>
        </w:rPr>
        <w:tab/>
        <w:t>Ja pieprasījuma saņēmēja iestāde uz pieprasījumu nevar atbildē</w:t>
      </w:r>
      <w:r>
        <w:rPr>
          <w:noProof/>
        </w:rPr>
        <w:t>t līdz 1. un 2. punktā minētā termiņa beigām, tā nekavējoties rakstiski informē pieprasītāju iestādi par iemesliem, kuru dēļ to nevar izdarīt, un laiku, kad tā varētu sniegt atbildi.</w:t>
      </w:r>
    </w:p>
    <w:p w:rsidR="003E022D" w:rsidRDefault="007D19D6">
      <w:pPr>
        <w:pStyle w:val="Chapter"/>
        <w:rPr>
          <w:noProof/>
        </w:rPr>
      </w:pPr>
      <w:r>
        <w:rPr>
          <w:noProof/>
        </w:rPr>
        <w:t>Otrā nodaļa. Informācijas apmaiņa bez iepriekšēja pieprasījuma</w:t>
      </w:r>
    </w:p>
    <w:p w:rsidR="003E022D" w:rsidRDefault="007D19D6">
      <w:pPr>
        <w:pStyle w:val="Article"/>
        <w:rPr>
          <w:noProof/>
        </w:rPr>
      </w:pPr>
      <w:r>
        <w:rPr>
          <w:noProof/>
        </w:rPr>
        <w:t xml:space="preserve">9. pants. </w:t>
      </w:r>
      <w:r>
        <w:rPr>
          <w:noProof/>
        </w:rPr>
        <w:t>Informācijas apmaiņas veidi</w:t>
      </w:r>
    </w:p>
    <w:p w:rsidR="003E022D" w:rsidRDefault="007D19D6">
      <w:pPr>
        <w:rPr>
          <w:noProof/>
        </w:rPr>
      </w:pPr>
      <w:r>
        <w:rPr>
          <w:noProof/>
        </w:rPr>
        <w:t>Informācijas apmaiņa bez iepriekšēja pieprasījuma ir vai nu 10. pantā paredzētā spontānā apmaiņa, vai 11. pantā paredzētā automātiskā apmaiņa.</w:t>
      </w:r>
    </w:p>
    <w:p w:rsidR="003E022D" w:rsidRDefault="007D19D6">
      <w:pPr>
        <w:pStyle w:val="Article"/>
        <w:rPr>
          <w:noProof/>
        </w:rPr>
      </w:pPr>
      <w:r>
        <w:rPr>
          <w:noProof/>
        </w:rPr>
        <w:t>10. pants. Spontāna informācijas apmaiņa</w:t>
      </w:r>
    </w:p>
    <w:p w:rsidR="003E022D" w:rsidRDefault="007D19D6">
      <w:pPr>
        <w:rPr>
          <w:noProof/>
        </w:rPr>
      </w:pPr>
      <w:r>
        <w:rPr>
          <w:noProof/>
        </w:rPr>
        <w:t>Valsts kompetentā iestāde bez iepriekšēja pi</w:t>
      </w:r>
      <w:r>
        <w:rPr>
          <w:noProof/>
        </w:rPr>
        <w:t>eprasījuma nosūta citas valsts kompetentajai iestādei 2. panta [Darbības joma] 1. punkta a) apakšpunktā minēto informāciju, kas tai ir zināma un nav nosūtīta 11. pantā [Automatizēta informācijas apmaiņa] minētajā automatizētajā apmaiņā, šādos gadījumos:</w:t>
      </w:r>
    </w:p>
    <w:p w:rsidR="003E022D" w:rsidRDefault="007D19D6">
      <w:pPr>
        <w:numPr>
          <w:ilvl w:val="0"/>
          <w:numId w:val="1211"/>
        </w:numPr>
        <w:ind w:left="567" w:hanging="567"/>
        <w:rPr>
          <w:rFonts w:asciiTheme="minorHAnsi" w:hAnsiTheme="minorHAnsi" w:cstheme="minorHAnsi"/>
          <w:noProof/>
        </w:rPr>
      </w:pPr>
      <w:r>
        <w:rPr>
          <w:rFonts w:asciiTheme="minorHAnsi" w:hAnsiTheme="minorHAnsi"/>
          <w:noProof/>
        </w:rPr>
        <w:t>ja</w:t>
      </w:r>
      <w:r>
        <w:rPr>
          <w:rFonts w:asciiTheme="minorHAnsi" w:hAnsiTheme="minorHAnsi"/>
          <w:noProof/>
        </w:rPr>
        <w:t xml:space="preserve"> nodokļa uzlikšana ir paredzēta citā valstī un ir vajadzīga informācija, lai nodrošinātu minētās valsts kontroles sistēmas efektivitāti;</w:t>
      </w:r>
    </w:p>
    <w:p w:rsidR="003E022D" w:rsidRDefault="007D19D6">
      <w:pPr>
        <w:numPr>
          <w:ilvl w:val="0"/>
          <w:numId w:val="1211"/>
        </w:numPr>
        <w:ind w:left="567" w:hanging="567"/>
        <w:rPr>
          <w:rFonts w:asciiTheme="minorHAnsi" w:hAnsiTheme="minorHAnsi" w:cstheme="minorHAnsi"/>
          <w:noProof/>
        </w:rPr>
      </w:pPr>
      <w:r>
        <w:rPr>
          <w:rFonts w:asciiTheme="minorHAnsi" w:hAnsiTheme="minorHAnsi"/>
          <w:noProof/>
        </w:rPr>
        <w:t>ja valstij ir pamats uzskatīt, ka otrā valstī ir noticis vai varētu būt noticis tiesību aktu pārkāpums PVN jomā;</w:t>
      </w:r>
    </w:p>
    <w:p w:rsidR="003E022D" w:rsidRDefault="007D19D6">
      <w:pPr>
        <w:numPr>
          <w:ilvl w:val="0"/>
          <w:numId w:val="1211"/>
        </w:numPr>
        <w:ind w:left="567" w:hanging="567"/>
        <w:rPr>
          <w:noProof/>
        </w:rPr>
      </w:pPr>
      <w:r>
        <w:rPr>
          <w:rFonts w:asciiTheme="minorHAnsi" w:hAnsiTheme="minorHAnsi"/>
          <w:noProof/>
        </w:rPr>
        <w:t>ja</w:t>
      </w:r>
      <w:r>
        <w:rPr>
          <w:noProof/>
        </w:rPr>
        <w:t xml:space="preserve"> otr</w:t>
      </w:r>
      <w:r>
        <w:rPr>
          <w:noProof/>
        </w:rPr>
        <w:t>ā valstī pastāv nodokļa zaudējumu risks.</w:t>
      </w:r>
    </w:p>
    <w:p w:rsidR="003E022D" w:rsidRDefault="007D19D6">
      <w:pPr>
        <w:pStyle w:val="Article"/>
        <w:rPr>
          <w:noProof/>
        </w:rPr>
      </w:pPr>
      <w:r>
        <w:rPr>
          <w:noProof/>
        </w:rPr>
        <w:t>11. pants. Automatizēta informācijas apmaiņa</w:t>
      </w:r>
    </w:p>
    <w:p w:rsidR="003E022D" w:rsidRDefault="007D19D6">
      <w:pPr>
        <w:rPr>
          <w:noProof/>
        </w:rPr>
      </w:pPr>
      <w:r>
        <w:rPr>
          <w:noProof/>
        </w:rPr>
        <w:t>1.</w:t>
      </w:r>
      <w:r>
        <w:rPr>
          <w:noProof/>
        </w:rPr>
        <w:tab/>
        <w:t>Informācijas kategorijas, uz ko attiecas automatizētā apmaiņa, nosaka Specializētā komiteja saskaņā ar 39. pantu [Tirdzniecības specializētā komiteja administratīvajai</w:t>
      </w:r>
      <w:r>
        <w:rPr>
          <w:noProof/>
        </w:rPr>
        <w:t xml:space="preserve"> sadarbībai PVN un nodokļu un nodevu piedziņas jomā].</w:t>
      </w:r>
    </w:p>
    <w:p w:rsidR="003E022D" w:rsidRDefault="007D19D6">
      <w:pPr>
        <w:rPr>
          <w:noProof/>
        </w:rPr>
      </w:pPr>
      <w:r>
        <w:rPr>
          <w:noProof/>
        </w:rPr>
        <w:t>2.</w:t>
      </w:r>
      <w:r>
        <w:rPr>
          <w:noProof/>
        </w:rPr>
        <w:tab/>
        <w:t>Valsts var atturēties no dalības vienas vai vairāku 1. punktā minēto informācijas kategoriju automatizētā apmaiņā, ja informācijas vākšana šādai apmaiņai prasītu uzlikt PVN maksātājiem jaunus pienāku</w:t>
      </w:r>
      <w:r>
        <w:rPr>
          <w:noProof/>
        </w:rPr>
        <w:t>mus vai ja tas minētajai valstij radītu nesamērīgu administratīvo slogu.</w:t>
      </w:r>
    </w:p>
    <w:p w:rsidR="003E022D" w:rsidRDefault="007D19D6">
      <w:pPr>
        <w:rPr>
          <w:noProof/>
        </w:rPr>
      </w:pPr>
      <w:r>
        <w:rPr>
          <w:noProof/>
        </w:rPr>
        <w:t>3.</w:t>
      </w:r>
      <w:r>
        <w:rPr>
          <w:noProof/>
        </w:rPr>
        <w:tab/>
        <w:t>Katra valsts rakstiski informē Specializēto komiteju par savu lēmumu, kas pieņemts saskaņā ar iepriekšējo punktu.</w:t>
      </w:r>
    </w:p>
    <w:p w:rsidR="003E022D" w:rsidRDefault="007D19D6">
      <w:pPr>
        <w:pStyle w:val="Chapter"/>
        <w:rPr>
          <w:noProof/>
        </w:rPr>
      </w:pPr>
      <w:r>
        <w:rPr>
          <w:noProof/>
        </w:rPr>
        <w:t>Trešā nodaļa. Citi sadarbības veidi</w:t>
      </w:r>
    </w:p>
    <w:p w:rsidR="003E022D" w:rsidRDefault="007D19D6">
      <w:pPr>
        <w:pStyle w:val="Article"/>
        <w:rPr>
          <w:noProof/>
        </w:rPr>
      </w:pPr>
      <w:r>
        <w:rPr>
          <w:noProof/>
        </w:rPr>
        <w:t>12. pants. Administratīvais pa</w:t>
      </w:r>
      <w:r>
        <w:rPr>
          <w:noProof/>
        </w:rPr>
        <w:t>ziņojums</w:t>
      </w:r>
    </w:p>
    <w:p w:rsidR="003E022D" w:rsidRDefault="007D19D6">
      <w:pPr>
        <w:rPr>
          <w:noProof/>
        </w:rPr>
      </w:pPr>
      <w:r>
        <w:rPr>
          <w:noProof/>
        </w:rPr>
        <w:t>1.</w:t>
      </w:r>
      <w:r>
        <w:rPr>
          <w:noProof/>
        </w:rPr>
        <w:tab/>
        <w:t xml:space="preserve">Pieprasījuma saņēmēja iestāde pēc pieprasītājas iestādes pieprasījuma un saskaņā ar noteikumiem, kas reglamentē līdzīgu instrumentu un lēmumu paziņošanu pieprasījuma saņēmējas iestādes valstī, informē visu to instrumentu un lēmumu adresātus, </w:t>
      </w:r>
      <w:r>
        <w:rPr>
          <w:noProof/>
        </w:rPr>
        <w:t>kuri nosūtīti no pieprasītājām iestādēm un kuri attiecas uz PVN jomas tiesību aktu piemērošanu pieprasītājas iestādes valstī.</w:t>
      </w:r>
    </w:p>
    <w:p w:rsidR="003E022D" w:rsidRDefault="007D19D6">
      <w:pPr>
        <w:rPr>
          <w:noProof/>
        </w:rPr>
      </w:pPr>
      <w:r>
        <w:rPr>
          <w:noProof/>
        </w:rPr>
        <w:t>2.</w:t>
      </w:r>
      <w:r>
        <w:rPr>
          <w:noProof/>
        </w:rPr>
        <w:tab/>
        <w:t>Paziņošanas pieprasījumos, kuros minēts paziņojamā instrumenta vai lēmuma priekšmets, norāda vārdu/nosaukumu, adresi un jebkuru</w:t>
      </w:r>
      <w:r>
        <w:rPr>
          <w:noProof/>
        </w:rPr>
        <w:t xml:space="preserve"> citu adresāta identificēšanai vajadzīgu informāciju.</w:t>
      </w:r>
    </w:p>
    <w:p w:rsidR="003E022D" w:rsidRDefault="007D19D6">
      <w:pPr>
        <w:rPr>
          <w:noProof/>
        </w:rPr>
      </w:pPr>
      <w:r>
        <w:rPr>
          <w:noProof/>
        </w:rPr>
        <w:t>3.</w:t>
      </w:r>
      <w:r>
        <w:rPr>
          <w:noProof/>
        </w:rPr>
        <w:tab/>
        <w:t>Pieprasījuma saņēmēja iestāde nekavējoties informē pieprasītāju iestādi par savu atbildi uz paziņošanas pieprasījumu un jo īpaši tai paziņo dienu, kad lēmums vai instruments paziņots adresātam.</w:t>
      </w:r>
    </w:p>
    <w:p w:rsidR="003E022D" w:rsidRDefault="007D19D6">
      <w:pPr>
        <w:pStyle w:val="Article"/>
        <w:rPr>
          <w:noProof/>
        </w:rPr>
      </w:pPr>
      <w:r>
        <w:rPr>
          <w:noProof/>
        </w:rPr>
        <w:t>13. pants. Klātbūtne administratīvos birojos un piedalīšanās administratīvā izmeklēšanā</w:t>
      </w:r>
    </w:p>
    <w:p w:rsidR="003E022D" w:rsidRDefault="007D19D6">
      <w:pPr>
        <w:rPr>
          <w:noProof/>
        </w:rPr>
      </w:pPr>
      <w:r>
        <w:rPr>
          <w:noProof/>
        </w:rPr>
        <w:t>1.</w:t>
      </w:r>
      <w:r>
        <w:rPr>
          <w:noProof/>
        </w:rPr>
        <w:tab/>
        <w:t>Ja panākta vienošanās starp pieprasītāju iestādi un pieprasījuma saņēmēju iestādi un saskaņā ar pieprasījuma saņēmējas iestādes noteikto kārtību pieprasījuma saņēmēj</w:t>
      </w:r>
      <w:r>
        <w:rPr>
          <w:noProof/>
        </w:rPr>
        <w:t>a iestāde var atļaut pieprasītājas iestādes pilnvarotām amatpersonām atrasties pieprasījuma saņēmējas iestādes birojos vai kādā citā vietā, kur minētās iestādes veic savus pienākumus, lai apmainītos ar 2. panta [Darbības joma] 1. punkta a) apakšpunktā minē</w:t>
      </w:r>
      <w:r>
        <w:rPr>
          <w:noProof/>
        </w:rPr>
        <w:t>to informāciju. Ja pieprasītā informācija ir dokumentos, kam pieprasījuma saņēmējas iestādes amatpersonas var piekļūt, pieprasītājas iestādes amatpersonām pēc pieprasījuma izsniedz to kopijas.</w:t>
      </w:r>
    </w:p>
    <w:p w:rsidR="003E022D" w:rsidRDefault="007D19D6">
      <w:pPr>
        <w:rPr>
          <w:noProof/>
        </w:rPr>
      </w:pPr>
      <w:r>
        <w:rPr>
          <w:noProof/>
        </w:rPr>
        <w:t>2.</w:t>
      </w:r>
      <w:r>
        <w:rPr>
          <w:noProof/>
        </w:rPr>
        <w:tab/>
        <w:t>Ja panākta vienošanās starp pieprasītāju iestādi un pieprasī</w:t>
      </w:r>
      <w:r>
        <w:rPr>
          <w:noProof/>
        </w:rPr>
        <w:t>juma saņēmēju iestādi un saskaņā ar pieprasījuma saņēmējas iestādes noteikto kārtību pieprasījuma saņēmēja iestāde var atļaut pieprasītājas iestādes pilnvarotām amatpersonām būt klāt pieprasījuma saņēmējas iestādes valsts teritorijā veiktās administratīvaj</w:t>
      </w:r>
      <w:r>
        <w:rPr>
          <w:noProof/>
        </w:rPr>
        <w:t>ās izmeklēšanās, lai apmainītos ar 2. panta [Darbības joma] 1. punkta a) apakšpunktā minēto informāciju. Šādas administratīvās izmeklēšanas veic tikai un vienīgi pieprasījuma saņēmējas iestādes amatpersonas. Pieprasītājas iestādes amatpersonas neīsteno pār</w:t>
      </w:r>
      <w:r>
        <w:rPr>
          <w:noProof/>
        </w:rPr>
        <w:t>baudes veikšanas pilnvaras, kuras ir uzticētas pieprasījuma saņēmējas iestādes amatpersonām. Tomēr ar pieprasījuma saņēmējas iestādes amatpersonu starpniecību un vienīgi nolūkā veikt administratīvu izmeklēšanu tām var būt piekļuve tām pašām telpām un dokum</w:t>
      </w:r>
      <w:r>
        <w:rPr>
          <w:noProof/>
        </w:rPr>
        <w:t>entiem, kuriem var piekļūt pieprasījuma saņēmējas iestādes amatpersonas.</w:t>
      </w:r>
    </w:p>
    <w:p w:rsidR="003E022D" w:rsidRDefault="007D19D6">
      <w:pPr>
        <w:rPr>
          <w:noProof/>
        </w:rPr>
      </w:pPr>
      <w:r>
        <w:rPr>
          <w:noProof/>
        </w:rPr>
        <w:t>3.</w:t>
      </w:r>
      <w:r>
        <w:rPr>
          <w:noProof/>
        </w:rPr>
        <w:tab/>
        <w:t xml:space="preserve">Ja panākta vienošanās starp pieprasītājām iestādēm un pieprasījuma saņēmēju iestādi un saskaņā ar pieprasījuma saņēmējas iestādes noteikto kārtību pieprasītāju iestāžu pilnvarotas </w:t>
      </w:r>
      <w:r>
        <w:rPr>
          <w:noProof/>
        </w:rPr>
        <w:t>amatpersonas var piedalīties pieprasījuma saņēmējas valsts teritorijā veiktās administratīvajās izmeklēšanās, lai vāktu un apmainītos ar 2. panta [Darbības joma] 1. punkta a) apakšpunktā minēto informāciju. Šādas administratīvas izmeklēšanas pieprasītāju u</w:t>
      </w:r>
      <w:r>
        <w:rPr>
          <w:noProof/>
        </w:rPr>
        <w:t>n pieprasījuma saņēmēju iestāžu amatpersonas veic kopīgi un pieprasījuma saņēmējas valsts vadībā un saskaņā ar tās tiesību aktiem. Pieprasītāju iestāžu amatpersonām ir piekļuve tām pašām telpām un dokumentiem, kuriem var piekļūt pieprasījuma saņēmējas iest</w:t>
      </w:r>
      <w:r>
        <w:rPr>
          <w:noProof/>
        </w:rPr>
        <w:t>ādes amatpersonas, un tās var iztaujāt nodokļa maksātājus tādā mērā, kādā pieprasījuma saņēmējas valsts tiesību aktos tas ir atļauts tās amatpersonām.</w:t>
      </w:r>
    </w:p>
    <w:p w:rsidR="003E022D" w:rsidRDefault="007D19D6">
      <w:pPr>
        <w:rPr>
          <w:noProof/>
        </w:rPr>
      </w:pPr>
      <w:r>
        <w:rPr>
          <w:noProof/>
        </w:rPr>
        <w:t>Ja pieprasījuma saņēmējas valsts tiesību aktos tas ir atļauts, pieprasītāju valstu amatpersonas īsteno tā</w:t>
      </w:r>
      <w:r>
        <w:rPr>
          <w:noProof/>
        </w:rPr>
        <w:t>das pašas pārbaudes pilnvaras, kādas ir uzticētas pieprasījuma saņēmējas valsts amatpersonām.</w:t>
      </w:r>
    </w:p>
    <w:p w:rsidR="003E022D" w:rsidRDefault="007D19D6">
      <w:pPr>
        <w:rPr>
          <w:noProof/>
        </w:rPr>
      </w:pPr>
      <w:r>
        <w:rPr>
          <w:noProof/>
        </w:rPr>
        <w:t>Pieprasītāju iestāžu amatpersonu pārbaudes pilnvaras tiek īstenotas tikai tam, lai veiktu administratīvo izmeklēšanu.</w:t>
      </w:r>
    </w:p>
    <w:p w:rsidR="003E022D" w:rsidRDefault="007D19D6">
      <w:pPr>
        <w:rPr>
          <w:noProof/>
        </w:rPr>
      </w:pPr>
      <w:r>
        <w:rPr>
          <w:noProof/>
        </w:rPr>
        <w:t>Ja panākta vienošanās starp pieprasītāju ies</w:t>
      </w:r>
      <w:r>
        <w:rPr>
          <w:noProof/>
        </w:rPr>
        <w:t>tādi un pieprasījuma saņēmēju iestādi un saskaņā ar pieprasījuma saņēmējas iestādes noteikto kārtību iesaistītās iestādes var sagatavot kopīgu izmeklēšanas ziņojumu.</w:t>
      </w:r>
    </w:p>
    <w:p w:rsidR="003E022D" w:rsidRDefault="007D19D6">
      <w:pPr>
        <w:rPr>
          <w:noProof/>
        </w:rPr>
      </w:pPr>
      <w:r>
        <w:rPr>
          <w:noProof/>
        </w:rPr>
        <w:t>4.</w:t>
      </w:r>
      <w:r>
        <w:rPr>
          <w:noProof/>
        </w:rPr>
        <w:tab/>
        <w:t xml:space="preserve">Pieprasītājas iestādes amatpersonām, kuras atrodas citā valstī saskaņā ar 1., 2. un 3. </w:t>
      </w:r>
      <w:r>
        <w:rPr>
          <w:noProof/>
        </w:rPr>
        <w:t>punktu, vienmēr jāspēj uzrādīt rakstisku pilnvarojumu, kas apliecina to identitāti un oficiālo statusu.</w:t>
      </w:r>
    </w:p>
    <w:p w:rsidR="003E022D" w:rsidRDefault="007D19D6">
      <w:pPr>
        <w:pStyle w:val="Article"/>
        <w:rPr>
          <w:noProof/>
        </w:rPr>
      </w:pPr>
      <w:r>
        <w:rPr>
          <w:noProof/>
        </w:rPr>
        <w:t>14. pants. Vienlaicīga kontrole</w:t>
      </w:r>
    </w:p>
    <w:p w:rsidR="003E022D" w:rsidRDefault="007D19D6">
      <w:pPr>
        <w:rPr>
          <w:noProof/>
        </w:rPr>
      </w:pPr>
      <w:r>
        <w:rPr>
          <w:noProof/>
        </w:rPr>
        <w:t>1.</w:t>
      </w:r>
      <w:r>
        <w:rPr>
          <w:noProof/>
        </w:rPr>
        <w:tab/>
        <w:t>Valstis var vienoties veikt vienlaicīgu kontroli ikreiz, kad tās uzskata, ka šāda kontrole ir efektīvāka nekā tikai v</w:t>
      </w:r>
      <w:r>
        <w:rPr>
          <w:noProof/>
        </w:rPr>
        <w:t>ienas valsts veikta kontrole.</w:t>
      </w:r>
    </w:p>
    <w:p w:rsidR="003E022D" w:rsidRDefault="007D19D6">
      <w:pPr>
        <w:rPr>
          <w:noProof/>
        </w:rPr>
      </w:pPr>
      <w:r>
        <w:rPr>
          <w:noProof/>
        </w:rPr>
        <w:t>2.</w:t>
      </w:r>
      <w:r>
        <w:rPr>
          <w:noProof/>
        </w:rPr>
        <w:tab/>
        <w:t>Valsts neatkarīgi identificē nodokļa maksātājus, kurus tā paredzējusi ierosināt vienlaicīgas kontroles veikšanai. Minētās valsts kompetentā iestāde paziņo attiecīgo pārējo valstu kompetentajām iestādēm gadījumus, kuros iero</w:t>
      </w:r>
      <w:r>
        <w:rPr>
          <w:noProof/>
        </w:rPr>
        <w:t>sināts veikt vienlaicīgu kontroli. Tā savu izvēli pēc iespējas pamato, sniedzot informāciju, kas tai likusi pieņemt šādu lēmumu. Tā norāda laikposmu, kurā šāda kontrole būtu jāveic.</w:t>
      </w:r>
    </w:p>
    <w:p w:rsidR="003E022D" w:rsidRDefault="007D19D6">
      <w:pPr>
        <w:rPr>
          <w:noProof/>
        </w:rPr>
      </w:pPr>
      <w:r>
        <w:rPr>
          <w:noProof/>
        </w:rPr>
        <w:t>3.</w:t>
      </w:r>
      <w:r>
        <w:rPr>
          <w:noProof/>
        </w:rPr>
        <w:tab/>
        <w:t>Kompetentā iestāde, kas saņem priekšlikumu par vienlaicīgu kontroli, sa</w:t>
      </w:r>
      <w:r>
        <w:rPr>
          <w:noProof/>
        </w:rPr>
        <w:t>darbības iestādei apstiprina savu piekrišanu vai paziņo pamatotu atteikumu principā divu nedēļu laikā pēc priekšlikuma saņemšanas, bet ne vēlāk kā viena mēneša laikā pēc priekšlikuma saņemšanas.</w:t>
      </w:r>
    </w:p>
    <w:p w:rsidR="003E022D" w:rsidRDefault="007D19D6">
      <w:pPr>
        <w:rPr>
          <w:noProof/>
        </w:rPr>
      </w:pPr>
      <w:r>
        <w:rPr>
          <w:noProof/>
        </w:rPr>
        <w:t>4.</w:t>
      </w:r>
      <w:r>
        <w:rPr>
          <w:noProof/>
        </w:rPr>
        <w:tab/>
        <w:t xml:space="preserve">Katra attiecīgā kompetentā iestāde ieceļ pārstāvi, kas ir </w:t>
      </w:r>
      <w:r>
        <w:rPr>
          <w:noProof/>
        </w:rPr>
        <w:t>atbildīgs par kontroles operācijas uzraudzību un koordinēšanu.</w:t>
      </w:r>
    </w:p>
    <w:p w:rsidR="003E022D" w:rsidRDefault="007D19D6">
      <w:pPr>
        <w:pStyle w:val="Chapter"/>
        <w:rPr>
          <w:noProof/>
        </w:rPr>
      </w:pPr>
      <w:r>
        <w:rPr>
          <w:noProof/>
        </w:rPr>
        <w:t>Ceturtā nodaļa. Vispārīgi noteikumi</w:t>
      </w:r>
    </w:p>
    <w:p w:rsidR="003E022D" w:rsidRDefault="007D19D6">
      <w:pPr>
        <w:pStyle w:val="Article"/>
        <w:rPr>
          <w:noProof/>
        </w:rPr>
      </w:pPr>
      <w:r>
        <w:rPr>
          <w:noProof/>
        </w:rPr>
        <w:t>15. pants. Nosacījumi par informācijas apmaiņu</w:t>
      </w:r>
    </w:p>
    <w:p w:rsidR="003E022D" w:rsidRDefault="007D19D6">
      <w:pPr>
        <w:rPr>
          <w:noProof/>
        </w:rPr>
      </w:pPr>
      <w:r>
        <w:rPr>
          <w:noProof/>
        </w:rPr>
        <w:t>1.</w:t>
      </w:r>
      <w:r>
        <w:rPr>
          <w:noProof/>
        </w:rPr>
        <w:tab/>
        <w:t>Pieprasījuma saņēmēja iestāde pieprasītājai iestādei sniedz 2. panta [Darbības joma] 1. punkta a) apakšpunk</w:t>
      </w:r>
      <w:r>
        <w:rPr>
          <w:noProof/>
        </w:rPr>
        <w:t>tā minēto informāciju vai</w:t>
      </w:r>
      <w:r>
        <w:rPr>
          <w:rStyle w:val="EUtextChar"/>
          <w:noProof/>
        </w:rPr>
        <w:t xml:space="preserve"> </w:t>
      </w:r>
      <w:r>
        <w:rPr>
          <w:noProof/>
        </w:rPr>
        <w:t xml:space="preserve"> nosūta 12. pantā [Administratīvais paziņojums] minēto administratīvo paziņojumu ar šādiem nosacījumiem:</w:t>
      </w:r>
    </w:p>
    <w:p w:rsidR="003E022D" w:rsidRDefault="007D19D6">
      <w:pPr>
        <w:numPr>
          <w:ilvl w:val="0"/>
          <w:numId w:val="1212"/>
        </w:numPr>
        <w:ind w:left="567" w:hanging="567"/>
        <w:rPr>
          <w:rFonts w:asciiTheme="minorHAnsi" w:hAnsiTheme="minorHAnsi" w:cstheme="minorHAnsi"/>
          <w:noProof/>
        </w:rPr>
      </w:pPr>
      <w:r>
        <w:rPr>
          <w:rFonts w:asciiTheme="minorHAnsi" w:hAnsiTheme="minorHAnsi"/>
          <w:noProof/>
        </w:rPr>
        <w:t>pieprasītājas iestādes informācijas pieprasījumi vai administratīvie paziņojumi to skaita vai rakstura dēļ minētajai pieprasī</w:t>
      </w:r>
      <w:r>
        <w:rPr>
          <w:rFonts w:asciiTheme="minorHAnsi" w:hAnsiTheme="minorHAnsi"/>
          <w:noProof/>
        </w:rPr>
        <w:t xml:space="preserve">juma saņēmējai iestādei neuzliek nesamērīgu administratīvu slogu; un </w:t>
      </w:r>
    </w:p>
    <w:p w:rsidR="003E022D" w:rsidRDefault="007D19D6">
      <w:pPr>
        <w:numPr>
          <w:ilvl w:val="0"/>
          <w:numId w:val="1212"/>
        </w:numPr>
        <w:ind w:left="567" w:hanging="567"/>
        <w:rPr>
          <w:noProof/>
        </w:rPr>
      </w:pPr>
      <w:r>
        <w:rPr>
          <w:rFonts w:asciiTheme="minorHAnsi" w:hAnsiTheme="minorHAnsi"/>
          <w:noProof/>
        </w:rPr>
        <w:t>pieprasītāja iestāde ir pilnībā izmantojusi parastos informācijas avotus, kurus tā konkrētajos apstākļos būtu varējusi izmantot,</w:t>
      </w:r>
      <w:r>
        <w:rPr>
          <w:noProof/>
        </w:rPr>
        <w:t xml:space="preserve"> lai iegūtu pieprasīto informāciju, vai pasākumus, kurus t</w:t>
      </w:r>
      <w:r>
        <w:rPr>
          <w:noProof/>
        </w:rPr>
        <w:t>ā pamatoti varētu veikt, lai nosūtītu pieprasīto administratīvo paziņojumu, neapdraudot vēlamā rezultāta sasniegšanu.</w:t>
      </w:r>
    </w:p>
    <w:p w:rsidR="003E022D" w:rsidRDefault="007D19D6">
      <w:pPr>
        <w:rPr>
          <w:noProof/>
        </w:rPr>
      </w:pPr>
      <w:r>
        <w:rPr>
          <w:noProof/>
        </w:rPr>
        <w:t>2.</w:t>
      </w:r>
      <w:r>
        <w:rPr>
          <w:noProof/>
        </w:rPr>
        <w:tab/>
        <w:t>Šis protokols neuzliek pienākumu veikt izmeklēšanas vai sniegt informāciju par konkrētu gadījumu, ja tās valsts normatīvie akti vai adm</w:t>
      </w:r>
      <w:r>
        <w:rPr>
          <w:noProof/>
        </w:rPr>
        <w:t>inistratīvā prakse, kurai informācija būtu jāsniedz, neatļauj minētajai valstij veikt šādas izmeklēšanas vai vākt vai izmantot šādu informāciju</w:t>
      </w:r>
      <w:r>
        <w:rPr>
          <w:rStyle w:val="UKadditionsChar"/>
          <w:noProof/>
        </w:rPr>
        <w:t xml:space="preserve"> </w:t>
      </w:r>
      <w:r>
        <w:rPr>
          <w:rStyle w:val="UKadditionsChar"/>
          <w:noProof/>
          <w:color w:val="auto"/>
        </w:rPr>
        <w:t xml:space="preserve">pati </w:t>
      </w:r>
      <w:r>
        <w:rPr>
          <w:noProof/>
        </w:rPr>
        <w:t>saviem nolūkiem.</w:t>
      </w:r>
    </w:p>
    <w:p w:rsidR="003E022D" w:rsidRDefault="007D19D6">
      <w:pPr>
        <w:rPr>
          <w:noProof/>
        </w:rPr>
      </w:pPr>
      <w:r>
        <w:rPr>
          <w:noProof/>
        </w:rPr>
        <w:t>3.</w:t>
      </w:r>
      <w:r>
        <w:rPr>
          <w:noProof/>
        </w:rPr>
        <w:tab/>
        <w:t>Pieprasījuma saņēmēja iestāde var atteikt informācijas sniegšanu, ja pieprasītāja iestā</w:t>
      </w:r>
      <w:r>
        <w:rPr>
          <w:noProof/>
        </w:rPr>
        <w:t>de juridisku iemeslu dēļ nespēj sniegt līdzīgu informāciju. Pieprasījuma saņēmēja iestāde informē Specializēto komiteju par atteikuma iemesliem.</w:t>
      </w:r>
    </w:p>
    <w:p w:rsidR="003E022D" w:rsidRDefault="007D19D6">
      <w:pPr>
        <w:rPr>
          <w:noProof/>
        </w:rPr>
      </w:pPr>
      <w:r>
        <w:rPr>
          <w:noProof/>
        </w:rPr>
        <w:t>4.</w:t>
      </w:r>
      <w:r>
        <w:rPr>
          <w:noProof/>
        </w:rPr>
        <w:tab/>
        <w:t>Informācijas sniegšanu var atteikt, ja tās dēļu tiktu atklāts komercnoslēpums, rūpniecisks vai dienesta nosl</w:t>
      </w:r>
      <w:r>
        <w:rPr>
          <w:noProof/>
        </w:rPr>
        <w:t>ēpums vai komercprocess vai ja informācijas atklāšana būtu pretrunā sabiedriskajai kārtībai.</w:t>
      </w:r>
    </w:p>
    <w:p w:rsidR="003E022D" w:rsidRDefault="007D19D6">
      <w:pPr>
        <w:rPr>
          <w:noProof/>
        </w:rPr>
      </w:pPr>
      <w:r>
        <w:rPr>
          <w:noProof/>
        </w:rPr>
        <w:t>5.</w:t>
      </w:r>
      <w:r>
        <w:rPr>
          <w:noProof/>
        </w:rPr>
        <w:tab/>
        <w:t>Šā panta 2., 3. un 4. punkts nekādā gadījumā nedod pieprasījuma saņēmējai iestādei tiesības atteikt informācijas sniegšanu tikai tāpēc, ka šī informācija ir ban</w:t>
      </w:r>
      <w:r>
        <w:rPr>
          <w:noProof/>
        </w:rPr>
        <w:t>kas, citas finanšu iestādes, pārstāvja vai personas, kas darbojas kā aģents vai fiduciārs, rīcībā, vai tāpēc, ka informācija saistīta ar īpašumtiesību interesēm kādā juridiskā personā.</w:t>
      </w:r>
    </w:p>
    <w:p w:rsidR="003E022D" w:rsidRDefault="007D19D6">
      <w:pPr>
        <w:rPr>
          <w:noProof/>
        </w:rPr>
      </w:pPr>
      <w:r>
        <w:rPr>
          <w:noProof/>
        </w:rPr>
        <w:t>6.</w:t>
      </w:r>
      <w:r>
        <w:rPr>
          <w:noProof/>
        </w:rPr>
        <w:tab/>
        <w:t>Pieprasījuma saņēmēja iestāde informē pieprasītāju iestādi par palīd</w:t>
      </w:r>
      <w:r>
        <w:rPr>
          <w:noProof/>
        </w:rPr>
        <w:t>zības pieprasījuma atteikuma iemesliem.</w:t>
      </w:r>
    </w:p>
    <w:p w:rsidR="003E022D" w:rsidRDefault="007D19D6">
      <w:pPr>
        <w:pStyle w:val="Article"/>
        <w:rPr>
          <w:noProof/>
        </w:rPr>
      </w:pPr>
      <w:r>
        <w:rPr>
          <w:noProof/>
        </w:rPr>
        <w:t>16. pants. Atsauksme</w:t>
      </w:r>
    </w:p>
    <w:p w:rsidR="003E022D" w:rsidRDefault="007D19D6">
      <w:pPr>
        <w:pStyle w:val="UKadditions"/>
        <w:rPr>
          <w:noProof/>
          <w:color w:val="auto"/>
        </w:rPr>
      </w:pPr>
      <w:r>
        <w:rPr>
          <w:noProof/>
          <w:color w:val="auto"/>
        </w:rPr>
        <w:t>Ja kompetentā iestāde sniedz informāciju saskaņā ar 7. pantu [Informācijas apmaiņa un administratīvās izmeklēšanas] vai 10. pantu [Spontāna informācijas apmaiņa], tā var pieprasīt, lai kompetentā</w:t>
      </w:r>
      <w:r>
        <w:rPr>
          <w:noProof/>
          <w:color w:val="auto"/>
        </w:rPr>
        <w:t xml:space="preserve"> iestāde, kas saņem informāciju, sniegtu atsauksmi par šo informāciju. Ja šāds pieprasījums tiek izteikts, tad kompetentā iestāde, kas saņem informāciju, neskarot savā valstī piemērojamos noteikumus par nodokļu slepenību un datu aizsardzību, ar noteikumu, </w:t>
      </w:r>
      <w:r>
        <w:rPr>
          <w:noProof/>
          <w:color w:val="auto"/>
        </w:rPr>
        <w:t>ka tas šai iestādei nerada nesamērīgu administratīvo slogu, iespējami drīz nosūta atsauksmi.</w:t>
      </w:r>
    </w:p>
    <w:p w:rsidR="003E022D" w:rsidRDefault="007D19D6">
      <w:pPr>
        <w:pStyle w:val="Article"/>
        <w:rPr>
          <w:noProof/>
        </w:rPr>
      </w:pPr>
      <w:r>
        <w:rPr>
          <w:noProof/>
        </w:rPr>
        <w:t>17. pants. Valoda</w:t>
      </w:r>
    </w:p>
    <w:p w:rsidR="003E022D" w:rsidRDefault="007D19D6">
      <w:pPr>
        <w:rPr>
          <w:noProof/>
        </w:rPr>
      </w:pPr>
      <w:r>
        <w:rPr>
          <w:noProof/>
        </w:rPr>
        <w:t>Palīdzības pieprasījumus, ieskaitot paziņošanas pieprasījumus un pievienotos dokumentus, sagatavo jebkurā valodā, par kuru pieprasītāja iestāde u</w:t>
      </w:r>
      <w:r>
        <w:rPr>
          <w:noProof/>
        </w:rPr>
        <w:t>n pieprasījuma saņēmēja iestāde ir vienojušās.</w:t>
      </w:r>
    </w:p>
    <w:p w:rsidR="003E022D" w:rsidRDefault="007D19D6">
      <w:pPr>
        <w:pStyle w:val="Article"/>
        <w:rPr>
          <w:noProof/>
        </w:rPr>
      </w:pPr>
      <w:r>
        <w:rPr>
          <w:noProof/>
        </w:rPr>
        <w:t>18. pants. Statistikas dati</w:t>
      </w:r>
    </w:p>
    <w:p w:rsidR="003E022D" w:rsidRDefault="007D19D6">
      <w:pPr>
        <w:rPr>
          <w:noProof/>
        </w:rPr>
      </w:pPr>
      <w:r>
        <w:rPr>
          <w:noProof/>
        </w:rPr>
        <w:t>1.</w:t>
      </w:r>
      <w:r>
        <w:rPr>
          <w:noProof/>
        </w:rPr>
        <w:tab/>
        <w:t>Līdz katra gada 30. jūnijam Puses, izmantojot elektroniskus līdzekļus, Specializētajai komitejai paziņo statistikas datus par šīs sadaļas piemērošanu.</w:t>
      </w:r>
    </w:p>
    <w:p w:rsidR="003E022D" w:rsidRDefault="007D19D6">
      <w:pPr>
        <w:rPr>
          <w:noProof/>
        </w:rPr>
      </w:pPr>
      <w:r>
        <w:rPr>
          <w:noProof/>
        </w:rPr>
        <w:t>2.</w:t>
      </w:r>
      <w:r>
        <w:rPr>
          <w:noProof/>
        </w:rPr>
        <w:tab/>
        <w:t>To statistikas datu satu</w:t>
      </w:r>
      <w:r>
        <w:rPr>
          <w:noProof/>
        </w:rPr>
        <w:t>ru un formātu, kas jāpaziņo saskaņā ar 1. punktu, nosaka Specializētā komiteja.</w:t>
      </w:r>
    </w:p>
    <w:p w:rsidR="003E022D" w:rsidRDefault="007D19D6">
      <w:pPr>
        <w:pStyle w:val="Article"/>
        <w:rPr>
          <w:noProof/>
        </w:rPr>
      </w:pPr>
      <w:r>
        <w:rPr>
          <w:noProof/>
        </w:rPr>
        <w:t>19. pants. Standarta veidlapas un saziņas līdzekļi</w:t>
      </w:r>
    </w:p>
    <w:p w:rsidR="003E022D" w:rsidRDefault="007D19D6">
      <w:pPr>
        <w:rPr>
          <w:noProof/>
        </w:rPr>
      </w:pPr>
      <w:r>
        <w:rPr>
          <w:noProof/>
        </w:rPr>
        <w:t>1.</w:t>
      </w:r>
      <w:r>
        <w:rPr>
          <w:noProof/>
        </w:rPr>
        <w:tab/>
        <w:t>Visu saskaņā ar 7. pantu [Informācijas apmaiņa un administratīvās izmeklēšanas], 10. pantu [Spontāna informācijas apmaiņa]</w:t>
      </w:r>
      <w:r>
        <w:rPr>
          <w:noProof/>
        </w:rPr>
        <w:t>, 11. pantu [Automatizēta informācijas apmaiņa], 12. pantu [Administratīvais paziņojums] un 16. pantu [Atsauksme] paziņoto informāciju un saskaņā ar 18. pantu [Statistikas dati] paziņoto statistiku sniedz, izmantojot standarta veidlapu, kas minēta 39. pant</w:t>
      </w:r>
      <w:r>
        <w:rPr>
          <w:noProof/>
        </w:rPr>
        <w:t xml:space="preserve">a [Tirdzniecības specializētā komiteja administratīvajai sadarbībai PVN un nodokļu un nodevu piedziņas jomā] 2. punkta d) apakšpunktā, izņemot 6. panta [Konfidencialitāte] 7. un 8. punktā minētos gadījumus, vai īpašos gadījumos, kad attiecīgās kompetentās </w:t>
      </w:r>
      <w:r>
        <w:rPr>
          <w:noProof/>
        </w:rPr>
        <w:t>iestādes uzskata citus drošus līdzekļus par piemērotākiem un piekrīt šos līdzekļus izmantot.</w:t>
      </w:r>
    </w:p>
    <w:p w:rsidR="003E022D" w:rsidRDefault="007D19D6">
      <w:pPr>
        <w:rPr>
          <w:noProof/>
        </w:rPr>
      </w:pPr>
      <w:r>
        <w:rPr>
          <w:noProof/>
        </w:rPr>
        <w:t>2.</w:t>
      </w:r>
      <w:r>
        <w:rPr>
          <w:noProof/>
        </w:rPr>
        <w:tab/>
        <w:t>Standarta veidlapas, ciktāl iespējams, nosūta, izmantojot elektroniskus līdzekļus.</w:t>
      </w:r>
    </w:p>
    <w:p w:rsidR="003E022D" w:rsidRDefault="007D19D6">
      <w:pPr>
        <w:rPr>
          <w:noProof/>
        </w:rPr>
      </w:pPr>
      <w:r>
        <w:rPr>
          <w:noProof/>
        </w:rPr>
        <w:t>3.</w:t>
      </w:r>
      <w:r>
        <w:rPr>
          <w:noProof/>
        </w:rPr>
        <w:tab/>
        <w:t>Ja pieprasījums nav iesniegts, izmantojot tikai elektroniskās sistēmas, pi</w:t>
      </w:r>
      <w:r>
        <w:rPr>
          <w:noProof/>
        </w:rPr>
        <w:t>eprasījuma saņēmēja iestāde nekavējoties un katrā ziņā ne vēlāk kā piecu darbdienu laikā no saņemšanas, izmantojot elektroniskus līdzekļus, apstiprina pieprasījuma saņemšanu.</w:t>
      </w:r>
    </w:p>
    <w:p w:rsidR="003E022D" w:rsidRDefault="007D19D6">
      <w:pPr>
        <w:rPr>
          <w:noProof/>
        </w:rPr>
      </w:pPr>
      <w:r>
        <w:rPr>
          <w:noProof/>
        </w:rPr>
        <w:t>4.</w:t>
      </w:r>
      <w:r>
        <w:rPr>
          <w:noProof/>
        </w:rPr>
        <w:tab/>
        <w:t xml:space="preserve">Ja kāda iestāde ir saņēmusi pieprasījumu vai informāciju, kas tai nav </w:t>
      </w:r>
      <w:r>
        <w:rPr>
          <w:noProof/>
        </w:rPr>
        <w:t>paredzēta, tā nekavējoties un katrā ziņā ne vēlāk kā piecu darbdienu laikā no saņemšanas, izmantojot elektroniskus līdzekļus, nosūta ziņojumu sūtītājam.</w:t>
      </w:r>
    </w:p>
    <w:p w:rsidR="003E022D" w:rsidRDefault="007D19D6">
      <w:pPr>
        <w:rPr>
          <w:noProof/>
        </w:rPr>
      </w:pPr>
      <w:r>
        <w:rPr>
          <w:noProof/>
        </w:rPr>
        <w:t>5.</w:t>
      </w:r>
      <w:r>
        <w:rPr>
          <w:noProof/>
        </w:rPr>
        <w:tab/>
        <w:t>Kamēr specializētā komiteja nav pieņēmusi 39. panta [Tirdzniecības specializētā komiteja administrat</w:t>
      </w:r>
      <w:r>
        <w:rPr>
          <w:noProof/>
        </w:rPr>
        <w:t>īvajai sadarbībai PVN un nodokļu un nodevu piedziņas jomā] 2. punktā minētos lēmumus, kompetentās iestādes izmanto šā protokola pielikumā izklāstītos noteikumus, ieskaitot standarta veidlapas.</w:t>
      </w:r>
    </w:p>
    <w:p w:rsidR="003E022D" w:rsidRDefault="007D19D6">
      <w:pPr>
        <w:pStyle w:val="Title1"/>
        <w:rPr>
          <w:noProof/>
        </w:rPr>
      </w:pPr>
      <w:bookmarkStart w:id="1416" w:name="_Toc59110596"/>
      <w:bookmarkStart w:id="1417" w:name="_Toc59988435"/>
      <w:r>
        <w:rPr>
          <w:noProof/>
        </w:rPr>
        <w:t>III SADAĻA. PALĪDZĪBA PIEDZIŅĀ</w:t>
      </w:r>
      <w:bookmarkEnd w:id="1416"/>
      <w:bookmarkEnd w:id="1417"/>
    </w:p>
    <w:p w:rsidR="003E022D" w:rsidRDefault="007D19D6">
      <w:pPr>
        <w:pStyle w:val="Chapter"/>
        <w:rPr>
          <w:noProof/>
        </w:rPr>
      </w:pPr>
      <w:r>
        <w:rPr>
          <w:noProof/>
        </w:rPr>
        <w:t>Pirmā nodaļa. Informācijas apmai</w:t>
      </w:r>
      <w:r>
        <w:rPr>
          <w:noProof/>
        </w:rPr>
        <w:t>ņa</w:t>
      </w:r>
    </w:p>
    <w:p w:rsidR="003E022D" w:rsidRDefault="007D19D6">
      <w:pPr>
        <w:pStyle w:val="Article"/>
        <w:rPr>
          <w:noProof/>
        </w:rPr>
      </w:pPr>
      <w:r>
        <w:rPr>
          <w:noProof/>
        </w:rPr>
        <w:t>20. pants. Informācijas pieprasījums</w:t>
      </w:r>
    </w:p>
    <w:p w:rsidR="003E022D" w:rsidRDefault="007D19D6">
      <w:pPr>
        <w:spacing w:after="0"/>
        <w:rPr>
          <w:rFonts w:ascii="Times New Roman" w:hAnsi="Times New Roman" w:cs="Times New Roman"/>
          <w:noProof/>
          <w:sz w:val="24"/>
          <w:szCs w:val="24"/>
        </w:rPr>
      </w:pPr>
      <w:r>
        <w:rPr>
          <w:noProof/>
        </w:rPr>
        <w:t>1.</w:t>
      </w:r>
      <w:r>
        <w:rPr>
          <w:noProof/>
        </w:rPr>
        <w:tab/>
        <w:t>Pieprasījuma saņēmēja iestāde pēc pieteikuma iesniedzējas iestādes pieprasījuma sniedz visu informāciju, kas ir prognozējami svarīga pieteikuma iesniedzējai iestādei, veicot tās prasījumu piedziņu saskaņā ar 2. pa</w:t>
      </w:r>
      <w:r>
        <w:rPr>
          <w:noProof/>
        </w:rPr>
        <w:t xml:space="preserve">nta [Darbības joma] 1. punkta b) apakšpunktu. Informācijas pieprasījumā iekļauj vārdu, uzvārdu / nosaukumu un jebkādus citus datus, kas ir būtiski attiecīgo personu identifikācijai, ja tādi ir pieejami. </w:t>
      </w:r>
      <w:r>
        <w:rPr>
          <w:rFonts w:ascii="Times New Roman" w:hAnsi="Times New Roman"/>
          <w:noProof/>
          <w:sz w:val="24"/>
          <w:szCs w:val="24"/>
        </w:rPr>
        <w:t xml:space="preserve"> </w:t>
      </w:r>
    </w:p>
    <w:p w:rsidR="003E022D" w:rsidRDefault="003E022D">
      <w:pPr>
        <w:spacing w:after="0"/>
        <w:rPr>
          <w:rFonts w:ascii="Times New Roman" w:hAnsi="Times New Roman" w:cs="Times New Roman"/>
          <w:noProof/>
          <w:sz w:val="24"/>
          <w:szCs w:val="24"/>
          <w:lang w:eastAsia="en-GB"/>
        </w:rPr>
      </w:pPr>
    </w:p>
    <w:p w:rsidR="003E022D" w:rsidRDefault="007D19D6">
      <w:pPr>
        <w:rPr>
          <w:noProof/>
        </w:rPr>
      </w:pPr>
      <w:r>
        <w:rPr>
          <w:noProof/>
        </w:rPr>
        <w:t xml:space="preserve">Lai sniegtu šo informāciju, pieprasījuma saņēmēja </w:t>
      </w:r>
      <w:r>
        <w:rPr>
          <w:noProof/>
        </w:rPr>
        <w:t>iestāde organizē jebkādu administratīvo izmeklēšanu veikšanu, kas vajadzīgas informācijas iegūšanai.</w:t>
      </w:r>
    </w:p>
    <w:p w:rsidR="003E022D" w:rsidRDefault="007D19D6">
      <w:pPr>
        <w:rPr>
          <w:noProof/>
        </w:rPr>
      </w:pPr>
      <w:r>
        <w:rPr>
          <w:noProof/>
        </w:rPr>
        <w:t>2.</w:t>
      </w:r>
      <w:r>
        <w:rPr>
          <w:noProof/>
        </w:rPr>
        <w:tab/>
        <w:t>Pieprasījuma saņēmējas iestādes pienākums nav sniegt tādu informāciju:</w:t>
      </w:r>
    </w:p>
    <w:p w:rsidR="003E022D" w:rsidRDefault="007D19D6">
      <w:pPr>
        <w:numPr>
          <w:ilvl w:val="0"/>
          <w:numId w:val="1213"/>
        </w:numPr>
        <w:ind w:left="567" w:hanging="567"/>
        <w:rPr>
          <w:rFonts w:asciiTheme="minorHAnsi" w:hAnsiTheme="minorHAnsi" w:cstheme="minorHAnsi"/>
          <w:noProof/>
        </w:rPr>
      </w:pPr>
      <w:r>
        <w:rPr>
          <w:rFonts w:asciiTheme="minorHAnsi" w:hAnsiTheme="minorHAnsi"/>
          <w:noProof/>
        </w:rPr>
        <w:t>kuru tā nevarētu iegūt, ja līdzīgu prasījumu piedziņa notiktu tās vārdā;</w:t>
      </w:r>
    </w:p>
    <w:p w:rsidR="003E022D" w:rsidRDefault="007D19D6">
      <w:pPr>
        <w:numPr>
          <w:ilvl w:val="0"/>
          <w:numId w:val="1213"/>
        </w:numPr>
        <w:ind w:left="567" w:hanging="567"/>
        <w:rPr>
          <w:rFonts w:asciiTheme="minorHAnsi" w:hAnsiTheme="minorHAnsi" w:cstheme="minorHAnsi"/>
          <w:noProof/>
        </w:rPr>
      </w:pPr>
      <w:r>
        <w:rPr>
          <w:rFonts w:asciiTheme="minorHAnsi" w:hAnsiTheme="minorHAnsi"/>
          <w:noProof/>
        </w:rPr>
        <w:t>kuras iz</w:t>
      </w:r>
      <w:r>
        <w:rPr>
          <w:rFonts w:asciiTheme="minorHAnsi" w:hAnsiTheme="minorHAnsi"/>
          <w:noProof/>
        </w:rPr>
        <w:t>paušana varētu izraisīt komercnoslēpuma, rūpnieciska vai dienesta noslēpuma atklāšanu vai</w:t>
      </w:r>
    </w:p>
    <w:p w:rsidR="003E022D" w:rsidRDefault="007D19D6">
      <w:pPr>
        <w:numPr>
          <w:ilvl w:val="0"/>
          <w:numId w:val="1213"/>
        </w:numPr>
        <w:ind w:left="567" w:hanging="567"/>
        <w:rPr>
          <w:noProof/>
        </w:rPr>
      </w:pPr>
      <w:r>
        <w:rPr>
          <w:rFonts w:asciiTheme="minorHAnsi" w:hAnsiTheme="minorHAnsi"/>
          <w:noProof/>
        </w:rPr>
        <w:t>kuras izpaušana varētu apdraudēt drošību vai būt pretrunā sabiedriskajai kārtībai</w:t>
      </w:r>
      <w:r>
        <w:rPr>
          <w:noProof/>
        </w:rPr>
        <w:t xml:space="preserve"> pieprasījuma saņēmējas iestādes valstī.</w:t>
      </w:r>
    </w:p>
    <w:p w:rsidR="003E022D" w:rsidRDefault="007D19D6">
      <w:pPr>
        <w:rPr>
          <w:noProof/>
        </w:rPr>
      </w:pPr>
      <w:r>
        <w:rPr>
          <w:noProof/>
        </w:rPr>
        <w:t>3.</w:t>
      </w:r>
      <w:r>
        <w:rPr>
          <w:noProof/>
        </w:rPr>
        <w:tab/>
        <w:t xml:space="preserve">Šā panta 2. punkts nekādā gadījumā nedod </w:t>
      </w:r>
      <w:r>
        <w:rPr>
          <w:noProof/>
        </w:rPr>
        <w:t>pieprasījuma saņēmējai iestādei tiesības atteikt informācijas sniegšanu tikai tāpēc, ka šī informācija ir bankas, citas finanšu iestādes, pārstāvja vai personas, kas darbojas kā aģents vai fiduciārs, rīcībā, vai tāpēc, ka informācija saistīta ar īpašumties</w:t>
      </w:r>
      <w:r>
        <w:rPr>
          <w:noProof/>
        </w:rPr>
        <w:t>ību interesēm kādā juridiskā personā.</w:t>
      </w:r>
    </w:p>
    <w:p w:rsidR="003E022D" w:rsidRDefault="007D19D6">
      <w:pPr>
        <w:rPr>
          <w:noProof/>
        </w:rPr>
      </w:pPr>
      <w:r>
        <w:rPr>
          <w:noProof/>
        </w:rPr>
        <w:t>4.</w:t>
      </w:r>
      <w:r>
        <w:rPr>
          <w:noProof/>
        </w:rPr>
        <w:tab/>
        <w:t>Pieprasījuma saņēmēja iestāde informē pieteikuma iesniedzēju iestādi par informācijas pieprasījuma noraidījuma iemesliem.</w:t>
      </w:r>
    </w:p>
    <w:p w:rsidR="003E022D" w:rsidRDefault="007D19D6">
      <w:pPr>
        <w:pStyle w:val="Article"/>
        <w:rPr>
          <w:noProof/>
        </w:rPr>
      </w:pPr>
      <w:r>
        <w:rPr>
          <w:noProof/>
        </w:rPr>
        <w:t>21. pants. Informācijas apmaiņa bez iepriekšēja pieprasījuma</w:t>
      </w:r>
    </w:p>
    <w:p w:rsidR="003E022D" w:rsidRDefault="007D19D6">
      <w:pPr>
        <w:rPr>
          <w:noProof/>
        </w:rPr>
      </w:pPr>
      <w:r>
        <w:rPr>
          <w:noProof/>
        </w:rPr>
        <w:t>Ja nodokļu vai nodevu atmaksa at</w:t>
      </w:r>
      <w:r>
        <w:rPr>
          <w:noProof/>
        </w:rPr>
        <w:t>tiecas uz personu, kas veic uzņēmējdarbību citā valstī vai ir tās rezidents, tad valsts, no kuras jāveic atmaksa, var informēt uzņēmējdarbības vai dzīvesvietas valsti par gaidāmo atmaksu.</w:t>
      </w:r>
    </w:p>
    <w:p w:rsidR="003E022D" w:rsidRDefault="007D19D6">
      <w:pPr>
        <w:pStyle w:val="Article"/>
        <w:rPr>
          <w:noProof/>
        </w:rPr>
      </w:pPr>
      <w:r>
        <w:rPr>
          <w:noProof/>
        </w:rPr>
        <w:t xml:space="preserve">22. pants. Klātbūtne administratīvos birojos un piedalīšanās </w:t>
      </w:r>
      <w:r>
        <w:rPr>
          <w:noProof/>
        </w:rPr>
        <w:t>administratīvā izmeklēšanā</w:t>
      </w:r>
    </w:p>
    <w:p w:rsidR="003E022D" w:rsidRDefault="007D19D6">
      <w:pPr>
        <w:rPr>
          <w:noProof/>
        </w:rPr>
      </w:pPr>
      <w:r>
        <w:rPr>
          <w:noProof/>
        </w:rPr>
        <w:t>1.</w:t>
      </w:r>
      <w:r>
        <w:rPr>
          <w:noProof/>
        </w:rPr>
        <w:tab/>
        <w:t>Ja panākta vienošanās starp pieteikuma iesniedzēju iestādi un pieprasījuma saņēmēju iestādi un saskaņā ar pieprasījuma saņēmējas iestādes noteikto kārtību pieteikuma iesniedzējas iestādes pilnvarotas amatpersonas ar nolūku sek</w:t>
      </w:r>
      <w:r>
        <w:rPr>
          <w:noProof/>
        </w:rPr>
        <w:t>mēt šajā sadaļā paredzēto savstarpējo palīdzību var:</w:t>
      </w:r>
    </w:p>
    <w:p w:rsidR="003E022D" w:rsidRDefault="007D19D6">
      <w:pPr>
        <w:numPr>
          <w:ilvl w:val="0"/>
          <w:numId w:val="1214"/>
        </w:numPr>
        <w:ind w:left="567" w:hanging="567"/>
        <w:rPr>
          <w:rFonts w:asciiTheme="minorHAnsi" w:hAnsiTheme="minorHAnsi" w:cstheme="minorHAnsi"/>
          <w:noProof/>
        </w:rPr>
      </w:pPr>
      <w:r>
        <w:rPr>
          <w:rFonts w:asciiTheme="minorHAnsi" w:hAnsiTheme="minorHAnsi"/>
          <w:noProof/>
        </w:rPr>
        <w:t>atrasties birojos, kur pieprasījuma saņēmējas valsts amatpersonas veic savus pienākumus;</w:t>
      </w:r>
    </w:p>
    <w:p w:rsidR="003E022D" w:rsidRDefault="007D19D6">
      <w:pPr>
        <w:numPr>
          <w:ilvl w:val="0"/>
          <w:numId w:val="1214"/>
        </w:numPr>
        <w:ind w:left="567" w:hanging="567"/>
        <w:rPr>
          <w:rFonts w:asciiTheme="minorHAnsi" w:hAnsiTheme="minorHAnsi" w:cstheme="minorHAnsi"/>
          <w:noProof/>
        </w:rPr>
      </w:pPr>
      <w:r>
        <w:rPr>
          <w:rFonts w:asciiTheme="minorHAnsi" w:hAnsiTheme="minorHAnsi"/>
          <w:noProof/>
        </w:rPr>
        <w:t>piedalīties administratīvajās izmeklēšanās, kuras veic pieprasījuma saņēmējas valsts teritorijā; un</w:t>
      </w:r>
    </w:p>
    <w:p w:rsidR="003E022D" w:rsidRDefault="007D19D6">
      <w:pPr>
        <w:numPr>
          <w:ilvl w:val="0"/>
          <w:numId w:val="1214"/>
        </w:numPr>
        <w:ind w:left="567" w:hanging="567"/>
        <w:rPr>
          <w:noProof/>
        </w:rPr>
      </w:pPr>
      <w:r>
        <w:rPr>
          <w:noProof/>
        </w:rPr>
        <w:t>palīdzēt piepr</w:t>
      </w:r>
      <w:r>
        <w:rPr>
          <w:noProof/>
        </w:rPr>
        <w:t>asījuma saņēmējas valsts atbildīgajām amatpersonām tiesas procesu laikā minētajā valstī.</w:t>
      </w:r>
    </w:p>
    <w:p w:rsidR="003E022D" w:rsidRDefault="007D19D6">
      <w:pPr>
        <w:rPr>
          <w:noProof/>
        </w:rPr>
      </w:pPr>
      <w:r>
        <w:rPr>
          <w:noProof/>
        </w:rPr>
        <w:t>2.</w:t>
      </w:r>
      <w:r>
        <w:rPr>
          <w:noProof/>
        </w:rPr>
        <w:tab/>
        <w:t>Ciktāl tas ir atļauts saskaņā ar pieprasījuma saņēmējā valstī piemērojamajiem tiesību aktiem, 1. punkta b) apakšpunktā minētajā gadījumā var vienoties, ka pieteikum</w:t>
      </w:r>
      <w:r>
        <w:rPr>
          <w:noProof/>
        </w:rPr>
        <w:t>a iesniedzēja iestādes amatpersonas drīkst intervēt privātpersonas un pārbaudīt uzskaiti.</w:t>
      </w:r>
    </w:p>
    <w:p w:rsidR="003E022D" w:rsidRDefault="007D19D6">
      <w:pPr>
        <w:rPr>
          <w:noProof/>
        </w:rPr>
      </w:pPr>
      <w:r>
        <w:rPr>
          <w:noProof/>
        </w:rPr>
        <w:t>3.</w:t>
      </w:r>
      <w:r>
        <w:rPr>
          <w:noProof/>
        </w:rPr>
        <w:tab/>
        <w:t>Pieteikuma iesniedzējas iestādes pilnvarotajām amatpersonām, kuras izmanto 1. un 2. punktā paredzēto iespēju, vienmēr jāspēj uzrādīt rakstisku pilnvarojumu, kas ap</w:t>
      </w:r>
      <w:r>
        <w:rPr>
          <w:noProof/>
        </w:rPr>
        <w:t>liecina to identitāti un oficiālo statusu.</w:t>
      </w:r>
    </w:p>
    <w:p w:rsidR="003E022D" w:rsidRDefault="007D19D6">
      <w:pPr>
        <w:pStyle w:val="Chapter"/>
        <w:rPr>
          <w:noProof/>
        </w:rPr>
      </w:pPr>
      <w:r>
        <w:rPr>
          <w:noProof/>
        </w:rPr>
        <w:t>Otrā nodaļa. Palīdzība dokumentu paziņošanā</w:t>
      </w:r>
    </w:p>
    <w:p w:rsidR="003E022D" w:rsidRDefault="007D19D6">
      <w:pPr>
        <w:pStyle w:val="Article"/>
        <w:rPr>
          <w:noProof/>
        </w:rPr>
      </w:pPr>
      <w:r>
        <w:rPr>
          <w:noProof/>
        </w:rPr>
        <w:t>23. pants. Konkrētu dokumentu paziņošanas pieprasījums saistībā ar prasījumiem</w:t>
      </w:r>
    </w:p>
    <w:p w:rsidR="003E022D" w:rsidRDefault="007D19D6">
      <w:pPr>
        <w:rPr>
          <w:noProof/>
        </w:rPr>
      </w:pPr>
      <w:r>
        <w:rPr>
          <w:noProof/>
        </w:rPr>
        <w:t>1.</w:t>
      </w:r>
      <w:r>
        <w:rPr>
          <w:noProof/>
        </w:rPr>
        <w:tab/>
        <w:t>Pieprasījuma saņēmēja iestāde pēc pieteikuma iesniedzējas iestādes pieprasījuma informē</w:t>
      </w:r>
      <w:r>
        <w:rPr>
          <w:noProof/>
        </w:rPr>
        <w:t xml:space="preserve"> saņēmēju par visiem dokumentiem, tostarp tiesu dokumentiem, kas ir nosūtīti no pieteikuma iesniedzējas iestādes valsts un kas ir saistīti ar 2. panta [Darbības joma] 1. punkta b) apakšpunktā minēto prasījumu vai tā piedziņu.</w:t>
      </w:r>
    </w:p>
    <w:p w:rsidR="003E022D" w:rsidRDefault="007D19D6">
      <w:pPr>
        <w:rPr>
          <w:noProof/>
        </w:rPr>
      </w:pPr>
      <w:r>
        <w:rPr>
          <w:noProof/>
        </w:rPr>
        <w:t>Paziņošanas pieprasījumam piev</w:t>
      </w:r>
      <w:r>
        <w:rPr>
          <w:noProof/>
        </w:rPr>
        <w:t>ieno standarta veidlapu, kurā iekļauta vismaz šāda informācija:</w:t>
      </w:r>
    </w:p>
    <w:p w:rsidR="003E022D" w:rsidRDefault="007D19D6">
      <w:pPr>
        <w:numPr>
          <w:ilvl w:val="0"/>
          <w:numId w:val="1215"/>
        </w:numPr>
        <w:ind w:left="567" w:hanging="567"/>
        <w:rPr>
          <w:rFonts w:asciiTheme="minorHAnsi" w:hAnsiTheme="minorHAnsi" w:cstheme="minorHAnsi"/>
          <w:noProof/>
        </w:rPr>
      </w:pPr>
      <w:r>
        <w:rPr>
          <w:rFonts w:asciiTheme="minorHAnsi" w:hAnsiTheme="minorHAnsi"/>
          <w:noProof/>
        </w:rPr>
        <w:t>vārds, uzvārds / nosaukums, adrese un citi dati, ar kuriem var identificēt adresātu;</w:t>
      </w:r>
    </w:p>
    <w:p w:rsidR="003E022D" w:rsidRDefault="007D19D6">
      <w:pPr>
        <w:numPr>
          <w:ilvl w:val="0"/>
          <w:numId w:val="1215"/>
        </w:numPr>
        <w:ind w:left="567" w:hanging="567"/>
        <w:rPr>
          <w:rFonts w:asciiTheme="minorHAnsi" w:hAnsiTheme="minorHAnsi" w:cstheme="minorHAnsi"/>
          <w:noProof/>
        </w:rPr>
      </w:pPr>
      <w:r>
        <w:rPr>
          <w:rFonts w:asciiTheme="minorHAnsi" w:hAnsiTheme="minorHAnsi"/>
          <w:noProof/>
        </w:rPr>
        <w:t>paziņošanas mērķis un laikposms, kurā paziņošana būtu jāveic;</w:t>
      </w:r>
    </w:p>
    <w:p w:rsidR="003E022D" w:rsidRDefault="007D19D6">
      <w:pPr>
        <w:numPr>
          <w:ilvl w:val="0"/>
          <w:numId w:val="1215"/>
        </w:numPr>
        <w:ind w:left="567" w:hanging="567"/>
        <w:rPr>
          <w:rFonts w:asciiTheme="minorHAnsi" w:hAnsiTheme="minorHAnsi" w:cstheme="minorHAnsi"/>
          <w:noProof/>
        </w:rPr>
      </w:pPr>
      <w:r>
        <w:rPr>
          <w:rFonts w:asciiTheme="minorHAnsi" w:hAnsiTheme="minorHAnsi"/>
          <w:noProof/>
        </w:rPr>
        <w:t>pievienotā dokumenta apraksts un attiecīgā pi</w:t>
      </w:r>
      <w:r>
        <w:rPr>
          <w:rFonts w:asciiTheme="minorHAnsi" w:hAnsiTheme="minorHAnsi"/>
          <w:noProof/>
        </w:rPr>
        <w:t>eprasījuma raksturs un summa un</w:t>
      </w:r>
    </w:p>
    <w:p w:rsidR="003E022D" w:rsidRDefault="007D19D6">
      <w:pPr>
        <w:numPr>
          <w:ilvl w:val="0"/>
          <w:numId w:val="1215"/>
        </w:numPr>
        <w:ind w:left="567" w:hanging="567"/>
        <w:rPr>
          <w:noProof/>
        </w:rPr>
      </w:pPr>
      <w:r>
        <w:rPr>
          <w:noProof/>
        </w:rPr>
        <w:t>nosaukums, adrese un cita kontaktinformācija:</w:t>
      </w:r>
    </w:p>
    <w:p w:rsidR="003E022D" w:rsidRDefault="007D19D6">
      <w:pPr>
        <w:ind w:left="1276" w:hanging="567"/>
        <w:rPr>
          <w:noProof/>
        </w:rPr>
      </w:pPr>
      <w:r>
        <w:rPr>
          <w:noProof/>
        </w:rPr>
        <w:t>i)</w:t>
      </w:r>
      <w:r>
        <w:rPr>
          <w:noProof/>
        </w:rPr>
        <w:tab/>
        <w:t>birojam, kas atbildīgs par pievienoto dokumentu, un</w:t>
      </w:r>
    </w:p>
    <w:p w:rsidR="003E022D" w:rsidRDefault="007D19D6">
      <w:pPr>
        <w:ind w:left="1276" w:hanging="567"/>
        <w:rPr>
          <w:noProof/>
        </w:rPr>
      </w:pPr>
      <w:r>
        <w:rPr>
          <w:noProof/>
        </w:rPr>
        <w:t>ii)</w:t>
      </w:r>
      <w:r>
        <w:rPr>
          <w:noProof/>
        </w:rPr>
        <w:tab/>
        <w:t>ja atšķiras — birojam, kur var iegūt papildu informāciju par pievienoto dokumentu vai iespējām apstrīdēt maksājuma pien</w:t>
      </w:r>
      <w:r>
        <w:rPr>
          <w:noProof/>
        </w:rPr>
        <w:t>ākumu.</w:t>
      </w:r>
    </w:p>
    <w:p w:rsidR="003E022D" w:rsidRDefault="007D19D6">
      <w:pPr>
        <w:rPr>
          <w:noProof/>
        </w:rPr>
      </w:pPr>
      <w:r>
        <w:rPr>
          <w:noProof/>
        </w:rPr>
        <w:t>2.</w:t>
      </w:r>
      <w:r>
        <w:rPr>
          <w:noProof/>
        </w:rPr>
        <w:tab/>
        <w:t xml:space="preserve">Pieteikuma iesniedzēja iestāde iesniedz paziņošanas pieprasījumu saskaņā ar šo pantu vienīgi tad, ja tā nespēj paziņošanu veikt saskaņā ar noteikumiem, kas reglamentē attiecīgā dokumenta paziņošanu savā valstī, vai ja šāda paziņošana radītu </w:t>
      </w:r>
      <w:r>
        <w:rPr>
          <w:noProof/>
        </w:rPr>
        <w:t>nesamērīgas grūtības.</w:t>
      </w:r>
    </w:p>
    <w:p w:rsidR="003E022D" w:rsidRDefault="007D19D6">
      <w:pPr>
        <w:rPr>
          <w:noProof/>
        </w:rPr>
      </w:pPr>
      <w:r>
        <w:rPr>
          <w:noProof/>
        </w:rPr>
        <w:t>3.</w:t>
      </w:r>
      <w:r>
        <w:rPr>
          <w:noProof/>
        </w:rPr>
        <w:tab/>
        <w:t>Pieprasījuma saņēmēja iestāde nekavējoties informē pieteikuma iesniedzēju iestādi par ikvienu rīcību, kas veikta saistībā ar paziņošanas pieprasījumu, un jo īpaši tai paziņo dienu, kad lēmums vai instruments paziņots adresātam.</w:t>
      </w:r>
    </w:p>
    <w:p w:rsidR="003E022D" w:rsidRDefault="007D19D6">
      <w:pPr>
        <w:pStyle w:val="Chapter"/>
        <w:rPr>
          <w:noProof/>
        </w:rPr>
      </w:pPr>
      <w:r>
        <w:rPr>
          <w:noProof/>
        </w:rPr>
        <w:t>24.</w:t>
      </w:r>
      <w:r>
        <w:rPr>
          <w:noProof/>
        </w:rPr>
        <w:t> pants. Paziņošanas līdzekļi</w:t>
      </w:r>
    </w:p>
    <w:p w:rsidR="003E022D" w:rsidRDefault="007D19D6">
      <w:pPr>
        <w:rPr>
          <w:noProof/>
        </w:rPr>
      </w:pPr>
      <w:r>
        <w:rPr>
          <w:noProof/>
        </w:rPr>
        <w:t>1.</w:t>
      </w:r>
      <w:r>
        <w:rPr>
          <w:noProof/>
        </w:rPr>
        <w:tab/>
        <w:t>Pieprasījuma saņēmēja iestāde nodrošina to, ka paziņošana pieprasījuma saņēmējā valstī tiek veikta saskaņā ar piemērojamajiem valsts normatīvajiem aktiem un administratīvo praksi.</w:t>
      </w:r>
    </w:p>
    <w:p w:rsidR="003E022D" w:rsidRDefault="007D19D6">
      <w:pPr>
        <w:rPr>
          <w:noProof/>
        </w:rPr>
      </w:pPr>
      <w:r>
        <w:rPr>
          <w:noProof/>
        </w:rPr>
        <w:t>2.</w:t>
      </w:r>
      <w:r>
        <w:rPr>
          <w:noProof/>
        </w:rPr>
        <w:tab/>
        <w:t>Šā panta 1. punkts neskar nekādu cita vei</w:t>
      </w:r>
      <w:r>
        <w:rPr>
          <w:noProof/>
        </w:rPr>
        <w:t>da paziņošanu, ko saskaņā ar minētajā valstī spēkā esošajiem noteikumiem veic pieteikuma iesniedzējas valsts kompetentā iestāde.</w:t>
      </w:r>
    </w:p>
    <w:p w:rsidR="003E022D" w:rsidRDefault="007D19D6">
      <w:pPr>
        <w:rPr>
          <w:noProof/>
        </w:rPr>
      </w:pPr>
      <w:r>
        <w:rPr>
          <w:noProof/>
        </w:rPr>
        <w:t xml:space="preserve">Pieteikuma iesniedzējā valstī izveidota kompetentā iestāde var ierakstītā vēstulē vai elektroniski tieši paziņot par dokumentu </w:t>
      </w:r>
      <w:r>
        <w:rPr>
          <w:noProof/>
        </w:rPr>
        <w:t>personai citas valsts teritorijā.</w:t>
      </w:r>
    </w:p>
    <w:p w:rsidR="003E022D" w:rsidRDefault="007D19D6">
      <w:pPr>
        <w:pStyle w:val="Chapter"/>
        <w:rPr>
          <w:noProof/>
        </w:rPr>
      </w:pPr>
      <w:r>
        <w:rPr>
          <w:noProof/>
        </w:rPr>
        <w:t>Trešā nodaļa. Piedziņa vai piesardzības pasākumi</w:t>
      </w:r>
    </w:p>
    <w:p w:rsidR="003E022D" w:rsidRDefault="007D19D6">
      <w:pPr>
        <w:pStyle w:val="Article"/>
        <w:rPr>
          <w:noProof/>
        </w:rPr>
      </w:pPr>
      <w:r>
        <w:rPr>
          <w:noProof/>
        </w:rPr>
        <w:t>25. pants. Piedziņas pieprasījums</w:t>
      </w:r>
    </w:p>
    <w:p w:rsidR="003E022D" w:rsidRDefault="007D19D6">
      <w:pPr>
        <w:rPr>
          <w:noProof/>
        </w:rPr>
      </w:pPr>
      <w:r>
        <w:rPr>
          <w:noProof/>
        </w:rPr>
        <w:t>1.</w:t>
      </w:r>
      <w:r>
        <w:rPr>
          <w:noProof/>
        </w:rPr>
        <w:tab/>
        <w:t xml:space="preserve">Pieprasījuma saņēmēja iestāde pēc pieteikuma iesniedzējas iestādes pieprasījuma piedzen prasījumus, uz kuriem pieteikuma iesniedzējas </w:t>
      </w:r>
      <w:r>
        <w:rPr>
          <w:noProof/>
        </w:rPr>
        <w:t>iestādes valstī attiecas instruments, kas atļauj izpildi.</w:t>
      </w:r>
    </w:p>
    <w:p w:rsidR="003E022D" w:rsidRDefault="007D19D6">
      <w:pPr>
        <w:rPr>
          <w:noProof/>
        </w:rPr>
      </w:pPr>
      <w:r>
        <w:rPr>
          <w:noProof/>
        </w:rPr>
        <w:t>2.</w:t>
      </w:r>
      <w:r>
        <w:rPr>
          <w:noProof/>
        </w:rPr>
        <w:tab/>
        <w:t>Tiklīdz pieteikuma iesniedzēja iestāde iegūst būtisku informāciju par jautājumu, kas bijis pamatā piedziņas pieprasījumam, tā to nosūta pieprasījuma saņēmējai iestādei.</w:t>
      </w:r>
    </w:p>
    <w:p w:rsidR="003E022D" w:rsidRDefault="007D19D6">
      <w:pPr>
        <w:pStyle w:val="Article"/>
        <w:rPr>
          <w:noProof/>
        </w:rPr>
      </w:pPr>
      <w:r>
        <w:rPr>
          <w:noProof/>
        </w:rPr>
        <w:t>26. pants. Nosacījumi, kas</w:t>
      </w:r>
      <w:r>
        <w:rPr>
          <w:noProof/>
        </w:rPr>
        <w:t xml:space="preserve"> reglamentē piedziņas pieprasījumu</w:t>
      </w:r>
    </w:p>
    <w:p w:rsidR="003E022D" w:rsidRDefault="007D19D6">
      <w:pPr>
        <w:rPr>
          <w:noProof/>
        </w:rPr>
      </w:pPr>
      <w:r>
        <w:rPr>
          <w:noProof/>
        </w:rPr>
        <w:t>1.</w:t>
      </w:r>
      <w:r>
        <w:rPr>
          <w:noProof/>
        </w:rPr>
        <w:tab/>
        <w:t>Pieteikuma iesniedzēja iestāde var neiesniegt piedziņas pieprasījumu, ja un kamēr prasījums vai instruments, kas atļauj tās izpildi, ir apstrīdēts pieteikuma iesniedzējas iestādes valstī, izņemot gadījumus, kad piemēro</w:t>
      </w:r>
      <w:r>
        <w:rPr>
          <w:noProof/>
        </w:rPr>
        <w:t xml:space="preserve"> 29. panta [Apstrīdētie prasījumi un izpildes pasākumi] 4. punkta trešo daļu.</w:t>
      </w:r>
    </w:p>
    <w:p w:rsidR="003E022D" w:rsidRDefault="007D19D6">
      <w:pPr>
        <w:rPr>
          <w:noProof/>
        </w:rPr>
      </w:pPr>
      <w:r>
        <w:rPr>
          <w:noProof/>
        </w:rPr>
        <w:t>2.</w:t>
      </w:r>
      <w:r>
        <w:rPr>
          <w:noProof/>
        </w:rPr>
        <w:tab/>
        <w:t>Pirms piedziņas pieprasījuma iesniegšanas pieteikuma iesniedzēja iestāde izmanto visas attiecīgās savā valstī pieejamās piedziņas procedūras, izņemot šādas situācijas:</w:t>
      </w:r>
    </w:p>
    <w:p w:rsidR="003E022D" w:rsidRDefault="007D19D6">
      <w:pPr>
        <w:numPr>
          <w:ilvl w:val="0"/>
          <w:numId w:val="1216"/>
        </w:numPr>
        <w:ind w:left="567" w:hanging="567"/>
        <w:rPr>
          <w:rFonts w:asciiTheme="minorHAnsi" w:hAnsiTheme="minorHAnsi" w:cstheme="minorHAnsi"/>
          <w:noProof/>
        </w:rPr>
      </w:pPr>
      <w:r>
        <w:rPr>
          <w:rFonts w:asciiTheme="minorHAnsi" w:hAnsiTheme="minorHAnsi"/>
          <w:noProof/>
        </w:rPr>
        <w:t>ja ir s</w:t>
      </w:r>
      <w:r>
        <w:rPr>
          <w:rFonts w:asciiTheme="minorHAnsi" w:hAnsiTheme="minorHAnsi"/>
          <w:noProof/>
        </w:rPr>
        <w:t>kaidrs, ka minētajā valstī nav aktīvu, ko piedzīt, vai ja šādu procedūru rezultātā nevar panākt ievērojamas prasījuma summas apmaksu un pieteikuma iesniedzējas iestādes rīcībā ir konkrēta informācija, kas liecina, ka attiecīgajai personai ir aktīvi piepras</w:t>
      </w:r>
      <w:r>
        <w:rPr>
          <w:rFonts w:asciiTheme="minorHAnsi" w:hAnsiTheme="minorHAnsi"/>
          <w:noProof/>
        </w:rPr>
        <w:t>ījuma saņēmējas iestādes valstī;</w:t>
      </w:r>
    </w:p>
    <w:p w:rsidR="003E022D" w:rsidRDefault="007D19D6">
      <w:pPr>
        <w:numPr>
          <w:ilvl w:val="0"/>
          <w:numId w:val="1216"/>
        </w:numPr>
        <w:ind w:left="567" w:hanging="567"/>
        <w:rPr>
          <w:noProof/>
        </w:rPr>
      </w:pPr>
      <w:r>
        <w:rPr>
          <w:noProof/>
        </w:rPr>
        <w:t>ja pieteikuma iesniedzējas iestādes valstī pieejamo procedūru izmantošana radītu nesamērīgas grūtības.</w:t>
      </w:r>
    </w:p>
    <w:p w:rsidR="003E022D" w:rsidRDefault="007D19D6">
      <w:pPr>
        <w:pStyle w:val="Article"/>
        <w:rPr>
          <w:noProof/>
        </w:rPr>
      </w:pPr>
      <w:r>
        <w:rPr>
          <w:noProof/>
        </w:rPr>
        <w:t>27. pants. Instruments, kas atļauj izpildi pieprasījuma saņēmējas iestādes valstī, un citi pavaddokumenti</w:t>
      </w:r>
    </w:p>
    <w:p w:rsidR="003E022D" w:rsidRDefault="007D19D6">
      <w:pPr>
        <w:rPr>
          <w:noProof/>
        </w:rPr>
      </w:pPr>
      <w:r>
        <w:rPr>
          <w:noProof/>
        </w:rPr>
        <w:t>1.</w:t>
      </w:r>
      <w:r>
        <w:rPr>
          <w:noProof/>
        </w:rPr>
        <w:tab/>
        <w:t>Ikvienam pi</w:t>
      </w:r>
      <w:r>
        <w:rPr>
          <w:noProof/>
        </w:rPr>
        <w:t>edziņas pieprasījumam pievieno vienotu instrumentu, kas atļauj izpildi pieprasījuma saņēmējas iestādes valstī.</w:t>
      </w:r>
    </w:p>
    <w:p w:rsidR="003E022D" w:rsidRDefault="007D19D6">
      <w:pPr>
        <w:rPr>
          <w:noProof/>
        </w:rPr>
      </w:pPr>
      <w:r>
        <w:rPr>
          <w:noProof/>
        </w:rPr>
        <w:t>Šajā vienotajā instrumentā, kas atļauj izpildi, ir norādīts sākotnējā instrumenta, kas atļauj izpildi pieteikuma iesniedzējas iestādes valstī, ga</w:t>
      </w:r>
      <w:r>
        <w:rPr>
          <w:noProof/>
        </w:rPr>
        <w:t>lvenais saturs, un tas ir vienīgais pamats piedziņas un piesardzības pasākumu veikšanai pieprasījuma saņēmējas iestādes valstī. Minētajā valstī nav nepieciešams nekāds cits atzīšanas, papildināšanas vai aizstāšanas akts.</w:t>
      </w:r>
    </w:p>
    <w:p w:rsidR="003E022D" w:rsidRDefault="007D19D6">
      <w:pPr>
        <w:rPr>
          <w:noProof/>
        </w:rPr>
      </w:pPr>
      <w:r>
        <w:rPr>
          <w:noProof/>
        </w:rPr>
        <w:t>Vienotajā instrumentā, kas atļauj i</w:t>
      </w:r>
      <w:r>
        <w:rPr>
          <w:noProof/>
        </w:rPr>
        <w:t>zpildi, ir ietverta vismaz šāda informācija:</w:t>
      </w:r>
    </w:p>
    <w:p w:rsidR="003E022D" w:rsidRDefault="007D19D6">
      <w:pPr>
        <w:numPr>
          <w:ilvl w:val="0"/>
          <w:numId w:val="1217"/>
        </w:numPr>
        <w:ind w:left="567" w:hanging="567"/>
        <w:rPr>
          <w:rFonts w:asciiTheme="minorHAnsi" w:hAnsiTheme="minorHAnsi" w:cstheme="minorHAnsi"/>
          <w:noProof/>
        </w:rPr>
      </w:pPr>
      <w:r>
        <w:rPr>
          <w:rFonts w:asciiTheme="minorHAnsi" w:hAnsiTheme="minorHAnsi"/>
          <w:noProof/>
        </w:rPr>
        <w:t xml:space="preserve">informācija, kas ir svarīga, lai identificētu sākotnējo instrumentu, kas atļauj izpildi, prasījuma apraksts, tostarp tā veids, aptvertais laikposms, jebkādi datumi, kuri ir svarīgi saistībā ar izpildes procesu, </w:t>
      </w:r>
      <w:r>
        <w:rPr>
          <w:rFonts w:asciiTheme="minorHAnsi" w:hAnsiTheme="minorHAnsi"/>
          <w:noProof/>
        </w:rPr>
        <w:t>prasījuma summa un tās dažādie komponenti, piemēram, pamatsumma, uzkrātie procenti utt.;</w:t>
      </w:r>
    </w:p>
    <w:p w:rsidR="003E022D" w:rsidRDefault="007D19D6">
      <w:pPr>
        <w:numPr>
          <w:ilvl w:val="0"/>
          <w:numId w:val="1217"/>
        </w:numPr>
        <w:ind w:left="567" w:hanging="567"/>
        <w:rPr>
          <w:rFonts w:asciiTheme="minorHAnsi" w:hAnsiTheme="minorHAnsi" w:cstheme="minorHAnsi"/>
          <w:noProof/>
        </w:rPr>
      </w:pPr>
      <w:r>
        <w:rPr>
          <w:rFonts w:asciiTheme="minorHAnsi" w:hAnsiTheme="minorHAnsi"/>
          <w:noProof/>
        </w:rPr>
        <w:t>vārds, uzvārds / nosaukums un citi dati parādnieka identificēšanai un</w:t>
      </w:r>
    </w:p>
    <w:p w:rsidR="003E022D" w:rsidRDefault="007D19D6">
      <w:pPr>
        <w:numPr>
          <w:ilvl w:val="0"/>
          <w:numId w:val="1217"/>
        </w:numPr>
        <w:ind w:left="567" w:hanging="567"/>
        <w:rPr>
          <w:noProof/>
        </w:rPr>
      </w:pPr>
      <w:r>
        <w:rPr>
          <w:noProof/>
        </w:rPr>
        <w:t>nosaukums, adrese un cita kontaktinformācija:</w:t>
      </w:r>
    </w:p>
    <w:p w:rsidR="003E022D" w:rsidRDefault="007D19D6">
      <w:pPr>
        <w:ind w:left="1276" w:hanging="567"/>
        <w:rPr>
          <w:noProof/>
        </w:rPr>
      </w:pPr>
      <w:r>
        <w:rPr>
          <w:noProof/>
        </w:rPr>
        <w:t>i)</w:t>
      </w:r>
      <w:r>
        <w:rPr>
          <w:noProof/>
        </w:rPr>
        <w:tab/>
        <w:t>birojam, kas atbildīgs par prasījuma novērtējumu</w:t>
      </w:r>
      <w:r>
        <w:rPr>
          <w:noProof/>
        </w:rPr>
        <w:t>; un</w:t>
      </w:r>
    </w:p>
    <w:p w:rsidR="003E022D" w:rsidRDefault="007D19D6">
      <w:pPr>
        <w:ind w:left="1276" w:hanging="556"/>
        <w:rPr>
          <w:noProof/>
        </w:rPr>
      </w:pPr>
      <w:r>
        <w:rPr>
          <w:noProof/>
        </w:rPr>
        <w:t>ii)</w:t>
      </w:r>
      <w:r>
        <w:rPr>
          <w:noProof/>
        </w:rPr>
        <w:tab/>
        <w:t>ja atšķiras — birojam, kur var iegūt papildu informāciju par prasījumu vai iespējām apstrīdēt maksājuma pienākumu.</w:t>
      </w:r>
    </w:p>
    <w:p w:rsidR="003E022D" w:rsidRDefault="007D19D6">
      <w:pPr>
        <w:rPr>
          <w:noProof/>
        </w:rPr>
      </w:pPr>
      <w:r>
        <w:rPr>
          <w:noProof/>
        </w:rPr>
        <w:t>2.</w:t>
      </w:r>
      <w:r>
        <w:rPr>
          <w:noProof/>
        </w:rPr>
        <w:tab/>
        <w:t>Prasījuma piedziņas pieprasījumam var pievienot citus ar prasījumu saistītus dokumentus, ko izdevusi pieteikuma iesniedzējas iest</w:t>
      </w:r>
      <w:r>
        <w:rPr>
          <w:noProof/>
        </w:rPr>
        <w:t>ādes valsts.</w:t>
      </w:r>
    </w:p>
    <w:p w:rsidR="003E022D" w:rsidRDefault="007D19D6">
      <w:pPr>
        <w:pStyle w:val="Article"/>
        <w:rPr>
          <w:noProof/>
        </w:rPr>
      </w:pPr>
      <w:r>
        <w:rPr>
          <w:noProof/>
        </w:rPr>
        <w:t>28. pants. Piedziņas pieprasījuma izpilde</w:t>
      </w:r>
    </w:p>
    <w:p w:rsidR="003E022D" w:rsidRDefault="007D19D6">
      <w:pPr>
        <w:rPr>
          <w:noProof/>
        </w:rPr>
      </w:pPr>
      <w:r>
        <w:rPr>
          <w:noProof/>
        </w:rPr>
        <w:t>1.</w:t>
      </w:r>
      <w:r>
        <w:rPr>
          <w:noProof/>
        </w:rPr>
        <w:tab/>
        <w:t xml:space="preserve">Pieprasījuma saņēmējas iestādes valstī veicamas piedziņas vajadzībām ikvienu prasījumu, par kuru ir iesniegts piedziņas pieprasījums, uzskata par attiecīgās valsts prasījumu, ja vien šajā protokolā </w:t>
      </w:r>
      <w:r>
        <w:rPr>
          <w:noProof/>
        </w:rPr>
        <w:t>nav noteikts citādi. Pieprasījuma saņēmēja iestāde izmanto pilnvaras un procedūras, kas minētajā valstī tiek piemērotas tās prasījumiem saskaņā ar normatīvajiem un administratīvajiem aktiem, ja vien šajā protokolā nav noteikts citādi.</w:t>
      </w:r>
    </w:p>
    <w:p w:rsidR="003E022D" w:rsidRDefault="007D19D6">
      <w:pPr>
        <w:rPr>
          <w:rStyle w:val="EUtextChar"/>
          <w:noProof/>
        </w:rPr>
      </w:pPr>
      <w:r>
        <w:rPr>
          <w:noProof/>
        </w:rPr>
        <w:t>Pieprasījuma saņēmēja</w:t>
      </w:r>
      <w:r>
        <w:rPr>
          <w:noProof/>
        </w:rPr>
        <w:t xml:space="preserve">s iestādes valsts pienākums nav attiecībā uz tādiem prasījumiem, kuru piedziņa ir pieprasīta, piešķirt tādas pašas priekšrocības, kādas piešķir līdzīgiem prasījumiem, kuri radušies pieprasījuma saņēmējas iestādes valstī, ja vien nepastāv citāda vienošanās </w:t>
      </w:r>
      <w:r>
        <w:rPr>
          <w:noProof/>
        </w:rPr>
        <w:t xml:space="preserve">vai minētās valsts tiesību aktos nav paredzēts citādi. </w:t>
      </w:r>
    </w:p>
    <w:p w:rsidR="003E022D" w:rsidRDefault="007D19D6">
      <w:pPr>
        <w:rPr>
          <w:noProof/>
        </w:rPr>
      </w:pPr>
      <w:r>
        <w:rPr>
          <w:noProof/>
        </w:rPr>
        <w:t>Pieprasījuma saņēmējas iestādes valsts prasījumu piedzen savas valsts valūtā.</w:t>
      </w:r>
    </w:p>
    <w:p w:rsidR="003E022D" w:rsidRDefault="007D19D6">
      <w:pPr>
        <w:rPr>
          <w:noProof/>
        </w:rPr>
      </w:pPr>
      <w:r>
        <w:rPr>
          <w:noProof/>
        </w:rPr>
        <w:t>2.</w:t>
      </w:r>
      <w:r>
        <w:rPr>
          <w:noProof/>
        </w:rPr>
        <w:tab/>
        <w:t>Pieprasījuma saņēmēja iestāde ar pienācīgu rūpību informē pieteikuma iesniedzēju iestādi par ikvienu rīcību, ko tā veic</w:t>
      </w:r>
      <w:r>
        <w:rPr>
          <w:noProof/>
        </w:rPr>
        <w:t xml:space="preserve"> saistībā ar piedziņas pieprasījumu.</w:t>
      </w:r>
    </w:p>
    <w:p w:rsidR="003E022D" w:rsidRDefault="007D19D6">
      <w:pPr>
        <w:rPr>
          <w:noProof/>
        </w:rPr>
      </w:pPr>
      <w:r>
        <w:rPr>
          <w:noProof/>
        </w:rPr>
        <w:t>3.</w:t>
      </w:r>
      <w:r>
        <w:rPr>
          <w:noProof/>
        </w:rPr>
        <w:tab/>
        <w:t xml:space="preserve">No dienas, kad ir saņemts piedziņas pieprasījums, pieprasījuma saņēmēja iestāde iekasē procentus par kavētu maksājumu saskaņā ar normatīvajiem un administratīvajiem aktiem, kas ir piemērojami savas valsts </w:t>
      </w:r>
      <w:r>
        <w:rPr>
          <w:noProof/>
        </w:rPr>
        <w:t>prasījumiem.</w:t>
      </w:r>
    </w:p>
    <w:p w:rsidR="003E022D" w:rsidRDefault="007D19D6">
      <w:pPr>
        <w:rPr>
          <w:noProof/>
        </w:rPr>
      </w:pPr>
      <w:r>
        <w:rPr>
          <w:noProof/>
        </w:rPr>
        <w:t>4.</w:t>
      </w:r>
      <w:r>
        <w:rPr>
          <w:noProof/>
        </w:rPr>
        <w:tab/>
        <w:t>Pieprasījuma saņēmēja iestāde, kuras normatīvie un administratīvie akti to pieļauj, dod parādniekam laiku samaksai vai atļauj maksāt pa daļām, un šajā sakarā tā var iekasēt procentus. Par ikvienu šādu lēmumu tā informē pieteikuma iesniedzēj</w:t>
      </w:r>
      <w:r>
        <w:rPr>
          <w:noProof/>
        </w:rPr>
        <w:t>u iestādi.</w:t>
      </w:r>
    </w:p>
    <w:p w:rsidR="003E022D" w:rsidRDefault="007D19D6">
      <w:pPr>
        <w:rPr>
          <w:noProof/>
        </w:rPr>
      </w:pPr>
      <w:r>
        <w:rPr>
          <w:noProof/>
        </w:rPr>
        <w:t>5.</w:t>
      </w:r>
      <w:r>
        <w:rPr>
          <w:noProof/>
        </w:rPr>
        <w:tab/>
        <w:t>Neskarot 35. panta [Izmaksas] 1. punktu, pieprasījuma saņēmēja iestāde atlaiž pieteikuma iesniedzējai iestādei saistībā ar prasījumu piedzītās summas un šā panta 3. un 4. punktā minētos procentus.</w:t>
      </w:r>
    </w:p>
    <w:p w:rsidR="003E022D" w:rsidRDefault="007D19D6">
      <w:pPr>
        <w:pStyle w:val="Article"/>
        <w:rPr>
          <w:noProof/>
        </w:rPr>
      </w:pPr>
      <w:r>
        <w:rPr>
          <w:noProof/>
        </w:rPr>
        <w:t xml:space="preserve">29. pants. Apstrīdētie prasījumi un izpildes </w:t>
      </w:r>
      <w:r>
        <w:rPr>
          <w:noProof/>
        </w:rPr>
        <w:t>pasākumi</w:t>
      </w:r>
    </w:p>
    <w:p w:rsidR="003E022D" w:rsidRDefault="007D19D6">
      <w:pPr>
        <w:rPr>
          <w:noProof/>
        </w:rPr>
      </w:pPr>
      <w:r>
        <w:rPr>
          <w:noProof/>
        </w:rPr>
        <w:t>1.</w:t>
      </w:r>
      <w:r>
        <w:rPr>
          <w:noProof/>
        </w:rPr>
        <w:tab/>
        <w:t>Strīdi, kuri saistīti ar prasījumu, sākotnējo instrumentu, kas atļauj izpildi pieteikuma iesniedzējas iestādes valstī, vai vienoto instrumentu, kurš atļauj izpildi pieprasījuma saņēmējas iestādes valstī, un strīdi, kas saistīti ar pieteikuma ie</w:t>
      </w:r>
      <w:r>
        <w:rPr>
          <w:noProof/>
        </w:rPr>
        <w:t>sniedzējas iestādes iesniegtu paziņojumu derīgumu, ir pieteikuma iesniedzējas iestādes valsts kompetento struktūru kompetencē. Ja piedziņas procedūras laikā prasījumu, sākotnējo instrumentu, kas atļauj izpildi pieteikuma iesniedzējas iestādes valstī, vai v</w:t>
      </w:r>
      <w:r>
        <w:rPr>
          <w:noProof/>
        </w:rPr>
        <w:t>ienoto instrumentu, kas atļauj izpildi pieprasījuma saņēmējas iestādes valstī, apstrīd ieinteresētā persona, tad pieprasījuma saņēmēja iestāde minēto personu informē par to, ka tai prasījums ir jāapstrīd pieteikuma iesniedzējas iestādes valsts kompetentajā</w:t>
      </w:r>
      <w:r>
        <w:rPr>
          <w:noProof/>
        </w:rPr>
        <w:t xml:space="preserve"> struktūrā saskaņā ar tur spēkā esošajiem tiesību aktiem.</w:t>
      </w:r>
    </w:p>
    <w:p w:rsidR="003E022D" w:rsidRDefault="007D19D6">
      <w:pPr>
        <w:rPr>
          <w:noProof/>
        </w:rPr>
      </w:pPr>
      <w:r>
        <w:rPr>
          <w:noProof/>
        </w:rPr>
        <w:t>2.</w:t>
      </w:r>
      <w:r>
        <w:rPr>
          <w:noProof/>
        </w:rPr>
        <w:tab/>
        <w:t>Strīdus, kas saistīti ar izpildes pasākumiem, kuri veikti pieprasījuma saņēmējas iestādes valstī, vai ar pieprasījuma saņēmējas valsts iestādes paziņojuma derīgumu, izskata minētās valsts kompete</w:t>
      </w:r>
      <w:r>
        <w:rPr>
          <w:noProof/>
        </w:rPr>
        <w:t>ntā struktūra saskaņā ar savas valsts normatīvajiem aktiem.</w:t>
      </w:r>
    </w:p>
    <w:p w:rsidR="003E022D" w:rsidRDefault="007D19D6">
      <w:pPr>
        <w:rPr>
          <w:noProof/>
        </w:rPr>
      </w:pPr>
      <w:r>
        <w:rPr>
          <w:noProof/>
        </w:rPr>
        <w:t>3.</w:t>
      </w:r>
      <w:r>
        <w:rPr>
          <w:noProof/>
        </w:rPr>
        <w:tab/>
        <w:t>Ja ir sākta 1. punktā minētā procedūra, pieteikuma iesniedzēja iestāde par to informē pieprasījuma saņēmēju iestādi un norāda apjomu, kādā prasījums netiek apstrīdēts.</w:t>
      </w:r>
    </w:p>
    <w:p w:rsidR="003E022D" w:rsidRDefault="007D19D6">
      <w:pPr>
        <w:rPr>
          <w:noProof/>
        </w:rPr>
      </w:pPr>
      <w:r>
        <w:rPr>
          <w:noProof/>
        </w:rPr>
        <w:t>4.</w:t>
      </w:r>
      <w:r>
        <w:rPr>
          <w:noProof/>
        </w:rPr>
        <w:tab/>
        <w:t>Tiklīdz pieprasījuma s</w:t>
      </w:r>
      <w:r>
        <w:rPr>
          <w:noProof/>
        </w:rPr>
        <w:t xml:space="preserve">aņēmēja iestāde ir saņēmusi 3. punktā minēto informāciju vai nu no pieteikuma iesniedzējas iestādes, vai no ieinteresētās personas, tā aptur izpildes procedūru attiecībā uz prasījuma apstrīdēto daļu, līdz kompetentā struktūra pieņem lēmumu šajā jautājumā, </w:t>
      </w:r>
      <w:r>
        <w:rPr>
          <w:noProof/>
        </w:rPr>
        <w:t>ja vien pieteikuma iesniedzēja iestāde nepieprasa citādu rīcību saskaņā ar šā punkta trešo daļu.</w:t>
      </w:r>
    </w:p>
    <w:p w:rsidR="003E022D" w:rsidRDefault="007D19D6">
      <w:pPr>
        <w:rPr>
          <w:noProof/>
        </w:rPr>
      </w:pPr>
      <w:r>
        <w:rPr>
          <w:noProof/>
        </w:rPr>
        <w:t>Pēc pieteikuma iesniedzējas iestādes pieprasījuma vai ja to par nepieciešamu uzskata pieprasījuma saņēmēja iestāde un neskarot 31. pantu [Piesardzības pasākumu</w:t>
      </w:r>
      <w:r>
        <w:rPr>
          <w:noProof/>
        </w:rPr>
        <w:t xml:space="preserve"> pieprasījums], pieprasījuma saņēmēja iestāde var veikt piesardzības pasākumus, lai garantētu piedziņu, ciktāl to atļauj piemērojamie normatīvie akti.</w:t>
      </w:r>
    </w:p>
    <w:p w:rsidR="003E022D" w:rsidRDefault="007D19D6">
      <w:pPr>
        <w:rPr>
          <w:noProof/>
        </w:rPr>
      </w:pPr>
      <w:r>
        <w:rPr>
          <w:noProof/>
        </w:rPr>
        <w:t>Pieteikuma iesniedzēja iestāde saskaņā ar savā valstī spēkā esošajiem normatīvajiem aktiem un administrat</w:t>
      </w:r>
      <w:r>
        <w:rPr>
          <w:noProof/>
        </w:rPr>
        <w:t xml:space="preserve">īvo praksi var lūgt pieprasījuma saņēmēju iestādi piedzīt apstrīdēto prasījumu vai apstrīdēto prasījuma daļu, ciktāl to atļauj pieprasījuma saņēmējas iestādes valstī spēkā esošie normatīvie akti un administratīvā prakse. Ikviens šāds lūgums tiek pamatots. </w:t>
      </w:r>
      <w:r>
        <w:rPr>
          <w:noProof/>
        </w:rPr>
        <w:t>Pēc tam, ja apstrīdēšanas rezultāts ir labvēlīgs parādniekam, pieteikuma iesniedzējai iestādei ir jāatlīdzina visas piedzītās summas un jāizmaksā ikviena pienācīgā kompensācija saskaņā ar pieprasījuma saņēmējas iestādes valstī spēkā esošajiem tiesību aktie</w:t>
      </w:r>
      <w:r>
        <w:rPr>
          <w:noProof/>
        </w:rPr>
        <w:t>m.</w:t>
      </w:r>
    </w:p>
    <w:p w:rsidR="003E022D" w:rsidRDefault="007D19D6">
      <w:pPr>
        <w:rPr>
          <w:noProof/>
        </w:rPr>
      </w:pPr>
      <w:r>
        <w:rPr>
          <w:noProof/>
        </w:rPr>
        <w:t>Ja pieteikuma iesniedzējas iestādes valsts un pieprasījuma saņēmējas iestādes valsts starpā ir uzsākta savstarpējās vienošanās procedūra un procedūras iznākums var ietekmēt prasījumu, kura piedziņā ir prasīta palīdzība, piedziņas pasākumus aptur vai izb</w:t>
      </w:r>
      <w:r>
        <w:rPr>
          <w:noProof/>
        </w:rPr>
        <w:t>eidz līdz minētās procedūras pabeigšanai, ja vien prasījums nav saistīts ar tūlītējas steidzamības gadījumu krāpšanas vai maksātnespējas dēļ. Ja piedziņas pasākumus aptur vai izbeidz, piemēro šā punkta otro daļu.</w:t>
      </w:r>
    </w:p>
    <w:p w:rsidR="003E022D" w:rsidRDefault="007D19D6">
      <w:pPr>
        <w:pStyle w:val="Article"/>
        <w:rPr>
          <w:noProof/>
        </w:rPr>
      </w:pPr>
      <w:r>
        <w:rPr>
          <w:noProof/>
        </w:rPr>
        <w:t>30. pants. Piedziņas palīdzības pieprasījum</w:t>
      </w:r>
      <w:r>
        <w:rPr>
          <w:noProof/>
        </w:rPr>
        <w:t>a grozījumi vai tā atsaukšana</w:t>
      </w:r>
    </w:p>
    <w:p w:rsidR="003E022D" w:rsidRDefault="007D19D6">
      <w:pPr>
        <w:rPr>
          <w:noProof/>
        </w:rPr>
      </w:pPr>
      <w:r>
        <w:rPr>
          <w:noProof/>
        </w:rPr>
        <w:t>1.</w:t>
      </w:r>
      <w:r>
        <w:rPr>
          <w:noProof/>
        </w:rPr>
        <w:tab/>
        <w:t xml:space="preserve">Pieteikuma iesniedzēja iestāde nekavējoties informē pieprasījuma saņēmēju iestādi par visiem turpmākiem tās piedziņas pieprasījuma grozījumiem vai par sava pieprasījuma atsaukšanu, norādot grozīšanas vai atsaukšanas </w:t>
      </w:r>
      <w:r>
        <w:rPr>
          <w:noProof/>
        </w:rPr>
        <w:t>iemeslus.</w:t>
      </w:r>
    </w:p>
    <w:p w:rsidR="003E022D" w:rsidRDefault="007D19D6">
      <w:pPr>
        <w:rPr>
          <w:noProof/>
        </w:rPr>
      </w:pPr>
      <w:r>
        <w:rPr>
          <w:noProof/>
        </w:rPr>
        <w:t>2.</w:t>
      </w:r>
      <w:r>
        <w:rPr>
          <w:noProof/>
        </w:rPr>
        <w:tab/>
        <w:t>Ja pieprasījuma grozīšanas iemesls ir 29. panta [Apstrīdētie prasījumi un izpildes pasākumi] 1. punktā minētās kompetentās struktūras lēmums, tad pieteikuma iesniedzēja iestāde nosūta šo lēmumu kopā ar pārskatīto vienoto instrumentu, kas atļau</w:t>
      </w:r>
      <w:r>
        <w:rPr>
          <w:noProof/>
        </w:rPr>
        <w:t>j izpildi pieprasījuma saņēmējas iestādes valstī. Tad pieprasījuma saņēmēja iestāde veic turpmākus piedziņas pasākumus, pamatojoties uz pārskatīto instrumentu.</w:t>
      </w:r>
    </w:p>
    <w:p w:rsidR="003E022D" w:rsidRDefault="007D19D6">
      <w:pPr>
        <w:rPr>
          <w:noProof/>
        </w:rPr>
      </w:pPr>
      <w:r>
        <w:rPr>
          <w:noProof/>
        </w:rPr>
        <w:t>Piedziņu vai piesardzības pasākumus, kuri jau veikti, pamatojoties uz sākotnējo vienoto instrume</w:t>
      </w:r>
      <w:r>
        <w:rPr>
          <w:noProof/>
        </w:rPr>
        <w:t>ntu, kas atļauj izpildi pieprasījuma saņēmējas iestādes valstī, var turpināt, pamatojoties uz pārskatīto instrumentu, ja vien pieprasījuma grozījuma iemesls nav tas, ka nav derīgs sākotnējais instruments, kas atļauj izpildi pieteikuma iesniedzējas iestādes</w:t>
      </w:r>
      <w:r>
        <w:rPr>
          <w:noProof/>
        </w:rPr>
        <w:t xml:space="preserve"> valstī, vai sākotnējais vienotais instruments, kas atļauj izpildi pieprasījuma saņēmējas iestādes valstī.</w:t>
      </w:r>
    </w:p>
    <w:p w:rsidR="003E022D" w:rsidRDefault="007D19D6">
      <w:pPr>
        <w:rPr>
          <w:noProof/>
        </w:rPr>
      </w:pPr>
      <w:r>
        <w:rPr>
          <w:noProof/>
        </w:rPr>
        <w:t>Saistībā ar pārskatīto instrumentu piemēro 27. pantu [Instruments, kas atļauj izpildi pieprasījuma saņēmējas iestādes valstī, un citi pavaddokumenti]</w:t>
      </w:r>
      <w:r>
        <w:rPr>
          <w:noProof/>
        </w:rPr>
        <w:t xml:space="preserve"> un 29. pantu [Apstrīdētie prasījumi un izpildes pasākumi].</w:t>
      </w:r>
    </w:p>
    <w:p w:rsidR="003E022D" w:rsidRDefault="007D19D6">
      <w:pPr>
        <w:pStyle w:val="Article"/>
        <w:rPr>
          <w:noProof/>
        </w:rPr>
      </w:pPr>
      <w:r>
        <w:rPr>
          <w:noProof/>
        </w:rPr>
        <w:t>31. pants. Piesardzības pasākumu pieprasījums</w:t>
      </w:r>
    </w:p>
    <w:p w:rsidR="003E022D" w:rsidRDefault="007D19D6">
      <w:pPr>
        <w:rPr>
          <w:noProof/>
        </w:rPr>
      </w:pPr>
      <w:r>
        <w:rPr>
          <w:noProof/>
        </w:rPr>
        <w:t>1.</w:t>
      </w:r>
      <w:r>
        <w:rPr>
          <w:noProof/>
        </w:rPr>
        <w:tab/>
        <w:t>Pieprasījuma saņēmēja iestāde pēc pieteikuma iesniedzējas iestādes pieprasījuma, ja to atļauj tās valsts tiesību akti un saskaņā ar tās administrat</w:t>
      </w:r>
      <w:r>
        <w:rPr>
          <w:noProof/>
        </w:rPr>
        <w:t>īvo praksi, veic piesardzības pasākumus, lai garantētu piedziņu gadījumā, ja prasījums vai instruments, kas atļauj izpildi pieteikuma iesniedzējas iestādes valstī, pieprasījuma iesniegšanas laikā ir apstrīdēts vai ja prasījumam vēl nav instrumenta, kas atļ</w:t>
      </w:r>
      <w:r>
        <w:rPr>
          <w:noProof/>
        </w:rPr>
        <w:t>auj izpildi pieteikuma iesniedzējas iestādes valstī, ciktāl piesardzības pasākumi līdzīgā situācijā ir iespējami saskaņā ar pieteikuma iesniedzējas iestādes valsts tiesību aktiem un administratīvo praksi.</w:t>
      </w:r>
    </w:p>
    <w:p w:rsidR="003E022D" w:rsidRDefault="007D19D6">
      <w:pPr>
        <w:rPr>
          <w:noProof/>
        </w:rPr>
      </w:pPr>
      <w:r>
        <w:rPr>
          <w:noProof/>
        </w:rPr>
        <w:t>Piesardzības pasākumu pieprasījumam pieprasījuma sa</w:t>
      </w:r>
      <w:r>
        <w:rPr>
          <w:noProof/>
        </w:rPr>
        <w:t>ņēmējas iestādes valstī pievieno dokumentu, kas sastādīts, lai atļautu veikt piesardzības pasākumus pieteikuma iesniedzējas iestādes valstī, un kas ir saistīts ar prasījumu, kuram ir pieprasīta savstarpēja palīdzība, ja tāds ir. Šim dokumentam nav nepiecie</w:t>
      </w:r>
      <w:r>
        <w:rPr>
          <w:noProof/>
        </w:rPr>
        <w:t>šams nekāds cits atzīšanas, papildināšanas vai aizstāšanas akts pieprasījuma saņēmējas iestādes valstī.</w:t>
      </w:r>
    </w:p>
    <w:p w:rsidR="003E022D" w:rsidRDefault="007D19D6">
      <w:pPr>
        <w:rPr>
          <w:noProof/>
        </w:rPr>
      </w:pPr>
      <w:r>
        <w:rPr>
          <w:noProof/>
        </w:rPr>
        <w:t>2.</w:t>
      </w:r>
      <w:r>
        <w:rPr>
          <w:noProof/>
        </w:rPr>
        <w:tab/>
        <w:t>Piesardzības pasākumu pieprasījumam var pievienot citus ar prasījumu saistītus dokumentus.</w:t>
      </w:r>
    </w:p>
    <w:p w:rsidR="003E022D" w:rsidRDefault="007D19D6">
      <w:pPr>
        <w:pStyle w:val="Article"/>
        <w:rPr>
          <w:noProof/>
        </w:rPr>
      </w:pPr>
      <w:r>
        <w:rPr>
          <w:noProof/>
        </w:rPr>
        <w:t>32. pants. Noteikumi, kas reglamentē piesardzības pasākumu</w:t>
      </w:r>
      <w:r>
        <w:rPr>
          <w:noProof/>
        </w:rPr>
        <w:t xml:space="preserve"> pieprasījumu</w:t>
      </w:r>
    </w:p>
    <w:p w:rsidR="003E022D" w:rsidRDefault="007D19D6">
      <w:pPr>
        <w:rPr>
          <w:noProof/>
        </w:rPr>
      </w:pPr>
      <w:r>
        <w:rPr>
          <w:noProof/>
        </w:rPr>
        <w:t>Lai īstenotu 31. pantu [Piesardzības pasākumu pieprasījums], pēc analoģijas piemēro 25. panta [Piedziņas pieprasījums] 2. punktu, 28. panta [Piedziņas pieprasījuma izpilde] 1. un 2. punktu, 29. pantu [Apstrīdētie prasījumi un izpildes pasākum</w:t>
      </w:r>
      <w:r>
        <w:rPr>
          <w:noProof/>
        </w:rPr>
        <w:t>i] un 30. pantu [Piedziņas palīdzības pieprasījuma grozījumi vai tā atsaukšana].</w:t>
      </w:r>
    </w:p>
    <w:p w:rsidR="003E022D" w:rsidRDefault="007D19D6">
      <w:pPr>
        <w:pStyle w:val="Article"/>
        <w:rPr>
          <w:noProof/>
        </w:rPr>
      </w:pPr>
      <w:r>
        <w:rPr>
          <w:noProof/>
        </w:rPr>
        <w:t>33. pants. Pieprasījuma saņēmējas iestādes pienākuma ierobežojumi</w:t>
      </w:r>
    </w:p>
    <w:p w:rsidR="003E022D" w:rsidRDefault="007D19D6">
      <w:pPr>
        <w:rPr>
          <w:noProof/>
        </w:rPr>
      </w:pPr>
      <w:r>
        <w:rPr>
          <w:noProof/>
        </w:rPr>
        <w:t>1.</w:t>
      </w:r>
      <w:r>
        <w:rPr>
          <w:noProof/>
        </w:rPr>
        <w:tab/>
        <w:t>Pieprasījuma saņēmējai iestādei nav pienākuma sniegt palīdzību, kas paredzēta no 25. panta [Piedziņas piep</w:t>
      </w:r>
      <w:r>
        <w:rPr>
          <w:noProof/>
        </w:rPr>
        <w:t>rasījums] līdz 31. pantam [Piesardzības pasākumu pieprasījums], ja prasījuma piedziņa parādnieka stāvokļa dēļ radītu nopietnas ekonomiskas vai sociālas grūtības pieprasījuma saņēmējas iestādes valstī, ciktāl šajā valstī spēkā esošie normatīvie akti un admi</w:t>
      </w:r>
      <w:r>
        <w:rPr>
          <w:noProof/>
        </w:rPr>
        <w:t>nistratīvā prakse atļauj šādu izņēmumu attiecībā uz valsts iekšējiem prasījumiem.</w:t>
      </w:r>
    </w:p>
    <w:p w:rsidR="003E022D" w:rsidRDefault="007D19D6">
      <w:pPr>
        <w:rPr>
          <w:noProof/>
        </w:rPr>
      </w:pPr>
      <w:r>
        <w:rPr>
          <w:noProof/>
        </w:rPr>
        <w:t>2.</w:t>
      </w:r>
      <w:r>
        <w:rPr>
          <w:noProof/>
        </w:rPr>
        <w:tab/>
        <w:t>Pieprasījuma saņēmējai iestādei nav pienākuma sniegt palīdzību, kas paredzēta no 25. panta [Piedziņas pieprasījums] līdz 31. pantam [Piesardzības pasākumu pieprasījums], j</w:t>
      </w:r>
      <w:r>
        <w:rPr>
          <w:noProof/>
        </w:rPr>
        <w:t xml:space="preserve">a izmaksas vai administratīvais slogs pieprasījuma saņēmējai valstij nepārprotami būtu nesamērīgs ar monetāro labumu, kuru gūtu pieteikuma iesniedzēja valsts. </w:t>
      </w:r>
    </w:p>
    <w:p w:rsidR="003E022D" w:rsidRDefault="007D19D6">
      <w:pPr>
        <w:rPr>
          <w:noProof/>
        </w:rPr>
      </w:pPr>
      <w:r>
        <w:rPr>
          <w:noProof/>
        </w:rPr>
        <w:t>3.</w:t>
      </w:r>
      <w:r>
        <w:rPr>
          <w:noProof/>
        </w:rPr>
        <w:tab/>
        <w:t>Pieprasījuma saņēmējai iestādei nav pienākuma sniegt palīdzību, kas paredzēta 20. pantā [Info</w:t>
      </w:r>
      <w:r>
        <w:rPr>
          <w:noProof/>
        </w:rPr>
        <w:t>rmācijas pieprasījums] un no 22. panta [Klātbūtne administratīvos birojos un piedalīšanās administratīvā izmeklēšanā] līdz 31. pantam [Piesardzības pasākumu pieprasījums] ja sākotnējais palīdzības pieprasījums, kas, ievērojot 20. pantu [Informācijas piepra</w:t>
      </w:r>
      <w:r>
        <w:rPr>
          <w:noProof/>
        </w:rPr>
        <w:t>sījums], 22. pantu [Klātbūtne administratīvos birojos un piedalīšanās administratīvā izmeklēšanā], 23. pantu [Konkrētu dokumentu paziņošanas pieprasījums saistībā ar prasījumiem], 25. pantu [Piedziņas pieprasījums] vai 31. pantu [Piesardzības pasākumu piep</w:t>
      </w:r>
      <w:r>
        <w:rPr>
          <w:noProof/>
        </w:rPr>
        <w:t>rasījums], iesniegts par prasījumiem, kuri ir vecāki par 5 gadiem, sākot no prasījuma termiņa pieteikuma iesniedzējas iestādes valstī līdz sākotnējā palīdzības pieprasījuma datumam.</w:t>
      </w:r>
    </w:p>
    <w:p w:rsidR="003E022D" w:rsidRDefault="007D19D6">
      <w:pPr>
        <w:rPr>
          <w:noProof/>
        </w:rPr>
      </w:pPr>
      <w:r>
        <w:rPr>
          <w:noProof/>
        </w:rPr>
        <w:t>Tomēr gadījumos, kad prasījums vai sākotnējais instruments, kas atļauj izp</w:t>
      </w:r>
      <w:r>
        <w:rPr>
          <w:noProof/>
        </w:rPr>
        <w:t>ildi pieteikuma iesniedzējas iestādes valstī, ir apstrīdēts, uzskata, ka 5 gadu laikposms sākas tajā brīdī, kad pieteikuma iesniedzējas iestādes valstī ir konstatēts, ka prasījumu vai instrumentu, kas atļauj izpildi, vairs nevar apstrīdēt.</w:t>
      </w:r>
    </w:p>
    <w:p w:rsidR="003E022D" w:rsidRDefault="007D19D6">
      <w:pPr>
        <w:rPr>
          <w:noProof/>
        </w:rPr>
      </w:pPr>
      <w:r>
        <w:rPr>
          <w:noProof/>
        </w:rPr>
        <w:t>Turklāt gadījumo</w:t>
      </w:r>
      <w:r>
        <w:rPr>
          <w:noProof/>
        </w:rPr>
        <w:t>s, kad pieteikuma iesniedzējas iestādes valsts ir devusi atļauju atlikt maksājumu vai maksājumu kārtību pa daļām, uzskata, ka 5 gadu laikposms sākas tajā brīdī, kad ir beidzies kopējais pagarinātais maksāšanai atvēlētais laikposms.</w:t>
      </w:r>
    </w:p>
    <w:p w:rsidR="003E022D" w:rsidRDefault="007D19D6">
      <w:pPr>
        <w:rPr>
          <w:noProof/>
        </w:rPr>
      </w:pPr>
      <w:r>
        <w:rPr>
          <w:noProof/>
        </w:rPr>
        <w:t>Tomēr šādos gadījumos pi</w:t>
      </w:r>
      <w:r>
        <w:rPr>
          <w:noProof/>
        </w:rPr>
        <w:t>eprasījuma saņēmējas iestādes pienākums nav sniegt palīdzību attiecībā uz tādiem prasījumiem, kuri ir vecāki par 10 gadiem, sākot no prasījuma termiņa pieteikuma iesniedzējas iestādes valstī.</w:t>
      </w:r>
    </w:p>
    <w:p w:rsidR="003E022D" w:rsidRDefault="007D19D6">
      <w:pPr>
        <w:pStyle w:val="EUtext"/>
        <w:rPr>
          <w:noProof/>
          <w:color w:val="auto"/>
        </w:rPr>
      </w:pPr>
      <w:r>
        <w:rPr>
          <w:noProof/>
          <w:color w:val="auto"/>
        </w:rPr>
        <w:t>4.</w:t>
      </w:r>
      <w:r>
        <w:rPr>
          <w:noProof/>
        </w:rPr>
        <w:tab/>
      </w:r>
      <w:r>
        <w:rPr>
          <w:noProof/>
          <w:color w:val="auto"/>
        </w:rPr>
        <w:t xml:space="preserve">Valstij nav pienākuma sniegt palīdzību, ja to prasījumu </w:t>
      </w:r>
      <w:r>
        <w:rPr>
          <w:noProof/>
          <w:color w:val="auto"/>
        </w:rPr>
        <w:t>kopējā summa, par kuriem ir pieprasīta palīdzība, ir mazāka par 5000 GBP.</w:t>
      </w:r>
    </w:p>
    <w:p w:rsidR="003E022D" w:rsidRDefault="007D19D6">
      <w:pPr>
        <w:rPr>
          <w:noProof/>
        </w:rPr>
      </w:pPr>
      <w:r>
        <w:rPr>
          <w:noProof/>
        </w:rPr>
        <w:t>5.</w:t>
      </w:r>
      <w:r>
        <w:rPr>
          <w:noProof/>
        </w:rPr>
        <w:tab/>
        <w:t>Pieprasījuma saņēmēja iestāde informē pieteikuma iesniedzēju iestādi par palīdzības pieprasījuma noraidīšanas iemesliem.</w:t>
      </w:r>
    </w:p>
    <w:p w:rsidR="003E022D" w:rsidRDefault="007D19D6">
      <w:pPr>
        <w:pStyle w:val="Article"/>
        <w:rPr>
          <w:noProof/>
        </w:rPr>
      </w:pPr>
      <w:r>
        <w:rPr>
          <w:noProof/>
        </w:rPr>
        <w:t>34. pants. Noilguma jautājumi</w:t>
      </w:r>
    </w:p>
    <w:p w:rsidR="003E022D" w:rsidRDefault="007D19D6">
      <w:pPr>
        <w:rPr>
          <w:noProof/>
        </w:rPr>
      </w:pPr>
      <w:r>
        <w:rPr>
          <w:noProof/>
        </w:rPr>
        <w:t>1.</w:t>
      </w:r>
      <w:r>
        <w:rPr>
          <w:noProof/>
        </w:rPr>
        <w:tab/>
        <w:t xml:space="preserve">Jautājumus, kas saistīti </w:t>
      </w:r>
      <w:r>
        <w:rPr>
          <w:noProof/>
        </w:rPr>
        <w:t>ar noilguma termiņiem reglamentē vienīgi pieteikuma iesniedzējas iestādes valstī spēkā esošie tiesību akti.</w:t>
      </w:r>
    </w:p>
    <w:p w:rsidR="003E022D" w:rsidRDefault="007D19D6">
      <w:pPr>
        <w:rPr>
          <w:noProof/>
        </w:rPr>
      </w:pPr>
      <w:r>
        <w:rPr>
          <w:noProof/>
        </w:rPr>
        <w:t>2.</w:t>
      </w:r>
      <w:r>
        <w:rPr>
          <w:noProof/>
        </w:rPr>
        <w:tab/>
        <w:t xml:space="preserve">Saistībā ar noilguma termiņu apturēšanu, pārtraukšanu vai pagarināšanu jebkādai rīcībai, ko veikusi pieprasījuma saņēmēja iestāde vai kas veikta </w:t>
      </w:r>
      <w:r>
        <w:rPr>
          <w:noProof/>
        </w:rPr>
        <w:t>tās vārdā prasījumu piedziņai atbilstoši palīdzības pieprasījumam un kā rezultātā saskaņā ar pieprasījuma saņēmējas iestādes valstī spēkā esošajiem tiesību aktiem ir apturēti, pārtraukti vai pagarināti noilguma termiņi, ir tāda pati ietekme pieteikuma iesn</w:t>
      </w:r>
      <w:r>
        <w:rPr>
          <w:noProof/>
        </w:rPr>
        <w:t>iedzējas iestādes valstī, ar nosacījumu, ka atbilstošā ietekme ir paredzēta pēdējās minētās valsts tiesību aktos.</w:t>
      </w:r>
    </w:p>
    <w:p w:rsidR="003E022D" w:rsidRDefault="007D19D6">
      <w:pPr>
        <w:rPr>
          <w:noProof/>
        </w:rPr>
      </w:pPr>
      <w:r>
        <w:rPr>
          <w:noProof/>
        </w:rPr>
        <w:t xml:space="preserve">Ja noilguma termiņa apturēšana, pārtraukšana vai pagarināšana nav iespējama saskaņā ar pieprasījuma saņēmējas iestādes valstī spēkā esošajiem </w:t>
      </w:r>
      <w:r>
        <w:rPr>
          <w:noProof/>
        </w:rPr>
        <w:t>tiesību aktiem, tad jebkādu rīcību, ko veikusi pieprasījuma saņēmēja iestāde vai kas veikta tās vārdā prasījumu piedziņai atbilstoši palīdzības pieprasījumam un kā rezultātā saskaņā ar pieteikuma iesniedzējas iestādes tiesību aktiem noilguma termiņš būtu a</w:t>
      </w:r>
      <w:r>
        <w:rPr>
          <w:noProof/>
        </w:rPr>
        <w:t>pturēts, pārtraukts vai pagarināts gadījumā, ja pieteikuma iesniedzēja iestāde minēto rīcību būtu veikusi savā valstī vai tā tur būtu veikta tās uzdevumā, uzskata par veiktu pēdējā minētajā valstī, ciktāl skarts šis rezultāts.</w:t>
      </w:r>
    </w:p>
    <w:p w:rsidR="003E022D" w:rsidRDefault="007D19D6">
      <w:pPr>
        <w:rPr>
          <w:noProof/>
        </w:rPr>
      </w:pPr>
      <w:r>
        <w:rPr>
          <w:noProof/>
        </w:rPr>
        <w:t>Pirmā un otrā daļa neskar pie</w:t>
      </w:r>
      <w:r>
        <w:rPr>
          <w:noProof/>
        </w:rPr>
        <w:t>teikuma iesniedzējas iestādes valsts tiesības veikt pasākumus, kuru rezultātā noilguma termiņi tiek apturēti, pārtraukti vai pagarināti, saskaņā ar minētajā valstī spēkā esošajiem tiesību aktiem.</w:t>
      </w:r>
    </w:p>
    <w:p w:rsidR="003E022D" w:rsidRDefault="007D19D6">
      <w:pPr>
        <w:rPr>
          <w:noProof/>
        </w:rPr>
      </w:pPr>
      <w:r>
        <w:rPr>
          <w:noProof/>
        </w:rPr>
        <w:t>3.</w:t>
      </w:r>
      <w:r>
        <w:rPr>
          <w:noProof/>
        </w:rPr>
        <w:tab/>
        <w:t>Pieteikuma iesniedzēja iestāde un pieprasījuma saņēmēja i</w:t>
      </w:r>
      <w:r>
        <w:rPr>
          <w:noProof/>
        </w:rPr>
        <w:t>estāde informē viena otru par rīcību, kura aptur, pārtrauc vai pagarina tāda prasījuma noilguma termiņu, kuram pieprasīta piedziņa vai piesardzības pasākumi, vai kurai varētu būt šāds rezultāts.</w:t>
      </w:r>
    </w:p>
    <w:p w:rsidR="003E022D" w:rsidRDefault="007D19D6">
      <w:pPr>
        <w:pStyle w:val="Article"/>
        <w:rPr>
          <w:noProof/>
        </w:rPr>
      </w:pPr>
      <w:r>
        <w:rPr>
          <w:noProof/>
        </w:rPr>
        <w:t>35. pants. Izmaksas</w:t>
      </w:r>
    </w:p>
    <w:p w:rsidR="003E022D" w:rsidRDefault="007D19D6">
      <w:pPr>
        <w:rPr>
          <w:noProof/>
        </w:rPr>
      </w:pPr>
      <w:r>
        <w:rPr>
          <w:noProof/>
        </w:rPr>
        <w:t>1.</w:t>
      </w:r>
      <w:r>
        <w:rPr>
          <w:noProof/>
        </w:rPr>
        <w:tab/>
        <w:t>Papildus 28. panta [Piedziņas pieprasī</w:t>
      </w:r>
      <w:r>
        <w:rPr>
          <w:noProof/>
        </w:rPr>
        <w:t xml:space="preserve">juma izpilde] 5. punktā minētajām summām pieprasījuma saņēmēja iestāde cenšas no attiecīgās personas piedzīt un paturēt izmaksas, kuras tai radušās saistībā ar piedziņu, saskaņā ar tās valstī spēkā esošajiem normatīvajiem aktiem. Valstis atsakās no visiem </w:t>
      </w:r>
      <w:r>
        <w:rPr>
          <w:noProof/>
        </w:rPr>
        <w:t>prasījumiem vienai pret otru par tādu izmaksu atmaksu, kas radušās saistībā ar savstarpēju palīdzību, kuru tās sniedz viena otrai, ievērojot šo protokolu.</w:t>
      </w:r>
    </w:p>
    <w:p w:rsidR="003E022D" w:rsidRDefault="007D19D6">
      <w:pPr>
        <w:rPr>
          <w:noProof/>
        </w:rPr>
      </w:pPr>
      <w:r>
        <w:rPr>
          <w:noProof/>
        </w:rPr>
        <w:t>2.</w:t>
      </w:r>
      <w:r>
        <w:rPr>
          <w:noProof/>
        </w:rPr>
        <w:tab/>
        <w:t>Tomēr, ja piedziņa rada īpašu problēmu, ir saistīta ar ļoti lielu izmaksu summu vai ir saistīta ar</w:t>
      </w:r>
      <w:r>
        <w:rPr>
          <w:noProof/>
        </w:rPr>
        <w:t xml:space="preserve"> organizēto noziedzību, tad pieteikuma iesniedzēja iestāde un pieprasījuma saņēmēja iestāde var vienoties par īpašu atmaksas kārtību konkrētajos gadījumos.</w:t>
      </w:r>
    </w:p>
    <w:p w:rsidR="003E022D" w:rsidRDefault="007D19D6">
      <w:pPr>
        <w:rPr>
          <w:noProof/>
        </w:rPr>
      </w:pPr>
      <w:r>
        <w:rPr>
          <w:noProof/>
        </w:rPr>
        <w:t>3.</w:t>
      </w:r>
      <w:r>
        <w:rPr>
          <w:noProof/>
        </w:rPr>
        <w:tab/>
        <w:t>Neatkarīgi no 2. punkta, pieteikuma iesniedzējas iestādes valsts ir atbildīga pret pieprasījuma s</w:t>
      </w:r>
      <w:r>
        <w:rPr>
          <w:noProof/>
        </w:rPr>
        <w:t>aņēmējas iestādes valsti par visām izmaksām un visiem zaudējumiem, kas radušies nepamatotas rīcības rezultātā, ciktāl ir skarta prasījuma būtība vai tā pieprasījuma iesniedzējas iestādes instrumenta derīgums, kas atļauj izpildes un/vai piesardzības pasākum</w:t>
      </w:r>
      <w:r>
        <w:rPr>
          <w:noProof/>
        </w:rPr>
        <w:t>us.</w:t>
      </w:r>
    </w:p>
    <w:p w:rsidR="003E022D" w:rsidRDefault="007D19D6">
      <w:pPr>
        <w:pStyle w:val="Chapter"/>
        <w:rPr>
          <w:noProof/>
        </w:rPr>
      </w:pPr>
      <w:r>
        <w:rPr>
          <w:noProof/>
        </w:rPr>
        <w:t>Ceturtā nodaļa. Vispārīgi noteikumi attiecībā uz visiem piedziņas palīdzības pieprasījumu veidiem</w:t>
      </w:r>
    </w:p>
    <w:p w:rsidR="003E022D" w:rsidRDefault="007D19D6">
      <w:pPr>
        <w:pStyle w:val="Article"/>
        <w:rPr>
          <w:noProof/>
        </w:rPr>
      </w:pPr>
      <w:r>
        <w:rPr>
          <w:noProof/>
        </w:rPr>
        <w:t>36. pants. Valodu lietošana</w:t>
      </w:r>
    </w:p>
    <w:p w:rsidR="003E022D" w:rsidRDefault="007D19D6">
      <w:pPr>
        <w:rPr>
          <w:noProof/>
        </w:rPr>
      </w:pPr>
      <w:r>
        <w:rPr>
          <w:noProof/>
        </w:rPr>
        <w:t>1.</w:t>
      </w:r>
      <w:r>
        <w:rPr>
          <w:noProof/>
        </w:rPr>
        <w:tab/>
        <w:t>Visus palīdzības pieprasījumus, standarta paziņojumu veidlapas un vienotos instrumentus, kas atļauj izpildi pieprasījuma sa</w:t>
      </w:r>
      <w:r>
        <w:rPr>
          <w:noProof/>
        </w:rPr>
        <w:t>ņēmējas iestādes valstī, nosūta pieprasījuma saņēmējas iestādes valsts oficiālajā valodā vai vienā no oficiālajām valodām vai tiem pievieno tulkojumu šajā valodā. Tas, ka konkrētas to daļas ir citā valodā nekā šīs valsts oficiālā valoda vai viena no oficiā</w:t>
      </w:r>
      <w:r>
        <w:rPr>
          <w:noProof/>
        </w:rPr>
        <w:t>lajām valodām, neietekmē to derīgumu vai procedūras derīgumu, ja minētā cita valoda ir valoda, par ko attiecīgās valstis ir vienojušās.</w:t>
      </w:r>
    </w:p>
    <w:p w:rsidR="003E022D" w:rsidRDefault="007D19D6">
      <w:pPr>
        <w:rPr>
          <w:noProof/>
        </w:rPr>
      </w:pPr>
      <w:r>
        <w:rPr>
          <w:noProof/>
        </w:rPr>
        <w:t>2.</w:t>
      </w:r>
      <w:r>
        <w:rPr>
          <w:noProof/>
        </w:rPr>
        <w:tab/>
        <w:t>Dokumentus, kuriem ir prasīta paziņošana saskaņā ar 23. pantu [Konkrētu dokumentu paziņošanas pieprasījums saistībā a</w:t>
      </w:r>
      <w:r>
        <w:rPr>
          <w:noProof/>
        </w:rPr>
        <w:t>r prasījumiem], pieprasījuma saņēmējai iestādei var nosūtīt pieteikuma iesniedzējas iestādes valsts oficiālajā valodā.</w:t>
      </w:r>
    </w:p>
    <w:p w:rsidR="003E022D" w:rsidRDefault="007D19D6">
      <w:pPr>
        <w:rPr>
          <w:noProof/>
        </w:rPr>
      </w:pPr>
      <w:r>
        <w:rPr>
          <w:noProof/>
        </w:rPr>
        <w:t>3.</w:t>
      </w:r>
      <w:r>
        <w:rPr>
          <w:noProof/>
        </w:rPr>
        <w:tab/>
        <w:t>Ja pieprasījumam pievieno citus dokumentus, kas nav minēti 1. un 2. punktā, pieprasījuma saņēmēja iestāde vajadzības gadījumā var lūgt</w:t>
      </w:r>
      <w:r>
        <w:rPr>
          <w:noProof/>
        </w:rPr>
        <w:t>, lai pieteikuma iesniedzēja iestāde iesniegtu šādu dokumentu tulkojumu pieprasījuma saņēmējas iestādes valsts oficiālajā valodā vai vienā no oficiālajām valodām vai jebkurā citā valodā, par ko attiecīgās valstis ir vienojušās.</w:t>
      </w:r>
    </w:p>
    <w:p w:rsidR="003E022D" w:rsidRDefault="007D19D6">
      <w:pPr>
        <w:pStyle w:val="Article"/>
        <w:rPr>
          <w:noProof/>
        </w:rPr>
      </w:pPr>
      <w:r>
        <w:rPr>
          <w:noProof/>
        </w:rPr>
        <w:t>37. pants. Statistikas dati</w:t>
      </w:r>
    </w:p>
    <w:p w:rsidR="003E022D" w:rsidRDefault="007D19D6">
      <w:pPr>
        <w:rPr>
          <w:noProof/>
        </w:rPr>
      </w:pPr>
      <w:r>
        <w:rPr>
          <w:noProof/>
        </w:rPr>
        <w:t>1.</w:t>
      </w:r>
      <w:r>
        <w:rPr>
          <w:noProof/>
        </w:rPr>
        <w:tab/>
        <w:t>Līdz katra gada 30. jūnijam Puses, izmantojot elektroniskus līdzekļus, Specializētajai komitejai paziņo statistikas datus par šīs sadaļas piemērošanu.</w:t>
      </w:r>
    </w:p>
    <w:p w:rsidR="003E022D" w:rsidRDefault="007D19D6">
      <w:pPr>
        <w:rPr>
          <w:noProof/>
          <w:color w:val="FF0000"/>
        </w:rPr>
      </w:pPr>
      <w:r>
        <w:rPr>
          <w:noProof/>
        </w:rPr>
        <w:t>2.</w:t>
      </w:r>
      <w:r>
        <w:rPr>
          <w:noProof/>
        </w:rPr>
        <w:tab/>
        <w:t xml:space="preserve">To statistikas datu saturu un formātu, </w:t>
      </w:r>
      <w:r>
        <w:rPr>
          <w:rStyle w:val="UKadditionsChar"/>
          <w:noProof/>
          <w:color w:val="auto"/>
        </w:rPr>
        <w:t>kas jāpaziņo saskaņā ar 1. punktu, nosaka Specializētā komit</w:t>
      </w:r>
      <w:r>
        <w:rPr>
          <w:rStyle w:val="UKadditionsChar"/>
          <w:noProof/>
          <w:color w:val="auto"/>
        </w:rPr>
        <w:t>eja.</w:t>
      </w:r>
      <w:r>
        <w:rPr>
          <w:rStyle w:val="UKadditionsChar"/>
          <w:noProof/>
        </w:rPr>
        <w:t>.</w:t>
      </w:r>
    </w:p>
    <w:p w:rsidR="003E022D" w:rsidRDefault="007D19D6">
      <w:pPr>
        <w:pStyle w:val="Article"/>
        <w:rPr>
          <w:noProof/>
        </w:rPr>
      </w:pPr>
      <w:r>
        <w:rPr>
          <w:noProof/>
        </w:rPr>
        <w:t>38. pants. Standarta veidlapas un saziņas līdzekļi</w:t>
      </w:r>
    </w:p>
    <w:p w:rsidR="003E022D" w:rsidRDefault="007D19D6">
      <w:pPr>
        <w:rPr>
          <w:noProof/>
        </w:rPr>
      </w:pPr>
      <w:r>
        <w:rPr>
          <w:noProof/>
        </w:rPr>
        <w:t>1.</w:t>
      </w:r>
      <w:r>
        <w:rPr>
          <w:noProof/>
        </w:rPr>
        <w:tab/>
        <w:t xml:space="preserve">Šā protokola 20. panta [Informācijas pieprasījums] 1. punktā paredzētos informācijas pieprasījumus, 23. panta [Konkrētu dokumentu paziņošanas pieprasījums saistībā ar prasījumiem] 1. punktā </w:t>
      </w:r>
      <w:r>
        <w:rPr>
          <w:noProof/>
        </w:rPr>
        <w:t>paredzētos paziņošanas pieprasījumus, 25. panta [Piedziņas pieprasījums] 1. punktā paredzētos piedziņas pieprasījumus vai 31. panta [Piesardzības pasākumu pieprasījums] 1. punktā paredzētos piesardzības pasākumu pieprasījumus un 37. pantā [Statistikas dati</w:t>
      </w:r>
      <w:r>
        <w:rPr>
          <w:noProof/>
        </w:rPr>
        <w:t>] paredzēto statistikas datu paziņošanu veic, izmantojot elektroniskus līdzekļus un standarta veidlapas, ja vien tas nav neiespējams tehnisku iemeslu dēļ. Pēc iespējas šīs veidlapas izmanto arī visā turpmākajā saziņā saistībā ar pieprasījumu.</w:t>
      </w:r>
    </w:p>
    <w:p w:rsidR="003E022D" w:rsidRDefault="007D19D6">
      <w:pPr>
        <w:rPr>
          <w:noProof/>
        </w:rPr>
      </w:pPr>
      <w:r>
        <w:rPr>
          <w:noProof/>
        </w:rPr>
        <w:t>Vienoto instr</w:t>
      </w:r>
      <w:r>
        <w:rPr>
          <w:noProof/>
        </w:rPr>
        <w:t>umentu, kas atļauj izpildi pieprasījuma saņēmējas iestādes valstī, dokumentu, kas atļauj piesardzības pasākumus pieteikuma iesniedzējas iestādes valstī, un citus dokumentus, kas minēti 27. pantā [Instruments, kas atļauj izpildi pieprasījuma saņēmējas iestā</w:t>
      </w:r>
      <w:r>
        <w:rPr>
          <w:noProof/>
        </w:rPr>
        <w:t>des valstī, un citi pavaddokumenti] un 31. pantā [Piesardzības pasākumu pieprasījums], arī nosūta, izmantojot elektroniskus līdzekļus, ja vien tas nav neiespējams tehnisku iemeslu dēļ.</w:t>
      </w:r>
    </w:p>
    <w:p w:rsidR="003E022D" w:rsidRDefault="007D19D6">
      <w:pPr>
        <w:rPr>
          <w:noProof/>
        </w:rPr>
      </w:pPr>
      <w:r>
        <w:rPr>
          <w:noProof/>
        </w:rPr>
        <w:t>Attiecīgā gadījumā standarta veidlapām var pievienot ziņojumus, paziņoj</w:t>
      </w:r>
      <w:r>
        <w:rPr>
          <w:noProof/>
        </w:rPr>
        <w:t>umus un jebkādus citus dokumentus vai apliecinātas to kopijas vai izrakstus no tiem, ko arī nosūta, izmantojot elektroniskus līdzekļus, ja vien tas nav neiespējams tehnisku iemeslu dēļ.</w:t>
      </w:r>
    </w:p>
    <w:p w:rsidR="003E022D" w:rsidRDefault="007D19D6">
      <w:pPr>
        <w:rPr>
          <w:noProof/>
        </w:rPr>
      </w:pPr>
      <w:r>
        <w:rPr>
          <w:noProof/>
        </w:rPr>
        <w:t>Arī 21. pantā [Informācijas apmaiņa bez iepriekšēja pieprasījuma] pare</w:t>
      </w:r>
      <w:r>
        <w:rPr>
          <w:noProof/>
        </w:rPr>
        <w:t>dzētajai informācijas apmaiņai var izmantot standarta veidlapas un to var veikt, izmantojot elektroniskus līdzekļus.</w:t>
      </w:r>
    </w:p>
    <w:p w:rsidR="003E022D" w:rsidRDefault="007D19D6">
      <w:pPr>
        <w:rPr>
          <w:noProof/>
        </w:rPr>
      </w:pPr>
      <w:r>
        <w:rPr>
          <w:noProof/>
        </w:rPr>
        <w:t>2.</w:t>
      </w:r>
      <w:r>
        <w:rPr>
          <w:noProof/>
        </w:rPr>
        <w:tab/>
        <w:t>Šā panta 1. punktu nepiemēro informācijai un dokumentācijai, kas iegūta, amatpersonām esot klāt citas valsts administratīvajos birojos v</w:t>
      </w:r>
      <w:r>
        <w:rPr>
          <w:noProof/>
        </w:rPr>
        <w:t>ai piedaloties administratīvajās izmeklēšanās citā valstī saskaņā ar 22. pantu [Klātbūtne administratīvos birojos un piedalīšanās administratīvā izmeklēšanā].</w:t>
      </w:r>
    </w:p>
    <w:p w:rsidR="003E022D" w:rsidRDefault="007D19D6">
      <w:pPr>
        <w:rPr>
          <w:noProof/>
        </w:rPr>
      </w:pPr>
      <w:r>
        <w:rPr>
          <w:noProof/>
        </w:rPr>
        <w:t>3.</w:t>
      </w:r>
      <w:r>
        <w:rPr>
          <w:noProof/>
        </w:rPr>
        <w:tab/>
        <w:t xml:space="preserve">Ja saziņa nenotiek, izmantojot elektroniskus līdzekļus vai standarta veidlapas, tas neietekmē </w:t>
      </w:r>
      <w:r>
        <w:rPr>
          <w:noProof/>
        </w:rPr>
        <w:t>palīdzības pieprasījuma izpildes laikā iegūtās informācijas vai veikto pasākumu derīgumu.</w:t>
      </w:r>
    </w:p>
    <w:p w:rsidR="003E022D" w:rsidRDefault="007D19D6">
      <w:pPr>
        <w:rPr>
          <w:noProof/>
        </w:rPr>
      </w:pPr>
      <w:r>
        <w:rPr>
          <w:noProof/>
        </w:rPr>
        <w:t>4.</w:t>
      </w:r>
      <w:r>
        <w:rPr>
          <w:noProof/>
        </w:rPr>
        <w:tab/>
        <w:t xml:space="preserve">Elektronisko sakaru tīklu un standarta veidlapas, kas ir pieņemtas šā protokola īstenošanai, var izmantot arī palīdzībai piedziņā attiecībā uz citiem prasījumiem, </w:t>
      </w:r>
      <w:r>
        <w:rPr>
          <w:noProof/>
        </w:rPr>
        <w:t>kas nav minēti 2. panta [Darbības joma] 1. punkta b) apakšpunktā, ja šāda palīdzība piedziņā ir iespējama saskaņā ar divpusējiem vai daudzpusējiem juridiski saistošiem instrumentiem par administratīvo sadarbību starp valstīm.</w:t>
      </w:r>
    </w:p>
    <w:p w:rsidR="003E022D" w:rsidRDefault="007D19D6">
      <w:pPr>
        <w:rPr>
          <w:iCs/>
          <w:noProof/>
        </w:rPr>
      </w:pPr>
      <w:r>
        <w:rPr>
          <w:noProof/>
        </w:rPr>
        <w:t>5.</w:t>
      </w:r>
      <w:r>
        <w:rPr>
          <w:noProof/>
        </w:rPr>
        <w:tab/>
        <w:t>Kamēr specializētā komiteja</w:t>
      </w:r>
      <w:r>
        <w:rPr>
          <w:noProof/>
        </w:rPr>
        <w:t xml:space="preserve"> nav pieņēmusi 39. panta [Tirdzniecības specializētā komiteja administratīvajai sadarbībai PVN un nodokļu un nodevu piedziņas jomā] 2. punktā minētos lēmumus, kompetentās iestādes izmanto šā protokola pielikumā izklāstītos noteikumus, ieskaitot standarta v</w:t>
      </w:r>
      <w:r>
        <w:rPr>
          <w:noProof/>
        </w:rPr>
        <w:t>eidlapas.</w:t>
      </w:r>
    </w:p>
    <w:p w:rsidR="003E022D" w:rsidRDefault="007D19D6">
      <w:pPr>
        <w:rPr>
          <w:noProof/>
          <w:color w:val="4F81BD" w:themeColor="accent1"/>
        </w:rPr>
      </w:pPr>
      <w:r>
        <w:rPr>
          <w:noProof/>
        </w:rPr>
        <w:t>6.</w:t>
      </w:r>
      <w:r>
        <w:rPr>
          <w:noProof/>
        </w:rPr>
        <w:tab/>
        <w:t>Pieprasījuma saņēmējas iestādes valsts izmanto savu oficiālo</w:t>
      </w:r>
      <w:r>
        <w:rPr>
          <w:rStyle w:val="EUtextChar"/>
          <w:noProof/>
        </w:rPr>
        <w:t xml:space="preserve"> </w:t>
      </w:r>
      <w:r>
        <w:rPr>
          <w:noProof/>
        </w:rPr>
        <w:t xml:space="preserve">valūtu piedzīto summu pārskaitīšanai uz pieteikuma iesniedzējas iestādes valsti, ja vien attiecīgās valstis nevienojas citādi. </w:t>
      </w:r>
    </w:p>
    <w:p w:rsidR="003E022D" w:rsidRDefault="007D19D6">
      <w:pPr>
        <w:pStyle w:val="Title1"/>
        <w:rPr>
          <w:noProof/>
        </w:rPr>
      </w:pPr>
      <w:bookmarkStart w:id="1418" w:name="_Toc59110597"/>
      <w:bookmarkStart w:id="1419" w:name="_Toc59988436"/>
      <w:r>
        <w:rPr>
          <w:noProof/>
        </w:rPr>
        <w:t>IV SADAĻA. ĪSTENOŠANA UN PIEMĒROŠANA</w:t>
      </w:r>
      <w:bookmarkEnd w:id="1418"/>
      <w:bookmarkEnd w:id="1419"/>
    </w:p>
    <w:p w:rsidR="003E022D" w:rsidRDefault="007D19D6">
      <w:pPr>
        <w:pStyle w:val="Article"/>
        <w:rPr>
          <w:noProof/>
        </w:rPr>
      </w:pPr>
      <w:bookmarkStart w:id="1420" w:name="_Hlk57216998"/>
      <w:r>
        <w:rPr>
          <w:noProof/>
        </w:rPr>
        <w:t>39. pants. Tirdzn</w:t>
      </w:r>
      <w:r>
        <w:rPr>
          <w:noProof/>
        </w:rPr>
        <w:t>iecības specializētā komiteja administratīvajai sadarbībai PVN un nodokļu un nodevu piedziņas jomā</w:t>
      </w:r>
    </w:p>
    <w:bookmarkEnd w:id="1420"/>
    <w:p w:rsidR="003E022D" w:rsidRDefault="007D19D6">
      <w:pPr>
        <w:rPr>
          <w:noProof/>
        </w:rPr>
      </w:pPr>
      <w:r>
        <w:rPr>
          <w:noProof/>
        </w:rPr>
        <w:t>1.</w:t>
      </w:r>
      <w:r>
        <w:rPr>
          <w:noProof/>
        </w:rPr>
        <w:tab/>
        <w:t xml:space="preserve">Specializētā komiteja: </w:t>
      </w:r>
    </w:p>
    <w:p w:rsidR="003E022D" w:rsidRDefault="007D19D6">
      <w:pPr>
        <w:numPr>
          <w:ilvl w:val="0"/>
          <w:numId w:val="1218"/>
        </w:numPr>
        <w:ind w:left="567" w:hanging="567"/>
        <w:rPr>
          <w:rFonts w:asciiTheme="minorHAnsi" w:hAnsiTheme="minorHAnsi" w:cstheme="minorHAnsi"/>
          <w:noProof/>
        </w:rPr>
      </w:pPr>
      <w:r>
        <w:rPr>
          <w:rFonts w:asciiTheme="minorHAnsi" w:hAnsiTheme="minorHAnsi"/>
          <w:noProof/>
        </w:rPr>
        <w:t>rīko regulāru apspriešanos un</w:t>
      </w:r>
    </w:p>
    <w:p w:rsidR="003E022D" w:rsidRDefault="007D19D6">
      <w:pPr>
        <w:numPr>
          <w:ilvl w:val="0"/>
          <w:numId w:val="1218"/>
        </w:numPr>
        <w:ind w:left="567" w:hanging="567"/>
        <w:rPr>
          <w:noProof/>
        </w:rPr>
      </w:pPr>
      <w:r>
        <w:rPr>
          <w:noProof/>
        </w:rPr>
        <w:t xml:space="preserve">vismaz reizi 5 gados pārskata šā protokola darbību un efektivitāti.  </w:t>
      </w:r>
    </w:p>
    <w:p w:rsidR="003E022D" w:rsidRDefault="007D19D6">
      <w:pPr>
        <w:rPr>
          <w:noProof/>
        </w:rPr>
      </w:pPr>
      <w:r>
        <w:rPr>
          <w:noProof/>
        </w:rPr>
        <w:t>2.</w:t>
      </w:r>
      <w:r>
        <w:rPr>
          <w:noProof/>
        </w:rPr>
        <w:tab/>
        <w:t>Specializētā komiteja pieņe</w:t>
      </w:r>
      <w:r>
        <w:rPr>
          <w:noProof/>
        </w:rPr>
        <w:t>m lēmumus vai ieteikumus:</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kas nosaka tās informācijas sniegšanas biežumu, praktiskos pasākumus un konkrētās kategorijas, uz kuru attiecas 11. pantā [Automatizēta informācijas apmaiņa] minētā automatizētā apmaiņa;</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ar ko izskata informācijas automatizētās ap</w:t>
      </w:r>
      <w:r>
        <w:rPr>
          <w:rFonts w:asciiTheme="minorHAnsi" w:hAnsiTheme="minorHAnsi"/>
          <w:noProof/>
        </w:rPr>
        <w:t>maiņas rezultātus katrai kategorijai, kas noteikta, ievērojot 2. punkta a) apakšpunktu, lai nodrošinātu, ka šāda veida apmaiņa notiek tikai tad, ja tā ir visefektīvākais informācijas apmaiņas līdzeklis;</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kas nosaka jaunas tādas informācijas kategorijas, kur</w:t>
      </w:r>
      <w:r>
        <w:rPr>
          <w:rFonts w:asciiTheme="minorHAnsi" w:hAnsiTheme="minorHAnsi"/>
          <w:noProof/>
        </w:rPr>
        <w:t>as apmaiņa paredzēta, ievērojot 11. pantu [Automatizēta informācijas apmaiņa], ja automatizētā apmaiņa ir visefektīvākais sadarbības veids;</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ar ko nosaka standarta veidlapas paziņošanai saskaņā ar 19. panta [Standarta veidlapas un saziņas līdzekļi] 1. punkt</w:t>
      </w:r>
      <w:r>
        <w:rPr>
          <w:rFonts w:asciiTheme="minorHAnsi" w:hAnsiTheme="minorHAnsi"/>
          <w:noProof/>
        </w:rPr>
        <w:t>u un 38. panta [Standarta veidlapas un saziņas līdzekļi] 1. punktu;</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ar ko pārskata 18. pantā [Statistikas dati] un 37. pantā [Statistikas dati] minēto statistikas datu pieejamību, vākšanu un apstrādi, lai nodrošinātu, ka minētajos pantos noteiktie pienākum</w:t>
      </w:r>
      <w:r>
        <w:rPr>
          <w:rFonts w:asciiTheme="minorHAnsi" w:hAnsiTheme="minorHAnsi"/>
          <w:noProof/>
        </w:rPr>
        <w:t>i nerada nesamērīgu administratīvo slogu Pusēm;</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 xml:space="preserve">kas nosaka, ko nosūta, izmantojot </w:t>
      </w:r>
      <w:r>
        <w:rPr>
          <w:rFonts w:asciiTheme="minorHAnsi" w:hAnsiTheme="minorHAnsi"/>
          <w:i/>
          <w:noProof/>
        </w:rPr>
        <w:t>CCN/CSI</w:t>
      </w:r>
      <w:r>
        <w:rPr>
          <w:rFonts w:asciiTheme="minorHAnsi" w:hAnsiTheme="minorHAnsi"/>
          <w:noProof/>
        </w:rPr>
        <w:t xml:space="preserve"> tīklu vai citus līdzekļus;</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par to finansiālo ieguldījumu summu, kas Apvienotajai Karalistei jāiemaksā Savienības vispārējā budžetā saistībā ar izmaksām, kuras rada Ap</w:t>
      </w:r>
      <w:r>
        <w:rPr>
          <w:rFonts w:asciiTheme="minorHAnsi" w:hAnsiTheme="minorHAnsi"/>
          <w:noProof/>
        </w:rPr>
        <w:t>vienotās Karalistes dalība Eiropas informācijas sistēmās, ņemot vērā d) un f) apakšpunktā minētos lēmumus;</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ar ko nosaka īstenošanas noteikumus attiecībā uz praktiskiem pasākumiem kontaktu organizēšanai starp centrālajiem koordinācijas birojiem un koordināc</w:t>
      </w:r>
      <w:r>
        <w:rPr>
          <w:rFonts w:asciiTheme="minorHAnsi" w:hAnsiTheme="minorHAnsi"/>
          <w:noProof/>
        </w:rPr>
        <w:t>ijas departamentiem, kas minēti 4. panta [Organizācija] 2. un 3 punktā;</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kas nosaka praktiskus pasākumus centrālo koordinācijas biroju starpā 4. panta [Organizācija] 5. punkta īstenošanai;</w:t>
      </w:r>
    </w:p>
    <w:p w:rsidR="003E022D" w:rsidRDefault="007D19D6">
      <w:pPr>
        <w:numPr>
          <w:ilvl w:val="0"/>
          <w:numId w:val="1219"/>
        </w:numPr>
        <w:ind w:left="567" w:hanging="567"/>
        <w:rPr>
          <w:rFonts w:asciiTheme="minorHAnsi" w:hAnsiTheme="minorHAnsi" w:cstheme="minorHAnsi"/>
          <w:noProof/>
        </w:rPr>
      </w:pPr>
      <w:r>
        <w:rPr>
          <w:rFonts w:asciiTheme="minorHAnsi" w:hAnsiTheme="minorHAnsi"/>
          <w:noProof/>
        </w:rPr>
        <w:t xml:space="preserve">kas nosaka īstenošanas noteikumus III sadaļai [Palīdzība piedziņā], </w:t>
      </w:r>
      <w:r>
        <w:rPr>
          <w:rFonts w:asciiTheme="minorHAnsi" w:hAnsiTheme="minorHAnsi"/>
          <w:noProof/>
        </w:rPr>
        <w:t>ieskaitot noteikumus piedzenamo summu konvertēšanai un piedzīto summu pārskaitīšanai; un</w:t>
      </w:r>
    </w:p>
    <w:p w:rsidR="003E022D" w:rsidRDefault="007D19D6">
      <w:pPr>
        <w:numPr>
          <w:ilvl w:val="0"/>
          <w:numId w:val="1219"/>
        </w:numPr>
        <w:ind w:left="567" w:hanging="567"/>
        <w:rPr>
          <w:noProof/>
        </w:rPr>
      </w:pPr>
      <w:r>
        <w:rPr>
          <w:noProof/>
        </w:rPr>
        <w:t xml:space="preserve">kas nosaka procedūru </w:t>
      </w:r>
      <w:r>
        <w:rPr>
          <w:rFonts w:asciiTheme="minorHAnsi" w:hAnsiTheme="minorHAnsi"/>
          <w:noProof/>
        </w:rPr>
        <w:t>5. pantā [Pakalpojumu līmeņa nolīgums]</w:t>
      </w:r>
      <w:r>
        <w:rPr>
          <w:noProof/>
        </w:rPr>
        <w:t xml:space="preserve"> minētā pakalpojumu līguma nolīguma slēgšanai un ar ko arī noslēdz minēto pakalpojumu līmeņa nolīgumu.</w:t>
      </w:r>
    </w:p>
    <w:p w:rsidR="003E022D" w:rsidRDefault="007D19D6">
      <w:pPr>
        <w:pStyle w:val="Title1"/>
        <w:rPr>
          <w:noProof/>
        </w:rPr>
      </w:pPr>
      <w:bookmarkStart w:id="1421" w:name="_Toc59110598"/>
      <w:bookmarkStart w:id="1422" w:name="_Toc59988437"/>
      <w:r>
        <w:rPr>
          <w:noProof/>
        </w:rPr>
        <w:t>V SAD</w:t>
      </w:r>
      <w:r>
        <w:rPr>
          <w:noProof/>
        </w:rPr>
        <w:t>AĻA. NOBEIGUMA NOTEIKUMI</w:t>
      </w:r>
      <w:bookmarkEnd w:id="1421"/>
      <w:bookmarkEnd w:id="1422"/>
    </w:p>
    <w:p w:rsidR="003E022D" w:rsidRDefault="007D19D6">
      <w:pPr>
        <w:pStyle w:val="Article"/>
        <w:rPr>
          <w:noProof/>
        </w:rPr>
      </w:pPr>
      <w:r>
        <w:rPr>
          <w:noProof/>
        </w:rPr>
        <w:t>40. pants. Notiekošu pieprasījumu izpilde</w:t>
      </w:r>
    </w:p>
    <w:p w:rsidR="003E022D" w:rsidRDefault="007D19D6">
      <w:pPr>
        <w:spacing w:line="276" w:lineRule="auto"/>
        <w:rPr>
          <w:noProof/>
        </w:rPr>
      </w:pPr>
      <w:r>
        <w:rPr>
          <w:noProof/>
        </w:rPr>
        <w:t>1.</w:t>
      </w:r>
      <w:r>
        <w:rPr>
          <w:noProof/>
        </w:rPr>
        <w:tab/>
        <w:t>Ja informācijas un administratīvās izmeklēšanas pieprasījumi, kas nosūtīti saskaņā ar Regulu (ES) Nr. 904/2010 saistībā ar darījumiem, uz kuriem attiecas Izstāšanās līguma 99. panta 1. p</w:t>
      </w:r>
      <w:r>
        <w:rPr>
          <w:noProof/>
        </w:rPr>
        <w:t>unkts, vēl nav pabeigti četru gadu laikā pēc pārejas perioda beigām, tad pieprasījuma saņēmēja valsts nodrošina, lai minētie pieprasījumi tiktu izpildīti saskaņā ar šā protokola noteikumiem.</w:t>
      </w:r>
    </w:p>
    <w:p w:rsidR="003E022D" w:rsidRDefault="007D19D6">
      <w:pPr>
        <w:spacing w:after="0" w:line="276" w:lineRule="auto"/>
        <w:rPr>
          <w:noProof/>
        </w:rPr>
      </w:pPr>
      <w:r>
        <w:rPr>
          <w:noProof/>
        </w:rPr>
        <w:t>2.</w:t>
      </w:r>
      <w:r>
        <w:rPr>
          <w:noProof/>
        </w:rPr>
        <w:tab/>
        <w:t>Ja palīdzības pieprasījumi, kas attiecas uz nodokļiem un nodev</w:t>
      </w:r>
      <w:r>
        <w:rPr>
          <w:noProof/>
        </w:rPr>
        <w:t>ām šā protokola 2. panta [Darbības joma] tvērumā un kas nosūtīti saskaņā ar Direktīvu 2010/24/ES saistībā ar Izstāšanās līguma 100. panta 1. punktā minētajiem prasījumiem, nav slēgti piecu gadu laikā pēc pārejas perioda beigām, tad pieprasījuma saņēmēja va</w:t>
      </w:r>
      <w:r>
        <w:rPr>
          <w:noProof/>
        </w:rPr>
        <w:t>lsts nodrošina, lai minētie pieprasījumi tiktu izpildīti saskaņā ar šā protokola noteikumiem.Standarta vienotā paziņojuma veidlapa vai dokuments, kas atļauj izpildi pieprasījuma saņēmējā valstī un kas sastādīts saskaņā ar šajā punktā minētajiem tiesību akt</w:t>
      </w:r>
      <w:r>
        <w:rPr>
          <w:noProof/>
        </w:rPr>
        <w:t>iem, šādas izpildes vajadzībām paliek derīgs. Pēc minētā piecu gadu laikposma beigām var izveidot pārskatītu vienotu instrumentu, kas atļauj izpildi pieprasījuma saņēmējā valstī saistībā ar prasījumiem, par kuriem palīdzība lūgta pirms minētā laikposma.  Š</w:t>
      </w:r>
      <w:r>
        <w:rPr>
          <w:noProof/>
        </w:rPr>
        <w:t>ādos pārskatītajos vienotajos instrumentos ir atsauces uz juridisko pamatu, kas izmantots sākotnējam palīdzības pieprasījumam.</w:t>
      </w:r>
    </w:p>
    <w:p w:rsidR="003E022D" w:rsidRDefault="007D19D6">
      <w:pPr>
        <w:pStyle w:val="Article"/>
        <w:rPr>
          <w:noProof/>
        </w:rPr>
      </w:pPr>
      <w:r>
        <w:rPr>
          <w:noProof/>
        </w:rPr>
        <w:t>41. pants. Saistība ar citiem nolīgumiem vai režīmiem</w:t>
      </w:r>
    </w:p>
    <w:p w:rsidR="003E022D" w:rsidRDefault="007D19D6">
      <w:pPr>
        <w:spacing w:line="276" w:lineRule="auto"/>
        <w:rPr>
          <w:noProof/>
        </w:rPr>
      </w:pPr>
      <w:r>
        <w:rPr>
          <w:noProof/>
        </w:rPr>
        <w:t xml:space="preserve">Šis protokols ir prioritārs attiecībā pret visiem noteikumiem starp </w:t>
      </w:r>
      <w:r>
        <w:rPr>
          <w:noProof/>
        </w:rPr>
        <w:t>dalībvalstīm un Apvienoto Karalisti noslēgtajos divpusējos vai daudzpusējos nolīgumos vai pasākumos par administratīvu sadarbību PVN jomā vai par palīdzību piedziņā saistībā ar prasījumiem, uz kuriem attiecas šis protokols, ciktāl to noteikumi nav saderīgi</w:t>
      </w:r>
      <w:r>
        <w:rPr>
          <w:noProof/>
        </w:rPr>
        <w:t xml:space="preserve"> ar šā protokola noteikumiem.</w:t>
      </w:r>
    </w:p>
    <w:p w:rsidR="003E022D" w:rsidRDefault="007D19D6">
      <w:pPr>
        <w:rPr>
          <w:noProof/>
        </w:rPr>
      </w:pPr>
      <w:r>
        <w:rPr>
          <w:noProof/>
        </w:rPr>
        <w:br w:type="page"/>
      </w:r>
    </w:p>
    <w:p w:rsidR="003E022D" w:rsidRDefault="007D19D6">
      <w:pPr>
        <w:pStyle w:val="ANNEX"/>
        <w:rPr>
          <w:noProof/>
        </w:rPr>
      </w:pPr>
      <w:bookmarkStart w:id="1423" w:name="_Toc59110599"/>
      <w:bookmarkStart w:id="1424" w:name="_Toc59988438"/>
      <w:r>
        <w:rPr>
          <w:noProof/>
        </w:rPr>
        <w:t>PIELIKUMS PROTOKOLAM PAR ADMINISTRATĪVO SADARBĪBU UN KRĀPŠANAS APKAROŠANU PIEVIENOTĀS VĒRTĪBAS NODOKĻA JOMĀ UN PAR SAVSTARPĒJU PALĪDZĪBU PRASĪJUMU PIEDZIŅĀ SAISTĪBĀ AR NODOKĻIEM UN NODEVĀM</w:t>
      </w:r>
      <w:bookmarkEnd w:id="1423"/>
      <w:bookmarkEnd w:id="1424"/>
    </w:p>
    <w:p w:rsidR="003E022D" w:rsidRDefault="007D19D6">
      <w:pPr>
        <w:rPr>
          <w:rFonts w:cstheme="minorHAnsi"/>
          <w:noProof/>
        </w:rPr>
      </w:pPr>
      <w:r>
        <w:rPr>
          <w:noProof/>
        </w:rPr>
        <w:t>Iekams Specializētā komiteja nav pieņēmusi lēmumus, kas minēti 39. panta [Tirdzniecības specializētā komiteja administratīvajai sadarbībai PVN un nodokļu un nodevu piedziņas jomā] 2. punktā Protokolā par administratīvo sadarbību un krāpšanas apkarošanu pie</w:t>
      </w:r>
      <w:r>
        <w:rPr>
          <w:noProof/>
        </w:rPr>
        <w:t xml:space="preserve">vienotās vērtības nodokļa jomā un par savstarpēju palīdzību prasījumu piedziņā saistībā ar nodokļiem un nodevām (“protokols”), piemēro šādus noteikumus un standarta veidlapas. </w:t>
      </w:r>
    </w:p>
    <w:p w:rsidR="003E022D" w:rsidRDefault="007D19D6">
      <w:pPr>
        <w:pStyle w:val="Section"/>
        <w:rPr>
          <w:noProof/>
        </w:rPr>
      </w:pPr>
      <w:r>
        <w:rPr>
          <w:noProof/>
        </w:rPr>
        <w:t>1. iedaļa. Kontaktu organizēšana</w:t>
      </w:r>
    </w:p>
    <w:p w:rsidR="003E022D" w:rsidRDefault="007D19D6">
      <w:pPr>
        <w:rPr>
          <w:rFonts w:cstheme="minorHAnsi"/>
          <w:noProof/>
        </w:rPr>
      </w:pPr>
      <w:r>
        <w:rPr>
          <w:noProof/>
        </w:rPr>
        <w:t xml:space="preserve">1.1. </w:t>
      </w:r>
      <w:r>
        <w:rPr>
          <w:noProof/>
        </w:rPr>
        <w:tab/>
        <w:t>Līdz turpmākam paziņojumam centrālie koo</w:t>
      </w:r>
      <w:r>
        <w:rPr>
          <w:noProof/>
        </w:rPr>
        <w:t>rdinācijas biroji, kuriem ir uzticēta galvenā atbildība par protokola II sadaļas [Administratīvā sadarbība un ar PVN saistītas krāpšanas apkarošana] piemērošanu, ir:</w:t>
      </w:r>
    </w:p>
    <w:p w:rsidR="003E022D" w:rsidRDefault="007D19D6">
      <w:pPr>
        <w:numPr>
          <w:ilvl w:val="0"/>
          <w:numId w:val="1220"/>
        </w:numPr>
        <w:ind w:left="567" w:hanging="567"/>
        <w:rPr>
          <w:rFonts w:asciiTheme="minorHAnsi" w:hAnsiTheme="minorHAnsi" w:cstheme="minorHAnsi"/>
          <w:noProof/>
        </w:rPr>
      </w:pPr>
      <w:r>
        <w:rPr>
          <w:rFonts w:asciiTheme="minorHAnsi" w:hAnsiTheme="minorHAnsi"/>
          <w:noProof/>
        </w:rPr>
        <w:t xml:space="preserve">Apvienotajai Karalistei: </w:t>
      </w:r>
      <w:r>
        <w:rPr>
          <w:rFonts w:asciiTheme="minorHAnsi" w:hAnsiTheme="minorHAnsi"/>
          <w:i/>
          <w:noProof/>
        </w:rPr>
        <w:t>HM Revenue and Customs, UK VAT Central Liaison Office</w:t>
      </w:r>
      <w:r>
        <w:rPr>
          <w:rFonts w:asciiTheme="minorHAnsi" w:hAnsiTheme="minorHAnsi"/>
          <w:noProof/>
        </w:rPr>
        <w:t xml:space="preserve"> (Viņas Maje</w:t>
      </w:r>
      <w:r>
        <w:rPr>
          <w:rFonts w:asciiTheme="minorHAnsi" w:hAnsiTheme="minorHAnsi"/>
          <w:noProof/>
        </w:rPr>
        <w:t xml:space="preserve">stātes Ieņēmumu un muitas pārvalde, Apvienotās Karalistes PVN centrālais koordinācijas birojs; </w:t>
      </w:r>
    </w:p>
    <w:p w:rsidR="003E022D" w:rsidRDefault="007D19D6">
      <w:pPr>
        <w:numPr>
          <w:ilvl w:val="0"/>
          <w:numId w:val="1220"/>
        </w:numPr>
        <w:ind w:left="567" w:hanging="567"/>
        <w:rPr>
          <w:rFonts w:cstheme="minorHAnsi"/>
          <w:noProof/>
        </w:rPr>
      </w:pPr>
      <w:r>
        <w:rPr>
          <w:rFonts w:asciiTheme="minorHAnsi" w:hAnsiTheme="minorHAnsi"/>
          <w:noProof/>
        </w:rPr>
        <w:t xml:space="preserve">dalībvalstīm: </w:t>
      </w:r>
      <w:r>
        <w:rPr>
          <w:noProof/>
        </w:rPr>
        <w:t xml:space="preserve">centrālie koordinācijas biroji, kas izraudzīti dalībvalstu savstarpējai administratīvajai sadarbībai PVN jomā. </w:t>
      </w:r>
    </w:p>
    <w:p w:rsidR="003E022D" w:rsidRDefault="007D19D6">
      <w:pPr>
        <w:rPr>
          <w:rFonts w:cstheme="minorHAnsi"/>
          <w:noProof/>
        </w:rPr>
      </w:pPr>
      <w:r>
        <w:rPr>
          <w:noProof/>
        </w:rPr>
        <w:t>1.2.</w:t>
      </w:r>
      <w:r>
        <w:rPr>
          <w:noProof/>
        </w:rPr>
        <w:tab/>
        <w:t>Līdz turpmākam paziņojumam ce</w:t>
      </w:r>
      <w:r>
        <w:rPr>
          <w:noProof/>
        </w:rPr>
        <w:t>ntrālie koordinācijas biroji, kuriem ir uzticēta galvenā atbildība par protokola III sadaļas [Palīdzība piedziņā] piemērošanu, ir:</w:t>
      </w:r>
    </w:p>
    <w:p w:rsidR="003E022D" w:rsidRDefault="007D19D6">
      <w:pPr>
        <w:numPr>
          <w:ilvl w:val="0"/>
          <w:numId w:val="1221"/>
        </w:numPr>
        <w:ind w:left="567" w:hanging="567"/>
        <w:rPr>
          <w:rFonts w:asciiTheme="minorHAnsi" w:hAnsiTheme="minorHAnsi" w:cstheme="minorHAnsi"/>
          <w:noProof/>
        </w:rPr>
      </w:pPr>
      <w:r>
        <w:rPr>
          <w:rFonts w:asciiTheme="minorHAnsi" w:hAnsiTheme="minorHAnsi"/>
          <w:noProof/>
        </w:rPr>
        <w:t xml:space="preserve">Apvienotajai Karalistei: </w:t>
      </w:r>
      <w:r>
        <w:rPr>
          <w:rFonts w:asciiTheme="minorHAnsi" w:hAnsiTheme="minorHAnsi"/>
          <w:i/>
          <w:noProof/>
        </w:rPr>
        <w:t>Her Majesty’s Revenue and Customs, Debt Management</w:t>
      </w:r>
      <w:r>
        <w:rPr>
          <w:rFonts w:asciiTheme="minorHAnsi" w:hAnsiTheme="minorHAnsi"/>
          <w:noProof/>
        </w:rPr>
        <w:t xml:space="preserve"> (Viņas Majestātes Ieņēmumu un muitas pārvaldes pa</w:t>
      </w:r>
      <w:r>
        <w:rPr>
          <w:rFonts w:asciiTheme="minorHAnsi" w:hAnsiTheme="minorHAnsi"/>
          <w:noProof/>
        </w:rPr>
        <w:t>rādu pārvaldības nodaļa);</w:t>
      </w:r>
    </w:p>
    <w:p w:rsidR="003E022D" w:rsidRDefault="007D19D6">
      <w:pPr>
        <w:numPr>
          <w:ilvl w:val="0"/>
          <w:numId w:val="1221"/>
        </w:numPr>
        <w:ind w:left="567" w:hanging="567"/>
        <w:rPr>
          <w:rFonts w:cstheme="minorHAnsi"/>
          <w:noProof/>
        </w:rPr>
      </w:pPr>
      <w:r>
        <w:rPr>
          <w:rFonts w:asciiTheme="minorHAnsi" w:hAnsiTheme="minorHAnsi"/>
          <w:noProof/>
        </w:rPr>
        <w:t>dalībvalstīm: centrālie koordinācijas biroji, kas izraudzīti</w:t>
      </w:r>
      <w:r>
        <w:rPr>
          <w:noProof/>
        </w:rPr>
        <w:t xml:space="preserve"> dalībvalstu </w:t>
      </w:r>
      <w:r>
        <w:rPr>
          <w:rFonts w:asciiTheme="minorHAnsi" w:hAnsiTheme="minorHAnsi"/>
          <w:noProof/>
        </w:rPr>
        <w:t>savstarpējai palīdzībai piedziņā</w:t>
      </w:r>
      <w:r>
        <w:rPr>
          <w:noProof/>
        </w:rPr>
        <w:t>.</w:t>
      </w:r>
    </w:p>
    <w:p w:rsidR="003E022D" w:rsidRDefault="007D19D6">
      <w:pPr>
        <w:pStyle w:val="Section"/>
        <w:rPr>
          <w:noProof/>
        </w:rPr>
      </w:pPr>
      <w:r>
        <w:rPr>
          <w:noProof/>
        </w:rPr>
        <w:t xml:space="preserve">2. iedaļa. Administratīvā sadarbība un krāpšanas apkarošana pievienotās vērtības nodokļa jomā </w:t>
      </w:r>
    </w:p>
    <w:p w:rsidR="003E022D" w:rsidRDefault="007D19D6">
      <w:pPr>
        <w:rPr>
          <w:rFonts w:cstheme="minorHAnsi"/>
          <w:noProof/>
        </w:rPr>
      </w:pPr>
      <w:r>
        <w:rPr>
          <w:noProof/>
        </w:rPr>
        <w:t>2.1.</w:t>
      </w:r>
      <w:r>
        <w:rPr>
          <w:noProof/>
        </w:rPr>
        <w:tab/>
        <w:t>Komunikācija</w:t>
      </w:r>
    </w:p>
    <w:p w:rsidR="003E022D" w:rsidRDefault="007D19D6">
      <w:pPr>
        <w:rPr>
          <w:rFonts w:cstheme="minorHAnsi"/>
          <w:noProof/>
        </w:rPr>
      </w:pPr>
      <w:r>
        <w:rPr>
          <w:noProof/>
        </w:rPr>
        <w:t>Šā protoko</w:t>
      </w:r>
      <w:r>
        <w:rPr>
          <w:noProof/>
        </w:rPr>
        <w:t>la II sadaļā [Administratīvā sadarbība un ar PVN saistītas krāpšanas apkarošana] paredzētā informācijas paziņošana notiek starp attiecīgajām valstu pastkastītēm informācijas apmaiņai par administratīvo sadarbību vai pastkastītēm krāpšanas apkarošanai PVN j</w:t>
      </w:r>
      <w:r>
        <w:rPr>
          <w:noProof/>
        </w:rPr>
        <w:t>omā, pēc iespējas izmantojot elektroniskus līdzekļus un kopējo sakaru tīklu (</w:t>
      </w:r>
      <w:r>
        <w:rPr>
          <w:i/>
          <w:noProof/>
        </w:rPr>
        <w:t>CCN</w:t>
      </w:r>
      <w:r>
        <w:rPr>
          <w:noProof/>
        </w:rPr>
        <w:t>).</w:t>
      </w:r>
    </w:p>
    <w:p w:rsidR="003E022D" w:rsidRDefault="007D19D6">
      <w:pPr>
        <w:rPr>
          <w:rFonts w:cstheme="minorHAnsi"/>
          <w:noProof/>
        </w:rPr>
      </w:pPr>
      <w:r>
        <w:rPr>
          <w:noProof/>
        </w:rPr>
        <w:t xml:space="preserve">2.2. Standarta veidlapa </w:t>
      </w:r>
    </w:p>
    <w:p w:rsidR="003E022D" w:rsidRDefault="007D19D6">
      <w:pPr>
        <w:rPr>
          <w:rFonts w:cstheme="minorHAnsi"/>
          <w:noProof/>
        </w:rPr>
      </w:pPr>
      <w:r>
        <w:rPr>
          <w:noProof/>
        </w:rPr>
        <w:t>Šā protokola II sadaļā [Administratīvā sadarbība un ar PVN saistītas krāpšanas apkarošana] paredzētajai informācijas apmaiņai valstis izmanto šādu p</w:t>
      </w:r>
      <w:r>
        <w:rPr>
          <w:noProof/>
        </w:rPr>
        <w:t>araugu:</w:t>
      </w:r>
    </w:p>
    <w:p w:rsidR="003E022D" w:rsidRDefault="007D19D6">
      <w:pPr>
        <w:pStyle w:val="Titrearticle"/>
        <w:pBdr>
          <w:top w:val="single" w:sz="4" w:space="1" w:color="auto"/>
          <w:left w:val="single" w:sz="4" w:space="4" w:color="auto"/>
          <w:bottom w:val="single" w:sz="4" w:space="1" w:color="auto"/>
          <w:right w:val="single" w:sz="4" w:space="4" w:color="auto"/>
        </w:pBdr>
        <w:ind w:left="360" w:hanging="360"/>
        <w:rPr>
          <w:rFonts w:asciiTheme="minorHAnsi" w:eastAsia="Calibri" w:hAnsiTheme="minorHAnsi" w:cs="Arial"/>
          <w:bCs/>
          <w:i w:val="0"/>
          <w:iCs w:val="0"/>
          <w:noProof/>
          <w:szCs w:val="22"/>
          <w:bdr w:val="single" w:sz="4" w:space="0" w:color="auto"/>
        </w:rPr>
      </w:pPr>
      <w:r>
        <w:rPr>
          <w:noProof/>
        </w:rPr>
        <w:br w:type="page"/>
      </w:r>
      <w:r>
        <w:rPr>
          <w:rFonts w:asciiTheme="minorHAnsi" w:hAnsiTheme="minorHAnsi"/>
          <w:bCs/>
          <w:i w:val="0"/>
          <w:noProof/>
          <w:szCs w:val="22"/>
        </w:rPr>
        <w:t>Standarta veidlapa Protokola par administratīvo sadarbību un krāpšanas apkarošanu PVN jomā paredzētajiem informācijas pieprasījumiem, spontānai informācijas apmaiņai un atsauksmēm starp ES dalībvalstīm un Apvienoto Karalisti</w:t>
      </w:r>
    </w:p>
    <w:p w:rsidR="003E022D" w:rsidRDefault="007D19D6">
      <w:pPr>
        <w:spacing w:after="200" w:line="276" w:lineRule="auto"/>
        <w:rPr>
          <w:rFonts w:ascii="Arial" w:eastAsia="Calibri" w:hAnsi="Arial" w:cs="Arial"/>
          <w:noProof/>
          <w:sz w:val="16"/>
          <w:szCs w:val="16"/>
        </w:rPr>
      </w:pPr>
      <w:r>
        <w:rPr>
          <w:rFonts w:ascii="Arial" w:hAnsi="Arial"/>
          <w:b/>
          <w:noProof/>
          <w:sz w:val="16"/>
          <w:szCs w:val="16"/>
        </w:rPr>
        <w:t xml:space="preserve">Informācijas apmaiņas </w:t>
      </w:r>
      <w:r>
        <w:rPr>
          <w:rFonts w:ascii="Arial" w:hAnsi="Arial"/>
          <w:b/>
          <w:noProof/>
          <w:sz w:val="16"/>
          <w:szCs w:val="16"/>
        </w:rPr>
        <w:t>atsauce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1542"/>
        <w:gridCol w:w="769"/>
        <w:gridCol w:w="2311"/>
      </w:tblGrid>
      <w:tr w:rsidR="003E022D">
        <w:trPr>
          <w:jc w:val="center"/>
        </w:trPr>
        <w:tc>
          <w:tcPr>
            <w:tcW w:w="5000" w:type="pct"/>
            <w:gridSpan w:val="5"/>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A) PAMATINFORMĀCIJA</w:t>
            </w:r>
          </w:p>
        </w:tc>
      </w:tr>
      <w:tr w:rsidR="003E022D">
        <w:trPr>
          <w:jc w:val="center"/>
        </w:trPr>
        <w:tc>
          <w:tcPr>
            <w:tcW w:w="5000" w:type="pct"/>
            <w:gridSpan w:val="5"/>
            <w:shd w:val="clear" w:color="auto" w:fill="auto"/>
          </w:tcPr>
          <w:p w:rsidR="003E022D" w:rsidRDefault="007D19D6">
            <w:pPr>
              <w:rPr>
                <w:rFonts w:ascii="Arial" w:eastAsia="Calibri" w:hAnsi="Arial" w:cs="Arial"/>
                <w:noProof/>
                <w:sz w:val="16"/>
                <w:szCs w:val="16"/>
              </w:rPr>
            </w:pPr>
            <w:r>
              <w:rPr>
                <w:rFonts w:ascii="Arial" w:hAnsi="Arial"/>
                <w:noProof/>
                <w:sz w:val="16"/>
                <w:szCs w:val="16"/>
              </w:rPr>
              <w:t>A1.</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Pieprasītāja valsts:</w:t>
            </w:r>
            <w:r>
              <w:rPr>
                <w:noProof/>
              </w:rPr>
              <w:t xml:space="preserve"> </w:t>
            </w: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 xml:space="preserve">Pieprasījuma saņēmēja valsts: </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Pieprasītāja iestāde:</w:t>
            </w:r>
            <w:r>
              <w:rPr>
                <w:noProof/>
              </w:rPr>
              <w:t xml:space="preserve"> </w:t>
            </w: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Pieprasījuma saņēmēja iestāde:</w:t>
            </w:r>
            <w:r>
              <w:rPr>
                <w:i/>
                <w:noProof/>
              </w:rPr>
              <w:t xml:space="preserve"> </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A2.</w:t>
            </w:r>
          </w:p>
        </w:tc>
        <w:tc>
          <w:tcPr>
            <w:tcW w:w="2500" w:type="pct"/>
            <w:gridSpan w:val="3"/>
            <w:shd w:val="clear" w:color="auto" w:fill="auto"/>
          </w:tcPr>
          <w:p w:rsidR="003E022D" w:rsidRDefault="003E022D">
            <w:pPr>
              <w:rPr>
                <w:rFonts w:ascii="Arial" w:eastAsia="Calibri" w:hAnsi="Arial" w:cs="Arial"/>
                <w:noProof/>
                <w:sz w:val="16"/>
                <w:szCs w:val="16"/>
              </w:rPr>
            </w:pP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Amatpersona, kas pieprasītājā iestādē nodarbojas ar pieprasījumu / apmaiņas informāciju</w:t>
            </w: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 xml:space="preserve">Amatpersona, kas </w:t>
            </w:r>
            <w:r>
              <w:rPr>
                <w:rFonts w:ascii="Arial" w:hAnsi="Arial"/>
                <w:i/>
                <w:noProof/>
                <w:sz w:val="16"/>
                <w:szCs w:val="16"/>
              </w:rPr>
              <w:t>pieprasījuma saņēmējā iestādē nodarbojas ar atbildi uz pieprasījumu / apmaiņas informāciju</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Vārds, uzvārds:</w:t>
            </w:r>
            <w:r>
              <w:rPr>
                <w:noProof/>
              </w:rPr>
              <w:t xml:space="preserve"> </w:t>
            </w: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Vārds, uzvārds:</w:t>
            </w:r>
            <w:r>
              <w:rPr>
                <w:i/>
                <w:noProof/>
              </w:rPr>
              <w:t xml:space="preserve"> </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E-pasts:</w:t>
            </w: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E-pasts:</w:t>
            </w:r>
            <w:r>
              <w:rPr>
                <w:i/>
                <w:noProof/>
              </w:rPr>
              <w:t xml:space="preserve"> </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Tālrunis:</w:t>
            </w:r>
            <w:r>
              <w:rPr>
                <w:noProof/>
              </w:rPr>
              <w:t xml:space="preserve"> </w:t>
            </w: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Tālrunis:</w:t>
            </w:r>
            <w:r>
              <w:rPr>
                <w:i/>
                <w:noProof/>
              </w:rPr>
              <w:t xml:space="preserve"> </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Valoda:</w:t>
            </w:r>
            <w:r>
              <w:rPr>
                <w:noProof/>
              </w:rPr>
              <w:t xml:space="preserve"> </w:t>
            </w: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Valoda:</w:t>
            </w:r>
            <w:r>
              <w:rPr>
                <w:i/>
                <w:noProof/>
              </w:rPr>
              <w:t xml:space="preserve"> </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A3.</w:t>
            </w:r>
          </w:p>
        </w:tc>
        <w:tc>
          <w:tcPr>
            <w:tcW w:w="2500" w:type="pct"/>
            <w:gridSpan w:val="3"/>
            <w:shd w:val="clear" w:color="auto" w:fill="auto"/>
          </w:tcPr>
          <w:p w:rsidR="003E022D" w:rsidRDefault="003E022D">
            <w:pPr>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Pieprasītājas iestādes valsts atsauce:</w:t>
            </w:r>
          </w:p>
          <w:p w:rsidR="003E022D" w:rsidRDefault="003E022D">
            <w:pPr>
              <w:rPr>
                <w:rFonts w:ascii="Arial" w:eastAsia="Calibri" w:hAnsi="Arial" w:cs="Arial"/>
                <w:noProof/>
                <w:sz w:val="16"/>
                <w:szCs w:val="16"/>
              </w:rPr>
            </w:pP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 xml:space="preserve">Pieprasījuma </w:t>
            </w:r>
            <w:r>
              <w:rPr>
                <w:rFonts w:ascii="Arial" w:hAnsi="Arial"/>
                <w:i/>
                <w:noProof/>
                <w:sz w:val="16"/>
                <w:szCs w:val="16"/>
              </w:rPr>
              <w:t>saņēmējas iestādes valsts atsauce:</w:t>
            </w:r>
          </w:p>
          <w:p w:rsidR="003E022D" w:rsidRDefault="003E022D">
            <w:pPr>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Aizpilda pieprasītāja iestāde:</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Aizpilda pieprasījuma saņēmēja iestāde:</w:t>
            </w:r>
          </w:p>
          <w:p w:rsidR="003E022D" w:rsidRDefault="003E022D">
            <w:pPr>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A4.</w:t>
            </w:r>
          </w:p>
        </w:tc>
        <w:tc>
          <w:tcPr>
            <w:tcW w:w="2500" w:type="pct"/>
            <w:gridSpan w:val="3"/>
            <w:shd w:val="clear" w:color="auto" w:fill="auto"/>
          </w:tcPr>
          <w:p w:rsidR="003E022D" w:rsidRDefault="003E022D">
            <w:pPr>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43392" behindDoc="0" locked="0" layoutInCell="1" allowOverlap="1">
                      <wp:simplePos x="0" y="0"/>
                      <wp:positionH relativeFrom="page">
                        <wp:posOffset>2862580</wp:posOffset>
                      </wp:positionH>
                      <wp:positionV relativeFrom="page">
                        <wp:posOffset>5382895</wp:posOffset>
                      </wp:positionV>
                      <wp:extent cx="889000" cy="127000"/>
                      <wp:effectExtent l="0" t="0" r="25400"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297D6" id="Rectangle 119" o:spid="_x0000_s1026" style="position:absolute;margin-left:225.4pt;margin-top:423.85pt;width:70pt;height:1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" fillcolor="window" strokecolor="windowText" strokeweight=".25pt">
                      <v:path arrowok="t"/>
                      <w10:wrap anchorx="page" anchory="page"/>
                    </v:rect>
                  </w:pict>
                </mc:Fallback>
              </mc:AlternateContent>
            </w:r>
            <w:r>
              <w:rPr>
                <w:rFonts w:ascii="Arial" w:hAnsi="Arial"/>
                <w:noProof/>
                <w:sz w:val="16"/>
                <w:szCs w:val="16"/>
              </w:rPr>
              <w:t xml:space="preserve">Pieprasījuma / apmaiņas informācijas nosūtīšanas datums: </w:t>
            </w:r>
          </w:p>
        </w:tc>
        <w:tc>
          <w:tcPr>
            <w:tcW w:w="2500" w:type="pct"/>
            <w:gridSpan w:val="3"/>
            <w:shd w:val="clear" w:color="auto" w:fill="auto"/>
          </w:tcPr>
          <w:p w:rsidR="003E022D" w:rsidRDefault="007D19D6">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44416" behindDoc="0" locked="0" layoutInCell="1" allowOverlap="1">
                      <wp:simplePos x="0" y="0"/>
                      <wp:positionH relativeFrom="page">
                        <wp:posOffset>6076950</wp:posOffset>
                      </wp:positionH>
                      <wp:positionV relativeFrom="page">
                        <wp:posOffset>5382895</wp:posOffset>
                      </wp:positionV>
                      <wp:extent cx="889000" cy="127000"/>
                      <wp:effectExtent l="0" t="0" r="25400" b="254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F0915" id="Rectangle 120" o:spid="_x0000_s1026" style="position:absolute;margin-left:478.5pt;margin-top:423.85pt;width:70pt;height:10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&#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Atbildes nosūtīšanas datums:</w:t>
            </w:r>
            <w:r>
              <w:rPr>
                <w:i/>
                <w:noProof/>
              </w:rPr>
              <w:t xml:space="preserve"> </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A5.</w:t>
            </w:r>
          </w:p>
        </w:tc>
        <w:tc>
          <w:tcPr>
            <w:tcW w:w="2500" w:type="pct"/>
            <w:gridSpan w:val="3"/>
            <w:shd w:val="clear" w:color="auto" w:fill="auto"/>
          </w:tcPr>
          <w:p w:rsidR="003E022D" w:rsidRDefault="003E022D">
            <w:pPr>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45440" behindDoc="0" locked="0" layoutInCell="1" allowOverlap="1">
                      <wp:simplePos x="0" y="0"/>
                      <wp:positionH relativeFrom="page">
                        <wp:posOffset>3243580</wp:posOffset>
                      </wp:positionH>
                      <wp:positionV relativeFrom="page">
                        <wp:posOffset>5781675</wp:posOffset>
                      </wp:positionV>
                      <wp:extent cx="508000" cy="127000"/>
                      <wp:effectExtent l="0" t="0" r="25400"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C894C" id="Rectangle 121" o:spid="_x0000_s1026" style="position:absolute;margin-left:255.4pt;margin-top:455.25pt;width:40pt;height:1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" fillcolor="window" strokecolor="windowText" strokeweight=".25pt">
                      <v:path arrowok="t"/>
                      <w10:wrap anchorx="page" anchory="page"/>
                    </v:rect>
                  </w:pict>
                </mc:Fallback>
              </mc:AlternateContent>
            </w:r>
            <w:r>
              <w:rPr>
                <w:rFonts w:ascii="Arial" w:hAnsi="Arial"/>
                <w:noProof/>
                <w:sz w:val="16"/>
                <w:szCs w:val="16"/>
              </w:rPr>
              <w:t xml:space="preserve">Pieprasījuma / apmaiņas informācijas pielikumu skaits: </w:t>
            </w:r>
          </w:p>
        </w:tc>
        <w:tc>
          <w:tcPr>
            <w:tcW w:w="2500" w:type="pct"/>
            <w:gridSpan w:val="3"/>
            <w:shd w:val="clear" w:color="auto" w:fill="auto"/>
          </w:tcPr>
          <w:p w:rsidR="003E022D" w:rsidRDefault="007D19D6">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46464" behindDoc="0" locked="0" layoutInCell="1" allowOverlap="1">
                      <wp:simplePos x="0" y="0"/>
                      <wp:positionH relativeFrom="page">
                        <wp:posOffset>6457950</wp:posOffset>
                      </wp:positionH>
                      <wp:positionV relativeFrom="page">
                        <wp:posOffset>5781675</wp:posOffset>
                      </wp:positionV>
                      <wp:extent cx="508000" cy="127000"/>
                      <wp:effectExtent l="0" t="0" r="25400" b="254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95F7F" id="Rectangle 122" o:spid="_x0000_s1026" style="position:absolute;margin-left:508.5pt;margin-top:455.25pt;width:40pt;height:10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&#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Atbildei pievienoto pielikumu skaits</w:t>
            </w:r>
            <w:r>
              <w:rPr>
                <w:i/>
                <w:noProof/>
              </w:rPr>
              <w:t xml:space="preserve"> </w:t>
            </w:r>
          </w:p>
        </w:tc>
      </w:tr>
      <w:tr w:rsidR="003E022D">
        <w:trPr>
          <w:jc w:val="center"/>
        </w:trPr>
        <w:tc>
          <w:tcPr>
            <w:tcW w:w="2500"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A6.</w:t>
            </w:r>
          </w:p>
        </w:tc>
        <w:tc>
          <w:tcPr>
            <w:tcW w:w="2500" w:type="pct"/>
            <w:gridSpan w:val="3"/>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A7.</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Vispārīgs pieprasījums / apmaiņas informācija</w:t>
            </w:r>
          </w:p>
        </w:tc>
        <w:tc>
          <w:tcPr>
            <w:tcW w:w="2500" w:type="pct"/>
            <w:gridSpan w:val="3"/>
            <w:shd w:val="clear" w:color="auto" w:fill="auto"/>
          </w:tcPr>
          <w:p w:rsidR="003E022D" w:rsidRDefault="007D19D6">
            <w:pPr>
              <w:rPr>
                <w:rFonts w:ascii="Arial" w:eastAsia="Calibri" w:hAnsi="Arial" w:cs="Arial"/>
                <w:i/>
                <w:noProof/>
                <w:sz w:val="16"/>
                <w:szCs w:val="16"/>
              </w:rPr>
            </w:pPr>
            <w:r>
              <w:rPr>
                <w:i/>
                <w:noProof/>
              </w:rPr>
              <w:t xml:space="preserve">□ </w:t>
            </w:r>
            <w:r>
              <w:rPr>
                <w:rFonts w:ascii="Arial" w:hAnsi="Arial"/>
                <w:i/>
                <w:noProof/>
                <w:sz w:val="16"/>
                <w:szCs w:val="16"/>
              </w:rPr>
              <w:t xml:space="preserve">Pieprasījuma saņēmēja iestāde nespēs atbildēt šādos termiņos: </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 </w:t>
            </w:r>
            <w:r>
              <w:rPr>
                <w:rFonts w:ascii="Arial" w:hAnsi="Arial"/>
                <w:noProof/>
                <w:sz w:val="16"/>
                <w:szCs w:val="16"/>
              </w:rPr>
              <w:t>Informācijas pieprasījums</w:t>
            </w:r>
          </w:p>
        </w:tc>
        <w:tc>
          <w:tcPr>
            <w:tcW w:w="2500" w:type="pct"/>
            <w:gridSpan w:val="3"/>
            <w:shd w:val="clear" w:color="auto" w:fill="auto"/>
          </w:tcPr>
          <w:p w:rsidR="003E022D" w:rsidRDefault="007D19D6">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3 </w:t>
            </w:r>
            <w:r>
              <w:rPr>
                <w:rFonts w:ascii="Arial" w:hAnsi="Arial"/>
                <w:i/>
                <w:noProof/>
                <w:sz w:val="16"/>
                <w:szCs w:val="16"/>
              </w:rPr>
              <w:t xml:space="preserve">mēneši </w:t>
            </w:r>
          </w:p>
        </w:tc>
      </w:tr>
      <w:tr w:rsidR="003E022D">
        <w:trPr>
          <w:trHeight w:val="150"/>
          <w:jc w:val="center"/>
        </w:trPr>
        <w:tc>
          <w:tcPr>
            <w:tcW w:w="2500" w:type="pct"/>
            <w:gridSpan w:val="2"/>
            <w:shd w:val="clear" w:color="auto" w:fill="auto"/>
          </w:tcPr>
          <w:p w:rsidR="003E022D" w:rsidRDefault="007D19D6">
            <w:pPr>
              <w:tabs>
                <w:tab w:val="left" w:pos="5655"/>
              </w:tabs>
              <w:rPr>
                <w:rFonts w:eastAsia="Calibri"/>
                <w:noProof/>
              </w:rPr>
            </w:pPr>
            <w:r>
              <w:rPr>
                <w:rFonts w:ascii="Arial" w:hAnsi="Arial"/>
                <w:noProof/>
                <w:sz w:val="20"/>
                <w:szCs w:val="16"/>
              </w:rPr>
              <w:t xml:space="preserve"> </w:t>
            </w:r>
            <w:r>
              <w:rPr>
                <w:rFonts w:ascii="Arial" w:hAnsi="Arial"/>
                <w:noProof/>
                <w:szCs w:val="16"/>
              </w:rPr>
              <w:t>○</w:t>
            </w:r>
            <w:r>
              <w:rPr>
                <w:rFonts w:ascii="Arial" w:hAnsi="Arial"/>
                <w:noProof/>
                <w:sz w:val="16"/>
                <w:szCs w:val="16"/>
              </w:rPr>
              <w:t xml:space="preserve"> Spontāna informācijas apmaiņa</w:t>
            </w:r>
          </w:p>
        </w:tc>
        <w:tc>
          <w:tcPr>
            <w:tcW w:w="2500" w:type="pct"/>
            <w:gridSpan w:val="3"/>
            <w:shd w:val="clear" w:color="auto" w:fill="auto"/>
          </w:tcPr>
          <w:p w:rsidR="003E022D" w:rsidRDefault="007D19D6">
            <w:pPr>
              <w:tabs>
                <w:tab w:val="left" w:pos="5655"/>
              </w:tabs>
              <w:rPr>
                <w:rFonts w:eastAsia="Calibri"/>
                <w:i/>
                <w:noProof/>
              </w:rPr>
            </w:pPr>
            <w:r>
              <w:rPr>
                <w:i/>
                <w:noProof/>
              </w:rPr>
              <w:t xml:space="preserve">    ○ </w:t>
            </w:r>
            <w:r>
              <w:rPr>
                <w:rFonts w:ascii="Arial" w:hAnsi="Arial"/>
                <w:i/>
                <w:noProof/>
                <w:sz w:val="16"/>
                <w:szCs w:val="16"/>
              </w:rPr>
              <w:t>1 mēnesis informācijai, kas jau ir iestādes rīcībā</w:t>
            </w:r>
          </w:p>
        </w:tc>
      </w:tr>
      <w:tr w:rsidR="003E022D">
        <w:trPr>
          <w:trHeight w:val="457"/>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 </w:t>
            </w:r>
            <w:r>
              <w:rPr>
                <w:rFonts w:ascii="Arial" w:hAnsi="Arial"/>
                <w:noProof/>
                <w:sz w:val="16"/>
                <w:szCs w:val="16"/>
              </w:rPr>
              <w:t>Pieprasīta atsauksme par spontānu informācijas apmaiņu</w:t>
            </w:r>
          </w:p>
        </w:tc>
        <w:tc>
          <w:tcPr>
            <w:tcW w:w="2500" w:type="pct"/>
            <w:gridSpan w:val="3"/>
            <w:vMerge w:val="restar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Kavēšanās pamatojums:</w:t>
            </w:r>
          </w:p>
          <w:p w:rsidR="003E022D" w:rsidRDefault="007D19D6">
            <w:pPr>
              <w:tabs>
                <w:tab w:val="left" w:pos="5655"/>
              </w:tabs>
              <w:rPr>
                <w:rFonts w:eastAsia="Calibri"/>
                <w:i/>
                <w:noProof/>
              </w:rPr>
            </w:pPr>
            <w:r>
              <w:rPr>
                <w:noProof/>
                <w:lang w:val="fr-BE" w:eastAsia="fr-BE"/>
              </w:rPr>
              <mc:AlternateContent>
                <mc:Choice Requires="wps">
                  <w:drawing>
                    <wp:anchor distT="0" distB="0" distL="114300" distR="114300" simplePos="0" relativeHeight="251674112" behindDoc="0" locked="0" layoutInCell="1" allowOverlap="1">
                      <wp:simplePos x="0" y="0"/>
                      <wp:positionH relativeFrom="page">
                        <wp:posOffset>3848100</wp:posOffset>
                      </wp:positionH>
                      <wp:positionV relativeFrom="page">
                        <wp:posOffset>7200900</wp:posOffset>
                      </wp:positionV>
                      <wp:extent cx="3114675" cy="5715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715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3E022D">
                                  <w:pPr>
                                    <w:tabs>
                                      <w:tab w:val="left" w:pos="5655"/>
                                    </w:tabs>
                                    <w:rPr>
                                      <w:lang w:val="fr-BE"/>
                                    </w:rPr>
                                  </w:pP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7" style="position:absolute;left:0;text-align:left;margin-left:303pt;margin-top:567pt;width:245.25pt;height: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" fillcolor="window" strokecolor="windowText" strokeweight=".25pt">
                      <v:path arrowok="t"/>
                      <v:textbox>
                        <w:txbxContent>
                          <w:p w:rsidR="003E022D" w:rsidRDefault="003E022D">
                            <w:pPr>
                              <w:tabs>
                                <w:tab w:val="left" w:pos="5655"/>
                              </w:tabs>
                              <w:rPr>
                                <w:lang w:val="fr-BE"/>
                              </w:rPr>
                            </w:pPr>
                          </w:p>
                          <w:p w:rsidR="003E022D" w:rsidRDefault="003E022D">
                            <w:pPr>
                              <w:jc w:val="center"/>
                            </w:pPr>
                          </w:p>
                        </w:txbxContent>
                      </v:textbox>
                      <w10:wrap anchorx="page" anchory="page"/>
                    </v:rect>
                  </w:pict>
                </mc:Fallback>
              </mc:AlternateContent>
            </w:r>
          </w:p>
        </w:tc>
      </w:tr>
      <w:tr w:rsidR="003E022D">
        <w:trPr>
          <w:trHeight w:val="316"/>
          <w:jc w:val="center"/>
        </w:trPr>
        <w:tc>
          <w:tcPr>
            <w:tcW w:w="2500" w:type="pct"/>
            <w:gridSpan w:val="2"/>
            <w:shd w:val="clear" w:color="auto" w:fill="auto"/>
          </w:tcPr>
          <w:p w:rsidR="003E022D" w:rsidRDefault="007D19D6">
            <w:pPr>
              <w:tabs>
                <w:tab w:val="left" w:pos="5655"/>
              </w:tabs>
              <w:rPr>
                <w:rFonts w:eastAsia="Calibri"/>
                <w:strike/>
                <w:noProof/>
              </w:rPr>
            </w:pPr>
            <w:r>
              <w:rPr>
                <w:noProof/>
              </w:rPr>
              <w:t xml:space="preserve">   ○ </w:t>
            </w:r>
            <w:r>
              <w:rPr>
                <w:rFonts w:ascii="Arial" w:hAnsi="Arial"/>
                <w:noProof/>
                <w:sz w:val="16"/>
                <w:szCs w:val="16"/>
              </w:rPr>
              <w:t>Pieprasījums / apmaiņas informācija saistībā ar krāpšanas</w:t>
            </w:r>
            <w:r>
              <w:rPr>
                <w:rFonts w:ascii="Arial" w:hAnsi="Arial"/>
                <w:noProof/>
                <w:sz w:val="16"/>
                <w:szCs w:val="16"/>
              </w:rPr>
              <w:t xml:space="preserve"> apkarošanu</w:t>
            </w:r>
          </w:p>
        </w:tc>
        <w:tc>
          <w:tcPr>
            <w:tcW w:w="2500" w:type="pct"/>
            <w:gridSpan w:val="3"/>
            <w:vMerge/>
            <w:shd w:val="clear" w:color="auto" w:fill="auto"/>
          </w:tcPr>
          <w:p w:rsidR="003E022D" w:rsidRDefault="003E022D">
            <w:pPr>
              <w:rPr>
                <w:rFonts w:ascii="Arial" w:eastAsia="Calibri" w:hAnsi="Arial" w:cs="Arial"/>
                <w:i/>
                <w:noProof/>
                <w:sz w:val="16"/>
                <w:szCs w:val="16"/>
              </w:rPr>
            </w:pPr>
          </w:p>
        </w:tc>
      </w:tr>
      <w:tr w:rsidR="003E022D">
        <w:trPr>
          <w:trHeight w:val="150"/>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 </w:t>
            </w:r>
            <w:r>
              <w:rPr>
                <w:rFonts w:ascii="Arial" w:hAnsi="Arial"/>
                <w:noProof/>
                <w:sz w:val="16"/>
                <w:szCs w:val="16"/>
              </w:rPr>
              <w:t>Informācijas pieprasījums</w:t>
            </w:r>
          </w:p>
        </w:tc>
        <w:tc>
          <w:tcPr>
            <w:tcW w:w="2500" w:type="pct"/>
            <w:gridSpan w:val="3"/>
            <w:vMerge/>
            <w:shd w:val="clear" w:color="auto" w:fill="auto"/>
          </w:tcPr>
          <w:p w:rsidR="003E022D" w:rsidRDefault="003E022D">
            <w:pPr>
              <w:tabs>
                <w:tab w:val="left" w:pos="5655"/>
              </w:tabs>
              <w:rPr>
                <w:rFonts w:ascii="Arial" w:eastAsia="Calibri" w:hAnsi="Arial" w:cs="Arial"/>
                <w:i/>
                <w:noProof/>
                <w:sz w:val="16"/>
                <w:szCs w:val="16"/>
              </w:rPr>
            </w:pPr>
          </w:p>
        </w:tc>
      </w:tr>
      <w:tr w:rsidR="003E022D">
        <w:trPr>
          <w:trHeight w:val="150"/>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 </w:t>
            </w:r>
            <w:r>
              <w:rPr>
                <w:rFonts w:ascii="Arial" w:hAnsi="Arial"/>
                <w:noProof/>
                <w:sz w:val="16"/>
                <w:szCs w:val="16"/>
              </w:rPr>
              <w:t>“Pazudušā tirgotāja” krāpnieciska darbība - Reģistrācijas kontrole / Darījumdarbība</w:t>
            </w:r>
          </w:p>
        </w:tc>
        <w:tc>
          <w:tcPr>
            <w:tcW w:w="2500" w:type="pct"/>
            <w:gridSpan w:val="3"/>
            <w:vMerge/>
            <w:shd w:val="clear" w:color="auto" w:fill="auto"/>
          </w:tcPr>
          <w:p w:rsidR="003E022D" w:rsidRDefault="003E022D">
            <w:pPr>
              <w:tabs>
                <w:tab w:val="left" w:pos="5655"/>
              </w:tabs>
              <w:rPr>
                <w:rFonts w:eastAsia="Calibri"/>
                <w:i/>
                <w:noProof/>
              </w:rPr>
            </w:pPr>
          </w:p>
        </w:tc>
      </w:tr>
      <w:tr w:rsidR="003E022D">
        <w:trPr>
          <w:trHeight w:val="107"/>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 </w:t>
            </w:r>
            <w:r>
              <w:rPr>
                <w:rFonts w:ascii="Arial" w:hAnsi="Arial"/>
                <w:noProof/>
                <w:sz w:val="16"/>
                <w:szCs w:val="16"/>
              </w:rPr>
              <w:t>Spontāna informācijas sniegšana</w:t>
            </w:r>
          </w:p>
        </w:tc>
        <w:tc>
          <w:tcPr>
            <w:tcW w:w="2500" w:type="pct"/>
            <w:gridSpan w:val="3"/>
            <w:vMerge w:val="restart"/>
            <w:shd w:val="clear" w:color="auto" w:fill="auto"/>
          </w:tcPr>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tc>
      </w:tr>
      <w:tr w:rsidR="003E022D">
        <w:trPr>
          <w:trHeight w:val="105"/>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 </w:t>
            </w:r>
            <w:r>
              <w:rPr>
                <w:rFonts w:ascii="Arial" w:hAnsi="Arial"/>
                <w:noProof/>
                <w:sz w:val="16"/>
                <w:szCs w:val="16"/>
              </w:rPr>
              <w:t>Pieprasīta atsauksme par spontānu informāciju</w:t>
            </w:r>
          </w:p>
        </w:tc>
        <w:tc>
          <w:tcPr>
            <w:tcW w:w="2500" w:type="pct"/>
            <w:gridSpan w:val="3"/>
            <w:vMerge/>
            <w:shd w:val="clear" w:color="auto" w:fill="auto"/>
          </w:tcPr>
          <w:p w:rsidR="003E022D" w:rsidRDefault="003E022D">
            <w:pPr>
              <w:rPr>
                <w:rFonts w:eastAsia="Calibri"/>
                <w:i/>
                <w:noProof/>
                <w:lang w:eastAsia="en-GB"/>
              </w:rPr>
            </w:pPr>
          </w:p>
        </w:tc>
      </w:tr>
      <w:tr w:rsidR="003E022D">
        <w:trPr>
          <w:trHeight w:val="509"/>
          <w:jc w:val="center"/>
        </w:trPr>
        <w:tc>
          <w:tcPr>
            <w:tcW w:w="2500" w:type="pct"/>
            <w:gridSpan w:val="2"/>
            <w:vMerge w:val="restart"/>
            <w:tcBorders>
              <w:bottom w:val="single" w:sz="4" w:space="0" w:color="auto"/>
            </w:tcBorders>
            <w:shd w:val="clear" w:color="auto" w:fill="auto"/>
          </w:tcPr>
          <w:p w:rsidR="003E022D" w:rsidRDefault="007D19D6">
            <w:pPr>
              <w:tabs>
                <w:tab w:val="left" w:pos="5655"/>
              </w:tabs>
              <w:rPr>
                <w:rFonts w:eastAsia="Calibri"/>
                <w:noProof/>
              </w:rPr>
            </w:pPr>
            <w:r>
              <w:rPr>
                <w:noProof/>
              </w:rPr>
              <w:t xml:space="preserve"> </w:t>
            </w:r>
          </w:p>
          <w:p w:rsidR="003E022D" w:rsidRDefault="007D19D6">
            <w:pPr>
              <w:tabs>
                <w:tab w:val="left" w:pos="5655"/>
              </w:tabs>
              <w:rPr>
                <w:rFonts w:eastAsia="Calibri"/>
                <w:noProof/>
              </w:rPr>
            </w:pPr>
            <w:r>
              <w:rPr>
                <w:noProof/>
              </w:rPr>
              <w:t xml:space="preserve"> </w:t>
            </w:r>
          </w:p>
          <w:p w:rsidR="003E022D" w:rsidRDefault="007D19D6">
            <w:pPr>
              <w:tabs>
                <w:tab w:val="left" w:pos="5655"/>
              </w:tabs>
              <w:rPr>
                <w:rFonts w:eastAsia="Calibri"/>
                <w:noProof/>
              </w:rPr>
            </w:pPr>
            <w:r>
              <w:rPr>
                <w:noProof/>
              </w:rPr>
              <w:t xml:space="preserve"> </w:t>
            </w:r>
          </w:p>
        </w:tc>
        <w:tc>
          <w:tcPr>
            <w:tcW w:w="2500" w:type="pct"/>
            <w:gridSpan w:val="3"/>
            <w:vMerge/>
            <w:tcBorders>
              <w:bottom w:val="single" w:sz="4" w:space="0" w:color="auto"/>
            </w:tcBorders>
            <w:shd w:val="clear" w:color="auto" w:fill="auto"/>
          </w:tcPr>
          <w:p w:rsidR="003E022D" w:rsidRDefault="003E022D">
            <w:pPr>
              <w:rPr>
                <w:rFonts w:eastAsia="Calibri"/>
                <w:i/>
                <w:noProof/>
                <w:lang w:eastAsia="en-GB"/>
              </w:rPr>
            </w:pPr>
          </w:p>
        </w:tc>
      </w:tr>
      <w:tr w:rsidR="003E022D">
        <w:trPr>
          <w:jc w:val="center"/>
        </w:trPr>
        <w:tc>
          <w:tcPr>
            <w:tcW w:w="2500" w:type="pct"/>
            <w:gridSpan w:val="2"/>
            <w:vMerge/>
            <w:tcBorders>
              <w:bottom w:val="single" w:sz="4" w:space="0" w:color="auto"/>
            </w:tcBorders>
            <w:shd w:val="clear" w:color="auto" w:fill="auto"/>
          </w:tcPr>
          <w:p w:rsidR="003E022D" w:rsidRDefault="003E022D">
            <w:pPr>
              <w:tabs>
                <w:tab w:val="left" w:pos="5655"/>
              </w:tabs>
              <w:rPr>
                <w:rFonts w:ascii="Arial" w:eastAsia="Calibri" w:hAnsi="Arial" w:cs="Arial"/>
                <w:noProof/>
                <w:sz w:val="16"/>
                <w:szCs w:val="16"/>
              </w:rPr>
            </w:pPr>
          </w:p>
        </w:tc>
        <w:tc>
          <w:tcPr>
            <w:tcW w:w="2500" w:type="pct"/>
            <w:gridSpan w:val="3"/>
            <w:tcBorders>
              <w:bottom w:val="single" w:sz="4" w:space="0" w:color="auto"/>
            </w:tcBorders>
            <w:shd w:val="clear" w:color="auto" w:fill="auto"/>
          </w:tcPr>
          <w:p w:rsidR="003E022D" w:rsidRDefault="007D19D6">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9776" behindDoc="0" locked="0" layoutInCell="1" allowOverlap="1">
                      <wp:simplePos x="0" y="0"/>
                      <wp:positionH relativeFrom="page">
                        <wp:posOffset>6069330</wp:posOffset>
                      </wp:positionH>
                      <wp:positionV relativeFrom="page">
                        <wp:posOffset>9094470</wp:posOffset>
                      </wp:positionV>
                      <wp:extent cx="889000" cy="127000"/>
                      <wp:effectExtent l="0" t="0" r="25400"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4F15D" id="Rectangle 124" o:spid="_x0000_s1026" style="position:absolute;margin-left:477.9pt;margin-top:716.1pt;width:70pt;height:1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" fillcolor="window" strokecolor="windowText" strokeweight=".25pt">
                      <v:path arrowok="t"/>
                      <w10:wrap anchorx="page" anchory="page"/>
                    </v:rect>
                  </w:pict>
                </mc:Fallback>
              </mc:AlternateContent>
            </w:r>
            <w:r>
              <w:rPr>
                <w:i/>
                <w:noProof/>
              </w:rPr>
              <w:t xml:space="preserve">□ </w:t>
            </w:r>
            <w:r>
              <w:rPr>
                <w:rFonts w:ascii="Arial" w:hAnsi="Arial"/>
                <w:i/>
                <w:noProof/>
                <w:sz w:val="16"/>
                <w:szCs w:val="16"/>
              </w:rPr>
              <w:t>Gaidāmais</w:t>
            </w:r>
            <w:r>
              <w:rPr>
                <w:rFonts w:ascii="Arial" w:hAnsi="Arial"/>
                <w:i/>
                <w:noProof/>
                <w:sz w:val="16"/>
                <w:szCs w:val="16"/>
              </w:rPr>
              <w:t xml:space="preserve"> atbildes laiks:</w:t>
            </w:r>
          </w:p>
        </w:tc>
      </w:tr>
      <w:tr w:rsidR="003E022D">
        <w:trPr>
          <w:trHeight w:val="1726"/>
          <w:jc w:val="center"/>
        </w:trPr>
        <w:tc>
          <w:tcPr>
            <w:tcW w:w="2500" w:type="pct"/>
            <w:gridSpan w:val="2"/>
            <w:tcBorders>
              <w:bottom w:val="nil"/>
            </w:tcBorders>
            <w:shd w:val="clear" w:color="auto" w:fill="auto"/>
          </w:tcPr>
          <w:p w:rsidR="003E022D" w:rsidRDefault="003E022D">
            <w:pPr>
              <w:tabs>
                <w:tab w:val="left" w:pos="5655"/>
              </w:tabs>
              <w:rPr>
                <w:rFonts w:ascii="Arial" w:eastAsia="Calibri" w:hAnsi="Arial" w:cs="Arial"/>
                <w:noProof/>
                <w:sz w:val="16"/>
                <w:szCs w:val="16"/>
              </w:rPr>
            </w:pPr>
          </w:p>
        </w:tc>
        <w:tc>
          <w:tcPr>
            <w:tcW w:w="2500" w:type="pct"/>
            <w:gridSpan w:val="3"/>
            <w:tcBorders>
              <w:bottom w:val="nil"/>
            </w:tcBorders>
            <w:shd w:val="clear" w:color="auto" w:fill="auto"/>
          </w:tcPr>
          <w:p w:rsidR="003E022D" w:rsidRDefault="007D19D6">
            <w:pPr>
              <w:rPr>
                <w:rFonts w:ascii="Arial" w:eastAsia="Calibri" w:hAnsi="Arial" w:cs="Arial"/>
                <w:i/>
                <w:noProof/>
                <w:sz w:val="16"/>
                <w:szCs w:val="16"/>
              </w:rPr>
            </w:pPr>
            <w:r>
              <w:rPr>
                <w:i/>
                <w:noProof/>
              </w:rPr>
              <w:t xml:space="preserve">□ </w:t>
            </w:r>
            <w:r>
              <w:rPr>
                <w:rFonts w:ascii="Arial" w:hAnsi="Arial"/>
                <w:i/>
                <w:noProof/>
                <w:sz w:val="16"/>
                <w:szCs w:val="16"/>
              </w:rPr>
              <w:t>Valsts pieprasījuma saņēmēja iestāde atļauj nosūtīt informāciju citai valstij (Protokola par administratīvo sadarbību un krāpšanas apkarošanu pievienotās vērtības nodokļa jomā un par savstarpēju palīdzību prasījumu piedziņā saistībā ar</w:t>
            </w:r>
            <w:r>
              <w:rPr>
                <w:rFonts w:ascii="Arial" w:hAnsi="Arial"/>
                <w:i/>
                <w:noProof/>
                <w:sz w:val="16"/>
                <w:szCs w:val="16"/>
              </w:rPr>
              <w:t xml:space="preserve"> nodokļiem un nodevām 6. panta 6. punkts)</w:t>
            </w:r>
          </w:p>
          <w:p w:rsidR="003E022D" w:rsidRDefault="007D19D6">
            <w:pPr>
              <w:rPr>
                <w:rFonts w:ascii="Arial" w:eastAsia="Calibri" w:hAnsi="Arial" w:cs="Arial"/>
                <w:i/>
                <w:noProof/>
                <w:sz w:val="16"/>
                <w:szCs w:val="16"/>
              </w:rPr>
            </w:pPr>
            <w:r>
              <w:rPr>
                <w:i/>
                <w:noProof/>
              </w:rPr>
              <w:t xml:space="preserve">□ </w:t>
            </w:r>
            <w:r>
              <w:rPr>
                <w:rFonts w:ascii="Arial" w:hAnsi="Arial"/>
                <w:i/>
                <w:noProof/>
                <w:sz w:val="16"/>
                <w:szCs w:val="16"/>
              </w:rPr>
              <w:t>Pieprasīta atsauksme par atbildi</w:t>
            </w:r>
          </w:p>
        </w:tc>
      </w:tr>
      <w:tr w:rsidR="003E022D">
        <w:trPr>
          <w:jc w:val="center"/>
        </w:trPr>
        <w:tc>
          <w:tcPr>
            <w:tcW w:w="5000" w:type="pct"/>
            <w:gridSpan w:val="5"/>
            <w:tcBorders>
              <w:top w:val="nil"/>
            </w:tcBorders>
            <w:shd w:val="clear" w:color="auto" w:fill="auto"/>
          </w:tcPr>
          <w:p w:rsidR="003E022D" w:rsidRDefault="007D19D6">
            <w:pPr>
              <w:rPr>
                <w:rFonts w:ascii="Arial" w:eastAsia="Calibri" w:hAnsi="Arial" w:cs="Arial"/>
                <w:noProof/>
                <w:sz w:val="16"/>
                <w:szCs w:val="16"/>
              </w:rPr>
            </w:pPr>
            <w:r>
              <w:rPr>
                <w:rFonts w:ascii="Arial" w:hAnsi="Arial"/>
                <w:noProof/>
                <w:sz w:val="16"/>
                <w:szCs w:val="16"/>
              </w:rPr>
              <w:t xml:space="preserve">Saskaņā ar Protokola par administratīvo sadarbību un krāpšanas apkarošanu pievienotās vērtības nodokļa jomā un par savstarpēju palīdzību prasījumu piedziņā saistībā ar nodokļiem </w:t>
            </w:r>
            <w:r>
              <w:rPr>
                <w:rFonts w:ascii="Arial" w:hAnsi="Arial"/>
                <w:noProof/>
                <w:sz w:val="16"/>
                <w:szCs w:val="16"/>
              </w:rPr>
              <w:t>un nodevām 6. panta 4. punktu valsts, kas sniedz informāciju, pamatojoties uz motivētu pieprasījumu, ļauj izmantot saņemto informāciju mērķiem, kas nav minēti protokola 2. panta 1. punktā.</w:t>
            </w:r>
          </w:p>
        </w:tc>
      </w:tr>
      <w:tr w:rsidR="003E022D">
        <w:trPr>
          <w:jc w:val="center"/>
        </w:trPr>
        <w:tc>
          <w:tcPr>
            <w:tcW w:w="5000" w:type="pct"/>
            <w:gridSpan w:val="5"/>
            <w:shd w:val="clear" w:color="auto" w:fill="auto"/>
          </w:tcPr>
          <w:p w:rsidR="003E022D" w:rsidRDefault="007D19D6">
            <w:pPr>
              <w:rPr>
                <w:rFonts w:ascii="Arial" w:eastAsia="Calibri" w:hAnsi="Arial" w:cs="Arial"/>
                <w:b/>
                <w:noProof/>
                <w:sz w:val="16"/>
                <w:szCs w:val="16"/>
              </w:rPr>
            </w:pPr>
            <w:r>
              <w:rPr>
                <w:noProof/>
              </w:rPr>
              <w:br w:type="page"/>
            </w:r>
            <w:r>
              <w:rPr>
                <w:rFonts w:ascii="Arial" w:hAnsi="Arial"/>
                <w:b/>
                <w:noProof/>
                <w:sz w:val="16"/>
                <w:szCs w:val="16"/>
              </w:rPr>
              <w:t>B) VISPĀRĪGAS INFORMĀCIJAS PIEPRASĪJUMS</w:t>
            </w:r>
          </w:p>
        </w:tc>
      </w:tr>
      <w:tr w:rsidR="003E022D">
        <w:trPr>
          <w:jc w:val="center"/>
        </w:trPr>
        <w:tc>
          <w:tcPr>
            <w:tcW w:w="1667" w:type="pct"/>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Pieprasītāja iestāde</w:t>
            </w:r>
          </w:p>
        </w:tc>
        <w:tc>
          <w:tcPr>
            <w:tcW w:w="1667" w:type="pct"/>
            <w:gridSpan w:val="2"/>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Pieprasījuma saņēmēja iestāde</w:t>
            </w:r>
          </w:p>
        </w:tc>
        <w:tc>
          <w:tcPr>
            <w:tcW w:w="1666" w:type="pct"/>
            <w:gridSpan w:val="2"/>
            <w:shd w:val="clear" w:color="auto" w:fill="auto"/>
          </w:tcPr>
          <w:p w:rsidR="003E022D" w:rsidRDefault="007D19D6">
            <w:pPr>
              <w:rPr>
                <w:rFonts w:ascii="Arial" w:eastAsia="Calibri" w:hAnsi="Arial" w:cs="Arial"/>
                <w:b/>
                <w:i/>
                <w:noProof/>
                <w:sz w:val="16"/>
                <w:szCs w:val="16"/>
              </w:rPr>
            </w:pPr>
            <w:r>
              <w:rPr>
                <w:rFonts w:ascii="Arial" w:hAnsi="Arial"/>
                <w:b/>
                <w:i/>
                <w:noProof/>
                <w:sz w:val="16"/>
                <w:szCs w:val="16"/>
              </w:rPr>
              <w:t>Pieprasījuma saņēmēja iestāde</w:t>
            </w:r>
            <w:r>
              <w:rPr>
                <w:rFonts w:ascii="Arial" w:eastAsia="Calibri" w:hAnsi="Arial" w:cs="Arial"/>
                <w:b/>
                <w:i/>
                <w:noProof/>
                <w:sz w:val="16"/>
                <w:szCs w:val="16"/>
                <w:vertAlign w:val="superscript"/>
              </w:rPr>
              <w:footnoteReference w:id="148"/>
            </w: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B1. PVN identifikācijas numurs (ja nav, tad nodokļa maksātāja identifikācijas numurs)</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7D19D6">
            <w:pPr>
              <w:rPr>
                <w:rFonts w:ascii="Arial" w:eastAsia="Calibri" w:hAnsi="Arial" w:cs="Arial"/>
                <w:noProof/>
                <w:sz w:val="16"/>
                <w:szCs w:val="16"/>
              </w:rPr>
            </w:pPr>
            <w:r>
              <w:rPr>
                <w:rFonts w:ascii="Arial" w:hAnsi="Arial"/>
                <w:noProof/>
                <w:sz w:val="16"/>
                <w:szCs w:val="16"/>
              </w:rPr>
              <w:t>PVN identifikācijas numurs:</w:t>
            </w:r>
          </w:p>
        </w:tc>
        <w:tc>
          <w:tcPr>
            <w:tcW w:w="1667" w:type="pct"/>
            <w:gridSpan w:val="2"/>
            <w:shd w:val="clear" w:color="auto" w:fill="auto"/>
          </w:tcPr>
          <w:p w:rsidR="003E022D" w:rsidRDefault="007D19D6">
            <w:pPr>
              <w:spacing w:after="0"/>
              <w:rPr>
                <w:rFonts w:ascii="Arial" w:eastAsia="Calibri" w:hAnsi="Arial" w:cs="Arial"/>
                <w:noProof/>
                <w:sz w:val="16"/>
                <w:szCs w:val="16"/>
              </w:rPr>
            </w:pPr>
            <w:r>
              <w:rPr>
                <w:rFonts w:ascii="Arial" w:hAnsi="Arial"/>
                <w:noProof/>
                <w:sz w:val="16"/>
                <w:szCs w:val="16"/>
              </w:rPr>
              <w:t xml:space="preserve">B1. PVN identifikācijas numurs (ja nav, tad nodokļa maksātāja identifikācijas </w:t>
            </w:r>
            <w:r>
              <w:rPr>
                <w:rFonts w:ascii="Arial" w:hAnsi="Arial"/>
                <w:noProof/>
                <w:sz w:val="16"/>
                <w:szCs w:val="16"/>
              </w:rPr>
              <w:t>numurs)</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3E022D">
            <w:pPr>
              <w:rPr>
                <w:rFonts w:ascii="Arial" w:eastAsia="Calibri" w:hAnsi="Arial" w:cs="Arial"/>
                <w:noProof/>
                <w:sz w:val="16"/>
                <w:szCs w:val="16"/>
              </w:rPr>
            </w:pPr>
          </w:p>
          <w:p w:rsidR="003E022D" w:rsidRDefault="007D19D6">
            <w:pPr>
              <w:rPr>
                <w:rFonts w:ascii="Arial" w:eastAsia="Calibri" w:hAnsi="Arial" w:cs="Arial"/>
                <w:noProof/>
                <w:sz w:val="16"/>
                <w:szCs w:val="16"/>
              </w:rPr>
            </w:pPr>
            <w:r>
              <w:rPr>
                <w:rFonts w:ascii="Arial" w:hAnsi="Arial"/>
                <w:noProof/>
                <w:sz w:val="16"/>
                <w:szCs w:val="16"/>
              </w:rPr>
              <w:t>PVN identifikācijas numurs:</w:t>
            </w: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rPr>
                <w:rFonts w:ascii="Arial" w:eastAsia="Calibri" w:hAnsi="Arial" w:cs="Arial"/>
                <w:i/>
                <w:noProof/>
                <w:sz w:val="16"/>
                <w:szCs w:val="16"/>
              </w:rPr>
            </w:pPr>
            <w:r>
              <w:rPr>
                <w:rFonts w:ascii="Arial" w:hAnsi="Arial"/>
                <w:i/>
                <w:noProof/>
                <w:sz w:val="16"/>
                <w:szCs w:val="16"/>
              </w:rPr>
              <w:t>PVN identifikācijas numurs:</w:t>
            </w:r>
          </w:p>
        </w:tc>
      </w:tr>
      <w:tr w:rsidR="003E022D">
        <w:trPr>
          <w:jc w:val="center"/>
        </w:trPr>
        <w:tc>
          <w:tcPr>
            <w:tcW w:w="1667" w:type="pct"/>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PVN identifikācijas numurs nav pieejams</w:t>
            </w:r>
          </w:p>
        </w:tc>
        <w:tc>
          <w:tcPr>
            <w:tcW w:w="1667" w:type="pct"/>
            <w:gridSpan w:val="2"/>
            <w:shd w:val="clear" w:color="auto" w:fill="auto"/>
          </w:tcPr>
          <w:p w:rsidR="003E022D" w:rsidRDefault="007D19D6">
            <w:pPr>
              <w:rPr>
                <w:rFonts w:ascii="Arial" w:eastAsia="Calibri" w:hAnsi="Arial" w:cs="Arial"/>
                <w:b/>
                <w:noProof/>
                <w:sz w:val="16"/>
                <w:szCs w:val="16"/>
              </w:rPr>
            </w:pPr>
            <w:r>
              <w:rPr>
                <w:noProof/>
              </w:rPr>
              <w:t xml:space="preserve">□ </w:t>
            </w:r>
            <w:r>
              <w:rPr>
                <w:rFonts w:ascii="Arial" w:hAnsi="Arial"/>
                <w:noProof/>
                <w:sz w:val="16"/>
                <w:szCs w:val="16"/>
              </w:rPr>
              <w:t>PVN identifikācijas numurs nav pieejams</w:t>
            </w:r>
          </w:p>
        </w:tc>
        <w:tc>
          <w:tcPr>
            <w:tcW w:w="1666" w:type="pct"/>
            <w:gridSpan w:val="2"/>
            <w:shd w:val="clear" w:color="auto" w:fill="auto"/>
          </w:tcPr>
          <w:p w:rsidR="003E022D" w:rsidRDefault="007D19D6">
            <w:pPr>
              <w:rPr>
                <w:rFonts w:ascii="Arial" w:eastAsia="Calibri" w:hAnsi="Arial" w:cs="Arial"/>
                <w:i/>
                <w:noProof/>
                <w:sz w:val="16"/>
                <w:szCs w:val="16"/>
              </w:rPr>
            </w:pPr>
            <w:r>
              <w:rPr>
                <w:i/>
                <w:noProof/>
              </w:rPr>
              <w:t xml:space="preserve">□ </w:t>
            </w:r>
            <w:r>
              <w:rPr>
                <w:rFonts w:ascii="Arial" w:hAnsi="Arial"/>
                <w:i/>
                <w:noProof/>
                <w:sz w:val="16"/>
                <w:szCs w:val="16"/>
              </w:rPr>
              <w:t>PVN identifikācijas numurs nav pieejams</w:t>
            </w:r>
          </w:p>
        </w:tc>
      </w:tr>
      <w:tr w:rsidR="003E022D">
        <w:trPr>
          <w:jc w:val="center"/>
        </w:trPr>
        <w:tc>
          <w:tcPr>
            <w:tcW w:w="1667" w:type="pct"/>
            <w:shd w:val="clear" w:color="auto" w:fill="auto"/>
          </w:tcPr>
          <w:p w:rsidR="003E022D" w:rsidRDefault="007D19D6">
            <w:pPr>
              <w:rPr>
                <w:rFonts w:eastAsia="Calibri"/>
                <w:noProof/>
              </w:rPr>
            </w:pPr>
            <w:r>
              <w:rPr>
                <w:rFonts w:ascii="Arial" w:hAnsi="Arial"/>
                <w:noProof/>
                <w:sz w:val="16"/>
                <w:szCs w:val="16"/>
              </w:rPr>
              <w:t>Nodokļa maksātāja identifikācijas numurs:</w:t>
            </w:r>
            <w:r>
              <w:rPr>
                <w:noProof/>
              </w:rPr>
              <w:t xml:space="preserve"> </w:t>
            </w: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eastAsia="Calibri"/>
                <w:noProof/>
              </w:rPr>
            </w:pPr>
            <w:r>
              <w:rPr>
                <w:rFonts w:ascii="Arial" w:hAnsi="Arial"/>
                <w:noProof/>
                <w:sz w:val="16"/>
                <w:szCs w:val="16"/>
              </w:rPr>
              <w:t>Nodokļa maksātāja identifikācijas numurs:</w:t>
            </w:r>
            <w:r>
              <w:rPr>
                <w:noProof/>
              </w:rPr>
              <w:t xml:space="preserve"> </w:t>
            </w: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7D19D6">
            <w:pPr>
              <w:rPr>
                <w:rFonts w:eastAsia="Calibri"/>
                <w:i/>
                <w:noProof/>
              </w:rPr>
            </w:pPr>
            <w:r>
              <w:rPr>
                <w:rFonts w:ascii="Arial" w:hAnsi="Arial"/>
                <w:i/>
                <w:noProof/>
                <w:sz w:val="16"/>
                <w:szCs w:val="16"/>
              </w:rPr>
              <w:t>Nodokļa maksātāja identifikācijas numurs:</w:t>
            </w:r>
            <w:r>
              <w:rPr>
                <w:i/>
                <w:noProof/>
              </w:rPr>
              <w:t xml:space="preserve"> </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B2. Vārds, uzvārds</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B2. Vārds, uzvārds</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3E022D">
            <w:pPr>
              <w:tabs>
                <w:tab w:val="left" w:pos="5655"/>
              </w:tabs>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rPr>
                <w:rFonts w:ascii="Arial" w:eastAsia="Calibri" w:hAnsi="Arial" w:cs="Arial"/>
                <w:i/>
                <w:noProof/>
                <w:sz w:val="16"/>
                <w:szCs w:val="16"/>
              </w:rPr>
            </w:pPr>
            <w:r>
              <w:rPr>
                <w:rFonts w:ascii="Arial" w:hAnsi="Arial"/>
                <w:i/>
                <w:noProof/>
                <w:sz w:val="16"/>
                <w:szCs w:val="16"/>
              </w:rPr>
              <w:t>Vārds, uzvārds:</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B3. Uzņēmuma nosaukums</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B3. Uzņēmuma nosaukums</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3E022D">
            <w:pPr>
              <w:tabs>
                <w:tab w:val="left" w:pos="5655"/>
              </w:tabs>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rPr>
                <w:rFonts w:ascii="Arial" w:eastAsia="Calibri" w:hAnsi="Arial" w:cs="Arial"/>
                <w:i/>
                <w:noProof/>
                <w:sz w:val="16"/>
                <w:szCs w:val="16"/>
              </w:rPr>
            </w:pPr>
            <w:r>
              <w:rPr>
                <w:rFonts w:ascii="Arial" w:hAnsi="Arial"/>
                <w:i/>
                <w:noProof/>
                <w:sz w:val="16"/>
                <w:szCs w:val="16"/>
              </w:rPr>
              <w:t>Uzņēmuma nosaukums:</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B4. Adrese</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B4. Adrese</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3E022D">
            <w:pPr>
              <w:tabs>
                <w:tab w:val="left" w:pos="5655"/>
              </w:tabs>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rPr>
                <w:rFonts w:ascii="Arial" w:eastAsia="Calibri" w:hAnsi="Arial" w:cs="Arial"/>
                <w:i/>
                <w:noProof/>
                <w:sz w:val="16"/>
                <w:szCs w:val="16"/>
              </w:rPr>
            </w:pPr>
            <w:r>
              <w:rPr>
                <w:rFonts w:ascii="Arial" w:hAnsi="Arial"/>
                <w:i/>
                <w:noProof/>
                <w:sz w:val="16"/>
                <w:szCs w:val="16"/>
              </w:rPr>
              <w:t>Adrese:</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eastAsia="Calibri"/>
                <w:noProof/>
              </w:rPr>
            </w:pPr>
            <w:r>
              <w:rPr>
                <w:rFonts w:ascii="Arial" w:hAnsi="Arial"/>
                <w:noProof/>
                <w:sz w:val="16"/>
                <w:szCs w:val="16"/>
              </w:rPr>
              <w:t xml:space="preserve">B5. Šādi datumi formātā </w:t>
            </w:r>
            <w:r>
              <w:rPr>
                <w:rFonts w:ascii="Arial" w:hAnsi="Arial"/>
                <w:noProof/>
                <w:sz w:val="16"/>
                <w:szCs w:val="16"/>
              </w:rPr>
              <w:t>(GGGG/MM/DD):</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B5. Šādi datumi formātā (GGGG/MM/DD):</w:t>
            </w:r>
          </w:p>
          <w:p w:rsidR="003E022D" w:rsidRDefault="007D19D6">
            <w:pPr>
              <w:spacing w:after="0"/>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spacing w:after="0"/>
              <w:rPr>
                <w:rFonts w:ascii="Arial" w:eastAsia="Calibri" w:hAnsi="Arial" w:cs="Arial"/>
                <w:b/>
                <w:noProof/>
                <w:sz w:val="16"/>
                <w:szCs w:val="16"/>
              </w:rPr>
            </w:pPr>
            <w:r>
              <w:rPr>
                <w:noProof/>
              </w:rPr>
              <w:t xml:space="preserve">○ </w:t>
            </w:r>
            <w:r>
              <w:rPr>
                <w:rFonts w:ascii="Arial" w:hAnsi="Arial"/>
                <w:noProof/>
                <w:sz w:val="16"/>
                <w:szCs w:val="16"/>
              </w:rPr>
              <w:t>Apstiprināt</w:t>
            </w: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tc>
      </w:tr>
      <w:tr w:rsidR="003E022D">
        <w:trPr>
          <w:trHeight w:val="135"/>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a) kad piešķirts PVN / nodokļa maksātāja identifikācijas numurs</w:t>
            </w: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a) kad piešķirts PVN / nodokļa maksātāja identifikācijas numurs</w:t>
            </w: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 xml:space="preserve">a) kad </w:t>
            </w:r>
            <w:r>
              <w:rPr>
                <w:rFonts w:ascii="Arial" w:hAnsi="Arial"/>
                <w:i/>
                <w:noProof/>
                <w:sz w:val="16"/>
                <w:szCs w:val="16"/>
              </w:rPr>
              <w:t>piešķirts PVN / nodokļa maksātāja identifikācijas numurs</w:t>
            </w:r>
          </w:p>
          <w:p w:rsidR="003E022D" w:rsidRDefault="003E022D">
            <w:pPr>
              <w:rPr>
                <w:rFonts w:ascii="Arial" w:eastAsia="Calibri" w:hAnsi="Arial" w:cs="Arial"/>
                <w:i/>
                <w:noProof/>
                <w:sz w:val="16"/>
                <w:szCs w:val="16"/>
              </w:rPr>
            </w:pPr>
          </w:p>
        </w:tc>
      </w:tr>
      <w:tr w:rsidR="003E022D">
        <w:trPr>
          <w:trHeight w:val="134"/>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kad anulēts PVN / nodokļa maksātāja identifikācijas numurs</w:t>
            </w: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 kad anulēts PVN / nodokļa maksātāja identifikācijas numurs</w:t>
            </w: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b) kad anulēts PVN / nodokļa maksātāja identifikācijas numurs</w:t>
            </w:r>
          </w:p>
          <w:p w:rsidR="003E022D" w:rsidRDefault="003E022D">
            <w:pPr>
              <w:rPr>
                <w:rFonts w:ascii="Arial" w:eastAsia="Calibri" w:hAnsi="Arial" w:cs="Arial"/>
                <w:i/>
                <w:noProof/>
                <w:sz w:val="16"/>
                <w:szCs w:val="16"/>
              </w:rPr>
            </w:pPr>
          </w:p>
        </w:tc>
      </w:tr>
      <w:tr w:rsidR="003E022D">
        <w:trPr>
          <w:trHeight w:val="135"/>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 xml:space="preserve">c) </w:t>
            </w:r>
            <w:r>
              <w:rPr>
                <w:rFonts w:ascii="Arial" w:hAnsi="Arial"/>
                <w:noProof/>
                <w:sz w:val="16"/>
                <w:szCs w:val="16"/>
              </w:rPr>
              <w:t>inkorporācijas datums</w:t>
            </w: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c) inkorporācijas datums</w:t>
            </w: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c) inkorporācijas datums</w:t>
            </w:r>
          </w:p>
          <w:p w:rsidR="003E022D" w:rsidRDefault="003E022D">
            <w:pPr>
              <w:rPr>
                <w:rFonts w:ascii="Arial" w:eastAsia="Calibri" w:hAnsi="Arial" w:cs="Arial"/>
                <w:i/>
                <w:noProof/>
                <w:sz w:val="16"/>
                <w:szCs w:val="16"/>
              </w:rPr>
            </w:pPr>
          </w:p>
        </w:tc>
      </w:tr>
      <w:tr w:rsidR="003E022D">
        <w:trPr>
          <w:trHeight w:val="135"/>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B6. Datums, kad sākta darbība</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B6. Datums, kad sākta darbība</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7D19D6">
            <w:pPr>
              <w:rPr>
                <w:rFonts w:ascii="Arial" w:eastAsia="Calibri" w:hAnsi="Arial" w:cs="Arial"/>
                <w:noProof/>
                <w:sz w:val="16"/>
                <w:szCs w:val="16"/>
              </w:rPr>
            </w:pPr>
            <w:r>
              <w:rPr>
                <w:rFonts w:ascii="Arial" w:hAnsi="Arial"/>
                <w:noProof/>
                <w:sz w:val="16"/>
                <w:szCs w:val="16"/>
              </w:rPr>
              <w:t>Datums, kad sākta darbība</w:t>
            </w: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rPr>
                <w:rFonts w:ascii="Arial" w:eastAsia="Calibri" w:hAnsi="Arial" w:cs="Arial"/>
                <w:i/>
                <w:noProof/>
                <w:sz w:val="16"/>
                <w:szCs w:val="16"/>
              </w:rPr>
            </w:pPr>
            <w:r>
              <w:rPr>
                <w:rFonts w:ascii="Arial" w:hAnsi="Arial"/>
                <w:i/>
                <w:noProof/>
                <w:sz w:val="16"/>
                <w:szCs w:val="16"/>
              </w:rPr>
              <w:t>Datums, kad sākta darbība</w:t>
            </w:r>
          </w:p>
          <w:p w:rsidR="003E022D" w:rsidRDefault="003E022D">
            <w:pPr>
              <w:rPr>
                <w:rFonts w:ascii="Arial" w:eastAsia="Calibri" w:hAnsi="Arial" w:cs="Arial"/>
                <w:i/>
                <w:noProof/>
                <w:sz w:val="16"/>
                <w:szCs w:val="16"/>
              </w:rPr>
            </w:pPr>
          </w:p>
        </w:tc>
      </w:tr>
      <w:tr w:rsidR="003E022D">
        <w:trPr>
          <w:trHeight w:val="135"/>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B7. Datums, kad izbeigta darbība</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B7. Datums, kad izbeigta darbība</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7D19D6">
            <w:pPr>
              <w:rPr>
                <w:rFonts w:ascii="Arial" w:eastAsia="Calibri" w:hAnsi="Arial" w:cs="Arial"/>
                <w:noProof/>
                <w:sz w:val="16"/>
                <w:szCs w:val="16"/>
              </w:rPr>
            </w:pPr>
            <w:r>
              <w:rPr>
                <w:rFonts w:ascii="Arial" w:hAnsi="Arial"/>
                <w:noProof/>
                <w:sz w:val="16"/>
                <w:szCs w:val="16"/>
              </w:rPr>
              <w:t>Datums, kad izbeigta darbība</w:t>
            </w: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rPr>
                <w:rFonts w:ascii="Arial" w:eastAsia="Calibri" w:hAnsi="Arial" w:cs="Arial"/>
                <w:i/>
                <w:noProof/>
                <w:sz w:val="16"/>
                <w:szCs w:val="16"/>
              </w:rPr>
            </w:pPr>
            <w:r>
              <w:rPr>
                <w:rFonts w:ascii="Arial" w:hAnsi="Arial"/>
                <w:i/>
                <w:noProof/>
                <w:sz w:val="16"/>
                <w:szCs w:val="16"/>
              </w:rPr>
              <w:t>Datums, kad izbeigta darbība</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8. Vadītāju/direktoru vārdi, uzvārdi</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 xml:space="preserve">B 8. Vadītāju/direktoru </w:t>
            </w:r>
            <w:r>
              <w:rPr>
                <w:rFonts w:ascii="Arial" w:hAnsi="Arial"/>
                <w:noProof/>
                <w:sz w:val="16"/>
                <w:szCs w:val="16"/>
              </w:rPr>
              <w:t>vārdi, uzvārdi</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B9. Īpašnieku, līdzīpašnieku, partneru, starpnieku, ieinteresēto personu vai personu, kurām ir citas tiesības uzņēmumā, vārdi, uzvārdi / nosaukumi</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B9. Īpašnieku, līdzīpašnieku,</w:t>
            </w:r>
            <w:r>
              <w:rPr>
                <w:rFonts w:ascii="Arial" w:hAnsi="Arial"/>
                <w:noProof/>
                <w:sz w:val="16"/>
                <w:szCs w:val="16"/>
              </w:rPr>
              <w:t xml:space="preserve"> partneru, starpnieku, ieinteresēto personu vai personu, kurām ir citas tiesības uzņēmumā, vārdi, uzvārdi / nosaukumi</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3E022D">
            <w:pPr>
              <w:rPr>
                <w:rFonts w:ascii="Arial" w:eastAsia="Calibri" w:hAnsi="Arial" w:cs="Arial"/>
                <w:noProof/>
                <w:sz w:val="16"/>
                <w:szCs w:val="16"/>
              </w:rPr>
            </w:pPr>
          </w:p>
        </w:tc>
        <w:tc>
          <w:tcPr>
            <w:tcW w:w="1666" w:type="pct"/>
            <w:gridSpan w:val="2"/>
            <w:shd w:val="clear" w:color="auto" w:fill="auto"/>
          </w:tcPr>
          <w:p w:rsidR="003E022D" w:rsidRDefault="003E022D">
            <w:pPr>
              <w:tabs>
                <w:tab w:val="left" w:pos="5655"/>
              </w:tabs>
              <w:rPr>
                <w:rFonts w:eastAsia="Calibri"/>
                <w:i/>
                <w:noProof/>
              </w:rPr>
            </w:pPr>
          </w:p>
          <w:p w:rsidR="003E022D" w:rsidRDefault="003E022D">
            <w:pPr>
              <w:tabs>
                <w:tab w:val="left" w:pos="5655"/>
              </w:tabs>
              <w:rPr>
                <w:rFonts w:eastAsia="Calibri"/>
                <w:i/>
                <w:noProof/>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B10. Darbības veids</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B10. Darbības veids</w:t>
            </w:r>
          </w:p>
          <w:p w:rsidR="003E022D" w:rsidRDefault="003E022D">
            <w:pPr>
              <w:rPr>
                <w:rFonts w:ascii="Arial" w:eastAsia="Calibri" w:hAnsi="Arial" w:cs="Arial"/>
                <w:noProof/>
                <w:sz w:val="16"/>
                <w:szCs w:val="16"/>
              </w:rPr>
            </w:pP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Apstiprināt</w:t>
            </w: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a) Uzņēmuma juridiskais statuss</w:t>
            </w:r>
          </w:p>
          <w:p w:rsidR="003E022D" w:rsidRDefault="007D19D6">
            <w:pPr>
              <w:rPr>
                <w:rFonts w:ascii="Arial" w:eastAsia="Calibri" w:hAnsi="Arial" w:cs="Arial"/>
                <w:noProof/>
                <w:sz w:val="16"/>
                <w:szCs w:val="16"/>
              </w:rPr>
            </w:pPr>
            <w:r>
              <w:rPr>
                <w:noProof/>
              </w:rPr>
              <w:t xml:space="preserve"> </w:t>
            </w:r>
            <w:r>
              <w:rPr>
                <w:noProof/>
                <w:lang w:val="fr-BE" w:eastAsia="fr-BE"/>
              </w:rPr>
              <mc:AlternateContent>
                <mc:Choice Requires="wps">
                  <w:drawing>
                    <wp:anchor distT="0" distB="0" distL="114300" distR="114300" simplePos="0" relativeHeight="251649536" behindDoc="0" locked="0" layoutInCell="1" allowOverlap="1">
                      <wp:simplePos x="0" y="0"/>
                      <wp:positionH relativeFrom="page">
                        <wp:posOffset>629920</wp:posOffset>
                      </wp:positionH>
                      <wp:positionV relativeFrom="page">
                        <wp:posOffset>6315710</wp:posOffset>
                      </wp:positionV>
                      <wp:extent cx="2057400" cy="127000"/>
                      <wp:effectExtent l="0" t="0" r="19050" b="254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8" style="position:absolute;left:0;text-align:left;margin-left:49.6pt;margin-top:497.3pt;width:162pt;height:1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1667" w:type="pct"/>
            <w:gridSpan w:val="2"/>
            <w:shd w:val="clear" w:color="auto" w:fill="auto"/>
          </w:tcPr>
          <w:p w:rsidR="003E022D" w:rsidRDefault="007D19D6">
            <w:pPr>
              <w:rPr>
                <w:rFonts w:eastAsia="Calibri"/>
                <w:noProof/>
              </w:rPr>
            </w:pPr>
            <w:r>
              <w:rPr>
                <w:rFonts w:ascii="Arial" w:hAnsi="Arial"/>
                <w:noProof/>
                <w:sz w:val="16"/>
                <w:szCs w:val="16"/>
              </w:rPr>
              <w:t>a) Uzņēmuma juridiskais statuss</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50560" behindDoc="0" locked="0" layoutInCell="1" allowOverlap="1">
                      <wp:simplePos x="0" y="0"/>
                      <wp:positionH relativeFrom="page">
                        <wp:posOffset>2773045</wp:posOffset>
                      </wp:positionH>
                      <wp:positionV relativeFrom="page">
                        <wp:posOffset>6315710</wp:posOffset>
                      </wp:positionV>
                      <wp:extent cx="2057400" cy="127000"/>
                      <wp:effectExtent l="0" t="0" r="19050" b="2540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9" style="position:absolute;left:0;text-align:left;margin-left:218.35pt;margin-top:497.3pt;width:162pt;height:1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1666" w:type="pct"/>
            <w:gridSpan w:val="2"/>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a) Uzņēmuma juridiskais statuss</w:t>
            </w:r>
          </w:p>
          <w:p w:rsidR="003E022D" w:rsidRDefault="007D19D6">
            <w:pPr>
              <w:spacing w:after="200" w:line="276" w:lineRule="auto"/>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1584" behindDoc="0" locked="0" layoutInCell="1" allowOverlap="1">
                      <wp:simplePos x="0" y="0"/>
                      <wp:positionH relativeFrom="page">
                        <wp:posOffset>4914900</wp:posOffset>
                      </wp:positionH>
                      <wp:positionV relativeFrom="page">
                        <wp:posOffset>6315710</wp:posOffset>
                      </wp:positionV>
                      <wp:extent cx="2057400" cy="127000"/>
                      <wp:effectExtent l="0" t="0" r="19050" b="2540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30" style="position:absolute;left:0;text-align:left;margin-left:387pt;margin-top:497.3pt;width:162pt;height:1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Faktiskā galvenā darbība</w:t>
            </w:r>
            <w:r>
              <w:rPr>
                <w:rFonts w:ascii="Arial" w:eastAsia="Calibri" w:hAnsi="Arial" w:cs="Arial"/>
                <w:noProof/>
                <w:sz w:val="16"/>
                <w:szCs w:val="16"/>
                <w:vertAlign w:val="superscript"/>
              </w:rPr>
              <w:footnoteReference w:id="149"/>
            </w:r>
          </w:p>
          <w:p w:rsidR="003E022D" w:rsidRDefault="007D19D6">
            <w:pPr>
              <w:rPr>
                <w:rFonts w:ascii="Arial" w:eastAsia="Calibri" w:hAnsi="Arial" w:cs="Arial"/>
                <w:noProof/>
                <w:sz w:val="16"/>
                <w:szCs w:val="16"/>
              </w:rPr>
            </w:pPr>
            <w:r>
              <w:rPr>
                <w:noProof/>
              </w:rPr>
              <w:t xml:space="preserve"> </w:t>
            </w:r>
            <w:r>
              <w:rPr>
                <w:noProof/>
                <w:lang w:val="fr-BE" w:eastAsia="fr-BE"/>
              </w:rPr>
              <mc:AlternateContent>
                <mc:Choice Requires="wps">
                  <w:drawing>
                    <wp:anchor distT="0" distB="0" distL="114300" distR="114300" simplePos="0" relativeHeight="251652608" behindDoc="0" locked="0" layoutInCell="1" allowOverlap="1">
                      <wp:simplePos x="0" y="0"/>
                      <wp:positionH relativeFrom="page">
                        <wp:posOffset>629920</wp:posOffset>
                      </wp:positionH>
                      <wp:positionV relativeFrom="page">
                        <wp:posOffset>6776085</wp:posOffset>
                      </wp:positionV>
                      <wp:extent cx="2057400" cy="127000"/>
                      <wp:effectExtent l="0" t="0" r="19050" b="254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31" style="position:absolute;left:0;text-align:left;margin-left:49.6pt;margin-top:533.55pt;width:162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 Faktiskā galvenā darbība</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53632" behindDoc="0" locked="0" layoutInCell="1" allowOverlap="1">
                      <wp:simplePos x="0" y="0"/>
                      <wp:positionH relativeFrom="page">
                        <wp:posOffset>2773045</wp:posOffset>
                      </wp:positionH>
                      <wp:positionV relativeFrom="page">
                        <wp:posOffset>6776085</wp:posOffset>
                      </wp:positionV>
                      <wp:extent cx="2057400" cy="127000"/>
                      <wp:effectExtent l="0" t="0" r="19050" b="254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32" style="position:absolute;left:0;text-align:left;margin-left:218.35pt;margin-top:533.55pt;width:162pt;height:1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1666" w:type="pct"/>
            <w:gridSpan w:val="2"/>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b) Faktiskā galvenā darbība</w:t>
            </w:r>
          </w:p>
          <w:p w:rsidR="003E022D" w:rsidRDefault="007D19D6">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4656" behindDoc="0" locked="0" layoutInCell="1" allowOverlap="1">
                      <wp:simplePos x="0" y="0"/>
                      <wp:positionH relativeFrom="page">
                        <wp:posOffset>4914900</wp:posOffset>
                      </wp:positionH>
                      <wp:positionV relativeFrom="page">
                        <wp:posOffset>6776085</wp:posOffset>
                      </wp:positionV>
                      <wp:extent cx="2057400" cy="127000"/>
                      <wp:effectExtent l="0" t="0" r="19050" b="254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33" style="position:absolute;left:0;text-align:left;margin-left:387pt;margin-top:533.55pt;width:162pt;height:1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11. Darījuma veids</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spacing w:after="200" w:line="276" w:lineRule="auto"/>
              <w:rPr>
                <w:rFonts w:ascii="Arial" w:eastAsia="Calibri" w:hAnsi="Arial" w:cs="Arial"/>
                <w:noProof/>
                <w:sz w:val="16"/>
                <w:szCs w:val="16"/>
              </w:rPr>
            </w:pPr>
            <w:r>
              <w:rPr>
                <w:rFonts w:ascii="Arial" w:hAnsi="Arial"/>
                <w:noProof/>
                <w:sz w:val="16"/>
                <w:szCs w:val="16"/>
              </w:rPr>
              <w:t>Darījuma veids</w:t>
            </w:r>
          </w:p>
          <w:p w:rsidR="003E022D" w:rsidRDefault="007D19D6">
            <w:pPr>
              <w:spacing w:after="200" w:line="276" w:lineRule="auto"/>
              <w:rPr>
                <w:rFonts w:ascii="Arial" w:eastAsia="Calibri" w:hAnsi="Arial" w:cs="Arial"/>
                <w:noProof/>
                <w:sz w:val="16"/>
                <w:szCs w:val="16"/>
              </w:rPr>
            </w:pPr>
            <w:r>
              <w:rPr>
                <w:rFonts w:ascii="Arial" w:hAnsi="Arial"/>
                <w:noProof/>
                <w:sz w:val="16"/>
                <w:szCs w:val="16"/>
              </w:rPr>
              <w:t>B11. Iesaistītās preces / iesaistītie pakalpojumi</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7D19D6">
            <w:pPr>
              <w:spacing w:after="200" w:line="276" w:lineRule="auto"/>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55680" behindDoc="0" locked="0" layoutInCell="1" allowOverlap="1">
                      <wp:simplePos x="0" y="0"/>
                      <wp:positionH relativeFrom="page">
                        <wp:posOffset>2773045</wp:posOffset>
                      </wp:positionH>
                      <wp:positionV relativeFrom="page">
                        <wp:posOffset>7971790</wp:posOffset>
                      </wp:positionV>
                      <wp:extent cx="2057400" cy="127000"/>
                      <wp:effectExtent l="0" t="0" r="19050" b="254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34" style="position:absolute;left:0;text-align:left;margin-left:218.35pt;margin-top:627.7pt;width:162pt;height:1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1666" w:type="pct"/>
            <w:gridSpan w:val="2"/>
            <w:shd w:val="clear" w:color="auto" w:fill="auto"/>
          </w:tcPr>
          <w:p w:rsidR="003E022D" w:rsidRDefault="007D19D6">
            <w:pPr>
              <w:spacing w:after="200" w:line="276" w:lineRule="auto"/>
              <w:rPr>
                <w:rFonts w:ascii="Arial" w:eastAsia="Calibri" w:hAnsi="Arial" w:cs="Arial"/>
                <w:i/>
                <w:noProof/>
                <w:sz w:val="16"/>
                <w:szCs w:val="16"/>
              </w:rPr>
            </w:pPr>
            <w:r>
              <w:rPr>
                <w:rFonts w:ascii="Arial" w:hAnsi="Arial"/>
                <w:i/>
                <w:noProof/>
                <w:sz w:val="16"/>
                <w:szCs w:val="16"/>
              </w:rPr>
              <w:t>Darījuma veids</w:t>
            </w:r>
          </w:p>
          <w:p w:rsidR="003E022D" w:rsidRDefault="007D19D6">
            <w:pPr>
              <w:spacing w:after="200" w:line="276" w:lineRule="auto"/>
              <w:rPr>
                <w:rFonts w:ascii="Arial" w:eastAsia="Calibri" w:hAnsi="Arial" w:cs="Arial"/>
                <w:i/>
                <w:noProof/>
                <w:sz w:val="16"/>
                <w:szCs w:val="16"/>
              </w:rPr>
            </w:pPr>
            <w:r>
              <w:rPr>
                <w:rFonts w:ascii="Arial" w:hAnsi="Arial"/>
                <w:i/>
                <w:noProof/>
                <w:sz w:val="16"/>
                <w:szCs w:val="16"/>
              </w:rPr>
              <w:t>B11. Iesaistītās preces / iesaistītie pakalpojumi</w:t>
            </w: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spacing w:after="200" w:line="276" w:lineRule="auto"/>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6704" behindDoc="0" locked="0" layoutInCell="1" allowOverlap="1">
                      <wp:simplePos x="0" y="0"/>
                      <wp:positionH relativeFrom="page">
                        <wp:posOffset>4914900</wp:posOffset>
                      </wp:positionH>
                      <wp:positionV relativeFrom="page">
                        <wp:posOffset>7971790</wp:posOffset>
                      </wp:positionV>
                      <wp:extent cx="2057400" cy="127000"/>
                      <wp:effectExtent l="0" t="0" r="1905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35" style="position:absolute;left:0;text-align:left;margin-left:387pt;margin-top:627.7pt;width:162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r>
      <w:tr w:rsidR="003E022D">
        <w:trPr>
          <w:jc w:val="center"/>
        </w:trPr>
        <w:tc>
          <w:tcPr>
            <w:tcW w:w="1667" w:type="pct"/>
            <w:shd w:val="clear" w:color="auto" w:fill="auto"/>
          </w:tcPr>
          <w:p w:rsidR="003E022D" w:rsidRDefault="007D19D6">
            <w:pPr>
              <w:spacing w:after="200"/>
              <w:rPr>
                <w:rFonts w:ascii="Arial" w:eastAsia="Calibri" w:hAnsi="Arial" w:cs="Arial"/>
                <w:b/>
                <w:noProof/>
                <w:sz w:val="16"/>
                <w:szCs w:val="16"/>
              </w:rPr>
            </w:pPr>
            <w:r>
              <w:rPr>
                <w:rFonts w:ascii="Arial" w:hAnsi="Arial"/>
                <w:b/>
                <w:noProof/>
                <w:sz w:val="16"/>
                <w:szCs w:val="16"/>
              </w:rPr>
              <w:t xml:space="preserve">Periods un summa, uz ko </w:t>
            </w:r>
            <w:r>
              <w:rPr>
                <w:rFonts w:ascii="Arial" w:hAnsi="Arial"/>
                <w:b/>
                <w:noProof/>
                <w:sz w:val="16"/>
                <w:szCs w:val="16"/>
              </w:rPr>
              <w:t>attiecas pieprasījums / apmaiņas informācija</w:t>
            </w:r>
          </w:p>
          <w:p w:rsidR="003E022D" w:rsidRDefault="007D19D6">
            <w:pPr>
              <w:spacing w:after="200"/>
              <w:rPr>
                <w:rFonts w:ascii="Arial" w:eastAsia="Calibri" w:hAnsi="Arial" w:cs="Arial"/>
                <w:noProof/>
                <w:sz w:val="16"/>
                <w:szCs w:val="16"/>
              </w:rPr>
            </w:pPr>
            <w:r>
              <w:rPr>
                <w:rFonts w:ascii="Arial" w:hAnsi="Arial"/>
                <w:noProof/>
                <w:sz w:val="16"/>
                <w:szCs w:val="16"/>
              </w:rPr>
              <w:t>B12. Preču piegāde no vienas valsts uz citu</w:t>
            </w:r>
          </w:p>
        </w:tc>
        <w:tc>
          <w:tcPr>
            <w:tcW w:w="1667" w:type="pct"/>
            <w:gridSpan w:val="2"/>
            <w:shd w:val="clear" w:color="auto" w:fill="auto"/>
          </w:tcPr>
          <w:p w:rsidR="003E022D" w:rsidRDefault="003E022D">
            <w:pPr>
              <w:rPr>
                <w:rFonts w:ascii="Arial" w:eastAsia="Calibri" w:hAnsi="Arial" w:cs="Arial"/>
                <w:b/>
                <w:noProof/>
                <w:sz w:val="16"/>
                <w:szCs w:val="16"/>
              </w:rPr>
            </w:pPr>
          </w:p>
          <w:p w:rsidR="003E022D" w:rsidRDefault="003E022D">
            <w:pPr>
              <w:rPr>
                <w:rFonts w:ascii="Arial" w:eastAsia="Calibri" w:hAnsi="Arial" w:cs="Arial"/>
                <w:b/>
                <w:noProof/>
                <w:sz w:val="16"/>
                <w:szCs w:val="16"/>
              </w:rPr>
            </w:pPr>
          </w:p>
          <w:p w:rsidR="003E022D" w:rsidRDefault="003E022D">
            <w:pPr>
              <w:rPr>
                <w:rFonts w:ascii="Arial" w:eastAsia="Calibri" w:hAnsi="Arial" w:cs="Arial"/>
                <w:b/>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3E022D">
            <w:pPr>
              <w:spacing w:after="0"/>
              <w:rPr>
                <w:rFonts w:ascii="Arial" w:eastAsia="Calibri" w:hAnsi="Arial" w:cs="Arial"/>
                <w:b/>
                <w:noProof/>
                <w:sz w:val="16"/>
                <w:szCs w:val="16"/>
              </w:rPr>
            </w:pPr>
          </w:p>
          <w:p w:rsidR="003E022D" w:rsidRDefault="007D19D6">
            <w:pPr>
              <w:spacing w:after="200" w:line="276" w:lineRule="auto"/>
              <w:rPr>
                <w:rFonts w:ascii="Arial" w:eastAsia="Calibri" w:hAnsi="Arial" w:cs="Arial"/>
                <w:noProof/>
                <w:sz w:val="16"/>
                <w:szCs w:val="16"/>
              </w:rPr>
            </w:pPr>
            <w:r>
              <w:rPr>
                <w:rFonts w:ascii="Arial" w:hAnsi="Arial"/>
                <w:noProof/>
                <w:sz w:val="16"/>
                <w:szCs w:val="16"/>
              </w:rPr>
              <w:t>No</w:t>
            </w:r>
          </w:p>
        </w:tc>
        <w:tc>
          <w:tcPr>
            <w:tcW w:w="1667" w:type="pct"/>
            <w:gridSpan w:val="2"/>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Periods</w:t>
            </w:r>
          </w:p>
        </w:tc>
        <w:tc>
          <w:tcPr>
            <w:tcW w:w="1666" w:type="pct"/>
            <w:gridSpan w:val="2"/>
            <w:shd w:val="clear" w:color="auto" w:fill="auto"/>
          </w:tcPr>
          <w:p w:rsidR="003E022D" w:rsidRDefault="007D19D6">
            <w:pPr>
              <w:rPr>
                <w:rFonts w:ascii="Arial" w:eastAsia="Calibri" w:hAnsi="Arial" w:cs="Arial"/>
                <w:i/>
                <w:noProof/>
                <w:sz w:val="16"/>
                <w:szCs w:val="16"/>
              </w:rPr>
            </w:pPr>
            <w:r>
              <w:rPr>
                <w:rFonts w:ascii="Arial" w:hAnsi="Arial"/>
                <w:b/>
                <w:i/>
                <w:noProof/>
                <w:sz w:val="16"/>
                <w:szCs w:val="16"/>
              </w:rPr>
              <w:t>Periods</w:t>
            </w:r>
            <w:r>
              <w:rPr>
                <w:i/>
                <w:noProof/>
              </w:rPr>
              <w:t xml:space="preserve"> </w:t>
            </w:r>
          </w:p>
        </w:tc>
      </w:tr>
      <w:tr w:rsidR="003E022D">
        <w:trPr>
          <w:jc w:val="center"/>
        </w:trPr>
        <w:tc>
          <w:tcPr>
            <w:tcW w:w="1667" w:type="pct"/>
            <w:shd w:val="clear" w:color="auto" w:fill="auto"/>
          </w:tcPr>
          <w:p w:rsidR="003E022D" w:rsidRDefault="003E022D">
            <w:pPr>
              <w:spacing w:after="0"/>
              <w:rPr>
                <w:rFonts w:ascii="Arial" w:eastAsia="Calibri" w:hAnsi="Arial" w:cs="Arial"/>
                <w:b/>
                <w:noProof/>
                <w:sz w:val="16"/>
                <w:szCs w:val="16"/>
              </w:rPr>
            </w:pPr>
          </w:p>
          <w:p w:rsidR="003E022D" w:rsidRDefault="007D19D6">
            <w:pPr>
              <w:spacing w:after="200" w:line="276" w:lineRule="auto"/>
              <w:rPr>
                <w:rFonts w:ascii="Arial" w:eastAsia="Calibri" w:hAnsi="Arial" w:cs="Arial"/>
                <w:noProof/>
                <w:sz w:val="16"/>
                <w:szCs w:val="16"/>
              </w:rPr>
            </w:pPr>
            <w:r>
              <w:rPr>
                <w:rFonts w:ascii="Arial" w:hAnsi="Arial"/>
                <w:noProof/>
                <w:sz w:val="16"/>
                <w:szCs w:val="16"/>
              </w:rPr>
              <w:t>Uz</w:t>
            </w:r>
          </w:p>
        </w:tc>
        <w:tc>
          <w:tcPr>
            <w:tcW w:w="1667" w:type="pct"/>
            <w:gridSpan w:val="2"/>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Summa</w:t>
            </w:r>
          </w:p>
        </w:tc>
        <w:tc>
          <w:tcPr>
            <w:tcW w:w="1666" w:type="pct"/>
            <w:gridSpan w:val="2"/>
            <w:shd w:val="clear" w:color="auto" w:fill="auto"/>
          </w:tcPr>
          <w:p w:rsidR="003E022D" w:rsidRDefault="007D19D6">
            <w:pPr>
              <w:rPr>
                <w:rFonts w:ascii="Arial" w:eastAsia="Calibri" w:hAnsi="Arial" w:cs="Arial"/>
                <w:i/>
                <w:noProof/>
                <w:sz w:val="16"/>
                <w:szCs w:val="16"/>
              </w:rPr>
            </w:pPr>
            <w:r>
              <w:rPr>
                <w:rFonts w:ascii="Arial" w:hAnsi="Arial"/>
                <w:b/>
                <w:i/>
                <w:noProof/>
                <w:sz w:val="16"/>
                <w:szCs w:val="16"/>
              </w:rPr>
              <w:t>Summa</w:t>
            </w:r>
            <w:r>
              <w:rPr>
                <w:i/>
                <w:noProof/>
              </w:rPr>
              <w:t xml:space="preserve"> </w:t>
            </w:r>
          </w:p>
        </w:tc>
      </w:tr>
      <w:tr w:rsidR="003E022D">
        <w:trPr>
          <w:jc w:val="center"/>
        </w:trPr>
        <w:tc>
          <w:tcPr>
            <w:tcW w:w="1667" w:type="pct"/>
            <w:shd w:val="clear" w:color="auto" w:fill="auto"/>
          </w:tcPr>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Avoti: </w:t>
            </w:r>
            <w:r>
              <w:rPr>
                <w:noProof/>
              </w:rPr>
              <w:t xml:space="preserve">□ </w:t>
            </w:r>
            <w:r>
              <w:rPr>
                <w:rFonts w:ascii="Arial" w:hAnsi="Arial"/>
                <w:noProof/>
                <w:sz w:val="16"/>
                <w:szCs w:val="16"/>
                <w:shd w:val="clear" w:color="auto" w:fill="FFFFFF"/>
              </w:rPr>
              <w:t>PVN informācijas apmaiņas sistēma</w:t>
            </w:r>
            <w:r>
              <w:rPr>
                <w:noProof/>
                <w:color w:val="FF0000"/>
                <w:shd w:val="clear" w:color="auto" w:fill="FFFFFF"/>
              </w:rPr>
              <w:t xml:space="preserve"> </w:t>
            </w:r>
            <w:r>
              <w:rPr>
                <w:rFonts w:ascii="Arial" w:hAnsi="Arial"/>
                <w:noProof/>
                <w:color w:val="444444"/>
                <w:sz w:val="16"/>
                <w:szCs w:val="16"/>
                <w:shd w:val="clear" w:color="auto" w:fill="FFFFFF"/>
              </w:rPr>
              <w:t>(</w:t>
            </w:r>
            <w:r>
              <w:rPr>
                <w:rFonts w:ascii="Arial" w:hAnsi="Arial"/>
                <w:i/>
                <w:noProof/>
                <w:sz w:val="16"/>
                <w:szCs w:val="16"/>
              </w:rPr>
              <w:t>VIES</w:t>
            </w:r>
            <w:r>
              <w:rPr>
                <w:rFonts w:ascii="Arial" w:hAnsi="Arial"/>
                <w:noProof/>
                <w:sz w:val="16"/>
                <w:szCs w:val="16"/>
              </w:rPr>
              <w:t>)</w:t>
            </w:r>
            <w:r>
              <w:rPr>
                <w:noProof/>
              </w:rPr>
              <w:t xml:space="preserve"> □</w:t>
            </w:r>
            <w:r>
              <w:rPr>
                <w:rFonts w:ascii="Arial" w:hAnsi="Arial"/>
                <w:noProof/>
                <w:sz w:val="16"/>
                <w:szCs w:val="16"/>
              </w:rPr>
              <w:t xml:space="preserve"> Cits</w:t>
            </w:r>
          </w:p>
          <w:p w:rsidR="003E022D" w:rsidRDefault="007D19D6">
            <w:pPr>
              <w:rPr>
                <w:rFonts w:ascii="Arial" w:eastAsia="Calibri" w:hAnsi="Arial" w:cs="Arial"/>
                <w:noProof/>
                <w:sz w:val="16"/>
                <w:szCs w:val="16"/>
              </w:rPr>
            </w:pPr>
            <w:r>
              <w:rPr>
                <w:noProof/>
              </w:rPr>
              <w:t xml:space="preserve"> </w:t>
            </w:r>
          </w:p>
        </w:tc>
        <w:tc>
          <w:tcPr>
            <w:tcW w:w="1667" w:type="pct"/>
            <w:gridSpan w:val="2"/>
            <w:shd w:val="clear" w:color="auto" w:fill="auto"/>
          </w:tcPr>
          <w:p w:rsidR="003E022D" w:rsidRDefault="003E022D">
            <w:pPr>
              <w:rPr>
                <w:rFonts w:ascii="Arial" w:eastAsia="Calibri" w:hAnsi="Arial" w:cs="Arial"/>
                <w:b/>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spacing w:after="200"/>
              <w:rPr>
                <w:rFonts w:ascii="Arial" w:eastAsia="Calibri" w:hAnsi="Arial" w:cs="Arial"/>
                <w:noProof/>
                <w:sz w:val="16"/>
                <w:szCs w:val="16"/>
              </w:rPr>
            </w:pPr>
            <w:r>
              <w:rPr>
                <w:rFonts w:ascii="Arial" w:hAnsi="Arial"/>
                <w:noProof/>
                <w:sz w:val="16"/>
                <w:szCs w:val="16"/>
              </w:rPr>
              <w:t>B13. Pakalpojumu sniegšana no vienas valsts uz citu</w:t>
            </w:r>
          </w:p>
        </w:tc>
        <w:tc>
          <w:tcPr>
            <w:tcW w:w="1667" w:type="pct"/>
            <w:gridSpan w:val="2"/>
            <w:shd w:val="clear" w:color="auto" w:fill="auto"/>
          </w:tcPr>
          <w:p w:rsidR="003E022D" w:rsidRDefault="003E022D">
            <w:pPr>
              <w:rPr>
                <w:rFonts w:ascii="Arial" w:eastAsia="Calibri" w:hAnsi="Arial" w:cs="Arial"/>
                <w:b/>
                <w:noProof/>
                <w:sz w:val="16"/>
                <w:szCs w:val="16"/>
              </w:rPr>
            </w:pPr>
          </w:p>
          <w:p w:rsidR="003E022D" w:rsidRDefault="003E022D">
            <w:pPr>
              <w:rPr>
                <w:rFonts w:ascii="Arial" w:eastAsia="Calibri" w:hAnsi="Arial" w:cs="Arial"/>
                <w:b/>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3E022D">
            <w:pPr>
              <w:spacing w:after="0"/>
              <w:rPr>
                <w:rFonts w:ascii="Arial" w:eastAsia="Calibri" w:hAnsi="Arial" w:cs="Arial"/>
                <w:b/>
                <w:noProof/>
                <w:sz w:val="16"/>
                <w:szCs w:val="16"/>
              </w:rPr>
            </w:pPr>
          </w:p>
          <w:p w:rsidR="003E022D" w:rsidRDefault="007D19D6">
            <w:pPr>
              <w:spacing w:after="200" w:line="276" w:lineRule="auto"/>
              <w:rPr>
                <w:rFonts w:ascii="Arial" w:eastAsia="Calibri" w:hAnsi="Arial" w:cs="Arial"/>
                <w:noProof/>
                <w:sz w:val="16"/>
                <w:szCs w:val="16"/>
              </w:rPr>
            </w:pPr>
            <w:r>
              <w:rPr>
                <w:rFonts w:ascii="Arial" w:hAnsi="Arial"/>
                <w:noProof/>
                <w:sz w:val="16"/>
                <w:szCs w:val="16"/>
              </w:rPr>
              <w:t>No</w:t>
            </w:r>
          </w:p>
        </w:tc>
        <w:tc>
          <w:tcPr>
            <w:tcW w:w="1667" w:type="pct"/>
            <w:gridSpan w:val="2"/>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Periods</w:t>
            </w:r>
          </w:p>
        </w:tc>
        <w:tc>
          <w:tcPr>
            <w:tcW w:w="1666" w:type="pct"/>
            <w:gridSpan w:val="2"/>
            <w:shd w:val="clear" w:color="auto" w:fill="auto"/>
          </w:tcPr>
          <w:p w:rsidR="003E022D" w:rsidRDefault="007D19D6">
            <w:pPr>
              <w:rPr>
                <w:rFonts w:ascii="Arial" w:eastAsia="Calibri" w:hAnsi="Arial" w:cs="Arial"/>
                <w:i/>
                <w:noProof/>
                <w:sz w:val="16"/>
                <w:szCs w:val="16"/>
              </w:rPr>
            </w:pPr>
            <w:r>
              <w:rPr>
                <w:rFonts w:ascii="Arial" w:hAnsi="Arial"/>
                <w:b/>
                <w:i/>
                <w:noProof/>
                <w:sz w:val="16"/>
                <w:szCs w:val="16"/>
              </w:rPr>
              <w:t>Periods</w:t>
            </w:r>
            <w:r>
              <w:rPr>
                <w:i/>
                <w:noProof/>
              </w:rPr>
              <w:t xml:space="preserve"> </w:t>
            </w:r>
          </w:p>
        </w:tc>
      </w:tr>
      <w:tr w:rsidR="003E022D">
        <w:trPr>
          <w:jc w:val="center"/>
        </w:trPr>
        <w:tc>
          <w:tcPr>
            <w:tcW w:w="1667" w:type="pct"/>
            <w:shd w:val="clear" w:color="auto" w:fill="auto"/>
          </w:tcPr>
          <w:p w:rsidR="003E022D" w:rsidRDefault="003E022D">
            <w:pPr>
              <w:spacing w:after="0"/>
              <w:rPr>
                <w:rFonts w:ascii="Arial" w:eastAsia="Calibri" w:hAnsi="Arial" w:cs="Arial"/>
                <w:b/>
                <w:noProof/>
                <w:sz w:val="16"/>
                <w:szCs w:val="16"/>
              </w:rPr>
            </w:pPr>
          </w:p>
          <w:p w:rsidR="003E022D" w:rsidRDefault="007D19D6">
            <w:pPr>
              <w:spacing w:after="200" w:line="276" w:lineRule="auto"/>
              <w:rPr>
                <w:rFonts w:ascii="Arial" w:eastAsia="Calibri" w:hAnsi="Arial" w:cs="Arial"/>
                <w:noProof/>
                <w:sz w:val="16"/>
                <w:szCs w:val="16"/>
              </w:rPr>
            </w:pPr>
            <w:r>
              <w:rPr>
                <w:rFonts w:ascii="Arial" w:hAnsi="Arial"/>
                <w:noProof/>
                <w:sz w:val="16"/>
                <w:szCs w:val="16"/>
              </w:rPr>
              <w:t>Uz</w:t>
            </w:r>
          </w:p>
        </w:tc>
        <w:tc>
          <w:tcPr>
            <w:tcW w:w="1667" w:type="pct"/>
            <w:gridSpan w:val="2"/>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Summa</w:t>
            </w:r>
          </w:p>
        </w:tc>
        <w:tc>
          <w:tcPr>
            <w:tcW w:w="1666" w:type="pct"/>
            <w:gridSpan w:val="2"/>
            <w:shd w:val="clear" w:color="auto" w:fill="auto"/>
          </w:tcPr>
          <w:p w:rsidR="003E022D" w:rsidRDefault="007D19D6">
            <w:pPr>
              <w:rPr>
                <w:rFonts w:ascii="Arial" w:eastAsia="Calibri" w:hAnsi="Arial" w:cs="Arial"/>
                <w:i/>
                <w:noProof/>
                <w:sz w:val="16"/>
                <w:szCs w:val="16"/>
              </w:rPr>
            </w:pPr>
            <w:r>
              <w:rPr>
                <w:rFonts w:ascii="Arial" w:hAnsi="Arial"/>
                <w:b/>
                <w:i/>
                <w:noProof/>
                <w:sz w:val="16"/>
                <w:szCs w:val="16"/>
              </w:rPr>
              <w:t>Summa</w:t>
            </w:r>
            <w:r>
              <w:rPr>
                <w:i/>
                <w:noProof/>
              </w:rPr>
              <w:t xml:space="preserve"> </w:t>
            </w:r>
          </w:p>
        </w:tc>
      </w:tr>
      <w:tr w:rsidR="003E022D">
        <w:trPr>
          <w:jc w:val="center"/>
        </w:trPr>
        <w:tc>
          <w:tcPr>
            <w:tcW w:w="1667" w:type="pct"/>
            <w:shd w:val="clear" w:color="auto" w:fill="auto"/>
          </w:tcPr>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Avoti: </w:t>
            </w:r>
            <w:r>
              <w:rPr>
                <w:noProof/>
              </w:rPr>
              <w:t xml:space="preserve">□ </w:t>
            </w:r>
            <w:r>
              <w:rPr>
                <w:rFonts w:ascii="Arial" w:hAnsi="Arial"/>
                <w:i/>
                <w:noProof/>
                <w:sz w:val="16"/>
                <w:szCs w:val="16"/>
              </w:rPr>
              <w:t>VIES</w:t>
            </w:r>
            <w:r>
              <w:rPr>
                <w:noProof/>
              </w:rPr>
              <w:t xml:space="preserve"> □</w:t>
            </w:r>
            <w:r>
              <w:rPr>
                <w:rFonts w:ascii="Arial" w:hAnsi="Arial"/>
                <w:noProof/>
                <w:sz w:val="16"/>
                <w:szCs w:val="16"/>
              </w:rPr>
              <w:t xml:space="preserve"> Cits</w:t>
            </w:r>
          </w:p>
          <w:p w:rsidR="003E022D" w:rsidRDefault="007D19D6">
            <w:pPr>
              <w:rPr>
                <w:rFonts w:ascii="Arial" w:eastAsia="Calibri" w:hAnsi="Arial" w:cs="Arial"/>
                <w:noProof/>
                <w:sz w:val="16"/>
                <w:szCs w:val="16"/>
              </w:rPr>
            </w:pPr>
            <w:r>
              <w:rPr>
                <w:noProof/>
              </w:rPr>
              <w:t xml:space="preserve"> </w:t>
            </w:r>
          </w:p>
        </w:tc>
        <w:tc>
          <w:tcPr>
            <w:tcW w:w="1667" w:type="pct"/>
            <w:gridSpan w:val="2"/>
            <w:shd w:val="clear" w:color="auto" w:fill="auto"/>
          </w:tcPr>
          <w:p w:rsidR="003E022D" w:rsidRDefault="003E022D">
            <w:pPr>
              <w:rPr>
                <w:rFonts w:ascii="Arial" w:eastAsia="Calibri" w:hAnsi="Arial" w:cs="Arial"/>
                <w:b/>
                <w:noProof/>
                <w:sz w:val="16"/>
                <w:szCs w:val="16"/>
              </w:rPr>
            </w:pPr>
          </w:p>
          <w:p w:rsidR="003E022D" w:rsidRDefault="003E022D">
            <w:pPr>
              <w:rPr>
                <w:rFonts w:ascii="Arial" w:eastAsia="Calibri" w:hAnsi="Arial" w:cs="Arial"/>
                <w:b/>
                <w:noProof/>
                <w:sz w:val="16"/>
                <w:szCs w:val="16"/>
              </w:rPr>
            </w:pPr>
          </w:p>
        </w:tc>
        <w:tc>
          <w:tcPr>
            <w:tcW w:w="1666" w:type="pct"/>
            <w:gridSpan w:val="2"/>
            <w:shd w:val="clear" w:color="auto" w:fill="auto"/>
          </w:tcPr>
          <w:p w:rsidR="003E022D" w:rsidRDefault="003E022D">
            <w:pPr>
              <w:rPr>
                <w:rFonts w:ascii="Arial" w:eastAsia="Calibri" w:hAnsi="Arial" w:cs="Arial"/>
                <w:i/>
                <w:noProof/>
                <w:sz w:val="16"/>
                <w:szCs w:val="16"/>
              </w:rPr>
            </w:pPr>
          </w:p>
        </w:tc>
      </w:tr>
      <w:tr w:rsidR="003E022D">
        <w:trPr>
          <w:jc w:val="center"/>
        </w:trPr>
        <w:tc>
          <w:tcPr>
            <w:tcW w:w="5000" w:type="pct"/>
            <w:gridSpan w:val="5"/>
            <w:shd w:val="clear" w:color="auto" w:fill="auto"/>
          </w:tcPr>
          <w:p w:rsidR="003E022D" w:rsidRDefault="003E022D">
            <w:pPr>
              <w:rPr>
                <w:rFonts w:ascii="Arial" w:eastAsia="Calibri" w:hAnsi="Arial" w:cs="Arial"/>
                <w:b/>
                <w:noProof/>
                <w:sz w:val="16"/>
                <w:szCs w:val="16"/>
              </w:rPr>
            </w:pPr>
          </w:p>
          <w:p w:rsidR="003E022D" w:rsidRDefault="007D19D6">
            <w:pPr>
              <w:rPr>
                <w:rFonts w:ascii="Arial" w:eastAsia="Calibri" w:hAnsi="Arial" w:cs="Arial"/>
                <w:b/>
                <w:noProof/>
                <w:sz w:val="16"/>
                <w:szCs w:val="16"/>
              </w:rPr>
            </w:pPr>
            <w:r>
              <w:rPr>
                <w:rFonts w:ascii="Arial" w:hAnsi="Arial"/>
                <w:b/>
                <w:noProof/>
                <w:sz w:val="16"/>
                <w:szCs w:val="16"/>
              </w:rPr>
              <w:t>C) PAPILDU INFORMĀCIJA</w:t>
            </w:r>
          </w:p>
        </w:tc>
      </w:tr>
      <w:tr w:rsidR="003E022D">
        <w:trPr>
          <w:jc w:val="center"/>
        </w:trPr>
        <w:tc>
          <w:tcPr>
            <w:tcW w:w="5000" w:type="pct"/>
            <w:gridSpan w:val="5"/>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Reģistrācija</w:t>
            </w:r>
          </w:p>
        </w:tc>
      </w:tr>
      <w:tr w:rsidR="003E022D">
        <w:trPr>
          <w:jc w:val="center"/>
        </w:trPr>
        <w:tc>
          <w:tcPr>
            <w:tcW w:w="5000" w:type="pct"/>
            <w:gridSpan w:val="5"/>
            <w:shd w:val="clear" w:color="auto" w:fill="auto"/>
          </w:tcPr>
          <w:p w:rsidR="003E022D" w:rsidRDefault="007D19D6">
            <w:pPr>
              <w:tabs>
                <w:tab w:val="left" w:pos="5655"/>
              </w:tabs>
              <w:rPr>
                <w:rFonts w:eastAsia="Calibri"/>
                <w:noProof/>
              </w:rPr>
            </w:pPr>
            <w:r>
              <w:rPr>
                <w:noProof/>
              </w:rPr>
              <w:t xml:space="preserve">□ </w:t>
            </w:r>
            <w:r>
              <w:rPr>
                <w:rFonts w:ascii="Arial" w:hAnsi="Arial"/>
                <w:noProof/>
                <w:sz w:val="16"/>
                <w:szCs w:val="16"/>
              </w:rPr>
              <w:t>C1. Nodokļa maksātājs pieprasījuma saņēmējā valstī (</w:t>
            </w:r>
            <w:r>
              <w:rPr>
                <w:noProof/>
              </w:rPr>
              <w:t>□</w:t>
            </w:r>
            <w:r>
              <w:rPr>
                <w:rFonts w:ascii="Arial" w:hAnsi="Arial"/>
                <w:noProof/>
                <w:sz w:val="16"/>
                <w:szCs w:val="16"/>
              </w:rPr>
              <w:t>) / nodokļa maksātājs pieprasītājā valstī (</w:t>
            </w:r>
            <w:r>
              <w:rPr>
                <w:noProof/>
              </w:rPr>
              <w:t>□</w:t>
            </w:r>
            <w:r>
              <w:rPr>
                <w:rFonts w:ascii="Arial" w:hAnsi="Arial"/>
                <w:noProof/>
                <w:sz w:val="16"/>
                <w:szCs w:val="16"/>
              </w:rPr>
              <w:t>) pašlaik nav identificēts PVN nolūkā.</w:t>
            </w:r>
          </w:p>
          <w:p w:rsidR="003E022D" w:rsidRDefault="007D19D6">
            <w:pPr>
              <w:tabs>
                <w:tab w:val="left" w:pos="5655"/>
              </w:tabs>
              <w:rPr>
                <w:rFonts w:ascii="Arial" w:eastAsia="Calibri" w:hAnsi="Arial" w:cs="Arial"/>
                <w:i/>
                <w:noProof/>
                <w:sz w:val="16"/>
                <w:szCs w:val="16"/>
              </w:rPr>
            </w:pPr>
            <w:r>
              <w:rPr>
                <w:rFonts w:ascii="Arial" w:hAnsi="Arial"/>
                <w:noProof/>
                <w:sz w:val="16"/>
                <w:szCs w:val="16"/>
              </w:rPr>
              <w:t xml:space="preserve">Saskaņā ar </w:t>
            </w:r>
            <w:r>
              <w:rPr>
                <w:rFonts w:ascii="Arial" w:hAnsi="Arial"/>
                <w:i/>
                <w:noProof/>
                <w:sz w:val="16"/>
                <w:szCs w:val="16"/>
              </w:rPr>
              <w:t>VIES</w:t>
            </w:r>
            <w:r>
              <w:rPr>
                <w:rFonts w:ascii="Arial" w:hAnsi="Arial"/>
                <w:noProof/>
                <w:sz w:val="16"/>
                <w:szCs w:val="16"/>
              </w:rPr>
              <w:t xml:space="preserve"> vai citiem avotiem piegādes veiktas pēc datuma, kad izbeigta darbība. Paskaidrot.</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7D19D6">
            <w:pPr>
              <w:tabs>
                <w:tab w:val="left" w:pos="5655"/>
              </w:tabs>
              <w:rPr>
                <w:rFonts w:eastAsia="Calibri"/>
                <w:noProof/>
              </w:rPr>
            </w:pPr>
            <w:r>
              <w:rPr>
                <w:noProof/>
              </w:rPr>
              <w:t xml:space="preserve">□ </w:t>
            </w:r>
            <w:r>
              <w:rPr>
                <w:rFonts w:ascii="Arial" w:hAnsi="Arial"/>
                <w:noProof/>
                <w:sz w:val="16"/>
                <w:szCs w:val="16"/>
              </w:rPr>
              <w:t>C2. Nodokļa maksātājs pieprasījuma saņēmējā valstī (</w:t>
            </w:r>
            <w:r>
              <w:rPr>
                <w:noProof/>
              </w:rPr>
              <w:t>□</w:t>
            </w:r>
            <w:r>
              <w:rPr>
                <w:rFonts w:ascii="Arial" w:hAnsi="Arial"/>
                <w:noProof/>
                <w:sz w:val="16"/>
                <w:szCs w:val="16"/>
              </w:rPr>
              <w:t>) / nodokļa maksātājs pieprasītājā valstī (</w:t>
            </w:r>
            <w:r>
              <w:rPr>
                <w:noProof/>
              </w:rPr>
              <w:t>□</w:t>
            </w:r>
            <w:r>
              <w:rPr>
                <w:rFonts w:ascii="Arial" w:hAnsi="Arial"/>
                <w:noProof/>
                <w:sz w:val="16"/>
                <w:szCs w:val="16"/>
              </w:rPr>
              <w:t>) nav identificēts PVN nolūkā.</w:t>
            </w:r>
          </w:p>
          <w:p w:rsidR="003E022D" w:rsidRDefault="007D19D6">
            <w:pPr>
              <w:rPr>
                <w:rFonts w:ascii="Arial" w:eastAsia="Calibri" w:hAnsi="Arial" w:cs="Arial"/>
                <w:noProof/>
                <w:sz w:val="16"/>
                <w:szCs w:val="16"/>
              </w:rPr>
            </w:pPr>
            <w:r>
              <w:rPr>
                <w:rFonts w:ascii="Arial" w:hAnsi="Arial"/>
                <w:noProof/>
                <w:sz w:val="16"/>
                <w:szCs w:val="16"/>
              </w:rPr>
              <w:t xml:space="preserve">Saskaņā ar </w:t>
            </w:r>
            <w:r>
              <w:rPr>
                <w:rFonts w:ascii="Arial" w:hAnsi="Arial"/>
                <w:i/>
                <w:noProof/>
                <w:sz w:val="16"/>
                <w:szCs w:val="16"/>
              </w:rPr>
              <w:t>VIES</w:t>
            </w:r>
            <w:r>
              <w:rPr>
                <w:rFonts w:ascii="Arial" w:hAnsi="Arial"/>
                <w:noProof/>
                <w:sz w:val="16"/>
                <w:szCs w:val="16"/>
              </w:rPr>
              <w:t xml:space="preserve"> vai citiem avotiem piegādes veiktas pirms reģistrācijas datuma. Paskaidrot.</w:t>
            </w:r>
          </w:p>
          <w:p w:rsidR="003E022D" w:rsidRDefault="003E022D">
            <w:pPr>
              <w:spacing w:before="240"/>
              <w:rPr>
                <w:rFonts w:ascii="Arial" w:eastAsia="Calibri" w:hAnsi="Arial" w:cs="Arial"/>
                <w:noProof/>
                <w:sz w:val="16"/>
                <w:szCs w:val="16"/>
              </w:rPr>
            </w:pPr>
          </w:p>
        </w:tc>
      </w:tr>
      <w:tr w:rsidR="003E022D">
        <w:trPr>
          <w:jc w:val="center"/>
        </w:trPr>
        <w:tc>
          <w:tcPr>
            <w:tcW w:w="5000" w:type="pct"/>
            <w:gridSpan w:val="5"/>
            <w:shd w:val="clear" w:color="auto" w:fill="auto"/>
          </w:tcPr>
          <w:p w:rsidR="003E022D" w:rsidRDefault="007D19D6">
            <w:pPr>
              <w:tabs>
                <w:tab w:val="left" w:pos="5655"/>
              </w:tabs>
              <w:rPr>
                <w:rFonts w:eastAsia="Calibri"/>
                <w:b/>
                <w:noProof/>
              </w:rPr>
            </w:pPr>
            <w:r>
              <w:rPr>
                <w:rFonts w:ascii="Arial" w:hAnsi="Arial"/>
                <w:b/>
                <w:noProof/>
                <w:sz w:val="16"/>
                <w:szCs w:val="16"/>
              </w:rPr>
              <w:t xml:space="preserve"> Darījumi ar precēm/pakalpojumiem</w:t>
            </w:r>
          </w:p>
        </w:tc>
      </w:tr>
      <w:tr w:rsidR="003E022D">
        <w:trPr>
          <w:trHeight w:val="1266"/>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Preces</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C3. Saskaņā ar </w:t>
            </w:r>
            <w:r>
              <w:rPr>
                <w:rFonts w:ascii="Arial" w:hAnsi="Arial"/>
                <w:i/>
                <w:noProof/>
                <w:sz w:val="16"/>
                <w:szCs w:val="16"/>
              </w:rPr>
              <w:t>VIES</w:t>
            </w:r>
            <w:r>
              <w:rPr>
                <w:rFonts w:ascii="Arial" w:hAnsi="Arial"/>
                <w:noProof/>
                <w:sz w:val="16"/>
                <w:szCs w:val="16"/>
              </w:rPr>
              <w:t xml:space="preserve"> vai citiem avotiem nodokļa maksātājs pieprasījuma saņēmējā valstī veicis preču piegādi, bet nodokļa maksātājs pie</w:t>
            </w:r>
            <w:r>
              <w:rPr>
                <w:rFonts w:ascii="Arial" w:hAnsi="Arial"/>
                <w:noProof/>
                <w:sz w:val="16"/>
                <w:szCs w:val="16"/>
              </w:rPr>
              <w:t>prasītājā valstī (izvēlēties atbilstošo):</w:t>
            </w:r>
          </w:p>
          <w:p w:rsidR="003E022D" w:rsidRDefault="007D19D6">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nav deklarējis preču iegādi;</w:t>
            </w:r>
          </w:p>
          <w:p w:rsidR="003E022D" w:rsidRDefault="007D19D6">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noliedz, ka saņēmis minētās preces;</w:t>
            </w:r>
          </w:p>
          <w:p w:rsidR="003E022D" w:rsidRDefault="007D19D6">
            <w:pPr>
              <w:tabs>
                <w:tab w:val="left" w:pos="5655"/>
              </w:tabs>
              <w:spacing w:after="0"/>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0800" behindDoc="0" locked="0" layoutInCell="1" allowOverlap="1">
                      <wp:simplePos x="0" y="0"/>
                      <wp:positionH relativeFrom="page">
                        <wp:posOffset>4907280</wp:posOffset>
                      </wp:positionH>
                      <wp:positionV relativeFrom="page">
                        <wp:posOffset>6511290</wp:posOffset>
                      </wp:positionV>
                      <wp:extent cx="2057400" cy="12700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386.4pt;margin-top:512.7pt;width:162pt;height:1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r>
              <w:rPr>
                <w:noProof/>
              </w:rPr>
              <w:t xml:space="preserve">     ○ </w:t>
            </w:r>
            <w:r>
              <w:rPr>
                <w:rFonts w:ascii="Arial" w:hAnsi="Arial"/>
                <w:noProof/>
                <w:sz w:val="16"/>
                <w:szCs w:val="16"/>
              </w:rPr>
              <w:t>deklarējis iegādi par citu summu, un deklarētā summa ir:</w:t>
            </w:r>
            <w:r>
              <w:rPr>
                <w:i/>
                <w:noProof/>
              </w:rPr>
              <w:t xml:space="preserve"> </w:t>
            </w:r>
          </w:p>
          <w:p w:rsidR="003E022D" w:rsidRDefault="007D19D6">
            <w:pPr>
              <w:tabs>
                <w:tab w:val="left" w:pos="5655"/>
              </w:tabs>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47488" behindDoc="0" locked="0" layoutInCell="1" allowOverlap="1">
                      <wp:simplePos x="0" y="0"/>
                      <wp:positionH relativeFrom="page">
                        <wp:posOffset>2705100</wp:posOffset>
                      </wp:positionH>
                      <wp:positionV relativeFrom="page">
                        <wp:posOffset>6708775</wp:posOffset>
                      </wp:positionV>
                      <wp:extent cx="4257675" cy="127000"/>
                      <wp:effectExtent l="0" t="0" r="28575" b="254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7" style="position:absolute;left:0;text-align:left;margin-left:213pt;margin-top:528.25pt;width:335.25pt;height:1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r>
              <w:rPr>
                <w:rFonts w:ascii="Arial" w:hAnsi="Arial"/>
                <w:noProof/>
                <w:sz w:val="16"/>
                <w:szCs w:val="16"/>
              </w:rPr>
              <w:t xml:space="preserve">           Pārbaudīt un paskaidrot.</w:t>
            </w:r>
            <w:r>
              <w:rPr>
                <w:noProof/>
              </w:rPr>
              <w:t xml:space="preserve"> </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Pievienoju manā </w:t>
            </w:r>
            <w:r>
              <w:rPr>
                <w:rFonts w:ascii="Arial" w:hAnsi="Arial"/>
                <w:noProof/>
                <w:sz w:val="16"/>
                <w:szCs w:val="16"/>
              </w:rPr>
              <w:t>rīcībā esošo dokumentu kopijas.</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C4. Iegādes, ko deklarējis nodokļa maksātājs pieprasītājā valstī, nesaskan ar informāciju, kas saņemta no </w:t>
            </w:r>
            <w:r>
              <w:rPr>
                <w:rFonts w:ascii="Arial" w:hAnsi="Arial"/>
                <w:i/>
                <w:noProof/>
                <w:sz w:val="16"/>
                <w:szCs w:val="16"/>
              </w:rPr>
              <w:t>VIES</w:t>
            </w:r>
            <w:r>
              <w:rPr>
                <w:rFonts w:ascii="Arial" w:hAnsi="Arial"/>
                <w:noProof/>
                <w:sz w:val="16"/>
                <w:szCs w:val="16"/>
              </w:rPr>
              <w:t xml:space="preserve"> vai citiem avotiem. Pārbaudīt un paskaidrot.</w:t>
            </w:r>
            <w:r>
              <w:rPr>
                <w:noProof/>
              </w:rPr>
              <w:t xml:space="preserve"> </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C5. Norādīt preču piegādes adreses.</w:t>
            </w:r>
          </w:p>
        </w:tc>
      </w:tr>
      <w:tr w:rsidR="003E022D">
        <w:trPr>
          <w:trHeight w:val="938"/>
          <w:jc w:val="center"/>
        </w:trPr>
        <w:tc>
          <w:tcPr>
            <w:tcW w:w="5000" w:type="pct"/>
            <w:gridSpan w:val="5"/>
            <w:shd w:val="clear" w:color="auto" w:fill="auto"/>
          </w:tcPr>
          <w:p w:rsidR="003E022D" w:rsidRDefault="007D19D6">
            <w:pPr>
              <w:tabs>
                <w:tab w:val="left" w:pos="5655"/>
              </w:tabs>
              <w:rPr>
                <w:rFonts w:ascii="Arial" w:eastAsia="Calibri" w:hAnsi="Arial" w:cs="Arial"/>
                <w:i/>
                <w:noProof/>
                <w:sz w:val="16"/>
                <w:szCs w:val="16"/>
              </w:rPr>
            </w:pPr>
            <w:r>
              <w:rPr>
                <w:rFonts w:ascii="Arial" w:hAnsi="Arial"/>
                <w:i/>
                <w:noProof/>
                <w:sz w:val="16"/>
                <w:szCs w:val="16"/>
              </w:rPr>
              <w:t>Adreses:</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b/>
                <w:noProof/>
                <w:sz w:val="16"/>
                <w:szCs w:val="16"/>
              </w:rPr>
            </w:pPr>
          </w:p>
        </w:tc>
      </w:tr>
      <w:tr w:rsidR="003E022D">
        <w:trPr>
          <w:trHeight w:val="830"/>
          <w:jc w:val="center"/>
        </w:trPr>
        <w:tc>
          <w:tcPr>
            <w:tcW w:w="5000" w:type="pct"/>
            <w:gridSpan w:val="5"/>
            <w:shd w:val="clear" w:color="auto" w:fill="auto"/>
          </w:tcPr>
          <w:p w:rsidR="003E022D" w:rsidRDefault="007D19D6">
            <w:pPr>
              <w:tabs>
                <w:tab w:val="left" w:pos="5655"/>
              </w:tabs>
              <w:rPr>
                <w:rFonts w:ascii="Arial" w:eastAsia="Calibri" w:hAnsi="Arial" w:cs="Arial"/>
                <w:noProof/>
                <w:sz w:val="16"/>
                <w:szCs w:val="16"/>
              </w:rPr>
            </w:pPr>
            <w:r>
              <w:rPr>
                <w:noProof/>
              </w:rPr>
              <w:t>□</w:t>
            </w:r>
            <w:r>
              <w:rPr>
                <w:rFonts w:ascii="Arial" w:hAnsi="Arial"/>
                <w:noProof/>
                <w:sz w:val="16"/>
                <w:szCs w:val="16"/>
              </w:rPr>
              <w:t xml:space="preserve">C6. Nodokļa </w:t>
            </w:r>
            <w:r>
              <w:rPr>
                <w:rFonts w:ascii="Arial" w:hAnsi="Arial"/>
                <w:noProof/>
                <w:sz w:val="16"/>
                <w:szCs w:val="16"/>
              </w:rPr>
              <w:t>maksātājs pieprasītājā valstī apgalvo, ka ir veicis piegādi personai pieprasījuma saņēmējā valstī. Apstiprināt, ka preces saņemtas un to, vai tās bija:</w:t>
            </w:r>
          </w:p>
          <w:p w:rsidR="003E022D" w:rsidRDefault="007D19D6">
            <w:pPr>
              <w:tabs>
                <w:tab w:val="left" w:pos="5655"/>
              </w:tabs>
              <w:rPr>
                <w:rFonts w:ascii="Arial" w:eastAsia="Calibri" w:hAnsi="Arial" w:cs="Arial"/>
                <w:noProof/>
                <w:sz w:val="16"/>
                <w:szCs w:val="16"/>
              </w:rPr>
            </w:pPr>
            <w:r>
              <w:rPr>
                <w:noProof/>
              </w:rPr>
              <w:t xml:space="preserve">   □ </w:t>
            </w:r>
            <w:r>
              <w:rPr>
                <w:rFonts w:ascii="Arial" w:hAnsi="Arial"/>
                <w:noProof/>
                <w:sz w:val="16"/>
                <w:szCs w:val="16"/>
              </w:rPr>
              <w:t>iegrāmatotas:</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Jā</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 xml:space="preserve">Nē </w:t>
            </w:r>
            <w:r>
              <w:rPr>
                <w:rFonts w:ascii="Arial" w:hAnsi="Arial"/>
                <w:noProof/>
                <w:sz w:val="16"/>
                <w:szCs w:val="16"/>
              </w:rPr>
              <w:t xml:space="preserve"> </w:t>
            </w: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 </w:t>
            </w:r>
            <w:r>
              <w:rPr>
                <w:rFonts w:ascii="Arial" w:hAnsi="Arial"/>
                <w:noProof/>
                <w:sz w:val="16"/>
                <w:szCs w:val="16"/>
              </w:rPr>
              <w:t>deklarējis/apmaksājis nodokļa maksātājs pieprasījuma saņēmējā valst</w:t>
            </w:r>
            <w:r>
              <w:rPr>
                <w:rFonts w:ascii="Arial" w:hAnsi="Arial"/>
                <w:noProof/>
                <w:sz w:val="16"/>
                <w:szCs w:val="16"/>
              </w:rPr>
              <w:t>ī</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Jā</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Nē</w:t>
            </w:r>
            <w:r>
              <w:rPr>
                <w:rFonts w:ascii="Arial" w:hAnsi="Arial"/>
                <w:noProof/>
                <w:sz w:val="16"/>
                <w:szCs w:val="16"/>
              </w:rPr>
              <w:t xml:space="preserve"> </w:t>
            </w:r>
          </w:p>
          <w:p w:rsidR="003E022D" w:rsidRDefault="007D19D6">
            <w:pPr>
              <w:tabs>
                <w:tab w:val="left" w:pos="5655"/>
              </w:tabs>
              <w:rPr>
                <w:rFonts w:ascii="Arial" w:eastAsia="Calibri" w:hAnsi="Arial" w:cs="Arial"/>
                <w:noProof/>
                <w:sz w:val="16"/>
                <w:szCs w:val="16"/>
              </w:rPr>
            </w:pPr>
            <w:r>
              <w:rPr>
                <w:rFonts w:ascii="Arial" w:hAnsi="Arial"/>
                <w:noProof/>
                <w:sz w:val="16"/>
                <w:szCs w:val="16"/>
              </w:rPr>
              <w:t>Nodokļa maksātāja pieprasījuma saņēmējā valstī vārds, uzvārds / nosaukums un/vai PVN identifikācijas numurs.</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noProof/>
                <w:sz w:val="16"/>
                <w:szCs w:val="16"/>
              </w:rPr>
            </w:pPr>
          </w:p>
        </w:tc>
      </w:tr>
      <w:tr w:rsidR="003E022D">
        <w:trPr>
          <w:jc w:val="center"/>
        </w:trPr>
        <w:tc>
          <w:tcPr>
            <w:tcW w:w="5000" w:type="pct"/>
            <w:gridSpan w:val="5"/>
            <w:tcBorders>
              <w:bottom w:val="single" w:sz="4" w:space="0" w:color="auto"/>
            </w:tcBorders>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Preču iepriekšēja/tālāka pārvietošana</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C7. No kā preces pirktas?  C40. lodziņā norādīt vārdus, uzvārdus, uzņēmumu nosaukumus un </w:t>
            </w:r>
            <w:r>
              <w:rPr>
                <w:rFonts w:ascii="Arial" w:hAnsi="Arial"/>
                <w:noProof/>
                <w:sz w:val="16"/>
                <w:szCs w:val="16"/>
              </w:rPr>
              <w:t>PVN identifikācijas numurus.</w:t>
            </w:r>
          </w:p>
          <w:p w:rsidR="003E022D" w:rsidRDefault="007D19D6">
            <w:pPr>
              <w:tabs>
                <w:tab w:val="left" w:pos="5655"/>
              </w:tabs>
              <w:rPr>
                <w:rFonts w:ascii="Arial" w:eastAsia="Calibri" w:hAnsi="Arial" w:cs="Arial"/>
                <w:b/>
                <w:noProof/>
                <w:sz w:val="16"/>
                <w:szCs w:val="16"/>
              </w:rPr>
            </w:pPr>
            <w:r>
              <w:rPr>
                <w:noProof/>
              </w:rPr>
              <w:t xml:space="preserve">□ </w:t>
            </w:r>
            <w:r>
              <w:rPr>
                <w:rFonts w:ascii="Arial" w:hAnsi="Arial"/>
                <w:noProof/>
                <w:sz w:val="16"/>
                <w:szCs w:val="16"/>
              </w:rPr>
              <w:t>C8. Kam preces pārdotas tālāk? C40. lodziņā norādīt vārdus, uzvārdus, uzņēmumu nosaukumus un PVN identifikācijas numurus.</w:t>
            </w:r>
          </w:p>
        </w:tc>
      </w:tr>
      <w:tr w:rsidR="003E022D">
        <w:trPr>
          <w:trHeight w:val="1815"/>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Pakalpojumi</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C9. Saskaņā ar </w:t>
            </w:r>
            <w:r>
              <w:rPr>
                <w:rFonts w:ascii="Arial" w:hAnsi="Arial"/>
                <w:i/>
                <w:noProof/>
                <w:sz w:val="16"/>
                <w:szCs w:val="16"/>
              </w:rPr>
              <w:t>VIES</w:t>
            </w:r>
            <w:r>
              <w:rPr>
                <w:rFonts w:ascii="Arial" w:hAnsi="Arial"/>
                <w:noProof/>
                <w:sz w:val="16"/>
                <w:szCs w:val="16"/>
              </w:rPr>
              <w:t xml:space="preserve"> vai citiem avotiem nodokļa maksātājs pieprasījuma saņēmējā valstī sniedzis pakalpojumu, kas apliekams ar nodokli pieprasītājā valstī, bet nodokļa maksātājs pieprasītājā valstī (izvēlēties atbilstošo):</w:t>
            </w:r>
          </w:p>
          <w:p w:rsidR="003E022D" w:rsidRDefault="007D19D6">
            <w:pPr>
              <w:tabs>
                <w:tab w:val="left" w:pos="5655"/>
              </w:tabs>
              <w:rPr>
                <w:rFonts w:ascii="Arial" w:eastAsia="Calibri" w:hAnsi="Arial" w:cs="Arial"/>
                <w:noProof/>
                <w:sz w:val="16"/>
                <w:szCs w:val="16"/>
              </w:rPr>
            </w:pPr>
            <w:r>
              <w:rPr>
                <w:noProof/>
              </w:rPr>
              <w:t xml:space="preserve">     ○ </w:t>
            </w:r>
            <w:r>
              <w:rPr>
                <w:rFonts w:ascii="Arial" w:hAnsi="Arial"/>
                <w:noProof/>
                <w:sz w:val="16"/>
                <w:szCs w:val="16"/>
              </w:rPr>
              <w:t>nav deklarējis pakalpojumu;</w:t>
            </w:r>
          </w:p>
          <w:p w:rsidR="003E022D" w:rsidRDefault="007D19D6">
            <w:pPr>
              <w:tabs>
                <w:tab w:val="left" w:pos="5655"/>
              </w:tabs>
              <w:rPr>
                <w:rFonts w:ascii="Arial" w:eastAsia="Calibri" w:hAnsi="Arial" w:cs="Arial"/>
                <w:noProof/>
                <w:sz w:val="16"/>
                <w:szCs w:val="16"/>
              </w:rPr>
            </w:pPr>
            <w:r>
              <w:rPr>
                <w:noProof/>
              </w:rPr>
              <w:t xml:space="preserve">     ○ </w:t>
            </w:r>
            <w:r>
              <w:rPr>
                <w:rFonts w:ascii="Arial" w:hAnsi="Arial"/>
                <w:noProof/>
                <w:sz w:val="16"/>
                <w:szCs w:val="16"/>
              </w:rPr>
              <w:t xml:space="preserve">noliedz, ka </w:t>
            </w:r>
            <w:r>
              <w:rPr>
                <w:rFonts w:ascii="Arial" w:hAnsi="Arial"/>
                <w:noProof/>
                <w:sz w:val="16"/>
                <w:szCs w:val="16"/>
              </w:rPr>
              <w:t>saņēmis pakalpojumu;</w:t>
            </w:r>
          </w:p>
          <w:p w:rsidR="003E022D" w:rsidRDefault="007D19D6">
            <w:pPr>
              <w:tabs>
                <w:tab w:val="left" w:pos="5655"/>
              </w:tabs>
              <w:rPr>
                <w:rFonts w:ascii="Arial" w:eastAsia="Calibri" w:hAnsi="Arial" w:cs="Arial"/>
                <w:noProof/>
                <w:sz w:val="16"/>
                <w:szCs w:val="16"/>
              </w:rPr>
            </w:pPr>
            <w:r>
              <w:rPr>
                <w:noProof/>
              </w:rPr>
              <w:t xml:space="preserve">     ○ </w:t>
            </w:r>
            <w:r>
              <w:rPr>
                <w:rFonts w:ascii="Arial" w:hAnsi="Arial"/>
                <w:noProof/>
                <w:sz w:val="16"/>
                <w:szCs w:val="16"/>
              </w:rPr>
              <w:t>deklarējis pakalpojuma saņemšanu par citu summu, un deklarētā summa ir:</w:t>
            </w: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           Pārbaudīt un paskaidrot.</w:t>
            </w:r>
            <w:r>
              <w:rPr>
                <w:noProof/>
              </w:rPr>
              <w:t xml:space="preserve"> </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Pievienoju manā rīcībā esošo dokumentu kopijas.</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C10. Iegādes, ko deklarējis nodokļa maksātājs pieprasītājā valstī, </w:t>
            </w:r>
            <w:r>
              <w:rPr>
                <w:rFonts w:ascii="Arial" w:hAnsi="Arial"/>
                <w:noProof/>
                <w:sz w:val="16"/>
                <w:szCs w:val="16"/>
              </w:rPr>
              <w:t xml:space="preserve">nesaskan ar informāciju, kas saņemta no </w:t>
            </w:r>
            <w:r>
              <w:rPr>
                <w:rFonts w:ascii="Arial" w:hAnsi="Arial"/>
                <w:i/>
                <w:noProof/>
                <w:sz w:val="16"/>
                <w:szCs w:val="16"/>
              </w:rPr>
              <w:t>VIES</w:t>
            </w:r>
            <w:r>
              <w:rPr>
                <w:rFonts w:ascii="Arial" w:hAnsi="Arial"/>
                <w:noProof/>
                <w:sz w:val="16"/>
                <w:szCs w:val="16"/>
              </w:rPr>
              <w:t xml:space="preserve"> vai citiem avotiem. Pārbaudīt un paskaidrot.</w:t>
            </w:r>
            <w:r>
              <w:rPr>
                <w:noProof/>
              </w:rPr>
              <w:t xml:space="preserve"> </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C11. Norādīt pakalpojumu sniegšanas vietu adreses.</w:t>
            </w:r>
          </w:p>
        </w:tc>
      </w:tr>
      <w:tr w:rsidR="003E022D">
        <w:trPr>
          <w:trHeight w:val="734"/>
          <w:jc w:val="center"/>
        </w:trPr>
        <w:tc>
          <w:tcPr>
            <w:tcW w:w="5000" w:type="pct"/>
            <w:gridSpan w:val="5"/>
            <w:shd w:val="clear" w:color="auto" w:fill="auto"/>
          </w:tcPr>
          <w:p w:rsidR="003E022D" w:rsidRDefault="007D19D6">
            <w:pPr>
              <w:tabs>
                <w:tab w:val="left" w:pos="5655"/>
              </w:tabs>
              <w:rPr>
                <w:rFonts w:ascii="Arial" w:eastAsia="Calibri" w:hAnsi="Arial" w:cs="Arial"/>
                <w:i/>
                <w:noProof/>
                <w:sz w:val="16"/>
                <w:szCs w:val="16"/>
              </w:rPr>
            </w:pPr>
            <w:r>
              <w:rPr>
                <w:rFonts w:ascii="Arial" w:hAnsi="Arial"/>
                <w:i/>
                <w:noProof/>
                <w:sz w:val="16"/>
                <w:szCs w:val="16"/>
              </w:rPr>
              <w:t>Adreses:</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b/>
                <w:noProof/>
                <w:sz w:val="16"/>
                <w:szCs w:val="16"/>
              </w:rPr>
            </w:pPr>
          </w:p>
        </w:tc>
      </w:tr>
      <w:tr w:rsidR="003E022D">
        <w:trPr>
          <w:trHeight w:val="1815"/>
          <w:jc w:val="center"/>
        </w:trPr>
        <w:tc>
          <w:tcPr>
            <w:tcW w:w="5000" w:type="pct"/>
            <w:gridSpan w:val="5"/>
            <w:shd w:val="clear" w:color="auto" w:fill="auto"/>
          </w:tcPr>
          <w:p w:rsidR="003E022D" w:rsidRDefault="007D19D6">
            <w:pPr>
              <w:tabs>
                <w:tab w:val="left" w:pos="5655"/>
              </w:tabs>
              <w:rPr>
                <w:rFonts w:ascii="Arial" w:eastAsia="Calibri" w:hAnsi="Arial" w:cs="Arial"/>
                <w:noProof/>
                <w:sz w:val="16"/>
                <w:szCs w:val="16"/>
              </w:rPr>
            </w:pPr>
            <w:r>
              <w:rPr>
                <w:noProof/>
              </w:rPr>
              <w:t>□</w:t>
            </w:r>
            <w:r>
              <w:rPr>
                <w:rFonts w:ascii="Arial" w:hAnsi="Arial"/>
                <w:noProof/>
                <w:sz w:val="16"/>
                <w:szCs w:val="16"/>
              </w:rPr>
              <w:t xml:space="preserve">C12. Nodokļa maksātājs pieprasītājā valstī apgalvo, ka ir veicis piegādi personai pieprasījuma </w:t>
            </w:r>
            <w:r>
              <w:rPr>
                <w:rFonts w:ascii="Arial" w:hAnsi="Arial"/>
                <w:noProof/>
                <w:sz w:val="16"/>
                <w:szCs w:val="16"/>
              </w:rPr>
              <w:t>saņēmējā valstī. Apstiprināt, ka pakalpojumi sniegti un to, vai:</w:t>
            </w:r>
          </w:p>
          <w:p w:rsidR="003E022D" w:rsidRDefault="007D19D6">
            <w:pPr>
              <w:tabs>
                <w:tab w:val="left" w:pos="5655"/>
              </w:tabs>
              <w:rPr>
                <w:rFonts w:ascii="Arial" w:eastAsia="Calibri" w:hAnsi="Arial" w:cs="Arial"/>
                <w:noProof/>
                <w:sz w:val="16"/>
                <w:szCs w:val="16"/>
                <w:bdr w:val="single" w:sz="4" w:space="0" w:color="auto"/>
              </w:rPr>
            </w:pPr>
            <w:r>
              <w:rPr>
                <w:noProof/>
              </w:rPr>
              <w:t xml:space="preserve">   □ </w:t>
            </w:r>
            <w:r>
              <w:rPr>
                <w:rFonts w:ascii="Arial" w:hAnsi="Arial"/>
                <w:noProof/>
                <w:sz w:val="16"/>
                <w:szCs w:val="16"/>
              </w:rPr>
              <w:t>tie bija iegrāmatoti:</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 xml:space="preserve">Jā               </w:t>
            </w:r>
            <w:r>
              <w:rPr>
                <w:i/>
                <w:noProof/>
                <w:bdr w:val="single" w:sz="4" w:space="0" w:color="auto"/>
              </w:rPr>
              <w:t xml:space="preserve">○ </w:t>
            </w:r>
            <w:r>
              <w:rPr>
                <w:rFonts w:ascii="Arial" w:hAnsi="Arial"/>
                <w:i/>
                <w:noProof/>
                <w:sz w:val="16"/>
                <w:szCs w:val="16"/>
                <w:bdr w:val="single" w:sz="4" w:space="0" w:color="auto"/>
              </w:rPr>
              <w:t>Nē</w:t>
            </w:r>
            <w:r>
              <w:rPr>
                <w:rFonts w:ascii="Arial" w:hAnsi="Arial"/>
                <w:noProof/>
                <w:sz w:val="16"/>
                <w:szCs w:val="16"/>
                <w:bdr w:val="single" w:sz="4" w:space="0" w:color="auto"/>
                <w:shd w:val="clear" w:color="auto" w:fill="F2F2F2"/>
              </w:rPr>
              <w:t xml:space="preserve"> </w:t>
            </w:r>
            <w:r>
              <w:rPr>
                <w:rFonts w:ascii="Arial" w:hAnsi="Arial"/>
                <w:noProof/>
                <w:sz w:val="16"/>
                <w:szCs w:val="16"/>
                <w:bdr w:val="single" w:sz="4" w:space="0" w:color="auto"/>
              </w:rPr>
              <w:t xml:space="preserve"> </w:t>
            </w: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tos deklarējis/apmaksājis nodokļa maksātājs pieprasījuma saņēmējā valstī:</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Jā</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Nē</w:t>
            </w:r>
            <w:r>
              <w:rPr>
                <w:rFonts w:ascii="Arial" w:hAnsi="Arial"/>
                <w:noProof/>
                <w:sz w:val="16"/>
                <w:szCs w:val="16"/>
                <w:bdr w:val="single" w:sz="4" w:space="0" w:color="auto"/>
                <w:shd w:val="clear" w:color="auto" w:fill="F2F2F2"/>
              </w:rPr>
              <w:t xml:space="preserve"> </w:t>
            </w: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Nodokļa maksātāja pieprasījuma saņēmējā valstī </w:t>
            </w:r>
            <w:r>
              <w:rPr>
                <w:rFonts w:ascii="Arial" w:hAnsi="Arial"/>
                <w:noProof/>
                <w:sz w:val="16"/>
                <w:szCs w:val="16"/>
              </w:rPr>
              <w:t>vārds, uzvārds / nosaukums un/vai PVN identifikācijas numurs.</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noProof/>
                <w:sz w:val="16"/>
                <w:szCs w:val="16"/>
              </w:rPr>
            </w:pP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Preču pārvadājumi</w:t>
            </w:r>
          </w:p>
          <w:p w:rsidR="003E022D" w:rsidRDefault="007D19D6">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C13. Norādīt pārvadātāja vārdu, uzvārdu / nosaukumu / PVN identifikācijas numuru un adresi.</w:t>
            </w: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i/>
                <w:noProof/>
                <w:sz w:val="16"/>
                <w:szCs w:val="16"/>
              </w:rPr>
            </w:pPr>
            <w:r>
              <w:rPr>
                <w:rFonts w:ascii="Arial" w:hAnsi="Arial"/>
                <w:i/>
                <w:noProof/>
                <w:sz w:val="16"/>
                <w:szCs w:val="16"/>
              </w:rPr>
              <w:t>Vārds, uzvārds / nosaukums un/vai PVN reģistrācijas numurs un adrese:</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b/>
                <w:noProof/>
                <w:sz w:val="16"/>
                <w:szCs w:val="16"/>
              </w:rPr>
            </w:pP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C14. Kurš pasūtījis un apmaksājis preču pārvadājumu?</w:t>
            </w: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i/>
                <w:noProof/>
                <w:sz w:val="16"/>
                <w:szCs w:val="16"/>
              </w:rPr>
            </w:pPr>
            <w:r>
              <w:rPr>
                <w:rFonts w:ascii="Arial" w:hAnsi="Arial"/>
                <w:i/>
                <w:noProof/>
                <w:sz w:val="16"/>
                <w:szCs w:val="16"/>
              </w:rPr>
              <w:t>Vārds, uzvārds / nosaukums un/vai PVN reģistrācijas numurs un adrese:</w:t>
            </w:r>
          </w:p>
          <w:p w:rsidR="003E022D" w:rsidRDefault="007D19D6">
            <w:pPr>
              <w:tabs>
                <w:tab w:val="left" w:pos="5655"/>
              </w:tabs>
              <w:rPr>
                <w:rFonts w:ascii="Arial" w:eastAsia="Calibri" w:hAnsi="Arial" w:cs="Arial"/>
                <w:b/>
                <w:noProof/>
                <w:sz w:val="16"/>
                <w:szCs w:val="16"/>
              </w:rPr>
            </w:pPr>
            <w:r>
              <w:rPr>
                <w:noProof/>
                <w:lang w:val="fr-BE" w:eastAsia="fr-BE"/>
              </w:rPr>
              <mc:AlternateContent>
                <mc:Choice Requires="wps">
                  <w:drawing>
                    <wp:anchor distT="0" distB="0" distL="114300" distR="114300" simplePos="0" relativeHeight="251648512" behindDoc="0" locked="0" layoutInCell="1" allowOverlap="1">
                      <wp:simplePos x="0" y="0"/>
                      <wp:positionH relativeFrom="page">
                        <wp:posOffset>685800</wp:posOffset>
                      </wp:positionH>
                      <wp:positionV relativeFrom="page">
                        <wp:posOffset>7357110</wp:posOffset>
                      </wp:positionV>
                      <wp:extent cx="6286500" cy="254000"/>
                      <wp:effectExtent l="0" t="0" r="19050"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3E022D">
                                  <w:pPr>
                                    <w:tabs>
                                      <w:tab w:val="left" w:pos="5655"/>
                                    </w:tabs>
                                    <w:rPr>
                                      <w:lang w:val="fr-BE"/>
                                    </w:rPr>
                                  </w:pP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8" style="position:absolute;left:0;text-align:left;margin-left:54pt;margin-top:579.3pt;width:495pt;height:2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" fillcolor="window" strokecolor="windowText" strokeweight=".25pt">
                      <v:path arrowok="t"/>
                      <v:textbox>
                        <w:txbxContent>
                          <w:p w:rsidR="003E022D" w:rsidRDefault="003E022D">
                            <w:pPr>
                              <w:tabs>
                                <w:tab w:val="left" w:pos="5655"/>
                              </w:tabs>
                              <w:rPr>
                                <w:lang w:val="fr-BE"/>
                              </w:rPr>
                            </w:pPr>
                          </w:p>
                          <w:p w:rsidR="003E022D" w:rsidRDefault="003E022D">
                            <w:pPr>
                              <w:jc w:val="center"/>
                            </w:pPr>
                          </w:p>
                        </w:txbxContent>
                      </v:textbox>
                      <w10:wrap anchorx="page" anchory="page"/>
                    </v:rect>
                  </w:pict>
                </mc:Fallback>
              </mc:AlternateContent>
            </w:r>
          </w:p>
          <w:p w:rsidR="003E022D" w:rsidRDefault="003E022D">
            <w:pPr>
              <w:tabs>
                <w:tab w:val="left" w:pos="5655"/>
              </w:tabs>
              <w:rPr>
                <w:rFonts w:ascii="Arial" w:eastAsia="Calibri" w:hAnsi="Arial" w:cs="Arial"/>
                <w:b/>
                <w:noProof/>
                <w:sz w:val="16"/>
                <w:szCs w:val="16"/>
              </w:rPr>
            </w:pP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C15.</w:t>
            </w:r>
            <w:r>
              <w:rPr>
                <w:noProof/>
              </w:rPr>
              <w:t xml:space="preserve"> </w:t>
            </w:r>
            <w:r>
              <w:rPr>
                <w:rFonts w:ascii="Arial" w:hAnsi="Arial"/>
                <w:noProof/>
                <w:sz w:val="16"/>
                <w:szCs w:val="16"/>
              </w:rPr>
              <w:t>Kurš ir izmantotā transportlīdzekļa īpašnieks?</w:t>
            </w: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i/>
                <w:noProof/>
                <w:sz w:val="16"/>
                <w:szCs w:val="16"/>
              </w:rPr>
            </w:pPr>
            <w:r>
              <w:rPr>
                <w:rFonts w:ascii="Arial" w:hAnsi="Arial"/>
                <w:i/>
                <w:noProof/>
                <w:sz w:val="16"/>
                <w:szCs w:val="16"/>
              </w:rPr>
              <w:t>Vārds, uzvārds / nosaukums un/vai PVN reģistrācijas numurs un adrese:</w:t>
            </w:r>
          </w:p>
          <w:p w:rsidR="003E022D" w:rsidRDefault="003E022D">
            <w:pPr>
              <w:tabs>
                <w:tab w:val="left" w:pos="5655"/>
              </w:tabs>
              <w:rPr>
                <w:rFonts w:ascii="Arial" w:eastAsia="Calibri" w:hAnsi="Arial" w:cs="Arial"/>
                <w:b/>
                <w:noProof/>
                <w:sz w:val="16"/>
                <w:szCs w:val="16"/>
              </w:rPr>
            </w:pPr>
          </w:p>
          <w:p w:rsidR="003E022D" w:rsidRDefault="003E022D">
            <w:pPr>
              <w:tabs>
                <w:tab w:val="left" w:pos="5655"/>
              </w:tabs>
              <w:rPr>
                <w:rFonts w:ascii="Arial" w:eastAsia="Calibri" w:hAnsi="Arial" w:cs="Arial"/>
                <w:b/>
                <w:noProof/>
                <w:sz w:val="16"/>
                <w:szCs w:val="16"/>
              </w:rPr>
            </w:pP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Rēķini</w:t>
            </w:r>
          </w:p>
          <w:p w:rsidR="003E022D" w:rsidRDefault="007D19D6">
            <w:pPr>
              <w:tabs>
                <w:tab w:val="left" w:pos="5655"/>
              </w:tabs>
              <w:rPr>
                <w:rFonts w:ascii="Arial" w:eastAsia="Calibri" w:hAnsi="Arial" w:cs="Arial"/>
                <w:b/>
                <w:noProof/>
                <w:sz w:val="16"/>
                <w:szCs w:val="16"/>
              </w:rPr>
            </w:pPr>
            <w:r>
              <w:rPr>
                <w:noProof/>
              </w:rPr>
              <w:t xml:space="preserve">□ </w:t>
            </w:r>
            <w:r>
              <w:rPr>
                <w:rFonts w:ascii="Arial" w:hAnsi="Arial"/>
                <w:noProof/>
                <w:sz w:val="16"/>
                <w:szCs w:val="16"/>
              </w:rPr>
              <w:t xml:space="preserve">C16. Norādīt rēķina summu, datumu un valūtu. </w:t>
            </w:r>
          </w:p>
        </w:tc>
      </w:tr>
      <w:tr w:rsidR="003E022D">
        <w:trPr>
          <w:jc w:val="center"/>
        </w:trPr>
        <w:tc>
          <w:tcPr>
            <w:tcW w:w="5000" w:type="pct"/>
            <w:gridSpan w:val="5"/>
            <w:shd w:val="clear" w:color="auto" w:fill="auto"/>
          </w:tcPr>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b/>
                <w:noProof/>
                <w:sz w:val="16"/>
                <w:szCs w:val="16"/>
              </w:rPr>
            </w:pP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Maksājums</w:t>
            </w:r>
          </w:p>
          <w:p w:rsidR="003E022D" w:rsidRDefault="007D19D6">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C17. Norādīt samaksāto summu un valūtu.</w:t>
            </w:r>
          </w:p>
        </w:tc>
      </w:tr>
      <w:tr w:rsidR="003E022D">
        <w:trPr>
          <w:jc w:val="center"/>
        </w:trPr>
        <w:tc>
          <w:tcPr>
            <w:tcW w:w="5000" w:type="pct"/>
            <w:gridSpan w:val="5"/>
            <w:shd w:val="clear" w:color="auto" w:fill="auto"/>
          </w:tcPr>
          <w:p w:rsidR="003E022D" w:rsidRDefault="003E022D">
            <w:pPr>
              <w:tabs>
                <w:tab w:val="left" w:pos="5655"/>
              </w:tabs>
              <w:rPr>
                <w:rFonts w:ascii="Arial" w:eastAsia="Calibri" w:hAnsi="Arial" w:cs="Arial"/>
                <w:b/>
                <w:noProof/>
                <w:sz w:val="16"/>
                <w:szCs w:val="16"/>
              </w:rPr>
            </w:pPr>
          </w:p>
          <w:p w:rsidR="003E022D" w:rsidRDefault="003E022D">
            <w:pPr>
              <w:tabs>
                <w:tab w:val="left" w:pos="5655"/>
              </w:tabs>
              <w:rPr>
                <w:rFonts w:ascii="Arial" w:eastAsia="Calibri" w:hAnsi="Arial" w:cs="Arial"/>
                <w:b/>
                <w:noProof/>
                <w:sz w:val="16"/>
                <w:szCs w:val="16"/>
              </w:rPr>
            </w:pPr>
          </w:p>
        </w:tc>
      </w:tr>
      <w:tr w:rsidR="003E022D">
        <w:trPr>
          <w:jc w:val="center"/>
        </w:trPr>
        <w:tc>
          <w:tcPr>
            <w:tcW w:w="5000" w:type="pct"/>
            <w:gridSpan w:val="5"/>
            <w:shd w:val="clear" w:color="auto" w:fill="auto"/>
          </w:tcPr>
          <w:p w:rsidR="003E022D" w:rsidRDefault="007D19D6">
            <w:pPr>
              <w:rPr>
                <w:rFonts w:eastAsia="Calibri"/>
                <w:noProof/>
              </w:rPr>
            </w:pPr>
            <w:r>
              <w:rPr>
                <w:noProof/>
              </w:rPr>
              <w:t xml:space="preserve">□ </w:t>
            </w:r>
            <w:r>
              <w:rPr>
                <w:rFonts w:ascii="Arial" w:hAnsi="Arial"/>
                <w:noProof/>
                <w:sz w:val="16"/>
                <w:szCs w:val="16"/>
              </w:rPr>
              <w:t>C18. Norādīt</w:t>
            </w:r>
            <w:r>
              <w:rPr>
                <w:noProof/>
              </w:rPr>
              <w:t xml:space="preserve"> </w:t>
            </w:r>
            <w:r>
              <w:rPr>
                <w:rFonts w:ascii="Arial" w:hAnsi="Arial"/>
                <w:noProof/>
                <w:sz w:val="16"/>
                <w:szCs w:val="16"/>
              </w:rPr>
              <w:t>bankas konta turētāja vārdu, uzvārdu / nosaukumu un konta numuru, no kura un/vai uz kuru veikts maksājums.</w:t>
            </w:r>
          </w:p>
        </w:tc>
      </w:tr>
      <w:tr w:rsidR="003E022D">
        <w:trPr>
          <w:trHeight w:val="2454"/>
          <w:jc w:val="center"/>
        </w:trPr>
        <w:tc>
          <w:tcPr>
            <w:tcW w:w="5000" w:type="pct"/>
            <w:gridSpan w:val="5"/>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No:</w:t>
            </w:r>
          </w:p>
          <w:p w:rsidR="003E022D" w:rsidRDefault="007D19D6">
            <w:pPr>
              <w:rPr>
                <w:rFonts w:ascii="Arial" w:eastAsia="Calibri" w:hAnsi="Arial" w:cs="Arial"/>
                <w:i/>
                <w:noProof/>
                <w:sz w:val="16"/>
                <w:szCs w:val="16"/>
              </w:rPr>
            </w:pPr>
            <w:r>
              <w:rPr>
                <w:rFonts w:ascii="Arial" w:hAnsi="Arial"/>
                <w:i/>
                <w:noProof/>
                <w:sz w:val="16"/>
                <w:szCs w:val="16"/>
              </w:rPr>
              <w:t xml:space="preserve">   Konta turētāja vārds:</w:t>
            </w:r>
            <w:r>
              <w:rPr>
                <w:i/>
                <w:noProof/>
              </w:rPr>
              <w:t xml:space="preserve"> </w:t>
            </w:r>
          </w:p>
          <w:p w:rsidR="003E022D" w:rsidRDefault="007D19D6">
            <w:pPr>
              <w:rPr>
                <w:rFonts w:ascii="Arial" w:eastAsia="Calibri" w:hAnsi="Arial" w:cs="Arial"/>
                <w:i/>
                <w:noProof/>
                <w:sz w:val="16"/>
                <w:szCs w:val="16"/>
              </w:rPr>
            </w:pPr>
            <w:r>
              <w:rPr>
                <w:rFonts w:ascii="Arial" w:hAnsi="Arial"/>
                <w:i/>
                <w:noProof/>
                <w:sz w:val="16"/>
                <w:szCs w:val="16"/>
              </w:rPr>
              <w:t xml:space="preserve">  Konta </w:t>
            </w:r>
            <w:r>
              <w:rPr>
                <w:rFonts w:ascii="Arial" w:hAnsi="Arial"/>
                <w:noProof/>
                <w:sz w:val="16"/>
                <w:szCs w:val="16"/>
              </w:rPr>
              <w:t>IBAN</w:t>
            </w:r>
            <w:r>
              <w:rPr>
                <w:rFonts w:ascii="Arial" w:hAnsi="Arial"/>
                <w:i/>
                <w:noProof/>
                <w:sz w:val="16"/>
                <w:szCs w:val="16"/>
              </w:rPr>
              <w:t xml:space="preserve"> numurs:</w:t>
            </w:r>
          </w:p>
          <w:p w:rsidR="003E022D" w:rsidRDefault="007D19D6">
            <w:pPr>
              <w:rPr>
                <w:rFonts w:ascii="Arial" w:eastAsia="Calibri" w:hAnsi="Arial" w:cs="Arial"/>
                <w:i/>
                <w:noProof/>
                <w:sz w:val="16"/>
                <w:szCs w:val="16"/>
              </w:rPr>
            </w:pPr>
            <w:r>
              <w:rPr>
                <w:rFonts w:ascii="Arial" w:hAnsi="Arial"/>
                <w:i/>
                <w:noProof/>
                <w:sz w:val="16"/>
                <w:szCs w:val="16"/>
              </w:rPr>
              <w:t xml:space="preserve">  Banka:</w:t>
            </w:r>
          </w:p>
          <w:p w:rsidR="003E022D" w:rsidRDefault="007D19D6">
            <w:pPr>
              <w:rPr>
                <w:rFonts w:ascii="Arial" w:eastAsia="Calibri" w:hAnsi="Arial" w:cs="Arial"/>
                <w:i/>
                <w:noProof/>
                <w:sz w:val="16"/>
                <w:szCs w:val="16"/>
              </w:rPr>
            </w:pPr>
            <w:r>
              <w:rPr>
                <w:rFonts w:ascii="Arial" w:hAnsi="Arial"/>
                <w:i/>
                <w:noProof/>
                <w:sz w:val="16"/>
                <w:szCs w:val="16"/>
              </w:rPr>
              <w:t>Kam:</w:t>
            </w:r>
          </w:p>
          <w:p w:rsidR="003E022D" w:rsidRDefault="007D19D6">
            <w:pPr>
              <w:rPr>
                <w:rFonts w:ascii="Arial" w:eastAsia="Calibri" w:hAnsi="Arial" w:cs="Arial"/>
                <w:i/>
                <w:noProof/>
                <w:sz w:val="16"/>
                <w:szCs w:val="16"/>
              </w:rPr>
            </w:pPr>
            <w:r>
              <w:rPr>
                <w:rFonts w:ascii="Arial" w:hAnsi="Arial"/>
                <w:i/>
                <w:noProof/>
                <w:sz w:val="16"/>
                <w:szCs w:val="16"/>
              </w:rPr>
              <w:t xml:space="preserve">  Konta turētāja vārds:</w:t>
            </w:r>
            <w:r>
              <w:rPr>
                <w:i/>
                <w:noProof/>
              </w:rPr>
              <w:t xml:space="preserve"> </w:t>
            </w:r>
          </w:p>
          <w:p w:rsidR="003E022D" w:rsidRDefault="007D19D6">
            <w:pPr>
              <w:rPr>
                <w:rFonts w:ascii="Arial" w:eastAsia="Calibri" w:hAnsi="Arial" w:cs="Arial"/>
                <w:i/>
                <w:noProof/>
                <w:sz w:val="16"/>
                <w:szCs w:val="16"/>
              </w:rPr>
            </w:pPr>
            <w:r>
              <w:rPr>
                <w:rFonts w:ascii="Arial" w:hAnsi="Arial"/>
                <w:i/>
                <w:noProof/>
                <w:sz w:val="16"/>
                <w:szCs w:val="16"/>
              </w:rPr>
              <w:t xml:space="preserve">  Konta </w:t>
            </w:r>
            <w:r>
              <w:rPr>
                <w:rFonts w:ascii="Arial" w:hAnsi="Arial"/>
                <w:noProof/>
                <w:sz w:val="16"/>
                <w:szCs w:val="16"/>
              </w:rPr>
              <w:t>IBAN</w:t>
            </w:r>
            <w:r>
              <w:rPr>
                <w:rFonts w:ascii="Arial" w:hAnsi="Arial"/>
                <w:i/>
                <w:noProof/>
                <w:sz w:val="16"/>
                <w:szCs w:val="16"/>
              </w:rPr>
              <w:t xml:space="preserve"> numurs:</w:t>
            </w:r>
          </w:p>
          <w:p w:rsidR="003E022D" w:rsidRDefault="007D19D6">
            <w:pPr>
              <w:rPr>
                <w:rFonts w:ascii="Arial" w:eastAsia="Calibri" w:hAnsi="Arial" w:cs="Arial"/>
                <w:b/>
                <w:noProof/>
                <w:sz w:val="16"/>
                <w:szCs w:val="16"/>
              </w:rPr>
            </w:pPr>
            <w:r>
              <w:rPr>
                <w:rFonts w:ascii="Arial" w:hAnsi="Arial"/>
                <w:i/>
                <w:noProof/>
                <w:sz w:val="16"/>
                <w:szCs w:val="16"/>
              </w:rPr>
              <w:t xml:space="preserve">  Banka:</w:t>
            </w: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noProof/>
                <w:sz w:val="16"/>
                <w:szCs w:val="16"/>
              </w:rPr>
            </w:pPr>
            <w:r>
              <w:rPr>
                <w:noProof/>
              </w:rPr>
              <w:t>□</w:t>
            </w:r>
            <w:r>
              <w:rPr>
                <w:rFonts w:ascii="Arial" w:hAnsi="Arial"/>
                <w:noProof/>
                <w:sz w:val="16"/>
                <w:szCs w:val="16"/>
              </w:rPr>
              <w:t>C19. Norādīt šādu sīkāku informāciju, ja maksājums veikts skaidrā naudā:</w:t>
            </w:r>
          </w:p>
          <w:p w:rsidR="003E022D" w:rsidRDefault="007D19D6">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Kurš kam samaksājis naudu, kur un kad tas notika?</w:t>
            </w:r>
            <w:r>
              <w:rPr>
                <w:noProof/>
              </w:rPr>
              <w:tab/>
            </w:r>
            <w:r>
              <w:rPr>
                <w:rFonts w:ascii="Arial" w:hAnsi="Arial"/>
                <w:noProof/>
                <w:sz w:val="16"/>
                <w:szCs w:val="16"/>
              </w:rPr>
              <w:t xml:space="preserve"> </w:t>
            </w:r>
          </w:p>
          <w:p w:rsidR="003E022D" w:rsidRDefault="007D19D6">
            <w:pPr>
              <w:spacing w:after="0"/>
              <w:rPr>
                <w:rFonts w:ascii="Arial" w:eastAsia="Calibri" w:hAnsi="Arial" w:cs="Arial"/>
                <w:noProof/>
                <w:sz w:val="16"/>
                <w:szCs w:val="16"/>
              </w:rPr>
            </w:pPr>
            <w:r>
              <w:rPr>
                <w:noProof/>
              </w:rPr>
              <w:t xml:space="preserve">   □ </w:t>
            </w:r>
            <w:r>
              <w:rPr>
                <w:rFonts w:ascii="Arial" w:hAnsi="Arial"/>
                <w:noProof/>
                <w:sz w:val="16"/>
                <w:szCs w:val="16"/>
              </w:rPr>
              <w:t>Kād</w:t>
            </w:r>
            <w:r>
              <w:rPr>
                <w:rFonts w:ascii="Arial" w:hAnsi="Arial"/>
                <w:noProof/>
                <w:sz w:val="16"/>
                <w:szCs w:val="16"/>
              </w:rPr>
              <w:t>s maksājumu apliecinošs dokuments izdots (kases čeks utt.)?</w:t>
            </w:r>
            <w:r>
              <w:rPr>
                <w:noProof/>
              </w:rPr>
              <w:tab/>
            </w:r>
            <w:r>
              <w:rPr>
                <w:rFonts w:ascii="Arial" w:hAnsi="Arial"/>
                <w:noProof/>
                <w:sz w:val="16"/>
                <w:szCs w:val="16"/>
              </w:rPr>
              <w:t xml:space="preserve"> </w:t>
            </w:r>
          </w:p>
          <w:p w:rsidR="003E022D" w:rsidRDefault="007D19D6">
            <w:pPr>
              <w:tabs>
                <w:tab w:val="left" w:pos="5655"/>
              </w:tabs>
              <w:rPr>
                <w:rFonts w:ascii="Arial" w:eastAsia="Calibri" w:hAnsi="Arial" w:cs="Arial"/>
                <w:noProof/>
                <w:sz w:val="16"/>
                <w:szCs w:val="16"/>
                <w:shd w:val="clear" w:color="auto" w:fill="F2F2F2"/>
              </w:rPr>
            </w:pPr>
            <w:r>
              <w:rPr>
                <w:noProof/>
              </w:rPr>
              <w:t xml:space="preserve">□ </w:t>
            </w:r>
            <w:r>
              <w:rPr>
                <w:rFonts w:ascii="Arial" w:hAnsi="Arial"/>
                <w:noProof/>
                <w:sz w:val="16"/>
                <w:szCs w:val="16"/>
              </w:rPr>
              <w:t xml:space="preserve">C20. Vai ir pierādījums trešo personu maksājumiem? Ja jā, C40. lodziņā norādīt sīkāku informāciju   </w:t>
            </w:r>
            <w:r>
              <w:rPr>
                <w:i/>
                <w:noProof/>
                <w:bdr w:val="single" w:sz="4" w:space="0" w:color="auto"/>
              </w:rPr>
              <w:t xml:space="preserve">○ </w:t>
            </w:r>
            <w:r>
              <w:rPr>
                <w:rFonts w:ascii="Arial" w:hAnsi="Arial"/>
                <w:i/>
                <w:noProof/>
                <w:sz w:val="16"/>
                <w:szCs w:val="16"/>
                <w:bdr w:val="single" w:sz="4" w:space="0" w:color="auto"/>
              </w:rPr>
              <w:t xml:space="preserve">Jā                </w:t>
            </w:r>
            <w:r>
              <w:rPr>
                <w:i/>
                <w:noProof/>
                <w:bdr w:val="single" w:sz="4" w:space="0" w:color="auto"/>
              </w:rPr>
              <w:t xml:space="preserve">○ </w:t>
            </w:r>
            <w:r>
              <w:rPr>
                <w:rFonts w:ascii="Arial" w:hAnsi="Arial"/>
                <w:i/>
                <w:noProof/>
                <w:sz w:val="16"/>
                <w:szCs w:val="16"/>
                <w:bdr w:val="single" w:sz="4" w:space="0" w:color="auto"/>
              </w:rPr>
              <w:t>Nē</w:t>
            </w: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Pasūtījuma veikšana</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C21. Sniegt visu pieejamo informāciju par personu, kura veikusi pasūtījumu, kā pasūtījums veikts un kā notikusi saziņa </w:t>
            </w:r>
          </w:p>
          <w:p w:rsidR="003E022D" w:rsidRDefault="007D19D6">
            <w:pPr>
              <w:tabs>
                <w:tab w:val="left" w:pos="5655"/>
              </w:tabs>
              <w:rPr>
                <w:rFonts w:eastAsia="Calibri"/>
                <w:noProof/>
              </w:rPr>
            </w:pPr>
            <w:r>
              <w:rPr>
                <w:rFonts w:ascii="Arial" w:hAnsi="Arial"/>
                <w:noProof/>
                <w:sz w:val="16"/>
                <w:szCs w:val="16"/>
              </w:rPr>
              <w:t>starp piegādātāju un klientu.</w:t>
            </w:r>
            <w:r>
              <w:rPr>
                <w:noProof/>
              </w:rPr>
              <w:t xml:space="preserve"> </w:t>
            </w: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 xml:space="preserve">Preces, uz kurām attiecas īpaši režīmi / konkrētas procedūras </w:t>
            </w:r>
          </w:p>
          <w:p w:rsidR="003E022D" w:rsidRDefault="007D19D6">
            <w:pPr>
              <w:tabs>
                <w:tab w:val="left" w:pos="5655"/>
              </w:tabs>
              <w:rPr>
                <w:rFonts w:ascii="Arial" w:eastAsia="Calibri" w:hAnsi="Arial" w:cs="Arial"/>
                <w:noProof/>
                <w:sz w:val="16"/>
                <w:szCs w:val="16"/>
              </w:rPr>
            </w:pPr>
            <w:r>
              <w:rPr>
                <w:rFonts w:ascii="Arial" w:hAnsi="Arial"/>
                <w:noProof/>
                <w:sz w:val="16"/>
                <w:szCs w:val="16"/>
              </w:rPr>
              <w:t>Atzīmēt ar ķeksīti attiecīgo lodziņu un i</w:t>
            </w:r>
            <w:r>
              <w:rPr>
                <w:rFonts w:ascii="Arial" w:hAnsi="Arial"/>
                <w:noProof/>
                <w:sz w:val="16"/>
                <w:szCs w:val="16"/>
              </w:rPr>
              <w:t>erakstīt savu jautājumu C40. lodziņā</w:t>
            </w:r>
          </w:p>
          <w:p w:rsidR="003E022D" w:rsidRDefault="007D19D6">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C22. Trijstūra darījumi. </w:t>
            </w:r>
          </w:p>
          <w:p w:rsidR="003E022D" w:rsidRDefault="007D19D6">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C23. Peļņas daļas režīms. </w:t>
            </w:r>
          </w:p>
          <w:p w:rsidR="003E022D" w:rsidRDefault="007D19D6">
            <w:pPr>
              <w:widowControl w:val="0"/>
              <w:tabs>
                <w:tab w:val="left" w:pos="278"/>
              </w:tabs>
              <w:autoSpaceDE w:val="0"/>
              <w:autoSpaceDN w:val="0"/>
              <w:spacing w:before="113"/>
              <w:rPr>
                <w:rFonts w:ascii="Arial" w:eastAsia="Calibri" w:hAnsi="Arial" w:cs="Arial"/>
                <w:noProof/>
                <w:sz w:val="16"/>
                <w:szCs w:val="16"/>
              </w:rPr>
            </w:pPr>
            <w:r>
              <w:rPr>
                <w:noProof/>
              </w:rPr>
              <w:t xml:space="preserve">□ </w:t>
            </w:r>
            <w:r>
              <w:rPr>
                <w:rFonts w:ascii="Arial" w:hAnsi="Arial"/>
                <w:noProof/>
                <w:sz w:val="16"/>
                <w:szCs w:val="16"/>
              </w:rPr>
              <w:t>C24. Preču tālpārdošana</w:t>
            </w:r>
          </w:p>
          <w:p w:rsidR="003E022D" w:rsidRDefault="007D19D6">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uz ko attiecas Savienības režīms</w:t>
            </w:r>
          </w:p>
          <w:p w:rsidR="003E022D" w:rsidRDefault="007D19D6">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uz ko attiecas importa režīms</w:t>
            </w:r>
          </w:p>
          <w:p w:rsidR="003E022D" w:rsidRDefault="007D19D6">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C25. Jauni transportlīdzekļi, kas pārdoti personām, kuras nav nodok</w:t>
            </w:r>
            <w:r>
              <w:rPr>
                <w:rFonts w:ascii="Arial" w:hAnsi="Arial"/>
                <w:noProof/>
                <w:sz w:val="16"/>
                <w:szCs w:val="16"/>
              </w:rPr>
              <w:t xml:space="preserve">ļa maksātāji. </w:t>
            </w:r>
          </w:p>
          <w:p w:rsidR="003E022D" w:rsidRDefault="007D19D6">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C26. Atbrīvojums saskaņā ar muitas procedūru 42XX / 63XX. </w:t>
            </w:r>
          </w:p>
          <w:p w:rsidR="003E022D" w:rsidRDefault="007D19D6">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C27. Gāze un elektroenerģija. </w:t>
            </w:r>
          </w:p>
          <w:p w:rsidR="003E022D" w:rsidRDefault="007D19D6">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C28. Režīms preču piegādei uz noliktavu. </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C29. Citas:</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b/>
                <w:noProof/>
                <w:sz w:val="16"/>
                <w:szCs w:val="16"/>
              </w:rPr>
            </w:pP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 xml:space="preserve">Pakalpojumi, uz kuriem attiecas konkrēti noteikumi </w:t>
            </w: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Atzīmēt ar ķeksīti attiecīgo </w:t>
            </w:r>
            <w:r>
              <w:rPr>
                <w:rFonts w:ascii="Arial" w:hAnsi="Arial"/>
                <w:noProof/>
                <w:sz w:val="16"/>
                <w:szCs w:val="16"/>
              </w:rPr>
              <w:t>lodziņu un ierakstīt savu jautājumu C40. lodziņā</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C30. Starpnieku pakalpojumu sniegšana.</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C31. Ar nekustamo īpašumu saistītu pakalpojumu sniegšana.</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C32. Pasažieru pārvadājuma pakalpojumu sniegšana.</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C33. Preču transportēšanas pakalpojumu sniegšana.</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C34.</w:t>
            </w:r>
            <w:r>
              <w:rPr>
                <w:noProof/>
              </w:rPr>
              <w:t xml:space="preserve"> </w:t>
            </w:r>
            <w:r>
              <w:rPr>
                <w:rFonts w:ascii="Arial" w:hAnsi="Arial"/>
                <w:noProof/>
                <w:sz w:val="16"/>
                <w:szCs w:val="16"/>
              </w:rPr>
              <w:t>Kultūras, mākslas, sporta, zinātnes, izglītības, izklaides pakalpojumu un līdzīgu pakalpojumu sniegšana, palīgpakalpojumu sniegšana saistībā ar transportēšanu, kustamā īpašuma novērtēšana un darbs ar kustamo materiālo īpašumu.</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C35. Tādu restorānu un</w:t>
            </w:r>
            <w:r>
              <w:rPr>
                <w:rFonts w:ascii="Arial" w:hAnsi="Arial"/>
                <w:noProof/>
                <w:sz w:val="16"/>
                <w:szCs w:val="16"/>
              </w:rPr>
              <w:t xml:space="preserve"> ēdināšanas pakalpojumu sniegšana, kuri nav norādīti C37. punktā.</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C36. Transportlīdzekļu nomas pakalpojumu sniegšana.</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C37. Restorānu un ēdināšanas pakalpojumu sniegšana patēriņam uz kuģiem, gaisakuģos vai vilcienos.</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C38. Pakalpojumu sniegšana:</w:t>
            </w:r>
          </w:p>
          <w:p w:rsidR="003E022D" w:rsidRDefault="007D19D6">
            <w:pPr>
              <w:widowControl w:val="0"/>
              <w:tabs>
                <w:tab w:val="left" w:pos="562"/>
              </w:tabs>
              <w:autoSpaceDE w:val="0"/>
              <w:autoSpaceDN w:val="0"/>
              <w:ind w:left="108"/>
              <w:rPr>
                <w:rFonts w:eastAsia="Calibri"/>
                <w:noProof/>
              </w:rPr>
            </w:pPr>
            <w:r>
              <w:rPr>
                <w:noProof/>
              </w:rPr>
              <w:t xml:space="preserve">□ </w:t>
            </w:r>
            <w:r>
              <w:rPr>
                <w:rFonts w:ascii="Arial" w:hAnsi="Arial"/>
                <w:noProof/>
                <w:sz w:val="16"/>
                <w:szCs w:val="16"/>
              </w:rPr>
              <w:t xml:space="preserve">uz </w:t>
            </w:r>
            <w:r>
              <w:rPr>
                <w:rFonts w:ascii="Arial" w:hAnsi="Arial"/>
                <w:noProof/>
                <w:sz w:val="16"/>
                <w:szCs w:val="16"/>
              </w:rPr>
              <w:t>ko attiecas ārpussavienības režīms</w:t>
            </w:r>
          </w:p>
          <w:p w:rsidR="003E022D" w:rsidRDefault="007D19D6">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uz ko attiecas Savienības režīms</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C39. Pakalpojumi, kuriem piemēro noteikumus par faktisko lietošanu un izmantošanu.</w:t>
            </w:r>
          </w:p>
          <w:p w:rsidR="003E022D" w:rsidRDefault="007D19D6">
            <w:pPr>
              <w:tabs>
                <w:tab w:val="left" w:pos="5655"/>
              </w:tabs>
              <w:rPr>
                <w:rFonts w:ascii="Arial" w:eastAsia="Calibri" w:hAnsi="Arial" w:cs="Arial"/>
                <w:b/>
                <w:noProof/>
                <w:sz w:val="16"/>
                <w:szCs w:val="16"/>
              </w:rPr>
            </w:pPr>
            <w:r>
              <w:rPr>
                <w:rFonts w:ascii="Arial" w:hAnsi="Arial"/>
                <w:b/>
                <w:noProof/>
                <w:sz w:val="16"/>
                <w:szCs w:val="16"/>
              </w:rPr>
              <w:t>C40. Situāciju skaidrojoša informācija un citi jautājumi</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b/>
                <w:noProof/>
                <w:sz w:val="16"/>
                <w:szCs w:val="16"/>
              </w:rPr>
            </w:pPr>
          </w:p>
        </w:tc>
      </w:tr>
      <w:tr w:rsidR="003E022D">
        <w:trPr>
          <w:jc w:val="center"/>
        </w:trPr>
        <w:tc>
          <w:tcPr>
            <w:tcW w:w="5000" w:type="pct"/>
            <w:gridSpan w:val="5"/>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rPr>
              <w:t xml:space="preserve">C41. </w:t>
            </w:r>
            <w:r>
              <w:rPr>
                <w:rFonts w:ascii="Arial" w:hAnsi="Arial"/>
                <w:b/>
                <w:i/>
                <w:noProof/>
                <w:sz w:val="16"/>
                <w:szCs w:val="16"/>
              </w:rPr>
              <w:t>Lodziņš atbildēm brīvā tekstā</w:t>
            </w:r>
          </w:p>
          <w:p w:rsidR="003E022D" w:rsidRDefault="003E022D">
            <w:pPr>
              <w:tabs>
                <w:tab w:val="left" w:pos="5655"/>
              </w:tabs>
              <w:rPr>
                <w:rFonts w:ascii="Arial" w:eastAsia="Calibri" w:hAnsi="Arial" w:cs="Arial"/>
                <w:b/>
                <w:noProof/>
                <w:sz w:val="16"/>
                <w:szCs w:val="16"/>
              </w:rPr>
            </w:pPr>
          </w:p>
          <w:p w:rsidR="003E022D" w:rsidRDefault="003E022D">
            <w:pPr>
              <w:tabs>
                <w:tab w:val="left" w:pos="5655"/>
              </w:tabs>
              <w:rPr>
                <w:rFonts w:ascii="Arial" w:eastAsia="Calibri" w:hAnsi="Arial" w:cs="Arial"/>
                <w:b/>
                <w:noProof/>
                <w:sz w:val="16"/>
                <w:szCs w:val="16"/>
              </w:rPr>
            </w:pPr>
          </w:p>
        </w:tc>
      </w:tr>
      <w:tr w:rsidR="003E022D">
        <w:trPr>
          <w:jc w:val="center"/>
        </w:trPr>
        <w:tc>
          <w:tcPr>
            <w:tcW w:w="5000" w:type="pct"/>
            <w:gridSpan w:val="5"/>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 xml:space="preserve">D) </w:t>
            </w:r>
            <w:r>
              <w:rPr>
                <w:rFonts w:ascii="Arial" w:hAnsi="Arial"/>
                <w:b/>
                <w:noProof/>
                <w:sz w:val="16"/>
                <w:szCs w:val="16"/>
              </w:rPr>
              <w:t>DOKUMENTU PIEPRASĪJUMS</w:t>
            </w:r>
          </w:p>
        </w:tc>
      </w:tr>
      <w:tr w:rsidR="003E022D">
        <w:trPr>
          <w:jc w:val="center"/>
        </w:trPr>
        <w:tc>
          <w:tcPr>
            <w:tcW w:w="5000" w:type="pct"/>
            <w:gridSpan w:val="5"/>
            <w:shd w:val="clear" w:color="auto" w:fill="auto"/>
          </w:tcPr>
          <w:p w:rsidR="003E022D" w:rsidRDefault="003E022D">
            <w:pPr>
              <w:tabs>
                <w:tab w:val="left" w:pos="5655"/>
              </w:tabs>
              <w:rPr>
                <w:rFonts w:ascii="Arial" w:eastAsia="Calibri" w:hAnsi="Arial" w:cs="Arial"/>
                <w:noProof/>
                <w:sz w:val="16"/>
                <w:szCs w:val="16"/>
              </w:rPr>
            </w:pPr>
          </w:p>
          <w:p w:rsidR="003E022D" w:rsidRDefault="007D19D6">
            <w:pPr>
              <w:tabs>
                <w:tab w:val="left" w:pos="5655"/>
              </w:tabs>
              <w:rPr>
                <w:rFonts w:eastAsia="Calibri"/>
                <w:noProof/>
              </w:rPr>
            </w:pPr>
            <w:r>
              <w:rPr>
                <w:rFonts w:ascii="Arial" w:hAnsi="Arial"/>
                <w:noProof/>
                <w:sz w:val="16"/>
                <w:szCs w:val="16"/>
              </w:rPr>
              <w:t>Pievienot šādu dokumentu kopijas (summu un periodu vajadzības gadījumā sk. B12. un B13. daļā)</w:t>
            </w:r>
          </w:p>
        </w:tc>
      </w:tr>
      <w:tr w:rsidR="003E022D">
        <w:trPr>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w:t>
            </w:r>
            <w:r>
              <w:rPr>
                <w:rFonts w:ascii="Arial" w:hAnsi="Arial"/>
                <w:noProof/>
                <w:sz w:val="16"/>
                <w:szCs w:val="16"/>
              </w:rPr>
              <w:t>D1. Rēķini</w:t>
            </w:r>
          </w:p>
        </w:tc>
        <w:tc>
          <w:tcPr>
            <w:tcW w:w="1250" w:type="pct"/>
            <w:gridSpan w:val="2"/>
            <w:shd w:val="clear" w:color="auto" w:fill="auto"/>
          </w:tcPr>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tabs>
                <w:tab w:val="left" w:pos="5655"/>
              </w:tabs>
              <w:rPr>
                <w:rFonts w:ascii="Arial" w:eastAsia="Calibri" w:hAnsi="Arial" w:cs="Arial"/>
                <w:b/>
                <w:i/>
                <w:noProof/>
                <w:sz w:val="16"/>
                <w:szCs w:val="16"/>
              </w:rPr>
            </w:pPr>
            <w:r>
              <w:rPr>
                <w:i/>
                <w:noProof/>
              </w:rPr>
              <w:t xml:space="preserve">○ </w:t>
            </w:r>
            <w:r>
              <w:rPr>
                <w:rFonts w:ascii="Arial" w:hAnsi="Arial"/>
                <w:i/>
                <w:noProof/>
                <w:sz w:val="16"/>
                <w:szCs w:val="16"/>
              </w:rPr>
              <w:t>Nav pieejami</w:t>
            </w:r>
          </w:p>
        </w:tc>
      </w:tr>
      <w:tr w:rsidR="003E022D">
        <w:trPr>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w:t>
            </w:r>
            <w:r>
              <w:rPr>
                <w:rFonts w:ascii="Arial" w:hAnsi="Arial"/>
                <w:noProof/>
                <w:sz w:val="16"/>
                <w:szCs w:val="16"/>
              </w:rPr>
              <w:t>D2. Līgumi</w:t>
            </w: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pieejami</w:t>
            </w:r>
          </w:p>
        </w:tc>
      </w:tr>
      <w:tr w:rsidR="003E022D">
        <w:trPr>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w:t>
            </w:r>
            <w:r>
              <w:rPr>
                <w:rFonts w:ascii="Arial" w:hAnsi="Arial"/>
                <w:noProof/>
                <w:sz w:val="16"/>
                <w:szCs w:val="16"/>
              </w:rPr>
              <w:t>D3. Pasūtījumi</w:t>
            </w: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pieejami</w:t>
            </w:r>
          </w:p>
        </w:tc>
      </w:tr>
      <w:tr w:rsidR="003E022D">
        <w:trPr>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w:t>
            </w:r>
            <w:r>
              <w:rPr>
                <w:rFonts w:ascii="Arial" w:hAnsi="Arial"/>
                <w:noProof/>
                <w:sz w:val="16"/>
                <w:szCs w:val="16"/>
              </w:rPr>
              <w:t xml:space="preserve">D4. </w:t>
            </w:r>
            <w:r>
              <w:rPr>
                <w:rFonts w:ascii="Arial" w:hAnsi="Arial"/>
                <w:noProof/>
                <w:sz w:val="16"/>
                <w:szCs w:val="16"/>
              </w:rPr>
              <w:t>Maksājumus apliecinoši dokumenti</w:t>
            </w: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pieejami</w:t>
            </w:r>
          </w:p>
        </w:tc>
      </w:tr>
      <w:tr w:rsidR="003E022D">
        <w:trPr>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w:t>
            </w:r>
            <w:r>
              <w:rPr>
                <w:rFonts w:ascii="Arial" w:hAnsi="Arial"/>
                <w:noProof/>
                <w:sz w:val="16"/>
                <w:szCs w:val="16"/>
              </w:rPr>
              <w:t>D5. Pārvadājumu dokumenti</w:t>
            </w: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pieejami</w:t>
            </w:r>
          </w:p>
        </w:tc>
      </w:tr>
      <w:tr w:rsidR="003E022D">
        <w:trPr>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w:t>
            </w:r>
            <w:r>
              <w:rPr>
                <w:rFonts w:ascii="Arial" w:hAnsi="Arial"/>
                <w:noProof/>
                <w:sz w:val="16"/>
                <w:szCs w:val="16"/>
              </w:rPr>
              <w:t>D6. Nodokļa maksātāja kreditoru virsgrāmata pieprasītājā valstī</w:t>
            </w: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pieejama</w:t>
            </w:r>
          </w:p>
        </w:tc>
      </w:tr>
      <w:tr w:rsidR="003E022D">
        <w:trPr>
          <w:jc w:val="center"/>
        </w:trPr>
        <w:tc>
          <w:tcPr>
            <w:tcW w:w="2500" w:type="pct"/>
            <w:gridSpan w:val="2"/>
            <w:shd w:val="clear" w:color="auto" w:fill="auto"/>
          </w:tcPr>
          <w:p w:rsidR="003E022D" w:rsidRDefault="007D19D6">
            <w:pPr>
              <w:tabs>
                <w:tab w:val="left" w:pos="5655"/>
              </w:tabs>
              <w:rPr>
                <w:rFonts w:eastAsia="Calibri"/>
                <w:noProof/>
              </w:rPr>
            </w:pPr>
            <w:r>
              <w:rPr>
                <w:noProof/>
              </w:rPr>
              <w:t xml:space="preserve">□ </w:t>
            </w:r>
            <w:r>
              <w:rPr>
                <w:rFonts w:ascii="Arial" w:hAnsi="Arial"/>
                <w:noProof/>
                <w:sz w:val="16"/>
                <w:szCs w:val="16"/>
              </w:rPr>
              <w:t xml:space="preserve">D7. Nodokļa maksātāja debitoru </w:t>
            </w:r>
            <w:r>
              <w:rPr>
                <w:rFonts w:ascii="Arial" w:hAnsi="Arial"/>
                <w:noProof/>
                <w:sz w:val="16"/>
                <w:szCs w:val="16"/>
              </w:rPr>
              <w:t>virsgrāmata pieprasītājā valstī</w:t>
            </w: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pieejama</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C8. Reģistri par preču piegādi uz noliktavu</w:t>
            </w: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    No                                       Līdz</w:t>
            </w: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pieejami</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D9. Reģistri par vienas pieturas aģentūru / importa vienas pieturas </w:t>
            </w:r>
            <w:r>
              <w:rPr>
                <w:rFonts w:ascii="Arial" w:hAnsi="Arial"/>
                <w:noProof/>
                <w:sz w:val="16"/>
                <w:szCs w:val="16"/>
              </w:rPr>
              <w:t>aģentūru</w:t>
            </w: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    No                                       Līdz</w:t>
            </w: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pieejami</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D10. Bankas kontu izraksti</w:t>
            </w: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    No                                       Līdz</w:t>
            </w: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pieejami</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D11. Citi</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noProof/>
                <w:sz w:val="16"/>
                <w:szCs w:val="16"/>
              </w:rPr>
            </w:pPr>
          </w:p>
        </w:tc>
        <w:tc>
          <w:tcPr>
            <w:tcW w:w="1250" w:type="pct"/>
            <w:gridSpan w:val="2"/>
            <w:shd w:val="clear" w:color="auto" w:fill="auto"/>
          </w:tcPr>
          <w:p w:rsidR="003E022D" w:rsidRDefault="007D19D6">
            <w:pPr>
              <w:rPr>
                <w:rFonts w:eastAsia="Calibri"/>
                <w:i/>
                <w:noProof/>
              </w:rPr>
            </w:pPr>
            <w:r>
              <w:rPr>
                <w:i/>
                <w:noProof/>
              </w:rPr>
              <w:t xml:space="preserve">○ </w:t>
            </w:r>
            <w:r>
              <w:rPr>
                <w:rFonts w:ascii="Arial" w:hAnsi="Arial"/>
                <w:i/>
                <w:noProof/>
                <w:sz w:val="16"/>
                <w:szCs w:val="16"/>
              </w:rPr>
              <w:t>Pievienota</w:t>
            </w:r>
          </w:p>
        </w:tc>
        <w:tc>
          <w:tcPr>
            <w:tcW w:w="1250" w:type="pct"/>
            <w:shd w:val="clear" w:color="auto" w:fill="auto"/>
          </w:tcPr>
          <w:p w:rsidR="003E022D" w:rsidRDefault="007D19D6">
            <w:pPr>
              <w:rPr>
                <w:rFonts w:eastAsia="Calibri"/>
                <w:i/>
                <w:noProof/>
              </w:rPr>
            </w:pPr>
            <w:r>
              <w:rPr>
                <w:i/>
                <w:noProof/>
              </w:rPr>
              <w:t xml:space="preserve">○ </w:t>
            </w:r>
            <w:r>
              <w:rPr>
                <w:rFonts w:ascii="Arial" w:hAnsi="Arial"/>
                <w:i/>
                <w:noProof/>
                <w:sz w:val="16"/>
                <w:szCs w:val="16"/>
              </w:rPr>
              <w:t>Nav pieejami</w:t>
            </w:r>
          </w:p>
        </w:tc>
      </w:tr>
    </w:tbl>
    <w:p w:rsidR="003E022D" w:rsidRDefault="003E022D">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540"/>
        <w:gridCol w:w="1542"/>
        <w:gridCol w:w="3079"/>
      </w:tblGrid>
      <w:tr w:rsidR="003E022D">
        <w:trPr>
          <w:jc w:val="center"/>
        </w:trPr>
        <w:tc>
          <w:tcPr>
            <w:tcW w:w="5000" w:type="pct"/>
            <w:gridSpan w:val="4"/>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 xml:space="preserve">E. SPONTĀNA </w:t>
            </w:r>
            <w:r>
              <w:rPr>
                <w:rFonts w:ascii="Arial" w:hAnsi="Arial"/>
                <w:b/>
                <w:noProof/>
                <w:sz w:val="16"/>
                <w:szCs w:val="16"/>
              </w:rPr>
              <w:t>INFORMĀCIJAS SNIEGŠANA (VISPĀRĪGA)</w:t>
            </w:r>
          </w:p>
        </w:tc>
      </w:tr>
      <w:tr w:rsidR="003E022D">
        <w:trPr>
          <w:jc w:val="center"/>
        </w:trPr>
        <w:tc>
          <w:tcPr>
            <w:tcW w:w="5000" w:type="pct"/>
            <w:gridSpan w:val="4"/>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E1.</w:t>
            </w:r>
            <w:r>
              <w:rPr>
                <w:noProof/>
              </w:rPr>
              <w:t xml:space="preserve"> </w:t>
            </w:r>
            <w:r>
              <w:rPr>
                <w:rFonts w:ascii="Arial" w:hAnsi="Arial"/>
                <w:noProof/>
                <w:sz w:val="16"/>
                <w:szCs w:val="16"/>
              </w:rPr>
              <w:t xml:space="preserve">No nodokļa maksātāja uzskaites nosūtītājā valstī var secināt, ka nodokļa maksātājam vajadzētu būt reģistrētam saņēmējā valstī. </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E2. Saskaņā ar nodokļa maksātāja nosūtītājā valstī uzskaiti </w:t>
            </w:r>
            <w:r>
              <w:rPr>
                <w:noProof/>
              </w:rPr>
              <w:t xml:space="preserve">□ </w:t>
            </w:r>
            <w:r>
              <w:rPr>
                <w:rFonts w:ascii="Arial" w:hAnsi="Arial"/>
                <w:noProof/>
                <w:sz w:val="16"/>
                <w:szCs w:val="16"/>
              </w:rPr>
              <w:t xml:space="preserve">preces / </w:t>
            </w:r>
            <w:r>
              <w:rPr>
                <w:noProof/>
              </w:rPr>
              <w:t xml:space="preserve">□ </w:t>
            </w:r>
            <w:r>
              <w:rPr>
                <w:rFonts w:ascii="Arial" w:hAnsi="Arial"/>
                <w:noProof/>
                <w:sz w:val="16"/>
                <w:szCs w:val="16"/>
              </w:rPr>
              <w:t xml:space="preserve">pakalpojumus šim nodokļa maksātājam piegādājis/sniedzis nodokļa maksātājs saņēmējā valstī, taču par to nav pieejama informācija no </w:t>
            </w:r>
            <w:r>
              <w:rPr>
                <w:rFonts w:ascii="Arial" w:hAnsi="Arial"/>
                <w:i/>
                <w:noProof/>
                <w:sz w:val="16"/>
                <w:szCs w:val="16"/>
              </w:rPr>
              <w:t>VIES</w:t>
            </w:r>
            <w:r>
              <w:rPr>
                <w:rFonts w:ascii="Arial" w:hAnsi="Arial"/>
                <w:noProof/>
                <w:sz w:val="16"/>
                <w:szCs w:val="16"/>
              </w:rPr>
              <w:t xml:space="preserve">/muitas vai citu avotu datiem. </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E3. Saskaņā ar nodokļa maksātāja uzskaiti nosūtītājā valstī par precēm, kas piegādātas </w:t>
            </w:r>
            <w:r>
              <w:rPr>
                <w:rFonts w:ascii="Arial" w:hAnsi="Arial"/>
                <w:noProof/>
                <w:sz w:val="16"/>
                <w:szCs w:val="16"/>
              </w:rPr>
              <w:t xml:space="preserve">uz saņēmēju valsti, jāmaksā PVN, taču par to nav ievadīti dati </w:t>
            </w:r>
            <w:r>
              <w:rPr>
                <w:rFonts w:ascii="Arial" w:hAnsi="Arial"/>
                <w:i/>
                <w:noProof/>
                <w:sz w:val="16"/>
                <w:szCs w:val="16"/>
              </w:rPr>
              <w:t>VIES</w:t>
            </w:r>
            <w:r>
              <w:rPr>
                <w:rFonts w:ascii="Arial" w:hAnsi="Arial"/>
                <w:noProof/>
                <w:sz w:val="16"/>
                <w:szCs w:val="16"/>
              </w:rPr>
              <w:t xml:space="preserve">/muitas vai citu avotu datos. </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E4. Saskaņā ar </w:t>
            </w:r>
            <w:r>
              <w:rPr>
                <w:rFonts w:ascii="Arial" w:hAnsi="Arial"/>
                <w:i/>
                <w:noProof/>
                <w:sz w:val="16"/>
                <w:szCs w:val="16"/>
              </w:rPr>
              <w:t>VIES</w:t>
            </w:r>
            <w:r>
              <w:rPr>
                <w:rFonts w:ascii="Arial" w:hAnsi="Arial"/>
                <w:noProof/>
                <w:sz w:val="16"/>
                <w:szCs w:val="16"/>
              </w:rPr>
              <w:t>/muitas vai citu avotu datiem nodokļa maksātājs saņēmējā valstī veicis piegādes nodokļa maksātājam nosūtītājā valstī, bet nodokļa maksātā</w:t>
            </w:r>
            <w:r>
              <w:rPr>
                <w:rFonts w:ascii="Arial" w:hAnsi="Arial"/>
                <w:noProof/>
                <w:sz w:val="16"/>
                <w:szCs w:val="16"/>
              </w:rPr>
              <w:t>js nosūtītājā valstī (izvēlēties atbilstošo):</w:t>
            </w: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nav deklarējis</w:t>
            </w:r>
            <w:r>
              <w:rPr>
                <w:rFonts w:ascii="Arial" w:hAnsi="Arial"/>
                <w:noProof/>
                <w:color w:val="FF0000"/>
                <w:sz w:val="16"/>
                <w:szCs w:val="16"/>
              </w:rPr>
              <w:t xml:space="preserve"> </w:t>
            </w:r>
            <w:r>
              <w:rPr>
                <w:noProof/>
              </w:rPr>
              <w:t xml:space="preserve">□ </w:t>
            </w:r>
            <w:r>
              <w:rPr>
                <w:rFonts w:ascii="Arial" w:hAnsi="Arial"/>
                <w:noProof/>
                <w:sz w:val="16"/>
                <w:szCs w:val="16"/>
              </w:rPr>
              <w:t xml:space="preserve">preču iegādi / </w:t>
            </w:r>
            <w:r>
              <w:rPr>
                <w:noProof/>
              </w:rPr>
              <w:t xml:space="preserve">□ </w:t>
            </w:r>
            <w:r>
              <w:rPr>
                <w:rFonts w:ascii="Arial" w:hAnsi="Arial"/>
                <w:noProof/>
                <w:sz w:val="16"/>
                <w:szCs w:val="16"/>
              </w:rPr>
              <w:t>pakalpojumu saņemšanu;</w:t>
            </w:r>
          </w:p>
          <w:p w:rsidR="003E022D" w:rsidRDefault="007D19D6">
            <w:pPr>
              <w:tabs>
                <w:tab w:val="left" w:pos="5655"/>
              </w:tabs>
              <w:rPr>
                <w:rFonts w:ascii="Arial" w:eastAsia="Calibri" w:hAnsi="Arial" w:cs="Arial"/>
                <w:noProof/>
                <w:sz w:val="16"/>
                <w:szCs w:val="16"/>
              </w:rPr>
            </w:pPr>
            <w:r>
              <w:rPr>
                <w:noProof/>
              </w:rPr>
              <w:t xml:space="preserve">         □ </w:t>
            </w:r>
            <w:r>
              <w:rPr>
                <w:rFonts w:ascii="Arial" w:hAnsi="Arial"/>
                <w:noProof/>
                <w:sz w:val="16"/>
                <w:szCs w:val="16"/>
              </w:rPr>
              <w:t xml:space="preserve">noliedz </w:t>
            </w:r>
            <w:r>
              <w:rPr>
                <w:noProof/>
              </w:rPr>
              <w:t xml:space="preserve">□ </w:t>
            </w:r>
            <w:r>
              <w:rPr>
                <w:rFonts w:ascii="Arial" w:hAnsi="Arial"/>
                <w:noProof/>
                <w:sz w:val="16"/>
                <w:szCs w:val="16"/>
              </w:rPr>
              <w:t xml:space="preserve">preču iegādi / </w:t>
            </w:r>
            <w:r>
              <w:rPr>
                <w:noProof/>
              </w:rPr>
              <w:t xml:space="preserve">□ </w:t>
            </w:r>
            <w:r>
              <w:rPr>
                <w:rFonts w:ascii="Arial" w:hAnsi="Arial"/>
                <w:noProof/>
                <w:sz w:val="16"/>
                <w:szCs w:val="16"/>
              </w:rPr>
              <w:t>pakalpojumu saņemšanu.</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E5. Saskaņā ar nodokļa maksātāja uzskaiti nosūtītājā valstī par pakalpojumiem, kas snie</w:t>
            </w:r>
            <w:r>
              <w:rPr>
                <w:rFonts w:ascii="Arial" w:hAnsi="Arial"/>
                <w:noProof/>
                <w:sz w:val="16"/>
                <w:szCs w:val="16"/>
              </w:rPr>
              <w:t>gti saņēmējā valstī, jāmaksā PVN.</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E6. Situāciju skaidrojoša informācija un papildu informācija:</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E7. Pievienoju manā rīcībā esošo rēķinu kopijas.</w:t>
            </w:r>
          </w:p>
        </w:tc>
      </w:tr>
      <w:tr w:rsidR="003E022D">
        <w:trPr>
          <w:jc w:val="center"/>
        </w:trPr>
        <w:tc>
          <w:tcPr>
            <w:tcW w:w="5000" w:type="pct"/>
            <w:gridSpan w:val="4"/>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F) “PAZUDUŠĀ TIRGOTĀJA” KRĀPNIECISKA DARBĪBA: REĢISTRĀCIJAS KONTROLE / DARĪJUMDARBĪBA</w:t>
            </w:r>
          </w:p>
        </w:tc>
      </w:tr>
      <w:tr w:rsidR="003E022D">
        <w:trPr>
          <w:trHeight w:val="256"/>
          <w:jc w:val="center"/>
        </w:trPr>
        <w:tc>
          <w:tcPr>
            <w:tcW w:w="5000" w:type="pct"/>
            <w:gridSpan w:val="4"/>
            <w:shd w:val="clear" w:color="auto" w:fill="auto"/>
          </w:tcPr>
          <w:p w:rsidR="003E022D" w:rsidRDefault="007D19D6">
            <w:pPr>
              <w:rPr>
                <w:rFonts w:ascii="Arial" w:eastAsia="Calibri" w:hAnsi="Arial" w:cs="Arial"/>
                <w:noProof/>
                <w:sz w:val="16"/>
                <w:szCs w:val="16"/>
              </w:rPr>
            </w:pPr>
            <w:r>
              <w:rPr>
                <w:rFonts w:ascii="Arial" w:hAnsi="Arial"/>
                <w:b/>
                <w:noProof/>
                <w:sz w:val="16"/>
                <w:szCs w:val="16"/>
              </w:rPr>
              <w:t>A) Uzņēmuma identif</w:t>
            </w:r>
            <w:r>
              <w:rPr>
                <w:rFonts w:ascii="Arial" w:hAnsi="Arial"/>
                <w:b/>
                <w:noProof/>
                <w:sz w:val="16"/>
                <w:szCs w:val="16"/>
              </w:rPr>
              <w:t>ikācijas dati</w:t>
            </w:r>
          </w:p>
        </w:tc>
      </w:tr>
      <w:tr w:rsidR="003E022D">
        <w:trPr>
          <w:jc w:val="center"/>
        </w:trPr>
        <w:tc>
          <w:tcPr>
            <w:tcW w:w="1667" w:type="pct"/>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Pieprasītāja iestāde</w:t>
            </w:r>
          </w:p>
        </w:tc>
        <w:tc>
          <w:tcPr>
            <w:tcW w:w="1667" w:type="pct"/>
            <w:gridSpan w:val="2"/>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Pieprasījuma saņēmēja iestāde</w:t>
            </w:r>
          </w:p>
        </w:tc>
        <w:tc>
          <w:tcPr>
            <w:tcW w:w="1666" w:type="pct"/>
            <w:shd w:val="clear" w:color="auto" w:fill="auto"/>
          </w:tcPr>
          <w:p w:rsidR="003E022D" w:rsidRDefault="007D19D6">
            <w:pPr>
              <w:rPr>
                <w:rFonts w:ascii="Arial" w:eastAsia="Calibri" w:hAnsi="Arial" w:cs="Arial"/>
                <w:b/>
                <w:i/>
                <w:noProof/>
                <w:sz w:val="16"/>
                <w:szCs w:val="16"/>
              </w:rPr>
            </w:pPr>
            <w:r>
              <w:rPr>
                <w:rFonts w:ascii="Arial" w:hAnsi="Arial"/>
                <w:b/>
                <w:i/>
                <w:noProof/>
                <w:sz w:val="16"/>
                <w:szCs w:val="16"/>
              </w:rPr>
              <w:t>Pieprasījuma saņēmēja iestāde</w:t>
            </w:r>
            <w:r>
              <w:rPr>
                <w:rFonts w:ascii="Arial" w:eastAsia="Calibri" w:hAnsi="Arial" w:cs="Arial"/>
                <w:b/>
                <w:i/>
                <w:noProof/>
                <w:sz w:val="16"/>
                <w:szCs w:val="16"/>
                <w:vertAlign w:val="superscript"/>
              </w:rPr>
              <w:footnoteReference w:id="150"/>
            </w: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F1. PVN identifikācijas numurs (ja nav, tad nodokļa maksātāja identifikācijas numurs)</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7D19D6">
            <w:pPr>
              <w:rPr>
                <w:rFonts w:ascii="Arial" w:eastAsia="Calibri" w:hAnsi="Arial" w:cs="Arial"/>
                <w:noProof/>
                <w:sz w:val="16"/>
                <w:szCs w:val="16"/>
              </w:rPr>
            </w:pPr>
            <w:r>
              <w:rPr>
                <w:rFonts w:ascii="Arial" w:hAnsi="Arial"/>
                <w:noProof/>
                <w:sz w:val="16"/>
                <w:szCs w:val="16"/>
              </w:rPr>
              <w:t>PVN identifikācijas numurs:</w:t>
            </w: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 xml:space="preserve">F1. PVN identifikācijas numurs (ja nav, </w:t>
            </w:r>
            <w:r>
              <w:rPr>
                <w:rFonts w:ascii="Arial" w:hAnsi="Arial"/>
                <w:noProof/>
                <w:sz w:val="16"/>
                <w:szCs w:val="16"/>
              </w:rPr>
              <w:t>tad nodokļa maksātāja identifikācijas numurs)</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7D19D6">
            <w:pPr>
              <w:rPr>
                <w:rFonts w:ascii="Arial" w:eastAsia="Calibri" w:hAnsi="Arial" w:cs="Arial"/>
                <w:noProof/>
                <w:sz w:val="16"/>
                <w:szCs w:val="16"/>
              </w:rPr>
            </w:pPr>
            <w:r>
              <w:rPr>
                <w:rFonts w:ascii="Arial" w:hAnsi="Arial"/>
                <w:noProof/>
                <w:sz w:val="16"/>
                <w:szCs w:val="16"/>
              </w:rPr>
              <w:t>PVN identifikācijas numurs:</w:t>
            </w:r>
          </w:p>
        </w:tc>
        <w:tc>
          <w:tcPr>
            <w:tcW w:w="1666" w:type="pct"/>
            <w:shd w:val="clear" w:color="auto" w:fill="auto"/>
          </w:tcPr>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rPr>
                <w:rFonts w:ascii="Arial" w:eastAsia="Calibri" w:hAnsi="Arial" w:cs="Arial"/>
                <w:i/>
                <w:noProof/>
                <w:sz w:val="16"/>
                <w:szCs w:val="16"/>
              </w:rPr>
            </w:pPr>
            <w:r>
              <w:rPr>
                <w:rFonts w:ascii="Arial" w:hAnsi="Arial"/>
                <w:i/>
                <w:noProof/>
                <w:sz w:val="16"/>
                <w:szCs w:val="16"/>
              </w:rPr>
              <w:t>PVN identifikācijas numurs:</w:t>
            </w:r>
          </w:p>
        </w:tc>
      </w:tr>
      <w:tr w:rsidR="003E022D">
        <w:trPr>
          <w:jc w:val="center"/>
        </w:trPr>
        <w:tc>
          <w:tcPr>
            <w:tcW w:w="1667" w:type="pct"/>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PVN identifikācijas numurs nav pieejams</w:t>
            </w:r>
          </w:p>
        </w:tc>
        <w:tc>
          <w:tcPr>
            <w:tcW w:w="1667" w:type="pct"/>
            <w:gridSpan w:val="2"/>
            <w:shd w:val="clear" w:color="auto" w:fill="auto"/>
          </w:tcPr>
          <w:p w:rsidR="003E022D" w:rsidRDefault="007D19D6">
            <w:pPr>
              <w:rPr>
                <w:rFonts w:ascii="Arial" w:eastAsia="Calibri" w:hAnsi="Arial" w:cs="Arial"/>
                <w:b/>
                <w:noProof/>
                <w:sz w:val="16"/>
                <w:szCs w:val="16"/>
              </w:rPr>
            </w:pPr>
            <w:r>
              <w:rPr>
                <w:noProof/>
              </w:rPr>
              <w:t xml:space="preserve">□ </w:t>
            </w:r>
            <w:r>
              <w:rPr>
                <w:rFonts w:ascii="Arial" w:hAnsi="Arial"/>
                <w:noProof/>
                <w:sz w:val="16"/>
                <w:szCs w:val="16"/>
              </w:rPr>
              <w:t>PVN identifikācijas numurs nav pieejams</w:t>
            </w:r>
          </w:p>
        </w:tc>
        <w:tc>
          <w:tcPr>
            <w:tcW w:w="1666" w:type="pct"/>
            <w:shd w:val="clear" w:color="auto" w:fill="auto"/>
          </w:tcPr>
          <w:p w:rsidR="003E022D" w:rsidRDefault="007D19D6">
            <w:pPr>
              <w:rPr>
                <w:rFonts w:ascii="Arial" w:eastAsia="Calibri" w:hAnsi="Arial" w:cs="Arial"/>
                <w:i/>
                <w:noProof/>
                <w:sz w:val="16"/>
                <w:szCs w:val="16"/>
              </w:rPr>
            </w:pPr>
            <w:r>
              <w:rPr>
                <w:i/>
                <w:noProof/>
              </w:rPr>
              <w:t xml:space="preserve">□ </w:t>
            </w:r>
            <w:r>
              <w:rPr>
                <w:rFonts w:ascii="Arial" w:hAnsi="Arial"/>
                <w:i/>
                <w:noProof/>
                <w:sz w:val="16"/>
                <w:szCs w:val="16"/>
              </w:rPr>
              <w:t xml:space="preserve">PVN </w:t>
            </w:r>
            <w:r>
              <w:rPr>
                <w:rFonts w:ascii="Arial" w:hAnsi="Arial"/>
                <w:i/>
                <w:noProof/>
                <w:sz w:val="16"/>
                <w:szCs w:val="16"/>
              </w:rPr>
              <w:t>identifikācijas numurs nav pieejams</w:t>
            </w:r>
          </w:p>
        </w:tc>
      </w:tr>
      <w:tr w:rsidR="003E022D">
        <w:trPr>
          <w:jc w:val="center"/>
        </w:trPr>
        <w:tc>
          <w:tcPr>
            <w:tcW w:w="1667" w:type="pct"/>
            <w:shd w:val="clear" w:color="auto" w:fill="auto"/>
          </w:tcPr>
          <w:p w:rsidR="003E022D" w:rsidRDefault="007D19D6">
            <w:pPr>
              <w:rPr>
                <w:rFonts w:eastAsia="Calibri"/>
                <w:noProof/>
              </w:rPr>
            </w:pPr>
            <w:r>
              <w:rPr>
                <w:rFonts w:ascii="Arial" w:hAnsi="Arial"/>
                <w:noProof/>
                <w:sz w:val="16"/>
                <w:szCs w:val="16"/>
              </w:rPr>
              <w:t>Nodokļa maksātāja identifikācijas numurs:</w:t>
            </w:r>
            <w:r>
              <w:rPr>
                <w:noProof/>
              </w:rPr>
              <w:t xml:space="preserve"> </w:t>
            </w: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eastAsia="Calibri"/>
                <w:noProof/>
              </w:rPr>
            </w:pPr>
            <w:r>
              <w:rPr>
                <w:rFonts w:ascii="Arial" w:hAnsi="Arial"/>
                <w:noProof/>
                <w:sz w:val="16"/>
                <w:szCs w:val="16"/>
              </w:rPr>
              <w:t>Nodokļa maksātāja identifikācijas numurs:</w:t>
            </w:r>
            <w:r>
              <w:rPr>
                <w:noProof/>
              </w:rPr>
              <w:t xml:space="preserve"> </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eastAsia="Calibri"/>
                <w:i/>
                <w:noProof/>
              </w:rPr>
            </w:pPr>
            <w:r>
              <w:rPr>
                <w:rFonts w:ascii="Arial" w:hAnsi="Arial"/>
                <w:i/>
                <w:noProof/>
                <w:sz w:val="16"/>
                <w:szCs w:val="16"/>
              </w:rPr>
              <w:t>Nodokļa maksātāja identifikācijas numurs:</w:t>
            </w:r>
            <w:r>
              <w:rPr>
                <w:i/>
                <w:noProof/>
              </w:rPr>
              <w:t xml:space="preserve"> </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noProof/>
              </w:rPr>
              <w:br w:type="page"/>
            </w:r>
            <w:r>
              <w:rPr>
                <w:rFonts w:ascii="Arial" w:hAnsi="Arial"/>
                <w:noProof/>
                <w:sz w:val="16"/>
                <w:szCs w:val="16"/>
              </w:rPr>
              <w:t>F2. Vārds, uzvārds / nosaukums</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F2. Vārds, uzvārds / nosaukums</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3E022D">
            <w:pPr>
              <w:tabs>
                <w:tab w:val="left" w:pos="5655"/>
              </w:tabs>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6" w:type="pct"/>
            <w:shd w:val="clear" w:color="auto" w:fill="auto"/>
          </w:tcPr>
          <w:p w:rsidR="003E022D" w:rsidRDefault="003E022D">
            <w:pPr>
              <w:tabs>
                <w:tab w:val="left" w:pos="5655"/>
              </w:tabs>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rPr>
                <w:rFonts w:ascii="Arial" w:eastAsia="Calibri" w:hAnsi="Arial" w:cs="Arial"/>
                <w:i/>
                <w:noProof/>
                <w:sz w:val="16"/>
                <w:szCs w:val="16"/>
              </w:rPr>
            </w:pPr>
            <w:r>
              <w:rPr>
                <w:rFonts w:ascii="Arial" w:hAnsi="Arial"/>
                <w:i/>
                <w:noProof/>
                <w:sz w:val="16"/>
                <w:szCs w:val="16"/>
              </w:rPr>
              <w:t>Vārds, uzvārds / nosaukums:</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F3. Adrese</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spacing w:before="240"/>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F3. Adrese</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Apstiprināt</w:t>
            </w:r>
          </w:p>
          <w:p w:rsidR="003E022D" w:rsidRDefault="003E022D">
            <w:pPr>
              <w:tabs>
                <w:tab w:val="left" w:pos="5655"/>
              </w:tabs>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6" w:type="pct"/>
            <w:shd w:val="clear" w:color="auto" w:fill="auto"/>
          </w:tcPr>
          <w:p w:rsidR="003E022D" w:rsidRDefault="003E022D">
            <w:pPr>
              <w:tabs>
                <w:tab w:val="left" w:pos="5655"/>
              </w:tabs>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7D19D6">
            <w:pPr>
              <w:rPr>
                <w:rFonts w:ascii="Arial" w:eastAsia="Calibri" w:hAnsi="Arial" w:cs="Arial"/>
                <w:i/>
                <w:noProof/>
                <w:sz w:val="16"/>
                <w:szCs w:val="16"/>
              </w:rPr>
            </w:pPr>
            <w:r>
              <w:rPr>
                <w:rFonts w:ascii="Arial" w:hAnsi="Arial"/>
                <w:i/>
                <w:noProof/>
                <w:sz w:val="16"/>
                <w:szCs w:val="16"/>
              </w:rPr>
              <w:t>Adrese:</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eastAsia="Calibri"/>
                <w:noProof/>
              </w:rPr>
            </w:pPr>
            <w:r>
              <w:rPr>
                <w:rFonts w:ascii="Arial" w:hAnsi="Arial"/>
                <w:noProof/>
                <w:sz w:val="16"/>
                <w:szCs w:val="16"/>
              </w:rPr>
              <w:t>F4. Šādi datumi formātā (GGGG/MM/DD):</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F4. Šādi datumi formātā (GGGG/MM/DD):</w:t>
            </w:r>
          </w:p>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b/>
                <w:noProof/>
                <w:sz w:val="16"/>
                <w:szCs w:val="16"/>
              </w:rPr>
            </w:pPr>
            <w:r>
              <w:rPr>
                <w:noProof/>
              </w:rPr>
              <w:t xml:space="preserve">○ </w:t>
            </w:r>
            <w:r>
              <w:rPr>
                <w:rFonts w:ascii="Arial" w:hAnsi="Arial"/>
                <w:noProof/>
                <w:sz w:val="16"/>
                <w:szCs w:val="16"/>
              </w:rPr>
              <w:t>Apstiprināt</w:t>
            </w:r>
          </w:p>
        </w:tc>
        <w:tc>
          <w:tcPr>
            <w:tcW w:w="1666" w:type="pct"/>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p w:rsidR="003E022D" w:rsidRDefault="003E022D">
            <w:pPr>
              <w:tabs>
                <w:tab w:val="left" w:pos="5655"/>
              </w:tabs>
              <w:rPr>
                <w:rFonts w:ascii="Arial" w:eastAsia="Calibri" w:hAnsi="Arial" w:cs="Arial"/>
                <w:i/>
                <w:noProof/>
                <w:sz w:val="16"/>
                <w:szCs w:val="16"/>
              </w:rPr>
            </w:pPr>
          </w:p>
        </w:tc>
      </w:tr>
      <w:tr w:rsidR="003E022D">
        <w:trPr>
          <w:trHeight w:val="135"/>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a) kad piešķirts PVN / nodokļa maksātāja identifikācijas numurs</w:t>
            </w: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a) kad piešķirts PVN / nodokļa maksātāja identifikācijas numurs</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a) kad piešķirts PVN / nodokļa maksātāja identifikācijas numurs</w:t>
            </w:r>
          </w:p>
          <w:p w:rsidR="003E022D" w:rsidRDefault="003E022D">
            <w:pPr>
              <w:rPr>
                <w:rFonts w:ascii="Arial" w:eastAsia="Calibri" w:hAnsi="Arial" w:cs="Arial"/>
                <w:i/>
                <w:noProof/>
                <w:sz w:val="16"/>
                <w:szCs w:val="16"/>
              </w:rPr>
            </w:pPr>
          </w:p>
        </w:tc>
      </w:tr>
      <w:tr w:rsidR="003E022D">
        <w:trPr>
          <w:trHeight w:val="134"/>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kad anulēts PVN / nodokļa maksātāja identifikācijas numurs</w:t>
            </w: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 kad anulēts PVN / nodokļa maksātāja identifikācijas numurs</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b) kad anulēts PVN / nodokļa maksātāja identifikācijas numurs</w:t>
            </w:r>
          </w:p>
          <w:p w:rsidR="003E022D" w:rsidRDefault="003E022D">
            <w:pPr>
              <w:rPr>
                <w:rFonts w:ascii="Arial" w:eastAsia="Calibri" w:hAnsi="Arial" w:cs="Arial"/>
                <w:i/>
                <w:noProof/>
                <w:sz w:val="16"/>
                <w:szCs w:val="16"/>
              </w:rPr>
            </w:pPr>
          </w:p>
        </w:tc>
      </w:tr>
      <w:tr w:rsidR="003E022D">
        <w:trPr>
          <w:trHeight w:val="135"/>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c) inkorporācijas datums</w:t>
            </w: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c) inkorporācijas datums</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c) inkorporāci</w:t>
            </w:r>
            <w:r>
              <w:rPr>
                <w:rFonts w:ascii="Arial" w:hAnsi="Arial"/>
                <w:i/>
                <w:noProof/>
                <w:sz w:val="16"/>
                <w:szCs w:val="16"/>
              </w:rPr>
              <w:t>jas datums</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F5.</w:t>
            </w:r>
            <w:r>
              <w:rPr>
                <w:noProof/>
              </w:rPr>
              <w:t xml:space="preserve"> </w:t>
            </w:r>
            <w:r>
              <w:rPr>
                <w:rFonts w:ascii="Arial" w:hAnsi="Arial"/>
                <w:noProof/>
                <w:sz w:val="16"/>
                <w:szCs w:val="16"/>
              </w:rPr>
              <w:t>Īpašnieki, līdzīpašnieki, partneri, starpnieki, ieinteresētās personas vai personas, kurām ir citas tiesības uzņēmumā</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F5. Īpašnieki, līdzīpašnieki, partneri, starpnieki, ieinteresētās personas vai personas, kurām ir citas tiesības </w:t>
            </w:r>
            <w:r>
              <w:rPr>
                <w:rFonts w:ascii="Arial" w:hAnsi="Arial"/>
                <w:noProof/>
                <w:sz w:val="16"/>
                <w:szCs w:val="16"/>
              </w:rPr>
              <w:t>uzņēmumā</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b/>
                <w:noProof/>
                <w:sz w:val="16"/>
                <w:szCs w:val="16"/>
              </w:rPr>
            </w:pPr>
            <w:r>
              <w:rPr>
                <w:noProof/>
              </w:rPr>
              <w:t xml:space="preserve">○ </w:t>
            </w:r>
            <w:r>
              <w:rPr>
                <w:rFonts w:ascii="Arial" w:hAnsi="Arial"/>
                <w:noProof/>
                <w:sz w:val="16"/>
                <w:szCs w:val="16"/>
              </w:rPr>
              <w:t>Apstiprināt</w:t>
            </w:r>
          </w:p>
        </w:tc>
        <w:tc>
          <w:tcPr>
            <w:tcW w:w="1666" w:type="pct"/>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a) Vārds, uzvārds</w:t>
            </w:r>
          </w:p>
          <w:p w:rsidR="003E022D" w:rsidRDefault="007D19D6">
            <w:pPr>
              <w:rPr>
                <w:rFonts w:ascii="Arial" w:eastAsia="Calibri" w:hAnsi="Arial" w:cs="Arial"/>
                <w:noProof/>
                <w:sz w:val="16"/>
                <w:szCs w:val="16"/>
              </w:rPr>
            </w:pPr>
            <w:r>
              <w:rPr>
                <w:noProof/>
              </w:rPr>
              <w:t xml:space="preserve"> </w:t>
            </w:r>
          </w:p>
        </w:tc>
        <w:tc>
          <w:tcPr>
            <w:tcW w:w="1667" w:type="pct"/>
            <w:gridSpan w:val="2"/>
            <w:shd w:val="clear" w:color="auto" w:fill="auto"/>
          </w:tcPr>
          <w:p w:rsidR="003E022D" w:rsidRDefault="007D19D6">
            <w:pPr>
              <w:rPr>
                <w:rFonts w:eastAsia="Calibri"/>
                <w:noProof/>
              </w:rPr>
            </w:pPr>
            <w:r>
              <w:rPr>
                <w:rFonts w:ascii="Arial" w:hAnsi="Arial"/>
                <w:noProof/>
                <w:sz w:val="16"/>
                <w:szCs w:val="16"/>
              </w:rPr>
              <w:t>a) Vārds, uzvārds</w:t>
            </w:r>
            <w:r>
              <w:rPr>
                <w:noProof/>
              </w:rPr>
              <w:t xml:space="preserve"> </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eastAsia="Calibri"/>
                <w:i/>
                <w:noProof/>
              </w:rPr>
            </w:pPr>
            <w:r>
              <w:rPr>
                <w:rFonts w:ascii="Arial" w:hAnsi="Arial"/>
                <w:i/>
                <w:noProof/>
                <w:sz w:val="16"/>
                <w:szCs w:val="16"/>
              </w:rPr>
              <w:t>a) Vārds, uzvārds</w:t>
            </w:r>
            <w:r>
              <w:rPr>
                <w:i/>
                <w:noProof/>
              </w:rPr>
              <w:t xml:space="preserve"> </w:t>
            </w:r>
          </w:p>
          <w:p w:rsidR="003E022D" w:rsidRDefault="007D19D6">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70016" behindDoc="0" locked="0" layoutInCell="1" allowOverlap="1">
                      <wp:simplePos x="0" y="0"/>
                      <wp:positionH relativeFrom="page">
                        <wp:posOffset>4914900</wp:posOffset>
                      </wp:positionH>
                      <wp:positionV relativeFrom="page">
                        <wp:posOffset>8648700</wp:posOffset>
                      </wp:positionV>
                      <wp:extent cx="2057400" cy="127000"/>
                      <wp:effectExtent l="0" t="0" r="19050"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39" style="position:absolute;left:0;text-align:left;margin-left:387pt;margin-top:681pt;width:162pt;height:10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Adrese</w:t>
            </w:r>
          </w:p>
          <w:p w:rsidR="003E022D" w:rsidRDefault="007D19D6">
            <w:pPr>
              <w:rPr>
                <w:rFonts w:ascii="Arial" w:eastAsia="Calibri" w:hAnsi="Arial" w:cs="Arial"/>
                <w:noProof/>
                <w:sz w:val="16"/>
                <w:szCs w:val="16"/>
              </w:rPr>
            </w:pPr>
            <w:r>
              <w:rPr>
                <w:noProof/>
              </w:rPr>
              <w:t xml:space="preserve"> </w:t>
            </w:r>
            <w:r>
              <w:rPr>
                <w:noProof/>
                <w:lang w:val="fr-BE" w:eastAsia="fr-BE"/>
              </w:rPr>
              <mc:AlternateContent>
                <mc:Choice Requires="wps">
                  <w:drawing>
                    <wp:anchor distT="0" distB="0" distL="114300" distR="114300" simplePos="0" relativeHeight="251671040" behindDoc="0" locked="0" layoutInCell="1" allowOverlap="1">
                      <wp:simplePos x="0" y="0"/>
                      <wp:positionH relativeFrom="page">
                        <wp:posOffset>629920</wp:posOffset>
                      </wp:positionH>
                      <wp:positionV relativeFrom="page">
                        <wp:posOffset>9041130</wp:posOffset>
                      </wp:positionV>
                      <wp:extent cx="2057400" cy="127000"/>
                      <wp:effectExtent l="0" t="0" r="19050" b="2540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40" style="position:absolute;left:0;text-align:left;margin-left:49.6pt;margin-top:711.9pt;width:162pt;height:10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 Adrese</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72064" behindDoc="0" locked="0" layoutInCell="1" allowOverlap="1">
                      <wp:simplePos x="0" y="0"/>
                      <wp:positionH relativeFrom="page">
                        <wp:posOffset>2773045</wp:posOffset>
                      </wp:positionH>
                      <wp:positionV relativeFrom="page">
                        <wp:posOffset>9041130</wp:posOffset>
                      </wp:positionV>
                      <wp:extent cx="2057400" cy="127000"/>
                      <wp:effectExtent l="0" t="0" r="19050" b="254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41" style="position:absolute;left:0;text-align:left;margin-left:218.35pt;margin-top:711.9pt;width:162pt;height:1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1666" w:type="pc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b) Adrese</w:t>
            </w:r>
          </w:p>
          <w:p w:rsidR="003E022D" w:rsidRDefault="007D19D6">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73088" behindDoc="0" locked="0" layoutInCell="1" allowOverlap="1">
                      <wp:simplePos x="0" y="0"/>
                      <wp:positionH relativeFrom="page">
                        <wp:posOffset>4914900</wp:posOffset>
                      </wp:positionH>
                      <wp:positionV relativeFrom="page">
                        <wp:posOffset>9041130</wp:posOffset>
                      </wp:positionV>
                      <wp:extent cx="2057400" cy="127000"/>
                      <wp:effectExtent l="0" t="0" r="19050" b="254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42" style="position:absolute;left:0;text-align:left;margin-left:387pt;margin-top:711.9pt;width:162pt;height:1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c) Dzimšanas datums</w:t>
            </w:r>
          </w:p>
          <w:p w:rsidR="003E022D" w:rsidRDefault="007D19D6">
            <w:pPr>
              <w:rPr>
                <w:rFonts w:ascii="Arial" w:eastAsia="Calibri" w:hAnsi="Arial" w:cs="Arial"/>
                <w:noProof/>
                <w:sz w:val="16"/>
                <w:szCs w:val="16"/>
              </w:rPr>
            </w:pPr>
            <w:r>
              <w:rPr>
                <w:noProof/>
              </w:rPr>
              <w:t xml:space="preserve"> </w:t>
            </w: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c) Dzimšanas datums</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c) Dzimšanas datums</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d) Valstspiederība</w:t>
            </w:r>
          </w:p>
          <w:p w:rsidR="003E022D" w:rsidRDefault="007D19D6">
            <w:pPr>
              <w:rPr>
                <w:rFonts w:ascii="Arial" w:eastAsia="Calibri" w:hAnsi="Arial" w:cs="Arial"/>
                <w:noProof/>
                <w:sz w:val="16"/>
                <w:szCs w:val="16"/>
              </w:rPr>
            </w:pPr>
            <w:r>
              <w:rPr>
                <w:noProof/>
              </w:rPr>
              <w:t xml:space="preserve"> </w:t>
            </w: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d) Valstspiederība</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d) Valstspiederība</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F6. Vadītāji/direktori</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F6. Vadītāji/direktori</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Aizpildīt</w:t>
            </w:r>
          </w:p>
          <w:p w:rsidR="003E022D" w:rsidRDefault="007D19D6">
            <w:pPr>
              <w:tabs>
                <w:tab w:val="left" w:pos="5655"/>
              </w:tabs>
              <w:rPr>
                <w:rFonts w:ascii="Arial" w:eastAsia="Calibri" w:hAnsi="Arial" w:cs="Arial"/>
                <w:b/>
                <w:noProof/>
                <w:sz w:val="16"/>
                <w:szCs w:val="16"/>
              </w:rPr>
            </w:pPr>
            <w:r>
              <w:rPr>
                <w:noProof/>
              </w:rPr>
              <w:t xml:space="preserve">○ </w:t>
            </w:r>
            <w:r>
              <w:rPr>
                <w:rFonts w:ascii="Arial" w:hAnsi="Arial"/>
                <w:noProof/>
                <w:sz w:val="16"/>
                <w:szCs w:val="16"/>
              </w:rPr>
              <w:t>Apstiprināt</w:t>
            </w:r>
          </w:p>
        </w:tc>
        <w:tc>
          <w:tcPr>
            <w:tcW w:w="1666" w:type="pct"/>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eastAsia="Calibri"/>
                <w:i/>
                <w:noProof/>
              </w:rPr>
            </w:pP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Apstiprinu    </w:t>
            </w:r>
            <w:r>
              <w:rPr>
                <w:i/>
                <w:noProof/>
              </w:rPr>
              <w:t xml:space="preserve">○ </w:t>
            </w:r>
            <w:r>
              <w:rPr>
                <w:rFonts w:ascii="Arial" w:hAnsi="Arial"/>
                <w:i/>
                <w:noProof/>
                <w:sz w:val="16"/>
                <w:szCs w:val="16"/>
              </w:rPr>
              <w:t>Neapstiprinu</w:t>
            </w: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a) Vārds, uzvārds</w:t>
            </w:r>
          </w:p>
          <w:p w:rsidR="003E022D" w:rsidRDefault="007D19D6">
            <w:pPr>
              <w:rPr>
                <w:rFonts w:ascii="Arial" w:eastAsia="Calibri" w:hAnsi="Arial" w:cs="Arial"/>
                <w:noProof/>
                <w:sz w:val="16"/>
                <w:szCs w:val="16"/>
              </w:rPr>
            </w:pPr>
            <w:r>
              <w:rPr>
                <w:noProof/>
              </w:rPr>
              <w:t xml:space="preserve"> </w:t>
            </w:r>
          </w:p>
        </w:tc>
        <w:tc>
          <w:tcPr>
            <w:tcW w:w="1667" w:type="pct"/>
            <w:gridSpan w:val="2"/>
            <w:shd w:val="clear" w:color="auto" w:fill="auto"/>
          </w:tcPr>
          <w:p w:rsidR="003E022D" w:rsidRDefault="007D19D6">
            <w:pPr>
              <w:rPr>
                <w:rFonts w:eastAsia="Calibri"/>
                <w:noProof/>
              </w:rPr>
            </w:pPr>
            <w:r>
              <w:rPr>
                <w:rFonts w:ascii="Arial" w:hAnsi="Arial"/>
                <w:noProof/>
                <w:sz w:val="16"/>
                <w:szCs w:val="16"/>
              </w:rPr>
              <w:t>a) Vārds, uzvārds</w:t>
            </w:r>
            <w:r>
              <w:rPr>
                <w:noProof/>
              </w:rPr>
              <w:t xml:space="preserve"> </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eastAsia="Calibri"/>
                <w:i/>
                <w:noProof/>
              </w:rPr>
            </w:pPr>
            <w:r>
              <w:rPr>
                <w:rFonts w:ascii="Arial" w:hAnsi="Arial"/>
                <w:i/>
                <w:noProof/>
                <w:sz w:val="16"/>
                <w:szCs w:val="16"/>
              </w:rPr>
              <w:t>a) Vārds, uzvārds</w:t>
            </w:r>
            <w:r>
              <w:rPr>
                <w:i/>
                <w:noProof/>
              </w:rPr>
              <w:t xml:space="preserve"> </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Adrese</w:t>
            </w:r>
          </w:p>
          <w:p w:rsidR="003E022D" w:rsidRDefault="007D19D6">
            <w:pPr>
              <w:rPr>
                <w:rFonts w:ascii="Arial" w:eastAsia="Calibri" w:hAnsi="Arial" w:cs="Arial"/>
                <w:noProof/>
                <w:sz w:val="16"/>
                <w:szCs w:val="16"/>
              </w:rPr>
            </w:pPr>
            <w:r>
              <w:rPr>
                <w:noProof/>
              </w:rPr>
              <w:t xml:space="preserve"> </w:t>
            </w: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b) Adrese</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b) Adrese</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c) Dzimšanas datums</w:t>
            </w:r>
          </w:p>
          <w:p w:rsidR="003E022D" w:rsidRDefault="007D19D6">
            <w:pPr>
              <w:rPr>
                <w:rFonts w:ascii="Arial" w:eastAsia="Calibri" w:hAnsi="Arial" w:cs="Arial"/>
                <w:noProof/>
                <w:sz w:val="16"/>
                <w:szCs w:val="16"/>
              </w:rPr>
            </w:pPr>
            <w:r>
              <w:rPr>
                <w:noProof/>
              </w:rPr>
              <w:t xml:space="preserve"> </w:t>
            </w: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c) Dzimšanas datums</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c) Dzimšanas datums</w:t>
            </w:r>
          </w:p>
          <w:p w:rsidR="003E022D" w:rsidRDefault="003E022D">
            <w:pPr>
              <w:rPr>
                <w:rFonts w:ascii="Arial" w:eastAsia="Calibri" w:hAnsi="Arial" w:cs="Arial"/>
                <w:i/>
                <w:noProof/>
                <w:sz w:val="16"/>
                <w:szCs w:val="16"/>
              </w:rPr>
            </w:pPr>
          </w:p>
        </w:tc>
      </w:tr>
      <w:tr w:rsidR="003E022D">
        <w:trPr>
          <w:jc w:val="center"/>
        </w:trPr>
        <w:tc>
          <w:tcPr>
            <w:tcW w:w="1667"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d) Valstspiederība</w:t>
            </w:r>
          </w:p>
          <w:p w:rsidR="003E022D" w:rsidRDefault="007D19D6">
            <w:pPr>
              <w:rPr>
                <w:rFonts w:ascii="Arial" w:eastAsia="Calibri" w:hAnsi="Arial" w:cs="Arial"/>
                <w:noProof/>
                <w:sz w:val="16"/>
                <w:szCs w:val="16"/>
              </w:rPr>
            </w:pPr>
            <w:r>
              <w:rPr>
                <w:noProof/>
              </w:rPr>
              <w:t xml:space="preserve"> </w:t>
            </w:r>
          </w:p>
        </w:tc>
        <w:tc>
          <w:tcPr>
            <w:tcW w:w="1667" w:type="pct"/>
            <w:gridSpan w:val="2"/>
            <w:shd w:val="clear" w:color="auto" w:fill="auto"/>
          </w:tcPr>
          <w:p w:rsidR="003E022D" w:rsidRDefault="007D19D6">
            <w:pPr>
              <w:rPr>
                <w:rFonts w:ascii="Arial" w:eastAsia="Calibri" w:hAnsi="Arial" w:cs="Arial"/>
                <w:noProof/>
                <w:sz w:val="16"/>
                <w:szCs w:val="16"/>
              </w:rPr>
            </w:pPr>
            <w:r>
              <w:rPr>
                <w:rFonts w:ascii="Arial" w:hAnsi="Arial"/>
                <w:noProof/>
                <w:sz w:val="16"/>
                <w:szCs w:val="16"/>
              </w:rPr>
              <w:t>d) Valstspiederība</w:t>
            </w:r>
          </w:p>
          <w:p w:rsidR="003E022D" w:rsidRDefault="003E022D">
            <w:pPr>
              <w:rPr>
                <w:rFonts w:ascii="Arial" w:eastAsia="Calibri" w:hAnsi="Arial" w:cs="Arial"/>
                <w:noProof/>
                <w:sz w:val="16"/>
                <w:szCs w:val="16"/>
              </w:rPr>
            </w:pPr>
          </w:p>
        </w:tc>
        <w:tc>
          <w:tcPr>
            <w:tcW w:w="1666" w:type="pct"/>
            <w:shd w:val="clear" w:color="auto" w:fill="auto"/>
          </w:tcPr>
          <w:p w:rsidR="003E022D" w:rsidRDefault="007D19D6">
            <w:pPr>
              <w:rPr>
                <w:rFonts w:ascii="Arial" w:eastAsia="Calibri" w:hAnsi="Arial" w:cs="Arial"/>
                <w:i/>
                <w:noProof/>
                <w:sz w:val="16"/>
                <w:szCs w:val="16"/>
              </w:rPr>
            </w:pPr>
            <w:r>
              <w:rPr>
                <w:rFonts w:ascii="Arial" w:hAnsi="Arial"/>
                <w:i/>
                <w:noProof/>
                <w:sz w:val="16"/>
                <w:szCs w:val="16"/>
              </w:rPr>
              <w:t>d) Valstspiederība</w:t>
            </w:r>
          </w:p>
          <w:p w:rsidR="003E022D" w:rsidRDefault="003E022D">
            <w:pPr>
              <w:rPr>
                <w:rFonts w:ascii="Arial" w:eastAsia="Calibri" w:hAnsi="Arial" w:cs="Arial"/>
                <w:i/>
                <w:noProof/>
                <w:sz w:val="16"/>
                <w:szCs w:val="16"/>
              </w:rPr>
            </w:pPr>
          </w:p>
        </w:tc>
      </w:tr>
      <w:tr w:rsidR="003E022D">
        <w:trPr>
          <w:jc w:val="center"/>
        </w:trPr>
        <w:tc>
          <w:tcPr>
            <w:tcW w:w="5000" w:type="pct"/>
            <w:gridSpan w:val="4"/>
            <w:shd w:val="clear" w:color="auto" w:fill="auto"/>
          </w:tcPr>
          <w:p w:rsidR="003E022D" w:rsidRDefault="007D19D6">
            <w:pPr>
              <w:rPr>
                <w:rFonts w:ascii="Arial" w:eastAsia="Calibri" w:hAnsi="Arial" w:cs="Arial"/>
                <w:b/>
                <w:noProof/>
                <w:sz w:val="16"/>
                <w:szCs w:val="16"/>
              </w:rPr>
            </w:pPr>
            <w:r>
              <w:rPr>
                <w:noProof/>
              </w:rPr>
              <w:br w:type="page"/>
            </w:r>
            <w:r>
              <w:rPr>
                <w:rFonts w:ascii="Arial" w:hAnsi="Arial"/>
                <w:b/>
                <w:noProof/>
                <w:sz w:val="16"/>
                <w:szCs w:val="16"/>
              </w:rPr>
              <w:t>B) Pieprasītā informācija</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F7. Vai F 5. un F 6. punktā minētās personas (ar dzimšanas datumu, ja tas zināms) ir </w:t>
            </w:r>
            <w:r>
              <w:rPr>
                <w:rFonts w:ascii="Arial" w:hAnsi="Arial"/>
                <w:noProof/>
                <w:sz w:val="16"/>
                <w:szCs w:val="16"/>
              </w:rPr>
              <w:t>reģistrētas kādā no jūsu datubāzēm?</w:t>
            </w:r>
          </w:p>
        </w:tc>
        <w:tc>
          <w:tcPr>
            <w:tcW w:w="2500" w:type="pct"/>
            <w:gridSpan w:val="2"/>
            <w:shd w:val="clear" w:color="auto" w:fill="auto"/>
          </w:tcPr>
          <w:p w:rsidR="003E022D" w:rsidRDefault="003E022D">
            <w:pPr>
              <w:rPr>
                <w:rFonts w:ascii="Arial" w:eastAsia="Calibri" w:hAnsi="Arial" w:cs="Arial"/>
                <w:i/>
                <w:noProof/>
                <w:sz w:val="16"/>
                <w:szCs w:val="16"/>
              </w:rPr>
            </w:pPr>
          </w:p>
          <w:p w:rsidR="003E022D" w:rsidRDefault="007D19D6">
            <w:pPr>
              <w:tabs>
                <w:tab w:val="left" w:pos="5655"/>
              </w:tabs>
              <w:rPr>
                <w:rFonts w:eastAsia="Calibri"/>
                <w:i/>
                <w:noProof/>
              </w:rPr>
            </w:pPr>
            <w:r>
              <w:rPr>
                <w:i/>
                <w:noProof/>
              </w:rPr>
              <w:t xml:space="preserve">○ </w:t>
            </w:r>
            <w:r>
              <w:rPr>
                <w:rFonts w:ascii="Arial" w:hAnsi="Arial"/>
                <w:i/>
                <w:noProof/>
                <w:sz w:val="16"/>
                <w:szCs w:val="16"/>
              </w:rPr>
              <w:t xml:space="preserve">Jā </w:t>
            </w:r>
            <w:r>
              <w:rPr>
                <w:i/>
                <w:noProof/>
              </w:rPr>
              <w:t xml:space="preserve">  ○ </w:t>
            </w:r>
            <w:r>
              <w:rPr>
                <w:rFonts w:ascii="Arial" w:hAnsi="Arial"/>
                <w:i/>
                <w:noProof/>
                <w:sz w:val="16"/>
                <w:szCs w:val="16"/>
              </w:rPr>
              <w:t>Nē</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 8. Vai attiecīgās F 5. un F 6. punktā minētās personas ir sodītas par finanšu pārkāpumiem?</w:t>
            </w:r>
          </w:p>
        </w:tc>
        <w:tc>
          <w:tcPr>
            <w:tcW w:w="2500" w:type="pct"/>
            <w:gridSpan w:val="2"/>
            <w:shd w:val="clear" w:color="auto" w:fill="auto"/>
          </w:tcPr>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Informāciju nevar sniegt juridisku iemeslu dēļ.</w:t>
            </w:r>
          </w:p>
          <w:p w:rsidR="003E022D" w:rsidRDefault="007D19D6">
            <w:pPr>
              <w:tabs>
                <w:tab w:val="left" w:pos="5655"/>
              </w:tabs>
              <w:rPr>
                <w:rFonts w:eastAsia="Calibri"/>
                <w:i/>
                <w:noProof/>
              </w:rPr>
            </w:pPr>
            <w:r>
              <w:rPr>
                <w:i/>
                <w:noProof/>
              </w:rPr>
              <w:t xml:space="preserve">○ </w:t>
            </w:r>
            <w:r>
              <w:rPr>
                <w:rFonts w:ascii="Arial" w:hAnsi="Arial"/>
                <w:i/>
                <w:noProof/>
                <w:sz w:val="16"/>
                <w:szCs w:val="16"/>
              </w:rPr>
              <w:t xml:space="preserve">Jā </w:t>
            </w:r>
            <w:r>
              <w:rPr>
                <w:i/>
                <w:noProof/>
              </w:rPr>
              <w:t xml:space="preserve">  ○ </w:t>
            </w:r>
            <w:r>
              <w:rPr>
                <w:rFonts w:ascii="Arial" w:hAnsi="Arial"/>
                <w:i/>
                <w:noProof/>
                <w:sz w:val="16"/>
                <w:szCs w:val="16"/>
              </w:rPr>
              <w:t>Nē</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 9. Vai</w:t>
            </w:r>
            <w:r>
              <w:rPr>
                <w:noProof/>
              </w:rPr>
              <w:t xml:space="preserve"> </w:t>
            </w:r>
            <w:r>
              <w:rPr>
                <w:rFonts w:ascii="Arial" w:hAnsi="Arial"/>
                <w:noProof/>
                <w:sz w:val="16"/>
                <w:szCs w:val="16"/>
              </w:rPr>
              <w:t xml:space="preserve">attiecīgās F5. un F6. daļā minētās </w:t>
            </w:r>
            <w:r>
              <w:rPr>
                <w:rFonts w:ascii="Arial" w:hAnsi="Arial"/>
                <w:noProof/>
                <w:sz w:val="16"/>
                <w:szCs w:val="16"/>
              </w:rPr>
              <w:t>personas ir bijušas iesaistītas “pazudušā tirgotāja” krāpnieciskajā darbībā vai citādā krāpšanā?</w:t>
            </w:r>
          </w:p>
        </w:tc>
        <w:tc>
          <w:tcPr>
            <w:tcW w:w="2500" w:type="pct"/>
            <w:gridSpan w:val="2"/>
            <w:shd w:val="clear" w:color="auto" w:fill="auto"/>
          </w:tcPr>
          <w:p w:rsidR="003E022D" w:rsidRDefault="007D19D6">
            <w:pPr>
              <w:tabs>
                <w:tab w:val="left" w:pos="5655"/>
              </w:tabs>
              <w:rPr>
                <w:rFonts w:eastAsia="Calibri"/>
                <w:i/>
                <w:noProof/>
              </w:rPr>
            </w:pPr>
            <w:r>
              <w:rPr>
                <w:i/>
                <w:noProof/>
              </w:rPr>
              <w:t xml:space="preserve">□ </w:t>
            </w:r>
            <w:r>
              <w:rPr>
                <w:rFonts w:ascii="Arial" w:hAnsi="Arial"/>
                <w:i/>
                <w:noProof/>
                <w:sz w:val="16"/>
                <w:szCs w:val="16"/>
              </w:rPr>
              <w:t>Informāciju nevar sniegt juridisku iemeslu dēļ.</w:t>
            </w:r>
          </w:p>
          <w:p w:rsidR="003E022D" w:rsidRDefault="007D19D6">
            <w:pPr>
              <w:tabs>
                <w:tab w:val="left" w:pos="5655"/>
              </w:tabs>
              <w:rPr>
                <w:rFonts w:eastAsia="Calibri"/>
                <w:i/>
                <w:noProof/>
              </w:rPr>
            </w:pPr>
            <w:r>
              <w:rPr>
                <w:i/>
                <w:noProof/>
              </w:rPr>
              <w:t xml:space="preserve">○ </w:t>
            </w:r>
            <w:r>
              <w:rPr>
                <w:rFonts w:ascii="Arial" w:hAnsi="Arial"/>
                <w:i/>
                <w:noProof/>
                <w:sz w:val="16"/>
                <w:szCs w:val="16"/>
              </w:rPr>
              <w:t xml:space="preserve">Jā </w:t>
            </w:r>
            <w:r>
              <w:rPr>
                <w:i/>
                <w:noProof/>
              </w:rPr>
              <w:t xml:space="preserve">  ○ </w:t>
            </w:r>
            <w:r>
              <w:rPr>
                <w:rFonts w:ascii="Arial" w:hAnsi="Arial"/>
                <w:i/>
                <w:noProof/>
                <w:sz w:val="16"/>
                <w:szCs w:val="16"/>
              </w:rPr>
              <w:t>Nē</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F10. Vai attiecīgo F 5. un F 6. punktā minēto personu dzīvesvieta ir norādītajā adresē, vai ar</w:t>
            </w:r>
            <w:r>
              <w:rPr>
                <w:rFonts w:ascii="Arial" w:hAnsi="Arial"/>
                <w:noProof/>
                <w:sz w:val="16"/>
                <w:szCs w:val="16"/>
              </w:rPr>
              <w:t>ī tās ir saistītas ar norādīto adresi?</w:t>
            </w:r>
          </w:p>
        </w:tc>
        <w:tc>
          <w:tcPr>
            <w:tcW w:w="2500" w:type="pct"/>
            <w:gridSpan w:val="2"/>
            <w:shd w:val="clear" w:color="auto" w:fill="auto"/>
          </w:tcPr>
          <w:p w:rsidR="003E022D" w:rsidRDefault="003E022D">
            <w:pPr>
              <w:rPr>
                <w:rFonts w:ascii="Arial" w:eastAsia="Calibri" w:hAnsi="Arial" w:cs="Arial"/>
                <w:i/>
                <w:noProof/>
                <w:sz w:val="16"/>
                <w:szCs w:val="16"/>
              </w:rPr>
            </w:pPr>
          </w:p>
          <w:p w:rsidR="003E022D" w:rsidRDefault="007D19D6">
            <w:pPr>
              <w:tabs>
                <w:tab w:val="left" w:pos="5655"/>
              </w:tabs>
              <w:rPr>
                <w:rFonts w:eastAsia="Calibri"/>
                <w:i/>
                <w:noProof/>
              </w:rPr>
            </w:pPr>
            <w:r>
              <w:rPr>
                <w:i/>
                <w:noProof/>
              </w:rPr>
              <w:t xml:space="preserve">○ </w:t>
            </w:r>
            <w:r>
              <w:rPr>
                <w:rFonts w:ascii="Arial" w:hAnsi="Arial"/>
                <w:i/>
                <w:noProof/>
                <w:sz w:val="16"/>
                <w:szCs w:val="16"/>
              </w:rPr>
              <w:t xml:space="preserve">Jā </w:t>
            </w:r>
            <w:r>
              <w:rPr>
                <w:i/>
                <w:noProof/>
              </w:rPr>
              <w:t xml:space="preserve">  ○ </w:t>
            </w:r>
            <w:r>
              <w:rPr>
                <w:rFonts w:ascii="Arial" w:hAnsi="Arial"/>
                <w:i/>
                <w:noProof/>
                <w:sz w:val="16"/>
                <w:szCs w:val="16"/>
              </w:rPr>
              <w:t>Nē</w:t>
            </w:r>
          </w:p>
        </w:tc>
      </w:tr>
      <w:tr w:rsidR="003E022D">
        <w:trPr>
          <w:trHeight w:val="47"/>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F11.</w:t>
            </w:r>
            <w:r>
              <w:rPr>
                <w:noProof/>
              </w:rPr>
              <w:t xml:space="preserve"> </w:t>
            </w:r>
            <w:r>
              <w:rPr>
                <w:rFonts w:ascii="Arial" w:hAnsi="Arial"/>
                <w:noProof/>
                <w:sz w:val="16"/>
                <w:szCs w:val="16"/>
              </w:rPr>
              <w:t>Vai minētā adrese ir dzīvesvietas/uzņēmuma/pagaidu uzturēšanās/grāmatveža/cita adrese?</w:t>
            </w:r>
          </w:p>
          <w:p w:rsidR="003E022D" w:rsidRDefault="003E022D">
            <w:pPr>
              <w:rPr>
                <w:rFonts w:ascii="Arial" w:eastAsia="Calibri" w:hAnsi="Arial" w:cs="Arial"/>
                <w:noProof/>
                <w:sz w:val="16"/>
                <w:szCs w:val="16"/>
              </w:rPr>
            </w:pPr>
          </w:p>
        </w:tc>
        <w:tc>
          <w:tcPr>
            <w:tcW w:w="2500" w:type="pct"/>
            <w:gridSpan w:val="2"/>
            <w:shd w:val="clear" w:color="auto" w:fill="auto"/>
          </w:tcPr>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Jā</w:t>
            </w:r>
          </w:p>
          <w:p w:rsidR="003E022D" w:rsidRDefault="007D19D6">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Nē</w:t>
            </w:r>
          </w:p>
          <w:p w:rsidR="003E022D" w:rsidRDefault="003E022D">
            <w:pPr>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F12.</w:t>
            </w:r>
            <w:r>
              <w:rPr>
                <w:noProof/>
              </w:rPr>
              <w:t xml:space="preserve"> </w:t>
            </w:r>
            <w:r>
              <w:rPr>
                <w:rFonts w:ascii="Arial" w:hAnsi="Arial"/>
                <w:noProof/>
                <w:sz w:val="16"/>
                <w:szCs w:val="16"/>
              </w:rPr>
              <w:t>Kāda darījumdarbība tiek veikta?</w:t>
            </w:r>
          </w:p>
        </w:tc>
        <w:tc>
          <w:tcPr>
            <w:tcW w:w="2500"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F13.</w:t>
            </w:r>
            <w:r>
              <w:rPr>
                <w:noProof/>
              </w:rPr>
              <w:t xml:space="preserve"> </w:t>
            </w:r>
            <w:r>
              <w:rPr>
                <w:rFonts w:ascii="Arial" w:hAnsi="Arial"/>
                <w:noProof/>
                <w:sz w:val="16"/>
                <w:szCs w:val="16"/>
              </w:rPr>
              <w:t xml:space="preserve">Vai ir aizdomas, ka uzņēmums nepilda nodokļu </w:t>
            </w:r>
            <w:r>
              <w:rPr>
                <w:rFonts w:ascii="Arial" w:hAnsi="Arial"/>
                <w:noProof/>
                <w:sz w:val="16"/>
                <w:szCs w:val="16"/>
              </w:rPr>
              <w:t>saistības?</w:t>
            </w:r>
          </w:p>
        </w:tc>
        <w:tc>
          <w:tcPr>
            <w:tcW w:w="2500" w:type="pct"/>
            <w:gridSpan w:val="2"/>
            <w:shd w:val="clear" w:color="auto" w:fill="auto"/>
          </w:tcPr>
          <w:p w:rsidR="003E022D" w:rsidRDefault="003E022D">
            <w:pPr>
              <w:rPr>
                <w:rFonts w:ascii="Arial" w:eastAsia="Calibri" w:hAnsi="Arial" w:cs="Arial"/>
                <w:i/>
                <w:noProof/>
                <w:sz w:val="16"/>
                <w:szCs w:val="16"/>
              </w:rPr>
            </w:pPr>
          </w:p>
          <w:p w:rsidR="003E022D" w:rsidRDefault="007D19D6">
            <w:pPr>
              <w:tabs>
                <w:tab w:val="left" w:pos="5655"/>
              </w:tabs>
              <w:rPr>
                <w:rFonts w:eastAsia="Calibri"/>
                <w:i/>
                <w:noProof/>
              </w:rPr>
            </w:pPr>
            <w:r>
              <w:rPr>
                <w:i/>
                <w:noProof/>
              </w:rPr>
              <w:t xml:space="preserve">○ </w:t>
            </w:r>
            <w:r>
              <w:rPr>
                <w:rFonts w:ascii="Arial" w:hAnsi="Arial"/>
                <w:i/>
                <w:noProof/>
                <w:sz w:val="16"/>
                <w:szCs w:val="16"/>
              </w:rPr>
              <w:t xml:space="preserve">Jā </w:t>
            </w:r>
            <w:r>
              <w:rPr>
                <w:i/>
                <w:noProof/>
              </w:rPr>
              <w:t xml:space="preserve">  ○ </w:t>
            </w:r>
            <w:r>
              <w:rPr>
                <w:rFonts w:ascii="Arial" w:hAnsi="Arial"/>
                <w:i/>
                <w:noProof/>
                <w:sz w:val="16"/>
                <w:szCs w:val="16"/>
              </w:rPr>
              <w:t>Nē</w: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F14.</w:t>
            </w:r>
            <w:r>
              <w:rPr>
                <w:noProof/>
              </w:rPr>
              <w:t xml:space="preserve"> </w:t>
            </w:r>
            <w:r>
              <w:rPr>
                <w:rFonts w:ascii="Arial" w:hAnsi="Arial"/>
                <w:noProof/>
                <w:sz w:val="16"/>
                <w:szCs w:val="16"/>
              </w:rPr>
              <w:t>Kāds ir PVN identifikācijas numura anulēšanas iemesls?</w:t>
            </w:r>
          </w:p>
        </w:tc>
        <w:tc>
          <w:tcPr>
            <w:tcW w:w="2500"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 15. Norādīt ikvienu saistīto uzņēmumu</w:t>
            </w:r>
            <w:r>
              <w:rPr>
                <w:rFonts w:ascii="Arial" w:eastAsia="Calibri" w:hAnsi="Arial" w:cs="Arial"/>
                <w:noProof/>
                <w:sz w:val="16"/>
                <w:szCs w:val="16"/>
                <w:vertAlign w:val="superscript"/>
              </w:rPr>
              <w:footnoteReference w:id="151"/>
            </w:r>
            <w:r>
              <w:rPr>
                <w:rFonts w:ascii="Arial" w:hAnsi="Arial"/>
                <w:noProof/>
                <w:sz w:val="16"/>
                <w:szCs w:val="16"/>
              </w:rPr>
              <w:t>, arī šo uzņēmumu PVN</w:t>
            </w:r>
            <w:r>
              <w:rPr>
                <w:noProof/>
              </w:rPr>
              <w:t xml:space="preserve"> </w:t>
            </w:r>
            <w:r>
              <w:rPr>
                <w:rFonts w:ascii="Arial" w:hAnsi="Arial"/>
                <w:noProof/>
                <w:sz w:val="16"/>
                <w:szCs w:val="16"/>
              </w:rPr>
              <w:t>identifikācijas numuru, un ikvienu viedokli par šo uzņēmumu uzticamību.</w:t>
            </w:r>
          </w:p>
        </w:tc>
        <w:tc>
          <w:tcPr>
            <w:tcW w:w="2500"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F16.</w:t>
            </w:r>
            <w:r>
              <w:rPr>
                <w:noProof/>
              </w:rPr>
              <w:t xml:space="preserve"> </w:t>
            </w:r>
            <w:r>
              <w:rPr>
                <w:rFonts w:ascii="Arial" w:hAnsi="Arial"/>
                <w:noProof/>
                <w:sz w:val="16"/>
                <w:szCs w:val="16"/>
              </w:rPr>
              <w:t xml:space="preserve">Sniegt sīkāku </w:t>
            </w:r>
            <w:r>
              <w:rPr>
                <w:rFonts w:ascii="Arial" w:hAnsi="Arial"/>
                <w:noProof/>
                <w:sz w:val="16"/>
                <w:szCs w:val="16"/>
              </w:rPr>
              <w:t>informāciju par zināmajiem bankas kontiem, kas pieder uzņēmumam pieprasījuma saņēmējā valstī un citiem ar to saistītiem uzņēmumiem.</w:t>
            </w:r>
          </w:p>
        </w:tc>
        <w:tc>
          <w:tcPr>
            <w:tcW w:w="2500" w:type="pct"/>
            <w:gridSpan w:val="2"/>
            <w:shd w:val="clear" w:color="auto" w:fill="auto"/>
          </w:tcPr>
          <w:p w:rsidR="003E022D" w:rsidRDefault="003E022D">
            <w:pPr>
              <w:rPr>
                <w:rFonts w:ascii="Arial" w:eastAsia="Calibri" w:hAnsi="Arial" w:cs="Arial"/>
                <w:i/>
                <w:noProof/>
                <w:sz w:val="16"/>
                <w:szCs w:val="16"/>
              </w:rPr>
            </w:pPr>
          </w:p>
          <w:p w:rsidR="003E022D" w:rsidRDefault="003E022D">
            <w:pPr>
              <w:tabs>
                <w:tab w:val="left" w:pos="5655"/>
              </w:tabs>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57728" behindDoc="0" locked="0" layoutInCell="1" allowOverlap="1">
                      <wp:simplePos x="0" y="0"/>
                      <wp:positionH relativeFrom="page">
                        <wp:posOffset>582295</wp:posOffset>
                      </wp:positionH>
                      <wp:positionV relativeFrom="page">
                        <wp:posOffset>9237980</wp:posOffset>
                      </wp:positionV>
                      <wp:extent cx="3115945" cy="254000"/>
                      <wp:effectExtent l="0" t="0" r="2730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3E022D">
                                  <w:pPr>
                                    <w:tabs>
                                      <w:tab w:val="left" w:pos="5655"/>
                                    </w:tabs>
                                    <w:rPr>
                                      <w:lang w:val="fr-BE"/>
                                    </w:rPr>
                                  </w:pP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3" style="position:absolute;left:0;text-align:left;margin-left:45.85pt;margin-top:727.4pt;width:245.35pt;height:2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" fillcolor="window" strokecolor="windowText" strokeweight=".25pt">
                      <v:path arrowok="t"/>
                      <v:textbox>
                        <w:txbxContent>
                          <w:p w:rsidR="003E022D" w:rsidRDefault="003E022D">
                            <w:pPr>
                              <w:tabs>
                                <w:tab w:val="left" w:pos="5655"/>
                              </w:tabs>
                              <w:rPr>
                                <w:lang w:val="fr-BE"/>
                              </w:rPr>
                            </w:pPr>
                          </w:p>
                          <w:p w:rsidR="003E022D" w:rsidRDefault="003E022D">
                            <w:pPr>
                              <w:jc w:val="center"/>
                            </w:pPr>
                          </w:p>
                        </w:txbxContent>
                      </v:textbox>
                      <w10:wrap anchorx="page" anchory="page"/>
                    </v:rect>
                  </w:pict>
                </mc:Fallback>
              </mc:AlternateContent>
            </w:r>
            <w:r>
              <w:rPr>
                <w:noProof/>
              </w:rPr>
              <w:t xml:space="preserve">□ </w:t>
            </w:r>
            <w:r>
              <w:rPr>
                <w:rFonts w:ascii="Arial" w:hAnsi="Arial"/>
                <w:noProof/>
                <w:sz w:val="16"/>
                <w:szCs w:val="16"/>
              </w:rPr>
              <w:t>F17.</w:t>
            </w:r>
            <w:r>
              <w:rPr>
                <w:noProof/>
              </w:rPr>
              <w:t xml:space="preserve"> </w:t>
            </w:r>
            <w:r>
              <w:rPr>
                <w:rFonts w:ascii="Arial" w:hAnsi="Arial"/>
                <w:noProof/>
                <w:sz w:val="16"/>
                <w:szCs w:val="16"/>
              </w:rPr>
              <w:t xml:space="preserve">Sniegt kopsavilkuma paziņojumā vai muitas deklarācijās norādīto informāciju par preču/pakalpojumu </w:t>
            </w:r>
            <w:r>
              <w:rPr>
                <w:rFonts w:ascii="Arial" w:hAnsi="Arial"/>
                <w:noProof/>
                <w:sz w:val="16"/>
                <w:szCs w:val="16"/>
              </w:rPr>
              <w:t>piegādēm/iegādēm par šādu/šādiem gadu/gadiem:</w:t>
            </w:r>
          </w:p>
          <w:p w:rsidR="003E022D" w:rsidRDefault="003E022D">
            <w:pPr>
              <w:tabs>
                <w:tab w:val="left" w:pos="5655"/>
              </w:tabs>
              <w:spacing w:after="0"/>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2500" w:type="pct"/>
            <w:gridSpan w:val="2"/>
            <w:shd w:val="clear" w:color="auto" w:fill="auto"/>
          </w:tcPr>
          <w:p w:rsidR="003E022D" w:rsidRDefault="003E022D">
            <w:pPr>
              <w:rPr>
                <w:rFonts w:ascii="Arial" w:eastAsia="Calibri" w:hAnsi="Arial" w:cs="Arial"/>
                <w:i/>
                <w:noProof/>
                <w:sz w:val="16"/>
                <w:szCs w:val="16"/>
              </w:rPr>
            </w:pPr>
          </w:p>
          <w:p w:rsidR="003E022D" w:rsidRDefault="003E022D">
            <w:pPr>
              <w:rPr>
                <w:rFonts w:ascii="Arial" w:eastAsia="Calibri" w:hAnsi="Arial" w:cs="Arial"/>
                <w:i/>
                <w:noProof/>
                <w:sz w:val="16"/>
                <w:szCs w:val="16"/>
              </w:rPr>
            </w:pPr>
          </w:p>
          <w:p w:rsidR="003E022D" w:rsidRDefault="007D19D6">
            <w:pPr>
              <w:tabs>
                <w:tab w:val="left" w:pos="5655"/>
              </w:tabs>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8752" behindDoc="0" locked="0" layoutInCell="1" allowOverlap="1">
                      <wp:simplePos x="0" y="0"/>
                      <wp:positionH relativeFrom="page">
                        <wp:posOffset>3848100</wp:posOffset>
                      </wp:positionH>
                      <wp:positionV relativeFrom="page">
                        <wp:posOffset>9242425</wp:posOffset>
                      </wp:positionV>
                      <wp:extent cx="3115945" cy="254000"/>
                      <wp:effectExtent l="0" t="0" r="27305" b="1270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3E022D">
                                  <w:pPr>
                                    <w:tabs>
                                      <w:tab w:val="left" w:pos="5655"/>
                                    </w:tabs>
                                    <w:rPr>
                                      <w:lang w:val="fr-BE"/>
                                    </w:rPr>
                                  </w:pP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44" style="position:absolute;left:0;text-align:left;margin-left:303pt;margin-top:727.75pt;width:245.35pt;height:2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" fillcolor="window" strokecolor="windowText" strokeweight=".25pt">
                      <v:path arrowok="t"/>
                      <v:textbox>
                        <w:txbxContent>
                          <w:p w:rsidR="003E022D" w:rsidRDefault="003E022D">
                            <w:pPr>
                              <w:tabs>
                                <w:tab w:val="left" w:pos="5655"/>
                              </w:tabs>
                              <w:rPr>
                                <w:lang w:val="fr-BE"/>
                              </w:rPr>
                            </w:pPr>
                          </w:p>
                          <w:p w:rsidR="003E022D" w:rsidRDefault="003E022D">
                            <w:pPr>
                              <w:jc w:val="center"/>
                            </w:pPr>
                          </w:p>
                        </w:txbxContent>
                      </v:textbox>
                      <w10:wrap anchorx="page" anchory="page"/>
                    </v:rect>
                  </w:pict>
                </mc:Fallback>
              </mc:AlternateContent>
            </w: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F18. Norādīt PVN deklarācijās minēto informāciju / informāciju par attiecīgā/attiecīgo gada/gadu maksājumiem:</w:t>
            </w:r>
          </w:p>
          <w:p w:rsidR="003E022D" w:rsidRDefault="003E022D">
            <w:pPr>
              <w:tabs>
                <w:tab w:val="left" w:pos="5655"/>
              </w:tabs>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2500" w:type="pct"/>
            <w:gridSpan w:val="2"/>
            <w:shd w:val="clear" w:color="auto" w:fill="auto"/>
          </w:tcPr>
          <w:p w:rsidR="003E022D" w:rsidRDefault="003E022D">
            <w:pPr>
              <w:tabs>
                <w:tab w:val="left" w:pos="5655"/>
              </w:tabs>
              <w:rPr>
                <w:rFonts w:ascii="Arial" w:eastAsia="Calibri" w:hAnsi="Arial" w:cs="Arial"/>
                <w:i/>
                <w:noProof/>
                <w:sz w:val="16"/>
                <w:szCs w:val="16"/>
              </w:rPr>
            </w:pPr>
          </w:p>
        </w:tc>
      </w:tr>
      <w:tr w:rsidR="003E022D">
        <w:trPr>
          <w:jc w:val="center"/>
        </w:trPr>
        <w:tc>
          <w:tcPr>
            <w:tcW w:w="2500" w:type="pct"/>
            <w:gridSpan w:val="2"/>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F19. Papildu piezīmes:</w:t>
            </w:r>
          </w:p>
          <w:p w:rsidR="003E022D" w:rsidRDefault="003E022D">
            <w:pPr>
              <w:tabs>
                <w:tab w:val="left" w:pos="5655"/>
              </w:tabs>
              <w:rPr>
                <w:rFonts w:ascii="Arial" w:eastAsia="Calibri" w:hAnsi="Arial" w:cs="Arial"/>
                <w:noProof/>
                <w:sz w:val="16"/>
                <w:szCs w:val="16"/>
              </w:rPr>
            </w:pPr>
          </w:p>
          <w:p w:rsidR="003E022D" w:rsidRDefault="003E022D">
            <w:pPr>
              <w:rPr>
                <w:rFonts w:ascii="Arial" w:eastAsia="Calibri" w:hAnsi="Arial" w:cs="Arial"/>
                <w:noProof/>
                <w:sz w:val="16"/>
                <w:szCs w:val="16"/>
              </w:rPr>
            </w:pPr>
          </w:p>
        </w:tc>
        <w:tc>
          <w:tcPr>
            <w:tcW w:w="2500" w:type="pct"/>
            <w:gridSpan w:val="2"/>
            <w:shd w:val="clear" w:color="auto" w:fill="auto"/>
          </w:tcPr>
          <w:p w:rsidR="003E022D" w:rsidRDefault="003E022D">
            <w:pPr>
              <w:tabs>
                <w:tab w:val="left" w:pos="5655"/>
              </w:tabs>
              <w:rPr>
                <w:rFonts w:ascii="Arial" w:eastAsia="Calibri" w:hAnsi="Arial" w:cs="Arial"/>
                <w:i/>
                <w:noProof/>
                <w:sz w:val="16"/>
                <w:szCs w:val="16"/>
              </w:rPr>
            </w:pPr>
          </w:p>
        </w:tc>
      </w:tr>
    </w:tbl>
    <w:p w:rsidR="003E022D" w:rsidRDefault="007D19D6">
      <w:pPr>
        <w:rPr>
          <w:rFonts w:eastAsia="Calibri"/>
          <w:noProof/>
        </w:rPr>
      </w:pPr>
      <w:r>
        <w:rPr>
          <w:noProof/>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E022D">
        <w:trPr>
          <w:jc w:val="center"/>
        </w:trPr>
        <w:tc>
          <w:tcPr>
            <w:tcW w:w="5000" w:type="pct"/>
            <w:gridSpan w:val="2"/>
            <w:shd w:val="clear" w:color="auto" w:fill="auto"/>
          </w:tcPr>
          <w:p w:rsidR="003E022D" w:rsidRDefault="007D19D6">
            <w:pPr>
              <w:spacing w:after="0"/>
              <w:rPr>
                <w:rFonts w:ascii="Arial" w:eastAsia="Calibri" w:hAnsi="Arial" w:cs="Arial"/>
                <w:b/>
                <w:noProof/>
                <w:sz w:val="16"/>
                <w:szCs w:val="16"/>
              </w:rPr>
            </w:pPr>
            <w:r>
              <w:rPr>
                <w:rFonts w:ascii="Arial" w:hAnsi="Arial"/>
                <w:b/>
                <w:noProof/>
                <w:sz w:val="16"/>
                <w:szCs w:val="16"/>
              </w:rPr>
              <w:t xml:space="preserve">G) SPONTĀNA INFORMĀCIJAS SNIEGŠANA (“PAZUDUŠĀ </w:t>
            </w:r>
            <w:r>
              <w:rPr>
                <w:rFonts w:ascii="Arial" w:hAnsi="Arial"/>
                <w:b/>
                <w:noProof/>
                <w:sz w:val="16"/>
                <w:szCs w:val="16"/>
              </w:rPr>
              <w:t>TIRGOTĀJA” KRĀPNIECISKA DARBĪBA)</w:t>
            </w:r>
          </w:p>
        </w:tc>
      </w:tr>
      <w:tr w:rsidR="003E022D">
        <w:trPr>
          <w:jc w:val="center"/>
        </w:trPr>
        <w:tc>
          <w:tcPr>
            <w:tcW w:w="2500" w:type="pct"/>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Sūtītāja iestāde</w:t>
            </w:r>
          </w:p>
        </w:tc>
        <w:tc>
          <w:tcPr>
            <w:tcW w:w="2500" w:type="pct"/>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Saņēmēja iestāde</w:t>
            </w:r>
          </w:p>
        </w:tc>
      </w:tr>
      <w:tr w:rsidR="003E022D">
        <w:trPr>
          <w:jc w:val="center"/>
        </w:trPr>
        <w:tc>
          <w:tcPr>
            <w:tcW w:w="2500" w:type="pct"/>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Uzņēmuma identifikācijas dati</w:t>
            </w:r>
          </w:p>
          <w:p w:rsidR="003E022D" w:rsidRDefault="007D19D6">
            <w:pPr>
              <w:rPr>
                <w:rFonts w:ascii="Arial" w:eastAsia="Calibri" w:hAnsi="Arial" w:cs="Arial"/>
                <w:noProof/>
                <w:sz w:val="16"/>
                <w:szCs w:val="16"/>
              </w:rPr>
            </w:pPr>
            <w:r>
              <w:rPr>
                <w:rFonts w:ascii="Arial" w:hAnsi="Arial"/>
                <w:noProof/>
                <w:sz w:val="16"/>
                <w:szCs w:val="16"/>
              </w:rPr>
              <w:t>G1. PVN identifikācijas numurs (ja nav, tad nodokļa maksātāja identifikācijas numurs)</w:t>
            </w:r>
            <w:r>
              <w:rPr>
                <w:noProof/>
              </w:rPr>
              <w:t xml:space="preserve"> </w:t>
            </w:r>
          </w:p>
          <w:p w:rsidR="003E022D" w:rsidRDefault="003E022D">
            <w:pPr>
              <w:rPr>
                <w:rFonts w:ascii="Arial" w:eastAsia="Calibri" w:hAnsi="Arial" w:cs="Arial"/>
                <w:noProof/>
                <w:sz w:val="16"/>
                <w:szCs w:val="16"/>
              </w:rPr>
            </w:pPr>
          </w:p>
          <w:p w:rsidR="003E022D" w:rsidRDefault="007D19D6">
            <w:pPr>
              <w:rPr>
                <w:rFonts w:ascii="Arial" w:eastAsia="Calibri" w:hAnsi="Arial" w:cs="Arial"/>
                <w:noProof/>
                <w:sz w:val="16"/>
                <w:szCs w:val="16"/>
              </w:rPr>
            </w:pPr>
            <w:r>
              <w:rPr>
                <w:rFonts w:ascii="Arial" w:hAnsi="Arial"/>
                <w:noProof/>
                <w:sz w:val="16"/>
                <w:szCs w:val="16"/>
              </w:rPr>
              <w:t>PVN identifikācijas numurs:</w:t>
            </w:r>
          </w:p>
        </w:tc>
        <w:tc>
          <w:tcPr>
            <w:tcW w:w="2500" w:type="pct"/>
            <w:shd w:val="clear" w:color="auto" w:fill="auto"/>
          </w:tcPr>
          <w:p w:rsidR="003E022D" w:rsidRDefault="007D19D6">
            <w:pPr>
              <w:rPr>
                <w:rFonts w:ascii="Arial" w:eastAsia="Calibri" w:hAnsi="Arial" w:cs="Arial"/>
                <w:b/>
                <w:noProof/>
                <w:sz w:val="16"/>
                <w:szCs w:val="16"/>
              </w:rPr>
            </w:pPr>
            <w:r>
              <w:rPr>
                <w:rFonts w:ascii="Arial" w:hAnsi="Arial"/>
                <w:b/>
                <w:noProof/>
                <w:sz w:val="16"/>
                <w:szCs w:val="16"/>
              </w:rPr>
              <w:t>Uzņēmuma identifikācijas dati</w:t>
            </w:r>
          </w:p>
          <w:p w:rsidR="003E022D" w:rsidRDefault="007D19D6">
            <w:pPr>
              <w:rPr>
                <w:rFonts w:ascii="Arial" w:eastAsia="Calibri" w:hAnsi="Arial" w:cs="Arial"/>
                <w:noProof/>
                <w:sz w:val="16"/>
                <w:szCs w:val="16"/>
              </w:rPr>
            </w:pPr>
            <w:r>
              <w:rPr>
                <w:rFonts w:ascii="Arial" w:hAnsi="Arial"/>
                <w:noProof/>
                <w:sz w:val="16"/>
                <w:szCs w:val="16"/>
              </w:rPr>
              <w:t xml:space="preserve">G1. PVN </w:t>
            </w:r>
            <w:r>
              <w:rPr>
                <w:rFonts w:ascii="Arial" w:hAnsi="Arial"/>
                <w:noProof/>
                <w:sz w:val="16"/>
                <w:szCs w:val="16"/>
              </w:rPr>
              <w:t>identifikācijas numurs (ja nav, tad nodokļa maksātāja identifikācijas numurs)</w:t>
            </w:r>
            <w:r>
              <w:rPr>
                <w:noProof/>
              </w:rPr>
              <w:t xml:space="preserve"> </w:t>
            </w:r>
          </w:p>
          <w:p w:rsidR="003E022D" w:rsidRDefault="003E022D">
            <w:pPr>
              <w:rPr>
                <w:rFonts w:ascii="Arial" w:eastAsia="Calibri" w:hAnsi="Arial" w:cs="Arial"/>
                <w:noProof/>
                <w:sz w:val="16"/>
                <w:szCs w:val="16"/>
              </w:rPr>
            </w:pPr>
          </w:p>
          <w:p w:rsidR="003E022D" w:rsidRDefault="007D19D6">
            <w:pPr>
              <w:rPr>
                <w:rFonts w:ascii="Arial" w:eastAsia="Calibri" w:hAnsi="Arial" w:cs="Arial"/>
                <w:noProof/>
                <w:sz w:val="16"/>
                <w:szCs w:val="16"/>
              </w:rPr>
            </w:pPr>
            <w:r>
              <w:rPr>
                <w:rFonts w:ascii="Arial" w:hAnsi="Arial"/>
                <w:noProof/>
                <w:sz w:val="16"/>
                <w:szCs w:val="16"/>
              </w:rPr>
              <w:t>PVN identifikācijas numurs:</w:t>
            </w:r>
          </w:p>
        </w:tc>
      </w:tr>
      <w:tr w:rsidR="003E022D">
        <w:trPr>
          <w:jc w:val="center"/>
        </w:trPr>
        <w:tc>
          <w:tcPr>
            <w:tcW w:w="2500" w:type="pct"/>
            <w:shd w:val="clear" w:color="auto" w:fill="auto"/>
          </w:tcPr>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PVN identifikācijas numurs nav pieejams</w:t>
            </w:r>
          </w:p>
        </w:tc>
        <w:tc>
          <w:tcPr>
            <w:tcW w:w="2500" w:type="pct"/>
            <w:shd w:val="clear" w:color="auto" w:fill="auto"/>
          </w:tcPr>
          <w:p w:rsidR="003E022D" w:rsidRDefault="007D19D6">
            <w:pPr>
              <w:rPr>
                <w:rFonts w:ascii="Arial" w:eastAsia="Calibri" w:hAnsi="Arial" w:cs="Arial"/>
                <w:noProof/>
                <w:sz w:val="16"/>
                <w:szCs w:val="16"/>
              </w:rPr>
            </w:pPr>
            <w:r>
              <w:rPr>
                <w:noProof/>
              </w:rPr>
              <w:t xml:space="preserve">□ </w:t>
            </w:r>
            <w:r>
              <w:rPr>
                <w:rFonts w:ascii="Arial" w:hAnsi="Arial"/>
                <w:noProof/>
                <w:sz w:val="16"/>
                <w:szCs w:val="16"/>
              </w:rPr>
              <w:t>PVN identifikācijas numurs nav pieejams</w:t>
            </w:r>
          </w:p>
        </w:tc>
      </w:tr>
      <w:tr w:rsidR="003E022D">
        <w:trPr>
          <w:jc w:val="center"/>
        </w:trPr>
        <w:tc>
          <w:tcPr>
            <w:tcW w:w="2500" w:type="pct"/>
            <w:shd w:val="clear" w:color="auto" w:fill="auto"/>
          </w:tcPr>
          <w:p w:rsidR="003E022D" w:rsidRDefault="007D19D6">
            <w:pPr>
              <w:rPr>
                <w:rFonts w:eastAsia="Calibri"/>
                <w:noProof/>
              </w:rPr>
            </w:pPr>
            <w:r>
              <w:rPr>
                <w:rFonts w:ascii="Arial" w:hAnsi="Arial"/>
                <w:noProof/>
                <w:sz w:val="16"/>
                <w:szCs w:val="16"/>
              </w:rPr>
              <w:t>Nodokļa maksātāja identifikācijas numurs:</w:t>
            </w:r>
            <w:r>
              <w:rPr>
                <w:noProof/>
              </w:rPr>
              <w:t xml:space="preserve"> </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eastAsia="Calibri"/>
                <w:noProof/>
              </w:rPr>
            </w:pPr>
            <w:r>
              <w:rPr>
                <w:rFonts w:ascii="Arial" w:hAnsi="Arial"/>
                <w:noProof/>
                <w:sz w:val="16"/>
                <w:szCs w:val="16"/>
              </w:rPr>
              <w:t xml:space="preserve">Nodokļa maksātāja </w:t>
            </w:r>
            <w:r>
              <w:rPr>
                <w:rFonts w:ascii="Arial" w:hAnsi="Arial"/>
                <w:noProof/>
                <w:sz w:val="16"/>
                <w:szCs w:val="16"/>
              </w:rPr>
              <w:t>identifikācijas numurs:</w:t>
            </w:r>
            <w:r>
              <w:rPr>
                <w:noProof/>
              </w:rPr>
              <w:t xml:space="preserve"> </w:t>
            </w:r>
          </w:p>
          <w:p w:rsidR="003E022D" w:rsidRDefault="003E022D">
            <w:pPr>
              <w:rPr>
                <w:rFonts w:ascii="Arial" w:eastAsia="Calibri" w:hAnsi="Arial" w:cs="Arial"/>
                <w:noProof/>
                <w:sz w:val="16"/>
                <w:szCs w:val="16"/>
              </w:rPr>
            </w:pPr>
          </w:p>
        </w:tc>
      </w:tr>
      <w:tr w:rsidR="003E022D">
        <w:trPr>
          <w:jc w:val="center"/>
        </w:trPr>
        <w:tc>
          <w:tcPr>
            <w:tcW w:w="2500" w:type="pct"/>
            <w:shd w:val="clear" w:color="auto" w:fill="auto"/>
          </w:tcPr>
          <w:p w:rsidR="003E022D" w:rsidRDefault="007D19D6">
            <w:pPr>
              <w:rPr>
                <w:rFonts w:eastAsia="Calibri"/>
                <w:noProof/>
              </w:rPr>
            </w:pPr>
            <w:r>
              <w:rPr>
                <w:rFonts w:ascii="Arial" w:hAnsi="Arial"/>
                <w:noProof/>
                <w:sz w:val="16"/>
                <w:szCs w:val="16"/>
              </w:rPr>
              <w:t>G2. Vārds, uzvārds / nosaukums</w:t>
            </w:r>
            <w:r>
              <w:rPr>
                <w:noProof/>
              </w:rPr>
              <w:t xml:space="preserve"> </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eastAsia="Calibri"/>
                <w:noProof/>
              </w:rPr>
            </w:pPr>
            <w:r>
              <w:rPr>
                <w:rFonts w:ascii="Arial" w:hAnsi="Arial"/>
                <w:noProof/>
                <w:sz w:val="16"/>
                <w:szCs w:val="16"/>
              </w:rPr>
              <w:t>G2. Vārds, uzvārds / nosaukums</w:t>
            </w:r>
            <w:r>
              <w:rPr>
                <w:noProof/>
              </w:rPr>
              <w:t xml:space="preserve"> </w:t>
            </w:r>
          </w:p>
          <w:p w:rsidR="003E022D" w:rsidRDefault="003E022D">
            <w:pPr>
              <w:rPr>
                <w:rFonts w:ascii="Arial" w:eastAsia="Calibri" w:hAnsi="Arial" w:cs="Arial"/>
                <w:noProof/>
                <w:sz w:val="16"/>
                <w:szCs w:val="16"/>
              </w:rPr>
            </w:pPr>
          </w:p>
        </w:tc>
      </w:tr>
      <w:tr w:rsidR="003E022D">
        <w:trPr>
          <w:jc w:val="center"/>
        </w:trPr>
        <w:tc>
          <w:tcPr>
            <w:tcW w:w="2500" w:type="pct"/>
            <w:shd w:val="clear" w:color="auto" w:fill="auto"/>
          </w:tcPr>
          <w:p w:rsidR="003E022D" w:rsidRDefault="007D19D6">
            <w:pPr>
              <w:rPr>
                <w:rFonts w:eastAsia="Calibri"/>
                <w:noProof/>
              </w:rPr>
            </w:pPr>
            <w:r>
              <w:rPr>
                <w:noProof/>
              </w:rPr>
              <w:br w:type="page"/>
            </w:r>
            <w:r>
              <w:rPr>
                <w:rFonts w:ascii="Arial" w:hAnsi="Arial"/>
                <w:noProof/>
                <w:sz w:val="16"/>
                <w:szCs w:val="16"/>
              </w:rPr>
              <w:t>G3. Adrese</w:t>
            </w:r>
            <w:r>
              <w:rPr>
                <w:noProof/>
              </w:rPr>
              <w:t xml:space="preserve"> </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eastAsia="Calibri"/>
                <w:noProof/>
              </w:rPr>
            </w:pPr>
            <w:r>
              <w:rPr>
                <w:rFonts w:ascii="Arial" w:hAnsi="Arial"/>
                <w:noProof/>
                <w:sz w:val="16"/>
                <w:szCs w:val="16"/>
              </w:rPr>
              <w:t>G3. Adrese</w:t>
            </w:r>
          </w:p>
          <w:p w:rsidR="003E022D" w:rsidRDefault="003E022D">
            <w:pPr>
              <w:rPr>
                <w:rFonts w:ascii="Arial" w:eastAsia="Calibri" w:hAnsi="Arial" w:cs="Arial"/>
                <w:noProof/>
                <w:sz w:val="16"/>
                <w:szCs w:val="16"/>
              </w:rPr>
            </w:pPr>
          </w:p>
        </w:tc>
      </w:tr>
      <w:tr w:rsidR="003E022D">
        <w:trPr>
          <w:jc w:val="center"/>
        </w:trPr>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G4. Šādi datumi formātā (GGGG/MM/DD):</w:t>
            </w:r>
          </w:p>
        </w:tc>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G4.</w:t>
            </w:r>
            <w:r>
              <w:rPr>
                <w:noProof/>
              </w:rPr>
              <w:t xml:space="preserve"> </w:t>
            </w:r>
            <w:r>
              <w:rPr>
                <w:rFonts w:ascii="Arial" w:hAnsi="Arial"/>
                <w:noProof/>
                <w:sz w:val="16"/>
                <w:szCs w:val="16"/>
              </w:rPr>
              <w:t>Šādi datumi formātā (GGGG/MM/DD):</w:t>
            </w:r>
          </w:p>
        </w:tc>
      </w:tr>
      <w:tr w:rsidR="003E022D">
        <w:trPr>
          <w:trHeight w:val="135"/>
          <w:jc w:val="center"/>
        </w:trPr>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 xml:space="preserve">a) kad piešķirts PVN / nodokļa maksātāja identifikācijas </w:t>
            </w:r>
            <w:r>
              <w:rPr>
                <w:rFonts w:ascii="Arial" w:hAnsi="Arial"/>
                <w:noProof/>
                <w:sz w:val="16"/>
                <w:szCs w:val="16"/>
              </w:rPr>
              <w:t>numurs</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a) kad piešķirts PVN / nodokļa maksātāja identifikācijas numurs</w:t>
            </w:r>
          </w:p>
          <w:p w:rsidR="003E022D" w:rsidRDefault="003E022D">
            <w:pPr>
              <w:rPr>
                <w:rFonts w:ascii="Arial" w:eastAsia="Calibri" w:hAnsi="Arial" w:cs="Arial"/>
                <w:noProof/>
                <w:sz w:val="16"/>
                <w:szCs w:val="16"/>
              </w:rPr>
            </w:pPr>
          </w:p>
        </w:tc>
      </w:tr>
      <w:tr w:rsidR="003E022D">
        <w:trPr>
          <w:trHeight w:val="134"/>
          <w:jc w:val="center"/>
        </w:trPr>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kad anulēts PVN / nodokļa maksātāja identifikācijas numurs</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kad anulēts PVN / nodokļa maksātāja identifikācijas numurs</w:t>
            </w:r>
          </w:p>
          <w:p w:rsidR="003E022D" w:rsidRDefault="003E022D">
            <w:pPr>
              <w:rPr>
                <w:rFonts w:ascii="Arial" w:eastAsia="Calibri" w:hAnsi="Arial" w:cs="Arial"/>
                <w:noProof/>
                <w:sz w:val="16"/>
                <w:szCs w:val="16"/>
              </w:rPr>
            </w:pPr>
          </w:p>
        </w:tc>
      </w:tr>
      <w:tr w:rsidR="003E022D">
        <w:trPr>
          <w:trHeight w:val="607"/>
          <w:jc w:val="center"/>
        </w:trPr>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c) inkorporācijas datums</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c) inkorporācijas datums</w:t>
            </w:r>
          </w:p>
          <w:p w:rsidR="003E022D" w:rsidRDefault="003E022D">
            <w:pPr>
              <w:rPr>
                <w:rFonts w:ascii="Arial" w:eastAsia="Calibri" w:hAnsi="Arial" w:cs="Arial"/>
                <w:noProof/>
                <w:sz w:val="16"/>
                <w:szCs w:val="16"/>
              </w:rPr>
            </w:pPr>
          </w:p>
        </w:tc>
      </w:tr>
      <w:tr w:rsidR="003E022D">
        <w:trPr>
          <w:jc w:val="center"/>
        </w:trPr>
        <w:tc>
          <w:tcPr>
            <w:tcW w:w="2500" w:type="pct"/>
            <w:shd w:val="clear" w:color="auto" w:fill="auto"/>
          </w:tcPr>
          <w:p w:rsidR="003E022D" w:rsidRDefault="007D19D6">
            <w:pPr>
              <w:rPr>
                <w:rFonts w:ascii="Arial" w:eastAsia="Calibri" w:hAnsi="Arial" w:cs="Arial"/>
                <w:i/>
                <w:noProof/>
                <w:sz w:val="16"/>
                <w:szCs w:val="16"/>
              </w:rPr>
            </w:pPr>
            <w:r>
              <w:rPr>
                <w:rFonts w:ascii="Arial" w:hAnsi="Arial"/>
                <w:noProof/>
                <w:sz w:val="16"/>
                <w:szCs w:val="16"/>
              </w:rPr>
              <w:t>G5.</w:t>
            </w:r>
            <w:r>
              <w:rPr>
                <w:noProof/>
              </w:rPr>
              <w:t xml:space="preserve"> </w:t>
            </w:r>
            <w:r>
              <w:rPr>
                <w:rFonts w:ascii="Arial" w:hAnsi="Arial"/>
                <w:noProof/>
                <w:sz w:val="16"/>
                <w:szCs w:val="16"/>
              </w:rPr>
              <w:t>Īpašnieki, līdzīpašnieki, partneri, starpnieki, ieinteresētās personas vai personas, kurām ir citas tiesības uzņēmumā</w:t>
            </w:r>
          </w:p>
          <w:p w:rsidR="003E022D" w:rsidRDefault="003E022D">
            <w:pPr>
              <w:rPr>
                <w:rFonts w:eastAsia="Calibri"/>
                <w:noProof/>
                <w:lang w:eastAsia="en-GB"/>
              </w:rPr>
            </w:pPr>
          </w:p>
        </w:tc>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G5. Īpašnieki, līdzīpašnieki, partneri, starpnieki, ieinteresētās personas vai personas, kurām ir citas tiesības uzņēmumā</w:t>
            </w:r>
          </w:p>
        </w:tc>
      </w:tr>
      <w:tr w:rsidR="003E022D">
        <w:trPr>
          <w:jc w:val="center"/>
        </w:trPr>
        <w:tc>
          <w:tcPr>
            <w:tcW w:w="2500" w:type="pct"/>
            <w:shd w:val="clear" w:color="auto" w:fill="auto"/>
          </w:tcPr>
          <w:p w:rsidR="003E022D" w:rsidRDefault="007D19D6">
            <w:pPr>
              <w:rPr>
                <w:rFonts w:eastAsia="Calibri"/>
                <w:noProof/>
              </w:rPr>
            </w:pPr>
            <w:r>
              <w:rPr>
                <w:rFonts w:ascii="Arial" w:hAnsi="Arial"/>
                <w:noProof/>
                <w:sz w:val="16"/>
                <w:szCs w:val="16"/>
              </w:rPr>
              <w:t xml:space="preserve">a) Vārds, </w:t>
            </w:r>
            <w:r>
              <w:rPr>
                <w:rFonts w:ascii="Arial" w:hAnsi="Arial"/>
                <w:noProof/>
                <w:sz w:val="16"/>
                <w:szCs w:val="16"/>
              </w:rPr>
              <w:t>uzvārds</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3872" behindDoc="0" locked="0" layoutInCell="1" allowOverlap="1">
                      <wp:simplePos x="0" y="0"/>
                      <wp:positionH relativeFrom="page">
                        <wp:posOffset>633730</wp:posOffset>
                      </wp:positionH>
                      <wp:positionV relativeFrom="page">
                        <wp:posOffset>5476240</wp:posOffset>
                      </wp:positionV>
                      <wp:extent cx="3114675" cy="127000"/>
                      <wp:effectExtent l="0" t="0" r="2857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5" style="position:absolute;left:0;text-align:left;margin-left:49.9pt;margin-top:431.2pt;width:245.25pt;height:1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2500" w:type="pct"/>
            <w:shd w:val="clear" w:color="auto" w:fill="auto"/>
          </w:tcPr>
          <w:p w:rsidR="003E022D" w:rsidRDefault="007D19D6">
            <w:pPr>
              <w:rPr>
                <w:rFonts w:eastAsia="Calibri"/>
                <w:noProof/>
              </w:rPr>
            </w:pPr>
            <w:r>
              <w:rPr>
                <w:rFonts w:ascii="Arial" w:hAnsi="Arial"/>
                <w:noProof/>
                <w:sz w:val="16"/>
                <w:szCs w:val="16"/>
              </w:rPr>
              <w:t>a) Vārds, uzvārds</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4896" behindDoc="0" locked="0" layoutInCell="1" allowOverlap="1">
                      <wp:simplePos x="0" y="0"/>
                      <wp:positionH relativeFrom="page">
                        <wp:posOffset>3848100</wp:posOffset>
                      </wp:positionH>
                      <wp:positionV relativeFrom="page">
                        <wp:posOffset>5476240</wp:posOffset>
                      </wp:positionV>
                      <wp:extent cx="3114675" cy="127000"/>
                      <wp:effectExtent l="0" t="0" r="2857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6" style="position:absolute;left:0;text-align:left;margin-left:303pt;margin-top:431.2pt;width:245.25pt;height:1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r>
      <w:tr w:rsidR="003E022D">
        <w:trPr>
          <w:jc w:val="center"/>
        </w:trPr>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Adrese</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Adrese</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5920" behindDoc="0" locked="0" layoutInCell="1" allowOverlap="1">
                      <wp:simplePos x="0" y="0"/>
                      <wp:positionH relativeFrom="page">
                        <wp:posOffset>3848100</wp:posOffset>
                      </wp:positionH>
                      <wp:positionV relativeFrom="page">
                        <wp:posOffset>5868670</wp:posOffset>
                      </wp:positionV>
                      <wp:extent cx="3114675" cy="127000"/>
                      <wp:effectExtent l="0" t="0" r="2857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7" style="position:absolute;left:0;text-align:left;margin-left:303pt;margin-top:462.1pt;width:245.25pt;height:1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r>
      <w:tr w:rsidR="003E022D">
        <w:trPr>
          <w:trHeight w:val="134"/>
          <w:jc w:val="center"/>
        </w:trPr>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c) Dzimšanas datums</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c) Dzimšanas datums</w:t>
            </w:r>
          </w:p>
          <w:p w:rsidR="003E022D" w:rsidRDefault="003E022D">
            <w:pPr>
              <w:rPr>
                <w:rFonts w:ascii="Arial" w:eastAsia="Calibri" w:hAnsi="Arial" w:cs="Arial"/>
                <w:noProof/>
                <w:sz w:val="16"/>
                <w:szCs w:val="16"/>
              </w:rPr>
            </w:pPr>
          </w:p>
        </w:tc>
      </w:tr>
      <w:tr w:rsidR="003E022D">
        <w:trPr>
          <w:jc w:val="center"/>
        </w:trPr>
        <w:tc>
          <w:tcPr>
            <w:tcW w:w="2500" w:type="pct"/>
            <w:shd w:val="clear" w:color="auto" w:fill="auto"/>
          </w:tcPr>
          <w:p w:rsidR="003E022D" w:rsidRDefault="007D19D6">
            <w:pPr>
              <w:rPr>
                <w:rFonts w:eastAsia="Calibri"/>
                <w:noProof/>
              </w:rPr>
            </w:pPr>
            <w:r>
              <w:rPr>
                <w:rFonts w:ascii="Arial" w:hAnsi="Arial"/>
                <w:noProof/>
                <w:sz w:val="16"/>
                <w:szCs w:val="16"/>
              </w:rPr>
              <w:t>d) Valstspiederība</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6944" behindDoc="0" locked="0" layoutInCell="1" allowOverlap="1">
                      <wp:simplePos x="0" y="0"/>
                      <wp:positionH relativeFrom="page">
                        <wp:posOffset>633730</wp:posOffset>
                      </wp:positionH>
                      <wp:positionV relativeFrom="page">
                        <wp:posOffset>6653530</wp:posOffset>
                      </wp:positionV>
                      <wp:extent cx="3114675" cy="127000"/>
                      <wp:effectExtent l="0" t="0" r="28575" b="2540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48" style="position:absolute;left:0;text-align:left;margin-left:49.9pt;margin-top:523.9pt;width:245.25pt;height:1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2500" w:type="pct"/>
            <w:shd w:val="clear" w:color="auto" w:fill="auto"/>
          </w:tcPr>
          <w:p w:rsidR="003E022D" w:rsidRDefault="007D19D6">
            <w:pPr>
              <w:rPr>
                <w:rFonts w:eastAsia="Calibri"/>
                <w:noProof/>
              </w:rPr>
            </w:pPr>
            <w:r>
              <w:rPr>
                <w:rFonts w:ascii="Arial" w:hAnsi="Arial"/>
                <w:noProof/>
                <w:sz w:val="16"/>
                <w:szCs w:val="16"/>
              </w:rPr>
              <w:t>d) Valstspiederība</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7968" behindDoc="0" locked="0" layoutInCell="1" allowOverlap="1">
                      <wp:simplePos x="0" y="0"/>
                      <wp:positionH relativeFrom="page">
                        <wp:posOffset>3848100</wp:posOffset>
                      </wp:positionH>
                      <wp:positionV relativeFrom="page">
                        <wp:posOffset>6653530</wp:posOffset>
                      </wp:positionV>
                      <wp:extent cx="3114675" cy="127000"/>
                      <wp:effectExtent l="0" t="0" r="28575" b="2540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9" style="position:absolute;left:0;text-align:left;margin-left:303pt;margin-top:523.9pt;width:245.25pt;height:1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r>
      <w:tr w:rsidR="003E022D">
        <w:trPr>
          <w:jc w:val="center"/>
        </w:trPr>
        <w:tc>
          <w:tcPr>
            <w:tcW w:w="2500" w:type="pct"/>
            <w:shd w:val="clear" w:color="auto" w:fill="auto"/>
          </w:tcPr>
          <w:p w:rsidR="003E022D" w:rsidRDefault="007D19D6">
            <w:pPr>
              <w:rPr>
                <w:rFonts w:eastAsia="Calibri"/>
                <w:noProof/>
              </w:rPr>
            </w:pPr>
            <w:r>
              <w:rPr>
                <w:rFonts w:ascii="Arial" w:hAnsi="Arial"/>
                <w:noProof/>
                <w:sz w:val="16"/>
                <w:szCs w:val="16"/>
              </w:rPr>
              <w:t>G6. Vadītāji, direktori</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eastAsia="Calibri"/>
                <w:noProof/>
              </w:rPr>
            </w:pPr>
            <w:r>
              <w:rPr>
                <w:rFonts w:ascii="Arial" w:hAnsi="Arial"/>
                <w:noProof/>
                <w:sz w:val="16"/>
                <w:szCs w:val="16"/>
              </w:rPr>
              <w:t>G6. Vadītāji, direktori</w:t>
            </w:r>
          </w:p>
          <w:p w:rsidR="003E022D" w:rsidRDefault="003E022D">
            <w:pPr>
              <w:rPr>
                <w:rFonts w:ascii="Arial" w:eastAsia="Calibri" w:hAnsi="Arial" w:cs="Arial"/>
                <w:noProof/>
                <w:sz w:val="16"/>
                <w:szCs w:val="16"/>
              </w:rPr>
            </w:pPr>
          </w:p>
        </w:tc>
      </w:tr>
      <w:tr w:rsidR="003E022D">
        <w:trPr>
          <w:jc w:val="center"/>
        </w:trPr>
        <w:tc>
          <w:tcPr>
            <w:tcW w:w="2500" w:type="pct"/>
            <w:shd w:val="clear" w:color="auto" w:fill="auto"/>
          </w:tcPr>
          <w:p w:rsidR="003E022D" w:rsidRDefault="007D19D6">
            <w:pPr>
              <w:rPr>
                <w:rFonts w:eastAsia="Calibri"/>
                <w:noProof/>
              </w:rPr>
            </w:pPr>
            <w:r>
              <w:rPr>
                <w:rFonts w:ascii="Arial" w:hAnsi="Arial"/>
                <w:noProof/>
                <w:sz w:val="16"/>
                <w:szCs w:val="16"/>
              </w:rPr>
              <w:t>a) Vārds, uzvārds</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eastAsia="Calibri"/>
                <w:noProof/>
              </w:rPr>
            </w:pPr>
            <w:r>
              <w:rPr>
                <w:rFonts w:ascii="Arial" w:hAnsi="Arial"/>
                <w:noProof/>
                <w:sz w:val="16"/>
                <w:szCs w:val="16"/>
              </w:rPr>
              <w:t>a) Vārds, uzvārds</w:t>
            </w:r>
          </w:p>
          <w:p w:rsidR="003E022D" w:rsidRDefault="003E022D">
            <w:pPr>
              <w:rPr>
                <w:rFonts w:ascii="Arial" w:eastAsia="Calibri" w:hAnsi="Arial" w:cs="Arial"/>
                <w:noProof/>
                <w:sz w:val="16"/>
                <w:szCs w:val="16"/>
              </w:rPr>
            </w:pPr>
          </w:p>
        </w:tc>
      </w:tr>
      <w:tr w:rsidR="003E022D">
        <w:trPr>
          <w:jc w:val="center"/>
        </w:trPr>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Adrese</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b) Adrese</w:t>
            </w:r>
          </w:p>
          <w:p w:rsidR="003E022D" w:rsidRDefault="003E022D">
            <w:pPr>
              <w:rPr>
                <w:rFonts w:ascii="Arial" w:eastAsia="Calibri" w:hAnsi="Arial" w:cs="Arial"/>
                <w:noProof/>
                <w:sz w:val="16"/>
                <w:szCs w:val="16"/>
              </w:rPr>
            </w:pPr>
          </w:p>
        </w:tc>
      </w:tr>
      <w:tr w:rsidR="003E022D">
        <w:trPr>
          <w:trHeight w:val="134"/>
          <w:jc w:val="center"/>
        </w:trPr>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c) Dzimšanas datums</w:t>
            </w:r>
          </w:p>
          <w:p w:rsidR="003E022D" w:rsidRDefault="003E022D">
            <w:pPr>
              <w:rPr>
                <w:rFonts w:ascii="Arial" w:eastAsia="Calibri" w:hAnsi="Arial" w:cs="Arial"/>
                <w:noProof/>
                <w:sz w:val="16"/>
                <w:szCs w:val="16"/>
              </w:rPr>
            </w:pPr>
          </w:p>
        </w:tc>
        <w:tc>
          <w:tcPr>
            <w:tcW w:w="2500" w:type="pct"/>
            <w:shd w:val="clear" w:color="auto" w:fill="auto"/>
          </w:tcPr>
          <w:p w:rsidR="003E022D" w:rsidRDefault="007D19D6">
            <w:pPr>
              <w:rPr>
                <w:rFonts w:ascii="Arial" w:eastAsia="Calibri" w:hAnsi="Arial" w:cs="Arial"/>
                <w:noProof/>
                <w:sz w:val="16"/>
                <w:szCs w:val="16"/>
              </w:rPr>
            </w:pPr>
            <w:r>
              <w:rPr>
                <w:rFonts w:ascii="Arial" w:hAnsi="Arial"/>
                <w:noProof/>
                <w:sz w:val="16"/>
                <w:szCs w:val="16"/>
              </w:rPr>
              <w:t>c) Dzimšanas datums</w:t>
            </w:r>
          </w:p>
          <w:p w:rsidR="003E022D" w:rsidRDefault="003E022D">
            <w:pPr>
              <w:rPr>
                <w:rFonts w:ascii="Arial" w:eastAsia="Calibri" w:hAnsi="Arial" w:cs="Arial"/>
                <w:noProof/>
                <w:sz w:val="16"/>
                <w:szCs w:val="16"/>
              </w:rPr>
            </w:pPr>
          </w:p>
        </w:tc>
      </w:tr>
      <w:tr w:rsidR="003E022D">
        <w:trPr>
          <w:jc w:val="center"/>
        </w:trPr>
        <w:tc>
          <w:tcPr>
            <w:tcW w:w="2500" w:type="pct"/>
            <w:shd w:val="clear" w:color="auto" w:fill="auto"/>
          </w:tcPr>
          <w:p w:rsidR="003E022D" w:rsidRDefault="007D19D6">
            <w:pPr>
              <w:rPr>
                <w:rFonts w:eastAsia="Calibri"/>
                <w:noProof/>
              </w:rPr>
            </w:pPr>
            <w:r>
              <w:rPr>
                <w:rFonts w:ascii="Arial" w:hAnsi="Arial"/>
                <w:noProof/>
                <w:sz w:val="16"/>
                <w:szCs w:val="16"/>
              </w:rPr>
              <w:t>d) Valstspiederība</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1824" behindDoc="0" locked="0" layoutInCell="1" allowOverlap="1">
                      <wp:simplePos x="0" y="0"/>
                      <wp:positionH relativeFrom="page">
                        <wp:posOffset>633730</wp:posOffset>
                      </wp:positionH>
                      <wp:positionV relativeFrom="page">
                        <wp:posOffset>8615045</wp:posOffset>
                      </wp:positionV>
                      <wp:extent cx="3114675" cy="127000"/>
                      <wp:effectExtent l="0" t="0" r="2857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0" style="position:absolute;left:0;text-align:left;margin-left:49.9pt;margin-top:678.35pt;width:245.25pt;height:1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c>
          <w:tcPr>
            <w:tcW w:w="2500" w:type="pct"/>
            <w:shd w:val="clear" w:color="auto" w:fill="auto"/>
          </w:tcPr>
          <w:p w:rsidR="003E022D" w:rsidRDefault="007D19D6">
            <w:pPr>
              <w:rPr>
                <w:rFonts w:eastAsia="Calibri"/>
                <w:noProof/>
              </w:rPr>
            </w:pPr>
            <w:r>
              <w:rPr>
                <w:rFonts w:ascii="Arial" w:hAnsi="Arial"/>
                <w:noProof/>
                <w:sz w:val="16"/>
                <w:szCs w:val="16"/>
              </w:rPr>
              <w:t>d) Valstspiederība</w:t>
            </w:r>
          </w:p>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2848" behindDoc="0" locked="0" layoutInCell="1" allowOverlap="1">
                      <wp:simplePos x="0" y="0"/>
                      <wp:positionH relativeFrom="page">
                        <wp:posOffset>3848100</wp:posOffset>
                      </wp:positionH>
                      <wp:positionV relativeFrom="page">
                        <wp:posOffset>8615045</wp:posOffset>
                      </wp:positionV>
                      <wp:extent cx="3114675" cy="127000"/>
                      <wp:effectExtent l="0" t="0" r="28575"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7D19D6">
                                  <w:pPr>
                                    <w:tabs>
                                      <w:tab w:val="left" w:pos="5655"/>
                                    </w:tabs>
                                  </w:pPr>
                                  <w:r>
                                    <w:t>□</w:t>
                                  </w: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1" style="position:absolute;left:0;text-align:left;margin-left:303pt;margin-top:678.35pt;width:245.25pt;height:1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" fillcolor="window" strokecolor="windowText" strokeweight=".25pt">
                      <v:path arrowok="t"/>
                      <v:textbox>
                        <w:txbxContent>
                          <w:p w:rsidR="003E022D" w:rsidRDefault="007D19D6">
                            <w:pPr>
                              <w:tabs>
                                <w:tab w:val="left" w:pos="5655"/>
                              </w:tabs>
                            </w:pPr>
                            <w:r>
                              <w:t>□</w:t>
                            </w:r>
                          </w:p>
                          <w:p w:rsidR="003E022D" w:rsidRDefault="003E022D">
                            <w:pPr>
                              <w:jc w:val="center"/>
                            </w:pPr>
                          </w:p>
                        </w:txbxContent>
                      </v:textbox>
                      <w10:wrap anchorx="page" anchory="page"/>
                    </v:rect>
                  </w:pict>
                </mc:Fallback>
              </mc:AlternateContent>
            </w:r>
          </w:p>
        </w:tc>
      </w:tr>
      <w:tr w:rsidR="003E022D">
        <w:trPr>
          <w:jc w:val="center"/>
        </w:trPr>
        <w:tc>
          <w:tcPr>
            <w:tcW w:w="5000" w:type="pct"/>
            <w:gridSpan w:val="2"/>
            <w:shd w:val="clear" w:color="auto" w:fill="auto"/>
          </w:tcPr>
          <w:p w:rsidR="003E022D" w:rsidRDefault="007D19D6">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8992" behindDoc="0" locked="0" layoutInCell="1" allowOverlap="1">
                      <wp:simplePos x="0" y="0"/>
                      <wp:positionH relativeFrom="page">
                        <wp:posOffset>693420</wp:posOffset>
                      </wp:positionH>
                      <wp:positionV relativeFrom="page">
                        <wp:posOffset>9022080</wp:posOffset>
                      </wp:positionV>
                      <wp:extent cx="6286500" cy="254000"/>
                      <wp:effectExtent l="0" t="0" r="19050"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3E022D" w:rsidRDefault="003E022D">
                                  <w:pPr>
                                    <w:tabs>
                                      <w:tab w:val="left" w:pos="5655"/>
                                    </w:tabs>
                                    <w:rPr>
                                      <w:lang w:val="fr-BE"/>
                                    </w:rPr>
                                  </w:pPr>
                                </w:p>
                                <w:p w:rsidR="003E022D" w:rsidRDefault="003E02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2" style="position:absolute;left:0;text-align:left;margin-left:54.6pt;margin-top:710.4pt;width:495pt;height:2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" fillcolor="window" strokecolor="windowText" strokeweight=".25pt">
                      <v:path arrowok="t"/>
                      <v:textbox>
                        <w:txbxContent>
                          <w:p w:rsidR="003E022D" w:rsidRDefault="003E022D">
                            <w:pPr>
                              <w:tabs>
                                <w:tab w:val="left" w:pos="5655"/>
                              </w:tabs>
                              <w:rPr>
                                <w:lang w:val="fr-BE"/>
                              </w:rPr>
                            </w:pPr>
                          </w:p>
                          <w:p w:rsidR="003E022D" w:rsidRDefault="003E022D">
                            <w:pPr>
                              <w:jc w:val="center"/>
                            </w:pPr>
                          </w:p>
                        </w:txbxContent>
                      </v:textbox>
                      <w10:wrap anchorx="page" anchory="page"/>
                    </v:rect>
                  </w:pict>
                </mc:Fallback>
              </mc:AlternateContent>
            </w:r>
            <w:r>
              <w:rPr>
                <w:rFonts w:ascii="Arial" w:hAnsi="Arial"/>
                <w:noProof/>
                <w:sz w:val="16"/>
                <w:szCs w:val="16"/>
              </w:rPr>
              <w:t>Papildu piezīmes</w:t>
            </w:r>
          </w:p>
          <w:p w:rsidR="003E022D" w:rsidRDefault="003E022D">
            <w:pPr>
              <w:rPr>
                <w:rFonts w:ascii="Arial" w:eastAsia="Calibri" w:hAnsi="Arial" w:cs="Arial"/>
                <w:noProof/>
                <w:sz w:val="16"/>
                <w:szCs w:val="16"/>
              </w:rPr>
            </w:pPr>
          </w:p>
          <w:p w:rsidR="003E022D" w:rsidRDefault="003E022D">
            <w:pPr>
              <w:rPr>
                <w:rFonts w:ascii="Arial" w:eastAsia="Calibri" w:hAnsi="Arial" w:cs="Arial"/>
                <w:noProof/>
                <w:sz w:val="16"/>
                <w:szCs w:val="16"/>
              </w:rPr>
            </w:pPr>
          </w:p>
        </w:tc>
      </w:tr>
    </w:tbl>
    <w:p w:rsidR="003E022D" w:rsidRDefault="003E022D">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E022D">
        <w:trPr>
          <w:jc w:val="center"/>
        </w:trPr>
        <w:tc>
          <w:tcPr>
            <w:tcW w:w="5000" w:type="pct"/>
            <w:shd w:val="clear" w:color="auto" w:fill="auto"/>
          </w:tcPr>
          <w:p w:rsidR="003E022D" w:rsidRDefault="007D19D6">
            <w:pPr>
              <w:spacing w:after="0"/>
              <w:rPr>
                <w:rFonts w:ascii="Arial" w:eastAsia="Calibri" w:hAnsi="Arial" w:cs="Arial"/>
                <w:b/>
                <w:noProof/>
                <w:sz w:val="16"/>
                <w:szCs w:val="16"/>
              </w:rPr>
            </w:pPr>
            <w:r>
              <w:rPr>
                <w:rFonts w:ascii="Arial" w:hAnsi="Arial"/>
                <w:b/>
                <w:noProof/>
                <w:sz w:val="16"/>
                <w:szCs w:val="16"/>
              </w:rPr>
              <w:t>H) ATSAUKSME</w:t>
            </w:r>
            <w:r>
              <w:rPr>
                <w:rFonts w:ascii="Arial" w:eastAsia="Calibri" w:hAnsi="Arial" w:cs="Arial"/>
                <w:b/>
                <w:noProof/>
                <w:sz w:val="16"/>
                <w:szCs w:val="16"/>
                <w:vertAlign w:val="superscript"/>
              </w:rPr>
              <w:footnoteReference w:id="152"/>
            </w:r>
          </w:p>
        </w:tc>
      </w:tr>
      <w:tr w:rsidR="003E022D">
        <w:trPr>
          <w:jc w:val="center"/>
        </w:trPr>
        <w:tc>
          <w:tcPr>
            <w:tcW w:w="5000" w:type="pct"/>
            <w:shd w:val="clear" w:color="auto" w:fill="auto"/>
          </w:tcPr>
          <w:p w:rsidR="003E022D" w:rsidRDefault="007D19D6">
            <w:pPr>
              <w:tabs>
                <w:tab w:val="left" w:pos="5655"/>
              </w:tabs>
              <w:rPr>
                <w:rFonts w:ascii="Arial" w:eastAsia="Calibri" w:hAnsi="Arial" w:cs="Arial"/>
                <w:b/>
                <w:noProof/>
                <w:sz w:val="16"/>
                <w:szCs w:val="16"/>
              </w:rPr>
            </w:pPr>
            <w:r>
              <w:rPr>
                <w:rFonts w:ascii="Arial" w:hAnsi="Arial"/>
                <w:b/>
                <w:noProof/>
                <w:sz w:val="16"/>
                <w:szCs w:val="16"/>
                <w:u w:val="single"/>
              </w:rPr>
              <w:t>Rezultāti</w:t>
            </w:r>
            <w:r>
              <w:rPr>
                <w:rFonts w:ascii="Arial" w:hAnsi="Arial"/>
                <w:b/>
                <w:noProof/>
                <w:sz w:val="16"/>
                <w:szCs w:val="16"/>
              </w:rPr>
              <w:t>, kas saistīti ar sniegto informāciju:</w:t>
            </w:r>
          </w:p>
          <w:p w:rsidR="003E022D" w:rsidRDefault="007D19D6">
            <w:pPr>
              <w:tabs>
                <w:tab w:val="left" w:pos="5655"/>
              </w:tabs>
              <w:spacing w:line="276" w:lineRule="auto"/>
              <w:rPr>
                <w:rFonts w:ascii="Arial" w:eastAsia="Calibri" w:hAnsi="Arial" w:cs="Arial"/>
                <w:b/>
                <w:noProof/>
                <w:sz w:val="16"/>
                <w:szCs w:val="16"/>
              </w:rPr>
            </w:pPr>
            <w:r>
              <w:rPr>
                <w:rFonts w:ascii="Arial" w:hAnsi="Arial"/>
                <w:b/>
                <w:noProof/>
                <w:sz w:val="16"/>
                <w:szCs w:val="16"/>
              </w:rPr>
              <w:t>1) Sniegtās informācijas:</w:t>
            </w: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rezultāts bija PVN </w:t>
            </w:r>
            <w:r>
              <w:rPr>
                <w:rFonts w:ascii="Arial" w:hAnsi="Arial"/>
                <w:noProof/>
                <w:sz w:val="16"/>
                <w:szCs w:val="16"/>
              </w:rPr>
              <w:t>vai citu nodokļu pārrēķins. Sniegt sīkāku informāciju par pārrēķinātā nodokļa veidu un summu:</w:t>
            </w:r>
          </w:p>
          <w:p w:rsidR="003E022D" w:rsidRDefault="007D19D6">
            <w:pPr>
              <w:tabs>
                <w:tab w:val="left" w:pos="5655"/>
              </w:tabs>
              <w:spacing w:line="276" w:lineRule="auto"/>
              <w:rPr>
                <w:rFonts w:ascii="Arial" w:eastAsia="Calibri" w:hAnsi="Arial" w:cs="Arial"/>
                <w:noProof/>
                <w:sz w:val="16"/>
                <w:szCs w:val="16"/>
              </w:rPr>
            </w:pPr>
            <w:r>
              <w:rPr>
                <w:rFonts w:ascii="Arial" w:hAnsi="Arial"/>
                <w:noProof/>
                <w:sz w:val="16"/>
                <w:szCs w:val="16"/>
              </w:rPr>
              <w:t xml:space="preserve">    Nodokļa veids:</w:t>
            </w:r>
            <w:r>
              <w:rPr>
                <w:noProof/>
              </w:rPr>
              <w:t xml:space="preserve"> </w:t>
            </w:r>
          </w:p>
          <w:p w:rsidR="003E022D" w:rsidRDefault="003E022D">
            <w:pPr>
              <w:tabs>
                <w:tab w:val="left" w:pos="5655"/>
              </w:tabs>
              <w:spacing w:line="276" w:lineRule="auto"/>
              <w:rPr>
                <w:rFonts w:ascii="Arial" w:eastAsia="Calibri" w:hAnsi="Arial" w:cs="Arial"/>
                <w:noProof/>
                <w:sz w:val="16"/>
                <w:szCs w:val="16"/>
              </w:rPr>
            </w:pPr>
          </w:p>
          <w:p w:rsidR="003E022D" w:rsidRDefault="007D19D6">
            <w:pPr>
              <w:tabs>
                <w:tab w:val="left" w:pos="5655"/>
              </w:tabs>
              <w:spacing w:line="276" w:lineRule="auto"/>
              <w:rPr>
                <w:rFonts w:ascii="Arial" w:eastAsia="Calibri" w:hAnsi="Arial" w:cs="Arial"/>
                <w:noProof/>
                <w:sz w:val="16"/>
                <w:szCs w:val="16"/>
              </w:rPr>
            </w:pPr>
            <w:r>
              <w:rPr>
                <w:rFonts w:ascii="Arial" w:hAnsi="Arial"/>
                <w:noProof/>
                <w:sz w:val="16"/>
                <w:szCs w:val="16"/>
              </w:rPr>
              <w:t xml:space="preserve">    Pārrēķins: </w:t>
            </w:r>
          </w:p>
          <w:p w:rsidR="003E022D" w:rsidRDefault="003E022D">
            <w:pPr>
              <w:tabs>
                <w:tab w:val="left" w:pos="5655"/>
              </w:tabs>
              <w:spacing w:line="276" w:lineRule="auto"/>
              <w:rPr>
                <w:rFonts w:ascii="Arial" w:eastAsia="Calibri" w:hAnsi="Arial" w:cs="Arial"/>
                <w:noProof/>
                <w:sz w:val="16"/>
                <w:szCs w:val="16"/>
              </w:rPr>
            </w:pPr>
          </w:p>
          <w:p w:rsidR="003E022D" w:rsidRDefault="007D19D6">
            <w:pPr>
              <w:tabs>
                <w:tab w:val="left" w:pos="5655"/>
              </w:tabs>
              <w:spacing w:line="276" w:lineRule="auto"/>
              <w:rPr>
                <w:rFonts w:ascii="Arial" w:eastAsia="Calibri" w:hAnsi="Arial" w:cs="Arial"/>
                <w:noProof/>
                <w:sz w:val="16"/>
                <w:szCs w:val="16"/>
              </w:rPr>
            </w:pPr>
            <w:r>
              <w:rPr>
                <w:rFonts w:ascii="Arial" w:hAnsi="Arial"/>
                <w:noProof/>
                <w:sz w:val="16"/>
                <w:szCs w:val="16"/>
              </w:rPr>
              <w:t xml:space="preserve">    Sods:</w:t>
            </w:r>
            <w:r>
              <w:rPr>
                <w:noProof/>
              </w:rPr>
              <w:t xml:space="preserve"> </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rezultāts bija reģistrācija PVN maksājumiem.</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rezultāts bija PVN maksātāja reģistrācijas anulēšana.</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rezultāts bija PVN identifikācijas numura anulēšana </w:t>
            </w:r>
            <w:r>
              <w:rPr>
                <w:rFonts w:ascii="Arial" w:hAnsi="Arial"/>
                <w:i/>
                <w:noProof/>
                <w:sz w:val="16"/>
                <w:szCs w:val="16"/>
              </w:rPr>
              <w:t>VIES</w:t>
            </w:r>
            <w:r>
              <w:rPr>
                <w:rFonts w:ascii="Arial" w:hAnsi="Arial"/>
                <w:noProof/>
                <w:sz w:val="16"/>
                <w:szCs w:val="16"/>
              </w:rPr>
              <w:t xml:space="preserve"> vai PVN maksātāju reģistrā.</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rezultāts bija labojumi PVN deklarācijās.</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rezultāts bija izpēte birojā.</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rezultāts bija jaunas revīzijas procedūras sākšana vai informācija tika izmantota notiekošā revīzijā. </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rezultāts bija krāpšanas izmeklēšana.</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rezultāts bija informācijas pieprasījums.</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rezultāts bija atrašanās administratīvajā birojā vai līdzdalība adm</w:t>
            </w:r>
            <w:r>
              <w:rPr>
                <w:rFonts w:ascii="Arial" w:hAnsi="Arial"/>
                <w:noProof/>
                <w:sz w:val="16"/>
                <w:szCs w:val="16"/>
              </w:rPr>
              <w:t>inistratīvā procedūrā.</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rezultāts bija daudzpusējā pārbaude (</w:t>
            </w:r>
            <w:r>
              <w:rPr>
                <w:rFonts w:ascii="Arial" w:hAnsi="Arial"/>
                <w:i/>
                <w:noProof/>
                <w:sz w:val="16"/>
                <w:szCs w:val="16"/>
              </w:rPr>
              <w:t>MLC</w:t>
            </w:r>
            <w:r>
              <w:rPr>
                <w:rFonts w:ascii="Arial" w:hAnsi="Arial"/>
                <w:noProof/>
                <w:sz w:val="16"/>
                <w:szCs w:val="16"/>
              </w:rPr>
              <w:t xml:space="preserve">). </w:t>
            </w:r>
          </w:p>
          <w:p w:rsidR="003E022D" w:rsidRDefault="007D19D6">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rezultāts bija citas darbības:</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noProof/>
                <w:sz w:val="16"/>
                <w:szCs w:val="16"/>
              </w:rPr>
            </w:pPr>
          </w:p>
          <w:p w:rsidR="003E022D" w:rsidRDefault="007D19D6">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rezultātā netika veiktas nozīmīgas darbības. </w:t>
            </w:r>
          </w:p>
          <w:p w:rsidR="003E022D" w:rsidRDefault="007D19D6">
            <w:pPr>
              <w:tabs>
                <w:tab w:val="left" w:pos="5655"/>
              </w:tabs>
              <w:rPr>
                <w:rFonts w:ascii="Arial" w:eastAsia="Calibri" w:hAnsi="Arial" w:cs="Arial"/>
                <w:b/>
                <w:noProof/>
                <w:sz w:val="16"/>
                <w:szCs w:val="16"/>
              </w:rPr>
            </w:pPr>
            <w:r>
              <w:rPr>
                <w:rFonts w:ascii="Arial" w:hAnsi="Arial"/>
                <w:b/>
                <w:noProof/>
                <w:sz w:val="16"/>
                <w:szCs w:val="16"/>
              </w:rPr>
              <w:t>2. Citas piezīmes:</w:t>
            </w:r>
          </w:p>
          <w:p w:rsidR="003E022D" w:rsidRDefault="003E022D">
            <w:pPr>
              <w:tabs>
                <w:tab w:val="left" w:pos="5655"/>
              </w:tabs>
              <w:rPr>
                <w:rFonts w:ascii="Arial" w:eastAsia="Calibri" w:hAnsi="Arial" w:cs="Arial"/>
                <w:noProof/>
                <w:sz w:val="16"/>
                <w:szCs w:val="16"/>
              </w:rPr>
            </w:pPr>
          </w:p>
          <w:p w:rsidR="003E022D" w:rsidRDefault="003E022D">
            <w:pPr>
              <w:tabs>
                <w:tab w:val="left" w:pos="5655"/>
              </w:tabs>
              <w:rPr>
                <w:rFonts w:ascii="Arial" w:eastAsia="Calibri" w:hAnsi="Arial" w:cs="Arial"/>
                <w:noProof/>
                <w:sz w:val="16"/>
                <w:szCs w:val="16"/>
              </w:rPr>
            </w:pPr>
          </w:p>
          <w:p w:rsidR="003E022D" w:rsidRDefault="007D19D6">
            <w:pPr>
              <w:tabs>
                <w:tab w:val="left" w:pos="5655"/>
              </w:tabs>
              <w:rPr>
                <w:rFonts w:ascii="Arial" w:eastAsia="Calibri" w:hAnsi="Arial" w:cs="Arial"/>
                <w:noProof/>
                <w:sz w:val="16"/>
                <w:szCs w:val="16"/>
              </w:rPr>
            </w:pPr>
            <w:r>
              <w:rPr>
                <w:rFonts w:ascii="Arial" w:hAnsi="Arial"/>
                <w:noProof/>
                <w:sz w:val="16"/>
                <w:szCs w:val="16"/>
              </w:rPr>
              <w:t xml:space="preserve">Nosūtīšanas datums: </w:t>
            </w:r>
          </w:p>
        </w:tc>
      </w:tr>
    </w:tbl>
    <w:p w:rsidR="003E022D" w:rsidRDefault="003E022D">
      <w:pPr>
        <w:ind w:left="567"/>
        <w:rPr>
          <w:noProof/>
        </w:rPr>
      </w:pPr>
    </w:p>
    <w:p w:rsidR="003E022D" w:rsidRDefault="007D19D6">
      <w:pPr>
        <w:pStyle w:val="Section"/>
        <w:rPr>
          <w:noProof/>
        </w:rPr>
      </w:pPr>
      <w:r>
        <w:rPr>
          <w:noProof/>
        </w:rPr>
        <w:t>3. iedaļa. Palīdzība piedziņā</w:t>
      </w:r>
    </w:p>
    <w:p w:rsidR="003E022D" w:rsidRDefault="007D19D6">
      <w:pPr>
        <w:pStyle w:val="Article"/>
        <w:rPr>
          <w:noProof/>
        </w:rPr>
      </w:pPr>
      <w:r>
        <w:rPr>
          <w:noProof/>
        </w:rPr>
        <w:t>3.1. pants. Komunikācija</w:t>
      </w:r>
    </w:p>
    <w:p w:rsidR="003E022D" w:rsidRDefault="007D19D6">
      <w:pPr>
        <w:rPr>
          <w:rFonts w:cstheme="minorHAnsi"/>
          <w:noProof/>
        </w:rPr>
      </w:pPr>
      <w:r>
        <w:rPr>
          <w:noProof/>
        </w:rPr>
        <w:t xml:space="preserve">Pieprasījums, kas nosūtīts, izmantojot elektroniskus līdzekļus, protokola III sadaļas piemērošanai, tiek sūtīts starp </w:t>
      </w:r>
      <w:r>
        <w:rPr>
          <w:i/>
          <w:noProof/>
        </w:rPr>
        <w:t>CCN</w:t>
      </w:r>
      <w:r>
        <w:rPr>
          <w:noProof/>
        </w:rPr>
        <w:t xml:space="preserve"> pastkastēm, kas izveidotas tā veida nodoklim vai nodevai, uz kuru attiecas pieprasījums, ja vien pieteikuma iesniedzējas valsts un pie</w:t>
      </w:r>
      <w:r>
        <w:rPr>
          <w:noProof/>
        </w:rPr>
        <w:t>prasījuma saņēmējas valsts centrālais koordinācijas birojs nevienojas, ka pieprasījumiem, kas attiecas uz dažādu veidu nodokļiem un nodevām var izmantot vienu no pastkastēm.</w:t>
      </w:r>
    </w:p>
    <w:p w:rsidR="003E022D" w:rsidRDefault="007D19D6">
      <w:pPr>
        <w:rPr>
          <w:rFonts w:cstheme="minorHAnsi"/>
          <w:noProof/>
        </w:rPr>
      </w:pPr>
      <w:r>
        <w:rPr>
          <w:noProof/>
        </w:rPr>
        <w:t>Tomēr, ja dokumentu paziņošanas pieprasījums attiecas uz vairāk nekā viena veida n</w:t>
      </w:r>
      <w:r>
        <w:rPr>
          <w:noProof/>
        </w:rPr>
        <w:t>odokļiem vai nodevām, pieteikuma iesniedzēja iestāde nosūta šo pieprasījumu uz pastkasti, kas izveidota vismaz vienam no paziņojamajos dokumentos minētajiem prasījumu veidiem.</w:t>
      </w:r>
    </w:p>
    <w:p w:rsidR="003E022D" w:rsidRDefault="007D19D6">
      <w:pPr>
        <w:pStyle w:val="Article"/>
        <w:rPr>
          <w:noProof/>
        </w:rPr>
      </w:pPr>
      <w:r>
        <w:rPr>
          <w:noProof/>
        </w:rPr>
        <w:t>3.2. pants. Īstenošanas noteikumi attiecībā uz vienoto instrumentu, kas atļauj i</w:t>
      </w:r>
      <w:r>
        <w:rPr>
          <w:noProof/>
        </w:rPr>
        <w:t>zpildi pieprasījuma saņēmējā valstī</w:t>
      </w:r>
    </w:p>
    <w:p w:rsidR="003E022D" w:rsidRDefault="007D19D6">
      <w:pPr>
        <w:rPr>
          <w:rFonts w:cstheme="minorHAnsi"/>
          <w:noProof/>
        </w:rPr>
      </w:pPr>
      <w:r>
        <w:rPr>
          <w:noProof/>
        </w:rPr>
        <w:t>1.</w:t>
      </w:r>
      <w:r>
        <w:rPr>
          <w:noProof/>
        </w:rPr>
        <w:tab/>
        <w:t>Protokola 2. panta 1. punkta b) apakšpunktā minētos administratīvos sodus, soda naudas, maksas un uzrēķinus, kā arī procentus un izmaksas, kas saskaņā ar pieteikuma iesniedzējā valstī spēkā esošajiem noteikumiem var b</w:t>
      </w:r>
      <w:r>
        <w:rPr>
          <w:noProof/>
        </w:rPr>
        <w:t>ūt veicami no dienas, kad izdots sākotnējais instruments, kurš atļauj izpildi, līdz dienai pirms dienas, kad tiek nosūtīts piedziņas pieprasījums, var pievienot vienotajam instrumentam, kas atļauj izpildi pieprasījuma saņēmējā valstī.</w:t>
      </w:r>
    </w:p>
    <w:p w:rsidR="003E022D" w:rsidRDefault="007D19D6">
      <w:pPr>
        <w:rPr>
          <w:rFonts w:cstheme="minorHAnsi"/>
          <w:noProof/>
        </w:rPr>
      </w:pPr>
      <w:r>
        <w:rPr>
          <w:noProof/>
        </w:rPr>
        <w:t>2.</w:t>
      </w:r>
      <w:r>
        <w:rPr>
          <w:noProof/>
        </w:rPr>
        <w:tab/>
        <w:t>Vienoto instrument</w:t>
      </w:r>
      <w:r>
        <w:rPr>
          <w:noProof/>
        </w:rPr>
        <w:t>u, kurš atļauj izpildi pieprasījuma saņēmējā valstī, var izdot attiecībā uz vairākiem prasījumiem un vairākām personām, kas atbilst sākotnējam instrumentam vai instrumentiem, kuri atļauj izpildi pieteikuma iesniedzējā valstī.</w:t>
      </w:r>
    </w:p>
    <w:p w:rsidR="003E022D" w:rsidRDefault="007D19D6">
      <w:pPr>
        <w:rPr>
          <w:rFonts w:cstheme="minorHAnsi"/>
          <w:noProof/>
        </w:rPr>
      </w:pPr>
      <w:r>
        <w:rPr>
          <w:noProof/>
        </w:rPr>
        <w:t>3.</w:t>
      </w:r>
      <w:r>
        <w:rPr>
          <w:noProof/>
        </w:rPr>
        <w:tab/>
        <w:t xml:space="preserve">Ciktāl sākotnējie </w:t>
      </w:r>
      <w:r>
        <w:rPr>
          <w:noProof/>
        </w:rPr>
        <w:t>instrumenti, kas atļauj izpildi attiecībā uz vairākiem prasījumiem pieteikuma iesniedzējā valstī, jau ir aizstāti ar vispārēju instrumentu, kas atļauj izpildi attiecībā uz visiem šiem prasījumiem minētajā valstī, vienotais instruments, kas atļauj izpildi p</w:t>
      </w:r>
      <w:r>
        <w:rPr>
          <w:noProof/>
        </w:rPr>
        <w:t>ieprasījuma saņēmējā valstī, var pamatoties vai nu uz sākotnējo instrumentu, kas atļauj izpildi pieteikuma iesniedzējā valstī, vai uz vispārējo instrumentu, kurā pārgrupēti šie sākotnējie instrumenti pieprasījuma iesniedzējā valstī.</w:t>
      </w:r>
    </w:p>
    <w:p w:rsidR="003E022D" w:rsidRDefault="007D19D6">
      <w:pPr>
        <w:rPr>
          <w:rFonts w:cstheme="minorHAnsi"/>
          <w:noProof/>
        </w:rPr>
      </w:pPr>
      <w:r>
        <w:rPr>
          <w:noProof/>
        </w:rPr>
        <w:t>4.</w:t>
      </w:r>
      <w:r>
        <w:rPr>
          <w:noProof/>
        </w:rPr>
        <w:tab/>
        <w:t>Ja sākotnējā instrum</w:t>
      </w:r>
      <w:r>
        <w:rPr>
          <w:noProof/>
        </w:rPr>
        <w:t>entā, kas minēts 2. punktā, vai vispārējā instrumentā, kurš minēts 3. punktā, ietverti vairāki prasījumi, no kuriem viens vai vairāki jau ir iekasēti vai piedzīti, vienotais instruments, kas atļauj izpildi pieprasījuma saņēmējā valstī, attiecas tikai uz tā</w:t>
      </w:r>
      <w:r>
        <w:rPr>
          <w:noProof/>
        </w:rPr>
        <w:t>diem prasījumiem, kuriem ir pieprasīta palīdzībā to piedziņā.</w:t>
      </w:r>
    </w:p>
    <w:p w:rsidR="003E022D" w:rsidRDefault="007D19D6">
      <w:pPr>
        <w:rPr>
          <w:rFonts w:cstheme="minorHAnsi"/>
          <w:noProof/>
        </w:rPr>
      </w:pPr>
      <w:r>
        <w:rPr>
          <w:noProof/>
        </w:rPr>
        <w:t>5.</w:t>
      </w:r>
      <w:r>
        <w:rPr>
          <w:noProof/>
        </w:rPr>
        <w:tab/>
        <w:t>Ja sākotnējā instrumentā, kas minēts 2. punktā, vai vispārējā instrumentā, kurš minēts 3. punktā, ietverti vairāki prasījumi, pieteikuma iesniedzēja iestāde var uzskaitīt šos prasījumus atsev</w:t>
      </w:r>
      <w:r>
        <w:rPr>
          <w:noProof/>
        </w:rPr>
        <w:t>išķos vienotajos instrumentos, kas atļauj izpildi pieprasījuma saņēmējā valstī, atbilstoši ar konkrēto nodokli saistītajai kompetences sadalei konkrēto piedziņas biroju starpā pieprasījuma saņēmējā valstī.</w:t>
      </w:r>
    </w:p>
    <w:p w:rsidR="003E022D" w:rsidRDefault="007D19D6">
      <w:pPr>
        <w:rPr>
          <w:rFonts w:cstheme="minorHAnsi"/>
          <w:noProof/>
        </w:rPr>
      </w:pPr>
      <w:r>
        <w:rPr>
          <w:noProof/>
        </w:rPr>
        <w:t>6.</w:t>
      </w:r>
      <w:r>
        <w:rPr>
          <w:noProof/>
        </w:rPr>
        <w:tab/>
        <w:t xml:space="preserve">Ja pieprasījumu nevar nosūtīt </w:t>
      </w:r>
      <w:r>
        <w:rPr>
          <w:i/>
          <w:noProof/>
        </w:rPr>
        <w:t>CCN</w:t>
      </w:r>
      <w:r>
        <w:rPr>
          <w:noProof/>
        </w:rPr>
        <w:t xml:space="preserve"> tīklā un nosū</w:t>
      </w:r>
      <w:r>
        <w:rPr>
          <w:noProof/>
        </w:rPr>
        <w:t>ta pa pastu, tad vienoto instrumentu, kas atļauj izpildi pieprasījuma saņēmējā valstī, paraksta pieteikuma iesniedzējas iestādes amatpersona, kas ir pienācīgi pilnvarota.</w:t>
      </w:r>
    </w:p>
    <w:p w:rsidR="003E022D" w:rsidRDefault="007D19D6">
      <w:pPr>
        <w:pStyle w:val="Article"/>
        <w:rPr>
          <w:noProof/>
        </w:rPr>
      </w:pPr>
      <w:r>
        <w:rPr>
          <w:noProof/>
        </w:rPr>
        <w:t>3.3. pants. Piedzenamo summu konversija</w:t>
      </w:r>
    </w:p>
    <w:p w:rsidR="003E022D" w:rsidRDefault="007D19D6">
      <w:pPr>
        <w:rPr>
          <w:rFonts w:cstheme="minorHAnsi"/>
          <w:noProof/>
        </w:rPr>
      </w:pPr>
      <w:r>
        <w:rPr>
          <w:noProof/>
        </w:rPr>
        <w:t>1.</w:t>
      </w:r>
      <w:r>
        <w:rPr>
          <w:noProof/>
        </w:rPr>
        <w:tab/>
        <w:t>Pieteikuma iesniedzēja iestāde prasījuma s</w:t>
      </w:r>
      <w:r>
        <w:rPr>
          <w:noProof/>
        </w:rPr>
        <w:t>ummu izteic pieteikuma iesniedzējas valsts valūtā un pieprasījuma saņēmējas valsts valūtā.</w:t>
      </w:r>
    </w:p>
    <w:p w:rsidR="003E022D" w:rsidRDefault="007D19D6">
      <w:pPr>
        <w:rPr>
          <w:rFonts w:cstheme="minorHAnsi"/>
          <w:noProof/>
        </w:rPr>
      </w:pPr>
      <w:r>
        <w:rPr>
          <w:noProof/>
        </w:rPr>
        <w:t>2.</w:t>
      </w:r>
      <w:r>
        <w:rPr>
          <w:noProof/>
        </w:rPr>
        <w:tab/>
        <w:t>Attiecībā uz pieprasījumiem, kas nosūtīti Apvienotajai Karalistei, valūtas maiņas kurss, ko izmanto saistībā ar palīdzību piedziņā, ir maiņas kurss, ko Eiropas Ce</w:t>
      </w:r>
      <w:r>
        <w:rPr>
          <w:noProof/>
        </w:rPr>
        <w:t>ntrālā banka publicējusi dienā pirms dienas, kad nosūtīts pieprasījums. Ja minētajā dienā šāds kurss nav pieejams, tad izmanto pēdējo maiņas kursu, kuru Eiropas Centrālā banka publicējusi pirms pieprasījuma nosūtīšanas dienas.</w:t>
      </w:r>
    </w:p>
    <w:p w:rsidR="003E022D" w:rsidRDefault="007D19D6">
      <w:pPr>
        <w:rPr>
          <w:rFonts w:cstheme="minorHAnsi"/>
          <w:noProof/>
        </w:rPr>
      </w:pPr>
      <w:r>
        <w:rPr>
          <w:noProof/>
        </w:rPr>
        <w:t xml:space="preserve">Pieprasījumiem, kas nosūtīti </w:t>
      </w:r>
      <w:r>
        <w:rPr>
          <w:noProof/>
        </w:rPr>
        <w:t>uz dalībvalsti, maiņas kurss, ko izmanto saistībā ar palīdzību piedziņā, ir maiņas kurss, ko dienā pirms dienas, kad nosūtīts pieprasījums, publicējusi Anglijas Banka. Ja minētajā dienā šāds kurss nav pieejams, tad izmanto pēdējo maiņas kursu, ko pirms pie</w:t>
      </w:r>
      <w:r>
        <w:rPr>
          <w:noProof/>
        </w:rPr>
        <w:t>prasījuma nosūtīšanas dienas publicējusi Eiropas Centrālā banka.</w:t>
      </w:r>
    </w:p>
    <w:p w:rsidR="003E022D" w:rsidRDefault="007D19D6">
      <w:pPr>
        <w:rPr>
          <w:rFonts w:cstheme="minorHAnsi"/>
          <w:noProof/>
        </w:rPr>
      </w:pPr>
      <w:r>
        <w:rPr>
          <w:noProof/>
        </w:rPr>
        <w:t>3.</w:t>
      </w:r>
      <w:r>
        <w:rPr>
          <w:noProof/>
        </w:rPr>
        <w:tab/>
        <w:t>Lai protokola 2. panta 30. punktā minēto prasījuma koriģēto summu konvertētu pieprasījuma saņēmējas iestādes valsts valūtā, pieteikuma iesniedzēja iestāde izmanto tās sākotnējā pieprasījum</w:t>
      </w:r>
      <w:r>
        <w:rPr>
          <w:noProof/>
        </w:rPr>
        <w:t>ā izmantoto maiņas kursu.</w:t>
      </w:r>
    </w:p>
    <w:p w:rsidR="003E022D" w:rsidRDefault="007D19D6">
      <w:pPr>
        <w:pStyle w:val="Article"/>
        <w:rPr>
          <w:noProof/>
        </w:rPr>
      </w:pPr>
      <w:r>
        <w:rPr>
          <w:noProof/>
        </w:rPr>
        <w:t>3.4. pants. Piedzīto summu pārskaitīšana</w:t>
      </w:r>
    </w:p>
    <w:p w:rsidR="003E022D" w:rsidRDefault="007D19D6">
      <w:pPr>
        <w:rPr>
          <w:rFonts w:cstheme="minorHAnsi"/>
          <w:noProof/>
        </w:rPr>
      </w:pPr>
      <w:r>
        <w:rPr>
          <w:noProof/>
        </w:rPr>
        <w:t>1.</w:t>
      </w:r>
      <w:r>
        <w:rPr>
          <w:noProof/>
        </w:rPr>
        <w:tab/>
        <w:t>Piedzīto summu pārskaitīšanu veic divu mēnešu laikā pēc piedziņas veikšanas dienas, ja vien valstis savā starpā nevienojas citādi. </w:t>
      </w:r>
    </w:p>
    <w:p w:rsidR="003E022D" w:rsidRDefault="007D19D6">
      <w:pPr>
        <w:rPr>
          <w:rFonts w:cstheme="minorHAnsi"/>
          <w:noProof/>
        </w:rPr>
      </w:pPr>
      <w:r>
        <w:rPr>
          <w:noProof/>
        </w:rPr>
        <w:t>2.</w:t>
      </w:r>
      <w:r>
        <w:rPr>
          <w:noProof/>
        </w:rPr>
        <w:tab/>
        <w:t xml:space="preserve">Tomēr, ja piedziņas pasākumi, ko veic pieprasījuma </w:t>
      </w:r>
      <w:r>
        <w:rPr>
          <w:noProof/>
        </w:rPr>
        <w:t>saņēmēja iestāde, tiek apstrīdēti tāda iemesla dēļ, par ko nav atbildīga pieteikuma iesniedzēja valsts, tad pieprasījuma saņēmēja iestāde var aizturēt jebkuru summu pārskaitīšanu, kas piedzītas saistībā ar pieteikuma iesniedzējas valsts prasījumu, līdz str</w:t>
      </w:r>
      <w:r>
        <w:rPr>
          <w:noProof/>
        </w:rPr>
        <w:t>īda atrisināšanai, ja vienlaikus ir izpildīti šādi nosacījumi:</w:t>
      </w:r>
    </w:p>
    <w:p w:rsidR="003E022D" w:rsidRDefault="007D19D6">
      <w:pPr>
        <w:numPr>
          <w:ilvl w:val="0"/>
          <w:numId w:val="1222"/>
        </w:numPr>
        <w:ind w:left="567" w:hanging="567"/>
        <w:rPr>
          <w:rFonts w:asciiTheme="minorHAnsi" w:hAnsiTheme="minorHAnsi" w:cstheme="minorHAnsi"/>
          <w:noProof/>
        </w:rPr>
      </w:pPr>
      <w:r>
        <w:rPr>
          <w:rFonts w:asciiTheme="minorHAnsi" w:hAnsiTheme="minorHAnsi"/>
          <w:noProof/>
        </w:rPr>
        <w:t>pieprasījuma saņēmēja iestāde uzskata, ka ir iespējams, ka šīs apstrīdēšanas iznākums būs attiecīgajai pusei labvēlīgs; un</w:t>
      </w:r>
    </w:p>
    <w:p w:rsidR="003E022D" w:rsidRDefault="007D19D6">
      <w:pPr>
        <w:numPr>
          <w:ilvl w:val="0"/>
          <w:numId w:val="1222"/>
        </w:numPr>
        <w:ind w:left="567" w:hanging="567"/>
        <w:rPr>
          <w:rFonts w:cstheme="minorHAnsi"/>
          <w:noProof/>
        </w:rPr>
      </w:pPr>
      <w:r>
        <w:rPr>
          <w:noProof/>
        </w:rPr>
        <w:t xml:space="preserve">pieteikuma iesniedzēja iestāde nav paziņojusi, ka tā atmaksās summas, </w:t>
      </w:r>
      <w:r>
        <w:rPr>
          <w:noProof/>
        </w:rPr>
        <w:t>kas jau nosūtītas, ja minētās apstrīdēšanas iznākums būs attiecīgajai pusei labvēlīgs.</w:t>
      </w:r>
    </w:p>
    <w:p w:rsidR="003E022D" w:rsidRDefault="007D19D6">
      <w:pPr>
        <w:rPr>
          <w:rFonts w:cstheme="minorHAnsi"/>
          <w:noProof/>
        </w:rPr>
      </w:pPr>
      <w:r>
        <w:rPr>
          <w:noProof/>
        </w:rPr>
        <w:t>3.</w:t>
      </w:r>
      <w:r>
        <w:rPr>
          <w:noProof/>
        </w:rPr>
        <w:tab/>
        <w:t>Ja pieteikuma iesniedzēja iestāde saskaņā ar otrā punkta b) apakšpunktu ir paziņojusi, ka veiks atmaksu, tā viena mēneša laikā no atmaksas pieprasījuma saņemšanas atl</w:t>
      </w:r>
      <w:r>
        <w:rPr>
          <w:noProof/>
        </w:rPr>
        <w:t>īdzina piedzītās summas, ko pieprasījuma saņēmēja iestāde jau ir pārskaitījusi. Jebkādu citu kompensāciju, kas jāveic, šādā gadījumā sedz tikai pieprasījuma saņēmēja iestāde.</w:t>
      </w:r>
    </w:p>
    <w:p w:rsidR="003E022D" w:rsidRDefault="007D19D6">
      <w:pPr>
        <w:pStyle w:val="Article"/>
        <w:rPr>
          <w:noProof/>
        </w:rPr>
      </w:pPr>
      <w:r>
        <w:rPr>
          <w:noProof/>
        </w:rPr>
        <w:t>3.5. pants.  Piedzīto summu atmaksa</w:t>
      </w:r>
    </w:p>
    <w:p w:rsidR="003E022D" w:rsidRDefault="007D19D6">
      <w:pPr>
        <w:rPr>
          <w:rFonts w:cstheme="minorHAnsi"/>
          <w:noProof/>
        </w:rPr>
      </w:pPr>
      <w:r>
        <w:rPr>
          <w:noProof/>
        </w:rPr>
        <w:t>Pieprasījuma saņēmēja iestāde paziņo pieteiku</w:t>
      </w:r>
      <w:r>
        <w:rPr>
          <w:noProof/>
        </w:rPr>
        <w:t>ma iesniedzējas iestādei ikvienu darbību, kas veikta pieprasījuma saņēmējā iestādē, lai atmaksātu piedzītās summas vai veiktu kompensāciju saistībā ar apstrīdēto prasījumu piedziņu, tūlīt pēc tam, kad pieprasījuma saņēmēja iestāde ir informēta par šādu dar</w:t>
      </w:r>
      <w:r>
        <w:rPr>
          <w:noProof/>
        </w:rPr>
        <w:t>bību.</w:t>
      </w:r>
    </w:p>
    <w:p w:rsidR="003E022D" w:rsidRDefault="007D19D6">
      <w:pPr>
        <w:rPr>
          <w:rFonts w:cstheme="minorHAnsi"/>
          <w:noProof/>
        </w:rPr>
      </w:pPr>
      <w:r>
        <w:rPr>
          <w:noProof/>
        </w:rPr>
        <w:t>Pieprasījuma saņēmēja iestāde iespēju robežās iesaista pieteikuma iesniedzēju iestādi procedūrās, kas skar summu atmaksāšanas un kompensācijas izmaksāšanas nokārtošanu. Ja saņemts pamatots pieprasījums no pieprasījuma saņēmējas iestādes, tad pieteiku</w:t>
      </w:r>
      <w:r>
        <w:rPr>
          <w:noProof/>
        </w:rPr>
        <w:t>ma iesniedzēja iestāde divu mēnešu laikā no šāda pieprasījuma saņemšanas pārskaita atmaksātās summas un izmaksāto kompensāciju.</w:t>
      </w:r>
    </w:p>
    <w:p w:rsidR="003E022D" w:rsidRDefault="007D19D6">
      <w:pPr>
        <w:pStyle w:val="Article"/>
        <w:rPr>
          <w:noProof/>
        </w:rPr>
      </w:pPr>
      <w:r>
        <w:rPr>
          <w:noProof/>
        </w:rPr>
        <w:t>3.6. pants. Standarta veidlapas</w:t>
      </w:r>
    </w:p>
    <w:p w:rsidR="003E022D" w:rsidRDefault="007D19D6">
      <w:pPr>
        <w:rPr>
          <w:rFonts w:cstheme="minorHAnsi"/>
          <w:noProof/>
        </w:rPr>
      </w:pPr>
      <w:r>
        <w:rPr>
          <w:noProof/>
        </w:rPr>
        <w:t>1.</w:t>
      </w:r>
      <w:r>
        <w:rPr>
          <w:noProof/>
        </w:rPr>
        <w:tab/>
        <w:t>Par protokola 23. pantā minēto vienoto paziņošanas veidlapu, ko pievieno paziņošanas pieprasī</w:t>
      </w:r>
      <w:r>
        <w:rPr>
          <w:noProof/>
        </w:rPr>
        <w:t>jumam, valstis izmanto veidlapu, kas izveidota saskaņā ar A paraugu.</w:t>
      </w:r>
    </w:p>
    <w:p w:rsidR="003E022D" w:rsidRDefault="007D19D6">
      <w:pPr>
        <w:rPr>
          <w:rFonts w:cstheme="minorHAnsi"/>
          <w:noProof/>
        </w:rPr>
      </w:pPr>
      <w:r>
        <w:rPr>
          <w:noProof/>
        </w:rPr>
        <w:t>2.</w:t>
      </w:r>
      <w:r>
        <w:rPr>
          <w:noProof/>
        </w:rPr>
        <w:tab/>
        <w:t>Protokola 27. pantā minētajam vienotajam instrumentam, kas atļauj izpildi pieprasījuma saņēmējā valstī un ko pievieno piedziņas pieprasījumam vai piesardzības pasākumu pieprasījumam, v</w:t>
      </w:r>
      <w:r>
        <w:rPr>
          <w:noProof/>
        </w:rPr>
        <w:t>ai protokola 2. panta 30. punktā minētajam pārskatītajam vienotajam instrumentam, kurš atļauj izpildi pieprasījuma saņēmējā valstī, valstis izmanto veidlapu, kas izveidota saskaņā ar B paraugu.</w:t>
      </w:r>
    </w:p>
    <w:p w:rsidR="003E022D" w:rsidRDefault="007D19D6">
      <w:pPr>
        <w:rPr>
          <w:rFonts w:cstheme="minorHAnsi"/>
          <w:noProof/>
        </w:rPr>
      </w:pPr>
      <w:r>
        <w:rPr>
          <w:noProof/>
        </w:rPr>
        <w:t>3.</w:t>
      </w:r>
      <w:r>
        <w:rPr>
          <w:noProof/>
        </w:rPr>
        <w:tab/>
        <w:t xml:space="preserve">Protokola 20. pantā minētajam informācijas pieprasījumam </w:t>
      </w:r>
      <w:r>
        <w:rPr>
          <w:noProof/>
        </w:rPr>
        <w:t>valstis izmanto veidlapu, kas izveidota saskaņā ar C paraugu.</w:t>
      </w:r>
    </w:p>
    <w:p w:rsidR="003E022D" w:rsidRDefault="007D19D6">
      <w:pPr>
        <w:rPr>
          <w:rFonts w:cstheme="minorHAnsi"/>
          <w:noProof/>
        </w:rPr>
      </w:pPr>
      <w:r>
        <w:rPr>
          <w:noProof/>
        </w:rPr>
        <w:t>4.</w:t>
      </w:r>
      <w:r>
        <w:rPr>
          <w:noProof/>
        </w:rPr>
        <w:tab/>
        <w:t>Protokola 23. pantā minētajam paziņošanas pieprasījumam valstis izmanto veidlapu, kas izveidota saskaņā ar D paraugu.</w:t>
      </w:r>
    </w:p>
    <w:p w:rsidR="003E022D" w:rsidRDefault="007D19D6">
      <w:pPr>
        <w:rPr>
          <w:rFonts w:cstheme="minorHAnsi"/>
          <w:noProof/>
        </w:rPr>
      </w:pPr>
      <w:r>
        <w:rPr>
          <w:noProof/>
        </w:rPr>
        <w:t>5.</w:t>
      </w:r>
      <w:r>
        <w:rPr>
          <w:noProof/>
        </w:rPr>
        <w:tab/>
        <w:t>Protokola 25. un 31. pantā minētajam piedziņas pieprasījumam vai piesa</w:t>
      </w:r>
      <w:r>
        <w:rPr>
          <w:noProof/>
        </w:rPr>
        <w:t>rdzības pasākumu pieprasījumam valstis izmanto veidlapu, kas izveidota saskaņā ar E paraugu.</w:t>
      </w:r>
    </w:p>
    <w:p w:rsidR="003E022D" w:rsidRDefault="007D19D6">
      <w:pPr>
        <w:rPr>
          <w:rFonts w:cstheme="minorHAnsi"/>
          <w:noProof/>
        </w:rPr>
      </w:pPr>
      <w:r>
        <w:rPr>
          <w:noProof/>
        </w:rPr>
        <w:t>6.</w:t>
      </w:r>
      <w:r>
        <w:rPr>
          <w:noProof/>
        </w:rPr>
        <w:tab/>
        <w:t>Ja veidlapas nosūta, izmantojot elektroniskus līdzekļus, tās struktūru un izkartojumu var pielāgot elektroniskās saziņas sistēmas prasībām un iespējām ar noteik</w:t>
      </w:r>
      <w:r>
        <w:rPr>
          <w:noProof/>
        </w:rPr>
        <w:t>umu, ka tajā ietvertais datu kopums un informācija netiek būtiski mainīti salīdzinājumā ar tālāk dotajiem paraugiem.</w:t>
      </w:r>
    </w:p>
    <w:p w:rsidR="003E022D" w:rsidRDefault="007D19D6">
      <w:pPr>
        <w:rPr>
          <w:b/>
          <w:bCs/>
          <w:noProof/>
          <w:color w:val="000000"/>
        </w:rPr>
      </w:pPr>
      <w:r>
        <w:rPr>
          <w:noProof/>
        </w:rPr>
        <w:br w:type="page"/>
      </w:r>
    </w:p>
    <w:p w:rsidR="003E022D" w:rsidRDefault="007D19D6">
      <w:pPr>
        <w:pStyle w:val="Article"/>
        <w:rPr>
          <w:noProof/>
        </w:rPr>
      </w:pPr>
      <w:r>
        <w:rPr>
          <w:noProof/>
        </w:rPr>
        <w:t>A paraugs</w:t>
      </w:r>
    </w:p>
    <w:p w:rsidR="003E022D" w:rsidRDefault="007D19D6">
      <w:pPr>
        <w:shd w:val="clear" w:color="auto" w:fill="FFFFFF"/>
        <w:spacing w:before="240"/>
        <w:jc w:val="center"/>
        <w:rPr>
          <w:b/>
          <w:bCs/>
          <w:noProof/>
          <w:color w:val="000000"/>
        </w:rPr>
      </w:pPr>
      <w:r>
        <w:rPr>
          <w:b/>
          <w:bCs/>
          <w:noProof/>
          <w:color w:val="000000"/>
        </w:rPr>
        <w:t>Vienotā paziņošanas veidlapa, ar ko sniedz informāciju par paziņojamo(-ajiem) dokumentu(-iem)</w:t>
      </w:r>
    </w:p>
    <w:p w:rsidR="003E022D" w:rsidRDefault="007D19D6">
      <w:pPr>
        <w:shd w:val="clear" w:color="auto" w:fill="FFFFFF"/>
        <w:spacing w:before="240"/>
        <w:rPr>
          <w:b/>
          <w:bCs/>
          <w:noProof/>
          <w:color w:val="000000"/>
        </w:rPr>
      </w:pPr>
      <w:r>
        <w:rPr>
          <w:b/>
          <w:bCs/>
          <w:noProof/>
          <w:color w:val="000000"/>
        </w:rPr>
        <w:t xml:space="preserve">(nosūtāma paziņošanas adresātam) </w:t>
      </w:r>
      <w:r>
        <w:rPr>
          <w:b/>
          <w:bCs/>
          <w:noProof/>
          <w:color w:val="3366CC"/>
        </w:rPr>
        <w:t> (</w:t>
      </w:r>
      <w:r>
        <w:rPr>
          <w:b/>
          <w:bCs/>
          <w:noProof/>
          <w:color w:val="3366CC"/>
          <w:vertAlign w:val="superscript"/>
        </w:rPr>
        <w:t>1</w:t>
      </w:r>
      <w:r>
        <w:rPr>
          <w:b/>
          <w:bCs/>
          <w:noProof/>
          <w:color w:val="3366CC"/>
        </w:rPr>
        <w:t>)</w:t>
      </w:r>
    </w:p>
    <w:p w:rsidR="003E022D" w:rsidRDefault="007D19D6">
      <w:pPr>
        <w:rPr>
          <w:rFonts w:cstheme="minorHAnsi"/>
          <w:noProof/>
        </w:rPr>
      </w:pPr>
      <w:r>
        <w:rPr>
          <w:noProof/>
        </w:rPr>
        <w:t xml:space="preserve">Šis dokuments ir pavaddokuments dokumentam(-iem), ko ar šo paziņo kompetentā iestāde šādā valstī: [pieprasījuma saņēmējas valsts nosaukums]. </w:t>
      </w:r>
    </w:p>
    <w:p w:rsidR="003E022D" w:rsidRDefault="007D19D6">
      <w:pPr>
        <w:rPr>
          <w:rFonts w:cstheme="minorHAnsi"/>
          <w:noProof/>
        </w:rPr>
      </w:pPr>
      <w:r>
        <w:rPr>
          <w:noProof/>
        </w:rPr>
        <w:t xml:space="preserve">Šis paziņojums attiecas kompetento iestāžu dokumentiem šādā valstī: [pieteikuma iesniedzējas valsts </w:t>
      </w:r>
      <w:r>
        <w:rPr>
          <w:noProof/>
        </w:rPr>
        <w:t>nosaukums], kas lūgusi paziņošanas palīdzību saskaņā ar 23. pantu Eiropas Savienības un Apvienotās Karalistes Protokolā par administratīvo sadarbību un krāpšanas apkarošanu pievienotās vērtības nodokļa jomā un par savstarpēju palīdzību prasījumu piedziņā s</w:t>
      </w:r>
      <w:r>
        <w:rPr>
          <w:noProof/>
        </w:rPr>
        <w:t>aistībā ar nodokļiem un nodevām.</w:t>
      </w:r>
    </w:p>
    <w:p w:rsidR="003E022D" w:rsidRDefault="007D19D6">
      <w:pPr>
        <w:shd w:val="clear" w:color="auto" w:fill="FFFFFF"/>
        <w:spacing w:before="240"/>
        <w:rPr>
          <w:b/>
          <w:bCs/>
          <w:noProof/>
          <w:color w:val="000000"/>
        </w:rPr>
      </w:pPr>
      <w:r>
        <w:rPr>
          <w:b/>
          <w:bCs/>
          <w:noProof/>
          <w:color w:val="000000"/>
        </w:rPr>
        <w:t>A.   PAZIŅOŠANAS ADRESĀTS</w:t>
      </w:r>
    </w:p>
    <w:p w:rsidR="003E022D" w:rsidRDefault="007D19D6">
      <w:pPr>
        <w:shd w:val="clear" w:color="auto" w:fill="FFFFFF"/>
        <w:spacing w:before="240"/>
        <w:rPr>
          <w:bCs/>
          <w:i/>
          <w:noProof/>
          <w:color w:val="000000"/>
        </w:rPr>
      </w:pPr>
      <w:r>
        <w:rPr>
          <w:bCs/>
          <w:i/>
          <w:noProof/>
          <w:color w:val="000000"/>
        </w:rPr>
        <w:t>- Nosaukums / vārds, uzvārds</w:t>
      </w:r>
    </w:p>
    <w:p w:rsidR="003E022D" w:rsidRDefault="007D19D6">
      <w:pPr>
        <w:shd w:val="clear" w:color="auto" w:fill="FFFFFF"/>
        <w:spacing w:before="240"/>
        <w:rPr>
          <w:bCs/>
          <w:i/>
          <w:noProof/>
          <w:color w:val="000000"/>
        </w:rPr>
      </w:pPr>
      <w:r>
        <w:rPr>
          <w:bCs/>
          <w:i/>
          <w:noProof/>
          <w:color w:val="000000"/>
        </w:rPr>
        <w:t>- Adrese (zināma vai pieņēmums):</w:t>
      </w:r>
    </w:p>
    <w:p w:rsidR="003E022D" w:rsidRDefault="007D19D6">
      <w:pPr>
        <w:shd w:val="clear" w:color="auto" w:fill="FFFFFF"/>
        <w:spacing w:before="240"/>
        <w:rPr>
          <w:bCs/>
          <w:i/>
          <w:noProof/>
          <w:color w:val="000000"/>
        </w:rPr>
      </w:pPr>
      <w:r>
        <w:rPr>
          <w:bCs/>
          <w:i/>
          <w:noProof/>
          <w:color w:val="000000"/>
        </w:rPr>
        <w:t>- Citi būtiski adresāta identifikācijas dati:</w:t>
      </w:r>
    </w:p>
    <w:p w:rsidR="003E022D" w:rsidRDefault="003E022D">
      <w:pPr>
        <w:shd w:val="clear" w:color="auto" w:fill="FFFFFF"/>
        <w:spacing w:after="0"/>
        <w:rPr>
          <w:noProof/>
          <w:vanish/>
          <w:color w:val="000000"/>
          <w:lang w:eastAsia="en-GB"/>
        </w:rPr>
      </w:pPr>
    </w:p>
    <w:p w:rsidR="003E022D" w:rsidRDefault="007D19D6">
      <w:pPr>
        <w:shd w:val="clear" w:color="auto" w:fill="FFFFFF"/>
        <w:spacing w:before="240"/>
        <w:rPr>
          <w:b/>
          <w:bCs/>
          <w:noProof/>
          <w:color w:val="000000"/>
        </w:rPr>
      </w:pPr>
      <w:r>
        <w:rPr>
          <w:b/>
          <w:bCs/>
          <w:noProof/>
          <w:color w:val="000000"/>
        </w:rPr>
        <w:t>B.   PAZIŅOŠANAS MĒRĶIS</w:t>
      </w:r>
    </w:p>
    <w:p w:rsidR="003E022D" w:rsidRDefault="007D19D6">
      <w:pPr>
        <w:shd w:val="clear" w:color="auto" w:fill="FFFFFF"/>
        <w:spacing w:after="0"/>
        <w:rPr>
          <w:noProof/>
          <w:color w:val="000000"/>
        </w:rPr>
      </w:pPr>
      <w:r>
        <w:rPr>
          <w:noProof/>
          <w:color w:val="000000"/>
        </w:rPr>
        <w:t>Šīs paziņošanas mērķis ir:</w:t>
      </w:r>
    </w:p>
    <w:p w:rsidR="003E022D" w:rsidRDefault="007D19D6">
      <w:pPr>
        <w:shd w:val="clear" w:color="auto" w:fill="FFFFFF"/>
        <w:spacing w:after="0"/>
        <w:rPr>
          <w:i/>
          <w:iCs/>
          <w:noProof/>
          <w:color w:val="000000"/>
        </w:rPr>
      </w:pPr>
      <w:r>
        <w:rPr>
          <w:noProof/>
          <w:color w:val="000000"/>
        </w:rPr>
        <w:t xml:space="preserve">□ </w:t>
      </w:r>
      <w:r>
        <w:rPr>
          <w:i/>
          <w:iCs/>
          <w:noProof/>
          <w:color w:val="000000"/>
        </w:rPr>
        <w:t>informēt adresātu par dokumentu(-ie</w:t>
      </w:r>
      <w:r>
        <w:rPr>
          <w:i/>
          <w:iCs/>
          <w:noProof/>
          <w:color w:val="000000"/>
        </w:rPr>
        <w:t>m), kam pievienots šis dokuments.</w:t>
      </w:r>
    </w:p>
    <w:p w:rsidR="003E022D" w:rsidRDefault="007D19D6">
      <w:pPr>
        <w:shd w:val="clear" w:color="auto" w:fill="FFFFFF"/>
        <w:spacing w:after="0"/>
        <w:rPr>
          <w:i/>
          <w:iCs/>
          <w:noProof/>
          <w:color w:val="000000"/>
        </w:rPr>
      </w:pPr>
      <w:r>
        <w:rPr>
          <w:i/>
          <w:iCs/>
          <w:noProof/>
          <w:color w:val="000000"/>
        </w:rPr>
        <w:t>□ pārtraukt noilgumu attiecībā uz paziņotajā(-ajos) dokumentā(-os) minēto(-ajiem) prasījumu(-iem).</w:t>
      </w:r>
    </w:p>
    <w:p w:rsidR="003E022D" w:rsidRDefault="007D19D6">
      <w:pPr>
        <w:shd w:val="clear" w:color="auto" w:fill="FFFFFF"/>
        <w:spacing w:after="0"/>
        <w:rPr>
          <w:noProof/>
          <w:color w:val="000000"/>
        </w:rPr>
      </w:pPr>
      <w:r>
        <w:rPr>
          <w:i/>
          <w:iCs/>
          <w:noProof/>
          <w:color w:val="000000"/>
        </w:rPr>
        <w:t>□ apstiprināt adresātam tā pienākumu samaksāt D punktā minētās summas.</w:t>
      </w:r>
    </w:p>
    <w:p w:rsidR="003E022D" w:rsidRDefault="003E022D">
      <w:pPr>
        <w:shd w:val="clear" w:color="auto" w:fill="FFFFFF"/>
        <w:spacing w:after="0"/>
        <w:rPr>
          <w:noProof/>
          <w:vanish/>
          <w:color w:val="000000"/>
          <w:lang w:eastAsia="en-GB"/>
        </w:rPr>
      </w:pPr>
    </w:p>
    <w:p w:rsidR="003E022D" w:rsidRDefault="003E022D">
      <w:pPr>
        <w:shd w:val="clear" w:color="auto" w:fill="FFFFFF"/>
        <w:spacing w:after="0"/>
        <w:rPr>
          <w:noProof/>
          <w:vanish/>
          <w:color w:val="000000"/>
          <w:lang w:eastAsia="en-GB"/>
        </w:rPr>
      </w:pPr>
    </w:p>
    <w:p w:rsidR="003E022D" w:rsidRDefault="007D19D6">
      <w:pPr>
        <w:shd w:val="clear" w:color="auto" w:fill="FFFFFF"/>
        <w:spacing w:after="0"/>
        <w:rPr>
          <w:noProof/>
          <w:color w:val="000000"/>
        </w:rPr>
      </w:pPr>
      <w:r>
        <w:rPr>
          <w:noProof/>
          <w:color w:val="000000"/>
        </w:rPr>
        <w:t>Lūdzam ņemt vērā, ka gadījumā, ja šīs summas netie</w:t>
      </w:r>
      <w:r>
        <w:rPr>
          <w:noProof/>
          <w:color w:val="000000"/>
        </w:rPr>
        <w:t>k samaksātas, iestādes var veikt izpildes un/vai piesardzības pasākumus, lai nodrošinātu prasījuma(-u) piedziņu. Tas var radīt papildu izmaksas, ko iekasē no adresāta.</w:t>
      </w:r>
    </w:p>
    <w:p w:rsidR="003E022D" w:rsidRDefault="007D19D6">
      <w:pPr>
        <w:shd w:val="clear" w:color="auto" w:fill="FFFFFF"/>
        <w:spacing w:after="0"/>
        <w:rPr>
          <w:noProof/>
          <w:color w:val="000000"/>
        </w:rPr>
      </w:pPr>
      <w:r>
        <w:rPr>
          <w:noProof/>
          <w:color w:val="000000"/>
        </w:rPr>
        <w:t>Jūs esat šīs paziņošanas adresāts, jo jūs uzskata par:</w:t>
      </w:r>
    </w:p>
    <w:tbl>
      <w:tblPr>
        <w:tblW w:w="5000" w:type="pct"/>
        <w:tblCellMar>
          <w:left w:w="0" w:type="dxa"/>
          <w:right w:w="0" w:type="dxa"/>
        </w:tblCellMar>
        <w:tblLook w:val="04A0" w:firstRow="1" w:lastRow="0" w:firstColumn="1" w:lastColumn="0" w:noHBand="0" w:noVBand="1"/>
      </w:tblPr>
      <w:tblGrid>
        <w:gridCol w:w="285"/>
        <w:gridCol w:w="8741"/>
      </w:tblGrid>
      <w:tr w:rsidR="003E022D">
        <w:tc>
          <w:tcPr>
            <w:tcW w:w="158" w:type="pct"/>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galveno parādnieku</w:t>
            </w:r>
            <w:r>
              <w:rPr>
                <w:noProof/>
                <w:color w:val="000000"/>
              </w:rPr>
              <w:t xml:space="preserve"> </w:t>
            </w:r>
          </w:p>
        </w:tc>
      </w:tr>
      <w:tr w:rsidR="003E022D">
        <w:tc>
          <w:tcPr>
            <w:tcW w:w="158" w:type="pct"/>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ind w:left="-293" w:firstLine="293"/>
              <w:rPr>
                <w:noProof/>
                <w:color w:val="000000"/>
              </w:rPr>
            </w:pPr>
            <w:r>
              <w:rPr>
                <w:i/>
                <w:iCs/>
                <w:noProof/>
                <w:color w:val="000000"/>
              </w:rPr>
              <w:t>solidāro</w:t>
            </w:r>
            <w:r>
              <w:rPr>
                <w:i/>
                <w:iCs/>
                <w:noProof/>
                <w:color w:val="000000"/>
              </w:rPr>
              <w:t xml:space="preserve"> parādnieku</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personu, kura nav (solidārais) parādnieks un kura ir atbildīga par nodokļu, nodevu un citu pasākumu vai citu prasījumu saistībā ar šiem nodokļiem, nodevām un citiem pasākumiem izpildi saskaņā ar spēkā esošajiem pieteikuma iesniedzējas </w:t>
            </w:r>
            <w:r>
              <w:rPr>
                <w:i/>
                <w:iCs/>
                <w:noProof/>
                <w:color w:val="000000"/>
              </w:rPr>
              <w:t>valsts tiesību aktiem</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personu, kura nav (solidārais) parādnieks un kuras valdījumā ir aktīvi, kas pieder (solidārajam) parādniekam vai jebkurai citai atbildīgajai personai, vai kura ir parādā (solidārajam) parādniekam vai jebkurai citai atbildīgajai pe</w:t>
            </w:r>
            <w:r>
              <w:rPr>
                <w:i/>
                <w:iCs/>
                <w:noProof/>
                <w:color w:val="000000"/>
              </w:rPr>
              <w:t>rsonai</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trešo personu, kuras intereses var skart pret citām personām vērsti izpildes pasākumi</w:t>
            </w:r>
            <w:r>
              <w:rPr>
                <w:noProof/>
                <w:color w:val="000000"/>
              </w:rPr>
              <w:t xml:space="preserve"> </w:t>
            </w:r>
          </w:p>
        </w:tc>
      </w:tr>
    </w:tbl>
    <w:p w:rsidR="003E022D" w:rsidRDefault="007D19D6">
      <w:pPr>
        <w:shd w:val="clear" w:color="auto" w:fill="FFFFFF"/>
        <w:spacing w:after="0"/>
        <w:rPr>
          <w:noProof/>
          <w:color w:val="000000"/>
        </w:rPr>
      </w:pPr>
      <w:r>
        <w:rPr>
          <w:i/>
          <w:iCs/>
          <w:noProof/>
          <w:color w:val="000000"/>
        </w:rPr>
        <w:t xml:space="preserve">(Šo informāciju sniedz, ja paziņošanas adresāts ir persona, kura nav (solidārais) parādnieks un kuras valdījumā ir aktīvi, kas pieder (solidārajam) </w:t>
      </w:r>
      <w:r>
        <w:rPr>
          <w:i/>
          <w:iCs/>
          <w:noProof/>
          <w:color w:val="000000"/>
        </w:rPr>
        <w:t>parādniekam vai jebkurai citai atbildīgajai personai, vai kura ir parādā (solidārajam) parādniekam vai jebkurai citai atbildīgajai personai, vai arī trešā persona, kuras intereses var skart pret citām personām vērsti izpildes pasākumi:</w:t>
      </w:r>
      <w:r>
        <w:rPr>
          <w:noProof/>
          <w:color w:val="000000"/>
        </w:rPr>
        <w:t xml:space="preserve"> </w:t>
      </w:r>
    </w:p>
    <w:p w:rsidR="003E022D" w:rsidRDefault="007D19D6">
      <w:pPr>
        <w:shd w:val="clear" w:color="auto" w:fill="FFFFFF"/>
        <w:spacing w:after="0"/>
        <w:rPr>
          <w:noProof/>
          <w:color w:val="000000"/>
        </w:rPr>
      </w:pPr>
      <w:r>
        <w:rPr>
          <w:i/>
          <w:iCs/>
          <w:noProof/>
          <w:color w:val="000000"/>
        </w:rPr>
        <w:t>Paziņotie dokumenti</w:t>
      </w:r>
      <w:r>
        <w:rPr>
          <w:i/>
          <w:iCs/>
          <w:noProof/>
          <w:color w:val="000000"/>
        </w:rPr>
        <w:t xml:space="preserve"> attiecas uz prasījumiem par nodokļiem un nodevām, par kurām atbildīga(-as) šāda(-as) persona(-as):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836"/>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galvenais parādnieks: [nosaukums / vārds, uzvārds un adrese (zināma vai pieņēmums)]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solidārais parādnieks: [nosaukums / vārds, uzvārds un adrese (zin</w:t>
            </w:r>
            <w:r>
              <w:rPr>
                <w:i/>
                <w:iCs/>
                <w:noProof/>
                <w:color w:val="000000"/>
              </w:rPr>
              <w:t>āma vai pieņēmums)]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persona, kura nav (solidārais) parādnieks un kura ir atbildīga par nodokļu, nodevu un citu pasākumu vai citu prasījumu saistībā ar šiem nodokļiem, nodevām un citiem pasākumiem izpildi saskaņā ar spēkā esošajiem pieteikuma iesniedzēj</w:t>
            </w:r>
            <w:r>
              <w:rPr>
                <w:i/>
                <w:iCs/>
                <w:noProof/>
                <w:color w:val="000000"/>
              </w:rPr>
              <w:t>as valsts tiesību aktiem: [nosaukums / vārds, uzvārds un adrese (zināma vai pieņēmums)].</w:t>
            </w:r>
            <w:r>
              <w:rPr>
                <w:noProof/>
                <w:color w:val="000000"/>
              </w:rPr>
              <w:t xml:space="preserve"> </w:t>
            </w:r>
          </w:p>
        </w:tc>
      </w:tr>
    </w:tbl>
    <w:p w:rsidR="003E022D" w:rsidRDefault="007D19D6">
      <w:pPr>
        <w:shd w:val="clear" w:color="auto" w:fill="FFFFFF"/>
        <w:spacing w:after="0"/>
        <w:rPr>
          <w:noProof/>
          <w:color w:val="000000"/>
        </w:rPr>
      </w:pPr>
      <w:r>
        <w:rPr>
          <w:noProof/>
          <w:color w:val="000000"/>
        </w:rPr>
        <w:t>Pieteikuma iesniedzējas valsts (pieteikuma iesniedzējas valsts nosaukums) pieteikuma iesniedzēja iestāde ir aicinājusi pieprasījuma saņēmējas valsts (pieprasījuma sa</w:t>
      </w:r>
      <w:r>
        <w:rPr>
          <w:noProof/>
          <w:color w:val="000000"/>
        </w:rPr>
        <w:t>ņēmējas valsts nosaukums) kompetentās iestādes veikt paziņošanu līdz [datums]. Lūdzam ņemt vērā, ka šis datums nav konkrēti saistīts ar kādu noilgumu.</w:t>
      </w:r>
    </w:p>
    <w:p w:rsidR="003E022D" w:rsidRDefault="007D19D6">
      <w:pPr>
        <w:shd w:val="clear" w:color="auto" w:fill="FFFFFF"/>
        <w:spacing w:before="240"/>
        <w:rPr>
          <w:b/>
          <w:bCs/>
          <w:noProof/>
          <w:color w:val="000000"/>
        </w:rPr>
      </w:pPr>
      <w:r>
        <w:rPr>
          <w:b/>
          <w:bCs/>
          <w:noProof/>
          <w:color w:val="000000"/>
        </w:rPr>
        <w:t>C.   PAR PAZIŅOJAMO(-AJIEM) DOKUMENTU(-IEM) ATBILDĪGAIS(-IE) BIROJS(-I)</w:t>
      </w:r>
    </w:p>
    <w:p w:rsidR="003E022D" w:rsidRDefault="007D19D6">
      <w:pPr>
        <w:shd w:val="clear" w:color="auto" w:fill="FFFFFF"/>
        <w:spacing w:after="0"/>
        <w:rPr>
          <w:noProof/>
          <w:color w:val="000000"/>
        </w:rPr>
      </w:pPr>
      <w:r>
        <w:rPr>
          <w:noProof/>
          <w:color w:val="000000"/>
        </w:rPr>
        <w:t xml:space="preserve">Birojs, kas atbildīgs par </w:t>
      </w:r>
      <w:r>
        <w:rPr>
          <w:noProof/>
          <w:color w:val="000000"/>
        </w:rPr>
        <w:t>pievienoto(-ajiem) dokumentu(-iem):</w:t>
      </w:r>
    </w:p>
    <w:tbl>
      <w:tblPr>
        <w:tblW w:w="5000" w:type="pct"/>
        <w:tblCellMar>
          <w:left w:w="0" w:type="dxa"/>
          <w:right w:w="0" w:type="dxa"/>
        </w:tblCellMar>
        <w:tblLook w:val="04A0" w:firstRow="1" w:lastRow="0" w:firstColumn="1" w:lastColumn="0" w:noHBand="0" w:noVBand="1"/>
      </w:tblPr>
      <w:tblGrid>
        <w:gridCol w:w="424"/>
        <w:gridCol w:w="8602"/>
      </w:tblGrid>
      <w:tr w:rsidR="003E022D">
        <w:tc>
          <w:tcPr>
            <w:tcW w:w="235" w:type="pct"/>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Nosaukums:</w:t>
            </w:r>
          </w:p>
        </w:tc>
      </w:tr>
      <w:tr w:rsidR="003E022D">
        <w:tc>
          <w:tcPr>
            <w:tcW w:w="235" w:type="pct"/>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Adrese:</w:t>
            </w:r>
            <w:r>
              <w:rPr>
                <w:noProof/>
                <w:color w:val="000000"/>
              </w:rPr>
              <w:t xml:space="preserve"> </w:t>
            </w:r>
          </w:p>
        </w:tc>
      </w:tr>
      <w:tr w:rsidR="003E022D">
        <w:tc>
          <w:tcPr>
            <w:tcW w:w="235" w:type="pct"/>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Cita kontaktinformācija:</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Valoda(-as), kurā(-ās) var sazināties ar šo biroju:</w:t>
            </w:r>
            <w:r>
              <w:rPr>
                <w:noProof/>
                <w:color w:val="000000"/>
              </w:rPr>
              <w:t xml:space="preserve"> </w:t>
            </w:r>
          </w:p>
        </w:tc>
      </w:tr>
    </w:tbl>
    <w:p w:rsidR="003E022D" w:rsidRDefault="007D19D6">
      <w:pPr>
        <w:shd w:val="clear" w:color="auto" w:fill="FFFFFF"/>
        <w:spacing w:after="0"/>
        <w:rPr>
          <w:noProof/>
          <w:color w:val="000000"/>
        </w:rPr>
      </w:pPr>
      <w:r>
        <w:rPr>
          <w:noProof/>
          <w:color w:val="000000"/>
        </w:rPr>
        <w:t xml:space="preserve">Sīkāku informāciju par </w:t>
      </w:r>
      <w:r>
        <w:rPr>
          <w:rFonts w:ascii="Segoe UI Symbol" w:hAnsi="Segoe UI Symbol"/>
          <w:noProof/>
          <w:color w:val="000000"/>
        </w:rPr>
        <w:t>☐</w:t>
      </w:r>
      <w:r>
        <w:rPr>
          <w:noProof/>
          <w:color w:val="000000"/>
        </w:rPr>
        <w:t xml:space="preserve"> </w:t>
      </w:r>
      <w:r>
        <w:rPr>
          <w:i/>
          <w:iCs/>
          <w:noProof/>
          <w:color w:val="000000"/>
        </w:rPr>
        <w:t>paziņojamo(-ajiem) dokumentu(-iem)</w:t>
      </w:r>
      <w:r>
        <w:rPr>
          <w:noProof/>
          <w:color w:val="000000"/>
        </w:rPr>
        <w:t xml:space="preserve"> </w:t>
      </w:r>
      <w:r>
        <w:rPr>
          <w:rFonts w:ascii="Segoe UI Symbol" w:hAnsi="Segoe UI Symbol"/>
          <w:noProof/>
          <w:color w:val="000000"/>
        </w:rPr>
        <w:t>☐</w:t>
      </w:r>
      <w:r>
        <w:rPr>
          <w:noProof/>
          <w:color w:val="000000"/>
        </w:rPr>
        <w:t xml:space="preserve"> </w:t>
      </w:r>
      <w:r>
        <w:rPr>
          <w:i/>
          <w:iCs/>
          <w:noProof/>
          <w:color w:val="000000"/>
        </w:rPr>
        <w:t>un/vai saistību apstrīdēšanas iespējām</w:t>
      </w:r>
      <w:r>
        <w:rPr>
          <w:noProof/>
          <w:color w:val="000000"/>
        </w:rPr>
        <w:t xml:space="preserve"> var saņemt</w:t>
      </w:r>
    </w:p>
    <w:tbl>
      <w:tblPr>
        <w:tblW w:w="5000" w:type="pct"/>
        <w:tblCellMar>
          <w:left w:w="0" w:type="dxa"/>
          <w:right w:w="0" w:type="dxa"/>
        </w:tblCellMar>
        <w:tblLook w:val="04A0" w:firstRow="1" w:lastRow="0" w:firstColumn="1" w:lastColumn="0" w:noHBand="0" w:noVBand="1"/>
      </w:tblPr>
      <w:tblGrid>
        <w:gridCol w:w="190"/>
        <w:gridCol w:w="8836"/>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iepriekš minētajā birojā, kas atbildīgs par pievienoto(-ajiem) dokumentu(-iem), un/vai</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turpmāk norādītajā birojā:</w:t>
            </w:r>
            <w:r>
              <w:rPr>
                <w:noProof/>
                <w:color w:val="000000"/>
              </w:rPr>
              <w:t xml:space="preserve"> </w:t>
            </w:r>
          </w:p>
          <w:tbl>
            <w:tblPr>
              <w:tblW w:w="4890" w:type="pct"/>
              <w:tblCellMar>
                <w:left w:w="0" w:type="dxa"/>
                <w:right w:w="0" w:type="dxa"/>
              </w:tblCellMar>
              <w:tblLook w:val="04A0" w:firstRow="1" w:lastRow="0" w:firstColumn="1" w:lastColumn="0" w:noHBand="0" w:noVBand="1"/>
            </w:tblPr>
            <w:tblGrid>
              <w:gridCol w:w="346"/>
              <w:gridCol w:w="8289"/>
              <w:gridCol w:w="7"/>
            </w:tblGrid>
            <w:tr w:rsidR="003E022D">
              <w:trPr>
                <w:gridAfter w:val="1"/>
                <w:wAfter w:w="4" w:type="pct"/>
              </w:trPr>
              <w:tc>
                <w:tcPr>
                  <w:tcW w:w="200" w:type="pct"/>
                  <w:shd w:val="clear" w:color="auto" w:fill="auto"/>
                  <w:hideMark/>
                </w:tcPr>
                <w:p w:rsidR="003E022D" w:rsidRDefault="007D19D6">
                  <w:pPr>
                    <w:spacing w:after="0"/>
                    <w:rPr>
                      <w:noProof/>
                      <w:color w:val="000000"/>
                    </w:rPr>
                  </w:pPr>
                  <w:r>
                    <w:rPr>
                      <w:noProof/>
                      <w:color w:val="000000"/>
                    </w:rPr>
                    <w:t>—</w:t>
                  </w:r>
                </w:p>
              </w:tc>
              <w:tc>
                <w:tcPr>
                  <w:tcW w:w="4796" w:type="pct"/>
                  <w:shd w:val="clear" w:color="auto" w:fill="auto"/>
                  <w:hideMark/>
                </w:tcPr>
                <w:p w:rsidR="003E022D" w:rsidRDefault="007D19D6">
                  <w:pPr>
                    <w:spacing w:after="0"/>
                    <w:rPr>
                      <w:noProof/>
                      <w:color w:val="000000"/>
                    </w:rPr>
                  </w:pPr>
                  <w:r>
                    <w:rPr>
                      <w:i/>
                      <w:iCs/>
                      <w:noProof/>
                      <w:color w:val="000000"/>
                    </w:rPr>
                    <w:t>Nosaukums:</w:t>
                  </w:r>
                  <w:r>
                    <w:rPr>
                      <w:noProof/>
                      <w:color w:val="000000"/>
                    </w:rPr>
                    <w:t xml:space="preserve"> </w:t>
                  </w:r>
                </w:p>
              </w:tc>
            </w:tr>
            <w:tr w:rsidR="003E022D">
              <w:tc>
                <w:tcPr>
                  <w:tcW w:w="200" w:type="pct"/>
                  <w:shd w:val="clear" w:color="auto" w:fill="auto"/>
                  <w:hideMark/>
                </w:tcPr>
                <w:p w:rsidR="003E022D" w:rsidRDefault="007D19D6">
                  <w:pPr>
                    <w:spacing w:after="0"/>
                    <w:rPr>
                      <w:noProof/>
                      <w:color w:val="000000"/>
                    </w:rPr>
                  </w:pPr>
                  <w:r>
                    <w:rPr>
                      <w:noProof/>
                      <w:color w:val="000000"/>
                    </w:rPr>
                    <w:t xml:space="preserve">— </w:t>
                  </w:r>
                </w:p>
              </w:tc>
              <w:tc>
                <w:tcPr>
                  <w:tcW w:w="4800" w:type="pct"/>
                  <w:gridSpan w:val="2"/>
                  <w:shd w:val="clear" w:color="auto" w:fill="auto"/>
                  <w:hideMark/>
                </w:tcPr>
                <w:p w:rsidR="003E022D" w:rsidRDefault="007D19D6">
                  <w:pPr>
                    <w:spacing w:after="0"/>
                    <w:rPr>
                      <w:noProof/>
                      <w:color w:val="000000"/>
                    </w:rPr>
                  </w:pPr>
                  <w:r>
                    <w:rPr>
                      <w:i/>
                      <w:iCs/>
                      <w:noProof/>
                      <w:color w:val="000000"/>
                    </w:rPr>
                    <w:t>Adrese:</w:t>
                  </w:r>
                  <w:r>
                    <w:rPr>
                      <w:noProof/>
                      <w:color w:val="000000"/>
                    </w:rPr>
                    <w:t xml:space="preserve"> </w:t>
                  </w:r>
                </w:p>
              </w:tc>
            </w:tr>
            <w:tr w:rsidR="003E022D">
              <w:tc>
                <w:tcPr>
                  <w:tcW w:w="200" w:type="pct"/>
                  <w:shd w:val="clear" w:color="auto" w:fill="auto"/>
                  <w:hideMark/>
                </w:tcPr>
                <w:p w:rsidR="003E022D" w:rsidRDefault="007D19D6">
                  <w:pPr>
                    <w:spacing w:after="0"/>
                    <w:rPr>
                      <w:noProof/>
                      <w:color w:val="000000"/>
                    </w:rPr>
                  </w:pPr>
                  <w:r>
                    <w:rPr>
                      <w:noProof/>
                      <w:color w:val="000000"/>
                    </w:rPr>
                    <w:t>—</w:t>
                  </w:r>
                </w:p>
              </w:tc>
              <w:tc>
                <w:tcPr>
                  <w:tcW w:w="4800" w:type="pct"/>
                  <w:gridSpan w:val="2"/>
                  <w:shd w:val="clear" w:color="auto" w:fill="auto"/>
                  <w:hideMark/>
                </w:tcPr>
                <w:p w:rsidR="003E022D" w:rsidRDefault="007D19D6">
                  <w:pPr>
                    <w:spacing w:after="0"/>
                    <w:rPr>
                      <w:noProof/>
                      <w:color w:val="000000"/>
                    </w:rPr>
                  </w:pPr>
                  <w:r>
                    <w:rPr>
                      <w:i/>
                      <w:iCs/>
                      <w:noProof/>
                      <w:color w:val="000000"/>
                    </w:rPr>
                    <w:t>Cita kontaktinformācija:</w:t>
                  </w:r>
                  <w:r>
                    <w:rPr>
                      <w:noProof/>
                      <w:color w:val="000000"/>
                    </w:rPr>
                    <w:t xml:space="preserve"> </w:t>
                  </w:r>
                </w:p>
              </w:tc>
            </w:tr>
            <w:tr w:rsidR="003E022D">
              <w:tc>
                <w:tcPr>
                  <w:tcW w:w="200" w:type="pct"/>
                  <w:shd w:val="clear" w:color="auto" w:fill="auto"/>
                  <w:hideMark/>
                </w:tcPr>
                <w:p w:rsidR="003E022D" w:rsidRDefault="007D19D6">
                  <w:pPr>
                    <w:spacing w:after="0"/>
                    <w:rPr>
                      <w:noProof/>
                      <w:color w:val="000000"/>
                    </w:rPr>
                  </w:pPr>
                  <w:r>
                    <w:rPr>
                      <w:noProof/>
                      <w:color w:val="000000"/>
                    </w:rPr>
                    <w:t>—</w:t>
                  </w:r>
                </w:p>
              </w:tc>
              <w:tc>
                <w:tcPr>
                  <w:tcW w:w="4800" w:type="pct"/>
                  <w:gridSpan w:val="2"/>
                  <w:shd w:val="clear" w:color="auto" w:fill="auto"/>
                  <w:hideMark/>
                </w:tcPr>
                <w:p w:rsidR="003E022D" w:rsidRDefault="007D19D6">
                  <w:pPr>
                    <w:spacing w:after="0"/>
                    <w:rPr>
                      <w:noProof/>
                      <w:color w:val="000000"/>
                    </w:rPr>
                  </w:pPr>
                  <w:r>
                    <w:rPr>
                      <w:i/>
                      <w:iCs/>
                      <w:noProof/>
                      <w:color w:val="000000"/>
                    </w:rPr>
                    <w:t>Valoda(-as), kurā(-ās) var sazināties ar šo biroju:</w:t>
                  </w:r>
                  <w:r>
                    <w:rPr>
                      <w:noProof/>
                      <w:color w:val="000000"/>
                    </w:rPr>
                    <w:t xml:space="preserve"> </w:t>
                  </w:r>
                </w:p>
              </w:tc>
            </w:tr>
          </w:tbl>
          <w:p w:rsidR="003E022D" w:rsidRDefault="003E022D">
            <w:pPr>
              <w:spacing w:after="0"/>
              <w:rPr>
                <w:noProof/>
                <w:color w:val="000000"/>
                <w:lang w:eastAsia="en-GB"/>
              </w:rPr>
            </w:pPr>
          </w:p>
        </w:tc>
      </w:tr>
    </w:tbl>
    <w:p w:rsidR="003E022D" w:rsidRDefault="007D19D6">
      <w:pPr>
        <w:shd w:val="clear" w:color="auto" w:fill="FFFFFF"/>
        <w:spacing w:before="240"/>
        <w:rPr>
          <w:b/>
          <w:bCs/>
          <w:noProof/>
          <w:color w:val="000000"/>
        </w:rPr>
      </w:pPr>
      <w:r>
        <w:rPr>
          <w:b/>
          <w:bCs/>
          <w:noProof/>
          <w:color w:val="000000"/>
        </w:rPr>
        <w:t>D.   PAZIŅOJAMĀ(-O) DOKUMENTA(-U) APRAKSTS</w:t>
      </w:r>
    </w:p>
    <w:p w:rsidR="003E022D" w:rsidRDefault="007D19D6">
      <w:pPr>
        <w:shd w:val="clear" w:color="auto" w:fill="FFFFFF"/>
        <w:spacing w:after="0"/>
        <w:rPr>
          <w:noProof/>
          <w:color w:val="000000"/>
        </w:rPr>
      </w:pPr>
      <w:r>
        <w:rPr>
          <w:noProof/>
          <w:color w:val="000000"/>
        </w:rPr>
        <w:t>Dokuments [numurs]</w:t>
      </w:r>
    </w:p>
    <w:tbl>
      <w:tblPr>
        <w:tblW w:w="5000" w:type="pct"/>
        <w:tblCellMar>
          <w:left w:w="0" w:type="dxa"/>
          <w:right w:w="0" w:type="dxa"/>
        </w:tblCellMar>
        <w:tblLook w:val="04A0" w:firstRow="1" w:lastRow="0" w:firstColumn="1" w:lastColumn="0" w:noHBand="0" w:noVBand="1"/>
      </w:tblPr>
      <w:tblGrid>
        <w:gridCol w:w="447"/>
        <w:gridCol w:w="8579"/>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Atsauces numurs:</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Reģistrācijas datums:</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Paziņojamā dokumenta būtība:</w:t>
            </w:r>
          </w:p>
          <w:tbl>
            <w:tblPr>
              <w:tblW w:w="5000" w:type="pct"/>
              <w:tblCellMar>
                <w:left w:w="0" w:type="dxa"/>
                <w:right w:w="0" w:type="dxa"/>
              </w:tblCellMar>
              <w:tblLook w:val="04A0" w:firstRow="1" w:lastRow="0" w:firstColumn="1" w:lastColumn="0" w:noHBand="0" w:noVBand="1"/>
            </w:tblPr>
            <w:tblGrid>
              <w:gridCol w:w="424"/>
              <w:gridCol w:w="8155"/>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Nodokļa summas novērtējums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Maksājuma rīkojums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Lēmums pēc administratīvas pārsūdzības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Cits administratīvs</w:t>
                  </w:r>
                  <w:r>
                    <w:rPr>
                      <w:i/>
                      <w:iCs/>
                      <w:noProof/>
                      <w:color w:val="000000"/>
                    </w:rPr>
                    <w:t xml:space="preserve"> dokuments: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[Tiesas] spriedums vai rīkojums: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Cits tiesas dokuments:</w:t>
                  </w:r>
                  <w:r>
                    <w:rPr>
                      <w:noProof/>
                      <w:color w:val="000000"/>
                    </w:rPr>
                    <w:t xml:space="preserve"> </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51"/>
        <w:gridCol w:w="8775"/>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Attiecīgā(-o) prasījuma(-u) nosaukums (pieteikuma iesniedzējas valsts valodā):</w:t>
            </w:r>
          </w:p>
        </w:tc>
      </w:tr>
    </w:tbl>
    <w:p w:rsidR="003E022D" w:rsidRDefault="003E022D">
      <w:pPr>
        <w:shd w:val="clear" w:color="auto" w:fill="FFFFFF"/>
        <w:spacing w:after="0"/>
        <w:rPr>
          <w:noProof/>
          <w:vanish/>
          <w:color w:val="000000"/>
          <w:lang w:eastAsia="en-GB"/>
        </w:rPr>
      </w:pPr>
    </w:p>
    <w:tbl>
      <w:tblPr>
        <w:tblW w:w="4810" w:type="pct"/>
        <w:tblCellMar>
          <w:left w:w="0" w:type="dxa"/>
          <w:right w:w="0" w:type="dxa"/>
        </w:tblCellMar>
        <w:tblLook w:val="04A0" w:firstRow="1" w:lastRow="0" w:firstColumn="1" w:lastColumn="0" w:noHBand="0" w:noVBand="1"/>
      </w:tblPr>
      <w:tblGrid>
        <w:gridCol w:w="283"/>
        <w:gridCol w:w="8400"/>
      </w:tblGrid>
      <w:tr w:rsidR="003E022D">
        <w:tc>
          <w:tcPr>
            <w:tcW w:w="163" w:type="pct"/>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Attiecīgā(-o) prasījuma(-u) būtība:</w:t>
            </w:r>
          </w:p>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Attiecīgā(-o) prasījuma(-u) summa: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Pamatsumma:</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Administratīvās sankcijas un soda naudas: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Procentu maksājumi līdz [datums]: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Izmaksas līdz [datums]: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Maksas par izziņām vai tamlīdzīgiem dokumentiem, ko izdod saistībā ar administratīvām procedūrām, kuras saistītas ar [x]. punktā minēto </w:t>
                  </w:r>
                  <w:r>
                    <w:rPr>
                      <w:i/>
                      <w:iCs/>
                      <w:noProof/>
                      <w:color w:val="000000"/>
                    </w:rPr>
                    <w:t>prasījumu:</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Šā(šo) prasījuma(-u) kopsumma:</w:t>
                  </w:r>
                  <w:r>
                    <w:rPr>
                      <w:noProof/>
                      <w:color w:val="000000"/>
                    </w:rPr>
                    <w:t xml:space="preserve"> </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22"/>
        <w:gridCol w:w="8704"/>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[x]. punktā minētā summa jāatlīdzina: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06"/>
              <w:gridCol w:w="8398"/>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līdz:</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[skaits] dienu laikā pēc dienas, kad saņemts šis paziņojums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nekavējoties</w:t>
                  </w:r>
                  <w:r>
                    <w:rPr>
                      <w:noProof/>
                      <w:color w:val="000000"/>
                    </w:rPr>
                    <w:t xml:space="preserve"> </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11"/>
        <w:gridCol w:w="8615"/>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Maksājuma saņēmējs: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411"/>
              <w:gridCol w:w="8204"/>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Konta turētājs: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Starptautiskais bankas </w:t>
                  </w:r>
                  <w:r>
                    <w:rPr>
                      <w:i/>
                      <w:iCs/>
                      <w:noProof/>
                      <w:color w:val="000000"/>
                    </w:rPr>
                    <w:t>konta numurs (</w:t>
                  </w:r>
                  <w:r>
                    <w:rPr>
                      <w:iCs/>
                      <w:noProof/>
                      <w:color w:val="000000"/>
                    </w:rPr>
                    <w:t>IBAN</w:t>
                  </w:r>
                  <w:r>
                    <w:rPr>
                      <w:i/>
                      <w:iCs/>
                      <w:noProof/>
                      <w:color w:val="000000"/>
                    </w:rPr>
                    <w:t>):</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Bankas identifikācijas kods (</w:t>
                  </w:r>
                  <w:r>
                    <w:rPr>
                      <w:iCs/>
                      <w:noProof/>
                      <w:color w:val="000000"/>
                    </w:rPr>
                    <w:t>BIC</w:t>
                  </w:r>
                  <w:r>
                    <w:rPr>
                      <w:i/>
                      <w:iCs/>
                      <w:noProof/>
                      <w:color w:val="000000"/>
                    </w:rPr>
                    <w:t>):</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Bankas nosaukums:</w:t>
                  </w:r>
                  <w:r>
                    <w:rPr>
                      <w:noProof/>
                      <w:color w:val="000000"/>
                    </w:rPr>
                    <w:t xml:space="preserve"> </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4838" w:type="pct"/>
        <w:tblCellMar>
          <w:left w:w="0" w:type="dxa"/>
          <w:right w:w="0" w:type="dxa"/>
        </w:tblCellMar>
        <w:tblLook w:val="04A0" w:firstRow="1" w:lastRow="0" w:firstColumn="1" w:lastColumn="0" w:noHBand="0" w:noVBand="1"/>
      </w:tblPr>
      <w:tblGrid>
        <w:gridCol w:w="266"/>
        <w:gridCol w:w="8468"/>
      </w:tblGrid>
      <w:tr w:rsidR="003E022D">
        <w:tc>
          <w:tcPr>
            <w:tcW w:w="152" w:type="pct"/>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Atsauce, kas jānorāda, veicot maksājumu:</w:t>
            </w:r>
            <w:r>
              <w:rPr>
                <w:noProof/>
                <w:color w:val="000000"/>
              </w:rPr>
              <w:t xml:space="preserve"> </w:t>
            </w: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16"/>
        <w:gridCol w:w="8710"/>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Adresāts var atbildēt uz dokumentu(-iem), ko ar šo paziņo.</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502"/>
              <w:gridCol w:w="8208"/>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Pēdējā diena atbildes iesniegšanai:</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Laikposms atbildes </w:t>
                  </w:r>
                  <w:r>
                    <w:rPr>
                      <w:i/>
                      <w:iCs/>
                      <w:noProof/>
                      <w:color w:val="000000"/>
                    </w:rPr>
                    <w:t>sniegšanai:</w:t>
                  </w:r>
                  <w:r>
                    <w:rPr>
                      <w:noProof/>
                      <w:color w:val="000000"/>
                    </w:rPr>
                    <w:t xml:space="preserve"> </w:t>
                  </w:r>
                </w:p>
              </w:tc>
            </w:tr>
          </w:tbl>
          <w:p w:rsidR="003E022D" w:rsidRDefault="003E022D">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16"/>
              <w:gridCol w:w="8394"/>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Tās iestādes nosaukums un adrese, kurai var nosūtīt atbildi:</w:t>
                  </w:r>
                  <w:r>
                    <w:rPr>
                      <w:noProof/>
                      <w:color w:val="000000"/>
                    </w:rPr>
                    <w:t xml:space="preserve"> </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Iespēja apstrīdēt:</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3"/>
              <w:gridCol w:w="8633"/>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Prasījuma vai paziņotā(-o) dokumenta(-u) iespējamās apstrīdēšanas laikposms jau ir noslēdzies.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Pēdējā diena prasījuma apstrīdēšanai:</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Laikposms prasījuma apstrīdēšanai: [dienu skaits]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98"/>
                    <w:gridCol w:w="8235"/>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no dienas, kad saņemts šis paziņojums.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no paziņotā(-o) dokumenta (-u) reģistrācijas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no cita datuma:</w:t>
                        </w:r>
                        <w:r>
                          <w:rPr>
                            <w:noProof/>
                            <w:color w:val="000000"/>
                          </w:rPr>
                          <w:t xml:space="preserve"> </w:t>
                        </w:r>
                      </w:p>
                    </w:tc>
                  </w:tr>
                </w:tbl>
                <w:p w:rsidR="003E022D" w:rsidRDefault="003E022D">
                  <w:pPr>
                    <w:spacing w:after="0"/>
                    <w:rPr>
                      <w:noProof/>
                      <w:color w:val="000000"/>
                      <w:lang w:eastAsia="en-GB"/>
                    </w:rPr>
                  </w:pPr>
                </w:p>
              </w:tc>
            </w:tr>
          </w:tbl>
          <w:p w:rsidR="003E022D" w:rsidRDefault="003E022D">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54"/>
              <w:gridCol w:w="8572"/>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Tās iestādes nosaukums un adrese, kur jāiesniedz apstrīdēšanas pieteikums:</w:t>
                  </w:r>
                  <w:r>
                    <w:rPr>
                      <w:noProof/>
                      <w:color w:val="000000"/>
                    </w:rPr>
                    <w:t xml:space="preserve"> </w:t>
                  </w:r>
                </w:p>
              </w:tc>
            </w:tr>
          </w:tbl>
          <w:p w:rsidR="003E022D" w:rsidRDefault="007D19D6">
            <w:pPr>
              <w:spacing w:after="0"/>
              <w:rPr>
                <w:noProof/>
                <w:color w:val="000000"/>
              </w:rPr>
            </w:pPr>
            <w:r>
              <w:rPr>
                <w:i/>
                <w:iCs/>
                <w:noProof/>
                <w:color w:val="000000"/>
              </w:rPr>
              <w:t>Lūdzam ņemt</w:t>
            </w:r>
            <w:r>
              <w:rPr>
                <w:i/>
                <w:iCs/>
                <w:noProof/>
                <w:color w:val="000000"/>
              </w:rPr>
              <w:t xml:space="preserve"> vērā, ka strīdi par prasījumu, par instrumentu, kas atļauj izpildi, vai jebkuru citu dokumentu, kuru ir izdevušas pieteikuma iesniedzējas valsts [pieteikuma iesniedzējas valsts nosaukums] iestādes, saskaņā ar iepriekš minētā Eiropas Savienības un Apvienot</w:t>
            </w:r>
            <w:r>
              <w:rPr>
                <w:i/>
                <w:iCs/>
                <w:noProof/>
                <w:color w:val="000000"/>
              </w:rPr>
              <w:t>ās karalistes protokola 29. pantu ir pieteikuma iesniedzējas valsts [norādīt pieteikuma iesniedzēju valsti] kompetento iestāžu kompetencē.</w:t>
            </w:r>
            <w:r>
              <w:rPr>
                <w:noProof/>
                <w:color w:val="000000"/>
              </w:rPr>
              <w:t xml:space="preserve"> </w:t>
            </w:r>
          </w:p>
          <w:p w:rsidR="003E022D" w:rsidRDefault="007D19D6">
            <w:pPr>
              <w:spacing w:after="0"/>
              <w:rPr>
                <w:noProof/>
                <w:color w:val="000000"/>
              </w:rPr>
            </w:pPr>
            <w:r>
              <w:rPr>
                <w:i/>
                <w:iCs/>
                <w:noProof/>
                <w:color w:val="000000"/>
              </w:rPr>
              <w:t>Jebkurus šādus strīdus risina, ievērojot procesuālos un valodu lietojuma noteikumus, ko piemēro pieteikuma iesniedzē</w:t>
            </w:r>
            <w:r>
              <w:rPr>
                <w:i/>
                <w:iCs/>
                <w:noProof/>
                <w:color w:val="000000"/>
              </w:rPr>
              <w:t>jā valstī [pieteikuma iesniedzējas valsts nosaukums].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Lūdzam ņemt vērā, ka piedziņas izpildi var uzsākt, pirms beidzies prasījuma apstrīdēšanas laikposms.</w:t>
                  </w:r>
                  <w:r>
                    <w:rPr>
                      <w:noProof/>
                      <w:color w:val="000000"/>
                    </w:rPr>
                    <w:t xml:space="preserve"> </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4"/>
        <w:gridCol w:w="8602"/>
      </w:tblGrid>
      <w:tr w:rsidR="003E022D">
        <w:tc>
          <w:tcPr>
            <w:tcW w:w="235" w:type="pct"/>
            <w:shd w:val="clear" w:color="auto" w:fill="auto"/>
            <w:hideMark/>
          </w:tcPr>
          <w:p w:rsidR="003E022D" w:rsidRDefault="007D19D6">
            <w:pPr>
              <w:spacing w:after="0"/>
              <w:rPr>
                <w:noProof/>
                <w:color w:val="000000"/>
              </w:rPr>
            </w:pPr>
            <w:r>
              <w:rPr>
                <w:noProof/>
                <w:color w:val="000000"/>
              </w:rPr>
              <w:t>—</w:t>
            </w:r>
          </w:p>
        </w:tc>
        <w:tc>
          <w:tcPr>
            <w:tcW w:w="4765" w:type="pct"/>
            <w:shd w:val="clear" w:color="auto" w:fill="auto"/>
            <w:hideMark/>
          </w:tcPr>
          <w:p w:rsidR="003E022D" w:rsidRDefault="007D19D6">
            <w:pPr>
              <w:spacing w:after="0"/>
              <w:rPr>
                <w:noProof/>
                <w:color w:val="000000"/>
              </w:rPr>
            </w:pPr>
            <w:r>
              <w:rPr>
                <w:i/>
                <w:iCs/>
                <w:noProof/>
                <w:color w:val="000000"/>
              </w:rPr>
              <w:t>Cita informācija:</w:t>
            </w:r>
            <w:r>
              <w:rPr>
                <w:noProof/>
                <w:color w:val="000000"/>
              </w:rPr>
              <w:t xml:space="preserve"> </w:t>
            </w:r>
          </w:p>
        </w:tc>
      </w:tr>
    </w:tbl>
    <w:p w:rsidR="003E022D" w:rsidRDefault="007D19D6">
      <w:pPr>
        <w:shd w:val="clear" w:color="auto" w:fill="FFFFFF"/>
        <w:spacing w:after="0"/>
        <w:rPr>
          <w:noProof/>
          <w:color w:val="000000"/>
        </w:rPr>
      </w:pPr>
      <w:r>
        <w:rPr>
          <w:noProof/>
          <w:color w:val="000000"/>
        </w:rPr>
        <w:t>”</w:t>
      </w:r>
    </w:p>
    <w:p w:rsidR="003E022D" w:rsidRDefault="007D19D6">
      <w:pPr>
        <w:shd w:val="clear" w:color="auto" w:fill="FFFFFF"/>
        <w:spacing w:before="240" w:after="60"/>
        <w:rPr>
          <w:noProof/>
          <w:color w:val="000000"/>
        </w:rPr>
      </w:pPr>
      <w:r>
        <w:rPr>
          <w:noProof/>
          <w:color w:val="000000"/>
        </w:rPr>
        <w:pict>
          <v:rect id="_x0000_i1029" alt="" style="width:90.25pt;height:.05pt;mso-width-percent:0;mso-height-percent:0;mso-width-percent:0;mso-height-percent:0" o:hrpct="200" o:hrstd="t" o:hrnoshade="t" o:hr="t" fillcolor="black" stroked="f"/>
        </w:pict>
      </w:r>
    </w:p>
    <w:p w:rsidR="003E022D" w:rsidRDefault="007D19D6">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Kursīvā rakstītie ir izvēles elementi.</w:t>
      </w:r>
    </w:p>
    <w:p w:rsidR="003E022D" w:rsidRDefault="007D19D6">
      <w:pPr>
        <w:shd w:val="clear" w:color="auto" w:fill="FFFFFF"/>
        <w:rPr>
          <w:noProof/>
          <w:color w:val="000000"/>
        </w:rPr>
      </w:pPr>
      <w:r>
        <w:rPr>
          <w:noProof/>
          <w:color w:val="000000"/>
        </w:rPr>
        <w:pict>
          <v:rect id="_x0000_i1030" alt="" style="width:45.15pt;height:.05pt;mso-width-percent:0;mso-height-percent:0;mso-width-percent:0;mso-height-percent:0" o:hrpct="100" o:hralign="center" o:hrstd="t" o:hrnoshade="t" o:hr="t" fillcolor="black" stroked="f"/>
        </w:pict>
      </w:r>
    </w:p>
    <w:p w:rsidR="003E022D" w:rsidRDefault="007D19D6">
      <w:pPr>
        <w:shd w:val="clear" w:color="auto" w:fill="FFFFFF"/>
        <w:spacing w:after="0"/>
        <w:rPr>
          <w:noProof/>
          <w:color w:val="000000"/>
        </w:rPr>
      </w:pPr>
      <w:r>
        <w:rPr>
          <w:noProof/>
          <w:color w:val="000000"/>
        </w:rPr>
        <w:t xml:space="preserve"> </w:t>
      </w:r>
    </w:p>
    <w:p w:rsidR="003E022D" w:rsidRDefault="007D19D6">
      <w:pPr>
        <w:pStyle w:val="Article"/>
        <w:rPr>
          <w:noProof/>
        </w:rPr>
      </w:pPr>
      <w:r>
        <w:rPr>
          <w:noProof/>
        </w:rPr>
        <w:t>B paraugs</w:t>
      </w:r>
    </w:p>
    <w:p w:rsidR="003E022D" w:rsidRDefault="007D19D6">
      <w:pPr>
        <w:shd w:val="clear" w:color="auto" w:fill="FFFFFF"/>
        <w:spacing w:before="240"/>
        <w:rPr>
          <w:b/>
          <w:bCs/>
          <w:noProof/>
          <w:color w:val="000000"/>
        </w:rPr>
      </w:pPr>
      <w:r>
        <w:rPr>
          <w:b/>
          <w:bCs/>
          <w:iCs/>
          <w:noProof/>
          <w:color w:val="000000"/>
        </w:rPr>
        <w:t xml:space="preserve">Vienotais instruments, kas atļauj to prasījumu izpildi, uz kuriem attiecas 27. pants </w:t>
      </w:r>
      <w:r>
        <w:rPr>
          <w:b/>
          <w:iCs/>
          <w:noProof/>
        </w:rPr>
        <w:t>Eiropas Savienības un Apvienotās Karalistes Protokolā par administratīvo sadarbību un krāpšanas apkarošanu pievienotās vērtības nodokļa jomā un par savstarpēju palīdzību p</w:t>
      </w:r>
      <w:r>
        <w:rPr>
          <w:b/>
          <w:iCs/>
          <w:noProof/>
        </w:rPr>
        <w:t>rasījumu piedziņā saistībā ar nodokļiem un nodevām</w:t>
      </w:r>
      <w:r>
        <w:rPr>
          <w:b/>
          <w:bCs/>
          <w:iCs/>
          <w:noProof/>
          <w:color w:val="000000"/>
        </w:rPr>
        <w:t xml:space="preserve"> </w:t>
      </w:r>
      <w:r>
        <w:rPr>
          <w:b/>
          <w:noProof/>
          <w:color w:val="3366CC"/>
        </w:rPr>
        <w:t> (</w:t>
      </w:r>
      <w:r>
        <w:rPr>
          <w:b/>
          <w:noProof/>
          <w:color w:val="3366CC"/>
          <w:vertAlign w:val="superscript"/>
        </w:rPr>
        <w:t>1</w:t>
      </w:r>
      <w:r>
        <w:rPr>
          <w:b/>
          <w:noProof/>
          <w:color w:val="3366CC"/>
        </w:rPr>
        <w:t>)</w:t>
      </w:r>
      <w:r>
        <w:rPr>
          <w:b/>
          <w:bCs/>
          <w:noProof/>
          <w:color w:val="000000"/>
        </w:rPr>
        <w:t xml:space="preserve"> </w:t>
      </w:r>
    </w:p>
    <w:p w:rsidR="003E022D" w:rsidRDefault="007D19D6">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VIENOTAIS INSTRUMENTS, KAS ATĻAUJ PRASĪJUMU IZPILDI </w:t>
      </w:r>
    </w:p>
    <w:tbl>
      <w:tblPr>
        <w:tblW w:w="4656" w:type="pct"/>
        <w:tblCellMar>
          <w:left w:w="0" w:type="dxa"/>
          <w:right w:w="0" w:type="dxa"/>
        </w:tblCellMar>
        <w:tblLook w:val="04A0" w:firstRow="1" w:lastRow="0" w:firstColumn="1" w:lastColumn="0" w:noHBand="0" w:noVBand="1"/>
      </w:tblPr>
      <w:tblGrid>
        <w:gridCol w:w="424"/>
        <w:gridCol w:w="7981"/>
      </w:tblGrid>
      <w:tr w:rsidR="003E022D">
        <w:tc>
          <w:tcPr>
            <w:tcW w:w="252" w:type="pct"/>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Izdošanas datums:</w:t>
            </w:r>
            <w:r>
              <w:rPr>
                <w:noProof/>
                <w:color w:val="000000"/>
              </w:rPr>
              <w:t xml:space="preserve"> </w:t>
            </w:r>
          </w:p>
        </w:tc>
      </w:tr>
      <w:tr w:rsidR="003E022D">
        <w:tc>
          <w:tcPr>
            <w:tcW w:w="252" w:type="pct"/>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Atsauces numurs:</w:t>
            </w:r>
            <w:r>
              <w:rPr>
                <w:noProof/>
                <w:color w:val="000000"/>
              </w:rPr>
              <w:t xml:space="preserve"> </w:t>
            </w:r>
          </w:p>
        </w:tc>
      </w:tr>
    </w:tbl>
    <w:p w:rsidR="003E022D" w:rsidRDefault="007D19D6">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PĀRSTRĀDĀTAIS VIENOTAIS INSTRUMENTS, KAS ATĻAUJ PRASĪJUMU IZPILDI </w:t>
      </w:r>
    </w:p>
    <w:tbl>
      <w:tblPr>
        <w:tblW w:w="5000" w:type="pct"/>
        <w:tblCellMar>
          <w:left w:w="0" w:type="dxa"/>
          <w:right w:w="0" w:type="dxa"/>
        </w:tblCellMar>
        <w:tblLook w:val="04A0" w:firstRow="1" w:lastRow="0" w:firstColumn="1" w:lastColumn="0" w:noHBand="0" w:noVBand="1"/>
      </w:tblPr>
      <w:tblGrid>
        <w:gridCol w:w="389"/>
        <w:gridCol w:w="8637"/>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Sākotnējā vienotā instrumenta </w:t>
            </w:r>
            <w:r>
              <w:rPr>
                <w:i/>
                <w:iCs/>
                <w:noProof/>
                <w:color w:val="000000"/>
              </w:rPr>
              <w:t>izdošanas datums: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Pārstrādāšanas datums: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Pārstrādāšanas pamatojums:</w:t>
            </w:r>
            <w:r>
              <w:rPr>
                <w:noProof/>
                <w:color w:val="000000"/>
              </w:rPr>
              <w:t xml:space="preserve"> </w:t>
            </w: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72"/>
        <w:gridCol w:w="8654"/>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[tiesas nosaukums] [datums] spriedums vai rīkojums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[datums] administratīvais lēmums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Atsauces numurs:</w:t>
            </w:r>
            <w:r>
              <w:rPr>
                <w:noProof/>
                <w:color w:val="000000"/>
              </w:rPr>
              <w:t xml:space="preserve"> </w:t>
            </w:r>
          </w:p>
        </w:tc>
      </w:tr>
    </w:tbl>
    <w:p w:rsidR="003E022D" w:rsidRDefault="007D19D6">
      <w:pPr>
        <w:shd w:val="clear" w:color="auto" w:fill="FFFFFF"/>
        <w:spacing w:after="0"/>
        <w:rPr>
          <w:noProof/>
          <w:color w:val="000000"/>
        </w:rPr>
      </w:pPr>
      <w:r>
        <w:rPr>
          <w:noProof/>
          <w:color w:val="000000"/>
        </w:rPr>
        <w:t xml:space="preserve">Valsts, kurā izdots šis dokuments: [pieteikuma iesniedzējas </w:t>
      </w:r>
      <w:r>
        <w:rPr>
          <w:noProof/>
          <w:color w:val="000000"/>
        </w:rPr>
        <w:t>valsts nosaukums]</w:t>
      </w:r>
    </w:p>
    <w:p w:rsidR="003E022D" w:rsidRDefault="007D19D6">
      <w:pPr>
        <w:shd w:val="clear" w:color="auto" w:fill="FFFFFF"/>
        <w:spacing w:after="0"/>
        <w:rPr>
          <w:noProof/>
          <w:color w:val="000000"/>
        </w:rPr>
      </w:pPr>
      <w:r>
        <w:rPr>
          <w:noProof/>
          <w:color w:val="000000"/>
        </w:rPr>
        <w:t>Pieprasījuma saņēmējas valsts veikto piedziņas pasākumu pamats ir:</w:t>
      </w:r>
    </w:p>
    <w:tbl>
      <w:tblPr>
        <w:tblW w:w="5000" w:type="pct"/>
        <w:tblCellMar>
          <w:left w:w="0" w:type="dxa"/>
          <w:right w:w="0" w:type="dxa"/>
        </w:tblCellMar>
        <w:tblLook w:val="04A0" w:firstRow="1" w:lastRow="0" w:firstColumn="1" w:lastColumn="0" w:noHBand="0" w:noVBand="1"/>
      </w:tblPr>
      <w:tblGrid>
        <w:gridCol w:w="190"/>
        <w:gridCol w:w="8836"/>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vienotais instruments, kas atļauj izpildi saskaņā ar</w:t>
            </w:r>
            <w:r>
              <w:rPr>
                <w:noProof/>
                <w:color w:val="000000"/>
              </w:rPr>
              <w:t xml:space="preserve"> </w:t>
            </w:r>
            <w:r>
              <w:rPr>
                <w:i/>
                <w:iCs/>
                <w:noProof/>
                <w:color w:val="000000"/>
              </w:rPr>
              <w:t>iepriekšminētā protokola 27. pantu.</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pārstrādāts vienotais instruments, kas atļauj izpildi saskaņā ar </w:t>
            </w:r>
            <w:r>
              <w:rPr>
                <w:noProof/>
                <w:color w:val="000000"/>
              </w:rPr>
              <w:t xml:space="preserve"> </w:t>
            </w:r>
            <w:r>
              <w:rPr>
                <w:i/>
                <w:iCs/>
                <w:noProof/>
                <w:color w:val="000000"/>
              </w:rPr>
              <w:t>iepriekšminētā protokola 30. pantu (lai ņemtu vērā minētā protokola 29. panta 1. punkta minētās kompetentās struktūras lēmumu).</w:t>
            </w:r>
            <w:r>
              <w:rPr>
                <w:noProof/>
                <w:color w:val="000000"/>
              </w:rPr>
              <w:t xml:space="preserve"> </w:t>
            </w:r>
          </w:p>
        </w:tc>
      </w:tr>
    </w:tbl>
    <w:p w:rsidR="003E022D" w:rsidRDefault="007D19D6">
      <w:pPr>
        <w:shd w:val="clear" w:color="auto" w:fill="FFFFFF"/>
        <w:spacing w:after="0"/>
        <w:rPr>
          <w:noProof/>
          <w:color w:val="000000"/>
        </w:rPr>
      </w:pPr>
      <w:r>
        <w:rPr>
          <w:noProof/>
          <w:color w:val="000000"/>
        </w:rPr>
        <w:t>Šis dokuments ir vienots instruments, kas atļauj izpildi (tostarp veikt piesardzības pasākumus). Tas attiecas uz turpmāk minēt</w:t>
      </w:r>
      <w:r>
        <w:rPr>
          <w:noProof/>
          <w:color w:val="000000"/>
        </w:rPr>
        <w:t>o(-ajiem) prasījumu(-iem), kas vēl joprojām nav atlīdzināts pieteikuma iesniedzējā valstī [pieteikuma iesniedzējas valsts nosaukums]. Par sākotnējo instrumentu, ar ko atļauj šā(šo) prasījuma(-u) izpildi, ir paziņots, ciktāl tas nepieciešams saskaņā ar piet</w:t>
      </w:r>
      <w:r>
        <w:rPr>
          <w:noProof/>
          <w:color w:val="000000"/>
        </w:rPr>
        <w:t>eikuma iesniedzējas valsts [pieteikuma iesniedzējas valsts nosaukums] tiesību aktiem.</w:t>
      </w:r>
    </w:p>
    <w:p w:rsidR="003E022D" w:rsidRDefault="007D19D6">
      <w:pPr>
        <w:shd w:val="clear" w:color="auto" w:fill="FFFFFF"/>
        <w:spacing w:after="0"/>
        <w:rPr>
          <w:noProof/>
          <w:color w:val="000000"/>
        </w:rPr>
      </w:pPr>
      <w:r>
        <w:rPr>
          <w:noProof/>
          <w:color w:val="000000"/>
        </w:rPr>
        <w:t xml:space="preserve">Strīdi saistībā ar prasījumu(-iem) saskaņā ar iepriekš minētā protokola 29. pantu ir pieteikuma iesniedzējas valsts [pieteikuma iesniedzējas valsts nosaukums] kompetento </w:t>
      </w:r>
      <w:r>
        <w:rPr>
          <w:noProof/>
          <w:color w:val="000000"/>
        </w:rPr>
        <w:t>struktūru kompetencē. Jebkuru šādu lietu iesniedz šajās struktūrās saskaņā ar pieteikuma iesniedzējā valstī [pieteikuma iesniedzējas valsts nosaukums] spēkā esošajiem procesuālajiem un valodu lietojuma noteikumiem.</w:t>
      </w:r>
    </w:p>
    <w:p w:rsidR="003E022D" w:rsidRDefault="007D19D6">
      <w:pPr>
        <w:shd w:val="clear" w:color="auto" w:fill="FFFFFF"/>
        <w:spacing w:before="240"/>
        <w:rPr>
          <w:b/>
          <w:bCs/>
          <w:noProof/>
          <w:color w:val="000000"/>
        </w:rPr>
      </w:pPr>
      <w:r>
        <w:rPr>
          <w:b/>
          <w:bCs/>
          <w:noProof/>
          <w:color w:val="000000"/>
        </w:rPr>
        <w:t>ATTIECĪGĀS(-O) PERSONAS(-U) UN PRASĪJUMA(</w:t>
      </w:r>
      <w:r>
        <w:rPr>
          <w:b/>
          <w:bCs/>
          <w:noProof/>
          <w:color w:val="000000"/>
        </w:rPr>
        <w:t xml:space="preserve">-U) APRAKSTS </w:t>
      </w:r>
    </w:p>
    <w:p w:rsidR="003E022D" w:rsidRDefault="007D19D6">
      <w:pPr>
        <w:shd w:val="clear" w:color="auto" w:fill="FFFFFF"/>
        <w:spacing w:before="240"/>
        <w:rPr>
          <w:b/>
          <w:bCs/>
          <w:noProof/>
          <w:color w:val="000000"/>
        </w:rPr>
      </w:pPr>
      <w:r>
        <w:rPr>
          <w:b/>
          <w:bCs/>
          <w:noProof/>
          <w:color w:val="000000"/>
        </w:rPr>
        <w:t>Prasījuma(-u) identifikācija [numurs]:</w:t>
      </w:r>
    </w:p>
    <w:tbl>
      <w:tblPr>
        <w:tblW w:w="5000" w:type="pct"/>
        <w:tblCellMar>
          <w:left w:w="0" w:type="dxa"/>
          <w:right w:w="0" w:type="dxa"/>
        </w:tblCellMar>
        <w:tblLook w:val="04A0" w:firstRow="1" w:lastRow="0" w:firstColumn="1" w:lastColumn="0" w:noHBand="0" w:noVBand="1"/>
      </w:tblPr>
      <w:tblGrid>
        <w:gridCol w:w="334"/>
        <w:gridCol w:w="8692"/>
      </w:tblGrid>
      <w:tr w:rsidR="003E022D">
        <w:tc>
          <w:tcPr>
            <w:tcW w:w="0" w:type="auto"/>
            <w:shd w:val="clear" w:color="auto" w:fill="auto"/>
            <w:hideMark/>
          </w:tcPr>
          <w:p w:rsidR="003E022D" w:rsidRDefault="007D19D6">
            <w:pPr>
              <w:spacing w:after="0"/>
              <w:rPr>
                <w:noProof/>
                <w:color w:val="000000"/>
              </w:rPr>
            </w:pPr>
            <w:r>
              <w:rPr>
                <w:noProof/>
                <w:color w:val="000000"/>
              </w:rPr>
              <w:t>1.</w:t>
            </w:r>
          </w:p>
        </w:tc>
        <w:tc>
          <w:tcPr>
            <w:tcW w:w="0" w:type="auto"/>
            <w:shd w:val="clear" w:color="auto" w:fill="auto"/>
            <w:hideMark/>
          </w:tcPr>
          <w:p w:rsidR="003E022D" w:rsidRDefault="007D19D6">
            <w:pPr>
              <w:spacing w:after="0"/>
              <w:rPr>
                <w:noProof/>
                <w:color w:val="000000"/>
              </w:rPr>
            </w:pPr>
            <w:r>
              <w:rPr>
                <w:noProof/>
                <w:color w:val="000000"/>
              </w:rPr>
              <w:t>Atsauce:</w:t>
            </w:r>
          </w:p>
        </w:tc>
      </w:tr>
      <w:tr w:rsidR="003E022D">
        <w:tc>
          <w:tcPr>
            <w:tcW w:w="0" w:type="auto"/>
            <w:shd w:val="clear" w:color="auto" w:fill="auto"/>
            <w:hideMark/>
          </w:tcPr>
          <w:p w:rsidR="003E022D" w:rsidRDefault="007D19D6">
            <w:pPr>
              <w:spacing w:after="0"/>
              <w:rPr>
                <w:noProof/>
                <w:color w:val="000000"/>
              </w:rPr>
            </w:pPr>
            <w:r>
              <w:rPr>
                <w:noProof/>
                <w:color w:val="000000"/>
              </w:rPr>
              <w:t>2.</w:t>
            </w:r>
          </w:p>
        </w:tc>
        <w:tc>
          <w:tcPr>
            <w:tcW w:w="0" w:type="auto"/>
            <w:shd w:val="clear" w:color="auto" w:fill="auto"/>
            <w:hideMark/>
          </w:tcPr>
          <w:p w:rsidR="003E022D" w:rsidRDefault="007D19D6">
            <w:pPr>
              <w:spacing w:after="0"/>
              <w:rPr>
                <w:noProof/>
                <w:color w:val="000000"/>
              </w:rPr>
            </w:pPr>
            <w:r>
              <w:rPr>
                <w:noProof/>
                <w:color w:val="000000"/>
              </w:rPr>
              <w:t>Attiecīgā(-o) prasījuma(-u) būtība:</w:t>
            </w:r>
          </w:p>
        </w:tc>
      </w:tr>
      <w:tr w:rsidR="003E022D">
        <w:tc>
          <w:tcPr>
            <w:tcW w:w="0" w:type="auto"/>
            <w:shd w:val="clear" w:color="auto" w:fill="auto"/>
            <w:hideMark/>
          </w:tcPr>
          <w:p w:rsidR="003E022D" w:rsidRDefault="007D19D6">
            <w:pPr>
              <w:spacing w:after="0"/>
              <w:rPr>
                <w:noProof/>
                <w:color w:val="000000"/>
              </w:rPr>
            </w:pPr>
            <w:r>
              <w:rPr>
                <w:noProof/>
                <w:color w:val="000000"/>
              </w:rPr>
              <w:t>3.</w:t>
            </w:r>
          </w:p>
        </w:tc>
        <w:tc>
          <w:tcPr>
            <w:tcW w:w="0" w:type="auto"/>
            <w:shd w:val="clear" w:color="auto" w:fill="auto"/>
            <w:hideMark/>
          </w:tcPr>
          <w:p w:rsidR="003E022D" w:rsidRDefault="007D19D6">
            <w:pPr>
              <w:spacing w:after="0"/>
              <w:rPr>
                <w:noProof/>
                <w:color w:val="000000"/>
              </w:rPr>
            </w:pPr>
            <w:r>
              <w:rPr>
                <w:noProof/>
                <w:color w:val="000000"/>
              </w:rPr>
              <w:t>Attiecīgais nodoklis/nodeva:</w:t>
            </w:r>
          </w:p>
        </w:tc>
      </w:tr>
      <w:tr w:rsidR="003E022D">
        <w:tc>
          <w:tcPr>
            <w:tcW w:w="0" w:type="auto"/>
            <w:shd w:val="clear" w:color="auto" w:fill="auto"/>
            <w:hideMark/>
          </w:tcPr>
          <w:p w:rsidR="003E022D" w:rsidRDefault="007D19D6">
            <w:pPr>
              <w:spacing w:after="0"/>
              <w:rPr>
                <w:noProof/>
                <w:color w:val="000000"/>
              </w:rPr>
            </w:pPr>
            <w:r>
              <w:rPr>
                <w:noProof/>
                <w:color w:val="000000"/>
              </w:rPr>
              <w:t>4.</w:t>
            </w:r>
          </w:p>
        </w:tc>
        <w:tc>
          <w:tcPr>
            <w:tcW w:w="0" w:type="auto"/>
            <w:shd w:val="clear" w:color="auto" w:fill="auto"/>
            <w:hideMark/>
          </w:tcPr>
          <w:p w:rsidR="003E022D" w:rsidRDefault="007D19D6">
            <w:pPr>
              <w:spacing w:after="0"/>
              <w:rPr>
                <w:noProof/>
                <w:color w:val="000000"/>
              </w:rPr>
            </w:pPr>
            <w:r>
              <w:rPr>
                <w:noProof/>
                <w:color w:val="000000"/>
              </w:rPr>
              <w:t>Attiecīgais laikposms vai datums:</w:t>
            </w:r>
          </w:p>
        </w:tc>
      </w:tr>
      <w:tr w:rsidR="003E022D">
        <w:tc>
          <w:tcPr>
            <w:tcW w:w="0" w:type="auto"/>
            <w:shd w:val="clear" w:color="auto" w:fill="auto"/>
            <w:hideMark/>
          </w:tcPr>
          <w:p w:rsidR="003E022D" w:rsidRDefault="007D19D6">
            <w:pPr>
              <w:spacing w:after="0"/>
              <w:rPr>
                <w:noProof/>
                <w:color w:val="000000"/>
              </w:rPr>
            </w:pPr>
            <w:r>
              <w:rPr>
                <w:noProof/>
                <w:color w:val="000000"/>
              </w:rPr>
              <w:t>5.</w:t>
            </w:r>
          </w:p>
        </w:tc>
        <w:tc>
          <w:tcPr>
            <w:tcW w:w="0" w:type="auto"/>
            <w:shd w:val="clear" w:color="auto" w:fill="auto"/>
            <w:hideMark/>
          </w:tcPr>
          <w:p w:rsidR="003E022D" w:rsidRDefault="007D19D6">
            <w:pPr>
              <w:spacing w:after="0"/>
              <w:rPr>
                <w:noProof/>
                <w:color w:val="000000"/>
              </w:rPr>
            </w:pPr>
            <w:r>
              <w:rPr>
                <w:noProof/>
                <w:color w:val="000000"/>
              </w:rPr>
              <w:t>Prasījuma reģistrācijas datums:</w:t>
            </w:r>
          </w:p>
        </w:tc>
      </w:tr>
      <w:tr w:rsidR="003E022D">
        <w:tc>
          <w:tcPr>
            <w:tcW w:w="0" w:type="auto"/>
            <w:shd w:val="clear" w:color="auto" w:fill="auto"/>
            <w:hideMark/>
          </w:tcPr>
          <w:p w:rsidR="003E022D" w:rsidRDefault="007D19D6">
            <w:pPr>
              <w:spacing w:after="0"/>
              <w:rPr>
                <w:noProof/>
                <w:color w:val="000000"/>
              </w:rPr>
            </w:pPr>
            <w:r>
              <w:rPr>
                <w:noProof/>
                <w:color w:val="000000"/>
              </w:rPr>
              <w:t>6.</w:t>
            </w:r>
          </w:p>
        </w:tc>
        <w:tc>
          <w:tcPr>
            <w:tcW w:w="0" w:type="auto"/>
            <w:shd w:val="clear" w:color="auto" w:fill="auto"/>
            <w:hideMark/>
          </w:tcPr>
          <w:p w:rsidR="003E022D" w:rsidRDefault="007D19D6">
            <w:pPr>
              <w:spacing w:after="0"/>
              <w:rPr>
                <w:noProof/>
                <w:color w:val="000000"/>
              </w:rPr>
            </w:pPr>
            <w:r>
              <w:rPr>
                <w:noProof/>
                <w:color w:val="000000"/>
              </w:rPr>
              <w:t>Datums, no kura ir iespējama piedziņa:</w:t>
            </w:r>
          </w:p>
        </w:tc>
      </w:tr>
      <w:tr w:rsidR="003E022D">
        <w:tc>
          <w:tcPr>
            <w:tcW w:w="0" w:type="auto"/>
            <w:shd w:val="clear" w:color="auto" w:fill="auto"/>
            <w:hideMark/>
          </w:tcPr>
          <w:p w:rsidR="003E022D" w:rsidRDefault="007D19D6">
            <w:pPr>
              <w:spacing w:after="0"/>
              <w:rPr>
                <w:noProof/>
                <w:color w:val="000000"/>
              </w:rPr>
            </w:pPr>
            <w:r>
              <w:rPr>
                <w:noProof/>
                <w:color w:val="000000"/>
              </w:rPr>
              <w:t>7.</w:t>
            </w:r>
          </w:p>
        </w:tc>
        <w:tc>
          <w:tcPr>
            <w:tcW w:w="0" w:type="auto"/>
            <w:shd w:val="clear" w:color="auto" w:fill="auto"/>
            <w:hideMark/>
          </w:tcPr>
          <w:p w:rsidR="003E022D" w:rsidRDefault="007D19D6">
            <w:pPr>
              <w:spacing w:after="0"/>
              <w:rPr>
                <w:noProof/>
                <w:color w:val="000000"/>
              </w:rPr>
            </w:pPr>
            <w:r>
              <w:rPr>
                <w:noProof/>
                <w:color w:val="000000"/>
              </w:rPr>
              <w:t>Attiecīgā prasījuma summa, kas vēl jāmaksā:</w:t>
            </w:r>
          </w:p>
          <w:tbl>
            <w:tblPr>
              <w:tblW w:w="5000" w:type="pct"/>
              <w:tblCellMar>
                <w:left w:w="0" w:type="dxa"/>
                <w:right w:w="0" w:type="dxa"/>
              </w:tblCellMar>
              <w:tblLook w:val="04A0" w:firstRow="1" w:lastRow="0" w:firstColumn="1" w:lastColumn="0" w:noHBand="0" w:noVBand="1"/>
            </w:tblPr>
            <w:tblGrid>
              <w:gridCol w:w="378"/>
              <w:gridCol w:w="8314"/>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pamatsumma:</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administratīvās sankcijas un soda naudas: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procenti līdz dienai, kad nosūtīts pieprasījums: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izmaksas līdz dienai, kad nosūtīts pieprasījums:</w:t>
                  </w:r>
                  <w:r>
                    <w:rPr>
                      <w:noProof/>
                      <w:color w:val="000000"/>
                    </w:rPr>
                    <w:t xml:space="preserve"> </w:t>
                  </w:r>
                </w:p>
              </w:tc>
            </w:tr>
            <w:tr w:rsidR="003E022D">
              <w:tc>
                <w:tcPr>
                  <w:tcW w:w="0" w:type="auto"/>
                  <w:shd w:val="clear" w:color="auto" w:fill="auto"/>
                </w:tcPr>
                <w:p w:rsidR="003E022D" w:rsidRDefault="003E022D">
                  <w:pPr>
                    <w:spacing w:after="0"/>
                    <w:rPr>
                      <w:noProof/>
                      <w:color w:val="000000"/>
                      <w:lang w:eastAsia="en-GB"/>
                    </w:rPr>
                  </w:pPr>
                </w:p>
              </w:tc>
              <w:tc>
                <w:tcPr>
                  <w:tcW w:w="0" w:type="auto"/>
                  <w:shd w:val="clear" w:color="auto" w:fill="auto"/>
                </w:tcPr>
                <w:p w:rsidR="003E022D" w:rsidRDefault="003E022D">
                  <w:pPr>
                    <w:spacing w:after="0"/>
                    <w:rPr>
                      <w:noProof/>
                      <w:color w:val="000000"/>
                      <w:lang w:eastAsia="en-GB"/>
                    </w:rPr>
                  </w:pP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noProof/>
                      <w:color w:val="000000"/>
                    </w:rPr>
                    <w:t>šā prasījuma kopsumma:</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68"/>
        <w:gridCol w:w="8858"/>
      </w:tblGrid>
      <w:tr w:rsidR="003E022D">
        <w:tc>
          <w:tcPr>
            <w:tcW w:w="0" w:type="auto"/>
            <w:shd w:val="clear" w:color="auto" w:fill="auto"/>
            <w:hideMark/>
          </w:tcPr>
          <w:p w:rsidR="003E022D" w:rsidRDefault="007D19D6">
            <w:pPr>
              <w:spacing w:after="0"/>
              <w:rPr>
                <w:noProof/>
                <w:color w:val="000000"/>
              </w:rPr>
            </w:pPr>
            <w:r>
              <w:rPr>
                <w:noProof/>
                <w:color w:val="000000"/>
              </w:rPr>
              <w:t>8.</w:t>
            </w:r>
          </w:p>
        </w:tc>
        <w:tc>
          <w:tcPr>
            <w:tcW w:w="0" w:type="auto"/>
            <w:shd w:val="clear" w:color="auto" w:fill="auto"/>
            <w:hideMark/>
          </w:tcPr>
          <w:p w:rsidR="003E022D" w:rsidRDefault="007D19D6">
            <w:pPr>
              <w:spacing w:after="0"/>
              <w:rPr>
                <w:noProof/>
                <w:color w:val="000000"/>
              </w:rPr>
            </w:pPr>
            <w:r>
              <w:rPr>
                <w:noProof/>
                <w:color w:val="000000"/>
              </w:rPr>
              <w:t>Sākotnējā instrumenta, kas atļauj izpildi, paziņošanas datums pieteikuma iesniedzējā valstī: (pieteikuma iesniedzējas valsts nosaukums):</w:t>
            </w:r>
          </w:p>
          <w:tbl>
            <w:tblPr>
              <w:tblW w:w="5000" w:type="pct"/>
              <w:tblCellMar>
                <w:left w:w="0" w:type="dxa"/>
                <w:right w:w="0" w:type="dxa"/>
              </w:tblCellMar>
              <w:tblLook w:val="04A0" w:firstRow="1" w:lastRow="0" w:firstColumn="1" w:lastColumn="0" w:noHBand="0" w:noVBand="1"/>
            </w:tblPr>
            <w:tblGrid>
              <w:gridCol w:w="402"/>
              <w:gridCol w:w="8456"/>
            </w:tblGrid>
            <w:tr w:rsidR="003E022D">
              <w:tc>
                <w:tcPr>
                  <w:tcW w:w="227" w:type="pct"/>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4773" w:type="pct"/>
                  <w:shd w:val="clear" w:color="auto" w:fill="auto"/>
                  <w:hideMark/>
                </w:tcPr>
                <w:p w:rsidR="003E022D" w:rsidRDefault="007D19D6">
                  <w:pPr>
                    <w:spacing w:after="0"/>
                    <w:rPr>
                      <w:noProof/>
                      <w:color w:val="000000"/>
                    </w:rPr>
                  </w:pPr>
                  <w:r>
                    <w:rPr>
                      <w:i/>
                      <w:iCs/>
                      <w:noProof/>
                      <w:color w:val="000000"/>
                    </w:rPr>
                    <w:t>Datums:</w:t>
                  </w:r>
                  <w:r>
                    <w:rPr>
                      <w:noProof/>
                      <w:color w:val="000000"/>
                    </w:rPr>
                    <w:t xml:space="preserve"> </w:t>
                  </w:r>
                </w:p>
              </w:tc>
            </w:tr>
            <w:tr w:rsidR="003E022D">
              <w:tc>
                <w:tcPr>
                  <w:tcW w:w="227" w:type="pct"/>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4773" w:type="pct"/>
                  <w:shd w:val="clear" w:color="auto" w:fill="auto"/>
                  <w:hideMark/>
                </w:tcPr>
                <w:p w:rsidR="003E022D" w:rsidRDefault="007D19D6">
                  <w:pPr>
                    <w:spacing w:after="0"/>
                    <w:rPr>
                      <w:noProof/>
                      <w:color w:val="000000"/>
                    </w:rPr>
                  </w:pPr>
                  <w:r>
                    <w:rPr>
                      <w:i/>
                      <w:iCs/>
                      <w:noProof/>
                      <w:color w:val="000000"/>
                    </w:rPr>
                    <w:t>Datums nav pieejams</w:t>
                  </w:r>
                  <w:r>
                    <w:rPr>
                      <w:noProof/>
                      <w:color w:val="000000"/>
                    </w:rPr>
                    <w:t xml:space="preserve"> </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24"/>
        <w:gridCol w:w="8702"/>
      </w:tblGrid>
      <w:tr w:rsidR="003E022D">
        <w:tc>
          <w:tcPr>
            <w:tcW w:w="0" w:type="auto"/>
            <w:shd w:val="clear" w:color="auto" w:fill="auto"/>
            <w:hideMark/>
          </w:tcPr>
          <w:p w:rsidR="003E022D" w:rsidRDefault="007D19D6">
            <w:pPr>
              <w:spacing w:after="0"/>
              <w:rPr>
                <w:noProof/>
                <w:color w:val="000000"/>
              </w:rPr>
            </w:pPr>
            <w:r>
              <w:rPr>
                <w:noProof/>
                <w:color w:val="000000"/>
              </w:rPr>
              <w:t>9.</w:t>
            </w:r>
          </w:p>
        </w:tc>
        <w:tc>
          <w:tcPr>
            <w:tcW w:w="0" w:type="auto"/>
            <w:shd w:val="clear" w:color="auto" w:fill="auto"/>
            <w:hideMark/>
          </w:tcPr>
          <w:p w:rsidR="003E022D" w:rsidRDefault="007D19D6">
            <w:pPr>
              <w:spacing w:after="0"/>
              <w:rPr>
                <w:noProof/>
                <w:color w:val="000000"/>
              </w:rPr>
            </w:pPr>
            <w:r>
              <w:rPr>
                <w:noProof/>
                <w:color w:val="000000"/>
              </w:rPr>
              <w:t>Birojs, kas atbild par prasījuma novērtējumu:</w:t>
            </w:r>
          </w:p>
          <w:tbl>
            <w:tblPr>
              <w:tblW w:w="5000" w:type="pct"/>
              <w:tblCellMar>
                <w:left w:w="0" w:type="dxa"/>
                <w:right w:w="0" w:type="dxa"/>
              </w:tblCellMar>
              <w:tblLook w:val="04A0" w:firstRow="1" w:lastRow="0" w:firstColumn="1" w:lastColumn="0" w:noHBand="0" w:noVBand="1"/>
            </w:tblPr>
            <w:tblGrid>
              <w:gridCol w:w="386"/>
              <w:gridCol w:w="8316"/>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Nosaukums:</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Adrese:</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Cita kontaktinformācija:</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Valoda(-as), kurā(-ās) var sazināties ar šo biroju:</w:t>
                  </w:r>
                  <w:r>
                    <w:rPr>
                      <w:noProof/>
                      <w:color w:val="000000"/>
                    </w:rPr>
                    <w:t xml:space="preserve"> </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94"/>
        <w:gridCol w:w="8732"/>
      </w:tblGrid>
      <w:tr w:rsidR="003E022D">
        <w:tc>
          <w:tcPr>
            <w:tcW w:w="0" w:type="auto"/>
            <w:shd w:val="clear" w:color="auto" w:fill="auto"/>
            <w:hideMark/>
          </w:tcPr>
          <w:p w:rsidR="003E022D" w:rsidRDefault="007D19D6">
            <w:pPr>
              <w:spacing w:after="0"/>
              <w:rPr>
                <w:noProof/>
                <w:color w:val="000000"/>
              </w:rPr>
            </w:pPr>
            <w:r>
              <w:rPr>
                <w:noProof/>
                <w:color w:val="000000"/>
              </w:rPr>
              <w:t>10.</w:t>
            </w:r>
          </w:p>
        </w:tc>
        <w:tc>
          <w:tcPr>
            <w:tcW w:w="0" w:type="auto"/>
            <w:shd w:val="clear" w:color="auto" w:fill="auto"/>
            <w:hideMark/>
          </w:tcPr>
          <w:p w:rsidR="003E022D" w:rsidRDefault="007D19D6">
            <w:pPr>
              <w:spacing w:after="0"/>
              <w:rPr>
                <w:noProof/>
                <w:color w:val="000000"/>
              </w:rPr>
            </w:pPr>
            <w:r>
              <w:rPr>
                <w:noProof/>
                <w:color w:val="000000"/>
              </w:rPr>
              <w:t>Sīkāku informāciju par prasījumu vai maksājuma saistību apstrīdēšanas iespējām var saņemt:</w:t>
            </w:r>
          </w:p>
          <w:tbl>
            <w:tblPr>
              <w:tblW w:w="5000" w:type="pct"/>
              <w:tblCellMar>
                <w:left w:w="0" w:type="dxa"/>
                <w:right w:w="0" w:type="dxa"/>
              </w:tblCellMar>
              <w:tblLook w:val="04A0" w:firstRow="1" w:lastRow="0" w:firstColumn="1" w:lastColumn="0" w:noHBand="0" w:noVBand="1"/>
            </w:tblPr>
            <w:tblGrid>
              <w:gridCol w:w="228"/>
              <w:gridCol w:w="8504"/>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iepriekš norādītajā birojā</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turpmāk norādītajā birojā, kas atbild par </w:t>
                  </w:r>
                  <w:r>
                    <w:rPr>
                      <w:i/>
                      <w:iCs/>
                      <w:noProof/>
                      <w:color w:val="000000"/>
                    </w:rPr>
                    <w:t>vienoto instrumentu, kas atļauj izpildi:</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127"/>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Nosaukums: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Adrese:</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Cita kontaktinformācija:</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Valoda(-as), kurā(-ās) var sazināties ar šo biroju:</w:t>
                        </w:r>
                        <w:r>
                          <w:rPr>
                            <w:noProof/>
                            <w:color w:val="000000"/>
                          </w:rPr>
                          <w:t xml:space="preserve"> </w:t>
                        </w:r>
                      </w:p>
                    </w:tc>
                  </w:tr>
                </w:tbl>
                <w:p w:rsidR="003E022D" w:rsidRDefault="003E022D">
                  <w:pPr>
                    <w:spacing w:after="0"/>
                    <w:rPr>
                      <w:noProof/>
                      <w:color w:val="000000"/>
                      <w:lang w:eastAsia="en-GB"/>
                    </w:rPr>
                  </w:pPr>
                </w:p>
              </w:tc>
            </w:tr>
          </w:tbl>
          <w:p w:rsidR="003E022D" w:rsidRDefault="003E022D">
            <w:pPr>
              <w:spacing w:after="0"/>
              <w:rPr>
                <w:noProof/>
                <w:color w:val="000000"/>
                <w:lang w:eastAsia="en-GB"/>
              </w:rPr>
            </w:pPr>
          </w:p>
        </w:tc>
      </w:tr>
    </w:tbl>
    <w:p w:rsidR="003E022D" w:rsidRDefault="007D19D6">
      <w:pPr>
        <w:shd w:val="clear" w:color="auto" w:fill="FFFFFF"/>
        <w:spacing w:before="240"/>
        <w:rPr>
          <w:b/>
          <w:bCs/>
          <w:noProof/>
          <w:color w:val="000000"/>
        </w:rPr>
      </w:pPr>
      <w:r>
        <w:rPr>
          <w:b/>
          <w:bCs/>
          <w:noProof/>
          <w:color w:val="000000"/>
        </w:rPr>
        <w:t xml:space="preserve">Tās personas(-u) identifikācijas dati, uz ko attiecas valsts instruments(-i), kas atļauj izpildi </w:t>
      </w:r>
    </w:p>
    <w:tbl>
      <w:tblPr>
        <w:tblW w:w="5000" w:type="pct"/>
        <w:tblCellMar>
          <w:left w:w="0" w:type="dxa"/>
          <w:right w:w="0" w:type="dxa"/>
        </w:tblCellMar>
        <w:tblLook w:val="04A0" w:firstRow="1" w:lastRow="0" w:firstColumn="1" w:lastColumn="0" w:noHBand="0" w:noVBand="1"/>
      </w:tblPr>
      <w:tblGrid>
        <w:gridCol w:w="173"/>
        <w:gridCol w:w="8853"/>
      </w:tblGrid>
      <w:tr w:rsidR="003E022D">
        <w:tc>
          <w:tcPr>
            <w:tcW w:w="0" w:type="auto"/>
            <w:shd w:val="clear" w:color="auto" w:fill="auto"/>
            <w:hideMark/>
          </w:tcPr>
          <w:p w:rsidR="003E022D" w:rsidRDefault="007D19D6">
            <w:pPr>
              <w:spacing w:after="0"/>
              <w:rPr>
                <w:noProof/>
                <w:color w:val="000000"/>
              </w:rPr>
            </w:pPr>
            <w:r>
              <w:rPr>
                <w:noProof/>
                <w:color w:val="000000"/>
              </w:rPr>
              <w:t>a)</w:t>
            </w:r>
          </w:p>
        </w:tc>
        <w:tc>
          <w:tcPr>
            <w:tcW w:w="0" w:type="auto"/>
            <w:shd w:val="clear" w:color="auto" w:fill="auto"/>
            <w:hideMark/>
          </w:tcPr>
          <w:p w:rsidR="003E022D" w:rsidRDefault="007D19D6">
            <w:pPr>
              <w:spacing w:after="0"/>
              <w:rPr>
                <w:noProof/>
                <w:color w:val="000000"/>
              </w:rPr>
            </w:pPr>
            <w:r>
              <w:rPr>
                <w:noProof/>
                <w:color w:val="000000"/>
              </w:rPr>
              <w:t>Turpmāk minētā persona ir norādīta valsts instrumentā(-os), kas atļauj izpildi</w:t>
            </w:r>
          </w:p>
          <w:p w:rsidR="003E022D" w:rsidRDefault="007D19D6">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fiziska persona</w:t>
            </w:r>
            <w:r>
              <w:rPr>
                <w:noProof/>
                <w:color w:val="000000"/>
              </w:rPr>
              <w:t xml:space="preserve"> </w:t>
            </w:r>
          </w:p>
          <w:p w:rsidR="003E022D" w:rsidRDefault="007D19D6">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cits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478"/>
              <w:gridCol w:w="8375"/>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Nosaukums / vārds, uzvārds</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Adrese (zināma vai pieņēmums)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Citi būtiski adresāta identifikācijas dati:</w:t>
                  </w:r>
                  <w:r>
                    <w:rPr>
                      <w:noProof/>
                      <w:color w:val="000000"/>
                    </w:rPr>
                    <w:t xml:space="preserve"> </w:t>
                  </w:r>
                </w:p>
              </w:tc>
            </w:tr>
          </w:tbl>
          <w:p w:rsidR="003E022D" w:rsidRDefault="007D19D6">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Likumīgais pārstāvis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478"/>
              <w:gridCol w:w="8375"/>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Nosaukums</w:t>
                  </w:r>
                  <w:r>
                    <w:rPr>
                      <w:noProof/>
                      <w:color w:val="000000"/>
                    </w:rPr>
                    <w:t xml:space="preserve"> / vārds, uzvārds</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Adrese (zināma vai pieņēmums)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Citi būtiski adresāta identifikācijas dati:</w:t>
                  </w:r>
                  <w:r>
                    <w:rPr>
                      <w:noProof/>
                      <w:color w:val="000000"/>
                    </w:rPr>
                    <w:t xml:space="preserve"> </w:t>
                  </w:r>
                </w:p>
              </w:tc>
            </w:tr>
          </w:tbl>
          <w:p w:rsidR="003E022D" w:rsidRDefault="007D19D6">
            <w:pPr>
              <w:spacing w:after="0"/>
              <w:rPr>
                <w:noProof/>
                <w:color w:val="000000"/>
              </w:rPr>
            </w:pPr>
            <w:r>
              <w:rPr>
                <w:i/>
                <w:iCs/>
                <w:noProof/>
                <w:color w:val="000000"/>
              </w:rPr>
              <w:t>Saistību iemesls: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63"/>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galvenais parādnieks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solidārais parādnieks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persona, kura nav (solidārais) parādnieks un kura ir atbildīga par nodokļu, nodevu </w:t>
                  </w:r>
                  <w:r>
                    <w:rPr>
                      <w:i/>
                      <w:iCs/>
                      <w:noProof/>
                      <w:color w:val="000000"/>
                    </w:rPr>
                    <w:t>un citu pasākumu vai citu prasījumu saistībā ar šiem nodokļiem, nodevām un citiem pasākumiem izpildi saskaņā ar spēkā esošajiem pieteikuma iesniedzējas valsts tiesību aktiem</w:t>
                  </w:r>
                  <w:r>
                    <w:rPr>
                      <w:noProof/>
                      <w:color w:val="000000"/>
                    </w:rPr>
                    <w:t xml:space="preserve"> </w:t>
                  </w:r>
                </w:p>
              </w:tc>
            </w:tr>
          </w:tbl>
          <w:p w:rsidR="003E022D" w:rsidRDefault="003E022D">
            <w:pPr>
              <w:spacing w:after="0"/>
              <w:rPr>
                <w:noProof/>
                <w:color w:val="000000"/>
                <w:lang w:eastAsia="en-GB"/>
              </w:rPr>
            </w:pP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3"/>
        <w:gridCol w:w="8843"/>
      </w:tblGrid>
      <w:tr w:rsidR="003E022D">
        <w:tc>
          <w:tcPr>
            <w:tcW w:w="0" w:type="auto"/>
            <w:shd w:val="clear" w:color="auto" w:fill="auto"/>
            <w:hideMark/>
          </w:tcPr>
          <w:p w:rsidR="003E022D" w:rsidRDefault="007D19D6">
            <w:pPr>
              <w:spacing w:after="0"/>
              <w:rPr>
                <w:noProof/>
                <w:color w:val="000000"/>
              </w:rPr>
            </w:pPr>
            <w:r>
              <w:rPr>
                <w:noProof/>
                <w:color w:val="000000"/>
              </w:rPr>
              <w:t>b)</w:t>
            </w:r>
          </w:p>
        </w:tc>
        <w:tc>
          <w:tcPr>
            <w:tcW w:w="0" w:type="auto"/>
            <w:shd w:val="clear" w:color="auto" w:fill="auto"/>
            <w:hideMark/>
          </w:tcPr>
          <w:p w:rsidR="003E022D" w:rsidRDefault="007D19D6">
            <w:pPr>
              <w:spacing w:after="0"/>
              <w:rPr>
                <w:noProof/>
                <w:color w:val="000000"/>
              </w:rPr>
            </w:pPr>
            <w:r>
              <w:rPr>
                <w:i/>
                <w:iCs/>
                <w:noProof/>
                <w:color w:val="000000"/>
              </w:rPr>
              <w:t>Turpmāk minētā(-ās) persona(-as) ir (arī) norādīta(-as) valsts instrumentā</w:t>
            </w:r>
            <w:r>
              <w:rPr>
                <w:i/>
                <w:iCs/>
                <w:noProof/>
                <w:color w:val="000000"/>
              </w:rPr>
              <w:t>(-os), kas atļauj izpildi:</w:t>
            </w:r>
            <w:r>
              <w:rPr>
                <w:noProof/>
                <w:color w:val="000000"/>
              </w:rPr>
              <w:t xml:space="preserve"> </w:t>
            </w:r>
          </w:p>
          <w:p w:rsidR="003E022D" w:rsidRDefault="007D19D6">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fiziska persona</w:t>
            </w:r>
            <w:r>
              <w:rPr>
                <w:noProof/>
                <w:color w:val="000000"/>
              </w:rPr>
              <w:t xml:space="preserve"> </w:t>
            </w:r>
          </w:p>
          <w:p w:rsidR="003E022D" w:rsidRDefault="007D19D6">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cits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466"/>
            </w:tblGrid>
            <w:tr w:rsidR="003E022D">
              <w:tc>
                <w:tcPr>
                  <w:tcW w:w="213" w:type="pct"/>
                  <w:shd w:val="clear" w:color="auto" w:fill="auto"/>
                  <w:hideMark/>
                </w:tcPr>
                <w:p w:rsidR="003E022D" w:rsidRDefault="007D19D6">
                  <w:pPr>
                    <w:spacing w:after="0"/>
                    <w:rPr>
                      <w:noProof/>
                      <w:color w:val="000000"/>
                    </w:rPr>
                  </w:pPr>
                  <w:r>
                    <w:rPr>
                      <w:noProof/>
                      <w:color w:val="000000"/>
                    </w:rPr>
                    <w:t>—</w:t>
                  </w:r>
                </w:p>
              </w:tc>
              <w:tc>
                <w:tcPr>
                  <w:tcW w:w="4787" w:type="pct"/>
                  <w:shd w:val="clear" w:color="auto" w:fill="auto"/>
                  <w:hideMark/>
                </w:tcPr>
                <w:p w:rsidR="003E022D" w:rsidRDefault="007D19D6">
                  <w:pPr>
                    <w:spacing w:after="0"/>
                    <w:rPr>
                      <w:noProof/>
                      <w:color w:val="000000"/>
                    </w:rPr>
                  </w:pPr>
                  <w:r>
                    <w:rPr>
                      <w:i/>
                      <w:iCs/>
                      <w:noProof/>
                      <w:color w:val="000000"/>
                    </w:rPr>
                    <w:t>Nosaukums / vārds, uzvārds:</w:t>
                  </w:r>
                  <w:r>
                    <w:rPr>
                      <w:noProof/>
                      <w:color w:val="000000"/>
                    </w:rPr>
                    <w:t xml:space="preserve"> </w:t>
                  </w:r>
                </w:p>
              </w:tc>
            </w:tr>
            <w:tr w:rsidR="003E022D">
              <w:tc>
                <w:tcPr>
                  <w:tcW w:w="213" w:type="pct"/>
                  <w:shd w:val="clear" w:color="auto" w:fill="auto"/>
                  <w:hideMark/>
                </w:tcPr>
                <w:p w:rsidR="003E022D" w:rsidRDefault="007D19D6">
                  <w:pPr>
                    <w:spacing w:after="0"/>
                    <w:rPr>
                      <w:noProof/>
                      <w:color w:val="000000"/>
                    </w:rPr>
                  </w:pPr>
                  <w:r>
                    <w:rPr>
                      <w:noProof/>
                      <w:color w:val="000000"/>
                    </w:rPr>
                    <w:t>—</w:t>
                  </w:r>
                </w:p>
              </w:tc>
              <w:tc>
                <w:tcPr>
                  <w:tcW w:w="4787" w:type="pct"/>
                  <w:shd w:val="clear" w:color="auto" w:fill="auto"/>
                  <w:hideMark/>
                </w:tcPr>
                <w:p w:rsidR="003E022D" w:rsidRDefault="007D19D6">
                  <w:pPr>
                    <w:spacing w:after="0"/>
                    <w:rPr>
                      <w:noProof/>
                      <w:color w:val="000000"/>
                    </w:rPr>
                  </w:pPr>
                  <w:r>
                    <w:rPr>
                      <w:i/>
                      <w:iCs/>
                      <w:noProof/>
                      <w:color w:val="000000"/>
                    </w:rPr>
                    <w:t>Adrese (zināma vai pieņēmums):</w:t>
                  </w:r>
                  <w:r>
                    <w:rPr>
                      <w:noProof/>
                      <w:color w:val="000000"/>
                    </w:rPr>
                    <w:t xml:space="preserve"> </w:t>
                  </w:r>
                </w:p>
              </w:tc>
            </w:tr>
          </w:tbl>
          <w:p w:rsidR="003E022D" w:rsidRDefault="003E022D">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77"/>
              <w:gridCol w:w="8366"/>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Citi būtiski adresāta identifikācijas dati:</w:t>
                  </w:r>
                  <w:r>
                    <w:rPr>
                      <w:noProof/>
                      <w:color w:val="000000"/>
                    </w:rPr>
                    <w:t xml:space="preserve"> </w:t>
                  </w:r>
                </w:p>
              </w:tc>
            </w:tr>
          </w:tbl>
          <w:p w:rsidR="003E022D" w:rsidRDefault="007D19D6">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Likumīgais pārstāvis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477"/>
              <w:gridCol w:w="8366"/>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Nosaukums / vārds, uzvārds: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Adrese (zināma vai </w:t>
                  </w:r>
                  <w:r>
                    <w:rPr>
                      <w:i/>
                      <w:iCs/>
                      <w:noProof/>
                      <w:color w:val="000000"/>
                    </w:rPr>
                    <w:t>pieņēmums):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Citi būtiski adresāta identifikācijas dati:</w:t>
                  </w:r>
                  <w:r>
                    <w:rPr>
                      <w:noProof/>
                      <w:color w:val="000000"/>
                    </w:rPr>
                    <w:t xml:space="preserve"> </w:t>
                  </w:r>
                </w:p>
              </w:tc>
            </w:tr>
          </w:tbl>
          <w:p w:rsidR="003E022D" w:rsidRDefault="007D19D6">
            <w:pPr>
              <w:spacing w:after="0"/>
              <w:rPr>
                <w:noProof/>
                <w:color w:val="000000"/>
              </w:rPr>
            </w:pPr>
            <w:r>
              <w:rPr>
                <w:i/>
                <w:iCs/>
                <w:noProof/>
                <w:color w:val="000000"/>
              </w:rPr>
              <w:t>Saistību iemesls: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53"/>
            </w:tblGrid>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galvenais parādnieks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solidārais parādnieks</w:t>
                  </w:r>
                  <w:r>
                    <w:rPr>
                      <w:noProof/>
                      <w:color w:val="000000"/>
                    </w:rPr>
                    <w:t xml:space="preserve"> </w:t>
                  </w:r>
                </w:p>
              </w:tc>
            </w:tr>
            <w:tr w:rsidR="003E022D">
              <w:tc>
                <w:tcPr>
                  <w:tcW w:w="0" w:type="auto"/>
                  <w:shd w:val="clear" w:color="auto" w:fill="auto"/>
                  <w:hideMark/>
                </w:tcPr>
                <w:p w:rsidR="003E022D" w:rsidRDefault="007D19D6">
                  <w:pPr>
                    <w:spacing w:after="0"/>
                    <w:rPr>
                      <w:noProof/>
                      <w:color w:val="000000"/>
                    </w:rPr>
                  </w:pPr>
                  <w:r>
                    <w:rPr>
                      <w:rFonts w:ascii="Segoe UI Symbol" w:hAnsi="Segoe UI Symbol"/>
                      <w:noProof/>
                      <w:color w:val="000000"/>
                    </w:rPr>
                    <w:t>☐</w:t>
                  </w:r>
                </w:p>
              </w:tc>
              <w:tc>
                <w:tcPr>
                  <w:tcW w:w="0" w:type="auto"/>
                  <w:shd w:val="clear" w:color="auto" w:fill="auto"/>
                  <w:hideMark/>
                </w:tcPr>
                <w:p w:rsidR="003E022D" w:rsidRDefault="007D19D6">
                  <w:pPr>
                    <w:spacing w:after="0"/>
                    <w:rPr>
                      <w:noProof/>
                      <w:color w:val="000000"/>
                    </w:rPr>
                  </w:pPr>
                  <w:r>
                    <w:rPr>
                      <w:i/>
                      <w:iCs/>
                      <w:noProof/>
                      <w:color w:val="000000"/>
                    </w:rPr>
                    <w:t xml:space="preserve">persona, kura nav (solidārais) parādnieks un kura ir atbildīga par nodokļu, nodevu un citu pasākumu vai citu prasījumu </w:t>
                  </w:r>
                  <w:r>
                    <w:rPr>
                      <w:i/>
                      <w:iCs/>
                      <w:noProof/>
                      <w:color w:val="000000"/>
                    </w:rPr>
                    <w:t>saistībā ar šiem nodokļiem, nodevām un citiem pasākumiem izpildi saskaņā ar spēkā esošajiem pieteikuma iesniedzējas valsts tiesību aktiem</w:t>
                  </w:r>
                  <w:r>
                    <w:rPr>
                      <w:noProof/>
                      <w:color w:val="000000"/>
                    </w:rPr>
                    <w:t xml:space="preserve"> </w:t>
                  </w:r>
                </w:p>
              </w:tc>
            </w:tr>
          </w:tbl>
          <w:p w:rsidR="003E022D" w:rsidRDefault="003E022D">
            <w:pPr>
              <w:spacing w:after="0"/>
              <w:rPr>
                <w:noProof/>
                <w:color w:val="000000"/>
                <w:lang w:eastAsia="en-GB"/>
              </w:rPr>
            </w:pPr>
          </w:p>
        </w:tc>
      </w:tr>
    </w:tbl>
    <w:p w:rsidR="003E022D" w:rsidRDefault="007D19D6">
      <w:pPr>
        <w:shd w:val="clear" w:color="auto" w:fill="FFFFFF"/>
        <w:spacing w:after="0"/>
        <w:rPr>
          <w:noProof/>
          <w:color w:val="000000"/>
        </w:rPr>
      </w:pPr>
      <w:r>
        <w:rPr>
          <w:b/>
          <w:bCs/>
          <w:i/>
          <w:iCs/>
          <w:noProof/>
          <w:color w:val="000000"/>
        </w:rPr>
        <w:t>Cita informācija</w:t>
      </w:r>
      <w:r>
        <w:rPr>
          <w:b/>
          <w:bCs/>
          <w:noProof/>
          <w:color w:val="000000"/>
        </w:rPr>
        <w:t xml:space="preserve"> </w:t>
      </w:r>
    </w:p>
    <w:p w:rsidR="003E022D" w:rsidRDefault="007D19D6">
      <w:pPr>
        <w:shd w:val="clear" w:color="auto" w:fill="FFFFFF"/>
        <w:spacing w:before="240"/>
        <w:rPr>
          <w:b/>
          <w:bCs/>
          <w:noProof/>
          <w:color w:val="000000"/>
        </w:rPr>
      </w:pPr>
      <w:r>
        <w:rPr>
          <w:b/>
          <w:bCs/>
          <w:noProof/>
          <w:color w:val="000000"/>
        </w:rPr>
        <w:t xml:space="preserve">Prasījuma(-u) kopsumma </w:t>
      </w:r>
    </w:p>
    <w:tbl>
      <w:tblPr>
        <w:tblW w:w="5000" w:type="pct"/>
        <w:tblCellMar>
          <w:left w:w="0" w:type="dxa"/>
          <w:right w:w="0" w:type="dxa"/>
        </w:tblCellMar>
        <w:tblLook w:val="04A0" w:firstRow="1" w:lastRow="0" w:firstColumn="1" w:lastColumn="0" w:noHBand="0" w:noVBand="1"/>
      </w:tblPr>
      <w:tblGrid>
        <w:gridCol w:w="507"/>
        <w:gridCol w:w="8519"/>
      </w:tblGrid>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pieteikuma iesniedzējas valsts valūtā:</w:t>
            </w:r>
          </w:p>
        </w:tc>
      </w:tr>
      <w:tr w:rsidR="003E022D">
        <w:tc>
          <w:tcPr>
            <w:tcW w:w="0" w:type="auto"/>
            <w:shd w:val="clear" w:color="auto" w:fill="auto"/>
            <w:hideMark/>
          </w:tcPr>
          <w:p w:rsidR="003E022D" w:rsidRDefault="007D19D6">
            <w:pPr>
              <w:spacing w:after="0"/>
              <w:rPr>
                <w:noProof/>
                <w:color w:val="000000"/>
              </w:rPr>
            </w:pPr>
            <w:r>
              <w:rPr>
                <w:noProof/>
                <w:color w:val="000000"/>
              </w:rPr>
              <w:t>—</w:t>
            </w:r>
          </w:p>
        </w:tc>
        <w:tc>
          <w:tcPr>
            <w:tcW w:w="0" w:type="auto"/>
            <w:shd w:val="clear" w:color="auto" w:fill="auto"/>
            <w:hideMark/>
          </w:tcPr>
          <w:p w:rsidR="003E022D" w:rsidRDefault="007D19D6">
            <w:pPr>
              <w:spacing w:after="0"/>
              <w:rPr>
                <w:noProof/>
                <w:color w:val="000000"/>
              </w:rPr>
            </w:pPr>
            <w:r>
              <w:rPr>
                <w:noProof/>
                <w:color w:val="000000"/>
              </w:rPr>
              <w:t xml:space="preserve">pieprasījuma saņēmējas </w:t>
            </w:r>
            <w:r>
              <w:rPr>
                <w:noProof/>
                <w:color w:val="000000"/>
              </w:rPr>
              <w:t>valsts valūtā:</w:t>
            </w:r>
          </w:p>
        </w:tc>
      </w:tr>
    </w:tbl>
    <w:p w:rsidR="003E022D" w:rsidRDefault="003E022D">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513"/>
        <w:gridCol w:w="4513"/>
      </w:tblGrid>
      <w:tr w:rsidR="003E022D">
        <w:tc>
          <w:tcPr>
            <w:tcW w:w="0" w:type="auto"/>
            <w:shd w:val="clear" w:color="auto" w:fill="auto"/>
          </w:tcPr>
          <w:p w:rsidR="003E022D" w:rsidRDefault="003E022D">
            <w:pPr>
              <w:spacing w:after="0"/>
              <w:rPr>
                <w:noProof/>
                <w:color w:val="000000"/>
                <w:lang w:eastAsia="en-GB"/>
              </w:rPr>
            </w:pPr>
          </w:p>
        </w:tc>
        <w:tc>
          <w:tcPr>
            <w:tcW w:w="0" w:type="auto"/>
            <w:shd w:val="clear" w:color="auto" w:fill="auto"/>
          </w:tcPr>
          <w:p w:rsidR="003E022D" w:rsidRDefault="003E022D">
            <w:pPr>
              <w:spacing w:after="0"/>
              <w:rPr>
                <w:noProof/>
                <w:color w:val="000000"/>
                <w:lang w:eastAsia="en-GB"/>
              </w:rPr>
            </w:pPr>
          </w:p>
        </w:tc>
      </w:tr>
    </w:tbl>
    <w:p w:rsidR="003E022D" w:rsidRDefault="007D19D6">
      <w:pPr>
        <w:shd w:val="clear" w:color="auto" w:fill="FFFFFF"/>
        <w:spacing w:before="240" w:after="60"/>
        <w:rPr>
          <w:noProof/>
          <w:color w:val="000000"/>
        </w:rPr>
      </w:pPr>
      <w:r>
        <w:rPr>
          <w:noProof/>
          <w:color w:val="000000"/>
        </w:rPr>
        <w:pict>
          <v:rect id="_x0000_i1031" alt="" style="width:90.25pt;height:.05pt;mso-width-percent:0;mso-height-percent:0;mso-width-percent:0;mso-height-percent:0" o:hrpct="200" o:hrstd="t" o:hrnoshade="t" o:hr="t" fillcolor="black" stroked="f"/>
        </w:pict>
      </w:r>
    </w:p>
    <w:p w:rsidR="003E022D" w:rsidRDefault="007D19D6">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Kursīvā rakstītie ir izvēles elementi.</w:t>
      </w:r>
    </w:p>
    <w:p w:rsidR="003E022D" w:rsidRDefault="003E022D">
      <w:pPr>
        <w:rPr>
          <w:noProof/>
        </w:rPr>
      </w:pPr>
    </w:p>
    <w:p w:rsidR="003E022D" w:rsidRDefault="003E022D">
      <w:pPr>
        <w:ind w:hanging="284"/>
        <w:rPr>
          <w:noProof/>
          <w:color w:val="FF0000"/>
        </w:rPr>
      </w:pPr>
    </w:p>
    <w:p w:rsidR="003E022D" w:rsidRDefault="007D19D6">
      <w:pPr>
        <w:rPr>
          <w:noProof/>
          <w:color w:val="FF0000"/>
        </w:rPr>
      </w:pPr>
      <w:r>
        <w:rPr>
          <w:noProof/>
          <w:color w:val="000000"/>
        </w:rPr>
        <w:pict>
          <v:rect id="_x0000_i1032" alt="" style="width:45.15pt;height:.05pt;mso-width-percent:0;mso-height-percent:0;mso-width-percent:0;mso-height-percent:0" o:hrpct="100" o:hralign="center" o:hrstd="t" o:hrnoshade="t" o:hr="t" fillcolor="black" stroked="f"/>
        </w:pict>
      </w:r>
    </w:p>
    <w:p w:rsidR="003E022D" w:rsidRDefault="003E022D">
      <w:pPr>
        <w:ind w:hanging="284"/>
        <w:rPr>
          <w:noProof/>
        </w:rPr>
      </w:pPr>
    </w:p>
    <w:p w:rsidR="003E022D" w:rsidRDefault="003E022D">
      <w:pPr>
        <w:pStyle w:val="Text1"/>
        <w:rPr>
          <w:noProof/>
          <w:lang w:val="en"/>
        </w:rPr>
      </w:pPr>
    </w:p>
    <w:p w:rsidR="003E022D" w:rsidRDefault="003E022D">
      <w:pPr>
        <w:pStyle w:val="Text1"/>
        <w:rPr>
          <w:noProof/>
          <w:lang w:val="en"/>
        </w:rPr>
      </w:pPr>
    </w:p>
    <w:p w:rsidR="003E022D" w:rsidRDefault="007D19D6">
      <w:pPr>
        <w:rPr>
          <w:noProof/>
        </w:rPr>
      </w:pPr>
      <w:r>
        <w:rPr>
          <w:noProof/>
        </w:rPr>
        <w:br w:type="page"/>
      </w:r>
    </w:p>
    <w:p w:rsidR="003E022D" w:rsidRDefault="007D19D6">
      <w:pPr>
        <w:pStyle w:val="Article"/>
        <w:rPr>
          <w:noProof/>
        </w:rPr>
      </w:pPr>
      <w:r>
        <w:rPr>
          <w:noProof/>
        </w:rPr>
        <w:t>C veidlapas paraugs – informācijas pieprasījums</w:t>
      </w:r>
    </w:p>
    <w:p w:rsidR="003E022D" w:rsidRDefault="007D19D6">
      <w:pPr>
        <w:pStyle w:val="Header"/>
        <w:pBdr>
          <w:top w:val="single" w:sz="4" w:space="1" w:color="auto"/>
          <w:left w:val="single" w:sz="4" w:space="4" w:color="auto"/>
          <w:bottom w:val="single" w:sz="4" w:space="1" w:color="auto"/>
          <w:right w:val="single" w:sz="4" w:space="4" w:color="auto"/>
        </w:pBdr>
        <w:spacing w:after="480"/>
        <w:rPr>
          <w:noProof/>
          <w:sz w:val="20"/>
          <w:szCs w:val="20"/>
        </w:rPr>
      </w:pPr>
      <w:r>
        <w:rPr>
          <w:b/>
          <w:smallCaps/>
          <w:noProof/>
          <w:sz w:val="20"/>
          <w:szCs w:val="20"/>
        </w:rPr>
        <w:t>Informācijas pieprasījums</w:t>
      </w:r>
      <w:r>
        <w:rPr>
          <w:noProof/>
        </w:rPr>
        <w:t xml:space="preserve"> </w:t>
      </w:r>
      <w:r>
        <w:rPr>
          <w:noProof/>
        </w:rPr>
        <w:br/>
        <w:t xml:space="preserve"> </w:t>
      </w:r>
      <w:r>
        <w:rPr>
          <w:noProof/>
        </w:rPr>
        <w:br/>
      </w:r>
      <w:r>
        <w:rPr>
          <w:noProof/>
          <w:sz w:val="20"/>
          <w:szCs w:val="20"/>
        </w:rPr>
        <w:t xml:space="preserve">Pamatots ar 20. pantu </w:t>
      </w:r>
      <w:r>
        <w:rPr>
          <w:noProof/>
          <w:color w:val="000000"/>
          <w:sz w:val="20"/>
          <w:szCs w:val="20"/>
        </w:rPr>
        <w:t xml:space="preserve">Eiropas Savienības un Apvienotās Karalistes </w:t>
      </w:r>
      <w:r>
        <w:rPr>
          <w:iCs/>
          <w:noProof/>
          <w:sz w:val="20"/>
          <w:szCs w:val="20"/>
        </w:rPr>
        <w:t>Protokolā par administratīvo sadarbību</w:t>
      </w:r>
      <w:r>
        <w:rPr>
          <w:iCs/>
          <w:noProof/>
          <w:sz w:val="20"/>
          <w:szCs w:val="20"/>
        </w:rPr>
        <w:t xml:space="preserve"> un krāpšanas apkarošanu pievienotās vērtības nodokļa jomā un par savstarpēju palīdzību prasījumu piedziņā saistībā ar nodokļiem un nodevām</w:t>
      </w:r>
      <w:r>
        <w:rPr>
          <w:noProof/>
        </w:rPr>
        <w:t xml:space="preserve"> </w:t>
      </w:r>
      <w:r>
        <w:rPr>
          <w:noProof/>
        </w:rPr>
        <w:br/>
      </w:r>
      <w:r>
        <w:rPr>
          <w:b/>
          <w:noProof/>
          <w:sz w:val="20"/>
          <w:szCs w:val="20"/>
        </w:rPr>
        <w:t>Atsauce: AA_RA_aaaaaaaaaaa_rrrrrrrrrrrr_20GGMMDD_xxxxxxx_RI</w:t>
      </w:r>
    </w:p>
    <w:p w:rsidR="003E022D" w:rsidRDefault="007D19D6">
      <w:pPr>
        <w:rPr>
          <w:noProof/>
          <w:sz w:val="18"/>
          <w:szCs w:val="18"/>
        </w:rPr>
      </w:pPr>
      <w:r>
        <w:rPr>
          <w:noProof/>
          <w:sz w:val="18"/>
          <w:szCs w:val="18"/>
        </w:rPr>
        <w:t>Prasījuma(-u) būtība:</w:t>
      </w:r>
    </w:p>
    <w:p w:rsidR="003E022D" w:rsidRDefault="003E022D">
      <w:pPr>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069"/>
        <w:gridCol w:w="4256"/>
      </w:tblGrid>
      <w:tr w:rsidR="003E022D">
        <w:trPr>
          <w:trHeight w:val="251"/>
        </w:trPr>
        <w:tc>
          <w:tcPr>
            <w:tcW w:w="9480" w:type="dxa"/>
            <w:gridSpan w:val="3"/>
          </w:tcPr>
          <w:p w:rsidR="003E022D" w:rsidRDefault="007D19D6">
            <w:pPr>
              <w:ind w:left="852"/>
              <w:rPr>
                <w:b/>
                <w:smallCaps/>
                <w:noProof/>
                <w:sz w:val="20"/>
              </w:rPr>
            </w:pPr>
            <w:r>
              <w:rPr>
                <w:b/>
                <w:smallCaps/>
                <w:noProof/>
                <w:sz w:val="20"/>
              </w:rPr>
              <w:t xml:space="preserve">1. Pieteikuma iesniedzējas </w:t>
            </w:r>
            <w:r>
              <w:rPr>
                <w:b/>
                <w:smallCaps/>
                <w:noProof/>
                <w:sz w:val="20"/>
              </w:rPr>
              <w:t>iestādes valsts</w:t>
            </w:r>
          </w:p>
        </w:tc>
      </w:tr>
      <w:tr w:rsidR="003E022D">
        <w:trPr>
          <w:trHeight w:val="727"/>
        </w:trPr>
        <w:tc>
          <w:tcPr>
            <w:tcW w:w="4155" w:type="dxa"/>
          </w:tcPr>
          <w:p w:rsidR="003E022D" w:rsidRDefault="003E022D">
            <w:pPr>
              <w:spacing w:after="0"/>
              <w:ind w:left="852"/>
              <w:rPr>
                <w:b/>
                <w:noProof/>
              </w:rPr>
            </w:pPr>
          </w:p>
          <w:p w:rsidR="003E022D" w:rsidRDefault="007D19D6">
            <w:pPr>
              <w:spacing w:after="0"/>
              <w:ind w:left="852"/>
              <w:rPr>
                <w:b/>
                <w:noProof/>
              </w:rPr>
            </w:pPr>
            <w:r>
              <w:rPr>
                <w:b/>
                <w:noProof/>
              </w:rPr>
              <w:t>A. Pieteikuma iesniedzēja iestāde</w:t>
            </w:r>
          </w:p>
          <w:p w:rsidR="003E022D" w:rsidRDefault="003E022D">
            <w:pPr>
              <w:spacing w:after="0"/>
              <w:ind w:left="852"/>
              <w:rPr>
                <w:noProof/>
                <w:sz w:val="20"/>
                <w:u w:val="single"/>
              </w:rPr>
            </w:pPr>
          </w:p>
          <w:p w:rsidR="003E022D" w:rsidRDefault="007D19D6">
            <w:pPr>
              <w:spacing w:after="0"/>
              <w:ind w:left="852"/>
              <w:rPr>
                <w:noProof/>
                <w:sz w:val="20"/>
                <w:u w:val="single"/>
              </w:rPr>
            </w:pPr>
            <w:r>
              <w:rPr>
                <w:noProof/>
                <w:sz w:val="20"/>
                <w:u w:val="single"/>
              </w:rPr>
              <w:t>Valsts:</w:t>
            </w:r>
          </w:p>
          <w:p w:rsidR="003E022D" w:rsidRDefault="007D19D6">
            <w:pPr>
              <w:spacing w:after="0"/>
              <w:ind w:left="852"/>
              <w:rPr>
                <w:noProof/>
                <w:sz w:val="20"/>
              </w:rPr>
            </w:pPr>
            <w:r>
              <w:rPr>
                <w:noProof/>
                <w:sz w:val="20"/>
              </w:rPr>
              <w:t>Nosaukums:</w:t>
            </w:r>
          </w:p>
          <w:p w:rsidR="003E022D" w:rsidRDefault="007D19D6">
            <w:pPr>
              <w:spacing w:after="0"/>
              <w:ind w:left="852"/>
              <w:rPr>
                <w:noProof/>
                <w:sz w:val="20"/>
              </w:rPr>
            </w:pPr>
            <w:r>
              <w:rPr>
                <w:noProof/>
                <w:sz w:val="20"/>
              </w:rPr>
              <w:t>Tālrunis:</w:t>
            </w:r>
          </w:p>
          <w:p w:rsidR="003E022D" w:rsidRDefault="007D19D6">
            <w:pPr>
              <w:spacing w:after="0"/>
              <w:ind w:left="852"/>
              <w:rPr>
                <w:noProof/>
                <w:sz w:val="20"/>
              </w:rPr>
            </w:pPr>
            <w:r>
              <w:rPr>
                <w:noProof/>
                <w:sz w:val="20"/>
                <w:u w:val="single"/>
              </w:rPr>
              <w:t>Lietas atsauce</w:t>
            </w:r>
            <w:r>
              <w:rPr>
                <w:noProof/>
                <w:sz w:val="20"/>
              </w:rPr>
              <w:t>:</w:t>
            </w:r>
          </w:p>
          <w:p w:rsidR="003E022D" w:rsidRDefault="007D19D6">
            <w:pPr>
              <w:spacing w:after="0"/>
              <w:ind w:left="852"/>
              <w:rPr>
                <w:noProof/>
                <w:sz w:val="20"/>
              </w:rPr>
            </w:pPr>
            <w:r>
              <w:rPr>
                <w:noProof/>
                <w:sz w:val="20"/>
              </w:rPr>
              <w:t>Amatpersonas, kas nodarbojas ar pieprasījumu, vārds, uzvārds:</w:t>
            </w:r>
          </w:p>
          <w:p w:rsidR="003E022D" w:rsidRDefault="007D19D6">
            <w:pPr>
              <w:spacing w:after="0"/>
              <w:ind w:left="852"/>
              <w:rPr>
                <w:noProof/>
                <w:sz w:val="20"/>
                <w:u w:val="single"/>
              </w:rPr>
            </w:pPr>
            <w:r>
              <w:rPr>
                <w:noProof/>
                <w:sz w:val="20"/>
              </w:rPr>
              <w:t>Valodu prasmes</w:t>
            </w:r>
          </w:p>
        </w:tc>
        <w:tc>
          <w:tcPr>
            <w:tcW w:w="1069" w:type="dxa"/>
          </w:tcPr>
          <w:p w:rsidR="003E022D" w:rsidRDefault="007D19D6">
            <w:pPr>
              <w:spacing w:after="0"/>
              <w:ind w:left="852"/>
              <w:rPr>
                <w:b/>
                <w:noProof/>
                <w:sz w:val="20"/>
              </w:rPr>
            </w:pPr>
            <w:r>
              <w:rPr>
                <w:noProof/>
                <w:sz w:val="20"/>
              </w:rPr>
              <w:t xml:space="preserve"> </w:t>
            </w:r>
          </w:p>
          <w:p w:rsidR="003E022D" w:rsidRDefault="003E022D">
            <w:pPr>
              <w:spacing w:after="0"/>
              <w:ind w:left="852"/>
              <w:rPr>
                <w:i/>
                <w:noProof/>
                <w:sz w:val="20"/>
              </w:rPr>
            </w:pPr>
          </w:p>
        </w:tc>
        <w:tc>
          <w:tcPr>
            <w:tcW w:w="4256" w:type="dxa"/>
          </w:tcPr>
          <w:p w:rsidR="003E022D" w:rsidRDefault="003E022D">
            <w:pPr>
              <w:spacing w:after="0"/>
              <w:ind w:left="852"/>
              <w:rPr>
                <w:b/>
                <w:noProof/>
              </w:rPr>
            </w:pPr>
          </w:p>
          <w:p w:rsidR="003E022D" w:rsidRDefault="007D19D6">
            <w:pPr>
              <w:spacing w:after="0"/>
              <w:ind w:left="852"/>
              <w:rPr>
                <w:noProof/>
              </w:rPr>
            </w:pPr>
            <w:r>
              <w:rPr>
                <w:b/>
                <w:noProof/>
              </w:rPr>
              <w:t>B. Birojs, kurš ierosina pieprasījumu</w:t>
            </w:r>
          </w:p>
          <w:p w:rsidR="003E022D" w:rsidRDefault="003E022D">
            <w:pPr>
              <w:spacing w:after="0"/>
              <w:ind w:left="852"/>
              <w:rPr>
                <w:noProof/>
                <w:sz w:val="20"/>
              </w:rPr>
            </w:pPr>
          </w:p>
          <w:p w:rsidR="003E022D" w:rsidRDefault="007D19D6">
            <w:pPr>
              <w:spacing w:after="0"/>
              <w:ind w:left="852"/>
              <w:rPr>
                <w:noProof/>
                <w:sz w:val="20"/>
              </w:rPr>
            </w:pPr>
            <w:r>
              <w:rPr>
                <w:noProof/>
                <w:sz w:val="20"/>
              </w:rPr>
              <w:t xml:space="preserve">Nosaukums: </w:t>
            </w:r>
          </w:p>
          <w:p w:rsidR="003E022D" w:rsidRDefault="007D19D6">
            <w:pPr>
              <w:spacing w:after="0"/>
              <w:ind w:left="852"/>
              <w:rPr>
                <w:noProof/>
                <w:sz w:val="20"/>
              </w:rPr>
            </w:pPr>
            <w:r>
              <w:rPr>
                <w:noProof/>
                <w:sz w:val="20"/>
              </w:rPr>
              <w:t>Adrese:</w:t>
            </w:r>
          </w:p>
          <w:p w:rsidR="003E022D" w:rsidRDefault="007D19D6">
            <w:pPr>
              <w:spacing w:after="0"/>
              <w:ind w:left="852"/>
              <w:rPr>
                <w:noProof/>
                <w:sz w:val="20"/>
              </w:rPr>
            </w:pPr>
            <w:r>
              <w:rPr>
                <w:noProof/>
                <w:sz w:val="20"/>
              </w:rPr>
              <w:t>Pasta indekss:</w:t>
            </w:r>
          </w:p>
          <w:p w:rsidR="003E022D" w:rsidRDefault="007D19D6">
            <w:pPr>
              <w:spacing w:after="0"/>
              <w:ind w:left="852"/>
              <w:rPr>
                <w:noProof/>
                <w:sz w:val="20"/>
              </w:rPr>
            </w:pPr>
            <w:r>
              <w:rPr>
                <w:noProof/>
                <w:sz w:val="20"/>
              </w:rPr>
              <w:t>Pilsēta:</w:t>
            </w:r>
          </w:p>
          <w:p w:rsidR="003E022D" w:rsidRDefault="007D19D6">
            <w:pPr>
              <w:spacing w:after="0"/>
              <w:ind w:left="852"/>
              <w:rPr>
                <w:noProof/>
                <w:sz w:val="20"/>
              </w:rPr>
            </w:pPr>
            <w:r>
              <w:rPr>
                <w:noProof/>
                <w:sz w:val="20"/>
              </w:rPr>
              <w:t>Tālrunis:</w:t>
            </w:r>
          </w:p>
          <w:p w:rsidR="003E022D" w:rsidRDefault="007D19D6">
            <w:pPr>
              <w:spacing w:after="0"/>
              <w:ind w:left="852"/>
              <w:rPr>
                <w:noProof/>
                <w:sz w:val="20"/>
              </w:rPr>
            </w:pPr>
            <w:r>
              <w:rPr>
                <w:noProof/>
                <w:sz w:val="20"/>
              </w:rPr>
              <w:t>E-pasts:</w:t>
            </w:r>
          </w:p>
          <w:p w:rsidR="003E022D" w:rsidRDefault="007D19D6">
            <w:pPr>
              <w:spacing w:after="0"/>
              <w:ind w:left="852"/>
              <w:rPr>
                <w:noProof/>
                <w:sz w:val="20"/>
              </w:rPr>
            </w:pPr>
            <w:r>
              <w:rPr>
                <w:noProof/>
                <w:sz w:val="20"/>
              </w:rPr>
              <w:t>Lietas atsauce:</w:t>
            </w:r>
          </w:p>
          <w:p w:rsidR="003E022D" w:rsidRDefault="007D19D6">
            <w:pPr>
              <w:spacing w:after="0"/>
              <w:ind w:left="852"/>
              <w:rPr>
                <w:noProof/>
              </w:rPr>
            </w:pPr>
            <w:r>
              <w:rPr>
                <w:noProof/>
                <w:sz w:val="20"/>
              </w:rPr>
              <w:t>Amatpersonas, kas nodarbojas ar pieprasījumu, vārds, uzvārds:</w:t>
            </w:r>
          </w:p>
        </w:tc>
      </w:tr>
    </w:tbl>
    <w:p w:rsidR="003E022D" w:rsidRDefault="003E022D">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40"/>
        <w:gridCol w:w="4680"/>
      </w:tblGrid>
      <w:tr w:rsidR="003E022D">
        <w:trPr>
          <w:trHeight w:val="251"/>
        </w:trPr>
        <w:tc>
          <w:tcPr>
            <w:tcW w:w="9480" w:type="dxa"/>
            <w:gridSpan w:val="3"/>
          </w:tcPr>
          <w:p w:rsidR="003E022D" w:rsidRDefault="007D19D6">
            <w:pPr>
              <w:rPr>
                <w:b/>
                <w:smallCaps/>
                <w:noProof/>
                <w:sz w:val="20"/>
              </w:rPr>
            </w:pPr>
            <w:r>
              <w:rPr>
                <w:b/>
                <w:smallCaps/>
                <w:noProof/>
                <w:sz w:val="20"/>
              </w:rPr>
              <w:t>2. Pieprasījuma saņēmējas iestādes valsts</w:t>
            </w:r>
          </w:p>
        </w:tc>
      </w:tr>
      <w:tr w:rsidR="003E022D">
        <w:trPr>
          <w:trHeight w:val="727"/>
        </w:trPr>
        <w:tc>
          <w:tcPr>
            <w:tcW w:w="4560" w:type="dxa"/>
          </w:tcPr>
          <w:p w:rsidR="003E022D" w:rsidRDefault="003E022D">
            <w:pPr>
              <w:spacing w:after="0"/>
              <w:rPr>
                <w:b/>
                <w:noProof/>
              </w:rPr>
            </w:pPr>
          </w:p>
          <w:p w:rsidR="003E022D" w:rsidRDefault="007D19D6">
            <w:pPr>
              <w:tabs>
                <w:tab w:val="left" w:pos="423"/>
              </w:tabs>
              <w:spacing w:after="0"/>
              <w:rPr>
                <w:b/>
                <w:noProof/>
              </w:rPr>
            </w:pPr>
            <w:r>
              <w:rPr>
                <w:b/>
                <w:noProof/>
              </w:rPr>
              <w:t>A. Pieprasījuma saņēmēja iestāde</w:t>
            </w:r>
          </w:p>
          <w:p w:rsidR="003E022D" w:rsidRDefault="003E022D">
            <w:pPr>
              <w:spacing w:after="0"/>
              <w:rPr>
                <w:noProof/>
                <w:sz w:val="20"/>
                <w:u w:val="single"/>
              </w:rPr>
            </w:pPr>
          </w:p>
          <w:p w:rsidR="003E022D" w:rsidRDefault="007D19D6">
            <w:pPr>
              <w:spacing w:after="0"/>
              <w:rPr>
                <w:noProof/>
                <w:sz w:val="20"/>
                <w:u w:val="single"/>
              </w:rPr>
            </w:pPr>
            <w:r>
              <w:rPr>
                <w:noProof/>
                <w:sz w:val="20"/>
                <w:u w:val="single"/>
              </w:rPr>
              <w:t xml:space="preserve">Valsts: </w:t>
            </w:r>
          </w:p>
          <w:p w:rsidR="003E022D" w:rsidRDefault="007D19D6">
            <w:pPr>
              <w:spacing w:after="0"/>
              <w:rPr>
                <w:noProof/>
                <w:sz w:val="20"/>
              </w:rPr>
            </w:pPr>
            <w:r>
              <w:rPr>
                <w:noProof/>
                <w:sz w:val="20"/>
              </w:rPr>
              <w:t>Nosaukums:</w:t>
            </w:r>
          </w:p>
          <w:p w:rsidR="003E022D" w:rsidRDefault="007D19D6">
            <w:pPr>
              <w:spacing w:after="0"/>
              <w:rPr>
                <w:noProof/>
                <w:sz w:val="20"/>
              </w:rPr>
            </w:pPr>
            <w:r>
              <w:rPr>
                <w:noProof/>
                <w:sz w:val="20"/>
              </w:rPr>
              <w:t>Tālrunis:</w:t>
            </w:r>
          </w:p>
          <w:p w:rsidR="003E022D" w:rsidRDefault="007D19D6">
            <w:pPr>
              <w:spacing w:after="0"/>
              <w:rPr>
                <w:noProof/>
                <w:sz w:val="20"/>
              </w:rPr>
            </w:pPr>
            <w:r>
              <w:rPr>
                <w:noProof/>
                <w:sz w:val="20"/>
                <w:u w:val="single"/>
              </w:rPr>
              <w:t>Lietas atsauce</w:t>
            </w:r>
            <w:r>
              <w:rPr>
                <w:noProof/>
                <w:sz w:val="20"/>
              </w:rPr>
              <w:t>:</w:t>
            </w:r>
          </w:p>
          <w:p w:rsidR="003E022D" w:rsidRDefault="007D19D6">
            <w:pPr>
              <w:spacing w:after="0"/>
              <w:rPr>
                <w:noProof/>
                <w:sz w:val="20"/>
              </w:rPr>
            </w:pPr>
            <w:r>
              <w:rPr>
                <w:noProof/>
                <w:sz w:val="20"/>
              </w:rPr>
              <w:t xml:space="preserve">Amatpersonas, kas </w:t>
            </w:r>
            <w:r>
              <w:rPr>
                <w:noProof/>
                <w:sz w:val="20"/>
              </w:rPr>
              <w:t>nodarbojas ar pieprasījumu, vārds, uzvārds:</w:t>
            </w:r>
          </w:p>
          <w:p w:rsidR="003E022D" w:rsidRDefault="007D19D6">
            <w:pPr>
              <w:spacing w:after="0"/>
              <w:rPr>
                <w:noProof/>
                <w:sz w:val="20"/>
                <w:u w:val="single"/>
              </w:rPr>
            </w:pPr>
            <w:r>
              <w:rPr>
                <w:noProof/>
                <w:sz w:val="20"/>
              </w:rPr>
              <w:t>Valodu prasmes</w:t>
            </w:r>
          </w:p>
        </w:tc>
        <w:tc>
          <w:tcPr>
            <w:tcW w:w="240" w:type="dxa"/>
          </w:tcPr>
          <w:p w:rsidR="003E022D" w:rsidRDefault="007D19D6">
            <w:pPr>
              <w:spacing w:after="0"/>
              <w:rPr>
                <w:b/>
                <w:noProof/>
                <w:sz w:val="20"/>
              </w:rPr>
            </w:pPr>
            <w:r>
              <w:rPr>
                <w:noProof/>
                <w:sz w:val="20"/>
              </w:rPr>
              <w:t xml:space="preserve"> </w:t>
            </w:r>
          </w:p>
          <w:p w:rsidR="003E022D" w:rsidRDefault="003E022D">
            <w:pPr>
              <w:spacing w:after="0"/>
              <w:rPr>
                <w:i/>
                <w:noProof/>
                <w:sz w:val="20"/>
              </w:rPr>
            </w:pPr>
          </w:p>
        </w:tc>
        <w:tc>
          <w:tcPr>
            <w:tcW w:w="4680" w:type="dxa"/>
          </w:tcPr>
          <w:p w:rsidR="003E022D" w:rsidRDefault="003E022D">
            <w:pPr>
              <w:spacing w:after="0"/>
              <w:rPr>
                <w:b/>
                <w:noProof/>
              </w:rPr>
            </w:pPr>
          </w:p>
          <w:p w:rsidR="003E022D" w:rsidRDefault="007D19D6">
            <w:pPr>
              <w:spacing w:after="0"/>
              <w:rPr>
                <w:noProof/>
              </w:rPr>
            </w:pPr>
            <w:r>
              <w:rPr>
                <w:b/>
                <w:noProof/>
              </w:rPr>
              <w:t>B. Birojs, kurš apstrādā pieprasījumu</w:t>
            </w:r>
          </w:p>
          <w:p w:rsidR="003E022D" w:rsidRDefault="003E022D">
            <w:pPr>
              <w:spacing w:after="0"/>
              <w:rPr>
                <w:noProof/>
                <w:sz w:val="20"/>
              </w:rPr>
            </w:pPr>
          </w:p>
          <w:p w:rsidR="003E022D" w:rsidRDefault="007D19D6">
            <w:pPr>
              <w:spacing w:after="0"/>
              <w:rPr>
                <w:noProof/>
                <w:sz w:val="20"/>
              </w:rPr>
            </w:pPr>
            <w:r>
              <w:rPr>
                <w:noProof/>
                <w:sz w:val="20"/>
              </w:rPr>
              <w:t xml:space="preserve">Nosaukums: </w:t>
            </w:r>
          </w:p>
          <w:p w:rsidR="003E022D" w:rsidRDefault="007D19D6">
            <w:pPr>
              <w:spacing w:after="0"/>
              <w:rPr>
                <w:noProof/>
                <w:sz w:val="20"/>
              </w:rPr>
            </w:pPr>
            <w:r>
              <w:rPr>
                <w:noProof/>
                <w:sz w:val="20"/>
              </w:rPr>
              <w:t>Adrese:</w:t>
            </w:r>
          </w:p>
          <w:p w:rsidR="003E022D" w:rsidRDefault="007D19D6">
            <w:pPr>
              <w:spacing w:after="0"/>
              <w:rPr>
                <w:noProof/>
                <w:sz w:val="20"/>
              </w:rPr>
            </w:pPr>
            <w:r>
              <w:rPr>
                <w:noProof/>
                <w:sz w:val="20"/>
              </w:rPr>
              <w:t>Pasta indekss:</w:t>
            </w:r>
          </w:p>
          <w:p w:rsidR="003E022D" w:rsidRDefault="007D19D6">
            <w:pPr>
              <w:spacing w:after="0"/>
              <w:rPr>
                <w:noProof/>
                <w:sz w:val="20"/>
              </w:rPr>
            </w:pPr>
            <w:r>
              <w:rPr>
                <w:noProof/>
                <w:sz w:val="20"/>
              </w:rPr>
              <w:t>Pilsēta:</w:t>
            </w:r>
          </w:p>
          <w:p w:rsidR="003E022D" w:rsidRDefault="007D19D6">
            <w:pPr>
              <w:spacing w:after="0"/>
              <w:rPr>
                <w:noProof/>
                <w:sz w:val="20"/>
              </w:rPr>
            </w:pPr>
            <w:r>
              <w:rPr>
                <w:noProof/>
                <w:sz w:val="20"/>
              </w:rPr>
              <w:t>Tālrunis:</w:t>
            </w:r>
          </w:p>
          <w:p w:rsidR="003E022D" w:rsidRDefault="007D19D6">
            <w:pPr>
              <w:spacing w:after="0"/>
              <w:rPr>
                <w:noProof/>
                <w:sz w:val="20"/>
              </w:rPr>
            </w:pPr>
            <w:r>
              <w:rPr>
                <w:noProof/>
                <w:sz w:val="20"/>
              </w:rPr>
              <w:t>E-pasts:</w:t>
            </w:r>
          </w:p>
          <w:p w:rsidR="003E022D" w:rsidRDefault="007D19D6">
            <w:pPr>
              <w:spacing w:after="0"/>
              <w:rPr>
                <w:noProof/>
                <w:sz w:val="20"/>
              </w:rPr>
            </w:pPr>
            <w:r>
              <w:rPr>
                <w:noProof/>
                <w:sz w:val="20"/>
              </w:rPr>
              <w:t>Lietas atsauce:</w:t>
            </w:r>
          </w:p>
          <w:p w:rsidR="003E022D" w:rsidRDefault="007D19D6">
            <w:pPr>
              <w:spacing w:after="0"/>
              <w:rPr>
                <w:noProof/>
              </w:rPr>
            </w:pPr>
            <w:r>
              <w:rPr>
                <w:noProof/>
                <w:sz w:val="20"/>
              </w:rPr>
              <w:t>Amatpersonas, kas nodarbojas ar pieprasījumu, vārds, uzvārds:</w:t>
            </w:r>
          </w:p>
        </w:tc>
      </w:tr>
    </w:tbl>
    <w:p w:rsidR="003E022D" w:rsidRDefault="003E022D">
      <w:pPr>
        <w:rPr>
          <w:noProof/>
          <w:sz w:val="20"/>
        </w:rPr>
      </w:pPr>
    </w:p>
    <w:p w:rsidR="003E022D" w:rsidRDefault="003E022D">
      <w:pPr>
        <w:rPr>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3E022D">
        <w:trPr>
          <w:cantSplit/>
          <w:trHeight w:val="40"/>
        </w:trPr>
        <w:tc>
          <w:tcPr>
            <w:tcW w:w="9480" w:type="dxa"/>
          </w:tcPr>
          <w:p w:rsidR="003E022D" w:rsidRDefault="007D19D6">
            <w:pPr>
              <w:keepNext/>
              <w:keepLines/>
              <w:spacing w:after="0"/>
              <w:ind w:left="-2" w:firstLine="2"/>
              <w:rPr>
                <w:noProof/>
              </w:rPr>
            </w:pPr>
            <w:r>
              <w:rPr>
                <w:b/>
                <w:noProof/>
              </w:rPr>
              <w:t xml:space="preserve">3. </w:t>
            </w:r>
            <w:r>
              <w:rPr>
                <w:b/>
                <w:smallCaps/>
                <w:noProof/>
                <w:sz w:val="20"/>
              </w:rPr>
              <w:t>Informācija, kas saistīta ar pieprasījumu</w:t>
            </w:r>
          </w:p>
        </w:tc>
      </w:tr>
      <w:tr w:rsidR="003E022D">
        <w:trPr>
          <w:cantSplit/>
          <w:trHeight w:val="1909"/>
        </w:trPr>
        <w:tc>
          <w:tcPr>
            <w:tcW w:w="9480" w:type="dxa"/>
          </w:tcPr>
          <w:p w:rsidR="003E022D" w:rsidRDefault="003E022D">
            <w:pPr>
              <w:keepNext/>
              <w:keepLines/>
              <w:tabs>
                <w:tab w:val="left" w:pos="2161"/>
              </w:tabs>
              <w:spacing w:after="0"/>
              <w:ind w:left="601"/>
              <w:rPr>
                <w:noProof/>
              </w:rPr>
            </w:pPr>
          </w:p>
          <w:p w:rsidR="003E022D" w:rsidRDefault="003E022D">
            <w:pPr>
              <w:spacing w:after="0"/>
              <w:ind w:left="372" w:hanging="360"/>
              <w:rPr>
                <w:noProof/>
              </w:rPr>
            </w:pPr>
          </w:p>
          <w:p w:rsidR="003E022D" w:rsidRDefault="007D19D6">
            <w:pPr>
              <w:spacing w:after="0"/>
              <w:ind w:left="372" w:hanging="360"/>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Pieteikuma iesniedzēja iestāde lūdz pieprasījuma saņēmēju iestādi neinformēt attiecīgo(-ās) personu(-as) par šo pieprasījumu.</w:t>
            </w:r>
          </w:p>
          <w:p w:rsidR="003E022D" w:rsidRDefault="003E022D">
            <w:pPr>
              <w:spacing w:after="0"/>
              <w:ind w:left="372" w:hanging="360"/>
              <w:rPr>
                <w:noProof/>
              </w:rPr>
            </w:pPr>
          </w:p>
          <w:p w:rsidR="003E022D" w:rsidRDefault="007D19D6">
            <w:pPr>
              <w:spacing w:after="0"/>
              <w:ind w:left="372" w:hanging="360"/>
              <w:rPr>
                <w:noProof/>
                <w:sz w:val="16"/>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Pieteikuma iesniedzēja iestāde apstiprina, ka uz saņemamo informāciju attieksies iepriekš minētajā juridiskajā pamatā paredzētie noteikumi par slepenību.</w:t>
            </w:r>
          </w:p>
        </w:tc>
      </w:tr>
    </w:tbl>
    <w:p w:rsidR="003E022D" w:rsidRDefault="003E022D">
      <w:pPr>
        <w:rPr>
          <w:noProof/>
          <w:sz w:val="20"/>
        </w:rPr>
      </w:pPr>
    </w:p>
    <w:p w:rsidR="003E022D" w:rsidRDefault="003E022D">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3E022D">
        <w:trPr>
          <w:cantSplit/>
          <w:trHeight w:val="40"/>
        </w:trPr>
        <w:tc>
          <w:tcPr>
            <w:tcW w:w="9480" w:type="dxa"/>
          </w:tcPr>
          <w:p w:rsidR="003E022D" w:rsidRDefault="007D19D6">
            <w:pPr>
              <w:keepNext/>
              <w:keepLines/>
              <w:spacing w:after="0"/>
              <w:rPr>
                <w:b/>
                <w:noProof/>
              </w:rPr>
            </w:pPr>
            <w:r>
              <w:rPr>
                <w:b/>
                <w:noProof/>
              </w:rPr>
              <w:t xml:space="preserve">4. </w:t>
            </w:r>
            <w:r>
              <w:rPr>
                <w:b/>
                <w:smallCaps/>
                <w:noProof/>
                <w:sz w:val="20"/>
              </w:rPr>
              <w:t>Informācija</w:t>
            </w:r>
            <w:r>
              <w:rPr>
                <w:noProof/>
              </w:rPr>
              <w:t xml:space="preserve"> </w:t>
            </w:r>
            <w:r>
              <w:rPr>
                <w:b/>
                <w:smallCaps/>
                <w:noProof/>
                <w:sz w:val="20"/>
              </w:rPr>
              <w:t>par attiecīgo personu</w:t>
            </w:r>
          </w:p>
        </w:tc>
      </w:tr>
      <w:tr w:rsidR="003E022D">
        <w:trPr>
          <w:cantSplit/>
          <w:trHeight w:val="546"/>
        </w:trPr>
        <w:tc>
          <w:tcPr>
            <w:tcW w:w="9480" w:type="dxa"/>
          </w:tcPr>
          <w:p w:rsidR="003E022D" w:rsidRDefault="007D19D6">
            <w:pPr>
              <w:keepNext/>
              <w:keepLines/>
              <w:tabs>
                <w:tab w:val="left" w:pos="4854"/>
              </w:tabs>
              <w:spacing w:after="0"/>
              <w:rPr>
                <w:noProof/>
              </w:rPr>
            </w:pPr>
            <w:r>
              <w:rPr>
                <w:b/>
                <w:noProof/>
              </w:rPr>
              <w:t>A. Tiek pieprasīta informācija par:</w:t>
            </w:r>
          </w:p>
          <w:p w:rsidR="003E022D" w:rsidRDefault="007D19D6">
            <w:pPr>
              <w:keepNext/>
              <w:keepLines/>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Fiziskām personām:</w:t>
            </w:r>
          </w:p>
          <w:p w:rsidR="003E022D" w:rsidRDefault="007D19D6">
            <w:pPr>
              <w:keepNext/>
              <w:keepLines/>
              <w:tabs>
                <w:tab w:val="left" w:pos="2161"/>
              </w:tabs>
              <w:spacing w:after="0"/>
              <w:ind w:left="1027"/>
              <w:rPr>
                <w:noProof/>
              </w:rPr>
            </w:pPr>
            <w:r>
              <w:rPr>
                <w:noProof/>
                <w:u w:val="single"/>
              </w:rPr>
              <w:t>Vārds(-i)</w:t>
            </w:r>
            <w:r>
              <w:rPr>
                <w:noProof/>
              </w:rPr>
              <w:t>:</w:t>
            </w:r>
          </w:p>
          <w:p w:rsidR="003E022D" w:rsidRDefault="007D19D6">
            <w:pPr>
              <w:keepNext/>
              <w:keepLines/>
              <w:tabs>
                <w:tab w:val="left" w:pos="2161"/>
              </w:tabs>
              <w:spacing w:after="0"/>
              <w:ind w:left="1027"/>
              <w:rPr>
                <w:noProof/>
              </w:rPr>
            </w:pPr>
            <w:r>
              <w:rPr>
                <w:noProof/>
                <w:u w:val="single"/>
              </w:rPr>
              <w:t>Uzvārds</w:t>
            </w:r>
            <w:r>
              <w:rPr>
                <w:noProof/>
              </w:rPr>
              <w:t>:</w:t>
            </w:r>
          </w:p>
          <w:p w:rsidR="003E022D" w:rsidRDefault="007D19D6">
            <w:pPr>
              <w:keepNext/>
              <w:keepLines/>
              <w:tabs>
                <w:tab w:val="left" w:pos="2161"/>
              </w:tabs>
              <w:spacing w:after="0"/>
              <w:ind w:left="1027"/>
              <w:rPr>
                <w:noProof/>
              </w:rPr>
            </w:pPr>
            <w:r>
              <w:rPr>
                <w:noProof/>
              </w:rPr>
              <w:t>Pirmslaulību uzvārds (dzimtais uzvārds):</w:t>
            </w:r>
          </w:p>
          <w:p w:rsidR="003E022D" w:rsidRDefault="007D19D6">
            <w:pPr>
              <w:keepNext/>
              <w:keepLines/>
              <w:tabs>
                <w:tab w:val="left" w:pos="2161"/>
              </w:tabs>
              <w:spacing w:after="0"/>
              <w:ind w:left="1027"/>
              <w:rPr>
                <w:noProof/>
              </w:rPr>
            </w:pPr>
            <w:r>
              <w:rPr>
                <w:noProof/>
              </w:rPr>
              <w:t>Dzimšanas datums:</w:t>
            </w:r>
          </w:p>
          <w:p w:rsidR="003E022D" w:rsidRDefault="007D19D6">
            <w:pPr>
              <w:keepNext/>
              <w:keepLines/>
              <w:tabs>
                <w:tab w:val="left" w:pos="2161"/>
              </w:tabs>
              <w:spacing w:after="0"/>
              <w:ind w:left="1027"/>
              <w:rPr>
                <w:noProof/>
              </w:rPr>
            </w:pPr>
            <w:r>
              <w:rPr>
                <w:noProof/>
              </w:rPr>
              <w:t>Dzimšanas vieta:</w:t>
            </w:r>
          </w:p>
          <w:p w:rsidR="003E022D" w:rsidRDefault="007D19D6">
            <w:pPr>
              <w:keepNext/>
              <w:keepLines/>
              <w:tabs>
                <w:tab w:val="left" w:pos="2161"/>
              </w:tabs>
              <w:spacing w:after="0"/>
              <w:ind w:left="1027"/>
              <w:rPr>
                <w:noProof/>
              </w:rPr>
            </w:pPr>
            <w:r>
              <w:rPr>
                <w:noProof/>
              </w:rPr>
              <w:t>PVN identifikācijas numurs:</w:t>
            </w:r>
          </w:p>
          <w:p w:rsidR="003E022D" w:rsidRDefault="007D19D6">
            <w:pPr>
              <w:keepNext/>
              <w:keepLines/>
              <w:tabs>
                <w:tab w:val="left" w:pos="2161"/>
              </w:tabs>
              <w:spacing w:after="0"/>
              <w:ind w:left="1027"/>
              <w:rPr>
                <w:noProof/>
              </w:rPr>
            </w:pPr>
            <w:r>
              <w:rPr>
                <w:noProof/>
              </w:rPr>
              <w:t>Nodokļa maksātāja identifikācijas numurs:</w:t>
            </w:r>
          </w:p>
          <w:p w:rsidR="003E022D" w:rsidRDefault="007D19D6">
            <w:pPr>
              <w:keepNext/>
              <w:keepLines/>
              <w:tabs>
                <w:tab w:val="left" w:pos="2161"/>
              </w:tabs>
              <w:spacing w:after="0"/>
              <w:ind w:left="1027"/>
              <w:rPr>
                <w:noProof/>
              </w:rPr>
            </w:pPr>
            <w:r>
              <w:rPr>
                <w:noProof/>
              </w:rPr>
              <w:t xml:space="preserve">Citi </w:t>
            </w:r>
            <w:r>
              <w:rPr>
                <w:noProof/>
              </w:rPr>
              <w:t>identifikācijas dati:</w:t>
            </w:r>
          </w:p>
          <w:p w:rsidR="003E022D" w:rsidRDefault="007D19D6">
            <w:pPr>
              <w:keepNext/>
              <w:keepLines/>
              <w:tabs>
                <w:tab w:val="left" w:pos="2161"/>
              </w:tabs>
              <w:spacing w:after="0"/>
              <w:ind w:left="1027"/>
              <w:rPr>
                <w:noProof/>
              </w:rPr>
            </w:pPr>
            <w:r>
              <w:rPr>
                <w:noProof/>
              </w:rPr>
              <w:t xml:space="preserve">Personas adrese: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zināma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pieņēmums</w:t>
            </w:r>
          </w:p>
          <w:p w:rsidR="003E022D" w:rsidRDefault="007D19D6">
            <w:pPr>
              <w:keepNext/>
              <w:keepLines/>
              <w:tabs>
                <w:tab w:val="left" w:pos="2161"/>
              </w:tabs>
              <w:spacing w:after="0"/>
              <w:ind w:left="1027"/>
              <w:rPr>
                <w:noProof/>
              </w:rPr>
            </w:pPr>
            <w:r>
              <w:rPr>
                <w:noProof/>
              </w:rPr>
              <w:t>- Iela un numurs:</w:t>
            </w:r>
          </w:p>
          <w:p w:rsidR="003E022D" w:rsidRDefault="007D19D6">
            <w:pPr>
              <w:keepNext/>
              <w:keepLines/>
              <w:tabs>
                <w:tab w:val="left" w:pos="2161"/>
              </w:tabs>
              <w:spacing w:after="0"/>
              <w:ind w:left="1027"/>
              <w:rPr>
                <w:noProof/>
              </w:rPr>
            </w:pPr>
            <w:r>
              <w:rPr>
                <w:noProof/>
              </w:rPr>
              <w:t>- Citi adreses dati:</w:t>
            </w:r>
          </w:p>
          <w:p w:rsidR="003E022D" w:rsidRDefault="007D19D6">
            <w:pPr>
              <w:keepNext/>
              <w:keepLines/>
              <w:tabs>
                <w:tab w:val="left" w:pos="2161"/>
              </w:tabs>
              <w:spacing w:after="0"/>
              <w:ind w:left="1027"/>
              <w:rPr>
                <w:noProof/>
              </w:rPr>
            </w:pPr>
            <w:r>
              <w:rPr>
                <w:noProof/>
              </w:rPr>
              <w:t>- Pas</w:t>
            </w:r>
            <w:r>
              <w:rPr>
                <w:noProof/>
              </w:rPr>
              <w:t>ta indekss un pilsēta:</w:t>
            </w:r>
          </w:p>
          <w:p w:rsidR="003E022D" w:rsidRDefault="007D19D6">
            <w:pPr>
              <w:keepNext/>
              <w:keepLines/>
              <w:tabs>
                <w:tab w:val="left" w:pos="2161"/>
              </w:tabs>
              <w:spacing w:after="0"/>
              <w:ind w:left="1027"/>
              <w:rPr>
                <w:noProof/>
              </w:rPr>
            </w:pPr>
            <w:r>
              <w:rPr>
                <w:noProof/>
              </w:rPr>
              <w:t>- Valsts:</w:t>
            </w:r>
          </w:p>
          <w:p w:rsidR="003E022D" w:rsidRDefault="003E022D">
            <w:pPr>
              <w:keepNext/>
              <w:keepLines/>
              <w:tabs>
                <w:tab w:val="left" w:pos="2161"/>
              </w:tabs>
              <w:spacing w:after="0"/>
              <w:ind w:left="1027"/>
              <w:rPr>
                <w:b/>
                <w:noProof/>
              </w:rPr>
            </w:pPr>
          </w:p>
          <w:p w:rsidR="003E022D" w:rsidRDefault="007D19D6">
            <w:pPr>
              <w:keepNext/>
              <w:keepLines/>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Vai juridiskām personām:</w:t>
            </w:r>
          </w:p>
          <w:p w:rsidR="003E022D" w:rsidRDefault="007D19D6">
            <w:pPr>
              <w:keepNext/>
              <w:keepLines/>
              <w:tabs>
                <w:tab w:val="left" w:pos="2161"/>
                <w:tab w:val="left" w:pos="4854"/>
              </w:tabs>
              <w:spacing w:after="0"/>
              <w:ind w:left="1027"/>
              <w:rPr>
                <w:noProof/>
              </w:rPr>
            </w:pPr>
            <w:r>
              <w:rPr>
                <w:noProof/>
                <w:u w:val="single"/>
              </w:rPr>
              <w:t>Uzņēmuma nosaukums</w:t>
            </w:r>
            <w:r>
              <w:rPr>
                <w:noProof/>
              </w:rPr>
              <w:t>:</w:t>
            </w:r>
          </w:p>
          <w:p w:rsidR="003E022D" w:rsidRDefault="007D19D6">
            <w:pPr>
              <w:keepNext/>
              <w:keepLines/>
              <w:tabs>
                <w:tab w:val="left" w:pos="2161"/>
                <w:tab w:val="left" w:pos="4854"/>
              </w:tabs>
              <w:spacing w:after="0"/>
              <w:ind w:left="1027"/>
              <w:rPr>
                <w:noProof/>
              </w:rPr>
            </w:pPr>
            <w:r>
              <w:rPr>
                <w:noProof/>
                <w:u w:val="single"/>
              </w:rPr>
              <w:t>Juridiskais statuss</w:t>
            </w:r>
            <w:r>
              <w:rPr>
                <w:noProof/>
              </w:rPr>
              <w:t>:</w:t>
            </w:r>
          </w:p>
          <w:p w:rsidR="003E022D" w:rsidRDefault="007D19D6">
            <w:pPr>
              <w:keepNext/>
              <w:keepLines/>
              <w:tabs>
                <w:tab w:val="left" w:pos="2161"/>
              </w:tabs>
              <w:spacing w:after="0"/>
              <w:ind w:left="1027"/>
              <w:rPr>
                <w:noProof/>
              </w:rPr>
            </w:pPr>
            <w:r>
              <w:rPr>
                <w:noProof/>
              </w:rPr>
              <w:t>PVN identifikācijas numurs:</w:t>
            </w:r>
          </w:p>
          <w:p w:rsidR="003E022D" w:rsidRDefault="007D19D6">
            <w:pPr>
              <w:keepNext/>
              <w:keepLines/>
              <w:tabs>
                <w:tab w:val="left" w:pos="2161"/>
              </w:tabs>
              <w:spacing w:after="0"/>
              <w:ind w:left="1027"/>
              <w:rPr>
                <w:noProof/>
              </w:rPr>
            </w:pPr>
            <w:r>
              <w:rPr>
                <w:noProof/>
              </w:rPr>
              <w:t>Nodokļa maksātāja identifikācijas numurs:</w:t>
            </w:r>
          </w:p>
          <w:p w:rsidR="003E022D" w:rsidRDefault="007D19D6">
            <w:pPr>
              <w:keepNext/>
              <w:keepLines/>
              <w:tabs>
                <w:tab w:val="left" w:pos="3295"/>
                <w:tab w:val="left" w:pos="6130"/>
              </w:tabs>
              <w:spacing w:after="0"/>
              <w:ind w:left="1027"/>
              <w:rPr>
                <w:noProof/>
              </w:rPr>
            </w:pPr>
            <w:r>
              <w:rPr>
                <w:noProof/>
              </w:rPr>
              <w:t xml:space="preserve">Citi </w:t>
            </w:r>
            <w:r>
              <w:rPr>
                <w:noProof/>
              </w:rPr>
              <w:t>identifikācijas dati:</w:t>
            </w:r>
          </w:p>
          <w:p w:rsidR="003E022D" w:rsidRDefault="007D19D6">
            <w:pPr>
              <w:keepNext/>
              <w:keepLines/>
              <w:tabs>
                <w:tab w:val="left" w:pos="2161"/>
              </w:tabs>
              <w:spacing w:after="0"/>
              <w:ind w:left="1027"/>
              <w:rPr>
                <w:noProof/>
              </w:rPr>
            </w:pPr>
            <w:r>
              <w:rPr>
                <w:noProof/>
              </w:rPr>
              <w:t xml:space="preserve">Juridiskās personas adrese: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zināma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pieņēmums</w:t>
            </w:r>
          </w:p>
          <w:p w:rsidR="003E022D" w:rsidRDefault="007D19D6">
            <w:pPr>
              <w:keepNext/>
              <w:keepLines/>
              <w:tabs>
                <w:tab w:val="left" w:pos="2161"/>
              </w:tabs>
              <w:spacing w:after="0"/>
              <w:ind w:left="1027"/>
              <w:rPr>
                <w:noProof/>
              </w:rPr>
            </w:pPr>
            <w:r>
              <w:rPr>
                <w:noProof/>
              </w:rPr>
              <w:t>- Iela un numurs:</w:t>
            </w:r>
          </w:p>
          <w:p w:rsidR="003E022D" w:rsidRDefault="007D19D6">
            <w:pPr>
              <w:keepNext/>
              <w:keepLines/>
              <w:tabs>
                <w:tab w:val="left" w:pos="2161"/>
              </w:tabs>
              <w:spacing w:after="0"/>
              <w:ind w:left="1027"/>
              <w:rPr>
                <w:noProof/>
              </w:rPr>
            </w:pPr>
            <w:r>
              <w:rPr>
                <w:noProof/>
              </w:rPr>
              <w:t>- Citi adreses dati:</w:t>
            </w:r>
          </w:p>
          <w:p w:rsidR="003E022D" w:rsidRDefault="007D19D6">
            <w:pPr>
              <w:keepNext/>
              <w:keepLines/>
              <w:tabs>
                <w:tab w:val="left" w:pos="2161"/>
              </w:tabs>
              <w:spacing w:after="0"/>
              <w:ind w:left="1027"/>
              <w:rPr>
                <w:noProof/>
              </w:rPr>
            </w:pPr>
            <w:r>
              <w:rPr>
                <w:noProof/>
              </w:rPr>
              <w:t>- Pasta indekss un pilsēta:</w:t>
            </w:r>
          </w:p>
          <w:p w:rsidR="003E022D" w:rsidRDefault="007D19D6">
            <w:pPr>
              <w:keepNext/>
              <w:keepLines/>
              <w:tabs>
                <w:tab w:val="left" w:pos="2161"/>
              </w:tabs>
              <w:spacing w:after="0"/>
              <w:ind w:left="1027"/>
              <w:rPr>
                <w:noProof/>
              </w:rPr>
            </w:pPr>
            <w:r>
              <w:rPr>
                <w:noProof/>
              </w:rPr>
              <w:t>- Valsts:</w:t>
            </w:r>
          </w:p>
          <w:p w:rsidR="003E022D" w:rsidRDefault="003E022D">
            <w:pPr>
              <w:keepNext/>
              <w:keepLines/>
              <w:tabs>
                <w:tab w:val="left" w:pos="2161"/>
              </w:tabs>
              <w:spacing w:after="0"/>
              <w:ind w:left="1027"/>
              <w:rPr>
                <w:b/>
                <w:noProof/>
              </w:rPr>
            </w:pPr>
          </w:p>
          <w:p w:rsidR="003E022D" w:rsidRDefault="007D19D6">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Likumīgais pārstāvis</w:t>
            </w:r>
          </w:p>
          <w:p w:rsidR="003E022D" w:rsidRDefault="007D19D6">
            <w:pPr>
              <w:tabs>
                <w:tab w:val="left" w:pos="3295"/>
                <w:tab w:val="left" w:pos="6130"/>
              </w:tabs>
              <w:spacing w:after="0"/>
              <w:ind w:left="1027" w:hanging="22"/>
              <w:rPr>
                <w:noProof/>
                <w:u w:val="single"/>
              </w:rPr>
            </w:pPr>
            <w:r>
              <w:rPr>
                <w:noProof/>
                <w:u w:val="single"/>
              </w:rPr>
              <w:t>Vārds, uz</w:t>
            </w:r>
            <w:r>
              <w:rPr>
                <w:noProof/>
                <w:u w:val="single"/>
              </w:rPr>
              <w:t>vārds / nosaukums:</w:t>
            </w:r>
          </w:p>
          <w:p w:rsidR="003E022D" w:rsidRDefault="007D19D6">
            <w:pPr>
              <w:tabs>
                <w:tab w:val="left" w:pos="3295"/>
              </w:tabs>
              <w:spacing w:after="0"/>
              <w:ind w:left="1005"/>
              <w:rPr>
                <w:noProof/>
              </w:rPr>
            </w:pPr>
            <w:r>
              <w:rPr>
                <w:noProof/>
              </w:rPr>
              <w:t xml:space="preserve">Likumīgā pārstāvja adrese: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zināma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pieņēmums</w:t>
            </w:r>
          </w:p>
          <w:p w:rsidR="003E022D" w:rsidRDefault="007D19D6">
            <w:pPr>
              <w:tabs>
                <w:tab w:val="left" w:pos="3295"/>
              </w:tabs>
              <w:spacing w:after="0"/>
              <w:ind w:left="1485"/>
              <w:rPr>
                <w:noProof/>
              </w:rPr>
            </w:pPr>
            <w:r>
              <w:rPr>
                <w:noProof/>
              </w:rPr>
              <w:t>Iela un numurs:</w:t>
            </w:r>
          </w:p>
          <w:p w:rsidR="003E022D" w:rsidRDefault="007D19D6">
            <w:pPr>
              <w:tabs>
                <w:tab w:val="left" w:pos="3295"/>
              </w:tabs>
              <w:spacing w:after="0"/>
              <w:ind w:left="1485"/>
              <w:rPr>
                <w:noProof/>
              </w:rPr>
            </w:pPr>
            <w:r>
              <w:rPr>
                <w:noProof/>
              </w:rPr>
              <w:t>Citi adreses dati:</w:t>
            </w:r>
          </w:p>
          <w:p w:rsidR="003E022D" w:rsidRDefault="007D19D6">
            <w:pPr>
              <w:tabs>
                <w:tab w:val="left" w:pos="3295"/>
              </w:tabs>
              <w:spacing w:after="0"/>
              <w:ind w:left="1485"/>
              <w:rPr>
                <w:noProof/>
              </w:rPr>
            </w:pPr>
            <w:r>
              <w:rPr>
                <w:noProof/>
              </w:rPr>
              <w:t>Pasta indekss un pilsēta:</w:t>
            </w:r>
          </w:p>
          <w:p w:rsidR="003E022D" w:rsidRDefault="007D19D6">
            <w:pPr>
              <w:tabs>
                <w:tab w:val="left" w:pos="3295"/>
              </w:tabs>
              <w:spacing w:after="0"/>
              <w:ind w:left="1485"/>
              <w:rPr>
                <w:noProof/>
              </w:rPr>
            </w:pPr>
            <w:r>
              <w:rPr>
                <w:noProof/>
              </w:rPr>
              <w:t>Valsts:</w:t>
            </w:r>
          </w:p>
          <w:p w:rsidR="003E022D" w:rsidRDefault="003E022D">
            <w:pPr>
              <w:keepNext/>
              <w:keepLines/>
              <w:tabs>
                <w:tab w:val="left" w:pos="3295"/>
                <w:tab w:val="left" w:pos="6130"/>
              </w:tabs>
              <w:spacing w:after="0"/>
              <w:ind w:left="1027"/>
              <w:rPr>
                <w:noProof/>
                <w:sz w:val="16"/>
              </w:rPr>
            </w:pPr>
          </w:p>
        </w:tc>
      </w:tr>
      <w:tr w:rsidR="003E022D">
        <w:trPr>
          <w:cantSplit/>
          <w:trHeight w:val="190"/>
        </w:trPr>
        <w:tc>
          <w:tcPr>
            <w:tcW w:w="9480" w:type="dxa"/>
          </w:tcPr>
          <w:p w:rsidR="003E022D" w:rsidRDefault="007D19D6">
            <w:pPr>
              <w:tabs>
                <w:tab w:val="left" w:pos="3295"/>
              </w:tabs>
              <w:spacing w:after="0"/>
              <w:ind w:left="318" w:hanging="318"/>
              <w:rPr>
                <w:b/>
                <w:noProof/>
              </w:rPr>
            </w:pPr>
            <w:r>
              <w:rPr>
                <w:b/>
                <w:noProof/>
              </w:rPr>
              <w:t>B</w:t>
            </w:r>
            <w:r>
              <w:rPr>
                <w:noProof/>
              </w:rPr>
              <w:t>.</w:t>
            </w:r>
            <w:r>
              <w:rPr>
                <w:i/>
                <w:noProof/>
              </w:rPr>
              <w:t xml:space="preserve"> </w:t>
            </w:r>
            <w:r>
              <w:rPr>
                <w:b/>
                <w:noProof/>
              </w:rPr>
              <w:t xml:space="preserve">Atbildība: Attiecīgā </w:t>
            </w:r>
            <w:r>
              <w:rPr>
                <w:b/>
                <w:noProof/>
              </w:rPr>
              <w:t>persona ir:</w:t>
            </w:r>
          </w:p>
          <w:p w:rsidR="003E022D" w:rsidRDefault="007D19D6">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g</w:t>
            </w:r>
            <w:r>
              <w:rPr>
                <w:noProof/>
                <w:shd w:val="clear" w:color="auto" w:fill="FFFFFF"/>
              </w:rPr>
              <w:t>alvenais parādnieks</w:t>
            </w:r>
          </w:p>
          <w:p w:rsidR="003E022D" w:rsidRDefault="007D19D6">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solidārais parādnieks</w:t>
            </w:r>
          </w:p>
          <w:p w:rsidR="003E022D" w:rsidRDefault="007D19D6">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persona, kura nav (solidārais) parādnieks un kura ir atbildīga par nodokļu, nodevu un citu pasākumu vai citu prasījumu saistībā ar šiem nodokļiem, nodevām un citiem pasākumiem izpildi saskaņā ar spēkā esošajiem pieteikuma</w:t>
            </w:r>
            <w:r>
              <w:rPr>
                <w:noProof/>
              </w:rPr>
              <w:t xml:space="preserve"> iesniedzējas valsts tiesību aktiem</w:t>
            </w:r>
          </w:p>
          <w:p w:rsidR="003E022D" w:rsidRDefault="007D19D6">
            <w:pPr>
              <w:tabs>
                <w:tab w:val="left" w:pos="2161"/>
              </w:tabs>
              <w:spacing w:after="40"/>
              <w:ind w:left="521" w:hanging="272"/>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persona, kura nav (solidārais) parādnieks un kuras valdījumā ir aktīvi, kas pieder (solidārajam) parādniekam vai jebkurai citai atb</w:t>
            </w:r>
            <w:r>
              <w:rPr>
                <w:noProof/>
              </w:rPr>
              <w:t>ildīgajai personai, vai kura ir parādā (solidārajam) parādniekam vai jebkurai citai atbildīgajai personai</w:t>
            </w:r>
          </w:p>
          <w:p w:rsidR="003E022D" w:rsidRDefault="007D19D6">
            <w:pPr>
              <w:tabs>
                <w:tab w:val="left" w:pos="3295"/>
              </w:tabs>
              <w:spacing w:after="40"/>
              <w:ind w:left="249"/>
              <w:rPr>
                <w:b/>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trešā persona, kuras intereses var skart pret citām personām </w:t>
            </w:r>
            <w:r>
              <w:rPr>
                <w:noProof/>
              </w:rPr>
              <w:t>vērsti izpildes pasākumi</w:t>
            </w:r>
          </w:p>
        </w:tc>
      </w:tr>
      <w:tr w:rsidR="003E022D">
        <w:trPr>
          <w:cantSplit/>
          <w:trHeight w:val="1659"/>
        </w:trPr>
        <w:tc>
          <w:tcPr>
            <w:tcW w:w="9480" w:type="dxa"/>
          </w:tcPr>
          <w:p w:rsidR="003E022D" w:rsidRDefault="007D19D6">
            <w:pPr>
              <w:spacing w:after="0"/>
              <w:ind w:left="318" w:hanging="306"/>
              <w:rPr>
                <w:i/>
                <w:noProof/>
              </w:rPr>
            </w:pPr>
            <w:r>
              <w:rPr>
                <w:b/>
                <w:noProof/>
              </w:rPr>
              <w:t xml:space="preserve">C. Cita būtiska informācija par iepriekš minētajām personām: </w:t>
            </w:r>
          </w:p>
          <w:p w:rsidR="003E022D" w:rsidRDefault="007D19D6">
            <w:pPr>
              <w:tabs>
                <w:tab w:val="left" w:pos="2161"/>
              </w:tabs>
              <w:spacing w:after="0"/>
              <w:ind w:left="601" w:hanging="349"/>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i/>
                <w:noProof/>
              </w:rPr>
              <w:t xml:space="preserve"> </w:t>
            </w:r>
            <w:r>
              <w:rPr>
                <w:noProof/>
              </w:rPr>
              <w:t>Bankas konta numurs(-i):</w:t>
            </w:r>
          </w:p>
          <w:p w:rsidR="003E022D" w:rsidRDefault="007D19D6">
            <w:pPr>
              <w:tabs>
                <w:tab w:val="left" w:pos="2728"/>
              </w:tabs>
              <w:spacing w:after="0"/>
              <w:ind w:left="1212" w:right="-239" w:hanging="349"/>
              <w:rPr>
                <w:noProof/>
              </w:rPr>
            </w:pPr>
            <w:r>
              <w:rPr>
                <w:noProof/>
              </w:rPr>
              <w:t>- Bankas konta numurs (</w:t>
            </w:r>
            <w:r>
              <w:rPr>
                <w:i/>
                <w:noProof/>
              </w:rPr>
              <w:t>IBAN</w:t>
            </w:r>
            <w:r>
              <w:rPr>
                <w:noProof/>
              </w:rPr>
              <w:t>):</w:t>
            </w:r>
          </w:p>
          <w:p w:rsidR="003E022D" w:rsidRDefault="007D19D6">
            <w:pPr>
              <w:spacing w:after="0"/>
              <w:ind w:left="1212" w:right="-239" w:hanging="349"/>
              <w:rPr>
                <w:noProof/>
              </w:rPr>
            </w:pPr>
            <w:r>
              <w:rPr>
                <w:noProof/>
              </w:rPr>
              <w:t>- Bankas identifikācijas kods (</w:t>
            </w:r>
            <w:r>
              <w:rPr>
                <w:i/>
                <w:noProof/>
              </w:rPr>
              <w:t>BIC</w:t>
            </w:r>
            <w:r>
              <w:rPr>
                <w:noProof/>
              </w:rPr>
              <w:t>):</w:t>
            </w:r>
          </w:p>
          <w:p w:rsidR="003E022D" w:rsidRDefault="007D19D6">
            <w:pPr>
              <w:spacing w:after="0"/>
              <w:ind w:left="1212" w:right="-239" w:hanging="349"/>
              <w:rPr>
                <w:noProof/>
              </w:rPr>
            </w:pPr>
            <w:r>
              <w:rPr>
                <w:noProof/>
              </w:rPr>
              <w:t>- Bankas nosaukums:</w:t>
            </w:r>
          </w:p>
          <w:p w:rsidR="003E022D" w:rsidRDefault="007D19D6">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Informācija par automobili 20GG/MM/DD</w:t>
            </w:r>
          </w:p>
          <w:p w:rsidR="003E022D" w:rsidRDefault="007D19D6">
            <w:pPr>
              <w:tabs>
                <w:tab w:val="left" w:pos="2728"/>
              </w:tabs>
              <w:spacing w:after="0"/>
              <w:ind w:left="1212" w:right="-239" w:hanging="349"/>
              <w:rPr>
                <w:noProof/>
              </w:rPr>
            </w:pPr>
            <w:r>
              <w:rPr>
                <w:noProof/>
              </w:rPr>
              <w:t>- automobiļa reģistrācijas numurs:</w:t>
            </w:r>
          </w:p>
          <w:p w:rsidR="003E022D" w:rsidRDefault="007D19D6">
            <w:pPr>
              <w:tabs>
                <w:tab w:val="left" w:pos="2728"/>
              </w:tabs>
              <w:spacing w:after="0"/>
              <w:ind w:left="1212" w:right="-239" w:hanging="349"/>
              <w:rPr>
                <w:noProof/>
              </w:rPr>
            </w:pPr>
            <w:r>
              <w:rPr>
                <w:noProof/>
              </w:rPr>
              <w:t>- automobiļa marka:</w:t>
            </w:r>
          </w:p>
          <w:p w:rsidR="003E022D" w:rsidRDefault="007D19D6">
            <w:pPr>
              <w:tabs>
                <w:tab w:val="left" w:pos="2728"/>
              </w:tabs>
              <w:spacing w:after="0"/>
              <w:ind w:left="1212" w:right="-239" w:hanging="349"/>
              <w:rPr>
                <w:noProof/>
              </w:rPr>
            </w:pPr>
            <w:r>
              <w:rPr>
                <w:noProof/>
              </w:rPr>
              <w:t>- automobiļa krāsa:</w:t>
            </w:r>
          </w:p>
          <w:p w:rsidR="003E022D" w:rsidRDefault="007D19D6">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Aplēstā vai provizoriskā vai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precīzā prasījuma(-u) summa:</w:t>
            </w:r>
          </w:p>
          <w:p w:rsidR="003E022D" w:rsidRDefault="007D19D6">
            <w:pPr>
              <w:tabs>
                <w:tab w:val="left" w:pos="3295"/>
              </w:tabs>
              <w:spacing w:after="0"/>
              <w:ind w:left="318" w:hanging="66"/>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Cita: </w:t>
            </w:r>
            <w:r>
              <w:rPr>
                <w:b/>
                <w:noProof/>
                <w:sz w:val="20"/>
              </w:rPr>
              <w:fldChar w:fldCharType="begin" w:fldLock="1">
                <w:ffData>
                  <w:name w:val="Text53"/>
                  <w:enabled/>
                  <w:calcOnExit w:val="0"/>
                  <w:textInput/>
                </w:ffData>
              </w:fldChar>
            </w:r>
            <w:r>
              <w:rPr>
                <w:b/>
                <w:noProof/>
                <w:sz w:val="20"/>
              </w:rPr>
              <w:instrText xml:space="preserve"> FOR</w:instrText>
            </w:r>
            <w:r>
              <w:rPr>
                <w:b/>
                <w:noProof/>
                <w:sz w:val="20"/>
              </w:rPr>
              <w:instrText xml:space="preserve">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3E022D" w:rsidRDefault="003E022D">
      <w:pPr>
        <w:spacing w:after="0"/>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rsidR="003E022D">
        <w:trPr>
          <w:trHeight w:val="52"/>
        </w:trPr>
        <w:tc>
          <w:tcPr>
            <w:tcW w:w="9480" w:type="dxa"/>
          </w:tcPr>
          <w:p w:rsidR="003E022D" w:rsidRDefault="007D19D6">
            <w:pPr>
              <w:tabs>
                <w:tab w:val="left" w:pos="4004"/>
              </w:tabs>
              <w:spacing w:after="0"/>
              <w:rPr>
                <w:b/>
                <w:noProof/>
              </w:rPr>
            </w:pPr>
            <w:r>
              <w:rPr>
                <w:b/>
                <w:noProof/>
              </w:rPr>
              <w:t xml:space="preserve">5. </w:t>
            </w:r>
            <w:r>
              <w:rPr>
                <w:b/>
                <w:smallCaps/>
                <w:noProof/>
                <w:sz w:val="20"/>
              </w:rPr>
              <w:t>Pieprasītā informācija</w:t>
            </w:r>
          </w:p>
        </w:tc>
      </w:tr>
      <w:tr w:rsidR="003E022D">
        <w:trPr>
          <w:trHeight w:val="280"/>
        </w:trPr>
        <w:tc>
          <w:tcPr>
            <w:tcW w:w="9480" w:type="dxa"/>
          </w:tcPr>
          <w:p w:rsidR="003E022D" w:rsidRDefault="007D19D6">
            <w:pPr>
              <w:tabs>
                <w:tab w:val="left" w:pos="4004"/>
              </w:tabs>
              <w:spacing w:after="0"/>
              <w:ind w:left="612" w:hanging="360"/>
              <w:rPr>
                <w:b/>
                <w:noProof/>
                <w:sz w:val="20"/>
              </w:rPr>
            </w:pPr>
            <w:r>
              <w:rPr>
                <w:noProof/>
                <w:sz w:val="20"/>
              </w:rPr>
              <w:fldChar w:fldCharType="begin">
                <w:ffData>
                  <w:name w:val="Check16"/>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Informācija par attiecīgās personas identitāti </w:t>
            </w:r>
            <w:r>
              <w:rPr>
                <w:noProof/>
                <w:sz w:val="18"/>
              </w:rPr>
              <w:t>(fiziskām personām: pilns vārds, uzvārds, dzimšanas datums un vieta; juridiskām personām: uzņēmuma nosaukums un juridiskais statuss)</w:t>
            </w:r>
          </w:p>
        </w:tc>
      </w:tr>
      <w:tr w:rsidR="003E022D">
        <w:trPr>
          <w:trHeight w:val="280"/>
        </w:trPr>
        <w:tc>
          <w:tcPr>
            <w:tcW w:w="9480" w:type="dxa"/>
          </w:tcPr>
          <w:p w:rsidR="003E022D" w:rsidRDefault="007D19D6">
            <w:pPr>
              <w:spacing w:after="0"/>
              <w:ind w:left="279" w:hanging="27"/>
              <w:rPr>
                <w:noProof/>
              </w:rPr>
            </w:pPr>
            <w:r>
              <w:rPr>
                <w:noProof/>
                <w:sz w:val="20"/>
              </w:rPr>
              <w:fldChar w:fldCharType="begin">
                <w:ffData>
                  <w:name w:val="Check10"/>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Informācija par adresi</w:t>
            </w:r>
          </w:p>
        </w:tc>
      </w:tr>
      <w:tr w:rsidR="003E022D">
        <w:trPr>
          <w:trHeight w:val="280"/>
        </w:trPr>
        <w:tc>
          <w:tcPr>
            <w:tcW w:w="9480" w:type="dxa"/>
          </w:tcPr>
          <w:p w:rsidR="003E022D" w:rsidRDefault="007D19D6">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Informācija par ienākumiem un aktīviem piedziņai</w:t>
            </w:r>
          </w:p>
        </w:tc>
      </w:tr>
      <w:tr w:rsidR="003E022D">
        <w:trPr>
          <w:trHeight w:val="280"/>
        </w:trPr>
        <w:tc>
          <w:tcPr>
            <w:tcW w:w="9480" w:type="dxa"/>
          </w:tcPr>
          <w:p w:rsidR="003E022D" w:rsidRDefault="007D19D6">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Informācija par mantiniekiem un/vai tiesību pārņēmējiem</w:t>
            </w:r>
          </w:p>
        </w:tc>
      </w:tr>
      <w:tr w:rsidR="003E022D">
        <w:trPr>
          <w:trHeight w:val="280"/>
        </w:trPr>
        <w:tc>
          <w:tcPr>
            <w:tcW w:w="9480" w:type="dxa"/>
          </w:tcPr>
          <w:p w:rsidR="003E022D" w:rsidRDefault="007D19D6">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Cita: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3E022D" w:rsidRDefault="003E022D">
      <w:pPr>
        <w:spacing w:after="0"/>
        <w:rPr>
          <w:noProof/>
          <w:sz w:val="20"/>
          <w:szCs w:val="20"/>
        </w:rPr>
      </w:pPr>
    </w:p>
    <w:tbl>
      <w:tblPr>
        <w:tblW w:w="9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58"/>
        <w:gridCol w:w="262"/>
        <w:gridCol w:w="1744"/>
        <w:gridCol w:w="2138"/>
        <w:gridCol w:w="3079"/>
      </w:tblGrid>
      <w:tr w:rsidR="003E022D">
        <w:trPr>
          <w:cantSplit/>
          <w:trHeight w:val="38"/>
        </w:trPr>
        <w:tc>
          <w:tcPr>
            <w:tcW w:w="9601" w:type="dxa"/>
            <w:gridSpan w:val="6"/>
          </w:tcPr>
          <w:p w:rsidR="003E022D" w:rsidRDefault="007D19D6">
            <w:pPr>
              <w:keepNext/>
              <w:keepLines/>
              <w:tabs>
                <w:tab w:val="left" w:pos="4004"/>
              </w:tabs>
              <w:spacing w:after="0"/>
              <w:ind w:left="140" w:hanging="140"/>
              <w:rPr>
                <w:b/>
                <w:noProof/>
              </w:rPr>
            </w:pPr>
            <w:r>
              <w:rPr>
                <w:b/>
                <w:noProof/>
              </w:rPr>
              <w:t xml:space="preserve">6. </w:t>
            </w:r>
            <w:r>
              <w:rPr>
                <w:b/>
                <w:smallCaps/>
                <w:noProof/>
                <w:sz w:val="20"/>
              </w:rPr>
              <w:t>Informācijas pieprasījuma pēckontrole</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920" w:type="dxa"/>
            <w:tcBorders>
              <w:top w:val="single" w:sz="4" w:space="0" w:color="auto"/>
              <w:left w:val="single" w:sz="4" w:space="0" w:color="auto"/>
              <w:bottom w:val="single" w:sz="6" w:space="0" w:color="auto"/>
            </w:tcBorders>
          </w:tcPr>
          <w:p w:rsidR="003E022D" w:rsidRDefault="007D19D6">
            <w:pPr>
              <w:keepNext/>
              <w:keepLines/>
              <w:spacing w:after="0"/>
              <w:rPr>
                <w:noProof/>
                <w:sz w:val="14"/>
                <w:u w:val="single"/>
              </w:rPr>
            </w:pPr>
            <w:r>
              <w:rPr>
                <w:b/>
                <w:noProof/>
                <w:u w:val="single"/>
              </w:rPr>
              <w:t>Datums</w:t>
            </w:r>
          </w:p>
        </w:tc>
        <w:tc>
          <w:tcPr>
            <w:tcW w:w="458" w:type="dxa"/>
            <w:tcBorders>
              <w:top w:val="single" w:sz="4" w:space="0" w:color="auto"/>
              <w:bottom w:val="single" w:sz="6" w:space="0" w:color="auto"/>
            </w:tcBorders>
          </w:tcPr>
          <w:p w:rsidR="003E022D" w:rsidRDefault="007D19D6">
            <w:pPr>
              <w:spacing w:after="0"/>
              <w:rPr>
                <w:b/>
                <w:noProof/>
              </w:rPr>
            </w:pPr>
            <w:r>
              <w:rPr>
                <w:b/>
                <w:noProof/>
              </w:rPr>
              <w:t>Nr.</w:t>
            </w:r>
          </w:p>
        </w:tc>
        <w:tc>
          <w:tcPr>
            <w:tcW w:w="2006" w:type="dxa"/>
            <w:gridSpan w:val="2"/>
            <w:tcBorders>
              <w:top w:val="single" w:sz="4" w:space="0" w:color="auto"/>
              <w:bottom w:val="single" w:sz="6" w:space="0" w:color="auto"/>
            </w:tcBorders>
          </w:tcPr>
          <w:p w:rsidR="003E022D" w:rsidRDefault="007D19D6">
            <w:pPr>
              <w:spacing w:after="0"/>
              <w:rPr>
                <w:b/>
                <w:noProof/>
              </w:rPr>
            </w:pPr>
            <w:r>
              <w:rPr>
                <w:b/>
                <w:noProof/>
              </w:rPr>
              <w:t>Ziņojums</w:t>
            </w:r>
          </w:p>
        </w:tc>
        <w:tc>
          <w:tcPr>
            <w:tcW w:w="2138" w:type="dxa"/>
            <w:tcBorders>
              <w:top w:val="single" w:sz="4" w:space="0" w:color="auto"/>
              <w:bottom w:val="single" w:sz="6" w:space="0" w:color="auto"/>
            </w:tcBorders>
            <w:shd w:val="pct5" w:color="auto" w:fill="auto"/>
          </w:tcPr>
          <w:p w:rsidR="003E022D" w:rsidRDefault="007D19D6">
            <w:pPr>
              <w:spacing w:after="0"/>
              <w:rPr>
                <w:b/>
                <w:noProof/>
              </w:rPr>
            </w:pPr>
            <w:r>
              <w:rPr>
                <w:b/>
                <w:noProof/>
              </w:rPr>
              <w:t>Pieteikuma iesniedzēja iestāde</w:t>
            </w:r>
          </w:p>
        </w:tc>
        <w:tc>
          <w:tcPr>
            <w:tcW w:w="3079" w:type="dxa"/>
            <w:tcBorders>
              <w:top w:val="single" w:sz="4" w:space="0" w:color="auto"/>
              <w:bottom w:val="single" w:sz="6" w:space="0" w:color="auto"/>
              <w:right w:val="single" w:sz="4" w:space="0" w:color="auto"/>
            </w:tcBorders>
            <w:shd w:val="pct15" w:color="auto" w:fill="auto"/>
          </w:tcPr>
          <w:p w:rsidR="003E022D" w:rsidRDefault="007D19D6">
            <w:pPr>
              <w:spacing w:after="0"/>
              <w:rPr>
                <w:b/>
                <w:noProof/>
              </w:rPr>
            </w:pPr>
            <w:r>
              <w:rPr>
                <w:b/>
                <w:noProof/>
              </w:rPr>
              <w:t>Pieprasījuma saņēmēja iestāde</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920" w:type="dxa"/>
            <w:tcBorders>
              <w:top w:val="single" w:sz="6" w:space="0" w:color="auto"/>
              <w:left w:val="single" w:sz="6" w:space="0" w:color="auto"/>
            </w:tcBorders>
          </w:tcPr>
          <w:p w:rsidR="003E022D" w:rsidRDefault="007D19D6">
            <w:pPr>
              <w:spacing w:after="0"/>
              <w:rPr>
                <w:b/>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58" w:type="dxa"/>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1.</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3E022D" w:rsidRDefault="007D19D6">
            <w:pPr>
              <w:spacing w:before="200" w:after="0"/>
              <w:rPr>
                <w:noProof/>
                <w:sz w:val="20"/>
              </w:rPr>
            </w:pPr>
            <w:r>
              <w:rPr>
                <w:noProof/>
                <w:sz w:val="20"/>
              </w:rPr>
              <w:t>Pieprasījuma saņēmēja iestāde apstiprina pieprasījuma saņemšanu.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3E022D" w:rsidRDefault="007D19D6">
            <w:pPr>
              <w:spacing w:after="0"/>
              <w:rPr>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p w:rsidR="003E022D" w:rsidRDefault="007D19D6">
            <w:pPr>
              <w:spacing w:after="0"/>
              <w:rPr>
                <w:b/>
                <w:noProof/>
                <w:sz w:val="16"/>
                <w:szCs w:val="16"/>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Apvienot ar apstiprinājumu</w:t>
            </w:r>
          </w:p>
        </w:tc>
        <w:tc>
          <w:tcPr>
            <w:tcW w:w="458" w:type="dxa"/>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2.</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3E022D" w:rsidRDefault="007D19D6">
            <w:pPr>
              <w:spacing w:before="60" w:after="0"/>
              <w:rPr>
                <w:i/>
                <w:noProof/>
              </w:rPr>
            </w:pPr>
            <w:r>
              <w:rPr>
                <w:noProof/>
                <w:sz w:val="20"/>
              </w:rPr>
              <w:t>Pieprasījuma saņēmēja iestāde aicina pieteikuma iesniedzēju iestādi aizpildīt pieprasījumu ar šādu papildu informāciju:</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58" w:type="dxa"/>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3.</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3E022D" w:rsidRDefault="007D19D6">
            <w:pPr>
              <w:spacing w:after="0"/>
              <w:rPr>
                <w:noProof/>
                <w:sz w:val="20"/>
              </w:rPr>
            </w:pPr>
            <w:r>
              <w:rPr>
                <w:noProof/>
                <w:sz w:val="20"/>
              </w:rPr>
              <w:t>Pieprasījuma saņēmēja iestāde vēl nav saņēmusi pieprasīto papildu informāciju un slēgs jūsu pieprasījumu, j</w:t>
            </w:r>
            <w:r>
              <w:rPr>
                <w:noProof/>
                <w:sz w:val="20"/>
              </w:rPr>
              <w:t>a nesaņems šo informāciju līdz 20GG/MM/DD.</w:t>
            </w:r>
          </w:p>
        </w:tc>
      </w:tr>
      <w:bookmarkStart w:id="1425" w:name="Check141"/>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5"/>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r>
              <w:rPr>
                <w:b/>
                <w:noProof/>
                <w:sz w:val="20"/>
              </w:rPr>
              <w:t xml:space="preserve"> </w:t>
            </w:r>
          </w:p>
        </w:tc>
        <w:tc>
          <w:tcPr>
            <w:tcW w:w="458" w:type="dxa"/>
            <w:tcBorders>
              <w:top w:val="single" w:sz="6" w:space="0" w:color="auto"/>
            </w:tcBorders>
            <w:shd w:val="pct5" w:color="auto" w:fill="auto"/>
          </w:tcPr>
          <w:p w:rsidR="003E022D" w:rsidRDefault="007D19D6">
            <w:pPr>
              <w:spacing w:after="0"/>
              <w:rPr>
                <w:b/>
                <w:noProof/>
                <w:sz w:val="20"/>
              </w:rPr>
            </w:pPr>
            <w:r>
              <w:rPr>
                <w:b/>
                <w:noProof/>
                <w:sz w:val="20"/>
              </w:rPr>
              <w:t>4.</w:t>
            </w:r>
          </w:p>
        </w:tc>
        <w:tc>
          <w:tcPr>
            <w:tcW w:w="7223" w:type="dxa"/>
            <w:gridSpan w:val="4"/>
            <w:tcBorders>
              <w:top w:val="single" w:sz="6" w:space="0" w:color="auto"/>
              <w:right w:val="single" w:sz="6" w:space="0" w:color="auto"/>
            </w:tcBorders>
            <w:shd w:val="pct5" w:color="auto" w:fill="auto"/>
          </w:tcPr>
          <w:p w:rsidR="003E022D" w:rsidRDefault="007D19D6">
            <w:pPr>
              <w:spacing w:after="0"/>
              <w:rPr>
                <w:noProof/>
                <w:sz w:val="20"/>
              </w:rPr>
            </w:pPr>
            <w:r>
              <w:rPr>
                <w:noProof/>
                <w:sz w:val="20"/>
              </w:rPr>
              <w:t xml:space="preserve">Pieteikuma iesniedzēja iestāde: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left w:val="single" w:sz="6" w:space="0" w:color="auto"/>
            </w:tcBorders>
          </w:tcPr>
          <w:p w:rsidR="003E022D" w:rsidRDefault="003E022D">
            <w:pPr>
              <w:spacing w:after="0"/>
              <w:rPr>
                <w:noProof/>
                <w:sz w:val="20"/>
              </w:rPr>
            </w:pPr>
          </w:p>
        </w:tc>
        <w:bookmarkStart w:id="1426" w:name="Check17"/>
        <w:tc>
          <w:tcPr>
            <w:tcW w:w="458" w:type="dxa"/>
            <w:shd w:val="pct5" w:color="auto" w:fill="auto"/>
          </w:tcPr>
          <w:p w:rsidR="003E022D" w:rsidRDefault="007D19D6">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6"/>
          </w:p>
        </w:tc>
        <w:tc>
          <w:tcPr>
            <w:tcW w:w="262" w:type="dxa"/>
            <w:shd w:val="pct5" w:color="auto" w:fill="auto"/>
          </w:tcPr>
          <w:p w:rsidR="003E022D" w:rsidRDefault="007D19D6">
            <w:pPr>
              <w:spacing w:after="0"/>
              <w:rPr>
                <w:b/>
                <w:noProof/>
                <w:sz w:val="20"/>
              </w:rPr>
            </w:pPr>
            <w:r>
              <w:rPr>
                <w:b/>
                <w:noProof/>
                <w:sz w:val="20"/>
              </w:rPr>
              <w:t>a.</w:t>
            </w:r>
          </w:p>
        </w:tc>
        <w:tc>
          <w:tcPr>
            <w:tcW w:w="6961" w:type="dxa"/>
            <w:gridSpan w:val="3"/>
            <w:tcBorders>
              <w:right w:val="single" w:sz="6" w:space="0" w:color="auto"/>
            </w:tcBorders>
            <w:shd w:val="pct5" w:color="auto" w:fill="auto"/>
          </w:tcPr>
          <w:p w:rsidR="003E022D" w:rsidRDefault="007D19D6">
            <w:pPr>
              <w:spacing w:after="0"/>
              <w:rPr>
                <w:noProof/>
                <w:sz w:val="20"/>
              </w:rPr>
            </w:pPr>
            <w:r>
              <w:rPr>
                <w:noProof/>
                <w:sz w:val="20"/>
              </w:rPr>
              <w:t xml:space="preserve">pēc pieprasījuma sniedz šādu papildu informāciju: </w:t>
            </w:r>
          </w:p>
          <w:p w:rsidR="003E022D" w:rsidRDefault="007D19D6">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920" w:type="dxa"/>
            <w:tcBorders>
              <w:left w:val="single" w:sz="6" w:space="0" w:color="auto"/>
              <w:bottom w:val="single" w:sz="6" w:space="0" w:color="auto"/>
            </w:tcBorders>
          </w:tcPr>
          <w:p w:rsidR="003E022D" w:rsidRDefault="003E022D">
            <w:pPr>
              <w:spacing w:after="0"/>
              <w:rPr>
                <w:noProof/>
                <w:sz w:val="20"/>
              </w:rPr>
            </w:pPr>
          </w:p>
        </w:tc>
        <w:bookmarkStart w:id="1427" w:name="Check18"/>
        <w:tc>
          <w:tcPr>
            <w:tcW w:w="458" w:type="dxa"/>
            <w:tcBorders>
              <w:bottom w:val="single" w:sz="6" w:space="0" w:color="auto"/>
            </w:tcBorders>
            <w:shd w:val="pct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7"/>
          </w:p>
        </w:tc>
        <w:tc>
          <w:tcPr>
            <w:tcW w:w="262" w:type="dxa"/>
            <w:tcBorders>
              <w:bottom w:val="single" w:sz="6" w:space="0" w:color="auto"/>
            </w:tcBorders>
            <w:shd w:val="pct5" w:color="auto" w:fill="auto"/>
          </w:tcPr>
          <w:p w:rsidR="003E022D" w:rsidRDefault="007D19D6">
            <w:pPr>
              <w:spacing w:after="0"/>
              <w:rPr>
                <w:b/>
                <w:noProof/>
                <w:sz w:val="20"/>
              </w:rPr>
            </w:pPr>
            <w:r>
              <w:rPr>
                <w:b/>
                <w:noProof/>
                <w:sz w:val="20"/>
              </w:rPr>
              <w:t>b.</w:t>
            </w:r>
          </w:p>
        </w:tc>
        <w:tc>
          <w:tcPr>
            <w:tcW w:w="6961" w:type="dxa"/>
            <w:gridSpan w:val="3"/>
            <w:tcBorders>
              <w:bottom w:val="single" w:sz="6" w:space="0" w:color="auto"/>
              <w:right w:val="single" w:sz="6" w:space="0" w:color="auto"/>
            </w:tcBorders>
            <w:shd w:val="pct5" w:color="auto" w:fill="auto"/>
          </w:tcPr>
          <w:p w:rsidR="003E022D" w:rsidRDefault="007D19D6">
            <w:pPr>
              <w:spacing w:after="0"/>
              <w:rPr>
                <w:noProof/>
                <w:sz w:val="20"/>
              </w:rPr>
            </w:pPr>
            <w:r>
              <w:rPr>
                <w:noProof/>
                <w:sz w:val="20"/>
              </w:rPr>
              <w:t xml:space="preserve">nespēj sniegt pieprasīto papildu informāciju </w:t>
            </w:r>
          </w:p>
          <w:p w:rsidR="003E022D" w:rsidRDefault="007D19D6">
            <w:pPr>
              <w:spacing w:after="0"/>
              <w:rPr>
                <w:noProof/>
                <w:sz w:val="20"/>
              </w:rPr>
            </w:pPr>
            <w:r>
              <w:rPr>
                <w:noProof/>
                <w:sz w:val="20"/>
              </w:rPr>
              <w:t xml:space="preserve">(jo: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szCs w:val="20"/>
              </w:rPr>
              <w:t>)</w:t>
            </w:r>
          </w:p>
        </w:tc>
      </w:tr>
      <w:bookmarkStart w:id="1428" w:name="Check142"/>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8"/>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58" w:type="dxa"/>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5.</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3E022D" w:rsidRDefault="007D19D6">
            <w:pPr>
              <w:spacing w:before="60" w:after="0"/>
              <w:rPr>
                <w:b/>
                <w:noProof/>
                <w:sz w:val="20"/>
              </w:rPr>
            </w:pPr>
            <w:r>
              <w:rPr>
                <w:noProof/>
                <w:sz w:val="20"/>
              </w:rPr>
              <w:t>Pieprasījuma saņēmēja iestāde apstiprina papildu informācijas saņemšanu un tagad var turpināt procedūru.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val="restart"/>
            <w:tcBorders>
              <w:top w:val="single" w:sz="6" w:space="0" w:color="auto"/>
              <w:left w:val="single" w:sz="6" w:space="0" w:color="auto"/>
            </w:tcBorders>
          </w:tcPr>
          <w:p w:rsidR="003E022D" w:rsidRDefault="007D19D6">
            <w:pPr>
              <w:keepNext/>
              <w:keepLines/>
              <w:spacing w:after="0"/>
              <w:rPr>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p w:rsidR="003E022D" w:rsidRDefault="003E022D">
            <w:pPr>
              <w:keepNext/>
              <w:keepLines/>
              <w:spacing w:after="0"/>
              <w:rPr>
                <w:i/>
                <w:noProof/>
                <w:sz w:val="20"/>
              </w:rPr>
            </w:pPr>
          </w:p>
          <w:p w:rsidR="003E022D" w:rsidRDefault="003E022D">
            <w:pPr>
              <w:keepNext/>
              <w:keepLines/>
              <w:spacing w:after="0"/>
              <w:rPr>
                <w:b/>
                <w:noProof/>
                <w:sz w:val="20"/>
              </w:rPr>
            </w:pPr>
          </w:p>
        </w:tc>
        <w:tc>
          <w:tcPr>
            <w:tcW w:w="458" w:type="dxa"/>
            <w:tcBorders>
              <w:top w:val="single" w:sz="6" w:space="0" w:color="auto"/>
            </w:tcBorders>
            <w:shd w:val="pct15" w:color="auto" w:fill="auto"/>
          </w:tcPr>
          <w:p w:rsidR="003E022D" w:rsidRDefault="007D19D6">
            <w:pPr>
              <w:keepNext/>
              <w:keepLines/>
              <w:spacing w:after="0"/>
              <w:rPr>
                <w:b/>
                <w:noProof/>
                <w:sz w:val="20"/>
              </w:rPr>
            </w:pPr>
            <w:r>
              <w:rPr>
                <w:b/>
                <w:noProof/>
                <w:sz w:val="20"/>
              </w:rPr>
              <w:t>6.</w:t>
            </w:r>
          </w:p>
          <w:p w:rsidR="003E022D" w:rsidRDefault="003E022D">
            <w:pPr>
              <w:keepNext/>
              <w:keepLines/>
              <w:spacing w:after="0"/>
              <w:rPr>
                <w:b/>
                <w:noProof/>
                <w:sz w:val="20"/>
                <w:szCs w:val="20"/>
              </w:rPr>
            </w:pPr>
          </w:p>
        </w:tc>
        <w:tc>
          <w:tcPr>
            <w:tcW w:w="7223" w:type="dxa"/>
            <w:gridSpan w:val="4"/>
            <w:tcBorders>
              <w:top w:val="single" w:sz="6" w:space="0" w:color="auto"/>
              <w:right w:val="single" w:sz="6" w:space="0" w:color="auto"/>
            </w:tcBorders>
            <w:shd w:val="pct15" w:color="auto" w:fill="auto"/>
          </w:tcPr>
          <w:p w:rsidR="003E022D" w:rsidRDefault="007D19D6">
            <w:pPr>
              <w:keepNext/>
              <w:keepLines/>
              <w:spacing w:after="0"/>
              <w:rPr>
                <w:noProof/>
                <w:sz w:val="20"/>
              </w:rPr>
            </w:pPr>
            <w:r>
              <w:rPr>
                <w:noProof/>
                <w:sz w:val="20"/>
              </w:rPr>
              <w:t>Pieprasījuma saņēmēja iestāde nesniedz palīdzību un slēdz lietu, jo:</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top w:val="single" w:sz="6" w:space="0" w:color="auto"/>
              <w:left w:val="single" w:sz="6" w:space="0" w:color="auto"/>
            </w:tcBorders>
          </w:tcPr>
          <w:p w:rsidR="003E022D" w:rsidRDefault="003E022D">
            <w:pPr>
              <w:keepNext/>
              <w:keepLines/>
              <w:spacing w:after="0"/>
              <w:rPr>
                <w:i/>
                <w:noProof/>
                <w:sz w:val="20"/>
              </w:rPr>
            </w:pPr>
          </w:p>
        </w:tc>
        <w:tc>
          <w:tcPr>
            <w:tcW w:w="458" w:type="dxa"/>
            <w:shd w:val="pct15" w:color="auto" w:fill="auto"/>
          </w:tcPr>
          <w:p w:rsidR="003E022D" w:rsidRDefault="007D19D6">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3E022D" w:rsidRDefault="007D19D6">
            <w:pPr>
              <w:spacing w:after="0"/>
              <w:rPr>
                <w:noProof/>
                <w:color w:val="0000FF"/>
                <w:sz w:val="20"/>
              </w:rPr>
            </w:pPr>
            <w:r>
              <w:rPr>
                <w:noProof/>
                <w:sz w:val="20"/>
              </w:rPr>
              <w:t>nav kompetenta attiecībā uz prasījumiem, uz kuriem attiecas pieprasījums</w:t>
            </w:r>
            <w:r>
              <w:rPr>
                <w:noProof/>
                <w:color w:val="0000FF"/>
                <w:sz w:val="20"/>
              </w:rPr>
              <w:t>.</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left w:val="single" w:sz="6" w:space="0" w:color="auto"/>
            </w:tcBorders>
          </w:tcPr>
          <w:p w:rsidR="003E022D" w:rsidRDefault="003E022D">
            <w:pPr>
              <w:keepNext/>
              <w:keepLines/>
              <w:spacing w:after="0"/>
              <w:rPr>
                <w:i/>
                <w:noProof/>
                <w:sz w:val="20"/>
              </w:rPr>
            </w:pPr>
          </w:p>
        </w:tc>
        <w:tc>
          <w:tcPr>
            <w:tcW w:w="458" w:type="dxa"/>
            <w:shd w:val="pct15" w:color="auto" w:fill="auto"/>
          </w:tcPr>
          <w:p w:rsidR="003E022D" w:rsidRDefault="007D19D6">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keepNext/>
              <w:keepLines/>
              <w:spacing w:after="0"/>
              <w:rPr>
                <w:b/>
                <w:noProof/>
                <w:sz w:val="20"/>
              </w:rPr>
            </w:pPr>
            <w:r>
              <w:rPr>
                <w:b/>
                <w:noProof/>
                <w:sz w:val="20"/>
              </w:rPr>
              <w:t>b.</w:t>
            </w:r>
          </w:p>
        </w:tc>
        <w:tc>
          <w:tcPr>
            <w:tcW w:w="6961" w:type="dxa"/>
            <w:gridSpan w:val="3"/>
            <w:tcBorders>
              <w:right w:val="single" w:sz="6" w:space="0" w:color="auto"/>
            </w:tcBorders>
            <w:shd w:val="pct15" w:color="auto" w:fill="auto"/>
          </w:tcPr>
          <w:p w:rsidR="003E022D" w:rsidRDefault="007D19D6">
            <w:pPr>
              <w:spacing w:after="0"/>
              <w:rPr>
                <w:noProof/>
                <w:sz w:val="20"/>
              </w:rPr>
            </w:pPr>
            <w:r>
              <w:rPr>
                <w:noProof/>
                <w:sz w:val="20"/>
              </w:rPr>
              <w:t>prasījums ir vecāks, nekā paredzēts protokolā.</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65"/>
        </w:trPr>
        <w:tc>
          <w:tcPr>
            <w:tcW w:w="1920" w:type="dxa"/>
            <w:vMerge/>
            <w:tcBorders>
              <w:left w:val="single" w:sz="6" w:space="0" w:color="auto"/>
            </w:tcBorders>
          </w:tcPr>
          <w:p w:rsidR="003E022D" w:rsidRDefault="003E022D">
            <w:pPr>
              <w:keepNext/>
              <w:keepLines/>
              <w:spacing w:after="0"/>
              <w:rPr>
                <w:i/>
                <w:noProof/>
                <w:sz w:val="20"/>
              </w:rPr>
            </w:pPr>
          </w:p>
        </w:tc>
        <w:tc>
          <w:tcPr>
            <w:tcW w:w="458" w:type="dxa"/>
            <w:shd w:val="pct15" w:color="auto" w:fill="auto"/>
          </w:tcPr>
          <w:p w:rsidR="003E022D" w:rsidRDefault="007D19D6">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keepNext/>
              <w:keepLines/>
              <w:spacing w:after="0"/>
              <w:rPr>
                <w:b/>
                <w:noProof/>
                <w:sz w:val="20"/>
              </w:rPr>
            </w:pPr>
            <w:r>
              <w:rPr>
                <w:b/>
                <w:noProof/>
                <w:sz w:val="20"/>
              </w:rPr>
              <w:t>c.</w:t>
            </w:r>
          </w:p>
        </w:tc>
        <w:tc>
          <w:tcPr>
            <w:tcW w:w="6961" w:type="dxa"/>
            <w:gridSpan w:val="3"/>
            <w:tcBorders>
              <w:right w:val="single" w:sz="6" w:space="0" w:color="auto"/>
            </w:tcBorders>
            <w:shd w:val="pct15" w:color="auto" w:fill="auto"/>
          </w:tcPr>
          <w:p w:rsidR="003E022D" w:rsidRDefault="007D19D6">
            <w:pPr>
              <w:spacing w:after="0"/>
              <w:rPr>
                <w:noProof/>
                <w:sz w:val="20"/>
              </w:rPr>
            </w:pPr>
            <w:r>
              <w:rPr>
                <w:noProof/>
                <w:sz w:val="20"/>
              </w:rPr>
              <w:t>prasījuma summa ir mazāka par robežvērtību.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keepNext/>
              <w:keepLines/>
              <w:spacing w:after="0"/>
              <w:rPr>
                <w:i/>
                <w:noProof/>
                <w:sz w:val="20"/>
              </w:rPr>
            </w:pPr>
          </w:p>
        </w:tc>
        <w:tc>
          <w:tcPr>
            <w:tcW w:w="458" w:type="dxa"/>
            <w:shd w:val="pct15" w:color="auto" w:fill="auto"/>
          </w:tcPr>
          <w:p w:rsidR="003E022D" w:rsidRDefault="007D19D6">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keepNext/>
              <w:keepLines/>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nespēj iegūt šo informāciju līdzīgu valsts prasījumu piedziņai.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keepNext/>
              <w:keepLines/>
              <w:spacing w:after="0"/>
              <w:rPr>
                <w:i/>
                <w:noProof/>
                <w:sz w:val="20"/>
              </w:rPr>
            </w:pPr>
          </w:p>
        </w:tc>
        <w:tc>
          <w:tcPr>
            <w:tcW w:w="458" w:type="dxa"/>
            <w:shd w:val="pct15" w:color="auto" w:fill="auto"/>
          </w:tcPr>
          <w:p w:rsidR="003E022D" w:rsidRDefault="007D19D6">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keepNext/>
              <w:keepLines/>
              <w:spacing w:after="0"/>
              <w:rPr>
                <w:b/>
                <w:noProof/>
                <w:sz w:val="20"/>
              </w:rPr>
            </w:pPr>
            <w:r>
              <w:rPr>
                <w:b/>
                <w:noProof/>
                <w:sz w:val="20"/>
              </w:rPr>
              <w:t>e.</w:t>
            </w: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citādi izpaustu komerciālu, rūpniecisku vai dienesta noslēpumu.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keepNext/>
              <w:keepLines/>
              <w:spacing w:after="0"/>
              <w:rPr>
                <w:i/>
                <w:noProof/>
                <w:sz w:val="20"/>
              </w:rPr>
            </w:pPr>
          </w:p>
        </w:tc>
        <w:tc>
          <w:tcPr>
            <w:tcW w:w="458" w:type="dxa"/>
            <w:shd w:val="pct15" w:color="auto" w:fill="auto"/>
          </w:tcPr>
          <w:p w:rsidR="003E022D" w:rsidRDefault="007D19D6">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keepNext/>
              <w:keepLines/>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šīs informācijas izpaušana apdraudētu drošību vai būtu pretrunā valsts sabiedriskajai kārtībai.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tcBorders>
          </w:tcPr>
          <w:p w:rsidR="003E022D" w:rsidRDefault="003E022D">
            <w:pPr>
              <w:spacing w:after="0"/>
              <w:rPr>
                <w:i/>
                <w:noProof/>
                <w:sz w:val="20"/>
              </w:rPr>
            </w:pPr>
          </w:p>
        </w:tc>
        <w:tc>
          <w:tcPr>
            <w:tcW w:w="458" w:type="dxa"/>
            <w:shd w:val="pct15" w:color="auto" w:fill="auto"/>
          </w:tcPr>
          <w:p w:rsidR="003E022D" w:rsidRDefault="007D19D6">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shd w:val="pct15" w:color="auto" w:fill="auto"/>
          </w:tcPr>
          <w:p w:rsidR="003E022D" w:rsidRDefault="007D19D6">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 xml:space="preserve">pieteikuma </w:t>
            </w:r>
            <w:r>
              <w:rPr>
                <w:noProof/>
                <w:sz w:val="20"/>
              </w:rPr>
              <w:t>iesniedzēja iestāde nav sniegusi visu vajadzīgo papildu informāciju.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3E022D" w:rsidRDefault="003E022D">
            <w:pPr>
              <w:spacing w:after="0"/>
              <w:rPr>
                <w:i/>
                <w:noProof/>
                <w:sz w:val="20"/>
              </w:rPr>
            </w:pPr>
          </w:p>
        </w:tc>
        <w:tc>
          <w:tcPr>
            <w:tcW w:w="458" w:type="dxa"/>
            <w:tcBorders>
              <w:bottom w:val="single" w:sz="4" w:space="0" w:color="auto"/>
            </w:tcBorders>
            <w:shd w:val="pct15" w:color="auto" w:fill="auto"/>
          </w:tcPr>
          <w:p w:rsidR="003E022D" w:rsidRDefault="007D19D6">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tcBorders>
              <w:bottom w:val="single" w:sz="4" w:space="0" w:color="auto"/>
            </w:tcBorders>
            <w:shd w:val="pct15" w:color="auto" w:fill="auto"/>
          </w:tcPr>
          <w:p w:rsidR="003E022D" w:rsidRDefault="007D19D6">
            <w:pPr>
              <w:spacing w:after="0"/>
              <w:rPr>
                <w:b/>
                <w:noProof/>
                <w:sz w:val="20"/>
              </w:rPr>
            </w:pPr>
            <w:r>
              <w:rPr>
                <w:b/>
                <w:noProof/>
                <w:sz w:val="20"/>
              </w:rPr>
              <w:t>h.</w:t>
            </w:r>
          </w:p>
        </w:tc>
        <w:tc>
          <w:tcPr>
            <w:tcW w:w="6961" w:type="dxa"/>
            <w:gridSpan w:val="3"/>
            <w:tcBorders>
              <w:left w:val="nil"/>
              <w:bottom w:val="single" w:sz="4" w:space="0" w:color="auto"/>
              <w:right w:val="single" w:sz="6" w:space="0" w:color="auto"/>
            </w:tcBorders>
            <w:shd w:val="pct15" w:color="auto" w:fill="auto"/>
          </w:tcPr>
          <w:p w:rsidR="003E022D" w:rsidRDefault="007D19D6">
            <w:pPr>
              <w:spacing w:after="0"/>
              <w:rPr>
                <w:b/>
                <w:noProof/>
                <w:sz w:val="20"/>
              </w:rPr>
            </w:pPr>
            <w:r>
              <w:rPr>
                <w:noProof/>
                <w:sz w:val="20"/>
              </w:rPr>
              <w:t xml:space="preserve">cits iemesls: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color w:val="FF0000"/>
                <w:sz w:val="20"/>
              </w:rPr>
              <w:t xml:space="preserve"> </w:t>
            </w:r>
          </w:p>
          <w:p w:rsidR="003E022D" w:rsidRDefault="003E022D">
            <w:pPr>
              <w:spacing w:after="0"/>
              <w:rPr>
                <w:noProof/>
                <w:sz w:val="20"/>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r>
              <w:rPr>
                <w:b/>
                <w:noProof/>
                <w:sz w:val="20"/>
              </w:rPr>
              <w:t xml:space="preserve"> </w:t>
            </w:r>
          </w:p>
        </w:tc>
        <w:tc>
          <w:tcPr>
            <w:tcW w:w="458" w:type="dxa"/>
            <w:tcBorders>
              <w:top w:val="single" w:sz="6" w:space="0" w:color="auto"/>
              <w:bottom w:val="single" w:sz="4" w:space="0" w:color="auto"/>
            </w:tcBorders>
            <w:shd w:val="pct5" w:color="auto" w:fill="auto"/>
          </w:tcPr>
          <w:p w:rsidR="003E022D" w:rsidRDefault="007D19D6">
            <w:pPr>
              <w:spacing w:after="0"/>
              <w:rPr>
                <w:b/>
                <w:noProof/>
                <w:sz w:val="20"/>
              </w:rPr>
            </w:pPr>
            <w:r>
              <w:rPr>
                <w:b/>
                <w:noProof/>
                <w:sz w:val="20"/>
              </w:rPr>
              <w:t>7.</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3E022D" w:rsidRDefault="007D19D6">
            <w:pPr>
              <w:spacing w:before="200" w:after="0"/>
              <w:rPr>
                <w:noProof/>
                <w:color w:val="0000FF"/>
              </w:rPr>
            </w:pPr>
            <w:r>
              <w:rPr>
                <w:noProof/>
                <w:sz w:val="20"/>
              </w:rPr>
              <w:t>Pieteikuma iesniedzēja iestāde lūdz to informēt par tās pieprasījuma pašreizējo statusu.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58" w:type="dxa"/>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8.</w:t>
            </w:r>
          </w:p>
        </w:tc>
        <w:tc>
          <w:tcPr>
            <w:tcW w:w="7223" w:type="dxa"/>
            <w:gridSpan w:val="4"/>
            <w:tcBorders>
              <w:top w:val="single" w:sz="6" w:space="0" w:color="auto"/>
              <w:bottom w:val="single" w:sz="6" w:space="0" w:color="auto"/>
              <w:right w:val="single" w:sz="6" w:space="0" w:color="auto"/>
            </w:tcBorders>
            <w:shd w:val="pct15" w:color="auto" w:fill="auto"/>
          </w:tcPr>
          <w:p w:rsidR="003E022D" w:rsidRDefault="007D19D6">
            <w:pPr>
              <w:spacing w:after="0"/>
              <w:rPr>
                <w:noProof/>
                <w:sz w:val="20"/>
              </w:rPr>
            </w:pPr>
            <w:r>
              <w:rPr>
                <w:noProof/>
                <w:sz w:val="20"/>
              </w:rPr>
              <w:t xml:space="preserve">Pieprasījuma saņēmēja iestāde patlaban nevar sniegt informāciju, jo: </w:t>
            </w:r>
          </w:p>
          <w:p w:rsidR="003E022D" w:rsidRDefault="007D19D6">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ir lūgusi informāciju citām valsts iestādēm.</w:t>
            </w:r>
          </w:p>
          <w:p w:rsidR="003E022D" w:rsidRDefault="007D19D6">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ir lūgusi informāciju no trešās personas.</w:t>
            </w:r>
          </w:p>
          <w:p w:rsidR="003E022D" w:rsidRDefault="007D19D6">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organizē zvanu personai.</w:t>
            </w:r>
          </w:p>
          <w:p w:rsidR="003E022D" w:rsidRDefault="007D19D6">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cits iemesls: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val="restart"/>
            <w:tcBorders>
              <w:left w:val="single" w:sz="6" w:space="0" w:color="auto"/>
            </w:tcBorders>
          </w:tcPr>
          <w:p w:rsidR="003E022D" w:rsidRDefault="007D19D6">
            <w:pPr>
              <w:spacing w:after="0"/>
              <w:rPr>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58" w:type="dxa"/>
            <w:tcBorders>
              <w:top w:val="single" w:sz="4" w:space="0" w:color="auto"/>
            </w:tcBorders>
            <w:shd w:val="pct15" w:color="auto" w:fill="auto"/>
          </w:tcPr>
          <w:p w:rsidR="003E022D" w:rsidRDefault="007D19D6">
            <w:pPr>
              <w:spacing w:after="0"/>
              <w:rPr>
                <w:b/>
                <w:noProof/>
                <w:sz w:val="20"/>
              </w:rPr>
            </w:pPr>
            <w:r>
              <w:rPr>
                <w:b/>
                <w:noProof/>
                <w:sz w:val="20"/>
              </w:rPr>
              <w:t>9.</w:t>
            </w:r>
          </w:p>
        </w:tc>
        <w:tc>
          <w:tcPr>
            <w:tcW w:w="7223" w:type="dxa"/>
            <w:gridSpan w:val="4"/>
            <w:tcBorders>
              <w:top w:val="single" w:sz="4" w:space="0" w:color="auto"/>
              <w:right w:val="single" w:sz="6" w:space="0" w:color="auto"/>
            </w:tcBorders>
            <w:shd w:val="pct15" w:color="auto" w:fill="auto"/>
          </w:tcPr>
          <w:p w:rsidR="003E022D" w:rsidRDefault="007D19D6">
            <w:pPr>
              <w:spacing w:after="0"/>
              <w:rPr>
                <w:noProof/>
                <w:sz w:val="20"/>
              </w:rPr>
            </w:pPr>
            <w:r>
              <w:rPr>
                <w:noProof/>
                <w:sz w:val="20"/>
              </w:rPr>
              <w:t>Pieprasīto informāciju nevar iegūt, jo:</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i/>
                <w:noProof/>
                <w:sz w:val="20"/>
              </w:rPr>
            </w:pPr>
          </w:p>
        </w:tc>
        <w:tc>
          <w:tcPr>
            <w:tcW w:w="458" w:type="dxa"/>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spacing w:after="0"/>
              <w:rPr>
                <w:b/>
                <w:noProof/>
                <w:sz w:val="20"/>
              </w:rPr>
            </w:pPr>
            <w:r>
              <w:rPr>
                <w:b/>
                <w:noProof/>
                <w:sz w:val="20"/>
              </w:rPr>
              <w:t>a.</w:t>
            </w:r>
          </w:p>
        </w:tc>
        <w:tc>
          <w:tcPr>
            <w:tcW w:w="6961" w:type="dxa"/>
            <w:gridSpan w:val="3"/>
            <w:tcBorders>
              <w:right w:val="single" w:sz="6" w:space="0" w:color="auto"/>
            </w:tcBorders>
            <w:shd w:val="pct15" w:color="auto" w:fill="auto"/>
          </w:tcPr>
          <w:p w:rsidR="003E022D" w:rsidRDefault="007D19D6">
            <w:pPr>
              <w:spacing w:after="0"/>
              <w:rPr>
                <w:noProof/>
                <w:sz w:val="20"/>
              </w:rPr>
            </w:pPr>
            <w:r>
              <w:rPr>
                <w:noProof/>
                <w:sz w:val="20"/>
              </w:rPr>
              <w:t>attiecīgā persona nav zināma.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i/>
                <w:noProof/>
                <w:sz w:val="20"/>
              </w:rPr>
            </w:pPr>
          </w:p>
        </w:tc>
        <w:tc>
          <w:tcPr>
            <w:tcW w:w="458" w:type="dxa"/>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spacing w:after="0"/>
              <w:rPr>
                <w:b/>
                <w:noProof/>
                <w:sz w:val="20"/>
              </w:rPr>
            </w:pPr>
            <w:r>
              <w:rPr>
                <w:b/>
                <w:noProof/>
                <w:sz w:val="20"/>
              </w:rPr>
              <w:t>b.</w:t>
            </w:r>
          </w:p>
        </w:tc>
        <w:tc>
          <w:tcPr>
            <w:tcW w:w="6961" w:type="dxa"/>
            <w:gridSpan w:val="3"/>
            <w:tcBorders>
              <w:right w:val="single" w:sz="6" w:space="0" w:color="auto"/>
            </w:tcBorders>
            <w:shd w:val="pct15" w:color="auto" w:fill="auto"/>
          </w:tcPr>
          <w:p w:rsidR="003E022D" w:rsidRDefault="007D19D6">
            <w:pPr>
              <w:spacing w:after="0"/>
              <w:rPr>
                <w:noProof/>
                <w:sz w:val="20"/>
              </w:rPr>
            </w:pPr>
            <w:r>
              <w:rPr>
                <w:noProof/>
                <w:sz w:val="20"/>
              </w:rPr>
              <w:t>nav pietiekamu datu attiecīgās personas identificēšanai.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i/>
                <w:noProof/>
                <w:sz w:val="20"/>
              </w:rPr>
            </w:pPr>
          </w:p>
        </w:tc>
        <w:tc>
          <w:tcPr>
            <w:tcW w:w="458" w:type="dxa"/>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spacing w:after="0"/>
              <w:rPr>
                <w:b/>
                <w:noProof/>
                <w:sz w:val="20"/>
              </w:rPr>
            </w:pPr>
            <w:r>
              <w:rPr>
                <w:b/>
                <w:noProof/>
                <w:sz w:val="20"/>
              </w:rPr>
              <w:t>c.</w:t>
            </w:r>
          </w:p>
        </w:tc>
        <w:tc>
          <w:tcPr>
            <w:tcW w:w="6961" w:type="dxa"/>
            <w:gridSpan w:val="3"/>
            <w:tcBorders>
              <w:right w:val="single" w:sz="6" w:space="0" w:color="auto"/>
            </w:tcBorders>
            <w:shd w:val="pct15" w:color="auto" w:fill="auto"/>
          </w:tcPr>
          <w:p w:rsidR="003E022D" w:rsidRDefault="007D19D6">
            <w:pPr>
              <w:spacing w:after="0"/>
              <w:rPr>
                <w:noProof/>
                <w:sz w:val="20"/>
              </w:rPr>
            </w:pPr>
            <w:r>
              <w:rPr>
                <w:noProof/>
                <w:sz w:val="20"/>
              </w:rPr>
              <w:t>attiecīgā persona ir pārcēlusies, adrese nav zināma.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i/>
                <w:noProof/>
                <w:sz w:val="20"/>
              </w:rPr>
            </w:pPr>
          </w:p>
        </w:tc>
        <w:tc>
          <w:tcPr>
            <w:tcW w:w="458" w:type="dxa"/>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spacing w:after="0"/>
              <w:rPr>
                <w:b/>
                <w:noProof/>
                <w:sz w:val="20"/>
              </w:rPr>
            </w:pPr>
            <w:r>
              <w:rPr>
                <w:b/>
                <w:noProof/>
                <w:sz w:val="20"/>
              </w:rPr>
              <w:t>d.</w:t>
            </w:r>
          </w:p>
        </w:tc>
        <w:tc>
          <w:tcPr>
            <w:tcW w:w="6961" w:type="dxa"/>
            <w:gridSpan w:val="3"/>
            <w:tcBorders>
              <w:right w:val="single" w:sz="6" w:space="0" w:color="auto"/>
            </w:tcBorders>
            <w:shd w:val="pct15" w:color="auto" w:fill="auto"/>
          </w:tcPr>
          <w:p w:rsidR="003E022D" w:rsidRDefault="007D19D6">
            <w:pPr>
              <w:spacing w:after="0"/>
              <w:rPr>
                <w:noProof/>
                <w:sz w:val="20"/>
              </w:rPr>
            </w:pPr>
            <w:r>
              <w:rPr>
                <w:noProof/>
                <w:sz w:val="20"/>
              </w:rPr>
              <w:t>pieprasītā informācija nav pieejama.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3E022D" w:rsidRDefault="003E022D">
            <w:pPr>
              <w:spacing w:after="0"/>
              <w:rPr>
                <w:i/>
                <w:noProof/>
                <w:sz w:val="20"/>
              </w:rPr>
            </w:pPr>
          </w:p>
        </w:tc>
        <w:tc>
          <w:tcPr>
            <w:tcW w:w="458" w:type="dxa"/>
            <w:tcBorders>
              <w:bottom w:val="single" w:sz="6" w:space="0" w:color="auto"/>
            </w:tcBorders>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6" w:space="0" w:color="auto"/>
            </w:tcBorders>
            <w:shd w:val="pct15" w:color="auto" w:fill="auto"/>
          </w:tcPr>
          <w:p w:rsidR="003E022D" w:rsidRDefault="007D19D6">
            <w:pPr>
              <w:spacing w:after="0"/>
              <w:rPr>
                <w:b/>
                <w:strike/>
                <w:noProof/>
                <w:sz w:val="20"/>
              </w:rPr>
            </w:pPr>
            <w:r>
              <w:rPr>
                <w:b/>
                <w:noProof/>
                <w:sz w:val="20"/>
              </w:rPr>
              <w:t>e.</w:t>
            </w:r>
          </w:p>
        </w:tc>
        <w:tc>
          <w:tcPr>
            <w:tcW w:w="6961" w:type="dxa"/>
            <w:gridSpan w:val="3"/>
            <w:tcBorders>
              <w:bottom w:val="single" w:sz="6" w:space="0" w:color="auto"/>
              <w:right w:val="single" w:sz="6" w:space="0" w:color="auto"/>
            </w:tcBorders>
            <w:shd w:val="pct15" w:color="auto" w:fill="auto"/>
          </w:tcPr>
          <w:p w:rsidR="003E022D" w:rsidRDefault="007D19D6">
            <w:pPr>
              <w:spacing w:after="0"/>
              <w:rPr>
                <w:noProof/>
                <w:sz w:val="20"/>
              </w:rPr>
            </w:pPr>
            <w:r>
              <w:rPr>
                <w:noProof/>
                <w:sz w:val="20"/>
              </w:rPr>
              <w:t xml:space="preserve">cits iemesls: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58" w:type="dxa"/>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10.</w:t>
            </w: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3E022D" w:rsidRDefault="007D19D6">
            <w:pPr>
              <w:spacing w:before="200" w:after="200"/>
              <w:rPr>
                <w:noProof/>
                <w:sz w:val="20"/>
              </w:rPr>
            </w:pPr>
            <w:r>
              <w:rPr>
                <w:noProof/>
                <w:sz w:val="20"/>
              </w:rPr>
              <w:t>Pieprasījuma saņēmēja iestāde nosūta šādu pieprasītās informācijas daļu: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84"/>
        </w:trPr>
        <w:tc>
          <w:tcPr>
            <w:tcW w:w="1920" w:type="dxa"/>
            <w:vMerge w:val="restart"/>
            <w:tcBorders>
              <w:top w:val="single" w:sz="6" w:space="0" w:color="auto"/>
              <w:left w:val="single" w:sz="6"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58" w:type="dxa"/>
            <w:tcBorders>
              <w:top w:val="single" w:sz="6" w:space="0" w:color="auto"/>
            </w:tcBorders>
            <w:shd w:val="pct15" w:color="auto" w:fill="auto"/>
          </w:tcPr>
          <w:p w:rsidR="003E022D" w:rsidRDefault="007D19D6">
            <w:pPr>
              <w:keepNext/>
              <w:keepLines/>
              <w:spacing w:after="0"/>
              <w:rPr>
                <w:b/>
                <w:noProof/>
                <w:sz w:val="20"/>
              </w:rPr>
            </w:pPr>
            <w:r>
              <w:rPr>
                <w:b/>
                <w:noProof/>
                <w:sz w:val="20"/>
              </w:rPr>
              <w:t>11.</w:t>
            </w:r>
          </w:p>
        </w:tc>
        <w:tc>
          <w:tcPr>
            <w:tcW w:w="7223" w:type="dxa"/>
            <w:gridSpan w:val="4"/>
            <w:tcBorders>
              <w:top w:val="single" w:sz="6" w:space="0" w:color="auto"/>
              <w:right w:val="single" w:sz="6" w:space="0" w:color="auto"/>
            </w:tcBorders>
            <w:shd w:val="pct15" w:color="auto" w:fill="auto"/>
          </w:tcPr>
          <w:p w:rsidR="003E022D" w:rsidRDefault="007D19D6">
            <w:pPr>
              <w:spacing w:after="0"/>
              <w:rPr>
                <w:noProof/>
                <w:sz w:val="20"/>
              </w:rPr>
            </w:pPr>
            <w:r>
              <w:rPr>
                <w:noProof/>
                <w:sz w:val="20"/>
              </w:rPr>
              <w:t>Pieprasījuma saņēmēja iestāde nosūta visu pieprasīto informāciju (vai tās pēdējo daļu):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04"/>
        </w:trPr>
        <w:tc>
          <w:tcPr>
            <w:tcW w:w="1920" w:type="dxa"/>
            <w:vMerge/>
            <w:tcBorders>
              <w:left w:val="single" w:sz="6" w:space="0" w:color="auto"/>
            </w:tcBorders>
          </w:tcPr>
          <w:p w:rsidR="003E022D" w:rsidRDefault="003E022D">
            <w:pPr>
              <w:spacing w:after="0"/>
              <w:rPr>
                <w:noProof/>
                <w:sz w:val="20"/>
              </w:rPr>
            </w:pPr>
          </w:p>
        </w:tc>
        <w:tc>
          <w:tcPr>
            <w:tcW w:w="458" w:type="dxa"/>
            <w:shd w:val="pct15" w:color="auto" w:fill="auto"/>
          </w:tcPr>
          <w:p w:rsidR="003E022D" w:rsidRDefault="007D19D6">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3E022D" w:rsidRDefault="007D19D6">
            <w:pPr>
              <w:spacing w:after="0"/>
              <w:rPr>
                <w:b/>
                <w:noProof/>
                <w:sz w:val="20"/>
              </w:rPr>
            </w:pPr>
            <w:r>
              <w:rPr>
                <w:noProof/>
                <w:sz w:val="20"/>
              </w:rPr>
              <w:t>identitāte apstiprināta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noProof/>
                <w:sz w:val="20"/>
              </w:rPr>
            </w:pPr>
          </w:p>
        </w:tc>
        <w:tc>
          <w:tcPr>
            <w:tcW w:w="458" w:type="dxa"/>
            <w:shd w:val="pct15" w:color="auto" w:fill="auto"/>
          </w:tcPr>
          <w:p w:rsidR="003E022D" w:rsidRDefault="007D19D6">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keepNext/>
              <w:keepLines/>
              <w:spacing w:after="0"/>
              <w:rPr>
                <w:b/>
                <w:noProof/>
                <w:sz w:val="20"/>
              </w:rPr>
            </w:pPr>
            <w:r>
              <w:rPr>
                <w:b/>
                <w:noProof/>
                <w:sz w:val="20"/>
              </w:rPr>
              <w:t>b.</w:t>
            </w: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adrese apstiprināta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noProof/>
                <w:sz w:val="20"/>
              </w:rPr>
            </w:pPr>
          </w:p>
        </w:tc>
        <w:tc>
          <w:tcPr>
            <w:tcW w:w="458" w:type="dxa"/>
            <w:shd w:val="pct15" w:color="auto" w:fill="auto"/>
          </w:tcPr>
          <w:p w:rsidR="003E022D" w:rsidRDefault="007D19D6">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keepNext/>
              <w:keepLines/>
              <w:spacing w:after="0"/>
              <w:rPr>
                <w:b/>
                <w:noProof/>
                <w:sz w:val="20"/>
              </w:rPr>
            </w:pPr>
            <w:r>
              <w:rPr>
                <w:b/>
                <w:noProof/>
                <w:sz w:val="20"/>
              </w:rPr>
              <w:t>c.</w:t>
            </w:r>
          </w:p>
        </w:tc>
        <w:tc>
          <w:tcPr>
            <w:tcW w:w="6961" w:type="dxa"/>
            <w:gridSpan w:val="3"/>
            <w:tcBorders>
              <w:left w:val="nil"/>
              <w:right w:val="single" w:sz="6" w:space="0" w:color="auto"/>
            </w:tcBorders>
            <w:shd w:val="pct15" w:color="auto" w:fill="auto"/>
          </w:tcPr>
          <w:p w:rsidR="003E022D" w:rsidRDefault="007D19D6">
            <w:pPr>
              <w:keepNext/>
              <w:keepLines/>
              <w:spacing w:after="0"/>
              <w:rPr>
                <w:noProof/>
                <w:sz w:val="20"/>
              </w:rPr>
            </w:pPr>
            <w:r>
              <w:rPr>
                <w:noProof/>
                <w:sz w:val="20"/>
              </w:rPr>
              <w:t>ir mainījušies (vai ir pievienoti) šādi dati par attiecīgās personas identitāti:</w:t>
            </w:r>
          </w:p>
          <w:p w:rsidR="003E022D" w:rsidRDefault="007D19D6">
            <w:pPr>
              <w:keepNext/>
              <w:keepLines/>
              <w:spacing w:after="0"/>
              <w:rPr>
                <w:i/>
                <w:noProof/>
                <w:sz w:val="20"/>
              </w:rPr>
            </w:pPr>
            <w:r>
              <w:rPr>
                <w:i/>
                <w:noProof/>
                <w:sz w:val="20"/>
              </w:rPr>
              <w:t>Fiziskām personām:</w:t>
            </w:r>
          </w:p>
          <w:p w:rsidR="003E022D" w:rsidRDefault="007D19D6">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Vārds(-i):</w:t>
            </w:r>
          </w:p>
          <w:p w:rsidR="003E022D" w:rsidRDefault="007D19D6">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Uzvārds:</w:t>
            </w:r>
          </w:p>
          <w:p w:rsidR="003E022D" w:rsidRDefault="007D19D6">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Pirmslaulību uzvā</w:t>
            </w:r>
            <w:r>
              <w:rPr>
                <w:noProof/>
                <w:sz w:val="20"/>
              </w:rPr>
              <w:t>rds:</w:t>
            </w:r>
          </w:p>
          <w:p w:rsidR="003E022D" w:rsidRDefault="007D19D6">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Dzimšanas datums:</w:t>
            </w:r>
          </w:p>
          <w:p w:rsidR="003E022D" w:rsidRDefault="007D19D6">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Dzimšanas vieta:</w:t>
            </w:r>
          </w:p>
          <w:p w:rsidR="003E022D" w:rsidRDefault="007D19D6">
            <w:pPr>
              <w:keepNext/>
              <w:keepLines/>
              <w:spacing w:after="0"/>
              <w:rPr>
                <w:i/>
                <w:noProof/>
                <w:sz w:val="20"/>
              </w:rPr>
            </w:pPr>
            <w:r>
              <w:rPr>
                <w:i/>
                <w:noProof/>
                <w:sz w:val="20"/>
              </w:rPr>
              <w:t>Juridiskām personām:</w:t>
            </w:r>
          </w:p>
          <w:p w:rsidR="003E022D" w:rsidRDefault="007D19D6">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Juridiskais statuss:</w:t>
            </w:r>
          </w:p>
          <w:p w:rsidR="003E022D" w:rsidRDefault="007D19D6">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Uzņēmuma nosaukums: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noProof/>
                <w:sz w:val="20"/>
              </w:rPr>
            </w:pPr>
          </w:p>
        </w:tc>
        <w:tc>
          <w:tcPr>
            <w:tcW w:w="458" w:type="dxa"/>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Ir mainījušies (vai pievienoti) šādi adreses dari:</w:t>
            </w:r>
          </w:p>
          <w:p w:rsidR="003E022D" w:rsidRDefault="007D19D6">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Iela un numurs:</w:t>
            </w:r>
          </w:p>
          <w:p w:rsidR="003E022D" w:rsidRDefault="007D19D6">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Citi adreses dati:</w:t>
            </w:r>
          </w:p>
          <w:p w:rsidR="003E022D" w:rsidRDefault="007D19D6">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Pasta indekss un pilsēta:</w:t>
            </w:r>
          </w:p>
          <w:p w:rsidR="003E022D" w:rsidRDefault="007D19D6">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Valsts:</w:t>
            </w:r>
          </w:p>
          <w:p w:rsidR="003E022D" w:rsidRDefault="007D19D6">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Tālrunis:</w:t>
            </w:r>
          </w:p>
          <w:p w:rsidR="003E022D" w:rsidRDefault="007D19D6">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Fakss:</w:t>
            </w:r>
          </w:p>
          <w:p w:rsidR="003E022D" w:rsidRDefault="007D19D6">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E-pasts: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noProof/>
                <w:sz w:val="20"/>
              </w:rPr>
            </w:pPr>
          </w:p>
        </w:tc>
        <w:tc>
          <w:tcPr>
            <w:tcW w:w="458" w:type="dxa"/>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spacing w:after="0"/>
              <w:rPr>
                <w:b/>
                <w:noProof/>
                <w:sz w:val="20"/>
              </w:rPr>
            </w:pPr>
            <w:r>
              <w:rPr>
                <w:b/>
                <w:noProof/>
                <w:sz w:val="20"/>
              </w:rPr>
              <w:t>e.</w:t>
            </w:r>
          </w:p>
          <w:p w:rsidR="003E022D" w:rsidRDefault="003E022D">
            <w:pPr>
              <w:spacing w:after="0"/>
              <w:rPr>
                <w:b/>
                <w:noProof/>
                <w:sz w:val="20"/>
              </w:rPr>
            </w:pP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Finansiālā situācija:</w:t>
            </w:r>
          </w:p>
          <w:p w:rsidR="003E022D" w:rsidRDefault="007D19D6">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Zināmais(-ie) bankas konts(-i):</w:t>
            </w:r>
          </w:p>
          <w:p w:rsidR="003E022D" w:rsidRDefault="007D19D6">
            <w:pPr>
              <w:spacing w:after="0"/>
              <w:rPr>
                <w:noProof/>
                <w:sz w:val="20"/>
              </w:rPr>
            </w:pPr>
            <w:r>
              <w:rPr>
                <w:noProof/>
                <w:sz w:val="20"/>
              </w:rPr>
              <w:t>Bankas konta numurs (</w:t>
            </w:r>
            <w:r>
              <w:rPr>
                <w:i/>
                <w:noProof/>
                <w:sz w:val="20"/>
              </w:rPr>
              <w:t>IBAN</w:t>
            </w:r>
            <w:r>
              <w:rPr>
                <w:noProof/>
                <w:sz w:val="20"/>
              </w:rPr>
              <w:t>): …</w:t>
            </w:r>
          </w:p>
          <w:p w:rsidR="003E022D" w:rsidRDefault="007D19D6">
            <w:pPr>
              <w:spacing w:after="0"/>
              <w:rPr>
                <w:noProof/>
                <w:sz w:val="20"/>
              </w:rPr>
            </w:pPr>
            <w:r>
              <w:rPr>
                <w:noProof/>
                <w:sz w:val="20"/>
              </w:rPr>
              <w:t>Bankas identifikācijas kods (</w:t>
            </w:r>
            <w:r>
              <w:rPr>
                <w:i/>
                <w:noProof/>
                <w:sz w:val="20"/>
              </w:rPr>
              <w:t>BIC</w:t>
            </w:r>
            <w:r>
              <w:rPr>
                <w:noProof/>
                <w:sz w:val="20"/>
              </w:rPr>
              <w:t>): …</w:t>
            </w:r>
          </w:p>
          <w:p w:rsidR="003E022D" w:rsidRDefault="007D19D6">
            <w:pPr>
              <w:spacing w:after="0"/>
              <w:rPr>
                <w:noProof/>
                <w:sz w:val="20"/>
              </w:rPr>
            </w:pPr>
            <w:r>
              <w:rPr>
                <w:noProof/>
                <w:sz w:val="20"/>
              </w:rPr>
              <w:t>Bankas nosaukums: …</w:t>
            </w:r>
          </w:p>
          <w:p w:rsidR="003E022D" w:rsidRDefault="007D19D6">
            <w:pPr>
              <w:spacing w:after="0"/>
              <w:rPr>
                <w:noProof/>
                <w:sz w:val="20"/>
                <w:szCs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Informācija par nodarbinātību: </w:t>
            </w:r>
            <w:r>
              <w:rPr>
                <w:noProof/>
                <w:sz w:val="20"/>
              </w:rPr>
              <w:fldChar w:fldCharType="begin">
                <w:ffData>
                  <w:name w:val="Check3"/>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Algots darbinieks </w:t>
            </w:r>
            <w:r>
              <w:rPr>
                <w:i/>
                <w:noProof/>
              </w:rPr>
              <w:t xml:space="preserve">— </w:t>
            </w:r>
            <w:r>
              <w:rPr>
                <w:noProof/>
                <w:sz w:val="20"/>
                <w:szCs w:val="20"/>
              </w:rPr>
              <w:fldChar w:fldCharType="begin">
                <w:ffData>
                  <w:name w:val="Check2"/>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 xml:space="preserve"> Pašnodarbinātais </w:t>
            </w:r>
            <w:r>
              <w:rPr>
                <w:i/>
                <w:noProof/>
              </w:rPr>
              <w:t xml:space="preserve">— </w:t>
            </w:r>
            <w:r>
              <w:rPr>
                <w:noProof/>
                <w:sz w:val="20"/>
                <w:szCs w:val="20"/>
              </w:rPr>
              <w:fldChar w:fldCharType="begin">
                <w:ffData>
                  <w:name w:val="Check3"/>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Bezdarbnieks</w:t>
            </w:r>
          </w:p>
          <w:p w:rsidR="003E022D" w:rsidRDefault="007D19D6">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Ir pamats uzskatīt, ka attiecīgajai personai nav līdzekļu, lai nokārtotu parādu/nav aktīvu piedziņas segšanai</w:t>
            </w:r>
          </w:p>
          <w:p w:rsidR="003E022D" w:rsidRDefault="007D19D6">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Attiec</w:t>
            </w:r>
            <w:r>
              <w:rPr>
                <w:noProof/>
                <w:sz w:val="20"/>
              </w:rPr>
              <w:t>īgā persona ir bankrotējusi/maksātnespējīga:</w:t>
            </w:r>
          </w:p>
          <w:p w:rsidR="003E022D" w:rsidRDefault="007D19D6">
            <w:pPr>
              <w:spacing w:after="0"/>
              <w:ind w:left="487"/>
              <w:rPr>
                <w:noProof/>
                <w:sz w:val="20"/>
              </w:rPr>
            </w:pPr>
            <w:r>
              <w:rPr>
                <w:noProof/>
                <w:sz w:val="20"/>
              </w:rPr>
              <w:t>- Rīkojuma datums:</w:t>
            </w:r>
          </w:p>
          <w:p w:rsidR="003E022D" w:rsidRDefault="007D19D6">
            <w:pPr>
              <w:spacing w:after="0"/>
              <w:ind w:left="487"/>
              <w:rPr>
                <w:noProof/>
                <w:sz w:val="20"/>
              </w:rPr>
            </w:pPr>
            <w:r>
              <w:rPr>
                <w:noProof/>
                <w:sz w:val="20"/>
              </w:rPr>
              <w:t>- Atbrīvojuma datums:</w:t>
            </w:r>
          </w:p>
          <w:p w:rsidR="003E022D" w:rsidRDefault="007D19D6">
            <w:pPr>
              <w:spacing w:after="0"/>
              <w:ind w:left="487"/>
              <w:rPr>
                <w:noProof/>
                <w:sz w:val="20"/>
              </w:rPr>
            </w:pPr>
            <w:r>
              <w:rPr>
                <w:noProof/>
                <w:sz w:val="20"/>
              </w:rPr>
              <w:t>- Informācija par likvidatoriem:</w:t>
            </w:r>
          </w:p>
          <w:p w:rsidR="003E022D" w:rsidRDefault="007D19D6">
            <w:pPr>
              <w:spacing w:after="0"/>
              <w:ind w:left="487"/>
              <w:rPr>
                <w:noProof/>
                <w:sz w:val="20"/>
              </w:rPr>
            </w:pPr>
            <w:r>
              <w:rPr>
                <w:noProof/>
                <w:sz w:val="20"/>
              </w:rPr>
              <w:t>...Vārds, uzvārds / nosaukums:</w:t>
            </w:r>
          </w:p>
          <w:p w:rsidR="003E022D" w:rsidRDefault="007D19D6">
            <w:pPr>
              <w:spacing w:after="0"/>
              <w:ind w:left="487"/>
              <w:rPr>
                <w:noProof/>
                <w:sz w:val="20"/>
              </w:rPr>
            </w:pPr>
            <w:r>
              <w:rPr>
                <w:noProof/>
                <w:sz w:val="20"/>
              </w:rPr>
              <w:t>...Iela un numurs:</w:t>
            </w:r>
          </w:p>
          <w:p w:rsidR="003E022D" w:rsidRDefault="007D19D6">
            <w:pPr>
              <w:spacing w:after="0"/>
              <w:ind w:left="487"/>
              <w:rPr>
                <w:noProof/>
                <w:sz w:val="20"/>
              </w:rPr>
            </w:pPr>
            <w:r>
              <w:rPr>
                <w:noProof/>
                <w:sz w:val="20"/>
              </w:rPr>
              <w:t>...Citi adreses dati:</w:t>
            </w:r>
          </w:p>
          <w:p w:rsidR="003E022D" w:rsidRDefault="007D19D6">
            <w:pPr>
              <w:spacing w:after="0"/>
              <w:ind w:left="487"/>
              <w:rPr>
                <w:noProof/>
                <w:sz w:val="20"/>
              </w:rPr>
            </w:pPr>
            <w:r>
              <w:rPr>
                <w:noProof/>
                <w:sz w:val="20"/>
              </w:rPr>
              <w:t>...Pasta indekss un pilsēta:</w:t>
            </w:r>
          </w:p>
          <w:p w:rsidR="003E022D" w:rsidRDefault="007D19D6">
            <w:pPr>
              <w:spacing w:after="0"/>
              <w:ind w:left="487"/>
              <w:rPr>
                <w:noProof/>
                <w:sz w:val="20"/>
              </w:rPr>
            </w:pPr>
            <w:r>
              <w:rPr>
                <w:noProof/>
                <w:sz w:val="20"/>
              </w:rPr>
              <w:t>...Valsts:</w:t>
            </w:r>
          </w:p>
          <w:p w:rsidR="003E022D" w:rsidRDefault="007D19D6">
            <w:pPr>
              <w:spacing w:after="0"/>
              <w:ind w:left="487" w:hanging="487"/>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Ir pamats uzskatīt, ka attiecīgajai personai ir:</w:t>
            </w:r>
          </w:p>
          <w:p w:rsidR="003E022D" w:rsidRDefault="007D19D6">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ierobežoti līdzekļi, lai daļēji nokārtotu parādu</w:t>
            </w:r>
          </w:p>
          <w:p w:rsidR="003E022D" w:rsidRDefault="007D19D6">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pietiekami līdzekļi/aktīvi piedziņai</w:t>
            </w:r>
          </w:p>
          <w:p w:rsidR="003E022D" w:rsidRDefault="007D19D6">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Piezīmes: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10"/>
        </w:trPr>
        <w:tc>
          <w:tcPr>
            <w:tcW w:w="1920" w:type="dxa"/>
            <w:vMerge/>
            <w:tcBorders>
              <w:left w:val="single" w:sz="6" w:space="0" w:color="auto"/>
            </w:tcBorders>
          </w:tcPr>
          <w:p w:rsidR="003E022D" w:rsidRDefault="003E022D">
            <w:pPr>
              <w:spacing w:after="0"/>
              <w:rPr>
                <w:noProof/>
                <w:sz w:val="20"/>
              </w:rPr>
            </w:pPr>
          </w:p>
        </w:tc>
        <w:tc>
          <w:tcPr>
            <w:tcW w:w="458" w:type="dxa"/>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Parāds apstrīdēts</w:t>
            </w:r>
          </w:p>
          <w:p w:rsidR="003E022D" w:rsidRDefault="007D19D6">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attiecīgajai personai ir ieteikts prasījumu apstrīdēt pieteikuma iesniedzējas iestādes valstī</w:t>
            </w:r>
          </w:p>
          <w:p w:rsidR="003E022D" w:rsidRDefault="007D19D6">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w:instrText>
            </w:r>
            <w:r>
              <w:rPr>
                <w:b/>
                <w:noProof/>
                <w:sz w:val="20"/>
              </w:rPr>
              <w:instrText xml:space="preserve">FORMCHECKBOX </w:instrText>
            </w:r>
            <w:r>
              <w:rPr>
                <w:b/>
                <w:noProof/>
                <w:sz w:val="20"/>
              </w:rPr>
            </w:r>
            <w:r>
              <w:rPr>
                <w:b/>
                <w:noProof/>
                <w:sz w:val="20"/>
              </w:rPr>
              <w:fldChar w:fldCharType="separate"/>
            </w:r>
            <w:r>
              <w:rPr>
                <w:b/>
                <w:noProof/>
                <w:sz w:val="20"/>
              </w:rPr>
              <w:fldChar w:fldCharType="end"/>
            </w:r>
            <w:r>
              <w:rPr>
                <w:noProof/>
                <w:sz w:val="20"/>
              </w:rPr>
              <w:t xml:space="preserve"> atsauces uz strīdu, ja pieejamas:</w:t>
            </w:r>
          </w:p>
          <w:p w:rsidR="003E022D" w:rsidRDefault="007D19D6">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sīkāka informācija — pielikumā</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noProof/>
                <w:sz w:val="20"/>
              </w:rPr>
            </w:pPr>
          </w:p>
        </w:tc>
        <w:tc>
          <w:tcPr>
            <w:tcW w:w="458" w:type="dxa"/>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Parādnieks miris GGGG/MM/DD</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3E022D" w:rsidRDefault="003E022D">
            <w:pPr>
              <w:spacing w:after="0"/>
              <w:rPr>
                <w:noProof/>
                <w:sz w:val="20"/>
              </w:rPr>
            </w:pPr>
          </w:p>
        </w:tc>
        <w:tc>
          <w:tcPr>
            <w:tcW w:w="458" w:type="dxa"/>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3E022D" w:rsidRDefault="007D19D6">
            <w:pPr>
              <w:spacing w:after="0"/>
              <w:rPr>
                <w:b/>
                <w:noProof/>
                <w:sz w:val="20"/>
              </w:rPr>
            </w:pPr>
            <w:r>
              <w:rPr>
                <w:b/>
                <w:noProof/>
                <w:sz w:val="20"/>
              </w:rPr>
              <w:t>h.</w:t>
            </w:r>
          </w:p>
        </w:tc>
        <w:tc>
          <w:tcPr>
            <w:tcW w:w="6961" w:type="dxa"/>
            <w:gridSpan w:val="3"/>
            <w:tcBorders>
              <w:left w:val="nil"/>
              <w:right w:val="single" w:sz="6" w:space="0" w:color="auto"/>
            </w:tcBorders>
            <w:shd w:val="pct15" w:color="auto" w:fill="auto"/>
          </w:tcPr>
          <w:p w:rsidR="003E022D" w:rsidRDefault="007D19D6">
            <w:pPr>
              <w:spacing w:after="0"/>
              <w:rPr>
                <w:noProof/>
                <w:sz w:val="20"/>
              </w:rPr>
            </w:pPr>
            <w:r>
              <w:rPr>
                <w:noProof/>
                <w:sz w:val="20"/>
              </w:rPr>
              <w:t>Mantinieku / testamenta izpildītāja vārds, uzvārds / nosaukums un adrese:</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3E022D" w:rsidRDefault="003E022D">
            <w:pPr>
              <w:spacing w:after="0"/>
              <w:rPr>
                <w:noProof/>
                <w:sz w:val="20"/>
              </w:rPr>
            </w:pPr>
          </w:p>
        </w:tc>
        <w:tc>
          <w:tcPr>
            <w:tcW w:w="458" w:type="dxa"/>
            <w:tcBorders>
              <w:bottom w:val="single" w:sz="4" w:space="0" w:color="auto"/>
            </w:tcBorders>
            <w:shd w:val="pct1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3E022D" w:rsidRDefault="007D19D6">
            <w:pPr>
              <w:spacing w:after="0"/>
              <w:rPr>
                <w:b/>
                <w:noProof/>
                <w:sz w:val="20"/>
              </w:rPr>
            </w:pPr>
            <w:r>
              <w:rPr>
                <w:b/>
                <w:noProof/>
                <w:sz w:val="20"/>
              </w:rPr>
              <w:t>i.</w:t>
            </w:r>
          </w:p>
        </w:tc>
        <w:tc>
          <w:tcPr>
            <w:tcW w:w="6961" w:type="dxa"/>
            <w:gridSpan w:val="3"/>
            <w:tcBorders>
              <w:left w:val="nil"/>
              <w:bottom w:val="single" w:sz="4" w:space="0" w:color="auto"/>
              <w:right w:val="single" w:sz="6" w:space="0" w:color="auto"/>
            </w:tcBorders>
            <w:shd w:val="pct15" w:color="auto" w:fill="auto"/>
          </w:tcPr>
          <w:p w:rsidR="003E022D" w:rsidRDefault="007D19D6">
            <w:pPr>
              <w:spacing w:after="0"/>
              <w:rPr>
                <w:noProof/>
                <w:sz w:val="20"/>
              </w:rPr>
            </w:pPr>
            <w:r>
              <w:rPr>
                <w:noProof/>
                <w:sz w:val="20"/>
              </w:rPr>
              <w:t xml:space="preserve">Citas piezīmes: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3E022D" w:rsidRDefault="003E022D">
            <w:pPr>
              <w:spacing w:after="0"/>
              <w:rPr>
                <w:noProof/>
                <w:sz w:val="20"/>
              </w:rPr>
            </w:pPr>
          </w:p>
        </w:tc>
        <w:tc>
          <w:tcPr>
            <w:tcW w:w="458" w:type="dxa"/>
            <w:tcBorders>
              <w:bottom w:val="single" w:sz="4" w:space="0" w:color="auto"/>
            </w:tcBorders>
            <w:shd w:val="pct15" w:color="auto" w:fill="auto"/>
          </w:tcPr>
          <w:p w:rsidR="003E022D" w:rsidRDefault="007D19D6">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3E022D" w:rsidRDefault="007D19D6">
            <w:pPr>
              <w:spacing w:before="40" w:after="0"/>
              <w:rPr>
                <w:b/>
                <w:noProof/>
                <w:sz w:val="20"/>
              </w:rPr>
            </w:pPr>
            <w:r>
              <w:rPr>
                <w:b/>
                <w:noProof/>
                <w:sz w:val="20"/>
              </w:rPr>
              <w:t>j.</w:t>
            </w:r>
          </w:p>
        </w:tc>
        <w:tc>
          <w:tcPr>
            <w:tcW w:w="6961" w:type="dxa"/>
            <w:gridSpan w:val="3"/>
            <w:tcBorders>
              <w:left w:val="nil"/>
              <w:bottom w:val="single" w:sz="4" w:space="0" w:color="auto"/>
              <w:right w:val="single" w:sz="6" w:space="0" w:color="auto"/>
            </w:tcBorders>
            <w:shd w:val="pct15" w:color="auto" w:fill="auto"/>
          </w:tcPr>
          <w:p w:rsidR="003E022D" w:rsidRDefault="007D19D6">
            <w:pPr>
              <w:spacing w:before="40" w:after="0"/>
              <w:rPr>
                <w:noProof/>
                <w:sz w:val="20"/>
              </w:rPr>
            </w:pPr>
            <w:r>
              <w:rPr>
                <w:noProof/>
                <w:sz w:val="20"/>
              </w:rPr>
              <w:t>Iesakām turpināt piedziņas procedūras.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3E022D" w:rsidRDefault="003E022D">
            <w:pPr>
              <w:spacing w:after="0"/>
              <w:rPr>
                <w:noProof/>
                <w:sz w:val="20"/>
              </w:rPr>
            </w:pPr>
          </w:p>
        </w:tc>
        <w:tc>
          <w:tcPr>
            <w:tcW w:w="458" w:type="dxa"/>
            <w:tcBorders>
              <w:bottom w:val="single" w:sz="4" w:space="0" w:color="auto"/>
            </w:tcBorders>
            <w:shd w:val="pct15" w:color="auto" w:fill="auto"/>
          </w:tcPr>
          <w:p w:rsidR="003E022D" w:rsidRDefault="007D19D6">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3E022D" w:rsidRDefault="007D19D6">
            <w:pPr>
              <w:spacing w:before="40" w:after="0"/>
              <w:rPr>
                <w:b/>
                <w:noProof/>
                <w:sz w:val="20"/>
              </w:rPr>
            </w:pPr>
            <w:r>
              <w:rPr>
                <w:b/>
                <w:noProof/>
                <w:sz w:val="20"/>
              </w:rPr>
              <w:t>k.</w:t>
            </w:r>
          </w:p>
        </w:tc>
        <w:tc>
          <w:tcPr>
            <w:tcW w:w="6961" w:type="dxa"/>
            <w:gridSpan w:val="3"/>
            <w:tcBorders>
              <w:left w:val="nil"/>
              <w:bottom w:val="single" w:sz="4" w:space="0" w:color="auto"/>
              <w:right w:val="single" w:sz="6" w:space="0" w:color="auto"/>
            </w:tcBorders>
            <w:shd w:val="pct15" w:color="auto" w:fill="auto"/>
          </w:tcPr>
          <w:p w:rsidR="003E022D" w:rsidRDefault="007D19D6">
            <w:pPr>
              <w:spacing w:before="40" w:after="0"/>
              <w:rPr>
                <w:noProof/>
                <w:sz w:val="20"/>
              </w:rPr>
            </w:pPr>
            <w:r>
              <w:rPr>
                <w:noProof/>
                <w:sz w:val="20"/>
              </w:rPr>
              <w:t>Iesakām neturpināt piedziņas procedūras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6" w:space="0" w:color="auto"/>
            </w:tcBorders>
          </w:tcPr>
          <w:p w:rsidR="003E022D" w:rsidRDefault="007D19D6">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r>
              <w:rPr>
                <w:b/>
                <w:noProof/>
                <w:sz w:val="20"/>
              </w:rPr>
              <w:t xml:space="preserve"> </w:t>
            </w:r>
          </w:p>
        </w:tc>
        <w:tc>
          <w:tcPr>
            <w:tcW w:w="458" w:type="dxa"/>
            <w:tcBorders>
              <w:top w:val="single" w:sz="6" w:space="0" w:color="auto"/>
              <w:bottom w:val="single" w:sz="6" w:space="0" w:color="auto"/>
            </w:tcBorders>
            <w:shd w:val="pct5" w:color="auto" w:fill="auto"/>
          </w:tcPr>
          <w:p w:rsidR="003E022D" w:rsidRDefault="007D19D6">
            <w:pPr>
              <w:spacing w:after="0"/>
              <w:rPr>
                <w:b/>
                <w:noProof/>
                <w:sz w:val="20"/>
              </w:rPr>
            </w:pPr>
            <w:r>
              <w:rPr>
                <w:b/>
                <w:noProof/>
                <w:sz w:val="20"/>
              </w:rPr>
              <w:t>12.</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5" w:color="auto" w:fill="auto"/>
          </w:tcPr>
          <w:p w:rsidR="003E022D" w:rsidRDefault="007D19D6">
            <w:pPr>
              <w:spacing w:before="200" w:after="0"/>
              <w:rPr>
                <w:noProof/>
                <w:sz w:val="20"/>
              </w:rPr>
            </w:pPr>
            <w:r>
              <w:rPr>
                <w:noProof/>
                <w:sz w:val="20"/>
              </w:rPr>
              <w:t>Pieteikuma iesniedzēja iestāde atsauc informācijas pieprasījumu.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3E022D" w:rsidRDefault="007D19D6">
            <w:pPr>
              <w:spacing w:before="40" w:after="0"/>
              <w:rPr>
                <w:b/>
                <w:noProof/>
                <w:color w:val="000000"/>
                <w:sz w:val="20"/>
              </w:rPr>
            </w:pPr>
            <w:r>
              <w:rPr>
                <w:i/>
                <w:noProof/>
                <w:color w:val="000000"/>
                <w:sz w:val="20"/>
              </w:rPr>
              <w:fldChar w:fldCharType="begin" w:fldLock="1">
                <w:ffData>
                  <w:name w:val="Text52"/>
                  <w:enabled/>
                  <w:calcOnExit w:val="0"/>
                  <w:textInput>
                    <w:default w:val="datums"/>
                  </w:textInput>
                </w:ffData>
              </w:fldChar>
            </w:r>
            <w:r>
              <w:rPr>
                <w:i/>
                <w:noProof/>
                <w:color w:val="000000"/>
                <w:sz w:val="20"/>
              </w:rPr>
              <w:instrText xml:space="preserve"> FORMTEXT </w:instrText>
            </w:r>
            <w:r>
              <w:rPr>
                <w:i/>
                <w:noProof/>
                <w:color w:val="000000"/>
                <w:sz w:val="20"/>
              </w:rPr>
            </w:r>
            <w:r>
              <w:rPr>
                <w:i/>
                <w:noProof/>
                <w:color w:val="000000"/>
                <w:sz w:val="20"/>
              </w:rPr>
              <w:fldChar w:fldCharType="separate"/>
            </w:r>
            <w:r>
              <w:rPr>
                <w:i/>
                <w:noProof/>
                <w:color w:val="000000"/>
                <w:sz w:val="20"/>
              </w:rPr>
              <w:t>datums</w:t>
            </w:r>
            <w:r>
              <w:rPr>
                <w:i/>
                <w:noProof/>
                <w:color w:val="000000"/>
                <w:sz w:val="20"/>
              </w:rPr>
              <w:fldChar w:fldCharType="end"/>
            </w:r>
          </w:p>
        </w:tc>
        <w:tc>
          <w:tcPr>
            <w:tcW w:w="458" w:type="dxa"/>
            <w:tcBorders>
              <w:top w:val="single" w:sz="6" w:space="0" w:color="auto"/>
              <w:bottom w:val="single" w:sz="4" w:space="0" w:color="auto"/>
            </w:tcBorders>
            <w:shd w:val="pct5" w:color="auto" w:fill="auto"/>
          </w:tcPr>
          <w:p w:rsidR="003E022D" w:rsidRDefault="007D19D6">
            <w:pPr>
              <w:spacing w:after="0"/>
              <w:rPr>
                <w:b/>
                <w:noProof/>
                <w:color w:val="000000"/>
                <w:sz w:val="20"/>
              </w:rPr>
            </w:pPr>
            <w:r>
              <w:rPr>
                <w:b/>
                <w:noProof/>
                <w:color w:val="000000"/>
                <w:sz w:val="20"/>
              </w:rPr>
              <w:t>13.</w:t>
            </w:r>
          </w:p>
          <w:p w:rsidR="003E022D" w:rsidRDefault="007D19D6">
            <w:pPr>
              <w:spacing w:after="0"/>
              <w:rPr>
                <w:b/>
                <w:noProof/>
                <w:color w:val="000000"/>
                <w:sz w:val="20"/>
              </w:rPr>
            </w:pPr>
            <w:r>
              <w:rPr>
                <w:b/>
                <w:noProof/>
                <w:color w:val="000000"/>
                <w:sz w:val="20"/>
              </w:rPr>
              <w:fldChar w:fldCharType="begin">
                <w:ffData>
                  <w:name w:val="Check18"/>
                  <w:enabled/>
                  <w:calcOnExit w:val="0"/>
                  <w:checkBox>
                    <w:sizeAuto/>
                    <w:default w:val="0"/>
                  </w:checkBox>
                </w:ffData>
              </w:fldChar>
            </w:r>
            <w:r>
              <w:rPr>
                <w:b/>
                <w:noProof/>
                <w:color w:val="000000"/>
                <w:sz w:val="20"/>
              </w:rPr>
              <w:instrText xml:space="preserve"> FORMCHECKBOX </w:instrText>
            </w:r>
            <w:r>
              <w:rPr>
                <w:b/>
                <w:noProof/>
                <w:color w:val="000000"/>
                <w:sz w:val="20"/>
              </w:rPr>
            </w:r>
            <w:r>
              <w:rPr>
                <w:b/>
                <w:noProof/>
                <w:color w:val="000000"/>
                <w:sz w:val="20"/>
              </w:rPr>
              <w:fldChar w:fldCharType="separate"/>
            </w:r>
            <w:r>
              <w:rPr>
                <w:b/>
                <w:noProof/>
                <w:color w:val="000000"/>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3E022D" w:rsidRDefault="007D19D6">
            <w:pPr>
              <w:spacing w:before="200" w:after="0"/>
              <w:rPr>
                <w:noProof/>
                <w:color w:val="000000"/>
                <w:sz w:val="20"/>
              </w:rPr>
            </w:pPr>
            <w:r>
              <w:rPr>
                <w:noProof/>
                <w:color w:val="000000"/>
                <w:sz w:val="20"/>
              </w:rPr>
              <w:t>Cita:</w:t>
            </w:r>
            <w:r>
              <w:rPr>
                <w:b/>
                <w:noProof/>
                <w:color w:val="000000"/>
                <w:sz w:val="20"/>
              </w:rPr>
              <w:t xml:space="preserve"> </w:t>
            </w:r>
            <w:r>
              <w:rPr>
                <w:noProof/>
                <w:sz w:val="20"/>
              </w:rPr>
              <w:sym w:font="Wingdings" w:char="F0A1"/>
            </w:r>
            <w:r>
              <w:rPr>
                <w:noProof/>
                <w:sz w:val="20"/>
              </w:rPr>
              <w:t xml:space="preserve">Pieteikuma iesniedzējas iestādes vai </w:t>
            </w:r>
            <w:r>
              <w:rPr>
                <w:noProof/>
                <w:sz w:val="20"/>
              </w:rPr>
              <w:sym w:font="Wingdings" w:char="F0A1"/>
            </w:r>
            <w:r>
              <w:rPr>
                <w:noProof/>
                <w:sz w:val="20"/>
              </w:rPr>
              <w:t>pieprasījuma saņēmējas iestādes piezīme</w:t>
            </w:r>
            <w:r>
              <w:rPr>
                <w:noProof/>
                <w:color w:val="000000"/>
                <w:sz w:val="20"/>
              </w:rPr>
              <w:t xml:space="preserve">: </w:t>
            </w:r>
          </w:p>
          <w:p w:rsidR="003E022D" w:rsidRDefault="007D19D6">
            <w:pPr>
              <w:spacing w:after="0"/>
              <w:rPr>
                <w:noProof/>
                <w:color w:val="000000"/>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3E022D" w:rsidRDefault="003E022D">
      <w:pPr>
        <w:spacing w:after="0"/>
        <w:rPr>
          <w:noProof/>
        </w:rPr>
      </w:pPr>
    </w:p>
    <w:p w:rsidR="003E022D" w:rsidRDefault="003E022D">
      <w:pPr>
        <w:rPr>
          <w:noProof/>
          <w:sz w:val="20"/>
          <w:szCs w:val="20"/>
        </w:rPr>
      </w:pPr>
    </w:p>
    <w:p w:rsidR="003E022D" w:rsidRDefault="007D19D6">
      <w:pPr>
        <w:rPr>
          <w:noProof/>
          <w:sz w:val="20"/>
          <w:szCs w:val="20"/>
        </w:rPr>
        <w:sectPr w:rsidR="003E022D">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20" w:footer="720" w:gutter="0"/>
          <w:cols w:space="720"/>
          <w:docGrid w:linePitch="360"/>
        </w:sectPr>
      </w:pPr>
      <w:r>
        <w:rPr>
          <w:noProof/>
          <w:color w:val="000000"/>
        </w:rPr>
        <w:pict>
          <v:rect id="_x0000_i1033" alt="" style="width:45.15pt;height:.05pt;mso-width-percent:0;mso-height-percent:0;mso-width-percent:0;mso-height-percent:0" o:hrpct="100" o:hralign="center" o:hrstd="t" o:hrnoshade="t" o:hr="t" fillcolor="black" stroked="f"/>
        </w:pict>
      </w:r>
    </w:p>
    <w:p w:rsidR="003E022D" w:rsidRDefault="007D19D6">
      <w:pPr>
        <w:pStyle w:val="Article"/>
        <w:rPr>
          <w:noProof/>
        </w:rPr>
      </w:pPr>
      <w:r>
        <w:rPr>
          <w:noProof/>
        </w:rPr>
        <w:t xml:space="preserve">D veidlapas paraugs – paziņošanas pieprasījums </w:t>
      </w:r>
    </w:p>
    <w:p w:rsidR="003E022D" w:rsidRDefault="007D19D6">
      <w:pPr>
        <w:pStyle w:val="Header"/>
        <w:pBdr>
          <w:top w:val="single" w:sz="4" w:space="1" w:color="auto"/>
          <w:left w:val="single" w:sz="4" w:space="4" w:color="auto"/>
          <w:bottom w:val="single" w:sz="4" w:space="1" w:color="auto"/>
          <w:right w:val="single" w:sz="4" w:space="4" w:color="auto"/>
        </w:pBdr>
        <w:spacing w:after="480"/>
        <w:rPr>
          <w:b/>
          <w:noProof/>
          <w:sz w:val="20"/>
        </w:rPr>
      </w:pPr>
      <w:r>
        <w:rPr>
          <w:b/>
          <w:smallCaps/>
          <w:noProof/>
          <w:sz w:val="32"/>
          <w:szCs w:val="32"/>
        </w:rPr>
        <w:t>PAZIŅOŠANAS PIEPRASĪJUMS</w:t>
      </w:r>
      <w:r>
        <w:rPr>
          <w:noProof/>
        </w:rPr>
        <w:t xml:space="preserve"> </w:t>
      </w:r>
      <w:r>
        <w:rPr>
          <w:noProof/>
        </w:rPr>
        <w:br/>
        <w:t xml:space="preserve"> </w:t>
      </w:r>
      <w:r>
        <w:rPr>
          <w:noProof/>
        </w:rPr>
        <w:br/>
      </w:r>
      <w:r>
        <w:rPr>
          <w:noProof/>
          <w:sz w:val="20"/>
          <w:szCs w:val="20"/>
        </w:rPr>
        <w:t xml:space="preserve">Pamatots ar 23. pantu </w:t>
      </w:r>
      <w:r>
        <w:rPr>
          <w:noProof/>
          <w:color w:val="000000"/>
          <w:sz w:val="20"/>
          <w:szCs w:val="20"/>
        </w:rPr>
        <w:t xml:space="preserve">Eiropas Savienības un Apvienotās Karalistes </w:t>
      </w:r>
      <w:r>
        <w:rPr>
          <w:iCs/>
          <w:noProof/>
          <w:sz w:val="20"/>
          <w:szCs w:val="20"/>
        </w:rPr>
        <w:t xml:space="preserve">Protokolā par administratīvo sadarbību un krāpšanas apkarošanu pievienotās vērtības nodokļa jomā un par </w:t>
      </w:r>
      <w:r>
        <w:rPr>
          <w:iCs/>
          <w:noProof/>
          <w:sz w:val="20"/>
          <w:szCs w:val="20"/>
        </w:rPr>
        <w:t>savstarpēju palīdzību prasījumu piedziņā saistībā ar nodokļiem un nodevām</w:t>
      </w:r>
      <w:r>
        <w:rPr>
          <w:noProof/>
        </w:rPr>
        <w:t xml:space="preserve"> </w:t>
      </w:r>
      <w:r>
        <w:rPr>
          <w:noProof/>
        </w:rPr>
        <w:br/>
      </w:r>
      <w:r>
        <w:rPr>
          <w:b/>
          <w:noProof/>
          <w:sz w:val="20"/>
        </w:rPr>
        <w:t>Atsauce: AA_RA_aaaaaaaaaaa_rrrrrrrrrrrr_20GGMMDD_xxxxxxx_RN</w:t>
      </w:r>
    </w:p>
    <w:p w:rsidR="003E022D" w:rsidRDefault="007D19D6">
      <w:pPr>
        <w:rPr>
          <w:noProof/>
          <w:sz w:val="18"/>
          <w:szCs w:val="18"/>
        </w:rPr>
      </w:pPr>
      <w:r>
        <w:rPr>
          <w:noProof/>
          <w:sz w:val="18"/>
          <w:szCs w:val="18"/>
        </w:rPr>
        <w:t>Prasījuma(-u) būtība:</w:t>
      </w:r>
    </w:p>
    <w:p w:rsidR="003E022D" w:rsidRDefault="003E022D">
      <w:pPr>
        <w:rPr>
          <w:noProof/>
          <w:sz w:val="20"/>
          <w:szCs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3E022D">
        <w:trPr>
          <w:trHeight w:val="251"/>
        </w:trPr>
        <w:tc>
          <w:tcPr>
            <w:tcW w:w="9600" w:type="dxa"/>
            <w:gridSpan w:val="3"/>
          </w:tcPr>
          <w:p w:rsidR="003E022D" w:rsidRDefault="007D19D6">
            <w:pPr>
              <w:rPr>
                <w:b/>
                <w:smallCaps/>
                <w:noProof/>
                <w:sz w:val="20"/>
              </w:rPr>
            </w:pPr>
            <w:r>
              <w:rPr>
                <w:b/>
                <w:smallCaps/>
                <w:noProof/>
                <w:sz w:val="20"/>
              </w:rPr>
              <w:t>1. Pieteikuma iesniedzējas iestādes valsts</w:t>
            </w:r>
          </w:p>
        </w:tc>
      </w:tr>
      <w:tr w:rsidR="003E022D">
        <w:trPr>
          <w:trHeight w:val="727"/>
        </w:trPr>
        <w:tc>
          <w:tcPr>
            <w:tcW w:w="4320" w:type="dxa"/>
          </w:tcPr>
          <w:p w:rsidR="003E022D" w:rsidRDefault="003E022D">
            <w:pPr>
              <w:spacing w:after="0"/>
              <w:rPr>
                <w:b/>
                <w:noProof/>
              </w:rPr>
            </w:pPr>
          </w:p>
          <w:p w:rsidR="003E022D" w:rsidRDefault="007D19D6">
            <w:pPr>
              <w:spacing w:after="0"/>
              <w:rPr>
                <w:b/>
                <w:noProof/>
              </w:rPr>
            </w:pPr>
            <w:r>
              <w:rPr>
                <w:b/>
                <w:noProof/>
              </w:rPr>
              <w:t>A. Pieteikuma iesniedzēja iestāde</w:t>
            </w:r>
          </w:p>
          <w:p w:rsidR="003E022D" w:rsidRDefault="003E022D">
            <w:pPr>
              <w:spacing w:after="0"/>
              <w:rPr>
                <w:noProof/>
                <w:sz w:val="20"/>
                <w:u w:val="single"/>
              </w:rPr>
            </w:pPr>
          </w:p>
          <w:p w:rsidR="003E022D" w:rsidRDefault="007D19D6">
            <w:pPr>
              <w:spacing w:after="0"/>
              <w:rPr>
                <w:noProof/>
                <w:sz w:val="20"/>
              </w:rPr>
            </w:pPr>
            <w:r>
              <w:rPr>
                <w:noProof/>
                <w:sz w:val="20"/>
                <w:u w:val="single"/>
              </w:rPr>
              <w:t>Valsts</w:t>
            </w:r>
            <w:r>
              <w:rPr>
                <w:noProof/>
                <w:sz w:val="20"/>
              </w:rPr>
              <w:t xml:space="preserve">: </w:t>
            </w:r>
          </w:p>
          <w:p w:rsidR="003E022D" w:rsidRDefault="007D19D6">
            <w:pPr>
              <w:spacing w:after="0"/>
              <w:rPr>
                <w:noProof/>
                <w:sz w:val="20"/>
              </w:rPr>
            </w:pPr>
            <w:r>
              <w:rPr>
                <w:noProof/>
                <w:sz w:val="20"/>
              </w:rPr>
              <w:t>Nosaukums:</w:t>
            </w:r>
          </w:p>
          <w:p w:rsidR="003E022D" w:rsidRDefault="007D19D6">
            <w:pPr>
              <w:spacing w:after="0"/>
              <w:rPr>
                <w:noProof/>
                <w:sz w:val="20"/>
              </w:rPr>
            </w:pPr>
            <w:r>
              <w:rPr>
                <w:noProof/>
                <w:sz w:val="20"/>
              </w:rPr>
              <w:t>Tālrunis:</w:t>
            </w:r>
          </w:p>
          <w:p w:rsidR="003E022D" w:rsidRDefault="007D19D6">
            <w:pPr>
              <w:spacing w:after="0"/>
              <w:rPr>
                <w:noProof/>
                <w:sz w:val="20"/>
              </w:rPr>
            </w:pPr>
            <w:r>
              <w:rPr>
                <w:noProof/>
                <w:sz w:val="20"/>
                <w:u w:val="single"/>
              </w:rPr>
              <w:t>Lietas atsauce</w:t>
            </w:r>
            <w:r>
              <w:rPr>
                <w:noProof/>
                <w:sz w:val="20"/>
              </w:rPr>
              <w:t>:</w:t>
            </w:r>
          </w:p>
          <w:p w:rsidR="003E022D" w:rsidRDefault="003E022D">
            <w:pPr>
              <w:spacing w:after="0"/>
              <w:rPr>
                <w:noProof/>
                <w:sz w:val="20"/>
              </w:rPr>
            </w:pPr>
          </w:p>
          <w:p w:rsidR="003E022D" w:rsidRDefault="007D19D6">
            <w:pPr>
              <w:spacing w:after="0"/>
              <w:rPr>
                <w:noProof/>
                <w:sz w:val="20"/>
              </w:rPr>
            </w:pPr>
            <w:r>
              <w:rPr>
                <w:noProof/>
                <w:sz w:val="20"/>
              </w:rPr>
              <w:t>Amatpersonas, kas nodarbojas ar pieprasījumu, vārds, uzvārds:</w:t>
            </w:r>
          </w:p>
          <w:p w:rsidR="003E022D" w:rsidRDefault="007D19D6">
            <w:pPr>
              <w:spacing w:after="0"/>
              <w:rPr>
                <w:noProof/>
                <w:sz w:val="20"/>
                <w:u w:val="single"/>
              </w:rPr>
            </w:pPr>
            <w:r>
              <w:rPr>
                <w:noProof/>
                <w:sz w:val="20"/>
              </w:rPr>
              <w:t xml:space="preserve">Valodu prasmes: </w:t>
            </w:r>
          </w:p>
        </w:tc>
        <w:tc>
          <w:tcPr>
            <w:tcW w:w="240" w:type="dxa"/>
          </w:tcPr>
          <w:p w:rsidR="003E022D" w:rsidRDefault="007D19D6">
            <w:pPr>
              <w:spacing w:after="0"/>
              <w:rPr>
                <w:b/>
                <w:noProof/>
                <w:sz w:val="20"/>
              </w:rPr>
            </w:pPr>
            <w:r>
              <w:rPr>
                <w:noProof/>
                <w:sz w:val="20"/>
              </w:rPr>
              <w:t xml:space="preserve"> </w:t>
            </w:r>
          </w:p>
          <w:p w:rsidR="003E022D" w:rsidRDefault="003E022D">
            <w:pPr>
              <w:spacing w:after="0"/>
              <w:rPr>
                <w:i/>
                <w:noProof/>
                <w:sz w:val="20"/>
              </w:rPr>
            </w:pPr>
          </w:p>
        </w:tc>
        <w:tc>
          <w:tcPr>
            <w:tcW w:w="5040" w:type="dxa"/>
          </w:tcPr>
          <w:p w:rsidR="003E022D" w:rsidRDefault="003E022D">
            <w:pPr>
              <w:spacing w:after="0"/>
              <w:rPr>
                <w:b/>
                <w:noProof/>
              </w:rPr>
            </w:pPr>
          </w:p>
          <w:p w:rsidR="003E022D" w:rsidRDefault="007D19D6">
            <w:pPr>
              <w:spacing w:after="0"/>
              <w:rPr>
                <w:noProof/>
              </w:rPr>
            </w:pPr>
            <w:r>
              <w:rPr>
                <w:b/>
                <w:noProof/>
              </w:rPr>
              <w:t>B. Birojs, kurš ierosina pieprasījumu</w:t>
            </w:r>
          </w:p>
          <w:p w:rsidR="003E022D" w:rsidRDefault="003E022D">
            <w:pPr>
              <w:spacing w:after="0"/>
              <w:rPr>
                <w:noProof/>
                <w:sz w:val="20"/>
              </w:rPr>
            </w:pPr>
          </w:p>
          <w:p w:rsidR="003E022D" w:rsidRDefault="007D19D6">
            <w:pPr>
              <w:spacing w:after="0"/>
              <w:rPr>
                <w:noProof/>
                <w:sz w:val="20"/>
              </w:rPr>
            </w:pPr>
            <w:r>
              <w:rPr>
                <w:noProof/>
                <w:sz w:val="20"/>
              </w:rPr>
              <w:t xml:space="preserve">Nosaukums: </w:t>
            </w:r>
          </w:p>
          <w:p w:rsidR="003E022D" w:rsidRDefault="007D19D6">
            <w:pPr>
              <w:spacing w:after="0"/>
              <w:rPr>
                <w:noProof/>
                <w:sz w:val="20"/>
              </w:rPr>
            </w:pPr>
            <w:r>
              <w:rPr>
                <w:noProof/>
                <w:sz w:val="20"/>
              </w:rPr>
              <w:t>Adrese:</w:t>
            </w:r>
          </w:p>
          <w:p w:rsidR="003E022D" w:rsidRDefault="007D19D6">
            <w:pPr>
              <w:spacing w:after="0"/>
              <w:rPr>
                <w:noProof/>
                <w:sz w:val="20"/>
              </w:rPr>
            </w:pPr>
            <w:r>
              <w:rPr>
                <w:noProof/>
                <w:sz w:val="20"/>
              </w:rPr>
              <w:t>Pasta indekss:</w:t>
            </w:r>
          </w:p>
          <w:p w:rsidR="003E022D" w:rsidRDefault="007D19D6">
            <w:pPr>
              <w:spacing w:after="0"/>
              <w:rPr>
                <w:noProof/>
                <w:sz w:val="20"/>
              </w:rPr>
            </w:pPr>
            <w:r>
              <w:rPr>
                <w:noProof/>
                <w:sz w:val="20"/>
              </w:rPr>
              <w:t>Pilsēta:</w:t>
            </w:r>
          </w:p>
          <w:p w:rsidR="003E022D" w:rsidRDefault="007D19D6">
            <w:pPr>
              <w:spacing w:after="0"/>
              <w:rPr>
                <w:noProof/>
                <w:sz w:val="20"/>
              </w:rPr>
            </w:pPr>
            <w:r>
              <w:rPr>
                <w:noProof/>
                <w:sz w:val="20"/>
              </w:rPr>
              <w:t>Tālrunis:</w:t>
            </w:r>
          </w:p>
          <w:p w:rsidR="003E022D" w:rsidRDefault="007D19D6">
            <w:pPr>
              <w:spacing w:after="0"/>
              <w:rPr>
                <w:noProof/>
                <w:sz w:val="20"/>
              </w:rPr>
            </w:pPr>
            <w:r>
              <w:rPr>
                <w:noProof/>
                <w:sz w:val="20"/>
              </w:rPr>
              <w:t>E-pasts:</w:t>
            </w:r>
          </w:p>
          <w:p w:rsidR="003E022D" w:rsidRDefault="007D19D6">
            <w:pPr>
              <w:spacing w:after="0"/>
              <w:rPr>
                <w:noProof/>
                <w:sz w:val="20"/>
              </w:rPr>
            </w:pPr>
            <w:r>
              <w:rPr>
                <w:noProof/>
                <w:sz w:val="20"/>
              </w:rPr>
              <w:t>Lietas atsauce:</w:t>
            </w:r>
          </w:p>
          <w:p w:rsidR="003E022D" w:rsidRDefault="007D19D6">
            <w:pPr>
              <w:spacing w:after="480"/>
              <w:rPr>
                <w:noProof/>
              </w:rPr>
            </w:pPr>
            <w:r>
              <w:rPr>
                <w:noProof/>
                <w:sz w:val="20"/>
              </w:rPr>
              <w:t>Amatpersonas, kas</w:t>
            </w:r>
            <w:r>
              <w:rPr>
                <w:noProof/>
                <w:sz w:val="20"/>
              </w:rPr>
              <w:t xml:space="preserve"> nodarbojas ar pieprasījumu, vārds, uzvārds:</w:t>
            </w:r>
          </w:p>
        </w:tc>
      </w:tr>
    </w:tbl>
    <w:p w:rsidR="003E022D" w:rsidRDefault="003E022D">
      <w:pPr>
        <w:rPr>
          <w:b/>
          <w:smallCaps/>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3E022D">
        <w:trPr>
          <w:trHeight w:val="251"/>
        </w:trPr>
        <w:tc>
          <w:tcPr>
            <w:tcW w:w="9600" w:type="dxa"/>
            <w:gridSpan w:val="3"/>
          </w:tcPr>
          <w:p w:rsidR="003E022D" w:rsidRDefault="007D19D6">
            <w:pPr>
              <w:rPr>
                <w:b/>
                <w:smallCaps/>
                <w:noProof/>
                <w:sz w:val="20"/>
              </w:rPr>
            </w:pPr>
            <w:r>
              <w:rPr>
                <w:b/>
                <w:smallCaps/>
                <w:noProof/>
                <w:sz w:val="20"/>
              </w:rPr>
              <w:t>2. Pieprasījuma saņēmējas iestādes valsts</w:t>
            </w:r>
          </w:p>
        </w:tc>
      </w:tr>
      <w:tr w:rsidR="003E022D">
        <w:trPr>
          <w:trHeight w:val="727"/>
        </w:trPr>
        <w:tc>
          <w:tcPr>
            <w:tcW w:w="4320" w:type="dxa"/>
          </w:tcPr>
          <w:p w:rsidR="003E022D" w:rsidRDefault="003E022D">
            <w:pPr>
              <w:spacing w:after="0"/>
              <w:rPr>
                <w:b/>
                <w:noProof/>
              </w:rPr>
            </w:pPr>
          </w:p>
          <w:p w:rsidR="003E022D" w:rsidRDefault="007D19D6">
            <w:pPr>
              <w:spacing w:after="0"/>
              <w:rPr>
                <w:b/>
                <w:noProof/>
              </w:rPr>
            </w:pPr>
            <w:r>
              <w:rPr>
                <w:b/>
                <w:noProof/>
              </w:rPr>
              <w:t>A. Pieprasījuma saņēmēja iestāde</w:t>
            </w:r>
          </w:p>
          <w:p w:rsidR="003E022D" w:rsidRDefault="003E022D">
            <w:pPr>
              <w:spacing w:after="0"/>
              <w:rPr>
                <w:noProof/>
                <w:sz w:val="20"/>
                <w:u w:val="single"/>
              </w:rPr>
            </w:pPr>
          </w:p>
          <w:p w:rsidR="003E022D" w:rsidRDefault="007D19D6">
            <w:pPr>
              <w:spacing w:after="0"/>
              <w:rPr>
                <w:noProof/>
                <w:sz w:val="20"/>
              </w:rPr>
            </w:pPr>
            <w:r>
              <w:rPr>
                <w:noProof/>
                <w:sz w:val="20"/>
                <w:u w:val="single"/>
              </w:rPr>
              <w:t>Valsts</w:t>
            </w:r>
            <w:r>
              <w:rPr>
                <w:noProof/>
                <w:sz w:val="20"/>
              </w:rPr>
              <w:t>:</w:t>
            </w:r>
          </w:p>
          <w:p w:rsidR="003E022D" w:rsidRDefault="007D19D6">
            <w:pPr>
              <w:spacing w:after="0"/>
              <w:rPr>
                <w:noProof/>
                <w:sz w:val="20"/>
              </w:rPr>
            </w:pPr>
            <w:r>
              <w:rPr>
                <w:noProof/>
                <w:sz w:val="20"/>
              </w:rPr>
              <w:t>Nosaukums:</w:t>
            </w:r>
          </w:p>
          <w:p w:rsidR="003E022D" w:rsidRDefault="007D19D6">
            <w:pPr>
              <w:spacing w:after="0"/>
              <w:rPr>
                <w:noProof/>
                <w:sz w:val="20"/>
              </w:rPr>
            </w:pPr>
            <w:r>
              <w:rPr>
                <w:noProof/>
                <w:sz w:val="20"/>
              </w:rPr>
              <w:t>Tālrunis:</w:t>
            </w:r>
          </w:p>
          <w:p w:rsidR="003E022D" w:rsidRDefault="007D19D6">
            <w:pPr>
              <w:spacing w:after="0"/>
              <w:rPr>
                <w:noProof/>
                <w:sz w:val="20"/>
              </w:rPr>
            </w:pPr>
            <w:r>
              <w:rPr>
                <w:noProof/>
                <w:sz w:val="20"/>
                <w:u w:val="single"/>
              </w:rPr>
              <w:t>Lietas atsauce</w:t>
            </w:r>
            <w:r>
              <w:rPr>
                <w:noProof/>
                <w:sz w:val="20"/>
              </w:rPr>
              <w:t>:</w:t>
            </w:r>
          </w:p>
          <w:p w:rsidR="003E022D" w:rsidRDefault="003E022D">
            <w:pPr>
              <w:spacing w:after="0"/>
              <w:rPr>
                <w:noProof/>
                <w:sz w:val="20"/>
              </w:rPr>
            </w:pPr>
          </w:p>
          <w:p w:rsidR="003E022D" w:rsidRDefault="007D19D6">
            <w:pPr>
              <w:spacing w:after="0"/>
              <w:rPr>
                <w:noProof/>
                <w:sz w:val="20"/>
              </w:rPr>
            </w:pPr>
            <w:r>
              <w:rPr>
                <w:noProof/>
                <w:sz w:val="20"/>
              </w:rPr>
              <w:t>Amatpersonas, kas nodarbojas ar pieprasījumu, vārds, uzvārds:</w:t>
            </w:r>
          </w:p>
          <w:p w:rsidR="003E022D" w:rsidRDefault="007D19D6">
            <w:pPr>
              <w:spacing w:after="0"/>
              <w:rPr>
                <w:noProof/>
                <w:sz w:val="20"/>
                <w:u w:val="single"/>
              </w:rPr>
            </w:pPr>
            <w:r>
              <w:rPr>
                <w:noProof/>
                <w:sz w:val="20"/>
              </w:rPr>
              <w:t>Valodu prasmes:</w:t>
            </w:r>
          </w:p>
        </w:tc>
        <w:tc>
          <w:tcPr>
            <w:tcW w:w="240" w:type="dxa"/>
          </w:tcPr>
          <w:p w:rsidR="003E022D" w:rsidRDefault="007D19D6">
            <w:pPr>
              <w:spacing w:after="0"/>
              <w:rPr>
                <w:b/>
                <w:noProof/>
                <w:sz w:val="20"/>
              </w:rPr>
            </w:pPr>
            <w:r>
              <w:rPr>
                <w:noProof/>
                <w:sz w:val="20"/>
              </w:rPr>
              <w:t xml:space="preserve"> </w:t>
            </w:r>
          </w:p>
          <w:p w:rsidR="003E022D" w:rsidRDefault="003E022D">
            <w:pPr>
              <w:spacing w:after="0"/>
              <w:rPr>
                <w:i/>
                <w:noProof/>
                <w:sz w:val="20"/>
              </w:rPr>
            </w:pPr>
          </w:p>
        </w:tc>
        <w:tc>
          <w:tcPr>
            <w:tcW w:w="5040" w:type="dxa"/>
          </w:tcPr>
          <w:p w:rsidR="003E022D" w:rsidRDefault="003E022D">
            <w:pPr>
              <w:spacing w:after="0"/>
              <w:rPr>
                <w:b/>
                <w:noProof/>
              </w:rPr>
            </w:pPr>
          </w:p>
          <w:p w:rsidR="003E022D" w:rsidRDefault="007D19D6">
            <w:pPr>
              <w:spacing w:after="0"/>
              <w:rPr>
                <w:noProof/>
              </w:rPr>
            </w:pPr>
            <w:r>
              <w:rPr>
                <w:b/>
                <w:noProof/>
              </w:rPr>
              <w:t xml:space="preserve">B. </w:t>
            </w:r>
            <w:r>
              <w:rPr>
                <w:b/>
                <w:noProof/>
              </w:rPr>
              <w:t>Birojs, kurš apstrādā pieprasījumu</w:t>
            </w:r>
          </w:p>
          <w:p w:rsidR="003E022D" w:rsidRDefault="003E022D">
            <w:pPr>
              <w:spacing w:after="0"/>
              <w:rPr>
                <w:noProof/>
                <w:sz w:val="20"/>
              </w:rPr>
            </w:pPr>
          </w:p>
          <w:p w:rsidR="003E022D" w:rsidRDefault="007D19D6">
            <w:pPr>
              <w:spacing w:after="0"/>
              <w:rPr>
                <w:noProof/>
                <w:sz w:val="20"/>
              </w:rPr>
            </w:pPr>
            <w:r>
              <w:rPr>
                <w:noProof/>
                <w:sz w:val="20"/>
              </w:rPr>
              <w:t xml:space="preserve">Nosaukums: </w:t>
            </w:r>
          </w:p>
          <w:p w:rsidR="003E022D" w:rsidRDefault="007D19D6">
            <w:pPr>
              <w:spacing w:after="0"/>
              <w:rPr>
                <w:noProof/>
                <w:sz w:val="20"/>
              </w:rPr>
            </w:pPr>
            <w:r>
              <w:rPr>
                <w:noProof/>
                <w:sz w:val="20"/>
              </w:rPr>
              <w:t>Adrese:</w:t>
            </w:r>
          </w:p>
          <w:p w:rsidR="003E022D" w:rsidRDefault="007D19D6">
            <w:pPr>
              <w:spacing w:after="0"/>
              <w:rPr>
                <w:noProof/>
                <w:sz w:val="20"/>
              </w:rPr>
            </w:pPr>
            <w:r>
              <w:rPr>
                <w:noProof/>
                <w:sz w:val="20"/>
              </w:rPr>
              <w:t>Pasta indekss:</w:t>
            </w:r>
          </w:p>
          <w:p w:rsidR="003E022D" w:rsidRDefault="007D19D6">
            <w:pPr>
              <w:spacing w:after="0"/>
              <w:rPr>
                <w:noProof/>
                <w:sz w:val="20"/>
              </w:rPr>
            </w:pPr>
            <w:r>
              <w:rPr>
                <w:noProof/>
                <w:sz w:val="20"/>
              </w:rPr>
              <w:t>Pilsēta:</w:t>
            </w:r>
          </w:p>
          <w:p w:rsidR="003E022D" w:rsidRDefault="007D19D6">
            <w:pPr>
              <w:spacing w:after="0"/>
              <w:rPr>
                <w:noProof/>
                <w:sz w:val="20"/>
              </w:rPr>
            </w:pPr>
            <w:r>
              <w:rPr>
                <w:noProof/>
                <w:sz w:val="20"/>
              </w:rPr>
              <w:t>Tālrunis:</w:t>
            </w:r>
          </w:p>
          <w:p w:rsidR="003E022D" w:rsidRDefault="007D19D6">
            <w:pPr>
              <w:spacing w:after="0"/>
              <w:rPr>
                <w:noProof/>
                <w:sz w:val="20"/>
              </w:rPr>
            </w:pPr>
            <w:r>
              <w:rPr>
                <w:noProof/>
                <w:sz w:val="20"/>
              </w:rPr>
              <w:t>E-pasts:</w:t>
            </w:r>
          </w:p>
          <w:p w:rsidR="003E022D" w:rsidRDefault="007D19D6">
            <w:pPr>
              <w:spacing w:after="0"/>
              <w:rPr>
                <w:noProof/>
                <w:sz w:val="20"/>
              </w:rPr>
            </w:pPr>
            <w:r>
              <w:rPr>
                <w:noProof/>
                <w:sz w:val="20"/>
              </w:rPr>
              <w:t>Lietas atsauce:</w:t>
            </w:r>
          </w:p>
          <w:p w:rsidR="003E022D" w:rsidRDefault="007D19D6">
            <w:pPr>
              <w:spacing w:after="0"/>
              <w:rPr>
                <w:noProof/>
              </w:rPr>
            </w:pPr>
            <w:r>
              <w:rPr>
                <w:noProof/>
                <w:sz w:val="20"/>
              </w:rPr>
              <w:t>Amatpersonas, kas nodarbojas ar pieprasījumu, vārds, uzvārds:</w:t>
            </w:r>
          </w:p>
        </w:tc>
      </w:tr>
    </w:tbl>
    <w:p w:rsidR="003E022D" w:rsidRDefault="003E022D">
      <w:pPr>
        <w:rPr>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3E022D">
        <w:trPr>
          <w:cantSplit/>
          <w:trHeight w:val="40"/>
        </w:trPr>
        <w:tc>
          <w:tcPr>
            <w:tcW w:w="9600" w:type="dxa"/>
          </w:tcPr>
          <w:p w:rsidR="003E022D" w:rsidRDefault="007D19D6">
            <w:pPr>
              <w:keepNext/>
              <w:keepLines/>
              <w:spacing w:after="0"/>
              <w:rPr>
                <w:noProof/>
              </w:rPr>
            </w:pPr>
            <w:r>
              <w:rPr>
                <w:b/>
                <w:noProof/>
              </w:rPr>
              <w:t xml:space="preserve">3. </w:t>
            </w:r>
            <w:r>
              <w:rPr>
                <w:b/>
                <w:smallCaps/>
                <w:noProof/>
                <w:sz w:val="20"/>
              </w:rPr>
              <w:t>Informācija, kas saistīta ar pieprasījumu</w:t>
            </w:r>
          </w:p>
        </w:tc>
      </w:tr>
      <w:tr w:rsidR="003E022D">
        <w:trPr>
          <w:cantSplit/>
          <w:trHeight w:val="1043"/>
        </w:trPr>
        <w:tc>
          <w:tcPr>
            <w:tcW w:w="9600" w:type="dxa"/>
          </w:tcPr>
          <w:p w:rsidR="003E022D" w:rsidRDefault="007D19D6">
            <w:pPr>
              <w:spacing w:before="40" w:after="0"/>
              <w:ind w:left="372" w:hanging="372"/>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Galīgais datums šo dokumentu paziņošanai, lai izvairītos no problēmām ar noilguma termiņu </w:t>
            </w:r>
            <w:r>
              <w:rPr>
                <w:i/>
                <w:noProof/>
              </w:rPr>
              <w:t>(ja nepieciešams)</w:t>
            </w:r>
            <w:r>
              <w:rPr>
                <w:noProof/>
              </w:rPr>
              <w:t>:</w:t>
            </w:r>
            <w:r>
              <w:rPr>
                <w:b/>
                <w:noProof/>
              </w:rPr>
              <w:t xml:space="preserve"> </w:t>
            </w:r>
            <w:r>
              <w:rPr>
                <w:noProof/>
              </w:rPr>
              <w:t>20GG/MM/DD</w:t>
            </w:r>
          </w:p>
          <w:p w:rsidR="003E022D" w:rsidRDefault="003E022D">
            <w:pPr>
              <w:tabs>
                <w:tab w:val="left" w:pos="2161"/>
              </w:tabs>
              <w:spacing w:after="0"/>
              <w:ind w:left="372" w:hanging="360"/>
              <w:rPr>
                <w:noProof/>
                <w:sz w:val="16"/>
              </w:rPr>
            </w:pPr>
          </w:p>
        </w:tc>
      </w:tr>
      <w:tr w:rsidR="003E022D">
        <w:trPr>
          <w:cantSplit/>
          <w:trHeight w:val="546"/>
        </w:trPr>
        <w:tc>
          <w:tcPr>
            <w:tcW w:w="9600" w:type="dxa"/>
          </w:tcPr>
          <w:p w:rsidR="003E022D" w:rsidRDefault="007D19D6">
            <w:pPr>
              <w:spacing w:before="40" w:after="0"/>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Citas piezīmes: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3E022D" w:rsidRDefault="003E022D">
      <w:pPr>
        <w:rPr>
          <w:b/>
          <w:smallCaps/>
          <w:noProof/>
          <w:sz w:val="20"/>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3"/>
      </w:tblGrid>
      <w:tr w:rsidR="003E022D">
        <w:trPr>
          <w:cantSplit/>
          <w:trHeight w:val="40"/>
        </w:trPr>
        <w:tc>
          <w:tcPr>
            <w:tcW w:w="9633" w:type="dxa"/>
            <w:shd w:val="clear" w:color="auto" w:fill="auto"/>
          </w:tcPr>
          <w:p w:rsidR="003E022D" w:rsidRDefault="007D19D6">
            <w:pPr>
              <w:keepNext/>
              <w:keepLines/>
              <w:rPr>
                <w:b/>
                <w:noProof/>
              </w:rPr>
            </w:pPr>
            <w:r>
              <w:rPr>
                <w:b/>
                <w:noProof/>
              </w:rPr>
              <w:t xml:space="preserve">4. </w:t>
            </w:r>
            <w:r>
              <w:rPr>
                <w:b/>
                <w:smallCaps/>
                <w:noProof/>
                <w:sz w:val="20"/>
              </w:rPr>
              <w:t>Paziņošanas adresāta identifikācijas dati</w:t>
            </w:r>
          </w:p>
        </w:tc>
      </w:tr>
      <w:tr w:rsidR="003E022D">
        <w:trPr>
          <w:cantSplit/>
          <w:trHeight w:val="546"/>
        </w:trPr>
        <w:tc>
          <w:tcPr>
            <w:tcW w:w="9633" w:type="dxa"/>
          </w:tcPr>
          <w:p w:rsidR="003E022D" w:rsidRDefault="007D19D6">
            <w:pPr>
              <w:tabs>
                <w:tab w:val="left" w:pos="4854"/>
              </w:tabs>
              <w:spacing w:after="0"/>
              <w:rPr>
                <w:noProof/>
              </w:rPr>
            </w:pPr>
            <w:r>
              <w:rPr>
                <w:b/>
                <w:noProof/>
              </w:rPr>
              <w:t>A. Paziņošana adresējama:</w:t>
            </w:r>
          </w:p>
          <w:p w:rsidR="003E022D" w:rsidRDefault="007D19D6">
            <w:pPr>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Fiziskām personām:</w:t>
            </w:r>
          </w:p>
          <w:p w:rsidR="003E022D" w:rsidRDefault="007D19D6">
            <w:pPr>
              <w:tabs>
                <w:tab w:val="left" w:pos="2161"/>
              </w:tabs>
              <w:spacing w:after="0"/>
              <w:ind w:left="1027"/>
              <w:rPr>
                <w:noProof/>
              </w:rPr>
            </w:pPr>
            <w:r>
              <w:rPr>
                <w:noProof/>
                <w:u w:val="single"/>
              </w:rPr>
              <w:t>Vārds(-i)</w:t>
            </w:r>
            <w:r>
              <w:rPr>
                <w:noProof/>
              </w:rPr>
              <w:t>:</w:t>
            </w:r>
          </w:p>
          <w:p w:rsidR="003E022D" w:rsidRDefault="007D19D6">
            <w:pPr>
              <w:tabs>
                <w:tab w:val="left" w:pos="2161"/>
              </w:tabs>
              <w:spacing w:after="0"/>
              <w:ind w:left="1027"/>
              <w:rPr>
                <w:noProof/>
              </w:rPr>
            </w:pPr>
            <w:r>
              <w:rPr>
                <w:noProof/>
                <w:u w:val="single"/>
              </w:rPr>
              <w:t>Uzvārds</w:t>
            </w:r>
            <w:r>
              <w:rPr>
                <w:noProof/>
              </w:rPr>
              <w:t>:</w:t>
            </w:r>
          </w:p>
          <w:p w:rsidR="003E022D" w:rsidRDefault="007D19D6">
            <w:pPr>
              <w:tabs>
                <w:tab w:val="left" w:pos="2161"/>
              </w:tabs>
              <w:spacing w:after="0"/>
              <w:ind w:left="1027"/>
              <w:rPr>
                <w:noProof/>
              </w:rPr>
            </w:pPr>
            <w:r>
              <w:rPr>
                <w:noProof/>
              </w:rPr>
              <w:t>Pirmslaulību uzvārds (dzimtais uzvārds):</w:t>
            </w:r>
          </w:p>
          <w:p w:rsidR="003E022D" w:rsidRDefault="007D19D6">
            <w:pPr>
              <w:tabs>
                <w:tab w:val="left" w:pos="2161"/>
              </w:tabs>
              <w:spacing w:after="0"/>
              <w:ind w:left="1027"/>
              <w:rPr>
                <w:noProof/>
              </w:rPr>
            </w:pPr>
            <w:r>
              <w:rPr>
                <w:noProof/>
              </w:rPr>
              <w:t>Dzimšanas datums:</w:t>
            </w:r>
          </w:p>
          <w:p w:rsidR="003E022D" w:rsidRDefault="007D19D6">
            <w:pPr>
              <w:tabs>
                <w:tab w:val="left" w:pos="2161"/>
              </w:tabs>
              <w:spacing w:after="0"/>
              <w:ind w:left="1027"/>
              <w:rPr>
                <w:noProof/>
              </w:rPr>
            </w:pPr>
            <w:r>
              <w:rPr>
                <w:noProof/>
              </w:rPr>
              <w:t>Dzimšanas vieta:</w:t>
            </w:r>
          </w:p>
          <w:p w:rsidR="003E022D" w:rsidRDefault="007D19D6">
            <w:pPr>
              <w:tabs>
                <w:tab w:val="left" w:pos="2161"/>
              </w:tabs>
              <w:spacing w:after="0"/>
              <w:ind w:left="1027"/>
              <w:rPr>
                <w:noProof/>
              </w:rPr>
            </w:pPr>
            <w:r>
              <w:rPr>
                <w:noProof/>
              </w:rPr>
              <w:t xml:space="preserve">PVN identifikācijas numurs: </w:t>
            </w:r>
          </w:p>
          <w:p w:rsidR="003E022D" w:rsidRDefault="007D19D6">
            <w:pPr>
              <w:tabs>
                <w:tab w:val="left" w:pos="2161"/>
              </w:tabs>
              <w:spacing w:after="0"/>
              <w:ind w:left="1027"/>
              <w:rPr>
                <w:noProof/>
              </w:rPr>
            </w:pPr>
            <w:r>
              <w:rPr>
                <w:noProof/>
              </w:rPr>
              <w:t>Nodokļa maksātāja identifikācijas numurs:</w:t>
            </w:r>
          </w:p>
          <w:p w:rsidR="003E022D" w:rsidRDefault="007D19D6">
            <w:pPr>
              <w:tabs>
                <w:tab w:val="left" w:pos="2161"/>
              </w:tabs>
              <w:spacing w:after="0"/>
              <w:ind w:left="1027"/>
              <w:rPr>
                <w:b/>
                <w:noProof/>
              </w:rPr>
            </w:pPr>
            <w:r>
              <w:rPr>
                <w:noProof/>
              </w:rPr>
              <w:t>Citi ident</w:t>
            </w:r>
            <w:r>
              <w:rPr>
                <w:noProof/>
              </w:rPr>
              <w:t>ifikācijas dati:</w:t>
            </w:r>
          </w:p>
          <w:p w:rsidR="003E022D" w:rsidRDefault="007D19D6">
            <w:pPr>
              <w:tabs>
                <w:tab w:val="left" w:pos="3295"/>
              </w:tabs>
              <w:spacing w:after="0"/>
              <w:ind w:left="1005"/>
              <w:rPr>
                <w:noProof/>
              </w:rPr>
            </w:pPr>
            <w:r>
              <w:rPr>
                <w:noProof/>
                <w:u w:val="single"/>
              </w:rPr>
              <w:t>Personas adrese:</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zināma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pieņēmums</w:t>
            </w:r>
            <w:r>
              <w:rPr>
                <w:noProof/>
              </w:rPr>
              <w:t>:</w:t>
            </w:r>
            <w:r>
              <w:rPr>
                <w:i/>
                <w:noProof/>
              </w:rPr>
              <w:t xml:space="preserve"> </w:t>
            </w:r>
          </w:p>
          <w:p w:rsidR="003E022D" w:rsidRDefault="007D19D6">
            <w:pPr>
              <w:tabs>
                <w:tab w:val="left" w:pos="3295"/>
              </w:tabs>
              <w:spacing w:after="0"/>
              <w:ind w:left="1485"/>
              <w:rPr>
                <w:noProof/>
              </w:rPr>
            </w:pPr>
            <w:r>
              <w:rPr>
                <w:noProof/>
              </w:rPr>
              <w:t>Iela un numurs:</w:t>
            </w:r>
          </w:p>
          <w:p w:rsidR="003E022D" w:rsidRDefault="007D19D6">
            <w:pPr>
              <w:tabs>
                <w:tab w:val="left" w:pos="3295"/>
              </w:tabs>
              <w:spacing w:after="0"/>
              <w:ind w:left="1485"/>
              <w:rPr>
                <w:noProof/>
              </w:rPr>
            </w:pPr>
            <w:r>
              <w:rPr>
                <w:noProof/>
              </w:rPr>
              <w:t>Citi adreses dati:</w:t>
            </w:r>
          </w:p>
          <w:p w:rsidR="003E022D" w:rsidRDefault="007D19D6">
            <w:pPr>
              <w:tabs>
                <w:tab w:val="left" w:pos="3295"/>
              </w:tabs>
              <w:spacing w:after="0"/>
              <w:ind w:left="1485"/>
              <w:rPr>
                <w:noProof/>
              </w:rPr>
            </w:pPr>
            <w:r>
              <w:rPr>
                <w:noProof/>
              </w:rPr>
              <w:t>Pasta indekss un pilsēta:</w:t>
            </w:r>
          </w:p>
          <w:p w:rsidR="003E022D" w:rsidRDefault="007D19D6">
            <w:pPr>
              <w:tabs>
                <w:tab w:val="left" w:pos="3295"/>
              </w:tabs>
              <w:spacing w:after="0"/>
              <w:ind w:left="1485"/>
              <w:rPr>
                <w:noProof/>
              </w:rPr>
            </w:pPr>
            <w:r>
              <w:rPr>
                <w:noProof/>
              </w:rPr>
              <w:t>Valsts:</w:t>
            </w:r>
          </w:p>
          <w:p w:rsidR="003E022D" w:rsidRDefault="007D19D6">
            <w:pPr>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Vai juridiskām personām: </w:t>
            </w:r>
          </w:p>
          <w:p w:rsidR="003E022D" w:rsidRDefault="007D19D6">
            <w:pPr>
              <w:tabs>
                <w:tab w:val="left" w:pos="2161"/>
                <w:tab w:val="left" w:pos="4854"/>
              </w:tabs>
              <w:spacing w:after="0"/>
              <w:ind w:left="1027"/>
              <w:rPr>
                <w:noProof/>
              </w:rPr>
            </w:pPr>
            <w:r>
              <w:rPr>
                <w:noProof/>
                <w:u w:val="single"/>
              </w:rPr>
              <w:t>Uzņēmuma nos</w:t>
            </w:r>
            <w:r>
              <w:rPr>
                <w:noProof/>
                <w:u w:val="single"/>
              </w:rPr>
              <w:t>aukums</w:t>
            </w:r>
            <w:r>
              <w:rPr>
                <w:noProof/>
              </w:rPr>
              <w:t>:</w:t>
            </w:r>
          </w:p>
          <w:p w:rsidR="003E022D" w:rsidRDefault="007D19D6">
            <w:pPr>
              <w:tabs>
                <w:tab w:val="left" w:pos="2161"/>
                <w:tab w:val="left" w:pos="4854"/>
              </w:tabs>
              <w:spacing w:after="0"/>
              <w:ind w:left="1027"/>
              <w:rPr>
                <w:noProof/>
              </w:rPr>
            </w:pPr>
            <w:r>
              <w:rPr>
                <w:noProof/>
                <w:u w:val="single"/>
              </w:rPr>
              <w:t>Juridiskais statuss</w:t>
            </w:r>
            <w:r>
              <w:rPr>
                <w:noProof/>
              </w:rPr>
              <w:t>:</w:t>
            </w:r>
          </w:p>
          <w:p w:rsidR="003E022D" w:rsidRDefault="007D19D6">
            <w:pPr>
              <w:tabs>
                <w:tab w:val="left" w:pos="2161"/>
              </w:tabs>
              <w:spacing w:after="0"/>
              <w:ind w:left="1027"/>
              <w:rPr>
                <w:noProof/>
              </w:rPr>
            </w:pPr>
            <w:r>
              <w:rPr>
                <w:noProof/>
              </w:rPr>
              <w:t xml:space="preserve">PVN identifikācijas numurs: </w:t>
            </w:r>
          </w:p>
          <w:p w:rsidR="003E022D" w:rsidRDefault="007D19D6">
            <w:pPr>
              <w:tabs>
                <w:tab w:val="left" w:pos="2161"/>
              </w:tabs>
              <w:spacing w:after="0"/>
              <w:ind w:left="1027"/>
              <w:rPr>
                <w:noProof/>
              </w:rPr>
            </w:pPr>
            <w:r>
              <w:rPr>
                <w:noProof/>
              </w:rPr>
              <w:t>Nodokļa maksātāja identifikācijas numurs:</w:t>
            </w:r>
          </w:p>
          <w:p w:rsidR="003E022D" w:rsidRDefault="007D19D6">
            <w:pPr>
              <w:tabs>
                <w:tab w:val="left" w:pos="3295"/>
                <w:tab w:val="left" w:pos="6130"/>
              </w:tabs>
              <w:spacing w:after="0"/>
              <w:ind w:left="1027"/>
              <w:rPr>
                <w:noProof/>
              </w:rPr>
            </w:pPr>
            <w:r>
              <w:rPr>
                <w:noProof/>
              </w:rPr>
              <w:t>Citi identifikācijas dati:</w:t>
            </w:r>
          </w:p>
          <w:p w:rsidR="003E022D" w:rsidRDefault="007D19D6">
            <w:pPr>
              <w:tabs>
                <w:tab w:val="left" w:pos="3295"/>
              </w:tabs>
              <w:spacing w:after="0"/>
              <w:ind w:left="1005"/>
              <w:rPr>
                <w:noProof/>
              </w:rPr>
            </w:pPr>
            <w:r>
              <w:rPr>
                <w:noProof/>
                <w:u w:val="single"/>
              </w:rPr>
              <w:t>Juridiskās personas adrese</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zināma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pieņēmums</w:t>
            </w:r>
          </w:p>
          <w:p w:rsidR="003E022D" w:rsidRDefault="007D19D6">
            <w:pPr>
              <w:tabs>
                <w:tab w:val="left" w:pos="3295"/>
              </w:tabs>
              <w:spacing w:after="0"/>
              <w:ind w:left="1485"/>
              <w:rPr>
                <w:noProof/>
              </w:rPr>
            </w:pPr>
            <w:r>
              <w:rPr>
                <w:noProof/>
              </w:rPr>
              <w:t>Iela un numurs:</w:t>
            </w:r>
          </w:p>
          <w:p w:rsidR="003E022D" w:rsidRDefault="007D19D6">
            <w:pPr>
              <w:tabs>
                <w:tab w:val="left" w:pos="3295"/>
              </w:tabs>
              <w:spacing w:after="0"/>
              <w:ind w:left="1485"/>
              <w:rPr>
                <w:noProof/>
              </w:rPr>
            </w:pPr>
            <w:r>
              <w:rPr>
                <w:noProof/>
              </w:rPr>
              <w:t>Citi adreses dati:</w:t>
            </w:r>
          </w:p>
          <w:p w:rsidR="003E022D" w:rsidRDefault="007D19D6">
            <w:pPr>
              <w:tabs>
                <w:tab w:val="left" w:pos="3295"/>
              </w:tabs>
              <w:spacing w:after="0"/>
              <w:ind w:left="1485"/>
              <w:rPr>
                <w:noProof/>
              </w:rPr>
            </w:pPr>
            <w:r>
              <w:rPr>
                <w:noProof/>
              </w:rPr>
              <w:t>Pasta indekss un pilsēta:</w:t>
            </w:r>
          </w:p>
          <w:p w:rsidR="003E022D" w:rsidRDefault="007D19D6">
            <w:pPr>
              <w:tabs>
                <w:tab w:val="left" w:pos="3295"/>
              </w:tabs>
              <w:spacing w:after="0"/>
              <w:ind w:left="1485"/>
              <w:rPr>
                <w:noProof/>
              </w:rPr>
            </w:pPr>
            <w:r>
              <w:rPr>
                <w:noProof/>
              </w:rPr>
              <w:t>Valsts:</w:t>
            </w:r>
          </w:p>
          <w:p w:rsidR="003E022D" w:rsidRDefault="007D19D6">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Likumīgais pārstāvis</w:t>
            </w:r>
          </w:p>
          <w:p w:rsidR="003E022D" w:rsidRDefault="007D19D6">
            <w:pPr>
              <w:tabs>
                <w:tab w:val="left" w:pos="3295"/>
                <w:tab w:val="left" w:pos="6130"/>
              </w:tabs>
              <w:spacing w:after="0"/>
              <w:ind w:left="1027" w:hanging="22"/>
              <w:rPr>
                <w:noProof/>
                <w:u w:val="single"/>
              </w:rPr>
            </w:pPr>
            <w:r>
              <w:rPr>
                <w:noProof/>
                <w:u w:val="single"/>
              </w:rPr>
              <w:t>Vārds, uzvārds / nosaukums:</w:t>
            </w:r>
          </w:p>
          <w:p w:rsidR="003E022D" w:rsidRDefault="007D19D6">
            <w:pPr>
              <w:tabs>
                <w:tab w:val="left" w:pos="3295"/>
              </w:tabs>
              <w:spacing w:after="0"/>
              <w:ind w:left="1005"/>
              <w:rPr>
                <w:noProof/>
              </w:rPr>
            </w:pPr>
            <w:r>
              <w:rPr>
                <w:noProof/>
              </w:rPr>
              <w:t xml:space="preserve">Likumīgā pārstāvja adrese: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zināma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pieņēmums</w:t>
            </w:r>
          </w:p>
          <w:p w:rsidR="003E022D" w:rsidRDefault="007D19D6">
            <w:pPr>
              <w:tabs>
                <w:tab w:val="left" w:pos="3295"/>
              </w:tabs>
              <w:spacing w:after="0"/>
              <w:ind w:left="1485"/>
              <w:rPr>
                <w:noProof/>
              </w:rPr>
            </w:pPr>
            <w:r>
              <w:rPr>
                <w:noProof/>
              </w:rPr>
              <w:t>Iela un numurs:</w:t>
            </w:r>
          </w:p>
          <w:p w:rsidR="003E022D" w:rsidRDefault="007D19D6">
            <w:pPr>
              <w:tabs>
                <w:tab w:val="left" w:pos="3295"/>
              </w:tabs>
              <w:spacing w:after="0"/>
              <w:ind w:left="1485"/>
              <w:rPr>
                <w:noProof/>
              </w:rPr>
            </w:pPr>
            <w:r>
              <w:rPr>
                <w:noProof/>
              </w:rPr>
              <w:t>Citi adreses dati:</w:t>
            </w:r>
          </w:p>
          <w:p w:rsidR="003E022D" w:rsidRDefault="007D19D6">
            <w:pPr>
              <w:tabs>
                <w:tab w:val="left" w:pos="3295"/>
              </w:tabs>
              <w:spacing w:after="0"/>
              <w:ind w:left="1485"/>
              <w:rPr>
                <w:noProof/>
              </w:rPr>
            </w:pPr>
            <w:r>
              <w:rPr>
                <w:noProof/>
              </w:rPr>
              <w:t>Pasta indekss un pilsēta:</w:t>
            </w:r>
          </w:p>
          <w:p w:rsidR="003E022D" w:rsidRDefault="007D19D6">
            <w:pPr>
              <w:tabs>
                <w:tab w:val="left" w:pos="3295"/>
              </w:tabs>
              <w:spacing w:after="0"/>
              <w:ind w:left="1485"/>
              <w:rPr>
                <w:noProof/>
              </w:rPr>
            </w:pPr>
            <w:r>
              <w:rPr>
                <w:noProof/>
              </w:rPr>
              <w:t>Valsts:</w:t>
            </w:r>
          </w:p>
          <w:p w:rsidR="003E022D" w:rsidRDefault="003E022D">
            <w:pPr>
              <w:tabs>
                <w:tab w:val="left" w:pos="3295"/>
                <w:tab w:val="left" w:pos="6130"/>
              </w:tabs>
              <w:spacing w:after="0"/>
              <w:ind w:left="1027"/>
              <w:rPr>
                <w:noProof/>
                <w:sz w:val="16"/>
              </w:rPr>
            </w:pPr>
          </w:p>
        </w:tc>
      </w:tr>
      <w:tr w:rsidR="003E022D">
        <w:trPr>
          <w:cantSplit/>
          <w:trHeight w:val="1659"/>
        </w:trPr>
        <w:tc>
          <w:tcPr>
            <w:tcW w:w="9633" w:type="dxa"/>
          </w:tcPr>
          <w:p w:rsidR="003E022D" w:rsidRDefault="007D19D6">
            <w:pPr>
              <w:tabs>
                <w:tab w:val="left" w:pos="3295"/>
              </w:tabs>
              <w:spacing w:after="0"/>
              <w:ind w:left="318" w:hanging="318"/>
              <w:rPr>
                <w:i/>
                <w:noProof/>
              </w:rPr>
            </w:pPr>
            <w:r>
              <w:rPr>
                <w:b/>
                <w:noProof/>
              </w:rPr>
              <w:t xml:space="preserve">B. Cita būtiska informācija </w:t>
            </w:r>
            <w:r>
              <w:rPr>
                <w:b/>
                <w:noProof/>
              </w:rPr>
              <w:t>par iepriekš minētajām personām:</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3E022D" w:rsidRDefault="007D19D6">
      <w:pPr>
        <w:tabs>
          <w:tab w:val="left" w:pos="2116"/>
        </w:tabs>
        <w:spacing w:after="0"/>
        <w:rPr>
          <w:noProof/>
        </w:rPr>
      </w:pPr>
      <w:r>
        <w:rPr>
          <w:noProof/>
        </w:rPr>
        <w:tab/>
      </w:r>
    </w:p>
    <w:p w:rsidR="003E022D" w:rsidRDefault="003E022D">
      <w:pPr>
        <w:tabs>
          <w:tab w:val="left" w:pos="2116"/>
        </w:tabs>
        <w:spacing w:after="0"/>
        <w:rPr>
          <w:noProof/>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9000"/>
      </w:tblGrid>
      <w:tr w:rsidR="003E022D">
        <w:trPr>
          <w:cantSplit/>
          <w:trHeight w:val="70"/>
        </w:trPr>
        <w:tc>
          <w:tcPr>
            <w:tcW w:w="600" w:type="dxa"/>
            <w:tcBorders>
              <w:bottom w:val="single" w:sz="4" w:space="0" w:color="auto"/>
            </w:tcBorders>
            <w:shd w:val="clear" w:color="auto" w:fill="auto"/>
          </w:tcPr>
          <w:p w:rsidR="003E022D" w:rsidRDefault="007D19D6">
            <w:pPr>
              <w:keepNext/>
              <w:keepLines/>
              <w:tabs>
                <w:tab w:val="left" w:pos="3437"/>
                <w:tab w:val="left" w:pos="4004"/>
              </w:tabs>
              <w:rPr>
                <w:b/>
                <w:noProof/>
                <w:sz w:val="20"/>
                <w:szCs w:val="20"/>
              </w:rPr>
            </w:pPr>
            <w:r>
              <w:rPr>
                <w:b/>
                <w:noProof/>
                <w:sz w:val="20"/>
                <w:szCs w:val="20"/>
              </w:rPr>
              <w:t>5.</w:t>
            </w:r>
          </w:p>
        </w:tc>
        <w:tc>
          <w:tcPr>
            <w:tcW w:w="9000" w:type="dxa"/>
            <w:tcBorders>
              <w:bottom w:val="single" w:sz="4" w:space="0" w:color="auto"/>
            </w:tcBorders>
            <w:shd w:val="clear" w:color="auto" w:fill="auto"/>
          </w:tcPr>
          <w:p w:rsidR="003E022D" w:rsidRDefault="007D19D6">
            <w:pPr>
              <w:keepNext/>
              <w:keepLines/>
              <w:tabs>
                <w:tab w:val="left" w:pos="3437"/>
                <w:tab w:val="left" w:pos="4004"/>
              </w:tabs>
              <w:rPr>
                <w:b/>
                <w:noProof/>
                <w:sz w:val="20"/>
                <w:szCs w:val="20"/>
              </w:rPr>
            </w:pPr>
            <w:r>
              <w:rPr>
                <w:b/>
                <w:noProof/>
                <w:sz w:val="20"/>
                <w:szCs w:val="20"/>
              </w:rPr>
              <w:t>PAZIŅOŠANAS MĒRĶIS sk. pievienoto vienoto paziņošanas veidlapu</w:t>
            </w:r>
            <w:r>
              <w:rPr>
                <w:b/>
                <w:i/>
                <w:noProof/>
                <w:sz w:val="20"/>
                <w:szCs w:val="20"/>
              </w:rPr>
              <w:t>.</w:t>
            </w:r>
          </w:p>
        </w:tc>
      </w:tr>
    </w:tbl>
    <w:p w:rsidR="003E022D" w:rsidRDefault="003E022D">
      <w:pPr>
        <w:tabs>
          <w:tab w:val="left" w:pos="2116"/>
        </w:tabs>
        <w:spacing w:after="0"/>
        <w:rPr>
          <w:noProof/>
        </w:rPr>
      </w:pPr>
    </w:p>
    <w:p w:rsidR="003E022D" w:rsidRDefault="003E022D">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9032"/>
      </w:tblGrid>
      <w:tr w:rsidR="003E022D">
        <w:trPr>
          <w:cantSplit/>
          <w:trHeight w:val="70"/>
        </w:trPr>
        <w:tc>
          <w:tcPr>
            <w:tcW w:w="602" w:type="dxa"/>
            <w:shd w:val="clear" w:color="auto" w:fill="auto"/>
          </w:tcPr>
          <w:p w:rsidR="003E022D" w:rsidRDefault="007D19D6">
            <w:pPr>
              <w:keepNext/>
              <w:keepLines/>
              <w:tabs>
                <w:tab w:val="left" w:pos="3437"/>
                <w:tab w:val="left" w:pos="4004"/>
              </w:tabs>
              <w:rPr>
                <w:b/>
                <w:noProof/>
                <w:sz w:val="20"/>
                <w:szCs w:val="20"/>
              </w:rPr>
            </w:pPr>
            <w:r>
              <w:rPr>
                <w:b/>
                <w:noProof/>
                <w:sz w:val="20"/>
                <w:szCs w:val="20"/>
              </w:rPr>
              <w:t>6.</w:t>
            </w:r>
          </w:p>
        </w:tc>
        <w:tc>
          <w:tcPr>
            <w:tcW w:w="9032" w:type="dxa"/>
            <w:shd w:val="clear" w:color="auto" w:fill="auto"/>
          </w:tcPr>
          <w:p w:rsidR="003E022D" w:rsidRDefault="007D19D6">
            <w:pPr>
              <w:keepNext/>
              <w:keepLines/>
              <w:tabs>
                <w:tab w:val="left" w:pos="3437"/>
                <w:tab w:val="left" w:pos="4004"/>
              </w:tabs>
              <w:rPr>
                <w:b/>
                <w:noProof/>
                <w:sz w:val="20"/>
                <w:szCs w:val="20"/>
              </w:rPr>
            </w:pPr>
            <w:r>
              <w:rPr>
                <w:b/>
                <w:noProof/>
                <w:sz w:val="20"/>
                <w:szCs w:val="20"/>
              </w:rPr>
              <w:t>PAZIŅOJAMĀ DOKUMENTA(-U) APRAKSTS sk. pievienoto vienoto paziņošanas</w:t>
            </w:r>
            <w:r>
              <w:rPr>
                <w:b/>
                <w:noProof/>
                <w:sz w:val="20"/>
                <w:szCs w:val="20"/>
              </w:rPr>
              <w:t xml:space="preserve"> veidlapu.</w:t>
            </w:r>
            <w:r>
              <w:rPr>
                <w:b/>
                <w:noProof/>
                <w:sz w:val="20"/>
                <w:szCs w:val="20"/>
                <w:bdr w:val="single" w:sz="4" w:space="0" w:color="auto"/>
              </w:rPr>
              <w:t xml:space="preserve"> </w:t>
            </w:r>
          </w:p>
        </w:tc>
      </w:tr>
    </w:tbl>
    <w:p w:rsidR="003E022D" w:rsidRDefault="003E022D">
      <w:pPr>
        <w:tabs>
          <w:tab w:val="left" w:pos="2116"/>
        </w:tabs>
        <w:spacing w:after="0"/>
        <w:rPr>
          <w:noProof/>
        </w:rPr>
      </w:pPr>
    </w:p>
    <w:p w:rsidR="003E022D" w:rsidRDefault="003E022D">
      <w:pPr>
        <w:tabs>
          <w:tab w:val="left" w:pos="2116"/>
        </w:tabs>
        <w:spacing w:after="0"/>
        <w:rPr>
          <w:noProof/>
        </w:rPr>
      </w:pPr>
    </w:p>
    <w:p w:rsidR="003E022D" w:rsidRDefault="003E022D">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33"/>
        <w:gridCol w:w="447"/>
        <w:gridCol w:w="33"/>
        <w:gridCol w:w="360"/>
        <w:gridCol w:w="1865"/>
        <w:gridCol w:w="2138"/>
        <w:gridCol w:w="3045"/>
        <w:gridCol w:w="33"/>
      </w:tblGrid>
      <w:tr w:rsidR="003E022D">
        <w:trPr>
          <w:cantSplit/>
          <w:trHeight w:val="38"/>
        </w:trPr>
        <w:tc>
          <w:tcPr>
            <w:tcW w:w="9634" w:type="dxa"/>
            <w:gridSpan w:val="9"/>
          </w:tcPr>
          <w:p w:rsidR="003E022D" w:rsidRDefault="007D19D6">
            <w:pPr>
              <w:tabs>
                <w:tab w:val="left" w:pos="4004"/>
              </w:tabs>
              <w:spacing w:after="0"/>
              <w:rPr>
                <w:b/>
                <w:noProof/>
              </w:rPr>
            </w:pPr>
            <w:r>
              <w:rPr>
                <w:b/>
                <w:noProof/>
              </w:rPr>
              <w:t xml:space="preserve">7. </w:t>
            </w:r>
            <w:r>
              <w:rPr>
                <w:b/>
                <w:smallCaps/>
                <w:noProof/>
                <w:sz w:val="20"/>
              </w:rPr>
              <w:t>Paziņošanas pieprasījuma pēckontrole</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713" w:type="dxa"/>
            <w:gridSpan w:val="2"/>
            <w:tcBorders>
              <w:top w:val="single" w:sz="4" w:space="0" w:color="auto"/>
              <w:left w:val="single" w:sz="4" w:space="0" w:color="auto"/>
              <w:bottom w:val="single" w:sz="6" w:space="0" w:color="auto"/>
            </w:tcBorders>
          </w:tcPr>
          <w:p w:rsidR="003E022D" w:rsidRDefault="007D19D6">
            <w:pPr>
              <w:spacing w:after="0"/>
              <w:rPr>
                <w:noProof/>
                <w:sz w:val="14"/>
                <w:u w:val="single"/>
              </w:rPr>
            </w:pPr>
            <w:r>
              <w:rPr>
                <w:b/>
                <w:noProof/>
                <w:u w:val="single"/>
              </w:rPr>
              <w:t>Datums</w:t>
            </w:r>
          </w:p>
        </w:tc>
        <w:tc>
          <w:tcPr>
            <w:tcW w:w="480" w:type="dxa"/>
            <w:gridSpan w:val="2"/>
            <w:tcBorders>
              <w:top w:val="single" w:sz="4" w:space="0" w:color="auto"/>
              <w:bottom w:val="single" w:sz="6" w:space="0" w:color="auto"/>
            </w:tcBorders>
          </w:tcPr>
          <w:p w:rsidR="003E022D" w:rsidRDefault="007D19D6">
            <w:pPr>
              <w:spacing w:after="0"/>
              <w:rPr>
                <w:b/>
                <w:noProof/>
              </w:rPr>
            </w:pPr>
            <w:r>
              <w:rPr>
                <w:b/>
                <w:noProof/>
              </w:rPr>
              <w:t>Nr.</w:t>
            </w:r>
          </w:p>
        </w:tc>
        <w:tc>
          <w:tcPr>
            <w:tcW w:w="2225" w:type="dxa"/>
            <w:gridSpan w:val="2"/>
            <w:tcBorders>
              <w:top w:val="single" w:sz="4" w:space="0" w:color="auto"/>
              <w:bottom w:val="single" w:sz="6" w:space="0" w:color="auto"/>
            </w:tcBorders>
          </w:tcPr>
          <w:p w:rsidR="003E022D" w:rsidRDefault="007D19D6">
            <w:pPr>
              <w:spacing w:after="0"/>
              <w:rPr>
                <w:b/>
                <w:noProof/>
              </w:rPr>
            </w:pPr>
            <w:r>
              <w:rPr>
                <w:b/>
                <w:noProof/>
              </w:rPr>
              <w:t>Ziņojums</w:t>
            </w:r>
          </w:p>
        </w:tc>
        <w:tc>
          <w:tcPr>
            <w:tcW w:w="2138" w:type="dxa"/>
            <w:tcBorders>
              <w:top w:val="single" w:sz="4" w:space="0" w:color="auto"/>
              <w:bottom w:val="single" w:sz="6" w:space="0" w:color="auto"/>
            </w:tcBorders>
            <w:shd w:val="pct5" w:color="auto" w:fill="auto"/>
          </w:tcPr>
          <w:p w:rsidR="003E022D" w:rsidRDefault="007D19D6">
            <w:pPr>
              <w:spacing w:after="0"/>
              <w:rPr>
                <w:b/>
                <w:noProof/>
              </w:rPr>
            </w:pPr>
            <w:r>
              <w:rPr>
                <w:b/>
                <w:noProof/>
              </w:rPr>
              <w:t>Pieteikuma iesniedzēja iestāde</w:t>
            </w:r>
          </w:p>
        </w:tc>
        <w:tc>
          <w:tcPr>
            <w:tcW w:w="3078" w:type="dxa"/>
            <w:gridSpan w:val="2"/>
            <w:tcBorders>
              <w:top w:val="single" w:sz="4" w:space="0" w:color="auto"/>
              <w:bottom w:val="single" w:sz="6" w:space="0" w:color="auto"/>
              <w:right w:val="single" w:sz="4" w:space="0" w:color="auto"/>
            </w:tcBorders>
            <w:shd w:val="pct15" w:color="auto" w:fill="auto"/>
          </w:tcPr>
          <w:p w:rsidR="003E022D" w:rsidRDefault="007D19D6">
            <w:pPr>
              <w:spacing w:after="0"/>
              <w:rPr>
                <w:b/>
                <w:noProof/>
              </w:rPr>
            </w:pPr>
            <w:r>
              <w:rPr>
                <w:b/>
                <w:noProof/>
              </w:rPr>
              <w:t>Pieprasījuma saņēmēja iestāde</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713" w:type="dxa"/>
            <w:gridSpan w:val="2"/>
            <w:tcBorders>
              <w:top w:val="single" w:sz="6" w:space="0" w:color="auto"/>
              <w:left w:val="single" w:sz="6" w:space="0" w:color="auto"/>
            </w:tcBorders>
          </w:tcPr>
          <w:p w:rsidR="003E022D" w:rsidRDefault="007D19D6">
            <w:pPr>
              <w:spacing w:after="0"/>
              <w:rPr>
                <w:b/>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1.</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3E022D" w:rsidRDefault="007D19D6">
            <w:pPr>
              <w:spacing w:before="200" w:after="0"/>
              <w:rPr>
                <w:noProof/>
                <w:sz w:val="20"/>
              </w:rPr>
            </w:pPr>
            <w:r>
              <w:rPr>
                <w:noProof/>
                <w:sz w:val="20"/>
              </w:rPr>
              <w:t>Pieprasījuma saņēmēja iestāde apstiprina pieprasījuma saņemšanu.</w:t>
            </w:r>
          </w:p>
          <w:p w:rsidR="003E022D" w:rsidRDefault="003E022D">
            <w:pPr>
              <w:spacing w:after="0"/>
              <w:rPr>
                <w:noProof/>
                <w:sz w:val="20"/>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3E022D" w:rsidRDefault="007D19D6">
            <w:pPr>
              <w:spacing w:after="0"/>
              <w:rPr>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p w:rsidR="003E022D" w:rsidRDefault="003E022D">
            <w:pPr>
              <w:spacing w:after="0"/>
              <w:rPr>
                <w:b/>
                <w:noProof/>
                <w:sz w:val="20"/>
              </w:rPr>
            </w:pPr>
          </w:p>
        </w:tc>
        <w:tc>
          <w:tcPr>
            <w:tcW w:w="480" w:type="dxa"/>
            <w:gridSpan w:val="2"/>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2.</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3E022D" w:rsidRDefault="007D19D6">
            <w:pPr>
              <w:spacing w:after="0"/>
              <w:rPr>
                <w:b/>
                <w:noProof/>
                <w:sz w:val="20"/>
              </w:rPr>
            </w:pPr>
            <w:r>
              <w:rPr>
                <w:noProof/>
                <w:sz w:val="20"/>
              </w:rPr>
              <w:t xml:space="preserve">Pieprasījuma saņēmēja iestāde aicina pieteikuma iesniedzēju iestādi aizpildīt pieprasījumu ar šādu papildu </w:t>
            </w:r>
            <w:r>
              <w:rPr>
                <w:noProof/>
                <w:sz w:val="20"/>
              </w:rPr>
              <w:t>informāciju:</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3E022D" w:rsidRDefault="003E022D">
            <w:pPr>
              <w:spacing w:after="0"/>
              <w:rPr>
                <w:noProof/>
                <w:sz w:val="20"/>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3E022D" w:rsidRDefault="007D19D6">
            <w:pPr>
              <w:spacing w:after="0"/>
              <w:rPr>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3.</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3E022D" w:rsidRDefault="007D19D6">
            <w:pPr>
              <w:spacing w:after="0"/>
              <w:rPr>
                <w:noProof/>
                <w:sz w:val="20"/>
              </w:rPr>
            </w:pPr>
            <w:r>
              <w:rPr>
                <w:noProof/>
                <w:sz w:val="20"/>
              </w:rPr>
              <w:t xml:space="preserve">Pieprasījuma saņēmēja iestāde vēl nav saņēmusi pieprasīto papildu informāciju un slēgs jūsu pieprasījumu, </w:t>
            </w:r>
            <w:r>
              <w:rPr>
                <w:noProof/>
                <w:sz w:val="20"/>
              </w:rPr>
              <w:t>ja nesaņems šo informāciju līdz 20GG/MM/DD.</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r>
              <w:rPr>
                <w:b/>
                <w:noProof/>
                <w:sz w:val="20"/>
              </w:rPr>
              <w:t xml:space="preserve"> </w:t>
            </w:r>
          </w:p>
        </w:tc>
        <w:tc>
          <w:tcPr>
            <w:tcW w:w="480" w:type="dxa"/>
            <w:gridSpan w:val="2"/>
            <w:tcBorders>
              <w:top w:val="single" w:sz="6" w:space="0" w:color="auto"/>
            </w:tcBorders>
            <w:shd w:val="pct5" w:color="auto" w:fill="auto"/>
          </w:tcPr>
          <w:p w:rsidR="003E022D" w:rsidRDefault="007D19D6">
            <w:pPr>
              <w:spacing w:after="0"/>
              <w:rPr>
                <w:b/>
                <w:noProof/>
                <w:sz w:val="20"/>
              </w:rPr>
            </w:pPr>
            <w:r>
              <w:rPr>
                <w:b/>
                <w:noProof/>
                <w:sz w:val="20"/>
              </w:rPr>
              <w:t>4.</w:t>
            </w:r>
          </w:p>
        </w:tc>
        <w:tc>
          <w:tcPr>
            <w:tcW w:w="7441" w:type="dxa"/>
            <w:gridSpan w:val="5"/>
            <w:tcBorders>
              <w:top w:val="single" w:sz="6" w:space="0" w:color="auto"/>
              <w:right w:val="single" w:sz="6" w:space="0" w:color="auto"/>
            </w:tcBorders>
            <w:shd w:val="pct5" w:color="auto" w:fill="auto"/>
          </w:tcPr>
          <w:p w:rsidR="003E022D" w:rsidRDefault="007D19D6">
            <w:pPr>
              <w:spacing w:before="60" w:after="0"/>
              <w:rPr>
                <w:noProof/>
                <w:sz w:val="20"/>
              </w:rPr>
            </w:pPr>
            <w:r>
              <w:rPr>
                <w:noProof/>
                <w:sz w:val="20"/>
              </w:rPr>
              <w:t xml:space="preserve">Pieteikuma iesniedzēja iestāde: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left w:val="single" w:sz="6" w:space="0" w:color="auto"/>
            </w:tcBorders>
          </w:tcPr>
          <w:p w:rsidR="003E022D" w:rsidRDefault="003E022D">
            <w:pPr>
              <w:spacing w:after="0"/>
              <w:rPr>
                <w:noProof/>
                <w:sz w:val="20"/>
              </w:rPr>
            </w:pPr>
          </w:p>
        </w:tc>
        <w:tc>
          <w:tcPr>
            <w:tcW w:w="480" w:type="dxa"/>
            <w:gridSpan w:val="2"/>
            <w:shd w:val="pct5" w:color="auto" w:fill="auto"/>
          </w:tcPr>
          <w:p w:rsidR="003E022D" w:rsidRDefault="007D19D6">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5" w:color="auto" w:fill="auto"/>
          </w:tcPr>
          <w:p w:rsidR="003E022D" w:rsidRDefault="007D19D6">
            <w:pPr>
              <w:spacing w:after="0"/>
              <w:rPr>
                <w:b/>
                <w:noProof/>
                <w:sz w:val="20"/>
              </w:rPr>
            </w:pPr>
            <w:r>
              <w:rPr>
                <w:b/>
                <w:noProof/>
                <w:sz w:val="20"/>
              </w:rPr>
              <w:t>a.</w:t>
            </w:r>
          </w:p>
        </w:tc>
        <w:tc>
          <w:tcPr>
            <w:tcW w:w="7081" w:type="dxa"/>
            <w:gridSpan w:val="4"/>
            <w:tcBorders>
              <w:right w:val="single" w:sz="6" w:space="0" w:color="auto"/>
            </w:tcBorders>
            <w:shd w:val="pct5" w:color="auto" w:fill="auto"/>
          </w:tcPr>
          <w:p w:rsidR="003E022D" w:rsidRDefault="007D19D6">
            <w:pPr>
              <w:spacing w:after="0"/>
              <w:rPr>
                <w:noProof/>
                <w:sz w:val="20"/>
              </w:rPr>
            </w:pPr>
            <w:r>
              <w:rPr>
                <w:noProof/>
                <w:sz w:val="20"/>
              </w:rPr>
              <w:t xml:space="preserve">pēc pieprasījuma sniedz šādu papildu informāciju: </w:t>
            </w:r>
          </w:p>
          <w:p w:rsidR="003E022D" w:rsidRDefault="007D19D6">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713" w:type="dxa"/>
            <w:gridSpan w:val="2"/>
            <w:tcBorders>
              <w:left w:val="single" w:sz="6" w:space="0" w:color="auto"/>
              <w:bottom w:val="single" w:sz="6" w:space="0" w:color="auto"/>
            </w:tcBorders>
          </w:tcPr>
          <w:p w:rsidR="003E022D" w:rsidRDefault="003E022D">
            <w:pPr>
              <w:spacing w:after="0"/>
              <w:rPr>
                <w:noProof/>
                <w:sz w:val="20"/>
              </w:rPr>
            </w:pPr>
          </w:p>
        </w:tc>
        <w:tc>
          <w:tcPr>
            <w:tcW w:w="480" w:type="dxa"/>
            <w:gridSpan w:val="2"/>
            <w:tcBorders>
              <w:bottom w:val="single" w:sz="6" w:space="0" w:color="auto"/>
            </w:tcBorders>
            <w:shd w:val="pct5" w:color="auto" w:fill="auto"/>
          </w:tcPr>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tcBorders>
              <w:bottom w:val="single" w:sz="6" w:space="0" w:color="auto"/>
            </w:tcBorders>
            <w:shd w:val="pct5" w:color="auto" w:fill="auto"/>
          </w:tcPr>
          <w:p w:rsidR="003E022D" w:rsidRDefault="007D19D6">
            <w:pPr>
              <w:spacing w:after="0"/>
              <w:rPr>
                <w:b/>
                <w:noProof/>
                <w:sz w:val="20"/>
              </w:rPr>
            </w:pPr>
            <w:r>
              <w:rPr>
                <w:b/>
                <w:noProof/>
                <w:sz w:val="20"/>
              </w:rPr>
              <w:t>b.</w:t>
            </w:r>
          </w:p>
        </w:tc>
        <w:tc>
          <w:tcPr>
            <w:tcW w:w="7081" w:type="dxa"/>
            <w:gridSpan w:val="4"/>
            <w:tcBorders>
              <w:bottom w:val="single" w:sz="6" w:space="0" w:color="auto"/>
              <w:right w:val="single" w:sz="6" w:space="0" w:color="auto"/>
            </w:tcBorders>
            <w:shd w:val="pct5" w:color="auto" w:fill="auto"/>
          </w:tcPr>
          <w:p w:rsidR="003E022D" w:rsidRDefault="007D19D6">
            <w:pPr>
              <w:spacing w:after="0"/>
              <w:rPr>
                <w:noProof/>
                <w:sz w:val="20"/>
              </w:rPr>
            </w:pPr>
            <w:r>
              <w:rPr>
                <w:noProof/>
                <w:sz w:val="20"/>
              </w:rPr>
              <w:t xml:space="preserve">nespēj sniegt pieprasīto papildu informāciju </w:t>
            </w:r>
          </w:p>
          <w:p w:rsidR="003E022D" w:rsidRDefault="007D19D6">
            <w:pPr>
              <w:spacing w:after="0"/>
              <w:rPr>
                <w:noProof/>
                <w:sz w:val="20"/>
              </w:rPr>
            </w:pPr>
            <w:r>
              <w:rPr>
                <w:noProof/>
                <w:sz w:val="20"/>
              </w:rPr>
              <w:t xml:space="preserve">(jo: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rsidR="003E022D" w:rsidRDefault="003E022D">
            <w:pPr>
              <w:spacing w:after="0"/>
              <w:rPr>
                <w:noProof/>
                <w:sz w:val="20"/>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top w:val="single" w:sz="6" w:space="0" w:color="auto"/>
              <w:left w:val="single" w:sz="6" w:space="0" w:color="auto"/>
              <w:bottom w:val="single" w:sz="6"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5.</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3E022D" w:rsidRDefault="007D19D6">
            <w:pPr>
              <w:spacing w:after="0"/>
              <w:rPr>
                <w:noProof/>
                <w:sz w:val="20"/>
              </w:rPr>
            </w:pPr>
            <w:r>
              <w:rPr>
                <w:noProof/>
                <w:sz w:val="20"/>
              </w:rPr>
              <w:t>Pieprasījuma saņēmēja iestāde apstiprina papildu informācijas saņemšanu un tagad var turpināt procedūru.</w:t>
            </w:r>
          </w:p>
          <w:p w:rsidR="003E022D" w:rsidRDefault="003E022D">
            <w:pPr>
              <w:spacing w:after="0"/>
              <w:rPr>
                <w:b/>
                <w:noProof/>
                <w:sz w:val="20"/>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val="restart"/>
            <w:tcBorders>
              <w:top w:val="single" w:sz="6" w:space="0" w:color="auto"/>
              <w:left w:val="single" w:sz="6" w:space="0" w:color="auto"/>
            </w:tcBorders>
          </w:tcPr>
          <w:p w:rsidR="003E022D" w:rsidRDefault="007D19D6">
            <w:pPr>
              <w:keepNext/>
              <w:keepLines/>
              <w:spacing w:after="0"/>
              <w:rPr>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p w:rsidR="003E022D" w:rsidRDefault="003E022D">
            <w:pPr>
              <w:keepNext/>
              <w:keepLines/>
              <w:spacing w:before="80" w:after="0"/>
              <w:rPr>
                <w:noProof/>
                <w:sz w:val="20"/>
              </w:rPr>
            </w:pPr>
          </w:p>
        </w:tc>
        <w:tc>
          <w:tcPr>
            <w:tcW w:w="480" w:type="dxa"/>
            <w:gridSpan w:val="2"/>
            <w:vMerge w:val="restart"/>
            <w:tcBorders>
              <w:top w:val="single" w:sz="6" w:space="0" w:color="auto"/>
            </w:tcBorders>
            <w:shd w:val="pct15" w:color="auto" w:fill="auto"/>
          </w:tcPr>
          <w:p w:rsidR="003E022D" w:rsidRDefault="007D19D6">
            <w:pPr>
              <w:keepNext/>
              <w:keepLines/>
              <w:spacing w:before="60" w:after="0"/>
              <w:rPr>
                <w:b/>
                <w:noProof/>
                <w:sz w:val="20"/>
              </w:rPr>
            </w:pPr>
            <w:r>
              <w:rPr>
                <w:b/>
                <w:noProof/>
                <w:sz w:val="20"/>
              </w:rPr>
              <w:t>6.</w:t>
            </w:r>
          </w:p>
          <w:p w:rsidR="003E022D" w:rsidRDefault="007D19D6">
            <w:pPr>
              <w:keepNext/>
              <w:keepLines/>
              <w:spacing w:before="40"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7D19D6">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7D19D6">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7D19D6">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7D19D6">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right w:val="single" w:sz="6" w:space="0" w:color="auto"/>
            </w:tcBorders>
            <w:shd w:val="pct15" w:color="auto" w:fill="auto"/>
          </w:tcPr>
          <w:p w:rsidR="003E022D" w:rsidRDefault="007D19D6">
            <w:pPr>
              <w:keepNext/>
              <w:keepLines/>
              <w:spacing w:before="60" w:after="0"/>
              <w:rPr>
                <w:noProof/>
                <w:sz w:val="20"/>
              </w:rPr>
            </w:pPr>
            <w:r>
              <w:rPr>
                <w:noProof/>
                <w:sz w:val="20"/>
              </w:rPr>
              <w:t xml:space="preserve">Pieprasījuma saņēmēja iestāde nesniedz palīdzību un slēdz lietu, jo: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3E022D" w:rsidRDefault="003E022D">
            <w:pPr>
              <w:keepNext/>
              <w:keepLines/>
              <w:spacing w:after="0"/>
              <w:rPr>
                <w:i/>
                <w:noProof/>
                <w:sz w:val="20"/>
              </w:rPr>
            </w:pPr>
          </w:p>
        </w:tc>
        <w:tc>
          <w:tcPr>
            <w:tcW w:w="480" w:type="dxa"/>
            <w:gridSpan w:val="2"/>
            <w:vMerge/>
            <w:shd w:val="pct15" w:color="auto" w:fill="auto"/>
          </w:tcPr>
          <w:p w:rsidR="003E022D" w:rsidRDefault="003E022D">
            <w:pPr>
              <w:keepNext/>
              <w:keepLines/>
              <w:spacing w:after="0"/>
              <w:rPr>
                <w:b/>
                <w:noProof/>
                <w:sz w:val="20"/>
              </w:rPr>
            </w:pPr>
          </w:p>
        </w:tc>
        <w:tc>
          <w:tcPr>
            <w:tcW w:w="360" w:type="dxa"/>
            <w:shd w:val="pct15" w:color="auto" w:fill="auto"/>
          </w:tcPr>
          <w:p w:rsidR="003E022D" w:rsidRDefault="007D19D6">
            <w:pPr>
              <w:keepNext/>
              <w:keepLines/>
              <w:spacing w:before="40" w:after="0"/>
              <w:rPr>
                <w:b/>
                <w:noProof/>
                <w:sz w:val="20"/>
              </w:rPr>
            </w:pPr>
            <w:r>
              <w:rPr>
                <w:b/>
                <w:noProof/>
                <w:sz w:val="20"/>
              </w:rPr>
              <w:t>a.</w:t>
            </w:r>
          </w:p>
        </w:tc>
        <w:tc>
          <w:tcPr>
            <w:tcW w:w="7081" w:type="dxa"/>
            <w:gridSpan w:val="4"/>
            <w:tcBorders>
              <w:right w:val="single" w:sz="6" w:space="0" w:color="auto"/>
            </w:tcBorders>
            <w:shd w:val="pct15" w:color="auto" w:fill="auto"/>
          </w:tcPr>
          <w:p w:rsidR="003E022D" w:rsidRDefault="007D19D6">
            <w:pPr>
              <w:keepNext/>
              <w:keepLines/>
              <w:spacing w:before="40" w:after="0"/>
              <w:rPr>
                <w:noProof/>
                <w:sz w:val="20"/>
              </w:rPr>
            </w:pPr>
            <w:r>
              <w:rPr>
                <w:noProof/>
                <w:sz w:val="20"/>
              </w:rPr>
              <w:t>nav kompetenta attiecībā uz nodokļiem, uz kuriem attiecas pieprasījums.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3E022D" w:rsidRDefault="003E022D">
            <w:pPr>
              <w:keepNext/>
              <w:keepLines/>
              <w:spacing w:after="0"/>
              <w:rPr>
                <w:i/>
                <w:noProof/>
                <w:sz w:val="20"/>
              </w:rPr>
            </w:pPr>
          </w:p>
        </w:tc>
        <w:tc>
          <w:tcPr>
            <w:tcW w:w="480" w:type="dxa"/>
            <w:gridSpan w:val="2"/>
            <w:vMerge/>
            <w:shd w:val="pct15" w:color="auto" w:fill="auto"/>
          </w:tcPr>
          <w:p w:rsidR="003E022D" w:rsidRDefault="003E022D">
            <w:pPr>
              <w:keepNext/>
              <w:keepLines/>
              <w:spacing w:after="0"/>
              <w:rPr>
                <w:b/>
                <w:noProof/>
                <w:sz w:val="20"/>
              </w:rPr>
            </w:pPr>
          </w:p>
        </w:tc>
        <w:tc>
          <w:tcPr>
            <w:tcW w:w="360" w:type="dxa"/>
            <w:shd w:val="pct15" w:color="auto" w:fill="auto"/>
          </w:tcPr>
          <w:p w:rsidR="003E022D" w:rsidRDefault="007D19D6">
            <w:pPr>
              <w:keepNext/>
              <w:keepLines/>
              <w:spacing w:after="0"/>
              <w:rPr>
                <w:b/>
                <w:noProof/>
                <w:sz w:val="20"/>
              </w:rPr>
            </w:pPr>
            <w:r>
              <w:rPr>
                <w:b/>
                <w:noProof/>
                <w:sz w:val="20"/>
              </w:rPr>
              <w:t>b.</w:t>
            </w:r>
          </w:p>
        </w:tc>
        <w:tc>
          <w:tcPr>
            <w:tcW w:w="7081" w:type="dxa"/>
            <w:gridSpan w:val="4"/>
            <w:tcBorders>
              <w:right w:val="single" w:sz="6" w:space="0" w:color="auto"/>
            </w:tcBorders>
            <w:shd w:val="pct15" w:color="auto" w:fill="auto"/>
          </w:tcPr>
          <w:p w:rsidR="003E022D" w:rsidRDefault="007D19D6">
            <w:pPr>
              <w:keepNext/>
              <w:keepLines/>
              <w:spacing w:after="0"/>
              <w:rPr>
                <w:noProof/>
                <w:sz w:val="20"/>
              </w:rPr>
            </w:pPr>
            <w:r>
              <w:rPr>
                <w:noProof/>
                <w:sz w:val="20"/>
              </w:rPr>
              <w:t>prasījums(-i) ir vecāks(-i), nekā paredzēts protokolā.</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3E022D" w:rsidRDefault="003E022D">
            <w:pPr>
              <w:keepNext/>
              <w:keepLines/>
              <w:spacing w:after="0"/>
              <w:rPr>
                <w:i/>
                <w:noProof/>
                <w:sz w:val="20"/>
              </w:rPr>
            </w:pPr>
          </w:p>
        </w:tc>
        <w:tc>
          <w:tcPr>
            <w:tcW w:w="480" w:type="dxa"/>
            <w:gridSpan w:val="2"/>
            <w:vMerge/>
            <w:shd w:val="pct15" w:color="auto" w:fill="auto"/>
          </w:tcPr>
          <w:p w:rsidR="003E022D" w:rsidRDefault="003E022D">
            <w:pPr>
              <w:keepNext/>
              <w:keepLines/>
              <w:spacing w:after="0"/>
              <w:rPr>
                <w:b/>
                <w:noProof/>
                <w:sz w:val="20"/>
              </w:rPr>
            </w:pPr>
          </w:p>
        </w:tc>
        <w:tc>
          <w:tcPr>
            <w:tcW w:w="360" w:type="dxa"/>
            <w:shd w:val="pct15" w:color="auto" w:fill="auto"/>
          </w:tcPr>
          <w:p w:rsidR="003E022D" w:rsidRDefault="007D19D6">
            <w:pPr>
              <w:keepNext/>
              <w:keepLines/>
              <w:spacing w:after="0"/>
              <w:rPr>
                <w:b/>
                <w:noProof/>
                <w:sz w:val="20"/>
              </w:rPr>
            </w:pPr>
            <w:r>
              <w:rPr>
                <w:b/>
                <w:noProof/>
                <w:sz w:val="20"/>
              </w:rPr>
              <w:t>c.</w:t>
            </w:r>
          </w:p>
        </w:tc>
        <w:tc>
          <w:tcPr>
            <w:tcW w:w="7081" w:type="dxa"/>
            <w:gridSpan w:val="4"/>
            <w:tcBorders>
              <w:right w:val="single" w:sz="6" w:space="0" w:color="auto"/>
            </w:tcBorders>
            <w:shd w:val="pct15" w:color="auto" w:fill="auto"/>
          </w:tcPr>
          <w:p w:rsidR="003E022D" w:rsidRDefault="007D19D6">
            <w:pPr>
              <w:keepNext/>
              <w:keepLines/>
              <w:spacing w:after="0"/>
              <w:rPr>
                <w:noProof/>
                <w:sz w:val="20"/>
              </w:rPr>
            </w:pPr>
            <w:r>
              <w:rPr>
                <w:noProof/>
                <w:sz w:val="20"/>
              </w:rPr>
              <w:t>prasījuma(-u) summa ir mazāka par robežvērtību.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3E022D" w:rsidRDefault="003E022D">
            <w:pPr>
              <w:keepNext/>
              <w:keepLines/>
              <w:spacing w:after="0"/>
              <w:rPr>
                <w:i/>
                <w:noProof/>
                <w:sz w:val="20"/>
              </w:rPr>
            </w:pPr>
          </w:p>
        </w:tc>
        <w:tc>
          <w:tcPr>
            <w:tcW w:w="480" w:type="dxa"/>
            <w:gridSpan w:val="2"/>
            <w:vMerge/>
            <w:shd w:val="pct15" w:color="auto" w:fill="auto"/>
          </w:tcPr>
          <w:p w:rsidR="003E022D" w:rsidRDefault="003E022D">
            <w:pPr>
              <w:keepNext/>
              <w:keepLines/>
              <w:spacing w:after="0"/>
              <w:rPr>
                <w:b/>
                <w:noProof/>
                <w:sz w:val="20"/>
              </w:rPr>
            </w:pPr>
          </w:p>
        </w:tc>
        <w:tc>
          <w:tcPr>
            <w:tcW w:w="360" w:type="dxa"/>
            <w:shd w:val="pct15" w:color="auto" w:fill="auto"/>
          </w:tcPr>
          <w:p w:rsidR="003E022D" w:rsidRDefault="007D19D6">
            <w:pPr>
              <w:keepNext/>
              <w:keepLines/>
              <w:spacing w:after="0"/>
              <w:rPr>
                <w:b/>
                <w:noProof/>
                <w:sz w:val="20"/>
              </w:rPr>
            </w:pPr>
            <w:r>
              <w:rPr>
                <w:b/>
                <w:noProof/>
                <w:sz w:val="20"/>
              </w:rPr>
              <w:t>d.</w:t>
            </w:r>
          </w:p>
        </w:tc>
        <w:tc>
          <w:tcPr>
            <w:tcW w:w="7081" w:type="dxa"/>
            <w:gridSpan w:val="4"/>
            <w:tcBorders>
              <w:right w:val="single" w:sz="6" w:space="0" w:color="auto"/>
            </w:tcBorders>
            <w:shd w:val="pct15" w:color="auto" w:fill="auto"/>
          </w:tcPr>
          <w:p w:rsidR="003E022D" w:rsidRDefault="007D19D6">
            <w:pPr>
              <w:keepNext/>
              <w:keepLines/>
              <w:spacing w:after="0"/>
              <w:rPr>
                <w:noProof/>
                <w:sz w:val="20"/>
              </w:rPr>
            </w:pPr>
            <w:r>
              <w:rPr>
                <w:noProof/>
                <w:sz w:val="20"/>
              </w:rPr>
              <w:t>pieteikuma iesniedzēja iestāde nav sniegusi visu vajadzīgo papildu informāciju.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75"/>
        </w:trPr>
        <w:tc>
          <w:tcPr>
            <w:tcW w:w="1713" w:type="dxa"/>
            <w:gridSpan w:val="2"/>
            <w:vMerge/>
            <w:tcBorders>
              <w:left w:val="single" w:sz="6" w:space="0" w:color="auto"/>
            </w:tcBorders>
          </w:tcPr>
          <w:p w:rsidR="003E022D" w:rsidRDefault="003E022D">
            <w:pPr>
              <w:keepNext/>
              <w:keepLines/>
              <w:spacing w:after="0"/>
              <w:rPr>
                <w:i/>
                <w:noProof/>
                <w:sz w:val="20"/>
              </w:rPr>
            </w:pPr>
          </w:p>
        </w:tc>
        <w:tc>
          <w:tcPr>
            <w:tcW w:w="480" w:type="dxa"/>
            <w:gridSpan w:val="2"/>
            <w:vMerge/>
            <w:shd w:val="pct15" w:color="auto" w:fill="auto"/>
          </w:tcPr>
          <w:p w:rsidR="003E022D" w:rsidRDefault="003E022D">
            <w:pPr>
              <w:keepNext/>
              <w:keepLines/>
              <w:spacing w:after="0"/>
              <w:rPr>
                <w:b/>
                <w:noProof/>
                <w:sz w:val="20"/>
              </w:rPr>
            </w:pPr>
          </w:p>
        </w:tc>
        <w:tc>
          <w:tcPr>
            <w:tcW w:w="360" w:type="dxa"/>
            <w:shd w:val="pct15" w:color="auto" w:fill="auto"/>
          </w:tcPr>
          <w:p w:rsidR="003E022D" w:rsidRDefault="007D19D6">
            <w:pPr>
              <w:keepNext/>
              <w:keepLines/>
              <w:spacing w:after="0"/>
              <w:rPr>
                <w:b/>
                <w:noProof/>
                <w:sz w:val="20"/>
              </w:rPr>
            </w:pPr>
            <w:r>
              <w:rPr>
                <w:b/>
                <w:noProof/>
                <w:sz w:val="20"/>
              </w:rPr>
              <w:t>e.</w:t>
            </w:r>
          </w:p>
        </w:tc>
        <w:tc>
          <w:tcPr>
            <w:tcW w:w="7081" w:type="dxa"/>
            <w:gridSpan w:val="4"/>
            <w:tcBorders>
              <w:right w:val="single" w:sz="6" w:space="0" w:color="auto"/>
            </w:tcBorders>
            <w:shd w:val="pct15" w:color="auto" w:fill="auto"/>
          </w:tcPr>
          <w:p w:rsidR="003E022D" w:rsidRDefault="007D19D6">
            <w:pPr>
              <w:keepNext/>
              <w:keepLines/>
              <w:spacing w:after="0"/>
              <w:rPr>
                <w:strike/>
                <w:noProof/>
                <w:sz w:val="20"/>
              </w:rPr>
            </w:pPr>
            <w:r>
              <w:rPr>
                <w:noProof/>
                <w:sz w:val="20"/>
              </w:rPr>
              <w:t xml:space="preserve">Cits iemesls: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3" w:type="dxa"/>
          <w:cantSplit/>
          <w:trHeight w:val="163"/>
        </w:trPr>
        <w:tc>
          <w:tcPr>
            <w:tcW w:w="1680" w:type="dxa"/>
            <w:tcBorders>
              <w:top w:val="single" w:sz="6" w:space="0" w:color="auto"/>
              <w:left w:val="single" w:sz="6" w:space="0" w:color="auto"/>
              <w:bottom w:val="single" w:sz="4"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r>
              <w:rPr>
                <w:b/>
                <w:noProof/>
                <w:sz w:val="20"/>
              </w:rPr>
              <w:t xml:space="preserve"> </w:t>
            </w:r>
          </w:p>
        </w:tc>
        <w:tc>
          <w:tcPr>
            <w:tcW w:w="480" w:type="dxa"/>
            <w:gridSpan w:val="2"/>
            <w:tcBorders>
              <w:top w:val="single" w:sz="6" w:space="0" w:color="auto"/>
              <w:bottom w:val="single" w:sz="4" w:space="0" w:color="auto"/>
            </w:tcBorders>
            <w:shd w:val="pct5" w:color="auto" w:fill="auto"/>
          </w:tcPr>
          <w:p w:rsidR="003E022D" w:rsidRDefault="007D19D6">
            <w:pPr>
              <w:spacing w:after="0"/>
              <w:rPr>
                <w:b/>
                <w:noProof/>
                <w:sz w:val="20"/>
              </w:rPr>
            </w:pPr>
            <w:r>
              <w:rPr>
                <w:b/>
                <w:noProof/>
                <w:sz w:val="20"/>
              </w:rPr>
              <w:t>7.</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3E022D" w:rsidRDefault="007D19D6">
            <w:pPr>
              <w:spacing w:before="200" w:after="0"/>
              <w:rPr>
                <w:noProof/>
              </w:rPr>
            </w:pPr>
            <w:r>
              <w:rPr>
                <w:noProof/>
                <w:sz w:val="20"/>
              </w:rPr>
              <w:t>Pieteik</w:t>
            </w:r>
            <w:r>
              <w:rPr>
                <w:noProof/>
                <w:sz w:val="20"/>
              </w:rPr>
              <w:t>uma iesniedzēja iestāde lūdz to informēt par tās pieprasījuma pašreizējo statusu.</w:t>
            </w:r>
            <w:r>
              <w:rPr>
                <w:b/>
                <w:noProof/>
                <w:sz w:val="20"/>
              </w:rPr>
              <w:t xml:space="preserv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3E022D" w:rsidRDefault="007D19D6">
            <w:pPr>
              <w:keepNext/>
              <w:keepLines/>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80" w:type="dxa"/>
            <w:gridSpan w:val="2"/>
            <w:tcBorders>
              <w:top w:val="single" w:sz="6" w:space="0" w:color="auto"/>
            </w:tcBorders>
            <w:shd w:val="pct15" w:color="auto" w:fill="auto"/>
          </w:tcPr>
          <w:p w:rsidR="003E022D" w:rsidRDefault="007D19D6">
            <w:pPr>
              <w:keepNext/>
              <w:keepLines/>
              <w:spacing w:after="0"/>
              <w:rPr>
                <w:b/>
                <w:noProof/>
                <w:sz w:val="20"/>
              </w:rPr>
            </w:pPr>
            <w:r>
              <w:rPr>
                <w:b/>
                <w:noProof/>
                <w:sz w:val="20"/>
              </w:rPr>
              <w:t>8.</w:t>
            </w:r>
          </w:p>
        </w:tc>
        <w:tc>
          <w:tcPr>
            <w:tcW w:w="7441" w:type="dxa"/>
            <w:gridSpan w:val="5"/>
            <w:tcBorders>
              <w:top w:val="single" w:sz="6" w:space="0" w:color="auto"/>
              <w:right w:val="single" w:sz="6" w:space="0" w:color="auto"/>
            </w:tcBorders>
            <w:shd w:val="pct15" w:color="auto" w:fill="auto"/>
          </w:tcPr>
          <w:p w:rsidR="003E022D" w:rsidRDefault="007D19D6">
            <w:pPr>
              <w:keepNext/>
              <w:keepLines/>
              <w:spacing w:before="40" w:after="0"/>
              <w:rPr>
                <w:noProof/>
                <w:sz w:val="20"/>
              </w:rPr>
            </w:pPr>
            <w:r>
              <w:rPr>
                <w:noProof/>
                <w:sz w:val="20"/>
              </w:rPr>
              <w:t>Pieprasījuma saņēmēja iestāde apliecina: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7"/>
        </w:trPr>
        <w:tc>
          <w:tcPr>
            <w:tcW w:w="1713" w:type="dxa"/>
            <w:gridSpan w:val="2"/>
            <w:vMerge w:val="restart"/>
            <w:tcBorders>
              <w:left w:val="single" w:sz="6" w:space="0" w:color="auto"/>
            </w:tcBorders>
          </w:tcPr>
          <w:p w:rsidR="003E022D" w:rsidRDefault="003E022D">
            <w:pPr>
              <w:keepNext/>
              <w:keepLines/>
              <w:spacing w:after="0"/>
              <w:rPr>
                <w:noProof/>
                <w:sz w:val="20"/>
              </w:rPr>
            </w:pPr>
          </w:p>
        </w:tc>
        <w:tc>
          <w:tcPr>
            <w:tcW w:w="480" w:type="dxa"/>
            <w:gridSpan w:val="2"/>
            <w:vMerge w:val="restart"/>
            <w:shd w:val="pct15" w:color="auto" w:fill="auto"/>
          </w:tcPr>
          <w:p w:rsidR="003E022D" w:rsidRDefault="007D19D6">
            <w:pPr>
              <w:keepNext/>
              <w:keepLines/>
              <w:spacing w:before="2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3E022D">
            <w:pPr>
              <w:keepNext/>
              <w:keepLines/>
              <w:spacing w:after="0"/>
              <w:rPr>
                <w:b/>
                <w:noProof/>
                <w:sz w:val="20"/>
              </w:rPr>
            </w:pPr>
          </w:p>
          <w:p w:rsidR="003E022D" w:rsidRDefault="003E022D">
            <w:pPr>
              <w:keepNext/>
              <w:keepLines/>
              <w:spacing w:after="0"/>
              <w:rPr>
                <w:b/>
                <w:noProof/>
                <w:sz w:val="20"/>
              </w:rPr>
            </w:pPr>
          </w:p>
          <w:p w:rsidR="003E022D" w:rsidRDefault="003E022D">
            <w:pPr>
              <w:keepNext/>
              <w:keepLines/>
              <w:spacing w:after="0"/>
              <w:rPr>
                <w:b/>
                <w:noProof/>
                <w:sz w:val="20"/>
              </w:rPr>
            </w:pPr>
          </w:p>
          <w:p w:rsidR="003E022D" w:rsidRDefault="003E022D">
            <w:pPr>
              <w:keepNext/>
              <w:keepLines/>
              <w:spacing w:after="0"/>
              <w:rPr>
                <w:b/>
                <w:noProof/>
                <w:sz w:val="20"/>
              </w:rPr>
            </w:pPr>
          </w:p>
          <w:p w:rsidR="003E022D" w:rsidRDefault="003E022D">
            <w:pPr>
              <w:keepNext/>
              <w:keepLines/>
              <w:spacing w:after="0"/>
              <w:rPr>
                <w:b/>
                <w:noProof/>
                <w:sz w:val="20"/>
              </w:rPr>
            </w:pPr>
          </w:p>
          <w:p w:rsidR="003E022D" w:rsidRDefault="003E022D">
            <w:pPr>
              <w:keepNext/>
              <w:keepLines/>
              <w:spacing w:after="0"/>
              <w:rPr>
                <w:b/>
                <w:noProof/>
                <w:sz w:val="20"/>
              </w:rPr>
            </w:pPr>
          </w:p>
          <w:p w:rsidR="003E022D" w:rsidRDefault="003E022D">
            <w:pPr>
              <w:keepNext/>
              <w:keepLines/>
              <w:spacing w:after="0"/>
              <w:rPr>
                <w:b/>
                <w:noProof/>
                <w:sz w:val="20"/>
              </w:rPr>
            </w:pPr>
          </w:p>
          <w:p w:rsidR="003E022D" w:rsidRDefault="003E022D">
            <w:pPr>
              <w:keepNext/>
              <w:keepLines/>
              <w:spacing w:after="0"/>
              <w:rPr>
                <w:b/>
                <w:noProof/>
                <w:sz w:val="20"/>
              </w:rPr>
            </w:pPr>
          </w:p>
          <w:p w:rsidR="003E022D" w:rsidRDefault="003E022D">
            <w:pPr>
              <w:keepNext/>
              <w:keepLines/>
              <w:spacing w:after="0"/>
              <w:rPr>
                <w:b/>
                <w:noProof/>
                <w:sz w:val="20"/>
              </w:rPr>
            </w:pPr>
          </w:p>
          <w:p w:rsidR="003E022D" w:rsidRDefault="003E022D">
            <w:pPr>
              <w:keepNext/>
              <w:keepLines/>
              <w:spacing w:after="0"/>
              <w:rPr>
                <w:b/>
                <w:noProof/>
                <w:sz w:val="20"/>
              </w:rPr>
            </w:pPr>
          </w:p>
          <w:p w:rsidR="003E022D" w:rsidRDefault="007D19D6">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15" w:color="auto" w:fill="auto"/>
          </w:tcPr>
          <w:p w:rsidR="003E022D" w:rsidRDefault="007D19D6">
            <w:pPr>
              <w:keepNext/>
              <w:keepLines/>
              <w:spacing w:after="0"/>
              <w:rPr>
                <w:b/>
                <w:noProof/>
                <w:sz w:val="20"/>
              </w:rPr>
            </w:pPr>
            <w:r>
              <w:rPr>
                <w:b/>
                <w:noProof/>
                <w:sz w:val="20"/>
              </w:rPr>
              <w:t>a.</w:t>
            </w:r>
          </w:p>
        </w:tc>
        <w:tc>
          <w:tcPr>
            <w:tcW w:w="7081" w:type="dxa"/>
            <w:gridSpan w:val="4"/>
            <w:tcBorders>
              <w:left w:val="nil"/>
              <w:right w:val="single" w:sz="6" w:space="0" w:color="auto"/>
            </w:tcBorders>
            <w:shd w:val="pct15" w:color="auto" w:fill="auto"/>
          </w:tcPr>
          <w:p w:rsidR="003E022D" w:rsidRDefault="007D19D6">
            <w:pPr>
              <w:keepNext/>
              <w:keepLines/>
              <w:spacing w:after="0"/>
              <w:rPr>
                <w:noProof/>
                <w:sz w:val="20"/>
              </w:rPr>
            </w:pPr>
            <w:r>
              <w:rPr>
                <w:noProof/>
                <w:sz w:val="20"/>
              </w:rPr>
              <w:t xml:space="preserve">ka dokuments(-i) ir paziņots(-i) adresātam ar juridiskām sekām saskaņā ar pieprasījuma saņēmējas iestādes valsts tiesību aktiem </w:t>
            </w:r>
            <w:r>
              <w:rPr>
                <w:noProof/>
                <w:sz w:val="20"/>
              </w:rPr>
              <w:fldChar w:fldCharType="begin" w:fldLock="1">
                <w:ffData>
                  <w:name w:val="Text59"/>
                  <w:enabled/>
                  <w:calcOnExit w:val="0"/>
                  <w:textInput>
                    <w:default w:val="datums"/>
                  </w:textInput>
                </w:ffData>
              </w:fldChar>
            </w:r>
            <w:r>
              <w:rPr>
                <w:noProof/>
                <w:sz w:val="20"/>
              </w:rPr>
              <w:instrText xml:space="preserve"> FORMTEXT </w:instrText>
            </w:r>
            <w:r>
              <w:rPr>
                <w:noProof/>
                <w:sz w:val="20"/>
              </w:rPr>
            </w:r>
            <w:r>
              <w:rPr>
                <w:noProof/>
                <w:sz w:val="20"/>
              </w:rPr>
              <w:fldChar w:fldCharType="separate"/>
            </w:r>
            <w:r>
              <w:rPr>
                <w:noProof/>
                <w:sz w:val="20"/>
              </w:rPr>
              <w:t>datums</w:t>
            </w:r>
            <w:r>
              <w:rPr>
                <w:noProof/>
                <w:sz w:val="20"/>
              </w:rPr>
              <w:fldChar w:fldCharType="end"/>
            </w:r>
            <w:r>
              <w:rPr>
                <w:noProof/>
                <w:sz w:val="20"/>
              </w:rPr>
              <w:t>.</w:t>
            </w:r>
          </w:p>
          <w:p w:rsidR="003E022D" w:rsidRDefault="003E022D">
            <w:pPr>
              <w:keepNext/>
              <w:keepLines/>
              <w:spacing w:after="0"/>
              <w:rPr>
                <w:noProof/>
                <w:sz w:val="20"/>
              </w:rPr>
            </w:pPr>
          </w:p>
          <w:p w:rsidR="003E022D" w:rsidRDefault="007D19D6">
            <w:pPr>
              <w:keepNext/>
              <w:keepLines/>
              <w:spacing w:after="0"/>
              <w:rPr>
                <w:b/>
                <w:noProof/>
                <w:sz w:val="20"/>
              </w:rPr>
            </w:pPr>
            <w:r>
              <w:rPr>
                <w:noProof/>
                <w:sz w:val="20"/>
              </w:rPr>
              <w:t>Paziņots šādi:</w:t>
            </w:r>
          </w:p>
          <w:p w:rsidR="003E022D" w:rsidRDefault="007D19D6">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adresātam personīgi</w:t>
            </w:r>
          </w:p>
          <w:p w:rsidR="003E022D" w:rsidRDefault="007D19D6">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pa pastu</w:t>
            </w:r>
          </w:p>
          <w:p w:rsidR="003E022D" w:rsidRDefault="007D19D6">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pa elektronisko pastu</w:t>
            </w:r>
          </w:p>
          <w:p w:rsidR="003E022D" w:rsidRDefault="007D19D6">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ar ierakstītu vēstuli</w:t>
            </w:r>
          </w:p>
          <w:p w:rsidR="003E022D" w:rsidRDefault="007D19D6">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ar tiesu izpildītāja starpniecību</w:t>
            </w:r>
          </w:p>
          <w:p w:rsidR="003E022D" w:rsidRDefault="007D19D6">
            <w:pPr>
              <w:keepNext/>
              <w:keepLines/>
              <w:spacing w:after="0"/>
              <w:ind w:left="487"/>
              <w:rPr>
                <w:b/>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ar citu procedūru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82"/>
        </w:trPr>
        <w:tc>
          <w:tcPr>
            <w:tcW w:w="1713" w:type="dxa"/>
            <w:gridSpan w:val="2"/>
            <w:vMerge/>
            <w:tcBorders>
              <w:left w:val="single" w:sz="6" w:space="0" w:color="auto"/>
              <w:bottom w:val="single" w:sz="4" w:space="0" w:color="auto"/>
            </w:tcBorders>
          </w:tcPr>
          <w:p w:rsidR="003E022D" w:rsidRDefault="003E022D">
            <w:pPr>
              <w:spacing w:after="0"/>
              <w:rPr>
                <w:noProof/>
                <w:sz w:val="20"/>
              </w:rPr>
            </w:pPr>
          </w:p>
        </w:tc>
        <w:tc>
          <w:tcPr>
            <w:tcW w:w="480" w:type="dxa"/>
            <w:gridSpan w:val="2"/>
            <w:vMerge/>
            <w:tcBorders>
              <w:bottom w:val="single" w:sz="4" w:space="0" w:color="auto"/>
            </w:tcBorders>
            <w:shd w:val="pct15" w:color="auto" w:fill="auto"/>
          </w:tcPr>
          <w:p w:rsidR="003E022D" w:rsidRDefault="003E022D">
            <w:pPr>
              <w:spacing w:after="0"/>
              <w:rPr>
                <w:b/>
                <w:noProof/>
                <w:sz w:val="20"/>
              </w:rPr>
            </w:pPr>
          </w:p>
        </w:tc>
        <w:tc>
          <w:tcPr>
            <w:tcW w:w="360" w:type="dxa"/>
            <w:tcBorders>
              <w:bottom w:val="single" w:sz="4" w:space="0" w:color="auto"/>
            </w:tcBorders>
            <w:shd w:val="pct15" w:color="auto" w:fill="auto"/>
          </w:tcPr>
          <w:p w:rsidR="003E022D" w:rsidRDefault="007D19D6">
            <w:pPr>
              <w:spacing w:after="0"/>
              <w:rPr>
                <w:b/>
                <w:noProof/>
                <w:sz w:val="20"/>
              </w:rPr>
            </w:pPr>
            <w:r>
              <w:rPr>
                <w:b/>
                <w:noProof/>
                <w:sz w:val="20"/>
              </w:rPr>
              <w:t>b.</w:t>
            </w:r>
          </w:p>
        </w:tc>
        <w:tc>
          <w:tcPr>
            <w:tcW w:w="7081" w:type="dxa"/>
            <w:gridSpan w:val="4"/>
            <w:tcBorders>
              <w:left w:val="nil"/>
              <w:bottom w:val="single" w:sz="4" w:space="0" w:color="auto"/>
              <w:right w:val="single" w:sz="6" w:space="0" w:color="auto"/>
            </w:tcBorders>
            <w:shd w:val="pct15" w:color="auto" w:fill="auto"/>
          </w:tcPr>
          <w:p w:rsidR="003E022D" w:rsidRDefault="007D19D6">
            <w:pPr>
              <w:spacing w:after="0"/>
              <w:rPr>
                <w:noProof/>
                <w:sz w:val="20"/>
              </w:rPr>
            </w:pPr>
            <w:r>
              <w:rPr>
                <w:noProof/>
                <w:sz w:val="20"/>
              </w:rPr>
              <w:t>ka par iepriekš minēto(-ajiem) dokumentu(-iem) nevarēja paziņot attiecīgajai personai šādu iemeslu dēļ:</w:t>
            </w:r>
          </w:p>
          <w:p w:rsidR="003E022D" w:rsidRDefault="007D19D6">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adresāts(-i) nav zināms(-i)</w:t>
            </w:r>
          </w:p>
          <w:p w:rsidR="003E022D" w:rsidRDefault="007D19D6">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adresāts(-i) miris(-uši)</w:t>
            </w:r>
          </w:p>
          <w:p w:rsidR="003E022D" w:rsidRDefault="007D19D6">
            <w:pPr>
              <w:spacing w:after="0"/>
              <w:ind w:left="487"/>
              <w:rPr>
                <w:noProof/>
                <w:sz w:val="20"/>
              </w:rPr>
            </w:pPr>
            <w:r>
              <w:rPr>
                <w:noProof/>
                <w:sz w:val="20"/>
              </w:rPr>
              <w:fldChar w:fldCharType="begin">
                <w:ffData>
                  <w:name w:val="Check24"/>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adresāts(-i) ir atstājis(-uši) valsti. Jaunā adrese:</w:t>
            </w:r>
          </w:p>
          <w:p w:rsidR="003E022D" w:rsidRDefault="007D19D6">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cita: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6" w:space="0" w:color="auto"/>
            </w:tcBorders>
          </w:tcPr>
          <w:p w:rsidR="003E022D" w:rsidRDefault="007D19D6">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r>
              <w:rPr>
                <w:b/>
                <w:noProof/>
                <w:sz w:val="20"/>
              </w:rPr>
              <w:t xml:space="preserve"> </w:t>
            </w:r>
          </w:p>
        </w:tc>
        <w:tc>
          <w:tcPr>
            <w:tcW w:w="480" w:type="dxa"/>
            <w:gridSpan w:val="2"/>
            <w:tcBorders>
              <w:top w:val="single" w:sz="6" w:space="0" w:color="auto"/>
              <w:bottom w:val="single" w:sz="6" w:space="0" w:color="auto"/>
            </w:tcBorders>
            <w:shd w:val="pct5" w:color="auto" w:fill="auto"/>
          </w:tcPr>
          <w:p w:rsidR="003E022D" w:rsidRDefault="007D19D6">
            <w:pPr>
              <w:spacing w:after="0"/>
              <w:rPr>
                <w:b/>
                <w:noProof/>
                <w:sz w:val="20"/>
              </w:rPr>
            </w:pPr>
            <w:r>
              <w:rPr>
                <w:b/>
                <w:noProof/>
                <w:sz w:val="20"/>
              </w:rPr>
              <w:t>9.</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5" w:color="auto" w:fill="auto"/>
          </w:tcPr>
          <w:p w:rsidR="003E022D" w:rsidRDefault="007D19D6">
            <w:pPr>
              <w:spacing w:before="200" w:after="0"/>
              <w:rPr>
                <w:noProof/>
                <w:sz w:val="20"/>
              </w:rPr>
            </w:pPr>
            <w:r>
              <w:rPr>
                <w:noProof/>
                <w:sz w:val="20"/>
              </w:rPr>
              <w:t>Pieteikuma iesniedzēja iestāde atsauc paziņošanas pieprasījumu.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4" w:space="0" w:color="auto"/>
            </w:tcBorders>
          </w:tcPr>
          <w:p w:rsidR="003E022D" w:rsidRDefault="007D19D6">
            <w:pPr>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480" w:type="dxa"/>
            <w:gridSpan w:val="2"/>
            <w:tcBorders>
              <w:top w:val="single" w:sz="6" w:space="0" w:color="auto"/>
              <w:bottom w:val="single" w:sz="4" w:space="0" w:color="auto"/>
            </w:tcBorders>
            <w:shd w:val="pct5" w:color="auto" w:fill="auto"/>
          </w:tcPr>
          <w:p w:rsidR="003E022D" w:rsidRDefault="007D19D6">
            <w:pPr>
              <w:spacing w:after="0"/>
              <w:rPr>
                <w:b/>
                <w:noProof/>
                <w:sz w:val="20"/>
              </w:rPr>
            </w:pPr>
            <w:r>
              <w:rPr>
                <w:b/>
                <w:noProof/>
                <w:sz w:val="20"/>
              </w:rPr>
              <w:t>10.</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3E022D" w:rsidRDefault="007D19D6">
            <w:pPr>
              <w:spacing w:before="60" w:after="0"/>
              <w:rPr>
                <w:noProof/>
                <w:sz w:val="20"/>
              </w:rPr>
            </w:pPr>
            <w:r>
              <w:rPr>
                <w:noProof/>
                <w:sz w:val="20"/>
              </w:rPr>
              <w:t xml:space="preserve">Cita: </w:t>
            </w:r>
            <w:r>
              <w:rPr>
                <w:noProof/>
                <w:sz w:val="20"/>
              </w:rPr>
              <w:sym w:font="Wingdings" w:char="F0A1"/>
            </w:r>
            <w:r>
              <w:rPr>
                <w:noProof/>
                <w:sz w:val="20"/>
              </w:rPr>
              <w:t xml:space="preserve"> pieteikuma iesniedzējas iestādes vai </w:t>
            </w:r>
            <w:r>
              <w:rPr>
                <w:noProof/>
                <w:sz w:val="20"/>
              </w:rPr>
              <w:sym w:font="Wingdings" w:char="F0A1"/>
            </w:r>
            <w:r>
              <w:rPr>
                <w:noProof/>
                <w:sz w:val="20"/>
              </w:rPr>
              <w:t xml:space="preserve"> pieprasījuma saņēmējas iestādes piezīme:</w:t>
            </w:r>
          </w:p>
          <w:p w:rsidR="003E022D" w:rsidRDefault="007D19D6">
            <w:pPr>
              <w:spacing w:before="60"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3E022D" w:rsidRDefault="003E022D">
      <w:pPr>
        <w:spacing w:after="480"/>
        <w:rPr>
          <w:noProof/>
        </w:rPr>
      </w:pPr>
    </w:p>
    <w:p w:rsidR="003E022D" w:rsidRDefault="003E022D">
      <w:pPr>
        <w:rPr>
          <w:noProof/>
          <w:sz w:val="20"/>
          <w:szCs w:val="20"/>
        </w:rPr>
      </w:pPr>
    </w:p>
    <w:p w:rsidR="003E022D" w:rsidRDefault="007D19D6">
      <w:pPr>
        <w:rPr>
          <w:noProof/>
          <w:sz w:val="20"/>
          <w:szCs w:val="20"/>
        </w:rPr>
        <w:sectPr w:rsidR="003E022D">
          <w:headerReference w:type="even" r:id="rId54"/>
          <w:headerReference w:type="default" r:id="rId55"/>
          <w:footerReference w:type="even" r:id="rId56"/>
          <w:footerReference w:type="default" r:id="rId57"/>
          <w:headerReference w:type="first" r:id="rId58"/>
          <w:footerReference w:type="first" r:id="rId59"/>
          <w:pgSz w:w="11907" w:h="16839"/>
          <w:pgMar w:top="1134" w:right="1418" w:bottom="1134" w:left="1418" w:header="720" w:footer="720" w:gutter="0"/>
          <w:cols w:space="720"/>
          <w:docGrid w:linePitch="326"/>
        </w:sectPr>
      </w:pPr>
      <w:r>
        <w:rPr>
          <w:noProof/>
          <w:color w:val="000000"/>
        </w:rPr>
        <w:pict>
          <v:rect id="_x0000_i1034" alt="" style="width:45.35pt;height:.75pt;mso-width-percent:0;mso-height-percent:0;mso-width-percent:0;mso-height-percent:0" o:hrpct="100" o:hralign="center" o:hrstd="t" o:hrnoshade="t" o:hr="t" fillcolor="black" stroked="f"/>
        </w:pict>
      </w:r>
    </w:p>
    <w:p w:rsidR="003E022D" w:rsidRDefault="007D19D6">
      <w:pPr>
        <w:pStyle w:val="Article"/>
        <w:rPr>
          <w:noProof/>
        </w:rPr>
      </w:pPr>
      <w:r>
        <w:rPr>
          <w:noProof/>
        </w:rPr>
        <w:t>E veidlapas paraugs – piedziņas vai piesardzības pasākumu pieprasījums</w:t>
      </w:r>
    </w:p>
    <w:p w:rsidR="003E022D" w:rsidRDefault="007D19D6">
      <w:pPr>
        <w:spacing w:before="40" w:after="40"/>
        <w:rPr>
          <w:noProof/>
          <w:color w:val="FFFFFF"/>
          <w:sz w:val="16"/>
          <w:szCs w:val="16"/>
        </w:rPr>
      </w:pPr>
      <w:r>
        <w:rPr>
          <w:noProof/>
          <w:color w:val="FFFFFF"/>
        </w:rPr>
        <w:t>.</w:t>
      </w:r>
    </w:p>
    <w:p w:rsidR="003E022D" w:rsidRDefault="007D19D6">
      <w:pPr>
        <w:pStyle w:val="Header"/>
        <w:pBdr>
          <w:top w:val="single" w:sz="4" w:space="1" w:color="auto"/>
          <w:left w:val="single" w:sz="4" w:space="31" w:color="auto"/>
          <w:bottom w:val="single" w:sz="4" w:space="1" w:color="auto"/>
          <w:right w:val="single" w:sz="4" w:space="4" w:color="auto"/>
        </w:pBdr>
        <w:ind w:left="142" w:hanging="142"/>
        <w:rPr>
          <w:noProof/>
          <w:sz w:val="20"/>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Piedziņas pasākumu</w:t>
      </w:r>
      <w:r>
        <w:rPr>
          <w:noProof/>
        </w:rPr>
        <w:t xml:space="preserve"> </w:t>
      </w:r>
      <w:r>
        <w:rPr>
          <w:b/>
          <w:smallCaps/>
          <w:noProof/>
          <w:sz w:val="32"/>
          <w:szCs w:val="32"/>
        </w:rPr>
        <w:t>pieprasījums</w:t>
      </w:r>
      <w:r>
        <w:rPr>
          <w:noProof/>
        </w:rPr>
        <w:t xml:space="preserve"> </w:t>
      </w:r>
      <w:r>
        <w:rPr>
          <w:noProof/>
        </w:rPr>
        <w:br/>
      </w:r>
    </w:p>
    <w:p w:rsidR="003E022D" w:rsidRDefault="007D19D6">
      <w:pPr>
        <w:pStyle w:val="Header"/>
        <w:pBdr>
          <w:top w:val="single" w:sz="4" w:space="1" w:color="auto"/>
          <w:left w:val="single" w:sz="4" w:space="31" w:color="auto"/>
          <w:bottom w:val="single" w:sz="4" w:space="1" w:color="auto"/>
          <w:right w:val="single" w:sz="4" w:space="4" w:color="auto"/>
        </w:pBdr>
        <w:rPr>
          <w:iCs/>
          <w:noProof/>
          <w:sz w:val="20"/>
          <w:szCs w:val="20"/>
        </w:rPr>
      </w:pPr>
      <w:r>
        <w:rPr>
          <w:noProof/>
          <w:sz w:val="20"/>
          <w:szCs w:val="20"/>
        </w:rPr>
        <w:t xml:space="preserve">Pamatots ar 25. pantu </w:t>
      </w:r>
      <w:r>
        <w:rPr>
          <w:noProof/>
          <w:color w:val="000000"/>
          <w:sz w:val="20"/>
          <w:szCs w:val="20"/>
        </w:rPr>
        <w:t xml:space="preserve">Eiropas Savienības un Apvienotās Karalistes </w:t>
      </w:r>
      <w:r>
        <w:rPr>
          <w:iCs/>
          <w:noProof/>
          <w:sz w:val="20"/>
          <w:szCs w:val="20"/>
        </w:rPr>
        <w:t>Protokolā par administratīvo sadarbību un krāpšanas apkarošanu pievienotās vērtības nodokļa jomā</w:t>
      </w:r>
      <w:r>
        <w:rPr>
          <w:iCs/>
          <w:noProof/>
          <w:sz w:val="20"/>
          <w:szCs w:val="20"/>
        </w:rPr>
        <w:t xml:space="preserve"> un par savstarpēju palīdzību prasījumu piedziņā saistībā ar nodokļiem un nodevām</w:t>
      </w:r>
    </w:p>
    <w:p w:rsidR="003E022D" w:rsidRDefault="007D19D6">
      <w:pPr>
        <w:pStyle w:val="Header"/>
        <w:pBdr>
          <w:top w:val="single" w:sz="4" w:space="1" w:color="auto"/>
          <w:left w:val="single" w:sz="4" w:space="31" w:color="auto"/>
          <w:bottom w:val="single" w:sz="4" w:space="1" w:color="auto"/>
          <w:right w:val="single" w:sz="4" w:space="4" w:color="auto"/>
        </w:pBdr>
        <w:rPr>
          <w:b/>
          <w:noProof/>
          <w:sz w:val="20"/>
        </w:rPr>
      </w:pPr>
      <w:r>
        <w:rPr>
          <w:b/>
          <w:smallCaps/>
          <w:noProof/>
          <w:sz w:val="32"/>
          <w:szCs w:val="32"/>
        </w:rPr>
        <w:t xml:space="preserve">un/vai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piesardzības pasākumu pieprasījums</w:t>
      </w:r>
      <w:r>
        <w:rPr>
          <w:noProof/>
        </w:rPr>
        <w:t xml:space="preserve"> </w:t>
      </w:r>
      <w:r>
        <w:rPr>
          <w:noProof/>
        </w:rPr>
        <w:br/>
      </w:r>
      <w:r>
        <w:rPr>
          <w:noProof/>
          <w:sz w:val="20"/>
          <w:szCs w:val="20"/>
        </w:rPr>
        <w:t xml:space="preserve">Pamatots ar 31. pantu </w:t>
      </w:r>
      <w:r>
        <w:rPr>
          <w:noProof/>
          <w:color w:val="000000"/>
          <w:sz w:val="20"/>
          <w:szCs w:val="20"/>
        </w:rPr>
        <w:t xml:space="preserve">Eiropas Savienības un Apvienotās Karalistes </w:t>
      </w:r>
      <w:r>
        <w:rPr>
          <w:iCs/>
          <w:noProof/>
          <w:sz w:val="20"/>
          <w:szCs w:val="20"/>
        </w:rPr>
        <w:t>Protokolā par administratīvo sadarbību un krāpšanas apkarošanu pievienotās vērtības nodokļa jo</w:t>
      </w:r>
      <w:r>
        <w:rPr>
          <w:iCs/>
          <w:noProof/>
          <w:sz w:val="20"/>
          <w:szCs w:val="20"/>
        </w:rPr>
        <w:t>mā un par savstarpēju palīdzību prasījumu piedziņā saistībā ar nodokļiem un nodevām</w:t>
      </w:r>
    </w:p>
    <w:p w:rsidR="003E022D" w:rsidRDefault="007D19D6">
      <w:pPr>
        <w:pStyle w:val="Header"/>
        <w:pBdr>
          <w:top w:val="single" w:sz="4" w:space="1" w:color="auto"/>
          <w:left w:val="single" w:sz="4" w:space="31" w:color="auto"/>
          <w:bottom w:val="single" w:sz="4" w:space="1" w:color="auto"/>
          <w:right w:val="single" w:sz="4" w:space="4" w:color="auto"/>
        </w:pBdr>
        <w:rPr>
          <w:noProof/>
          <w:sz w:val="20"/>
        </w:rPr>
      </w:pPr>
      <w:r>
        <w:rPr>
          <w:b/>
          <w:noProof/>
          <w:sz w:val="20"/>
        </w:rPr>
        <w:t>Atsauce: AA_RA_aaaaaaaaaaa_rrrrrrrrrrrr_20GGMMDD_xxxxxxx_RR(RP)</w:t>
      </w:r>
    </w:p>
    <w:p w:rsidR="003E022D" w:rsidRDefault="007D19D6">
      <w:pPr>
        <w:rPr>
          <w:noProof/>
          <w:sz w:val="18"/>
          <w:szCs w:val="18"/>
        </w:rPr>
      </w:pPr>
      <w:r>
        <w:rPr>
          <w:noProof/>
          <w:sz w:val="18"/>
          <w:szCs w:val="18"/>
        </w:rPr>
        <w:t>Prasījuma(-u) būtība:</w:t>
      </w:r>
    </w:p>
    <w:p w:rsidR="003E022D" w:rsidRDefault="003E022D">
      <w:pPr>
        <w:rPr>
          <w:noProof/>
          <w:color w:val="FFFFFF"/>
          <w:sz w:val="20"/>
          <w:szCs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3E022D">
        <w:trPr>
          <w:trHeight w:val="251"/>
        </w:trPr>
        <w:tc>
          <w:tcPr>
            <w:tcW w:w="9360" w:type="dxa"/>
            <w:gridSpan w:val="3"/>
            <w:shd w:val="clear" w:color="auto" w:fill="F3F3F3"/>
          </w:tcPr>
          <w:p w:rsidR="003E022D" w:rsidRDefault="007D19D6">
            <w:pPr>
              <w:keepNext/>
              <w:keepLines/>
              <w:spacing w:after="0"/>
              <w:ind w:right="-625"/>
              <w:rPr>
                <w:b/>
                <w:smallCaps/>
                <w:noProof/>
                <w:sz w:val="20"/>
              </w:rPr>
            </w:pPr>
            <w:r>
              <w:rPr>
                <w:b/>
                <w:smallCaps/>
                <w:noProof/>
                <w:sz w:val="20"/>
              </w:rPr>
              <w:t>1. Pieteikuma iesniedzējas iestādes valsts</w:t>
            </w:r>
          </w:p>
        </w:tc>
      </w:tr>
      <w:tr w:rsidR="003E022D">
        <w:trPr>
          <w:trHeight w:val="727"/>
        </w:trPr>
        <w:tc>
          <w:tcPr>
            <w:tcW w:w="4440" w:type="dxa"/>
            <w:shd w:val="clear" w:color="auto" w:fill="auto"/>
          </w:tcPr>
          <w:p w:rsidR="003E022D" w:rsidRDefault="003E022D">
            <w:pPr>
              <w:keepNext/>
              <w:keepLines/>
              <w:spacing w:after="0"/>
              <w:rPr>
                <w:b/>
                <w:noProof/>
              </w:rPr>
            </w:pPr>
          </w:p>
          <w:p w:rsidR="003E022D" w:rsidRDefault="007D19D6">
            <w:pPr>
              <w:keepNext/>
              <w:keepLines/>
              <w:spacing w:after="0"/>
              <w:rPr>
                <w:b/>
                <w:noProof/>
              </w:rPr>
            </w:pPr>
            <w:r>
              <w:rPr>
                <w:b/>
                <w:noProof/>
              </w:rPr>
              <w:t>A. Pieteikuma iesniedzēja iestāde</w:t>
            </w:r>
          </w:p>
          <w:p w:rsidR="003E022D" w:rsidRDefault="003E022D">
            <w:pPr>
              <w:keepNext/>
              <w:keepLines/>
              <w:spacing w:after="0"/>
              <w:rPr>
                <w:noProof/>
                <w:sz w:val="20"/>
                <w:u w:val="single"/>
              </w:rPr>
            </w:pPr>
          </w:p>
          <w:p w:rsidR="003E022D" w:rsidRDefault="007D19D6">
            <w:pPr>
              <w:keepNext/>
              <w:keepLines/>
              <w:spacing w:after="0"/>
              <w:rPr>
                <w:noProof/>
                <w:sz w:val="20"/>
              </w:rPr>
            </w:pPr>
            <w:r>
              <w:rPr>
                <w:noProof/>
                <w:sz w:val="20"/>
                <w:u w:val="single"/>
              </w:rPr>
              <w:t>Valsts</w:t>
            </w:r>
            <w:r>
              <w:rPr>
                <w:noProof/>
                <w:sz w:val="20"/>
              </w:rPr>
              <w:t xml:space="preserve">: </w:t>
            </w:r>
          </w:p>
          <w:p w:rsidR="003E022D" w:rsidRDefault="007D19D6">
            <w:pPr>
              <w:keepNext/>
              <w:keepLines/>
              <w:spacing w:after="0"/>
              <w:rPr>
                <w:noProof/>
                <w:sz w:val="20"/>
              </w:rPr>
            </w:pPr>
            <w:r>
              <w:rPr>
                <w:noProof/>
                <w:sz w:val="20"/>
              </w:rPr>
              <w:t>Nosaukums:</w:t>
            </w:r>
          </w:p>
          <w:p w:rsidR="003E022D" w:rsidRDefault="007D19D6">
            <w:pPr>
              <w:keepNext/>
              <w:keepLines/>
              <w:spacing w:after="0"/>
              <w:rPr>
                <w:noProof/>
                <w:sz w:val="20"/>
              </w:rPr>
            </w:pPr>
            <w:r>
              <w:rPr>
                <w:noProof/>
                <w:sz w:val="20"/>
              </w:rPr>
              <w:t>Tālrunis:</w:t>
            </w:r>
          </w:p>
          <w:p w:rsidR="003E022D" w:rsidRDefault="007D19D6">
            <w:pPr>
              <w:keepNext/>
              <w:keepLines/>
              <w:spacing w:after="0"/>
              <w:rPr>
                <w:noProof/>
                <w:sz w:val="20"/>
              </w:rPr>
            </w:pPr>
            <w:r>
              <w:rPr>
                <w:noProof/>
                <w:sz w:val="20"/>
                <w:u w:val="single"/>
              </w:rPr>
              <w:t>Lietas atsauce</w:t>
            </w:r>
            <w:r>
              <w:rPr>
                <w:noProof/>
                <w:sz w:val="20"/>
              </w:rPr>
              <w:t>:</w:t>
            </w:r>
          </w:p>
          <w:p w:rsidR="003E022D" w:rsidRDefault="003E022D">
            <w:pPr>
              <w:keepNext/>
              <w:keepLines/>
              <w:spacing w:after="0"/>
              <w:rPr>
                <w:noProof/>
                <w:sz w:val="20"/>
              </w:rPr>
            </w:pPr>
          </w:p>
          <w:p w:rsidR="003E022D" w:rsidRDefault="007D19D6">
            <w:pPr>
              <w:keepNext/>
              <w:keepLines/>
              <w:spacing w:after="0"/>
              <w:rPr>
                <w:noProof/>
                <w:sz w:val="20"/>
              </w:rPr>
            </w:pPr>
            <w:r>
              <w:rPr>
                <w:noProof/>
                <w:sz w:val="20"/>
              </w:rPr>
              <w:t>Amatpersonas, kas nodarbojas ar pieprasījumu, vārds, uzvārds:</w:t>
            </w:r>
          </w:p>
          <w:p w:rsidR="003E022D" w:rsidRDefault="007D19D6">
            <w:pPr>
              <w:keepNext/>
              <w:keepLines/>
              <w:spacing w:after="0"/>
              <w:rPr>
                <w:noProof/>
                <w:sz w:val="20"/>
                <w:u w:val="single"/>
              </w:rPr>
            </w:pPr>
            <w:r>
              <w:rPr>
                <w:noProof/>
                <w:sz w:val="20"/>
              </w:rPr>
              <w:t>Valodu prasmes:</w:t>
            </w:r>
          </w:p>
        </w:tc>
        <w:tc>
          <w:tcPr>
            <w:tcW w:w="240" w:type="dxa"/>
            <w:shd w:val="clear" w:color="auto" w:fill="auto"/>
          </w:tcPr>
          <w:p w:rsidR="003E022D" w:rsidRDefault="007D19D6">
            <w:pPr>
              <w:keepNext/>
              <w:keepLines/>
              <w:spacing w:after="0"/>
              <w:rPr>
                <w:b/>
                <w:noProof/>
                <w:sz w:val="20"/>
              </w:rPr>
            </w:pPr>
            <w:r>
              <w:rPr>
                <w:noProof/>
                <w:sz w:val="20"/>
              </w:rPr>
              <w:t xml:space="preserve"> </w:t>
            </w:r>
          </w:p>
          <w:p w:rsidR="003E022D" w:rsidRDefault="003E022D">
            <w:pPr>
              <w:keepNext/>
              <w:keepLines/>
              <w:spacing w:after="0"/>
              <w:rPr>
                <w:i/>
                <w:noProof/>
                <w:sz w:val="20"/>
              </w:rPr>
            </w:pPr>
          </w:p>
        </w:tc>
        <w:tc>
          <w:tcPr>
            <w:tcW w:w="4680" w:type="dxa"/>
            <w:shd w:val="clear" w:color="auto" w:fill="auto"/>
          </w:tcPr>
          <w:p w:rsidR="003E022D" w:rsidRDefault="003E022D">
            <w:pPr>
              <w:keepNext/>
              <w:keepLines/>
              <w:spacing w:after="0"/>
              <w:rPr>
                <w:b/>
                <w:noProof/>
              </w:rPr>
            </w:pPr>
          </w:p>
          <w:p w:rsidR="003E022D" w:rsidRDefault="007D19D6">
            <w:pPr>
              <w:keepNext/>
              <w:keepLines/>
              <w:spacing w:after="0"/>
              <w:rPr>
                <w:noProof/>
              </w:rPr>
            </w:pPr>
            <w:r>
              <w:rPr>
                <w:b/>
                <w:noProof/>
              </w:rPr>
              <w:t>B. Birojs, kurš ierosina pieprasījumu</w:t>
            </w:r>
          </w:p>
          <w:p w:rsidR="003E022D" w:rsidRDefault="003E022D">
            <w:pPr>
              <w:keepNext/>
              <w:keepLines/>
              <w:spacing w:after="0"/>
              <w:rPr>
                <w:noProof/>
                <w:sz w:val="20"/>
              </w:rPr>
            </w:pPr>
          </w:p>
          <w:p w:rsidR="003E022D" w:rsidRDefault="007D19D6">
            <w:pPr>
              <w:keepNext/>
              <w:keepLines/>
              <w:spacing w:after="0"/>
              <w:rPr>
                <w:noProof/>
                <w:sz w:val="20"/>
              </w:rPr>
            </w:pPr>
            <w:r>
              <w:rPr>
                <w:noProof/>
                <w:sz w:val="20"/>
              </w:rPr>
              <w:t xml:space="preserve">Nosaukums: </w:t>
            </w:r>
          </w:p>
          <w:p w:rsidR="003E022D" w:rsidRDefault="007D19D6">
            <w:pPr>
              <w:keepNext/>
              <w:keepLines/>
              <w:spacing w:after="0"/>
              <w:rPr>
                <w:noProof/>
                <w:sz w:val="20"/>
              </w:rPr>
            </w:pPr>
            <w:r>
              <w:rPr>
                <w:noProof/>
                <w:sz w:val="20"/>
              </w:rPr>
              <w:t>Adrese:</w:t>
            </w:r>
          </w:p>
          <w:p w:rsidR="003E022D" w:rsidRDefault="007D19D6">
            <w:pPr>
              <w:keepNext/>
              <w:keepLines/>
              <w:spacing w:after="0"/>
              <w:rPr>
                <w:noProof/>
                <w:sz w:val="20"/>
              </w:rPr>
            </w:pPr>
            <w:r>
              <w:rPr>
                <w:noProof/>
                <w:sz w:val="20"/>
              </w:rPr>
              <w:t>Pasta indekss:</w:t>
            </w:r>
          </w:p>
          <w:p w:rsidR="003E022D" w:rsidRDefault="007D19D6">
            <w:pPr>
              <w:keepNext/>
              <w:keepLines/>
              <w:spacing w:after="0"/>
              <w:rPr>
                <w:noProof/>
                <w:sz w:val="20"/>
              </w:rPr>
            </w:pPr>
            <w:r>
              <w:rPr>
                <w:noProof/>
                <w:sz w:val="20"/>
              </w:rPr>
              <w:t>Pilsēta:</w:t>
            </w:r>
          </w:p>
          <w:p w:rsidR="003E022D" w:rsidRDefault="007D19D6">
            <w:pPr>
              <w:keepNext/>
              <w:keepLines/>
              <w:spacing w:after="0"/>
              <w:rPr>
                <w:noProof/>
                <w:sz w:val="20"/>
              </w:rPr>
            </w:pPr>
            <w:r>
              <w:rPr>
                <w:noProof/>
                <w:sz w:val="20"/>
              </w:rPr>
              <w:t>Tālrunis:</w:t>
            </w:r>
          </w:p>
          <w:p w:rsidR="003E022D" w:rsidRDefault="007D19D6">
            <w:pPr>
              <w:keepNext/>
              <w:keepLines/>
              <w:spacing w:after="0"/>
              <w:rPr>
                <w:noProof/>
                <w:sz w:val="20"/>
              </w:rPr>
            </w:pPr>
            <w:r>
              <w:rPr>
                <w:noProof/>
                <w:sz w:val="20"/>
              </w:rPr>
              <w:t>E-pasts:</w:t>
            </w:r>
          </w:p>
          <w:p w:rsidR="003E022D" w:rsidRDefault="007D19D6">
            <w:pPr>
              <w:keepNext/>
              <w:keepLines/>
              <w:spacing w:after="0"/>
              <w:rPr>
                <w:noProof/>
                <w:sz w:val="20"/>
              </w:rPr>
            </w:pPr>
            <w:r>
              <w:rPr>
                <w:noProof/>
                <w:sz w:val="20"/>
              </w:rPr>
              <w:t>Lietas atsauce:</w:t>
            </w:r>
          </w:p>
          <w:p w:rsidR="003E022D" w:rsidRDefault="007D19D6">
            <w:pPr>
              <w:keepNext/>
              <w:keepLines/>
              <w:spacing w:after="0"/>
              <w:rPr>
                <w:noProof/>
                <w:sz w:val="20"/>
              </w:rPr>
            </w:pPr>
            <w:r>
              <w:rPr>
                <w:noProof/>
                <w:sz w:val="20"/>
              </w:rPr>
              <w:t>Amatpersonas, kas nodarbojas ar pieprasījumu, vārds, uzvārds:</w:t>
            </w:r>
          </w:p>
          <w:p w:rsidR="003E022D" w:rsidRDefault="003E022D">
            <w:pPr>
              <w:keepNext/>
              <w:keepLines/>
              <w:spacing w:after="0"/>
              <w:rPr>
                <w:noProof/>
              </w:rPr>
            </w:pPr>
          </w:p>
        </w:tc>
      </w:tr>
    </w:tbl>
    <w:p w:rsidR="003E022D" w:rsidRDefault="003E022D">
      <w:pPr>
        <w:rPr>
          <w:b/>
          <w:smallCaps/>
          <w:noProof/>
          <w:sz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3E022D">
        <w:trPr>
          <w:trHeight w:val="251"/>
        </w:trPr>
        <w:tc>
          <w:tcPr>
            <w:tcW w:w="9360" w:type="dxa"/>
            <w:gridSpan w:val="3"/>
            <w:shd w:val="clear" w:color="auto" w:fill="D9D9D9"/>
          </w:tcPr>
          <w:p w:rsidR="003E022D" w:rsidRDefault="007D19D6">
            <w:pPr>
              <w:spacing w:after="0"/>
              <w:ind w:right="-625"/>
              <w:rPr>
                <w:b/>
                <w:smallCaps/>
                <w:noProof/>
                <w:sz w:val="20"/>
              </w:rPr>
            </w:pPr>
            <w:r>
              <w:rPr>
                <w:b/>
                <w:smallCaps/>
                <w:noProof/>
                <w:sz w:val="20"/>
              </w:rPr>
              <w:t>2. Pieprasījuma saņēmējas iestādes valsts</w:t>
            </w:r>
          </w:p>
        </w:tc>
      </w:tr>
      <w:tr w:rsidR="003E022D">
        <w:trPr>
          <w:trHeight w:val="727"/>
        </w:trPr>
        <w:tc>
          <w:tcPr>
            <w:tcW w:w="4440" w:type="dxa"/>
            <w:shd w:val="clear" w:color="auto" w:fill="auto"/>
          </w:tcPr>
          <w:p w:rsidR="003E022D" w:rsidRDefault="003E022D">
            <w:pPr>
              <w:spacing w:after="0"/>
              <w:rPr>
                <w:b/>
                <w:noProof/>
              </w:rPr>
            </w:pPr>
          </w:p>
          <w:p w:rsidR="003E022D" w:rsidRDefault="007D19D6">
            <w:pPr>
              <w:spacing w:after="0"/>
              <w:rPr>
                <w:b/>
                <w:noProof/>
              </w:rPr>
            </w:pPr>
            <w:r>
              <w:rPr>
                <w:b/>
                <w:noProof/>
              </w:rPr>
              <w:t>A. Pieprasījuma saņēmēja iestāde</w:t>
            </w:r>
          </w:p>
          <w:p w:rsidR="003E022D" w:rsidRDefault="003E022D">
            <w:pPr>
              <w:spacing w:after="0"/>
              <w:rPr>
                <w:noProof/>
                <w:sz w:val="20"/>
                <w:u w:val="single"/>
              </w:rPr>
            </w:pPr>
          </w:p>
          <w:p w:rsidR="003E022D" w:rsidRDefault="007D19D6">
            <w:pPr>
              <w:spacing w:after="0"/>
              <w:rPr>
                <w:noProof/>
                <w:sz w:val="20"/>
              </w:rPr>
            </w:pPr>
            <w:r>
              <w:rPr>
                <w:noProof/>
                <w:sz w:val="20"/>
                <w:u w:val="single"/>
              </w:rPr>
              <w:t>Valsts</w:t>
            </w:r>
            <w:r>
              <w:rPr>
                <w:noProof/>
                <w:sz w:val="20"/>
              </w:rPr>
              <w:t>:</w:t>
            </w:r>
          </w:p>
          <w:p w:rsidR="003E022D" w:rsidRDefault="007D19D6">
            <w:pPr>
              <w:spacing w:after="0"/>
              <w:rPr>
                <w:noProof/>
                <w:sz w:val="20"/>
              </w:rPr>
            </w:pPr>
            <w:r>
              <w:rPr>
                <w:noProof/>
                <w:sz w:val="20"/>
              </w:rPr>
              <w:t>Nosaukums:</w:t>
            </w:r>
          </w:p>
          <w:p w:rsidR="003E022D" w:rsidRDefault="007D19D6">
            <w:pPr>
              <w:spacing w:after="0"/>
              <w:rPr>
                <w:noProof/>
                <w:sz w:val="20"/>
              </w:rPr>
            </w:pPr>
            <w:r>
              <w:rPr>
                <w:noProof/>
                <w:sz w:val="20"/>
              </w:rPr>
              <w:t>Tālrunis:</w:t>
            </w:r>
          </w:p>
          <w:p w:rsidR="003E022D" w:rsidRDefault="007D19D6">
            <w:pPr>
              <w:spacing w:after="0"/>
              <w:rPr>
                <w:noProof/>
                <w:sz w:val="20"/>
              </w:rPr>
            </w:pPr>
            <w:r>
              <w:rPr>
                <w:noProof/>
                <w:sz w:val="20"/>
                <w:u w:val="single"/>
              </w:rPr>
              <w:t>Lietas atsauce</w:t>
            </w:r>
            <w:r>
              <w:rPr>
                <w:noProof/>
                <w:sz w:val="20"/>
              </w:rPr>
              <w:t>:</w:t>
            </w:r>
          </w:p>
          <w:p w:rsidR="003E022D" w:rsidRDefault="003E022D">
            <w:pPr>
              <w:spacing w:after="0"/>
              <w:rPr>
                <w:noProof/>
                <w:sz w:val="20"/>
              </w:rPr>
            </w:pPr>
          </w:p>
          <w:p w:rsidR="003E022D" w:rsidRDefault="007D19D6">
            <w:pPr>
              <w:spacing w:after="0"/>
              <w:rPr>
                <w:noProof/>
                <w:sz w:val="20"/>
              </w:rPr>
            </w:pPr>
            <w:r>
              <w:rPr>
                <w:noProof/>
                <w:sz w:val="20"/>
              </w:rPr>
              <w:t>Amatpersonas, kas nodarbojas ar pieprasījumu, vārds, uzvārds:</w:t>
            </w:r>
          </w:p>
          <w:p w:rsidR="003E022D" w:rsidRDefault="007D19D6">
            <w:pPr>
              <w:spacing w:after="0"/>
              <w:rPr>
                <w:noProof/>
                <w:sz w:val="20"/>
                <w:u w:val="single"/>
              </w:rPr>
            </w:pPr>
            <w:r>
              <w:rPr>
                <w:noProof/>
                <w:sz w:val="20"/>
              </w:rPr>
              <w:t>Valodu prasmes:</w:t>
            </w:r>
          </w:p>
        </w:tc>
        <w:tc>
          <w:tcPr>
            <w:tcW w:w="240" w:type="dxa"/>
            <w:shd w:val="clear" w:color="auto" w:fill="auto"/>
          </w:tcPr>
          <w:p w:rsidR="003E022D" w:rsidRDefault="007D19D6">
            <w:pPr>
              <w:spacing w:after="0"/>
              <w:rPr>
                <w:b/>
                <w:noProof/>
                <w:sz w:val="20"/>
              </w:rPr>
            </w:pPr>
            <w:r>
              <w:rPr>
                <w:noProof/>
                <w:sz w:val="20"/>
              </w:rPr>
              <w:t xml:space="preserve"> </w:t>
            </w:r>
          </w:p>
          <w:p w:rsidR="003E022D" w:rsidRDefault="003E022D">
            <w:pPr>
              <w:spacing w:after="0"/>
              <w:rPr>
                <w:i/>
                <w:noProof/>
                <w:sz w:val="20"/>
              </w:rPr>
            </w:pPr>
          </w:p>
        </w:tc>
        <w:tc>
          <w:tcPr>
            <w:tcW w:w="4680" w:type="dxa"/>
            <w:shd w:val="clear" w:color="auto" w:fill="auto"/>
          </w:tcPr>
          <w:p w:rsidR="003E022D" w:rsidRDefault="003E022D">
            <w:pPr>
              <w:spacing w:after="0"/>
              <w:rPr>
                <w:b/>
                <w:noProof/>
              </w:rPr>
            </w:pPr>
          </w:p>
          <w:p w:rsidR="003E022D" w:rsidRDefault="007D19D6">
            <w:pPr>
              <w:spacing w:after="0"/>
              <w:rPr>
                <w:noProof/>
              </w:rPr>
            </w:pPr>
            <w:r>
              <w:rPr>
                <w:b/>
                <w:noProof/>
              </w:rPr>
              <w:t>B. Birojs, kurš apstrādā pieprasījumu</w:t>
            </w:r>
          </w:p>
          <w:p w:rsidR="003E022D" w:rsidRDefault="003E022D">
            <w:pPr>
              <w:spacing w:after="0"/>
              <w:rPr>
                <w:noProof/>
                <w:sz w:val="20"/>
              </w:rPr>
            </w:pPr>
          </w:p>
          <w:p w:rsidR="003E022D" w:rsidRDefault="007D19D6">
            <w:pPr>
              <w:spacing w:after="0"/>
              <w:rPr>
                <w:noProof/>
                <w:sz w:val="20"/>
              </w:rPr>
            </w:pPr>
            <w:r>
              <w:rPr>
                <w:noProof/>
                <w:sz w:val="20"/>
              </w:rPr>
              <w:t xml:space="preserve">Nosaukums: </w:t>
            </w:r>
          </w:p>
          <w:p w:rsidR="003E022D" w:rsidRDefault="007D19D6">
            <w:pPr>
              <w:spacing w:after="0"/>
              <w:rPr>
                <w:noProof/>
                <w:sz w:val="20"/>
              </w:rPr>
            </w:pPr>
            <w:r>
              <w:rPr>
                <w:noProof/>
                <w:sz w:val="20"/>
              </w:rPr>
              <w:t>Adrese:</w:t>
            </w:r>
          </w:p>
          <w:p w:rsidR="003E022D" w:rsidRDefault="007D19D6">
            <w:pPr>
              <w:spacing w:after="0"/>
              <w:rPr>
                <w:noProof/>
                <w:sz w:val="20"/>
              </w:rPr>
            </w:pPr>
            <w:r>
              <w:rPr>
                <w:noProof/>
                <w:sz w:val="20"/>
              </w:rPr>
              <w:t>Pasta indekss:</w:t>
            </w:r>
          </w:p>
          <w:p w:rsidR="003E022D" w:rsidRDefault="007D19D6">
            <w:pPr>
              <w:spacing w:after="0"/>
              <w:rPr>
                <w:noProof/>
                <w:sz w:val="20"/>
              </w:rPr>
            </w:pPr>
            <w:r>
              <w:rPr>
                <w:noProof/>
                <w:sz w:val="20"/>
              </w:rPr>
              <w:t>Pilsēta:</w:t>
            </w:r>
          </w:p>
          <w:p w:rsidR="003E022D" w:rsidRDefault="007D19D6">
            <w:pPr>
              <w:spacing w:after="0"/>
              <w:rPr>
                <w:noProof/>
                <w:sz w:val="20"/>
              </w:rPr>
            </w:pPr>
            <w:r>
              <w:rPr>
                <w:noProof/>
                <w:sz w:val="20"/>
              </w:rPr>
              <w:t>Tālrunis:</w:t>
            </w:r>
          </w:p>
          <w:p w:rsidR="003E022D" w:rsidRDefault="007D19D6">
            <w:pPr>
              <w:spacing w:after="0"/>
              <w:rPr>
                <w:noProof/>
                <w:sz w:val="20"/>
              </w:rPr>
            </w:pPr>
            <w:r>
              <w:rPr>
                <w:noProof/>
                <w:sz w:val="20"/>
              </w:rPr>
              <w:t>E-pasts:</w:t>
            </w:r>
          </w:p>
          <w:p w:rsidR="003E022D" w:rsidRDefault="007D19D6">
            <w:pPr>
              <w:spacing w:after="0"/>
              <w:rPr>
                <w:noProof/>
                <w:sz w:val="20"/>
              </w:rPr>
            </w:pPr>
            <w:r>
              <w:rPr>
                <w:noProof/>
                <w:sz w:val="20"/>
              </w:rPr>
              <w:t>Lietas atsauce:</w:t>
            </w:r>
          </w:p>
          <w:p w:rsidR="003E022D" w:rsidRDefault="007D19D6">
            <w:pPr>
              <w:spacing w:after="0"/>
              <w:rPr>
                <w:noProof/>
                <w:sz w:val="20"/>
              </w:rPr>
            </w:pPr>
            <w:r>
              <w:rPr>
                <w:noProof/>
                <w:sz w:val="20"/>
              </w:rPr>
              <w:t>Amatpersonas, kas nodarbojas ar pieprasījumu, vārds, uzvārds:</w:t>
            </w:r>
          </w:p>
          <w:p w:rsidR="003E022D" w:rsidRDefault="003E022D">
            <w:pPr>
              <w:spacing w:after="0"/>
              <w:rPr>
                <w:noProof/>
              </w:rPr>
            </w:pPr>
          </w:p>
        </w:tc>
      </w:tr>
    </w:tbl>
    <w:p w:rsidR="003E022D" w:rsidRDefault="003E022D">
      <w:pPr>
        <w:rPr>
          <w:noProof/>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E022D">
        <w:trPr>
          <w:cantSplit/>
          <w:trHeight w:val="40"/>
        </w:trPr>
        <w:tc>
          <w:tcPr>
            <w:tcW w:w="9360" w:type="dxa"/>
            <w:shd w:val="clear" w:color="auto" w:fill="F3F3F3"/>
          </w:tcPr>
          <w:p w:rsidR="003E022D" w:rsidRDefault="007D19D6">
            <w:pPr>
              <w:keepNext/>
              <w:keepLines/>
              <w:spacing w:after="0"/>
              <w:rPr>
                <w:noProof/>
              </w:rPr>
            </w:pPr>
            <w:r>
              <w:rPr>
                <w:b/>
                <w:noProof/>
              </w:rPr>
              <w:t xml:space="preserve">3. </w:t>
            </w:r>
            <w:r>
              <w:rPr>
                <w:b/>
                <w:smallCaps/>
                <w:noProof/>
                <w:sz w:val="20"/>
              </w:rPr>
              <w:t xml:space="preserve">Informācija par pieprasījumu </w:t>
            </w:r>
          </w:p>
        </w:tc>
      </w:tr>
      <w:tr w:rsidR="003E022D">
        <w:trPr>
          <w:cantSplit/>
          <w:trHeight w:val="3041"/>
        </w:trPr>
        <w:tc>
          <w:tcPr>
            <w:tcW w:w="9360" w:type="dxa"/>
          </w:tcPr>
          <w:p w:rsidR="003E022D" w:rsidRDefault="003E022D">
            <w:pPr>
              <w:spacing w:after="0"/>
              <w:ind w:left="459" w:right="-239" w:hanging="425"/>
              <w:rPr>
                <w:noProof/>
              </w:rPr>
            </w:pPr>
          </w:p>
          <w:p w:rsidR="003E022D" w:rsidRDefault="007D19D6">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Uz prasījumu(-iem) pieteikuma iesniedzēja valstī attiecas instruments, kas atļauj izpildi.</w:t>
            </w:r>
          </w:p>
          <w:p w:rsidR="003E022D" w:rsidRDefault="003E022D">
            <w:pPr>
              <w:spacing w:after="0"/>
              <w:ind w:left="459" w:right="-239" w:hanging="425"/>
              <w:rPr>
                <w:noProof/>
              </w:rPr>
            </w:pPr>
          </w:p>
          <w:p w:rsidR="003E022D" w:rsidRDefault="007D19D6">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Uz prasījumu(-iem) pieteikuma iesniedzēja valstī vēl neattiecas instruments, kas atļauj izpildi.</w:t>
            </w:r>
          </w:p>
          <w:p w:rsidR="003E022D" w:rsidRDefault="003E022D">
            <w:pPr>
              <w:spacing w:after="0"/>
              <w:ind w:left="459" w:right="-239" w:hanging="425"/>
              <w:rPr>
                <w:noProof/>
              </w:rPr>
            </w:pPr>
          </w:p>
          <w:p w:rsidR="003E022D" w:rsidRDefault="007D19D6">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Prasījums(-i) na</w:t>
            </w:r>
            <w:r>
              <w:rPr>
                <w:noProof/>
              </w:rPr>
              <w:t>v apstrīdēts(-i).</w:t>
            </w:r>
          </w:p>
          <w:p w:rsidR="003E022D" w:rsidRDefault="003E022D">
            <w:pPr>
              <w:spacing w:after="0"/>
              <w:ind w:left="459" w:right="-239" w:hanging="425"/>
              <w:rPr>
                <w:noProof/>
              </w:rPr>
            </w:pPr>
          </w:p>
          <w:p w:rsidR="003E022D" w:rsidRDefault="007D19D6">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Prasījumu(-us) vairs nevar apstrīdēt, iesniedzot pārsūdzību administratīvā kārtā / pārsūdzot tiesās.</w:t>
            </w:r>
          </w:p>
          <w:p w:rsidR="003E022D" w:rsidRDefault="003E022D">
            <w:pPr>
              <w:spacing w:after="0"/>
              <w:ind w:left="459" w:right="-239" w:hanging="425"/>
              <w:rPr>
                <w:noProof/>
              </w:rPr>
            </w:pPr>
          </w:p>
          <w:p w:rsidR="003E022D" w:rsidRDefault="007D19D6">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Prasījums(-i) tiek apstrīdēts(-i), bet normatīvie akti un administratīvā prakse, kas ir spēkā </w:t>
            </w:r>
          </w:p>
          <w:p w:rsidR="003E022D" w:rsidRDefault="007D19D6">
            <w:pPr>
              <w:tabs>
                <w:tab w:val="left" w:pos="2161"/>
              </w:tabs>
              <w:spacing w:after="0"/>
              <w:ind w:left="601"/>
              <w:rPr>
                <w:noProof/>
              </w:rPr>
            </w:pPr>
            <w:r>
              <w:rPr>
                <w:noProof/>
              </w:rPr>
              <w:t>pieteikuma iesniedzējas iestādes valstī, atļauj apstrīdētā prasījuma piedziņu.</w:t>
            </w:r>
          </w:p>
          <w:p w:rsidR="003E022D" w:rsidRDefault="003E022D">
            <w:pPr>
              <w:tabs>
                <w:tab w:val="left" w:pos="2161"/>
              </w:tabs>
              <w:spacing w:after="0"/>
              <w:ind w:left="601"/>
              <w:rPr>
                <w:noProof/>
                <w:sz w:val="16"/>
              </w:rPr>
            </w:pPr>
          </w:p>
        </w:tc>
      </w:tr>
      <w:tr w:rsidR="003E022D">
        <w:trPr>
          <w:cantSplit/>
          <w:trHeight w:val="546"/>
        </w:trPr>
        <w:tc>
          <w:tcPr>
            <w:tcW w:w="9360" w:type="dxa"/>
          </w:tcPr>
          <w:p w:rsidR="003E022D" w:rsidRDefault="003E022D">
            <w:pPr>
              <w:spacing w:after="0"/>
              <w:ind w:left="372" w:hanging="372"/>
              <w:rPr>
                <w:noProof/>
              </w:rPr>
            </w:pPr>
          </w:p>
          <w:p w:rsidR="003E022D" w:rsidRDefault="007D19D6">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Kopējā to prasījumu summa, par kuriem tiek lūgta palīdzība, nav mazāka par 5000 GBP</w:t>
            </w:r>
          </w:p>
          <w:p w:rsidR="003E022D" w:rsidRDefault="007D19D6">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Šis pieprasījums attiecas uz p</w:t>
            </w:r>
            <w:r>
              <w:rPr>
                <w:noProof/>
              </w:rPr>
              <w:t>rasībām, kas atbilst vecuma prasībai, kuru piemēro saskaņā ar protokolu.</w:t>
            </w:r>
          </w:p>
        </w:tc>
      </w:tr>
      <w:tr w:rsidR="003E022D">
        <w:trPr>
          <w:cantSplit/>
          <w:trHeight w:val="546"/>
        </w:trPr>
        <w:tc>
          <w:tcPr>
            <w:tcW w:w="9360" w:type="dxa"/>
          </w:tcPr>
          <w:p w:rsidR="003E022D" w:rsidRDefault="007D19D6">
            <w:pPr>
              <w:spacing w:before="40"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Šis piesardzības pasākumu pieprasījums ir pamatots ar iemesliem, kas aprakstīti pievienotajā(-ajos) do</w:t>
            </w:r>
            <w:r>
              <w:rPr>
                <w:noProof/>
              </w:rPr>
              <w:t>kumentā(-os).</w:t>
            </w:r>
          </w:p>
          <w:p w:rsidR="003E022D" w:rsidRDefault="003E022D">
            <w:pPr>
              <w:spacing w:after="0"/>
              <w:ind w:left="372" w:hanging="372"/>
              <w:rPr>
                <w:noProof/>
              </w:rPr>
            </w:pPr>
          </w:p>
          <w:p w:rsidR="003E022D" w:rsidRDefault="007D19D6">
            <w:pPr>
              <w:spacing w:after="0"/>
              <w:ind w:left="372" w:hanging="372"/>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Šim pieprasījumam ir pievienots instruments, kas atļauj veikt piesardzības pasākumus pieteikuma iesniedzējā valstī.</w:t>
            </w:r>
          </w:p>
          <w:p w:rsidR="003E022D" w:rsidRDefault="003E022D">
            <w:pPr>
              <w:spacing w:after="0"/>
              <w:ind w:left="372" w:hanging="372"/>
              <w:rPr>
                <w:noProof/>
              </w:rPr>
            </w:pPr>
          </w:p>
          <w:p w:rsidR="003E022D" w:rsidRDefault="007D19D6">
            <w:pPr>
              <w:spacing w:after="0"/>
              <w:ind w:left="372" w:hanging="360"/>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 xml:space="preserve">Lūdzam neinformēt parādnieku / citu attiecīgo personu pirms piesardzības pasākumu veikšanas. </w:t>
            </w:r>
          </w:p>
          <w:p w:rsidR="003E022D" w:rsidRDefault="003E022D">
            <w:pPr>
              <w:spacing w:after="0"/>
              <w:ind w:left="372" w:hanging="372"/>
              <w:rPr>
                <w:noProof/>
              </w:rPr>
            </w:pPr>
          </w:p>
        </w:tc>
      </w:tr>
      <w:tr w:rsidR="003E022D">
        <w:trPr>
          <w:cantSplit/>
          <w:trHeight w:val="546"/>
        </w:trPr>
        <w:tc>
          <w:tcPr>
            <w:tcW w:w="9360" w:type="dxa"/>
          </w:tcPr>
          <w:p w:rsidR="003E022D" w:rsidRDefault="007D19D6">
            <w:pPr>
              <w:spacing w:before="40" w:after="0"/>
              <w:ind w:left="368" w:hanging="357"/>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Ja rodas šāda konkrēta situācija, lūdzam sazināties ar mums (izmantojot brīvā teksta lauku pieprasījuma veidlapas beigās:</w:t>
            </w:r>
            <w:r>
              <w:rPr>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3E022D" w:rsidRDefault="003E022D">
            <w:pPr>
              <w:spacing w:after="0"/>
              <w:ind w:left="372" w:hanging="360"/>
              <w:rPr>
                <w:noProof/>
                <w:sz w:val="20"/>
              </w:rPr>
            </w:pPr>
          </w:p>
        </w:tc>
      </w:tr>
      <w:tr w:rsidR="003E022D">
        <w:trPr>
          <w:cantSplit/>
          <w:trHeight w:val="546"/>
        </w:trPr>
        <w:tc>
          <w:tcPr>
            <w:tcW w:w="9360" w:type="dxa"/>
          </w:tcPr>
          <w:p w:rsidR="003E022D" w:rsidRDefault="007D19D6">
            <w:pPr>
              <w:spacing w:before="40" w:after="0"/>
              <w:ind w:left="368" w:hanging="357"/>
              <w:rPr>
                <w:i/>
                <w:noProof/>
              </w:rPr>
            </w:pP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Pieteikuma iesniedzēja atmaksās summas, kas jau nosūtītas, ja minētās apstrīdēšanas iznākums būs attiecīgajai pusei </w:t>
            </w:r>
            <w:r>
              <w:rPr>
                <w:noProof/>
              </w:rPr>
              <w:t>labvēlīgs.</w:t>
            </w:r>
          </w:p>
        </w:tc>
      </w:tr>
      <w:tr w:rsidR="003E022D">
        <w:trPr>
          <w:cantSplit/>
          <w:trHeight w:val="546"/>
        </w:trPr>
        <w:tc>
          <w:tcPr>
            <w:tcW w:w="9360" w:type="dxa"/>
          </w:tcPr>
          <w:p w:rsidR="003E022D" w:rsidRDefault="007D19D6">
            <w:pPr>
              <w:spacing w:before="60" w:after="0"/>
              <w:ind w:left="368" w:hanging="357"/>
              <w:rPr>
                <w:i/>
                <w:noProof/>
                <w:sz w:val="20"/>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Sensitīva lieta: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3E022D" w:rsidRDefault="003E022D">
      <w:pPr>
        <w:rPr>
          <w:b/>
          <w:smallCaps/>
          <w:noProof/>
          <w:sz w:val="20"/>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rsidR="003E022D">
        <w:trPr>
          <w:trHeight w:val="295"/>
        </w:trPr>
        <w:tc>
          <w:tcPr>
            <w:tcW w:w="9480" w:type="dxa"/>
            <w:shd w:val="clear" w:color="auto" w:fill="F3F3F3"/>
          </w:tcPr>
          <w:p w:rsidR="003E022D" w:rsidRDefault="007D19D6">
            <w:pPr>
              <w:keepNext/>
              <w:keepLines/>
              <w:spacing w:after="0"/>
              <w:rPr>
                <w:noProof/>
                <w:sz w:val="20"/>
              </w:rPr>
            </w:pPr>
            <w:r>
              <w:rPr>
                <w:b/>
                <w:smallCaps/>
                <w:strike/>
                <w:noProof/>
              </w:rPr>
              <w:t>4</w:t>
            </w:r>
            <w:r>
              <w:rPr>
                <w:b/>
                <w:smallCaps/>
                <w:noProof/>
                <w:sz w:val="20"/>
              </w:rPr>
              <w:t xml:space="preserve">. Norādījumi par maksājumu </w:t>
            </w:r>
          </w:p>
        </w:tc>
      </w:tr>
      <w:tr w:rsidR="003E022D">
        <w:trPr>
          <w:trHeight w:val="1924"/>
        </w:trPr>
        <w:tc>
          <w:tcPr>
            <w:tcW w:w="9480" w:type="dxa"/>
            <w:shd w:val="clear" w:color="auto" w:fill="auto"/>
          </w:tcPr>
          <w:p w:rsidR="003E022D" w:rsidRDefault="007D19D6">
            <w:pPr>
              <w:keepNext/>
              <w:keepLines/>
              <w:spacing w:before="40" w:after="20"/>
              <w:ind w:right="-238"/>
              <w:rPr>
                <w:noProof/>
              </w:rPr>
            </w:pPr>
            <w:r>
              <w:rPr>
                <w:b/>
                <w:noProof/>
              </w:rPr>
              <w:t>A.</w:t>
            </w:r>
            <w:r>
              <w:rPr>
                <w:noProof/>
              </w:rPr>
              <w:t xml:space="preserve"> Lūdzam pārskaitīt piedzītā prasījuma summu uz:</w:t>
            </w:r>
          </w:p>
          <w:p w:rsidR="003E022D" w:rsidRDefault="007D19D6">
            <w:pPr>
              <w:keepNext/>
              <w:keepLines/>
              <w:tabs>
                <w:tab w:val="left" w:pos="2728"/>
              </w:tabs>
              <w:spacing w:before="20" w:after="20"/>
              <w:ind w:right="-239"/>
              <w:rPr>
                <w:noProof/>
              </w:rPr>
            </w:pPr>
            <w:r>
              <w:rPr>
                <w:noProof/>
              </w:rPr>
              <w:t xml:space="preserve">- </w:t>
            </w:r>
            <w:r>
              <w:rPr>
                <w:noProof/>
                <w:u w:val="single"/>
              </w:rPr>
              <w:t xml:space="preserve">Bankas konta numurs </w:t>
            </w:r>
            <w:r>
              <w:rPr>
                <w:i/>
                <w:noProof/>
                <w:u w:val="single"/>
              </w:rPr>
              <w:t>(IBAN</w:t>
            </w:r>
            <w:r>
              <w:rPr>
                <w:noProof/>
                <w:u w:val="single"/>
              </w:rPr>
              <w:t>)</w:t>
            </w:r>
            <w:r>
              <w:rPr>
                <w:noProof/>
              </w:rPr>
              <w:t>:</w:t>
            </w:r>
          </w:p>
          <w:p w:rsidR="003E022D" w:rsidRDefault="007D19D6">
            <w:pPr>
              <w:keepNext/>
              <w:keepLines/>
              <w:spacing w:before="20" w:after="20"/>
              <w:ind w:right="-238"/>
              <w:rPr>
                <w:noProof/>
              </w:rPr>
            </w:pPr>
            <w:r>
              <w:rPr>
                <w:noProof/>
              </w:rPr>
              <w:t>- Bankas identifikācijas kods (</w:t>
            </w:r>
            <w:r>
              <w:rPr>
                <w:i/>
                <w:noProof/>
              </w:rPr>
              <w:t>BIC</w:t>
            </w:r>
            <w:r>
              <w:rPr>
                <w:noProof/>
              </w:rPr>
              <w:t>):</w:t>
            </w:r>
          </w:p>
          <w:p w:rsidR="003E022D" w:rsidRDefault="007D19D6">
            <w:pPr>
              <w:keepNext/>
              <w:keepLines/>
              <w:spacing w:before="20" w:after="20"/>
              <w:ind w:right="-238"/>
              <w:rPr>
                <w:noProof/>
              </w:rPr>
            </w:pPr>
            <w:r>
              <w:rPr>
                <w:noProof/>
              </w:rPr>
              <w:t>- Bankas nosaukums:</w:t>
            </w:r>
          </w:p>
          <w:p w:rsidR="003E022D" w:rsidRDefault="007D19D6">
            <w:pPr>
              <w:keepNext/>
              <w:keepLines/>
              <w:spacing w:before="20" w:after="20"/>
              <w:ind w:right="-238"/>
              <w:rPr>
                <w:b/>
                <w:noProof/>
                <w:sz w:val="20"/>
              </w:rPr>
            </w:pPr>
            <w:r>
              <w:rPr>
                <w:noProof/>
              </w:rPr>
              <w:t xml:space="preserve">- </w:t>
            </w:r>
            <w:r>
              <w:rPr>
                <w:noProof/>
                <w:u w:val="single"/>
              </w:rPr>
              <w:t>Konta turētāja vārds</w:t>
            </w:r>
            <w:r>
              <w:rPr>
                <w:noProof/>
              </w:rPr>
              <w:t xml:space="preserve">: </w:t>
            </w:r>
          </w:p>
          <w:p w:rsidR="003E022D" w:rsidRDefault="007D19D6">
            <w:pPr>
              <w:keepNext/>
              <w:keepLines/>
              <w:spacing w:before="20" w:after="20"/>
              <w:ind w:right="-238"/>
              <w:rPr>
                <w:b/>
                <w:noProof/>
                <w:sz w:val="20"/>
              </w:rPr>
            </w:pPr>
            <w:r>
              <w:rPr>
                <w:noProof/>
              </w:rPr>
              <w:t>- Konta turētāja adrese:</w:t>
            </w:r>
            <w:r>
              <w:rPr>
                <w:b/>
                <w:noProof/>
                <w:sz w:val="20"/>
              </w:rPr>
              <w:t xml:space="preserve"> </w:t>
            </w:r>
          </w:p>
          <w:p w:rsidR="003E022D" w:rsidRDefault="007D19D6">
            <w:pPr>
              <w:keepNext/>
              <w:keepLines/>
              <w:spacing w:before="20" w:after="20"/>
              <w:ind w:right="-238"/>
              <w:rPr>
                <w:noProof/>
              </w:rPr>
            </w:pPr>
            <w:r>
              <w:rPr>
                <w:noProof/>
              </w:rPr>
              <w:t xml:space="preserve">- Maksājuma atsauce, ko izmanto, pārskaitot naudu: </w:t>
            </w:r>
          </w:p>
        </w:tc>
      </w:tr>
      <w:tr w:rsidR="003E022D">
        <w:trPr>
          <w:trHeight w:val="1041"/>
        </w:trPr>
        <w:tc>
          <w:tcPr>
            <w:tcW w:w="9480" w:type="dxa"/>
            <w:shd w:val="clear" w:color="auto" w:fill="auto"/>
          </w:tcPr>
          <w:p w:rsidR="003E022D" w:rsidRDefault="007D19D6">
            <w:pPr>
              <w:spacing w:before="40" w:after="0"/>
              <w:ind w:right="-238"/>
              <w:rPr>
                <w:noProof/>
              </w:rPr>
            </w:pPr>
            <w:r>
              <w:rPr>
                <w:b/>
                <w:noProof/>
              </w:rPr>
              <w:t xml:space="preserve">B. </w:t>
            </w:r>
            <w:r>
              <w:rPr>
                <w:i/>
                <w:noProof/>
              </w:rPr>
              <w:t xml:space="preserve">Samaksa pa </w:t>
            </w:r>
            <w:r>
              <w:rPr>
                <w:i/>
                <w:noProof/>
              </w:rPr>
              <w:t>daļām</w:t>
            </w:r>
            <w:r>
              <w:rPr>
                <w:noProof/>
              </w:rPr>
              <w:t>:</w:t>
            </w:r>
          </w:p>
          <w:p w:rsidR="003E022D" w:rsidRDefault="007D19D6">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ir pieņemama bez turpmākas konsultēšanās</w:t>
            </w:r>
          </w:p>
          <w:p w:rsidR="003E022D" w:rsidRDefault="007D19D6">
            <w:pPr>
              <w:spacing w:after="0"/>
              <w:ind w:left="426" w:right="-239"/>
              <w:rPr>
                <w:i/>
                <w:noProof/>
                <w:sz w:val="20"/>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ir pieņemama tikai pēc konsultēšanās (lai konsultē</w:t>
            </w:r>
            <w:r>
              <w:rPr>
                <w:noProof/>
              </w:rPr>
              <w:t>tos, lūdzam izmantot 7. loga 20. punktu)</w:t>
            </w:r>
          </w:p>
          <w:p w:rsidR="003E022D" w:rsidRDefault="007D19D6">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nav pieņemama</w:t>
            </w:r>
          </w:p>
          <w:p w:rsidR="003E022D" w:rsidRDefault="003E022D">
            <w:pPr>
              <w:spacing w:after="0"/>
              <w:ind w:left="425" w:right="454"/>
              <w:rPr>
                <w:i/>
                <w:noProof/>
                <w:lang w:val="en-IE"/>
              </w:rPr>
            </w:pPr>
          </w:p>
        </w:tc>
      </w:tr>
    </w:tbl>
    <w:p w:rsidR="003E022D" w:rsidRDefault="003E022D">
      <w:pPr>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485"/>
        <w:gridCol w:w="8515"/>
      </w:tblGrid>
      <w:tr w:rsidR="003E022D">
        <w:trPr>
          <w:cantSplit/>
          <w:trHeight w:val="70"/>
        </w:trPr>
        <w:tc>
          <w:tcPr>
            <w:tcW w:w="9480" w:type="dxa"/>
            <w:gridSpan w:val="3"/>
            <w:shd w:val="clear" w:color="auto" w:fill="F3F3F3"/>
          </w:tcPr>
          <w:p w:rsidR="003E022D" w:rsidRDefault="007D19D6">
            <w:pPr>
              <w:keepNext/>
              <w:keepLines/>
              <w:tabs>
                <w:tab w:val="left" w:pos="3437"/>
                <w:tab w:val="left" w:pos="4004"/>
              </w:tabs>
              <w:rPr>
                <w:b/>
                <w:noProof/>
                <w:sz w:val="20"/>
                <w:szCs w:val="20"/>
              </w:rPr>
            </w:pPr>
            <w:r>
              <w:rPr>
                <w:b/>
                <w:noProof/>
                <w:sz w:val="20"/>
                <w:szCs w:val="20"/>
              </w:rPr>
              <w:t>5. INFORMĀCIJA PAR PERSONU, UZ KURU ATTIECAS PIEPRASĪJUMS</w:t>
            </w:r>
          </w:p>
        </w:tc>
      </w:tr>
      <w:tr w:rsidR="003E022D">
        <w:trPr>
          <w:cantSplit/>
          <w:trHeight w:val="70"/>
        </w:trPr>
        <w:tc>
          <w:tcPr>
            <w:tcW w:w="480" w:type="dxa"/>
          </w:tcPr>
          <w:p w:rsidR="003E022D" w:rsidRDefault="007D19D6">
            <w:pPr>
              <w:keepNext/>
              <w:keepLines/>
              <w:tabs>
                <w:tab w:val="left" w:pos="3437"/>
                <w:tab w:val="left" w:pos="4004"/>
              </w:tabs>
              <w:rPr>
                <w:noProof/>
                <w:sz w:val="20"/>
                <w:szCs w:val="20"/>
              </w:rPr>
            </w:pPr>
            <w:r>
              <w:rPr>
                <w:noProof/>
                <w:sz w:val="20"/>
                <w:szCs w:val="20"/>
              </w:rPr>
              <w:t>A.</w:t>
            </w:r>
          </w:p>
        </w:tc>
        <w:tc>
          <w:tcPr>
            <w:tcW w:w="9000" w:type="dxa"/>
            <w:gridSpan w:val="2"/>
          </w:tcPr>
          <w:p w:rsidR="003E022D" w:rsidRDefault="007D19D6">
            <w:pPr>
              <w:tabs>
                <w:tab w:val="left" w:pos="3437"/>
                <w:tab w:val="left" w:pos="4004"/>
              </w:tabs>
              <w:rPr>
                <w:noProof/>
              </w:rPr>
            </w:pPr>
            <w:r>
              <w:rPr>
                <w:noProof/>
              </w:rPr>
              <w:t>Tiek pieprasīti piedziņas/piesardzības pasākumi attiecībā</w:t>
            </w:r>
            <w:r>
              <w:rPr>
                <w:noProof/>
              </w:rPr>
              <w:t xml:space="preserve"> uz:</w:t>
            </w:r>
          </w:p>
          <w:p w:rsidR="003E022D" w:rsidRDefault="007D19D6">
            <w:pPr>
              <w:tabs>
                <w:tab w:val="left" w:pos="2161"/>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Fiziskām personām:</w:t>
            </w:r>
          </w:p>
          <w:p w:rsidR="003E022D" w:rsidRDefault="007D19D6">
            <w:pPr>
              <w:tabs>
                <w:tab w:val="left" w:pos="2161"/>
              </w:tabs>
              <w:spacing w:after="0"/>
              <w:ind w:left="1027"/>
              <w:rPr>
                <w:noProof/>
                <w:sz w:val="18"/>
                <w:szCs w:val="18"/>
              </w:rPr>
            </w:pPr>
            <w:r>
              <w:rPr>
                <w:noProof/>
                <w:sz w:val="18"/>
                <w:szCs w:val="18"/>
                <w:u w:val="single"/>
              </w:rPr>
              <w:t>Vārds(-i)</w:t>
            </w:r>
            <w:r>
              <w:rPr>
                <w:noProof/>
                <w:sz w:val="18"/>
                <w:szCs w:val="18"/>
              </w:rPr>
              <w:t>:</w:t>
            </w:r>
          </w:p>
          <w:p w:rsidR="003E022D" w:rsidRDefault="007D19D6">
            <w:pPr>
              <w:tabs>
                <w:tab w:val="left" w:pos="2161"/>
              </w:tabs>
              <w:spacing w:after="0"/>
              <w:ind w:left="1027"/>
              <w:rPr>
                <w:noProof/>
                <w:sz w:val="18"/>
                <w:szCs w:val="18"/>
              </w:rPr>
            </w:pPr>
            <w:r>
              <w:rPr>
                <w:noProof/>
                <w:sz w:val="18"/>
                <w:szCs w:val="18"/>
                <w:u w:val="single"/>
              </w:rPr>
              <w:t>Uzvārds</w:t>
            </w:r>
            <w:r>
              <w:rPr>
                <w:noProof/>
                <w:sz w:val="18"/>
                <w:szCs w:val="18"/>
              </w:rPr>
              <w:t>:</w:t>
            </w:r>
          </w:p>
          <w:p w:rsidR="003E022D" w:rsidRDefault="007D19D6">
            <w:pPr>
              <w:tabs>
                <w:tab w:val="left" w:pos="2161"/>
              </w:tabs>
              <w:spacing w:after="0"/>
              <w:ind w:left="1027"/>
              <w:rPr>
                <w:noProof/>
                <w:sz w:val="18"/>
                <w:szCs w:val="18"/>
              </w:rPr>
            </w:pPr>
            <w:r>
              <w:rPr>
                <w:noProof/>
                <w:sz w:val="18"/>
                <w:szCs w:val="18"/>
              </w:rPr>
              <w:t>Pirmslaulību uzvārds (dzimtais uzvārds):</w:t>
            </w:r>
          </w:p>
          <w:p w:rsidR="003E022D" w:rsidRDefault="007D19D6">
            <w:pPr>
              <w:tabs>
                <w:tab w:val="left" w:pos="2161"/>
              </w:tabs>
              <w:spacing w:after="0"/>
              <w:ind w:left="1027"/>
              <w:rPr>
                <w:noProof/>
                <w:sz w:val="18"/>
                <w:szCs w:val="18"/>
              </w:rPr>
            </w:pPr>
            <w:r>
              <w:rPr>
                <w:noProof/>
                <w:sz w:val="18"/>
                <w:szCs w:val="18"/>
              </w:rPr>
              <w:t>Dzimšanas datums:</w:t>
            </w:r>
          </w:p>
          <w:p w:rsidR="003E022D" w:rsidRDefault="007D19D6">
            <w:pPr>
              <w:tabs>
                <w:tab w:val="left" w:pos="2161"/>
              </w:tabs>
              <w:spacing w:after="0"/>
              <w:ind w:left="1027"/>
              <w:rPr>
                <w:noProof/>
                <w:sz w:val="18"/>
                <w:szCs w:val="18"/>
              </w:rPr>
            </w:pPr>
            <w:r>
              <w:rPr>
                <w:noProof/>
                <w:sz w:val="18"/>
                <w:szCs w:val="18"/>
              </w:rPr>
              <w:t>Dzimšanas vieta:</w:t>
            </w:r>
          </w:p>
          <w:p w:rsidR="003E022D" w:rsidRDefault="007D19D6">
            <w:pPr>
              <w:tabs>
                <w:tab w:val="left" w:pos="2161"/>
              </w:tabs>
              <w:spacing w:after="0"/>
              <w:ind w:left="1027"/>
              <w:rPr>
                <w:noProof/>
                <w:sz w:val="18"/>
                <w:szCs w:val="18"/>
              </w:rPr>
            </w:pPr>
            <w:r>
              <w:rPr>
                <w:noProof/>
                <w:sz w:val="18"/>
                <w:szCs w:val="18"/>
              </w:rPr>
              <w:t>PVN identifikācijas numurs:</w:t>
            </w:r>
          </w:p>
          <w:p w:rsidR="003E022D" w:rsidRDefault="007D19D6">
            <w:pPr>
              <w:tabs>
                <w:tab w:val="left" w:pos="2161"/>
              </w:tabs>
              <w:spacing w:after="0"/>
              <w:ind w:left="1027"/>
              <w:rPr>
                <w:noProof/>
                <w:sz w:val="18"/>
                <w:szCs w:val="18"/>
              </w:rPr>
            </w:pPr>
            <w:r>
              <w:rPr>
                <w:noProof/>
                <w:sz w:val="18"/>
                <w:szCs w:val="18"/>
              </w:rPr>
              <w:t>Nodokļa maksātāja identifikācijas numurs:</w:t>
            </w:r>
          </w:p>
          <w:p w:rsidR="003E022D" w:rsidRDefault="007D19D6">
            <w:pPr>
              <w:tabs>
                <w:tab w:val="left" w:pos="2161"/>
              </w:tabs>
              <w:spacing w:after="0"/>
              <w:ind w:left="1027"/>
              <w:rPr>
                <w:noProof/>
                <w:sz w:val="18"/>
                <w:szCs w:val="18"/>
              </w:rPr>
            </w:pPr>
            <w:r>
              <w:rPr>
                <w:noProof/>
                <w:sz w:val="18"/>
                <w:szCs w:val="18"/>
              </w:rPr>
              <w:t>Citi identi</w:t>
            </w:r>
            <w:r>
              <w:rPr>
                <w:noProof/>
                <w:sz w:val="18"/>
                <w:szCs w:val="18"/>
              </w:rPr>
              <w:t>fikācijas dati:</w:t>
            </w:r>
          </w:p>
          <w:p w:rsidR="003E022D" w:rsidRDefault="007D19D6">
            <w:pPr>
              <w:tabs>
                <w:tab w:val="left" w:pos="2161"/>
              </w:tabs>
              <w:spacing w:after="0"/>
              <w:ind w:left="1027"/>
              <w:rPr>
                <w:noProof/>
                <w:sz w:val="18"/>
                <w:szCs w:val="18"/>
              </w:rPr>
            </w:pPr>
            <w:r>
              <w:rPr>
                <w:noProof/>
                <w:sz w:val="18"/>
                <w:szCs w:val="18"/>
              </w:rPr>
              <w:t xml:space="preserve">Fiziskās/juridiskās personas adrese: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zināma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pieņēmums</w:t>
            </w:r>
            <w:r>
              <w:rPr>
                <w:noProof/>
                <w:sz w:val="18"/>
                <w:szCs w:val="18"/>
              </w:rPr>
              <w:t xml:space="preserve"> </w:t>
            </w:r>
          </w:p>
          <w:p w:rsidR="003E022D" w:rsidRDefault="007D19D6">
            <w:pPr>
              <w:tabs>
                <w:tab w:val="left" w:pos="3295"/>
              </w:tabs>
              <w:spacing w:after="0"/>
              <w:ind w:left="1212"/>
              <w:rPr>
                <w:noProof/>
                <w:sz w:val="18"/>
                <w:szCs w:val="18"/>
              </w:rPr>
            </w:pPr>
            <w:r>
              <w:rPr>
                <w:noProof/>
                <w:sz w:val="18"/>
                <w:szCs w:val="18"/>
              </w:rPr>
              <w:t>Iela un numurs:</w:t>
            </w:r>
          </w:p>
          <w:p w:rsidR="003E022D" w:rsidRDefault="007D19D6">
            <w:pPr>
              <w:tabs>
                <w:tab w:val="left" w:pos="3295"/>
              </w:tabs>
              <w:spacing w:after="0"/>
              <w:ind w:left="1212"/>
              <w:rPr>
                <w:noProof/>
                <w:sz w:val="18"/>
                <w:szCs w:val="18"/>
              </w:rPr>
            </w:pPr>
            <w:r>
              <w:rPr>
                <w:noProof/>
                <w:sz w:val="18"/>
                <w:szCs w:val="18"/>
              </w:rPr>
              <w:t>Citi adreses dati:</w:t>
            </w:r>
          </w:p>
          <w:p w:rsidR="003E022D" w:rsidRDefault="007D19D6">
            <w:pPr>
              <w:tabs>
                <w:tab w:val="left" w:pos="3295"/>
              </w:tabs>
              <w:spacing w:after="0"/>
              <w:ind w:left="1212"/>
              <w:rPr>
                <w:noProof/>
                <w:sz w:val="18"/>
                <w:szCs w:val="18"/>
              </w:rPr>
            </w:pPr>
            <w:r>
              <w:rPr>
                <w:noProof/>
                <w:sz w:val="18"/>
                <w:szCs w:val="18"/>
              </w:rPr>
              <w:t>Pasta indekss un pilsēta:</w:t>
            </w:r>
          </w:p>
          <w:p w:rsidR="003E022D" w:rsidRDefault="003E022D">
            <w:pPr>
              <w:tabs>
                <w:tab w:val="left" w:pos="2161"/>
              </w:tabs>
              <w:spacing w:after="0"/>
              <w:ind w:left="1027"/>
              <w:rPr>
                <w:noProof/>
                <w:sz w:val="18"/>
                <w:szCs w:val="18"/>
              </w:rPr>
            </w:pPr>
          </w:p>
          <w:p w:rsidR="003E022D" w:rsidRDefault="007D19D6">
            <w:pPr>
              <w:tabs>
                <w:tab w:val="left" w:pos="2161"/>
              </w:tabs>
              <w:spacing w:after="0"/>
              <w:ind w:left="1027"/>
              <w:rPr>
                <w:b/>
                <w:noProof/>
                <w:sz w:val="18"/>
                <w:szCs w:val="18"/>
              </w:rPr>
            </w:pPr>
            <w:r>
              <w:rPr>
                <w:noProof/>
              </w:rPr>
              <w:tab/>
            </w:r>
          </w:p>
          <w:p w:rsidR="003E022D" w:rsidRDefault="007D19D6">
            <w:pPr>
              <w:tabs>
                <w:tab w:val="left" w:pos="2161"/>
                <w:tab w:val="left" w:pos="4854"/>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Vai juridiskām personām: </w:t>
            </w:r>
          </w:p>
          <w:p w:rsidR="003E022D" w:rsidRDefault="007D19D6">
            <w:pPr>
              <w:tabs>
                <w:tab w:val="left" w:pos="2161"/>
                <w:tab w:val="left" w:pos="4854"/>
              </w:tabs>
              <w:spacing w:after="0"/>
              <w:ind w:left="1027"/>
              <w:rPr>
                <w:noProof/>
                <w:sz w:val="18"/>
                <w:szCs w:val="18"/>
              </w:rPr>
            </w:pPr>
            <w:r>
              <w:rPr>
                <w:noProof/>
                <w:sz w:val="18"/>
                <w:szCs w:val="18"/>
                <w:u w:val="single"/>
              </w:rPr>
              <w:t xml:space="preserve">Juridiskais </w:t>
            </w:r>
            <w:r>
              <w:rPr>
                <w:noProof/>
                <w:sz w:val="18"/>
                <w:szCs w:val="18"/>
                <w:u w:val="single"/>
              </w:rPr>
              <w:t>statuss</w:t>
            </w:r>
            <w:r>
              <w:rPr>
                <w:noProof/>
                <w:sz w:val="18"/>
                <w:szCs w:val="18"/>
              </w:rPr>
              <w:t>:</w:t>
            </w:r>
          </w:p>
          <w:p w:rsidR="003E022D" w:rsidRDefault="007D19D6">
            <w:pPr>
              <w:tabs>
                <w:tab w:val="left" w:pos="2161"/>
                <w:tab w:val="left" w:pos="4854"/>
              </w:tabs>
              <w:spacing w:after="0"/>
              <w:ind w:left="1027"/>
              <w:rPr>
                <w:noProof/>
                <w:sz w:val="18"/>
                <w:szCs w:val="18"/>
              </w:rPr>
            </w:pPr>
            <w:r>
              <w:rPr>
                <w:noProof/>
                <w:sz w:val="18"/>
                <w:szCs w:val="18"/>
                <w:u w:val="single"/>
              </w:rPr>
              <w:t>Uzņēmuma nosaukums</w:t>
            </w:r>
            <w:r>
              <w:rPr>
                <w:noProof/>
                <w:sz w:val="18"/>
                <w:szCs w:val="18"/>
              </w:rPr>
              <w:t>:</w:t>
            </w:r>
          </w:p>
          <w:p w:rsidR="003E022D" w:rsidRDefault="007D19D6">
            <w:pPr>
              <w:tabs>
                <w:tab w:val="left" w:pos="2161"/>
              </w:tabs>
              <w:spacing w:after="0"/>
              <w:ind w:left="1027"/>
              <w:rPr>
                <w:noProof/>
                <w:sz w:val="18"/>
                <w:szCs w:val="18"/>
              </w:rPr>
            </w:pPr>
            <w:r>
              <w:rPr>
                <w:noProof/>
                <w:sz w:val="18"/>
                <w:szCs w:val="18"/>
              </w:rPr>
              <w:t>PVN identifikācijas numurs:</w:t>
            </w:r>
          </w:p>
          <w:p w:rsidR="003E022D" w:rsidRDefault="007D19D6">
            <w:pPr>
              <w:tabs>
                <w:tab w:val="left" w:pos="2161"/>
              </w:tabs>
              <w:spacing w:after="0"/>
              <w:ind w:left="1027"/>
              <w:rPr>
                <w:noProof/>
                <w:sz w:val="18"/>
                <w:szCs w:val="18"/>
              </w:rPr>
            </w:pPr>
            <w:r>
              <w:rPr>
                <w:noProof/>
                <w:sz w:val="18"/>
                <w:szCs w:val="18"/>
              </w:rPr>
              <w:t>Nodokļa maksātāja identifikācijas numurs:</w:t>
            </w:r>
          </w:p>
          <w:p w:rsidR="003E022D" w:rsidRDefault="007D19D6">
            <w:pPr>
              <w:tabs>
                <w:tab w:val="left" w:pos="2161"/>
              </w:tabs>
              <w:spacing w:after="0"/>
              <w:ind w:left="1027"/>
              <w:rPr>
                <w:noProof/>
                <w:sz w:val="18"/>
                <w:szCs w:val="18"/>
              </w:rPr>
            </w:pPr>
            <w:r>
              <w:rPr>
                <w:noProof/>
                <w:sz w:val="18"/>
                <w:szCs w:val="18"/>
              </w:rPr>
              <w:t>Citi identifikācijas dati:</w:t>
            </w:r>
          </w:p>
          <w:p w:rsidR="003E022D" w:rsidRDefault="007D19D6">
            <w:pPr>
              <w:tabs>
                <w:tab w:val="left" w:pos="2161"/>
              </w:tabs>
              <w:spacing w:after="0"/>
              <w:ind w:left="1027"/>
              <w:rPr>
                <w:noProof/>
                <w:sz w:val="18"/>
                <w:szCs w:val="18"/>
              </w:rPr>
            </w:pPr>
            <w:r>
              <w:rPr>
                <w:noProof/>
                <w:sz w:val="18"/>
                <w:szCs w:val="18"/>
              </w:rPr>
              <w:t xml:space="preserve">Fiziskās/juridiskās personas adrese: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zināma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w:instrText>
            </w:r>
            <w:r>
              <w:rPr>
                <w:i/>
                <w:noProof/>
                <w:sz w:val="18"/>
                <w:szCs w:val="18"/>
              </w:rPr>
              <w:instrText xml:space="preserve">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pieņēmums</w:t>
            </w:r>
            <w:r>
              <w:rPr>
                <w:noProof/>
                <w:sz w:val="18"/>
                <w:szCs w:val="18"/>
              </w:rPr>
              <w:t xml:space="preserve"> </w:t>
            </w:r>
          </w:p>
          <w:p w:rsidR="003E022D" w:rsidRDefault="007D19D6">
            <w:pPr>
              <w:tabs>
                <w:tab w:val="left" w:pos="3295"/>
              </w:tabs>
              <w:spacing w:after="0"/>
              <w:ind w:left="1212"/>
              <w:rPr>
                <w:noProof/>
                <w:sz w:val="18"/>
                <w:szCs w:val="18"/>
              </w:rPr>
            </w:pPr>
            <w:r>
              <w:rPr>
                <w:noProof/>
                <w:sz w:val="18"/>
                <w:szCs w:val="18"/>
              </w:rPr>
              <w:t>Iela un numurs:</w:t>
            </w:r>
          </w:p>
          <w:p w:rsidR="003E022D" w:rsidRDefault="007D19D6">
            <w:pPr>
              <w:tabs>
                <w:tab w:val="left" w:pos="3295"/>
              </w:tabs>
              <w:spacing w:after="0"/>
              <w:ind w:left="1212"/>
              <w:rPr>
                <w:noProof/>
                <w:sz w:val="18"/>
                <w:szCs w:val="18"/>
              </w:rPr>
            </w:pPr>
            <w:r>
              <w:rPr>
                <w:noProof/>
                <w:sz w:val="18"/>
                <w:szCs w:val="18"/>
              </w:rPr>
              <w:t>Citi adreses dati:</w:t>
            </w:r>
          </w:p>
          <w:p w:rsidR="003E022D" w:rsidRDefault="007D19D6">
            <w:pPr>
              <w:tabs>
                <w:tab w:val="left" w:pos="3295"/>
              </w:tabs>
              <w:spacing w:after="0"/>
              <w:ind w:left="1212"/>
              <w:rPr>
                <w:noProof/>
                <w:sz w:val="18"/>
                <w:szCs w:val="18"/>
              </w:rPr>
            </w:pPr>
            <w:r>
              <w:rPr>
                <w:noProof/>
                <w:sz w:val="18"/>
                <w:szCs w:val="18"/>
              </w:rPr>
              <w:t>Pasta indekss un pilsēta:</w:t>
            </w:r>
          </w:p>
          <w:p w:rsidR="003E022D" w:rsidRDefault="003E022D">
            <w:pPr>
              <w:tabs>
                <w:tab w:val="left" w:pos="2161"/>
              </w:tabs>
              <w:spacing w:after="0"/>
              <w:ind w:left="1027"/>
              <w:rPr>
                <w:noProof/>
                <w:sz w:val="16"/>
                <w:szCs w:val="16"/>
              </w:rPr>
            </w:pPr>
          </w:p>
          <w:p w:rsidR="003E022D" w:rsidRDefault="007D19D6">
            <w:pPr>
              <w:spacing w:after="0"/>
              <w:ind w:left="930" w:hanging="612"/>
              <w:rPr>
                <w:b/>
                <w:noProof/>
                <w:sz w:val="20"/>
              </w:rPr>
            </w:pPr>
            <w:r>
              <w:rPr>
                <w:noProof/>
              </w:rPr>
              <w:t xml:space="preserve">- cita informācija par personu: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3E022D" w:rsidRDefault="003E022D">
            <w:pPr>
              <w:spacing w:after="0"/>
              <w:ind w:left="930" w:hanging="612"/>
              <w:rPr>
                <w:b/>
                <w:noProof/>
                <w:sz w:val="20"/>
              </w:rPr>
            </w:pPr>
          </w:p>
          <w:p w:rsidR="003E022D" w:rsidRDefault="007D19D6">
            <w:pPr>
              <w:spacing w:after="0"/>
              <w:ind w:left="930" w:hanging="612"/>
              <w:rPr>
                <w:noProof/>
              </w:rPr>
            </w:pPr>
            <w:r>
              <w:rPr>
                <w:i/>
                <w:noProof/>
              </w:rPr>
              <w:t xml:space="preserve">- </w:t>
            </w:r>
            <w:r>
              <w:rPr>
                <w:i/>
                <w:noProof/>
              </w:rPr>
              <w:fldChar w:fldCharType="begin">
                <w:ffData>
                  <w:name w:val="Check2"/>
                  <w:enabled/>
                  <w:calcOnExit w:val="0"/>
                  <w:checkBox>
                    <w:sizeAuto/>
                    <w:default w:val="0"/>
                  </w:checkBox>
                </w:ffData>
              </w:fldChar>
            </w:r>
            <w:r>
              <w:rPr>
                <w:i/>
                <w:noProof/>
              </w:rPr>
              <w:instrText xml:space="preserve"> FORMCHE</w:instrText>
            </w:r>
            <w:r>
              <w:rPr>
                <w:i/>
                <w:noProof/>
              </w:rPr>
              <w:instrText xml:space="preserve">CKBOX </w:instrText>
            </w:r>
            <w:r>
              <w:rPr>
                <w:i/>
                <w:noProof/>
              </w:rPr>
            </w:r>
            <w:r>
              <w:rPr>
                <w:i/>
                <w:noProof/>
              </w:rPr>
              <w:fldChar w:fldCharType="separate"/>
            </w:r>
            <w:r>
              <w:rPr>
                <w:i/>
                <w:noProof/>
              </w:rPr>
              <w:fldChar w:fldCharType="end"/>
            </w:r>
            <w:r>
              <w:rPr>
                <w:i/>
                <w:noProof/>
              </w:rPr>
              <w:t xml:space="preserve"> </w:t>
            </w:r>
            <w:r>
              <w:rPr>
                <w:noProof/>
              </w:rPr>
              <w:t>Likumīgais pārstāvis</w:t>
            </w:r>
          </w:p>
          <w:p w:rsidR="003E022D" w:rsidRDefault="007D19D6">
            <w:pPr>
              <w:tabs>
                <w:tab w:val="left" w:pos="3295"/>
                <w:tab w:val="left" w:pos="6130"/>
              </w:tabs>
              <w:spacing w:after="0"/>
              <w:ind w:left="1027" w:hanging="22"/>
              <w:rPr>
                <w:noProof/>
                <w:u w:val="single"/>
              </w:rPr>
            </w:pPr>
            <w:r>
              <w:rPr>
                <w:noProof/>
                <w:u w:val="single"/>
              </w:rPr>
              <w:t>Vārds, uzvārds / nosaukums:</w:t>
            </w:r>
          </w:p>
          <w:p w:rsidR="003E022D" w:rsidRDefault="007D19D6">
            <w:pPr>
              <w:tabs>
                <w:tab w:val="left" w:pos="3295"/>
              </w:tabs>
              <w:spacing w:after="0"/>
              <w:ind w:left="1005"/>
              <w:rPr>
                <w:noProof/>
              </w:rPr>
            </w:pPr>
            <w:r>
              <w:rPr>
                <w:noProof/>
              </w:rPr>
              <w:t xml:space="preserve">Citi adreses dati: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zināma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pieņēmums</w:t>
            </w:r>
          </w:p>
          <w:p w:rsidR="003E022D" w:rsidRDefault="007D19D6">
            <w:pPr>
              <w:tabs>
                <w:tab w:val="left" w:pos="3295"/>
              </w:tabs>
              <w:spacing w:after="0"/>
              <w:ind w:left="1485"/>
              <w:rPr>
                <w:noProof/>
              </w:rPr>
            </w:pPr>
            <w:r>
              <w:rPr>
                <w:noProof/>
              </w:rPr>
              <w:t>Iela un numurs:</w:t>
            </w:r>
          </w:p>
          <w:p w:rsidR="003E022D" w:rsidRDefault="007D19D6">
            <w:pPr>
              <w:tabs>
                <w:tab w:val="left" w:pos="3295"/>
              </w:tabs>
              <w:spacing w:after="0"/>
              <w:ind w:left="1485"/>
              <w:rPr>
                <w:noProof/>
              </w:rPr>
            </w:pPr>
            <w:r>
              <w:rPr>
                <w:noProof/>
              </w:rPr>
              <w:t>Pasta indekss un pilsēta:</w:t>
            </w:r>
          </w:p>
          <w:p w:rsidR="003E022D" w:rsidRDefault="007D19D6">
            <w:pPr>
              <w:tabs>
                <w:tab w:val="left" w:pos="3295"/>
              </w:tabs>
              <w:spacing w:after="0"/>
              <w:ind w:left="1485"/>
              <w:rPr>
                <w:noProof/>
              </w:rPr>
            </w:pPr>
            <w:r>
              <w:rPr>
                <w:noProof/>
              </w:rPr>
              <w:t>Valsts:</w:t>
            </w:r>
          </w:p>
          <w:p w:rsidR="003E022D" w:rsidRDefault="003E022D">
            <w:pPr>
              <w:spacing w:after="0"/>
              <w:ind w:left="930" w:hanging="612"/>
              <w:rPr>
                <w:noProof/>
              </w:rPr>
            </w:pPr>
          </w:p>
          <w:p w:rsidR="003E022D" w:rsidRDefault="003E022D">
            <w:pPr>
              <w:spacing w:after="0"/>
              <w:ind w:left="930" w:hanging="612"/>
              <w:rPr>
                <w:noProof/>
                <w:sz w:val="20"/>
                <w:szCs w:val="20"/>
                <w:lang w:val="en-AU"/>
              </w:rPr>
            </w:pPr>
          </w:p>
        </w:tc>
      </w:tr>
      <w:tr w:rsidR="003E022D">
        <w:trPr>
          <w:cantSplit/>
          <w:trHeight w:val="70"/>
        </w:trPr>
        <w:tc>
          <w:tcPr>
            <w:tcW w:w="480" w:type="dxa"/>
          </w:tcPr>
          <w:p w:rsidR="003E022D" w:rsidRDefault="007D19D6">
            <w:pPr>
              <w:keepNext/>
              <w:keepLines/>
              <w:tabs>
                <w:tab w:val="left" w:pos="3437"/>
                <w:tab w:val="left" w:pos="4004"/>
              </w:tabs>
              <w:rPr>
                <w:noProof/>
                <w:sz w:val="20"/>
                <w:szCs w:val="20"/>
              </w:rPr>
            </w:pPr>
            <w:r>
              <w:rPr>
                <w:noProof/>
                <w:sz w:val="20"/>
                <w:szCs w:val="20"/>
              </w:rPr>
              <w:t>B.</w:t>
            </w:r>
          </w:p>
        </w:tc>
        <w:tc>
          <w:tcPr>
            <w:tcW w:w="9000" w:type="dxa"/>
            <w:gridSpan w:val="2"/>
          </w:tcPr>
          <w:p w:rsidR="003E022D" w:rsidRDefault="007D19D6">
            <w:pPr>
              <w:tabs>
                <w:tab w:val="left" w:pos="3437"/>
                <w:tab w:val="left" w:pos="4004"/>
              </w:tabs>
              <w:rPr>
                <w:noProof/>
              </w:rPr>
            </w:pPr>
            <w:r>
              <w:rPr>
                <w:noProof/>
              </w:rPr>
              <w:t>Cita attiecīga informācija par šo pieprasīju</w:t>
            </w:r>
            <w:r>
              <w:rPr>
                <w:noProof/>
              </w:rPr>
              <w:t>mu un/vai personu</w:t>
            </w:r>
          </w:p>
        </w:tc>
      </w:tr>
      <w:tr w:rsidR="003E022D">
        <w:trPr>
          <w:cantSplit/>
          <w:trHeight w:val="70"/>
        </w:trPr>
        <w:tc>
          <w:tcPr>
            <w:tcW w:w="480" w:type="dxa"/>
          </w:tcPr>
          <w:p w:rsidR="003E022D" w:rsidRDefault="003E022D">
            <w:pPr>
              <w:keepNext/>
              <w:keepLines/>
              <w:tabs>
                <w:tab w:val="left" w:pos="3437"/>
                <w:tab w:val="left" w:pos="4004"/>
              </w:tabs>
              <w:rPr>
                <w:noProof/>
                <w:sz w:val="20"/>
                <w:szCs w:val="20"/>
              </w:rPr>
            </w:pPr>
          </w:p>
        </w:tc>
        <w:tc>
          <w:tcPr>
            <w:tcW w:w="480" w:type="dxa"/>
          </w:tcPr>
          <w:p w:rsidR="003E022D" w:rsidRDefault="007D19D6">
            <w:pPr>
              <w:tabs>
                <w:tab w:val="left" w:pos="3437"/>
                <w:tab w:val="left" w:pos="4004"/>
              </w:tabs>
              <w:rPr>
                <w:noProof/>
              </w:rPr>
            </w:pPr>
            <w:r>
              <w:rPr>
                <w:noProof/>
              </w:rPr>
              <w:t>1.</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3E022D" w:rsidRDefault="007D19D6">
            <w:pPr>
              <w:tabs>
                <w:tab w:val="left" w:pos="3437"/>
                <w:tab w:val="left" w:pos="4004"/>
              </w:tabs>
              <w:spacing w:before="360"/>
              <w:rPr>
                <w:i/>
                <w:noProof/>
              </w:rPr>
            </w:pPr>
            <w:r>
              <w:rPr>
                <w:noProof/>
              </w:rPr>
              <w:t xml:space="preserve">Šāda(-as) persona(-as) ir solidārais(-ie) parādnieks(-i): </w:t>
            </w:r>
            <w:r>
              <w:rPr>
                <w:i/>
                <w:noProof/>
              </w:rPr>
              <w:t>[Būtu vajadzīga iespēja pievienot vairāk nekā 1 šādu personu vārdu un uzvārdu.]</w:t>
            </w:r>
          </w:p>
          <w:p w:rsidR="003E022D" w:rsidRDefault="007D19D6">
            <w:pPr>
              <w:tabs>
                <w:tab w:val="left" w:pos="3437"/>
                <w:tab w:val="left" w:pos="4004"/>
              </w:tabs>
              <w:rPr>
                <w:noProof/>
              </w:rPr>
            </w:pPr>
            <w:r>
              <w:rPr>
                <w:noProof/>
              </w:rPr>
              <w:t>- Personas identitāte:</w:t>
            </w:r>
          </w:p>
          <w:p w:rsidR="003E022D" w:rsidRDefault="007D19D6">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Fiziskām personām:</w:t>
            </w:r>
          </w:p>
          <w:p w:rsidR="003E022D" w:rsidRDefault="007D19D6">
            <w:pPr>
              <w:tabs>
                <w:tab w:val="left" w:pos="2161"/>
              </w:tabs>
              <w:spacing w:after="0"/>
              <w:ind w:left="1027"/>
              <w:rPr>
                <w:noProof/>
                <w:sz w:val="16"/>
                <w:szCs w:val="16"/>
              </w:rPr>
            </w:pPr>
            <w:r>
              <w:rPr>
                <w:noProof/>
                <w:sz w:val="16"/>
                <w:szCs w:val="16"/>
                <w:u w:val="single"/>
              </w:rPr>
              <w:t>Vārds, uzvārds</w:t>
            </w:r>
            <w:r>
              <w:rPr>
                <w:noProof/>
                <w:sz w:val="16"/>
                <w:szCs w:val="16"/>
              </w:rPr>
              <w:t>:</w:t>
            </w:r>
          </w:p>
          <w:p w:rsidR="003E022D" w:rsidRDefault="007D19D6">
            <w:pPr>
              <w:tabs>
                <w:tab w:val="left" w:pos="2161"/>
              </w:tabs>
              <w:spacing w:after="0"/>
              <w:ind w:left="1027"/>
              <w:rPr>
                <w:noProof/>
                <w:sz w:val="16"/>
                <w:szCs w:val="16"/>
              </w:rPr>
            </w:pPr>
            <w:r>
              <w:rPr>
                <w:noProof/>
                <w:sz w:val="16"/>
                <w:szCs w:val="16"/>
              </w:rPr>
              <w:t>Dzimšanas datums:</w:t>
            </w:r>
          </w:p>
          <w:p w:rsidR="003E022D" w:rsidRDefault="007D19D6">
            <w:pPr>
              <w:tabs>
                <w:tab w:val="left" w:pos="2161"/>
              </w:tabs>
              <w:spacing w:after="0"/>
              <w:ind w:left="1027"/>
              <w:rPr>
                <w:noProof/>
                <w:sz w:val="16"/>
                <w:szCs w:val="16"/>
              </w:rPr>
            </w:pPr>
            <w:r>
              <w:rPr>
                <w:noProof/>
                <w:sz w:val="16"/>
                <w:szCs w:val="16"/>
              </w:rPr>
              <w:t xml:space="preserve">PVN identifikācijas numurs: </w:t>
            </w:r>
          </w:p>
          <w:p w:rsidR="003E022D" w:rsidRDefault="007D19D6">
            <w:pPr>
              <w:tabs>
                <w:tab w:val="left" w:pos="2161"/>
              </w:tabs>
              <w:spacing w:after="0"/>
              <w:ind w:left="1027"/>
              <w:rPr>
                <w:noProof/>
                <w:sz w:val="16"/>
                <w:szCs w:val="16"/>
              </w:rPr>
            </w:pPr>
            <w:r>
              <w:rPr>
                <w:noProof/>
                <w:sz w:val="16"/>
                <w:szCs w:val="16"/>
              </w:rPr>
              <w:t>Nodokļa maksātāja identifikācijas numurs:</w:t>
            </w:r>
          </w:p>
          <w:p w:rsidR="003E022D" w:rsidRDefault="007D19D6">
            <w:pPr>
              <w:tabs>
                <w:tab w:val="left" w:pos="2161"/>
              </w:tabs>
              <w:spacing w:after="0"/>
              <w:ind w:left="1027"/>
              <w:rPr>
                <w:noProof/>
                <w:sz w:val="16"/>
                <w:szCs w:val="16"/>
              </w:rPr>
            </w:pPr>
            <w:r>
              <w:rPr>
                <w:noProof/>
                <w:sz w:val="16"/>
                <w:szCs w:val="16"/>
              </w:rPr>
              <w:t>Iela un numurs:</w:t>
            </w:r>
          </w:p>
          <w:p w:rsidR="003E022D" w:rsidRDefault="007D19D6">
            <w:pPr>
              <w:tabs>
                <w:tab w:val="left" w:pos="3295"/>
              </w:tabs>
              <w:spacing w:after="0"/>
              <w:ind w:left="1027"/>
              <w:rPr>
                <w:noProof/>
                <w:sz w:val="16"/>
                <w:szCs w:val="16"/>
              </w:rPr>
            </w:pPr>
            <w:r>
              <w:rPr>
                <w:noProof/>
                <w:sz w:val="16"/>
                <w:szCs w:val="16"/>
              </w:rPr>
              <w:t>Citi adreses dati:</w:t>
            </w:r>
          </w:p>
          <w:p w:rsidR="003E022D" w:rsidRDefault="007D19D6">
            <w:pPr>
              <w:tabs>
                <w:tab w:val="left" w:pos="3295"/>
              </w:tabs>
              <w:spacing w:after="0"/>
              <w:ind w:left="1027"/>
              <w:rPr>
                <w:noProof/>
                <w:sz w:val="16"/>
                <w:szCs w:val="16"/>
              </w:rPr>
            </w:pPr>
            <w:r>
              <w:rPr>
                <w:noProof/>
                <w:sz w:val="16"/>
                <w:szCs w:val="16"/>
              </w:rPr>
              <w:t>Pasta indekss un pilsēta:</w:t>
            </w:r>
          </w:p>
          <w:p w:rsidR="003E022D" w:rsidRDefault="007D19D6">
            <w:pPr>
              <w:tabs>
                <w:tab w:val="left" w:pos="2161"/>
              </w:tabs>
              <w:spacing w:after="0"/>
              <w:ind w:left="1027"/>
              <w:rPr>
                <w:b/>
                <w:noProof/>
                <w:sz w:val="16"/>
                <w:szCs w:val="16"/>
              </w:rPr>
            </w:pPr>
            <w:r>
              <w:rPr>
                <w:noProof/>
              </w:rPr>
              <w:tab/>
            </w:r>
          </w:p>
          <w:p w:rsidR="003E022D" w:rsidRDefault="007D19D6">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Vai juridiskām personām: </w:t>
            </w:r>
          </w:p>
          <w:p w:rsidR="003E022D" w:rsidRDefault="007D19D6">
            <w:pPr>
              <w:tabs>
                <w:tab w:val="left" w:pos="2161"/>
                <w:tab w:val="left" w:pos="4854"/>
              </w:tabs>
              <w:spacing w:after="0"/>
              <w:ind w:left="1027"/>
              <w:rPr>
                <w:noProof/>
                <w:sz w:val="16"/>
                <w:szCs w:val="16"/>
              </w:rPr>
            </w:pPr>
            <w:r>
              <w:rPr>
                <w:noProof/>
                <w:sz w:val="16"/>
                <w:szCs w:val="16"/>
                <w:u w:val="single"/>
              </w:rPr>
              <w:t>Juridiskais statuss</w:t>
            </w:r>
            <w:r>
              <w:rPr>
                <w:noProof/>
                <w:sz w:val="16"/>
                <w:szCs w:val="16"/>
              </w:rPr>
              <w:t>:</w:t>
            </w:r>
          </w:p>
          <w:p w:rsidR="003E022D" w:rsidRDefault="007D19D6">
            <w:pPr>
              <w:tabs>
                <w:tab w:val="left" w:pos="2161"/>
                <w:tab w:val="left" w:pos="4854"/>
              </w:tabs>
              <w:spacing w:after="0"/>
              <w:ind w:left="1027"/>
              <w:rPr>
                <w:noProof/>
                <w:sz w:val="16"/>
                <w:szCs w:val="16"/>
              </w:rPr>
            </w:pPr>
            <w:r>
              <w:rPr>
                <w:noProof/>
                <w:sz w:val="16"/>
                <w:szCs w:val="16"/>
                <w:u w:val="single"/>
              </w:rPr>
              <w:t>Uzņēmuma nosaukums</w:t>
            </w:r>
            <w:r>
              <w:rPr>
                <w:noProof/>
                <w:sz w:val="16"/>
                <w:szCs w:val="16"/>
              </w:rPr>
              <w:t>:</w:t>
            </w:r>
          </w:p>
          <w:p w:rsidR="003E022D" w:rsidRDefault="007D19D6">
            <w:pPr>
              <w:tabs>
                <w:tab w:val="left" w:pos="2161"/>
              </w:tabs>
              <w:spacing w:after="0"/>
              <w:ind w:left="1027"/>
              <w:rPr>
                <w:noProof/>
                <w:sz w:val="16"/>
                <w:szCs w:val="16"/>
              </w:rPr>
            </w:pPr>
            <w:r>
              <w:rPr>
                <w:noProof/>
                <w:sz w:val="16"/>
                <w:szCs w:val="16"/>
              </w:rPr>
              <w:t xml:space="preserve">PVN identifikācijas numurs: </w:t>
            </w:r>
          </w:p>
          <w:p w:rsidR="003E022D" w:rsidRDefault="007D19D6">
            <w:pPr>
              <w:tabs>
                <w:tab w:val="left" w:pos="2161"/>
              </w:tabs>
              <w:spacing w:after="0"/>
              <w:ind w:left="1027"/>
              <w:rPr>
                <w:noProof/>
                <w:sz w:val="16"/>
                <w:szCs w:val="16"/>
              </w:rPr>
            </w:pPr>
            <w:r>
              <w:rPr>
                <w:noProof/>
                <w:sz w:val="16"/>
                <w:szCs w:val="16"/>
              </w:rPr>
              <w:t>Nodokļa maksātāja identifikācijas numurs:</w:t>
            </w:r>
          </w:p>
          <w:p w:rsidR="003E022D" w:rsidRDefault="007D19D6">
            <w:pPr>
              <w:tabs>
                <w:tab w:val="left" w:pos="3295"/>
              </w:tabs>
              <w:spacing w:after="0"/>
              <w:ind w:left="1027"/>
              <w:rPr>
                <w:noProof/>
                <w:sz w:val="16"/>
                <w:szCs w:val="16"/>
              </w:rPr>
            </w:pPr>
            <w:r>
              <w:rPr>
                <w:noProof/>
                <w:sz w:val="16"/>
                <w:szCs w:val="16"/>
              </w:rPr>
              <w:t>Iela un numurs:</w:t>
            </w:r>
          </w:p>
          <w:p w:rsidR="003E022D" w:rsidRDefault="007D19D6">
            <w:pPr>
              <w:tabs>
                <w:tab w:val="left" w:pos="3295"/>
              </w:tabs>
              <w:spacing w:after="0"/>
              <w:ind w:left="1027"/>
              <w:rPr>
                <w:noProof/>
                <w:sz w:val="16"/>
                <w:szCs w:val="16"/>
              </w:rPr>
            </w:pPr>
            <w:r>
              <w:rPr>
                <w:noProof/>
                <w:sz w:val="16"/>
                <w:szCs w:val="16"/>
              </w:rPr>
              <w:t>Citi adreses dati:</w:t>
            </w:r>
          </w:p>
          <w:p w:rsidR="003E022D" w:rsidRDefault="007D19D6">
            <w:pPr>
              <w:tabs>
                <w:tab w:val="left" w:pos="3295"/>
              </w:tabs>
              <w:spacing w:after="0"/>
              <w:ind w:left="1027"/>
              <w:rPr>
                <w:noProof/>
                <w:sz w:val="16"/>
                <w:szCs w:val="16"/>
              </w:rPr>
            </w:pPr>
            <w:r>
              <w:rPr>
                <w:noProof/>
                <w:sz w:val="16"/>
                <w:szCs w:val="16"/>
              </w:rPr>
              <w:t>Pasta indekss un pilsēt</w:t>
            </w:r>
            <w:r>
              <w:rPr>
                <w:noProof/>
                <w:sz w:val="16"/>
                <w:szCs w:val="16"/>
              </w:rPr>
              <w:t>a:</w:t>
            </w:r>
          </w:p>
          <w:p w:rsidR="003E022D" w:rsidRDefault="003E022D">
            <w:pPr>
              <w:tabs>
                <w:tab w:val="left" w:pos="3295"/>
              </w:tabs>
              <w:spacing w:after="0"/>
              <w:ind w:left="12"/>
              <w:rPr>
                <w:noProof/>
              </w:rPr>
            </w:pPr>
          </w:p>
          <w:p w:rsidR="003E022D" w:rsidRDefault="007D19D6">
            <w:pPr>
              <w:tabs>
                <w:tab w:val="left" w:pos="3437"/>
                <w:tab w:val="left" w:pos="4004"/>
              </w:tabs>
              <w:ind w:left="252" w:hanging="252"/>
              <w:rPr>
                <w:noProof/>
              </w:rPr>
            </w:pPr>
            <w:r>
              <w:rPr>
                <w:noProof/>
              </w:rPr>
              <w:t xml:space="preserve">- cita informācija par šo (šiem) solidaro(-ajiem) parādnieku(-iem):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3E022D">
        <w:trPr>
          <w:cantSplit/>
          <w:trHeight w:val="70"/>
        </w:trPr>
        <w:tc>
          <w:tcPr>
            <w:tcW w:w="480" w:type="dxa"/>
          </w:tcPr>
          <w:p w:rsidR="003E022D" w:rsidRDefault="003E022D">
            <w:pPr>
              <w:keepNext/>
              <w:keepLines/>
              <w:tabs>
                <w:tab w:val="left" w:pos="3437"/>
                <w:tab w:val="left" w:pos="4004"/>
              </w:tabs>
              <w:rPr>
                <w:noProof/>
                <w:sz w:val="20"/>
                <w:szCs w:val="20"/>
              </w:rPr>
            </w:pPr>
          </w:p>
        </w:tc>
        <w:tc>
          <w:tcPr>
            <w:tcW w:w="480" w:type="dxa"/>
          </w:tcPr>
          <w:p w:rsidR="003E022D" w:rsidRDefault="007D19D6">
            <w:pPr>
              <w:tabs>
                <w:tab w:val="left" w:pos="3437"/>
                <w:tab w:val="left" w:pos="4004"/>
              </w:tabs>
              <w:rPr>
                <w:noProof/>
              </w:rPr>
            </w:pPr>
            <w:r>
              <w:rPr>
                <w:noProof/>
              </w:rPr>
              <w:t xml:space="preserve">2.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3E022D" w:rsidRDefault="007D19D6">
            <w:pPr>
              <w:tabs>
                <w:tab w:val="left" w:pos="3437"/>
                <w:tab w:val="left" w:pos="4004"/>
              </w:tabs>
              <w:spacing w:before="360"/>
              <w:rPr>
                <w:i/>
                <w:noProof/>
              </w:rPr>
            </w:pPr>
            <w:r>
              <w:rPr>
                <w:noProof/>
              </w:rPr>
              <w:t xml:space="preserve">Šāda(-as) persona(-as) tur aktīvus, kas pieder personai, uz kuru attiecas šis pieprasījums: </w:t>
            </w:r>
            <w:r>
              <w:rPr>
                <w:i/>
                <w:noProof/>
              </w:rPr>
              <w:t>[Būtu vajadzīga iespēja pievienot vairāk nekā 1 šādu personu vārdu un uzvārdu.]</w:t>
            </w:r>
          </w:p>
          <w:p w:rsidR="003E022D" w:rsidRDefault="007D19D6">
            <w:pPr>
              <w:tabs>
                <w:tab w:val="left" w:pos="3437"/>
                <w:tab w:val="left" w:pos="4004"/>
              </w:tabs>
              <w:rPr>
                <w:noProof/>
              </w:rPr>
            </w:pPr>
            <w:r>
              <w:rPr>
                <w:noProof/>
              </w:rPr>
              <w:t>- Personas identitāte:</w:t>
            </w:r>
          </w:p>
          <w:p w:rsidR="003E022D" w:rsidRDefault="007D19D6">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w:instrText>
            </w:r>
            <w:r>
              <w:rPr>
                <w:i/>
                <w:noProof/>
                <w:sz w:val="16"/>
                <w:szCs w:val="16"/>
              </w:rPr>
              <w:instrText xml:space="preserve">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Fiziskām personām:</w:t>
            </w:r>
          </w:p>
          <w:p w:rsidR="003E022D" w:rsidRDefault="007D19D6">
            <w:pPr>
              <w:tabs>
                <w:tab w:val="left" w:pos="2161"/>
              </w:tabs>
              <w:spacing w:after="0"/>
              <w:ind w:left="1027"/>
              <w:rPr>
                <w:noProof/>
                <w:sz w:val="16"/>
                <w:szCs w:val="16"/>
              </w:rPr>
            </w:pPr>
            <w:r>
              <w:rPr>
                <w:noProof/>
                <w:sz w:val="16"/>
                <w:szCs w:val="16"/>
                <w:u w:val="single"/>
              </w:rPr>
              <w:t>Vārds, uzvārds</w:t>
            </w:r>
            <w:r>
              <w:rPr>
                <w:noProof/>
                <w:sz w:val="16"/>
                <w:szCs w:val="16"/>
              </w:rPr>
              <w:t>:</w:t>
            </w:r>
          </w:p>
          <w:p w:rsidR="003E022D" w:rsidRDefault="007D19D6">
            <w:pPr>
              <w:tabs>
                <w:tab w:val="left" w:pos="2161"/>
              </w:tabs>
              <w:spacing w:after="0"/>
              <w:ind w:left="1027"/>
              <w:rPr>
                <w:noProof/>
                <w:sz w:val="16"/>
                <w:szCs w:val="16"/>
              </w:rPr>
            </w:pPr>
            <w:r>
              <w:rPr>
                <w:noProof/>
                <w:sz w:val="16"/>
                <w:szCs w:val="16"/>
              </w:rPr>
              <w:t>Dzimšanas datums:</w:t>
            </w:r>
          </w:p>
          <w:p w:rsidR="003E022D" w:rsidRDefault="007D19D6">
            <w:pPr>
              <w:tabs>
                <w:tab w:val="left" w:pos="2161"/>
              </w:tabs>
              <w:spacing w:after="0"/>
              <w:ind w:left="1027"/>
              <w:rPr>
                <w:noProof/>
                <w:sz w:val="16"/>
                <w:szCs w:val="16"/>
              </w:rPr>
            </w:pPr>
            <w:r>
              <w:rPr>
                <w:noProof/>
                <w:sz w:val="16"/>
                <w:szCs w:val="16"/>
              </w:rPr>
              <w:t xml:space="preserve">PVN identifikācijas numurs: </w:t>
            </w:r>
          </w:p>
          <w:p w:rsidR="003E022D" w:rsidRDefault="007D19D6">
            <w:pPr>
              <w:tabs>
                <w:tab w:val="left" w:pos="2161"/>
              </w:tabs>
              <w:spacing w:after="0"/>
              <w:ind w:left="1027"/>
              <w:rPr>
                <w:noProof/>
                <w:sz w:val="16"/>
                <w:szCs w:val="16"/>
              </w:rPr>
            </w:pPr>
            <w:r>
              <w:rPr>
                <w:noProof/>
                <w:sz w:val="16"/>
                <w:szCs w:val="16"/>
              </w:rPr>
              <w:t>Nodokļa maksātāja identifikācijas numurs:</w:t>
            </w:r>
          </w:p>
          <w:p w:rsidR="003E022D" w:rsidRDefault="007D19D6">
            <w:pPr>
              <w:tabs>
                <w:tab w:val="left" w:pos="2161"/>
              </w:tabs>
              <w:spacing w:after="0"/>
              <w:ind w:left="1027"/>
              <w:rPr>
                <w:noProof/>
                <w:sz w:val="16"/>
                <w:szCs w:val="16"/>
              </w:rPr>
            </w:pPr>
            <w:r>
              <w:rPr>
                <w:noProof/>
                <w:sz w:val="16"/>
                <w:szCs w:val="16"/>
              </w:rPr>
              <w:t>Iela un numurs:</w:t>
            </w:r>
          </w:p>
          <w:p w:rsidR="003E022D" w:rsidRDefault="007D19D6">
            <w:pPr>
              <w:tabs>
                <w:tab w:val="left" w:pos="3295"/>
              </w:tabs>
              <w:spacing w:after="0"/>
              <w:ind w:left="1027"/>
              <w:rPr>
                <w:noProof/>
                <w:sz w:val="16"/>
                <w:szCs w:val="16"/>
              </w:rPr>
            </w:pPr>
            <w:r>
              <w:rPr>
                <w:noProof/>
                <w:sz w:val="16"/>
                <w:szCs w:val="16"/>
              </w:rPr>
              <w:t>Citi adreses dati:</w:t>
            </w:r>
          </w:p>
          <w:p w:rsidR="003E022D" w:rsidRDefault="007D19D6">
            <w:pPr>
              <w:tabs>
                <w:tab w:val="left" w:pos="3295"/>
              </w:tabs>
              <w:spacing w:after="0"/>
              <w:ind w:left="1027"/>
              <w:rPr>
                <w:noProof/>
                <w:sz w:val="16"/>
                <w:szCs w:val="16"/>
              </w:rPr>
            </w:pPr>
            <w:r>
              <w:rPr>
                <w:noProof/>
                <w:sz w:val="16"/>
                <w:szCs w:val="16"/>
              </w:rPr>
              <w:t xml:space="preserve">Pasta indekss un </w:t>
            </w:r>
            <w:r>
              <w:rPr>
                <w:noProof/>
                <w:sz w:val="16"/>
                <w:szCs w:val="16"/>
              </w:rPr>
              <w:t>pilsēta:</w:t>
            </w:r>
          </w:p>
          <w:p w:rsidR="003E022D" w:rsidRDefault="007D19D6">
            <w:pPr>
              <w:tabs>
                <w:tab w:val="left" w:pos="2161"/>
              </w:tabs>
              <w:spacing w:after="0"/>
              <w:ind w:left="1027"/>
              <w:rPr>
                <w:b/>
                <w:noProof/>
                <w:sz w:val="16"/>
                <w:szCs w:val="16"/>
              </w:rPr>
            </w:pPr>
            <w:r>
              <w:rPr>
                <w:noProof/>
              </w:rPr>
              <w:tab/>
            </w:r>
          </w:p>
          <w:p w:rsidR="003E022D" w:rsidRDefault="007D19D6">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Vai juridiskām personām: </w:t>
            </w:r>
          </w:p>
          <w:p w:rsidR="003E022D" w:rsidRDefault="007D19D6">
            <w:pPr>
              <w:tabs>
                <w:tab w:val="left" w:pos="2161"/>
                <w:tab w:val="left" w:pos="4854"/>
              </w:tabs>
              <w:spacing w:after="0"/>
              <w:ind w:left="1027"/>
              <w:rPr>
                <w:noProof/>
                <w:sz w:val="16"/>
                <w:szCs w:val="16"/>
              </w:rPr>
            </w:pPr>
            <w:r>
              <w:rPr>
                <w:noProof/>
                <w:sz w:val="16"/>
                <w:szCs w:val="16"/>
                <w:u w:val="single"/>
              </w:rPr>
              <w:t>Juridiskais statuss</w:t>
            </w:r>
            <w:r>
              <w:rPr>
                <w:noProof/>
                <w:sz w:val="16"/>
                <w:szCs w:val="16"/>
              </w:rPr>
              <w:t>:</w:t>
            </w:r>
          </w:p>
          <w:p w:rsidR="003E022D" w:rsidRDefault="007D19D6">
            <w:pPr>
              <w:tabs>
                <w:tab w:val="left" w:pos="2161"/>
                <w:tab w:val="left" w:pos="4854"/>
              </w:tabs>
              <w:spacing w:after="0"/>
              <w:ind w:left="1027"/>
              <w:rPr>
                <w:noProof/>
                <w:sz w:val="16"/>
                <w:szCs w:val="16"/>
              </w:rPr>
            </w:pPr>
            <w:r>
              <w:rPr>
                <w:noProof/>
                <w:sz w:val="16"/>
                <w:szCs w:val="16"/>
                <w:u w:val="single"/>
              </w:rPr>
              <w:t>Uzņēmuma nosaukums</w:t>
            </w:r>
            <w:r>
              <w:rPr>
                <w:noProof/>
                <w:sz w:val="16"/>
                <w:szCs w:val="16"/>
              </w:rPr>
              <w:t>:</w:t>
            </w:r>
          </w:p>
          <w:p w:rsidR="003E022D" w:rsidRDefault="007D19D6">
            <w:pPr>
              <w:tabs>
                <w:tab w:val="left" w:pos="2161"/>
              </w:tabs>
              <w:spacing w:after="0"/>
              <w:ind w:left="1027"/>
              <w:rPr>
                <w:noProof/>
                <w:sz w:val="16"/>
                <w:szCs w:val="16"/>
              </w:rPr>
            </w:pPr>
            <w:r>
              <w:rPr>
                <w:noProof/>
                <w:sz w:val="16"/>
                <w:szCs w:val="16"/>
              </w:rPr>
              <w:t xml:space="preserve">PVN identifikācijas numurs: </w:t>
            </w:r>
          </w:p>
          <w:p w:rsidR="003E022D" w:rsidRDefault="007D19D6">
            <w:pPr>
              <w:tabs>
                <w:tab w:val="left" w:pos="2161"/>
              </w:tabs>
              <w:spacing w:after="0"/>
              <w:ind w:left="1027"/>
              <w:rPr>
                <w:noProof/>
                <w:sz w:val="16"/>
                <w:szCs w:val="16"/>
              </w:rPr>
            </w:pPr>
            <w:r>
              <w:rPr>
                <w:noProof/>
                <w:sz w:val="16"/>
                <w:szCs w:val="16"/>
              </w:rPr>
              <w:t>Nodokļa maksātāja identifikācijas numurs:</w:t>
            </w:r>
          </w:p>
          <w:p w:rsidR="003E022D" w:rsidRDefault="007D19D6">
            <w:pPr>
              <w:tabs>
                <w:tab w:val="left" w:pos="3295"/>
              </w:tabs>
              <w:spacing w:after="0"/>
              <w:ind w:left="1027"/>
              <w:rPr>
                <w:noProof/>
                <w:sz w:val="16"/>
                <w:szCs w:val="16"/>
              </w:rPr>
            </w:pPr>
            <w:r>
              <w:rPr>
                <w:noProof/>
                <w:sz w:val="16"/>
                <w:szCs w:val="16"/>
              </w:rPr>
              <w:t>Iela un numurs:</w:t>
            </w:r>
          </w:p>
          <w:p w:rsidR="003E022D" w:rsidRDefault="007D19D6">
            <w:pPr>
              <w:tabs>
                <w:tab w:val="left" w:pos="3295"/>
              </w:tabs>
              <w:spacing w:after="0"/>
              <w:ind w:left="1027"/>
              <w:rPr>
                <w:noProof/>
                <w:sz w:val="16"/>
                <w:szCs w:val="16"/>
              </w:rPr>
            </w:pPr>
            <w:r>
              <w:rPr>
                <w:noProof/>
                <w:sz w:val="16"/>
                <w:szCs w:val="16"/>
              </w:rPr>
              <w:t>Citi adreses d</w:t>
            </w:r>
            <w:r>
              <w:rPr>
                <w:noProof/>
                <w:sz w:val="16"/>
                <w:szCs w:val="16"/>
              </w:rPr>
              <w:t>ati:</w:t>
            </w:r>
          </w:p>
          <w:p w:rsidR="003E022D" w:rsidRDefault="007D19D6">
            <w:pPr>
              <w:tabs>
                <w:tab w:val="left" w:pos="3295"/>
              </w:tabs>
              <w:spacing w:after="0"/>
              <w:ind w:left="1027"/>
              <w:rPr>
                <w:noProof/>
                <w:sz w:val="16"/>
                <w:szCs w:val="16"/>
              </w:rPr>
            </w:pPr>
            <w:r>
              <w:rPr>
                <w:noProof/>
                <w:sz w:val="16"/>
                <w:szCs w:val="16"/>
              </w:rPr>
              <w:t>Pasta indekss un pilsēta:</w:t>
            </w:r>
          </w:p>
          <w:p w:rsidR="003E022D" w:rsidRDefault="003E022D">
            <w:pPr>
              <w:tabs>
                <w:tab w:val="left" w:pos="3295"/>
              </w:tabs>
              <w:spacing w:after="0"/>
              <w:ind w:left="12"/>
              <w:rPr>
                <w:noProof/>
              </w:rPr>
            </w:pPr>
          </w:p>
          <w:p w:rsidR="003E022D" w:rsidRDefault="007D19D6">
            <w:pPr>
              <w:tabs>
                <w:tab w:val="left" w:pos="3295"/>
              </w:tabs>
              <w:spacing w:after="0"/>
              <w:ind w:left="12"/>
              <w:rPr>
                <w:noProof/>
              </w:rPr>
            </w:pPr>
            <w:r>
              <w:rPr>
                <w:noProof/>
              </w:rPr>
              <w:t xml:space="preserve">- šīs citas personas rīcībā esošie aktīvi: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3E022D" w:rsidRDefault="003E022D">
            <w:pPr>
              <w:tabs>
                <w:tab w:val="left" w:pos="3437"/>
                <w:tab w:val="left" w:pos="4004"/>
              </w:tabs>
              <w:rPr>
                <w:noProof/>
              </w:rPr>
            </w:pPr>
          </w:p>
        </w:tc>
      </w:tr>
      <w:tr w:rsidR="003E022D">
        <w:trPr>
          <w:cantSplit/>
          <w:trHeight w:val="70"/>
        </w:trPr>
        <w:tc>
          <w:tcPr>
            <w:tcW w:w="480" w:type="dxa"/>
          </w:tcPr>
          <w:p w:rsidR="003E022D" w:rsidRDefault="003E022D">
            <w:pPr>
              <w:keepNext/>
              <w:keepLines/>
              <w:tabs>
                <w:tab w:val="left" w:pos="3437"/>
                <w:tab w:val="left" w:pos="4004"/>
              </w:tabs>
              <w:rPr>
                <w:noProof/>
                <w:sz w:val="20"/>
                <w:szCs w:val="20"/>
              </w:rPr>
            </w:pPr>
          </w:p>
        </w:tc>
        <w:tc>
          <w:tcPr>
            <w:tcW w:w="480" w:type="dxa"/>
          </w:tcPr>
          <w:p w:rsidR="003E022D" w:rsidRDefault="007D19D6">
            <w:pPr>
              <w:tabs>
                <w:tab w:val="left" w:pos="3437"/>
                <w:tab w:val="left" w:pos="4004"/>
              </w:tabs>
              <w:rPr>
                <w:noProof/>
              </w:rPr>
            </w:pPr>
            <w:r>
              <w:rPr>
                <w:noProof/>
              </w:rPr>
              <w:t>3.</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3E022D" w:rsidRDefault="007D19D6">
            <w:pPr>
              <w:tabs>
                <w:tab w:val="left" w:pos="3437"/>
                <w:tab w:val="left" w:pos="4004"/>
              </w:tabs>
              <w:spacing w:before="360"/>
              <w:rPr>
                <w:i/>
                <w:noProof/>
              </w:rPr>
            </w:pPr>
            <w:r>
              <w:rPr>
                <w:noProof/>
              </w:rPr>
              <w:t xml:space="preserve">Šāda(-as) persona(-as) ir parādā personai, uz kuru attiecas šis pieprasījums: </w:t>
            </w:r>
            <w:r>
              <w:rPr>
                <w:i/>
                <w:noProof/>
              </w:rPr>
              <w:t>[Būtu vajadzīga iespēja pievienot vairāk nekā 1 šādu personu vārdu un uzvārdu.]</w:t>
            </w:r>
          </w:p>
          <w:p w:rsidR="003E022D" w:rsidRDefault="007D19D6">
            <w:pPr>
              <w:tabs>
                <w:tab w:val="left" w:pos="3437"/>
                <w:tab w:val="left" w:pos="4004"/>
              </w:tabs>
              <w:rPr>
                <w:noProof/>
              </w:rPr>
            </w:pPr>
            <w:r>
              <w:rPr>
                <w:noProof/>
              </w:rPr>
              <w:t>- Personas identitāte:</w:t>
            </w:r>
          </w:p>
          <w:p w:rsidR="003E022D" w:rsidRDefault="007D19D6">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Fiziskām personām:</w:t>
            </w:r>
          </w:p>
          <w:p w:rsidR="003E022D" w:rsidRDefault="007D19D6">
            <w:pPr>
              <w:tabs>
                <w:tab w:val="left" w:pos="2161"/>
              </w:tabs>
              <w:spacing w:after="0"/>
              <w:ind w:left="1027"/>
              <w:rPr>
                <w:noProof/>
                <w:sz w:val="16"/>
                <w:szCs w:val="16"/>
              </w:rPr>
            </w:pPr>
            <w:r>
              <w:rPr>
                <w:noProof/>
                <w:sz w:val="16"/>
                <w:szCs w:val="16"/>
                <w:u w:val="single"/>
              </w:rPr>
              <w:t>Vārds, uzvārds</w:t>
            </w:r>
            <w:r>
              <w:rPr>
                <w:noProof/>
                <w:sz w:val="16"/>
                <w:szCs w:val="16"/>
              </w:rPr>
              <w:t>:</w:t>
            </w:r>
          </w:p>
          <w:p w:rsidR="003E022D" w:rsidRDefault="007D19D6">
            <w:pPr>
              <w:tabs>
                <w:tab w:val="left" w:pos="2161"/>
              </w:tabs>
              <w:spacing w:after="0"/>
              <w:ind w:left="1027"/>
              <w:rPr>
                <w:noProof/>
                <w:sz w:val="16"/>
                <w:szCs w:val="16"/>
              </w:rPr>
            </w:pPr>
            <w:r>
              <w:rPr>
                <w:noProof/>
                <w:sz w:val="16"/>
                <w:szCs w:val="16"/>
              </w:rPr>
              <w:t>Dzimšanas datums:</w:t>
            </w:r>
          </w:p>
          <w:p w:rsidR="003E022D" w:rsidRDefault="007D19D6">
            <w:pPr>
              <w:tabs>
                <w:tab w:val="left" w:pos="2161"/>
              </w:tabs>
              <w:spacing w:after="0"/>
              <w:ind w:left="1027"/>
              <w:rPr>
                <w:noProof/>
                <w:sz w:val="16"/>
                <w:szCs w:val="16"/>
              </w:rPr>
            </w:pPr>
            <w:r>
              <w:rPr>
                <w:noProof/>
                <w:sz w:val="16"/>
                <w:szCs w:val="16"/>
              </w:rPr>
              <w:t xml:space="preserve">PVN identifikācijas numurs: </w:t>
            </w:r>
          </w:p>
          <w:p w:rsidR="003E022D" w:rsidRDefault="007D19D6">
            <w:pPr>
              <w:tabs>
                <w:tab w:val="left" w:pos="2161"/>
              </w:tabs>
              <w:spacing w:after="0"/>
              <w:ind w:left="1027"/>
              <w:rPr>
                <w:noProof/>
                <w:sz w:val="16"/>
                <w:szCs w:val="16"/>
              </w:rPr>
            </w:pPr>
            <w:r>
              <w:rPr>
                <w:noProof/>
                <w:sz w:val="16"/>
                <w:szCs w:val="16"/>
              </w:rPr>
              <w:t>Nodokļa maksātāja identifikācijas numurs:</w:t>
            </w:r>
          </w:p>
          <w:p w:rsidR="003E022D" w:rsidRDefault="007D19D6">
            <w:pPr>
              <w:tabs>
                <w:tab w:val="left" w:pos="2161"/>
              </w:tabs>
              <w:spacing w:after="0"/>
              <w:ind w:left="1027"/>
              <w:rPr>
                <w:noProof/>
                <w:sz w:val="16"/>
                <w:szCs w:val="16"/>
              </w:rPr>
            </w:pPr>
            <w:r>
              <w:rPr>
                <w:noProof/>
                <w:sz w:val="16"/>
                <w:szCs w:val="16"/>
              </w:rPr>
              <w:t>Iela un numurs:</w:t>
            </w:r>
          </w:p>
          <w:p w:rsidR="003E022D" w:rsidRDefault="007D19D6">
            <w:pPr>
              <w:tabs>
                <w:tab w:val="left" w:pos="3295"/>
              </w:tabs>
              <w:spacing w:after="0"/>
              <w:ind w:left="1027"/>
              <w:rPr>
                <w:noProof/>
                <w:sz w:val="16"/>
                <w:szCs w:val="16"/>
              </w:rPr>
            </w:pPr>
            <w:r>
              <w:rPr>
                <w:noProof/>
                <w:sz w:val="16"/>
                <w:szCs w:val="16"/>
              </w:rPr>
              <w:t>Citi adreses dati:</w:t>
            </w:r>
          </w:p>
          <w:p w:rsidR="003E022D" w:rsidRDefault="007D19D6">
            <w:pPr>
              <w:tabs>
                <w:tab w:val="left" w:pos="3295"/>
              </w:tabs>
              <w:spacing w:after="0"/>
              <w:ind w:left="1027"/>
              <w:rPr>
                <w:noProof/>
                <w:sz w:val="16"/>
                <w:szCs w:val="16"/>
              </w:rPr>
            </w:pPr>
            <w:r>
              <w:rPr>
                <w:noProof/>
                <w:sz w:val="16"/>
                <w:szCs w:val="16"/>
              </w:rPr>
              <w:t>Pasta indekss un pilsēta:</w:t>
            </w:r>
          </w:p>
          <w:p w:rsidR="003E022D" w:rsidRDefault="007D19D6">
            <w:pPr>
              <w:tabs>
                <w:tab w:val="left" w:pos="2161"/>
              </w:tabs>
              <w:spacing w:after="0"/>
              <w:ind w:left="1027"/>
              <w:rPr>
                <w:b/>
                <w:noProof/>
                <w:sz w:val="16"/>
                <w:szCs w:val="16"/>
              </w:rPr>
            </w:pPr>
            <w:r>
              <w:rPr>
                <w:noProof/>
              </w:rPr>
              <w:tab/>
            </w:r>
          </w:p>
          <w:p w:rsidR="003E022D" w:rsidRDefault="007D19D6">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Vai juridiskām personām: </w:t>
            </w:r>
          </w:p>
          <w:p w:rsidR="003E022D" w:rsidRDefault="007D19D6">
            <w:pPr>
              <w:tabs>
                <w:tab w:val="left" w:pos="2161"/>
                <w:tab w:val="left" w:pos="4854"/>
              </w:tabs>
              <w:spacing w:after="0"/>
              <w:ind w:left="1027"/>
              <w:rPr>
                <w:noProof/>
                <w:sz w:val="16"/>
                <w:szCs w:val="16"/>
              </w:rPr>
            </w:pPr>
            <w:r>
              <w:rPr>
                <w:noProof/>
                <w:sz w:val="16"/>
                <w:szCs w:val="16"/>
                <w:u w:val="single"/>
              </w:rPr>
              <w:t>Juridiskais statuss</w:t>
            </w:r>
            <w:r>
              <w:rPr>
                <w:noProof/>
                <w:sz w:val="16"/>
                <w:szCs w:val="16"/>
              </w:rPr>
              <w:t>:</w:t>
            </w:r>
          </w:p>
          <w:p w:rsidR="003E022D" w:rsidRDefault="007D19D6">
            <w:pPr>
              <w:tabs>
                <w:tab w:val="left" w:pos="2161"/>
                <w:tab w:val="left" w:pos="4854"/>
              </w:tabs>
              <w:spacing w:after="0"/>
              <w:ind w:left="1027"/>
              <w:rPr>
                <w:noProof/>
                <w:sz w:val="16"/>
                <w:szCs w:val="16"/>
              </w:rPr>
            </w:pPr>
            <w:r>
              <w:rPr>
                <w:noProof/>
                <w:sz w:val="16"/>
                <w:szCs w:val="16"/>
                <w:u w:val="single"/>
              </w:rPr>
              <w:t>Uzņēmuma nosaukums</w:t>
            </w:r>
            <w:r>
              <w:rPr>
                <w:noProof/>
                <w:sz w:val="16"/>
                <w:szCs w:val="16"/>
              </w:rPr>
              <w:t>:</w:t>
            </w:r>
          </w:p>
          <w:p w:rsidR="003E022D" w:rsidRDefault="007D19D6">
            <w:pPr>
              <w:tabs>
                <w:tab w:val="left" w:pos="2161"/>
              </w:tabs>
              <w:spacing w:after="0"/>
              <w:ind w:left="1027"/>
              <w:rPr>
                <w:noProof/>
                <w:sz w:val="16"/>
                <w:szCs w:val="16"/>
              </w:rPr>
            </w:pPr>
            <w:r>
              <w:rPr>
                <w:noProof/>
                <w:sz w:val="16"/>
                <w:szCs w:val="16"/>
              </w:rPr>
              <w:t>PVN identifikācijas numurs</w:t>
            </w:r>
          </w:p>
          <w:p w:rsidR="003E022D" w:rsidRDefault="007D19D6">
            <w:pPr>
              <w:tabs>
                <w:tab w:val="left" w:pos="2161"/>
              </w:tabs>
              <w:spacing w:after="0"/>
              <w:ind w:left="1027"/>
              <w:rPr>
                <w:noProof/>
                <w:sz w:val="16"/>
                <w:szCs w:val="16"/>
              </w:rPr>
            </w:pPr>
            <w:r>
              <w:rPr>
                <w:noProof/>
                <w:sz w:val="16"/>
                <w:szCs w:val="16"/>
              </w:rPr>
              <w:t>Nodokļa maksātāja identifikācijas numurs:</w:t>
            </w:r>
          </w:p>
          <w:p w:rsidR="003E022D" w:rsidRDefault="007D19D6">
            <w:pPr>
              <w:tabs>
                <w:tab w:val="left" w:pos="3295"/>
              </w:tabs>
              <w:spacing w:after="0"/>
              <w:ind w:left="1027"/>
              <w:rPr>
                <w:noProof/>
                <w:sz w:val="16"/>
                <w:szCs w:val="16"/>
              </w:rPr>
            </w:pPr>
            <w:r>
              <w:rPr>
                <w:noProof/>
                <w:sz w:val="16"/>
                <w:szCs w:val="16"/>
              </w:rPr>
              <w:t>Iela un numurs:</w:t>
            </w:r>
          </w:p>
          <w:p w:rsidR="003E022D" w:rsidRDefault="007D19D6">
            <w:pPr>
              <w:tabs>
                <w:tab w:val="left" w:pos="3295"/>
              </w:tabs>
              <w:spacing w:after="0"/>
              <w:ind w:left="1027"/>
              <w:rPr>
                <w:noProof/>
                <w:sz w:val="16"/>
                <w:szCs w:val="16"/>
              </w:rPr>
            </w:pPr>
            <w:r>
              <w:rPr>
                <w:noProof/>
                <w:sz w:val="16"/>
                <w:szCs w:val="16"/>
              </w:rPr>
              <w:t>Citi adreses dati:</w:t>
            </w:r>
          </w:p>
          <w:p w:rsidR="003E022D" w:rsidRDefault="007D19D6">
            <w:pPr>
              <w:tabs>
                <w:tab w:val="left" w:pos="3295"/>
              </w:tabs>
              <w:spacing w:after="0"/>
              <w:ind w:left="1027"/>
              <w:rPr>
                <w:noProof/>
                <w:sz w:val="16"/>
                <w:szCs w:val="16"/>
              </w:rPr>
            </w:pPr>
            <w:r>
              <w:rPr>
                <w:noProof/>
                <w:sz w:val="16"/>
                <w:szCs w:val="16"/>
              </w:rPr>
              <w:t xml:space="preserve">Pasta </w:t>
            </w:r>
            <w:r>
              <w:rPr>
                <w:noProof/>
                <w:sz w:val="16"/>
                <w:szCs w:val="16"/>
              </w:rPr>
              <w:t>indekss un pilsēta:</w:t>
            </w:r>
          </w:p>
          <w:p w:rsidR="003E022D" w:rsidRDefault="003E022D">
            <w:pPr>
              <w:tabs>
                <w:tab w:val="left" w:pos="3295"/>
              </w:tabs>
              <w:spacing w:after="0"/>
              <w:ind w:left="12"/>
              <w:rPr>
                <w:noProof/>
              </w:rPr>
            </w:pPr>
          </w:p>
          <w:p w:rsidR="003E022D" w:rsidRDefault="007D19D6">
            <w:pPr>
              <w:tabs>
                <w:tab w:val="left" w:pos="3295"/>
              </w:tabs>
              <w:spacing w:after="0"/>
              <w:ind w:left="12"/>
              <w:rPr>
                <w:noProof/>
              </w:rPr>
            </w:pPr>
            <w:r>
              <w:rPr>
                <w:noProof/>
              </w:rPr>
              <w:t xml:space="preserve">- šīs citas personas (nākotnes) parādi: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3E022D" w:rsidRDefault="003E022D">
            <w:pPr>
              <w:tabs>
                <w:tab w:val="left" w:pos="3437"/>
                <w:tab w:val="left" w:pos="4004"/>
              </w:tabs>
              <w:rPr>
                <w:noProof/>
              </w:rPr>
            </w:pPr>
          </w:p>
        </w:tc>
      </w:tr>
      <w:tr w:rsidR="003E022D">
        <w:trPr>
          <w:cantSplit/>
          <w:trHeight w:val="70"/>
        </w:trPr>
        <w:tc>
          <w:tcPr>
            <w:tcW w:w="480" w:type="dxa"/>
          </w:tcPr>
          <w:p w:rsidR="003E022D" w:rsidRDefault="003E022D">
            <w:pPr>
              <w:keepNext/>
              <w:keepLines/>
              <w:tabs>
                <w:tab w:val="left" w:pos="3437"/>
                <w:tab w:val="left" w:pos="4004"/>
              </w:tabs>
              <w:rPr>
                <w:noProof/>
                <w:sz w:val="20"/>
                <w:szCs w:val="20"/>
                <w:lang w:val="es-ES"/>
              </w:rPr>
            </w:pPr>
          </w:p>
        </w:tc>
        <w:tc>
          <w:tcPr>
            <w:tcW w:w="480" w:type="dxa"/>
          </w:tcPr>
          <w:p w:rsidR="003E022D" w:rsidRDefault="007D19D6">
            <w:pPr>
              <w:tabs>
                <w:tab w:val="left" w:pos="3437"/>
                <w:tab w:val="left" w:pos="4004"/>
              </w:tabs>
              <w:rPr>
                <w:noProof/>
              </w:rPr>
            </w:pPr>
            <w:r>
              <w:rPr>
                <w:noProof/>
              </w:rPr>
              <w:t>4.</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3E022D" w:rsidRDefault="007D19D6">
            <w:pPr>
              <w:tabs>
                <w:tab w:val="left" w:pos="3437"/>
                <w:tab w:val="left" w:pos="4004"/>
              </w:tabs>
              <w:spacing w:before="360"/>
              <w:rPr>
                <w:i/>
                <w:noProof/>
              </w:rPr>
            </w:pPr>
            <w:r>
              <w:rPr>
                <w:noProof/>
              </w:rPr>
              <w:t>Papildus personai, uz kuru attiecas šis pieprasījums, ir vēl cita(-as) persona(-as), kas ir atbildīga(-as) par nodokļu, nodevu un citu pasākumu vai citu prasījumu saistībā ar šiem nodokļiem, nodev</w:t>
            </w:r>
            <w:r>
              <w:rPr>
                <w:noProof/>
              </w:rPr>
              <w:t xml:space="preserve">ām un citiem pasākumiem izpildi saskaņā ar pieteikuma iesniedzējas valsts tiesību aktiem. </w:t>
            </w:r>
            <w:r>
              <w:rPr>
                <w:i/>
                <w:noProof/>
              </w:rPr>
              <w:t>[Būtu vajadzīga iespēja pievienot vairāk nekā 1 šādu personu vārdu un uzvārdu.]</w:t>
            </w:r>
          </w:p>
          <w:p w:rsidR="003E022D" w:rsidRDefault="007D19D6">
            <w:pPr>
              <w:tabs>
                <w:tab w:val="left" w:pos="3437"/>
                <w:tab w:val="left" w:pos="4004"/>
              </w:tabs>
              <w:rPr>
                <w:noProof/>
              </w:rPr>
            </w:pPr>
            <w:r>
              <w:rPr>
                <w:noProof/>
              </w:rPr>
              <w:t>- Personas identitāte:</w:t>
            </w:r>
          </w:p>
          <w:p w:rsidR="003E022D" w:rsidRDefault="007D19D6">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Fiziskām personām:</w:t>
            </w:r>
          </w:p>
          <w:p w:rsidR="003E022D" w:rsidRDefault="007D19D6">
            <w:pPr>
              <w:tabs>
                <w:tab w:val="left" w:pos="2161"/>
              </w:tabs>
              <w:spacing w:after="0"/>
              <w:ind w:left="1027"/>
              <w:rPr>
                <w:noProof/>
                <w:sz w:val="16"/>
                <w:szCs w:val="16"/>
              </w:rPr>
            </w:pPr>
            <w:r>
              <w:rPr>
                <w:noProof/>
                <w:sz w:val="16"/>
                <w:szCs w:val="16"/>
                <w:u w:val="single"/>
              </w:rPr>
              <w:t>Vārds, uzvārds</w:t>
            </w:r>
            <w:r>
              <w:rPr>
                <w:noProof/>
                <w:sz w:val="16"/>
                <w:szCs w:val="16"/>
              </w:rPr>
              <w:t>:</w:t>
            </w:r>
          </w:p>
          <w:p w:rsidR="003E022D" w:rsidRDefault="007D19D6">
            <w:pPr>
              <w:tabs>
                <w:tab w:val="left" w:pos="2161"/>
              </w:tabs>
              <w:spacing w:after="0"/>
              <w:ind w:left="1027"/>
              <w:rPr>
                <w:noProof/>
                <w:sz w:val="16"/>
                <w:szCs w:val="16"/>
              </w:rPr>
            </w:pPr>
            <w:r>
              <w:rPr>
                <w:noProof/>
                <w:sz w:val="16"/>
                <w:szCs w:val="16"/>
              </w:rPr>
              <w:t>Dzimšanas datums:</w:t>
            </w:r>
          </w:p>
          <w:p w:rsidR="003E022D" w:rsidRDefault="007D19D6">
            <w:pPr>
              <w:tabs>
                <w:tab w:val="left" w:pos="2161"/>
              </w:tabs>
              <w:spacing w:after="0"/>
              <w:ind w:left="1027"/>
              <w:rPr>
                <w:noProof/>
                <w:sz w:val="16"/>
                <w:szCs w:val="16"/>
              </w:rPr>
            </w:pPr>
            <w:r>
              <w:rPr>
                <w:noProof/>
                <w:sz w:val="16"/>
                <w:szCs w:val="16"/>
              </w:rPr>
              <w:t xml:space="preserve">PVN identifikācijas numurs: </w:t>
            </w:r>
          </w:p>
          <w:p w:rsidR="003E022D" w:rsidRDefault="007D19D6">
            <w:pPr>
              <w:tabs>
                <w:tab w:val="left" w:pos="2161"/>
              </w:tabs>
              <w:spacing w:after="0"/>
              <w:ind w:left="1027"/>
              <w:rPr>
                <w:noProof/>
                <w:sz w:val="16"/>
                <w:szCs w:val="16"/>
              </w:rPr>
            </w:pPr>
            <w:r>
              <w:rPr>
                <w:noProof/>
                <w:sz w:val="16"/>
                <w:szCs w:val="16"/>
              </w:rPr>
              <w:t>Nodokļa maksātāja identifikācijas numurs:</w:t>
            </w:r>
          </w:p>
          <w:p w:rsidR="003E022D" w:rsidRDefault="007D19D6">
            <w:pPr>
              <w:tabs>
                <w:tab w:val="left" w:pos="2161"/>
              </w:tabs>
              <w:spacing w:after="0"/>
              <w:ind w:left="1027"/>
              <w:rPr>
                <w:noProof/>
                <w:sz w:val="16"/>
                <w:szCs w:val="16"/>
              </w:rPr>
            </w:pPr>
            <w:r>
              <w:rPr>
                <w:noProof/>
                <w:sz w:val="16"/>
                <w:szCs w:val="16"/>
              </w:rPr>
              <w:t>Iela un numurs:</w:t>
            </w:r>
          </w:p>
          <w:p w:rsidR="003E022D" w:rsidRDefault="007D19D6">
            <w:pPr>
              <w:tabs>
                <w:tab w:val="left" w:pos="3295"/>
              </w:tabs>
              <w:spacing w:after="0"/>
              <w:ind w:left="1027"/>
              <w:rPr>
                <w:noProof/>
                <w:sz w:val="16"/>
                <w:szCs w:val="16"/>
              </w:rPr>
            </w:pPr>
            <w:r>
              <w:rPr>
                <w:noProof/>
                <w:sz w:val="16"/>
                <w:szCs w:val="16"/>
              </w:rPr>
              <w:t>Citi adreses dati:</w:t>
            </w:r>
          </w:p>
          <w:p w:rsidR="003E022D" w:rsidRDefault="007D19D6">
            <w:pPr>
              <w:tabs>
                <w:tab w:val="left" w:pos="3295"/>
              </w:tabs>
              <w:spacing w:after="0"/>
              <w:ind w:left="1027"/>
              <w:rPr>
                <w:noProof/>
                <w:sz w:val="16"/>
                <w:szCs w:val="16"/>
              </w:rPr>
            </w:pPr>
            <w:r>
              <w:rPr>
                <w:noProof/>
                <w:sz w:val="16"/>
                <w:szCs w:val="16"/>
              </w:rPr>
              <w:t>Pasta indekss un pilsēta:</w:t>
            </w:r>
          </w:p>
          <w:p w:rsidR="003E022D" w:rsidRDefault="007D19D6">
            <w:pPr>
              <w:tabs>
                <w:tab w:val="left" w:pos="2161"/>
              </w:tabs>
              <w:spacing w:after="0"/>
              <w:ind w:left="1027"/>
              <w:rPr>
                <w:b/>
                <w:noProof/>
                <w:sz w:val="16"/>
                <w:szCs w:val="16"/>
              </w:rPr>
            </w:pPr>
            <w:r>
              <w:rPr>
                <w:noProof/>
              </w:rPr>
              <w:tab/>
            </w:r>
          </w:p>
          <w:p w:rsidR="003E022D" w:rsidRDefault="007D19D6">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Vai juridiskām personām: </w:t>
            </w:r>
          </w:p>
          <w:p w:rsidR="003E022D" w:rsidRDefault="007D19D6">
            <w:pPr>
              <w:tabs>
                <w:tab w:val="left" w:pos="2161"/>
                <w:tab w:val="left" w:pos="4854"/>
              </w:tabs>
              <w:spacing w:after="0"/>
              <w:ind w:left="1027"/>
              <w:rPr>
                <w:noProof/>
                <w:sz w:val="16"/>
                <w:szCs w:val="16"/>
              </w:rPr>
            </w:pPr>
            <w:r>
              <w:rPr>
                <w:noProof/>
                <w:sz w:val="16"/>
                <w:szCs w:val="16"/>
                <w:u w:val="single"/>
              </w:rPr>
              <w:t>Juridiskais statuss</w:t>
            </w:r>
            <w:r>
              <w:rPr>
                <w:noProof/>
                <w:sz w:val="16"/>
                <w:szCs w:val="16"/>
              </w:rPr>
              <w:t>:</w:t>
            </w:r>
          </w:p>
          <w:p w:rsidR="003E022D" w:rsidRDefault="007D19D6">
            <w:pPr>
              <w:tabs>
                <w:tab w:val="left" w:pos="2161"/>
                <w:tab w:val="left" w:pos="4854"/>
              </w:tabs>
              <w:spacing w:after="0"/>
              <w:ind w:left="1027"/>
              <w:rPr>
                <w:noProof/>
                <w:sz w:val="16"/>
                <w:szCs w:val="16"/>
              </w:rPr>
            </w:pPr>
            <w:r>
              <w:rPr>
                <w:noProof/>
                <w:sz w:val="16"/>
                <w:szCs w:val="16"/>
                <w:u w:val="single"/>
              </w:rPr>
              <w:t>Uzņēmuma nosaukums</w:t>
            </w:r>
            <w:r>
              <w:rPr>
                <w:noProof/>
                <w:sz w:val="16"/>
                <w:szCs w:val="16"/>
              </w:rPr>
              <w:t>:</w:t>
            </w:r>
          </w:p>
          <w:p w:rsidR="003E022D" w:rsidRDefault="007D19D6">
            <w:pPr>
              <w:tabs>
                <w:tab w:val="left" w:pos="2161"/>
              </w:tabs>
              <w:spacing w:after="0"/>
              <w:ind w:left="1027"/>
              <w:rPr>
                <w:noProof/>
                <w:sz w:val="16"/>
                <w:szCs w:val="16"/>
              </w:rPr>
            </w:pPr>
            <w:r>
              <w:rPr>
                <w:noProof/>
                <w:sz w:val="16"/>
                <w:szCs w:val="16"/>
              </w:rPr>
              <w:t xml:space="preserve">PVN identifikācijas numurs: </w:t>
            </w:r>
          </w:p>
          <w:p w:rsidR="003E022D" w:rsidRDefault="007D19D6">
            <w:pPr>
              <w:tabs>
                <w:tab w:val="left" w:pos="2161"/>
              </w:tabs>
              <w:spacing w:after="0"/>
              <w:ind w:left="1027"/>
              <w:rPr>
                <w:noProof/>
                <w:sz w:val="16"/>
                <w:szCs w:val="16"/>
              </w:rPr>
            </w:pPr>
            <w:r>
              <w:rPr>
                <w:noProof/>
                <w:sz w:val="16"/>
                <w:szCs w:val="16"/>
              </w:rPr>
              <w:t>Nodokļa maksātāja identifikācijas numurs:</w:t>
            </w:r>
          </w:p>
          <w:p w:rsidR="003E022D" w:rsidRDefault="007D19D6">
            <w:pPr>
              <w:tabs>
                <w:tab w:val="left" w:pos="3295"/>
              </w:tabs>
              <w:spacing w:after="0"/>
              <w:ind w:left="1027"/>
              <w:rPr>
                <w:noProof/>
                <w:sz w:val="16"/>
                <w:szCs w:val="16"/>
              </w:rPr>
            </w:pPr>
            <w:r>
              <w:rPr>
                <w:noProof/>
                <w:sz w:val="16"/>
                <w:szCs w:val="16"/>
              </w:rPr>
              <w:t>Iela un numurs:</w:t>
            </w:r>
          </w:p>
          <w:p w:rsidR="003E022D" w:rsidRDefault="007D19D6">
            <w:pPr>
              <w:tabs>
                <w:tab w:val="left" w:pos="3295"/>
              </w:tabs>
              <w:spacing w:after="0"/>
              <w:ind w:left="1027"/>
              <w:rPr>
                <w:noProof/>
                <w:sz w:val="16"/>
                <w:szCs w:val="16"/>
              </w:rPr>
            </w:pPr>
            <w:r>
              <w:rPr>
                <w:noProof/>
                <w:sz w:val="16"/>
                <w:szCs w:val="16"/>
              </w:rPr>
              <w:t>Citi adreses dati:</w:t>
            </w:r>
          </w:p>
          <w:p w:rsidR="003E022D" w:rsidRDefault="007D19D6">
            <w:pPr>
              <w:tabs>
                <w:tab w:val="left" w:pos="3295"/>
              </w:tabs>
              <w:spacing w:after="0"/>
              <w:ind w:left="1027"/>
              <w:rPr>
                <w:noProof/>
                <w:sz w:val="16"/>
                <w:szCs w:val="16"/>
              </w:rPr>
            </w:pPr>
            <w:r>
              <w:rPr>
                <w:noProof/>
                <w:sz w:val="16"/>
                <w:szCs w:val="16"/>
              </w:rPr>
              <w:t>Pasta</w:t>
            </w:r>
            <w:r>
              <w:rPr>
                <w:noProof/>
                <w:sz w:val="16"/>
                <w:szCs w:val="16"/>
              </w:rPr>
              <w:t xml:space="preserve"> indekss un pilsēta:</w:t>
            </w:r>
          </w:p>
          <w:p w:rsidR="003E022D" w:rsidRDefault="007D19D6">
            <w:pPr>
              <w:tabs>
                <w:tab w:val="left" w:pos="3437"/>
                <w:tab w:val="left" w:pos="4004"/>
              </w:tabs>
              <w:ind w:left="252" w:hanging="252"/>
              <w:rPr>
                <w:noProof/>
              </w:rPr>
            </w:pPr>
            <w:r>
              <w:rPr>
                <w:noProof/>
              </w:rPr>
              <w:t xml:space="preserve">- Šīs citas personas atbildības pamatojums vai raksturs: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3E022D" w:rsidRDefault="003E022D">
      <w:pPr>
        <w:spacing w:after="0"/>
        <w:rPr>
          <w:noProof/>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3E022D">
        <w:trPr>
          <w:cantSplit/>
          <w:trHeight w:val="140"/>
        </w:trPr>
        <w:tc>
          <w:tcPr>
            <w:tcW w:w="9480" w:type="dxa"/>
            <w:shd w:val="clear" w:color="auto" w:fill="F3F3F3"/>
          </w:tcPr>
          <w:p w:rsidR="003E022D" w:rsidRDefault="007D19D6">
            <w:pPr>
              <w:rPr>
                <w:noProof/>
              </w:rPr>
            </w:pPr>
            <w:r>
              <w:rPr>
                <w:b/>
                <w:noProof/>
              </w:rPr>
              <w:t>6.</w:t>
            </w:r>
            <w:r>
              <w:rPr>
                <w:noProof/>
              </w:rPr>
              <w:t xml:space="preserve"> </w:t>
            </w:r>
            <w:r>
              <w:rPr>
                <w:b/>
                <w:noProof/>
                <w:sz w:val="20"/>
                <w:szCs w:val="20"/>
              </w:rPr>
              <w:t xml:space="preserve">PRASĪJUMA(-U) APRAKSTS: sk. pievienoto vienoto instrumentu, kas atļauj izpildi pieprasījuma </w:t>
            </w:r>
            <w:r>
              <w:rPr>
                <w:b/>
                <w:noProof/>
                <w:sz w:val="20"/>
                <w:szCs w:val="20"/>
              </w:rPr>
              <w:t>saņēmējā valstī.</w:t>
            </w:r>
          </w:p>
        </w:tc>
      </w:tr>
    </w:tbl>
    <w:p w:rsidR="003E022D" w:rsidRDefault="003E022D">
      <w:pPr>
        <w:spacing w:after="0"/>
        <w:rPr>
          <w:noProof/>
        </w:rPr>
      </w:pPr>
    </w:p>
    <w:p w:rsidR="003E022D" w:rsidRDefault="003E022D">
      <w:pPr>
        <w:spacing w:after="0"/>
        <w:rPr>
          <w:noProof/>
        </w:rPr>
      </w:pP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2"/>
        <w:gridCol w:w="241"/>
        <w:gridCol w:w="118"/>
        <w:gridCol w:w="868"/>
        <w:gridCol w:w="3163"/>
        <w:gridCol w:w="3172"/>
      </w:tblGrid>
      <w:tr w:rsidR="003E022D">
        <w:trPr>
          <w:cantSplit/>
          <w:trHeight w:val="624"/>
        </w:trPr>
        <w:tc>
          <w:tcPr>
            <w:tcW w:w="3146" w:type="dxa"/>
            <w:gridSpan w:val="5"/>
            <w:vAlign w:val="center"/>
          </w:tcPr>
          <w:p w:rsidR="003E022D" w:rsidRDefault="007D19D6">
            <w:pPr>
              <w:keepNext/>
              <w:keepLines/>
              <w:tabs>
                <w:tab w:val="left" w:pos="4004"/>
              </w:tabs>
              <w:spacing w:after="0"/>
              <w:jc w:val="center"/>
              <w:rPr>
                <w:b/>
                <w:smallCaps/>
                <w:noProof/>
                <w:sz w:val="20"/>
              </w:rPr>
            </w:pPr>
            <w:r>
              <w:rPr>
                <w:b/>
                <w:noProof/>
              </w:rPr>
              <w:t xml:space="preserve">7. </w:t>
            </w:r>
            <w:r>
              <w:rPr>
                <w:b/>
                <w:smallCaps/>
                <w:noProof/>
                <w:sz w:val="20"/>
              </w:rPr>
              <w:t>Pieprasījuma pēckontrole</w:t>
            </w:r>
          </w:p>
        </w:tc>
        <w:tc>
          <w:tcPr>
            <w:tcW w:w="3163" w:type="dxa"/>
            <w:shd w:val="clear" w:color="auto" w:fill="F3F3F3"/>
            <w:vAlign w:val="center"/>
          </w:tcPr>
          <w:p w:rsidR="003E022D" w:rsidRDefault="007D19D6">
            <w:pPr>
              <w:keepNext/>
              <w:keepLines/>
              <w:tabs>
                <w:tab w:val="left" w:pos="4004"/>
              </w:tabs>
              <w:spacing w:after="0"/>
              <w:jc w:val="center"/>
              <w:rPr>
                <w:b/>
                <w:noProof/>
              </w:rPr>
            </w:pPr>
            <w:r>
              <w:rPr>
                <w:b/>
                <w:noProof/>
              </w:rPr>
              <w:t>Pieteikuma iesniedzēja iestāde</w:t>
            </w:r>
          </w:p>
        </w:tc>
        <w:tc>
          <w:tcPr>
            <w:tcW w:w="3172" w:type="dxa"/>
            <w:shd w:val="clear" w:color="auto" w:fill="D9D9D9"/>
            <w:vAlign w:val="center"/>
          </w:tcPr>
          <w:p w:rsidR="003E022D" w:rsidRDefault="007D19D6">
            <w:pPr>
              <w:keepNext/>
              <w:keepLines/>
              <w:tabs>
                <w:tab w:val="left" w:pos="4004"/>
              </w:tabs>
              <w:spacing w:after="0"/>
              <w:jc w:val="center"/>
              <w:rPr>
                <w:b/>
                <w:noProof/>
              </w:rPr>
            </w:pPr>
            <w:r>
              <w:rPr>
                <w:b/>
                <w:noProof/>
              </w:rPr>
              <w:t>Pieprasījuma saņēmēja iestāde</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3E022D" w:rsidRDefault="007D19D6">
            <w:pPr>
              <w:spacing w:before="40" w:after="0"/>
              <w:rPr>
                <w:b/>
                <w:noProof/>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6" w:space="0" w:color="auto"/>
              <w:bottom w:val="single" w:sz="6" w:space="0" w:color="auto"/>
            </w:tcBorders>
            <w:shd w:val="clear" w:color="auto" w:fill="D9D9D9"/>
          </w:tcPr>
          <w:p w:rsidR="003E022D" w:rsidRDefault="007D19D6">
            <w:pPr>
              <w:keepNext/>
              <w:keepLines/>
              <w:spacing w:after="0"/>
              <w:rPr>
                <w:b/>
                <w:noProof/>
                <w:sz w:val="20"/>
              </w:rPr>
            </w:pPr>
            <w:r>
              <w:rPr>
                <w:b/>
                <w:noProof/>
                <w:sz w:val="20"/>
              </w:rPr>
              <w:t>1.</w:t>
            </w:r>
          </w:p>
          <w:p w:rsidR="003E022D" w:rsidRDefault="007D19D6">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3E022D" w:rsidRDefault="007D19D6">
            <w:pPr>
              <w:keepNext/>
              <w:keepLines/>
              <w:spacing w:before="220" w:after="40"/>
              <w:rPr>
                <w:noProof/>
                <w:sz w:val="20"/>
              </w:rPr>
            </w:pPr>
            <w:r>
              <w:rPr>
                <w:noProof/>
                <w:sz w:val="20"/>
              </w:rPr>
              <w:t>Pieprasījuma saņēmēja iestāde apstiprina pieprasījuma saņemšanu.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3E022D" w:rsidRDefault="007D19D6">
            <w:pPr>
              <w:spacing w:before="40" w:after="0"/>
              <w:rPr>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p w:rsidR="003E022D" w:rsidRDefault="007D19D6">
            <w:pPr>
              <w:spacing w:after="0"/>
              <w:rPr>
                <w:b/>
                <w:noProof/>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Apvienot ar apstiprinājumu</w:t>
            </w:r>
          </w:p>
        </w:tc>
        <w:tc>
          <w:tcPr>
            <w:tcW w:w="362" w:type="dxa"/>
            <w:tcBorders>
              <w:top w:val="single" w:sz="6" w:space="0" w:color="auto"/>
              <w:bottom w:val="single" w:sz="6" w:space="0" w:color="auto"/>
            </w:tcBorders>
            <w:shd w:val="clear" w:color="auto" w:fill="D9D9D9"/>
          </w:tcPr>
          <w:p w:rsidR="003E022D" w:rsidRDefault="007D19D6">
            <w:pPr>
              <w:keepNext/>
              <w:keepLines/>
              <w:spacing w:after="0"/>
              <w:rPr>
                <w:b/>
                <w:noProof/>
                <w:sz w:val="20"/>
              </w:rPr>
            </w:pPr>
            <w:r>
              <w:rPr>
                <w:b/>
                <w:noProof/>
                <w:sz w:val="20"/>
              </w:rPr>
              <w:t>2.</w:t>
            </w:r>
          </w:p>
          <w:p w:rsidR="003E022D" w:rsidRDefault="007D19D6">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3E022D" w:rsidRDefault="007D19D6">
            <w:pPr>
              <w:keepNext/>
              <w:keepLines/>
              <w:spacing w:before="60" w:after="0"/>
              <w:rPr>
                <w:noProof/>
                <w:sz w:val="20"/>
              </w:rPr>
            </w:pPr>
            <w:r>
              <w:rPr>
                <w:noProof/>
                <w:sz w:val="20"/>
              </w:rPr>
              <w:t>Pi</w:t>
            </w:r>
            <w:r>
              <w:rPr>
                <w:noProof/>
                <w:sz w:val="20"/>
              </w:rPr>
              <w:t xml:space="preserve">eprasījuma saņēmēja iestāde aicina pieteikuma iesniedzēju iestādi aizpildīt pieprasījumu ar šādu papildu informāciju: </w:t>
            </w:r>
          </w:p>
          <w:p w:rsidR="003E022D" w:rsidRDefault="007D19D6">
            <w:pPr>
              <w:keepNext/>
              <w:keepLines/>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 xml:space="preserv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557" w:type="dxa"/>
            <w:tcBorders>
              <w:top w:val="single" w:sz="6" w:space="0" w:color="auto"/>
              <w:left w:val="single" w:sz="6" w:space="0" w:color="auto"/>
            </w:tcBorders>
          </w:tcPr>
          <w:p w:rsidR="003E022D" w:rsidRDefault="007D19D6">
            <w:pPr>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3.</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3E022D" w:rsidRDefault="007D19D6">
            <w:pPr>
              <w:spacing w:after="0"/>
              <w:rPr>
                <w:noProof/>
                <w:sz w:val="20"/>
              </w:rPr>
            </w:pPr>
            <w:r>
              <w:rPr>
                <w:noProof/>
                <w:sz w:val="20"/>
              </w:rPr>
              <w:t xml:space="preserve">Pieprasījuma saņēmēja iestāde vēl nav saņēmusi pieprasīto papildu informāciju un slēgs jūsu pieprasījumu, </w:t>
            </w:r>
            <w:r>
              <w:rPr>
                <w:noProof/>
                <w:sz w:val="20"/>
              </w:rPr>
              <w:t>ja nesaņems šo informāciju līdz 20GG/MM/DD.</w:t>
            </w:r>
            <w:r>
              <w:rPr>
                <w:i/>
                <w:noProof/>
              </w:rPr>
              <w:t xml:space="preserv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3E022D" w:rsidRDefault="007D19D6">
            <w:pPr>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6" w:space="0" w:color="auto"/>
            </w:tcBorders>
            <w:shd w:val="pct5" w:color="auto" w:fill="auto"/>
          </w:tcPr>
          <w:p w:rsidR="003E022D" w:rsidRDefault="007D19D6">
            <w:pPr>
              <w:spacing w:after="0"/>
              <w:rPr>
                <w:b/>
                <w:noProof/>
                <w:sz w:val="20"/>
              </w:rPr>
            </w:pPr>
            <w:r>
              <w:rPr>
                <w:b/>
                <w:noProof/>
                <w:sz w:val="20"/>
              </w:rPr>
              <w:t>4.</w:t>
            </w:r>
          </w:p>
        </w:tc>
        <w:tc>
          <w:tcPr>
            <w:tcW w:w="7562" w:type="dxa"/>
            <w:gridSpan w:val="5"/>
            <w:tcBorders>
              <w:top w:val="single" w:sz="6" w:space="0" w:color="auto"/>
              <w:right w:val="single" w:sz="6" w:space="0" w:color="auto"/>
            </w:tcBorders>
            <w:shd w:val="pct5" w:color="auto" w:fill="auto"/>
          </w:tcPr>
          <w:p w:rsidR="003E022D" w:rsidRDefault="007D19D6">
            <w:pPr>
              <w:spacing w:after="0"/>
              <w:rPr>
                <w:noProof/>
                <w:sz w:val="20"/>
              </w:rPr>
            </w:pPr>
            <w:r>
              <w:rPr>
                <w:noProof/>
                <w:sz w:val="20"/>
              </w:rPr>
              <w:t xml:space="preserve">Pieteikuma iesniedzēja iestāde: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3E022D" w:rsidRDefault="003E022D">
            <w:pPr>
              <w:spacing w:after="0"/>
              <w:rPr>
                <w:b/>
                <w:noProof/>
                <w:sz w:val="20"/>
                <w:lang w:val="en-IE"/>
              </w:rPr>
            </w:pPr>
          </w:p>
        </w:tc>
        <w:tc>
          <w:tcPr>
            <w:tcW w:w="362" w:type="dxa"/>
            <w:shd w:val="pct5" w:color="auto" w:fill="auto"/>
          </w:tcPr>
          <w:p w:rsidR="003E022D" w:rsidRDefault="007D19D6">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rsidR="003E022D" w:rsidRDefault="007D19D6">
            <w:pPr>
              <w:spacing w:after="0"/>
              <w:rPr>
                <w:b/>
                <w:noProof/>
                <w:sz w:val="20"/>
              </w:rPr>
            </w:pPr>
            <w:r>
              <w:rPr>
                <w:b/>
                <w:noProof/>
                <w:sz w:val="20"/>
              </w:rPr>
              <w:t>a.</w:t>
            </w:r>
          </w:p>
        </w:tc>
        <w:tc>
          <w:tcPr>
            <w:tcW w:w="7321" w:type="dxa"/>
            <w:gridSpan w:val="4"/>
            <w:tcBorders>
              <w:right w:val="single" w:sz="6" w:space="0" w:color="auto"/>
            </w:tcBorders>
            <w:shd w:val="pct5" w:color="auto" w:fill="auto"/>
          </w:tcPr>
          <w:p w:rsidR="003E022D" w:rsidRDefault="007D19D6">
            <w:pPr>
              <w:spacing w:after="0"/>
              <w:rPr>
                <w:noProof/>
                <w:sz w:val="20"/>
              </w:rPr>
            </w:pPr>
            <w:r>
              <w:rPr>
                <w:noProof/>
                <w:sz w:val="20"/>
              </w:rPr>
              <w:t xml:space="preserve">pēc pieprasījuma sniedz šādu papildu informāciju: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3E022D" w:rsidRDefault="003E022D">
            <w:pPr>
              <w:spacing w:after="0"/>
              <w:rPr>
                <w:b/>
                <w:noProof/>
                <w:sz w:val="20"/>
              </w:rPr>
            </w:pPr>
          </w:p>
        </w:tc>
        <w:tc>
          <w:tcPr>
            <w:tcW w:w="362" w:type="dxa"/>
            <w:tcBorders>
              <w:bottom w:val="single" w:sz="6" w:space="0" w:color="auto"/>
            </w:tcBorders>
            <w:shd w:val="pct5" w:color="auto" w:fill="auto"/>
          </w:tcPr>
          <w:p w:rsidR="003E022D" w:rsidRDefault="007D19D6">
            <w:pPr>
              <w:spacing w:after="0"/>
              <w:rPr>
                <w:b/>
                <w:noProof/>
                <w:sz w:val="20"/>
              </w:rPr>
            </w:pPr>
            <w:r>
              <w:rPr>
                <w:b/>
                <w:noProof/>
                <w:sz w:val="20"/>
              </w:rPr>
              <w:fldChar w:fldCharType="begin">
                <w:ffData>
                  <w:name w:val="Check14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3E022D" w:rsidRDefault="007D19D6">
            <w:pPr>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rsidR="003E022D" w:rsidRDefault="007D19D6">
            <w:pPr>
              <w:spacing w:after="0"/>
              <w:rPr>
                <w:noProof/>
                <w:sz w:val="20"/>
              </w:rPr>
            </w:pPr>
            <w:r>
              <w:rPr>
                <w:noProof/>
                <w:sz w:val="20"/>
              </w:rPr>
              <w:t>nespēj sniegt pieprasīto papildu informāciju</w:t>
            </w:r>
          </w:p>
          <w:p w:rsidR="003E022D" w:rsidRDefault="007D19D6">
            <w:pPr>
              <w:spacing w:after="0"/>
              <w:rPr>
                <w:noProof/>
                <w:sz w:val="20"/>
              </w:rPr>
            </w:pPr>
            <w:r>
              <w:rPr>
                <w:noProof/>
                <w:sz w:val="20"/>
              </w:rPr>
              <w:t xml:space="preserve">(jo: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noProof/>
                <w:sz w:val="20"/>
              </w:rPr>
              <w:t>)</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3E022D" w:rsidRDefault="007D19D6">
            <w:pPr>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6" w:space="0" w:color="auto"/>
              <w:bottom w:val="single" w:sz="6" w:space="0" w:color="auto"/>
            </w:tcBorders>
            <w:shd w:val="pct15" w:color="auto" w:fill="auto"/>
          </w:tcPr>
          <w:p w:rsidR="003E022D" w:rsidRDefault="007D19D6">
            <w:pPr>
              <w:spacing w:after="0"/>
              <w:rPr>
                <w:b/>
                <w:noProof/>
                <w:sz w:val="20"/>
              </w:rPr>
            </w:pPr>
            <w:r>
              <w:rPr>
                <w:b/>
                <w:noProof/>
                <w:sz w:val="20"/>
              </w:rPr>
              <w:t>5.</w:t>
            </w:r>
          </w:p>
          <w:p w:rsidR="003E022D" w:rsidRDefault="007D19D6">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3E022D" w:rsidRDefault="007D19D6">
            <w:pPr>
              <w:spacing w:before="200" w:after="0"/>
              <w:rPr>
                <w:b/>
                <w:noProof/>
                <w:sz w:val="20"/>
              </w:rPr>
            </w:pPr>
            <w:r>
              <w:rPr>
                <w:noProof/>
                <w:sz w:val="20"/>
              </w:rPr>
              <w:t xml:space="preserve">Pieprasījuma saņēmēja </w:t>
            </w:r>
            <w:r>
              <w:rPr>
                <w:noProof/>
                <w:sz w:val="20"/>
              </w:rPr>
              <w:t>iestāde apstiprina papildu informācijas saņemšanu un tagad var turpināt procedūru.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val="restart"/>
            <w:tcBorders>
              <w:left w:val="single" w:sz="6" w:space="0" w:color="auto"/>
            </w:tcBorders>
          </w:tcPr>
          <w:p w:rsidR="003E022D" w:rsidRDefault="007D19D6">
            <w:pPr>
              <w:spacing w:before="40" w:after="0"/>
              <w:rPr>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p w:rsidR="003E022D" w:rsidRDefault="003E022D">
            <w:pPr>
              <w:spacing w:after="0"/>
              <w:rPr>
                <w:i/>
                <w:noProof/>
                <w:sz w:val="20"/>
              </w:rPr>
            </w:pPr>
          </w:p>
        </w:tc>
        <w:tc>
          <w:tcPr>
            <w:tcW w:w="362" w:type="dxa"/>
            <w:vMerge w:val="restart"/>
            <w:shd w:val="clear" w:color="auto" w:fill="D9D9D9"/>
          </w:tcPr>
          <w:p w:rsidR="003E022D" w:rsidRDefault="007D19D6">
            <w:pPr>
              <w:spacing w:after="0"/>
              <w:rPr>
                <w:b/>
                <w:noProof/>
                <w:sz w:val="20"/>
              </w:rPr>
            </w:pPr>
            <w:r>
              <w:rPr>
                <w:b/>
                <w:noProof/>
                <w:sz w:val="20"/>
              </w:rPr>
              <w:t>6.</w:t>
            </w:r>
          </w:p>
          <w:p w:rsidR="003E022D" w:rsidRDefault="007D19D6">
            <w:pPr>
              <w:spacing w:before="60"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7D19D6">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3E022D">
            <w:pPr>
              <w:spacing w:after="0"/>
              <w:rPr>
                <w:b/>
                <w:noProof/>
                <w:sz w:val="20"/>
                <w:lang w:val="en-IE"/>
              </w:rPr>
            </w:pPr>
          </w:p>
          <w:p w:rsidR="003E022D" w:rsidRDefault="007D19D6">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7D19D6">
            <w:pPr>
              <w:spacing w:after="0"/>
              <w:rPr>
                <w:b/>
                <w:noProof/>
                <w:sz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7D19D6">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7562" w:type="dxa"/>
            <w:gridSpan w:val="5"/>
            <w:tcBorders>
              <w:right w:val="single" w:sz="6" w:space="0" w:color="auto"/>
            </w:tcBorders>
            <w:shd w:val="clear" w:color="auto" w:fill="D9D9D9"/>
          </w:tcPr>
          <w:p w:rsidR="003E022D" w:rsidRDefault="007D19D6">
            <w:pPr>
              <w:spacing w:before="40" w:after="0"/>
              <w:rPr>
                <w:noProof/>
                <w:sz w:val="20"/>
              </w:rPr>
            </w:pPr>
            <w:r>
              <w:rPr>
                <w:noProof/>
                <w:sz w:val="20"/>
              </w:rPr>
              <w:t xml:space="preserve">Pieprasījuma saņēmēja iestāde nesniedz palīdzību un slēdz lietu, jo: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3E022D" w:rsidRDefault="003E022D">
            <w:pPr>
              <w:spacing w:after="0"/>
              <w:rPr>
                <w:i/>
                <w:noProof/>
                <w:sz w:val="20"/>
              </w:rPr>
            </w:pPr>
          </w:p>
        </w:tc>
        <w:tc>
          <w:tcPr>
            <w:tcW w:w="362" w:type="dxa"/>
            <w:vMerge/>
            <w:shd w:val="clear" w:color="auto" w:fill="D9D9D9"/>
          </w:tcPr>
          <w:p w:rsidR="003E022D" w:rsidRDefault="003E022D">
            <w:pPr>
              <w:spacing w:after="0"/>
              <w:rPr>
                <w:b/>
                <w:noProof/>
                <w:color w:val="FF0000"/>
                <w:sz w:val="20"/>
              </w:rPr>
            </w:pPr>
          </w:p>
        </w:tc>
        <w:tc>
          <w:tcPr>
            <w:tcW w:w="359" w:type="dxa"/>
            <w:gridSpan w:val="2"/>
            <w:shd w:val="clear" w:color="auto" w:fill="D9D9D9"/>
          </w:tcPr>
          <w:p w:rsidR="003E022D" w:rsidRDefault="007D19D6">
            <w:pPr>
              <w:spacing w:after="0"/>
              <w:rPr>
                <w:b/>
                <w:noProof/>
                <w:sz w:val="20"/>
              </w:rPr>
            </w:pPr>
            <w:r>
              <w:rPr>
                <w:b/>
                <w:noProof/>
                <w:sz w:val="20"/>
              </w:rPr>
              <w:t>a.</w:t>
            </w:r>
          </w:p>
        </w:tc>
        <w:tc>
          <w:tcPr>
            <w:tcW w:w="7203" w:type="dxa"/>
            <w:gridSpan w:val="3"/>
            <w:tcBorders>
              <w:left w:val="nil"/>
              <w:right w:val="single" w:sz="6" w:space="0" w:color="auto"/>
            </w:tcBorders>
            <w:shd w:val="clear" w:color="auto" w:fill="D9D9D9"/>
          </w:tcPr>
          <w:p w:rsidR="003E022D" w:rsidRDefault="007D19D6">
            <w:pPr>
              <w:spacing w:after="0"/>
              <w:rPr>
                <w:noProof/>
                <w:sz w:val="20"/>
              </w:rPr>
            </w:pPr>
            <w:r>
              <w:rPr>
                <w:noProof/>
                <w:sz w:val="20"/>
              </w:rPr>
              <w:t>nav kompetenta attiecībā uz prasījumiem, uz kuriem attiecas pieprasījums.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3E022D" w:rsidRDefault="003E022D">
            <w:pPr>
              <w:spacing w:after="0"/>
              <w:rPr>
                <w:i/>
                <w:noProof/>
                <w:sz w:val="20"/>
              </w:rPr>
            </w:pPr>
          </w:p>
        </w:tc>
        <w:tc>
          <w:tcPr>
            <w:tcW w:w="362" w:type="dxa"/>
            <w:vMerge/>
            <w:shd w:val="clear" w:color="auto" w:fill="D9D9D9"/>
          </w:tcPr>
          <w:p w:rsidR="003E022D" w:rsidRDefault="003E022D">
            <w:pPr>
              <w:spacing w:after="0"/>
              <w:rPr>
                <w:b/>
                <w:noProof/>
                <w:color w:val="FF0000"/>
                <w:sz w:val="20"/>
              </w:rPr>
            </w:pPr>
          </w:p>
        </w:tc>
        <w:tc>
          <w:tcPr>
            <w:tcW w:w="359" w:type="dxa"/>
            <w:gridSpan w:val="2"/>
            <w:shd w:val="clear" w:color="auto" w:fill="D9D9D9"/>
          </w:tcPr>
          <w:p w:rsidR="003E022D" w:rsidRDefault="007D19D6">
            <w:pPr>
              <w:spacing w:after="0"/>
              <w:rPr>
                <w:b/>
                <w:noProof/>
                <w:sz w:val="20"/>
              </w:rPr>
            </w:pPr>
            <w:r>
              <w:rPr>
                <w:b/>
                <w:noProof/>
                <w:sz w:val="20"/>
              </w:rPr>
              <w:t>b.</w:t>
            </w:r>
          </w:p>
        </w:tc>
        <w:tc>
          <w:tcPr>
            <w:tcW w:w="7203" w:type="dxa"/>
            <w:gridSpan w:val="3"/>
            <w:tcBorders>
              <w:left w:val="nil"/>
              <w:right w:val="single" w:sz="6" w:space="0" w:color="auto"/>
            </w:tcBorders>
            <w:shd w:val="clear" w:color="auto" w:fill="D9D9D9"/>
          </w:tcPr>
          <w:p w:rsidR="003E022D" w:rsidRDefault="007D19D6">
            <w:pPr>
              <w:spacing w:after="0"/>
              <w:rPr>
                <w:noProof/>
                <w:sz w:val="20"/>
              </w:rPr>
            </w:pPr>
            <w:r>
              <w:rPr>
                <w:noProof/>
                <w:sz w:val="20"/>
              </w:rPr>
              <w:t xml:space="preserve">nav kompetenta attiecībā uz šādu(-iem) prasījumu(-iem) pieprasījumā: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3E022D" w:rsidRDefault="003E022D">
            <w:pPr>
              <w:spacing w:after="0"/>
              <w:rPr>
                <w:i/>
                <w:noProof/>
                <w:sz w:val="20"/>
              </w:rPr>
            </w:pPr>
          </w:p>
        </w:tc>
        <w:tc>
          <w:tcPr>
            <w:tcW w:w="362" w:type="dxa"/>
            <w:vMerge/>
            <w:shd w:val="clear" w:color="auto" w:fill="D9D9D9"/>
          </w:tcPr>
          <w:p w:rsidR="003E022D" w:rsidRDefault="003E022D">
            <w:pPr>
              <w:spacing w:after="0"/>
              <w:rPr>
                <w:b/>
                <w:noProof/>
                <w:sz w:val="20"/>
              </w:rPr>
            </w:pPr>
          </w:p>
        </w:tc>
        <w:tc>
          <w:tcPr>
            <w:tcW w:w="359" w:type="dxa"/>
            <w:gridSpan w:val="2"/>
            <w:shd w:val="clear" w:color="auto" w:fill="D9D9D9"/>
          </w:tcPr>
          <w:p w:rsidR="003E022D" w:rsidRDefault="007D19D6">
            <w:pPr>
              <w:spacing w:after="0"/>
              <w:rPr>
                <w:b/>
                <w:noProof/>
                <w:sz w:val="20"/>
              </w:rPr>
            </w:pPr>
            <w:r>
              <w:rPr>
                <w:b/>
                <w:noProof/>
                <w:sz w:val="20"/>
              </w:rPr>
              <w:t>c.</w:t>
            </w:r>
          </w:p>
        </w:tc>
        <w:tc>
          <w:tcPr>
            <w:tcW w:w="7203" w:type="dxa"/>
            <w:gridSpan w:val="3"/>
            <w:tcBorders>
              <w:right w:val="single" w:sz="6" w:space="0" w:color="auto"/>
            </w:tcBorders>
            <w:shd w:val="clear" w:color="auto" w:fill="D9D9D9"/>
          </w:tcPr>
          <w:p w:rsidR="003E022D" w:rsidRDefault="007D19D6">
            <w:pPr>
              <w:spacing w:before="40" w:after="0"/>
              <w:rPr>
                <w:noProof/>
                <w:sz w:val="20"/>
              </w:rPr>
            </w:pPr>
            <w:r>
              <w:rPr>
                <w:noProof/>
                <w:sz w:val="20"/>
              </w:rPr>
              <w:t xml:space="preserve">prasījums(-i) ir </w:t>
            </w:r>
            <w:r>
              <w:rPr>
                <w:noProof/>
                <w:sz w:val="20"/>
              </w:rPr>
              <w:t>vecāks(-i), nekā paredzēts protokolā.</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3E022D" w:rsidRDefault="003E022D">
            <w:pPr>
              <w:spacing w:after="0"/>
              <w:rPr>
                <w:i/>
                <w:noProof/>
                <w:sz w:val="20"/>
              </w:rPr>
            </w:pPr>
          </w:p>
        </w:tc>
        <w:tc>
          <w:tcPr>
            <w:tcW w:w="362" w:type="dxa"/>
            <w:vMerge/>
            <w:shd w:val="clear" w:color="auto" w:fill="D9D9D9"/>
          </w:tcPr>
          <w:p w:rsidR="003E022D" w:rsidRDefault="003E022D">
            <w:pPr>
              <w:spacing w:after="0"/>
              <w:rPr>
                <w:b/>
                <w:noProof/>
                <w:sz w:val="20"/>
              </w:rPr>
            </w:pPr>
          </w:p>
        </w:tc>
        <w:tc>
          <w:tcPr>
            <w:tcW w:w="359" w:type="dxa"/>
            <w:gridSpan w:val="2"/>
            <w:shd w:val="clear" w:color="auto" w:fill="D9D9D9"/>
          </w:tcPr>
          <w:p w:rsidR="003E022D" w:rsidRDefault="007D19D6">
            <w:pPr>
              <w:spacing w:after="0"/>
              <w:rPr>
                <w:b/>
                <w:noProof/>
                <w:sz w:val="20"/>
              </w:rPr>
            </w:pPr>
            <w:r>
              <w:rPr>
                <w:b/>
                <w:noProof/>
                <w:sz w:val="20"/>
              </w:rPr>
              <w:t>d.</w:t>
            </w:r>
          </w:p>
        </w:tc>
        <w:tc>
          <w:tcPr>
            <w:tcW w:w="7203" w:type="dxa"/>
            <w:gridSpan w:val="3"/>
            <w:tcBorders>
              <w:right w:val="single" w:sz="6" w:space="0" w:color="auto"/>
            </w:tcBorders>
            <w:shd w:val="clear" w:color="auto" w:fill="D9D9D9"/>
          </w:tcPr>
          <w:p w:rsidR="003E022D" w:rsidRDefault="007D19D6">
            <w:pPr>
              <w:spacing w:before="20" w:after="0"/>
              <w:rPr>
                <w:noProof/>
                <w:sz w:val="20"/>
              </w:rPr>
            </w:pPr>
            <w:r>
              <w:rPr>
                <w:noProof/>
                <w:sz w:val="20"/>
              </w:rPr>
              <w:t>kopējā summa ir mazāka par protokolā paredzēto slieksni.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3E022D" w:rsidRDefault="003E022D">
            <w:pPr>
              <w:spacing w:after="0"/>
              <w:rPr>
                <w:i/>
                <w:noProof/>
                <w:sz w:val="20"/>
              </w:rPr>
            </w:pPr>
          </w:p>
        </w:tc>
        <w:tc>
          <w:tcPr>
            <w:tcW w:w="362" w:type="dxa"/>
            <w:vMerge/>
            <w:shd w:val="clear" w:color="auto" w:fill="D9D9D9"/>
          </w:tcPr>
          <w:p w:rsidR="003E022D" w:rsidRDefault="003E022D">
            <w:pPr>
              <w:spacing w:after="0"/>
              <w:rPr>
                <w:b/>
                <w:noProof/>
                <w:sz w:val="20"/>
              </w:rPr>
            </w:pPr>
          </w:p>
        </w:tc>
        <w:tc>
          <w:tcPr>
            <w:tcW w:w="359" w:type="dxa"/>
            <w:gridSpan w:val="2"/>
            <w:shd w:val="clear" w:color="auto" w:fill="D9D9D9"/>
          </w:tcPr>
          <w:p w:rsidR="003E022D" w:rsidRDefault="007D19D6">
            <w:pPr>
              <w:spacing w:after="0"/>
              <w:rPr>
                <w:b/>
                <w:noProof/>
                <w:sz w:val="20"/>
              </w:rPr>
            </w:pPr>
            <w:r>
              <w:rPr>
                <w:b/>
                <w:noProof/>
                <w:sz w:val="20"/>
              </w:rPr>
              <w:t>e.</w:t>
            </w:r>
          </w:p>
        </w:tc>
        <w:tc>
          <w:tcPr>
            <w:tcW w:w="7203" w:type="dxa"/>
            <w:gridSpan w:val="3"/>
            <w:tcBorders>
              <w:right w:val="single" w:sz="6" w:space="0" w:color="auto"/>
            </w:tcBorders>
            <w:shd w:val="clear" w:color="auto" w:fill="D9D9D9"/>
          </w:tcPr>
          <w:p w:rsidR="003E022D" w:rsidRDefault="007D19D6">
            <w:pPr>
              <w:spacing w:after="0"/>
              <w:rPr>
                <w:noProof/>
                <w:sz w:val="20"/>
              </w:rPr>
            </w:pPr>
            <w:r>
              <w:rPr>
                <w:noProof/>
                <w:sz w:val="20"/>
              </w:rPr>
              <w:t xml:space="preserve">pieteikuma iesniedzēja iestāde nav sniegusi visu vajadzīgo papildu informāciju.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bottom w:val="single" w:sz="6" w:space="0" w:color="auto"/>
            </w:tcBorders>
          </w:tcPr>
          <w:p w:rsidR="003E022D" w:rsidRDefault="003E022D">
            <w:pPr>
              <w:spacing w:after="0"/>
              <w:rPr>
                <w:i/>
                <w:noProof/>
                <w:sz w:val="20"/>
              </w:rPr>
            </w:pPr>
          </w:p>
        </w:tc>
        <w:tc>
          <w:tcPr>
            <w:tcW w:w="362" w:type="dxa"/>
            <w:vMerge/>
            <w:tcBorders>
              <w:bottom w:val="single" w:sz="6" w:space="0" w:color="auto"/>
            </w:tcBorders>
            <w:shd w:val="clear" w:color="auto" w:fill="D9D9D9"/>
          </w:tcPr>
          <w:p w:rsidR="003E022D" w:rsidRDefault="003E022D">
            <w:pPr>
              <w:spacing w:after="0"/>
              <w:rPr>
                <w:b/>
                <w:noProof/>
                <w:sz w:val="20"/>
              </w:rPr>
            </w:pPr>
          </w:p>
        </w:tc>
        <w:tc>
          <w:tcPr>
            <w:tcW w:w="359" w:type="dxa"/>
            <w:gridSpan w:val="2"/>
            <w:tcBorders>
              <w:bottom w:val="single" w:sz="6" w:space="0" w:color="auto"/>
            </w:tcBorders>
            <w:shd w:val="clear" w:color="auto" w:fill="D9D9D9"/>
          </w:tcPr>
          <w:p w:rsidR="003E022D" w:rsidRDefault="007D19D6">
            <w:pPr>
              <w:spacing w:after="0"/>
              <w:rPr>
                <w:b/>
                <w:noProof/>
                <w:sz w:val="20"/>
              </w:rPr>
            </w:pPr>
            <w:r>
              <w:rPr>
                <w:b/>
                <w:noProof/>
                <w:sz w:val="20"/>
              </w:rPr>
              <w:t>f.</w:t>
            </w:r>
          </w:p>
        </w:tc>
        <w:tc>
          <w:tcPr>
            <w:tcW w:w="7203" w:type="dxa"/>
            <w:gridSpan w:val="3"/>
            <w:tcBorders>
              <w:bottom w:val="single" w:sz="6" w:space="0" w:color="auto"/>
              <w:right w:val="single" w:sz="6" w:space="0" w:color="auto"/>
            </w:tcBorders>
            <w:shd w:val="clear" w:color="auto" w:fill="D9D9D9"/>
          </w:tcPr>
          <w:p w:rsidR="003E022D" w:rsidRDefault="007D19D6">
            <w:pPr>
              <w:spacing w:after="0"/>
              <w:rPr>
                <w:noProof/>
                <w:sz w:val="20"/>
              </w:rPr>
            </w:pPr>
            <w:r>
              <w:rPr>
                <w:noProof/>
                <w:sz w:val="20"/>
              </w:rPr>
              <w:t xml:space="preserve">Cits iemesls: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557" w:type="dxa"/>
            <w:tcBorders>
              <w:top w:val="single" w:sz="6" w:space="0" w:color="auto"/>
              <w:left w:val="single" w:sz="6" w:space="0" w:color="auto"/>
              <w:bottom w:val="single" w:sz="4" w:space="0" w:color="auto"/>
            </w:tcBorders>
          </w:tcPr>
          <w:p w:rsidR="003E022D" w:rsidRDefault="007D19D6">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r>
              <w:rPr>
                <w:b/>
                <w:noProof/>
                <w:sz w:val="20"/>
              </w:rPr>
              <w:t xml:space="preserve"> </w:t>
            </w:r>
          </w:p>
        </w:tc>
        <w:tc>
          <w:tcPr>
            <w:tcW w:w="362" w:type="dxa"/>
            <w:tcBorders>
              <w:top w:val="single" w:sz="6" w:space="0" w:color="auto"/>
              <w:bottom w:val="single" w:sz="4" w:space="0" w:color="auto"/>
            </w:tcBorders>
            <w:shd w:val="pct5" w:color="auto" w:fill="auto"/>
          </w:tcPr>
          <w:p w:rsidR="003E022D" w:rsidRDefault="007D19D6">
            <w:pPr>
              <w:spacing w:after="0"/>
              <w:rPr>
                <w:b/>
                <w:noProof/>
                <w:sz w:val="20"/>
              </w:rPr>
            </w:pPr>
            <w:r>
              <w:rPr>
                <w:b/>
                <w:noProof/>
                <w:sz w:val="20"/>
              </w:rPr>
              <w:t>7.</w:t>
            </w:r>
          </w:p>
          <w:p w:rsidR="003E022D" w:rsidRDefault="007D19D6">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5" w:color="auto" w:fill="auto"/>
          </w:tcPr>
          <w:p w:rsidR="003E022D" w:rsidRDefault="007D19D6">
            <w:pPr>
              <w:spacing w:before="200" w:after="0"/>
              <w:rPr>
                <w:b/>
                <w:noProof/>
                <w:sz w:val="20"/>
              </w:rPr>
            </w:pPr>
            <w:r>
              <w:rPr>
                <w:noProof/>
                <w:sz w:val="20"/>
              </w:rPr>
              <w:t>Pieteikuma iesniedzēja iestāde lūdz to informēt par tās pieprasījuma pašreizējo statusu.</w:t>
            </w:r>
            <w:r>
              <w:rPr>
                <w:b/>
                <w:noProof/>
                <w:sz w:val="20"/>
              </w:rPr>
              <w:t xml:space="preserv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3E022D" w:rsidRDefault="007D19D6">
            <w:pPr>
              <w:spacing w:before="40" w:after="0"/>
              <w:rPr>
                <w:b/>
                <w:noProof/>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6" w:space="0" w:color="auto"/>
            </w:tcBorders>
            <w:shd w:val="clear" w:color="auto" w:fill="D9D9D9"/>
          </w:tcPr>
          <w:p w:rsidR="003E022D" w:rsidRDefault="007D19D6">
            <w:pPr>
              <w:spacing w:after="0"/>
              <w:rPr>
                <w:b/>
                <w:noProof/>
                <w:sz w:val="20"/>
              </w:rPr>
            </w:pPr>
            <w:r>
              <w:rPr>
                <w:b/>
                <w:noProof/>
                <w:sz w:val="20"/>
              </w:rPr>
              <w:t>8.</w:t>
            </w:r>
          </w:p>
        </w:tc>
        <w:tc>
          <w:tcPr>
            <w:tcW w:w="7562" w:type="dxa"/>
            <w:gridSpan w:val="5"/>
            <w:tcBorders>
              <w:top w:val="single" w:sz="6" w:space="0" w:color="auto"/>
              <w:right w:val="single" w:sz="6" w:space="0" w:color="auto"/>
            </w:tcBorders>
            <w:shd w:val="clear" w:color="auto" w:fill="D9D9D9"/>
          </w:tcPr>
          <w:p w:rsidR="003E022D" w:rsidRDefault="007D19D6">
            <w:pPr>
              <w:spacing w:after="0"/>
              <w:rPr>
                <w:noProof/>
                <w:sz w:val="20"/>
              </w:rPr>
            </w:pPr>
            <w:r>
              <w:rPr>
                <w:noProof/>
                <w:sz w:val="20"/>
              </w:rPr>
              <w:t>Pieprasījuma saņēmēja iestāde neveiks pieprasīto(-ās) darbību(-as) šādu iemeslu dēļ:</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3E022D" w:rsidRDefault="003E022D">
            <w:pPr>
              <w:spacing w:after="0"/>
              <w:rPr>
                <w:b/>
                <w:noProof/>
                <w:sz w:val="20"/>
              </w:rPr>
            </w:pPr>
          </w:p>
        </w:tc>
        <w:tc>
          <w:tcPr>
            <w:tcW w:w="362" w:type="dxa"/>
            <w:shd w:val="pct15" w:color="auto" w:fill="auto"/>
          </w:tcPr>
          <w:p w:rsidR="003E022D" w:rsidRDefault="007D19D6">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3E022D" w:rsidRDefault="007D19D6">
            <w:pPr>
              <w:spacing w:after="0"/>
              <w:ind w:left="213" w:hanging="213"/>
              <w:rPr>
                <w:b/>
                <w:noProof/>
                <w:sz w:val="20"/>
              </w:rPr>
            </w:pPr>
            <w:r>
              <w:rPr>
                <w:b/>
                <w:noProof/>
                <w:sz w:val="20"/>
              </w:rPr>
              <w:t xml:space="preserve">a. </w:t>
            </w:r>
          </w:p>
        </w:tc>
        <w:tc>
          <w:tcPr>
            <w:tcW w:w="7321" w:type="dxa"/>
            <w:gridSpan w:val="4"/>
            <w:tcBorders>
              <w:left w:val="nil"/>
              <w:right w:val="single" w:sz="6" w:space="0" w:color="auto"/>
            </w:tcBorders>
            <w:shd w:val="pct15" w:color="auto" w:fill="auto"/>
          </w:tcPr>
          <w:p w:rsidR="003E022D" w:rsidRDefault="007D19D6">
            <w:pPr>
              <w:spacing w:after="0"/>
              <w:ind w:left="213" w:hanging="213"/>
              <w:rPr>
                <w:b/>
                <w:noProof/>
                <w:sz w:val="20"/>
              </w:rPr>
            </w:pPr>
            <w:r>
              <w:rPr>
                <w:noProof/>
                <w:sz w:val="20"/>
              </w:rPr>
              <w:t>tās valsts tiesību akti un prakse nepieļauj piedziņas pasākumus par prasījumiem, kas ir apstrīdēti.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3E022D" w:rsidRDefault="003E022D">
            <w:pPr>
              <w:spacing w:after="0"/>
              <w:rPr>
                <w:b/>
                <w:noProof/>
                <w:sz w:val="20"/>
              </w:rPr>
            </w:pPr>
          </w:p>
        </w:tc>
        <w:tc>
          <w:tcPr>
            <w:tcW w:w="362" w:type="dxa"/>
            <w:tcBorders>
              <w:bottom w:val="single" w:sz="6" w:space="0" w:color="auto"/>
            </w:tcBorders>
            <w:shd w:val="pct15" w:color="auto" w:fill="auto"/>
          </w:tcPr>
          <w:p w:rsidR="003E022D" w:rsidRDefault="007D19D6">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3E022D" w:rsidRDefault="007D19D6">
            <w:pPr>
              <w:spacing w:after="0"/>
              <w:ind w:left="213" w:hanging="213"/>
              <w:rPr>
                <w:b/>
                <w:noProof/>
                <w:sz w:val="20"/>
              </w:rPr>
            </w:pPr>
            <w:r>
              <w:rPr>
                <w:b/>
                <w:noProof/>
                <w:sz w:val="20"/>
              </w:rPr>
              <w:t xml:space="preserve">b. </w:t>
            </w:r>
          </w:p>
        </w:tc>
        <w:tc>
          <w:tcPr>
            <w:tcW w:w="7321" w:type="dxa"/>
            <w:gridSpan w:val="4"/>
            <w:tcBorders>
              <w:left w:val="nil"/>
              <w:bottom w:val="single" w:sz="6" w:space="0" w:color="auto"/>
              <w:right w:val="single" w:sz="6" w:space="0" w:color="auto"/>
            </w:tcBorders>
            <w:shd w:val="pct15" w:color="auto" w:fill="auto"/>
          </w:tcPr>
          <w:p w:rsidR="003E022D" w:rsidRDefault="007D19D6">
            <w:pPr>
              <w:spacing w:after="0"/>
              <w:ind w:left="213" w:hanging="213"/>
              <w:rPr>
                <w:b/>
                <w:noProof/>
                <w:sz w:val="20"/>
              </w:rPr>
            </w:pPr>
            <w:r>
              <w:rPr>
                <w:noProof/>
                <w:sz w:val="20"/>
              </w:rPr>
              <w:t>tās valsts tiesību akti un prakse nepieļauj piesardzības pasākumus par prasījumiem, kas ir apstrīdēti.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3E022D" w:rsidRDefault="003E022D">
            <w:pPr>
              <w:spacing w:after="0"/>
              <w:rPr>
                <w:b/>
                <w:noProof/>
                <w:sz w:val="20"/>
              </w:rPr>
            </w:pPr>
          </w:p>
        </w:tc>
        <w:tc>
          <w:tcPr>
            <w:tcW w:w="362" w:type="dxa"/>
            <w:tcBorders>
              <w:top w:val="single" w:sz="6" w:space="0" w:color="auto"/>
            </w:tcBorders>
            <w:shd w:val="pct15" w:color="auto" w:fill="auto"/>
          </w:tcPr>
          <w:p w:rsidR="003E022D" w:rsidRDefault="007D19D6">
            <w:pPr>
              <w:spacing w:after="0"/>
              <w:rPr>
                <w:b/>
                <w:noProof/>
                <w:sz w:val="20"/>
              </w:rPr>
            </w:pPr>
            <w:r>
              <w:rPr>
                <w:b/>
                <w:noProof/>
                <w:sz w:val="20"/>
              </w:rPr>
              <w:t>9.</w:t>
            </w:r>
          </w:p>
        </w:tc>
        <w:tc>
          <w:tcPr>
            <w:tcW w:w="7562" w:type="dxa"/>
            <w:gridSpan w:val="5"/>
            <w:tcBorders>
              <w:top w:val="single" w:sz="6" w:space="0" w:color="auto"/>
              <w:right w:val="single" w:sz="6" w:space="0" w:color="auto"/>
            </w:tcBorders>
            <w:shd w:val="pct15" w:color="auto" w:fill="auto"/>
          </w:tcPr>
          <w:p w:rsidR="003E022D" w:rsidRDefault="007D19D6">
            <w:pPr>
              <w:spacing w:after="0"/>
              <w:rPr>
                <w:noProof/>
                <w:sz w:val="20"/>
              </w:rPr>
            </w:pPr>
            <w:r>
              <w:rPr>
                <w:noProof/>
                <w:sz w:val="20"/>
              </w:rPr>
              <w:t xml:space="preserve">Pieprasījuma saņēmēja iestāde ir veikusi šādas piedziņas procedūras un/vai </w:t>
            </w:r>
            <w:r>
              <w:rPr>
                <w:noProof/>
                <w:sz w:val="20"/>
              </w:rPr>
              <w:t>piesardzības pasākumus: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bookmarkStart w:id="1429" w:name="Check189"/>
        <w:tc>
          <w:tcPr>
            <w:tcW w:w="362" w:type="dxa"/>
            <w:shd w:val="pct15" w:color="auto" w:fill="auto"/>
          </w:tcPr>
          <w:p w:rsidR="003E022D" w:rsidRDefault="007D19D6">
            <w:pPr>
              <w:spacing w:after="0"/>
              <w:rPr>
                <w:b/>
                <w:noProof/>
                <w:sz w:val="20"/>
              </w:rPr>
            </w:pPr>
            <w:r>
              <w:rPr>
                <w:b/>
                <w:noProof/>
                <w:sz w:val="20"/>
              </w:rPr>
              <w:fldChar w:fldCharType="begin">
                <w:ffData>
                  <w:name w:val="Check18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9"/>
          </w:p>
        </w:tc>
        <w:tc>
          <w:tcPr>
            <w:tcW w:w="241" w:type="dxa"/>
            <w:shd w:val="pct15" w:color="auto" w:fill="auto"/>
          </w:tcPr>
          <w:p w:rsidR="003E022D" w:rsidRDefault="007D19D6">
            <w:pPr>
              <w:spacing w:after="0"/>
              <w:rPr>
                <w:b/>
                <w:noProof/>
                <w:sz w:val="20"/>
              </w:rPr>
            </w:pPr>
            <w:r>
              <w:rPr>
                <w:b/>
                <w:noProof/>
                <w:sz w:val="20"/>
              </w:rPr>
              <w:t>a.</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 xml:space="preserve">sazinājusies ar parādnieku un pieprasījusi samaksu </w:t>
            </w:r>
            <w:r>
              <w:rPr>
                <w:i/>
                <w:noProof/>
                <w:sz w:val="20"/>
              </w:rPr>
              <w:fldChar w:fldCharType="begin" w:fldLock="1">
                <w:ffData>
                  <w:name w:val=""/>
                  <w:enabled/>
                  <w:calcOnExit w:val="0"/>
                  <w:textInput>
                    <w:default w:val="20GG/MM/DD"/>
                  </w:textInput>
                </w:ffData>
              </w:fldChar>
            </w:r>
            <w:r>
              <w:rPr>
                <w:i/>
                <w:noProof/>
                <w:sz w:val="20"/>
              </w:rPr>
              <w:instrText xml:space="preserve"> FORMTEXT </w:instrText>
            </w:r>
            <w:r>
              <w:rPr>
                <w:i/>
                <w:noProof/>
                <w:sz w:val="20"/>
              </w:rPr>
            </w:r>
            <w:r>
              <w:rPr>
                <w:i/>
                <w:noProof/>
                <w:sz w:val="20"/>
              </w:rPr>
              <w:fldChar w:fldCharType="separate"/>
            </w:r>
            <w:r>
              <w:rPr>
                <w:i/>
                <w:noProof/>
                <w:sz w:val="20"/>
              </w:rPr>
              <w:t>20GG/MM/DD</w:t>
            </w:r>
            <w:r>
              <w:rPr>
                <w:i/>
                <w:noProof/>
                <w:sz w:val="20"/>
              </w:rPr>
              <w:fldChar w:fldCharType="end"/>
            </w:r>
            <w:r>
              <w:rPr>
                <w:noProof/>
                <w:sz w:val="20"/>
                <w:shd w:val="clear" w:color="auto" w:fill="C0C0C0"/>
              </w:rPr>
              <w:t>.</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bookmarkStart w:id="1430" w:name="Check190"/>
        <w:tc>
          <w:tcPr>
            <w:tcW w:w="362" w:type="dxa"/>
            <w:shd w:val="pct15" w:color="auto" w:fill="auto"/>
          </w:tcPr>
          <w:p w:rsidR="003E022D" w:rsidRDefault="007D19D6">
            <w:pPr>
              <w:spacing w:after="0"/>
              <w:rPr>
                <w:b/>
                <w:noProof/>
                <w:sz w:val="20"/>
              </w:rPr>
            </w:pPr>
            <w:r>
              <w:rPr>
                <w:b/>
                <w:noProof/>
                <w:sz w:val="20"/>
              </w:rPr>
              <w:fldChar w:fldCharType="begin">
                <w:ffData>
                  <w:name w:val="Check19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0"/>
          </w:p>
        </w:tc>
        <w:tc>
          <w:tcPr>
            <w:tcW w:w="241" w:type="dxa"/>
            <w:shd w:val="pct15" w:color="auto" w:fill="auto"/>
          </w:tcPr>
          <w:p w:rsidR="003E022D" w:rsidRDefault="007D19D6">
            <w:pPr>
              <w:spacing w:after="0"/>
              <w:rPr>
                <w:b/>
                <w:noProof/>
                <w:sz w:val="20"/>
              </w:rPr>
            </w:pPr>
            <w:r>
              <w:rPr>
                <w:b/>
                <w:noProof/>
                <w:sz w:val="20"/>
              </w:rPr>
              <w:t>b.</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apspriež samaksu pa daļām.</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val="restart"/>
            <w:tcBorders>
              <w:left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bookmarkStart w:id="1431" w:name="Check191"/>
        <w:tc>
          <w:tcPr>
            <w:tcW w:w="362" w:type="dxa"/>
            <w:shd w:val="pct15" w:color="auto" w:fill="auto"/>
          </w:tcPr>
          <w:p w:rsidR="003E022D" w:rsidRDefault="007D19D6">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1"/>
          </w:p>
        </w:tc>
        <w:tc>
          <w:tcPr>
            <w:tcW w:w="241" w:type="dxa"/>
            <w:shd w:val="pct15" w:color="auto" w:fill="auto"/>
          </w:tcPr>
          <w:p w:rsidR="003E022D" w:rsidRDefault="007D19D6">
            <w:pPr>
              <w:spacing w:after="0"/>
              <w:rPr>
                <w:b/>
                <w:noProof/>
                <w:sz w:val="20"/>
              </w:rPr>
            </w:pPr>
            <w:r>
              <w:rPr>
                <w:b/>
                <w:noProof/>
                <w:sz w:val="20"/>
              </w:rPr>
              <w:t>c.</w:t>
            </w:r>
          </w:p>
        </w:tc>
        <w:tc>
          <w:tcPr>
            <w:tcW w:w="7321" w:type="dxa"/>
            <w:gridSpan w:val="4"/>
            <w:tcBorders>
              <w:right w:val="single" w:sz="6" w:space="0" w:color="auto"/>
            </w:tcBorders>
            <w:shd w:val="pct15" w:color="auto" w:fill="auto"/>
          </w:tcPr>
          <w:p w:rsidR="003E022D" w:rsidRDefault="007D19D6">
            <w:pPr>
              <w:spacing w:after="0"/>
              <w:rPr>
                <w:noProof/>
                <w:sz w:val="20"/>
                <w:shd w:val="clear" w:color="auto" w:fill="C0C0C0"/>
              </w:rPr>
            </w:pPr>
            <w:r>
              <w:rPr>
                <w:noProof/>
                <w:sz w:val="20"/>
              </w:rPr>
              <w:t xml:space="preserve">ir uzsāktas izpildes procedūras </w:t>
            </w:r>
            <w:r>
              <w:rPr>
                <w:i/>
                <w:noProof/>
                <w:sz w:val="20"/>
              </w:rPr>
              <w:fldChar w:fldCharType="begin" w:fldLock="1">
                <w:ffData>
                  <w:name w:val=""/>
                  <w:enabled/>
                  <w:calcOnExit w:val="0"/>
                  <w:textInput>
                    <w:default w:val="20GG/MM/DD"/>
                  </w:textInput>
                </w:ffData>
              </w:fldChar>
            </w:r>
            <w:r>
              <w:rPr>
                <w:i/>
                <w:noProof/>
                <w:sz w:val="20"/>
              </w:rPr>
              <w:instrText xml:space="preserve"> FORMTEXT </w:instrText>
            </w:r>
            <w:r>
              <w:rPr>
                <w:i/>
                <w:noProof/>
                <w:sz w:val="20"/>
              </w:rPr>
            </w:r>
            <w:r>
              <w:rPr>
                <w:i/>
                <w:noProof/>
                <w:sz w:val="20"/>
              </w:rPr>
              <w:fldChar w:fldCharType="separate"/>
            </w:r>
            <w:r>
              <w:rPr>
                <w:i/>
                <w:noProof/>
                <w:sz w:val="20"/>
              </w:rPr>
              <w:t>20GG/MM/DD</w:t>
            </w:r>
            <w:r>
              <w:rPr>
                <w:i/>
                <w:noProof/>
                <w:sz w:val="20"/>
              </w:rPr>
              <w:fldChar w:fldCharType="end"/>
            </w:r>
            <w:r>
              <w:rPr>
                <w:noProof/>
                <w:sz w:val="20"/>
                <w:shd w:val="clear" w:color="auto" w:fill="C0C0C0"/>
              </w:rPr>
              <w:t>.</w:t>
            </w:r>
          </w:p>
          <w:p w:rsidR="003E022D" w:rsidRDefault="007D19D6">
            <w:pPr>
              <w:spacing w:after="0"/>
              <w:rPr>
                <w:noProof/>
                <w:sz w:val="20"/>
              </w:rPr>
            </w:pPr>
            <w:r>
              <w:rPr>
                <w:noProof/>
                <w:sz w:val="20"/>
              </w:rPr>
              <w:t xml:space="preserve">ir veiktas šādas darbības: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3E022D" w:rsidRDefault="003E022D">
            <w:pPr>
              <w:spacing w:after="0"/>
              <w:rPr>
                <w:noProof/>
                <w:sz w:val="20"/>
                <w:lang w:val="en-IE"/>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3E022D" w:rsidRDefault="003E022D">
            <w:pPr>
              <w:spacing w:after="0"/>
              <w:rPr>
                <w:i/>
                <w:noProof/>
                <w:sz w:val="20"/>
              </w:rPr>
            </w:pPr>
          </w:p>
        </w:tc>
        <w:tc>
          <w:tcPr>
            <w:tcW w:w="362" w:type="dxa"/>
            <w:shd w:val="pct15" w:color="auto" w:fill="auto"/>
          </w:tcPr>
          <w:p w:rsidR="003E022D" w:rsidRDefault="007D19D6">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3E022D" w:rsidRDefault="007D19D6">
            <w:pPr>
              <w:spacing w:after="0"/>
              <w:rPr>
                <w:b/>
                <w:noProof/>
                <w:sz w:val="20"/>
              </w:rPr>
            </w:pPr>
            <w:r>
              <w:rPr>
                <w:b/>
                <w:noProof/>
                <w:sz w:val="20"/>
              </w:rPr>
              <w:t>d.</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 xml:space="preserve">ir uzsākti piesardzības pasākumi </w:t>
            </w:r>
            <w:r>
              <w:rPr>
                <w:i/>
                <w:noProof/>
                <w:sz w:val="20"/>
              </w:rPr>
              <w:fldChar w:fldCharType="begin" w:fldLock="1">
                <w:ffData>
                  <w:name w:val="Text149"/>
                  <w:enabled/>
                  <w:calcOnExit w:val="0"/>
                  <w:textInput>
                    <w:default w:val="20GG/MM/DD"/>
                  </w:textInput>
                </w:ffData>
              </w:fldChar>
            </w:r>
            <w:r>
              <w:rPr>
                <w:i/>
                <w:noProof/>
                <w:sz w:val="20"/>
              </w:rPr>
              <w:instrText xml:space="preserve"> FORMTEXT </w:instrText>
            </w:r>
            <w:r>
              <w:rPr>
                <w:i/>
                <w:noProof/>
                <w:sz w:val="20"/>
              </w:rPr>
            </w:r>
            <w:r>
              <w:rPr>
                <w:i/>
                <w:noProof/>
                <w:sz w:val="20"/>
              </w:rPr>
              <w:fldChar w:fldCharType="separate"/>
            </w:r>
            <w:r>
              <w:rPr>
                <w:i/>
                <w:noProof/>
                <w:sz w:val="20"/>
              </w:rPr>
              <w:t>20GG/MM/DD</w:t>
            </w:r>
            <w:r>
              <w:rPr>
                <w:i/>
                <w:noProof/>
                <w:sz w:val="20"/>
              </w:rPr>
              <w:fldChar w:fldCharType="end"/>
            </w:r>
            <w:r>
              <w:rPr>
                <w:noProof/>
                <w:sz w:val="20"/>
                <w:shd w:val="clear" w:color="auto" w:fill="C0C0C0"/>
              </w:rPr>
              <w:t>.</w:t>
            </w:r>
          </w:p>
          <w:p w:rsidR="003E022D" w:rsidRDefault="007D19D6">
            <w:pPr>
              <w:spacing w:after="0"/>
              <w:rPr>
                <w:noProof/>
                <w:sz w:val="20"/>
              </w:rPr>
            </w:pPr>
            <w:r>
              <w:rPr>
                <w:noProof/>
                <w:sz w:val="20"/>
              </w:rPr>
              <w:t xml:space="preserve">ir veiktas šādas darbības: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3E022D" w:rsidRDefault="003E022D">
            <w:pPr>
              <w:spacing w:after="0"/>
              <w:rPr>
                <w:noProof/>
                <w:sz w:val="20"/>
                <w:lang w:val="en-IE"/>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3E022D" w:rsidRDefault="003E022D">
            <w:pPr>
              <w:spacing w:after="0"/>
              <w:rPr>
                <w:i/>
                <w:noProof/>
                <w:sz w:val="20"/>
              </w:rPr>
            </w:pPr>
          </w:p>
        </w:tc>
        <w:tc>
          <w:tcPr>
            <w:tcW w:w="362" w:type="dxa"/>
            <w:shd w:val="pct15" w:color="auto" w:fill="auto"/>
          </w:tcPr>
          <w:p w:rsidR="003E022D" w:rsidRDefault="007D19D6">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3E022D" w:rsidRDefault="007D19D6">
            <w:pPr>
              <w:spacing w:after="0"/>
              <w:rPr>
                <w:b/>
                <w:noProof/>
                <w:sz w:val="20"/>
              </w:rPr>
            </w:pPr>
            <w:r>
              <w:rPr>
                <w:b/>
                <w:noProof/>
                <w:sz w:val="20"/>
              </w:rPr>
              <w:t>e.</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 xml:space="preserve">Pieprasījuma saņēmēja iestāde informē pieteikuma iesniedzēju iestādi, ka pieprasījuma saņēmējas iestādes veiktajiem pasākumiem (aprakstīti iepriekš c un/vai d punktā) ir šāda ietekme uz </w:t>
            </w:r>
            <w:r>
              <w:rPr>
                <w:noProof/>
                <w:sz w:val="20"/>
              </w:rPr>
              <w:t>noilguma termiņu:</w:t>
            </w:r>
          </w:p>
          <w:p w:rsidR="003E022D" w:rsidRDefault="007D19D6">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apturēšana</w:t>
            </w:r>
          </w:p>
          <w:p w:rsidR="003E022D" w:rsidRDefault="007D19D6">
            <w:pPr>
              <w:spacing w:after="0"/>
              <w:rPr>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pārtraukšana</w:t>
            </w:r>
          </w:p>
          <w:p w:rsidR="003E022D" w:rsidRDefault="007D19D6">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pagarināšana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līdz </w:t>
            </w:r>
            <w:r>
              <w:rPr>
                <w:i/>
                <w:noProof/>
                <w:sz w:val="20"/>
              </w:rPr>
              <w:fldChar w:fldCharType="begin" w:fldLock="1">
                <w:ffData>
                  <w:name w:val="Text149"/>
                  <w:enabled/>
                  <w:calcOnExit w:val="0"/>
                  <w:textInput>
                    <w:default w:val="20GG/MM/DD"/>
                  </w:textInput>
                </w:ffData>
              </w:fldChar>
            </w:r>
            <w:r>
              <w:rPr>
                <w:i/>
                <w:noProof/>
                <w:sz w:val="20"/>
              </w:rPr>
              <w:instrText xml:space="preserve"> FORMTEXT </w:instrText>
            </w:r>
            <w:r>
              <w:rPr>
                <w:i/>
                <w:noProof/>
                <w:sz w:val="20"/>
              </w:rPr>
            </w:r>
            <w:r>
              <w:rPr>
                <w:i/>
                <w:noProof/>
                <w:sz w:val="20"/>
              </w:rPr>
              <w:fldChar w:fldCharType="separate"/>
            </w:r>
            <w:r>
              <w:rPr>
                <w:i/>
                <w:noProof/>
                <w:sz w:val="20"/>
              </w:rPr>
              <w:t>20GG/MM/DD</w:t>
            </w:r>
            <w:r>
              <w:rPr>
                <w:i/>
                <w:noProof/>
                <w:sz w:val="20"/>
              </w:rPr>
              <w:fldChar w:fldCharType="end"/>
            </w:r>
            <w:r>
              <w:rPr>
                <w:noProof/>
              </w:rPr>
              <w:t xml:space="preserve"> −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par </w:t>
            </w:r>
            <w:r>
              <w:rPr>
                <w:b/>
                <w:noProof/>
                <w:sz w:val="20"/>
              </w:rPr>
              <w:t>xx gadiem/mēnešiem/nedēļām/dienām</w:t>
            </w:r>
          </w:p>
          <w:p w:rsidR="003E022D" w:rsidRDefault="007D19D6">
            <w:pPr>
              <w:spacing w:after="0"/>
              <w:rPr>
                <w:noProof/>
                <w:sz w:val="20"/>
              </w:rPr>
            </w:pPr>
            <w:r>
              <w:rPr>
                <w:noProof/>
                <w:sz w:val="20"/>
              </w:rPr>
              <w:t>Lūdzam pieteikuma iesniedzēju valsti informēt mūs, ja tāda pati ietekme nav paredzēta pieteikuma iesniedzējā valstī spēkā esošajos tiesību aktos.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7"/>
        </w:trPr>
        <w:tc>
          <w:tcPr>
            <w:tcW w:w="1557" w:type="dxa"/>
            <w:vMerge/>
            <w:tcBorders>
              <w:left w:val="single" w:sz="6" w:space="0" w:color="auto"/>
              <w:bottom w:val="single" w:sz="6" w:space="0" w:color="auto"/>
            </w:tcBorders>
          </w:tcPr>
          <w:p w:rsidR="003E022D" w:rsidRDefault="003E022D">
            <w:pPr>
              <w:spacing w:after="0"/>
              <w:rPr>
                <w:i/>
                <w:noProof/>
                <w:sz w:val="20"/>
              </w:rPr>
            </w:pPr>
          </w:p>
        </w:tc>
        <w:tc>
          <w:tcPr>
            <w:tcW w:w="362" w:type="dxa"/>
            <w:tcBorders>
              <w:bottom w:val="single" w:sz="6" w:space="0" w:color="auto"/>
            </w:tcBorders>
            <w:shd w:val="pct15" w:color="auto" w:fill="auto"/>
          </w:tcPr>
          <w:p w:rsidR="003E022D" w:rsidRDefault="007D19D6">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3E022D" w:rsidRDefault="007D19D6">
            <w:pPr>
              <w:spacing w:after="0"/>
              <w:rPr>
                <w:b/>
                <w:noProof/>
                <w:sz w:val="20"/>
              </w:rPr>
            </w:pPr>
            <w:r>
              <w:rPr>
                <w:b/>
                <w:noProof/>
                <w:sz w:val="20"/>
              </w:rPr>
              <w:t>f.</w:t>
            </w:r>
          </w:p>
        </w:tc>
        <w:tc>
          <w:tcPr>
            <w:tcW w:w="7321" w:type="dxa"/>
            <w:gridSpan w:val="4"/>
            <w:tcBorders>
              <w:bottom w:val="single" w:sz="6" w:space="0" w:color="auto"/>
              <w:right w:val="single" w:sz="6" w:space="0" w:color="auto"/>
            </w:tcBorders>
            <w:shd w:val="pct15" w:color="auto" w:fill="auto"/>
          </w:tcPr>
          <w:p w:rsidR="003E022D" w:rsidRDefault="007D19D6">
            <w:pPr>
              <w:spacing w:after="0"/>
              <w:rPr>
                <w:noProof/>
                <w:sz w:val="20"/>
              </w:rPr>
            </w:pPr>
            <w:r>
              <w:rPr>
                <w:noProof/>
                <w:sz w:val="20"/>
              </w:rPr>
              <w:t>Pieprasījuma saņēmēja iestāde informē pieteikuma iesniedzēju iestādi, ka saskaņā ar pieprasījuma saņēmējas valsts tiesību aktiem noilguma termiņa apturēšana, pārtraukšana vai pagarināšana nav</w:t>
            </w:r>
            <w:r>
              <w:rPr>
                <w:noProof/>
                <w:sz w:val="20"/>
              </w:rPr>
              <w:t xml:space="preserve"> iespējama. </w:t>
            </w:r>
          </w:p>
          <w:p w:rsidR="003E022D" w:rsidRDefault="007D19D6">
            <w:pPr>
              <w:spacing w:after="0"/>
              <w:rPr>
                <w:noProof/>
                <w:sz w:val="20"/>
              </w:rPr>
            </w:pPr>
            <w:r>
              <w:rPr>
                <w:noProof/>
                <w:sz w:val="20"/>
              </w:rPr>
              <w:t>Lūdzam pieteikuma iesniedzēju valsti apstiprināt, vai mūsu veikto pasākumu dēļ (aprakstīti iepriekš c un/vai d punktā) ir pārtraukts, apturēts vai pagarināts piedziņas termiņš un, ja ir, kāds ir jaunais termiņš.</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top w:val="single" w:sz="6" w:space="0" w:color="auto"/>
              <w:left w:val="single" w:sz="6" w:space="0" w:color="auto"/>
              <w:bottom w:val="single" w:sz="4"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6" w:space="0" w:color="auto"/>
              <w:bottom w:val="single" w:sz="4" w:space="0" w:color="auto"/>
            </w:tcBorders>
            <w:shd w:val="pct15" w:color="auto" w:fill="auto"/>
          </w:tcPr>
          <w:p w:rsidR="003E022D" w:rsidRDefault="007D19D6">
            <w:pPr>
              <w:spacing w:after="0"/>
              <w:rPr>
                <w:b/>
                <w:noProof/>
                <w:sz w:val="20"/>
              </w:rPr>
            </w:pPr>
            <w:r>
              <w:rPr>
                <w:b/>
                <w:noProof/>
                <w:sz w:val="20"/>
              </w:rPr>
              <w:t>10.</w:t>
            </w:r>
          </w:p>
          <w:p w:rsidR="003E022D" w:rsidRDefault="007D19D6">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15" w:color="auto" w:fill="auto"/>
          </w:tcPr>
          <w:p w:rsidR="003E022D" w:rsidRDefault="007D19D6">
            <w:pPr>
              <w:spacing w:before="160" w:after="0"/>
              <w:rPr>
                <w:noProof/>
                <w:sz w:val="20"/>
              </w:rPr>
            </w:pPr>
            <w:r>
              <w:rPr>
                <w:noProof/>
                <w:sz w:val="20"/>
              </w:rPr>
              <w:t>Procedūra joprojām turpinās. Kad būs izmaiņas, pieprasījuma saņēmēja iestāde informēs pieteikuma iesniedzē</w:t>
            </w:r>
            <w:r>
              <w:rPr>
                <w:noProof/>
                <w:sz w:val="20"/>
              </w:rPr>
              <w:t>ju iestādi.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val="restart"/>
            <w:tcBorders>
              <w:top w:val="single" w:sz="4" w:space="0" w:color="auto"/>
              <w:left w:val="single" w:sz="6" w:space="0" w:color="auto"/>
              <w:bottom w:val="single" w:sz="6" w:space="0" w:color="auto"/>
            </w:tcBorders>
          </w:tcPr>
          <w:p w:rsidR="003E022D" w:rsidRDefault="007D19D6">
            <w:pPr>
              <w:spacing w:before="40" w:after="0"/>
              <w:rPr>
                <w:i/>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4" w:space="0" w:color="auto"/>
            </w:tcBorders>
            <w:shd w:val="pct5" w:color="auto" w:fill="auto"/>
          </w:tcPr>
          <w:p w:rsidR="003E022D" w:rsidRDefault="007D19D6">
            <w:pPr>
              <w:spacing w:after="0"/>
              <w:rPr>
                <w:b/>
                <w:noProof/>
                <w:sz w:val="20"/>
              </w:rPr>
            </w:pPr>
            <w:r>
              <w:rPr>
                <w:b/>
                <w:noProof/>
                <w:sz w:val="20"/>
              </w:rPr>
              <w:t>11.</w:t>
            </w:r>
          </w:p>
          <w:p w:rsidR="003E022D" w:rsidRDefault="007D19D6">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top w:val="single" w:sz="4" w:space="0" w:color="auto"/>
              <w:right w:val="single" w:sz="6" w:space="0" w:color="auto"/>
            </w:tcBorders>
            <w:shd w:val="pct5" w:color="auto" w:fill="auto"/>
          </w:tcPr>
          <w:p w:rsidR="003E022D" w:rsidRDefault="003E022D">
            <w:pPr>
              <w:spacing w:after="0"/>
              <w:rPr>
                <w:noProof/>
                <w:sz w:val="20"/>
                <w:lang w:val="en-IE"/>
              </w:rPr>
            </w:pPr>
          </w:p>
          <w:p w:rsidR="003E022D" w:rsidRDefault="007D19D6">
            <w:pPr>
              <w:spacing w:after="0"/>
              <w:rPr>
                <w:noProof/>
                <w:sz w:val="20"/>
              </w:rPr>
            </w:pPr>
            <w:r>
              <w:rPr>
                <w:noProof/>
                <w:sz w:val="20"/>
              </w:rPr>
              <w:t>a.</w:t>
            </w:r>
          </w:p>
        </w:tc>
        <w:tc>
          <w:tcPr>
            <w:tcW w:w="7321" w:type="dxa"/>
            <w:gridSpan w:val="4"/>
            <w:tcBorders>
              <w:top w:val="single" w:sz="4" w:space="0" w:color="auto"/>
              <w:bottom w:val="single" w:sz="6" w:space="0" w:color="auto"/>
              <w:right w:val="single" w:sz="6" w:space="0" w:color="auto"/>
            </w:tcBorders>
            <w:shd w:val="pct5" w:color="auto" w:fill="auto"/>
          </w:tcPr>
          <w:p w:rsidR="003E022D" w:rsidRDefault="007D19D6">
            <w:pPr>
              <w:spacing w:after="0"/>
              <w:rPr>
                <w:noProof/>
                <w:sz w:val="20"/>
              </w:rPr>
            </w:pPr>
            <w:r>
              <w:rPr>
                <w:noProof/>
                <w:sz w:val="20"/>
              </w:rPr>
              <w:t>Pieteikuma iesniedzēja iestāde apstiprina, ka:</w:t>
            </w:r>
          </w:p>
          <w:p w:rsidR="003E022D" w:rsidRDefault="007D19D6">
            <w:pPr>
              <w:spacing w:after="0"/>
              <w:rPr>
                <w:noProof/>
                <w:sz w:val="20"/>
              </w:rPr>
            </w:pPr>
            <w:r>
              <w:rPr>
                <w:noProof/>
                <w:sz w:val="20"/>
              </w:rPr>
              <w:t>9. punktā minētās darbības rezultātā termiņš ir mainīts. Jaunais termiņš ir: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tcBorders>
              <w:left w:val="single" w:sz="6" w:space="0" w:color="auto"/>
              <w:bottom w:val="single" w:sz="6" w:space="0" w:color="auto"/>
            </w:tcBorders>
          </w:tcPr>
          <w:p w:rsidR="003E022D" w:rsidRDefault="003E022D">
            <w:pPr>
              <w:spacing w:after="0"/>
              <w:rPr>
                <w:i/>
                <w:noProof/>
                <w:sz w:val="20"/>
              </w:rPr>
            </w:pPr>
          </w:p>
        </w:tc>
        <w:tc>
          <w:tcPr>
            <w:tcW w:w="362" w:type="dxa"/>
            <w:tcBorders>
              <w:bottom w:val="single" w:sz="6" w:space="0" w:color="auto"/>
            </w:tcBorders>
            <w:shd w:val="pct5" w:color="auto" w:fill="auto"/>
          </w:tcPr>
          <w:p w:rsidR="003E022D" w:rsidRDefault="007D19D6">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right w:val="single" w:sz="6" w:space="0" w:color="auto"/>
            </w:tcBorders>
            <w:shd w:val="pct5" w:color="auto" w:fill="auto"/>
          </w:tcPr>
          <w:p w:rsidR="003E022D" w:rsidRDefault="007D19D6">
            <w:pPr>
              <w:spacing w:after="0"/>
              <w:rPr>
                <w:noProof/>
                <w:sz w:val="20"/>
              </w:rPr>
            </w:pPr>
            <w:r>
              <w:rPr>
                <w:noProof/>
                <w:sz w:val="20"/>
              </w:rPr>
              <w:t>b.</w:t>
            </w:r>
          </w:p>
        </w:tc>
        <w:tc>
          <w:tcPr>
            <w:tcW w:w="7321" w:type="dxa"/>
            <w:gridSpan w:val="4"/>
            <w:tcBorders>
              <w:top w:val="single" w:sz="6" w:space="0" w:color="auto"/>
              <w:bottom w:val="single" w:sz="6" w:space="0" w:color="auto"/>
              <w:right w:val="single" w:sz="6" w:space="0" w:color="auto"/>
            </w:tcBorders>
            <w:shd w:val="pct5" w:color="auto" w:fill="auto"/>
          </w:tcPr>
          <w:p w:rsidR="003E022D" w:rsidRDefault="007D19D6">
            <w:pPr>
              <w:spacing w:after="0"/>
              <w:rPr>
                <w:noProof/>
                <w:sz w:val="20"/>
              </w:rPr>
            </w:pPr>
            <w:r>
              <w:rPr>
                <w:noProof/>
                <w:sz w:val="20"/>
              </w:rPr>
              <w:t>Mūsu valsts tiesību akti neparedz noilguma termiņa apturēšanu, pārtraukšanu vai pagarināšanu.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3E022D" w:rsidRDefault="003E022D">
            <w:pPr>
              <w:spacing w:after="0"/>
              <w:rPr>
                <w:b/>
                <w:noProof/>
                <w:sz w:val="20"/>
              </w:rPr>
            </w:pPr>
          </w:p>
        </w:tc>
        <w:tc>
          <w:tcPr>
            <w:tcW w:w="362" w:type="dxa"/>
            <w:tcBorders>
              <w:top w:val="single" w:sz="6" w:space="0" w:color="auto"/>
            </w:tcBorders>
            <w:shd w:val="pct15" w:color="auto" w:fill="auto"/>
          </w:tcPr>
          <w:p w:rsidR="003E022D" w:rsidRDefault="007D19D6">
            <w:pPr>
              <w:keepNext/>
              <w:keepLines/>
              <w:spacing w:after="0"/>
              <w:rPr>
                <w:b/>
                <w:noProof/>
                <w:sz w:val="20"/>
              </w:rPr>
            </w:pPr>
            <w:r>
              <w:rPr>
                <w:b/>
                <w:noProof/>
                <w:sz w:val="20"/>
              </w:rPr>
              <w:t>12.</w:t>
            </w:r>
          </w:p>
        </w:tc>
        <w:tc>
          <w:tcPr>
            <w:tcW w:w="7562" w:type="dxa"/>
            <w:gridSpan w:val="5"/>
            <w:tcBorders>
              <w:top w:val="single" w:sz="6" w:space="0" w:color="auto"/>
              <w:right w:val="single" w:sz="6" w:space="0" w:color="auto"/>
            </w:tcBorders>
            <w:shd w:val="pct15" w:color="auto" w:fill="auto"/>
          </w:tcPr>
          <w:p w:rsidR="003E022D" w:rsidRDefault="007D19D6">
            <w:pPr>
              <w:keepNext/>
              <w:keepLines/>
              <w:spacing w:after="0"/>
              <w:rPr>
                <w:noProof/>
                <w:sz w:val="20"/>
              </w:rPr>
            </w:pPr>
            <w:r>
              <w:rPr>
                <w:noProof/>
                <w:sz w:val="20"/>
              </w:rPr>
              <w:t>Pieprasījuma saņēmēja iestāde informē pieteikuma iesniedzēju iestādi, ka: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bookmarkStart w:id="1432" w:name="Check193"/>
        <w:tc>
          <w:tcPr>
            <w:tcW w:w="362" w:type="dxa"/>
            <w:shd w:val="pct15" w:color="auto" w:fill="auto"/>
          </w:tcPr>
          <w:p w:rsidR="003E022D" w:rsidRDefault="007D19D6">
            <w:pPr>
              <w:keepNext/>
              <w:keepLines/>
              <w:spacing w:after="0"/>
              <w:rPr>
                <w:b/>
                <w:noProof/>
                <w:sz w:val="20"/>
              </w:rPr>
            </w:pPr>
            <w:r>
              <w:rPr>
                <w:b/>
                <w:noProof/>
                <w:sz w:val="20"/>
              </w:rPr>
              <w:fldChar w:fldCharType="begin">
                <w:ffData>
                  <w:name w:val="Check19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2"/>
          </w:p>
        </w:tc>
        <w:tc>
          <w:tcPr>
            <w:tcW w:w="241" w:type="dxa"/>
            <w:shd w:val="pct15" w:color="auto" w:fill="auto"/>
          </w:tcPr>
          <w:p w:rsidR="003E022D" w:rsidRDefault="007D19D6">
            <w:pPr>
              <w:keepNext/>
              <w:keepLines/>
              <w:spacing w:after="0"/>
              <w:rPr>
                <w:b/>
                <w:noProof/>
                <w:sz w:val="20"/>
              </w:rPr>
            </w:pPr>
            <w:r>
              <w:rPr>
                <w:b/>
                <w:noProof/>
                <w:sz w:val="20"/>
              </w:rPr>
              <w:t>a.</w:t>
            </w:r>
          </w:p>
        </w:tc>
        <w:tc>
          <w:tcPr>
            <w:tcW w:w="7321" w:type="dxa"/>
            <w:gridSpan w:val="4"/>
            <w:tcBorders>
              <w:right w:val="single" w:sz="6" w:space="0" w:color="auto"/>
            </w:tcBorders>
            <w:shd w:val="pct15" w:color="auto" w:fill="auto"/>
          </w:tcPr>
          <w:p w:rsidR="003E022D" w:rsidRDefault="007D19D6">
            <w:pPr>
              <w:keepNext/>
              <w:keepLines/>
              <w:spacing w:after="0"/>
              <w:rPr>
                <w:noProof/>
                <w:sz w:val="20"/>
                <w:shd w:val="clear" w:color="auto" w:fill="C0C0C0"/>
              </w:rPr>
            </w:pPr>
            <w:r>
              <w:rPr>
                <w:noProof/>
                <w:sz w:val="20"/>
              </w:rPr>
              <w:t>prasījums ir pilnībā piedzīts</w:t>
            </w:r>
            <w:r>
              <w:rPr>
                <w:i/>
                <w:noProof/>
                <w:sz w:val="20"/>
              </w:rPr>
              <w:fldChar w:fldCharType="begin" w:fldLock="1">
                <w:ffData>
                  <w:name w:val=""/>
                  <w:enabled/>
                  <w:calcOnExit w:val="0"/>
                  <w:textInput>
                    <w:default w:val="20GG/MM/DD"/>
                  </w:textInput>
                </w:ffData>
              </w:fldChar>
            </w:r>
            <w:r>
              <w:rPr>
                <w:i/>
                <w:noProof/>
                <w:sz w:val="20"/>
              </w:rPr>
              <w:instrText xml:space="preserve"> FORMTEXT </w:instrText>
            </w:r>
            <w:r>
              <w:rPr>
                <w:i/>
                <w:noProof/>
                <w:sz w:val="20"/>
              </w:rPr>
            </w:r>
            <w:r>
              <w:rPr>
                <w:i/>
                <w:noProof/>
                <w:sz w:val="20"/>
              </w:rPr>
              <w:fldChar w:fldCharType="separate"/>
            </w:r>
            <w:r>
              <w:rPr>
                <w:i/>
                <w:noProof/>
                <w:sz w:val="20"/>
              </w:rPr>
              <w:t>20GG/MM/DD</w:t>
            </w:r>
            <w:r>
              <w:rPr>
                <w:i/>
                <w:noProof/>
                <w:sz w:val="20"/>
              </w:rPr>
              <w:fldChar w:fldCharType="end"/>
            </w:r>
          </w:p>
          <w:p w:rsidR="003E022D" w:rsidRDefault="007D19D6">
            <w:pPr>
              <w:keepNext/>
              <w:keepLines/>
              <w:spacing w:after="0"/>
              <w:ind w:left="163" w:hanging="163"/>
              <w:rPr>
                <w:noProof/>
                <w:sz w:val="20"/>
              </w:rPr>
            </w:pPr>
            <w:r>
              <w:rPr>
                <w:noProof/>
                <w:sz w:val="20"/>
              </w:rPr>
              <w:t xml:space="preserve">- no tā šāda summa </w:t>
            </w:r>
            <w:r>
              <w:rPr>
                <w:i/>
                <w:noProof/>
                <w:sz w:val="20"/>
              </w:rPr>
              <w:t>(norādīt pieprasījuma saņēmējas iestādes valsts valūtā</w:t>
            </w:r>
            <w:r>
              <w:rPr>
                <w:i/>
                <w:noProof/>
                <w:sz w:val="20"/>
              </w:rPr>
              <w:t>)</w:t>
            </w:r>
            <w:r>
              <w:rPr>
                <w:noProof/>
                <w:sz w:val="20"/>
              </w:rPr>
              <w:t xml:space="preserve"> attiecas uz prasījumu, kas minēts pieprasījumā:</w:t>
            </w:r>
          </w:p>
          <w:p w:rsidR="003E022D" w:rsidRDefault="007D19D6">
            <w:pPr>
              <w:keepNext/>
              <w:keepLines/>
              <w:spacing w:after="0"/>
              <w:ind w:left="163" w:hanging="163"/>
              <w:rPr>
                <w:noProof/>
                <w:sz w:val="20"/>
              </w:rPr>
            </w:pPr>
            <w:r>
              <w:rPr>
                <w:noProof/>
                <w:sz w:val="20"/>
              </w:rPr>
              <w:t>- no tā šāda summa ir procenti, kas iekasējami saskaņā ar pieprasījuma saņēmējas iestādes valsts tiesību aktiem:</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left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bookmarkStart w:id="1433" w:name="Check194"/>
        <w:tc>
          <w:tcPr>
            <w:tcW w:w="362" w:type="dxa"/>
            <w:vMerge w:val="restart"/>
            <w:shd w:val="pct15" w:color="auto" w:fill="auto"/>
          </w:tcPr>
          <w:p w:rsidR="003E022D" w:rsidRDefault="007D19D6">
            <w:pPr>
              <w:keepNext/>
              <w:keepLines/>
              <w:spacing w:after="0"/>
              <w:rPr>
                <w:b/>
                <w:noProof/>
                <w:sz w:val="20"/>
              </w:rPr>
            </w:pPr>
            <w:r>
              <w:rPr>
                <w:b/>
                <w:noProof/>
                <w:sz w:val="20"/>
              </w:rPr>
              <w:fldChar w:fldCharType="begin">
                <w:ffData>
                  <w:name w:val="Check19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3"/>
          </w:p>
        </w:tc>
        <w:tc>
          <w:tcPr>
            <w:tcW w:w="241" w:type="dxa"/>
            <w:vMerge w:val="restart"/>
            <w:shd w:val="pct15" w:color="auto" w:fill="auto"/>
          </w:tcPr>
          <w:p w:rsidR="003E022D" w:rsidRDefault="007D19D6">
            <w:pPr>
              <w:keepNext/>
              <w:keepLines/>
              <w:spacing w:after="0"/>
              <w:rPr>
                <w:b/>
                <w:noProof/>
                <w:sz w:val="20"/>
              </w:rPr>
            </w:pPr>
            <w:r>
              <w:rPr>
                <w:b/>
                <w:noProof/>
                <w:sz w:val="20"/>
              </w:rPr>
              <w:t>b.</w:t>
            </w:r>
          </w:p>
        </w:tc>
        <w:tc>
          <w:tcPr>
            <w:tcW w:w="7321" w:type="dxa"/>
            <w:gridSpan w:val="4"/>
            <w:tcBorders>
              <w:right w:val="single" w:sz="6" w:space="0" w:color="auto"/>
            </w:tcBorders>
            <w:shd w:val="pct15" w:color="auto" w:fill="auto"/>
          </w:tcPr>
          <w:p w:rsidR="003E022D" w:rsidRDefault="007D19D6">
            <w:pPr>
              <w:keepNext/>
              <w:keepLines/>
              <w:spacing w:after="0"/>
              <w:rPr>
                <w:noProof/>
                <w:sz w:val="20"/>
              </w:rPr>
            </w:pPr>
            <w:r>
              <w:rPr>
                <w:noProof/>
                <w:sz w:val="20"/>
              </w:rPr>
              <w:t xml:space="preserve">prasījums ir daļēji piedzīts </w:t>
            </w:r>
            <w:r>
              <w:rPr>
                <w:i/>
                <w:noProof/>
                <w:sz w:val="20"/>
              </w:rPr>
              <w:fldChar w:fldCharType="begin" w:fldLock="1">
                <w:ffData>
                  <w:name w:val="Text149"/>
                  <w:enabled/>
                  <w:calcOnExit w:val="0"/>
                  <w:textInput>
                    <w:default w:val="20GG/MM/DD"/>
                  </w:textInput>
                </w:ffData>
              </w:fldChar>
            </w:r>
            <w:r>
              <w:rPr>
                <w:i/>
                <w:noProof/>
                <w:sz w:val="20"/>
              </w:rPr>
              <w:instrText xml:space="preserve"> FORMTEXT </w:instrText>
            </w:r>
            <w:r>
              <w:rPr>
                <w:i/>
                <w:noProof/>
                <w:sz w:val="20"/>
              </w:rPr>
            </w:r>
            <w:r>
              <w:rPr>
                <w:i/>
                <w:noProof/>
                <w:sz w:val="20"/>
              </w:rPr>
              <w:fldChar w:fldCharType="separate"/>
            </w:r>
            <w:r>
              <w:rPr>
                <w:i/>
                <w:noProof/>
                <w:sz w:val="20"/>
              </w:rPr>
              <w:t>20GG/MM/DD</w:t>
            </w:r>
            <w:r>
              <w:rPr>
                <w:i/>
                <w:noProof/>
                <w:sz w:val="20"/>
              </w:rPr>
              <w:fldChar w:fldCharType="end"/>
            </w:r>
            <w:r>
              <w:rPr>
                <w:noProof/>
                <w:sz w:val="20"/>
                <w:shd w:val="clear" w:color="auto" w:fill="C0C0C0"/>
              </w:rPr>
              <w:t>,</w:t>
            </w:r>
          </w:p>
          <w:p w:rsidR="003E022D" w:rsidRDefault="007D19D6">
            <w:pPr>
              <w:keepNext/>
              <w:keepLines/>
              <w:spacing w:after="0"/>
              <w:ind w:left="163" w:hanging="163"/>
              <w:rPr>
                <w:noProof/>
                <w:sz w:val="20"/>
              </w:rPr>
            </w:pPr>
            <w:r>
              <w:rPr>
                <w:noProof/>
                <w:sz w:val="20"/>
              </w:rPr>
              <w:t xml:space="preserve">- par šādu summu </w:t>
            </w:r>
            <w:r>
              <w:rPr>
                <w:i/>
                <w:noProof/>
                <w:sz w:val="20"/>
              </w:rPr>
              <w:t>(norādīt pieprasījuma saņēmējas iestādes valsts valūtā)</w:t>
            </w:r>
            <w:r>
              <w:rPr>
                <w:noProof/>
                <w:sz w:val="20"/>
              </w:rPr>
              <w:t>:</w:t>
            </w:r>
          </w:p>
          <w:p w:rsidR="003E022D" w:rsidRDefault="007D19D6">
            <w:pPr>
              <w:keepNext/>
              <w:keepLines/>
              <w:spacing w:after="0"/>
              <w:ind w:left="163" w:hanging="163"/>
              <w:rPr>
                <w:noProof/>
                <w:sz w:val="20"/>
              </w:rPr>
            </w:pPr>
            <w:r>
              <w:rPr>
                <w:noProof/>
                <w:sz w:val="20"/>
              </w:rPr>
              <w:t>- no tā šāda summa attiecas uz prasījumu, kas minēts pieprasījumā:</w:t>
            </w:r>
          </w:p>
          <w:p w:rsidR="003E022D" w:rsidRDefault="003E022D">
            <w:pPr>
              <w:keepNext/>
              <w:keepLines/>
              <w:spacing w:after="0"/>
              <w:ind w:left="163" w:hanging="163"/>
              <w:rPr>
                <w:noProof/>
                <w:sz w:val="20"/>
              </w:rPr>
            </w:pPr>
          </w:p>
          <w:p w:rsidR="003E022D" w:rsidRDefault="007D19D6">
            <w:pPr>
              <w:keepNext/>
              <w:keepLines/>
              <w:spacing w:after="0"/>
              <w:ind w:left="163" w:hanging="163"/>
              <w:rPr>
                <w:noProof/>
                <w:sz w:val="20"/>
              </w:rPr>
            </w:pPr>
            <w:r>
              <w:rPr>
                <w:noProof/>
                <w:sz w:val="20"/>
              </w:rPr>
              <w:t xml:space="preserve">- no tā šāda summa ir procenti, kas iekasējami saskaņā ar pieprasījuma saņēmējas iestādes </w:t>
            </w:r>
            <w:r>
              <w:rPr>
                <w:noProof/>
                <w:sz w:val="20"/>
              </w:rPr>
              <w:t>valsts tiesību aktiem:</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3E022D" w:rsidRDefault="003E022D">
            <w:pPr>
              <w:spacing w:after="0"/>
              <w:rPr>
                <w:b/>
                <w:noProof/>
                <w:sz w:val="20"/>
              </w:rPr>
            </w:pPr>
          </w:p>
        </w:tc>
        <w:tc>
          <w:tcPr>
            <w:tcW w:w="362" w:type="dxa"/>
            <w:vMerge/>
            <w:shd w:val="pct15" w:color="auto" w:fill="auto"/>
          </w:tcPr>
          <w:p w:rsidR="003E022D" w:rsidRDefault="003E022D">
            <w:pPr>
              <w:keepNext/>
              <w:keepLines/>
              <w:spacing w:after="0"/>
              <w:rPr>
                <w:b/>
                <w:noProof/>
                <w:sz w:val="20"/>
              </w:rPr>
            </w:pPr>
          </w:p>
        </w:tc>
        <w:tc>
          <w:tcPr>
            <w:tcW w:w="241" w:type="dxa"/>
            <w:vMerge/>
            <w:shd w:val="pct15" w:color="auto" w:fill="auto"/>
          </w:tcPr>
          <w:p w:rsidR="003E022D" w:rsidRDefault="003E022D">
            <w:pPr>
              <w:keepNext/>
              <w:keepLines/>
              <w:spacing w:after="0"/>
              <w:rPr>
                <w:b/>
                <w:noProof/>
                <w:sz w:val="20"/>
              </w:rPr>
            </w:pPr>
          </w:p>
        </w:tc>
        <w:bookmarkStart w:id="1434" w:name="Check217"/>
        <w:tc>
          <w:tcPr>
            <w:tcW w:w="7321" w:type="dxa"/>
            <w:gridSpan w:val="4"/>
            <w:tcBorders>
              <w:right w:val="single" w:sz="6" w:space="0" w:color="auto"/>
            </w:tcBorders>
            <w:shd w:val="pct15" w:color="auto" w:fill="auto"/>
          </w:tcPr>
          <w:p w:rsidR="003E022D" w:rsidRDefault="007D19D6">
            <w:pPr>
              <w:keepNext/>
              <w:keepLines/>
              <w:spacing w:after="0"/>
              <w:rPr>
                <w:noProof/>
                <w:sz w:val="20"/>
              </w:rPr>
            </w:pPr>
            <w:r>
              <w:rPr>
                <w:b/>
                <w:noProof/>
                <w:sz w:val="20"/>
              </w:rPr>
              <w:fldChar w:fldCharType="begin">
                <w:ffData>
                  <w:name w:val="Check2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4"/>
            <w:r>
              <w:rPr>
                <w:b/>
                <w:noProof/>
                <w:sz w:val="20"/>
              </w:rPr>
              <w:t xml:space="preserve"> </w:t>
            </w:r>
            <w:r>
              <w:rPr>
                <w:noProof/>
                <w:sz w:val="20"/>
              </w:rPr>
              <w:t>neveiksim turpmākas darbības.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3E022D" w:rsidRDefault="003E022D">
            <w:pPr>
              <w:spacing w:after="0"/>
              <w:rPr>
                <w:b/>
                <w:noProof/>
                <w:sz w:val="20"/>
              </w:rPr>
            </w:pPr>
          </w:p>
        </w:tc>
        <w:tc>
          <w:tcPr>
            <w:tcW w:w="362" w:type="dxa"/>
            <w:vMerge/>
            <w:shd w:val="pct15" w:color="auto" w:fill="auto"/>
          </w:tcPr>
          <w:p w:rsidR="003E022D" w:rsidRDefault="003E022D">
            <w:pPr>
              <w:keepNext/>
              <w:keepLines/>
              <w:spacing w:after="0"/>
              <w:rPr>
                <w:b/>
                <w:noProof/>
                <w:sz w:val="20"/>
              </w:rPr>
            </w:pPr>
          </w:p>
        </w:tc>
        <w:tc>
          <w:tcPr>
            <w:tcW w:w="241" w:type="dxa"/>
            <w:vMerge/>
            <w:shd w:val="pct15" w:color="auto" w:fill="auto"/>
          </w:tcPr>
          <w:p w:rsidR="003E022D" w:rsidRDefault="003E022D">
            <w:pPr>
              <w:keepNext/>
              <w:keepLines/>
              <w:spacing w:after="0"/>
              <w:rPr>
                <w:b/>
                <w:noProof/>
                <w:sz w:val="20"/>
              </w:rPr>
            </w:pPr>
          </w:p>
        </w:tc>
        <w:bookmarkStart w:id="1435" w:name="Check218"/>
        <w:tc>
          <w:tcPr>
            <w:tcW w:w="7321" w:type="dxa"/>
            <w:gridSpan w:val="4"/>
            <w:tcBorders>
              <w:right w:val="single" w:sz="6" w:space="0" w:color="auto"/>
            </w:tcBorders>
            <w:shd w:val="pct15" w:color="auto" w:fill="auto"/>
          </w:tcPr>
          <w:p w:rsidR="003E022D" w:rsidRDefault="007D19D6">
            <w:pPr>
              <w:keepNext/>
              <w:keepLines/>
              <w:spacing w:after="0"/>
              <w:rPr>
                <w:noProof/>
                <w:sz w:val="20"/>
              </w:rPr>
            </w:pPr>
            <w:r>
              <w:rPr>
                <w:b/>
                <w:noProof/>
                <w:sz w:val="20"/>
              </w:rPr>
              <w:fldChar w:fldCharType="begin">
                <w:ffData>
                  <w:name w:val="Check2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5"/>
            <w:r>
              <w:rPr>
                <w:b/>
                <w:noProof/>
                <w:sz w:val="20"/>
              </w:rPr>
              <w:t xml:space="preserve"> </w:t>
            </w:r>
            <w:r>
              <w:rPr>
                <w:noProof/>
                <w:sz w:val="20"/>
              </w:rPr>
              <w:t>turpināsim piedziņas procedūras.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bookmarkStart w:id="1436" w:name="Check195"/>
        <w:tc>
          <w:tcPr>
            <w:tcW w:w="362" w:type="dxa"/>
            <w:shd w:val="pct15" w:color="auto" w:fill="auto"/>
          </w:tcPr>
          <w:p w:rsidR="003E022D" w:rsidRDefault="007D19D6">
            <w:pPr>
              <w:keepNext/>
              <w:keepLines/>
              <w:spacing w:after="0"/>
              <w:rPr>
                <w:b/>
                <w:noProof/>
                <w:sz w:val="20"/>
              </w:rPr>
            </w:pPr>
            <w:r>
              <w:rPr>
                <w:b/>
                <w:noProof/>
                <w:sz w:val="20"/>
              </w:rPr>
              <w:fldChar w:fldCharType="begin">
                <w:ffData>
                  <w:name w:val="Check195"/>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6"/>
          </w:p>
        </w:tc>
        <w:tc>
          <w:tcPr>
            <w:tcW w:w="241" w:type="dxa"/>
            <w:shd w:val="pct15" w:color="auto" w:fill="auto"/>
          </w:tcPr>
          <w:p w:rsidR="003E022D" w:rsidRDefault="007D19D6">
            <w:pPr>
              <w:keepNext/>
              <w:keepLines/>
              <w:spacing w:after="0"/>
              <w:rPr>
                <w:b/>
                <w:noProof/>
                <w:sz w:val="20"/>
              </w:rPr>
            </w:pPr>
            <w:r>
              <w:rPr>
                <w:b/>
                <w:noProof/>
                <w:sz w:val="20"/>
              </w:rPr>
              <w:t>c.</w:t>
            </w:r>
          </w:p>
        </w:tc>
        <w:tc>
          <w:tcPr>
            <w:tcW w:w="7321" w:type="dxa"/>
            <w:gridSpan w:val="4"/>
            <w:tcBorders>
              <w:right w:val="single" w:sz="6" w:space="0" w:color="auto"/>
            </w:tcBorders>
            <w:shd w:val="pct15" w:color="auto" w:fill="auto"/>
          </w:tcPr>
          <w:p w:rsidR="003E022D" w:rsidRDefault="007D19D6">
            <w:pPr>
              <w:keepNext/>
              <w:keepLines/>
              <w:spacing w:after="0"/>
              <w:rPr>
                <w:noProof/>
                <w:sz w:val="20"/>
              </w:rPr>
            </w:pPr>
            <w:r>
              <w:rPr>
                <w:noProof/>
                <w:sz w:val="20"/>
              </w:rPr>
              <w:t>ir veikti piesardzības pasākumi.</w:t>
            </w:r>
          </w:p>
          <w:p w:rsidR="003E022D" w:rsidRDefault="007D19D6">
            <w:pPr>
              <w:keepNext/>
              <w:keepLines/>
              <w:spacing w:after="0"/>
              <w:rPr>
                <w:noProof/>
                <w:sz w:val="20"/>
              </w:rPr>
            </w:pPr>
            <w:r>
              <w:rPr>
                <w:i/>
                <w:noProof/>
                <w:sz w:val="20"/>
              </w:rPr>
              <w:t>(Pieprasījuma saņēmēja iestāde tiek aicināta norādīt pasākumu raksturu:</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i/>
                <w:noProof/>
                <w:sz w:val="20"/>
              </w:rPr>
              <w:t>)</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bookmarkStart w:id="1437" w:name="Check196"/>
        <w:tc>
          <w:tcPr>
            <w:tcW w:w="362" w:type="dxa"/>
            <w:shd w:val="pct15" w:color="auto" w:fill="auto"/>
          </w:tcPr>
          <w:p w:rsidR="003E022D" w:rsidRDefault="007D19D6">
            <w:pPr>
              <w:spacing w:after="0"/>
              <w:rPr>
                <w:b/>
                <w:noProof/>
                <w:sz w:val="20"/>
              </w:rPr>
            </w:pPr>
            <w:r>
              <w:rPr>
                <w:b/>
                <w:noProof/>
                <w:sz w:val="20"/>
              </w:rPr>
              <w:fldChar w:fldCharType="begin">
                <w:ffData>
                  <w:name w:val="Check196"/>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7"/>
          </w:p>
        </w:tc>
        <w:tc>
          <w:tcPr>
            <w:tcW w:w="241" w:type="dxa"/>
            <w:shd w:val="pct15" w:color="auto" w:fill="auto"/>
          </w:tcPr>
          <w:p w:rsidR="003E022D" w:rsidRDefault="007D19D6">
            <w:pPr>
              <w:spacing w:after="0"/>
              <w:rPr>
                <w:b/>
                <w:noProof/>
                <w:sz w:val="20"/>
              </w:rPr>
            </w:pPr>
            <w:r>
              <w:rPr>
                <w:b/>
                <w:noProof/>
                <w:sz w:val="20"/>
              </w:rPr>
              <w:t>d.</w:t>
            </w:r>
          </w:p>
        </w:tc>
        <w:tc>
          <w:tcPr>
            <w:tcW w:w="7321" w:type="dxa"/>
            <w:gridSpan w:val="4"/>
            <w:tcBorders>
              <w:right w:val="single" w:sz="6" w:space="0" w:color="auto"/>
            </w:tcBorders>
            <w:shd w:val="pct15" w:color="auto" w:fill="auto"/>
          </w:tcPr>
          <w:p w:rsidR="003E022D" w:rsidRDefault="007D19D6">
            <w:pPr>
              <w:spacing w:after="0"/>
              <w:rPr>
                <w:b/>
                <w:noProof/>
                <w:sz w:val="20"/>
              </w:rPr>
            </w:pPr>
            <w:r>
              <w:rPr>
                <w:noProof/>
                <w:sz w:val="20"/>
              </w:rPr>
              <w:t>ir panākta vienošanās par šādu samaksu pa daļām:</w:t>
            </w:r>
          </w:p>
          <w:p w:rsidR="003E022D" w:rsidRDefault="003E022D">
            <w:pPr>
              <w:spacing w:after="0"/>
              <w:rPr>
                <w:noProof/>
                <w:sz w:val="20"/>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top w:val="single" w:sz="6" w:space="0" w:color="auto"/>
              <w:left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6" w:space="0" w:color="auto"/>
            </w:tcBorders>
            <w:shd w:val="pct15" w:color="auto" w:fill="auto"/>
          </w:tcPr>
          <w:p w:rsidR="003E022D" w:rsidRDefault="007D19D6">
            <w:pPr>
              <w:spacing w:after="0"/>
              <w:rPr>
                <w:b/>
                <w:noProof/>
                <w:sz w:val="20"/>
              </w:rPr>
            </w:pPr>
            <w:r>
              <w:rPr>
                <w:b/>
                <w:noProof/>
                <w:sz w:val="20"/>
              </w:rPr>
              <w:t>13.</w:t>
            </w:r>
          </w:p>
        </w:tc>
        <w:tc>
          <w:tcPr>
            <w:tcW w:w="7562" w:type="dxa"/>
            <w:gridSpan w:val="5"/>
            <w:tcBorders>
              <w:top w:val="single" w:sz="6" w:space="0" w:color="auto"/>
              <w:right w:val="single" w:sz="6" w:space="0" w:color="auto"/>
            </w:tcBorders>
            <w:shd w:val="pct15" w:color="auto" w:fill="auto"/>
          </w:tcPr>
          <w:p w:rsidR="003E022D" w:rsidRDefault="007D19D6">
            <w:pPr>
              <w:spacing w:after="0"/>
              <w:rPr>
                <w:noProof/>
                <w:sz w:val="20"/>
              </w:rPr>
            </w:pPr>
            <w:r>
              <w:rPr>
                <w:noProof/>
                <w:sz w:val="20"/>
              </w:rPr>
              <w:t>Pieprasījuma saņēmēja iestāde apstiprina, ka prasījumu pilnībā vai daļēji nevarēja piedzīt / piesardzības pasākumi netiks veikti un lieta tiks slēgta, jo:</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3E022D" w:rsidRDefault="003E022D">
            <w:pPr>
              <w:spacing w:after="0"/>
              <w:rPr>
                <w:b/>
                <w:noProof/>
                <w:sz w:val="20"/>
              </w:rPr>
            </w:pPr>
          </w:p>
        </w:tc>
        <w:bookmarkStart w:id="1438" w:name="Check207"/>
        <w:tc>
          <w:tcPr>
            <w:tcW w:w="362" w:type="dxa"/>
            <w:vMerge w:val="restart"/>
            <w:shd w:val="pct15" w:color="auto" w:fill="auto"/>
          </w:tcPr>
          <w:p w:rsidR="003E022D" w:rsidRDefault="007D19D6">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9" w:name="Check208"/>
            <w:bookmarkEnd w:id="1438"/>
            <w:r>
              <w:rPr>
                <w:b/>
                <w:noProof/>
                <w:sz w:val="20"/>
              </w:rPr>
              <w:fldChar w:fldCharType="begin">
                <w:ffData>
                  <w:name w:val="Check20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40" w:name="Check209"/>
            <w:bookmarkEnd w:id="1439"/>
            <w:r>
              <w:rPr>
                <w:b/>
                <w:noProof/>
                <w:sz w:val="20"/>
              </w:rPr>
              <w:fldChar w:fldCharType="begin">
                <w:ffData>
                  <w:name w:val="Check20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0"/>
          </w:p>
          <w:bookmarkStart w:id="1441" w:name="Check212"/>
          <w:p w:rsidR="003E022D" w:rsidRDefault="007D19D6">
            <w:pPr>
              <w:spacing w:after="0"/>
              <w:rPr>
                <w:b/>
                <w:noProof/>
                <w:sz w:val="20"/>
              </w:rPr>
            </w:pPr>
            <w:r>
              <w:rPr>
                <w:b/>
                <w:noProof/>
                <w:sz w:val="20"/>
              </w:rPr>
              <w:fldChar w:fldCharType="begin">
                <w:ffData>
                  <w:name w:val="Check21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42" w:name="Check211"/>
            <w:bookmarkEnd w:id="1441"/>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2"/>
          </w:p>
          <w:p w:rsidR="003E022D" w:rsidRDefault="007D19D6">
            <w:pPr>
              <w:spacing w:after="0"/>
              <w:rPr>
                <w:b/>
                <w:noProof/>
                <w:sz w:val="20"/>
              </w:rPr>
            </w:pPr>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3E022D">
            <w:pPr>
              <w:spacing w:after="0"/>
              <w:rPr>
                <w:b/>
                <w:noProof/>
                <w:sz w:val="20"/>
              </w:rPr>
            </w:pPr>
          </w:p>
          <w:bookmarkStart w:id="1443" w:name="Check221"/>
          <w:p w:rsidR="003E022D" w:rsidRDefault="007D19D6">
            <w:pPr>
              <w:spacing w:after="0"/>
              <w:rPr>
                <w:b/>
                <w:noProof/>
                <w:sz w:val="20"/>
              </w:rPr>
            </w:pPr>
            <w:r>
              <w:rPr>
                <w:b/>
                <w:noProof/>
                <w:sz w:val="20"/>
              </w:rPr>
              <w:fldChar w:fldCharType="begin">
                <w:ffData>
                  <w:name w:val="Check22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3"/>
          </w:p>
          <w:bookmarkStart w:id="1444" w:name="Check222"/>
          <w:p w:rsidR="003E022D" w:rsidRDefault="007D19D6">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4"/>
          </w:p>
          <w:p w:rsidR="003E022D" w:rsidRDefault="003E022D">
            <w:pPr>
              <w:spacing w:after="0"/>
              <w:rPr>
                <w:b/>
                <w:noProof/>
                <w:sz w:val="20"/>
              </w:rPr>
            </w:pPr>
          </w:p>
        </w:tc>
        <w:tc>
          <w:tcPr>
            <w:tcW w:w="241" w:type="dxa"/>
            <w:shd w:val="pct15" w:color="auto" w:fill="auto"/>
          </w:tcPr>
          <w:p w:rsidR="003E022D" w:rsidRDefault="007D19D6">
            <w:pPr>
              <w:spacing w:after="0"/>
              <w:rPr>
                <w:b/>
                <w:noProof/>
                <w:sz w:val="20"/>
              </w:rPr>
            </w:pPr>
            <w:r>
              <w:rPr>
                <w:b/>
                <w:noProof/>
                <w:sz w:val="20"/>
              </w:rPr>
              <w:t>a.</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attiecīgā persona nav zināma.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3E022D" w:rsidRDefault="003E022D">
            <w:pPr>
              <w:spacing w:after="0"/>
              <w:rPr>
                <w:b/>
                <w:noProof/>
                <w:sz w:val="20"/>
              </w:rPr>
            </w:pPr>
          </w:p>
        </w:tc>
        <w:tc>
          <w:tcPr>
            <w:tcW w:w="362" w:type="dxa"/>
            <w:vMerge/>
            <w:shd w:val="pct15" w:color="auto" w:fill="auto"/>
          </w:tcPr>
          <w:p w:rsidR="003E022D" w:rsidRDefault="003E022D">
            <w:pPr>
              <w:spacing w:after="0"/>
              <w:rPr>
                <w:b/>
                <w:noProof/>
                <w:sz w:val="20"/>
              </w:rPr>
            </w:pPr>
          </w:p>
        </w:tc>
        <w:tc>
          <w:tcPr>
            <w:tcW w:w="241" w:type="dxa"/>
            <w:shd w:val="pct15" w:color="auto" w:fill="auto"/>
          </w:tcPr>
          <w:p w:rsidR="003E022D" w:rsidRDefault="007D19D6">
            <w:pPr>
              <w:spacing w:after="0"/>
              <w:rPr>
                <w:b/>
                <w:noProof/>
                <w:sz w:val="20"/>
              </w:rPr>
            </w:pPr>
            <w:r>
              <w:rPr>
                <w:b/>
                <w:noProof/>
                <w:sz w:val="20"/>
              </w:rPr>
              <w:t>b.</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 xml:space="preserve">attiecīgā persona ir zināma, bet ir pārcēlusies uz: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48"/>
        </w:trPr>
        <w:tc>
          <w:tcPr>
            <w:tcW w:w="1557" w:type="dxa"/>
            <w:vMerge/>
            <w:tcBorders>
              <w:left w:val="single" w:sz="6" w:space="0" w:color="auto"/>
            </w:tcBorders>
          </w:tcPr>
          <w:p w:rsidR="003E022D" w:rsidRDefault="003E022D">
            <w:pPr>
              <w:spacing w:after="0"/>
              <w:rPr>
                <w:b/>
                <w:noProof/>
                <w:sz w:val="20"/>
              </w:rPr>
            </w:pPr>
          </w:p>
        </w:tc>
        <w:tc>
          <w:tcPr>
            <w:tcW w:w="362" w:type="dxa"/>
            <w:vMerge/>
            <w:shd w:val="pct15" w:color="auto" w:fill="auto"/>
          </w:tcPr>
          <w:p w:rsidR="003E022D" w:rsidRDefault="003E022D">
            <w:pPr>
              <w:spacing w:after="0"/>
              <w:rPr>
                <w:b/>
                <w:noProof/>
                <w:sz w:val="20"/>
              </w:rPr>
            </w:pPr>
          </w:p>
        </w:tc>
        <w:tc>
          <w:tcPr>
            <w:tcW w:w="241" w:type="dxa"/>
            <w:shd w:val="pct15" w:color="auto" w:fill="auto"/>
          </w:tcPr>
          <w:p w:rsidR="003E022D" w:rsidRDefault="007D19D6">
            <w:pPr>
              <w:spacing w:after="0"/>
              <w:rPr>
                <w:b/>
                <w:noProof/>
                <w:sz w:val="20"/>
              </w:rPr>
            </w:pPr>
            <w:r>
              <w:rPr>
                <w:b/>
                <w:noProof/>
                <w:sz w:val="20"/>
              </w:rPr>
              <w:t>c.</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attiecīgā persona ir zināma, bet ir pārcēlusies uz nezināmu adresi.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3E022D" w:rsidRDefault="003E022D">
            <w:pPr>
              <w:spacing w:after="0"/>
              <w:rPr>
                <w:b/>
                <w:noProof/>
                <w:sz w:val="20"/>
              </w:rPr>
            </w:pPr>
          </w:p>
        </w:tc>
        <w:tc>
          <w:tcPr>
            <w:tcW w:w="362" w:type="dxa"/>
            <w:vMerge/>
            <w:shd w:val="pct15" w:color="auto" w:fill="auto"/>
          </w:tcPr>
          <w:p w:rsidR="003E022D" w:rsidRDefault="003E022D">
            <w:pPr>
              <w:spacing w:after="0"/>
              <w:rPr>
                <w:b/>
                <w:noProof/>
                <w:sz w:val="20"/>
              </w:rPr>
            </w:pPr>
          </w:p>
        </w:tc>
        <w:tc>
          <w:tcPr>
            <w:tcW w:w="241" w:type="dxa"/>
            <w:shd w:val="pct15" w:color="auto" w:fill="auto"/>
          </w:tcPr>
          <w:p w:rsidR="003E022D" w:rsidRDefault="007D19D6">
            <w:pPr>
              <w:spacing w:after="0"/>
              <w:rPr>
                <w:b/>
                <w:noProof/>
                <w:sz w:val="20"/>
              </w:rPr>
            </w:pPr>
            <w:r>
              <w:rPr>
                <w:b/>
                <w:noProof/>
                <w:sz w:val="20"/>
              </w:rPr>
              <w:t>d.</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 xml:space="preserve">attiecīgā persona mirusi </w:t>
            </w:r>
            <w:bookmarkStart w:id="1445" w:name="Text149"/>
            <w:r>
              <w:rPr>
                <w:i/>
                <w:noProof/>
                <w:sz w:val="20"/>
              </w:rPr>
              <w:fldChar w:fldCharType="begin" w:fldLock="1">
                <w:ffData>
                  <w:name w:val="Text149"/>
                  <w:enabled/>
                  <w:calcOnExit w:val="0"/>
                  <w:textInput>
                    <w:default w:val="GGGG/MM/DD"/>
                  </w:textInput>
                </w:ffData>
              </w:fldChar>
            </w:r>
            <w:r>
              <w:rPr>
                <w:i/>
                <w:noProof/>
                <w:sz w:val="20"/>
              </w:rPr>
              <w:instrText xml:space="preserve"> FORMTEXT </w:instrText>
            </w:r>
            <w:r>
              <w:rPr>
                <w:i/>
                <w:noProof/>
                <w:sz w:val="20"/>
              </w:rPr>
            </w:r>
            <w:r>
              <w:rPr>
                <w:i/>
                <w:noProof/>
                <w:sz w:val="20"/>
              </w:rPr>
              <w:fldChar w:fldCharType="separate"/>
            </w:r>
            <w:r>
              <w:rPr>
                <w:i/>
                <w:noProof/>
                <w:sz w:val="20"/>
              </w:rPr>
              <w:t>GGGG/MM/DD</w:t>
            </w:r>
            <w:r>
              <w:rPr>
                <w:i/>
                <w:noProof/>
                <w:sz w:val="20"/>
              </w:rPr>
              <w:fldChar w:fldCharType="end"/>
            </w:r>
            <w:bookmarkEnd w:id="1445"/>
            <w:r>
              <w:rPr>
                <w:i/>
                <w:noProof/>
                <w:sz w:val="20"/>
              </w:rPr>
              <w:t>.</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3E022D" w:rsidRDefault="003E022D">
            <w:pPr>
              <w:spacing w:after="0"/>
              <w:rPr>
                <w:b/>
                <w:noProof/>
                <w:sz w:val="20"/>
              </w:rPr>
            </w:pPr>
          </w:p>
        </w:tc>
        <w:tc>
          <w:tcPr>
            <w:tcW w:w="362" w:type="dxa"/>
            <w:vMerge/>
            <w:shd w:val="pct15" w:color="auto" w:fill="auto"/>
          </w:tcPr>
          <w:p w:rsidR="003E022D" w:rsidRDefault="003E022D">
            <w:pPr>
              <w:spacing w:after="0"/>
              <w:rPr>
                <w:b/>
                <w:noProof/>
                <w:sz w:val="20"/>
              </w:rPr>
            </w:pPr>
          </w:p>
        </w:tc>
        <w:tc>
          <w:tcPr>
            <w:tcW w:w="241" w:type="dxa"/>
            <w:shd w:val="pct15" w:color="auto" w:fill="auto"/>
          </w:tcPr>
          <w:p w:rsidR="003E022D" w:rsidRDefault="007D19D6">
            <w:pPr>
              <w:spacing w:after="0"/>
              <w:rPr>
                <w:b/>
                <w:noProof/>
                <w:sz w:val="20"/>
              </w:rPr>
            </w:pPr>
            <w:r>
              <w:rPr>
                <w:b/>
                <w:noProof/>
                <w:sz w:val="20"/>
              </w:rPr>
              <w:t>e.</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Parādnieks / solidārais parādnieks ir maksātnespējīgs.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55"/>
        </w:trPr>
        <w:tc>
          <w:tcPr>
            <w:tcW w:w="1557" w:type="dxa"/>
            <w:vMerge/>
            <w:tcBorders>
              <w:left w:val="single" w:sz="6" w:space="0" w:color="auto"/>
            </w:tcBorders>
          </w:tcPr>
          <w:p w:rsidR="003E022D" w:rsidRDefault="003E022D">
            <w:pPr>
              <w:spacing w:after="0"/>
              <w:rPr>
                <w:b/>
                <w:noProof/>
                <w:sz w:val="20"/>
              </w:rPr>
            </w:pPr>
          </w:p>
        </w:tc>
        <w:tc>
          <w:tcPr>
            <w:tcW w:w="362" w:type="dxa"/>
            <w:vMerge/>
            <w:shd w:val="pct15" w:color="auto" w:fill="auto"/>
          </w:tcPr>
          <w:p w:rsidR="003E022D" w:rsidRDefault="003E022D">
            <w:pPr>
              <w:spacing w:after="0"/>
              <w:rPr>
                <w:b/>
                <w:noProof/>
                <w:sz w:val="20"/>
              </w:rPr>
            </w:pPr>
          </w:p>
        </w:tc>
        <w:tc>
          <w:tcPr>
            <w:tcW w:w="241" w:type="dxa"/>
            <w:shd w:val="pct15" w:color="auto" w:fill="auto"/>
          </w:tcPr>
          <w:p w:rsidR="003E022D" w:rsidRDefault="007D19D6">
            <w:pPr>
              <w:spacing w:after="0"/>
              <w:rPr>
                <w:b/>
                <w:noProof/>
                <w:sz w:val="20"/>
              </w:rPr>
            </w:pPr>
            <w:r>
              <w:rPr>
                <w:b/>
                <w:noProof/>
                <w:sz w:val="20"/>
              </w:rPr>
              <w:t>f.</w:t>
            </w:r>
          </w:p>
        </w:tc>
        <w:tc>
          <w:tcPr>
            <w:tcW w:w="7321" w:type="dxa"/>
            <w:gridSpan w:val="4"/>
            <w:tcBorders>
              <w:right w:val="single" w:sz="6" w:space="0" w:color="auto"/>
            </w:tcBorders>
            <w:shd w:val="pct15" w:color="auto" w:fill="auto"/>
          </w:tcPr>
          <w:p w:rsidR="003E022D" w:rsidRDefault="007D19D6">
            <w:pPr>
              <w:spacing w:after="0"/>
              <w:rPr>
                <w:noProof/>
                <w:sz w:val="20"/>
              </w:rPr>
            </w:pPr>
            <w:r>
              <w:rPr>
                <w:noProof/>
                <w:sz w:val="20"/>
              </w:rPr>
              <w:t>Parādnieks / solidārais parādnieks ir bankrotējis, un ir iesniegts prasījums.</w:t>
            </w:r>
          </w:p>
          <w:p w:rsidR="003E022D" w:rsidRDefault="007D19D6">
            <w:pPr>
              <w:spacing w:after="0"/>
              <w:rPr>
                <w:noProof/>
                <w:sz w:val="20"/>
              </w:rPr>
            </w:pPr>
            <w:r>
              <w:rPr>
                <w:noProof/>
                <w:sz w:val="20"/>
              </w:rPr>
              <w:t xml:space="preserve">Rīkojuma datums: </w:t>
            </w:r>
            <w:bookmarkStart w:id="1446" w:name="Text73"/>
            <w:r>
              <w:rPr>
                <w:noProof/>
                <w:sz w:val="20"/>
              </w:rPr>
              <w:fldChar w:fldCharType="begin" w:fldLock="1">
                <w:ffData>
                  <w:name w:val="Text73"/>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bookmarkEnd w:id="1446"/>
            <w:r>
              <w:rPr>
                <w:noProof/>
                <w:sz w:val="20"/>
              </w:rPr>
              <w:t xml:space="preserve"> --- Atbrīvojuma datums</w:t>
            </w:r>
            <w:r>
              <w:rPr>
                <w:b/>
                <w:noProof/>
                <w:sz w:val="20"/>
              </w:rPr>
              <w:t>:</w:t>
            </w:r>
            <w:r>
              <w:rPr>
                <w:noProof/>
                <w:sz w:val="20"/>
              </w:rPr>
              <w:t xml:space="preserve">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17"/>
        </w:trPr>
        <w:tc>
          <w:tcPr>
            <w:tcW w:w="1557" w:type="dxa"/>
            <w:vMerge/>
            <w:tcBorders>
              <w:left w:val="single" w:sz="6" w:space="0" w:color="auto"/>
            </w:tcBorders>
          </w:tcPr>
          <w:p w:rsidR="003E022D" w:rsidRDefault="003E022D">
            <w:pPr>
              <w:spacing w:after="0"/>
              <w:rPr>
                <w:b/>
                <w:noProof/>
                <w:sz w:val="20"/>
              </w:rPr>
            </w:pPr>
          </w:p>
        </w:tc>
        <w:tc>
          <w:tcPr>
            <w:tcW w:w="362" w:type="dxa"/>
            <w:vMerge/>
            <w:tcBorders>
              <w:bottom w:val="nil"/>
            </w:tcBorders>
            <w:shd w:val="pct15" w:color="auto" w:fill="auto"/>
          </w:tcPr>
          <w:p w:rsidR="003E022D" w:rsidRDefault="003E022D">
            <w:pPr>
              <w:spacing w:after="0"/>
              <w:rPr>
                <w:b/>
                <w:noProof/>
                <w:sz w:val="20"/>
              </w:rPr>
            </w:pPr>
          </w:p>
        </w:tc>
        <w:tc>
          <w:tcPr>
            <w:tcW w:w="241" w:type="dxa"/>
            <w:shd w:val="pct15" w:color="auto" w:fill="auto"/>
          </w:tcPr>
          <w:p w:rsidR="003E022D" w:rsidRDefault="007D19D6">
            <w:pPr>
              <w:spacing w:after="0"/>
              <w:rPr>
                <w:b/>
                <w:noProof/>
                <w:sz w:val="20"/>
              </w:rPr>
            </w:pPr>
            <w:r>
              <w:rPr>
                <w:b/>
                <w:noProof/>
                <w:sz w:val="20"/>
              </w:rPr>
              <w:t>g.</w:t>
            </w:r>
          </w:p>
        </w:tc>
        <w:tc>
          <w:tcPr>
            <w:tcW w:w="7321" w:type="dxa"/>
            <w:gridSpan w:val="4"/>
            <w:tcBorders>
              <w:left w:val="nil"/>
              <w:right w:val="single" w:sz="6" w:space="0" w:color="auto"/>
            </w:tcBorders>
            <w:shd w:val="pct15" w:color="auto" w:fill="auto"/>
          </w:tcPr>
          <w:p w:rsidR="003E022D" w:rsidRDefault="007D19D6">
            <w:pPr>
              <w:spacing w:after="0"/>
              <w:rPr>
                <w:noProof/>
                <w:sz w:val="20"/>
              </w:rPr>
            </w:pPr>
            <w:r>
              <w:rPr>
                <w:noProof/>
                <w:sz w:val="20"/>
              </w:rPr>
              <w:t>Parādnieks / solidārais parādnieks ir bankrotējis / piedziņa nav iespējama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vMerge/>
            <w:tcBorders>
              <w:left w:val="single" w:sz="6" w:space="0" w:color="auto"/>
              <w:bottom w:val="single" w:sz="6" w:space="0" w:color="auto"/>
            </w:tcBorders>
          </w:tcPr>
          <w:p w:rsidR="003E022D" w:rsidRDefault="003E022D">
            <w:pPr>
              <w:spacing w:after="0"/>
              <w:rPr>
                <w:b/>
                <w:noProof/>
                <w:sz w:val="20"/>
              </w:rPr>
            </w:pPr>
          </w:p>
        </w:tc>
        <w:tc>
          <w:tcPr>
            <w:tcW w:w="362" w:type="dxa"/>
            <w:vMerge/>
            <w:shd w:val="pct15" w:color="auto" w:fill="auto"/>
          </w:tcPr>
          <w:p w:rsidR="003E022D" w:rsidRDefault="003E022D">
            <w:pPr>
              <w:spacing w:after="0"/>
              <w:rPr>
                <w:b/>
                <w:noProof/>
                <w:sz w:val="20"/>
              </w:rPr>
            </w:pPr>
          </w:p>
        </w:tc>
        <w:tc>
          <w:tcPr>
            <w:tcW w:w="241" w:type="dxa"/>
            <w:shd w:val="pct15" w:color="auto" w:fill="auto"/>
          </w:tcPr>
          <w:p w:rsidR="003E022D" w:rsidRDefault="007D19D6">
            <w:pPr>
              <w:spacing w:after="0"/>
              <w:rPr>
                <w:b/>
                <w:noProof/>
                <w:sz w:val="20"/>
              </w:rPr>
            </w:pPr>
            <w:r>
              <w:rPr>
                <w:b/>
                <w:noProof/>
                <w:sz w:val="20"/>
              </w:rPr>
              <w:t>h.</w:t>
            </w:r>
          </w:p>
        </w:tc>
        <w:tc>
          <w:tcPr>
            <w:tcW w:w="7321" w:type="dxa"/>
            <w:gridSpan w:val="4"/>
            <w:tcBorders>
              <w:left w:val="nil"/>
              <w:right w:val="single" w:sz="6" w:space="0" w:color="auto"/>
            </w:tcBorders>
            <w:shd w:val="pct15" w:color="auto" w:fill="auto"/>
          </w:tcPr>
          <w:p w:rsidR="003E022D" w:rsidRDefault="007D19D6">
            <w:pPr>
              <w:spacing w:after="0"/>
              <w:rPr>
                <w:b/>
                <w:noProof/>
                <w:sz w:val="20"/>
              </w:rPr>
            </w:pPr>
            <w:r>
              <w:rPr>
                <w:noProof/>
                <w:sz w:val="20"/>
              </w:rPr>
              <w:t>Cita:</w:t>
            </w:r>
            <w:r>
              <w:rPr>
                <w:b/>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tcBorders>
              <w:left w:val="single" w:sz="6" w:space="0" w:color="auto"/>
              <w:bottom w:val="single" w:sz="6" w:space="0" w:color="auto"/>
            </w:tcBorders>
          </w:tcPr>
          <w:p w:rsidR="003E022D" w:rsidRDefault="007D19D6">
            <w:pPr>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bottom w:val="single" w:sz="6" w:space="0" w:color="auto"/>
            </w:tcBorders>
            <w:shd w:val="pct5" w:color="auto" w:fill="auto"/>
          </w:tcPr>
          <w:p w:rsidR="003E022D" w:rsidRDefault="007D19D6">
            <w:pPr>
              <w:spacing w:after="0"/>
              <w:rPr>
                <w:b/>
                <w:noProof/>
                <w:sz w:val="20"/>
              </w:rPr>
            </w:pPr>
            <w:r>
              <w:rPr>
                <w:b/>
                <w:noProof/>
                <w:sz w:val="20"/>
              </w:rPr>
              <w:t>14.</w:t>
            </w:r>
          </w:p>
          <w:p w:rsidR="003E022D" w:rsidRDefault="007D19D6">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bottom w:val="single" w:sz="4" w:space="0" w:color="auto"/>
              <w:right w:val="single" w:sz="6" w:space="0" w:color="auto"/>
            </w:tcBorders>
            <w:shd w:val="pct5" w:color="auto" w:fill="auto"/>
          </w:tcPr>
          <w:p w:rsidR="003E022D" w:rsidRDefault="007D19D6">
            <w:pPr>
              <w:spacing w:before="200" w:after="0"/>
              <w:rPr>
                <w:noProof/>
                <w:sz w:val="20"/>
              </w:rPr>
            </w:pPr>
            <w:r>
              <w:rPr>
                <w:noProof/>
                <w:sz w:val="20"/>
              </w:rPr>
              <w:t>Pieteikuma iesniedzēja iestāde apstiprina, ka lieta ir slēgta.</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7"/>
        </w:trPr>
        <w:tc>
          <w:tcPr>
            <w:tcW w:w="1557" w:type="dxa"/>
            <w:vMerge w:val="restart"/>
            <w:tcBorders>
              <w:top w:val="nil"/>
              <w:left w:val="single" w:sz="6" w:space="0" w:color="auto"/>
            </w:tcBorders>
          </w:tcPr>
          <w:p w:rsidR="003E022D" w:rsidRDefault="007D19D6">
            <w:pPr>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shd w:val="pct15" w:color="auto" w:fill="auto"/>
          </w:tcPr>
          <w:p w:rsidR="003E022D" w:rsidRDefault="007D19D6">
            <w:pPr>
              <w:spacing w:after="0"/>
              <w:rPr>
                <w:b/>
                <w:noProof/>
                <w:sz w:val="20"/>
              </w:rPr>
            </w:pPr>
            <w:r>
              <w:rPr>
                <w:b/>
                <w:noProof/>
                <w:sz w:val="20"/>
              </w:rPr>
              <w:t>15.</w:t>
            </w:r>
          </w:p>
          <w:p w:rsidR="003E022D" w:rsidRDefault="007D19D6">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right w:val="single" w:sz="6" w:space="0" w:color="auto"/>
            </w:tcBorders>
            <w:shd w:val="pct15" w:color="auto" w:fill="auto"/>
          </w:tcPr>
          <w:p w:rsidR="003E022D" w:rsidRDefault="007D19D6">
            <w:pPr>
              <w:spacing w:after="0"/>
              <w:rPr>
                <w:noProof/>
                <w:sz w:val="20"/>
              </w:rPr>
            </w:pPr>
            <w:r>
              <w:rPr>
                <w:noProof/>
                <w:sz w:val="20"/>
              </w:rPr>
              <w:t>Pieprasījuma saņēmēja iestāde informē pieteikuma iesniedzēju iestādi par to, ka ir saņēmusi paziņojumu par</w:t>
            </w:r>
            <w:r>
              <w:rPr>
                <w:noProof/>
                <w:sz w:val="20"/>
              </w:rPr>
              <w:t xml:space="preserve"> tādas darbības sākšanu, ar ko apstrīd prasījumu vai instrumentu, kas atļauj tā izpildi, un ka pieprasījuma saņēmēja iestāde apturēs izpildes procedūras.</w:t>
            </w:r>
          </w:p>
          <w:p w:rsidR="003E022D" w:rsidRDefault="007D19D6">
            <w:pPr>
              <w:spacing w:after="0"/>
              <w:rPr>
                <w:noProof/>
                <w:sz w:val="20"/>
              </w:rPr>
            </w:pPr>
            <w:r>
              <w:rPr>
                <w:noProof/>
                <w:sz w:val="20"/>
              </w:rPr>
              <w:t>Turklāt:</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0"/>
        </w:trPr>
        <w:tc>
          <w:tcPr>
            <w:tcW w:w="1557" w:type="dxa"/>
            <w:vMerge/>
            <w:tcBorders>
              <w:left w:val="single" w:sz="6" w:space="0" w:color="auto"/>
            </w:tcBorders>
          </w:tcPr>
          <w:p w:rsidR="003E022D" w:rsidRDefault="003E022D">
            <w:pPr>
              <w:spacing w:after="0"/>
              <w:rPr>
                <w:i/>
                <w:noProof/>
                <w:sz w:val="20"/>
              </w:rPr>
            </w:pPr>
          </w:p>
        </w:tc>
        <w:tc>
          <w:tcPr>
            <w:tcW w:w="362" w:type="dxa"/>
            <w:vMerge w:val="restart"/>
            <w:shd w:val="pct15" w:color="auto" w:fill="auto"/>
          </w:tcPr>
          <w:p w:rsidR="003E022D" w:rsidRDefault="007D19D6">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7D19D6">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3E022D" w:rsidRDefault="007D19D6">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3E022D" w:rsidRDefault="007D19D6">
            <w:pPr>
              <w:spacing w:after="0"/>
              <w:rPr>
                <w:b/>
                <w:noProof/>
                <w:sz w:val="20"/>
              </w:rPr>
            </w:pPr>
            <w:r>
              <w:rPr>
                <w:b/>
                <w:noProof/>
                <w:sz w:val="20"/>
              </w:rPr>
              <w:t>a.</w:t>
            </w:r>
          </w:p>
        </w:tc>
        <w:tc>
          <w:tcPr>
            <w:tcW w:w="7321" w:type="dxa"/>
            <w:gridSpan w:val="4"/>
            <w:tcBorders>
              <w:left w:val="nil"/>
              <w:right w:val="single" w:sz="6" w:space="0" w:color="auto"/>
            </w:tcBorders>
            <w:shd w:val="pct15" w:color="auto" w:fill="auto"/>
          </w:tcPr>
          <w:p w:rsidR="003E022D" w:rsidRDefault="007D19D6">
            <w:pPr>
              <w:spacing w:after="0"/>
              <w:rPr>
                <w:noProof/>
                <w:sz w:val="20"/>
              </w:rPr>
            </w:pPr>
            <w:r>
              <w:rPr>
                <w:noProof/>
                <w:sz w:val="20"/>
              </w:rPr>
              <w:t>esam veikuši piesardzības pasāk</w:t>
            </w:r>
            <w:r>
              <w:rPr>
                <w:noProof/>
                <w:sz w:val="20"/>
              </w:rPr>
              <w:t>umus prasības piedziņas nodrošināšanai</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tcBorders>
          </w:tcPr>
          <w:p w:rsidR="003E022D" w:rsidRDefault="003E022D">
            <w:pPr>
              <w:spacing w:after="0"/>
              <w:rPr>
                <w:i/>
                <w:noProof/>
                <w:sz w:val="20"/>
              </w:rPr>
            </w:pPr>
          </w:p>
        </w:tc>
        <w:tc>
          <w:tcPr>
            <w:tcW w:w="362" w:type="dxa"/>
            <w:vMerge/>
            <w:shd w:val="pct15" w:color="auto" w:fill="auto"/>
          </w:tcPr>
          <w:p w:rsidR="003E022D" w:rsidRDefault="003E022D">
            <w:pPr>
              <w:spacing w:after="0"/>
              <w:rPr>
                <w:b/>
                <w:noProof/>
                <w:sz w:val="20"/>
              </w:rPr>
            </w:pPr>
          </w:p>
        </w:tc>
        <w:tc>
          <w:tcPr>
            <w:tcW w:w="241" w:type="dxa"/>
            <w:shd w:val="pct15" w:color="auto" w:fill="auto"/>
          </w:tcPr>
          <w:p w:rsidR="003E022D" w:rsidRDefault="007D19D6">
            <w:pPr>
              <w:spacing w:after="0"/>
              <w:rPr>
                <w:b/>
                <w:noProof/>
                <w:sz w:val="20"/>
              </w:rPr>
            </w:pPr>
            <w:r>
              <w:rPr>
                <w:b/>
                <w:noProof/>
                <w:sz w:val="20"/>
              </w:rPr>
              <w:t>b.</w:t>
            </w:r>
          </w:p>
        </w:tc>
        <w:tc>
          <w:tcPr>
            <w:tcW w:w="7321" w:type="dxa"/>
            <w:gridSpan w:val="4"/>
            <w:tcBorders>
              <w:left w:val="nil"/>
              <w:right w:val="single" w:sz="6" w:space="0" w:color="auto"/>
            </w:tcBorders>
            <w:shd w:val="pct15" w:color="auto" w:fill="auto"/>
          </w:tcPr>
          <w:p w:rsidR="003E022D" w:rsidRDefault="007D19D6">
            <w:pPr>
              <w:spacing w:after="0"/>
              <w:rPr>
                <w:noProof/>
                <w:sz w:val="20"/>
              </w:rPr>
            </w:pPr>
            <w:r>
              <w:rPr>
                <w:noProof/>
                <w:sz w:val="20"/>
              </w:rPr>
              <w:t>lūdzam pieteikuma iesniedzēju iestādi informēt mūs par to, vai mums ir jāpiedzen prasījums.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bottom w:val="single" w:sz="6" w:space="0" w:color="auto"/>
            </w:tcBorders>
          </w:tcPr>
          <w:p w:rsidR="003E022D" w:rsidRDefault="003E022D">
            <w:pPr>
              <w:spacing w:after="0"/>
              <w:rPr>
                <w:i/>
                <w:noProof/>
                <w:sz w:val="20"/>
              </w:rPr>
            </w:pPr>
          </w:p>
        </w:tc>
        <w:tc>
          <w:tcPr>
            <w:tcW w:w="362" w:type="dxa"/>
            <w:vMerge/>
            <w:tcBorders>
              <w:bottom w:val="single" w:sz="6" w:space="0" w:color="auto"/>
            </w:tcBorders>
            <w:shd w:val="pct15" w:color="auto" w:fill="auto"/>
          </w:tcPr>
          <w:p w:rsidR="003E022D" w:rsidRDefault="003E022D">
            <w:pPr>
              <w:spacing w:after="0"/>
              <w:rPr>
                <w:b/>
                <w:noProof/>
                <w:sz w:val="20"/>
              </w:rPr>
            </w:pPr>
          </w:p>
        </w:tc>
        <w:tc>
          <w:tcPr>
            <w:tcW w:w="241" w:type="dxa"/>
            <w:tcBorders>
              <w:bottom w:val="single" w:sz="4" w:space="0" w:color="auto"/>
            </w:tcBorders>
            <w:shd w:val="pct15" w:color="auto" w:fill="auto"/>
          </w:tcPr>
          <w:p w:rsidR="003E022D" w:rsidRDefault="007D19D6">
            <w:pPr>
              <w:spacing w:after="0"/>
              <w:rPr>
                <w:b/>
                <w:noProof/>
                <w:sz w:val="20"/>
              </w:rPr>
            </w:pPr>
            <w:r>
              <w:rPr>
                <w:b/>
                <w:noProof/>
                <w:sz w:val="20"/>
              </w:rPr>
              <w:t>c.</w:t>
            </w:r>
          </w:p>
        </w:tc>
        <w:tc>
          <w:tcPr>
            <w:tcW w:w="7321" w:type="dxa"/>
            <w:gridSpan w:val="4"/>
            <w:tcBorders>
              <w:left w:val="nil"/>
              <w:bottom w:val="single" w:sz="4" w:space="0" w:color="auto"/>
              <w:right w:val="single" w:sz="6" w:space="0" w:color="auto"/>
            </w:tcBorders>
            <w:shd w:val="pct15" w:color="auto" w:fill="auto"/>
          </w:tcPr>
          <w:p w:rsidR="003E022D" w:rsidRDefault="007D19D6">
            <w:pPr>
              <w:spacing w:after="40"/>
              <w:rPr>
                <w:noProof/>
                <w:sz w:val="20"/>
              </w:rPr>
            </w:pPr>
            <w:r>
              <w:rPr>
                <w:noProof/>
                <w:sz w:val="20"/>
              </w:rPr>
              <w:t xml:space="preserve">informējam pieteikuma iesniedzēju </w:t>
            </w:r>
            <w:r>
              <w:rPr>
                <w:noProof/>
                <w:sz w:val="20"/>
              </w:rPr>
              <w:t>iestādi, ka mūsu atrašanās vietas valstī spēkā esošie normatīvie un administratīvie akti neļauj veikt (turpināt) prasījuma piedziņu, kamēr tas tiek apstrīdēts.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left w:val="single" w:sz="6" w:space="0" w:color="auto"/>
            </w:tcBorders>
          </w:tcPr>
          <w:p w:rsidR="003E022D" w:rsidRDefault="007D19D6">
            <w:pPr>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shd w:val="pct5" w:color="auto" w:fill="auto"/>
          </w:tcPr>
          <w:p w:rsidR="003E022D" w:rsidRDefault="007D19D6">
            <w:pPr>
              <w:spacing w:after="0"/>
              <w:rPr>
                <w:b/>
                <w:noProof/>
                <w:sz w:val="20"/>
              </w:rPr>
            </w:pPr>
            <w:r>
              <w:rPr>
                <w:b/>
                <w:noProof/>
                <w:sz w:val="20"/>
              </w:rPr>
              <w:t>16.</w:t>
            </w:r>
          </w:p>
        </w:tc>
        <w:tc>
          <w:tcPr>
            <w:tcW w:w="7562" w:type="dxa"/>
            <w:gridSpan w:val="5"/>
            <w:tcBorders>
              <w:top w:val="single" w:sz="4" w:space="0" w:color="auto"/>
              <w:right w:val="single" w:sz="4" w:space="0" w:color="auto"/>
            </w:tcBorders>
            <w:shd w:val="pct5" w:color="auto" w:fill="auto"/>
          </w:tcPr>
          <w:p w:rsidR="003E022D" w:rsidRDefault="007D19D6">
            <w:pPr>
              <w:spacing w:after="0"/>
              <w:rPr>
                <w:noProof/>
                <w:sz w:val="20"/>
              </w:rPr>
            </w:pPr>
            <w:r>
              <w:rPr>
                <w:noProof/>
                <w:sz w:val="20"/>
              </w:rPr>
              <w:t>Pieteikuma iesniedzēja iestāde, saņēmusi informāciju par tādas darbības sākšanu, ar ko apstrīd prasījumu vai instrumentu, kas atļauj tā izpildi: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3E022D" w:rsidRDefault="003E022D">
            <w:pPr>
              <w:spacing w:after="0"/>
              <w:rPr>
                <w:b/>
                <w:noProof/>
                <w:sz w:val="20"/>
              </w:rPr>
            </w:pPr>
          </w:p>
        </w:tc>
        <w:bookmarkStart w:id="1447" w:name="Check200"/>
        <w:tc>
          <w:tcPr>
            <w:tcW w:w="362" w:type="dxa"/>
            <w:shd w:val="pct5" w:color="auto" w:fill="auto"/>
          </w:tcPr>
          <w:p w:rsidR="003E022D" w:rsidRDefault="007D19D6">
            <w:pPr>
              <w:spacing w:after="0"/>
              <w:rPr>
                <w:b/>
                <w:noProof/>
                <w:sz w:val="20"/>
              </w:rPr>
            </w:pPr>
            <w:r>
              <w:rPr>
                <w:b/>
                <w:noProof/>
                <w:sz w:val="20"/>
              </w:rPr>
              <w:fldChar w:fldCharType="begin">
                <w:ffData>
                  <w:name w:val="Check20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7"/>
          </w:p>
        </w:tc>
        <w:tc>
          <w:tcPr>
            <w:tcW w:w="359" w:type="dxa"/>
            <w:gridSpan w:val="2"/>
            <w:shd w:val="pct5" w:color="auto" w:fill="auto"/>
          </w:tcPr>
          <w:p w:rsidR="003E022D" w:rsidRDefault="007D19D6">
            <w:pPr>
              <w:spacing w:after="0"/>
              <w:rPr>
                <w:b/>
                <w:noProof/>
                <w:sz w:val="20"/>
              </w:rPr>
            </w:pPr>
            <w:r>
              <w:rPr>
                <w:b/>
                <w:noProof/>
                <w:sz w:val="20"/>
              </w:rPr>
              <w:t>a.</w:t>
            </w:r>
          </w:p>
        </w:tc>
        <w:tc>
          <w:tcPr>
            <w:tcW w:w="7203" w:type="dxa"/>
            <w:gridSpan w:val="3"/>
            <w:tcBorders>
              <w:right w:val="single" w:sz="6" w:space="0" w:color="auto"/>
            </w:tcBorders>
            <w:shd w:val="pct5" w:color="auto" w:fill="auto"/>
          </w:tcPr>
          <w:p w:rsidR="003E022D" w:rsidRDefault="007D19D6">
            <w:pPr>
              <w:spacing w:after="0"/>
              <w:ind w:left="-70"/>
              <w:rPr>
                <w:noProof/>
                <w:sz w:val="20"/>
              </w:rPr>
            </w:pPr>
            <w:r>
              <w:rPr>
                <w:noProof/>
                <w:sz w:val="20"/>
              </w:rPr>
              <w:t xml:space="preserve"> lūdz pieprasījuma saņēmēju iestādi apturēt tās sākto darbību.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3E022D" w:rsidRDefault="003E022D">
            <w:pPr>
              <w:spacing w:after="0"/>
              <w:rPr>
                <w:b/>
                <w:noProof/>
                <w:sz w:val="20"/>
              </w:rPr>
            </w:pPr>
          </w:p>
        </w:tc>
        <w:bookmarkStart w:id="1448" w:name="Check223"/>
        <w:tc>
          <w:tcPr>
            <w:tcW w:w="362" w:type="dxa"/>
            <w:shd w:val="pct5" w:color="auto" w:fill="auto"/>
          </w:tcPr>
          <w:p w:rsidR="003E022D" w:rsidRDefault="007D19D6">
            <w:pPr>
              <w:spacing w:after="0"/>
              <w:rPr>
                <w:b/>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8"/>
          </w:p>
        </w:tc>
        <w:tc>
          <w:tcPr>
            <w:tcW w:w="359" w:type="dxa"/>
            <w:gridSpan w:val="2"/>
            <w:shd w:val="pct5" w:color="auto" w:fill="auto"/>
          </w:tcPr>
          <w:p w:rsidR="003E022D" w:rsidRDefault="007D19D6">
            <w:pPr>
              <w:spacing w:after="0"/>
              <w:rPr>
                <w:b/>
                <w:noProof/>
                <w:sz w:val="20"/>
              </w:rPr>
            </w:pPr>
            <w:r>
              <w:rPr>
                <w:b/>
                <w:noProof/>
                <w:sz w:val="20"/>
              </w:rPr>
              <w:t>b.</w:t>
            </w:r>
          </w:p>
        </w:tc>
        <w:tc>
          <w:tcPr>
            <w:tcW w:w="7203" w:type="dxa"/>
            <w:gridSpan w:val="3"/>
            <w:tcBorders>
              <w:right w:val="single" w:sz="6" w:space="0" w:color="auto"/>
            </w:tcBorders>
            <w:shd w:val="pct5" w:color="auto" w:fill="auto"/>
          </w:tcPr>
          <w:p w:rsidR="003E022D" w:rsidRDefault="007D19D6">
            <w:pPr>
              <w:spacing w:after="0"/>
              <w:rPr>
                <w:noProof/>
                <w:sz w:val="20"/>
              </w:rPr>
            </w:pPr>
            <w:r>
              <w:rPr>
                <w:noProof/>
                <w:sz w:val="20"/>
              </w:rPr>
              <w:t>lūdz pieprasījuma saņēmēju iestādi veikt piesardzības pasākumus, lai nodrošinātu prasījuma piedziņu.</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3E022D" w:rsidRDefault="003E022D">
            <w:pPr>
              <w:spacing w:after="0"/>
              <w:rPr>
                <w:b/>
                <w:noProof/>
                <w:sz w:val="20"/>
              </w:rPr>
            </w:pPr>
          </w:p>
        </w:tc>
        <w:bookmarkStart w:id="1449" w:name="Check201"/>
        <w:tc>
          <w:tcPr>
            <w:tcW w:w="362" w:type="dxa"/>
            <w:tcBorders>
              <w:bottom w:val="single" w:sz="6" w:space="0" w:color="auto"/>
            </w:tcBorders>
            <w:shd w:val="pct5" w:color="auto" w:fill="auto"/>
          </w:tcPr>
          <w:p w:rsidR="003E022D" w:rsidRDefault="007D19D6">
            <w:pPr>
              <w:spacing w:after="0"/>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9"/>
          </w:p>
        </w:tc>
        <w:tc>
          <w:tcPr>
            <w:tcW w:w="359" w:type="dxa"/>
            <w:gridSpan w:val="2"/>
            <w:tcBorders>
              <w:bottom w:val="single" w:sz="6" w:space="0" w:color="auto"/>
            </w:tcBorders>
            <w:shd w:val="pct5" w:color="auto" w:fill="auto"/>
          </w:tcPr>
          <w:p w:rsidR="003E022D" w:rsidRDefault="007D19D6">
            <w:pPr>
              <w:spacing w:after="0"/>
              <w:rPr>
                <w:b/>
                <w:noProof/>
                <w:sz w:val="20"/>
              </w:rPr>
            </w:pPr>
            <w:r>
              <w:rPr>
                <w:b/>
                <w:noProof/>
                <w:sz w:val="20"/>
              </w:rPr>
              <w:t>c.</w:t>
            </w:r>
          </w:p>
        </w:tc>
        <w:tc>
          <w:tcPr>
            <w:tcW w:w="7203" w:type="dxa"/>
            <w:gridSpan w:val="3"/>
            <w:tcBorders>
              <w:bottom w:val="single" w:sz="6" w:space="0" w:color="auto"/>
              <w:right w:val="single" w:sz="6" w:space="0" w:color="auto"/>
            </w:tcBorders>
            <w:shd w:val="pct5" w:color="auto" w:fill="auto"/>
          </w:tcPr>
          <w:p w:rsidR="003E022D" w:rsidRDefault="007D19D6">
            <w:pPr>
              <w:spacing w:after="40"/>
              <w:rPr>
                <w:noProof/>
                <w:sz w:val="20"/>
              </w:rPr>
            </w:pPr>
            <w:r>
              <w:rPr>
                <w:noProof/>
                <w:sz w:val="20"/>
              </w:rPr>
              <w:t xml:space="preserve">lūdz </w:t>
            </w:r>
            <w:r>
              <w:rPr>
                <w:noProof/>
                <w:sz w:val="20"/>
              </w:rPr>
              <w:t xml:space="preserve">pieprasījuma saņēmēju iestādi veikt (turpināt) prasījuma piedziņu.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440"/>
        </w:trPr>
        <w:tc>
          <w:tcPr>
            <w:tcW w:w="1557" w:type="dxa"/>
            <w:tcBorders>
              <w:top w:val="single" w:sz="6" w:space="0" w:color="auto"/>
              <w:left w:val="single" w:sz="6" w:space="0" w:color="auto"/>
            </w:tcBorders>
          </w:tcPr>
          <w:p w:rsidR="003E022D" w:rsidRDefault="007D19D6">
            <w:pPr>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6" w:space="0" w:color="auto"/>
            </w:tcBorders>
            <w:shd w:val="pct15" w:color="auto" w:fill="auto"/>
          </w:tcPr>
          <w:p w:rsidR="003E022D" w:rsidRDefault="007D19D6">
            <w:pPr>
              <w:spacing w:after="0"/>
              <w:rPr>
                <w:b/>
                <w:noProof/>
                <w:sz w:val="20"/>
              </w:rPr>
            </w:pPr>
            <w:r>
              <w:rPr>
                <w:b/>
                <w:noProof/>
                <w:sz w:val="20"/>
              </w:rPr>
              <w:t>17.</w:t>
            </w:r>
          </w:p>
          <w:p w:rsidR="003E022D" w:rsidRDefault="007D19D6">
            <w:pPr>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right w:val="single" w:sz="6" w:space="0" w:color="auto"/>
            </w:tcBorders>
            <w:shd w:val="pct15" w:color="auto" w:fill="auto"/>
          </w:tcPr>
          <w:p w:rsidR="003E022D" w:rsidRDefault="007D19D6">
            <w:pPr>
              <w:spacing w:after="40"/>
              <w:rPr>
                <w:noProof/>
                <w:spacing w:val="-4"/>
                <w:sz w:val="20"/>
              </w:rPr>
            </w:pPr>
            <w:r>
              <w:rPr>
                <w:noProof/>
                <w:sz w:val="20"/>
              </w:rPr>
              <w:t>Pieprasījuma saņēmēja iestāde informē pieteikuma iesniedzēju iestādi, ka normatīvie akti un administratīvā prakse, kas ir spēkā valstī, kurā iestāde atrodas, neļauj veikt darbību, kas pierasīta:</w:t>
            </w:r>
          </w:p>
          <w:p w:rsidR="003E022D" w:rsidRDefault="007D19D6">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16. punkta b apakšpunktā. </w:t>
            </w:r>
          </w:p>
          <w:p w:rsidR="003E022D" w:rsidRDefault="007D19D6">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16 punkta c apakšpunktā.</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4" w:space="0" w:color="auto"/>
              <w:left w:val="single" w:sz="6" w:space="0" w:color="auto"/>
              <w:bottom w:val="single" w:sz="6" w:space="0" w:color="auto"/>
            </w:tcBorders>
          </w:tcPr>
          <w:p w:rsidR="003E022D" w:rsidRDefault="007D19D6">
            <w:pPr>
              <w:keepNext/>
              <w:keepLines/>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p w:rsidR="003E022D" w:rsidRDefault="003E022D">
            <w:pPr>
              <w:keepNext/>
              <w:keepLines/>
              <w:spacing w:after="0"/>
              <w:rPr>
                <w:b/>
                <w:noProof/>
                <w:sz w:val="20"/>
              </w:rPr>
            </w:pPr>
          </w:p>
        </w:tc>
        <w:tc>
          <w:tcPr>
            <w:tcW w:w="362" w:type="dxa"/>
            <w:tcBorders>
              <w:top w:val="single" w:sz="6" w:space="0" w:color="auto"/>
            </w:tcBorders>
            <w:shd w:val="pct5" w:color="auto" w:fill="auto"/>
          </w:tcPr>
          <w:p w:rsidR="003E022D" w:rsidRDefault="007D19D6">
            <w:pPr>
              <w:keepNext/>
              <w:keepLines/>
              <w:spacing w:after="0"/>
              <w:rPr>
                <w:b/>
                <w:noProof/>
                <w:sz w:val="20"/>
              </w:rPr>
            </w:pPr>
            <w:r>
              <w:rPr>
                <w:b/>
                <w:noProof/>
                <w:sz w:val="20"/>
              </w:rPr>
              <w:t>18.</w:t>
            </w:r>
          </w:p>
        </w:tc>
        <w:tc>
          <w:tcPr>
            <w:tcW w:w="7562" w:type="dxa"/>
            <w:gridSpan w:val="5"/>
            <w:tcBorders>
              <w:top w:val="single" w:sz="6" w:space="0" w:color="auto"/>
              <w:right w:val="single" w:sz="6" w:space="0" w:color="auto"/>
            </w:tcBorders>
            <w:shd w:val="pct5" w:color="auto" w:fill="auto"/>
          </w:tcPr>
          <w:p w:rsidR="003E022D" w:rsidRDefault="007D19D6">
            <w:pPr>
              <w:keepNext/>
              <w:keepLines/>
              <w:rPr>
                <w:noProof/>
                <w:sz w:val="20"/>
              </w:rPr>
            </w:pPr>
            <w:r>
              <w:rPr>
                <w:noProof/>
                <w:sz w:val="20"/>
              </w:rPr>
              <w:t>Pieteikuma iesniedzēja iestāde:</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17"/>
        </w:trPr>
        <w:tc>
          <w:tcPr>
            <w:tcW w:w="1557" w:type="dxa"/>
            <w:vMerge/>
            <w:tcBorders>
              <w:left w:val="single" w:sz="6" w:space="0" w:color="auto"/>
              <w:bottom w:val="single" w:sz="6" w:space="0" w:color="auto"/>
            </w:tcBorders>
          </w:tcPr>
          <w:p w:rsidR="003E022D" w:rsidRDefault="003E022D">
            <w:pPr>
              <w:keepNext/>
              <w:keepLines/>
              <w:spacing w:after="0"/>
              <w:rPr>
                <w:b/>
                <w:noProof/>
                <w:sz w:val="20"/>
              </w:rPr>
            </w:pPr>
          </w:p>
        </w:tc>
        <w:tc>
          <w:tcPr>
            <w:tcW w:w="362" w:type="dxa"/>
            <w:shd w:val="pct5" w:color="auto" w:fill="auto"/>
          </w:tcPr>
          <w:p w:rsidR="003E022D" w:rsidRDefault="007D19D6">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rsidR="003E022D" w:rsidRDefault="007D19D6">
            <w:pPr>
              <w:keepNext/>
              <w:keepLines/>
              <w:spacing w:after="0"/>
              <w:rPr>
                <w:b/>
                <w:noProof/>
                <w:sz w:val="20"/>
              </w:rPr>
            </w:pPr>
            <w:r>
              <w:rPr>
                <w:b/>
                <w:noProof/>
                <w:sz w:val="20"/>
              </w:rPr>
              <w:t>a.</w:t>
            </w:r>
          </w:p>
        </w:tc>
        <w:tc>
          <w:tcPr>
            <w:tcW w:w="7321" w:type="dxa"/>
            <w:gridSpan w:val="4"/>
            <w:tcBorders>
              <w:right w:val="single" w:sz="6" w:space="0" w:color="auto"/>
            </w:tcBorders>
            <w:shd w:val="pct5" w:color="auto" w:fill="auto"/>
          </w:tcPr>
          <w:p w:rsidR="003E022D" w:rsidRDefault="007D19D6">
            <w:pPr>
              <w:keepNext/>
              <w:keepLines/>
              <w:spacing w:after="0"/>
              <w:rPr>
                <w:noProof/>
                <w:sz w:val="20"/>
              </w:rPr>
            </w:pPr>
            <w:r>
              <w:rPr>
                <w:noProof/>
                <w:sz w:val="20"/>
              </w:rPr>
              <w:t xml:space="preserve">groza piedziņas/piesardzības pasākumu pieprasījumu </w:t>
            </w:r>
          </w:p>
          <w:p w:rsidR="003E022D" w:rsidRDefault="007D19D6">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saskaņā ar lēmumu par apstrīdēto prasījumu [šī informācija par lēmumu tiks iekļauta 6A logā]</w:t>
            </w:r>
          </w:p>
          <w:p w:rsidR="003E022D" w:rsidRDefault="007D19D6">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jo daļa no prasījuma i</w:t>
            </w:r>
            <w:r>
              <w:rPr>
                <w:noProof/>
                <w:sz w:val="20"/>
              </w:rPr>
              <w:t>r samaksāta tieši pieteikuma iesniedzējai iestādei;</w:t>
            </w:r>
          </w:p>
          <w:p w:rsidR="003E022D" w:rsidRDefault="007D19D6">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cita iemesla dēļ: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rsidR="003E022D" w:rsidRDefault="003E022D">
            <w:pPr>
              <w:keepNext/>
              <w:keepLines/>
              <w:spacing w:after="0"/>
              <w:rPr>
                <w:noProof/>
                <w:sz w:val="20"/>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73"/>
        </w:trPr>
        <w:tc>
          <w:tcPr>
            <w:tcW w:w="1557" w:type="dxa"/>
            <w:vMerge/>
            <w:tcBorders>
              <w:left w:val="single" w:sz="6" w:space="0" w:color="auto"/>
              <w:bottom w:val="single" w:sz="6" w:space="0" w:color="auto"/>
            </w:tcBorders>
          </w:tcPr>
          <w:p w:rsidR="003E022D" w:rsidRDefault="003E022D">
            <w:pPr>
              <w:keepNext/>
              <w:keepLines/>
              <w:spacing w:after="0"/>
              <w:rPr>
                <w:b/>
                <w:noProof/>
                <w:sz w:val="20"/>
              </w:rPr>
            </w:pPr>
          </w:p>
        </w:tc>
        <w:tc>
          <w:tcPr>
            <w:tcW w:w="362" w:type="dxa"/>
            <w:tcBorders>
              <w:bottom w:val="single" w:sz="6" w:space="0" w:color="auto"/>
            </w:tcBorders>
            <w:shd w:val="pct5" w:color="auto" w:fill="auto"/>
          </w:tcPr>
          <w:p w:rsidR="003E022D" w:rsidRDefault="007D19D6">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3E022D" w:rsidRDefault="007D19D6">
            <w:pPr>
              <w:keepNext/>
              <w:keepLines/>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rsidR="003E022D" w:rsidRDefault="007D19D6">
            <w:pPr>
              <w:keepNext/>
              <w:keepLines/>
              <w:spacing w:after="0"/>
              <w:rPr>
                <w:noProof/>
                <w:sz w:val="20"/>
              </w:rPr>
            </w:pPr>
            <w:r>
              <w:rPr>
                <w:noProof/>
                <w:sz w:val="20"/>
              </w:rPr>
              <w:t xml:space="preserve">lūdz pieprasījuma saņēmēju iestādi atsākt izpildes procedūras, jo apstrīdēšana nebija parādniekam labvēlīga (šajā jautājumā kompetentās iestādes lēmums, kas pieņemts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 xml:space="preserve">). </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6" w:space="0" w:color="auto"/>
              <w:left w:val="single" w:sz="6" w:space="0" w:color="auto"/>
            </w:tcBorders>
          </w:tcPr>
          <w:p w:rsidR="003E022D" w:rsidRDefault="007D19D6">
            <w:pPr>
              <w:spacing w:before="40"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p w:rsidR="003E022D" w:rsidRDefault="003E022D">
            <w:pPr>
              <w:spacing w:after="0"/>
              <w:rPr>
                <w:b/>
                <w:noProof/>
                <w:sz w:val="20"/>
              </w:rPr>
            </w:pPr>
          </w:p>
        </w:tc>
        <w:tc>
          <w:tcPr>
            <w:tcW w:w="362" w:type="dxa"/>
            <w:tcBorders>
              <w:top w:val="single" w:sz="6" w:space="0" w:color="auto"/>
            </w:tcBorders>
            <w:shd w:val="pct5" w:color="auto" w:fill="auto"/>
          </w:tcPr>
          <w:p w:rsidR="003E022D" w:rsidRDefault="007D19D6">
            <w:pPr>
              <w:spacing w:before="40" w:after="40"/>
              <w:rPr>
                <w:b/>
                <w:noProof/>
                <w:sz w:val="20"/>
              </w:rPr>
            </w:pPr>
            <w:r>
              <w:rPr>
                <w:b/>
                <w:noProof/>
                <w:sz w:val="20"/>
              </w:rPr>
              <w:t>19.</w:t>
            </w:r>
          </w:p>
        </w:tc>
        <w:tc>
          <w:tcPr>
            <w:tcW w:w="7562" w:type="dxa"/>
            <w:gridSpan w:val="5"/>
            <w:tcBorders>
              <w:top w:val="single" w:sz="6" w:space="0" w:color="auto"/>
              <w:right w:val="single" w:sz="6" w:space="0" w:color="auto"/>
            </w:tcBorders>
            <w:shd w:val="pct5" w:color="auto" w:fill="auto"/>
          </w:tcPr>
          <w:p w:rsidR="003E022D" w:rsidRDefault="007D19D6">
            <w:pPr>
              <w:spacing w:before="40" w:after="0"/>
              <w:rPr>
                <w:noProof/>
                <w:sz w:val="20"/>
              </w:rPr>
            </w:pPr>
            <w:r>
              <w:rPr>
                <w:noProof/>
                <w:sz w:val="20"/>
              </w:rPr>
              <w:t>Pieteikuma iesniedzēja iestāde atsauc šo piedziņas/piesardzības pasākumu pieprasījumu, jo:</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3E022D" w:rsidRDefault="003E022D">
            <w:pPr>
              <w:spacing w:after="0"/>
              <w:rPr>
                <w:i/>
                <w:noProof/>
                <w:sz w:val="20"/>
              </w:rPr>
            </w:pPr>
          </w:p>
        </w:tc>
        <w:tc>
          <w:tcPr>
            <w:tcW w:w="362" w:type="dxa"/>
            <w:shd w:val="pct5" w:color="auto" w:fill="auto"/>
          </w:tcPr>
          <w:p w:rsidR="003E022D" w:rsidRDefault="007D19D6">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3E022D" w:rsidRDefault="007D19D6">
            <w:pPr>
              <w:spacing w:after="0"/>
              <w:rPr>
                <w:b/>
                <w:noProof/>
                <w:sz w:val="20"/>
              </w:rPr>
            </w:pPr>
            <w:r>
              <w:rPr>
                <w:b/>
                <w:noProof/>
                <w:sz w:val="20"/>
              </w:rPr>
              <w:t>a.</w:t>
            </w:r>
          </w:p>
        </w:tc>
        <w:tc>
          <w:tcPr>
            <w:tcW w:w="7203" w:type="dxa"/>
            <w:gridSpan w:val="3"/>
            <w:tcBorders>
              <w:right w:val="single" w:sz="6" w:space="0" w:color="auto"/>
            </w:tcBorders>
            <w:shd w:val="pct5" w:color="auto" w:fill="auto"/>
          </w:tcPr>
          <w:p w:rsidR="003E022D" w:rsidRDefault="007D19D6">
            <w:pPr>
              <w:spacing w:after="0"/>
              <w:rPr>
                <w:noProof/>
                <w:sz w:val="20"/>
              </w:rPr>
            </w:pPr>
            <w:r>
              <w:rPr>
                <w:noProof/>
                <w:sz w:val="20"/>
              </w:rPr>
              <w:t>summa samaksāta tieši pieteikuma iesniedzējai iestādei.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3E022D" w:rsidRDefault="003E022D">
            <w:pPr>
              <w:spacing w:after="0"/>
              <w:rPr>
                <w:i/>
                <w:noProof/>
                <w:sz w:val="20"/>
              </w:rPr>
            </w:pPr>
          </w:p>
        </w:tc>
        <w:tc>
          <w:tcPr>
            <w:tcW w:w="362" w:type="dxa"/>
            <w:shd w:val="pct5" w:color="auto" w:fill="auto"/>
          </w:tcPr>
          <w:p w:rsidR="003E022D" w:rsidRDefault="007D19D6">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3E022D" w:rsidRDefault="007D19D6">
            <w:pPr>
              <w:spacing w:after="0"/>
              <w:rPr>
                <w:b/>
                <w:noProof/>
                <w:sz w:val="20"/>
              </w:rPr>
            </w:pPr>
            <w:r>
              <w:rPr>
                <w:b/>
                <w:noProof/>
                <w:sz w:val="20"/>
              </w:rPr>
              <w:t>b.</w:t>
            </w:r>
          </w:p>
        </w:tc>
        <w:tc>
          <w:tcPr>
            <w:tcW w:w="7203" w:type="dxa"/>
            <w:gridSpan w:val="3"/>
            <w:tcBorders>
              <w:right w:val="single" w:sz="6" w:space="0" w:color="auto"/>
            </w:tcBorders>
            <w:shd w:val="pct5" w:color="auto" w:fill="auto"/>
          </w:tcPr>
          <w:p w:rsidR="003E022D" w:rsidRDefault="007D19D6">
            <w:pPr>
              <w:spacing w:after="0"/>
              <w:rPr>
                <w:b/>
                <w:noProof/>
                <w:sz w:val="20"/>
              </w:rPr>
            </w:pPr>
            <w:r>
              <w:rPr>
                <w:noProof/>
                <w:sz w:val="20"/>
              </w:rPr>
              <w:t>ir beidzies piedziņas darbības termiņš.</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3E022D" w:rsidRDefault="003E022D">
            <w:pPr>
              <w:spacing w:after="0"/>
              <w:rPr>
                <w:i/>
                <w:noProof/>
                <w:sz w:val="20"/>
              </w:rPr>
            </w:pPr>
          </w:p>
        </w:tc>
        <w:tc>
          <w:tcPr>
            <w:tcW w:w="362" w:type="dxa"/>
            <w:shd w:val="pct5" w:color="auto" w:fill="auto"/>
          </w:tcPr>
          <w:p w:rsidR="003E022D" w:rsidRDefault="007D19D6">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3E022D" w:rsidRDefault="007D19D6">
            <w:pPr>
              <w:spacing w:after="0"/>
              <w:rPr>
                <w:b/>
                <w:noProof/>
                <w:sz w:val="20"/>
              </w:rPr>
            </w:pPr>
            <w:r>
              <w:rPr>
                <w:b/>
                <w:noProof/>
                <w:sz w:val="20"/>
              </w:rPr>
              <w:t>c.</w:t>
            </w:r>
          </w:p>
        </w:tc>
        <w:tc>
          <w:tcPr>
            <w:tcW w:w="7203" w:type="dxa"/>
            <w:gridSpan w:val="3"/>
            <w:tcBorders>
              <w:right w:val="single" w:sz="6" w:space="0" w:color="auto"/>
            </w:tcBorders>
            <w:shd w:val="pct5" w:color="auto" w:fill="auto"/>
          </w:tcPr>
          <w:p w:rsidR="003E022D" w:rsidRDefault="007D19D6">
            <w:pPr>
              <w:spacing w:after="0"/>
              <w:rPr>
                <w:b/>
                <w:noProof/>
                <w:sz w:val="20"/>
              </w:rPr>
            </w:pPr>
            <w:r>
              <w:rPr>
                <w:noProof/>
                <w:sz w:val="20"/>
              </w:rPr>
              <w:t>valsts tiesa vai administratīva iestāde ir anulējusi prasījumu(-us).</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3E022D" w:rsidRDefault="003E022D">
            <w:pPr>
              <w:spacing w:after="0"/>
              <w:rPr>
                <w:i/>
                <w:noProof/>
                <w:sz w:val="20"/>
              </w:rPr>
            </w:pPr>
          </w:p>
        </w:tc>
        <w:tc>
          <w:tcPr>
            <w:tcW w:w="362" w:type="dxa"/>
            <w:shd w:val="pct5" w:color="auto" w:fill="auto"/>
          </w:tcPr>
          <w:p w:rsidR="003E022D" w:rsidRDefault="007D19D6">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3E022D" w:rsidRDefault="007D19D6">
            <w:pPr>
              <w:spacing w:after="0"/>
              <w:rPr>
                <w:b/>
                <w:noProof/>
                <w:sz w:val="20"/>
              </w:rPr>
            </w:pPr>
            <w:r>
              <w:rPr>
                <w:b/>
                <w:noProof/>
                <w:sz w:val="20"/>
              </w:rPr>
              <w:t>d.</w:t>
            </w:r>
          </w:p>
        </w:tc>
        <w:tc>
          <w:tcPr>
            <w:tcW w:w="7203" w:type="dxa"/>
            <w:gridSpan w:val="3"/>
            <w:tcBorders>
              <w:right w:val="single" w:sz="6" w:space="0" w:color="auto"/>
            </w:tcBorders>
            <w:shd w:val="pct5" w:color="auto" w:fill="auto"/>
          </w:tcPr>
          <w:p w:rsidR="003E022D" w:rsidRDefault="007D19D6">
            <w:pPr>
              <w:spacing w:after="0"/>
              <w:rPr>
                <w:b/>
                <w:noProof/>
                <w:sz w:val="20"/>
              </w:rPr>
            </w:pPr>
            <w:r>
              <w:rPr>
                <w:noProof/>
                <w:sz w:val="20"/>
              </w:rPr>
              <w:t>ir anulēts instruments, kas atļauj izpildi.</w:t>
            </w: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1"/>
        </w:trPr>
        <w:tc>
          <w:tcPr>
            <w:tcW w:w="1557" w:type="dxa"/>
            <w:vMerge/>
            <w:tcBorders>
              <w:left w:val="single" w:sz="6" w:space="0" w:color="auto"/>
            </w:tcBorders>
          </w:tcPr>
          <w:p w:rsidR="003E022D" w:rsidRDefault="003E022D">
            <w:pPr>
              <w:spacing w:after="0"/>
              <w:rPr>
                <w:i/>
                <w:noProof/>
                <w:sz w:val="20"/>
              </w:rPr>
            </w:pPr>
          </w:p>
        </w:tc>
        <w:tc>
          <w:tcPr>
            <w:tcW w:w="362" w:type="dxa"/>
            <w:shd w:val="pct5" w:color="auto" w:fill="auto"/>
          </w:tcPr>
          <w:p w:rsidR="003E022D" w:rsidRDefault="007D19D6">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3E022D" w:rsidRDefault="007D19D6">
            <w:pPr>
              <w:spacing w:after="0"/>
              <w:rPr>
                <w:b/>
                <w:noProof/>
                <w:sz w:val="20"/>
              </w:rPr>
            </w:pPr>
            <w:r>
              <w:rPr>
                <w:b/>
                <w:noProof/>
                <w:sz w:val="20"/>
              </w:rPr>
              <w:t>e.</w:t>
            </w:r>
          </w:p>
        </w:tc>
        <w:tc>
          <w:tcPr>
            <w:tcW w:w="7203" w:type="dxa"/>
            <w:gridSpan w:val="3"/>
            <w:tcBorders>
              <w:right w:val="single" w:sz="6" w:space="0" w:color="auto"/>
            </w:tcBorders>
            <w:shd w:val="pct5" w:color="auto" w:fill="auto"/>
          </w:tcPr>
          <w:p w:rsidR="003E022D" w:rsidRDefault="007D19D6">
            <w:pPr>
              <w:spacing w:after="0"/>
              <w:rPr>
                <w:b/>
                <w:noProof/>
                <w:sz w:val="20"/>
              </w:rPr>
            </w:pPr>
            <w:r>
              <w:rPr>
                <w:noProof/>
                <w:sz w:val="20"/>
              </w:rPr>
              <w:t xml:space="preserve">cits iemesls: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3E022D" w:rsidRDefault="003E022D">
            <w:pPr>
              <w:spacing w:after="0"/>
              <w:rPr>
                <w:b/>
                <w:noProof/>
                <w:sz w:val="20"/>
              </w:rPr>
            </w:pPr>
          </w:p>
        </w:tc>
      </w:tr>
      <w:tr w:rsidR="003E02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3E022D" w:rsidRDefault="007D19D6">
            <w:pPr>
              <w:spacing w:after="0"/>
              <w:rPr>
                <w:b/>
                <w:noProof/>
                <w:sz w:val="20"/>
              </w:rPr>
            </w:pPr>
            <w:r>
              <w:rPr>
                <w:i/>
                <w:noProof/>
                <w:sz w:val="20"/>
              </w:rPr>
              <w:fldChar w:fldCharType="begin" w:fldLock="1">
                <w:ffData>
                  <w:name w:val="Text52"/>
                  <w:enabled/>
                  <w:calcOnExit w:val="0"/>
                  <w:textInput>
                    <w:default w:val="datums"/>
                  </w:textInput>
                </w:ffData>
              </w:fldChar>
            </w:r>
            <w:r>
              <w:rPr>
                <w:i/>
                <w:noProof/>
                <w:sz w:val="20"/>
              </w:rPr>
              <w:instrText xml:space="preserve"> FORMTEXT </w:instrText>
            </w:r>
            <w:r>
              <w:rPr>
                <w:i/>
                <w:noProof/>
                <w:sz w:val="20"/>
              </w:rPr>
            </w:r>
            <w:r>
              <w:rPr>
                <w:i/>
                <w:noProof/>
                <w:sz w:val="20"/>
              </w:rPr>
              <w:fldChar w:fldCharType="separate"/>
            </w:r>
            <w:r>
              <w:rPr>
                <w:i/>
                <w:noProof/>
                <w:sz w:val="20"/>
              </w:rPr>
              <w:t>datums</w:t>
            </w:r>
            <w:r>
              <w:rPr>
                <w:i/>
                <w:noProof/>
                <w:sz w:val="20"/>
              </w:rPr>
              <w:fldChar w:fldCharType="end"/>
            </w:r>
          </w:p>
        </w:tc>
        <w:tc>
          <w:tcPr>
            <w:tcW w:w="362" w:type="dxa"/>
            <w:tcBorders>
              <w:top w:val="single" w:sz="6" w:space="0" w:color="auto"/>
              <w:bottom w:val="single" w:sz="6" w:space="0" w:color="auto"/>
            </w:tcBorders>
          </w:tcPr>
          <w:p w:rsidR="003E022D" w:rsidRDefault="007D19D6">
            <w:pPr>
              <w:spacing w:after="0"/>
              <w:rPr>
                <w:b/>
                <w:noProof/>
                <w:sz w:val="20"/>
              </w:rPr>
            </w:pPr>
            <w:r>
              <w:rPr>
                <w:b/>
                <w:noProof/>
                <w:sz w:val="20"/>
              </w:rPr>
              <w:t>20.</w:t>
            </w:r>
          </w:p>
          <w:p w:rsidR="003E022D" w:rsidRDefault="007D19D6">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w:instrText>
            </w:r>
            <w:r>
              <w:rPr>
                <w:b/>
                <w:noProof/>
                <w:sz w:val="20"/>
              </w:rPr>
              <w:instrText xml:space="preserve">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tcPr>
          <w:p w:rsidR="003E022D" w:rsidRDefault="007D19D6">
            <w:pPr>
              <w:spacing w:before="60" w:after="0"/>
              <w:rPr>
                <w:noProof/>
                <w:sz w:val="20"/>
              </w:rPr>
            </w:pPr>
            <w:r>
              <w:rPr>
                <w:noProof/>
                <w:sz w:val="20"/>
              </w:rPr>
              <w:t xml:space="preserve">Cita: </w:t>
            </w:r>
            <w:r>
              <w:rPr>
                <w:noProof/>
                <w:sz w:val="20"/>
              </w:rPr>
              <w:sym w:font="Wingdings" w:char="F0A1"/>
            </w:r>
            <w:r>
              <w:rPr>
                <w:noProof/>
                <w:sz w:val="20"/>
              </w:rPr>
              <w:t xml:space="preserve"> pieteikuma iesniedzējas iestādes vai </w:t>
            </w:r>
            <w:r>
              <w:rPr>
                <w:noProof/>
                <w:sz w:val="20"/>
              </w:rPr>
              <w:sym w:font="Wingdings" w:char="F0A1"/>
            </w:r>
            <w:r>
              <w:rPr>
                <w:noProof/>
                <w:sz w:val="20"/>
              </w:rPr>
              <w:t xml:space="preserve"> pieprasījuma saņēmējas iestādes piezīme</w:t>
            </w:r>
          </w:p>
          <w:p w:rsidR="003E022D" w:rsidRDefault="007D19D6">
            <w:pPr>
              <w:spacing w:after="0"/>
              <w:rPr>
                <w:i/>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i/>
                <w:noProof/>
                <w:sz w:val="20"/>
              </w:rPr>
              <w:t>(Katras piezīmes sākumā norād</w:t>
            </w:r>
            <w:r>
              <w:rPr>
                <w:i/>
                <w:noProof/>
                <w:sz w:val="20"/>
              </w:rPr>
              <w:t xml:space="preserve">īt datumu) </w:t>
            </w:r>
          </w:p>
          <w:p w:rsidR="003E022D" w:rsidRDefault="003E022D">
            <w:pPr>
              <w:spacing w:after="0"/>
              <w:rPr>
                <w:b/>
                <w:noProof/>
                <w:sz w:val="20"/>
              </w:rPr>
            </w:pPr>
          </w:p>
          <w:p w:rsidR="003E022D" w:rsidRDefault="003E022D">
            <w:pPr>
              <w:spacing w:after="0"/>
              <w:rPr>
                <w:b/>
                <w:noProof/>
                <w:sz w:val="20"/>
              </w:rPr>
            </w:pPr>
          </w:p>
          <w:p w:rsidR="003E022D" w:rsidRDefault="003E022D">
            <w:pPr>
              <w:spacing w:after="0"/>
              <w:rPr>
                <w:b/>
                <w:noProof/>
                <w:sz w:val="20"/>
              </w:rPr>
            </w:pPr>
          </w:p>
          <w:p w:rsidR="003E022D" w:rsidRDefault="003E022D">
            <w:pPr>
              <w:spacing w:after="0"/>
              <w:rPr>
                <w:b/>
                <w:noProof/>
                <w:sz w:val="20"/>
              </w:rPr>
            </w:pPr>
          </w:p>
          <w:p w:rsidR="003E022D" w:rsidRDefault="003E022D">
            <w:pPr>
              <w:spacing w:after="0"/>
              <w:rPr>
                <w:b/>
                <w:noProof/>
                <w:sz w:val="20"/>
              </w:rPr>
            </w:pPr>
          </w:p>
          <w:p w:rsidR="003E022D" w:rsidRDefault="003E022D">
            <w:pPr>
              <w:spacing w:after="0"/>
              <w:rPr>
                <w:b/>
                <w:noProof/>
                <w:sz w:val="20"/>
              </w:rPr>
            </w:pPr>
          </w:p>
          <w:p w:rsidR="003E022D" w:rsidRDefault="003E022D">
            <w:pPr>
              <w:spacing w:after="0"/>
              <w:rPr>
                <w:noProof/>
              </w:rPr>
            </w:pPr>
          </w:p>
        </w:tc>
      </w:tr>
    </w:tbl>
    <w:p w:rsidR="003E022D" w:rsidRDefault="003E022D">
      <w:pPr>
        <w:rPr>
          <w:noProof/>
        </w:rPr>
      </w:pPr>
    </w:p>
    <w:p w:rsidR="003E022D" w:rsidRDefault="003E022D">
      <w:pPr>
        <w:rPr>
          <w:noProof/>
        </w:rPr>
      </w:pPr>
    </w:p>
    <w:p w:rsidR="003E022D" w:rsidRDefault="007D19D6">
      <w:pPr>
        <w:spacing w:after="0" w:line="276" w:lineRule="auto"/>
        <w:jc w:val="left"/>
        <w:rPr>
          <w:noProof/>
        </w:rPr>
      </w:pPr>
      <w:r>
        <w:rPr>
          <w:noProof/>
        </w:rPr>
        <w:br w:type="page"/>
      </w:r>
    </w:p>
    <w:p w:rsidR="003E022D" w:rsidRDefault="007D19D6">
      <w:pPr>
        <w:pStyle w:val="Heading1"/>
        <w:rPr>
          <w:noProof/>
        </w:rPr>
      </w:pPr>
      <w:bookmarkStart w:id="1450" w:name="_Toc59110600"/>
      <w:bookmarkStart w:id="1451" w:name="_Toc59988439"/>
      <w:r>
        <w:rPr>
          <w:noProof/>
        </w:rPr>
        <w:t>PROTOKOLS PAR SAVSTARPĒJU ADMINISTRATĪVO PALĪDZĪBU MUITAS LIETĀS</w:t>
      </w:r>
      <w:bookmarkEnd w:id="1450"/>
      <w:bookmarkEnd w:id="1451"/>
    </w:p>
    <w:p w:rsidR="003E022D" w:rsidRDefault="007D19D6">
      <w:pPr>
        <w:pStyle w:val="Article"/>
        <w:rPr>
          <w:noProof/>
        </w:rPr>
      </w:pPr>
      <w:r>
        <w:rPr>
          <w:noProof/>
        </w:rPr>
        <w:t>1. pants. Definīcijas</w:t>
      </w:r>
    </w:p>
    <w:p w:rsidR="003E022D" w:rsidRDefault="007D19D6">
      <w:pPr>
        <w:numPr>
          <w:ilvl w:val="0"/>
          <w:numId w:val="994"/>
        </w:numPr>
        <w:ind w:left="0" w:firstLine="0"/>
        <w:rPr>
          <w:rFonts w:cstheme="minorHAnsi"/>
          <w:noProof/>
        </w:rPr>
      </w:pPr>
      <w:r>
        <w:rPr>
          <w:noProof/>
        </w:rPr>
        <w:t>Šajā protokolā:</w:t>
      </w:r>
    </w:p>
    <w:p w:rsidR="003E022D" w:rsidRDefault="007D19D6">
      <w:pPr>
        <w:numPr>
          <w:ilvl w:val="0"/>
          <w:numId w:val="1223"/>
        </w:numPr>
        <w:ind w:left="567" w:hanging="567"/>
        <w:rPr>
          <w:rFonts w:asciiTheme="minorHAnsi" w:hAnsiTheme="minorHAnsi" w:cstheme="minorHAnsi"/>
          <w:noProof/>
        </w:rPr>
      </w:pPr>
      <w:r>
        <w:rPr>
          <w:rFonts w:asciiTheme="minorHAnsi" w:hAnsiTheme="minorHAnsi"/>
          <w:noProof/>
        </w:rPr>
        <w:t xml:space="preserve">“pieprasījuma iesniedzēja iestāde” ir kompetenta pārvaldes iestāde, kuru šim mērķim izraudzījusies Puse un kura pieprasa </w:t>
      </w:r>
      <w:r>
        <w:rPr>
          <w:rFonts w:asciiTheme="minorHAnsi" w:hAnsiTheme="minorHAnsi"/>
          <w:noProof/>
        </w:rPr>
        <w:t>palīdzību, pamatojoties uz šo protokolu;</w:t>
      </w:r>
    </w:p>
    <w:p w:rsidR="003E022D" w:rsidRDefault="007D19D6">
      <w:pPr>
        <w:numPr>
          <w:ilvl w:val="0"/>
          <w:numId w:val="1223"/>
        </w:numPr>
        <w:ind w:left="567" w:hanging="567"/>
        <w:rPr>
          <w:rFonts w:asciiTheme="minorHAnsi" w:hAnsiTheme="minorHAnsi" w:cstheme="minorHAnsi"/>
          <w:noProof/>
        </w:rPr>
      </w:pPr>
      <w:r>
        <w:rPr>
          <w:rFonts w:asciiTheme="minorHAnsi" w:hAnsiTheme="minorHAnsi"/>
          <w:noProof/>
        </w:rPr>
        <w:t>“darbība, ar ko pārkāpj tiesību aktus muitas jomā” ir jebkurš tiesību aktu muitas jomā pārkāpums vai pārkāpuma mēģinājums.</w:t>
      </w:r>
    </w:p>
    <w:p w:rsidR="003E022D" w:rsidRDefault="007D19D6">
      <w:pPr>
        <w:numPr>
          <w:ilvl w:val="0"/>
          <w:numId w:val="1223"/>
        </w:numPr>
        <w:ind w:left="567" w:hanging="567"/>
        <w:rPr>
          <w:rFonts w:cstheme="minorHAnsi"/>
          <w:noProof/>
        </w:rPr>
      </w:pPr>
      <w:r>
        <w:rPr>
          <w:noProof/>
        </w:rPr>
        <w:t>“pieprasījuma saņēmēja iestāde” ir kompetenta pārvaldes iestāde, kuru šim mērķim izraudzījus</w:t>
      </w:r>
      <w:r>
        <w:rPr>
          <w:noProof/>
        </w:rPr>
        <w:t>ies Puse un kura saņem palīdzības pieprasījumu, pamatojoties uz šo protokolu;</w:t>
      </w:r>
    </w:p>
    <w:p w:rsidR="003E022D" w:rsidRDefault="007D19D6">
      <w:pPr>
        <w:pStyle w:val="ListParagraph"/>
        <w:numPr>
          <w:ilvl w:val="0"/>
          <w:numId w:val="994"/>
        </w:numPr>
        <w:ind w:left="0" w:firstLine="0"/>
        <w:rPr>
          <w:noProof/>
        </w:rPr>
      </w:pPr>
      <w:r>
        <w:rPr>
          <w:noProof/>
        </w:rPr>
        <w:t>Ja vien šajā protokolā nav noteikts savādāk, šā nolīguma otrā daļas [Tirdzniecība, transports un zvejniecība] pirmā temata [Tirdzniecība] Ī sadaļas [Preču tirdzniecība] 5. nodaļas [Muita un tirdzniecības atvieglināšana] definīcijas piemēro arī šim protokol</w:t>
      </w:r>
      <w:r>
        <w:rPr>
          <w:noProof/>
        </w:rPr>
        <w:t xml:space="preserve">am. </w:t>
      </w:r>
    </w:p>
    <w:p w:rsidR="003E022D" w:rsidRDefault="007D19D6">
      <w:pPr>
        <w:pStyle w:val="Article"/>
        <w:rPr>
          <w:noProof/>
        </w:rPr>
      </w:pPr>
      <w:r>
        <w:rPr>
          <w:noProof/>
        </w:rPr>
        <w:t>2. pants. Darbības joma</w:t>
      </w:r>
    </w:p>
    <w:p w:rsidR="003E022D" w:rsidRDefault="007D19D6">
      <w:pPr>
        <w:numPr>
          <w:ilvl w:val="0"/>
          <w:numId w:val="1224"/>
        </w:numPr>
        <w:ind w:left="0" w:firstLine="0"/>
        <w:rPr>
          <w:rFonts w:cstheme="minorHAnsi"/>
          <w:noProof/>
        </w:rPr>
      </w:pPr>
      <w:r>
        <w:rPr>
          <w:noProof/>
        </w:rPr>
        <w:t>Puses palīdz viena otrai savas kompetences jomās tādā veidā un ar tādiem nosacījumiem, kas izklāstīti šajā protokolā, lai nodrošinātu tiesību aktu muitas jomā pareizu piemērošanu, jo īpaši novēršot, izmeklējot un apkarojot darb</w:t>
      </w:r>
      <w:r>
        <w:rPr>
          <w:noProof/>
        </w:rPr>
        <w:t>ības, kas ir pretrunā ar minētajiem tiesību aktiem.</w:t>
      </w:r>
    </w:p>
    <w:p w:rsidR="003E022D" w:rsidRDefault="007D19D6">
      <w:pPr>
        <w:numPr>
          <w:ilvl w:val="0"/>
          <w:numId w:val="1224"/>
        </w:numPr>
        <w:ind w:left="0" w:firstLine="0"/>
        <w:rPr>
          <w:rFonts w:cstheme="minorHAnsi"/>
          <w:noProof/>
        </w:rPr>
      </w:pPr>
      <w:r>
        <w:rPr>
          <w:noProof/>
        </w:rPr>
        <w:t>Šajā protokolā paredzētā palīdzība muitas lietās attiecas uz visām abu Pušu administratīvajām iestādēm, kuru kompetencē ir šā protokola piemērošana. Minētā palīdzība neskar noteikumus, kas reglamentē savs</w:t>
      </w:r>
      <w:r>
        <w:rPr>
          <w:noProof/>
        </w:rPr>
        <w:t>tarpējo palīdzību krimināllietās, un neattiecas uz informāciju, kura iegūta, izmantojot pēc tiesu iestādes pieprasījuma piešķirtās pilnvaras, izņemot gadījumus, kad minētā iestāde ir atļāvusi šādas informācijas paziņošanu.</w:t>
      </w:r>
    </w:p>
    <w:p w:rsidR="003E022D" w:rsidRDefault="007D19D6">
      <w:pPr>
        <w:numPr>
          <w:ilvl w:val="0"/>
          <w:numId w:val="1224"/>
        </w:numPr>
        <w:ind w:left="0" w:firstLine="0"/>
        <w:rPr>
          <w:rFonts w:cstheme="minorHAnsi"/>
          <w:noProof/>
        </w:rPr>
      </w:pPr>
      <w:r>
        <w:rPr>
          <w:noProof/>
        </w:rPr>
        <w:t xml:space="preserve">Uz palīdzību nodevu, nodokļu vai naudas sodu atgūšanā attiecas </w:t>
      </w:r>
      <w:r>
        <w:rPr>
          <w:rStyle w:val="normaltextrun"/>
          <w:noProof/>
        </w:rPr>
        <w:t>Protokols</w:t>
      </w:r>
      <w:r>
        <w:rPr>
          <w:noProof/>
        </w:rPr>
        <w:t xml:space="preserve"> par administratīvo sadarbību, krāpšanas apkarošanu un prasījumu piedziņu pievienotās vērtības nodokļa jomā un par savstarpēju palīdzību nodokļu un nodevu prasījumu piedziņā.</w:t>
      </w:r>
    </w:p>
    <w:p w:rsidR="003E022D" w:rsidRDefault="007D19D6">
      <w:pPr>
        <w:pStyle w:val="Article"/>
        <w:rPr>
          <w:noProof/>
        </w:rPr>
      </w:pPr>
      <w:r>
        <w:rPr>
          <w:noProof/>
        </w:rPr>
        <w:t>3. pants.</w:t>
      </w:r>
      <w:r>
        <w:rPr>
          <w:noProof/>
        </w:rPr>
        <w:t xml:space="preserve"> Palīdzība pēc pieprasījuma</w:t>
      </w:r>
    </w:p>
    <w:p w:rsidR="003E022D" w:rsidRDefault="007D19D6">
      <w:pPr>
        <w:numPr>
          <w:ilvl w:val="0"/>
          <w:numId w:val="995"/>
        </w:numPr>
        <w:ind w:left="0" w:firstLine="0"/>
        <w:rPr>
          <w:rFonts w:cstheme="minorHAnsi"/>
          <w:noProof/>
        </w:rPr>
      </w:pPr>
      <w:r>
        <w:rPr>
          <w:noProof/>
        </w:rPr>
        <w:t>Pēc pieprasījuma iesniedzējas iestādes lūguma pieprasījuma saņēmēja iestāde sniedz pieprasījuma iesniedzējai iestādei visu attiecīgo informāciju, kas pieprasījuma iesniedzējai iestādei ļauj nodrošināt pareizu tiesību aktu piemēr</w:t>
      </w:r>
      <w:r>
        <w:rPr>
          <w:noProof/>
        </w:rPr>
        <w:t>ošanu muitas jomā, tostarp informāciju par konstatētajām vai plānotajām darbībām, kuras ir vai varētu būt darbības, ar kurām pārkāpj tiesību aktus muitas jomā.</w:t>
      </w:r>
    </w:p>
    <w:p w:rsidR="003E022D" w:rsidRDefault="007D19D6">
      <w:pPr>
        <w:numPr>
          <w:ilvl w:val="0"/>
          <w:numId w:val="995"/>
        </w:numPr>
        <w:ind w:left="0" w:firstLine="0"/>
        <w:rPr>
          <w:rFonts w:cstheme="minorHAnsi"/>
          <w:noProof/>
        </w:rPr>
      </w:pPr>
      <w:r>
        <w:rPr>
          <w:noProof/>
        </w:rPr>
        <w:t xml:space="preserve">Pieprasījuma saņēmēja iestāde pēc pieprasījuma iesniedzējas iestādes lūguma to jo īpaši informē </w:t>
      </w:r>
      <w:r>
        <w:rPr>
          <w:noProof/>
        </w:rPr>
        <w:t>par to, vai:</w:t>
      </w:r>
    </w:p>
    <w:p w:rsidR="003E022D" w:rsidRDefault="007D19D6">
      <w:pPr>
        <w:numPr>
          <w:ilvl w:val="0"/>
          <w:numId w:val="996"/>
        </w:numPr>
        <w:ind w:left="567" w:hanging="567"/>
        <w:rPr>
          <w:noProof/>
        </w:rPr>
      </w:pPr>
      <w:r>
        <w:rPr>
          <w:noProof/>
        </w:rPr>
        <w:t>preces, kas eksportētas no vienas Puses teritorijas, ir pienācīgi importētas otras Puses teritorijā, vajadzības gadījumā norādot tām piemēroto muitas procedūru;</w:t>
      </w:r>
    </w:p>
    <w:p w:rsidR="003E022D" w:rsidRDefault="007D19D6">
      <w:pPr>
        <w:numPr>
          <w:ilvl w:val="0"/>
          <w:numId w:val="996"/>
        </w:numPr>
        <w:ind w:left="567" w:hanging="567"/>
        <w:rPr>
          <w:noProof/>
        </w:rPr>
      </w:pPr>
      <w:r>
        <w:rPr>
          <w:noProof/>
        </w:rPr>
        <w:t xml:space="preserve">preces, kas importētas kādas Puses teritorijā, ir atbilstīgi eksportētas no otras </w:t>
      </w:r>
      <w:r>
        <w:rPr>
          <w:noProof/>
        </w:rPr>
        <w:t>Puses teritorijas, vajadzības gadījumā norādot tām piemēroto muitas procedūru.</w:t>
      </w:r>
    </w:p>
    <w:p w:rsidR="003E022D" w:rsidRDefault="007D19D6">
      <w:pPr>
        <w:numPr>
          <w:ilvl w:val="0"/>
          <w:numId w:val="995"/>
        </w:numPr>
        <w:ind w:left="0" w:firstLine="0"/>
        <w:rPr>
          <w:rFonts w:cstheme="minorHAnsi"/>
          <w:noProof/>
        </w:rPr>
      </w:pPr>
      <w:r>
        <w:rPr>
          <w:noProof/>
        </w:rPr>
        <w:t xml:space="preserve">Pēc pieprasījuma iesniedzējas iestādes lūguma pieprasījuma saņēmēja iestāde saskaņā ar tai piemērojamiem normatīviem aktiem veic pasākumus, kas vajadzīgi, lai nodrošinātu īpašu </w:t>
      </w:r>
      <w:r>
        <w:rPr>
          <w:noProof/>
        </w:rPr>
        <w:t>uzraudzību un sniegtu pieteikuma iesniedzējai iestādei informāciju par:</w:t>
      </w:r>
    </w:p>
    <w:p w:rsidR="003E022D" w:rsidRDefault="007D19D6">
      <w:pPr>
        <w:numPr>
          <w:ilvl w:val="0"/>
          <w:numId w:val="997"/>
        </w:numPr>
        <w:ind w:left="567" w:hanging="567"/>
        <w:rPr>
          <w:rFonts w:cstheme="minorHAnsi"/>
          <w:noProof/>
        </w:rPr>
      </w:pPr>
      <w:r>
        <w:rPr>
          <w:noProof/>
        </w:rPr>
        <w:t>fiziskām vai juridiskām personām, par kurām ir pamats uzskatīt, ka tās ir vai ir bijušas iesaistītas darbībās, ar kurām pārkāpj tiesību aktus muitas jomā;</w:t>
      </w:r>
    </w:p>
    <w:p w:rsidR="003E022D" w:rsidRDefault="007D19D6">
      <w:pPr>
        <w:numPr>
          <w:ilvl w:val="0"/>
          <w:numId w:val="997"/>
        </w:numPr>
        <w:ind w:left="567" w:hanging="567"/>
        <w:rPr>
          <w:rFonts w:cstheme="minorHAnsi"/>
          <w:noProof/>
        </w:rPr>
      </w:pPr>
      <w:r>
        <w:rPr>
          <w:noProof/>
        </w:rPr>
        <w:t>precēm, kuras pārvadā vai var</w:t>
      </w:r>
      <w:r>
        <w:rPr>
          <w:noProof/>
        </w:rPr>
        <w:t xml:space="preserve"> pārvadāt tādā veidā, ka ir pamats uzskatīt, ka šīs preces ir izmantotas vai tās ir paredzēts izmantot darbībās, ar kurām pārkāpj tiesību aktus muitas jomā;</w:t>
      </w:r>
    </w:p>
    <w:p w:rsidR="003E022D" w:rsidRDefault="007D19D6">
      <w:pPr>
        <w:numPr>
          <w:ilvl w:val="0"/>
          <w:numId w:val="997"/>
        </w:numPr>
        <w:ind w:left="567" w:hanging="567"/>
        <w:rPr>
          <w:rFonts w:cstheme="minorHAnsi"/>
          <w:noProof/>
        </w:rPr>
      </w:pPr>
      <w:r>
        <w:rPr>
          <w:noProof/>
        </w:rPr>
        <w:t>vietām, kur ir glabāti vai savākti preču krājumi vai kur tos var glabāt vai savākt tādā veidā, ka i</w:t>
      </w:r>
      <w:r>
        <w:rPr>
          <w:noProof/>
        </w:rPr>
        <w:t xml:space="preserve">r pamats uzskatīt, ka šīs preces ir izmantotas vai tās plāno izmantot darbībās, ar ko pārkāpj tiesību aktus muitas jomā; </w:t>
      </w:r>
    </w:p>
    <w:p w:rsidR="003E022D" w:rsidRDefault="007D19D6">
      <w:pPr>
        <w:numPr>
          <w:ilvl w:val="0"/>
          <w:numId w:val="997"/>
        </w:numPr>
        <w:ind w:left="567" w:hanging="567"/>
        <w:rPr>
          <w:rFonts w:cstheme="minorHAnsi"/>
          <w:noProof/>
        </w:rPr>
      </w:pPr>
      <w:r>
        <w:rPr>
          <w:noProof/>
        </w:rPr>
        <w:t>transportlīdzekļiem, kas tiek vai var tikt izmantoti tādā veidā, ka ir pamats uzskatīt, ka tos paredzēts izmantot darbībās, ar kurām p</w:t>
      </w:r>
      <w:r>
        <w:rPr>
          <w:noProof/>
        </w:rPr>
        <w:t>ārkāpj tiesību aktus muitas jomā; un</w:t>
      </w:r>
    </w:p>
    <w:p w:rsidR="003E022D" w:rsidRDefault="007D19D6">
      <w:pPr>
        <w:numPr>
          <w:ilvl w:val="0"/>
          <w:numId w:val="997"/>
        </w:numPr>
        <w:ind w:left="567" w:hanging="567"/>
        <w:rPr>
          <w:rFonts w:cstheme="minorHAnsi"/>
          <w:noProof/>
        </w:rPr>
      </w:pPr>
      <w:r>
        <w:rPr>
          <w:noProof/>
        </w:rPr>
        <w:t>telpām, par ko pieteikuma iesniedzējai iestādei ir aizdomas, ka tās izmanto nolūkā pārkāpt tiesību aktus muitas jomā.</w:t>
      </w:r>
    </w:p>
    <w:p w:rsidR="003E022D" w:rsidRDefault="007D19D6">
      <w:pPr>
        <w:pStyle w:val="Article"/>
        <w:rPr>
          <w:noProof/>
        </w:rPr>
      </w:pPr>
      <w:r>
        <w:rPr>
          <w:noProof/>
        </w:rPr>
        <w:t>4. pants. Neplānota palīdzība</w:t>
      </w:r>
    </w:p>
    <w:p w:rsidR="003E022D" w:rsidRDefault="007D19D6">
      <w:pPr>
        <w:rPr>
          <w:rFonts w:cstheme="minorHAnsi"/>
          <w:noProof/>
        </w:rPr>
      </w:pPr>
      <w:r>
        <w:rPr>
          <w:noProof/>
        </w:rPr>
        <w:t>Ja vien iespējams, Puses pēc pašu iniciatīvas saskaņā ar to normatīvaji</w:t>
      </w:r>
      <w:r>
        <w:rPr>
          <w:noProof/>
        </w:rPr>
        <w:t>em aktiem palīdz viena otrai, sniedzot informāciju par pabeigtām, plānotām un notiekošām darbībām, kuras ir vai šķiet esam darbības, ar ko pārkāpj tiesību aktus muitas jomā, un par kurām otrai Pusei varētu būt interese. Informācija jo īpaši attiecas uz:</w:t>
      </w:r>
    </w:p>
    <w:p w:rsidR="003E022D" w:rsidRDefault="007D19D6">
      <w:pPr>
        <w:numPr>
          <w:ilvl w:val="0"/>
          <w:numId w:val="998"/>
        </w:numPr>
        <w:ind w:left="567" w:hanging="567"/>
        <w:rPr>
          <w:rFonts w:cstheme="minorHAnsi"/>
          <w:noProof/>
        </w:rPr>
      </w:pPr>
      <w:r>
        <w:rPr>
          <w:noProof/>
        </w:rPr>
        <w:t>pr</w:t>
      </w:r>
      <w:r>
        <w:rPr>
          <w:noProof/>
        </w:rPr>
        <w:t>ecēm, par kurām zināms, ka tās ir saistītas ar darbībām, ar kurām pārkāpj tiesību aktus muitas jomā;</w:t>
      </w:r>
    </w:p>
    <w:p w:rsidR="003E022D" w:rsidRDefault="007D19D6">
      <w:pPr>
        <w:numPr>
          <w:ilvl w:val="0"/>
          <w:numId w:val="998"/>
        </w:numPr>
        <w:ind w:left="567" w:hanging="567"/>
        <w:rPr>
          <w:rFonts w:cstheme="minorHAnsi"/>
          <w:noProof/>
        </w:rPr>
      </w:pPr>
      <w:r>
        <w:rPr>
          <w:noProof/>
        </w:rPr>
        <w:t>personām, par ko ir pamats uzskatīt, ka tās ir vai ir bijušas iesaistītas darbībās, ar ko pārkāpj tiesību aktus muitas jomā;</w:t>
      </w:r>
    </w:p>
    <w:p w:rsidR="003E022D" w:rsidRDefault="007D19D6">
      <w:pPr>
        <w:numPr>
          <w:ilvl w:val="0"/>
          <w:numId w:val="998"/>
        </w:numPr>
        <w:ind w:left="567" w:hanging="567"/>
        <w:rPr>
          <w:rFonts w:cstheme="minorHAnsi"/>
          <w:noProof/>
        </w:rPr>
      </w:pPr>
      <w:r>
        <w:rPr>
          <w:noProof/>
        </w:rPr>
        <w:t xml:space="preserve">transportlīdzekļiem, par </w:t>
      </w:r>
      <w:r>
        <w:rPr>
          <w:noProof/>
        </w:rPr>
        <w:t>kuriem ir pamats uzskatīt, ka tie tikuši izmantoti, tiek izmantoti vai var tikt izmantoti darbībās, ar kurām pārkāpj tiesību aktus muitas jomā; un</w:t>
      </w:r>
    </w:p>
    <w:p w:rsidR="003E022D" w:rsidRDefault="007D19D6">
      <w:pPr>
        <w:numPr>
          <w:ilvl w:val="0"/>
          <w:numId w:val="998"/>
        </w:numPr>
        <w:ind w:left="567" w:hanging="567"/>
        <w:rPr>
          <w:rFonts w:cstheme="minorHAnsi"/>
          <w:noProof/>
        </w:rPr>
      </w:pPr>
      <w:r>
        <w:rPr>
          <w:noProof/>
        </w:rPr>
        <w:t>jauniem līdzekļiem vai metodēm, ko izmanto darbībās, ar kurām pārkāpj muitas tiesību aktus,</w:t>
      </w:r>
    </w:p>
    <w:p w:rsidR="003E022D" w:rsidRDefault="007D19D6">
      <w:pPr>
        <w:pStyle w:val="Article"/>
        <w:rPr>
          <w:noProof/>
        </w:rPr>
      </w:pPr>
      <w:r>
        <w:rPr>
          <w:noProof/>
        </w:rPr>
        <w:t>5. pants. Palīdzī</w:t>
      </w:r>
      <w:r>
        <w:rPr>
          <w:noProof/>
        </w:rPr>
        <w:t>bas pieprasījumu forma un saturs</w:t>
      </w:r>
    </w:p>
    <w:p w:rsidR="003E022D" w:rsidRDefault="007D19D6">
      <w:pPr>
        <w:numPr>
          <w:ilvl w:val="0"/>
          <w:numId w:val="999"/>
        </w:numPr>
        <w:ind w:left="0" w:firstLine="0"/>
        <w:rPr>
          <w:rFonts w:cstheme="minorHAnsi"/>
          <w:noProof/>
        </w:rPr>
      </w:pPr>
      <w:r>
        <w:rPr>
          <w:noProof/>
        </w:rPr>
        <w:t>Pieprasījumus saskaņā ar šo protokolu sagatavo rakstveidā — elektroniski vai papīra formātā. Tiem pievieno dokumentus, kas vajadzīgi, lai nodrošinātu atbilstību pieprasījumam. Steidzamos gadījumos pieprasījuma saņēmēja iest</w:t>
      </w:r>
      <w:r>
        <w:rPr>
          <w:noProof/>
        </w:rPr>
        <w:t>āde var pieņemt mutiskus pieprasījumus, bet šādus mutiskus pieprasījumus pieprasījuma iesniedzēja iestāde nekavējoties apstiprina rakstiski.</w:t>
      </w:r>
    </w:p>
    <w:p w:rsidR="003E022D" w:rsidRDefault="007D19D6">
      <w:pPr>
        <w:numPr>
          <w:ilvl w:val="0"/>
          <w:numId w:val="999"/>
        </w:numPr>
        <w:ind w:left="0" w:firstLine="0"/>
        <w:rPr>
          <w:rFonts w:cstheme="minorHAnsi"/>
          <w:noProof/>
        </w:rPr>
      </w:pPr>
      <w:r>
        <w:rPr>
          <w:noProof/>
        </w:rPr>
        <w:t>Saskaņā ar 1. punktu iesniegtajos pieprasījumos ir šāda informācija:</w:t>
      </w:r>
    </w:p>
    <w:p w:rsidR="003E022D" w:rsidRDefault="007D19D6">
      <w:pPr>
        <w:numPr>
          <w:ilvl w:val="0"/>
          <w:numId w:val="1000"/>
        </w:numPr>
        <w:ind w:left="567" w:hanging="567"/>
        <w:rPr>
          <w:rFonts w:cstheme="minorHAnsi"/>
          <w:noProof/>
        </w:rPr>
      </w:pPr>
      <w:r>
        <w:rPr>
          <w:noProof/>
        </w:rPr>
        <w:t>pieprasījuma iesniedzēja iestāde un amatperson</w:t>
      </w:r>
      <w:r>
        <w:rPr>
          <w:noProof/>
        </w:rPr>
        <w:t>a, kas iesniedz pieprasījumu;</w:t>
      </w:r>
    </w:p>
    <w:p w:rsidR="003E022D" w:rsidRDefault="007D19D6">
      <w:pPr>
        <w:numPr>
          <w:ilvl w:val="0"/>
          <w:numId w:val="1000"/>
        </w:numPr>
        <w:ind w:left="567" w:hanging="567"/>
        <w:rPr>
          <w:rFonts w:cstheme="minorHAnsi"/>
          <w:noProof/>
        </w:rPr>
      </w:pPr>
      <w:r>
        <w:rPr>
          <w:noProof/>
        </w:rPr>
        <w:t>pieprasītā informācija un/vai palīdzības veids;</w:t>
      </w:r>
    </w:p>
    <w:p w:rsidR="003E022D" w:rsidRDefault="007D19D6">
      <w:pPr>
        <w:numPr>
          <w:ilvl w:val="0"/>
          <w:numId w:val="1000"/>
        </w:numPr>
        <w:ind w:left="567" w:hanging="567"/>
        <w:rPr>
          <w:rFonts w:cstheme="minorHAnsi"/>
          <w:noProof/>
        </w:rPr>
      </w:pPr>
      <w:r>
        <w:rPr>
          <w:noProof/>
        </w:rPr>
        <w:t xml:space="preserve"> pieprasījuma priekšmets un pamatojums;</w:t>
      </w:r>
    </w:p>
    <w:p w:rsidR="003E022D" w:rsidRDefault="007D19D6">
      <w:pPr>
        <w:numPr>
          <w:ilvl w:val="0"/>
          <w:numId w:val="1000"/>
        </w:numPr>
        <w:ind w:left="567" w:hanging="567"/>
        <w:rPr>
          <w:rFonts w:cstheme="minorHAnsi"/>
          <w:noProof/>
        </w:rPr>
      </w:pPr>
      <w:r>
        <w:rPr>
          <w:noProof/>
        </w:rPr>
        <w:t>normatīvie akti un citi saistītie juridiskie elementi;</w:t>
      </w:r>
    </w:p>
    <w:p w:rsidR="003E022D" w:rsidRDefault="007D19D6">
      <w:pPr>
        <w:numPr>
          <w:ilvl w:val="0"/>
          <w:numId w:val="1000"/>
        </w:numPr>
        <w:ind w:left="567" w:hanging="567"/>
        <w:rPr>
          <w:rFonts w:cstheme="minorHAnsi"/>
          <w:noProof/>
        </w:rPr>
      </w:pPr>
      <w:r>
        <w:rPr>
          <w:noProof/>
        </w:rPr>
        <w:t>iespējami precīzas un pilnīgas norādes par precēm vai personām, uz kurām attiecas i</w:t>
      </w:r>
      <w:r>
        <w:rPr>
          <w:noProof/>
        </w:rPr>
        <w:t>zmeklēšanas;</w:t>
      </w:r>
    </w:p>
    <w:p w:rsidR="003E022D" w:rsidRDefault="007D19D6">
      <w:pPr>
        <w:numPr>
          <w:ilvl w:val="0"/>
          <w:numId w:val="1000"/>
        </w:numPr>
        <w:ind w:left="567" w:hanging="567"/>
        <w:rPr>
          <w:rFonts w:cstheme="minorHAnsi"/>
          <w:noProof/>
        </w:rPr>
      </w:pPr>
      <w:r>
        <w:rPr>
          <w:noProof/>
        </w:rPr>
        <w:t>kopsavilkums par attiecīgajiem faktiem un jau veikto izmeklēšanu; un</w:t>
      </w:r>
    </w:p>
    <w:p w:rsidR="003E022D" w:rsidRDefault="007D19D6">
      <w:pPr>
        <w:numPr>
          <w:ilvl w:val="0"/>
          <w:numId w:val="1000"/>
        </w:numPr>
        <w:ind w:left="567" w:hanging="567"/>
        <w:rPr>
          <w:rFonts w:cstheme="minorHAnsi"/>
          <w:noProof/>
        </w:rPr>
      </w:pPr>
      <w:r>
        <w:rPr>
          <w:noProof/>
        </w:rPr>
        <w:t>jebkāda pieejama papildu informācija, kas pieprasījuma saņēmējai iestādei ļauj izpildīt pieprasījumu.</w:t>
      </w:r>
    </w:p>
    <w:p w:rsidR="003E022D" w:rsidRDefault="007D19D6">
      <w:pPr>
        <w:numPr>
          <w:ilvl w:val="0"/>
          <w:numId w:val="999"/>
        </w:numPr>
        <w:ind w:left="0" w:firstLine="0"/>
        <w:rPr>
          <w:noProof/>
        </w:rPr>
      </w:pPr>
      <w:r>
        <w:rPr>
          <w:noProof/>
        </w:rPr>
        <w:t>Pieprasījumus iesniedz pieprasījuma saņēmējas iestādes oficiālajā valodā</w:t>
      </w:r>
      <w:r>
        <w:rPr>
          <w:noProof/>
        </w:rPr>
        <w:t xml:space="preserve"> vai šai iestādei pieņemamā valodā, un angļu valoda vienmēr ir pieņemama valoda. Šī prasība neattiecas uz dokumentiem, ko pievieno pieprasījumam saskaņā ar 1. punktu.</w:t>
      </w:r>
    </w:p>
    <w:p w:rsidR="003E022D" w:rsidRDefault="007D19D6">
      <w:pPr>
        <w:numPr>
          <w:ilvl w:val="0"/>
          <w:numId w:val="999"/>
        </w:numPr>
        <w:ind w:left="0" w:firstLine="0"/>
        <w:rPr>
          <w:noProof/>
        </w:rPr>
      </w:pPr>
      <w:r>
        <w:rPr>
          <w:noProof/>
        </w:rPr>
        <w:t>Ja pieprasījums neatbilst 1.–3. punktā minētajām formālajām prasībām, pieprasījuma saņēmē</w:t>
      </w:r>
      <w:r>
        <w:rPr>
          <w:noProof/>
        </w:rPr>
        <w:t>ja iestāde var lūgt, lai pieprasījumu izlabo vai papildina. Kamēr pieprasījums tiek labots vai papildināts, var veikt drošības pasākumus.</w:t>
      </w:r>
    </w:p>
    <w:p w:rsidR="003E022D" w:rsidRDefault="007D19D6">
      <w:pPr>
        <w:pStyle w:val="Article"/>
        <w:rPr>
          <w:noProof/>
        </w:rPr>
      </w:pPr>
      <w:bookmarkStart w:id="1452" w:name="_Hlk55316481"/>
      <w:r>
        <w:rPr>
          <w:noProof/>
        </w:rPr>
        <w:t>6. pants. Pieprasījumu izpilde</w:t>
      </w:r>
    </w:p>
    <w:p w:rsidR="003E022D" w:rsidRDefault="007D19D6">
      <w:pPr>
        <w:numPr>
          <w:ilvl w:val="0"/>
          <w:numId w:val="1001"/>
        </w:numPr>
        <w:ind w:left="0" w:firstLine="0"/>
        <w:rPr>
          <w:noProof/>
        </w:rPr>
      </w:pPr>
      <w:r>
        <w:rPr>
          <w:noProof/>
        </w:rPr>
        <w:t xml:space="preserve">Lai izpildītu palīdzības pieprasījumu, pieprasījuma saņēmēja iestāde savas kompetences </w:t>
      </w:r>
      <w:r>
        <w:rPr>
          <w:noProof/>
        </w:rPr>
        <w:t>robežās nekavējoties rīkojas tā, it kā tā rīkotos pēc savas iniciatīvas vai pēc citu tās pašas Puses iestāžu pieprasījuma, sniedz tās rīcībā jau esošo informāciju, veic pienācīgu izmeklēšanu vai nodrošina, ka šāda izmeklēšana tiek veikta. Šis noteikums att</w:t>
      </w:r>
      <w:r>
        <w:rPr>
          <w:noProof/>
        </w:rPr>
        <w:t>iecas arī uz jebkuru citu iestādi, kurai pieprasījuma saņēmēja iestāde adresē pieprasījumu, ja tā pati nevar rīkoties. Sniedzot šādu palīdzību, pieprasījuma saņēmēja iestāde pienācīgi apsver pieprasījuma steidzamību.</w:t>
      </w:r>
      <w:bookmarkStart w:id="1453" w:name="_Hlk55317002"/>
      <w:bookmarkEnd w:id="1452"/>
      <w:bookmarkEnd w:id="1453"/>
    </w:p>
    <w:p w:rsidR="003E022D" w:rsidRDefault="007D19D6">
      <w:pPr>
        <w:numPr>
          <w:ilvl w:val="0"/>
          <w:numId w:val="1001"/>
        </w:numPr>
        <w:ind w:left="0" w:firstLine="0"/>
        <w:rPr>
          <w:noProof/>
        </w:rPr>
      </w:pPr>
      <w:r>
        <w:rPr>
          <w:noProof/>
        </w:rPr>
        <w:t>Palīdzības pieprasījumus izpilda saskaņ</w:t>
      </w:r>
      <w:r>
        <w:rPr>
          <w:noProof/>
        </w:rPr>
        <w:t>ā ar pieprasījuma saņēmējas puses normatīvajiem aktiem.</w:t>
      </w:r>
    </w:p>
    <w:p w:rsidR="003E022D" w:rsidRDefault="007D19D6">
      <w:pPr>
        <w:pStyle w:val="Article"/>
        <w:rPr>
          <w:noProof/>
        </w:rPr>
      </w:pPr>
      <w:r>
        <w:rPr>
          <w:noProof/>
        </w:rPr>
        <w:t>7. pants. Informācijas paziņošanas veids</w:t>
      </w:r>
    </w:p>
    <w:p w:rsidR="003E022D" w:rsidRDefault="007D19D6">
      <w:pPr>
        <w:numPr>
          <w:ilvl w:val="0"/>
          <w:numId w:val="1002"/>
        </w:numPr>
        <w:ind w:left="0" w:firstLine="0"/>
        <w:rPr>
          <w:noProof/>
        </w:rPr>
      </w:pPr>
      <w:r>
        <w:rPr>
          <w:noProof/>
        </w:rPr>
        <w:t xml:space="preserve">Saskaņā ar šo protokolu veiktās izmeklēšanas rezultātus pieprasījuma saņēmēja iestāde pieprasījuma iesniedzējai iestādei paziņo rakstveidā kopā ar attiecīgiem </w:t>
      </w:r>
      <w:r>
        <w:rPr>
          <w:noProof/>
        </w:rPr>
        <w:t>dokumentiem, apliecinātām dokumentu kopijām u. tml. Šo informāciju var sniegt elektroniskā formā.</w:t>
      </w:r>
    </w:p>
    <w:p w:rsidR="003E022D" w:rsidRDefault="007D19D6">
      <w:pPr>
        <w:numPr>
          <w:ilvl w:val="0"/>
          <w:numId w:val="1002"/>
        </w:numPr>
        <w:ind w:left="0" w:firstLine="0"/>
        <w:rPr>
          <w:noProof/>
        </w:rPr>
      </w:pPr>
      <w:r>
        <w:rPr>
          <w:noProof/>
        </w:rPr>
        <w:t>Dokumentu oriģinālus nosūta tikai pēc pieprasījuma iesniedzējas iestādes pieprasījuma tajos gadījumos, kad apliecinātas kopijas nebūtu pietiekamas, un atbilst</w:t>
      </w:r>
      <w:r>
        <w:rPr>
          <w:noProof/>
        </w:rPr>
        <w:t>īgi katras Puses juridiskajiem ierobežojumiem. Pieprasījuma iesniedzēja iestāde pēc iespējas ātrāk šos dokumentu oriģinālus nosūta atpakaļ.</w:t>
      </w:r>
    </w:p>
    <w:p w:rsidR="003E022D" w:rsidRDefault="007D19D6">
      <w:pPr>
        <w:numPr>
          <w:ilvl w:val="0"/>
          <w:numId w:val="1002"/>
        </w:numPr>
        <w:ind w:left="0" w:firstLine="0"/>
        <w:rPr>
          <w:noProof/>
        </w:rPr>
      </w:pPr>
      <w:r>
        <w:rPr>
          <w:noProof/>
        </w:rPr>
        <w:t>Saskaņā ar 2. punktā izklāstītajiem noteikumiem pieprasījuma saņēmēja iestāde sniedz pieprasījuma iesniedzējai iestā</w:t>
      </w:r>
      <w:r>
        <w:rPr>
          <w:noProof/>
        </w:rPr>
        <w:t>dei visu informāciju saistībā ar tādu dokumentu autentiskumu, kurus ir izsniegušas vai apstiprinājušas oficiālās iestādes tās teritorijā.</w:t>
      </w:r>
    </w:p>
    <w:p w:rsidR="003E022D" w:rsidRDefault="007D19D6">
      <w:pPr>
        <w:pStyle w:val="Article"/>
        <w:rPr>
          <w:noProof/>
        </w:rPr>
      </w:pPr>
      <w:r>
        <w:rPr>
          <w:noProof/>
        </w:rPr>
        <w:t>8. pants. Vienas Puses ierēdņu atrašanās otras Puses teritorijā</w:t>
      </w:r>
    </w:p>
    <w:p w:rsidR="003E022D" w:rsidRDefault="007D19D6">
      <w:pPr>
        <w:numPr>
          <w:ilvl w:val="0"/>
          <w:numId w:val="1003"/>
        </w:numPr>
        <w:ind w:left="0" w:firstLine="0"/>
        <w:rPr>
          <w:noProof/>
        </w:rPr>
      </w:pPr>
      <w:r>
        <w:rPr>
          <w:noProof/>
        </w:rPr>
        <w:t xml:space="preserve">Puses pienācīgi pilnvaroti ierēdņi ar otras Puses </w:t>
      </w:r>
      <w:r>
        <w:rPr>
          <w:noProof/>
        </w:rPr>
        <w:t>piekrišanu un saskaņā ar tās izstrādātiem nosacījumiem var atrasties pieprasījuma saņēmējas iestādes vai citas 6. panta [Pieprasījumu izpilde] 1. punktā minētas iesaistītas iestādes birojos, lai iegūtu informāciju, kas pieprasījuma iesniedzējai iestādei va</w:t>
      </w:r>
      <w:r>
        <w:rPr>
          <w:noProof/>
        </w:rPr>
        <w:t>jadzīga, piemērojot šo protokolu, saistībā ar darbībām, kuras ir vai varētu būt darbības, ar ko pārkāpj tiesību aktus muitas jomā.</w:t>
      </w:r>
    </w:p>
    <w:p w:rsidR="003E022D" w:rsidRDefault="007D19D6">
      <w:pPr>
        <w:numPr>
          <w:ilvl w:val="0"/>
          <w:numId w:val="1003"/>
        </w:numPr>
        <w:ind w:left="0" w:firstLine="0"/>
        <w:rPr>
          <w:noProof/>
        </w:rPr>
      </w:pPr>
      <w:r>
        <w:rPr>
          <w:noProof/>
        </w:rPr>
        <w:t>Ar pieprasījuma saņēmējas Puses piekrišanu un ievērojot nosacījumus, ko tā var precizēt, otras Puses pienācīgi pilnvaroti ier</w:t>
      </w:r>
      <w:r>
        <w:rPr>
          <w:noProof/>
        </w:rPr>
        <w:t>ēdņi var piedalīties izmeklēšanā, ko veic pieprasījuma saņēmējas Puses teritorijā.</w:t>
      </w:r>
    </w:p>
    <w:p w:rsidR="003E022D" w:rsidRDefault="007D19D6">
      <w:pPr>
        <w:pStyle w:val="Article"/>
        <w:rPr>
          <w:noProof/>
        </w:rPr>
      </w:pPr>
      <w:r>
        <w:rPr>
          <w:noProof/>
        </w:rPr>
        <w:t>9. pants. Piegādāšana un paziņošana</w:t>
      </w:r>
    </w:p>
    <w:p w:rsidR="003E022D" w:rsidRDefault="007D19D6">
      <w:pPr>
        <w:numPr>
          <w:ilvl w:val="0"/>
          <w:numId w:val="1225"/>
        </w:numPr>
        <w:ind w:left="0" w:firstLine="0"/>
        <w:rPr>
          <w:noProof/>
        </w:rPr>
      </w:pPr>
      <w:r>
        <w:rPr>
          <w:noProof/>
        </w:rPr>
        <w:t>Saņēmusi pieprasījuma iesniedzējas iestādes pieprasījumu, pieprasījuma saņēmēja iestāde saskaņā ar tai piemērojamajiem normatīvajiem akti</w:t>
      </w:r>
      <w:r>
        <w:rPr>
          <w:noProof/>
        </w:rPr>
        <w:t>em veic visus nepieciešamos pasākumus, lai piegādātu pieprasījuma iesniedzējas iestādes dokumentus vai paziņotu pieprasījuma iesniedzējas iestādes lēmumus, kas ietilpst šā protokola darbības jomā, adresātam, kurš uzturas vai veic uzņēmējdarbību pieprasījum</w:t>
      </w:r>
      <w:r>
        <w:rPr>
          <w:noProof/>
        </w:rPr>
        <w:t>a saņēmējas iestādes teritorijā.</w:t>
      </w:r>
    </w:p>
    <w:p w:rsidR="003E022D" w:rsidRDefault="007D19D6">
      <w:pPr>
        <w:numPr>
          <w:ilvl w:val="0"/>
          <w:numId w:val="1225"/>
        </w:numPr>
        <w:ind w:left="0" w:firstLine="0"/>
        <w:rPr>
          <w:noProof/>
        </w:rPr>
      </w:pPr>
      <w:r>
        <w:rPr>
          <w:noProof/>
        </w:rPr>
        <w:t>Šādus pieprasījumus par dokumentu piegādi vai lēmumu paziņošanu sagatavo rakstveidā pieprasījuma saņēmējas iestādes oficiālajā valodā vai valodā, kas šai iestādei ir pieņemama.</w:t>
      </w:r>
    </w:p>
    <w:p w:rsidR="003E022D" w:rsidRDefault="007D19D6">
      <w:pPr>
        <w:pStyle w:val="Article"/>
        <w:rPr>
          <w:noProof/>
        </w:rPr>
      </w:pPr>
      <w:r>
        <w:rPr>
          <w:noProof/>
        </w:rPr>
        <w:t>10. pants. Automātiska informācijas apmaiņa</w:t>
      </w:r>
    </w:p>
    <w:p w:rsidR="003E022D" w:rsidRDefault="007D19D6">
      <w:pPr>
        <w:numPr>
          <w:ilvl w:val="0"/>
          <w:numId w:val="1004"/>
        </w:numPr>
        <w:ind w:left="0" w:firstLine="0"/>
        <w:rPr>
          <w:noProof/>
        </w:rPr>
      </w:pPr>
      <w:r>
        <w:rPr>
          <w:noProof/>
        </w:rPr>
        <w:t>Puses, savstarpēji vienojoties, saskaņā ar šā protokola 15. pantu [Īstenošana] var:</w:t>
      </w:r>
    </w:p>
    <w:p w:rsidR="003E022D" w:rsidRDefault="007D19D6">
      <w:pPr>
        <w:numPr>
          <w:ilvl w:val="0"/>
          <w:numId w:val="1005"/>
        </w:numPr>
        <w:ind w:left="567" w:hanging="567"/>
        <w:rPr>
          <w:noProof/>
        </w:rPr>
      </w:pPr>
      <w:r>
        <w:rPr>
          <w:noProof/>
        </w:rPr>
        <w:t>automātiski apmainīties ar informāciju, uz kuru attiecas šis Protokols;</w:t>
      </w:r>
    </w:p>
    <w:p w:rsidR="003E022D" w:rsidRDefault="007D19D6">
      <w:pPr>
        <w:numPr>
          <w:ilvl w:val="0"/>
          <w:numId w:val="1005"/>
        </w:numPr>
        <w:ind w:left="567" w:hanging="567"/>
        <w:rPr>
          <w:noProof/>
        </w:rPr>
      </w:pPr>
      <w:r>
        <w:rPr>
          <w:noProof/>
        </w:rPr>
        <w:t>apmainīties ar konkrētu informāciju pirms sūtījumu saņemšanas otras Puses teritorijā.</w:t>
      </w:r>
    </w:p>
    <w:p w:rsidR="003E022D" w:rsidRDefault="007D19D6">
      <w:pPr>
        <w:numPr>
          <w:ilvl w:val="0"/>
          <w:numId w:val="1004"/>
        </w:numPr>
        <w:ind w:left="0" w:firstLine="0"/>
        <w:rPr>
          <w:noProof/>
        </w:rPr>
      </w:pPr>
      <w:r>
        <w:rPr>
          <w:noProof/>
        </w:rPr>
        <w:t>Lai veiktu 1. </w:t>
      </w:r>
      <w:r>
        <w:rPr>
          <w:noProof/>
        </w:rPr>
        <w:t>punkta a) un b) apakšpunktā aprakstīto informācijas apmaiņu, Puses var paredzēt nosacījumus par to, ar kāda veida informāciju tās vēlas apmainīties, kā arī par informācijas nosūtīšanas veidu un biežumu.</w:t>
      </w:r>
    </w:p>
    <w:p w:rsidR="003E022D" w:rsidRDefault="007D19D6">
      <w:pPr>
        <w:pStyle w:val="Article"/>
        <w:rPr>
          <w:noProof/>
        </w:rPr>
      </w:pPr>
      <w:r>
        <w:rPr>
          <w:noProof/>
        </w:rPr>
        <w:t>11. pants. Izņēmumi attiecībā uz pienākumu sniegt pal</w:t>
      </w:r>
      <w:r>
        <w:rPr>
          <w:noProof/>
        </w:rPr>
        <w:t>īdzību</w:t>
      </w:r>
    </w:p>
    <w:p w:rsidR="003E022D" w:rsidRDefault="007D19D6">
      <w:pPr>
        <w:numPr>
          <w:ilvl w:val="0"/>
          <w:numId w:val="1006"/>
        </w:numPr>
        <w:ind w:left="0" w:firstLine="0"/>
        <w:rPr>
          <w:noProof/>
        </w:rPr>
      </w:pPr>
      <w:r>
        <w:rPr>
          <w:noProof/>
        </w:rPr>
        <w:t>Palīdzību saskaņā ar šo protokolu var atteikt vai var sniegt tikai tad, ja ir izpildīti konkrēti nosacījumi vai prasības, gadījumos, kad kāda Puse uzskata, ka palīdzība saskaņā ar šo protokolu:</w:t>
      </w:r>
    </w:p>
    <w:p w:rsidR="003E022D" w:rsidRDefault="007D19D6">
      <w:pPr>
        <w:numPr>
          <w:ilvl w:val="0"/>
          <w:numId w:val="1226"/>
        </w:numPr>
        <w:ind w:left="567" w:hanging="567"/>
        <w:rPr>
          <w:noProof/>
        </w:rPr>
      </w:pPr>
      <w:r>
        <w:rPr>
          <w:noProof/>
        </w:rPr>
        <w:t>varētu apdraudēt Apvienotās Karalistes vai kādas dalībv</w:t>
      </w:r>
      <w:r>
        <w:rPr>
          <w:noProof/>
        </w:rPr>
        <w:t>alsts, kurai tiek pieprasīts sniegt palīdzību saskaņā ar šo protokolu, suverenitāti;</w:t>
      </w:r>
    </w:p>
    <w:p w:rsidR="003E022D" w:rsidRDefault="007D19D6">
      <w:pPr>
        <w:numPr>
          <w:ilvl w:val="0"/>
          <w:numId w:val="1226"/>
        </w:numPr>
        <w:ind w:left="567" w:hanging="567"/>
        <w:rPr>
          <w:noProof/>
        </w:rPr>
      </w:pPr>
      <w:r>
        <w:rPr>
          <w:noProof/>
        </w:rPr>
        <w:t>varētu apdraudēt to sabiedrisko kārtību, drošību vai citas būtiskas intereses, vai</w:t>
      </w:r>
    </w:p>
    <w:p w:rsidR="003E022D" w:rsidRDefault="007D19D6">
      <w:pPr>
        <w:numPr>
          <w:ilvl w:val="0"/>
          <w:numId w:val="1226"/>
        </w:numPr>
        <w:ind w:left="567" w:hanging="567"/>
        <w:rPr>
          <w:noProof/>
        </w:rPr>
      </w:pPr>
      <w:r>
        <w:rPr>
          <w:noProof/>
        </w:rPr>
        <w:t>liktu izpaust rūpniecisku, komerciālu vai profesionālu noslēpumu.</w:t>
      </w:r>
    </w:p>
    <w:p w:rsidR="003E022D" w:rsidRDefault="007D19D6">
      <w:pPr>
        <w:numPr>
          <w:ilvl w:val="0"/>
          <w:numId w:val="1006"/>
        </w:numPr>
        <w:ind w:left="0" w:firstLine="0"/>
        <w:rPr>
          <w:rFonts w:cstheme="minorHAnsi"/>
          <w:noProof/>
        </w:rPr>
      </w:pPr>
      <w:r>
        <w:rPr>
          <w:noProof/>
        </w:rPr>
        <w:t xml:space="preserve">Pieprasījuma saņēmēja </w:t>
      </w:r>
      <w:r>
        <w:rPr>
          <w:noProof/>
        </w:rPr>
        <w:t>iestāde var atlikt palīdzības sniegšanu uz vēlāku laiku, pamatojot atlikšanu ar to, ka šāda palīdzības sniegšana traucēs notiekošai izmeklēšanai, saukšanai pie atbildības vai tiesvedībai. Šādā gadījumā pieprasījuma saņēmēja iestāde apspriežas ar pieprasīju</w:t>
      </w:r>
      <w:r>
        <w:rPr>
          <w:noProof/>
        </w:rPr>
        <w:t>ma iesniedzēju iestādi, lai noteiktu, vai palīdzību var sniegt saskaņā ar noteikumiem vai nosacījumiem, kādus var izvirzīt pieprasījuma saņēmēja iestāde.</w:t>
      </w:r>
    </w:p>
    <w:p w:rsidR="003E022D" w:rsidRDefault="007D19D6">
      <w:pPr>
        <w:numPr>
          <w:ilvl w:val="0"/>
          <w:numId w:val="1006"/>
        </w:numPr>
        <w:ind w:left="0" w:firstLine="0"/>
        <w:rPr>
          <w:rFonts w:cstheme="minorHAnsi"/>
          <w:noProof/>
        </w:rPr>
      </w:pPr>
      <w:r>
        <w:rPr>
          <w:noProof/>
        </w:rPr>
        <w:t>Ja pieprasījuma iesniedzēja iestāde lūdz palīdzību, kuru tā pati nespētu sniegt, ja šāda palīdzība tai</w:t>
      </w:r>
      <w:r>
        <w:rPr>
          <w:noProof/>
        </w:rPr>
        <w:t xml:space="preserve"> tiktu lūgta, savā pieprasījumā tā vērš uz to uzmanību. Tad pieprasījuma saņēmējai iestāde izlemj, kā atbildēt uz šādu pieprasījumu.</w:t>
      </w:r>
    </w:p>
    <w:p w:rsidR="003E022D" w:rsidRDefault="007D19D6">
      <w:pPr>
        <w:numPr>
          <w:ilvl w:val="0"/>
          <w:numId w:val="1006"/>
        </w:numPr>
        <w:ind w:left="0" w:firstLine="0"/>
        <w:rPr>
          <w:rFonts w:cstheme="minorHAnsi"/>
          <w:noProof/>
        </w:rPr>
      </w:pPr>
      <w:r>
        <w:rPr>
          <w:noProof/>
        </w:rPr>
        <w:t>Šā panta 1. un 2. punktā minētajos gadījumos pieprasījuma saņēmēja iestāde savu lēmumu un tā pamatojumu nekavējoties paziņo</w:t>
      </w:r>
      <w:r>
        <w:rPr>
          <w:noProof/>
        </w:rPr>
        <w:t xml:space="preserve"> pieprasījuma iesniedzējai iestādei.</w:t>
      </w:r>
    </w:p>
    <w:p w:rsidR="003E022D" w:rsidRDefault="007D19D6">
      <w:pPr>
        <w:pStyle w:val="Article"/>
        <w:rPr>
          <w:noProof/>
        </w:rPr>
      </w:pPr>
      <w:r>
        <w:rPr>
          <w:noProof/>
        </w:rPr>
        <w:t>12. pants. Informācijas apmaiņa un konfidencialitāte</w:t>
      </w:r>
    </w:p>
    <w:p w:rsidR="003E022D" w:rsidRDefault="007D19D6">
      <w:pPr>
        <w:numPr>
          <w:ilvl w:val="0"/>
          <w:numId w:val="1007"/>
        </w:numPr>
        <w:ind w:left="0" w:firstLine="0"/>
        <w:rPr>
          <w:noProof/>
        </w:rPr>
      </w:pPr>
      <w:r>
        <w:rPr>
          <w:noProof/>
        </w:rPr>
        <w:t>Saskaņā ar šo protokolu saņemtu informāciju izmanto vienīgi šajā protokolā noteiktajiem mērķiem.</w:t>
      </w:r>
    </w:p>
    <w:p w:rsidR="003E022D" w:rsidRDefault="007D19D6">
      <w:pPr>
        <w:numPr>
          <w:ilvl w:val="0"/>
          <w:numId w:val="1007"/>
        </w:numPr>
        <w:ind w:left="0" w:firstLine="0"/>
        <w:rPr>
          <w:noProof/>
        </w:rPr>
      </w:pPr>
      <w:r>
        <w:rPr>
          <w:noProof/>
        </w:rPr>
        <w:t xml:space="preserve">Saskaņā ar šo protokolu iegūtas informācijas izmantošanu </w:t>
      </w:r>
      <w:r>
        <w:rPr>
          <w:noProof/>
        </w:rPr>
        <w:t>administratīvos vai tiesas procesos attiecībā uz darbībām, ar kurām pārkāpj tiesību aktus muitas jomā, uzskata par izmantošanu šā protokola nolūkos. Tādēļ Puses saskaņā ar šā protokola noteikumiem iegūto informāciju un izskatītos dokumentus var izmantot kā</w:t>
      </w:r>
      <w:r>
        <w:rPr>
          <w:noProof/>
        </w:rPr>
        <w:t xml:space="preserve"> pierādījumus savos pierādījumu dokumentos, ziņojumos un liecībās, kā arī tiesvedībā un apsūdzībās, kas iesniegtas tiesā. Pieprasījuma saņēmēja iestāde var noteikt, ka informācijas sniegšana vai piekļuves dokumentiem piešķiršana iespējama ar nosacījumu, ka</w:t>
      </w:r>
      <w:r>
        <w:rPr>
          <w:noProof/>
        </w:rPr>
        <w:t xml:space="preserve"> tai tiek paziņots par izmantošanu šādos nolūkos.</w:t>
      </w:r>
    </w:p>
    <w:p w:rsidR="003E022D" w:rsidRDefault="007D19D6">
      <w:pPr>
        <w:numPr>
          <w:ilvl w:val="0"/>
          <w:numId w:val="1007"/>
        </w:numPr>
        <w:ind w:left="0" w:firstLine="0"/>
        <w:rPr>
          <w:noProof/>
        </w:rPr>
      </w:pPr>
      <w:r>
        <w:rPr>
          <w:noProof/>
        </w:rPr>
        <w:t>Ja viena no Pusēm vēlas izmantot šādu informāciju citiem mērķiem, tā informācijas sniedzējai iestādei lūdz iepriekšēju rakstisku piekrišanu. Uz šo izmantojumu tad attiecina jebkādus minētās iestādes noteikt</w:t>
      </w:r>
      <w:r>
        <w:rPr>
          <w:noProof/>
        </w:rPr>
        <w:t>us ierobežojumus.</w:t>
      </w:r>
    </w:p>
    <w:p w:rsidR="003E022D" w:rsidRDefault="007D19D6">
      <w:pPr>
        <w:numPr>
          <w:ilvl w:val="0"/>
          <w:numId w:val="1007"/>
        </w:numPr>
        <w:ind w:left="0" w:firstLine="0"/>
        <w:rPr>
          <w:noProof/>
        </w:rPr>
      </w:pPr>
      <w:r>
        <w:rPr>
          <w:noProof/>
        </w:rPr>
        <w:t>Visu informāciju, kas jebkurā veidā ir sniegta saskaņā ar šo protokolu, uzskata par konfidenciālu vai ierobežotu saskaņā ar katras Puses normatīvajiem aktiem. Uz šo informāciju attiecas pienākums ievērot dienesta noslēpumu un aizsardzība,</w:t>
      </w:r>
      <w:r>
        <w:rPr>
          <w:noProof/>
        </w:rPr>
        <w:t xml:space="preserve"> kas piemērojama līdzīgai informācijai saskaņā ar saņēmējas Puses attiecīgajiem normatīvajiem aktiem, izņemot gadījumus, kad informācijas sniedzēja Puse dod iepriekšēju piekrišanu šādas informācijas publiskošanai. Puses nodod viena otrai informāciju par to</w:t>
      </w:r>
      <w:r>
        <w:rPr>
          <w:noProof/>
        </w:rPr>
        <w:t xml:space="preserve"> piemērojamajiem normatīvajiem aktiem.</w:t>
      </w:r>
    </w:p>
    <w:p w:rsidR="003E022D" w:rsidRDefault="007D19D6">
      <w:pPr>
        <w:pStyle w:val="Article"/>
        <w:rPr>
          <w:noProof/>
        </w:rPr>
      </w:pPr>
      <w:r>
        <w:rPr>
          <w:noProof/>
        </w:rPr>
        <w:t>13. pants. Eksperti un liecinieki</w:t>
      </w:r>
    </w:p>
    <w:p w:rsidR="003E022D" w:rsidRDefault="007D19D6">
      <w:pPr>
        <w:rPr>
          <w:rFonts w:cstheme="minorHAnsi"/>
          <w:noProof/>
        </w:rPr>
      </w:pPr>
      <w:r>
        <w:rPr>
          <w:noProof/>
        </w:rPr>
        <w:t>Pieprasījuma saņēmēja iestāde var pilnvarot tās ierēdņus tiem piešķirto pilnvaru robežās būt par ekspertiem vai lieciniekiem tiesvedībā vai administratīvā procedūrā, kas attiecas uz š</w:t>
      </w:r>
      <w:r>
        <w:rPr>
          <w:noProof/>
        </w:rPr>
        <w:t>ajā protokolā ietvertajiem jautājumiem, un iesniegt attiecīgus priekšmetus, dokumentus vai to apliecinātas kopijas, kas varētu būt vajadzīgas attiecīgajā procesā. Uzaicinājumā uz tiesu konkrēti jānorāda, uz kuru tiesas vai administratīvo iestādi ierēdnis t</w:t>
      </w:r>
      <w:r>
        <w:rPr>
          <w:noProof/>
        </w:rPr>
        <w:t>iek aicināts, kādos jautājumos un par kādu ieņemamo amatu vai kvalifikāciju ierēdnis tiks uzklausīts.</w:t>
      </w:r>
    </w:p>
    <w:p w:rsidR="003E022D" w:rsidRDefault="007D19D6">
      <w:pPr>
        <w:pStyle w:val="Article"/>
        <w:rPr>
          <w:noProof/>
        </w:rPr>
      </w:pPr>
      <w:r>
        <w:rPr>
          <w:noProof/>
        </w:rPr>
        <w:t>14. pants. Palīdzības izdevumi</w:t>
      </w:r>
    </w:p>
    <w:p w:rsidR="003E022D" w:rsidRDefault="007D19D6">
      <w:pPr>
        <w:numPr>
          <w:ilvl w:val="0"/>
          <w:numId w:val="1008"/>
        </w:numPr>
        <w:ind w:left="0" w:firstLine="0"/>
        <w:rPr>
          <w:noProof/>
        </w:rPr>
      </w:pPr>
      <w:r>
        <w:rPr>
          <w:noProof/>
        </w:rPr>
        <w:t>Ievērojot 2. un 3. punktu, Puses savstarpēji atsakās no jebkādiem prasījumiem par tādu izdevumu atmaksu, kas radušies saist</w:t>
      </w:r>
      <w:r>
        <w:rPr>
          <w:noProof/>
        </w:rPr>
        <w:t>ībā ar šā protokola izpildi.</w:t>
      </w:r>
    </w:p>
    <w:p w:rsidR="003E022D" w:rsidRDefault="007D19D6">
      <w:pPr>
        <w:numPr>
          <w:ilvl w:val="0"/>
          <w:numId w:val="1008"/>
        </w:numPr>
        <w:ind w:left="0" w:firstLine="0"/>
        <w:rPr>
          <w:noProof/>
        </w:rPr>
      </w:pPr>
      <w:r>
        <w:rPr>
          <w:noProof/>
        </w:rPr>
        <w:t>Izdevumus, kā arī ekspertiem, lieciniekiem, tulkiem un tulkotājiem, kas nav sabiedriskā sektora darbinieki, izmaksātās atlīdzības attiecīgi sedz pieprasījuma iesniedzēja Puse.</w:t>
      </w:r>
    </w:p>
    <w:p w:rsidR="003E022D" w:rsidRDefault="007D19D6">
      <w:pPr>
        <w:numPr>
          <w:ilvl w:val="0"/>
          <w:numId w:val="1008"/>
        </w:numPr>
        <w:ind w:left="0" w:firstLine="0"/>
        <w:rPr>
          <w:noProof/>
        </w:rPr>
      </w:pPr>
      <w:r>
        <w:rPr>
          <w:noProof/>
          <w:color w:val="000000" w:themeColor="text1"/>
        </w:rPr>
        <w:t xml:space="preserve">Ja pieprasījuma izpilde rada vai radītu lielas vai </w:t>
      </w:r>
      <w:r>
        <w:rPr>
          <w:noProof/>
          <w:color w:val="000000" w:themeColor="text1"/>
        </w:rPr>
        <w:t>ārkārtējas izmaksas, Puses apspriežas, lai vienotos par noteikumiem, saskaņā ar kuriem pieprasījums tiks izpildīts, kā arī par izmaksu segšanas kārtību.</w:t>
      </w:r>
    </w:p>
    <w:p w:rsidR="003E022D" w:rsidRDefault="007D19D6">
      <w:pPr>
        <w:pStyle w:val="Article"/>
        <w:rPr>
          <w:noProof/>
        </w:rPr>
      </w:pPr>
      <w:r>
        <w:rPr>
          <w:noProof/>
        </w:rPr>
        <w:t>15. pants. Īstenošana</w:t>
      </w:r>
    </w:p>
    <w:p w:rsidR="003E022D" w:rsidRDefault="007D19D6">
      <w:pPr>
        <w:numPr>
          <w:ilvl w:val="0"/>
          <w:numId w:val="1009"/>
        </w:numPr>
        <w:ind w:left="0" w:firstLine="0"/>
        <w:rPr>
          <w:noProof/>
        </w:rPr>
      </w:pPr>
      <w:r>
        <w:rPr>
          <w:noProof/>
        </w:rPr>
        <w:t>Šā protokola īstenošanu uztic, no vienas puses, Apvienotās Karalistes muitas dien</w:t>
      </w:r>
      <w:r>
        <w:rPr>
          <w:noProof/>
        </w:rPr>
        <w:t>estiem un, no otras puses, attiecīgi Eiropas Komisijas kompetentajiem dienestiem un Savienības dalībvalstu muitas dienestiem. Tie lemj par visiem šā protokola īstenošanai vajadzīgajiem praktiskajiem pasākumiem un kārtību, ņemot vērā to attiecīgos piemēroja</w:t>
      </w:r>
      <w:r>
        <w:rPr>
          <w:noProof/>
        </w:rPr>
        <w:t>mos normatīvos aktus, jo īpaši datu aizsardzības jomā.</w:t>
      </w:r>
    </w:p>
    <w:p w:rsidR="003E022D" w:rsidRDefault="007D19D6">
      <w:pPr>
        <w:numPr>
          <w:ilvl w:val="0"/>
          <w:numId w:val="1009"/>
        </w:numPr>
        <w:ind w:left="0" w:firstLine="0"/>
        <w:rPr>
          <w:noProof/>
        </w:rPr>
      </w:pPr>
      <w:r>
        <w:rPr>
          <w:noProof/>
        </w:rPr>
        <w:t xml:space="preserve">Katra Puse informē otru Pusi par sīki izstrādātiem izpildes pasākumiem, kurus tā pieņem saskaņā ar šā protokola noteikumiem, jo īpaši saistībā ar pienācīgi pilnvarotiem dienestiem un ierēdņiem, kas ir </w:t>
      </w:r>
      <w:r>
        <w:rPr>
          <w:noProof/>
        </w:rPr>
        <w:t>norādīti kā kompetenti izsūtīt un saņemt šajā protokolā paredzētos ziņojumus.</w:t>
      </w:r>
    </w:p>
    <w:p w:rsidR="003E022D" w:rsidRDefault="007D19D6">
      <w:pPr>
        <w:numPr>
          <w:ilvl w:val="0"/>
          <w:numId w:val="1009"/>
        </w:numPr>
        <w:ind w:left="0" w:firstLine="0"/>
        <w:rPr>
          <w:noProof/>
        </w:rPr>
      </w:pPr>
      <w:r>
        <w:rPr>
          <w:noProof/>
        </w:rPr>
        <w:t xml:space="preserve">Savienībā šā protokola noteikumi neietekmē jebkādas informācijas, kas iegūta saskaņā ar šo protokolu, paziņošanu starp Eiropas Komisijas kompetentajiem dienestiem un dalībvalstu </w:t>
      </w:r>
      <w:r>
        <w:rPr>
          <w:noProof/>
        </w:rPr>
        <w:t>muitas dienestiem.</w:t>
      </w:r>
    </w:p>
    <w:p w:rsidR="003E022D" w:rsidRDefault="007D19D6">
      <w:pPr>
        <w:pStyle w:val="Article"/>
        <w:rPr>
          <w:noProof/>
        </w:rPr>
      </w:pPr>
      <w:r>
        <w:rPr>
          <w:noProof/>
        </w:rPr>
        <w:t>16. pants. Citi nolīgumi</w:t>
      </w:r>
    </w:p>
    <w:p w:rsidR="003E022D" w:rsidRDefault="007D19D6">
      <w:pPr>
        <w:rPr>
          <w:rFonts w:cstheme="minorHAnsi"/>
          <w:noProof/>
        </w:rPr>
      </w:pPr>
      <w:r>
        <w:rPr>
          <w:noProof/>
        </w:rPr>
        <w:t>Šā protokola noteikumi ir prioritāri attiecībā pret visiem divpusējiem nolīgumiem par savstarpēju administratīvo palīdzību muitas lietās, kuri ir vai var tikt noslēgti starp atsevišķām Eiropas Savienības dalībval</w:t>
      </w:r>
      <w:r>
        <w:rPr>
          <w:noProof/>
        </w:rPr>
        <w:t>stīm un Apvienoto Karalisti, ciktāl minēto divpusējo nolīgumu noteikumi ir nesaderīgi ar šo protokolu.</w:t>
      </w:r>
    </w:p>
    <w:p w:rsidR="003E022D" w:rsidRDefault="007D19D6">
      <w:pPr>
        <w:pStyle w:val="Article"/>
        <w:rPr>
          <w:noProof/>
        </w:rPr>
      </w:pPr>
      <w:r>
        <w:rPr>
          <w:noProof/>
        </w:rPr>
        <w:t>17. pants. Apspriešanās</w:t>
      </w:r>
    </w:p>
    <w:p w:rsidR="003E022D" w:rsidRDefault="007D19D6">
      <w:pPr>
        <w:rPr>
          <w:noProof/>
        </w:rPr>
      </w:pPr>
      <w:r>
        <w:rPr>
          <w:noProof/>
        </w:rPr>
        <w:t>Attiecībā uz šā protokola interpretāciju un īstenošanu Puses savstarpēji apspriežas, lai jautājumu atrisinātu [Tirdzniecības spec</w:t>
      </w:r>
      <w:r>
        <w:rPr>
          <w:noProof/>
        </w:rPr>
        <w:t>ializētajā komitejā muitas sadarbības un izcelsmes noteikumu jomā].</w:t>
      </w:r>
    </w:p>
    <w:p w:rsidR="003E022D" w:rsidRDefault="007D19D6">
      <w:pPr>
        <w:pStyle w:val="Article"/>
        <w:rPr>
          <w:noProof/>
        </w:rPr>
      </w:pPr>
      <w:r>
        <w:rPr>
          <w:noProof/>
        </w:rPr>
        <w:t>18. pants. Turpmākie pilnveidojumi</w:t>
      </w:r>
    </w:p>
    <w:p w:rsidR="003E022D" w:rsidRDefault="007D19D6">
      <w:pPr>
        <w:rPr>
          <w:noProof/>
        </w:rPr>
      </w:pPr>
      <w:r>
        <w:rPr>
          <w:noProof/>
        </w:rPr>
        <w:t>Lai papildinātu šajā protokolā paredzētos savstarpējās palīdzības līmeņus, Tirdzniecības specializētā komiteja muitas sadarbības un izcelsmes noteikumu j</w:t>
      </w:r>
      <w:r>
        <w:rPr>
          <w:noProof/>
        </w:rPr>
        <w:t xml:space="preserve">omā var pieņemt lēmumu paplašināt šo protokolu, nosakot kārtību konkrētās nozarēs vai jautājumos saskaņā ar Pušu attiecīgajiem tiesību aktiem muitas jomā. </w:t>
      </w:r>
    </w:p>
    <w:p w:rsidR="003E022D" w:rsidRDefault="003E022D">
      <w:pPr>
        <w:rPr>
          <w:noProof/>
        </w:rPr>
      </w:pPr>
    </w:p>
    <w:p w:rsidR="003E022D" w:rsidRDefault="007D19D6">
      <w:pPr>
        <w:spacing w:after="0" w:line="276" w:lineRule="auto"/>
        <w:jc w:val="left"/>
        <w:rPr>
          <w:noProof/>
        </w:rPr>
      </w:pPr>
      <w:r>
        <w:rPr>
          <w:noProof/>
        </w:rPr>
        <w:br w:type="page"/>
      </w:r>
    </w:p>
    <w:p w:rsidR="003E022D" w:rsidRDefault="003E022D">
      <w:pPr>
        <w:spacing w:after="0" w:line="276" w:lineRule="auto"/>
        <w:jc w:val="left"/>
        <w:rPr>
          <w:noProof/>
          <w:lang w:eastAsia="en-GB" w:bidi="fr-BE"/>
        </w:rPr>
      </w:pPr>
    </w:p>
    <w:p w:rsidR="003E022D" w:rsidRDefault="007D19D6">
      <w:pPr>
        <w:pStyle w:val="Heading1"/>
        <w:rPr>
          <w:noProof/>
        </w:rPr>
      </w:pPr>
      <w:bookmarkStart w:id="1454" w:name="_Toc59110601"/>
      <w:bookmarkStart w:id="1455" w:name="_Toc59988440"/>
      <w:r>
        <w:rPr>
          <w:noProof/>
        </w:rPr>
        <w:t>PROTOKOLOS PAR SOCIĀLĀ NODROŠINĀJUMA KOORDINĀCIJU</w:t>
      </w:r>
      <w:bookmarkEnd w:id="1454"/>
      <w:bookmarkEnd w:id="1455"/>
    </w:p>
    <w:p w:rsidR="003E022D" w:rsidRDefault="007D19D6">
      <w:pPr>
        <w:pStyle w:val="Title1"/>
        <w:rPr>
          <w:rFonts w:eastAsia="Arial" w:cs="Arial"/>
          <w:i w:val="0"/>
          <w:noProof/>
        </w:rPr>
      </w:pPr>
      <w:bookmarkStart w:id="1456" w:name="_Toc59110602"/>
      <w:bookmarkStart w:id="1457" w:name="_Toc59988441"/>
      <w:r>
        <w:rPr>
          <w:noProof/>
        </w:rPr>
        <w:t>I SADAĻA. VISPĀRĪGI NOTEIKUMI</w:t>
      </w:r>
      <w:bookmarkEnd w:id="1456"/>
      <w:bookmarkEnd w:id="1457"/>
    </w:p>
    <w:p w:rsidR="003E022D" w:rsidRDefault="007D19D6">
      <w:pPr>
        <w:pStyle w:val="Article"/>
        <w:rPr>
          <w:noProof/>
        </w:rPr>
      </w:pPr>
      <w:r>
        <w:rPr>
          <w:noProof/>
        </w:rPr>
        <w:t xml:space="preserve">SSC.1. pants.  </w:t>
      </w:r>
      <w:r>
        <w:rPr>
          <w:noProof/>
        </w:rPr>
        <w:t>Definīcijas</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Šajā protokolā piemēro šādas definīcijas: </w:t>
      </w:r>
    </w:p>
    <w:p w:rsidR="003E022D" w:rsidRDefault="007D19D6">
      <w:pPr>
        <w:numPr>
          <w:ilvl w:val="0"/>
          <w:numId w:val="1227"/>
        </w:numPr>
        <w:ind w:left="567" w:hanging="567"/>
        <w:rPr>
          <w:noProof/>
        </w:rPr>
      </w:pPr>
      <w:r>
        <w:rPr>
          <w:noProof/>
        </w:rPr>
        <w:t xml:space="preserve">“darbība nodarbinātas personas statusā” ir katra darbība vai līdzvērtīga situācija, ko par tādu uzskata tās valsts sociālā nodrošinājuma tiesību aktu piemērošanas nolūkā, kurā tiek veikta minētā </w:t>
      </w:r>
      <w:r>
        <w:rPr>
          <w:noProof/>
        </w:rPr>
        <w:t>darbība vai pastāv līdzvērtīgā situācija;</w:t>
      </w:r>
    </w:p>
    <w:p w:rsidR="003E022D" w:rsidRDefault="007D19D6">
      <w:pPr>
        <w:numPr>
          <w:ilvl w:val="0"/>
          <w:numId w:val="1227"/>
        </w:numPr>
        <w:ind w:left="567" w:hanging="567"/>
        <w:rPr>
          <w:noProof/>
        </w:rPr>
      </w:pPr>
      <w:r>
        <w:rPr>
          <w:noProof/>
        </w:rPr>
        <w:t>“darbība pašnodarbinātas personas statusā” ir katra darbība vai līdzvērtīga situācija, ko par tādu uzskata tās valsts sociālā nodrošinājuma tiesību aktu nolūkā, kurā tiek veikta minētā darbība vai pastāv līdzvērtīg</w:t>
      </w:r>
      <w:r>
        <w:rPr>
          <w:noProof/>
        </w:rPr>
        <w:t xml:space="preserve">ā situācija; </w:t>
      </w:r>
    </w:p>
    <w:p w:rsidR="003E022D" w:rsidRDefault="007D19D6">
      <w:pPr>
        <w:numPr>
          <w:ilvl w:val="0"/>
          <w:numId w:val="1227"/>
        </w:numPr>
        <w:ind w:left="567" w:hanging="567"/>
        <w:rPr>
          <w:noProof/>
        </w:rPr>
      </w:pPr>
      <w:r>
        <w:rPr>
          <w:noProof/>
        </w:rPr>
        <w:t xml:space="preserve">“medicīniski atbalstītas apaugļošanas pakalpojumi” ir visi medicīnas, ķirurģijas vai dzemdniecības pakalpojumi, ko sniedz, lai palīdzētu personai ieņemt bērnu. </w:t>
      </w:r>
    </w:p>
    <w:p w:rsidR="003E022D" w:rsidRDefault="007D19D6">
      <w:pPr>
        <w:numPr>
          <w:ilvl w:val="0"/>
          <w:numId w:val="1227"/>
        </w:numPr>
        <w:ind w:left="567" w:hanging="567"/>
        <w:rPr>
          <w:rFonts w:asciiTheme="majorHAnsi" w:hAnsiTheme="majorHAnsi"/>
          <w:noProof/>
        </w:rPr>
      </w:pPr>
      <w:r>
        <w:rPr>
          <w:noProof/>
        </w:rPr>
        <w:t>“pabalsti natūrā” ir:</w:t>
      </w:r>
      <w:r>
        <w:rPr>
          <w:rFonts w:asciiTheme="majorHAnsi" w:hAnsiTheme="majorHAnsi"/>
          <w:noProof/>
        </w:rPr>
        <w:t xml:space="preserve"> </w:t>
      </w:r>
    </w:p>
    <w:p w:rsidR="003E022D" w:rsidRDefault="007D19D6">
      <w:pPr>
        <w:pStyle w:val="Indent"/>
        <w:numPr>
          <w:ilvl w:val="0"/>
          <w:numId w:val="1022"/>
        </w:numPr>
        <w:ind w:left="1276" w:hanging="567"/>
        <w:rPr>
          <w:rFonts w:asciiTheme="majorHAnsi" w:hAnsiTheme="majorHAnsi"/>
          <w:noProof/>
        </w:rPr>
      </w:pPr>
      <w:r>
        <w:rPr>
          <w:rFonts w:asciiTheme="majorHAnsi" w:hAnsiTheme="majorHAnsi"/>
          <w:noProof/>
        </w:rPr>
        <w:t>III sadaļas 1. nodaļā [Slimības, maternitātes un līdzvērtī</w:t>
      </w:r>
      <w:r>
        <w:rPr>
          <w:rFonts w:asciiTheme="majorHAnsi" w:hAnsiTheme="majorHAnsi"/>
          <w:noProof/>
        </w:rPr>
        <w:t>gi paternitātes pabalsti] — pabalsti natūrā, kas paredzēti saskaņā ar valsts tiesību aktiem, lai nodrošinātu, darītu pieejamas, apmaksātu tieši vai atmaksātu medicīniskās aprūpes izmaksas un ar šo aprūpi saistītos produktus un pakalpojumus;</w:t>
      </w:r>
    </w:p>
    <w:p w:rsidR="003E022D" w:rsidRDefault="007D19D6">
      <w:pPr>
        <w:pStyle w:val="Indent"/>
        <w:numPr>
          <w:ilvl w:val="0"/>
          <w:numId w:val="1022"/>
        </w:numPr>
        <w:ind w:left="1276" w:hanging="567"/>
        <w:rPr>
          <w:rFonts w:asciiTheme="majorHAnsi" w:eastAsia="Arial" w:hAnsiTheme="majorHAnsi" w:cs="Arial"/>
          <w:noProof/>
          <w:color w:val="000000"/>
        </w:rPr>
      </w:pPr>
      <w:r>
        <w:rPr>
          <w:rFonts w:asciiTheme="majorHAnsi" w:hAnsiTheme="majorHAnsi"/>
          <w:noProof/>
        </w:rPr>
        <w:t>III sadaļas 2. </w:t>
      </w:r>
      <w:r>
        <w:rPr>
          <w:rFonts w:asciiTheme="majorHAnsi" w:hAnsiTheme="majorHAnsi"/>
          <w:noProof/>
        </w:rPr>
        <w:t>nodaļā [Nelaimes gadījumi darbā un arodslimības] — visi pabalsti natūrā par nelaimes gadījumiem darbā un arodslimībām, kā noteikts i) punktā, kas paredzēti valstu sistēmās attiecībā uz nelaimes gadījumiem darbā vai arodslimībām;</w:t>
      </w:r>
      <w:r>
        <w:rPr>
          <w:rFonts w:asciiTheme="majorHAnsi" w:hAnsiTheme="majorHAnsi"/>
          <w:noProof/>
          <w:color w:val="000000"/>
        </w:rPr>
        <w:t xml:space="preserve"> </w:t>
      </w:r>
    </w:p>
    <w:p w:rsidR="003E022D" w:rsidRDefault="007D19D6">
      <w:pPr>
        <w:numPr>
          <w:ilvl w:val="0"/>
          <w:numId w:val="1227"/>
        </w:numPr>
        <w:ind w:left="567" w:hanging="567"/>
        <w:rPr>
          <w:noProof/>
        </w:rPr>
      </w:pPr>
      <w:r>
        <w:rPr>
          <w:noProof/>
        </w:rPr>
        <w:t>“bērna audzināšanas period</w:t>
      </w:r>
      <w:r>
        <w:rPr>
          <w:noProof/>
        </w:rPr>
        <w:t>s” ir jebkurš periods, kas ir iemaksu periods saskaņā ar valsts pensiju tiesību aktiem vai kas nodrošina pensijas papildinājumu konkrēti tā iemesla dēļ, ka persona ir audzinājusi bērnu, neatkarīgi no metodes, kāda izmantota šādu periodu aprēķināšanai, un n</w:t>
      </w:r>
      <w:r>
        <w:rPr>
          <w:noProof/>
        </w:rPr>
        <w:t xml:space="preserve">eatkarīgi no tā, vai tie uzkrājas bērna audzināšanas laikā vai tiek atzīti ar atpakaļejošu spēku. </w:t>
      </w:r>
    </w:p>
    <w:p w:rsidR="003E022D" w:rsidRDefault="007D19D6">
      <w:pPr>
        <w:numPr>
          <w:ilvl w:val="0"/>
          <w:numId w:val="1227"/>
        </w:numPr>
        <w:ind w:left="567" w:hanging="567"/>
        <w:rPr>
          <w:noProof/>
        </w:rPr>
      </w:pPr>
      <w:r>
        <w:rPr>
          <w:noProof/>
        </w:rPr>
        <w:t xml:space="preserve">“ierēdnis” ir persona, ko valsts, kuras administrācija viņu nodarbina, uzskata par tādu vai pielīdzina tādam; </w:t>
      </w:r>
    </w:p>
    <w:p w:rsidR="003E022D" w:rsidRDefault="007D19D6">
      <w:pPr>
        <w:numPr>
          <w:ilvl w:val="0"/>
          <w:numId w:val="1227"/>
        </w:numPr>
        <w:ind w:left="567" w:hanging="567"/>
        <w:rPr>
          <w:noProof/>
        </w:rPr>
      </w:pPr>
      <w:r>
        <w:rPr>
          <w:noProof/>
        </w:rPr>
        <w:t>“kompetentā institūcija” attiecībā uz katru va</w:t>
      </w:r>
      <w:r>
        <w:rPr>
          <w:noProof/>
        </w:rPr>
        <w:t>lsti ir tas ministrs, ministri vai citas līdzvērtīgas iestādes, kas atbild par sociālā nodrošinājuma shēmām visā attiecīgās valsts teritorijā vai kādā tās daļā;</w:t>
      </w:r>
    </w:p>
    <w:p w:rsidR="003E022D" w:rsidRDefault="007D19D6">
      <w:pPr>
        <w:numPr>
          <w:ilvl w:val="0"/>
          <w:numId w:val="1227"/>
        </w:numPr>
        <w:ind w:left="567" w:hanging="567"/>
        <w:rPr>
          <w:rFonts w:asciiTheme="majorHAnsi" w:hAnsiTheme="majorHAnsi"/>
          <w:noProof/>
          <w:color w:val="000000"/>
        </w:rPr>
      </w:pPr>
      <w:r>
        <w:rPr>
          <w:noProof/>
        </w:rPr>
        <w:t>“kompetentā iestāde” ir:</w:t>
      </w:r>
      <w:r>
        <w:rPr>
          <w:rFonts w:asciiTheme="majorHAnsi" w:hAnsiTheme="majorHAnsi"/>
          <w:noProof/>
          <w:color w:val="000000"/>
        </w:rPr>
        <w:t xml:space="preserve"> </w:t>
      </w:r>
    </w:p>
    <w:p w:rsidR="003E022D" w:rsidRDefault="007D19D6">
      <w:pPr>
        <w:pStyle w:val="Indent"/>
        <w:numPr>
          <w:ilvl w:val="0"/>
          <w:numId w:val="1023"/>
        </w:numPr>
        <w:ind w:left="1276" w:hanging="567"/>
        <w:rPr>
          <w:rFonts w:asciiTheme="majorHAnsi" w:hAnsiTheme="majorHAnsi"/>
          <w:noProof/>
        </w:rPr>
      </w:pPr>
      <w:r>
        <w:rPr>
          <w:rFonts w:asciiTheme="majorHAnsi" w:hAnsiTheme="majorHAnsi"/>
          <w:noProof/>
        </w:rPr>
        <w:t>iestāde, kurā attiecīgā persona ir apdrošināta brīdī, kad tiek iesnie</w:t>
      </w:r>
      <w:r>
        <w:rPr>
          <w:rFonts w:asciiTheme="majorHAnsi" w:hAnsiTheme="majorHAnsi"/>
          <w:noProof/>
        </w:rPr>
        <w:t>gts pieteikums pabalsta saņemšanai; vai</w:t>
      </w:r>
    </w:p>
    <w:p w:rsidR="003E022D" w:rsidRDefault="007D19D6">
      <w:pPr>
        <w:pStyle w:val="Indent"/>
        <w:numPr>
          <w:ilvl w:val="0"/>
          <w:numId w:val="1023"/>
        </w:numPr>
        <w:ind w:left="1276" w:hanging="567"/>
        <w:rPr>
          <w:rFonts w:asciiTheme="majorHAnsi" w:hAnsiTheme="majorHAnsi"/>
          <w:noProof/>
        </w:rPr>
      </w:pPr>
      <w:r>
        <w:rPr>
          <w:rFonts w:asciiTheme="majorHAnsi" w:hAnsiTheme="majorHAnsi"/>
          <w:noProof/>
        </w:rPr>
        <w:t>iestāde, no kuras attiecīgā persona ir tiesīga vai būtu tiesīga saņemt pabalstus, ja šī persona vai kāds tās ģimenes loceklis vai ģimenes locekļi pastāvīgi dzīvotu tās valsts teritorijā, kurā atrodas šī iestāde;</w:t>
      </w:r>
      <w:r>
        <w:rPr>
          <w:rFonts w:asciiTheme="majorHAnsi" w:hAnsiTheme="majorHAnsi"/>
          <w:noProof/>
          <w:color w:val="000000"/>
        </w:rPr>
        <w:t xml:space="preserve"> vai</w:t>
      </w:r>
    </w:p>
    <w:p w:rsidR="003E022D" w:rsidRDefault="007D19D6">
      <w:pPr>
        <w:pStyle w:val="Indent"/>
        <w:numPr>
          <w:ilvl w:val="0"/>
          <w:numId w:val="1023"/>
        </w:numPr>
        <w:ind w:left="1276" w:hanging="567"/>
        <w:rPr>
          <w:rFonts w:asciiTheme="majorHAnsi" w:hAnsiTheme="majorHAnsi"/>
          <w:noProof/>
        </w:rPr>
      </w:pPr>
      <w:r>
        <w:rPr>
          <w:rFonts w:asciiTheme="majorHAnsi" w:hAnsiTheme="majorHAnsi"/>
          <w:noProof/>
          <w:color w:val="000000"/>
        </w:rPr>
        <w:t xml:space="preserve">iestāde, kuru norīkojusi attiecīgās valsts kompetentā institūcija; vai </w:t>
      </w:r>
    </w:p>
    <w:p w:rsidR="003E022D" w:rsidRDefault="007D19D6">
      <w:pPr>
        <w:pStyle w:val="Indent"/>
        <w:numPr>
          <w:ilvl w:val="0"/>
          <w:numId w:val="1023"/>
        </w:numPr>
        <w:ind w:left="1276" w:hanging="567"/>
        <w:rPr>
          <w:rFonts w:asciiTheme="majorHAnsi" w:hAnsiTheme="majorHAnsi"/>
          <w:noProof/>
        </w:rPr>
      </w:pPr>
      <w:r>
        <w:rPr>
          <w:rFonts w:asciiTheme="majorHAnsi" w:hAnsiTheme="majorHAnsi"/>
          <w:noProof/>
        </w:rPr>
        <w:t xml:space="preserve">tādas shēmas gadījumā, kas saistīta ar darba devēja pienākumiem attiecībā uz </w:t>
      </w:r>
      <w:r>
        <w:rPr>
          <w:rFonts w:asciiTheme="majorHAnsi" w:hAnsiTheme="majorHAnsi"/>
          <w:noProof/>
          <w:color w:val="000000"/>
        </w:rPr>
        <w:t>SSC.3. panta [Jomas, uz kurām attiecas šis protokols] 1. punktā</w:t>
      </w:r>
      <w:r>
        <w:rPr>
          <w:rFonts w:asciiTheme="majorHAnsi" w:hAnsiTheme="majorHAnsi"/>
          <w:noProof/>
        </w:rPr>
        <w:t xml:space="preserve"> noteiktajiem pabalstiem, — vai nu darba dev</w:t>
      </w:r>
      <w:r>
        <w:rPr>
          <w:rFonts w:asciiTheme="majorHAnsi" w:hAnsiTheme="majorHAnsi"/>
          <w:noProof/>
        </w:rPr>
        <w:t>ējs, vai attiecīgais apdrošinātājs, vai, ja tādu nav, organizācija vai iestāde, ko norīkojusi attiecīgās valsts kompetentā institūcija;</w:t>
      </w:r>
      <w:r>
        <w:rPr>
          <w:rFonts w:asciiTheme="majorHAnsi" w:hAnsiTheme="majorHAnsi"/>
          <w:noProof/>
          <w:color w:val="000000"/>
        </w:rPr>
        <w:t xml:space="preserve"> </w:t>
      </w:r>
    </w:p>
    <w:p w:rsidR="003E022D" w:rsidRDefault="007D19D6">
      <w:pPr>
        <w:numPr>
          <w:ilvl w:val="0"/>
          <w:numId w:val="1227"/>
        </w:numPr>
        <w:ind w:left="567" w:hanging="567"/>
        <w:rPr>
          <w:noProof/>
        </w:rPr>
      </w:pPr>
      <w:r>
        <w:rPr>
          <w:noProof/>
        </w:rPr>
        <w:t>“kompetentā valsts” ir tā valsts, kurā atrodas kompetentā iestāde;</w:t>
      </w:r>
    </w:p>
    <w:p w:rsidR="003E022D" w:rsidRDefault="007D19D6">
      <w:pPr>
        <w:numPr>
          <w:ilvl w:val="0"/>
          <w:numId w:val="1227"/>
        </w:numPr>
        <w:ind w:left="567" w:hanging="567"/>
        <w:rPr>
          <w:noProof/>
        </w:rPr>
      </w:pPr>
      <w:r>
        <w:rPr>
          <w:noProof/>
        </w:rPr>
        <w:t>“apbedīšanas pabalsts” ir jebkāds vienreizējs maksāj</w:t>
      </w:r>
      <w:r>
        <w:rPr>
          <w:noProof/>
        </w:rPr>
        <w:t>ums nāves gadījumā, izņemot w) apakšpunktā minētos vienreizējos pabalstus;</w:t>
      </w:r>
    </w:p>
    <w:p w:rsidR="003E022D" w:rsidRDefault="007D19D6">
      <w:pPr>
        <w:numPr>
          <w:ilvl w:val="0"/>
          <w:numId w:val="1227"/>
        </w:numPr>
        <w:ind w:left="567" w:hanging="567"/>
        <w:rPr>
          <w:noProof/>
        </w:rPr>
      </w:pPr>
      <w:r>
        <w:rPr>
          <w:noProof/>
        </w:rPr>
        <w:t xml:space="preserve">“ģimenes pabalsts” ir visi pabalsti natūrā vai naudā, kas paredzēti ģimenes izdevumu segšanai; </w:t>
      </w:r>
    </w:p>
    <w:p w:rsidR="003E022D" w:rsidRDefault="007D19D6">
      <w:pPr>
        <w:numPr>
          <w:ilvl w:val="0"/>
          <w:numId w:val="1227"/>
        </w:numPr>
        <w:ind w:left="567" w:hanging="567"/>
        <w:rPr>
          <w:noProof/>
        </w:rPr>
      </w:pPr>
      <w:r>
        <w:rPr>
          <w:noProof/>
        </w:rPr>
        <w:t>“pārrobežu darba ņēmējs” ir katra persona, kas veic darbību nodarbinātas vai pašnodar</w:t>
      </w:r>
      <w:r>
        <w:rPr>
          <w:noProof/>
        </w:rPr>
        <w:t xml:space="preserve">binātas personas statusā kādā valstī, bet dzīvo citā dalībvalstī, kurā parasti atgriežas katru dienu vai vismaz vienreiz nedēļā; </w:t>
      </w:r>
    </w:p>
    <w:p w:rsidR="003E022D" w:rsidRDefault="007D19D6">
      <w:pPr>
        <w:numPr>
          <w:ilvl w:val="0"/>
          <w:numId w:val="1227"/>
        </w:numPr>
        <w:ind w:left="567" w:hanging="567"/>
        <w:rPr>
          <w:noProof/>
        </w:rPr>
      </w:pPr>
      <w:r>
        <w:rPr>
          <w:noProof/>
        </w:rPr>
        <w:t>“mājas bāze” ir vieta, no kuras apkalpes loceklis parasti sāk un kurā parasti beidz summāro darba laiku vai summāro darba laik</w:t>
      </w:r>
      <w:r>
        <w:rPr>
          <w:noProof/>
        </w:rPr>
        <w:t>u sēriju, un kur ekspluatants/aviokompānija parasti neatbild par attiecīgā apkalpes locekļa izmitināšanu;</w:t>
      </w:r>
    </w:p>
    <w:p w:rsidR="003E022D" w:rsidRDefault="007D19D6">
      <w:pPr>
        <w:numPr>
          <w:ilvl w:val="0"/>
          <w:numId w:val="1227"/>
        </w:numPr>
        <w:ind w:left="567" w:hanging="567"/>
        <w:rPr>
          <w:noProof/>
        </w:rPr>
      </w:pPr>
      <w:r>
        <w:rPr>
          <w:noProof/>
        </w:rPr>
        <w:t>“iestāde” attiecībā uz katru valsti ir organizācija vai iestāde, kas atbild par visu tiesību aktu vai to daļas piemērošanu;</w:t>
      </w:r>
    </w:p>
    <w:p w:rsidR="003E022D" w:rsidRDefault="007D19D6">
      <w:pPr>
        <w:numPr>
          <w:ilvl w:val="0"/>
          <w:numId w:val="1227"/>
        </w:numPr>
        <w:ind w:left="567" w:hanging="567"/>
        <w:rPr>
          <w:noProof/>
        </w:rPr>
      </w:pPr>
      <w:r>
        <w:rPr>
          <w:noProof/>
        </w:rPr>
        <w:t xml:space="preserve">“dzīvesvietas iestāde” un </w:t>
      </w:r>
      <w:r>
        <w:rPr>
          <w:noProof/>
        </w:rPr>
        <w:t>“uzturēšanās vietas iestāde” ir attiecīgi iestāde, kuras kompetencē ir piešķirt pabalstus vietā, kur attiecīgā persona dzīvo, un iestāde, kuras kompetencē ir piešķirt pabalstus vietā, kur uzturas attiecīgā persona, saskaņā ar tiem tiesību aktiem, ko pārval</w:t>
      </w:r>
      <w:r>
        <w:rPr>
          <w:noProof/>
        </w:rPr>
        <w:t>da šī iestāde, vai, ja nav šādas iestādes, — iestāde, ko norīkojusi attiecīgās valsts kompetentā institūcija;</w:t>
      </w:r>
    </w:p>
    <w:p w:rsidR="003E022D" w:rsidRDefault="007D19D6">
      <w:pPr>
        <w:numPr>
          <w:ilvl w:val="0"/>
          <w:numId w:val="1227"/>
        </w:numPr>
        <w:ind w:left="567" w:hanging="567"/>
        <w:rPr>
          <w:noProof/>
        </w:rPr>
      </w:pPr>
      <w:r>
        <w:rPr>
          <w:noProof/>
        </w:rPr>
        <w:t>“apdrošināta persona” saistībā ar sociālā nodrošinājuma jomām, uz kurām attiecas III sadaļas [Īpaši noteikumi par dažādām pabalstu kategorijām] 1.</w:t>
      </w:r>
      <w:r>
        <w:rPr>
          <w:noProof/>
        </w:rPr>
        <w:t> nodaļa [Slimības, maternitātes un līdzvērtīgi paternitātes pabalsti] un 3. nodaļa [Apbedīšanas pabalsti], ir katra persona, kas atbilst pabalstu tiesību nosacījumiem, kuri noteikti tās valsts tiesību aktos, kura saskaņā ar II sadaļu [Piemērojamo tiesību a</w:t>
      </w:r>
      <w:r>
        <w:rPr>
          <w:noProof/>
        </w:rPr>
        <w:t>ktu noteikšana] ir kompetenta, ņemot vērā šā protokola noteikumus;</w:t>
      </w:r>
    </w:p>
    <w:p w:rsidR="003E022D" w:rsidRDefault="007D19D6">
      <w:pPr>
        <w:numPr>
          <w:ilvl w:val="0"/>
          <w:numId w:val="1227"/>
        </w:numPr>
        <w:ind w:left="567" w:hanging="567"/>
        <w:rPr>
          <w:noProof/>
        </w:rPr>
      </w:pPr>
      <w:r>
        <w:rPr>
          <w:noProof/>
        </w:rPr>
        <w:t>“tiesību akti” attiecībā uz katru valsti ir normatīvie akti, citas tiesību normas un visi pārējie īstenošanas pasākumi, kas saistīti ar SSC.3. panta [Jomas, uz kurām attiecas šis protokols]</w:t>
      </w:r>
      <w:r>
        <w:rPr>
          <w:noProof/>
        </w:rPr>
        <w:t xml:space="preserve"> 1. punktā minētajām sociālā nodrošinājuma jomām, taču šis jēdziens neietver līgumiskus noteikumus, izņemot tos, kas kalpo tāda apdrošināšanas pienākuma īstenošanai, kurš izriet no šajā punktā minētajiem normatīvajiem aktiem, vai uz ko attiecas valsts iest</w:t>
      </w:r>
      <w:r>
        <w:rPr>
          <w:noProof/>
        </w:rPr>
        <w:t xml:space="preserve">āžu lēmums, ar kuru tos padara saistošus vai paplašina to darbības jomu, ja attiecīgā valsts par to nāk klajā ar deklarāciju, ko dara zināmu Specializētajai sociālā nodrošinājuma koordinācijas komitejai. Eiropas Savienība publicē šādu deklarāciju </w:t>
      </w:r>
      <w:r>
        <w:rPr>
          <w:i/>
          <w:noProof/>
        </w:rPr>
        <w:t>Eiropas S</w:t>
      </w:r>
      <w:r>
        <w:rPr>
          <w:i/>
          <w:noProof/>
        </w:rPr>
        <w:t>avienības Oficiālajā Vēstnesī</w:t>
      </w:r>
      <w:r>
        <w:rPr>
          <w:noProof/>
        </w:rPr>
        <w:t xml:space="preserve">; </w:t>
      </w:r>
    </w:p>
    <w:p w:rsidR="003E022D" w:rsidRDefault="007D19D6">
      <w:pPr>
        <w:numPr>
          <w:ilvl w:val="0"/>
          <w:numId w:val="1227"/>
        </w:numPr>
        <w:ind w:left="567" w:hanging="567"/>
        <w:rPr>
          <w:noProof/>
        </w:rPr>
      </w:pPr>
      <w:r>
        <w:rPr>
          <w:noProof/>
        </w:rPr>
        <w:t>“ilgtermiņa aprūpes pabalsts” ir pabalsts natūrā vai naudā, kura mērķis ir apmierināt tādas personas aprūpes vajadzības, kurai traucējumu dēļ ir vajadzīga ievērojama palīdzība, tostarp, bet ne tikai, citas personas vai perso</w:t>
      </w:r>
      <w:r>
        <w:rPr>
          <w:noProof/>
        </w:rPr>
        <w:t xml:space="preserve">nu palīdzība, lai ilgāku laiku veiktu būtiskas ikdienas darbības savas personīgās autonomijas atbalstam; tas ietver pabalstus, ko tādā pašā nolūkā piešķir personai, kura sniedz šādu palīdzību; </w:t>
      </w:r>
    </w:p>
    <w:p w:rsidR="003E022D" w:rsidRDefault="007D19D6">
      <w:pPr>
        <w:numPr>
          <w:ilvl w:val="0"/>
          <w:numId w:val="1227"/>
        </w:numPr>
        <w:ind w:left="567" w:hanging="567"/>
        <w:rPr>
          <w:rFonts w:asciiTheme="majorHAnsi" w:hAnsiTheme="majorHAnsi"/>
          <w:noProof/>
          <w:color w:val="000000"/>
        </w:rPr>
      </w:pPr>
      <w:r>
        <w:rPr>
          <w:noProof/>
        </w:rPr>
        <w:t>“ģimenes loceklis” ir:</w:t>
      </w:r>
    </w:p>
    <w:p w:rsidR="003E022D" w:rsidRDefault="007D19D6">
      <w:pPr>
        <w:numPr>
          <w:ilvl w:val="0"/>
          <w:numId w:val="1014"/>
        </w:numPr>
        <w:pBdr>
          <w:top w:val="nil"/>
          <w:left w:val="nil"/>
          <w:bottom w:val="nil"/>
          <w:right w:val="nil"/>
          <w:between w:val="nil"/>
        </w:pBdr>
        <w:spacing w:before="121" w:after="0"/>
        <w:ind w:left="1276" w:right="249" w:hanging="567"/>
        <w:rPr>
          <w:rFonts w:asciiTheme="majorHAnsi" w:hAnsiTheme="majorHAnsi"/>
          <w:noProof/>
          <w:color w:val="000000"/>
        </w:rPr>
      </w:pPr>
      <w:r>
        <w:rPr>
          <w:rFonts w:asciiTheme="majorHAnsi" w:hAnsiTheme="majorHAnsi"/>
          <w:noProof/>
          <w:color w:val="000000"/>
        </w:rPr>
        <w:t xml:space="preserve">A) katra persona, ko definē vai atzīst par ģimenes locekli vai uzskata par mājsaimniecības locekli tiesību aktos, kuros paredzēti pabalsti; </w:t>
      </w:r>
    </w:p>
    <w:p w:rsidR="003E022D" w:rsidRDefault="003E022D">
      <w:pPr>
        <w:pBdr>
          <w:top w:val="nil"/>
          <w:left w:val="nil"/>
          <w:bottom w:val="nil"/>
          <w:right w:val="nil"/>
          <w:between w:val="nil"/>
        </w:pBdr>
        <w:spacing w:after="0"/>
        <w:ind w:left="2160" w:right="249"/>
        <w:rPr>
          <w:rFonts w:asciiTheme="majorHAnsi" w:eastAsia="Arial" w:hAnsiTheme="majorHAnsi" w:cs="Arial"/>
          <w:noProof/>
          <w:color w:val="000000"/>
        </w:rPr>
      </w:pPr>
    </w:p>
    <w:p w:rsidR="003E022D" w:rsidRDefault="007D19D6">
      <w:pPr>
        <w:pBdr>
          <w:top w:val="nil"/>
          <w:left w:val="nil"/>
          <w:bottom w:val="nil"/>
          <w:right w:val="nil"/>
          <w:between w:val="nil"/>
        </w:pBdr>
        <w:spacing w:after="0"/>
        <w:ind w:left="1276" w:right="249"/>
        <w:rPr>
          <w:rFonts w:asciiTheme="majorHAnsi" w:eastAsia="Arial" w:hAnsiTheme="majorHAnsi" w:cs="Arial"/>
          <w:noProof/>
          <w:color w:val="000000"/>
        </w:rPr>
      </w:pPr>
      <w:r>
        <w:rPr>
          <w:rFonts w:asciiTheme="majorHAnsi" w:hAnsiTheme="majorHAnsi"/>
          <w:noProof/>
          <w:color w:val="000000"/>
        </w:rPr>
        <w:t>B) attiecībā uz pabalstiem natūrā, kas paredzēti III sadaļas [Īpaši noteikumi par dažādām pabalstu kategorijām] 1.</w:t>
      </w:r>
      <w:r>
        <w:rPr>
          <w:rFonts w:asciiTheme="majorHAnsi" w:hAnsiTheme="majorHAnsi"/>
          <w:noProof/>
          <w:color w:val="000000"/>
        </w:rPr>
        <w:t xml:space="preserve"> nodaļā [Slimības, maternitātes un līdzvērtīgi paternitātes pabalsti], – katra persona, ko definē vai atzīst par ģimenes locekli vai uzskata par mājsaimniecības locekli tās valsts tiesību aktos, kurā šī persona dzīvo; </w:t>
      </w:r>
    </w:p>
    <w:p w:rsidR="003E022D" w:rsidRDefault="003E022D">
      <w:pPr>
        <w:pBdr>
          <w:top w:val="nil"/>
          <w:left w:val="nil"/>
          <w:bottom w:val="nil"/>
          <w:right w:val="nil"/>
          <w:between w:val="nil"/>
        </w:pBdr>
        <w:spacing w:after="0"/>
        <w:ind w:left="2160" w:right="249"/>
        <w:rPr>
          <w:rFonts w:asciiTheme="majorHAnsi" w:eastAsia="Arial" w:hAnsiTheme="majorHAnsi" w:cs="Arial"/>
          <w:noProof/>
          <w:color w:val="000000"/>
        </w:rPr>
      </w:pPr>
    </w:p>
    <w:p w:rsidR="003E022D" w:rsidRDefault="007D19D6">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 xml:space="preserve">ja valsts tiesību akti, kas ir </w:t>
      </w:r>
      <w:r>
        <w:rPr>
          <w:rFonts w:asciiTheme="majorHAnsi" w:hAnsiTheme="majorHAnsi"/>
          <w:noProof/>
          <w:color w:val="000000"/>
        </w:rPr>
        <w:t>piemērojami saskaņā ar 1. apakšpunktu, nenošķir ģimenes locekļus no citām personām, kam tie ir piemērojami, tad laulāto, nepilngadīgos bērnus un apgādībā esošos bērnus, kas sasnieguši pilngadību, uzskata par ģimenes locekļiem;</w:t>
      </w:r>
    </w:p>
    <w:p w:rsidR="003E022D" w:rsidRDefault="003E022D">
      <w:pPr>
        <w:pBdr>
          <w:top w:val="nil"/>
          <w:left w:val="nil"/>
          <w:bottom w:val="nil"/>
          <w:right w:val="nil"/>
          <w:between w:val="nil"/>
        </w:pBdr>
        <w:spacing w:after="0"/>
        <w:ind w:left="2160" w:right="249"/>
        <w:rPr>
          <w:rFonts w:asciiTheme="majorHAnsi" w:eastAsia="Arial" w:hAnsiTheme="majorHAnsi" w:cs="Arial"/>
          <w:noProof/>
          <w:color w:val="000000"/>
        </w:rPr>
      </w:pPr>
    </w:p>
    <w:p w:rsidR="003E022D" w:rsidRDefault="007D19D6">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ja saskaņā ar tiesību aktiem</w:t>
      </w:r>
      <w:r>
        <w:rPr>
          <w:rFonts w:asciiTheme="majorHAnsi" w:hAnsiTheme="majorHAnsi"/>
          <w:noProof/>
          <w:color w:val="000000"/>
        </w:rPr>
        <w:t xml:space="preserve">, kas ir piemērojami saskaņā ar 1. un 2. apakšpunktu, personu uzskata par ģimenes locekli vai mājsaimniecības locekli tikai tad, ja šī persona dzīvo tajā pašā mājsaimniecībā, kurā apdrošinātā persona vai pensionārs, šo nosacījumu uzskata par izpildītu, ja </w:t>
      </w:r>
      <w:r>
        <w:rPr>
          <w:rFonts w:asciiTheme="majorHAnsi" w:hAnsiTheme="majorHAnsi"/>
          <w:noProof/>
          <w:color w:val="000000"/>
        </w:rPr>
        <w:t xml:space="preserve">attiecīgā persona ir galvenokārt atkarīga no apdrošinātās personas vai pensionāra; </w:t>
      </w:r>
    </w:p>
    <w:p w:rsidR="003E022D" w:rsidRDefault="003E022D">
      <w:pPr>
        <w:pBdr>
          <w:top w:val="nil"/>
          <w:left w:val="nil"/>
          <w:bottom w:val="nil"/>
          <w:right w:val="nil"/>
          <w:between w:val="nil"/>
        </w:pBdr>
        <w:spacing w:after="0"/>
        <w:ind w:left="2160" w:right="249"/>
        <w:rPr>
          <w:rFonts w:asciiTheme="majorHAnsi" w:eastAsia="Arial" w:hAnsiTheme="majorHAnsi" w:cs="Arial"/>
          <w:noProof/>
          <w:color w:val="000000"/>
        </w:rPr>
      </w:pPr>
    </w:p>
    <w:p w:rsidR="003E022D" w:rsidRDefault="007D19D6">
      <w:pPr>
        <w:numPr>
          <w:ilvl w:val="0"/>
          <w:numId w:val="1227"/>
        </w:numPr>
        <w:ind w:left="567" w:hanging="567"/>
        <w:rPr>
          <w:noProof/>
        </w:rPr>
      </w:pPr>
      <w:r>
        <w:rPr>
          <w:noProof/>
        </w:rPr>
        <w:t>“nodarbinātības periods” vai “pašnodarbinātības periods” ir laika posmi, kas par tādiem definēti vai atzīti tajos tiesību aktos, ar kuriem saskaņā tie izpildīti, un visi p</w:t>
      </w:r>
      <w:r>
        <w:rPr>
          <w:noProof/>
        </w:rPr>
        <w:t>eriodi, kas tādiem pielīdzināmi, ja šajos tiesību aktos uzskatīts, ka tie ir līdzvērtīgi nodarbinātības periodiem vai pašnodarbinātības periodiem;</w:t>
      </w:r>
    </w:p>
    <w:p w:rsidR="003E022D" w:rsidRDefault="007D19D6">
      <w:pPr>
        <w:numPr>
          <w:ilvl w:val="0"/>
          <w:numId w:val="1227"/>
        </w:numPr>
        <w:ind w:left="567" w:hanging="567"/>
        <w:rPr>
          <w:noProof/>
        </w:rPr>
      </w:pPr>
      <w:r>
        <w:rPr>
          <w:noProof/>
        </w:rPr>
        <w:t>“apdrošināšanas periods” ir iemaksu, nodarbinātības vai pašnodarbinātības periodi, kas par apdrošināšanas per</w:t>
      </w:r>
      <w:r>
        <w:rPr>
          <w:noProof/>
        </w:rPr>
        <w:t>iodiem definēti vai atzīti tajos tiesību aktos, ar kuriem saskaņā tie izpildīti vai uzskatīti par izpildītiem, un visi periodi, kas tādiem pielīdzināmi, ja šajos tiesību aktos uzskatīts, ka tie līdzvērtīgi apdrošināšanas periodiem;</w:t>
      </w:r>
    </w:p>
    <w:p w:rsidR="003E022D" w:rsidRDefault="007D19D6">
      <w:pPr>
        <w:numPr>
          <w:ilvl w:val="0"/>
          <w:numId w:val="1227"/>
        </w:numPr>
        <w:ind w:left="567" w:hanging="567"/>
        <w:rPr>
          <w:noProof/>
        </w:rPr>
      </w:pPr>
      <w:r>
        <w:rPr>
          <w:noProof/>
        </w:rPr>
        <w:t>“dzīvesvietas periods” i</w:t>
      </w:r>
      <w:r>
        <w:rPr>
          <w:noProof/>
        </w:rPr>
        <w:t>r periodi, kas par tādiem definēti vai atzīti tiesību aktos, ar kuriem saskaņā tie izpildīti vai uzskatīti par izpildītiem;</w:t>
      </w:r>
    </w:p>
    <w:p w:rsidR="003E022D" w:rsidRDefault="007D19D6">
      <w:pPr>
        <w:numPr>
          <w:ilvl w:val="0"/>
          <w:numId w:val="1227"/>
        </w:numPr>
        <w:ind w:left="567" w:hanging="567"/>
        <w:rPr>
          <w:noProof/>
        </w:rPr>
      </w:pPr>
      <w:r>
        <w:rPr>
          <w:noProof/>
        </w:rPr>
        <w:t xml:space="preserve">jēdziens “pensijas” ietver ne tikai pensijas, bet arī vienreizējus pabalstus, ar kuriem var aizstāt pensijas, un maksājumus iemaksu </w:t>
      </w:r>
      <w:r>
        <w:rPr>
          <w:noProof/>
        </w:rPr>
        <w:t>atlīdzināšanas veidā un, ievērojot III sadaļas [Īpaši noteikumi par dažādām pabalstu kategorijām] noteikumus, pārvērtēšanas pieaugumus vai papildu pabalstus;</w:t>
      </w:r>
    </w:p>
    <w:p w:rsidR="003E022D" w:rsidRDefault="007D19D6">
      <w:pPr>
        <w:numPr>
          <w:ilvl w:val="0"/>
          <w:numId w:val="1227"/>
        </w:numPr>
        <w:ind w:left="567" w:hanging="567"/>
        <w:rPr>
          <w:noProof/>
        </w:rPr>
      </w:pPr>
      <w:r>
        <w:rPr>
          <w:noProof/>
        </w:rPr>
        <w:t xml:space="preserve">“pirmspensijas pabalsts” ir visi naudas pabalsti, kas nav bezdarbnieka pabalsti vai priekšlaicīgi </w:t>
      </w:r>
      <w:r>
        <w:rPr>
          <w:noProof/>
        </w:rPr>
        <w:t xml:space="preserve">vecuma pabalsti un kas no noteikta vecuma paredzēti darbiniekiem, kuri ir samazinājuši, izbeiguši vai pārtraukuši savas darbības, par ko saņem atlīdzību, līdz vecumam, kurā tie var pretendēt uz vecuma pensiju vai priekšlaicīgas pensionēšanas pensiju, kuru </w:t>
      </w:r>
      <w:r>
        <w:rPr>
          <w:noProof/>
        </w:rPr>
        <w:t>saņemšana nav atkarīga no tā, vai attiecīgā persona ir kompetentās valsts nodarbinātības dienestu rīcībā; “priekšlaicīgs vecuma pabalsts” ir pabalsts, ko nodrošina, pirms sasniegts vecums, kurš parasti dod tiesības uz pensiju, un ko turpina nodrošināt, kad</w:t>
      </w:r>
      <w:r>
        <w:rPr>
          <w:noProof/>
        </w:rPr>
        <w:t xml:space="preserve"> ir sasniegts minētais vecums, vai aizstāj ar citu vecuma pabalstu;  </w:t>
      </w:r>
    </w:p>
    <w:p w:rsidR="003E022D" w:rsidRDefault="007D19D6">
      <w:pPr>
        <w:numPr>
          <w:ilvl w:val="0"/>
          <w:numId w:val="1227"/>
        </w:numPr>
        <w:ind w:left="567" w:hanging="567"/>
        <w:rPr>
          <w:noProof/>
        </w:rPr>
      </w:pPr>
      <w:r>
        <w:rPr>
          <w:noProof/>
        </w:rPr>
        <w:t xml:space="preserve">“bēglis” lietots tādā nozīmē, kāda šim vārdam piešķirta 1951. gada 28. jūlijā Ženēvā parakstītās Konvencijas par bēgļu statusu 1. pantā; </w:t>
      </w:r>
    </w:p>
    <w:p w:rsidR="003E022D" w:rsidRDefault="007D19D6">
      <w:pPr>
        <w:numPr>
          <w:ilvl w:val="0"/>
          <w:numId w:val="1227"/>
        </w:numPr>
        <w:ind w:left="567" w:hanging="567"/>
        <w:rPr>
          <w:noProof/>
        </w:rPr>
      </w:pPr>
      <w:r>
        <w:rPr>
          <w:noProof/>
        </w:rPr>
        <w:t xml:space="preserve">“juridiskā adrese vai uzņēmējdarbības vieta” ir </w:t>
      </w:r>
      <w:r>
        <w:rPr>
          <w:noProof/>
        </w:rPr>
        <w:t>tā juridiskā adrese vai uzņēmējdarbības vieta, kur tiek pieņemti uzņēmuma svarīgākie lēmumi un īstenota tā centrālā pārvalde;</w:t>
      </w:r>
    </w:p>
    <w:p w:rsidR="003E022D" w:rsidRDefault="007D19D6">
      <w:pPr>
        <w:numPr>
          <w:ilvl w:val="0"/>
          <w:numId w:val="1227"/>
        </w:numPr>
        <w:ind w:left="567" w:hanging="567"/>
        <w:rPr>
          <w:noProof/>
        </w:rPr>
      </w:pPr>
      <w:r>
        <w:rPr>
          <w:noProof/>
        </w:rPr>
        <w:t xml:space="preserve">“dzīvesvieta” ir vieta, kurā persona pastāvīgi dzīvo; </w:t>
      </w:r>
    </w:p>
    <w:p w:rsidR="003E022D" w:rsidRDefault="007D19D6">
      <w:pPr>
        <w:numPr>
          <w:ilvl w:val="0"/>
          <w:numId w:val="1227"/>
        </w:numPr>
        <w:ind w:left="567" w:hanging="567"/>
        <w:rPr>
          <w:rFonts w:asciiTheme="majorHAnsi" w:hAnsiTheme="majorHAnsi"/>
          <w:noProof/>
          <w:color w:val="000000"/>
        </w:rPr>
      </w:pPr>
      <w:r>
        <w:rPr>
          <w:noProof/>
        </w:rPr>
        <w:t>“speciālie no iemaksām neatkarīgie naudas pabalsti” ir tādi pabalsti, kas:</w:t>
      </w:r>
    </w:p>
    <w:p w:rsidR="003E022D" w:rsidRDefault="007D19D6">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ir paredzēti, lai nodrošinātu vai nu:</w:t>
      </w:r>
    </w:p>
    <w:p w:rsidR="003E022D" w:rsidRDefault="007D19D6">
      <w:pPr>
        <w:pStyle w:val="Indent"/>
        <w:numPr>
          <w:ilvl w:val="0"/>
          <w:numId w:val="1024"/>
        </w:numPr>
        <w:rPr>
          <w:rFonts w:asciiTheme="majorHAnsi" w:hAnsiTheme="majorHAnsi"/>
          <w:noProof/>
        </w:rPr>
      </w:pPr>
      <w:r>
        <w:rPr>
          <w:rFonts w:asciiTheme="majorHAnsi" w:hAnsiTheme="majorHAnsi"/>
          <w:noProof/>
        </w:rPr>
        <w:t>papildu nodrošinājumu, aizvietojuma nodrošinājumu vai palīgnodrošinājumu pret riskiem, uz kuriem attiecas SSC.3. panta [Jomas, uz kurām attiecas šis protokols] 1. punktā minētās sociālā nodrošinājuma jomas, un kas gara</w:t>
      </w:r>
      <w:r>
        <w:rPr>
          <w:rFonts w:asciiTheme="majorHAnsi" w:hAnsiTheme="majorHAnsi"/>
          <w:noProof/>
        </w:rPr>
        <w:t>ntē attiecīgajām personām ienākumus iztikas minimumam, ņemot vērā ekonomikas un sociālo stāvokli attiecīgajā valstī; vai</w:t>
      </w:r>
    </w:p>
    <w:p w:rsidR="003E022D" w:rsidRDefault="007D19D6">
      <w:pPr>
        <w:pStyle w:val="Indent"/>
        <w:numPr>
          <w:ilvl w:val="0"/>
          <w:numId w:val="1024"/>
        </w:numPr>
        <w:rPr>
          <w:rFonts w:asciiTheme="majorHAnsi" w:eastAsia="Arial" w:hAnsiTheme="majorHAnsi" w:cs="Arial"/>
          <w:noProof/>
          <w:color w:val="000000"/>
        </w:rPr>
      </w:pPr>
      <w:r>
        <w:rPr>
          <w:rFonts w:asciiTheme="majorHAnsi" w:hAnsiTheme="majorHAnsi"/>
          <w:noProof/>
        </w:rPr>
        <w:t>tikai tādu īpašu aizsardzību invalīdiem, kura cieši saistīta ar minētās personas sociālo vidi attiecīgajā valstī, un</w:t>
      </w:r>
    </w:p>
    <w:p w:rsidR="003E022D" w:rsidRDefault="007D19D6">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ja finansējums tie</w:t>
      </w:r>
      <w:r>
        <w:rPr>
          <w:rFonts w:asciiTheme="majorHAnsi" w:hAnsiTheme="majorHAnsi"/>
          <w:noProof/>
          <w:color w:val="000000"/>
        </w:rPr>
        <w:t>k gūts tikai no to obligāto nodokļu uzlikšanas, kuri paredzēti, lai segtu vispārējus publiskā sektora izdevumus un ja pabalstu nodrošināšanas un aprēķina nosacījumi nav atkarīgi no jebkādas iemaksas attiecībā uz saņēmēju. Tomēr pabalstus, kas piešķirti, la</w:t>
      </w:r>
      <w:r>
        <w:rPr>
          <w:rFonts w:asciiTheme="majorHAnsi" w:hAnsiTheme="majorHAnsi"/>
          <w:noProof/>
          <w:color w:val="000000"/>
        </w:rPr>
        <w:t>i papildinātu uz iemaksām balstītus pabalstus, neuzskata par pabalstiem, kas balstīti uz iemaksām, tikai šā iemesla dēļ;</w:t>
      </w:r>
    </w:p>
    <w:p w:rsidR="003E022D" w:rsidRDefault="007D19D6">
      <w:pPr>
        <w:numPr>
          <w:ilvl w:val="0"/>
          <w:numId w:val="1227"/>
        </w:numPr>
        <w:ind w:left="567" w:hanging="567"/>
        <w:rPr>
          <w:noProof/>
        </w:rPr>
      </w:pPr>
      <w:r>
        <w:rPr>
          <w:noProof/>
        </w:rPr>
        <w:t>“īpaša shēma ierēdņiem” ir katra sociālā nodrošinājuma shēma, kas atšķiras no sociālā nodrošinājuma vispārīgās shēmas, kuru piemēro nod</w:t>
      </w:r>
      <w:r>
        <w:rPr>
          <w:noProof/>
        </w:rPr>
        <w:t>arbinātām personām attiecīgajā valstī, un kas tieši attiecas uz visiem ierēdņiem vai dažām viņu kategorijām;</w:t>
      </w:r>
    </w:p>
    <w:p w:rsidR="003E022D" w:rsidRDefault="007D19D6">
      <w:pPr>
        <w:numPr>
          <w:ilvl w:val="0"/>
          <w:numId w:val="1227"/>
        </w:numPr>
        <w:ind w:left="567" w:hanging="567"/>
        <w:rPr>
          <w:noProof/>
        </w:rPr>
      </w:pPr>
      <w:r>
        <w:rPr>
          <w:noProof/>
        </w:rPr>
        <w:t>“bezvalstnieks” lietots tādā nozīmē, kāda šim vārdam piešķirta 1954. gada 28. septembrī Ņujorkā parakstītās Konvencijas par bezvalstnieku statusu 1</w:t>
      </w:r>
      <w:r>
        <w:rPr>
          <w:noProof/>
        </w:rPr>
        <w:t xml:space="preserve">. pantā; </w:t>
      </w:r>
    </w:p>
    <w:p w:rsidR="003E022D" w:rsidRDefault="007D19D6">
      <w:pPr>
        <w:numPr>
          <w:ilvl w:val="0"/>
          <w:numId w:val="1227"/>
        </w:numPr>
        <w:ind w:left="567" w:hanging="567"/>
        <w:rPr>
          <w:rFonts w:asciiTheme="majorHAnsi" w:hAnsiTheme="majorHAnsi"/>
          <w:noProof/>
          <w:color w:val="000000"/>
        </w:rPr>
      </w:pPr>
      <w:r>
        <w:rPr>
          <w:noProof/>
        </w:rPr>
        <w:t>“uzturēšanās” ir atrašanās pagaidu dzīvesvietā.</w:t>
      </w:r>
      <w:r>
        <w:rPr>
          <w:rFonts w:asciiTheme="majorHAnsi" w:hAnsiTheme="majorHAnsi"/>
          <w:noProof/>
          <w:color w:val="000000"/>
        </w:rPr>
        <w:t xml:space="preserve"> </w:t>
      </w:r>
    </w:p>
    <w:p w:rsidR="003E022D" w:rsidRDefault="007D19D6">
      <w:pPr>
        <w:pStyle w:val="Article"/>
        <w:rPr>
          <w:noProof/>
        </w:rPr>
      </w:pPr>
      <w:r>
        <w:rPr>
          <w:noProof/>
          <w:color w:val="000000"/>
        </w:rPr>
        <w:t xml:space="preserve"> </w:t>
      </w:r>
      <w:r>
        <w:rPr>
          <w:noProof/>
        </w:rPr>
        <w:t>SSC.2. pants.  Personas, uz kurām attiecas šis protokols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 xml:space="preserve">Šo protokolu piemēro personām, tostarp bezvalstniekiem un bēgļiem, uz kuriem attiecas vai attiecās vienas vai vairāku valstu tiesību akti, </w:t>
      </w:r>
      <w:r>
        <w:rPr>
          <w:rFonts w:asciiTheme="majorHAnsi" w:hAnsiTheme="majorHAnsi"/>
          <w:noProof/>
          <w:color w:val="000000"/>
        </w:rPr>
        <w:t>kā arī uz viņu ģimenes locekļiem un viņu apgādību zaudējušām personām.</w:t>
      </w:r>
    </w:p>
    <w:p w:rsidR="003E022D" w:rsidRDefault="007D19D6">
      <w:pPr>
        <w:pStyle w:val="Article"/>
        <w:rPr>
          <w:noProof/>
        </w:rPr>
      </w:pPr>
      <w:r>
        <w:rPr>
          <w:noProof/>
        </w:rPr>
        <w:t>SSC.3. pants.  Jomas, uz kurām attiecas šis protokols</w:t>
      </w:r>
    </w:p>
    <w:p w:rsidR="003E022D" w:rsidRDefault="007D19D6">
      <w:pPr>
        <w:numPr>
          <w:ilvl w:val="0"/>
          <w:numId w:val="1229"/>
        </w:numPr>
        <w:ind w:left="0" w:firstLine="0"/>
        <w:rPr>
          <w:noProof/>
        </w:rPr>
      </w:pPr>
      <w:r>
        <w:rPr>
          <w:noProof/>
        </w:rPr>
        <w:t xml:space="preserve">Šis protokols attiecas uz šādām sociālā nodrošinājuma jomām: </w:t>
      </w:r>
    </w:p>
    <w:p w:rsidR="003E022D" w:rsidRDefault="007D19D6">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slimības pabalsti;</w:t>
      </w:r>
    </w:p>
    <w:p w:rsidR="003E022D" w:rsidRDefault="007D19D6">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maternitātes un līdzvērtīgi paternitātes pabalsti;</w:t>
      </w:r>
    </w:p>
    <w:p w:rsidR="003E022D" w:rsidRDefault="007D19D6">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invaliditātes pabalsti;</w:t>
      </w:r>
    </w:p>
    <w:p w:rsidR="003E022D" w:rsidRDefault="007D19D6">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vecuma pabalsti;</w:t>
      </w:r>
    </w:p>
    <w:p w:rsidR="003E022D" w:rsidRDefault="007D19D6">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apgādnieka zaudējuma pabalsti;</w:t>
      </w:r>
    </w:p>
    <w:p w:rsidR="003E022D" w:rsidRDefault="007D19D6">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pabalsti attiecībā uz nelaimes gadījumiem darbā un arodslimībām;</w:t>
      </w:r>
    </w:p>
    <w:p w:rsidR="003E022D" w:rsidRDefault="007D19D6">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apbedīšanas pabalsti;</w:t>
      </w:r>
    </w:p>
    <w:p w:rsidR="003E022D" w:rsidRDefault="007D19D6">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bezdarbnieka pabalsti;</w:t>
      </w:r>
    </w:p>
    <w:p w:rsidR="003E022D" w:rsidRDefault="007D19D6">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pirmspensijas pabalsti.</w:t>
      </w:r>
    </w:p>
    <w:p w:rsidR="003E022D" w:rsidRDefault="007D19D6">
      <w:pPr>
        <w:numPr>
          <w:ilvl w:val="0"/>
          <w:numId w:val="1229"/>
        </w:numPr>
        <w:ind w:left="0" w:firstLine="0"/>
        <w:rPr>
          <w:noProof/>
        </w:rPr>
      </w:pPr>
      <w:r>
        <w:rPr>
          <w:noProof/>
        </w:rPr>
        <w:t>Ja SSC-6. pielikumā [Īpaši dalībvalstu un Apvienotās Karalistes tiesību aktu piemērošanas noteikumi] nav noteikts citādi, šis protokols attiecas uz vispārīgām un īpašām sociālās nodrošināšanas shēmām neatkarīgi no tā, vai tās ir balstītas uz iemaksām, un s</w:t>
      </w:r>
      <w:r>
        <w:rPr>
          <w:noProof/>
        </w:rPr>
        <w:t xml:space="preserve">hēmām, kas saistītas ar darba devēja vai kuģa īpašnieka pienākumiem. </w:t>
      </w:r>
    </w:p>
    <w:p w:rsidR="003E022D" w:rsidRDefault="007D19D6">
      <w:pPr>
        <w:numPr>
          <w:ilvl w:val="0"/>
          <w:numId w:val="1229"/>
        </w:numPr>
        <w:ind w:left="0" w:firstLine="0"/>
        <w:rPr>
          <w:noProof/>
        </w:rPr>
      </w:pPr>
      <w:r>
        <w:rPr>
          <w:noProof/>
        </w:rPr>
        <w:t xml:space="preserve">Tomēr III sadaļas [Īpaši noteikumi par dažādām pabalstu kategorijām] noteikumi neskar nevienas valsts tiesību aktu noteikumus, kas attiecas uz kuģa īpašnieka pienākumiem. </w:t>
      </w:r>
    </w:p>
    <w:p w:rsidR="003E022D" w:rsidRDefault="007D19D6">
      <w:pPr>
        <w:numPr>
          <w:ilvl w:val="0"/>
          <w:numId w:val="1229"/>
        </w:numPr>
        <w:ind w:left="0" w:firstLine="0"/>
        <w:rPr>
          <w:rFonts w:asciiTheme="majorHAnsi" w:eastAsia="Arial" w:hAnsiTheme="majorHAnsi" w:cs="Arial"/>
          <w:noProof/>
          <w:color w:val="000000"/>
        </w:rPr>
      </w:pPr>
      <w:r>
        <w:rPr>
          <w:noProof/>
        </w:rPr>
        <w:t>Šo protokolu n</w:t>
      </w:r>
      <w:r>
        <w:rPr>
          <w:noProof/>
        </w:rPr>
        <w:t>epiemēro:</w:t>
      </w:r>
      <w:r>
        <w:rPr>
          <w:rFonts w:asciiTheme="majorHAnsi" w:hAnsiTheme="majorHAnsi"/>
          <w:noProof/>
          <w:color w:val="000000"/>
        </w:rPr>
        <w:t xml:space="preserve"> </w:t>
      </w:r>
    </w:p>
    <w:p w:rsidR="003E022D" w:rsidRDefault="007D19D6">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īpašiem no iemaksām neatkarīgiem naudas pabalstiem, kas uzskaitīti SSC-1. pielikuma [Daži naudas pabalsti, kuriem nepiemēro šo protokolu] 1. daļā [Īpaši no iemaksām neatkarīgi naudas pabalsti];</w:t>
      </w:r>
    </w:p>
    <w:p w:rsidR="003E022D" w:rsidRDefault="007D19D6">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sociālajai un medicīniskajai palīdzībai;</w:t>
      </w:r>
    </w:p>
    <w:p w:rsidR="003E022D" w:rsidRDefault="007D19D6">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pabalstiem</w:t>
      </w:r>
      <w:r>
        <w:rPr>
          <w:rFonts w:asciiTheme="majorHAnsi" w:hAnsiTheme="majorHAnsi"/>
          <w:noProof/>
          <w:color w:val="000000"/>
        </w:rPr>
        <w:t>, attiecībā uz kuriem valsts uzņemas atbildību par zaudējumu atlīdzināšanu personām un nodrošina kompensāciju, piemēram, kara un militāru darbību vai to seku upuriem; noziegumu, politisku slepkavību vai terora aktu upuriem; tādu kaitējumu upuriem, ko radīj</w:t>
      </w:r>
      <w:r>
        <w:rPr>
          <w:rFonts w:asciiTheme="majorHAnsi" w:hAnsiTheme="majorHAnsi"/>
          <w:noProof/>
          <w:color w:val="000000"/>
        </w:rPr>
        <w:t>uši valsts aģenti, veicot savus pienākumus; vai upuriem, kas cietuši zaudējumus politisku vai reliģisku iemeslu dēļ vai izcelsmes dēļ;</w:t>
      </w:r>
    </w:p>
    <w:p w:rsidR="003E022D" w:rsidRDefault="007D19D6">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ilgtermiņa aprūpes pabalstiem, kas uzskaitīti SSC-1 pielikuma[Daži naudas pabalsti, kuriem nepiemēro šo protokolu] 2. daļ</w:t>
      </w:r>
      <w:r>
        <w:rPr>
          <w:rFonts w:asciiTheme="majorHAnsi" w:hAnsiTheme="majorHAnsi"/>
          <w:noProof/>
          <w:color w:val="000000"/>
        </w:rPr>
        <w:t>ā [Ilgtermiņa aprūpes pabalsti];</w:t>
      </w:r>
    </w:p>
    <w:p w:rsidR="003E022D" w:rsidRDefault="007D19D6">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medicīniski atbalstītas apaugļošanas pakalpojumiem;</w:t>
      </w:r>
    </w:p>
    <w:p w:rsidR="003E022D" w:rsidRDefault="007D19D6">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 xml:space="preserve">maksājumiem, kas ir saistīti ar kādu no 1. punktā uzskaitītajām sociālā nodrošinājuma jomām un: </w:t>
      </w:r>
    </w:p>
    <w:p w:rsidR="003E022D" w:rsidRDefault="007D19D6">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kurus maksā, lai segtu izdevumus par apkuri aukstā laikā; un</w:t>
      </w:r>
    </w:p>
    <w:p w:rsidR="003E022D" w:rsidRDefault="007D19D6">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 xml:space="preserve">kuri ir uzskaitīti SSC-1. pielikuma [Daži naudas pabalsti, kuriem nepiemēro šo protokolu] 3. daļā [Maksājumi, kas ir saistīti ar kādu no SSC.3. panta [Jomas, uz kurām attiecas šis protokols] 1. punktā minētajām sociālā nodrošinājuma jomām un ko maksā, lai </w:t>
      </w:r>
      <w:r>
        <w:rPr>
          <w:rFonts w:asciiTheme="majorHAnsi" w:hAnsiTheme="majorHAnsi"/>
          <w:noProof/>
          <w:color w:val="000000"/>
        </w:rPr>
        <w:t xml:space="preserve">segtu izdevumus par apkuri aukstā laikā (SSC.3. panta [Jomas, uz kurām attiecas šis protokols] 4. punkta f) apakšpunkts); </w:t>
      </w:r>
    </w:p>
    <w:p w:rsidR="003E022D" w:rsidRDefault="007D19D6">
      <w:pPr>
        <w:numPr>
          <w:ilvl w:val="0"/>
          <w:numId w:val="1019"/>
        </w:numPr>
        <w:pBdr>
          <w:top w:val="nil"/>
          <w:left w:val="nil"/>
          <w:bottom w:val="nil"/>
          <w:right w:val="nil"/>
          <w:between w:val="nil"/>
        </w:pBdr>
        <w:spacing w:before="248"/>
        <w:ind w:left="360"/>
        <w:rPr>
          <w:rFonts w:asciiTheme="majorHAnsi" w:eastAsia="Arial" w:hAnsiTheme="majorHAnsi" w:cs="Arial"/>
          <w:noProof/>
          <w:color w:val="000000"/>
        </w:rPr>
      </w:pPr>
      <w:r>
        <w:rPr>
          <w:rFonts w:asciiTheme="majorHAnsi" w:hAnsiTheme="majorHAnsi"/>
          <w:noProof/>
          <w:color w:val="000000"/>
        </w:rPr>
        <w:t>ģimenes pabalstiem.</w:t>
      </w:r>
    </w:p>
    <w:p w:rsidR="003E022D" w:rsidRDefault="007D19D6">
      <w:pPr>
        <w:pStyle w:val="Article"/>
        <w:rPr>
          <w:noProof/>
          <w:color w:val="000000"/>
        </w:rPr>
      </w:pPr>
      <w:r>
        <w:rPr>
          <w:noProof/>
          <w:color w:val="000000"/>
        </w:rPr>
        <w:t xml:space="preserve">SSC.4. pants.  </w:t>
      </w:r>
      <w:r>
        <w:rPr>
          <w:noProof/>
        </w:rPr>
        <w:t>Diskriminācijas aizliegums starp dalībvalstīm</w:t>
      </w:r>
    </w:p>
    <w:p w:rsidR="003E022D" w:rsidRDefault="007D19D6">
      <w:pPr>
        <w:numPr>
          <w:ilvl w:val="0"/>
          <w:numId w:val="1231"/>
        </w:numPr>
        <w:ind w:left="0" w:firstLine="0"/>
        <w:rPr>
          <w:noProof/>
        </w:rPr>
      </w:pPr>
      <w:r>
        <w:rPr>
          <w:noProof/>
        </w:rPr>
        <w:t>Šajā protokolā noteikto sociālā nodrošinājuma koordi</w:t>
      </w:r>
      <w:r>
        <w:rPr>
          <w:noProof/>
        </w:rPr>
        <w:t>nācijas pasākumu pamatā ir diskriminācijas aizlieguma princips starp Savienības dalībvalstīm.</w:t>
      </w:r>
    </w:p>
    <w:p w:rsidR="003E022D" w:rsidRDefault="007D19D6">
      <w:pPr>
        <w:numPr>
          <w:ilvl w:val="0"/>
          <w:numId w:val="1231"/>
        </w:numPr>
        <w:ind w:left="0" w:firstLine="0"/>
        <w:rPr>
          <w:rFonts w:asciiTheme="majorHAnsi" w:hAnsiTheme="majorHAnsi"/>
          <w:noProof/>
          <w:color w:val="000000"/>
        </w:rPr>
      </w:pPr>
      <w:r>
        <w:rPr>
          <w:noProof/>
        </w:rPr>
        <w:t>Šis pants neskar vienošanās, kas panāktas starp Apvienoto Karalisti un Īriju par kopējo ceļošanas telpu.</w:t>
      </w:r>
    </w:p>
    <w:p w:rsidR="003E022D" w:rsidRDefault="007D19D6">
      <w:pPr>
        <w:pStyle w:val="Article"/>
        <w:rPr>
          <w:noProof/>
        </w:rPr>
      </w:pPr>
      <w:r>
        <w:rPr>
          <w:noProof/>
        </w:rPr>
        <w:t>SSC.5. pants.  Vienlīdzīga attieksme</w:t>
      </w:r>
    </w:p>
    <w:p w:rsidR="003E022D" w:rsidRDefault="007D19D6">
      <w:pPr>
        <w:numPr>
          <w:ilvl w:val="0"/>
          <w:numId w:val="1232"/>
        </w:numPr>
        <w:ind w:left="0" w:firstLine="0"/>
        <w:rPr>
          <w:noProof/>
        </w:rPr>
      </w:pPr>
      <w:r>
        <w:rPr>
          <w:noProof/>
        </w:rPr>
        <w:t>Ja šajā protokolā na</w:t>
      </w:r>
      <w:r>
        <w:rPr>
          <w:noProof/>
        </w:rPr>
        <w:t xml:space="preserve">v noteikts citādi, saistībā ar sociālā nodrošinājuma jomām, uz kurām attiecas SSC.3. panta [Jomas, uz kurām attiecas šis protokols] 1. punkts, personām, kurām piemēro šo protokolu, pienākas tādi paši pabalsti un uz tām attiecas tādi paši pienākumi kā tie, </w:t>
      </w:r>
      <w:r>
        <w:rPr>
          <w:noProof/>
        </w:rPr>
        <w:t>ko kādas valsts tiesību akti paredz tās piederīgajiem.</w:t>
      </w:r>
    </w:p>
    <w:p w:rsidR="003E022D" w:rsidRDefault="007D19D6">
      <w:pPr>
        <w:numPr>
          <w:ilvl w:val="0"/>
          <w:numId w:val="1232"/>
        </w:numPr>
        <w:ind w:left="0" w:firstLine="0"/>
        <w:rPr>
          <w:rFonts w:asciiTheme="majorHAnsi" w:eastAsia="Arial" w:hAnsiTheme="majorHAnsi" w:cs="Arial"/>
          <w:noProof/>
          <w:color w:val="000000"/>
        </w:rPr>
      </w:pPr>
      <w:r>
        <w:rPr>
          <w:noProof/>
        </w:rPr>
        <w:t xml:space="preserve">Šo noteikumu nepiemēro jomām, kas minētas </w:t>
      </w:r>
      <w:r>
        <w:rPr>
          <w:rFonts w:asciiTheme="majorHAnsi" w:hAnsiTheme="majorHAnsi"/>
          <w:noProof/>
          <w:color w:val="000000"/>
        </w:rPr>
        <w:t>SSC.3. panta [Jomas, uz kurām attiecas šis protokols] 4. punktā</w:t>
      </w:r>
      <w:r>
        <w:rPr>
          <w:noProof/>
        </w:rPr>
        <w:t>.</w:t>
      </w:r>
    </w:p>
    <w:p w:rsidR="003E022D" w:rsidRDefault="007D19D6">
      <w:pPr>
        <w:pStyle w:val="Article"/>
        <w:rPr>
          <w:noProof/>
        </w:rPr>
      </w:pPr>
      <w:r>
        <w:rPr>
          <w:noProof/>
        </w:rPr>
        <w:t>SSC.6. pants. Vienlīdzīga attieksme pret pabalstiem, ienākumiem, faktiem vai notikumiem</w:t>
      </w:r>
    </w:p>
    <w:p w:rsidR="003E022D" w:rsidRDefault="007D19D6">
      <w:pPr>
        <w:spacing w:before="251"/>
        <w:ind w:right="-4"/>
        <w:rPr>
          <w:rFonts w:asciiTheme="majorHAnsi" w:eastAsia="Arial" w:hAnsiTheme="majorHAnsi" w:cs="Arial"/>
          <w:noProof/>
        </w:rPr>
      </w:pPr>
      <w:r>
        <w:rPr>
          <w:rFonts w:asciiTheme="majorHAnsi" w:hAnsiTheme="majorHAnsi"/>
          <w:noProof/>
          <w:color w:val="000000"/>
        </w:rPr>
        <w:t>Ja šaj</w:t>
      </w:r>
      <w:r>
        <w:rPr>
          <w:rFonts w:asciiTheme="majorHAnsi" w:hAnsiTheme="majorHAnsi"/>
          <w:noProof/>
          <w:color w:val="000000"/>
        </w:rPr>
        <w:t xml:space="preserve">ā protokolā nav noteikts citādi, valstis nodrošina principa par vienlīdzīgu attieksmi pret pabalstiem, ienākumiem, faktiem vai notikumiem piemērošanu šādi: </w:t>
      </w:r>
    </w:p>
    <w:p w:rsidR="003E022D" w:rsidRDefault="007D19D6">
      <w:pPr>
        <w:pStyle w:val="Subparagraphab"/>
        <w:numPr>
          <w:ilvl w:val="0"/>
          <w:numId w:val="1025"/>
        </w:numPr>
        <w:ind w:left="567" w:hanging="567"/>
        <w:rPr>
          <w:rFonts w:asciiTheme="majorHAnsi" w:hAnsiTheme="majorHAnsi"/>
          <w:noProof/>
        </w:rPr>
      </w:pPr>
      <w:r>
        <w:rPr>
          <w:rFonts w:asciiTheme="majorHAnsi" w:hAnsiTheme="majorHAnsi"/>
          <w:noProof/>
        </w:rPr>
        <w:t xml:space="preserve">ja saskaņā ar kompetentās valsts tiesību aktiem sociālā nodrošinājuma pabalstu un citu ienākumu </w:t>
      </w:r>
      <w:r>
        <w:rPr>
          <w:rFonts w:asciiTheme="majorHAnsi" w:hAnsiTheme="majorHAnsi"/>
          <w:noProof/>
        </w:rPr>
        <w:t>saņemšanai ir zināmas tiesiskās sekas, minēto tiesību aktu attiecīgie noteikumi attiecas arī uz tādu līdzvērtīgu pabalstu saņemšanu, kas iegūti saskaņā ar citas valsts tiesību aktiem, vai uz ienākumiem, kas gūti citā valstī;</w:t>
      </w:r>
    </w:p>
    <w:p w:rsidR="003E022D" w:rsidRDefault="007D19D6">
      <w:pPr>
        <w:pStyle w:val="Subparagraphab"/>
        <w:numPr>
          <w:ilvl w:val="0"/>
          <w:numId w:val="1025"/>
        </w:numPr>
        <w:ind w:left="567" w:hanging="567"/>
        <w:rPr>
          <w:rFonts w:asciiTheme="majorHAnsi" w:eastAsia="Arial" w:hAnsiTheme="majorHAnsi" w:cs="Arial"/>
          <w:noProof/>
          <w:color w:val="000000"/>
        </w:rPr>
      </w:pPr>
      <w:r>
        <w:rPr>
          <w:rFonts w:asciiTheme="majorHAnsi" w:hAnsiTheme="majorHAnsi"/>
          <w:noProof/>
        </w:rPr>
        <w:t>ja saskaņā ar kompetentās valst</w:t>
      </w:r>
      <w:r>
        <w:rPr>
          <w:rFonts w:asciiTheme="majorHAnsi" w:hAnsiTheme="majorHAnsi"/>
          <w:noProof/>
        </w:rPr>
        <w:t>s tiesību aktiem tiesiskas sekas saistās ar noteiktu faktu vai notikumu gadījumiem, minētā valsts ņem vērā līdzīgus faktus vai notikumus, kas notikuši jebkurā citā valstī, tā, it kā tie būtu notikuši tās teritorijā.</w:t>
      </w:r>
      <w:r>
        <w:rPr>
          <w:rFonts w:asciiTheme="majorHAnsi" w:hAnsiTheme="majorHAnsi"/>
          <w:noProof/>
          <w:color w:val="000000"/>
        </w:rPr>
        <w:t xml:space="preserve"> </w:t>
      </w:r>
    </w:p>
    <w:p w:rsidR="003E022D" w:rsidRDefault="007D19D6">
      <w:pPr>
        <w:pStyle w:val="Article"/>
        <w:rPr>
          <w:noProof/>
        </w:rPr>
      </w:pPr>
      <w:r>
        <w:rPr>
          <w:noProof/>
        </w:rPr>
        <w:t>SSC.7. pants.  Periodu summēšana</w:t>
      </w:r>
    </w:p>
    <w:p w:rsidR="003E022D" w:rsidRDefault="007D19D6">
      <w:pPr>
        <w:pBdr>
          <w:top w:val="nil"/>
          <w:left w:val="nil"/>
          <w:bottom w:val="nil"/>
          <w:right w:val="nil"/>
          <w:between w:val="nil"/>
        </w:pBdr>
        <w:spacing w:before="251"/>
        <w:ind w:right="-6" w:firstLine="9"/>
        <w:rPr>
          <w:rFonts w:asciiTheme="majorHAnsi" w:eastAsia="Arial" w:hAnsiTheme="majorHAnsi" w:cs="Arial"/>
          <w:noProof/>
          <w:color w:val="000000"/>
        </w:rPr>
      </w:pPr>
      <w:r>
        <w:rPr>
          <w:rFonts w:asciiTheme="majorHAnsi" w:hAnsiTheme="majorHAnsi"/>
          <w:noProof/>
          <w:color w:val="000000"/>
        </w:rPr>
        <w:t>Ja šajā protokolā nav noteikts citādi, valsts kompetentā iestāde, ciktāl nepieciešams, ņem vērā apdrošināšanas, nodarbinātības, pašnodarbinātības vai dzīvesvietas periodus, kas izpildīti saskaņā ar citas valsts tiesību aktiem, tā, it kā tie būtu periodi, k</w:t>
      </w:r>
      <w:r>
        <w:rPr>
          <w:rFonts w:asciiTheme="majorHAnsi" w:hAnsiTheme="majorHAnsi"/>
          <w:noProof/>
          <w:color w:val="000000"/>
        </w:rPr>
        <w:t xml:space="preserve">as izpildīti saskaņā ar tiesību aktiem, kurus tā piemēro, ja tās tiesību aktos ir noteikts, ka no apdrošināšanas, nodarbinātības, pašnodarbinātības vai dzīvesvietas periodu izpildes ir atkarīga: </w:t>
      </w:r>
    </w:p>
    <w:p w:rsidR="003E022D" w:rsidRDefault="007D19D6">
      <w:pPr>
        <w:pStyle w:val="Subparagraphab"/>
        <w:numPr>
          <w:ilvl w:val="0"/>
          <w:numId w:val="1026"/>
        </w:numPr>
        <w:ind w:left="567" w:hanging="567"/>
        <w:rPr>
          <w:rFonts w:asciiTheme="majorHAnsi" w:hAnsiTheme="majorHAnsi"/>
          <w:noProof/>
        </w:rPr>
      </w:pPr>
      <w:r>
        <w:rPr>
          <w:rFonts w:asciiTheme="majorHAnsi" w:hAnsiTheme="majorHAnsi"/>
          <w:noProof/>
        </w:rPr>
        <w:t>tiesību uz pabalstu iegūšana, paturēšana, ilgums vai atgūšan</w:t>
      </w:r>
      <w:r>
        <w:rPr>
          <w:rFonts w:asciiTheme="majorHAnsi" w:hAnsiTheme="majorHAnsi"/>
          <w:noProof/>
        </w:rPr>
        <w:t>a,</w:t>
      </w:r>
    </w:p>
    <w:p w:rsidR="003E022D" w:rsidRDefault="007D19D6">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rPr>
        <w:t>tiesību aktu piemērošanas joma;</w:t>
      </w:r>
      <w:r>
        <w:rPr>
          <w:rFonts w:asciiTheme="majorHAnsi" w:hAnsiTheme="majorHAnsi"/>
          <w:noProof/>
          <w:color w:val="000000"/>
        </w:rPr>
        <w:t xml:space="preserve"> vai </w:t>
      </w:r>
    </w:p>
    <w:p w:rsidR="003E022D" w:rsidRDefault="007D19D6">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color w:val="000000"/>
        </w:rPr>
        <w:t>piekļuve obligātajai apdrošināšanai, fakultatīvi turpināmajai apdrošināšanai vai brīvprātīgajai apdrošināšanai vai atbrīvojums no tām.</w:t>
      </w:r>
    </w:p>
    <w:p w:rsidR="003E022D" w:rsidRDefault="007D19D6">
      <w:pPr>
        <w:pStyle w:val="Article"/>
        <w:rPr>
          <w:noProof/>
        </w:rPr>
      </w:pPr>
      <w:r>
        <w:rPr>
          <w:noProof/>
        </w:rPr>
        <w:t xml:space="preserve">SSC.8. pants. Noteikumu par dzīvesvietu nepiemērošana </w:t>
      </w:r>
    </w:p>
    <w:p w:rsidR="003E022D" w:rsidRDefault="007D19D6">
      <w:pPr>
        <w:pBdr>
          <w:top w:val="nil"/>
          <w:left w:val="nil"/>
          <w:bottom w:val="nil"/>
          <w:right w:val="nil"/>
          <w:between w:val="nil"/>
        </w:pBdr>
        <w:spacing w:before="48"/>
        <w:ind w:right="-3"/>
        <w:rPr>
          <w:rFonts w:asciiTheme="majorHAnsi" w:eastAsia="Arial" w:hAnsiTheme="majorHAnsi" w:cs="Arial"/>
          <w:noProof/>
          <w:color w:val="000000"/>
        </w:rPr>
      </w:pPr>
      <w:r>
        <w:rPr>
          <w:rFonts w:asciiTheme="majorHAnsi" w:hAnsiTheme="majorHAnsi"/>
          <w:noProof/>
          <w:color w:val="000000"/>
        </w:rPr>
        <w:t>Valsts nodrošina naudas pa</w:t>
      </w:r>
      <w:r>
        <w:rPr>
          <w:rFonts w:asciiTheme="majorHAnsi" w:hAnsiTheme="majorHAnsi"/>
          <w:noProof/>
          <w:color w:val="000000"/>
        </w:rPr>
        <w:t>balstu eksportējamības principa piemērošanu saskaņā ar a) un b) punktu:</w:t>
      </w:r>
    </w:p>
    <w:p w:rsidR="003E022D" w:rsidRDefault="007D19D6">
      <w:pPr>
        <w:pStyle w:val="Subparagraphab"/>
        <w:numPr>
          <w:ilvl w:val="0"/>
          <w:numId w:val="1027"/>
        </w:numPr>
        <w:ind w:left="567" w:hanging="567"/>
        <w:rPr>
          <w:rFonts w:asciiTheme="majorHAnsi" w:hAnsiTheme="majorHAnsi"/>
          <w:noProof/>
        </w:rPr>
      </w:pPr>
      <w:r>
        <w:rPr>
          <w:rFonts w:asciiTheme="majorHAnsi" w:hAnsiTheme="majorHAnsi"/>
          <w:noProof/>
        </w:rPr>
        <w:t>naudas pabalstus, ko izmaksā saskaņā ar valstu tiesību aktiem vai saskaņā ar šo protokolu, nesamazina, nemaina, neatliek, neatceļ un nekonfiscē tādēļ, ka pabalsta saņēmējs vai viņa ģim</w:t>
      </w:r>
      <w:r>
        <w:rPr>
          <w:rFonts w:asciiTheme="majorHAnsi" w:hAnsiTheme="majorHAnsi"/>
          <w:noProof/>
        </w:rPr>
        <w:t xml:space="preserve">enes locekļi dzīvo valstī, kas nav tā, kurā atrodas par pabalstu piešķiršanu atbildīgā iestāde. </w:t>
      </w:r>
    </w:p>
    <w:p w:rsidR="003E022D" w:rsidRDefault="007D19D6">
      <w:pPr>
        <w:pStyle w:val="Subparagraphab"/>
        <w:numPr>
          <w:ilvl w:val="0"/>
          <w:numId w:val="1027"/>
        </w:numPr>
        <w:ind w:left="567" w:hanging="567"/>
        <w:rPr>
          <w:rFonts w:asciiTheme="majorHAnsi" w:eastAsia="Arial" w:hAnsiTheme="majorHAnsi" w:cs="Arial"/>
          <w:noProof/>
          <w:color w:val="000000"/>
        </w:rPr>
      </w:pPr>
      <w:r>
        <w:rPr>
          <w:rFonts w:asciiTheme="majorHAnsi" w:hAnsiTheme="majorHAnsi"/>
          <w:noProof/>
        </w:rPr>
        <w:t>šā panta a) punktu nepiemēro naudas pabalstiem, kas ietverti SSC.3. panta [Jomas, uz kurām attiecas šis protokols] 1. punkta c) un h) apakšpunktā.</w:t>
      </w:r>
      <w:r>
        <w:rPr>
          <w:rFonts w:asciiTheme="majorHAnsi" w:hAnsiTheme="majorHAnsi"/>
          <w:b/>
          <w:noProof/>
          <w:color w:val="000000"/>
        </w:rPr>
        <w:t xml:space="preserve"> </w:t>
      </w:r>
    </w:p>
    <w:p w:rsidR="003E022D" w:rsidRDefault="007D19D6">
      <w:pPr>
        <w:pStyle w:val="Article"/>
        <w:rPr>
          <w:noProof/>
        </w:rPr>
      </w:pPr>
      <w:r>
        <w:rPr>
          <w:noProof/>
        </w:rPr>
        <w:t>SSC.9. pant</w:t>
      </w:r>
      <w:r>
        <w:rPr>
          <w:noProof/>
        </w:rPr>
        <w:t>s. Pabalstu pārklāšanās novēršana</w:t>
      </w:r>
    </w:p>
    <w:p w:rsidR="003E022D" w:rsidRDefault="007D19D6">
      <w:pPr>
        <w:spacing w:before="248"/>
        <w:ind w:right="-5"/>
        <w:rPr>
          <w:rFonts w:asciiTheme="majorHAnsi" w:eastAsia="Arial" w:hAnsiTheme="majorHAnsi" w:cs="Arial"/>
          <w:noProof/>
        </w:rPr>
      </w:pPr>
      <w:r>
        <w:rPr>
          <w:rFonts w:asciiTheme="majorHAnsi" w:hAnsiTheme="majorHAnsi"/>
          <w:noProof/>
          <w:color w:val="000000"/>
        </w:rPr>
        <w:t xml:space="preserve">Ja nav noteikts citādi, šis protokols nepiešķir un nepatur spēkā tiesības uz vairākiem viena veida pabalstiem par vienu un to pašu obligātās apdrošināšanas periodu. </w:t>
      </w:r>
    </w:p>
    <w:p w:rsidR="003E022D" w:rsidRDefault="007D19D6">
      <w:pPr>
        <w:pStyle w:val="Title1"/>
        <w:rPr>
          <w:rFonts w:eastAsia="Arial" w:cs="Arial"/>
          <w:i w:val="0"/>
          <w:noProof/>
        </w:rPr>
      </w:pPr>
      <w:bookmarkStart w:id="1458" w:name="_Toc59110603"/>
      <w:bookmarkStart w:id="1459" w:name="_Toc59988442"/>
      <w:r>
        <w:rPr>
          <w:i w:val="0"/>
          <w:noProof/>
        </w:rPr>
        <w:t>II SADAĻA. PIEMĒROJAMO TIESĪBU AKTU NOTEIKŠANA</w:t>
      </w:r>
      <w:bookmarkEnd w:id="1458"/>
      <w:bookmarkEnd w:id="1459"/>
    </w:p>
    <w:p w:rsidR="003E022D" w:rsidRDefault="007D19D6">
      <w:pPr>
        <w:pStyle w:val="Article"/>
        <w:rPr>
          <w:noProof/>
        </w:rPr>
      </w:pPr>
      <w:r>
        <w:rPr>
          <w:noProof/>
        </w:rPr>
        <w:t>SSC.10. pants.  Vispārīgi noteikumi</w:t>
      </w:r>
    </w:p>
    <w:p w:rsidR="003E022D" w:rsidRDefault="007D19D6">
      <w:pPr>
        <w:numPr>
          <w:ilvl w:val="0"/>
          <w:numId w:val="1233"/>
        </w:numPr>
        <w:ind w:left="0" w:firstLine="0"/>
        <w:rPr>
          <w:noProof/>
        </w:rPr>
      </w:pPr>
      <w:r>
        <w:rPr>
          <w:noProof/>
        </w:rPr>
        <w:t>Personas, uz kurām attiecas šis protokols, ir pakļautas tikai vienas valsts tiesību aktiem. Šos tiesību aktus nosaka saskaņā ar šo sadaļu.</w:t>
      </w:r>
    </w:p>
    <w:p w:rsidR="003E022D" w:rsidRDefault="007D19D6">
      <w:pPr>
        <w:numPr>
          <w:ilvl w:val="0"/>
          <w:numId w:val="1233"/>
        </w:numPr>
        <w:ind w:left="0" w:firstLine="0"/>
        <w:rPr>
          <w:rFonts w:asciiTheme="majorHAnsi" w:eastAsia="Arial" w:hAnsiTheme="majorHAnsi" w:cs="Arial"/>
          <w:noProof/>
          <w:color w:val="000000"/>
        </w:rPr>
      </w:pPr>
      <w:r>
        <w:rPr>
          <w:noProof/>
        </w:rPr>
        <w:t>Šajā sadaļā personas, kuras saņem naudas pabalstus sakarā ar savu darbību nodarbi</w:t>
      </w:r>
      <w:r>
        <w:rPr>
          <w:noProof/>
        </w:rPr>
        <w:t>nātas vai pašnodarbinātas personas statusā vai tās rezultātā, uzskatāmas par tādām, kas veic minēto darbību.</w:t>
      </w:r>
      <w:r>
        <w:rPr>
          <w:rFonts w:asciiTheme="majorHAnsi" w:hAnsiTheme="majorHAnsi"/>
          <w:noProof/>
          <w:color w:val="000000"/>
        </w:rPr>
        <w:t xml:space="preserve"> Tas neattiecas uz invaliditātes vai vecuma pensijām vai apgādnieka zaudējuma pabalstiem, vai pensijām saistībā ar nelaimes gadījumiem darbā vai aro</w:t>
      </w:r>
      <w:r>
        <w:rPr>
          <w:rFonts w:asciiTheme="majorHAnsi" w:hAnsiTheme="majorHAnsi"/>
          <w:noProof/>
          <w:color w:val="000000"/>
        </w:rPr>
        <w:t>dslimībām, vai slimības pabalstiem naudā, ar kuriem sedz ārstēšanas izdevumus neierobežotā laika posmā.</w:t>
      </w:r>
    </w:p>
    <w:p w:rsidR="003E022D" w:rsidRDefault="007D19D6">
      <w:pPr>
        <w:numPr>
          <w:ilvl w:val="0"/>
          <w:numId w:val="1233"/>
        </w:numPr>
        <w:ind w:left="0" w:firstLine="0"/>
        <w:rPr>
          <w:rFonts w:asciiTheme="majorHAnsi" w:eastAsia="Arial" w:hAnsiTheme="majorHAnsi" w:cs="Arial"/>
          <w:noProof/>
          <w:color w:val="000000"/>
        </w:rPr>
      </w:pPr>
      <w:r>
        <w:rPr>
          <w:rFonts w:asciiTheme="majorHAnsi" w:hAnsiTheme="majorHAnsi"/>
          <w:noProof/>
        </w:rPr>
        <w:t xml:space="preserve">Ņemot vērā </w:t>
      </w:r>
      <w:r>
        <w:rPr>
          <w:rFonts w:asciiTheme="majorHAnsi" w:hAnsiTheme="majorHAnsi"/>
          <w:noProof/>
          <w:color w:val="000000"/>
        </w:rPr>
        <w:t>SSC.12. pantu</w:t>
      </w:r>
      <w:r>
        <w:rPr>
          <w:rFonts w:asciiTheme="majorHAnsi" w:hAnsiTheme="majorHAnsi"/>
          <w:noProof/>
        </w:rPr>
        <w:t xml:space="preserve"> </w:t>
      </w:r>
      <w:r>
        <w:rPr>
          <w:rFonts w:asciiTheme="majorHAnsi" w:hAnsiTheme="majorHAnsi"/>
          <w:noProof/>
          <w:color w:val="000000"/>
        </w:rPr>
        <w:t>[Darbības veikšana divās vai vairāk valstīs]</w:t>
      </w:r>
      <w:r>
        <w:rPr>
          <w:rFonts w:asciiTheme="majorHAnsi" w:hAnsiTheme="majorHAnsi"/>
          <w:noProof/>
        </w:rPr>
        <w:t xml:space="preserve"> un </w:t>
      </w:r>
      <w:r>
        <w:rPr>
          <w:rFonts w:asciiTheme="majorHAnsi" w:hAnsiTheme="majorHAnsi"/>
          <w:noProof/>
          <w:color w:val="000000"/>
        </w:rPr>
        <w:t>SSC.13. pantu [Brīvprātīgā apdrošināšana vai fakultatīvi turpināmā apdrošināšan</w:t>
      </w:r>
      <w:r>
        <w:rPr>
          <w:rFonts w:asciiTheme="majorHAnsi" w:hAnsiTheme="majorHAnsi"/>
          <w:noProof/>
          <w:color w:val="000000"/>
        </w:rPr>
        <w:t xml:space="preserve">a]: </w:t>
      </w:r>
    </w:p>
    <w:p w:rsidR="003E022D" w:rsidRDefault="007D19D6">
      <w:pPr>
        <w:pStyle w:val="Subparagraphab"/>
        <w:numPr>
          <w:ilvl w:val="0"/>
          <w:numId w:val="1028"/>
        </w:numPr>
        <w:ind w:left="567" w:hanging="567"/>
        <w:rPr>
          <w:rFonts w:asciiTheme="majorHAnsi" w:hAnsiTheme="majorHAnsi"/>
          <w:noProof/>
        </w:rPr>
      </w:pPr>
      <w:r>
        <w:rPr>
          <w:rFonts w:asciiTheme="majorHAnsi" w:hAnsiTheme="majorHAnsi"/>
          <w:noProof/>
        </w:rPr>
        <w:t>persona, kas veic darbību nodarbinātas vai pašnodarbinātas personas statusā kādā valstī, ir pakļauta minētās valsts tiesību aktiem;</w:t>
      </w:r>
    </w:p>
    <w:p w:rsidR="003E022D" w:rsidRDefault="007D19D6">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rPr>
        <w:t>ierēdnis ir pakļauts tās valsts tiesību aktiem, kam pakļauta administrācija, kura viņu nodarbina;</w:t>
      </w:r>
    </w:p>
    <w:p w:rsidR="003E022D" w:rsidRDefault="007D19D6">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color w:val="000000"/>
        </w:rPr>
        <w:t xml:space="preserve">katra persona, uz ko </w:t>
      </w:r>
      <w:r>
        <w:rPr>
          <w:rFonts w:asciiTheme="majorHAnsi" w:hAnsiTheme="majorHAnsi"/>
          <w:noProof/>
          <w:color w:val="000000"/>
        </w:rPr>
        <w:t xml:space="preserve">neattiecas a) un b) apakšpunkts, ir pakļauta dzīvesvietas valsts tiesību aktiem, neierobežojot citus šā protokola noteikumus, kas tai garantē pabalstus, ko nosaka vienas vai vairāku citu valstu tiesību akti. </w:t>
      </w:r>
    </w:p>
    <w:p w:rsidR="003E022D" w:rsidRDefault="007D19D6">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Šajā sadaļā darbību nodarbinātas vai pašnodarbi</w:t>
      </w:r>
      <w:r>
        <w:rPr>
          <w:rFonts w:asciiTheme="majorHAnsi" w:hAnsiTheme="majorHAnsi"/>
          <w:noProof/>
          <w:color w:val="000000"/>
        </w:rPr>
        <w:t xml:space="preserve">nātas personas statusā, ko parasti veic jūras kuģī, kurš brauc ar valsts karogu, uzskata par darbību, ko veic minētajā valstī. Tomēr persona, kura tiek nodarbināta kuģī, kurš brauc ar kādas valsts karogu, taču saņem par tādu darbību atalgojumu no uzņēmuma </w:t>
      </w:r>
      <w:r>
        <w:rPr>
          <w:rFonts w:asciiTheme="majorHAnsi" w:hAnsiTheme="majorHAnsi"/>
          <w:noProof/>
          <w:color w:val="000000"/>
        </w:rPr>
        <w:t>vai personas, kam juridiskā adrese vai uzņēmējdarbības vieta ir citā valstī, ir pakļauta otras minētās valsts tiesību aktiem, ja šī persona pastāvīgi dzīvo minētajā valstī. Minēto tiesību aktu vajadzībām uzņēmumu vai personu, kas maksā tādu atalgojumu, uzs</w:t>
      </w:r>
      <w:r>
        <w:rPr>
          <w:rFonts w:asciiTheme="majorHAnsi" w:hAnsiTheme="majorHAnsi"/>
          <w:noProof/>
          <w:color w:val="000000"/>
        </w:rPr>
        <w:t xml:space="preserve">kata par darba devēju. </w:t>
      </w:r>
    </w:p>
    <w:p w:rsidR="003E022D" w:rsidRDefault="007D19D6">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Pasažieru vai kravas pārvadājumu lidojumu apkalpes un salona apkalpes locekļu darbību uzskata par darbību, ko veic valstī, kurā atrodas definētā mājas bāze.</w:t>
      </w:r>
    </w:p>
    <w:p w:rsidR="003E022D" w:rsidRDefault="007D19D6">
      <w:pPr>
        <w:pStyle w:val="Article"/>
        <w:rPr>
          <w:noProof/>
        </w:rPr>
      </w:pPr>
      <w:r>
        <w:rPr>
          <w:noProof/>
        </w:rPr>
        <w:t>SSC.11. pants. Norīkotie darba ņēmēji</w:t>
      </w:r>
    </w:p>
    <w:p w:rsidR="003E022D" w:rsidRDefault="007D19D6">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 xml:space="preserve">Atkāpjoties no SSC.10. panta [Vispārīgi noteikumi] un kā pārejas perioda pasākumu saistībā ar situāciju, kas pastāvēja pirms šā nolīguma stāšanās spēkā, starp dalībvalstīm, kas uzskaitītas </w:t>
      </w:r>
      <w:r>
        <w:rPr>
          <w:rFonts w:asciiTheme="majorHAnsi" w:hAnsiTheme="majorHAnsi"/>
          <w:noProof/>
        </w:rPr>
        <w:t>SSC-8. pielikuma [Pārejas noteikumi SSC.11. panta piemērošanai]</w:t>
      </w:r>
      <w:r>
        <w:rPr>
          <w:noProof/>
        </w:rPr>
        <w:t xml:space="preserve"> A k</w:t>
      </w:r>
      <w:r>
        <w:rPr>
          <w:noProof/>
        </w:rPr>
        <w:t>ategorijā, un Apvienoto Karalisti piemēro šādus noteikumus par piemērojamiem tiesību aktiem:</w:t>
      </w:r>
    </w:p>
    <w:p w:rsidR="003E022D" w:rsidRDefault="007D19D6">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 xml:space="preserve">uz personu, kas kādā valstī veic darbību nodarbinātas personas statusā tāda darba devēja uzdevumā, kurš parasti tur veic savas darbības, un ko minētais darba </w:t>
      </w:r>
      <w:r>
        <w:rPr>
          <w:rFonts w:asciiTheme="majorHAnsi" w:hAnsiTheme="majorHAnsi"/>
          <w:noProof/>
          <w:color w:val="000000"/>
        </w:rPr>
        <w:t>devējs ir nosūtījis uz citu valsti veikt darbu minētā darba devēja uzdevumā, arī turpmāk attiecas pirmās minētās valsts tiesību akti, ja:</w:t>
      </w:r>
    </w:p>
    <w:p w:rsidR="003E022D" w:rsidRDefault="007D19D6">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minētā darba ilgums nepārsniedz 24 mēnešus un</w:t>
      </w:r>
    </w:p>
    <w:p w:rsidR="003E022D" w:rsidRDefault="007D19D6">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minētā persona nav nosūtīta aizstāt citu turp norīkotu personu;</w:t>
      </w:r>
    </w:p>
    <w:p w:rsidR="003E022D" w:rsidRDefault="007D19D6">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persona,</w:t>
      </w:r>
      <w:r>
        <w:rPr>
          <w:rFonts w:asciiTheme="majorHAnsi" w:hAnsiTheme="majorHAnsi"/>
          <w:noProof/>
          <w:color w:val="000000"/>
        </w:rPr>
        <w:t xml:space="preserve"> kas kādā valstī parasti veic darbību pašnodarbinātas personas statusā un dodas veikt līdzīgu darbību citā valstī, arī turpmāk ir pakļauta pirmās valsts tiesību aktiem, ja tādas darbības paredzamais ilgums nepārsniedz 24 mēnešus.</w:t>
      </w:r>
    </w:p>
    <w:p w:rsidR="003E022D" w:rsidRDefault="007D19D6">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Līdz šā nolīguma spēkā stā</w:t>
      </w:r>
      <w:r>
        <w:rPr>
          <w:rFonts w:asciiTheme="majorHAnsi" w:hAnsiTheme="majorHAnsi"/>
          <w:noProof/>
        </w:rPr>
        <w:t>šanās dienai Savienība paziņo Apvienotajai Karalistei, kura no turpmāk minētajām kategorijām attiecas uz katru dalībvalsti:</w:t>
      </w:r>
    </w:p>
    <w:p w:rsidR="003E022D" w:rsidRDefault="007D19D6">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A kategorija: dalībvalsts ir paziņojusi Savienībai, ka saskaņā ar šo pantu tā vēlas atkāpties no SSC.10. panta [Vispārīgi </w:t>
      </w:r>
      <w:r>
        <w:rPr>
          <w:rFonts w:asciiTheme="majorHAnsi" w:hAnsiTheme="majorHAnsi"/>
          <w:noProof/>
        </w:rPr>
        <w:t>noteikumi];</w:t>
      </w:r>
    </w:p>
    <w:p w:rsidR="003E022D" w:rsidRDefault="007D19D6">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B kategorija: dalībvalsts ir paziņojusi Savienībai, ka tā nevēlas atkāpties no </w:t>
      </w:r>
      <w:r>
        <w:rPr>
          <w:rFonts w:asciiTheme="majorHAnsi" w:hAnsiTheme="majorHAnsi"/>
          <w:noProof/>
          <w:color w:val="000000"/>
        </w:rPr>
        <w:t>SSC.10. panta [Vispārīgi noteikumi]</w:t>
      </w:r>
      <w:r>
        <w:rPr>
          <w:rFonts w:asciiTheme="majorHAnsi" w:hAnsiTheme="majorHAnsi"/>
          <w:noProof/>
        </w:rPr>
        <w:t>; vai</w:t>
      </w:r>
    </w:p>
    <w:p w:rsidR="003E022D" w:rsidRDefault="007D19D6">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C kategorija: dalībvalsts nav paziņojusi Savienībai, vai tā vēlas atkāpties no SSC.10. panta [Vispārīgi noteikumi]. </w:t>
      </w:r>
    </w:p>
    <w:p w:rsidR="003E022D" w:rsidRDefault="007D19D6">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Dokumen</w:t>
      </w:r>
      <w:r>
        <w:rPr>
          <w:noProof/>
        </w:rPr>
        <w:t>tācija, kas minēta 2. punktā, kļūst par SSC-8. pielikuma [Pārejas noteikumi SSC.11. panta piemērošanai] saturu šā nolīguma spēkā stāšanās dienā.</w:t>
      </w:r>
    </w:p>
    <w:p w:rsidR="003E022D" w:rsidRDefault="007D19D6">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Dalībvalstīm, kas šā nolīguma spēkā stāšanās dienā ir iekļautas A kategorijā, piemēro 1. punkta a) un b) apakšp</w:t>
      </w:r>
      <w:r>
        <w:rPr>
          <w:noProof/>
        </w:rPr>
        <w:t>unktu.</w:t>
      </w:r>
      <w:r>
        <w:rPr>
          <w:rFonts w:asciiTheme="majorHAnsi" w:hAnsiTheme="majorHAnsi"/>
          <w:noProof/>
        </w:rPr>
        <w:t xml:space="preserve"> </w:t>
      </w:r>
    </w:p>
    <w:p w:rsidR="003E022D" w:rsidRDefault="007D19D6">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 xml:space="preserve">Dalībvalstīm, kas šā nolīguma spēkā stāšanās dienā ir iekļautas </w:t>
      </w:r>
      <w:r>
        <w:rPr>
          <w:rFonts w:asciiTheme="majorHAnsi" w:hAnsiTheme="majorHAnsi"/>
          <w:noProof/>
        </w:rPr>
        <w:t>C kategorijā</w:t>
      </w:r>
      <w:r>
        <w:rPr>
          <w:noProof/>
        </w:rPr>
        <w:t xml:space="preserve">, vienu mēnesi pēc šā nolīguma stāšanās spēkā piemēro 1. punkta a) un b) apakšpunktu tā, it kā šī dalībvalsts būtu iekļauta </w:t>
      </w:r>
      <w:r>
        <w:rPr>
          <w:rFonts w:asciiTheme="majorHAnsi" w:hAnsiTheme="majorHAnsi"/>
          <w:noProof/>
        </w:rPr>
        <w:t>A kategorijā</w:t>
      </w:r>
      <w:r>
        <w:rPr>
          <w:noProof/>
        </w:rPr>
        <w:t>.</w:t>
      </w:r>
      <w:r>
        <w:rPr>
          <w:rFonts w:asciiTheme="majorHAnsi" w:hAnsiTheme="majorHAnsi"/>
          <w:noProof/>
        </w:rPr>
        <w:t xml:space="preserve"> Specializētā sociālā nodrošinājuma</w:t>
      </w:r>
      <w:r>
        <w:rPr>
          <w:rFonts w:asciiTheme="majorHAnsi" w:hAnsiTheme="majorHAnsi"/>
          <w:noProof/>
        </w:rPr>
        <w:t xml:space="preserve"> koordinācijas komiteja pārceļ dalībvalsti no C kategorijas uz A kategoriju, ja Savienība paziņo Specializētā komiteja sociālā nodrošinājuma koordinācijas jomā, ka minētā dalībvalsts vēlas, lai to šādi pārvieto. </w:t>
      </w:r>
    </w:p>
    <w:p w:rsidR="003E022D" w:rsidRDefault="007D19D6">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 xml:space="preserve">Mēnesi pēc šā nolīguma stāšanās spēkā B un </w:t>
      </w:r>
      <w:r>
        <w:rPr>
          <w:noProof/>
        </w:rPr>
        <w:t>C kategorijas beidz pastāvēt.</w:t>
      </w:r>
      <w:r>
        <w:rPr>
          <w:rFonts w:asciiTheme="majorHAnsi" w:hAnsiTheme="majorHAnsi"/>
          <w:noProof/>
        </w:rPr>
        <w:t xml:space="preserve"> </w:t>
      </w:r>
      <w:r>
        <w:rPr>
          <w:noProof/>
        </w:rPr>
        <w:t>Pēc tam Puses pēc iespējas drīz publicē atjauninātu SSC-8. pielikumu [Pārejas noteikumi SSC.11. panta piemērošanai].</w:t>
      </w:r>
      <w:r>
        <w:rPr>
          <w:rFonts w:asciiTheme="majorHAnsi" w:hAnsiTheme="majorHAnsi"/>
          <w:noProof/>
        </w:rPr>
        <w:t xml:space="preserve"> </w:t>
      </w:r>
      <w:r>
        <w:rPr>
          <w:noProof/>
        </w:rPr>
        <w:t xml:space="preserve">Šā panta 1. punkta nolūkā </w:t>
      </w:r>
      <w:r>
        <w:rPr>
          <w:rFonts w:asciiTheme="majorHAnsi" w:hAnsiTheme="majorHAnsi"/>
          <w:noProof/>
        </w:rPr>
        <w:t>[SSC-8. pielikumu ]</w:t>
      </w:r>
      <w:r>
        <w:rPr>
          <w:noProof/>
        </w:rPr>
        <w:t xml:space="preserve"> [Pārejas noteikumi SSC.11. panta piemērošanai] no tā publicēšan</w:t>
      </w:r>
      <w:r>
        <w:rPr>
          <w:noProof/>
        </w:rPr>
        <w:t>as dienas uzskata par tādu, kurā ir tikai A kategorijas dalībvalstis.</w:t>
      </w:r>
      <w:r>
        <w:rPr>
          <w:rFonts w:asciiTheme="majorHAnsi" w:hAnsiTheme="majorHAnsi"/>
          <w:noProof/>
        </w:rPr>
        <w:t xml:space="preserve"> </w:t>
      </w:r>
    </w:p>
    <w:p w:rsidR="003E022D" w:rsidRDefault="007D19D6">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 xml:space="preserve">Ja persona ir 1. punktā minētajā situācijā un ir iesaistīta C kategorijas dalībvalsts pirms ir publicēts atjaunots </w:t>
      </w:r>
      <w:r>
        <w:rPr>
          <w:rFonts w:asciiTheme="majorHAnsi" w:hAnsiTheme="majorHAnsi"/>
          <w:noProof/>
        </w:rPr>
        <w:t>SSC-8. pielikums</w:t>
      </w:r>
      <w:r>
        <w:rPr>
          <w:noProof/>
        </w:rPr>
        <w:t xml:space="preserve"> [Pārejas noteikumi SSC.11. panta piemērošanai] saskaņ</w:t>
      </w:r>
      <w:r>
        <w:rPr>
          <w:noProof/>
        </w:rPr>
        <w:t xml:space="preserve">ā ar 6. punktu, personai turpina piemērot 1. punktu laikā, kamēr tā veic savas darbības saskaņā ar </w:t>
      </w:r>
      <w:r>
        <w:rPr>
          <w:rFonts w:asciiTheme="majorHAnsi" w:hAnsiTheme="majorHAnsi"/>
          <w:noProof/>
        </w:rPr>
        <w:t>1. punktu</w:t>
      </w:r>
      <w:r>
        <w:rPr>
          <w:noProof/>
        </w:rPr>
        <w:t>.</w:t>
      </w:r>
      <w:r>
        <w:rPr>
          <w:rFonts w:asciiTheme="majorHAnsi" w:hAnsiTheme="majorHAnsi"/>
          <w:noProof/>
        </w:rPr>
        <w:t xml:space="preserve"> </w:t>
      </w:r>
    </w:p>
    <w:p w:rsidR="003E022D" w:rsidRDefault="007D19D6">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 xml:space="preserve">Savienība paziņo Specializētajai sociālā nodrošinājuma koordinācijas komitejai, ja dalībvalsts vēlas tikt svītrota no </w:t>
      </w:r>
      <w:r>
        <w:rPr>
          <w:rFonts w:asciiTheme="majorHAnsi" w:hAnsiTheme="majorHAnsi"/>
          <w:noProof/>
        </w:rPr>
        <w:t>SSC-8. pielikuma</w:t>
      </w:r>
      <w:r>
        <w:rPr>
          <w:noProof/>
        </w:rPr>
        <w:t xml:space="preserve"> [Pārejas n</w:t>
      </w:r>
      <w:r>
        <w:rPr>
          <w:noProof/>
        </w:rPr>
        <w:t xml:space="preserve">oteikumi SSC.11. panta piemērošanai] A kategorijas, un Specializētā komiteja sociālā nodrošinājuma koordinācijas jomā pēc Savienības pieprasījuma svītro šo dalībvalsti no </w:t>
      </w:r>
      <w:r>
        <w:rPr>
          <w:rFonts w:asciiTheme="majorHAnsi" w:hAnsiTheme="majorHAnsi"/>
          <w:noProof/>
        </w:rPr>
        <w:t>SSC-8. pielikuma</w:t>
      </w:r>
      <w:r>
        <w:rPr>
          <w:noProof/>
        </w:rPr>
        <w:t xml:space="preserve"> A kategorijas.</w:t>
      </w:r>
      <w:r>
        <w:rPr>
          <w:rFonts w:asciiTheme="majorHAnsi" w:hAnsiTheme="majorHAnsi"/>
          <w:noProof/>
        </w:rPr>
        <w:t xml:space="preserve"> </w:t>
      </w:r>
      <w:r>
        <w:rPr>
          <w:noProof/>
        </w:rPr>
        <w:t xml:space="preserve">Puses publicē atjauninātu </w:t>
      </w:r>
      <w:r>
        <w:rPr>
          <w:rFonts w:asciiTheme="majorHAnsi" w:hAnsiTheme="majorHAnsi"/>
          <w:noProof/>
        </w:rPr>
        <w:t>SSC.8. pielikumu</w:t>
      </w:r>
      <w:r>
        <w:rPr>
          <w:noProof/>
        </w:rPr>
        <w:t xml:space="preserve"> [Pārejas n</w:t>
      </w:r>
      <w:r>
        <w:rPr>
          <w:noProof/>
        </w:rPr>
        <w:t>oteikumi SSC.11. panta piemērošanai], ko piemēro no otrā mēneša pirmās dienas pēc tam, kad Specializētā sociālā nodrošinājuma koordinācijas komiteja ir saņēmusi pieprasījumu.</w:t>
      </w:r>
      <w:r>
        <w:rPr>
          <w:rFonts w:asciiTheme="majorHAnsi" w:hAnsiTheme="majorHAnsi"/>
          <w:noProof/>
        </w:rPr>
        <w:t xml:space="preserve"> </w:t>
      </w:r>
    </w:p>
    <w:p w:rsidR="003E022D" w:rsidRDefault="007D19D6">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 xml:space="preserve">Ja persona ir 1. punktā minētajā situācijā pirms ir publicēts atjaunots </w:t>
      </w:r>
      <w:r>
        <w:rPr>
          <w:rFonts w:asciiTheme="majorHAnsi" w:hAnsiTheme="majorHAnsi"/>
          <w:noProof/>
        </w:rPr>
        <w:t>SSC-8. p</w:t>
      </w:r>
      <w:r>
        <w:rPr>
          <w:rFonts w:asciiTheme="majorHAnsi" w:hAnsiTheme="majorHAnsi"/>
          <w:noProof/>
        </w:rPr>
        <w:t>ielikums</w:t>
      </w:r>
      <w:r>
        <w:rPr>
          <w:noProof/>
        </w:rPr>
        <w:t xml:space="preserve"> [Pārejas noteikumi SSC.11. panta piemērošanai] saskaņā ar 8. punktu, minētajai personai turpina piemērot 1. punktu laikā, kamēr tā veic savas darbības saskaņā ar </w:t>
      </w:r>
      <w:r>
        <w:rPr>
          <w:rFonts w:asciiTheme="majorHAnsi" w:hAnsiTheme="majorHAnsi"/>
          <w:noProof/>
        </w:rPr>
        <w:t>1. punktu</w:t>
      </w:r>
      <w:r>
        <w:rPr>
          <w:noProof/>
        </w:rPr>
        <w:t>.</w:t>
      </w:r>
      <w:r>
        <w:rPr>
          <w:rFonts w:asciiTheme="majorHAnsi" w:hAnsiTheme="majorHAnsi"/>
          <w:noProof/>
        </w:rPr>
        <w:t xml:space="preserve"> </w:t>
      </w:r>
    </w:p>
    <w:p w:rsidR="003E022D" w:rsidRDefault="007D19D6">
      <w:pPr>
        <w:pStyle w:val="Article"/>
        <w:rPr>
          <w:noProof/>
        </w:rPr>
      </w:pPr>
      <w:r>
        <w:rPr>
          <w:noProof/>
        </w:rPr>
        <w:t>SSC.12. pants.  Darbības veikšana divās vai vairāk valstīs</w:t>
      </w:r>
    </w:p>
    <w:p w:rsidR="003E022D" w:rsidRDefault="007D19D6">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 xml:space="preserve">Uz personu, </w:t>
      </w:r>
      <w:r>
        <w:rPr>
          <w:rFonts w:asciiTheme="majorHAnsi" w:hAnsiTheme="majorHAnsi"/>
          <w:noProof/>
          <w:color w:val="000000"/>
        </w:rPr>
        <w:t>kas parasti veic darbību nodarbinātas personas statusā vienā vai vairākās dalībvalstīs un Apvienotajā Karalistē, attiecas:</w:t>
      </w:r>
    </w:p>
    <w:p w:rsidR="003E022D" w:rsidRDefault="007D19D6">
      <w:pPr>
        <w:pStyle w:val="Subparagraphab"/>
        <w:numPr>
          <w:ilvl w:val="0"/>
          <w:numId w:val="1029"/>
        </w:numPr>
        <w:ind w:left="567" w:hanging="567"/>
        <w:rPr>
          <w:rFonts w:asciiTheme="majorHAnsi" w:hAnsiTheme="majorHAnsi"/>
          <w:noProof/>
        </w:rPr>
      </w:pPr>
      <w:r>
        <w:rPr>
          <w:rFonts w:asciiTheme="majorHAnsi" w:hAnsiTheme="majorHAnsi"/>
          <w:noProof/>
        </w:rPr>
        <w:t>dzīvesvietas valsts tiesību akti, ja tā būtisku savas darbības daļu veic šajā valstī; vai</w:t>
      </w:r>
    </w:p>
    <w:p w:rsidR="003E022D" w:rsidRDefault="007D19D6">
      <w:pPr>
        <w:pStyle w:val="Subparagraphab"/>
        <w:numPr>
          <w:ilvl w:val="0"/>
          <w:numId w:val="1029"/>
        </w:numPr>
        <w:ind w:left="567" w:hanging="567"/>
        <w:rPr>
          <w:rFonts w:asciiTheme="majorHAnsi" w:eastAsia="Arial" w:hAnsiTheme="majorHAnsi" w:cs="Arial"/>
          <w:noProof/>
          <w:color w:val="000000"/>
        </w:rPr>
      </w:pPr>
      <w:r>
        <w:rPr>
          <w:rFonts w:asciiTheme="majorHAnsi" w:hAnsiTheme="majorHAnsi"/>
          <w:noProof/>
        </w:rPr>
        <w:t xml:space="preserve">ja viņa dzīvesvietas valstī neveic būtisku </w:t>
      </w:r>
      <w:r>
        <w:rPr>
          <w:rFonts w:asciiTheme="majorHAnsi" w:hAnsiTheme="majorHAnsi"/>
          <w:noProof/>
        </w:rPr>
        <w:t>savas darbības daļu:</w:t>
      </w:r>
    </w:p>
    <w:p w:rsidR="003E022D" w:rsidRDefault="007D19D6">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tās valsts tiesību akti, kurā ir uzņēmuma vai darba devēja juridiskā adrese vai uzņēmējdarbības vieta, ja šo personu nodarbina viens uzņēmums vai darba devējs; vai</w:t>
      </w:r>
    </w:p>
    <w:p w:rsidR="003E022D" w:rsidRDefault="007D19D6">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tās valsts tiesību akti, kurā ir uzņēmumu vai darba devēju juridiskā ad</w:t>
      </w:r>
      <w:r>
        <w:rPr>
          <w:rFonts w:asciiTheme="majorHAnsi" w:hAnsiTheme="majorHAnsi"/>
          <w:noProof/>
          <w:color w:val="000000"/>
        </w:rPr>
        <w:t>rese vai uzņēmējdarbības vieta, ja šo personu nodarbina divi vai vairāki uzņēmumi vai darba devēji, kuru juridiskā adrese vai uzņēmējdarbības vieta ir tikai vienā valstī; vai</w:t>
      </w:r>
    </w:p>
    <w:p w:rsidR="003E022D" w:rsidRDefault="007D19D6">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tās valsts tiesību akti, kurā ir uzņēmuma vai darba devēja juridiskā adrese vai u</w:t>
      </w:r>
      <w:r>
        <w:rPr>
          <w:rFonts w:asciiTheme="majorHAnsi" w:hAnsiTheme="majorHAnsi"/>
          <w:noProof/>
          <w:color w:val="000000"/>
        </w:rPr>
        <w:t xml:space="preserve">zņēmējdarbības vieta ārpus attiecīgās personas dzīvesvietas valsts, ja šo personu nodarbina divi vai vairāki uzņēmumi vai darba devēji, kuru juridiskā adrese vai uzņēmējdarbības vieta ir dalībvalstī un Apvienotajā Karalistē, no kurām viena ir dzīvesvietas </w:t>
      </w:r>
      <w:r>
        <w:rPr>
          <w:rFonts w:asciiTheme="majorHAnsi" w:hAnsiTheme="majorHAnsi"/>
          <w:noProof/>
          <w:color w:val="000000"/>
        </w:rPr>
        <w:t>valsts; vai</w:t>
      </w:r>
    </w:p>
    <w:p w:rsidR="003E022D" w:rsidRDefault="007D19D6">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dzīvesvietas valsts tiesību akti, ja šo personu nodarbina divi vai vairāk uzņēmumi vai darba devēji, vismaz diviem no kuriem juridiskā adrese vai uzņēmējdarbības vieta ir dažādās valstīs ārpus dzīvesvietas valsts.</w:t>
      </w:r>
    </w:p>
    <w:p w:rsidR="003E022D" w:rsidRDefault="007D19D6">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Uz personu, kas parasti veic d</w:t>
      </w:r>
      <w:r>
        <w:rPr>
          <w:rFonts w:asciiTheme="majorHAnsi" w:hAnsiTheme="majorHAnsi"/>
          <w:noProof/>
          <w:color w:val="000000"/>
        </w:rPr>
        <w:t>arbību pašnodarbinātas personas statusā vienā vai vairākās dalībvalstīs un Apvienotajā Karalistē, attiecas:</w:t>
      </w:r>
    </w:p>
    <w:p w:rsidR="003E022D" w:rsidRDefault="007D19D6">
      <w:pPr>
        <w:pStyle w:val="Subparagraphab"/>
        <w:numPr>
          <w:ilvl w:val="0"/>
          <w:numId w:val="1030"/>
        </w:numPr>
        <w:tabs>
          <w:tab w:val="left" w:pos="284"/>
        </w:tabs>
        <w:ind w:left="567" w:hanging="567"/>
        <w:rPr>
          <w:rFonts w:asciiTheme="majorHAnsi" w:hAnsiTheme="majorHAnsi"/>
          <w:noProof/>
        </w:rPr>
      </w:pPr>
      <w:r>
        <w:rPr>
          <w:rFonts w:asciiTheme="majorHAnsi" w:hAnsiTheme="majorHAnsi"/>
          <w:noProof/>
        </w:rPr>
        <w:t>dzīvesvietas valsts tiesību akti, ja tā būtisku savas darbības daļu veic šajā valstī; vai</w:t>
      </w:r>
    </w:p>
    <w:p w:rsidR="003E022D" w:rsidRDefault="007D19D6">
      <w:pPr>
        <w:pStyle w:val="Subparagraphab"/>
        <w:numPr>
          <w:ilvl w:val="0"/>
          <w:numId w:val="1030"/>
        </w:numPr>
        <w:ind w:left="567" w:hanging="567"/>
        <w:rPr>
          <w:rFonts w:asciiTheme="majorHAnsi" w:eastAsia="Arial" w:hAnsiTheme="majorHAnsi" w:cs="Arial"/>
          <w:noProof/>
          <w:color w:val="000000"/>
          <w:u w:val="single"/>
        </w:rPr>
      </w:pPr>
      <w:r>
        <w:rPr>
          <w:rFonts w:asciiTheme="majorHAnsi" w:hAnsiTheme="majorHAnsi"/>
          <w:noProof/>
        </w:rPr>
        <w:t>tās valsts tiesību akti, kurā atrodas tās darbības intereš</w:t>
      </w:r>
      <w:r>
        <w:rPr>
          <w:rFonts w:asciiTheme="majorHAnsi" w:hAnsiTheme="majorHAnsi"/>
          <w:noProof/>
        </w:rPr>
        <w:t>u centrs, ja šī persona nedzīvo kādā no valstīm, kurā veic būtisku savas darbības daļu.</w:t>
      </w:r>
    </w:p>
    <w:p w:rsidR="003E022D" w:rsidRDefault="007D19D6">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 xml:space="preserve">Persona, kas parasti veic darbību nodarbinātas personas statusā un darbību pašnodarbinātas personas statusā divās vai vairāk valstīs, ir pakļauta tās valsts tiesību </w:t>
      </w:r>
      <w:r>
        <w:rPr>
          <w:rFonts w:asciiTheme="majorHAnsi" w:hAnsiTheme="majorHAnsi"/>
          <w:noProof/>
          <w:color w:val="000000"/>
        </w:rPr>
        <w:t>aktiem, kur tā veic darbību nodarbinātas personas statusā, vai, ja viņa veic šādu darbību divās vai vairāk valstīs, – tiesību aktiem, ko nosaka saskaņā ar 1. punktu.</w:t>
      </w:r>
    </w:p>
    <w:p w:rsidR="003E022D" w:rsidRDefault="003E022D">
      <w:pPr>
        <w:pStyle w:val="ListParagraph"/>
        <w:pBdr>
          <w:top w:val="nil"/>
          <w:left w:val="nil"/>
          <w:bottom w:val="nil"/>
          <w:right w:val="nil"/>
          <w:between w:val="nil"/>
        </w:pBdr>
        <w:spacing w:before="251"/>
        <w:ind w:left="0" w:right="-6"/>
        <w:rPr>
          <w:rFonts w:asciiTheme="majorHAnsi" w:eastAsia="Arial" w:hAnsiTheme="majorHAnsi" w:cs="Arial"/>
          <w:noProof/>
          <w:color w:val="000000"/>
          <w:u w:val="single"/>
        </w:rPr>
      </w:pPr>
    </w:p>
    <w:p w:rsidR="003E022D" w:rsidRDefault="007D19D6">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 xml:space="preserve">Persona, ko viena valsts nodarbina par ierēdni un kas veic darbību nodarbinātas personas </w:t>
      </w:r>
      <w:r>
        <w:rPr>
          <w:rFonts w:asciiTheme="majorHAnsi" w:hAnsiTheme="majorHAnsi"/>
          <w:noProof/>
          <w:color w:val="000000"/>
        </w:rPr>
        <w:t>vai pašnodarbinātas personas statusā vienā vai vairākās citās valstīs, ir pakļauta tās valsts tiesību aktiem, kam pakļauta administrācija, kura šo personu nodarbina.</w:t>
      </w:r>
    </w:p>
    <w:p w:rsidR="003E022D" w:rsidRDefault="003E022D">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3E022D" w:rsidRDefault="007D19D6">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Persona, kas parasti veic darbību nodarbinātas personas statusā divās vai vairākās dalībv</w:t>
      </w:r>
      <w:r>
        <w:rPr>
          <w:rFonts w:asciiTheme="majorHAnsi" w:hAnsiTheme="majorHAnsi"/>
          <w:noProof/>
          <w:color w:val="000000"/>
        </w:rPr>
        <w:t>alstīs (un neveic Apvienotajā Karalistē), ir pakļauta Apvienotās Karalistes tiesību aktiem, ja šī persona neveic būtisku šīs darbības daļu dzīvesvietas valstī un ja šī persona:</w:t>
      </w:r>
    </w:p>
    <w:p w:rsidR="003E022D" w:rsidRDefault="007D19D6">
      <w:pPr>
        <w:pStyle w:val="Subparagraphab"/>
        <w:numPr>
          <w:ilvl w:val="0"/>
          <w:numId w:val="1031"/>
        </w:numPr>
        <w:ind w:left="567" w:hanging="567"/>
        <w:rPr>
          <w:rFonts w:asciiTheme="majorHAnsi" w:hAnsiTheme="majorHAnsi"/>
          <w:noProof/>
        </w:rPr>
      </w:pPr>
      <w:r>
        <w:rPr>
          <w:rFonts w:asciiTheme="majorHAnsi" w:hAnsiTheme="majorHAnsi"/>
          <w:noProof/>
        </w:rPr>
        <w:t>ir nodarbināta vienā vai vairākos uzņēmumos vai pie darba devējiem, no kuriem v</w:t>
      </w:r>
      <w:r>
        <w:rPr>
          <w:rFonts w:asciiTheme="majorHAnsi" w:hAnsiTheme="majorHAnsi"/>
          <w:noProof/>
        </w:rPr>
        <w:t>isiem juridiskā adrese vai uzņēmējdarbības vieta ir Apvienotajā Karalistē;</w:t>
      </w:r>
    </w:p>
    <w:p w:rsidR="003E022D" w:rsidRDefault="007D19D6">
      <w:pPr>
        <w:pStyle w:val="Subparagraphab"/>
        <w:numPr>
          <w:ilvl w:val="0"/>
          <w:numId w:val="1031"/>
        </w:numPr>
        <w:ind w:left="567" w:hanging="567"/>
        <w:rPr>
          <w:rFonts w:asciiTheme="majorHAnsi" w:hAnsiTheme="majorHAnsi"/>
          <w:noProof/>
        </w:rPr>
      </w:pPr>
      <w:r>
        <w:rPr>
          <w:rFonts w:asciiTheme="majorHAnsi" w:hAnsiTheme="majorHAnsi"/>
          <w:noProof/>
        </w:rPr>
        <w:t>dzīvo dalībvalstī un šo personu nodarbina divi vai vairāk uzņēmumi vai darba devēji, vismaz diviem no kuriem juridiskā adrese vai uzņēmējdarbības vieta ir Apvienotajā Karalistē un d</w:t>
      </w:r>
      <w:r>
        <w:rPr>
          <w:rFonts w:asciiTheme="majorHAnsi" w:hAnsiTheme="majorHAnsi"/>
          <w:noProof/>
        </w:rPr>
        <w:t>zīvesvietas valstī;</w:t>
      </w:r>
    </w:p>
    <w:p w:rsidR="003E022D" w:rsidRDefault="007D19D6">
      <w:pPr>
        <w:pStyle w:val="Subparagraphab"/>
        <w:numPr>
          <w:ilvl w:val="0"/>
          <w:numId w:val="1031"/>
        </w:numPr>
        <w:ind w:left="567" w:hanging="567"/>
        <w:rPr>
          <w:rFonts w:asciiTheme="majorHAnsi" w:hAnsiTheme="majorHAnsi"/>
          <w:noProof/>
        </w:rPr>
      </w:pPr>
      <w:r>
        <w:rPr>
          <w:rFonts w:asciiTheme="majorHAnsi" w:hAnsiTheme="majorHAnsi"/>
          <w:noProof/>
        </w:rPr>
        <w:t>dzīvo Apvienotajā Karalistē un šo personu nodarbina divi vai vairāk uzņēmumi vai darba devēji, vismaz diviem no kuriem juridiskā adrese vai uzņēmējdarbības vieta ir dažādās dalībvalstīs; vai</w:t>
      </w:r>
    </w:p>
    <w:p w:rsidR="003E022D" w:rsidRDefault="007D19D6">
      <w:pPr>
        <w:pStyle w:val="Subparagraphab"/>
        <w:numPr>
          <w:ilvl w:val="0"/>
          <w:numId w:val="1031"/>
        </w:numPr>
        <w:ind w:left="567" w:hanging="567"/>
        <w:rPr>
          <w:rFonts w:asciiTheme="majorHAnsi" w:eastAsia="Arial" w:hAnsiTheme="majorHAnsi" w:cs="Arial"/>
          <w:noProof/>
          <w:color w:val="000000"/>
        </w:rPr>
      </w:pPr>
      <w:r>
        <w:rPr>
          <w:rFonts w:asciiTheme="majorHAnsi" w:hAnsiTheme="majorHAnsi"/>
          <w:noProof/>
        </w:rPr>
        <w:t>dzīvo Apvienotajā Karalistē un ir nodarbināta</w:t>
      </w:r>
      <w:r>
        <w:rPr>
          <w:rFonts w:asciiTheme="majorHAnsi" w:hAnsiTheme="majorHAnsi"/>
          <w:noProof/>
        </w:rPr>
        <w:t xml:space="preserve"> vienā vai vairākos uzņēmumos vai pie darba devējiem, no kuriem nevienam nav juridiskā adrese vai uzņēmējdarbības vieta citā valstī.</w:t>
      </w:r>
    </w:p>
    <w:p w:rsidR="003E022D" w:rsidRDefault="007D19D6">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Persona, kas parasti veic darbību pašnodarbinātas personas statusā divās vai vairākās dalībvalstīs (un neveic Apvienotajā K</w:t>
      </w:r>
      <w:r>
        <w:rPr>
          <w:rFonts w:asciiTheme="majorHAnsi" w:hAnsiTheme="majorHAnsi"/>
          <w:noProof/>
          <w:color w:val="000000"/>
        </w:rPr>
        <w:t>aralistē), neveicot būtisku šīs darbības daļu dzīvesvietas valstī, ir pakļauta Apvienotās Karalistes tiesību aktiem, ja tās darbības interešu centrs atrodas Apvienotajā Karalistē.</w:t>
      </w:r>
    </w:p>
    <w:p w:rsidR="003E022D" w:rsidRDefault="003E022D">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3E022D" w:rsidRDefault="007D19D6">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Šā panta 6. punktu nepiemēro personai, kas parasti veic darbību nodarbināta</w:t>
      </w:r>
      <w:r>
        <w:rPr>
          <w:rFonts w:asciiTheme="majorHAnsi" w:hAnsiTheme="majorHAnsi"/>
          <w:noProof/>
          <w:color w:val="000000"/>
        </w:rPr>
        <w:t>s personas un pašnodarbinātas personas statusā divās vai vairāk dalībvalstīs.</w:t>
      </w:r>
    </w:p>
    <w:p w:rsidR="003E022D" w:rsidRDefault="003E022D">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3E022D" w:rsidRDefault="007D19D6">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 xml:space="preserve">To tiesību aktu piemērošanas vajadzībām, kurus nosaka saskaņā ar šiem noteikumiem, 1.–6. punktā minētās personas pielīdzina personām, kuras visas savas darbības nodarbinātu vai </w:t>
      </w:r>
      <w:r>
        <w:rPr>
          <w:rFonts w:asciiTheme="majorHAnsi" w:hAnsiTheme="majorHAnsi"/>
          <w:noProof/>
          <w:color w:val="000000"/>
        </w:rPr>
        <w:t>pašnodarbinātu personu statusā veikušas un visus savus ienākumus saņēmušas attiecīgajā valstī.</w:t>
      </w:r>
    </w:p>
    <w:p w:rsidR="003E022D" w:rsidRDefault="007D19D6">
      <w:pPr>
        <w:pStyle w:val="Article"/>
        <w:rPr>
          <w:noProof/>
        </w:rPr>
      </w:pPr>
      <w:r>
        <w:rPr>
          <w:noProof/>
        </w:rPr>
        <w:t>SSC.13. pants. Brīvprātīgā apdrošināšana vai fakultatīvi turpināmā apdrošināšana</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SSC.10. pants [Vispārīgi noteikumi] un SSC.12. pants [Darbības veikšana divās</w:t>
      </w:r>
      <w:r>
        <w:rPr>
          <w:rFonts w:asciiTheme="majorHAnsi" w:hAnsiTheme="majorHAnsi"/>
          <w:noProof/>
        </w:rPr>
        <w:t xml:space="preserve"> vai vairāk valstīs] neattiecas uz brīvprātīgo apdrošināšanu vai fakultatīvi turpināmo apdrošināšanu, izņemot gadījumu, kad valstī vienā no SSC.3. pantā [Jomas, uz kurām attiecas šis protokols] minētajām jomām eksistē tikai brīvprātīgas apdrošināšanas sist</w:t>
      </w:r>
      <w:r>
        <w:rPr>
          <w:rFonts w:asciiTheme="majorHAnsi" w:hAnsiTheme="majorHAnsi"/>
          <w:noProof/>
        </w:rPr>
        <w:t>ēmas.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Ja atbilstīgi valsts tiesību aktiem attiecīgā persona ir pakļauta obligātai apdrošināšanai minētajā valstī, šī persona nedrīkst piedalīties brīvprātīgas apdrošināšanas shēmā vai fakultatīvi turpināmās apdrošināšanas shēmā citā valstī. Visos pārējo</w:t>
      </w:r>
      <w:r>
        <w:rPr>
          <w:rFonts w:asciiTheme="majorHAnsi" w:hAnsiTheme="majorHAnsi"/>
          <w:noProof/>
          <w:color w:val="000000"/>
        </w:rPr>
        <w:t>s gadījumos, kad attiecīgajā jomā ir izvēle starp vairākām brīvprātīgās apdrošināšanas shēmām vai fakultatīvi turpināmās apdrošināšanas shēmām, attiecīgā persona iestājas tikai tajā shēmā, ko pati izvēlējusies.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Tomēr saistībā ar invaliditātes un vecuma </w:t>
      </w:r>
      <w:r>
        <w:rPr>
          <w:rFonts w:asciiTheme="majorHAnsi" w:hAnsiTheme="majorHAnsi"/>
          <w:noProof/>
          <w:color w:val="000000"/>
        </w:rPr>
        <w:t xml:space="preserve">pensijām un apgādnieka zaudējuma pabalstiem attiecīgā persona var iestāties valsts brīvprātīgās apdrošināšanas vai fakultatīvi turpināmās apdrošināšanas shēmā pat tad, ja šī persona obligātā kārtā ir pakļauta citas valsts tiesību aktiem, ar nosacījumu, ka </w:t>
      </w:r>
      <w:r>
        <w:rPr>
          <w:rFonts w:asciiTheme="majorHAnsi" w:hAnsiTheme="majorHAnsi"/>
          <w:noProof/>
          <w:color w:val="000000"/>
        </w:rPr>
        <w:t>šī persona kādā savas karjeras posmā ir bijusi pakļauta pirmās minētās valsts tiesību aktiem sakarā ar darbību nodarbinātas vai pašnodarbinātas personas statusā vai tādas darbības rezultātā un ja tāda pārklāšanās ir tieši vai netieši atļauta saskaņā ar pir</w:t>
      </w:r>
      <w:r>
        <w:rPr>
          <w:rFonts w:asciiTheme="majorHAnsi" w:hAnsiTheme="majorHAnsi"/>
          <w:noProof/>
          <w:color w:val="000000"/>
        </w:rPr>
        <w:t>mās valsts tiesību aktiem.</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Ja valsts tiesību akti pieļauj pievienošanos brīvprātīgai apdrošināšanai vai fakultatīvi turpināmai apdrošināšanai ar nosacījumu, ka personas dzīvesvieta ir bijusi attiecīgajā valstī vai tā iepriekš veikusi darbību nodarbināta</w:t>
      </w:r>
      <w:r>
        <w:rPr>
          <w:rFonts w:asciiTheme="majorHAnsi" w:hAnsiTheme="majorHAnsi"/>
          <w:noProof/>
        </w:rPr>
        <w:t xml:space="preserve">s vai pašnodarbinātas personas statusā, </w:t>
      </w:r>
      <w:r>
        <w:rPr>
          <w:rFonts w:asciiTheme="majorHAnsi" w:hAnsiTheme="majorHAnsi"/>
          <w:noProof/>
          <w:color w:val="000000"/>
        </w:rPr>
        <w:t>SSC.6. panta [Vienlīdzīga attieksme pret pabalstiem, ienākumiem, faktiem vai notikumiem] b) punktu</w:t>
      </w:r>
      <w:r>
        <w:rPr>
          <w:rFonts w:asciiTheme="majorHAnsi" w:hAnsiTheme="majorHAnsi"/>
          <w:noProof/>
        </w:rPr>
        <w:t xml:space="preserve"> piemēro tikai tām personām, uz kurām kaut kad agrāk ir attiekušies šīs valsts tiesību akti, pamatojoties uz šīs perso</w:t>
      </w:r>
      <w:r>
        <w:rPr>
          <w:rFonts w:asciiTheme="majorHAnsi" w:hAnsiTheme="majorHAnsi"/>
          <w:noProof/>
        </w:rPr>
        <w:t>nas darbību nodarbinātas vai pašnodarbinātas personas statusā.</w:t>
      </w:r>
    </w:p>
    <w:p w:rsidR="003E022D" w:rsidRDefault="007D19D6">
      <w:pPr>
        <w:pStyle w:val="Article"/>
        <w:rPr>
          <w:noProof/>
        </w:rPr>
      </w:pPr>
      <w:r>
        <w:rPr>
          <w:noProof/>
        </w:rPr>
        <w:t>SSC.14. pants.  Darba devēja pienākumi</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Darba devējam, kura juridiskā adrese vai uzņēmējdarbības vieta ir ārpus kompetentās valsts, jāpilda pienākumi, kas noteikti tā darbiniekiem piemērojamo</w:t>
      </w:r>
      <w:r>
        <w:rPr>
          <w:rFonts w:asciiTheme="majorHAnsi" w:hAnsiTheme="majorHAnsi"/>
          <w:noProof/>
          <w:color w:val="000000"/>
        </w:rPr>
        <w:t>s tiesību aktos, īpaši pienākums maksāt minētajos tiesību aktos paredzētās iemaksas, it kā tā juridiskā adrese vai uzņēmējdarbības vieta būtu kompetentajā valstī.</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Darba devējs, kam nav uzņēmējdarbības vieta valstī, kuras tiesību akti ir piemērojami, un </w:t>
      </w:r>
      <w:r>
        <w:rPr>
          <w:rFonts w:asciiTheme="majorHAnsi" w:hAnsiTheme="majorHAnsi"/>
          <w:noProof/>
          <w:color w:val="000000"/>
        </w:rPr>
        <w:t>darbinieks var vienoties, ka darbinieks pilda darba devēja pienākumus tā vārdā attiecībā uz iemaksu veikšanu, neskarot darba devēja pamatpienākumus. Darba devējs nosūta paziņojumu par šādu vienošanos minētās valsts kompetentajai iestādei.</w:t>
      </w:r>
    </w:p>
    <w:p w:rsidR="003E022D" w:rsidRDefault="007D19D6">
      <w:pPr>
        <w:pStyle w:val="Title1"/>
        <w:rPr>
          <w:rFonts w:eastAsia="Arial" w:cs="Arial"/>
          <w:i w:val="0"/>
          <w:noProof/>
        </w:rPr>
      </w:pPr>
      <w:bookmarkStart w:id="1460" w:name="_Toc59110604"/>
      <w:bookmarkStart w:id="1461" w:name="_Toc59988443"/>
      <w:r>
        <w:rPr>
          <w:i w:val="0"/>
          <w:noProof/>
        </w:rPr>
        <w:t>III SADAĻA. ĪPAŠI</w:t>
      </w:r>
      <w:r>
        <w:rPr>
          <w:i w:val="0"/>
          <w:noProof/>
        </w:rPr>
        <w:t xml:space="preserve"> NOTEIKUMI PAR DAŽĀDĀM PABALSTU KATEGORIJĀM</w:t>
      </w:r>
      <w:bookmarkEnd w:id="1460"/>
      <w:bookmarkEnd w:id="1461"/>
    </w:p>
    <w:p w:rsidR="003E022D" w:rsidRDefault="007D19D6">
      <w:pPr>
        <w:pStyle w:val="Chapter"/>
        <w:rPr>
          <w:i/>
          <w:noProof/>
          <w:lang w:val="fr-BE"/>
        </w:rPr>
      </w:pPr>
      <w:r>
        <w:rPr>
          <w:noProof/>
          <w:lang w:val="fr-BE"/>
        </w:rPr>
        <w:t>1. NODAĻA. SLIMĪBAS, MATERNITĀTES UN LĪDZVĒRTĪGI PATERNITĀTES PABALSTI</w:t>
      </w:r>
    </w:p>
    <w:p w:rsidR="003E022D" w:rsidRDefault="007D19D6">
      <w:pPr>
        <w:pStyle w:val="Section"/>
        <w:rPr>
          <w:noProof/>
          <w:lang w:val="fr-BE"/>
        </w:rPr>
      </w:pPr>
      <w:r>
        <w:rPr>
          <w:noProof/>
          <w:lang w:val="fr-BE"/>
        </w:rPr>
        <w:t>1. iedaļa.  Apdrošinātās personas un viņu ģimenes locekļi, izņemot pensionārus un viņu ģimenes locekļus</w:t>
      </w:r>
    </w:p>
    <w:p w:rsidR="003E022D" w:rsidRDefault="007D19D6">
      <w:pPr>
        <w:pStyle w:val="Article"/>
        <w:rPr>
          <w:noProof/>
          <w:lang w:val="fr-BE"/>
        </w:rPr>
      </w:pPr>
      <w:r>
        <w:rPr>
          <w:noProof/>
          <w:lang w:val="fr-BE"/>
        </w:rPr>
        <w:t>SSC.15. pants.  Dzīvesvieta valstī, k</w:t>
      </w:r>
      <w:r>
        <w:rPr>
          <w:noProof/>
          <w:lang w:val="fr-BE"/>
        </w:rPr>
        <w:t>ura nav kompetentā valsts</w:t>
      </w:r>
    </w:p>
    <w:p w:rsidR="003E022D" w:rsidRDefault="007D19D6">
      <w:pPr>
        <w:rPr>
          <w:rFonts w:asciiTheme="majorHAnsi" w:eastAsia="Arial" w:hAnsiTheme="majorHAnsi" w:cs="Arial"/>
          <w:i/>
          <w:noProof/>
          <w:lang w:val="fr-BE"/>
        </w:rPr>
      </w:pPr>
      <w:r>
        <w:rPr>
          <w:rFonts w:asciiTheme="majorHAnsi" w:hAnsiTheme="majorHAnsi"/>
          <w:noProof/>
          <w:color w:val="000000"/>
          <w:lang w:val="fr-BE"/>
        </w:rPr>
        <w:t>Apdrošināta persona vai tās ģimenes locekļi, kas dzīvo valstī, kura nav kompetentā valsts, dzīvesvietas valstī saņem pabalstus natūrā, ko kompetentās iestādes uzdevumā nodrošina attiecīgā dzīvesvietas iestāde, saskaņā ar to tiesīb</w:t>
      </w:r>
      <w:r>
        <w:rPr>
          <w:rFonts w:asciiTheme="majorHAnsi" w:hAnsiTheme="majorHAnsi"/>
          <w:noProof/>
          <w:color w:val="000000"/>
          <w:lang w:val="fr-BE"/>
        </w:rPr>
        <w:t xml:space="preserve">u aktu noteikumiem, ko piemēro šī iestāde, tā, it kā apdrošinātā persona būtu apdrošināta saskaņā ar minētajiem tiesību aktiem. </w:t>
      </w:r>
    </w:p>
    <w:p w:rsidR="003E022D" w:rsidRDefault="007D19D6">
      <w:pPr>
        <w:pStyle w:val="Article"/>
        <w:rPr>
          <w:noProof/>
          <w:lang w:val="fr-BE"/>
        </w:rPr>
      </w:pPr>
      <w:r>
        <w:rPr>
          <w:noProof/>
          <w:lang w:val="fr-BE"/>
        </w:rPr>
        <w:t xml:space="preserve">SSC.16. pants. Uzturēšanās kompetentajā valstī, ja dzīvesvieta ir citā valstī – īpaši noteikumi pārrobežu darba ņēmēju ģimenes </w:t>
      </w:r>
      <w:r>
        <w:rPr>
          <w:noProof/>
          <w:lang w:val="fr-BE"/>
        </w:rPr>
        <w:t>locekļiem</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lang w:val="fr-BE"/>
        </w:rPr>
        <w:t>Ja 2. punktā nav noteikts citādi, apdrošinātajai personai un tās ģimenes locekļiem, kas minēti SSC.15. pantā [Dzīvesvieta valstī, kura nav kompetentā valsts], ir arī tiesības uz pabalstiem natūrā, uzturoties kompetentajā valstī.</w:t>
      </w:r>
      <w:r>
        <w:rPr>
          <w:rFonts w:asciiTheme="majorHAnsi" w:hAnsiTheme="majorHAnsi"/>
          <w:noProof/>
          <w:color w:val="000000"/>
          <w:lang w:val="fr-BE"/>
        </w:rPr>
        <w:t xml:space="preserve"> Pabalstus natū</w:t>
      </w:r>
      <w:r>
        <w:rPr>
          <w:rFonts w:asciiTheme="majorHAnsi" w:hAnsiTheme="majorHAnsi"/>
          <w:noProof/>
          <w:color w:val="000000"/>
          <w:lang w:val="fr-BE"/>
        </w:rPr>
        <w:t>rā nodrošina kompetentā iestāde par saviem līdzekļiem saskaņā ar to tiesību aktu noteikumiem, ko tā piemēro, tā, it kā attiecīgās personas dzīvotu šajā valstī.</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Pārrobežu darba ņēmēja ģimenes locekļiem ir tiesības saņemt pabalstus natūrā, kamēr viņi uztu</w:t>
      </w:r>
      <w:r>
        <w:rPr>
          <w:rFonts w:asciiTheme="majorHAnsi" w:hAnsiTheme="majorHAnsi"/>
          <w:noProof/>
          <w:color w:val="000000"/>
          <w:lang w:val="fr-BE"/>
        </w:rPr>
        <w:t xml:space="preserve">ras kompetentajā valstī. </w:t>
      </w:r>
    </w:p>
    <w:p w:rsidR="003E022D" w:rsidRDefault="007D19D6">
      <w:pPr>
        <w:pBdr>
          <w:top w:val="nil"/>
          <w:left w:val="nil"/>
          <w:bottom w:val="nil"/>
          <w:right w:val="nil"/>
          <w:between w:val="nil"/>
        </w:pBdr>
        <w:spacing w:before="248"/>
        <w:ind w:right="-5"/>
        <w:rPr>
          <w:rFonts w:asciiTheme="majorHAnsi" w:eastAsia="Arial" w:hAnsiTheme="majorHAnsi" w:cs="Arial"/>
          <w:noProof/>
          <w:color w:val="FF0000"/>
          <w:lang w:val="fr-BE"/>
        </w:rPr>
      </w:pPr>
      <w:r>
        <w:rPr>
          <w:rFonts w:asciiTheme="majorHAnsi" w:hAnsiTheme="majorHAnsi"/>
          <w:noProof/>
          <w:color w:val="000000"/>
          <w:lang w:val="fr-BE"/>
        </w:rPr>
        <w:t>Tomēr, ja kompetentā valsts ir minēta SSC-2. pielikumā [Ierobežojumi attiecībā uz tiesībām saņemt pabalstus natūrā par pārrobežu darba ņēmēju ģimenes locekļiem], pārrobežu darba ņēmēja ģimenes locekļiem, kas dzīvo tajā pašā valstī, kurā dzīvo pārrobežu dar</w:t>
      </w:r>
      <w:r>
        <w:rPr>
          <w:rFonts w:asciiTheme="majorHAnsi" w:hAnsiTheme="majorHAnsi"/>
          <w:noProof/>
          <w:color w:val="000000"/>
          <w:lang w:val="fr-BE"/>
        </w:rPr>
        <w:t xml:space="preserve">ba ņēmējs, ir tiesības uz pabalstiem natūrā kompetentajā valstī vienīgi saskaņā ar SSC.17. panta [Uzturēšanās ārpus kompetentās valsts] 1. punktā izklāstītajiem nosacījumiem. </w:t>
      </w:r>
    </w:p>
    <w:p w:rsidR="003E022D" w:rsidRDefault="007D19D6">
      <w:pPr>
        <w:pStyle w:val="Article"/>
        <w:rPr>
          <w:noProof/>
          <w:lang w:val="fr-BE"/>
        </w:rPr>
      </w:pPr>
      <w:r>
        <w:rPr>
          <w:noProof/>
          <w:lang w:val="fr-BE"/>
        </w:rPr>
        <w:t xml:space="preserve">SSC.17. pants.  Uzturēšanās ārpus kompetentās valsts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Ja vien 2. punktā nav n</w:t>
      </w:r>
      <w:r>
        <w:rPr>
          <w:rFonts w:asciiTheme="majorHAnsi" w:hAnsiTheme="majorHAnsi"/>
          <w:noProof/>
          <w:color w:val="000000"/>
          <w:lang w:val="fr-BE"/>
        </w:rPr>
        <w:t xml:space="preserve">oteikts citādi, apdrošinātajai personai un viņa ģimenes locekļiem, kas uzturas valstī, kura nav kompetentā valsts, ir tiesības uz pabalstiem natūrā, ko kompetentās iestādes vārdā nodrošina uzturēšanās vietas iestāde saskaņā ar tās tiesību aktiem tā, it kā </w:t>
      </w:r>
      <w:r>
        <w:rPr>
          <w:rFonts w:asciiTheme="majorHAnsi" w:hAnsiTheme="majorHAnsi"/>
          <w:noProof/>
          <w:color w:val="000000"/>
          <w:lang w:val="fr-BE"/>
        </w:rPr>
        <w:t>persona būtu apdrošināta saskaņā ar šiem tiesību aktiem, ja:</w:t>
      </w:r>
    </w:p>
    <w:p w:rsidR="003E022D" w:rsidRDefault="007D19D6">
      <w:pPr>
        <w:pStyle w:val="Subparagraphab"/>
        <w:numPr>
          <w:ilvl w:val="0"/>
          <w:numId w:val="1032"/>
        </w:numPr>
        <w:ind w:left="567" w:hanging="567"/>
        <w:rPr>
          <w:rFonts w:asciiTheme="majorHAnsi" w:hAnsiTheme="majorHAnsi"/>
          <w:noProof/>
          <w:lang w:val="fr-BE"/>
        </w:rPr>
      </w:pPr>
      <w:r>
        <w:rPr>
          <w:rFonts w:asciiTheme="majorHAnsi" w:hAnsiTheme="majorHAnsi"/>
          <w:noProof/>
          <w:lang w:val="fr-BE"/>
        </w:rPr>
        <w:t xml:space="preserve">pēc pabalstu natūrā sniedzēja uzskatiem pabalsti natūrā kļūst nepieciešami medicīnisku iemeslu dēļ viņu uzturēšanās laikā, ņemot vērā pabalstu veidu un paredzamo uzturēšanās ilgumu; </w:t>
      </w:r>
    </w:p>
    <w:p w:rsidR="003E022D" w:rsidRDefault="007D19D6">
      <w:pPr>
        <w:pStyle w:val="Subparagraphab"/>
        <w:numPr>
          <w:ilvl w:val="0"/>
          <w:numId w:val="1032"/>
        </w:numPr>
        <w:ind w:left="567" w:hanging="567"/>
        <w:rPr>
          <w:rFonts w:asciiTheme="majorHAnsi" w:eastAsia="Arial" w:hAnsiTheme="majorHAnsi" w:cs="Arial"/>
          <w:noProof/>
          <w:color w:val="000000"/>
          <w:lang w:val="fr-BE"/>
        </w:rPr>
      </w:pPr>
      <w:r>
        <w:rPr>
          <w:rFonts w:asciiTheme="majorHAnsi" w:hAnsiTheme="majorHAnsi"/>
          <w:noProof/>
          <w:lang w:val="fr-BE"/>
        </w:rPr>
        <w:t xml:space="preserve">persona nav </w:t>
      </w:r>
      <w:r>
        <w:rPr>
          <w:rFonts w:asciiTheme="majorHAnsi" w:hAnsiTheme="majorHAnsi"/>
          <w:noProof/>
          <w:lang w:val="fr-BE"/>
        </w:rPr>
        <w:t>ceļojusi uz šo valsti, lai saņemtu pabalstus natūrā, izņemot gadījumus, kad persona ir pasažieris vai apkalpes loceklis uz kuģa vai gaisa kuģa, kas dodas uz šo valsti, un kad pabalsti natūrā ceļojuma vai lidojuma laikā kļuva nepieciešami medicīnisku iemesl</w:t>
      </w:r>
      <w:r>
        <w:rPr>
          <w:rFonts w:asciiTheme="majorHAnsi" w:hAnsiTheme="majorHAnsi"/>
          <w:noProof/>
          <w:lang w:val="fr-BE"/>
        </w:rPr>
        <w:t>u dēļ;</w:t>
      </w:r>
      <w:r>
        <w:rPr>
          <w:rFonts w:asciiTheme="majorHAnsi" w:hAnsiTheme="majorHAnsi"/>
          <w:noProof/>
          <w:color w:val="000000"/>
          <w:lang w:val="fr-BE"/>
        </w:rPr>
        <w:t xml:space="preserve"> un</w:t>
      </w:r>
    </w:p>
    <w:p w:rsidR="003E022D" w:rsidRDefault="007D19D6">
      <w:pPr>
        <w:pStyle w:val="Subparagraphab"/>
        <w:numPr>
          <w:ilvl w:val="0"/>
          <w:numId w:val="1032"/>
        </w:numPr>
        <w:ind w:left="567" w:hanging="567"/>
        <w:rPr>
          <w:rFonts w:asciiTheme="majorHAnsi" w:eastAsia="Arial" w:hAnsiTheme="majorHAnsi" w:cs="Arial"/>
          <w:noProof/>
          <w:color w:val="000000"/>
          <w:lang w:val="fr-BE"/>
        </w:rPr>
      </w:pPr>
      <w:r>
        <w:rPr>
          <w:noProof/>
          <w:lang w:val="fr-BE"/>
        </w:rPr>
        <w:t xml:space="preserve">tiek uzrādīts derīgs tiesības apliecinošs dokuments saskaņā ar SSC-7. pielikuma [Īstenošanas daļa] </w:t>
      </w:r>
      <w:r>
        <w:rPr>
          <w:rFonts w:asciiTheme="majorHAnsi" w:hAnsiTheme="majorHAnsi"/>
          <w:noProof/>
          <w:color w:val="000000"/>
          <w:lang w:val="fr-BE"/>
        </w:rPr>
        <w:t>SSCI.22. panta [</w:t>
      </w:r>
      <w:r>
        <w:rPr>
          <w:noProof/>
          <w:lang w:val="fr-BE"/>
        </w:rPr>
        <w:t>Uzturēšanās valstī, kura nav kompetentā valsts] 1. punktu</w:t>
      </w:r>
      <w:r>
        <w:rPr>
          <w:rFonts w:asciiTheme="majorHAnsi" w:hAnsiTheme="majorHAnsi"/>
          <w:noProof/>
          <w:color w:val="000000"/>
          <w:lang w:val="fr-BE"/>
        </w:rPr>
        <w:t>.</w:t>
      </w:r>
    </w:p>
    <w:p w:rsidR="003E022D" w:rsidRDefault="007D19D6">
      <w:pPr>
        <w:pBdr>
          <w:top w:val="nil"/>
          <w:left w:val="nil"/>
          <w:bottom w:val="nil"/>
          <w:right w:val="nil"/>
          <w:between w:val="nil"/>
        </w:pBdr>
        <w:ind w:right="-6"/>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SSCI-2. papildinājumā</w:t>
      </w:r>
      <w:r>
        <w:rPr>
          <w:noProof/>
          <w:color w:val="000000"/>
          <w:lang w:val="fr-BE"/>
        </w:rPr>
        <w:t xml:space="preserve"> [Tiesības apliecinošs dokuments] ir to pabalstu</w:t>
      </w:r>
      <w:r>
        <w:rPr>
          <w:noProof/>
          <w:color w:val="000000"/>
          <w:lang w:val="fr-BE"/>
        </w:rPr>
        <w:t xml:space="preserve"> saraksts, kurus, uzturoties citā valstī, praktisku apsvērumu dēļ var saņemt tikai tad, ja ir attiecīgās personas un aprūpes sniedzējas iestādes iepriekšēja vienošanās.</w:t>
      </w:r>
    </w:p>
    <w:p w:rsidR="003E022D" w:rsidRDefault="007D19D6">
      <w:pPr>
        <w:pStyle w:val="Article"/>
        <w:rPr>
          <w:noProof/>
          <w:lang w:val="fr-BE"/>
        </w:rPr>
      </w:pPr>
      <w:r>
        <w:rPr>
          <w:noProof/>
          <w:lang w:val="fr-BE"/>
        </w:rPr>
        <w:t>SSC.18. pants. Ceļojums ar nolūku saņemt pabalstus natūrā — atļauja saņemt piemērotu ār</w:t>
      </w:r>
      <w:r>
        <w:rPr>
          <w:noProof/>
          <w:lang w:val="fr-BE"/>
        </w:rPr>
        <w:t>stēšanu ārpus dzīvesvietas valsts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Ja šajā protokolā nav noteikts citādi, apdrošināta persona, kas veic ceļojumu uz citu valsti, lai uzturēšanās laikā saņemtu pabalstus natūrā, lūdz kompetentās iestādes atļauju.</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Apdrošināta persona, kurai kompetentā i</w:t>
      </w:r>
      <w:r>
        <w:rPr>
          <w:rFonts w:asciiTheme="majorHAnsi" w:hAnsiTheme="majorHAnsi"/>
          <w:noProof/>
          <w:color w:val="000000"/>
          <w:lang w:val="fr-BE"/>
        </w:rPr>
        <w:t>estāde ir atļāvusi doties uz citu valsti ar nolūku saņemt tās stāvoklim atbilstošu ārstēšanu, saņem pabalstus natūrā, kurus kompetentās iestādes uzdevumā nodrošina uzturēšanas vietas iestāde, saskaņā ar to tiesību aktu noteikumiem, ko tā piemēro, tā, it kā</w:t>
      </w:r>
      <w:r>
        <w:rPr>
          <w:rFonts w:asciiTheme="majorHAnsi" w:hAnsiTheme="majorHAnsi"/>
          <w:noProof/>
          <w:color w:val="000000"/>
          <w:lang w:val="fr-BE"/>
        </w:rPr>
        <w:t xml:space="preserve"> persona būtu apdrošināta saskaņā ar minētajiem tiesību aktiem. Atļauju piešķir, ja attiecīgā ārstēšana ietilpst pabalstos, ko paredz tiesību akti valstī, kurā dzīvo attiecīgā persona un kurā šai personai nevar nodrošināt šādu ārstēšanu termiņā, kas ir med</w:t>
      </w:r>
      <w:r>
        <w:rPr>
          <w:rFonts w:asciiTheme="majorHAnsi" w:hAnsiTheme="majorHAnsi"/>
          <w:noProof/>
          <w:color w:val="000000"/>
          <w:lang w:val="fr-BE"/>
        </w:rPr>
        <w:t>icīniski pamatots, ņemot vērā šīs personas tā brīža veselības stāvokli un slimības iespējamo gaitu.</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3.</w:t>
      </w:r>
      <w:r>
        <w:rPr>
          <w:noProof/>
          <w:lang w:val="fr-BE"/>
        </w:rPr>
        <w:tab/>
      </w:r>
      <w:r>
        <w:rPr>
          <w:rFonts w:asciiTheme="majorHAnsi" w:hAnsiTheme="majorHAnsi"/>
          <w:noProof/>
          <w:color w:val="000000"/>
          <w:lang w:val="fr-BE"/>
        </w:rPr>
        <w:t>Apdrošinātas personas ģimenes locekļiem 1. un 2. punktu piemēro pēc analoģijas.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4.</w:t>
      </w:r>
      <w:r>
        <w:rPr>
          <w:noProof/>
          <w:lang w:val="fr-BE"/>
        </w:rPr>
        <w:tab/>
      </w:r>
      <w:r>
        <w:rPr>
          <w:rFonts w:asciiTheme="majorHAnsi" w:hAnsiTheme="majorHAnsi"/>
          <w:noProof/>
          <w:color w:val="000000"/>
          <w:lang w:val="fr-BE"/>
        </w:rPr>
        <w:t xml:space="preserve">Ja apdrošinātas personas ģimenes locekļi dzīvo valstī, kas nav tā </w:t>
      </w:r>
      <w:r>
        <w:rPr>
          <w:rFonts w:asciiTheme="majorHAnsi" w:hAnsiTheme="majorHAnsi"/>
          <w:noProof/>
          <w:color w:val="000000"/>
          <w:lang w:val="fr-BE"/>
        </w:rPr>
        <w:t>valsts, kurā dzīvo apdrošinātā persona, un šī valsts ir izvēlējusies atlīdzināšanu, pamatojoties uz fiksētām summām, 2. punktā minēto pabalstu natūrā izmaksas sedz ģimenes locekļu dzīvesvietas iestāde. Tādā gadījumā 1. punkta mērķiem ģimenes locekļu dzīves</w:t>
      </w:r>
      <w:r>
        <w:rPr>
          <w:rFonts w:asciiTheme="majorHAnsi" w:hAnsiTheme="majorHAnsi"/>
          <w:noProof/>
          <w:color w:val="000000"/>
          <w:lang w:val="fr-BE"/>
        </w:rPr>
        <w:t>vietas iestādi uzskata par kompetento iestādi.</w:t>
      </w:r>
      <w:r>
        <w:rPr>
          <w:rFonts w:asciiTheme="majorHAnsi" w:hAnsiTheme="majorHAnsi"/>
          <w:b/>
          <w:noProof/>
          <w:color w:val="000000"/>
          <w:lang w:val="fr-BE"/>
        </w:rPr>
        <w:t xml:space="preserve"> </w:t>
      </w:r>
    </w:p>
    <w:p w:rsidR="003E022D" w:rsidRDefault="007D19D6">
      <w:pPr>
        <w:pStyle w:val="Article"/>
        <w:rPr>
          <w:noProof/>
          <w:lang w:val="fr-BE"/>
        </w:rPr>
      </w:pPr>
      <w:r>
        <w:rPr>
          <w:noProof/>
          <w:lang w:val="fr-BE"/>
        </w:rPr>
        <w:t xml:space="preserve">SSC.19. pants.  Naudas pabalsti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 xml:space="preserve">Apdrošinātai personai un tās ģimenes locekļiem, kas dzīvo vai uzturas valstī, kura nav kompetentā valsts, ir tiesības uz naudas pabalstiem, ko nodrošina kompetentā iestāde </w:t>
      </w:r>
      <w:r>
        <w:rPr>
          <w:rFonts w:asciiTheme="majorHAnsi" w:hAnsiTheme="majorHAnsi"/>
          <w:noProof/>
          <w:color w:val="000000"/>
          <w:lang w:val="fr-BE"/>
        </w:rPr>
        <w:t>saskaņā ar tiesību aktiem, kurus tā piemēro. Kompetentajai iestādei un dzīvesvietas vai uzturēšanās vietas iestādei vienojoties, šādus pabalstus var piešķirt dzīvesvietas vai uzturēšanās vietas iestāde par kompetentās iestādes līdzekļiem saskaņā ar kompete</w:t>
      </w:r>
      <w:r>
        <w:rPr>
          <w:rFonts w:asciiTheme="majorHAnsi" w:hAnsiTheme="majorHAnsi"/>
          <w:noProof/>
          <w:color w:val="000000"/>
          <w:lang w:val="fr-BE"/>
        </w:rPr>
        <w:t>ntās valsts tiesību aktiem.</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Tādas valsts kompetentā iestāde, kuras tiesību akti nosaka, ka naudas pabalstu aprēķinu pamats ir vidējais ienākums vai vidējās iemaksas, nosaka šo vidējo ienākumu vai vidējo iemaksu bāzi, atsaucoties tikai uz ienākumiem, par</w:t>
      </w:r>
      <w:r>
        <w:rPr>
          <w:rFonts w:asciiTheme="majorHAnsi" w:hAnsiTheme="majorHAnsi"/>
          <w:noProof/>
          <w:color w:val="000000"/>
          <w:lang w:val="fr-BE"/>
        </w:rPr>
        <w:t xml:space="preserve"> kuriem ir apstiprināts, ka tie ir samaksāti, vai uz piemēroto iemaksu bāzi laika posmos, kas izpildīti saskaņā ar minētajiem tiesību aktiem.</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3.</w:t>
      </w:r>
      <w:r>
        <w:rPr>
          <w:noProof/>
          <w:lang w:val="fr-BE"/>
        </w:rPr>
        <w:tab/>
      </w:r>
      <w:r>
        <w:rPr>
          <w:rFonts w:asciiTheme="majorHAnsi" w:hAnsiTheme="majorHAnsi"/>
          <w:noProof/>
          <w:color w:val="000000"/>
          <w:lang w:val="fr-BE"/>
        </w:rPr>
        <w:t>Tādas valsts kompetentā iestāde, kuras tiesību akti nosaka, ka naudas pabalstus aprēķina, pamatojoties uz stand</w:t>
      </w:r>
      <w:r>
        <w:rPr>
          <w:rFonts w:asciiTheme="majorHAnsi" w:hAnsiTheme="majorHAnsi"/>
          <w:noProof/>
          <w:color w:val="000000"/>
          <w:lang w:val="fr-BE"/>
        </w:rPr>
        <w:t>arta ienākumu, ņem vērā vienīgi standarta ienākumus vai, ja vajadzīgs, vidējos standarta ienākumus laika posmos, kas izpildīti saskaņā ar minētajiem tiesību aktiem.</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4.</w:t>
      </w:r>
      <w:r>
        <w:rPr>
          <w:noProof/>
          <w:lang w:val="fr-BE"/>
        </w:rPr>
        <w:tab/>
      </w:r>
      <w:r>
        <w:rPr>
          <w:rFonts w:asciiTheme="majorHAnsi" w:hAnsiTheme="majorHAnsi"/>
          <w:noProof/>
          <w:color w:val="000000"/>
          <w:lang w:val="fr-BE"/>
        </w:rPr>
        <w:t xml:space="preserve">Šā panta 2. un 3. punktu pēc analoģijas piemēro gadījumos, kad tiesību akti, ko piemēro </w:t>
      </w:r>
      <w:r>
        <w:rPr>
          <w:rFonts w:asciiTheme="majorHAnsi" w:hAnsiTheme="majorHAnsi"/>
          <w:noProof/>
          <w:color w:val="000000"/>
          <w:lang w:val="fr-BE"/>
        </w:rPr>
        <w:t xml:space="preserve">kompetentā iestāde, nosaka īpašu atskaites periodu, kas attiecīgajā gadījumā pilnīgi vai daļēji atbilst laika posmiem, ko attiecīgā persona izpildījusi saskaņā ar vienas vai vairāku citu valstu tiesību aktiem. </w:t>
      </w:r>
    </w:p>
    <w:p w:rsidR="003E022D" w:rsidRDefault="007D19D6">
      <w:pPr>
        <w:pStyle w:val="Article"/>
        <w:rPr>
          <w:noProof/>
          <w:lang w:val="fr-BE"/>
        </w:rPr>
      </w:pPr>
      <w:r>
        <w:rPr>
          <w:noProof/>
          <w:lang w:val="fr-BE"/>
        </w:rPr>
        <w:t>SSC.20. pants.  Pensijas prasītāji</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Apdroši</w:t>
      </w:r>
      <w:r>
        <w:rPr>
          <w:rFonts w:asciiTheme="majorHAnsi" w:hAnsiTheme="majorHAnsi"/>
          <w:noProof/>
          <w:color w:val="000000"/>
          <w:lang w:val="fr-BE"/>
        </w:rPr>
        <w:t>nāta persona, kas pensijas pieprasījuma iesniegšanas vai izskatīšanas laikā zaudē tiesības uz pabalstiem natūrā saskaņā ar pēdējās kompetentās valsts tiesību aktiem, patur tiesības uz pabalstiem natūrā saskaņā ar tās valsts tiesību aktiem, kur šī persona d</w:t>
      </w:r>
      <w:r>
        <w:rPr>
          <w:rFonts w:asciiTheme="majorHAnsi" w:hAnsiTheme="majorHAnsi"/>
          <w:noProof/>
          <w:color w:val="000000"/>
          <w:lang w:val="fr-BE"/>
        </w:rPr>
        <w:t xml:space="preserve">zīvo, ja pensijas prasītājs atbilst apdrošināšanas nosacījumiem tās valsts tiesību aktos, kas minēta 2. punktā. Tiesības uz pabalstiem natūrā dzīvesvietas valstī attiecas arī uz pensijas prasītāja ģimenes locekļiem. </w:t>
      </w:r>
    </w:p>
    <w:p w:rsidR="003E022D" w:rsidRDefault="007D19D6">
      <w:pPr>
        <w:pBdr>
          <w:top w:val="nil"/>
          <w:left w:val="nil"/>
          <w:bottom w:val="nil"/>
          <w:right w:val="nil"/>
          <w:between w:val="nil"/>
        </w:pBdr>
        <w:spacing w:before="251"/>
        <w:ind w:right="-6"/>
        <w:rPr>
          <w:rFonts w:asciiTheme="majorHAnsi" w:eastAsia="Arial" w:hAnsiTheme="majorHAnsi" w:cstheme="majorHAnsi"/>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lang w:val="fr-BE"/>
        </w:rPr>
        <w:t xml:space="preserve">Pabalstu natūrā izmaksas sedz tās </w:t>
      </w:r>
      <w:r>
        <w:rPr>
          <w:rFonts w:asciiTheme="majorHAnsi" w:hAnsiTheme="majorHAnsi"/>
          <w:noProof/>
          <w:lang w:val="fr-BE"/>
        </w:rPr>
        <w:t>valsts iestādes, kas pensijas piešķiršanas gadījumā būtu kompetentas saskaņā ar noteikumiem no SSC.21. panta [Tiesības uz pabalstiem natūrā saskaņā ar dzīvesvietas valsts tiesību aktiem] līdz SSC.23. pantam [Pensijas saskaņā ar vienas vai vairāku tādu vals</w:t>
      </w:r>
      <w:r>
        <w:rPr>
          <w:rFonts w:asciiTheme="majorHAnsi" w:hAnsiTheme="majorHAnsi"/>
          <w:noProof/>
          <w:lang w:val="fr-BE"/>
        </w:rPr>
        <w:t>tu tiesību aktiem, kuras nav dzīvesvietas valstis, ja ir tiesības uz pabalstiem natūrā dzīvesvietas valstī].</w:t>
      </w:r>
    </w:p>
    <w:p w:rsidR="003E022D" w:rsidRDefault="007D19D6">
      <w:pPr>
        <w:pStyle w:val="Section"/>
        <w:rPr>
          <w:noProof/>
          <w:lang w:val="fr-BE"/>
        </w:rPr>
      </w:pPr>
      <w:r>
        <w:rPr>
          <w:noProof/>
          <w:lang w:val="fr-BE"/>
        </w:rPr>
        <w:t>2. iedaļa.  Īpaši noteikumi pensionāriem un viņu ģimenēm</w:t>
      </w:r>
    </w:p>
    <w:p w:rsidR="003E022D" w:rsidRDefault="007D19D6">
      <w:pPr>
        <w:pStyle w:val="Article"/>
        <w:rPr>
          <w:noProof/>
          <w:lang w:val="fr-BE"/>
        </w:rPr>
      </w:pPr>
      <w:r>
        <w:rPr>
          <w:noProof/>
          <w:lang w:val="fr-BE"/>
        </w:rPr>
        <w:t>SSC.21. pants. Tiesības uz pabalstiem natūrā saskaņā ar dzīvesvietas valsts tiesību aktiem</w:t>
      </w:r>
    </w:p>
    <w:p w:rsidR="003E022D" w:rsidRDefault="007D19D6">
      <w:pPr>
        <w:rPr>
          <w:rFonts w:asciiTheme="majorHAnsi" w:eastAsia="Arial" w:hAnsiTheme="majorHAnsi" w:cs="Arial"/>
          <w:noProof/>
          <w:lang w:val="fr-BE"/>
        </w:rPr>
      </w:pPr>
      <w:r>
        <w:rPr>
          <w:rFonts w:asciiTheme="majorHAnsi" w:hAnsiTheme="majorHAnsi"/>
          <w:noProof/>
          <w:color w:val="000000"/>
          <w:lang w:val="fr-BE"/>
        </w:rPr>
        <w:t>Persona, kas saņem pensiju vai pensijas saskaņā ar divu vai vairāku valstu tiesību aktiem, no kurām viena ir dzīvesvietas valsts, un kurai ir tiesības saņemt pabalstus natūrā saskaņā ar minētās valsts tiesību aktiem, kopā ar saviem ģimenes locekļiem saņem</w:t>
      </w:r>
      <w:r>
        <w:rPr>
          <w:rFonts w:asciiTheme="majorHAnsi" w:hAnsiTheme="majorHAnsi"/>
          <w:noProof/>
          <w:color w:val="000000"/>
          <w:lang w:val="fr-BE"/>
        </w:rPr>
        <w:t xml:space="preserve"> šādus pabalstus natūrā, ko par saviem līdzekļiem sniedz dzīvesvietas iestāde, tā, it kā šī persona būtu pensionārs, kura pensija izmaksājama tikai saskaņā ar minētās valsts tiesību aktiem.</w:t>
      </w:r>
    </w:p>
    <w:p w:rsidR="003E022D" w:rsidRDefault="007D19D6">
      <w:pPr>
        <w:pStyle w:val="Article"/>
        <w:rPr>
          <w:noProof/>
          <w:lang w:val="fr-BE"/>
        </w:rPr>
      </w:pPr>
      <w:r>
        <w:rPr>
          <w:noProof/>
          <w:lang w:val="fr-BE"/>
        </w:rPr>
        <w:t>SSC.22. pants. Tiesību uz pabalstiem natūrā neesība saskaņā ar dzī</w:t>
      </w:r>
      <w:r>
        <w:rPr>
          <w:noProof/>
          <w:lang w:val="fr-BE"/>
        </w:rPr>
        <w:t>vesvietas valsts tiesību aktiem</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Persona, kas:</w:t>
      </w:r>
    </w:p>
    <w:p w:rsidR="003E022D" w:rsidRDefault="007D19D6">
      <w:pPr>
        <w:pStyle w:val="Subparagraphab"/>
        <w:numPr>
          <w:ilvl w:val="0"/>
          <w:numId w:val="1033"/>
        </w:numPr>
        <w:ind w:left="567" w:hanging="567"/>
        <w:rPr>
          <w:rFonts w:asciiTheme="majorHAnsi" w:hAnsiTheme="majorHAnsi"/>
          <w:noProof/>
        </w:rPr>
      </w:pPr>
      <w:r>
        <w:rPr>
          <w:rFonts w:asciiTheme="majorHAnsi" w:hAnsiTheme="majorHAnsi"/>
          <w:noProof/>
        </w:rPr>
        <w:t>dzīvo kādā valstī;</w:t>
      </w:r>
    </w:p>
    <w:p w:rsidR="003E022D" w:rsidRDefault="007D19D6">
      <w:pPr>
        <w:pStyle w:val="Subparagraphab"/>
        <w:numPr>
          <w:ilvl w:val="0"/>
          <w:numId w:val="1033"/>
        </w:numPr>
        <w:ind w:left="567" w:hanging="567"/>
        <w:rPr>
          <w:rFonts w:asciiTheme="majorHAnsi" w:hAnsiTheme="majorHAnsi"/>
          <w:noProof/>
        </w:rPr>
      </w:pPr>
      <w:r>
        <w:rPr>
          <w:rFonts w:asciiTheme="majorHAnsi" w:hAnsiTheme="majorHAnsi"/>
          <w:noProof/>
        </w:rPr>
        <w:t>saņem pensiju vai pensijas saskaņā ar vienas vai vairāku valstu tiesību aktiem;</w:t>
      </w:r>
      <w:r>
        <w:rPr>
          <w:rFonts w:asciiTheme="majorHAnsi" w:hAnsiTheme="majorHAnsi"/>
          <w:noProof/>
          <w:color w:val="000000"/>
        </w:rPr>
        <w:t xml:space="preserve"> un</w:t>
      </w:r>
    </w:p>
    <w:p w:rsidR="003E022D" w:rsidRDefault="007D19D6">
      <w:pPr>
        <w:pStyle w:val="Subparagraphab"/>
        <w:numPr>
          <w:ilvl w:val="0"/>
          <w:numId w:val="1033"/>
        </w:numPr>
        <w:ind w:left="567" w:hanging="567"/>
        <w:rPr>
          <w:rFonts w:asciiTheme="majorHAnsi" w:hAnsiTheme="majorHAnsi"/>
          <w:noProof/>
        </w:rPr>
      </w:pPr>
      <w:r>
        <w:rPr>
          <w:rFonts w:asciiTheme="majorHAnsi" w:hAnsiTheme="majorHAnsi"/>
          <w:noProof/>
          <w:color w:val="000000"/>
        </w:rPr>
        <w:t xml:space="preserve">nav tiesīga saņemt pabalstus natūrā saskaņā ar dzīvesvietas valsts tiesību aktiem </w:t>
      </w:r>
    </w:p>
    <w:p w:rsidR="003E022D" w:rsidRDefault="007D19D6">
      <w:pPr>
        <w:rPr>
          <w:rFonts w:asciiTheme="majorHAnsi" w:eastAsia="Arial" w:hAnsiTheme="majorHAnsi" w:cs="Arial"/>
          <w:noProof/>
        </w:rPr>
      </w:pPr>
      <w:r>
        <w:rPr>
          <w:rFonts w:asciiTheme="majorHAnsi" w:hAnsiTheme="majorHAnsi"/>
          <w:noProof/>
        </w:rPr>
        <w:t>tomēr saņem šādus paba</w:t>
      </w:r>
      <w:r>
        <w:rPr>
          <w:rFonts w:asciiTheme="majorHAnsi" w:hAnsiTheme="majorHAnsi"/>
          <w:noProof/>
        </w:rPr>
        <w:t>lstus sev un saviem ģimenes locekļiem, ciktāl viņai kā pensionāram uz tiem būtu tiesības saskaņā ar tās valsts tiesību aktiem vai vismaz vienas tādas valsts tiesību aktiem, kas ir kompetenta attiecībā uz viņas pensijām, ja šī persona dzīvotu šajā valstī.</w:t>
      </w:r>
      <w:r>
        <w:rPr>
          <w:rFonts w:asciiTheme="majorHAnsi" w:hAnsiTheme="majorHAnsi"/>
          <w:noProof/>
          <w:color w:val="000000"/>
        </w:rPr>
        <w:t xml:space="preserve"> </w:t>
      </w:r>
      <w:r>
        <w:rPr>
          <w:rFonts w:asciiTheme="majorHAnsi" w:hAnsiTheme="majorHAnsi"/>
          <w:noProof/>
        </w:rPr>
        <w:t>P</w:t>
      </w:r>
      <w:r>
        <w:rPr>
          <w:rFonts w:asciiTheme="majorHAnsi" w:hAnsiTheme="majorHAnsi"/>
          <w:noProof/>
        </w:rPr>
        <w:t>abalstus natūrā par 2. punktā minētās iestādes līdzekļiem nodrošina dzīvesvietas iestāde tā, it kā attiecīgajai personai būtu tiesības uz pensiju un pabalstiem natūrā saskaņā ar minētās valsts tiesību aktiem.</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Gadījumos, uz kuriem attiecas 1. punkts, pab</w:t>
      </w:r>
      <w:r>
        <w:rPr>
          <w:rFonts w:asciiTheme="majorHAnsi" w:hAnsiTheme="majorHAnsi"/>
          <w:noProof/>
          <w:color w:val="000000"/>
        </w:rPr>
        <w:t>alstu natūrā izmaksas sedz iestāde, kuru nosaka saskaņā ar šādiem noteikumiem:</w:t>
      </w:r>
    </w:p>
    <w:p w:rsidR="003E022D" w:rsidRDefault="007D19D6">
      <w:pPr>
        <w:pStyle w:val="Subparagraphab"/>
        <w:numPr>
          <w:ilvl w:val="0"/>
          <w:numId w:val="1034"/>
        </w:numPr>
        <w:ind w:left="567" w:hanging="567"/>
        <w:rPr>
          <w:rFonts w:asciiTheme="majorHAnsi" w:hAnsiTheme="majorHAnsi"/>
          <w:noProof/>
        </w:rPr>
      </w:pPr>
      <w:r>
        <w:rPr>
          <w:rFonts w:asciiTheme="majorHAnsi" w:hAnsiTheme="majorHAnsi"/>
          <w:noProof/>
        </w:rPr>
        <w:t xml:space="preserve">ja pensionāru uzskata par tādu, kuram ir tiesības uz pabalstiem natūrā tikai saskaņā ar vienas valsts tiesību aktiem, šo pabalstu izmaksas sedz minētās valsts kompetentā </w:t>
      </w:r>
      <w:r>
        <w:rPr>
          <w:rFonts w:asciiTheme="majorHAnsi" w:hAnsiTheme="majorHAnsi"/>
          <w:noProof/>
        </w:rPr>
        <w:t>iestāde;</w:t>
      </w:r>
    </w:p>
    <w:p w:rsidR="003E022D" w:rsidRDefault="007D19D6">
      <w:pPr>
        <w:pStyle w:val="Subparagraphab"/>
        <w:numPr>
          <w:ilvl w:val="0"/>
          <w:numId w:val="1034"/>
        </w:numPr>
        <w:ind w:left="567" w:hanging="567"/>
        <w:rPr>
          <w:rFonts w:asciiTheme="majorHAnsi" w:hAnsiTheme="majorHAnsi"/>
          <w:noProof/>
        </w:rPr>
      </w:pPr>
      <w:r>
        <w:rPr>
          <w:rFonts w:asciiTheme="majorHAnsi" w:hAnsiTheme="majorHAnsi"/>
          <w:noProof/>
        </w:rPr>
        <w:t>ja pensionāru uzskata par tādu, kuram ir tiesības uz pabalstiem natūrā saskaņā ar divu vai vairāku dalībvalstu tiesību aktiem, šo pabalstu izmaksas sedz tās valsts kompetentā iestāde, kuras tiesību aktiem persona ir bijusi pakļauta visilgāko laika</w:t>
      </w:r>
      <w:r>
        <w:rPr>
          <w:rFonts w:asciiTheme="majorHAnsi" w:hAnsiTheme="majorHAnsi"/>
          <w:noProof/>
        </w:rPr>
        <w:t xml:space="preserve"> posmu; </w:t>
      </w:r>
    </w:p>
    <w:p w:rsidR="003E022D" w:rsidRDefault="007D19D6">
      <w:pPr>
        <w:pStyle w:val="Subparagraphab"/>
        <w:numPr>
          <w:ilvl w:val="0"/>
          <w:numId w:val="1034"/>
        </w:numPr>
        <w:ind w:left="567" w:hanging="567"/>
        <w:rPr>
          <w:rFonts w:asciiTheme="majorHAnsi" w:hAnsiTheme="majorHAnsi"/>
          <w:noProof/>
        </w:rPr>
      </w:pPr>
      <w:r>
        <w:rPr>
          <w:rFonts w:asciiTheme="majorHAnsi" w:hAnsiTheme="majorHAnsi"/>
          <w:noProof/>
        </w:rPr>
        <w:t>ja, piemērojot b) apakšpunkta noteikumu, vairākas iestādes ir atbildīgas par pabalstu izmaksām, izmaksas sedz tās valsts kompetentā iestāde, kuras tiesību aktiem pensionārs bijis pakļauts visvēlāk.</w:t>
      </w:r>
    </w:p>
    <w:p w:rsidR="003E022D" w:rsidRDefault="007D19D6">
      <w:pPr>
        <w:pStyle w:val="Article"/>
        <w:rPr>
          <w:noProof/>
        </w:rPr>
      </w:pPr>
      <w:r>
        <w:rPr>
          <w:noProof/>
        </w:rPr>
        <w:t>SSC.23. pants. Pensijas saskaņā ar vienas vai vai</w:t>
      </w:r>
      <w:r>
        <w:rPr>
          <w:noProof/>
        </w:rPr>
        <w:t>rāku tādu valstu tiesību aktiem, kuras nav dzīvesvietas valstis, ja ir tiesības uz pabalstiem natūrā dzīvesvietas valstī</w:t>
      </w:r>
    </w:p>
    <w:p w:rsidR="003E022D" w:rsidRDefault="007D19D6">
      <w:pPr>
        <w:rPr>
          <w:rFonts w:asciiTheme="majorHAnsi" w:eastAsia="Arial" w:hAnsiTheme="majorHAnsi" w:cs="Arial"/>
          <w:i/>
          <w:noProof/>
        </w:rPr>
      </w:pPr>
      <w:r>
        <w:rPr>
          <w:rFonts w:asciiTheme="majorHAnsi" w:hAnsiTheme="majorHAnsi"/>
          <w:noProof/>
        </w:rPr>
        <w:t xml:space="preserve">Ja persona, kas saņem pensiju vai pensijas saskaņā ar vienas vai vairāku valstu tiesību aktiem, dzīvo valstī, kuras tiesību akti </w:t>
      </w:r>
      <w:r>
        <w:rPr>
          <w:rFonts w:asciiTheme="majorHAnsi" w:hAnsiTheme="majorHAnsi"/>
          <w:noProof/>
        </w:rPr>
        <w:t>paredz, ka tiesības saņemt pabalstus natūrā nav pakļautas apdrošināšanas nosacījumiem vai nosacījumiem par darbību nodarbinātas vai pašnodarbinātas personas statusā, un šī persona nesaņem pensiju no minētās dzīvesvietas valsts, to pabalstu natūrā izmaksas,</w:t>
      </w:r>
      <w:r>
        <w:rPr>
          <w:rFonts w:asciiTheme="majorHAnsi" w:hAnsiTheme="majorHAnsi"/>
          <w:noProof/>
        </w:rPr>
        <w:t xml:space="preserve"> ko piešķir šai personai vai tās ģimenes locekļiem, sedz iestāde vienā no valstīm, kas ir kompetentas attiecībā uz šīs personas pensijām, un šo iestādi nosaka saskaņā ar SSC.22. panta [Tiesību uz pabalstiem natūrā neesība saskaņā ar dzīvesvietas valsts tie</w:t>
      </w:r>
      <w:r>
        <w:rPr>
          <w:rFonts w:asciiTheme="majorHAnsi" w:hAnsiTheme="majorHAnsi"/>
          <w:noProof/>
        </w:rPr>
        <w:t>sību aktiem] 2. punktu, ciktāl pensionāram un viņa ģimenes locekļiem būtu tiesības uz šādiem pabalstiem, ja šī persona dzīvotu minētajā valstī.</w:t>
      </w:r>
      <w:r>
        <w:rPr>
          <w:rFonts w:asciiTheme="majorHAnsi" w:hAnsiTheme="majorHAnsi"/>
          <w:noProof/>
          <w:color w:val="000000"/>
        </w:rPr>
        <w:t xml:space="preserve"> </w:t>
      </w:r>
    </w:p>
    <w:p w:rsidR="003E022D" w:rsidRDefault="007D19D6">
      <w:pPr>
        <w:pStyle w:val="Article"/>
        <w:rPr>
          <w:noProof/>
        </w:rPr>
      </w:pPr>
      <w:r>
        <w:rPr>
          <w:noProof/>
        </w:rPr>
        <w:t>SSC.24. pants. Ģimenes locekļu dzīvesvieta valstī, kurā nedzīvo pensionārs</w:t>
      </w:r>
    </w:p>
    <w:p w:rsidR="003E022D" w:rsidRDefault="007D19D6">
      <w:pPr>
        <w:rPr>
          <w:rFonts w:asciiTheme="majorHAnsi" w:eastAsia="Arial" w:hAnsiTheme="majorHAnsi" w:cs="Arial"/>
          <w:noProof/>
        </w:rPr>
      </w:pPr>
      <w:r>
        <w:rPr>
          <w:rFonts w:asciiTheme="majorHAnsi" w:hAnsiTheme="majorHAnsi"/>
          <w:noProof/>
          <w:color w:val="000000"/>
        </w:rPr>
        <w:t xml:space="preserve">Ja persona: </w:t>
      </w:r>
    </w:p>
    <w:p w:rsidR="003E022D" w:rsidRDefault="007D19D6">
      <w:pPr>
        <w:pStyle w:val="Subparagraphab"/>
        <w:numPr>
          <w:ilvl w:val="0"/>
          <w:numId w:val="1035"/>
        </w:numPr>
        <w:ind w:left="567" w:hanging="567"/>
        <w:rPr>
          <w:rFonts w:asciiTheme="majorHAnsi" w:hAnsiTheme="majorHAnsi"/>
          <w:noProof/>
        </w:rPr>
      </w:pPr>
      <w:r>
        <w:rPr>
          <w:rFonts w:asciiTheme="majorHAnsi" w:hAnsiTheme="majorHAnsi"/>
          <w:noProof/>
        </w:rPr>
        <w:t>saņem pensiju vai pensi</w:t>
      </w:r>
      <w:r>
        <w:rPr>
          <w:rFonts w:asciiTheme="majorHAnsi" w:hAnsiTheme="majorHAnsi"/>
          <w:noProof/>
        </w:rPr>
        <w:t>jas saskaņā ar vienas vai vairāku valstu tiesību aktiem; un</w:t>
      </w:r>
    </w:p>
    <w:p w:rsidR="003E022D" w:rsidRDefault="007D19D6">
      <w:pPr>
        <w:pStyle w:val="Subparagraphab"/>
        <w:numPr>
          <w:ilvl w:val="0"/>
          <w:numId w:val="1035"/>
        </w:numPr>
        <w:ind w:left="567" w:hanging="567"/>
        <w:rPr>
          <w:rFonts w:asciiTheme="majorHAnsi" w:eastAsia="Arial" w:hAnsiTheme="majorHAnsi" w:cs="Arial"/>
          <w:noProof/>
          <w:color w:val="000000"/>
        </w:rPr>
      </w:pPr>
      <w:r>
        <w:rPr>
          <w:rFonts w:asciiTheme="majorHAnsi" w:hAnsiTheme="majorHAnsi"/>
          <w:noProof/>
        </w:rPr>
        <w:t>dzīvo valstī, kas nav viņa ģimenes locekļu dzīvesvietas valsts,</w:t>
      </w:r>
    </w:p>
    <w:p w:rsidR="003E022D" w:rsidRDefault="007D19D6">
      <w:pPr>
        <w:spacing w:after="0"/>
        <w:rPr>
          <w:rFonts w:asciiTheme="majorHAnsi" w:eastAsia="Arial" w:hAnsiTheme="majorHAnsi" w:cs="Arial"/>
          <w:noProof/>
        </w:rPr>
      </w:pPr>
      <w:r>
        <w:rPr>
          <w:rFonts w:asciiTheme="majorHAnsi" w:hAnsiTheme="majorHAnsi"/>
          <w:noProof/>
        </w:rPr>
        <w:t>šīs personas ģimenes locekļiem ir tiesības saņemt pabalstus natūrā no savas dzīvesvietas iestādes saskaņā ar tiesību aktiem, ko tā p</w:t>
      </w:r>
      <w:r>
        <w:rPr>
          <w:rFonts w:asciiTheme="majorHAnsi" w:hAnsiTheme="majorHAnsi"/>
          <w:noProof/>
        </w:rPr>
        <w:t xml:space="preserve">iemēro, ciktāl pensionāram ir tiesības saņemt pabalstus natūrā saskaņā ar </w:t>
      </w:r>
      <w:r>
        <w:rPr>
          <w:rFonts w:asciiTheme="majorHAnsi" w:hAnsiTheme="majorHAnsi"/>
          <w:noProof/>
          <w:color w:val="000000"/>
        </w:rPr>
        <w:t>kādas valsts tiesību aktiem</w:t>
      </w:r>
      <w:r>
        <w:rPr>
          <w:rFonts w:asciiTheme="majorHAnsi" w:hAnsiTheme="majorHAnsi"/>
          <w:noProof/>
        </w:rPr>
        <w:t>.</w:t>
      </w:r>
      <w:r>
        <w:rPr>
          <w:rFonts w:asciiTheme="majorHAnsi" w:hAnsiTheme="majorHAnsi"/>
          <w:noProof/>
          <w:color w:val="000000"/>
        </w:rPr>
        <w:t xml:space="preserve"> Izmaksas sedz tā kompetentā iestāde, kura atbild par to pabalstu natūrā izmaksām, kurus pensionāram nodrošina viņa dzīvesvietas valstī.</w:t>
      </w:r>
    </w:p>
    <w:p w:rsidR="003E022D" w:rsidRDefault="007D19D6">
      <w:pPr>
        <w:pStyle w:val="Article"/>
        <w:rPr>
          <w:noProof/>
        </w:rPr>
      </w:pPr>
      <w:r>
        <w:rPr>
          <w:noProof/>
        </w:rPr>
        <w:t>SSC.25. pants. Pe</w:t>
      </w:r>
      <w:r>
        <w:rPr>
          <w:noProof/>
        </w:rPr>
        <w:t>nsionāra vai viņa ģimenes locekļu uzturēšanās valstī, kurā viņi nedzīvo – Uzturēšanās kompetentajā valstī – Atļauja saņemt piemērotu ārstēšanu ārpus dzīvesvietas valsts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SSC.17. pantu [Uzturēšanās ārpus kompetentās valsts] pēc analoģijas piemēro: </w:t>
      </w:r>
    </w:p>
    <w:p w:rsidR="003E022D" w:rsidRDefault="007D19D6">
      <w:pPr>
        <w:pStyle w:val="Subparagraphab"/>
        <w:numPr>
          <w:ilvl w:val="0"/>
          <w:numId w:val="1036"/>
        </w:numPr>
        <w:ind w:left="567" w:hanging="567"/>
        <w:rPr>
          <w:rFonts w:asciiTheme="majorHAnsi" w:hAnsiTheme="majorHAnsi"/>
          <w:noProof/>
        </w:rPr>
      </w:pPr>
      <w:r>
        <w:rPr>
          <w:rFonts w:asciiTheme="majorHAnsi" w:hAnsiTheme="majorHAnsi"/>
          <w:noProof/>
        </w:rPr>
        <w:t>person</w:t>
      </w:r>
      <w:r>
        <w:rPr>
          <w:rFonts w:asciiTheme="majorHAnsi" w:hAnsiTheme="majorHAnsi"/>
          <w:noProof/>
        </w:rPr>
        <w:t xml:space="preserve">ai, kas saņem pensiju vai pensijas saskaņā ar vienas vai vairāku valstu tiesību aktiem un kam ir tiesības uz pabalstiem natūrā saskaņā ar tās valsts tiesību aktiem, kura nodrošina personas pensiju(-as); </w:t>
      </w:r>
    </w:p>
    <w:p w:rsidR="003E022D" w:rsidRDefault="007D19D6">
      <w:pPr>
        <w:pStyle w:val="Subparagraphab"/>
        <w:numPr>
          <w:ilvl w:val="0"/>
          <w:numId w:val="1036"/>
        </w:numPr>
        <w:ind w:left="567" w:hanging="567"/>
        <w:rPr>
          <w:rFonts w:asciiTheme="majorHAnsi" w:hAnsiTheme="majorHAnsi"/>
          <w:noProof/>
        </w:rPr>
      </w:pPr>
      <w:r>
        <w:rPr>
          <w:rFonts w:asciiTheme="majorHAnsi" w:hAnsiTheme="majorHAnsi"/>
          <w:noProof/>
        </w:rPr>
        <w:t>šīs personas ģimenes locekļiem,</w:t>
      </w:r>
      <w:r>
        <w:rPr>
          <w:rFonts w:asciiTheme="majorHAnsi" w:hAnsiTheme="majorHAnsi"/>
          <w:noProof/>
          <w:color w:val="000000"/>
        </w:rPr>
        <w:t xml:space="preserve"> </w:t>
      </w:r>
    </w:p>
    <w:p w:rsidR="003E022D" w:rsidRDefault="007D19D6">
      <w:pPr>
        <w:rPr>
          <w:rFonts w:asciiTheme="majorHAnsi" w:eastAsia="Arial" w:hAnsiTheme="majorHAnsi" w:cs="Arial"/>
          <w:noProof/>
        </w:rPr>
      </w:pPr>
      <w:r>
        <w:rPr>
          <w:noProof/>
        </w:rPr>
        <w:tab/>
      </w:r>
      <w:r>
        <w:rPr>
          <w:rFonts w:asciiTheme="majorHAnsi" w:hAnsiTheme="majorHAnsi"/>
          <w:noProof/>
          <w:color w:val="000000"/>
        </w:rPr>
        <w:t>kuri uzturas valst</w:t>
      </w:r>
      <w:r>
        <w:rPr>
          <w:rFonts w:asciiTheme="majorHAnsi" w:hAnsiTheme="majorHAnsi"/>
          <w:noProof/>
          <w:color w:val="000000"/>
        </w:rPr>
        <w:t>ī, kas nav viņu dzīvesvietas valsts.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SSC.16. panta [Uzturēšanās kompetentajā valstī, ja dzīvesvieta ir citā valstī – īpaši noteikumi pārrobežu darba ņēmēju ģimenes locekļiem] 1. punktu pēc analoģijas piemēro 1. punktā raksturotām personām laikā, kad viņ</w:t>
      </w:r>
      <w:r>
        <w:rPr>
          <w:rFonts w:asciiTheme="majorHAnsi" w:hAnsiTheme="majorHAnsi"/>
          <w:noProof/>
        </w:rPr>
        <w:t xml:space="preserve">as uzturas valstī, kurā atrodas kompetentā iestāde, kas atbild par to pabalstu natūrā izmaksām, ko sniedz pensionāram viņa dzīvesvietas valstī, un ja minētā valsts tā ir izvēlējusies un ir norādīta SSC-3. pielikumā </w:t>
      </w:r>
      <w:r>
        <w:rPr>
          <w:rFonts w:asciiTheme="majorHAnsi" w:hAnsiTheme="majorHAnsi"/>
          <w:noProof/>
          <w:color w:val="000000"/>
        </w:rPr>
        <w:t>[Lielākas tiesības pernsionāriem, kas atg</w:t>
      </w:r>
      <w:r>
        <w:rPr>
          <w:rFonts w:asciiTheme="majorHAnsi" w:hAnsiTheme="majorHAnsi"/>
          <w:noProof/>
          <w:color w:val="000000"/>
        </w:rPr>
        <w:t>riežas kompetentajā valstī]</w:t>
      </w:r>
      <w:r>
        <w:rPr>
          <w:rFonts w:asciiTheme="majorHAnsi" w:hAnsiTheme="majorHAnsi"/>
          <w:noProof/>
        </w:rPr>
        <w:t>.</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SSC.18. pantu [Ceļojums ar nolūku saņemt pabalstus natūrā — atļauja saņemt piemērotu ārstēšanu ārpus dzīvesvietas valsts] pēc analoģijas piemēro pensionāram vai viņa ģimenes locekļiem, kas uzturas valstī, kurā viņi nedzīvo, </w:t>
      </w:r>
      <w:r>
        <w:rPr>
          <w:rFonts w:asciiTheme="majorHAnsi" w:hAnsiTheme="majorHAnsi"/>
          <w:noProof/>
          <w:color w:val="000000"/>
        </w:rPr>
        <w:t>ar nolūku tajā saņemt savam stāvoklim atbilstošu ārstēšanu.</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Ja 5. punktā nav noteikts citādi, 1.–3. punktā minēto pabalstu natūrā izmaksas sedz kompetentā iestāde, kura atbild par tādu pabalstu natūrā izmaksām, kādus pensionāram nodrošina viņa dzīvesvie</w:t>
      </w:r>
      <w:r>
        <w:rPr>
          <w:rFonts w:asciiTheme="majorHAnsi" w:hAnsiTheme="majorHAnsi"/>
          <w:noProof/>
          <w:color w:val="000000"/>
        </w:rPr>
        <w:t xml:space="preserve">tas valstī.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Šā panta 3. punktā minēto pabalstu natūrā izmaksas sedz pensionāra vai viņa ģimenes locekļu dzīvesvietas iestāde, ja šīs personas dzīvo valstī, kas ir izvēlējusies atmaksāšanu noteiktās summās. Šajos gadījumos 3. punkta mērķiem par kompeten</w:t>
      </w:r>
      <w:r>
        <w:rPr>
          <w:rFonts w:asciiTheme="majorHAnsi" w:hAnsiTheme="majorHAnsi"/>
          <w:noProof/>
          <w:color w:val="000000"/>
        </w:rPr>
        <w:t>to iestādi uzskata pensionāra vai viņa ģimenes locekļu dzīvesvietas iestādi.</w:t>
      </w:r>
    </w:p>
    <w:p w:rsidR="003E022D" w:rsidRDefault="007D19D6">
      <w:pPr>
        <w:pStyle w:val="Article"/>
        <w:rPr>
          <w:noProof/>
        </w:rPr>
      </w:pPr>
      <w:r>
        <w:rPr>
          <w:noProof/>
        </w:rPr>
        <w:t>SSC.26. pants.  Naudas pabalsti pensionāriem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Naudas pabalstus personai, kura saņem pensiju vai pensijas saskaņā ar vienas vai vairāku valstu tiesību aktiem, maksā tās valsts kompetentā iestāde, kurā atrodas kompetentā iestāde, kas atbild par to pabalstu natūrā izmaksām, kurus pensionāram nodrošina vi</w:t>
      </w:r>
      <w:r>
        <w:rPr>
          <w:rFonts w:asciiTheme="majorHAnsi" w:hAnsiTheme="majorHAnsi"/>
          <w:noProof/>
          <w:color w:val="000000"/>
        </w:rPr>
        <w:t xml:space="preserve">ņa dzīvesvietas valstī. </w:t>
      </w:r>
      <w:r>
        <w:rPr>
          <w:rFonts w:asciiTheme="majorHAnsi" w:hAnsiTheme="majorHAnsi"/>
          <w:noProof/>
        </w:rPr>
        <w:t xml:space="preserve">Pēc analoģijas piemēro </w:t>
      </w:r>
      <w:r>
        <w:rPr>
          <w:rFonts w:asciiTheme="majorHAnsi" w:hAnsiTheme="majorHAnsi"/>
          <w:noProof/>
          <w:color w:val="000000"/>
        </w:rPr>
        <w:t>SSC.19. pantu [Naudas pabalsti]</w:t>
      </w:r>
      <w:r>
        <w:rPr>
          <w:rFonts w:asciiTheme="majorHAnsi" w:hAnsiTheme="majorHAnsi"/>
          <w:noProof/>
        </w:rPr>
        <w:t>.</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Šā panta 1. punktu piemēro arī pensionāra ģimenes locekļiem. </w:t>
      </w:r>
    </w:p>
    <w:p w:rsidR="003E022D" w:rsidRDefault="007D19D6">
      <w:pPr>
        <w:pStyle w:val="Article"/>
        <w:rPr>
          <w:noProof/>
        </w:rPr>
      </w:pPr>
      <w:r>
        <w:rPr>
          <w:noProof/>
        </w:rPr>
        <w:t>SSC.27. pants.  Pensionāru iemaksas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Tās valsts iestāde, kas saskaņā ar tiesību aktiem, kurus tā piemēro, ir </w:t>
      </w:r>
      <w:r>
        <w:rPr>
          <w:rFonts w:asciiTheme="majorHAnsi" w:hAnsiTheme="majorHAnsi"/>
          <w:noProof/>
          <w:color w:val="000000"/>
        </w:rPr>
        <w:t xml:space="preserve">atbildīga par atskaitījumu izdarīšanu attiecībā uz iemaksām par slimības, maternitātes un līdzvērtīgiem paternitātes pabalstiem, var pieprasīt un atgūt šos atskaitījumus, ko aprēķina atbilstoši tiesību aktiem, ko tā piemēro, tikai tik, cik lielas pabalstu </w:t>
      </w:r>
      <w:r>
        <w:rPr>
          <w:rFonts w:asciiTheme="majorHAnsi" w:hAnsiTheme="majorHAnsi"/>
          <w:noProof/>
          <w:color w:val="000000"/>
        </w:rPr>
        <w:t>izmaksas saskaņā ar noteikumiem no SSC.21. panta [Tiesības uz pabalstiem natūrā saskaņā ar dzīvesvietas valsts tiesību aktiem] līdz SSC.24. pantam [Ģimenes locekļu dzīvesvieta valstī, kurā nedzīvo pensionārs] jāsedz minētās valsts iestādei.</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t xml:space="preserve">Ja </w:t>
      </w:r>
      <w:r>
        <w:rPr>
          <w:noProof/>
          <w:color w:val="000000"/>
        </w:rPr>
        <w:t>SSC.23. p</w:t>
      </w:r>
      <w:r>
        <w:rPr>
          <w:noProof/>
          <w:color w:val="000000"/>
        </w:rPr>
        <w:t>antā [Pensijas saskaņā ar vienas vai vairāku tādu valstu tiesību aktiem, kuras nav dzīvesvietas valstis, ja ir tiesības uz pabalstiem natūrā dzīvesvietas valstī]</w:t>
      </w:r>
      <w:r>
        <w:rPr>
          <w:noProof/>
        </w:rPr>
        <w:t xml:space="preserve"> minētajos gadījumos slimības, maternitātes vai līdzvērtīgu paternitātes pabalstu iegūšana ir a</w:t>
      </w:r>
      <w:r>
        <w:rPr>
          <w:noProof/>
        </w:rPr>
        <w:t>tkarīga no iemaksu vai līdzīgu maksājumu izdarīšanas saskaņā ar tās valsts tiesību aktiem, kurā dzīvo attiecīgais pensionārs, šīs iemaksas neizmaksā, pamatojoties uz šādu dzīvesvietu.</w:t>
      </w:r>
    </w:p>
    <w:p w:rsidR="003E022D" w:rsidRDefault="007D19D6">
      <w:pPr>
        <w:pStyle w:val="Section"/>
        <w:rPr>
          <w:noProof/>
        </w:rPr>
      </w:pPr>
      <w:r>
        <w:rPr>
          <w:noProof/>
        </w:rPr>
        <w:t>3. iedaļa.  Kopīgi noteikumi</w:t>
      </w:r>
    </w:p>
    <w:p w:rsidR="003E022D" w:rsidRDefault="007D19D6">
      <w:pPr>
        <w:pStyle w:val="Article"/>
        <w:rPr>
          <w:noProof/>
        </w:rPr>
      </w:pPr>
      <w:r>
        <w:rPr>
          <w:noProof/>
        </w:rPr>
        <w:t>SSC.28. pants.  Vispārīgi noteikumi</w:t>
      </w:r>
    </w:p>
    <w:p w:rsidR="003E022D" w:rsidRDefault="007D19D6">
      <w:pPr>
        <w:rPr>
          <w:rFonts w:asciiTheme="majorHAnsi" w:eastAsia="Arial" w:hAnsiTheme="majorHAnsi" w:cs="Arial"/>
          <w:noProof/>
          <w:color w:val="000000"/>
        </w:rPr>
      </w:pPr>
      <w:r>
        <w:rPr>
          <w:rFonts w:asciiTheme="majorHAnsi" w:hAnsiTheme="majorHAnsi"/>
          <w:noProof/>
          <w:color w:val="000000"/>
        </w:rPr>
        <w:t>Protoko</w:t>
      </w:r>
      <w:r>
        <w:rPr>
          <w:rFonts w:asciiTheme="majorHAnsi" w:hAnsiTheme="majorHAnsi"/>
          <w:noProof/>
          <w:color w:val="000000"/>
        </w:rPr>
        <w:t>la SSC.21. [Tiesības uz pabalstiem natūrā saskaņā ar dzīvesvietas valsts tiesību aktiem] – SSC.27. [Pensionāru iemaksas] pantu nepiemēro pensionāram un viņa ģimenes locekļiem, kuriem saskaņā ar valsts tiesību aktiem ir tiesības uz pabalstiem, kas izriet no</w:t>
      </w:r>
      <w:r>
        <w:rPr>
          <w:rFonts w:asciiTheme="majorHAnsi" w:hAnsiTheme="majorHAnsi"/>
          <w:noProof/>
          <w:color w:val="000000"/>
        </w:rPr>
        <w:t xml:space="preserve"> veiktās darbības nodarbinātās vai pašnodarbinātas personas statusā. </w:t>
      </w:r>
      <w:r>
        <w:rPr>
          <w:rFonts w:asciiTheme="majorHAnsi" w:hAnsiTheme="majorHAnsi"/>
          <w:noProof/>
        </w:rPr>
        <w:t>Šādā gadījumā attiecīgā persona šīs nodaļas mērķiem ir pakļauta SSC.15. [Dzīvesvieta valstī, kura nav kompetentā valsts] – SSC.19. [Naudas pabalsti ] pantam.</w:t>
      </w:r>
      <w:r>
        <w:rPr>
          <w:rFonts w:asciiTheme="majorHAnsi" w:hAnsiTheme="majorHAnsi"/>
          <w:noProof/>
          <w:color w:val="000000"/>
        </w:rPr>
        <w:t xml:space="preserve"> </w:t>
      </w:r>
    </w:p>
    <w:p w:rsidR="003E022D" w:rsidRDefault="007D19D6">
      <w:pPr>
        <w:pStyle w:val="Article"/>
        <w:rPr>
          <w:noProof/>
        </w:rPr>
      </w:pPr>
      <w:r>
        <w:rPr>
          <w:noProof/>
        </w:rPr>
        <w:t>SSC.29. pants. Tiesību uz pa</w:t>
      </w:r>
      <w:r>
        <w:rPr>
          <w:noProof/>
        </w:rPr>
        <w:t>balstiem natūrā prioritātes noteikšana – Īpašs noteikums attiecībā uz ģimenes locekļu tiesībām uz pabalstiem dzīvesvietas valstī</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Ja vien 2. punktā nav noteikts citādi, ja ģimenes loceklim ir neatkarīgas tiesības uz pabalstu natūrā, kuras nosaka valsts t</w:t>
      </w:r>
      <w:r>
        <w:rPr>
          <w:rFonts w:asciiTheme="majorHAnsi" w:hAnsiTheme="majorHAnsi"/>
          <w:noProof/>
          <w:color w:val="000000"/>
        </w:rPr>
        <w:t>iesību akti vai šī nodaļa, šādām tiesībām ir priekšroka attiecībā pret atvasinātām ģimenes locekļu tiesībām uz pabalstiem.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Ja vien 3. punktā nav noteikts citādi, atvasinātām tiesībām uz pabalstiem natūrā ir priekšroka attiecībā pret neatkarīgām tiesībām</w:t>
      </w:r>
      <w:r>
        <w:rPr>
          <w:rFonts w:asciiTheme="majorHAnsi" w:hAnsiTheme="majorHAnsi"/>
          <w:noProof/>
          <w:color w:val="000000"/>
        </w:rPr>
        <w:t>, ja attiecīgās neatkarīgās tiesības dzīvesvietas valstī pastāv, tieši un vienīgi pamatojoties uz attiecīgās personas dzīvesvietu šajā valstī.</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Neatkarīgi no 1. un 2. punkta apdrošinātās personas ģimenes locekļiem piešķir pabalstus natūrā un to izmaksas </w:t>
      </w:r>
      <w:r>
        <w:rPr>
          <w:rFonts w:asciiTheme="majorHAnsi" w:hAnsiTheme="majorHAnsi"/>
          <w:noProof/>
          <w:color w:val="000000"/>
        </w:rPr>
        <w:t>sedz viņu dzīvesvietas valsts kompetentā iestāde, ja:</w:t>
      </w:r>
    </w:p>
    <w:p w:rsidR="003E022D" w:rsidRDefault="007D19D6">
      <w:pPr>
        <w:pStyle w:val="Subparagraphab"/>
        <w:numPr>
          <w:ilvl w:val="0"/>
          <w:numId w:val="1037"/>
        </w:numPr>
        <w:ind w:left="567" w:hanging="567"/>
        <w:rPr>
          <w:rFonts w:asciiTheme="majorHAnsi" w:hAnsiTheme="majorHAnsi"/>
          <w:noProof/>
        </w:rPr>
      </w:pPr>
      <w:r>
        <w:rPr>
          <w:rFonts w:asciiTheme="majorHAnsi" w:hAnsiTheme="majorHAnsi"/>
          <w:noProof/>
        </w:rPr>
        <w:t>šie ģimenes locekļi dzīvo valstī, saskaņā ar kuras tiesību aktiem tiesības uz pabalstiem natūrā nav atkarīgas no nosacījumiem par apdrošināšanu vai darbību nodarbinātas vai pašnodarbinātas personas stat</w:t>
      </w:r>
      <w:r>
        <w:rPr>
          <w:rFonts w:asciiTheme="majorHAnsi" w:hAnsiTheme="majorHAnsi"/>
          <w:noProof/>
        </w:rPr>
        <w:t>usā; un</w:t>
      </w:r>
    </w:p>
    <w:p w:rsidR="003E022D" w:rsidRDefault="007D19D6">
      <w:pPr>
        <w:pStyle w:val="Subparagraphab"/>
        <w:numPr>
          <w:ilvl w:val="0"/>
          <w:numId w:val="1037"/>
        </w:numPr>
        <w:ind w:left="567" w:hanging="567"/>
        <w:rPr>
          <w:rFonts w:asciiTheme="majorHAnsi" w:hAnsiTheme="majorHAnsi"/>
          <w:noProof/>
          <w:u w:val="single"/>
        </w:rPr>
      </w:pPr>
      <w:r>
        <w:rPr>
          <w:rFonts w:asciiTheme="majorHAnsi" w:hAnsiTheme="majorHAnsi"/>
          <w:noProof/>
        </w:rPr>
        <w:t>apdrošinātās personas laulātais vai persona, kas aprūpē bērnus, šajā valstī veic darbību nodarbinātas vai pašnodarbinātas personas statusā vai saņem pensiju no šīs valsts, pamatojoties uz darbību nodarbinātas vai pašnodarbinātas personas statusā.</w:t>
      </w:r>
    </w:p>
    <w:p w:rsidR="003E022D" w:rsidRDefault="007D19D6">
      <w:pPr>
        <w:pStyle w:val="Article"/>
        <w:rPr>
          <w:noProof/>
        </w:rPr>
      </w:pPr>
      <w:r>
        <w:rPr>
          <w:noProof/>
        </w:rPr>
        <w:t>S</w:t>
      </w:r>
      <w:r>
        <w:rPr>
          <w:noProof/>
        </w:rPr>
        <w:t>SC.30. pants.  Iestāžu savstarpējie norēķini</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Pabalstus natūrā, ko valsts iestāde nodrošinājusi citas valsts iestādes uzdevumā saskaņā ar šo nodaļu, atlīdzina pilnā mērā.</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Šā panta 1. punktā minētās atlīdzināšanas summas nosaka un atmaksā saskaņā ar kā</w:t>
      </w:r>
      <w:r>
        <w:rPr>
          <w:rFonts w:asciiTheme="majorHAnsi" w:hAnsiTheme="majorHAnsi"/>
          <w:noProof/>
          <w:color w:val="000000"/>
        </w:rPr>
        <w:t xml:space="preserve">rtību, kura noteikta SSC-7. pielikumā [Īstenošanas daļa], iesniedzot faktisko izdevumu pierādījumu vai pamatojoties uz noteiktām summām attiecībā uz valstīm, kuru juridiskā vai administratīvā struktūra ir tāda, ka atlīdzināšana uz faktisko izdevumu pamata </w:t>
      </w:r>
      <w:r>
        <w:rPr>
          <w:rFonts w:asciiTheme="majorHAnsi" w:hAnsiTheme="majorHAnsi"/>
          <w:noProof/>
          <w:color w:val="000000"/>
        </w:rPr>
        <w:t>nav lietderīga.</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Valstis un to kompetentās iestādes var noteikt citas atlīdzināšanas metodes vai atteikties no jebkādiem kompensācijas norēķiniem starp iestādēm, kas ir to jurisdikcijā.</w:t>
      </w:r>
    </w:p>
    <w:p w:rsidR="003E022D" w:rsidRDefault="007D19D6">
      <w:pPr>
        <w:pStyle w:val="Chapter"/>
        <w:rPr>
          <w:noProof/>
        </w:rPr>
      </w:pPr>
      <w:r>
        <w:rPr>
          <w:noProof/>
        </w:rPr>
        <w:t>2. NODAĻA. PABALSTI ATTIECĪBĀ UZ NELAIMES GADĪJUMIEM DARBĀ UN ARODSL</w:t>
      </w:r>
      <w:r>
        <w:rPr>
          <w:noProof/>
        </w:rPr>
        <w:t>IMĪBĀM</w:t>
      </w:r>
    </w:p>
    <w:p w:rsidR="003E022D" w:rsidRDefault="007D19D6">
      <w:pPr>
        <w:pStyle w:val="Article"/>
        <w:rPr>
          <w:noProof/>
        </w:rPr>
      </w:pPr>
      <w:r>
        <w:rPr>
          <w:noProof/>
        </w:rPr>
        <w:t>SSC.31. pants. Tiesības uz pabalstiem natūrā un naudas pabalstiem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 xml:space="preserve">Neskarot labvēlīgākus noteikumus šā panta 2.   un 3. punktā, </w:t>
      </w:r>
      <w:r>
        <w:rPr>
          <w:rFonts w:asciiTheme="majorHAnsi" w:hAnsiTheme="majorHAnsi"/>
          <w:noProof/>
          <w:color w:val="000000"/>
        </w:rPr>
        <w:t>SSC.15. pantu [</w:t>
      </w:r>
      <w:r>
        <w:rPr>
          <w:rFonts w:asciiTheme="majorHAnsi" w:hAnsiTheme="majorHAnsi"/>
          <w:noProof/>
        </w:rPr>
        <w:t>Dzīvesvieta valstī, kura nav kompetentā valsts], SSC.16. panta [Uzturēšanās kompetentajā valstī, ja dzīv</w:t>
      </w:r>
      <w:r>
        <w:rPr>
          <w:rFonts w:asciiTheme="majorHAnsi" w:hAnsiTheme="majorHAnsi"/>
          <w:noProof/>
        </w:rPr>
        <w:t>esvieta ir citā valstī – īpaši noteikumi pārrobežu darba ņēmēju ģimenes locekļiem] 1. punktu,</w:t>
      </w:r>
      <w:r>
        <w:rPr>
          <w:rFonts w:asciiTheme="majorHAnsi" w:hAnsiTheme="majorHAnsi"/>
          <w:noProof/>
          <w:color w:val="000000"/>
        </w:rPr>
        <w:t xml:space="preserve"> SSC.17. panta [</w:t>
      </w:r>
      <w:r>
        <w:rPr>
          <w:rFonts w:asciiTheme="majorHAnsi" w:hAnsiTheme="majorHAnsi"/>
          <w:noProof/>
        </w:rPr>
        <w:t xml:space="preserve">Uzturēšanās ārpus kompetentās valsts]1. punktu </w:t>
      </w:r>
      <w:r>
        <w:rPr>
          <w:rFonts w:asciiTheme="majorHAnsi" w:hAnsiTheme="majorHAnsi"/>
          <w:noProof/>
          <w:color w:val="000000"/>
        </w:rPr>
        <w:t xml:space="preserve">un 18. panta [Ceļojums ar nolūku saņemt pabalstus natūrā — atļauja saņemt piemērotu ārstēšanu ārpus </w:t>
      </w:r>
      <w:r>
        <w:rPr>
          <w:rFonts w:asciiTheme="majorHAnsi" w:hAnsiTheme="majorHAnsi"/>
          <w:noProof/>
          <w:color w:val="000000"/>
        </w:rPr>
        <w:t>dzīvesvietas valsts] 1. punktu piemēro arī pabalstiem, kas saistīti ar nelaimes gadījumiem darbā vai arodslimībām.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Personai, kas cietusi nelaimes gadījumā darbā vai ieguvusi arodslimību, un kas dzīvo vai uzturas valstī, kura nav kompetentā valsts, ir </w:t>
      </w:r>
      <w:r>
        <w:rPr>
          <w:rFonts w:asciiTheme="majorHAnsi" w:hAnsiTheme="majorHAnsi"/>
          <w:noProof/>
          <w:color w:val="000000"/>
        </w:rPr>
        <w:t>tiesības uz nelaimes gadījumu darbā un arodslimību seguma shēmas īpašiem pabalstiem natūrā, ko kompetentās iestādes vārdā nodrošina dzīvesvietas vai uzturēšanās vietas iestāde saskaņā ar tiesību aktiem, ko tā piemēro tā, it kā šī persona būtu apdrošināta s</w:t>
      </w:r>
      <w:r>
        <w:rPr>
          <w:rFonts w:asciiTheme="majorHAnsi" w:hAnsiTheme="majorHAnsi"/>
          <w:noProof/>
          <w:color w:val="000000"/>
        </w:rPr>
        <w:t>askaņā ar minētajiem tiesību aktiem.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Kompetentā iestāde nedrīkst atteikt SSC.18. panta [Ceļojums ar nolūku saņemt pabalstus natūrā — atļauja saņemt piemērotu ārstēšanu ārpus dzīvesvietas valsts] 1. punktā paredzēto atļauju personai, kas cietusi nelaimes</w:t>
      </w:r>
      <w:r>
        <w:rPr>
          <w:rFonts w:asciiTheme="majorHAnsi" w:hAnsiTheme="majorHAnsi"/>
          <w:noProof/>
          <w:color w:val="000000"/>
        </w:rPr>
        <w:t xml:space="preserve"> gadījumā darbā vai ieguvusi arodslimību un kam pienākas pabalsti no attiecīgās iestādes, ja šīs personas dzīvesvietas valsts teritorijā medicīniski pamatotā termiņā, ņemot vērā personas tā brīža veselības stāvokli un iespējamo slimības attīstību, nav iesp</w:t>
      </w:r>
      <w:r>
        <w:rPr>
          <w:rFonts w:asciiTheme="majorHAnsi" w:hAnsiTheme="majorHAnsi"/>
          <w:noProof/>
          <w:color w:val="000000"/>
        </w:rPr>
        <w:t xml:space="preserve">ējams sniegt pienācīgu ārstēšanu.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SSC.19. pantu [Naudas pabalsti] piemēro arī pabalstiem, uz ko attiecas šī nodaļa.</w:t>
      </w:r>
    </w:p>
    <w:p w:rsidR="003E022D" w:rsidRDefault="007D19D6">
      <w:pPr>
        <w:pStyle w:val="Article"/>
        <w:rPr>
          <w:noProof/>
        </w:rPr>
      </w:pPr>
      <w:r>
        <w:rPr>
          <w:noProof/>
        </w:rPr>
        <w:t>SSC.32. pants.  Pārvešanas izmaksas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Tādas valsts kompetentā iestāde, kuras tiesību aktos ir paredzēts uzņemties tādas personas pārveš</w:t>
      </w:r>
      <w:r>
        <w:rPr>
          <w:rFonts w:asciiTheme="majorHAnsi" w:hAnsiTheme="majorHAnsi"/>
          <w:noProof/>
          <w:color w:val="000000"/>
        </w:rPr>
        <w:t xml:space="preserve">anas izmaksas, kas cietusi nelaimes gadījumā darbā vai slimo ar arodslimību, vai nu uz viņas pastāvīgo dzīvesvietu, vai slimnīcu, uzņemas šādas izmaksas līdz atbilstīgajai vietai citā valstī, kur šī persona dzīvo, ar nosacījumu, ka šī iestāde iepriekš dod </w:t>
      </w:r>
      <w:r>
        <w:rPr>
          <w:rFonts w:asciiTheme="majorHAnsi" w:hAnsiTheme="majorHAnsi"/>
          <w:noProof/>
          <w:color w:val="000000"/>
        </w:rPr>
        <w:t>atļauju šādai pārvešanai, pienācīgi ņemot vērā iemeslus, kas to pamato. Šāda atļauja nav vajadzīga pārrobežu darba ņēmēju gadījumā.</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Tādas valsts kompetentā iestāde, kuras tiesību aktos ir paredzēts uzņemties izmaksas par nelaimes gadījumā darbā bojā gāj</w:t>
      </w:r>
      <w:r>
        <w:rPr>
          <w:rFonts w:asciiTheme="majorHAnsi" w:hAnsiTheme="majorHAnsi"/>
          <w:noProof/>
          <w:color w:val="000000"/>
        </w:rPr>
        <w:t>ušas personas mirstīgo atlieku pārvešanu līdz apbedīšanas vietai, saskaņā ar tiesību aktiem, ko tā piemēro, uzņemas šādas izmaksas līdz atbilstīgajai vietai citā valstī, kurā šī persona dzīvojusi nelaimes gadījuma brīdī.</w:t>
      </w:r>
    </w:p>
    <w:p w:rsidR="003E022D" w:rsidRDefault="007D19D6">
      <w:pPr>
        <w:pStyle w:val="Article"/>
        <w:rPr>
          <w:noProof/>
        </w:rPr>
      </w:pPr>
      <w:r>
        <w:rPr>
          <w:noProof/>
        </w:rPr>
        <w:t>SSC.33. pants. Pabalsti par arodsli</w:t>
      </w:r>
      <w:r>
        <w:rPr>
          <w:noProof/>
        </w:rPr>
        <w:t>mību, ja attiecīgā persona, kas ar to slima, bijusi pakļauta tādam pašam riskam vairākās valstīs</w:t>
      </w:r>
    </w:p>
    <w:p w:rsidR="003E022D" w:rsidRDefault="007D19D6">
      <w:pPr>
        <w:rPr>
          <w:rFonts w:asciiTheme="majorHAnsi" w:eastAsia="Arial" w:hAnsiTheme="majorHAnsi" w:cs="Arial"/>
          <w:noProof/>
        </w:rPr>
      </w:pPr>
      <w:r>
        <w:rPr>
          <w:rFonts w:asciiTheme="majorHAnsi" w:hAnsiTheme="majorHAnsi"/>
          <w:noProof/>
          <w:color w:val="000000"/>
        </w:rPr>
        <w:t>Ja persona, kas saslimusi ar arodslimību, saskaņā ar divu vai vairāku valstu tiesību aktiem ir veikusi darbību, kas sava rakstura dēļ var būt izraisījusi minēt</w:t>
      </w:r>
      <w:r>
        <w:rPr>
          <w:rFonts w:asciiTheme="majorHAnsi" w:hAnsiTheme="majorHAnsi"/>
          <w:noProof/>
          <w:color w:val="000000"/>
        </w:rPr>
        <w:t>o slimību, tad pabalstus, ko šīs personas apgādību zaudējušās personas var pieprasīt, nodrošina vienīgi saskaņā ar tiesību aktiem pēdējā no tām valstīm, kuru nosacījumi ir izpildīti.</w:t>
      </w:r>
    </w:p>
    <w:p w:rsidR="003E022D" w:rsidRDefault="007D19D6">
      <w:pPr>
        <w:pStyle w:val="Article"/>
        <w:rPr>
          <w:noProof/>
        </w:rPr>
      </w:pPr>
      <w:r>
        <w:rPr>
          <w:noProof/>
        </w:rPr>
        <w:t>SSC.34. pants.  Arodslimības saasināšanās</w:t>
      </w:r>
    </w:p>
    <w:p w:rsidR="003E022D" w:rsidRDefault="007D19D6">
      <w:pPr>
        <w:pBdr>
          <w:top w:val="nil"/>
          <w:left w:val="nil"/>
          <w:bottom w:val="nil"/>
          <w:right w:val="nil"/>
          <w:between w:val="nil"/>
        </w:pBdr>
        <w:spacing w:before="249"/>
        <w:ind w:right="-4" w:firstLine="9"/>
        <w:rPr>
          <w:rFonts w:asciiTheme="majorHAnsi" w:eastAsia="Arial" w:hAnsiTheme="majorHAnsi" w:cs="Arial"/>
          <w:noProof/>
          <w:color w:val="000000"/>
        </w:rPr>
      </w:pPr>
      <w:r>
        <w:rPr>
          <w:rFonts w:asciiTheme="majorHAnsi" w:hAnsiTheme="majorHAnsi"/>
          <w:noProof/>
          <w:color w:val="000000"/>
        </w:rPr>
        <w:t>Gadījumā, kad saasinās arodslim</w:t>
      </w:r>
      <w:r>
        <w:rPr>
          <w:rFonts w:asciiTheme="majorHAnsi" w:hAnsiTheme="majorHAnsi"/>
          <w:noProof/>
          <w:color w:val="000000"/>
        </w:rPr>
        <w:t xml:space="preserve">ība, par kuru persona, kas ar to slimo, ir saņēmusi vai saņem pabalstus saskaņā ar kādas valsts tiesību aktiem, piemērojami šādi noteikumi: </w:t>
      </w:r>
    </w:p>
    <w:p w:rsidR="003E022D" w:rsidRDefault="007D19D6">
      <w:pPr>
        <w:pStyle w:val="Subparagraphab"/>
        <w:numPr>
          <w:ilvl w:val="0"/>
          <w:numId w:val="1038"/>
        </w:numPr>
        <w:ind w:left="567" w:hanging="567"/>
        <w:rPr>
          <w:rFonts w:asciiTheme="majorHAnsi" w:hAnsiTheme="majorHAnsi"/>
          <w:noProof/>
        </w:rPr>
      </w:pPr>
      <w:r>
        <w:rPr>
          <w:rFonts w:asciiTheme="majorHAnsi" w:hAnsiTheme="majorHAnsi"/>
          <w:noProof/>
        </w:rPr>
        <w:t>ja attiecīgā persona, saņemdama pabalstus, saskaņā ar citas valsts tiesību aktiem nav veikusi tādu darbību nodarbin</w:t>
      </w:r>
      <w:r>
        <w:rPr>
          <w:rFonts w:asciiTheme="majorHAnsi" w:hAnsiTheme="majorHAnsi"/>
          <w:noProof/>
        </w:rPr>
        <w:t>ātas vai pašnodarbinātas personas statusā, kura varētu būt izraisījusi vai saasinājusi attiecīgo slimību, pirmās valsts kompetentā iestāde sedz pabalstu izmaksas saskaņā ar to tiesību aktu noteikumiem, ko tā piemēro, ņemot vērā slimības saasinājumu;</w:t>
      </w:r>
    </w:p>
    <w:p w:rsidR="003E022D" w:rsidRDefault="007D19D6">
      <w:pPr>
        <w:pStyle w:val="Subparagraphab"/>
        <w:numPr>
          <w:ilvl w:val="0"/>
          <w:numId w:val="1038"/>
        </w:numPr>
        <w:ind w:left="567" w:hanging="567"/>
        <w:rPr>
          <w:rFonts w:asciiTheme="majorHAnsi" w:hAnsiTheme="majorHAnsi"/>
          <w:noProof/>
        </w:rPr>
      </w:pPr>
      <w:r>
        <w:rPr>
          <w:rFonts w:asciiTheme="majorHAnsi" w:hAnsiTheme="majorHAnsi"/>
          <w:noProof/>
        </w:rPr>
        <w:t>ja att</w:t>
      </w:r>
      <w:r>
        <w:rPr>
          <w:rFonts w:asciiTheme="majorHAnsi" w:hAnsiTheme="majorHAnsi"/>
          <w:noProof/>
        </w:rPr>
        <w:t>iecīgā persona, saņemdama pabalstus, ir veikusi šādu darbību saskaņā ar citas valsts tiesību aktiem, pirmās valsts kompetentā iestāde sedz pabalstu izmaksas saskaņā ar tiem tiesību aktiem, ko tā piemēro, neņemot vērā slimības saasinājumu. Otrās valsts komp</w:t>
      </w:r>
      <w:r>
        <w:rPr>
          <w:rFonts w:asciiTheme="majorHAnsi" w:hAnsiTheme="majorHAnsi"/>
          <w:noProof/>
        </w:rPr>
        <w:t>etentā iestāde piešķir attiecīgajai personai pabalstu, kura summa ir vienāda ar starpību starp pabalstu summu, kas pienākas pēc slimības saasināšanās, un to summu, kas pienāktos pirms slimības saasināšanās saskaņā ar tiesību aktiem, ko tā piemēro, ja attie</w:t>
      </w:r>
      <w:r>
        <w:rPr>
          <w:rFonts w:asciiTheme="majorHAnsi" w:hAnsiTheme="majorHAnsi"/>
          <w:noProof/>
        </w:rPr>
        <w:t>cīgā slimība būtu iegūta saskaņā ar šīs valsts tiesību aktiem;</w:t>
      </w:r>
    </w:p>
    <w:p w:rsidR="003E022D" w:rsidRDefault="007D19D6">
      <w:pPr>
        <w:pStyle w:val="Subparagraphab"/>
        <w:numPr>
          <w:ilvl w:val="0"/>
          <w:numId w:val="1038"/>
        </w:numPr>
        <w:ind w:left="567" w:hanging="567"/>
        <w:rPr>
          <w:rFonts w:asciiTheme="majorHAnsi" w:eastAsia="Arial" w:hAnsiTheme="majorHAnsi" w:cs="Arial"/>
          <w:noProof/>
          <w:color w:val="000000"/>
        </w:rPr>
      </w:pPr>
      <w:r>
        <w:rPr>
          <w:rFonts w:asciiTheme="majorHAnsi" w:hAnsiTheme="majorHAnsi"/>
          <w:noProof/>
        </w:rPr>
        <w:t xml:space="preserve">valsts tiesību aktos paredzētos noteikumus par samazināšanu, pārtraukšanu vai atcelšanu neizmanto pret personām, kas saņem pabalstus, kurus nodrošina divu valstu iestādes atbilstīgi </w:t>
      </w:r>
      <w:r>
        <w:rPr>
          <w:rFonts w:asciiTheme="majorHAnsi" w:hAnsiTheme="majorHAnsi"/>
          <w:noProof/>
          <w:color w:val="000000"/>
        </w:rPr>
        <w:t>b) punktam</w:t>
      </w:r>
      <w:r>
        <w:rPr>
          <w:rFonts w:asciiTheme="majorHAnsi" w:hAnsiTheme="majorHAnsi"/>
          <w:noProof/>
        </w:rPr>
        <w:t>.</w:t>
      </w:r>
    </w:p>
    <w:p w:rsidR="003E022D" w:rsidRDefault="007D19D6">
      <w:pPr>
        <w:pStyle w:val="Article"/>
        <w:rPr>
          <w:noProof/>
        </w:rPr>
      </w:pPr>
      <w:r>
        <w:rPr>
          <w:noProof/>
        </w:rPr>
        <w:t>SSC.35. pants. Noteikumi par noteiktu tiesību aktu īpatnību ņemšanu vērā</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Ja valstī, kurā dzīvo vai uzturas attiecīgā persona, nav apdrošināšanas pret nelaimes gadījumiem darbā vai arodslimībām vai ja šāda apdrošināšana pastāv, bet nav iestādes, kas būt</w:t>
      </w:r>
      <w:r>
        <w:rPr>
          <w:rFonts w:asciiTheme="majorHAnsi" w:hAnsiTheme="majorHAnsi"/>
          <w:noProof/>
          <w:color w:val="000000"/>
        </w:rPr>
        <w:t>u atbildīga par pabalstu nodrošināšanu natūrā, šos pabalstus nodrošina tā dzīvesvietas vai uzturēšanās vietas iestāde, kas atbild par pabalstu natūrā nodrošināšanu slimības gadījumā.</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Ja kompetentajā valstī nav apdrošināšanas pret nelaimes gadījumiem dar</w:t>
      </w:r>
      <w:r>
        <w:rPr>
          <w:rFonts w:asciiTheme="majorHAnsi" w:hAnsiTheme="majorHAnsi"/>
          <w:noProof/>
          <w:color w:val="000000"/>
        </w:rPr>
        <w:t>bā vai arodslimībām, šīs nodaļas noteikumus par pabalstiem natūrā tomēr piemēro personai, kurai ir tiesības uz šādiem pabalstiem slimības, maternitātes vai līdzvērtīgas paternitātes gadījumā saskaņā ar šīs valsts tiesību aktiem, ja attiecīgā persona cieš n</w:t>
      </w:r>
      <w:r>
        <w:rPr>
          <w:rFonts w:asciiTheme="majorHAnsi" w:hAnsiTheme="majorHAnsi"/>
          <w:noProof/>
          <w:color w:val="000000"/>
        </w:rPr>
        <w:t>elaimes gadījumā darbā vai iegūst arodslimību, dzīvojot vai uzturoties citā valstī. Izmaksas sedz iestāde, kuras kompetencē ir pabalsti natūrā saskaņā ar kompetentās valsts tiesību aktiem.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SSC.6. pantu</w:t>
      </w:r>
      <w:r>
        <w:rPr>
          <w:rFonts w:asciiTheme="majorHAnsi" w:hAnsiTheme="majorHAnsi"/>
          <w:noProof/>
        </w:rPr>
        <w:t xml:space="preserve"> [Vienlīdzīga attieksme pret pabalstiem, ienākumiem, faktiem vai notikumiem] piemēro valsts kompetentajai iestādei attiecībā uz to nelaimes gadījumu darbā un arodslimību vienlīdzību, kas ir radušies vai ir vēlāk apstiprināti saskaņā ar citas valsts tiesību</w:t>
      </w:r>
      <w:r>
        <w:rPr>
          <w:rFonts w:asciiTheme="majorHAnsi" w:hAnsiTheme="majorHAnsi"/>
          <w:noProof/>
        </w:rPr>
        <w:t xml:space="preserve"> aktiem, izvērtējot darba nespējas pakāpi, tiesības uz pabalstiem vai to apjomu, ar šādiem nosacījumiem:</w:t>
      </w:r>
      <w:r>
        <w:rPr>
          <w:rFonts w:asciiTheme="majorHAnsi" w:hAnsiTheme="majorHAnsi"/>
          <w:noProof/>
          <w:color w:val="000000"/>
        </w:rPr>
        <w:t xml:space="preserve"> </w:t>
      </w:r>
    </w:p>
    <w:p w:rsidR="003E022D" w:rsidRDefault="007D19D6">
      <w:pPr>
        <w:pStyle w:val="Subparagraphab"/>
        <w:numPr>
          <w:ilvl w:val="0"/>
          <w:numId w:val="1039"/>
        </w:numPr>
        <w:ind w:left="567" w:hanging="567"/>
        <w:rPr>
          <w:rFonts w:asciiTheme="majorHAnsi" w:hAnsiTheme="majorHAnsi"/>
          <w:noProof/>
        </w:rPr>
      </w:pPr>
      <w:r>
        <w:rPr>
          <w:rFonts w:asciiTheme="majorHAnsi" w:hAnsiTheme="majorHAnsi"/>
          <w:noProof/>
        </w:rPr>
        <w:t xml:space="preserve">nekāda kompensācija nepienākas saistībā ar nelaimes gadījumu darbā vai arodslimību, kas radusies vai apstiprināta agrāk saskaņā ar tiesību aktiem, ko </w:t>
      </w:r>
      <w:r>
        <w:rPr>
          <w:rFonts w:asciiTheme="majorHAnsi" w:hAnsiTheme="majorHAnsi"/>
          <w:noProof/>
        </w:rPr>
        <w:t>tā piemēro; un</w:t>
      </w:r>
    </w:p>
    <w:p w:rsidR="003E022D" w:rsidRDefault="007D19D6">
      <w:pPr>
        <w:pStyle w:val="Subparagraphab"/>
        <w:numPr>
          <w:ilvl w:val="0"/>
          <w:numId w:val="1039"/>
        </w:numPr>
        <w:ind w:left="567" w:hanging="567"/>
        <w:rPr>
          <w:rFonts w:asciiTheme="majorHAnsi" w:eastAsia="Arial" w:hAnsiTheme="majorHAnsi" w:cs="Arial"/>
          <w:noProof/>
          <w:color w:val="000000"/>
        </w:rPr>
      </w:pPr>
      <w:r>
        <w:rPr>
          <w:rFonts w:asciiTheme="majorHAnsi" w:hAnsiTheme="majorHAnsi"/>
          <w:noProof/>
        </w:rPr>
        <w:t>nekāda kompensācija nepienākas saistībā ar nelaimes gadījumu darbā vai arodslimību, kas radusies vai apstiprināta vēlāk, saskaņā ar citas valsts tiesību aktiem, kuru pakļautībā ir noticis vai apstiprināts nelaimes gadījums darbā vai arodslim</w:t>
      </w:r>
      <w:r>
        <w:rPr>
          <w:rFonts w:asciiTheme="majorHAnsi" w:hAnsiTheme="majorHAnsi"/>
          <w:noProof/>
        </w:rPr>
        <w:t>ība.</w:t>
      </w:r>
    </w:p>
    <w:p w:rsidR="003E022D" w:rsidRDefault="007D19D6">
      <w:pPr>
        <w:pStyle w:val="Article"/>
        <w:rPr>
          <w:noProof/>
        </w:rPr>
      </w:pPr>
      <w:r>
        <w:rPr>
          <w:noProof/>
        </w:rPr>
        <w:t>SSC.36. pants. Iestāžu savstarpējie norēķini</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SSC.30. pantu [Iestāžu savstarpējie norēķini] piemēro arī pabalstiem, uz kuriem attiecas šī nodaļa, un kompensācijas norēķinus veic, pamatojoties uz faktiskajām izmaksām.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Valstis vai to kompetentās ie</w:t>
      </w:r>
      <w:r>
        <w:rPr>
          <w:rFonts w:asciiTheme="majorHAnsi" w:hAnsiTheme="majorHAnsi"/>
          <w:noProof/>
          <w:color w:val="000000"/>
        </w:rPr>
        <w:t xml:space="preserve">stādes var noteikt citas atlīdzināšanas metodes vai atteikties no jebkādiem kompensācijas norēķiniem starp iestādēm, kas ir to jurisdikcijā. </w:t>
      </w:r>
    </w:p>
    <w:p w:rsidR="003E022D" w:rsidRDefault="007D19D6">
      <w:pPr>
        <w:pStyle w:val="Chapter"/>
        <w:rPr>
          <w:noProof/>
        </w:rPr>
      </w:pPr>
      <w:r>
        <w:rPr>
          <w:noProof/>
        </w:rPr>
        <w:t>3. NODAĻA. APBEDĪŠANAS PABALSTI</w:t>
      </w:r>
    </w:p>
    <w:p w:rsidR="003E022D" w:rsidRDefault="007D19D6">
      <w:pPr>
        <w:pStyle w:val="Article"/>
        <w:rPr>
          <w:noProof/>
        </w:rPr>
      </w:pPr>
      <w:r>
        <w:rPr>
          <w:noProof/>
        </w:rPr>
        <w:t xml:space="preserve">SSC.37. pants. Tiesības uz pabalstiem gadījumā, kad nāve iestājas vai tā persona, </w:t>
      </w:r>
      <w:r>
        <w:rPr>
          <w:noProof/>
        </w:rPr>
        <w:t>kam ir tiesības uz pabalstiem, dzīvo valstī, kura nav kompetentā valsts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Ja apdrošināta persona vai tās ģimenes loceklis mirst valstī, kas nav kompetentā valsts, uzskata, ka nāve ir iestājusies kompetentajā valstī.</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Kompetentajai iestādei ir pienākums </w:t>
      </w:r>
      <w:r>
        <w:rPr>
          <w:rFonts w:asciiTheme="majorHAnsi" w:hAnsiTheme="majorHAnsi"/>
          <w:noProof/>
          <w:color w:val="000000"/>
        </w:rPr>
        <w:t>piešķirt apbedīšanas pabalstus, kas izmaksājami saskaņā ar tiesību aktiem, kurus tā piemēro, pat tad, ja persona, kam ir tiesības uz pabalstu, dzīvo valstī, kura nav kompetentā valsts.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Šā panta 1. un 2. punktu piemēro arī tad, ja nāves cēlonis bijis nel</w:t>
      </w:r>
      <w:r>
        <w:rPr>
          <w:rFonts w:asciiTheme="majorHAnsi" w:hAnsiTheme="majorHAnsi"/>
          <w:noProof/>
          <w:color w:val="000000"/>
        </w:rPr>
        <w:t>aimes gadījums darbā vai arodslimība.</w:t>
      </w:r>
    </w:p>
    <w:p w:rsidR="003E022D" w:rsidRDefault="007D19D6">
      <w:pPr>
        <w:pStyle w:val="Article"/>
        <w:rPr>
          <w:noProof/>
        </w:rPr>
      </w:pPr>
      <w:r>
        <w:rPr>
          <w:noProof/>
        </w:rPr>
        <w:t>SSC.38. pants. Pabalstu nodrošināšana pensionāra nāves gadījumā</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t xml:space="preserve">Ja mirst pensionārs, kam bijušas tiesības uz pensiju saskaņā ar kādas valsts tiesību aktiem vai uz pensijām saskaņā ar divu vai vairāku valstu tiesību </w:t>
      </w:r>
      <w:r>
        <w:rPr>
          <w:noProof/>
        </w:rPr>
        <w:t xml:space="preserve">aktiem laikā, kad šis pensionārs dzīvojis valstī, kur nav iestāde, kas atbild par </w:t>
      </w:r>
      <w:r>
        <w:rPr>
          <w:noProof/>
          <w:color w:val="000000"/>
        </w:rPr>
        <w:t xml:space="preserve">SSC.22. pantā [Tiesību uz pabalstiem natūrā neesība saskaņā ar dzīvesvietas valsts tiesību aktiem] </w:t>
      </w:r>
      <w:r>
        <w:rPr>
          <w:noProof/>
        </w:rPr>
        <w:t xml:space="preserve">un </w:t>
      </w:r>
      <w:r>
        <w:rPr>
          <w:noProof/>
          <w:color w:val="000000"/>
        </w:rPr>
        <w:t xml:space="preserve"> SSC.23. pantā [Pensijas saskaņā ar vienas vai vairāku tādu valstu tiesī</w:t>
      </w:r>
      <w:r>
        <w:rPr>
          <w:noProof/>
          <w:color w:val="000000"/>
        </w:rPr>
        <w:t xml:space="preserve">bu aktiem, kuras nav dzīvesvietas valstis, ja ir tiesības uz pabalstiem natūrā dzīvesvietas valstī], paredzēto pabalstu natūrā izmaksām, apbedīšanas pabalstus, kas jāizmaksā saskaņā ar šīs iestādes pārziņā esošajiem tiesību aktiem, tā nodrošina par saviem </w:t>
      </w:r>
      <w:r>
        <w:rPr>
          <w:noProof/>
          <w:color w:val="000000"/>
        </w:rPr>
        <w:t>līdzekļiem tā, it kā pensionārs nāves brīdī būtu dzīvojis valstī, kurā atrodas minētā iestāde.</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Pēc analoģijas 1. punktu piemēro pensionāra ģimenes locekļiem.</w:t>
      </w:r>
    </w:p>
    <w:p w:rsidR="003E022D" w:rsidRDefault="007D19D6">
      <w:pPr>
        <w:pStyle w:val="Chapter"/>
        <w:rPr>
          <w:noProof/>
          <w:lang w:val="fr-BE"/>
        </w:rPr>
      </w:pPr>
      <w:r>
        <w:rPr>
          <w:noProof/>
          <w:lang w:val="fr-BE"/>
        </w:rPr>
        <w:t>4. NODAĻA. INVALIDITĀTES PABALSTI</w:t>
      </w:r>
    </w:p>
    <w:p w:rsidR="003E022D" w:rsidRDefault="007D19D6">
      <w:pPr>
        <w:pStyle w:val="Article"/>
        <w:rPr>
          <w:rFonts w:eastAsia="Times New Roman" w:cs="Times New Roman"/>
          <w:noProof/>
          <w:lang w:val="fr-BE"/>
        </w:rPr>
      </w:pPr>
      <w:r>
        <w:rPr>
          <w:noProof/>
          <w:lang w:val="fr-BE"/>
        </w:rPr>
        <w:t>SSC.39. pants. Invaliditātes pabalstu aprēķināšana</w:t>
      </w:r>
    </w:p>
    <w:p w:rsidR="003E022D" w:rsidRDefault="007D19D6">
      <w:pPr>
        <w:spacing w:after="160" w:line="259" w:lineRule="auto"/>
        <w:rPr>
          <w:rFonts w:asciiTheme="majorHAnsi" w:hAnsiTheme="majorHAnsi" w:cstheme="majorHAnsi"/>
          <w:noProof/>
          <w:lang w:val="fr-BE"/>
        </w:rPr>
      </w:pPr>
      <w:r>
        <w:rPr>
          <w:rFonts w:asciiTheme="majorHAnsi" w:hAnsiTheme="majorHAnsi"/>
          <w:noProof/>
          <w:lang w:val="fr-BE"/>
        </w:rPr>
        <w:t>Neskarot S</w:t>
      </w:r>
      <w:r>
        <w:rPr>
          <w:rFonts w:asciiTheme="majorHAnsi" w:hAnsiTheme="majorHAnsi"/>
          <w:noProof/>
          <w:lang w:val="fr-BE"/>
        </w:rPr>
        <w:t>SC.7. pantu [Periodu summēšana], ja saskaņā ar kompetentās valsts tiesību aktiem saskaņā ar šā protokola II sadaļu [Piemērojamo tiesību aktu noteikšana], invaliditātes pabalstu summa ir atkarīga no apdrošināšanas, nodarbinātības, pašnodarbinātības vai dzīv</w:t>
      </w:r>
      <w:r>
        <w:rPr>
          <w:rFonts w:asciiTheme="majorHAnsi" w:hAnsiTheme="majorHAnsi"/>
          <w:noProof/>
          <w:lang w:val="fr-BE"/>
        </w:rPr>
        <w:t>esvietas laika posmu ilguma, kompetentajai valstij, aprēķinot izmaksājamā invaliditātes pabalsta summu, nav jāņem vērā šādi laika posmi, kas izpildīti saskaņā ar citas valsts tiesību aktiem.</w:t>
      </w:r>
      <w:r>
        <w:rPr>
          <w:rFonts w:asciiTheme="majorHAnsi" w:hAnsiTheme="majorHAnsi"/>
          <w:b/>
          <w:noProof/>
          <w:lang w:val="fr-BE"/>
        </w:rPr>
        <w:t xml:space="preserve"> </w:t>
      </w:r>
    </w:p>
    <w:p w:rsidR="003E022D" w:rsidRDefault="007D19D6">
      <w:pPr>
        <w:pStyle w:val="Article"/>
        <w:rPr>
          <w:noProof/>
          <w:lang w:val="fr-BE"/>
        </w:rPr>
      </w:pPr>
      <w:r>
        <w:rPr>
          <w:noProof/>
          <w:lang w:val="fr-BE"/>
        </w:rPr>
        <w:t>SSC.40. pants. Īpaši noteikumi par periodu summēšanu</w:t>
      </w:r>
    </w:p>
    <w:p w:rsidR="003E022D" w:rsidRDefault="007D19D6">
      <w:pPr>
        <w:rPr>
          <w:rFonts w:asciiTheme="majorHAnsi" w:eastAsia="Arial" w:hAnsiTheme="majorHAnsi" w:cs="Arial"/>
          <w:b/>
          <w:noProof/>
          <w:color w:val="000000" w:themeColor="text1"/>
          <w:lang w:val="fr-BE"/>
        </w:rPr>
      </w:pPr>
      <w:r>
        <w:rPr>
          <w:rFonts w:asciiTheme="majorHAnsi" w:hAnsiTheme="majorHAnsi"/>
          <w:noProof/>
          <w:lang w:val="fr-BE"/>
        </w:rPr>
        <w:t xml:space="preserve">Tās valsts </w:t>
      </w:r>
      <w:r>
        <w:rPr>
          <w:rFonts w:asciiTheme="majorHAnsi" w:hAnsiTheme="majorHAnsi"/>
          <w:noProof/>
          <w:lang w:val="fr-BE"/>
        </w:rPr>
        <w:t xml:space="preserve">kompetentā iestāde, kuras tiesību akti nosaka, ka tiesību uz pabalstiem iegūšana, paturēšana un atgūšana ir atkarīga no apdrošināšanas vai dzīvesvietas laika posmu izpildes, vajadzības gadījumā pēc analoģijas piemēro </w:t>
      </w:r>
      <w:r>
        <w:rPr>
          <w:rFonts w:asciiTheme="majorHAnsi" w:hAnsiTheme="majorHAnsi"/>
          <w:noProof/>
          <w:color w:val="000000" w:themeColor="text1"/>
          <w:lang w:val="fr-BE"/>
        </w:rPr>
        <w:t>SSC.46. pantu [Īpaši noteikumi par peri</w:t>
      </w:r>
      <w:r>
        <w:rPr>
          <w:rFonts w:asciiTheme="majorHAnsi" w:hAnsiTheme="majorHAnsi"/>
          <w:noProof/>
          <w:color w:val="000000" w:themeColor="text1"/>
          <w:lang w:val="fr-BE"/>
        </w:rPr>
        <w:t>odu summēšanu]</w:t>
      </w:r>
      <w:r>
        <w:rPr>
          <w:rFonts w:asciiTheme="majorHAnsi" w:hAnsiTheme="majorHAnsi"/>
          <w:noProof/>
          <w:lang w:val="fr-BE"/>
        </w:rPr>
        <w:t>.</w:t>
      </w:r>
      <w:r>
        <w:rPr>
          <w:rFonts w:asciiTheme="majorHAnsi" w:hAnsiTheme="majorHAnsi"/>
          <w:b/>
          <w:noProof/>
          <w:color w:val="000000" w:themeColor="text1"/>
          <w:lang w:val="fr-BE"/>
        </w:rPr>
        <w:t xml:space="preserve"> </w:t>
      </w:r>
    </w:p>
    <w:p w:rsidR="003E022D" w:rsidRDefault="007D19D6">
      <w:pPr>
        <w:pStyle w:val="Article"/>
        <w:rPr>
          <w:noProof/>
          <w:lang w:val="fr-BE"/>
        </w:rPr>
      </w:pPr>
      <w:r>
        <w:rPr>
          <w:b/>
          <w:noProof/>
          <w:lang w:val="fr-BE"/>
        </w:rPr>
        <w:t xml:space="preserve"> </w:t>
      </w:r>
      <w:r>
        <w:rPr>
          <w:noProof/>
          <w:lang w:val="fr-BE"/>
        </w:rPr>
        <w:t>SSC.41. pants. Invaliditātes progresēšana</w:t>
      </w:r>
    </w:p>
    <w:p w:rsidR="003E022D" w:rsidRDefault="007D19D6">
      <w:pPr>
        <w:pBdr>
          <w:top w:val="nil"/>
          <w:left w:val="nil"/>
          <w:bottom w:val="nil"/>
          <w:right w:val="nil"/>
          <w:between w:val="nil"/>
        </w:pBdr>
        <w:rPr>
          <w:rFonts w:asciiTheme="majorHAnsi" w:eastAsia="Arial" w:hAnsiTheme="majorHAnsi" w:cs="Arial"/>
          <w:noProof/>
          <w:lang w:val="fr-BE"/>
        </w:rPr>
      </w:pPr>
      <w:r>
        <w:rPr>
          <w:rFonts w:asciiTheme="majorHAnsi" w:hAnsiTheme="majorHAnsi"/>
          <w:iCs/>
          <w:noProof/>
          <w:lang w:val="fr-BE"/>
        </w:rPr>
        <w:t xml:space="preserve">Gadījumā, kad progresē invaliditāte, par kuru persona, ievērojot šo protokolu, saņem pabalstus saskaņā ar valsts tiesību aktiem, pabalstu turpina sniegt saskaņā ar šo nodaļu, ņemot vērā </w:t>
      </w:r>
      <w:r>
        <w:rPr>
          <w:rFonts w:asciiTheme="majorHAnsi" w:hAnsiTheme="majorHAnsi"/>
          <w:iCs/>
          <w:noProof/>
          <w:lang w:val="fr-BE"/>
        </w:rPr>
        <w:t>invaliditātes progresēšanu.</w:t>
      </w:r>
    </w:p>
    <w:p w:rsidR="003E022D" w:rsidRDefault="007D19D6">
      <w:pPr>
        <w:pStyle w:val="Article"/>
        <w:rPr>
          <w:b/>
          <w:noProof/>
          <w:lang w:val="fr-BE"/>
        </w:rPr>
      </w:pPr>
      <w:r>
        <w:rPr>
          <w:noProof/>
          <w:lang w:val="fr-BE"/>
        </w:rPr>
        <w:t>SSC.42. pants. Invaliditātes pabalstu pārvēršana vecuma pabalstos</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 xml:space="preserve">Ja to paredz tās valsts tiesību akti, kura izmaksā invaliditātes pabalstu saskaņā ar šo protokolu, invaliditātes pabalstus pārvērš vecuma pabalstos saskaņā ar </w:t>
      </w:r>
      <w:r>
        <w:rPr>
          <w:rFonts w:asciiTheme="majorHAnsi" w:hAnsiTheme="majorHAnsi"/>
          <w:noProof/>
          <w:color w:val="000000"/>
          <w:lang w:val="fr-BE"/>
        </w:rPr>
        <w:t>nosacījumiem, kas paredzēti tiesību aktos, saskaņā ar kuriem tos piešķir, un saskaņā ar 5. nodaļu [Vecuma pensijas un apgādnieka zaudējuma pabalsti].</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lang w:val="fr-BE"/>
        </w:rPr>
        <w:t xml:space="preserve">Ja kāda persona, kas saņem invaliditātes pabalstus, pamatojoties uz </w:t>
      </w:r>
      <w:r>
        <w:rPr>
          <w:rFonts w:asciiTheme="majorHAnsi" w:hAnsiTheme="majorHAnsi"/>
          <w:noProof/>
          <w:color w:val="000000"/>
          <w:lang w:val="fr-BE"/>
        </w:rPr>
        <w:t>SSC.45. pantu [Vispārīgi noteikumi]</w:t>
      </w:r>
      <w:r>
        <w:rPr>
          <w:rFonts w:asciiTheme="majorHAnsi" w:hAnsiTheme="majorHAnsi"/>
          <w:noProof/>
          <w:lang w:val="fr-BE"/>
        </w:rPr>
        <w:t>, var pamatot prasību par vecuma pabalstiem saskaņā ar vienas vai vairāku citu valstu tiesību aktiem, jebkura iestāde, kas atbild par invaliditātes pabalstu nodrošināšanu saskaņā ar valsts tiesību aktiem, turpina nodrošināt šādai personai invaliditātes pab</w:t>
      </w:r>
      <w:r>
        <w:rPr>
          <w:rFonts w:asciiTheme="majorHAnsi" w:hAnsiTheme="majorHAnsi"/>
          <w:noProof/>
          <w:lang w:val="fr-BE"/>
        </w:rPr>
        <w:t xml:space="preserve">alstus, uz kuriem tai ir tiesības saskaņā ar aktiem, ko tā piemēro, līdz tam brīdim, kad attiecībā uz šo iestādi kļūst piemērojams </w:t>
      </w:r>
      <w:r>
        <w:rPr>
          <w:rFonts w:asciiTheme="majorHAnsi" w:hAnsiTheme="majorHAnsi"/>
          <w:noProof/>
          <w:color w:val="000000"/>
          <w:lang w:val="fr-BE"/>
        </w:rPr>
        <w:t>1. punkts</w:t>
      </w:r>
      <w:r>
        <w:rPr>
          <w:rFonts w:asciiTheme="majorHAnsi" w:hAnsiTheme="majorHAnsi"/>
          <w:noProof/>
          <w:lang w:val="fr-BE"/>
        </w:rPr>
        <w:t>, vai tik ilgi, cik attiecīgā persona atbilst šādu pabalstu nosacījumiem.</w:t>
      </w:r>
    </w:p>
    <w:p w:rsidR="003E022D" w:rsidRDefault="007D19D6">
      <w:pPr>
        <w:pStyle w:val="Article"/>
        <w:rPr>
          <w:noProof/>
          <w:lang w:val="fr-BE"/>
        </w:rPr>
      </w:pPr>
      <w:r>
        <w:rPr>
          <w:noProof/>
          <w:lang w:val="fr-BE"/>
        </w:rPr>
        <w:t>SSC.43. pants.  Īpaši noteikumi civildiene</w:t>
      </w:r>
      <w:r>
        <w:rPr>
          <w:noProof/>
          <w:lang w:val="fr-BE"/>
        </w:rPr>
        <w:t>sta ierēdņiem</w:t>
      </w:r>
    </w:p>
    <w:p w:rsidR="003E022D" w:rsidRDefault="007D19D6">
      <w:pPr>
        <w:rPr>
          <w:rFonts w:asciiTheme="majorHAnsi" w:eastAsia="Arial" w:hAnsiTheme="majorHAnsi" w:cs="Arial"/>
          <w:noProof/>
          <w:lang w:val="fr-BE"/>
        </w:rPr>
      </w:pPr>
      <w:r>
        <w:rPr>
          <w:rFonts w:asciiTheme="majorHAnsi" w:hAnsiTheme="majorHAnsi"/>
          <w:noProof/>
          <w:lang w:val="fr-BE"/>
        </w:rPr>
        <w:t>SSC.7. pants [Periodu summēšana], SSC.39. pants [Invaliditātes pabalstu aprēķināšana], SSC.41. pants [Invaliditātes progresēšana], SSC.42. pants [Invaliditātes pabalstu pārvēršana vecuma pabalstos] un SSC.55. panta [Īpaši noteikumi civildiene</w:t>
      </w:r>
      <w:r>
        <w:rPr>
          <w:rFonts w:asciiTheme="majorHAnsi" w:hAnsiTheme="majorHAnsi"/>
          <w:noProof/>
          <w:lang w:val="fr-BE"/>
        </w:rPr>
        <w:t>sta ierēdņiem] 2. un 3. punkts pēc analoģijas attiecas uz personām, uz kurām attiecas civildienesta ierēdņu īpašā sistēma.</w:t>
      </w:r>
    </w:p>
    <w:p w:rsidR="003E022D" w:rsidRDefault="007D19D6">
      <w:pPr>
        <w:pStyle w:val="Chapter"/>
        <w:rPr>
          <w:noProof/>
          <w:lang w:val="fr-BE"/>
        </w:rPr>
      </w:pPr>
      <w:r>
        <w:rPr>
          <w:noProof/>
          <w:lang w:val="fr-BE"/>
        </w:rPr>
        <w:t>5. NODAĻA.  VECUMA PENSIJAS UN APGĀDNIEKA ZAUDĒJUMA PABALSTI</w:t>
      </w:r>
    </w:p>
    <w:p w:rsidR="003E022D" w:rsidRDefault="007D19D6">
      <w:pPr>
        <w:pStyle w:val="Article"/>
        <w:rPr>
          <w:noProof/>
          <w:lang w:val="fr-BE"/>
        </w:rPr>
      </w:pPr>
      <w:r>
        <w:rPr>
          <w:noProof/>
          <w:lang w:val="fr-BE"/>
        </w:rPr>
        <w:t>SSC.44. pants. Bērna audzināšanas periodu ņemšana vērā</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 xml:space="preserve">Ja saskaņā ar </w:t>
      </w:r>
      <w:r>
        <w:rPr>
          <w:rFonts w:asciiTheme="majorHAnsi" w:hAnsiTheme="majorHAnsi"/>
          <w:noProof/>
          <w:color w:val="000000"/>
          <w:lang w:val="fr-BE"/>
        </w:rPr>
        <w:t>tās valsts tiesību aktiem, kas ir kompetenta atbilstīgi II sadaļai [Piemērojamo tiesību aktu noteikšana], neviens bērna audzināšanas periods netiek ņemts vērā, tās valsts iestāde, kuras tiesību akti saskaņā ar II sadaļu [Piemērojamo tiesību aktu noteikšana</w:t>
      </w:r>
      <w:r>
        <w:rPr>
          <w:rFonts w:asciiTheme="majorHAnsi" w:hAnsiTheme="majorHAnsi"/>
          <w:noProof/>
          <w:color w:val="000000"/>
          <w:lang w:val="fr-BE"/>
        </w:rPr>
        <w:t xml:space="preserve">] bija piemērojami attiecīgajai personai sakarā ar tās darbību nodarbinātas vai pašnodarbinātas personas statusā dienā, kad saskaņā ar šiem tiesību aktiem bērna audzināšanas periodu sāka ņemt vērā attiecīgajam bērnam, arī turpmāk ir atbildīga ņemt vērā šo </w:t>
      </w:r>
      <w:r>
        <w:rPr>
          <w:rFonts w:asciiTheme="majorHAnsi" w:hAnsiTheme="majorHAnsi"/>
          <w:noProof/>
          <w:color w:val="000000"/>
          <w:lang w:val="fr-BE"/>
        </w:rPr>
        <w:t>periodu kā bērna audzināšanas periodu saskaņā ar saviem tiesību aktiem tā, it kā šā bērna audzināšana notiktu tās teritorijā.</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 xml:space="preserve">Panta 1. punktu nepiemēro, ja uz attiecīgo personu ir attiecināmi vai kļūst attiecināmi kādas citas valsts tiesību akti sakarā </w:t>
      </w:r>
      <w:r>
        <w:rPr>
          <w:rFonts w:asciiTheme="majorHAnsi" w:hAnsiTheme="majorHAnsi"/>
          <w:noProof/>
          <w:color w:val="000000"/>
          <w:lang w:val="fr-BE"/>
        </w:rPr>
        <w:t>ar darbību, ko tā veic nodarbinātas vai pašnodarbinātas personas statusā.</w:t>
      </w:r>
    </w:p>
    <w:p w:rsidR="003E022D" w:rsidRDefault="007D19D6">
      <w:pPr>
        <w:pStyle w:val="Article"/>
        <w:rPr>
          <w:noProof/>
          <w:lang w:val="fr-BE"/>
        </w:rPr>
      </w:pPr>
      <w:r>
        <w:rPr>
          <w:noProof/>
          <w:lang w:val="fr-BE"/>
        </w:rPr>
        <w:t>SSC.45. pants.  Vispārīgi noteikumi</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 xml:space="preserve">Kad ir iesniegts piešķiršanas pieprasījums, visas kompetentās iestādes nosaka tiesības uz pabalstiem saskaņā ar visu to valstu tiesību aktiem, </w:t>
      </w:r>
      <w:r>
        <w:rPr>
          <w:rFonts w:asciiTheme="majorHAnsi" w:hAnsiTheme="majorHAnsi"/>
          <w:noProof/>
          <w:color w:val="000000"/>
          <w:lang w:val="fr-BE"/>
        </w:rPr>
        <w:t>kam attiecīgā persona ir bijusi pakļauta, ja vien attiecīgā persona skaidri nepieprasa vecuma pabalstu piešķiršanas atlikšanu saskaņā ar vienas vai vairāku valstu tiesību aktiem.</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lang w:val="fr-BE"/>
        </w:rPr>
        <w:t>Ja kādā brīdī attiecīgā persona neatbilst vai pārstāj atbilst nosacījumiem</w:t>
      </w:r>
      <w:r>
        <w:rPr>
          <w:rFonts w:asciiTheme="majorHAnsi" w:hAnsiTheme="majorHAnsi"/>
          <w:noProof/>
          <w:lang w:val="fr-BE"/>
        </w:rPr>
        <w:t xml:space="preserve">, kas paredzēti visu valstu tiesību aktos, kuriem tā ir bijusi pakļauta, tad iestādes, kas piemēro tiesību aktus, kuru nosacījumi ir izpildīti, veikdamas aprēķinu atbilstīgi SSC.47. panta [Pabalstu piešķiršana] 1. punkta a) vai b) apakšpunktam, neņem vērā </w:t>
      </w:r>
      <w:r>
        <w:rPr>
          <w:rFonts w:asciiTheme="majorHAnsi" w:hAnsiTheme="majorHAnsi"/>
          <w:noProof/>
          <w:lang w:val="fr-BE"/>
        </w:rPr>
        <w:t>laika posmus, kas izpildīti saskaņā ar tiesību aktiem, kuru nosacījumi nav izpildīti vai vairs netiek izpildīti, ja tas ir par iemeslu mazākai pabalsta summai.</w:t>
      </w:r>
      <w:r>
        <w:rPr>
          <w:rFonts w:asciiTheme="majorHAnsi" w:hAnsiTheme="majorHAnsi"/>
          <w:noProof/>
          <w:color w:val="000000"/>
          <w:lang w:val="fr-BE"/>
        </w:rPr>
        <w:t xml:space="preserve"> </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3.</w:t>
      </w:r>
      <w:r>
        <w:rPr>
          <w:noProof/>
          <w:lang w:val="fr-BE"/>
        </w:rPr>
        <w:tab/>
      </w:r>
      <w:r>
        <w:rPr>
          <w:rFonts w:asciiTheme="majorHAnsi" w:hAnsiTheme="majorHAnsi"/>
          <w:noProof/>
          <w:color w:val="000000"/>
          <w:lang w:val="fr-BE"/>
        </w:rPr>
        <w:t>Šā panta 2. punktu piemēro pēc analoģijas, kad attiecīgā persona ir skaidri pieprasījusi vec</w:t>
      </w:r>
      <w:r>
        <w:rPr>
          <w:rFonts w:asciiTheme="majorHAnsi" w:hAnsiTheme="majorHAnsi"/>
          <w:noProof/>
          <w:color w:val="000000"/>
          <w:lang w:val="fr-BE"/>
        </w:rPr>
        <w:t xml:space="preserve">uma pabalstu piešķiršanas atlikšanu. </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4.</w:t>
      </w:r>
      <w:r>
        <w:rPr>
          <w:noProof/>
          <w:lang w:val="fr-BE"/>
        </w:rPr>
        <w:tab/>
      </w:r>
      <w:r>
        <w:rPr>
          <w:rFonts w:asciiTheme="majorHAnsi" w:hAnsiTheme="majorHAnsi"/>
          <w:noProof/>
          <w:color w:val="000000"/>
          <w:lang w:val="fr-BE"/>
        </w:rPr>
        <w:t xml:space="preserve">Jaunu aprēķinu veic automātiski atbilstoši tam, kā ir izpildīti nosacījumi, kas jāizpilda saskaņā ar citu valstu tiesību aktiem, un tad, kad tie ir izpildīti, vai tad, kad attiecīgā persona pieprasa tāda vecuma pabalsta piešķiršanu, kas atlikta atbilstoši </w:t>
      </w:r>
      <w:r>
        <w:rPr>
          <w:rFonts w:asciiTheme="majorHAnsi" w:hAnsiTheme="majorHAnsi"/>
          <w:noProof/>
          <w:color w:val="000000"/>
          <w:lang w:val="fr-BE"/>
        </w:rPr>
        <w:t xml:space="preserve">1. punktam, izņemot gadījumus, kad laika posmi, kas izpildīti saskaņā ar citu valstu tiesību aktiem, jau ņemti vērā atbilstīgi 2. vai 3. punktam. </w:t>
      </w:r>
    </w:p>
    <w:p w:rsidR="003E022D" w:rsidRDefault="007D19D6">
      <w:pPr>
        <w:pStyle w:val="Article"/>
        <w:rPr>
          <w:noProof/>
          <w:lang w:val="fr-BE"/>
        </w:rPr>
      </w:pPr>
      <w:r>
        <w:rPr>
          <w:noProof/>
          <w:lang w:val="fr-BE"/>
        </w:rPr>
        <w:t>SSC.46. pants. Īpaši noteikumi par periodu summēšanu</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1.</w:t>
      </w:r>
      <w:r>
        <w:rPr>
          <w:noProof/>
          <w:lang w:val="fr-BE"/>
        </w:rPr>
        <w:tab/>
      </w:r>
      <w:r>
        <w:rPr>
          <w:rFonts w:asciiTheme="majorHAnsi" w:hAnsiTheme="majorHAnsi"/>
          <w:noProof/>
          <w:color w:val="000000"/>
          <w:lang w:val="fr-BE"/>
        </w:rPr>
        <w:t>Ja valsts tiesību akti nosaka, ka dažu pabalstu piešķ</w:t>
      </w:r>
      <w:r>
        <w:rPr>
          <w:rFonts w:asciiTheme="majorHAnsi" w:hAnsiTheme="majorHAnsi"/>
          <w:noProof/>
          <w:color w:val="000000"/>
          <w:lang w:val="fr-BE"/>
        </w:rPr>
        <w:t>iršana ir atkarīga no apdrošināšanas periodiem, kas ir izpildīti, veicot tikai īpašu darbību nodarbinātas vai pašnodarbinātas personas statusā vai amatā, uz kuru attiecas īpaša nodarbinātu vai pašnodarbinātu personu shēma, valsts kompetentā iestāde ņem vēr</w:t>
      </w:r>
      <w:r>
        <w:rPr>
          <w:rFonts w:asciiTheme="majorHAnsi" w:hAnsiTheme="majorHAnsi"/>
          <w:noProof/>
          <w:color w:val="000000"/>
          <w:lang w:val="fr-BE"/>
        </w:rPr>
        <w:t>ā periodus, kas izpildīti atbilstoši citu valstu tiesību aktiem, tikai tad, ja šie periodi ir izpildīti saskaņā ar atbilstošo shēmu vai, citā gadījumā, tādā pašā amatā, vai attiecīgā gadījumā tādā pašā darbībā nodarbinātas vai pašnodarbinātas personas stat</w:t>
      </w:r>
      <w:r>
        <w:rPr>
          <w:rFonts w:asciiTheme="majorHAnsi" w:hAnsiTheme="majorHAnsi"/>
          <w:noProof/>
          <w:color w:val="000000"/>
          <w:lang w:val="fr-BE"/>
        </w:rPr>
        <w:t xml:space="preserve">usā. </w:t>
      </w:r>
    </w:p>
    <w:p w:rsidR="003E022D" w:rsidRDefault="007D19D6">
      <w:pPr>
        <w:spacing w:before="128"/>
        <w:ind w:right="-5"/>
        <w:rPr>
          <w:rFonts w:asciiTheme="majorHAnsi" w:eastAsia="Arial" w:hAnsiTheme="majorHAnsi" w:cs="Arial"/>
          <w:noProof/>
          <w:lang w:val="fr-BE"/>
        </w:rPr>
      </w:pPr>
      <w:r>
        <w:rPr>
          <w:rFonts w:asciiTheme="majorHAnsi" w:hAnsiTheme="majorHAnsi"/>
          <w:noProof/>
          <w:color w:val="000000"/>
          <w:lang w:val="fr-BE"/>
        </w:rPr>
        <w:t>Ja, ņemot vērā tādā veidā izpildītus periodus, attiecīgā persona neatbilst īpašas shēmas pabalstu saņemšanas nosacījumiem, šos periodus ņem vērā tādu pabalstu nodrošināšanas nolūkā, kas paredzēti vispārīgajā shēmā vai, citā gadījumā, shēmā, ko piemēr</w:t>
      </w:r>
      <w:r>
        <w:rPr>
          <w:rFonts w:asciiTheme="majorHAnsi" w:hAnsiTheme="majorHAnsi"/>
          <w:noProof/>
          <w:color w:val="000000"/>
          <w:lang w:val="fr-BE"/>
        </w:rPr>
        <w:t xml:space="preserve">o attiecīgi strādniekiem vai kalpotājiem, ja vien attiecīgā persona iesaistīta kādā no šīm shēmām. </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2.</w:t>
      </w:r>
      <w:r>
        <w:rPr>
          <w:noProof/>
          <w:lang w:val="fr-BE"/>
        </w:rPr>
        <w:tab/>
      </w:r>
      <w:r>
        <w:rPr>
          <w:rFonts w:asciiTheme="majorHAnsi" w:hAnsiTheme="majorHAnsi"/>
          <w:noProof/>
          <w:color w:val="000000"/>
          <w:lang w:val="fr-BE"/>
        </w:rPr>
        <w:t>Apdrošināšanas periodus, kas izpildīti saskaņā ar īpašu valsts shēmu, ņem vērā to pabalstu nodrošināšanas nolūkā, kas paredzēti vispārīgajā shēmā vai, ci</w:t>
      </w:r>
      <w:r>
        <w:rPr>
          <w:rFonts w:asciiTheme="majorHAnsi" w:hAnsiTheme="majorHAnsi"/>
          <w:noProof/>
          <w:color w:val="000000"/>
          <w:lang w:val="fr-BE"/>
        </w:rPr>
        <w:t xml:space="preserve">tā gadījumā, shēmā, kuru piemēro attiecīgi citas valsts strādniekiem vai kalpotājiem, ar nosacījumu, ka attiecīgā persona ir iesaistīta kādā no šīm shēmām, pat tad, ja šie periodi jau ir ņemti vērā minētajā valstī saskaņā ar īpašu shēmu. </w:t>
      </w:r>
    </w:p>
    <w:p w:rsidR="003E022D" w:rsidRDefault="007D19D6">
      <w:pPr>
        <w:pBdr>
          <w:top w:val="nil"/>
          <w:left w:val="nil"/>
          <w:bottom w:val="nil"/>
          <w:right w:val="nil"/>
          <w:between w:val="nil"/>
        </w:pBdr>
        <w:rPr>
          <w:rFonts w:asciiTheme="majorHAnsi" w:eastAsia="Arial" w:hAnsiTheme="majorHAnsi" w:cs="Arial"/>
          <w:noProof/>
          <w:color w:val="000000"/>
          <w:lang w:val="fr-BE"/>
        </w:rPr>
      </w:pPr>
      <w:r>
        <w:rPr>
          <w:rFonts w:asciiTheme="majorHAnsi" w:hAnsiTheme="majorHAnsi"/>
          <w:noProof/>
          <w:color w:val="000000"/>
          <w:lang w:val="fr-BE"/>
        </w:rPr>
        <w:t>3.</w:t>
      </w:r>
      <w:r>
        <w:rPr>
          <w:noProof/>
          <w:lang w:val="fr-BE"/>
        </w:rPr>
        <w:tab/>
      </w:r>
      <w:r>
        <w:rPr>
          <w:rFonts w:asciiTheme="majorHAnsi" w:hAnsiTheme="majorHAnsi"/>
          <w:noProof/>
          <w:color w:val="000000"/>
          <w:lang w:val="fr-BE"/>
        </w:rPr>
        <w:t>Ja valsts ties</w:t>
      </w:r>
      <w:r>
        <w:rPr>
          <w:rFonts w:asciiTheme="majorHAnsi" w:hAnsiTheme="majorHAnsi"/>
          <w:noProof/>
          <w:color w:val="000000"/>
          <w:lang w:val="fr-BE"/>
        </w:rPr>
        <w:t>ību aktos vai īpašā sistēmā paredzēts, ka tiesību uz pabalstiem iegūšana, paturēšana vai atgūšana ir atkarīga no tā, vai attiecīgā persona ir bijusi apdrošināta apdrošināšanas gadījuma iestāšanās brīdī, šo nosacījumu uzskata par izpildītu gadījumā, ja šī p</w:t>
      </w:r>
      <w:r>
        <w:rPr>
          <w:rFonts w:asciiTheme="majorHAnsi" w:hAnsiTheme="majorHAnsi"/>
          <w:noProof/>
          <w:color w:val="000000"/>
          <w:lang w:val="fr-BE"/>
        </w:rPr>
        <w:t>ersona iepriekš ir bijusi apdrošināta saskaņā ar šīs valsts tiesību aktiem vai īpašu sistēmu un apdrošināšanas gadījuma iestāšanās brīdī tā attiecībā uz to pašu risku ir apdrošināta saskaņā ar citas valsts tiesību aktiem vai, ja tā nav, — attiecībā uz to p</w:t>
      </w:r>
      <w:r>
        <w:rPr>
          <w:rFonts w:asciiTheme="majorHAnsi" w:hAnsiTheme="majorHAnsi"/>
          <w:noProof/>
          <w:color w:val="000000"/>
          <w:lang w:val="fr-BE"/>
        </w:rPr>
        <w:t xml:space="preserve">ašu risku saskaņā ar citas valsts tiesību aktiem pienākas pabalsts. </w:t>
      </w:r>
      <w:r>
        <w:rPr>
          <w:noProof/>
          <w:lang w:val="fr-BE"/>
        </w:rPr>
        <w:t>Šo pēdējo nosacījumu tomēr uzskata par izpildītu SSC.52. pantā [Apdrošināšanas vai dzīvesvietas periodi, kas ir mazāki par vienu gadu] minētajos gadījumos.</w:t>
      </w:r>
      <w:r>
        <w:rPr>
          <w:rFonts w:asciiTheme="majorHAnsi" w:hAnsiTheme="majorHAnsi"/>
          <w:noProof/>
          <w:color w:val="000000"/>
          <w:lang w:val="fr-BE"/>
        </w:rPr>
        <w:t xml:space="preserve"> </w:t>
      </w:r>
    </w:p>
    <w:p w:rsidR="003E022D" w:rsidRDefault="007D19D6">
      <w:pPr>
        <w:pStyle w:val="Article"/>
        <w:rPr>
          <w:noProof/>
        </w:rPr>
      </w:pPr>
      <w:r>
        <w:rPr>
          <w:noProof/>
        </w:rPr>
        <w:t>SSC.47. pants.  Pabalstu piešķi</w:t>
      </w:r>
      <w:r>
        <w:rPr>
          <w:noProof/>
        </w:rPr>
        <w:t>ršana</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Kompetentā iestāde aprēķina pabalsta summu, ko varētu saņemt: </w:t>
      </w:r>
    </w:p>
    <w:p w:rsidR="003E022D" w:rsidRDefault="007D19D6">
      <w:pPr>
        <w:pStyle w:val="Subparagraphab"/>
        <w:numPr>
          <w:ilvl w:val="0"/>
          <w:numId w:val="1040"/>
        </w:numPr>
        <w:ind w:left="567" w:hanging="567"/>
        <w:rPr>
          <w:rFonts w:asciiTheme="majorHAnsi" w:hAnsiTheme="majorHAnsi"/>
          <w:noProof/>
        </w:rPr>
      </w:pPr>
      <w:r>
        <w:rPr>
          <w:rFonts w:asciiTheme="majorHAnsi" w:hAnsiTheme="majorHAnsi"/>
          <w:noProof/>
        </w:rPr>
        <w:t>saskaņā ar tiesību aktiem, kurus tā piemēro, tikai tad, ja pabalstu saņemšanas tiesību nosacījumi ir izpildīti vienīgi saskaņā ar valsts tiesību aktiem (neatkarīgs pabalsts);</w:t>
      </w:r>
    </w:p>
    <w:p w:rsidR="003E022D" w:rsidRDefault="007D19D6">
      <w:pPr>
        <w:pStyle w:val="Subparagraphab"/>
        <w:numPr>
          <w:ilvl w:val="0"/>
          <w:numId w:val="1040"/>
        </w:numPr>
        <w:ind w:left="567" w:hanging="567"/>
        <w:rPr>
          <w:rFonts w:asciiTheme="majorHAnsi" w:eastAsia="Arial" w:hAnsiTheme="majorHAnsi" w:cs="Arial"/>
          <w:noProof/>
          <w:color w:val="000000"/>
        </w:rPr>
      </w:pPr>
      <w:r>
        <w:rPr>
          <w:rFonts w:asciiTheme="majorHAnsi" w:hAnsiTheme="majorHAnsi"/>
          <w:noProof/>
        </w:rPr>
        <w:t>aprēķinot</w:t>
      </w:r>
      <w:r>
        <w:rPr>
          <w:rFonts w:asciiTheme="majorHAnsi" w:hAnsiTheme="majorHAnsi"/>
          <w:noProof/>
        </w:rPr>
        <w:t xml:space="preserve"> teorētisku summu un pēc tam faktisku summu (proporcionāls pabalsts) šādi:</w:t>
      </w:r>
      <w:r>
        <w:rPr>
          <w:rFonts w:asciiTheme="majorHAnsi" w:hAnsiTheme="majorHAnsi"/>
          <w:noProof/>
          <w:color w:val="000000"/>
        </w:rPr>
        <w:t xml:space="preserve"> </w:t>
      </w:r>
    </w:p>
    <w:p w:rsidR="003E022D" w:rsidRDefault="007D19D6">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pabalsta teorētiskā summa ir vienāda ar pabalstu, ko attiecīgā persona varētu pieprasīt, ja visi apdrošināšanas vai dzīvesvietas periodi, kas izpildīti saskaņā ar citu valstu tiesī</w:t>
      </w:r>
      <w:r>
        <w:rPr>
          <w:rFonts w:asciiTheme="majorHAnsi" w:hAnsiTheme="majorHAnsi"/>
          <w:noProof/>
          <w:color w:val="000000"/>
        </w:rPr>
        <w:t xml:space="preserve">bu aktiem, būtu izpildīti atbilstoši tiesību aktiem, kurus tā piemēro, pabalsta piešķiršanas dienā. Ja saskaņā ar šiem tiesību aktiem summa nav atkarīga no izpildīto periodu ilguma, šo summu uzskata par teorētisko summu; </w:t>
      </w:r>
    </w:p>
    <w:p w:rsidR="003E022D" w:rsidRDefault="007D19D6">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tad kompetentā iestāde nosaka prop</w:t>
      </w:r>
      <w:r>
        <w:rPr>
          <w:rFonts w:asciiTheme="majorHAnsi" w:hAnsiTheme="majorHAnsi"/>
          <w:noProof/>
          <w:color w:val="000000"/>
        </w:rPr>
        <w:t xml:space="preserve">orcionālā pabalsta faktisko summu, piemērojot teorētiskajai summai attiecību starp to periodu ilgumu, kas pirms apdrošināšanas gadījuma iestāšanās izpildīti saskaņā ar tiesību aktiem, kurus tā piemēro, un kopējo to periodu ilgumu, kas pirms apdrošināšanas </w:t>
      </w:r>
      <w:r>
        <w:rPr>
          <w:rFonts w:asciiTheme="majorHAnsi" w:hAnsiTheme="majorHAnsi"/>
          <w:noProof/>
          <w:color w:val="000000"/>
        </w:rPr>
        <w:t xml:space="preserve">gadījuma iestāšanās izpildīti saskaņā ar visu attiecīgo valstu tiesību aktiem.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Attiecīgā gadījumā kompetentā iestāde summai, kas aprēķināta atbilstoši 1. punkta a) un b) apakšpunktam, piemēro visus tos noteikumus par samazināšanu, pārtraukšanu vai atce</w:t>
      </w:r>
      <w:r>
        <w:rPr>
          <w:rFonts w:asciiTheme="majorHAnsi" w:hAnsiTheme="majorHAnsi"/>
          <w:noProof/>
        </w:rPr>
        <w:t xml:space="preserve">lšanu, kas paredzēti tiesību aktos, kurus tā piemēro, ievērojot SSC.48. pantā [Noteikumi par pārklāšanās novēršanu] līdz </w:t>
      </w:r>
      <w:r>
        <w:rPr>
          <w:rFonts w:asciiTheme="majorHAnsi" w:hAnsiTheme="majorHAnsi"/>
          <w:noProof/>
          <w:color w:val="000000"/>
        </w:rPr>
        <w:t>SSC.50. pantā [Atšķirīgu pabalstu pārklāšanās]</w:t>
      </w:r>
      <w:r>
        <w:rPr>
          <w:rFonts w:asciiTheme="majorHAnsi" w:hAnsiTheme="majorHAnsi"/>
          <w:noProof/>
        </w:rPr>
        <w:t xml:space="preserve"> noteiktos ierobežojumus.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Attiecīgajai personai ir tiesības no katras valsts kompetent</w:t>
      </w:r>
      <w:r>
        <w:rPr>
          <w:rFonts w:asciiTheme="majorHAnsi" w:hAnsiTheme="majorHAnsi"/>
          <w:noProof/>
          <w:color w:val="000000"/>
        </w:rPr>
        <w:t>ās iestādes saņemt lielāko no summām, kas aprēķinātas atbilstoši 1. punkta a) un b) apakšpunktam.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Ja saskaņā ar 1. punkta a) apakšpunktu vienā valstī tiek nemainīgi aprēķināts neatkarīgs pabalsts, kas ir vienāds ar vai lielāks par proporcionālo pabalstu, kurš ir aprēķināts saskaņā ar 1. punkta b) apakšpunktu, kompetentā iestāde neizmanto proporcionālo </w:t>
      </w:r>
      <w:r>
        <w:rPr>
          <w:rFonts w:asciiTheme="majorHAnsi" w:hAnsiTheme="majorHAnsi"/>
          <w:noProof/>
          <w:color w:val="000000"/>
        </w:rPr>
        <w:t xml:space="preserve">aprēķinu ar noteikumu, ka: </w:t>
      </w:r>
    </w:p>
    <w:p w:rsidR="003E022D" w:rsidRDefault="007D19D6">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šāda situācija ir izklāstīta SSC-4. pielikuma [Gadījumi, kad proporcionālo aprēķinu neizmanto vai tas nav piemērojams] 1. daļā;</w:t>
      </w:r>
    </w:p>
    <w:p w:rsidR="003E022D" w:rsidRDefault="007D19D6">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rPr>
        <w:t xml:space="preserve">nav piemērojams neviens tiesību akts, kurā iekļauti noteikumi pret </w:t>
      </w:r>
      <w:r>
        <w:rPr>
          <w:rFonts w:asciiTheme="majorHAnsi" w:hAnsiTheme="majorHAnsi"/>
          <w:noProof/>
          <w:color w:val="000000"/>
        </w:rPr>
        <w:t xml:space="preserve">SSC.49. pantā [Viena veida </w:t>
      </w:r>
      <w:r>
        <w:rPr>
          <w:rFonts w:asciiTheme="majorHAnsi" w:hAnsiTheme="majorHAnsi"/>
          <w:noProof/>
          <w:color w:val="000000"/>
        </w:rPr>
        <w:t>pabalstu pārklāšanās]</w:t>
      </w:r>
      <w:r>
        <w:rPr>
          <w:rFonts w:asciiTheme="majorHAnsi" w:hAnsiTheme="majorHAnsi"/>
          <w:noProof/>
        </w:rPr>
        <w:t xml:space="preserve"> un </w:t>
      </w:r>
      <w:r>
        <w:rPr>
          <w:rFonts w:asciiTheme="majorHAnsi" w:hAnsiTheme="majorHAnsi"/>
          <w:noProof/>
          <w:color w:val="000000"/>
        </w:rPr>
        <w:t>SSC.50. pantā [Atšķirīgu pabalstu pārklāšanās]</w:t>
      </w:r>
      <w:r>
        <w:rPr>
          <w:rFonts w:asciiTheme="majorHAnsi" w:hAnsiTheme="majorHAnsi"/>
          <w:noProof/>
        </w:rPr>
        <w:t xml:space="preserve"> minēto pārklāšanos, izņemot, ja ir izpildīti </w:t>
      </w:r>
      <w:r>
        <w:rPr>
          <w:rFonts w:asciiTheme="majorHAnsi" w:hAnsiTheme="majorHAnsi"/>
          <w:noProof/>
          <w:color w:val="000000"/>
        </w:rPr>
        <w:t>SSC.50. panta [Atšķirīgu pabalstu pārklāšanās] 2. punktā</w:t>
      </w:r>
      <w:r>
        <w:rPr>
          <w:rFonts w:asciiTheme="majorHAnsi" w:hAnsiTheme="majorHAnsi"/>
          <w:noProof/>
        </w:rPr>
        <w:t xml:space="preserve"> minētie nosacījumi</w:t>
      </w:r>
      <w:r>
        <w:rPr>
          <w:rFonts w:asciiTheme="majorHAnsi" w:hAnsiTheme="majorHAnsi"/>
          <w:noProof/>
          <w:color w:val="000000"/>
        </w:rPr>
        <w:t xml:space="preserve"> un </w:t>
      </w:r>
    </w:p>
    <w:p w:rsidR="003E022D" w:rsidRDefault="007D19D6">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rPr>
        <w:t>īpašos lietas apstākļos attiecībā uz periodiem, kas ir izpi</w:t>
      </w:r>
      <w:r>
        <w:rPr>
          <w:rFonts w:asciiTheme="majorHAnsi" w:hAnsiTheme="majorHAnsi"/>
          <w:noProof/>
        </w:rPr>
        <w:t xml:space="preserve">ldīti saskaņā ar citas dalībvalsts tiesību aktiem, nav piemērojams </w:t>
      </w:r>
      <w:r>
        <w:rPr>
          <w:rFonts w:asciiTheme="majorHAnsi" w:hAnsiTheme="majorHAnsi"/>
          <w:noProof/>
          <w:color w:val="000000"/>
        </w:rPr>
        <w:t>SSC.52. pants [Apdrošināšanas vai dzīvesvietas periodi, kas ir mazāki par vienu gadu]</w:t>
      </w:r>
      <w:r>
        <w:rPr>
          <w:rFonts w:asciiTheme="majorHAnsi" w:hAnsiTheme="majorHAnsi"/>
          <w:noProof/>
        </w:rPr>
        <w:t>.</w:t>
      </w:r>
      <w:r>
        <w:rPr>
          <w:rFonts w:asciiTheme="majorHAnsi" w:hAnsiTheme="majorHAnsi"/>
          <w:noProof/>
          <w:color w:val="000000"/>
        </w:rPr>
        <w:t xml:space="preserve">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Neatkarīgi no 1., 2. un 3. punkta proporcionālo aprēķinu nepiemēro sistēmām, kas piešķir pabalstus</w:t>
      </w:r>
      <w:r>
        <w:rPr>
          <w:rFonts w:asciiTheme="majorHAnsi" w:hAnsiTheme="majorHAnsi"/>
          <w:noProof/>
          <w:color w:val="000000"/>
        </w:rPr>
        <w:t>, kurus aprēķinot periodiem nav nekādas nozīmes, ja šādas sistēmas ir uzskaitītas SSC-4. pielikuma [Gadījumi, kad proporcionālo aprēķinu neizmanto vai tas nav piemērojams] 2. daļā. Šādos gadījumos attiecīgajai personai ir tiesības uz pabalstu, kas aprēķinā</w:t>
      </w:r>
      <w:r>
        <w:rPr>
          <w:rFonts w:asciiTheme="majorHAnsi" w:hAnsiTheme="majorHAnsi"/>
          <w:noProof/>
          <w:color w:val="000000"/>
        </w:rPr>
        <w:t xml:space="preserve">ts saskaņā ar attiecīgās valsts tiesību aktiem. </w:t>
      </w:r>
    </w:p>
    <w:p w:rsidR="003E022D" w:rsidRDefault="007D19D6">
      <w:pPr>
        <w:pStyle w:val="Article"/>
        <w:rPr>
          <w:noProof/>
        </w:rPr>
      </w:pPr>
      <w:r>
        <w:rPr>
          <w:noProof/>
        </w:rPr>
        <w:t>SSC.48. pants.  Noteikumi par pārklāšanās novēršanu</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Tādu vecuma un apgādnieka zaudējuma pabalstu pārklāšanos, kas aprēķināti vai sniegti, pamatojoties uz apdrošināšanas vai dzīvesvietas periodiem, ko izpi</w:t>
      </w:r>
      <w:r>
        <w:rPr>
          <w:rFonts w:asciiTheme="majorHAnsi" w:hAnsiTheme="majorHAnsi"/>
          <w:noProof/>
          <w:color w:val="000000"/>
        </w:rPr>
        <w:t xml:space="preserve">ldījusi viena un tā pati persona, uzskata par viena veida pabalstu pārklāšanos.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Tādu pabalstu pārklāšanos, ko 1. punkta nozīmē nevar uzskatīt par viena veida pabalstiem, uzskata par atšķirīgu pabalstu pārklāšanos.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Gadījumos, kad pabalsts attiecībā </w:t>
      </w:r>
      <w:r>
        <w:rPr>
          <w:rFonts w:asciiTheme="majorHAnsi" w:hAnsiTheme="majorHAnsi"/>
          <w:noProof/>
          <w:color w:val="000000"/>
        </w:rPr>
        <w:t xml:space="preserve">uz vecumu vai apgādnieka zaudējumu pārklājas ar tāda paša veida pabalstu vai atšķirīga veida pabalstu, vai citiem ienākumiem, uz valsts tiesību aktos izklāstīto pārklāšanās novēršanas noteikumu piemērošanu attiecas šādi noteikumi: </w:t>
      </w:r>
    </w:p>
    <w:p w:rsidR="003E022D" w:rsidRDefault="007D19D6">
      <w:pPr>
        <w:pStyle w:val="Subparagraphab"/>
        <w:numPr>
          <w:ilvl w:val="0"/>
          <w:numId w:val="1041"/>
        </w:numPr>
        <w:ind w:left="567" w:hanging="567"/>
        <w:rPr>
          <w:rFonts w:asciiTheme="majorHAnsi" w:hAnsiTheme="majorHAnsi"/>
          <w:noProof/>
        </w:rPr>
      </w:pPr>
      <w:r>
        <w:rPr>
          <w:rFonts w:asciiTheme="majorHAnsi" w:hAnsiTheme="majorHAnsi"/>
          <w:noProof/>
        </w:rPr>
        <w:t>kompetentā iestāde ņem v</w:t>
      </w:r>
      <w:r>
        <w:rPr>
          <w:rFonts w:asciiTheme="majorHAnsi" w:hAnsiTheme="majorHAnsi"/>
          <w:noProof/>
        </w:rPr>
        <w:t>ērā pabalstus vai ienākumus, kas iegūti citā valstī, tikai tad, ja tiesību akti, ko tā piemēro, nosaka, ka jāņem vērā ārvalstīs iegūtie pabalsti vai ienākumi;</w:t>
      </w:r>
    </w:p>
    <w:p w:rsidR="003E022D" w:rsidRDefault="007D19D6">
      <w:pPr>
        <w:pStyle w:val="Subparagraphab"/>
        <w:numPr>
          <w:ilvl w:val="0"/>
          <w:numId w:val="1041"/>
        </w:numPr>
        <w:ind w:left="567" w:hanging="567"/>
        <w:rPr>
          <w:rFonts w:asciiTheme="majorHAnsi" w:hAnsiTheme="majorHAnsi"/>
          <w:noProof/>
        </w:rPr>
      </w:pPr>
      <w:r>
        <w:rPr>
          <w:rFonts w:asciiTheme="majorHAnsi" w:hAnsiTheme="majorHAnsi"/>
          <w:noProof/>
        </w:rPr>
        <w:t>pirms nodokļu, sociālās nodrošināšanas maksājumu un citu atsevišķu nodevu atskaitīšanas kompetent</w:t>
      </w:r>
      <w:r>
        <w:rPr>
          <w:rFonts w:asciiTheme="majorHAnsi" w:hAnsiTheme="majorHAnsi"/>
          <w:noProof/>
        </w:rPr>
        <w:t>ā iestāde ņem vērā pabalstu summas, kuras izmaksāt pienākas citām valstīm, izņemot gadījumus, kad tiesību akti, ko tā piemēro, paredz tādu noteikumu piemērošanu, kas novērš pārklāšanos pēc šiem atskaitījumiem, saskaņā ar nosacījumiem un procedūrām, kas not</w:t>
      </w:r>
      <w:r>
        <w:rPr>
          <w:rFonts w:asciiTheme="majorHAnsi" w:hAnsiTheme="majorHAnsi"/>
          <w:noProof/>
        </w:rPr>
        <w:t>eikti SSC-7. pielikumā [Īstenošanas daļa];</w:t>
      </w:r>
    </w:p>
    <w:p w:rsidR="003E022D" w:rsidRDefault="007D19D6">
      <w:pPr>
        <w:pStyle w:val="Subparagraphab"/>
        <w:numPr>
          <w:ilvl w:val="0"/>
          <w:numId w:val="1041"/>
        </w:numPr>
        <w:ind w:left="567" w:hanging="567"/>
        <w:rPr>
          <w:rFonts w:asciiTheme="majorHAnsi" w:hAnsiTheme="majorHAnsi"/>
          <w:noProof/>
        </w:rPr>
      </w:pPr>
      <w:r>
        <w:rPr>
          <w:rFonts w:asciiTheme="majorHAnsi" w:hAnsiTheme="majorHAnsi"/>
          <w:noProof/>
        </w:rPr>
        <w:t>kompetentā iestāde neņem vērā to pabalstu summas, kas saskaņā ar citas valsts tiesību aktiem iegūti, pamatojoties uz brīvprātīgu apdrošināšanu vai fakultatīvi turpināmu apdrošināšanu;</w:t>
      </w:r>
    </w:p>
    <w:p w:rsidR="003E022D" w:rsidRDefault="007D19D6">
      <w:pPr>
        <w:pStyle w:val="Subparagraphab"/>
        <w:numPr>
          <w:ilvl w:val="0"/>
          <w:numId w:val="1041"/>
        </w:numPr>
        <w:ind w:left="567" w:hanging="567"/>
        <w:rPr>
          <w:rFonts w:asciiTheme="majorHAnsi" w:eastAsia="Arial" w:hAnsiTheme="majorHAnsi" w:cs="Arial"/>
          <w:noProof/>
          <w:color w:val="000000"/>
        </w:rPr>
      </w:pPr>
      <w:r>
        <w:rPr>
          <w:rFonts w:asciiTheme="majorHAnsi" w:hAnsiTheme="majorHAnsi"/>
          <w:noProof/>
        </w:rPr>
        <w:t>ja viena valsts piemēro pārkl</w:t>
      </w:r>
      <w:r>
        <w:rPr>
          <w:rFonts w:asciiTheme="majorHAnsi" w:hAnsiTheme="majorHAnsi"/>
          <w:noProof/>
        </w:rPr>
        <w:t>āšanās novēršanas noteikumus tāpēc, ka attiecīgā persona saņem viena veida vai atšķirīga veida pabalstus saskaņā ar citu valstu tiesību aktiem vai ienākumus, kas iegūti citās valstīs, tad pabalstu, kas pienākas, var samazināt tikai par tādu pabalstu vai tā</w:t>
      </w:r>
      <w:r>
        <w:rPr>
          <w:rFonts w:asciiTheme="majorHAnsi" w:hAnsiTheme="majorHAnsi"/>
          <w:noProof/>
        </w:rPr>
        <w:t>du ienākumu summu.</w:t>
      </w:r>
    </w:p>
    <w:p w:rsidR="003E022D" w:rsidRDefault="007D19D6">
      <w:pPr>
        <w:pStyle w:val="Article"/>
        <w:rPr>
          <w:noProof/>
        </w:rPr>
      </w:pPr>
      <w:r>
        <w:rPr>
          <w:noProof/>
        </w:rPr>
        <w:t>SSC.49. pants.  Viena veida pabalstu pārklāšanās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Ja pārklājas viena veida pabalsti, kas pienākas saskaņā ar divu vai vairāku valstu tiesību aktiem, noteikumi, kuri valsts tiesību aktos paredzēti, lai novērstu pārklāšanos, nav piemēroj</w:t>
      </w:r>
      <w:r>
        <w:rPr>
          <w:rFonts w:asciiTheme="majorHAnsi" w:hAnsiTheme="majorHAnsi"/>
          <w:noProof/>
          <w:color w:val="000000"/>
        </w:rPr>
        <w:t xml:space="preserve">ami proporcionālam pabalstam.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Noteikumus, kas paredzēti, lai novērstu pārklāšanos, piemēro neatkarīgam pabalstam tikai tad, ja attiecīgais pabalsts: </w:t>
      </w:r>
    </w:p>
    <w:p w:rsidR="003E022D" w:rsidRDefault="007D19D6">
      <w:pPr>
        <w:pStyle w:val="Subparagraphab"/>
        <w:numPr>
          <w:ilvl w:val="0"/>
          <w:numId w:val="1042"/>
        </w:numPr>
        <w:ind w:left="567" w:hanging="567"/>
        <w:rPr>
          <w:rFonts w:asciiTheme="majorHAnsi" w:hAnsiTheme="majorHAnsi"/>
          <w:noProof/>
        </w:rPr>
      </w:pPr>
      <w:r>
        <w:rPr>
          <w:rFonts w:asciiTheme="majorHAnsi" w:hAnsiTheme="majorHAnsi"/>
          <w:noProof/>
        </w:rPr>
        <w:t xml:space="preserve">ir pabalsts, kura summa nav atkarīga no apdrošināšanas vai dzīvesvietas periodu ilguma, vai </w:t>
      </w:r>
    </w:p>
    <w:p w:rsidR="003E022D" w:rsidRDefault="007D19D6">
      <w:pPr>
        <w:pStyle w:val="Subparagraphab"/>
        <w:numPr>
          <w:ilvl w:val="0"/>
          <w:numId w:val="1042"/>
        </w:numPr>
        <w:ind w:left="567" w:hanging="567"/>
        <w:rPr>
          <w:rFonts w:asciiTheme="majorHAnsi" w:eastAsia="Arial" w:hAnsiTheme="majorHAnsi" w:cs="Arial"/>
          <w:noProof/>
          <w:color w:val="000000"/>
        </w:rPr>
      </w:pPr>
      <w:r>
        <w:rPr>
          <w:rFonts w:asciiTheme="majorHAnsi" w:hAnsiTheme="majorHAnsi"/>
          <w:noProof/>
        </w:rPr>
        <w:t xml:space="preserve">ir </w:t>
      </w:r>
      <w:r>
        <w:rPr>
          <w:rFonts w:asciiTheme="majorHAnsi" w:hAnsiTheme="majorHAnsi"/>
          <w:noProof/>
        </w:rPr>
        <w:t>pabalsts, kura summa ir noteikta, pamatojoties uz iemaksu periodu, kas uzskatāms par izpildītu laikā starp dienu, kurā iestājas apdrošināšanas gadījums, un vēlāku datumu, un kurš pārklājas:</w:t>
      </w:r>
      <w:r>
        <w:rPr>
          <w:rFonts w:asciiTheme="majorHAnsi" w:hAnsiTheme="majorHAnsi"/>
          <w:noProof/>
          <w:color w:val="000000"/>
        </w:rPr>
        <w:t xml:space="preserve"> </w:t>
      </w:r>
    </w:p>
    <w:p w:rsidR="003E022D" w:rsidRDefault="007D19D6">
      <w:pPr>
        <w:numPr>
          <w:ilvl w:val="0"/>
          <w:numId w:val="1010"/>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ar tāda paša veida pabalstu, izņemot gadījumu, kad ir noslēgts no</w:t>
      </w:r>
      <w:r>
        <w:rPr>
          <w:rFonts w:asciiTheme="majorHAnsi" w:hAnsiTheme="majorHAnsi"/>
          <w:noProof/>
          <w:color w:val="000000"/>
        </w:rPr>
        <w:t xml:space="preserve">līgums starp divām vai vairāk valstīm, lai novērstu to, ka to pašu iemaksu periodu ņem vērā vairāk nekā vienu reizi, vai </w:t>
      </w:r>
    </w:p>
    <w:p w:rsidR="003E022D" w:rsidRDefault="007D19D6">
      <w:pPr>
        <w:numPr>
          <w:ilvl w:val="0"/>
          <w:numId w:val="1010"/>
        </w:numPr>
        <w:pBdr>
          <w:top w:val="nil"/>
          <w:left w:val="nil"/>
          <w:bottom w:val="nil"/>
          <w:right w:val="nil"/>
          <w:between w:val="nil"/>
        </w:pBdr>
        <w:spacing w:before="128"/>
        <w:ind w:left="1276" w:right="-4" w:hanging="567"/>
        <w:rPr>
          <w:rFonts w:asciiTheme="majorHAnsi" w:eastAsia="Arial" w:hAnsiTheme="majorHAnsi" w:cs="Arial"/>
          <w:noProof/>
          <w:color w:val="000000"/>
        </w:rPr>
      </w:pPr>
      <w:r>
        <w:rPr>
          <w:rFonts w:asciiTheme="majorHAnsi" w:hAnsiTheme="majorHAnsi"/>
          <w:noProof/>
          <w:color w:val="000000"/>
        </w:rPr>
        <w:t xml:space="preserve">ar pabalstu, kas minēts a) apakšpunktā. </w:t>
      </w:r>
    </w:p>
    <w:p w:rsidR="003E022D" w:rsidRDefault="007D19D6">
      <w:pPr>
        <w:rPr>
          <w:rFonts w:asciiTheme="majorHAnsi" w:eastAsia="Arial" w:hAnsiTheme="majorHAnsi" w:cs="Arial"/>
          <w:i/>
          <w:noProof/>
        </w:rPr>
      </w:pPr>
      <w:r>
        <w:rPr>
          <w:rFonts w:asciiTheme="majorHAnsi" w:hAnsiTheme="majorHAnsi"/>
          <w:noProof/>
          <w:color w:val="000000"/>
        </w:rPr>
        <w:t>Pabalsti un nolīgumi, kas minēti a) un b) apakšpunktā, ir uzskaitīti SSC-5. pielikumā [Pabals</w:t>
      </w:r>
      <w:r>
        <w:rPr>
          <w:rFonts w:asciiTheme="majorHAnsi" w:hAnsiTheme="majorHAnsi"/>
          <w:noProof/>
          <w:color w:val="000000"/>
        </w:rPr>
        <w:t>ti un nolīgumi, kas ļauj piemērot SSC.49. pantu [Viena veida pabalstu pārklāšanās].</w:t>
      </w:r>
    </w:p>
    <w:p w:rsidR="003E022D" w:rsidRDefault="007D19D6">
      <w:pPr>
        <w:pStyle w:val="Article"/>
        <w:rPr>
          <w:noProof/>
        </w:rPr>
      </w:pPr>
      <w:r>
        <w:rPr>
          <w:noProof/>
        </w:rPr>
        <w:t>SSC.50. pants.  Atšķirīgu pabalstu pārklāšanās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Ja atšķirīga veida pabalstu vai citu ienākumu saņemšanas noteikumi, kas attiecīgo valstu tiesību aktos paredzēti, lai novērstu pārklāšanos, jāpiemēro attiecībā uz: </w:t>
      </w:r>
    </w:p>
    <w:p w:rsidR="003E022D" w:rsidRDefault="007D19D6">
      <w:pPr>
        <w:pStyle w:val="Subparagraphab"/>
        <w:numPr>
          <w:ilvl w:val="0"/>
          <w:numId w:val="1043"/>
        </w:numPr>
        <w:ind w:left="567" w:hanging="567"/>
        <w:rPr>
          <w:rFonts w:asciiTheme="majorHAnsi" w:hAnsiTheme="majorHAnsi"/>
          <w:noProof/>
        </w:rPr>
      </w:pPr>
      <w:r>
        <w:rPr>
          <w:rFonts w:asciiTheme="majorHAnsi" w:hAnsiTheme="majorHAnsi"/>
          <w:noProof/>
        </w:rPr>
        <w:t xml:space="preserve">diviem vai vairākiem neatkarīgiem pabalstiem, kompetentā iestāde pabalsta, pabalstu vai </w:t>
      </w:r>
      <w:r>
        <w:rPr>
          <w:rFonts w:asciiTheme="majorHAnsi" w:hAnsiTheme="majorHAnsi"/>
          <w:noProof/>
        </w:rPr>
        <w:t>citu ienākumu summas, kas ir ņemtas vērā, izdala ar to pabalstu skaitu, uz ko attiecas minētie noteikumi;</w:t>
      </w:r>
    </w:p>
    <w:p w:rsidR="003E022D" w:rsidRDefault="007D19D6">
      <w:pPr>
        <w:pStyle w:val="Subparagraphab"/>
        <w:ind w:left="567"/>
        <w:rPr>
          <w:rFonts w:asciiTheme="majorHAnsi" w:hAnsiTheme="majorHAnsi"/>
          <w:noProof/>
        </w:rPr>
      </w:pPr>
      <w:r>
        <w:rPr>
          <w:rFonts w:asciiTheme="majorHAnsi" w:hAnsiTheme="majorHAnsi"/>
          <w:noProof/>
        </w:rPr>
        <w:t xml:space="preserve">tomēr, piemērojot šo apakšpunktu, nevar atņemt attiecīgai personai tās pensionāra statusu, kas vajadzīgs citu šīs sadaļas nodaļu piemērošanai saskaņā </w:t>
      </w:r>
      <w:r>
        <w:rPr>
          <w:rFonts w:asciiTheme="majorHAnsi" w:hAnsiTheme="majorHAnsi"/>
          <w:noProof/>
        </w:rPr>
        <w:t>ar nosacījumiem un procedūrām, kuras noteiktas SSC-7. pielikumā [Īstenošanas daļa];</w:t>
      </w:r>
    </w:p>
    <w:p w:rsidR="003E022D" w:rsidRDefault="007D19D6">
      <w:pPr>
        <w:pStyle w:val="Subparagraphab"/>
        <w:numPr>
          <w:ilvl w:val="0"/>
          <w:numId w:val="1043"/>
        </w:numPr>
        <w:ind w:left="567" w:hanging="567"/>
        <w:rPr>
          <w:rFonts w:asciiTheme="majorHAnsi" w:hAnsiTheme="majorHAnsi"/>
          <w:noProof/>
        </w:rPr>
      </w:pPr>
      <w:r>
        <w:rPr>
          <w:rFonts w:asciiTheme="majorHAnsi" w:hAnsiTheme="majorHAnsi"/>
          <w:noProof/>
        </w:rPr>
        <w:t>vienu vai vairākiem proporcionāliem pabalstiem, kompetentā iestāde ņem vērā pabalstu, pabalstus vai citus ienākumus un visus elementus, kas noteikti noteikumu piemērošanai,</w:t>
      </w:r>
      <w:r>
        <w:rPr>
          <w:rFonts w:asciiTheme="majorHAnsi" w:hAnsiTheme="majorHAnsi"/>
          <w:noProof/>
        </w:rPr>
        <w:t xml:space="preserve"> lai novērstu pārklāšanos, kā atkarīgos no attiecības starp apdrošināšanas vai dzīvesvietas periodiem, kas noteikti SSC.47. panta [Pabalstu piešķiršana] 1. punkta b) apakšpunkta ii) punktā minētajam aprēķinam;</w:t>
      </w:r>
    </w:p>
    <w:p w:rsidR="003E022D" w:rsidRDefault="007D19D6">
      <w:pPr>
        <w:pStyle w:val="Subparagraphab"/>
        <w:numPr>
          <w:ilvl w:val="0"/>
          <w:numId w:val="1043"/>
        </w:numPr>
        <w:ind w:left="567" w:hanging="567"/>
        <w:rPr>
          <w:rFonts w:asciiTheme="majorHAnsi" w:eastAsia="Arial" w:hAnsiTheme="majorHAnsi" w:cs="Arial"/>
          <w:noProof/>
          <w:color w:val="000000"/>
        </w:rPr>
      </w:pPr>
      <w:r>
        <w:rPr>
          <w:rFonts w:asciiTheme="majorHAnsi" w:hAnsiTheme="majorHAnsi"/>
          <w:noProof/>
        </w:rPr>
        <w:t>vienu vai vairākiem neatkarīgiem pabalstiem un</w:t>
      </w:r>
      <w:r>
        <w:rPr>
          <w:rFonts w:asciiTheme="majorHAnsi" w:hAnsiTheme="majorHAnsi"/>
          <w:noProof/>
        </w:rPr>
        <w:t xml:space="preserve"> vienu vai vairākiem proporcionāliem pabalstiem, kompetentā iestāde pēc analoģijas piemēro a) apakšpunktu attiecībā uz neatkarīgiem pabalstiem un b) apakšpunktu attiecībā uz proporcionāliem pabalstiem.</w:t>
      </w:r>
      <w:r>
        <w:rPr>
          <w:rFonts w:asciiTheme="majorHAnsi" w:hAnsiTheme="majorHAnsi"/>
          <w:noProof/>
          <w:color w:val="000000"/>
        </w:rPr>
        <w:t xml:space="preserve">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Kompetentā iestāde nepiemēro dalīšanu, kas noteikt</w:t>
      </w:r>
      <w:r>
        <w:rPr>
          <w:rFonts w:asciiTheme="majorHAnsi" w:hAnsiTheme="majorHAnsi"/>
          <w:noProof/>
        </w:rPr>
        <w:t>a attiecībā uz neatkarīgiem pabalstiem, ja tiesību akti, ko tā piemēro, paredz ņemt vērā atšķirīga veida pabalstus vai citus ienākumus, un visus citus elementus, lai aprēķinātu to summas daļu, ko nosaka atkarībā no attiecības starp apdrošināšanas vai dzīve</w:t>
      </w:r>
      <w:r>
        <w:rPr>
          <w:rFonts w:asciiTheme="majorHAnsi" w:hAnsiTheme="majorHAnsi"/>
          <w:noProof/>
        </w:rPr>
        <w:t>svietas periodiem, kas minēti SSC.47. panta [Pabalstu piešķiršana] 1. punkta b) apakšpunkta ii) punktā.</w:t>
      </w:r>
      <w:r>
        <w:rPr>
          <w:rFonts w:asciiTheme="majorHAnsi" w:hAnsiTheme="majorHAnsi"/>
          <w:noProof/>
          <w:color w:val="000000"/>
        </w:rPr>
        <w:t xml:space="preserve"> </w:t>
      </w:r>
    </w:p>
    <w:p w:rsidR="003E022D" w:rsidRDefault="007D19D6">
      <w:pPr>
        <w:pBdr>
          <w:top w:val="nil"/>
          <w:left w:val="nil"/>
          <w:bottom w:val="nil"/>
          <w:right w:val="nil"/>
          <w:between w:val="nil"/>
        </w:pBdr>
        <w:rPr>
          <w:rFonts w:asciiTheme="majorHAnsi" w:eastAsia="Arial" w:hAnsiTheme="majorHAnsi" w:cs="Arial"/>
          <w:noProof/>
          <w:color w:val="FF0000"/>
        </w:rPr>
      </w:pPr>
      <w:r>
        <w:rPr>
          <w:rFonts w:asciiTheme="majorHAnsi" w:hAnsiTheme="majorHAnsi"/>
          <w:noProof/>
          <w:color w:val="000000"/>
        </w:rPr>
        <w:t>3.</w:t>
      </w:r>
      <w:r>
        <w:rPr>
          <w:noProof/>
        </w:rPr>
        <w:tab/>
      </w:r>
      <w:r>
        <w:rPr>
          <w:rFonts w:asciiTheme="majorHAnsi" w:hAnsiTheme="majorHAnsi"/>
          <w:noProof/>
          <w:color w:val="000000"/>
        </w:rPr>
        <w:t>Šā panta 1. un 2. punktu piemēro pēc analoģijas, ja vienas vai vairāku valstu tiesību aktos ir noteikts, ka tiesības uz pabalstu nevar iegūt gadījum</w:t>
      </w:r>
      <w:r>
        <w:rPr>
          <w:rFonts w:asciiTheme="majorHAnsi" w:hAnsiTheme="majorHAnsi"/>
          <w:noProof/>
          <w:color w:val="000000"/>
        </w:rPr>
        <w:t>ā, kad attiecīgā persona saņem atšķirīga veida pabalstu, kas maksājams saskaņā ar citas valsts tiesību aktiem, vai citus ienākumus.</w:t>
      </w:r>
    </w:p>
    <w:p w:rsidR="003E022D" w:rsidRDefault="007D19D6">
      <w:pPr>
        <w:pStyle w:val="Article"/>
        <w:rPr>
          <w:noProof/>
        </w:rPr>
      </w:pPr>
      <w:r>
        <w:rPr>
          <w:noProof/>
        </w:rPr>
        <w:t>SSC.51. pants.  Papildu noteikumi pabalstu aprēķināšanai</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Lai aprēķinātu SSC.47. panta [Pabalstu piešķiršana] 1. punktā b)</w:t>
      </w:r>
      <w:r>
        <w:rPr>
          <w:rFonts w:asciiTheme="majorHAnsi" w:hAnsiTheme="majorHAnsi"/>
          <w:noProof/>
          <w:color w:val="000000"/>
        </w:rPr>
        <w:t xml:space="preserve"> apakšpunktā minētās teorētiskās un proporcionālās summas, piemēro šādus noteikumus: </w:t>
      </w:r>
    </w:p>
    <w:p w:rsidR="003E022D" w:rsidRDefault="007D19D6">
      <w:pPr>
        <w:pStyle w:val="Subparagraphab"/>
        <w:numPr>
          <w:ilvl w:val="0"/>
          <w:numId w:val="1044"/>
        </w:numPr>
        <w:ind w:left="567" w:hanging="567"/>
        <w:rPr>
          <w:rFonts w:asciiTheme="majorHAnsi" w:hAnsiTheme="majorHAnsi"/>
          <w:noProof/>
        </w:rPr>
      </w:pPr>
      <w:r>
        <w:rPr>
          <w:rFonts w:asciiTheme="majorHAnsi" w:hAnsiTheme="majorHAnsi"/>
          <w:noProof/>
        </w:rPr>
        <w:t xml:space="preserve">ja kopējais to apdrošināšanas vai dzīvesvietas periodu ilgums, kas pirms apdrošināšanas gadījuma iestāšanās izpildīts saskaņā ar visu attiecīgo valstu tiesību aktiem, ir </w:t>
      </w:r>
      <w:r>
        <w:rPr>
          <w:rFonts w:asciiTheme="majorHAnsi" w:hAnsiTheme="majorHAnsi"/>
          <w:noProof/>
        </w:rPr>
        <w:t>lielāks nekā maksimālais periods, ko pieprasa kādas šādas valsts tiesību akti pilna apmēra pabalsta saņemšanai, minētās valsts kompetentā iestāde izpildīto periodu kopējā ilguma vietā ņem vērā šo maksimālo periodu; izmantojot šo aprēķina metodi, šai iestād</w:t>
      </w:r>
      <w:r>
        <w:rPr>
          <w:rFonts w:asciiTheme="majorHAnsi" w:hAnsiTheme="majorHAnsi"/>
          <w:noProof/>
        </w:rPr>
        <w:t>ei neuzliek lielāka pabalsta izmaksu nekā pilna apmēra pabalsts, ko paredz tiesību akti, kurus tā piemēro. Šis noteikums neattiecas uz pabalstiem, kuru summa nav atkarīga no apdrošināšanas ilguma;</w:t>
      </w:r>
    </w:p>
    <w:p w:rsidR="003E022D" w:rsidRDefault="007D19D6">
      <w:pPr>
        <w:pStyle w:val="Subparagraphab"/>
        <w:numPr>
          <w:ilvl w:val="0"/>
          <w:numId w:val="1044"/>
        </w:numPr>
        <w:ind w:left="567" w:hanging="567"/>
        <w:rPr>
          <w:rFonts w:asciiTheme="majorHAnsi" w:hAnsiTheme="majorHAnsi"/>
          <w:noProof/>
        </w:rPr>
      </w:pPr>
      <w:r>
        <w:rPr>
          <w:rFonts w:asciiTheme="majorHAnsi" w:hAnsiTheme="majorHAnsi"/>
          <w:noProof/>
        </w:rPr>
        <w:t>procedūra, kas paredzēta, lai ņemtu vērā periodus, kuri pār</w:t>
      </w:r>
      <w:r>
        <w:rPr>
          <w:rFonts w:asciiTheme="majorHAnsi" w:hAnsiTheme="majorHAnsi"/>
          <w:noProof/>
        </w:rPr>
        <w:t xml:space="preserve">klājas, ir noteikta SSC-7. pielikumā [Īstenošanas daļa]; </w:t>
      </w:r>
    </w:p>
    <w:p w:rsidR="003E022D" w:rsidRDefault="007D19D6">
      <w:pPr>
        <w:pStyle w:val="Subparagraphab"/>
        <w:numPr>
          <w:ilvl w:val="0"/>
          <w:numId w:val="1044"/>
        </w:numPr>
        <w:ind w:left="567" w:hanging="567"/>
        <w:rPr>
          <w:rFonts w:asciiTheme="majorHAnsi" w:eastAsia="Arial" w:hAnsiTheme="majorHAnsi" w:cs="Arial"/>
          <w:noProof/>
          <w:color w:val="000000"/>
        </w:rPr>
      </w:pPr>
      <w:r>
        <w:rPr>
          <w:rFonts w:asciiTheme="majorHAnsi" w:hAnsiTheme="majorHAnsi"/>
          <w:noProof/>
        </w:rPr>
        <w:t>ja valsts tiesību akti paredz, ka pabalsti jāaprēķina, pamatojoties uz ienākumiem, iemaksām, ieņēmumiem, citām summām vai vairāku šo summu kombinācijas (vidējais, proporcionālais, fiksētais vai kred</w:t>
      </w:r>
      <w:r>
        <w:rPr>
          <w:rFonts w:asciiTheme="majorHAnsi" w:hAnsiTheme="majorHAnsi"/>
          <w:noProof/>
        </w:rPr>
        <w:t>itētais lielums), kompetentā iestāde:</w:t>
      </w:r>
      <w:r>
        <w:rPr>
          <w:rFonts w:asciiTheme="majorHAnsi" w:hAnsiTheme="majorHAnsi"/>
          <w:noProof/>
          <w:color w:val="000000"/>
        </w:rPr>
        <w:t xml:space="preserve"> </w:t>
      </w:r>
    </w:p>
    <w:p w:rsidR="003E022D" w:rsidRDefault="007D19D6">
      <w:pPr>
        <w:numPr>
          <w:ilvl w:val="0"/>
          <w:numId w:val="1016"/>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nosaka pamatu pabalstu aprēķinam atbilstoši tikai apdrošināšanas periodiem, kas izpildīti saskaņā ar tiesību aktiem, ko tā piemēro; </w:t>
      </w:r>
    </w:p>
    <w:p w:rsidR="003E022D" w:rsidRDefault="007D19D6">
      <w:pPr>
        <w:numPr>
          <w:ilvl w:val="0"/>
          <w:numId w:val="1016"/>
        </w:numPr>
        <w:pBdr>
          <w:top w:val="nil"/>
          <w:left w:val="nil"/>
          <w:bottom w:val="nil"/>
          <w:right w:val="nil"/>
          <w:between w:val="nil"/>
        </w:pBdr>
        <w:spacing w:before="128"/>
        <w:ind w:left="1276" w:right="-5" w:hanging="567"/>
        <w:rPr>
          <w:rFonts w:asciiTheme="majorHAnsi" w:eastAsia="Arial" w:hAnsiTheme="majorHAnsi" w:cs="Arial"/>
          <w:noProof/>
          <w:color w:val="000000"/>
        </w:rPr>
      </w:pPr>
      <w:r>
        <w:rPr>
          <w:rFonts w:asciiTheme="majorHAnsi" w:hAnsiTheme="majorHAnsi"/>
          <w:noProof/>
          <w:color w:val="000000"/>
        </w:rPr>
        <w:t>lai noteiktu summu, kas jāaprēķina atbilstoši apdrošināšanas vai dzīvesvietas periodiem, kuri izpildīti saskaņā ar citu valstu tiesību aktiem, izmanto tos pašus elementus, kas noteikti vai reģistrēti attiecībā uz apdrošināšanas periodiem, kuri izpildīti sa</w:t>
      </w:r>
      <w:r>
        <w:rPr>
          <w:rFonts w:asciiTheme="majorHAnsi" w:hAnsiTheme="majorHAnsi"/>
          <w:noProof/>
          <w:color w:val="000000"/>
        </w:rPr>
        <w:t xml:space="preserve">skaņā ar tiesību aktiem, ko tā piemēro; </w:t>
      </w:r>
    </w:p>
    <w:p w:rsidR="003E022D" w:rsidRDefault="007D19D6">
      <w:pPr>
        <w:spacing w:before="128"/>
        <w:ind w:left="1276" w:right="-4" w:firstLine="2"/>
        <w:rPr>
          <w:rFonts w:asciiTheme="majorHAnsi" w:eastAsia="Arial" w:hAnsiTheme="majorHAnsi" w:cs="Arial"/>
          <w:noProof/>
        </w:rPr>
      </w:pPr>
      <w:r>
        <w:rPr>
          <w:rFonts w:asciiTheme="majorHAnsi" w:hAnsiTheme="majorHAnsi"/>
          <w:noProof/>
          <w:color w:val="000000"/>
        </w:rPr>
        <w:t xml:space="preserve">vajadzības gadījumā atbilstīgi procedūrām, kas attiecīgai dalībvalstij noteiktas SSC-6. pielikumā [Īpaši noteikumi dalībvalstu un Apvienotās Karalistes tiesību aktu piemērošanai]; </w:t>
      </w:r>
    </w:p>
    <w:p w:rsidR="003E022D" w:rsidRDefault="007D19D6">
      <w:pPr>
        <w:numPr>
          <w:ilvl w:val="0"/>
          <w:numId w:val="1015"/>
        </w:numPr>
        <w:pBdr>
          <w:top w:val="nil"/>
          <w:left w:val="nil"/>
          <w:bottom w:val="nil"/>
          <w:right w:val="nil"/>
          <w:between w:val="nil"/>
        </w:pBdr>
        <w:spacing w:before="128"/>
        <w:ind w:left="567" w:right="-6" w:hanging="567"/>
        <w:rPr>
          <w:rFonts w:asciiTheme="majorHAnsi" w:eastAsia="Arial" w:hAnsiTheme="majorHAnsi" w:cs="Arial"/>
          <w:noProof/>
          <w:color w:val="000000"/>
        </w:rPr>
      </w:pPr>
      <w:r>
        <w:rPr>
          <w:rFonts w:asciiTheme="majorHAnsi" w:hAnsiTheme="majorHAnsi"/>
          <w:noProof/>
          <w:color w:val="000000"/>
        </w:rPr>
        <w:t>ja c) apakšpunktu nepiemēro tādēļ,</w:t>
      </w:r>
      <w:r>
        <w:rPr>
          <w:rFonts w:asciiTheme="majorHAnsi" w:hAnsiTheme="majorHAnsi"/>
          <w:noProof/>
          <w:color w:val="000000"/>
        </w:rPr>
        <w:t xml:space="preserve"> ka valsts tiesību akti paredz, ka pabalstu aprēķina, pamatojoties uz elementiem, kas nav apdrošināšanas periodi vai dzīvesvietas periodi un kas nav saistīti ar laiku, kompetentā iestāde attiecībā uz jebkuru apdrošināšanas vai dzīvesvietas periodu, kas izp</w:t>
      </w:r>
      <w:r>
        <w:rPr>
          <w:rFonts w:asciiTheme="majorHAnsi" w:hAnsiTheme="majorHAnsi"/>
          <w:noProof/>
          <w:color w:val="000000"/>
        </w:rPr>
        <w:t xml:space="preserve">ildīts saskaņā ar jebkuras citas valsts tiesību aktiem, ņem vērā uzkrātā kapitāla apmēru, kapitālu, ko uzskata par uzkrātu, vai jebkādu citu aprēķinu elementu, to dalot ar attiecīgās pensiju sistēmas atbilstīgām periodu vienībām.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Valsts tiesību aktu no</w:t>
      </w:r>
      <w:r>
        <w:rPr>
          <w:rFonts w:asciiTheme="majorHAnsi" w:hAnsiTheme="majorHAnsi"/>
          <w:noProof/>
          <w:color w:val="000000"/>
        </w:rPr>
        <w:t>teikumus par tādu elementu korekciju, kuri ņemti vērā, aprēķinot pabalstus, piemēro attiecīgā gadījumā tādiem elementiem, kas jāņem vērā šīs valsts kompetentajai iestādei saskaņā ar 1. punktu attiecībā uz apdrošināšanas vai dzīvesvietas periodiem, kas izpi</w:t>
      </w:r>
      <w:r>
        <w:rPr>
          <w:rFonts w:asciiTheme="majorHAnsi" w:hAnsiTheme="majorHAnsi"/>
          <w:noProof/>
          <w:color w:val="000000"/>
        </w:rPr>
        <w:t>ldīti atbilstoši citu valstu tiesību aktiem.</w:t>
      </w:r>
    </w:p>
    <w:p w:rsidR="003E022D" w:rsidRDefault="007D19D6">
      <w:pPr>
        <w:pStyle w:val="Article"/>
        <w:rPr>
          <w:noProof/>
        </w:rPr>
      </w:pPr>
      <w:r>
        <w:rPr>
          <w:noProof/>
        </w:rPr>
        <w:t>SSC.52. pants. Apdrošināšanas vai dzīvesvietas periodi, kas ir mazāki par vienu gadu</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Neatkarīgi no SSC.47. panta [Pabalstu piešķiršana] 1. punkta b) apakšpunkta valsts iestādei nav pienākuma piešķirt pabalstu</w:t>
      </w:r>
      <w:r>
        <w:rPr>
          <w:rFonts w:asciiTheme="majorHAnsi" w:hAnsiTheme="majorHAnsi"/>
          <w:noProof/>
          <w:color w:val="000000"/>
        </w:rPr>
        <w:t xml:space="preserve">s attiecībā uz periodiem, kas izpildīti saskaņā ar tiesību aktiem, kurus tā piemēro, un kurus ņem vērā, kad iestājas apdrošināšanas gadījums, ja: </w:t>
      </w:r>
    </w:p>
    <w:p w:rsidR="003E022D" w:rsidRDefault="007D19D6">
      <w:pPr>
        <w:pStyle w:val="Subparagraphab"/>
        <w:numPr>
          <w:ilvl w:val="0"/>
          <w:numId w:val="1045"/>
        </w:numPr>
        <w:ind w:left="567" w:hanging="567"/>
        <w:rPr>
          <w:rFonts w:asciiTheme="majorHAnsi" w:hAnsiTheme="majorHAnsi"/>
          <w:noProof/>
        </w:rPr>
      </w:pPr>
      <w:r>
        <w:rPr>
          <w:rFonts w:asciiTheme="majorHAnsi" w:hAnsiTheme="majorHAnsi"/>
          <w:noProof/>
        </w:rPr>
        <w:t>minēto periodu ilgums ir mazāks par vienu gadu;</w:t>
      </w:r>
    </w:p>
    <w:p w:rsidR="003E022D" w:rsidRDefault="007D19D6">
      <w:pPr>
        <w:pStyle w:val="Subparagraphab"/>
        <w:numPr>
          <w:ilvl w:val="0"/>
          <w:numId w:val="1045"/>
        </w:numPr>
        <w:ind w:left="567" w:hanging="567"/>
        <w:rPr>
          <w:rFonts w:asciiTheme="majorHAnsi" w:eastAsia="Arial" w:hAnsiTheme="majorHAnsi" w:cs="Arial"/>
          <w:noProof/>
          <w:color w:val="000000"/>
        </w:rPr>
      </w:pPr>
      <w:r>
        <w:rPr>
          <w:rFonts w:asciiTheme="majorHAnsi" w:hAnsiTheme="majorHAnsi"/>
          <w:noProof/>
        </w:rPr>
        <w:t xml:space="preserve">ņemot vērā tikai šos periodus, nekādas tiesības uz pabalstu </w:t>
      </w:r>
      <w:r>
        <w:rPr>
          <w:rFonts w:asciiTheme="majorHAnsi" w:hAnsiTheme="majorHAnsi"/>
          <w:noProof/>
        </w:rPr>
        <w:t>nav iegūtas saskaņā ar minētajiem tiesību aktiem.</w:t>
      </w:r>
      <w:r>
        <w:rPr>
          <w:rFonts w:asciiTheme="majorHAnsi" w:hAnsiTheme="majorHAnsi"/>
          <w:noProof/>
          <w:color w:val="000000"/>
        </w:rPr>
        <w:t xml:space="preserve"> </w:t>
      </w:r>
    </w:p>
    <w:p w:rsidR="003E022D" w:rsidRDefault="007D19D6">
      <w:pPr>
        <w:spacing w:before="129"/>
        <w:ind w:right="67"/>
        <w:rPr>
          <w:rFonts w:asciiTheme="majorHAnsi" w:eastAsia="Arial" w:hAnsiTheme="majorHAnsi" w:cs="Arial"/>
          <w:noProof/>
        </w:rPr>
      </w:pPr>
      <w:r>
        <w:rPr>
          <w:rFonts w:asciiTheme="majorHAnsi" w:hAnsiTheme="majorHAnsi"/>
          <w:noProof/>
          <w:color w:val="000000"/>
        </w:rPr>
        <w:t xml:space="preserve">Šajā pantā “periodi” ir visi apdrošināšanas, nodarbinātības, pašnodarbinātības vai dzīvesvietas periodi, kas ļauj pretendēt uz attiecīgo pabalstu vai tieši palielina to.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Katras attiecīgās valsts kompetentā iestāde SSC.47. panta [Pabalstu piešķiršana] 1. punkta b) apakšpunkta i) punkta piemērošanas nolūkā ņem vērā 1. punktā minētos periodus.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Ja, piemērojot 1. punkta noteikumus, visas attiecīgo valstu iestādes tiktu atbr</w:t>
      </w:r>
      <w:r>
        <w:rPr>
          <w:rFonts w:asciiTheme="majorHAnsi" w:hAnsiTheme="majorHAnsi"/>
          <w:noProof/>
        </w:rPr>
        <w:t xml:space="preserve">īvotas no to saistībām, pabalstus piešķir vienīgi saskaņā ar pēdējās šādas valsts tiesību aktiem, kuru nosacījumi ir izpildīti, tā, it kā visi apdrošināšanas un dzīvesvietas periodi, kas ir izpildīti un ņemti vērā saskaņā ar </w:t>
      </w:r>
      <w:r>
        <w:rPr>
          <w:rFonts w:asciiTheme="majorHAnsi" w:hAnsiTheme="majorHAnsi"/>
          <w:noProof/>
          <w:color w:val="000000"/>
        </w:rPr>
        <w:t>SSC.7. pantu [Periodu summēšana</w:t>
      </w:r>
      <w:r>
        <w:rPr>
          <w:rFonts w:asciiTheme="majorHAnsi" w:hAnsiTheme="majorHAnsi"/>
          <w:noProof/>
          <w:color w:val="000000"/>
        </w:rPr>
        <w:t>]</w:t>
      </w:r>
      <w:r>
        <w:rPr>
          <w:rFonts w:asciiTheme="majorHAnsi" w:hAnsiTheme="majorHAnsi"/>
          <w:noProof/>
        </w:rPr>
        <w:t xml:space="preserve"> un 46. panta [Īpaši noteikumi par periodu summēšanu] 1. un 2. punktu, būtu izpildīti saskaņā ar šīs valsts tiesību aktiem.</w:t>
      </w:r>
      <w:r>
        <w:rPr>
          <w:rFonts w:asciiTheme="majorHAnsi" w:hAnsiTheme="majorHAnsi"/>
          <w:noProof/>
          <w:color w:val="000000"/>
        </w:rPr>
        <w:t xml:space="preserve">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Šo pantu nepiemēro sistēmām, kas uzskaitītas SSC-4 pielikuma [Gadījumi, kad proporcionālo aprēķinu neizmanto vai tas nav piemēr</w:t>
      </w:r>
      <w:r>
        <w:rPr>
          <w:rFonts w:asciiTheme="majorHAnsi" w:hAnsiTheme="majorHAnsi"/>
          <w:noProof/>
          <w:color w:val="000000"/>
        </w:rPr>
        <w:t>ojams] 2. daļā [Gadījumi, kad piemēro 47. panta [Pabalstu piešķiršana] 5. punktu].</w:t>
      </w:r>
    </w:p>
    <w:p w:rsidR="003E022D" w:rsidRDefault="007D19D6">
      <w:pPr>
        <w:pStyle w:val="Article"/>
        <w:rPr>
          <w:noProof/>
        </w:rPr>
      </w:pPr>
      <w:r>
        <w:rPr>
          <w:noProof/>
        </w:rPr>
        <w:t>SSC.53. pants.  Piemaksas piešķiršana</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Pabalstu saņēmējam, uz kuru attiecas šī nodaļa, tajā valstī, kuras teritorijā viņš dzīvo un saskaņā ar kuras tiesību aktiem jāmaksā </w:t>
      </w:r>
      <w:r>
        <w:rPr>
          <w:rFonts w:asciiTheme="majorHAnsi" w:hAnsiTheme="majorHAnsi"/>
          <w:noProof/>
          <w:color w:val="000000"/>
        </w:rPr>
        <w:t xml:space="preserve">viņam pabalsts, nedrīkst piešķirt pabalstu, kas ir mazāks nekā pabalsta minimums, kurš šajos tiesību aktos paredzēts apdrošināšanas vai dzīvesvietas periodam, kas vienāds ar visiem periodiem, kuri ņemti vērā maksājumu veikšanai saskaņā ar šo nodaļu.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Mi</w:t>
      </w:r>
      <w:r>
        <w:rPr>
          <w:rFonts w:asciiTheme="majorHAnsi" w:hAnsiTheme="majorHAnsi"/>
          <w:noProof/>
          <w:color w:val="000000"/>
        </w:rPr>
        <w:t>nētās valsts kompetentā iestāde visu laiku, kamēr viņš dzīvo tās teritorijā, maksā viņam piemaksu, kas vienāda ar starpību starp to pabalstu kopsummu, kas saņemami saskaņā ar šo nodaļu, un pabalsta minimuma summu.</w:t>
      </w:r>
    </w:p>
    <w:p w:rsidR="003E022D" w:rsidRDefault="007D19D6">
      <w:pPr>
        <w:pStyle w:val="Article"/>
        <w:rPr>
          <w:noProof/>
        </w:rPr>
      </w:pPr>
      <w:r>
        <w:rPr>
          <w:noProof/>
        </w:rPr>
        <w:t>SSC.54. pants. Pabalstu pārrēķināšana un p</w:t>
      </w:r>
      <w:r>
        <w:rPr>
          <w:noProof/>
        </w:rPr>
        <w:t>ārvērtēšana</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Ja pabalstu noteikšanas metode vai pabalstu aprēķināšanas noteikumi mainās saskaņā ar valsts tiesību aktiem vai ja attiecīgās personas stāvoklī notiek būtiskas izmaiņas, kuru dēļ saskaņā ar šiem tiesību aktiem būtu jākoriģē pabalsta summa, p</w:t>
      </w:r>
      <w:r>
        <w:rPr>
          <w:rFonts w:asciiTheme="majorHAnsi" w:hAnsiTheme="majorHAnsi"/>
          <w:noProof/>
          <w:color w:val="000000"/>
        </w:rPr>
        <w:t>ārrēķinu veic atbilstīgi SSC.47. pantam [Pabalstu piešķiršana].</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No otras puses, ja, pieaugot dzīves dārdzībai vai mainoties ienākumu līmenim vai citam koriģēšanas pamatam, attiecīgās valsts pabalstus maina par procentuālu daļu vai noteiktu summu, šo pro</w:t>
      </w:r>
      <w:r>
        <w:rPr>
          <w:rFonts w:asciiTheme="majorHAnsi" w:hAnsiTheme="majorHAnsi"/>
          <w:noProof/>
          <w:color w:val="000000"/>
        </w:rPr>
        <w:t>centuālo daļu vai noteikto summu tieši piemēro pabalstiem, kas noteikti saskaņā ar SSC.47. pantu [Pabalstu piešķiršana], bez vajadzības veikt pārrēķinu.</w:t>
      </w:r>
    </w:p>
    <w:p w:rsidR="003E022D" w:rsidRDefault="007D19D6">
      <w:pPr>
        <w:pStyle w:val="Article"/>
        <w:rPr>
          <w:noProof/>
        </w:rPr>
      </w:pPr>
      <w:r>
        <w:rPr>
          <w:noProof/>
        </w:rPr>
        <w:t>SSC.55. pants.  Īpaši noteikumi civildienesta ierēdņiem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SSC.7. pants [</w:t>
      </w:r>
      <w:r>
        <w:rPr>
          <w:rFonts w:asciiTheme="majorHAnsi" w:hAnsiTheme="majorHAnsi"/>
          <w:noProof/>
        </w:rPr>
        <w:t>Periodu summēšana],</w:t>
      </w:r>
      <w:r>
        <w:rPr>
          <w:rFonts w:asciiTheme="majorHAnsi" w:hAnsiTheme="majorHAnsi"/>
          <w:noProof/>
          <w:color w:val="000000"/>
        </w:rPr>
        <w:t xml:space="preserve"> SSC.45. pa</w:t>
      </w:r>
      <w:r>
        <w:rPr>
          <w:rFonts w:asciiTheme="majorHAnsi" w:hAnsiTheme="majorHAnsi"/>
          <w:noProof/>
          <w:color w:val="000000"/>
        </w:rPr>
        <w:t>nts [</w:t>
      </w:r>
      <w:r>
        <w:rPr>
          <w:rFonts w:asciiTheme="majorHAnsi" w:hAnsiTheme="majorHAnsi"/>
          <w:noProof/>
        </w:rPr>
        <w:t>Vispārīgi noteikumi],</w:t>
      </w:r>
      <w:r>
        <w:rPr>
          <w:rFonts w:asciiTheme="majorHAnsi" w:hAnsiTheme="majorHAnsi"/>
          <w:noProof/>
          <w:color w:val="000000"/>
        </w:rPr>
        <w:t xml:space="preserve"> SSC.46. panta [Īpaši noteikumi par periodu summēšanu] 3. daļa </w:t>
      </w:r>
      <w:r>
        <w:rPr>
          <w:rFonts w:asciiTheme="majorHAnsi" w:hAnsiTheme="majorHAnsi"/>
          <w:noProof/>
        </w:rPr>
        <w:t>un SSC.47. pants [Pabalstu piešķiršana]  – SSC.54. pants [Pabalstu pārrēķināšana un pārvērtēšana]</w:t>
      </w:r>
      <w:r>
        <w:rPr>
          <w:rFonts w:asciiTheme="majorHAnsi" w:hAnsiTheme="majorHAnsi"/>
          <w:noProof/>
          <w:color w:val="000000"/>
        </w:rPr>
        <w:t xml:space="preserve"> pēc analoģijas attiecas uz personām, uz kurām attiecas civildienesta </w:t>
      </w:r>
      <w:r>
        <w:rPr>
          <w:rFonts w:asciiTheme="majorHAnsi" w:hAnsiTheme="majorHAnsi"/>
          <w:noProof/>
          <w:color w:val="000000"/>
        </w:rPr>
        <w:t>ierēdņu īpašā sistēma.</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Tomēr, ja kompetentās valsts tiesību akti nosaka, ka īpašā ierēdņu shēmā paredzēto pabalstu tiesību iegūšana, likvidēšana, paturēšana vai atgūšana ir atkarīga no nosacījuma, ka visiem apdrošināšanas periodiem jābūt izpildītiem sas</w:t>
      </w:r>
      <w:r>
        <w:rPr>
          <w:rFonts w:asciiTheme="majorHAnsi" w:hAnsiTheme="majorHAnsi"/>
          <w:noProof/>
          <w:color w:val="000000"/>
        </w:rPr>
        <w:t>kaņā ar vienu vai vairākām īpašām shēmām ierēdņiem šajā valstī vai ka šīs valsts tiesību aktos tiem jābūt uzskatītiem par līdzvērtīgiem šādiem periodiem, šīs valsts kompetentā iestāde ņem vērā tikai periodus, ko var atzīt saskaņā ar tiesību aktiem, kurus t</w:t>
      </w:r>
      <w:r>
        <w:rPr>
          <w:rFonts w:asciiTheme="majorHAnsi" w:hAnsiTheme="majorHAnsi"/>
          <w:noProof/>
          <w:color w:val="000000"/>
        </w:rPr>
        <w:t xml:space="preserve">ā piemēro. </w:t>
      </w:r>
    </w:p>
    <w:p w:rsidR="003E022D" w:rsidRDefault="007D19D6">
      <w:pPr>
        <w:pBdr>
          <w:top w:val="nil"/>
          <w:left w:val="nil"/>
          <w:bottom w:val="nil"/>
          <w:right w:val="nil"/>
          <w:between w:val="nil"/>
        </w:pBdr>
        <w:spacing w:before="248"/>
        <w:ind w:right="-5"/>
        <w:rPr>
          <w:rFonts w:asciiTheme="majorHAnsi" w:eastAsia="Arial" w:hAnsiTheme="majorHAnsi" w:cs="Arial"/>
          <w:noProof/>
          <w:color w:val="000000"/>
        </w:rPr>
      </w:pPr>
      <w:r>
        <w:rPr>
          <w:rFonts w:asciiTheme="majorHAnsi" w:hAnsiTheme="majorHAnsi"/>
          <w:noProof/>
          <w:color w:val="000000"/>
        </w:rPr>
        <w:t xml:space="preserve">Ja, ievērojot šādi izpildītos periodus, attiecīgā persona neatbilst šo pabalstu saņemšanas nosacījumiem, šos periodus ņem vērā, lai piešķirtu pabalstus saskaņā ar vispārīgo shēmu vai, ja tādas nav, saskaņā ar shēmu, ko piemēro strādniekiem vai </w:t>
      </w:r>
      <w:r>
        <w:rPr>
          <w:rFonts w:asciiTheme="majorHAnsi" w:hAnsiTheme="majorHAnsi"/>
          <w:noProof/>
          <w:color w:val="000000"/>
        </w:rPr>
        <w:t xml:space="preserve">attiecīgi kalpotājiem.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Ja saskaņā ar valsts tiesību aktiem pabalstus, kas ar īpašu shēmu paredzēti ierēdņiem, aprēķina, pamatojoties uz pēdējo algu vai algām, kas saņemtas atskaites periodā, šīs valsts kompetentā iestāde aprēķinā ņem vērā tikai tās pienācīgi pārvērtētās algas, k</w:t>
      </w:r>
      <w:r>
        <w:rPr>
          <w:rFonts w:asciiTheme="majorHAnsi" w:hAnsiTheme="majorHAnsi"/>
          <w:noProof/>
          <w:color w:val="000000"/>
        </w:rPr>
        <w:t xml:space="preserve">as saņemtas periodā vai periodos, kuros attiecīgā persona bijusi pakļauta šiem tiesību aktiem. </w:t>
      </w:r>
    </w:p>
    <w:p w:rsidR="003E022D" w:rsidRDefault="007D19D6">
      <w:pPr>
        <w:pStyle w:val="Chapter"/>
        <w:rPr>
          <w:noProof/>
        </w:rPr>
      </w:pPr>
      <w:r>
        <w:rPr>
          <w:noProof/>
        </w:rPr>
        <w:t>6. NODAĻA.  BEZDARBNIEKA PABALSTI</w:t>
      </w:r>
    </w:p>
    <w:p w:rsidR="003E022D" w:rsidRDefault="007D19D6">
      <w:pPr>
        <w:pStyle w:val="Article"/>
        <w:rPr>
          <w:noProof/>
        </w:rPr>
      </w:pPr>
      <w:r>
        <w:rPr>
          <w:noProof/>
        </w:rPr>
        <w:t>SSC.56. pants. Īpaši noteikumi par apdrošināšanas, nodarbinātības vai pašnodarbinātības periodu summēšanu</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Valsts kompetentā</w:t>
      </w:r>
      <w:r>
        <w:rPr>
          <w:rFonts w:asciiTheme="majorHAnsi" w:hAnsiTheme="majorHAnsi"/>
          <w:noProof/>
          <w:color w:val="000000"/>
        </w:rPr>
        <w:t xml:space="preserve"> iestāde, pēc kuras tiesību aktiem tiesību uz pabalstiem iegūšana, paturēšana vai ilgums ir atkarīgs no apdrošināšanas, nodarbinātības vai pašnodarbinātības periodu izpildes, ciktāl nepieciešams, ņem vērā tādus apdrošināšanas, nodarbinātības vai pašnodarbi</w:t>
      </w:r>
      <w:r>
        <w:rPr>
          <w:rFonts w:asciiTheme="majorHAnsi" w:hAnsiTheme="majorHAnsi"/>
          <w:noProof/>
          <w:color w:val="000000"/>
        </w:rPr>
        <w:t>nātības periodus, kas ir izpildīti saskaņā ar kādas citas valsts tiesību aktiem, tā, it kā tie būtu izpildīti saskaņā tiesību aktiem, kurus tā piemēro.</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Tomēr, ja piemērojamie tiesību akti nosaka, ka tiesības uz pabalstiem ir atkarīgas no apdrošināšanas per</w:t>
      </w:r>
      <w:r>
        <w:rPr>
          <w:rFonts w:asciiTheme="majorHAnsi" w:hAnsiTheme="majorHAnsi"/>
          <w:noProof/>
          <w:color w:val="000000"/>
        </w:rPr>
        <w:t>iodu izpildes, nodarbinātības vai pašnodarbinātības periodus, kas izpildīti saskaņā ar citas valsts tiesību aktiem, neņem vērā, izņemot gadījumus, kad šie periodi būtu uzskatāmi par apdrošināšanas periodiem, ja tie būtu izpildīti atbilstoši piemērojamajiem</w:t>
      </w:r>
      <w:r>
        <w:rPr>
          <w:rFonts w:asciiTheme="majorHAnsi" w:hAnsiTheme="majorHAnsi"/>
          <w:noProof/>
          <w:color w:val="000000"/>
        </w:rPr>
        <w:t xml:space="preserve"> tiesību aktiem.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Šā panta 1. punktu piemēro atkarībā no tā, vai attiecīgā persona atbilstīgi tiesību aktiem, pēc kuriem ir pieprasīti pabalsti, pēdējos ir izpildījusi:</w:t>
      </w:r>
    </w:p>
    <w:p w:rsidR="003E022D" w:rsidRDefault="007D19D6">
      <w:pPr>
        <w:pStyle w:val="Subparagraphab"/>
        <w:numPr>
          <w:ilvl w:val="0"/>
          <w:numId w:val="1046"/>
        </w:numPr>
        <w:ind w:left="567" w:hanging="567"/>
        <w:rPr>
          <w:rFonts w:asciiTheme="majorHAnsi" w:hAnsiTheme="majorHAnsi"/>
          <w:noProof/>
        </w:rPr>
      </w:pPr>
      <w:r>
        <w:rPr>
          <w:rFonts w:asciiTheme="majorHAnsi" w:hAnsiTheme="majorHAnsi"/>
          <w:noProof/>
        </w:rPr>
        <w:t>apdrošināšanas periodus, ja šie tiesību akti nosaka par nepieciešamiem apdrošināšanas</w:t>
      </w:r>
      <w:r>
        <w:rPr>
          <w:rFonts w:asciiTheme="majorHAnsi" w:hAnsiTheme="majorHAnsi"/>
          <w:noProof/>
        </w:rPr>
        <w:t xml:space="preserve"> periodus,</w:t>
      </w:r>
    </w:p>
    <w:p w:rsidR="003E022D" w:rsidRDefault="007D19D6">
      <w:pPr>
        <w:pStyle w:val="Subparagraphab"/>
        <w:numPr>
          <w:ilvl w:val="0"/>
          <w:numId w:val="1046"/>
        </w:numPr>
        <w:ind w:left="567" w:hanging="567"/>
        <w:rPr>
          <w:rFonts w:asciiTheme="majorHAnsi" w:hAnsiTheme="majorHAnsi"/>
          <w:noProof/>
        </w:rPr>
      </w:pPr>
      <w:r>
        <w:rPr>
          <w:rFonts w:asciiTheme="majorHAnsi" w:hAnsiTheme="majorHAnsi"/>
          <w:noProof/>
        </w:rPr>
        <w:t>nodarbinātības periodus, ja šie tiesību akti nosaka par nepieciešamiem nodarbinātības periodus, vai</w:t>
      </w:r>
    </w:p>
    <w:p w:rsidR="003E022D" w:rsidRDefault="007D19D6">
      <w:pPr>
        <w:pStyle w:val="Subparagraphab"/>
        <w:numPr>
          <w:ilvl w:val="0"/>
          <w:numId w:val="1046"/>
        </w:numPr>
        <w:ind w:left="567" w:hanging="567"/>
        <w:rPr>
          <w:rFonts w:asciiTheme="majorHAnsi" w:eastAsia="Arial" w:hAnsiTheme="majorHAnsi" w:cs="Arial"/>
          <w:noProof/>
          <w:color w:val="000000"/>
        </w:rPr>
      </w:pPr>
      <w:r>
        <w:rPr>
          <w:rFonts w:asciiTheme="majorHAnsi" w:hAnsiTheme="majorHAnsi"/>
          <w:noProof/>
        </w:rPr>
        <w:t>pašnodarbinātības periodus, ja šie tiesību akti nosaka par nepieciešamiem pašnodarbinātības periodus.</w:t>
      </w:r>
    </w:p>
    <w:p w:rsidR="003E022D" w:rsidRDefault="007D19D6">
      <w:pPr>
        <w:pStyle w:val="Article"/>
        <w:rPr>
          <w:noProof/>
        </w:rPr>
      </w:pPr>
      <w:r>
        <w:rPr>
          <w:noProof/>
        </w:rPr>
        <w:t xml:space="preserve">SSC.57. pants. Bezdarba pabalstu </w:t>
      </w:r>
      <w:r>
        <w:rPr>
          <w:noProof/>
        </w:rPr>
        <w:t>aprēķināšana</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Ja bezdarbnieka pabalstu aprēķina, pamatojoties uz attiecīgās personas iepriekšējo algu vai ienākumiem no profesionālās darbības, kompetentā valsts ņem vērā algu vai ienākumus no profesionālās darbības, ko attiecīgā persona saņēmusi, pamato</w:t>
      </w:r>
      <w:r>
        <w:rPr>
          <w:rFonts w:asciiTheme="majorHAnsi" w:hAnsiTheme="majorHAnsi"/>
          <w:noProof/>
          <w:color w:val="000000"/>
        </w:rPr>
        <w:t>joties tikai uz tās pēdējo darbību nodarbinātas vai pašnodarbinātas personas statusā saskaņā ar kompetentās valsts tiesību aktiem.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Ja tiesību akti, ko piemēro kompetentā valsts, paredz īpašu atskaites periodu tās algas vai profesionālo ienākumu noteikša</w:t>
      </w:r>
      <w:r>
        <w:rPr>
          <w:rFonts w:asciiTheme="majorHAnsi" w:hAnsiTheme="majorHAnsi"/>
          <w:noProof/>
          <w:color w:val="000000"/>
        </w:rPr>
        <w:t>nai, ko izmanto, lai aprēķinātu pabalsta summu, un ja attiecīgā persona ir bijusi pakļauta citas valsts tiesību aktiem par visu šo pārskata periodu vai tā daļu, kompetentā valsts ņem vērā tikai algu vai profesionālos ienākumus, ko persona saņēmusi savas pē</w:t>
      </w:r>
      <w:r>
        <w:rPr>
          <w:rFonts w:asciiTheme="majorHAnsi" w:hAnsiTheme="majorHAnsi"/>
          <w:noProof/>
          <w:color w:val="000000"/>
        </w:rPr>
        <w:t>dējās darbības laikā nodarbinātas vai pašnodarbinātas personas statusā saskaņā ar šiem tiesību aktiem.</w:t>
      </w:r>
    </w:p>
    <w:p w:rsidR="003E022D" w:rsidRDefault="007D19D6">
      <w:pPr>
        <w:pStyle w:val="Chapter"/>
        <w:rPr>
          <w:noProof/>
        </w:rPr>
      </w:pPr>
      <w:r>
        <w:rPr>
          <w:noProof/>
        </w:rPr>
        <w:t>7. NODAĻA.  PIRMSPENSIJAS PABALSTI</w:t>
      </w:r>
    </w:p>
    <w:p w:rsidR="003E022D" w:rsidRDefault="007D19D6">
      <w:pPr>
        <w:pStyle w:val="Article"/>
        <w:rPr>
          <w:noProof/>
        </w:rPr>
      </w:pPr>
      <w:r>
        <w:rPr>
          <w:noProof/>
        </w:rPr>
        <w:t>SSC.58. pants. Pabalsti</w:t>
      </w:r>
    </w:p>
    <w:p w:rsidR="003E022D" w:rsidRDefault="007D19D6">
      <w:pPr>
        <w:rPr>
          <w:rFonts w:asciiTheme="majorHAnsi" w:eastAsia="Arial" w:hAnsiTheme="majorHAnsi" w:cs="Arial"/>
          <w:noProof/>
        </w:rPr>
      </w:pPr>
      <w:r>
        <w:rPr>
          <w:rFonts w:asciiTheme="majorHAnsi" w:hAnsiTheme="majorHAnsi"/>
          <w:noProof/>
        </w:rPr>
        <w:t>Ja piemērojamie tiesību akti paredz, ka tiesības uz pirmspensijas pabalstiem ir atkarīgas no t</w:t>
      </w:r>
      <w:r>
        <w:rPr>
          <w:rFonts w:asciiTheme="majorHAnsi" w:hAnsiTheme="majorHAnsi"/>
          <w:noProof/>
        </w:rPr>
        <w:t>ā, vai ir izpildīti apdrošināšanas, nodarbinātības vai pašnodarbinātības periodi, SSC.7. pantu [Periodu summēšana] nepiemēro.</w:t>
      </w:r>
    </w:p>
    <w:p w:rsidR="003E022D" w:rsidRDefault="007D19D6">
      <w:pPr>
        <w:pStyle w:val="Title1"/>
        <w:rPr>
          <w:rFonts w:eastAsia="Arial" w:cs="Arial"/>
          <w:i w:val="0"/>
          <w:noProof/>
        </w:rPr>
      </w:pPr>
      <w:bookmarkStart w:id="1462" w:name="_Toc59988444"/>
      <w:r>
        <w:rPr>
          <w:i w:val="0"/>
          <w:noProof/>
        </w:rPr>
        <w:t xml:space="preserve">IV SADAĻA. </w:t>
      </w:r>
      <w:bookmarkStart w:id="1463" w:name="_Toc59110605"/>
      <w:r>
        <w:rPr>
          <w:i w:val="0"/>
          <w:noProof/>
        </w:rPr>
        <w:t xml:space="preserve">DAŽĀDI </w:t>
      </w:r>
      <w:bookmarkEnd w:id="1463"/>
      <w:r>
        <w:rPr>
          <w:i w:val="0"/>
          <w:noProof/>
        </w:rPr>
        <w:t>NOTEIKUMI</w:t>
      </w:r>
      <w:bookmarkEnd w:id="1462"/>
    </w:p>
    <w:p w:rsidR="003E022D" w:rsidRDefault="007D19D6">
      <w:pPr>
        <w:pStyle w:val="Article"/>
        <w:rPr>
          <w:noProof/>
        </w:rPr>
      </w:pPr>
      <w:r>
        <w:rPr>
          <w:noProof/>
        </w:rPr>
        <w:t>SSC.59. pants.  Sadarbība</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Valstu kompetentās iestādes paziņo Specializētajai sociālā nodrošinājuma </w:t>
      </w:r>
      <w:r>
        <w:rPr>
          <w:rFonts w:asciiTheme="majorHAnsi" w:hAnsiTheme="majorHAnsi"/>
          <w:noProof/>
          <w:color w:val="000000"/>
        </w:rPr>
        <w:t xml:space="preserve">koordinācijas komitejai par visām izmaiņām to tiesību aktos attiecībā uz tām sociālā nodrošinājuma jomām, uz kurām attiecas SSC.3. pants [Jomas, uz kurām attiecas šis protokols] un kuras ir būtiskas vai var ietekmēt šā protokola īstenošanu.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Ja vien šaj</w:t>
      </w:r>
      <w:r>
        <w:rPr>
          <w:rFonts w:asciiTheme="majorHAnsi" w:hAnsiTheme="majorHAnsi"/>
          <w:noProof/>
          <w:color w:val="000000"/>
        </w:rPr>
        <w:t>ā protokolā nav noteikts, ka šāda informācija jāpaziņo Specializētajai sociālā nodrošinājuma koordinācijas komitejai, valstu kompetentās iestādes paziņo cita citai par pasākumiem, kas veikti, lai īstenotu šo protokolu, un kas nav paziņoti saskaņā ar 1. pun</w:t>
      </w:r>
      <w:r>
        <w:rPr>
          <w:rFonts w:asciiTheme="majorHAnsi" w:hAnsiTheme="majorHAnsi"/>
          <w:noProof/>
          <w:color w:val="000000"/>
        </w:rPr>
        <w:t xml:space="preserve">ktu, un kas attiecas uz protokola īstenošanu.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Pildot šo protokolu, dalībvalstu un Apvienotās Karalistes iestādes piedāvā cita citai savus pakalpojumus un rīkojas tā, it kā īstenotu pašas savus tiesību aktus. Minēto varas iestāžu un iestāžu sniegtā admi</w:t>
      </w:r>
      <w:r>
        <w:rPr>
          <w:rFonts w:asciiTheme="majorHAnsi" w:hAnsiTheme="majorHAnsi"/>
          <w:noProof/>
          <w:color w:val="000000"/>
        </w:rPr>
        <w:t xml:space="preserve">nistratīvā palīdzība parasti ir bez atlīdzības. Tomēr Specializētā sociālā nodrošinājuma koordinācijas komiteja nosaka atlīdzināmo izdevumu veidu un limitus, kurus pārsniedzot, attiecīgie izdevumi ir jāatlīdzina.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Šā protokola īstenošanas nolūkos valstu</w:t>
      </w:r>
      <w:r>
        <w:rPr>
          <w:rFonts w:asciiTheme="majorHAnsi" w:hAnsiTheme="majorHAnsi"/>
          <w:noProof/>
          <w:color w:val="000000"/>
        </w:rPr>
        <w:t xml:space="preserve"> institūcijas un iestādes var tieši sazināties cita ar citu un ar attiecīgajām personām vai viņu pārstāvjiem.</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Lai nodrošinātu šā protokola pareizu īstenošanu, iestādēm un personām, uz kurām attiecas šis protokols, ir savstarpējas informēšanas un sadarbī</w:t>
      </w:r>
      <w:r>
        <w:rPr>
          <w:rFonts w:asciiTheme="majorHAnsi" w:hAnsiTheme="majorHAnsi"/>
          <w:noProof/>
          <w:color w:val="000000"/>
        </w:rPr>
        <w:t>bas pienākums.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 xml:space="preserve">Iestādes saskaņā ar labas pārvaldības principu atbild uz visiem pieprasījumiem pieņemamā termiņā un šajā sakarā attiecīgajām personām sniedz visu informāciju, kas vajadzīga, lai viņas varētu izmantot tiesības, kuras tām piešķirtas ar šo </w:t>
      </w:r>
      <w:r>
        <w:rPr>
          <w:rFonts w:asciiTheme="majorHAnsi" w:hAnsiTheme="majorHAnsi"/>
          <w:noProof/>
          <w:color w:val="000000"/>
        </w:rPr>
        <w:t>protokolu.</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 xml:space="preserve">Attiecīgajām personām cik iespējams drīz jāinformē kompetentās valsts un dzīvesvietas valsts iestādes par visām izmaiņām, kas saistītas ar viņu pašu vai viņa ģimeni un kas ietekmē viņu tiesības saņemt pabalstus saskaņā ar šo protokolu.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6.</w:t>
      </w:r>
      <w:r>
        <w:rPr>
          <w:noProof/>
        </w:rPr>
        <w:tab/>
      </w:r>
      <w:r>
        <w:rPr>
          <w:rFonts w:asciiTheme="majorHAnsi" w:hAnsiTheme="majorHAnsi"/>
          <w:noProof/>
          <w:color w:val="000000"/>
        </w:rPr>
        <w:t>Šā pa</w:t>
      </w:r>
      <w:r>
        <w:rPr>
          <w:rFonts w:asciiTheme="majorHAnsi" w:hAnsiTheme="majorHAnsi"/>
          <w:noProof/>
          <w:color w:val="000000"/>
        </w:rPr>
        <w:t xml:space="preserve">nta 5. punkta trešajā daļā minētā informēšanas pienākuma nepildīšanas dēļ var tikt piemēroti samērīgi pasākumi saskaņā ar valsts tiesību aktiem. Tomēr šie pasākumi ir līdzvērtīgi pasākumiem, ko līdzīgās situācijās piemēro saskaņā ar valsts tiesību aktiem, </w:t>
      </w:r>
      <w:r>
        <w:rPr>
          <w:rFonts w:asciiTheme="majorHAnsi" w:hAnsiTheme="majorHAnsi"/>
          <w:noProof/>
          <w:color w:val="000000"/>
        </w:rPr>
        <w:t xml:space="preserve">un to dēļ attiecīgās personas nezaudē iespēju un tām nav pārmērīgi grūti praktiski izmantot tiesības, kas tām piešķirtas ar šo protokolu.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7.</w:t>
      </w:r>
      <w:r>
        <w:rPr>
          <w:noProof/>
        </w:rPr>
        <w:tab/>
      </w:r>
      <w:r>
        <w:rPr>
          <w:rFonts w:asciiTheme="majorHAnsi" w:hAnsiTheme="majorHAnsi"/>
          <w:noProof/>
          <w:color w:val="000000"/>
        </w:rPr>
        <w:t>Ja ir sarežģīti interpretēt vai piemērot šo protokolu un tādēļ varētu tikt apdraudētas tās personas tiesības, uz k</w:t>
      </w:r>
      <w:r>
        <w:rPr>
          <w:rFonts w:asciiTheme="majorHAnsi" w:hAnsiTheme="majorHAnsi"/>
          <w:noProof/>
          <w:color w:val="000000"/>
        </w:rPr>
        <w:t>o tas attiecas, kompetentās valsts vai attiecīgās personas dzīvesvietas valsts iestādes sazinās ar attiecīgās valsts(-u) iestādi(-ēm). Ja pienācīgā termiņā nav iespējams rast risinājumu, Puse var pieprasīt apspriežu organizēšanu Specializētajā sociālā nodr</w:t>
      </w:r>
      <w:r>
        <w:rPr>
          <w:rFonts w:asciiTheme="majorHAnsi" w:hAnsiTheme="majorHAnsi"/>
          <w:noProof/>
          <w:color w:val="000000"/>
        </w:rPr>
        <w:t xml:space="preserve">ošinājuma koordinācijas komitejā.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8.</w:t>
      </w:r>
      <w:r>
        <w:rPr>
          <w:noProof/>
        </w:rPr>
        <w:tab/>
      </w:r>
      <w:r>
        <w:rPr>
          <w:rFonts w:asciiTheme="majorHAnsi" w:hAnsiTheme="majorHAnsi"/>
          <w:noProof/>
          <w:color w:val="000000"/>
        </w:rPr>
        <w:t>Vienas valsts institūcijas, iestādes un tiesu iestādes tām iesniegtos pieteikumus vai citus dokumentus nedrīkst noraidīt, pamatojoties uz to, ka tie ir rakstīti kādā no Savienības oficiālajām valodām, ietverot angļu va</w:t>
      </w:r>
      <w:r>
        <w:rPr>
          <w:rFonts w:asciiTheme="majorHAnsi" w:hAnsiTheme="majorHAnsi"/>
          <w:noProof/>
          <w:color w:val="000000"/>
        </w:rPr>
        <w:t xml:space="preserve">lodu. </w:t>
      </w:r>
    </w:p>
    <w:p w:rsidR="003E022D" w:rsidRDefault="007D19D6">
      <w:pPr>
        <w:pStyle w:val="Article"/>
        <w:rPr>
          <w:noProof/>
        </w:rPr>
      </w:pPr>
      <w:r>
        <w:rPr>
          <w:noProof/>
        </w:rPr>
        <w:t>SSC.60. pants.  Datu apstrāde</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Valstis arvien vairāk izmanto jaunas tehnoloģijas to datu apmaiņai, piekļuvei un apstrādei, kas vajadzīgi, lai piemērotu šo protokolu.</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Katra valsts atbild par savas datu apstrādes pakalpojumu daļas pārvaldību.</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Elektronisku dokumentu, ko nosūtījusi vai izdevusi iestāde atbilstoši šim protokolam un SSC-7. pielikumam [Īstenošanas daļa], neviena citas valsts institūcija vai iestāde nedrīkst noraidīt, pamatojoties uz to, ka tas saņemts ar elektroniskiem līdzekļiem, j</w:t>
      </w:r>
      <w:r>
        <w:rPr>
          <w:rFonts w:asciiTheme="majorHAnsi" w:hAnsiTheme="majorHAnsi"/>
          <w:noProof/>
          <w:color w:val="000000"/>
        </w:rPr>
        <w:t>a saņēmēja iestāde ir paziņojusi, ka var saņemt elektroniskus dokumentus. Šādu dokumentu reproducēšanu un saglabāšanu uzskata par pareizu un precīzu oriģinālā dokumenta reproducēšanu vai tās informācijas atspoguļošanu, uz ko tas attiecas, ja nav pierādījum</w:t>
      </w:r>
      <w:r>
        <w:rPr>
          <w:rFonts w:asciiTheme="majorHAnsi" w:hAnsiTheme="majorHAnsi"/>
          <w:noProof/>
          <w:color w:val="000000"/>
        </w:rPr>
        <w:t>u par pretējo.</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Elektronisku dokumentu uzskata par spēkā esošu, ja datorsistēmai, kurā dokuments ir saglabāts, ir drošības kontrole, kas nepieciešama, lai nepieļautu nekādu attiecīgā ieraksta mainīšanu vai izpaušanu vai neatļautu piekļuvi tam. Katrā brīd</w:t>
      </w:r>
      <w:r>
        <w:rPr>
          <w:rFonts w:asciiTheme="majorHAnsi" w:hAnsiTheme="majorHAnsi"/>
          <w:noProof/>
          <w:color w:val="000000"/>
        </w:rPr>
        <w:t xml:space="preserve">ī jābūt iespējai reproducēt saglabāto informāciju tā, lai to uzreiz var izlasīt. </w:t>
      </w:r>
    </w:p>
    <w:p w:rsidR="003E022D" w:rsidRDefault="007D19D6">
      <w:pPr>
        <w:pStyle w:val="Article"/>
        <w:rPr>
          <w:noProof/>
        </w:rPr>
      </w:pPr>
      <w:r>
        <w:rPr>
          <w:noProof/>
        </w:rPr>
        <w:t>SSC.61. pants.  Atbrīvojumi</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Jebkādu atbrīvojumu no nodokļiem, zīmognodevām, notariālo darbību vai reģistrācijas maksām vai to samazinājumu, kas paredzēts kādas valsts ties</w:t>
      </w:r>
      <w:r>
        <w:rPr>
          <w:rFonts w:asciiTheme="majorHAnsi" w:hAnsiTheme="majorHAnsi"/>
          <w:noProof/>
          <w:color w:val="000000"/>
        </w:rPr>
        <w:t>ību aktos attiecībā uz apliecībām vai dokumentiem, kuri jāuzrāda, piemērojot šīs valsts tiesību aktus, attiecina arī uz līdzīgām apliecībām vai dokumentiem, kuri jāuzrāda, piemērojot citas valsts tiesību aktus vai šo protokolu.</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Jebkurus paziņojumus, dok</w:t>
      </w:r>
      <w:r>
        <w:rPr>
          <w:rFonts w:asciiTheme="majorHAnsi" w:hAnsiTheme="majorHAnsi"/>
          <w:noProof/>
          <w:color w:val="000000"/>
        </w:rPr>
        <w:t>umentus un apliecības, kas jāuzrāda, piemērojot šo protokolu, no autentificēšanas atbrīvo diplomātiskās vai konsulārās iestādes.</w:t>
      </w:r>
    </w:p>
    <w:p w:rsidR="003E022D" w:rsidRDefault="007D19D6">
      <w:pPr>
        <w:pStyle w:val="Article"/>
        <w:rPr>
          <w:noProof/>
        </w:rPr>
      </w:pPr>
      <w:r>
        <w:rPr>
          <w:noProof/>
        </w:rPr>
        <w:t>SSC.62. pants.  Prasības, deklarācijas vai pārsūdzības</w:t>
      </w:r>
    </w:p>
    <w:p w:rsidR="003E022D" w:rsidRDefault="007D19D6">
      <w:pPr>
        <w:rPr>
          <w:rFonts w:asciiTheme="majorHAnsi" w:eastAsia="Arial" w:hAnsiTheme="majorHAnsi" w:cs="Arial"/>
          <w:b/>
          <w:noProof/>
          <w:color w:val="FF0000"/>
        </w:rPr>
      </w:pPr>
      <w:r>
        <w:rPr>
          <w:rFonts w:asciiTheme="majorHAnsi" w:hAnsiTheme="majorHAnsi"/>
          <w:noProof/>
          <w:color w:val="000000"/>
        </w:rPr>
        <w:t>Jebkuru prasību, deklarāciju vai pārsūdzību, kas, piemērojot kādas valst</w:t>
      </w:r>
      <w:r>
        <w:rPr>
          <w:rFonts w:asciiTheme="majorHAnsi" w:hAnsiTheme="majorHAnsi"/>
          <w:noProof/>
          <w:color w:val="000000"/>
        </w:rPr>
        <w:t>s tiesību aktus, būtu noteiktā termiņā jāiesniedz šīs valsts institūcijā, iestādē vai tiesas iestādē, pieņem, ja šāds dokuments šajā pašā termiņā ir iesniegts citas valsts atbilstīgā institūcijā, iestādē vai tiesas iestādē. Šādā gadījumā tā institūcija, ie</w:t>
      </w:r>
      <w:r>
        <w:rPr>
          <w:rFonts w:asciiTheme="majorHAnsi" w:hAnsiTheme="majorHAnsi"/>
          <w:noProof/>
          <w:color w:val="000000"/>
        </w:rPr>
        <w:t xml:space="preserve">stāde, vai tiesa, kas saņēmusi prasības pieteikumu, deklarāciju vai sūdzību, nekavējoties nosūta to iepriekš minētajai kompetentajai institūcijai, iestādei vai tiesai vai nu tieši, vai ar attiecīgo valstu kompetento iestāžu starpniecību. Dienu, kurā šādas </w:t>
      </w:r>
      <w:r>
        <w:rPr>
          <w:rFonts w:asciiTheme="majorHAnsi" w:hAnsiTheme="majorHAnsi"/>
          <w:noProof/>
          <w:color w:val="000000"/>
        </w:rPr>
        <w:t>prasības, deklarācijas vai pārsūdzības iesniegtas otrās valsts institūcijā, iestādē vai tiesas iestādē, uzskata par to iesniegšanas dienu kompetentajā institūcijā, iestādē vai tiesas iestādē.</w:t>
      </w:r>
    </w:p>
    <w:p w:rsidR="003E022D" w:rsidRDefault="007D19D6">
      <w:pPr>
        <w:pStyle w:val="Article"/>
        <w:rPr>
          <w:noProof/>
        </w:rPr>
      </w:pPr>
      <w:r>
        <w:rPr>
          <w:noProof/>
        </w:rPr>
        <w:t>SSC.63. pants.  Medicīniskā izmeklēšana</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Medicīnisko izmeklēša</w:t>
      </w:r>
      <w:r>
        <w:rPr>
          <w:rFonts w:asciiTheme="majorHAnsi" w:hAnsiTheme="majorHAnsi"/>
          <w:noProof/>
          <w:color w:val="000000"/>
        </w:rPr>
        <w:t>nu, kas paredzēta kādas valsts tiesību aktos, pēc kompetentās iestādes pieprasījuma citas valsts teritorijā var veikt prasības iesniedzēja vai uz pabalstiem tiesīgās personas dzīvesvietas vai uzturēšanās vietas iestāde saskaņā ar nosacījumiem, kas izklāstī</w:t>
      </w:r>
      <w:r>
        <w:rPr>
          <w:rFonts w:asciiTheme="majorHAnsi" w:hAnsiTheme="majorHAnsi"/>
          <w:noProof/>
          <w:color w:val="000000"/>
        </w:rPr>
        <w:t>ti SSC-7. pielikumā [Īstenošanas daļa] vai par ko savstarpēji vienojušās attiecīgo valstu kompetentās iestādes.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Medicīnisko izmeklēšanu, kas veiktas saskaņā ar 1. punktā izklāstītajiem nosacījumiem, uzskata par tādu, kas veikta kompetentajā valstī.</w:t>
      </w:r>
      <w:r>
        <w:rPr>
          <w:rFonts w:asciiTheme="majorHAnsi" w:hAnsiTheme="majorHAnsi"/>
          <w:b/>
          <w:noProof/>
          <w:color w:val="000000"/>
        </w:rPr>
        <w:t xml:space="preserve"> </w:t>
      </w:r>
    </w:p>
    <w:p w:rsidR="003E022D" w:rsidRDefault="007D19D6">
      <w:pPr>
        <w:pStyle w:val="Article"/>
        <w:rPr>
          <w:b/>
          <w:noProof/>
        </w:rPr>
      </w:pPr>
      <w:r>
        <w:rPr>
          <w:noProof/>
        </w:rPr>
        <w:t>SSC</w:t>
      </w:r>
      <w:r>
        <w:rPr>
          <w:noProof/>
        </w:rPr>
        <w:t xml:space="preserve">.64. pants. Iemaksu iekasēšana un pabalstu atgūšana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To iemaksu iekasēšanu, kas pienākas kādas valsts iestādei, un to pabalstu atgūšana, ko nodrošinājusi kādas valsts iestāde, bet kas nepienākas, var īstenot citā valstī saskaņā ar tām procedūrām, garant</w:t>
      </w:r>
      <w:r>
        <w:rPr>
          <w:rFonts w:asciiTheme="majorHAnsi" w:hAnsiTheme="majorHAnsi"/>
          <w:noProof/>
          <w:color w:val="000000"/>
        </w:rPr>
        <w:t>ijām un privilēģijām, ko piemēro to iemaksu iekasēšanai, kuras pienākas šīs valsts atbilstīgajai iestādei, un to pabalstu atgūšanai, kurus tā nodrošinājusi, bet kuri nepienākas.</w:t>
      </w:r>
      <w:r>
        <w:rPr>
          <w:rFonts w:asciiTheme="majorHAnsi" w:hAnsiTheme="majorHAnsi"/>
          <w:b/>
          <w:noProof/>
          <w:color w:val="000000"/>
        </w:rPr>
        <w:t xml:space="preserve">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Izpildāmos tiesu un administratīvo iestāžu lēmumus, kas attiecas uz iemaks</w:t>
      </w:r>
      <w:r>
        <w:rPr>
          <w:rFonts w:asciiTheme="majorHAnsi" w:hAnsiTheme="majorHAnsi"/>
          <w:noProof/>
          <w:color w:val="000000"/>
        </w:rPr>
        <w:t>u, procentu un citādu maksājumu iekasēšanu vai uz tādu pabalstu atgūšanu, kas nodrošināti, bet nepienākas saskaņā ar kādas valsts tiesību aktiem, atzīst un izpilda pēc citas valsts kompetentās iestādes pieprasījuma, ievērojot ierobežojumus un procedūras, k</w:t>
      </w:r>
      <w:r>
        <w:rPr>
          <w:rFonts w:asciiTheme="majorHAnsi" w:hAnsiTheme="majorHAnsi"/>
          <w:noProof/>
          <w:color w:val="000000"/>
        </w:rPr>
        <w:t>as paredzētas tiesību aktos, un citādas procedūras, ko piemēro līdzīgiem šīs valsts lēmumiem. Šādus lēmumus deklarē par izpildāmiem minētajā valstis, ciktāl to pieprasa tās tiesību akti un citādas procedūras.</w:t>
      </w:r>
      <w:r>
        <w:rPr>
          <w:rFonts w:asciiTheme="majorHAnsi" w:hAnsiTheme="majorHAnsi"/>
          <w:b/>
          <w:noProof/>
          <w:color w:val="000000"/>
        </w:rPr>
        <w:t xml:space="preserve">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Vienas valsts iestādes prasībām izpildes, b</w:t>
      </w:r>
      <w:r>
        <w:rPr>
          <w:rFonts w:asciiTheme="majorHAnsi" w:hAnsiTheme="majorHAnsi"/>
          <w:noProof/>
          <w:color w:val="000000"/>
        </w:rPr>
        <w:t>ankrota vai izlīguma procesā citā valstī ir tādas pašas privilēģijas kā tās, ko šīs valsts tiesību akti nosaka tāda paša veida prasībām.</w:t>
      </w:r>
      <w:r>
        <w:rPr>
          <w:rFonts w:asciiTheme="majorHAnsi" w:hAnsiTheme="majorHAnsi"/>
          <w:b/>
          <w:noProof/>
          <w:color w:val="000000"/>
        </w:rPr>
        <w:t xml:space="preserve">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Šā panta īstenošanas procedūru, ieskaitot izmaksu atlīdzināšanu, reglamentē SSC-7. pielikums [Īstenošanas daļa] vai</w:t>
      </w:r>
      <w:r>
        <w:rPr>
          <w:rFonts w:asciiTheme="majorHAnsi" w:hAnsiTheme="majorHAnsi"/>
          <w:noProof/>
          <w:color w:val="000000"/>
        </w:rPr>
        <w:t>, ja nepieciešams, izmantojot valstu savstarpējus nolīgumus kā papildu pasākumu.</w:t>
      </w:r>
      <w:r>
        <w:rPr>
          <w:rFonts w:asciiTheme="majorHAnsi" w:hAnsiTheme="majorHAnsi"/>
          <w:b/>
          <w:noProof/>
          <w:color w:val="000000"/>
        </w:rPr>
        <w:t xml:space="preserve"> </w:t>
      </w:r>
    </w:p>
    <w:p w:rsidR="003E022D" w:rsidRDefault="007D19D6">
      <w:pPr>
        <w:pStyle w:val="Article"/>
        <w:rPr>
          <w:noProof/>
        </w:rPr>
      </w:pPr>
      <w:r>
        <w:rPr>
          <w:noProof/>
        </w:rPr>
        <w:t>SSC.65. pants.  Iestāžu tiesības</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Ja kāda persona saskaņā ar kādas valsts tiesību aktiem saņem pabalstus sakarā ar kaitējumu, kas radies citā valstī notikušā notikumā, jebkuras tās iestādes tiesības, kura atbild par pabalstu nodrošināšanu, attiecībā pret trešo personu, kurai ir pienākums n</w:t>
      </w:r>
      <w:r>
        <w:rPr>
          <w:rFonts w:asciiTheme="majorHAnsi" w:hAnsiTheme="majorHAnsi"/>
          <w:noProof/>
          <w:color w:val="000000"/>
        </w:rPr>
        <w:t xml:space="preserve">odrošināt atlīdzību par nodarīto kaitējumu, regulē šādi noteikumi: </w:t>
      </w:r>
    </w:p>
    <w:p w:rsidR="003E022D" w:rsidRDefault="007D19D6">
      <w:pPr>
        <w:pStyle w:val="Subparagraphab"/>
        <w:numPr>
          <w:ilvl w:val="0"/>
          <w:numId w:val="1047"/>
        </w:numPr>
        <w:ind w:left="567" w:hanging="567"/>
        <w:rPr>
          <w:rFonts w:asciiTheme="majorHAnsi" w:hAnsiTheme="majorHAnsi"/>
          <w:noProof/>
        </w:rPr>
      </w:pPr>
      <w:r>
        <w:rPr>
          <w:rFonts w:asciiTheme="majorHAnsi" w:hAnsiTheme="majorHAnsi"/>
          <w:noProof/>
        </w:rPr>
        <w:t xml:space="preserve">ja uz iestādi, kura atbild par pabalstu nodrošināšanu, saskaņā ar tiesību aktiem, kurus tā piemēro, ir pārgājušas tiesības, kas saņēmējam ir pret trešo personu, šādu pāreju atzīst visas </w:t>
      </w:r>
      <w:r>
        <w:rPr>
          <w:rFonts w:asciiTheme="majorHAnsi" w:hAnsiTheme="majorHAnsi"/>
          <w:noProof/>
        </w:rPr>
        <w:t>valstis;</w:t>
      </w:r>
    </w:p>
    <w:p w:rsidR="003E022D" w:rsidRDefault="007D19D6">
      <w:pPr>
        <w:pStyle w:val="Subparagraphab"/>
        <w:numPr>
          <w:ilvl w:val="0"/>
          <w:numId w:val="1047"/>
        </w:numPr>
        <w:ind w:left="567" w:hanging="567"/>
        <w:rPr>
          <w:rFonts w:asciiTheme="majorHAnsi" w:eastAsia="Arial" w:hAnsiTheme="majorHAnsi" w:cs="Arial"/>
          <w:noProof/>
          <w:color w:val="000000"/>
        </w:rPr>
      </w:pPr>
      <w:r>
        <w:rPr>
          <w:rFonts w:asciiTheme="majorHAnsi" w:hAnsiTheme="majorHAnsi"/>
          <w:noProof/>
        </w:rPr>
        <w:t>ja iestādei, kura atbild par pabalstu nodrošināšanu, ir tiešas tiesības pret trešo personu, šādas tiesības atzīst visas valstis.</w:t>
      </w:r>
      <w:r>
        <w:rPr>
          <w:rFonts w:asciiTheme="majorHAnsi" w:hAnsiTheme="majorHAnsi"/>
          <w:noProof/>
          <w:color w:val="000000"/>
        </w:rPr>
        <w:t xml:space="preserve">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Ja kāda persona saskaņā ar vienas valsts tiesību aktiem saņem pabalstus sakarā ar kaitējumu, kas radies citā valst</w:t>
      </w:r>
      <w:r>
        <w:rPr>
          <w:rFonts w:asciiTheme="majorHAnsi" w:hAnsiTheme="majorHAnsi"/>
          <w:noProof/>
          <w:color w:val="000000"/>
        </w:rPr>
        <w:t xml:space="preserve">ī notikušā notikumā, minēto tiesību aktu noteikumus, kas nosaka, kādos gadījumos ir izslēdzama darba devēju vai viņu darbinieku civiltiesiskā atbildība, piemēro attiecībā uz minēto personu vai kompetento iestādi. </w:t>
      </w:r>
    </w:p>
    <w:p w:rsidR="003E022D" w:rsidRDefault="007D19D6">
      <w:pPr>
        <w:pBdr>
          <w:top w:val="nil"/>
          <w:left w:val="nil"/>
          <w:bottom w:val="nil"/>
          <w:right w:val="nil"/>
          <w:between w:val="nil"/>
        </w:pBdr>
        <w:ind w:right="-4"/>
        <w:rPr>
          <w:rFonts w:asciiTheme="majorHAnsi" w:eastAsia="Arial" w:hAnsiTheme="majorHAnsi" w:cs="Arial"/>
          <w:noProof/>
          <w:color w:val="000000"/>
        </w:rPr>
      </w:pPr>
      <w:r>
        <w:rPr>
          <w:rFonts w:asciiTheme="majorHAnsi" w:hAnsiTheme="majorHAnsi"/>
          <w:noProof/>
          <w:color w:val="000000"/>
        </w:rPr>
        <w:t>Šā panta 1. punktu piemēro arī visām par p</w:t>
      </w:r>
      <w:r>
        <w:rPr>
          <w:rFonts w:asciiTheme="majorHAnsi" w:hAnsiTheme="majorHAnsi"/>
          <w:noProof/>
          <w:color w:val="000000"/>
        </w:rPr>
        <w:t xml:space="preserve">abalstu nodrošināšanu atbildīgās iestādes tiesībām attiecībā pret darba devējiem vai viņa darbiniekiem gadījumos, kad netiek izslēgta viņu atbildība. </w:t>
      </w:r>
    </w:p>
    <w:p w:rsidR="003E022D" w:rsidRDefault="007D19D6">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 xml:space="preserve">Ja saskaņā ar </w:t>
      </w:r>
      <w:r>
        <w:rPr>
          <w:rFonts w:asciiTheme="majorHAnsi" w:hAnsiTheme="majorHAnsi"/>
          <w:noProof/>
          <w:color w:val="000000"/>
        </w:rPr>
        <w:t>SSC.30. panta [Iestāžu savstarpējie norēķini] 3. punktu</w:t>
      </w:r>
      <w:r>
        <w:rPr>
          <w:rFonts w:asciiTheme="majorHAnsi" w:hAnsiTheme="majorHAnsi"/>
          <w:noProof/>
        </w:rPr>
        <w:t xml:space="preserve"> vai 36. panta [Iestāžu savstarpē</w:t>
      </w:r>
      <w:r>
        <w:rPr>
          <w:rFonts w:asciiTheme="majorHAnsi" w:hAnsiTheme="majorHAnsi"/>
          <w:noProof/>
        </w:rPr>
        <w:t>jie norēķini] 2. punktu divas vai vairākas valstis vai to kompetentās iestādes ir noslēgušas nolīgumu, lai atteiktos no kompensācijas norēķiniem starp iestādēm, kas ir to jurisdikcijā, vai ja kompensācijas norēķini nav atkarīgi no faktiski nodrošināto paba</w:t>
      </w:r>
      <w:r>
        <w:rPr>
          <w:rFonts w:asciiTheme="majorHAnsi" w:hAnsiTheme="majorHAnsi"/>
          <w:noProof/>
        </w:rPr>
        <w:t>lstu summas, visas tiesības, kas rodas attiecībā pret atbildīgo trešo personu, reglamentē šādi noteikumi:</w:t>
      </w:r>
      <w:r>
        <w:rPr>
          <w:rFonts w:asciiTheme="majorHAnsi" w:hAnsiTheme="majorHAnsi"/>
          <w:noProof/>
          <w:color w:val="000000"/>
        </w:rPr>
        <w:t xml:space="preserve"> </w:t>
      </w:r>
    </w:p>
    <w:p w:rsidR="003E022D" w:rsidRDefault="007D19D6">
      <w:pPr>
        <w:pStyle w:val="Subparagraphab"/>
        <w:numPr>
          <w:ilvl w:val="0"/>
          <w:numId w:val="1048"/>
        </w:numPr>
        <w:ind w:left="567" w:hanging="567"/>
        <w:rPr>
          <w:rFonts w:asciiTheme="majorHAnsi" w:hAnsiTheme="majorHAnsi"/>
          <w:noProof/>
        </w:rPr>
      </w:pPr>
      <w:r>
        <w:rPr>
          <w:rFonts w:asciiTheme="majorHAnsi" w:hAnsiTheme="majorHAnsi"/>
          <w:noProof/>
        </w:rPr>
        <w:t>ja dzīvesvietas vai uzturēšanās vietas valsts iestāde piešķir pabalstus personai saistībā ar kaitējumu, kas radies tās teritorijā, šī iestāde atbilst</w:t>
      </w:r>
      <w:r>
        <w:rPr>
          <w:rFonts w:asciiTheme="majorHAnsi" w:hAnsiTheme="majorHAnsi"/>
          <w:noProof/>
        </w:rPr>
        <w:t>oši to tiesību aktu noteikumiem, ko tā piemēro, izmanto tiesību pārņemšanu vai tiešu rīcību pret trešām pusēm, kam jānodrošina kompensācija par kaitējumu;</w:t>
      </w:r>
    </w:p>
    <w:p w:rsidR="003E022D" w:rsidRDefault="007D19D6">
      <w:pPr>
        <w:pStyle w:val="Subparagraphab"/>
        <w:numPr>
          <w:ilvl w:val="0"/>
          <w:numId w:val="1048"/>
        </w:numPr>
        <w:ind w:left="567" w:hanging="567"/>
        <w:rPr>
          <w:rFonts w:asciiTheme="majorHAnsi" w:eastAsia="Arial" w:hAnsiTheme="majorHAnsi" w:cs="Arial"/>
          <w:noProof/>
          <w:color w:val="000000"/>
        </w:rPr>
      </w:pPr>
      <w:r>
        <w:rPr>
          <w:rFonts w:asciiTheme="majorHAnsi" w:hAnsiTheme="majorHAnsi"/>
          <w:noProof/>
        </w:rPr>
        <w:t>lai piemērotu</w:t>
      </w:r>
      <w:r>
        <w:rPr>
          <w:rFonts w:asciiTheme="majorHAnsi" w:hAnsiTheme="majorHAnsi"/>
          <w:noProof/>
          <w:color w:val="000000"/>
        </w:rPr>
        <w:t xml:space="preserve"> a) apakšpunktu</w:t>
      </w:r>
      <w:r>
        <w:rPr>
          <w:rFonts w:asciiTheme="majorHAnsi" w:hAnsiTheme="majorHAnsi"/>
          <w:noProof/>
        </w:rPr>
        <w:t>:</w:t>
      </w:r>
      <w:r>
        <w:rPr>
          <w:rFonts w:asciiTheme="majorHAnsi" w:hAnsiTheme="majorHAnsi"/>
          <w:noProof/>
          <w:color w:val="000000"/>
        </w:rPr>
        <w:t xml:space="preserve"> </w:t>
      </w:r>
    </w:p>
    <w:p w:rsidR="003E022D" w:rsidRDefault="007D19D6">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personu, kas saņem pabalstus, uzskata par apdrošinātu dzīvesvietas vai</w:t>
      </w:r>
      <w:r>
        <w:rPr>
          <w:rFonts w:asciiTheme="majorHAnsi" w:hAnsiTheme="majorHAnsi"/>
          <w:noProof/>
          <w:color w:val="000000"/>
        </w:rPr>
        <w:t xml:space="preserve"> uzturēšanās vietas iestādē, un</w:t>
      </w:r>
    </w:p>
    <w:p w:rsidR="003E022D" w:rsidRDefault="007D19D6">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 xml:space="preserve">šo iestādi uzskata par iestādi, kas atbild par pabalstu nodrošināšanu; </w:t>
      </w:r>
    </w:p>
    <w:p w:rsidR="003E022D" w:rsidRDefault="007D19D6">
      <w:pPr>
        <w:numPr>
          <w:ilvl w:val="0"/>
          <w:numId w:val="1011"/>
        </w:numPr>
        <w:pBdr>
          <w:top w:val="nil"/>
          <w:left w:val="nil"/>
          <w:bottom w:val="nil"/>
          <w:right w:val="nil"/>
          <w:between w:val="nil"/>
        </w:pBdr>
        <w:spacing w:before="248"/>
        <w:ind w:left="567" w:right="-5" w:hanging="567"/>
        <w:rPr>
          <w:rFonts w:asciiTheme="majorHAnsi" w:eastAsia="Arial" w:hAnsiTheme="majorHAnsi" w:cs="Arial"/>
          <w:noProof/>
          <w:color w:val="000000"/>
        </w:rPr>
      </w:pPr>
      <w:r>
        <w:rPr>
          <w:rFonts w:asciiTheme="majorHAnsi" w:hAnsiTheme="majorHAnsi"/>
          <w:noProof/>
          <w:color w:val="000000"/>
        </w:rPr>
        <w:t>un 1. un 2. punktu piemēro attiecībā uz visiem pabalstiem, uz ko neattiecas nolīgums par kompensācijas norēķinu nepiemērošanu vai kompensācijas norēķini</w:t>
      </w:r>
      <w:r>
        <w:rPr>
          <w:rFonts w:asciiTheme="majorHAnsi" w:hAnsiTheme="majorHAnsi"/>
          <w:noProof/>
          <w:color w:val="000000"/>
        </w:rPr>
        <w:t>, kuri nav atkarīgi no faktiski sniegto pabalstu summas.</w:t>
      </w:r>
      <w:r>
        <w:rPr>
          <w:rFonts w:asciiTheme="majorHAnsi" w:hAnsiTheme="majorHAnsi"/>
          <w:b/>
          <w:noProof/>
          <w:color w:val="000000"/>
        </w:rPr>
        <w:t xml:space="preserve"> </w:t>
      </w:r>
    </w:p>
    <w:p w:rsidR="003E022D" w:rsidRDefault="007D19D6">
      <w:pPr>
        <w:pStyle w:val="Article"/>
        <w:rPr>
          <w:noProof/>
        </w:rPr>
      </w:pPr>
      <w:r>
        <w:rPr>
          <w:noProof/>
        </w:rPr>
        <w:t>SSC.66. pants.  Tiesību aktu īstenošana</w:t>
      </w:r>
    </w:p>
    <w:p w:rsidR="003E022D" w:rsidRDefault="007D19D6">
      <w:pPr>
        <w:rPr>
          <w:rFonts w:asciiTheme="majorHAnsi" w:eastAsia="Arial" w:hAnsiTheme="majorHAnsi" w:cs="Arial"/>
          <w:noProof/>
          <w:color w:val="FF0000"/>
        </w:rPr>
      </w:pPr>
      <w:r>
        <w:rPr>
          <w:rFonts w:asciiTheme="majorHAnsi" w:hAnsiTheme="majorHAnsi"/>
          <w:noProof/>
          <w:color w:val="000000"/>
        </w:rPr>
        <w:t>Īpaši noteikumi par atsevišķu valstu tiesību aktu īstenošanu ir norādīti protokola SSC-6. pielikumā [Īpaši noteikumi dalībvalstu un Apvienotās Karalistes ties</w:t>
      </w:r>
      <w:r>
        <w:rPr>
          <w:rFonts w:asciiTheme="majorHAnsi" w:hAnsiTheme="majorHAnsi"/>
          <w:noProof/>
          <w:color w:val="000000"/>
        </w:rPr>
        <w:t>ību aktu piemērošanai].</w:t>
      </w:r>
    </w:p>
    <w:p w:rsidR="003E022D" w:rsidRDefault="007D19D6">
      <w:pPr>
        <w:pStyle w:val="Title1"/>
        <w:rPr>
          <w:rFonts w:eastAsia="Arial" w:cs="Arial"/>
          <w:i w:val="0"/>
          <w:noProof/>
        </w:rPr>
      </w:pPr>
      <w:bookmarkStart w:id="1464" w:name="_Toc59110606"/>
      <w:bookmarkStart w:id="1465" w:name="_Toc59988445"/>
      <w:r>
        <w:rPr>
          <w:i w:val="0"/>
          <w:noProof/>
        </w:rPr>
        <w:t>V SADAĻA. NOBEIGUMA NOTEIKUMI</w:t>
      </w:r>
      <w:bookmarkEnd w:id="1464"/>
      <w:bookmarkEnd w:id="1465"/>
    </w:p>
    <w:p w:rsidR="003E022D" w:rsidRDefault="007D19D6">
      <w:pPr>
        <w:pStyle w:val="Article"/>
        <w:rPr>
          <w:noProof/>
        </w:rPr>
      </w:pPr>
      <w:r>
        <w:rPr>
          <w:noProof/>
        </w:rPr>
        <w:t>SSC.67. pants. Individuālo tiesību aizsardzība</w:t>
      </w:r>
    </w:p>
    <w:p w:rsidR="003E022D" w:rsidRDefault="007D19D6">
      <w:pPr>
        <w:rPr>
          <w:noProof/>
        </w:rPr>
      </w:pPr>
      <w:r>
        <w:rPr>
          <w:noProof/>
        </w:rPr>
        <w:t>1.</w:t>
      </w:r>
      <w:r>
        <w:rPr>
          <w:noProof/>
        </w:rPr>
        <w:tab/>
        <w:t>Puses saskaņā ar to iekšzemes tiesību sistēmu nodrošina, ka Protokola par sociālā nodrošinājuma koordināciju noteikumiem ir likuma spēks, ko panāk tieši</w:t>
      </w:r>
      <w:r>
        <w:rPr>
          <w:noProof/>
        </w:rPr>
        <w:t xml:space="preserve"> vai ar iekšzemes tiesību aktiem, ar kuriem nosaka šo noteikumu stāšanos spēkā, lai juridiskas vai fiziskas persona var atsaukties uz šiem noteikumiem iekšzemes tiesās un administratīvajās iestādēs.</w:t>
      </w:r>
    </w:p>
    <w:p w:rsidR="003E022D" w:rsidRDefault="007D19D6">
      <w:pPr>
        <w:rPr>
          <w:noProof/>
        </w:rPr>
      </w:pPr>
      <w:r>
        <w:rPr>
          <w:noProof/>
        </w:rPr>
        <w:t>2.</w:t>
      </w:r>
      <w:r>
        <w:rPr>
          <w:noProof/>
        </w:rPr>
        <w:tab/>
        <w:t>Puses juridiskām vai fiziskām personām nodrošina līdze</w:t>
      </w:r>
      <w:r>
        <w:rPr>
          <w:noProof/>
        </w:rPr>
        <w:t>kļus efektīvai to tiesību aizsardzībai atbilstoši šim protokolam, piemēram, iespēju iesniegt sūdzības administratīvās struktūrās vai celt prasību kompetentā tiesā atbilstošā tiesas procesā, lai panāktu atbilstīgu un savlaicīgu aizsardzību.</w:t>
      </w:r>
    </w:p>
    <w:p w:rsidR="003E022D" w:rsidRDefault="007D19D6">
      <w:pPr>
        <w:pStyle w:val="Article"/>
        <w:rPr>
          <w:noProof/>
        </w:rPr>
      </w:pPr>
      <w:r>
        <w:rPr>
          <w:noProof/>
        </w:rPr>
        <w:t xml:space="preserve">SSC.68. pants.  </w:t>
      </w:r>
      <w:r>
        <w:rPr>
          <w:noProof/>
        </w:rPr>
        <w:t>Grozījumi</w:t>
      </w:r>
    </w:p>
    <w:p w:rsidR="003E022D" w:rsidRDefault="007D19D6">
      <w:pPr>
        <w:rPr>
          <w:rFonts w:asciiTheme="majorHAnsi" w:eastAsia="Arial" w:hAnsiTheme="majorHAnsi" w:cs="Arial"/>
          <w:noProof/>
        </w:rPr>
      </w:pPr>
      <w:r>
        <w:rPr>
          <w:rFonts w:asciiTheme="majorHAnsi" w:hAnsiTheme="majorHAnsi"/>
          <w:noProof/>
        </w:rPr>
        <w:t>Specializētā sociālā nodrošinājuma koordinācijas komiteja var grozīt šā protokola pielikumus un papildinājumus. </w:t>
      </w:r>
    </w:p>
    <w:p w:rsidR="003E022D" w:rsidRDefault="007D19D6">
      <w:pPr>
        <w:pStyle w:val="Article"/>
        <w:rPr>
          <w:rFonts w:asciiTheme="minorHAnsi" w:hAnsiTheme="minorHAnsi" w:cstheme="minorHAnsi"/>
          <w:noProof/>
        </w:rPr>
      </w:pPr>
      <w:r>
        <w:rPr>
          <w:rFonts w:asciiTheme="minorHAnsi" w:hAnsiTheme="minorHAnsi"/>
          <w:noProof/>
        </w:rPr>
        <w:t>SSC.69. pants. Protokola izbeigšana</w:t>
      </w:r>
    </w:p>
    <w:p w:rsidR="003E022D" w:rsidRDefault="007D19D6">
      <w:pPr>
        <w:rPr>
          <w:rFonts w:asciiTheme="minorHAnsi" w:eastAsia="Calibri" w:hAnsiTheme="minorHAnsi" w:cstheme="minorHAnsi"/>
          <w:noProof/>
        </w:rPr>
      </w:pPr>
      <w:r>
        <w:rPr>
          <w:rFonts w:asciiTheme="minorHAnsi" w:hAnsiTheme="minorHAnsi"/>
          <w:noProof/>
          <w:color w:val="000000"/>
        </w:rPr>
        <w:t xml:space="preserve">Neskarot FINPROV.8. pantu [Izbeigšana], katra Puse var jebkurā laikā izbeigt šī protokola </w:t>
      </w:r>
      <w:r>
        <w:rPr>
          <w:rFonts w:asciiTheme="minorHAnsi" w:hAnsiTheme="minorHAnsi"/>
          <w:noProof/>
          <w:color w:val="000000"/>
        </w:rPr>
        <w:t>piemērošanu, ar diplomātisko kanālu starpniecību iesniedzot rakstisku paziņojumu. Šādā gadījumā šis protokols zaudē spēku devītā mēneša pirmajā dienā pēc paziņošanas dienas.</w:t>
      </w:r>
    </w:p>
    <w:p w:rsidR="003E022D" w:rsidRDefault="007D19D6">
      <w:pPr>
        <w:pStyle w:val="Article"/>
        <w:rPr>
          <w:rFonts w:asciiTheme="minorHAnsi" w:hAnsiTheme="minorHAnsi" w:cstheme="minorHAnsi"/>
          <w:noProof/>
        </w:rPr>
      </w:pPr>
      <w:r>
        <w:rPr>
          <w:rFonts w:asciiTheme="minorHAnsi" w:hAnsiTheme="minorHAnsi"/>
          <w:noProof/>
        </w:rPr>
        <w:t>SSC.70. pants.  Turpināmības klauzula</w:t>
      </w:r>
    </w:p>
    <w:p w:rsidR="003E022D" w:rsidRDefault="007D19D6">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1.</w:t>
      </w:r>
      <w:r>
        <w:rPr>
          <w:noProof/>
        </w:rPr>
        <w:tab/>
        <w:t xml:space="preserve">Šo protokolu beidz piemērot piecpadsmit </w:t>
      </w:r>
      <w:r>
        <w:rPr>
          <w:noProof/>
        </w:rPr>
        <w:t>gadus pēc šā nolīguma stāšanās spēkā.</w:t>
      </w:r>
      <w:r>
        <w:rPr>
          <w:rFonts w:asciiTheme="minorHAnsi" w:hAnsiTheme="minorHAnsi"/>
          <w:noProof/>
          <w:color w:val="000000"/>
        </w:rPr>
        <w:t> </w:t>
      </w:r>
    </w:p>
    <w:p w:rsidR="003E022D" w:rsidRDefault="007D19D6">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2.</w:t>
      </w:r>
      <w:r>
        <w:rPr>
          <w:noProof/>
        </w:rPr>
        <w:tab/>
      </w:r>
      <w:r>
        <w:rPr>
          <w:rFonts w:asciiTheme="minorHAnsi" w:hAnsiTheme="minorHAnsi"/>
          <w:noProof/>
          <w:color w:val="000000"/>
        </w:rPr>
        <w:t xml:space="preserve">Ne vēlāk kā 12 mēnešus pirms šā protokola piemērošanas izbeigšanas saskaņā ar 1. punktu viena Puse paziņo otrai Pusei par savu vēlmi sākt sarunas, lai noslēgtu atjauninātu protokolu. </w:t>
      </w:r>
    </w:p>
    <w:p w:rsidR="003E022D" w:rsidRDefault="007D19D6">
      <w:pPr>
        <w:pStyle w:val="Article"/>
        <w:rPr>
          <w:rFonts w:asciiTheme="minorHAnsi" w:hAnsiTheme="minorHAnsi" w:cstheme="minorHAnsi"/>
          <w:noProof/>
        </w:rPr>
      </w:pPr>
      <w:r>
        <w:rPr>
          <w:rFonts w:asciiTheme="minorHAnsi" w:hAnsiTheme="minorHAnsi"/>
          <w:noProof/>
        </w:rPr>
        <w:t>SSC.71. pants.  Pasākumi pēc i</w:t>
      </w:r>
      <w:r>
        <w:rPr>
          <w:rFonts w:asciiTheme="minorHAnsi" w:hAnsiTheme="minorHAnsi"/>
          <w:noProof/>
        </w:rPr>
        <w:t xml:space="preserve">zbeigšanas </w:t>
      </w:r>
    </w:p>
    <w:p w:rsidR="003E022D" w:rsidRDefault="007D19D6">
      <w:pPr>
        <w:spacing w:after="0" w:line="276" w:lineRule="auto"/>
        <w:rPr>
          <w:noProof/>
        </w:rPr>
      </w:pPr>
      <w:r>
        <w:rPr>
          <w:rFonts w:asciiTheme="minorHAnsi" w:hAnsiTheme="minorHAnsi"/>
          <w:noProof/>
        </w:rPr>
        <w:t>Ja šo protokolu beidz piemērot saskaņā ar SSC.69. pantu [Protokola izbeigšana], SSC.70. pantu [Turpināmības klauzula] vai FINPROV.8 pantu [Izbeigšana], tiek saglabātas apdrošināto personu tiesības, kuru pamatā ir izpildītie periodi vai fakti va</w:t>
      </w:r>
      <w:r>
        <w:rPr>
          <w:rFonts w:asciiTheme="minorHAnsi" w:hAnsiTheme="minorHAnsi"/>
          <w:noProof/>
        </w:rPr>
        <w:t>i notikumi, kas notikuši pirms šā protokola piemērošanas izbeigšanas. Pirms šā protokola piemērošanas izbeigšanas Partnerības padome laikus var noteikt papildu kārtību, kurā izklāstīti attiecīgi izrietošie un pārejas pasākumi.</w:t>
      </w:r>
      <w:r>
        <w:rPr>
          <w:noProof/>
        </w:rPr>
        <w:br w:type="page"/>
      </w:r>
    </w:p>
    <w:p w:rsidR="003E022D" w:rsidRDefault="007D19D6">
      <w:pPr>
        <w:pStyle w:val="ANNEX"/>
        <w:rPr>
          <w:rFonts w:asciiTheme="majorHAnsi" w:hAnsiTheme="majorHAnsi"/>
          <w:noProof/>
        </w:rPr>
      </w:pPr>
      <w:bookmarkStart w:id="1466" w:name="_Toc59988446"/>
      <w:bookmarkStart w:id="1467" w:name="_Toc59110607"/>
      <w:r>
        <w:rPr>
          <w:rFonts w:asciiTheme="majorHAnsi" w:hAnsiTheme="majorHAnsi"/>
          <w:noProof/>
        </w:rPr>
        <w:t>SSC-1. PIELIKUMS. DAŽI NAUDA</w:t>
      </w:r>
      <w:r>
        <w:rPr>
          <w:rFonts w:asciiTheme="majorHAnsi" w:hAnsiTheme="majorHAnsi"/>
          <w:noProof/>
        </w:rPr>
        <w:t>S PABALSTI, KURIEM NEPIEMĒRO ŠO PROTOKOLU</w:t>
      </w:r>
      <w:bookmarkEnd w:id="1466"/>
      <w:r>
        <w:rPr>
          <w:rFonts w:asciiTheme="majorHAnsi" w:hAnsiTheme="majorHAnsi"/>
          <w:noProof/>
        </w:rPr>
        <w:t xml:space="preserve"> </w:t>
      </w:r>
      <w:bookmarkEnd w:id="1467"/>
    </w:p>
    <w:p w:rsidR="003E022D" w:rsidRDefault="007D19D6">
      <w:pPr>
        <w:pStyle w:val="Part"/>
        <w:rPr>
          <w:rFonts w:asciiTheme="majorHAnsi" w:hAnsiTheme="majorHAnsi"/>
          <w:b/>
          <w:i/>
          <w:noProof/>
        </w:rPr>
      </w:pPr>
      <w:r>
        <w:rPr>
          <w:rFonts w:asciiTheme="majorHAnsi" w:hAnsiTheme="majorHAnsi"/>
          <w:noProof/>
          <w:sz w:val="22"/>
          <w:szCs w:val="22"/>
        </w:rPr>
        <w:t>1. daļa. Īpaši no iemaksām neatkarīgi naudas pabalsti (SSC.3. panta [Jomas, uz kurām attiecas šis protokols] 4. punkta a) apakšpunkts)</w:t>
      </w:r>
    </w:p>
    <w:p w:rsidR="003E022D" w:rsidRDefault="007D19D6">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APVIENOTĀ KARALISTE</w:t>
      </w:r>
    </w:p>
    <w:p w:rsidR="003E022D" w:rsidRDefault="007D19D6">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Valsts pensiju kredīts (2002. gada likums “Par valsts pens</w:t>
      </w:r>
      <w:r>
        <w:rPr>
          <w:rFonts w:asciiTheme="majorHAnsi" w:hAnsiTheme="majorHAnsi"/>
          <w:noProof/>
          <w:color w:val="000000"/>
        </w:rPr>
        <w:t>iju kredītu” un Ziemeļīrijas 2002. gada likums “Par valsts pensiju kredītu”);</w:t>
      </w:r>
    </w:p>
    <w:p w:rsidR="003E022D" w:rsidRDefault="007D19D6">
      <w:pPr>
        <w:numPr>
          <w:ilvl w:val="0"/>
          <w:numId w:val="105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Darba meklētāju pabalsti, ko aprēķina, ņemot vērā ienākumus (1995. gada Darba meklētāju likums un (Ziemeļīrijas) 1995. gada Rīkojums par darba meklētājiem);</w:t>
      </w:r>
    </w:p>
    <w:p w:rsidR="003E022D" w:rsidRDefault="007D19D6">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iztikas pabalsti </w:t>
      </w:r>
      <w:r>
        <w:rPr>
          <w:rFonts w:asciiTheme="majorHAnsi" w:hAnsiTheme="majorHAnsi"/>
          <w:noProof/>
          <w:color w:val="000000"/>
        </w:rPr>
        <w:t>invalīdiem mobilitātes nodrošināšanai (1992. gada likums “Par sociālās apdrošināšanas iemaksām un pabalstiem” un Ziemeļīrijas 1992. gada likums “Par sociālās apdrošināšanas iemaksām un pabalstiem”);</w:t>
      </w:r>
    </w:p>
    <w:p w:rsidR="003E022D" w:rsidRDefault="007D19D6">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personīgās neatkarības maksājums, mobilitātes komponents </w:t>
      </w:r>
      <w:r>
        <w:rPr>
          <w:rFonts w:asciiTheme="majorHAnsi" w:hAnsiTheme="majorHAnsi"/>
          <w:noProof/>
          <w:color w:val="000000"/>
        </w:rPr>
        <w:t>(2012. gada likums “Par sociālās labklājības sistēmas reformu” (4. daļa) un Ziemeļīrijas 2015. gada rīkojums par sociālās sistēmas reformu (5. daļa));</w:t>
      </w:r>
    </w:p>
    <w:p w:rsidR="003E022D" w:rsidRDefault="007D19D6">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nodarbinātības un atbalsta pabalsts ienākumu papildināšanai (2007. gada likums “Par sociālās labklājības </w:t>
      </w:r>
      <w:r>
        <w:rPr>
          <w:rFonts w:asciiTheme="majorHAnsi" w:hAnsiTheme="majorHAnsi"/>
          <w:noProof/>
          <w:color w:val="000000"/>
        </w:rPr>
        <w:t>sistēmas reformu” un 2007. gada likums “Par sociālās labklājības sistēmas reformu” (Ziemeļīrija));</w:t>
      </w:r>
    </w:p>
    <w:p w:rsidR="003E022D" w:rsidRDefault="007D19D6">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“Best Start Foods” maksājums (Labklājības sistēma pārtikai (“Best Start Foods”) (Skotija) 2019. gada noteikumi (SSI 2019/193));</w:t>
      </w:r>
    </w:p>
    <w:p w:rsidR="003E022D" w:rsidRDefault="007D19D6">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rPr>
        <w:t xml:space="preserve">“Best Start Grants" </w:t>
      </w:r>
      <w:r>
        <w:rPr>
          <w:rFonts w:asciiTheme="majorHAnsi" w:hAnsiTheme="majorHAnsi"/>
          <w:noProof/>
        </w:rPr>
        <w:t>(grūtniecības un bērna piedzimšanas dotācija, agrīnas izglītības dotācija, skolas vecuma dotācija) (2018. gada Noteikumi par atbalstu agrīniem gadiem (“Best Start Grants”) (Skotija) (SSI 2018/370));</w:t>
      </w:r>
    </w:p>
    <w:p w:rsidR="003E022D" w:rsidRDefault="007D19D6">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rPr>
        <w:t>apbedīšanas atbalsta maksājums(“Funeral Expense Assistanc</w:t>
      </w:r>
      <w:r>
        <w:rPr>
          <w:rFonts w:asciiTheme="majorHAnsi" w:hAnsiTheme="majorHAnsi"/>
          <w:noProof/>
        </w:rPr>
        <w:t>e” (Skotija) 2019. gada noteikumi (SSI 2019/292)).</w:t>
      </w:r>
    </w:p>
    <w:p w:rsidR="003E022D" w:rsidRDefault="007D19D6">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DALĪBVALSTIS</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AUSTRIJA </w:t>
      </w:r>
    </w:p>
    <w:p w:rsidR="003E022D" w:rsidRDefault="007D19D6">
      <w:pPr>
        <w:rPr>
          <w:rFonts w:asciiTheme="majorHAnsi" w:eastAsia="Arial" w:hAnsiTheme="majorHAnsi" w:cs="Arial"/>
          <w:noProof/>
          <w:color w:val="000000"/>
        </w:rPr>
      </w:pPr>
      <w:r>
        <w:rPr>
          <w:rFonts w:asciiTheme="majorHAnsi" w:hAnsiTheme="majorHAnsi"/>
          <w:noProof/>
          <w:color w:val="000000"/>
        </w:rPr>
        <w:t>Kompensācijas piemaksa (1955. gada 9. septembra Federālais likums par vispārējo sociālo apdrošināšanu – ASVG, 1978. gada 11. oktobra Federālais likums par tirdzniecībā un komercdarbī</w:t>
      </w:r>
      <w:r>
        <w:rPr>
          <w:rFonts w:asciiTheme="majorHAnsi" w:hAnsiTheme="majorHAnsi"/>
          <w:noProof/>
          <w:color w:val="000000"/>
        </w:rPr>
        <w:t xml:space="preserve">bā iesaistītu personu sociālo apdrošināšanu – GSVG un 1978. gada 11. oktobra Federālais likums par lauksaimnieku sociālo apdrošināšanu – BSVG).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BEĻĢIJA </w:t>
      </w:r>
    </w:p>
    <w:p w:rsidR="003E022D" w:rsidRDefault="007D19D6">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Ienākumu pabalsts (1987. gada 27. februāra Likums);</w:t>
      </w:r>
    </w:p>
    <w:p w:rsidR="003E022D" w:rsidRDefault="007D19D6">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 Garantēti ienākumi veciem cilvēkiem (2001. gada 22. marta likums).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BULGĀRIJA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Sociālā vecuma pensija (Sociālās apdrošināšanas kodeksa 89. pants).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KIPRA </w:t>
      </w:r>
    </w:p>
    <w:p w:rsidR="003E022D" w:rsidRDefault="007D19D6">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 pensija (1995. gada Likums par sociālajām pensijām (Likums 25(I)/95) ar grozījumiem);</w:t>
      </w:r>
    </w:p>
    <w:p w:rsidR="003E022D" w:rsidRDefault="007D19D6">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invali</w:t>
      </w:r>
      <w:r>
        <w:rPr>
          <w:rFonts w:asciiTheme="majorHAnsi" w:hAnsiTheme="majorHAnsi"/>
          <w:noProof/>
          <w:color w:val="000000"/>
        </w:rPr>
        <w:t>ditātes pabalsts smagu kustību traucējumu gadījumos (Ministru Padomes 1992. gada 16. oktobra Lēmums Nr. 38210, 1994. gada 1. augusta Lēmums Nr. 41370, 1997. gada 11. jūnija Lēmums Nr. 46183 un 2001. gada 16. maija Lēmums Nr. 53675);</w:t>
      </w:r>
    </w:p>
    <w:p w:rsidR="003E022D" w:rsidRDefault="007D19D6">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īpašs pabalsts neredzīg</w:t>
      </w:r>
      <w:r>
        <w:rPr>
          <w:rFonts w:asciiTheme="majorHAnsi" w:hAnsiTheme="majorHAnsi"/>
          <w:noProof/>
          <w:color w:val="000000"/>
        </w:rPr>
        <w:t xml:space="preserve">ām personām (1996. gada Īpašo pabalstu likums (Likums 77(I)/96) ar grozījumiem).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ČEHIJAS REPUBLIKA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Sociālais pabalsts (Valsts sociālā atbalsta likums Nr. 117/1995 Sb.).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DĀNIJA </w:t>
      </w:r>
    </w:p>
    <w:p w:rsidR="003E022D" w:rsidRDefault="007D19D6">
      <w:pPr>
        <w:rPr>
          <w:rFonts w:asciiTheme="majorHAnsi" w:eastAsia="Arial" w:hAnsiTheme="majorHAnsi" w:cs="Arial"/>
          <w:noProof/>
          <w:color w:val="000000"/>
        </w:rPr>
      </w:pPr>
      <w:r>
        <w:rPr>
          <w:rFonts w:asciiTheme="majorHAnsi" w:hAnsiTheme="majorHAnsi"/>
          <w:noProof/>
          <w:color w:val="000000"/>
        </w:rPr>
        <w:t>Mājokļu izmaksas pensionāriem (Likums par individuālu mājokļu pabalstu, kons</w:t>
      </w:r>
      <w:r>
        <w:rPr>
          <w:rFonts w:asciiTheme="majorHAnsi" w:hAnsiTheme="majorHAnsi"/>
          <w:noProof/>
          <w:color w:val="000000"/>
        </w:rPr>
        <w:t xml:space="preserve">olidēts ar 1995. gada 29. marta Likumu Nr. 204).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IGAUNIJA </w:t>
      </w:r>
    </w:p>
    <w:p w:rsidR="003E022D" w:rsidRDefault="007D19D6">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Pieaugušo invaliditātes pabalsts (1999. gada 27. janvāra Akts par sociālajiem pabalstiem invalīdiem);</w:t>
      </w:r>
    </w:p>
    <w:p w:rsidR="003E022D" w:rsidRDefault="007D19D6">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bezdarbnieka valsts pabalsts (2005. gada 29. septembra Darba tirgus pakalpojumu un atbalsta likums).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SOMIJA </w:t>
      </w:r>
    </w:p>
    <w:p w:rsidR="003E022D" w:rsidRDefault="007D19D6">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Mājokļa pabalsts pensionāriem (Likums par mājokļa pabalstu pensionāriem, 571/2007); </w:t>
      </w:r>
    </w:p>
    <w:p w:rsidR="003E022D" w:rsidRDefault="007D19D6">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Darba tirgus pabalsts (Likums par bezdarbnieka pabalstiem, 12</w:t>
      </w:r>
      <w:r>
        <w:rPr>
          <w:rFonts w:asciiTheme="majorHAnsi" w:hAnsiTheme="majorHAnsi"/>
          <w:noProof/>
          <w:color w:val="000000"/>
        </w:rPr>
        <w:t xml:space="preserve">90/2002); </w:t>
      </w:r>
    </w:p>
    <w:p w:rsidR="003E022D" w:rsidRDefault="007D19D6">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īpašs pabalsts imigrantiem (Likums par īpašu pabalstu imigrantiem, 1192/2002).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FRANCIJA </w:t>
      </w:r>
    </w:p>
    <w:p w:rsidR="003E022D" w:rsidRDefault="007D19D6">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Papildu pabalsti no šādiem avotiem: </w:t>
      </w:r>
    </w:p>
    <w:p w:rsidR="003E022D" w:rsidRDefault="007D19D6">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Īpašā invaliditātes fonda; un </w:t>
      </w:r>
    </w:p>
    <w:p w:rsidR="003E022D" w:rsidRDefault="007D19D6">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Vecu cilvēku solidaritātes fonda saistībā ar iegūtām tiesībām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(1956. gada 30. jūnija Likums, kas kodificēts Sociālā nodrošinājuma kodeksa VIII grāmatā); </w:t>
      </w:r>
    </w:p>
    <w:p w:rsidR="003E022D" w:rsidRDefault="007D19D6">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pieaugušo invaliditātes pabalsts (1975. gada 30. jūnija Likums, kas kodificēts Sociālā nodrošinājuma kodeksa VIII grāmatā);</w:t>
      </w:r>
    </w:p>
    <w:p w:rsidR="003E022D" w:rsidRDefault="007D19D6">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īpašais pabalsts (1952. gada 10. jūlija </w:t>
      </w:r>
      <w:r>
        <w:rPr>
          <w:rFonts w:asciiTheme="majorHAnsi" w:hAnsiTheme="majorHAnsi"/>
          <w:noProof/>
          <w:color w:val="000000"/>
        </w:rPr>
        <w:t>likums, kas kodificēts Sociālā nodrošinājuma kodeksa VIII grāmatā) par iegūtajām tiesībām;</w:t>
      </w:r>
    </w:p>
    <w:p w:rsidR="003E022D" w:rsidRDefault="007D19D6">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vecuma solidaritātes pabalsts (2004. gada 24. jūnija Rīkojums, kas kodificēts Sociālā nodrošinājuma kodeksa VIII grāmatā), no 2006. gada 1. janvāra.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VĀCIJA </w:t>
      </w:r>
    </w:p>
    <w:p w:rsidR="003E022D" w:rsidRDefault="007D19D6">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Iztikas</w:t>
      </w:r>
      <w:r>
        <w:rPr>
          <w:rFonts w:asciiTheme="majorHAnsi" w:hAnsiTheme="majorHAnsi"/>
          <w:noProof/>
          <w:color w:val="000000"/>
        </w:rPr>
        <w:t xml:space="preserve"> minimums veciem cilvēkiem un personām, kurām saskaņā ar Sociālā kodeksa XII grāmatas 4. nodaļu ir samazināta pelnītspēja.</w:t>
      </w:r>
    </w:p>
    <w:p w:rsidR="003E022D" w:rsidRDefault="007D19D6">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pabalsti, lai saskaņā ar pamatnoteikumiem segtu iztikas izmaksas darba meklētājiem, izņemot gadījumus, kad attiecībā uz šiem pabalsti</w:t>
      </w:r>
      <w:r>
        <w:rPr>
          <w:rFonts w:asciiTheme="majorHAnsi" w:hAnsiTheme="majorHAnsi"/>
          <w:noProof/>
          <w:color w:val="000000"/>
        </w:rPr>
        <w:t xml:space="preserve">em nav ievērotas prasības, kas noteiktas saistībā ar pagaidu piemaksas piešķiršanu pēc bezdarbnieka pabalsta saņemšanas (Sociālā kodeksa II grāmatas 24. panta 1. punkts).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GRIEĶIJA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Īpaši pabalsti vecākiem cilvēkiem (Likums 1296/82).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UNGĀRIJA </w:t>
      </w:r>
    </w:p>
    <w:p w:rsidR="003E022D" w:rsidRDefault="007D19D6">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Ikgadējais invaliditātes pabalsts (Ministru padomes Dekrēts Nr. 83/1987 (XII 27) par ikgadējo invaliditātes pabalstu); </w:t>
      </w:r>
    </w:p>
    <w:p w:rsidR="003E022D" w:rsidRDefault="007D19D6">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no iemaksām neatkarīgais vecuma pabalsts (1993. gada III Akts par sociālo pārvaldību un sociālajiem pabalstiem);</w:t>
      </w:r>
    </w:p>
    <w:p w:rsidR="003E022D" w:rsidRDefault="007D19D6">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pabalsts transporta izdevumu kompensēšanai (Valdības Dekrēts Nr. 164/1995 (XII 27) par pabalstiem transporta izdevumu kompensēšanai personām ar smagu fizisku invaliditāti).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ĪRIJA </w:t>
      </w:r>
    </w:p>
    <w:p w:rsidR="003E022D" w:rsidRDefault="007D19D6">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Darba meklētāju pabalsts (2005. gada Konsolidētā sociālās labklājības likum</w:t>
      </w:r>
      <w:r>
        <w:rPr>
          <w:rFonts w:asciiTheme="majorHAnsi" w:hAnsiTheme="majorHAnsi"/>
          <w:noProof/>
          <w:color w:val="000000"/>
        </w:rPr>
        <w:t xml:space="preserve">a 3. daļas 2. nodaļa); </w:t>
      </w:r>
    </w:p>
    <w:p w:rsidR="003E022D" w:rsidRDefault="007D19D6">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(no iemaksām neatkarīga) valsts pensija (2005. gada konsolidētā Sociālās labklājības likuma 3. daļas 4. nodaļa);</w:t>
      </w:r>
    </w:p>
    <w:p w:rsidR="003E022D" w:rsidRDefault="007D19D6">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atraitnes pensija (no iemaksām neatkarīga) un atraitņa pensija (no iemaksām neatkarīga) (2005. gada konsolidētā Sociālā</w:t>
      </w:r>
      <w:r>
        <w:rPr>
          <w:rFonts w:asciiTheme="majorHAnsi" w:hAnsiTheme="majorHAnsi"/>
          <w:noProof/>
          <w:color w:val="000000"/>
        </w:rPr>
        <w:t>s labklājības likuma 3. daļas 6. nodaļa);</w:t>
      </w:r>
    </w:p>
    <w:p w:rsidR="003E022D" w:rsidRDefault="007D19D6">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invaliditātes pabalsts (2005. gada konsolidētā Sociālās labklājības likuma 3. daļas 10. nodaļa); </w:t>
      </w:r>
    </w:p>
    <w:p w:rsidR="003E022D" w:rsidRDefault="007D19D6">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pārvietošanās pabalsts (1970. gada Likuma par veselību 61. iedaļa);</w:t>
      </w:r>
    </w:p>
    <w:p w:rsidR="003E022D" w:rsidRDefault="007D19D6">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pensijas neredzīgajiem (2005. gada Konsolidētā s</w:t>
      </w:r>
      <w:r>
        <w:rPr>
          <w:rFonts w:asciiTheme="majorHAnsi" w:hAnsiTheme="majorHAnsi"/>
          <w:noProof/>
          <w:color w:val="000000"/>
        </w:rPr>
        <w:t xml:space="preserve">ociālās labklājības likuma 3. daļas 5. nodaļa).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ITĀLIJA </w:t>
      </w:r>
    </w:p>
    <w:p w:rsidR="003E022D" w:rsidRDefault="007D19D6">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 pensija personām, kurām nav iztikas līdzekļu (1969. gada 30. aprīļa Likums Nr. 153);</w:t>
      </w:r>
    </w:p>
    <w:p w:rsidR="003E022D" w:rsidRDefault="007D19D6">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pensijas un pabalsti civiliem invalīdiem un cilvēkiem ar traucējumiem (1971. gada 30. marta Likums </w:t>
      </w:r>
      <w:r>
        <w:rPr>
          <w:rFonts w:asciiTheme="majorHAnsi" w:hAnsiTheme="majorHAnsi"/>
          <w:noProof/>
          <w:color w:val="000000"/>
        </w:rPr>
        <w:t>Nr. 118, 1980. gada 11. februāra Likums Nr. 18 un 1988. gada 23. novembra Likums Nr. 508);</w:t>
      </w:r>
    </w:p>
    <w:p w:rsidR="003E022D" w:rsidRDefault="007D19D6">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pensijas un pabalsti nedzirdīgajiem un mēmajiem (1970. gada 26. maija Likums Nr. 381 un 1988. gada 23. novembra Likums Nr. 508);</w:t>
      </w:r>
    </w:p>
    <w:p w:rsidR="003E022D" w:rsidRDefault="007D19D6">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pensijas un pabalsti civilajiem nere</w:t>
      </w:r>
      <w:r>
        <w:rPr>
          <w:rFonts w:asciiTheme="majorHAnsi" w:hAnsiTheme="majorHAnsi"/>
          <w:noProof/>
          <w:color w:val="000000"/>
        </w:rPr>
        <w:t>dzīgiem (1970. gada 27. maija Likums Nr. 382 un 1988. gada 23. novembra Likums Nr. 508);</w:t>
      </w:r>
    </w:p>
    <w:p w:rsidR="003E022D" w:rsidRDefault="007D19D6">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minimālo pensiju papildu pabalsts (1952. gada 4. aprīļa Likums Nr. 218, 1983. gada 11. novembra Likums Nr. 638 un 1990. gada 29. decembra Likums Nr. 407); </w:t>
      </w:r>
    </w:p>
    <w:p w:rsidR="003E022D" w:rsidRDefault="007D19D6">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invaliditāt</w:t>
      </w:r>
      <w:r>
        <w:rPr>
          <w:rFonts w:asciiTheme="majorHAnsi" w:hAnsiTheme="majorHAnsi"/>
          <w:noProof/>
          <w:color w:val="000000"/>
        </w:rPr>
        <w:t>es pabalsta papildu piemaksas (1984. gada 12. jūnija Likums Nr. 222);</w:t>
      </w:r>
    </w:p>
    <w:p w:rsidR="003E022D" w:rsidRDefault="007D19D6">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sociālais pabalsts (1995. gada 8. augusta Likums Nr. 335);</w:t>
      </w:r>
    </w:p>
    <w:p w:rsidR="003E022D" w:rsidRDefault="007D19D6">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sociālais pabalsts (1. panta 1. un 12. punkts 1988. gada 29. decembra Likumā Nr. 544 un tā turpmākos grozījumos).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LATVIJA </w:t>
      </w:r>
    </w:p>
    <w:p w:rsidR="003E022D" w:rsidRDefault="007D19D6">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Val</w:t>
      </w:r>
      <w:r>
        <w:rPr>
          <w:rFonts w:asciiTheme="majorHAnsi" w:hAnsiTheme="majorHAnsi"/>
          <w:noProof/>
          <w:color w:val="000000"/>
        </w:rPr>
        <w:t xml:space="preserve">sts sociālās nodrošinājuma pabalsts (2003. gada 1. janvāra Valsts sociālo pabalstu likums) </w:t>
      </w:r>
    </w:p>
    <w:p w:rsidR="003E022D" w:rsidRDefault="007D19D6">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pabalsts transporta izdevumu kompensēšanai invalīdiem, kuriem ir apgrūtināta pārvietošanās (2003. gada 1. janvāra Valsts sociālo pabalstu likums).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LIETUVA </w:t>
      </w:r>
    </w:p>
    <w:p w:rsidR="003E022D" w:rsidRDefault="007D19D6">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Sociālās palīdzības pensija (5. pants 2005. gada likumā “Par valsts sociālajiem pabalstiem”); </w:t>
      </w:r>
    </w:p>
    <w:p w:rsidR="003E022D" w:rsidRDefault="007D19D6">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 pabalsta kompensācija (15. pants 2005. gada likumā “Par valsts sociālajiem pabalstiem”);</w:t>
      </w:r>
    </w:p>
    <w:p w:rsidR="003E022D" w:rsidRDefault="007D19D6">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transporta izdevumu speciālā kompensācija invalīdiem, kuriem ir </w:t>
      </w:r>
      <w:r>
        <w:rPr>
          <w:rFonts w:asciiTheme="majorHAnsi" w:hAnsiTheme="majorHAnsi"/>
          <w:noProof/>
          <w:color w:val="000000"/>
        </w:rPr>
        <w:t xml:space="preserve">pārvietošanās problēmas (7. pants 2000. gada “Likumā par transporta izdevumu kompensācijām”).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LUKSEMBURGA </w:t>
      </w:r>
    </w:p>
    <w:p w:rsidR="003E022D" w:rsidRDefault="007D19D6">
      <w:pPr>
        <w:rPr>
          <w:rFonts w:asciiTheme="majorHAnsi" w:eastAsia="Arial" w:hAnsiTheme="majorHAnsi" w:cs="Arial"/>
          <w:noProof/>
          <w:color w:val="000000"/>
        </w:rPr>
      </w:pPr>
      <w:r>
        <w:rPr>
          <w:rFonts w:asciiTheme="majorHAnsi" w:hAnsiTheme="majorHAnsi"/>
          <w:noProof/>
          <w:color w:val="000000"/>
        </w:rPr>
        <w:t>Ienākumi personām ar smagu invaliditāti (2003. gada 12. septembra Likuma 1. panta 2. punkts), izņemot personas, kuras ir atzītas par invalīdiem, bet</w:t>
      </w:r>
      <w:r>
        <w:rPr>
          <w:rFonts w:asciiTheme="majorHAnsi" w:hAnsiTheme="majorHAnsi"/>
          <w:noProof/>
          <w:color w:val="000000"/>
        </w:rPr>
        <w:t xml:space="preserve"> kuras strādā parastos darba tirgus apstākļos vai īpašos apstākļos.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MALTA </w:t>
      </w:r>
    </w:p>
    <w:p w:rsidR="003E022D" w:rsidRDefault="007D19D6">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Papildu pabalsts (1987. gada Sociālā nodrošinājuma likuma (Cap. 318) 73. pants);</w:t>
      </w:r>
    </w:p>
    <w:p w:rsidR="003E022D" w:rsidRDefault="007D19D6">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vecuma pensija (1987. gada Sociālā nodrošinājuma likums (Cap. 318)).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NĪDERLANDE </w:t>
      </w:r>
    </w:p>
    <w:p w:rsidR="003E022D" w:rsidRDefault="007D19D6">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1997. gada </w:t>
      </w:r>
      <w:r>
        <w:rPr>
          <w:rFonts w:asciiTheme="majorHAnsi" w:hAnsiTheme="majorHAnsi"/>
          <w:noProof/>
          <w:color w:val="000000"/>
        </w:rPr>
        <w:t>24. aprīļa likums “Par darba un nodarbinātības pabalstu jauniešiem ar invaliditāti” (</w:t>
      </w:r>
      <w:r>
        <w:rPr>
          <w:rFonts w:asciiTheme="majorHAnsi" w:hAnsiTheme="majorHAnsi"/>
          <w:i/>
          <w:noProof/>
          <w:color w:val="000000"/>
        </w:rPr>
        <w:t>Wet Wajong</w:t>
      </w:r>
      <w:r>
        <w:rPr>
          <w:rFonts w:asciiTheme="majorHAnsi" w:hAnsiTheme="majorHAnsi"/>
          <w:noProof/>
          <w:color w:val="000000"/>
        </w:rPr>
        <w:t>);</w:t>
      </w:r>
    </w:p>
    <w:p w:rsidR="003E022D" w:rsidRDefault="007D19D6">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1986. gada 6. novembra likums “Par papildu pabalstiem” (TW).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POLIJA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Sociālā pensija (2003. gada 27. jūnija likums “Par sociālajām pensijām”).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PORTUGĀLE </w:t>
      </w:r>
    </w:p>
    <w:p w:rsidR="003E022D" w:rsidRDefault="007D19D6">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No</w:t>
      </w:r>
      <w:r>
        <w:rPr>
          <w:rFonts w:asciiTheme="majorHAnsi" w:hAnsiTheme="majorHAnsi"/>
          <w:noProof/>
          <w:color w:val="000000"/>
        </w:rPr>
        <w:t xml:space="preserve"> iemaksām neatkarīgā valsts vecuma un invaliditātes pensija (1980. gada 13. oktobra Dekrēts Nr. 464/80);</w:t>
      </w:r>
    </w:p>
    <w:p w:rsidR="003E022D" w:rsidRDefault="007D19D6">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No iemaksām neatkarīga atraitnības pensija (1981. gada 11. novembra Reglamentējošs dekrēts Nr. 52/81); </w:t>
      </w:r>
    </w:p>
    <w:p w:rsidR="003E022D" w:rsidRDefault="007D19D6">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solidaritātes piemaksa veciem cilvēkiem (2005. </w:t>
      </w:r>
      <w:r>
        <w:rPr>
          <w:rFonts w:asciiTheme="majorHAnsi" w:hAnsiTheme="majorHAnsi"/>
          <w:noProof/>
          <w:color w:val="000000"/>
        </w:rPr>
        <w:t xml:space="preserve">gada 29. decembra dekrēts Nr. 232/2005, kas grozīts ar 2006. gada 11. decembra dekrētu Nr. 236/2006).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SLOVĀKIJA </w:t>
      </w:r>
    </w:p>
    <w:p w:rsidR="003E022D" w:rsidRDefault="007D19D6">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Līdz 2004. gada 1. janvārim izdarīta tādu pensiju apmēra korekcija, kuras ir personas vienīgais ienākumu avots; </w:t>
      </w:r>
    </w:p>
    <w:p w:rsidR="003E022D" w:rsidRDefault="007D19D6">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sociālās pensijas, kas piešķirtas līdz 2004. gada 1. janvārim.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SLOVĒNIJA </w:t>
      </w:r>
    </w:p>
    <w:p w:rsidR="003E022D" w:rsidRDefault="007D19D6">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Valsts pensija (1999. gada 23. decembra Akts par pensiju un invaliditātes apdrošināšanu); </w:t>
      </w:r>
    </w:p>
    <w:p w:rsidR="003E022D" w:rsidRDefault="007D19D6">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pabalsts maznodrošinātiem pensionāriem (1999. gada 23. decembra Akts par pensiju un invali</w:t>
      </w:r>
      <w:r>
        <w:rPr>
          <w:rFonts w:asciiTheme="majorHAnsi" w:hAnsiTheme="majorHAnsi"/>
          <w:noProof/>
          <w:color w:val="000000"/>
        </w:rPr>
        <w:t>ditātes apdrošināšanu);</w:t>
      </w:r>
    </w:p>
    <w:p w:rsidR="003E022D" w:rsidRDefault="007D19D6">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uzturlīdzekļu pabalsts (1999. gada 23. decembra likums “Par pensiju un invaliditātes apdrošināšanu”).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SPĀNIJA </w:t>
      </w:r>
    </w:p>
    <w:p w:rsidR="003E022D" w:rsidRDefault="007D19D6">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Minimālo ienākumu garantija (1982. gada 7. aprīļa Likums Nr. 13/82);</w:t>
      </w:r>
    </w:p>
    <w:p w:rsidR="003E022D" w:rsidRDefault="007D19D6">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naudas pabalsti vecu cilvēku un darba nespējīgu </w:t>
      </w:r>
      <w:r>
        <w:rPr>
          <w:rFonts w:asciiTheme="majorHAnsi" w:hAnsiTheme="majorHAnsi"/>
          <w:noProof/>
          <w:color w:val="000000"/>
        </w:rPr>
        <w:t>invalīdu atbalstam (Karaļa 1981. gada 24. jūlija Dekrēts Nr. 2620/81);</w:t>
      </w:r>
    </w:p>
    <w:p w:rsidR="003E022D" w:rsidRDefault="007D19D6">
      <w:pPr>
        <w:pStyle w:val="Point1"/>
        <w:numPr>
          <w:ilvl w:val="0"/>
          <w:numId w:val="1061"/>
        </w:numPr>
        <w:ind w:left="1276" w:hanging="567"/>
        <w:rPr>
          <w:rFonts w:asciiTheme="majorHAnsi" w:hAnsiTheme="majorHAnsi" w:cstheme="minorHAnsi"/>
          <w:noProof/>
          <w:color w:val="000000"/>
        </w:rPr>
      </w:pPr>
      <w:r>
        <w:rPr>
          <w:rFonts w:asciiTheme="majorHAnsi" w:hAnsiTheme="majorHAnsi"/>
          <w:noProof/>
          <w:color w:val="000000"/>
        </w:rPr>
        <w:t>no iemaksām neatkarīgas invaliditātes un vecuma pensijas atbilstīgi 38. panta 1. punktam Vispārējā sociālā nodrošinājuma likuma konsolidētajā dokumentā, kas apstiprināts ar Karaļa 1994.</w:t>
      </w:r>
      <w:r>
        <w:rPr>
          <w:rFonts w:asciiTheme="majorHAnsi" w:hAnsiTheme="majorHAnsi"/>
          <w:noProof/>
          <w:color w:val="000000"/>
        </w:rPr>
        <w:t xml:space="preserve"> gada 20. jūnija Likuma dekrētu Nr. 1/1994; un </w:t>
      </w:r>
    </w:p>
    <w:p w:rsidR="003E022D" w:rsidRDefault="007D19D6">
      <w:pPr>
        <w:pStyle w:val="Point1"/>
        <w:numPr>
          <w:ilvl w:val="0"/>
          <w:numId w:val="1061"/>
        </w:numPr>
        <w:ind w:left="1276" w:hanging="567"/>
        <w:rPr>
          <w:rFonts w:asciiTheme="majorHAnsi" w:eastAsia="Arial" w:hAnsiTheme="majorHAnsi" w:cs="Arial"/>
          <w:noProof/>
          <w:color w:val="000000"/>
        </w:rPr>
      </w:pPr>
      <w:r>
        <w:rPr>
          <w:rFonts w:asciiTheme="majorHAnsi" w:hAnsiTheme="majorHAnsi"/>
          <w:noProof/>
          <w:color w:val="000000"/>
        </w:rPr>
        <w:t>pabalsti, ar ko papildina iepriekš minētās pensijas, kā noteikts autonomo kopienu tiesību aktos, ja ar tādiem papildinājumiem garantē minimālus ienākumus iztikai, ņemot vērā ekonomisko un sociālo stāvokli att</w:t>
      </w:r>
      <w:r>
        <w:rPr>
          <w:rFonts w:asciiTheme="majorHAnsi" w:hAnsiTheme="majorHAnsi"/>
          <w:noProof/>
          <w:color w:val="000000"/>
        </w:rPr>
        <w:t xml:space="preserve">iecīgā autonomā kopienā; </w:t>
      </w:r>
    </w:p>
    <w:p w:rsidR="003E022D" w:rsidRDefault="007D19D6">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pabalsti mobilitātes veicināšanai un transporta izmaksu kompensācijai (1982. gada 7. aprīļa Likums Nr. 13/1982). </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ZVIEDRIJA </w:t>
      </w:r>
    </w:p>
    <w:p w:rsidR="003E022D" w:rsidRDefault="007D19D6">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Piemaksas mājokļa uzturēšanai personām, kas saņem pensiju (Likums 2001:761); </w:t>
      </w:r>
    </w:p>
    <w:p w:rsidR="003E022D" w:rsidRDefault="007D19D6">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finanšu atbalsts veciem cil</w:t>
      </w:r>
      <w:r>
        <w:rPr>
          <w:rFonts w:asciiTheme="majorHAnsi" w:hAnsiTheme="majorHAnsi"/>
          <w:noProof/>
          <w:color w:val="000000"/>
        </w:rPr>
        <w:t xml:space="preserve">vēkiem (Likums 2001:853). </w:t>
      </w:r>
    </w:p>
    <w:p w:rsidR="003E022D" w:rsidRDefault="003E022D">
      <w:pPr>
        <w:rPr>
          <w:rFonts w:asciiTheme="majorHAnsi" w:eastAsia="Arial" w:hAnsiTheme="majorHAnsi" w:cs="Arial"/>
          <w:noProof/>
          <w:color w:val="000000"/>
        </w:rPr>
      </w:pPr>
    </w:p>
    <w:p w:rsidR="003E022D" w:rsidRDefault="007D19D6">
      <w:pPr>
        <w:pStyle w:val="Part"/>
        <w:rPr>
          <w:rFonts w:asciiTheme="majorHAnsi" w:hAnsiTheme="majorHAnsi"/>
          <w:noProof/>
        </w:rPr>
      </w:pPr>
      <w:r>
        <w:rPr>
          <w:rFonts w:asciiTheme="majorHAnsi" w:hAnsiTheme="majorHAnsi"/>
          <w:noProof/>
          <w:sz w:val="22"/>
          <w:szCs w:val="22"/>
        </w:rPr>
        <w:t>2. daļa. Ilgtermiņa aprūpes pabalsti (SSC.3. panta [Jomas, uz kurām attiecas šis protokols] 4. punkta d) apakšpunkts)</w:t>
      </w:r>
    </w:p>
    <w:p w:rsidR="003E022D" w:rsidRDefault="007D19D6">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APVIENOTĀ KARALISTE</w:t>
      </w:r>
    </w:p>
    <w:p w:rsidR="003E022D" w:rsidRDefault="007D19D6">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Aprūpes pabalsts (Sociālā nodrošinājuma iemaksu un pabalstu 1992. gada likums, Sociālā </w:t>
      </w:r>
      <w:r>
        <w:rPr>
          <w:rFonts w:asciiTheme="majorHAnsi" w:hAnsiTheme="majorHAnsi"/>
          <w:noProof/>
          <w:color w:val="000000"/>
        </w:rPr>
        <w:t>nodrošinājuma (Aprūpes pabalsts) 1991. gada noteikumi, Sociālā nodrošinājuma iemaksu un pabalstu (Ziemeļīrija) 1992. gada likums un Sociālā nodrošinājuma (Aprūpes pabalsts) 1992. gada noteikumi (Ziemeļīrija));</w:t>
      </w:r>
    </w:p>
    <w:p w:rsidR="003E022D" w:rsidRDefault="007D19D6">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aprūpētāja pabalsts (Sociālā nodrošinājuma iem</w:t>
      </w:r>
      <w:r>
        <w:rPr>
          <w:rFonts w:asciiTheme="majorHAnsi" w:hAnsiTheme="majorHAnsi"/>
          <w:noProof/>
          <w:color w:val="000000"/>
        </w:rPr>
        <w:t xml:space="preserve">aksu un pabalstu 1992. gada likums, Sociālā nodrošinājuma (invaliditātes aprūpes pabalsts) 1976. gada noteikumi, Sociālā nodrošinājuma iemaksu un pabalstu (Ziemeļīrija) 1992. gada likums un Sociālā nodrošinājuma (invaliditātes aprūpes pabalsts) 1976. gada </w:t>
      </w:r>
      <w:r>
        <w:rPr>
          <w:rFonts w:asciiTheme="majorHAnsi" w:hAnsiTheme="majorHAnsi"/>
          <w:noProof/>
          <w:color w:val="000000"/>
        </w:rPr>
        <w:t>noteikumi (Ziemeļīrija));</w:t>
      </w:r>
    </w:p>
    <w:p w:rsidR="003E022D" w:rsidRDefault="007D19D6">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iztikas pabalsts invalīdiem, aprūpes komponents (Sociālā nodrošinājuma iemaksu un pabalstu 1992. gada likums, Sociālā nodrošinājuma (iztikas pabalsts invalīdiem) 1991. gada noteikumi, Sociālā nodrošinājuma iemaksu un pabalstu (Zie</w:t>
      </w:r>
      <w:r>
        <w:rPr>
          <w:rFonts w:asciiTheme="majorHAnsi" w:hAnsiTheme="majorHAnsi"/>
          <w:noProof/>
          <w:color w:val="000000"/>
        </w:rPr>
        <w:t>meļīrija) 1992. gada likums un Sociālā nodrošinājuma (iztikas pabalsts invalīdiem) 1992. gada noteikumi (Ziemeļīrija));</w:t>
      </w:r>
    </w:p>
    <w:p w:rsidR="003E022D" w:rsidRDefault="007D19D6">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personīgās neatkarības maksājums, ikdienas dzīves komponents (2012. gada likums “Par sociālās labklājības sistēmas reformu” (4. daļa), 2</w:t>
      </w:r>
      <w:r>
        <w:rPr>
          <w:rFonts w:asciiTheme="majorHAnsi" w:hAnsiTheme="majorHAnsi"/>
          <w:noProof/>
          <w:color w:val="000000"/>
        </w:rPr>
        <w:t>013. gada Noteikumi par sociālo nodrošinājumu (personīgās neatkarības maksājums), 2013. gada Noteikumi par personīgās neatkarības maksājumu (pārejas noteikumi), 2019. gada Noteikumi par personīgās neatkarības maksājumu (pārejas noteikumi), 2015. gada rīkoj</w:t>
      </w:r>
      <w:r>
        <w:rPr>
          <w:rFonts w:asciiTheme="majorHAnsi" w:hAnsiTheme="majorHAnsi"/>
          <w:noProof/>
          <w:color w:val="000000"/>
        </w:rPr>
        <w:t>ums par sociālās sistēmas reformu (Ziemeļīrija) (5. daļa), 2016. gada Noteikumi par personīgās neatkarības maksājumu (Ziemeļīrija), 2016. gada Noteikumi par personīgās neatkarības maksājumu (pārejas noteikumi) (Ziemeļīrija) un 2019. gada Noteikumi par pers</w:t>
      </w:r>
      <w:r>
        <w:rPr>
          <w:rFonts w:asciiTheme="majorHAnsi" w:hAnsiTheme="majorHAnsi"/>
          <w:noProof/>
          <w:color w:val="000000"/>
        </w:rPr>
        <w:t>onīgās neatkarības maksājumu (pārejas noteikumi) (grozījumi) (Ziemeļīrija));</w:t>
      </w:r>
    </w:p>
    <w:p w:rsidR="003E022D" w:rsidRDefault="007D19D6">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aprūpētāja pabalsta piemaksa (2018. gada Sociālā nodrošinājuma likums (Skotija);</w:t>
      </w:r>
    </w:p>
    <w:p w:rsidR="003E022D" w:rsidRDefault="007D19D6">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rPr>
        <w:t xml:space="preserve">jaunā aprūpētāja dotācija (Palīdzība aprūpētājam (Jaunās karjeras dotācijas) (Skotija) 2020. gada </w:t>
      </w:r>
      <w:r>
        <w:rPr>
          <w:rFonts w:asciiTheme="majorHAnsi" w:hAnsiTheme="majorHAnsi"/>
          <w:noProof/>
        </w:rPr>
        <w:t>noteikumi (ar grozījumiem)).</w:t>
      </w:r>
    </w:p>
    <w:p w:rsidR="003E022D" w:rsidRDefault="003E022D">
      <w:pPr>
        <w:pBdr>
          <w:top w:val="nil"/>
          <w:left w:val="nil"/>
          <w:bottom w:val="nil"/>
          <w:right w:val="nil"/>
          <w:between w:val="nil"/>
        </w:pBdr>
        <w:spacing w:before="48"/>
        <w:ind w:left="426"/>
        <w:rPr>
          <w:rFonts w:asciiTheme="majorHAnsi" w:eastAsia="Arial" w:hAnsiTheme="majorHAnsi" w:cs="Arial"/>
          <w:noProof/>
        </w:rPr>
      </w:pPr>
    </w:p>
    <w:p w:rsidR="003E022D" w:rsidRDefault="007D19D6">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DALĪBVALSTIS</w:t>
      </w:r>
    </w:p>
    <w:p w:rsidR="003E022D" w:rsidRDefault="007D19D6">
      <w:pPr>
        <w:pBdr>
          <w:top w:val="nil"/>
          <w:left w:val="nil"/>
          <w:bottom w:val="nil"/>
          <w:right w:val="nil"/>
          <w:between w:val="nil"/>
        </w:pBdr>
        <w:spacing w:after="200" w:line="276" w:lineRule="auto"/>
        <w:ind w:left="360"/>
        <w:rPr>
          <w:rFonts w:asciiTheme="majorHAnsi" w:eastAsia="Arial" w:hAnsiTheme="majorHAnsi" w:cs="Arial"/>
          <w:noProof/>
          <w:color w:val="000000"/>
        </w:rPr>
      </w:pPr>
      <w:r>
        <w:rPr>
          <w:rFonts w:asciiTheme="majorHAnsi" w:hAnsiTheme="majorHAnsi"/>
          <w:noProof/>
          <w:color w:val="000000"/>
        </w:rPr>
        <w:t>AUSTRIJA</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Federālais ilgtermiņa aprūpes pabalsta likums (</w:t>
      </w:r>
      <w:r>
        <w:rPr>
          <w:rFonts w:asciiTheme="majorHAnsi" w:hAnsiTheme="majorHAnsi"/>
          <w:i/>
          <w:noProof/>
          <w:color w:val="000000"/>
        </w:rPr>
        <w:t>Bundespflegegeldgesetz, BPGG</w:t>
      </w:r>
      <w:r>
        <w:rPr>
          <w:rFonts w:asciiTheme="majorHAnsi" w:hAnsiTheme="majorHAnsi"/>
          <w:noProof/>
          <w:color w:val="000000"/>
        </w:rPr>
        <w:t xml:space="preserve">), sākotnējā redakcija </w:t>
      </w:r>
      <w:r>
        <w:rPr>
          <w:rFonts w:asciiTheme="majorHAnsi" w:hAnsiTheme="majorHAnsi"/>
          <w:i/>
          <w:noProof/>
          <w:color w:val="000000"/>
        </w:rPr>
        <w:t>BGBl</w:t>
      </w:r>
      <w:r>
        <w:rPr>
          <w:rFonts w:asciiTheme="majorHAnsi" w:hAnsiTheme="majorHAnsi"/>
          <w:noProof/>
          <w:color w:val="000000"/>
        </w:rPr>
        <w:t xml:space="preserve">. Nr. 110/1993, jaunākie grozījumi </w:t>
      </w:r>
      <w:r>
        <w:rPr>
          <w:rFonts w:asciiTheme="majorHAnsi" w:hAnsiTheme="majorHAnsi"/>
          <w:i/>
          <w:noProof/>
          <w:color w:val="000000"/>
        </w:rPr>
        <w:t>BGBl.-I</w:t>
      </w:r>
      <w:r>
        <w:rPr>
          <w:rFonts w:asciiTheme="majorHAnsi" w:hAnsiTheme="majorHAnsi"/>
          <w:noProof/>
          <w:color w:val="000000"/>
        </w:rPr>
        <w:t xml:space="preserve"> Nr. 100/2016;</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Noteikumi par federālā ilgtermiņa aprūpes </w:t>
      </w:r>
      <w:r>
        <w:rPr>
          <w:rFonts w:asciiTheme="majorHAnsi" w:hAnsiTheme="majorHAnsi"/>
          <w:noProof/>
          <w:color w:val="000000"/>
        </w:rPr>
        <w:t>pabalsta noteikšanu (</w:t>
      </w:r>
      <w:r>
        <w:rPr>
          <w:rFonts w:asciiTheme="majorHAnsi" w:hAnsiTheme="majorHAnsi"/>
          <w:i/>
          <w:noProof/>
          <w:color w:val="000000"/>
        </w:rPr>
        <w:t>Einstufungsverordnung zum Bundespflegegeldgesetz (EinstV)</w:t>
      </w:r>
      <w:r>
        <w:rPr>
          <w:rFonts w:asciiTheme="majorHAnsi" w:hAnsiTheme="majorHAnsi"/>
          <w:noProof/>
          <w:color w:val="000000"/>
        </w:rPr>
        <w:t>);</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Federālā darba, sociālo lietu un patērētāju aizsardzības ministra noteikumi par bērnu un jauniešu aprūpes vajadzību novērtējumu saskaņā ar Federālo medmāsu likumu (</w:t>
      </w:r>
      <w:r>
        <w:rPr>
          <w:rFonts w:asciiTheme="majorHAnsi" w:hAnsiTheme="majorHAnsi"/>
          <w:i/>
          <w:noProof/>
          <w:color w:val="000000"/>
        </w:rPr>
        <w:t>Bundespfleg</w:t>
      </w:r>
      <w:r>
        <w:rPr>
          <w:rFonts w:asciiTheme="majorHAnsi" w:hAnsiTheme="majorHAnsi"/>
          <w:i/>
          <w:noProof/>
          <w:color w:val="000000"/>
        </w:rPr>
        <w:t>egeldgesetz, Kinder-EinstV</w:t>
      </w:r>
      <w:r>
        <w:rPr>
          <w:rFonts w:asciiTheme="majorHAnsi" w:hAnsiTheme="majorHAnsi"/>
          <w:noProof/>
          <w:color w:val="000000"/>
        </w:rPr>
        <w:t>);</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Daudzi piemērojamie juridiskie pamati, piemēram, vienošanās starp federālo valdību un federālajām zemēm par kopīgiem pasākumiem attiecībā uz aprūpējamām personām. Federālo zemju sociālās palīdzības un invaliditātes tiesību akti</w:t>
      </w:r>
      <w:r>
        <w:rPr>
          <w:rFonts w:asciiTheme="majorHAnsi" w:hAnsiTheme="majorHAnsi"/>
          <w:noProof/>
          <w:color w:val="000000"/>
        </w:rPr>
        <w:t>;</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Aprūpes fonda likums (</w:t>
      </w:r>
      <w:r>
        <w:rPr>
          <w:rFonts w:asciiTheme="majorHAnsi" w:hAnsiTheme="majorHAnsi"/>
          <w:i/>
          <w:noProof/>
          <w:color w:val="000000"/>
        </w:rPr>
        <w:t>Pflegefondsgesetz, PFG</w:t>
      </w:r>
      <w:r>
        <w:rPr>
          <w:rFonts w:asciiTheme="majorHAnsi" w:hAnsiTheme="majorHAnsi"/>
          <w:noProof/>
          <w:color w:val="000000"/>
        </w:rPr>
        <w:t>), oriģinālversija: Oficiālais Vēstnesis (</w:t>
      </w:r>
      <w:r>
        <w:rPr>
          <w:rFonts w:asciiTheme="majorHAnsi" w:hAnsiTheme="majorHAnsi"/>
          <w:i/>
          <w:noProof/>
          <w:color w:val="000000"/>
        </w:rPr>
        <w:t>BGBI</w:t>
      </w:r>
      <w:r>
        <w:rPr>
          <w:rFonts w:asciiTheme="majorHAnsi" w:hAnsiTheme="majorHAnsi"/>
          <w:noProof/>
          <w:color w:val="000000"/>
        </w:rPr>
        <w:t>. I) Nr. 57/2011;</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2012. gada rīkojums par aprūpes pakalpojumu statistiku (</w:t>
      </w:r>
      <w:r>
        <w:rPr>
          <w:rFonts w:asciiTheme="majorHAnsi" w:hAnsiTheme="majorHAnsi"/>
          <w:i/>
          <w:noProof/>
          <w:color w:val="000000"/>
        </w:rPr>
        <w:t>Pflegedienstleistungsstatistik-Verordnung</w:t>
      </w:r>
      <w:r>
        <w:rPr>
          <w:rFonts w:asciiTheme="majorHAnsi" w:hAnsiTheme="majorHAnsi"/>
          <w:noProof/>
          <w:color w:val="000000"/>
        </w:rPr>
        <w:t xml:space="preserve"> 2012. gads);</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Atbalsts 24 stundu aprūpei: Federāl</w:t>
      </w:r>
      <w:r>
        <w:rPr>
          <w:rFonts w:asciiTheme="majorHAnsi" w:hAnsiTheme="majorHAnsi"/>
          <w:noProof/>
          <w:color w:val="000000"/>
        </w:rPr>
        <w:t>ais likums par ilgtermiņa aprūpes pabalstu (</w:t>
      </w:r>
      <w:r>
        <w:rPr>
          <w:rFonts w:asciiTheme="majorHAnsi" w:hAnsiTheme="majorHAnsi"/>
          <w:i/>
          <w:noProof/>
          <w:color w:val="000000"/>
        </w:rPr>
        <w:t>Bundespflegegeldgesetz, BPGG</w:t>
      </w:r>
      <w:r>
        <w:rPr>
          <w:rFonts w:asciiTheme="majorHAnsi" w:hAnsiTheme="majorHAnsi"/>
          <w:noProof/>
          <w:color w:val="000000"/>
        </w:rPr>
        <w:t>);</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Pamatnostādnes 24 stundu aprūpes atbalstam (Federālā likums par ilgtermiņa aprūpes pabalstu (</w:t>
      </w:r>
      <w:r>
        <w:rPr>
          <w:rFonts w:asciiTheme="majorHAnsi" w:hAnsiTheme="majorHAnsi"/>
          <w:i/>
          <w:noProof/>
          <w:color w:val="000000"/>
        </w:rPr>
        <w:t>Bundespflegegeldgesetz</w:t>
      </w:r>
      <w:r>
        <w:rPr>
          <w:rFonts w:asciiTheme="majorHAnsi" w:hAnsiTheme="majorHAnsi"/>
          <w:noProof/>
          <w:color w:val="000000"/>
        </w:rPr>
        <w:t>) 21.b pants);</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Pamatnostādnes par pabalstu piešķiršanu aprūpējošo </w:t>
      </w:r>
      <w:r>
        <w:rPr>
          <w:rFonts w:asciiTheme="majorHAnsi" w:hAnsiTheme="majorHAnsi"/>
          <w:noProof/>
          <w:color w:val="000000"/>
        </w:rPr>
        <w:t>ģimenes locekļu atbalstam (Federālā likuma par ilgtermiņa aprūpes pabalstu (</w:t>
      </w:r>
      <w:r>
        <w:rPr>
          <w:rFonts w:asciiTheme="majorHAnsi" w:hAnsiTheme="majorHAnsi"/>
          <w:i/>
          <w:noProof/>
          <w:color w:val="000000"/>
        </w:rPr>
        <w:t>Bundespflegegeldgesetz</w:t>
      </w:r>
      <w:r>
        <w:rPr>
          <w:rFonts w:asciiTheme="majorHAnsi" w:hAnsiTheme="majorHAnsi"/>
          <w:noProof/>
          <w:color w:val="000000"/>
        </w:rPr>
        <w:t>) 21.a pants);</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Aprūpes regresa aizliegums;</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Federālais likums par īpašu piemaksu sakarā ar to, ka tiek atcelta piekļuve līdzekļiem, kad cilvēki tiek izmitināti</w:t>
      </w:r>
      <w:r>
        <w:rPr>
          <w:rFonts w:asciiTheme="majorHAnsi" w:hAnsiTheme="majorHAnsi"/>
          <w:noProof/>
          <w:color w:val="000000"/>
        </w:rPr>
        <w:t xml:space="preserve"> stacionārās aprūpes iestādēs;</w:t>
      </w:r>
    </w:p>
    <w:p w:rsidR="003E022D" w:rsidRDefault="007D19D6">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Federālais likums par īpašu piemaksu sakarā ar to, ka tiek atcelta piekļuve līdzekļiem, kad cilvēki tiek izmitināti stacionārās aprūpes iestādēs 2019. gads un 2020. gads, </w:t>
      </w:r>
      <w:r>
        <w:rPr>
          <w:rFonts w:asciiTheme="majorHAnsi" w:hAnsiTheme="majorHAnsi"/>
          <w:i/>
          <w:noProof/>
          <w:color w:val="000000"/>
        </w:rPr>
        <w:t>BGBl.</w:t>
      </w:r>
      <w:r>
        <w:rPr>
          <w:rFonts w:asciiTheme="majorHAnsi" w:hAnsiTheme="majorHAnsi"/>
          <w:noProof/>
          <w:color w:val="000000"/>
        </w:rPr>
        <w:t xml:space="preserve"> I No 95/2019.</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BEĻĢIJA</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Veselības aprūpes un </w:t>
      </w:r>
      <w:r>
        <w:rPr>
          <w:rFonts w:asciiTheme="majorHAnsi" w:hAnsiTheme="majorHAnsi"/>
          <w:noProof/>
          <w:color w:val="000000"/>
        </w:rPr>
        <w:t>slimības pabalstu obligātās apdrošināšanas likums (</w:t>
      </w:r>
      <w:r>
        <w:rPr>
          <w:rFonts w:asciiTheme="majorHAnsi" w:hAnsiTheme="majorHAnsi"/>
          <w:i/>
          <w:noProof/>
          <w:color w:val="000000"/>
        </w:rPr>
        <w:t>Loi relative à l’assurance obligatoire soins de santé et indemnités/Wet betreffende de verplichte verzekering voor geneeskundige verzorgingen</w:t>
      </w:r>
      <w:r>
        <w:rPr>
          <w:rFonts w:asciiTheme="majorHAnsi" w:hAnsiTheme="majorHAnsi"/>
          <w:noProof/>
          <w:color w:val="000000"/>
        </w:rPr>
        <w:t>), koordinēts 1994. gada 14. jūlijā;</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1987. gada 27. februāra Lik</w:t>
      </w:r>
      <w:r>
        <w:rPr>
          <w:rFonts w:asciiTheme="majorHAnsi" w:hAnsiTheme="majorHAnsi"/>
          <w:noProof/>
          <w:color w:val="000000"/>
        </w:rPr>
        <w:t>ums par pabalstiem personām ar invaliditāti (Loi relatīvais piešķīrums aux personām ar invaliditāti/Wet betreffende de tegemoetkomingen aan gehandicapten);</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Flāmu sociālā aizsardzība (</w:t>
      </w:r>
      <w:r>
        <w:rPr>
          <w:rFonts w:asciiTheme="majorHAnsi" w:hAnsiTheme="majorHAnsi"/>
          <w:i/>
          <w:noProof/>
          <w:color w:val="000000"/>
        </w:rPr>
        <w:t>Vlaamse sociale bescherming</w:t>
      </w:r>
      <w:r>
        <w:rPr>
          <w:rFonts w:asciiTheme="majorHAnsi" w:hAnsiTheme="majorHAnsi"/>
          <w:noProof/>
          <w:color w:val="000000"/>
        </w:rPr>
        <w:t xml:space="preserve">): Flandrijas parlamenta 2018. gada 18. maija </w:t>
      </w:r>
      <w:r>
        <w:rPr>
          <w:rFonts w:asciiTheme="majorHAnsi" w:hAnsiTheme="majorHAnsi"/>
          <w:noProof/>
          <w:color w:val="000000"/>
        </w:rPr>
        <w:t>dekrēts par flāmu sociālās aizsardzības organizēšanu (</w:t>
      </w:r>
      <w:r>
        <w:rPr>
          <w:rFonts w:asciiTheme="majorHAnsi" w:hAnsiTheme="majorHAnsi"/>
          <w:i/>
          <w:noProof/>
          <w:color w:val="000000"/>
        </w:rPr>
        <w:t>Decreet houdende Vlaamse sociale bescherming/</w:t>
      </w:r>
      <w:r>
        <w:rPr>
          <w:rFonts w:asciiTheme="majorHAnsi" w:hAnsiTheme="majorHAnsi"/>
          <w:noProof/>
          <w:color w:val="000000"/>
        </w:rPr>
        <w:t>) un Flandrijas valdības 2018. gada 30. novembra rīkojumi;</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Valonijas Sociālās rīcības un veselības kodekss (</w:t>
      </w:r>
      <w:r>
        <w:rPr>
          <w:rFonts w:asciiTheme="majorHAnsi" w:hAnsiTheme="majorHAnsi"/>
          <w:i/>
          <w:noProof/>
          <w:color w:val="000000"/>
        </w:rPr>
        <w:t>Code wallon de l’Action sociale et de la Santé</w:t>
      </w:r>
      <w:r>
        <w:rPr>
          <w:rFonts w:asciiTheme="majorHAnsi" w:hAnsiTheme="majorHAnsi"/>
          <w:noProof/>
          <w:color w:val="000000"/>
        </w:rPr>
        <w:t xml:space="preserve">), </w:t>
      </w:r>
      <w:r>
        <w:rPr>
          <w:rFonts w:asciiTheme="majorHAnsi" w:hAnsiTheme="majorHAnsi"/>
          <w:noProof/>
          <w:color w:val="000000"/>
        </w:rPr>
        <w:t>dekretālā daļa, 1. daļa, III grāmata, izveidota ar 2018. gada 8. novembra dekrētu;</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Valonijas Sociālās rīcības un veselības aizsardzības kodeksa I/1. daļa, kas izveidota ar Valonijas valdības 2018. gada 21. decembra dekrētu;</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2018. gada 13. decembra Dekrēts </w:t>
      </w:r>
      <w:r>
        <w:rPr>
          <w:rFonts w:asciiTheme="majorHAnsi" w:hAnsiTheme="majorHAnsi"/>
          <w:noProof/>
          <w:color w:val="000000"/>
        </w:rPr>
        <w:t>par piedāvājumiem gados vecākiem cilvēkiem vai apgādājamām personām, kā arī par paliatīvo aprūpi (</w:t>
      </w:r>
      <w:r>
        <w:rPr>
          <w:rFonts w:asciiTheme="majorHAnsi" w:hAnsiTheme="majorHAnsi"/>
          <w:i/>
          <w:noProof/>
          <w:color w:val="000000"/>
        </w:rPr>
        <w:t>Dekret über die Angebote für Senioren und Personen mit Unterstützungsbedarf sowie über die Palliativpflege</w:t>
      </w:r>
      <w:r>
        <w:rPr>
          <w:rFonts w:asciiTheme="majorHAnsi" w:hAnsiTheme="majorHAnsi"/>
          <w:noProof/>
          <w:color w:val="000000"/>
        </w:rPr>
        <w:t>);</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2007. gada 4. jūnija Dekrēts par psihiatriskām ap</w:t>
      </w:r>
      <w:r>
        <w:rPr>
          <w:rFonts w:asciiTheme="majorHAnsi" w:hAnsiTheme="majorHAnsi"/>
          <w:noProof/>
          <w:color w:val="000000"/>
        </w:rPr>
        <w:t>rūpes iestādēm (</w:t>
      </w:r>
      <w:r>
        <w:rPr>
          <w:rFonts w:asciiTheme="majorHAnsi" w:hAnsiTheme="majorHAnsi"/>
          <w:i/>
          <w:noProof/>
          <w:color w:val="000000"/>
        </w:rPr>
        <w:t>Dekret über die psychiatrischen Pflegewohnheime</w:t>
      </w:r>
      <w:r>
        <w:rPr>
          <w:rFonts w:asciiTheme="majorHAnsi" w:hAnsiTheme="majorHAnsi"/>
          <w:noProof/>
          <w:color w:val="000000"/>
        </w:rPr>
        <w:t>);</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Valdības 2017. gada 20. jūnija dekrēts par mobilitātes atbalstu (</w:t>
      </w:r>
      <w:r>
        <w:rPr>
          <w:rFonts w:asciiTheme="majorHAnsi" w:hAnsiTheme="majorHAnsi"/>
          <w:i/>
          <w:noProof/>
          <w:color w:val="000000"/>
        </w:rPr>
        <w:t>Erlass über die Mobilitätshilfen</w:t>
      </w:r>
      <w:r>
        <w:rPr>
          <w:rFonts w:asciiTheme="majorHAnsi" w:hAnsiTheme="majorHAnsi"/>
          <w:noProof/>
          <w:color w:val="000000"/>
        </w:rPr>
        <w:t>);</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2016. gada 13. decembra Dekrēts par Vāciski runājošās kopienas biroja izveidi pašnoteiktai</w:t>
      </w:r>
      <w:r>
        <w:rPr>
          <w:rFonts w:asciiTheme="majorHAnsi" w:hAnsiTheme="majorHAnsi"/>
          <w:noProof/>
          <w:color w:val="000000"/>
        </w:rPr>
        <w:t xml:space="preserve"> dzīvei (</w:t>
      </w:r>
      <w:r>
        <w:rPr>
          <w:rFonts w:asciiTheme="majorHAnsi" w:hAnsiTheme="majorHAnsi"/>
          <w:i/>
          <w:noProof/>
          <w:color w:val="000000"/>
        </w:rPr>
        <w:t>Dekret zur Schaffung einer Dienststelle der Deutschsprachigen Gemeinschaft für selbstbestimmtes Leben</w:t>
      </w:r>
      <w:r>
        <w:rPr>
          <w:rFonts w:asciiTheme="majorHAnsi" w:hAnsiTheme="majorHAnsi"/>
          <w:noProof/>
          <w:color w:val="000000"/>
        </w:rPr>
        <w:t>);</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1990. gada 5. marta Karaļa dekrēts par pabalstu veciem cilvēkiem (</w:t>
      </w:r>
      <w:r>
        <w:rPr>
          <w:rFonts w:asciiTheme="majorHAnsi" w:hAnsiTheme="majorHAnsi"/>
          <w:i/>
          <w:noProof/>
          <w:color w:val="000000"/>
        </w:rPr>
        <w:t xml:space="preserve">Arrêté royal du 5 mars 1990 relatif à l’allocation pour l’aide aux personnes </w:t>
      </w:r>
      <w:r>
        <w:rPr>
          <w:rFonts w:asciiTheme="majorHAnsi" w:hAnsiTheme="majorHAnsi"/>
          <w:i/>
          <w:noProof/>
          <w:color w:val="000000"/>
        </w:rPr>
        <w:t>âgées</w:t>
      </w:r>
      <w:r>
        <w:rPr>
          <w:rFonts w:asciiTheme="majorHAnsi" w:hAnsiTheme="majorHAnsi"/>
          <w:noProof/>
          <w:color w:val="000000"/>
        </w:rPr>
        <w:t>);</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Valdības 2019. gada 19. decembra Dekrēts par pārejas noteikumiem attiecībā uz iepriekšējas atļaujas vai apstiprinājuma procedūru, lai segtu vai sadalītu izmaksas saistībā ar ilgtermiņa rehabilitāciju ārvalstīs (</w:t>
      </w:r>
      <w:r>
        <w:rPr>
          <w:rFonts w:asciiTheme="majorHAnsi" w:hAnsiTheme="majorHAnsi"/>
          <w:i/>
          <w:iCs/>
          <w:noProof/>
          <w:color w:val="000000"/>
        </w:rPr>
        <w:t xml:space="preserve">Erlass der Regierung zur </w:t>
      </w:r>
      <w:r>
        <w:rPr>
          <w:rFonts w:asciiTheme="majorHAnsi" w:hAnsiTheme="majorHAnsi"/>
          <w:i/>
          <w:iCs/>
          <w:noProof/>
          <w:color w:val="000000"/>
        </w:rPr>
        <w:t>übergansweisen Regelung des Verfahrens zur Erlangung einer Vorabgeehmigung oder Zustimmung zwecks Kostenübernahme oder Kostenbeteiligung für eabilitzeus Lang</w:t>
      </w:r>
      <w:r>
        <w:rPr>
          <w:rFonts w:asciiTheme="majorHAnsi" w:hAnsiTheme="majorHAnsi"/>
          <w:noProof/>
          <w:color w:val="000000"/>
        </w:rPr>
        <w:t>);</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2018. gada 21. decembra Rīkojums par Briseles veselības apdrošināšanas iestādēm veselības aprūpe</w:t>
      </w:r>
      <w:r>
        <w:rPr>
          <w:rFonts w:asciiTheme="majorHAnsi" w:hAnsiTheme="majorHAnsi"/>
          <w:noProof/>
          <w:color w:val="000000"/>
        </w:rPr>
        <w:t>s un palīdzības cilvēkiem jomā (</w:t>
      </w:r>
      <w:r>
        <w:rPr>
          <w:rFonts w:asciiTheme="majorHAnsi" w:hAnsiTheme="majorHAnsi"/>
          <w:i/>
          <w:noProof/>
          <w:color w:val="000000"/>
        </w:rPr>
        <w:t>Ordonnance du 21 décembre 2018 relative aux organismesuringurs bruxellois dans le domaine des soins de santé et de l’aide aux personnes</w:t>
      </w:r>
      <w:r>
        <w:rPr>
          <w:rFonts w:asciiTheme="majorHAnsi" w:hAnsiTheme="majorHAnsi"/>
          <w:noProof/>
          <w:color w:val="000000"/>
        </w:rPr>
        <w:t>);</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Federatīvo vienību sadarbība:</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2018. gada 31. decembra Sadarbības nolīgums starp Flāmu </w:t>
      </w:r>
      <w:r>
        <w:rPr>
          <w:rFonts w:asciiTheme="majorHAnsi" w:hAnsiTheme="majorHAnsi"/>
          <w:noProof/>
          <w:color w:val="000000"/>
        </w:rPr>
        <w:t>kopienu, Valonijas reģionu, Franciski runājošās kopienas komisiju, Apvienoto kopienu komisiju un Vācu valodā runājošo kopienu par mobilitātes atbalstiem;</w:t>
      </w:r>
    </w:p>
    <w:p w:rsidR="003E022D" w:rsidRDefault="007D19D6">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2018. gada 31. decembra Sadarbības nolīgums starp Flāmu kopienu, Valonijas reģionu, Franciski runājošo</w:t>
      </w:r>
      <w:r>
        <w:rPr>
          <w:rFonts w:asciiTheme="majorHAnsi" w:hAnsiTheme="majorHAnsi"/>
          <w:noProof/>
          <w:color w:val="000000"/>
        </w:rPr>
        <w:t xml:space="preserve"> kopienu, Apvienoto kopienu komisiju, Franciski runājošās kopienas komisiju un Vācu valodā runājošo kopienu par aprūpes finansēšanu, izmantojot aprūpes iestādes, kas atrodas ārpus federatīvās vienības robežām.</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BULGĀRIJA</w:t>
      </w:r>
    </w:p>
    <w:p w:rsidR="003E022D" w:rsidRDefault="007D19D6">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Sociālās apdrošināšanas kodekss (</w:t>
      </w:r>
      <w:r>
        <w:rPr>
          <w:rFonts w:asciiTheme="majorHAnsi" w:hAnsiTheme="majorHAnsi"/>
          <w:i/>
          <w:noProof/>
          <w:color w:val="000000"/>
        </w:rPr>
        <w:t>Кодекс за социално осигуряване</w:t>
      </w:r>
      <w:r>
        <w:rPr>
          <w:rFonts w:asciiTheme="majorHAnsi" w:hAnsiTheme="majorHAnsi"/>
          <w:noProof/>
          <w:color w:val="000000"/>
        </w:rPr>
        <w:t>), 1999. gads, 2003. gadā grozīts nosaukums;</w:t>
      </w:r>
    </w:p>
    <w:p w:rsidR="003E022D" w:rsidRDefault="007D19D6">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Sociālās palīdzības likums (</w:t>
      </w:r>
      <w:r>
        <w:rPr>
          <w:rFonts w:asciiTheme="majorHAnsi" w:hAnsiTheme="majorHAnsi"/>
          <w:i/>
          <w:noProof/>
          <w:color w:val="000000"/>
        </w:rPr>
        <w:t>Закон за социално подпомагане</w:t>
      </w:r>
      <w:r>
        <w:rPr>
          <w:rFonts w:asciiTheme="majorHAnsi" w:hAnsiTheme="majorHAnsi"/>
          <w:noProof/>
          <w:color w:val="000000"/>
        </w:rPr>
        <w:t>), 1998. gads;</w:t>
      </w:r>
    </w:p>
    <w:p w:rsidR="003E022D" w:rsidRDefault="007D19D6">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Noteikumi par Sociālās palīdzības likuma īstenošanu (</w:t>
      </w:r>
      <w:r>
        <w:rPr>
          <w:rFonts w:asciiTheme="majorHAnsi" w:hAnsiTheme="majorHAnsi"/>
          <w:i/>
          <w:noProof/>
          <w:color w:val="000000"/>
        </w:rPr>
        <w:t>Правилник за прилагане на Гакона за социално подпомагане</w:t>
      </w:r>
      <w:r>
        <w:rPr>
          <w:rFonts w:asciiTheme="majorHAnsi" w:hAnsiTheme="majorHAnsi"/>
          <w:noProof/>
          <w:color w:val="000000"/>
        </w:rPr>
        <w:t>), 1998. gads;</w:t>
      </w:r>
    </w:p>
    <w:p w:rsidR="003E022D" w:rsidRDefault="007D19D6">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2019. gada Likums par personu ar invaliditāti integrāciju (</w:t>
      </w:r>
      <w:r>
        <w:rPr>
          <w:rFonts w:asciiTheme="majorHAnsi" w:hAnsiTheme="majorHAnsi"/>
          <w:i/>
          <w:noProof/>
          <w:color w:val="000000"/>
        </w:rPr>
        <w:t>Закон за хората с увреждания</w:t>
      </w:r>
      <w:r>
        <w:rPr>
          <w:rFonts w:asciiTheme="majorHAnsi" w:hAnsiTheme="majorHAnsi"/>
          <w:noProof/>
          <w:color w:val="000000"/>
        </w:rPr>
        <w:t>), 2019. gads;</w:t>
      </w:r>
    </w:p>
    <w:p w:rsidR="003E022D" w:rsidRDefault="007D19D6">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2019. gada Personiskās palīdzības likums (</w:t>
      </w:r>
      <w:r>
        <w:rPr>
          <w:rFonts w:asciiTheme="majorHAnsi" w:hAnsiTheme="majorHAnsi"/>
          <w:i/>
          <w:noProof/>
          <w:color w:val="000000"/>
        </w:rPr>
        <w:t>Закон за личната помощ</w:t>
      </w:r>
      <w:r>
        <w:rPr>
          <w:rFonts w:asciiTheme="majorHAnsi" w:hAnsiTheme="majorHAnsi"/>
          <w:noProof/>
          <w:color w:val="000000"/>
        </w:rPr>
        <w:t>), kas stāsies spēkā 2019. gada 1. septembrī;</w:t>
      </w:r>
    </w:p>
    <w:p w:rsidR="003E022D" w:rsidRDefault="007D19D6">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Likuma par personu ar invalid</w:t>
      </w:r>
      <w:r>
        <w:rPr>
          <w:rFonts w:asciiTheme="majorHAnsi" w:hAnsiTheme="majorHAnsi"/>
          <w:noProof/>
          <w:color w:val="000000"/>
        </w:rPr>
        <w:t>itāti integrāciju īstenošanas noteikumi (</w:t>
      </w:r>
      <w:r>
        <w:rPr>
          <w:rFonts w:asciiTheme="majorHAnsi" w:hAnsiTheme="majorHAnsi"/>
          <w:i/>
          <w:noProof/>
          <w:color w:val="000000"/>
        </w:rPr>
        <w:t>Правилник за прилагане на Закона за интеграция на хората с увреждания</w:t>
      </w:r>
      <w:r>
        <w:rPr>
          <w:rFonts w:asciiTheme="majorHAnsi" w:hAnsiTheme="majorHAnsi"/>
          <w:noProof/>
          <w:color w:val="000000"/>
        </w:rPr>
        <w:t>), 2004. gads;</w:t>
      </w:r>
    </w:p>
    <w:p w:rsidR="003E022D" w:rsidRDefault="007D19D6">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Rīkojums par medicīnisko ekspertīzi (</w:t>
      </w:r>
      <w:r>
        <w:rPr>
          <w:rFonts w:asciiTheme="majorHAnsi" w:hAnsiTheme="majorHAnsi"/>
          <w:i/>
          <w:noProof/>
          <w:color w:val="000000"/>
        </w:rPr>
        <w:t>Наредба за медицинската експертиза</w:t>
      </w:r>
      <w:r>
        <w:rPr>
          <w:rFonts w:asciiTheme="majorHAnsi" w:hAnsiTheme="majorHAnsi"/>
          <w:noProof/>
          <w:color w:val="000000"/>
        </w:rPr>
        <w:t>), 2010. gads;</w:t>
      </w:r>
    </w:p>
    <w:p w:rsidR="003E022D" w:rsidRDefault="007D19D6">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Maksas par sociālajiem pakalpojumiem, ko fina</w:t>
      </w:r>
      <w:r>
        <w:rPr>
          <w:rFonts w:asciiTheme="majorHAnsi" w:hAnsiTheme="majorHAnsi"/>
          <w:noProof/>
          <w:color w:val="000000"/>
        </w:rPr>
        <w:t>nsē no valsts budžeta, tarifi (</w:t>
      </w:r>
      <w:r>
        <w:rPr>
          <w:rFonts w:asciiTheme="majorHAnsi" w:hAnsiTheme="majorHAnsi"/>
          <w:i/>
          <w:noProof/>
          <w:color w:val="000000"/>
        </w:rPr>
        <w:t>Тарифа за таксите за социални услуги, финансирани от държавния бюджет</w:t>
      </w:r>
      <w:r>
        <w:rPr>
          <w:rFonts w:asciiTheme="majorHAnsi" w:hAnsiTheme="majorHAnsi"/>
          <w:noProof/>
          <w:color w:val="000000"/>
        </w:rPr>
        <w:t>), 2003. gads.</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HORVĀTIJA</w:t>
      </w:r>
    </w:p>
    <w:p w:rsidR="003E022D" w:rsidRDefault="007D19D6">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2013. gada Sociālās labklājības likums (</w:t>
      </w:r>
      <w:r>
        <w:rPr>
          <w:rFonts w:asciiTheme="majorHAnsi" w:hAnsiTheme="majorHAnsi"/>
          <w:i/>
          <w:noProof/>
          <w:color w:val="000000"/>
        </w:rPr>
        <w:t>Zakon o socijalnoj skrbi</w:t>
      </w:r>
      <w:r>
        <w:rPr>
          <w:rFonts w:asciiTheme="majorHAnsi" w:hAnsiTheme="majorHAnsi"/>
          <w:noProof/>
          <w:color w:val="000000"/>
        </w:rPr>
        <w:t>), OV Nr. 157/13, 152/14, 99/15, 52/16, 16/17, 130/17 un 98/19;</w:t>
      </w:r>
    </w:p>
    <w:p w:rsidR="003E022D" w:rsidRDefault="007D19D6">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Audžuģimeņu likums (</w:t>
      </w:r>
      <w:r>
        <w:rPr>
          <w:rFonts w:asciiTheme="majorHAnsi" w:hAnsiTheme="majorHAnsi"/>
          <w:i/>
          <w:noProof/>
          <w:color w:val="000000"/>
        </w:rPr>
        <w:t>Zakon o udomiteljstvu</w:t>
      </w:r>
      <w:r>
        <w:rPr>
          <w:rFonts w:asciiTheme="majorHAnsi" w:hAnsiTheme="majorHAnsi"/>
          <w:noProof/>
          <w:color w:val="000000"/>
        </w:rPr>
        <w:t>), OV Nr. 90/11 un 78/12, ar grozījumiem;</w:t>
      </w:r>
    </w:p>
    <w:p w:rsidR="003E022D" w:rsidRDefault="007D19D6">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Valdības 2014. gada rīkojums par minimālajām prasībām sociālo pakalpojumu sniegšanai (</w:t>
      </w:r>
      <w:r>
        <w:rPr>
          <w:rFonts w:asciiTheme="majorHAnsi" w:hAnsiTheme="majorHAnsi"/>
          <w:i/>
          <w:noProof/>
          <w:color w:val="000000"/>
        </w:rPr>
        <w:t>Pravilnik o minimalnim uvjetima za pružanje socijalnih usluga</w:t>
      </w:r>
      <w:r>
        <w:rPr>
          <w:rFonts w:asciiTheme="majorHAnsi" w:hAnsiTheme="majorHAnsi"/>
          <w:noProof/>
          <w:color w:val="000000"/>
        </w:rPr>
        <w:t>), OV Nr. 40/14 un 66/15;</w:t>
      </w:r>
    </w:p>
    <w:p w:rsidR="003E022D" w:rsidRDefault="007D19D6">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1998. gada Rīkojums par saņēmēju līdzdalību uzturēšanas izmaksu segšanā par izmitināšanu ārpus ģimenes un maksāšanas kārtību (</w:t>
      </w:r>
      <w:r>
        <w:rPr>
          <w:rFonts w:asciiTheme="majorHAnsi" w:hAnsiTheme="majorHAnsi"/>
          <w:i/>
          <w:noProof/>
          <w:color w:val="000000"/>
        </w:rPr>
        <w:t>Pravilnik o sudjelovanju i načinu plaćanja korisnika I drugih obveznika uzdržavanja u troškovima smještaja izvan vlastite obitelji</w:t>
      </w:r>
      <w:r>
        <w:rPr>
          <w:rFonts w:asciiTheme="majorHAnsi" w:hAnsiTheme="majorHAnsi"/>
          <w:noProof/>
          <w:color w:val="000000"/>
        </w:rPr>
        <w:t>), OV Nr. 112/98 un 05/02, ar grozījumiem;</w:t>
      </w:r>
    </w:p>
    <w:p w:rsidR="003E022D" w:rsidRDefault="007D19D6">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2015. gada Rīkojums par to personu uzskaites saturu un kārtību, kuras ir profesionāli iesaistītas sociālo pakalpojumu sniegšanā (</w:t>
      </w:r>
      <w:r>
        <w:rPr>
          <w:rFonts w:asciiTheme="majorHAnsi" w:hAnsiTheme="majorHAnsi"/>
          <w:i/>
          <w:noProof/>
          <w:color w:val="000000"/>
        </w:rPr>
        <w:t>Pravilnik o sadržaju I načinu vođenja evidencije fizičkih osoba koje profesionalno p</w:t>
      </w:r>
      <w:r>
        <w:rPr>
          <w:rFonts w:asciiTheme="majorHAnsi" w:hAnsiTheme="majorHAnsi"/>
          <w:i/>
          <w:noProof/>
          <w:color w:val="000000"/>
        </w:rPr>
        <w:t>ružaju socijalne usluge</w:t>
      </w:r>
      <w:r>
        <w:rPr>
          <w:rFonts w:asciiTheme="majorHAnsi" w:hAnsiTheme="majorHAnsi"/>
          <w:noProof/>
          <w:color w:val="000000"/>
        </w:rPr>
        <w:t>), OV Nr. 66/15.</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KIPRA</w:t>
      </w:r>
    </w:p>
    <w:p w:rsidR="003E022D" w:rsidRDefault="007D19D6">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Sociālās labklājības pakalpojumi (</w:t>
      </w:r>
      <w:r>
        <w:rPr>
          <w:rFonts w:asciiTheme="majorHAnsi" w:hAnsiTheme="majorHAnsi"/>
          <w:i/>
          <w:noProof/>
          <w:color w:val="000000"/>
        </w:rPr>
        <w:t>Υπηρεσίες Κοινωνικής Ευημερίας</w:t>
      </w:r>
      <w:r>
        <w:rPr>
          <w:rFonts w:asciiTheme="majorHAnsi" w:hAnsiTheme="majorHAnsi"/>
          <w:noProof/>
          <w:color w:val="000000"/>
        </w:rPr>
        <w:t>);</w:t>
      </w:r>
    </w:p>
    <w:p w:rsidR="003E022D" w:rsidRDefault="007D19D6">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Noteikumi un dekrēti par garantēto minimālo ienākumu un vispārējiem sociāliem pabalstiem (ārkārtas vajadzības un aprūpes vajadzības), kas grozī</w:t>
      </w:r>
      <w:r>
        <w:rPr>
          <w:rFonts w:asciiTheme="majorHAnsi" w:hAnsiTheme="majorHAnsi"/>
          <w:noProof/>
          <w:color w:val="000000"/>
        </w:rPr>
        <w:t>ti vai aizstāti; Veco ļaužu un invalīdu likumi (</w:t>
      </w:r>
      <w:r>
        <w:rPr>
          <w:rFonts w:asciiTheme="majorHAnsi" w:hAnsiTheme="majorHAnsi"/>
          <w:i/>
          <w:noProof/>
          <w:color w:val="000000"/>
        </w:rPr>
        <w:t>Οι περί Στεγών για Ηλικιωμένους και Αναπήρους Νόμοι</w:t>
      </w:r>
      <w:r>
        <w:rPr>
          <w:rFonts w:asciiTheme="majorHAnsi" w:hAnsiTheme="majorHAnsi"/>
          <w:noProof/>
          <w:color w:val="000000"/>
        </w:rPr>
        <w:t>) 1991. 2011. gads[L. 222/91 un L. 65(I)/2011];</w:t>
      </w:r>
    </w:p>
    <w:p w:rsidR="003E022D" w:rsidRDefault="007D19D6">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Pieaugušo aprūpes centru likumi (</w:t>
      </w:r>
      <w:r>
        <w:rPr>
          <w:rFonts w:asciiTheme="majorHAnsi" w:hAnsiTheme="majorHAnsi"/>
          <w:i/>
          <w:noProof/>
          <w:color w:val="000000"/>
        </w:rPr>
        <w:t>Οι περί Κέντρων Ενηλίκων Νόμοι</w:t>
      </w:r>
      <w:r>
        <w:rPr>
          <w:rFonts w:asciiTheme="majorHAnsi" w:hAnsiTheme="majorHAnsi"/>
          <w:noProof/>
          <w:color w:val="000000"/>
        </w:rPr>
        <w:t>)(L. 38(Ι)/1997 un L.64(Ι)/2011);</w:t>
      </w:r>
    </w:p>
    <w:p w:rsidR="003E022D" w:rsidRDefault="007D19D6">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Valsts </w:t>
      </w:r>
      <w:r>
        <w:rPr>
          <w:rFonts w:asciiTheme="majorHAnsi" w:hAnsiTheme="majorHAnsi"/>
          <w:noProof/>
          <w:color w:val="000000"/>
        </w:rPr>
        <w:t>atbalsta shēma saskaņā ar Regulu (EK) Nr. 360/2012 par vispārējas tautsaimnieciskas nozīmes pakalpojumu sniegšanu (</w:t>
      </w:r>
      <w:r>
        <w:rPr>
          <w:rFonts w:asciiTheme="majorHAnsi" w:hAnsiTheme="majorHAnsi"/>
          <w:i/>
          <w:noProof/>
          <w:color w:val="000000"/>
        </w:rPr>
        <w:t>De minimis) [Σχέδιο Κρατικών Ενισχύσεων ‘Ησσονος Σημασίας, βαση του Κανονισμού 360/2012 για την παροχή υπηρεσιών γενικού οικονομικού συμφέρον</w:t>
      </w:r>
      <w:r>
        <w:rPr>
          <w:rFonts w:asciiTheme="majorHAnsi" w:hAnsiTheme="majorHAnsi"/>
          <w:i/>
          <w:noProof/>
          <w:color w:val="000000"/>
        </w:rPr>
        <w:t>τος</w:t>
      </w:r>
      <w:r>
        <w:rPr>
          <w:rFonts w:asciiTheme="majorHAnsi" w:hAnsiTheme="majorHAnsi"/>
          <w:noProof/>
          <w:color w:val="000000"/>
        </w:rPr>
        <w:t>];</w:t>
      </w:r>
    </w:p>
    <w:p w:rsidR="003E022D" w:rsidRDefault="007D19D6">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Sociālo pabalstu pārvaldes dienests (</w:t>
      </w:r>
      <w:r>
        <w:rPr>
          <w:rFonts w:asciiTheme="majorHAnsi" w:hAnsiTheme="majorHAnsi"/>
          <w:i/>
          <w:noProof/>
          <w:color w:val="000000"/>
        </w:rPr>
        <w:t>Υπηρεσία Διαχείρισης Επιδομάτων Πρόνοιας</w:t>
      </w:r>
      <w:r>
        <w:rPr>
          <w:rFonts w:asciiTheme="majorHAnsi" w:hAnsiTheme="majorHAnsi"/>
          <w:noProof/>
          <w:color w:val="000000"/>
        </w:rPr>
        <w:t>);</w:t>
      </w:r>
    </w:p>
    <w:p w:rsidR="003E022D" w:rsidRDefault="007D19D6">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2014. gada likums par garantētajiem minimālajiem ienākumiem un vispārīgi likums par sociālajiem pabalstiem, kas grozīts vai aizstāts;</w:t>
      </w:r>
    </w:p>
    <w:p w:rsidR="003E022D" w:rsidRDefault="007D19D6">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Noteikumi un dekrēti par garantēto m</w:t>
      </w:r>
      <w:r>
        <w:rPr>
          <w:rFonts w:asciiTheme="majorHAnsi" w:hAnsiTheme="majorHAnsi"/>
          <w:noProof/>
          <w:color w:val="000000"/>
        </w:rPr>
        <w:t>inimālo ienākumu un vispārējiem sociāliem pabalstiem, kas grozīti vai aizstāti.</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ČEHIJAS REPUBLIKA</w:t>
      </w:r>
    </w:p>
    <w:p w:rsidR="003E022D" w:rsidRDefault="007D19D6">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Nr. 108/2006 par sociālajiem pakalpojumiem (</w:t>
      </w:r>
      <w:r>
        <w:rPr>
          <w:rFonts w:asciiTheme="majorHAnsi" w:hAnsiTheme="majorHAnsi"/>
          <w:i/>
          <w:noProof/>
          <w:color w:val="000000"/>
        </w:rPr>
        <w:t>Zákon o sociálních službách</w:t>
      </w:r>
      <w:r>
        <w:rPr>
          <w:rFonts w:asciiTheme="majorHAnsi" w:hAnsiTheme="majorHAnsi"/>
          <w:noProof/>
          <w:color w:val="000000"/>
        </w:rPr>
        <w:t>);</w:t>
      </w:r>
    </w:p>
    <w:p w:rsidR="003E022D" w:rsidRDefault="007D19D6">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Nr. 372/2011 par veselības aprūpes pakalpojumiem (</w:t>
      </w:r>
      <w:r>
        <w:rPr>
          <w:rFonts w:asciiTheme="majorHAnsi" w:hAnsiTheme="majorHAnsi"/>
          <w:i/>
          <w:noProof/>
          <w:color w:val="000000"/>
        </w:rPr>
        <w:t xml:space="preserve">Zákon o zdravotních </w:t>
      </w:r>
      <w:r>
        <w:rPr>
          <w:rFonts w:asciiTheme="majorHAnsi" w:hAnsiTheme="majorHAnsi"/>
          <w:i/>
          <w:noProof/>
          <w:color w:val="000000"/>
        </w:rPr>
        <w:t>službách</w:t>
      </w:r>
      <w:r>
        <w:rPr>
          <w:rFonts w:asciiTheme="majorHAnsi" w:hAnsiTheme="majorHAnsi"/>
          <w:noProof/>
          <w:color w:val="000000"/>
        </w:rPr>
        <w:t>);</w:t>
      </w:r>
    </w:p>
    <w:p w:rsidR="003E022D" w:rsidRDefault="007D19D6">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Nr. 48/1997 par valsts veselības apdrošināšanu (</w:t>
      </w:r>
      <w:r>
        <w:rPr>
          <w:rFonts w:asciiTheme="majorHAnsi" w:hAnsiTheme="majorHAnsi"/>
          <w:i/>
          <w:noProof/>
          <w:color w:val="000000"/>
        </w:rPr>
        <w:t>Zákon o veřejném zdravotním pojištění</w:t>
      </w:r>
      <w:r>
        <w:rPr>
          <w:rFonts w:asciiTheme="majorHAnsi" w:hAnsiTheme="majorHAnsi"/>
          <w:noProof/>
          <w:color w:val="000000"/>
        </w:rPr>
        <w:t>).</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DĀNIJA</w:t>
      </w:r>
    </w:p>
    <w:p w:rsidR="003E022D" w:rsidRDefault="007D19D6">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Konsolidētais 2017. gada 17. augusta Likums Nr. 988 par sociālajiem pakalpojumiem (</w:t>
      </w:r>
      <w:r>
        <w:rPr>
          <w:rFonts w:asciiTheme="majorHAnsi" w:hAnsiTheme="majorHAnsi"/>
          <w:i/>
          <w:noProof/>
          <w:color w:val="000000"/>
        </w:rPr>
        <w:t>om social service</w:t>
      </w:r>
      <w:r>
        <w:rPr>
          <w:rFonts w:asciiTheme="majorHAnsi" w:hAnsiTheme="majorHAnsi"/>
          <w:noProof/>
          <w:color w:val="000000"/>
        </w:rPr>
        <w:t>);</w:t>
      </w:r>
    </w:p>
    <w:p w:rsidR="003E022D" w:rsidRDefault="007D19D6">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Konsolidētais 2019. gada 1. februāra </w:t>
      </w:r>
      <w:r>
        <w:rPr>
          <w:rFonts w:asciiTheme="majorHAnsi" w:hAnsiTheme="majorHAnsi"/>
          <w:noProof/>
          <w:color w:val="000000"/>
        </w:rPr>
        <w:t>Likums Nr. 119 par sociālajiem mājokļiem (</w:t>
      </w:r>
      <w:r>
        <w:rPr>
          <w:rFonts w:asciiTheme="majorHAnsi" w:hAnsiTheme="majorHAnsi"/>
          <w:i/>
          <w:noProof/>
          <w:color w:val="000000"/>
        </w:rPr>
        <w:t>om almene boliger</w:t>
      </w:r>
      <w:r>
        <w:rPr>
          <w:rFonts w:asciiTheme="majorHAnsi" w:hAnsiTheme="majorHAnsi"/>
          <w:noProof/>
          <w:color w:val="000000"/>
        </w:rPr>
        <w:t>).</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IGAUNIJA</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Sociālās labklājības likums (</w:t>
      </w:r>
      <w:r>
        <w:rPr>
          <w:rFonts w:asciiTheme="majorHAnsi" w:hAnsiTheme="majorHAnsi"/>
          <w:i/>
          <w:noProof/>
          <w:color w:val="000000"/>
        </w:rPr>
        <w:t>Sotsiaalhoolekande seadus</w:t>
      </w:r>
      <w:r>
        <w:rPr>
          <w:rFonts w:asciiTheme="majorHAnsi" w:hAnsiTheme="majorHAnsi"/>
          <w:noProof/>
          <w:color w:val="000000"/>
        </w:rPr>
        <w:t>), 2016. gads.</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SOMIJA</w:t>
      </w:r>
    </w:p>
    <w:p w:rsidR="003E022D" w:rsidRDefault="007D19D6">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1987. gada 3. aprīļa Likums par pakalpojumiem un palīdzību invalīdiem (</w:t>
      </w:r>
      <w:r>
        <w:rPr>
          <w:rFonts w:asciiTheme="majorHAnsi" w:hAnsiTheme="majorHAnsi"/>
          <w:i/>
          <w:noProof/>
          <w:color w:val="000000"/>
        </w:rPr>
        <w:t>Laki vammaisuuden perusteella järjeste</w:t>
      </w:r>
      <w:r>
        <w:rPr>
          <w:rFonts w:asciiTheme="majorHAnsi" w:hAnsiTheme="majorHAnsi"/>
          <w:i/>
          <w:noProof/>
          <w:color w:val="000000"/>
        </w:rPr>
        <w:t>ttävistä palveluista ja tukitoimista</w:t>
      </w:r>
      <w:r>
        <w:rPr>
          <w:rFonts w:asciiTheme="majorHAnsi" w:hAnsiTheme="majorHAnsi"/>
          <w:noProof/>
          <w:color w:val="000000"/>
        </w:rPr>
        <w:t>);</w:t>
      </w:r>
    </w:p>
    <w:p w:rsidR="003E022D" w:rsidRDefault="007D19D6">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2012. gada 28. decembra Likums par atbalstu novecojošo iedzīvotāju funkcionālajām spējām un par sociālajiem un veselības aprūpes pakalpojumiem vecāka gadagājuma cilvēkiem (</w:t>
      </w:r>
      <w:r>
        <w:rPr>
          <w:rFonts w:asciiTheme="majorHAnsi" w:hAnsiTheme="majorHAnsi"/>
          <w:i/>
          <w:noProof/>
          <w:color w:val="000000"/>
        </w:rPr>
        <w:t>Laki ikääntyneen väestön toimintakyvyn tukemi</w:t>
      </w:r>
      <w:r>
        <w:rPr>
          <w:rFonts w:asciiTheme="majorHAnsi" w:hAnsiTheme="majorHAnsi"/>
          <w:i/>
          <w:noProof/>
          <w:color w:val="000000"/>
        </w:rPr>
        <w:t>sesta sekä iäkkäiden sosiaali- ja terveyspalveluista</w:t>
      </w:r>
      <w:r>
        <w:rPr>
          <w:rFonts w:asciiTheme="majorHAnsi" w:hAnsiTheme="majorHAnsi"/>
          <w:noProof/>
          <w:color w:val="000000"/>
        </w:rPr>
        <w:t>);</w:t>
      </w:r>
    </w:p>
    <w:p w:rsidR="003E022D" w:rsidRDefault="007D19D6">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2014. gada 30. decembra Sociālās labklājības likums (</w:t>
      </w:r>
      <w:r>
        <w:rPr>
          <w:rFonts w:asciiTheme="majorHAnsi" w:hAnsiTheme="majorHAnsi"/>
          <w:i/>
          <w:noProof/>
          <w:color w:val="000000"/>
        </w:rPr>
        <w:t>Sosiaalihuoltolaki</w:t>
      </w:r>
      <w:r>
        <w:rPr>
          <w:rFonts w:asciiTheme="majorHAnsi" w:hAnsiTheme="majorHAnsi"/>
          <w:noProof/>
          <w:color w:val="000000"/>
        </w:rPr>
        <w:t>);</w:t>
      </w:r>
    </w:p>
    <w:p w:rsidR="003E022D" w:rsidRDefault="007D19D6">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2010. gada 30. decembra Akts par veselības aprūpi (</w:t>
      </w:r>
      <w:r>
        <w:rPr>
          <w:rFonts w:asciiTheme="majorHAnsi" w:hAnsiTheme="majorHAnsi"/>
          <w:i/>
          <w:noProof/>
          <w:color w:val="000000"/>
        </w:rPr>
        <w:t>Terveydenhuoltolaki</w:t>
      </w:r>
      <w:r>
        <w:rPr>
          <w:rFonts w:asciiTheme="majorHAnsi" w:hAnsiTheme="majorHAnsi"/>
          <w:noProof/>
          <w:color w:val="000000"/>
        </w:rPr>
        <w:t>);</w:t>
      </w:r>
    </w:p>
    <w:p w:rsidR="003E022D" w:rsidRDefault="007D19D6">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1972. gada 28. janvāra Likums par primāro veselības </w:t>
      </w:r>
      <w:r>
        <w:rPr>
          <w:rFonts w:asciiTheme="majorHAnsi" w:hAnsiTheme="majorHAnsi"/>
          <w:noProof/>
          <w:color w:val="000000"/>
        </w:rPr>
        <w:t>aprūpi (</w:t>
      </w:r>
      <w:r>
        <w:rPr>
          <w:rFonts w:asciiTheme="majorHAnsi" w:hAnsiTheme="majorHAnsi"/>
          <w:i/>
          <w:noProof/>
          <w:color w:val="000000"/>
        </w:rPr>
        <w:t>Kansanterveyslaki</w:t>
      </w:r>
      <w:r>
        <w:rPr>
          <w:rFonts w:asciiTheme="majorHAnsi" w:hAnsiTheme="majorHAnsi"/>
          <w:noProof/>
          <w:color w:val="000000"/>
        </w:rPr>
        <w:t>);</w:t>
      </w:r>
    </w:p>
    <w:p w:rsidR="003E022D" w:rsidRDefault="007D19D6">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2005. gada 2. decembra Likums par neformālās aprūpes atbalstu (</w:t>
      </w:r>
      <w:r>
        <w:rPr>
          <w:rFonts w:asciiTheme="majorHAnsi" w:hAnsiTheme="majorHAnsi"/>
          <w:i/>
          <w:noProof/>
          <w:color w:val="000000"/>
        </w:rPr>
        <w:t>Laki omaishoidon tuesta</w:t>
      </w:r>
      <w:r>
        <w:rPr>
          <w:rFonts w:asciiTheme="majorHAnsi" w:hAnsiTheme="majorHAnsi"/>
          <w:noProof/>
          <w:color w:val="000000"/>
        </w:rPr>
        <w:t>);</w:t>
      </w:r>
    </w:p>
    <w:p w:rsidR="003E022D" w:rsidRDefault="007D19D6">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2015. gada 20. marta Akts par ģimenes aprūpi (</w:t>
      </w:r>
      <w:r>
        <w:rPr>
          <w:rFonts w:asciiTheme="majorHAnsi" w:hAnsiTheme="majorHAnsi"/>
          <w:i/>
          <w:noProof/>
          <w:color w:val="000000"/>
        </w:rPr>
        <w:t>Perhehoitolaki</w:t>
      </w:r>
      <w:r>
        <w:rPr>
          <w:rFonts w:asciiTheme="majorHAnsi" w:hAnsiTheme="majorHAnsi"/>
          <w:noProof/>
          <w:color w:val="000000"/>
        </w:rPr>
        <w:t>);</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FRANCIJA</w:t>
      </w:r>
    </w:p>
    <w:p w:rsidR="003E022D" w:rsidRDefault="007D19D6">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Piemaksa trešai personai (</w:t>
      </w:r>
      <w:r>
        <w:rPr>
          <w:rFonts w:asciiTheme="majorHAnsi" w:hAnsiTheme="majorHAnsi"/>
          <w:i/>
          <w:noProof/>
          <w:color w:val="000000"/>
        </w:rPr>
        <w:t>majoration pour tierce personne, MTP</w:t>
      </w:r>
      <w:r>
        <w:rPr>
          <w:rFonts w:asciiTheme="majorHAnsi" w:hAnsiTheme="majorHAnsi"/>
          <w:noProof/>
          <w:color w:val="000000"/>
        </w:rPr>
        <w:t>);</w:t>
      </w:r>
    </w:p>
    <w:p w:rsidR="003E022D" w:rsidRDefault="007D19D6">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 nodrošinājuma kodeksa (</w:t>
      </w:r>
      <w:r>
        <w:rPr>
          <w:rFonts w:asciiTheme="majorHAnsi" w:hAnsiTheme="majorHAnsi"/>
          <w:i/>
          <w:noProof/>
          <w:color w:val="000000"/>
        </w:rPr>
        <w:t>Code de la sécurité sociale</w:t>
      </w:r>
      <w:r>
        <w:rPr>
          <w:rFonts w:asciiTheme="majorHAnsi" w:hAnsiTheme="majorHAnsi"/>
          <w:noProof/>
          <w:color w:val="000000"/>
        </w:rPr>
        <w:t>) L. 341-4. un L. 355-1. pants.</w:t>
      </w:r>
    </w:p>
    <w:p w:rsidR="003E022D" w:rsidRDefault="007D19D6">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Papildu atlīdzība par vēršanos pie trešās personas (</w:t>
      </w:r>
      <w:r>
        <w:rPr>
          <w:rFonts w:asciiTheme="majorHAnsi" w:hAnsiTheme="majorHAnsi"/>
          <w:i/>
          <w:noProof/>
          <w:color w:val="000000"/>
        </w:rPr>
        <w:t>prestation complémentaire pour recours à tierce personne</w:t>
      </w:r>
      <w:r>
        <w:rPr>
          <w:rFonts w:asciiTheme="majorHAnsi" w:hAnsiTheme="majorHAnsi"/>
          <w:noProof/>
          <w:color w:val="000000"/>
        </w:rPr>
        <w:t>); Sociālā nodrošinājuma kodeksa L. 434-2. pants;</w:t>
      </w:r>
    </w:p>
    <w:p w:rsidR="003E022D" w:rsidRDefault="007D19D6">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Īpašs iz</w:t>
      </w:r>
      <w:r>
        <w:rPr>
          <w:rFonts w:asciiTheme="majorHAnsi" w:hAnsiTheme="majorHAnsi"/>
          <w:noProof/>
          <w:color w:val="000000"/>
        </w:rPr>
        <w:t>glītības pabalsts bērnam invalīdam (</w:t>
      </w:r>
      <w:r>
        <w:rPr>
          <w:rFonts w:asciiTheme="majorHAnsi" w:hAnsiTheme="majorHAnsi"/>
          <w:i/>
          <w:noProof/>
          <w:color w:val="000000"/>
        </w:rPr>
        <w:t>complément d’allocation d’éducation de l’enfant handicapé</w:t>
      </w:r>
      <w:r>
        <w:rPr>
          <w:rFonts w:asciiTheme="majorHAnsi" w:hAnsiTheme="majorHAnsi"/>
          <w:noProof/>
          <w:color w:val="000000"/>
        </w:rPr>
        <w:t>); Sociālā nodrošinājuma kodeksa L. 541-1. pants;</w:t>
      </w:r>
    </w:p>
    <w:p w:rsidR="003E022D" w:rsidRDefault="007D19D6">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Invaliditātes kompensācijas pabalsts (</w:t>
      </w:r>
      <w:r>
        <w:rPr>
          <w:rFonts w:asciiTheme="majorHAnsi" w:hAnsiTheme="majorHAnsi"/>
          <w:i/>
          <w:noProof/>
          <w:color w:val="000000"/>
        </w:rPr>
        <w:t>prestation de compensation du handicap, PCH</w:t>
      </w:r>
      <w:r>
        <w:rPr>
          <w:rFonts w:asciiTheme="majorHAnsi" w:hAnsiTheme="majorHAnsi"/>
          <w:noProof/>
          <w:color w:val="000000"/>
        </w:rPr>
        <w:t>); Sociālās rīcības un ģimenes k</w:t>
      </w:r>
      <w:r>
        <w:rPr>
          <w:rFonts w:asciiTheme="majorHAnsi" w:hAnsiTheme="majorHAnsi"/>
          <w:noProof/>
          <w:color w:val="000000"/>
        </w:rPr>
        <w:t>odeksa (</w:t>
      </w:r>
      <w:r>
        <w:rPr>
          <w:rFonts w:asciiTheme="majorHAnsi" w:hAnsiTheme="majorHAnsi"/>
          <w:i/>
          <w:noProof/>
          <w:color w:val="000000"/>
        </w:rPr>
        <w:t>Code de l’action sociale et des familles</w:t>
      </w:r>
      <w:r>
        <w:rPr>
          <w:rFonts w:asciiTheme="majorHAnsi" w:hAnsiTheme="majorHAnsi"/>
          <w:noProof/>
          <w:color w:val="000000"/>
        </w:rPr>
        <w:t>) L. 245-1. līdz L. 245-14. pants.</w:t>
      </w:r>
    </w:p>
    <w:p w:rsidR="003E022D" w:rsidRDefault="007D19D6">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Autonomijas zaudēšanas pabalsts (</w:t>
      </w:r>
      <w:r>
        <w:rPr>
          <w:rFonts w:asciiTheme="majorHAnsi" w:hAnsiTheme="majorHAnsi"/>
          <w:i/>
          <w:noProof/>
          <w:color w:val="000000"/>
        </w:rPr>
        <w:t>allocation personnalisée d'autonomie, APA</w:t>
      </w:r>
      <w:r>
        <w:rPr>
          <w:rFonts w:asciiTheme="majorHAnsi" w:hAnsiTheme="majorHAnsi"/>
          <w:noProof/>
          <w:color w:val="000000"/>
        </w:rPr>
        <w:t>); Sociālās rīcības un ģimenes kodeksa (</w:t>
      </w:r>
      <w:r>
        <w:rPr>
          <w:rFonts w:asciiTheme="majorHAnsi" w:hAnsiTheme="majorHAnsi"/>
          <w:i/>
          <w:noProof/>
          <w:color w:val="000000"/>
        </w:rPr>
        <w:t>Code de l’action sociale et des familles</w:t>
      </w:r>
      <w:r>
        <w:rPr>
          <w:rFonts w:asciiTheme="majorHAnsi" w:hAnsiTheme="majorHAnsi"/>
          <w:noProof/>
          <w:color w:val="000000"/>
        </w:rPr>
        <w:t>) L. 232-1. līdz L.</w:t>
      </w:r>
      <w:r>
        <w:rPr>
          <w:rFonts w:asciiTheme="majorHAnsi" w:hAnsiTheme="majorHAnsi"/>
          <w:noProof/>
          <w:color w:val="000000"/>
        </w:rPr>
        <w:t xml:space="preserve"> 232-28. pants.</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VĀCIJA</w:t>
      </w:r>
    </w:p>
    <w:p w:rsidR="003E022D" w:rsidRDefault="007D19D6">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Ilgtermiņa aprūpes apdrošināšana (</w:t>
      </w:r>
      <w:r>
        <w:rPr>
          <w:rFonts w:asciiTheme="majorHAnsi" w:hAnsiTheme="majorHAnsi"/>
          <w:i/>
          <w:noProof/>
          <w:color w:val="000000"/>
        </w:rPr>
        <w:t>Pflegeversicherung</w:t>
      </w:r>
      <w:r>
        <w:rPr>
          <w:rFonts w:asciiTheme="majorHAnsi" w:hAnsiTheme="majorHAnsi"/>
          <w:noProof/>
          <w:color w:val="000000"/>
        </w:rPr>
        <w:t>);</w:t>
      </w:r>
    </w:p>
    <w:p w:rsidR="003E022D" w:rsidRDefault="007D19D6">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 ilgtermiņa aprūpes apdrošināšana personām, kas apdrošinātas saskaņā ar obligāto veselības apdrošināšanu, un privātā obligātā ilgtermiņa aprūpes apdrošināšana personām, ka</w:t>
      </w:r>
      <w:r>
        <w:rPr>
          <w:rFonts w:asciiTheme="majorHAnsi" w:hAnsiTheme="majorHAnsi"/>
          <w:noProof/>
          <w:color w:val="000000"/>
        </w:rPr>
        <w:t>s apdrošinātas saskaņā ar privāto veselības apdrošināšanu: Sociālā kodeksa (</w:t>
      </w:r>
      <w:r>
        <w:rPr>
          <w:rFonts w:asciiTheme="majorHAnsi" w:hAnsiTheme="majorHAnsi"/>
          <w:i/>
          <w:noProof/>
          <w:color w:val="000000"/>
        </w:rPr>
        <w:t>Sozialgesetzbuch</w:t>
      </w:r>
      <w:r>
        <w:rPr>
          <w:rFonts w:asciiTheme="majorHAnsi" w:hAnsiTheme="majorHAnsi"/>
          <w:noProof/>
          <w:color w:val="000000"/>
        </w:rPr>
        <w:t>, XI kodekss (</w:t>
      </w:r>
      <w:r>
        <w:rPr>
          <w:rFonts w:asciiTheme="majorHAnsi" w:hAnsiTheme="majorHAnsi"/>
          <w:i/>
          <w:noProof/>
          <w:color w:val="000000"/>
        </w:rPr>
        <w:t>SGB</w:t>
      </w:r>
      <w:r>
        <w:rPr>
          <w:rFonts w:asciiTheme="majorHAnsi" w:hAnsiTheme="majorHAnsi"/>
          <w:noProof/>
          <w:color w:val="000000"/>
        </w:rPr>
        <w:t xml:space="preserve"> XI)), pēdējie grozījumi izdarīti ar 2019. gada 21. decembra likuma 2. pantu (</w:t>
      </w:r>
      <w:r>
        <w:rPr>
          <w:rFonts w:asciiTheme="majorHAnsi" w:hAnsiTheme="majorHAnsi"/>
          <w:i/>
          <w:noProof/>
          <w:color w:val="000000"/>
        </w:rPr>
        <w:t>BGBl</w:t>
      </w:r>
      <w:r>
        <w:rPr>
          <w:rFonts w:asciiTheme="majorHAnsi" w:hAnsiTheme="majorHAnsi"/>
          <w:noProof/>
          <w:color w:val="000000"/>
        </w:rPr>
        <w:t>. I 2913. pp).</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GRIEĶIJA</w:t>
      </w:r>
    </w:p>
    <w:p w:rsidR="003E022D" w:rsidRDefault="007D19D6">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Nr. 1140/1981 ar grozījumiem;</w:t>
      </w:r>
    </w:p>
    <w:p w:rsidR="003E022D" w:rsidRDefault="007D19D6">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Likumdošanas dekrēts Nr. 162/73 un ministriju kopīgais lēmums Nr. Π4β/5814/1997;</w:t>
      </w:r>
    </w:p>
    <w:p w:rsidR="003E022D" w:rsidRDefault="007D19D6">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Ministrijas 2001. gada 9. oktobra Lēmums Nr. Π1γ/Α,Π/οικ.14963;</w:t>
      </w:r>
    </w:p>
    <w:p w:rsidR="003E022D" w:rsidRDefault="007D19D6">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Nr. 4025/2011;</w:t>
      </w:r>
    </w:p>
    <w:p w:rsidR="003E022D" w:rsidRDefault="007D19D6">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Nr. 4109/2013;</w:t>
      </w:r>
    </w:p>
    <w:p w:rsidR="003E022D" w:rsidRDefault="007D19D6">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Likuma Nr. 4199/2013 127. pants;</w:t>
      </w:r>
    </w:p>
    <w:p w:rsidR="003E022D" w:rsidRDefault="007D19D6">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Likuma Nr. 4368/2016 334. pants;</w:t>
      </w:r>
    </w:p>
    <w:p w:rsidR="003E022D" w:rsidRDefault="007D19D6">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w:t>
      </w:r>
      <w:r>
        <w:rPr>
          <w:rFonts w:asciiTheme="majorHAnsi" w:hAnsiTheme="majorHAnsi"/>
          <w:noProof/>
          <w:color w:val="000000"/>
        </w:rPr>
        <w:t>ikuma Nr. 4483/2017 153. pants;</w:t>
      </w:r>
    </w:p>
    <w:p w:rsidR="003E022D" w:rsidRDefault="007D19D6">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Nr. 498/1-11-2018, 28., 30. un 31. pants, Valsts veselības aprūpes pakalpojumu sniedzēju organizācijas (</w:t>
      </w:r>
      <w:r>
        <w:rPr>
          <w:rFonts w:asciiTheme="majorHAnsi" w:hAnsiTheme="majorHAnsi"/>
          <w:i/>
          <w:noProof/>
          <w:color w:val="000000"/>
        </w:rPr>
        <w:t>EOPYY</w:t>
      </w:r>
      <w:r>
        <w:rPr>
          <w:rFonts w:asciiTheme="majorHAnsi" w:hAnsiTheme="majorHAnsi"/>
          <w:noProof/>
          <w:color w:val="000000"/>
        </w:rPr>
        <w:t>) “Vienoto veselības pabalstu regula”.</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UNGĀRIJA</w:t>
      </w:r>
    </w:p>
    <w:p w:rsidR="003E022D" w:rsidRDefault="007D19D6">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Ilgtermiņa aprūpes pakalpojumi, kas nodrošina personīgu </w:t>
      </w:r>
      <w:r>
        <w:rPr>
          <w:rFonts w:asciiTheme="majorHAnsi" w:hAnsiTheme="majorHAnsi"/>
          <w:noProof/>
          <w:color w:val="000000"/>
        </w:rPr>
        <w:t>sociālo aprūpi (sociālie pakalpojumi);</w:t>
      </w:r>
    </w:p>
    <w:p w:rsidR="003E022D" w:rsidRDefault="007D19D6">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1993. gada III Likums par sociālo pārvaldību un sociālo palīdzību (</w:t>
      </w:r>
      <w:r>
        <w:rPr>
          <w:rFonts w:asciiTheme="majorHAnsi" w:hAnsiTheme="majorHAnsi"/>
          <w:i/>
          <w:noProof/>
          <w:color w:val="000000"/>
        </w:rPr>
        <w:t>törvény a szociális igazgatásról és szociális ellátásokról</w:t>
      </w:r>
      <w:r>
        <w:rPr>
          <w:rFonts w:asciiTheme="majorHAnsi" w:hAnsiTheme="majorHAnsi"/>
          <w:noProof/>
          <w:color w:val="000000"/>
        </w:rPr>
        <w:t>), ko papildina valdības un ministru dekrēti.</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ĪRIJA</w:t>
      </w:r>
    </w:p>
    <w:p w:rsidR="003E022D" w:rsidRDefault="007D19D6">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Veselības likums, Nr.1, 1970. gads ;</w:t>
      </w:r>
    </w:p>
    <w:p w:rsidR="003E022D" w:rsidRDefault="007D19D6">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w:t>
      </w:r>
      <w:r>
        <w:rPr>
          <w:rFonts w:asciiTheme="majorHAnsi" w:hAnsiTheme="majorHAnsi"/>
          <w:noProof/>
          <w:color w:val="000000"/>
        </w:rPr>
        <w:t>9. gada Mājsaimniecību atbalsta shēmas likums (Nr. 15, 2009. gads);</w:t>
      </w:r>
    </w:p>
    <w:p w:rsidR="003E022D" w:rsidRDefault="007D19D6">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2005. gada Konsolidētais sociālās labklājības likums;</w:t>
      </w:r>
    </w:p>
    <w:p w:rsidR="003E022D" w:rsidRDefault="007D19D6">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Pastāvīgas aprūpes pabalsts;</w:t>
      </w:r>
    </w:p>
    <w:p w:rsidR="003E022D" w:rsidRDefault="007D19D6">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Aprūpētāja pabalsts;</w:t>
      </w:r>
    </w:p>
    <w:p w:rsidR="003E022D" w:rsidRDefault="007D19D6">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Aprūpētāja piemaksa;</w:t>
      </w:r>
    </w:p>
    <w:p w:rsidR="003E022D" w:rsidRDefault="007D19D6">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Aprūpētāja atbalsta dotācija;</w:t>
      </w:r>
    </w:p>
    <w:p w:rsidR="003E022D" w:rsidRDefault="007D19D6">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Aprūpes dzīvesvietā piemaksa.</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ITĀLIJA</w:t>
      </w:r>
    </w:p>
    <w:p w:rsidR="003E022D" w:rsidRDefault="007D19D6">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1971. gada 30. marta Likums Nr. 118 par civiliem invaliditātes pabalstiem (L</w:t>
      </w:r>
      <w:r>
        <w:rPr>
          <w:rFonts w:asciiTheme="majorHAnsi" w:hAnsiTheme="majorHAnsi"/>
          <w:i/>
          <w:noProof/>
          <w:color w:val="000000"/>
        </w:rPr>
        <w:t>egge 30 Marzo 1971, n. 118 - Conversione in Legge del D.L. 30 gennaio 1971, n. 5 e nuove norme in favore dei mutilati ed invalidi civili</w:t>
      </w:r>
      <w:r>
        <w:rPr>
          <w:rFonts w:asciiTheme="majorHAnsi" w:hAnsiTheme="majorHAnsi"/>
          <w:noProof/>
          <w:color w:val="000000"/>
        </w:rPr>
        <w:t>);</w:t>
      </w:r>
    </w:p>
    <w:p w:rsidR="003E022D" w:rsidRDefault="007D19D6">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1980. gada 11. februāra Likums Nr</w:t>
      </w:r>
      <w:r>
        <w:rPr>
          <w:rFonts w:asciiTheme="majorHAnsi" w:hAnsiTheme="majorHAnsi"/>
          <w:noProof/>
          <w:color w:val="000000"/>
        </w:rPr>
        <w:t>. 18 par pastāvīgas aprūpes pabalstu (</w:t>
      </w:r>
      <w:r>
        <w:rPr>
          <w:rFonts w:asciiTheme="majorHAnsi" w:hAnsiTheme="majorHAnsi"/>
          <w:i/>
          <w:noProof/>
          <w:color w:val="000000"/>
        </w:rPr>
        <w:t>Legge 11 Febbraio 1980, n. 18 - Indennità di accompagnamento agli invalidi civili totalmente inabili</w:t>
      </w:r>
      <w:r>
        <w:rPr>
          <w:rFonts w:asciiTheme="majorHAnsi" w:hAnsiTheme="majorHAnsi"/>
          <w:noProof/>
          <w:color w:val="000000"/>
        </w:rPr>
        <w:t>);</w:t>
      </w:r>
    </w:p>
    <w:p w:rsidR="003E022D" w:rsidRDefault="007D19D6">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1992. gada 5. februāra Likums Nr. 104, 33. pants (Pamatlikums par invaliditāti) (</w:t>
      </w:r>
      <w:r>
        <w:rPr>
          <w:rFonts w:asciiTheme="majorHAnsi" w:hAnsiTheme="majorHAnsi"/>
          <w:i/>
          <w:noProof/>
          <w:color w:val="000000"/>
        </w:rPr>
        <w:t>Legge 5 Febbraio 1992, n. 104 - Le</w:t>
      </w:r>
      <w:r>
        <w:rPr>
          <w:rFonts w:asciiTheme="majorHAnsi" w:hAnsiTheme="majorHAnsi"/>
          <w:i/>
          <w:noProof/>
          <w:color w:val="000000"/>
        </w:rPr>
        <w:t>gge-quadro per l'assistenza, l'integrazione sociale e i diritti delle persone handicappate</w:t>
      </w:r>
      <w:r>
        <w:rPr>
          <w:rFonts w:asciiTheme="majorHAnsi" w:hAnsiTheme="majorHAnsi"/>
          <w:noProof/>
          <w:color w:val="000000"/>
        </w:rPr>
        <w:t>);</w:t>
      </w:r>
    </w:p>
    <w:p w:rsidR="003E022D" w:rsidRDefault="007D19D6">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1998. gada 31. marta Likumdošanas dekrēts Nr. 112 par valsts likumdošanas uzdevumu un administratīvo pilnvaru nodošanu reģioniem un vietējām struktūrām (</w:t>
      </w:r>
      <w:r>
        <w:rPr>
          <w:rFonts w:asciiTheme="majorHAnsi" w:hAnsiTheme="majorHAnsi"/>
          <w:i/>
          <w:noProof/>
          <w:color w:val="000000"/>
        </w:rPr>
        <w:t>Decreto Le</w:t>
      </w:r>
      <w:r>
        <w:rPr>
          <w:rFonts w:asciiTheme="majorHAnsi" w:hAnsiTheme="majorHAnsi"/>
          <w:i/>
          <w:noProof/>
          <w:color w:val="000000"/>
        </w:rPr>
        <w:t>gislativo 31 Marzo 1998, n. 112 - Conferimento di funzioni e compiti amministrativi dello Stato alle regioni ed agli enti locali, in attuazione del capo I della Legge 15 Marzo 1997, n. 59</w:t>
      </w:r>
      <w:r>
        <w:rPr>
          <w:rFonts w:asciiTheme="majorHAnsi" w:hAnsiTheme="majorHAnsi"/>
          <w:noProof/>
          <w:color w:val="000000"/>
        </w:rPr>
        <w:t>);</w:t>
      </w:r>
    </w:p>
    <w:p w:rsidR="003E022D" w:rsidRDefault="007D19D6">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Eiropas Parlamenta un Padomes Regula (EK) Nr. 883/04 par sociālās </w:t>
      </w:r>
      <w:r>
        <w:rPr>
          <w:rFonts w:asciiTheme="majorHAnsi" w:hAnsiTheme="majorHAnsi"/>
          <w:noProof/>
          <w:color w:val="000000"/>
        </w:rPr>
        <w:t>nodrošināšanas sistēmu koordinēšanu (</w:t>
      </w:r>
      <w:r>
        <w:rPr>
          <w:rFonts w:asciiTheme="majorHAnsi" w:hAnsiTheme="majorHAnsi"/>
          <w:i/>
          <w:noProof/>
          <w:color w:val="000000"/>
        </w:rPr>
        <w:t>Regolamento (CE) 883 del 29 aprile 2004 del Parlamento Europeo e del Consiglio, relativo al coordinamento dei sistemi di sicurezza sociale - SNCB – art 70 and Annex X</w:t>
      </w:r>
      <w:r>
        <w:rPr>
          <w:rFonts w:asciiTheme="majorHAnsi" w:hAnsiTheme="majorHAnsi"/>
          <w:noProof/>
          <w:color w:val="000000"/>
        </w:rPr>
        <w:t>);</w:t>
      </w:r>
    </w:p>
    <w:p w:rsidR="003E022D" w:rsidRDefault="007D19D6">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2010. gada 4. novembra Likuma Nr. 183 24. pants, a</w:t>
      </w:r>
      <w:r>
        <w:rPr>
          <w:rFonts w:asciiTheme="majorHAnsi" w:hAnsiTheme="majorHAnsi"/>
          <w:noProof/>
          <w:color w:val="000000"/>
        </w:rPr>
        <w:t>r ko groza noteikumus par atļaujām sniegt palīdzību personām ar invaliditāti, kas nonākušas grūtā situācijā (</w:t>
      </w:r>
      <w:r>
        <w:rPr>
          <w:rFonts w:asciiTheme="majorHAnsi" w:hAnsiTheme="majorHAnsi"/>
          <w:i/>
          <w:noProof/>
          <w:color w:val="000000"/>
        </w:rPr>
        <w:t>Legge n. 183 del 4 Novembre 2010, art. 24 - Modifiche alla disciplina in materia di permessi per l’assistenza a portatori di handicap in situazione</w:t>
      </w:r>
      <w:r>
        <w:rPr>
          <w:rFonts w:asciiTheme="majorHAnsi" w:hAnsiTheme="majorHAnsi"/>
          <w:i/>
          <w:noProof/>
          <w:color w:val="000000"/>
        </w:rPr>
        <w:t xml:space="preserve"> di gravità</w:t>
      </w:r>
      <w:r>
        <w:rPr>
          <w:rFonts w:asciiTheme="majorHAnsi" w:hAnsiTheme="majorHAnsi"/>
          <w:noProof/>
          <w:color w:val="000000"/>
        </w:rPr>
        <w:t>);</w:t>
      </w:r>
    </w:p>
    <w:p w:rsidR="003E022D" w:rsidRDefault="007D19D6">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2013. gada 27. decembra Likums Nr. 147 par valsts gada un daudzgadu budžeta izstrādi – 2014. gada Stabilitātes likums (</w:t>
      </w:r>
      <w:r>
        <w:rPr>
          <w:rFonts w:asciiTheme="majorHAnsi" w:hAnsiTheme="majorHAnsi"/>
          <w:i/>
          <w:noProof/>
          <w:color w:val="000000"/>
        </w:rPr>
        <w:t>Disposizioni per la formazione del bilancio annuale e pluriennale dello Stato - Legge di stabilità 2014</w:t>
      </w:r>
      <w:r>
        <w:rPr>
          <w:rFonts w:asciiTheme="majorHAnsi" w:hAnsiTheme="majorHAnsi"/>
          <w:noProof/>
          <w:color w:val="000000"/>
        </w:rPr>
        <w:t>).</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LATVIJA</w:t>
      </w:r>
    </w:p>
    <w:p w:rsidR="003E022D" w:rsidRDefault="007D19D6">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Sociālo </w:t>
      </w:r>
      <w:r>
        <w:rPr>
          <w:rFonts w:asciiTheme="majorHAnsi" w:hAnsiTheme="majorHAnsi"/>
          <w:noProof/>
          <w:color w:val="000000"/>
        </w:rPr>
        <w:t>pakalpojumu un sociālās palīdzības likums, 31.10.2002.;</w:t>
      </w:r>
    </w:p>
    <w:p w:rsidR="003E022D" w:rsidRDefault="007D19D6">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Ārstniecības likums, 12.06.1997.;</w:t>
      </w:r>
    </w:p>
    <w:p w:rsidR="003E022D" w:rsidRDefault="007D19D6">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Pacientu tiesību likums, 30.12.2009.;</w:t>
      </w:r>
    </w:p>
    <w:p w:rsidR="003E022D" w:rsidRDefault="007D19D6">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Ministru kabineta noteikumi Nr. 555 “Veselības aprūpes pakalpojumu organizēšanas un samaksas kārtība”, 28.08.2018.;</w:t>
      </w:r>
    </w:p>
    <w:p w:rsidR="003E022D" w:rsidRDefault="007D19D6">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Ministru kab</w:t>
      </w:r>
      <w:r>
        <w:rPr>
          <w:rFonts w:asciiTheme="majorHAnsi" w:hAnsiTheme="majorHAnsi"/>
          <w:noProof/>
          <w:color w:val="000000"/>
        </w:rPr>
        <w:t>ineta noteikumi Nr. 275 “Sociālās aprūpes un sociālās rehabilitācijas pakalpojumu samaksas kārtība un kārtība, kādā pakalpojuma izmaksas tiek segtas no pašvaldības budžeta”, 27.05.2003.;</w:t>
      </w:r>
    </w:p>
    <w:p w:rsidR="003E022D" w:rsidRDefault="007D19D6">
      <w:pPr>
        <w:numPr>
          <w:ilvl w:val="0"/>
          <w:numId w:val="1091"/>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Ministru kabineta noteikumi Nr. 138 “Noteikumi par sociālo pakalpojum</w:t>
      </w:r>
      <w:r>
        <w:rPr>
          <w:rFonts w:asciiTheme="majorHAnsi" w:hAnsiTheme="majorHAnsi"/>
          <w:noProof/>
          <w:color w:val="000000"/>
        </w:rPr>
        <w:t>u un sociālās palīdzības saņemšanu”, 02.04.2019.</w:t>
      </w:r>
    </w:p>
    <w:p w:rsidR="003E022D" w:rsidRDefault="007D19D6">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LIETUVA</w:t>
      </w:r>
    </w:p>
    <w:p w:rsidR="003E022D" w:rsidRDefault="007D19D6">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2016. gada 29. jūnija Likums par mērķkompensācijām (</w:t>
      </w:r>
      <w:r>
        <w:rPr>
          <w:rFonts w:asciiTheme="majorHAnsi" w:hAnsiTheme="majorHAnsi"/>
          <w:i/>
          <w:noProof/>
          <w:color w:val="000000"/>
        </w:rPr>
        <w:t>Tikslinių kompensacijų įstatymas</w:t>
      </w:r>
      <w:r>
        <w:rPr>
          <w:rFonts w:asciiTheme="majorHAnsi" w:hAnsiTheme="majorHAnsi"/>
          <w:noProof/>
          <w:color w:val="000000"/>
        </w:rPr>
        <w:t>)(Nr. XII-2507);</w:t>
      </w:r>
    </w:p>
    <w:p w:rsidR="003E022D" w:rsidRDefault="007D19D6">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2006. gada 19. janvāra Likums par sociālajiem pakalpojumiem (</w:t>
      </w:r>
      <w:r>
        <w:rPr>
          <w:rFonts w:asciiTheme="majorHAnsi" w:hAnsiTheme="majorHAnsi"/>
          <w:i/>
          <w:noProof/>
          <w:color w:val="000000"/>
        </w:rPr>
        <w:t>Socialinių paslaugų įstatymas</w:t>
      </w:r>
      <w:r>
        <w:rPr>
          <w:rFonts w:asciiTheme="majorHAnsi" w:hAnsiTheme="majorHAnsi"/>
          <w:noProof/>
          <w:color w:val="000000"/>
        </w:rPr>
        <w:t xml:space="preserve">) (Nr. </w:t>
      </w:r>
      <w:r>
        <w:rPr>
          <w:rFonts w:asciiTheme="majorHAnsi" w:hAnsiTheme="majorHAnsi"/>
          <w:noProof/>
          <w:color w:val="000000"/>
        </w:rPr>
        <w:t>X-493);</w:t>
      </w:r>
    </w:p>
    <w:p w:rsidR="003E022D" w:rsidRDefault="007D19D6">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1996. gada 21. maija Veselības apdrošināšanas likums (</w:t>
      </w:r>
      <w:r>
        <w:rPr>
          <w:rFonts w:asciiTheme="majorHAnsi" w:hAnsiTheme="majorHAnsi"/>
          <w:i/>
          <w:noProof/>
          <w:color w:val="000000"/>
        </w:rPr>
        <w:t>Sveikatos draudimo įstatymas</w:t>
      </w:r>
      <w:r>
        <w:rPr>
          <w:rFonts w:asciiTheme="majorHAnsi" w:hAnsiTheme="majorHAnsi"/>
          <w:noProof/>
          <w:color w:val="000000"/>
        </w:rPr>
        <w:t>) (Nr. I-1343);</w:t>
      </w:r>
    </w:p>
    <w:p w:rsidR="003E022D" w:rsidRDefault="007D19D6">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1994. gada 19. jūlija Likums par veselības aprūpes sistēmu (</w:t>
      </w:r>
      <w:r>
        <w:rPr>
          <w:rFonts w:asciiTheme="majorHAnsi" w:hAnsiTheme="majorHAnsi"/>
          <w:i/>
          <w:noProof/>
          <w:color w:val="000000"/>
        </w:rPr>
        <w:t>Sveikatos sistemos įstatymas</w:t>
      </w:r>
      <w:r>
        <w:rPr>
          <w:rFonts w:asciiTheme="majorHAnsi" w:hAnsiTheme="majorHAnsi"/>
          <w:noProof/>
          <w:color w:val="000000"/>
        </w:rPr>
        <w:t>) (Nr. I-552);</w:t>
      </w:r>
    </w:p>
    <w:p w:rsidR="003E022D" w:rsidRDefault="007D19D6">
      <w:pPr>
        <w:numPr>
          <w:ilvl w:val="0"/>
          <w:numId w:val="1092"/>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1996. gada 6. jūnija Likums par veselības aprūp</w:t>
      </w:r>
      <w:r>
        <w:rPr>
          <w:rFonts w:asciiTheme="majorHAnsi" w:hAnsiTheme="majorHAnsi"/>
          <w:noProof/>
          <w:color w:val="000000"/>
        </w:rPr>
        <w:t>es iestādēm (</w:t>
      </w:r>
      <w:r>
        <w:rPr>
          <w:rFonts w:asciiTheme="majorHAnsi" w:hAnsiTheme="majorHAnsi"/>
          <w:i/>
          <w:noProof/>
          <w:color w:val="000000"/>
        </w:rPr>
        <w:t>Sveikatos priežiūros įstaigų įstatymas</w:t>
      </w:r>
      <w:r>
        <w:rPr>
          <w:rFonts w:asciiTheme="majorHAnsi" w:hAnsiTheme="majorHAnsi"/>
          <w:noProof/>
          <w:color w:val="000000"/>
        </w:rPr>
        <w:t>) (Nr. I-1367).</w:t>
      </w:r>
    </w:p>
    <w:p w:rsidR="003E022D" w:rsidRDefault="007D19D6">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LUKSEMBURGA</w:t>
      </w:r>
    </w:p>
    <w:p w:rsidR="003E022D" w:rsidRDefault="007D19D6">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1998. gada 19. jūnija likums, ar ko ievieš apgādnieka zaudējuma apdrošināšanu, kurā grozījumi izdarīti ar 2005. gada 23. decembra likumu un 2017. gada 29. augusta likumu.</w:t>
      </w:r>
    </w:p>
    <w:p w:rsidR="003E022D" w:rsidRDefault="007D19D6">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MALTA</w:t>
      </w:r>
    </w:p>
    <w:p w:rsidR="003E022D" w:rsidRDefault="007D19D6">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 nodrošinājuma likums (</w:t>
      </w:r>
      <w:r>
        <w:rPr>
          <w:rFonts w:asciiTheme="majorHAnsi" w:hAnsiTheme="majorHAnsi"/>
          <w:i/>
          <w:noProof/>
          <w:color w:val="000000"/>
        </w:rPr>
        <w:t>Att dwar is-Sigurta' Socjali</w:t>
      </w:r>
      <w:r>
        <w:rPr>
          <w:rFonts w:asciiTheme="majorHAnsi" w:hAnsiTheme="majorHAnsi"/>
          <w:noProof/>
          <w:color w:val="000000"/>
        </w:rPr>
        <w:t>) (Cap. 318);</w:t>
      </w:r>
    </w:p>
    <w:p w:rsidR="003E022D" w:rsidRDefault="007D19D6">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Pakārtotais likums 318.19: Valstij piederošu iestāžu un hosteļu likmju noteikumi (</w:t>
      </w:r>
      <w:r>
        <w:rPr>
          <w:rFonts w:asciiTheme="majorHAnsi" w:hAnsiTheme="majorHAnsi"/>
          <w:i/>
          <w:noProof/>
          <w:color w:val="000000"/>
        </w:rPr>
        <w:t>Regolamenti dwar it-Trasferiment ta' Fondi għal Hostels Statali Indikati</w:t>
      </w:r>
      <w:r>
        <w:rPr>
          <w:rFonts w:asciiTheme="majorHAnsi" w:hAnsiTheme="majorHAnsi"/>
          <w:noProof/>
          <w:color w:val="000000"/>
        </w:rPr>
        <w:t>);</w:t>
      </w:r>
    </w:p>
    <w:p w:rsidR="003E022D" w:rsidRDefault="007D19D6">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Pakārtotais likums 318.17: </w:t>
      </w:r>
      <w:r>
        <w:rPr>
          <w:rFonts w:asciiTheme="majorHAnsi" w:hAnsiTheme="majorHAnsi"/>
          <w:noProof/>
          <w:color w:val="000000"/>
        </w:rPr>
        <w:t>Noteikumi par līdzekļu pārskaitīšanu (Valdības finansētas gultasvietas) (</w:t>
      </w:r>
      <w:r>
        <w:rPr>
          <w:rFonts w:asciiTheme="majorHAnsi" w:hAnsiTheme="majorHAnsi"/>
          <w:i/>
          <w:noProof/>
          <w:color w:val="000000"/>
        </w:rPr>
        <w:t>Regolamenti dwar it-Trasferiment ta' Fondi għal Sodod Iffinanzjati mill-Gvern</w:t>
      </w:r>
      <w:r>
        <w:rPr>
          <w:rFonts w:asciiTheme="majorHAnsi" w:hAnsiTheme="majorHAnsi"/>
          <w:noProof/>
          <w:color w:val="000000"/>
        </w:rPr>
        <w:t>);</w:t>
      </w:r>
    </w:p>
    <w:p w:rsidR="003E022D" w:rsidRDefault="007D19D6">
      <w:pPr>
        <w:numPr>
          <w:ilvl w:val="0"/>
          <w:numId w:val="1093"/>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Pakārtotais likums 318.13: Noteikumi par valsts finansētiem aprūpes namu pakalpojumiem (</w:t>
      </w:r>
      <w:r>
        <w:rPr>
          <w:rFonts w:asciiTheme="majorHAnsi" w:hAnsiTheme="majorHAnsi"/>
          <w:i/>
          <w:noProof/>
          <w:color w:val="000000"/>
        </w:rPr>
        <w:t>Regolamenti dwa</w:t>
      </w:r>
      <w:r>
        <w:rPr>
          <w:rFonts w:asciiTheme="majorHAnsi" w:hAnsiTheme="majorHAnsi"/>
          <w:i/>
          <w:noProof/>
          <w:color w:val="000000"/>
        </w:rPr>
        <w:t>r Rati għal Servizzi Residenzjali Finanzjali mill-Istat</w:t>
      </w:r>
      <w:r>
        <w:rPr>
          <w:rFonts w:asciiTheme="majorHAnsi" w:hAnsiTheme="majorHAnsi"/>
          <w:noProof/>
          <w:color w:val="000000"/>
        </w:rPr>
        <w:t>).</w:t>
      </w:r>
    </w:p>
    <w:p w:rsidR="003E022D" w:rsidRDefault="007D19D6">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NĪDERLANDE</w:t>
      </w:r>
    </w:p>
    <w:p w:rsidR="003E022D" w:rsidRDefault="007D19D6">
      <w:pPr>
        <w:pBdr>
          <w:top w:val="nil"/>
          <w:left w:val="nil"/>
          <w:bottom w:val="nil"/>
          <w:right w:val="nil"/>
          <w:between w:val="nil"/>
        </w:pBdr>
        <w:spacing w:before="48"/>
        <w:rPr>
          <w:rFonts w:asciiTheme="majorHAnsi" w:hAnsiTheme="majorHAnsi"/>
          <w:noProof/>
        </w:rPr>
      </w:pPr>
      <w:r>
        <w:rPr>
          <w:rFonts w:asciiTheme="majorHAnsi" w:hAnsiTheme="majorHAnsi"/>
          <w:noProof/>
          <w:color w:val="000000"/>
        </w:rPr>
        <w:t>Ilgtermiņa aprūpes likums (</w:t>
      </w:r>
      <w:r>
        <w:rPr>
          <w:rFonts w:asciiTheme="majorHAnsi" w:hAnsiTheme="majorHAnsi"/>
          <w:i/>
          <w:noProof/>
          <w:color w:val="000000"/>
        </w:rPr>
        <w:t>Wet langdurige zorg (WLZ)</w:t>
      </w:r>
      <w:r>
        <w:rPr>
          <w:rFonts w:asciiTheme="majorHAnsi" w:hAnsiTheme="majorHAnsi"/>
          <w:noProof/>
          <w:color w:val="000000"/>
        </w:rPr>
        <w:t>), 2014. gada 3. decembra likums.</w:t>
      </w:r>
    </w:p>
    <w:p w:rsidR="003E022D" w:rsidRDefault="007D19D6">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POLIJA</w:t>
      </w:r>
    </w:p>
    <w:p w:rsidR="003E022D" w:rsidRDefault="007D19D6">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2004. gada 27. augusta Likums par veselības aprūpes pakalpojumiem, ko finansē no valsts </w:t>
      </w:r>
      <w:r>
        <w:rPr>
          <w:rFonts w:asciiTheme="majorHAnsi" w:hAnsiTheme="majorHAnsi"/>
          <w:noProof/>
          <w:color w:val="000000"/>
        </w:rPr>
        <w:t>līdzekļiem (</w:t>
      </w:r>
      <w:r>
        <w:rPr>
          <w:rFonts w:asciiTheme="majorHAnsi" w:hAnsiTheme="majorHAnsi"/>
          <w:i/>
          <w:noProof/>
          <w:color w:val="000000"/>
        </w:rPr>
        <w:t>Ustawa o świadczeniach opieki zdrowotnej finansowanych ze środków publicznych</w:t>
      </w:r>
      <w:r>
        <w:rPr>
          <w:rFonts w:asciiTheme="majorHAnsi" w:hAnsiTheme="majorHAnsi"/>
          <w:noProof/>
          <w:color w:val="000000"/>
        </w:rPr>
        <w:t>);</w:t>
      </w:r>
    </w:p>
    <w:p w:rsidR="003E022D" w:rsidRDefault="007D19D6">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2004. gada 12. marta Likums par sociālo palīdzību (</w:t>
      </w:r>
      <w:r>
        <w:rPr>
          <w:rFonts w:asciiTheme="majorHAnsi" w:hAnsiTheme="majorHAnsi"/>
          <w:i/>
          <w:noProof/>
          <w:color w:val="000000"/>
        </w:rPr>
        <w:t>Ustawa o pomocy społecznej</w:t>
      </w:r>
      <w:r>
        <w:rPr>
          <w:rFonts w:asciiTheme="majorHAnsi" w:hAnsiTheme="majorHAnsi"/>
          <w:noProof/>
          <w:color w:val="000000"/>
        </w:rPr>
        <w:t>);</w:t>
      </w:r>
    </w:p>
    <w:p w:rsidR="003E022D" w:rsidRDefault="007D19D6">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2003. gada 28. novembra Likums par ģimenes pabalstiem (</w:t>
      </w:r>
      <w:r>
        <w:rPr>
          <w:rFonts w:asciiTheme="majorHAnsi" w:hAnsiTheme="majorHAnsi"/>
          <w:i/>
          <w:noProof/>
          <w:color w:val="000000"/>
        </w:rPr>
        <w:t>Ustawa o świadczeniach rodzin</w:t>
      </w:r>
      <w:r>
        <w:rPr>
          <w:rFonts w:asciiTheme="majorHAnsi" w:hAnsiTheme="majorHAnsi"/>
          <w:i/>
          <w:noProof/>
          <w:color w:val="000000"/>
        </w:rPr>
        <w:t>nych</w:t>
      </w:r>
      <w:r>
        <w:rPr>
          <w:rFonts w:asciiTheme="majorHAnsi" w:hAnsiTheme="majorHAnsi"/>
          <w:noProof/>
          <w:color w:val="000000"/>
        </w:rPr>
        <w:t>);</w:t>
      </w:r>
    </w:p>
    <w:p w:rsidR="003E022D" w:rsidRDefault="007D19D6">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2003. gada 27. jūnija Likums par sociālo pensiju (</w:t>
      </w:r>
      <w:r>
        <w:rPr>
          <w:rFonts w:asciiTheme="majorHAnsi" w:hAnsiTheme="majorHAnsi"/>
          <w:i/>
          <w:noProof/>
          <w:color w:val="000000"/>
        </w:rPr>
        <w:t>Ustawa o rencie socjalnej</w:t>
      </w:r>
      <w:r>
        <w:rPr>
          <w:rFonts w:asciiTheme="majorHAnsi" w:hAnsiTheme="majorHAnsi"/>
          <w:noProof/>
          <w:color w:val="000000"/>
        </w:rPr>
        <w:t>);</w:t>
      </w:r>
    </w:p>
    <w:p w:rsidR="003E022D" w:rsidRDefault="007D19D6">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1998. gada 17. decembra Likums par sociālās apdrošināšanas fonda pensijām (</w:t>
      </w:r>
      <w:r>
        <w:rPr>
          <w:rFonts w:asciiTheme="majorHAnsi" w:hAnsiTheme="majorHAnsi"/>
          <w:i/>
          <w:noProof/>
          <w:color w:val="000000"/>
        </w:rPr>
        <w:t>Ustawa o emeryturach i rentach z Funduszu Ubezpieczeń Społecznych</w:t>
      </w:r>
      <w:r>
        <w:rPr>
          <w:rFonts w:asciiTheme="majorHAnsi" w:hAnsiTheme="majorHAnsi"/>
          <w:noProof/>
          <w:color w:val="000000"/>
        </w:rPr>
        <w:t>);</w:t>
      </w:r>
    </w:p>
    <w:p w:rsidR="003E022D" w:rsidRDefault="007D19D6">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1997. gada 27. augusta Likum</w:t>
      </w:r>
      <w:r>
        <w:rPr>
          <w:rFonts w:asciiTheme="majorHAnsi" w:hAnsiTheme="majorHAnsi"/>
          <w:noProof/>
          <w:color w:val="000000"/>
        </w:rPr>
        <w:t>s par invalīdu profesionālo un sociālo rehabilitāciju un nodarbinātību (</w:t>
      </w:r>
      <w:r>
        <w:rPr>
          <w:rFonts w:asciiTheme="majorHAnsi" w:hAnsiTheme="majorHAnsi"/>
          <w:i/>
          <w:noProof/>
          <w:color w:val="000000"/>
        </w:rPr>
        <w:t>Ustawa o rehabilitacji zawodowej i społecznej oraz zatrudnianiu osób niepełnosprawnych</w:t>
      </w:r>
      <w:r>
        <w:rPr>
          <w:rFonts w:asciiTheme="majorHAnsi" w:hAnsiTheme="majorHAnsi"/>
          <w:noProof/>
          <w:color w:val="000000"/>
        </w:rPr>
        <w:t>);</w:t>
      </w:r>
    </w:p>
    <w:p w:rsidR="003E022D" w:rsidRDefault="007D19D6">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2016. gada 4. novembra Likums par atbalstu grūtniecēm un viņu ģimenēm “Par dzīvību” (</w:t>
      </w:r>
      <w:r>
        <w:rPr>
          <w:rFonts w:asciiTheme="majorHAnsi" w:hAnsiTheme="majorHAnsi"/>
          <w:i/>
          <w:noProof/>
          <w:color w:val="000000"/>
        </w:rPr>
        <w:t>Ustawa o w</w:t>
      </w:r>
      <w:r>
        <w:rPr>
          <w:rFonts w:asciiTheme="majorHAnsi" w:hAnsiTheme="majorHAnsi"/>
          <w:i/>
          <w:noProof/>
          <w:color w:val="000000"/>
        </w:rPr>
        <w:t>sparciu kobiet w ciąży i rodzin “Za życiem”</w:t>
      </w:r>
      <w:r>
        <w:rPr>
          <w:rFonts w:asciiTheme="majorHAnsi" w:hAnsiTheme="majorHAnsi"/>
          <w:noProof/>
          <w:color w:val="000000"/>
        </w:rPr>
        <w:t>);</w:t>
      </w:r>
    </w:p>
    <w:p w:rsidR="003E022D" w:rsidRDefault="007D19D6">
      <w:pPr>
        <w:numPr>
          <w:ilvl w:val="0"/>
          <w:numId w:val="1094"/>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2019. gada 31. jūlija Likums par papildu pabalstu personām, kas nespēj dzīvot patstāvīgi (</w:t>
      </w:r>
      <w:r>
        <w:rPr>
          <w:rFonts w:asciiTheme="majorHAnsi" w:hAnsiTheme="majorHAnsi"/>
          <w:i/>
          <w:noProof/>
          <w:color w:val="000000"/>
        </w:rPr>
        <w:t>Ustawa o świadczeniu uzupełniającym dla osób niezdolnych do samodzielnej egzystencji</w:t>
      </w:r>
      <w:r>
        <w:rPr>
          <w:rFonts w:asciiTheme="majorHAnsi" w:hAnsiTheme="majorHAnsi"/>
          <w:noProof/>
          <w:color w:val="000000"/>
        </w:rPr>
        <w:t>).</w:t>
      </w:r>
    </w:p>
    <w:p w:rsidR="003E022D" w:rsidRDefault="007D19D6">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PORTUGĀLE</w:t>
      </w:r>
    </w:p>
    <w:p w:rsidR="003E022D" w:rsidRDefault="007D19D6">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Sociālā apdrošināšana </w:t>
      </w:r>
      <w:r>
        <w:rPr>
          <w:rFonts w:asciiTheme="majorHAnsi" w:hAnsiTheme="majorHAnsi"/>
          <w:noProof/>
          <w:color w:val="000000"/>
        </w:rPr>
        <w:t>un pietiekamu resursu nodrošināšana;</w:t>
      </w:r>
    </w:p>
    <w:p w:rsidR="003E022D" w:rsidRDefault="007D19D6">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1999. gada 14. jūlija Dekrēts Nr. 265/1999 par ilgtermiņa aprūpes piemaksu (c</w:t>
      </w:r>
      <w:r>
        <w:rPr>
          <w:rFonts w:asciiTheme="majorHAnsi" w:hAnsiTheme="majorHAnsi"/>
          <w:i/>
          <w:noProof/>
          <w:color w:val="000000"/>
        </w:rPr>
        <w:t>omplemento por dependência</w:t>
      </w:r>
      <w:r>
        <w:rPr>
          <w:rFonts w:asciiTheme="majorHAnsi" w:hAnsiTheme="majorHAnsi"/>
          <w:noProof/>
          <w:color w:val="000000"/>
        </w:rPr>
        <w:t>), kas vairākkārt grozīts;</w:t>
      </w:r>
    </w:p>
    <w:p w:rsidR="003E022D" w:rsidRDefault="007D19D6">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2009. gada 31. augusta Likums Nr. 90/2009 par īpašo aizsardzības sistēmu invaliditātes ga</w:t>
      </w:r>
      <w:r>
        <w:rPr>
          <w:rFonts w:asciiTheme="majorHAnsi" w:hAnsiTheme="majorHAnsi"/>
          <w:noProof/>
          <w:color w:val="000000"/>
        </w:rPr>
        <w:t>dījumā (</w:t>
      </w:r>
      <w:r>
        <w:rPr>
          <w:rFonts w:asciiTheme="majorHAnsi" w:hAnsiTheme="majorHAnsi"/>
          <w:i/>
          <w:noProof/>
          <w:color w:val="000000"/>
        </w:rPr>
        <w:t>regime especial de proteção na invalidez</w:t>
      </w:r>
      <w:r>
        <w:rPr>
          <w:rFonts w:asciiTheme="majorHAnsi" w:hAnsiTheme="majorHAnsi"/>
          <w:noProof/>
          <w:color w:val="000000"/>
        </w:rPr>
        <w:t>), kas atkārtoti publicēts konsolidētā redakcijā ar 2015. gada 20. oktobra Dekrētlikumu Nr. 246/2015, kurā izdarīti grozījumi;</w:t>
      </w:r>
    </w:p>
    <w:p w:rsidR="003E022D" w:rsidRDefault="007D19D6">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 nodrošinājuma sistēma un Valsts veselības dienests;</w:t>
      </w:r>
    </w:p>
    <w:p w:rsidR="003E022D" w:rsidRDefault="007D19D6">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2006. gada 6. jūnija </w:t>
      </w:r>
      <w:r>
        <w:rPr>
          <w:rFonts w:asciiTheme="majorHAnsi" w:hAnsiTheme="majorHAnsi"/>
          <w:noProof/>
          <w:color w:val="000000"/>
        </w:rPr>
        <w:t>Dekrētlikums Nr. 101/06 Par integrētas nepārtrauktas aprūpes valsts tīklu (</w:t>
      </w:r>
      <w:r>
        <w:rPr>
          <w:rFonts w:asciiTheme="majorHAnsi" w:hAnsiTheme="majorHAnsi"/>
          <w:i/>
          <w:noProof/>
          <w:color w:val="000000"/>
        </w:rPr>
        <w:t>rede de cuidados continuados integrados</w:t>
      </w:r>
      <w:r>
        <w:rPr>
          <w:rFonts w:asciiTheme="majorHAnsi" w:hAnsiTheme="majorHAnsi"/>
          <w:noProof/>
          <w:color w:val="000000"/>
        </w:rPr>
        <w:t>), kas konsolidētā redakcijā publicēts 2015. gada 28. jūlija Dekrētlikumā Nr. 136/2015;</w:t>
      </w:r>
    </w:p>
    <w:p w:rsidR="003E022D" w:rsidRDefault="007D19D6">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2010. gada 28. janvāra Dekrētlikums Nr. 8/2010, kas gr</w:t>
      </w:r>
      <w:r>
        <w:rPr>
          <w:rFonts w:asciiTheme="majorHAnsi" w:hAnsiTheme="majorHAnsi"/>
          <w:noProof/>
          <w:color w:val="000000"/>
        </w:rPr>
        <w:t>ozīts un pārpublicēts ar 2011. gada 10. februāra Dekrētlikumu Nr. 22/2011 par integrētas nepārtrauktas garīgās veselības aprūpes vienību un komandu izveidi (</w:t>
      </w:r>
      <w:r>
        <w:rPr>
          <w:rFonts w:asciiTheme="majorHAnsi" w:hAnsiTheme="majorHAnsi"/>
          <w:i/>
          <w:noProof/>
          <w:color w:val="000000"/>
        </w:rPr>
        <w:t>unidades e equipas de cuidados continuados integrados de saúde mental</w:t>
      </w:r>
      <w:r>
        <w:rPr>
          <w:rFonts w:asciiTheme="majorHAnsi" w:hAnsiTheme="majorHAnsi"/>
          <w:noProof/>
          <w:color w:val="000000"/>
        </w:rPr>
        <w:t>);</w:t>
      </w:r>
    </w:p>
    <w:p w:rsidR="003E022D" w:rsidRDefault="007D19D6">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2015. gada 12. oktobra Dekr</w:t>
      </w:r>
      <w:r>
        <w:rPr>
          <w:rFonts w:asciiTheme="majorHAnsi" w:hAnsiTheme="majorHAnsi"/>
          <w:noProof/>
          <w:color w:val="000000"/>
        </w:rPr>
        <w:t>ēts Nr. 343/.2015 par standartiem, kas reglamentē stacionāro un ambulatoro pediatrisko aprūpi, kā arī integrētās ilgtermiņa aprūpes tīkla vadības nodaļas un pediatriskās aprūpes nodaļas (</w:t>
      </w:r>
      <w:r>
        <w:rPr>
          <w:rFonts w:asciiTheme="majorHAnsi" w:hAnsiTheme="majorHAnsi"/>
          <w:i/>
          <w:noProof/>
          <w:color w:val="000000"/>
        </w:rPr>
        <w:t xml:space="preserve">condições de instalação e funcionamento das unidades de internamento </w:t>
      </w:r>
      <w:r>
        <w:rPr>
          <w:rFonts w:asciiTheme="majorHAnsi" w:hAnsiTheme="majorHAnsi"/>
          <w:i/>
          <w:noProof/>
          <w:color w:val="000000"/>
        </w:rPr>
        <w:t>de cuidados integrados pediátricos e de ambulatório pediátricas, bem como as condições a que devem obedecer as equipas de gestão de altas e as equipas de cuidados continuados integrados destinadas a cuidados pediátricos da Rede Nacional de Cuidados Continu</w:t>
      </w:r>
      <w:r>
        <w:rPr>
          <w:rFonts w:asciiTheme="majorHAnsi" w:hAnsiTheme="majorHAnsi"/>
          <w:i/>
          <w:noProof/>
          <w:color w:val="000000"/>
        </w:rPr>
        <w:t>ados Integrados</w:t>
      </w:r>
      <w:r>
        <w:rPr>
          <w:rFonts w:asciiTheme="majorHAnsi" w:hAnsiTheme="majorHAnsi"/>
          <w:noProof/>
          <w:color w:val="000000"/>
        </w:rPr>
        <w:t>);</w:t>
      </w:r>
    </w:p>
    <w:p w:rsidR="003E022D" w:rsidRDefault="007D19D6">
      <w:pPr>
        <w:numPr>
          <w:ilvl w:val="0"/>
          <w:numId w:val="109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2009. gada 6. septembra Likums Nr. 6/2009 par neformāla aprūpētāja statusu (</w:t>
      </w:r>
      <w:r>
        <w:rPr>
          <w:rFonts w:asciiTheme="majorHAnsi" w:hAnsiTheme="majorHAnsi"/>
          <w:i/>
          <w:noProof/>
          <w:color w:val="000000"/>
        </w:rPr>
        <w:t>Estatuto do cuidador informal</w:t>
      </w:r>
      <w:r>
        <w:rPr>
          <w:rFonts w:asciiTheme="majorHAnsi" w:hAnsiTheme="majorHAnsi"/>
          <w:noProof/>
          <w:color w:val="000000"/>
        </w:rPr>
        <w:t>).</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RUMĀNIJA</w:t>
      </w:r>
    </w:p>
    <w:p w:rsidR="003E022D" w:rsidRDefault="007D19D6">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2000. gada 6. marta Likums Nr. 17 par sociālo palīdzību vecāka gadagājuma cilvēkiem (</w:t>
      </w:r>
      <w:r>
        <w:rPr>
          <w:rFonts w:asciiTheme="majorHAnsi" w:hAnsiTheme="majorHAnsi"/>
          <w:i/>
          <w:noProof/>
          <w:color w:val="000000"/>
        </w:rPr>
        <w:t xml:space="preserve">Legea privind asistenta sociala a </w:t>
      </w:r>
      <w:r>
        <w:rPr>
          <w:rFonts w:asciiTheme="majorHAnsi" w:hAnsiTheme="majorHAnsi"/>
          <w:i/>
          <w:noProof/>
          <w:color w:val="000000"/>
        </w:rPr>
        <w:t>persoanelor varstnice</w:t>
      </w:r>
      <w:r>
        <w:rPr>
          <w:rFonts w:asciiTheme="majorHAnsi" w:hAnsiTheme="majorHAnsi"/>
          <w:noProof/>
          <w:color w:val="000000"/>
        </w:rPr>
        <w:t>) ar grozījumiem;</w:t>
      </w:r>
    </w:p>
    <w:p w:rsidR="003E022D" w:rsidRDefault="007D19D6">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2006. gada 6. decembra Likums Nr. 448 par personu ar invaliditāti tiesību aizsardzību un veicināšanu (</w:t>
      </w:r>
      <w:r>
        <w:rPr>
          <w:rFonts w:asciiTheme="majorHAnsi" w:hAnsiTheme="majorHAnsi"/>
          <w:i/>
          <w:noProof/>
          <w:color w:val="000000"/>
        </w:rPr>
        <w:t>Legea privind protectia si promovarea drepturilor persoanelor cu handicap</w:t>
      </w:r>
      <w:r>
        <w:rPr>
          <w:rFonts w:asciiTheme="majorHAnsi" w:hAnsiTheme="majorHAnsi"/>
          <w:noProof/>
          <w:color w:val="000000"/>
        </w:rPr>
        <w:t>), ar grozījumiem;</w:t>
      </w:r>
    </w:p>
    <w:p w:rsidR="003E022D" w:rsidRDefault="007D19D6">
      <w:pPr>
        <w:numPr>
          <w:ilvl w:val="0"/>
          <w:numId w:val="1096"/>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Sociālās palīdzības lik</w:t>
      </w:r>
      <w:r>
        <w:rPr>
          <w:rFonts w:asciiTheme="majorHAnsi" w:hAnsiTheme="majorHAnsi"/>
          <w:noProof/>
          <w:color w:val="000000"/>
        </w:rPr>
        <w:t>ums (</w:t>
      </w:r>
      <w:r>
        <w:rPr>
          <w:rFonts w:asciiTheme="majorHAnsi" w:hAnsiTheme="majorHAnsi"/>
          <w:i/>
          <w:noProof/>
          <w:color w:val="000000"/>
        </w:rPr>
        <w:t>Legea asistentei sociale</w:t>
      </w:r>
      <w:r>
        <w:rPr>
          <w:rFonts w:asciiTheme="majorHAnsi" w:hAnsiTheme="majorHAnsi"/>
          <w:noProof/>
          <w:color w:val="000000"/>
        </w:rPr>
        <w:t>) Nr. 292, 2011. gada 20. decembris.</w:t>
      </w:r>
    </w:p>
    <w:p w:rsidR="003E022D" w:rsidRDefault="007D19D6">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SLOVĀKIJA</w:t>
      </w:r>
    </w:p>
    <w:p w:rsidR="003E022D" w:rsidRDefault="007D19D6">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par sociālajiem pakalpojumiem (</w:t>
      </w:r>
      <w:r>
        <w:rPr>
          <w:rFonts w:asciiTheme="majorHAnsi" w:hAnsiTheme="majorHAnsi"/>
          <w:i/>
          <w:noProof/>
          <w:color w:val="000000"/>
        </w:rPr>
        <w:t>Zákon o sociálnych službách</w:t>
      </w:r>
      <w:r>
        <w:rPr>
          <w:rFonts w:asciiTheme="majorHAnsi" w:hAnsiTheme="majorHAnsi"/>
          <w:noProof/>
          <w:color w:val="000000"/>
        </w:rPr>
        <w:t>) Nr. 448/2008;</w:t>
      </w:r>
    </w:p>
    <w:p w:rsidR="003E022D" w:rsidRDefault="007D19D6">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par finansiāliem pabalstiem invalīdiem (</w:t>
      </w:r>
      <w:r>
        <w:rPr>
          <w:rFonts w:asciiTheme="majorHAnsi" w:hAnsiTheme="majorHAnsi"/>
          <w:i/>
          <w:iCs/>
          <w:noProof/>
          <w:color w:val="000000"/>
        </w:rPr>
        <w:t>Zákon o peňažných príspevkoch na kompenzáciu ťažkého</w:t>
      </w:r>
      <w:r>
        <w:rPr>
          <w:rFonts w:asciiTheme="majorHAnsi" w:hAnsiTheme="majorHAnsi"/>
          <w:i/>
          <w:iCs/>
          <w:noProof/>
          <w:color w:val="000000"/>
        </w:rPr>
        <w:t xml:space="preserve"> zdravotného postihnutia</w:t>
      </w:r>
      <w:r>
        <w:rPr>
          <w:rFonts w:asciiTheme="majorHAnsi" w:hAnsiTheme="majorHAnsi"/>
          <w:noProof/>
          <w:color w:val="000000"/>
        </w:rPr>
        <w:t>) Nr. 447/2008;</w:t>
      </w:r>
    </w:p>
    <w:p w:rsidR="003E022D" w:rsidRDefault="007D19D6">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par veselības aprūpi un ar veselības aprūpi saistītiem pakalpojumiem (</w:t>
      </w:r>
      <w:r>
        <w:rPr>
          <w:rFonts w:asciiTheme="majorHAnsi" w:hAnsiTheme="majorHAnsi"/>
          <w:i/>
          <w:noProof/>
          <w:color w:val="000000"/>
        </w:rPr>
        <w:t>Zákon o zdravotnej starostlivosti a službách súvisiacich s poskytovaním zdravotnej starostlivosti</w:t>
      </w:r>
      <w:r>
        <w:rPr>
          <w:rFonts w:asciiTheme="majorHAnsi" w:hAnsiTheme="majorHAnsi"/>
          <w:noProof/>
          <w:color w:val="000000"/>
        </w:rPr>
        <w:t>) Nr. 576/2004;</w:t>
      </w:r>
    </w:p>
    <w:p w:rsidR="003E022D" w:rsidRDefault="007D19D6">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par veselības aprūp</w:t>
      </w:r>
      <w:r>
        <w:rPr>
          <w:rFonts w:asciiTheme="majorHAnsi" w:hAnsiTheme="majorHAnsi"/>
          <w:noProof/>
          <w:color w:val="000000"/>
        </w:rPr>
        <w:t>es sniedzējiem, medicīnas darbiniekiem un profesionālajām medicīnas asociācijām (</w:t>
      </w:r>
      <w:r>
        <w:rPr>
          <w:rFonts w:asciiTheme="majorHAnsi" w:hAnsiTheme="majorHAnsi"/>
          <w:i/>
          <w:noProof/>
          <w:color w:val="000000"/>
        </w:rPr>
        <w:t>Zákon o poskytovateľoch zdravotnej starostlivosti, zdravotníckych pracovníkoch a stavovských organizáciách v zdravotníctve</w:t>
      </w:r>
      <w:r>
        <w:rPr>
          <w:rFonts w:asciiTheme="majorHAnsi" w:hAnsiTheme="majorHAnsi"/>
          <w:noProof/>
          <w:color w:val="000000"/>
        </w:rPr>
        <w:t>) Nr. 578/2004;</w:t>
      </w:r>
    </w:p>
    <w:p w:rsidR="003E022D" w:rsidRDefault="007D19D6">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par iztikas minimumu (</w:t>
      </w:r>
      <w:r>
        <w:rPr>
          <w:rFonts w:asciiTheme="majorHAnsi" w:hAnsiTheme="majorHAnsi"/>
          <w:i/>
          <w:noProof/>
          <w:color w:val="000000"/>
        </w:rPr>
        <w:t xml:space="preserve">Zákon o </w:t>
      </w:r>
      <w:r>
        <w:rPr>
          <w:rFonts w:asciiTheme="majorHAnsi" w:hAnsiTheme="majorHAnsi"/>
          <w:i/>
          <w:noProof/>
          <w:color w:val="000000"/>
        </w:rPr>
        <w:t>životnom minime</w:t>
      </w:r>
      <w:r>
        <w:rPr>
          <w:rFonts w:asciiTheme="majorHAnsi" w:hAnsiTheme="majorHAnsi"/>
          <w:noProof/>
          <w:color w:val="000000"/>
        </w:rPr>
        <w:t>) Nr. 601/2003;</w:t>
      </w:r>
    </w:p>
    <w:p w:rsidR="003E022D" w:rsidRDefault="007D19D6">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par ģimeni (</w:t>
      </w:r>
      <w:r>
        <w:rPr>
          <w:rFonts w:asciiTheme="majorHAnsi" w:hAnsiTheme="majorHAnsi"/>
          <w:i/>
          <w:noProof/>
          <w:color w:val="000000"/>
        </w:rPr>
        <w:t>Zákon o rodine</w:t>
      </w:r>
      <w:r>
        <w:rPr>
          <w:rFonts w:asciiTheme="majorHAnsi" w:hAnsiTheme="majorHAnsi"/>
          <w:noProof/>
          <w:color w:val="000000"/>
        </w:rPr>
        <w:t>) Nr. 36/2005;</w:t>
      </w:r>
    </w:p>
    <w:p w:rsidR="003E022D" w:rsidRDefault="007D19D6">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par bērnu sociālo un tiesisko aizsardzību un sociālo aizbildnību (</w:t>
      </w:r>
      <w:r>
        <w:rPr>
          <w:rFonts w:asciiTheme="majorHAnsi" w:hAnsiTheme="majorHAnsi"/>
          <w:i/>
          <w:noProof/>
          <w:color w:val="000000"/>
        </w:rPr>
        <w:t>Zákon o sociálno-právnej ochrane detí a sociálnej kuratele</w:t>
      </w:r>
      <w:r>
        <w:rPr>
          <w:rFonts w:asciiTheme="majorHAnsi" w:hAnsiTheme="majorHAnsi"/>
          <w:noProof/>
          <w:color w:val="000000"/>
        </w:rPr>
        <w:t>) Nr. 305/2005;</w:t>
      </w:r>
    </w:p>
    <w:p w:rsidR="003E022D" w:rsidRDefault="007D19D6">
      <w:pPr>
        <w:numPr>
          <w:ilvl w:val="0"/>
          <w:numId w:val="109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Likums par sociālo darbu (</w:t>
      </w:r>
      <w:r>
        <w:rPr>
          <w:rFonts w:asciiTheme="majorHAnsi" w:hAnsiTheme="majorHAnsi"/>
          <w:i/>
          <w:noProof/>
          <w:color w:val="000000"/>
        </w:rPr>
        <w:t>Zákon o sociálnej práci</w:t>
      </w:r>
      <w:r>
        <w:rPr>
          <w:rFonts w:asciiTheme="majorHAnsi" w:hAnsiTheme="majorHAnsi"/>
          <w:noProof/>
          <w:color w:val="000000"/>
        </w:rPr>
        <w:t>) Nr. 219/2014.</w:t>
      </w:r>
    </w:p>
    <w:p w:rsidR="003E022D" w:rsidRDefault="007D19D6">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SLOVĒNIJA</w:t>
      </w:r>
    </w:p>
    <w:p w:rsidR="003E022D" w:rsidRDefault="007D19D6">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Nav īpašu tiesību aktu attiecībā uz ilgtermiņa aprūpi.</w:t>
      </w:r>
    </w:p>
    <w:p w:rsidR="003E022D" w:rsidRDefault="007D19D6">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Ilgtermiņa aprūpes pabalsti ir iekļauti šādos tiesību aktos:</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Pensiju un invaliditātes apdrošināšanas likums (</w:t>
      </w:r>
      <w:r>
        <w:rPr>
          <w:rFonts w:asciiTheme="majorHAnsi" w:hAnsiTheme="majorHAnsi"/>
          <w:i/>
          <w:noProof/>
          <w:color w:val="000000"/>
        </w:rPr>
        <w:t xml:space="preserve">Zakon o pokojninskem in invalidskem </w:t>
      </w:r>
      <w:r>
        <w:rPr>
          <w:rFonts w:asciiTheme="majorHAnsi" w:hAnsiTheme="majorHAnsi"/>
          <w:i/>
          <w:noProof/>
          <w:color w:val="000000"/>
        </w:rPr>
        <w:t>zavarovanju</w:t>
      </w:r>
      <w:r>
        <w:rPr>
          <w:rFonts w:asciiTheme="majorHAnsi" w:hAnsiTheme="majorHAnsi"/>
          <w:noProof/>
          <w:color w:val="000000"/>
        </w:rPr>
        <w:t>) (Slovēnijas Republikas Oficiālais Vēstnesis, Nr. 96/2012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Finanšu sociālās palīdzības likums (</w:t>
      </w:r>
      <w:r>
        <w:rPr>
          <w:rFonts w:asciiTheme="majorHAnsi" w:hAnsiTheme="majorHAnsi"/>
          <w:i/>
          <w:noProof/>
          <w:color w:val="000000"/>
        </w:rPr>
        <w:t>Zakon o socialno vartsvenih prejemkih</w:t>
      </w:r>
      <w:r>
        <w:rPr>
          <w:rFonts w:asciiTheme="majorHAnsi" w:hAnsiTheme="majorHAnsi"/>
          <w:noProof/>
          <w:color w:val="000000"/>
        </w:rPr>
        <w:t>) (Slovēnijas Republikas Oficiālais Vēstnesis, Nr. 61/2010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w:t>
      </w:r>
      <w:r>
        <w:rPr>
          <w:rFonts w:asciiTheme="majorHAnsi" w:hAnsiTheme="majorHAnsi"/>
          <w:noProof/>
          <w:color w:val="000000"/>
        </w:rPr>
        <w:t>ms par tiesību uz valsts līdzekļiem īstenošanu (</w:t>
      </w:r>
      <w:r>
        <w:rPr>
          <w:rFonts w:asciiTheme="majorHAnsi" w:hAnsiTheme="majorHAnsi"/>
          <w:i/>
          <w:noProof/>
          <w:color w:val="000000"/>
        </w:rPr>
        <w:t>Zakon o uveljavljanju pravic iz javnih sredstev</w:t>
      </w:r>
      <w:r>
        <w:rPr>
          <w:rFonts w:asciiTheme="majorHAnsi" w:hAnsiTheme="majorHAnsi"/>
          <w:noProof/>
          <w:color w:val="000000"/>
        </w:rPr>
        <w:t>) (Slovēnijas Republikas Oficiālais Vēstnesis, Nr. 62/2010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Sociālās aizsardzības likums (</w:t>
      </w:r>
      <w:r>
        <w:rPr>
          <w:rFonts w:asciiTheme="majorHAnsi" w:hAnsiTheme="majorHAnsi"/>
          <w:i/>
          <w:noProof/>
          <w:color w:val="000000"/>
        </w:rPr>
        <w:t>Zakon o socialnem varstvu</w:t>
      </w:r>
      <w:r>
        <w:rPr>
          <w:rFonts w:asciiTheme="majorHAnsi" w:hAnsiTheme="majorHAnsi"/>
          <w:noProof/>
          <w:color w:val="000000"/>
        </w:rPr>
        <w:t xml:space="preserve">) (Slovēnijas </w:t>
      </w:r>
      <w:r>
        <w:rPr>
          <w:rFonts w:asciiTheme="majorHAnsi" w:hAnsiTheme="majorHAnsi"/>
          <w:noProof/>
          <w:color w:val="000000"/>
        </w:rPr>
        <w:t>Republikas Oficiālais Vēstnesis, Nr. 3/2004 – Oficiālais konsolidētais teksts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Vecāku aprūpes un ģimenes pabalstu likums (</w:t>
      </w:r>
      <w:r>
        <w:rPr>
          <w:rFonts w:asciiTheme="majorHAnsi" w:hAnsiTheme="majorHAnsi"/>
          <w:i/>
          <w:noProof/>
          <w:color w:val="000000"/>
        </w:rPr>
        <w:t>Zakon o starševskem varstvu in družinskih prejemkih</w:t>
      </w:r>
      <w:r>
        <w:rPr>
          <w:rFonts w:asciiTheme="majorHAnsi" w:hAnsiTheme="majorHAnsi"/>
          <w:noProof/>
          <w:color w:val="000000"/>
        </w:rPr>
        <w:t>) (Slovēnijas Republikas Oficiālais Vēstnesis, Nr. 110/2006</w:t>
      </w:r>
      <w:r>
        <w:rPr>
          <w:rFonts w:asciiTheme="majorHAnsi" w:hAnsiTheme="majorHAnsi"/>
          <w:noProof/>
          <w:color w:val="000000"/>
        </w:rPr>
        <w:t xml:space="preserve"> – Oficiālais konsolidētais teksts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Garīgi un fiziski nespējīgu personu likums (</w:t>
      </w:r>
      <w:r>
        <w:rPr>
          <w:rFonts w:asciiTheme="majorHAnsi" w:hAnsiTheme="majorHAnsi"/>
          <w:i/>
          <w:noProof/>
          <w:color w:val="000000"/>
        </w:rPr>
        <w:t>Zakon o družbenem varstvu duševno in telesno prizadetih oseb</w:t>
      </w:r>
      <w:r>
        <w:rPr>
          <w:rFonts w:asciiTheme="majorHAnsi" w:hAnsiTheme="majorHAnsi"/>
          <w:noProof/>
          <w:color w:val="000000"/>
        </w:rPr>
        <w:t>) (Slovēnijas Republikas Oficiālais Vēstnesis, Nr. 41/83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Veselības </w:t>
      </w:r>
      <w:r>
        <w:rPr>
          <w:rFonts w:asciiTheme="majorHAnsi" w:hAnsiTheme="majorHAnsi"/>
          <w:noProof/>
          <w:color w:val="000000"/>
        </w:rPr>
        <w:t>aprūpes un veselības apdrošināšanas likums (</w:t>
      </w:r>
      <w:r>
        <w:rPr>
          <w:rFonts w:asciiTheme="majorHAnsi" w:hAnsiTheme="majorHAnsi"/>
          <w:i/>
          <w:noProof/>
          <w:color w:val="000000"/>
        </w:rPr>
        <w:t>Zakon o zdravstvenem varstvu in zdravstvenem zavarovanju</w:t>
      </w:r>
      <w:r>
        <w:rPr>
          <w:rFonts w:asciiTheme="majorHAnsi" w:hAnsiTheme="majorHAnsi"/>
          <w:noProof/>
          <w:color w:val="000000"/>
        </w:rPr>
        <w:t>) (Slovēnijas Republikas Oficiālais Vēstnesis, Nr. 72/2006 – Oficiālais konsolidētais teksts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par kara veterāniem (</w:t>
      </w:r>
      <w:r>
        <w:rPr>
          <w:rFonts w:asciiTheme="majorHAnsi" w:hAnsiTheme="majorHAnsi"/>
          <w:i/>
          <w:noProof/>
          <w:color w:val="000000"/>
        </w:rPr>
        <w:t>Zakon o vo</w:t>
      </w:r>
      <w:r>
        <w:rPr>
          <w:rFonts w:asciiTheme="majorHAnsi" w:hAnsiTheme="majorHAnsi"/>
          <w:i/>
          <w:noProof/>
          <w:color w:val="000000"/>
        </w:rPr>
        <w:t>jnih veteranih</w:t>
      </w:r>
      <w:r>
        <w:rPr>
          <w:rFonts w:asciiTheme="majorHAnsi" w:hAnsiTheme="majorHAnsi"/>
          <w:noProof/>
          <w:color w:val="000000"/>
        </w:rPr>
        <w:t>) (Slovēnijas Republikas Oficiālais Vēstnesis, Nr. 59/06 – Oficiālais konsolidētais teksts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Likums par kara invalīdiem (</w:t>
      </w:r>
      <w:r>
        <w:rPr>
          <w:rFonts w:asciiTheme="majorHAnsi" w:hAnsiTheme="majorHAnsi"/>
          <w:i/>
          <w:noProof/>
          <w:color w:val="000000"/>
        </w:rPr>
        <w:t>Zakon o vojnih invalidih</w:t>
      </w:r>
      <w:r>
        <w:rPr>
          <w:rFonts w:asciiTheme="majorHAnsi" w:hAnsiTheme="majorHAnsi"/>
          <w:noProof/>
          <w:color w:val="000000"/>
        </w:rPr>
        <w:t>) (Slovēnijas Republikas Oficiālais Vēstnesis, Nr. 63/59 – Oficiālais kons</w:t>
      </w:r>
      <w:r>
        <w:rPr>
          <w:rFonts w:asciiTheme="majorHAnsi" w:hAnsiTheme="majorHAnsi"/>
          <w:noProof/>
          <w:color w:val="000000"/>
        </w:rPr>
        <w:t>olidētais teksts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Fiskālās izlīdzināšanas likums (</w:t>
      </w:r>
      <w:r>
        <w:rPr>
          <w:rFonts w:asciiTheme="majorHAnsi" w:hAnsiTheme="majorHAnsi"/>
          <w:i/>
          <w:noProof/>
          <w:color w:val="000000"/>
        </w:rPr>
        <w:t>Zakon za uravnoteženje javnih finance (ZUJF)</w:t>
      </w:r>
      <w:r>
        <w:rPr>
          <w:rFonts w:asciiTheme="majorHAnsi" w:hAnsiTheme="majorHAnsi"/>
          <w:noProof/>
          <w:color w:val="000000"/>
        </w:rPr>
        <w:t>) (Slovēnijas Republikas Oficiālais Vēstnesis, Nr. 40/2012 un turpmākie grozījumi);</w:t>
      </w:r>
    </w:p>
    <w:p w:rsidR="003E022D" w:rsidRDefault="007D19D6">
      <w:pPr>
        <w:numPr>
          <w:ilvl w:val="0"/>
          <w:numId w:val="1098"/>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Likums, ar ko regulē pārvedumus privātpersonām un mājs</w:t>
      </w:r>
      <w:r>
        <w:rPr>
          <w:rFonts w:asciiTheme="majorHAnsi" w:hAnsiTheme="majorHAnsi"/>
          <w:noProof/>
          <w:color w:val="000000"/>
        </w:rPr>
        <w:t>aimniecībām Slovēnijas Republikā (</w:t>
      </w:r>
      <w:r>
        <w:rPr>
          <w:rFonts w:asciiTheme="majorHAnsi" w:hAnsiTheme="majorHAnsi"/>
          <w:i/>
          <w:noProof/>
          <w:color w:val="000000"/>
        </w:rPr>
        <w:t>Zakon o usklajevanju transferjev posameznikom in gospodinjstvom v Republiki Sloveniji</w:t>
      </w:r>
      <w:r>
        <w:rPr>
          <w:rFonts w:asciiTheme="majorHAnsi" w:hAnsiTheme="majorHAnsi"/>
          <w:noProof/>
          <w:color w:val="000000"/>
        </w:rPr>
        <w:t>) (Slovēnijas Republikas Oficiālais Vēstnesis, Nr. 114/2006 – Oficiālais konsolidētais teksts un turpmākie grozījumi).</w:t>
      </w:r>
    </w:p>
    <w:p w:rsidR="003E022D" w:rsidRDefault="007D19D6">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SPĀNIJA</w:t>
      </w:r>
    </w:p>
    <w:p w:rsidR="003E022D" w:rsidRDefault="007D19D6">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2006. gada</w:t>
      </w:r>
      <w:r>
        <w:rPr>
          <w:rFonts w:asciiTheme="majorHAnsi" w:hAnsiTheme="majorHAnsi"/>
          <w:noProof/>
          <w:color w:val="000000"/>
        </w:rPr>
        <w:t xml:space="preserve"> 14. decembra Likums Nr. 39/2006 par personīgās autonomijas veicināšanu un palīdzību personām atkarības situācijās, ar grozījumiem.</w:t>
      </w:r>
    </w:p>
    <w:p w:rsidR="003E022D" w:rsidRDefault="007D19D6">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Vispārējais likums par sociālo nodrošinājumu (</w:t>
      </w:r>
      <w:r>
        <w:rPr>
          <w:rFonts w:asciiTheme="majorHAnsi" w:hAnsiTheme="majorHAnsi"/>
          <w:i/>
          <w:noProof/>
          <w:color w:val="000000"/>
        </w:rPr>
        <w:t>Ley General de la Seguridad Social</w:t>
      </w:r>
      <w:r>
        <w:rPr>
          <w:rFonts w:asciiTheme="majorHAnsi" w:hAnsiTheme="majorHAnsi"/>
          <w:noProof/>
          <w:color w:val="000000"/>
        </w:rPr>
        <w:t>), kas apstiprināts ar Karaļa 2015. gada 30.</w:t>
      </w:r>
      <w:r>
        <w:rPr>
          <w:rFonts w:asciiTheme="majorHAnsi" w:hAnsiTheme="majorHAnsi"/>
          <w:noProof/>
          <w:color w:val="000000"/>
        </w:rPr>
        <w:t xml:space="preserve"> oktobra Karalisko dekrētu Nr. 8/2015;</w:t>
      </w:r>
    </w:p>
    <w:p w:rsidR="003E022D" w:rsidRDefault="007D19D6">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Ministrijas 1969. gada 15. aprīļa rīkojums;</w:t>
      </w:r>
    </w:p>
    <w:p w:rsidR="003E022D" w:rsidRDefault="007D19D6">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Karaļa 1995. gada 21. jūlija Dekrēts Nr. 1300/1995 ar grozījumiem;</w:t>
      </w:r>
    </w:p>
    <w:p w:rsidR="003E022D" w:rsidRDefault="007D19D6">
      <w:pPr>
        <w:numPr>
          <w:ilvl w:val="0"/>
          <w:numId w:val="1099"/>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Karaļa 1997. gada 31. oktobra Dekrēts Nr. 1647/1997 ar grozījumiem.</w:t>
      </w:r>
    </w:p>
    <w:p w:rsidR="003E022D" w:rsidRDefault="007D19D6">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ZVIEDRIJA</w:t>
      </w:r>
    </w:p>
    <w:p w:rsidR="003E022D" w:rsidRDefault="007D19D6">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2001. gada Sociālo pakalpoju</w:t>
      </w:r>
      <w:r>
        <w:rPr>
          <w:rFonts w:asciiTheme="majorHAnsi" w:hAnsiTheme="majorHAnsi"/>
          <w:noProof/>
          <w:color w:val="000000"/>
        </w:rPr>
        <w:t>mu likums (</w:t>
      </w:r>
      <w:r>
        <w:rPr>
          <w:rFonts w:asciiTheme="majorHAnsi" w:hAnsiTheme="majorHAnsi"/>
          <w:i/>
          <w:noProof/>
          <w:color w:val="000000"/>
        </w:rPr>
        <w:t>Socialtjänstlagen</w:t>
      </w:r>
      <w:r>
        <w:rPr>
          <w:rFonts w:asciiTheme="majorHAnsi" w:hAnsiTheme="majorHAnsi"/>
          <w:noProof/>
          <w:color w:val="000000"/>
        </w:rPr>
        <w:t xml:space="preserve"> (2001:453));</w:t>
      </w:r>
    </w:p>
    <w:p w:rsidR="003E022D" w:rsidRDefault="007D19D6">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2017. gada Veselības aprūpes likums (</w:t>
      </w:r>
      <w:r>
        <w:rPr>
          <w:rFonts w:asciiTheme="majorHAnsi" w:hAnsiTheme="majorHAnsi"/>
          <w:i/>
          <w:noProof/>
          <w:color w:val="000000"/>
        </w:rPr>
        <w:t>Hälso- och sjukvårdslag</w:t>
      </w:r>
      <w:r>
        <w:rPr>
          <w:rFonts w:asciiTheme="majorHAnsi" w:hAnsiTheme="majorHAnsi"/>
          <w:noProof/>
          <w:color w:val="000000"/>
        </w:rPr>
        <w:t xml:space="preserve"> (2017:30));</w:t>
      </w:r>
    </w:p>
    <w:p w:rsidR="003E022D" w:rsidRDefault="007D19D6">
      <w:pPr>
        <w:pStyle w:val="Part"/>
        <w:rPr>
          <w:rFonts w:asciiTheme="majorHAnsi" w:hAnsiTheme="majorHAnsi"/>
          <w:noProof/>
        </w:rPr>
      </w:pPr>
      <w:r>
        <w:rPr>
          <w:rFonts w:asciiTheme="majorHAnsi" w:hAnsiTheme="majorHAnsi"/>
          <w:noProof/>
          <w:sz w:val="22"/>
          <w:szCs w:val="22"/>
        </w:rPr>
        <w:t xml:space="preserve">3. daļa. Maksājumi, kas ir saistīti ar kādu no SSC.3. panta [Jomas, uz kurām attiecas šis protokols] 1. punktā minētajām sociālā </w:t>
      </w:r>
      <w:r>
        <w:rPr>
          <w:rFonts w:asciiTheme="majorHAnsi" w:hAnsiTheme="majorHAnsi"/>
          <w:noProof/>
          <w:sz w:val="22"/>
          <w:szCs w:val="22"/>
        </w:rPr>
        <w:t>nodrošinājuma jomām un ko maksā, lai segtu izdevumus par apkuri aukstā laikā (SSC.3. panta [Jomas, uz kurām attiecas šis protokols] 4. punkta f) apakšpunkts)</w:t>
      </w:r>
    </w:p>
    <w:p w:rsidR="003E022D" w:rsidRDefault="007D19D6">
      <w:pPr>
        <w:numPr>
          <w:ilvl w:val="0"/>
          <w:numId w:val="1054"/>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APVIENOTĀ KARALISTE</w:t>
      </w:r>
    </w:p>
    <w:p w:rsidR="003E022D" w:rsidRDefault="007D19D6">
      <w:pPr>
        <w:rPr>
          <w:rFonts w:asciiTheme="majorHAnsi" w:eastAsia="Arial" w:hAnsiTheme="majorHAnsi" w:cs="Arial"/>
          <w:noProof/>
          <w:color w:val="000000"/>
        </w:rPr>
      </w:pPr>
      <w:r>
        <w:rPr>
          <w:rFonts w:asciiTheme="majorHAnsi" w:hAnsiTheme="majorHAnsi"/>
          <w:noProof/>
          <w:color w:val="000000"/>
        </w:rPr>
        <w:t>Ziemas kurināmā maksājums (Sociālā nodrošinājuma iemaksu un pabalstu 1992. gad</w:t>
      </w:r>
      <w:r>
        <w:rPr>
          <w:rFonts w:asciiTheme="majorHAnsi" w:hAnsiTheme="majorHAnsi"/>
          <w:noProof/>
          <w:color w:val="000000"/>
        </w:rPr>
        <w:t>a likums, 2000. gada Noteikumi par sociālo fondu ziemas kurināmā maksājumiem, Sociālā nodrošinājuma iemaksu un pabalstu (Ziemeļīrija) 1992. gada likums un 2000. gada Noteikumi par sociālo fondu ziemas kurināmā maksājumiem (Ziemeļīrija));</w:t>
      </w:r>
    </w:p>
    <w:p w:rsidR="003E022D" w:rsidRDefault="007D19D6">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DALĪBVALSTIS</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 DĀNI</w:t>
      </w:r>
      <w:r>
        <w:rPr>
          <w:rFonts w:asciiTheme="majorHAnsi" w:hAnsiTheme="majorHAnsi"/>
          <w:noProof/>
          <w:color w:val="000000"/>
        </w:rPr>
        <w:t>JA</w:t>
      </w:r>
    </w:p>
    <w:p w:rsidR="003E022D" w:rsidRDefault="007D19D6">
      <w:pPr>
        <w:pStyle w:val="ListParagraph"/>
        <w:numPr>
          <w:ilvl w:val="0"/>
          <w:numId w:val="1205"/>
        </w:numPr>
        <w:spacing w:after="160" w:line="259" w:lineRule="auto"/>
        <w:ind w:left="567" w:hanging="567"/>
        <w:jc w:val="left"/>
        <w:rPr>
          <w:rFonts w:asciiTheme="majorHAnsi" w:eastAsia="Arial" w:hAnsiTheme="majorHAnsi" w:cs="Arial"/>
          <w:noProof/>
          <w:color w:val="000000"/>
        </w:rPr>
      </w:pPr>
      <w:r>
        <w:rPr>
          <w:rFonts w:asciiTheme="majorHAnsi" w:hAnsiTheme="majorHAnsi"/>
          <w:noProof/>
          <w:color w:val="000000"/>
        </w:rPr>
        <w:t xml:space="preserve">Sociālo un valsts pensiju akts, LBK Nr. 983, 23.9.2019. </w:t>
      </w:r>
    </w:p>
    <w:p w:rsidR="003E022D" w:rsidRDefault="007D19D6">
      <w:pPr>
        <w:pStyle w:val="ListParagraph"/>
        <w:numPr>
          <w:ilvl w:val="0"/>
          <w:numId w:val="1205"/>
        </w:numPr>
        <w:spacing w:after="160" w:line="259" w:lineRule="auto"/>
        <w:ind w:left="567" w:hanging="567"/>
        <w:jc w:val="left"/>
        <w:rPr>
          <w:rFonts w:asciiTheme="majorHAnsi" w:eastAsia="Arial" w:hAnsiTheme="majorHAnsi" w:cs="Arial"/>
          <w:noProof/>
        </w:rPr>
      </w:pPr>
      <w:r>
        <w:rPr>
          <w:rFonts w:asciiTheme="majorHAnsi" w:hAnsiTheme="majorHAnsi"/>
          <w:noProof/>
          <w:color w:val="000000"/>
        </w:rPr>
        <w:t xml:space="preserve">Sociālo un valsts pensiju noteikumi, BEK Nr. 1602, 27.12.2019. </w:t>
      </w:r>
      <w:r>
        <w:rPr>
          <w:rFonts w:asciiTheme="majorHAnsi" w:hAnsiTheme="majorHAnsi"/>
          <w:noProof/>
        </w:rPr>
        <w:br w:type="page"/>
      </w:r>
    </w:p>
    <w:p w:rsidR="003E022D" w:rsidRDefault="007D19D6">
      <w:pPr>
        <w:pStyle w:val="ANNEX"/>
        <w:rPr>
          <w:rFonts w:asciiTheme="majorHAnsi" w:hAnsiTheme="majorHAnsi"/>
          <w:noProof/>
        </w:rPr>
      </w:pPr>
      <w:bookmarkStart w:id="1468" w:name="_Toc59110608"/>
      <w:bookmarkStart w:id="1469" w:name="_Toc59988447"/>
      <w:r>
        <w:rPr>
          <w:rFonts w:asciiTheme="majorHAnsi" w:hAnsiTheme="majorHAnsi"/>
          <w:noProof/>
        </w:rPr>
        <w:t>SSC-2. PIELIKUMS. IEROBEŽOJUMI ATTIECĪBĀ UZ TIESĪBĀM SAŅEMT PABALSTUS NATŪRĀ PAR PĀRROBEŽU DARBA ŅĒMĒJA ĢIMENES LOCEKĻIEM</w:t>
      </w:r>
      <w:bookmarkEnd w:id="1468"/>
      <w:bookmarkEnd w:id="1469"/>
    </w:p>
    <w:p w:rsidR="003E022D" w:rsidRDefault="007D19D6">
      <w:pPr>
        <w:jc w:val="center"/>
        <w:rPr>
          <w:rFonts w:asciiTheme="majorHAnsi" w:eastAsia="Arial" w:hAnsiTheme="majorHAnsi" w:cs="Arial"/>
          <w:noProof/>
        </w:rPr>
      </w:pPr>
      <w:r>
        <w:rPr>
          <w:rFonts w:asciiTheme="majorHAnsi" w:hAnsiTheme="majorHAnsi"/>
          <w:noProof/>
        </w:rPr>
        <w:t xml:space="preserve">(minēti </w:t>
      </w:r>
      <w:r>
        <w:rPr>
          <w:rFonts w:asciiTheme="majorHAnsi" w:hAnsiTheme="majorHAnsi"/>
          <w:noProof/>
        </w:rPr>
        <w:t>SSC.16. panta [Uzturēšanās kompetentajā valstī, ja dzīvesvieta ir citā valstī – īpaši noteikumi pārrobežu darba ņēmēju ģimenes locekļiem] 2. punktā)</w:t>
      </w:r>
    </w:p>
    <w:p w:rsidR="003E022D" w:rsidRDefault="007D19D6">
      <w:pPr>
        <w:spacing w:before="251"/>
        <w:ind w:left="610"/>
        <w:rPr>
          <w:rFonts w:asciiTheme="majorHAnsi" w:eastAsia="Arial" w:hAnsiTheme="majorHAnsi" w:cs="Arial"/>
          <w:noProof/>
        </w:rPr>
      </w:pPr>
      <w:r>
        <w:rPr>
          <w:rFonts w:asciiTheme="majorHAnsi" w:hAnsiTheme="majorHAnsi"/>
          <w:noProof/>
          <w:color w:val="000000"/>
        </w:rPr>
        <w:t xml:space="preserve">HORVĀTIJA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DĀNIJA </w:t>
      </w:r>
    </w:p>
    <w:p w:rsidR="003E022D" w:rsidRDefault="007D19D6">
      <w:pPr>
        <w:spacing w:before="249"/>
        <w:ind w:left="619"/>
        <w:rPr>
          <w:rFonts w:asciiTheme="majorHAnsi" w:eastAsia="Arial" w:hAnsiTheme="majorHAnsi" w:cs="Arial"/>
          <w:noProof/>
        </w:rPr>
      </w:pPr>
      <w:r>
        <w:rPr>
          <w:rFonts w:asciiTheme="majorHAnsi" w:hAnsiTheme="majorHAnsi"/>
          <w:noProof/>
          <w:color w:val="000000"/>
        </w:rPr>
        <w:t xml:space="preserve">ĪRIJA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SOMIJA </w:t>
      </w:r>
    </w:p>
    <w:p w:rsidR="003E022D" w:rsidRDefault="007D19D6">
      <w:pPr>
        <w:spacing w:before="251"/>
        <w:ind w:left="608"/>
        <w:rPr>
          <w:rFonts w:asciiTheme="majorHAnsi" w:eastAsia="Arial" w:hAnsiTheme="majorHAnsi" w:cs="Arial"/>
          <w:noProof/>
        </w:rPr>
      </w:pPr>
      <w:r>
        <w:rPr>
          <w:rFonts w:asciiTheme="majorHAnsi" w:hAnsiTheme="majorHAnsi"/>
          <w:noProof/>
          <w:color w:val="000000"/>
        </w:rPr>
        <w:t xml:space="preserve">ZVIEDRIJA </w:t>
      </w:r>
    </w:p>
    <w:p w:rsidR="003E022D" w:rsidRDefault="007D19D6">
      <w:pPr>
        <w:spacing w:before="251"/>
        <w:ind w:left="618"/>
        <w:rPr>
          <w:rFonts w:asciiTheme="majorHAnsi" w:eastAsia="Arial" w:hAnsiTheme="majorHAnsi" w:cs="Arial"/>
          <w:noProof/>
        </w:rPr>
      </w:pPr>
      <w:r>
        <w:rPr>
          <w:rFonts w:asciiTheme="majorHAnsi" w:hAnsiTheme="majorHAnsi"/>
          <w:noProof/>
          <w:color w:val="000000"/>
        </w:rPr>
        <w:t xml:space="preserve">APVIENOTĀ KARALISTE </w:t>
      </w:r>
    </w:p>
    <w:p w:rsidR="003E022D" w:rsidRDefault="003E022D">
      <w:pPr>
        <w:jc w:val="center"/>
        <w:rPr>
          <w:rFonts w:asciiTheme="majorHAnsi" w:eastAsia="Arial" w:hAnsiTheme="majorHAnsi" w:cs="Arial"/>
          <w:noProof/>
        </w:rPr>
      </w:pPr>
    </w:p>
    <w:p w:rsidR="003E022D" w:rsidRDefault="003E022D">
      <w:pPr>
        <w:jc w:val="center"/>
        <w:rPr>
          <w:rFonts w:asciiTheme="majorHAnsi" w:eastAsia="Arial" w:hAnsiTheme="majorHAnsi" w:cs="Arial"/>
          <w:noProof/>
        </w:rPr>
      </w:pPr>
    </w:p>
    <w:p w:rsidR="003E022D" w:rsidRDefault="007D19D6">
      <w:pPr>
        <w:rPr>
          <w:rFonts w:asciiTheme="majorHAnsi" w:eastAsia="Arial" w:hAnsiTheme="majorHAnsi" w:cs="Arial"/>
          <w:noProof/>
        </w:rPr>
      </w:pPr>
      <w:r>
        <w:rPr>
          <w:noProof/>
        </w:rPr>
        <w:br w:type="page"/>
      </w:r>
    </w:p>
    <w:p w:rsidR="003E022D" w:rsidRDefault="007D19D6">
      <w:pPr>
        <w:pStyle w:val="ANNEX"/>
        <w:rPr>
          <w:noProof/>
        </w:rPr>
      </w:pPr>
      <w:bookmarkStart w:id="1470" w:name="_Toc59110609"/>
      <w:bookmarkStart w:id="1471" w:name="_Toc59988448"/>
      <w:r>
        <w:rPr>
          <w:rFonts w:asciiTheme="majorHAnsi" w:hAnsiTheme="majorHAnsi"/>
          <w:noProof/>
        </w:rPr>
        <w:t xml:space="preserve">SSC-3. PIELIKUMS. LIELĀKAS TIESĪBAS </w:t>
      </w:r>
      <w:r>
        <w:rPr>
          <w:rFonts w:asciiTheme="majorHAnsi" w:hAnsiTheme="majorHAnsi"/>
          <w:noProof/>
        </w:rPr>
        <w:t>PENSIONĀRIEM, KAS ATGRIEŽAS KOMPETENTAJĀ VALSTĪ</w:t>
      </w:r>
      <w:bookmarkEnd w:id="1470"/>
      <w:bookmarkEnd w:id="1471"/>
    </w:p>
    <w:p w:rsidR="003E022D" w:rsidRDefault="007D19D6">
      <w:pPr>
        <w:pStyle w:val="Article"/>
        <w:rPr>
          <w:noProof/>
        </w:rPr>
      </w:pPr>
      <w:r>
        <w:rPr>
          <w:noProof/>
        </w:rPr>
        <w:t>(SSC.25. panta [Pensionāra vai viņa ģimenes locekļu uzturēšanās valstī, kurā viņi nedzīvo – Uzturēšanās kompetentajā valstī – Atļauja saņemt piemērotu ārstēšanu ārpus dzīvesvietas valsts] 2. punkts)</w:t>
      </w:r>
    </w:p>
    <w:p w:rsidR="003E022D" w:rsidRDefault="007D19D6">
      <w:pPr>
        <w:spacing w:before="251"/>
        <w:ind w:left="604"/>
        <w:rPr>
          <w:rFonts w:asciiTheme="majorHAnsi" w:eastAsia="Arial" w:hAnsiTheme="majorHAnsi" w:cs="Arial"/>
          <w:noProof/>
        </w:rPr>
      </w:pPr>
      <w:r>
        <w:rPr>
          <w:rFonts w:asciiTheme="majorHAnsi" w:hAnsiTheme="majorHAnsi"/>
          <w:noProof/>
          <w:color w:val="000000"/>
        </w:rPr>
        <w:t xml:space="preserve">AUSTRIJA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BEĻĢIJA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BULGĀRIJA </w:t>
      </w:r>
    </w:p>
    <w:p w:rsidR="003E022D" w:rsidRDefault="007D19D6">
      <w:pPr>
        <w:spacing w:before="251"/>
        <w:ind w:left="610"/>
        <w:rPr>
          <w:rFonts w:asciiTheme="majorHAnsi" w:eastAsia="Arial" w:hAnsiTheme="majorHAnsi" w:cs="Arial"/>
          <w:noProof/>
        </w:rPr>
      </w:pPr>
      <w:r>
        <w:rPr>
          <w:rFonts w:asciiTheme="majorHAnsi" w:hAnsiTheme="majorHAnsi"/>
          <w:noProof/>
          <w:color w:val="000000"/>
        </w:rPr>
        <w:t xml:space="preserve">KIPRA </w:t>
      </w:r>
    </w:p>
    <w:p w:rsidR="003E022D" w:rsidRDefault="007D19D6">
      <w:pPr>
        <w:spacing w:before="251"/>
        <w:ind w:left="610"/>
        <w:rPr>
          <w:rFonts w:asciiTheme="majorHAnsi" w:eastAsia="Arial" w:hAnsiTheme="majorHAnsi" w:cs="Arial"/>
          <w:noProof/>
        </w:rPr>
      </w:pPr>
      <w:r>
        <w:rPr>
          <w:rFonts w:asciiTheme="majorHAnsi" w:hAnsiTheme="majorHAnsi"/>
          <w:noProof/>
          <w:color w:val="000000"/>
        </w:rPr>
        <w:t xml:space="preserve">ČEHIJAS REPUBLIKA </w:t>
      </w:r>
    </w:p>
    <w:p w:rsidR="003E022D" w:rsidRDefault="007D19D6">
      <w:pPr>
        <w:spacing w:before="251"/>
        <w:ind w:left="610"/>
        <w:rPr>
          <w:rFonts w:asciiTheme="majorHAnsi" w:eastAsia="Arial" w:hAnsiTheme="majorHAnsi" w:cs="Arial"/>
          <w:noProof/>
          <w:color w:val="000000"/>
        </w:rPr>
      </w:pPr>
      <w:r>
        <w:rPr>
          <w:rFonts w:asciiTheme="majorHAnsi" w:hAnsiTheme="majorHAnsi"/>
          <w:noProof/>
          <w:color w:val="000000"/>
        </w:rPr>
        <w:t xml:space="preserve">FRANCIJA </w:t>
      </w:r>
    </w:p>
    <w:p w:rsidR="003E022D" w:rsidRDefault="007D19D6">
      <w:pPr>
        <w:spacing w:before="251"/>
        <w:ind w:left="610"/>
        <w:rPr>
          <w:rFonts w:asciiTheme="majorHAnsi" w:eastAsia="Arial" w:hAnsiTheme="majorHAnsi" w:cs="Arial"/>
          <w:noProof/>
        </w:rPr>
      </w:pPr>
      <w:r>
        <w:rPr>
          <w:rFonts w:asciiTheme="majorHAnsi" w:hAnsiTheme="majorHAnsi"/>
          <w:noProof/>
          <w:color w:val="000000"/>
        </w:rPr>
        <w:t xml:space="preserve">VĀCIJA </w:t>
      </w:r>
    </w:p>
    <w:p w:rsidR="003E022D" w:rsidRDefault="007D19D6">
      <w:pPr>
        <w:spacing w:before="251"/>
        <w:ind w:left="610"/>
        <w:rPr>
          <w:rFonts w:asciiTheme="majorHAnsi" w:eastAsia="Arial" w:hAnsiTheme="majorHAnsi" w:cs="Arial"/>
          <w:noProof/>
        </w:rPr>
      </w:pPr>
      <w:r>
        <w:rPr>
          <w:rFonts w:asciiTheme="majorHAnsi" w:hAnsiTheme="majorHAnsi"/>
          <w:noProof/>
          <w:color w:val="000000"/>
        </w:rPr>
        <w:t xml:space="preserve">GRIEĶIJA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UNGĀRIJA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LUKSEMBURGA </w:t>
      </w:r>
    </w:p>
    <w:p w:rsidR="003E022D" w:rsidRDefault="007D19D6">
      <w:pPr>
        <w:spacing w:before="251"/>
        <w:ind w:left="602"/>
        <w:rPr>
          <w:rFonts w:asciiTheme="majorHAnsi" w:eastAsia="Arial" w:hAnsiTheme="majorHAnsi" w:cs="Arial"/>
          <w:noProof/>
        </w:rPr>
      </w:pPr>
      <w:r>
        <w:rPr>
          <w:rFonts w:asciiTheme="majorHAnsi" w:hAnsiTheme="majorHAnsi"/>
          <w:noProof/>
          <w:color w:val="000000"/>
        </w:rPr>
        <w:t xml:space="preserve">NĪDERLANDE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POLIJA </w:t>
      </w:r>
    </w:p>
    <w:p w:rsidR="003E022D" w:rsidRDefault="007D19D6">
      <w:pPr>
        <w:spacing w:before="251"/>
        <w:ind w:left="608"/>
        <w:rPr>
          <w:rFonts w:asciiTheme="majorHAnsi" w:eastAsia="Arial" w:hAnsiTheme="majorHAnsi" w:cs="Arial"/>
          <w:noProof/>
          <w:color w:val="000000"/>
        </w:rPr>
      </w:pPr>
      <w:r>
        <w:rPr>
          <w:rFonts w:asciiTheme="majorHAnsi" w:hAnsiTheme="majorHAnsi"/>
          <w:noProof/>
          <w:color w:val="000000"/>
        </w:rPr>
        <w:t>SLOVĒNIJA</w:t>
      </w:r>
    </w:p>
    <w:p w:rsidR="003E022D" w:rsidRDefault="007D19D6">
      <w:pPr>
        <w:spacing w:before="249"/>
        <w:ind w:left="608"/>
        <w:rPr>
          <w:rFonts w:asciiTheme="majorHAnsi" w:eastAsia="Arial" w:hAnsiTheme="majorHAnsi" w:cs="Arial"/>
          <w:noProof/>
        </w:rPr>
      </w:pPr>
      <w:r>
        <w:rPr>
          <w:rFonts w:asciiTheme="majorHAnsi" w:hAnsiTheme="majorHAnsi"/>
          <w:noProof/>
          <w:color w:val="000000"/>
        </w:rPr>
        <w:t xml:space="preserve">SPĀNIJA </w:t>
      </w:r>
    </w:p>
    <w:p w:rsidR="003E022D" w:rsidRDefault="007D19D6">
      <w:pPr>
        <w:spacing w:before="251"/>
        <w:ind w:left="608"/>
        <w:rPr>
          <w:rFonts w:asciiTheme="majorHAnsi" w:eastAsia="Arial" w:hAnsiTheme="majorHAnsi" w:cs="Arial"/>
          <w:noProof/>
        </w:rPr>
      </w:pPr>
      <w:r>
        <w:rPr>
          <w:rFonts w:asciiTheme="majorHAnsi" w:hAnsiTheme="majorHAnsi"/>
          <w:noProof/>
          <w:color w:val="000000"/>
        </w:rPr>
        <w:t xml:space="preserve">ZVIEDRIJA </w:t>
      </w:r>
    </w:p>
    <w:p w:rsidR="003E022D" w:rsidRDefault="007D19D6">
      <w:pPr>
        <w:rPr>
          <w:rFonts w:asciiTheme="majorHAnsi" w:eastAsia="Arial" w:hAnsiTheme="majorHAnsi" w:cs="Arial"/>
          <w:noProof/>
        </w:rPr>
      </w:pPr>
      <w:r>
        <w:rPr>
          <w:noProof/>
        </w:rPr>
        <w:br w:type="page"/>
      </w:r>
    </w:p>
    <w:p w:rsidR="003E022D" w:rsidRDefault="007D19D6">
      <w:pPr>
        <w:pStyle w:val="ANNEX"/>
        <w:rPr>
          <w:noProof/>
        </w:rPr>
      </w:pPr>
      <w:bookmarkStart w:id="1472" w:name="_Toc59110610"/>
      <w:bookmarkStart w:id="1473" w:name="_Toc59988449"/>
      <w:r>
        <w:rPr>
          <w:noProof/>
        </w:rPr>
        <w:t>SSC-4. PIELIKUMS. GADĪJUMI, KAD PROPORCIONĀLO APRĒĶINU NEIZMANTO VAI TAS NAV PIEMĒROJAMS</w:t>
      </w:r>
      <w:bookmarkEnd w:id="1472"/>
      <w:bookmarkEnd w:id="1473"/>
    </w:p>
    <w:p w:rsidR="003E022D" w:rsidRDefault="007D19D6">
      <w:pPr>
        <w:pStyle w:val="Article"/>
        <w:rPr>
          <w:noProof/>
        </w:rPr>
      </w:pPr>
      <w:r>
        <w:rPr>
          <w:noProof/>
        </w:rPr>
        <w:t xml:space="preserve">(SSC.47. panta </w:t>
      </w:r>
      <w:r>
        <w:rPr>
          <w:noProof/>
        </w:rPr>
        <w:t>[Pabalstu piešķiršana] 4. punkts un 47. panta 5. punkts )</w:t>
      </w:r>
    </w:p>
    <w:p w:rsidR="003E022D" w:rsidRDefault="007D19D6">
      <w:pPr>
        <w:pStyle w:val="Part"/>
        <w:rPr>
          <w:rFonts w:asciiTheme="majorHAnsi" w:hAnsiTheme="majorHAnsi" w:cstheme="majorHAnsi"/>
          <w:smallCaps/>
          <w:noProof/>
          <w:color w:val="000000"/>
        </w:rPr>
      </w:pPr>
      <w:r>
        <w:rPr>
          <w:rFonts w:asciiTheme="majorHAnsi" w:hAnsiTheme="majorHAnsi"/>
          <w:noProof/>
          <w:sz w:val="22"/>
          <w:szCs w:val="22"/>
        </w:rPr>
        <w:t xml:space="preserve">1. DAĻA. </w:t>
      </w:r>
      <w:r>
        <w:rPr>
          <w:rFonts w:asciiTheme="majorHAnsi" w:hAnsiTheme="majorHAnsi"/>
          <w:noProof/>
        </w:rPr>
        <w:t>GADĪJUMI, KAD SASKAŅĀ AR SSC.47. panta [Pabalstu piešķiršana] 4. punktu PROPORCIONĀLO APRĒĶINU NEIZMANTO</w:t>
      </w:r>
    </w:p>
    <w:p w:rsidR="003E022D" w:rsidRDefault="007D19D6">
      <w:pPr>
        <w:spacing w:before="251" w:line="480" w:lineRule="auto"/>
        <w:ind w:left="604"/>
        <w:rPr>
          <w:rFonts w:asciiTheme="majorHAnsi" w:eastAsia="Arial" w:hAnsiTheme="majorHAnsi" w:cs="Arial"/>
          <w:noProof/>
        </w:rPr>
      </w:pPr>
      <w:r>
        <w:rPr>
          <w:rFonts w:asciiTheme="majorHAnsi" w:hAnsiTheme="majorHAnsi"/>
          <w:noProof/>
          <w:color w:val="000000"/>
        </w:rPr>
        <w:t xml:space="preserve">AUSTRIJA </w:t>
      </w:r>
    </w:p>
    <w:p w:rsidR="003E022D" w:rsidRDefault="007D19D6">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Visi pieteikumi pabalstiem saskaņā ar 1955. gada 9. septembra Federālo likumu par vispārējo sociālo apdrošināšanu – </w:t>
      </w:r>
      <w:r>
        <w:rPr>
          <w:rFonts w:asciiTheme="majorHAnsi" w:hAnsiTheme="majorHAnsi"/>
          <w:i/>
          <w:iCs/>
          <w:noProof/>
          <w:color w:val="000000"/>
        </w:rPr>
        <w:t>ASVG</w:t>
      </w:r>
      <w:r>
        <w:rPr>
          <w:rFonts w:asciiTheme="majorHAnsi" w:hAnsiTheme="majorHAnsi"/>
          <w:noProof/>
          <w:color w:val="000000"/>
        </w:rPr>
        <w:t xml:space="preserve">, 1978. gada 11. oktobra Federālo likumu par tirdzniecībā un komercdarbībā iesaistītu pašnodarbinātu personu sociālo apdrošināšanu – </w:t>
      </w:r>
      <w:r>
        <w:rPr>
          <w:rFonts w:asciiTheme="majorHAnsi" w:hAnsiTheme="majorHAnsi"/>
          <w:i/>
          <w:iCs/>
          <w:noProof/>
          <w:color w:val="000000"/>
        </w:rPr>
        <w:t>GSV</w:t>
      </w:r>
      <w:r>
        <w:rPr>
          <w:rFonts w:asciiTheme="majorHAnsi" w:hAnsiTheme="majorHAnsi"/>
          <w:i/>
          <w:iCs/>
          <w:noProof/>
          <w:color w:val="000000"/>
        </w:rPr>
        <w:t>G</w:t>
      </w:r>
      <w:r>
        <w:rPr>
          <w:rFonts w:asciiTheme="majorHAnsi" w:hAnsiTheme="majorHAnsi"/>
          <w:noProof/>
          <w:color w:val="000000"/>
        </w:rPr>
        <w:t xml:space="preserve">, 1978. gada 11. oktobra Federālo likumu par pašnodarbinātu lauksaimnieku sociālo apdrošināšanu – </w:t>
      </w:r>
      <w:r>
        <w:rPr>
          <w:rFonts w:asciiTheme="majorHAnsi" w:hAnsiTheme="majorHAnsi"/>
          <w:i/>
          <w:iCs/>
          <w:noProof/>
          <w:color w:val="000000"/>
        </w:rPr>
        <w:t>BSGV</w:t>
      </w:r>
      <w:r>
        <w:rPr>
          <w:rFonts w:asciiTheme="majorHAnsi" w:hAnsiTheme="majorHAnsi"/>
          <w:noProof/>
          <w:color w:val="000000"/>
        </w:rPr>
        <w:t xml:space="preserve"> un 1978. gada 30. novembra Federālo likumu par pašnodarbināto brīvo profesiju pārstāvju sociālo apdrošināšanu (</w:t>
      </w:r>
      <w:r>
        <w:rPr>
          <w:rFonts w:asciiTheme="majorHAnsi" w:hAnsiTheme="majorHAnsi"/>
          <w:i/>
          <w:iCs/>
          <w:noProof/>
          <w:color w:val="000000"/>
        </w:rPr>
        <w:t>FSVG</w:t>
      </w:r>
      <w:r>
        <w:rPr>
          <w:rFonts w:asciiTheme="majorHAnsi" w:hAnsiTheme="majorHAnsi"/>
          <w:noProof/>
          <w:color w:val="000000"/>
        </w:rPr>
        <w:t>);</w:t>
      </w:r>
    </w:p>
    <w:p w:rsidR="003E022D" w:rsidRDefault="007D19D6">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visi pieteikumi apgādnieka zaudēju</w:t>
      </w:r>
      <w:r>
        <w:rPr>
          <w:rFonts w:asciiTheme="majorHAnsi" w:hAnsiTheme="majorHAnsi"/>
          <w:noProof/>
          <w:color w:val="000000"/>
        </w:rPr>
        <w:t>ma pensijai no pensijas konta saskaņā ar 2004. gada 18. novembra Vispārējo pensiju likumu (</w:t>
      </w:r>
      <w:r>
        <w:rPr>
          <w:rFonts w:asciiTheme="majorHAnsi" w:hAnsiTheme="majorHAnsi"/>
          <w:i/>
          <w:iCs/>
          <w:noProof/>
          <w:color w:val="000000"/>
        </w:rPr>
        <w:t>APG</w:t>
      </w:r>
      <w:r>
        <w:rPr>
          <w:rFonts w:asciiTheme="majorHAnsi" w:hAnsiTheme="majorHAnsi"/>
          <w:noProof/>
          <w:color w:val="000000"/>
        </w:rPr>
        <w:t>), izņemot gadījumus, kad piemēro 2. daļu;</w:t>
      </w:r>
    </w:p>
    <w:p w:rsidR="003E022D" w:rsidRDefault="007D19D6">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visi pieteikumi Austrijas Provinču ārstu palātas (</w:t>
      </w:r>
      <w:r>
        <w:rPr>
          <w:rFonts w:asciiTheme="majorHAnsi" w:hAnsiTheme="majorHAnsi"/>
          <w:i/>
          <w:noProof/>
          <w:color w:val="000000"/>
        </w:rPr>
        <w:t>Landesärztekammer</w:t>
      </w:r>
      <w:r>
        <w:rPr>
          <w:rFonts w:asciiTheme="majorHAnsi" w:hAnsiTheme="majorHAnsi"/>
          <w:noProof/>
          <w:color w:val="000000"/>
        </w:rPr>
        <w:t>) apgādnieka zaudējuma pensijai, kas balstās uz pama</w:t>
      </w:r>
      <w:r>
        <w:rPr>
          <w:rFonts w:asciiTheme="majorHAnsi" w:hAnsiTheme="majorHAnsi"/>
          <w:noProof/>
          <w:color w:val="000000"/>
        </w:rPr>
        <w:t>tnoteikumiem (pamata un jebkādi papildu pabalsti vai pamata pensija);</w:t>
      </w:r>
    </w:p>
    <w:p w:rsidR="003E022D" w:rsidRDefault="007D19D6">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visi pieteikumi apgādnieka zaudējuma pabalstam, ko izmaksā no Austrijas Veterinārārstu palātas pensiju fonda; </w:t>
      </w:r>
    </w:p>
    <w:p w:rsidR="003E022D" w:rsidRDefault="007D19D6">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visi pieteikumi atraitņu un bāreņu pensiju saņemšanai atbilstīgi Austrijas </w:t>
      </w:r>
      <w:r>
        <w:rPr>
          <w:rFonts w:asciiTheme="majorHAnsi" w:hAnsiTheme="majorHAnsi"/>
          <w:noProof/>
          <w:color w:val="000000"/>
        </w:rPr>
        <w:t xml:space="preserve">Juristu asociāciju sociālā nodrošinājuma iestāžu statūtu A daļai; </w:t>
      </w:r>
    </w:p>
    <w:p w:rsidR="003E022D" w:rsidRDefault="007D19D6">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visi pieteikumi pabalstam saskaņā ar 1972. gada 3. februāra Notāru apdrošināšanas likumu – </w:t>
      </w:r>
      <w:r>
        <w:rPr>
          <w:rFonts w:asciiTheme="majorHAnsi" w:hAnsiTheme="majorHAnsi"/>
          <w:i/>
          <w:iCs/>
          <w:noProof/>
          <w:color w:val="000000"/>
        </w:rPr>
        <w:t>NVG</w:t>
      </w:r>
      <w:r>
        <w:rPr>
          <w:rFonts w:asciiTheme="majorHAnsi" w:hAnsiTheme="majorHAnsi"/>
          <w:noProof/>
          <w:color w:val="000000"/>
        </w:rPr>
        <w:t xml:space="preserve"> 1972. </w:t>
      </w:r>
    </w:p>
    <w:p w:rsidR="003E022D" w:rsidRDefault="007D19D6">
      <w:pPr>
        <w:pBdr>
          <w:top w:val="nil"/>
          <w:left w:val="nil"/>
          <w:bottom w:val="nil"/>
          <w:right w:val="nil"/>
          <w:between w:val="nil"/>
        </w:pBdr>
        <w:spacing w:before="48"/>
        <w:ind w:firstLine="624"/>
        <w:rPr>
          <w:rFonts w:asciiTheme="majorHAnsi" w:hAnsiTheme="majorHAnsi"/>
          <w:noProof/>
        </w:rPr>
      </w:pPr>
      <w:r>
        <w:rPr>
          <w:rFonts w:asciiTheme="majorHAnsi" w:hAnsiTheme="majorHAnsi"/>
          <w:noProof/>
          <w:color w:val="000000"/>
        </w:rPr>
        <w:t xml:space="preserve">KIPRA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Visi pieteikumi vecuma pensijām, atraitnes un atraitņa pensijām. </w:t>
      </w:r>
    </w:p>
    <w:p w:rsidR="003E022D" w:rsidRDefault="007D19D6">
      <w:pPr>
        <w:spacing w:before="48" w:line="480" w:lineRule="auto"/>
        <w:ind w:left="624"/>
        <w:rPr>
          <w:rFonts w:asciiTheme="majorHAnsi" w:eastAsia="Arial" w:hAnsiTheme="majorHAnsi" w:cs="Arial"/>
          <w:noProof/>
        </w:rPr>
      </w:pPr>
      <w:r>
        <w:rPr>
          <w:rFonts w:asciiTheme="majorHAnsi" w:hAnsiTheme="majorHAnsi"/>
          <w:noProof/>
          <w:color w:val="000000"/>
        </w:rPr>
        <w:t xml:space="preserve">DĀNIJA </w:t>
      </w:r>
    </w:p>
    <w:p w:rsidR="003E022D" w:rsidRDefault="007D19D6">
      <w:pPr>
        <w:spacing w:before="251"/>
        <w:rPr>
          <w:rFonts w:asciiTheme="majorHAnsi" w:eastAsia="Arial" w:hAnsiTheme="majorHAnsi" w:cs="Arial"/>
          <w:noProof/>
        </w:rPr>
      </w:pPr>
      <w:r>
        <w:rPr>
          <w:rFonts w:asciiTheme="majorHAnsi" w:hAnsiTheme="majorHAnsi"/>
          <w:noProof/>
        </w:rPr>
        <w:t xml:space="preserve">Visi pieteikumi uz pensijām, kas minētas likumā par sociālajām pensijām, izņemot pensijas, kas minētas </w:t>
      </w:r>
      <w:r>
        <w:rPr>
          <w:rFonts w:asciiTheme="majorHAnsi" w:hAnsiTheme="majorHAnsi"/>
          <w:noProof/>
          <w:color w:val="000000"/>
        </w:rPr>
        <w:t>[ SSC-5 pielikumā ] [PABALSTI UN NOLĪGUMI, KAS ĻAUJ PIEMĒROT SSC.49. pantu [Viena veida pabalstu pārklāšanās]</w:t>
      </w:r>
      <w:r>
        <w:rPr>
          <w:rFonts w:asciiTheme="majorHAnsi" w:hAnsiTheme="majorHAnsi"/>
          <w:noProof/>
        </w:rPr>
        <w:t>]</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ĪRIJA </w:t>
      </w:r>
    </w:p>
    <w:p w:rsidR="003E022D" w:rsidRDefault="007D19D6">
      <w:pPr>
        <w:spacing w:before="251"/>
        <w:rPr>
          <w:rFonts w:asciiTheme="majorHAnsi" w:eastAsia="Arial" w:hAnsiTheme="majorHAnsi" w:cs="Arial"/>
          <w:noProof/>
        </w:rPr>
      </w:pPr>
      <w:r>
        <w:rPr>
          <w:rFonts w:asciiTheme="majorHAnsi" w:hAnsiTheme="majorHAnsi"/>
          <w:noProof/>
        </w:rPr>
        <w:t>Visi pieteikumi valsts pensijām (uz</w:t>
      </w:r>
      <w:r>
        <w:rPr>
          <w:rFonts w:asciiTheme="majorHAnsi" w:hAnsiTheme="majorHAnsi"/>
          <w:noProof/>
        </w:rPr>
        <w:t xml:space="preserve"> pāreju balstītām), valsts pensijām (uz iemaksām balstītām), atraitnes pensijām (uz iemaksām balstītām) un atraitņa (uz iemaksām balstītām) pensijām.</w:t>
      </w:r>
      <w:r>
        <w:rPr>
          <w:rFonts w:asciiTheme="majorHAnsi" w:hAnsiTheme="majorHAnsi"/>
          <w:noProof/>
          <w:color w:val="000000"/>
        </w:rPr>
        <w:t xml:space="preserve">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LATVIJA </w:t>
      </w:r>
    </w:p>
    <w:p w:rsidR="003E022D" w:rsidRDefault="007D19D6">
      <w:pPr>
        <w:numPr>
          <w:ilvl w:val="0"/>
          <w:numId w:val="110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Visi pieteikumi apgādnieka zaudējuma pensijām (1996. gada 1. janvāra likums “Par valsts pensijām</w:t>
      </w:r>
      <w:r>
        <w:rPr>
          <w:rFonts w:asciiTheme="majorHAnsi" w:hAnsiTheme="majorHAnsi"/>
          <w:noProof/>
          <w:color w:val="000000"/>
        </w:rPr>
        <w:t xml:space="preserve">”; 2001. gada 1. jūlija Valsts fondēto pensiju likums).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LIETUVA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Visi pieteikumi valsts sociālās apdrošināšanas apgādnieka zaudējuma pensijām, kas aprēķinātas, balstoties uz apgādnieka zaudējuma pensijas pamatsummu (Likums par valsts sociālās apdrošināšanas pensijām).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NĪDERLANDE </w:t>
      </w:r>
    </w:p>
    <w:p w:rsidR="003E022D" w:rsidRDefault="007D19D6">
      <w:pPr>
        <w:spacing w:before="251"/>
        <w:rPr>
          <w:rFonts w:asciiTheme="majorHAnsi" w:eastAsia="Arial" w:hAnsiTheme="majorHAnsi" w:cs="Arial"/>
          <w:noProof/>
        </w:rPr>
      </w:pPr>
      <w:r>
        <w:rPr>
          <w:rFonts w:asciiTheme="majorHAnsi" w:hAnsiTheme="majorHAnsi"/>
          <w:noProof/>
          <w:color w:val="000000"/>
        </w:rPr>
        <w:t>Visi pieteikumi vecuma pensijām saskaņā</w:t>
      </w:r>
      <w:r>
        <w:rPr>
          <w:rFonts w:asciiTheme="majorHAnsi" w:hAnsiTheme="majorHAnsi"/>
          <w:noProof/>
          <w:color w:val="000000"/>
        </w:rPr>
        <w:t xml:space="preserve"> ar likumu par vispārējo vecuma apdrošināšanu (</w:t>
      </w:r>
      <w:r>
        <w:rPr>
          <w:rFonts w:asciiTheme="majorHAnsi" w:hAnsiTheme="majorHAnsi"/>
          <w:i/>
          <w:noProof/>
          <w:color w:val="000000"/>
        </w:rPr>
        <w:t>AOW</w:t>
      </w:r>
      <w:r>
        <w:rPr>
          <w:rFonts w:asciiTheme="majorHAnsi" w:hAnsiTheme="majorHAnsi"/>
          <w:noProof/>
          <w:color w:val="000000"/>
        </w:rPr>
        <w:t xml:space="preserve">). </w:t>
      </w:r>
    </w:p>
    <w:p w:rsidR="003E022D" w:rsidRDefault="007D19D6">
      <w:pPr>
        <w:spacing w:before="248" w:after="0" w:line="480" w:lineRule="auto"/>
        <w:ind w:left="614" w:hanging="2"/>
        <w:rPr>
          <w:rFonts w:asciiTheme="majorHAnsi" w:eastAsia="Arial" w:hAnsiTheme="majorHAnsi" w:cs="Arial"/>
          <w:noProof/>
        </w:rPr>
      </w:pPr>
      <w:r>
        <w:rPr>
          <w:rFonts w:asciiTheme="majorHAnsi" w:hAnsiTheme="majorHAnsi"/>
          <w:noProof/>
          <w:color w:val="000000"/>
        </w:rPr>
        <w:t xml:space="preserve">POLIJA </w:t>
      </w:r>
    </w:p>
    <w:p w:rsidR="003E022D" w:rsidRDefault="007D19D6">
      <w:pPr>
        <w:rPr>
          <w:rFonts w:asciiTheme="majorHAnsi" w:eastAsia="Arial" w:hAnsiTheme="majorHAnsi" w:cs="Arial"/>
          <w:noProof/>
        </w:rPr>
      </w:pPr>
      <w:r>
        <w:rPr>
          <w:rFonts w:asciiTheme="majorHAnsi" w:hAnsiTheme="majorHAnsi"/>
          <w:noProof/>
          <w:color w:val="000000"/>
        </w:rPr>
        <w:t>Visi pieteikumi vecuma pensijām saskaņā ar noteikto pabalstu sistēmu un apgādnieka zaudējuma pensijām, izņemot gadījumus, kad kopējais to apdrošināšanas periodu ilgums, kas izpildīti saskaņā ar vairāk nekā vienas valsts tiesību aktiem, ir vienāds vai ilgāk</w:t>
      </w:r>
      <w:r>
        <w:rPr>
          <w:rFonts w:asciiTheme="majorHAnsi" w:hAnsiTheme="majorHAnsi"/>
          <w:noProof/>
          <w:color w:val="000000"/>
        </w:rPr>
        <w:t>s par 20 gadiem sievietēm un par 25 gadiem vīriešiem, bet valsts apdrošināšanas periodi ir īsāki par šīm robežvērtībām (un ne īsāki par 15 gadiem sievietēm un 20 gadiem vīriešiem) un kad aprēķinu veic saskaņā ar 27. un 28. pantu 1998. gada 17. decembra lik</w:t>
      </w:r>
      <w:r>
        <w:rPr>
          <w:rFonts w:asciiTheme="majorHAnsi" w:hAnsiTheme="majorHAnsi"/>
          <w:noProof/>
          <w:color w:val="000000"/>
        </w:rPr>
        <w:t xml:space="preserve">umā (OV 2015., 748. ieraksts). </w:t>
      </w:r>
    </w:p>
    <w:p w:rsidR="003E022D" w:rsidRDefault="007D19D6">
      <w:pPr>
        <w:spacing w:before="246"/>
        <w:ind w:left="619"/>
        <w:rPr>
          <w:rFonts w:asciiTheme="majorHAnsi" w:eastAsia="Arial" w:hAnsiTheme="majorHAnsi" w:cs="Arial"/>
          <w:noProof/>
        </w:rPr>
      </w:pPr>
      <w:r>
        <w:rPr>
          <w:rFonts w:asciiTheme="majorHAnsi" w:hAnsiTheme="majorHAnsi"/>
          <w:noProof/>
          <w:color w:val="000000"/>
        </w:rPr>
        <w:t xml:space="preserve">PORTUGĀLE </w:t>
      </w:r>
    </w:p>
    <w:p w:rsidR="003E022D" w:rsidRDefault="007D19D6">
      <w:pPr>
        <w:spacing w:before="251"/>
        <w:rPr>
          <w:rFonts w:asciiTheme="majorHAnsi" w:eastAsia="Arial" w:hAnsiTheme="majorHAnsi" w:cs="Arial"/>
          <w:noProof/>
        </w:rPr>
      </w:pPr>
      <w:r>
        <w:rPr>
          <w:rFonts w:asciiTheme="majorHAnsi" w:hAnsiTheme="majorHAnsi"/>
          <w:noProof/>
          <w:color w:val="000000"/>
        </w:rPr>
        <w:t>Visi pieteikumi vecuma un apgādnieka zaudējuma pensijas pieprasījumiem, izņemot gadījumus, kad kopējais to apdrošināšanas periodu ilgums, kas izpildīti saskaņā ar vairāk nekā vienas valsts tiesību aktiem, ir 21 ka</w:t>
      </w:r>
      <w:r>
        <w:rPr>
          <w:rFonts w:asciiTheme="majorHAnsi" w:hAnsiTheme="majorHAnsi"/>
          <w:noProof/>
          <w:color w:val="000000"/>
        </w:rPr>
        <w:t xml:space="preserve">lendārais gads vai lielāks par to, bet valsts apdrošināšanas periodi ir 20 gadi vai mazāks par to un kad aprēķinu veic saskaņā ar 32. un 33. pantu 2007. gada 10. maija Dekrētlikumā Nr. 187/2007. </w:t>
      </w:r>
    </w:p>
    <w:p w:rsidR="003E022D" w:rsidRDefault="007D19D6">
      <w:pPr>
        <w:spacing w:before="248"/>
        <w:ind w:left="608"/>
        <w:rPr>
          <w:rFonts w:asciiTheme="majorHAnsi" w:eastAsia="Arial" w:hAnsiTheme="majorHAnsi" w:cs="Arial"/>
          <w:noProof/>
        </w:rPr>
      </w:pPr>
      <w:r>
        <w:rPr>
          <w:rFonts w:asciiTheme="majorHAnsi" w:hAnsiTheme="majorHAnsi"/>
          <w:noProof/>
          <w:color w:val="000000"/>
        </w:rPr>
        <w:t xml:space="preserve">SLOVĀKIJA </w:t>
      </w:r>
    </w:p>
    <w:p w:rsidR="003E022D" w:rsidRDefault="007D19D6">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Visi pieteikumi apgādnieka zaudējuma pensijai (at</w:t>
      </w:r>
      <w:r>
        <w:rPr>
          <w:rFonts w:asciiTheme="majorHAnsi" w:hAnsiTheme="majorHAnsi"/>
          <w:noProof/>
          <w:color w:val="000000"/>
        </w:rPr>
        <w:t>raitnēm, atraitņiem, bāreņiem), ko aprēķina saskaņā ar tiesību aktiem, kas ir spēkā līdz 2004. gada 1. janvārim, un kuras apmēru nosaka pēc pensijas, ko iepriekš oficiāli maksāja mirušajam;</w:t>
      </w:r>
    </w:p>
    <w:p w:rsidR="003E022D" w:rsidRDefault="007D19D6">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visi pieteikumi pensijām, ko aprēķina saskaņā ar Likumu Nr. 461/20</w:t>
      </w:r>
      <w:r>
        <w:rPr>
          <w:rFonts w:asciiTheme="majorHAnsi" w:hAnsiTheme="majorHAnsi"/>
          <w:noProof/>
          <w:color w:val="000000"/>
        </w:rPr>
        <w:t xml:space="preserve">03 Coll. Par sociālo nodrošinājumu, ņemot vērā grozījumus. </w:t>
      </w:r>
    </w:p>
    <w:p w:rsidR="003E022D" w:rsidRDefault="007D19D6">
      <w:pPr>
        <w:spacing w:before="248"/>
        <w:ind w:left="608"/>
        <w:rPr>
          <w:rFonts w:asciiTheme="majorHAnsi" w:eastAsia="Arial" w:hAnsiTheme="majorHAnsi" w:cs="Arial"/>
          <w:noProof/>
        </w:rPr>
      </w:pPr>
      <w:r>
        <w:rPr>
          <w:rFonts w:asciiTheme="majorHAnsi" w:hAnsiTheme="majorHAnsi"/>
          <w:noProof/>
          <w:color w:val="000000"/>
        </w:rPr>
        <w:t xml:space="preserve">ZVIEDRIJA </w:t>
      </w:r>
    </w:p>
    <w:p w:rsidR="003E022D" w:rsidRDefault="007D19D6">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Pieteikumi vecuma pensijai garantētas pensijas veidā (Sociālās apdrošināšanas kodeksa 66. un 67. nodaļa);</w:t>
      </w:r>
    </w:p>
    <w:p w:rsidR="003E022D" w:rsidRDefault="007D19D6">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Pieteikumi vecuma pensijai papildu pensijas veidā (Sociālās apdrošināšanas kode</w:t>
      </w:r>
      <w:r>
        <w:rPr>
          <w:rFonts w:asciiTheme="majorHAnsi" w:hAnsiTheme="majorHAnsi"/>
          <w:noProof/>
          <w:color w:val="000000"/>
        </w:rPr>
        <w:t xml:space="preserve">ksa 63. nodaļa). </w:t>
      </w:r>
    </w:p>
    <w:p w:rsidR="003E022D" w:rsidRDefault="007D19D6">
      <w:pPr>
        <w:spacing w:before="248"/>
        <w:ind w:left="618"/>
        <w:rPr>
          <w:rFonts w:asciiTheme="majorHAnsi" w:eastAsia="Arial" w:hAnsiTheme="majorHAnsi" w:cs="Arial"/>
          <w:noProof/>
        </w:rPr>
      </w:pPr>
      <w:r>
        <w:rPr>
          <w:rFonts w:asciiTheme="majorHAnsi" w:hAnsiTheme="majorHAnsi"/>
          <w:noProof/>
          <w:color w:val="000000"/>
        </w:rPr>
        <w:t xml:space="preserve">APVIENOTĀ KARALISTE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Visi pieteikumi par izdienas pensiju, valsts pensiju saskaņā ar 2014. gada Likuma par pensijām 1. daļu, atraitņu pabalstu un apbedīšanas pabalstu, izņemot tos, attiecībā uz kuriem taksācijas gada laikā, kurš sākās 1975. gada 6. aprīlī vai vēlāk: </w:t>
      </w:r>
    </w:p>
    <w:p w:rsidR="003E022D" w:rsidRDefault="007D19D6">
      <w:pPr>
        <w:numPr>
          <w:ilvl w:val="0"/>
          <w:numId w:val="110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attiecīgā</w:t>
      </w:r>
      <w:r>
        <w:rPr>
          <w:rFonts w:asciiTheme="majorHAnsi" w:hAnsiTheme="majorHAnsi"/>
          <w:noProof/>
          <w:color w:val="000000"/>
        </w:rPr>
        <w:t xml:space="preserve"> persona ir bijusi izpildījusi apdrošināšanas, nodarbinātības vai dzīvesvietas periodus saskaņā ar Apvienotās Karalistes un kādas dalībvalsts tiesību aktiem; un viens (vai vairāki) no taksācijas gadiem nav uzskatīts par kvalificējošu gadu Apvienotās Karali</w:t>
      </w:r>
      <w:r>
        <w:rPr>
          <w:rFonts w:asciiTheme="majorHAnsi" w:hAnsiTheme="majorHAnsi"/>
          <w:noProof/>
          <w:color w:val="000000"/>
        </w:rPr>
        <w:t>stes tiesību aktu nozīmē;</w:t>
      </w:r>
    </w:p>
    <w:p w:rsidR="003E022D" w:rsidRDefault="007D19D6">
      <w:pPr>
        <w:numPr>
          <w:ilvl w:val="0"/>
          <w:numId w:val="1101"/>
        </w:numPr>
        <w:pBdr>
          <w:top w:val="nil"/>
          <w:left w:val="nil"/>
          <w:bottom w:val="nil"/>
          <w:right w:val="nil"/>
          <w:between w:val="nil"/>
        </w:pBdr>
        <w:spacing w:before="160" w:after="160" w:line="259" w:lineRule="auto"/>
        <w:ind w:left="1276" w:hanging="567"/>
        <w:rPr>
          <w:rFonts w:asciiTheme="majorHAnsi" w:eastAsia="Arial" w:hAnsiTheme="majorHAnsi" w:cs="Arial"/>
          <w:noProof/>
          <w:color w:val="000000"/>
        </w:rPr>
      </w:pPr>
      <w:r>
        <w:rPr>
          <w:rFonts w:asciiTheme="majorHAnsi" w:hAnsiTheme="majorHAnsi"/>
          <w:noProof/>
          <w:color w:val="000000"/>
        </w:rPr>
        <w:t>apdrošināšanas periodus, kas izpildīti saskaņā ar Apvienotajā Karalistē spēkā esošajiem tiesību aktiem attiecībā uz periodiem pirms 1948. gada 5. jūlija, ņemtu vērā protokola SSC.47. panta 1. punkta b) apakšpunkta nolūkā, piemēroj</w:t>
      </w:r>
      <w:r>
        <w:rPr>
          <w:rFonts w:asciiTheme="majorHAnsi" w:hAnsiTheme="majorHAnsi"/>
          <w:noProof/>
          <w:color w:val="000000"/>
        </w:rPr>
        <w:t xml:space="preserve">ot apdrošināšanas, nodarbinātības vai dzīvesvietas periodus saskaņā ar citas dalībvalsts tiesību aktiem. </w:t>
      </w:r>
    </w:p>
    <w:p w:rsidR="003E022D" w:rsidRDefault="007D19D6">
      <w:pPr>
        <w:spacing w:before="251"/>
        <w:rPr>
          <w:rFonts w:asciiTheme="majorHAnsi" w:eastAsia="Arial" w:hAnsiTheme="majorHAnsi" w:cs="Arial"/>
          <w:noProof/>
        </w:rPr>
      </w:pPr>
      <w:r>
        <w:rPr>
          <w:rFonts w:asciiTheme="majorHAnsi" w:hAnsiTheme="majorHAnsi"/>
          <w:noProof/>
          <w:color w:val="000000"/>
        </w:rPr>
        <w:t>Visi pieteikumi par papildu pensiju saskaņā ar 1992. gada Sociālās apdrošināšanas iemaksu un pabalstu likuma 44. iedaļu un 1992. gada Sociālās apdroši</w:t>
      </w:r>
      <w:r>
        <w:rPr>
          <w:rFonts w:asciiTheme="majorHAnsi" w:hAnsiTheme="majorHAnsi"/>
          <w:noProof/>
          <w:color w:val="000000"/>
        </w:rPr>
        <w:t xml:space="preserve">nāšanas iemaksu un pabalstu (Ziemeļīrija) likuma 44. iedaļu. </w:t>
      </w:r>
    </w:p>
    <w:p w:rsidR="003E022D" w:rsidRDefault="007D19D6">
      <w:pPr>
        <w:pStyle w:val="Part"/>
        <w:rPr>
          <w:rFonts w:asciiTheme="majorHAnsi" w:hAnsiTheme="majorHAnsi"/>
          <w:smallCaps/>
          <w:noProof/>
        </w:rPr>
      </w:pPr>
      <w:r>
        <w:rPr>
          <w:rFonts w:asciiTheme="majorHAnsi" w:hAnsiTheme="majorHAnsi"/>
          <w:smallCaps/>
          <w:noProof/>
          <w:color w:val="000000"/>
          <w:sz w:val="22"/>
          <w:szCs w:val="22"/>
        </w:rPr>
        <w:t xml:space="preserve">2. DAĻA. GADĪJUMI, KAD PIEMĒRO SSC.47. panta [Pabalstu piešķiršana] 5. punktu </w:t>
      </w:r>
    </w:p>
    <w:p w:rsidR="003E022D" w:rsidRDefault="007D19D6">
      <w:pPr>
        <w:spacing w:before="251"/>
        <w:ind w:left="604"/>
        <w:rPr>
          <w:rFonts w:asciiTheme="majorHAnsi" w:eastAsia="Arial" w:hAnsiTheme="majorHAnsi" w:cs="Arial"/>
          <w:noProof/>
        </w:rPr>
      </w:pPr>
      <w:r>
        <w:rPr>
          <w:rFonts w:asciiTheme="majorHAnsi" w:hAnsiTheme="majorHAnsi"/>
          <w:noProof/>
          <w:color w:val="000000"/>
        </w:rPr>
        <w:t xml:space="preserve">AUSTRIJA </w:t>
      </w:r>
    </w:p>
    <w:p w:rsidR="003E022D" w:rsidRDefault="007D19D6">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Vecuma pensija un no tās iegūts apgādnieka zaudējuma pabalsts, kuru pamatā ir pensijas konts atbilstīgi </w:t>
      </w:r>
      <w:r>
        <w:rPr>
          <w:rFonts w:asciiTheme="majorHAnsi" w:hAnsiTheme="majorHAnsi"/>
          <w:noProof/>
          <w:color w:val="000000"/>
        </w:rPr>
        <w:t>2004. gada 18. novembra Vispārējo pensiju likumam (</w:t>
      </w:r>
      <w:r>
        <w:rPr>
          <w:rFonts w:asciiTheme="majorHAnsi" w:hAnsiTheme="majorHAnsi"/>
          <w:i/>
          <w:iCs/>
          <w:noProof/>
          <w:color w:val="000000"/>
        </w:rPr>
        <w:t>APG</w:t>
      </w:r>
      <w:r>
        <w:rPr>
          <w:rFonts w:asciiTheme="majorHAnsi" w:hAnsiTheme="majorHAnsi"/>
          <w:noProof/>
          <w:color w:val="000000"/>
        </w:rPr>
        <w:t>);</w:t>
      </w:r>
    </w:p>
    <w:p w:rsidR="003E022D" w:rsidRDefault="007D19D6">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obligātās izmaksas saskaņā ar 41. pantu 2001. gada 28. decembra Federālajā likumā BGB1 I Nr. 154 par vispārējo Austrijas farmaceitu algu fondu (</w:t>
      </w:r>
      <w:r>
        <w:rPr>
          <w:rFonts w:asciiTheme="majorHAnsi" w:hAnsiTheme="majorHAnsi"/>
          <w:i/>
          <w:noProof/>
          <w:color w:val="000000"/>
        </w:rPr>
        <w:t>Pharmazeutische Gehaltskasse für Österreich</w:t>
      </w:r>
      <w:r>
        <w:rPr>
          <w:rFonts w:asciiTheme="majorHAnsi" w:hAnsiTheme="majorHAnsi"/>
          <w:noProof/>
          <w:color w:val="000000"/>
        </w:rPr>
        <w:t>);</w:t>
      </w:r>
    </w:p>
    <w:p w:rsidR="003E022D" w:rsidRDefault="007D19D6">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Austrijas</w:t>
      </w:r>
      <w:r>
        <w:rPr>
          <w:rFonts w:asciiTheme="majorHAnsi" w:hAnsiTheme="majorHAnsi"/>
          <w:noProof/>
          <w:color w:val="000000"/>
        </w:rPr>
        <w:t xml:space="preserve"> Provinču ārstu kameras izdienas pensija un priekšlaicīgas pensionēšanas pensijas, kas balstās uz pamatnoteikumiem (pamata un jebkādi papildu pabalsti vai pamata pensija), un visas Austrijas Provinču ārstu kameras pensijas, kas balstās uz papildu noteikumi</w:t>
      </w:r>
      <w:r>
        <w:rPr>
          <w:rFonts w:asciiTheme="majorHAnsi" w:hAnsiTheme="majorHAnsi"/>
          <w:noProof/>
          <w:color w:val="000000"/>
        </w:rPr>
        <w:t>em (papildu vai individuālā pensija);</w:t>
      </w:r>
    </w:p>
    <w:p w:rsidR="003E022D" w:rsidRDefault="007D19D6">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vecuma pabalsts, ko sniedz Austrijas Veterināro ķirurgu kameras pensiju fonds;</w:t>
      </w:r>
    </w:p>
    <w:p w:rsidR="003E022D" w:rsidRDefault="007D19D6">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pabalsti saskaņā ar A un B daļu Austrijas Juristu asociāciju sociālās nodrošinājuma iestāžu statūtos, izņemot pieteikumus atraitņu un bāreņ</w:t>
      </w:r>
      <w:r>
        <w:rPr>
          <w:rFonts w:asciiTheme="majorHAnsi" w:hAnsiTheme="majorHAnsi"/>
          <w:noProof/>
          <w:color w:val="000000"/>
        </w:rPr>
        <w:t>u pensiju saņemšanai atbilstīgi Austrijas Juristu asociāciju sociālā nodrošinājuma iestāžu statūtu A daļai;</w:t>
      </w:r>
    </w:p>
    <w:p w:rsidR="003E022D" w:rsidRDefault="007D19D6">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pabalsti, ko izmaksā Federālās arhitektu un konsultējošo inženieru kameras sociālā nodrošinājuma iestādes un kas paredzēti 1993. gada Austrijas </w:t>
      </w:r>
      <w:r>
        <w:rPr>
          <w:rFonts w:asciiTheme="majorHAnsi" w:hAnsiTheme="majorHAnsi"/>
          <w:noProof/>
          <w:color w:val="000000"/>
        </w:rPr>
        <w:t>Civilinženieru kameras aktā (</w:t>
      </w:r>
      <w:r>
        <w:rPr>
          <w:rFonts w:asciiTheme="majorHAnsi" w:hAnsiTheme="majorHAnsi"/>
          <w:i/>
          <w:noProof/>
          <w:color w:val="000000"/>
        </w:rPr>
        <w:t>Ziviltechnikerkammergesetz</w:t>
      </w:r>
      <w:r>
        <w:rPr>
          <w:rFonts w:asciiTheme="majorHAnsi" w:hAnsiTheme="majorHAnsi"/>
          <w:noProof/>
          <w:color w:val="000000"/>
        </w:rPr>
        <w:t>) un sociālā nodrošinājuma iestāžu statūtos, izņemot apgādnieku zaudējuma pabalstus, kas izriet no pēdējiem minētajiem pabalstiem;</w:t>
      </w:r>
    </w:p>
    <w:p w:rsidR="003E022D" w:rsidRDefault="007D19D6">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pabalsti, ko izmaksā saskaņā ar Federālās profesionālo grāmatvežu un n</w:t>
      </w:r>
      <w:r>
        <w:rPr>
          <w:rFonts w:asciiTheme="majorHAnsi" w:hAnsiTheme="majorHAnsi"/>
          <w:noProof/>
          <w:color w:val="000000"/>
        </w:rPr>
        <w:t>odokļu konsultantu kameras sociālā nodrošinājuma statūtiem, kā tas noteikts Austrijas profesionālo grāmatvežu un nodokļu konsultantu aktā (</w:t>
      </w:r>
      <w:r>
        <w:rPr>
          <w:rFonts w:asciiTheme="majorHAnsi" w:hAnsiTheme="majorHAnsi"/>
          <w:i/>
          <w:iCs/>
          <w:noProof/>
          <w:color w:val="000000"/>
        </w:rPr>
        <w:t>Wirtschaftstreuhandberufsgesetz</w:t>
      </w:r>
      <w:r>
        <w:rPr>
          <w:rFonts w:asciiTheme="majorHAnsi" w:hAnsiTheme="majorHAnsi"/>
          <w:noProof/>
          <w:color w:val="000000"/>
        </w:rPr>
        <w:t xml:space="preserve">).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BULGĀRIJA </w:t>
      </w:r>
    </w:p>
    <w:p w:rsidR="003E022D" w:rsidRDefault="007D19D6">
      <w:pPr>
        <w:spacing w:before="251"/>
        <w:rPr>
          <w:rFonts w:asciiTheme="majorHAnsi" w:eastAsia="Arial" w:hAnsiTheme="majorHAnsi" w:cs="Arial"/>
          <w:noProof/>
        </w:rPr>
      </w:pPr>
      <w:r>
        <w:rPr>
          <w:rFonts w:asciiTheme="majorHAnsi" w:hAnsiTheme="majorHAnsi"/>
          <w:noProof/>
          <w:color w:val="000000"/>
        </w:rPr>
        <w:t>Vecuma pensijas no obligātās pensiju papildapdrošināšanas saskaņā ar So</w:t>
      </w:r>
      <w:r>
        <w:rPr>
          <w:rFonts w:asciiTheme="majorHAnsi" w:hAnsiTheme="majorHAnsi"/>
          <w:noProof/>
          <w:color w:val="000000"/>
        </w:rPr>
        <w:t xml:space="preserve">ciālās apdrošināšanas kodeksa II daļas II sadaļu. </w:t>
      </w:r>
    </w:p>
    <w:p w:rsidR="003E022D" w:rsidRDefault="007D19D6">
      <w:pPr>
        <w:spacing w:before="248"/>
        <w:ind w:left="610"/>
        <w:rPr>
          <w:rFonts w:asciiTheme="majorHAnsi" w:eastAsia="Arial" w:hAnsiTheme="majorHAnsi" w:cs="Arial"/>
          <w:noProof/>
        </w:rPr>
      </w:pPr>
      <w:r>
        <w:rPr>
          <w:rFonts w:asciiTheme="majorHAnsi" w:hAnsiTheme="majorHAnsi"/>
          <w:noProof/>
          <w:color w:val="000000"/>
        </w:rPr>
        <w:t xml:space="preserve">HORVĀTIJA </w:t>
      </w:r>
    </w:p>
    <w:p w:rsidR="003E022D" w:rsidRDefault="007D19D6">
      <w:pPr>
        <w:spacing w:before="251"/>
        <w:rPr>
          <w:rFonts w:asciiTheme="majorHAnsi" w:eastAsia="Arial" w:hAnsiTheme="majorHAnsi" w:cs="Arial"/>
          <w:noProof/>
        </w:rPr>
      </w:pPr>
      <w:r>
        <w:rPr>
          <w:rFonts w:asciiTheme="majorHAnsi" w:hAnsiTheme="majorHAnsi"/>
          <w:noProof/>
          <w:color w:val="000000"/>
        </w:rPr>
        <w:t>Pensijas no obligātās apdrošināšanas sistēmas, pamatojoties uz individualizētiem kapitāla uzkrājumiem, saskaņā ar Likumu par obligātiem un brīvprātīgiem pensiju fondiem (OG 49/99, ar grozījumiem</w:t>
      </w:r>
      <w:r>
        <w:rPr>
          <w:rFonts w:asciiTheme="majorHAnsi" w:hAnsiTheme="majorHAnsi"/>
          <w:noProof/>
          <w:color w:val="000000"/>
        </w:rPr>
        <w:t>) un Likumu par valsts pensiju apdrošināšanu un pensiju izmaksu, ņemot par pamatu individualizētus kapitāla uzkrājumus (OG 106/99, ar grozījumiem), izņemot gadījumus, kas paredzēti 47. un 48. pantā Likumā par obligātiem un brīvprātīgiem pensiju fondiem (ap</w:t>
      </w:r>
      <w:r>
        <w:rPr>
          <w:rFonts w:asciiTheme="majorHAnsi" w:hAnsiTheme="majorHAnsi"/>
          <w:noProof/>
          <w:color w:val="000000"/>
        </w:rPr>
        <w:t xml:space="preserve">gādnieka zaudējuma pensija). </w:t>
      </w:r>
    </w:p>
    <w:p w:rsidR="003E022D" w:rsidRDefault="007D19D6">
      <w:pPr>
        <w:spacing w:before="248"/>
        <w:ind w:left="610"/>
        <w:rPr>
          <w:rFonts w:asciiTheme="majorHAnsi" w:eastAsia="Arial" w:hAnsiTheme="majorHAnsi" w:cs="Arial"/>
          <w:noProof/>
        </w:rPr>
      </w:pPr>
      <w:r>
        <w:rPr>
          <w:rFonts w:asciiTheme="majorHAnsi" w:hAnsiTheme="majorHAnsi"/>
          <w:noProof/>
          <w:color w:val="000000"/>
        </w:rPr>
        <w:t xml:space="preserve">ČEHIJAS REPUBLIKA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Pensijas, kuras izmaksā no otrā pīlāra shēmas, kas izveidota ar likumu Nr. 426/2011 Coll. par pensiju uzkrājumiem.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DĀNIJA </w:t>
      </w:r>
    </w:p>
    <w:p w:rsidR="003E022D" w:rsidRDefault="007D19D6">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Personālās pensijas;</w:t>
      </w:r>
    </w:p>
    <w:p w:rsidR="003E022D" w:rsidRDefault="007D19D6">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pabalsti nāves gadījumā (uzkrājums, kura pamatā ir iemaksas </w:t>
      </w:r>
      <w:r>
        <w:rPr>
          <w:rFonts w:asciiTheme="majorHAnsi" w:hAnsiTheme="majorHAnsi"/>
          <w:i/>
          <w:noProof/>
          <w:color w:val="000000"/>
        </w:rPr>
        <w:t>Arbejdsmarkedets Tillægspension</w:t>
      </w:r>
      <w:r>
        <w:rPr>
          <w:rFonts w:asciiTheme="majorHAnsi" w:hAnsiTheme="majorHAnsi"/>
          <w:noProof/>
          <w:color w:val="000000"/>
        </w:rPr>
        <w:t xml:space="preserve"> laikposmā pirms 2002. gada 1. janvāra);</w:t>
      </w:r>
    </w:p>
    <w:p w:rsidR="003E022D" w:rsidRDefault="007D19D6">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pabalsti nāves gadījumā (uzkrājums, kura pamatā ir iemaksas </w:t>
      </w:r>
      <w:r>
        <w:rPr>
          <w:rFonts w:asciiTheme="majorHAnsi" w:hAnsiTheme="majorHAnsi"/>
          <w:i/>
          <w:noProof/>
          <w:color w:val="000000"/>
        </w:rPr>
        <w:t>Arbejdsmarkedets Tillægspension</w:t>
      </w:r>
      <w:r>
        <w:rPr>
          <w:rFonts w:asciiTheme="majorHAnsi" w:hAnsiTheme="majorHAnsi"/>
          <w:noProof/>
          <w:color w:val="000000"/>
        </w:rPr>
        <w:t xml:space="preserve"> laikposmā pēc 2002. gada 1. janvāra), atsauces Darba tirgus papildu pensiju konsolidētajā li</w:t>
      </w:r>
      <w:r>
        <w:rPr>
          <w:rFonts w:asciiTheme="majorHAnsi" w:hAnsiTheme="majorHAnsi"/>
          <w:noProof/>
          <w:color w:val="000000"/>
        </w:rPr>
        <w:t>kumā (</w:t>
      </w:r>
      <w:r>
        <w:rPr>
          <w:rFonts w:asciiTheme="majorHAnsi" w:hAnsiTheme="majorHAnsi"/>
          <w:i/>
          <w:noProof/>
          <w:color w:val="000000"/>
        </w:rPr>
        <w:t>Arbejdsmarkedets Tillægspension</w:t>
      </w:r>
      <w:r>
        <w:rPr>
          <w:rFonts w:asciiTheme="majorHAnsi" w:hAnsiTheme="majorHAnsi"/>
          <w:noProof/>
          <w:color w:val="000000"/>
        </w:rPr>
        <w:t xml:space="preserve">) 942:2009.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IGAUNIJA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Obligāto maksājumu vecuma pensiju sistēma.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FRANCIJA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Pamata vai papildu sistēmas, kurās vecuma pabalstus aprēķina, ņemot vērā pensionēšanās punktus.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UNGĀRIJA </w:t>
      </w:r>
    </w:p>
    <w:p w:rsidR="003E022D" w:rsidRDefault="007D19D6">
      <w:pPr>
        <w:spacing w:before="251"/>
        <w:rPr>
          <w:rFonts w:asciiTheme="majorHAnsi" w:eastAsia="Arial" w:hAnsiTheme="majorHAnsi" w:cs="Arial"/>
          <w:noProof/>
        </w:rPr>
      </w:pPr>
      <w:r>
        <w:rPr>
          <w:rFonts w:asciiTheme="majorHAnsi" w:hAnsiTheme="majorHAnsi"/>
          <w:noProof/>
          <w:color w:val="000000"/>
        </w:rPr>
        <w:t>Pensijas pabalsti, kas balstās uz d</w:t>
      </w:r>
      <w:r>
        <w:rPr>
          <w:rFonts w:asciiTheme="majorHAnsi" w:hAnsiTheme="majorHAnsi"/>
          <w:noProof/>
          <w:color w:val="000000"/>
        </w:rPr>
        <w:t xml:space="preserve">alību privātos pensiju fondos.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LATVIJA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Vecuma pensijas (1996. gada 1. janvāra likums “Par valsts pensijām”); 2001. gada 1. jūlija Valsts fondēto pensiju likums).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POLIJA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Vecuma pensijas saskaņā ar fiksētu iemaksu sistēmu.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PORTUGĀLE </w:t>
      </w:r>
    </w:p>
    <w:p w:rsidR="003E022D" w:rsidRDefault="007D19D6">
      <w:pPr>
        <w:spacing w:before="251"/>
        <w:rPr>
          <w:rFonts w:asciiTheme="majorHAnsi" w:eastAsia="Arial" w:hAnsiTheme="majorHAnsi" w:cs="Arial"/>
          <w:noProof/>
        </w:rPr>
      </w:pPr>
      <w:r>
        <w:rPr>
          <w:rFonts w:asciiTheme="majorHAnsi" w:hAnsiTheme="majorHAnsi"/>
          <w:noProof/>
          <w:color w:val="000000"/>
        </w:rPr>
        <w:t>Papildu pensijas, k</w:t>
      </w:r>
      <w:r>
        <w:rPr>
          <w:rFonts w:asciiTheme="majorHAnsi" w:hAnsiTheme="majorHAnsi"/>
          <w:noProof/>
          <w:color w:val="000000"/>
        </w:rPr>
        <w:t xml:space="preserve">as piešķirtas saskaņā ar 2008. gada 22. februāra Dekrētu Nr. 26/2008 (valsts kapitalizācijas shēma). </w:t>
      </w:r>
    </w:p>
    <w:p w:rsidR="003E022D" w:rsidRDefault="007D19D6">
      <w:pPr>
        <w:spacing w:before="251"/>
        <w:ind w:left="608"/>
        <w:rPr>
          <w:rFonts w:asciiTheme="majorHAnsi" w:eastAsia="Arial" w:hAnsiTheme="majorHAnsi" w:cs="Arial"/>
          <w:noProof/>
        </w:rPr>
      </w:pPr>
      <w:r>
        <w:rPr>
          <w:rFonts w:asciiTheme="majorHAnsi" w:hAnsiTheme="majorHAnsi"/>
          <w:noProof/>
          <w:color w:val="000000"/>
        </w:rPr>
        <w:t xml:space="preserve">SLOVĀKIJA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Obligātais vecuma pensijas uzkrājums. </w:t>
      </w:r>
    </w:p>
    <w:p w:rsidR="003E022D" w:rsidRDefault="007D19D6">
      <w:pPr>
        <w:spacing w:before="248"/>
        <w:ind w:left="608"/>
        <w:rPr>
          <w:rFonts w:asciiTheme="majorHAnsi" w:eastAsia="Arial" w:hAnsiTheme="majorHAnsi" w:cs="Arial"/>
          <w:noProof/>
        </w:rPr>
      </w:pPr>
      <w:r>
        <w:rPr>
          <w:rFonts w:asciiTheme="majorHAnsi" w:hAnsiTheme="majorHAnsi"/>
          <w:noProof/>
          <w:color w:val="000000"/>
        </w:rPr>
        <w:t xml:space="preserve">SLOVĒNIJA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Pensija no obligātās papildu pensijas apdrošināšanas. </w:t>
      </w:r>
    </w:p>
    <w:p w:rsidR="003E022D" w:rsidRDefault="007D19D6">
      <w:pPr>
        <w:spacing w:before="251"/>
        <w:ind w:left="608"/>
        <w:rPr>
          <w:rFonts w:asciiTheme="majorHAnsi" w:eastAsia="Arial" w:hAnsiTheme="majorHAnsi" w:cs="Arial"/>
          <w:noProof/>
        </w:rPr>
      </w:pPr>
      <w:r>
        <w:rPr>
          <w:rFonts w:asciiTheme="majorHAnsi" w:hAnsiTheme="majorHAnsi"/>
          <w:noProof/>
          <w:color w:val="000000"/>
        </w:rPr>
        <w:t xml:space="preserve">ZVIEDRIJA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Vecuma pensija no ienākumiem atkarīgas pensijas veidā un prēmiju pensija (Sociālās apdrošināšanas kodeksa 62. un 64. nodaļa). </w:t>
      </w:r>
    </w:p>
    <w:p w:rsidR="003E022D" w:rsidRDefault="007D19D6">
      <w:pPr>
        <w:spacing w:before="248"/>
        <w:ind w:left="618"/>
        <w:rPr>
          <w:rFonts w:asciiTheme="majorHAnsi" w:eastAsia="Arial" w:hAnsiTheme="majorHAnsi" w:cs="Arial"/>
          <w:noProof/>
        </w:rPr>
      </w:pPr>
      <w:r>
        <w:rPr>
          <w:rFonts w:asciiTheme="majorHAnsi" w:hAnsiTheme="majorHAnsi"/>
          <w:noProof/>
          <w:color w:val="000000"/>
        </w:rPr>
        <w:t xml:space="preserve">APVIENOTĀ KARALISTE </w:t>
      </w:r>
    </w:p>
    <w:p w:rsidR="003E022D" w:rsidRDefault="007D19D6">
      <w:pPr>
        <w:rPr>
          <w:rFonts w:asciiTheme="majorHAnsi" w:eastAsia="Arial" w:hAnsiTheme="majorHAnsi" w:cs="Arial"/>
          <w:noProof/>
        </w:rPr>
      </w:pPr>
      <w:r>
        <w:rPr>
          <w:rFonts w:asciiTheme="majorHAnsi" w:hAnsiTheme="majorHAnsi"/>
          <w:noProof/>
          <w:color w:val="000000"/>
        </w:rPr>
        <w:t xml:space="preserve">Progresīva pensija, kuru maksā atbilstīgi 1965. gada Valsts apdrošināšanas likuma 36. un 37. iedaļai un </w:t>
      </w:r>
      <w:r>
        <w:rPr>
          <w:rFonts w:asciiTheme="majorHAnsi" w:hAnsiTheme="majorHAnsi"/>
          <w:noProof/>
          <w:color w:val="000000"/>
        </w:rPr>
        <w:t>1966. gada Valsts apdrošināšanas likuma (Ziemeļīrija) 35. un 36. iedaļai.</w:t>
      </w:r>
    </w:p>
    <w:p w:rsidR="003E022D" w:rsidRDefault="007D19D6">
      <w:pPr>
        <w:rPr>
          <w:rFonts w:asciiTheme="majorHAnsi" w:eastAsia="Arial" w:hAnsiTheme="majorHAnsi" w:cs="Arial"/>
          <w:noProof/>
        </w:rPr>
      </w:pPr>
      <w:r>
        <w:rPr>
          <w:noProof/>
        </w:rPr>
        <w:br w:type="page"/>
      </w:r>
    </w:p>
    <w:p w:rsidR="003E022D" w:rsidRDefault="007D19D6">
      <w:pPr>
        <w:pStyle w:val="ANNEX"/>
        <w:rPr>
          <w:rFonts w:asciiTheme="majorHAnsi" w:hAnsiTheme="majorHAnsi"/>
          <w:noProof/>
        </w:rPr>
      </w:pPr>
      <w:bookmarkStart w:id="1474" w:name="_Toc59110611"/>
      <w:bookmarkStart w:id="1475" w:name="_Toc59988450"/>
      <w:r>
        <w:rPr>
          <w:rFonts w:asciiTheme="majorHAnsi" w:hAnsiTheme="majorHAnsi"/>
          <w:noProof/>
        </w:rPr>
        <w:t>SSC-5. PIELIKUMS. PABALSTI UN NOLĪGUMI, KAS ĻAUJ PIEMĒROT SSC.49. pantu [Viena veida pabalstu pārklāšanās]</w:t>
      </w:r>
      <w:bookmarkEnd w:id="1474"/>
      <w:bookmarkEnd w:id="1475"/>
    </w:p>
    <w:p w:rsidR="003E022D" w:rsidRDefault="007D19D6">
      <w:pPr>
        <w:spacing w:before="251"/>
        <w:ind w:firstLine="3"/>
        <w:rPr>
          <w:rFonts w:asciiTheme="majorHAnsi" w:eastAsia="Arial" w:hAnsiTheme="majorHAnsi" w:cs="Arial"/>
          <w:noProof/>
        </w:rPr>
      </w:pPr>
      <w:r>
        <w:rPr>
          <w:rFonts w:asciiTheme="majorHAnsi" w:hAnsiTheme="majorHAnsi"/>
          <w:noProof/>
          <w:color w:val="000000"/>
        </w:rPr>
        <w:t>I. Protokola SSC.49. panta [Viena veida pabalstu pārklāšanās] 2. punkta a</w:t>
      </w:r>
      <w:r>
        <w:rPr>
          <w:rFonts w:asciiTheme="majorHAnsi" w:hAnsiTheme="majorHAnsi"/>
          <w:noProof/>
          <w:color w:val="000000"/>
        </w:rPr>
        <w:t xml:space="preserve">) apakšpunktā minētie pabalsti, kuru summa nav atkarīga no izpildīto apdrošināšanas vai dzīvesvietas periodu ilguma.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DĀNIJA </w:t>
      </w:r>
    </w:p>
    <w:p w:rsidR="003E022D" w:rsidRDefault="007D19D6">
      <w:pPr>
        <w:spacing w:before="251"/>
        <w:rPr>
          <w:rFonts w:asciiTheme="majorHAnsi" w:eastAsia="Arial" w:hAnsiTheme="majorHAnsi" w:cs="Arial"/>
          <w:noProof/>
        </w:rPr>
      </w:pPr>
      <w:r>
        <w:rPr>
          <w:rFonts w:asciiTheme="majorHAnsi" w:hAnsiTheme="majorHAnsi"/>
          <w:noProof/>
          <w:color w:val="000000"/>
        </w:rPr>
        <w:t>Pilna Dānijas valsts vecuma pensija, ko pēc 10 gadu nodzīvošanas ir ieguvušas personas, kurām pensija piešķirta līdz 1989. gada 1.</w:t>
      </w:r>
      <w:r>
        <w:rPr>
          <w:rFonts w:asciiTheme="majorHAnsi" w:hAnsiTheme="majorHAnsi"/>
          <w:noProof/>
          <w:color w:val="000000"/>
        </w:rPr>
        <w:t xml:space="preserve"> oktobrim. </w:t>
      </w:r>
    </w:p>
    <w:p w:rsidR="003E022D" w:rsidRDefault="007D19D6">
      <w:pPr>
        <w:spacing w:before="48" w:line="480" w:lineRule="auto"/>
        <w:ind w:left="602" w:hanging="17"/>
        <w:rPr>
          <w:rFonts w:asciiTheme="majorHAnsi" w:eastAsia="Arial" w:hAnsiTheme="majorHAnsi" w:cs="Arial"/>
          <w:noProof/>
        </w:rPr>
      </w:pPr>
      <w:r>
        <w:rPr>
          <w:rFonts w:asciiTheme="majorHAnsi" w:hAnsiTheme="majorHAnsi"/>
          <w:noProof/>
          <w:color w:val="000000"/>
        </w:rPr>
        <w:t xml:space="preserve">SOMIJA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Valsts pensijas un dzīvesbiedru pensijas, kas noteiktas saskaņā ar pārejas noteikumiem un kas piešķirtas līdz 1994. gada 1. janvārim (Valsts pensiju likuma izpildes likums, 569/2007).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Bērna pensijas papildu summa, aprēķinot neatkarīgu </w:t>
      </w:r>
      <w:r>
        <w:rPr>
          <w:rFonts w:asciiTheme="majorHAnsi" w:hAnsiTheme="majorHAnsi"/>
          <w:noProof/>
          <w:color w:val="000000"/>
        </w:rPr>
        <w:t xml:space="preserve">pabalstu saskaņā ar Valsts pensiju likumu (Valsts pensiju likums, 568/2007). </w:t>
      </w:r>
    </w:p>
    <w:p w:rsidR="003E022D" w:rsidRDefault="007D19D6">
      <w:pPr>
        <w:spacing w:before="246"/>
        <w:ind w:left="619"/>
        <w:rPr>
          <w:rFonts w:asciiTheme="majorHAnsi" w:eastAsia="Arial" w:hAnsiTheme="majorHAnsi" w:cs="Arial"/>
          <w:noProof/>
          <w:color w:val="000000"/>
        </w:rPr>
      </w:pPr>
      <w:r>
        <w:rPr>
          <w:rFonts w:asciiTheme="majorHAnsi" w:hAnsiTheme="majorHAnsi"/>
          <w:noProof/>
          <w:color w:val="000000"/>
        </w:rPr>
        <w:t xml:space="preserve">FRANCIJA </w:t>
      </w:r>
    </w:p>
    <w:p w:rsidR="003E022D" w:rsidRDefault="007D19D6">
      <w:pPr>
        <w:spacing w:before="251"/>
        <w:rPr>
          <w:rFonts w:asciiTheme="majorHAnsi" w:eastAsia="Arial" w:hAnsiTheme="majorHAnsi" w:cs="Arial"/>
          <w:noProof/>
        </w:rPr>
      </w:pPr>
      <w:r>
        <w:rPr>
          <w:rFonts w:asciiTheme="majorHAnsi" w:hAnsiTheme="majorHAnsi"/>
          <w:noProof/>
          <w:color w:val="000000"/>
        </w:rPr>
        <w:t>Atraitņa vai atraitnes invaliditātes pensija saskaņā ar vispārējo sociālās nodrošināšanas sistēmu vai saskaņā ar laukstrādniekiem paredzēto shēmu, ja to aprēķina, pamat</w:t>
      </w:r>
      <w:r>
        <w:rPr>
          <w:rFonts w:asciiTheme="majorHAnsi" w:hAnsiTheme="majorHAnsi"/>
          <w:noProof/>
          <w:color w:val="000000"/>
        </w:rPr>
        <w:t xml:space="preserve">ojoties uz mirušā laulātā pensiju, par kuru norēķini veikti atbilstoši SSC.47. panta [Pabalstu piešķiršana] 1. punkta a) apakšpunktam. </w:t>
      </w:r>
    </w:p>
    <w:p w:rsidR="003E022D" w:rsidRDefault="007D19D6">
      <w:pPr>
        <w:spacing w:before="251"/>
        <w:ind w:left="610"/>
        <w:rPr>
          <w:rFonts w:asciiTheme="majorHAnsi" w:eastAsia="Arial" w:hAnsiTheme="majorHAnsi" w:cs="Arial"/>
          <w:noProof/>
        </w:rPr>
      </w:pPr>
      <w:r>
        <w:rPr>
          <w:rFonts w:asciiTheme="majorHAnsi" w:hAnsiTheme="majorHAnsi"/>
          <w:noProof/>
          <w:color w:val="000000"/>
        </w:rPr>
        <w:t xml:space="preserve">GRIEĶIJA </w:t>
      </w:r>
    </w:p>
    <w:p w:rsidR="003E022D" w:rsidRDefault="007D19D6">
      <w:pPr>
        <w:spacing w:before="251"/>
        <w:rPr>
          <w:rFonts w:asciiTheme="majorHAnsi" w:eastAsia="Arial" w:hAnsiTheme="majorHAnsi" w:cs="Arial"/>
          <w:noProof/>
          <w:color w:val="000000"/>
        </w:rPr>
      </w:pPr>
      <w:r>
        <w:rPr>
          <w:rFonts w:asciiTheme="majorHAnsi" w:hAnsiTheme="majorHAnsi"/>
          <w:noProof/>
          <w:color w:val="000000"/>
        </w:rPr>
        <w:t>Pabalsti saskaņā ar Likumu Nr. 4169/1961 saistībā ar lauksaimniecības apdrošināšanas shēmu (</w:t>
      </w:r>
      <w:r>
        <w:rPr>
          <w:rFonts w:asciiTheme="majorHAnsi" w:hAnsiTheme="majorHAnsi"/>
          <w:i/>
          <w:noProof/>
          <w:color w:val="000000"/>
        </w:rPr>
        <w:t>OGA</w:t>
      </w:r>
      <w:r>
        <w:rPr>
          <w:rFonts w:asciiTheme="majorHAnsi" w:hAnsiTheme="majorHAnsi"/>
          <w:noProof/>
          <w:color w:val="000000"/>
        </w:rPr>
        <w:t xml:space="preserve">).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NĪDERLANDE </w:t>
      </w:r>
    </w:p>
    <w:p w:rsidR="003E022D" w:rsidRDefault="007D19D6">
      <w:pPr>
        <w:spacing w:before="251"/>
        <w:rPr>
          <w:rFonts w:asciiTheme="majorHAnsi" w:eastAsia="Arial" w:hAnsiTheme="majorHAnsi" w:cs="Arial"/>
          <w:noProof/>
        </w:rPr>
      </w:pPr>
      <w:r>
        <w:rPr>
          <w:rFonts w:asciiTheme="majorHAnsi" w:hAnsiTheme="majorHAnsi"/>
          <w:noProof/>
          <w:color w:val="000000"/>
        </w:rPr>
        <w:t>1995. gada 21. decembra “Vispārējais likums par pārdzīvojušiem radiniekiem (</w:t>
      </w:r>
      <w:r>
        <w:rPr>
          <w:rFonts w:asciiTheme="majorHAnsi" w:hAnsiTheme="majorHAnsi"/>
          <w:i/>
          <w:noProof/>
          <w:color w:val="000000"/>
        </w:rPr>
        <w:t>ANW</w:t>
      </w:r>
      <w:r>
        <w:rPr>
          <w:rFonts w:asciiTheme="majorHAnsi" w:hAnsiTheme="majorHAnsi"/>
          <w:noProof/>
          <w:color w:val="000000"/>
        </w:rPr>
        <w:t xml:space="preserve">)” </w:t>
      </w:r>
    </w:p>
    <w:p w:rsidR="003E022D" w:rsidRDefault="007D19D6">
      <w:pPr>
        <w:spacing w:before="251"/>
        <w:rPr>
          <w:rFonts w:asciiTheme="majorHAnsi" w:eastAsia="Arial" w:hAnsiTheme="majorHAnsi" w:cs="Arial"/>
          <w:noProof/>
          <w:color w:val="000000"/>
        </w:rPr>
      </w:pPr>
      <w:r>
        <w:rPr>
          <w:rFonts w:asciiTheme="majorHAnsi" w:hAnsiTheme="majorHAnsi"/>
          <w:noProof/>
          <w:color w:val="000000"/>
        </w:rPr>
        <w:t>2005. gada 10 novembra “Likums par darbu un ienākumiem atbilstīgi darbaspējām (</w:t>
      </w:r>
      <w:r>
        <w:rPr>
          <w:rFonts w:asciiTheme="majorHAnsi" w:hAnsiTheme="majorHAnsi"/>
          <w:i/>
          <w:noProof/>
          <w:color w:val="000000"/>
        </w:rPr>
        <w:t>WIA</w:t>
      </w:r>
      <w:r>
        <w:rPr>
          <w:rFonts w:asciiTheme="majorHAnsi" w:hAnsiTheme="majorHAnsi"/>
          <w:noProof/>
          <w:color w:val="000000"/>
        </w:rPr>
        <w:t xml:space="preserve">)” </w:t>
      </w:r>
    </w:p>
    <w:p w:rsidR="003E022D" w:rsidRDefault="007D19D6">
      <w:pPr>
        <w:spacing w:before="251" w:after="0" w:line="480" w:lineRule="auto"/>
        <w:ind w:left="608" w:firstLine="11"/>
        <w:rPr>
          <w:rFonts w:asciiTheme="majorHAnsi" w:eastAsia="Arial" w:hAnsiTheme="majorHAnsi" w:cs="Arial"/>
          <w:noProof/>
        </w:rPr>
      </w:pPr>
      <w:r>
        <w:rPr>
          <w:rFonts w:asciiTheme="majorHAnsi" w:hAnsiTheme="majorHAnsi"/>
          <w:noProof/>
          <w:color w:val="000000"/>
        </w:rPr>
        <w:t xml:space="preserve">SPĀNIJA </w:t>
      </w:r>
    </w:p>
    <w:p w:rsidR="003E022D" w:rsidRDefault="007D19D6">
      <w:pPr>
        <w:rPr>
          <w:rFonts w:asciiTheme="majorHAnsi" w:eastAsia="Arial" w:hAnsiTheme="majorHAnsi" w:cs="Arial"/>
          <w:noProof/>
        </w:rPr>
      </w:pPr>
      <w:r>
        <w:rPr>
          <w:rFonts w:asciiTheme="majorHAnsi" w:hAnsiTheme="majorHAnsi"/>
          <w:noProof/>
          <w:color w:val="000000"/>
        </w:rPr>
        <w:t xml:space="preserve">Apgādnieka zaudējuma pensija saskaņā ar vispārīgajām un īpašajām shēmām, izņemot Īpašo shēmu ierēdņiem. </w:t>
      </w:r>
    </w:p>
    <w:p w:rsidR="003E022D" w:rsidRDefault="007D19D6">
      <w:pPr>
        <w:spacing w:before="246"/>
        <w:ind w:left="608"/>
        <w:rPr>
          <w:rFonts w:asciiTheme="majorHAnsi" w:eastAsia="Arial" w:hAnsiTheme="majorHAnsi" w:cs="Arial"/>
          <w:noProof/>
        </w:rPr>
      </w:pPr>
      <w:r>
        <w:rPr>
          <w:rFonts w:asciiTheme="majorHAnsi" w:hAnsiTheme="majorHAnsi"/>
          <w:noProof/>
          <w:color w:val="000000"/>
        </w:rPr>
        <w:t xml:space="preserve">ZVIEDRIJA </w:t>
      </w:r>
    </w:p>
    <w:p w:rsidR="003E022D" w:rsidRDefault="007D19D6">
      <w:pPr>
        <w:spacing w:before="251"/>
        <w:rPr>
          <w:rFonts w:asciiTheme="majorHAnsi" w:eastAsia="Arial" w:hAnsiTheme="majorHAnsi" w:cs="Arial"/>
          <w:noProof/>
        </w:rPr>
      </w:pPr>
      <w:r>
        <w:rPr>
          <w:rFonts w:asciiTheme="majorHAnsi" w:hAnsiTheme="majorHAnsi"/>
          <w:noProof/>
          <w:color w:val="000000"/>
        </w:rPr>
        <w:t>No ienākumiem atkarīga kompensācija slimības gadījumā un no ienākumiem atkarīga darbības kompensācija (Sociālās apdrošināšanas kodeksa 34. n</w:t>
      </w:r>
      <w:r>
        <w:rPr>
          <w:rFonts w:asciiTheme="majorHAnsi" w:hAnsiTheme="majorHAnsi"/>
          <w:noProof/>
          <w:color w:val="000000"/>
        </w:rPr>
        <w:t xml:space="preserve">odaļa).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Garantēta pensija un garantēta kompensācija, kas ir aizstājušas pilna apmēra valsts pensijas, ko noteica saskaņā ar noteikumiem par valsts pensiju, kurus piemēroja līdz 1993. gada 1. janvārim, un valsts pensija, kas piešķirta pilnā apmērā saskaņā </w:t>
      </w:r>
      <w:r>
        <w:rPr>
          <w:rFonts w:asciiTheme="majorHAnsi" w:hAnsiTheme="majorHAnsi"/>
          <w:noProof/>
          <w:color w:val="000000"/>
        </w:rPr>
        <w:t xml:space="preserve">ar pārejas noteikumiem, kurus piemēro no minētās dienas. </w:t>
      </w:r>
    </w:p>
    <w:p w:rsidR="003E022D" w:rsidRDefault="007D19D6">
      <w:pPr>
        <w:spacing w:before="248"/>
        <w:ind w:firstLine="12"/>
        <w:rPr>
          <w:rFonts w:asciiTheme="majorHAnsi" w:eastAsia="Arial" w:hAnsiTheme="majorHAnsi" w:cs="Arial"/>
          <w:noProof/>
        </w:rPr>
      </w:pPr>
      <w:r>
        <w:rPr>
          <w:rFonts w:asciiTheme="majorHAnsi" w:hAnsiTheme="majorHAnsi"/>
          <w:noProof/>
          <w:color w:val="000000"/>
        </w:rPr>
        <w:t>II. Protokola SSC.49. panta [Viena veida pabalstu pārklāšanās] 2. punkta b) apakšpunktā minētie pabalsti, kuru lielumu nosaka, pamatojoties uz iemaksu periodu, ko uzskata par pabeigtu laikā starp di</w:t>
      </w:r>
      <w:r>
        <w:rPr>
          <w:rFonts w:asciiTheme="majorHAnsi" w:hAnsiTheme="majorHAnsi"/>
          <w:noProof/>
          <w:color w:val="000000"/>
        </w:rPr>
        <w:t xml:space="preserve">enu, kad iestājies apdrošināšanas gadījums, un kādu vēlāku dienu.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SOMIJA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Darba pensijas, attiecībā uz kurām ņem vērā laika periodus nākotnē saskaņā ar valsts tiesību aktiem. </w:t>
      </w:r>
    </w:p>
    <w:p w:rsidR="003E022D" w:rsidRDefault="007D19D6">
      <w:pPr>
        <w:spacing w:before="248"/>
        <w:ind w:left="610"/>
        <w:rPr>
          <w:rFonts w:asciiTheme="majorHAnsi" w:eastAsia="Arial" w:hAnsiTheme="majorHAnsi" w:cs="Arial"/>
          <w:noProof/>
        </w:rPr>
      </w:pPr>
      <w:r>
        <w:rPr>
          <w:rFonts w:asciiTheme="majorHAnsi" w:hAnsiTheme="majorHAnsi"/>
          <w:noProof/>
          <w:color w:val="000000"/>
        </w:rPr>
        <w:t xml:space="preserve">VĀCIJA </w:t>
      </w:r>
    </w:p>
    <w:p w:rsidR="003E022D" w:rsidRDefault="007D19D6">
      <w:pPr>
        <w:spacing w:before="251"/>
        <w:rPr>
          <w:rFonts w:asciiTheme="majorHAnsi" w:eastAsia="Arial" w:hAnsiTheme="majorHAnsi" w:cs="Arial"/>
          <w:noProof/>
          <w:color w:val="000000"/>
        </w:rPr>
      </w:pPr>
      <w:r>
        <w:rPr>
          <w:rFonts w:asciiTheme="majorHAnsi" w:hAnsiTheme="majorHAnsi"/>
          <w:noProof/>
          <w:color w:val="000000"/>
        </w:rPr>
        <w:t>Apgādnieka zaudējuma pensijas, attiecībā uz kurām ņem vērā papildu peri</w:t>
      </w:r>
      <w:r>
        <w:rPr>
          <w:rFonts w:asciiTheme="majorHAnsi" w:hAnsiTheme="majorHAnsi"/>
          <w:noProof/>
          <w:color w:val="000000"/>
        </w:rPr>
        <w:t xml:space="preserve">odu; </w:t>
      </w:r>
    </w:p>
    <w:p w:rsidR="003E022D" w:rsidRDefault="007D19D6">
      <w:pPr>
        <w:spacing w:before="251"/>
        <w:rPr>
          <w:rFonts w:asciiTheme="majorHAnsi" w:eastAsia="Arial" w:hAnsiTheme="majorHAnsi" w:cs="Arial"/>
          <w:noProof/>
          <w:color w:val="000000"/>
        </w:rPr>
      </w:pPr>
      <w:r>
        <w:rPr>
          <w:rFonts w:asciiTheme="majorHAnsi" w:hAnsiTheme="majorHAnsi"/>
          <w:noProof/>
          <w:color w:val="000000"/>
        </w:rPr>
        <w:t xml:space="preserve">vecuma pensijas, attiecībā uz kurām ņem vērā jau iegūto papildu periodu.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ITĀLIJA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Itālijas pilnīgas darba nespējas pensijas (inabilità).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LATVIJA </w:t>
      </w:r>
    </w:p>
    <w:p w:rsidR="003E022D" w:rsidRDefault="007D19D6">
      <w:pPr>
        <w:spacing w:before="251"/>
        <w:rPr>
          <w:rFonts w:asciiTheme="majorHAnsi" w:eastAsia="Arial" w:hAnsiTheme="majorHAnsi" w:cs="Arial"/>
          <w:noProof/>
        </w:rPr>
      </w:pPr>
      <w:r>
        <w:rPr>
          <w:rFonts w:asciiTheme="majorHAnsi" w:hAnsiTheme="majorHAnsi"/>
          <w:noProof/>
          <w:color w:val="000000"/>
        </w:rPr>
        <w:t>Apgādnieka zaudējuma pensija, ko aprēķina, pamatojoties uz iespējamo apdrošināšanas stāža periodu (23.</w:t>
      </w:r>
      <w:r>
        <w:rPr>
          <w:rFonts w:asciiTheme="majorHAnsi" w:hAnsiTheme="majorHAnsi"/>
          <w:noProof/>
          <w:color w:val="000000"/>
        </w:rPr>
        <w:t xml:space="preserve"> panta 8. punkts 1996. gada 1. janvāra likumā “Par valsts pensijām”).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LIETUVA </w:t>
      </w:r>
    </w:p>
    <w:p w:rsidR="003E022D" w:rsidRDefault="007D19D6">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Valsts sociālās apdrošināšanas darba nespējas pensijas, ko maksā saskaņā ar Likumu par valsts sociālās apdrošināšanas pensijām;</w:t>
      </w:r>
    </w:p>
    <w:p w:rsidR="003E022D" w:rsidRDefault="007D19D6">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valsts sociālās apdrošināšanas apgādnieka zaudējuma pensijas un bāreņa pensijas, ko saskaņā ar Likumu par valsts sociālās apdrošināšanas pensijām aprēķina, pamatojoties uz mirušās personas darba nespējas pensiju.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LUKSEMBURGA </w:t>
      </w:r>
    </w:p>
    <w:p w:rsidR="003E022D" w:rsidRDefault="007D19D6">
      <w:pPr>
        <w:spacing w:before="251"/>
        <w:rPr>
          <w:rFonts w:asciiTheme="majorHAnsi" w:eastAsia="Arial" w:hAnsiTheme="majorHAnsi" w:cs="Arial"/>
          <w:noProof/>
        </w:rPr>
      </w:pPr>
      <w:r>
        <w:rPr>
          <w:rFonts w:asciiTheme="majorHAnsi" w:hAnsiTheme="majorHAnsi"/>
          <w:noProof/>
          <w:color w:val="000000"/>
        </w:rPr>
        <w:t>Apgādnieka zaudējuma pensijas</w:t>
      </w:r>
      <w:r>
        <w:rPr>
          <w:rFonts w:asciiTheme="majorHAnsi" w:hAnsiTheme="majorHAnsi"/>
          <w:noProof/>
          <w:color w:val="000000"/>
        </w:rPr>
        <w:t xml:space="preserve"> </w:t>
      </w:r>
    </w:p>
    <w:p w:rsidR="003E022D" w:rsidRDefault="007D19D6">
      <w:pPr>
        <w:spacing w:before="251"/>
        <w:ind w:left="608"/>
        <w:rPr>
          <w:rFonts w:asciiTheme="majorHAnsi" w:eastAsia="Arial" w:hAnsiTheme="majorHAnsi" w:cs="Arial"/>
          <w:noProof/>
        </w:rPr>
      </w:pPr>
      <w:r>
        <w:rPr>
          <w:rFonts w:asciiTheme="majorHAnsi" w:hAnsiTheme="majorHAnsi"/>
          <w:noProof/>
          <w:color w:val="000000"/>
        </w:rPr>
        <w:t xml:space="preserve">SLOVĀKIJA </w:t>
      </w:r>
    </w:p>
    <w:p w:rsidR="003E022D" w:rsidRDefault="007D19D6">
      <w:pPr>
        <w:pBdr>
          <w:top w:val="nil"/>
          <w:left w:val="nil"/>
          <w:bottom w:val="nil"/>
          <w:right w:val="nil"/>
          <w:between w:val="nil"/>
        </w:pBdr>
        <w:spacing w:before="249"/>
        <w:rPr>
          <w:rFonts w:asciiTheme="majorHAnsi" w:hAnsiTheme="majorHAnsi"/>
          <w:noProof/>
        </w:rPr>
      </w:pPr>
      <w:r>
        <w:rPr>
          <w:rFonts w:asciiTheme="majorHAnsi" w:hAnsiTheme="majorHAnsi"/>
          <w:noProof/>
          <w:color w:val="000000"/>
        </w:rPr>
        <w:t xml:space="preserve">Slovākijas apgādnieka zaudējuma pensija, kas atvasināta no invaliditātes pensijas. </w:t>
      </w:r>
    </w:p>
    <w:p w:rsidR="003E022D" w:rsidRDefault="007D19D6">
      <w:pPr>
        <w:pBdr>
          <w:top w:val="nil"/>
          <w:left w:val="nil"/>
          <w:bottom w:val="nil"/>
          <w:right w:val="nil"/>
          <w:between w:val="nil"/>
        </w:pBdr>
        <w:spacing w:before="251" w:after="0" w:line="480" w:lineRule="auto"/>
        <w:ind w:firstLine="720"/>
        <w:rPr>
          <w:rFonts w:asciiTheme="majorHAnsi" w:eastAsia="Arial" w:hAnsiTheme="majorHAnsi" w:cs="Arial"/>
          <w:noProof/>
        </w:rPr>
      </w:pPr>
      <w:r>
        <w:rPr>
          <w:rFonts w:asciiTheme="majorHAnsi" w:hAnsiTheme="majorHAnsi"/>
          <w:noProof/>
          <w:color w:val="000000"/>
        </w:rPr>
        <w:t xml:space="preserve">SPĀNIJA </w:t>
      </w:r>
    </w:p>
    <w:p w:rsidR="003E022D" w:rsidRDefault="007D19D6">
      <w:pPr>
        <w:pBdr>
          <w:top w:val="nil"/>
          <w:left w:val="nil"/>
          <w:bottom w:val="nil"/>
          <w:right w:val="nil"/>
          <w:between w:val="nil"/>
        </w:pBdr>
        <w:rPr>
          <w:rFonts w:asciiTheme="majorHAnsi" w:eastAsia="Arial" w:hAnsiTheme="majorHAnsi" w:cs="Arial"/>
          <w:noProof/>
        </w:rPr>
      </w:pPr>
      <w:r>
        <w:rPr>
          <w:rFonts w:asciiTheme="majorHAnsi" w:hAnsiTheme="majorHAnsi"/>
          <w:noProof/>
          <w:color w:val="000000"/>
        </w:rPr>
        <w:t>Vecuma pensija saskaņā ar Īpašo shēmu ierēdņiem, kas pienākas saskaņā ar Likuma par valsts pensionāriem konsolidētā teksta I sadaļu, ja apdrošināšanas gadījuma brīdī saņēmējs bijis aktīvs ierēdnis vai pielīdzināms tādam; tādas pensijas nāves gadījumā un ap</w:t>
      </w:r>
      <w:r>
        <w:rPr>
          <w:rFonts w:asciiTheme="majorHAnsi" w:hAnsiTheme="majorHAnsi"/>
          <w:noProof/>
          <w:color w:val="000000"/>
        </w:rPr>
        <w:t xml:space="preserve">gādnieka zaudējuma (atraitnes/atraitņa, bāreņu un vecāku) pensijas, kas pienākas saskaņā ar Likuma par valsts pensionāriem konsolidētā teksta I sadaļu, ja nāves brīdī ierēdnis bijis aktīvs vai pielīdzināms tādam. </w:t>
      </w:r>
    </w:p>
    <w:p w:rsidR="003E022D" w:rsidRDefault="007D19D6">
      <w:pPr>
        <w:spacing w:before="248"/>
        <w:ind w:left="608"/>
        <w:rPr>
          <w:rFonts w:asciiTheme="majorHAnsi" w:eastAsia="Arial" w:hAnsiTheme="majorHAnsi" w:cs="Arial"/>
          <w:noProof/>
        </w:rPr>
      </w:pPr>
      <w:r>
        <w:rPr>
          <w:rFonts w:asciiTheme="majorHAnsi" w:hAnsiTheme="majorHAnsi"/>
          <w:noProof/>
          <w:color w:val="000000"/>
        </w:rPr>
        <w:t xml:space="preserve">ZVIEDRIJA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Kompensācija slimības gadījumā </w:t>
      </w:r>
      <w:r>
        <w:rPr>
          <w:rFonts w:asciiTheme="majorHAnsi" w:hAnsiTheme="majorHAnsi"/>
          <w:noProof/>
          <w:color w:val="000000"/>
        </w:rPr>
        <w:t xml:space="preserve">un darbības kompensācija garantijas kompensācijas veidā (Sociālās apdrošināšanas kodeksa 35. nodaļa). </w:t>
      </w:r>
    </w:p>
    <w:p w:rsidR="003E022D" w:rsidRDefault="007D19D6">
      <w:pPr>
        <w:spacing w:before="251"/>
        <w:rPr>
          <w:rFonts w:asciiTheme="majorHAnsi" w:eastAsia="Arial" w:hAnsiTheme="majorHAnsi" w:cs="Arial"/>
          <w:noProof/>
        </w:rPr>
      </w:pPr>
      <w:r>
        <w:rPr>
          <w:rFonts w:asciiTheme="majorHAnsi" w:hAnsiTheme="majorHAnsi"/>
          <w:noProof/>
          <w:color w:val="000000"/>
        </w:rPr>
        <w:t xml:space="preserve">Apgādnieka zaudējuma pensija, ko aprēķina pēc apdrošināšanas perioda, par kuru veiktas iemaksas (Sociālās apdrošināšanas kodeksa 76.–85. nodaļa). </w:t>
      </w:r>
    </w:p>
    <w:p w:rsidR="003E022D" w:rsidRDefault="007D19D6">
      <w:pPr>
        <w:spacing w:before="248"/>
        <w:ind w:firstLine="10"/>
        <w:rPr>
          <w:rFonts w:asciiTheme="majorHAnsi" w:eastAsia="Arial" w:hAnsiTheme="majorHAnsi" w:cs="Arial"/>
          <w:noProof/>
        </w:rPr>
      </w:pPr>
      <w:r>
        <w:rPr>
          <w:rFonts w:asciiTheme="majorHAnsi" w:hAnsiTheme="majorHAnsi"/>
          <w:noProof/>
          <w:color w:val="000000"/>
        </w:rPr>
        <w:t>III. P</w:t>
      </w:r>
      <w:r>
        <w:rPr>
          <w:rFonts w:asciiTheme="majorHAnsi" w:hAnsiTheme="majorHAnsi"/>
          <w:noProof/>
          <w:color w:val="000000"/>
        </w:rPr>
        <w:t xml:space="preserve">rotokola SSC.49. panta [Viena veida pabalstu pārklāšanās] 2. punkta b) apakšpunkta i) punktā minētie nolīgumi, kuru mērķis ir novērst gadījumus, kad vienu un to pašu iemaksu periodu ņem vērā divas vai vairāk reizes: </w:t>
      </w:r>
    </w:p>
    <w:p w:rsidR="003E022D" w:rsidRDefault="007D19D6">
      <w:pPr>
        <w:spacing w:before="248"/>
        <w:rPr>
          <w:rFonts w:asciiTheme="majorHAnsi" w:eastAsia="Arial" w:hAnsiTheme="majorHAnsi" w:cs="Arial"/>
          <w:noProof/>
        </w:rPr>
      </w:pPr>
      <w:r>
        <w:rPr>
          <w:rFonts w:asciiTheme="majorHAnsi" w:hAnsiTheme="majorHAnsi"/>
          <w:noProof/>
          <w:color w:val="000000"/>
        </w:rPr>
        <w:t>Somijas Republikas un Vācijas Federatīv</w:t>
      </w:r>
      <w:r>
        <w:rPr>
          <w:rFonts w:asciiTheme="majorHAnsi" w:hAnsiTheme="majorHAnsi"/>
          <w:noProof/>
          <w:color w:val="000000"/>
        </w:rPr>
        <w:t xml:space="preserve">ās Republikas 1997. gada 28. aprīļa Sociālās nodrošināšanas nolīgums. </w:t>
      </w:r>
    </w:p>
    <w:p w:rsidR="003E022D" w:rsidRDefault="007D19D6">
      <w:pPr>
        <w:spacing w:before="246"/>
        <w:rPr>
          <w:rFonts w:asciiTheme="majorHAnsi" w:eastAsia="Arial" w:hAnsiTheme="majorHAnsi" w:cs="Arial"/>
          <w:noProof/>
        </w:rPr>
      </w:pPr>
      <w:r>
        <w:rPr>
          <w:rFonts w:asciiTheme="majorHAnsi" w:hAnsiTheme="majorHAnsi"/>
          <w:noProof/>
          <w:color w:val="000000"/>
        </w:rPr>
        <w:t xml:space="preserve">Somijas Republikas un Luksemburgas Lielhercogistes 2000. gada 10. novembra Sociālās nodrošināšanas nolīgums. </w:t>
      </w:r>
    </w:p>
    <w:p w:rsidR="003E022D" w:rsidRDefault="007D19D6">
      <w:pPr>
        <w:spacing w:before="246"/>
        <w:rPr>
          <w:rFonts w:asciiTheme="majorHAnsi" w:eastAsia="Arial" w:hAnsiTheme="majorHAnsi" w:cs="Arial"/>
          <w:noProof/>
          <w:color w:val="000000"/>
        </w:rPr>
      </w:pPr>
      <w:r>
        <w:rPr>
          <w:rFonts w:asciiTheme="majorHAnsi" w:hAnsiTheme="majorHAnsi"/>
          <w:noProof/>
          <w:color w:val="000000"/>
        </w:rPr>
        <w:t>Ziemeļvalstu 2003. gada 18. augusta konvencija par sociālo nodrošinājumu.</w:t>
      </w:r>
    </w:p>
    <w:p w:rsidR="003E022D" w:rsidRDefault="007D19D6">
      <w:pPr>
        <w:rPr>
          <w:rFonts w:asciiTheme="majorHAnsi" w:eastAsia="Arial" w:hAnsiTheme="majorHAnsi" w:cs="Arial"/>
          <w:noProof/>
        </w:rPr>
      </w:pPr>
      <w:r>
        <w:rPr>
          <w:noProof/>
        </w:rPr>
        <w:br w:type="page"/>
      </w:r>
    </w:p>
    <w:p w:rsidR="003E022D" w:rsidRDefault="007D19D6">
      <w:pPr>
        <w:pStyle w:val="ANNEX"/>
        <w:rPr>
          <w:noProof/>
        </w:rPr>
      </w:pPr>
      <w:bookmarkStart w:id="1476" w:name="_Toc59110612"/>
      <w:bookmarkStart w:id="1477" w:name="_Toc59988451"/>
      <w:r>
        <w:rPr>
          <w:rFonts w:asciiTheme="majorHAnsi" w:hAnsiTheme="majorHAnsi"/>
          <w:noProof/>
        </w:rPr>
        <w:t>SSC-6. PIELIKUMS. ĪPAŠI DALĪBVALSTU UN APVIENOTĀS KARALISTES TIESĪBU AKTU PIEMĒROŠANAS NOTEIKUMI</w:t>
      </w:r>
      <w:bookmarkEnd w:id="1476"/>
      <w:bookmarkEnd w:id="1477"/>
    </w:p>
    <w:p w:rsidR="003E022D" w:rsidRDefault="007D19D6">
      <w:pPr>
        <w:pStyle w:val="Article"/>
        <w:rPr>
          <w:noProof/>
        </w:rPr>
      </w:pPr>
      <w:r>
        <w:rPr>
          <w:noProof/>
        </w:rPr>
        <w:t>(SSC.3. panta [Jomas, uz kurām attiecas šis protokols] 2. punkts, SSC.51. panta [Papildu noteikumi pabalstu aprēķināšanai] 1. punkts un SSC.66. pants [Tiesību</w:t>
      </w:r>
      <w:r>
        <w:rPr>
          <w:noProof/>
        </w:rPr>
        <w:t xml:space="preserve"> aktu īstenošana]) </w:t>
      </w:r>
    </w:p>
    <w:p w:rsidR="003E022D" w:rsidRDefault="007D19D6">
      <w:pPr>
        <w:spacing w:before="251"/>
        <w:ind w:left="604"/>
        <w:rPr>
          <w:rFonts w:asciiTheme="majorHAnsi" w:eastAsia="Arial" w:hAnsiTheme="majorHAnsi" w:cs="Arial"/>
          <w:noProof/>
        </w:rPr>
      </w:pPr>
      <w:r>
        <w:rPr>
          <w:rFonts w:asciiTheme="majorHAnsi" w:hAnsiTheme="majorHAnsi"/>
          <w:noProof/>
          <w:color w:val="000000"/>
        </w:rPr>
        <w:t xml:space="preserve">AUSTRIJA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Attiecībā uz pensiju periodu iegūšanu skolu vai līdzīgu mācību iestāžu apmeklēšana citā valstī tiek uzskatīta par līdzvērtīgu skolas vai mācību iestādes apmeklēšanai saskaņā ar </w:t>
      </w:r>
      <w:r>
        <w:rPr>
          <w:rFonts w:asciiTheme="majorHAnsi" w:hAnsiTheme="majorHAnsi"/>
          <w:i/>
          <w:noProof/>
          <w:color w:val="000000"/>
        </w:rPr>
        <w:t>Allgemeines Sozialversicherungsgesetz</w:t>
      </w:r>
      <w:r>
        <w:rPr>
          <w:rFonts w:asciiTheme="majorHAnsi" w:hAnsiTheme="majorHAnsi"/>
          <w:noProof/>
          <w:color w:val="000000"/>
        </w:rPr>
        <w:t xml:space="preserve"> (</w:t>
      </w:r>
      <w:r>
        <w:rPr>
          <w:rFonts w:asciiTheme="majorHAnsi" w:hAnsiTheme="majorHAnsi"/>
          <w:i/>
          <w:noProof/>
          <w:color w:val="000000"/>
        </w:rPr>
        <w:t>ASVG</w:t>
      </w:r>
      <w:r>
        <w:rPr>
          <w:rFonts w:asciiTheme="majorHAnsi" w:hAnsiTheme="majorHAnsi"/>
          <w:noProof/>
          <w:color w:val="000000"/>
        </w:rPr>
        <w:t>) (</w:t>
      </w:r>
      <w:r>
        <w:rPr>
          <w:rFonts w:asciiTheme="majorHAnsi" w:hAnsiTheme="majorHAnsi"/>
          <w:noProof/>
          <w:color w:val="000000"/>
        </w:rPr>
        <w:t xml:space="preserve">Vispārējais likums par sociālo apdrošināšanu) 227. panta 1. punkta 1. apakšpunktu un 228. panta 1. punkta 3. apakšpunktu, </w:t>
      </w:r>
      <w:r>
        <w:rPr>
          <w:rFonts w:asciiTheme="majorHAnsi" w:hAnsiTheme="majorHAnsi"/>
          <w:i/>
          <w:noProof/>
          <w:color w:val="000000"/>
        </w:rPr>
        <w:t>Gewerbliches Sozialversicherungsgesetz</w:t>
      </w:r>
      <w:r>
        <w:rPr>
          <w:rFonts w:asciiTheme="majorHAnsi" w:hAnsiTheme="majorHAnsi"/>
          <w:noProof/>
          <w:color w:val="000000"/>
        </w:rPr>
        <w:t xml:space="preserve"> (</w:t>
      </w:r>
      <w:r>
        <w:rPr>
          <w:rFonts w:asciiTheme="majorHAnsi" w:hAnsiTheme="majorHAnsi"/>
          <w:i/>
          <w:noProof/>
          <w:color w:val="000000"/>
        </w:rPr>
        <w:t>GSVG</w:t>
      </w:r>
      <w:r>
        <w:rPr>
          <w:rFonts w:asciiTheme="majorHAnsi" w:hAnsiTheme="majorHAnsi"/>
          <w:noProof/>
          <w:color w:val="000000"/>
        </w:rPr>
        <w:t>) (Federālais likums par to personu sociālo apdrošināšanu, kas nodarbinātas tirdzniecībā u</w:t>
      </w:r>
      <w:r>
        <w:rPr>
          <w:rFonts w:asciiTheme="majorHAnsi" w:hAnsiTheme="majorHAnsi"/>
          <w:noProof/>
          <w:color w:val="000000"/>
        </w:rPr>
        <w:t xml:space="preserve">n komercdarbībā) 116. panta 7. punktu un </w:t>
      </w:r>
      <w:r>
        <w:rPr>
          <w:rFonts w:asciiTheme="majorHAnsi" w:hAnsiTheme="majorHAnsi"/>
          <w:i/>
          <w:noProof/>
          <w:color w:val="000000"/>
        </w:rPr>
        <w:t>Bauern-Sozialversicherungsgesetz</w:t>
      </w:r>
      <w:r>
        <w:rPr>
          <w:rFonts w:asciiTheme="majorHAnsi" w:hAnsiTheme="majorHAnsi"/>
          <w:noProof/>
          <w:color w:val="000000"/>
        </w:rPr>
        <w:t xml:space="preserve"> (</w:t>
      </w:r>
      <w:r>
        <w:rPr>
          <w:rFonts w:asciiTheme="majorHAnsi" w:hAnsiTheme="majorHAnsi"/>
          <w:i/>
          <w:noProof/>
          <w:color w:val="000000"/>
        </w:rPr>
        <w:t>BSVG</w:t>
      </w:r>
      <w:r>
        <w:rPr>
          <w:rFonts w:asciiTheme="majorHAnsi" w:hAnsiTheme="majorHAnsi"/>
          <w:noProof/>
          <w:color w:val="000000"/>
        </w:rPr>
        <w:t>) (Likums par lauksaimnieku sociālo apdrošināšanu) 107. panta 7. punktu, ja uz attiecīgo personu kādu laiku ir attiekušies Austrijas tiesību akti, jo tā veikusi darbību nodarbin</w:t>
      </w:r>
      <w:r>
        <w:rPr>
          <w:rFonts w:asciiTheme="majorHAnsi" w:hAnsiTheme="majorHAnsi"/>
          <w:noProof/>
          <w:color w:val="000000"/>
        </w:rPr>
        <w:t xml:space="preserve">ātas vai pašnodarbinātas personas statusā, un ja ir veiktas īpašās iemaksas, kas saskaņā ar </w:t>
      </w:r>
      <w:r>
        <w:rPr>
          <w:rFonts w:asciiTheme="majorHAnsi" w:hAnsiTheme="majorHAnsi"/>
          <w:i/>
          <w:noProof/>
          <w:color w:val="000000"/>
        </w:rPr>
        <w:t>ASVG</w:t>
      </w:r>
      <w:r>
        <w:rPr>
          <w:rFonts w:asciiTheme="majorHAnsi" w:hAnsiTheme="majorHAnsi"/>
          <w:noProof/>
          <w:color w:val="000000"/>
        </w:rPr>
        <w:t xml:space="preserve"> 227. panta 3. punktu, </w:t>
      </w:r>
      <w:r>
        <w:rPr>
          <w:rFonts w:asciiTheme="majorHAnsi" w:hAnsiTheme="majorHAnsi"/>
          <w:i/>
          <w:noProof/>
          <w:color w:val="000000"/>
        </w:rPr>
        <w:t>GSVG</w:t>
      </w:r>
      <w:r>
        <w:rPr>
          <w:rFonts w:asciiTheme="majorHAnsi" w:hAnsiTheme="majorHAnsi"/>
          <w:noProof/>
          <w:color w:val="000000"/>
        </w:rPr>
        <w:t xml:space="preserve"> 116. panta 9. punktu un </w:t>
      </w:r>
      <w:r>
        <w:rPr>
          <w:rFonts w:asciiTheme="majorHAnsi" w:hAnsiTheme="majorHAnsi"/>
          <w:i/>
          <w:noProof/>
          <w:color w:val="000000"/>
        </w:rPr>
        <w:t>BSVG</w:t>
      </w:r>
      <w:r>
        <w:rPr>
          <w:rFonts w:asciiTheme="majorHAnsi" w:hAnsiTheme="majorHAnsi"/>
          <w:noProof/>
          <w:color w:val="000000"/>
        </w:rPr>
        <w:t xml:space="preserve"> 107. panta 9. punktu ir vajadzīgas, lai iegūtu šādus mācību periodus.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Aprēķinot proporcionālo pabalstu, kas minēts SSC.47. panta [Pabalstu piešķiršana] 1. punkta b) apakšpunktā, neņem vērā īpašus iemaksu paaugstinājumus papildu apdrošināšanai un kalnraču papildu pabalstiem saskaņā ar Austrijas tiesību aktiem. Šādos gadījumos</w:t>
      </w:r>
      <w:r>
        <w:rPr>
          <w:rFonts w:asciiTheme="majorHAnsi" w:hAnsiTheme="majorHAnsi"/>
          <w:noProof/>
          <w:color w:val="000000"/>
        </w:rPr>
        <w:t xml:space="preserve"> proporcionālo pabalstu, ko aprēķina bez šīm iemaksām, attiecīgajā gadījumā palielina par nesamazinātām īpašām paaugstinātām iemaksām papildu apdrošināšanai un kalnraču papildu pabalstam. </w:t>
      </w:r>
    </w:p>
    <w:p w:rsidR="003E022D" w:rsidRDefault="007D19D6">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Ja saskaņā ar protokola SSC.7. pantu [Periodu summēšana] Austrijas pensijas apdrošināšanas sistēmā ir izpildīti aizvietošanas periodi, bet tie nevar būt par pamatu aprēķinam atbilstīgi </w:t>
      </w:r>
      <w:r>
        <w:rPr>
          <w:rFonts w:asciiTheme="majorHAnsi" w:hAnsiTheme="majorHAnsi"/>
          <w:i/>
          <w:iCs/>
          <w:noProof/>
          <w:color w:val="000000"/>
        </w:rPr>
        <w:t>ASVG</w:t>
      </w:r>
      <w:r>
        <w:rPr>
          <w:rFonts w:asciiTheme="majorHAnsi" w:hAnsiTheme="majorHAnsi"/>
          <w:noProof/>
          <w:color w:val="000000"/>
        </w:rPr>
        <w:t xml:space="preserve"> 238. un 239. pantam, </w:t>
      </w:r>
      <w:r>
        <w:rPr>
          <w:rFonts w:asciiTheme="majorHAnsi" w:hAnsiTheme="majorHAnsi"/>
          <w:i/>
          <w:iCs/>
          <w:noProof/>
          <w:color w:val="000000"/>
        </w:rPr>
        <w:t>GSVG</w:t>
      </w:r>
      <w:r>
        <w:rPr>
          <w:rFonts w:asciiTheme="majorHAnsi" w:hAnsiTheme="majorHAnsi"/>
          <w:noProof/>
          <w:color w:val="000000"/>
        </w:rPr>
        <w:t xml:space="preserve"> 122. un 123. pantam un </w:t>
      </w:r>
      <w:r>
        <w:rPr>
          <w:rFonts w:asciiTheme="majorHAnsi" w:hAnsiTheme="majorHAnsi"/>
          <w:i/>
          <w:iCs/>
          <w:noProof/>
          <w:color w:val="000000"/>
        </w:rPr>
        <w:t>BSVG</w:t>
      </w:r>
      <w:r>
        <w:rPr>
          <w:rFonts w:asciiTheme="majorHAnsi" w:hAnsiTheme="majorHAnsi"/>
          <w:noProof/>
          <w:color w:val="000000"/>
        </w:rPr>
        <w:t xml:space="preserve"> 113. un 114.</w:t>
      </w:r>
      <w:r>
        <w:rPr>
          <w:rFonts w:asciiTheme="majorHAnsi" w:hAnsiTheme="majorHAnsi"/>
          <w:noProof/>
          <w:color w:val="000000"/>
        </w:rPr>
        <w:t xml:space="preserve"> pantam, attiecībā uz šiem periodiem izmanto bērna kopšanas periodu aprēķināšanas pamatu saskaņā ar </w:t>
      </w:r>
      <w:r>
        <w:rPr>
          <w:rFonts w:asciiTheme="majorHAnsi" w:hAnsiTheme="majorHAnsi"/>
          <w:i/>
          <w:iCs/>
          <w:noProof/>
          <w:color w:val="000000"/>
        </w:rPr>
        <w:t>ASVG</w:t>
      </w:r>
      <w:r>
        <w:rPr>
          <w:rFonts w:asciiTheme="majorHAnsi" w:hAnsiTheme="majorHAnsi"/>
          <w:noProof/>
          <w:color w:val="000000"/>
        </w:rPr>
        <w:t xml:space="preserve"> 239. pantu, </w:t>
      </w:r>
      <w:r>
        <w:rPr>
          <w:rFonts w:asciiTheme="majorHAnsi" w:hAnsiTheme="majorHAnsi"/>
          <w:i/>
          <w:iCs/>
          <w:noProof/>
          <w:color w:val="000000"/>
        </w:rPr>
        <w:t>GSVG</w:t>
      </w:r>
      <w:r>
        <w:rPr>
          <w:rFonts w:asciiTheme="majorHAnsi" w:hAnsiTheme="majorHAnsi"/>
          <w:noProof/>
          <w:color w:val="000000"/>
        </w:rPr>
        <w:t xml:space="preserve"> 123. pantu un </w:t>
      </w:r>
      <w:r>
        <w:rPr>
          <w:rFonts w:asciiTheme="majorHAnsi" w:hAnsiTheme="majorHAnsi"/>
          <w:i/>
          <w:iCs/>
          <w:noProof/>
          <w:color w:val="000000"/>
        </w:rPr>
        <w:t>BSVG</w:t>
      </w:r>
      <w:r>
        <w:rPr>
          <w:rFonts w:asciiTheme="majorHAnsi" w:hAnsiTheme="majorHAnsi"/>
          <w:noProof/>
          <w:color w:val="000000"/>
        </w:rPr>
        <w:t xml:space="preserve"> 114. pantu.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BULGĀRIJA </w:t>
      </w:r>
    </w:p>
    <w:p w:rsidR="003E022D" w:rsidRDefault="007D19D6">
      <w:pPr>
        <w:rPr>
          <w:rFonts w:asciiTheme="majorHAnsi" w:eastAsia="Arial" w:hAnsiTheme="majorHAnsi" w:cs="Arial"/>
          <w:noProof/>
        </w:rPr>
      </w:pPr>
      <w:r>
        <w:rPr>
          <w:rFonts w:asciiTheme="majorHAnsi" w:hAnsiTheme="majorHAnsi"/>
          <w:noProof/>
          <w:color w:val="000000"/>
        </w:rPr>
        <w:t xml:space="preserve">Bulgārijas veselības apdrošināšanas likuma 33. panta 1. punktu piemēro visām personām, kam </w:t>
      </w:r>
      <w:r>
        <w:rPr>
          <w:rFonts w:asciiTheme="majorHAnsi" w:hAnsiTheme="majorHAnsi"/>
          <w:noProof/>
          <w:color w:val="000000"/>
        </w:rPr>
        <w:t xml:space="preserve">Bulgārija saskaņā ar protokola III sadaļas [Īpaši noteikumi par dažādām pabalstu kategorijām] 1. nodaļu [Slimības, maternitātes un līdzvērtīgi paternitātes pabalsti] ir kompetentā dalībvalsts. </w:t>
      </w:r>
    </w:p>
    <w:p w:rsidR="003E022D" w:rsidRDefault="007D19D6">
      <w:pPr>
        <w:spacing w:before="248"/>
        <w:ind w:left="610"/>
        <w:rPr>
          <w:rFonts w:asciiTheme="majorHAnsi" w:eastAsia="Arial" w:hAnsiTheme="majorHAnsi" w:cs="Arial"/>
          <w:noProof/>
        </w:rPr>
      </w:pPr>
      <w:r>
        <w:rPr>
          <w:rFonts w:asciiTheme="majorHAnsi" w:hAnsiTheme="majorHAnsi"/>
          <w:noProof/>
          <w:color w:val="000000"/>
        </w:rPr>
        <w:t xml:space="preserve">KIPRA </w:t>
      </w:r>
    </w:p>
    <w:p w:rsidR="003E022D" w:rsidRDefault="007D19D6">
      <w:pPr>
        <w:rPr>
          <w:rFonts w:asciiTheme="majorHAnsi" w:eastAsia="Arial" w:hAnsiTheme="majorHAnsi" w:cs="Arial"/>
          <w:noProof/>
          <w:color w:val="000000"/>
        </w:rPr>
      </w:pPr>
      <w:r>
        <w:rPr>
          <w:rFonts w:asciiTheme="majorHAnsi" w:hAnsiTheme="majorHAnsi"/>
          <w:noProof/>
          <w:color w:val="000000"/>
        </w:rPr>
        <w:t>Lai piemērotu SSC.7. pantu [Periodu summēšana], SSC.46.</w:t>
      </w:r>
      <w:r>
        <w:rPr>
          <w:rFonts w:asciiTheme="majorHAnsi" w:hAnsiTheme="majorHAnsi"/>
          <w:noProof/>
          <w:color w:val="000000"/>
        </w:rPr>
        <w:t> pantu [Īpaši noteikumi par periodu summēšanu] un SSC.56. pantu [Īpaši noteikumi par apdrošināšanas, nodarbinātības vai pašnodarbinātības periodu summēšanu], attiecībā uz visiem periodiem, kas sākas 1980. gada 6. oktobrī vai pēc šā datuma, Kipras Republika</w:t>
      </w:r>
      <w:r>
        <w:rPr>
          <w:rFonts w:asciiTheme="majorHAnsi" w:hAnsiTheme="majorHAnsi"/>
          <w:noProof/>
          <w:color w:val="000000"/>
        </w:rPr>
        <w:t>s tiesību aktos paredzēto apdrošināšanas nedēļu nosaka, attiecīgā perioda apdrošināmo ienākumu kopsummu dalot ar apdrošināmo pamatienākumu nedēļas apmēru, ko piemēro attiecīgajā iemaksu gadā, ar noteikumu, ka šādi noteikto nedēļu skaits nepārsniedz kalendā</w:t>
      </w:r>
      <w:r>
        <w:rPr>
          <w:rFonts w:asciiTheme="majorHAnsi" w:hAnsiTheme="majorHAnsi"/>
          <w:noProof/>
          <w:color w:val="000000"/>
        </w:rPr>
        <w:t xml:space="preserve">ro nedēļu skaitu attiecīgajā periodā. </w:t>
      </w:r>
    </w:p>
    <w:p w:rsidR="003E022D" w:rsidRDefault="007D19D6">
      <w:pPr>
        <w:spacing w:before="251"/>
        <w:ind w:left="619"/>
        <w:rPr>
          <w:rFonts w:asciiTheme="majorHAnsi" w:eastAsia="Arial" w:hAnsiTheme="majorHAnsi" w:cs="Arial"/>
          <w:noProof/>
        </w:rPr>
      </w:pPr>
      <w:r>
        <w:rPr>
          <w:rFonts w:asciiTheme="majorHAnsi" w:hAnsiTheme="majorHAnsi"/>
          <w:noProof/>
          <w:color w:val="000000"/>
        </w:rPr>
        <w:t xml:space="preserve">ČEHIJAS REPUBLIKA </w:t>
      </w:r>
    </w:p>
    <w:p w:rsidR="003E022D" w:rsidRDefault="007D19D6">
      <w:pPr>
        <w:rPr>
          <w:rFonts w:asciiTheme="majorHAnsi" w:eastAsia="Arial" w:hAnsiTheme="majorHAnsi" w:cs="Arial"/>
          <w:noProof/>
        </w:rPr>
      </w:pPr>
      <w:r>
        <w:rPr>
          <w:rFonts w:asciiTheme="majorHAnsi" w:hAnsiTheme="majorHAnsi"/>
          <w:noProof/>
          <w:color w:val="000000"/>
        </w:rPr>
        <w:t>Nosakot ģimenes locekļus saskaņā ar protokola SSC.1. panta [Definīcijas] s) punktu, “dzīvesbiedrs” ietver arī reģistrētus partnerus, kā noteikts Čehijas Republikas Likumā 115/2006 Coll. par reģistrē</w:t>
      </w:r>
      <w:r>
        <w:rPr>
          <w:rFonts w:asciiTheme="majorHAnsi" w:hAnsiTheme="majorHAnsi"/>
          <w:noProof/>
          <w:color w:val="000000"/>
        </w:rPr>
        <w:t xml:space="preserve">tām partnerattiecībām.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DĀNIJA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1.</w:t>
      </w:r>
      <w:r>
        <w:rPr>
          <w:noProof/>
        </w:rPr>
        <w:tab/>
      </w:r>
    </w:p>
    <w:p w:rsidR="003E022D" w:rsidRDefault="007D19D6">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Aprēķinot pensiju saskaņā ar </w:t>
      </w:r>
      <w:r>
        <w:rPr>
          <w:rFonts w:asciiTheme="majorHAnsi" w:hAnsiTheme="majorHAnsi"/>
          <w:i/>
          <w:iCs/>
          <w:noProof/>
          <w:color w:val="000000"/>
        </w:rPr>
        <w:t>lov om social pension</w:t>
      </w:r>
      <w:r>
        <w:rPr>
          <w:rFonts w:asciiTheme="majorHAnsi" w:hAnsiTheme="majorHAnsi"/>
          <w:noProof/>
          <w:color w:val="000000"/>
        </w:rPr>
        <w:t xml:space="preserve"> (sociālo pensiju likums), tādus nodarbinātības periodus nodarbinātas vai pašnodarbinātas personas statusā, ko Dānijā izpildījusi tāda nodarbināta vai pašnodarbināta pers</w:t>
      </w:r>
      <w:r>
        <w:rPr>
          <w:rFonts w:asciiTheme="majorHAnsi" w:hAnsiTheme="majorHAnsi"/>
          <w:noProof/>
          <w:color w:val="000000"/>
        </w:rPr>
        <w:t>ona, kas bijusi pārrobežu darba ņēmējs vai sezonas strādnieks Dānijā, uzskata par dzīvesvietas periodiem, ko Dānijā izpildījis pārdzīvojušais laulātais, ciktāl šajā periodā šo pārdzīvojušo laulāto ar iepriekš minēto nodarbināto vai pašnodarbināto personu s</w:t>
      </w:r>
      <w:r>
        <w:rPr>
          <w:rFonts w:asciiTheme="majorHAnsi" w:hAnsiTheme="majorHAnsi"/>
          <w:noProof/>
          <w:color w:val="000000"/>
        </w:rPr>
        <w:t xml:space="preserve">aistīja laulība, kas nebija šķirta </w:t>
      </w:r>
      <w:r>
        <w:rPr>
          <w:rFonts w:asciiTheme="majorHAnsi" w:hAnsiTheme="majorHAnsi"/>
          <w:i/>
          <w:iCs/>
          <w:noProof/>
          <w:color w:val="000000"/>
        </w:rPr>
        <w:t>a mensa et thoro</w:t>
      </w:r>
      <w:r>
        <w:rPr>
          <w:rFonts w:asciiTheme="majorHAnsi" w:hAnsiTheme="majorHAnsi"/>
          <w:noProof/>
          <w:color w:val="000000"/>
        </w:rPr>
        <w:t xml:space="preserve"> vai faktiski šķirta raksturu nesaderības dēļ, un ar noteikumu, ka šajā periodā šis laulātais dzīvoja kādā citā valstī. Šajā punktā “sezonas darbs” ir tāds darbs, kas ir atkarīgs no gadalaiku secības un au</w:t>
      </w:r>
      <w:r>
        <w:rPr>
          <w:rFonts w:asciiTheme="majorHAnsi" w:hAnsiTheme="majorHAnsi"/>
          <w:noProof/>
          <w:color w:val="000000"/>
        </w:rPr>
        <w:t>tomātiski atkārtojas katru gadu.</w:t>
      </w:r>
    </w:p>
    <w:p w:rsidR="003E022D" w:rsidRDefault="007D19D6">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Aprēķinot pensiju saskaņā ar </w:t>
      </w:r>
      <w:r>
        <w:rPr>
          <w:rFonts w:asciiTheme="majorHAnsi" w:hAnsiTheme="majorHAnsi"/>
          <w:i/>
          <w:iCs/>
          <w:noProof/>
          <w:color w:val="000000"/>
        </w:rPr>
        <w:t>lov om social pension</w:t>
      </w:r>
      <w:r>
        <w:rPr>
          <w:rFonts w:asciiTheme="majorHAnsi" w:hAnsiTheme="majorHAnsi"/>
          <w:noProof/>
          <w:color w:val="000000"/>
        </w:rPr>
        <w:t xml:space="preserve"> (Sociālo pensiju likumu), tādus nodarbinātības periodus nodarbinātas vai pašnodarbinātas personas statusā, ko saskaņā ar Dānijas tiesību aktiem līdz 1984. gada 1. janvārim </w:t>
      </w:r>
      <w:r>
        <w:rPr>
          <w:rFonts w:asciiTheme="majorHAnsi" w:hAnsiTheme="majorHAnsi"/>
          <w:noProof/>
          <w:color w:val="000000"/>
        </w:rPr>
        <w:t xml:space="preserve">izpildījusi tāda persona, kurai nepiemēro a) punktu, uzskata par dzīvesvietas periodiem, ko Dānijā izpildījis pārdzīvojušais laulātais, ciktāl šādā periodā šo pārdzīvojušo laulāto ar minēto personu saistīja laulība, kas nebija šķirta </w:t>
      </w:r>
      <w:r>
        <w:rPr>
          <w:rFonts w:asciiTheme="majorHAnsi" w:hAnsiTheme="majorHAnsi"/>
          <w:i/>
          <w:iCs/>
          <w:noProof/>
          <w:color w:val="000000"/>
        </w:rPr>
        <w:t>a mensa et thoro</w:t>
      </w:r>
      <w:r>
        <w:rPr>
          <w:rFonts w:asciiTheme="majorHAnsi" w:hAnsiTheme="majorHAnsi"/>
          <w:noProof/>
          <w:color w:val="000000"/>
        </w:rPr>
        <w:t xml:space="preserve"> vai f</w:t>
      </w:r>
      <w:r>
        <w:rPr>
          <w:rFonts w:asciiTheme="majorHAnsi" w:hAnsiTheme="majorHAnsi"/>
          <w:noProof/>
          <w:color w:val="000000"/>
        </w:rPr>
        <w:t xml:space="preserve">aktiski šķirta raksturu nesaderības dēļ, un ar noteikumu, ka šajā periodā šis laulātais dzīvoja kādā citā valstī. </w:t>
      </w:r>
    </w:p>
    <w:p w:rsidR="003E022D" w:rsidRDefault="007D19D6">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Periodus, kas jāņem vērā saskaņā ar a) un b) punktu, neņem vērā tad, ja tie sakrīt ar tādiem periodiem, kas ņemti vērā, aprēķinot pensiju, ku</w:t>
      </w:r>
      <w:r>
        <w:rPr>
          <w:rFonts w:asciiTheme="majorHAnsi" w:hAnsiTheme="majorHAnsi"/>
          <w:noProof/>
          <w:color w:val="000000"/>
        </w:rPr>
        <w:t>ra attiecīgajai personai pienākas saskaņā ar citas valsts tiesību aktiem par obligāto apdrošināšanu, vai sakrīt ar tādiem periodiem, kuros attiecīgā persona saņēma pensiju saskaņā ar šādiem tiesību aktiem. Šos periodus tomēr ņem vērā tad, ja minētās pensij</w:t>
      </w:r>
      <w:r>
        <w:rPr>
          <w:rFonts w:asciiTheme="majorHAnsi" w:hAnsiTheme="majorHAnsi"/>
          <w:noProof/>
          <w:color w:val="000000"/>
        </w:rPr>
        <w:t>as summa gadā nesasniedz pusi no sociālās pensijas pamatsummas.</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3E022D" w:rsidRDefault="007D19D6">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Neskarot protokola SSC.7. pantu [Periodu summēšana], personas, kas nav strādājušas algotu darbu vienā vai vairākās valstīs, ir tiesīgas saņemt Dānijas sociālo pensiju tikai tad, ja tās ir </w:t>
      </w:r>
      <w:r>
        <w:rPr>
          <w:rFonts w:asciiTheme="majorHAnsi" w:hAnsiTheme="majorHAnsi"/>
          <w:noProof/>
          <w:color w:val="000000"/>
        </w:rPr>
        <w:t>vai iepriekš ir bijušas Dānijas pastāvīgie iedzīvotāji vismaz trīs gadus saskaņā ar Dānijas tiesību aktu noteiktajiem vecuma ierobežojumiem. Saskaņā ar protokola SSC.5. pantu [Vienlīdzīga attieksme] Dānijas sociālajai pensijai, kuru var saņemt iepriekš min</w:t>
      </w:r>
      <w:r>
        <w:rPr>
          <w:rFonts w:asciiTheme="majorHAnsi" w:hAnsiTheme="majorHAnsi"/>
          <w:noProof/>
          <w:color w:val="000000"/>
        </w:rPr>
        <w:t>ētās personas, nepiemēro protokola SSC.8. pantu [Noteikumu par dzīvesvietu nepiemērošana];</w:t>
      </w:r>
    </w:p>
    <w:p w:rsidR="003E022D" w:rsidRDefault="007D19D6">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Noteikumus, kas minēti a) apakšpunktā, nepiemēro tiesībām Dānijas sociālo pensiju saņemt personu ģimenes locekļiem, kas strādā vai ir strādājušas algotu darbu Dānijā</w:t>
      </w:r>
      <w:r>
        <w:rPr>
          <w:rFonts w:asciiTheme="majorHAnsi" w:hAnsiTheme="majorHAnsi"/>
          <w:noProof/>
          <w:color w:val="000000"/>
        </w:rPr>
        <w:t xml:space="preserve">, vai studentiem vai to ģimenes locekļiem.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Uz bezdarbnieku pabalstu uz ierobežotu periodu, kurus atzīst </w:t>
      </w:r>
      <w:r>
        <w:rPr>
          <w:rFonts w:asciiTheme="majorHAnsi" w:hAnsiTheme="majorHAnsi"/>
          <w:i/>
          <w:iCs/>
          <w:noProof/>
          <w:color w:val="000000"/>
        </w:rPr>
        <w:t>ledighedsydelse</w:t>
      </w:r>
      <w:r>
        <w:rPr>
          <w:rFonts w:asciiTheme="majorHAnsi" w:hAnsiTheme="majorHAnsi"/>
          <w:noProof/>
          <w:color w:val="000000"/>
        </w:rPr>
        <w:t xml:space="preserve"> (“elastīgā darba” sistēma) (1997. gada 10. jūnija Likums Nr. 455), attiecas protokola III. sadaļas [Īpaši noteikumi par dažādām paba</w:t>
      </w:r>
      <w:r>
        <w:rPr>
          <w:rFonts w:asciiTheme="majorHAnsi" w:hAnsiTheme="majorHAnsi"/>
          <w:noProof/>
          <w:color w:val="000000"/>
        </w:rPr>
        <w:t xml:space="preserve">lstu kategorijām] 6. nodaļa [Bezdarbnieka pabalsti].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Ja kāds Dānijas sociālās pensijas saņēmējs ir tiesīgs saņemt arī no citas valsts apgādnieka zaudējuma pabalstu, tad, īstenojot Dānijas tiesību aktus, šos pabalstus uzskata par viena un tā paša veida</w:t>
      </w:r>
      <w:r>
        <w:rPr>
          <w:rFonts w:asciiTheme="majorHAnsi" w:hAnsiTheme="majorHAnsi"/>
          <w:noProof/>
          <w:color w:val="000000"/>
        </w:rPr>
        <w:t xml:space="preserve"> pabalstiem regulas SSC.48. panta [Noteikumi par pārklāšanās novēršanu] 1. punkta nozīmē, tomēr ar nosacījumu, ka persona, kuras apdrošināšanas vai dzīvesvietas periodi kalpo par pamatu apgādnieka zaudējuma pabalsta aprēķināšanai, ir turklāt ieguvusi tiesī</w:t>
      </w:r>
      <w:r>
        <w:rPr>
          <w:rFonts w:asciiTheme="majorHAnsi" w:hAnsiTheme="majorHAnsi"/>
          <w:noProof/>
          <w:color w:val="000000"/>
        </w:rPr>
        <w:t xml:space="preserve">bas uz Dānijas sociālo pensiju. </w:t>
      </w:r>
    </w:p>
    <w:p w:rsidR="003E022D" w:rsidRDefault="007D19D6">
      <w:pPr>
        <w:spacing w:before="246"/>
        <w:ind w:left="619"/>
        <w:rPr>
          <w:rFonts w:asciiTheme="majorHAnsi" w:eastAsia="Arial" w:hAnsiTheme="majorHAnsi" w:cs="Arial"/>
          <w:noProof/>
        </w:rPr>
      </w:pPr>
      <w:r>
        <w:rPr>
          <w:rFonts w:asciiTheme="majorHAnsi" w:hAnsiTheme="majorHAnsi"/>
          <w:noProof/>
          <w:color w:val="000000"/>
        </w:rPr>
        <w:t xml:space="preserve">IGAUNIJA </w:t>
      </w:r>
    </w:p>
    <w:p w:rsidR="003E022D" w:rsidRDefault="007D19D6">
      <w:pPr>
        <w:spacing w:before="248"/>
        <w:rPr>
          <w:rFonts w:asciiTheme="majorHAnsi" w:eastAsia="Arial" w:hAnsiTheme="majorHAnsi" w:cs="Arial"/>
          <w:noProof/>
        </w:rPr>
      </w:pPr>
      <w:r>
        <w:rPr>
          <w:rFonts w:asciiTheme="majorHAnsi" w:hAnsiTheme="majorHAnsi"/>
          <w:noProof/>
          <w:color w:val="000000"/>
        </w:rPr>
        <w:t>Aprēķinot vecāku pabalstus, nodarbinātības periodu valstīs, izņemot Igauniju, uzskata par tādu, kam pamatā tā pati vidējā sociālo nodokļu summa, kas samaksāta Igaunijas nodarbinātības periodos, līdz kādiem tie uzk</w:t>
      </w:r>
      <w:r>
        <w:rPr>
          <w:rFonts w:asciiTheme="majorHAnsi" w:hAnsiTheme="majorHAnsi"/>
          <w:noProof/>
          <w:color w:val="000000"/>
        </w:rPr>
        <w:t xml:space="preserve">rāti. Ja pārskata gadā persona ir strādājusi citās valstīs, pabalsta aprēķinu uzskata par tādu, kam pamatā vidējā sociālo nodokļu summa, kas ir samaksāta Igaunijā no pārskata gada līdz dekrēta atvaļinājumam. SOMIJA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Nosakot pabalsta saņemšanas tiesības un aprēķinot Somijas valsts pensijas summu saskaņā ar SSC.47. [Pabalstu piešķiršana] – 49. [Viena veida pabalstu pārklāšanās] pantu , pensijas, kas ir iegūtas saskaņā ar citas dalībvalsts tiesību aktiem, tiek uzskatītas</w:t>
      </w:r>
      <w:r>
        <w:rPr>
          <w:rFonts w:asciiTheme="majorHAnsi" w:hAnsiTheme="majorHAnsi"/>
          <w:noProof/>
          <w:color w:val="000000"/>
        </w:rPr>
        <w:t xml:space="preserve"> par tādā pašā veidā iegūtām pensijām kā atbilstīgi Somijas tiesību aktiem iegūtās.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Piemērojot SSC.47. panta [Pabalstu piešķiršana] 1. punkta b) apakšpunkta i) punktu, lai aprēķinātu ienākumus attiecībā uz ieskaitīto periodu saskaņā ar Somijas tiesību </w:t>
      </w:r>
      <w:r>
        <w:rPr>
          <w:rFonts w:asciiTheme="majorHAnsi" w:hAnsiTheme="majorHAnsi"/>
          <w:noProof/>
          <w:color w:val="000000"/>
        </w:rPr>
        <w:t>aktiem par pensijām, kas balstītas uz ienākumiem, ja privātpersona atskaites perioda daļā saskaņā ar Somijas tiesību aktiem ir izpildījusi pensijas apdrošināšanas periodus, pamatojoties uz veikto darbību nodarbinātas vai pašnodarbinātas personas statusā ci</w:t>
      </w:r>
      <w:r>
        <w:rPr>
          <w:rFonts w:asciiTheme="majorHAnsi" w:hAnsiTheme="majorHAnsi"/>
          <w:noProof/>
          <w:color w:val="000000"/>
        </w:rPr>
        <w:t xml:space="preserve">tā valstī, ienākumi attiecībā uz ieskaitīto periodu ir līdzvērtīgi to ienākumu summai, kas ir saņemti atskaites perioda daļā Somijā, dalot ar to mēnešu skaitu, kas atskaites periodā Somijā ir izpildīti kā apdrošināšanas periodi. </w:t>
      </w:r>
    </w:p>
    <w:p w:rsidR="003E022D" w:rsidRDefault="007D19D6">
      <w:pPr>
        <w:spacing w:before="246"/>
        <w:ind w:left="619"/>
        <w:rPr>
          <w:rFonts w:asciiTheme="majorHAnsi" w:eastAsia="Arial" w:hAnsiTheme="majorHAnsi" w:cs="Arial"/>
          <w:noProof/>
        </w:rPr>
      </w:pPr>
      <w:r>
        <w:rPr>
          <w:rFonts w:asciiTheme="majorHAnsi" w:hAnsiTheme="majorHAnsi"/>
          <w:noProof/>
          <w:color w:val="000000"/>
        </w:rPr>
        <w:t xml:space="preserve">FRANCIJA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Personām, kas</w:t>
      </w:r>
      <w:r>
        <w:rPr>
          <w:rFonts w:asciiTheme="majorHAnsi" w:hAnsiTheme="majorHAnsi"/>
          <w:noProof/>
          <w:color w:val="000000"/>
        </w:rPr>
        <w:t xml:space="preserve"> saņem pabalstus natūrā Francijā saskaņā ar SSC.15. pantu [Dzīvesvieta valstī, kura nav kompetentā valsts], 24. pantu [Ģimenes locekļu dzīvesvieta valstī, kurā nedzīvo pensionārs] un kas dzīvo Francijas departamentos Augšreinā, Lejasreinā un Mozelē, pabals</w:t>
      </w:r>
      <w:r>
        <w:rPr>
          <w:rFonts w:asciiTheme="majorHAnsi" w:hAnsiTheme="majorHAnsi"/>
          <w:noProof/>
          <w:color w:val="000000"/>
        </w:rPr>
        <w:t>ti natūrā, ko paredz citas valsts iestādes, kuras ir atbildīgas par šo izmaksu segšanu, iekļauj pabalstus, kurus paredz gan Elzasas Mozeles vispārējā slimības gadījumu apdrošināšanas sistēma, gan obligātā papildu vietējā slimības gadījumu apdrošināšanas si</w:t>
      </w:r>
      <w:r>
        <w:rPr>
          <w:rFonts w:asciiTheme="majorHAnsi" w:hAnsiTheme="majorHAnsi"/>
          <w:noProof/>
          <w:color w:val="000000"/>
        </w:rPr>
        <w:t>stēma.</w:t>
      </w:r>
    </w:p>
    <w:p w:rsidR="003E022D" w:rsidRDefault="007D19D6">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Francijas tiesību akti, kas attiecas uz personu, kas pašlaik veic vai iepriekš ir veikusi darbību nodarbinātas vai pašnodarbinātas personas statusā, lai piemērotu III sadaļas [Īpaši noteikumi par dažādām pabalstu kategorijām] 5. nodaļu [Vecuma pe</w:t>
      </w:r>
      <w:r>
        <w:rPr>
          <w:rFonts w:asciiTheme="majorHAnsi" w:hAnsiTheme="majorHAnsi"/>
          <w:noProof/>
          <w:color w:val="000000"/>
        </w:rPr>
        <w:t xml:space="preserve">nsijas un apgādnieka zaudējuma pabalsti], ietver kā pamata vecuma apdrošināšanas sistēmu(-as), tā arī papildpensiju sistēmu(-as), kurā(-ās) attiecīgā persona bija iesaistījusies. </w:t>
      </w:r>
    </w:p>
    <w:p w:rsidR="003E022D" w:rsidRDefault="007D19D6">
      <w:pPr>
        <w:spacing w:before="248"/>
        <w:ind w:left="610"/>
        <w:rPr>
          <w:rFonts w:asciiTheme="majorHAnsi" w:eastAsia="Arial" w:hAnsiTheme="majorHAnsi" w:cs="Arial"/>
          <w:noProof/>
        </w:rPr>
      </w:pPr>
      <w:r>
        <w:rPr>
          <w:rFonts w:asciiTheme="majorHAnsi" w:hAnsiTheme="majorHAnsi"/>
          <w:noProof/>
          <w:color w:val="000000"/>
        </w:rPr>
        <w:t xml:space="preserve">VĀCIJA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Neskarot protokola SSC.6. panta [Vienlīdzīga attieksme pret pabal</w:t>
      </w:r>
      <w:r>
        <w:rPr>
          <w:rFonts w:asciiTheme="majorHAnsi" w:hAnsiTheme="majorHAnsi"/>
          <w:noProof/>
          <w:color w:val="000000"/>
        </w:rPr>
        <w:t xml:space="preserve">stiem, ienākumiem, faktiem vai notikumiem] a) punktu un </w:t>
      </w:r>
      <w:r>
        <w:rPr>
          <w:rFonts w:asciiTheme="majorHAnsi" w:hAnsiTheme="majorHAnsi"/>
          <w:i/>
          <w:iCs/>
          <w:noProof/>
          <w:color w:val="000000"/>
        </w:rPr>
        <w:t>Sozialgesetzbuch</w:t>
      </w:r>
      <w:r>
        <w:rPr>
          <w:rFonts w:asciiTheme="majorHAnsi" w:hAnsiTheme="majorHAnsi"/>
          <w:noProof/>
          <w:color w:val="000000"/>
        </w:rPr>
        <w:t xml:space="preserve"> VI (Sociālā kodeksa VI sējums) 5. panta 4. punkta 1. apakšpunktu, persona, kura saņem pilnu vecuma pensiju saskaņā ar citas valsts tiesību aktiem, var lūgt, lai to obligāti apdrošina </w:t>
      </w:r>
      <w:r>
        <w:rPr>
          <w:rFonts w:asciiTheme="majorHAnsi" w:hAnsiTheme="majorHAnsi"/>
          <w:noProof/>
          <w:color w:val="000000"/>
        </w:rPr>
        <w:t>atbilstīgi Vācijas pensiju apdrošināšanas sistēmai.</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Neskarot protokola SSC.6. panta [Vienlīdzīga attieksme pret pabalstiem, ienākumiem, faktiem vai notikumiem] a) punktu un </w:t>
      </w:r>
      <w:r>
        <w:rPr>
          <w:rFonts w:asciiTheme="majorHAnsi" w:hAnsiTheme="majorHAnsi"/>
          <w:i/>
          <w:iCs/>
          <w:noProof/>
          <w:color w:val="000000"/>
        </w:rPr>
        <w:t>Sozialgesetzbuch</w:t>
      </w:r>
      <w:r>
        <w:rPr>
          <w:rFonts w:asciiTheme="majorHAnsi" w:hAnsiTheme="majorHAnsi"/>
          <w:noProof/>
          <w:color w:val="000000"/>
        </w:rPr>
        <w:t xml:space="preserve"> VI (Sociālās apdrošināšanas kodeksa VI sējuma) 7. pantu, person</w:t>
      </w:r>
      <w:r>
        <w:rPr>
          <w:rFonts w:asciiTheme="majorHAnsi" w:hAnsiTheme="majorHAnsi"/>
          <w:noProof/>
          <w:color w:val="000000"/>
        </w:rPr>
        <w:t>a, kas piedalās obligātajā apdrošināšanā kādā citā valstī vai saņem vecuma pensiju saskaņā ar citas valsts tiesību aktiem, var iesaistīties Vācijas brīvprātīgās apdrošināšanas shēmā.</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Lai saskaņā ar SGB V § 47(1), SGB VII §47(1) un </w:t>
      </w:r>
      <w:r>
        <w:rPr>
          <w:rFonts w:asciiTheme="majorHAnsi" w:hAnsiTheme="majorHAnsi"/>
          <w:i/>
          <w:noProof/>
          <w:color w:val="000000"/>
        </w:rPr>
        <w:t>Reichsversicherungsordnung</w:t>
      </w:r>
      <w:r>
        <w:rPr>
          <w:rFonts w:asciiTheme="majorHAnsi" w:hAnsiTheme="majorHAnsi"/>
          <w:noProof/>
          <w:color w:val="000000"/>
        </w:rPr>
        <w:t xml:space="preserve"> §200(2) piešķirtu naudas pabalstus apdrošinātām personām, kas dzīvo citā valstī, Vācijas apdrošināšanas sistēmas aprēķina neto izmaksājamo summu, ko izmanto, lai novērtētu pabalstus tā, it kā apdrošinātā persona dzīvotu Vācijā, j</w:t>
      </w:r>
      <w:r>
        <w:rPr>
          <w:rFonts w:asciiTheme="majorHAnsi" w:hAnsiTheme="majorHAnsi"/>
          <w:noProof/>
          <w:color w:val="000000"/>
        </w:rPr>
        <w:t>a vien apdrošinātā persona nelūdz novērtējumu, kas balstīts uz neto samaksu, ko tā reāli saņem.</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Citu valstu valstspiederīgie, kuru dzīvesvieta vai parastā uzturēšanās vieta atrodas ārpus Vācijas un kuri pilda vispārējos Vācijas pensiju apdrošināšanas si</w:t>
      </w:r>
      <w:r>
        <w:rPr>
          <w:rFonts w:asciiTheme="majorHAnsi" w:hAnsiTheme="majorHAnsi"/>
          <w:noProof/>
          <w:color w:val="000000"/>
        </w:rPr>
        <w:t xml:space="preserve">stēmas nosacījumus, var veikt brīvprātīgas iemaksas tajā tikai tādā gadījumā, ja tie kaut kad agrāk ir bijuši brīvprātīgi vai obligāti apdrošināti Vācijas pensiju apdrošināšanas sistēmā; tas attiecas arī uz bezvalstniekiem un bēgļiem, kuru dzīvesvieta vai </w:t>
      </w:r>
      <w:r>
        <w:rPr>
          <w:rFonts w:asciiTheme="majorHAnsi" w:hAnsiTheme="majorHAnsi"/>
          <w:noProof/>
          <w:color w:val="000000"/>
        </w:rPr>
        <w:t xml:space="preserve">parastā uzturēšanās vieta ir citā valstī.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5.</w:t>
      </w:r>
      <w:r>
        <w:rPr>
          <w:noProof/>
        </w:rPr>
        <w:tab/>
      </w:r>
      <w:r>
        <w:rPr>
          <w:rFonts w:asciiTheme="majorHAnsi" w:hAnsiTheme="majorHAnsi"/>
          <w:i/>
          <w:noProof/>
          <w:color w:val="000000"/>
        </w:rPr>
        <w:t>Pauschale Anrechnungszeit</w:t>
      </w:r>
      <w:r>
        <w:rPr>
          <w:rFonts w:asciiTheme="majorHAnsi" w:hAnsiTheme="majorHAnsi"/>
          <w:noProof/>
          <w:color w:val="000000"/>
        </w:rPr>
        <w:t xml:space="preserve"> (fiksēta kredīta periodu) saskaņā ar </w:t>
      </w:r>
      <w:r>
        <w:rPr>
          <w:rFonts w:asciiTheme="majorHAnsi" w:hAnsiTheme="majorHAnsi"/>
          <w:i/>
          <w:noProof/>
          <w:color w:val="000000"/>
        </w:rPr>
        <w:t>Sozialgesetzbuch</w:t>
      </w:r>
      <w:r>
        <w:rPr>
          <w:rFonts w:asciiTheme="majorHAnsi" w:hAnsiTheme="majorHAnsi"/>
          <w:noProof/>
          <w:color w:val="000000"/>
        </w:rPr>
        <w:t xml:space="preserve"> VI (Sociālās apdrošināšanas kodeksa VI sējuma) 253. pantu nosaka tikai ar atsauci uz Vācijā izpildītiem periodiem.</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6.</w:t>
      </w:r>
      <w:r>
        <w:rPr>
          <w:noProof/>
        </w:rPr>
        <w:tab/>
      </w:r>
      <w:r>
        <w:rPr>
          <w:rFonts w:asciiTheme="majorHAnsi" w:hAnsiTheme="majorHAnsi"/>
          <w:noProof/>
          <w:color w:val="000000"/>
        </w:rPr>
        <w:t>Gadījumos, k</w:t>
      </w:r>
      <w:r>
        <w:rPr>
          <w:rFonts w:asciiTheme="majorHAnsi" w:hAnsiTheme="majorHAnsi"/>
          <w:noProof/>
          <w:color w:val="000000"/>
        </w:rPr>
        <w:t xml:space="preserve">ad, no jauna aprēķinot pensiju, ir piemērojami Vācijas tiesību akti par pensiju, kas bija spēkā 1991. gada 31. decembrī, Vācijas </w:t>
      </w:r>
      <w:r>
        <w:rPr>
          <w:rFonts w:asciiTheme="majorHAnsi" w:hAnsiTheme="majorHAnsi"/>
          <w:i/>
          <w:noProof/>
          <w:color w:val="000000"/>
        </w:rPr>
        <w:t>Ersatzzeiten</w:t>
      </w:r>
      <w:r>
        <w:rPr>
          <w:rFonts w:asciiTheme="majorHAnsi" w:hAnsiTheme="majorHAnsi"/>
          <w:noProof/>
          <w:color w:val="000000"/>
        </w:rPr>
        <w:t xml:space="preserve"> (aizvietošanas periodu) ieskaitīšanai piemēro vienīgi Vācijas tiesību aktus.</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7.</w:t>
      </w:r>
      <w:r>
        <w:rPr>
          <w:noProof/>
        </w:rPr>
        <w:tab/>
      </w:r>
      <w:r>
        <w:rPr>
          <w:rFonts w:asciiTheme="majorHAnsi" w:hAnsiTheme="majorHAnsi"/>
          <w:noProof/>
          <w:color w:val="000000"/>
        </w:rPr>
        <w:t>Vācijas tiesību aktus par nelaimes</w:t>
      </w:r>
      <w:r>
        <w:rPr>
          <w:rFonts w:asciiTheme="majorHAnsi" w:hAnsiTheme="majorHAnsi"/>
          <w:noProof/>
          <w:color w:val="000000"/>
        </w:rPr>
        <w:t xml:space="preserve"> gadījumiem darbā un par arodslimībām, attiecībā uz kurām piešķir kompensācijas saskaņā ar ārvalstu pensiju likumu, un par pabalstiem attiecībā uz apdrošināšanas periodiem, ko saskaņā ar ārvalstu pensiju likumu var ieskaitīt periodos, kuri izpildīti terito</w:t>
      </w:r>
      <w:r>
        <w:rPr>
          <w:rFonts w:asciiTheme="majorHAnsi" w:hAnsiTheme="majorHAnsi"/>
          <w:noProof/>
          <w:color w:val="000000"/>
        </w:rPr>
        <w:t>rijās, kas minētas 1. panta 2. punkta 3. apakšpunktā Likumā par pārvietotām personām un bēgļiem (</w:t>
      </w:r>
      <w:r>
        <w:rPr>
          <w:rFonts w:asciiTheme="majorHAnsi" w:hAnsiTheme="majorHAnsi"/>
          <w:i/>
          <w:noProof/>
          <w:color w:val="000000"/>
        </w:rPr>
        <w:t>Bundesvertriebenengesetz</w:t>
      </w:r>
      <w:r>
        <w:rPr>
          <w:rFonts w:asciiTheme="majorHAnsi" w:hAnsiTheme="majorHAnsi"/>
          <w:noProof/>
          <w:color w:val="000000"/>
        </w:rPr>
        <w:t>), arī turpmāk piemēro šīs regulas piemērošanas jomā, neskarot ārvalstu pensiju likuma (</w:t>
      </w:r>
      <w:r>
        <w:rPr>
          <w:rFonts w:asciiTheme="majorHAnsi" w:hAnsiTheme="majorHAnsi"/>
          <w:i/>
          <w:noProof/>
          <w:color w:val="000000"/>
        </w:rPr>
        <w:t>Fremdrentengesetz</w:t>
      </w:r>
      <w:r>
        <w:rPr>
          <w:rFonts w:asciiTheme="majorHAnsi" w:hAnsiTheme="majorHAnsi"/>
          <w:noProof/>
          <w:color w:val="000000"/>
        </w:rPr>
        <w:t>) 2. pantu.</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8.</w:t>
      </w:r>
      <w:r>
        <w:rPr>
          <w:noProof/>
        </w:rPr>
        <w:tab/>
      </w:r>
      <w:r>
        <w:rPr>
          <w:rFonts w:asciiTheme="majorHAnsi" w:hAnsiTheme="majorHAnsi"/>
          <w:noProof/>
          <w:color w:val="000000"/>
        </w:rPr>
        <w:t>Aprēķinot SSC.4</w:t>
      </w:r>
      <w:r>
        <w:rPr>
          <w:rFonts w:asciiTheme="majorHAnsi" w:hAnsiTheme="majorHAnsi"/>
          <w:noProof/>
          <w:color w:val="000000"/>
        </w:rPr>
        <w:t>7. panta [Pabalstu piešķiršana], 1. punkta b) apakšpunkta i) punktā minēto teorētisko summu pensiju sistēmās brīvām profesijām, kompetentā iestāde attiecībā uz katru apdrošināšanas gadu, kas izpildīts saskaņā ar jebkuras citas valsts tiesību aktiem, balstā</w:t>
      </w:r>
      <w:r>
        <w:rPr>
          <w:rFonts w:asciiTheme="majorHAnsi" w:hAnsiTheme="majorHAnsi"/>
          <w:noProof/>
          <w:color w:val="000000"/>
        </w:rPr>
        <w:t xml:space="preserve">s uz vidējo gada pensiju, uz kuru tiesības iegūtas periodā, kad veiktas dalības iemaksas kompetentā iestādē. </w:t>
      </w:r>
    </w:p>
    <w:p w:rsidR="003E022D" w:rsidRDefault="007D19D6">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GRIEĶIJA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Likumu Nr. 1469/84 attiecībā uz brīvprātīgu pievienošanos pensiju apdrošināšanas sistēmām Grieķijas valstspiederīgajiem un grieķu </w:t>
      </w:r>
      <w:r>
        <w:rPr>
          <w:rFonts w:asciiTheme="majorHAnsi" w:hAnsiTheme="majorHAnsi"/>
          <w:noProof/>
          <w:color w:val="000000"/>
        </w:rPr>
        <w:t>izcelsmes ārzemju valstspiederīgajiem piemēro citu valstu valstspiederīgajiem, bezvalstniekiem un bēgļiem, ja attiecīgās personas neatkarīgi no to dzīvesvietas vai uzturēšanās vietas kādu laiku pagātnē obligāti vai brīvprātīgi ir piedalījušās Grieķijas pen</w:t>
      </w:r>
      <w:r>
        <w:rPr>
          <w:rFonts w:asciiTheme="majorHAnsi" w:hAnsiTheme="majorHAnsi"/>
          <w:noProof/>
          <w:color w:val="000000"/>
        </w:rPr>
        <w:t>siju apdrošināšanas sistēmā.</w:t>
      </w:r>
    </w:p>
    <w:p w:rsidR="003E022D" w:rsidRDefault="007D19D6">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Neskarot protokola SSC.6. panta [Vienlīdzīga attieksme pret pabalstiem, ienākumiem, faktiem vai notikumiem] a) punktu un Likuma 1140/1981 34. pantu, persona, kas saņem pensiju par nelaimes gadījumu darbā vai arodslimību sask</w:t>
      </w:r>
      <w:r>
        <w:rPr>
          <w:rFonts w:asciiTheme="majorHAnsi" w:hAnsiTheme="majorHAnsi"/>
          <w:noProof/>
          <w:color w:val="000000"/>
        </w:rPr>
        <w:t xml:space="preserve">aņā ar citas valsts tiesību aktiem, var lūgt, lai to obligātā kārtā apdrošina saskaņā ar </w:t>
      </w:r>
      <w:r>
        <w:rPr>
          <w:rFonts w:asciiTheme="majorHAnsi" w:hAnsiTheme="majorHAnsi"/>
          <w:i/>
          <w:iCs/>
          <w:noProof/>
          <w:color w:val="000000"/>
        </w:rPr>
        <w:t>OGA</w:t>
      </w:r>
      <w:r>
        <w:rPr>
          <w:rFonts w:asciiTheme="majorHAnsi" w:hAnsiTheme="majorHAnsi"/>
          <w:noProof/>
          <w:color w:val="000000"/>
        </w:rPr>
        <w:t xml:space="preserve"> piemērotajiem tiesību aktiem, ciktāl tā veic darbību, kas ietilpst tiesību akta darbības jomā.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ĪRIJA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Neskarot SSC. 19. panta [Naudas pabalsti] 2. punktu un SS</w:t>
      </w:r>
      <w:r>
        <w:rPr>
          <w:rFonts w:asciiTheme="majorHAnsi" w:hAnsiTheme="majorHAnsi"/>
          <w:noProof/>
          <w:color w:val="000000"/>
        </w:rPr>
        <w:t xml:space="preserve">C.57. pantu [Bezdarba pabalstu aprēķināšana], aprēķinot apdrošinātās personas noteiktos uzskaitītos nedēļas ienākumus, lai piešķirtu slimības vai bezdarbnieku pabalstu, kas paredzēts Īrijas tiesību aktos, summu, kas līdzvērtīga nodarbināto personu vidējai </w:t>
      </w:r>
      <w:r>
        <w:rPr>
          <w:rFonts w:asciiTheme="majorHAnsi" w:hAnsiTheme="majorHAnsi"/>
          <w:noProof/>
          <w:color w:val="000000"/>
        </w:rPr>
        <w:t>nedēļas algai attiecīgajā noteiktajā gadā, šai apdrošinātajai personai kreditē par katru darba nedēļu, ko tā kā nodarbināta persona minētajā noteiktajā gadā nostrādājusi saskaņā ar citas valsts tiesību aktiem.</w:t>
      </w:r>
    </w:p>
    <w:p w:rsidR="003E022D" w:rsidRDefault="007D19D6">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MALTA </w:t>
      </w:r>
    </w:p>
    <w:p w:rsidR="003E022D" w:rsidRDefault="007D19D6">
      <w:pPr>
        <w:rPr>
          <w:rFonts w:asciiTheme="majorHAnsi" w:eastAsia="Arial" w:hAnsiTheme="majorHAnsi" w:cs="Arial"/>
          <w:noProof/>
        </w:rPr>
      </w:pPr>
      <w:r>
        <w:rPr>
          <w:rFonts w:asciiTheme="majorHAnsi" w:hAnsiTheme="majorHAnsi"/>
          <w:noProof/>
          <w:color w:val="000000"/>
        </w:rPr>
        <w:t>Īpaši noteikumi civildienesta ierēdņiem</w:t>
      </w:r>
      <w:r>
        <w:rPr>
          <w:rFonts w:asciiTheme="majorHAnsi" w:hAnsiTheme="majorHAnsi"/>
          <w:noProof/>
          <w:color w:val="000000"/>
        </w:rPr>
        <w:t xml:space="preserve"> </w:t>
      </w:r>
    </w:p>
    <w:p w:rsidR="003E022D" w:rsidRDefault="007D19D6">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Vienīgi protokola SSC.43. panta [Īpaši noteikumi civildienesta ierēdņiem] un SSC.55. panta [Īpaši noteikumi civildienesta ierēdņiem] īstenošanai civildienesta ierēdņiem pielīdzina personas, kas nodarbinātas saskaņā ar Maltas Bruņoto spēku likumu (Maltas </w:t>
      </w:r>
      <w:r>
        <w:rPr>
          <w:rFonts w:asciiTheme="majorHAnsi" w:hAnsiTheme="majorHAnsi"/>
          <w:noProof/>
          <w:color w:val="000000"/>
        </w:rPr>
        <w:t>likumu 220. nodaļa), Policijas likumu (Maltas likumu 164. nodaļa) un Cietumu likumu (Maltas likumu 260. nodaļa);</w:t>
      </w:r>
    </w:p>
    <w:p w:rsidR="003E022D" w:rsidRDefault="007D19D6">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pensijas, ko izmaksā saskaņā ar iepriekš minētajiem likumiem un atbilstīgi Pensiju rīkojumam (Maltas likumu 93. nodaļa), uzskata par “īpašām si</w:t>
      </w:r>
      <w:r>
        <w:rPr>
          <w:rFonts w:asciiTheme="majorHAnsi" w:hAnsiTheme="majorHAnsi"/>
          <w:noProof/>
          <w:color w:val="000000"/>
        </w:rPr>
        <w:t xml:space="preserve">stēmām ierēdņiem” vienīgi protokola SSC.1. panta [Definīcijas] cc) punkta nozīmē. </w:t>
      </w:r>
    </w:p>
    <w:p w:rsidR="003E022D" w:rsidRDefault="007D19D6">
      <w:pPr>
        <w:spacing w:before="248"/>
        <w:ind w:left="619"/>
        <w:rPr>
          <w:rFonts w:asciiTheme="majorHAnsi" w:eastAsia="Arial" w:hAnsiTheme="majorHAnsi" w:cs="Arial"/>
          <w:noProof/>
        </w:rPr>
      </w:pPr>
      <w:r>
        <w:rPr>
          <w:rFonts w:asciiTheme="majorHAnsi" w:hAnsiTheme="majorHAnsi"/>
          <w:noProof/>
          <w:color w:val="000000"/>
        </w:rPr>
        <w:t xml:space="preserve">NĪDERLANDE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Veselības aprūpes apdrošināšana </w:t>
      </w:r>
    </w:p>
    <w:p w:rsidR="003E022D" w:rsidRDefault="007D19D6">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Attiecībā uz pabalstiem natūrā saskaņā ar Nīderlandes tiesību aktiem personas, kam ir tiesības tos saņemt protokola III sadaļ</w:t>
      </w:r>
      <w:r>
        <w:rPr>
          <w:rFonts w:asciiTheme="majorHAnsi" w:hAnsiTheme="majorHAnsi"/>
          <w:noProof/>
          <w:color w:val="000000"/>
        </w:rPr>
        <w:t xml:space="preserve">as 1. nodaļas [Slimības, maternitātes vai līdzvērtīgi paternitātes pabalsti] un 2. nodaļas [Pabalsti attiecībā uz nelaimes gadījumiem darbā un arodslimībām] īstenošanas vajadzībām, ir: </w:t>
      </w:r>
    </w:p>
    <w:p w:rsidR="003E022D" w:rsidRDefault="007D19D6">
      <w:pPr>
        <w:numPr>
          <w:ilvl w:val="0"/>
          <w:numId w:val="111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personas, kam saskaņā ar </w:t>
      </w:r>
      <w:r>
        <w:rPr>
          <w:rFonts w:asciiTheme="majorHAnsi" w:hAnsiTheme="majorHAnsi"/>
          <w:i/>
          <w:noProof/>
          <w:color w:val="000000"/>
        </w:rPr>
        <w:t>Zorgverzekeringswet</w:t>
      </w:r>
      <w:r>
        <w:rPr>
          <w:rFonts w:asciiTheme="majorHAnsi" w:hAnsiTheme="majorHAnsi"/>
          <w:noProof/>
          <w:color w:val="000000"/>
        </w:rPr>
        <w:t xml:space="preserve"> (Veselības aprūpes apdrošināšanas likums) 2. pantu ir jāapdrošinās pie veselības aprūpes apdrošinātāja; un</w:t>
      </w:r>
    </w:p>
    <w:p w:rsidR="003E022D" w:rsidRDefault="007D19D6">
      <w:pPr>
        <w:numPr>
          <w:ilvl w:val="0"/>
          <w:numId w:val="1111"/>
        </w:numPr>
        <w:pBdr>
          <w:top w:val="nil"/>
          <w:left w:val="nil"/>
          <w:bottom w:val="nil"/>
          <w:right w:val="nil"/>
          <w:between w:val="nil"/>
        </w:pBdr>
        <w:spacing w:before="160" w:after="91" w:line="259" w:lineRule="auto"/>
        <w:ind w:left="1276" w:hanging="567"/>
        <w:rPr>
          <w:rFonts w:asciiTheme="majorHAnsi" w:eastAsia="Arial" w:hAnsiTheme="majorHAnsi" w:cs="Arial"/>
          <w:noProof/>
          <w:color w:val="000000"/>
        </w:rPr>
      </w:pPr>
      <w:r>
        <w:rPr>
          <w:rFonts w:asciiTheme="majorHAnsi" w:hAnsiTheme="majorHAnsi"/>
          <w:noProof/>
          <w:color w:val="000000"/>
        </w:rPr>
        <w:t>ja uz viņiem jau neattiecas i) punkts – aktīvā dienestā esošu militārpersonu ģimenes locekļi, kas dzīvo citā valstī, un personas, kas ir citas valst</w:t>
      </w:r>
      <w:r>
        <w:rPr>
          <w:rFonts w:asciiTheme="majorHAnsi" w:hAnsiTheme="majorHAnsi"/>
          <w:noProof/>
          <w:color w:val="000000"/>
        </w:rPr>
        <w:t xml:space="preserve">s iedzīvotāji un kam saskaņā ar protokolu ir tiesības uz veselības aprūpi savā dzīvesvietas valstī, par ko izmaksas sedz Nīderlande. </w:t>
      </w:r>
    </w:p>
    <w:p w:rsidR="003E022D" w:rsidRDefault="007D19D6">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Personām, kas minētas 1. punkta a) apakšpunkta i) punktā saskaņā ar </w:t>
      </w:r>
      <w:r>
        <w:rPr>
          <w:rFonts w:asciiTheme="majorHAnsi" w:hAnsiTheme="majorHAnsi"/>
          <w:i/>
          <w:iCs/>
          <w:noProof/>
          <w:color w:val="000000"/>
        </w:rPr>
        <w:t>Zorgverzekeringswet</w:t>
      </w:r>
      <w:r>
        <w:rPr>
          <w:rFonts w:asciiTheme="majorHAnsi" w:hAnsiTheme="majorHAnsi"/>
          <w:noProof/>
          <w:color w:val="000000"/>
        </w:rPr>
        <w:t xml:space="preserve"> (Veselības apdrošināšanas likuma) </w:t>
      </w:r>
      <w:r>
        <w:rPr>
          <w:rFonts w:asciiTheme="majorHAnsi" w:hAnsiTheme="majorHAnsi"/>
          <w:noProof/>
          <w:color w:val="000000"/>
        </w:rPr>
        <w:t xml:space="preserve">noteikumiem ir jāapdrošinās pie veselības aprūpes apdrošinātāja, bet 1. punkta a) apakšpunkta ii) punktā minētajām personām ir jāreģistrējas </w:t>
      </w:r>
      <w:r>
        <w:rPr>
          <w:rFonts w:asciiTheme="majorHAnsi" w:hAnsiTheme="majorHAnsi"/>
          <w:i/>
          <w:iCs/>
          <w:noProof/>
          <w:color w:val="000000"/>
        </w:rPr>
        <w:t>College voor zorgverzekeringen</w:t>
      </w:r>
      <w:r>
        <w:rPr>
          <w:rFonts w:asciiTheme="majorHAnsi" w:hAnsiTheme="majorHAnsi"/>
          <w:noProof/>
          <w:color w:val="000000"/>
        </w:rPr>
        <w:t xml:space="preserve"> (Veselības aprūpes apdrošināšanas padomē).</w:t>
      </w:r>
    </w:p>
    <w:p w:rsidR="003E022D" w:rsidRDefault="007D19D6">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Noteikumi </w:t>
      </w:r>
      <w:r>
        <w:rPr>
          <w:rFonts w:asciiTheme="majorHAnsi" w:hAnsiTheme="majorHAnsi"/>
          <w:i/>
          <w:iCs/>
          <w:noProof/>
          <w:color w:val="000000"/>
        </w:rPr>
        <w:t>Zorgverzekeringswet</w:t>
      </w:r>
      <w:r>
        <w:rPr>
          <w:rFonts w:asciiTheme="majorHAnsi" w:hAnsiTheme="majorHAnsi"/>
          <w:noProof/>
          <w:color w:val="000000"/>
        </w:rPr>
        <w:t xml:space="preserve"> </w:t>
      </w:r>
      <w:r>
        <w:rPr>
          <w:rFonts w:asciiTheme="majorHAnsi" w:hAnsiTheme="majorHAnsi"/>
          <w:i/>
          <w:iCs/>
          <w:noProof/>
          <w:color w:val="000000"/>
        </w:rPr>
        <w:t>Algemene we</w:t>
      </w:r>
      <w:r>
        <w:rPr>
          <w:rFonts w:asciiTheme="majorHAnsi" w:hAnsiTheme="majorHAnsi"/>
          <w:i/>
          <w:iCs/>
          <w:noProof/>
          <w:color w:val="000000"/>
        </w:rPr>
        <w:t>t bijzondere ziektekosten</w:t>
      </w:r>
      <w:r>
        <w:rPr>
          <w:rFonts w:asciiTheme="majorHAnsi" w:hAnsiTheme="majorHAnsi"/>
          <w:noProof/>
          <w:color w:val="000000"/>
        </w:rPr>
        <w:t xml:space="preserve">(Veselības aprūpes apdrošināšanas likums) un </w:t>
      </w:r>
      <w:r>
        <w:rPr>
          <w:rFonts w:asciiTheme="majorHAnsi" w:hAnsiTheme="majorHAnsi"/>
          <w:i/>
          <w:iCs/>
          <w:noProof/>
          <w:color w:val="000000"/>
        </w:rPr>
        <w:t>Algemene wet bijzondere ziektekosten</w:t>
      </w:r>
      <w:r>
        <w:rPr>
          <w:rFonts w:asciiTheme="majorHAnsi" w:hAnsiTheme="majorHAnsi"/>
          <w:noProof/>
          <w:color w:val="000000"/>
        </w:rPr>
        <w:t xml:space="preserve"> (Vispārējs likums par īpašiem medicīnas izdevumiem) par pienākumu veikt iemaksas attiecas uz 1. punkta a) apakšpunktā minētajām personām un viņu ģime</w:t>
      </w:r>
      <w:r>
        <w:rPr>
          <w:rFonts w:asciiTheme="majorHAnsi" w:hAnsiTheme="majorHAnsi"/>
          <w:noProof/>
          <w:color w:val="000000"/>
        </w:rPr>
        <w:t>nes locekļiem. Attiecībā uz ģimenes locekļiem iemaksas ir jāiekasē no tās personas, no kuras atvasinātas tiesības uz veselības aprūpi, izņemot tos militārpersonu ģimenes locekļus, kuri dzīvo citā valstī un no kuriem iemaksas iekasē tieši.</w:t>
      </w:r>
    </w:p>
    <w:p w:rsidR="003E022D" w:rsidRDefault="007D19D6">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i/>
          <w:iCs/>
          <w:noProof/>
          <w:color w:val="000000"/>
        </w:rPr>
        <w:t>Zorgverzekeringsw</w:t>
      </w:r>
      <w:r>
        <w:rPr>
          <w:rFonts w:asciiTheme="majorHAnsi" w:hAnsiTheme="majorHAnsi"/>
          <w:i/>
          <w:iCs/>
          <w:noProof/>
          <w:color w:val="000000"/>
        </w:rPr>
        <w:t>et</w:t>
      </w:r>
      <w:r>
        <w:rPr>
          <w:rFonts w:asciiTheme="majorHAnsi" w:hAnsiTheme="majorHAnsi"/>
          <w:noProof/>
          <w:color w:val="000000"/>
        </w:rPr>
        <w:t xml:space="preserve"> (Veselības aprūpes apdrošināšanas likuma) noteikumi par novēloto apdrošināšanu pēc analoģijas attiecas arī uz novēlotu reģistrēšanos </w:t>
      </w:r>
      <w:r>
        <w:rPr>
          <w:rFonts w:asciiTheme="majorHAnsi" w:hAnsiTheme="majorHAnsi"/>
          <w:i/>
          <w:iCs/>
          <w:noProof/>
          <w:color w:val="000000"/>
        </w:rPr>
        <w:t>College voor zorgverzekeringen</w:t>
      </w:r>
      <w:r>
        <w:rPr>
          <w:rFonts w:asciiTheme="majorHAnsi" w:hAnsiTheme="majorHAnsi"/>
          <w:noProof/>
          <w:color w:val="000000"/>
        </w:rPr>
        <w:t xml:space="preserve"> (Veselības aprūpes apdrošināšanas padomē) attiecībā uz personām, kas ir minētas a) apakšp</w:t>
      </w:r>
      <w:r>
        <w:rPr>
          <w:rFonts w:asciiTheme="majorHAnsi" w:hAnsiTheme="majorHAnsi"/>
          <w:noProof/>
          <w:color w:val="000000"/>
        </w:rPr>
        <w:t>unkta ii) punktā.</w:t>
      </w:r>
    </w:p>
    <w:p w:rsidR="003E022D" w:rsidRDefault="007D19D6">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Personām, kurām ir tiesības saņemt pabalstus natūrā, pamatojoties uz citas valsts, bet ne Nīderlandes likumiem, kuras dzīvo Nīderlandē, vai īslaicīgi uzturas Nīderlandē, ir tiesības saņemt pabalstus natūrā atbilstīgi politikai, ko Nīderla</w:t>
      </w:r>
      <w:r>
        <w:rPr>
          <w:rFonts w:asciiTheme="majorHAnsi" w:hAnsiTheme="majorHAnsi"/>
          <w:noProof/>
          <w:color w:val="000000"/>
        </w:rPr>
        <w:t xml:space="preserve">ndē piedāvā apdrošinātajām personām dzīvesvietas vai uzturēšanās vietas iestāde, ņemot vērā </w:t>
      </w:r>
      <w:r>
        <w:rPr>
          <w:rFonts w:asciiTheme="majorHAnsi" w:hAnsiTheme="majorHAnsi"/>
          <w:i/>
          <w:noProof/>
          <w:color w:val="000000"/>
        </w:rPr>
        <w:t>Zorgverzekeringswet</w:t>
      </w:r>
      <w:r>
        <w:rPr>
          <w:rFonts w:asciiTheme="majorHAnsi" w:hAnsiTheme="majorHAnsi"/>
          <w:noProof/>
          <w:color w:val="000000"/>
        </w:rPr>
        <w:t xml:space="preserve"> (Veselības aprūpes apdrošināšanas likums) 11. panta 1., 2. un 3. punktu un 19. panta 1. punktu, kā arī pabalstus natūrā, kas noteikti </w:t>
      </w:r>
      <w:r>
        <w:rPr>
          <w:rFonts w:asciiTheme="majorHAnsi" w:hAnsiTheme="majorHAnsi"/>
          <w:i/>
          <w:noProof/>
          <w:color w:val="000000"/>
        </w:rPr>
        <w:t>Algemene w</w:t>
      </w:r>
      <w:r>
        <w:rPr>
          <w:rFonts w:asciiTheme="majorHAnsi" w:hAnsiTheme="majorHAnsi"/>
          <w:i/>
          <w:noProof/>
          <w:color w:val="000000"/>
        </w:rPr>
        <w:t>et bijzondere ziektekosten</w:t>
      </w:r>
      <w:r>
        <w:rPr>
          <w:rFonts w:asciiTheme="majorHAnsi" w:hAnsiTheme="majorHAnsi"/>
          <w:noProof/>
          <w:color w:val="000000"/>
        </w:rPr>
        <w:t xml:space="preserve"> (Vispārējs likums par apdrošināšanos pret īpašiem medicīnas izdevumiem).</w:t>
      </w:r>
    </w:p>
    <w:p w:rsidR="003E022D" w:rsidRDefault="007D19D6">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Piemērojot protokola SSC.21 [Tiesības uz pabalstiem natūrā saskaņā ar dzīvesvietas valsts tiesību aktiem] – SSC.27. [Pensionāru iemaksas] pantu, šādus pabal</w:t>
      </w:r>
      <w:r>
        <w:rPr>
          <w:rFonts w:asciiTheme="majorHAnsi" w:hAnsiTheme="majorHAnsi"/>
          <w:noProof/>
          <w:color w:val="000000"/>
        </w:rPr>
        <w:t>stus (papildus pensijām, uz kurām attiecas šā protokola III sadaļas [Īpaši noteikumi par dažādām pabalstu kategorijām] 4. nodaļa [Invaliditātes pabalsti] un 5. nodaļa [Vecuma pensijas un apgādnieka zaudējuma pabalsti]) uzskata par pensijām saskaņā ar Nīder</w:t>
      </w:r>
      <w:r>
        <w:rPr>
          <w:rFonts w:asciiTheme="majorHAnsi" w:hAnsiTheme="majorHAnsi"/>
          <w:noProof/>
          <w:color w:val="000000"/>
        </w:rPr>
        <w:t xml:space="preserve">landes tiesību aktiem: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pensijas, kas piešķirtas atbilstīgi 1966. gada 6. janvāra likumam par ierēdņu un viņu apgādājamo pensijām (</w:t>
      </w:r>
      <w:r>
        <w:rPr>
          <w:rFonts w:asciiTheme="majorHAnsi" w:hAnsiTheme="majorHAnsi"/>
          <w:i/>
          <w:noProof/>
          <w:color w:val="000000"/>
        </w:rPr>
        <w:t>Algemene burgerlijke pensioenwet</w:t>
      </w:r>
      <w:r>
        <w:rPr>
          <w:rFonts w:asciiTheme="majorHAnsi" w:hAnsiTheme="majorHAnsi"/>
          <w:noProof/>
          <w:color w:val="000000"/>
        </w:rPr>
        <w:t>) (Nīderlandes ierēdņu pensiju likums),</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pensijas, kas piešķirtas atbilstīgi 1966. gada 6. </w:t>
      </w:r>
      <w:r>
        <w:rPr>
          <w:rFonts w:asciiTheme="majorHAnsi" w:hAnsiTheme="majorHAnsi"/>
          <w:noProof/>
          <w:color w:val="000000"/>
        </w:rPr>
        <w:t>oktobra likumam par militārpersonu un viņu apgādājamo pensijām (</w:t>
      </w:r>
      <w:r>
        <w:rPr>
          <w:rFonts w:asciiTheme="majorHAnsi" w:hAnsiTheme="majorHAnsi"/>
          <w:i/>
          <w:noProof/>
          <w:color w:val="000000"/>
        </w:rPr>
        <w:t>Algemene militaire pensioenwet</w:t>
      </w:r>
      <w:r>
        <w:rPr>
          <w:rFonts w:asciiTheme="majorHAnsi" w:hAnsiTheme="majorHAnsi"/>
          <w:noProof/>
          <w:color w:val="000000"/>
        </w:rPr>
        <w:t>) (Militārpersonu pensiju likums),</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darba nespējas pabalsti, kas piešķirti atbilstīgi 1972. gada 7. jūnija likumam par militārpersonu darba nespēju (</w:t>
      </w:r>
      <w:r>
        <w:rPr>
          <w:rFonts w:asciiTheme="majorHAnsi" w:hAnsiTheme="majorHAnsi"/>
          <w:i/>
          <w:noProof/>
          <w:color w:val="000000"/>
        </w:rPr>
        <w:t>Wetarbeidsonge</w:t>
      </w:r>
      <w:r>
        <w:rPr>
          <w:rFonts w:asciiTheme="majorHAnsi" w:hAnsiTheme="majorHAnsi"/>
          <w:i/>
          <w:noProof/>
          <w:color w:val="000000"/>
        </w:rPr>
        <w:t>schiktheidsvoorziening militairen</w:t>
      </w:r>
      <w:r>
        <w:rPr>
          <w:rFonts w:asciiTheme="majorHAnsi" w:hAnsiTheme="majorHAnsi"/>
          <w:noProof/>
          <w:color w:val="000000"/>
        </w:rPr>
        <w:t>) (Militārpersonu darba nespējas likums),</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pensijas, kas piešķirtas atbilstīgi 1967. gada 15. februāra likumam par NV </w:t>
      </w:r>
      <w:r>
        <w:rPr>
          <w:rFonts w:asciiTheme="majorHAnsi" w:hAnsiTheme="majorHAnsi"/>
          <w:i/>
          <w:noProof/>
          <w:color w:val="000000"/>
        </w:rPr>
        <w:t>Nederlandse Spoorwegen</w:t>
      </w:r>
      <w:r>
        <w:rPr>
          <w:rFonts w:asciiTheme="majorHAnsi" w:hAnsiTheme="majorHAnsi"/>
          <w:noProof/>
          <w:color w:val="000000"/>
        </w:rPr>
        <w:t xml:space="preserve"> (Nīderlandes dzelzceļa uzņēmums) darbinieku un viņu apgādājamo pensijām (</w:t>
      </w:r>
      <w:r>
        <w:rPr>
          <w:rFonts w:asciiTheme="majorHAnsi" w:hAnsiTheme="majorHAnsi"/>
          <w:i/>
          <w:noProof/>
          <w:color w:val="000000"/>
        </w:rPr>
        <w:t>Spoorwegpe</w:t>
      </w:r>
      <w:r>
        <w:rPr>
          <w:rFonts w:asciiTheme="majorHAnsi" w:hAnsiTheme="majorHAnsi"/>
          <w:i/>
          <w:noProof/>
          <w:color w:val="000000"/>
        </w:rPr>
        <w:t>nsioenwet</w:t>
      </w:r>
      <w:r>
        <w:rPr>
          <w:rFonts w:asciiTheme="majorHAnsi" w:hAnsiTheme="majorHAnsi"/>
          <w:noProof/>
          <w:color w:val="000000"/>
        </w:rPr>
        <w:t xml:space="preserve">) (Dzelzceļa pensiju likums),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pensijas, kas piešķirtas atbilstīgi Reglement Dienstvoorwaarden Nederlandse Spoorwegen (Noteikumi par nodarbinātības nosacījumiem Nīderlandes dzelzceļa uzņēmumā),</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pabalsti, kas piešķirti pensionāriem pirms pensijas v</w:t>
      </w:r>
      <w:r>
        <w:rPr>
          <w:rFonts w:asciiTheme="majorHAnsi" w:hAnsiTheme="majorHAnsi"/>
          <w:noProof/>
          <w:color w:val="000000"/>
        </w:rPr>
        <w:t xml:space="preserve">ecuma – 65 gadu – sasniegšanas, atbilstīgi pensionēšanās sistēmai, kas izstrādāta, lai vecumdienās nodrošinātu ienākumus iepriekš nodarbinātām personām, vai pabalsti, kas piešķirti gadījumā, ja priekšlaicīgi aiziet no darba tirgus, atbilstīgi sistēmai, ko </w:t>
      </w:r>
      <w:r>
        <w:rPr>
          <w:rFonts w:asciiTheme="majorHAnsi" w:hAnsiTheme="majorHAnsi"/>
          <w:noProof/>
          <w:color w:val="000000"/>
        </w:rPr>
        <w:t xml:space="preserve">izstrādājusi valsts, vai pēc darba devēju un darba ņēmēju vienošanās personām, kas ir 55 gadus vecas vai vecākas,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militārpersonām un ierēdņiem piešķirtie pabalsti atbilstīgi sistēmai, ko piemēro štata vietu samazināšanas un atlaišanas no darba vecuma dēļ,</w:t>
      </w:r>
      <w:r>
        <w:rPr>
          <w:rFonts w:asciiTheme="majorHAnsi" w:hAnsiTheme="majorHAnsi"/>
          <w:noProof/>
          <w:color w:val="000000"/>
        </w:rPr>
        <w:t xml:space="preserve"> kā arī priekšlaicīgas pensionēšanās gadījumā. </w:t>
      </w:r>
    </w:p>
    <w:p w:rsidR="003E022D" w:rsidRDefault="007D19D6">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Protokola SSC.16. panta [Uzturēšanās kompetentajā valstī, ja dzīvesvieta ir citā valstī – īpaši noteikumi pārrobežu darba ņēmēju ģimenes locekļiem] 1. punkta nolūkā šā punkta a) apakšpunkta ii) punktā minētaj</w:t>
      </w:r>
      <w:r>
        <w:rPr>
          <w:rFonts w:asciiTheme="majorHAnsi" w:hAnsiTheme="majorHAnsi"/>
          <w:noProof/>
          <w:color w:val="000000"/>
        </w:rPr>
        <w:t xml:space="preserve">ām personām, kuras īslaicīgi uzturas Nīderlandē, ir tiesības saņemt pabalstus natūrā saskaņā ar polisi, ko Nīderlandē apdrošinātajām personām piedāvā uzturēšanās vietas iestāde, ņemot vērā </w:t>
      </w:r>
      <w:r>
        <w:rPr>
          <w:rFonts w:asciiTheme="majorHAnsi" w:hAnsiTheme="majorHAnsi"/>
          <w:i/>
          <w:iCs/>
          <w:noProof/>
          <w:color w:val="000000"/>
        </w:rPr>
        <w:t>Zorgverzekeringswet</w:t>
      </w:r>
      <w:r>
        <w:rPr>
          <w:rFonts w:asciiTheme="majorHAnsi" w:hAnsiTheme="majorHAnsi"/>
          <w:noProof/>
          <w:color w:val="000000"/>
        </w:rPr>
        <w:t xml:space="preserve"> (Veselības aprūpes apdrošināšanas likums) 11. p</w:t>
      </w:r>
      <w:r>
        <w:rPr>
          <w:rFonts w:asciiTheme="majorHAnsi" w:hAnsiTheme="majorHAnsi"/>
          <w:noProof/>
          <w:color w:val="000000"/>
        </w:rPr>
        <w:t xml:space="preserve">anta 1., 2. un 3. punktu un 19. panta 1. punktu, kā arī pabalstus natūrā, kas noteikti likumā </w:t>
      </w:r>
      <w:r>
        <w:rPr>
          <w:rFonts w:asciiTheme="majorHAnsi" w:hAnsiTheme="majorHAnsi"/>
          <w:i/>
          <w:iCs/>
          <w:noProof/>
          <w:color w:val="000000"/>
        </w:rPr>
        <w:t>Algemene wet bijzondere ziektekosten</w:t>
      </w:r>
      <w:r>
        <w:rPr>
          <w:rFonts w:asciiTheme="majorHAnsi" w:hAnsiTheme="majorHAnsi"/>
          <w:noProof/>
          <w:color w:val="000000"/>
        </w:rPr>
        <w:t xml:space="preserve"> (Vispārējs likums par īpašiem medicīnas izdevumiem).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i/>
          <w:noProof/>
          <w:color w:val="000000"/>
        </w:rPr>
        <w:t>Algemene Ouderdomswet</w:t>
      </w:r>
      <w:r>
        <w:rPr>
          <w:rFonts w:asciiTheme="majorHAnsi" w:hAnsiTheme="majorHAnsi"/>
          <w:noProof/>
          <w:color w:val="000000"/>
        </w:rPr>
        <w:t xml:space="preserve"> (</w:t>
      </w:r>
      <w:r>
        <w:rPr>
          <w:rFonts w:asciiTheme="majorHAnsi" w:hAnsiTheme="majorHAnsi"/>
          <w:i/>
          <w:noProof/>
          <w:color w:val="000000"/>
        </w:rPr>
        <w:t>AOW</w:t>
      </w:r>
      <w:r>
        <w:rPr>
          <w:rFonts w:asciiTheme="majorHAnsi" w:hAnsiTheme="majorHAnsi"/>
          <w:noProof/>
          <w:color w:val="000000"/>
        </w:rPr>
        <w:t>) (likums “Par vispārējām vecuma pensijām”</w:t>
      </w:r>
      <w:r>
        <w:rPr>
          <w:rFonts w:asciiTheme="majorHAnsi" w:hAnsiTheme="majorHAnsi"/>
          <w:noProof/>
          <w:color w:val="000000"/>
        </w:rPr>
        <w:t xml:space="preserve">) piemērošana </w:t>
      </w:r>
    </w:p>
    <w:p w:rsidR="003E022D" w:rsidRDefault="007D19D6">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Samazinājumu, kas minēts </w:t>
      </w:r>
      <w:r>
        <w:rPr>
          <w:rFonts w:asciiTheme="majorHAnsi" w:hAnsiTheme="majorHAnsi"/>
          <w:i/>
          <w:noProof/>
          <w:color w:val="000000"/>
        </w:rPr>
        <w:t>AOW</w:t>
      </w:r>
      <w:r>
        <w:rPr>
          <w:rFonts w:asciiTheme="majorHAnsi" w:hAnsiTheme="majorHAnsi"/>
          <w:noProof/>
          <w:color w:val="000000"/>
        </w:rPr>
        <w:t xml:space="preserve"> (likums “Par vispārējām vecuma pensijām”) 13. panta 1. punktā, nepiemēro attiecībā uz kalendārajiem gadiem pirms 1957. gada 1. janvāra, kuru laikā saņēmējs, kas neatbilst nosacījumiem, kuri ļautu viņam šos gadus pielīdzināt apdrošināšanas periodiem: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dzīv</w:t>
      </w:r>
      <w:r>
        <w:rPr>
          <w:rFonts w:asciiTheme="majorHAnsi" w:hAnsiTheme="majorHAnsi"/>
          <w:noProof/>
          <w:color w:val="000000"/>
        </w:rPr>
        <w:t xml:space="preserve">ojis Nīderlandē starp 15 un 65 gadu vecumu vai,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dzīvodama citā valstī, strādājusi Nīderlandē darba devēja labā, kura uzņēmējdarbības vieta reģistrēta Nīderlandē, vai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strādājusi citā valstī periodos, kurus uzskata par apdrošināšanas periodiem saskaņā ar N</w:t>
      </w:r>
      <w:r>
        <w:rPr>
          <w:rFonts w:asciiTheme="majorHAnsi" w:hAnsiTheme="majorHAnsi"/>
          <w:noProof/>
          <w:color w:val="000000"/>
        </w:rPr>
        <w:t xml:space="preserve">īderlandes sociālā nodrošinājuma sistēmu. </w:t>
      </w:r>
    </w:p>
    <w:p w:rsidR="003E022D" w:rsidRDefault="007D19D6">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Atkāpjoties no </w:t>
      </w:r>
      <w:r>
        <w:rPr>
          <w:rFonts w:asciiTheme="majorHAnsi" w:hAnsiTheme="majorHAnsi"/>
          <w:i/>
          <w:iCs/>
          <w:noProof/>
          <w:color w:val="000000"/>
        </w:rPr>
        <w:t>AOW</w:t>
      </w:r>
      <w:r>
        <w:rPr>
          <w:rFonts w:asciiTheme="majorHAnsi" w:hAnsiTheme="majorHAnsi"/>
          <w:noProof/>
          <w:color w:val="000000"/>
        </w:rPr>
        <w:t xml:space="preserve"> 7. panta, arī tādas personas, kas dzīvojušas vai strādājušas Nīderlandē saskaņā ar iepriekšminētajiem nosacījumiem vienīgi pirms 1957. gada 1. janvāra, uzskata par tiesīgām saņemt pensiju. </w:t>
      </w:r>
    </w:p>
    <w:p w:rsidR="003E022D" w:rsidRDefault="007D19D6">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i/>
          <w:iCs/>
          <w:noProof/>
          <w:color w:val="000000"/>
        </w:rPr>
        <w:t>AOW</w:t>
      </w:r>
      <w:r>
        <w:rPr>
          <w:rFonts w:asciiTheme="majorHAnsi" w:hAnsiTheme="majorHAnsi"/>
          <w:noProof/>
          <w:color w:val="000000"/>
        </w:rPr>
        <w:t xml:space="preserve"> </w:t>
      </w:r>
      <w:r>
        <w:rPr>
          <w:rFonts w:asciiTheme="majorHAnsi" w:hAnsiTheme="majorHAnsi"/>
          <w:noProof/>
          <w:color w:val="000000"/>
        </w:rPr>
        <w:t>13. panta 1. punktā minēto samazinājumu nepiemēro kalendārajiem gadiem pirms 1989. gada 2. augusta, kuru laikā precēta vai toreiz precēta persona laikā starp savu 15. un 65. dzimšanas dienu nav bijusi apdrošināta saskaņā ar iepriekšminētajiem tiesību aktie</w:t>
      </w:r>
      <w:r>
        <w:rPr>
          <w:rFonts w:asciiTheme="majorHAnsi" w:hAnsiTheme="majorHAnsi"/>
          <w:noProof/>
          <w:color w:val="000000"/>
        </w:rPr>
        <w:t>m, kamēr dzīvojusi citā valstī, bet ne Nīderlandē, ja šie kalendāra gadi sakrīt ar šīs personas laulātā izpildītiem apdrošināšanas periodiem saskaņā ar minētajiem tiesību aktiem vai sakrīt ar kalendārajiem gadiem, kas jāņem vērā saskaņā ar šā punkta a) apa</w:t>
      </w:r>
      <w:r>
        <w:rPr>
          <w:rFonts w:asciiTheme="majorHAnsi" w:hAnsiTheme="majorHAnsi"/>
          <w:noProof/>
          <w:color w:val="000000"/>
        </w:rPr>
        <w:t>kšpunktu, ar noteikumu, ka šā pāra laulība tajā laikā bija pastāvējusi.</w:t>
      </w:r>
    </w:p>
    <w:p w:rsidR="003E022D" w:rsidRDefault="007D19D6">
      <w:pPr>
        <w:pBdr>
          <w:top w:val="nil"/>
          <w:left w:val="nil"/>
          <w:bottom w:val="nil"/>
          <w:right w:val="nil"/>
          <w:between w:val="nil"/>
        </w:pBdr>
        <w:spacing w:before="48"/>
        <w:ind w:left="426"/>
        <w:rPr>
          <w:rFonts w:asciiTheme="majorHAnsi" w:eastAsia="Arial" w:hAnsiTheme="majorHAnsi" w:cs="Arial"/>
          <w:noProof/>
          <w:color w:val="000000"/>
        </w:rPr>
      </w:pPr>
      <w:r>
        <w:rPr>
          <w:rFonts w:asciiTheme="majorHAnsi" w:hAnsiTheme="majorHAnsi"/>
          <w:noProof/>
          <w:color w:val="000000"/>
        </w:rPr>
        <w:t xml:space="preserve">Atkāpjoties no </w:t>
      </w:r>
      <w:r>
        <w:rPr>
          <w:rFonts w:asciiTheme="majorHAnsi" w:hAnsiTheme="majorHAnsi"/>
          <w:i/>
          <w:noProof/>
          <w:color w:val="000000"/>
        </w:rPr>
        <w:t>AOW</w:t>
      </w:r>
      <w:r>
        <w:rPr>
          <w:rFonts w:asciiTheme="majorHAnsi" w:hAnsiTheme="majorHAnsi"/>
          <w:noProof/>
          <w:color w:val="000000"/>
        </w:rPr>
        <w:t xml:space="preserve"> 7. panta, šī persona ir uzskatāma par tiesīgu saņemt pensiju. </w:t>
      </w:r>
    </w:p>
    <w:p w:rsidR="003E022D" w:rsidRDefault="007D19D6">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i/>
          <w:noProof/>
          <w:color w:val="000000"/>
        </w:rPr>
        <w:t>AOW</w:t>
      </w:r>
      <w:r>
        <w:rPr>
          <w:rFonts w:asciiTheme="majorHAnsi" w:hAnsiTheme="majorHAnsi"/>
          <w:noProof/>
          <w:color w:val="000000"/>
        </w:rPr>
        <w:t xml:space="preserve"> 13. panta 2. punktā minēto samazinājumu nepiemēro kalendāra gadiem pirms 1957. gada 1. janvāra, kuru laikā pensionāra laulātais, kas neatbilst nosacījumiem, lai šos gadus pielīdzinātu apdrošināšanas periodiem: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dzīvojis Nīderlandē starp 15 un 65 gadu vecu</w:t>
      </w:r>
      <w:r>
        <w:rPr>
          <w:rFonts w:asciiTheme="majorHAnsi" w:hAnsiTheme="majorHAnsi"/>
          <w:noProof/>
          <w:color w:val="000000"/>
        </w:rPr>
        <w:t>mu vai,</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dzīvodama citā valstī, strādājusi Nīderlandē darba devēja labā, kura uzņēmējdarbības vieta reģistrēta Nīderlandē, vai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strādājis citā valstī periodos, kurus uzskata par apdrošināšanas periodiem saskaņā ar Nīderlandes sociālā nodrošinājuma sistēmu. </w:t>
      </w:r>
    </w:p>
    <w:p w:rsidR="003E022D" w:rsidRDefault="007D19D6">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i/>
          <w:iCs/>
          <w:noProof/>
          <w:color w:val="000000"/>
        </w:rPr>
        <w:t>AOW</w:t>
      </w:r>
      <w:r>
        <w:rPr>
          <w:rFonts w:asciiTheme="majorHAnsi" w:hAnsiTheme="majorHAnsi"/>
          <w:noProof/>
          <w:color w:val="000000"/>
        </w:rPr>
        <w:t xml:space="preserve"> 13. panta 2. punktā minēto samazinājumu nepiemēro kalendāra gadiem pirms 1989. gada 2. augusta, kuru laikā pensionāra laulātais laikposmā starp savu 15. un 65. dzimšanas dienu dzīvojis citā valstī, bet ne Nīderlandē, un nav bijis apdrošināts saskaņā a</w:t>
      </w:r>
      <w:r>
        <w:rPr>
          <w:rFonts w:asciiTheme="majorHAnsi" w:hAnsiTheme="majorHAnsi"/>
          <w:noProof/>
          <w:color w:val="000000"/>
        </w:rPr>
        <w:t xml:space="preserve">r </w:t>
      </w:r>
      <w:r>
        <w:rPr>
          <w:rFonts w:asciiTheme="majorHAnsi" w:hAnsiTheme="majorHAnsi"/>
          <w:i/>
          <w:iCs/>
          <w:noProof/>
          <w:color w:val="000000"/>
        </w:rPr>
        <w:t>AOW</w:t>
      </w:r>
      <w:r>
        <w:rPr>
          <w:rFonts w:asciiTheme="majorHAnsi" w:hAnsiTheme="majorHAnsi"/>
          <w:noProof/>
          <w:color w:val="000000"/>
        </w:rPr>
        <w:t>, ja šie kalendāra gadi sakrīt ar pensionāra izpildītiem apdrošināšanas periodiem saskaņā ar minētajiem tiesību aktiem vai sakrīt ar kalendārajiem gadiem, kas jāņem vērā saskaņā ar a) apakšpunktu, ar noteikumu, ka šā pāra laulība tajā laikā bija pastā</w:t>
      </w:r>
      <w:r>
        <w:rPr>
          <w:rFonts w:asciiTheme="majorHAnsi" w:hAnsiTheme="majorHAnsi"/>
          <w:noProof/>
          <w:color w:val="000000"/>
        </w:rPr>
        <w:t>vējusi.</w:t>
      </w:r>
    </w:p>
    <w:p w:rsidR="003E022D" w:rsidRDefault="007D19D6">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2. punkta a) apakšpunktu, 2. punkta b) apakšpunktu, 2. punkta c) apakšpunktu un 2. punkta d) apakšpunktu nepiemēro periodiem, kas sakrīt ar: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periodiem, kuri var tikt ņemti vērā, aprēķinot tiesības uz pensiju saskaņā ar tādas valsts vecuma apdrošin</w:t>
      </w:r>
      <w:r>
        <w:rPr>
          <w:rFonts w:asciiTheme="majorHAnsi" w:hAnsiTheme="majorHAnsi"/>
          <w:noProof/>
          <w:color w:val="000000"/>
        </w:rPr>
        <w:t xml:space="preserve">āšanas likumiem, kas nav Nīderlande, vai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periodiem, kurā attiecīgā persona saņēmusi vecuma pensiju saskaņā ar tādiem tiesību aktiem. </w:t>
      </w:r>
    </w:p>
    <w:p w:rsidR="003E022D" w:rsidRDefault="007D19D6">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Brīvprātīgās apdrošināšanas periodus saskaņā ar citas valsts sistēmu, piemērojot šo punktu, neņem vērā. </w:t>
      </w:r>
    </w:p>
    <w:p w:rsidR="003E022D" w:rsidRDefault="007D19D6">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2. punkta </w:t>
      </w:r>
      <w:r>
        <w:rPr>
          <w:rFonts w:asciiTheme="majorHAnsi" w:hAnsiTheme="majorHAnsi"/>
          <w:noProof/>
          <w:color w:val="000000"/>
        </w:rPr>
        <w:t>a) apakšpunktu, 2. punkta b) apakšpunktu, 2. punkta c) apakšpunktu un 2. punkta d) apakšpunktu piemēro tikai tad, ja attiecīgā persona pēc 59 gadu vecuma ir sešus gadus nodzīvojusi vienā vai vairākās valstīs, un tik ilgi, kamēr šī persona dzīvo kādā no šīm</w:t>
      </w:r>
      <w:r>
        <w:rPr>
          <w:rFonts w:asciiTheme="majorHAnsi" w:hAnsiTheme="majorHAnsi"/>
          <w:noProof/>
          <w:color w:val="000000"/>
        </w:rPr>
        <w:t xml:space="preserve"> valstīm.</w:t>
      </w:r>
    </w:p>
    <w:p w:rsidR="003E022D" w:rsidRDefault="007D19D6">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Atkāpjoties no </w:t>
      </w:r>
      <w:r>
        <w:rPr>
          <w:rFonts w:asciiTheme="majorHAnsi" w:hAnsiTheme="majorHAnsi"/>
          <w:i/>
          <w:noProof/>
          <w:color w:val="000000"/>
        </w:rPr>
        <w:t>AOW</w:t>
      </w:r>
      <w:r>
        <w:rPr>
          <w:rFonts w:asciiTheme="majorHAnsi" w:hAnsiTheme="majorHAnsi"/>
          <w:noProof/>
          <w:color w:val="000000"/>
        </w:rPr>
        <w:t xml:space="preserve"> IV nodaļas, tāda iedzīvotāja laulātajam, kas dzīvo valstī, kura nav Nīderlande, un kas saskaņā ar šīs dalībvalsts tiesību aktiem ir apdrošināts obligātajā apdrošināšanas sistēmā, atļauj izmantot brīvprātīgo apdrošināšanu saskaņ</w:t>
      </w:r>
      <w:r>
        <w:rPr>
          <w:rFonts w:asciiTheme="majorHAnsi" w:hAnsiTheme="majorHAnsi"/>
          <w:noProof/>
          <w:color w:val="000000"/>
        </w:rPr>
        <w:t>ā ar šīs dalībvalsts tiesību aktiem attiecībā uz periodiem, kuros laulātais ir obligāti apdrošināts.</w:t>
      </w:r>
    </w:p>
    <w:p w:rsidR="003E022D" w:rsidRDefault="007D19D6">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Atļauja nepārstāj būt spēkā, ja laulātā obligātā apdrošināšana tiek pārtraukta sakarā ar viņa nāvi, ja viņa apgādnieks saņem vienīgi pensiju saskaņā ar </w:t>
      </w:r>
      <w:r>
        <w:rPr>
          <w:rFonts w:asciiTheme="majorHAnsi" w:hAnsiTheme="majorHAnsi"/>
          <w:i/>
          <w:noProof/>
          <w:color w:val="000000"/>
        </w:rPr>
        <w:t>Alg</w:t>
      </w:r>
      <w:r>
        <w:rPr>
          <w:rFonts w:asciiTheme="majorHAnsi" w:hAnsiTheme="majorHAnsi"/>
          <w:i/>
          <w:noProof/>
          <w:color w:val="000000"/>
        </w:rPr>
        <w:t>emene nabestaandenwet</w:t>
      </w:r>
      <w:r>
        <w:rPr>
          <w:rFonts w:asciiTheme="majorHAnsi" w:hAnsiTheme="majorHAnsi"/>
          <w:noProof/>
          <w:color w:val="000000"/>
        </w:rPr>
        <w:t xml:space="preserve"> (Vispārējs likums attiecībā uz apgādnieku zaudētājiem). </w:t>
      </w:r>
    </w:p>
    <w:p w:rsidR="003E022D" w:rsidRDefault="007D19D6">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Atļauja attiecībā uz brīvprātīgo apdrošināšanu jebkurā gadījumā pārstāj būt spēkā dienā, kad brīvprātīgi apdrošinātā persona sasniedz 65 gadu vecumu.</w:t>
      </w:r>
    </w:p>
    <w:p w:rsidR="003E022D" w:rsidRDefault="007D19D6">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Iemaksas, kas jāveic attiec</w:t>
      </w:r>
      <w:r>
        <w:rPr>
          <w:rFonts w:asciiTheme="majorHAnsi" w:hAnsiTheme="majorHAnsi"/>
          <w:noProof/>
          <w:color w:val="000000"/>
        </w:rPr>
        <w:t>ībā uz brīvprātīgo apdrošināšanu, nosaka saskaņā ar noteikumiem, kas attiecas uz brīvprātīgās apdrošināšanas iemaksu noteikšanu, ņemot vērā AOW. Tomēr, ja brīvprātīgā apdrošināšana turpinās no 2. punkta b) apakšpunktā minētā apdrošināšanas perioda, iemaksa</w:t>
      </w:r>
      <w:r>
        <w:rPr>
          <w:rFonts w:asciiTheme="majorHAnsi" w:hAnsiTheme="majorHAnsi"/>
          <w:noProof/>
          <w:color w:val="000000"/>
        </w:rPr>
        <w:t xml:space="preserve">s nosaka saskaņā ar noteikumiem, kas attiecas uz brīvprātīgās apdrošināšanas iemaksu noteikšanu saskaņā ar </w:t>
      </w:r>
      <w:r>
        <w:rPr>
          <w:rFonts w:asciiTheme="majorHAnsi" w:hAnsiTheme="majorHAnsi"/>
          <w:i/>
          <w:iCs/>
          <w:noProof/>
          <w:color w:val="000000"/>
        </w:rPr>
        <w:t>AOW</w:t>
      </w:r>
      <w:r>
        <w:rPr>
          <w:rFonts w:asciiTheme="majorHAnsi" w:hAnsiTheme="majorHAnsi"/>
          <w:noProof/>
          <w:color w:val="000000"/>
        </w:rPr>
        <w:t xml:space="preserve">, uzskatot, ka vērā ņemamie ienākumi ir saņemti Nīderlandē. </w:t>
      </w:r>
    </w:p>
    <w:p w:rsidR="003E022D" w:rsidRDefault="007D19D6">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2. punkta g) apakšpunktā minēto atļauju nepiešķir nevienam, kas ir apdrošināts saskaņ</w:t>
      </w:r>
      <w:r>
        <w:rPr>
          <w:rFonts w:asciiTheme="majorHAnsi" w:hAnsiTheme="majorHAnsi"/>
          <w:noProof/>
          <w:color w:val="000000"/>
        </w:rPr>
        <w:t xml:space="preserve">ā ar citas valsts tiesību aktiem par pabalstiem apgādnieka zaudējuma gadījumā. </w:t>
      </w:r>
    </w:p>
    <w:p w:rsidR="003E022D" w:rsidRDefault="007D19D6">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Katrs, kas vēlas noslēgt obligāto apdrošināšanu saskaņā ar 2. punkta g) apakšpunktu, ne vēlāk kā viena gada laikā no dienas, kurā dalības nosacījumi ir izpildīti, iesniedz atti</w:t>
      </w:r>
      <w:r>
        <w:rPr>
          <w:rFonts w:asciiTheme="majorHAnsi" w:hAnsiTheme="majorHAnsi"/>
          <w:noProof/>
          <w:color w:val="000000"/>
        </w:rPr>
        <w:t>ecīgu pieteikumu Sociālās apdrošināšanas bankā (</w:t>
      </w:r>
      <w:r>
        <w:rPr>
          <w:rFonts w:asciiTheme="majorHAnsi" w:hAnsiTheme="majorHAnsi"/>
          <w:i/>
          <w:iCs/>
          <w:noProof/>
          <w:color w:val="000000"/>
        </w:rPr>
        <w:t>Sociale Verzekeringsbank</w:t>
      </w:r>
      <w:r>
        <w:rPr>
          <w:rFonts w:asciiTheme="majorHAnsi" w:hAnsiTheme="majorHAnsi"/>
          <w:noProof/>
          <w:color w:val="000000"/>
        </w:rPr>
        <w:t xml:space="preserve">).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i/>
          <w:noProof/>
          <w:color w:val="000000"/>
        </w:rPr>
        <w:t>Algemene nabestaandenwet</w:t>
      </w:r>
      <w:r>
        <w:rPr>
          <w:rFonts w:asciiTheme="majorHAnsi" w:hAnsiTheme="majorHAnsi"/>
          <w:noProof/>
          <w:color w:val="000000"/>
        </w:rPr>
        <w:t xml:space="preserve"> (</w:t>
      </w:r>
      <w:r>
        <w:rPr>
          <w:rFonts w:asciiTheme="majorHAnsi" w:hAnsiTheme="majorHAnsi"/>
          <w:i/>
          <w:noProof/>
          <w:color w:val="000000"/>
        </w:rPr>
        <w:t>ANW</w:t>
      </w:r>
      <w:r>
        <w:rPr>
          <w:rFonts w:asciiTheme="majorHAnsi" w:hAnsiTheme="majorHAnsi"/>
          <w:noProof/>
          <w:color w:val="000000"/>
        </w:rPr>
        <w:t xml:space="preserve">) (Vispārējs likums attiecībā uz apgādnieku zaudētājiem) piemērošana </w:t>
      </w:r>
    </w:p>
    <w:p w:rsidR="003E022D" w:rsidRDefault="007D19D6">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Ja pārdzīvojušam laulātam saskaņā ar </w:t>
      </w:r>
      <w:r>
        <w:rPr>
          <w:rFonts w:asciiTheme="majorHAnsi" w:hAnsiTheme="majorHAnsi"/>
          <w:i/>
          <w:iCs/>
          <w:noProof/>
          <w:color w:val="000000"/>
        </w:rPr>
        <w:t>Algemene Nabestaandenwet</w:t>
      </w:r>
      <w:r>
        <w:rPr>
          <w:rFonts w:asciiTheme="majorHAnsi" w:hAnsiTheme="majorHAnsi"/>
          <w:noProof/>
          <w:color w:val="000000"/>
        </w:rPr>
        <w:t xml:space="preserve"> (</w:t>
      </w:r>
      <w:r>
        <w:rPr>
          <w:rFonts w:asciiTheme="majorHAnsi" w:hAnsiTheme="majorHAnsi"/>
          <w:i/>
          <w:iCs/>
          <w:noProof/>
          <w:color w:val="000000"/>
        </w:rPr>
        <w:t>ANW</w:t>
      </w:r>
      <w:r>
        <w:rPr>
          <w:rFonts w:asciiTheme="majorHAnsi" w:hAnsiTheme="majorHAnsi"/>
          <w:noProof/>
          <w:color w:val="000000"/>
        </w:rPr>
        <w:t>) (Vispārējs</w:t>
      </w:r>
      <w:r>
        <w:rPr>
          <w:rFonts w:asciiTheme="majorHAnsi" w:hAnsiTheme="majorHAnsi"/>
          <w:noProof/>
          <w:color w:val="000000"/>
        </w:rPr>
        <w:t xml:space="preserve"> likums attiecībā uz apgādnieku zaudētājiem) ir tiesības saņemt apgādnieka zaudējuma pabalstu, ievērojot protokola SSC.46. panta [Īpaši noteikumi par periodu summēšanu] 3. punktu, šo pensiju aprēķina saskaņā ar protokola SSC.47. panta [Pabalstu piešķiršana</w:t>
      </w:r>
      <w:r>
        <w:rPr>
          <w:rFonts w:asciiTheme="majorHAnsi" w:hAnsiTheme="majorHAnsi"/>
          <w:noProof/>
          <w:color w:val="000000"/>
        </w:rPr>
        <w:t>] 1. punkta b) apakšpunktu.</w:t>
      </w:r>
    </w:p>
    <w:p w:rsidR="003E022D" w:rsidRDefault="007D19D6">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Piemērojot šos noteikumus, arī apdrošināšanas periodus pirms 1959. gada 1. oktobra uzskata par apdrošināšanas periodiem, kas ir izpildīti saskaņā ar Nīderlandes tiesību aktiem, ja šajos periodos apdrošinātā persona pēc 15 gadu v</w:t>
      </w:r>
      <w:r>
        <w:rPr>
          <w:rFonts w:asciiTheme="majorHAnsi" w:hAnsiTheme="majorHAnsi"/>
          <w:noProof/>
          <w:color w:val="000000"/>
        </w:rPr>
        <w:t xml:space="preserve">ecuma sasniegšanas: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dzīvojusi Nīderlandē vai,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dzīvodama citā valstī, strādājusi Nīderlandē darba devēja labā, kura uzņēmējdarbības vieta reģistrēta Nīderlandē, vai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strādājusi citā valstī periodos, kurus uzskata par apdrošināšanas periodiem saskaņā ar Nī</w:t>
      </w:r>
      <w:r>
        <w:rPr>
          <w:rFonts w:asciiTheme="majorHAnsi" w:hAnsiTheme="majorHAnsi"/>
          <w:noProof/>
          <w:color w:val="000000"/>
        </w:rPr>
        <w:t xml:space="preserve">derlandes sociālā nodrošinājuma sistēmu. </w:t>
      </w:r>
    </w:p>
    <w:p w:rsidR="003E022D" w:rsidRDefault="007D19D6">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Neņem vērā tādus periodus, kas jāņem vērā saskaņā ar 3. punkta a) apakšpunktu, bet kas sakrīt ar obligātās apdrošināšanas periodiem, kuri izpildīti saskaņā ar citas dalībvalsts tiesību aktiem attiecībā uz apgādniek</w:t>
      </w:r>
      <w:r>
        <w:rPr>
          <w:rFonts w:asciiTheme="majorHAnsi" w:hAnsiTheme="majorHAnsi"/>
          <w:noProof/>
          <w:color w:val="000000"/>
        </w:rPr>
        <w:t>a zaudējuma pabalstiem.</w:t>
      </w:r>
    </w:p>
    <w:p w:rsidR="003E022D" w:rsidRDefault="007D19D6">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Piemērojot protokola SSC.47. panta [Pabalstu piešķiršana] 1. punkta b) apakšpunktu, kā apdrošināšana periodus ņem vērā tikai tos apdrošināšanas periodus, kas saskaņā ar Nīderlandes tiesību aktiem ir izpildīti pēc 15 gadu vecuma.</w:t>
      </w:r>
    </w:p>
    <w:p w:rsidR="003E022D" w:rsidRDefault="007D19D6">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atk</w:t>
      </w:r>
      <w:r>
        <w:rPr>
          <w:rFonts w:asciiTheme="majorHAnsi" w:hAnsiTheme="majorHAnsi"/>
          <w:noProof/>
          <w:color w:val="000000"/>
        </w:rPr>
        <w:t xml:space="preserve">āpjoties no </w:t>
      </w:r>
      <w:r>
        <w:rPr>
          <w:rFonts w:asciiTheme="majorHAnsi" w:hAnsiTheme="majorHAnsi"/>
          <w:i/>
          <w:noProof/>
          <w:color w:val="000000"/>
        </w:rPr>
        <w:t>ANW</w:t>
      </w:r>
      <w:r>
        <w:rPr>
          <w:rFonts w:asciiTheme="majorHAnsi" w:hAnsiTheme="majorHAnsi"/>
          <w:noProof/>
          <w:color w:val="000000"/>
        </w:rPr>
        <w:t xml:space="preserve"> 63.a panta 1. punkta, personai, kura dzīvo valstī, kas nav Nīderlande, un kuras laulātais ir obligāti apdrošināts saskaņā ar </w:t>
      </w:r>
      <w:r>
        <w:rPr>
          <w:rFonts w:asciiTheme="majorHAnsi" w:hAnsiTheme="majorHAnsi"/>
          <w:i/>
          <w:noProof/>
          <w:color w:val="000000"/>
        </w:rPr>
        <w:t>ANW</w:t>
      </w:r>
      <w:r>
        <w:rPr>
          <w:rFonts w:asciiTheme="majorHAnsi" w:hAnsiTheme="majorHAnsi"/>
          <w:noProof/>
          <w:color w:val="000000"/>
        </w:rPr>
        <w:t>, atļauj izmantot brīvprātīgo apdrošināšanu saskaņā ar</w:t>
      </w:r>
      <w:r>
        <w:rPr>
          <w:rFonts w:asciiTheme="majorHAnsi" w:hAnsiTheme="majorHAnsi"/>
          <w:i/>
          <w:noProof/>
          <w:color w:val="000000"/>
        </w:rPr>
        <w:t xml:space="preserve"> ANW</w:t>
      </w:r>
      <w:r>
        <w:rPr>
          <w:rFonts w:asciiTheme="majorHAnsi" w:hAnsiTheme="majorHAnsi"/>
          <w:noProof/>
          <w:color w:val="000000"/>
        </w:rPr>
        <w:t xml:space="preserve">, ja šāda apdrošināšana jau ir sākusies pirms šā </w:t>
      </w:r>
      <w:r>
        <w:rPr>
          <w:rFonts w:asciiTheme="majorHAnsi" w:hAnsiTheme="majorHAnsi"/>
          <w:noProof/>
          <w:color w:val="000000"/>
        </w:rPr>
        <w:t>protokola piemērošanas dienas, bet tikai attiecībā uz tādiem periodiem, kuros laulātais ir obligāti apdrošināts.</w:t>
      </w:r>
    </w:p>
    <w:p w:rsidR="003E022D" w:rsidRDefault="007D19D6">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Šāda atļauja vairs nav spēkā no dienas, kad tiek pārtraukta laulātā obligātā apdrošināšana saskaņā ar </w:t>
      </w:r>
      <w:r>
        <w:rPr>
          <w:rFonts w:asciiTheme="majorHAnsi" w:hAnsiTheme="majorHAnsi"/>
          <w:i/>
          <w:iCs/>
          <w:noProof/>
          <w:color w:val="000000"/>
        </w:rPr>
        <w:t>ANW</w:t>
      </w:r>
      <w:r>
        <w:rPr>
          <w:rFonts w:asciiTheme="majorHAnsi" w:hAnsiTheme="majorHAnsi"/>
          <w:noProof/>
          <w:color w:val="000000"/>
        </w:rPr>
        <w:t xml:space="preserve">, ja vien laulātā obligātā apdrošināšana netiek pārtraukta sakarā ar viņa nāvi un ja apgādnieku zaudējušais saņem pensiju tikai saskaņā ar </w:t>
      </w:r>
      <w:r>
        <w:rPr>
          <w:rFonts w:asciiTheme="majorHAnsi" w:hAnsiTheme="majorHAnsi"/>
          <w:i/>
          <w:iCs/>
          <w:noProof/>
          <w:color w:val="000000"/>
        </w:rPr>
        <w:t>ANW</w:t>
      </w:r>
      <w:r>
        <w:rPr>
          <w:rFonts w:asciiTheme="majorHAnsi" w:hAnsiTheme="majorHAnsi"/>
          <w:noProof/>
          <w:color w:val="000000"/>
        </w:rPr>
        <w:t xml:space="preserve">. </w:t>
      </w:r>
    </w:p>
    <w:p w:rsidR="003E022D" w:rsidRDefault="007D19D6">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Atļauja attiecībā uz brīvprātīgo apdrošināšanu jebkurā gadījumā pārstāj būt spēkā dienā, kad brīvprātīgi apdroš</w:t>
      </w:r>
      <w:r>
        <w:rPr>
          <w:rFonts w:asciiTheme="majorHAnsi" w:hAnsiTheme="majorHAnsi"/>
          <w:noProof/>
          <w:color w:val="000000"/>
        </w:rPr>
        <w:t xml:space="preserve">inātā persona sasniedz 65 gadu vecumu. </w:t>
      </w:r>
    </w:p>
    <w:p w:rsidR="003E022D" w:rsidRDefault="007D19D6">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Iemaksas, kas jāveic attiecībā uz brīvprātīgo apdrošināšanu, nosaka saskaņā ar noteikumiem, kas attiecas uz brīvprātīgās apdrošināšanas iemaksu noteikšanu, ņemot vērā </w:t>
      </w:r>
      <w:r>
        <w:rPr>
          <w:rFonts w:asciiTheme="majorHAnsi" w:hAnsiTheme="majorHAnsi"/>
          <w:i/>
          <w:noProof/>
          <w:color w:val="000000"/>
        </w:rPr>
        <w:t>ANW</w:t>
      </w:r>
      <w:r>
        <w:rPr>
          <w:rFonts w:asciiTheme="majorHAnsi" w:hAnsiTheme="majorHAnsi"/>
          <w:noProof/>
          <w:color w:val="000000"/>
        </w:rPr>
        <w:t>. Tomēr, ja brīvprātīgā apdrošināšana turpinās</w:t>
      </w:r>
      <w:r>
        <w:rPr>
          <w:rFonts w:asciiTheme="majorHAnsi" w:hAnsiTheme="majorHAnsi"/>
          <w:noProof/>
          <w:color w:val="000000"/>
        </w:rPr>
        <w:t xml:space="preserve"> no 2. punkta b) apakšpunktā minētā apdrošināšanas perioda, iemaksas nosaka saskaņā ar noteikumiem, kas attiecas uz brīvprātīgās apdrošināšanas iemaksu noteikšanu saskaņā ar </w:t>
      </w:r>
      <w:r>
        <w:rPr>
          <w:rFonts w:asciiTheme="majorHAnsi" w:hAnsiTheme="majorHAnsi"/>
          <w:i/>
          <w:iCs/>
          <w:noProof/>
          <w:color w:val="000000"/>
        </w:rPr>
        <w:t>AOW</w:t>
      </w:r>
      <w:r>
        <w:rPr>
          <w:rFonts w:asciiTheme="majorHAnsi" w:hAnsiTheme="majorHAnsi"/>
          <w:noProof/>
          <w:color w:val="000000"/>
        </w:rPr>
        <w:t xml:space="preserve">, uzskatot, ka vērā ņemamie ienākumi ir saņemti Nīderlandē.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Nīderlandes tie</w:t>
      </w:r>
      <w:r>
        <w:rPr>
          <w:rFonts w:asciiTheme="majorHAnsi" w:hAnsiTheme="majorHAnsi"/>
          <w:noProof/>
          <w:color w:val="000000"/>
        </w:rPr>
        <w:t xml:space="preserve">sību aktu piemērošana attiecībā uz darba nespēju </w:t>
      </w:r>
    </w:p>
    <w:p w:rsidR="003E022D" w:rsidRDefault="007D19D6">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 xml:space="preserve">Aprēķinot pabalstus saskaņā ar </w:t>
      </w:r>
      <w:r>
        <w:rPr>
          <w:rFonts w:asciiTheme="majorHAnsi" w:hAnsiTheme="majorHAnsi"/>
          <w:i/>
          <w:noProof/>
          <w:color w:val="000000"/>
        </w:rPr>
        <w:t>WAO, WIA</w:t>
      </w:r>
      <w:r>
        <w:rPr>
          <w:rFonts w:asciiTheme="majorHAnsi" w:hAnsiTheme="majorHAnsi"/>
          <w:noProof/>
          <w:color w:val="000000"/>
        </w:rPr>
        <w:t xml:space="preserve"> vai </w:t>
      </w:r>
      <w:r>
        <w:rPr>
          <w:rFonts w:asciiTheme="majorHAnsi" w:hAnsiTheme="majorHAnsi"/>
          <w:i/>
          <w:noProof/>
          <w:color w:val="000000"/>
        </w:rPr>
        <w:t>WAZ</w:t>
      </w:r>
      <w:r>
        <w:rPr>
          <w:rFonts w:asciiTheme="majorHAnsi" w:hAnsiTheme="majorHAnsi"/>
          <w:noProof/>
          <w:color w:val="000000"/>
        </w:rPr>
        <w:t>, Nīderlandes iestādes ņem vērā:</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algota darba periodus un tiem pielīdzinātos periodus, kas izpildīti Nīderlandē pirms 1967. gada 1. jūlija,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apdrošināšanas periodus, kas izpildīti saskaņā ar </w:t>
      </w:r>
      <w:r>
        <w:rPr>
          <w:rFonts w:asciiTheme="majorHAnsi" w:hAnsiTheme="majorHAnsi"/>
          <w:i/>
          <w:noProof/>
          <w:color w:val="000000"/>
        </w:rPr>
        <w:t>WAO</w:t>
      </w:r>
      <w:r>
        <w:rPr>
          <w:rFonts w:asciiTheme="majorHAnsi" w:hAnsiTheme="majorHAnsi"/>
          <w:noProof/>
          <w:color w:val="000000"/>
        </w:rPr>
        <w:t xml:space="preserve">,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apdrošināšanas periodus, ko attiecīgā persona izpildījusi pēc 15 gadu vecuma saskaņā </w:t>
      </w:r>
      <w:r>
        <w:rPr>
          <w:rFonts w:asciiTheme="majorHAnsi" w:hAnsiTheme="majorHAnsi"/>
          <w:i/>
          <w:noProof/>
          <w:color w:val="000000"/>
        </w:rPr>
        <w:t>AAW</w:t>
      </w:r>
      <w:r>
        <w:rPr>
          <w:rFonts w:asciiTheme="majorHAnsi" w:hAnsiTheme="majorHAnsi"/>
          <w:noProof/>
          <w:color w:val="000000"/>
        </w:rPr>
        <w:t xml:space="preserve"> (“Vispārējais likums par darba nespēju”), ciktāl tie nesakrīt ar tādiem apdrošināšanas periodiem, kas izpildīti</w:t>
      </w:r>
      <w:r>
        <w:rPr>
          <w:rFonts w:asciiTheme="majorHAnsi" w:hAnsiTheme="majorHAnsi"/>
          <w:noProof/>
          <w:color w:val="000000"/>
        </w:rPr>
        <w:t xml:space="preserve"> saskaņā ar </w:t>
      </w:r>
      <w:r>
        <w:rPr>
          <w:rFonts w:asciiTheme="majorHAnsi" w:hAnsiTheme="majorHAnsi"/>
          <w:i/>
          <w:noProof/>
          <w:color w:val="000000"/>
        </w:rPr>
        <w:t>WAO</w:t>
      </w:r>
      <w:r>
        <w:rPr>
          <w:rFonts w:asciiTheme="majorHAnsi" w:hAnsiTheme="majorHAnsi"/>
          <w:noProof/>
          <w:color w:val="000000"/>
        </w:rPr>
        <w:t xml:space="preserve">,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apdrošināšanas periodus, kas izpildīti saskaņā ar </w:t>
      </w:r>
      <w:r>
        <w:rPr>
          <w:rFonts w:asciiTheme="majorHAnsi" w:hAnsiTheme="majorHAnsi"/>
          <w:i/>
          <w:noProof/>
          <w:color w:val="000000"/>
        </w:rPr>
        <w:t>WAZ</w:t>
      </w:r>
      <w:r>
        <w:rPr>
          <w:rFonts w:asciiTheme="majorHAnsi" w:hAnsiTheme="majorHAnsi"/>
          <w:noProof/>
          <w:color w:val="000000"/>
        </w:rPr>
        <w:t xml:space="preserve">, </w:t>
      </w:r>
    </w:p>
    <w:p w:rsidR="003E022D" w:rsidRDefault="007D19D6">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apdrošināšanas periodus, kas izpildīti saskaņā ar </w:t>
      </w:r>
      <w:r>
        <w:rPr>
          <w:rFonts w:asciiTheme="majorHAnsi" w:hAnsiTheme="majorHAnsi"/>
          <w:i/>
          <w:noProof/>
          <w:color w:val="000000"/>
        </w:rPr>
        <w:t>WIA</w:t>
      </w:r>
      <w:r>
        <w:rPr>
          <w:rFonts w:asciiTheme="majorHAnsi" w:hAnsiTheme="majorHAnsi"/>
          <w:noProof/>
          <w:color w:val="000000"/>
        </w:rPr>
        <w:t xml:space="preserve">. </w:t>
      </w:r>
    </w:p>
    <w:p w:rsidR="003E022D" w:rsidRDefault="007D19D6">
      <w:pPr>
        <w:spacing w:before="248"/>
        <w:ind w:left="608"/>
        <w:rPr>
          <w:rFonts w:asciiTheme="majorHAnsi" w:eastAsia="Arial" w:hAnsiTheme="majorHAnsi" w:cs="Arial"/>
          <w:noProof/>
        </w:rPr>
      </w:pPr>
      <w:r>
        <w:rPr>
          <w:rFonts w:asciiTheme="majorHAnsi" w:hAnsiTheme="majorHAnsi"/>
          <w:noProof/>
          <w:color w:val="000000"/>
        </w:rPr>
        <w:t xml:space="preserve">SPĀNIJA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Šā protokola nolūkos SSC.47. panta [Pabalstu piešķiršana] 1. punkta b) apakšpunkta i) punktu, gadus, kuru trūkst, </w:t>
      </w:r>
      <w:r>
        <w:rPr>
          <w:rFonts w:asciiTheme="majorHAnsi" w:hAnsiTheme="majorHAnsi"/>
          <w:noProof/>
          <w:color w:val="000000"/>
        </w:rPr>
        <w:t xml:space="preserve">lai nodarbinātā persona sasniegtu pensijas vai obligāto pensijas vecumu, kas noteikts </w:t>
      </w:r>
      <w:r>
        <w:rPr>
          <w:rFonts w:asciiTheme="majorHAnsi" w:hAnsiTheme="majorHAnsi"/>
          <w:i/>
          <w:iCs/>
          <w:noProof/>
          <w:color w:val="000000"/>
        </w:rPr>
        <w:t>Ley de clases pasivas del Estado</w:t>
      </w:r>
      <w:r>
        <w:rPr>
          <w:rFonts w:asciiTheme="majorHAnsi" w:hAnsiTheme="majorHAnsi"/>
          <w:noProof/>
          <w:color w:val="000000"/>
        </w:rPr>
        <w:t xml:space="preserve"> (Likums par valsts pensionāriem) konsolidētā teksta 31. panta 4. punktā, uzskata par nostrādātiem valsts dienestā tikai tad, ja tāda apdr</w:t>
      </w:r>
      <w:r>
        <w:rPr>
          <w:rFonts w:asciiTheme="majorHAnsi" w:hAnsiTheme="majorHAnsi"/>
          <w:noProof/>
          <w:color w:val="000000"/>
        </w:rPr>
        <w:t>ošināšanas gadījuma iestāšanās brīdī, attiecībā uz kuru pienākas pēcnāves pensija, saņēmējs bijis iekļauts Spānijas valsts civildienesta ierēdņu īpašajā sistēmā vai veicis darbību, uz ko attiecināma šī sistēma, vai ja tāda gadījuma iestāšanās brīdī, attiec</w:t>
      </w:r>
      <w:r>
        <w:rPr>
          <w:rFonts w:asciiTheme="majorHAnsi" w:hAnsiTheme="majorHAnsi"/>
          <w:noProof/>
          <w:color w:val="000000"/>
        </w:rPr>
        <w:t>ībā uz kuru pienākas pensijas, saņēmējs ir veicis darbību, saistībā ar kuru attiecīgajai personai būtu bijis jābūt iekļautai Spānijas valsts civildienesta ierēdņu, bruņoto spēku vai tiesnešu īpašajā sistēmā, ja šī darbība būtu bijusi veikta Spānijā.</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3E022D" w:rsidRDefault="007D19D6">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Saskaņā ar SSC.51. panta [Papildu noteikumi pabalstu aprēķināšanai] 1. punkta c) apakšpunktu Spānijas teorētisko pabalstu aprēķina, balstoties uz faktiskajām iemaksām, ko persona veikusi gados tieši pirms pēdējās iemaksas Spānijas sociālajam nodrošinājumam</w:t>
      </w:r>
      <w:r>
        <w:rPr>
          <w:rFonts w:asciiTheme="majorHAnsi" w:hAnsiTheme="majorHAnsi"/>
          <w:noProof/>
          <w:color w:val="000000"/>
        </w:rPr>
        <w:t>. Ja, aprēķinot pensijas pamatsummu, apdrošināšanas vai dzīves vietas periodi saskaņā ar citu valstu tiesību aktiem ir jāņem vērā, attiecībā uz iepriekšminētajiem periodiem kā iemaksu pamats Spānijā izmanto pārskata periodiem tuvāko periodu, ņemot vērā maz</w:t>
      </w:r>
      <w:r>
        <w:rPr>
          <w:rFonts w:asciiTheme="majorHAnsi" w:hAnsiTheme="majorHAnsi"/>
          <w:noProof/>
          <w:color w:val="000000"/>
        </w:rPr>
        <w:t>umtirdzniecības cenu indeksa attīstību.</w:t>
      </w:r>
    </w:p>
    <w:p w:rsidR="003E022D" w:rsidRDefault="007D19D6">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Iegūtās pensijas summu palielina par tādu paaugstinājuma un pārrēķina summu, kas aprēķināta katram vēlākajam gadam attiecībā uz tā paša veida pensijām.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Citā valstī pabeigtos laika posmus, kas ir ieskaitāmi valsts civildienesta ierēdņu, bruņoto spēku un tiesu administrācijas īpašajā sistēmā, saskaņā ar SSC.51. pantu [Papildu noteikumi pabalstu aprēķināšanai] pielīdzina laika ziņā vistuvākajiem Spānijā par </w:t>
      </w:r>
      <w:r>
        <w:rPr>
          <w:rFonts w:asciiTheme="majorHAnsi" w:hAnsiTheme="majorHAnsi"/>
          <w:noProof/>
          <w:color w:val="000000"/>
        </w:rPr>
        <w:t xml:space="preserve">valsts civildienesta ierēdni nostrādātajiem laika posmiem.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Balstoties uz vecumu aprēķinātās papildu summas, kas minētas Vispārējā sociālā nodrošinājuma likuma otrajā pārejas noteikumā, piemēro visiem tiem saņēmējiem saskaņā ar protokolu, kuru vārdā ir </w:t>
      </w:r>
      <w:r>
        <w:rPr>
          <w:rFonts w:asciiTheme="majorHAnsi" w:hAnsiTheme="majorHAnsi"/>
          <w:noProof/>
          <w:color w:val="000000"/>
        </w:rPr>
        <w:t>veiktas iemaksas pirms 1967. gada 1. janvāra saskaņā ar Spānijas tiesību aktiem; apdrošināšanas periodus, kas ieskaitīti citā valstī pirms 1967. gada 1. janvāra, nevar, piemērojot protokola SSC.6. pantu [Vienlīdzīga attieksme pret pabalstiem, ienākumiem, f</w:t>
      </w:r>
      <w:r>
        <w:rPr>
          <w:rFonts w:asciiTheme="majorHAnsi" w:hAnsiTheme="majorHAnsi"/>
          <w:noProof/>
          <w:color w:val="000000"/>
        </w:rPr>
        <w:t>aktiem vai notikumiem], uzskatīt par līdzvērtīgiem Spānijā veiktām iemaksām, tikai šā protokola mērķiem. 1967. gada 1. janvārim attiecībā uz jūrnieku speciālo sistēmu atbilst 1970. gada 1. augusts un attiecībā uz ogļu ieguves speciālo sociālā nodrošinājuma</w:t>
      </w:r>
      <w:r>
        <w:rPr>
          <w:rFonts w:asciiTheme="majorHAnsi" w:hAnsiTheme="majorHAnsi"/>
          <w:noProof/>
          <w:color w:val="000000"/>
        </w:rPr>
        <w:t xml:space="preserve"> sistēmu – 1969. gada 1. aprīlis. </w:t>
      </w:r>
    </w:p>
    <w:p w:rsidR="003E022D" w:rsidRDefault="007D19D6">
      <w:pPr>
        <w:spacing w:before="248"/>
        <w:ind w:left="608"/>
        <w:rPr>
          <w:rFonts w:asciiTheme="majorHAnsi" w:eastAsia="Arial" w:hAnsiTheme="majorHAnsi" w:cs="Arial"/>
          <w:noProof/>
        </w:rPr>
      </w:pPr>
      <w:r>
        <w:rPr>
          <w:rFonts w:asciiTheme="majorHAnsi" w:hAnsiTheme="majorHAnsi"/>
          <w:noProof/>
          <w:color w:val="000000"/>
        </w:rPr>
        <w:t xml:space="preserve">ZVIEDRIJA </w:t>
      </w:r>
    </w:p>
    <w:p w:rsidR="003E022D" w:rsidRDefault="007D19D6">
      <w:pPr>
        <w:rPr>
          <w:rFonts w:asciiTheme="majorHAnsi" w:hAnsiTheme="majorHAnsi" w:cstheme="majorHAnsi"/>
          <w:noProof/>
        </w:rPr>
      </w:pPr>
      <w:r>
        <w:rPr>
          <w:rFonts w:asciiTheme="majorHAnsi" w:hAnsiTheme="majorHAnsi"/>
          <w:noProof/>
          <w:color w:val="000000"/>
        </w:rPr>
        <w:t>1.</w:t>
      </w:r>
      <w:r>
        <w:rPr>
          <w:noProof/>
        </w:rPr>
        <w:tab/>
      </w:r>
      <w:r>
        <w:rPr>
          <w:rFonts w:asciiTheme="majorHAnsi" w:hAnsiTheme="majorHAnsi"/>
          <w:noProof/>
        </w:rPr>
        <w:t>Protokola par apdrošināšanas periodu apvienošanu noteikumi  neattiecas uz Zviedrijas tiesību aktu pārejas nosacījumiem par tiesībām uz garantētu pensiju personām, kas dzimušas 1937. gadā vai agrāk un kas dzī</w:t>
      </w:r>
      <w:r>
        <w:rPr>
          <w:rFonts w:asciiTheme="majorHAnsi" w:hAnsiTheme="majorHAnsi"/>
          <w:noProof/>
        </w:rPr>
        <w:t xml:space="preserve">vojušas Zviedrijā noteiktu periodu pirms pensijas pieprasīšanas (Likums 2000:798). </w:t>
      </w:r>
    </w:p>
    <w:p w:rsidR="003E022D" w:rsidRDefault="007D19D6">
      <w:pPr>
        <w:rPr>
          <w:rFonts w:asciiTheme="majorHAnsi" w:eastAsia="Arial" w:hAnsiTheme="majorHAnsi" w:cs="Arial"/>
          <w:noProof/>
        </w:rPr>
      </w:pPr>
      <w:r>
        <w:rPr>
          <w:noProof/>
        </w:rPr>
        <w:t>2.</w:t>
      </w:r>
      <w:r>
        <w:rPr>
          <w:noProof/>
        </w:rPr>
        <w:tab/>
      </w:r>
      <w:r>
        <w:rPr>
          <w:rFonts w:asciiTheme="majorHAnsi" w:hAnsiTheme="majorHAnsi"/>
          <w:noProof/>
          <w:color w:val="000000"/>
        </w:rPr>
        <w:t xml:space="preserve">Lai aprēķinātu ienākumus teorētiskam ar ienākumiem saistītam slimības pabalstam un ar ienākumiem saistītai darbības pārtraukšanas kompensācijai atbilstīgi 8. nodaļai </w:t>
      </w:r>
      <w:r>
        <w:rPr>
          <w:rFonts w:asciiTheme="majorHAnsi" w:hAnsiTheme="majorHAnsi"/>
          <w:i/>
          <w:iCs/>
          <w:noProof/>
          <w:color w:val="000000"/>
        </w:rPr>
        <w:t>Lag</w:t>
      </w:r>
      <w:r>
        <w:rPr>
          <w:rFonts w:asciiTheme="majorHAnsi" w:hAnsiTheme="majorHAnsi"/>
          <w:noProof/>
          <w:color w:val="000000"/>
        </w:rPr>
        <w:t xml:space="preserve"> (1962:381) </w:t>
      </w:r>
      <w:r>
        <w:rPr>
          <w:rFonts w:asciiTheme="majorHAnsi" w:hAnsiTheme="majorHAnsi"/>
          <w:i/>
          <w:noProof/>
          <w:color w:val="000000"/>
        </w:rPr>
        <w:t>om allmän försäkring</w:t>
      </w:r>
      <w:r>
        <w:rPr>
          <w:rFonts w:asciiTheme="majorHAnsi" w:hAnsiTheme="majorHAnsi"/>
          <w:noProof/>
          <w:color w:val="000000"/>
        </w:rPr>
        <w:t xml:space="preserve"> (Valsts Apdrošināšanas likumā), piemēro šādus noteikumus: </w:t>
      </w:r>
    </w:p>
    <w:p w:rsidR="003E022D" w:rsidRDefault="007D19D6">
      <w:pPr>
        <w:numPr>
          <w:ilvl w:val="0"/>
          <w:numId w:val="112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ja uz apdrošināto personu atskaites periodā attiecās vienas vai vairāku dalībvalstu tiesību akti, ņemot vērā veikto darbību nodarbinātas vai pašnodarbinātas persona</w:t>
      </w:r>
      <w:r>
        <w:rPr>
          <w:rFonts w:asciiTheme="majorHAnsi" w:hAnsiTheme="majorHAnsi"/>
          <w:noProof/>
          <w:color w:val="000000"/>
        </w:rPr>
        <w:t>s statusā, tad attiecīgajā valstī gūtos ienākumus uzskata par līdzvērtīgiem apdrošinātās personas vidējiem bruto ienākumiem Zviedrijā, kas gūti atskaites perioda daļā Zviedrijā un ko aprēķina, dalot ienākumus Zviedrijā ar gadu skaitu, kuru laikā šie ienāku</w:t>
      </w:r>
      <w:r>
        <w:rPr>
          <w:rFonts w:asciiTheme="majorHAnsi" w:hAnsiTheme="majorHAnsi"/>
          <w:noProof/>
          <w:color w:val="000000"/>
        </w:rPr>
        <w:t>mi tika gūti;</w:t>
      </w:r>
    </w:p>
    <w:p w:rsidR="003E022D" w:rsidRDefault="007D19D6">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p>
    <w:p w:rsidR="003E022D" w:rsidRDefault="007D19D6">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Lai aprēķinātu teorētisko pensijas kapitālu apgādnieka zaudējuma pabalstam, kas saistīts ar ienākumiem (Likums 2000:461), ja prasība Zviedrijas tiesību aktos par tiesībām uz pensiju vismaz trijos no pieciem kalendārajiem gadiem tieši </w:t>
      </w:r>
      <w:r>
        <w:rPr>
          <w:rFonts w:asciiTheme="majorHAnsi" w:hAnsiTheme="majorHAnsi"/>
          <w:noProof/>
          <w:color w:val="000000"/>
        </w:rPr>
        <w:t>pirms apdrošinātās personas nāves (atskaites periods) nav izpildīta, ņem vērā arī apdrošināšanas periodus citās valstīs, it kā tie būtu izpildīti Zviedrijā. Apdrošināšanas periodus citās valstīs uzskata par atbilstīgiem saskaņā ar vidējo Zviedrijas pensija</w:t>
      </w:r>
      <w:r>
        <w:rPr>
          <w:rFonts w:asciiTheme="majorHAnsi" w:hAnsiTheme="majorHAnsi"/>
          <w:noProof/>
          <w:color w:val="000000"/>
        </w:rPr>
        <w:t>s bāzi. Ja attiecīgajai personai Zviedrijā ir tikai viens gads ar pensijas bāzi, visus apdrošināšanas periodus citā valstī uzskata par periodiem ar tādu pašu apmēru.</w:t>
      </w:r>
    </w:p>
    <w:p w:rsidR="003E022D" w:rsidRDefault="007D19D6">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Aprēķinot teorētiskos pensijas punktus atraitnes pensijām attiecībā uz nāves gadījumiem, k</w:t>
      </w:r>
      <w:r>
        <w:rPr>
          <w:rFonts w:asciiTheme="majorHAnsi" w:hAnsiTheme="majorHAnsi"/>
          <w:noProof/>
          <w:color w:val="000000"/>
        </w:rPr>
        <w:t>as notikuši 2003. gada 1. janvārī vai vēlāk, ja prasības Zviedrijas tiesību aktos par pensiju punktiem attiecībā uz pēdējiem diviem no četriem gadiem tieši pirms apdrošinātās personas nāves (atskaites periods) nav ievērotas un apdrošināšanas periodi ir izp</w:t>
      </w:r>
      <w:r>
        <w:rPr>
          <w:rFonts w:asciiTheme="majorHAnsi" w:hAnsiTheme="majorHAnsi"/>
          <w:noProof/>
          <w:color w:val="000000"/>
        </w:rPr>
        <w:t xml:space="preserve">ildīti citā valstī atskaites periodā, šos gadus uzskata par tādiem, kas balstās uz tiem pašiem pensiju punktiem kā gads Zviedrijā. </w:t>
      </w:r>
    </w:p>
    <w:p w:rsidR="003E022D" w:rsidRDefault="007D19D6">
      <w:pPr>
        <w:spacing w:before="248"/>
        <w:ind w:left="618"/>
        <w:rPr>
          <w:rFonts w:asciiTheme="majorHAnsi" w:eastAsia="Arial" w:hAnsiTheme="majorHAnsi" w:cs="Arial"/>
          <w:noProof/>
        </w:rPr>
      </w:pPr>
      <w:r>
        <w:rPr>
          <w:rFonts w:asciiTheme="majorHAnsi" w:hAnsiTheme="majorHAnsi"/>
          <w:noProof/>
          <w:color w:val="000000"/>
        </w:rPr>
        <w:t xml:space="preserve">APVIENOTĀ KARALISTE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Gadījumos, kad personai saskaņā ar Apvienotās Karalistes tiesību aktiem var būt tiesības uz izdienas</w:t>
      </w:r>
      <w:r>
        <w:rPr>
          <w:rFonts w:asciiTheme="majorHAnsi" w:hAnsiTheme="majorHAnsi"/>
          <w:noProof/>
          <w:color w:val="000000"/>
        </w:rPr>
        <w:t xml:space="preserve"> pensiju, ja: </w:t>
      </w:r>
    </w:p>
    <w:p w:rsidR="003E022D" w:rsidRDefault="007D19D6">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bijušā laulātā iemaksas ņem vērā, it kā tās būtu pašas personas iemaksas;  vai </w:t>
      </w:r>
    </w:p>
    <w:p w:rsidR="003E022D" w:rsidRDefault="007D19D6">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šīs personas laulātais vai bijušais laulātais ir izpildījis attiecīgos iemaksu nosacījumus, tad — ar nosacījumu katrā gadījumā, ka attiecīgi laulātais vai bijuša</w:t>
      </w:r>
      <w:r>
        <w:rPr>
          <w:rFonts w:asciiTheme="majorHAnsi" w:hAnsiTheme="majorHAnsi"/>
          <w:noProof/>
          <w:color w:val="000000"/>
        </w:rPr>
        <w:t>is laulātais ir vai bija veicis darbību nodarbinātas vai pašnodarbinātas personas statusā, un uz to attiecās divu vai vairāk dalībvalstu tiesību akti — lai noskaidrotu tiesības uz pensiju atbilstīgi Apvienotās Karalistes tiesību aktiem, piemēro protokola I</w:t>
      </w:r>
      <w:r>
        <w:rPr>
          <w:rFonts w:asciiTheme="majorHAnsi" w:hAnsiTheme="majorHAnsi"/>
          <w:noProof/>
          <w:color w:val="000000"/>
        </w:rPr>
        <w:t>II sadaļas [Īpaši noteikumi par dažādām pabalstu kategorijām] 5. nodaļu [Vecuma pensijas un apgādnieka zaudējuma pabalsti]. Tādā gadījumā atsauces protokola III sadaļas [Īpaši noteikumi par dažādām pabalstu kategorijām] 5. nodaļā [Vecuma pensijas un apgādn</w:t>
      </w:r>
      <w:r>
        <w:rPr>
          <w:rFonts w:asciiTheme="majorHAnsi" w:hAnsiTheme="majorHAnsi"/>
          <w:noProof/>
          <w:color w:val="000000"/>
        </w:rPr>
        <w:t xml:space="preserve">ieka zaudējuma pabalsti] 5. nodaļā uz "apdrošināšanas periodiem" uzskata par atsaucēm uz apdrošināšanas periodiem, kurus izpildījuši: </w:t>
      </w:r>
    </w:p>
    <w:p w:rsidR="003E022D" w:rsidRDefault="007D19D6">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laulātais vai bijušais laulātais, ja pieprasījumu iesniedz: </w:t>
      </w:r>
    </w:p>
    <w:p w:rsidR="003E022D" w:rsidRDefault="007D19D6">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 xml:space="preserve">precēta sieviete vai </w:t>
      </w:r>
    </w:p>
    <w:p w:rsidR="003E022D" w:rsidRDefault="007D19D6">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persona, kuras laulība ir beigusies nevis ar laulātā nāvi, bet citā veidā; vai </w:t>
      </w:r>
    </w:p>
    <w:p w:rsidR="003E022D" w:rsidRDefault="007D19D6">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bijušais laulātais, ja pieprasījumu iesniedz: </w:t>
      </w:r>
    </w:p>
    <w:p w:rsidR="003E022D" w:rsidRDefault="007D19D6">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atraitnis, kuram tieši pirms pensionēšanās vecuma nav tiesību saņemt par atraitni kļuvuša vecāka pabalstu, vai</w:t>
      </w:r>
    </w:p>
    <w:p w:rsidR="003E022D" w:rsidRDefault="007D19D6">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atraitne, kurai ti</w:t>
      </w:r>
      <w:r>
        <w:rPr>
          <w:rFonts w:asciiTheme="majorHAnsi" w:hAnsiTheme="majorHAnsi"/>
          <w:noProof/>
          <w:color w:val="000000"/>
        </w:rPr>
        <w:t>eši pirms pensionēšanās vecuma nav tiesību saņemt par atraitni kļuvušas mātes pabalstu, par atraitni kļuvuša vecāka pabalstu vai atraitņu pensiju vai kurai ir tiesības saņemt tikai ar vecumu saistītu atraitņu pensiju, kas aprēķināta saskaņā ar protokola SS</w:t>
      </w:r>
      <w:r>
        <w:rPr>
          <w:rFonts w:asciiTheme="majorHAnsi" w:hAnsiTheme="majorHAnsi"/>
          <w:noProof/>
          <w:color w:val="000000"/>
        </w:rPr>
        <w:t>C.47. panta [Pabalstu piešķiršana] 1. punkta b) apakšpunktu, un šajā nozīmē “ar vecumu saistīta atraitņu pensija” nozīmē atraitņu pensiju, kas izmaksājama pēc samazinātas likmes saskaņā ar</w:t>
      </w:r>
      <w:r>
        <w:rPr>
          <w:rFonts w:asciiTheme="majorHAnsi" w:hAnsiTheme="majorHAnsi"/>
          <w:i/>
          <w:iCs/>
          <w:noProof/>
          <w:color w:val="000000"/>
        </w:rPr>
        <w:t xml:space="preserve"> Social Security Contributions and Benefits Act</w:t>
      </w:r>
      <w:r>
        <w:rPr>
          <w:rFonts w:asciiTheme="majorHAnsi" w:hAnsiTheme="majorHAnsi"/>
          <w:noProof/>
          <w:color w:val="000000"/>
        </w:rPr>
        <w:t xml:space="preserve"> 1992 (1992. gada lik</w:t>
      </w:r>
      <w:r>
        <w:rPr>
          <w:rFonts w:asciiTheme="majorHAnsi" w:hAnsiTheme="majorHAnsi"/>
          <w:noProof/>
          <w:color w:val="000000"/>
        </w:rPr>
        <w:t xml:space="preserve">ums “Par sociālās apdrošināšanas iemaksām un pabalstiem”) 39. iedaļas 4. punktu.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Piemērojot protokola SSC.8. pantu [Noteikumu par dzīvesvietu nepiemērošana] attiecībā uz vecuma vai skaidrās naudas pabalstiem apgādnieka zaudējuma gadījumā, pensijām par nelaimes gadījumu darbā vai arodslimību un apbedīšanas pabalstiem, katru tādu saņēmēj</w:t>
      </w:r>
      <w:r>
        <w:rPr>
          <w:rFonts w:asciiTheme="majorHAnsi" w:hAnsiTheme="majorHAnsi"/>
          <w:noProof/>
          <w:color w:val="000000"/>
        </w:rPr>
        <w:t xml:space="preserve">u saskaņā ar Apvienotās Karalistes tiesību aktiem, kas uzturas citas valsts teritorijā, uzturēšanās laikā uzskata par personu, kas dzīvo minētajā citā valstī. </w:t>
      </w:r>
    </w:p>
    <w:p w:rsidR="003E022D" w:rsidRDefault="007D19D6">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3.</w:t>
      </w:r>
      <w:r>
        <w:rPr>
          <w:noProof/>
        </w:rPr>
        <w:tab/>
      </w:r>
    </w:p>
    <w:p w:rsidR="003E022D" w:rsidRDefault="007D19D6">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Aprēķinot ienākumu koeficientu, kas ir vajadzīgs, lai noteiktu tiesības uz pabalstiem saskaņ</w:t>
      </w:r>
      <w:r>
        <w:rPr>
          <w:rFonts w:asciiTheme="majorHAnsi" w:hAnsiTheme="majorHAnsi"/>
          <w:noProof/>
          <w:color w:val="000000"/>
        </w:rPr>
        <w:t>ā ar Apvienotās Karalistes tiesību aktiem, attiecībā uz katru nedēļu, kurā uz nodarbināto personu attiecās kādas valsts tiesību akti un kura sākās attiecīgajā ienākumu nodokļa gadā Apvienotās Karalistes tiesību aktu nozīmē, uzskata, ka attiecīgā persona ir</w:t>
      </w:r>
      <w:r>
        <w:rPr>
          <w:rFonts w:asciiTheme="majorHAnsi" w:hAnsiTheme="majorHAnsi"/>
          <w:noProof/>
          <w:color w:val="000000"/>
        </w:rPr>
        <w:t xml:space="preserve"> veikusi iemaksas kā nodarbināts pelnītājs vai kurai ir ienākumi, par kuriem ir veiktas iemaksas, ņemot par pamatu ienākumus, kas atbilst divām trešdaļām no augšējo ienākumu līmeņa attiecīgajā gadā. </w:t>
      </w:r>
    </w:p>
    <w:p w:rsidR="003E022D" w:rsidRDefault="007D19D6">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Protokola SSC.47. panta [Pabalstu piešķiršana] 1. punkta</w:t>
      </w:r>
      <w:r>
        <w:rPr>
          <w:rFonts w:asciiTheme="majorHAnsi" w:hAnsiTheme="majorHAnsi"/>
          <w:noProof/>
          <w:color w:val="000000"/>
        </w:rPr>
        <w:t xml:space="preserve"> b) apakšpunkta ii) punkta mērķiem, ja: </w:t>
      </w:r>
    </w:p>
    <w:p w:rsidR="003E022D" w:rsidRDefault="007D19D6">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 xml:space="preserve">persona, kas veic darbību nodarbinātas personas statusā, ienākumu nodokļa gadā, kas sākās 1975. gada 6. aprīlī vai pēc šā datuma, ir izpildījusi apdrošināšanas, nodarbinātības vai dzīvesvietas periodus vienīgi kādā </w:t>
      </w:r>
      <w:r>
        <w:rPr>
          <w:rFonts w:asciiTheme="majorHAnsi" w:hAnsiTheme="majorHAnsi"/>
          <w:noProof/>
          <w:color w:val="000000"/>
        </w:rPr>
        <w:t>dalībvalstī, un ja, piemērojot šā punkta 1) apakšpunktu, šis gads ir uzskatāms par kvalificējošu gadu Apvienotās Karalistes tiesību aktu nozīmē protokola SSC.47. panta [Pabalstu piešķiršana] 1. punkta b) apakšpunkta i) punkta mērķiem, tad šī persona šajā g</w:t>
      </w:r>
      <w:r>
        <w:rPr>
          <w:rFonts w:asciiTheme="majorHAnsi" w:hAnsiTheme="majorHAnsi"/>
          <w:noProof/>
          <w:color w:val="000000"/>
        </w:rPr>
        <w:t xml:space="preserve">adā ir uzskatāma par apdrošinātu 52 nedēļas šajā dalībvalstī; </w:t>
      </w:r>
    </w:p>
    <w:p w:rsidR="003E022D" w:rsidRDefault="007D19D6">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ienākumu nodokļa gadu, kas sākās 1975. gada 6. aprīlī vai pēc šā datuma, neuzskata par kvalificējošu gadu Apvienotās Karalistes tiesību aktu nozīmē, piemērojot protokola SSC.47. panta [Pabalstu</w:t>
      </w:r>
      <w:r>
        <w:rPr>
          <w:rFonts w:asciiTheme="majorHAnsi" w:hAnsiTheme="majorHAnsi"/>
          <w:noProof/>
          <w:color w:val="000000"/>
        </w:rPr>
        <w:t xml:space="preserve"> piešķiršana] 1. punkta b) apakšpunkta i) punktu, tad apdrošināšanas, nodarbinātības vai dzīvesvietas periodus, kas izpildīti šajā gadā, neņem vērā. </w:t>
      </w:r>
    </w:p>
    <w:p w:rsidR="003E022D" w:rsidRDefault="007D19D6">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Lai ienākumu koeficientu pārrēķinātu apdrošināšanas periodos, ienākumu koeficientu, kas saskaņā ar Apvieno</w:t>
      </w:r>
      <w:r>
        <w:rPr>
          <w:rFonts w:asciiTheme="majorHAnsi" w:hAnsiTheme="majorHAnsi"/>
          <w:noProof/>
          <w:color w:val="000000"/>
        </w:rPr>
        <w:t>tās Karalistes tiesību aktiem ir sasniegts konkrētajā ienākumu nodokļa gadā, dala ar tā gada zemāko ienākumu līmeni. Rezultātu izsaka ar veselu skaitli, neņemot vērā atlikumu decimāldaļās. Šādi aprēķināto skaitli uzskata par tādu, kas norāda, cik apdrošinā</w:t>
      </w:r>
      <w:r>
        <w:rPr>
          <w:rFonts w:asciiTheme="majorHAnsi" w:hAnsiTheme="majorHAnsi"/>
          <w:noProof/>
          <w:color w:val="000000"/>
        </w:rPr>
        <w:t>šanas nedēļu ir izpildītas attiecīgajā gadā saskaņā ar Apvienotās Karalistes tiesību aktiem, ar noteikumu, ka šis skaitlis nepārsniedz to nedēļu skaitu tajā gadā, kuru laikā uz personu attiecās minētie tiesību akti.</w:t>
      </w:r>
    </w:p>
    <w:p w:rsidR="003E022D" w:rsidRDefault="007D19D6">
      <w:pPr>
        <w:rPr>
          <w:rFonts w:asciiTheme="majorHAnsi" w:eastAsia="Arial" w:hAnsiTheme="majorHAnsi" w:cs="Arial"/>
          <w:noProof/>
          <w:color w:val="000000"/>
        </w:rPr>
      </w:pPr>
      <w:r>
        <w:rPr>
          <w:noProof/>
        </w:rPr>
        <w:br w:type="page"/>
      </w:r>
    </w:p>
    <w:p w:rsidR="003E022D" w:rsidRDefault="007D19D6">
      <w:pPr>
        <w:pStyle w:val="ANNEX"/>
        <w:rPr>
          <w:rFonts w:asciiTheme="majorHAnsi" w:hAnsiTheme="majorHAnsi"/>
          <w:noProof/>
        </w:rPr>
      </w:pPr>
      <w:bookmarkStart w:id="1478" w:name="_Toc59110613"/>
      <w:bookmarkStart w:id="1479" w:name="_Toc59988452"/>
      <w:r>
        <w:rPr>
          <w:rFonts w:asciiTheme="majorHAnsi" w:hAnsiTheme="majorHAnsi"/>
          <w:noProof/>
        </w:rPr>
        <w:t>SSC-7. PIELIKUMS. ĪSTENOŠANAS DAĻA</w:t>
      </w:r>
      <w:bookmarkEnd w:id="1478"/>
      <w:bookmarkEnd w:id="1479"/>
    </w:p>
    <w:p w:rsidR="003E022D" w:rsidRDefault="007D19D6">
      <w:pPr>
        <w:jc w:val="center"/>
        <w:rPr>
          <w:rFonts w:eastAsia="Arial" w:cs="Arial"/>
          <w:noProof/>
          <w:color w:val="000000"/>
        </w:rPr>
      </w:pPr>
      <w:bookmarkStart w:id="1480" w:name="_Toc59110614"/>
      <w:r>
        <w:rPr>
          <w:noProof/>
        </w:rPr>
        <w:t>I SADAĻA. VISPĀRĪGI NOTEIKUMI</w:t>
      </w:r>
      <w:bookmarkEnd w:id="1480"/>
    </w:p>
    <w:p w:rsidR="003E022D" w:rsidRDefault="007D19D6">
      <w:pPr>
        <w:pStyle w:val="Chapter"/>
        <w:rPr>
          <w:noProof/>
        </w:rPr>
      </w:pPr>
      <w:r>
        <w:rPr>
          <w:noProof/>
        </w:rPr>
        <w:t>1. NODAĻA</w:t>
      </w:r>
    </w:p>
    <w:p w:rsidR="003E022D" w:rsidRDefault="007D19D6">
      <w:pPr>
        <w:pStyle w:val="Article"/>
        <w:rPr>
          <w:noProof/>
        </w:rPr>
      </w:pPr>
      <w:r>
        <w:rPr>
          <w:noProof/>
        </w:rPr>
        <w:t>SSCI.1. pants. Definīcijas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Šajā pielikumā piemēro SSC.1. panta [Definīcijas] definīcijas.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Papildus 1. punktā minētajām definīcijām izmanto šādas definīcijas: </w:t>
      </w:r>
    </w:p>
    <w:p w:rsidR="003E022D" w:rsidRDefault="007D19D6">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“piekļuves vieta” ir struktūra, kas nodrošina: </w:t>
      </w:r>
    </w:p>
    <w:p w:rsidR="003E022D" w:rsidRDefault="007D19D6">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ele</w:t>
      </w:r>
      <w:r>
        <w:rPr>
          <w:rFonts w:asciiTheme="majorHAnsi" w:hAnsiTheme="majorHAnsi"/>
          <w:noProof/>
          <w:color w:val="000000"/>
        </w:rPr>
        <w:t>ktronisku kontaktpunktu;</w:t>
      </w:r>
    </w:p>
    <w:p w:rsidR="003E022D" w:rsidRDefault="007D19D6">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automātisku maršrutēšanu, kā pamatā ir adrese; un</w:t>
      </w:r>
    </w:p>
    <w:p w:rsidR="003E022D" w:rsidRDefault="007D19D6">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 xml:space="preserve">viedo maršrutēšanu, kuras pamatā ir programmatūra, kas ļauj automātiski pārbaudīt un veikt maršrutēšanu (piemēram, izmantot mākslīgo intelektu) vai cilvēku līdzdalību; </w:t>
      </w:r>
    </w:p>
    <w:p w:rsidR="003E022D" w:rsidRDefault="007D19D6">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“sadarbības </w:t>
      </w:r>
      <w:r>
        <w:rPr>
          <w:rFonts w:asciiTheme="majorHAnsi" w:hAnsiTheme="majorHAnsi"/>
          <w:noProof/>
          <w:color w:val="000000"/>
        </w:rPr>
        <w:t>struktūra” ir jebkura valsts kompetentās institūcijas norādīta struktūra vienai vai vairākām protokola SSC.3 pantā [Jomas, uz kurām attiecas šis protokols] minētajām sociālā nodrošinājuma jomām, kas atbild uz informācijas un palīdzības pieprasījumu saistīb</w:t>
      </w:r>
      <w:r>
        <w:rPr>
          <w:rFonts w:asciiTheme="majorHAnsi" w:hAnsiTheme="majorHAnsi"/>
          <w:noProof/>
          <w:color w:val="000000"/>
        </w:rPr>
        <w:t>ā ar protokola un SSC-6. pielikuma [Īstenošanas daļa] piemērošanu un kas veic uzdevumus, kuri tai uzticēti pielikuma IV sadaļā [Finanšu noteikumi];</w:t>
      </w:r>
    </w:p>
    <w:p w:rsidR="003E022D" w:rsidRDefault="007D19D6">
      <w:pPr>
        <w:numPr>
          <w:ilvl w:val="0"/>
          <w:numId w:val="1137"/>
        </w:numPr>
        <w:pBdr>
          <w:top w:val="nil"/>
          <w:left w:val="nil"/>
          <w:bottom w:val="nil"/>
          <w:right w:val="nil"/>
          <w:between w:val="nil"/>
        </w:pBdr>
        <w:spacing w:before="48" w:after="160" w:line="259" w:lineRule="auto"/>
        <w:ind w:left="426" w:hanging="426"/>
        <w:rPr>
          <w:rFonts w:asciiTheme="majorHAnsi" w:eastAsia="Arial" w:hAnsiTheme="majorHAnsi" w:cs="Arial"/>
          <w:noProof/>
          <w:color w:val="000000"/>
        </w:rPr>
      </w:pPr>
      <w:r>
        <w:rPr>
          <w:rFonts w:asciiTheme="majorHAnsi" w:hAnsiTheme="majorHAnsi"/>
          <w:noProof/>
          <w:color w:val="000000"/>
        </w:rPr>
        <w:t>“dokuments” ir tā veidots datu apkopojums, neatkarīgi no izmantotā saziņas līdzekļa, lai ar to varētu apmain</w:t>
      </w:r>
      <w:r>
        <w:rPr>
          <w:rFonts w:asciiTheme="majorHAnsi" w:hAnsiTheme="majorHAnsi"/>
          <w:noProof/>
          <w:color w:val="000000"/>
        </w:rPr>
        <w:t>īties elektroniski, un kas jānosūta, lai šis protokols un šis pielikums varētu darboties;</w:t>
      </w:r>
    </w:p>
    <w:p w:rsidR="003E022D" w:rsidRDefault="007D19D6">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“strukturēts elektronisks dokuments” ir jebkurš strukturēts dokuments, kas sastādīts tādā formā, kas izstrādāta elektroniskai informācijas apmaiņai starp valstīm;</w:t>
      </w:r>
    </w:p>
    <w:p w:rsidR="003E022D" w:rsidRDefault="007D19D6">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“no</w:t>
      </w:r>
      <w:r>
        <w:rPr>
          <w:rFonts w:asciiTheme="majorHAnsi" w:hAnsiTheme="majorHAnsi"/>
          <w:noProof/>
          <w:color w:val="000000"/>
        </w:rPr>
        <w:t>sūtīšana elektroniski” nozīmē nosūtīt datus, izmantojot elektroniskas datu apstrādes (tostarp datu saspiešanu) iekārtas, izmantojot vadus, radio apraides, optiskas tehnoloģijas vai citus elektromagnētiskus līdzekļus;</w:t>
      </w:r>
    </w:p>
    <w:p w:rsidR="003E022D" w:rsidRDefault="007D19D6">
      <w:pPr>
        <w:numPr>
          <w:ilvl w:val="0"/>
          <w:numId w:val="113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 xml:space="preserve">“krāpšana” ir jebkura tīša darbība vai </w:t>
      </w:r>
      <w:r>
        <w:rPr>
          <w:rFonts w:asciiTheme="majorHAnsi" w:hAnsiTheme="majorHAnsi"/>
          <w:noProof/>
        </w:rPr>
        <w:t>bezdarbība, ko veic nolūkā:</w:t>
      </w:r>
    </w:p>
    <w:p w:rsidR="003E022D" w:rsidRDefault="007D19D6">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saņemt sociālā nodrošinājuma pabalstus vai ļaut citai personai saņemt sociālā nodrošinājuma pabalstus, ja nav izpildīti nosacījumi tiesībām uz šādiem pabalstiem saskaņā ar attiecīgās(-o) valsts(-u) tiesību aktiem vai šo </w:t>
      </w:r>
      <w:r>
        <w:rPr>
          <w:rFonts w:asciiTheme="majorHAnsi" w:hAnsiTheme="majorHAnsi"/>
          <w:noProof/>
          <w:color w:val="000000"/>
        </w:rPr>
        <w:t>protokolu; vai</w:t>
      </w:r>
    </w:p>
    <w:p w:rsidR="003E022D" w:rsidRDefault="007D19D6">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izvairīties no sociālā nodrošinājuma iemaksu veikšanas vai ļaut citai personai izvairīties no sociālā nodrošinājuma iemaksu veikšanas, ja šādas iemaksas ir vajadzīgas saskaņā ar attiecīgās(-o) valsts(-u) tiesību aktiem vai šo protokolu.</w:t>
      </w:r>
    </w:p>
    <w:p w:rsidR="003E022D" w:rsidRDefault="007D19D6">
      <w:pPr>
        <w:pStyle w:val="Chapter"/>
        <w:rPr>
          <w:noProof/>
        </w:rPr>
      </w:pPr>
      <w:r>
        <w:rPr>
          <w:noProof/>
        </w:rPr>
        <w:t>2. N</w:t>
      </w:r>
      <w:r>
        <w:rPr>
          <w:noProof/>
        </w:rPr>
        <w:t>ODAĻA. SADARBĪBAS UN DATU APMAIŅAS NOTEIKUMI</w:t>
      </w:r>
    </w:p>
    <w:p w:rsidR="003E022D" w:rsidRDefault="007D19D6">
      <w:pPr>
        <w:pStyle w:val="Article"/>
        <w:rPr>
          <w:noProof/>
        </w:rPr>
      </w:pPr>
      <w:r>
        <w:rPr>
          <w:noProof/>
        </w:rPr>
        <w:t>SSCI.2. pants.  Darbības joma un noteikumi datu apmaiņai starp iestādēm</w:t>
      </w:r>
    </w:p>
    <w:p w:rsidR="003E022D" w:rsidRDefault="007D19D6">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Šā pielikuma nolūkos apmaiņa starp valstu iestādēm un personām, uz kurām attiecas protokols, ir balstīta uz sabiedrisko pakalpojumu, efekti</w:t>
      </w:r>
      <w:r>
        <w:rPr>
          <w:rFonts w:asciiTheme="majorHAnsi" w:hAnsiTheme="majorHAnsi"/>
          <w:noProof/>
          <w:color w:val="000000"/>
        </w:rPr>
        <w:t>vitātes, aktīvas palīdzības, ātras pārsūtīšanas principiem un pieejamību, tostarp e-pieejamību, jo īpaši invalīdiem un vecākiem cilvēkiem.</w:t>
      </w:r>
    </w:p>
    <w:p w:rsidR="003E022D" w:rsidRDefault="007D19D6">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 xml:space="preserve">Iestādes nekavējoties nodrošina vai apmainās ar visiem vajadzīgajiem datiem, lai noteiktu to personu tiesības un </w:t>
      </w:r>
      <w:r>
        <w:rPr>
          <w:rFonts w:asciiTheme="majorHAnsi" w:hAnsiTheme="majorHAnsi"/>
          <w:noProof/>
          <w:color w:val="000000"/>
        </w:rPr>
        <w:t>pienākumus, uz kuriem attiecas protokols. Šādus datus valstīm tieši pārsūta pašas iestādes vai netieši – ar sadarbības struktūru starpniecību.</w:t>
      </w:r>
    </w:p>
    <w:p w:rsidR="003E022D" w:rsidRDefault="007D19D6">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Ja persona kļūdaini iesniegusi informāciju, dokumentus vai pieprasījumus iestādē tās valsts teritorijā, kurā neat</w:t>
      </w:r>
      <w:r>
        <w:rPr>
          <w:rFonts w:asciiTheme="majorHAnsi" w:hAnsiTheme="majorHAnsi"/>
          <w:noProof/>
          <w:color w:val="000000"/>
        </w:rPr>
        <w:t>rodas saskaņā ar pielikumu norādītā iestāde, pirmā iestāde informāciju, dokumentus vai pieprasījumus nekavējoties iesniedz iestādei, kas norādīta saskaņā ar šo pielikumu, norādot datumu, kad tie bija iesniegti sākotnēji. Šis datums ir saistošs otrajai iest</w:t>
      </w:r>
      <w:r>
        <w:rPr>
          <w:rFonts w:asciiTheme="majorHAnsi" w:hAnsiTheme="majorHAnsi"/>
          <w:noProof/>
          <w:color w:val="000000"/>
        </w:rPr>
        <w:t>ādei. Tomēr valstu iestādes nesauc pie atbildības vai neuzskata par atbildīgām, ka tās ir pieņēmušas lēmumu, jo nav varējušas rīkoties tādēļ, ka iestādes ir aizkavējušas informācijas, dokumentu vai pieprasījumu pārsūtīšanu.</w:t>
      </w:r>
    </w:p>
    <w:p w:rsidR="003E022D" w:rsidRDefault="007D19D6">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Kad datus pārsūta netieši ar mēr</w:t>
      </w:r>
      <w:r>
        <w:rPr>
          <w:rFonts w:asciiTheme="majorHAnsi" w:hAnsiTheme="majorHAnsi"/>
          <w:noProof/>
          <w:color w:val="000000"/>
        </w:rPr>
        <w:t>ķa valsts sadarbības struktūras starpniecību, termiņš, kad jāsniedz atbilde uz pieprasījumu, sākas no tās dienas, kad minētā sadarbības struktūra ir saņēmusi pieprasījumu, it kā to būtu saņēmusi minētās valsts iestāde.</w:t>
      </w:r>
    </w:p>
    <w:p w:rsidR="003E022D" w:rsidRDefault="007D19D6">
      <w:pPr>
        <w:pStyle w:val="Article"/>
        <w:rPr>
          <w:noProof/>
        </w:rPr>
      </w:pPr>
      <w:r>
        <w:rPr>
          <w:noProof/>
          <w:color w:val="000000"/>
        </w:rPr>
        <w:t xml:space="preserve">SSCI.3. pants.  </w:t>
      </w:r>
      <w:r>
        <w:rPr>
          <w:noProof/>
        </w:rPr>
        <w:t>Darbības joma un note</w:t>
      </w:r>
      <w:r>
        <w:rPr>
          <w:noProof/>
        </w:rPr>
        <w:t>ikumi datu apmaiņai starp attiecīgajām personām un iestādēm</w:t>
      </w:r>
    </w:p>
    <w:p w:rsidR="003E022D" w:rsidRDefault="007D19D6">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Valstis nodrošina, ka attiecīgajām personām tiek darīta pieejama nepieciešamā informācija, lai šīs personas būtu informētas par noteikumiem, ko ievieš ar protokolu un šo pielikumu, tādējādi ļaujot</w:t>
      </w:r>
      <w:r>
        <w:rPr>
          <w:rFonts w:asciiTheme="majorHAnsi" w:hAnsiTheme="majorHAnsi"/>
          <w:noProof/>
          <w:color w:val="000000"/>
        </w:rPr>
        <w:t xml:space="preserve"> šīm personām izmantot viņu tiesības. Tās arī nodrošina lietotājdraudzīgu pakalpojumu sniegšanu.</w:t>
      </w:r>
    </w:p>
    <w:p w:rsidR="003E022D" w:rsidRDefault="007D19D6">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Personām, uz kurām attiecas protokols, ir pienākums pārsūtīt attiecīgajai iestādei informāciju, dokumentus vai apstiprinošus pierādījumus, kas vajadzīgi, lai n</w:t>
      </w:r>
      <w:r>
        <w:rPr>
          <w:rFonts w:asciiTheme="majorHAnsi" w:hAnsiTheme="majorHAnsi"/>
          <w:noProof/>
          <w:color w:val="000000"/>
        </w:rPr>
        <w:t>oteiktu viņu vai viņu ģimenes stāvokli, lai noteiktu vai uzturētu viņu tiesības un pienākumus un lai noteiktu piemērojamos tiesību aktus un viņu pienākumus saskaņā ar tiem.</w:t>
      </w:r>
    </w:p>
    <w:p w:rsidR="003E022D" w:rsidRDefault="007D19D6">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Ciktāl tas ir vajadzīgs protokola un šā pielikuma piemērošanai, attiecīgās iestādes</w:t>
      </w:r>
      <w:r>
        <w:rPr>
          <w:rFonts w:asciiTheme="majorHAnsi" w:hAnsiTheme="majorHAnsi"/>
          <w:noProof/>
          <w:color w:val="000000"/>
        </w:rPr>
        <w:t xml:space="preserve"> pārsūta informāciju un izsniedz dokumentus attiecīgajām personām bez kavēšanās un jebkurā gadījumā nepārsniedzot termiņus, kas noteikti attiecīgās valsts tiesību aktos.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Attiecīgā iestāde informē pieprasītāju, kas dzīvo vai uzturas citā valstī, par tās </w:t>
      </w:r>
      <w:r>
        <w:rPr>
          <w:rFonts w:asciiTheme="majorHAnsi" w:hAnsiTheme="majorHAnsi"/>
          <w:noProof/>
          <w:color w:val="000000"/>
        </w:rPr>
        <w:t>lēmumu vai nu tieši, vai ar sadarbības struktūras starpniecību, kas atrodas dzīvesvietas vai uzturēšanās valstī. Atsakot pabalstus, tā norāda arī uz atteikuma iemesliem, pārsūdzības iespējām un pieļaujamiem pārsūdzības termiņiem. Šā lēmuma kopiju nosūta ci</w:t>
      </w:r>
      <w:r>
        <w:rPr>
          <w:rFonts w:asciiTheme="majorHAnsi" w:hAnsiTheme="majorHAnsi"/>
          <w:noProof/>
          <w:color w:val="000000"/>
        </w:rPr>
        <w:t>tām iesaistītajām iestādēm.</w:t>
      </w:r>
    </w:p>
    <w:p w:rsidR="003E022D" w:rsidRDefault="007D19D6">
      <w:pPr>
        <w:pStyle w:val="Article"/>
        <w:rPr>
          <w:noProof/>
        </w:rPr>
      </w:pPr>
      <w:r>
        <w:rPr>
          <w:noProof/>
        </w:rPr>
        <w:t>SSCI.4. pants.  Datu apmaiņas veidlapas, dokumenti un metodes</w:t>
      </w:r>
    </w:p>
    <w:p w:rsidR="003E022D" w:rsidRDefault="007D19D6">
      <w:pPr>
        <w:numPr>
          <w:ilvl w:val="0"/>
          <w:numId w:val="1123"/>
        </w:numPr>
        <w:ind w:left="0" w:firstLine="0"/>
        <w:rPr>
          <w:rFonts w:asciiTheme="majorHAnsi" w:hAnsiTheme="majorHAnsi"/>
          <w:noProof/>
          <w:color w:val="000000"/>
        </w:rPr>
      </w:pPr>
      <w:r>
        <w:rPr>
          <w:rFonts w:asciiTheme="majorHAnsi" w:hAnsiTheme="majorHAnsi"/>
          <w:noProof/>
          <w:color w:val="000000"/>
        </w:rPr>
        <w:t>Ievērojot SSCI.75. pantu [Pagaidu noteikumi par veidlapām un dokumentiem] un SSCI-2. papildinājumu [Tiesības apliecinošs dokuments] par to veidlapu un dokumentu struk</w:t>
      </w:r>
      <w:r>
        <w:rPr>
          <w:rFonts w:asciiTheme="majorHAnsi" w:hAnsiTheme="majorHAnsi"/>
          <w:noProof/>
          <w:color w:val="000000"/>
        </w:rPr>
        <w:t xml:space="preserve">tūru, saturu un formātu, ko šā protokola īstenošanas nolūkā izsniedz valstu vārdā, vienojas Specializētajā sociālā nodrošinājuma koordinācijas komitejā. </w:t>
      </w:r>
    </w:p>
    <w:p w:rsidR="003E022D" w:rsidRDefault="007D19D6">
      <w:pPr>
        <w:numPr>
          <w:ilvl w:val="0"/>
          <w:numId w:val="1123"/>
        </w:numPr>
        <w:ind w:left="0" w:firstLine="0"/>
        <w:rPr>
          <w:rFonts w:asciiTheme="majorHAnsi" w:hAnsiTheme="majorHAnsi"/>
          <w:noProof/>
          <w:color w:val="000000"/>
        </w:rPr>
      </w:pPr>
      <w:r>
        <w:rPr>
          <w:rFonts w:asciiTheme="majorHAnsi" w:hAnsiTheme="majorHAnsi"/>
          <w:noProof/>
          <w:color w:val="000000"/>
        </w:rPr>
        <w:t xml:space="preserve">Datu pārsūtīšanu starp iestādēm vai sadarbības struktūrām var veikt, izmantojot sociālā nodrošinājuma </w:t>
      </w:r>
      <w:r>
        <w:rPr>
          <w:rFonts w:asciiTheme="majorHAnsi" w:hAnsiTheme="majorHAnsi"/>
          <w:noProof/>
          <w:color w:val="000000"/>
        </w:rPr>
        <w:t>informācijas elektronisko apmaiņu, ja to apstiprina Specializētajā sociālā nodrošinājuma koordinācijas komitejā. Ciktāl 1. punktā minēto veidlapu un dokumentu apmaiņa notiek, izmantojot sociālā nodrošinājuma informācijas elektronisko apmaiņu, tās ievēro ša</w:t>
      </w:r>
      <w:r>
        <w:rPr>
          <w:rFonts w:asciiTheme="majorHAnsi" w:hAnsiTheme="majorHAnsi"/>
          <w:noProof/>
          <w:color w:val="000000"/>
        </w:rPr>
        <w:t xml:space="preserve">i sistēmai piemērojamos noteikumus.  </w:t>
      </w:r>
    </w:p>
    <w:p w:rsidR="003E022D" w:rsidRDefault="007D19D6">
      <w:pPr>
        <w:numPr>
          <w:ilvl w:val="0"/>
          <w:numId w:val="1123"/>
        </w:numPr>
        <w:ind w:left="0" w:firstLine="0"/>
        <w:rPr>
          <w:rFonts w:asciiTheme="majorHAnsi" w:hAnsiTheme="majorHAnsi"/>
          <w:noProof/>
          <w:color w:val="000000"/>
        </w:rPr>
      </w:pPr>
      <w:r>
        <w:rPr>
          <w:rFonts w:asciiTheme="majorHAnsi" w:hAnsiTheme="majorHAnsi"/>
          <w:noProof/>
          <w:color w:val="000000"/>
        </w:rPr>
        <w:t>Ja datu nosūtīšanu starp iestādēm vai sadarbības struktūrām neveic, izmantojot sociālā nodrošinājuma informācijas elektronisko apmaiņu, attiecīgās iestādes un sadarbības struktūras izmanto katrai lietai atbilstošo kārt</w:t>
      </w:r>
      <w:r>
        <w:rPr>
          <w:rFonts w:asciiTheme="majorHAnsi" w:hAnsiTheme="majorHAnsi"/>
          <w:noProof/>
          <w:color w:val="000000"/>
        </w:rPr>
        <w:t>ību un iespēju robežās dod priekšroku elektronisko līdzekļu izmantošanai.</w:t>
      </w:r>
    </w:p>
    <w:p w:rsidR="003E022D" w:rsidRDefault="007D19D6">
      <w:pPr>
        <w:numPr>
          <w:ilvl w:val="0"/>
          <w:numId w:val="1123"/>
        </w:numPr>
        <w:ind w:left="0" w:firstLine="0"/>
        <w:rPr>
          <w:rFonts w:asciiTheme="majorHAnsi" w:hAnsiTheme="majorHAnsi"/>
          <w:noProof/>
          <w:color w:val="000000"/>
        </w:rPr>
      </w:pPr>
      <w:r>
        <w:rPr>
          <w:rFonts w:asciiTheme="majorHAnsi" w:hAnsiTheme="majorHAnsi"/>
          <w:noProof/>
          <w:color w:val="000000"/>
        </w:rPr>
        <w:t>Sazinoties ar attiecīgajām personām, attiecīgās iestādes izmanto katram gadījumam piemērotu saziņas veidu un, cik vien iespējams, dod priekšroku elektroniskam saziņas veidam.</w:t>
      </w:r>
    </w:p>
    <w:p w:rsidR="003E022D" w:rsidRDefault="007D19D6">
      <w:pPr>
        <w:pStyle w:val="Article"/>
        <w:rPr>
          <w:noProof/>
        </w:rPr>
      </w:pPr>
      <w:r>
        <w:rPr>
          <w:noProof/>
        </w:rPr>
        <w:t>SSCI.5.</w:t>
      </w:r>
      <w:r>
        <w:rPr>
          <w:noProof/>
        </w:rPr>
        <w:t> pants.  Citas valsts izsniegtu dokumentu un apstiprinošu pierādījumu juridiskais spēks</w:t>
      </w:r>
    </w:p>
    <w:p w:rsidR="003E022D" w:rsidRDefault="007D19D6">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Valsts iestādes izsniegtus dokumentus, kas norāda personas stāvokli protokola un šā pielikuma piemērošanas vajadzībām, un apstiprinošos pierādījumus, uz kuru pamata dok</w:t>
      </w:r>
      <w:r>
        <w:rPr>
          <w:rFonts w:asciiTheme="majorHAnsi" w:hAnsiTheme="majorHAnsi"/>
          <w:noProof/>
          <w:color w:val="000000"/>
        </w:rPr>
        <w:t>umenti ir izsniegti, citas valsts iestādes atzīst, ja tā valsts, kas tos izdeva, nav tos atsaukusi vai pasludinājusi par spēkā neesošiem.</w:t>
      </w:r>
    </w:p>
    <w:p w:rsidR="003E022D" w:rsidRDefault="007D19D6">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Ja ir šaubas par dokumenta derīgumu vai to faktu pareizību, uz kuriem dokumentā norādītā informācija balstās, tās vals</w:t>
      </w:r>
      <w:r>
        <w:rPr>
          <w:rFonts w:asciiTheme="majorHAnsi" w:hAnsiTheme="majorHAnsi"/>
          <w:noProof/>
          <w:color w:val="000000"/>
        </w:rPr>
        <w:t>ts iestāde, kas saņem dokumentu, lūdz izdevējiestādei nepieciešamo skaidrojumu un vajadzības gadījumā šā dokumenta atsaukumu. Izdevējiestāde pārskata dokumenta izsniegšanas pamatojumu un vajadzības gadījumā to atsauc.</w:t>
      </w:r>
    </w:p>
    <w:p w:rsidR="003E022D" w:rsidRDefault="007D19D6">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Saskaņā ar 2. punktu, ja pastāv šaubas</w:t>
      </w:r>
      <w:r>
        <w:rPr>
          <w:rFonts w:asciiTheme="majorHAnsi" w:hAnsiTheme="majorHAnsi"/>
          <w:noProof/>
          <w:color w:val="000000"/>
        </w:rPr>
        <w:t xml:space="preserve"> par attiecīgās personas sniegto informāciju, dokumenta vai apstiprinošu pierādījumu derīgumu vai to faktu pareizību, uz kuriem dokumentā norādītā informācija balstās, dzīvesvietas vai uzturēšanās vietas iestāde, ciktāl tas iespējams, pēc kompetentās iestā</w:t>
      </w:r>
      <w:r>
        <w:rPr>
          <w:rFonts w:asciiTheme="majorHAnsi" w:hAnsiTheme="majorHAnsi"/>
          <w:noProof/>
          <w:color w:val="000000"/>
        </w:rPr>
        <w:t>des lūguma veic attiecīgu informācijas vai dokumentu pārbaudi.</w:t>
      </w:r>
    </w:p>
    <w:p w:rsidR="003E022D" w:rsidRDefault="007D19D6">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Ja attiecīgās iestādes nevar vienoties, kompetentās iestādes lietu var iesniegt Specializētajā sociālā nodrošinājuma koordinācijas komitejā ne ātrāk kā mēnesi pēc dienas, kad iestāde, kas saņēm</w:t>
      </w:r>
      <w:r>
        <w:rPr>
          <w:rFonts w:asciiTheme="majorHAnsi" w:hAnsiTheme="majorHAnsi"/>
          <w:noProof/>
          <w:color w:val="000000"/>
        </w:rPr>
        <w:t>a dokumentu, iesniedza savu pieprasījumu. Specializētā sociālā nodrošinājuma koordinācijas komiteja cenšas samierināt puses sešu mēnešu laikā no lietas iesniegšanas dienas.</w:t>
      </w:r>
    </w:p>
    <w:p w:rsidR="003E022D" w:rsidRDefault="007D19D6">
      <w:pPr>
        <w:pStyle w:val="Article"/>
        <w:rPr>
          <w:noProof/>
        </w:rPr>
      </w:pPr>
      <w:r>
        <w:rPr>
          <w:noProof/>
        </w:rPr>
        <w:t>SSCI.6. pants. Tiesību aktu provizoriska piemērošana un pabalstu provizoriska piešķ</w:t>
      </w:r>
      <w:r>
        <w:rPr>
          <w:noProof/>
        </w:rPr>
        <w:t>iršana</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Ja šajā pielikumā nav paredzēts citādi, gadījumos, kad divu vai vairāku valstu iestādēm ir atšķirīgi viedokļi par piemērojamajiem tiesību aktiem, attiecīgajai personai provizoriski piemēro vienas valsts tiesību aktus, prioritātes kārtību nosakot </w:t>
      </w:r>
      <w:r>
        <w:rPr>
          <w:rFonts w:asciiTheme="majorHAnsi" w:hAnsiTheme="majorHAnsi"/>
          <w:noProof/>
          <w:color w:val="000000"/>
        </w:rPr>
        <w:t xml:space="preserve">šādi: </w:t>
      </w:r>
    </w:p>
    <w:p w:rsidR="003E022D" w:rsidRDefault="007D19D6">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tās valsts tiesību akti, kurā persona faktiski strādā vai ir pašnodarbināta, ja šī persona strādā vai ir pašnodarbināta tikai vienā valstī; </w:t>
      </w:r>
    </w:p>
    <w:p w:rsidR="003E022D" w:rsidRDefault="007D19D6">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attiecīgās personas dzīvesvietas valsts tiesību akti, ja attiecīgā persona strādā vai ir pašnodarbināta </w:t>
      </w:r>
      <w:r>
        <w:rPr>
          <w:rFonts w:asciiTheme="majorHAnsi" w:hAnsiTheme="majorHAnsi"/>
          <w:noProof/>
          <w:color w:val="000000"/>
        </w:rPr>
        <w:t>divās vai vairāk valstīs un veic daļu darbības vai darbību dzīvesvietas valstī vai ja attiecīgā persona nav ne nodarbināta, ne pašnodarbināta;</w:t>
      </w:r>
    </w:p>
    <w:p w:rsidR="003E022D" w:rsidRDefault="007D19D6">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visos citos gadījumos — tās valsts tiesību akti, kuras tiesību aktu piemērošana bija pieprasīta pirmā, ja persona</w:t>
      </w:r>
      <w:r>
        <w:rPr>
          <w:rFonts w:asciiTheme="majorHAnsi" w:hAnsiTheme="majorHAnsi"/>
          <w:noProof/>
          <w:color w:val="000000"/>
        </w:rPr>
        <w:t xml:space="preserve"> veic darbību vai darbības divās vai vairāk valstīs.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Ja nav vienotības divu vai vairāk valstu iestāžu starpā par to, kurai iestādei būtu jānodrošina pabalsti naudā vai natūrā, attiecīgajai personai, kas varētu pieprasīt pabalstu, ja nebūtu domstarpību,</w:t>
      </w:r>
      <w:r>
        <w:rPr>
          <w:rFonts w:asciiTheme="majorHAnsi" w:hAnsiTheme="majorHAnsi"/>
          <w:noProof/>
          <w:color w:val="000000"/>
        </w:rPr>
        <w:t xml:space="preserve"> provizoriski ir tiesības saņemt pabalstus, ko paredz tiesību akti, kurus piemēro personas dzīvesvietas iestāde, vai, ja persona nedzīvo vienā no attiecīgo valstu teritorijām, pabalstus, ko paredz tiesību akti, kurus piemēro iestāde, kam pirmajai iesniedza</w:t>
      </w:r>
      <w:r>
        <w:rPr>
          <w:rFonts w:asciiTheme="majorHAnsi" w:hAnsiTheme="majorHAnsi"/>
          <w:noProof/>
          <w:color w:val="000000"/>
        </w:rPr>
        <w:t xml:space="preserve"> pieteikumu.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Ja attiecīgās institūcijas vai iestādes nevar vienoties, Puse lietu var iesniegt Specializētā sociālā nodrošinājuma koordinācijas komiteja ne ātrāk kā mēnesi pēc dienas, kad radās 1. vai 2. punktā minētās viedokļu atšķirības. Specializētā </w:t>
      </w:r>
      <w:r>
        <w:rPr>
          <w:rFonts w:asciiTheme="majorHAnsi" w:hAnsiTheme="majorHAnsi"/>
          <w:noProof/>
          <w:color w:val="000000"/>
        </w:rPr>
        <w:t xml:space="preserve">sociālā nodrošinājuma koordinācijas komiteja cenšas samierināt puses sešu mēnešu laikā no lietas iesniegšanas dienas.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Ja ir noskaidrots, ka piemērojamie tiesību akti nav provizoriskās dalības valsts tiesību akti, vai ja iestāde, kas provizoriski piešķī</w:t>
      </w:r>
      <w:r>
        <w:rPr>
          <w:rFonts w:asciiTheme="majorHAnsi" w:hAnsiTheme="majorHAnsi"/>
          <w:noProof/>
          <w:color w:val="000000"/>
        </w:rPr>
        <w:t>ra pabalstu, nav kompetentā iestāde, tā iestāde, kuru atzīst par kompetento iestādi, tiek atzīta par tādu ar atpakaļejošu spēku, it kā viedokļu nesaskaņas nebūtu pastāvējušas, vēlākais no provizoriskās dalības dienas vai no attiecīgo pabalstu pirmās proviz</w:t>
      </w:r>
      <w:r>
        <w:rPr>
          <w:rFonts w:asciiTheme="majorHAnsi" w:hAnsiTheme="majorHAnsi"/>
          <w:noProof/>
          <w:color w:val="000000"/>
        </w:rPr>
        <w:t xml:space="preserve">oriskās piešķiršanas.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Vajadzības gadījumā iestāde, kas ir atzīta par kompetentu, un iestāde, kura provizoriski ir izmaksājusi naudas pabalstus vai provizoriski ir saņēmusi iemaksas, nokārto attiecīgās personas finansiālo situāciju attiecībā uz iemaksām</w:t>
      </w:r>
      <w:r>
        <w:rPr>
          <w:rFonts w:asciiTheme="majorHAnsi" w:hAnsiTheme="majorHAnsi"/>
          <w:noProof/>
          <w:color w:val="000000"/>
        </w:rPr>
        <w:t xml:space="preserve"> un naudas pabalstiem, kas attiecīgā gadījumā provizoriski izmaksāti, saskaņā ar šā pielikuma IV sadaļas 2. nodaļu [Tādu pabalstu atgūšana, kas piešķirti nelikumīgi, provizorisko maksājumu un iemaksu atgūšana, ieskaits un palīdzība atgūšanas jomā].</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Pabalst</w:t>
      </w:r>
      <w:r>
        <w:rPr>
          <w:rFonts w:asciiTheme="majorHAnsi" w:hAnsiTheme="majorHAnsi"/>
          <w:noProof/>
          <w:color w:val="000000"/>
        </w:rPr>
        <w:t>us natūrā, ko saskaņā ar 2. punktu provizoriski piešķir viena iestāde, saskaņā ar šā pielikuma IV sadaļu [Finanšu noteikumi] atmaksā kompetentā iestāde.</w:t>
      </w:r>
    </w:p>
    <w:p w:rsidR="003E022D" w:rsidRDefault="007D19D6">
      <w:pPr>
        <w:pStyle w:val="Article"/>
        <w:rPr>
          <w:noProof/>
        </w:rPr>
      </w:pPr>
      <w:r>
        <w:rPr>
          <w:noProof/>
        </w:rPr>
        <w:t>SSCI.7. pants. Pabalstu un iemaksu provizorisks aprēķins</w:t>
      </w:r>
    </w:p>
    <w:p w:rsidR="003E022D" w:rsidRDefault="007D19D6">
      <w:pPr>
        <w:numPr>
          <w:ilvl w:val="0"/>
          <w:numId w:val="1134"/>
        </w:numPr>
        <w:ind w:left="0" w:firstLine="0"/>
        <w:rPr>
          <w:rFonts w:asciiTheme="majorHAnsi" w:eastAsia="Arial" w:hAnsiTheme="majorHAnsi" w:cs="Arial"/>
          <w:noProof/>
          <w:color w:val="000000"/>
        </w:rPr>
      </w:pPr>
      <w:r>
        <w:rPr>
          <w:rFonts w:asciiTheme="majorHAnsi" w:hAnsiTheme="majorHAnsi"/>
          <w:noProof/>
        </w:rPr>
        <w:t xml:space="preserve">Ja vien šajā protokola pielikumā nav noteikts </w:t>
      </w:r>
      <w:r>
        <w:rPr>
          <w:rFonts w:asciiTheme="majorHAnsi" w:hAnsiTheme="majorHAnsi"/>
          <w:noProof/>
        </w:rPr>
        <w:t>citādi, gadījumos, kad personai ir tiesības uz pabalstu vai ir jāveic iemaksa saskaņā ar protokolu, un kompetentajai iestādei nav visas informācijas par situāciju citā valstī, kas nepieciešama, lai aprēķinātu šā pabalsta vai iemaksas galīgo summu, šī iestā</w:t>
      </w:r>
      <w:r>
        <w:rPr>
          <w:rFonts w:asciiTheme="majorHAnsi" w:hAnsiTheme="majorHAnsi"/>
          <w:noProof/>
        </w:rPr>
        <w:t>de pēc attiecīgās personas pieprasījuma piešķir šo pabalstu vai veic provizorisku šīs iemaksas aprēķinu, ja šāds aprēķins ir iespējams, balstoties uz informāciju, kas ir minētās iestādes rīcībā.</w:t>
      </w:r>
    </w:p>
    <w:p w:rsidR="003E022D" w:rsidRDefault="007D19D6">
      <w:pPr>
        <w:numPr>
          <w:ilvl w:val="0"/>
          <w:numId w:val="1134"/>
        </w:numPr>
        <w:ind w:left="0" w:firstLine="0"/>
        <w:rPr>
          <w:rFonts w:asciiTheme="majorHAnsi" w:eastAsia="Arial" w:hAnsiTheme="majorHAnsi" w:cs="Arial"/>
          <w:noProof/>
          <w:color w:val="000000"/>
        </w:rPr>
      </w:pPr>
      <w:r>
        <w:rPr>
          <w:rFonts w:asciiTheme="majorHAnsi" w:hAnsiTheme="majorHAnsi"/>
          <w:noProof/>
        </w:rPr>
        <w:t xml:space="preserve">Attiecīgo pabalstu vai iemaksu pārrēķina, kad visi </w:t>
      </w:r>
      <w:r>
        <w:rPr>
          <w:rFonts w:asciiTheme="majorHAnsi" w:hAnsiTheme="majorHAnsi"/>
          <w:noProof/>
        </w:rPr>
        <w:t>apstiprinošie pierādījumi vai dokumenti ir iesniegti attiecīgajai iestādei.</w:t>
      </w:r>
    </w:p>
    <w:p w:rsidR="003E022D" w:rsidRDefault="007D19D6">
      <w:pPr>
        <w:pStyle w:val="Chapter"/>
        <w:rPr>
          <w:noProof/>
        </w:rPr>
      </w:pPr>
      <w:r>
        <w:rPr>
          <w:noProof/>
        </w:rPr>
        <w:t>3. NODAĻA. CITI VISPĀRĪGI PROTOKOLA PIEMĒROŠANAS NOTEIKUMI</w:t>
      </w:r>
    </w:p>
    <w:p w:rsidR="003E022D" w:rsidRDefault="007D19D6">
      <w:pPr>
        <w:pStyle w:val="Article"/>
        <w:rPr>
          <w:noProof/>
        </w:rPr>
      </w:pPr>
      <w:r>
        <w:rPr>
          <w:noProof/>
        </w:rPr>
        <w:t>SSCI.8. pants. Citas procedūras iestāžu starpā</w:t>
      </w:r>
    </w:p>
    <w:p w:rsidR="003E022D" w:rsidRDefault="007D19D6">
      <w:pPr>
        <w:numPr>
          <w:ilvl w:val="0"/>
          <w:numId w:val="1130"/>
        </w:numPr>
        <w:ind w:left="0" w:firstLine="0"/>
        <w:rPr>
          <w:rFonts w:asciiTheme="majorHAnsi" w:eastAsia="Arial" w:hAnsiTheme="majorHAnsi" w:cs="Arial"/>
          <w:noProof/>
          <w:color w:val="000000"/>
        </w:rPr>
      </w:pPr>
      <w:r>
        <w:rPr>
          <w:rFonts w:asciiTheme="majorHAnsi" w:hAnsiTheme="majorHAnsi"/>
          <w:noProof/>
        </w:rPr>
        <w:t xml:space="preserve">Divas vai vairākas valstis vai to kompetentās iestādes var vienoties par </w:t>
      </w:r>
      <w:r>
        <w:rPr>
          <w:rFonts w:asciiTheme="majorHAnsi" w:hAnsiTheme="majorHAnsi"/>
          <w:noProof/>
        </w:rPr>
        <w:t>citām procedūrām, nekā tas paredzēts šajā pielikumā, ar noteikumu, ka šādas procedūras nelabvēlīgi neiespaido attiecīgo personu tiesības un pienākumus.</w:t>
      </w:r>
    </w:p>
    <w:p w:rsidR="003E022D" w:rsidRDefault="007D19D6">
      <w:pPr>
        <w:numPr>
          <w:ilvl w:val="0"/>
          <w:numId w:val="1130"/>
        </w:numPr>
        <w:ind w:left="0" w:firstLine="0"/>
        <w:rPr>
          <w:rFonts w:asciiTheme="majorHAnsi" w:eastAsia="Arial" w:hAnsiTheme="majorHAnsi" w:cs="Arial"/>
          <w:noProof/>
          <w:color w:val="000000"/>
        </w:rPr>
      </w:pPr>
      <w:r>
        <w:rPr>
          <w:rFonts w:asciiTheme="majorHAnsi" w:hAnsiTheme="majorHAnsi"/>
          <w:noProof/>
        </w:rPr>
        <w:t>Par nolīgumiem, kas noslēgti šajā nolūkā, paziņo Specializētajai sociālā nodrošinājuma koordinācijas kom</w:t>
      </w:r>
      <w:r>
        <w:rPr>
          <w:rFonts w:asciiTheme="majorHAnsi" w:hAnsiTheme="majorHAnsi"/>
          <w:noProof/>
        </w:rPr>
        <w:t xml:space="preserve">itejai, un tie ir uzskaitīti </w:t>
      </w:r>
      <w:r>
        <w:rPr>
          <w:rFonts w:asciiTheme="majorHAnsi" w:hAnsiTheme="majorHAnsi"/>
          <w:noProof/>
          <w:color w:val="000000"/>
        </w:rPr>
        <w:t>SSCI-1 papildinājumā [Īstenošanas noteikumi divpusējiem nolīgumiem, kas paliek spēkā, un jauniem divpusējiem īstenošanas nolīgumi]</w:t>
      </w:r>
      <w:r>
        <w:rPr>
          <w:rFonts w:asciiTheme="majorHAnsi" w:hAnsiTheme="majorHAnsi"/>
          <w:noProof/>
        </w:rPr>
        <w:t>.</w:t>
      </w:r>
    </w:p>
    <w:p w:rsidR="003E022D" w:rsidRDefault="007D19D6">
      <w:pPr>
        <w:numPr>
          <w:ilvl w:val="0"/>
          <w:numId w:val="1130"/>
        </w:numPr>
        <w:ind w:left="0" w:firstLine="0"/>
        <w:rPr>
          <w:rFonts w:asciiTheme="majorHAnsi" w:eastAsia="Arial" w:hAnsiTheme="majorHAnsi" w:cs="Arial"/>
          <w:noProof/>
          <w:color w:val="000000"/>
        </w:rPr>
      </w:pPr>
      <w:r>
        <w:rPr>
          <w:rFonts w:asciiTheme="majorHAnsi" w:hAnsiTheme="majorHAnsi"/>
          <w:noProof/>
          <w:color w:val="000000"/>
        </w:rPr>
        <w:t>Noteikumus, kas ietverti īstenošanas nolīgumos, kuri noslēgti starp divām vai vairāk valstīm ša</w:t>
      </w:r>
      <w:r>
        <w:rPr>
          <w:rFonts w:asciiTheme="majorHAnsi" w:hAnsiTheme="majorHAnsi"/>
          <w:noProof/>
          <w:color w:val="000000"/>
        </w:rPr>
        <w:t xml:space="preserve">jā pašā nolūkā, vai nolīgumos, kuri ir līdzīgi 2. punktā minētajiem un ir spēkā iepriekšējā dienā pirms šā nolīguma stāšanās spēkā, turpina piemērot šo valstu savstarpējo attiecību risināšanai ar noteikumu, ka tie ir arī SSCI-1. papildinājumā [Īstenošanas </w:t>
      </w:r>
      <w:r>
        <w:rPr>
          <w:rFonts w:asciiTheme="majorHAnsi" w:hAnsiTheme="majorHAnsi"/>
          <w:noProof/>
          <w:color w:val="000000"/>
        </w:rPr>
        <w:t>noteikumi divpusējiem nolīgumiem, kas paliek spēkā, un jauniem divpusējiem īstenošanas nolīgumiem].</w:t>
      </w:r>
    </w:p>
    <w:p w:rsidR="003E022D" w:rsidRDefault="007D19D6">
      <w:pPr>
        <w:pStyle w:val="Article"/>
        <w:rPr>
          <w:noProof/>
        </w:rPr>
      </w:pPr>
      <w:r>
        <w:rPr>
          <w:noProof/>
        </w:rPr>
        <w:t>SSCI.9. pants. Pabalstu pārklāšanās novēršana</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Neatkarīgi no citiem protokola noteikumiem, ja pabalsti, kuri pienākas saskaņā ar divu vai vairāk valstu tiesī</w:t>
      </w:r>
      <w:r>
        <w:rPr>
          <w:rFonts w:asciiTheme="majorHAnsi" w:hAnsiTheme="majorHAnsi"/>
          <w:noProof/>
          <w:color w:val="000000"/>
        </w:rPr>
        <w:t>bu aktiem, ir savstarpēji samazināti, apturēti vai atsaukti, tad summas, kas netiktu izmaksātas, stingri piemērojot noteikumus attiecībā uz samazināšanu, apturēšanu vai atsaukšanu, ko paredz attiecīgo valstu tiesību akti, izdala ar to pabalstu skaitu, uz k</w:t>
      </w:r>
      <w:r>
        <w:rPr>
          <w:rFonts w:asciiTheme="majorHAnsi" w:hAnsiTheme="majorHAnsi"/>
          <w:noProof/>
          <w:color w:val="000000"/>
        </w:rPr>
        <w:t>uriem attiecas samazināšana, apturēšana vai atsaukšana.</w:t>
      </w:r>
    </w:p>
    <w:p w:rsidR="003E022D" w:rsidRDefault="007D19D6">
      <w:pPr>
        <w:pStyle w:val="Article"/>
        <w:rPr>
          <w:noProof/>
        </w:rPr>
      </w:pPr>
      <w:r>
        <w:rPr>
          <w:noProof/>
        </w:rPr>
        <w:t>SSCI.10. pants.  Dzīvesvietas noteikšanas elementi</w:t>
      </w:r>
    </w:p>
    <w:p w:rsidR="003E022D" w:rsidRDefault="007D19D6">
      <w:pPr>
        <w:numPr>
          <w:ilvl w:val="0"/>
          <w:numId w:val="1128"/>
        </w:numPr>
        <w:ind w:left="0" w:firstLine="0"/>
        <w:rPr>
          <w:rFonts w:asciiTheme="majorHAnsi" w:eastAsia="Arial" w:hAnsiTheme="majorHAnsi" w:cs="Arial"/>
          <w:noProof/>
          <w:color w:val="000000"/>
        </w:rPr>
      </w:pPr>
      <w:r>
        <w:rPr>
          <w:noProof/>
        </w:rPr>
        <w:t>Gadījumos, kad divu vai vairāku valstu iestāžu starpā nav vienošanās par tādas personas, uz kuru attiecas protokols, dzīvesvietas noteikšanu, šīs ies</w:t>
      </w:r>
      <w:r>
        <w:rPr>
          <w:noProof/>
        </w:rPr>
        <w:t>tādes kopīgi izveido attiecīgās personas interešu centru, balstoties uz attiecīgu vispārēju tādas pieejamās informācijas izvērtējumu, kas vajadzības gadījumā var ietvert:</w:t>
      </w:r>
      <w:r>
        <w:rPr>
          <w:rFonts w:asciiTheme="majorHAnsi" w:hAnsiTheme="majorHAnsi"/>
          <w:noProof/>
          <w:color w:val="000000"/>
        </w:rPr>
        <w:t xml:space="preserve"> </w:t>
      </w:r>
    </w:p>
    <w:p w:rsidR="003E022D" w:rsidRDefault="007D19D6">
      <w:pPr>
        <w:numPr>
          <w:ilvl w:val="0"/>
          <w:numId w:val="1129"/>
        </w:numPr>
        <w:ind w:left="567" w:hanging="567"/>
        <w:rPr>
          <w:rFonts w:asciiTheme="majorHAnsi" w:eastAsia="Arial" w:hAnsiTheme="majorHAnsi" w:cs="Arial"/>
          <w:noProof/>
          <w:color w:val="000000"/>
        </w:rPr>
      </w:pPr>
      <w:r>
        <w:rPr>
          <w:rFonts w:asciiTheme="majorHAnsi" w:hAnsiTheme="majorHAnsi"/>
          <w:noProof/>
          <w:color w:val="000000"/>
        </w:rPr>
        <w:t xml:space="preserve">uzturēšanās ilgumu un nepārtrauktību attiecīgo valstu teritorijā; </w:t>
      </w:r>
    </w:p>
    <w:p w:rsidR="003E022D" w:rsidRDefault="007D19D6">
      <w:pPr>
        <w:numPr>
          <w:ilvl w:val="0"/>
          <w:numId w:val="1129"/>
        </w:numPr>
        <w:ind w:left="567" w:hanging="567"/>
        <w:rPr>
          <w:rFonts w:asciiTheme="majorHAnsi" w:eastAsia="Arial" w:hAnsiTheme="majorHAnsi" w:cs="Arial"/>
          <w:noProof/>
          <w:color w:val="000000"/>
        </w:rPr>
      </w:pPr>
      <w:r>
        <w:rPr>
          <w:rFonts w:asciiTheme="majorHAnsi" w:hAnsiTheme="majorHAnsi"/>
          <w:noProof/>
          <w:color w:val="000000"/>
        </w:rPr>
        <w:t>personas situācij</w:t>
      </w:r>
      <w:r>
        <w:rPr>
          <w:rFonts w:asciiTheme="majorHAnsi" w:hAnsiTheme="majorHAnsi"/>
          <w:noProof/>
          <w:color w:val="000000"/>
        </w:rPr>
        <w:t xml:space="preserve">u, tostarp: </w:t>
      </w:r>
    </w:p>
    <w:p w:rsidR="003E022D" w:rsidRDefault="007D19D6">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jebkuras veiktās darbības būtību un specifiskās īpašības, jo īpaši vietu, kur šādu darbību parasti veic, darbības stabilitāti un jebkura darba līguma ilgumu;</w:t>
      </w:r>
    </w:p>
    <w:p w:rsidR="003E022D" w:rsidRDefault="007D19D6">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šīs personas ģimenes stāvokli un ģimenes saites;</w:t>
      </w:r>
    </w:p>
    <w:p w:rsidR="003E022D" w:rsidRDefault="007D19D6">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nealgotu darbību veikšanu;</w:t>
      </w:r>
    </w:p>
    <w:p w:rsidR="003E022D" w:rsidRDefault="007D19D6">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studentie</w:t>
      </w:r>
      <w:r>
        <w:rPr>
          <w:rFonts w:asciiTheme="majorHAnsi" w:hAnsiTheme="majorHAnsi"/>
          <w:noProof/>
          <w:color w:val="000000"/>
        </w:rPr>
        <w:t>m — viņu ienākumu avotu;</w:t>
      </w:r>
    </w:p>
    <w:p w:rsidR="003E022D" w:rsidRDefault="007D19D6">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šīs personas mājokļa situāciju, jo īpaši to, cik tas ir pastāvīgs;</w:t>
      </w:r>
    </w:p>
    <w:p w:rsidR="003E022D" w:rsidRDefault="007D19D6">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 xml:space="preserve">valsti, kurā personu uzskata par dzīvojošu nodokļu piemērošanai. </w:t>
      </w:r>
    </w:p>
    <w:p w:rsidR="003E022D" w:rsidRDefault="007D19D6">
      <w:pPr>
        <w:numPr>
          <w:ilvl w:val="0"/>
          <w:numId w:val="1128"/>
        </w:numPr>
        <w:ind w:left="0" w:firstLine="0"/>
        <w:rPr>
          <w:rFonts w:asciiTheme="majorHAnsi" w:eastAsia="Arial" w:hAnsiTheme="majorHAnsi" w:cs="Arial"/>
          <w:noProof/>
          <w:color w:val="000000"/>
        </w:rPr>
      </w:pPr>
      <w:r>
        <w:rPr>
          <w:noProof/>
        </w:rPr>
        <w:t xml:space="preserve">Ja vairāku to kritēriju apsvēršana, kas balstīti uz attiecīgiem 1. punktā izklāstītajiem faktiem, </w:t>
      </w:r>
      <w:r>
        <w:rPr>
          <w:noProof/>
        </w:rPr>
        <w:t>nerada vienošanos attiecīgo iestāžu starpā, tad izšķiroši faktori personas faktiskās dzīvesvietas noteikšanā ir minētās personas nodoms, kā tas redzams no šādiem faktiem un apstākļiem, jo īpaši iemesli, kas lika šai personai pārcelties.</w:t>
      </w:r>
    </w:p>
    <w:p w:rsidR="003E022D" w:rsidRDefault="007D19D6">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Tāda studenta inter</w:t>
      </w:r>
      <w:r>
        <w:rPr>
          <w:rFonts w:asciiTheme="majorHAnsi" w:hAnsiTheme="majorHAnsi"/>
          <w:noProof/>
          <w:color w:val="000000"/>
        </w:rPr>
        <w:t xml:space="preserve">ešu centru, kurš dodas uz citu valsti pilna laika studiju nolūkos, neuzskata par tādu, kas atrodas studiju valstī visu studiju laiku minētajā valstī, neskarot iespēju atspēkot šo prezumpciju. </w:t>
      </w:r>
    </w:p>
    <w:p w:rsidR="003E022D" w:rsidRDefault="007D19D6">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Panta 3. punktu pēc analoģijas piemēro studenta ģimenes locekļiem. </w:t>
      </w:r>
    </w:p>
    <w:p w:rsidR="003E022D" w:rsidRDefault="007D19D6">
      <w:pPr>
        <w:pStyle w:val="Article"/>
        <w:rPr>
          <w:noProof/>
        </w:rPr>
      </w:pPr>
      <w:r>
        <w:rPr>
          <w:noProof/>
        </w:rPr>
        <w:t>SSCI.11. pants.  Periodu summēšana</w:t>
      </w:r>
    </w:p>
    <w:p w:rsidR="003E022D" w:rsidRDefault="007D19D6">
      <w:pPr>
        <w:numPr>
          <w:ilvl w:val="0"/>
          <w:numId w:val="1131"/>
        </w:numPr>
        <w:ind w:left="0" w:firstLine="0"/>
        <w:rPr>
          <w:rFonts w:asciiTheme="majorHAnsi" w:eastAsia="Arial" w:hAnsiTheme="majorHAnsi" w:cs="Arial"/>
          <w:noProof/>
          <w:color w:val="000000"/>
        </w:rPr>
      </w:pPr>
      <w:r>
        <w:rPr>
          <w:noProof/>
        </w:rPr>
        <w:t>Lai piemērotu SSC.7. pantu [Periodu summēšana], kompetentā iestāde sazinās ar to valstu iestādēm, kuru tiesību akti arī ir attiekušies uz attiecīgo perso</w:t>
      </w:r>
      <w:r>
        <w:rPr>
          <w:noProof/>
        </w:rPr>
        <w:t>nu, lai noteiktu visus periodus, kas izpildīti saskaņā ar šo valstu tiesību aktiem.</w:t>
      </w:r>
    </w:p>
    <w:p w:rsidR="003E022D" w:rsidRDefault="007D19D6">
      <w:pPr>
        <w:numPr>
          <w:ilvl w:val="0"/>
          <w:numId w:val="1131"/>
        </w:numPr>
        <w:ind w:left="0" w:firstLine="0"/>
        <w:rPr>
          <w:rFonts w:asciiTheme="majorHAnsi" w:eastAsia="Arial" w:hAnsiTheme="majorHAnsi" w:cs="Arial"/>
          <w:noProof/>
          <w:color w:val="000000"/>
        </w:rPr>
      </w:pPr>
      <w:r>
        <w:rPr>
          <w:noProof/>
        </w:rPr>
        <w:t>Attiecīgos apdrošināšanas, nodarbinātības, pašnodarbinātības vai nodzīvotā laika periodus, kas ir izpildīti saskaņā ar valsts tiesību aktiem, summē ar tiem periodiem, kas i</w:t>
      </w:r>
      <w:r>
        <w:rPr>
          <w:noProof/>
        </w:rPr>
        <w:t>r izpildīti saskaņā ar jebkuras citas valsts tiesību aktiem, ciktāl tas ir vajadzīgs protokola SSC.7. panta [Periodu summēšana] piemērošanai, ja šie periodi nepārklājas.</w:t>
      </w:r>
    </w:p>
    <w:p w:rsidR="003E022D" w:rsidRDefault="007D19D6">
      <w:pPr>
        <w:numPr>
          <w:ilvl w:val="0"/>
          <w:numId w:val="1131"/>
        </w:numPr>
        <w:ind w:left="0" w:firstLine="0"/>
        <w:rPr>
          <w:rFonts w:asciiTheme="majorHAnsi" w:eastAsia="Arial" w:hAnsiTheme="majorHAnsi" w:cs="Arial"/>
          <w:noProof/>
          <w:color w:val="000000"/>
        </w:rPr>
      </w:pPr>
      <w:r>
        <w:rPr>
          <w:noProof/>
        </w:rPr>
        <w:t>Ja apdrošināšanas vai nodzīvotā laika periods, kas ir izpildīts saskaņā ar obligāto ap</w:t>
      </w:r>
      <w:r>
        <w:rPr>
          <w:noProof/>
        </w:rPr>
        <w:t xml:space="preserve">drošināšanu atbilstīgi valsts tiesību aktiem, sakrīt ar apdrošināšanas periodu, kas izpildīts, balstoties uz brīvprātīgu apdrošināšanu vai brīvprātīgu tālākapdrošināšanu saskaņā ar citas valsts tiesību aktiem, tad ņem vērā tikai periodu, kas ir izpildīts, </w:t>
      </w:r>
      <w:r>
        <w:rPr>
          <w:noProof/>
        </w:rPr>
        <w:t>balstoties uz obligāto apdrošināšanu.</w:t>
      </w:r>
    </w:p>
    <w:p w:rsidR="003E022D" w:rsidRDefault="007D19D6">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Ja apdrošināšanas vai nodzīvotā laika periods, kas nav pielīdzinātais periods, kurš izpildīts saskaņā ar valsts tiesību aktiem, sakrīt ar pielīdzināto periodu, balstoties uz citas valsts tiesību aktiem, tad ņem vērā ti</w:t>
      </w:r>
      <w:r>
        <w:rPr>
          <w:rFonts w:asciiTheme="majorHAnsi" w:hAnsiTheme="majorHAnsi"/>
          <w:noProof/>
          <w:color w:val="000000"/>
        </w:rPr>
        <w:t>kai to periodu, kas nav pielīdzinātais.</w:t>
      </w:r>
    </w:p>
    <w:p w:rsidR="003E022D" w:rsidRDefault="007D19D6">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Jebkuru periodu, kurš ir pielīdzinātais saskaņā ar divu vai vairāk valstu tiesību aktiem, ņem vērā tikai tās valsts iestāde, kuras tiesību aktiem attiecīgā persona pēdējo reizi bija pakļauta pirms minētā perioda. Gad</w:t>
      </w:r>
      <w:r>
        <w:rPr>
          <w:rFonts w:asciiTheme="majorHAnsi" w:hAnsiTheme="majorHAnsi"/>
          <w:noProof/>
          <w:color w:val="000000"/>
        </w:rPr>
        <w:t>ījumā, ja pirms minētā perioda attiecīgā persona nav bijusi iesaistīta obligātajā apdrošināšanā saskaņā ar valsts tiesību aktiem, šo periodu ņem vērā iestāde valstī, kuras tiesību aktiem attiecīgā persona bija pakļauta pirmo reizi pēc minētā perioda.</w:t>
      </w:r>
    </w:p>
    <w:p w:rsidR="003E022D" w:rsidRDefault="007D19D6">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Gadīj</w:t>
      </w:r>
      <w:r>
        <w:rPr>
          <w:rFonts w:asciiTheme="majorHAnsi" w:hAnsiTheme="majorHAnsi"/>
          <w:noProof/>
          <w:color w:val="000000"/>
        </w:rPr>
        <w:t xml:space="preserve">umā, kad nevar precīzi noteikt apdrošināšanas vai nodzīvotā laika periodu, kas ir izpildīts saskaņā ar valsts tiesību aktiem, pieņem, ka šie periodi nepārklājas ar apdrošināšanas vai nodzīvotā laika periodiem, kas izpildīti saskaņā ar citas valsts tiesību </w:t>
      </w:r>
      <w:r>
        <w:rPr>
          <w:rFonts w:asciiTheme="majorHAnsi" w:hAnsiTheme="majorHAnsi"/>
          <w:noProof/>
          <w:color w:val="000000"/>
        </w:rPr>
        <w:t>aktiem, un tos ņem vērā, ja tas ir izdevīgi attiecīgajām personām, ciktāl ir saprātīgi tos ņemt vērā.</w:t>
      </w:r>
    </w:p>
    <w:p w:rsidR="003E022D" w:rsidRDefault="007D19D6">
      <w:pPr>
        <w:pStyle w:val="Article"/>
        <w:rPr>
          <w:noProof/>
        </w:rPr>
      </w:pPr>
      <w:r>
        <w:rPr>
          <w:noProof/>
        </w:rPr>
        <w:t>SSCI.12. pants.  Periodu pārrēķināšanas noteikumi</w:t>
      </w:r>
    </w:p>
    <w:p w:rsidR="003E022D" w:rsidRDefault="007D19D6">
      <w:pPr>
        <w:numPr>
          <w:ilvl w:val="0"/>
          <w:numId w:val="1135"/>
        </w:numPr>
        <w:ind w:left="0" w:firstLine="0"/>
        <w:rPr>
          <w:rFonts w:asciiTheme="majorHAnsi" w:eastAsia="Arial" w:hAnsiTheme="majorHAnsi" w:cs="Arial"/>
          <w:noProof/>
          <w:color w:val="000000"/>
        </w:rPr>
      </w:pPr>
      <w:r>
        <w:rPr>
          <w:noProof/>
        </w:rPr>
        <w:t>Ja periodus, kas izpildīti saskaņā ar valsts tiesību aktiem, izsaka vienībās, kas atšķiras no tām, kuras</w:t>
      </w:r>
      <w:r>
        <w:rPr>
          <w:noProof/>
        </w:rPr>
        <w:t xml:space="preserve"> izmanto citā valstī, summēšanai vajadzīgo pārrēķinu saskaņā ar protokola SSC.7. pantu [Periodu summēšana]veic pēc šādiem noteikumiem:</w:t>
      </w:r>
      <w:r>
        <w:rPr>
          <w:rFonts w:asciiTheme="majorHAnsi" w:hAnsiTheme="majorHAnsi"/>
          <w:noProof/>
          <w:color w:val="000000"/>
        </w:rPr>
        <w:t xml:space="preserve"> </w:t>
      </w:r>
    </w:p>
    <w:p w:rsidR="003E022D" w:rsidRDefault="007D19D6">
      <w:pPr>
        <w:numPr>
          <w:ilvl w:val="0"/>
          <w:numId w:val="1132"/>
        </w:numPr>
        <w:ind w:left="567" w:hanging="567"/>
        <w:rPr>
          <w:rFonts w:asciiTheme="majorHAnsi" w:eastAsia="Arial" w:hAnsiTheme="majorHAnsi" w:cs="Arial"/>
          <w:noProof/>
          <w:color w:val="000000"/>
        </w:rPr>
      </w:pPr>
      <w:r>
        <w:rPr>
          <w:noProof/>
        </w:rPr>
        <w:t>periods, uz kā pamata veic pārrēķinu, ir tas periods, kuru paziņo tās valsts iestāde, saskaņā ar kuras tiesību aktiem pe</w:t>
      </w:r>
      <w:r>
        <w:rPr>
          <w:noProof/>
        </w:rPr>
        <w:t>riods bija izpildīts;</w:t>
      </w:r>
    </w:p>
    <w:p w:rsidR="003E022D" w:rsidRDefault="007D19D6">
      <w:pPr>
        <w:numPr>
          <w:ilvl w:val="0"/>
          <w:numId w:val="1132"/>
        </w:numPr>
        <w:ind w:left="567" w:hanging="567"/>
        <w:rPr>
          <w:rFonts w:asciiTheme="majorHAnsi" w:eastAsia="Arial" w:hAnsiTheme="majorHAnsi" w:cs="Arial"/>
          <w:noProof/>
          <w:color w:val="000000"/>
        </w:rPr>
      </w:pPr>
      <w:r>
        <w:rPr>
          <w:rFonts w:asciiTheme="majorHAnsi" w:hAnsiTheme="majorHAnsi"/>
          <w:noProof/>
          <w:color w:val="000000"/>
        </w:rPr>
        <w:t xml:space="preserve">gadījumos, kad periodi ir izteikti dienās, pārrēķinu no dienām uz citām vienībām un otrādi, kā arī starp dažādām sistēmām, kas balstītas uz dienām, veic saskaņā ar šo tabulu: </w:t>
      </w: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
        <w:gridCol w:w="1394"/>
        <w:gridCol w:w="1394"/>
        <w:gridCol w:w="1394"/>
        <w:gridCol w:w="1394"/>
        <w:gridCol w:w="1394"/>
      </w:tblGrid>
      <w:tr w:rsidR="003E022D">
        <w:tc>
          <w:tcPr>
            <w:tcW w:w="1393"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Sistēma balstīta uz</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diena atbilst</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nedēļa atbilst</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mēnesis atbilst</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ceturksnis atbilst</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Maksimālais dienu skaits vienā kalendārā gadā</w:t>
            </w:r>
          </w:p>
        </w:tc>
      </w:tr>
      <w:tr w:rsidR="003E022D">
        <w:tc>
          <w:tcPr>
            <w:tcW w:w="1393"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 stundas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22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66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264 dienas</w:t>
            </w:r>
          </w:p>
        </w:tc>
      </w:tr>
      <w:tr w:rsidR="003E022D">
        <w:tc>
          <w:tcPr>
            <w:tcW w:w="1393"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8 stundas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78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312 dienas</w:t>
            </w:r>
          </w:p>
        </w:tc>
      </w:tr>
      <w:tr w:rsidR="003E022D">
        <w:tc>
          <w:tcPr>
            <w:tcW w:w="1393"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stundas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30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90 dienas</w:t>
            </w:r>
          </w:p>
        </w:tc>
        <w:tc>
          <w:tcPr>
            <w:tcW w:w="1394" w:type="dxa"/>
          </w:tcPr>
          <w:p w:rsidR="003E022D" w:rsidRDefault="007D19D6">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360 dienas</w:t>
            </w:r>
          </w:p>
        </w:tc>
      </w:tr>
    </w:tbl>
    <w:p w:rsidR="003E022D" w:rsidRDefault="007D19D6">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ja sistēmās periodi ir izteikti ar vienībām, kas nav dienas: </w:t>
      </w:r>
    </w:p>
    <w:p w:rsidR="003E022D" w:rsidRDefault="007D19D6">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trīs mēneši vai trīspadsmit nedēļas ir līdzvērtīgas vienam ceturksnim un otrādi;</w:t>
      </w:r>
    </w:p>
    <w:p w:rsidR="003E022D" w:rsidRDefault="007D19D6">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viens gads ir līdzvērtīgs četriem ceturkšņiem, 12 mēnešiem vai 52 nedēļām un otrādi;</w:t>
      </w:r>
    </w:p>
    <w:p w:rsidR="003E022D" w:rsidRDefault="007D19D6">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 xml:space="preserve">lai pārrēķinātu nedēļas mēnešos un otrādi, nedēļas un mēnešus pārrēķina dienās saskaņā ar b) apakšpunktā esošajā tabulā minētās sešu dienu sistēmas pārrēķina noteikumiem; </w:t>
      </w:r>
    </w:p>
    <w:p w:rsidR="003E022D" w:rsidRDefault="007D19D6">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ja periodus izsaka daļās, šos skaitļus pārrēķina nākamajā mazākajā vesela skaitļa vi</w:t>
      </w:r>
      <w:r>
        <w:rPr>
          <w:rFonts w:asciiTheme="majorHAnsi" w:hAnsiTheme="majorHAnsi"/>
          <w:noProof/>
          <w:color w:val="000000"/>
        </w:rPr>
        <w:t xml:space="preserve">enībā, izmantojot b) un c) apakšpunktā minētos noteikumus. Gada daļas pārrēķina mēnešos, ja vien konkrētā sistēma nebalstās uz ceturkšņiem; </w:t>
      </w:r>
    </w:p>
    <w:p w:rsidR="003E022D" w:rsidRDefault="007D19D6">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ja saskaņā ar šo punktu veikta pārrēķina rezultāts ir vienības daļa, par saskaņā ar šo punktu veikta pārrēķina rezu</w:t>
      </w:r>
      <w:r>
        <w:rPr>
          <w:rFonts w:asciiTheme="majorHAnsi" w:hAnsiTheme="majorHAnsi"/>
          <w:noProof/>
          <w:color w:val="000000"/>
        </w:rPr>
        <w:t xml:space="preserve">ltātu uzskata nākamo lielāko vesela skaitļa vienību. </w:t>
      </w:r>
    </w:p>
    <w:p w:rsidR="003E022D" w:rsidRDefault="007D19D6">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Piemērojot 1. punktu, nevar iegūt vienā kalendārajā gadā nenomaksātu periodu kopsummu, kas pārsniedz 1. punkta b) apakšpunkta tabulas pēdējā ailē norādīto dienu skaitu, 52 nedēļas, 12 mēnešus vai četrus</w:t>
      </w:r>
      <w:r>
        <w:rPr>
          <w:rFonts w:asciiTheme="majorHAnsi" w:hAnsiTheme="majorHAnsi"/>
          <w:noProof/>
          <w:color w:val="000000"/>
        </w:rPr>
        <w:t xml:space="preserve"> ceturkšņus.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Ja pārrēķināmo periodu skaits atbilst maksimālo atļauto gada periodu skaitam tās valsts tiesību aktos, kurā tie noslēgti, piemērojot 1. punktu, nevar rasties tādi periodi viena kalendārā gada laikā, kas ir īsāki nekā iespējamais maksimālo atļa</w:t>
      </w:r>
      <w:r>
        <w:rPr>
          <w:rFonts w:asciiTheme="majorHAnsi" w:hAnsiTheme="majorHAnsi"/>
          <w:noProof/>
          <w:color w:val="000000"/>
        </w:rPr>
        <w:t xml:space="preserve">uto gada periodu skaits saskaņā ar attiecīgajiem tiesību aktiem. </w:t>
      </w:r>
    </w:p>
    <w:p w:rsidR="003E022D" w:rsidRDefault="007D19D6">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Pārrēķinu veic vai nu vienā operācijā par visiem periodiem, kuri bija paziņoti kā summējami, vai pa gadiem, ja periodus paziņoja pa gadiem.</w:t>
      </w:r>
    </w:p>
    <w:p w:rsidR="003E022D" w:rsidRDefault="007D19D6">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Ja iestāde paziņo periodus, izteiktus dienās, tā v</w:t>
      </w:r>
      <w:r>
        <w:rPr>
          <w:rFonts w:asciiTheme="majorHAnsi" w:hAnsiTheme="majorHAnsi"/>
          <w:noProof/>
          <w:color w:val="000000"/>
        </w:rPr>
        <w:t>ienlaikus norāda, vai tās izmantotā sistēma balstās uz piecām, sešām vai septiņām dienām.</w:t>
      </w:r>
    </w:p>
    <w:p w:rsidR="003E022D" w:rsidRDefault="007D19D6">
      <w:pPr>
        <w:spacing w:after="0" w:line="276" w:lineRule="auto"/>
        <w:jc w:val="left"/>
        <w:rPr>
          <w:rFonts w:asciiTheme="majorHAnsi" w:hAnsiTheme="majorHAnsi" w:cstheme="minorHAnsi"/>
          <w:i/>
          <w:caps/>
          <w:noProof/>
        </w:rPr>
      </w:pPr>
      <w:r>
        <w:rPr>
          <w:noProof/>
        </w:rPr>
        <w:br w:type="page"/>
      </w:r>
    </w:p>
    <w:p w:rsidR="003E022D" w:rsidRDefault="007D19D6">
      <w:pPr>
        <w:jc w:val="center"/>
        <w:rPr>
          <w:rFonts w:eastAsia="Arial" w:cs="Arial"/>
          <w:noProof/>
          <w:color w:val="000000"/>
        </w:rPr>
      </w:pPr>
      <w:bookmarkStart w:id="1481" w:name="_Toc59110615"/>
      <w:r>
        <w:rPr>
          <w:noProof/>
        </w:rPr>
        <w:t>II SADAĻA. PIEMĒROJAMO TIESĪBU AKTU NOTEIKŠANA</w:t>
      </w:r>
      <w:bookmarkEnd w:id="1481"/>
    </w:p>
    <w:p w:rsidR="003E022D" w:rsidRDefault="007D19D6">
      <w:pPr>
        <w:pStyle w:val="Article"/>
        <w:rPr>
          <w:noProof/>
        </w:rPr>
      </w:pPr>
      <w:r>
        <w:rPr>
          <w:noProof/>
        </w:rPr>
        <w:t xml:space="preserve">SSCI.13. pants. Precizējumi attiecībā uz protokola SSC.11. pantu [Norīkotie darba ņēmēji] un SSC.12. pantu [Darbības </w:t>
      </w:r>
      <w:r>
        <w:rPr>
          <w:noProof/>
        </w:rPr>
        <w:t>veikšana divās vai vairāk valstīs]</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color w:val="FF0000"/>
        </w:rPr>
        <w:t xml:space="preserve"> </w:t>
      </w:r>
      <w:r>
        <w:rPr>
          <w:noProof/>
        </w:rPr>
        <w:t>Piemērojot SSC.11. panta [Norīkotie darba ņēmēji] 1. punkta a) apakšpunktu, “persona, kas kādā valstī veic darbību nodarbinātas personas statusā tāda darba devēja uzdevumā, kurš parasti tur veic savas darbības, un ko min</w:t>
      </w:r>
      <w:r>
        <w:rPr>
          <w:noProof/>
        </w:rPr>
        <w:t>ētais darba devējs ir nosūtījis uz citu valsti” ir persona, kas pieņemta darbā nosūtīšanai uz citu valsti, ja uz attiecīgo personu tieši pirms darba uzsākšanas jau attiecas tās valsts tiesību akti, kurā ir reģistrēts šīs personas darba devējs.</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Piemērojot p</w:t>
      </w:r>
      <w:r>
        <w:rPr>
          <w:rFonts w:asciiTheme="majorHAnsi" w:hAnsiTheme="majorHAnsi"/>
          <w:noProof/>
          <w:color w:val="000000"/>
        </w:rPr>
        <w:t>rotokola SSC.11. panta [Norīkotie darba ņēmēji] 1. punkta a) apakšpunktu, frāze “kurš parasti tur veic savas darbības” attiecas uz darba devēju, kas valstī, kurā viņš veic uzņēmējdarbību, parasti veic citas būtiskas darbības, nevis tās, kuras saistītas tik</w:t>
      </w:r>
      <w:r>
        <w:rPr>
          <w:rFonts w:asciiTheme="majorHAnsi" w:hAnsiTheme="majorHAnsi"/>
          <w:noProof/>
          <w:color w:val="000000"/>
        </w:rPr>
        <w:t>ai ar iekšējo pārvaldību, ņemot vērā visus kritērijus, kas raksturo attiecīgā uzņēmuma darbības. Attiecīgajiem kritērijiem jāatbilst katra darba devēja specifikai un to veikto darbību patiesajai būtībai.</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Piemērojot SSC.11. panta [Norīkotie darba ņēmēji] 1.</w:t>
      </w:r>
      <w:r>
        <w:rPr>
          <w:rFonts w:asciiTheme="majorHAnsi" w:hAnsiTheme="majorHAnsi"/>
          <w:noProof/>
          <w:color w:val="000000"/>
        </w:rPr>
        <w:t> punkta b) apakšpunktu, ar frāzi “parasti veic darbību pašnodarbinātas personas statusā” saprot personu, kura parasti veic būtiskas darbības tās valsts teritorijā, kurā tā veic uzņēmējdarbību. Jo īpaši minētajai personai jau ir jābūt veikušai šo darbību kā</w:t>
      </w:r>
      <w:r>
        <w:rPr>
          <w:rFonts w:asciiTheme="majorHAnsi" w:hAnsiTheme="majorHAnsi"/>
          <w:noProof/>
          <w:color w:val="000000"/>
        </w:rPr>
        <w:t>du laiku pirms dienas, kad tā vēlas izmantot šā panta noteikumus, un visā pagaidu darbību laikā citā valstī jāturpina izpildīt prasības darbības veikšanai valstī, kurā tā veic uzņēmējdarbību, lai varētu to turpināt pēc atgriešanās šajā dalībvalstī.</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Piemērojot SSC.11. panta [Norīkotie darba ņēmēji] 1. punkta b) apakšpunktu, kritērijs, pēc kura nosaka, vai tā darbība, ko pašnodarbinātais veiks citā valstī, ir “līdzīga” darbībai, ko pašnodarbinātais parasti veic, ir darbības patiesā daba, nevis apzīmēju</w:t>
      </w:r>
      <w:r>
        <w:rPr>
          <w:rFonts w:asciiTheme="majorHAnsi" w:hAnsiTheme="majorHAnsi"/>
          <w:noProof/>
          <w:color w:val="000000"/>
        </w:rPr>
        <w:t xml:space="preserve">ms, ko šai darbībai var piešķirt šī cita valsts. </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rPr>
        <w:t>Piemērojot protokola SSC.12. panta [Darbības veikšana divās vai vairāk valstīs] 1. un 5. punktu, ar personu, kas “parasti veic darbību nodarbinātas personas statusā attiecīgi vienā vai vairākās dalībvalstīs</w:t>
      </w:r>
      <w:r>
        <w:rPr>
          <w:rFonts w:asciiTheme="majorHAnsi" w:hAnsiTheme="majorHAnsi"/>
          <w:noProof/>
        </w:rPr>
        <w:t xml:space="preserve"> un Apvienotajā Karalistē vai divās vai vairākās dalībvalstīs”, saprot personu, kas vienlaikus vai pārmaiņus šajās valstīs viena un tā paša uzņēmuma vai darba devēja vai vairāku uzņēmumu vai darba devēju uzdevumā veic vienu vai vairākas atsevišķas darbības</w:t>
      </w:r>
      <w:r>
        <w:rPr>
          <w:rFonts w:asciiTheme="majorHAnsi" w:hAnsiTheme="majorHAnsi"/>
          <w:noProof/>
        </w:rPr>
        <w:t>.</w:t>
      </w:r>
      <w:r>
        <w:rPr>
          <w:rFonts w:asciiTheme="majorHAnsi" w:hAnsiTheme="majorHAnsi"/>
          <w:noProof/>
          <w:color w:val="000000"/>
        </w:rPr>
        <w:t xml:space="preserve"> </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rPr>
        <w:t>Piemērojot protokola SSC.12. panta [Darbības veikšana divās vai vairāk valstīs] 1. un 5. punktu, nodarbināts lidojumu apkalpes un salona apkalpes loceklis, kas prasti nodrošina pasažieru vai kravas pārvadājumu lidojumu apkalpes un salona apkalpes pakalp</w:t>
      </w:r>
      <w:r>
        <w:rPr>
          <w:rFonts w:asciiTheme="majorHAnsi" w:hAnsiTheme="majorHAnsi"/>
          <w:noProof/>
        </w:rPr>
        <w:t>ojumus divās vai vairāk valstīs, ir pakļauts tās valsts tiesību aktiem, kurā atrodas mājas bāze, kā definēts protokola SSC.1. pantā [Definīcijas].</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rPr>
        <w:t>Piemērojamo tiesību aktu noteikšanas nolūkā saskaņā ar protokola SSC.12. pantu [Darbības veikšana divās vai v</w:t>
      </w:r>
      <w:r>
        <w:rPr>
          <w:rFonts w:asciiTheme="majorHAnsi" w:hAnsiTheme="majorHAnsi"/>
          <w:noProof/>
        </w:rPr>
        <w:t>airāk valstīs] netiek ņemtas vērā nenozīmīgas darbības.</w:t>
      </w:r>
      <w:r>
        <w:rPr>
          <w:rFonts w:asciiTheme="majorHAnsi" w:hAnsiTheme="majorHAnsi"/>
          <w:noProof/>
          <w:color w:val="000000"/>
        </w:rPr>
        <w:t xml:space="preserve"> </w:t>
      </w:r>
      <w:r>
        <w:rPr>
          <w:rFonts w:asciiTheme="majorHAnsi" w:hAnsiTheme="majorHAnsi"/>
          <w:noProof/>
        </w:rPr>
        <w:t>Šā pielikuma SSCI.15. pantu [Procedūra SSC.12. panta piemērošanai] piemēro visiem šajā pantā paredzētajiem gadījumiem.</w:t>
      </w:r>
      <w:r>
        <w:rPr>
          <w:rFonts w:asciiTheme="majorHAnsi" w:hAnsiTheme="majorHAnsi"/>
          <w:noProof/>
          <w:color w:val="000000"/>
        </w:rPr>
        <w:t xml:space="preserve"> </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rPr>
        <w:t xml:space="preserve">Piemērojot protokola SSC.12. panta [Darbības veikšana divās vai vairāk valstīs] </w:t>
      </w:r>
      <w:r>
        <w:rPr>
          <w:rFonts w:asciiTheme="majorHAnsi" w:hAnsiTheme="majorHAnsi"/>
          <w:noProof/>
        </w:rPr>
        <w:t>2. un 6. punktu, ar personu, kas “parasti veic darbību pašnodarbinātas personas statusā attiecīgi vienā vai vairākās dalībvalstīs un Apvienotajā Karalistē vai divās vai vairākās dalībvalstīs”, saprot personu, kas vienlaikus vai pārmaiņus šajās valstīs veic</w:t>
      </w:r>
      <w:r>
        <w:rPr>
          <w:rFonts w:asciiTheme="majorHAnsi" w:hAnsiTheme="majorHAnsi"/>
          <w:noProof/>
        </w:rPr>
        <w:t xml:space="preserve"> vienu vai vairākas atsevišķas pašnodarbinātas personas darbības neatkarīgi no šo darbību būtības.</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Lai darbības saskaņā ar 5. un 8. punktu atšķirtu no situācijām, kas aprakstītas protokola SSC.11. panta [Norīkotie darba ņēmēji] 1. punktā, izšķirošs ir vien</w:t>
      </w:r>
      <w:r>
        <w:rPr>
          <w:rFonts w:asciiTheme="majorHAnsi" w:hAnsiTheme="majorHAnsi"/>
          <w:noProof/>
          <w:color w:val="000000"/>
        </w:rPr>
        <w:t xml:space="preserve">ā vai vairākās valstīs īstenotas darbības ilgums (neatkarīgi no tā, vai šī darbība ir pastāvīga vai tā tiek īstenota </w:t>
      </w:r>
      <w:r>
        <w:rPr>
          <w:rFonts w:asciiTheme="majorHAnsi" w:hAnsiTheme="majorHAnsi"/>
          <w:i/>
          <w:iCs/>
          <w:noProof/>
          <w:color w:val="000000"/>
        </w:rPr>
        <w:t>ad hoc</w:t>
      </w:r>
      <w:r>
        <w:rPr>
          <w:rFonts w:asciiTheme="majorHAnsi" w:hAnsiTheme="majorHAnsi"/>
          <w:noProof/>
          <w:color w:val="000000"/>
        </w:rPr>
        <w:t>, vai tā ir īslaicīga). Šajā nolūkā tiek veikts visu būtisko faktu vispārējs novērtējums, nodarbinātas personas gadījumā īpašu uzmanī</w:t>
      </w:r>
      <w:r>
        <w:rPr>
          <w:rFonts w:asciiTheme="majorHAnsi" w:hAnsiTheme="majorHAnsi"/>
          <w:noProof/>
          <w:color w:val="000000"/>
        </w:rPr>
        <w:t>bu pievēršot darba vietai, kā tā noteikta darba līgumā.</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rPr>
        <w:t xml:space="preserve">Piemērojot protokola </w:t>
      </w:r>
      <w:r>
        <w:rPr>
          <w:rFonts w:asciiTheme="majorHAnsi" w:hAnsiTheme="majorHAnsi"/>
          <w:noProof/>
          <w:color w:val="000000"/>
        </w:rPr>
        <w:t>SSC.12. panta [Darbības veikšana divās vai vairāk valstīs] 1. , 2. , 5. un 6. punktu</w:t>
      </w:r>
      <w:r>
        <w:rPr>
          <w:rFonts w:asciiTheme="majorHAnsi" w:hAnsiTheme="majorHAnsi"/>
          <w:noProof/>
        </w:rPr>
        <w:t>, valstī veikta “būtiska nodarbinātas vai pašnodarbinātas darbības daļa ” nozīmē, ka nodarbināt</w:t>
      </w:r>
      <w:r>
        <w:rPr>
          <w:rFonts w:asciiTheme="majorHAnsi" w:hAnsiTheme="majorHAnsi"/>
          <w:noProof/>
        </w:rPr>
        <w:t>a vai pašnodarbināta persona veic kvantitatīvi būtisku visu darbību daļu šajā valstī, bet tai nav obligāti jābūt lielākajai minēto darbību daļai.</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Lai noteiktu, vai būtisku darbību daļu veic valstī, ņem vērā šādus indikatīvus kritērijus: </w:t>
      </w:r>
    </w:p>
    <w:p w:rsidR="003E022D" w:rsidRDefault="007D19D6">
      <w:pPr>
        <w:numPr>
          <w:ilvl w:val="0"/>
          <w:numId w:val="1151"/>
        </w:numPr>
        <w:ind w:left="567" w:hanging="567"/>
        <w:rPr>
          <w:rFonts w:asciiTheme="majorHAnsi" w:eastAsia="Arial" w:hAnsiTheme="majorHAnsi" w:cs="Arial"/>
          <w:noProof/>
          <w:color w:val="000000"/>
        </w:rPr>
      </w:pPr>
      <w:r>
        <w:rPr>
          <w:noProof/>
        </w:rPr>
        <w:t>algotas darbības g</w:t>
      </w:r>
      <w:r>
        <w:rPr>
          <w:noProof/>
        </w:rPr>
        <w:t>adījumā – darba laiku vai atalgojumu;</w:t>
      </w:r>
      <w:r>
        <w:rPr>
          <w:rFonts w:asciiTheme="majorHAnsi" w:hAnsiTheme="majorHAnsi"/>
          <w:noProof/>
          <w:color w:val="000000"/>
        </w:rPr>
        <w:t xml:space="preserve"> un</w:t>
      </w:r>
    </w:p>
    <w:p w:rsidR="003E022D" w:rsidRDefault="007D19D6">
      <w:pPr>
        <w:numPr>
          <w:ilvl w:val="0"/>
          <w:numId w:val="1151"/>
        </w:numPr>
        <w:ind w:left="567" w:hanging="567"/>
        <w:rPr>
          <w:rFonts w:asciiTheme="majorHAnsi" w:eastAsia="Arial" w:hAnsiTheme="majorHAnsi" w:cs="Arial"/>
          <w:noProof/>
          <w:color w:val="000000"/>
        </w:rPr>
      </w:pPr>
      <w:r>
        <w:rPr>
          <w:noProof/>
        </w:rPr>
        <w:t>pašnodarbinātas darbības gadījumā — apgrozījumu, darba laiku, sniegto pakalpojumu skaitu vai ienākumus.</w:t>
      </w:r>
      <w:r>
        <w:rPr>
          <w:rFonts w:asciiTheme="majorHAnsi" w:hAnsiTheme="majorHAnsi"/>
          <w:noProof/>
          <w:color w:val="000000"/>
        </w:rPr>
        <w:t xml:space="preserve">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Saskaņā ar vispārēju novērtējumu mazāk nekā 25 % no minētajiem kritērijiem norāda, ka būtisku visu darbību daļ</w:t>
      </w:r>
      <w:r>
        <w:rPr>
          <w:rFonts w:asciiTheme="majorHAnsi" w:hAnsiTheme="majorHAnsi"/>
          <w:noProof/>
          <w:color w:val="000000"/>
        </w:rPr>
        <w:t xml:space="preserve">u neveic attiecīgajā valstī. </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rPr>
        <w:t>Piemērojot protokola SSC.12. panta [Darbības veikšana divās vai vairāk valstīs] 2. punkta b) apakšpunktu, pašnodarbinātas personas “darbības interešu centru” nosaka, ņemot vērā elementu kopumu, no kuriem sastāv viņa profesionā</w:t>
      </w:r>
      <w:r>
        <w:rPr>
          <w:rFonts w:asciiTheme="majorHAnsi" w:hAnsiTheme="majorHAnsi"/>
          <w:noProof/>
        </w:rPr>
        <w:t>lās darbības, proti, vieta, kur atrodas šīs personas darbības pastāvīgā juridiskā adrese, veikto darbību parastais raksturs un ilgums, sniegto pakalpojumu skaits, kā arī attiecīgās personas vēlmes saskaņā ar visiem apstākļiem.</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Lai noteiktu, kādi tiesību ak</w:t>
      </w:r>
      <w:r>
        <w:rPr>
          <w:rFonts w:asciiTheme="majorHAnsi" w:hAnsiTheme="majorHAnsi"/>
          <w:noProof/>
          <w:color w:val="000000"/>
        </w:rPr>
        <w:t>ti ir piemērojami atbilstīgi 10., 11. un 12. punktam, attiecīgās iestādes ņem vērā situāciju, kas paredzēta turpmākajiem 12 kalendāra mēnešiem.</w:t>
      </w:r>
    </w:p>
    <w:p w:rsidR="003E022D" w:rsidRDefault="007D19D6">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Ja persona veic algotu darbu divās vai vairākās valstīs tāda darba devēja uzdevumā, kas reģistrēts ārpus Eiropas</w:t>
      </w:r>
      <w:r>
        <w:rPr>
          <w:rFonts w:asciiTheme="majorHAnsi" w:hAnsiTheme="majorHAnsi"/>
          <w:noProof/>
          <w:color w:val="000000"/>
        </w:rPr>
        <w:t xml:space="preserve"> Savienības robežām, un ja šī persona dzīvo valstī un neveic tajā būtisku darbību, tad uz šo personu attiecas dzīvesvietas valsts tiesību akti.</w:t>
      </w:r>
    </w:p>
    <w:p w:rsidR="003E022D" w:rsidRDefault="007D19D6">
      <w:pPr>
        <w:pStyle w:val="Article"/>
        <w:rPr>
          <w:noProof/>
        </w:rPr>
      </w:pPr>
      <w:r>
        <w:rPr>
          <w:noProof/>
        </w:rPr>
        <w:t>SSCI.14. pants. Protokola SSC.10. panta [Vispārīgi noteikumi] 3. punkta b) un d) apakšpunkta un SSC.10. panta 4.</w:t>
      </w:r>
      <w:r>
        <w:rPr>
          <w:noProof/>
        </w:rPr>
        <w:t> punkta un SSC.11. panta [Norīkotie darba ņēmēji] piemērošanas procedūras (par informācijas sniegšanu attiecīgajām iestādēm)</w:t>
      </w:r>
    </w:p>
    <w:p w:rsidR="003E022D" w:rsidRDefault="007D19D6">
      <w:pPr>
        <w:numPr>
          <w:ilvl w:val="0"/>
          <w:numId w:val="1146"/>
        </w:numPr>
        <w:ind w:left="0" w:firstLine="0"/>
        <w:rPr>
          <w:rFonts w:asciiTheme="majorHAnsi" w:eastAsia="Arial" w:hAnsiTheme="majorHAnsi" w:cs="Arial"/>
          <w:noProof/>
          <w:color w:val="000000"/>
        </w:rPr>
      </w:pPr>
      <w:r>
        <w:rPr>
          <w:rFonts w:asciiTheme="majorHAnsi" w:hAnsiTheme="majorHAnsi"/>
          <w:noProof/>
        </w:rPr>
        <w:t xml:space="preserve">Ja vien šā </w:t>
      </w:r>
      <w:r>
        <w:rPr>
          <w:rFonts w:asciiTheme="majorHAnsi" w:hAnsiTheme="majorHAnsi"/>
          <w:noProof/>
          <w:color w:val="000000"/>
        </w:rPr>
        <w:t>pielikuma SSCI.15. pantā [Procedūra SSC.12. panta piemērošanai]</w:t>
      </w:r>
      <w:r>
        <w:rPr>
          <w:rFonts w:asciiTheme="majorHAnsi" w:hAnsiTheme="majorHAnsi"/>
          <w:noProof/>
        </w:rPr>
        <w:t xml:space="preserve"> nav noteikts citādi, tādas personas gadījumā, kas veic d</w:t>
      </w:r>
      <w:r>
        <w:rPr>
          <w:rFonts w:asciiTheme="majorHAnsi" w:hAnsiTheme="majorHAnsi"/>
          <w:noProof/>
        </w:rPr>
        <w:t>arbību ārpus kompetentās valsts, darba devējs vai tādas personas gadījumā, kura neveic darbību nodarbinātas personas statusā, attiecīgā persona, kad vien iespējams, iepriekš informē tās valsts kompetento iestādi, kuras tiesību akti ir piemērojami.</w:t>
      </w:r>
      <w:r>
        <w:rPr>
          <w:rFonts w:asciiTheme="majorHAnsi" w:hAnsiTheme="majorHAnsi"/>
          <w:noProof/>
          <w:color w:val="000000"/>
        </w:rPr>
        <w:t xml:space="preserve"> </w:t>
      </w:r>
      <w:r>
        <w:rPr>
          <w:rFonts w:asciiTheme="majorHAnsi" w:hAnsiTheme="majorHAnsi"/>
          <w:noProof/>
        </w:rPr>
        <w:t xml:space="preserve">Minētā </w:t>
      </w:r>
      <w:r>
        <w:rPr>
          <w:rFonts w:asciiTheme="majorHAnsi" w:hAnsiTheme="majorHAnsi"/>
          <w:noProof/>
        </w:rPr>
        <w:t>iestāde izsniedz apliecinājumu, kas minēts šā</w:t>
      </w:r>
      <w:r>
        <w:rPr>
          <w:rFonts w:asciiTheme="majorHAnsi" w:hAnsiTheme="majorHAnsi"/>
          <w:noProof/>
          <w:color w:val="000000"/>
        </w:rPr>
        <w:t xml:space="preserve"> pielikuma SSC-16. panta [Informācijas sniegšana attiecīgajām personām un darba devējiem] 2. punktā</w:t>
      </w:r>
      <w:r>
        <w:rPr>
          <w:rFonts w:asciiTheme="majorHAnsi" w:hAnsiTheme="majorHAnsi"/>
          <w:noProof/>
        </w:rPr>
        <w:t>, attiecīgajai personai un informāciju par šai personai piemērojamiem tiesību aktiem saskaņā ar protokola SSC.10</w:t>
      </w:r>
      <w:r>
        <w:rPr>
          <w:rFonts w:asciiTheme="majorHAnsi" w:hAnsiTheme="majorHAnsi"/>
          <w:noProof/>
        </w:rPr>
        <w:t>. panta [Vispārīgi noteikumi] 3. punkta b) apakšpunktu vai SSC.11. pantu [Norīkotie darba ņēmēji] nekavējoties dara pieejamu tās valsts kompetentās institūcijas norādītajai iestādei, kurā darbību veic.</w:t>
      </w:r>
    </w:p>
    <w:p w:rsidR="003E022D" w:rsidRDefault="007D19D6">
      <w:pPr>
        <w:numPr>
          <w:ilvl w:val="0"/>
          <w:numId w:val="1146"/>
        </w:numPr>
        <w:ind w:left="0" w:firstLine="0"/>
        <w:rPr>
          <w:rFonts w:asciiTheme="majorHAnsi" w:eastAsia="Arial" w:hAnsiTheme="majorHAnsi" w:cs="Arial"/>
          <w:noProof/>
          <w:color w:val="000000"/>
        </w:rPr>
      </w:pPr>
      <w:r>
        <w:rPr>
          <w:rFonts w:asciiTheme="majorHAnsi" w:hAnsiTheme="majorHAnsi"/>
          <w:noProof/>
          <w:color w:val="000000"/>
        </w:rPr>
        <w:t>Darba devējs protokola SSC.10. panta [Vispārīgi noteik</w:t>
      </w:r>
      <w:r>
        <w:rPr>
          <w:rFonts w:asciiTheme="majorHAnsi" w:hAnsiTheme="majorHAnsi"/>
          <w:noProof/>
          <w:color w:val="000000"/>
        </w:rPr>
        <w:t xml:space="preserve">umi] 4. punkta nozīmē, kuram ir darbinieks uz kuģa, kurš kuģo ar citas valsts karogu, kad vien iespējams, laicīgi informē tās valsts kompetento iestādi, kuras tiesību akti ir piemērojami. Informāciju par tiesību aktiem, kas piemērojami personai saskaņā ar </w:t>
      </w:r>
      <w:r>
        <w:rPr>
          <w:rFonts w:asciiTheme="majorHAnsi" w:hAnsiTheme="majorHAnsi"/>
          <w:noProof/>
          <w:color w:val="000000"/>
        </w:rPr>
        <w:t>protokola SSC.10. panta [Vispārīgi noteikumi] 4. punktu, minētā iestāde nekavējoties dara pieejamu tās valsts kompetentās institūcijas norādītajai iestādei, ar kuras karogu kuģo kuģis, uz kura darbinieks veic darbības.</w:t>
      </w:r>
    </w:p>
    <w:p w:rsidR="003E022D" w:rsidRDefault="007D19D6">
      <w:pPr>
        <w:pBdr>
          <w:top w:val="nil"/>
          <w:left w:val="nil"/>
          <w:bottom w:val="nil"/>
          <w:right w:val="nil"/>
          <w:between w:val="nil"/>
        </w:pBdr>
        <w:spacing w:before="251"/>
        <w:ind w:right="-6"/>
        <w:jc w:val="center"/>
        <w:rPr>
          <w:rFonts w:asciiTheme="majorHAnsi" w:eastAsia="Arial" w:hAnsiTheme="majorHAnsi" w:cs="Arial"/>
          <w:noProof/>
          <w:color w:val="000000"/>
        </w:rPr>
      </w:pPr>
      <w:r>
        <w:rPr>
          <w:rFonts w:asciiTheme="majorHAnsi" w:hAnsiTheme="majorHAnsi"/>
          <w:noProof/>
          <w:color w:val="000000"/>
        </w:rPr>
        <w:t xml:space="preserve">SSCI.15. pants. </w:t>
      </w:r>
      <w:r>
        <w:rPr>
          <w:rFonts w:asciiTheme="majorHAnsi" w:hAnsiTheme="majorHAnsi"/>
          <w:noProof/>
        </w:rPr>
        <w:t xml:space="preserve">Protokola </w:t>
      </w:r>
      <w:r>
        <w:rPr>
          <w:rFonts w:asciiTheme="majorHAnsi" w:hAnsiTheme="majorHAnsi"/>
          <w:noProof/>
          <w:color w:val="000000"/>
        </w:rPr>
        <w:t>SSC.12. panta [Darbības veikšana divās vai vairāk valstīs]</w:t>
      </w:r>
      <w:r>
        <w:rPr>
          <w:rFonts w:asciiTheme="majorHAnsi" w:hAnsiTheme="majorHAnsi"/>
          <w:noProof/>
        </w:rPr>
        <w:t xml:space="preserve"> piemērošanas procedūra</w:t>
      </w:r>
    </w:p>
    <w:p w:rsidR="003E022D" w:rsidRDefault="007D19D6">
      <w:pPr>
        <w:numPr>
          <w:ilvl w:val="0"/>
          <w:numId w:val="1139"/>
        </w:numPr>
        <w:ind w:left="0" w:firstLine="0"/>
        <w:rPr>
          <w:rFonts w:asciiTheme="majorHAnsi" w:eastAsia="Arial" w:hAnsiTheme="majorHAnsi" w:cs="Arial"/>
          <w:noProof/>
          <w:color w:val="000000"/>
        </w:rPr>
      </w:pPr>
      <w:r>
        <w:rPr>
          <w:rFonts w:asciiTheme="majorHAnsi" w:hAnsiTheme="majorHAnsi"/>
          <w:noProof/>
        </w:rPr>
        <w:t>Persona, kas veic darbības divās vai vairāk valstīs, vai gadījumos, kad ir piemērojams SSC.12. panta [Darbības veikšana divās vai vairāk valstīs] 5. vai 6. punkts, informē pa</w:t>
      </w:r>
      <w:r>
        <w:rPr>
          <w:rFonts w:asciiTheme="majorHAnsi" w:hAnsiTheme="majorHAnsi"/>
          <w:noProof/>
        </w:rPr>
        <w:t>r to dzīvesvietas valsts kompetentās institūcijas norādīto iestādi.</w:t>
      </w:r>
    </w:p>
    <w:p w:rsidR="003E022D" w:rsidRDefault="007D19D6">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Norādītā dzīvesvietas valsts </w:t>
      </w:r>
      <w:r>
        <w:rPr>
          <w:rFonts w:asciiTheme="majorHAnsi" w:hAnsiTheme="majorHAnsi"/>
          <w:noProof/>
        </w:rPr>
        <w:t xml:space="preserve"> iestāde nekavējoties nosaka attiecīgajai personai piemērojamos tiesību aktus, ņemto vērā protokola</w:t>
      </w:r>
      <w:r>
        <w:rPr>
          <w:rFonts w:asciiTheme="majorHAnsi" w:hAnsiTheme="majorHAnsi"/>
          <w:noProof/>
          <w:color w:val="000000"/>
        </w:rPr>
        <w:t xml:space="preserve"> SSC.12. pantu [</w:t>
      </w:r>
      <w:r>
        <w:rPr>
          <w:rFonts w:asciiTheme="majorHAnsi" w:hAnsiTheme="majorHAnsi"/>
          <w:noProof/>
        </w:rPr>
        <w:t xml:space="preserve"> Darbības veikšana divās vai vairāk valstīs]</w:t>
      </w:r>
      <w:r>
        <w:rPr>
          <w:rFonts w:asciiTheme="majorHAnsi" w:hAnsiTheme="majorHAnsi"/>
          <w:noProof/>
        </w:rPr>
        <w:t xml:space="preserve"> un šā pielikuma SSCI.13. pantu </w:t>
      </w:r>
      <w:r>
        <w:rPr>
          <w:rFonts w:asciiTheme="majorHAnsi" w:hAnsiTheme="majorHAnsi"/>
          <w:noProof/>
          <w:color w:val="000000"/>
        </w:rPr>
        <w:t>[Precizējumi attiecībā uz protokola SSC.11. pantu [Norīkotie darba ņēmēji] un SSC.12. pantu [Darbības veikšana divās vai vairāk valstīs]</w:t>
      </w:r>
      <w:r>
        <w:rPr>
          <w:rFonts w:asciiTheme="majorHAnsi" w:hAnsiTheme="majorHAnsi"/>
          <w:noProof/>
        </w:rPr>
        <w:t>.</w:t>
      </w:r>
      <w:r>
        <w:rPr>
          <w:rFonts w:asciiTheme="majorHAnsi" w:hAnsiTheme="majorHAnsi"/>
          <w:noProof/>
          <w:color w:val="000000"/>
        </w:rPr>
        <w:t xml:space="preserve"> Šī sākotnējā noteikšana ir provizoriska. Iestāde informē norādīto iestādi katrā no val</w:t>
      </w:r>
      <w:r>
        <w:rPr>
          <w:rFonts w:asciiTheme="majorHAnsi" w:hAnsiTheme="majorHAnsi"/>
          <w:noProof/>
          <w:color w:val="000000"/>
        </w:rPr>
        <w:t>stīm, kurā tiek veiktas darbības, par piemērojamo tiesību aktu provizorisku noteikšanu.</w:t>
      </w:r>
    </w:p>
    <w:p w:rsidR="003E022D" w:rsidRDefault="007D19D6">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Piemērojamo tiesību aktu provizoriskā noteikšana, kā paredzēts 2. punktā, kļūst galīga divu mēnešu laikā, kopš attiecīgo valstu kompetento institūciju norādītās iestāde</w:t>
      </w:r>
      <w:r>
        <w:rPr>
          <w:rFonts w:asciiTheme="majorHAnsi" w:hAnsiTheme="majorHAnsi"/>
          <w:noProof/>
          <w:color w:val="000000"/>
        </w:rPr>
        <w:t>s saņēmušas par to informāciju saskaņā ar 2. punktu, ja vien tiesību akti jau nav bijuši galīgi noteikti, pamatojoties uz 4. punktu, vai ja vismaz viena no attiecīgajām iestādēm minētā divu mēnešu termiņa beigās informē dzīvesvietas valsts kompetentās inst</w:t>
      </w:r>
      <w:r>
        <w:rPr>
          <w:rFonts w:asciiTheme="majorHAnsi" w:hAnsiTheme="majorHAnsi"/>
          <w:noProof/>
          <w:color w:val="000000"/>
        </w:rPr>
        <w:t xml:space="preserve">itūcijas norādīto iestādi par to, ka tā vēl nevar atzīt noteikšanas rezultātu vai ka tai šajā jautājumā ir atšķirīgs viedoklis. </w:t>
      </w:r>
    </w:p>
    <w:p w:rsidR="003E022D" w:rsidRDefault="007D19D6">
      <w:pPr>
        <w:numPr>
          <w:ilvl w:val="0"/>
          <w:numId w:val="1139"/>
        </w:numPr>
        <w:ind w:left="0" w:firstLine="0"/>
        <w:rPr>
          <w:rFonts w:asciiTheme="majorHAnsi" w:eastAsia="Arial" w:hAnsiTheme="majorHAnsi" w:cs="Arial"/>
          <w:noProof/>
          <w:color w:val="000000"/>
        </w:rPr>
      </w:pPr>
      <w:r>
        <w:rPr>
          <w:rFonts w:asciiTheme="majorHAnsi" w:hAnsiTheme="majorHAnsi"/>
          <w:noProof/>
        </w:rPr>
        <w:t>Ja sakarā ar nenoteiktību par tiesību aktu noteikšanu ir vajadzīga saziņa starp institūcijām vai iestādēm divās vai vairākās va</w:t>
      </w:r>
      <w:r>
        <w:rPr>
          <w:rFonts w:asciiTheme="majorHAnsi" w:hAnsiTheme="majorHAnsi"/>
          <w:noProof/>
        </w:rPr>
        <w:t xml:space="preserve">lstīs, pēc vienas vai vairāku attiecīgās valsts kompetentās iestādes nozīmēto iestāžu pieprasījuma vai pēc kompetento iestāžu pieprasījuma attiecīgajai personai piemērojamos tiesību aktus nosaka ar savstarpēju vienošanos, ņemot vērā protokola </w:t>
      </w:r>
      <w:r>
        <w:rPr>
          <w:rFonts w:asciiTheme="majorHAnsi" w:hAnsiTheme="majorHAnsi"/>
          <w:noProof/>
          <w:color w:val="000000"/>
        </w:rPr>
        <w:t>SSC.12. pantu</w:t>
      </w:r>
      <w:r>
        <w:rPr>
          <w:rFonts w:asciiTheme="majorHAnsi" w:hAnsiTheme="majorHAnsi"/>
          <w:noProof/>
          <w:color w:val="000000"/>
        </w:rPr>
        <w:t xml:space="preserve"> [Darbības veikšana divās vai vairāk valstīs]</w:t>
      </w:r>
      <w:r>
        <w:rPr>
          <w:rFonts w:asciiTheme="majorHAnsi" w:hAnsiTheme="majorHAnsi"/>
          <w:noProof/>
        </w:rPr>
        <w:t xml:space="preserve"> un šā pielikuma SSC.13. panta [Precizējumi attiecībā uz protokola SSC.11. pantu [Norīkotie darba ņēmēji] un SSC.12. pantu [Darbības veikšana divās vai vairāk valstīs]] attiecīgos noteikumus.</w:t>
      </w:r>
      <w:r>
        <w:rPr>
          <w:rFonts w:asciiTheme="majorHAnsi" w:hAnsiTheme="majorHAnsi"/>
          <w:noProof/>
          <w:color w:val="000000"/>
        </w:rPr>
        <w:t xml:space="preserve">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Ja attiecīgo insti</w:t>
      </w:r>
      <w:r>
        <w:rPr>
          <w:rFonts w:asciiTheme="majorHAnsi" w:hAnsiTheme="majorHAnsi"/>
          <w:noProof/>
          <w:color w:val="000000"/>
        </w:rPr>
        <w:t xml:space="preserve">tūciju vai kompetento iestāžu viedokļi atšķiras, šīs iestādes mēģina vienoties saskaņā ar iepriekš minētajiem nosacījumiem, un piemēro šā pielikuma SSCI.6. pantu [Tiesību aktu provizoriska piemērošana un pabalstu provizoriska piešķiršana]. </w:t>
      </w:r>
    </w:p>
    <w:p w:rsidR="003E022D" w:rsidRDefault="007D19D6">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Tās valsts komp</w:t>
      </w:r>
      <w:r>
        <w:rPr>
          <w:rFonts w:asciiTheme="majorHAnsi" w:hAnsiTheme="majorHAnsi"/>
          <w:noProof/>
          <w:color w:val="000000"/>
        </w:rPr>
        <w:t xml:space="preserve">etentā iestāde, kuras tiesību akti ir noteikti par piemērojamiem vai nu provizoriski, vai galīgi, nekavējoties paziņo to attiecīgajai personai. </w:t>
      </w:r>
    </w:p>
    <w:p w:rsidR="003E022D" w:rsidRDefault="007D19D6">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Ja attiecīgā persona nesniedz 1. punktā minēto informāciju, šo pantu piemēro pēc tās dzīvesvietas valsts kompet</w:t>
      </w:r>
      <w:r>
        <w:rPr>
          <w:rFonts w:asciiTheme="majorHAnsi" w:hAnsiTheme="majorHAnsi"/>
          <w:noProof/>
          <w:color w:val="000000"/>
        </w:rPr>
        <w:t>entās institūcijas norādītās iestādes iniciatīvas, tiklīdz tā ir novērtējusi šīs personas situāciju, iespējams, ar citas attiecīgās iestādes palīdzību.</w:t>
      </w:r>
    </w:p>
    <w:p w:rsidR="003E022D" w:rsidRDefault="007D19D6">
      <w:pPr>
        <w:pStyle w:val="Article"/>
        <w:rPr>
          <w:noProof/>
        </w:rPr>
      </w:pPr>
      <w:r>
        <w:rPr>
          <w:noProof/>
        </w:rPr>
        <w:t>SSCI.16. pants. Informācijas sniegšana attiecīgajām personām un darba devējiem</w:t>
      </w:r>
    </w:p>
    <w:p w:rsidR="003E022D" w:rsidRDefault="007D19D6">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Tās valsts kompetentā ies</w:t>
      </w:r>
      <w:r>
        <w:rPr>
          <w:rFonts w:asciiTheme="majorHAnsi" w:hAnsiTheme="majorHAnsi"/>
          <w:noProof/>
          <w:color w:val="000000"/>
        </w:rPr>
        <w:t>tāde, kuras tiesību akti kļūst piemērojami, ievērojot protokola II sadaļu [Piemērojamo tiesību aktu noteikšana], informē attiecīgo personu un vajadzības gadījumā tās darba devēju(-us) par pienākumiem, kas noteikti minētajos tiesību aktos. Tā nodrošina viņi</w:t>
      </w:r>
      <w:r>
        <w:rPr>
          <w:rFonts w:asciiTheme="majorHAnsi" w:hAnsiTheme="majorHAnsi"/>
          <w:noProof/>
          <w:color w:val="000000"/>
        </w:rPr>
        <w:t xml:space="preserve">em vajadzīgo palīdzību šajos tiesību aktos paredzēto formalitāšu izpildīšanā. </w:t>
      </w:r>
    </w:p>
    <w:p w:rsidR="003E022D" w:rsidRDefault="007D19D6">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Pēc attiecīgās personas vai darba devēja lūguma tās valsts kompetentā iestāde, kuras tiesību akti ir piemērojami, ievērojot protokola II sadaļu [Piemērojamo tiesību aktu noteikš</w:t>
      </w:r>
      <w:r>
        <w:rPr>
          <w:rFonts w:asciiTheme="majorHAnsi" w:hAnsiTheme="majorHAnsi"/>
          <w:noProof/>
          <w:color w:val="000000"/>
        </w:rPr>
        <w:t xml:space="preserve">ana], nodrošina apliecinājumu, ka šādi tiesību akti ir piemērojami, un vajadzības gadījumā norāda, līdz kuram datumam un ar kādiem nosacījumiem. </w:t>
      </w:r>
    </w:p>
    <w:p w:rsidR="003E022D" w:rsidRDefault="007D19D6">
      <w:pPr>
        <w:pStyle w:val="Article"/>
        <w:rPr>
          <w:noProof/>
        </w:rPr>
      </w:pPr>
      <w:r>
        <w:rPr>
          <w:noProof/>
        </w:rPr>
        <w:t>SSCI.17. pants.  Iestāžu sadarbība</w:t>
      </w:r>
    </w:p>
    <w:p w:rsidR="003E022D" w:rsidRDefault="007D19D6">
      <w:pPr>
        <w:numPr>
          <w:ilvl w:val="0"/>
          <w:numId w:val="1141"/>
        </w:numPr>
        <w:ind w:left="0" w:firstLine="0"/>
        <w:rPr>
          <w:rFonts w:asciiTheme="majorHAnsi" w:eastAsia="Arial" w:hAnsiTheme="majorHAnsi" w:cs="Arial"/>
          <w:noProof/>
          <w:color w:val="000000"/>
        </w:rPr>
      </w:pPr>
      <w:r>
        <w:rPr>
          <w:noProof/>
        </w:rPr>
        <w:t xml:space="preserve">Attiecīgās iestādes tās valsts kompetentajai iestādei, kuras tiesību aktus </w:t>
      </w:r>
      <w:r>
        <w:rPr>
          <w:noProof/>
        </w:rPr>
        <w:t>piemēro personai, ievērojot protokola II sadaļu [Piemērojamo tiesību aktu noteikšana], dara pieejamu informāciju, kas vajadzīga, lai noteiktu dienu, no kuras minētie tiesību akti kļūst piemērojami, un iemaksu apmēru, kuras minētajai personai un tās darba d</w:t>
      </w:r>
      <w:r>
        <w:rPr>
          <w:noProof/>
        </w:rPr>
        <w:t>evējam jāmaksā saskaņā ar minētajiem tiesību aktiem.</w:t>
      </w:r>
      <w:r>
        <w:rPr>
          <w:rFonts w:asciiTheme="majorHAnsi" w:hAnsiTheme="majorHAnsi"/>
          <w:noProof/>
          <w:color w:val="000000"/>
        </w:rPr>
        <w:t xml:space="preserve"> </w:t>
      </w:r>
    </w:p>
    <w:p w:rsidR="003E022D" w:rsidRDefault="007D19D6">
      <w:pPr>
        <w:numPr>
          <w:ilvl w:val="0"/>
          <w:numId w:val="1141"/>
        </w:numPr>
        <w:ind w:left="0" w:firstLine="0"/>
        <w:rPr>
          <w:rFonts w:asciiTheme="majorHAnsi" w:eastAsia="Arial" w:hAnsiTheme="majorHAnsi" w:cs="Arial"/>
          <w:noProof/>
          <w:color w:val="000000"/>
        </w:rPr>
      </w:pPr>
      <w:r>
        <w:rPr>
          <w:noProof/>
        </w:rPr>
        <w:t>Tās valsts kompetentā iestāde, kuras tiesību aktus piemēro personai, ievērojot protokola II sadaļu [Piemērojamo tiesību aktu noteikšana], nodrošina informāciju par dienu, kad šo tiesību aktu piemērošana</w:t>
      </w:r>
      <w:r>
        <w:rPr>
          <w:noProof/>
        </w:rPr>
        <w:t xml:space="preserve"> stājas spēkā, tās valsts kompetentās institūcijas norādītajai iestādei, kuras tiesību aktiem minētā persona bija pakļauta kā pēdējiem.</w:t>
      </w:r>
    </w:p>
    <w:p w:rsidR="003E022D" w:rsidRDefault="007D19D6">
      <w:pPr>
        <w:pStyle w:val="Article"/>
        <w:rPr>
          <w:noProof/>
        </w:rPr>
      </w:pPr>
      <w:r>
        <w:rPr>
          <w:noProof/>
        </w:rPr>
        <w:t>SSCI.18. pants. Sadarbība gadījumā, kad ir šaubas par to izsniegto dokumentu derīgumu, kas attiecas uz piemērojamiem tie</w:t>
      </w:r>
      <w:r>
        <w:rPr>
          <w:noProof/>
        </w:rPr>
        <w:t>sību aktiem</w:t>
      </w:r>
    </w:p>
    <w:p w:rsidR="003E022D" w:rsidRDefault="007D19D6">
      <w:pPr>
        <w:numPr>
          <w:ilvl w:val="0"/>
          <w:numId w:val="1140"/>
        </w:numPr>
        <w:ind w:left="0" w:firstLine="0"/>
        <w:rPr>
          <w:rFonts w:asciiTheme="majorHAnsi" w:eastAsia="Arial" w:hAnsiTheme="majorHAnsi" w:cs="Arial"/>
          <w:noProof/>
          <w:color w:val="000000"/>
        </w:rPr>
      </w:pPr>
      <w:r>
        <w:rPr>
          <w:rFonts w:asciiTheme="majorHAnsi" w:hAnsiTheme="majorHAnsi"/>
          <w:noProof/>
        </w:rPr>
        <w:t>Ja ir šaubas par dokumenta, kas norāda personas stāvokli attiecībā uz piemērojamiem tiesību aktiem, derīgumu vai to faktu pareizību, uz kuriem dokuments balstās, tās valsts iestāde, kas saņem dokumentu, lūdz izdevējiestādei nepieciešamo skaidro</w:t>
      </w:r>
      <w:r>
        <w:rPr>
          <w:rFonts w:asciiTheme="majorHAnsi" w:hAnsiTheme="majorHAnsi"/>
          <w:noProof/>
        </w:rPr>
        <w:t>jumu un vajadzības gadījumā minētā dokumenta atsaukumu vai labojumu.</w:t>
      </w:r>
      <w:r>
        <w:rPr>
          <w:rFonts w:asciiTheme="majorHAnsi" w:hAnsiTheme="majorHAnsi"/>
          <w:noProof/>
          <w:color w:val="000000"/>
        </w:rPr>
        <w:t xml:space="preserve"> Pieprasījuma iesniedzēja iestāde pamato savu lūgumu un iesniedz attiecīgus apliecinošus dokumentus, kuri bija pieprasījuma pamatā. </w:t>
      </w:r>
    </w:p>
    <w:p w:rsidR="003E022D" w:rsidRDefault="007D19D6">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Saņemot šādu pieprasījumu, izdevējiestāde pārskata doku</w:t>
      </w:r>
      <w:r>
        <w:rPr>
          <w:rFonts w:asciiTheme="majorHAnsi" w:hAnsiTheme="majorHAnsi"/>
          <w:noProof/>
          <w:color w:val="000000"/>
        </w:rPr>
        <w:t>menta izsniegšanas pamatojumu un kļūdas konstatēšanas gadījumā 30 darba dienu laikā no pieprasījuma saņemšanas dienas to atsauc vai labo. Atsaukumam vai labojumam ir atpakaļejošs spēks. Tomēr, ja pastāv nesamērīga iznākuma risks un jo īpaši, ja var tikt za</w:t>
      </w:r>
      <w:r>
        <w:rPr>
          <w:rFonts w:asciiTheme="majorHAnsi" w:hAnsiTheme="majorHAnsi"/>
          <w:noProof/>
          <w:color w:val="000000"/>
        </w:rPr>
        <w:t>udēts apdrošinātas personas statuss uz visu attiecīgo periodu vai tā daļu attiecīgajā(-ās) valstī(-īs), valstis apsver samērīgāku risinājumu. Ja pieejamie pierādījumi ļauj izdevējiestādei uzskatīt, ka dokumenta iesniedzējs ir veicis krāpniecisku darbību, t</w:t>
      </w:r>
      <w:r>
        <w:rPr>
          <w:rFonts w:asciiTheme="majorHAnsi" w:hAnsiTheme="majorHAnsi"/>
          <w:noProof/>
          <w:color w:val="000000"/>
        </w:rPr>
        <w:t>ā nekavējoties un ar atpakaļejošu spēku atsauc vai labo dokumentu.</w:t>
      </w:r>
      <w:r>
        <w:rPr>
          <w:rFonts w:asciiTheme="majorHAnsi" w:hAnsiTheme="majorHAnsi"/>
          <w:b/>
          <w:noProof/>
          <w:color w:val="000000"/>
        </w:rPr>
        <w:t xml:space="preserve"> </w:t>
      </w:r>
    </w:p>
    <w:p w:rsidR="003E022D" w:rsidRDefault="007D19D6">
      <w:pPr>
        <w:jc w:val="center"/>
        <w:rPr>
          <w:i/>
          <w:noProof/>
        </w:rPr>
      </w:pPr>
      <w:r>
        <w:rPr>
          <w:noProof/>
        </w:rPr>
        <w:br w:type="page"/>
      </w:r>
      <w:bookmarkStart w:id="1482" w:name="_Toc59110616"/>
      <w:r>
        <w:rPr>
          <w:noProof/>
        </w:rPr>
        <w:t>III SADAĻA. ĪPAŠI NOTEIKUMI PAR DAŽĀDĀM PABALSTU KATEGORIJĀM</w:t>
      </w:r>
      <w:bookmarkEnd w:id="1482"/>
    </w:p>
    <w:p w:rsidR="003E022D" w:rsidRDefault="007D19D6">
      <w:pPr>
        <w:pStyle w:val="Chapter"/>
        <w:rPr>
          <w:b/>
          <w:noProof/>
        </w:rPr>
      </w:pPr>
      <w:r>
        <w:rPr>
          <w:noProof/>
        </w:rPr>
        <w:t>1. NODAĻA. SLIMĪBAS, MATERNITĀTES UN LĪDZVĒRTĪGI PATERNITĀTES PABALSTI</w:t>
      </w:r>
    </w:p>
    <w:p w:rsidR="003E022D" w:rsidRDefault="007D19D6">
      <w:pPr>
        <w:pStyle w:val="Article"/>
        <w:rPr>
          <w:noProof/>
        </w:rPr>
      </w:pPr>
      <w:r>
        <w:rPr>
          <w:noProof/>
        </w:rPr>
        <w:t>SSCI.19. pants.  Vispārēji īstenošanas noteikumi</w:t>
      </w:r>
    </w:p>
    <w:p w:rsidR="003E022D" w:rsidRDefault="007D19D6">
      <w:pPr>
        <w:numPr>
          <w:ilvl w:val="0"/>
          <w:numId w:val="1149"/>
        </w:numPr>
        <w:ind w:left="0" w:firstLine="0"/>
        <w:rPr>
          <w:rFonts w:asciiTheme="majorHAnsi" w:eastAsia="Arial" w:hAnsiTheme="majorHAnsi" w:cs="Arial"/>
          <w:noProof/>
          <w:color w:val="000000"/>
        </w:rPr>
      </w:pPr>
      <w:r>
        <w:rPr>
          <w:rFonts w:asciiTheme="majorHAnsi" w:hAnsiTheme="majorHAnsi"/>
          <w:noProof/>
          <w:color w:val="000000"/>
        </w:rPr>
        <w:t>Kompet</w:t>
      </w:r>
      <w:r>
        <w:rPr>
          <w:rFonts w:asciiTheme="majorHAnsi" w:hAnsiTheme="majorHAnsi"/>
          <w:noProof/>
          <w:color w:val="000000"/>
        </w:rPr>
        <w:t>entās iestādes vai iestādes raugās, lai apdrošinātajām personām būtu darīta pieejama informācija par tādām pabalstu piešķiršanas procedūrām un nosacījumiem, kas attiecas uz pabalstiem natūrā, gadījumā, ja tos nesaņem tās valsts teritorijā, kur atrodas komp</w:t>
      </w:r>
      <w:r>
        <w:rPr>
          <w:rFonts w:asciiTheme="majorHAnsi" w:hAnsiTheme="majorHAnsi"/>
          <w:noProof/>
          <w:color w:val="000000"/>
        </w:rPr>
        <w:t>etentā iestāde.</w:t>
      </w:r>
    </w:p>
    <w:p w:rsidR="003E022D" w:rsidRDefault="007D19D6">
      <w:pPr>
        <w:numPr>
          <w:ilvl w:val="0"/>
          <w:numId w:val="1149"/>
        </w:numPr>
        <w:ind w:left="0" w:firstLine="0"/>
        <w:rPr>
          <w:rFonts w:asciiTheme="majorHAnsi" w:eastAsia="Arial" w:hAnsiTheme="majorHAnsi" w:cs="Arial"/>
          <w:noProof/>
          <w:color w:val="000000"/>
        </w:rPr>
      </w:pPr>
      <w:r>
        <w:rPr>
          <w:rFonts w:asciiTheme="majorHAnsi" w:hAnsiTheme="majorHAnsi"/>
          <w:noProof/>
          <w:color w:val="000000"/>
        </w:rPr>
        <w:t xml:space="preserve">Neatkarīgi no protokola </w:t>
      </w:r>
      <w:r>
        <w:rPr>
          <w:rFonts w:asciiTheme="majorHAnsi" w:hAnsiTheme="majorHAnsi"/>
          <w:noProof/>
        </w:rPr>
        <w:t>SSC.6. panta [Vienlīdzīga attieksme pret pabalstiem, ienākumiem, faktiem vai notikumiem] a) punkta</w:t>
      </w:r>
      <w:r>
        <w:rPr>
          <w:rFonts w:asciiTheme="majorHAnsi" w:hAnsiTheme="majorHAnsi"/>
          <w:noProof/>
          <w:color w:val="000000"/>
        </w:rPr>
        <w:t xml:space="preserve"> valsts var kļūt atbildīga par pabalstu izmaksām saskaņā ar protokolaSSC.20. pantu [Pensijas prasītāji] tikai tad, ja </w:t>
      </w:r>
      <w:r>
        <w:rPr>
          <w:rFonts w:asciiTheme="majorHAnsi" w:hAnsiTheme="majorHAnsi"/>
          <w:noProof/>
          <w:color w:val="000000"/>
        </w:rPr>
        <w:t>apdrošinātā personas ir vai nu pieprasījusi pensiju saskaņā ar šīs valsts tiesību aktiem, vai saskaņā ar noteikumiem no SSC.21. panta [Tiesības uz pabalstiem natūrā saskaņā ar dzīvesvietas valsts tiesību aktiem] līdz SSC.27. pantam [Pensionāru iemaksas] tā</w:t>
      </w:r>
      <w:r>
        <w:rPr>
          <w:rFonts w:asciiTheme="majorHAnsi" w:hAnsiTheme="majorHAnsi"/>
          <w:noProof/>
          <w:color w:val="000000"/>
        </w:rPr>
        <w:t xml:space="preserve"> saņem pensiju saskaņā ar šīs valsts tiesību aktiem</w:t>
      </w:r>
      <w:r>
        <w:rPr>
          <w:rFonts w:asciiTheme="majorHAnsi" w:hAnsiTheme="majorHAnsi"/>
          <w:noProof/>
        </w:rPr>
        <w:t>.</w:t>
      </w:r>
    </w:p>
    <w:p w:rsidR="003E022D" w:rsidRDefault="007D19D6">
      <w:pPr>
        <w:pStyle w:val="Article"/>
        <w:rPr>
          <w:noProof/>
        </w:rPr>
      </w:pPr>
      <w:r>
        <w:rPr>
          <w:noProof/>
        </w:rPr>
        <w:t>SSCI.20. pants. Piemērojamā sistēma, ja dzīvesvietas vai uzturēšanās valstī pastāv vairāk nekā viens režīms</w:t>
      </w:r>
    </w:p>
    <w:p w:rsidR="003E022D" w:rsidRDefault="007D19D6">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rPr>
        <w:t xml:space="preserve">Ja tiesību akti, kas ir spēkā dzīvesvietas vai uzturēšanās dalībvalstī, paredz vairāk nekā vienu apdrošināšanas sistēmu slimības, maternitātes un paternitātes pabalstu gadījumā vairākām apdrošināto personu kategorijām, saskaņā ar protokola </w:t>
      </w:r>
      <w:r>
        <w:rPr>
          <w:rFonts w:asciiTheme="majorHAnsi" w:hAnsiTheme="majorHAnsi"/>
          <w:noProof/>
          <w:color w:val="000000"/>
        </w:rPr>
        <w:t>SSC.15. pantu [</w:t>
      </w:r>
      <w:r>
        <w:rPr>
          <w:rFonts w:asciiTheme="majorHAnsi" w:hAnsiTheme="majorHAnsi"/>
          <w:noProof/>
        </w:rPr>
        <w:t>D</w:t>
      </w:r>
      <w:r>
        <w:rPr>
          <w:rFonts w:asciiTheme="majorHAnsi" w:hAnsiTheme="majorHAnsi"/>
          <w:noProof/>
        </w:rPr>
        <w:t>zīvesvieta valstī, kura nav kompetentā valsts]</w:t>
      </w:r>
      <w:r>
        <w:rPr>
          <w:rFonts w:asciiTheme="majorHAnsi" w:hAnsiTheme="majorHAnsi"/>
          <w:noProof/>
          <w:color w:val="000000"/>
        </w:rPr>
        <w:t>, SSC.17. panta [</w:t>
      </w:r>
      <w:r>
        <w:rPr>
          <w:rFonts w:asciiTheme="majorHAnsi" w:hAnsiTheme="majorHAnsi"/>
          <w:noProof/>
        </w:rPr>
        <w:t>Uzturēšanās ārpus kompetentās valsts] 1. punktu</w:t>
      </w:r>
      <w:r>
        <w:rPr>
          <w:rFonts w:asciiTheme="majorHAnsi" w:hAnsiTheme="majorHAnsi"/>
          <w:noProof/>
          <w:color w:val="000000"/>
        </w:rPr>
        <w:t>, SSC.18. pantu</w:t>
      </w:r>
      <w:r>
        <w:rPr>
          <w:rFonts w:asciiTheme="majorHAnsi" w:hAnsiTheme="majorHAnsi"/>
          <w:noProof/>
        </w:rPr>
        <w:t xml:space="preserve"> [</w:t>
      </w:r>
      <w:r>
        <w:rPr>
          <w:rFonts w:asciiTheme="majorHAnsi" w:hAnsiTheme="majorHAnsi"/>
          <w:noProof/>
          <w:color w:val="000000"/>
        </w:rPr>
        <w:t>Ceļojums ar nolūku saņemt pabalstus natūrā — atļauja saņemt piemērotu ārstēšanu ārpus dzīvesvietas valsts], SSC.20. pantu [</w:t>
      </w:r>
      <w:r>
        <w:rPr>
          <w:rFonts w:asciiTheme="majorHAnsi" w:hAnsiTheme="majorHAnsi"/>
          <w:noProof/>
        </w:rPr>
        <w:t>Pensij</w:t>
      </w:r>
      <w:r>
        <w:rPr>
          <w:rFonts w:asciiTheme="majorHAnsi" w:hAnsiTheme="majorHAnsi"/>
          <w:noProof/>
        </w:rPr>
        <w:t>as prasītāji], SSC.22. pantu [Tiesību uz pabalstiem natūrā neesība saskaņā ar dzīvesvietas valsts tiesību aktiem] un SSC.24. pantu [Ģimenes locekļu dzīvesvieta valstī, kurā nedzīvo pensionārs]</w:t>
      </w:r>
      <w:r>
        <w:rPr>
          <w:rFonts w:asciiTheme="majorHAnsi" w:hAnsiTheme="majorHAnsi"/>
          <w:noProof/>
          <w:color w:val="000000"/>
        </w:rPr>
        <w:t xml:space="preserve"> piemēro tās normas, kas attiecas uz algoto darbinieku vispārējo</w:t>
      </w:r>
      <w:r>
        <w:rPr>
          <w:rFonts w:asciiTheme="majorHAnsi" w:hAnsiTheme="majorHAnsi"/>
          <w:noProof/>
          <w:color w:val="000000"/>
        </w:rPr>
        <w:t xml:space="preserve"> sistēmu </w:t>
      </w:r>
    </w:p>
    <w:p w:rsidR="003E022D" w:rsidRDefault="007D19D6">
      <w:pPr>
        <w:pStyle w:val="Article"/>
        <w:rPr>
          <w:noProof/>
        </w:rPr>
      </w:pPr>
      <w:r>
        <w:rPr>
          <w:noProof/>
        </w:rPr>
        <w:t>SSCI.21. pants.  Dzīvesvieta valstī, kura nav kompetentā valsts</w:t>
      </w:r>
    </w:p>
    <w:p w:rsidR="003E022D" w:rsidRDefault="007D19D6">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Procedūra un tiesību tvērums</w:t>
      </w:r>
    </w:p>
    <w:p w:rsidR="003E022D" w:rsidRDefault="007D19D6">
      <w:pPr>
        <w:numPr>
          <w:ilvl w:val="0"/>
          <w:numId w:val="1148"/>
        </w:numPr>
        <w:ind w:left="0" w:firstLine="0"/>
        <w:rPr>
          <w:rFonts w:asciiTheme="majorHAnsi" w:eastAsia="Arial" w:hAnsiTheme="majorHAnsi" w:cs="Arial"/>
          <w:noProof/>
          <w:color w:val="000000"/>
        </w:rPr>
      </w:pPr>
      <w:r>
        <w:rPr>
          <w:rFonts w:asciiTheme="majorHAnsi" w:hAnsiTheme="majorHAnsi"/>
          <w:noProof/>
        </w:rPr>
        <w:t xml:space="preserve">Lai piemērotu protokola </w:t>
      </w:r>
      <w:r>
        <w:rPr>
          <w:rFonts w:asciiTheme="majorHAnsi" w:hAnsiTheme="majorHAnsi"/>
          <w:noProof/>
          <w:color w:val="000000"/>
        </w:rPr>
        <w:t>SSC.15. pantu [Dzīvesvieta valstī, kura nav kompetentā valsts]</w:t>
      </w:r>
      <w:r>
        <w:rPr>
          <w:rFonts w:asciiTheme="majorHAnsi" w:hAnsiTheme="majorHAnsi"/>
          <w:noProof/>
        </w:rPr>
        <w:t>, apdrošinātajai personai vai minētās personas ģimenes locekļiem ir</w:t>
      </w:r>
      <w:r>
        <w:rPr>
          <w:rFonts w:asciiTheme="majorHAnsi" w:hAnsiTheme="majorHAnsi"/>
          <w:noProof/>
        </w:rPr>
        <w:t xml:space="preserve"> jāreģistrējas dzīvesvietas iestādē.</w:t>
      </w:r>
      <w:r>
        <w:rPr>
          <w:rFonts w:asciiTheme="majorHAnsi" w:hAnsiTheme="majorHAnsi"/>
          <w:noProof/>
          <w:color w:val="000000"/>
        </w:rPr>
        <w:t xml:space="preserve"> Tiesības uz pabalstiem natūrā dzīvesvietas valstī apstiprina ar dokumentu, ko pēc apdrošinātās personas vai pēc dzīvesvietas iestādes pieprasījuma izdod kompetentā iestāde.</w:t>
      </w:r>
    </w:p>
    <w:p w:rsidR="003E022D" w:rsidRDefault="007D19D6">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Dokuments, kas minēts 1. punktā, ir derīgs, ka</w:t>
      </w:r>
      <w:r>
        <w:rPr>
          <w:rFonts w:asciiTheme="majorHAnsi" w:hAnsiTheme="majorHAnsi"/>
          <w:noProof/>
          <w:color w:val="000000"/>
        </w:rPr>
        <w:t>mēr kompetentā iestāde paziņo dzīvesvietas iestādei par tā anulēšanu.</w:t>
      </w:r>
    </w:p>
    <w:p w:rsidR="003E022D" w:rsidRDefault="007D19D6">
      <w:pPr>
        <w:pBdr>
          <w:top w:val="nil"/>
          <w:left w:val="nil"/>
          <w:bottom w:val="nil"/>
          <w:right w:val="nil"/>
          <w:between w:val="nil"/>
        </w:pBdr>
        <w:spacing w:after="0"/>
        <w:rPr>
          <w:rFonts w:asciiTheme="majorHAnsi" w:eastAsia="Arial" w:hAnsiTheme="majorHAnsi" w:cs="Arial"/>
          <w:noProof/>
          <w:color w:val="000000"/>
        </w:rPr>
      </w:pPr>
      <w:r>
        <w:rPr>
          <w:rFonts w:asciiTheme="majorHAnsi" w:hAnsiTheme="majorHAnsi"/>
          <w:noProof/>
          <w:color w:val="000000"/>
        </w:rPr>
        <w:t>Dzīvesvietas iestāde informē kompetento iestādi par katru ierakstu saskaņā ar 1. punktu un par katra ieraksta izmaiņām vai atcelšanu.</w:t>
      </w:r>
    </w:p>
    <w:p w:rsidR="003E022D" w:rsidRDefault="003E022D">
      <w:pPr>
        <w:pBdr>
          <w:top w:val="nil"/>
          <w:left w:val="nil"/>
          <w:bottom w:val="nil"/>
          <w:right w:val="nil"/>
          <w:between w:val="nil"/>
        </w:pBdr>
        <w:spacing w:after="0"/>
        <w:rPr>
          <w:rFonts w:asciiTheme="majorHAnsi" w:eastAsia="Arial" w:hAnsiTheme="majorHAnsi" w:cs="Arial"/>
          <w:noProof/>
          <w:color w:val="000000"/>
        </w:rPr>
      </w:pPr>
    </w:p>
    <w:p w:rsidR="003E022D" w:rsidRDefault="007D19D6">
      <w:pPr>
        <w:numPr>
          <w:ilvl w:val="0"/>
          <w:numId w:val="1148"/>
        </w:numPr>
        <w:ind w:left="0" w:firstLine="0"/>
        <w:rPr>
          <w:rFonts w:asciiTheme="majorHAnsi" w:eastAsia="Arial" w:hAnsiTheme="majorHAnsi" w:cs="Arial"/>
          <w:noProof/>
          <w:color w:val="000000"/>
        </w:rPr>
      </w:pPr>
      <w:r>
        <w:rPr>
          <w:rFonts w:asciiTheme="majorHAnsi" w:hAnsiTheme="majorHAnsi"/>
          <w:noProof/>
        </w:rPr>
        <w:t>Šo pantu pēc analoģijas piemēro personām, kas minēt</w:t>
      </w:r>
      <w:r>
        <w:rPr>
          <w:rFonts w:asciiTheme="majorHAnsi" w:hAnsiTheme="majorHAnsi"/>
          <w:noProof/>
        </w:rPr>
        <w:t xml:space="preserve">as protokola </w:t>
      </w:r>
      <w:r>
        <w:rPr>
          <w:rFonts w:asciiTheme="majorHAnsi" w:hAnsiTheme="majorHAnsi"/>
          <w:noProof/>
          <w:color w:val="000000"/>
        </w:rPr>
        <w:t xml:space="preserve">SSC.20. pantā [Pensiju prasītāji], SSC.22. pantā </w:t>
      </w:r>
      <w:r>
        <w:rPr>
          <w:rFonts w:asciiTheme="majorHAnsi" w:hAnsiTheme="majorHAnsi"/>
          <w:noProof/>
        </w:rPr>
        <w:t xml:space="preserve">[Tiesību uz pabalstiem natūrā neesība saskaņā ar dzīvesvietas valsts tiesību aktiem] un SSC.23. pantā [ Pensijas saskaņā ar vienas vai vairāku tādu valstu tiesību aktiem, kuras nav dzīvesvietas </w:t>
      </w:r>
      <w:r>
        <w:rPr>
          <w:rFonts w:asciiTheme="majorHAnsi" w:hAnsiTheme="majorHAnsi"/>
          <w:noProof/>
        </w:rPr>
        <w:t>valstis, ja ir tiesības uz pabalstiem natūrā dzīvesvietas valstī], SSC.24. pantā [Ģimenes locekļu dzīvesvieta valstī, kurā nedzīvo pensionārs]</w:t>
      </w:r>
    </w:p>
    <w:p w:rsidR="003E022D" w:rsidRDefault="007D19D6">
      <w:pPr>
        <w:rPr>
          <w:rFonts w:asciiTheme="majorHAnsi" w:eastAsia="Arial" w:hAnsiTheme="majorHAnsi" w:cs="Arial"/>
          <w:i/>
          <w:noProof/>
          <w:color w:val="000000"/>
        </w:rPr>
      </w:pPr>
      <w:r>
        <w:rPr>
          <w:rFonts w:asciiTheme="majorHAnsi" w:hAnsiTheme="majorHAnsi"/>
          <w:i/>
          <w:noProof/>
          <w:color w:val="000000"/>
        </w:rPr>
        <w:t xml:space="preserve">Atmaksāšana </w:t>
      </w:r>
    </w:p>
    <w:p w:rsidR="003E022D" w:rsidRDefault="007D19D6">
      <w:pPr>
        <w:numPr>
          <w:ilvl w:val="0"/>
          <w:numId w:val="1148"/>
        </w:numPr>
        <w:ind w:left="0" w:firstLine="0"/>
        <w:rPr>
          <w:rFonts w:asciiTheme="majorHAnsi" w:eastAsia="Arial" w:hAnsiTheme="majorHAnsi" w:cs="Arial"/>
          <w:noProof/>
          <w:color w:val="000000"/>
        </w:rPr>
      </w:pPr>
      <w:r>
        <w:rPr>
          <w:rFonts w:asciiTheme="majorHAnsi" w:hAnsiTheme="majorHAnsi"/>
          <w:noProof/>
        </w:rPr>
        <w:t>Ja personai vai minētās personas ģimenes locekļiem:</w:t>
      </w:r>
    </w:p>
    <w:p w:rsidR="003E022D" w:rsidRDefault="007D19D6">
      <w:pPr>
        <w:numPr>
          <w:ilvl w:val="0"/>
          <w:numId w:val="1144"/>
        </w:numPr>
        <w:ind w:left="567" w:hanging="567"/>
        <w:rPr>
          <w:rFonts w:asciiTheme="majorHAnsi" w:eastAsia="Arial" w:hAnsiTheme="majorHAnsi" w:cs="Arial"/>
          <w:noProof/>
          <w:color w:val="000000"/>
        </w:rPr>
      </w:pPr>
      <w:r>
        <w:rPr>
          <w:rFonts w:asciiTheme="majorHAnsi" w:hAnsiTheme="majorHAnsi"/>
          <w:noProof/>
        </w:rPr>
        <w:t>ir izsniegts 1. punktā minētais dokuments,</w:t>
      </w:r>
      <w:r>
        <w:rPr>
          <w:rFonts w:asciiTheme="majorHAnsi" w:hAnsiTheme="majorHAnsi"/>
          <w:noProof/>
          <w:color w:val="000000"/>
        </w:rPr>
        <w:t xml:space="preserve"> </w:t>
      </w:r>
    </w:p>
    <w:p w:rsidR="003E022D" w:rsidRDefault="007D19D6">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viņi</w:t>
      </w:r>
      <w:r>
        <w:rPr>
          <w:rFonts w:asciiTheme="majorHAnsi" w:hAnsiTheme="majorHAnsi"/>
          <w:noProof/>
          <w:color w:val="000000"/>
        </w:rPr>
        <w:t xml:space="preserve"> ir reģistrējuši šo dokumentu dzīvesvietas iestādē saskaņā ar 1. punktu, un</w:t>
      </w:r>
    </w:p>
    <w:p w:rsidR="003E022D" w:rsidRDefault="007D19D6">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persona vai tās ģimenes locekļi dzīvesvietas valstij ir samaksājuši veselības aprūpes maksu vai tā ir samaksāta viņu vārdā kā daļa no pieteikuma atļaujai ieceļot, uzturēties, strād</w:t>
      </w:r>
      <w:r>
        <w:rPr>
          <w:rFonts w:asciiTheme="majorHAnsi" w:hAnsiTheme="majorHAnsi"/>
          <w:noProof/>
          <w:color w:val="000000"/>
        </w:rPr>
        <w:t>āt vai dzīvot šajā valstī,</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šī persona vai tās ģimenes locekļi var vērsties dzīvesvietas valsts iestādē, lai saņemtu samaksātās veselības aprūpes maksas atmaksu (atkarībā no situācijas – pilnībā vai daļēji). </w:t>
      </w:r>
    </w:p>
    <w:p w:rsidR="003E022D" w:rsidRDefault="007D19D6">
      <w:pPr>
        <w:rPr>
          <w:noProof/>
        </w:rPr>
      </w:pPr>
      <w:r>
        <w:rPr>
          <w:rFonts w:asciiTheme="majorHAnsi" w:hAnsiTheme="majorHAnsi"/>
          <w:noProof/>
          <w:color w:val="000000"/>
        </w:rPr>
        <w:t xml:space="preserve">4. </w:t>
      </w:r>
      <w:r>
        <w:rPr>
          <w:rFonts w:asciiTheme="majorHAnsi" w:hAnsiTheme="majorHAnsi"/>
          <w:noProof/>
        </w:rPr>
        <w:t xml:space="preserve">Ja pieprasījums ir iesniegts saskaņā ar </w:t>
      </w:r>
      <w:r>
        <w:rPr>
          <w:rFonts w:asciiTheme="majorHAnsi" w:hAnsiTheme="majorHAnsi"/>
          <w:noProof/>
        </w:rPr>
        <w:t>1. punktu, dzīvesvietas valsts iestāde izskata šo pieprasījumu trīs kalendāro mēnešu laikā, sākot no pieprasījuma saņemšanas dienas, un veic atmaksāšanu saskaņā ar šo pantu.</w:t>
      </w:r>
      <w:r>
        <w:rPr>
          <w:noProof/>
        </w:rPr>
        <w:t xml:space="preserve"> </w:t>
      </w:r>
    </w:p>
    <w:p w:rsidR="003E022D" w:rsidRDefault="007D19D6">
      <w:pPr>
        <w:rPr>
          <w:rFonts w:asciiTheme="majorHAnsi" w:eastAsia="Arial" w:hAnsiTheme="majorHAnsi" w:cs="Arial"/>
          <w:noProof/>
          <w:color w:val="000000"/>
        </w:rPr>
      </w:pPr>
      <w:r>
        <w:rPr>
          <w:rFonts w:asciiTheme="majorHAnsi" w:hAnsiTheme="majorHAnsi"/>
          <w:noProof/>
          <w:color w:val="000000"/>
        </w:rPr>
        <w:t>5. Ja 1. punktā minētā dokumenta derīguma termiņš ir īsāks par laikposmu, par kur</w:t>
      </w:r>
      <w:r>
        <w:rPr>
          <w:rFonts w:asciiTheme="majorHAnsi" w:hAnsiTheme="majorHAnsi"/>
          <w:noProof/>
          <w:color w:val="000000"/>
        </w:rPr>
        <w:t>u ir samaksāta veselības aprūpes maksa, atmaksātā summa nepārsniedz to veselības aprūpes maksas daļu, kas atbilst laikposmam, par kuru dokuments ir izsniegts.</w:t>
      </w:r>
    </w:p>
    <w:p w:rsidR="003E022D" w:rsidRDefault="007D19D6">
      <w:pPr>
        <w:rPr>
          <w:rFonts w:asciiTheme="majorHAnsi" w:eastAsia="Arial" w:hAnsiTheme="majorHAnsi" w:cs="Arial"/>
          <w:noProof/>
          <w:color w:val="000000"/>
        </w:rPr>
      </w:pPr>
      <w:r>
        <w:rPr>
          <w:rFonts w:asciiTheme="majorHAnsi" w:hAnsiTheme="majorHAnsi"/>
          <w:noProof/>
          <w:color w:val="000000"/>
        </w:rPr>
        <w:t>6. Ja veselības aprūpes maksu tādas personas vārdā, uz kuru attiecas šis pants, ir samaksājusi ci</w:t>
      </w:r>
      <w:r>
        <w:rPr>
          <w:rFonts w:asciiTheme="majorHAnsi" w:hAnsiTheme="majorHAnsi"/>
          <w:noProof/>
          <w:color w:val="000000"/>
        </w:rPr>
        <w:t>ta persona, atmaksāt var šai citai personai.</w:t>
      </w:r>
    </w:p>
    <w:p w:rsidR="003E022D" w:rsidRDefault="007D19D6">
      <w:pPr>
        <w:pStyle w:val="Article"/>
        <w:rPr>
          <w:noProof/>
        </w:rPr>
      </w:pPr>
      <w:r>
        <w:rPr>
          <w:noProof/>
        </w:rPr>
        <w:t>SSCI.22. pants. Uzturēšanās valstī, kura nav kompetentā valsts</w:t>
      </w:r>
    </w:p>
    <w:p w:rsidR="003E022D" w:rsidRDefault="007D19D6">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Procedūra un tiesību tvērums </w:t>
      </w:r>
    </w:p>
    <w:p w:rsidR="003E022D" w:rsidRDefault="007D19D6">
      <w:pPr>
        <w:numPr>
          <w:ilvl w:val="0"/>
          <w:numId w:val="1150"/>
        </w:numPr>
        <w:ind w:left="0" w:firstLine="0"/>
        <w:rPr>
          <w:rFonts w:asciiTheme="majorHAnsi" w:eastAsia="Arial" w:hAnsiTheme="majorHAnsi" w:cs="Arial"/>
          <w:noProof/>
          <w:color w:val="000000"/>
        </w:rPr>
      </w:pPr>
      <w:r>
        <w:rPr>
          <w:noProof/>
        </w:rPr>
        <w:t>Piemērojot protokola SSC.17. pantu [Uzturēšanās ārpus kompetentās valsts], apdrošinātā persona iesniedz veselības aprū</w:t>
      </w:r>
      <w:r>
        <w:rPr>
          <w:noProof/>
        </w:rPr>
        <w:t>pes sniedzējam uzturēšanās valstī tiesības apliecinošu dokumentu, ko izdevusi kompetentā iestāde un kurā ir norādītas personas tiesības uz pabalstu natūrā.</w:t>
      </w:r>
      <w:r>
        <w:rPr>
          <w:rFonts w:asciiTheme="majorHAnsi" w:hAnsiTheme="majorHAnsi"/>
          <w:noProof/>
          <w:color w:val="000000"/>
        </w:rPr>
        <w:t xml:space="preserve"> Ja apdrošinātajai personai šāda dokumenta nav, uzturēšanās vietas iestāde pēc lūguma vai citā vajadzības gadījumā vēršas pie kompetentās iestādes, lai to iegūtu.</w:t>
      </w:r>
    </w:p>
    <w:p w:rsidR="003E022D" w:rsidRDefault="007D19D6">
      <w:pPr>
        <w:numPr>
          <w:ilvl w:val="0"/>
          <w:numId w:val="1150"/>
        </w:numPr>
        <w:ind w:left="0" w:firstLine="0"/>
        <w:rPr>
          <w:rFonts w:asciiTheme="majorHAnsi" w:eastAsia="Arial" w:hAnsiTheme="majorHAnsi" w:cs="Arial"/>
          <w:noProof/>
          <w:color w:val="000000"/>
        </w:rPr>
      </w:pPr>
      <w:r>
        <w:rPr>
          <w:noProof/>
        </w:rPr>
        <w:t xml:space="preserve">Dokumentā norāda, ka apdrošinātajai personai saskaņā ar protokola SSC.17. pantā [Uzturēšanās </w:t>
      </w:r>
      <w:r>
        <w:rPr>
          <w:noProof/>
        </w:rPr>
        <w:t xml:space="preserve">ārpus kompetentās valsts] izklāstītajiem nosacījumiem ir tiesības uz pabalstu natūrā ar tādiem pašiem noteikumiem, ko piemēro personām, kuras apdrošinātas saskaņā ar uzturēšanās valsts tiesību aktiem, un tas atbilst </w:t>
      </w:r>
      <w:r>
        <w:rPr>
          <w:noProof/>
          <w:color w:val="000000"/>
        </w:rPr>
        <w:t>SSCI.2. papildinājuma</w:t>
      </w:r>
      <w:r>
        <w:rPr>
          <w:noProof/>
        </w:rPr>
        <w:t xml:space="preserve"> prasībām.</w:t>
      </w:r>
    </w:p>
    <w:p w:rsidR="003E022D" w:rsidRDefault="007D19D6">
      <w:pPr>
        <w:numPr>
          <w:ilvl w:val="0"/>
          <w:numId w:val="1150"/>
        </w:numPr>
        <w:ind w:left="0" w:firstLine="0"/>
        <w:rPr>
          <w:rFonts w:asciiTheme="majorHAnsi" w:eastAsia="Arial" w:hAnsiTheme="majorHAnsi" w:cs="Arial"/>
          <w:noProof/>
          <w:color w:val="000000"/>
        </w:rPr>
      </w:pPr>
      <w:r>
        <w:rPr>
          <w:noProof/>
        </w:rPr>
        <w:t>Protokol</w:t>
      </w:r>
      <w:r>
        <w:rPr>
          <w:noProof/>
        </w:rPr>
        <w:t xml:space="preserve">a </w:t>
      </w:r>
      <w:r>
        <w:rPr>
          <w:noProof/>
          <w:color w:val="000000"/>
        </w:rPr>
        <w:t>SSC.17. panta [Uzturēšanās ārpus kompetentās valsts] 1. punktā</w:t>
      </w:r>
      <w:r>
        <w:rPr>
          <w:noProof/>
        </w:rPr>
        <w:t xml:space="preserve"> minētie pabalsti natūrā attiecas uz pabalstiem natūrā, kas ir piešķirti uzturēšanās valstī saskaņā ar tās tiesību aktiem un kas kļūst vajadzīgi medicīnisku iemeslu dēļ, lai apdrošinātā person</w:t>
      </w:r>
      <w:r>
        <w:rPr>
          <w:noProof/>
        </w:rPr>
        <w:t>a nebūtu spiesta pirms tā termiņa beigām, ko tā paredzējusi pavadīt attiecīgajā valstī, atgriezties kompetentajā dalībvalstī, lai tur saņemtu vajadzīgo veselības aprūpi.</w:t>
      </w:r>
    </w:p>
    <w:p w:rsidR="003E022D" w:rsidRDefault="007D19D6">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Izdevumu segšanas un pabalstu natūrā atmaksājumu procedūra un pasākumi </w:t>
      </w:r>
    </w:p>
    <w:p w:rsidR="003E022D" w:rsidRDefault="007D19D6">
      <w:pPr>
        <w:numPr>
          <w:ilvl w:val="0"/>
          <w:numId w:val="1150"/>
        </w:numPr>
        <w:ind w:left="0" w:firstLine="0"/>
        <w:rPr>
          <w:rFonts w:asciiTheme="majorHAnsi" w:eastAsia="Arial" w:hAnsiTheme="majorHAnsi" w:cs="Arial"/>
          <w:noProof/>
          <w:color w:val="000000"/>
        </w:rPr>
      </w:pPr>
      <w:r>
        <w:rPr>
          <w:rFonts w:asciiTheme="majorHAnsi" w:hAnsiTheme="majorHAnsi"/>
          <w:noProof/>
        </w:rPr>
        <w:t>Ja apdrošinātā</w:t>
      </w:r>
      <w:r>
        <w:rPr>
          <w:rFonts w:asciiTheme="majorHAnsi" w:hAnsiTheme="majorHAnsi"/>
          <w:noProof/>
        </w:rPr>
        <w:t xml:space="preserve"> persona ir faktiski pilnīgi vai daļēji segusi izdevumus par sniegtajiem pabalstiem natūrā saskaņā ar protokola </w:t>
      </w:r>
      <w:r>
        <w:rPr>
          <w:rFonts w:asciiTheme="majorHAnsi" w:hAnsiTheme="majorHAnsi"/>
          <w:noProof/>
          <w:color w:val="000000"/>
        </w:rPr>
        <w:t>SSC.17. pantu [Uzturēšanās ārpus kompetentās valsts]</w:t>
      </w:r>
      <w:r>
        <w:rPr>
          <w:rFonts w:asciiTheme="majorHAnsi" w:hAnsiTheme="majorHAnsi"/>
          <w:noProof/>
        </w:rPr>
        <w:t xml:space="preserve"> un ja tiesību akti, ko piemēro uzturēšanās iestāde, ļauj šos izdevumus apdrošinātajai perso</w:t>
      </w:r>
      <w:r>
        <w:rPr>
          <w:rFonts w:asciiTheme="majorHAnsi" w:hAnsiTheme="majorHAnsi"/>
          <w:noProof/>
        </w:rPr>
        <w:t>nai atmaksāt, tā var nosūtīt pieprasījumu par izdevumu segšanu uzturēšanās vietas iestādei.</w:t>
      </w:r>
      <w:r>
        <w:rPr>
          <w:rFonts w:asciiTheme="majorHAnsi" w:hAnsiTheme="majorHAnsi"/>
          <w:noProof/>
          <w:color w:val="000000"/>
        </w:rPr>
        <w:t xml:space="preserve"> Šajā gadījumā minētā iestāde tieši minētajai personai atmaksā izmaksas, kas atbilst šiem pabalstiem, ievērojot attiecīgās dalībvalsts tiesību aktos paredzētos ierob</w:t>
      </w:r>
      <w:r>
        <w:rPr>
          <w:rFonts w:asciiTheme="majorHAnsi" w:hAnsiTheme="majorHAnsi"/>
          <w:noProof/>
          <w:color w:val="000000"/>
        </w:rPr>
        <w:t>ežojumus un saskaņā ar atmaksājumu likmju nosacījumiem.</w:t>
      </w:r>
    </w:p>
    <w:p w:rsidR="003E022D" w:rsidRDefault="007D19D6">
      <w:pPr>
        <w:numPr>
          <w:ilvl w:val="0"/>
          <w:numId w:val="1150"/>
        </w:numPr>
        <w:ind w:left="0" w:firstLine="0"/>
        <w:rPr>
          <w:rFonts w:asciiTheme="majorHAnsi" w:eastAsia="Arial" w:hAnsiTheme="majorHAnsi" w:cs="Arial"/>
          <w:noProof/>
          <w:color w:val="000000"/>
        </w:rPr>
      </w:pPr>
      <w:r>
        <w:rPr>
          <w:noProof/>
        </w:rPr>
        <w:t xml:space="preserve">Ja šādu izmaksu atmaksāšana nav prasīta tieši uzturēšanās vietas iestādē, aprēķinātās izmaksas attiecīgajai personai atmaksā kompetentā iestāde saskaņā ar atmaksājuma tarifiem, ko izmanto uzturēšanās </w:t>
      </w:r>
      <w:r>
        <w:rPr>
          <w:noProof/>
        </w:rPr>
        <w:t xml:space="preserve">vietas iestāde, vai summas, ko uzturēšanās vietas iestādei būtu bijis jāatmaksā, ja attiecīgā gadījumā būtu piemērots šā </w:t>
      </w:r>
      <w:r>
        <w:rPr>
          <w:rFonts w:asciiTheme="majorHAnsi" w:hAnsiTheme="majorHAnsi"/>
          <w:noProof/>
          <w:color w:val="000000"/>
        </w:rPr>
        <w:t>pielikuma SSCI.47. pants [Principi]</w:t>
      </w:r>
      <w:r>
        <w:rPr>
          <w:noProof/>
        </w:rPr>
        <w:t>.</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Uzturēšanās vietas iestāde sniedz kompetentajai iestādei pēc tās lūguma vajadzīgo informāciju par </w:t>
      </w:r>
      <w:r>
        <w:rPr>
          <w:rFonts w:asciiTheme="majorHAnsi" w:hAnsiTheme="majorHAnsi"/>
          <w:noProof/>
          <w:color w:val="000000"/>
        </w:rPr>
        <w:t xml:space="preserve">šiem tarifiem vai summām. </w:t>
      </w:r>
    </w:p>
    <w:p w:rsidR="003E022D" w:rsidRDefault="007D19D6">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Atkāpjoties no 5. punkta, kompetentā iestāde var atmaksāt aprēķinātās izmaksas atbilstīgi ierobežojumiem un saskaņā ar atmaksāšanas tarifu nosacījumiem, kas noteikti attiecīgās valsts tiesību aktos, ar noteikumu, ka apdrošinātā p</w:t>
      </w:r>
      <w:r>
        <w:rPr>
          <w:rFonts w:asciiTheme="majorHAnsi" w:hAnsiTheme="majorHAnsi"/>
          <w:noProof/>
          <w:color w:val="000000"/>
        </w:rPr>
        <w:t>ersona ir devusi savu piekrišanu šā noteikuma piemērošanai.</w:t>
      </w:r>
    </w:p>
    <w:p w:rsidR="003E022D" w:rsidRDefault="007D19D6">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Ja attiecīgajā gadījumā uzturēšanās valsts tiesību aktos nav paredzēta atmaksāšana saskaņā ar 4. un 5. punktu, kompetentā iestāde var atmaksāt izmaksas atbilstīgi attiecīgās valsts tiesību aktos p</w:t>
      </w:r>
      <w:r>
        <w:rPr>
          <w:rFonts w:asciiTheme="majorHAnsi" w:hAnsiTheme="majorHAnsi"/>
          <w:noProof/>
          <w:color w:val="000000"/>
        </w:rPr>
        <w:t>aredzētajiem ierobežojumiem un saskaņā ar atmaksāšanas tarifu nosacījumiem, un bez apdrošinātās personas piekrišanas.</w:t>
      </w:r>
    </w:p>
    <w:p w:rsidR="003E022D" w:rsidRDefault="007D19D6">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Apdrošinātajai personai atmaksātā summa nekādā gadījumā nepārsniedz faktiskās izmaksas.</w:t>
      </w:r>
    </w:p>
    <w:p w:rsidR="003E022D" w:rsidRDefault="007D19D6">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 xml:space="preserve">Būtisku izdevumu gadījumā kompetentā iestāde var izmaksāt apdrošinātajai personai attiecīgu avansu, tiklīdz šī persona iesniegusi iestādei pieteikumu par izdevumu segšanu. </w:t>
      </w:r>
    </w:p>
    <w:p w:rsidR="003E022D" w:rsidRDefault="007D19D6">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Ģimenes locekļi </w:t>
      </w:r>
    </w:p>
    <w:p w:rsidR="003E022D" w:rsidRDefault="007D19D6">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Panta 1. līdz 9. punktu pēc analoģijas piemēro apdrošinātās person</w:t>
      </w:r>
      <w:r>
        <w:rPr>
          <w:rFonts w:asciiTheme="majorHAnsi" w:hAnsiTheme="majorHAnsi"/>
          <w:noProof/>
          <w:color w:val="000000"/>
        </w:rPr>
        <w:t>as ģimenes locekļiem.</w:t>
      </w:r>
    </w:p>
    <w:p w:rsidR="003E022D" w:rsidRDefault="007D19D6">
      <w:pPr>
        <w:spacing w:after="200"/>
        <w:rPr>
          <w:rFonts w:asciiTheme="majorHAnsi" w:hAnsiTheme="majorHAnsi" w:cstheme="majorHAnsi"/>
          <w:i/>
          <w:noProof/>
          <w:color w:val="222222"/>
        </w:rPr>
      </w:pPr>
      <w:r>
        <w:rPr>
          <w:rFonts w:asciiTheme="majorHAnsi" w:hAnsiTheme="majorHAnsi"/>
          <w:i/>
          <w:noProof/>
        </w:rPr>
        <w:t>Atlīdzināšana studentiem</w:t>
      </w:r>
    </w:p>
    <w:p w:rsidR="003E022D" w:rsidRDefault="007D19D6">
      <w:pPr>
        <w:numPr>
          <w:ilvl w:val="0"/>
          <w:numId w:val="1155"/>
        </w:numPr>
        <w:shd w:val="clear" w:color="auto" w:fill="FFFFFF"/>
        <w:spacing w:after="200"/>
        <w:ind w:left="0" w:firstLine="0"/>
        <w:rPr>
          <w:rFonts w:asciiTheme="majorHAnsi" w:hAnsiTheme="majorHAnsi" w:cstheme="majorHAnsi"/>
          <w:noProof/>
        </w:rPr>
      </w:pPr>
      <w:r>
        <w:rPr>
          <w:rFonts w:asciiTheme="majorHAnsi" w:hAnsiTheme="majorHAnsi"/>
          <w:noProof/>
        </w:rPr>
        <w:t>Ja personai:</w:t>
      </w:r>
    </w:p>
    <w:p w:rsidR="003E022D" w:rsidRDefault="007D19D6">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 xml:space="preserve">ir derīgs tiesības apliecinošs dokuments, kas minēts SSCI-2. papildinājumā un ko izdevusi kompetentā iestāde; </w:t>
      </w:r>
    </w:p>
    <w:p w:rsidR="003E022D" w:rsidRDefault="007D19D6">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to ir uzņēmusi kāda augstākās izglītības iestāde valstī, kas nav kompetentā valsts (“</w:t>
      </w:r>
      <w:r>
        <w:rPr>
          <w:rFonts w:asciiTheme="majorHAnsi" w:hAnsiTheme="majorHAnsi"/>
          <w:noProof/>
        </w:rPr>
        <w:t xml:space="preserve">studiju valsts”), ar mērķi apmeklēt pilna laika studijas, lai iegūtu minētās valsts atzītu augstākās izglītības kvalifikāciju, tostarp diplomu, sertifikātu vai doktora grādu augstākās izglītības iestādē, kas var aptvert arī sagatavošanas kursu pirms šādas </w:t>
      </w:r>
      <w:r>
        <w:rPr>
          <w:rFonts w:asciiTheme="majorHAnsi" w:hAnsiTheme="majorHAnsi"/>
          <w:noProof/>
        </w:rPr>
        <w:t>izglītības sākšanas vai obligātu stažēšanos saskaņā ar valsts tiesību aktiem;</w:t>
      </w:r>
    </w:p>
    <w:p w:rsidR="003E022D" w:rsidRDefault="007D19D6">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 xml:space="preserve">persona neveic vai nav veikusi darbību nodarbinātas vai pašnodarbinātas personas statusā studiju valstī laikposmā, uz kuru attiecas veselības aprūpes maksa; un </w:t>
      </w:r>
    </w:p>
    <w:p w:rsidR="003E022D" w:rsidRDefault="007D19D6">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šī persona studij</w:t>
      </w:r>
      <w:r>
        <w:rPr>
          <w:rFonts w:asciiTheme="majorHAnsi" w:hAnsiTheme="majorHAnsi"/>
          <w:noProof/>
        </w:rPr>
        <w:t>u valstij ir samaksājusi veselības aprūpes maksu vai šāda maksa ir samaksāta tās vārdā, iesniedzot pieteikumu atļaujai ieceļot, uzturēties vai dzīvot šajā valstī ar mērķi apmeklēt pilna laika studijas;</w:t>
      </w:r>
    </w:p>
    <w:p w:rsidR="003E022D" w:rsidRDefault="007D19D6">
      <w:pPr>
        <w:shd w:val="clear" w:color="auto" w:fill="FFFFFF"/>
        <w:ind w:left="425"/>
        <w:rPr>
          <w:rFonts w:asciiTheme="majorHAnsi" w:hAnsiTheme="majorHAnsi" w:cstheme="majorHAnsi"/>
          <w:noProof/>
        </w:rPr>
      </w:pPr>
      <w:r>
        <w:rPr>
          <w:rFonts w:asciiTheme="majorHAnsi" w:hAnsiTheme="majorHAnsi"/>
          <w:noProof/>
        </w:rPr>
        <w:t xml:space="preserve">šī persona var vērsties studiju valsts iestādē, lai </w:t>
      </w:r>
      <w:r>
        <w:rPr>
          <w:rFonts w:asciiTheme="majorHAnsi" w:hAnsiTheme="majorHAnsi"/>
          <w:noProof/>
        </w:rPr>
        <w:t>saņemtu samaksātās veselības aprūpes maksas atmaksu (atkarībā no situācijas – pilnībā vai daļēji).</w:t>
      </w:r>
    </w:p>
    <w:p w:rsidR="003E022D" w:rsidRDefault="007D19D6">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Ja pieprasījums ir iesniegts saskaņā ar 11. punktu, studiju valsts iestāde apstrādā un izskata šo pieprasījumu saprātīgā termiņā, bet ne vēlāk kā sešos kalen</w:t>
      </w:r>
      <w:r>
        <w:rPr>
          <w:rFonts w:asciiTheme="majorHAnsi" w:hAnsiTheme="majorHAnsi"/>
          <w:noProof/>
        </w:rPr>
        <w:t>dārajos mēnešos no pieprasījuma saņemšanas dienas, un veic atmaksāšanu saskaņā ar šo pantu.</w:t>
      </w:r>
    </w:p>
    <w:p w:rsidR="003E022D" w:rsidRDefault="007D19D6">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 xml:space="preserve">Ja 11. punkta a) apakšpunktā minētā tiesības apliecinošā dokumenta derīguma termiņš ir īsāks par laikposmu, par kuru ir samaksāta veselības aprūpes maksa, atmaksā </w:t>
      </w:r>
      <w:r>
        <w:rPr>
          <w:rFonts w:asciiTheme="majorHAnsi" w:hAnsiTheme="majorHAnsi"/>
          <w:noProof/>
        </w:rPr>
        <w:t>samaksāto veselības aprūpes maksas daļu, kas atbilst laikposmam, par kuru dokuments ir izsniegts.</w:t>
      </w:r>
    </w:p>
    <w:p w:rsidR="003E022D" w:rsidRDefault="007D19D6">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Ja veselības aprūpes maksu tādas personas vārdā, uz kuru attiecas šis pants, ir samaksājusi cita persona, atmaksāt var šai citai personai.</w:t>
      </w:r>
    </w:p>
    <w:p w:rsidR="003E022D" w:rsidRDefault="007D19D6">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rFonts w:asciiTheme="majorHAnsi" w:hAnsiTheme="majorHAnsi"/>
          <w:noProof/>
        </w:rPr>
        <w:t>Šā panta 11. līdz 1</w:t>
      </w:r>
      <w:r>
        <w:rPr>
          <w:rFonts w:asciiTheme="majorHAnsi" w:hAnsiTheme="majorHAnsi"/>
          <w:noProof/>
        </w:rPr>
        <w:t>4. punktu pēc analoģijas piemēro minētās personas ģimenes locekļiem.</w:t>
      </w:r>
    </w:p>
    <w:p w:rsidR="003E022D" w:rsidRDefault="007D19D6">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noProof/>
        </w:rPr>
        <w:t>Šo pantu beidz piemērot divpadsmit mēnešus pēc šā nolīguma stāšanās spēkā.</w:t>
      </w:r>
    </w:p>
    <w:p w:rsidR="003E022D" w:rsidRDefault="007D19D6">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Persona, kas atbilst 11. punkta nosacījumiem laikposmā no šā nolīguma stāšanās spēkā līdz 16. punktā norādītajai</w:t>
      </w:r>
      <w:r>
        <w:rPr>
          <w:rFonts w:asciiTheme="majorHAnsi" w:hAnsiTheme="majorHAnsi"/>
          <w:noProof/>
        </w:rPr>
        <w:t xml:space="preserve"> dienai, pēc šā panta stāšanās spēkā var iesniegt atmaksāšanas pieprasījumu saskaņā ar 11. punktu attiecībā uz šo laikposmu. </w:t>
      </w:r>
    </w:p>
    <w:p w:rsidR="003E022D" w:rsidRDefault="007D19D6">
      <w:pPr>
        <w:numPr>
          <w:ilvl w:val="0"/>
          <w:numId w:val="1155"/>
        </w:numPr>
        <w:pBdr>
          <w:top w:val="nil"/>
          <w:left w:val="nil"/>
          <w:bottom w:val="nil"/>
          <w:right w:val="nil"/>
          <w:between w:val="nil"/>
        </w:pBdr>
        <w:shd w:val="clear" w:color="auto" w:fill="FFFFFF"/>
        <w:spacing w:after="200"/>
        <w:ind w:left="0" w:firstLine="0"/>
        <w:contextualSpacing/>
        <w:rPr>
          <w:rFonts w:asciiTheme="majorHAnsi" w:hAnsiTheme="majorHAnsi" w:cstheme="majorHAnsi"/>
          <w:noProof/>
        </w:rPr>
      </w:pPr>
      <w:r>
        <w:rPr>
          <w:rFonts w:asciiTheme="majorHAnsi" w:hAnsiTheme="majorHAnsi"/>
          <w:noProof/>
        </w:rPr>
        <w:t>Atkāpjoties no SSC.5. panta [Vienlīdzīga attieksme] 1. punkta, studiju valsts saskaņā ar savas valsts tiesību aktiem var noteikt maksājumus par pabalstiem natūrā, kas neatbilst SSC.17. panta [Uzturēšanās ārpus kompetentās valsts] 1. punkta a) apakšpunktā n</w:t>
      </w:r>
      <w:r>
        <w:rPr>
          <w:rFonts w:asciiTheme="majorHAnsi" w:hAnsiTheme="majorHAnsi"/>
          <w:noProof/>
        </w:rPr>
        <w:t xml:space="preserve">oteiktajiem kritērijiem un kas tiek sniegti personai, attiecībā uz kuru šīs personas uzturēšanās laikā ir veikta atmaksa par laikposmu, uz kuru attiecas šī atmaksa. </w:t>
      </w:r>
    </w:p>
    <w:p w:rsidR="003E022D" w:rsidRDefault="007D19D6">
      <w:pPr>
        <w:pStyle w:val="Article"/>
        <w:rPr>
          <w:noProof/>
        </w:rPr>
      </w:pPr>
      <w:r>
        <w:rPr>
          <w:noProof/>
        </w:rPr>
        <w:t>SSCI.23. pants.  Plānota aprūpe</w:t>
      </w:r>
    </w:p>
    <w:p w:rsidR="003E022D" w:rsidRDefault="007D19D6">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Atļauju piešķiršanas procedūra </w:t>
      </w:r>
    </w:p>
    <w:p w:rsidR="003E022D" w:rsidRDefault="007D19D6">
      <w:pPr>
        <w:numPr>
          <w:ilvl w:val="0"/>
          <w:numId w:val="1147"/>
        </w:numPr>
        <w:ind w:left="0" w:firstLine="0"/>
        <w:rPr>
          <w:rFonts w:asciiTheme="majorHAnsi" w:eastAsia="Arial" w:hAnsiTheme="majorHAnsi" w:cs="Arial"/>
          <w:noProof/>
          <w:color w:val="000000"/>
        </w:rPr>
      </w:pPr>
      <w:r>
        <w:rPr>
          <w:rFonts w:asciiTheme="majorHAnsi" w:hAnsiTheme="majorHAnsi"/>
          <w:noProof/>
        </w:rPr>
        <w:t xml:space="preserve">Piemērojot protokola </w:t>
      </w:r>
      <w:r>
        <w:rPr>
          <w:rFonts w:asciiTheme="majorHAnsi" w:hAnsiTheme="majorHAnsi"/>
          <w:noProof/>
          <w:color w:val="000000"/>
        </w:rPr>
        <w:t>SSC.1</w:t>
      </w:r>
      <w:r>
        <w:rPr>
          <w:rFonts w:asciiTheme="majorHAnsi" w:hAnsiTheme="majorHAnsi"/>
          <w:noProof/>
          <w:color w:val="000000"/>
        </w:rPr>
        <w:t>8. panta [Ceļojums ar nolūku saņemt pabalstus natūrā — atļauja saņemt piemērotu ārstēšanu ārpus dzīvesvietas valsts]</w:t>
      </w:r>
      <w:r>
        <w:rPr>
          <w:rFonts w:asciiTheme="majorHAnsi" w:hAnsiTheme="majorHAnsi"/>
          <w:noProof/>
        </w:rPr>
        <w:t xml:space="preserve"> 1. punktu, apdrošinātā persona iesniedz uzturēšanās vietas iestādei dokumentu, ko izdevusi kompetentā iestāde.</w:t>
      </w:r>
      <w:r>
        <w:rPr>
          <w:rFonts w:asciiTheme="majorHAnsi" w:hAnsiTheme="majorHAnsi"/>
          <w:noProof/>
          <w:color w:val="000000"/>
        </w:rPr>
        <w:t xml:space="preserve"> Piemērojot šo pantu, kompete</w:t>
      </w:r>
      <w:r>
        <w:rPr>
          <w:rFonts w:asciiTheme="majorHAnsi" w:hAnsiTheme="majorHAnsi"/>
          <w:noProof/>
          <w:color w:val="000000"/>
        </w:rPr>
        <w:t xml:space="preserve">ntā iestāde ir iestāde, kas sedz plānotās aprūpes izmaksas; </w:t>
      </w:r>
      <w:r>
        <w:rPr>
          <w:rFonts w:asciiTheme="majorHAnsi" w:hAnsiTheme="majorHAnsi"/>
          <w:noProof/>
        </w:rPr>
        <w:t xml:space="preserve">protokola SSC.18. panta [Ceļojums ar nolūku saņemt pabalstus natūrā – atļauja saņemt piemērotu ārstēšanu ārpus dzīvesvietas valsts] 4. punktā un SSC.25. panta [Pensionāra vai viņa ģimenes locekļu </w:t>
      </w:r>
      <w:r>
        <w:rPr>
          <w:rFonts w:asciiTheme="majorHAnsi" w:hAnsiTheme="majorHAnsi"/>
          <w:noProof/>
        </w:rPr>
        <w:t>uzturēšanās valstī, kurā viņi nedzīvo – Uzturēšanās kompetentajā valstī – Atļauja saņemt piemērotu ārstēšanu ārpus dzīvesvietas valsts] 5. punktā minētajos gadījumos, kad dzīvesvietas valstī izmaksātos pabalstus natūrā atmaksā, pamatojoties uz fiksētām sum</w:t>
      </w:r>
      <w:r>
        <w:rPr>
          <w:rFonts w:asciiTheme="majorHAnsi" w:hAnsiTheme="majorHAnsi"/>
          <w:noProof/>
        </w:rPr>
        <w:t>mām, dzīvesvietas iestādi uzskata par kompetento iestādi.</w:t>
      </w:r>
      <w:r>
        <w:rPr>
          <w:rFonts w:asciiTheme="majorHAnsi" w:hAnsiTheme="majorHAnsi"/>
          <w:noProof/>
          <w:color w:val="000000"/>
        </w:rPr>
        <w:t xml:space="preserve"> </w:t>
      </w:r>
    </w:p>
    <w:p w:rsidR="003E022D" w:rsidRDefault="007D19D6">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Ja apdrošinātā persona nedzīvo kompetentās valsts teritorijā, tā lūdz dzīvesvietas iestādei izsniegt atļauju, kura to nekavējoties nosūta kompetentajai iestādei.</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 xml:space="preserve">Šajā gadījumā dzīvesvietas iestāde </w:t>
      </w:r>
      <w:r>
        <w:rPr>
          <w:rFonts w:asciiTheme="majorHAnsi" w:hAnsiTheme="majorHAnsi"/>
          <w:noProof/>
        </w:rPr>
        <w:t xml:space="preserve">apliecina, vai protokola </w:t>
      </w:r>
      <w:r>
        <w:rPr>
          <w:rFonts w:asciiTheme="majorHAnsi" w:hAnsiTheme="majorHAnsi"/>
          <w:noProof/>
          <w:color w:val="000000"/>
        </w:rPr>
        <w:t>SSC.18. panta [Ceļojums ar nolūku saņemt pabalstus natūrā – atļauja saņemt piemērotu ārstēšanu ārpus dzīvesvietas valsts]</w:t>
      </w:r>
      <w:r>
        <w:rPr>
          <w:rFonts w:asciiTheme="majorHAnsi" w:hAnsiTheme="majorHAnsi"/>
          <w:noProof/>
        </w:rPr>
        <w:t xml:space="preserve"> 2. punkta otrajā teikumā paredzētie nosacījumi dzīvesvietas dalībvalstī ir izpildīti.</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Kompetentā iestāde drīk</w:t>
      </w:r>
      <w:r>
        <w:rPr>
          <w:rFonts w:asciiTheme="majorHAnsi" w:hAnsiTheme="majorHAnsi"/>
          <w:noProof/>
        </w:rPr>
        <w:t xml:space="preserve">st atteikties piešķirt prasīto atļauju tikai tad, ja saskaņā ar dzīvesvietas iestādes atzinumu nav izpildīti protokola </w:t>
      </w:r>
      <w:r>
        <w:rPr>
          <w:rFonts w:asciiTheme="majorHAnsi" w:hAnsiTheme="majorHAnsi"/>
          <w:noProof/>
          <w:color w:val="000000"/>
        </w:rPr>
        <w:t>SSC.18. panta [Ceļojums ar nolūku saņemt pabalstus natūrā — atļauja saņemt piemērotu ārstēšanu ārpus dzīvesvietas valsts]</w:t>
      </w:r>
      <w:r>
        <w:rPr>
          <w:rFonts w:asciiTheme="majorHAnsi" w:hAnsiTheme="majorHAnsi"/>
          <w:noProof/>
        </w:rPr>
        <w:t xml:space="preserve"> 2. punkta otraj</w:t>
      </w:r>
      <w:r>
        <w:rPr>
          <w:rFonts w:asciiTheme="majorHAnsi" w:hAnsiTheme="majorHAnsi"/>
          <w:noProof/>
        </w:rPr>
        <w:t>ā teikumā paredzētie nosacījumi apdrošinātās personas dzīvesvietas valstī, vai tad, ja to pašu aprūpi var sniegt kompetentajā valstī medicīniski pamatotā termiņā, ņemot vērā attiecīgās personas pašreizējo veselības stāvokli un iespējamo slimības gaitu.</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Kom</w:t>
      </w:r>
      <w:r>
        <w:rPr>
          <w:rFonts w:asciiTheme="majorHAnsi" w:hAnsiTheme="majorHAnsi"/>
          <w:noProof/>
          <w:color w:val="000000"/>
        </w:rPr>
        <w:t xml:space="preserve">petentā iestāde informē dzīvesvietas iestādi par savu lēmumu.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Ja atbilde netiek saņemta valsts tiesību aktos paredzētajos termiņos, uzskatāms, ka kompetentā iestāde atļauju ir piešķīrusi. </w:t>
      </w:r>
    </w:p>
    <w:p w:rsidR="003E022D" w:rsidRDefault="007D19D6">
      <w:pPr>
        <w:numPr>
          <w:ilvl w:val="0"/>
          <w:numId w:val="1147"/>
        </w:numPr>
        <w:ind w:left="0" w:firstLine="0"/>
        <w:rPr>
          <w:rFonts w:asciiTheme="majorHAnsi" w:eastAsia="Arial" w:hAnsiTheme="majorHAnsi" w:cs="Arial"/>
          <w:noProof/>
          <w:color w:val="000000"/>
        </w:rPr>
      </w:pPr>
      <w:r>
        <w:rPr>
          <w:rFonts w:asciiTheme="majorHAnsi" w:hAnsiTheme="majorHAnsi"/>
          <w:noProof/>
        </w:rPr>
        <w:t xml:space="preserve">Ja apdrošinātajai personai, kas nedzīvo kompetentajā valstī, vajadzīga steidzama un vitāli svarīga aprūpe un atļauju nevar atteikt saskaņā ar protokola </w:t>
      </w:r>
      <w:r>
        <w:rPr>
          <w:rFonts w:asciiTheme="majorHAnsi" w:hAnsiTheme="majorHAnsi"/>
          <w:noProof/>
          <w:color w:val="000000"/>
        </w:rPr>
        <w:t>SSC.18. panta [Ceļojums ar nolūku saņemt pabalstus natūrā — atļauja saņemt piemērotu ārstēšanu ārpus dzī</w:t>
      </w:r>
      <w:r>
        <w:rPr>
          <w:rFonts w:asciiTheme="majorHAnsi" w:hAnsiTheme="majorHAnsi"/>
          <w:noProof/>
          <w:color w:val="000000"/>
        </w:rPr>
        <w:t>vesvietas valsts]</w:t>
      </w:r>
      <w:r>
        <w:rPr>
          <w:rFonts w:asciiTheme="majorHAnsi" w:hAnsiTheme="majorHAnsi"/>
          <w:noProof/>
        </w:rPr>
        <w:t xml:space="preserve"> 2. punkta otro teikumu, atļauju piešķir dzīvesvietas iestāde kompetentās iestādes vārdā, un dzīvesvietas iestāde uzreiz informē kompetento iestādi.</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Kompetentā iestāde pieņem izmeklēšanas secinājumus, ko snieguši ārsti, kurus atzinusi dzīv</w:t>
      </w:r>
      <w:r>
        <w:rPr>
          <w:rFonts w:asciiTheme="majorHAnsi" w:hAnsiTheme="majorHAnsi"/>
          <w:noProof/>
          <w:color w:val="000000"/>
        </w:rPr>
        <w:t xml:space="preserve">esvietas iestāde, kas izdod atļauju par vajadzību steidzami sniegt vitāli svarīgus veselības aprūpes pakalpojumus. </w:t>
      </w:r>
    </w:p>
    <w:p w:rsidR="003E022D" w:rsidRDefault="007D19D6">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Kompetentā iestāde patur tiesības jebkurā atļaujas piešķiršanas procedūras brīdī pārbaudīt apdrošināto personu, pieaicinot ārstu, kuru izvēl</w:t>
      </w:r>
      <w:r>
        <w:rPr>
          <w:rFonts w:asciiTheme="majorHAnsi" w:hAnsiTheme="majorHAnsi"/>
          <w:noProof/>
          <w:color w:val="000000"/>
        </w:rPr>
        <w:t xml:space="preserve">as pati kompetentā iestāde uzturēšanās vai dzīvesvietas valstī. </w:t>
      </w:r>
    </w:p>
    <w:p w:rsidR="003E022D" w:rsidRDefault="007D19D6">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Uzturēšanās vietas iestāde, neskarot jebkādu lēmumu par atļauju, informē kompetento iestādi, vai ir medicīniski pamatoti papildināt veselības aprūpi, uz ko attiecas spēkā esošā atļauja. </w:t>
      </w:r>
    </w:p>
    <w:p w:rsidR="003E022D" w:rsidRDefault="007D19D6">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Izde</w:t>
      </w:r>
      <w:r>
        <w:rPr>
          <w:rFonts w:asciiTheme="majorHAnsi" w:hAnsiTheme="majorHAnsi"/>
          <w:i/>
          <w:noProof/>
          <w:color w:val="000000"/>
        </w:rPr>
        <w:t xml:space="preserve">vumu segšana par pabalstiem natūrā, kas radušies apdrošinātajai personai </w:t>
      </w:r>
    </w:p>
    <w:p w:rsidR="003E022D" w:rsidRDefault="007D19D6">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Neskarot 7. punktu, pēc analoģijas piemēro šā pielikuma SSCI.22. panta [Uzturēšanās valstī, kura nav kompetentā valsts] 4. un 5. punktu. </w:t>
      </w:r>
    </w:p>
    <w:p w:rsidR="003E022D" w:rsidRDefault="007D19D6">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Ja apdrošinātā persona pati faktiski segusi </w:t>
      </w:r>
      <w:r>
        <w:rPr>
          <w:rFonts w:asciiTheme="majorHAnsi" w:hAnsiTheme="majorHAnsi"/>
          <w:noProof/>
          <w:color w:val="000000"/>
        </w:rPr>
        <w:t>visas izmaksas par atļautu veselības aprūpi vai daļu no tām un ja summa, kas kompetentajai iestādei ir jāatmaksā dzīvesvietas iestādei vai apdrošinātajai personai saskaņā ar 6. punktu (faktiskās izmaksas), ir mazāka par summu, kas tai jāmaksā par tādu pašu</w:t>
      </w:r>
      <w:r>
        <w:rPr>
          <w:rFonts w:asciiTheme="majorHAnsi" w:hAnsiTheme="majorHAnsi"/>
          <w:noProof/>
          <w:color w:val="000000"/>
        </w:rPr>
        <w:t xml:space="preserve"> aprūpi kompetentajā dalībvalstī (pieņēmuma izmaksas), kompetentā iestāde atmaksā izmaksas apdrošinātajai personai pēc tās pieprasījuma tādā apmērā, kas atbilst pieņēmuma un faktisko izmaksu starpībai. Tomēr atmaksātā summa nedrīkst pārsniegt apdrošinātās </w:t>
      </w:r>
      <w:r>
        <w:rPr>
          <w:rFonts w:asciiTheme="majorHAnsi" w:hAnsiTheme="majorHAnsi"/>
          <w:noProof/>
          <w:color w:val="000000"/>
        </w:rPr>
        <w:t xml:space="preserve">personas faktiskos izdevumus, un var ņemt vērā summu, kas apdrošinātajai personai būtu bijusi jāmaksā, ja veselības aprūpe būtu nodrošināta kompetentajā valstī. </w:t>
      </w:r>
    </w:p>
    <w:p w:rsidR="003E022D" w:rsidRDefault="007D19D6">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Tādu ceļojuma un uzturēšanās izdevumu segšana, kas radušies saistībā ar plānotu aprūpi </w:t>
      </w:r>
    </w:p>
    <w:p w:rsidR="003E022D" w:rsidRDefault="007D19D6">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Ja kom</w:t>
      </w:r>
      <w:r>
        <w:rPr>
          <w:rFonts w:asciiTheme="majorHAnsi" w:hAnsiTheme="majorHAnsi"/>
          <w:noProof/>
          <w:color w:val="000000"/>
        </w:rPr>
        <w:t>petentās iestādes valsts tiesību aktos ir paredzēts atmaksāt tādus transporta un uzturēšanās izdevumus, kas ir neatņemama apdrošinātās personas veselības aprūpes sastāvdaļa, šādas izmaksas attiecīgajai personai un vajadzības gadījumā personai, kam tā ir jā</w:t>
      </w:r>
      <w:r>
        <w:rPr>
          <w:rFonts w:asciiTheme="majorHAnsi" w:hAnsiTheme="majorHAnsi"/>
          <w:noProof/>
          <w:color w:val="000000"/>
        </w:rPr>
        <w:t xml:space="preserve">pavada, sedz šī iestāde, ja ir piešķirta atļauja saņemt veselības aprūpi citā valstī. </w:t>
      </w:r>
    </w:p>
    <w:p w:rsidR="003E022D" w:rsidRDefault="007D19D6">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Ģimenes locekļi</w:t>
      </w:r>
      <w:r>
        <w:rPr>
          <w:rFonts w:asciiTheme="majorHAnsi" w:hAnsiTheme="majorHAnsi"/>
          <w:noProof/>
          <w:color w:val="000000"/>
        </w:rPr>
        <w:t xml:space="preserve"> </w:t>
      </w:r>
    </w:p>
    <w:p w:rsidR="003E022D" w:rsidRDefault="007D19D6">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Panta 1. līdz 8. punktu pēc analoģijas piemēro apdrošinātās personas ģimenes locekļiem.</w:t>
      </w:r>
    </w:p>
    <w:p w:rsidR="003E022D" w:rsidRDefault="007D19D6">
      <w:pPr>
        <w:pStyle w:val="Article"/>
        <w:rPr>
          <w:noProof/>
        </w:rPr>
      </w:pPr>
      <w:r>
        <w:rPr>
          <w:noProof/>
        </w:rPr>
        <w:t xml:space="preserve">SSCI.24. pants. Pabalsti naudā darba nespējas gadījumos, </w:t>
      </w:r>
      <w:r>
        <w:rPr>
          <w:noProof/>
        </w:rPr>
        <w:t>uzturoties vai dzīvojot valstī, kas nav kompetentā valsts</w:t>
      </w:r>
    </w:p>
    <w:p w:rsidR="003E022D" w:rsidRDefault="007D19D6">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Procedūra, kas jāievēro apdrošinātajai personai </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rPr>
        <w:t>Ja saskaņā ar kompetentās valsts tiesību aktiem apdrošinātajai personai ir jāiesniedz apliecinājums, lai darba nespējas gadījumā saņemtu naudas pabal</w:t>
      </w:r>
      <w:r>
        <w:rPr>
          <w:rFonts w:asciiTheme="majorHAnsi" w:hAnsiTheme="majorHAnsi"/>
          <w:noProof/>
        </w:rPr>
        <w:t>stus saskaņā ar protokola SSC.19. panta [Naudas pabalsti] 1. punktu, apdrošinātajai personai ir jālūdz dzīvesvietas valsts ārstam, kas ir novērtējis attiecīgās personas veselības stāvokli, apliecināt personas darba nespēju un tās iespējamo ilgumu.</w:t>
      </w:r>
      <w:r>
        <w:rPr>
          <w:rFonts w:asciiTheme="majorHAnsi" w:hAnsiTheme="majorHAnsi"/>
          <w:noProof/>
          <w:color w:val="000000"/>
        </w:rPr>
        <w:t xml:space="preserve"> </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Apdroši</w:t>
      </w:r>
      <w:r>
        <w:rPr>
          <w:rFonts w:asciiTheme="majorHAnsi" w:hAnsiTheme="majorHAnsi"/>
          <w:noProof/>
          <w:color w:val="000000"/>
        </w:rPr>
        <w:t>nātā persona kompetentās valsts tiesību aktos paredzētajā termiņā nosūta apliecinājumu kompetentajai iestādei.</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rPr>
        <w:t>Ja attiecīgās personas ārstējošie ārsti dzīvesvietas valstī neizsniedz darba nespējas apliecinājumus un ja šādi apliecinājumi ir nepieciešami sas</w:t>
      </w:r>
      <w:r>
        <w:rPr>
          <w:rFonts w:asciiTheme="majorHAnsi" w:hAnsiTheme="majorHAnsi"/>
          <w:noProof/>
        </w:rPr>
        <w:t>kaņā ar kompetentās valsts tiesību aktiem, attiecīgā persona vēršas tieši dzīvesvietas iestādē.</w:t>
      </w:r>
      <w:r>
        <w:rPr>
          <w:rFonts w:asciiTheme="majorHAnsi" w:hAnsiTheme="majorHAnsi"/>
          <w:noProof/>
          <w:color w:val="000000"/>
        </w:rPr>
        <w:t xml:space="preserve"> Šī iestāde tūlīt nodrošina darba nespējas medicīnisku novērtēšanu, kā arī 1. punktā minētā apliecinājuma izrakstīšanu. Apliecinājumu tūlīt nosūta kompetentajai </w:t>
      </w:r>
      <w:r>
        <w:rPr>
          <w:rFonts w:asciiTheme="majorHAnsi" w:hAnsiTheme="majorHAnsi"/>
          <w:noProof/>
          <w:color w:val="000000"/>
        </w:rPr>
        <w:t>iestādei.</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Panta 1., 2. un 3. punktā minētā dokumenta iesniegšana neatbrīvo apdrošināto personu no to saistību pildīšanas, kas ir paredzētas piemērojamajos tiesību aktos, jo īpaši attiecībā uz personas darba devēju. Vajadzības gadījumā darba devējs vai komp</w:t>
      </w:r>
      <w:r>
        <w:rPr>
          <w:rFonts w:asciiTheme="majorHAnsi" w:hAnsiTheme="majorHAnsi"/>
          <w:noProof/>
          <w:color w:val="000000"/>
        </w:rPr>
        <w:t xml:space="preserve">etentā iestāde var aicināt darbinieku piedalīties darbībās, kuru mērķis ir veicināt viņa atgriešanos darbā, un šajā nolūkā sniegt atbalstu šai personai. </w:t>
      </w:r>
    </w:p>
    <w:p w:rsidR="003E022D" w:rsidRDefault="007D19D6">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Procedūra, kas jāievēro dzīvesvietas iestādei </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rPr>
        <w:t>Pēc kompetentās iestādes pieprasījuma dzīvesvietas iest</w:t>
      </w:r>
      <w:r>
        <w:rPr>
          <w:rFonts w:asciiTheme="majorHAnsi" w:hAnsiTheme="majorHAnsi"/>
          <w:noProof/>
        </w:rPr>
        <w:t>āde veic jebkādas vajadzīgās administratīvās pārbaudes vai attiecīgās personas veselības pārbaudi saskaņā ar tiesību aktiem, ko piemēro pēdējā minētā iestāde.</w:t>
      </w:r>
      <w:r>
        <w:rPr>
          <w:rFonts w:asciiTheme="majorHAnsi" w:hAnsiTheme="majorHAnsi"/>
          <w:noProof/>
          <w:color w:val="000000"/>
        </w:rPr>
        <w:t xml:space="preserve"> Kontrolējošā ārsta atskaiti, kur jo īpaši minēts iespējamais darba nespējas ilgums, dzīvesvietas </w:t>
      </w:r>
      <w:r>
        <w:rPr>
          <w:rFonts w:asciiTheme="majorHAnsi" w:hAnsiTheme="majorHAnsi"/>
          <w:noProof/>
          <w:color w:val="000000"/>
        </w:rPr>
        <w:t xml:space="preserve">iestāde tūlīt nosūta kompetentajai iestādei. </w:t>
      </w:r>
    </w:p>
    <w:p w:rsidR="003E022D" w:rsidRDefault="007D19D6">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Procedūra, kas jāievēro kompetentajai iestādei</w:t>
      </w:r>
      <w:r>
        <w:rPr>
          <w:rFonts w:asciiTheme="majorHAnsi" w:hAnsiTheme="majorHAnsi"/>
          <w:noProof/>
          <w:color w:val="000000"/>
        </w:rPr>
        <w:t xml:space="preserve"> </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rPr>
        <w:t>Visos gadījumos kompetentā iestāde patur tiesības pieprasīt, lai apdrošināto personu izmeklē šīs iestādes izvēlēts ārsts.</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rPr>
        <w:t>Neskarot protokola SSC.19. panta [Naudas</w:t>
      </w:r>
      <w:r>
        <w:rPr>
          <w:rFonts w:asciiTheme="majorHAnsi" w:hAnsiTheme="majorHAnsi"/>
          <w:noProof/>
        </w:rPr>
        <w:t xml:space="preserve"> pabalsti] 1. punkta otro teikumu, kompetentā iestāde izmaksā naudas pabalstus tieši attiecīgajai personai un vajadzības gadījumā informē dzīvesvietas iestādi.</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rPr>
        <w:t>Lai piemērotu protokola SSC.19. panta [Naudas pabalsti] 1. punktu, apdrošinātās personas darba n</w:t>
      </w:r>
      <w:r>
        <w:rPr>
          <w:rFonts w:asciiTheme="majorHAnsi" w:hAnsiTheme="majorHAnsi"/>
          <w:noProof/>
        </w:rPr>
        <w:t>espējas lapai, kas ir izrakstīta citā valstī saskaņā ar kontrolējošā ārsta vai iestādes konstatētajiem medicīniskās izmeklēšanas rezultātiem, ir tāds pats juridiskais spēks kā darba nespējas lapai, ko izrakstījusi kompetentā valsts.</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Ja kompetentā iestāde n</w:t>
      </w:r>
      <w:r>
        <w:rPr>
          <w:rFonts w:asciiTheme="majorHAnsi" w:hAnsiTheme="majorHAnsi"/>
          <w:noProof/>
          <w:color w:val="000000"/>
        </w:rPr>
        <w:t xml:space="preserve">olemj atteikt izmaksāt naudas pabalstus, tā informē apdrošināto personu par savu lēmumu un vienlaikus par to informē dzīvesvietas iestādi. </w:t>
      </w:r>
    </w:p>
    <w:p w:rsidR="003E022D" w:rsidRDefault="007D19D6">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Procedūra saistībā ar uzturēšanos valstī, kura nav kompetentā valsts </w:t>
      </w:r>
    </w:p>
    <w:p w:rsidR="003E022D" w:rsidRDefault="007D19D6">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Šā panta 1. līdz 9. punktu piemēro pēc analoģi</w:t>
      </w:r>
      <w:r>
        <w:rPr>
          <w:rFonts w:asciiTheme="majorHAnsi" w:hAnsiTheme="majorHAnsi"/>
          <w:noProof/>
          <w:color w:val="000000"/>
        </w:rPr>
        <w:t>jas, ja apdrošinātā persona uzturas valstī, kas nav kompetentā dalībvalsts.</w:t>
      </w:r>
    </w:p>
    <w:p w:rsidR="003E022D" w:rsidRDefault="007D19D6">
      <w:pPr>
        <w:pStyle w:val="Article"/>
        <w:rPr>
          <w:noProof/>
        </w:rPr>
      </w:pPr>
      <w:r>
        <w:rPr>
          <w:noProof/>
        </w:rPr>
        <w:t>SSCI.25. pants.  Pensionāru iemaksas</w:t>
      </w:r>
    </w:p>
    <w:p w:rsidR="003E022D" w:rsidRDefault="007D19D6">
      <w:pPr>
        <w:rPr>
          <w:rFonts w:asciiTheme="majorHAnsi" w:eastAsia="Arial" w:hAnsiTheme="majorHAnsi" w:cs="Arial"/>
          <w:noProof/>
          <w:color w:val="000000"/>
        </w:rPr>
      </w:pPr>
      <w:r>
        <w:rPr>
          <w:rFonts w:asciiTheme="majorHAnsi" w:hAnsiTheme="majorHAnsi"/>
          <w:noProof/>
          <w:color w:val="000000"/>
        </w:rPr>
        <w:t>Ja persona saņem pensiju no vairāk nekā vienas valsts, nekādā gadījumā tā iemaksu summa, ko atskaita no visām izmaksātajām pensijām, nepārsnied</w:t>
      </w:r>
      <w:r>
        <w:rPr>
          <w:rFonts w:asciiTheme="majorHAnsi" w:hAnsiTheme="majorHAnsi"/>
          <w:noProof/>
          <w:color w:val="000000"/>
        </w:rPr>
        <w:t>z summu, ko attiecīgi atskaitītu personai, kura kompetentajā valstī saņem pensiju tādā pašā apmērā.</w:t>
      </w:r>
    </w:p>
    <w:p w:rsidR="003E022D" w:rsidRDefault="007D19D6">
      <w:pPr>
        <w:pStyle w:val="Article"/>
        <w:rPr>
          <w:noProof/>
        </w:rPr>
      </w:pPr>
      <w:r>
        <w:rPr>
          <w:noProof/>
        </w:rPr>
        <w:t>SSCI.26. pants.  Īpaši īstenošanas pasākumi</w:t>
      </w:r>
    </w:p>
    <w:p w:rsidR="003E022D" w:rsidRDefault="007D19D6">
      <w:pPr>
        <w:numPr>
          <w:ilvl w:val="0"/>
          <w:numId w:val="1154"/>
        </w:numPr>
        <w:ind w:left="0" w:firstLine="0"/>
        <w:rPr>
          <w:rFonts w:asciiTheme="majorHAnsi" w:eastAsia="Arial" w:hAnsiTheme="majorHAnsi" w:cs="Arial"/>
          <w:noProof/>
          <w:color w:val="000000"/>
        </w:rPr>
      </w:pPr>
      <w:r>
        <w:rPr>
          <w:noProof/>
        </w:rPr>
        <w:t>Ja persona vai personu grupa pēc lūguma ir atbrīvota no obligātās apdrošināšanas slimības gadījumiem un tādējādi</w:t>
      </w:r>
      <w:r>
        <w:rPr>
          <w:noProof/>
        </w:rPr>
        <w:t xml:space="preserve"> uz šādām personām neattiecas apdrošināšanas slimības gadījumiem sistēma, kam piemērojams protokols, citas valsts iestādei tikai šā atbrīvojuma dēļ nav saistību segt izmaksas par pabalstiem natūrā vai naudas pabalstiem, kas sniegti šādām personām vai viņu </w:t>
      </w:r>
      <w:r>
        <w:rPr>
          <w:noProof/>
        </w:rPr>
        <w:t>ģimenes locekļiem saskaņā ar protokola III sadaļas I nodaļu [Slimības, maternitātes vai līdzvērtīgi paternitātes pabalsti].</w:t>
      </w:r>
      <w:r>
        <w:rPr>
          <w:rFonts w:asciiTheme="majorHAnsi" w:hAnsiTheme="majorHAnsi"/>
          <w:noProof/>
          <w:color w:val="000000"/>
        </w:rPr>
        <w:t xml:space="preserve"> </w:t>
      </w:r>
    </w:p>
    <w:p w:rsidR="003E022D" w:rsidRDefault="007D19D6">
      <w:pPr>
        <w:numPr>
          <w:ilvl w:val="0"/>
          <w:numId w:val="1154"/>
        </w:numPr>
        <w:ind w:left="0" w:firstLine="0"/>
        <w:rPr>
          <w:rFonts w:asciiTheme="majorHAnsi" w:eastAsia="Arial" w:hAnsiTheme="majorHAnsi" w:cs="Arial"/>
          <w:noProof/>
          <w:color w:val="000000"/>
        </w:rPr>
      </w:pPr>
      <w:r>
        <w:rPr>
          <w:rFonts w:asciiTheme="majorHAnsi" w:hAnsiTheme="majorHAnsi"/>
          <w:noProof/>
          <w:color w:val="000000"/>
        </w:rPr>
        <w:t>Ja personas, kas minētas 1. punktā, un viņu ģimenes locekļi dzīvo valstī, kur tiesības saņemt pabalstus natūrā nav pakļautas apdroš</w:t>
      </w:r>
      <w:r>
        <w:rPr>
          <w:rFonts w:asciiTheme="majorHAnsi" w:hAnsiTheme="majorHAnsi"/>
          <w:noProof/>
          <w:color w:val="000000"/>
        </w:rPr>
        <w:t>ināšanas nosacījumiem vai darbībai nodarbinātas vai pašnodarbinātas personas statusā, tās pilnībā sedz izmaksas par pabalstiem natūrā, kas piešķirti viņu dzīvesvietas valstī.</w:t>
      </w:r>
    </w:p>
    <w:p w:rsidR="003E022D" w:rsidRDefault="007D19D6">
      <w:pPr>
        <w:pStyle w:val="Chapter"/>
        <w:rPr>
          <w:b/>
          <w:noProof/>
        </w:rPr>
      </w:pPr>
      <w:r>
        <w:rPr>
          <w:noProof/>
        </w:rPr>
        <w:t>2. NODAĻA.  PABALSTI ATTIECĪBĀ UZ NELAIMES GADĪJUMIEM DARBĀ UN ARODSLIMĪBĀM</w:t>
      </w:r>
    </w:p>
    <w:p w:rsidR="003E022D" w:rsidRDefault="007D19D6">
      <w:pPr>
        <w:pStyle w:val="Article"/>
        <w:rPr>
          <w:noProof/>
        </w:rPr>
      </w:pPr>
      <w:r>
        <w:rPr>
          <w:noProof/>
        </w:rPr>
        <w:t>SSCI.</w:t>
      </w:r>
      <w:r>
        <w:rPr>
          <w:noProof/>
        </w:rPr>
        <w:t>27. pants. Tiesības uz pabalstiem natūrā un naudas pabalstiem, dzīvojot vai uzturoties valstī, kas nav kompetentā valsts</w:t>
      </w:r>
    </w:p>
    <w:p w:rsidR="003E022D" w:rsidRDefault="007D19D6">
      <w:pPr>
        <w:numPr>
          <w:ilvl w:val="0"/>
          <w:numId w:val="1152"/>
        </w:numPr>
        <w:ind w:left="0" w:firstLine="0"/>
        <w:rPr>
          <w:rFonts w:asciiTheme="majorHAnsi" w:eastAsia="Arial" w:hAnsiTheme="majorHAnsi" w:cs="Arial"/>
          <w:noProof/>
          <w:color w:val="000000"/>
        </w:rPr>
      </w:pPr>
      <w:r>
        <w:rPr>
          <w:rFonts w:asciiTheme="majorHAnsi" w:hAnsiTheme="majorHAnsi"/>
          <w:noProof/>
        </w:rPr>
        <w:t>Piemērojot protokola SSC.31. pantu [Tiesības uz pabalstiem natūrā un naudas pabalstiem ], procedūras, kas izklāstītas šā pielikuma note</w:t>
      </w:r>
      <w:r>
        <w:rPr>
          <w:rFonts w:asciiTheme="majorHAnsi" w:hAnsiTheme="majorHAnsi"/>
          <w:noProof/>
        </w:rPr>
        <w:t xml:space="preserve">ikumos no SSCI.21. panta </w:t>
      </w:r>
      <w:r>
        <w:rPr>
          <w:noProof/>
        </w:rPr>
        <w:t xml:space="preserve">[Dzīvesvieta valstī, kura nav kompetentā valsts] </w:t>
      </w:r>
      <w:r>
        <w:rPr>
          <w:rFonts w:asciiTheme="majorHAnsi" w:hAnsiTheme="majorHAnsi"/>
          <w:noProof/>
        </w:rPr>
        <w:t>līdz SSCI.24. pantam [Pabalsti naudā darba nespējas gadījumos, uzturoties vai dzīvojot valstī, kas nav kompetentā valsts] piemēro pēc analoģijas.</w:t>
      </w:r>
      <w:r>
        <w:rPr>
          <w:rFonts w:asciiTheme="majorHAnsi" w:hAnsiTheme="majorHAnsi"/>
          <w:noProof/>
          <w:color w:val="000000"/>
        </w:rPr>
        <w:t xml:space="preserve"> </w:t>
      </w:r>
    </w:p>
    <w:p w:rsidR="003E022D" w:rsidRDefault="007D19D6">
      <w:pPr>
        <w:numPr>
          <w:ilvl w:val="0"/>
          <w:numId w:val="1152"/>
        </w:numPr>
        <w:ind w:left="0" w:firstLine="0"/>
        <w:rPr>
          <w:rFonts w:asciiTheme="majorHAnsi" w:eastAsia="Arial" w:hAnsiTheme="majorHAnsi" w:cs="Arial"/>
          <w:noProof/>
          <w:color w:val="000000"/>
        </w:rPr>
      </w:pPr>
      <w:r>
        <w:rPr>
          <w:rFonts w:asciiTheme="majorHAnsi" w:hAnsiTheme="majorHAnsi"/>
          <w:noProof/>
          <w:color w:val="000000"/>
        </w:rPr>
        <w:t>Ja dzīvesvietas vai uzturēšanās vie</w:t>
      </w:r>
      <w:r>
        <w:rPr>
          <w:rFonts w:asciiTheme="majorHAnsi" w:hAnsiTheme="majorHAnsi"/>
          <w:noProof/>
          <w:color w:val="000000"/>
        </w:rPr>
        <w:t>tas valsts tiesību aktos ir paredzēti īpaši pabalsti natūrā saistībā ar nelaimes gadījumu darbā vai arodslimību, tad šīs valsts iestāde par to nekavējoties informē kompetento iestādi.</w:t>
      </w:r>
    </w:p>
    <w:p w:rsidR="003E022D" w:rsidRDefault="007D19D6">
      <w:pPr>
        <w:pStyle w:val="Article"/>
        <w:rPr>
          <w:noProof/>
        </w:rPr>
      </w:pPr>
      <w:r>
        <w:rPr>
          <w:noProof/>
        </w:rPr>
        <w:t>SSCI.28. pants. Procedūra saistībā ar nelaimes gadījumiem darbā vai arod</w:t>
      </w:r>
      <w:r>
        <w:rPr>
          <w:noProof/>
        </w:rPr>
        <w:t>slimību gadījumiem, kas notikuši valstī, kas nav kompetentā valsts</w:t>
      </w:r>
    </w:p>
    <w:p w:rsidR="003E022D" w:rsidRDefault="007D19D6">
      <w:pPr>
        <w:numPr>
          <w:ilvl w:val="0"/>
          <w:numId w:val="1153"/>
        </w:numPr>
        <w:ind w:left="0" w:firstLine="0"/>
        <w:rPr>
          <w:rFonts w:asciiTheme="majorHAnsi" w:eastAsia="Arial" w:hAnsiTheme="majorHAnsi" w:cs="Arial"/>
          <w:noProof/>
          <w:color w:val="000000"/>
        </w:rPr>
      </w:pPr>
      <w:r>
        <w:rPr>
          <w:noProof/>
        </w:rPr>
        <w:t>Ja noticis nelaimes gadījums darbā vai arodslimības diagnozi pirmo reizi nosaka valstī, kas nav kompetentā valsts, tad nelaimes gadījuma darbā vai arodslimības deklarāciju, ja deklarācija p</w:t>
      </w:r>
      <w:r>
        <w:rPr>
          <w:noProof/>
        </w:rPr>
        <w:t>astāv vai paziņojums pastāv saskaņā ar valsts tiesību aktiem, izpilda saskaņā ar kompetentās valsts tiesību aktiem, vajadzības gadījumā neskarot citas piemērojamās tiesību normas, kas ir spēkā tās valsts teritorijā, kur ir noticis nelaimes gadījums darbā v</w:t>
      </w:r>
      <w:r>
        <w:rPr>
          <w:noProof/>
        </w:rPr>
        <w:t>ai pirmā arodslimības konstatācija, un ko šādā gadījumā turpina piemērot.</w:t>
      </w:r>
      <w:r>
        <w:rPr>
          <w:rFonts w:asciiTheme="majorHAnsi" w:hAnsiTheme="majorHAnsi"/>
          <w:noProof/>
          <w:color w:val="000000"/>
        </w:rPr>
        <w:t xml:space="preserve"> Deklarāciju vai paziņojumu adresē kompetentajai iestādei. </w:t>
      </w:r>
    </w:p>
    <w:p w:rsidR="003E022D" w:rsidRDefault="007D19D6">
      <w:pPr>
        <w:numPr>
          <w:ilvl w:val="0"/>
          <w:numId w:val="1153"/>
        </w:numPr>
        <w:ind w:left="0" w:firstLine="0"/>
        <w:rPr>
          <w:rFonts w:asciiTheme="majorHAnsi" w:eastAsia="Arial" w:hAnsiTheme="majorHAnsi" w:cs="Arial"/>
          <w:noProof/>
          <w:color w:val="000000"/>
        </w:rPr>
      </w:pPr>
      <w:r>
        <w:rPr>
          <w:noProof/>
        </w:rPr>
        <w:t xml:space="preserve">Tās valsts iestāde, kurā noticis nelaimes gadījums darbā vai kurā pirmo reizi noteikta arodslimības diagnoze, paziņo </w:t>
      </w:r>
      <w:r>
        <w:rPr>
          <w:noProof/>
        </w:rPr>
        <w:t>kompetentajai iestādei par medicīniskajiem slēdzieniem, kas izrakstīti minētās valsts teritorijā.</w:t>
      </w:r>
      <w:r>
        <w:rPr>
          <w:rFonts w:asciiTheme="majorHAnsi" w:hAnsiTheme="majorHAnsi"/>
          <w:noProof/>
          <w:color w:val="000000"/>
        </w:rPr>
        <w:t xml:space="preserve"> </w:t>
      </w:r>
    </w:p>
    <w:p w:rsidR="003E022D" w:rsidRDefault="007D19D6">
      <w:pPr>
        <w:numPr>
          <w:ilvl w:val="0"/>
          <w:numId w:val="1153"/>
        </w:numPr>
        <w:ind w:left="0" w:firstLine="0"/>
        <w:rPr>
          <w:rFonts w:asciiTheme="majorHAnsi" w:eastAsia="Arial" w:hAnsiTheme="majorHAnsi" w:cs="Arial"/>
          <w:noProof/>
          <w:color w:val="000000"/>
        </w:rPr>
      </w:pPr>
      <w:r>
        <w:rPr>
          <w:noProof/>
        </w:rPr>
        <w:t>Ja nelaimes gadījums, braucot uz darbu vai no tā, ir noticis tās valsts teritorijā, kas nav kompetentā valsts, tad pirmās dalībvalsts teritorijā jāveic izmek</w:t>
      </w:r>
      <w:r>
        <w:rPr>
          <w:noProof/>
        </w:rPr>
        <w:t>lēšana, lai konstatētu, vai pastāv tiesības uz attiecīgajiem pabalstiem, šim mērķim izmeklētāju var norīkot kompetentā iestāde, kas informē šīs valsts iestādes.</w:t>
      </w:r>
      <w:r>
        <w:rPr>
          <w:rFonts w:asciiTheme="majorHAnsi" w:hAnsiTheme="majorHAnsi"/>
          <w:noProof/>
          <w:color w:val="000000"/>
        </w:rPr>
        <w:t xml:space="preserve"> Iestādes savstarpēji sadarbojas, lai novērtētu visu attiecīgo informāciju un lai gūtu ziņas no </w:t>
      </w:r>
      <w:r>
        <w:rPr>
          <w:rFonts w:asciiTheme="majorHAnsi" w:hAnsiTheme="majorHAnsi"/>
          <w:noProof/>
          <w:color w:val="000000"/>
        </w:rPr>
        <w:t xml:space="preserve">ziņojumiem un visiem citiem dokumentiem, kas saistīti ar nelaimes gadījumu. </w:t>
      </w:r>
    </w:p>
    <w:p w:rsidR="003E022D" w:rsidRDefault="007D19D6">
      <w:pPr>
        <w:numPr>
          <w:ilvl w:val="0"/>
          <w:numId w:val="1153"/>
        </w:numPr>
        <w:ind w:left="0" w:firstLine="0"/>
        <w:rPr>
          <w:rFonts w:asciiTheme="majorHAnsi" w:eastAsia="Arial" w:hAnsiTheme="majorHAnsi" w:cs="Arial"/>
          <w:noProof/>
          <w:color w:val="000000"/>
        </w:rPr>
      </w:pPr>
      <w:r>
        <w:rPr>
          <w:noProof/>
        </w:rPr>
        <w:t>Beidzoties aprūpei, pēc pieprasījuma kompetentajai iestādei iesniedz sīki izstrādātu ziņojumu ar pievienotajiem medicīniskajiem slēdzieniem attiecībā uz nelaimes gadījuma vai slim</w:t>
      </w:r>
      <w:r>
        <w:rPr>
          <w:noProof/>
        </w:rPr>
        <w:t>ības paliekošām sekām, īpaši par cietušās personas tā brīža veselības stāvokli, kā arī par atveseļošanos vai stāvokļa stabilizēšanos pēc gūtajām traumām.</w:t>
      </w:r>
      <w:r>
        <w:rPr>
          <w:rFonts w:asciiTheme="majorHAnsi" w:hAnsiTheme="majorHAnsi"/>
          <w:noProof/>
          <w:color w:val="000000"/>
        </w:rPr>
        <w:t xml:space="preserve"> Attiecīgās izmaksas uz kompetentās iestādes rēķina sedz dzīvesvietas vai uzturēšanās vietas iestāde, v</w:t>
      </w:r>
      <w:r>
        <w:rPr>
          <w:rFonts w:asciiTheme="majorHAnsi" w:hAnsiTheme="majorHAnsi"/>
          <w:noProof/>
          <w:color w:val="000000"/>
        </w:rPr>
        <w:t>ajadzības gadījumā saskaņā ar tarifu, ko šī iestāde piemēro.</w:t>
      </w:r>
    </w:p>
    <w:p w:rsidR="003E022D" w:rsidRDefault="007D19D6">
      <w:pPr>
        <w:numPr>
          <w:ilvl w:val="0"/>
          <w:numId w:val="1153"/>
        </w:numPr>
        <w:ind w:left="0" w:firstLine="0"/>
        <w:rPr>
          <w:rFonts w:asciiTheme="majorHAnsi" w:eastAsia="Arial" w:hAnsiTheme="majorHAnsi" w:cs="Arial"/>
          <w:noProof/>
          <w:color w:val="000000"/>
        </w:rPr>
      </w:pPr>
      <w:r>
        <w:rPr>
          <w:noProof/>
        </w:rPr>
        <w:t xml:space="preserve">Pēc dzīvesvietas vai uzturēšanās vietas iestādes pieprasījuma vajadzības gadījumā kompetentā iestāde paziņo tai lēmumu, kas nosaka datumu, kad paredzama izveseļošanās vai stāvokļa stabilizēšanās </w:t>
      </w:r>
      <w:r>
        <w:rPr>
          <w:noProof/>
        </w:rPr>
        <w:t>pēc gūtajām traumām, kā arī attiecīgā gadījumā lēmumu par pensijas piešķiršanu.</w:t>
      </w:r>
    </w:p>
    <w:p w:rsidR="003E022D" w:rsidRDefault="007D19D6">
      <w:pPr>
        <w:pStyle w:val="Article"/>
        <w:rPr>
          <w:noProof/>
        </w:rPr>
      </w:pPr>
      <w:r>
        <w:rPr>
          <w:noProof/>
        </w:rPr>
        <w:t>SSCI.29. pants. Strīds par negadījuma vai slimības saistību ar profesionālo darbību</w:t>
      </w:r>
    </w:p>
    <w:p w:rsidR="003E022D" w:rsidRDefault="007D19D6">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Ja kompetentā iestāde apstrīd, ka saskaņā ar protokola SSC.31. panta [Tiesības uz pabalstiem</w:t>
      </w:r>
      <w:r>
        <w:rPr>
          <w:rFonts w:asciiTheme="majorHAnsi" w:hAnsiTheme="majorHAnsi"/>
          <w:noProof/>
          <w:color w:val="000000"/>
        </w:rPr>
        <w:t xml:space="preserve"> natūrā un naudas pabalstiem] 2. punktu piemērojami tiesību akti par nelaimes gadījumiem darbā vai arodslimībām, tā par to nekavējoties informē dzīvesvietas vai uzturēšanās vietas iestādi, kas piešķīrusi pabalstus natūrā, kurus uzskatīs par apdrošināšanas </w:t>
      </w:r>
      <w:r>
        <w:rPr>
          <w:rFonts w:asciiTheme="majorHAnsi" w:hAnsiTheme="majorHAnsi"/>
          <w:noProof/>
          <w:color w:val="000000"/>
        </w:rPr>
        <w:t xml:space="preserve">slimības gadījumiem pabalstiem. </w:t>
      </w:r>
    </w:p>
    <w:p w:rsidR="003E022D" w:rsidRDefault="007D19D6">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Ja šajā jautājumā ir pieņemts galīgais lēmums, kompetentā iestāde par to nekavējoties informē dzīvesvietas vai uzturēšanās vietas iestādi, kas piešķīrusi pabalstus natūrā.</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Ja nav konstatēts nelaimes gadījums darbā vai arods</w:t>
      </w:r>
      <w:r>
        <w:rPr>
          <w:rFonts w:asciiTheme="majorHAnsi" w:hAnsiTheme="majorHAnsi"/>
          <w:noProof/>
          <w:color w:val="000000"/>
        </w:rPr>
        <w:t xml:space="preserve">limība, pabalstus natūrā turpina sniegt kā slimības gadījuma pabalstus, ja attiecīgā persona ir tiesīga tos saņemt.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Ja ir konstatēts nelaimes gadījums darbā vai arodslimība, tad slimības pabalsti natūrā, kas piešķirti attiecīgai personai, ir uzskatāmi par</w:t>
      </w:r>
      <w:r>
        <w:rPr>
          <w:rFonts w:asciiTheme="majorHAnsi" w:hAnsiTheme="majorHAnsi"/>
          <w:noProof/>
          <w:color w:val="000000"/>
        </w:rPr>
        <w:t xml:space="preserve"> pabalstiem attiecībā uz nelaimes gadījumu darbā vai arodslimības pabalstiem no tās dienas, kad noticis nelaimes gadījums darbā vai pirmo reizi noteikta arodslimības diagnoze. </w:t>
      </w:r>
    </w:p>
    <w:p w:rsidR="003E022D" w:rsidRDefault="007D19D6">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 xml:space="preserve">Šā pielikuma SSCI.6. panta [Tiesību aktu provizoriska piemērošana un pabalstu </w:t>
      </w:r>
      <w:r>
        <w:rPr>
          <w:rFonts w:asciiTheme="majorHAnsi" w:hAnsiTheme="majorHAnsi"/>
          <w:noProof/>
          <w:color w:val="000000"/>
        </w:rPr>
        <w:t>provizoriska piešķiršana] 5. punkta otro daļu piemēro pēc analoģijas.</w:t>
      </w:r>
    </w:p>
    <w:p w:rsidR="003E022D" w:rsidRDefault="007D19D6">
      <w:pPr>
        <w:pStyle w:val="Article"/>
        <w:rPr>
          <w:noProof/>
        </w:rPr>
      </w:pPr>
      <w:r>
        <w:rPr>
          <w:noProof/>
        </w:rPr>
        <w:t>SSCI.30. pants. Procedūra gadījumos, kad darbinieks pakļauts arodslimību riskam divās vai vairāk valstīs</w:t>
      </w:r>
    </w:p>
    <w:p w:rsidR="003E022D" w:rsidRDefault="007D19D6">
      <w:pPr>
        <w:numPr>
          <w:ilvl w:val="0"/>
          <w:numId w:val="1178"/>
        </w:numPr>
        <w:ind w:left="0" w:firstLine="0"/>
        <w:rPr>
          <w:rFonts w:asciiTheme="majorHAnsi" w:eastAsia="Arial" w:hAnsiTheme="majorHAnsi" w:cs="Arial"/>
          <w:noProof/>
          <w:color w:val="000000"/>
        </w:rPr>
      </w:pPr>
      <w:r>
        <w:rPr>
          <w:noProof/>
        </w:rPr>
        <w:t>Protokola SSC.33. pantā [Pabalsti par arodslimību, ja attiecīgā slimā persona bij</w:t>
      </w:r>
      <w:r>
        <w:rPr>
          <w:noProof/>
        </w:rPr>
        <w:t>usi pakļauta tādam pašam riskam vairākās valstīs] minētajā gadījumā arodslimības deklarāciju vai paziņojumu nosūta kompetentajai iestādei arodslimību jautājumos pēdējā dalībvalstī, kuras tiesību akti attiecās uz attiecīgās personas darbību, kas, iespējams,</w:t>
      </w:r>
      <w:r>
        <w:rPr>
          <w:noProof/>
        </w:rPr>
        <w:t xml:space="preserve"> izraisīja minēto slimību.</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Ja šī iestāde, kurai nosūtīja deklarāciju vai paziņojumu, konstatē, ka darbība, kas, iespējams, izraisīja attiecīgo arodslimību, pēdējo reizi ir veikta saskaņā ar citas valsts tiesību aktiem, tā pārsūta deklarāciju vai paziņojumu</w:t>
      </w:r>
      <w:r>
        <w:rPr>
          <w:rFonts w:asciiTheme="majorHAnsi" w:hAnsiTheme="majorHAnsi"/>
          <w:noProof/>
          <w:color w:val="000000"/>
        </w:rPr>
        <w:t xml:space="preserve"> un visus pavaddokumentus līdzvērtīgai šīs valsts iestādei. </w:t>
      </w:r>
    </w:p>
    <w:p w:rsidR="003E022D" w:rsidRDefault="007D19D6">
      <w:pPr>
        <w:numPr>
          <w:ilvl w:val="0"/>
          <w:numId w:val="1178"/>
        </w:numPr>
        <w:ind w:left="0" w:firstLine="0"/>
        <w:rPr>
          <w:rFonts w:asciiTheme="majorHAnsi" w:eastAsia="Arial" w:hAnsiTheme="majorHAnsi" w:cs="Arial"/>
          <w:noProof/>
          <w:color w:val="000000"/>
        </w:rPr>
      </w:pPr>
      <w:r>
        <w:rPr>
          <w:noProof/>
        </w:rPr>
        <w:t>Ja iestāde pēdējā valstī, kuras tiesību akti attiecās uz attiecīgās personas darbību, kas, iespējams, izraisīja attiecīgo arodslimību, konstatē, ka attiecīgā persona vai tās apgādājamie neatbilst</w:t>
      </w:r>
      <w:r>
        <w:rPr>
          <w:noProof/>
        </w:rPr>
        <w:t xml:space="preserve"> šo tiesības aktu prasībām, inter alia tādēļ, ka atbilstīgā persona šajā dalībvalstī nekad nav veikusi darbību, kas izraisījusi arodslimību, vai tādēļ, ka šī valsts neatzīst šo slimību par arodslimību, tad minētā iestāde nekavējoties nosūta deklarāciju vai</w:t>
      </w:r>
      <w:r>
        <w:rPr>
          <w:noProof/>
        </w:rPr>
        <w:t xml:space="preserve"> paziņojumu un visus pavaddokumentus, tostarp pirmās iestādes veikto medicīnisko pārbaužu rezultātus un ziņojumus, iestādei iepriekšējā valstī, kuras tiesību akti attiecās uz attiecīgās personas veikto darbību, kas, iespējams, izraisīja attiecīgo arodslimī</w:t>
      </w:r>
      <w:r>
        <w:rPr>
          <w:noProof/>
        </w:rPr>
        <w:t>bu.</w:t>
      </w:r>
    </w:p>
    <w:p w:rsidR="003E022D" w:rsidRDefault="007D19D6">
      <w:pPr>
        <w:numPr>
          <w:ilvl w:val="0"/>
          <w:numId w:val="1178"/>
        </w:numPr>
        <w:ind w:left="0" w:firstLine="0"/>
        <w:rPr>
          <w:rFonts w:asciiTheme="majorHAnsi" w:eastAsia="Arial" w:hAnsiTheme="majorHAnsi" w:cs="Arial"/>
          <w:noProof/>
          <w:color w:val="000000"/>
        </w:rPr>
      </w:pPr>
      <w:r>
        <w:rPr>
          <w:noProof/>
        </w:rPr>
        <w:t>Vajadzības gadījumā iestādes turpina rīkoties saskaņā ar 2. punktā noteikto procedūru, līdz tās nonāk līdz līdzīgai iestādei tajā valstī, kuras tiesību akti attiecās uz attiecīgās personas iepriekš veikto darbību, kas, iespējams, izraisīja attiecīgo ar</w:t>
      </w:r>
      <w:r>
        <w:rPr>
          <w:noProof/>
        </w:rPr>
        <w:t>odslimību.</w:t>
      </w:r>
    </w:p>
    <w:p w:rsidR="003E022D" w:rsidRDefault="007D19D6">
      <w:pPr>
        <w:pStyle w:val="Article"/>
        <w:rPr>
          <w:noProof/>
        </w:rPr>
      </w:pPr>
      <w:r>
        <w:rPr>
          <w:noProof/>
        </w:rPr>
        <w:t>SSCI.31. pants. Informācijas apmaiņa starp iestādēm un avansu izmaksāšana gadījumos, kad tiek pārsūdzēts lēmums par pabalsta atteikšanu</w:t>
      </w:r>
    </w:p>
    <w:p w:rsidR="003E022D" w:rsidRDefault="007D19D6">
      <w:pPr>
        <w:numPr>
          <w:ilvl w:val="0"/>
          <w:numId w:val="1177"/>
        </w:numPr>
        <w:ind w:left="0" w:firstLine="0"/>
        <w:rPr>
          <w:rFonts w:asciiTheme="majorHAnsi" w:eastAsia="Arial" w:hAnsiTheme="majorHAnsi" w:cs="Arial"/>
          <w:noProof/>
          <w:color w:val="000000"/>
        </w:rPr>
      </w:pPr>
      <w:r>
        <w:rPr>
          <w:rFonts w:asciiTheme="majorHAnsi" w:hAnsiTheme="majorHAnsi"/>
          <w:noProof/>
        </w:rPr>
        <w:t>Ja pārsūdz lēmumu par pabalsta atteikšanu, ko pieņēmusi vienas valsts iestāde, saskaņā ar kuras tiesību aktie</w:t>
      </w:r>
      <w:r>
        <w:rPr>
          <w:rFonts w:asciiTheme="majorHAnsi" w:hAnsiTheme="majorHAnsi"/>
          <w:noProof/>
        </w:rPr>
        <w:t xml:space="preserve">m attiecīgā persona ir veikusi darbību, kas, iespējams, izraisīja attiecīgo arodslimību, šī iestāde par to informē iestādi, kurai tika nosūtīta deklarācija vai paziņojums atbilstīgi procedūrai, kas noteikta šā </w:t>
      </w:r>
      <w:r>
        <w:rPr>
          <w:rFonts w:asciiTheme="majorHAnsi" w:hAnsiTheme="majorHAnsi"/>
          <w:noProof/>
          <w:color w:val="000000"/>
        </w:rPr>
        <w:t>pielikuma SSCI-30. panta [Procedūra gadījumos,</w:t>
      </w:r>
      <w:r>
        <w:rPr>
          <w:rFonts w:asciiTheme="majorHAnsi" w:hAnsiTheme="majorHAnsi"/>
          <w:noProof/>
          <w:color w:val="000000"/>
        </w:rPr>
        <w:t xml:space="preserve"> kad darbinieks pakļauts arodslimību riskam divās vai vairāk valstīs] 2. punktā</w:t>
      </w:r>
      <w:r>
        <w:rPr>
          <w:rFonts w:asciiTheme="majorHAnsi" w:hAnsiTheme="majorHAnsi"/>
          <w:noProof/>
        </w:rPr>
        <w:t>, un vēlāk to informē, kad ir pieņemts galīgais lēmums.</w:t>
      </w:r>
    </w:p>
    <w:p w:rsidR="003E022D" w:rsidRDefault="007D19D6">
      <w:pPr>
        <w:numPr>
          <w:ilvl w:val="0"/>
          <w:numId w:val="1177"/>
        </w:numPr>
        <w:ind w:left="0" w:firstLine="0"/>
        <w:rPr>
          <w:rFonts w:asciiTheme="majorHAnsi" w:eastAsia="Arial" w:hAnsiTheme="majorHAnsi" w:cs="Arial"/>
          <w:noProof/>
          <w:color w:val="000000"/>
        </w:rPr>
      </w:pPr>
      <w:r>
        <w:rPr>
          <w:noProof/>
        </w:rPr>
        <w:t xml:space="preserve">Ja persona ir tiesīga saņemt pabalstu saskaņā ar tiesību aktiem, ko piemēro iestāde, kurai tika nosūtīta deklarācija vai </w:t>
      </w:r>
      <w:r>
        <w:rPr>
          <w:noProof/>
        </w:rPr>
        <w:t>paziņojums, šī iestāde izmaksā avansu, kura summu nosaka, vajadzības gadījumā konsultējoties ar iestādi, kuras lēmumu pārsūdzēja, un tādējādi izvairās no pārmaksāšanas.</w:t>
      </w:r>
      <w:r>
        <w:rPr>
          <w:rFonts w:asciiTheme="majorHAnsi" w:hAnsiTheme="majorHAnsi"/>
          <w:noProof/>
          <w:color w:val="000000"/>
        </w:rPr>
        <w:t xml:space="preserve"> Ja pēc pārsūdzības ir noteikts, ka šai pēdējai iestādei ir jāpiešķir pabalsti, tā atlīd</w:t>
      </w:r>
      <w:r>
        <w:rPr>
          <w:rFonts w:asciiTheme="majorHAnsi" w:hAnsiTheme="majorHAnsi"/>
          <w:noProof/>
          <w:color w:val="000000"/>
        </w:rPr>
        <w:t>zina izmaksāto avansu summu. Šo summu atvelk no pabalsta summas, kas jāizmaksā attiecīgajai personai saskaņā ar šā pielikuma SSCI.56. pantā [Nelikumīgi saņemti pabalsti] un SSCI.57. pantā [Provizoriski sniegti naudas pabalsti vai iemaksas] paredzēto proced</w:t>
      </w:r>
      <w:r>
        <w:rPr>
          <w:rFonts w:asciiTheme="majorHAnsi" w:hAnsiTheme="majorHAnsi"/>
          <w:noProof/>
          <w:color w:val="000000"/>
        </w:rPr>
        <w:t>ūru.</w:t>
      </w:r>
    </w:p>
    <w:p w:rsidR="003E022D" w:rsidRDefault="007D19D6">
      <w:pPr>
        <w:numPr>
          <w:ilvl w:val="0"/>
          <w:numId w:val="1177"/>
        </w:numPr>
        <w:ind w:left="0" w:firstLine="0"/>
        <w:rPr>
          <w:rFonts w:asciiTheme="majorHAnsi" w:eastAsia="Arial" w:hAnsiTheme="majorHAnsi" w:cs="Arial"/>
          <w:noProof/>
          <w:color w:val="000000"/>
        </w:rPr>
      </w:pPr>
      <w:r>
        <w:rPr>
          <w:rFonts w:asciiTheme="majorHAnsi" w:hAnsiTheme="majorHAnsi"/>
          <w:noProof/>
          <w:color w:val="000000"/>
        </w:rPr>
        <w:t>Šā pielikuma SSCI.6. panta [Tiesību aktu provizoriska piemērošana un pabalstu provizoriska piešķiršana] 5. punkta otro daļu piemēro pēc analoģijas.</w:t>
      </w:r>
    </w:p>
    <w:p w:rsidR="003E022D" w:rsidRDefault="007D19D6">
      <w:pPr>
        <w:pStyle w:val="Article"/>
        <w:rPr>
          <w:noProof/>
        </w:rPr>
      </w:pPr>
      <w:r>
        <w:rPr>
          <w:noProof/>
        </w:rPr>
        <w:t>SSCI.32. pants.  Arodslimības saasināšanās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Protokola SSC.34. pantā [Arodslimības saasināšanās] minētajo</w:t>
      </w:r>
      <w:r>
        <w:rPr>
          <w:rFonts w:asciiTheme="majorHAnsi" w:hAnsiTheme="majorHAnsi"/>
          <w:noProof/>
          <w:color w:val="000000"/>
        </w:rPr>
        <w:t>s gadījumos prasītājam ir jāiesniedz tās valsts iestādei, saskaņā ar kuras tiesību aktiem viņam ir tiesības uz pabalstiem, visa informācija attiecībā uz pabalstiem, kas saistībā ar attiecīgo arodslimību piešķirti iepriekš. Šī iestāde var vērsties visās cit</w:t>
      </w:r>
      <w:r>
        <w:rPr>
          <w:rFonts w:asciiTheme="majorHAnsi" w:hAnsiTheme="majorHAnsi"/>
          <w:noProof/>
          <w:color w:val="000000"/>
        </w:rPr>
        <w:t>ās iestādēs, kas bija kompetentas iepriekš, lai iegūtu informāciju, ko tā uzskata par vajadzīgu.</w:t>
      </w:r>
    </w:p>
    <w:p w:rsidR="003E022D" w:rsidRDefault="007D19D6">
      <w:pPr>
        <w:pStyle w:val="Article"/>
        <w:rPr>
          <w:noProof/>
        </w:rPr>
      </w:pPr>
      <w:r>
        <w:rPr>
          <w:noProof/>
        </w:rPr>
        <w:t>SSCI.33. pants. Darba nespējas pakāpes noteikšana gadījumos, ja noticis nelaimes gadījums darbā, vai arodslimības gadījumos, kas konstatēti agrāk vai vēlāk</w:t>
      </w:r>
    </w:p>
    <w:p w:rsidR="003E022D" w:rsidRDefault="007D19D6">
      <w:pPr>
        <w:pBdr>
          <w:top w:val="nil"/>
          <w:left w:val="nil"/>
          <w:bottom w:val="nil"/>
          <w:right w:val="nil"/>
          <w:between w:val="nil"/>
        </w:pBdr>
        <w:spacing w:before="135"/>
        <w:ind w:right="-4"/>
        <w:rPr>
          <w:rFonts w:asciiTheme="majorHAnsi" w:eastAsia="Arial" w:hAnsiTheme="majorHAnsi" w:cs="Arial"/>
          <w:noProof/>
          <w:color w:val="000000"/>
        </w:rPr>
      </w:pPr>
      <w:r>
        <w:rPr>
          <w:rFonts w:asciiTheme="majorHAnsi" w:hAnsiTheme="majorHAnsi"/>
          <w:noProof/>
          <w:color w:val="000000"/>
        </w:rPr>
        <w:t>Ja agrāk vai vēlāk konstatētu darba nespēju ir izraisījis nelaimes gadījums, kas notika, kad uz attiecīgo personu attiecās valsts tiesību akti, kas neparedz atšķirības attiecībā uz darba nespējas cēloņiem, tad attiecīgās valsts kompetentās institūcijas nor</w:t>
      </w:r>
      <w:r>
        <w:rPr>
          <w:rFonts w:asciiTheme="majorHAnsi" w:hAnsiTheme="majorHAnsi"/>
          <w:noProof/>
          <w:color w:val="000000"/>
        </w:rPr>
        <w:t xml:space="preserve">ādīta kompetentā iestāde vai struktūra: </w:t>
      </w:r>
    </w:p>
    <w:p w:rsidR="003E022D" w:rsidRDefault="007D19D6">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rPr>
        <w:t>pēc citas valsts kompetentas iestādes pieprasījuma sniedz informāciju par agrāk vai vēlāk konstatētas darba nespējas pakāpi un, ja iespējams, informāciju, kas ļautu noteikt, vai nespējas cēlonis ir nelaimes gadījums</w:t>
      </w:r>
      <w:r>
        <w:rPr>
          <w:rFonts w:asciiTheme="majorHAnsi" w:hAnsiTheme="majorHAnsi"/>
          <w:noProof/>
          <w:color w:val="000000"/>
        </w:rPr>
        <w:t xml:space="preserve"> darbā to tiesību aktu nozīmē, kurus piemēro šīs citas valsts iestāde;</w:t>
      </w:r>
    </w:p>
    <w:p w:rsidR="003E022D" w:rsidRDefault="007D19D6">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rPr>
        <w:t>ņem vērā darba nespējas pakāpi, ko izraisījuši nelaimes gadījumi, kas notikuši agrāk vai vēlāk, atbilstīgi to tiesību aktu noteikumiem, ko tā piemēro, lai piešķirtu tiesības uz pabalsti</w:t>
      </w:r>
      <w:r>
        <w:rPr>
          <w:rFonts w:asciiTheme="majorHAnsi" w:hAnsiTheme="majorHAnsi"/>
          <w:noProof/>
          <w:color w:val="000000"/>
        </w:rPr>
        <w:t>em un lai noteiktu pabalstu apmēru.</w:t>
      </w:r>
    </w:p>
    <w:p w:rsidR="003E022D" w:rsidRDefault="007D19D6">
      <w:pPr>
        <w:pStyle w:val="Article"/>
        <w:rPr>
          <w:noProof/>
        </w:rPr>
      </w:pPr>
      <w:r>
        <w:rPr>
          <w:noProof/>
        </w:rPr>
        <w:t>SSCI.34. pants. Pabalstu vai papildu pabalstu pieprasījumu iesniegšana un izskatīšana</w:t>
      </w:r>
    </w:p>
    <w:p w:rsidR="003E022D" w:rsidRDefault="007D19D6">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color w:val="000000"/>
        </w:rPr>
        <w:t>Lai saņemtu pabalstu vai papildu pabalstu atbilstīgi kādas valsts tiesību aktiem, attiecīgā persona vai tās apgādājamie, kas dzīvo cit</w:t>
      </w:r>
      <w:r>
        <w:rPr>
          <w:rFonts w:asciiTheme="majorHAnsi" w:hAnsiTheme="majorHAnsi"/>
          <w:noProof/>
          <w:color w:val="000000"/>
        </w:rPr>
        <w:t xml:space="preserve">as valsts teritorijā, vajadzības gadījumā nosūta pieprasījumu kompetentajai iestādei vai dzīvesvietas iestādei, kas to nosūta kompetentajai iestādei. </w:t>
      </w:r>
    </w:p>
    <w:p w:rsidR="003E022D" w:rsidRDefault="007D19D6">
      <w:pPr>
        <w:rPr>
          <w:rFonts w:asciiTheme="majorHAnsi" w:eastAsia="Arial" w:hAnsiTheme="majorHAnsi" w:cs="Arial"/>
          <w:noProof/>
          <w:color w:val="000000"/>
        </w:rPr>
      </w:pPr>
      <w:r>
        <w:rPr>
          <w:rFonts w:asciiTheme="majorHAnsi" w:hAnsiTheme="majorHAnsi"/>
          <w:noProof/>
          <w:color w:val="000000"/>
        </w:rPr>
        <w:t>Pieprasījumā ir informācija, kas nepieciešama saskaņā ar tiesību aktiem, kurus piemēro kompetentā iestāde</w:t>
      </w:r>
      <w:r>
        <w:rPr>
          <w:rFonts w:asciiTheme="majorHAnsi" w:hAnsiTheme="majorHAnsi"/>
          <w:noProof/>
          <w:color w:val="000000"/>
        </w:rPr>
        <w:t>.</w:t>
      </w:r>
    </w:p>
    <w:p w:rsidR="003E022D" w:rsidRDefault="007D19D6">
      <w:pPr>
        <w:pStyle w:val="Chapter"/>
        <w:rPr>
          <w:noProof/>
        </w:rPr>
      </w:pPr>
      <w:r>
        <w:rPr>
          <w:noProof/>
        </w:rPr>
        <w:t>3. NODAĻA. APBEDĪŠANAS PABALSTI</w:t>
      </w:r>
    </w:p>
    <w:p w:rsidR="003E022D" w:rsidRDefault="007D19D6">
      <w:pPr>
        <w:pStyle w:val="Article"/>
        <w:rPr>
          <w:noProof/>
        </w:rPr>
      </w:pPr>
      <w:r>
        <w:rPr>
          <w:noProof/>
        </w:rPr>
        <w:t>SSCI.35. pants.  Apbedīšanas pabalstu pieprasījums</w:t>
      </w:r>
    </w:p>
    <w:p w:rsidR="003E022D" w:rsidRDefault="007D19D6">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rPr>
        <w:t xml:space="preserve">Lai piemērotu protokola SSC.37. pantu [Tiesības uz pabalstiem gadījumā, kad nāve iestājas vai tā persona, kam ir tiesības uz pabalstiem, dzīvo valstī, kura nav kompetentā </w:t>
      </w:r>
      <w:r>
        <w:rPr>
          <w:rFonts w:asciiTheme="majorHAnsi" w:hAnsiTheme="majorHAnsi"/>
          <w:noProof/>
        </w:rPr>
        <w:t>valsts] un SSC.38. pantu [Pabalstu nodrošināšana pensionāra nāves gadījumā], apbedīšanas pabalstu pieprasījumu nosūta vai nu kompetentajai iestādei, vai pieprasītāja dzīvesvietas iestādei, kas to nosūta kompetentajai iestādei.</w:t>
      </w:r>
      <w:r>
        <w:rPr>
          <w:rFonts w:asciiTheme="majorHAnsi" w:hAnsiTheme="majorHAnsi"/>
          <w:noProof/>
          <w:color w:val="000000"/>
        </w:rPr>
        <w:t xml:space="preserve"> </w:t>
      </w:r>
    </w:p>
    <w:p w:rsidR="003E022D" w:rsidRDefault="007D19D6">
      <w:pPr>
        <w:rPr>
          <w:rFonts w:asciiTheme="majorHAnsi" w:eastAsia="Arial" w:hAnsiTheme="majorHAnsi" w:cs="Arial"/>
          <w:noProof/>
        </w:rPr>
      </w:pPr>
      <w:r>
        <w:rPr>
          <w:rFonts w:asciiTheme="majorHAnsi" w:hAnsiTheme="majorHAnsi"/>
          <w:noProof/>
          <w:color w:val="000000"/>
        </w:rPr>
        <w:t>Pieprasījumā ir informācija,</w:t>
      </w:r>
      <w:r>
        <w:rPr>
          <w:rFonts w:asciiTheme="majorHAnsi" w:hAnsiTheme="majorHAnsi"/>
          <w:noProof/>
          <w:color w:val="000000"/>
        </w:rPr>
        <w:t xml:space="preserve"> kas nepieciešama saskaņā ar tiesību aktiem, kurus piemēro kompetentā iestāde.</w:t>
      </w:r>
    </w:p>
    <w:p w:rsidR="003E022D" w:rsidRDefault="007D19D6">
      <w:pPr>
        <w:spacing w:after="0" w:line="276" w:lineRule="auto"/>
        <w:jc w:val="center"/>
        <w:rPr>
          <w:noProof/>
        </w:rPr>
      </w:pPr>
      <w:r>
        <w:rPr>
          <w:noProof/>
        </w:rPr>
        <w:br w:type="page"/>
        <w:t>4. NODAĻA.  INVALIDITĀTES PABALSTI, VECUMA PENSIJAS UN APGĀDNIEKA ZAUDĒJUMA PABALSTI</w:t>
      </w:r>
    </w:p>
    <w:p w:rsidR="003E022D" w:rsidRDefault="007D19D6">
      <w:pPr>
        <w:pStyle w:val="Article"/>
        <w:rPr>
          <w:noProof/>
        </w:rPr>
      </w:pPr>
      <w:r>
        <w:rPr>
          <w:noProof/>
        </w:rPr>
        <w:t>SSCI.36. pants. Papildu noteikumi pabalsta aprēķināšanai</w:t>
      </w:r>
    </w:p>
    <w:p w:rsidR="003E022D" w:rsidRDefault="007D19D6">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Lai aprēķinātu teorētisko un faktisko pabalsta summu saskaņā ar protokola SSC.47. panta [Pabalstu piešķiršana] 1. punkta b) apakšpunktu, piemēro pielikuma SSCI.11. panta [Periodu summēšana] 3., 4., 5. un 6. punktā paredzētos noteikumus. </w:t>
      </w:r>
    </w:p>
    <w:p w:rsidR="003E022D" w:rsidRDefault="007D19D6">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Gadījumos, kad brīvprātīgās vai neobligātās apdrošināšanas periodi nav ņemti vērā saskaņā ar šā pielikuma SSC.11. panta [Periodu summēšana] 3. punktu, tās valsts iestāde, saskaņā ar kuras tiesību aktiem šie periodi ir izpildīti, aprēķina summu, kas atbilst</w:t>
      </w:r>
      <w:r>
        <w:rPr>
          <w:rFonts w:asciiTheme="majorHAnsi" w:hAnsiTheme="majorHAnsi"/>
          <w:noProof/>
          <w:color w:val="000000"/>
        </w:rPr>
        <w:t xml:space="preserve"> šiem periodiem atbilstīgi tiem tiesību aktu noteikumiem, kurus tā piemēro. Faktiskajai pabalsta summai, ko aprēķina saskaņā ar protokola SSC.47. panta [Pabalstu piešķiršana] 1. punkta b) apakšpunktu, pieskaita summu, kas atbilst brīvprātīgās vai neobligāt</w:t>
      </w:r>
      <w:r>
        <w:rPr>
          <w:rFonts w:asciiTheme="majorHAnsi" w:hAnsiTheme="majorHAnsi"/>
          <w:noProof/>
          <w:color w:val="000000"/>
        </w:rPr>
        <w:t xml:space="preserve">ās apdrošināšanas periodiem. </w:t>
      </w:r>
    </w:p>
    <w:p w:rsidR="003E022D" w:rsidRDefault="007D19D6">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Katras valsts iestāde atbilstīgi tiesību aktiem, ko tā piemēro, aprēķina maksājamo summu, kas atbilst brīvprātīgās vai neobligātās apdrošināšanas periodiem, kas saskaņā ar protokola SSC.48. panta [Noteikumi par pārklāšanās nov</w:t>
      </w:r>
      <w:r>
        <w:rPr>
          <w:rFonts w:asciiTheme="majorHAnsi" w:hAnsiTheme="majorHAnsi"/>
          <w:noProof/>
          <w:color w:val="000000"/>
        </w:rPr>
        <w:t xml:space="preserve">ēršanu] 3. punkta c) apakšpunktu nav pakļauta citas valsts noteikumiem par atcelšanu, samazināšanu vai apturēšanu.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Ja kompetentajai iestādei saskaņā ar tiesību aktiem, ko tā piemēro, šo summu nav iespējams tieši noteikt sakarā ar to, ka minētajos tiesību </w:t>
      </w:r>
      <w:r>
        <w:rPr>
          <w:rFonts w:asciiTheme="majorHAnsi" w:hAnsiTheme="majorHAnsi"/>
          <w:noProof/>
          <w:color w:val="000000"/>
        </w:rPr>
        <w:t>aktos apdrošināšanas periodiem piešķirta dažāda vērtība, var aprēķināt nosacītu summu. Specializētā sociālā nodrošinājuma koordinācijas komiteja nosaka sīki izstrādātus noteikumus šādas nosacītās summas aprēķināšanai.</w:t>
      </w:r>
    </w:p>
    <w:p w:rsidR="003E022D" w:rsidRDefault="007D19D6">
      <w:pPr>
        <w:pStyle w:val="Article"/>
        <w:rPr>
          <w:noProof/>
        </w:rPr>
      </w:pPr>
      <w:r>
        <w:rPr>
          <w:noProof/>
        </w:rPr>
        <w:t>SSCI.37. pants.  Pabalstu pieprasījumi</w:t>
      </w:r>
    </w:p>
    <w:p w:rsidR="003E022D" w:rsidRDefault="007D19D6">
      <w:pPr>
        <w:numPr>
          <w:ilvl w:val="0"/>
          <w:numId w:val="1163"/>
        </w:numPr>
        <w:pBdr>
          <w:top w:val="nil"/>
          <w:left w:val="nil"/>
          <w:bottom w:val="nil"/>
          <w:right w:val="nil"/>
          <w:between w:val="nil"/>
        </w:pBdr>
        <w:spacing w:before="174" w:after="160" w:line="259" w:lineRule="auto"/>
        <w:ind w:left="426" w:right="52"/>
        <w:jc w:val="left"/>
        <w:rPr>
          <w:rFonts w:asciiTheme="majorHAnsi" w:eastAsia="Arial" w:hAnsiTheme="majorHAnsi" w:cs="Arial"/>
          <w:noProof/>
          <w:color w:val="000000"/>
        </w:rPr>
      </w:pPr>
      <w:r>
        <w:rPr>
          <w:rFonts w:asciiTheme="majorHAnsi" w:hAnsiTheme="majorHAnsi"/>
          <w:noProof/>
          <w:color w:val="000000"/>
        </w:rPr>
        <w:t xml:space="preserve">Vecuma pensiju un apgādnieka zaudējuma pabalstu pieprasījumu iesniegšana </w:t>
      </w:r>
    </w:p>
    <w:p w:rsidR="003E022D" w:rsidRDefault="007D19D6">
      <w:pPr>
        <w:numPr>
          <w:ilvl w:val="0"/>
          <w:numId w:val="1161"/>
        </w:numPr>
        <w:ind w:left="0" w:firstLine="0"/>
        <w:rPr>
          <w:rFonts w:asciiTheme="majorHAnsi" w:eastAsia="Arial" w:hAnsiTheme="majorHAnsi" w:cs="Arial"/>
          <w:noProof/>
          <w:color w:val="000000"/>
        </w:rPr>
      </w:pPr>
      <w:r>
        <w:rPr>
          <w:noProof/>
        </w:rPr>
        <w:t>Prasītājs iesniedz pieprasījumu savas dzīvesvietas iestādei vai tās pēdējās valsts iestādei, kuras tiesību akti bija piemērojami.</w:t>
      </w:r>
      <w:r>
        <w:rPr>
          <w:rFonts w:asciiTheme="majorHAnsi" w:hAnsiTheme="majorHAnsi"/>
          <w:noProof/>
          <w:color w:val="000000"/>
        </w:rPr>
        <w:t xml:space="preserve"> Ja attiecīgā persona nekad nav bijusi pakļauta ties</w:t>
      </w:r>
      <w:r>
        <w:rPr>
          <w:rFonts w:asciiTheme="majorHAnsi" w:hAnsiTheme="majorHAnsi"/>
          <w:noProof/>
          <w:color w:val="000000"/>
        </w:rPr>
        <w:t xml:space="preserve">ību aktiem, ko dzīvesvietas iestāde piemēro, šī iestāde pārsūta pieprasījumu tās pēdējās valsts iestādei, kuras tiesību akti bija piemērojami. </w:t>
      </w:r>
    </w:p>
    <w:p w:rsidR="003E022D" w:rsidRDefault="007D19D6">
      <w:pPr>
        <w:numPr>
          <w:ilvl w:val="0"/>
          <w:numId w:val="1161"/>
        </w:numPr>
        <w:ind w:left="0" w:firstLine="0"/>
        <w:rPr>
          <w:rFonts w:asciiTheme="majorHAnsi" w:eastAsia="Arial" w:hAnsiTheme="majorHAnsi" w:cs="Arial"/>
          <w:noProof/>
          <w:color w:val="000000"/>
        </w:rPr>
      </w:pPr>
      <w:r>
        <w:rPr>
          <w:noProof/>
        </w:rPr>
        <w:t>Pieprasījuma iesniegšanas datums ir spēkā visās attiecīgajās iestādēs.</w:t>
      </w:r>
    </w:p>
    <w:p w:rsidR="003E022D" w:rsidRDefault="007D19D6">
      <w:pPr>
        <w:numPr>
          <w:ilvl w:val="0"/>
          <w:numId w:val="1161"/>
        </w:numPr>
        <w:ind w:left="0" w:firstLine="0"/>
        <w:rPr>
          <w:rFonts w:asciiTheme="majorHAnsi" w:eastAsia="Arial" w:hAnsiTheme="majorHAnsi" w:cs="Arial"/>
          <w:noProof/>
          <w:color w:val="000000"/>
        </w:rPr>
      </w:pPr>
      <w:r>
        <w:rPr>
          <w:noProof/>
        </w:rPr>
        <w:t>Atkāpjoties no 2. punkta, ja prasītājs ne</w:t>
      </w:r>
      <w:r>
        <w:rPr>
          <w:noProof/>
        </w:rPr>
        <w:t>paziņo to, ka viņš ir bijis nodarbināts vai dzīvojis citās valstīs, kaut arī viņam bija lūgts to paziņot, datumu, kurā prasītājs aizpilda savu sākotnējo pieprasījumu vai iesniedz jaunu pieprasījumu par saviem iztrūkstošajiem nodarbinātības un/vai uzturēšan</w:t>
      </w:r>
      <w:r>
        <w:rPr>
          <w:noProof/>
        </w:rPr>
        <w:t>ās periodiem valstī, uzskata par datumu, kad pieprasījums iesniegts iestādei, kas piemēro attiecīgos tiesību aktus, ņemot vērā šajos tiesību aktos ietvertus labvēlīgākus nosacījumus.</w:t>
      </w:r>
      <w:r>
        <w:rPr>
          <w:rFonts w:asciiTheme="majorHAnsi" w:hAnsiTheme="majorHAnsi"/>
          <w:noProof/>
          <w:color w:val="000000"/>
        </w:rPr>
        <w:t xml:space="preserve"> </w:t>
      </w:r>
    </w:p>
    <w:p w:rsidR="003E022D" w:rsidRDefault="007D19D6">
      <w:pPr>
        <w:pStyle w:val="Article"/>
        <w:rPr>
          <w:noProof/>
        </w:rPr>
      </w:pPr>
      <w:r>
        <w:rPr>
          <w:noProof/>
        </w:rPr>
        <w:t>SSCI.38. pants. Dokumenti un informācija, kas prasītājam jāpievieno piep</w:t>
      </w:r>
      <w:r>
        <w:rPr>
          <w:noProof/>
        </w:rPr>
        <w:t>rasījumam</w:t>
      </w:r>
    </w:p>
    <w:p w:rsidR="003E022D" w:rsidRDefault="007D19D6">
      <w:pPr>
        <w:numPr>
          <w:ilvl w:val="0"/>
          <w:numId w:val="1164"/>
        </w:numPr>
        <w:ind w:left="0" w:firstLine="0"/>
        <w:rPr>
          <w:rFonts w:asciiTheme="majorHAnsi" w:eastAsia="Arial" w:hAnsiTheme="majorHAnsi" w:cs="Arial"/>
          <w:noProof/>
          <w:color w:val="000000"/>
        </w:rPr>
      </w:pPr>
      <w:r>
        <w:rPr>
          <w:noProof/>
        </w:rPr>
        <w:t xml:space="preserve">Prasītājs pieprasījumu iesniedz saskaņā ar noteikumiem tiesību aktos, ko piemēro šā pielikuma </w:t>
      </w:r>
      <w:r>
        <w:rPr>
          <w:rFonts w:asciiTheme="majorHAnsi" w:hAnsiTheme="majorHAnsi"/>
          <w:noProof/>
          <w:color w:val="000000"/>
        </w:rPr>
        <w:t>SSCI.37. panta [Pabalstu pieprasījumi] 1. punktā</w:t>
      </w:r>
      <w:r>
        <w:rPr>
          <w:noProof/>
        </w:rPr>
        <w:t xml:space="preserve"> minētā iestāde, un pieprasījumam pievieno šajos tiesību aktos noteiktos apliecinājuma dokumentus.</w:t>
      </w:r>
      <w:r>
        <w:rPr>
          <w:rFonts w:asciiTheme="majorHAnsi" w:hAnsiTheme="majorHAnsi"/>
          <w:noProof/>
          <w:color w:val="000000"/>
        </w:rPr>
        <w:t xml:space="preserve"> Konkr</w:t>
      </w:r>
      <w:r>
        <w:rPr>
          <w:rFonts w:asciiTheme="majorHAnsi" w:hAnsiTheme="majorHAnsi"/>
          <w:noProof/>
          <w:color w:val="000000"/>
        </w:rPr>
        <w:t xml:space="preserve">ēti, prasītājs sniedz visu pieejamo informāciju un apliecinājuma dokumentus, kas attiecas uz apdrošināšanas periodiem (iestādes, identifikācijas numuri), nodarbinātību (darba devēji) vai pašnodarbinātību (darbības veids un vieta) un dzīvesvietu (adreses), </w:t>
      </w:r>
      <w:r>
        <w:rPr>
          <w:rFonts w:asciiTheme="majorHAnsi" w:hAnsiTheme="majorHAnsi"/>
          <w:noProof/>
          <w:color w:val="000000"/>
        </w:rPr>
        <w:t>kuri var būt pabeigti saskaņā ar citas valsts tiesību aktiem, kā arī šo periodu ilgumu.</w:t>
      </w:r>
    </w:p>
    <w:p w:rsidR="003E022D" w:rsidRDefault="007D19D6">
      <w:pPr>
        <w:numPr>
          <w:ilvl w:val="0"/>
          <w:numId w:val="1164"/>
        </w:numPr>
        <w:ind w:left="0" w:firstLine="0"/>
        <w:rPr>
          <w:rFonts w:asciiTheme="majorHAnsi" w:eastAsia="Arial" w:hAnsiTheme="majorHAnsi" w:cs="Arial"/>
          <w:noProof/>
          <w:color w:val="000000"/>
        </w:rPr>
      </w:pPr>
      <w:r>
        <w:rPr>
          <w:noProof/>
        </w:rPr>
        <w:t>Ja atbilstīgi protokola SSC.45. panta [Vispārīgi noteikumi] 1. punktam prasītājs pieprasa vecuma pabalstu piešķiršanas atlikšanu saskaņā ar vienas vai vairāku valstu ti</w:t>
      </w:r>
      <w:r>
        <w:rPr>
          <w:noProof/>
        </w:rPr>
        <w:t>esību aktiem, prasītājs norāda to savā pieprasījumā un precizē, saskaņā ar kuras valsts tiesību aktiem atlikšanu pieprasa.</w:t>
      </w:r>
      <w:r>
        <w:rPr>
          <w:rFonts w:asciiTheme="majorHAnsi" w:hAnsiTheme="majorHAnsi"/>
          <w:noProof/>
          <w:color w:val="000000"/>
        </w:rPr>
        <w:t xml:space="preserve"> Lai dotu iespēju prasītājam izmantot šīs tiesības, attiecīgās iestādes pēc prasītāja pieprasījuma paziņo viņam par visu tām pieejamo </w:t>
      </w:r>
      <w:r>
        <w:rPr>
          <w:rFonts w:asciiTheme="majorHAnsi" w:hAnsiTheme="majorHAnsi"/>
          <w:noProof/>
          <w:color w:val="000000"/>
        </w:rPr>
        <w:t xml:space="preserve">informāciju, lai viņš varētu novērtēt vienlaicīgas vai secīgas tādu pabalstu piešķiršanas sekas, kurus viņš varētu pieprasīt. </w:t>
      </w:r>
    </w:p>
    <w:p w:rsidR="003E022D" w:rsidRDefault="007D19D6">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 xml:space="preserve">Ja prasītājs atsauc pieprasījumu saņemt pabalstu, kas paredzēts kādas konkrētas valsts tiesību aktos, šo atsaukumu neuzskata par </w:t>
      </w:r>
      <w:r>
        <w:rPr>
          <w:rFonts w:asciiTheme="majorHAnsi" w:hAnsiTheme="majorHAnsi"/>
          <w:noProof/>
          <w:color w:val="000000"/>
        </w:rPr>
        <w:t>vienlaicīgu atsaukumu pieprasījumiem saņemt pabalstus, kas paredzēti citas valsts tiesību aktos.</w:t>
      </w:r>
      <w:r>
        <w:rPr>
          <w:rFonts w:asciiTheme="majorHAnsi" w:hAnsiTheme="majorHAnsi"/>
          <w:b/>
          <w:noProof/>
          <w:color w:val="000000"/>
        </w:rPr>
        <w:t xml:space="preserve"> </w:t>
      </w:r>
    </w:p>
    <w:p w:rsidR="003E022D" w:rsidRDefault="007D19D6">
      <w:pPr>
        <w:pStyle w:val="Article"/>
        <w:rPr>
          <w:noProof/>
        </w:rPr>
      </w:pPr>
      <w:r>
        <w:rPr>
          <w:noProof/>
        </w:rPr>
        <w:t>SSCI.39. pants.  Pieprasījumu izskatīšana attiecīgajās iestādēs</w:t>
      </w:r>
    </w:p>
    <w:p w:rsidR="003E022D" w:rsidRDefault="007D19D6">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Kontaktiestāde </w:t>
      </w:r>
    </w:p>
    <w:p w:rsidR="003E022D" w:rsidRDefault="007D19D6">
      <w:pPr>
        <w:numPr>
          <w:ilvl w:val="0"/>
          <w:numId w:val="1165"/>
        </w:numPr>
        <w:ind w:left="0" w:firstLine="0"/>
        <w:rPr>
          <w:rFonts w:asciiTheme="majorHAnsi" w:eastAsia="Arial" w:hAnsiTheme="majorHAnsi" w:cs="Arial"/>
          <w:noProof/>
          <w:color w:val="000000"/>
        </w:rPr>
      </w:pPr>
      <w:r>
        <w:rPr>
          <w:rFonts w:asciiTheme="majorHAnsi" w:hAnsiTheme="majorHAnsi"/>
          <w:noProof/>
        </w:rPr>
        <w:t>Iestādi, kurai iesniedz vai pārsūta pabalstu pieprasījumu saskaņā ar šā pielik</w:t>
      </w:r>
      <w:r>
        <w:rPr>
          <w:rFonts w:asciiTheme="majorHAnsi" w:hAnsiTheme="majorHAnsi"/>
          <w:noProof/>
        </w:rPr>
        <w:t>uma SSCI.37. panta [Pabalstu pieprasījumi] 1. punktu, turpmāk sauc par “kontaktiestādi”.</w:t>
      </w:r>
      <w:r>
        <w:rPr>
          <w:rFonts w:asciiTheme="majorHAnsi" w:hAnsiTheme="majorHAnsi"/>
          <w:noProof/>
          <w:color w:val="000000"/>
        </w:rPr>
        <w:t xml:space="preserve"> Dzīvesvietas iestādi nesauc par kontaktiestādi, ja attiecīgā persona nekad nav bijusi pakļauta tiesību aktiem, kurus šī iestāde piemēro.</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Šī iestāde papildus pabalstu p</w:t>
      </w:r>
      <w:r>
        <w:rPr>
          <w:rFonts w:asciiTheme="majorHAnsi" w:hAnsiTheme="majorHAnsi"/>
          <w:noProof/>
          <w:color w:val="000000"/>
        </w:rPr>
        <w:t>ieprasījuma izskatīšanai saskaņā ar tiesību aktiem, kurus tā piemēro, kā kontaktiestāde veicina datu apmaiņu, lēmumu paziņošanu un darbības, kas vajadzīgas, lai attiecīgās iestādes varētu izskatīt pieprasījumu, un sniedz prasītājam pēc pieprasījuma jebkādu</w:t>
      </w:r>
      <w:r>
        <w:rPr>
          <w:rFonts w:asciiTheme="majorHAnsi" w:hAnsiTheme="majorHAnsi"/>
          <w:noProof/>
          <w:color w:val="000000"/>
        </w:rPr>
        <w:t xml:space="preserve"> informāciju saistībā ar izpēti, kas izriet no protokola, kā arī informē prasītāju par lietas virzību. </w:t>
      </w:r>
    </w:p>
    <w:p w:rsidR="003E022D" w:rsidRDefault="007D19D6">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Vecuma un apgādnieka zaudējuma pensiju pieprasījumu izskatīšana </w:t>
      </w:r>
    </w:p>
    <w:p w:rsidR="003E022D" w:rsidRDefault="007D19D6">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Kontaktiestāde nekavējoties nosūta pabalstu pieprasījumus un visus tai pieejamos dokume</w:t>
      </w:r>
      <w:r>
        <w:rPr>
          <w:rFonts w:asciiTheme="majorHAnsi" w:hAnsiTheme="majorHAnsi"/>
          <w:noProof/>
          <w:color w:val="000000"/>
        </w:rPr>
        <w:t>ntus, un, vajadzības gadījumā, prasītāja iesniegtos attiecīgos dokumentus visām iesaistītajām iestādēm, lai tās visas vienlaicīgi varētu sākt izskatīt pieprasījumu. Kontaktiestāde informē pārējās iestādes par apdrošināšanas vai dzīvesvietas periodiem, uz k</w:t>
      </w:r>
      <w:r>
        <w:rPr>
          <w:rFonts w:asciiTheme="majorHAnsi" w:hAnsiTheme="majorHAnsi"/>
          <w:noProof/>
          <w:color w:val="000000"/>
        </w:rPr>
        <w:t>uriem attiecas tās tiesību akti. Tā norāda arī, kurus dokumentus iesniegs vēlākā datumā, un papildina pieprasījumu, cik drīz vien iespējams.</w:t>
      </w:r>
    </w:p>
    <w:p w:rsidR="003E022D" w:rsidRDefault="007D19D6">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Katra attiecīgā iestāde, cik drīz vien iespējams, paziņo kontaktiestādei un pārējām iesaistītajām iestādēm par apdr</w:t>
      </w:r>
      <w:r>
        <w:rPr>
          <w:rFonts w:asciiTheme="majorHAnsi" w:hAnsiTheme="majorHAnsi"/>
          <w:noProof/>
          <w:color w:val="000000"/>
        </w:rPr>
        <w:t xml:space="preserve">ošināšanas vai dzīvesvietas periodiem, uz kuriem attiecas to tiesību akti. </w:t>
      </w:r>
    </w:p>
    <w:p w:rsidR="003E022D" w:rsidRDefault="007D19D6">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Katra attiecīgā iestāde aprēķina pabalstu summu saskaņā ar protokola SSC.47. pantu [Pabalstu piešķiršana] un paziņo kontaktiestādei un pārējām iesaistītajām iestādēm savu lēmumu, i</w:t>
      </w:r>
      <w:r>
        <w:rPr>
          <w:rFonts w:asciiTheme="majorHAnsi" w:hAnsiTheme="majorHAnsi"/>
          <w:noProof/>
          <w:color w:val="000000"/>
        </w:rPr>
        <w:t>zmaksājamo pabalstu summu un jebkuru citu informāciju, kas vajadzīga, lai piemērotu protokola SSC.48. [Noteikumi par pārklāšanās novēršanu] – SSC.50. [Atšķirīgu pabalstu pārklāšanās] pantu.</w:t>
      </w:r>
    </w:p>
    <w:p w:rsidR="003E022D" w:rsidRDefault="007D19D6">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Ja iestāde, pamatojoties uz šā panta 2. un 3. punktā minēto inform</w:t>
      </w:r>
      <w:r>
        <w:rPr>
          <w:rFonts w:asciiTheme="majorHAnsi" w:hAnsiTheme="majorHAnsi"/>
          <w:noProof/>
          <w:color w:val="000000"/>
        </w:rPr>
        <w:t>āciju, konstatē, ka ir piemērojams protokola SSC.52. panta [Apdrošināšanas vai dzīvesvietas periodi, kas ir mazāki par vienu gadu] 2. punkts vai 3. punkts, tā informē kontaktiestādi un pārējās attiecīgās iestādes.</w:t>
      </w:r>
      <w:r>
        <w:rPr>
          <w:rFonts w:asciiTheme="majorHAnsi" w:hAnsiTheme="majorHAnsi"/>
          <w:b/>
          <w:noProof/>
          <w:color w:val="000000"/>
        </w:rPr>
        <w:t xml:space="preserve"> </w:t>
      </w:r>
    </w:p>
    <w:p w:rsidR="003E022D" w:rsidRDefault="007D19D6">
      <w:pPr>
        <w:pStyle w:val="Article"/>
        <w:rPr>
          <w:b/>
          <w:noProof/>
        </w:rPr>
      </w:pPr>
      <w:r>
        <w:rPr>
          <w:noProof/>
        </w:rPr>
        <w:t>SSCI.40. pants.  Lēmumu paziņošana prasīt</w:t>
      </w:r>
      <w:r>
        <w:rPr>
          <w:noProof/>
        </w:rPr>
        <w:t>ājam</w:t>
      </w:r>
    </w:p>
    <w:p w:rsidR="003E022D" w:rsidRDefault="007D19D6">
      <w:pPr>
        <w:numPr>
          <w:ilvl w:val="0"/>
          <w:numId w:val="1166"/>
        </w:numPr>
        <w:ind w:left="0" w:firstLine="0"/>
        <w:rPr>
          <w:rFonts w:asciiTheme="majorHAnsi" w:eastAsia="Arial" w:hAnsiTheme="majorHAnsi" w:cs="Arial"/>
          <w:noProof/>
          <w:color w:val="000000"/>
        </w:rPr>
      </w:pPr>
      <w:r>
        <w:rPr>
          <w:rFonts w:asciiTheme="majorHAnsi" w:hAnsiTheme="majorHAnsi"/>
          <w:noProof/>
          <w:color w:val="000000"/>
        </w:rPr>
        <w:t>Katra iestāde prasītājam paziņo lēmumu, ko tā pieņēmusi saskaņā ar piemērojamajiem tiesību aktiem. Katrā lēmumā norāda pārsūdzības iespējas un pārsūdzībai piemērojamos termiņus. Kad kontaktiestāde ir saņēmusi paziņojumu par visiem lēmumiem, ko pieņēmu</w:t>
      </w:r>
      <w:r>
        <w:rPr>
          <w:rFonts w:asciiTheme="majorHAnsi" w:hAnsiTheme="majorHAnsi"/>
          <w:noProof/>
          <w:color w:val="000000"/>
        </w:rPr>
        <w:t xml:space="preserve">si katra iestāde, tā nosūta prasītājam un pārējām attiecīgajām iestādēm šo lēmumu kopsavilkumu. </w:t>
      </w:r>
      <w:r>
        <w:rPr>
          <w:noProof/>
        </w:rPr>
        <w:t>Kopsavilkuma paraugu izstrādā Specializētā sociālā nodrošinājuma koordinācijas komiteja.</w:t>
      </w:r>
      <w:r>
        <w:rPr>
          <w:rFonts w:asciiTheme="majorHAnsi" w:hAnsiTheme="majorHAnsi"/>
          <w:noProof/>
          <w:color w:val="000000"/>
        </w:rPr>
        <w:t xml:space="preserve"> Kopsavilkumu prasītājam nosūta iestādes valodā vai — pēc prasītāja lūguma — viņam vēlamā valodā, arī angļu valodā, kas ir atzīta par vienu no Savienības oficiālajām valodām.</w:t>
      </w:r>
    </w:p>
    <w:p w:rsidR="003E022D" w:rsidRDefault="007D19D6">
      <w:pPr>
        <w:numPr>
          <w:ilvl w:val="0"/>
          <w:numId w:val="1166"/>
        </w:numPr>
        <w:ind w:left="0" w:firstLine="0"/>
        <w:rPr>
          <w:rFonts w:asciiTheme="majorHAnsi" w:eastAsia="Arial" w:hAnsiTheme="majorHAnsi" w:cs="Arial"/>
          <w:noProof/>
          <w:color w:val="000000"/>
        </w:rPr>
      </w:pPr>
      <w:r>
        <w:rPr>
          <w:noProof/>
        </w:rPr>
        <w:t>Ja prasītājam pēc kopsavilkuma saņemšanas šķiet, ka divu vai vairāk iestāžu pieņe</w:t>
      </w:r>
      <w:r>
        <w:rPr>
          <w:noProof/>
        </w:rPr>
        <w:t>mto lēmumu savstarpējā ietekme varētu būt negatīvi ietekmējusi viņa tiesības, viņam ir tiesības pieprasīt, lai attiecīgās iestādes šos lēmumus pārskata, darot to termiņos, kas noteikti attiecīgās valsts tiesību aktos.</w:t>
      </w:r>
      <w:r>
        <w:rPr>
          <w:rFonts w:asciiTheme="majorHAnsi" w:hAnsiTheme="majorHAnsi"/>
          <w:noProof/>
          <w:color w:val="000000"/>
        </w:rPr>
        <w:t xml:space="preserve"> Termiņi sākas no dienas, kad ir saņemt</w:t>
      </w:r>
      <w:r>
        <w:rPr>
          <w:rFonts w:asciiTheme="majorHAnsi" w:hAnsiTheme="majorHAnsi"/>
          <w:noProof/>
          <w:color w:val="000000"/>
        </w:rPr>
        <w:t>s kopsavilkums. Prasītāju rakstiski informē par pārskatīšanas rezultātiem.</w:t>
      </w:r>
    </w:p>
    <w:p w:rsidR="003E022D" w:rsidRDefault="007D19D6">
      <w:pPr>
        <w:pStyle w:val="Article"/>
        <w:rPr>
          <w:noProof/>
        </w:rPr>
      </w:pPr>
      <w:r>
        <w:rPr>
          <w:noProof/>
        </w:rPr>
        <w:t>SSCI.41. pants.  Invaliditātes pakāpes noteikšana</w:t>
      </w:r>
    </w:p>
    <w:p w:rsidR="003E022D" w:rsidRDefault="007D19D6">
      <w:pPr>
        <w:rPr>
          <w:rFonts w:asciiTheme="majorHAnsi" w:eastAsia="Arial" w:hAnsiTheme="majorHAnsi" w:cs="Arial"/>
          <w:noProof/>
          <w:color w:val="000000"/>
        </w:rPr>
      </w:pPr>
      <w:r>
        <w:rPr>
          <w:rFonts w:asciiTheme="majorHAnsi" w:hAnsiTheme="majorHAnsi"/>
          <w:noProof/>
          <w:color w:val="000000"/>
        </w:rPr>
        <w:t xml:space="preserve">Katrai iestādei saskaņā ar savas valsts tiesību aktiem ir iespēja norīkot ārstu vai citu ekspertu pēc savas izvēles, lai noteiktu </w:t>
      </w:r>
      <w:r>
        <w:rPr>
          <w:rFonts w:asciiTheme="majorHAnsi" w:hAnsiTheme="majorHAnsi"/>
          <w:noProof/>
          <w:color w:val="000000"/>
        </w:rPr>
        <w:t>prasītāja invaliditātes pakāpi. Tomēr valsts iestāde ņem vērā dokumentus, medicīniskus atzinumus un administratīvu informāciju, ko ir ievākusi jebkuras citas valsts iestāde, tā, it kā šī informācija būtu iegūta šīs iestādes valstī.</w:t>
      </w:r>
    </w:p>
    <w:p w:rsidR="003E022D" w:rsidRDefault="007D19D6">
      <w:pPr>
        <w:pStyle w:val="Article"/>
        <w:rPr>
          <w:noProof/>
        </w:rPr>
      </w:pPr>
      <w:r>
        <w:rPr>
          <w:noProof/>
        </w:rPr>
        <w:t>SSCI.42. pants.  Pabalst</w:t>
      </w:r>
      <w:r>
        <w:rPr>
          <w:noProof/>
        </w:rPr>
        <w:t>a provizoriski maksājumi un avanss</w:t>
      </w:r>
    </w:p>
    <w:p w:rsidR="003E022D" w:rsidRDefault="007D19D6">
      <w:pPr>
        <w:numPr>
          <w:ilvl w:val="0"/>
          <w:numId w:val="1172"/>
        </w:numPr>
        <w:ind w:left="0" w:firstLine="0"/>
        <w:rPr>
          <w:rFonts w:asciiTheme="majorHAnsi" w:eastAsia="Arial" w:hAnsiTheme="majorHAnsi" w:cs="Arial"/>
          <w:noProof/>
          <w:color w:val="000000"/>
        </w:rPr>
      </w:pPr>
      <w:r>
        <w:rPr>
          <w:noProof/>
        </w:rPr>
        <w:t xml:space="preserve">Neatkarīgi no īstenošanas </w:t>
      </w:r>
      <w:r>
        <w:rPr>
          <w:rFonts w:asciiTheme="minorHAnsi" w:hAnsiTheme="minorHAnsi"/>
          <w:noProof/>
        </w:rPr>
        <w:t xml:space="preserve">šā pielikuma SSCI.7. panta [Pabalstu un iemaksu provizorisks aprēķins] </w:t>
      </w:r>
      <w:r>
        <w:rPr>
          <w:noProof/>
        </w:rPr>
        <w:t xml:space="preserve"> katra iestāde, kas, izskatot pabalstu pieprasījumu, konstatē, ka saņēmējam saskaņā ar piemērojamajiem tiesību aktiem ir tie</w:t>
      </w:r>
      <w:r>
        <w:rPr>
          <w:noProof/>
        </w:rPr>
        <w:t>sības uz neatkarīgu pabalstu, saskaņā ar SSC.47. panta [Pabalstu piešķiršana] 1. punkta a) apakšpunktu nekavējoties izmaksā minēto pabalstu.</w:t>
      </w:r>
      <w:r>
        <w:rPr>
          <w:rFonts w:asciiTheme="majorHAnsi" w:hAnsiTheme="majorHAnsi"/>
          <w:noProof/>
          <w:color w:val="000000"/>
        </w:rPr>
        <w:t xml:space="preserve"> Šo maksājumu uzskata par provizorisku, ja summu varētu ietekmēt pieprasījuma izskatīšanas procedūras iznākums. </w:t>
      </w:r>
    </w:p>
    <w:p w:rsidR="003E022D" w:rsidRDefault="007D19D6">
      <w:pPr>
        <w:numPr>
          <w:ilvl w:val="0"/>
          <w:numId w:val="1172"/>
        </w:numPr>
        <w:ind w:left="0" w:firstLine="0"/>
        <w:rPr>
          <w:rFonts w:asciiTheme="majorHAnsi" w:eastAsia="Arial" w:hAnsiTheme="majorHAnsi" w:cs="Arial"/>
          <w:noProof/>
          <w:color w:val="000000"/>
        </w:rPr>
      </w:pPr>
      <w:r>
        <w:rPr>
          <w:noProof/>
        </w:rPr>
        <w:t>Ikr</w:t>
      </w:r>
      <w:r>
        <w:rPr>
          <w:noProof/>
        </w:rPr>
        <w:t>eiz, kad no pieejamās informācijas izriet, ka prasītājam ir tiesības uz maksājumu no kādas iestādes saskaņā ar protokola SSC.47. panta [Pabalstu piešķiršana] 1. punkta b) apakšpunktu, šī iestāde veic avansa maksājumu, kura summa ir pēc iespējas tuva summai</w:t>
      </w:r>
      <w:r>
        <w:rPr>
          <w:noProof/>
        </w:rPr>
        <w:t>, ko, iespējams, izmaksās saskaņā ar protokola SSC.47. panta [Pabalstu piešķiršana] 1. punkta b) apakšpunktu.</w:t>
      </w:r>
      <w:r>
        <w:rPr>
          <w:rFonts w:asciiTheme="majorHAnsi" w:hAnsiTheme="majorHAnsi"/>
          <w:noProof/>
          <w:color w:val="000000"/>
        </w:rPr>
        <w:t xml:space="preserve"> </w:t>
      </w:r>
    </w:p>
    <w:p w:rsidR="003E022D" w:rsidRDefault="007D19D6">
      <w:pPr>
        <w:numPr>
          <w:ilvl w:val="0"/>
          <w:numId w:val="1172"/>
        </w:numPr>
        <w:ind w:left="0" w:firstLine="0"/>
        <w:rPr>
          <w:rFonts w:asciiTheme="majorHAnsi" w:eastAsia="Arial" w:hAnsiTheme="majorHAnsi" w:cs="Arial"/>
          <w:noProof/>
          <w:color w:val="000000"/>
        </w:rPr>
      </w:pPr>
      <w:r>
        <w:rPr>
          <w:noProof/>
        </w:rPr>
        <w:t xml:space="preserve">Katra iestāde, kam saskaņā ar 1. vai 2. punktu ir pienākums maksāt provizoriskus pabalstus vai avansa maksājumu, nekavējoties informē prasītāju, </w:t>
      </w:r>
      <w:r>
        <w:rPr>
          <w:noProof/>
        </w:rPr>
        <w:t>jo īpaši vēršot prasītāja uzmanību uz to, ka pasākums ir provizorisks, kā arī norādot visas pārsūdzības tiesības saskaņā ar attiecīgās dalībvalsts tiesību aktiem.</w:t>
      </w:r>
    </w:p>
    <w:p w:rsidR="003E022D" w:rsidRDefault="007D19D6">
      <w:pPr>
        <w:pStyle w:val="Article"/>
        <w:rPr>
          <w:noProof/>
        </w:rPr>
      </w:pPr>
      <w:r>
        <w:rPr>
          <w:noProof/>
        </w:rPr>
        <w:t>SSCI.43. pants.  Jauns pabalstu aprēķins</w:t>
      </w:r>
    </w:p>
    <w:p w:rsidR="003E022D" w:rsidRDefault="007D19D6">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Jauna pabalstu aprēķina gadījumā, piemērojot protoko</w:t>
      </w:r>
      <w:r>
        <w:rPr>
          <w:rFonts w:asciiTheme="majorHAnsi" w:hAnsiTheme="majorHAnsi"/>
          <w:noProof/>
          <w:color w:val="000000"/>
        </w:rPr>
        <w:t xml:space="preserve">la SSC.45. panta [Vispārīgi noteikumi] 4. punktu un SSC.54. panta [Pabalstu pārrēķināšana un pārvērtēšana] 1. punktu, pēc analoģijas piemēro šā pielikuma SSCI.42. pantu [Pabalsta provizoriski maksājumi un avanss]. </w:t>
      </w:r>
    </w:p>
    <w:p w:rsidR="003E022D" w:rsidRDefault="007D19D6">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Ja veic jaunu aprēķinu, atceļ vai aptur p</w:t>
      </w:r>
      <w:r>
        <w:rPr>
          <w:rFonts w:asciiTheme="majorHAnsi" w:hAnsiTheme="majorHAnsi"/>
          <w:noProof/>
          <w:color w:val="000000"/>
        </w:rPr>
        <w:t>abalstu, iestāde, kas ir pieņēmusi šo lēmumu, to nekavējoties paziņo attiecīgajai personai un informē katru no iestādēm, kurās šai personai ir noteiktas tiesības.</w:t>
      </w:r>
    </w:p>
    <w:p w:rsidR="003E022D" w:rsidRDefault="007D19D6">
      <w:pPr>
        <w:pStyle w:val="Article"/>
        <w:rPr>
          <w:noProof/>
        </w:rPr>
      </w:pPr>
      <w:r>
        <w:rPr>
          <w:noProof/>
        </w:rPr>
        <w:t>SSCI.44. pants. Pasākumi, kas paredzēti pensiju aprēķināšanas procesa paātrināšanai</w:t>
      </w:r>
    </w:p>
    <w:p w:rsidR="003E022D" w:rsidRDefault="007D19D6">
      <w:pPr>
        <w:numPr>
          <w:ilvl w:val="0"/>
          <w:numId w:val="1174"/>
        </w:numPr>
        <w:ind w:left="0" w:firstLine="0"/>
        <w:rPr>
          <w:rFonts w:asciiTheme="majorHAnsi" w:eastAsia="Arial" w:hAnsiTheme="majorHAnsi" w:cs="Arial"/>
          <w:noProof/>
          <w:color w:val="000000"/>
        </w:rPr>
      </w:pPr>
      <w:r>
        <w:rPr>
          <w:noProof/>
        </w:rPr>
        <w:t>Lai atvie</w:t>
      </w:r>
      <w:r>
        <w:rPr>
          <w:noProof/>
        </w:rPr>
        <w:t>glotu un paātrinātu pieprasījumu izskatīšanu un pabalstu izmaksu, iestādes, kuru valsts tiesību akti ir attiekušies uz personu:</w:t>
      </w:r>
      <w:r>
        <w:rPr>
          <w:rFonts w:asciiTheme="majorHAnsi" w:hAnsiTheme="majorHAnsi"/>
          <w:noProof/>
          <w:color w:val="000000"/>
        </w:rPr>
        <w:t xml:space="preserve"> </w:t>
      </w:r>
    </w:p>
    <w:p w:rsidR="003E022D" w:rsidRDefault="007D19D6">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ar citu valstu iestādēm apmainās ar tādu personu identifikācijas elementiem, kuru pakļautība vienas valsts piemērojamajiem ties</w:t>
      </w:r>
      <w:r>
        <w:rPr>
          <w:rFonts w:asciiTheme="majorHAnsi" w:hAnsiTheme="majorHAnsi"/>
          <w:noProof/>
          <w:color w:val="000000"/>
        </w:rPr>
        <w:t>ību aktiem mainās uz pakļautību citas valsts aktiem, vai arī dara šos elementus pieejamus minētajām iestādēm, kā arī kopīgi nodrošina, ka šie identifikācijas elementi tiek saglabāti un ir atbilstīgi, vai – citādā gadījumā – nodrošina šīm personām līdzekļus</w:t>
      </w:r>
      <w:r>
        <w:rPr>
          <w:rFonts w:asciiTheme="majorHAnsi" w:hAnsiTheme="majorHAnsi"/>
          <w:noProof/>
          <w:color w:val="000000"/>
        </w:rPr>
        <w:t>, lai tās tieši varētu piekļūt saviem identifikācijas elementiem;</w:t>
      </w:r>
    </w:p>
    <w:p w:rsidR="003E022D" w:rsidRDefault="007D19D6">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pietiekami laicīgi pirms minimālā vecuma, kad sākas tiesības uz pensiju, vai pirms vecuma, kas ir jānosaka ar attiecīgās valsts tiesību aktiem, ar attiecīgo personu un citu valstu iestādēm a</w:t>
      </w:r>
      <w:r>
        <w:rPr>
          <w:rFonts w:asciiTheme="majorHAnsi" w:hAnsiTheme="majorHAnsi"/>
          <w:noProof/>
          <w:color w:val="000000"/>
        </w:rPr>
        <w:t>pmainās ar informāciju (izpildītie periodi vai citi svarīgi elementi) par tādu personu pensijas tiesībām, kuru pakļautība vienas valsts piemērojamajiem tiesību aktiem ir mainījusies uz pakļautību citas valsts tiesību aktiem, vai šo informāciju dara pieejam</w:t>
      </w:r>
      <w:r>
        <w:rPr>
          <w:rFonts w:asciiTheme="majorHAnsi" w:hAnsiTheme="majorHAnsi"/>
          <w:noProof/>
          <w:color w:val="000000"/>
        </w:rPr>
        <w:t xml:space="preserve">u minētajai personai un minētajām iestādēm, vai — citādā gadījumā — informē šīs personas par līdzekļiem vai tos nodrošina, lai tās varētu iepazīties ar savām tiesībām uz pabalstiem, kas tām pienāksies nākotnē. </w:t>
      </w:r>
    </w:p>
    <w:p w:rsidR="003E022D" w:rsidRDefault="007D19D6">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Piemērojot 1. punktu, Specializētā sociālā no</w:t>
      </w:r>
      <w:r>
        <w:rPr>
          <w:rFonts w:asciiTheme="majorHAnsi" w:hAnsiTheme="majorHAnsi"/>
          <w:noProof/>
          <w:color w:val="000000"/>
        </w:rPr>
        <w:t>drošinājuma koordinācijas komiteja nosaka tās informācijas elementus, ar kuru apmainās vai kuru dara pieejamu, un nosaka piemērotas procedūras un mehānismus, ņemot vērā īpatnības, administratīvo un tehnisko organizāciju un valstu pensiju sistēmām pieejamos</w:t>
      </w:r>
      <w:r>
        <w:rPr>
          <w:rFonts w:asciiTheme="majorHAnsi" w:hAnsiTheme="majorHAnsi"/>
          <w:noProof/>
          <w:color w:val="000000"/>
        </w:rPr>
        <w:t xml:space="preserve"> tehnoloģiskos līdzekļus. Specializētā sociālā nodrošinājuma koordinācijas komiteja nodrošina, ka tiek īstenotas šīs pensiju sistēmas, organizējot pārbaudes attiecībā uz pieņemtajiem pasākumiem un to piemērošanu.</w:t>
      </w:r>
    </w:p>
    <w:p w:rsidR="003E022D" w:rsidRDefault="007D19D6">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Piemērojot 1. punktu, šajā pantā minētā inf</w:t>
      </w:r>
      <w:r>
        <w:rPr>
          <w:rFonts w:asciiTheme="majorHAnsi" w:hAnsiTheme="majorHAnsi"/>
          <w:noProof/>
          <w:color w:val="000000"/>
        </w:rPr>
        <w:t>ormācija jāsniedz iestādei tajā valstī, kurā sociālā nodrošinājuma administrēšanas nolūkos personai pirmo reizi piešķīra personas identifikācijas numuru (PIN).</w:t>
      </w:r>
    </w:p>
    <w:p w:rsidR="003E022D" w:rsidRDefault="007D19D6">
      <w:pPr>
        <w:pStyle w:val="Article"/>
        <w:rPr>
          <w:noProof/>
        </w:rPr>
      </w:pPr>
      <w:r>
        <w:rPr>
          <w:noProof/>
        </w:rPr>
        <w:t>SSCI.45. pants.  Koordinēšanas pasākumi valstīs</w:t>
      </w:r>
    </w:p>
    <w:p w:rsidR="003E022D" w:rsidRDefault="007D19D6">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Neskarot protokola SSC.46. pantu [Īpaši noteikum</w:t>
      </w:r>
      <w:r>
        <w:rPr>
          <w:rFonts w:asciiTheme="majorHAnsi" w:hAnsiTheme="majorHAnsi"/>
          <w:noProof/>
          <w:color w:val="000000"/>
        </w:rPr>
        <w:t>i par periodu summēšanu], ja valsts tiesību aktos ir ietverti noteikumi, lai noteiktu atbildīgo iestādi vai piemērojamo sistēmu, vai lai apdrošināšanas periodus piešķirtu konkrētai sistēmai, tad piemēro šos noteikumus, ņemot vērā vienīgi tādus apdrošināšan</w:t>
      </w:r>
      <w:r>
        <w:rPr>
          <w:rFonts w:asciiTheme="majorHAnsi" w:hAnsiTheme="majorHAnsi"/>
          <w:noProof/>
          <w:color w:val="000000"/>
        </w:rPr>
        <w:t xml:space="preserve">as periodus, kas ir izpildīti saskaņā ar attiecīgās valsts tiesību aktiem. </w:t>
      </w:r>
    </w:p>
    <w:p w:rsidR="003E022D" w:rsidRDefault="007D19D6">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Ja valsts tiesību aktos ietverti noteikumi, ar kuriem koordinē īpašas sistēmas, ko piemēro ierēdņiem, un vispārējo sistēmu, ko piemēro nodarbinātām personām, tad minētos noteikumus</w:t>
      </w:r>
      <w:r>
        <w:rPr>
          <w:rFonts w:asciiTheme="majorHAnsi" w:hAnsiTheme="majorHAnsi"/>
          <w:noProof/>
          <w:color w:val="000000"/>
        </w:rPr>
        <w:t xml:space="preserve"> neskar protokola un šā pielikuma noteikumi.</w:t>
      </w:r>
    </w:p>
    <w:p w:rsidR="003E022D" w:rsidRDefault="007D19D6">
      <w:pPr>
        <w:pStyle w:val="Chapter"/>
        <w:rPr>
          <w:b/>
          <w:noProof/>
        </w:rPr>
      </w:pPr>
      <w:r>
        <w:rPr>
          <w:noProof/>
        </w:rPr>
        <w:t>5. NODAĻA.  BEZDARBNIEKA PABALSTI</w:t>
      </w:r>
    </w:p>
    <w:p w:rsidR="003E022D" w:rsidRDefault="007D19D6">
      <w:pPr>
        <w:pStyle w:val="Article"/>
        <w:rPr>
          <w:noProof/>
        </w:rPr>
      </w:pPr>
      <w:r>
        <w:rPr>
          <w:noProof/>
        </w:rPr>
        <w:t>SSCI.46. pants.  Periodu summēšana un pabalstu aprēķins</w:t>
      </w:r>
    </w:p>
    <w:p w:rsidR="003E022D" w:rsidRDefault="007D19D6">
      <w:pPr>
        <w:numPr>
          <w:ilvl w:val="0"/>
          <w:numId w:val="1162"/>
        </w:numPr>
        <w:ind w:left="0" w:firstLine="0"/>
        <w:rPr>
          <w:rFonts w:asciiTheme="majorHAnsi" w:eastAsia="Arial" w:hAnsiTheme="majorHAnsi" w:cs="Arial"/>
          <w:noProof/>
          <w:color w:val="000000"/>
        </w:rPr>
      </w:pPr>
      <w:r>
        <w:rPr>
          <w:rFonts w:asciiTheme="majorHAnsi" w:hAnsiTheme="majorHAnsi"/>
          <w:noProof/>
        </w:rPr>
        <w:t xml:space="preserve">Saistībā ar protokola SSC.56. pantu [Īpaši noteikumi par apdrošināšanas, nodarbinātības vai pašnodarbinātības periodu </w:t>
      </w:r>
      <w:r>
        <w:rPr>
          <w:rFonts w:asciiTheme="majorHAnsi" w:hAnsiTheme="majorHAnsi"/>
          <w:noProof/>
        </w:rPr>
        <w:t>summēšanu] pēc analoģijas piemēro šā pielikuma SSCI.11. panta [Periodu summēšana] 1. punktu.</w:t>
      </w:r>
      <w:r>
        <w:rPr>
          <w:rFonts w:asciiTheme="majorHAnsi" w:hAnsiTheme="majorHAnsi"/>
          <w:noProof/>
          <w:color w:val="000000"/>
        </w:rPr>
        <w:t xml:space="preserve"> </w:t>
      </w:r>
      <w:r>
        <w:rPr>
          <w:noProof/>
        </w:rPr>
        <w:t>Neskarot iesaistīto iestāžu pamatpienākumus, attiecīgā persona var iesniegt kompetentai iestādei tās valsts iestādes izsniegtu dokumentu, kuras tiesību aktiem tā b</w:t>
      </w:r>
      <w:r>
        <w:rPr>
          <w:noProof/>
        </w:rPr>
        <w:t>ijusi pakļauta savas pēdējās nodarbinātības vai pašnodarbinātās darbības laikā, norādot periodus, kas ir izpildīti saskaņā ar šiem tiesību aktiem.</w:t>
      </w:r>
      <w:r>
        <w:rPr>
          <w:rFonts w:asciiTheme="majorHAnsi" w:hAnsiTheme="majorHAnsi"/>
          <w:noProof/>
          <w:color w:val="000000"/>
        </w:rPr>
        <w:t xml:space="preserve"> </w:t>
      </w:r>
    </w:p>
    <w:p w:rsidR="003E022D" w:rsidRDefault="007D19D6">
      <w:pPr>
        <w:numPr>
          <w:ilvl w:val="0"/>
          <w:numId w:val="1162"/>
        </w:numPr>
        <w:ind w:left="0" w:firstLine="0"/>
        <w:rPr>
          <w:rFonts w:asciiTheme="majorHAnsi" w:eastAsia="Arial" w:hAnsiTheme="majorHAnsi" w:cs="Arial"/>
          <w:noProof/>
          <w:color w:val="000000"/>
        </w:rPr>
      </w:pPr>
      <w:r>
        <w:rPr>
          <w:noProof/>
        </w:rPr>
        <w:t>Lai piemērotu SSC.57. pantu [Bezdarba pabalstu aprēķināšana], tās valsts kompetentā iestāde, kuras tiesību a</w:t>
      </w:r>
      <w:r>
        <w:rPr>
          <w:noProof/>
        </w:rPr>
        <w:t>ktos paredzēts, ka pabalstu aprēķins mainās atkarībā no ģimenes locekļu skaita, ņem vērā ieinteresētās personas ģimenes locekļus, kas dzīvo citā valstī, tā, kā to darītu gadījumā, ja viņi dzīvotu kompetentajā valstī.</w:t>
      </w:r>
      <w:r>
        <w:rPr>
          <w:rFonts w:asciiTheme="majorHAnsi" w:hAnsiTheme="majorHAnsi"/>
          <w:noProof/>
          <w:color w:val="000000"/>
        </w:rPr>
        <w:t xml:space="preserve"> Šo noteikumu nepiemēro, ja ģimenes loce</w:t>
      </w:r>
      <w:r>
        <w:rPr>
          <w:rFonts w:asciiTheme="majorHAnsi" w:hAnsiTheme="majorHAnsi"/>
          <w:noProof/>
          <w:color w:val="000000"/>
        </w:rPr>
        <w:t>kļu dzīvesvietas valstī citai personai ir tiesības uz bezdarbnieka pabalstu, kura aprēķināšanai minētos ģimenes locekļus ņem vērā.</w:t>
      </w:r>
    </w:p>
    <w:p w:rsidR="003E022D" w:rsidRDefault="007D19D6">
      <w:pPr>
        <w:jc w:val="center"/>
        <w:rPr>
          <w:rFonts w:eastAsia="Arial" w:cs="Arial"/>
          <w:noProof/>
          <w:color w:val="000000"/>
        </w:rPr>
      </w:pPr>
      <w:bookmarkStart w:id="1483" w:name="_Toc59110617"/>
      <w:r>
        <w:rPr>
          <w:noProof/>
        </w:rPr>
        <w:t>IV SADAĻA. FINANŠU NOTEIKUMI</w:t>
      </w:r>
      <w:bookmarkEnd w:id="1483"/>
    </w:p>
    <w:p w:rsidR="003E022D" w:rsidRDefault="007D19D6">
      <w:pPr>
        <w:pStyle w:val="Chapter"/>
        <w:rPr>
          <w:b/>
          <w:noProof/>
        </w:rPr>
      </w:pPr>
      <w:r>
        <w:rPr>
          <w:noProof/>
        </w:rPr>
        <w:t>1. NODAĻA.  PABALSTU IZDEVUMU ATMAKSĀŠANA, PIEMĒROJOT PROTOKOLA SSC.30. PANTU [Iestāžu savstarpē</w:t>
      </w:r>
      <w:r>
        <w:rPr>
          <w:noProof/>
        </w:rPr>
        <w:t>jie norēķini] UN SSC.36. PANTU [Atlīdzinājums starp iestādēm] PUNKTA [Iestāžu savstarpējie norēķini]</w:t>
      </w:r>
    </w:p>
    <w:p w:rsidR="003E022D" w:rsidRDefault="007D19D6">
      <w:pPr>
        <w:pStyle w:val="Section"/>
        <w:rPr>
          <w:noProof/>
        </w:rPr>
      </w:pPr>
      <w:r>
        <w:rPr>
          <w:noProof/>
        </w:rPr>
        <w:t>1. iedaļa.  Atmaksāšana, pamatojoties uz reāliem izdevumiem</w:t>
      </w:r>
    </w:p>
    <w:p w:rsidR="003E022D" w:rsidRDefault="007D19D6">
      <w:pPr>
        <w:pStyle w:val="Article"/>
        <w:rPr>
          <w:noProof/>
        </w:rPr>
      </w:pPr>
      <w:r>
        <w:rPr>
          <w:noProof/>
        </w:rPr>
        <w:t>SSCI.47. pants. Principi</w:t>
      </w:r>
    </w:p>
    <w:p w:rsidR="003E022D" w:rsidRDefault="007D19D6">
      <w:pPr>
        <w:numPr>
          <w:ilvl w:val="0"/>
          <w:numId w:val="1169"/>
        </w:numPr>
        <w:ind w:left="0" w:firstLine="0"/>
        <w:rPr>
          <w:rFonts w:asciiTheme="majorHAnsi" w:eastAsia="Arial" w:hAnsiTheme="majorHAnsi" w:cs="Arial"/>
          <w:noProof/>
          <w:color w:val="000000"/>
        </w:rPr>
      </w:pPr>
      <w:r>
        <w:rPr>
          <w:rFonts w:asciiTheme="majorHAnsi" w:hAnsiTheme="majorHAnsi"/>
          <w:noProof/>
        </w:rPr>
        <w:t xml:space="preserve">Piemērojot protokola SSC.30. pantu [Iestāžu savstarpējie norēķini] un </w:t>
      </w:r>
      <w:r>
        <w:rPr>
          <w:rFonts w:asciiTheme="majorHAnsi" w:hAnsiTheme="majorHAnsi"/>
          <w:noProof/>
        </w:rPr>
        <w:t>SSC.36. pantu [Iestāžu savstarpējie norēķini], pabalstu natūrā reālo summu kompetentā iestāde atmaksā iestādei, kas tos piešķīrusi, saskaņā ar minētās iestādes aprēķiniem, izņemot gadījumu, kad piemēro šā</w:t>
      </w:r>
      <w:r>
        <w:rPr>
          <w:rFonts w:asciiTheme="majorHAnsi" w:hAnsiTheme="majorHAnsi"/>
          <w:noProof/>
          <w:color w:val="000000"/>
        </w:rPr>
        <w:t xml:space="preserve"> pielikuma SSC.57. pantu [Provizoriski sniegti naudas pabalsti vai iemaksas]</w:t>
      </w:r>
      <w:r>
        <w:rPr>
          <w:rFonts w:asciiTheme="majorHAnsi" w:hAnsiTheme="majorHAnsi"/>
          <w:noProof/>
        </w:rPr>
        <w:t>.</w:t>
      </w:r>
      <w:r>
        <w:rPr>
          <w:rFonts w:asciiTheme="majorHAnsi" w:hAnsiTheme="majorHAnsi"/>
          <w:noProof/>
          <w:color w:val="000000"/>
        </w:rPr>
        <w:t>  </w:t>
      </w:r>
    </w:p>
    <w:p w:rsidR="003E022D" w:rsidRDefault="007D19D6">
      <w:pPr>
        <w:numPr>
          <w:ilvl w:val="0"/>
          <w:numId w:val="1169"/>
        </w:numPr>
        <w:ind w:left="0" w:firstLine="0"/>
        <w:rPr>
          <w:rFonts w:asciiTheme="majorHAnsi" w:eastAsia="Arial" w:hAnsiTheme="majorHAnsi" w:cs="Arial"/>
          <w:noProof/>
          <w:color w:val="000000"/>
        </w:rPr>
      </w:pPr>
      <w:r>
        <w:rPr>
          <w:rFonts w:asciiTheme="majorHAnsi" w:hAnsiTheme="majorHAnsi"/>
          <w:noProof/>
          <w:color w:val="000000"/>
        </w:rPr>
        <w:t>Ja visa reālā izdevumu summa vai tās daļa, kas ir minēta 1. punktā, nav uzrādīta tās iestādes grāmatvedībā, kas ir piešķīrusi šos pabalstus, atmaksājamo summu nosaka, pamatojot</w:t>
      </w:r>
      <w:r>
        <w:rPr>
          <w:rFonts w:asciiTheme="majorHAnsi" w:hAnsiTheme="majorHAnsi"/>
          <w:noProof/>
          <w:color w:val="000000"/>
        </w:rPr>
        <w:t>ies uz vienreizēju maksājumu, kas aprēķināts, ņemot vērā visas atbilstīgās atsauces, kas iegūtas no iesniegtajiem datiem. Specializētā sociālā nodrošinājuma koordinācijas komiteja nosaka kārtību, kādā aprēķināms vienreizējais maksājums, un apstiprina tā su</w:t>
      </w:r>
      <w:r>
        <w:rPr>
          <w:rFonts w:asciiTheme="majorHAnsi" w:hAnsiTheme="majorHAnsi"/>
          <w:noProof/>
          <w:color w:val="000000"/>
        </w:rPr>
        <w:t>mmu. </w:t>
      </w:r>
    </w:p>
    <w:p w:rsidR="003E022D" w:rsidRDefault="007D19D6">
      <w:pPr>
        <w:numPr>
          <w:ilvl w:val="0"/>
          <w:numId w:val="1169"/>
        </w:numPr>
        <w:ind w:left="0" w:firstLine="0"/>
        <w:rPr>
          <w:rFonts w:asciiTheme="majorHAnsi" w:eastAsia="Arial" w:hAnsiTheme="majorHAnsi" w:cs="Arial"/>
          <w:noProof/>
          <w:color w:val="000000"/>
        </w:rPr>
      </w:pPr>
      <w:r>
        <w:rPr>
          <w:rFonts w:asciiTheme="majorHAnsi" w:hAnsiTheme="majorHAnsi"/>
          <w:noProof/>
          <w:color w:val="000000"/>
        </w:rPr>
        <w:t>Atmaksāšanas gadījumā nevar ņemt vērā augstākus tarifus par tiem, kas ir piemērojami pabalstiem natūrā, kurus izsniedz apdrošinātām personām, kam ir saistoši tiesību akti, kurus piemēro iestāde, kas ir izsniegusi 1. punktā minētos pabalstus.</w:t>
      </w:r>
    </w:p>
    <w:p w:rsidR="003E022D" w:rsidRDefault="007D19D6">
      <w:pPr>
        <w:pStyle w:val="Section"/>
        <w:rPr>
          <w:noProof/>
        </w:rPr>
      </w:pPr>
      <w:r>
        <w:rPr>
          <w:noProof/>
        </w:rPr>
        <w:t>2. iedaļ</w:t>
      </w:r>
      <w:r>
        <w:rPr>
          <w:noProof/>
        </w:rPr>
        <w:t>a.  Pabalstu atmaksāšana, pamatojoties uz fiksētām summām</w:t>
      </w:r>
    </w:p>
    <w:p w:rsidR="003E022D" w:rsidRDefault="007D19D6">
      <w:pPr>
        <w:pStyle w:val="Article"/>
        <w:rPr>
          <w:noProof/>
        </w:rPr>
      </w:pPr>
      <w:r>
        <w:rPr>
          <w:noProof/>
        </w:rPr>
        <w:t>SSCI.48. pants. Attiecīgās(-o) valsts(-u) noteikšana</w:t>
      </w:r>
    </w:p>
    <w:p w:rsidR="003E022D" w:rsidRDefault="007D19D6">
      <w:pPr>
        <w:numPr>
          <w:ilvl w:val="0"/>
          <w:numId w:val="1170"/>
        </w:numPr>
        <w:ind w:left="0" w:firstLine="0"/>
        <w:rPr>
          <w:rFonts w:asciiTheme="majorHAnsi" w:eastAsia="Arial" w:hAnsiTheme="majorHAnsi" w:cs="Arial"/>
          <w:noProof/>
          <w:color w:val="000000"/>
        </w:rPr>
      </w:pPr>
      <w:r>
        <w:rPr>
          <w:rFonts w:asciiTheme="majorHAnsi" w:hAnsiTheme="majorHAnsi"/>
          <w:noProof/>
        </w:rPr>
        <w:t>Valstis, kas minētas protokola SSC.30. panta [Iestāžu savstarpējie norēķini] 2. punktā un kuru juridiskās vai administratīvās struktūras ir tādas</w:t>
      </w:r>
      <w:r>
        <w:rPr>
          <w:rFonts w:asciiTheme="majorHAnsi" w:hAnsiTheme="majorHAnsi"/>
          <w:noProof/>
        </w:rPr>
        <w:t>, ka atmaksāšana, pamatojoties uz reāliem izdevumiem nav piemērota, ir uzskaitītas šā pielikuma SSCI-3. papildinājumā.</w:t>
      </w:r>
      <w:r>
        <w:rPr>
          <w:rFonts w:asciiTheme="majorHAnsi" w:hAnsiTheme="majorHAnsi"/>
          <w:noProof/>
          <w:color w:val="000000"/>
        </w:rPr>
        <w:t> </w:t>
      </w:r>
    </w:p>
    <w:p w:rsidR="003E022D" w:rsidRDefault="007D19D6">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Gadījumā, ja valstis ir uzskaitītas šā pielikuma SSCI-3. papildinājumā, to pabalstu natūrā apmēru, kas izsniegti:  </w:t>
      </w:r>
    </w:p>
    <w:p w:rsidR="003E022D" w:rsidRDefault="007D19D6">
      <w:pPr>
        <w:numPr>
          <w:ilvl w:val="0"/>
          <w:numId w:val="1179"/>
        </w:numPr>
        <w:ind w:left="567" w:hanging="567"/>
        <w:rPr>
          <w:rFonts w:asciiTheme="majorHAnsi" w:eastAsia="Arial" w:hAnsiTheme="majorHAnsi" w:cs="Arial"/>
          <w:noProof/>
          <w:color w:val="000000"/>
        </w:rPr>
      </w:pPr>
      <w:r>
        <w:rPr>
          <w:rFonts w:asciiTheme="majorHAnsi" w:hAnsiTheme="majorHAnsi"/>
          <w:noProof/>
        </w:rPr>
        <w:t>ģimenes locekļiem, k</w:t>
      </w:r>
      <w:r>
        <w:rPr>
          <w:rFonts w:asciiTheme="majorHAnsi" w:hAnsiTheme="majorHAnsi"/>
          <w:noProof/>
        </w:rPr>
        <w:t>as nedzīvo tajā pašā dalībvalstī, kurā dzīvo apdrošinātā persona, saskaņā ar protokola SSC.15. pantu [Dzīvesvieta valstī, kura nav kompetentā valsts]</w:t>
      </w:r>
      <w:r>
        <w:rPr>
          <w:rFonts w:asciiTheme="majorHAnsi" w:hAnsiTheme="majorHAnsi"/>
          <w:noProof/>
          <w:color w:val="000000"/>
        </w:rPr>
        <w:t xml:space="preserve"> un  </w:t>
      </w:r>
    </w:p>
    <w:p w:rsidR="003E022D" w:rsidRDefault="007D19D6">
      <w:pPr>
        <w:numPr>
          <w:ilvl w:val="0"/>
          <w:numId w:val="1179"/>
        </w:numPr>
        <w:ind w:left="567" w:hanging="567"/>
        <w:rPr>
          <w:rFonts w:asciiTheme="majorHAnsi" w:eastAsia="Arial" w:hAnsiTheme="majorHAnsi" w:cs="Arial"/>
          <w:noProof/>
          <w:color w:val="000000"/>
        </w:rPr>
      </w:pPr>
      <w:r>
        <w:rPr>
          <w:rFonts w:asciiTheme="majorHAnsi" w:hAnsiTheme="majorHAnsi"/>
          <w:noProof/>
        </w:rPr>
        <w:t>pensionāriem un to ģimenes locekļiem saskaņā ar protokola SSC.22. panta [Tiesību uz pabalstiem natūrā</w:t>
      </w:r>
      <w:r>
        <w:rPr>
          <w:rFonts w:asciiTheme="majorHAnsi" w:hAnsiTheme="majorHAnsi"/>
          <w:noProof/>
        </w:rPr>
        <w:t xml:space="preserve"> neesība saskaņā ar dzīvesvietas valsts tiesību aktiem] 1. punktu, SSC.23. pantu [Pensijas saskaņā ar vienas vai vairāku tādu valstu tiesību aktiem, kuras nav dzīvesvietas valstis, ja ir tiesības uz pabalstiem natūrā dzīvesvietas valstī] un </w:t>
      </w:r>
      <w:r>
        <w:rPr>
          <w:rFonts w:asciiTheme="majorHAnsi" w:hAnsiTheme="majorHAnsi"/>
          <w:noProof/>
          <w:color w:val="000000"/>
        </w:rPr>
        <w:t>SSC.24. pantu [</w:t>
      </w:r>
      <w:r>
        <w:rPr>
          <w:rFonts w:asciiTheme="majorHAnsi" w:hAnsiTheme="majorHAnsi"/>
          <w:noProof/>
          <w:color w:val="000000"/>
        </w:rPr>
        <w:t xml:space="preserve">Ģimenes locekļu dzīvesvieta valstī, kurā nedzīvo pensionārs], </w:t>
      </w:r>
    </w:p>
    <w:p w:rsidR="003E022D" w:rsidRDefault="007D19D6">
      <w:pPr>
        <w:rPr>
          <w:rFonts w:asciiTheme="majorHAnsi" w:eastAsia="Arial" w:hAnsiTheme="majorHAnsi" w:cs="Arial"/>
          <w:noProof/>
          <w:color w:val="000000"/>
        </w:rPr>
      </w:pPr>
      <w:r>
        <w:rPr>
          <w:rFonts w:asciiTheme="majorHAnsi" w:hAnsiTheme="majorHAnsi"/>
          <w:noProof/>
          <w:color w:val="000000"/>
        </w:rPr>
        <w:t>atmaksā kompetentās iestādes tām iestādēm, kas piešķīrušas minētos pabalstus, pamatojoties uz fiksētu summu, kas noteikta katram kalendārajam gadam. Šī summa iespēju robežās atbilst reālajiem i</w:t>
      </w:r>
      <w:r>
        <w:rPr>
          <w:rFonts w:asciiTheme="majorHAnsi" w:hAnsiTheme="majorHAnsi"/>
          <w:noProof/>
          <w:color w:val="000000"/>
        </w:rPr>
        <w:t>zdevumiem.</w:t>
      </w:r>
    </w:p>
    <w:p w:rsidR="003E022D" w:rsidRDefault="007D19D6">
      <w:pPr>
        <w:pStyle w:val="Article"/>
        <w:rPr>
          <w:rFonts w:asciiTheme="majorHAnsi" w:eastAsia="Arial" w:hAnsiTheme="majorHAnsi" w:cs="Arial"/>
          <w:noProof/>
          <w:color w:val="000000"/>
        </w:rPr>
      </w:pPr>
      <w:r>
        <w:rPr>
          <w:noProof/>
        </w:rPr>
        <w:t xml:space="preserve">SSCI.49. pants. </w:t>
      </w:r>
      <w:r>
        <w:rPr>
          <w:rFonts w:asciiTheme="majorHAnsi" w:hAnsiTheme="majorHAnsi"/>
          <w:noProof/>
          <w:color w:val="000000"/>
        </w:rPr>
        <w:t>Aprēķina metode, balstoties uz ikmēneša fiksēto summu un kopējo fiksēto summu</w:t>
      </w:r>
    </w:p>
    <w:p w:rsidR="003E022D" w:rsidRDefault="007D19D6">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Katrai kreditora valstij ikmēneša fiksēto summu vienai personai (Fi) kalendārajā gadā nosaka, dalot gada vidējās izmaksas uz cilvēku (Yi) atbilstīgi ve</w:t>
      </w:r>
      <w:r>
        <w:rPr>
          <w:rFonts w:asciiTheme="majorHAnsi" w:hAnsiTheme="majorHAnsi"/>
          <w:noProof/>
          <w:color w:val="000000"/>
        </w:rPr>
        <w:t>cuma grupai ar 12 un no rezultāta atņemot summu (X) atbilstīgi šādai formulai:  </w:t>
      </w:r>
    </w:p>
    <w:p w:rsidR="003E022D" w:rsidRDefault="007D19D6">
      <w:pPr>
        <w:pBdr>
          <w:top w:val="nil"/>
          <w:left w:val="nil"/>
          <w:bottom w:val="nil"/>
          <w:right w:val="nil"/>
          <w:between w:val="nil"/>
        </w:pBdr>
        <w:spacing w:before="271"/>
        <w:ind w:left="1339" w:firstLine="100"/>
        <w:rPr>
          <w:rFonts w:asciiTheme="majorHAnsi" w:eastAsia="Arial" w:hAnsiTheme="majorHAnsi" w:cs="Arial"/>
          <w:noProof/>
          <w:color w:val="000000"/>
        </w:rPr>
      </w:pPr>
      <w:r>
        <w:rPr>
          <w:rFonts w:asciiTheme="majorHAnsi" w:hAnsiTheme="majorHAnsi"/>
          <w:noProof/>
          <w:color w:val="000000"/>
        </w:rPr>
        <w:t>F</w:t>
      </w:r>
      <w:r>
        <w:rPr>
          <w:rFonts w:asciiTheme="majorHAnsi" w:hAnsiTheme="majorHAnsi"/>
          <w:noProof/>
          <w:color w:val="000000"/>
          <w:vertAlign w:val="subscript"/>
        </w:rPr>
        <w:t>i</w:t>
      </w:r>
      <w:r>
        <w:rPr>
          <w:rFonts w:asciiTheme="majorHAnsi" w:hAnsiTheme="majorHAnsi"/>
          <w:noProof/>
          <w:color w:val="000000"/>
        </w:rPr>
        <w:t xml:space="preserve"> = Y</w:t>
      </w:r>
      <w:r>
        <w:rPr>
          <w:rFonts w:asciiTheme="majorHAnsi" w:hAnsiTheme="majorHAnsi"/>
          <w:noProof/>
          <w:color w:val="000000"/>
          <w:vertAlign w:val="subscript"/>
        </w:rPr>
        <w:t>i</w:t>
      </w:r>
      <w:r>
        <w:rPr>
          <w:rFonts w:asciiTheme="majorHAnsi" w:hAnsiTheme="majorHAnsi"/>
          <w:noProof/>
          <w:color w:val="000000"/>
        </w:rPr>
        <w:t>*1/12*(1-X)  </w:t>
      </w:r>
    </w:p>
    <w:p w:rsidR="003E022D" w:rsidRDefault="007D19D6">
      <w:pPr>
        <w:pBdr>
          <w:top w:val="nil"/>
          <w:left w:val="nil"/>
          <w:bottom w:val="nil"/>
          <w:right w:val="nil"/>
          <w:between w:val="nil"/>
        </w:pBdr>
        <w:spacing w:before="272"/>
        <w:ind w:left="1226" w:firstLine="113"/>
        <w:rPr>
          <w:rFonts w:asciiTheme="majorHAnsi" w:eastAsia="Arial" w:hAnsiTheme="majorHAnsi" w:cs="Arial"/>
          <w:noProof/>
          <w:color w:val="000000"/>
        </w:rPr>
      </w:pPr>
      <w:r>
        <w:rPr>
          <w:rFonts w:asciiTheme="majorHAnsi" w:hAnsiTheme="majorHAnsi"/>
          <w:noProof/>
          <w:color w:val="000000"/>
        </w:rPr>
        <w:t>Šajā formulā simboliem ir šāda nozīme:  </w:t>
      </w:r>
    </w:p>
    <w:p w:rsidR="003E022D" w:rsidRDefault="007D19D6">
      <w:pPr>
        <w:numPr>
          <w:ilvl w:val="3"/>
          <w:numId w:val="1112"/>
        </w:numPr>
        <w:pBdr>
          <w:top w:val="nil"/>
          <w:left w:val="nil"/>
          <w:bottom w:val="nil"/>
          <w:right w:val="nil"/>
          <w:between w:val="nil"/>
        </w:pBdr>
        <w:spacing w:before="294" w:after="160"/>
        <w:ind w:left="1701" w:right="456"/>
        <w:jc w:val="left"/>
        <w:rPr>
          <w:rFonts w:asciiTheme="majorHAnsi" w:hAnsiTheme="majorHAnsi"/>
          <w:noProof/>
        </w:rPr>
      </w:pPr>
      <w:r>
        <w:rPr>
          <w:rFonts w:asciiTheme="majorHAnsi" w:hAnsiTheme="majorHAnsi"/>
          <w:noProof/>
          <w:color w:val="000000"/>
        </w:rPr>
        <w:t xml:space="preserve">indekss (i = 1, 2 un 3) atspoguļo trīs vecuma grupas, kas noteiktas, lai aprēķinātu fiksēto summu:  </w:t>
      </w:r>
    </w:p>
    <w:p w:rsidR="003E022D" w:rsidRDefault="007D19D6">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 xml:space="preserve">i = 1: </w:t>
      </w:r>
      <w:r>
        <w:rPr>
          <w:rFonts w:asciiTheme="majorHAnsi" w:hAnsiTheme="majorHAnsi"/>
          <w:noProof/>
          <w:color w:val="000000"/>
        </w:rPr>
        <w:t>personas, kas jaunākas par 20 gadiem, </w:t>
      </w:r>
    </w:p>
    <w:p w:rsidR="003E022D" w:rsidRDefault="007D19D6">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2: personas vecumā no 20 līdz 64 gadiem,</w:t>
      </w:r>
    </w:p>
    <w:p w:rsidR="003E022D" w:rsidRDefault="007D19D6">
      <w:pPr>
        <w:numPr>
          <w:ilvl w:val="3"/>
          <w:numId w:val="1112"/>
        </w:numPr>
        <w:pBdr>
          <w:top w:val="nil"/>
          <w:left w:val="nil"/>
          <w:bottom w:val="nil"/>
          <w:right w:val="nil"/>
          <w:between w:val="nil"/>
        </w:pBdr>
        <w:spacing w:after="134" w:line="480" w:lineRule="auto"/>
        <w:ind w:left="1701" w:right="456"/>
        <w:jc w:val="left"/>
        <w:rPr>
          <w:rFonts w:asciiTheme="majorHAnsi" w:hAnsiTheme="majorHAnsi"/>
          <w:noProof/>
        </w:rPr>
      </w:pPr>
      <w:r>
        <w:rPr>
          <w:rFonts w:asciiTheme="majorHAnsi" w:hAnsiTheme="majorHAnsi"/>
          <w:noProof/>
          <w:color w:val="000000"/>
        </w:rPr>
        <w:t>i = 3: personas, kas vecākas par 65 gadiem,</w:t>
      </w:r>
    </w:p>
    <w:p w:rsidR="003E022D" w:rsidRDefault="007D19D6">
      <w:pPr>
        <w:numPr>
          <w:ilvl w:val="3"/>
          <w:numId w:val="1112"/>
        </w:numPr>
        <w:pBdr>
          <w:top w:val="nil"/>
          <w:left w:val="nil"/>
          <w:bottom w:val="nil"/>
          <w:right w:val="nil"/>
          <w:between w:val="nil"/>
        </w:pBdr>
        <w:spacing w:before="134" w:after="160"/>
        <w:ind w:left="1701" w:right="454" w:hanging="357"/>
        <w:jc w:val="left"/>
        <w:rPr>
          <w:rFonts w:asciiTheme="majorHAnsi" w:hAnsiTheme="majorHAnsi"/>
          <w:noProof/>
        </w:rPr>
      </w:pPr>
      <w:r>
        <w:rPr>
          <w:rFonts w:asciiTheme="majorHAnsi" w:hAnsiTheme="majorHAnsi"/>
          <w:noProof/>
          <w:color w:val="000000"/>
        </w:rPr>
        <w:t>Y</w:t>
      </w:r>
      <w:r>
        <w:rPr>
          <w:rFonts w:asciiTheme="majorHAnsi" w:hAnsiTheme="majorHAnsi"/>
          <w:noProof/>
          <w:color w:val="000000"/>
          <w:vertAlign w:val="subscript"/>
        </w:rPr>
        <w:t>i</w:t>
      </w:r>
      <w:r>
        <w:rPr>
          <w:rFonts w:asciiTheme="majorHAnsi" w:hAnsiTheme="majorHAnsi"/>
          <w:noProof/>
          <w:color w:val="000000"/>
        </w:rPr>
        <w:t xml:space="preserve"> atspoguļo i vecuma grupas personu vidējās izmaksas, kā tas noteikts 2. punktā, </w:t>
      </w:r>
    </w:p>
    <w:p w:rsidR="003E022D" w:rsidRDefault="007D19D6">
      <w:pPr>
        <w:numPr>
          <w:ilvl w:val="3"/>
          <w:numId w:val="1112"/>
        </w:numPr>
        <w:pBdr>
          <w:top w:val="nil"/>
          <w:left w:val="nil"/>
          <w:bottom w:val="nil"/>
          <w:right w:val="nil"/>
          <w:between w:val="nil"/>
        </w:pBdr>
        <w:spacing w:before="160" w:after="160"/>
        <w:ind w:left="1701" w:right="456"/>
        <w:jc w:val="left"/>
        <w:rPr>
          <w:rFonts w:asciiTheme="majorHAnsi" w:hAnsiTheme="majorHAnsi"/>
          <w:noProof/>
        </w:rPr>
      </w:pPr>
      <w:r>
        <w:rPr>
          <w:rFonts w:asciiTheme="majorHAnsi" w:hAnsiTheme="majorHAnsi"/>
          <w:noProof/>
          <w:color w:val="000000"/>
        </w:rPr>
        <w:t xml:space="preserve">koeficients X (0,20 vai 0,15) atspoguļo </w:t>
      </w:r>
      <w:r>
        <w:rPr>
          <w:rFonts w:asciiTheme="majorHAnsi" w:hAnsiTheme="majorHAnsi"/>
          <w:noProof/>
          <w:color w:val="000000"/>
        </w:rPr>
        <w:t>veikto samazinājumu, kā tas ir noteikts 3. punktā.  </w:t>
      </w:r>
    </w:p>
    <w:p w:rsidR="003E022D" w:rsidRDefault="007D19D6">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Gada vidējās izmaksas uz cilvēku (Yi) vecuma grupā ir iegūtas, dalot atbilstīgos gada izdevumus par visiem izmaksātajiem pabalstiem natūrā, kurus piešķīrušas tās valsts iestādes, kas ir kreditors visām a</w:t>
      </w:r>
      <w:r>
        <w:rPr>
          <w:rFonts w:asciiTheme="majorHAnsi" w:hAnsiTheme="majorHAnsi"/>
          <w:noProof/>
          <w:color w:val="000000"/>
        </w:rPr>
        <w:t>ttiecīgās vecuma grupas personām, uz kurām attiecas tās tiesību akti un kuras dzīvo tās teritorijā, ar vidējo personu skaitu šajā vecuma grupā attiecīgajā kalendārajā gadā. Aprēķins pamatojas uz izdevumiem saskaņā ar šā pielikuma SSCI.20. pantā [Piemērojam</w:t>
      </w:r>
      <w:r>
        <w:rPr>
          <w:rFonts w:asciiTheme="majorHAnsi" w:hAnsiTheme="majorHAnsi"/>
          <w:noProof/>
          <w:color w:val="000000"/>
        </w:rPr>
        <w:t>ā sistēma, ja dzīvesvietas vai uzturēšanās valstī pastāv vairāk nekā viens režīms] minētajām sistēmām.</w:t>
      </w:r>
    </w:p>
    <w:p w:rsidR="003E022D" w:rsidRDefault="007D19D6">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Samazinājums, kas jāpiemēro fiksētai summai, faktiski ir 20 % (X = 0,20). Pensionāriem un to ģimenes locekļiem tas ir vienāds ar 15 % (X = 0,15), ja komp</w:t>
      </w:r>
      <w:r>
        <w:rPr>
          <w:rFonts w:asciiTheme="majorHAnsi" w:hAnsiTheme="majorHAnsi"/>
          <w:noProof/>
          <w:color w:val="000000"/>
        </w:rPr>
        <w:t>etentā valsts nav minēta SSC-3. pielikumā [Lielākas tiesības pernsionāriem, kas atgriežas kompetentajā valstī].</w:t>
      </w:r>
    </w:p>
    <w:p w:rsidR="003E022D" w:rsidRDefault="007D19D6">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 xml:space="preserve">Katrai debitora valstij fiksētā summa, kas noteikta kalendārajam gadam, ir vienāda ar produktu summu, kas iegūta, reizinot katrā vecuma grupā i </w:t>
      </w:r>
      <w:r>
        <w:rPr>
          <w:rFonts w:asciiTheme="majorHAnsi" w:hAnsiTheme="majorHAnsi"/>
          <w:noProof/>
          <w:color w:val="000000"/>
        </w:rPr>
        <w:t>noteikto mēneša fiksēto summu uz cilvēku ar mēnešu skaitu, kurus atbilstīgās vecuma grupas attiecīgās personas ir pavadījušas kreditora valstī.</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Attiecīgo personu kreditora valstī pavadīto mēnešu skaits ir vienāds ar to kalendāro mēnešu skaitu kalendārajā g</w:t>
      </w:r>
      <w:r>
        <w:rPr>
          <w:rFonts w:asciiTheme="majorHAnsi" w:hAnsiTheme="majorHAnsi"/>
          <w:noProof/>
          <w:color w:val="000000"/>
        </w:rPr>
        <w:t>adā, kuru laikā attiecīgās personas bija tiesīgas saņemt pabalstus natūrā tās teritorijā par debitora valsts līdzekļiem, jo tās uzturas kreditora valstī. To mēnešu skaitu nosaka, izmantojot sarakstu, ko šiem nolūkiem veido dzīvesvietas iestāde, pamatojotie</w:t>
      </w:r>
      <w:r>
        <w:rPr>
          <w:rFonts w:asciiTheme="majorHAnsi" w:hAnsiTheme="majorHAnsi"/>
          <w:noProof/>
          <w:color w:val="000000"/>
        </w:rPr>
        <w:t>s uz attiecīgo personu tiesību apstiprinošiem dokumentiem, kurus ir iesniegusi kompetentā iestāde.  </w:t>
      </w:r>
    </w:p>
    <w:p w:rsidR="003E022D" w:rsidRDefault="007D19D6">
      <w:pPr>
        <w:numPr>
          <w:ilvl w:val="0"/>
          <w:numId w:val="1180"/>
        </w:numPr>
        <w:ind w:left="0" w:firstLine="0"/>
        <w:rPr>
          <w:rFonts w:asciiTheme="majorHAnsi" w:eastAsia="Arial" w:hAnsiTheme="majorHAnsi" w:cs="Arial"/>
          <w:noProof/>
          <w:color w:val="000000"/>
        </w:rPr>
      </w:pPr>
      <w:r>
        <w:rPr>
          <w:rFonts w:asciiTheme="majorHAnsi" w:hAnsiTheme="majorHAnsi"/>
          <w:noProof/>
        </w:rPr>
        <w:t>Specializētā sociālā nodrošinājuma koordinācijas komiteja var iesniegt priekšlikumu, kurā ietverti grozījumi, kas var izrādīties vajadzīgi, lai nodrošinātu</w:t>
      </w:r>
      <w:r>
        <w:rPr>
          <w:rFonts w:asciiTheme="majorHAnsi" w:hAnsiTheme="majorHAnsi"/>
          <w:noProof/>
        </w:rPr>
        <w:t>, ka aprēķinātā fiksētā summa ir, cik vien iespējams, pietuvināta reālajiem izdevumiem un ka 3. punktā minētie samazinājumi nerada valstīm nelīdzsvarotus vai dubultus maksājumus.</w:t>
      </w:r>
      <w:r>
        <w:rPr>
          <w:rFonts w:asciiTheme="majorHAnsi" w:hAnsiTheme="majorHAnsi"/>
          <w:noProof/>
          <w:color w:val="000000"/>
        </w:rPr>
        <w:t>  </w:t>
      </w:r>
    </w:p>
    <w:p w:rsidR="003E022D" w:rsidRDefault="007D19D6">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Specializētā sociālā nodrošinājuma koordinācijas komiteja nosaka 1. līdz 5.</w:t>
      </w:r>
      <w:r>
        <w:rPr>
          <w:rFonts w:asciiTheme="majorHAnsi" w:hAnsiTheme="majorHAnsi"/>
          <w:noProof/>
          <w:color w:val="000000"/>
        </w:rPr>
        <w:t> punktā minētās fiksētās summas aprēķināšanas elementu noteikšanas metodes.</w:t>
      </w:r>
    </w:p>
    <w:p w:rsidR="003E022D" w:rsidRDefault="007D19D6">
      <w:pPr>
        <w:pStyle w:val="Article"/>
        <w:rPr>
          <w:noProof/>
        </w:rPr>
      </w:pPr>
      <w:r>
        <w:rPr>
          <w:noProof/>
        </w:rPr>
        <w:t>SSCI.50. pants.  Paziņojums par gada vidējām izmaksām</w:t>
      </w:r>
    </w:p>
    <w:p w:rsidR="003E022D" w:rsidRDefault="007D19D6">
      <w:pPr>
        <w:pBdr>
          <w:top w:val="nil"/>
          <w:left w:val="nil"/>
          <w:bottom w:val="nil"/>
          <w:right w:val="nil"/>
          <w:between w:val="nil"/>
        </w:pBdr>
        <w:spacing w:before="255"/>
        <w:rPr>
          <w:rFonts w:asciiTheme="majorHAnsi" w:eastAsia="Arial" w:hAnsiTheme="majorHAnsi" w:cs="Arial"/>
          <w:noProof/>
          <w:color w:val="000000"/>
        </w:rPr>
      </w:pPr>
      <w:r>
        <w:rPr>
          <w:rFonts w:asciiTheme="majorHAnsi" w:hAnsiTheme="majorHAnsi"/>
          <w:noProof/>
          <w:color w:val="000000"/>
        </w:rPr>
        <w:t>Gada vidējo izmaksu summu uz cilvēku katrā vecuma grupā attiecībā uz noteikto gadu paziņo Specializētajai sociālā nodrošinājum</w:t>
      </w:r>
      <w:r>
        <w:rPr>
          <w:rFonts w:asciiTheme="majorHAnsi" w:hAnsiTheme="majorHAnsi"/>
          <w:noProof/>
          <w:color w:val="000000"/>
        </w:rPr>
        <w:t xml:space="preserve">a koordinācijas komitejai ne vēlāk kā otrā gada beigās, kas seko attiecīgajam gadam. Ja informācija nav nosūtīta šajos termiņos, tiek ņemta vērā vidējo izmaksu summa uz cilvēku, ko ir noteikusi Specializētā sociālā nodrošinājuma koordinācijas komiteja par </w:t>
      </w:r>
      <w:r>
        <w:rPr>
          <w:rFonts w:asciiTheme="majorHAnsi" w:hAnsiTheme="majorHAnsi"/>
          <w:noProof/>
          <w:color w:val="000000"/>
        </w:rPr>
        <w:t>pagājušo gadu.</w:t>
      </w:r>
    </w:p>
    <w:p w:rsidR="003E022D" w:rsidRDefault="007D19D6">
      <w:pPr>
        <w:pStyle w:val="Section"/>
        <w:rPr>
          <w:noProof/>
        </w:rPr>
      </w:pPr>
      <w:r>
        <w:rPr>
          <w:noProof/>
        </w:rPr>
        <w:t>3. iedaļa.  Kopīgi noteikumi</w:t>
      </w:r>
    </w:p>
    <w:p w:rsidR="003E022D" w:rsidRDefault="007D19D6">
      <w:pPr>
        <w:pStyle w:val="Article"/>
        <w:rPr>
          <w:noProof/>
        </w:rPr>
      </w:pPr>
      <w:r>
        <w:rPr>
          <w:noProof/>
        </w:rPr>
        <w:t>SSCI.51. pants.  Atmaksāšanas procedūra starp iestādēm</w:t>
      </w:r>
    </w:p>
    <w:p w:rsidR="003E022D" w:rsidRDefault="007D19D6">
      <w:pPr>
        <w:numPr>
          <w:ilvl w:val="0"/>
          <w:numId w:val="1159"/>
        </w:numPr>
        <w:ind w:left="0" w:firstLine="0"/>
        <w:rPr>
          <w:rFonts w:asciiTheme="majorHAnsi" w:eastAsia="Arial" w:hAnsiTheme="majorHAnsi" w:cs="Arial"/>
          <w:noProof/>
          <w:color w:val="000000"/>
        </w:rPr>
      </w:pPr>
      <w:r>
        <w:rPr>
          <w:rFonts w:asciiTheme="majorHAnsi" w:hAnsiTheme="majorHAnsi"/>
          <w:noProof/>
        </w:rPr>
        <w:t>Atmaksāšanu valstu iestāžu starpā veic cik iespējams drīz.</w:t>
      </w:r>
      <w:r>
        <w:rPr>
          <w:rFonts w:asciiTheme="majorHAnsi" w:hAnsiTheme="majorHAnsi"/>
          <w:noProof/>
          <w:color w:val="000000"/>
        </w:rPr>
        <w:t xml:space="preserve"> Katrai attiecīgajai iestādei ir pienākums atmaksāt atlīdzību pieprasījumu pirms šajā sadaļā minēto termiņu beigām, līdzko tai ir iespējams veikt atmaksāšanu. Strīds saistībā ar konkrētu atlīdzības pieprasījumu netraucē cita atlīdzības pieprasījuma vai cit</w:t>
      </w:r>
      <w:r>
        <w:rPr>
          <w:rFonts w:asciiTheme="majorHAnsi" w:hAnsiTheme="majorHAnsi"/>
          <w:noProof/>
          <w:color w:val="000000"/>
        </w:rPr>
        <w:t>u atlīdzības pieprasījumu atmaksāšanu. </w:t>
      </w:r>
    </w:p>
    <w:p w:rsidR="003E022D" w:rsidRDefault="007D19D6">
      <w:pPr>
        <w:numPr>
          <w:ilvl w:val="0"/>
          <w:numId w:val="1159"/>
        </w:numPr>
        <w:ind w:left="0" w:firstLine="0"/>
        <w:rPr>
          <w:rFonts w:asciiTheme="majorHAnsi" w:eastAsia="Arial" w:hAnsiTheme="majorHAnsi" w:cs="Arial"/>
          <w:noProof/>
          <w:color w:val="000000"/>
        </w:rPr>
      </w:pPr>
      <w:r>
        <w:rPr>
          <w:rFonts w:asciiTheme="majorHAnsi" w:hAnsiTheme="majorHAnsi"/>
          <w:noProof/>
          <w:color w:val="000000"/>
        </w:rPr>
        <w:t>Atmaksāšanu, kas ir noteikta protokola SSC.30. pantā [Iestāžu savstarpējie norēķini] un SSC.36. pantā [Iestāžu savstarpējie norēķini], dalībvalstu un Apvienotās Karalistes iestāžu starpā veic ar sadarbības struktūras</w:t>
      </w:r>
      <w:r>
        <w:rPr>
          <w:rFonts w:asciiTheme="majorHAnsi" w:hAnsiTheme="majorHAnsi"/>
          <w:noProof/>
          <w:color w:val="000000"/>
        </w:rPr>
        <w:t xml:space="preserve"> starpniecību. Var pastāvēt atsevišķa sadarbības struktūra atmaksāšanām saskaņā ar protokola SSC.30. pantu [Iestāžu savstarpējie norēķini] un SSC.36. pantu [Iestāžu savstarpējie norēķini].</w:t>
      </w:r>
    </w:p>
    <w:p w:rsidR="003E022D" w:rsidRDefault="007D19D6">
      <w:pPr>
        <w:pStyle w:val="Article"/>
        <w:rPr>
          <w:noProof/>
        </w:rPr>
      </w:pPr>
      <w:r>
        <w:rPr>
          <w:noProof/>
        </w:rPr>
        <w:t>SSCI.52. pants. Atlīdzības pieprasījumu iesniegšanas un nokārtošana</w:t>
      </w:r>
      <w:r>
        <w:rPr>
          <w:noProof/>
        </w:rPr>
        <w:t>s termiņi</w:t>
      </w:r>
    </w:p>
    <w:p w:rsidR="003E022D" w:rsidRDefault="007D19D6">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Atlīdzības pieprasījumus, kuru pamatā ir reāli izdevumi, iesniedz debitora valsts sadarbības struktūrā 12 mēnešu laikā pēc tā kalendārā pusgada, kurā minētie atlīdzības pieprasījumi reģistrēti kreditora iestādē.</w:t>
      </w:r>
    </w:p>
    <w:p w:rsidR="003E022D" w:rsidRDefault="007D19D6">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Atlīdzības pieprasījumus, kas saga</w:t>
      </w:r>
      <w:r>
        <w:rPr>
          <w:rFonts w:asciiTheme="majorHAnsi" w:hAnsiTheme="majorHAnsi"/>
          <w:noProof/>
          <w:color w:val="000000"/>
        </w:rPr>
        <w:t>tavoti, pamatojoties uz fiksētu summu kalendārajam gadam, iesniedz debitora sadarbības struktūrai 12 mēnešu laikā pēc mēneša, kura laikā Specializētā sociālā nodrošinājuma koordinācijas komiteja apstiprināja attiecīgā gada vidējās izmaksas. Sarakstu, kas m</w:t>
      </w:r>
      <w:r>
        <w:rPr>
          <w:rFonts w:asciiTheme="majorHAnsi" w:hAnsiTheme="majorHAnsi"/>
          <w:noProof/>
          <w:color w:val="000000"/>
        </w:rPr>
        <w:t>inēts šā pielikuma  SSCI.49. panta [Aprēķina metode, balstoties uz ikmēneša fiksēto summu un kopējo fiksēto summu] 4. punktā, iesniedz līdz tā gada beigām, kas seko pārskata gadam.</w:t>
      </w:r>
    </w:p>
    <w:p w:rsidR="003E022D" w:rsidRDefault="007D19D6">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Šā pielikuma SSCI.7. panta [Pabalstu un iemaksu provizorisks aprēķins] 5. p</w:t>
      </w:r>
      <w:r>
        <w:rPr>
          <w:rFonts w:asciiTheme="majorHAnsi" w:hAnsiTheme="majorHAnsi"/>
          <w:noProof/>
          <w:color w:val="000000"/>
        </w:rPr>
        <w:t>unkta otrajā daļā minētajā gadījumā šā panta 1. un 2. punktā noteiktais termiņš nesākas, iekams nav noteikta kompetentā iestāde.</w:t>
      </w:r>
    </w:p>
    <w:p w:rsidR="003E022D" w:rsidRDefault="007D19D6">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Atlīdzības pieprasījumus, kas iesniegti pēc 1. un 2. punktā minētajiem termiņiem, neņem vērā.</w:t>
      </w:r>
    </w:p>
    <w:p w:rsidR="003E022D" w:rsidRDefault="007D19D6">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Debitora iestāde samaksā atlīdzīb</w:t>
      </w:r>
      <w:r>
        <w:rPr>
          <w:rFonts w:asciiTheme="majorHAnsi" w:hAnsiTheme="majorHAnsi"/>
          <w:noProof/>
          <w:color w:val="000000"/>
        </w:rPr>
        <w:t xml:space="preserve">as pieprasījumus šā pielikuma SSCI.51. pantā [Atmaksāšanas procedūra starp iestādēm] minētajai kreditora valsts sadarbības struktūrai 18 mēnešu laikā pēc tā mēneša, kurā minētie atlīdzības pieprasījumi iesniegti debitora dalībvalsts sadarbības struktūrai. </w:t>
      </w:r>
      <w:r>
        <w:rPr>
          <w:rFonts w:asciiTheme="majorHAnsi" w:hAnsiTheme="majorHAnsi"/>
          <w:noProof/>
          <w:color w:val="000000"/>
        </w:rPr>
        <w:t>Tas neattiecas uz atlīdzību pieprasījumiem, kurus debitora iestāde šajā periodā ir noraidījusi pamatota iemesla dēļ.</w:t>
      </w:r>
    </w:p>
    <w:p w:rsidR="003E022D" w:rsidRDefault="007D19D6">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Jebkuru strīdu par atlīdzības pieprasījumu izšķir ne vēlāk kā 36 mēnešu laikā pēc tā mēneša, kad atlīdzības pieprasījums iesniegts.</w:t>
      </w:r>
    </w:p>
    <w:p w:rsidR="003E022D" w:rsidRDefault="007D19D6">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Special</w:t>
      </w:r>
      <w:r>
        <w:rPr>
          <w:rFonts w:asciiTheme="majorHAnsi" w:hAnsiTheme="majorHAnsi"/>
          <w:noProof/>
          <w:color w:val="000000"/>
        </w:rPr>
        <w:t>izētā sociālā nodrošinājuma koordinācijas komiteja atvieglo galīgo kontu slēgšanu gadījumos, kad nevar panākt vienošanos 6. punktā minētajā termiņā, un pēc pamatota vienas puses pieprasījuma sniedz atzinumu par strīdu sešu mēnešu laikā pēc mēneša, kad liet</w:t>
      </w:r>
      <w:r>
        <w:rPr>
          <w:rFonts w:asciiTheme="majorHAnsi" w:hAnsiTheme="majorHAnsi"/>
          <w:noProof/>
          <w:color w:val="000000"/>
        </w:rPr>
        <w:t>a tai iesniegta.</w:t>
      </w:r>
    </w:p>
    <w:p w:rsidR="003E022D" w:rsidRDefault="007D19D6">
      <w:pPr>
        <w:pStyle w:val="Article"/>
        <w:rPr>
          <w:noProof/>
        </w:rPr>
      </w:pPr>
      <w:r>
        <w:rPr>
          <w:noProof/>
        </w:rPr>
        <w:t>SSCI.53. pants. Kavējuma procenti un daļēji maksājumi</w:t>
      </w:r>
    </w:p>
    <w:p w:rsidR="003E022D" w:rsidRDefault="007D19D6">
      <w:pPr>
        <w:numPr>
          <w:ilvl w:val="0"/>
          <w:numId w:val="1158"/>
        </w:numPr>
        <w:ind w:left="0" w:firstLine="0"/>
        <w:rPr>
          <w:rFonts w:asciiTheme="majorHAnsi" w:eastAsia="Arial" w:hAnsiTheme="majorHAnsi" w:cs="Arial"/>
          <w:noProof/>
          <w:color w:val="000000"/>
        </w:rPr>
      </w:pPr>
      <w:r>
        <w:rPr>
          <w:rFonts w:asciiTheme="majorHAnsi" w:hAnsiTheme="majorHAnsi"/>
          <w:noProof/>
        </w:rPr>
        <w:t>Skaitot no 18 mēnešu perioda beigām, kas minēts šā</w:t>
      </w:r>
      <w:r>
        <w:rPr>
          <w:rFonts w:asciiTheme="majorHAnsi" w:hAnsiTheme="majorHAnsi"/>
          <w:noProof/>
          <w:color w:val="000000"/>
        </w:rPr>
        <w:t xml:space="preserve"> pielikuma SSCI.52. panta [Atlīdzības pieprasījumu iesniegšanas un nokārtošanas termiņi] 5. punktā</w:t>
      </w:r>
      <w:r>
        <w:rPr>
          <w:rFonts w:asciiTheme="majorHAnsi" w:hAnsiTheme="majorHAnsi"/>
          <w:noProof/>
        </w:rPr>
        <w:t xml:space="preserve">, par nesamaksātajiem pieprasījumiem </w:t>
      </w:r>
      <w:r>
        <w:rPr>
          <w:rFonts w:asciiTheme="majorHAnsi" w:hAnsiTheme="majorHAnsi"/>
          <w:noProof/>
        </w:rPr>
        <w:t>kreditora iestāde var aprēķināt procentus, izņemot gadījumus, ja debitora iestāde sešu mēnešu laikā pēc tā mēneša, kurā pieprasījums iesniegts, ir veikusi daļēju maksājumu vismaz 90 % apmērā no kopējā pieprasījuma summas, kas iesniegts, ievērojot šā pielik</w:t>
      </w:r>
      <w:r>
        <w:rPr>
          <w:rFonts w:asciiTheme="majorHAnsi" w:hAnsiTheme="majorHAnsi"/>
          <w:noProof/>
        </w:rPr>
        <w:t>uma SSC.52. panta [Atlīdzības pieprasījumu iesniegšanas un nokārtošanas termiņi]1. un 2. punktu.</w:t>
      </w:r>
      <w:r>
        <w:rPr>
          <w:rFonts w:asciiTheme="majorHAnsi" w:hAnsiTheme="majorHAnsi"/>
          <w:noProof/>
          <w:color w:val="000000"/>
        </w:rPr>
        <w:t xml:space="preserve"> </w:t>
      </w:r>
      <w:r>
        <w:rPr>
          <w:rFonts w:asciiTheme="majorHAnsi" w:hAnsiTheme="majorHAnsi"/>
          <w:noProof/>
        </w:rPr>
        <w:t>Par tām pieprasījuma daļām, uz kurām neattiecas daļējs maksājums, var aprēķināt procentus tikai pēc tam, kad beidzies 36 mēnešu termiņš, kas noteikts šā pielik</w:t>
      </w:r>
      <w:r>
        <w:rPr>
          <w:rFonts w:asciiTheme="majorHAnsi" w:hAnsiTheme="majorHAnsi"/>
          <w:noProof/>
        </w:rPr>
        <w:t>uma SSCI.53. panta 6. punktā.</w:t>
      </w:r>
    </w:p>
    <w:p w:rsidR="003E022D" w:rsidRDefault="007D19D6">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 xml:space="preserve">Procentus aprēķina, pamatojoties uz atsauces likmi, ko piemēro finanšu iestādes, kuras šajā nolūka izraudzījusies Specializētā sociālā nodrošinājuma koordinācijas komiteja tās galvenajām refinansēšanas operācijām. Piemērojamā </w:t>
      </w:r>
      <w:r>
        <w:rPr>
          <w:rFonts w:asciiTheme="majorHAnsi" w:hAnsiTheme="majorHAnsi"/>
          <w:noProof/>
          <w:color w:val="000000"/>
        </w:rPr>
        <w:t>atsauces likme ir tā, kura ir spēkā tā mēneša pirmajā dienā, kad jāveic maksājums.</w:t>
      </w:r>
    </w:p>
    <w:p w:rsidR="003E022D" w:rsidRDefault="007D19D6">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Sadarbības struktūrai nav pienākuma pieņemt daļēju maksājumu, kā paredzēts 1. punktā. Ja sadarbības iestāde tomēr noraida šādu piedāvājumu, kreditora iestādei vairs nav ties</w:t>
      </w:r>
      <w:r>
        <w:rPr>
          <w:rFonts w:asciiTheme="majorHAnsi" w:hAnsiTheme="majorHAnsi"/>
          <w:noProof/>
          <w:color w:val="000000"/>
        </w:rPr>
        <w:t>ību aprēķināt citus kavējuma procentus saistībā ar attiecīgo pieprasījumu kā tikai tos, kas paredzēti 1. punkta otrajā teikumā.</w:t>
      </w:r>
    </w:p>
    <w:p w:rsidR="003E022D" w:rsidRDefault="007D19D6">
      <w:pPr>
        <w:pStyle w:val="Article"/>
        <w:rPr>
          <w:noProof/>
        </w:rPr>
      </w:pPr>
      <w:r>
        <w:rPr>
          <w:noProof/>
        </w:rPr>
        <w:t>SSCI.54. pants.  Gada pārskats</w:t>
      </w:r>
    </w:p>
    <w:p w:rsidR="003E022D" w:rsidRDefault="007D19D6">
      <w:pPr>
        <w:numPr>
          <w:ilvl w:val="0"/>
          <w:numId w:val="1160"/>
        </w:numPr>
        <w:ind w:left="0" w:firstLine="0"/>
        <w:rPr>
          <w:rFonts w:asciiTheme="majorHAnsi" w:eastAsia="Arial" w:hAnsiTheme="majorHAnsi" w:cs="Arial"/>
          <w:noProof/>
          <w:color w:val="000000"/>
        </w:rPr>
      </w:pPr>
      <w:r>
        <w:rPr>
          <w:rFonts w:asciiTheme="majorHAnsi" w:hAnsiTheme="majorHAnsi"/>
          <w:noProof/>
        </w:rPr>
        <w:t>Partnerības padome, pamatojoties uz Specializētās sociālā nodrošinājuma koordinācijas komitejas z</w:t>
      </w:r>
      <w:r>
        <w:rPr>
          <w:rFonts w:asciiTheme="majorHAnsi" w:hAnsiTheme="majorHAnsi"/>
          <w:noProof/>
        </w:rPr>
        <w:t>iņojumu, nosaka pieprasījumu situāciju katram kalendārajam gadam.</w:t>
      </w:r>
      <w:r>
        <w:rPr>
          <w:rFonts w:asciiTheme="majorHAnsi" w:hAnsiTheme="majorHAnsi"/>
          <w:noProof/>
          <w:color w:val="000000"/>
        </w:rPr>
        <w:t xml:space="preserve"> Šajā nolūkā sadarbības struktūras Specializētajai sociālā nodrošinājuma koordinācijas komitejai tās noteiktos termiņos un saskaņā ar tās noteiktu kārtību paziņo iesniegto, nokārtoto vai apst</w:t>
      </w:r>
      <w:r>
        <w:rPr>
          <w:rFonts w:asciiTheme="majorHAnsi" w:hAnsiTheme="majorHAnsi"/>
          <w:noProof/>
          <w:color w:val="000000"/>
        </w:rPr>
        <w:t>rīdēto pieprasījumu (kredīta pozīcija) summu un saņemto, nokārtoto vai apstrīdēto pieprasījumu summu (debeta pozīcija).</w:t>
      </w:r>
    </w:p>
    <w:p w:rsidR="003E022D" w:rsidRDefault="007D19D6">
      <w:pPr>
        <w:numPr>
          <w:ilvl w:val="0"/>
          <w:numId w:val="1160"/>
        </w:numPr>
        <w:ind w:left="0" w:firstLine="0"/>
        <w:rPr>
          <w:rFonts w:asciiTheme="majorHAnsi" w:eastAsia="Arial" w:hAnsiTheme="majorHAnsi" w:cs="Arial"/>
          <w:noProof/>
          <w:color w:val="000000"/>
        </w:rPr>
      </w:pPr>
      <w:r>
        <w:rPr>
          <w:rFonts w:asciiTheme="majorHAnsi" w:hAnsiTheme="majorHAnsi"/>
          <w:noProof/>
        </w:rPr>
        <w:t>Partnerības padome var veikt jebkuru lietderīgu pārbaudi, lai kontrolētu statistikas un grāmatvedības datus, kas kalpo tam, lai noteiktu</w:t>
      </w:r>
      <w:r>
        <w:rPr>
          <w:rFonts w:asciiTheme="majorHAnsi" w:hAnsiTheme="majorHAnsi"/>
          <w:noProof/>
        </w:rPr>
        <w:t xml:space="preserve"> 1. punktā minēto gada pieprasījumu situāciju, jo īpaši, lai nodrošinātu šo datu atbilstību noteikumiem, kas noteikti saskaņā ar šo sadaļu.</w:t>
      </w:r>
    </w:p>
    <w:p w:rsidR="003E022D" w:rsidRDefault="007D19D6">
      <w:pPr>
        <w:pStyle w:val="Chapter"/>
        <w:rPr>
          <w:b/>
          <w:noProof/>
        </w:rPr>
      </w:pPr>
      <w:r>
        <w:rPr>
          <w:noProof/>
        </w:rPr>
        <w:t>2. NODAĻA.  TĀDU PABALSTU ATGŪŠANA, KAS PIEŠĶIRTI NELIKUMĪGI, PROVIZORISKO MAKSĀJUMU UN IEMAKSU ATGŪŠANA, IESKAITS U</w:t>
      </w:r>
      <w:r>
        <w:rPr>
          <w:noProof/>
        </w:rPr>
        <w:t xml:space="preserve">N PALĪDZĪBA ATGŪŠANAS JOMĀ </w:t>
      </w:r>
    </w:p>
    <w:p w:rsidR="003E022D" w:rsidRDefault="007D19D6">
      <w:pPr>
        <w:pStyle w:val="Section"/>
        <w:rPr>
          <w:noProof/>
        </w:rPr>
      </w:pPr>
      <w:r>
        <w:rPr>
          <w:noProof/>
        </w:rPr>
        <w:t>1. iedaļa. Principi</w:t>
      </w:r>
    </w:p>
    <w:p w:rsidR="003E022D" w:rsidRDefault="007D19D6">
      <w:pPr>
        <w:pStyle w:val="Article"/>
        <w:rPr>
          <w:noProof/>
        </w:rPr>
      </w:pPr>
      <w:r>
        <w:rPr>
          <w:noProof/>
        </w:rPr>
        <w:t>SSCI.55. pants.  Kopīgi noteikumi</w:t>
      </w:r>
    </w:p>
    <w:p w:rsidR="003E022D" w:rsidRDefault="007D19D6">
      <w:pPr>
        <w:rPr>
          <w:rFonts w:asciiTheme="majorHAnsi" w:eastAsia="Arial" w:hAnsiTheme="majorHAnsi" w:cs="Arial"/>
          <w:b/>
          <w:noProof/>
          <w:color w:val="000000"/>
        </w:rPr>
      </w:pPr>
      <w:r>
        <w:rPr>
          <w:rFonts w:asciiTheme="majorHAnsi" w:hAnsiTheme="majorHAnsi"/>
          <w:noProof/>
          <w:color w:val="000000"/>
        </w:rPr>
        <w:t>Piemērojot protokola SSC.64. pantu [Iemaksu iekasēšana un pabalstu atgūšana ] un ievērojot tajā noteikto satvaru, pieprasījumu atgūšanu pēc iespējas veic ar ieskaita palīdzību — vai nu attiecīgās dalībvalsts un Apvienotās Karalistes iestāžu starpā, vai tie</w:t>
      </w:r>
      <w:r>
        <w:rPr>
          <w:rFonts w:asciiTheme="majorHAnsi" w:hAnsiTheme="majorHAnsi"/>
          <w:noProof/>
          <w:color w:val="000000"/>
        </w:rPr>
        <w:t xml:space="preserve">ši ar attiecīgo fizisko vai juridisko personu saskaņā ar šā pielikuma noteikumiem no SSCI.56. panta [Nelikumīgi saņemti pabalsti] līdz SSCI.58. pantam [Izmaksas, kas saistītas ar ieskaitu]. </w:t>
      </w:r>
      <w:r>
        <w:rPr>
          <w:rFonts w:asciiTheme="majorHAnsi" w:hAnsiTheme="majorHAnsi"/>
          <w:noProof/>
        </w:rPr>
        <w:t>Ja nav iespējams atgūt visu pieprasījumu vai daļu no tā, izmantojo</w:t>
      </w:r>
      <w:r>
        <w:rPr>
          <w:rFonts w:asciiTheme="majorHAnsi" w:hAnsiTheme="majorHAnsi"/>
          <w:noProof/>
        </w:rPr>
        <w:t xml:space="preserve">t ieskaita procedūru, atlikušo maksājamo summu atgūst saskaņā ar šā </w:t>
      </w:r>
      <w:r>
        <w:rPr>
          <w:rFonts w:asciiTheme="majorHAnsi" w:hAnsiTheme="majorHAnsi"/>
          <w:noProof/>
          <w:color w:val="000000"/>
        </w:rPr>
        <w:t>pielikuma SSCI.59. [Definīcijas un kopīgi noteikumi] – SSCI.69. [Izmaksas, kas saistītas ar pieprasījumu atgūšanu] pantu</w:t>
      </w:r>
      <w:r>
        <w:rPr>
          <w:rFonts w:asciiTheme="majorHAnsi" w:hAnsiTheme="majorHAnsi"/>
          <w:noProof/>
        </w:rPr>
        <w:t>.</w:t>
      </w:r>
      <w:r>
        <w:rPr>
          <w:rFonts w:asciiTheme="majorHAnsi" w:hAnsiTheme="majorHAnsi"/>
          <w:b/>
          <w:noProof/>
          <w:color w:val="000000"/>
        </w:rPr>
        <w:t xml:space="preserve"> </w:t>
      </w:r>
    </w:p>
    <w:p w:rsidR="003E022D" w:rsidRDefault="007D19D6">
      <w:pPr>
        <w:pStyle w:val="Section"/>
        <w:rPr>
          <w:noProof/>
        </w:rPr>
      </w:pPr>
      <w:r>
        <w:rPr>
          <w:noProof/>
        </w:rPr>
        <w:t>2. iedaļa.  Ieskaits</w:t>
      </w:r>
    </w:p>
    <w:p w:rsidR="003E022D" w:rsidRDefault="007D19D6">
      <w:pPr>
        <w:pStyle w:val="Article"/>
        <w:rPr>
          <w:b/>
          <w:noProof/>
        </w:rPr>
      </w:pPr>
      <w:r>
        <w:rPr>
          <w:noProof/>
        </w:rPr>
        <w:t>SSCI.56. pants.  Nelikumīgi saņemti pabalsti</w:t>
      </w:r>
      <w:r>
        <w:rPr>
          <w:noProof/>
        </w:rPr>
        <w:t xml:space="preserve"> </w:t>
      </w:r>
    </w:p>
    <w:p w:rsidR="003E022D" w:rsidRDefault="007D19D6">
      <w:pPr>
        <w:numPr>
          <w:ilvl w:val="0"/>
          <w:numId w:val="1201"/>
        </w:numPr>
        <w:ind w:left="0" w:firstLine="0"/>
        <w:rPr>
          <w:rFonts w:asciiTheme="majorHAnsi" w:eastAsia="Arial" w:hAnsiTheme="majorHAnsi" w:cs="Arial"/>
          <w:noProof/>
          <w:color w:val="000000"/>
        </w:rPr>
      </w:pPr>
      <w:r>
        <w:rPr>
          <w:rFonts w:asciiTheme="majorHAnsi" w:hAnsiTheme="majorHAnsi"/>
          <w:noProof/>
        </w:rPr>
        <w:t>Ja valsts iestāde personai ir samaksājusi nelikumīgus pabalstus, minētā iestāde atbilstīgi noteikumiem un ierobežojumiem, kas paredzēti tiesību aktos, kurus tā piemēro, var lūgt valsts iestādi, kas ir atbildīga par pabalstu izmaksāšanu attiecīgajai perso</w:t>
      </w:r>
      <w:r>
        <w:rPr>
          <w:rFonts w:asciiTheme="majorHAnsi" w:hAnsiTheme="majorHAnsi"/>
          <w:noProof/>
        </w:rPr>
        <w:t>nai, atskaitīt nelikumīgi izmaksāto summu no maksājumiem, kas vēl nav izmaksāti, vai pašreiz notiekošajiem maksājumiem šai personai — neatkarīgi no sociālā nodrošinājuma sistēmas, saskaņā ar kuru pabalsts ir izmaksāts.</w:t>
      </w:r>
      <w:r>
        <w:rPr>
          <w:rFonts w:asciiTheme="majorHAnsi" w:hAnsiTheme="majorHAnsi"/>
          <w:noProof/>
          <w:color w:val="000000"/>
        </w:rPr>
        <w:t xml:space="preserve"> Šīs valsts iestāde atskaita attiecīgo</w:t>
      </w:r>
      <w:r>
        <w:rPr>
          <w:rFonts w:asciiTheme="majorHAnsi" w:hAnsiTheme="majorHAnsi"/>
          <w:noProof/>
          <w:color w:val="000000"/>
        </w:rPr>
        <w:t xml:space="preserve"> summu, ievērojot nosacījumus un ierobežojumus, ko piemēro šāda veida ieskaita procedūrai saskaņā ar tiesību aktiem, kurus tā piemēro, tādā pašā veidā kā tad, ja šī iestāde pati būtu pārmaksājusi, un pārskaita atskaitīto summu iestādei, kas izmaksājusi nel</w:t>
      </w:r>
      <w:r>
        <w:rPr>
          <w:rFonts w:asciiTheme="majorHAnsi" w:hAnsiTheme="majorHAnsi"/>
          <w:noProof/>
          <w:color w:val="000000"/>
        </w:rPr>
        <w:t>ikumīgus pabalstus.</w:t>
      </w:r>
      <w:r>
        <w:rPr>
          <w:rFonts w:asciiTheme="majorHAnsi" w:hAnsiTheme="majorHAnsi"/>
          <w:b/>
          <w:noProof/>
          <w:color w:val="000000"/>
        </w:rPr>
        <w:t xml:space="preserve"> </w:t>
      </w:r>
    </w:p>
    <w:p w:rsidR="003E022D" w:rsidRDefault="007D19D6">
      <w:pPr>
        <w:numPr>
          <w:ilvl w:val="0"/>
          <w:numId w:val="1201"/>
        </w:numPr>
        <w:ind w:left="0" w:firstLine="0"/>
        <w:rPr>
          <w:rFonts w:asciiTheme="majorHAnsi" w:eastAsia="Arial" w:hAnsiTheme="majorHAnsi" w:cs="Arial"/>
          <w:noProof/>
          <w:color w:val="000000"/>
        </w:rPr>
      </w:pPr>
      <w:r>
        <w:rPr>
          <w:rFonts w:asciiTheme="majorHAnsi" w:hAnsiTheme="majorHAnsi"/>
          <w:noProof/>
        </w:rPr>
        <w:t xml:space="preserve">Atkāpjoties no 1. punkta, ja, piešķirot vai pārskatot pabalstus saistībā ar invaliditātes pabalstiem, vecuma pensijām un apgādnieka zaudējuma pabalstiem saskaņā ar protokola III sadaļas [Īpaši noteikumi par dažādu kategoriju </w:t>
      </w:r>
      <w:r>
        <w:rPr>
          <w:rFonts w:asciiTheme="majorHAnsi" w:hAnsiTheme="majorHAnsi"/>
          <w:noProof/>
        </w:rPr>
        <w:t>pabalstiem] 3. nodaļu [Apbedīšanas pabalsti] un 4. nodaļu [Invaliditātes pabalsti], valsts iestāde personai ir izmaksājusi nelikumīgu pabalsta summu, minētā iestāde var lūgt valsts iestādi, kas ir atbildīga par attiecīgo pabalstu izmaksāšanu attiecīgajai p</w:t>
      </w:r>
      <w:r>
        <w:rPr>
          <w:rFonts w:asciiTheme="majorHAnsi" w:hAnsiTheme="majorHAnsi"/>
          <w:noProof/>
        </w:rPr>
        <w:t>ersonai, atskaitīt pārmaksāto summu no summas, ko tā vēl nav izmaksājusi attiecīgajai personai.</w:t>
      </w:r>
      <w:r>
        <w:rPr>
          <w:rFonts w:asciiTheme="majorHAnsi" w:hAnsiTheme="majorHAnsi"/>
          <w:noProof/>
          <w:color w:val="000000"/>
        </w:rPr>
        <w:t xml:space="preserve"> Pēc tam, kad pēdējā minētā iestāde ir informējusi iestādi, kas ir izmaksājusi nelikumīgu pabalsta summu, par saviem kavētajiem maksājumiem, iestāde, kas izmaksā</w:t>
      </w:r>
      <w:r>
        <w:rPr>
          <w:rFonts w:asciiTheme="majorHAnsi" w:hAnsiTheme="majorHAnsi"/>
          <w:noProof/>
          <w:color w:val="000000"/>
        </w:rPr>
        <w:t>jusi pabalsta nelikumīgu pabalsta summu, divu mēnešu laikā paziņo nelikumīgi izmaksātās summas apmēru. Ja iestāde, kas kavē maksājumu, minēto paziņojumu saņem paredzētajā laikā, tā pārskaita atskaitīto summu iestādei, kas ir izmaksājusi nelikumīgu summu. P</w:t>
      </w:r>
      <w:r>
        <w:rPr>
          <w:rFonts w:asciiTheme="majorHAnsi" w:hAnsiTheme="majorHAnsi"/>
          <w:noProof/>
          <w:color w:val="000000"/>
        </w:rPr>
        <w:t>ēc termiņa beigām minētā iestāde bez kavēšanās izmaksā attiecīgajai personai tai pienākošās summas.</w:t>
      </w:r>
      <w:r>
        <w:rPr>
          <w:rFonts w:asciiTheme="majorHAnsi" w:hAnsiTheme="majorHAnsi"/>
          <w:b/>
          <w:noProof/>
          <w:color w:val="000000"/>
        </w:rPr>
        <w:t xml:space="preserve"> </w:t>
      </w:r>
    </w:p>
    <w:p w:rsidR="003E022D" w:rsidRDefault="007D19D6">
      <w:pPr>
        <w:numPr>
          <w:ilvl w:val="0"/>
          <w:numId w:val="1201"/>
        </w:numPr>
        <w:ind w:left="0" w:firstLine="0"/>
        <w:rPr>
          <w:rFonts w:asciiTheme="majorHAnsi" w:eastAsia="Arial" w:hAnsiTheme="majorHAnsi" w:cs="Arial"/>
          <w:noProof/>
          <w:color w:val="000000"/>
        </w:rPr>
      </w:pPr>
      <w:r>
        <w:rPr>
          <w:noProof/>
        </w:rPr>
        <w:t>Ja persona ir saņēmusi sociālās labklājības palīdzību valstī tādā periodā, kurā viņai bijušas tiesības uz pabalstiem saskaņā ar citas valsts tiesību aktiem</w:t>
      </w:r>
      <w:r>
        <w:rPr>
          <w:noProof/>
        </w:rPr>
        <w:t>, struktūra, kas sniegusi palīdzību, ja tai ir tiesības atgūt pabalstus, kas pienākas attiecīgajai personai, drīkst lūgt citas valsts iestādi, kas ir atbildīga par pabalstu izmaksu attiecīgajai personai, atskaitīt palīdzībai izlietoto summu no summām, ko m</w:t>
      </w:r>
      <w:r>
        <w:rPr>
          <w:noProof/>
        </w:rPr>
        <w:t>inētā valsts pārskaita attiecīgajai personai.</w:t>
      </w:r>
      <w:r>
        <w:rPr>
          <w:rFonts w:asciiTheme="majorHAnsi" w:hAnsiTheme="majorHAnsi"/>
          <w:noProof/>
          <w:color w:val="000000"/>
        </w:rPr>
        <w:t xml:space="preserve"> </w:t>
      </w:r>
    </w:p>
    <w:p w:rsidR="003E022D" w:rsidRDefault="007D19D6">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Šo noteikumu pēc analoģijas piemēro jebkuram attiecīgās personas ģimenes loceklim, kas saņēmis palīdzību valsts teritorijā periodā, kurā apdrošinātajai personai bijušas tiesības uz pabalstiem par šo ģimenes lo</w:t>
      </w:r>
      <w:r>
        <w:rPr>
          <w:rFonts w:asciiTheme="majorHAnsi" w:hAnsiTheme="majorHAnsi"/>
          <w:noProof/>
          <w:color w:val="000000"/>
        </w:rPr>
        <w:t xml:space="preserve">cekli saskaņā ar citas valsts tiesību aktiem. </w:t>
      </w:r>
    </w:p>
    <w:p w:rsidR="003E022D" w:rsidRDefault="007D19D6">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Valsts iestāde, kas izmaksājusi nelikumīgas palīdzības summas, otras valsts iestādei nosūta paziņojumu par maksājamo summu, un tā minēto summu atskaita, ņemot vērā nosacījumus un ierobežojumus, kas paredzēti š</w:t>
      </w:r>
      <w:r>
        <w:rPr>
          <w:rFonts w:asciiTheme="majorHAnsi" w:hAnsiTheme="majorHAnsi"/>
          <w:noProof/>
          <w:color w:val="000000"/>
        </w:rPr>
        <w:t xml:space="preserve">ādai ieskaita procedūrai saskaņā ar tiesību aktiem, kurus tā piemēro, un summu nekavējoties pārskaita iestādei, kas izmaksājusi nelikumīgo summu. </w:t>
      </w:r>
    </w:p>
    <w:p w:rsidR="003E022D" w:rsidRDefault="007D19D6">
      <w:pPr>
        <w:pStyle w:val="Article"/>
        <w:rPr>
          <w:noProof/>
        </w:rPr>
      </w:pPr>
      <w:r>
        <w:rPr>
          <w:noProof/>
        </w:rPr>
        <w:t>SSCI.57. pants. Provizoriski sniegti naudas pabalsti vai iemaksas</w:t>
      </w:r>
    </w:p>
    <w:p w:rsidR="003E022D" w:rsidRDefault="007D19D6">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Piemērojot šā pielikuma SSCI.6. pantu [Ties</w:t>
      </w:r>
      <w:r>
        <w:rPr>
          <w:rFonts w:asciiTheme="majorHAnsi" w:hAnsiTheme="majorHAnsi"/>
          <w:noProof/>
          <w:color w:val="000000"/>
        </w:rPr>
        <w:t>ību aktu provizoriska piemērošana un pabalstu provizoriska piešķiršana], vēlākais trīs mēnešus pēc tam, kad ir noteikti piemērojamie tiesību akti vai ir identificēta iestāde, kas ir atbildīga par pabalstu izmaksāšanu, iestāde, kas provizoriski ir izmaksāju</w:t>
      </w:r>
      <w:r>
        <w:rPr>
          <w:rFonts w:asciiTheme="majorHAnsi" w:hAnsiTheme="majorHAnsi"/>
          <w:noProof/>
          <w:color w:val="000000"/>
        </w:rPr>
        <w:t>si naudas pabalstus, sagatavo ziņojumu par provizoriski izmaksāto summu un nosūta to iestādei, kas ir atzīta par kompetentu.</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Iestāde, kas ir atzīta par kompetentu izmaksāt pabalstus, atskaita maksājamo summu attiecībā uz provizorisko maksājumu no attiecīgo</w:t>
      </w:r>
      <w:r>
        <w:rPr>
          <w:rFonts w:asciiTheme="majorHAnsi" w:hAnsiTheme="majorHAnsi"/>
          <w:noProof/>
          <w:color w:val="000000"/>
        </w:rPr>
        <w:t xml:space="preserve"> pabalstu kavētiem maksājumiem, kas tai ir jāmaksā attiecīgajai personai, un bez kavēšanās pārskaita atskaitīto summu iestādei, kas provizoriski izmaksājusi naudas pabalstu.</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Ja pabalsta summa, kas provizoriski ir izmaksāta, pārsniedz kavētā maksājuma summu</w:t>
      </w:r>
      <w:r>
        <w:rPr>
          <w:rFonts w:asciiTheme="majorHAnsi" w:hAnsiTheme="majorHAnsi"/>
          <w:noProof/>
          <w:color w:val="000000"/>
        </w:rPr>
        <w:t xml:space="preserve"> vai ja šādi kavējuma maksājumi neeksistē, iestāde, kas ir atzīta par kompetentu, šo summu atskaita no maksājumiem, kas pašreiz tiek veikti, ņemot vērā nosacījumus un ierobežojumus, ko piemēro šāda veida ieskaita procedūrai saskaņā ar tiesību aktiem, ko tā</w:t>
      </w:r>
      <w:r>
        <w:rPr>
          <w:rFonts w:asciiTheme="majorHAnsi" w:hAnsiTheme="majorHAnsi"/>
          <w:noProof/>
          <w:color w:val="000000"/>
        </w:rPr>
        <w:t xml:space="preserve"> piemēro, un nekavējoties pārskaita atskaitīto summu iestādei, kas provizoriski izmaksājusi naudas pabalstu.</w:t>
      </w:r>
    </w:p>
    <w:p w:rsidR="003E022D" w:rsidRDefault="007D19D6">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Iestāde, kas provizoriski saņēmusi iemaksas no juridiskas vai fiziskas personas, neatmaksā attiecīgo summu personai, kura tās ir veikusi, kamēr ies</w:t>
      </w:r>
      <w:r>
        <w:rPr>
          <w:rFonts w:asciiTheme="majorHAnsi" w:hAnsiTheme="majorHAnsi"/>
          <w:noProof/>
          <w:color w:val="000000"/>
        </w:rPr>
        <w:t>tāde nav saņēmusi apstiprinājumu no iestādes, kas ir atzīta par kompetentu, par maksājamām summām saskaņā ar šā pielikuma SSC.6. panta [Tiesību aktu provizoriska piemērošana un pabalstu provizoriska piešķiršana] 4. punktu.</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Pēc tās iestādes, kas ir atzīta p</w:t>
      </w:r>
      <w:r>
        <w:rPr>
          <w:rFonts w:asciiTheme="majorHAnsi" w:hAnsiTheme="majorHAnsi"/>
          <w:noProof/>
          <w:color w:val="000000"/>
        </w:rPr>
        <w:t>ar kompetentu, lūguma, kuru iesniedz vēlākais trīs mēnešus pēc tam, kad ir noteikti piemērojamie tiesību akti, iestāde, kas provizoriski ir saņēmusi iemaksas, tās pārskaita tai, lai varētu nokārtot situāciju attiecībā uz iemaksām, kas juridiskai vai fizisk</w:t>
      </w:r>
      <w:r>
        <w:rPr>
          <w:rFonts w:asciiTheme="majorHAnsi" w:hAnsiTheme="majorHAnsi"/>
          <w:noProof/>
          <w:color w:val="000000"/>
        </w:rPr>
        <w:t>ai personai tajā pašā periodā ir jāmaksā iestādei, kas ir atzīta par kompetentu. Pārskaitītās iemaksas ar atpakaļejošu spēku uzskata par samaksātām iestādei, kas ir atzīta par kompetentu.</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Ja provizoriski izmaksātās iemaksas pārsniedz summu, kas juridiskai </w:t>
      </w:r>
      <w:r>
        <w:rPr>
          <w:rFonts w:asciiTheme="majorHAnsi" w:hAnsiTheme="majorHAnsi"/>
          <w:noProof/>
          <w:color w:val="000000"/>
        </w:rPr>
        <w:t>vai fiziskai personai ir jāmaksā iestādei, kas atzīta par kompetentu, iestāde, kas provizoriski saņēmusi iemaksas, attiecīgajai juridiskai vai fiziskai personai atmaksā minēto summas daļu.</w:t>
      </w:r>
    </w:p>
    <w:p w:rsidR="003E022D" w:rsidRDefault="007D19D6">
      <w:pPr>
        <w:pStyle w:val="Article"/>
        <w:rPr>
          <w:noProof/>
        </w:rPr>
      </w:pPr>
      <w:r>
        <w:rPr>
          <w:noProof/>
        </w:rPr>
        <w:t>SSCI.58. pants.  Izmaksas, kas saistītas ar ieskaitu</w:t>
      </w:r>
    </w:p>
    <w:p w:rsidR="003E022D" w:rsidRDefault="007D19D6">
      <w:pPr>
        <w:rPr>
          <w:rFonts w:asciiTheme="majorHAnsi" w:eastAsia="Arial" w:hAnsiTheme="majorHAnsi" w:cs="Arial"/>
          <w:noProof/>
        </w:rPr>
      </w:pPr>
      <w:r>
        <w:rPr>
          <w:rFonts w:asciiTheme="majorHAnsi" w:hAnsiTheme="majorHAnsi"/>
          <w:noProof/>
        </w:rPr>
        <w:t>Nekādi izdevum</w:t>
      </w:r>
      <w:r>
        <w:rPr>
          <w:rFonts w:asciiTheme="majorHAnsi" w:hAnsiTheme="majorHAnsi"/>
          <w:noProof/>
        </w:rPr>
        <w:t>i nav jāsedz, ja parādu atgūst, izmantojot ieskaita procedūru, kas paredzēta šā pielikuma SSCI.56. pantā [Nelikumīgi saņemti pabalsti] un SSCI.57. pantā [Provizoriski sniegti naudas pabalsti vai iemaksas].</w:t>
      </w:r>
    </w:p>
    <w:p w:rsidR="003E022D" w:rsidRDefault="007D19D6">
      <w:pPr>
        <w:spacing w:after="0" w:line="276" w:lineRule="auto"/>
        <w:jc w:val="left"/>
        <w:rPr>
          <w:i/>
          <w:noProof/>
        </w:rPr>
      </w:pPr>
      <w:r>
        <w:rPr>
          <w:noProof/>
        </w:rPr>
        <w:br w:type="page"/>
      </w:r>
    </w:p>
    <w:p w:rsidR="003E022D" w:rsidRDefault="007D19D6">
      <w:pPr>
        <w:pStyle w:val="Section"/>
        <w:rPr>
          <w:noProof/>
        </w:rPr>
      </w:pPr>
      <w:r>
        <w:rPr>
          <w:noProof/>
        </w:rPr>
        <w:t>3. iedaļa. Atgūšana</w:t>
      </w:r>
    </w:p>
    <w:p w:rsidR="003E022D" w:rsidRDefault="007D19D6">
      <w:pPr>
        <w:pStyle w:val="Article"/>
        <w:rPr>
          <w:noProof/>
        </w:rPr>
      </w:pPr>
      <w:r>
        <w:rPr>
          <w:noProof/>
        </w:rPr>
        <w:t>SSCI.59. pants.  Definīcijas</w:t>
      </w:r>
      <w:r>
        <w:rPr>
          <w:noProof/>
        </w:rPr>
        <w:t xml:space="preserve"> un kopīgi noteikumi</w:t>
      </w:r>
    </w:p>
    <w:p w:rsidR="003E022D" w:rsidRDefault="007D19D6">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Šajā iedaļā:</w:t>
      </w:r>
    </w:p>
    <w:p w:rsidR="003E022D" w:rsidRDefault="007D19D6">
      <w:pPr>
        <w:widowControl w:val="0"/>
        <w:numPr>
          <w:ilvl w:val="0"/>
          <w:numId w:val="1185"/>
        </w:numPr>
        <w:pBdr>
          <w:top w:val="nil"/>
          <w:left w:val="nil"/>
          <w:bottom w:val="nil"/>
          <w:right w:val="nil"/>
          <w:between w:val="nil"/>
        </w:pBdr>
        <w:spacing w:after="0" w:line="278" w:lineRule="auto"/>
        <w:ind w:left="1134" w:right="-46"/>
        <w:rPr>
          <w:rFonts w:asciiTheme="majorHAnsi" w:hAnsiTheme="majorHAnsi"/>
          <w:noProof/>
          <w:color w:val="000000"/>
        </w:rPr>
      </w:pPr>
      <w:r>
        <w:rPr>
          <w:rFonts w:asciiTheme="majorHAnsi" w:hAnsiTheme="majorHAnsi"/>
          <w:noProof/>
          <w:color w:val="000000"/>
        </w:rPr>
        <w:t>“pieprasījums” ir jebkāds pieprasījums, kas attiecas uz iemaksām vai pabalstiem, kuri izmaksāti vai veikti nelikumīgi, tostarp procenti, naudas sodi, administratīvi sodi un visas citas nodevas un izmaksas saistībā ar piepr</w:t>
      </w:r>
      <w:r>
        <w:rPr>
          <w:rFonts w:asciiTheme="majorHAnsi" w:hAnsiTheme="majorHAnsi"/>
          <w:noProof/>
          <w:color w:val="000000"/>
        </w:rPr>
        <w:t>asījumu saskaņā ar tās valsts tiesību aktiem, kas veic pieprasījumu,</w:t>
      </w:r>
      <w:r>
        <w:rPr>
          <w:rFonts w:asciiTheme="majorHAnsi" w:hAnsiTheme="majorHAnsi"/>
          <w:b/>
          <w:noProof/>
          <w:color w:val="000000"/>
        </w:rPr>
        <w:t xml:space="preserve"> </w:t>
      </w:r>
    </w:p>
    <w:p w:rsidR="003E022D" w:rsidRDefault="003E022D">
      <w:pPr>
        <w:widowControl w:val="0"/>
        <w:pBdr>
          <w:top w:val="nil"/>
          <w:left w:val="nil"/>
          <w:bottom w:val="nil"/>
          <w:right w:val="nil"/>
          <w:between w:val="nil"/>
        </w:pBdr>
        <w:tabs>
          <w:tab w:val="left" w:pos="745"/>
        </w:tabs>
        <w:spacing w:after="0" w:line="278" w:lineRule="auto"/>
        <w:ind w:left="1134" w:right="-46"/>
        <w:rPr>
          <w:rFonts w:asciiTheme="majorHAnsi" w:eastAsia="Arial" w:hAnsiTheme="majorHAnsi" w:cs="Arial"/>
          <w:noProof/>
          <w:color w:val="000000"/>
        </w:rPr>
      </w:pPr>
    </w:p>
    <w:p w:rsidR="003E022D" w:rsidRDefault="007D19D6">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“lūguma iesniedzēja puse” attiecībā uz katru valsti ir jebkura iestāde, kas iesniedz pieprasījumu par informāciju, ziņojumu vai atgūšanu saistībā ar iepriekš definēto pieprasījumu,</w:t>
      </w:r>
      <w:r>
        <w:rPr>
          <w:rFonts w:asciiTheme="majorHAnsi" w:hAnsiTheme="majorHAnsi"/>
          <w:b/>
          <w:noProof/>
          <w:color w:val="000000"/>
        </w:rPr>
        <w:t xml:space="preserve"> </w:t>
      </w:r>
    </w:p>
    <w:p w:rsidR="003E022D" w:rsidRDefault="003E022D">
      <w:pPr>
        <w:pBdr>
          <w:top w:val="nil"/>
          <w:left w:val="nil"/>
          <w:bottom w:val="nil"/>
          <w:right w:val="nil"/>
          <w:between w:val="nil"/>
        </w:pBdr>
        <w:tabs>
          <w:tab w:val="left" w:pos="1134"/>
        </w:tabs>
        <w:spacing w:after="0"/>
        <w:ind w:left="1134" w:right="-46"/>
        <w:rPr>
          <w:rFonts w:asciiTheme="majorHAnsi" w:eastAsia="Arial" w:hAnsiTheme="majorHAnsi" w:cs="Arial"/>
          <w:noProof/>
          <w:color w:val="000000"/>
        </w:rPr>
      </w:pPr>
    </w:p>
    <w:p w:rsidR="003E022D" w:rsidRDefault="007D19D6">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“lūguma saņēmēja puse” attiecībā uz katru valsti ir jebkura iestāde, kurai var iesniegt lūgumu par informāciju, ziņojumu vai atgūšanu.</w:t>
      </w:r>
    </w:p>
    <w:p w:rsidR="003E022D" w:rsidRDefault="003E022D">
      <w:pPr>
        <w:widowControl w:val="0"/>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p>
    <w:p w:rsidR="003E022D" w:rsidRDefault="007D19D6">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Lūgumus un jebkādus attiecīgus ziņojumus valstis cita citai parasti nosūta ar norādīto iestāžu starpniecību.</w:t>
      </w:r>
    </w:p>
    <w:p w:rsidR="003E022D" w:rsidRDefault="007D19D6">
      <w:pPr>
        <w:numPr>
          <w:ilvl w:val="0"/>
          <w:numId w:val="1181"/>
        </w:numPr>
        <w:ind w:left="0" w:firstLine="0"/>
        <w:rPr>
          <w:rFonts w:asciiTheme="majorHAnsi" w:eastAsia="Arial" w:hAnsiTheme="majorHAnsi" w:cs="Arial"/>
          <w:noProof/>
          <w:color w:val="000000"/>
        </w:rPr>
      </w:pPr>
      <w:r>
        <w:rPr>
          <w:rFonts w:asciiTheme="majorHAnsi" w:hAnsiTheme="majorHAnsi"/>
          <w:noProof/>
        </w:rPr>
        <w:t xml:space="preserve">Praktiskus īstenošanas pasākumus, tostarp tādus, kuri attiecas uz šā </w:t>
      </w:r>
      <w:r>
        <w:rPr>
          <w:rFonts w:asciiTheme="majorHAnsi" w:hAnsiTheme="majorHAnsi"/>
          <w:noProof/>
          <w:color w:val="000000"/>
        </w:rPr>
        <w:t>pielikuma SSCI.4. pantu [Datu apmaiņas veidlapas, dokumenti un metodes]</w:t>
      </w:r>
      <w:r>
        <w:rPr>
          <w:rFonts w:asciiTheme="majorHAnsi" w:hAnsiTheme="majorHAnsi"/>
          <w:noProof/>
        </w:rPr>
        <w:t xml:space="preserve"> un ar kuriem var noteikt minimālo summu, par kādu var iesniegt atgūšanas lūgumu, veic Specializētajai sociālā nodro</w:t>
      </w:r>
      <w:r>
        <w:rPr>
          <w:rFonts w:asciiTheme="majorHAnsi" w:hAnsiTheme="majorHAnsi"/>
          <w:noProof/>
        </w:rPr>
        <w:t>šinājuma koordinācijas komitejai.</w:t>
      </w:r>
    </w:p>
    <w:p w:rsidR="003E022D" w:rsidRDefault="007D19D6">
      <w:pPr>
        <w:pStyle w:val="Article"/>
        <w:rPr>
          <w:noProof/>
        </w:rPr>
      </w:pPr>
      <w:r>
        <w:rPr>
          <w:noProof/>
        </w:rPr>
        <w:t>SSCI.60. pants.  Informācijas lūgumi</w:t>
      </w:r>
    </w:p>
    <w:p w:rsidR="003E022D" w:rsidRDefault="007D19D6">
      <w:pPr>
        <w:numPr>
          <w:ilvl w:val="0"/>
          <w:numId w:val="1186"/>
        </w:numPr>
        <w:ind w:left="0" w:firstLine="0"/>
        <w:rPr>
          <w:rFonts w:asciiTheme="majorHAnsi" w:eastAsia="Arial" w:hAnsiTheme="majorHAnsi" w:cs="Arial"/>
          <w:noProof/>
          <w:color w:val="000000"/>
        </w:rPr>
      </w:pPr>
      <w:r>
        <w:rPr>
          <w:noProof/>
        </w:rPr>
        <w:t>Pēc lūguma iesniedzējas puses lūguma saņēmēja puse sniedz informāciju, kas lūguma iesniedzējai pusei ir noderīga pieprasījumu atgūšanā.</w:t>
      </w:r>
    </w:p>
    <w:p w:rsidR="003E022D" w:rsidRDefault="007D19D6">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 xml:space="preserve">Lai iegūtu minēto informāciju, lūguma saņēmēja </w:t>
      </w:r>
      <w:r>
        <w:rPr>
          <w:rFonts w:asciiTheme="majorHAnsi" w:hAnsiTheme="majorHAnsi"/>
          <w:noProof/>
          <w:color w:val="000000"/>
        </w:rPr>
        <w:t>puse īsteno pilnvaras, kas tai piešķirtas ar normatīvajiem aktiem vai administratīvo praksi, kas piemērojama, lai atgūtu līdzīgus pieprasījumus, kas radušies savā valstī.</w:t>
      </w:r>
      <w:r>
        <w:rPr>
          <w:rFonts w:asciiTheme="majorHAnsi" w:hAnsiTheme="majorHAnsi"/>
          <w:b/>
          <w:noProof/>
          <w:color w:val="000000"/>
        </w:rPr>
        <w:t xml:space="preserve"> </w:t>
      </w:r>
      <w:r>
        <w:rPr>
          <w:rFonts w:asciiTheme="majorHAnsi" w:hAnsiTheme="majorHAnsi"/>
          <w:noProof/>
          <w:color w:val="000000"/>
        </w:rPr>
        <w:t>Informācijas lūgumā norāda personas vārdu, uzvārdu, pēdējo zināmo adresi un jebkādu c</w:t>
      </w:r>
      <w:r>
        <w:rPr>
          <w:rFonts w:asciiTheme="majorHAnsi" w:hAnsiTheme="majorHAnsi"/>
          <w:noProof/>
          <w:color w:val="000000"/>
        </w:rPr>
        <w:t>ita veida atbilstīgu informāciju, kas saistīta ar tās attiecīgās juridiskās vai fiziskās personas identifikāciju, par kuru jāsniedz informācija, un tā pieprasījuma veidu un summu, saistībā ar kuru ir iesniegts lūgums.</w:t>
      </w:r>
    </w:p>
    <w:p w:rsidR="003E022D" w:rsidRDefault="007D19D6">
      <w:pPr>
        <w:numPr>
          <w:ilvl w:val="0"/>
          <w:numId w:val="1186"/>
        </w:numPr>
        <w:ind w:left="0" w:firstLine="0"/>
        <w:rPr>
          <w:rFonts w:asciiTheme="majorHAnsi" w:eastAsia="Arial" w:hAnsiTheme="majorHAnsi" w:cs="Arial"/>
          <w:noProof/>
          <w:color w:val="000000"/>
        </w:rPr>
      </w:pPr>
      <w:r>
        <w:rPr>
          <w:rFonts w:asciiTheme="majorHAnsi" w:hAnsiTheme="majorHAnsi"/>
          <w:noProof/>
        </w:rPr>
        <w:t>Lūguma saņēmējai pusei nav pienākuma s</w:t>
      </w:r>
      <w:r>
        <w:rPr>
          <w:rFonts w:asciiTheme="majorHAnsi" w:hAnsiTheme="majorHAnsi"/>
          <w:noProof/>
        </w:rPr>
        <w:t>niegt informāciju:</w:t>
      </w:r>
    </w:p>
    <w:p w:rsidR="003E022D" w:rsidRDefault="007D19D6">
      <w:pPr>
        <w:numPr>
          <w:ilvl w:val="0"/>
          <w:numId w:val="1182"/>
        </w:numPr>
        <w:ind w:left="567" w:hanging="567"/>
        <w:rPr>
          <w:rFonts w:asciiTheme="majorHAnsi" w:eastAsia="Arial" w:hAnsiTheme="majorHAnsi" w:cs="Arial"/>
          <w:noProof/>
          <w:color w:val="000000"/>
        </w:rPr>
      </w:pPr>
      <w:r>
        <w:rPr>
          <w:noProof/>
        </w:rPr>
        <w:t>kuru tā nevarētu iegūt, lai atgūtu līdzīgu pieprasījumu savā teritorijā;</w:t>
      </w:r>
    </w:p>
    <w:p w:rsidR="003E022D" w:rsidRDefault="007D19D6">
      <w:pPr>
        <w:numPr>
          <w:ilvl w:val="0"/>
          <w:numId w:val="1182"/>
        </w:numPr>
        <w:ind w:left="567" w:hanging="567"/>
        <w:rPr>
          <w:rFonts w:asciiTheme="majorHAnsi" w:eastAsia="Arial" w:hAnsiTheme="majorHAnsi" w:cs="Arial"/>
          <w:noProof/>
          <w:color w:val="000000"/>
        </w:rPr>
      </w:pPr>
      <w:r>
        <w:rPr>
          <w:rFonts w:asciiTheme="majorHAnsi" w:hAnsiTheme="majorHAnsi"/>
          <w:noProof/>
        </w:rPr>
        <w:t>kuras izpaušana varētu izraisīt komercnoslēpuma, rūpnieciska vai dienesta noslēpuma atklāšanu</w:t>
      </w:r>
      <w:r>
        <w:rPr>
          <w:rFonts w:asciiTheme="majorHAnsi" w:hAnsiTheme="majorHAnsi"/>
          <w:noProof/>
          <w:color w:val="000000"/>
        </w:rPr>
        <w:t xml:space="preserve"> vai</w:t>
      </w:r>
    </w:p>
    <w:p w:rsidR="003E022D" w:rsidRDefault="007D19D6">
      <w:pPr>
        <w:numPr>
          <w:ilvl w:val="0"/>
          <w:numId w:val="1182"/>
        </w:numPr>
        <w:ind w:left="567" w:hanging="567"/>
        <w:rPr>
          <w:rFonts w:asciiTheme="majorHAnsi" w:eastAsia="Arial" w:hAnsiTheme="majorHAnsi" w:cs="Arial"/>
          <w:noProof/>
          <w:color w:val="000000"/>
        </w:rPr>
      </w:pPr>
      <w:r>
        <w:rPr>
          <w:rFonts w:asciiTheme="majorHAnsi" w:hAnsiTheme="majorHAnsi"/>
          <w:noProof/>
        </w:rPr>
        <w:t>kuras atklāšana varētu ietekmēt attiecīgās valsts drošību vai sabi</w:t>
      </w:r>
      <w:r>
        <w:rPr>
          <w:rFonts w:asciiTheme="majorHAnsi" w:hAnsiTheme="majorHAnsi"/>
          <w:noProof/>
        </w:rPr>
        <w:t>edrisko kārtību.</w:t>
      </w:r>
    </w:p>
    <w:p w:rsidR="003E022D" w:rsidRDefault="007D19D6">
      <w:pPr>
        <w:numPr>
          <w:ilvl w:val="0"/>
          <w:numId w:val="1186"/>
        </w:numPr>
        <w:ind w:left="0" w:firstLine="0"/>
        <w:rPr>
          <w:rFonts w:asciiTheme="majorHAnsi" w:eastAsia="Arial" w:hAnsiTheme="majorHAnsi" w:cs="Arial"/>
          <w:noProof/>
          <w:color w:val="000000"/>
        </w:rPr>
      </w:pPr>
      <w:r>
        <w:rPr>
          <w:rFonts w:asciiTheme="majorHAnsi" w:hAnsiTheme="majorHAnsi"/>
          <w:noProof/>
        </w:rPr>
        <w:t>Lūguma saņēmēja puse informē lūguma iesniedzēju pusi par informācijas atteikuma iemesliem.</w:t>
      </w:r>
      <w:r>
        <w:rPr>
          <w:rFonts w:asciiTheme="majorHAnsi" w:hAnsiTheme="majorHAnsi"/>
          <w:b/>
          <w:noProof/>
          <w:color w:val="000000"/>
        </w:rPr>
        <w:t xml:space="preserve"> </w:t>
      </w:r>
    </w:p>
    <w:p w:rsidR="003E022D" w:rsidRDefault="007D19D6">
      <w:pPr>
        <w:pStyle w:val="Article"/>
        <w:rPr>
          <w:noProof/>
        </w:rPr>
      </w:pPr>
      <w:r>
        <w:rPr>
          <w:noProof/>
        </w:rPr>
        <w:t>SSCI.61. pants.  Paziņojums</w:t>
      </w:r>
    </w:p>
    <w:p w:rsidR="003E022D" w:rsidRDefault="007D19D6">
      <w:pPr>
        <w:numPr>
          <w:ilvl w:val="0"/>
          <w:numId w:val="1189"/>
        </w:numPr>
        <w:ind w:left="0" w:firstLine="0"/>
        <w:rPr>
          <w:rFonts w:asciiTheme="majorHAnsi" w:eastAsia="Arial" w:hAnsiTheme="majorHAnsi" w:cs="Arial"/>
          <w:noProof/>
          <w:color w:val="000000"/>
        </w:rPr>
      </w:pPr>
      <w:r>
        <w:rPr>
          <w:noProof/>
        </w:rPr>
        <w:t>Pēc lūguma iesniedzējas puses lūguma saņēmēja puse saskaņā ar tās teritorijā spēkā esošajiem noteikumiem par šādu instr</w:t>
      </w:r>
      <w:r>
        <w:rPr>
          <w:noProof/>
        </w:rPr>
        <w:t>umentu vai lēmumu paziņošanu adresātam sniedz informāciju par visiem tādiem instrumentiem un lēmumiem, tostarp arī juridiskiem lēmumiem, kas ir saņemti no lūguma iesniedzējas puses valsts un kas attiecas uz pieprasījumu vai tā atgūšanu.</w:t>
      </w:r>
      <w:r>
        <w:rPr>
          <w:rFonts w:asciiTheme="majorHAnsi" w:hAnsiTheme="majorHAnsi"/>
          <w:noProof/>
          <w:color w:val="000000"/>
        </w:rPr>
        <w:t xml:space="preserve"> </w:t>
      </w:r>
    </w:p>
    <w:p w:rsidR="003E022D" w:rsidRDefault="007D19D6">
      <w:pPr>
        <w:numPr>
          <w:ilvl w:val="0"/>
          <w:numId w:val="1189"/>
        </w:numPr>
        <w:ind w:left="0" w:firstLine="0"/>
        <w:rPr>
          <w:rFonts w:asciiTheme="majorHAnsi" w:eastAsia="Arial" w:hAnsiTheme="majorHAnsi" w:cs="Arial"/>
          <w:noProof/>
          <w:color w:val="000000"/>
        </w:rPr>
      </w:pPr>
      <w:r>
        <w:rPr>
          <w:noProof/>
        </w:rPr>
        <w:t>Lūgumā paziņot nor</w:t>
      </w:r>
      <w:r>
        <w:rPr>
          <w:noProof/>
        </w:rPr>
        <w:t>āda adresāta vārdu, adresi un jebkuru citu atbilstīgu informāciju saistībā ar identifikāciju, kura parasti pieejama lūguma iesniedzējai pusei, paziņojamā instrumenta vai lēmuma veidu un priekšmetu, vajadzības gadījumā parādnieka vārdu, adresi un jebkuru ci</w:t>
      </w:r>
      <w:r>
        <w:rPr>
          <w:noProof/>
        </w:rPr>
        <w:t>tu atbilstīgu informāciju saistībā ar identifikāciju, kā arī pieprasījumu, uz kuru šis dokuments vai lēmums attiecas, un jebkādu citu noderīgu informāciju.</w:t>
      </w:r>
      <w:r>
        <w:rPr>
          <w:rFonts w:asciiTheme="majorHAnsi" w:hAnsiTheme="majorHAnsi"/>
          <w:noProof/>
          <w:color w:val="000000"/>
        </w:rPr>
        <w:t xml:space="preserve"> </w:t>
      </w:r>
    </w:p>
    <w:p w:rsidR="003E022D" w:rsidRDefault="007D19D6">
      <w:pPr>
        <w:numPr>
          <w:ilvl w:val="0"/>
          <w:numId w:val="1189"/>
        </w:numPr>
        <w:ind w:left="0" w:firstLine="0"/>
        <w:rPr>
          <w:rFonts w:asciiTheme="majorHAnsi" w:eastAsia="Arial" w:hAnsiTheme="majorHAnsi" w:cs="Arial"/>
          <w:noProof/>
          <w:color w:val="000000"/>
        </w:rPr>
      </w:pPr>
      <w:r>
        <w:rPr>
          <w:rFonts w:asciiTheme="majorHAnsi" w:hAnsiTheme="majorHAnsi"/>
          <w:noProof/>
        </w:rPr>
        <w:t>Lūguma saņēmēja puse nekavējoties informē lūguma iesniedzēju pusi par darbībām, kas veiktas saistīb</w:t>
      </w:r>
      <w:r>
        <w:rPr>
          <w:rFonts w:asciiTheme="majorHAnsi" w:hAnsiTheme="majorHAnsi"/>
          <w:noProof/>
        </w:rPr>
        <w:t>ā ar tās lūgumu paziņot, un īpaši par dienu, kurā attiecīgais lēmums vai instruments tika nodots adresātam.</w:t>
      </w:r>
      <w:r>
        <w:rPr>
          <w:rFonts w:asciiTheme="majorHAnsi" w:hAnsiTheme="majorHAnsi"/>
          <w:b/>
          <w:noProof/>
          <w:color w:val="000000"/>
        </w:rPr>
        <w:t xml:space="preserve"> </w:t>
      </w:r>
    </w:p>
    <w:p w:rsidR="003E022D" w:rsidRDefault="007D19D6">
      <w:pPr>
        <w:pStyle w:val="Article"/>
        <w:rPr>
          <w:noProof/>
        </w:rPr>
      </w:pPr>
      <w:r>
        <w:rPr>
          <w:noProof/>
        </w:rPr>
        <w:t>SSCI.62. pants. Atgūšanas lūgums</w:t>
      </w:r>
    </w:p>
    <w:p w:rsidR="003E022D" w:rsidRDefault="007D19D6">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Pēc lūguma iesniedzējas puses lūguma lūguma saņēmēja puse atgūst pieprasījumus, uz kuriem attiecas lūguma iesniedz</w:t>
      </w:r>
      <w:r>
        <w:rPr>
          <w:rFonts w:asciiTheme="majorHAnsi" w:hAnsiTheme="majorHAnsi"/>
          <w:noProof/>
          <w:color w:val="000000"/>
        </w:rPr>
        <w:t xml:space="preserve">ējas puses izdots instruments, kas atļauj izpildi, ciktāl to atļauj lūguma saņēmējas puses valstī spēkā esošie tiesību akti un administratīvā prakse un saskaņā ar to. </w:t>
      </w:r>
    </w:p>
    <w:p w:rsidR="003E022D" w:rsidRDefault="007D19D6">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Lūguma iesniedzēja puse var iesniegt lūgumu par atgūšanu tikai šādos gadījumos:</w:t>
      </w:r>
    </w:p>
    <w:p w:rsidR="003E022D" w:rsidRDefault="007D19D6">
      <w:pPr>
        <w:numPr>
          <w:ilvl w:val="0"/>
          <w:numId w:val="1191"/>
        </w:numPr>
        <w:ind w:left="567" w:hanging="567"/>
        <w:rPr>
          <w:rFonts w:asciiTheme="majorHAnsi" w:eastAsia="Arial" w:hAnsiTheme="majorHAnsi" w:cs="Arial"/>
          <w:noProof/>
          <w:color w:val="000000"/>
        </w:rPr>
      </w:pPr>
      <w:r>
        <w:rPr>
          <w:rFonts w:asciiTheme="majorHAnsi" w:hAnsiTheme="majorHAnsi"/>
          <w:noProof/>
        </w:rPr>
        <w:t>ja tā lū</w:t>
      </w:r>
      <w:r>
        <w:rPr>
          <w:rFonts w:asciiTheme="majorHAnsi" w:hAnsiTheme="majorHAnsi"/>
          <w:noProof/>
        </w:rPr>
        <w:t xml:space="preserve">guma saņēmējai pusei iesniedz oficiālu instrumentu, kas atļauj pieprasījuma izpildi lūguma iesniedzējā valstī, vai tā apliecinātu kopiju, izņemot gadījumus, kuros piemēro </w:t>
      </w:r>
      <w:r>
        <w:rPr>
          <w:rFonts w:asciiTheme="majorHAnsi" w:hAnsiTheme="majorHAnsi"/>
          <w:noProof/>
          <w:color w:val="000000"/>
        </w:rPr>
        <w:t>šā pielikuma SSCI.64. panta [Maksājumu kārtība un termiņi] 3. punktu</w:t>
      </w:r>
      <w:r>
        <w:rPr>
          <w:rFonts w:asciiTheme="majorHAnsi" w:hAnsiTheme="majorHAnsi"/>
          <w:noProof/>
        </w:rPr>
        <w:t>;</w:t>
      </w:r>
      <w:r>
        <w:rPr>
          <w:rFonts w:asciiTheme="majorHAnsi" w:hAnsiTheme="majorHAnsi"/>
          <w:b/>
          <w:noProof/>
          <w:color w:val="000000"/>
        </w:rPr>
        <w:t xml:space="preserve"> </w:t>
      </w:r>
    </w:p>
    <w:p w:rsidR="003E022D" w:rsidRDefault="007D19D6">
      <w:pPr>
        <w:numPr>
          <w:ilvl w:val="0"/>
          <w:numId w:val="1191"/>
        </w:numPr>
        <w:ind w:left="567" w:hanging="567"/>
        <w:rPr>
          <w:rFonts w:asciiTheme="majorHAnsi" w:eastAsia="Arial" w:hAnsiTheme="majorHAnsi" w:cs="Arial"/>
          <w:noProof/>
          <w:color w:val="000000"/>
        </w:rPr>
      </w:pPr>
      <w:r>
        <w:rPr>
          <w:rFonts w:asciiTheme="majorHAnsi" w:hAnsiTheme="majorHAnsi"/>
          <w:noProof/>
        </w:rPr>
        <w:t>pieprasījums v</w:t>
      </w:r>
      <w:r>
        <w:rPr>
          <w:rFonts w:asciiTheme="majorHAnsi" w:hAnsiTheme="majorHAnsi"/>
          <w:noProof/>
        </w:rPr>
        <w:t>ai instruments, kas atļauj izpildi, netiek apstrīdēts lūguma iesniedzējā valstī;</w:t>
      </w:r>
      <w:r>
        <w:rPr>
          <w:rFonts w:asciiTheme="majorHAnsi" w:hAnsiTheme="majorHAnsi"/>
          <w:b/>
          <w:noProof/>
        </w:rPr>
        <w:t xml:space="preserve"> </w:t>
      </w:r>
    </w:p>
    <w:p w:rsidR="003E022D" w:rsidRDefault="007D19D6">
      <w:pPr>
        <w:numPr>
          <w:ilvl w:val="0"/>
          <w:numId w:val="1191"/>
        </w:numPr>
        <w:ind w:left="567" w:hanging="567"/>
        <w:rPr>
          <w:rFonts w:asciiTheme="majorHAnsi" w:eastAsia="Arial" w:hAnsiTheme="majorHAnsi" w:cs="Arial"/>
          <w:noProof/>
          <w:color w:val="000000"/>
        </w:rPr>
      </w:pPr>
      <w:r>
        <w:rPr>
          <w:rFonts w:asciiTheme="majorHAnsi" w:hAnsiTheme="majorHAnsi"/>
          <w:noProof/>
        </w:rPr>
        <w:t>ja lūguma iesniedzēja puse savā valstī ir piemērojusi atbilstīgas atgūšanas procedūras, kas tai ir pieejamas, pamatojoties uz 1. punktā minēto instrumentu, un ja īstenoto pas</w:t>
      </w:r>
      <w:r>
        <w:rPr>
          <w:rFonts w:asciiTheme="majorHAnsi" w:hAnsiTheme="majorHAnsi"/>
          <w:noProof/>
        </w:rPr>
        <w:t>ākumu rezultātā pieprasījums nebūs pilnībā apmaksāts;</w:t>
      </w:r>
    </w:p>
    <w:p w:rsidR="003E022D" w:rsidRDefault="007D19D6">
      <w:pPr>
        <w:numPr>
          <w:ilvl w:val="0"/>
          <w:numId w:val="1191"/>
        </w:numPr>
        <w:ind w:left="567" w:hanging="567"/>
        <w:rPr>
          <w:rFonts w:asciiTheme="majorHAnsi" w:eastAsia="Arial" w:hAnsiTheme="majorHAnsi" w:cs="Arial"/>
          <w:noProof/>
          <w:color w:val="000000"/>
        </w:rPr>
      </w:pPr>
      <w:r>
        <w:rPr>
          <w:rFonts w:asciiTheme="majorHAnsi" w:hAnsiTheme="majorHAnsi"/>
          <w:noProof/>
        </w:rPr>
        <w:t>saskaņā ar lūguma iesniedzējas puses tiesību aktiem vēl nav beidzies noilguma termiņš.</w:t>
      </w:r>
    </w:p>
    <w:p w:rsidR="003E022D" w:rsidRDefault="007D19D6">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Atgūšanas lūgumā norāda:</w:t>
      </w:r>
    </w:p>
    <w:p w:rsidR="003E022D" w:rsidRDefault="007D19D6">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 xml:space="preserve">vārdu, uzvārdu, adresi un jebkādu citu atbilstīgu informāciju, lai identificētu attiecīgo </w:t>
      </w:r>
      <w:r>
        <w:rPr>
          <w:rFonts w:asciiTheme="majorHAnsi" w:hAnsiTheme="majorHAnsi"/>
          <w:noProof/>
          <w:color w:val="000000"/>
        </w:rPr>
        <w:t>fizisko vai juridisko personu vai identificētu visas trešās personas, kas tur minētās personas līdzekļus;</w:t>
      </w:r>
    </w:p>
    <w:p w:rsidR="003E022D" w:rsidRDefault="007D19D6">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nosaukumu, adresi un jebkādu citu atbilstīgu informāciju, lai identificētu lūguma iesniedzēju pusi;</w:t>
      </w:r>
      <w:r>
        <w:rPr>
          <w:rFonts w:asciiTheme="majorHAnsi" w:hAnsiTheme="majorHAnsi"/>
          <w:b/>
          <w:noProof/>
          <w:color w:val="000000"/>
        </w:rPr>
        <w:t xml:space="preserve"> </w:t>
      </w:r>
    </w:p>
    <w:p w:rsidR="003E022D" w:rsidRDefault="007D19D6">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atsauci uz lūguma iesniedzējas puses valstī izdot</w:t>
      </w:r>
      <w:r>
        <w:rPr>
          <w:rFonts w:asciiTheme="majorHAnsi" w:hAnsiTheme="majorHAnsi"/>
          <w:noProof/>
          <w:color w:val="000000"/>
        </w:rPr>
        <w:t>u instrumentu, kas ļauj veikt izpildi;</w:t>
      </w:r>
      <w:r>
        <w:rPr>
          <w:rFonts w:asciiTheme="majorHAnsi" w:hAnsiTheme="majorHAnsi"/>
          <w:b/>
          <w:noProof/>
          <w:color w:val="000000"/>
        </w:rPr>
        <w:t xml:space="preserve"> </w:t>
      </w:r>
    </w:p>
    <w:p w:rsidR="003E022D" w:rsidRDefault="007D19D6">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pieprasījuma veidu un summu, tostarp maksājamo pamatsummu, procentus, naudas sodus, administratīvus sodus un visas citas nodevas un izmaksas, ko norāda lūguma iesniedzējas un lūguma saņēmējas puses valsts valūtā;</w:t>
      </w:r>
      <w:r>
        <w:rPr>
          <w:rFonts w:asciiTheme="majorHAnsi" w:hAnsiTheme="majorHAnsi"/>
          <w:b/>
          <w:noProof/>
          <w:color w:val="000000"/>
        </w:rPr>
        <w:t xml:space="preserve"> </w:t>
      </w:r>
    </w:p>
    <w:p w:rsidR="003E022D" w:rsidRDefault="007D19D6">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da</w:t>
      </w:r>
      <w:r>
        <w:rPr>
          <w:rFonts w:asciiTheme="majorHAnsi" w:hAnsiTheme="majorHAnsi"/>
          <w:noProof/>
          <w:color w:val="000000"/>
        </w:rPr>
        <w:t>tumu, kurā lūguma iesniedzēja puse vai lūguma saņēmēja puse instrumentu paziņojusi adresātam;</w:t>
      </w:r>
      <w:r>
        <w:rPr>
          <w:rFonts w:asciiTheme="majorHAnsi" w:hAnsiTheme="majorHAnsi"/>
          <w:b/>
          <w:noProof/>
          <w:color w:val="000000"/>
        </w:rPr>
        <w:t xml:space="preserve"> </w:t>
      </w:r>
    </w:p>
    <w:p w:rsidR="003E022D" w:rsidRDefault="007D19D6">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datumu, no kura veikt skaitīšanu, un periodu, kura laikā atgūšana ir iespējama saskaņā ar tiesību aktiem, kas ir spēkā lūguma iesniedzējas puses valstī;</w:t>
      </w:r>
    </w:p>
    <w:p w:rsidR="003E022D" w:rsidRDefault="007D19D6">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citu būt</w:t>
      </w:r>
      <w:r>
        <w:rPr>
          <w:rFonts w:asciiTheme="majorHAnsi" w:hAnsiTheme="majorHAnsi"/>
          <w:noProof/>
          <w:color w:val="000000"/>
        </w:rPr>
        <w:t>isku informāciju.</w:t>
      </w:r>
    </w:p>
    <w:p w:rsidR="003E022D" w:rsidRDefault="007D19D6">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Atgūšanas lūgumā ir lūguma iesniedzējas puses paziņojums, kas apstiprina, ka 2. punktā minētie nosacījumi ir ievēroti.</w:t>
      </w:r>
    </w:p>
    <w:p w:rsidR="003E022D" w:rsidRDefault="007D19D6">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 xml:space="preserve">Tiklīdz lūguma iesniedzēja puse saņem attiecīgo informāciju, tā nosūta lūguma saņēmējai pusei visu atbilstīgo </w:t>
      </w:r>
      <w:r>
        <w:rPr>
          <w:rFonts w:asciiTheme="majorHAnsi" w:hAnsiTheme="majorHAnsi"/>
          <w:noProof/>
          <w:color w:val="000000"/>
        </w:rPr>
        <w:t>informāciju, kas attiecas uz lietu, saistībā ar kuru ir iesniegts atgūšanas lūgums.</w:t>
      </w:r>
    </w:p>
    <w:p w:rsidR="003E022D" w:rsidRDefault="007D19D6">
      <w:pPr>
        <w:pStyle w:val="Article"/>
        <w:rPr>
          <w:noProof/>
        </w:rPr>
      </w:pPr>
      <w:r>
        <w:rPr>
          <w:noProof/>
        </w:rPr>
        <w:t>SSCI.63. pants.  Instruments, kas atļauj atgūšanas izpildi</w:t>
      </w:r>
    </w:p>
    <w:p w:rsidR="003E022D" w:rsidRDefault="007D19D6">
      <w:pPr>
        <w:numPr>
          <w:ilvl w:val="0"/>
          <w:numId w:val="1184"/>
        </w:numPr>
        <w:ind w:left="0" w:firstLine="0"/>
        <w:rPr>
          <w:rFonts w:asciiTheme="majorHAnsi" w:eastAsia="Arial" w:hAnsiTheme="majorHAnsi" w:cs="Arial"/>
          <w:noProof/>
          <w:color w:val="000000"/>
        </w:rPr>
      </w:pPr>
      <w:r>
        <w:rPr>
          <w:noProof/>
        </w:rPr>
        <w:t xml:space="preserve">Saskaņā ar protokola </w:t>
      </w:r>
      <w:r>
        <w:rPr>
          <w:noProof/>
          <w:color w:val="000000"/>
        </w:rPr>
        <w:t>SSC.64. panta [Iemaksu iekasēšana un pabalstu atgūšana] 2. punktu</w:t>
      </w:r>
      <w:r>
        <w:rPr>
          <w:noProof/>
        </w:rPr>
        <w:t xml:space="preserve"> instrumentu, kas ļauj izpi</w:t>
      </w:r>
      <w:r>
        <w:rPr>
          <w:noProof/>
        </w:rPr>
        <w:t>ldīt pieprasījumu, tieši atzīst un to automātiski uzskata par tādu instrumentu, kas ļauj izpildīt lūguma saņēmējas puses valsts pieprasījumu.</w:t>
      </w:r>
      <w:r>
        <w:rPr>
          <w:rFonts w:asciiTheme="majorHAnsi" w:hAnsiTheme="majorHAnsi"/>
          <w:b/>
          <w:noProof/>
          <w:color w:val="000000"/>
        </w:rPr>
        <w:t xml:space="preserve"> </w:t>
      </w:r>
    </w:p>
    <w:p w:rsidR="003E022D" w:rsidRDefault="007D19D6">
      <w:pPr>
        <w:numPr>
          <w:ilvl w:val="0"/>
          <w:numId w:val="1184"/>
        </w:numPr>
        <w:ind w:left="0" w:firstLine="0"/>
        <w:rPr>
          <w:rFonts w:asciiTheme="majorHAnsi" w:eastAsia="Arial" w:hAnsiTheme="majorHAnsi" w:cs="Arial"/>
          <w:noProof/>
          <w:color w:val="000000"/>
        </w:rPr>
      </w:pPr>
      <w:r>
        <w:rPr>
          <w:rFonts w:asciiTheme="majorHAnsi" w:hAnsiTheme="majorHAnsi"/>
          <w:noProof/>
        </w:rPr>
        <w:t>Neatkarīgi no 1. punkta instrumentu, kas atļauj veikt pieprasījumu izpildi, vajadzības gadījumā un saskaņā ar lūg</w:t>
      </w:r>
      <w:r>
        <w:rPr>
          <w:rFonts w:asciiTheme="majorHAnsi" w:hAnsiTheme="majorHAnsi"/>
          <w:noProof/>
        </w:rPr>
        <w:t>uma saņēmējas puses valstī spēkā esošajiem noteikumiem var pieņemt, atzīt, papildināt vai aizstāt ar instrumentu, kas ļautu veikt izpildi šīs valsts teritorijā.</w:t>
      </w:r>
    </w:p>
    <w:p w:rsidR="003E022D" w:rsidRDefault="007D19D6">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Valsts(-is) šādu pieņemšanu, atzīšanu, papildināšanu vai aizstāšanu cenšas veikt trīs mēnešu la</w:t>
      </w:r>
      <w:r>
        <w:rPr>
          <w:rFonts w:asciiTheme="majorHAnsi" w:hAnsiTheme="majorHAnsi"/>
          <w:noProof/>
          <w:color w:val="000000"/>
        </w:rPr>
        <w:t>ikā pēc atgūšanas lūguma saņemšanas dienas, izņemot gadījumus, kad piemēro šā punkta trešo daļu. Valstis nevar atteikties izpildīt šādas darbības, ja instruments, kas ļauj veikt izpildi, ir pareizi sagatavots. Lūguma saņēmēja puse informē lūguma iesniedzēj</w:t>
      </w:r>
      <w:r>
        <w:rPr>
          <w:rFonts w:asciiTheme="majorHAnsi" w:hAnsiTheme="majorHAnsi"/>
          <w:noProof/>
          <w:color w:val="000000"/>
        </w:rPr>
        <w:t>u pusi par trīs mēnešu perioda pārsniegšanas iemesliem.</w:t>
      </w:r>
      <w:r>
        <w:rPr>
          <w:rFonts w:asciiTheme="majorHAnsi" w:hAnsiTheme="majorHAnsi"/>
          <w:b/>
          <w:noProof/>
          <w:color w:val="000000"/>
        </w:rPr>
        <w:t xml:space="preserve"> </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Ja kāda no šīm darbībām kļūst par iemeslu strīdam saistībā ar pieprasījumu vai instrumentu, kas ļauj veikt izpildi un kuru izsniegusi lūguma iesniedzēja puse, piemēro šā pielikuma SSCI.65. pantu [Aps</w:t>
      </w:r>
      <w:r>
        <w:rPr>
          <w:rFonts w:asciiTheme="majorHAnsi" w:hAnsiTheme="majorHAnsi"/>
          <w:noProof/>
          <w:color w:val="000000"/>
        </w:rPr>
        <w:t>trīdēšana saistībā ar pieprasījumu vai instrumentu, kas ļauj veikt pieprasījuma atgūšanu, un apstrīdēšana saistībā ar atgūšanas pasākumiem].</w:t>
      </w:r>
    </w:p>
    <w:p w:rsidR="003E022D" w:rsidRDefault="007D19D6">
      <w:pPr>
        <w:pStyle w:val="Article"/>
        <w:rPr>
          <w:noProof/>
        </w:rPr>
      </w:pPr>
      <w:r>
        <w:rPr>
          <w:noProof/>
        </w:rPr>
        <w:t>SSCI.64. pants. Maksājumu kārtība un termiņi</w:t>
      </w:r>
    </w:p>
    <w:p w:rsidR="003E022D" w:rsidRDefault="007D19D6">
      <w:pPr>
        <w:numPr>
          <w:ilvl w:val="0"/>
          <w:numId w:val="1183"/>
        </w:numPr>
        <w:ind w:left="0" w:firstLine="0"/>
        <w:rPr>
          <w:rFonts w:asciiTheme="majorHAnsi" w:eastAsia="Arial" w:hAnsiTheme="majorHAnsi" w:cs="Arial"/>
          <w:noProof/>
          <w:color w:val="000000"/>
        </w:rPr>
      </w:pPr>
      <w:r>
        <w:rPr>
          <w:rFonts w:asciiTheme="majorHAnsi" w:hAnsiTheme="majorHAnsi"/>
          <w:noProof/>
        </w:rPr>
        <w:t>Pieprasījumu atgūšana notiek lūguma saņēmējas puses valsts valūtā.</w:t>
      </w:r>
      <w:r>
        <w:rPr>
          <w:rFonts w:asciiTheme="majorHAnsi" w:hAnsiTheme="majorHAnsi"/>
          <w:noProof/>
          <w:color w:val="000000"/>
        </w:rPr>
        <w:t xml:space="preserve"> Kop</w:t>
      </w:r>
      <w:r>
        <w:rPr>
          <w:rFonts w:asciiTheme="majorHAnsi" w:hAnsiTheme="majorHAnsi"/>
          <w:noProof/>
          <w:color w:val="000000"/>
        </w:rPr>
        <w:t>ējo pieprasījuma summu, ko atguvusi lūguma saņēmēja puse, lūguma saņēmēja puse nosūta lūguma iesniedzējai pusei.</w:t>
      </w:r>
      <w:r>
        <w:rPr>
          <w:rFonts w:asciiTheme="majorHAnsi" w:hAnsiTheme="majorHAnsi"/>
          <w:b/>
          <w:noProof/>
          <w:color w:val="000000"/>
        </w:rPr>
        <w:t xml:space="preserve"> </w:t>
      </w:r>
    </w:p>
    <w:p w:rsidR="003E022D" w:rsidRDefault="007D19D6">
      <w:pPr>
        <w:numPr>
          <w:ilvl w:val="0"/>
          <w:numId w:val="1183"/>
        </w:numPr>
        <w:ind w:left="0" w:firstLine="0"/>
        <w:rPr>
          <w:rFonts w:asciiTheme="majorHAnsi" w:eastAsia="Arial" w:hAnsiTheme="majorHAnsi" w:cs="Arial"/>
          <w:noProof/>
          <w:color w:val="000000"/>
        </w:rPr>
      </w:pPr>
      <w:r>
        <w:rPr>
          <w:noProof/>
        </w:rPr>
        <w:t>Ja lūguma saņēmējas puses valstī spēkā esošie normatīvie un administratīvie akti to atļauj un pēc apspriešanās ar lūguma iesniedzēju pusi, lūg</w:t>
      </w:r>
      <w:r>
        <w:rPr>
          <w:noProof/>
        </w:rPr>
        <w:t>uma saņēmēja puse parādniekam var piešķirt apmaksas termiņu vai atļaut pakāpeniski sadalītu maksājumu.</w:t>
      </w:r>
      <w:r>
        <w:rPr>
          <w:rFonts w:asciiTheme="majorHAnsi" w:hAnsiTheme="majorHAnsi"/>
          <w:noProof/>
          <w:color w:val="000000"/>
        </w:rPr>
        <w:t xml:space="preserve"> Procentus, ko lūguma saņēmēja puse saņem maksājuma termiņa pagarinājuma rezultātā, tāpat nosūta lūguma iesniedzējas puses dalībvalstij.</w:t>
      </w:r>
      <w:r>
        <w:rPr>
          <w:rFonts w:asciiTheme="majorHAnsi" w:hAnsiTheme="majorHAnsi"/>
          <w:b/>
          <w:noProof/>
          <w:color w:val="000000"/>
        </w:rPr>
        <w:t xml:space="preserve"> </w:t>
      </w:r>
    </w:p>
    <w:p w:rsidR="003E022D" w:rsidRDefault="007D19D6">
      <w:pPr>
        <w:numPr>
          <w:ilvl w:val="0"/>
          <w:numId w:val="1183"/>
        </w:numPr>
        <w:ind w:left="0" w:firstLine="0"/>
        <w:rPr>
          <w:rFonts w:asciiTheme="majorHAnsi" w:eastAsia="Arial" w:hAnsiTheme="majorHAnsi" w:cs="Arial"/>
          <w:noProof/>
          <w:color w:val="000000"/>
        </w:rPr>
      </w:pPr>
      <w:r>
        <w:rPr>
          <w:rFonts w:asciiTheme="majorHAnsi" w:hAnsiTheme="majorHAnsi"/>
          <w:noProof/>
        </w:rPr>
        <w:t xml:space="preserve">Sākot ar datumu, kurā instruments, kas ļauj veikt atgūšanas pieprasījuma izpildi, ir tieši atzīts saskaņā ar šā </w:t>
      </w:r>
      <w:r>
        <w:rPr>
          <w:rFonts w:asciiTheme="majorHAnsi" w:hAnsiTheme="majorHAnsi"/>
          <w:noProof/>
          <w:color w:val="000000"/>
        </w:rPr>
        <w:t>pielikuma SSCI.63. panta [Instruments, kas atļauj atgūšanas izpildi] 1. punktu</w:t>
      </w:r>
      <w:r>
        <w:rPr>
          <w:rFonts w:asciiTheme="majorHAnsi" w:hAnsiTheme="majorHAnsi"/>
          <w:noProof/>
        </w:rPr>
        <w:t xml:space="preserve"> vai pieņemts, atzīts, papildināts vai aizstāts saskaņā ar šā</w:t>
      </w:r>
      <w:r>
        <w:rPr>
          <w:rFonts w:asciiTheme="majorHAnsi" w:hAnsiTheme="majorHAnsi"/>
          <w:noProof/>
          <w:color w:val="000000"/>
        </w:rPr>
        <w:t xml:space="preserve"> piel</w:t>
      </w:r>
      <w:r>
        <w:rPr>
          <w:rFonts w:asciiTheme="majorHAnsi" w:hAnsiTheme="majorHAnsi"/>
          <w:noProof/>
          <w:color w:val="000000"/>
        </w:rPr>
        <w:t>ikuma SSCI.63. panta [Instruments, kas atļauj atgūšanas izpildi] 2. punktu</w:t>
      </w:r>
      <w:r>
        <w:rPr>
          <w:rFonts w:asciiTheme="majorHAnsi" w:hAnsiTheme="majorHAnsi"/>
          <w:noProof/>
        </w:rPr>
        <w:t>, par maksājuma kavējumu saskaņā ar lūguma saņēmējas puses valstī spēkā esošajiem normatīvajiem un administratīvajiem aktiem iekasē procentus, kurus arī nosūta lūguma iesniedzējai pu</w:t>
      </w:r>
      <w:r>
        <w:rPr>
          <w:rFonts w:asciiTheme="majorHAnsi" w:hAnsiTheme="majorHAnsi"/>
          <w:noProof/>
        </w:rPr>
        <w:t>sei.</w:t>
      </w:r>
      <w:r>
        <w:rPr>
          <w:rFonts w:asciiTheme="majorHAnsi" w:hAnsiTheme="majorHAnsi"/>
          <w:b/>
          <w:noProof/>
          <w:color w:val="000000"/>
        </w:rPr>
        <w:t xml:space="preserve"> </w:t>
      </w:r>
    </w:p>
    <w:p w:rsidR="003E022D" w:rsidRDefault="007D19D6">
      <w:pPr>
        <w:pStyle w:val="Article"/>
        <w:rPr>
          <w:b/>
          <w:noProof/>
        </w:rPr>
      </w:pPr>
      <w:r>
        <w:rPr>
          <w:noProof/>
        </w:rPr>
        <w:t>SSCI.65. pants. Apstrīdēšana saistībā ar pieprasījumu vai instrumentu, kas ļauj izpildīt atgūšanu, un apstrīdēšana saistībā ar izpildes pasākumiem</w:t>
      </w:r>
      <w:r>
        <w:rPr>
          <w:b/>
          <w:noProof/>
        </w:rPr>
        <w:t xml:space="preserve"> </w:t>
      </w:r>
    </w:p>
    <w:p w:rsidR="003E022D" w:rsidRDefault="007D19D6">
      <w:pPr>
        <w:numPr>
          <w:ilvl w:val="0"/>
          <w:numId w:val="1192"/>
        </w:numPr>
        <w:ind w:left="0" w:firstLine="0"/>
        <w:rPr>
          <w:rFonts w:asciiTheme="majorHAnsi" w:eastAsia="Arial" w:hAnsiTheme="majorHAnsi" w:cs="Arial"/>
          <w:noProof/>
          <w:color w:val="000000"/>
        </w:rPr>
      </w:pPr>
      <w:r>
        <w:rPr>
          <w:rFonts w:asciiTheme="majorHAnsi" w:hAnsiTheme="majorHAnsi"/>
          <w:noProof/>
        </w:rPr>
        <w:t>Ja atgūšanas procedūras laikā pieprasījumu vai instrumentu, kas ļauj veikt izpildi un kas ir izdots lū</w:t>
      </w:r>
      <w:r>
        <w:rPr>
          <w:rFonts w:asciiTheme="majorHAnsi" w:hAnsiTheme="majorHAnsi"/>
          <w:noProof/>
        </w:rPr>
        <w:t>guma iesniedzējas puses valstī, apstrīd ieinteresētā persona, tā lietu iesniedz kompetentajai iestādei lūguma iesniedzējas puses valstī atbilstīgi spēkā esošajiem tiesību aktiem minētajā valstī.</w:t>
      </w:r>
      <w:r>
        <w:rPr>
          <w:rFonts w:asciiTheme="majorHAnsi" w:hAnsiTheme="majorHAnsi"/>
          <w:noProof/>
          <w:color w:val="000000"/>
        </w:rPr>
        <w:t xml:space="preserve"> Lūguma iesniedzēja puse par šo darbību nekavējoties paziņo lū</w:t>
      </w:r>
      <w:r>
        <w:rPr>
          <w:rFonts w:asciiTheme="majorHAnsi" w:hAnsiTheme="majorHAnsi"/>
          <w:noProof/>
          <w:color w:val="000000"/>
        </w:rPr>
        <w:t>guma saņēmējai pusei. Lūguma saņēmējai pusei par šo darbību var paziņot arī ieinteresētā puse.</w:t>
      </w:r>
    </w:p>
    <w:p w:rsidR="003E022D" w:rsidRDefault="007D19D6">
      <w:pPr>
        <w:numPr>
          <w:ilvl w:val="0"/>
          <w:numId w:val="1192"/>
        </w:numPr>
        <w:ind w:left="0" w:firstLine="0"/>
        <w:rPr>
          <w:rFonts w:asciiTheme="majorHAnsi" w:eastAsia="Arial" w:hAnsiTheme="majorHAnsi" w:cs="Arial"/>
          <w:noProof/>
          <w:color w:val="000000"/>
        </w:rPr>
      </w:pPr>
      <w:r>
        <w:rPr>
          <w:rFonts w:asciiTheme="majorHAnsi" w:hAnsiTheme="majorHAnsi"/>
          <w:noProof/>
        </w:rPr>
        <w:t>Tiklīdz lūguma saņēmēja puse vai nu no lūguma iesniedzējas puses, vai arī no ieinteresētās personas ir saņēmusi 1. punktā minēto paziņojumu vai informāciju, tā a</w:t>
      </w:r>
      <w:r>
        <w:rPr>
          <w:rFonts w:asciiTheme="majorHAnsi" w:hAnsiTheme="majorHAnsi"/>
          <w:noProof/>
        </w:rPr>
        <w:t>ptur izpildes procedūru, kamēr nav zināms attiecīgās iestādes lēmums konkrētajā lietā, ja vien saskaņā ar šā punkta otro daļu lūguma iesniedzēja puse nepieprasa citādi.</w:t>
      </w:r>
      <w:r>
        <w:rPr>
          <w:rFonts w:asciiTheme="majorHAnsi" w:hAnsiTheme="majorHAnsi"/>
          <w:noProof/>
          <w:color w:val="000000"/>
        </w:rPr>
        <w:t xml:space="preserve"> </w:t>
      </w:r>
      <w:r>
        <w:rPr>
          <w:rFonts w:asciiTheme="majorHAnsi" w:hAnsiTheme="majorHAnsi"/>
          <w:noProof/>
        </w:rPr>
        <w:t>Ja lūguma saņēmēja puse to uzskata par nepieciešamu un neskarot šā</w:t>
      </w:r>
      <w:r>
        <w:rPr>
          <w:rFonts w:asciiTheme="majorHAnsi" w:hAnsiTheme="majorHAnsi"/>
          <w:noProof/>
          <w:color w:val="000000"/>
        </w:rPr>
        <w:t xml:space="preserve"> pielikuma SSCI.68. p</w:t>
      </w:r>
      <w:r>
        <w:rPr>
          <w:rFonts w:asciiTheme="majorHAnsi" w:hAnsiTheme="majorHAnsi"/>
          <w:noProof/>
          <w:color w:val="000000"/>
        </w:rPr>
        <w:t>antu [Piesardzības pasākumi]</w:t>
      </w:r>
      <w:r>
        <w:rPr>
          <w:rFonts w:asciiTheme="majorHAnsi" w:hAnsiTheme="majorHAnsi"/>
          <w:noProof/>
        </w:rPr>
        <w:t>, tā var izmantot piesardzības pasākumus, lai garantētu atgūšanu, ciktāl lūguma saņēmējas puses valstī spēkā esošie normatīvie akti to ļauj līdzīgu pieprasījumu gadījumos.</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Neatkarīgi no pirmās daļas lūguma iesniedzēja puse var s</w:t>
      </w:r>
      <w:r>
        <w:rPr>
          <w:rFonts w:asciiTheme="majorHAnsi" w:hAnsiTheme="majorHAnsi"/>
          <w:noProof/>
          <w:color w:val="000000"/>
        </w:rPr>
        <w:t>askaņā ar savas valsts spēkā esošajiem normatīvajiem aktiem un administratīvo praksi lūgt lūguma saņēmēju pusi atgūt apstrīdēto pieprasījumu, ciktāl lūguma saņēmējas puses valsts spēkā esošie normatīvie akti un administratīvā prakse to ļauj. Ja apstrīdēšan</w:t>
      </w:r>
      <w:r>
        <w:rPr>
          <w:rFonts w:asciiTheme="majorHAnsi" w:hAnsiTheme="majorHAnsi"/>
          <w:noProof/>
          <w:color w:val="000000"/>
        </w:rPr>
        <w:t>as rezultāti ir par labu parādniekam, lūguma iesniedzēja puse ir atbildīga par jebkādu atgūto summu atmaksāšanu, līdz ar jebkuru kompensāciju saskaņā ar lūguma saņēmējas puses valsts spēkā esošajiem tiesību aktiem.</w:t>
      </w:r>
    </w:p>
    <w:p w:rsidR="003E022D" w:rsidRDefault="007D19D6">
      <w:pPr>
        <w:numPr>
          <w:ilvl w:val="0"/>
          <w:numId w:val="1192"/>
        </w:numPr>
        <w:ind w:left="0" w:firstLine="0"/>
        <w:rPr>
          <w:rFonts w:asciiTheme="majorHAnsi" w:eastAsia="Arial" w:hAnsiTheme="majorHAnsi" w:cs="Arial"/>
          <w:noProof/>
          <w:color w:val="000000"/>
        </w:rPr>
      </w:pPr>
      <w:r>
        <w:rPr>
          <w:rFonts w:asciiTheme="majorHAnsi" w:hAnsiTheme="majorHAnsi"/>
          <w:noProof/>
        </w:rPr>
        <w:t>Ja apstrīdēšana attiecas uz izpildes pasā</w:t>
      </w:r>
      <w:r>
        <w:rPr>
          <w:rFonts w:asciiTheme="majorHAnsi" w:hAnsiTheme="majorHAnsi"/>
          <w:noProof/>
        </w:rPr>
        <w:t>kumiem, kas veikti lūguma saņēmējas puses valstī, lietu tālāk risina šīs valsts attiecīgajā iestādē saskaņā ar tās normatīvajiem aktiem.</w:t>
      </w:r>
    </w:p>
    <w:p w:rsidR="003E022D" w:rsidRDefault="007D19D6">
      <w:pPr>
        <w:numPr>
          <w:ilvl w:val="0"/>
          <w:numId w:val="1192"/>
        </w:numPr>
        <w:ind w:left="0" w:firstLine="0"/>
        <w:rPr>
          <w:rFonts w:asciiTheme="majorHAnsi" w:eastAsia="Arial" w:hAnsiTheme="majorHAnsi" w:cs="Arial"/>
          <w:noProof/>
          <w:color w:val="000000"/>
        </w:rPr>
      </w:pPr>
      <w:r>
        <w:rPr>
          <w:rFonts w:asciiTheme="majorHAnsi" w:hAnsiTheme="majorHAnsi"/>
          <w:noProof/>
        </w:rPr>
        <w:t>Ja attiecīgā iestāde, kurā iesniegts pieteikums lietas izskatīšanai saskaņā ar šā panta 1. punktu, ir tiesa vai adminis</w:t>
      </w:r>
      <w:r>
        <w:rPr>
          <w:rFonts w:asciiTheme="majorHAnsi" w:hAnsiTheme="majorHAnsi"/>
          <w:noProof/>
        </w:rPr>
        <w:t xml:space="preserve">tratīva tiesa, tad šīs iestādes lēmums, ja tas ir labvēlīgs lūguma iesniedzējai pusei un pieļauj pieprasījuma atgūšanu lūguma iesniedzējas puses valstī, ir “instruments, kas atļauj izpildi” šā </w:t>
      </w:r>
      <w:r>
        <w:rPr>
          <w:rFonts w:asciiTheme="majorHAnsi" w:hAnsiTheme="majorHAnsi"/>
          <w:noProof/>
          <w:color w:val="000000"/>
        </w:rPr>
        <w:t>pielikuma SSCI.62. panta [Atgūšanas lūgums] un SSCI.63. panta [</w:t>
      </w:r>
      <w:r>
        <w:rPr>
          <w:rFonts w:asciiTheme="majorHAnsi" w:hAnsiTheme="majorHAnsi"/>
          <w:noProof/>
          <w:color w:val="000000"/>
        </w:rPr>
        <w:t>Instruments, kas atļauj atgūšanas izpildi]</w:t>
      </w:r>
      <w:r>
        <w:rPr>
          <w:rFonts w:asciiTheme="majorHAnsi" w:hAnsiTheme="majorHAnsi"/>
          <w:noProof/>
        </w:rPr>
        <w:t xml:space="preserve"> nozīmē, un pieprasījuma atgūšana notiek, pamatojoties uz šo lēmumu.</w:t>
      </w:r>
      <w:r>
        <w:rPr>
          <w:rFonts w:asciiTheme="majorHAnsi" w:hAnsiTheme="majorHAnsi"/>
          <w:b/>
          <w:noProof/>
          <w:color w:val="000000"/>
        </w:rPr>
        <w:t xml:space="preserve"> </w:t>
      </w:r>
    </w:p>
    <w:p w:rsidR="003E022D" w:rsidRDefault="007D19D6">
      <w:pPr>
        <w:pStyle w:val="Article"/>
        <w:rPr>
          <w:noProof/>
        </w:rPr>
      </w:pPr>
      <w:r>
        <w:rPr>
          <w:noProof/>
        </w:rPr>
        <w:t>SSCI.66. pants.  Palīdzības ierobežojumi</w:t>
      </w:r>
    </w:p>
    <w:p w:rsidR="003E022D" w:rsidRDefault="007D19D6">
      <w:pPr>
        <w:numPr>
          <w:ilvl w:val="0"/>
          <w:numId w:val="1198"/>
        </w:numPr>
        <w:ind w:left="0" w:firstLine="0"/>
        <w:rPr>
          <w:rFonts w:asciiTheme="majorHAnsi" w:eastAsia="Arial" w:hAnsiTheme="majorHAnsi" w:cs="Arial"/>
          <w:noProof/>
          <w:color w:val="000000"/>
        </w:rPr>
      </w:pPr>
      <w:r>
        <w:rPr>
          <w:rFonts w:asciiTheme="majorHAnsi" w:hAnsiTheme="majorHAnsi"/>
          <w:noProof/>
          <w:color w:val="FF0000"/>
        </w:rPr>
        <w:t xml:space="preserve"> </w:t>
      </w:r>
      <w:r>
        <w:rPr>
          <w:rFonts w:asciiTheme="majorHAnsi" w:hAnsiTheme="majorHAnsi"/>
          <w:noProof/>
          <w:color w:val="000000"/>
        </w:rPr>
        <w:t>Lūguma saņēmējas puses pienākumos neietilpst:</w:t>
      </w:r>
    </w:p>
    <w:p w:rsidR="003E022D" w:rsidRDefault="007D19D6">
      <w:pPr>
        <w:numPr>
          <w:ilvl w:val="0"/>
          <w:numId w:val="1195"/>
        </w:numPr>
        <w:ind w:left="567" w:hanging="567"/>
        <w:rPr>
          <w:rFonts w:asciiTheme="majorHAnsi" w:eastAsia="Arial" w:hAnsiTheme="majorHAnsi" w:cs="Arial"/>
          <w:noProof/>
          <w:color w:val="000000"/>
        </w:rPr>
      </w:pPr>
      <w:r>
        <w:rPr>
          <w:rFonts w:asciiTheme="majorHAnsi" w:hAnsiTheme="majorHAnsi"/>
          <w:noProof/>
        </w:rPr>
        <w:t xml:space="preserve">sniegt palīdzību, kas paredzēta šā </w:t>
      </w:r>
      <w:r>
        <w:rPr>
          <w:rFonts w:asciiTheme="majorHAnsi" w:hAnsiTheme="majorHAnsi"/>
          <w:noProof/>
          <w:color w:val="000000"/>
        </w:rPr>
        <w:t xml:space="preserve">pielikuma </w:t>
      </w:r>
      <w:r>
        <w:rPr>
          <w:rFonts w:asciiTheme="majorHAnsi" w:hAnsiTheme="majorHAnsi"/>
          <w:noProof/>
          <w:color w:val="000000"/>
        </w:rPr>
        <w:t>SSCI.62.[Atgūšanas lūgums] –SSCI.65. [Apstrīdēšana saistībā ar pieprasījumu vai instrumentu, kas ļauj izpildīt atgūšanu, un apstrīdēšana saistībā ar izpildes pasākumiem] pantā</w:t>
      </w:r>
      <w:r>
        <w:rPr>
          <w:rFonts w:asciiTheme="majorHAnsi" w:hAnsiTheme="majorHAnsi"/>
          <w:noProof/>
        </w:rPr>
        <w:t>, ja pieprasījuma atgūšana parādnieka situācijas dēļ izraisītu smagas ekonomiskas</w:t>
      </w:r>
      <w:r>
        <w:rPr>
          <w:rFonts w:asciiTheme="majorHAnsi" w:hAnsiTheme="majorHAnsi"/>
          <w:noProof/>
        </w:rPr>
        <w:t xml:space="preserve"> vai sociālas grūtības lūguma saņēmējas puses valstī, ciktāl lūguma saņēmējas puses valstī spēkā esošie normatīvie akti un administratīvā prakse atļauj šādi rīkoties līdzīgu valsts pieprasījumu gadījumos;</w:t>
      </w:r>
    </w:p>
    <w:p w:rsidR="003E022D" w:rsidRDefault="007D19D6">
      <w:pPr>
        <w:numPr>
          <w:ilvl w:val="0"/>
          <w:numId w:val="1195"/>
        </w:numPr>
        <w:ind w:left="567" w:hanging="567"/>
        <w:rPr>
          <w:rFonts w:asciiTheme="majorHAnsi" w:eastAsia="Arial" w:hAnsiTheme="majorHAnsi" w:cs="Arial"/>
          <w:noProof/>
          <w:color w:val="000000"/>
        </w:rPr>
      </w:pPr>
      <w:r>
        <w:rPr>
          <w:rFonts w:asciiTheme="majorHAnsi" w:hAnsiTheme="majorHAnsi"/>
          <w:noProof/>
        </w:rPr>
        <w:t xml:space="preserve">sniegt palīdzību, kas paredzēta šā </w:t>
      </w:r>
      <w:r>
        <w:rPr>
          <w:rFonts w:asciiTheme="majorHAnsi" w:hAnsiTheme="majorHAnsi"/>
          <w:noProof/>
          <w:color w:val="000000"/>
        </w:rPr>
        <w:t>pielikuma SSCI.6</w:t>
      </w:r>
      <w:r>
        <w:rPr>
          <w:rFonts w:asciiTheme="majorHAnsi" w:hAnsiTheme="majorHAnsi"/>
          <w:noProof/>
          <w:color w:val="000000"/>
        </w:rPr>
        <w:t>0. [Informācijas lūgumi] – SSCI.65. [Apstrīdēšana saistībā ar pieprasījumu vai instrumentu, kas ļauj izpildīt atgūšanu, un apstrīdēšana saistībā ar izpildes pasākumiem] pantā</w:t>
      </w:r>
      <w:r>
        <w:rPr>
          <w:rFonts w:asciiTheme="majorHAnsi" w:hAnsiTheme="majorHAnsi"/>
          <w:noProof/>
        </w:rPr>
        <w:t>, ja sākotnējais lūgums saskaņā ar šā pielikuma SSCI.60.[Informācijas lūgumi] – SS</w:t>
      </w:r>
      <w:r>
        <w:rPr>
          <w:rFonts w:asciiTheme="majorHAnsi" w:hAnsiTheme="majorHAnsi"/>
          <w:noProof/>
        </w:rPr>
        <w:t>CI.62. [Atgūšanas lūgums] pantu attiecas uz pieprasījumiem, kas ir vecāki par pieciem gadiem, skaitot no dienas, kad, ievērojot lūguma iesniedzējas puses dalībvalstī tajā dienā spēkā esošos normatīvos aktus un administratīvo praksi, izdots instruments, kur</w:t>
      </w:r>
      <w:r>
        <w:rPr>
          <w:rFonts w:asciiTheme="majorHAnsi" w:hAnsiTheme="majorHAnsi"/>
          <w:noProof/>
        </w:rPr>
        <w:t>š ļauj veikt atgūšanu.</w:t>
      </w:r>
      <w:r>
        <w:rPr>
          <w:rFonts w:asciiTheme="majorHAnsi" w:hAnsiTheme="majorHAnsi"/>
          <w:noProof/>
          <w:color w:val="000000"/>
        </w:rPr>
        <w:t xml:space="preserve"> Tomēr pieprasījuma vai instrumenta apstrīdēšanas gadījumos termiņa sākums ir diena, kad lūguma iesniedzēja puses valsts konstatē, ka pieprasījums vai izpildes rīkojums, kas ļauj veikt atgūšanu, vairs nevar tikt apstrīdēts.</w:t>
      </w:r>
      <w:r>
        <w:rPr>
          <w:rFonts w:asciiTheme="majorHAnsi" w:hAnsiTheme="majorHAnsi"/>
          <w:b/>
          <w:noProof/>
          <w:color w:val="000000"/>
        </w:rPr>
        <w:t xml:space="preserve"> </w:t>
      </w:r>
    </w:p>
    <w:p w:rsidR="003E022D" w:rsidRDefault="007D19D6">
      <w:pPr>
        <w:numPr>
          <w:ilvl w:val="0"/>
          <w:numId w:val="1198"/>
        </w:numPr>
        <w:ind w:left="0" w:firstLine="0"/>
        <w:rPr>
          <w:rFonts w:asciiTheme="majorHAnsi" w:eastAsia="Arial" w:hAnsiTheme="majorHAnsi" w:cs="Arial"/>
          <w:noProof/>
          <w:color w:val="000000"/>
        </w:rPr>
      </w:pPr>
      <w:r>
        <w:rPr>
          <w:rFonts w:asciiTheme="majorHAnsi" w:hAnsiTheme="majorHAnsi"/>
          <w:noProof/>
        </w:rPr>
        <w:t>Lūguma sa</w:t>
      </w:r>
      <w:r>
        <w:rPr>
          <w:rFonts w:asciiTheme="majorHAnsi" w:hAnsiTheme="majorHAnsi"/>
          <w:noProof/>
        </w:rPr>
        <w:t>ņēmēja puse informē lūguma iesniedzēju pusi par palīdzības atteikuma iemesliem.</w:t>
      </w:r>
      <w:r>
        <w:rPr>
          <w:rFonts w:asciiTheme="majorHAnsi" w:hAnsiTheme="majorHAnsi"/>
          <w:b/>
          <w:noProof/>
          <w:color w:val="000000"/>
        </w:rPr>
        <w:t xml:space="preserve"> </w:t>
      </w:r>
    </w:p>
    <w:p w:rsidR="003E022D" w:rsidRDefault="007D19D6">
      <w:pPr>
        <w:pStyle w:val="Article"/>
        <w:rPr>
          <w:noProof/>
        </w:rPr>
      </w:pPr>
      <w:r>
        <w:rPr>
          <w:noProof/>
        </w:rPr>
        <w:t>SSCI.67. pants.  Noilgumi</w:t>
      </w:r>
    </w:p>
    <w:p w:rsidR="003E022D" w:rsidRDefault="007D19D6">
      <w:pPr>
        <w:numPr>
          <w:ilvl w:val="0"/>
          <w:numId w:val="1194"/>
        </w:numPr>
        <w:ind w:left="0" w:firstLine="0"/>
        <w:rPr>
          <w:rFonts w:asciiTheme="majorHAnsi" w:eastAsia="Arial" w:hAnsiTheme="majorHAnsi" w:cs="Arial"/>
          <w:noProof/>
          <w:color w:val="000000"/>
        </w:rPr>
      </w:pPr>
      <w:r>
        <w:rPr>
          <w:noProof/>
        </w:rPr>
        <w:t>Jautājumus par noilgumiem reglamentē šādi:</w:t>
      </w:r>
    </w:p>
    <w:p w:rsidR="003E022D" w:rsidRDefault="007D19D6">
      <w:pPr>
        <w:numPr>
          <w:ilvl w:val="0"/>
          <w:numId w:val="1197"/>
        </w:numPr>
        <w:ind w:left="567" w:hanging="567"/>
        <w:rPr>
          <w:rFonts w:asciiTheme="majorHAnsi" w:eastAsia="Arial" w:hAnsiTheme="majorHAnsi" w:cs="Arial"/>
          <w:noProof/>
          <w:color w:val="000000"/>
        </w:rPr>
      </w:pPr>
      <w:r>
        <w:rPr>
          <w:rFonts w:asciiTheme="majorHAnsi" w:hAnsiTheme="majorHAnsi"/>
          <w:noProof/>
        </w:rPr>
        <w:t>noilgumu nosaka ar lūguma iesniedzējas puses valstī spēkā esošajiem tiesību aktiem, ciktāl tie attiecas uz</w:t>
      </w:r>
      <w:r>
        <w:rPr>
          <w:rFonts w:asciiTheme="majorHAnsi" w:hAnsiTheme="majorHAnsi"/>
          <w:noProof/>
        </w:rPr>
        <w:t xml:space="preserve"> pieprasījuma vai instrumentu, kas ļauj veikt izpildi;</w:t>
      </w:r>
      <w:r>
        <w:rPr>
          <w:rFonts w:asciiTheme="majorHAnsi" w:hAnsiTheme="majorHAnsi"/>
          <w:noProof/>
          <w:color w:val="000000"/>
        </w:rPr>
        <w:t xml:space="preserve"> un</w:t>
      </w:r>
    </w:p>
    <w:p w:rsidR="003E022D" w:rsidRDefault="007D19D6">
      <w:pPr>
        <w:numPr>
          <w:ilvl w:val="0"/>
          <w:numId w:val="1197"/>
        </w:numPr>
        <w:ind w:left="567" w:hanging="567"/>
        <w:rPr>
          <w:rFonts w:asciiTheme="majorHAnsi" w:eastAsia="Arial" w:hAnsiTheme="majorHAnsi" w:cs="Arial"/>
          <w:noProof/>
          <w:color w:val="000000"/>
        </w:rPr>
      </w:pPr>
      <w:r>
        <w:rPr>
          <w:rFonts w:asciiTheme="majorHAnsi" w:hAnsiTheme="majorHAnsi"/>
          <w:noProof/>
        </w:rPr>
        <w:t>noilgumu nosaka ar lūguma saņēmējas puses valstī spēkā esošajiem tiesību aktiem, ciktāl tie attiecas uz izpildes pasākumiem lūguma saņēmējas puses valstī.</w:t>
      </w:r>
    </w:p>
    <w:p w:rsidR="003E022D" w:rsidRDefault="007D19D6">
      <w:pPr>
        <w:pBdr>
          <w:top w:val="nil"/>
          <w:left w:val="nil"/>
          <w:bottom w:val="nil"/>
          <w:right w:val="nil"/>
          <w:between w:val="nil"/>
        </w:pBdr>
        <w:spacing w:before="135"/>
        <w:ind w:right="-6"/>
        <w:rPr>
          <w:rFonts w:asciiTheme="majorHAnsi" w:eastAsia="Arial" w:hAnsiTheme="majorHAnsi" w:cs="Arial"/>
          <w:noProof/>
          <w:color w:val="000000"/>
        </w:rPr>
      </w:pPr>
      <w:r>
        <w:rPr>
          <w:rFonts w:asciiTheme="majorHAnsi" w:hAnsiTheme="majorHAnsi"/>
          <w:noProof/>
        </w:rPr>
        <w:t xml:space="preserve">Noilgumi saskaņā ar lūguma saņēmējas puses </w:t>
      </w:r>
      <w:r>
        <w:rPr>
          <w:rFonts w:asciiTheme="majorHAnsi" w:hAnsiTheme="majorHAnsi"/>
          <w:noProof/>
        </w:rPr>
        <w:t xml:space="preserve">valstī spēkā esošajiem tiesību aktiem sākas dienā, kad saskaņā ar šā </w:t>
      </w:r>
      <w:r>
        <w:rPr>
          <w:rFonts w:asciiTheme="majorHAnsi" w:hAnsiTheme="majorHAnsi"/>
          <w:noProof/>
          <w:color w:val="000000"/>
        </w:rPr>
        <w:t xml:space="preserve">pielikuma SSCI.63. pantu [Instruments, kas atļauj atgūšanas izpildi] </w:t>
      </w:r>
      <w:r>
        <w:rPr>
          <w:rFonts w:asciiTheme="majorHAnsi" w:hAnsiTheme="majorHAnsi"/>
          <w:noProof/>
        </w:rPr>
        <w:t>notiek tieša atzīšana, vai dienā, kad notiek pieņemšana, atzīšana, papildināšana vai aizstāšana.</w:t>
      </w:r>
    </w:p>
    <w:p w:rsidR="003E022D" w:rsidRDefault="007D19D6">
      <w:pPr>
        <w:numPr>
          <w:ilvl w:val="0"/>
          <w:numId w:val="1194"/>
        </w:numPr>
        <w:ind w:left="0" w:firstLine="0"/>
        <w:rPr>
          <w:rFonts w:asciiTheme="majorHAnsi" w:eastAsia="Arial" w:hAnsiTheme="majorHAnsi" w:cs="Arial"/>
          <w:noProof/>
          <w:color w:val="000000"/>
        </w:rPr>
      </w:pPr>
      <w:r>
        <w:rPr>
          <w:rFonts w:asciiTheme="majorHAnsi" w:hAnsiTheme="majorHAnsi"/>
          <w:noProof/>
          <w:color w:val="000000"/>
        </w:rPr>
        <w:t>Pieprasījumu atgūšana</w:t>
      </w:r>
      <w:r>
        <w:rPr>
          <w:rFonts w:asciiTheme="majorHAnsi" w:hAnsiTheme="majorHAnsi"/>
          <w:noProof/>
          <w:color w:val="000000"/>
        </w:rPr>
        <w:t xml:space="preserve">s pasākumus, ko lūguma saņēmēja puse veic saskaņā ar palīdzības lūgumu un kas gadījumā, ja tos veiktu lūguma iesniedzēja puse, apturētu vai pārtrauktu noilgumu saskaņā ar lūguma iesniedzējas puses valstī spēkā esošajiem tiesību aktiem, uzskata par tādiem, </w:t>
      </w:r>
      <w:r>
        <w:rPr>
          <w:rFonts w:asciiTheme="majorHAnsi" w:hAnsiTheme="majorHAnsi"/>
          <w:noProof/>
          <w:color w:val="000000"/>
        </w:rPr>
        <w:t>kas attiecībā uz šo būtu veikti lūguma iesniedzēja puses valstī.</w:t>
      </w:r>
      <w:r>
        <w:rPr>
          <w:rFonts w:asciiTheme="majorHAnsi" w:hAnsiTheme="majorHAnsi"/>
          <w:b/>
          <w:noProof/>
          <w:color w:val="000000"/>
        </w:rPr>
        <w:t xml:space="preserve"> </w:t>
      </w:r>
    </w:p>
    <w:p w:rsidR="003E022D" w:rsidRDefault="007D19D6">
      <w:pPr>
        <w:pStyle w:val="Article"/>
        <w:rPr>
          <w:noProof/>
        </w:rPr>
      </w:pPr>
      <w:r>
        <w:rPr>
          <w:noProof/>
        </w:rPr>
        <w:t>SSCI.68. pants.  Piesardzības pasākumi</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Saņēmusi lūguma iesniedzējas puses pamatotu lūgumu, lūguma saņēmēja puse veic piesardzības pasākumus, lai nodrošinātu pieprasījuma atgūšanu, ciktāl to </w:t>
      </w:r>
      <w:r>
        <w:rPr>
          <w:rFonts w:asciiTheme="majorHAnsi" w:hAnsiTheme="majorHAnsi"/>
          <w:noProof/>
          <w:color w:val="000000"/>
        </w:rPr>
        <w:t>ļauj lūguma saņēmējas puses valstī spēkā esošie normatīvie akti.</w:t>
      </w:r>
    </w:p>
    <w:p w:rsidR="003E022D" w:rsidRDefault="007D19D6">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rPr>
        <w:t>Īstenojot pirmo daļu, šā pielikuma SSCI.62. panta [Atgūšanas lūgums], SSCI.63. panta [Instruments, kas atļauj atgūšanas izpildi], SSCI.65. panta [Apstrīdēšana saistībā ar pieprasījumu vai ins</w:t>
      </w:r>
      <w:r>
        <w:rPr>
          <w:rFonts w:asciiTheme="majorHAnsi" w:hAnsiTheme="majorHAnsi"/>
          <w:noProof/>
        </w:rPr>
        <w:t>trumentu, kas ļauj izpildīt atgūšanu, un apstrīdēšana saistībā ar izpildes pasākumiem] un SSCI.66. panta [Palīdzības ierobežojumi] noteikumus un procedūras piemēro pēc analoģijas.</w:t>
      </w:r>
      <w:r>
        <w:rPr>
          <w:rFonts w:asciiTheme="majorHAnsi" w:hAnsiTheme="majorHAnsi"/>
          <w:b/>
          <w:noProof/>
          <w:color w:val="000000"/>
        </w:rPr>
        <w:t xml:space="preserve"> </w:t>
      </w:r>
    </w:p>
    <w:p w:rsidR="003E022D" w:rsidRDefault="007D19D6">
      <w:pPr>
        <w:pStyle w:val="Article"/>
        <w:rPr>
          <w:noProof/>
        </w:rPr>
      </w:pPr>
      <w:r>
        <w:rPr>
          <w:noProof/>
        </w:rPr>
        <w:t>SSCI.69. pants.  Izmaksas, kas saistītas ar pieprasījumu atgūšanu</w:t>
      </w:r>
    </w:p>
    <w:p w:rsidR="003E022D" w:rsidRDefault="007D19D6">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Lūguma sa</w:t>
      </w:r>
      <w:r>
        <w:rPr>
          <w:rFonts w:asciiTheme="majorHAnsi" w:hAnsiTheme="majorHAnsi"/>
          <w:noProof/>
          <w:color w:val="000000"/>
        </w:rPr>
        <w:t>ņēmēja puse no attiecīgās fiziskās vai juridiskās personas atgūst un ietur visas ar atgūšanu saistītās izmaksas, kas tai radušās, saskaņā ar lūguma saņēmējas puses valstī spēkā esošajiem normatīvajiem aktiem, kurus piemēro līdzīgiem pieprasījumiem.</w:t>
      </w:r>
    </w:p>
    <w:p w:rsidR="003E022D" w:rsidRDefault="007D19D6">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Savstar</w:t>
      </w:r>
      <w:r>
        <w:rPr>
          <w:rFonts w:asciiTheme="majorHAnsi" w:hAnsiTheme="majorHAnsi"/>
          <w:noProof/>
          <w:color w:val="000000"/>
        </w:rPr>
        <w:t>pēju palīdzību saskaņā ar šo iedaļu parasti sniedz bez atlīdzības. Tomēr, ja pieprasījuma atgūšana rada īpašas grūtības vai attiecas uz ļoti lielu izmaksu summu, lūguma iesniedzēja un lūguma saņēmēja puse var vienoties par izmaksu atlīdzināšanas noteikumie</w:t>
      </w:r>
      <w:r>
        <w:rPr>
          <w:rFonts w:asciiTheme="majorHAnsi" w:hAnsiTheme="majorHAnsi"/>
          <w:noProof/>
          <w:color w:val="000000"/>
        </w:rPr>
        <w:t>m katrā atsevišķā gadījumā.</w:t>
      </w:r>
    </w:p>
    <w:p w:rsidR="003E022D" w:rsidRDefault="007D19D6">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Lūguma iesniedzējas puses valsts paliek atbildīga attiecībā pret lūguma saņēmējas puses valsti saistībā ar visām izmaksām un visiem zaudējumiem, kas radušies nepamatotu darbību rezultātā tiktāl, ciktāl tas attiecas uz pieprasīju</w:t>
      </w:r>
      <w:r>
        <w:rPr>
          <w:rFonts w:asciiTheme="majorHAnsi" w:hAnsiTheme="majorHAnsi"/>
          <w:noProof/>
          <w:color w:val="000000"/>
        </w:rPr>
        <w:t>ma veidu un tā instrumenta derīgumu, ko izdevusi lūguma iesniedzēja puse.</w:t>
      </w:r>
      <w:r>
        <w:rPr>
          <w:rFonts w:asciiTheme="majorHAnsi" w:hAnsiTheme="majorHAnsi"/>
          <w:b/>
          <w:noProof/>
          <w:color w:val="000000"/>
        </w:rPr>
        <w:t xml:space="preserve"> </w:t>
      </w:r>
    </w:p>
    <w:p w:rsidR="003E022D" w:rsidRDefault="003E022D">
      <w:pPr>
        <w:pBdr>
          <w:top w:val="nil"/>
          <w:left w:val="nil"/>
          <w:bottom w:val="nil"/>
          <w:right w:val="nil"/>
          <w:between w:val="nil"/>
        </w:pBdr>
        <w:spacing w:before="251"/>
        <w:ind w:right="-6"/>
        <w:rPr>
          <w:rFonts w:asciiTheme="majorHAnsi" w:eastAsia="Arial" w:hAnsiTheme="majorHAnsi" w:cs="Arial"/>
          <w:noProof/>
          <w:color w:val="000000"/>
        </w:rPr>
      </w:pPr>
    </w:p>
    <w:p w:rsidR="003E022D" w:rsidRDefault="007D19D6">
      <w:pPr>
        <w:jc w:val="center"/>
        <w:rPr>
          <w:i/>
          <w:noProof/>
        </w:rPr>
      </w:pPr>
      <w:bookmarkStart w:id="1484" w:name="_Toc59110618"/>
      <w:r>
        <w:rPr>
          <w:noProof/>
        </w:rPr>
        <w:t>V SADAĻA. DAŽĀDI NOTEIKUMI, PĀREJAS NOTEIKUMI UN NOBEIGUMA NOTEIKUMI</w:t>
      </w:r>
      <w:bookmarkEnd w:id="1484"/>
    </w:p>
    <w:p w:rsidR="003E022D" w:rsidRDefault="007D19D6">
      <w:pPr>
        <w:pStyle w:val="Article"/>
        <w:rPr>
          <w:noProof/>
        </w:rPr>
      </w:pPr>
      <w:r>
        <w:rPr>
          <w:noProof/>
        </w:rPr>
        <w:t>SSCI.70. pants.  Medicīniskā un administratīvā pārbaude</w:t>
      </w:r>
    </w:p>
    <w:p w:rsidR="003E022D" w:rsidRDefault="007D19D6">
      <w:pPr>
        <w:numPr>
          <w:ilvl w:val="0"/>
          <w:numId w:val="1193"/>
        </w:numPr>
        <w:ind w:left="0" w:firstLine="0"/>
        <w:rPr>
          <w:rFonts w:asciiTheme="majorHAnsi" w:eastAsia="Arial" w:hAnsiTheme="majorHAnsi" w:cs="Arial"/>
          <w:noProof/>
          <w:color w:val="000000"/>
        </w:rPr>
      </w:pPr>
      <w:r>
        <w:rPr>
          <w:rFonts w:asciiTheme="majorHAnsi" w:hAnsiTheme="majorHAnsi"/>
          <w:noProof/>
        </w:rPr>
        <w:t xml:space="preserve">Neskarot citus noteikumus, ja pabalstu saņēmējs vai </w:t>
      </w:r>
      <w:r>
        <w:rPr>
          <w:rFonts w:asciiTheme="majorHAnsi" w:hAnsiTheme="majorHAnsi"/>
          <w:noProof/>
        </w:rPr>
        <w:t>pieprasītājs vai kāds minētās personas ģimenes loceklis uzturas vai dzīvo tās valsts teritorijā, kura nav debitores iestādes valsts, medicīnisko pārbaudi veic pēc minētās iestādes pieprasījuma, un to veic saņēmēja uzturēšanās vai dzīvesvietas iestāde atbil</w:t>
      </w:r>
      <w:r>
        <w:rPr>
          <w:rFonts w:asciiTheme="majorHAnsi" w:hAnsiTheme="majorHAnsi"/>
          <w:noProof/>
        </w:rPr>
        <w:t>stīgi noteikumiem, kas ir paredzēti tiesību aktos, kurus minētā iestāde piemēro.</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Debitoriestāde paziņo uzturēšanās vietas vai dzīvesvietas iestādei par īpašām prasībām, kas vajadzības gadījumā jāievēro, un par rādītājiem, par kuriem būtu jāveic medicīniskā</w:t>
      </w:r>
      <w:r>
        <w:rPr>
          <w:rFonts w:asciiTheme="majorHAnsi" w:hAnsiTheme="majorHAnsi"/>
          <w:noProof/>
          <w:color w:val="000000"/>
        </w:rPr>
        <w:t xml:space="preserve"> pārbaude.</w:t>
      </w:r>
    </w:p>
    <w:p w:rsidR="003E022D" w:rsidRDefault="007D19D6">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Uzturēšanās vai dzīvesvietas iestāde iesniedz atskaiti debitoriestādei, kas lūdza veikt medicīnisko pārbaudi. Šai iestādei ir saistoši secinājumi, ko ieguvusi uzturēšanās vai dzīvesvietas iestāde.</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Debitoriestāde patur tiesības pieprasīt pabalsta</w:t>
      </w:r>
      <w:r>
        <w:rPr>
          <w:rFonts w:asciiTheme="majorHAnsi" w:hAnsiTheme="majorHAnsi"/>
          <w:noProof/>
          <w:color w:val="000000"/>
        </w:rPr>
        <w:t xml:space="preserve"> saņēmēja medicīnisko pārbaudi, ko veic tās izvēlēts ārsts. Tomēr pabalsta saņēmēju var aicināt atgriezties debitores iestādes dalībvalstī tikai tad, ja minētais pabalsta saņēmējs var pārvietoties, nekaitējot savam veselības stāvoklim, un ja transporta un </w:t>
      </w:r>
      <w:r>
        <w:rPr>
          <w:rFonts w:asciiTheme="majorHAnsi" w:hAnsiTheme="majorHAnsi"/>
          <w:noProof/>
          <w:color w:val="000000"/>
        </w:rPr>
        <w:t>uzturēšanas līdzekļus sedz debitore iestāde.</w:t>
      </w:r>
    </w:p>
    <w:p w:rsidR="003E022D" w:rsidRDefault="007D19D6">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 xml:space="preserve">Ja pabalstu saņēmējs vai pieprasītājs vai kāds viņa ģimenes loceklis uzturas vai dzīvo tās valsts teritorijā, kura nav debitores iestādes valsts, administratīvo pārbaudi pēc debitores iestādes pieprasījuma veic </w:t>
      </w:r>
      <w:r>
        <w:rPr>
          <w:rFonts w:asciiTheme="majorHAnsi" w:hAnsiTheme="majorHAnsi"/>
          <w:noProof/>
          <w:color w:val="000000"/>
        </w:rPr>
        <w:t>saņēmēja uzturēšanās vietas vai dzīvesvietas iestāde.</w:t>
      </w:r>
    </w:p>
    <w:p w:rsidR="003E022D" w:rsidRDefault="007D19D6">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Arī šajā gadījumā piemēro 2. punktu.</w:t>
      </w:r>
    </w:p>
    <w:p w:rsidR="003E022D" w:rsidRDefault="007D19D6">
      <w:pPr>
        <w:numPr>
          <w:ilvl w:val="0"/>
          <w:numId w:val="1193"/>
        </w:numPr>
        <w:ind w:left="0" w:firstLine="0"/>
        <w:rPr>
          <w:rFonts w:asciiTheme="majorHAnsi" w:eastAsia="Arial" w:hAnsiTheme="majorHAnsi" w:cs="Arial"/>
          <w:noProof/>
          <w:color w:val="000000"/>
        </w:rPr>
      </w:pPr>
      <w:r>
        <w:rPr>
          <w:rFonts w:asciiTheme="majorHAnsi" w:hAnsiTheme="majorHAnsi"/>
          <w:noProof/>
        </w:rPr>
        <w:t xml:space="preserve">Atkāpjoties no protokola </w:t>
      </w:r>
      <w:r>
        <w:rPr>
          <w:rFonts w:asciiTheme="majorHAnsi" w:hAnsiTheme="majorHAnsi"/>
          <w:noProof/>
          <w:color w:val="000000"/>
        </w:rPr>
        <w:t>SSC.59. panta [Sadarbība] 3. punktā</w:t>
      </w:r>
      <w:r>
        <w:rPr>
          <w:rFonts w:asciiTheme="majorHAnsi" w:hAnsiTheme="majorHAnsi"/>
          <w:noProof/>
        </w:rPr>
        <w:t xml:space="preserve"> minētā principa par savstarpēju bezmaksas administratīvo sadarbību, 1. līdz 3. punktā minēto pārbaužu fa</w:t>
      </w:r>
      <w:r>
        <w:rPr>
          <w:rFonts w:asciiTheme="majorHAnsi" w:hAnsiTheme="majorHAnsi"/>
          <w:noProof/>
        </w:rPr>
        <w:t>ktiskās izmaksas atmaksā tai iestādei, kurai tās uzdeva veikt pārbaužu pieprasītāja debitore iestāde.</w:t>
      </w:r>
    </w:p>
    <w:p w:rsidR="003E022D" w:rsidRDefault="007D19D6">
      <w:pPr>
        <w:pStyle w:val="Article"/>
        <w:rPr>
          <w:noProof/>
        </w:rPr>
      </w:pPr>
      <w:r>
        <w:rPr>
          <w:noProof/>
        </w:rPr>
        <w:t>SSCI.71. pants.  Paziņojumi</w:t>
      </w:r>
    </w:p>
    <w:p w:rsidR="003E022D" w:rsidRDefault="007D19D6">
      <w:pPr>
        <w:numPr>
          <w:ilvl w:val="0"/>
          <w:numId w:val="1196"/>
        </w:numPr>
        <w:ind w:left="0" w:firstLine="0"/>
        <w:rPr>
          <w:rFonts w:asciiTheme="majorHAnsi" w:eastAsia="Arial" w:hAnsiTheme="majorHAnsi" w:cs="Arial"/>
          <w:noProof/>
          <w:color w:val="000000"/>
        </w:rPr>
      </w:pPr>
      <w:r>
        <w:rPr>
          <w:rFonts w:asciiTheme="majorHAnsi" w:hAnsiTheme="majorHAnsi"/>
          <w:noProof/>
        </w:rPr>
        <w:t>Valstis paziņo Specializētajai sociālā nodrošinājuma koordinācijas komitejai to struktūru kontaktinformāciju, kas noteiktas pr</w:t>
      </w:r>
      <w:r>
        <w:rPr>
          <w:rFonts w:asciiTheme="majorHAnsi" w:hAnsiTheme="majorHAnsi"/>
          <w:noProof/>
        </w:rPr>
        <w:t>otokola SSC.1. pantā [Definīcijas] un šā pielikuma SSCI.1. panta [Definīcijas] 2. punkta a) un b) apakšpunktā, kā arī to iestāžu kontaktinformāciju, kuras norīkotas saskaņā ar šo pielikumu.</w:t>
      </w:r>
    </w:p>
    <w:p w:rsidR="003E022D" w:rsidRDefault="007D19D6">
      <w:pPr>
        <w:numPr>
          <w:ilvl w:val="0"/>
          <w:numId w:val="1196"/>
        </w:numPr>
        <w:ind w:left="0" w:firstLine="0"/>
        <w:rPr>
          <w:rFonts w:asciiTheme="majorHAnsi" w:eastAsia="Arial" w:hAnsiTheme="majorHAnsi" w:cs="Arial"/>
          <w:noProof/>
          <w:color w:val="000000"/>
        </w:rPr>
      </w:pPr>
      <w:r>
        <w:rPr>
          <w:rFonts w:asciiTheme="majorHAnsi" w:hAnsiTheme="majorHAnsi"/>
          <w:noProof/>
        </w:rPr>
        <w:t>Panta 1. punktā minētajām struktūrām nodrošina elektronisku identi</w:t>
      </w:r>
      <w:r>
        <w:rPr>
          <w:rFonts w:asciiTheme="majorHAnsi" w:hAnsiTheme="majorHAnsi"/>
          <w:noProof/>
        </w:rPr>
        <w:t>tāti identifikācijas koda un elektroniskas adreses formā.</w:t>
      </w:r>
    </w:p>
    <w:p w:rsidR="003E022D" w:rsidRDefault="007D19D6">
      <w:pPr>
        <w:numPr>
          <w:ilvl w:val="0"/>
          <w:numId w:val="1196"/>
        </w:numPr>
        <w:ind w:left="0" w:firstLine="0"/>
        <w:rPr>
          <w:rFonts w:asciiTheme="majorHAnsi" w:eastAsia="Arial" w:hAnsiTheme="majorHAnsi" w:cs="Arial"/>
          <w:noProof/>
          <w:color w:val="000000"/>
        </w:rPr>
      </w:pPr>
      <w:r>
        <w:rPr>
          <w:rFonts w:asciiTheme="majorHAnsi" w:hAnsiTheme="majorHAnsi"/>
          <w:noProof/>
        </w:rPr>
        <w:t xml:space="preserve">Lai paziņotu </w:t>
      </w:r>
      <w:r>
        <w:rPr>
          <w:rFonts w:asciiTheme="majorHAnsi" w:hAnsiTheme="majorHAnsi"/>
          <w:noProof/>
          <w:color w:val="000000"/>
        </w:rPr>
        <w:t>1. punktā</w:t>
      </w:r>
      <w:r>
        <w:rPr>
          <w:rFonts w:asciiTheme="majorHAnsi" w:hAnsiTheme="majorHAnsi"/>
          <w:noProof/>
        </w:rPr>
        <w:t xml:space="preserve"> minēto informāciju, Specializētā sociālā nodrošinājuma koordinācijas komiteja nosaka struktūru, saturu un sīki izstrādātus pasākumus, tostarp kopēju formu un modeli.</w:t>
      </w:r>
    </w:p>
    <w:p w:rsidR="003E022D" w:rsidRDefault="007D19D6">
      <w:pPr>
        <w:numPr>
          <w:ilvl w:val="0"/>
          <w:numId w:val="1196"/>
        </w:numPr>
        <w:ind w:left="0" w:firstLine="0"/>
        <w:rPr>
          <w:rFonts w:asciiTheme="majorHAnsi" w:eastAsia="Arial" w:hAnsiTheme="majorHAnsi" w:cs="Arial"/>
          <w:noProof/>
          <w:color w:val="000000"/>
        </w:rPr>
      </w:pPr>
      <w:r>
        <w:rPr>
          <w:rFonts w:asciiTheme="majorHAnsi" w:hAnsiTheme="majorHAnsi"/>
          <w:noProof/>
        </w:rPr>
        <w:t>Protokola</w:t>
      </w:r>
      <w:r>
        <w:rPr>
          <w:rFonts w:asciiTheme="majorHAnsi" w:hAnsiTheme="majorHAnsi"/>
          <w:noProof/>
        </w:rPr>
        <w:t xml:space="preserve"> īstenošanas nolūkos Apvienotā Karaliste var piedalīties sociālā nodrošinājuma informācijas elektroniskajā apmaiņā (</w:t>
      </w:r>
      <w:r>
        <w:rPr>
          <w:rFonts w:asciiTheme="majorHAnsi" w:hAnsiTheme="majorHAnsi"/>
          <w:i/>
          <w:iCs/>
          <w:noProof/>
        </w:rPr>
        <w:t>EESSI</w:t>
      </w:r>
      <w:r>
        <w:rPr>
          <w:rFonts w:asciiTheme="majorHAnsi" w:hAnsiTheme="majorHAnsi"/>
          <w:noProof/>
        </w:rPr>
        <w:t>) un segt saistītās izmaksas.</w:t>
      </w:r>
    </w:p>
    <w:p w:rsidR="003E022D" w:rsidRDefault="007D19D6">
      <w:pPr>
        <w:numPr>
          <w:ilvl w:val="0"/>
          <w:numId w:val="1196"/>
        </w:numPr>
        <w:ind w:left="0" w:firstLine="0"/>
        <w:rPr>
          <w:rFonts w:asciiTheme="majorHAnsi" w:eastAsia="Arial" w:hAnsiTheme="majorHAnsi" w:cs="Arial"/>
          <w:noProof/>
          <w:color w:val="000000"/>
        </w:rPr>
      </w:pPr>
      <w:r>
        <w:rPr>
          <w:rFonts w:asciiTheme="majorHAnsi" w:hAnsiTheme="majorHAnsi"/>
          <w:noProof/>
        </w:rPr>
        <w:t>Valstu pienākums ir atjaunināt 1. punktā minēto informāciju.</w:t>
      </w:r>
    </w:p>
    <w:p w:rsidR="003E022D" w:rsidRDefault="007D19D6">
      <w:pPr>
        <w:pStyle w:val="Article"/>
        <w:rPr>
          <w:noProof/>
        </w:rPr>
      </w:pPr>
      <w:r>
        <w:rPr>
          <w:noProof/>
        </w:rPr>
        <w:t>SSCI.72. pants.  Informācija</w:t>
      </w:r>
    </w:p>
    <w:p w:rsidR="003E022D" w:rsidRDefault="007D19D6">
      <w:pPr>
        <w:widowControl w:val="0"/>
        <w:pBdr>
          <w:top w:val="nil"/>
          <w:left w:val="nil"/>
          <w:bottom w:val="nil"/>
          <w:right w:val="nil"/>
          <w:between w:val="nil"/>
        </w:pBdr>
        <w:spacing w:before="112" w:after="0"/>
        <w:ind w:right="152"/>
        <w:rPr>
          <w:rFonts w:asciiTheme="majorHAnsi" w:eastAsia="Arial" w:hAnsiTheme="majorHAnsi" w:cs="Arial"/>
          <w:noProof/>
          <w:color w:val="000000"/>
        </w:rPr>
      </w:pPr>
      <w:r>
        <w:rPr>
          <w:rFonts w:asciiTheme="majorHAnsi" w:hAnsiTheme="majorHAnsi"/>
          <w:noProof/>
          <w:color w:val="000000"/>
        </w:rPr>
        <w:t xml:space="preserve">Specializētā </w:t>
      </w:r>
      <w:r>
        <w:rPr>
          <w:rFonts w:asciiTheme="majorHAnsi" w:hAnsiTheme="majorHAnsi"/>
          <w:noProof/>
          <w:color w:val="000000"/>
        </w:rPr>
        <w:t>sociālā nodrošinājuma koordinācijas komiteja izstrādā vajadzīgo informāciju, lai iepazīstinātu attiecīgās personas ar viņu tiesībām, kā arī lai iepazīstinātu ar administratīvajām formalitātēm, kas jāpilda, lai tās aizstāvētu. Informāciju iespēju robežās iz</w:t>
      </w:r>
      <w:r>
        <w:rPr>
          <w:rFonts w:asciiTheme="majorHAnsi" w:hAnsiTheme="majorHAnsi"/>
          <w:noProof/>
          <w:color w:val="000000"/>
        </w:rPr>
        <w:t>plata elektroniski, ievietojot to tiešsaistes vietnē, kas ir publiski pieejama. Specializētā sociālā nodrošinājuma koordinācijas komiteja nodrošina, ka informāciju regulāri atjaunina, un kontrolē klientiem sniegto pakalpojumu kvalitāti.</w:t>
      </w:r>
    </w:p>
    <w:p w:rsidR="003E022D" w:rsidRDefault="007D19D6">
      <w:pPr>
        <w:pStyle w:val="Article"/>
        <w:rPr>
          <w:noProof/>
        </w:rPr>
      </w:pPr>
      <w:r>
        <w:rPr>
          <w:noProof/>
        </w:rPr>
        <w:t>SSCI.73. pants.  Pā</w:t>
      </w:r>
      <w:r>
        <w:rPr>
          <w:noProof/>
        </w:rPr>
        <w:t>rrēķināšana citā valūtā</w:t>
      </w:r>
    </w:p>
    <w:p w:rsidR="003E022D" w:rsidRDefault="007D19D6">
      <w:pPr>
        <w:widowControl w:val="0"/>
        <w:pBdr>
          <w:top w:val="nil"/>
          <w:left w:val="nil"/>
          <w:bottom w:val="nil"/>
          <w:right w:val="nil"/>
          <w:between w:val="nil"/>
        </w:pBdr>
        <w:spacing w:before="164" w:after="0"/>
        <w:ind w:right="153"/>
        <w:rPr>
          <w:rFonts w:asciiTheme="majorHAnsi" w:eastAsia="Arial" w:hAnsiTheme="majorHAnsi" w:cs="Arial"/>
          <w:noProof/>
          <w:color w:val="000000"/>
        </w:rPr>
      </w:pPr>
      <w:r>
        <w:rPr>
          <w:rFonts w:asciiTheme="majorHAnsi" w:hAnsiTheme="majorHAnsi"/>
          <w:noProof/>
        </w:rPr>
        <w:t>Piemērojot protokolu un šo pielikumu, valūtas kurss starp divām valūtām ir atsauces valūtas kurss, ko ir publicējušas finanšu iestādes, kuras šim nolūkam ir norādījusi Specializētā sociālā nodrošinājuma koordinācijas komiteja.</w:t>
      </w:r>
      <w:r>
        <w:rPr>
          <w:rFonts w:asciiTheme="majorHAnsi" w:hAnsiTheme="majorHAnsi"/>
          <w:noProof/>
          <w:color w:val="000000"/>
        </w:rPr>
        <w:t xml:space="preserve"> Speci</w:t>
      </w:r>
      <w:r>
        <w:rPr>
          <w:rFonts w:asciiTheme="majorHAnsi" w:hAnsiTheme="majorHAnsi"/>
          <w:noProof/>
          <w:color w:val="000000"/>
        </w:rPr>
        <w:t>alizētā sociālā nodrošinājuma koordinācijas komiteja nosaka datumu, kas jāņem vērā, lai noteiktu valūtas kursu.</w:t>
      </w:r>
    </w:p>
    <w:p w:rsidR="003E022D" w:rsidRDefault="007D19D6">
      <w:pPr>
        <w:pStyle w:val="Article"/>
        <w:rPr>
          <w:noProof/>
        </w:rPr>
      </w:pPr>
      <w:r>
        <w:rPr>
          <w:noProof/>
        </w:rPr>
        <w:t>SSCI.74. pants.  Īstenošanas noteikumi</w:t>
      </w:r>
    </w:p>
    <w:p w:rsidR="003E022D" w:rsidRDefault="007D19D6">
      <w:pPr>
        <w:widowControl w:val="0"/>
        <w:pBdr>
          <w:top w:val="nil"/>
          <w:left w:val="nil"/>
          <w:bottom w:val="nil"/>
          <w:right w:val="nil"/>
          <w:between w:val="nil"/>
        </w:pBdr>
        <w:ind w:right="323"/>
        <w:rPr>
          <w:rFonts w:asciiTheme="majorHAnsi" w:eastAsia="Arial" w:hAnsiTheme="majorHAnsi" w:cs="Arial"/>
          <w:noProof/>
          <w:color w:val="000000"/>
        </w:rPr>
      </w:pPr>
      <w:r>
        <w:rPr>
          <w:rFonts w:asciiTheme="majorHAnsi" w:hAnsiTheme="majorHAnsi"/>
          <w:noProof/>
          <w:color w:val="000000"/>
        </w:rPr>
        <w:t>Specializētā sociālā nodrošinājuma koordinācijas komiteja var pieņemt papildu norādījumus protokola un šā</w:t>
      </w:r>
      <w:r>
        <w:rPr>
          <w:rFonts w:asciiTheme="majorHAnsi" w:hAnsiTheme="majorHAnsi"/>
          <w:noProof/>
          <w:color w:val="000000"/>
        </w:rPr>
        <w:t xml:space="preserve"> pielikuma īstenošanai.</w:t>
      </w:r>
    </w:p>
    <w:p w:rsidR="003E022D" w:rsidRDefault="007D19D6">
      <w:pPr>
        <w:pStyle w:val="Article"/>
        <w:rPr>
          <w:noProof/>
        </w:rPr>
      </w:pPr>
      <w:r>
        <w:rPr>
          <w:noProof/>
        </w:rPr>
        <w:t>SSCI.75. pants.  Pagaidu noteikumi par veidlapām un dokumentiem</w:t>
      </w:r>
    </w:p>
    <w:p w:rsidR="003E022D" w:rsidRDefault="007D19D6">
      <w:pPr>
        <w:numPr>
          <w:ilvl w:val="0"/>
          <w:numId w:val="1199"/>
        </w:numPr>
        <w:ind w:left="0" w:firstLine="0"/>
        <w:rPr>
          <w:rFonts w:asciiTheme="majorHAnsi" w:eastAsia="Arial" w:hAnsiTheme="majorHAnsi" w:cs="Arial"/>
          <w:noProof/>
          <w:color w:val="222222"/>
        </w:rPr>
      </w:pPr>
      <w:r>
        <w:rPr>
          <w:rFonts w:asciiTheme="majorHAnsi" w:hAnsiTheme="majorHAnsi"/>
          <w:noProof/>
        </w:rPr>
        <w:t>Pagaidu periodā, par kura beigām vienojas Specializētā sociālā nodrošinājuma koordinācijas komiteja, visas veidlapas un dokumenti, ko izsniedz kompetentās iestādes form</w:t>
      </w:r>
      <w:r>
        <w:rPr>
          <w:rFonts w:asciiTheme="majorHAnsi" w:hAnsiTheme="majorHAnsi"/>
          <w:noProof/>
        </w:rPr>
        <w:t>ātā, ko izmanto pirms protokola spēkā stāšanās, ir derīgas protokola īstenošanas nolūkos un attiecīgā gadījumā tās turpina izmantot informācijas apmaiņai starp kompetentajām iestādēm.</w:t>
      </w:r>
      <w:r>
        <w:rPr>
          <w:rFonts w:asciiTheme="majorHAnsi" w:hAnsiTheme="majorHAnsi"/>
          <w:noProof/>
          <w:color w:val="222222"/>
        </w:rPr>
        <w:t xml:space="preserve"> Visas šādas veidlapas un dokumenti, kas izdoti pirms minētā pagaidu peri</w:t>
      </w:r>
      <w:r>
        <w:rPr>
          <w:rFonts w:asciiTheme="majorHAnsi" w:hAnsiTheme="majorHAnsi"/>
          <w:noProof/>
          <w:color w:val="222222"/>
        </w:rPr>
        <w:t>oda un tā laikā, ir derīgi līdz to derīguma termiņa beigām vai anulēšanai.</w:t>
      </w:r>
    </w:p>
    <w:p w:rsidR="003E022D" w:rsidRDefault="007D19D6">
      <w:pPr>
        <w:numPr>
          <w:ilvl w:val="0"/>
          <w:numId w:val="1199"/>
        </w:numPr>
        <w:ind w:left="0" w:firstLine="0"/>
        <w:rPr>
          <w:rFonts w:asciiTheme="majorHAnsi" w:eastAsia="Arial" w:hAnsiTheme="majorHAnsi" w:cs="Arial"/>
          <w:noProof/>
          <w:color w:val="222222"/>
        </w:rPr>
      </w:pPr>
      <w:r>
        <w:rPr>
          <w:rFonts w:asciiTheme="majorHAnsi" w:hAnsiTheme="majorHAnsi"/>
          <w:noProof/>
        </w:rPr>
        <w:t>Veidlapas un dokumenti, kas ir derīgi saskaņā ar 1. punktu, ietver:</w:t>
      </w:r>
    </w:p>
    <w:p w:rsidR="003E022D" w:rsidRDefault="007D19D6">
      <w:pPr>
        <w:pStyle w:val="ListParagraph"/>
        <w:numPr>
          <w:ilvl w:val="0"/>
          <w:numId w:val="1202"/>
        </w:numPr>
        <w:ind w:left="567" w:hanging="567"/>
        <w:contextualSpacing w:val="0"/>
        <w:rPr>
          <w:rFonts w:asciiTheme="majorHAnsi" w:hAnsiTheme="majorHAnsi"/>
          <w:noProof/>
          <w:color w:val="222222"/>
        </w:rPr>
      </w:pPr>
      <w:r>
        <w:rPr>
          <w:rFonts w:asciiTheme="majorHAnsi" w:hAnsiTheme="majorHAnsi"/>
          <w:noProof/>
        </w:rPr>
        <w:t xml:space="preserve">Eiropas Veselības apdrošināšanas kartes, kas izdotas Apvienotās Karalistes vārdā, kas ir derīgi tiesības apliecinoši dokumenti protokola </w:t>
      </w:r>
      <w:r>
        <w:rPr>
          <w:rFonts w:asciiTheme="majorHAnsi" w:hAnsiTheme="majorHAnsi"/>
          <w:noProof/>
          <w:color w:val="222222"/>
        </w:rPr>
        <w:t>SSC.17. panta [Uzturēšanās ārpus kompetentās valsts], SSC.25. panta [Pensionāra vai viņa ģimenes locekļu uzturēšanās va</w:t>
      </w:r>
      <w:r>
        <w:rPr>
          <w:rFonts w:asciiTheme="majorHAnsi" w:hAnsiTheme="majorHAnsi"/>
          <w:noProof/>
          <w:color w:val="222222"/>
        </w:rPr>
        <w:t>lstī, kurā viņi nedzīvo – Uzturēšanās kompetentajā valstī – Atļauja saņemt piemērotu ārstēšanu ārpus dzīvesvietas valsts] 1. punkta un SSCI.22. panta [Uzturēšanās valstī, kura nav kompetentā valsts]</w:t>
      </w:r>
      <w:r>
        <w:rPr>
          <w:rFonts w:asciiTheme="majorHAnsi" w:hAnsiTheme="majorHAnsi"/>
          <w:noProof/>
        </w:rPr>
        <w:t xml:space="preserve"> nolūkos</w:t>
      </w:r>
      <w:r>
        <w:rPr>
          <w:rFonts w:asciiTheme="majorHAnsi" w:hAnsiTheme="majorHAnsi"/>
          <w:noProof/>
          <w:color w:val="222222"/>
        </w:rPr>
        <w:t xml:space="preserve"> un</w:t>
      </w:r>
    </w:p>
    <w:p w:rsidR="003E022D" w:rsidRDefault="007D19D6">
      <w:pPr>
        <w:pStyle w:val="ListParagraph"/>
        <w:numPr>
          <w:ilvl w:val="0"/>
          <w:numId w:val="1202"/>
        </w:numPr>
        <w:ind w:left="567" w:hanging="567"/>
        <w:rPr>
          <w:rFonts w:asciiTheme="majorHAnsi" w:hAnsiTheme="majorHAnsi"/>
          <w:noProof/>
          <w:color w:val="222222"/>
        </w:rPr>
      </w:pPr>
      <w:r>
        <w:rPr>
          <w:rFonts w:asciiTheme="majorHAnsi" w:hAnsiTheme="majorHAnsi"/>
          <w:noProof/>
          <w:color w:val="222222"/>
        </w:rPr>
        <w:t>portatīvi dokumenti, kas apliecina personas so</w:t>
      </w:r>
      <w:r>
        <w:rPr>
          <w:rFonts w:asciiTheme="majorHAnsi" w:hAnsiTheme="majorHAnsi"/>
          <w:noProof/>
          <w:color w:val="222222"/>
        </w:rPr>
        <w:t xml:space="preserve">ciālo situāciju, kā tas nepieciešams, lai īstenotu protokolu.  </w:t>
      </w:r>
    </w:p>
    <w:p w:rsidR="003E022D" w:rsidRDefault="003E022D">
      <w:pPr>
        <w:widowControl w:val="0"/>
        <w:pBdr>
          <w:top w:val="nil"/>
          <w:left w:val="nil"/>
          <w:bottom w:val="nil"/>
          <w:right w:val="nil"/>
          <w:between w:val="nil"/>
        </w:pBdr>
        <w:spacing w:after="0"/>
        <w:ind w:right="322"/>
        <w:jc w:val="center"/>
        <w:rPr>
          <w:rFonts w:asciiTheme="majorHAnsi" w:eastAsia="Arial" w:hAnsiTheme="majorHAnsi" w:cs="Arial"/>
          <w:noProof/>
          <w:color w:val="000000"/>
        </w:rPr>
      </w:pPr>
    </w:p>
    <w:p w:rsidR="003E022D" w:rsidRDefault="003E022D">
      <w:pPr>
        <w:widowControl w:val="0"/>
        <w:pBdr>
          <w:top w:val="nil"/>
          <w:left w:val="nil"/>
          <w:bottom w:val="nil"/>
          <w:right w:val="nil"/>
          <w:between w:val="nil"/>
        </w:pBdr>
        <w:spacing w:after="0"/>
        <w:ind w:right="322"/>
        <w:rPr>
          <w:rFonts w:asciiTheme="majorHAnsi" w:eastAsia="Arial" w:hAnsiTheme="majorHAnsi" w:cs="Arial"/>
          <w:b/>
          <w:noProof/>
          <w:color w:val="000000"/>
        </w:rPr>
      </w:pPr>
    </w:p>
    <w:p w:rsidR="003E022D" w:rsidRDefault="007D19D6">
      <w:pPr>
        <w:rPr>
          <w:rFonts w:asciiTheme="majorHAnsi" w:eastAsia="Arial" w:hAnsiTheme="majorHAnsi" w:cs="Arial"/>
          <w:noProof/>
          <w:color w:val="000000"/>
        </w:rPr>
      </w:pPr>
      <w:r>
        <w:rPr>
          <w:noProof/>
        </w:rPr>
        <w:br w:type="page"/>
      </w:r>
    </w:p>
    <w:p w:rsidR="003E022D" w:rsidRDefault="007D19D6">
      <w:pPr>
        <w:pStyle w:val="Appendix"/>
        <w:rPr>
          <w:noProof/>
        </w:rPr>
      </w:pPr>
      <w:r>
        <w:rPr>
          <w:noProof/>
        </w:rPr>
        <w:t xml:space="preserve">SSCI-1. PAPILDINĀJUMS. ADMINISTRATĪVAS VIENOŠANĀS STARP DIVĀM VAI VAIRAK VALSTĪM (MINĒTAS ŠĀ PIELIKUMA SSCI.8. PANTĀ) </w:t>
      </w:r>
    </w:p>
    <w:p w:rsidR="003E022D" w:rsidRDefault="003E022D">
      <w:pPr>
        <w:pBdr>
          <w:top w:val="nil"/>
          <w:left w:val="nil"/>
          <w:bottom w:val="nil"/>
          <w:right w:val="nil"/>
          <w:between w:val="nil"/>
        </w:pBdr>
        <w:spacing w:before="251"/>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BEĻĢIJA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Vēstuļu apmaiņa 1976. gada 4. maijā </w:t>
      </w:r>
      <w:r>
        <w:rPr>
          <w:rFonts w:asciiTheme="majorHAnsi" w:hAnsiTheme="majorHAnsi"/>
          <w:noProof/>
          <w:color w:val="000000"/>
        </w:rPr>
        <w:t>un 14. jūnijā par Regulas (EEK) Nr. 574/72 105. panta 2. punktu (atteikšanās atmaksāt administratīvo un medicīnisko pārbaužu izmaksas)</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Vēstuļu apmaiņa 1977. gada 18. janvārī un 14. martā par 36. panta 3. punktu Regulā (EEK) Nr. 1408/71 (kārtība, kādā atsak</w:t>
      </w:r>
      <w:r>
        <w:rPr>
          <w:rFonts w:asciiTheme="majorHAnsi" w:hAnsiTheme="majorHAnsi"/>
          <w:noProof/>
          <w:color w:val="000000"/>
        </w:rPr>
        <w:t>ās vai atlīdzina izmaksas par pabalstiem natūrā, uz kuriem attiecas Regulas (EEK) Nr. 1408/71 III sadaļas 1. nodaļa), kas grozīta ar vēstuļu apmaiņu 1982. gada 4. maijā un 23. jūlijā (nolīgums par izmaksu atlīdzināšanu, kas radušās saskaņā ar Regulas (EEK)</w:t>
      </w:r>
      <w:r>
        <w:rPr>
          <w:rFonts w:asciiTheme="majorHAnsi" w:hAnsiTheme="majorHAnsi"/>
          <w:noProof/>
          <w:color w:val="000000"/>
        </w:rPr>
        <w:t xml:space="preserve"> Nr. 1408/71 22. panta 1. punkta a) apakšpunktu)</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DĀNIJA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Vēstuļu apmaiņa 1977. gada 30. martā un 19. aprīlī, ko grozīja ar vēstuļu apmaiņu 1989. gada 8. novembrī un 1990. gada 10. janvārī, par atteikšanos atmaksāt izdevumus attiecībā</w:t>
      </w:r>
      <w:r>
        <w:rPr>
          <w:rFonts w:asciiTheme="majorHAnsi" w:hAnsiTheme="majorHAnsi"/>
          <w:noProof/>
          <w:color w:val="000000"/>
        </w:rPr>
        <w:t xml:space="preserve"> uz pabalstiem natūrā un administratīvajām un medicīniskajām pārbaudēm</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IGAUNIJA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Noteikumi, kurus 2006. gada 29. martā galīgā redakcijā izstrādājušas Igaunijas Republikas un Apvienotās Karalistes kompetentās iestādes saskaņā ar Regul</w:t>
      </w:r>
      <w:r>
        <w:rPr>
          <w:rFonts w:asciiTheme="majorHAnsi" w:hAnsiTheme="majorHAnsi"/>
          <w:noProof/>
          <w:color w:val="000000"/>
        </w:rPr>
        <w:t>as (EEK) Nr. 1408/71 36. panta 3. punktu un 63. panta 3. punktu un ar kuriem izveido citas atlīdzināšanas metodes attiecībā uz izdevumiem par pabalstiem natūrā, ko saskaņā ar Regulu (EK) Nr. 883/2004 no 2004. gada 1. maija ir piešķīrušas abas šīs valstis</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SOMIJA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Vēstuļu apmaiņa 1995. gada 1. un 20. jūnijā attiecībā uz Regulas (EEK) Nr. 1408/71 36. panta 3. punktu un 63. panta 3. punktu (pabalstu izmaksu atmaksāšana vai atteikšanās no atmaksāšanas) un Regulas (EEK) Nr. 574/72 105. pant</w:t>
      </w:r>
      <w:r>
        <w:rPr>
          <w:rFonts w:asciiTheme="majorHAnsi" w:hAnsiTheme="majorHAnsi"/>
          <w:noProof/>
          <w:color w:val="000000"/>
        </w:rPr>
        <w:t>a 2. punktu (atteikšanās atmaksāt administratīvo un medicīnisko pārbaužu izmaksas)</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FRANCIJA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Vēstuļu apmaiņa 1997. gada 25. martā un 28. aprīlī attiecībā uz Regulas (EEK) Nr. 574/72 105. panta 2. punktu (atteikšanās atmaksāt administ</w:t>
      </w:r>
      <w:r>
        <w:rPr>
          <w:rFonts w:asciiTheme="majorHAnsi" w:hAnsiTheme="majorHAnsi"/>
          <w:noProof/>
          <w:color w:val="000000"/>
        </w:rPr>
        <w:t>ratīvo un medicīnisko pārbaužu izmaksas)</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1998. gada 8. decembra Nolīgums par īpašajām metodēm, nosakot summas, kas jāatlīdzina par pabalstiem natūrā saskaņā ar Regulas (EEK) Nr. 1408/71 un Regulas (EEK) Nr. 574/72 noteikumiem</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UNGĀRIJA un APVIENOTĀ KARALIS</w:t>
      </w:r>
      <w:r>
        <w:rPr>
          <w:rFonts w:asciiTheme="majorHAnsi" w:hAnsiTheme="majorHAnsi"/>
          <w:noProof/>
          <w:color w:val="000000"/>
        </w:rPr>
        <w:t>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Noteikumi, kurus 2005. gada 1. novembrī galīgā redakcijā izstrādājušas Ungārijas Republikas un Apvienotās Karalistes kompetentās iestādes saskaņā ar Regulas (EEK) Nr. 883/2004 35. panta 3. punktu un 41. panta 2. punktu un ar kuriem izveido citas atlīdzi</w:t>
      </w:r>
      <w:r>
        <w:rPr>
          <w:rFonts w:asciiTheme="majorHAnsi" w:hAnsiTheme="majorHAnsi"/>
          <w:noProof/>
          <w:color w:val="000000"/>
        </w:rPr>
        <w:t>nāšanas metodes attiecībā uz izdevumiem par pabalstiem natūrā, ko saskaņā ar minēto regulu no 2004. gada 1. maija ir piešķīrušas abas šīs valstis</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ĪRIJA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Vēstuļu apmaiņa 1975. gada 9. jūlijā attiecībā uz Regulas (EEK) Nr. 1408/71 36. </w:t>
      </w:r>
      <w:r>
        <w:rPr>
          <w:rFonts w:asciiTheme="majorHAnsi" w:hAnsiTheme="majorHAnsi"/>
          <w:noProof/>
          <w:color w:val="000000"/>
        </w:rPr>
        <w:t>panta 3. punktu un 63. panta 3. punktu (vienošanās par izdevumu atmaksāšanu vai atteikšanos atmaksāt pabalstus natūrā, kas nodrošināti saskaņā ar Regulas (EEK) Nr. 1408/71 III sadaļas 1. vai 4. nodaļu) un Regulas (EEK) Nr. 574/72 105. panta 2. punktu (atte</w:t>
      </w:r>
      <w:r>
        <w:rPr>
          <w:rFonts w:asciiTheme="majorHAnsi" w:hAnsiTheme="majorHAnsi"/>
          <w:noProof/>
          <w:color w:val="000000"/>
        </w:rPr>
        <w:t>ikšanās atmaksāt administratīvo un medicīnisko pārbaužu izmaksas)</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ITĀLIJA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Noteikumi, ko 2005. gada 15. decembrī parakstījušas Itālijas Republikas un Apvienotās Karalistes kompetentās iestādes saskaņā ar Regulas (EEK) Nr. 1408/71 </w:t>
      </w:r>
      <w:r>
        <w:rPr>
          <w:rFonts w:asciiTheme="majorHAnsi" w:hAnsiTheme="majorHAnsi"/>
          <w:noProof/>
          <w:color w:val="000000"/>
        </w:rPr>
        <w:t>36. panta 3. punktu un 63. panta 3. punktu un ar ko izveido citas atlīdzināšanas metodes attiecībā uz izdevumiem par pabalstiem natūrā, ko saskaņā ar Regulu (EK) Nr. 883/2004 no 2005. gada 1. janvāra ir piešķīrušas abas šīs valstis</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LUKSEMBURGA un APVIENOT</w:t>
      </w:r>
      <w:r>
        <w:rPr>
          <w:rFonts w:asciiTheme="majorHAnsi" w:hAnsiTheme="majorHAnsi"/>
          <w:noProof/>
          <w:color w:val="000000"/>
        </w:rPr>
        <w: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Vēstuļu apmaiņa 1975. gada 18. decembrī un 1976. gada 20. janvārī attiecībā uz Regulas (EEK) Nr. 574/72 105. panta 2. punktu (atteikšanās atmaksāt administratīvo un medicīnisko pārbaužu izmaksas, kas paredzēts Regulas (EEK) Nr. 574/72 105. pant</w:t>
      </w:r>
      <w:r>
        <w:rPr>
          <w:rFonts w:asciiTheme="majorHAnsi" w:hAnsiTheme="majorHAnsi"/>
          <w:noProof/>
          <w:color w:val="000000"/>
        </w:rPr>
        <w:t>ā)</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MALTA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Noteikumi, ko 2007. gada 17. janvārī galīgā redakcijā izstrādājušas Maltas un Apvienotās Karalistes kompetentās iestādes saskaņā ar Regulas (EEK) Nr. 883/2004 35. panta 3. punktu un 41. panta 2. punktu un ar kuriem izveido </w:t>
      </w:r>
      <w:r>
        <w:rPr>
          <w:rFonts w:asciiTheme="majorHAnsi" w:hAnsiTheme="majorHAnsi"/>
          <w:noProof/>
          <w:color w:val="000000"/>
        </w:rPr>
        <w:t>citas atlīdzināšanas metodes attiecībā uz izdevumiem par pabalstiem natūrā, ko saskaņā ar minēto regulu no 2004. gada 1. maija ir piešķīrušas abas šīs valstis</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NĪDERLANDE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3. panta otrais teikums 1956. gada 12. jūnija administratīvajo</w:t>
      </w:r>
      <w:r>
        <w:rPr>
          <w:rFonts w:asciiTheme="majorHAnsi" w:hAnsiTheme="majorHAnsi"/>
          <w:noProof/>
          <w:color w:val="000000"/>
        </w:rPr>
        <w:t>s noteikumos par 1954. gada 11. augusta konvencijas īstenošanu.</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PORTUGĀLE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2004. gada 8. jūnija vienošanās, ar ko izveido citas atlīdzināšanas metodes attiecībā uz izdevumiem par pabalstiem natūrā, kurus abas valstis sniegušas no 200</w:t>
      </w:r>
      <w:r>
        <w:rPr>
          <w:rFonts w:asciiTheme="majorHAnsi" w:hAnsiTheme="majorHAnsi"/>
          <w:noProof/>
          <w:color w:val="000000"/>
        </w:rPr>
        <w:t>3. gada 1. janvāra</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SPĀNIJA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1999. gada 18. jūnija Nolīgums par tādu pabalstu natūrā izmaksu atmaksājumu, kas piešķirti saskaņā ar Regulu (EEK) Nr. 1408/71 un Regulu (EEK) Nr. 574/72</w:t>
      </w:r>
    </w:p>
    <w:p w:rsidR="003E022D" w:rsidRDefault="003E022D">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ZVIEDRIJA un APVIENOTĀ KARALISTE</w:t>
      </w:r>
    </w:p>
    <w:p w:rsidR="003E022D" w:rsidRDefault="007D19D6">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1997. gada 15. ap</w:t>
      </w:r>
      <w:r>
        <w:rPr>
          <w:rFonts w:asciiTheme="majorHAnsi" w:hAnsiTheme="majorHAnsi"/>
          <w:noProof/>
          <w:color w:val="000000"/>
        </w:rPr>
        <w:t>rīļa Nolīgums par Regulas (EEK) Nr. 1408/71 36. panta 3. punktu un 63. panta 3. punktu (pabalstu natūrā atmaksāšana vai atteikšanās atmaksāt) un Regulas (EEK) Nr. 574/72 105. panta 2. punktu (atteikšanās atmaksāt administratīvo un medicīnisko pārbaužu izma</w:t>
      </w:r>
      <w:r>
        <w:rPr>
          <w:rFonts w:asciiTheme="majorHAnsi" w:hAnsiTheme="majorHAnsi"/>
          <w:noProof/>
          <w:color w:val="000000"/>
        </w:rPr>
        <w:t>ksas)</w:t>
      </w:r>
    </w:p>
    <w:p w:rsidR="003E022D" w:rsidRDefault="007D19D6">
      <w:pPr>
        <w:spacing w:after="0" w:line="276" w:lineRule="auto"/>
        <w:jc w:val="center"/>
        <w:rPr>
          <w:noProof/>
        </w:rPr>
      </w:pPr>
      <w:r>
        <w:rPr>
          <w:noProof/>
        </w:rPr>
        <w:br w:type="page"/>
        <w:t>SSCI-2. PAPILDINĀJUMS</w:t>
      </w:r>
    </w:p>
    <w:p w:rsidR="003E022D" w:rsidRDefault="007D19D6">
      <w:pPr>
        <w:pStyle w:val="Article"/>
        <w:rPr>
          <w:noProof/>
        </w:rPr>
      </w:pPr>
      <w:r>
        <w:rPr>
          <w:b/>
          <w:noProof/>
        </w:rPr>
        <w:t>Tiesības apliecinošs dokuments</w:t>
      </w:r>
      <w:r>
        <w:rPr>
          <w:noProof/>
          <w:color w:val="222222"/>
        </w:rPr>
        <w:t xml:space="preserve"> (</w:t>
      </w:r>
      <w:r>
        <w:rPr>
          <w:noProof/>
          <w:color w:val="000000"/>
        </w:rPr>
        <w:t xml:space="preserve">SSC.17. pants [Uzturēšanās ārpus kompetentās valsts], SSC.25. Panta </w:t>
      </w:r>
      <w:r>
        <w:rPr>
          <w:noProof/>
        </w:rPr>
        <w:t xml:space="preserve">[Pensionāra vai viņa ģimenes locekļu uzturēšanās valstī, kurā viņi nedzīvo – Uzturēšanās kompetentajā valstī – Atļauja saņemt </w:t>
      </w:r>
      <w:r>
        <w:rPr>
          <w:noProof/>
        </w:rPr>
        <w:t>piemērotu ārstēšanu ārpus dzīvesvietas valsts]</w:t>
      </w:r>
      <w:r>
        <w:rPr>
          <w:noProof/>
          <w:color w:val="222222"/>
        </w:rPr>
        <w:t xml:space="preserve"> 1. punkts </w:t>
      </w:r>
      <w:r>
        <w:rPr>
          <w:noProof/>
          <w:color w:val="000000"/>
        </w:rPr>
        <w:t xml:space="preserve"> un SSCI.22. pants [</w:t>
      </w:r>
      <w:r>
        <w:rPr>
          <w:noProof/>
        </w:rPr>
        <w:t>Uzturēšanās valstī, kura nav kompetentā valsts]</w:t>
      </w:r>
    </w:p>
    <w:p w:rsidR="003E022D" w:rsidRDefault="003E022D">
      <w:pPr>
        <w:spacing w:after="200"/>
        <w:rPr>
          <w:rFonts w:asciiTheme="majorHAnsi" w:eastAsia="Arial" w:hAnsiTheme="majorHAnsi" w:cs="Arial"/>
          <w:noProof/>
          <w:u w:val="single"/>
        </w:rPr>
      </w:pPr>
    </w:p>
    <w:p w:rsidR="003E022D" w:rsidRDefault="007D19D6">
      <w:pPr>
        <w:numPr>
          <w:ilvl w:val="0"/>
          <w:numId w:val="1203"/>
        </w:numPr>
        <w:ind w:left="0" w:firstLine="0"/>
        <w:rPr>
          <w:rFonts w:asciiTheme="majorHAnsi" w:eastAsia="Arial" w:hAnsiTheme="majorHAnsi" w:cs="Arial"/>
          <w:noProof/>
        </w:rPr>
      </w:pPr>
      <w:r>
        <w:rPr>
          <w:rFonts w:asciiTheme="majorHAnsi" w:hAnsiTheme="majorHAnsi"/>
          <w:noProof/>
        </w:rPr>
        <w:t xml:space="preserve">Tiesības apliecinošs dokuments, ko </w:t>
      </w:r>
      <w:r>
        <w:rPr>
          <w:rFonts w:asciiTheme="majorHAnsi" w:hAnsiTheme="majorHAnsi"/>
          <w:noProof/>
          <w:color w:val="222222"/>
        </w:rPr>
        <w:t xml:space="preserve"> SSC.17. panta [Uzturēšanās ārpus kompetentās valsts] </w:t>
      </w:r>
      <w:r>
        <w:rPr>
          <w:rFonts w:asciiTheme="majorHAnsi" w:hAnsiTheme="majorHAnsi"/>
          <w:noProof/>
          <w:color w:val="000000"/>
        </w:rPr>
        <w:t xml:space="preserve"> un SSC.25. panta </w:t>
      </w:r>
      <w:r>
        <w:rPr>
          <w:rFonts w:asciiTheme="majorHAnsi" w:hAnsiTheme="majorHAnsi"/>
          <w:noProof/>
        </w:rPr>
        <w:t xml:space="preserve">[Pensionāra vai viņa </w:t>
      </w:r>
      <w:r>
        <w:rPr>
          <w:rFonts w:asciiTheme="majorHAnsi" w:hAnsiTheme="majorHAnsi"/>
          <w:noProof/>
        </w:rPr>
        <w:t>ģimenes locekļu uzturēšanās valstī, kurā viņi nedzīvo – Uzturēšanās kompetentajā valstī – Atļauja saņemt piemērotu ārstēšanu ārpus dzīvesvietas valsts] 1. punkta</w:t>
      </w:r>
      <w:r>
        <w:rPr>
          <w:rFonts w:asciiTheme="majorHAnsi" w:hAnsiTheme="majorHAnsi"/>
          <w:noProof/>
          <w:color w:val="000000"/>
        </w:rPr>
        <w:t xml:space="preserve"> nolūkos izdevušās dalībvalstu kompetentās iestādes, atbilst 2009. gada 12. jūnija Lēmumam Nr. </w:t>
      </w:r>
      <w:r>
        <w:rPr>
          <w:rFonts w:asciiTheme="majorHAnsi" w:hAnsiTheme="majorHAnsi"/>
          <w:noProof/>
          <w:color w:val="000000"/>
        </w:rPr>
        <w:t>S2, ko pieņēmusi Administratīvā komisija Eiropas Veselības apdrošināšanas kartes tehnisko specifikāciju jomā.</w:t>
      </w:r>
    </w:p>
    <w:p w:rsidR="003E022D" w:rsidRDefault="007D19D6">
      <w:pPr>
        <w:pBdr>
          <w:top w:val="nil"/>
          <w:left w:val="nil"/>
          <w:bottom w:val="nil"/>
          <w:right w:val="nil"/>
          <w:between w:val="nil"/>
        </w:pBdr>
        <w:spacing w:after="0"/>
        <w:ind w:left="567"/>
        <w:rPr>
          <w:rFonts w:asciiTheme="majorHAnsi" w:eastAsia="Arial" w:hAnsiTheme="majorHAnsi" w:cs="Arial"/>
          <w:noProof/>
          <w:color w:val="000000"/>
        </w:rPr>
      </w:pPr>
      <w:r>
        <w:rPr>
          <w:rFonts w:asciiTheme="majorHAnsi" w:hAnsiTheme="majorHAnsi"/>
          <w:noProof/>
          <w:color w:val="000000"/>
        </w:rPr>
        <w:t xml:space="preserve"> </w:t>
      </w:r>
    </w:p>
    <w:p w:rsidR="003E022D" w:rsidRDefault="007D19D6">
      <w:pPr>
        <w:numPr>
          <w:ilvl w:val="0"/>
          <w:numId w:val="1203"/>
        </w:numPr>
        <w:ind w:left="0" w:firstLine="0"/>
        <w:rPr>
          <w:rFonts w:asciiTheme="majorHAnsi" w:eastAsia="Arial" w:hAnsiTheme="majorHAnsi" w:cs="Arial"/>
          <w:noProof/>
        </w:rPr>
      </w:pPr>
      <w:r>
        <w:rPr>
          <w:rFonts w:asciiTheme="majorHAnsi" w:hAnsiTheme="majorHAnsi"/>
          <w:noProof/>
        </w:rPr>
        <w:t>Tiesības apliecinošā dokumentā, ko SSC.17. panta [Uzturēšanās ārpus kompetentās valsts], SSC.25. panta [Pensionāra vai viņa ģimenes locekļu uztu</w:t>
      </w:r>
      <w:r>
        <w:rPr>
          <w:rFonts w:asciiTheme="majorHAnsi" w:hAnsiTheme="majorHAnsi"/>
          <w:noProof/>
        </w:rPr>
        <w:t>rēšanās valstī, kurā viņi nedzīvo – Uzturēšanās kompetentajā valstī – Atļauja saņemt piemērotu ārstēšanu ārpus dzīvesvietas valsts] 1. punkta  nolūkos izdevušas Apvienotās Karalistes kompetentās iestādes ietver šādus datus:</w:t>
      </w:r>
    </w:p>
    <w:p w:rsidR="003E022D" w:rsidRDefault="007D19D6">
      <w:pPr>
        <w:numPr>
          <w:ilvl w:val="0"/>
          <w:numId w:val="1204"/>
        </w:numPr>
        <w:ind w:left="567" w:hanging="567"/>
        <w:rPr>
          <w:rFonts w:asciiTheme="majorHAnsi" w:eastAsia="Arial" w:hAnsiTheme="majorHAnsi" w:cs="Arial"/>
          <w:noProof/>
          <w:color w:val="000000"/>
        </w:rPr>
      </w:pPr>
      <w:r>
        <w:rPr>
          <w:rFonts w:asciiTheme="majorHAnsi" w:hAnsiTheme="majorHAnsi"/>
          <w:noProof/>
        </w:rPr>
        <w:t>dokumenta turētāja uzvārds un vā</w:t>
      </w:r>
      <w:r>
        <w:rPr>
          <w:rFonts w:asciiTheme="majorHAnsi" w:hAnsiTheme="majorHAnsi"/>
          <w:noProof/>
        </w:rPr>
        <w:t>rds,</w:t>
      </w:r>
    </w:p>
    <w:p w:rsidR="003E022D" w:rsidRDefault="007D19D6">
      <w:pPr>
        <w:numPr>
          <w:ilvl w:val="0"/>
          <w:numId w:val="1204"/>
        </w:numPr>
        <w:ind w:left="567" w:hanging="567"/>
        <w:rPr>
          <w:rFonts w:asciiTheme="majorHAnsi" w:eastAsia="Arial" w:hAnsiTheme="majorHAnsi" w:cs="Arial"/>
          <w:noProof/>
          <w:color w:val="000000"/>
        </w:rPr>
      </w:pPr>
      <w:r>
        <w:rPr>
          <w:rFonts w:asciiTheme="majorHAnsi" w:hAnsiTheme="majorHAnsi"/>
          <w:noProof/>
        </w:rPr>
        <w:t>dokumenta turētāja personas identifikācijas numurs,</w:t>
      </w:r>
      <w:r>
        <w:rPr>
          <w:rFonts w:asciiTheme="majorHAnsi" w:hAnsiTheme="majorHAnsi"/>
          <w:noProof/>
          <w:color w:val="000000"/>
        </w:rPr>
        <w:t> </w:t>
      </w:r>
    </w:p>
    <w:p w:rsidR="003E022D" w:rsidRDefault="007D19D6">
      <w:pPr>
        <w:numPr>
          <w:ilvl w:val="0"/>
          <w:numId w:val="1204"/>
        </w:numPr>
        <w:ind w:left="567" w:hanging="567"/>
        <w:rPr>
          <w:rFonts w:asciiTheme="majorHAnsi" w:eastAsia="Arial" w:hAnsiTheme="majorHAnsi" w:cs="Arial"/>
          <w:noProof/>
          <w:color w:val="000000"/>
        </w:rPr>
      </w:pPr>
      <w:r>
        <w:rPr>
          <w:noProof/>
        </w:rPr>
        <w:t>dokumenta turētāja dzimšanas datums,</w:t>
      </w:r>
    </w:p>
    <w:p w:rsidR="003E022D" w:rsidRDefault="007D19D6">
      <w:pPr>
        <w:numPr>
          <w:ilvl w:val="0"/>
          <w:numId w:val="1204"/>
        </w:numPr>
        <w:ind w:left="567" w:hanging="567"/>
        <w:rPr>
          <w:rFonts w:asciiTheme="majorHAnsi" w:eastAsia="Arial" w:hAnsiTheme="majorHAnsi" w:cs="Arial"/>
          <w:noProof/>
          <w:color w:val="000000"/>
        </w:rPr>
      </w:pPr>
      <w:r>
        <w:rPr>
          <w:rFonts w:asciiTheme="majorHAnsi" w:hAnsiTheme="majorHAnsi"/>
          <w:noProof/>
        </w:rPr>
        <w:t>dokumenta derīguma termiņš,</w:t>
      </w:r>
    </w:p>
    <w:p w:rsidR="003E022D" w:rsidRDefault="007D19D6">
      <w:pPr>
        <w:numPr>
          <w:ilvl w:val="0"/>
          <w:numId w:val="1204"/>
        </w:numPr>
        <w:ind w:left="567" w:hanging="567"/>
        <w:rPr>
          <w:rFonts w:asciiTheme="majorHAnsi" w:eastAsia="Arial" w:hAnsiTheme="majorHAnsi" w:cs="Arial"/>
          <w:noProof/>
          <w:color w:val="000000"/>
        </w:rPr>
      </w:pPr>
      <w:r>
        <w:rPr>
          <w:rFonts w:asciiTheme="majorHAnsi" w:hAnsiTheme="majorHAnsi"/>
          <w:noProof/>
        </w:rPr>
        <w:t xml:space="preserve">Apvienotās Karalistes </w:t>
      </w:r>
      <w:r>
        <w:rPr>
          <w:rFonts w:asciiTheme="majorHAnsi" w:hAnsiTheme="majorHAnsi"/>
          <w:i/>
          <w:iCs/>
          <w:noProof/>
        </w:rPr>
        <w:t>ISO</w:t>
      </w:r>
      <w:r>
        <w:rPr>
          <w:rFonts w:asciiTheme="majorHAnsi" w:hAnsiTheme="majorHAnsi"/>
          <w:noProof/>
        </w:rPr>
        <w:t xml:space="preserve"> koda vietā norāda kodu “UK”,</w:t>
      </w:r>
    </w:p>
    <w:p w:rsidR="003E022D" w:rsidRDefault="007D19D6">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tās Apvienotās Karalistes iestādes identifikācijas numurs un akronīms, kura iz</w:t>
      </w:r>
      <w:r>
        <w:rPr>
          <w:rFonts w:asciiTheme="majorHAnsi" w:hAnsiTheme="majorHAnsi"/>
          <w:noProof/>
          <w:color w:val="000000"/>
        </w:rPr>
        <w:t>devusi dokumentu,</w:t>
      </w:r>
    </w:p>
    <w:p w:rsidR="003E022D" w:rsidRDefault="007D19D6">
      <w:pPr>
        <w:numPr>
          <w:ilvl w:val="0"/>
          <w:numId w:val="1204"/>
        </w:numPr>
        <w:ind w:left="567" w:hanging="567"/>
        <w:rPr>
          <w:rFonts w:asciiTheme="majorHAnsi" w:eastAsia="Arial" w:hAnsiTheme="majorHAnsi" w:cs="Arial"/>
          <w:noProof/>
          <w:color w:val="000000"/>
        </w:rPr>
      </w:pPr>
      <w:r>
        <w:rPr>
          <w:rFonts w:asciiTheme="majorHAnsi" w:hAnsiTheme="majorHAnsi"/>
          <w:noProof/>
        </w:rPr>
        <w:t>dokumenta loģiskais numurs,</w:t>
      </w:r>
    </w:p>
    <w:p w:rsidR="003E022D" w:rsidRDefault="007D19D6">
      <w:pPr>
        <w:numPr>
          <w:ilvl w:val="0"/>
          <w:numId w:val="1204"/>
        </w:numPr>
        <w:ind w:left="567" w:hanging="567"/>
        <w:rPr>
          <w:rFonts w:asciiTheme="majorHAnsi" w:eastAsia="Arial" w:hAnsiTheme="majorHAnsi" w:cs="Arial"/>
          <w:noProof/>
          <w:color w:val="000000"/>
        </w:rPr>
      </w:pPr>
      <w:r>
        <w:rPr>
          <w:rFonts w:asciiTheme="majorHAnsi" w:hAnsiTheme="majorHAnsi"/>
          <w:noProof/>
        </w:rPr>
        <w:t>provizoriska dokumenta gadījumā – dokumenta izsniegšanas datums un tā piegādes datums, kā arī Apvienotās Karalistes iestādes paraksts un zīmogs.</w:t>
      </w:r>
    </w:p>
    <w:p w:rsidR="003E022D" w:rsidRDefault="003E022D">
      <w:pPr>
        <w:spacing w:after="0"/>
        <w:ind w:left="1080"/>
        <w:rPr>
          <w:rFonts w:asciiTheme="majorHAnsi" w:eastAsia="Arial" w:hAnsiTheme="majorHAnsi" w:cs="Arial"/>
          <w:noProof/>
          <w:color w:val="000000"/>
        </w:rPr>
      </w:pPr>
    </w:p>
    <w:p w:rsidR="003E022D" w:rsidRDefault="007D19D6">
      <w:pPr>
        <w:numPr>
          <w:ilvl w:val="0"/>
          <w:numId w:val="1203"/>
        </w:numPr>
        <w:ind w:left="0" w:firstLine="0"/>
        <w:rPr>
          <w:rFonts w:asciiTheme="majorHAnsi" w:eastAsia="Arial" w:hAnsiTheme="majorHAnsi" w:cs="Arial"/>
          <w:noProof/>
        </w:rPr>
      </w:pPr>
      <w:r>
        <w:rPr>
          <w:rFonts w:asciiTheme="majorHAnsi" w:hAnsiTheme="majorHAnsi"/>
          <w:noProof/>
        </w:rPr>
        <w:t>Apvienotās Karalistes izdoto tiesības apliecinošo dokumentu tehn</w:t>
      </w:r>
      <w:r>
        <w:rPr>
          <w:rFonts w:asciiTheme="majorHAnsi" w:hAnsiTheme="majorHAnsi"/>
          <w:noProof/>
        </w:rPr>
        <w:t>iskās specifikācijas nekavējoties paziņo Specializētajai sociālā nodrošinājuma koordinācijas komitejai , lai dalībvalstu iestādēm, kas nodrošina pabalstus natūrā, atvieglotu attiecīgo dokumentu pieņemšanu.</w:t>
      </w:r>
      <w:r>
        <w:rPr>
          <w:rFonts w:asciiTheme="majorHAnsi" w:hAnsiTheme="majorHAnsi"/>
          <w:noProof/>
          <w:color w:val="000000"/>
        </w:rPr>
        <w:t xml:space="preserve"> </w:t>
      </w:r>
    </w:p>
    <w:p w:rsidR="003E022D" w:rsidRDefault="003E022D">
      <w:pPr>
        <w:pBdr>
          <w:top w:val="nil"/>
          <w:left w:val="nil"/>
          <w:bottom w:val="nil"/>
          <w:right w:val="nil"/>
          <w:between w:val="nil"/>
        </w:pBdr>
        <w:spacing w:after="0"/>
        <w:ind w:left="567"/>
        <w:rPr>
          <w:rFonts w:asciiTheme="majorHAnsi" w:eastAsia="Arial" w:hAnsiTheme="majorHAnsi" w:cs="Arial"/>
          <w:noProof/>
          <w:color w:val="000000"/>
        </w:rPr>
      </w:pPr>
    </w:p>
    <w:p w:rsidR="003E022D" w:rsidRDefault="007D19D6">
      <w:pPr>
        <w:jc w:val="center"/>
        <w:rPr>
          <w:rFonts w:asciiTheme="majorHAnsi" w:eastAsia="Arial" w:hAnsiTheme="majorHAnsi" w:cs="Arial"/>
          <w:noProof/>
          <w:color w:val="000000"/>
        </w:rPr>
      </w:pPr>
      <w:r>
        <w:rPr>
          <w:rFonts w:asciiTheme="majorHAnsi" w:hAnsiTheme="majorHAnsi"/>
          <w:noProof/>
        </w:rPr>
        <w:t>VESELĪBAS APRŪPE, KURAI NEPIECIEŠAMA IEPRIEKŠĒJA</w:t>
      </w:r>
      <w:r>
        <w:rPr>
          <w:rFonts w:asciiTheme="majorHAnsi" w:hAnsiTheme="majorHAnsi"/>
          <w:noProof/>
        </w:rPr>
        <w:t xml:space="preserve"> PIEKRIŠANA (SSC.17. pants [Uzturēšanās ārpus kompetentās valsts] un SSC.25. panta [Pensionāra vai viņa ģimenes locekļu uzturēšanās valstī, kurā viņi nedzīvo – Uzturēšanās kompetentajā valstī – Atļauja saņemt piemērotu ārstēšanu ārpus dzīvesvietas valsts] </w:t>
      </w:r>
      <w:r>
        <w:rPr>
          <w:rFonts w:asciiTheme="majorHAnsi" w:hAnsiTheme="majorHAnsi"/>
          <w:noProof/>
        </w:rPr>
        <w:t>1. punkts)</w:t>
      </w:r>
    </w:p>
    <w:p w:rsidR="003E022D" w:rsidRDefault="007D19D6">
      <w:pPr>
        <w:numPr>
          <w:ilvl w:val="3"/>
          <w:numId w:val="1203"/>
        </w:numPr>
        <w:ind w:left="0" w:firstLine="0"/>
        <w:rPr>
          <w:rFonts w:asciiTheme="majorHAnsi" w:eastAsia="Arial" w:hAnsiTheme="majorHAnsi" w:cs="Arial"/>
          <w:noProof/>
          <w:color w:val="000000"/>
        </w:rPr>
      </w:pPr>
      <w:r>
        <w:rPr>
          <w:rFonts w:asciiTheme="majorHAnsi" w:hAnsiTheme="majorHAnsi"/>
          <w:noProof/>
        </w:rPr>
        <w:t>Pabalsti natūrā, kurus sniedz saskaņā ar protokola SSC.17. pantu [Uzturēšanās ārpus kompetentās valsts] un SSC.25. panta [Pensionāra vai viņa ģimenes locekļu uzturēšanās valstī, kurā viņi nedzīvo – Uzturēšanās kompetentajā valstī – Atļauja saņem</w:t>
      </w:r>
      <w:r>
        <w:rPr>
          <w:rFonts w:asciiTheme="majorHAnsi" w:hAnsiTheme="majorHAnsi"/>
          <w:noProof/>
        </w:rPr>
        <w:t>t piemērotu ārstēšanu ārpus dzīvesvietas valsts] 1. punktu ietver pabalstus, kurus sniedz saistībā ar hroniskām vai esošām slimībām, kā arī saistībā ar grūtniecību un dzemdībām.</w:t>
      </w:r>
      <w:r>
        <w:rPr>
          <w:rFonts w:asciiTheme="majorHAnsi" w:hAnsiTheme="majorHAnsi"/>
          <w:noProof/>
          <w:color w:val="000000"/>
        </w:rPr>
        <w:t xml:space="preserve"> </w:t>
      </w:r>
    </w:p>
    <w:p w:rsidR="003E022D" w:rsidRDefault="007D19D6">
      <w:pPr>
        <w:numPr>
          <w:ilvl w:val="3"/>
          <w:numId w:val="1203"/>
        </w:numPr>
        <w:ind w:left="0" w:firstLine="0"/>
        <w:rPr>
          <w:rFonts w:asciiTheme="majorHAnsi" w:eastAsia="Arial" w:hAnsiTheme="majorHAnsi" w:cs="Arial"/>
          <w:noProof/>
          <w:color w:val="000000"/>
        </w:rPr>
      </w:pPr>
      <w:r>
        <w:rPr>
          <w:rFonts w:asciiTheme="majorHAnsi" w:hAnsiTheme="majorHAnsi"/>
          <w:noProof/>
          <w:color w:val="000000"/>
        </w:rPr>
        <w:t xml:space="preserve">Šie noteikumi neattiecas uz pabalstiem natūrā, ietverot pabalstus saistībā ar hroniskām vai esošām slimībām, kā arī saistībā ar grūtniecību un dzemdībām, ja uzturēšanās citā valstī mērķis ir saņemt šādu ārstēšanu. </w:t>
      </w:r>
    </w:p>
    <w:p w:rsidR="003E022D" w:rsidRDefault="007D19D6">
      <w:pPr>
        <w:numPr>
          <w:ilvl w:val="3"/>
          <w:numId w:val="1203"/>
        </w:numPr>
        <w:ind w:left="0" w:firstLine="0"/>
        <w:rPr>
          <w:rFonts w:asciiTheme="majorHAnsi" w:eastAsia="Arial" w:hAnsiTheme="majorHAnsi" w:cs="Arial"/>
          <w:noProof/>
          <w:color w:val="000000"/>
        </w:rPr>
      </w:pPr>
      <w:r>
        <w:rPr>
          <w:rFonts w:asciiTheme="majorHAnsi" w:hAnsiTheme="majorHAnsi"/>
          <w:noProof/>
          <w:color w:val="000000"/>
        </w:rPr>
        <w:t xml:space="preserve">Jebkurai vitāli svarīgai ārstēšanai, kas </w:t>
      </w:r>
      <w:r>
        <w:rPr>
          <w:rFonts w:asciiTheme="majorHAnsi" w:hAnsiTheme="majorHAnsi"/>
          <w:noProof/>
          <w:color w:val="000000"/>
        </w:rPr>
        <w:t>ir pieejama tikai specializētā ārstniecības iestādē vai kurai nepieciešams specializēts personāls vai aprīkojums, ir vajadzīga iepriekšēja vienošanās starp apdrošināto personu un šo ārstniecības iestādi, lai nodrošinātu, ka ārstēšana apdrošinātajai persona</w:t>
      </w:r>
      <w:r>
        <w:rPr>
          <w:rFonts w:asciiTheme="majorHAnsi" w:hAnsiTheme="majorHAnsi"/>
          <w:noProof/>
          <w:color w:val="000000"/>
        </w:rPr>
        <w:t xml:space="preserve">i ir pieejama laikā, kad tā uzturas valstī, kas nav kompetentā valsts vai dzīvesvietas valsts. </w:t>
      </w:r>
    </w:p>
    <w:p w:rsidR="003E022D" w:rsidRDefault="007D19D6">
      <w:pPr>
        <w:numPr>
          <w:ilvl w:val="3"/>
          <w:numId w:val="1203"/>
        </w:numPr>
        <w:ind w:left="0" w:firstLine="0"/>
        <w:rPr>
          <w:rFonts w:asciiTheme="majorHAnsi" w:eastAsia="Arial" w:hAnsiTheme="majorHAnsi" w:cs="Arial"/>
          <w:noProof/>
          <w:color w:val="000000"/>
        </w:rPr>
      </w:pPr>
      <w:r>
        <w:rPr>
          <w:rFonts w:asciiTheme="majorHAnsi" w:hAnsiTheme="majorHAnsi"/>
          <w:noProof/>
          <w:color w:val="000000"/>
        </w:rPr>
        <w:t>Neizsmeļošs saraksts ar ārstniecības veidiem, kas atbilst šiem kritērijiem:</w:t>
      </w:r>
    </w:p>
    <w:p w:rsidR="003E022D" w:rsidRDefault="007D19D6">
      <w:pPr>
        <w:numPr>
          <w:ilvl w:val="0"/>
          <w:numId w:val="1237"/>
        </w:numPr>
        <w:ind w:left="567" w:hanging="567"/>
        <w:rPr>
          <w:rFonts w:asciiTheme="majorHAnsi" w:hAnsiTheme="majorHAnsi" w:cstheme="majorHAnsi"/>
          <w:noProof/>
        </w:rPr>
      </w:pPr>
      <w:r>
        <w:rPr>
          <w:rFonts w:asciiTheme="majorHAnsi" w:hAnsiTheme="majorHAnsi"/>
          <w:noProof/>
        </w:rPr>
        <w:t>nieru dialīze,</w:t>
      </w:r>
    </w:p>
    <w:p w:rsidR="003E022D" w:rsidRDefault="007D19D6">
      <w:pPr>
        <w:numPr>
          <w:ilvl w:val="0"/>
          <w:numId w:val="1237"/>
        </w:numPr>
        <w:ind w:left="567" w:hanging="567"/>
        <w:rPr>
          <w:rFonts w:asciiTheme="majorHAnsi" w:hAnsiTheme="majorHAnsi" w:cstheme="majorHAnsi"/>
          <w:noProof/>
        </w:rPr>
      </w:pPr>
      <w:r>
        <w:rPr>
          <w:rFonts w:asciiTheme="majorHAnsi" w:hAnsiTheme="majorHAnsi"/>
          <w:noProof/>
        </w:rPr>
        <w:t>skābekļa terapija,</w:t>
      </w:r>
    </w:p>
    <w:p w:rsidR="003E022D" w:rsidRDefault="007D19D6">
      <w:pPr>
        <w:numPr>
          <w:ilvl w:val="0"/>
          <w:numId w:val="1237"/>
        </w:numPr>
        <w:ind w:left="567" w:hanging="567"/>
        <w:rPr>
          <w:rFonts w:asciiTheme="majorHAnsi" w:hAnsiTheme="majorHAnsi" w:cstheme="majorHAnsi"/>
          <w:noProof/>
        </w:rPr>
      </w:pPr>
      <w:r>
        <w:rPr>
          <w:rFonts w:asciiTheme="majorHAnsi" w:hAnsiTheme="majorHAnsi"/>
          <w:noProof/>
        </w:rPr>
        <w:t>īpaša astmas ārstēšana,</w:t>
      </w:r>
    </w:p>
    <w:p w:rsidR="003E022D" w:rsidRDefault="007D19D6">
      <w:pPr>
        <w:numPr>
          <w:ilvl w:val="0"/>
          <w:numId w:val="1237"/>
        </w:numPr>
        <w:ind w:left="567" w:hanging="567"/>
        <w:rPr>
          <w:rFonts w:asciiTheme="majorHAnsi" w:hAnsiTheme="majorHAnsi" w:cstheme="majorHAnsi"/>
          <w:noProof/>
        </w:rPr>
      </w:pPr>
      <w:r>
        <w:rPr>
          <w:rFonts w:asciiTheme="majorHAnsi" w:hAnsiTheme="majorHAnsi"/>
          <w:noProof/>
        </w:rPr>
        <w:t xml:space="preserve">ehokardiogrāfija hronisku </w:t>
      </w:r>
      <w:r>
        <w:rPr>
          <w:rFonts w:asciiTheme="majorHAnsi" w:hAnsiTheme="majorHAnsi"/>
          <w:noProof/>
        </w:rPr>
        <w:t>autoimūnu slimību gadījumā,</w:t>
      </w:r>
    </w:p>
    <w:p w:rsidR="003E022D" w:rsidRDefault="007D19D6">
      <w:pPr>
        <w:numPr>
          <w:ilvl w:val="0"/>
          <w:numId w:val="1237"/>
        </w:numPr>
        <w:ind w:left="567" w:hanging="567"/>
        <w:rPr>
          <w:rFonts w:asciiTheme="majorHAnsi" w:hAnsiTheme="majorHAnsi"/>
          <w:noProof/>
          <w:color w:val="000000"/>
        </w:rPr>
      </w:pPr>
      <w:r>
        <w:rPr>
          <w:rFonts w:asciiTheme="majorHAnsi" w:hAnsiTheme="majorHAnsi"/>
          <w:noProof/>
        </w:rPr>
        <w:t>ķīmijterapija.</w:t>
      </w:r>
      <w:r>
        <w:rPr>
          <w:rFonts w:asciiTheme="majorHAnsi" w:hAnsiTheme="majorHAnsi"/>
          <w:noProof/>
          <w:color w:val="000000"/>
        </w:rPr>
        <w:t xml:space="preserve"> </w:t>
      </w:r>
      <w:r>
        <w:rPr>
          <w:rFonts w:asciiTheme="majorHAnsi" w:hAnsiTheme="majorHAnsi"/>
          <w:noProof/>
        </w:rPr>
        <w:br w:type="page"/>
      </w:r>
    </w:p>
    <w:p w:rsidR="003E022D" w:rsidRDefault="007D19D6">
      <w:pPr>
        <w:pStyle w:val="Appendix"/>
        <w:rPr>
          <w:noProof/>
        </w:rPr>
      </w:pPr>
      <w:r>
        <w:rPr>
          <w:noProof/>
        </w:rPr>
        <w:t>SSCI-3. PAPILDINĀJUMS</w:t>
      </w:r>
    </w:p>
    <w:p w:rsidR="003E022D" w:rsidRDefault="007D19D6">
      <w:pPr>
        <w:pStyle w:val="Article"/>
        <w:rPr>
          <w:rFonts w:eastAsia="Arial" w:cs="Arial"/>
          <w:noProof/>
          <w:color w:val="000000"/>
        </w:rPr>
      </w:pPr>
      <w:r>
        <w:rPr>
          <w:noProof/>
        </w:rPr>
        <w:t>VALSTIS, KAS PABALSTU NATŪRĀ IZMAKSAS, PIEPRASA, PAMATOJOTIES UZ FIKSĒTĀM SUMMĀM (MINĒTAS ŠĀ PIELIKUMA SSCI.48. PANTA [Attiecīgās(-o) valsts(-u) noteikšana] 1. PUNKTĀ)</w:t>
      </w:r>
    </w:p>
    <w:p w:rsidR="003E022D" w:rsidRDefault="007D19D6">
      <w:pPr>
        <w:tabs>
          <w:tab w:val="left" w:pos="1004"/>
        </w:tabs>
        <w:spacing w:before="40" w:line="278" w:lineRule="auto"/>
        <w:rPr>
          <w:rFonts w:asciiTheme="majorHAnsi" w:eastAsia="Arial" w:hAnsiTheme="majorHAnsi" w:cs="Arial"/>
          <w:noProof/>
        </w:rPr>
      </w:pPr>
      <w:r>
        <w:rPr>
          <w:rFonts w:asciiTheme="majorHAnsi" w:hAnsiTheme="majorHAnsi"/>
          <w:noProof/>
        </w:rPr>
        <w:t xml:space="preserve">ĪRIJA </w:t>
      </w:r>
    </w:p>
    <w:p w:rsidR="003E022D" w:rsidRDefault="007D19D6">
      <w:pPr>
        <w:tabs>
          <w:tab w:val="left" w:pos="1004"/>
        </w:tabs>
        <w:spacing w:before="40" w:line="278" w:lineRule="auto"/>
        <w:rPr>
          <w:rFonts w:asciiTheme="majorHAnsi" w:eastAsia="Arial" w:hAnsiTheme="majorHAnsi" w:cs="Arial"/>
          <w:noProof/>
        </w:rPr>
      </w:pPr>
      <w:r>
        <w:rPr>
          <w:rFonts w:asciiTheme="majorHAnsi" w:hAnsiTheme="majorHAnsi"/>
          <w:noProof/>
        </w:rPr>
        <w:t xml:space="preserve">SPĀNIJA </w:t>
      </w:r>
    </w:p>
    <w:p w:rsidR="003E022D" w:rsidRDefault="007D19D6">
      <w:pPr>
        <w:tabs>
          <w:tab w:val="left" w:pos="1004"/>
        </w:tabs>
        <w:spacing w:before="40" w:line="278" w:lineRule="auto"/>
        <w:rPr>
          <w:rFonts w:asciiTheme="majorHAnsi" w:eastAsia="Arial" w:hAnsiTheme="majorHAnsi" w:cs="Arial"/>
          <w:noProof/>
        </w:rPr>
      </w:pPr>
      <w:r>
        <w:rPr>
          <w:rFonts w:asciiTheme="majorHAnsi" w:hAnsiTheme="majorHAnsi"/>
          <w:noProof/>
        </w:rPr>
        <w:t>KIPRA</w:t>
      </w:r>
      <w:r>
        <w:rPr>
          <w:rFonts w:asciiTheme="majorHAnsi" w:hAnsiTheme="majorHAnsi"/>
          <w:noProof/>
        </w:rPr>
        <w:t xml:space="preserve"> </w:t>
      </w:r>
    </w:p>
    <w:p w:rsidR="003E022D" w:rsidRDefault="007D19D6">
      <w:pPr>
        <w:tabs>
          <w:tab w:val="left" w:pos="1004"/>
        </w:tabs>
        <w:spacing w:before="40" w:line="278" w:lineRule="auto"/>
        <w:rPr>
          <w:rFonts w:asciiTheme="majorHAnsi" w:eastAsia="Arial" w:hAnsiTheme="majorHAnsi" w:cs="Arial"/>
          <w:noProof/>
        </w:rPr>
      </w:pPr>
      <w:r>
        <w:rPr>
          <w:rFonts w:asciiTheme="majorHAnsi" w:hAnsiTheme="majorHAnsi"/>
          <w:noProof/>
        </w:rPr>
        <w:t xml:space="preserve">PORTUGĀLE </w:t>
      </w:r>
    </w:p>
    <w:p w:rsidR="003E022D" w:rsidRDefault="007D19D6">
      <w:pPr>
        <w:tabs>
          <w:tab w:val="left" w:pos="1004"/>
        </w:tabs>
        <w:spacing w:before="40" w:line="278" w:lineRule="auto"/>
        <w:rPr>
          <w:rFonts w:asciiTheme="majorHAnsi" w:eastAsia="Arial" w:hAnsiTheme="majorHAnsi" w:cs="Arial"/>
          <w:noProof/>
        </w:rPr>
      </w:pPr>
      <w:r>
        <w:rPr>
          <w:rFonts w:asciiTheme="majorHAnsi" w:hAnsiTheme="majorHAnsi"/>
          <w:noProof/>
        </w:rPr>
        <w:t>ZVIEDRIJA</w:t>
      </w:r>
    </w:p>
    <w:p w:rsidR="003E022D" w:rsidRDefault="007D19D6">
      <w:pPr>
        <w:tabs>
          <w:tab w:val="left" w:pos="1004"/>
        </w:tabs>
        <w:spacing w:before="40" w:line="278" w:lineRule="auto"/>
        <w:rPr>
          <w:rFonts w:asciiTheme="majorHAnsi" w:eastAsia="Arial" w:hAnsiTheme="majorHAnsi" w:cs="Arial"/>
          <w:noProof/>
        </w:rPr>
      </w:pPr>
      <w:r>
        <w:rPr>
          <w:rFonts w:asciiTheme="majorHAnsi" w:hAnsiTheme="majorHAnsi"/>
          <w:noProof/>
        </w:rPr>
        <w:t>APVIENOTĀ KARALISTE</w:t>
      </w:r>
    </w:p>
    <w:p w:rsidR="003E022D" w:rsidRDefault="007D19D6">
      <w:pPr>
        <w:spacing w:after="0" w:line="276" w:lineRule="auto"/>
        <w:jc w:val="left"/>
        <w:rPr>
          <w:noProof/>
        </w:rPr>
      </w:pPr>
      <w:r>
        <w:rPr>
          <w:noProof/>
        </w:rPr>
        <w:br w:type="page"/>
      </w:r>
    </w:p>
    <w:p w:rsidR="003E022D" w:rsidRDefault="007D19D6">
      <w:pPr>
        <w:pStyle w:val="ANNEX"/>
        <w:rPr>
          <w:b/>
          <w:noProof/>
        </w:rPr>
      </w:pPr>
      <w:bookmarkStart w:id="1485" w:name="_Toc59110619"/>
      <w:bookmarkStart w:id="1486" w:name="_Toc59988453"/>
      <w:r>
        <w:rPr>
          <w:noProof/>
        </w:rPr>
        <w:t>SSC-8. PIELIKUMS. PĀREJAS NOTEIKUMI SSC.11. PANTA [Norīkotie darba ņēmēji] PIEMĒROŠANAI</w:t>
      </w:r>
      <w:bookmarkEnd w:id="1485"/>
      <w:bookmarkEnd w:id="1486"/>
    </w:p>
    <w:p w:rsidR="003E022D" w:rsidRDefault="007D19D6">
      <w:pPr>
        <w:pStyle w:val="Appendix"/>
        <w:rPr>
          <w:b/>
          <w:noProof/>
        </w:rPr>
      </w:pPr>
      <w:r>
        <w:rPr>
          <w:noProof/>
        </w:rPr>
        <w:t>DALĪBVALSTIS</w:t>
      </w:r>
    </w:p>
    <w:p w:rsidR="003E022D" w:rsidRDefault="003E022D">
      <w:pPr>
        <w:rPr>
          <w:noProof/>
        </w:rPr>
      </w:pPr>
    </w:p>
    <w:p w:rsidR="003E022D" w:rsidRDefault="003E022D">
      <w:pPr>
        <w:rPr>
          <w:noProof/>
        </w:rPr>
      </w:pPr>
    </w:p>
    <w:p w:rsidR="003E022D" w:rsidRDefault="003E022D">
      <w:pPr>
        <w:spacing w:after="0" w:line="276" w:lineRule="auto"/>
        <w:jc w:val="left"/>
        <w:rPr>
          <w:rFonts w:asciiTheme="majorHAnsi" w:eastAsia="Arial" w:hAnsiTheme="majorHAnsi" w:cs="Calibri"/>
          <w:noProof/>
          <w:color w:val="000000"/>
          <w:szCs w:val="32"/>
          <w:u w:color="000000"/>
        </w:rPr>
      </w:pPr>
    </w:p>
    <w:sectPr w:rsidR="003E022D">
      <w:headerReference w:type="even" r:id="rId60"/>
      <w:headerReference w:type="default" r:id="rId61"/>
      <w:footerReference w:type="even" r:id="rId62"/>
      <w:footerReference w:type="default" r:id="rId63"/>
      <w:headerReference w:type="first" r:id="rId64"/>
      <w:footerReference w:type="first" r:id="rId65"/>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22D" w:rsidRDefault="007D19D6">
      <w:r>
        <w:separator/>
      </w:r>
    </w:p>
  </w:endnote>
  <w:endnote w:type="continuationSeparator" w:id="0">
    <w:p w:rsidR="003E022D" w:rsidRDefault="007D1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Minion Pro-Bold-5461-Identity-">
    <w:altName w:val="Calibri"/>
    <w:panose1 w:val="00000000000000000000"/>
    <w:charset w:val="00"/>
    <w:family w:val="auto"/>
    <w:notTrueType/>
    <w:pitch w:val="default"/>
    <w:sig w:usb0="00000003" w:usb1="00000000" w:usb2="00000000" w:usb3="00000000" w:csb0="00000001" w:csb1="00000000"/>
  </w:font>
  <w:font w:name="EUAlbertina-Bold-Identity-H">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9D6" w:rsidRPr="007D19D6" w:rsidRDefault="007D19D6" w:rsidP="007D19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222987"/>
      <w:docPartObj>
        <w:docPartGallery w:val="Page Numbers (Bottom of Page)"/>
        <w:docPartUnique/>
      </w:docPartObj>
    </w:sdtPr>
    <w:sdtEndPr>
      <w:rPr>
        <w:i/>
        <w:noProof/>
        <w:sz w:val="18"/>
        <w:szCs w:val="18"/>
      </w:rPr>
    </w:sdtEndPr>
    <w:sdtContent>
      <w:p w:rsidR="003E022D" w:rsidRDefault="007D19D6">
        <w:pPr>
          <w:jc w:val="center"/>
          <w:rPr>
            <w:noProof/>
          </w:rPr>
        </w:pPr>
        <w:r>
          <w:fldChar w:fldCharType="begin"/>
        </w:r>
        <w:r>
          <w:instrText xml:space="preserve"> PAGE   \* MERGEFORMAT </w:instrText>
        </w:r>
        <w:r>
          <w:fldChar w:fldCharType="separate"/>
        </w:r>
        <w:r>
          <w:rPr>
            <w:noProof/>
          </w:rPr>
          <w:t>1093</w:t>
        </w:r>
        <w:r>
          <w:fldChar w:fldCharType="end"/>
        </w:r>
      </w:p>
      <w:p w:rsidR="003E022D" w:rsidRDefault="007D19D6">
        <w:pPr>
          <w:jc w:val="right"/>
          <w:rPr>
            <w:i/>
            <w:noProof/>
            <w:sz w:val="18"/>
            <w:szCs w:val="18"/>
          </w:rPr>
        </w:pP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7D19D6">
    <w:pPr>
      <w:jc w:val="center"/>
      <w:rPr>
        <w:i/>
        <w:sz w:val="18"/>
        <w:szCs w:val="18"/>
      </w:rPr>
    </w:pPr>
    <w:r>
      <w:fldChar w:fldCharType="begin"/>
    </w:r>
    <w:r>
      <w:instrText xml:space="preserve"> PAGE   \* MERGEFORMAT </w:instrText>
    </w:r>
    <w:r>
      <w:fldChar w:fldCharType="separate"/>
    </w:r>
    <w:r>
      <w:rPr>
        <w:noProof/>
      </w:rPr>
      <w:t>1221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9D6" w:rsidRPr="007D19D6" w:rsidRDefault="007D19D6" w:rsidP="007D19D6">
    <w:pPr>
      <w:pStyle w:val="FooterCoverPage"/>
      <w:rPr>
        <w:rFonts w:ascii="Arial" w:hAnsi="Arial" w:cs="Arial"/>
        <w:b/>
        <w:sz w:val="48"/>
      </w:rPr>
    </w:pPr>
    <w:r w:rsidRPr="007D19D6">
      <w:rPr>
        <w:rFonts w:ascii="Arial" w:hAnsi="Arial" w:cs="Arial"/>
        <w:b/>
        <w:sz w:val="48"/>
      </w:rPr>
      <w:t>LV</w:t>
    </w:r>
    <w:r w:rsidRPr="007D19D6">
      <w:rPr>
        <w:rFonts w:ascii="Arial" w:hAnsi="Arial" w:cs="Arial"/>
        <w:b/>
        <w:sz w:val="48"/>
      </w:rPr>
      <w:tab/>
    </w:r>
    <w:r w:rsidRPr="007D19D6">
      <w:rPr>
        <w:rFonts w:ascii="Arial" w:hAnsi="Arial" w:cs="Arial"/>
        <w:b/>
        <w:sz w:val="48"/>
      </w:rPr>
      <w:tab/>
    </w:r>
    <w:r w:rsidRPr="007D19D6">
      <w:tab/>
    </w:r>
    <w:r w:rsidRPr="007D19D6">
      <w:rPr>
        <w:rFonts w:ascii="Arial" w:hAnsi="Arial" w:cs="Arial"/>
        <w:b/>
        <w:sz w:val="48"/>
      </w:rPr>
      <w:t>LV</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9D6" w:rsidRPr="007D19D6" w:rsidRDefault="007D19D6" w:rsidP="007D19D6">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455978"/>
      <w:docPartObj>
        <w:docPartGallery w:val="Page Numbers (Bottom of Page)"/>
        <w:docPartUnique/>
      </w:docPartObj>
    </w:sdtPr>
    <w:sdtEndPr>
      <w:rPr>
        <w:i/>
        <w:noProof/>
        <w:sz w:val="18"/>
        <w:szCs w:val="18"/>
      </w:rPr>
    </w:sdtEndPr>
    <w:sdtContent>
      <w:p w:rsidR="003E022D" w:rsidRDefault="007D19D6">
        <w:pPr>
          <w:jc w:val="center"/>
          <w:rPr>
            <w:noProof/>
          </w:rPr>
        </w:pPr>
        <w:r>
          <w:fldChar w:fldCharType="begin"/>
        </w:r>
        <w:r>
          <w:instrText xml:space="preserve"> PAGE   \* MERGEFORMAT </w:instrText>
        </w:r>
        <w:r>
          <w:fldChar w:fldCharType="separate"/>
        </w:r>
        <w:r>
          <w:rPr>
            <w:noProof/>
          </w:rPr>
          <w:t>1</w:t>
        </w:r>
        <w:r>
          <w:fldChar w:fldCharType="end"/>
        </w:r>
      </w:p>
      <w:p w:rsidR="003E022D" w:rsidRDefault="007D19D6">
        <w:pPr>
          <w:jc w:val="right"/>
          <w:rPr>
            <w:i/>
            <w:noProof/>
            <w:sz w:val="18"/>
            <w:szCs w:val="18"/>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93655"/>
      <w:docPartObj>
        <w:docPartGallery w:val="Page Numbers (Bottom of Page)"/>
        <w:docPartUnique/>
      </w:docPartObj>
    </w:sdtPr>
    <w:sdtEndPr>
      <w:rPr>
        <w:i/>
        <w:noProof/>
        <w:sz w:val="18"/>
        <w:szCs w:val="18"/>
      </w:rPr>
    </w:sdtEndPr>
    <w:sdtContent>
      <w:p w:rsidR="003E022D" w:rsidRDefault="007D19D6">
        <w:pPr>
          <w:jc w:val="center"/>
          <w:rPr>
            <w:noProof/>
          </w:rPr>
        </w:pPr>
        <w:r>
          <w:fldChar w:fldCharType="begin"/>
        </w:r>
        <w:r>
          <w:instrText xml:space="preserve"> PAGE   \* MERGEFORMAT </w:instrText>
        </w:r>
        <w:r>
          <w:fldChar w:fldCharType="separate"/>
        </w:r>
        <w:r>
          <w:rPr>
            <w:noProof/>
          </w:rPr>
          <w:t>1083</w:t>
        </w:r>
        <w:r>
          <w:fldChar w:fldCharType="end"/>
        </w:r>
      </w:p>
      <w:p w:rsidR="003E022D" w:rsidRDefault="007D19D6">
        <w:pPr>
          <w:jc w:val="right"/>
          <w:rPr>
            <w:i/>
            <w:noProof/>
            <w:sz w:val="18"/>
            <w:szCs w:val="18"/>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22D" w:rsidRDefault="007D19D6">
      <w:r>
        <w:separator/>
      </w:r>
    </w:p>
  </w:footnote>
  <w:footnote w:type="continuationSeparator" w:id="0">
    <w:p w:rsidR="003E022D" w:rsidRDefault="007D19D6">
      <w:r>
        <w:continuationSeparator/>
      </w:r>
    </w:p>
  </w:footnote>
  <w:footnote w:id="1">
    <w:p w:rsidR="003E022D" w:rsidRDefault="007D19D6">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 xml:space="preserve">Šā panta nolūkā ieinteresētās puses definē saskaņā ar </w:t>
      </w:r>
      <w:r>
        <w:rPr>
          <w:rFonts w:asciiTheme="minorHAnsi" w:hAnsiTheme="minorHAnsi"/>
        </w:rPr>
        <w:t>Antidempinga līguma 6. panta 11. punktu un SKP nolīguma 12. panta 9. punktu.</w:t>
      </w:r>
    </w:p>
  </w:footnote>
  <w:footnote w:id="2">
    <w:p w:rsidR="003E022D" w:rsidRDefault="007D19D6">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Saglabāšanas darbības, piemēram, atdzesēšanu, sasaldēšanu vai vēdināšanu, uzskata par nepietiekamām a) apakšpunkta nozīmē, jo tādas darbības kā konservēšana, žāvēšana vai kūpinā</w:t>
      </w:r>
      <w:r>
        <w:rPr>
          <w:rFonts w:asciiTheme="minorHAnsi" w:hAnsiTheme="minorHAnsi"/>
        </w:rPr>
        <w:t>šana, kas paredzētas, lai ražojumam piešķirtu noteiktas vai atšķirīgas īpašības, neuzskata par nepietiekamām.</w:t>
      </w:r>
    </w:p>
  </w:footnote>
  <w:footnote w:id="3">
    <w:p w:rsidR="003E022D" w:rsidRDefault="007D19D6">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Šis termiņš būs 12 mēneši to informācijas pieprasījumu gadījumā, kas iesniegti saskaņā ar ORIG.25. panta [Administratīvā sadarbība] 2. punktu un</w:t>
      </w:r>
      <w:r>
        <w:rPr>
          <w:rFonts w:asciiTheme="minorHAnsi" w:hAnsiTheme="minorHAnsi"/>
        </w:rPr>
        <w:t xml:space="preserve"> adresēti eksportētājas Puses muitas dienestam šā nolīguma piemērošanas pirmajos trīs mēnešos.</w:t>
      </w:r>
    </w:p>
  </w:footnote>
  <w:footnote w:id="4">
    <w:p w:rsidR="003E022D" w:rsidRDefault="007D19D6">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G/TBT/9, 2000. gada 13. novembris, 4. pielikums.</w:t>
      </w:r>
    </w:p>
  </w:footnote>
  <w:footnote w:id="5">
    <w:p w:rsidR="003E022D" w:rsidRDefault="007D19D6">
      <w:pPr>
        <w:pStyle w:val="FootnoteText"/>
        <w:rPr>
          <w:rFonts w:asciiTheme="minorHAnsi" w:hAnsiTheme="minorHAnsi" w:cstheme="minorHAnsi"/>
        </w:rPr>
      </w:pPr>
      <w:r>
        <w:rPr>
          <w:rStyle w:val="FootnoteReference"/>
          <w:rFonts w:cstheme="minorHAnsi"/>
        </w:rPr>
        <w:footnoteRef/>
      </w:r>
      <w:r>
        <w:t xml:space="preserve"> Lielākai noteiktībai — jo īpaši šīs nodaļas nolūkos jēdziens “persona” ietver jebkuru tādu personu apvienību</w:t>
      </w:r>
      <w:r>
        <w:t>, kam nav juridiskas personas statusa, bet kas saskaņā ar piemērojamiem tiesību aktiem ir atzīta par tiesīgu veikt juridiskas darbības.</w:t>
      </w:r>
    </w:p>
  </w:footnote>
  <w:footnote w:id="6">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color w:val="000000" w:themeColor="text1"/>
          <w:sz w:val="20"/>
          <w:szCs w:val="20"/>
        </w:rPr>
        <w:footnoteRef/>
      </w:r>
      <w:r>
        <w:rPr>
          <w:rFonts w:asciiTheme="minorHAnsi" w:hAnsiTheme="minorHAnsi"/>
          <w:color w:val="000000" w:themeColor="text1"/>
          <w:sz w:val="20"/>
          <w:szCs w:val="20"/>
        </w:rPr>
        <w:t xml:space="preserve"> </w:t>
      </w:r>
      <w:r>
        <w:tab/>
      </w:r>
      <w:r>
        <w:rPr>
          <w:rFonts w:asciiTheme="minorHAnsi" w:hAnsiTheme="minorHAnsi"/>
          <w:color w:val="000000" w:themeColor="text1"/>
          <w:sz w:val="20"/>
          <w:szCs w:val="20"/>
        </w:rPr>
        <w:t>Gaisa pārvadājumu pakalpojumi vai saistīti pakalpojumi gaisa pārvadājumu pakalpojumu atbalstam cita starpā ietver šād</w:t>
      </w:r>
      <w:r>
        <w:rPr>
          <w:rFonts w:asciiTheme="minorHAnsi" w:hAnsiTheme="minorHAnsi"/>
          <w:color w:val="000000" w:themeColor="text1"/>
          <w:sz w:val="20"/>
          <w:szCs w:val="20"/>
        </w:rPr>
        <w:t xml:space="preserve">us pakalpojumus: gaisa transportu; </w:t>
      </w:r>
      <w:r>
        <w:t xml:space="preserve">pakalpojumus, kuros izmanto gaisa kuģi, kā galvenais mērķis nav preču vai pasažieru pārvadāšana, piemēram, mācību lidojumiem ugunsgrēka dzēšanai no gaisa, ievērojamu vietu apskatei no gaisa, apsmidzināšanai, mērniecībai, </w:t>
      </w:r>
      <w:r>
        <w:t>kartēšanai, fotografēšanai, lēkšanai ar izpletni, planiera vilkšanai, helikoptera izmantošanai mežizstrādes un celtniecības nozarē un citiem gaisā veiktiem pakalpojumiem lauksaimniecības, rūpniecības un inspicēšanas vajadzībām;</w:t>
      </w:r>
      <w:r>
        <w:rPr>
          <w:rFonts w:asciiTheme="minorHAnsi" w:hAnsiTheme="minorHAnsi"/>
          <w:color w:val="000000" w:themeColor="text1"/>
          <w:sz w:val="20"/>
          <w:szCs w:val="20"/>
        </w:rPr>
        <w:t xml:space="preserve"> gaisa kuģu ar apkalpi nomu u</w:t>
      </w:r>
      <w:r>
        <w:rPr>
          <w:rFonts w:asciiTheme="minorHAnsi" w:hAnsiTheme="minorHAnsi"/>
          <w:color w:val="000000" w:themeColor="text1"/>
          <w:sz w:val="20"/>
          <w:szCs w:val="20"/>
        </w:rPr>
        <w:t xml:space="preserve">n lidostu ekspluatācijas pakalpojumus. </w:t>
      </w:r>
    </w:p>
  </w:footnote>
  <w:footnote w:id="7">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Iekšzemes jūras kabotāža aptver: attiecībā uz Savienību – neskarot to pasākumu darbības jomu, kurus var uzskatīt par kabotāžu saskaņā ar attiecīgās valsts tiesību aktiem, pasažieru vai preču pārvadājumus starp dal</w:t>
      </w:r>
      <w:r>
        <w:rPr>
          <w:rFonts w:asciiTheme="minorHAnsi" w:hAnsiTheme="minorHAnsi"/>
          <w:sz w:val="20"/>
          <w:szCs w:val="20"/>
        </w:rPr>
        <w:t>ībvalsts ostu vai vietu un citu ostu vai vietu, kas atrodas tajā pašā dalībvalstī, ieskaitot tās kontinentālo šelfu, kā noteikts Apvienoto Nāciju Organizācijas Jūras tiesību konvencijā, kura pieņemta Montegobejā (Jamaika) 1982. gada 10. decembrī, un satiks</w:t>
      </w:r>
      <w:r>
        <w:rPr>
          <w:rFonts w:asciiTheme="minorHAnsi" w:hAnsiTheme="minorHAnsi"/>
          <w:sz w:val="20"/>
          <w:szCs w:val="20"/>
        </w:rPr>
        <w:t>mi, kas sākas un beidzas vienā un tajā pašā ostā vai vietā, kura atrodas dalībvalstī; attiecībā uz Apvienoto Karalisti – pasažieru vai preču pārvadājumus starp Apvienotās Karalistes ostu vai vietu un citu Apvienotās Karalistes ostu vai vietu, ieskaitot tās</w:t>
      </w:r>
      <w:r>
        <w:rPr>
          <w:rFonts w:asciiTheme="minorHAnsi" w:hAnsiTheme="minorHAnsi"/>
          <w:sz w:val="20"/>
          <w:szCs w:val="20"/>
        </w:rPr>
        <w:t xml:space="preserve"> kontinentālo šelfu, kā noteikts Apvienoto Nāciju Organizācijas Jūras tiesību konvencijā, kura pieņemta Montegobejā (Jamaika) 1982. gada 10. decembrī, un satiksmi, kas sākas un beidzas vienā un tajā pašā ostā vai vietā, kura atrodas Apvienotajā Karalistē.</w:t>
      </w:r>
    </w:p>
  </w:footnote>
  <w:footnote w:id="8">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 jēdziens “darbības, ko veic, īstenojot valsts pilnvaras”, ja to lieto saistībā ar Puses pasākumiem, kuri skar pakalpojumu sniegšanu, ietver “pakalpojum[u]s, ko sniedz, īstenojot valsts pilnvaras”, kā definēts SERVIN.1.2. panta [De</w:t>
      </w:r>
      <w:r>
        <w:rPr>
          <w:rFonts w:asciiTheme="minorHAnsi" w:hAnsiTheme="minorHAnsi"/>
          <w:sz w:val="20"/>
          <w:szCs w:val="20"/>
        </w:rPr>
        <w:t>finīcijas] p) punktā.</w:t>
      </w:r>
    </w:p>
  </w:footnote>
  <w:footnote w:id="9">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Lielākai noteiktībai – šajā punktā minētās kuģošanas sabiedrības uzskata par Puses juridiskajām personām tikai saistībā ar to darbībām, kas saistītas ar jūras pārvadājumu pakalpojumu sniegšanu. </w:t>
      </w:r>
    </w:p>
  </w:footnote>
  <w:footnote w:id="10">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SERVIN.2.2. panta [Piekļuve tirgu</w:t>
      </w:r>
      <w:r>
        <w:rPr>
          <w:rFonts w:asciiTheme="minorHAnsi" w:hAnsiTheme="minorHAnsi"/>
          <w:sz w:val="20"/>
          <w:szCs w:val="20"/>
        </w:rPr>
        <w:t>m] a) punkta i)–iii) apakšpunkts neattiecas uz pasākumiem, ko veic, lai ierobežotu kāda lauksaimniecības vai zivsaimniecības produkta ražošanu. </w:t>
      </w:r>
    </w:p>
  </w:footnote>
  <w:footnote w:id="11">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SERVIN.2.2. panta [Piekļuve tirgum] a) punkta iii) apakšpunkts neattiecas uz Puses pasākumiem, kas ierobežo </w:t>
      </w:r>
      <w:r>
        <w:rPr>
          <w:rFonts w:asciiTheme="minorHAnsi" w:hAnsiTheme="minorHAnsi"/>
          <w:sz w:val="20"/>
          <w:szCs w:val="20"/>
        </w:rPr>
        <w:t>pakalpojumu sniegšanas sākotnējo ielaidi.</w:t>
      </w:r>
    </w:p>
  </w:footnote>
  <w:footnote w:id="12">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 SERVIN.2.6. panta [Veiktspējas prasības] 1. punkta f) apakšpunkts neskar DIGIT.12. panta [Pirmkoda nodošana vai piekļuve tam] noteikumus.</w:t>
      </w:r>
    </w:p>
  </w:footnote>
  <w:footnote w:id="13">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SERVIN.3.2. panta [Piekļuve tirgum] a) punkta </w:t>
      </w:r>
      <w:r>
        <w:rPr>
          <w:rFonts w:asciiTheme="minorHAnsi" w:hAnsiTheme="minorHAnsi"/>
          <w:sz w:val="20"/>
          <w:szCs w:val="20"/>
        </w:rPr>
        <w:t>iii) apakšpunkts neattiecas uz Puses pasākumiem, kas ierobežo pakalpojumu sniegšanas sākotnējo ielaidi.</w:t>
      </w:r>
    </w:p>
  </w:footnote>
  <w:footnote w:id="14">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Ja grāds vai kvalifikācija nav iegūta Pusē, kur tiek sniegti pakalpojumi, minētā Puse var izvērtēt, vai tas atbilst akadēmiskajam grādam, kas tiek pr</w:t>
      </w:r>
      <w:r>
        <w:rPr>
          <w:rFonts w:asciiTheme="minorHAnsi" w:hAnsiTheme="minorHAnsi"/>
          <w:sz w:val="20"/>
          <w:szCs w:val="20"/>
        </w:rPr>
        <w:t xml:space="preserve">asīts tās teritorijā.  </w:t>
      </w:r>
    </w:p>
  </w:footnote>
  <w:footnote w:id="15">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Ja grāds vai kvalifikācija nav iegūta Pusē, kur tiek sniegti pakalpojumi, minētā Puse var izvērtēt, vai tas atbilst akadēmiskajam grādam, kas tiek prasīts tās teritorijā.</w:t>
      </w:r>
    </w:p>
  </w:footnote>
  <w:footnote w:id="16">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Vadītājiem un speciālistiem var pieprasīt, lai viņi pie</w:t>
      </w:r>
      <w:r>
        <w:rPr>
          <w:rFonts w:asciiTheme="minorHAnsi" w:hAnsiTheme="minorHAnsi"/>
          <w:sz w:val="20"/>
          <w:szCs w:val="20"/>
        </w:rPr>
        <w:t>rāda, ka viņiem ir profesionālā kvalifikācija un pieredze, kas vajadzīga juridiskajā personā, uz kuru viņi tiek pārcelti.</w:t>
      </w:r>
    </w:p>
  </w:footnote>
  <w:footnote w:id="17">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Lai gan vadītāji tieši neveic ar pakalpojumu faktisku sniegšanu saistītus uzdevumus, tas neliedz viņiem, pildot tiešos pienākums, v</w:t>
      </w:r>
      <w:r>
        <w:rPr>
          <w:rFonts w:asciiTheme="minorHAnsi" w:hAnsiTheme="minorHAnsi"/>
          <w:sz w:val="20"/>
          <w:szCs w:val="20"/>
        </w:rPr>
        <w:t>eikt uzdevumus, kā tas aprakstīts iepriekš, kas var būt nepieciešami pakalpojumu sniegšanai.</w:t>
      </w:r>
    </w:p>
  </w:footnote>
  <w:footnote w:id="18">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Uzņemošajam uzņēmumam var uzlikt pienākumu iepriekšējai apstiprināšanai iesniegt mācību programmu, kurā aptverts uzturēšanās laiks un parādīts, ka uzturēšanās n</w:t>
      </w:r>
      <w:r>
        <w:rPr>
          <w:rFonts w:asciiTheme="minorHAnsi" w:hAnsiTheme="minorHAnsi"/>
          <w:sz w:val="20"/>
          <w:szCs w:val="20"/>
        </w:rPr>
        <w:t>olūks ir mācības. AT, CZ, DE, FR, ES, HU un LT: mācībām jābūt saistītām ar saņemto akadēmisko grādu.</w:t>
      </w:r>
    </w:p>
  </w:footnote>
  <w:footnote w:id="19">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Lai līdzsvarotu resursu ierobežojumus ar iespējamo slogu uzņēmumiem, gadījumos, kad tas ir pamatoti, kompetentās iestādes var pieprasīt, lai visa inform</w:t>
      </w:r>
      <w:r>
        <w:rPr>
          <w:rFonts w:asciiTheme="minorHAnsi" w:hAnsiTheme="minorHAnsi"/>
          <w:sz w:val="20"/>
          <w:szCs w:val="20"/>
        </w:rPr>
        <w:t>ācija tiktu iesniegta noteiktā formātā, lai to varētu uzskatīt par “pilnīgu apstrādes nolūkiem”.</w:t>
      </w:r>
    </w:p>
  </w:footnote>
  <w:footnote w:id="20">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Kompetentās iestādes var ii) apakšpunktā izklāstīto prasību izpildīt, iepriekš rakstiski informējot pieteikuma iesniedzēju, t. sk. ar publicētu pasākumu, </w:t>
      </w:r>
      <w:r>
        <w:rPr>
          <w:rFonts w:asciiTheme="minorHAnsi" w:hAnsiTheme="minorHAnsi"/>
          <w:sz w:val="20"/>
          <w:szCs w:val="20"/>
        </w:rPr>
        <w:t>par to, ka atbildes nesniegšana konkrētā termiņā no pieteikuma iesniegšanas dienas liecina par pieteikuma pieņemšanu. Atsauce uz “rakstiski” būtu jāsaprot kā tāda, kas ietver arī elektronisko formātu.</w:t>
      </w:r>
    </w:p>
  </w:footnote>
  <w:footnote w:id="21">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Šādai “iespēj[ai]” nav nepieciešams, ka kompetentā i</w:t>
      </w:r>
      <w:r>
        <w:rPr>
          <w:rFonts w:asciiTheme="minorHAnsi" w:hAnsiTheme="minorHAnsi"/>
          <w:sz w:val="20"/>
          <w:szCs w:val="20"/>
        </w:rPr>
        <w:t>estāde pagarina termiņus.</w:t>
      </w:r>
    </w:p>
  </w:footnote>
  <w:footnote w:id="22">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Kompetentās iestādes neatbild par kavēšanos, ko izraisījuši iemesli, kuri nav to kompetencē. </w:t>
      </w:r>
    </w:p>
  </w:footnote>
  <w:footnote w:id="23">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 šo pantu neinterpretē tā, ka Pusēm tiek liegts savā starpā apspriest un noslēgt vienu vai vairākus nolīgumu</w:t>
      </w:r>
      <w:r>
        <w:rPr>
          <w:rFonts w:asciiTheme="minorHAnsi" w:hAnsiTheme="minorHAnsi"/>
          <w:sz w:val="20"/>
          <w:szCs w:val="20"/>
        </w:rPr>
        <w:t>s par profesionālo kvalifikāciju atzīšanu, izvirzot nosacījumus un prasības, kas atšķiras no tiem, kuri paredzēti šajā pantā.</w:t>
      </w:r>
    </w:p>
  </w:footnote>
  <w:footnote w:id="24">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 šādi pasākumi nenozīmē kvalifikāciju automātisku atzīšanu, bet gan – abu Pušu savstarpējās interesēs – n</w:t>
      </w:r>
      <w:r>
        <w:rPr>
          <w:rFonts w:asciiTheme="minorHAnsi" w:hAnsiTheme="minorHAnsi"/>
          <w:sz w:val="20"/>
          <w:szCs w:val="20"/>
        </w:rPr>
        <w:t>osaka nosacījumus kompetentajām iestādēm, kas piešķir atzīšanu.</w:t>
      </w:r>
    </w:p>
  </w:footnote>
  <w:footnote w:id="25">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Pieprasīto informāciju apstrādā saskaņā ar konfidencialitātes prasībām.</w:t>
      </w:r>
    </w:p>
  </w:footnote>
  <w:footnote w:id="26">
    <w:p w:rsidR="003E022D" w:rsidRDefault="007D19D6">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Administratīvās maksas neietver maksu par tiesībām izmantot ierobežotos resursus un obligātos maksājumus par unive</w:t>
      </w:r>
      <w:r>
        <w:rPr>
          <w:rFonts w:asciiTheme="minorHAnsi" w:hAnsiTheme="minorHAnsi"/>
          <w:sz w:val="20"/>
          <w:szCs w:val="20"/>
        </w:rPr>
        <w:t>rsālā pakalpojuma sniegšanu.</w:t>
      </w:r>
    </w:p>
  </w:footnote>
  <w:footnote w:id="27">
    <w:p w:rsidR="003E022D" w:rsidRDefault="007D19D6">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Šajā pantā “nediskriminējoši” nozīmē lielākās labvēlības režīmu un valsts režīmu, kas definēts SERVIN.2.3. pantā [Valsts režīms], SERVIN.3.3. pantā [Klātbūtne uz vietas], SERVIN.2.4. pantā [Lielākās labvēlības režīms] un SER</w:t>
      </w:r>
      <w:r>
        <w:rPr>
          <w:rFonts w:asciiTheme="minorHAnsi" w:hAnsiTheme="minorHAnsi"/>
          <w:sz w:val="20"/>
          <w:szCs w:val="20"/>
        </w:rPr>
        <w:t>VIN.3.4. pantā [Valsts režīms], kā arī saskaņā ar noteikumiem, kas nav mazāk labvēlīgi par tiem, kādus līdzīgās situācijās piešķir jebkuram citam līdzīgu publisko telesakaru tīklu vai pakalpojumu lietotājam.</w:t>
      </w:r>
    </w:p>
  </w:footnote>
  <w:footnote w:id="28">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Šis pants neattiecas uz viesabonēšanas </w:t>
      </w:r>
      <w:r>
        <w:rPr>
          <w:rFonts w:asciiTheme="minorHAnsi" w:hAnsiTheme="minorHAnsi"/>
          <w:sz w:val="20"/>
          <w:szCs w:val="20"/>
        </w:rPr>
        <w:t>pakalpojumiem Eiropas Savienības iekšienē, kas ir komerciāli mobilo sakaru pakalpojumi atbilstoši tirdzniecības līgumam starp publisko telesakaru pakalpojumu sniedzējiem, kuri dod iespēju galalietotājam izmantot tā mītnes valsts mobilo tālruni vai citu ier</w:t>
      </w:r>
      <w:r>
        <w:rPr>
          <w:rFonts w:asciiTheme="minorHAnsi" w:hAnsiTheme="minorHAnsi"/>
          <w:sz w:val="20"/>
          <w:szCs w:val="20"/>
        </w:rPr>
        <w:t>īci balss, datu un īsziņu pakalpojumiem dalībvalstī, kas nav tā valsts, kurā atrodas galalietotāja mītnes valsts publisko telesakaru tīkls.</w:t>
      </w:r>
    </w:p>
  </w:footnote>
  <w:footnote w:id="29">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 šīs izmaiņas attiecībā uz SERVIN.1.2. panta [Definīcijas] o) punktā noteiktajiem “pakalpoj</w:t>
      </w:r>
      <w:r>
        <w:rPr>
          <w:rFonts w:asciiTheme="minorHAnsi" w:hAnsiTheme="minorHAnsi"/>
          <w:sz w:val="20"/>
          <w:szCs w:val="20"/>
        </w:rPr>
        <w:t>umi[em], ko sniedz, īstenojot valsts pilnvaras” piemēro tāpat, kā tās piemēro SERVIN.1.2. panta [Definīcijas] f) punktā noteiktajām “darbīb[ām], ko veic, īstenojot valsts pilnvaras”.</w:t>
      </w:r>
    </w:p>
  </w:footnote>
  <w:footnote w:id="30">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Lielākai noteiktībai – tas neliedz kādai Pusei piesardzības apsvērumu </w:t>
      </w:r>
      <w:r>
        <w:rPr>
          <w:rFonts w:asciiTheme="minorHAnsi" w:hAnsiTheme="minorHAnsi"/>
          <w:sz w:val="20"/>
          <w:szCs w:val="20"/>
        </w:rPr>
        <w:t>dēļ pieņemt vai paturēt spēkā pasākumus saistībā ar filiālēm, ko tās teritorijā izveidojušas otras Puses juridiskas personas.</w:t>
      </w:r>
    </w:p>
  </w:footnote>
  <w:footnote w:id="31">
    <w:p w:rsidR="003E022D" w:rsidRDefault="007D19D6">
      <w:pPr>
        <w:rPr>
          <w:rFonts w:asciiTheme="minorHAnsi" w:hAnsiTheme="minorHAnsi" w:cstheme="minorHAnsi"/>
          <w:sz w:val="20"/>
          <w:szCs w:val="20"/>
        </w:rPr>
      </w:pPr>
      <w:r>
        <w:rPr>
          <w:rStyle w:val="FootnoteReference"/>
          <w:rFonts w:cstheme="minorHAnsi"/>
          <w:sz w:val="20"/>
          <w:szCs w:val="20"/>
        </w:rPr>
        <w:footnoteRef/>
      </w:r>
      <w:r>
        <w:t xml:space="preserve"> Lielākai noteiktībai – šajā sadaļā Eiropas Savienības tiesības ir daļa no SERVIN.5.48. panta [Definīcijas] e) punkta i) apakšpun</w:t>
      </w:r>
      <w:r>
        <w:t>ktā minēto juristu piederības jurisdikcijas tiesībām.</w:t>
      </w:r>
    </w:p>
  </w:footnote>
  <w:footnote w:id="32">
    <w:p w:rsidR="003E022D" w:rsidRDefault="007D19D6">
      <w:pPr>
        <w:rPr>
          <w:rFonts w:asciiTheme="minorHAnsi" w:hAnsiTheme="minorHAnsi" w:cstheme="minorHAnsi"/>
          <w:sz w:val="20"/>
          <w:szCs w:val="20"/>
        </w:rPr>
      </w:pPr>
      <w:r>
        <w:rPr>
          <w:rStyle w:val="FootnoteReference"/>
          <w:rFonts w:cstheme="minorHAnsi"/>
          <w:sz w:val="20"/>
          <w:szCs w:val="20"/>
        </w:rPr>
        <w:footnoteRef/>
      </w:r>
      <w:r>
        <w:t xml:space="preserve"> </w:t>
      </w:r>
      <w:r>
        <w:rPr>
          <w:rFonts w:asciiTheme="minorHAnsi" w:hAnsiTheme="minorHAnsi"/>
          <w:sz w:val="20"/>
          <w:szCs w:val="20"/>
        </w:rPr>
        <w:t>“juridiskie arbitrāžas, samierināšanas un mediācijas pakalpojumi” ir tādu dokumentu sagatavošana, kas iesniedzami šķīrējtiesnesim, samierinātājam vai mediatoram, sagatavošanās ar tiesību piemērošanu u</w:t>
      </w:r>
      <w:r>
        <w:rPr>
          <w:rFonts w:asciiTheme="minorHAnsi" w:hAnsiTheme="minorHAnsi"/>
          <w:sz w:val="20"/>
          <w:szCs w:val="20"/>
        </w:rPr>
        <w:t>n interpretāciju saistīta strīda izskatīšanai un ierašanās uz šāda strīda izskatīšanu. Tas neietver arbitrāžas, samierināšanas un mediācijas pakalpojumus strīdos, kas nav saistīti ar tiesību piemērošanu un interpretāciju un kas ir pakalpojumi, kuri saistīt</w:t>
      </w:r>
      <w:r>
        <w:rPr>
          <w:rFonts w:asciiTheme="minorHAnsi" w:hAnsiTheme="minorHAnsi"/>
          <w:sz w:val="20"/>
          <w:szCs w:val="20"/>
        </w:rPr>
        <w:t>i ar vadības konsultācijām. Tas arī neietver šķīrējtiesneša, samierinātāja vai mediatora pienākumu pildīšanu. Kā apakškategorija starptautiskās juridiskās arbitrāžas, samierināšanas vai mediācijas pakalpojumi attiecas uz tiem pašiem pakalpojumiem, ja strīd</w:t>
      </w:r>
      <w:r>
        <w:rPr>
          <w:rFonts w:asciiTheme="minorHAnsi" w:hAnsiTheme="minorHAnsi"/>
          <w:sz w:val="20"/>
          <w:szCs w:val="20"/>
        </w:rPr>
        <w:t>ā ir iesaistītas puses no divām vai vairāk valstīm.</w:t>
      </w:r>
    </w:p>
  </w:footnote>
  <w:footnote w:id="33">
    <w:p w:rsidR="003E022D" w:rsidRDefault="007D19D6">
      <w:pPr>
        <w:rPr>
          <w:rFonts w:asciiTheme="minorHAnsi" w:hAnsiTheme="minorHAnsi" w:cstheme="minorHAnsi"/>
          <w:sz w:val="20"/>
          <w:szCs w:val="20"/>
        </w:rPr>
      </w:pPr>
      <w:r>
        <w:rPr>
          <w:rStyle w:val="FootnoteReference"/>
          <w:rFonts w:cstheme="minorHAnsi"/>
          <w:sz w:val="20"/>
          <w:szCs w:val="20"/>
        </w:rPr>
        <w:footnoteRef/>
      </w:r>
      <w:r>
        <w:t xml:space="preserve"> Lielākai noteiktībai — šajā punktā “izraudzīti juridiskie pakalpojumi” attiecībā uz Savienībā sniegtiem pakalpojumiem ir juridiskie pakalpojumi saistībā ar Apvienotās Karalistes vai jebkuras tās daļas t</w:t>
      </w:r>
      <w:r>
        <w:t>iesību aktiem un starptautiskajām publiskajām tiesībām (izņemot Savienības tiesības), bet attiecībā uz Apvienotajā Karalistē sniegtiem pakalpojumiem — juridiskie pakalpojumi saistībā ar dalībvalstu tiesību aktiem (ieskaitot Savienības tiesības) un starptau</w:t>
      </w:r>
      <w:r>
        <w:t>tiskajām publiskajām tiesībām (izņemot Savienības tiesības).</w:t>
      </w:r>
    </w:p>
  </w:footnote>
  <w:footnote w:id="34">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 “vispārpiemērojami noteikumi” attiecas uz objektīvi formulētiem noteikumiem, ko horizontāli piemēro nenoteiktam ekonomikas dalībnieku skaitam un kas tādējādi aptver dažā</w:t>
      </w:r>
      <w:r>
        <w:rPr>
          <w:rFonts w:asciiTheme="minorHAnsi" w:hAnsiTheme="minorHAnsi"/>
          <w:sz w:val="20"/>
          <w:szCs w:val="20"/>
        </w:rPr>
        <w:t>das situācijas un gadījumus.</w:t>
      </w:r>
    </w:p>
  </w:footnote>
  <w:footnote w:id="35">
    <w:p w:rsidR="003E022D" w:rsidRDefault="007D19D6">
      <w:pPr>
        <w:spacing w:after="60"/>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 nopietnas maksājumu bilances un ārējas finansiālas grūtības vai to draudi var rasties cita starpā no nopietnām grūtībām saistībā ar monetāro vai valūtas maiņas kursa politiku vai šādu grūtību draudiem.</w:t>
      </w:r>
    </w:p>
  </w:footnote>
  <w:footnote w:id="36">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Katra Puse saskaņā ar saviem tiesību aktiem var noteikt attiecīgo pieteikuma iesniegšanas datumu.</w:t>
      </w:r>
    </w:p>
  </w:footnote>
  <w:footnote w:id="37">
    <w:p w:rsidR="003E022D" w:rsidRDefault="007D19D6">
      <w:pPr>
        <w:rPr>
          <w:rFonts w:asciiTheme="minorHAnsi" w:hAnsiTheme="minorHAnsi" w:cstheme="minorHAnsi"/>
          <w:sz w:val="20"/>
          <w:szCs w:val="20"/>
        </w:rPr>
      </w:pPr>
      <w:r>
        <w:rPr>
          <w:rStyle w:val="FootnoteReference"/>
          <w:rFonts w:cstheme="minorHAnsi"/>
          <w:sz w:val="20"/>
          <w:szCs w:val="20"/>
        </w:rPr>
        <w:footnoteRef/>
      </w:r>
      <w:r>
        <w:t xml:space="preserve"> Šī iedaļa neattiecas uz aizsardzību, kas Apvienotajā Karalistē pazīstama kā dizainparauga tiesības.</w:t>
      </w:r>
    </w:p>
  </w:footnote>
  <w:footnote w:id="38">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Šajā sadaļā terminu “augu aizsardzības līdzeklis”</w:t>
      </w:r>
      <w:r>
        <w:rPr>
          <w:rFonts w:asciiTheme="minorHAnsi" w:hAnsiTheme="minorHAnsi"/>
          <w:sz w:val="20"/>
          <w:szCs w:val="20"/>
        </w:rPr>
        <w:t xml:space="preserve"> attiecībā uz katru Pusi definē Pušu attiecīgie tiesību akti.</w:t>
      </w:r>
    </w:p>
  </w:footnote>
  <w:footnote w:id="39">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ciktāl to pieļauj Puses tiesību akti, termins “federācijas un apvienības” ietver vismaz intelektuālā īpašuma tiesību kolektīvā pārvaldījuma struktūras un profesionālās a</w:t>
      </w:r>
      <w:r>
        <w:rPr>
          <w:rFonts w:asciiTheme="minorHAnsi" w:hAnsiTheme="minorHAnsi"/>
          <w:sz w:val="20"/>
          <w:szCs w:val="20"/>
        </w:rPr>
        <w:t>izsardzības struktūras, kuras tiek regulāri atzītas par tādām, kam ir tiesības pārstāvēt intelektuālā īpašuma tiesību subjektus.</w:t>
      </w:r>
    </w:p>
  </w:footnote>
  <w:footnote w:id="40">
    <w:p w:rsidR="003E022D" w:rsidRDefault="007D19D6">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Eiropas Savienībai kompetentā iestāde nozīmē muitas dienestus.</w:t>
      </w:r>
    </w:p>
  </w:footnote>
  <w:footnote w:id="41">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 uz šajā pantā paredzētā valsts režī</w:t>
      </w:r>
      <w:r>
        <w:rPr>
          <w:rFonts w:asciiTheme="minorHAnsi" w:hAnsiTheme="minorHAnsi"/>
          <w:sz w:val="20"/>
          <w:szCs w:val="20"/>
        </w:rPr>
        <w:t>ma pienākuma piemērošanu attiecas izņēmumi, kas minēti PPROC-1. pielikuma [Publiskais iepirkums] B1 un B2 apakšiedaļas 3. piezīmē.</w:t>
      </w:r>
    </w:p>
  </w:footnote>
  <w:footnote w:id="42">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color w:val="444444"/>
          <w:sz w:val="20"/>
          <w:szCs w:val="20"/>
          <w:shd w:val="clear" w:color="auto" w:fill="FFFFFF"/>
        </w:rPr>
        <w:t>OV L 158, 14.6.2019., 22. lpp.</w:t>
      </w:r>
    </w:p>
  </w:footnote>
  <w:footnote w:id="43">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Eiropas Parlamenta un Padomes Regula (ES) 2019/943 (2019. gada 5. jūnijs) par elektroene</w:t>
      </w:r>
      <w:r>
        <w:rPr>
          <w:rFonts w:asciiTheme="minorHAnsi" w:hAnsiTheme="minorHAnsi"/>
          <w:sz w:val="20"/>
          <w:szCs w:val="20"/>
        </w:rPr>
        <w:t>rģijas iekšējo tirgu (OV L 158, 14.6.2019., 54. lpp.).</w:t>
      </w:r>
    </w:p>
  </w:footnote>
  <w:footnote w:id="44">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Eiropas Parlamenta un Padomes Direktīva 2009/73/EK (2009. gada 13. jūlijs) par kopīgiem noteikumiem attiecībā uz dabasgāzes iekšējo tirgu (OV L 211, 14.8.2009., 94. lpp.).</w:t>
      </w:r>
    </w:p>
  </w:footnote>
  <w:footnote w:id="45">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Komisijas Regula (ES) N</w:t>
      </w:r>
      <w:r>
        <w:rPr>
          <w:rFonts w:asciiTheme="minorHAnsi" w:hAnsiTheme="minorHAnsi"/>
          <w:sz w:val="20"/>
          <w:szCs w:val="20"/>
        </w:rPr>
        <w:t>r. 838/2010 (2010. gada 23. septembris), ar ko nosaka pamatnostādnes par pārvades sistēmu operatoru savstarpējo kompensāciju mehānismu un kopējo regulatīvo pieeju pārvades maksu noteikšanai (OV L 250, 24.9.2010., 5. lpp.).</w:t>
      </w:r>
    </w:p>
  </w:footnote>
  <w:footnote w:id="46">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Eiropas Parlamenta un Padomes </w:t>
      </w:r>
      <w:r>
        <w:rPr>
          <w:rFonts w:asciiTheme="minorHAnsi" w:hAnsiTheme="minorHAnsi"/>
          <w:sz w:val="20"/>
          <w:szCs w:val="20"/>
        </w:rPr>
        <w:t>Regula (EK) Nr. 715/2009 (2009. gada 13. jūlijs) par nosacījumiem attiecībā uz piekļuvi dabasgāzes pārvades tīkliem un par Regulas (EK) Nr. 1775/2005 atcelšanu (</w:t>
      </w:r>
      <w:r>
        <w:rPr>
          <w:rFonts w:asciiTheme="minorHAnsi" w:hAnsiTheme="minorHAnsi"/>
          <w:sz w:val="20"/>
          <w:szCs w:val="20"/>
          <w:shd w:val="clear" w:color="auto" w:fill="FFFFFF"/>
        </w:rPr>
        <w:t>OV L 211, 14.8.2009., 36. lpp.</w:t>
      </w:r>
      <w:r>
        <w:rPr>
          <w:rFonts w:asciiTheme="minorHAnsi" w:hAnsiTheme="minorHAnsi"/>
          <w:sz w:val="20"/>
          <w:szCs w:val="20"/>
        </w:rPr>
        <w:t>).</w:t>
      </w:r>
    </w:p>
  </w:footnote>
  <w:footnote w:id="47">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Eiropas Parlamenta un Padomes Direktīva (ES) 2018/2001 </w:t>
      </w:r>
      <w:r>
        <w:rPr>
          <w:rFonts w:asciiTheme="minorHAnsi" w:hAnsiTheme="minorHAnsi"/>
          <w:sz w:val="20"/>
          <w:szCs w:val="20"/>
        </w:rPr>
        <w:t>(2018. gada 11. decembris) par no atjaunojamajiem energoresursiem iegūtas enerģijas izmantošanas veicināšanu (</w:t>
      </w:r>
      <w:r>
        <w:rPr>
          <w:rFonts w:asciiTheme="minorHAnsi" w:hAnsiTheme="minorHAnsi"/>
          <w:sz w:val="20"/>
          <w:szCs w:val="20"/>
          <w:shd w:val="clear" w:color="auto" w:fill="FFFFFF"/>
        </w:rPr>
        <w:t>OV L 328, 21.12.2018., 82. lpp.).</w:t>
      </w:r>
    </w:p>
  </w:footnote>
  <w:footnote w:id="48">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Eiropas Parlamenta un Padomes Direktīva 2012/27/ES (2012. gada 25. oktobris) par energoefektivitāti (</w:t>
      </w:r>
      <w:r>
        <w:rPr>
          <w:rFonts w:asciiTheme="minorHAnsi" w:hAnsiTheme="minorHAnsi"/>
          <w:sz w:val="20"/>
          <w:szCs w:val="20"/>
          <w:shd w:val="clear" w:color="auto" w:fill="FFFFFF"/>
        </w:rPr>
        <w:t>OV L 315</w:t>
      </w:r>
      <w:r>
        <w:rPr>
          <w:rFonts w:asciiTheme="minorHAnsi" w:hAnsiTheme="minorHAnsi"/>
          <w:sz w:val="20"/>
          <w:szCs w:val="20"/>
          <w:shd w:val="clear" w:color="auto" w:fill="FFFFFF"/>
        </w:rPr>
        <w:t>, 14.11.2012., 1. lpp.).</w:t>
      </w:r>
    </w:p>
  </w:footnote>
  <w:footnote w:id="49">
    <w:p w:rsidR="003E022D" w:rsidRDefault="007D19D6">
      <w:pPr>
        <w:tabs>
          <w:tab w:val="left" w:pos="284"/>
        </w:tabs>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Savienības gadījumā šādi principi ietver piesardzības principu.</w:t>
      </w:r>
    </w:p>
  </w:footnote>
  <w:footnote w:id="50">
    <w:p w:rsidR="003E022D" w:rsidRDefault="007D19D6">
      <w:pPr>
        <w:spacing w:after="120"/>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Attiecībā uz Apvienoto Karalisti — “mazie un vidējie uzņēmumi” ir mazie un mikrouzņēmumi.</w:t>
      </w:r>
    </w:p>
  </w:footnote>
  <w:footnote w:id="51">
    <w:p w:rsidR="003E022D" w:rsidRDefault="007D19D6">
      <w:pPr>
        <w:tabs>
          <w:tab w:val="left" w:pos="284"/>
        </w:tabs>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Apvienotās Karalistes gadījumā ar nozīmīgiem regulatīviem pasākumiem </w:t>
      </w:r>
      <w:r>
        <w:rPr>
          <w:rFonts w:asciiTheme="minorHAnsi" w:hAnsiTheme="minorHAnsi"/>
          <w:sz w:val="20"/>
          <w:szCs w:val="20"/>
        </w:rPr>
        <w:t xml:space="preserve">saprot svarīgus regulatīvos pasākumus atbilstīgi šo pasākumu definīcijai Apvienotās Karalistes noteikumos un procedūrās. </w:t>
      </w:r>
    </w:p>
  </w:footnote>
  <w:footnote w:id="52">
    <w:p w:rsidR="003E022D" w:rsidRDefault="007D19D6">
      <w:pPr>
        <w:pStyle w:val="FootnoteText"/>
        <w:rPr>
          <w:rFonts w:asciiTheme="minorHAnsi" w:eastAsia="Times New Roman" w:hAnsiTheme="minorHAnsi" w:cstheme="minorHAnsi"/>
        </w:rPr>
      </w:pPr>
      <w:r>
        <w:rPr>
          <w:rStyle w:val="FootnoteReference"/>
          <w:rFonts w:cstheme="minorHAnsi"/>
        </w:rPr>
        <w:footnoteRef/>
      </w:r>
      <w:r>
        <w:t xml:space="preserve"> Lielākai noteiktībai – saistībā ar šā nolīguma īstenošanu Savienības teritorijā piesardzības pieeja attiecas uz piesardzības princip</w:t>
      </w:r>
      <w:r>
        <w:t>u.</w:t>
      </w:r>
    </w:p>
  </w:footnote>
  <w:footnote w:id="53">
    <w:p w:rsidR="003E022D" w:rsidRDefault="007D19D6">
      <w:pPr>
        <w:pStyle w:val="FootnoteText"/>
        <w:widowControl w:val="0"/>
        <w:spacing w:after="60"/>
        <w:ind w:left="567" w:hanging="567"/>
        <w:rPr>
          <w:rStyle w:val="FootnoteReference"/>
          <w:rFonts w:cstheme="minorHAnsi"/>
        </w:rPr>
      </w:pPr>
      <w:r>
        <w:rPr>
          <w:rStyle w:val="FootnoteReference"/>
          <w:rFonts w:cstheme="minorHAnsi"/>
        </w:rPr>
        <w:footnoteRef/>
      </w:r>
      <w:r>
        <w:rPr>
          <w:rStyle w:val="FootnoteReference"/>
        </w:rPr>
        <w:t xml:space="preserve"> </w:t>
      </w:r>
      <w:r>
        <w:t>Šajā nolūkā diskriminācija nozīmē, ka attieksme pret ekonomikas dalībnieku ir mazāk labvēlīga nekā pret citiem līdzīgās situācijās un ka šī atšķirīgā attieksme nav pamatota ar objektīviem kritērijiem.</w:t>
      </w:r>
    </w:p>
  </w:footnote>
  <w:footnote w:id="54">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Lielākai noteiktībai – šis standarts ir izpildīts</w:t>
      </w:r>
      <w:r>
        <w:rPr>
          <w:rFonts w:asciiTheme="minorHAnsi" w:hAnsiTheme="minorHAnsi"/>
        </w:rPr>
        <w:t>, ja fakti liecina, ka subsīdijas piešķiršana, nebūdama juridiski atkarīga no eksporta rezultātiem, faktiski ir saistīta ar faktisko vai paredzamo eksportu vai eksporta ieņēmumiem. Fakts, ka subsīdiju piešķir ekonomikas dalībniekiem, kas nodarbojas ar eksp</w:t>
      </w:r>
      <w:r>
        <w:rPr>
          <w:rFonts w:asciiTheme="minorHAnsi" w:hAnsiTheme="minorHAnsi"/>
        </w:rPr>
        <w:t>ortu, viens pats par sevi nenozīmē, ka tā ir eksporta subsīdiju šā noteikuma nozīmē.</w:t>
      </w:r>
    </w:p>
  </w:footnote>
  <w:footnote w:id="55">
    <w:p w:rsidR="003E022D" w:rsidRDefault="007D19D6">
      <w:pPr>
        <w:pStyle w:val="FootnoteText"/>
        <w:rPr>
          <w:rFonts w:asciiTheme="minorHAnsi" w:eastAsia="Times New Roman" w:hAnsiTheme="minorHAnsi" w:cstheme="minorHAnsi"/>
        </w:rPr>
      </w:pPr>
      <w:r>
        <w:rPr>
          <w:rStyle w:val="FootnoteReference"/>
          <w:rFonts w:cstheme="minorHAnsi"/>
        </w:rPr>
        <w:footnoteRef/>
      </w:r>
      <w:r>
        <w:rPr>
          <w:rFonts w:asciiTheme="minorHAnsi" w:hAnsiTheme="minorHAnsi"/>
        </w:rPr>
        <w:t>Nododamā riska valstis ir Apvienotā Karaliste, Savienības dalībvalstis, Austrālija, Kanāda, Islande, Japāna, Jaunzēlande, Norvēģija, Šveice un Amerikas Savienotās Valstis</w:t>
      </w:r>
      <w:r>
        <w:rPr>
          <w:rFonts w:asciiTheme="minorHAnsi" w:hAnsiTheme="minorHAnsi"/>
        </w:rPr>
        <w:t>.</w:t>
      </w:r>
    </w:p>
  </w:footnote>
  <w:footnote w:id="56">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Lielākai noteiktībai – tas neskar 3.2. panta [Piemērošanas joma un izņēmumi] 1. un 2. punktu.</w:t>
      </w:r>
    </w:p>
  </w:footnote>
  <w:footnote w:id="57">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Lielākai noteiktībai – Apvienotās Karalistes tiesību akti šajā pantā neietver tiesību aktus, kas [i] ir spēkā saskaņā ar 1972. gada Eiropas Kopienu likuma 2. </w:t>
      </w:r>
      <w:r>
        <w:rPr>
          <w:rFonts w:asciiTheme="minorHAnsi" w:hAnsiTheme="minorHAnsi"/>
        </w:rPr>
        <w:t>panta 1. punktu, kā tas ir saglabāts 2018. gada Eiropas Savienības (izstāšanās) likuma 1.A pantā, vai kas [ii] pieņemti saskaņā ar 1972. gada Eiropas Kopienu likuma 2. panta 2. punktu vai tajā noteiktajiem mērķiem.</w:t>
      </w:r>
    </w:p>
  </w:footnote>
  <w:footnote w:id="58">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Attiecībā uz Apvienoto Karalisti šis pan</w:t>
      </w:r>
      <w:r>
        <w:rPr>
          <w:rFonts w:asciiTheme="minorHAnsi" w:hAnsiTheme="minorHAnsi"/>
        </w:rPr>
        <w:t>ts paredz jaunu atgūšanas tiesiskās aizsardzības līdzekli, kas būtu pieejams pēc sekmīgas pārskatīšanas tiesā saskaņā ar pārskatīšanas standartu valsts tiesību aktos un kuru uzsāk noteiktā termiņā; Saskaņā ar 3.10. panta [Tiesas] 3. punktu šādu pārskatīšan</w:t>
      </w:r>
      <w:r>
        <w:rPr>
          <w:rFonts w:asciiTheme="minorHAnsi" w:hAnsiTheme="minorHAnsi"/>
        </w:rPr>
        <w:t>u citādi nepaplašina. Nevienam labuma guvējam nevajadzētu būt iespējai celt leģitīmus iebildumus pret šādu atgūšanu.</w:t>
      </w:r>
    </w:p>
  </w:footnote>
  <w:footnote w:id="59">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Puses ņem vērā, ka Apvienotā Karaliste pēc šā nolīguma stāšanās spēkā ieviesīs jaunu subsīdiju kontroles sistēmu.</w:t>
      </w:r>
    </w:p>
  </w:footnote>
  <w:footnote w:id="60">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Iekšzemes jūras kabotā</w:t>
      </w:r>
      <w:r>
        <w:rPr>
          <w:rFonts w:asciiTheme="minorHAnsi" w:hAnsiTheme="minorHAnsi"/>
        </w:rPr>
        <w:t>ža aptver: attiecībā uz Savienību – neskarot to pasākumu darbības jomu, kurus var uzskatīt par kabotāžu saskaņā ar attiecīgās valsts tiesību aktiem, pasažieru vai preču pārvadājumus starp Savienības dalībvalsts ostu vai vietu un citu ostu vai vietu, kas at</w:t>
      </w:r>
      <w:r>
        <w:rPr>
          <w:rFonts w:asciiTheme="minorHAnsi" w:hAnsiTheme="minorHAnsi"/>
        </w:rPr>
        <w:t>rodas tajā pašā Savienības dalībvalstī, ieskaitot tās kontinentālo šelfu, kā noteikts Apvienoto Nāciju Organizācijas Jūras tiesību konvencijā, kura pieņemta Montegobejā 1982. gada 10. decembrī (“Apvienoto Nāciju Organizācijas Jūras tiesību konvencija”), un</w:t>
      </w:r>
      <w:r>
        <w:rPr>
          <w:rFonts w:asciiTheme="minorHAnsi" w:hAnsiTheme="minorHAnsi"/>
        </w:rPr>
        <w:t xml:space="preserve"> satiksmi, kas sākas un beidzas vienā un tajā pašā ostā vai vietā, kura atrodas Savienības dalībvalstī; attiecībā uz Apvienoto Karalisti – pasažieru vai preču pārvadājumus starp Apvienotās Karalistes ostu vai vietu un citu Apvienotās Karalistes ostu vai vi</w:t>
      </w:r>
      <w:r>
        <w:rPr>
          <w:rFonts w:asciiTheme="minorHAnsi" w:hAnsiTheme="minorHAnsi"/>
        </w:rPr>
        <w:t>etu, ieskaitot tās kontinentālo šelfu, kā noteikts Apvienoto Nāciju Organizācijas Jūras tiesību konvencijā, un satiksmi, kas sākas un beidzas vienā un tajā pašā ostā vai vietā, kura atrodas Apvienotajā Karalistē.</w:t>
      </w:r>
    </w:p>
  </w:footnote>
  <w:footnote w:id="61">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Lielākai noteiktībai – šo punktu nepiemēr</w:t>
      </w:r>
      <w:r>
        <w:rPr>
          <w:rFonts w:asciiTheme="minorHAnsi" w:hAnsiTheme="minorHAnsi"/>
        </w:rPr>
        <w:t>o attiecībā uz kapitāldaļu, akciju vai cita veida pašu kapitāla pirkšanu vai pārdošanu, ko veic aptverta vienība, atsavinot savu līdzdalību cita uzņēmuma pašu kapitālā.</w:t>
      </w:r>
    </w:p>
  </w:footnote>
  <w:footnote w:id="62">
    <w:p w:rsidR="003E022D" w:rsidRDefault="007D19D6">
      <w:pPr>
        <w:pStyle w:val="FootnoteText"/>
        <w:rPr>
          <w:rFonts w:asciiTheme="minorHAnsi" w:hAnsiTheme="minorHAnsi" w:cstheme="minorHAnsi"/>
        </w:rPr>
      </w:pPr>
      <w:r>
        <w:rPr>
          <w:rStyle w:val="FootnoteReference"/>
          <w:rFonts w:cstheme="minorHAnsi"/>
        </w:rPr>
        <w:footnoteRef/>
      </w:r>
      <w:r>
        <w:t xml:space="preserve"> Lielākai noteiktībai — šī nodaļa un 9.4. pants [Līdzsvara atjaunošana] neattiecas uz Pušu tiesībām un standartiem saistībā ar sociālo nodrošinājumu un pensijām.</w:t>
      </w:r>
    </w:p>
  </w:footnote>
  <w:footnote w:id="63">
    <w:p w:rsidR="003E022D" w:rsidRDefault="007D19D6">
      <w:pPr>
        <w:pStyle w:val="FootnoteText"/>
        <w:rPr>
          <w:rFonts w:asciiTheme="minorHAnsi" w:hAnsiTheme="minorHAnsi" w:cstheme="minorHAnsi"/>
        </w:rPr>
      </w:pPr>
      <w:r>
        <w:rPr>
          <w:rStyle w:val="FootnoteReference"/>
          <w:rFonts w:cstheme="minorHAnsi"/>
        </w:rPr>
        <w:footnoteRef/>
      </w:r>
      <w:r>
        <w:t xml:space="preserve"> Katra Puse saglabā tiesības noteikt savas prioritātes, politiku un resursu piešķiršanu SDO k</w:t>
      </w:r>
      <w:r>
        <w:t>onvenciju un Eiropas Sociālās hartas attiecīgo noteikumu efektīvā īstenošanā veidā, kas atbilst tās starptautiskajām saistībām, tai skaitā saistībām saskaņā ar šo sadaļu.</w:t>
      </w:r>
      <w:r>
        <w:rPr>
          <w:rFonts w:asciiTheme="minorHAnsi" w:hAnsiTheme="minorHAnsi"/>
        </w:rPr>
        <w:t xml:space="preserve"> Eiropas Padome, kas izveidota 1949. gadā, 1961. gadā pieņēma Eiropas Sociālo hartu, k</w:t>
      </w:r>
      <w:r>
        <w:rPr>
          <w:rFonts w:asciiTheme="minorHAnsi" w:hAnsiTheme="minorHAnsi"/>
        </w:rPr>
        <w:t>as tika pārskatīta 1996. gadā. Visas dalībvalstis ir ratificējušas Eiropas Sociālo hartu tās sākotnējā vai pārskatītajā redakcijā. Attiecībā uz Apvienoto Karalisti – 5. punktā ietvertā atsauce uz Eiropas Sociālo hartu attiecas uz sākotnējo, 1961. gada reda</w:t>
      </w:r>
      <w:r>
        <w:rPr>
          <w:rFonts w:asciiTheme="minorHAnsi" w:hAnsiTheme="minorHAnsi"/>
        </w:rPr>
        <w:t>kciju.</w:t>
      </w:r>
    </w:p>
  </w:footnote>
  <w:footnote w:id="64">
    <w:p w:rsidR="003E022D" w:rsidRDefault="007D19D6">
      <w:pPr>
        <w:pStyle w:val="FootnoteText"/>
        <w:rPr>
          <w:rFonts w:asciiTheme="minorHAnsi" w:eastAsia="Times New Roman" w:hAnsiTheme="minorHAnsi" w:cstheme="minorHAnsi"/>
        </w:rPr>
      </w:pPr>
      <w:r>
        <w:rPr>
          <w:rStyle w:val="FootnoteReference"/>
          <w:rFonts w:cstheme="minorHAnsi"/>
        </w:rPr>
        <w:footnoteRef/>
      </w:r>
      <w:r>
        <w:t xml:space="preserve"> Lielākai noteiktībai — šajā gadījumā Pusei nav iespējas pirms tam izmantot konsultēšanos saskaņā ar INST.13. pantu [Konsultēšanās].</w:t>
      </w:r>
    </w:p>
  </w:footnote>
  <w:footnote w:id="65">
    <w:p w:rsidR="003E022D" w:rsidRDefault="007D19D6">
      <w:pPr>
        <w:pStyle w:val="FootnoteText"/>
        <w:rPr>
          <w:rFonts w:asciiTheme="minorHAnsi" w:hAnsiTheme="minorHAnsi" w:cstheme="minorHAnsi"/>
        </w:rPr>
      </w:pPr>
      <w:r>
        <w:rPr>
          <w:rStyle w:val="FootnoteReference"/>
          <w:rFonts w:cstheme="minorHAnsi"/>
        </w:rPr>
        <w:footnoteRef/>
      </w:r>
      <w:r>
        <w:t xml:space="preserve"> Šādi pasākumi attiecīgā gadījumā var ietvert līdzsvara atjaunošanas pasākumu atcelšanu vai korekciju.</w:t>
      </w:r>
    </w:p>
  </w:footnote>
  <w:footnote w:id="66">
    <w:p w:rsidR="003E022D" w:rsidRDefault="007D19D6">
      <w:pPr>
        <w:pStyle w:val="FootnoteText"/>
        <w:rPr>
          <w:rFonts w:asciiTheme="minorHAnsi" w:eastAsia="Times New Roman" w:hAnsiTheme="minorHAnsi" w:cstheme="minorHAnsi"/>
        </w:rPr>
      </w:pPr>
      <w:r>
        <w:rPr>
          <w:rStyle w:val="FootnoteReference"/>
          <w:rFonts w:cstheme="minorHAnsi"/>
        </w:rPr>
        <w:footnoteRef/>
      </w:r>
      <w:r>
        <w:t xml:space="preserve"> Saistību </w:t>
      </w:r>
      <w:r>
        <w:t>saskaņā ar INST.24. pantu [Tiesiskās aizsardzības pagaidu līdzekļi] apturēšana ir pieejama tikai tad, ja līdzsvara atjaunošanas pasākumi ir faktiski veikti.</w:t>
      </w:r>
    </w:p>
  </w:footnote>
  <w:footnote w:id="67">
    <w:p w:rsidR="003E022D" w:rsidRDefault="007D19D6">
      <w:pPr>
        <w:rPr>
          <w:rFonts w:asciiTheme="minorHAnsi" w:hAnsiTheme="minorHAnsi" w:cstheme="minorHAnsi"/>
          <w:sz w:val="20"/>
          <w:szCs w:val="20"/>
        </w:rPr>
      </w:pPr>
      <w:r>
        <w:rPr>
          <w:rStyle w:val="FootnoteReference"/>
          <w:rFonts w:eastAsiaTheme="majorEastAsia" w:cstheme="minorHAnsi"/>
          <w:sz w:val="20"/>
          <w:szCs w:val="20"/>
        </w:rPr>
        <w:footnoteRef/>
      </w:r>
      <w:r>
        <w:rPr>
          <w:rFonts w:asciiTheme="minorHAnsi" w:hAnsiTheme="minorHAnsi"/>
          <w:sz w:val="20"/>
          <w:szCs w:val="20"/>
        </w:rPr>
        <w:t xml:space="preserve"> Uz sabiedriskās drošības un sabiedriskās kārtības izņēmumiem var balstīties vienīgi tad, ja pastā</w:t>
      </w:r>
      <w:r>
        <w:rPr>
          <w:rFonts w:asciiTheme="minorHAnsi" w:hAnsiTheme="minorHAnsi"/>
          <w:sz w:val="20"/>
          <w:szCs w:val="20"/>
        </w:rPr>
        <w:t>v reāli un pietiekami nopietni draudi, kas skar sabiedrības pamatintereses.</w:t>
      </w:r>
    </w:p>
  </w:footnote>
  <w:footnote w:id="68">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Lielākai noteiktībai — šāda noteikšana neskar sestās daļas [Strīdu izšķiršana] I sadaļu.</w:t>
      </w:r>
    </w:p>
  </w:footnote>
  <w:footnote w:id="69">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Pasākumiem, kuru mērķis ir nodrošināt tiešo nodokļu taisnīgu vai iedarbīgu uzlikšanu </w:t>
      </w:r>
      <w:r>
        <w:rPr>
          <w:rFonts w:asciiTheme="minorHAnsi" w:hAnsiTheme="minorHAnsi"/>
          <w:sz w:val="20"/>
          <w:szCs w:val="20"/>
        </w:rPr>
        <w:t xml:space="preserve">vai iekasēšanu, pieskaitāmi pasākumi, kurus Puse veic atbilstīgi savai nodokļu sistēmai un kuri: </w:t>
      </w:r>
    </w:p>
    <w:p w:rsidR="003E022D" w:rsidRDefault="007D19D6">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attiecas uz pakalpojumu sniedzējiem, kuri nav rezidenti, atzīstot faktu, ka nodokļu saistības tiem tiek noteiktas attiecībā uz apliekamām vienībām, ko iegūst vai kas atrodas Puses teritorijā;  vai </w:t>
      </w:r>
    </w:p>
    <w:p w:rsidR="003E022D" w:rsidRDefault="007D19D6">
      <w:pPr>
        <w:widowControl w:val="0"/>
        <w:numPr>
          <w:ilvl w:val="0"/>
          <w:numId w:val="507"/>
        </w:numPr>
        <w:rPr>
          <w:rFonts w:asciiTheme="minorHAnsi" w:hAnsiTheme="minorHAnsi" w:cstheme="minorHAnsi"/>
          <w:sz w:val="20"/>
          <w:szCs w:val="20"/>
        </w:rPr>
      </w:pPr>
      <w:r>
        <w:rPr>
          <w:rFonts w:asciiTheme="minorHAnsi" w:hAnsiTheme="minorHAnsi"/>
          <w:sz w:val="20"/>
          <w:szCs w:val="20"/>
        </w:rPr>
        <w:t>attiecas uz nerezidentiem, lai nodrošinātu nodokļu uzlikša</w:t>
      </w:r>
      <w:r>
        <w:rPr>
          <w:rFonts w:asciiTheme="minorHAnsi" w:hAnsiTheme="minorHAnsi"/>
          <w:sz w:val="20"/>
          <w:szCs w:val="20"/>
        </w:rPr>
        <w:t xml:space="preserve">nu vai iekasēšanu Puses teritorijā;  vai </w:t>
      </w:r>
    </w:p>
    <w:p w:rsidR="003E022D" w:rsidRDefault="007D19D6">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attiecas uz nerezidentiem vai uz rezidentiem, lai nepieļautu nodokļu apiešanu vai nelikumīgu izvairīšanos no nodokļu maksāšanas, ieskaitot atbilstības panākšanas pasākumus;  vai </w:t>
      </w:r>
    </w:p>
    <w:p w:rsidR="003E022D" w:rsidRDefault="007D19D6">
      <w:pPr>
        <w:widowControl w:val="0"/>
        <w:numPr>
          <w:ilvl w:val="0"/>
          <w:numId w:val="507"/>
        </w:numPr>
        <w:rPr>
          <w:rFonts w:asciiTheme="minorHAnsi" w:hAnsiTheme="minorHAnsi" w:cstheme="minorHAnsi"/>
          <w:sz w:val="20"/>
          <w:szCs w:val="20"/>
        </w:rPr>
      </w:pPr>
      <w:r>
        <w:rPr>
          <w:rFonts w:asciiTheme="minorHAnsi" w:hAnsiTheme="minorHAnsi"/>
          <w:sz w:val="20"/>
          <w:szCs w:val="20"/>
        </w:rPr>
        <w:t>attiecas uz to pakalpojumu patērētā</w:t>
      </w:r>
      <w:r>
        <w:rPr>
          <w:rFonts w:asciiTheme="minorHAnsi" w:hAnsiTheme="minorHAnsi"/>
          <w:sz w:val="20"/>
          <w:szCs w:val="20"/>
        </w:rPr>
        <w:t xml:space="preserve">jiem, kurus sniedz otras Puses vai trešās valsts teritorijā vai no tās, lai nodrošinātu tādu nodokļu uzlikšanu vai iekasēšanu no šādiem patērētājiem, kuru izcelsme ir Puses teritorijā;  vai </w:t>
      </w:r>
    </w:p>
    <w:p w:rsidR="003E022D" w:rsidRDefault="007D19D6">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nošķir pakalpojumu sniedzējus, kas ir nodokļu maksātāji par visā </w:t>
      </w:r>
      <w:r>
        <w:rPr>
          <w:rFonts w:asciiTheme="minorHAnsi" w:hAnsiTheme="minorHAnsi"/>
          <w:sz w:val="20"/>
          <w:szCs w:val="20"/>
        </w:rPr>
        <w:t xml:space="preserve">pasaulē apliekamām vienībām, no citiem pakalpojumu sniedzējiem, atzīstot viņu nodokļu bāzes atšķirību;  vai </w:t>
      </w:r>
    </w:p>
    <w:p w:rsidR="003E022D" w:rsidRDefault="007D19D6">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nosaka, piešķir vai iedala rezidentu vai filiāļu, vai saistīto personu starpā, vai vienas personas filiāļu ienākumu, peļņu, ieņēmumus, zaudējumus, </w:t>
      </w:r>
      <w:r>
        <w:rPr>
          <w:rFonts w:asciiTheme="minorHAnsi" w:hAnsiTheme="minorHAnsi"/>
          <w:sz w:val="20"/>
          <w:szCs w:val="20"/>
        </w:rPr>
        <w:t>atskaitījumus vai kredītus, lai nodrošinātu Puses nodokļu bāzi.</w:t>
      </w:r>
    </w:p>
  </w:footnote>
  <w:footnote w:id="70">
    <w:p w:rsidR="003E022D" w:rsidRDefault="007D19D6">
      <w:pPr>
        <w:rPr>
          <w:rFonts w:asciiTheme="minorHAnsi" w:hAnsiTheme="minorHAnsi" w:cstheme="minorHAnsi"/>
          <w:sz w:val="20"/>
          <w:szCs w:val="20"/>
        </w:rPr>
      </w:pPr>
      <w:r>
        <w:rPr>
          <w:rStyle w:val="FootnoteReference"/>
          <w:rFonts w:cstheme="minorHAnsi"/>
          <w:sz w:val="20"/>
          <w:szCs w:val="20"/>
        </w:rPr>
        <w:footnoteRef/>
      </w:r>
      <w:r>
        <w:t xml:space="preserve"> </w:t>
      </w:r>
      <w:r>
        <w:rPr>
          <w:rFonts w:asciiTheme="minorHAnsi" w:hAnsiTheme="minorHAnsi"/>
          <w:sz w:val="20"/>
          <w:szCs w:val="20"/>
        </w:rPr>
        <w:t>Eiropas Parlamenta un Padomes Regula (EK) Nr. 1073/2009 (2009. gada 21. oktobris) par kopīgiem noteikumiem attiecībā uz piekļuvi starptautiskajam autobusu pārvadājumu tirgum un ar ko groza R</w:t>
      </w:r>
      <w:r>
        <w:rPr>
          <w:rFonts w:asciiTheme="minorHAnsi" w:hAnsiTheme="minorHAnsi"/>
          <w:sz w:val="20"/>
          <w:szCs w:val="20"/>
        </w:rPr>
        <w:t xml:space="preserve">egulu (EK) Nr. 561/2006 (pārstrādāta versija) (OV L 300, 14.11.2009., 88. lpp.). </w:t>
      </w:r>
    </w:p>
  </w:footnote>
  <w:footnote w:id="71">
    <w:p w:rsidR="003E022D" w:rsidRDefault="007D19D6">
      <w:pPr>
        <w:pStyle w:val="FootnoteText"/>
        <w:rPr>
          <w:rFonts w:asciiTheme="minorHAnsi" w:hAnsiTheme="minorHAnsi" w:cstheme="minorHAnsi"/>
        </w:rPr>
      </w:pPr>
      <w:r>
        <w:rPr>
          <w:rFonts w:asciiTheme="minorHAnsi" w:hAnsiTheme="minorHAnsi" w:cstheme="minorHAnsi"/>
          <w:bCs/>
          <w:vertAlign w:val="superscript"/>
        </w:rPr>
        <w:footnoteRef/>
      </w:r>
      <w:r>
        <w:rPr>
          <w:rFonts w:asciiTheme="minorHAnsi" w:hAnsiTheme="minorHAnsi"/>
          <w:vertAlign w:val="superscript"/>
        </w:rPr>
        <w:t xml:space="preserve"> </w:t>
      </w:r>
      <w:r>
        <w:tab/>
      </w:r>
      <w:r>
        <w:rPr>
          <w:rFonts w:asciiTheme="minorHAnsi" w:hAnsiTheme="minorHAnsi"/>
        </w:rPr>
        <w:t>Lielākai noteiktībai: termins “pasākums” ietver bezdarbību.</w:t>
      </w:r>
    </w:p>
  </w:footnote>
  <w:footnote w:id="72">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Tas neattiecas uz fiziskām personām, kas dzīvo FINPROV.1. panta [Teritoriālā darbības joma] 3. punktā minēta</w:t>
      </w:r>
      <w:r>
        <w:rPr>
          <w:rFonts w:asciiTheme="minorHAnsi" w:hAnsiTheme="minorHAnsi"/>
        </w:rPr>
        <w:t>jā teritorijā.</w:t>
      </w:r>
    </w:p>
  </w:footnote>
  <w:footnote w:id="73">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Fiziskas personas definīcija ietver arī personas, kuras pastāvīgi uzturas Latvijas Republikā, kuras nav Latvijas Republikas pilsoņi vai citas valsts pilsoņi, bet kuras ir tiesīgas saskaņā ar Latvijas Republikas tiesību aktiem saņemt nepil</w:t>
      </w:r>
      <w:r>
        <w:rPr>
          <w:rFonts w:asciiTheme="minorHAnsi" w:hAnsiTheme="minorHAnsi"/>
        </w:rPr>
        <w:t>soņa pasi.</w:t>
      </w:r>
    </w:p>
  </w:footnote>
  <w:footnote w:id="74">
    <w:p w:rsidR="003E022D" w:rsidRDefault="007D19D6">
      <w:pPr>
        <w:pStyle w:val="FootnoteText"/>
        <w:rPr>
          <w:rFonts w:asciiTheme="minorHAnsi" w:hAnsiTheme="minorHAnsi" w:cstheme="minorHAnsi"/>
        </w:rPr>
      </w:pPr>
      <w:r>
        <w:rPr>
          <w:rStyle w:val="FootnoteReference"/>
          <w:rFonts w:cstheme="minorHAnsi"/>
        </w:rPr>
        <w:footnoteRef/>
      </w:r>
      <w:r>
        <w:t xml:space="preserve"> Lielākai noteiktībai – “GPA” ir GPA, kas grozīts ar Protokolu, ar ko groza Nolīgumu par publisko iepirkumu, kurš parakstīts Ženēvā 2012. gada 30. martā.</w:t>
      </w:r>
    </w:p>
  </w:footnote>
  <w:footnote w:id="75">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Eiropas Parlamenta un Padomes Regula (EK) Nr. 952/2013 (2013. gada 9. oktobris), ar ko izveido Kopienas Muitas kodeksu (pārstrādātā redakcija) (ES OV L 269, 10.10.2013., 1. lpp.).</w:t>
      </w:r>
    </w:p>
  </w:footnote>
  <w:footnote w:id="76">
    <w:p w:rsidR="003E022D" w:rsidRDefault="007D19D6">
      <w:pPr>
        <w:rPr>
          <w:rFonts w:asciiTheme="minorHAnsi" w:eastAsia="Calibri" w:hAnsiTheme="minorHAnsi" w:cstheme="minorHAnsi"/>
          <w:sz w:val="20"/>
          <w:szCs w:val="20"/>
        </w:rPr>
      </w:pPr>
      <w:r>
        <w:rPr>
          <w:rStyle w:val="FootnoteReference"/>
          <w:rFonts w:cstheme="minorHAnsi"/>
          <w:sz w:val="20"/>
          <w:szCs w:val="20"/>
        </w:rPr>
        <w:footnoteRef/>
      </w:r>
      <w:r>
        <w:t xml:space="preserve"> </w:t>
      </w:r>
      <w:r>
        <w:rPr>
          <w:color w:val="000000"/>
          <w:sz w:val="20"/>
          <w:szCs w:val="20"/>
        </w:rPr>
        <w:t>Lielākai noteiktībai: attiecībā uz Eiropas Savienību teritorijas ārpus ka</w:t>
      </w:r>
      <w:r>
        <w:rPr>
          <w:color w:val="000000"/>
          <w:sz w:val="20"/>
          <w:szCs w:val="20"/>
        </w:rPr>
        <w:t>tras Puses teritoriālajiem ūdeņiem saprot kā Eiropas Savienības dalībvalstu attiecīgās teritorijas.</w:t>
      </w:r>
    </w:p>
    <w:p w:rsidR="003E022D" w:rsidRDefault="003E022D">
      <w:pPr>
        <w:pStyle w:val="FootnoteText"/>
        <w:rPr>
          <w:rFonts w:asciiTheme="minorHAnsi" w:hAnsiTheme="minorHAnsi" w:cstheme="minorHAnsi"/>
        </w:rPr>
      </w:pPr>
    </w:p>
  </w:footnote>
  <w:footnote w:id="77">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Padomes Lēmums 2008/615/TI (2008. gada 23. jūnijs) par pārrobežu sadarbības pastiprināšanu, jo īpaši apkarojot terorismu un pārrobežu noziedzību (ES OV </w:t>
      </w:r>
      <w:r>
        <w:rPr>
          <w:rFonts w:asciiTheme="minorHAnsi" w:hAnsiTheme="minorHAnsi"/>
          <w:sz w:val="20"/>
          <w:szCs w:val="20"/>
        </w:rPr>
        <w:t>L 210, 6.8.2008., 1. lpp.).</w:t>
      </w:r>
    </w:p>
  </w:footnote>
  <w:footnote w:id="78">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Padomes Lēmums 2008/616/TI (2008. gada 23. jūnijs) par to, kā īstenot Lēmumu 2008/615/TI par pārrobežu sadarbības pastiprināšanu, jo īpaši – apkarojot terorismu un pārrobežu noziedzību (ES OV L 210, 6.8.2008., 12. lpp.).</w:t>
      </w:r>
    </w:p>
  </w:footnote>
  <w:footnote w:id="79">
    <w:p w:rsidR="003E022D" w:rsidRDefault="007D19D6">
      <w:pPr>
        <w:rPr>
          <w:rFonts w:asciiTheme="minorHAnsi" w:hAnsiTheme="minorHAnsi" w:cstheme="minorHAnsi"/>
          <w:sz w:val="20"/>
          <w:szCs w:val="20"/>
        </w:rPr>
      </w:pPr>
      <w:r>
        <w:rPr>
          <w:rStyle w:val="FootnoteReference"/>
          <w:rFonts w:cstheme="minorHAnsi"/>
          <w:sz w:val="20"/>
          <w:szCs w:val="20"/>
          <w:lang w:val="en-IE"/>
        </w:rPr>
        <w:footnoteRef/>
      </w:r>
      <w:r>
        <w:rPr>
          <w:rFonts w:asciiTheme="minorHAnsi" w:hAnsiTheme="minorHAnsi"/>
          <w:sz w:val="20"/>
          <w:szCs w:val="20"/>
        </w:rPr>
        <w:t xml:space="preserve"> </w:t>
      </w:r>
      <w:r>
        <w:tab/>
      </w:r>
      <w:r>
        <w:rPr>
          <w:rFonts w:asciiTheme="minorHAnsi" w:hAnsiTheme="minorHAnsi"/>
          <w:color w:val="444444"/>
          <w:sz w:val="20"/>
          <w:szCs w:val="20"/>
        </w:rPr>
        <w:t xml:space="preserve"> </w:t>
      </w:r>
      <w:r>
        <w:rPr>
          <w:rFonts w:asciiTheme="minorHAnsi" w:hAnsiTheme="minorHAnsi"/>
          <w:iCs/>
          <w:color w:val="444444"/>
          <w:sz w:val="20"/>
          <w:szCs w:val="20"/>
        </w:rPr>
        <w:t>Eiropas Parlamenta un Padomes Regula (ES) 2016/794 (2016. gada 11. maijs) par Eiropas Savienības Aģentūru tiesībaizsardzības sadarbībai (Eiropolu) un ar kuru aizstāj un atceļ Padomes Lēmumus 2009/371/TI, 2009/934/TI, 2009/935/TI, 2009/936/TI un 2009/968/TI</w:t>
      </w:r>
      <w:r>
        <w:rPr>
          <w:rFonts w:asciiTheme="minorHAnsi" w:hAnsiTheme="minorHAnsi"/>
          <w:iCs/>
          <w:color w:val="444444"/>
          <w:sz w:val="20"/>
          <w:szCs w:val="20"/>
        </w:rPr>
        <w:t xml:space="preserve"> (ES OV L 135, 24.5.2016., 53. lpp.).</w:t>
      </w:r>
    </w:p>
  </w:footnote>
  <w:footnote w:id="80">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Eiropas Parlamenta un Padomes Regula (ES) 2018/1727 (2018. gada 14. novembris) par Eiropas Savienības Aģentūru tiesu iestāžu sadarbībai krimināllietās (</w:t>
      </w:r>
      <w:r>
        <w:rPr>
          <w:rFonts w:asciiTheme="minorHAnsi" w:hAnsiTheme="minorHAnsi"/>
          <w:i/>
          <w:sz w:val="20"/>
          <w:szCs w:val="20"/>
        </w:rPr>
        <w:t>Eurojust</w:t>
      </w:r>
      <w:r>
        <w:rPr>
          <w:rFonts w:asciiTheme="minorHAnsi" w:hAnsiTheme="minorHAnsi"/>
          <w:sz w:val="20"/>
          <w:szCs w:val="20"/>
        </w:rPr>
        <w:t>) un ar ko aizstāj un atceļ Padomes Lēmumu 2002/187/TI,</w:t>
      </w:r>
      <w:r>
        <w:rPr>
          <w:rFonts w:asciiTheme="minorHAnsi" w:hAnsiTheme="minorHAnsi"/>
          <w:sz w:val="20"/>
          <w:szCs w:val="20"/>
        </w:rPr>
        <w:t xml:space="preserve"> (ES OV L 295, 21.11.2018., 138. lpp.).</w:t>
      </w:r>
    </w:p>
  </w:footnote>
  <w:footnote w:id="81">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Padomes Pamatlēmums 2002/584/TI (2002. gada 13. jūnijs) par Eiropas apcietināšanas orderi un par nodošanas procedūrām starp dalībvalstīm (OV L 190, 18.7.2002, 1. lpp.).</w:t>
      </w:r>
    </w:p>
  </w:footnote>
  <w:footnote w:id="82">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Eiropas Parlamenta un Padomes Direktīva (</w:t>
      </w:r>
      <w:r>
        <w:rPr>
          <w:rFonts w:asciiTheme="minorHAnsi" w:hAnsiTheme="minorHAnsi"/>
          <w:sz w:val="20"/>
          <w:szCs w:val="20"/>
        </w:rPr>
        <w:t>ES) 2016/680 (2016. gada 27. aprīlis) par fizisku personu aizsardzību attiecībā uz personas datu apstrādi, ko veic kompetentās iestādes, lai novērstu, izmeklētu, atklātu noziedzīgus nodarījumus vai sauktu pie atbildības par tiem vai izpildītu kriminālsodus</w:t>
      </w:r>
      <w:r>
        <w:rPr>
          <w:rFonts w:asciiTheme="minorHAnsi" w:hAnsiTheme="minorHAnsi"/>
          <w:sz w:val="20"/>
          <w:szCs w:val="20"/>
        </w:rPr>
        <w:t>, un par šādu datu brīvu apriti, ar ko atceļ Padomes Pamatlēmumu 2008/977/TI (ES OV L 119, 4.5.2016., 89. lpp.).</w:t>
      </w:r>
    </w:p>
  </w:footnote>
  <w:footnote w:id="83">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2018., 12. nodaļa.</w:t>
      </w:r>
    </w:p>
  </w:footnote>
  <w:footnote w:id="84">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Eiropas Parlamenta un Padomes Regula (ES) 2016/679 (2016. gada 27. aprīlis) par fizisku personu aizsardzību attiecībā </w:t>
      </w:r>
      <w:r>
        <w:rPr>
          <w:rFonts w:asciiTheme="minorHAnsi" w:hAnsiTheme="minorHAnsi"/>
          <w:sz w:val="20"/>
          <w:szCs w:val="20"/>
        </w:rPr>
        <w:t>uz personas datu apstrādi un šādu datu brīvu apriti un ar ko atceļ Direktīvu 95/46/EK (Vispārīgā datu aizsardzības regula) (Dokuments attiecas uz EEZ) (ES OV L 119, 4.5.2016., 1. lpp.).</w:t>
      </w:r>
    </w:p>
  </w:footnote>
  <w:footnote w:id="85">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Eiropas Parlamenta un Padomes Regula (ES, Euratom) 2018/1046 (2018.</w:t>
      </w:r>
      <w:r>
        <w:rPr>
          <w:rFonts w:asciiTheme="minorHAnsi" w:hAnsiTheme="minorHAnsi"/>
          <w:sz w:val="20"/>
          <w:szCs w:val="20"/>
        </w:rPr>
        <w:t xml:space="preserve"> gada 18. jūlijs) par finanšu noteikumiem, ko piemēro Savienības vispārējam budžetam, ar kuru groza Regulas (ES) Nr. 1296/2013, (ES) Nr. 1301/2013, (ES) Nr. 1303/2013, (ES) Nr. 1304/2013, (ES) Nr. 1309/2013, (ES) Nr. 1316/2013, (ES) Nr. 223/2014, (ES) Nr. </w:t>
      </w:r>
      <w:r>
        <w:rPr>
          <w:rFonts w:asciiTheme="minorHAnsi" w:hAnsiTheme="minorHAnsi"/>
          <w:sz w:val="20"/>
          <w:szCs w:val="20"/>
        </w:rPr>
        <w:t>283/2014 un Lēmumu Nr. 541/2014/ES un atceļ Regulu (ES, Euratom) Nr. 966/2012 (ES OV L 193, 30.7.2018., 1. lpp.).</w:t>
      </w:r>
    </w:p>
  </w:footnote>
  <w:footnote w:id="86">
    <w:p w:rsidR="003E022D" w:rsidRDefault="007D19D6">
      <w:pPr>
        <w:pStyle w:val="FootnoteText"/>
        <w:rPr>
          <w:rFonts w:asciiTheme="minorHAnsi" w:hAnsiTheme="minorHAnsi" w:cstheme="minorHAnsi"/>
        </w:rPr>
      </w:pPr>
      <w:r>
        <w:rPr>
          <w:rStyle w:val="FootnoteReference"/>
          <w:rFonts w:cstheme="minorHAnsi"/>
        </w:rPr>
        <w:footnoteRef/>
      </w:r>
      <w:r>
        <w:t xml:space="preserve"> Lielākai noteiktībai – 2. līdz 9. punktu piemēro attiecībā uz sarunām starp Savienību un trešo valsti par pievienošanos Savienībai, kas noti</w:t>
      </w:r>
      <w:r>
        <w:t>ek pēc šā nolīguma stāšanās spēkā, neatkarīgi no tā, ka pievienošanās pieprasījums notika pirms šā nolīguma stāšanās spēkā.</w:t>
      </w:r>
    </w:p>
  </w:footnote>
  <w:footnote w:id="87">
    <w:p w:rsidR="003E022D" w:rsidRDefault="007D19D6">
      <w:pPr>
        <w:rPr>
          <w:rFonts w:asciiTheme="minorHAnsi"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Grozīti ar 2020. gada Noteikumiem par datu aizsardzību, privātumu un elektroniskajiem sakariem (grozījumi utt.) (izstāšanās no ES).</w:t>
      </w:r>
    </w:p>
  </w:footnote>
  <w:footnote w:id="88">
    <w:p w:rsidR="003E022D" w:rsidRDefault="007D19D6">
      <w:pPr>
        <w:rPr>
          <w:rFonts w:asciiTheme="minorHAnsi" w:hAnsiTheme="minorHAnsi" w:cstheme="minorHAnsi"/>
          <w:sz w:val="20"/>
          <w:szCs w:val="20"/>
        </w:rPr>
      </w:pPr>
      <w:r>
        <w:rPr>
          <w:rFonts w:asciiTheme="minorHAnsi" w:hAnsiTheme="minorHAnsi" w:cstheme="minorHAnsi"/>
          <w:sz w:val="20"/>
          <w:szCs w:val="20"/>
        </w:rPr>
        <w:footnoteRef/>
      </w:r>
      <w:r>
        <w:t xml:space="preserve"> Sagatavotas vai konservētas tunzivis, svītrainās tunzivis un pelamīdas (</w:t>
      </w:r>
      <w:r>
        <w:rPr>
          <w:i/>
          <w:iCs/>
        </w:rPr>
        <w:t>Sarda spp.</w:t>
      </w:r>
      <w:r>
        <w:t>), nesadalītas vai gabalos (izņemot maltas zivis), kas klasificētas apakšpozīcijā 1604,14, var kvalificēties noteiktajai izcelsmei saskaņā ar alternatīvajiem mazāk stingra</w:t>
      </w:r>
      <w:r>
        <w:t xml:space="preserve">jiem konkrētajiem ražojumiem piemērojamajiem noteikumiem gada kvotu ietvaros, kā norādīts </w:t>
      </w:r>
      <w:r>
        <w:rPr>
          <w:rFonts w:asciiTheme="minorHAnsi" w:hAnsiTheme="minorHAnsi"/>
          <w:sz w:val="20"/>
          <w:szCs w:val="20"/>
        </w:rPr>
        <w:t>ORIG-2A. pielikumā[Izcelsmes kvotas konkrētiem ražojumiem piemērojamiem izcelsmes noteikumiem ORIG-2. pielikumā]</w:t>
      </w:r>
      <w:r>
        <w:t>.</w:t>
      </w:r>
    </w:p>
  </w:footnote>
  <w:footnote w:id="89">
    <w:p w:rsidR="003E022D" w:rsidRDefault="007D19D6">
      <w:pPr>
        <w:rPr>
          <w:rFonts w:asciiTheme="minorHAnsi" w:hAnsiTheme="minorHAnsi" w:cstheme="minorHAnsi"/>
          <w:sz w:val="20"/>
          <w:szCs w:val="20"/>
        </w:rPr>
      </w:pPr>
      <w:r>
        <w:rPr>
          <w:rFonts w:asciiTheme="minorHAnsi" w:hAnsiTheme="minorHAnsi" w:cstheme="minorHAnsi"/>
          <w:sz w:val="20"/>
          <w:szCs w:val="20"/>
        </w:rPr>
        <w:footnoteRef/>
      </w:r>
      <w:r>
        <w:t xml:space="preserve"> Sagatavotas vai konservētas tunzivis, svītrainās t</w:t>
      </w:r>
      <w:r>
        <w:t xml:space="preserve">unzivis vai citas </w:t>
      </w:r>
      <w:r>
        <w:rPr>
          <w:i/>
          <w:iCs/>
        </w:rPr>
        <w:t>Euthynnus</w:t>
      </w:r>
      <w:r>
        <w:t xml:space="preserve"> ģints zivis (izņemot veselas vai gabalos), kas klasificētas apakšpozīcijā 1604.20, var kvalificēties noteiktajai izcelsmei saskaņā ar alternatīvajiem konkrētajiem ražojumiem piemērojamajiem noteikumiem gada kvotu ietvaros, kā no</w:t>
      </w:r>
      <w:r>
        <w:t xml:space="preserve">rādīts </w:t>
      </w:r>
      <w:r>
        <w:rPr>
          <w:rFonts w:asciiTheme="minorHAnsi" w:hAnsiTheme="minorHAnsi"/>
          <w:sz w:val="20"/>
          <w:szCs w:val="20"/>
        </w:rPr>
        <w:t>ORIG-2A. pielikumā[Izcelsmes kvotas konkrētiem ražojumiem piemērojamiem izcelsmes noteikumiem ORIG-2. pielikumā]</w:t>
      </w:r>
      <w:r>
        <w:t>.</w:t>
      </w:r>
    </w:p>
  </w:footnote>
  <w:footnote w:id="90">
    <w:p w:rsidR="003E022D" w:rsidRDefault="007D19D6">
      <w:pPr>
        <w:pStyle w:val="FootnoteText"/>
        <w:rPr>
          <w:rFonts w:asciiTheme="minorHAnsi" w:hAnsiTheme="minorHAnsi" w:cstheme="minorHAnsi"/>
        </w:rPr>
      </w:pPr>
      <w:r>
        <w:rPr>
          <w:rStyle w:val="FootnoteReference"/>
          <w:rFonts w:cstheme="minorHAnsi"/>
        </w:rPr>
        <w:footnoteRef/>
      </w:r>
      <w:r>
        <w:t xml:space="preserve"> Atsevišķi alumīnija ražojumi var kvalificēties noteiktajai izcelsmei saskaņā ar alternatīvajiem konkrētajiem ražojumiem piemērojamaji</w:t>
      </w:r>
      <w:r>
        <w:t xml:space="preserve">em noteikumiem gada kvotu ietvaros, kā norādīts </w:t>
      </w:r>
      <w:r>
        <w:rPr>
          <w:rFonts w:asciiTheme="minorHAnsi" w:hAnsiTheme="minorHAnsi"/>
        </w:rPr>
        <w:t>ORIG-2A. pielikumā[Izcelsmes kvotas konkrētiem ražojumiem piemērojamiem izcelsmes noteikumiem ORIG-2. pielikumā]</w:t>
      </w:r>
      <w:r>
        <w:t>.</w:t>
      </w:r>
    </w:p>
  </w:footnote>
  <w:footnote w:id="91">
    <w:p w:rsidR="003E022D" w:rsidRDefault="007D19D6">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w:t>
      </w:r>
      <w:r>
        <w:rPr>
          <w:sz w:val="20"/>
          <w:szCs w:val="20"/>
        </w:rPr>
        <w:t xml:space="preserve">Laikposmā no šā nolīguma stāšanās spēkā līdz 2026. gada 31. decembrim piemēro alternatīvus </w:t>
      </w:r>
      <w:r>
        <w:rPr>
          <w:sz w:val="20"/>
          <w:szCs w:val="20"/>
        </w:rPr>
        <w:t>konkrētiem ražojumiem piemērojamos izcelsmes noteikumus, kā norādīts ORIG-2B pielikumā [Konkrētiem ražojumiem piemērojamie pārejas noteikumi elektriskajiem akumulatoriem un elektrificētiem transportlīdzekļiem].</w:t>
      </w:r>
    </w:p>
  </w:footnote>
  <w:footnote w:id="92">
    <w:p w:rsidR="003E022D" w:rsidRDefault="007D19D6">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w:t>
      </w:r>
      <w:r>
        <w:rPr>
          <w:sz w:val="20"/>
          <w:szCs w:val="20"/>
        </w:rPr>
        <w:t>Laikposmā no šā nolīguma stāšanās spēkā līd</w:t>
      </w:r>
      <w:r>
        <w:rPr>
          <w:sz w:val="20"/>
          <w:szCs w:val="20"/>
        </w:rPr>
        <w:t>z 2026. gada 31. decembrim piemēro alternatīvus konkrētiem ražojumiem piemērojamos izcelsmes noteikumus, kā norādīts ORIG-2B pielikumā [Konkrētiem ražojumiem piemērojamie pārejas noteikumi elektriskajiem akumulatoriem un elektrificētiem transportlīdzekļiem</w:t>
      </w:r>
      <w:r>
        <w:rPr>
          <w:sz w:val="20"/>
          <w:szCs w:val="20"/>
        </w:rPr>
        <w:t>].</w:t>
      </w:r>
    </w:p>
  </w:footnote>
  <w:footnote w:id="93">
    <w:p w:rsidR="003E022D" w:rsidRDefault="007D19D6">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w:t>
      </w:r>
      <w:r>
        <w:rPr>
          <w:sz w:val="20"/>
          <w:szCs w:val="20"/>
        </w:rPr>
        <w:t>Laikposmā no šā nolīguma stāšanās spēkā līdz 2026. gada 31. decembrim piemēro alternatīvus konkrētiem ražojumiem piemērojamos izcelsmes noteikumus, kā norādīts ORIG-2B pielikumā [Konkrētiem ražojumiem piemērojamie pārejas noteikumi elektriskajiem akum</w:t>
      </w:r>
      <w:r>
        <w:rPr>
          <w:sz w:val="20"/>
          <w:szCs w:val="20"/>
        </w:rPr>
        <w:t>ulatoriem un elektrificētiem transportlīdzekļiem].</w:t>
      </w:r>
    </w:p>
  </w:footnote>
  <w:footnote w:id="94">
    <w:p w:rsidR="003E022D" w:rsidRDefault="007D19D6">
      <w:pPr>
        <w:pStyle w:val="FootnoteText"/>
        <w:rPr>
          <w:rFonts w:asciiTheme="minorHAnsi" w:hAnsiTheme="minorHAnsi" w:cstheme="minorHAnsi"/>
        </w:rPr>
      </w:pPr>
      <w:r>
        <w:rPr>
          <w:rStyle w:val="FootnoteReference"/>
          <w:rFonts w:cstheme="minorHAnsi"/>
        </w:rPr>
        <w:footnoteRef/>
      </w:r>
      <w:r>
        <w:t xml:space="preserve"> Hibrīda transportlīdzekļiem, kuru dzinējs ir gan iekšdedzes motors, gan elektromotors, izņemot tos, ko var uzlādēt, pieslēdzot tos ārējam elektroenerģijas avotam, uz laiku no šā nolīguma stāšanās spēkā l</w:t>
      </w:r>
      <w:r>
        <w:t>īdz 2026. gada 31. decembrim piemēro alternatīvus konkrētiem ražojumiem paredzētus izcelsmes noteikumus, kā noteikts ORIG-2B pielikumā [Konkrētiem ražojumiem piemērojamie pārejas noteikumi elektriskajiem akumulatoriem un elektrificētiem transportlīdzekļiem</w:t>
      </w:r>
      <w:r>
        <w:t>].</w:t>
      </w:r>
    </w:p>
  </w:footnote>
  <w:footnote w:id="95">
    <w:p w:rsidR="003E022D" w:rsidRDefault="007D19D6">
      <w:pPr>
        <w:pStyle w:val="FootnoteText"/>
        <w:rPr>
          <w:rFonts w:asciiTheme="minorHAnsi" w:hAnsiTheme="minorHAnsi" w:cstheme="minorHAnsi"/>
        </w:rPr>
      </w:pPr>
      <w:r>
        <w:rPr>
          <w:rStyle w:val="FootnoteReference"/>
          <w:rFonts w:cstheme="minorHAnsi"/>
        </w:rPr>
        <w:footnoteRef/>
      </w:r>
      <w:r>
        <w:t xml:space="preserve"> Daudzumi, kas norādīti katrā tabulā </w:t>
      </w:r>
      <w:r>
        <w:rPr>
          <w:rFonts w:asciiTheme="minorHAnsi" w:hAnsiTheme="minorHAnsi"/>
        </w:rPr>
        <w:t>2. iedaļā</w:t>
      </w:r>
      <w:r>
        <w:t>, ir visi pieejamie kvotas daudzumi (attiecīgi eksportam no Savienības uz Apvienoto Karalisti un eksportam no Apvienotās Karalistes uz Savienību) attiecībā uz visiem minētajā tabulā uzskaitītajiem ražojumie</w:t>
      </w:r>
      <w:r>
        <w:t>m.</w:t>
      </w:r>
      <w:r>
        <w:rPr>
          <w:rFonts w:asciiTheme="minorHAnsi" w:hAnsiTheme="minorHAnsi"/>
        </w:rPr>
        <w:t xml:space="preserve"> </w:t>
      </w:r>
    </w:p>
  </w:footnote>
  <w:footnote w:id="96">
    <w:p w:rsidR="003E022D" w:rsidRDefault="007D19D6">
      <w:pPr>
        <w:pStyle w:val="FootnoteText"/>
        <w:ind w:left="567" w:hanging="567"/>
        <w:rPr>
          <w:rFonts w:asciiTheme="minorHAnsi" w:hAnsiTheme="minorHAnsi" w:cstheme="minorHAnsi"/>
        </w:rPr>
      </w:pPr>
      <w:r>
        <w:rPr>
          <w:rStyle w:val="FootnoteReference"/>
          <w:rFonts w:cstheme="minorHAnsi"/>
        </w:rPr>
        <w:footnoteRef/>
      </w:r>
      <w:r>
        <w:tab/>
      </w:r>
      <w:r>
        <w:rPr>
          <w:rFonts w:asciiTheme="minorHAnsi" w:hAnsiTheme="minorHAnsi"/>
        </w:rPr>
        <w:t>ECE/TRANS/WP.29/78/Rev.6, 2017. gada 11. jūlijs</w:t>
      </w:r>
    </w:p>
  </w:footnote>
  <w:footnote w:id="97">
    <w:p w:rsidR="003E022D" w:rsidRDefault="007D19D6">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Šajā sarakstā atsauces uz saglabātajiem Savienības tiesību aktiem uzskata par atsaucēm uz šādiem tiesību aktiem, ko Apvienotā Karaliste grozījusi, lai tie būtu piemērojami Apvienotajai Karalistei.</w:t>
      </w:r>
    </w:p>
  </w:footnote>
  <w:footnote w:id="98">
    <w:p w:rsidR="003E022D" w:rsidRDefault="007D19D6">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OV L 189, 20.7.2007., 1. lpp.</w:t>
      </w:r>
    </w:p>
  </w:footnote>
  <w:footnote w:id="99">
    <w:p w:rsidR="003E022D" w:rsidRDefault="007D19D6">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OV L 250, 18.9.2008., 1. lpp.</w:t>
      </w:r>
    </w:p>
  </w:footnote>
  <w:footnote w:id="100">
    <w:p w:rsidR="003E022D" w:rsidRDefault="007D19D6">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OV L 334, 12.12.2008., 25. lpp.</w:t>
      </w:r>
    </w:p>
  </w:footnote>
  <w:footnote w:id="101">
    <w:p w:rsidR="003E022D" w:rsidRDefault="007D19D6">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Šajā sarakstā atsauces uz saglabātajiem Savienības tiesību aktiem uzskata par atsaucēm uz šādiem tiesību aktiem, ko Apvienotā Karaliste grozījusi, lai tie</w:t>
      </w:r>
      <w:r>
        <w:rPr>
          <w:rFonts w:asciiTheme="minorHAnsi" w:hAnsiTheme="minorHAnsi"/>
        </w:rPr>
        <w:t xml:space="preserve"> būtu piemērojami Apvienotajai Karalistei.</w:t>
      </w:r>
    </w:p>
  </w:footnote>
  <w:footnote w:id="102">
    <w:p w:rsidR="003E022D" w:rsidRDefault="007D19D6">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Eiropas Parlamenta un Padomes Regula (ES) Nr. 1308/2013 (2013. gada 17. decembris), ar ko izveido lauksaimniecības produktu tirgu kopīgu organizāciju un atceļ Padomes Regulas (EEK) Nr. 922/72, (EEK) Nr. 234/79,</w:t>
      </w:r>
      <w:r>
        <w:rPr>
          <w:rFonts w:asciiTheme="minorHAnsi" w:hAnsiTheme="minorHAnsi"/>
        </w:rPr>
        <w:t xml:space="preserve"> (EK) Nr. 1037/2001 un (EK) Nr. 1234/2007 (OV L 347, 20.12.2013., 671. lpp.).</w:t>
      </w:r>
    </w:p>
  </w:footnote>
  <w:footnote w:id="103">
    <w:p w:rsidR="003E022D" w:rsidRDefault="007D19D6">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Komisijas Deleģētā regula (ES) 2019/33 (2018. gada 17. oktobris), ar ko Eiropas Parlamenta un Padomes Regulu (ES) Nr. 1308/2013 papildina attiecībā uz cilmes vietas nosaukumu,</w:t>
      </w:r>
      <w:r>
        <w:rPr>
          <w:rFonts w:asciiTheme="minorHAnsi" w:hAnsiTheme="minorHAnsi"/>
        </w:rPr>
        <w:t xml:space="preserve"> ģeogrāfiskās izcelsmes norāžu un tradicionālo apzīmējumu aizsardzības pieteikumiem vīna nozarē, iebildumu procedūru, lietošanas ierobežojumiem, produkta specifikācijas grozījumiem, aizsardzības anulēšanu, marķēšanu un noformēšanu (OV L 9, 11.1.2019., 2. l</w:t>
      </w:r>
      <w:r>
        <w:rPr>
          <w:rFonts w:asciiTheme="minorHAnsi" w:hAnsiTheme="minorHAnsi"/>
        </w:rPr>
        <w:t>pp.).</w:t>
      </w:r>
    </w:p>
  </w:footnote>
  <w:footnote w:id="104">
    <w:p w:rsidR="003E022D" w:rsidRDefault="007D19D6">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Eiropas Parlamenta un Padomes Regula (ES) Nr. 1169/2011 (2011. gada 25. oktobris) par pārtikas produktu informācijas sniegšanu patērētājiem un par grozījumiem Eiropas Parlamenta un Padomes Regulās (EK) Nr. 1924/2006 un (EK) Nr. 1925/2006, un par K</w:t>
      </w:r>
      <w:r>
        <w:rPr>
          <w:rFonts w:asciiTheme="minorHAnsi" w:hAnsiTheme="minorHAnsi"/>
        </w:rPr>
        <w:t>omisijas Direktīvas 87/250/EEK, Padomes Direktīvas 90/496/EEK, Komisijas Direktīvas 1999/10/EK, Eiropas Parlamenta un Padomes Direktīvas 2000/13/EK, Komisijas Direktīvu 2002/67/EK un 2008/5/EK un Komisijas Regulas (EK) Nr. 608/2004 atcelšanu (OV L 304, 22.</w:t>
      </w:r>
      <w:r>
        <w:rPr>
          <w:rFonts w:asciiTheme="minorHAnsi" w:hAnsiTheme="minorHAnsi"/>
        </w:rPr>
        <w:t>11.2011., 18. lpp.).</w:t>
      </w:r>
    </w:p>
  </w:footnote>
  <w:footnote w:id="105">
    <w:p w:rsidR="003E022D" w:rsidRDefault="007D19D6">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Komisijas Deleģētā regula (ES) 2019/934 (2019. gada 12. marts), ar ko Eiropas Parlamenta un Padomes Regulu (ES) Nr. 1308/2013 papildina attiecībā uz vīnogu audzēšanas apgabaliem, kuros spirta koncentrāciju var paaugstināt, atļautajā</w:t>
      </w:r>
      <w:r>
        <w:rPr>
          <w:rFonts w:asciiTheme="minorHAnsi" w:hAnsiTheme="minorHAnsi"/>
        </w:rPr>
        <w:t>m vīndarības metodēm un ierobežojumiem, kas piemērojami vīnkopības produktu ražošanai un konservācijai, minimālo spirta procentuālo daudzumu attiecībā uz blakusproduktiem un to realizēšanu, un OIV punktu publicēšanu (OV L 149, 7.6.2019., 1. lpp.).</w:t>
      </w:r>
    </w:p>
  </w:footnote>
  <w:footnote w:id="106">
    <w:p w:rsidR="003E022D" w:rsidRDefault="007D19D6">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Komis</w:t>
      </w:r>
      <w:r>
        <w:rPr>
          <w:rFonts w:asciiTheme="minorHAnsi" w:hAnsiTheme="minorHAnsi"/>
        </w:rPr>
        <w:t>ijas Deleģētā regula (ES) 2018/273 (2017. gada 11. decembris), ar kuru Eiropas Parlamenta un Padomes Regulu (ES) Nr. 1308/2013 papildina attiecībā uz vīnogulāju stādīšanas atļauju sistēmu, vīna dārzu reģistru, pavaddokumentiem un sertifikāciju, preču ieveš</w:t>
      </w:r>
      <w:r>
        <w:rPr>
          <w:rFonts w:asciiTheme="minorHAnsi" w:hAnsiTheme="minorHAnsi"/>
        </w:rPr>
        <w:t xml:space="preserve">anas un izvešanas reģistru, obligātajām deklarācijām, paziņojumiem un paziņotās informācijas publicēšanu, bet Eiropas Parlamenta un Padomes Regulu (ES) Nr. 1306/2013 – attiecībā uz pārbaudēm un sodiem, kā arī groza Komisijas Regulu (EK) Nr. 555/2008, (EK) </w:t>
      </w:r>
      <w:r>
        <w:rPr>
          <w:rFonts w:asciiTheme="minorHAnsi" w:hAnsiTheme="minorHAnsi"/>
        </w:rPr>
        <w:t>Nr. 606/2009 un (EK) Nr. 607/2009 un atceļ Komisijas Regulu (EK) Nr. 436/2009 un Komisijas Deleģēto regulu (ES) 2015/560 (OV L 58, 28.2.2018., 1. lpp.).</w:t>
      </w:r>
    </w:p>
  </w:footnote>
  <w:footnote w:id="107">
    <w:p w:rsidR="003E022D" w:rsidRDefault="007D19D6">
      <w:pPr>
        <w:rPr>
          <w:rFonts w:asciiTheme="minorHAnsi" w:hAnsiTheme="minorHAnsi" w:cstheme="minorHAnsi"/>
          <w:sz w:val="20"/>
          <w:szCs w:val="20"/>
        </w:rPr>
      </w:pPr>
      <w:r>
        <w:rPr>
          <w:rStyle w:val="FootnoteReference"/>
          <w:sz w:val="20"/>
          <w:szCs w:val="20"/>
        </w:rPr>
        <w:footnoteRef/>
      </w:r>
      <w:r>
        <w:rPr>
          <w:rFonts w:asciiTheme="minorHAnsi" w:hAnsiTheme="minorHAnsi"/>
          <w:sz w:val="20"/>
          <w:szCs w:val="20"/>
        </w:rPr>
        <w:t>Šajā atrunā:</w:t>
      </w:r>
    </w:p>
    <w:p w:rsidR="003E022D" w:rsidRDefault="007D19D6">
      <w:pPr>
        <w:rPr>
          <w:rFonts w:asciiTheme="minorHAnsi" w:hAnsiTheme="minorHAnsi" w:cstheme="minorHAnsi"/>
          <w:sz w:val="20"/>
          <w:szCs w:val="20"/>
        </w:rPr>
      </w:pPr>
      <w:r>
        <w:rPr>
          <w:rFonts w:asciiTheme="minorHAnsi" w:hAnsiTheme="minorHAnsi"/>
          <w:sz w:val="20"/>
          <w:szCs w:val="20"/>
        </w:rPr>
        <w:t>a)</w:t>
      </w:r>
      <w:r>
        <w:tab/>
      </w:r>
      <w:r>
        <w:rPr>
          <w:rFonts w:asciiTheme="minorHAnsi" w:hAnsiTheme="minorHAnsi"/>
          <w:bCs/>
          <w:sz w:val="20"/>
          <w:szCs w:val="20"/>
        </w:rPr>
        <w:t>“uzņēmējas jurisdikcijas tiesības”</w:t>
      </w:r>
      <w:r>
        <w:rPr>
          <w:rFonts w:asciiTheme="minorHAnsi" w:hAnsiTheme="minorHAnsi"/>
          <w:sz w:val="20"/>
          <w:szCs w:val="20"/>
        </w:rPr>
        <w:t xml:space="preserve"> ir konkrētās dalībvalsts tiesību akti un Eiropas Sa</w:t>
      </w:r>
      <w:r>
        <w:rPr>
          <w:rFonts w:asciiTheme="minorHAnsi" w:hAnsiTheme="minorHAnsi"/>
          <w:sz w:val="20"/>
          <w:szCs w:val="20"/>
        </w:rPr>
        <w:t>vienības tiesību akti;</w:t>
      </w:r>
    </w:p>
    <w:p w:rsidR="003E022D" w:rsidRDefault="007D19D6">
      <w:pPr>
        <w:rPr>
          <w:rFonts w:asciiTheme="minorHAnsi" w:hAnsiTheme="minorHAnsi" w:cstheme="minorHAnsi"/>
          <w:sz w:val="20"/>
          <w:szCs w:val="20"/>
        </w:rPr>
      </w:pPr>
      <w:r>
        <w:rPr>
          <w:rFonts w:asciiTheme="minorHAnsi" w:hAnsiTheme="minorHAnsi"/>
          <w:sz w:val="20"/>
          <w:szCs w:val="20"/>
        </w:rPr>
        <w:t>“</w:t>
      </w:r>
      <w:r>
        <w:rPr>
          <w:rFonts w:asciiTheme="minorHAnsi" w:hAnsiTheme="minorHAnsi"/>
          <w:bCs/>
          <w:sz w:val="20"/>
          <w:szCs w:val="20"/>
        </w:rPr>
        <w:t>piederības jurisdikcijas tiesības</w:t>
      </w:r>
      <w:r>
        <w:rPr>
          <w:rFonts w:asciiTheme="minorHAnsi" w:hAnsiTheme="minorHAnsi"/>
          <w:sz w:val="20"/>
          <w:szCs w:val="20"/>
        </w:rPr>
        <w:t>” ir Apvienotās Karalistes tiesību akti;</w:t>
      </w:r>
    </w:p>
    <w:p w:rsidR="003E022D" w:rsidRDefault="007D19D6">
      <w:pPr>
        <w:rPr>
          <w:rFonts w:asciiTheme="minorHAnsi" w:hAnsiTheme="minorHAnsi" w:cstheme="minorHAnsi"/>
          <w:sz w:val="20"/>
          <w:szCs w:val="20"/>
        </w:rPr>
      </w:pPr>
      <w:r>
        <w:rPr>
          <w:rFonts w:asciiTheme="minorHAnsi" w:hAnsiTheme="minorHAnsi"/>
          <w:sz w:val="20"/>
          <w:szCs w:val="20"/>
        </w:rPr>
        <w:t>b)</w:t>
      </w:r>
      <w:r>
        <w:tab/>
      </w:r>
      <w:r>
        <w:rPr>
          <w:rFonts w:asciiTheme="minorHAnsi" w:hAnsiTheme="minorHAnsi"/>
          <w:bCs/>
          <w:sz w:val="20"/>
          <w:szCs w:val="20"/>
        </w:rPr>
        <w:t>“starptautiskās tiesības “</w:t>
      </w:r>
      <w:r>
        <w:rPr>
          <w:rFonts w:asciiTheme="minorHAnsi" w:hAnsiTheme="minorHAnsi"/>
          <w:sz w:val="20"/>
          <w:szCs w:val="20"/>
        </w:rPr>
        <w:t>ir starptautiskās publiskās tiesības, izņemot Eiropas Savienības tiesības, un tās ietver tiesības, kas noteiktas starptautiskos l</w:t>
      </w:r>
      <w:r>
        <w:rPr>
          <w:rFonts w:asciiTheme="minorHAnsi" w:hAnsiTheme="minorHAnsi"/>
          <w:sz w:val="20"/>
          <w:szCs w:val="20"/>
        </w:rPr>
        <w:t>īgumos un konvencijās, kā arī starptautiskās paražu tiesības;</w:t>
      </w:r>
    </w:p>
    <w:p w:rsidR="003E022D" w:rsidRDefault="007D19D6">
      <w:pPr>
        <w:rPr>
          <w:rFonts w:asciiTheme="minorHAnsi" w:hAnsiTheme="minorHAnsi" w:cstheme="minorHAnsi"/>
          <w:sz w:val="20"/>
          <w:szCs w:val="20"/>
        </w:rPr>
      </w:pPr>
      <w:r>
        <w:rPr>
          <w:rFonts w:asciiTheme="minorHAnsi" w:hAnsiTheme="minorHAnsi"/>
          <w:sz w:val="20"/>
          <w:szCs w:val="20"/>
        </w:rPr>
        <w:t>c)</w:t>
      </w:r>
      <w:r>
        <w:tab/>
      </w:r>
      <w:r>
        <w:rPr>
          <w:rFonts w:asciiTheme="minorHAnsi" w:hAnsiTheme="minorHAnsi"/>
          <w:bCs/>
          <w:sz w:val="20"/>
          <w:szCs w:val="20"/>
        </w:rPr>
        <w:t>“juridisko konsultāciju pakalpojumi”</w:t>
      </w:r>
      <w:r>
        <w:rPr>
          <w:rFonts w:asciiTheme="minorHAnsi" w:hAnsiTheme="minorHAnsi"/>
          <w:sz w:val="20"/>
          <w:szCs w:val="20"/>
        </w:rPr>
        <w:t xml:space="preserve"> ietver konsultāciju sniegšanu klientiem jautājumos, tostarp darījumos, attiecībās un strīdos, kas saistīti ar tiesību piemērošanu vai interpretāciju; dalī</w:t>
      </w:r>
      <w:r>
        <w:rPr>
          <w:rFonts w:asciiTheme="minorHAnsi" w:hAnsiTheme="minorHAnsi"/>
          <w:sz w:val="20"/>
          <w:szCs w:val="20"/>
        </w:rPr>
        <w:t xml:space="preserve">bu sarunās un citos darījumos ar trešām personām par šādiem jautājumiem kopā ar klientiem vai to vārdā; tiesību aktos pilnībā vai daļēji reglamentētu dokumentu sagatavošanu un jebkāda veida dokumentu pārbaudi tiesību aktos noteiktiem mērķiem un saskaņā ar </w:t>
      </w:r>
      <w:r>
        <w:rPr>
          <w:rFonts w:asciiTheme="minorHAnsi" w:hAnsiTheme="minorHAnsi"/>
          <w:sz w:val="20"/>
          <w:szCs w:val="20"/>
        </w:rPr>
        <w:t>tiesību aktos noteiktajām prasībām;</w:t>
      </w:r>
    </w:p>
    <w:p w:rsidR="003E022D" w:rsidRDefault="007D19D6">
      <w:pPr>
        <w:rPr>
          <w:rFonts w:asciiTheme="minorHAnsi" w:hAnsiTheme="minorHAnsi" w:cstheme="minorHAnsi"/>
          <w:sz w:val="20"/>
          <w:szCs w:val="20"/>
        </w:rPr>
      </w:pPr>
      <w:r>
        <w:rPr>
          <w:rFonts w:asciiTheme="minorHAnsi" w:hAnsiTheme="minorHAnsi"/>
          <w:sz w:val="20"/>
          <w:szCs w:val="20"/>
        </w:rPr>
        <w:t>d)</w:t>
      </w:r>
      <w:r>
        <w:tab/>
      </w:r>
      <w:r>
        <w:rPr>
          <w:rFonts w:asciiTheme="minorHAnsi" w:hAnsiTheme="minorHAnsi"/>
          <w:bCs/>
          <w:sz w:val="20"/>
          <w:szCs w:val="20"/>
        </w:rPr>
        <w:t>“tiesiskās pārstāvības pakalpojumi”</w:t>
      </w:r>
      <w:r>
        <w:rPr>
          <w:rFonts w:asciiTheme="minorHAnsi" w:hAnsiTheme="minorHAnsi"/>
          <w:sz w:val="20"/>
          <w:szCs w:val="20"/>
        </w:rPr>
        <w:t xml:space="preserve"> ietver tādu dokumentu sagatavošanu, kurus paredzēts iesniegt administratīvajām aģentūrām, tiesām vai citām noteiktā kārtībā izveidotām tiesām, un ierašanos administratīvās aģentūrās</w:t>
      </w:r>
      <w:r>
        <w:rPr>
          <w:rFonts w:asciiTheme="minorHAnsi" w:hAnsiTheme="minorHAnsi"/>
          <w:sz w:val="20"/>
          <w:szCs w:val="20"/>
        </w:rPr>
        <w:t>, tiesās vai citās  noteiktā kārtībā izveidotās tiesās;</w:t>
      </w:r>
    </w:p>
    <w:p w:rsidR="003E022D" w:rsidRDefault="007D19D6">
      <w:pPr>
        <w:rPr>
          <w:rFonts w:asciiTheme="minorHAnsi" w:hAnsiTheme="minorHAnsi"/>
          <w:sz w:val="20"/>
          <w:szCs w:val="20"/>
        </w:rPr>
      </w:pPr>
      <w:r>
        <w:rPr>
          <w:rFonts w:asciiTheme="minorHAnsi" w:hAnsiTheme="minorHAnsi"/>
          <w:sz w:val="20"/>
          <w:szCs w:val="20"/>
        </w:rPr>
        <w:t>e)</w:t>
      </w:r>
      <w:r>
        <w:tab/>
      </w:r>
      <w:r>
        <w:rPr>
          <w:rFonts w:asciiTheme="minorHAnsi" w:hAnsiTheme="minorHAnsi"/>
          <w:sz w:val="20"/>
          <w:szCs w:val="20"/>
        </w:rPr>
        <w:t>“</w:t>
      </w:r>
      <w:r>
        <w:rPr>
          <w:rFonts w:asciiTheme="minorHAnsi" w:hAnsiTheme="minorHAnsi"/>
          <w:bCs/>
          <w:sz w:val="20"/>
          <w:szCs w:val="20"/>
        </w:rPr>
        <w:t>juridiskie arbitrāžas, samierināšanas un mediācijas pakalpojumi</w:t>
      </w:r>
      <w:r>
        <w:rPr>
          <w:rFonts w:asciiTheme="minorHAnsi" w:hAnsiTheme="minorHAnsi"/>
          <w:sz w:val="20"/>
          <w:szCs w:val="20"/>
        </w:rPr>
        <w:t xml:space="preserve">” </w:t>
      </w:r>
      <w:r>
        <w:rPr>
          <w:rFonts w:asciiTheme="minorHAnsi" w:hAnsiTheme="minorHAnsi"/>
          <w:bCs/>
          <w:sz w:val="20"/>
          <w:szCs w:val="20"/>
        </w:rPr>
        <w:t>ir tādu dokumentu sagatavošana, kas iesniedzami šķīrējtiesnesim, samierinātājam vai mediatoram, sagatavošanās ar tiesību piemērošanu un interpretāciju saistīta strīda izskatīšanai un ierašanās uz šāda strīda izskatīšanu. Tas neietver arbitrāžas, samierināš</w:t>
      </w:r>
      <w:r>
        <w:rPr>
          <w:rFonts w:asciiTheme="minorHAnsi" w:hAnsiTheme="minorHAnsi"/>
          <w:bCs/>
          <w:sz w:val="20"/>
          <w:szCs w:val="20"/>
        </w:rPr>
        <w:t xml:space="preserve">anas un starpniecības pakalpojumus strīdos, kas nav saistīti ar tiesību piemērošanu un interpretāciju un kas ir pakalpojumi, kuri saistīti ar vadības konsultācijām. Tas arī neietver šķīrējtiesneša, samierinātāja vai starpnieka pienākumu pildīšanu. </w:t>
      </w:r>
      <w:r>
        <w:rPr>
          <w:rFonts w:asciiTheme="minorHAnsi" w:hAnsiTheme="minorHAnsi"/>
          <w:sz w:val="20"/>
          <w:szCs w:val="20"/>
        </w:rPr>
        <w:t>Kā apakš</w:t>
      </w:r>
      <w:r>
        <w:rPr>
          <w:rFonts w:asciiTheme="minorHAnsi" w:hAnsiTheme="minorHAnsi"/>
          <w:sz w:val="20"/>
          <w:szCs w:val="20"/>
        </w:rPr>
        <w:t>kategorija starptautiskās juridiskās arbitrāžas, samierināšanas vai starpniecības pakalpojumi attiecas uz tiem pašiem pakalpojumiem, ja strīdā ir iesaistītas puses no divām vai vairāk valstīm.</w:t>
      </w:r>
    </w:p>
  </w:footnote>
  <w:footnote w:id="108">
    <w:p w:rsidR="003E022D" w:rsidRDefault="007D19D6">
      <w:pPr>
        <w:pStyle w:val="TOC7"/>
        <w:ind w:left="142" w:hanging="142"/>
        <w:rPr>
          <w:sz w:val="20"/>
          <w:szCs w:val="20"/>
        </w:rPr>
      </w:pPr>
      <w:r>
        <w:rPr>
          <w:rStyle w:val="footnotemark"/>
          <w:rFonts w:asciiTheme="minorHAnsi" w:eastAsia="MS Mincho" w:hAnsiTheme="minorHAnsi"/>
          <w:szCs w:val="20"/>
        </w:rPr>
        <w:footnoteRef/>
      </w:r>
      <w:r>
        <w:rPr>
          <w:sz w:val="20"/>
          <w:szCs w:val="20"/>
        </w:rPr>
        <w:t>Attiecībā uz Austriju lielākās labvēlības režīma atbrīvojuma daļa attiecībā uz satiksmes tiesībām attiecas uz visām valstīm, ar kurām ir noslēgti vai nākotnē varētu tikt apsvērti divpusēji nolīgumi par autotransportu vai citi pasākumi saistībā ar autotrans</w:t>
      </w:r>
      <w:r>
        <w:rPr>
          <w:sz w:val="20"/>
          <w:szCs w:val="20"/>
        </w:rPr>
        <w:t xml:space="preserve">portu. </w:t>
      </w:r>
    </w:p>
  </w:footnote>
  <w:footnote w:id="109">
    <w:p w:rsidR="003E022D" w:rsidRDefault="007D19D6">
      <w:pPr>
        <w:rPr>
          <w:rFonts w:asciiTheme="minorHAnsi" w:eastAsia="Times New Roman" w:hAnsiTheme="minorHAnsi" w:cstheme="minorHAnsi"/>
          <w:sz w:val="20"/>
          <w:szCs w:val="20"/>
        </w:rPr>
      </w:pPr>
      <w:r>
        <w:rPr>
          <w:rStyle w:val="FootnoteReference"/>
          <w:rFonts w:cstheme="minorHAnsi"/>
          <w:sz w:val="20"/>
          <w:szCs w:val="20"/>
        </w:rPr>
        <w:footnoteRef/>
      </w:r>
      <w:r>
        <w:tab/>
        <w:t>Neietver juridisko konsultāciju un juridiskās pārstāvības pakalpojumus nodokļu jautājumos, kas starptautiskajās publiskajās tiesībās un piederības jurisdikcijas tiesībās atrodami pie juridisko konsultāciju pakalpojumiem.</w:t>
      </w:r>
    </w:p>
  </w:footnote>
  <w:footnote w:id="110">
    <w:p w:rsidR="003E022D" w:rsidRDefault="007D19D6">
      <w:pPr>
        <w:rPr>
          <w:rFonts w:asciiTheme="minorHAnsi" w:hAnsiTheme="minorHAnsi" w:cstheme="minorHAnsi"/>
          <w:sz w:val="20"/>
          <w:szCs w:val="20"/>
        </w:rPr>
      </w:pPr>
      <w:r>
        <w:rPr>
          <w:rStyle w:val="FootnoteReference"/>
          <w:rFonts w:cstheme="minorHAnsi"/>
          <w:sz w:val="20"/>
          <w:szCs w:val="20"/>
        </w:rPr>
        <w:footnoteRef/>
      </w:r>
      <w:r>
        <w:tab/>
        <w:t xml:space="preserve">Daļa no CPC 85201, kas </w:t>
      </w:r>
      <w:r>
        <w:t>ir pie medicīnas un zobārstniecības pakalpojumiem</w:t>
      </w:r>
    </w:p>
  </w:footnote>
  <w:footnote w:id="111">
    <w:p w:rsidR="003E022D" w:rsidRDefault="007D19D6">
      <w:pPr>
        <w:rPr>
          <w:rFonts w:asciiTheme="minorHAnsi" w:hAnsiTheme="minorHAnsi" w:cstheme="minorHAnsi"/>
          <w:sz w:val="20"/>
          <w:szCs w:val="20"/>
        </w:rPr>
      </w:pPr>
      <w:r>
        <w:rPr>
          <w:rStyle w:val="FootnoteReference"/>
          <w:rFonts w:cstheme="minorHAnsi"/>
          <w:sz w:val="20"/>
          <w:szCs w:val="20"/>
        </w:rPr>
        <w:footnoteRef/>
      </w:r>
      <w:r>
        <w:tab/>
        <w:t>Visām Eiropas Savienības dalībvalstīm, izņemot DK, pētniecības organizācijas apstiprināšanā un uzņemšanas līguma noslēgšanā jāievēro ES 2005. gada 12. oktobra Direktīvā 2005/71/EK izklāstītie nosacījumi.</w:t>
      </w:r>
    </w:p>
  </w:footnote>
  <w:footnote w:id="112">
    <w:p w:rsidR="003E022D" w:rsidRDefault="007D19D6">
      <w:pPr>
        <w:rPr>
          <w:rFonts w:asciiTheme="minorHAnsi" w:hAnsiTheme="minorHAnsi" w:cstheme="minorHAnsi"/>
          <w:sz w:val="20"/>
          <w:szCs w:val="20"/>
        </w:rPr>
      </w:pPr>
      <w:r>
        <w:rPr>
          <w:rStyle w:val="FootnoteReference"/>
          <w:rFonts w:cstheme="minorHAnsi"/>
          <w:sz w:val="20"/>
          <w:szCs w:val="20"/>
        </w:rPr>
        <w:footnoteRef/>
      </w:r>
      <w:r>
        <w:tab/>
        <w:t>Visām Eiropas Savienības dalībvalstīm, izņemot DK, pētniecības organizācijas apstiprināšanā un uzņemšanas līguma noslēgšanā jāievēro ES 2005. gada 12. oktobra Direktīvā 2005/71/EK izklāstītie nosacījumi.</w:t>
      </w:r>
    </w:p>
  </w:footnote>
  <w:footnote w:id="113">
    <w:p w:rsidR="003E022D" w:rsidRDefault="007D19D6">
      <w:pPr>
        <w:rPr>
          <w:rFonts w:asciiTheme="minorHAnsi" w:hAnsiTheme="minorHAnsi" w:cstheme="minorHAnsi"/>
          <w:sz w:val="20"/>
          <w:szCs w:val="20"/>
        </w:rPr>
      </w:pPr>
      <w:r>
        <w:rPr>
          <w:rStyle w:val="FootnoteReference"/>
          <w:rFonts w:cstheme="minorHAnsi"/>
          <w:sz w:val="20"/>
          <w:szCs w:val="20"/>
        </w:rPr>
        <w:footnoteRef/>
      </w:r>
      <w:r>
        <w:tab/>
        <w:t>Biroja mehānismu un iekārtu, tostarp datoru, apk</w:t>
      </w:r>
      <w:r>
        <w:t>opes un remonta pakalpojumi (CPC 845) atrodami pie datorpakalpojumiem.</w:t>
      </w:r>
    </w:p>
  </w:footnote>
  <w:footnote w:id="114">
    <w:p w:rsidR="003E022D" w:rsidRDefault="007D19D6">
      <w:pPr>
        <w:rPr>
          <w:rFonts w:asciiTheme="minorHAnsi" w:hAnsiTheme="minorHAnsi" w:cstheme="minorHAnsi"/>
          <w:sz w:val="20"/>
          <w:szCs w:val="20"/>
        </w:rPr>
      </w:pPr>
      <w:r>
        <w:rPr>
          <w:rStyle w:val="FootnoteReference"/>
          <w:rFonts w:cstheme="minorHAnsi"/>
          <w:sz w:val="20"/>
          <w:szCs w:val="20"/>
        </w:rPr>
        <w:footnoteRef/>
      </w:r>
      <w:r>
        <w:tab/>
        <w:t>Pakalpojumu sniedzēji, kuru pienākums ir konkrētās vietās pavadīt vismaz 10 fizisku personu (tūristu) grupu, neveicot gida pienākumus.</w:t>
      </w:r>
    </w:p>
  </w:footnote>
  <w:footnote w:id="115">
    <w:p w:rsidR="003E022D" w:rsidRDefault="007D19D6">
      <w:pPr>
        <w:rPr>
          <w:rFonts w:asciiTheme="minorHAnsi" w:hAnsiTheme="minorHAnsi" w:cstheme="minorHAnsi"/>
          <w:sz w:val="20"/>
          <w:szCs w:val="20"/>
        </w:rPr>
      </w:pPr>
      <w:r>
        <w:rPr>
          <w:rStyle w:val="FootnoteReference"/>
          <w:rFonts w:cstheme="minorHAnsi"/>
          <w:sz w:val="20"/>
          <w:szCs w:val="20"/>
        </w:rPr>
        <w:footnoteRef/>
      </w:r>
      <w:r>
        <w:tab/>
        <w:t xml:space="preserve">Neietver juridisko konsultāciju un juridiskās </w:t>
      </w:r>
      <w:r>
        <w:t>pārstāvības pakalpojumus nodokļu jautājumos, kas starptautiskajās publiskajās tiesībās un piederības jurisdikcijas tiesībās atrodami pie juridisko konsultāciju pakalpojumiem.</w:t>
      </w:r>
    </w:p>
  </w:footnote>
  <w:footnote w:id="116">
    <w:p w:rsidR="003E022D" w:rsidRDefault="007D19D6">
      <w:pPr>
        <w:rPr>
          <w:rFonts w:asciiTheme="minorHAnsi" w:hAnsiTheme="minorHAnsi" w:cstheme="minorHAnsi"/>
          <w:sz w:val="20"/>
          <w:szCs w:val="20"/>
        </w:rPr>
      </w:pPr>
      <w:r>
        <w:rPr>
          <w:rStyle w:val="FootnoteReference"/>
          <w:rFonts w:cstheme="minorHAnsi"/>
          <w:sz w:val="20"/>
          <w:szCs w:val="20"/>
        </w:rPr>
        <w:footnoteRef/>
      </w:r>
      <w:r>
        <w:tab/>
        <w:t>Daļa no CPC 85201, kas ir pie medicīnas un zobārstniecības pakalpojumiem</w:t>
      </w:r>
    </w:p>
  </w:footnote>
  <w:footnote w:id="117">
    <w:p w:rsidR="003E022D" w:rsidRDefault="007D19D6">
      <w:pPr>
        <w:rPr>
          <w:rFonts w:asciiTheme="minorHAnsi" w:hAnsiTheme="minorHAnsi" w:cstheme="minorHAnsi"/>
          <w:sz w:val="20"/>
          <w:szCs w:val="20"/>
        </w:rPr>
      </w:pPr>
      <w:r>
        <w:rPr>
          <w:rStyle w:val="FootnoteReference"/>
          <w:rFonts w:cstheme="minorHAnsi"/>
          <w:sz w:val="20"/>
          <w:szCs w:val="20"/>
        </w:rPr>
        <w:footnoteRef/>
      </w:r>
      <w:r>
        <w:tab/>
        <w:t>Biro</w:t>
      </w:r>
      <w:r>
        <w:t>ja mehānismu un iekārtu, tostarp datoru, apkopes un remonta pakalpojumi (CPC 845) atrodami pie datorpakalpojumiem.</w:t>
      </w:r>
    </w:p>
  </w:footnote>
  <w:footnote w:id="118">
    <w:p w:rsidR="003E022D" w:rsidRDefault="007D19D6">
      <w:pPr>
        <w:rPr>
          <w:rFonts w:asciiTheme="minorHAnsi" w:hAnsiTheme="minorHAnsi" w:cstheme="minorHAnsi"/>
          <w:sz w:val="20"/>
          <w:szCs w:val="20"/>
        </w:rPr>
      </w:pPr>
      <w:r>
        <w:rPr>
          <w:rStyle w:val="FootnoteReference"/>
          <w:rFonts w:cstheme="minorHAnsi"/>
          <w:sz w:val="20"/>
          <w:szCs w:val="20"/>
        </w:rPr>
        <w:footnoteRef/>
      </w:r>
      <w:r>
        <w:tab/>
        <w:t>Pakalpojumu sniedzēji, kuru pienākums ir konkrētās vietās pavadīt vismaz 10 fizisku personu (tūristu) grupu, neveicot gida pienākumus.</w:t>
      </w:r>
    </w:p>
  </w:footnote>
  <w:footnote w:id="119">
    <w:p w:rsidR="003E022D" w:rsidRDefault="007D19D6">
      <w:pPr>
        <w:widowControl w:val="0"/>
        <w:spacing w:after="60"/>
        <w:ind w:left="567" w:hanging="567"/>
        <w:rPr>
          <w:rFonts w:asciiTheme="minorHAnsi" w:hAnsiTheme="minorHAnsi" w:cstheme="minorHAnsi"/>
          <w:color w:val="0070C0"/>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Š</w:t>
      </w:r>
      <w:r>
        <w:rPr>
          <w:rFonts w:asciiTheme="minorHAnsi" w:hAnsiTheme="minorHAnsi"/>
          <w:sz w:val="20"/>
          <w:szCs w:val="20"/>
        </w:rPr>
        <w:t>ā panta 1., 2. un 3. punktu nepiemēro dalībvalstīm, kurās nepiemēro Eiropas Parlamenta un Padomes Direktīvu 2014/66/ES (2014. gada 15. maijs) par ieceļošanas un uzturēšanās nosacījumiem trešo valstu valstspiederīgajiem saistībā ar pārcelšanu uzņēmuma ietva</w:t>
      </w:r>
      <w:r>
        <w:rPr>
          <w:rFonts w:asciiTheme="minorHAnsi" w:hAnsiTheme="minorHAnsi"/>
          <w:sz w:val="20"/>
          <w:szCs w:val="20"/>
        </w:rPr>
        <w:t>ros (“</w:t>
      </w:r>
      <w:r>
        <w:rPr>
          <w:rFonts w:asciiTheme="minorHAnsi" w:hAnsiTheme="minorHAnsi"/>
          <w:i/>
          <w:sz w:val="20"/>
          <w:szCs w:val="20"/>
        </w:rPr>
        <w:t>ICT</w:t>
      </w:r>
      <w:r>
        <w:rPr>
          <w:rFonts w:asciiTheme="minorHAnsi" w:hAnsiTheme="minorHAnsi"/>
          <w:sz w:val="20"/>
          <w:szCs w:val="20"/>
        </w:rPr>
        <w:t>”“ direktīva”)</w:t>
      </w:r>
    </w:p>
  </w:footnote>
  <w:footnote w:id="120">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Saskaņā ar ES komunālo pakalpojumu direktīvu publisks uzņēmums ir uzņēmums, kurā līgumslēdzējām iestādēm var būt tieša vai netieša dominējoša ietekme atbilstīgi to īpašuma tiesībām uz minēto uzņēmumu, finansiālajai līdzdalībai mi</w:t>
      </w:r>
      <w:r>
        <w:rPr>
          <w:rFonts w:asciiTheme="minorHAnsi" w:hAnsiTheme="minorHAnsi"/>
          <w:sz w:val="20"/>
          <w:szCs w:val="20"/>
        </w:rPr>
        <w:t>nētajos uzņēmumos vai noteikumiem, kas reglamentē minētos uzņēmumus.</w:t>
      </w:r>
    </w:p>
    <w:p w:rsidR="003E022D" w:rsidRDefault="007D19D6">
      <w:pPr>
        <w:rPr>
          <w:rFonts w:asciiTheme="minorHAnsi" w:hAnsiTheme="minorHAnsi" w:cstheme="minorHAnsi"/>
          <w:sz w:val="20"/>
          <w:szCs w:val="20"/>
        </w:rPr>
      </w:pPr>
      <w:r>
        <w:rPr>
          <w:rFonts w:asciiTheme="minorHAnsi" w:hAnsiTheme="minorHAnsi"/>
          <w:sz w:val="20"/>
          <w:szCs w:val="20"/>
        </w:rPr>
        <w:t>Uzskata, ka līgumslēdzējai iestādei ir dominējoša ietekme, ja minētā iestāde kādā uzņēmumā tieši vai netieši:</w:t>
      </w:r>
    </w:p>
    <w:p w:rsidR="003E022D" w:rsidRDefault="007D19D6">
      <w:pPr>
        <w:ind w:left="1134"/>
        <w:rPr>
          <w:rFonts w:asciiTheme="minorHAnsi" w:hAnsiTheme="minorHAnsi" w:cstheme="minorHAnsi"/>
          <w:sz w:val="20"/>
          <w:szCs w:val="20"/>
        </w:rPr>
      </w:pPr>
      <w:r>
        <w:rPr>
          <w:rFonts w:asciiTheme="minorHAnsi" w:hAnsiTheme="minorHAnsi"/>
          <w:sz w:val="20"/>
          <w:szCs w:val="20"/>
        </w:rPr>
        <w:t>i.</w:t>
      </w:r>
      <w:r>
        <w:tab/>
      </w:r>
      <w:r>
        <w:rPr>
          <w:rFonts w:asciiTheme="minorHAnsi" w:hAnsiTheme="minorHAnsi"/>
          <w:sz w:val="20"/>
          <w:szCs w:val="20"/>
        </w:rPr>
        <w:t>ir īpašnieks lielākajai daļai šā uzņēmuma parakstītā kapitāla vai</w:t>
      </w:r>
    </w:p>
    <w:p w:rsidR="003E022D" w:rsidRDefault="007D19D6">
      <w:pPr>
        <w:ind w:left="1134"/>
        <w:rPr>
          <w:rFonts w:asciiTheme="minorHAnsi" w:hAnsiTheme="minorHAnsi" w:cstheme="minorHAnsi"/>
          <w:sz w:val="20"/>
          <w:szCs w:val="20"/>
        </w:rPr>
      </w:pPr>
      <w:r>
        <w:rPr>
          <w:rFonts w:asciiTheme="minorHAnsi" w:hAnsiTheme="minorHAnsi"/>
          <w:sz w:val="20"/>
          <w:szCs w:val="20"/>
        </w:rPr>
        <w:t>ii.</w:t>
      </w:r>
      <w:r>
        <w:tab/>
      </w:r>
      <w:r>
        <w:rPr>
          <w:rFonts w:asciiTheme="minorHAnsi" w:hAnsiTheme="minorHAnsi"/>
          <w:sz w:val="20"/>
          <w:szCs w:val="20"/>
        </w:rPr>
        <w:t>kontrolē balsu vairākumu, kas saistīts ar uzņēmuma emitētajām akcijām, vai</w:t>
      </w:r>
    </w:p>
    <w:p w:rsidR="003E022D" w:rsidRDefault="007D19D6">
      <w:pPr>
        <w:ind w:left="1134"/>
        <w:rPr>
          <w:rFonts w:asciiTheme="minorHAnsi" w:hAnsiTheme="minorHAnsi" w:cstheme="minorHAnsi"/>
          <w:sz w:val="20"/>
          <w:szCs w:val="20"/>
        </w:rPr>
      </w:pPr>
      <w:r>
        <w:rPr>
          <w:rFonts w:asciiTheme="minorHAnsi" w:hAnsiTheme="minorHAnsi"/>
          <w:sz w:val="20"/>
          <w:szCs w:val="20"/>
        </w:rPr>
        <w:t>iii.</w:t>
      </w:r>
      <w:r>
        <w:tab/>
      </w:r>
      <w:r>
        <w:rPr>
          <w:rFonts w:asciiTheme="minorHAnsi" w:hAnsiTheme="minorHAnsi"/>
          <w:sz w:val="20"/>
          <w:szCs w:val="20"/>
        </w:rPr>
        <w:t>var iecelt vairāk nekā pusi konkrētā uzņēmuma administrācijas, vadības vai uzraudzības struktūras locekļu.</w:t>
      </w:r>
    </w:p>
  </w:footnote>
  <w:footnote w:id="121">
    <w:p w:rsidR="003E022D" w:rsidRDefault="007D19D6">
      <w:pPr>
        <w:pStyle w:val="FootnoteText"/>
        <w:rPr>
          <w:rFonts w:asciiTheme="minorHAnsi" w:hAnsiTheme="minorHAnsi" w:cstheme="minorHAnsi"/>
        </w:rPr>
      </w:pPr>
      <w:r>
        <w:rPr>
          <w:rStyle w:val="FootnoteReference"/>
          <w:rFonts w:cstheme="minorHAnsi"/>
          <w:color w:val="000000" w:themeColor="text1"/>
        </w:rPr>
        <w:footnoteRef/>
      </w:r>
      <w:r>
        <w:rPr>
          <w:rFonts w:asciiTheme="minorHAnsi" w:hAnsiTheme="minorHAnsi"/>
          <w:color w:val="000000" w:themeColor="text1"/>
        </w:rPr>
        <w:t xml:space="preserve"> </w:t>
      </w:r>
      <w:r>
        <w:tab/>
      </w:r>
      <w:r>
        <w:rPr>
          <w:rFonts w:asciiTheme="minorHAnsi" w:hAnsiTheme="minorHAnsi"/>
          <w:color w:val="000000" w:themeColor="text1"/>
        </w:rPr>
        <w:t>Lielākai noteiktībai – nodevas neietver tīkla maksas vai tarifus.</w:t>
      </w:r>
    </w:p>
  </w:footnote>
  <w:footnote w:id="122">
    <w:p w:rsidR="003E022D" w:rsidRDefault="007D19D6">
      <w:pPr>
        <w:rPr>
          <w:rFonts w:asciiTheme="minorHAnsi" w:hAnsiTheme="minorHAnsi" w:cstheme="minorHAnsi"/>
          <w:sz w:val="20"/>
          <w:szCs w:val="20"/>
        </w:rPr>
      </w:pPr>
      <w:r>
        <w:rPr>
          <w:rStyle w:val="FootnoteReference"/>
          <w:rFonts w:cstheme="minorHAnsi"/>
          <w:color w:val="000000" w:themeColor="text1"/>
          <w:sz w:val="20"/>
          <w:szCs w:val="20"/>
        </w:rPr>
        <w:footnoteRef/>
      </w:r>
      <w:r>
        <w:tab/>
      </w:r>
      <w:r>
        <w:rPr>
          <w:rStyle w:val="FootnoteReference"/>
          <w:color w:val="000000" w:themeColor="text1"/>
        </w:rPr>
        <w:t xml:space="preserve"> </w:t>
      </w:r>
      <w:r>
        <w:t>Komisijas Regula (ES) 2015/1222 (2015. gada 24. jūlijs), ar ko izveido jaudas piešķiršanas un pārslodzes vadības vadlīnijas (</w:t>
      </w:r>
      <w:r>
        <w:rPr>
          <w:rFonts w:asciiTheme="minorHAnsi" w:hAnsiTheme="minorHAnsi"/>
        </w:rPr>
        <w:t>OV L 197, 25.7.2015., 24. lpp.).</w:t>
      </w:r>
    </w:p>
  </w:footnote>
  <w:footnote w:id="123">
    <w:p w:rsidR="003E022D" w:rsidRDefault="007D19D6">
      <w:pPr>
        <w:rPr>
          <w:rFonts w:asciiTheme="minorHAnsi" w:hAnsiTheme="minorHAnsi" w:cstheme="minorHAnsi"/>
          <w:sz w:val="20"/>
          <w:szCs w:val="20"/>
        </w:rPr>
      </w:pPr>
      <w:r>
        <w:rPr>
          <w:rStyle w:val="FootnoteReference"/>
          <w:rFonts w:cstheme="minorHAnsi"/>
          <w:sz w:val="20"/>
          <w:szCs w:val="20"/>
        </w:rPr>
        <w:footnoteRef/>
      </w:r>
      <w:r>
        <w:t xml:space="preserve"> Izveidota ar Regulu (ES) Nr. 1024/2012.</w:t>
      </w:r>
      <w:r>
        <w:rPr>
          <w:rFonts w:asciiTheme="minorHAnsi" w:hAnsiTheme="minorHAnsi"/>
          <w:sz w:val="20"/>
          <w:szCs w:val="20"/>
        </w:rPr>
        <w:t xml:space="preserve"> </w:t>
      </w:r>
    </w:p>
  </w:footnote>
  <w:footnote w:id="124">
    <w:p w:rsidR="003E022D" w:rsidRDefault="007D19D6">
      <w:pPr>
        <w:rPr>
          <w:rFonts w:asciiTheme="minorHAnsi" w:hAnsiTheme="minorHAnsi" w:cstheme="minorHAnsi"/>
          <w:sz w:val="20"/>
          <w:szCs w:val="20"/>
        </w:rPr>
      </w:pPr>
      <w:r>
        <w:rPr>
          <w:rStyle w:val="FootnoteReference"/>
          <w:rFonts w:cstheme="minorHAnsi"/>
          <w:sz w:val="20"/>
          <w:szCs w:val="20"/>
        </w:rPr>
        <w:footnoteRef/>
      </w:r>
      <w:r>
        <w:tab/>
        <w:t>Eiropas Parlamenta un Padomes Regula (ES) Nr. 1024</w:t>
      </w:r>
      <w:r>
        <w:t>/2012 (2012. gada 25. oktobris) par administratīvo sadarbību, izmantojot Iekšējā tirgus informācijas sistēmu, un ar ko atceļ Komisijas Lēmumu 2008/49/EK (“IMI regula”) (OV L 316, 14.11.2012., 1. lpp.).</w:t>
      </w:r>
    </w:p>
  </w:footnote>
  <w:footnote w:id="125">
    <w:p w:rsidR="003E022D" w:rsidRDefault="007D19D6">
      <w:pPr>
        <w:rPr>
          <w:rFonts w:asciiTheme="minorHAnsi" w:hAnsiTheme="minorHAnsi" w:cstheme="minorHAnsi"/>
          <w:sz w:val="20"/>
          <w:szCs w:val="20"/>
        </w:rPr>
      </w:pPr>
      <w:r>
        <w:rPr>
          <w:rStyle w:val="FootnoteReference"/>
          <w:rFonts w:cstheme="minorHAnsi"/>
          <w:sz w:val="20"/>
          <w:szCs w:val="20"/>
        </w:rPr>
        <w:footnoteRef/>
      </w:r>
      <w:r>
        <w:tab/>
        <w:t>Pieņemta 1956. gada 19. maijā Ženēvā.</w:t>
      </w:r>
    </w:p>
  </w:footnote>
  <w:footnote w:id="126">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Ja vajadzīgs</w:t>
      </w:r>
    </w:p>
  </w:footnote>
  <w:footnote w:id="127">
    <w:p w:rsidR="003E022D" w:rsidRDefault="007D19D6">
      <w:pPr>
        <w:rPr>
          <w:rFonts w:asciiTheme="minorHAnsi" w:hAnsiTheme="minorHAnsi" w:cstheme="minorHAnsi"/>
          <w:sz w:val="20"/>
          <w:szCs w:val="20"/>
        </w:rPr>
      </w:pPr>
      <w:r>
        <w:rPr>
          <w:rStyle w:val="FootnoteReference"/>
          <w:rFonts w:cstheme="minorHAnsi"/>
          <w:sz w:val="20"/>
          <w:szCs w:val="20"/>
        </w:rPr>
        <w:footnoteRef/>
      </w:r>
      <w:r>
        <w:tab/>
        <w:t>Padomes Regula (EEK) Nr. 3821/85 (1985. gada 20. decembris) par reģistrācijas kontrolierīcēm, ko izmanto autotransportā</w:t>
      </w:r>
    </w:p>
    <w:p w:rsidR="003E022D" w:rsidRDefault="007D19D6">
      <w:pPr>
        <w:rPr>
          <w:rFonts w:asciiTheme="minorHAnsi" w:hAnsiTheme="minorHAnsi" w:cstheme="minorHAnsi"/>
          <w:sz w:val="20"/>
          <w:szCs w:val="20"/>
        </w:rPr>
      </w:pPr>
      <w:r>
        <w:rPr>
          <w:rFonts w:asciiTheme="minorHAnsi" w:hAnsiTheme="minorHAnsi"/>
          <w:sz w:val="20"/>
          <w:szCs w:val="20"/>
        </w:rPr>
        <w:t>(OV L 370, 31.12.1985., 8. lpp.).</w:t>
      </w:r>
    </w:p>
  </w:footnote>
  <w:footnote w:id="128">
    <w:p w:rsidR="003E022D" w:rsidRDefault="007D19D6">
      <w:pPr>
        <w:rPr>
          <w:rFonts w:asciiTheme="minorHAnsi" w:hAnsiTheme="minorHAnsi" w:cstheme="minorHAnsi"/>
          <w:sz w:val="20"/>
          <w:szCs w:val="20"/>
        </w:rPr>
      </w:pPr>
      <w:r>
        <w:rPr>
          <w:rStyle w:val="FootnoteReference"/>
          <w:rFonts w:cstheme="minorHAnsi"/>
          <w:sz w:val="20"/>
          <w:szCs w:val="20"/>
        </w:rPr>
        <w:footnoteRef/>
      </w:r>
      <w:r>
        <w:tab/>
        <w:t xml:space="preserve">Eiropas Parlamenta un Padomes Regula (ES) Nr. 165/2014 (2014. gada 4. februāris) par tahogrāfiem </w:t>
      </w:r>
      <w:r>
        <w:t xml:space="preserve">autotransportā, ar kuru atceļ Padomes Regulu (EEK) Nr. 3821/85 par reģistrācijas kontrolierīcēm, ko izmanto autotransportā, un groza Eiropas Parlamenta un Padomes Regulu (EK) Nr. 561/2006, ar ko paredz dažu sociālās jomas tiesību aktu saskaņošanu saistībā </w:t>
      </w:r>
      <w:r>
        <w:t>ar autotransportu (Dokuments attiecas uz EEZ)</w:t>
      </w:r>
    </w:p>
    <w:p w:rsidR="003E022D" w:rsidRDefault="007D19D6">
      <w:pPr>
        <w:rPr>
          <w:rFonts w:asciiTheme="minorHAnsi" w:hAnsiTheme="minorHAnsi" w:cstheme="minorHAnsi"/>
          <w:sz w:val="20"/>
          <w:szCs w:val="20"/>
        </w:rPr>
      </w:pPr>
      <w:r>
        <w:rPr>
          <w:rFonts w:asciiTheme="minorHAnsi" w:hAnsiTheme="minorHAnsi"/>
          <w:sz w:val="20"/>
          <w:szCs w:val="20"/>
        </w:rPr>
        <w:t>(OV L 60, 28.2.2014., 1. lpp.).</w:t>
      </w:r>
    </w:p>
  </w:footnote>
  <w:footnote w:id="129">
    <w:p w:rsidR="003E022D" w:rsidRDefault="007D19D6">
      <w:pPr>
        <w:rPr>
          <w:rFonts w:asciiTheme="minorHAnsi" w:hAnsiTheme="minorHAnsi" w:cstheme="minorHAnsi"/>
          <w:sz w:val="20"/>
          <w:szCs w:val="20"/>
        </w:rPr>
      </w:pPr>
      <w:r>
        <w:rPr>
          <w:rStyle w:val="FootnoteReference"/>
          <w:rFonts w:cstheme="minorHAnsi"/>
          <w:sz w:val="20"/>
          <w:szCs w:val="20"/>
        </w:rPr>
        <w:footnoteRef/>
      </w:r>
      <w:r>
        <w:tab/>
        <w:t>OV L 15, 22.1.2016., 51. lpp.</w:t>
      </w:r>
    </w:p>
  </w:footnote>
  <w:footnote w:id="130">
    <w:p w:rsidR="003E022D" w:rsidRDefault="007D19D6">
      <w:pPr>
        <w:pStyle w:val="footnotedescription"/>
        <w:spacing w:line="263" w:lineRule="auto"/>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w:t>
      </w:r>
      <w:r>
        <w:rPr>
          <w:rFonts w:asciiTheme="minorHAnsi" w:hAnsiTheme="minorHAnsi"/>
          <w:color w:val="000000" w:themeColor="text1"/>
          <w:sz w:val="20"/>
          <w:szCs w:val="20"/>
        </w:rPr>
        <w:tab/>
        <w:t>Austrija (A), Beļģija (B), Bulgārija (BG), Čehijas Republika (CZ), Dānija (DK), Francija (F), Grieķija (GR), Horvātija (HR), Igaunija (EST), It</w:t>
      </w:r>
      <w:r>
        <w:rPr>
          <w:rFonts w:asciiTheme="minorHAnsi" w:hAnsiTheme="minorHAnsi"/>
          <w:color w:val="000000" w:themeColor="text1"/>
          <w:sz w:val="20"/>
          <w:szCs w:val="20"/>
        </w:rPr>
        <w:t>ālija (I), Īrija (IRL), Kipra (CY), Latvija (LV), Lietuva (LT), Luksemburga (L), Malta (MT), Nīderlande (NL), Polija (PL), Portugāle (P), Rumānija (RO), Slovākijas Republika (SK), Slovēnija (SLO), Somija (FIN), Spānija (E), Ungārija (H), Vācija (D), Zviedr</w:t>
      </w:r>
      <w:r>
        <w:rPr>
          <w:rFonts w:asciiTheme="minorHAnsi" w:hAnsiTheme="minorHAnsi"/>
          <w:color w:val="000000" w:themeColor="text1"/>
          <w:sz w:val="20"/>
          <w:szCs w:val="20"/>
        </w:rPr>
        <w:t xml:space="preserve">ija (S), Apvienotā Karaliste (UK); jāaizpilda. </w:t>
      </w:r>
    </w:p>
    <w:p w:rsidR="003E022D" w:rsidRDefault="007D19D6">
      <w:pPr>
        <w:pStyle w:val="footnotedescription"/>
        <w:spacing w:line="263" w:lineRule="auto"/>
        <w:jc w:val="both"/>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Attiecīgi atzīmēt vai aizpildīt. </w:t>
      </w:r>
    </w:p>
  </w:footnote>
  <w:footnote w:id="131">
    <w:p w:rsidR="003E022D" w:rsidRDefault="007D19D6">
      <w:pPr>
        <w:pStyle w:val="footnotedescription"/>
        <w:spacing w:line="231" w:lineRule="auto"/>
        <w:ind w:right="6258"/>
        <w:rPr>
          <w:rFonts w:asciiTheme="minorHAnsi" w:hAnsiTheme="minorHAnsi" w:cstheme="minorHAnsi"/>
          <w:b/>
          <w:color w:val="000000" w:themeColor="text1"/>
          <w:sz w:val="20"/>
          <w:szCs w:val="20"/>
          <w:vertAlign w:val="superscript"/>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Attiecīgi atzīmēt vai aizpildīt. </w:t>
      </w:r>
    </w:p>
    <w:p w:rsidR="003E022D" w:rsidRDefault="007D19D6">
      <w:pPr>
        <w:pStyle w:val="footnotedescription"/>
        <w:spacing w:line="231" w:lineRule="auto"/>
        <w:ind w:right="6258"/>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Attiecīgā gadījumā pievienot sarakstu. </w:t>
      </w:r>
    </w:p>
  </w:footnote>
  <w:footnote w:id="132">
    <w:p w:rsidR="003E022D" w:rsidRDefault="007D19D6">
      <w:pPr>
        <w:pStyle w:val="footnotedescription"/>
        <w:tabs>
          <w:tab w:val="center" w:pos="1862"/>
        </w:tabs>
        <w:spacing w:after="14"/>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Attiecīgi atzīmēt vai aizpildīt. </w:t>
      </w:r>
    </w:p>
  </w:footnote>
  <w:footnote w:id="133">
    <w:p w:rsidR="003E022D" w:rsidRDefault="007D19D6">
      <w:pPr>
        <w:pStyle w:val="footnotedescription"/>
        <w:spacing w:line="271" w:lineRule="auto"/>
        <w:ind w:right="9"/>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Atļaujas izdevējiestāde var prasīt, lai šai pieteikuma veidlapai atsevišķi tiktu pievienots pilnīgs pieturvietu, kurās tiek uzņemti vai izlaisti pasažieri, saraksts ar pilnām adresēm. </w:t>
      </w:r>
      <w:r>
        <w:rPr>
          <w:rFonts w:asciiTheme="minorHAnsi" w:hAnsiTheme="minorHAnsi"/>
          <w:b/>
          <w:color w:val="000000" w:themeColor="text1"/>
          <w:sz w:val="20"/>
          <w:szCs w:val="20"/>
          <w:vertAlign w:val="superscript"/>
        </w:rPr>
        <w:t>3</w:t>
      </w:r>
      <w:r>
        <w:rPr>
          <w:rFonts w:asciiTheme="minorHAnsi" w:hAnsiTheme="minorHAnsi"/>
          <w:color w:val="000000" w:themeColor="text1"/>
          <w:sz w:val="20"/>
          <w:szCs w:val="20"/>
        </w:rPr>
        <w:t xml:space="preserve"> Aizpildīt pēc vajadzības. </w:t>
      </w:r>
    </w:p>
  </w:footnote>
  <w:footnote w:id="134">
    <w:p w:rsidR="003E022D" w:rsidRDefault="007D19D6">
      <w:pPr>
        <w:rPr>
          <w:rFonts w:asciiTheme="minorHAnsi" w:hAnsiTheme="minorHAnsi" w:cstheme="minorHAnsi"/>
          <w:sz w:val="20"/>
          <w:szCs w:val="20"/>
        </w:rPr>
      </w:pPr>
      <w:r>
        <w:rPr>
          <w:rStyle w:val="FootnoteReference"/>
          <w:rFonts w:cstheme="minorHAnsi"/>
          <w:sz w:val="20"/>
          <w:szCs w:val="20"/>
          <w:lang w:val="en-US"/>
        </w:rPr>
        <w:footnoteRef/>
      </w:r>
      <w:r>
        <w:tab/>
        <w:t>"Pilnīgs" nozīmē to, ka izmanto arī reti</w:t>
      </w:r>
      <w:r>
        <w:t xml:space="preserve"> sastopamu alēļu vērtības.</w:t>
      </w:r>
    </w:p>
  </w:footnote>
  <w:footnote w:id="135">
    <w:p w:rsidR="003E022D" w:rsidRDefault="007D19D6">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 xml:space="preserve">Šī pozīcija ir definēta </w:t>
      </w:r>
      <w:r>
        <w:rPr>
          <w:rFonts w:asciiTheme="minorHAnsi" w:hAnsiTheme="minorHAnsi"/>
          <w:i/>
          <w:sz w:val="20"/>
          <w:szCs w:val="20"/>
        </w:rPr>
        <w:t>ASCII</w:t>
      </w:r>
      <w:r>
        <w:rPr>
          <w:rFonts w:asciiTheme="minorHAnsi" w:hAnsiTheme="minorHAnsi"/>
          <w:sz w:val="20"/>
          <w:szCs w:val="20"/>
        </w:rPr>
        <w:t xml:space="preserve"> standartā.</w:t>
      </w:r>
    </w:p>
  </w:footnote>
  <w:footnote w:id="136">
    <w:p w:rsidR="003E022D" w:rsidRDefault="007D19D6">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obligāts (</w:t>
      </w:r>
      <w:r>
        <w:rPr>
          <w:rFonts w:asciiTheme="minorHAnsi" w:hAnsiTheme="minorHAnsi"/>
          <w:i/>
          <w:sz w:val="20"/>
          <w:szCs w:val="20"/>
        </w:rPr>
        <w:t>mandatory</w:t>
      </w:r>
      <w:r>
        <w:rPr>
          <w:rFonts w:asciiTheme="minorHAnsi" w:hAnsiTheme="minorHAnsi"/>
          <w:sz w:val="20"/>
          <w:szCs w:val="20"/>
        </w:rPr>
        <w:t>), ja pieejams valsts reģistrā; O = fakultatīvs (</w:t>
      </w:r>
      <w:r>
        <w:rPr>
          <w:rFonts w:asciiTheme="minorHAnsi" w:hAnsiTheme="minorHAnsi"/>
          <w:i/>
          <w:sz w:val="20"/>
          <w:szCs w:val="20"/>
        </w:rPr>
        <w:t>optional</w:t>
      </w:r>
      <w:r>
        <w:rPr>
          <w:rFonts w:asciiTheme="minorHAnsi" w:hAnsiTheme="minorHAnsi"/>
          <w:sz w:val="20"/>
          <w:szCs w:val="20"/>
        </w:rPr>
        <w:t>).</w:t>
      </w:r>
    </w:p>
  </w:footnote>
  <w:footnote w:id="137">
    <w:p w:rsidR="003E022D" w:rsidRDefault="007D19D6">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Visi dalībvalstu īpaši norādītie atribūti ir atzīmēti ar Y.</w:t>
      </w:r>
    </w:p>
  </w:footnote>
  <w:footnote w:id="138">
    <w:p w:rsidR="003E022D" w:rsidRDefault="007D19D6">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Saskaņotā dokumenta saīsinājums, skat</w:t>
      </w:r>
      <w:r>
        <w:rPr>
          <w:rFonts w:asciiTheme="minorHAnsi" w:hAnsiTheme="minorHAnsi"/>
          <w:sz w:val="20"/>
          <w:szCs w:val="20"/>
        </w:rPr>
        <w:t>īt Padomes Direktīvu 1999/37/EK, 29.4.1999.</w:t>
      </w:r>
    </w:p>
  </w:footnote>
  <w:footnote w:id="139">
    <w:p w:rsidR="003E022D" w:rsidRDefault="007D19D6">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obligāts (</w:t>
      </w:r>
      <w:r>
        <w:rPr>
          <w:rFonts w:asciiTheme="minorHAnsi" w:hAnsiTheme="minorHAnsi"/>
          <w:i/>
          <w:sz w:val="20"/>
          <w:szCs w:val="20"/>
        </w:rPr>
        <w:t>mandatory</w:t>
      </w:r>
      <w:r>
        <w:rPr>
          <w:rFonts w:asciiTheme="minorHAnsi" w:hAnsiTheme="minorHAnsi"/>
          <w:sz w:val="20"/>
          <w:szCs w:val="20"/>
        </w:rPr>
        <w:t>), ja pieejams valsts reģistrā; O = fakultatīvs (</w:t>
      </w:r>
      <w:r>
        <w:rPr>
          <w:rFonts w:asciiTheme="minorHAnsi" w:hAnsiTheme="minorHAnsi"/>
          <w:i/>
          <w:sz w:val="20"/>
          <w:szCs w:val="20"/>
        </w:rPr>
        <w:t>optional</w:t>
      </w:r>
      <w:r>
        <w:rPr>
          <w:rFonts w:asciiTheme="minorHAnsi" w:hAnsiTheme="minorHAnsi"/>
          <w:sz w:val="20"/>
          <w:szCs w:val="20"/>
        </w:rPr>
        <w:t>).</w:t>
      </w:r>
    </w:p>
  </w:footnote>
  <w:footnote w:id="140">
    <w:p w:rsidR="003E022D" w:rsidRDefault="007D19D6">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Saskaņotā dokumenta saīsinājums, skatīt Padomes Direktīvu 1999/37/EK, 1999. gada 24. aprīlis.</w:t>
      </w:r>
    </w:p>
  </w:footnote>
  <w:footnote w:id="141">
    <w:p w:rsidR="003E022D" w:rsidRDefault="007D19D6">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 xml:space="preserve">Luksemburgā izmanto divus </w:t>
      </w:r>
      <w:r>
        <w:rPr>
          <w:rFonts w:asciiTheme="minorHAnsi" w:hAnsiTheme="minorHAnsi"/>
          <w:sz w:val="20"/>
          <w:szCs w:val="20"/>
        </w:rPr>
        <w:t>dažādus transportlīdzekļu dokumentu reģistrācijas ID.</w:t>
      </w:r>
    </w:p>
  </w:footnote>
  <w:footnote w:id="142">
    <w:p w:rsidR="003E022D" w:rsidRDefault="007D19D6">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obligāti (</w:t>
      </w:r>
      <w:r>
        <w:rPr>
          <w:rFonts w:asciiTheme="minorHAnsi" w:hAnsiTheme="minorHAnsi"/>
          <w:i/>
          <w:sz w:val="20"/>
          <w:szCs w:val="20"/>
        </w:rPr>
        <w:t>mandatory</w:t>
      </w:r>
      <w:r>
        <w:rPr>
          <w:rFonts w:asciiTheme="minorHAnsi" w:hAnsiTheme="minorHAnsi"/>
          <w:sz w:val="20"/>
          <w:szCs w:val="20"/>
        </w:rPr>
        <w:t>) jāizmanto vai jāievēro; O = fakultatīvs (</w:t>
      </w:r>
      <w:r>
        <w:rPr>
          <w:rFonts w:asciiTheme="minorHAnsi" w:hAnsiTheme="minorHAnsi"/>
          <w:i/>
          <w:sz w:val="20"/>
          <w:szCs w:val="20"/>
        </w:rPr>
        <w:t>optional</w:t>
      </w:r>
      <w:r>
        <w:rPr>
          <w:rFonts w:asciiTheme="minorHAnsi" w:hAnsiTheme="minorHAnsi"/>
          <w:sz w:val="20"/>
          <w:szCs w:val="20"/>
        </w:rPr>
        <w:t>) izmantojums vai ievērošana.</w:t>
      </w:r>
    </w:p>
  </w:footnote>
  <w:footnote w:id="143">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Padomes Īstenošanas lēmums (ES) 2019/968 (2019. gada 6. jūnijs) par to, lai Apvienotā Karalis</w:t>
      </w:r>
      <w:r>
        <w:rPr>
          <w:rFonts w:asciiTheme="minorHAnsi" w:hAnsiTheme="minorHAnsi"/>
          <w:sz w:val="20"/>
          <w:szCs w:val="20"/>
        </w:rPr>
        <w:t>te sāktu DNS datu automatizētu apmaiņu (OV L 156, 13.6.2019., 8. lpp.).</w:t>
      </w:r>
    </w:p>
  </w:footnote>
  <w:footnote w:id="144">
    <w:p w:rsidR="003E022D" w:rsidRDefault="007D19D6">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Padomes Īstenošanas lēmums (ES) 2020/1188 (2020. gada 6. augusts) par to, lai Apvienotā Karaliste sāktu DNS datu automatizētu apmaiņu (OV L 265, 12.8.2020., 1. lpp.).</w:t>
      </w:r>
    </w:p>
  </w:footnote>
  <w:footnote w:id="145">
    <w:p w:rsidR="003E022D" w:rsidRDefault="007D19D6">
      <w:pPr>
        <w:rPr>
          <w:rFonts w:asciiTheme="minorHAnsi" w:hAnsiTheme="minorHAnsi" w:cstheme="minorHAnsi"/>
          <w:sz w:val="20"/>
          <w:szCs w:val="20"/>
        </w:rPr>
      </w:pPr>
      <w:r>
        <w:rPr>
          <w:rStyle w:val="FootnoteReference"/>
          <w:rFonts w:cstheme="minorHAnsi"/>
          <w:sz w:val="20"/>
          <w:szCs w:val="20"/>
        </w:rPr>
        <w:footnoteRef/>
      </w:r>
      <w:r>
        <w:t xml:space="preserve"> </w:t>
      </w:r>
      <w:r>
        <w:rPr>
          <w:rFonts w:asciiTheme="minorHAnsi" w:hAnsiTheme="minorHAnsi"/>
          <w:sz w:val="20"/>
          <w:szCs w:val="20"/>
        </w:rPr>
        <w:t xml:space="preserve">Šim orderim </w:t>
      </w:r>
      <w:r>
        <w:rPr>
          <w:rFonts w:asciiTheme="minorHAnsi" w:hAnsiTheme="minorHAnsi"/>
          <w:sz w:val="20"/>
          <w:szCs w:val="20"/>
        </w:rPr>
        <w:t>jābūt rakstītam vai tulkotam vienā no izpildu valsts oficiālajām valodām, ja šī valsts ir zināma, vai jebkurā citā valodā, ko pieņem tā valsts.</w:t>
      </w:r>
    </w:p>
  </w:footnote>
  <w:footnote w:id="146">
    <w:p w:rsidR="003E022D" w:rsidRDefault="007D19D6">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Eiropas Parlamenta un Padomes Regula (ES, Euratom) 2018/1046 (2018. gada 18. jūlijs) par finanšu noteikumiem,</w:t>
      </w:r>
      <w:r>
        <w:rPr>
          <w:rFonts w:asciiTheme="minorHAnsi" w:hAnsiTheme="minorHAnsi"/>
        </w:rPr>
        <w:t xml:space="preserve"> ko piemēro Savienības vispārējam budžetam, ar kuru groza Regulas (ES) Nr. 1296/2013, (ES) Nr. 1301/2013, (ES) Nr. 1303/2013, (ES) Nr. 1304/2013, (ES) Nr. 1309/2013, (ES) Nr. 1316/2013, (ES) Nr. 223/2014, (ES) Nr. 283/2014 un Lēmumu Nr. 541/2014/ES un atce</w:t>
      </w:r>
      <w:r>
        <w:rPr>
          <w:rFonts w:asciiTheme="minorHAnsi" w:hAnsiTheme="minorHAnsi"/>
        </w:rPr>
        <w:t>ļ Regulu (ES, Euratom) Nr. 966/2012 (ES OV L 193, 30.7.2018., 1. lpp.).</w:t>
      </w:r>
    </w:p>
  </w:footnote>
  <w:footnote w:id="147">
    <w:p w:rsidR="003E022D" w:rsidRDefault="007D19D6">
      <w:pPr>
        <w:jc w:val="left"/>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Lielākai noteiktībai un jo īpaši šajā protokolā tiek saprasts, ka jēdziens “persona” ietver ikvienu personu apvienību, kurai nav juridiskas personas statusa, bet kura saskaņā ar piem</w:t>
      </w:r>
      <w:r>
        <w:rPr>
          <w:rFonts w:asciiTheme="minorHAnsi" w:hAnsiTheme="minorHAnsi"/>
          <w:sz w:val="20"/>
          <w:szCs w:val="20"/>
        </w:rPr>
        <w:t>ērojamajiem tiesību aktiem atzīta par tiesīgu veikt juridiskas darbības. Tas ietver arī visus pārējos jebkāda rakstura un formas juridiskos veidojumus, kas ir vai nav juridiskas personas un kas veic darījumus, kuri ir apliekami ar PVN, vai kas ir atbildīgi</w:t>
      </w:r>
      <w:r>
        <w:rPr>
          <w:rFonts w:asciiTheme="minorHAnsi" w:hAnsiTheme="minorHAnsi"/>
          <w:sz w:val="20"/>
          <w:szCs w:val="20"/>
        </w:rPr>
        <w:t xml:space="preserve"> par šā protokola 2. panta [Darbības joma] 1. punkta b) apakšpunktā minēto prasījumu samaksu. </w:t>
      </w:r>
    </w:p>
  </w:footnote>
  <w:footnote w:id="148">
    <w:p w:rsidR="003E022D" w:rsidRDefault="007D19D6">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Šajā trešajā slejā pieprasījuma saņēmēja iestāde vai nu ieraksta informāciju, ko pieprasījusi pieprasītāja iestāde (ar ķeksīti atzīmēts lodziņš “aizpildīt” otr</w:t>
      </w:r>
      <w:r>
        <w:rPr>
          <w:rFonts w:asciiTheme="minorHAnsi" w:hAnsiTheme="minorHAnsi"/>
          <w:sz w:val="20"/>
          <w:szCs w:val="20"/>
        </w:rPr>
        <w:t>ajā slejā), vai apstiprina pieprasītājas iestādes sniegtās informācijas patiesumu (ar ķeksīti atzīmēts lodziņš “apstiprināt” un otrajā slejā ir sniegta informācija).</w:t>
      </w:r>
    </w:p>
  </w:footnote>
  <w:footnote w:id="149">
    <w:p w:rsidR="003E022D" w:rsidRDefault="007D19D6">
      <w:pPr>
        <w:rPr>
          <w:rFonts w:asciiTheme="minorHAnsi" w:hAnsiTheme="minorHAnsi" w:cstheme="minorHAnsi"/>
          <w:sz w:val="20"/>
          <w:szCs w:val="20"/>
        </w:rPr>
      </w:pPr>
      <w:r>
        <w:rPr>
          <w:rFonts w:asciiTheme="minorHAnsi" w:hAnsiTheme="minorHAnsi" w:cstheme="minorHAnsi"/>
          <w:sz w:val="20"/>
          <w:szCs w:val="20"/>
        </w:rPr>
        <w:footnoteRef/>
      </w:r>
      <w:r>
        <w:t xml:space="preserve"> </w:t>
      </w:r>
      <w:r>
        <w:rPr>
          <w:rFonts w:asciiTheme="minorHAnsi" w:hAnsiTheme="minorHAnsi"/>
          <w:sz w:val="20"/>
          <w:szCs w:val="20"/>
        </w:rPr>
        <w:t xml:space="preserve">Faktiskā galvenā darbība ir reālā galvenā darbība, ko veic uzņēmums (pretstatā citai </w:t>
      </w:r>
      <w:r>
        <w:rPr>
          <w:rFonts w:asciiTheme="minorHAnsi" w:hAnsiTheme="minorHAnsi"/>
          <w:sz w:val="20"/>
          <w:szCs w:val="20"/>
        </w:rPr>
        <w:t>varbūtēji deklarētai darbībai).</w:t>
      </w:r>
    </w:p>
  </w:footnote>
  <w:footnote w:id="150">
    <w:p w:rsidR="003E022D" w:rsidRDefault="007D19D6">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Šajā trešajā slejā pieprasījuma saņēmēja iestāde vai nu ieraksta informāciju, ko pieprasījusi pieprasītāja iestāde (ar ķeksīti atzīmēts lodziņš “aizpildīt” otrajā slejā), vai apstiprina pieprasītājas iestādes sniegtās info</w:t>
      </w:r>
      <w:r>
        <w:rPr>
          <w:rFonts w:asciiTheme="minorHAnsi" w:hAnsiTheme="minorHAnsi"/>
          <w:sz w:val="20"/>
          <w:szCs w:val="20"/>
        </w:rPr>
        <w:t>rmācijas patiesumu (ar ķeksīti atzīmēts lodziņš “apstiprināt” un otrajā slejā ir sniegta informācija).</w:t>
      </w:r>
    </w:p>
  </w:footnote>
  <w:footnote w:id="151">
    <w:p w:rsidR="003E022D" w:rsidRDefault="007D19D6">
      <w:pPr>
        <w:rPr>
          <w:rFonts w:asciiTheme="minorHAnsi" w:hAnsiTheme="minorHAnsi" w:cstheme="minorHAnsi"/>
          <w:sz w:val="20"/>
          <w:szCs w:val="20"/>
        </w:rPr>
      </w:pPr>
      <w:r>
        <w:rPr>
          <w:rFonts w:asciiTheme="minorHAnsi" w:hAnsiTheme="minorHAnsi" w:cstheme="minorHAnsi"/>
          <w:sz w:val="20"/>
          <w:szCs w:val="20"/>
        </w:rPr>
        <w:footnoteRef/>
      </w:r>
      <w:r>
        <w:t xml:space="preserve"> </w:t>
      </w:r>
      <w:r>
        <w:rPr>
          <w:rFonts w:asciiTheme="minorHAnsi" w:hAnsiTheme="minorHAnsi"/>
          <w:sz w:val="20"/>
          <w:szCs w:val="20"/>
        </w:rPr>
        <w:t xml:space="preserve">Tie ir visi uzņēmumi, kuriem ir kopīgi vadītāji vai cita juridiska, ekonomiska vai finansiāla saikne ar A) sadaļā minēto uzņēmumu. </w:t>
      </w:r>
    </w:p>
  </w:footnote>
  <w:footnote w:id="152">
    <w:p w:rsidR="003E022D" w:rsidRDefault="007D19D6">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Sniedz kompetentā</w:t>
      </w:r>
      <w:r>
        <w:rPr>
          <w:rFonts w:asciiTheme="minorHAnsi" w:hAnsiTheme="minorHAnsi"/>
          <w:sz w:val="20"/>
          <w:szCs w:val="20"/>
        </w:rPr>
        <w:t xml:space="preserve"> iestāde, kura saņem informāciju.”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9D6" w:rsidRPr="007D19D6" w:rsidRDefault="007D19D6" w:rsidP="007D19D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7D19D6">
    <w:pPr>
      <w:rPr>
        <w:i/>
        <w:color w:val="BFBFBF" w:themeColor="background1" w:themeShade="BF"/>
        <w:sz w:val="18"/>
      </w:rPr>
    </w:pPr>
    <w:r>
      <w:rPr>
        <w:i/>
        <w:color w:val="BFBFBF" w:themeColor="background1" w:themeShade="BF"/>
        <w:sz w:val="18"/>
      </w:rPr>
      <w:t xml:space="preserve">Par šo dokumentu ir vienojusies Eiropas Savienība un Apvienotā Karaliste, un tas ir tikai informācijai. Līdz dokumenta piemērošanas dienai no tā nevar atvasināt nekādas tiesības. Pantu numerācija ir provizoriska. </w:t>
    </w:r>
  </w:p>
  <w:p w:rsidR="003E022D" w:rsidRDefault="003E02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9D6" w:rsidRPr="007D19D6" w:rsidRDefault="007D19D6" w:rsidP="007D19D6">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9D6" w:rsidRPr="007D19D6" w:rsidRDefault="007D19D6" w:rsidP="007D19D6">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7D19D6">
    <w:pPr>
      <w:rPr>
        <w:i/>
        <w:color w:val="BFBFBF" w:themeColor="background1" w:themeShade="BF"/>
        <w:sz w:val="18"/>
      </w:rPr>
    </w:pPr>
    <w:r>
      <w:rPr>
        <w:i/>
        <w:color w:val="BFBFBF" w:themeColor="background1" w:themeShade="BF"/>
        <w:sz w:val="18"/>
      </w:rPr>
      <w:t xml:space="preserve">Par šo dokumentu ir vienojusies Eiropas Savienība un Apvienotā Karaliste, un tas ir tikai informācijai. Līdz dokumenta piemērošanas dienai no tā nevar atvasināt nekādas tiesības. Pantu numerācija ir provizoriska. </w:t>
    </w:r>
  </w:p>
  <w:p w:rsidR="003E022D" w:rsidRDefault="003E022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2D" w:rsidRDefault="003E0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228CB60"/>
    <w:lvl w:ilvl="0">
      <w:start w:val="1"/>
      <w:numFmt w:val="bullet"/>
      <w:pStyle w:val="Part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5D2C"/>
    <w:multiLevelType w:val="hybridMultilevel"/>
    <w:tmpl w:val="1040D51C"/>
    <w:lvl w:ilvl="0" w:tplc="0809000F">
      <w:start w:val="1"/>
      <w:numFmt w:val="decimal"/>
      <w:lvlText w:val="%1."/>
      <w:lvlJc w:val="left"/>
      <w:pPr>
        <w:ind w:left="540" w:hanging="360"/>
      </w:p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 w15:restartNumberingAfterBreak="0">
    <w:nsid w:val="0028267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0335E3B"/>
    <w:multiLevelType w:val="hybridMultilevel"/>
    <w:tmpl w:val="6A9A1D1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4575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 w15:restartNumberingAfterBreak="0">
    <w:nsid w:val="00544667"/>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06127E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752765"/>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0B261EE"/>
    <w:multiLevelType w:val="multilevel"/>
    <w:tmpl w:val="5ACA54BC"/>
    <w:lvl w:ilvl="0">
      <w:start w:val="1"/>
      <w:numFmt w:val="lowerRoman"/>
      <w:lvlText w:val="(%1)"/>
      <w:lvlJc w:val="left"/>
      <w:pPr>
        <w:ind w:left="682"/>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start w:val="1"/>
      <w:numFmt w:val="lowerLetter"/>
      <w:lvlText w:val="%2"/>
      <w:lvlJc w:val="left"/>
      <w:pPr>
        <w:ind w:left="14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start w:val="1"/>
      <w:numFmt w:val="lowerRoman"/>
      <w:lvlText w:val="%3"/>
      <w:lvlJc w:val="left"/>
      <w:pPr>
        <w:ind w:left="21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start w:val="1"/>
      <w:numFmt w:val="decimal"/>
      <w:lvlText w:val="%4"/>
      <w:lvlJc w:val="left"/>
      <w:pPr>
        <w:ind w:left="28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start w:val="1"/>
      <w:numFmt w:val="lowerLetter"/>
      <w:lvlText w:val="%5"/>
      <w:lvlJc w:val="left"/>
      <w:pPr>
        <w:ind w:left="358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start w:val="1"/>
      <w:numFmt w:val="lowerRoman"/>
      <w:lvlText w:val="%6"/>
      <w:lvlJc w:val="left"/>
      <w:pPr>
        <w:ind w:left="430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start w:val="1"/>
      <w:numFmt w:val="decimal"/>
      <w:lvlText w:val="%7"/>
      <w:lvlJc w:val="left"/>
      <w:pPr>
        <w:ind w:left="50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start w:val="1"/>
      <w:numFmt w:val="lowerLetter"/>
      <w:lvlText w:val="%8"/>
      <w:lvlJc w:val="left"/>
      <w:pPr>
        <w:ind w:left="57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start w:val="1"/>
      <w:numFmt w:val="lowerRoman"/>
      <w:lvlText w:val="%9"/>
      <w:lvlJc w:val="left"/>
      <w:pPr>
        <w:ind w:left="64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 w15:restartNumberingAfterBreak="0">
    <w:nsid w:val="00BE34C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CC3919"/>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0E8047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F5673B"/>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013508C4"/>
    <w:multiLevelType w:val="hybridMultilevel"/>
    <w:tmpl w:val="0BC6E8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0143074B"/>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015B1B8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16524D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 w15:restartNumberingAfterBreak="0">
    <w:nsid w:val="016B27AD"/>
    <w:multiLevelType w:val="hybridMultilevel"/>
    <w:tmpl w:val="8B6E7748"/>
    <w:lvl w:ilvl="0" w:tplc="1FA454C8">
      <w:start w:val="1"/>
      <w:numFmt w:val="lowerLetter"/>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9" w15:restartNumberingAfterBreak="0">
    <w:nsid w:val="018152A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15:restartNumberingAfterBreak="0">
    <w:nsid w:val="01967CEE"/>
    <w:multiLevelType w:val="hybridMultilevel"/>
    <w:tmpl w:val="844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198502D"/>
    <w:multiLevelType w:val="multilevel"/>
    <w:tmpl w:val="27B0EE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01B11F2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1C9234F"/>
    <w:multiLevelType w:val="hybridMultilevel"/>
    <w:tmpl w:val="91CE04E8"/>
    <w:lvl w:ilvl="0" w:tplc="C810BAC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02214F32"/>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02291AE7"/>
    <w:multiLevelType w:val="hybridMultilevel"/>
    <w:tmpl w:val="97DA151A"/>
    <w:lvl w:ilvl="0" w:tplc="08090017">
      <w:start w:val="1"/>
      <w:numFmt w:val="lowerLetter"/>
      <w:lvlText w:val="%1)"/>
      <w:lvlJc w:val="left"/>
      <w:pPr>
        <w:ind w:left="720" w:hanging="360"/>
      </w:p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2361273"/>
    <w:multiLevelType w:val="hybridMultilevel"/>
    <w:tmpl w:val="D31EDA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0238429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27573E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2BC1B77"/>
    <w:multiLevelType w:val="multilevel"/>
    <w:tmpl w:val="C0F4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2BC23E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2E82B3C"/>
    <w:multiLevelType w:val="hybridMultilevel"/>
    <w:tmpl w:val="767CF8DC"/>
    <w:lvl w:ilvl="0" w:tplc="623E5D9A">
      <w:start w:val="1"/>
      <w:numFmt w:val="lowerRoman"/>
      <w:lvlText w:val="(%1)"/>
      <w:lvlJc w:val="right"/>
      <w:pPr>
        <w:ind w:left="2125" w:hanging="360"/>
      </w:pPr>
      <w:rPr>
        <w:rFonts w:hint="default"/>
      </w:rPr>
    </w:lvl>
    <w:lvl w:ilvl="1" w:tplc="08090019" w:tentative="1">
      <w:start w:val="1"/>
      <w:numFmt w:val="lowerLetter"/>
      <w:lvlText w:val="%2."/>
      <w:lvlJc w:val="left"/>
      <w:pPr>
        <w:ind w:left="2845" w:hanging="360"/>
      </w:pPr>
    </w:lvl>
    <w:lvl w:ilvl="2" w:tplc="0809001B" w:tentative="1">
      <w:start w:val="1"/>
      <w:numFmt w:val="lowerRoman"/>
      <w:lvlText w:val="%3."/>
      <w:lvlJc w:val="right"/>
      <w:pPr>
        <w:ind w:left="3565" w:hanging="180"/>
      </w:pPr>
    </w:lvl>
    <w:lvl w:ilvl="3" w:tplc="0809000F" w:tentative="1">
      <w:start w:val="1"/>
      <w:numFmt w:val="decimal"/>
      <w:lvlText w:val="%4."/>
      <w:lvlJc w:val="left"/>
      <w:pPr>
        <w:ind w:left="4285" w:hanging="360"/>
      </w:pPr>
    </w:lvl>
    <w:lvl w:ilvl="4" w:tplc="08090019" w:tentative="1">
      <w:start w:val="1"/>
      <w:numFmt w:val="lowerLetter"/>
      <w:lvlText w:val="%5."/>
      <w:lvlJc w:val="left"/>
      <w:pPr>
        <w:ind w:left="5005" w:hanging="360"/>
      </w:pPr>
    </w:lvl>
    <w:lvl w:ilvl="5" w:tplc="0809001B" w:tentative="1">
      <w:start w:val="1"/>
      <w:numFmt w:val="lowerRoman"/>
      <w:lvlText w:val="%6."/>
      <w:lvlJc w:val="right"/>
      <w:pPr>
        <w:ind w:left="5725" w:hanging="180"/>
      </w:pPr>
    </w:lvl>
    <w:lvl w:ilvl="6" w:tplc="0809000F" w:tentative="1">
      <w:start w:val="1"/>
      <w:numFmt w:val="decimal"/>
      <w:lvlText w:val="%7."/>
      <w:lvlJc w:val="left"/>
      <w:pPr>
        <w:ind w:left="6445" w:hanging="360"/>
      </w:pPr>
    </w:lvl>
    <w:lvl w:ilvl="7" w:tplc="08090019" w:tentative="1">
      <w:start w:val="1"/>
      <w:numFmt w:val="lowerLetter"/>
      <w:lvlText w:val="%8."/>
      <w:lvlJc w:val="left"/>
      <w:pPr>
        <w:ind w:left="7165" w:hanging="360"/>
      </w:pPr>
    </w:lvl>
    <w:lvl w:ilvl="8" w:tplc="0809001B" w:tentative="1">
      <w:start w:val="1"/>
      <w:numFmt w:val="lowerRoman"/>
      <w:lvlText w:val="%9."/>
      <w:lvlJc w:val="right"/>
      <w:pPr>
        <w:ind w:left="7885" w:hanging="180"/>
      </w:pPr>
    </w:lvl>
  </w:abstractNum>
  <w:abstractNum w:abstractNumId="32" w15:restartNumberingAfterBreak="0">
    <w:nsid w:val="02E83B39"/>
    <w:multiLevelType w:val="hybridMultilevel"/>
    <w:tmpl w:val="99CE01EA"/>
    <w:lvl w:ilvl="0" w:tplc="8DB2745A">
      <w:start w:val="1"/>
      <w:numFmt w:val="lowerRoman"/>
      <w:lvlText w:val="(%1)"/>
      <w:lvlJc w:val="right"/>
      <w:pPr>
        <w:ind w:left="1440" w:hanging="360"/>
      </w:pPr>
      <w:rPr>
        <w:rFonts w:ascii="Calibri" w:eastAsiaTheme="minorHAnsi" w:hAnsi="Calibri" w:cs="Calibri"/>
      </w:rPr>
    </w:lvl>
    <w:lvl w:ilvl="1" w:tplc="F064B5F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032C5F7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4" w15:restartNumberingAfterBreak="0">
    <w:nsid w:val="032F4267"/>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0350468D"/>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3561FC2"/>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3737777"/>
    <w:multiLevelType w:val="hybridMultilevel"/>
    <w:tmpl w:val="3D8C933E"/>
    <w:lvl w:ilvl="0" w:tplc="DB840C32">
      <w:start w:val="1"/>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3976D45"/>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3B61326"/>
    <w:multiLevelType w:val="multilevel"/>
    <w:tmpl w:val="73167EA0"/>
    <w:lvl w:ilvl="0">
      <w:start w:val="1"/>
      <w:numFmt w:val="lowerLetter"/>
      <w:lvlText w:val="(%1)"/>
      <w:lvlJc w:val="left"/>
      <w:pPr>
        <w:ind w:left="1022" w:hanging="360"/>
      </w:pPr>
      <w:rPr>
        <w:rFonts w:asciiTheme="minorHAnsi" w:eastAsiaTheme="minorHAnsi" w:hAnsiTheme="minorHAnsi" w:cstheme="minorBidi"/>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40" w15:restartNumberingAfterBreak="0">
    <w:nsid w:val="03CA168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3D40A0F"/>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3E91E92"/>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0433480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0448003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4554F46"/>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4573128"/>
    <w:multiLevelType w:val="multilevel"/>
    <w:tmpl w:val="2E68CDC4"/>
    <w:lvl w:ilvl="0">
      <w:start w:val="9"/>
      <w:numFmt w:val="decimal"/>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GB"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04BA11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4D75CA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04F973B6"/>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5163FDA"/>
    <w:multiLevelType w:val="multilevel"/>
    <w:tmpl w:val="FD2AE7DA"/>
    <w:lvl w:ilvl="0">
      <w:start w:val="3"/>
      <w:numFmt w:val="decimal"/>
      <w:lvlText w:val="%1."/>
      <w:lvlJc w:val="left"/>
      <w:pPr>
        <w:ind w:left="357" w:hanging="357"/>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1" w15:restartNumberingAfterBreak="0">
    <w:nsid w:val="052A453E"/>
    <w:multiLevelType w:val="hybridMultilevel"/>
    <w:tmpl w:val="EE62E53C"/>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5677D75"/>
    <w:multiLevelType w:val="hybridMultilevel"/>
    <w:tmpl w:val="B2748EF2"/>
    <w:lvl w:ilvl="0" w:tplc="FC7CCA5E">
      <w:start w:val="1"/>
      <w:numFmt w:val="decimal"/>
      <w:lvlText w:val="%1."/>
      <w:lvlJc w:val="left"/>
      <w:pPr>
        <w:ind w:left="360" w:hanging="360"/>
      </w:pPr>
      <w:rPr>
        <w:rFonts w:hint="default"/>
        <w:color w:val="auto"/>
      </w:rPr>
    </w:lvl>
    <w:lvl w:ilvl="1" w:tplc="54C8FF00">
      <w:start w:val="1"/>
      <w:numFmt w:val="lowerLetter"/>
      <w:lvlText w:val="(%2)"/>
      <w:lvlJc w:val="left"/>
      <w:pPr>
        <w:ind w:left="360" w:hanging="360"/>
      </w:pPr>
      <w:rPr>
        <w:rFonts w:ascii="Calibri" w:hAnsi="Calibri" w:cs="Calibr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05B05E30"/>
    <w:multiLevelType w:val="hybridMultilevel"/>
    <w:tmpl w:val="99BAE6B0"/>
    <w:lvl w:ilvl="0" w:tplc="B052B580">
      <w:start w:val="1"/>
      <w:numFmt w:val="decimal"/>
      <w:lvlText w:val="%1"/>
      <w:lvlJc w:val="left"/>
      <w:pPr>
        <w:ind w:left="360"/>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1" w:tplc="73BA2768">
      <w:start w:val="1"/>
      <w:numFmt w:val="lowerRoman"/>
      <w:lvlText w:val="(%2)"/>
      <w:lvlJc w:val="left"/>
      <w:pPr>
        <w:ind w:left="908" w:hanging="199"/>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2" w:tplc="68B453A0">
      <w:start w:val="1"/>
      <w:numFmt w:val="lowerRoman"/>
      <w:lvlText w:val="%3"/>
      <w:lvlJc w:val="left"/>
      <w:pPr>
        <w:ind w:left="14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3" w:tplc="70B422C4">
      <w:start w:val="1"/>
      <w:numFmt w:val="decimal"/>
      <w:lvlText w:val="%4"/>
      <w:lvlJc w:val="left"/>
      <w:pPr>
        <w:ind w:left="21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4" w:tplc="292034B4">
      <w:start w:val="1"/>
      <w:numFmt w:val="lowerLetter"/>
      <w:lvlText w:val="%5"/>
      <w:lvlJc w:val="left"/>
      <w:pPr>
        <w:ind w:left="285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5" w:tplc="44C6B07E">
      <w:start w:val="1"/>
      <w:numFmt w:val="lowerRoman"/>
      <w:lvlText w:val="%6"/>
      <w:lvlJc w:val="left"/>
      <w:pPr>
        <w:ind w:left="357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6" w:tplc="598232D8">
      <w:start w:val="1"/>
      <w:numFmt w:val="decimal"/>
      <w:lvlText w:val="%7"/>
      <w:lvlJc w:val="left"/>
      <w:pPr>
        <w:ind w:left="429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7" w:tplc="0FFEE452">
      <w:start w:val="1"/>
      <w:numFmt w:val="lowerLetter"/>
      <w:lvlText w:val="%8"/>
      <w:lvlJc w:val="left"/>
      <w:pPr>
        <w:ind w:left="50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8" w:tplc="C302D208">
      <w:start w:val="1"/>
      <w:numFmt w:val="lowerRoman"/>
      <w:lvlText w:val="%9"/>
      <w:lvlJc w:val="left"/>
      <w:pPr>
        <w:ind w:left="57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abstractNum>
  <w:abstractNum w:abstractNumId="54" w15:restartNumberingAfterBreak="0">
    <w:nsid w:val="05C75211"/>
    <w:multiLevelType w:val="multilevel"/>
    <w:tmpl w:val="1D0CDEA2"/>
    <w:lvl w:ilvl="0">
      <w:start w:val="1"/>
      <w:numFmt w:val="lowerRoman"/>
      <w:lvlText w:val="(%1)"/>
      <w:lvlJc w:val="left"/>
      <w:pPr>
        <w:ind w:left="1330" w:hanging="360"/>
      </w:p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55" w15:restartNumberingAfterBreak="0">
    <w:nsid w:val="05F954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6" w15:restartNumberingAfterBreak="0">
    <w:nsid w:val="060B0CD3"/>
    <w:multiLevelType w:val="hybridMultilevel"/>
    <w:tmpl w:val="6CC64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02AC5B8">
      <w:start w:val="1"/>
      <w:numFmt w:val="decimal"/>
      <w:lvlText w:val="%4."/>
      <w:lvlJc w:val="left"/>
      <w:pPr>
        <w:ind w:left="360" w:hanging="360"/>
      </w:pPr>
      <w:rPr>
        <w:b w:val="0"/>
        <w:bCs/>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060F1BA0"/>
    <w:multiLevelType w:val="hybridMultilevel"/>
    <w:tmpl w:val="5ADC2D92"/>
    <w:lvl w:ilvl="0" w:tplc="2D0EE9D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06132D4A"/>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06227D20"/>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0" w15:restartNumberingAfterBreak="0">
    <w:nsid w:val="0627342F"/>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 w15:restartNumberingAfterBreak="0">
    <w:nsid w:val="06422F5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06470FAD"/>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064B1D9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4" w15:restartNumberingAfterBreak="0">
    <w:nsid w:val="065F18F8"/>
    <w:multiLevelType w:val="hybridMultilevel"/>
    <w:tmpl w:val="5C940F4E"/>
    <w:lvl w:ilvl="0" w:tplc="63D4128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5" w15:restartNumberingAfterBreak="0">
    <w:nsid w:val="06702EE4"/>
    <w:multiLevelType w:val="multilevel"/>
    <w:tmpl w:val="831AE9A2"/>
    <w:lvl w:ilvl="0">
      <w:start w:val="1"/>
      <w:numFmt w:val="lowerRoman"/>
      <w:lvlText w:val="(%1)"/>
      <w:lvlJc w:val="right"/>
      <w:pPr>
        <w:ind w:left="2160" w:hanging="720"/>
      </w:pPr>
      <w:rPr>
        <w:rFonts w:asciiTheme="majorHAnsi" w:hAnsiTheme="majorHAnsi"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15:restartNumberingAfterBreak="0">
    <w:nsid w:val="06BC1176"/>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7" w15:restartNumberingAfterBreak="0">
    <w:nsid w:val="06C90E93"/>
    <w:multiLevelType w:val="hybridMultilevel"/>
    <w:tmpl w:val="97E829BE"/>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06D95BC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06DA7BBB"/>
    <w:multiLevelType w:val="hybridMultilevel"/>
    <w:tmpl w:val="E0A84A5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06DC5D16"/>
    <w:multiLevelType w:val="multilevel"/>
    <w:tmpl w:val="CBA63E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071F56B4"/>
    <w:multiLevelType w:val="hybridMultilevel"/>
    <w:tmpl w:val="BEE4C41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076F6D2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07AF688D"/>
    <w:multiLevelType w:val="multilevel"/>
    <w:tmpl w:val="6D362F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15:restartNumberingAfterBreak="0">
    <w:nsid w:val="07CD05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07E64015"/>
    <w:multiLevelType w:val="hybridMultilevel"/>
    <w:tmpl w:val="6BDE9000"/>
    <w:styleLink w:val="Style1import"/>
    <w:lvl w:ilvl="0" w:tplc="DE30693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0694E">
      <w:start w:val="1"/>
      <w:numFmt w:val="lowerRoman"/>
      <w:lvlText w:val="(%2)"/>
      <w:lvlJc w:val="left"/>
      <w:pPr>
        <w:ind w:left="968"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B898">
      <w:start w:val="1"/>
      <w:numFmt w:val="upperLetter"/>
      <w:lvlText w:val="%3."/>
      <w:lvlJc w:val="left"/>
      <w:pPr>
        <w:ind w:left="2232"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A440EA">
      <w:start w:val="1"/>
      <w:numFmt w:val="decimal"/>
      <w:lvlText w:val="%4."/>
      <w:lvlJc w:val="left"/>
      <w:pPr>
        <w:ind w:left="288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257BE">
      <w:start w:val="1"/>
      <w:numFmt w:val="lowerLetter"/>
      <w:lvlText w:val="%5."/>
      <w:lvlJc w:val="left"/>
      <w:pPr>
        <w:ind w:left="360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74F312">
      <w:start w:val="1"/>
      <w:numFmt w:val="lowerRoman"/>
      <w:lvlText w:val="%6."/>
      <w:lvlJc w:val="left"/>
      <w:pPr>
        <w:ind w:left="432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DC94DC">
      <w:start w:val="1"/>
      <w:numFmt w:val="decimal"/>
      <w:lvlText w:val="%7."/>
      <w:lvlJc w:val="left"/>
      <w:pPr>
        <w:ind w:left="504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36C060">
      <w:start w:val="1"/>
      <w:numFmt w:val="lowerLetter"/>
      <w:lvlText w:val="%8."/>
      <w:lvlJc w:val="left"/>
      <w:pPr>
        <w:ind w:left="5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DED5CA">
      <w:start w:val="1"/>
      <w:numFmt w:val="lowerRoman"/>
      <w:lvlText w:val="%9."/>
      <w:lvlJc w:val="left"/>
      <w:pPr>
        <w:ind w:left="648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07FB5DC3"/>
    <w:multiLevelType w:val="hybridMultilevel"/>
    <w:tmpl w:val="92148E32"/>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802617C"/>
    <w:multiLevelType w:val="hybridMultilevel"/>
    <w:tmpl w:val="3C7E0788"/>
    <w:lvl w:ilvl="0" w:tplc="7A50D6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80848A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8246B64"/>
    <w:multiLevelType w:val="hybridMultilevel"/>
    <w:tmpl w:val="32FC4FE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0832294B"/>
    <w:multiLevelType w:val="hybridMultilevel"/>
    <w:tmpl w:val="D892E5CA"/>
    <w:lvl w:ilvl="0" w:tplc="F67E0A42">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15687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5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3A6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0E3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C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E0A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2B05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08403EAE"/>
    <w:multiLevelType w:val="hybridMultilevel"/>
    <w:tmpl w:val="F7A0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084D230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08722962"/>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4" w15:restartNumberingAfterBreak="0">
    <w:nsid w:val="088212CD"/>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15:restartNumberingAfterBreak="0">
    <w:nsid w:val="08A010D2"/>
    <w:multiLevelType w:val="hybridMultilevel"/>
    <w:tmpl w:val="56CC5E92"/>
    <w:lvl w:ilvl="0" w:tplc="CEDC53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08D4644B"/>
    <w:multiLevelType w:val="multilevel"/>
    <w:tmpl w:val="DCC65B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09187DD8"/>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09194532"/>
    <w:multiLevelType w:val="hybridMultilevel"/>
    <w:tmpl w:val="5C6E64DA"/>
    <w:lvl w:ilvl="0" w:tplc="D2B85FFA">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9570301"/>
    <w:multiLevelType w:val="multilevel"/>
    <w:tmpl w:val="D5C2205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0" w15:restartNumberingAfterBreak="0">
    <w:nsid w:val="09703C8F"/>
    <w:multiLevelType w:val="hybridMultilevel"/>
    <w:tmpl w:val="6C6AAEA2"/>
    <w:lvl w:ilvl="0" w:tplc="0809000F">
      <w:start w:val="1"/>
      <w:numFmt w:val="decimal"/>
      <w:lvlText w:val="%1."/>
      <w:lvlJc w:val="left"/>
      <w:pPr>
        <w:ind w:left="1304" w:hanging="360"/>
      </w:pPr>
    </w:lvl>
    <w:lvl w:ilvl="1" w:tplc="08090019" w:tentative="1">
      <w:start w:val="1"/>
      <w:numFmt w:val="lowerLetter"/>
      <w:lvlText w:val="%2."/>
      <w:lvlJc w:val="left"/>
      <w:pPr>
        <w:ind w:left="2024" w:hanging="360"/>
      </w:pPr>
    </w:lvl>
    <w:lvl w:ilvl="2" w:tplc="0809001B" w:tentative="1">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91" w15:restartNumberingAfterBreak="0">
    <w:nsid w:val="09750AE7"/>
    <w:multiLevelType w:val="multilevel"/>
    <w:tmpl w:val="F7F2A45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09856369"/>
    <w:multiLevelType w:val="multilevel"/>
    <w:tmpl w:val="DEF4ED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098609C7"/>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15:restartNumberingAfterBreak="0">
    <w:nsid w:val="09B75F4E"/>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09C508A2"/>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09C6241A"/>
    <w:multiLevelType w:val="hybridMultilevel"/>
    <w:tmpl w:val="81AE674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9C85FA3"/>
    <w:multiLevelType w:val="multilevel"/>
    <w:tmpl w:val="7CB810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09DD1A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09F7059A"/>
    <w:multiLevelType w:val="hybridMultilevel"/>
    <w:tmpl w:val="1A883AB0"/>
    <w:lvl w:ilvl="0" w:tplc="DD2C7DA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0A3832C9"/>
    <w:multiLevelType w:val="hybridMultilevel"/>
    <w:tmpl w:val="088C655A"/>
    <w:lvl w:ilvl="0" w:tplc="B00EBB34">
      <w:start w:val="1"/>
      <w:numFmt w:val="lowerRoman"/>
      <w:lvlText w:val="(%1)"/>
      <w:lvlJc w:val="right"/>
      <w:pPr>
        <w:ind w:left="720" w:hanging="360"/>
      </w:pPr>
      <w:rPr>
        <w:rFonts w:asciiTheme="minorHAnsi" w:eastAsiaTheme="minorHAnsi" w:hAnsiTheme="minorHAnsi" w:cstheme="minorBidi"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0A7F67FD"/>
    <w:multiLevelType w:val="hybridMultilevel"/>
    <w:tmpl w:val="2A36A6AE"/>
    <w:lvl w:ilvl="0" w:tplc="08FE49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CB9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5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406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30E4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AE1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2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083D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B89D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0AAD3DD1"/>
    <w:multiLevelType w:val="multilevel"/>
    <w:tmpl w:val="79124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0AAE6D1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0AB610F1"/>
    <w:multiLevelType w:val="multilevel"/>
    <w:tmpl w:val="32D697F2"/>
    <w:lvl w:ilvl="0">
      <w:start w:val="1"/>
      <w:numFmt w:val="decimal"/>
      <w:lvlText w:val="%1."/>
      <w:lvlJc w:val="left"/>
      <w:pPr>
        <w:ind w:left="570"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0ACD049B"/>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B026B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0B13111A"/>
    <w:multiLevelType w:val="hybridMultilevel"/>
    <w:tmpl w:val="F048BFE6"/>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0B224DD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0B25347D"/>
    <w:multiLevelType w:val="hybridMultilevel"/>
    <w:tmpl w:val="B7D6FD42"/>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0" w15:restartNumberingAfterBreak="0">
    <w:nsid w:val="0B432E98"/>
    <w:multiLevelType w:val="hybridMultilevel"/>
    <w:tmpl w:val="7A8A5C92"/>
    <w:lvl w:ilvl="0" w:tplc="AAE6BD16">
      <w:start w:val="1"/>
      <w:numFmt w:val="decimal"/>
      <w:lvlText w:val="%1."/>
      <w:lvlJc w:val="left"/>
      <w:pPr>
        <w:ind w:left="1724" w:hanging="560"/>
      </w:pPr>
      <w:rPr>
        <w:rFonts w:asciiTheme="minorHAnsi" w:eastAsia="Times New Roman" w:hAnsiTheme="minorHAnsi" w:cstheme="minorHAnsi" w:hint="default"/>
        <w:color w:val="201F20"/>
        <w:spacing w:val="-29"/>
        <w:w w:val="100"/>
        <w:sz w:val="22"/>
        <w:szCs w:val="22"/>
        <w:lang w:val="en-US" w:eastAsia="en-US" w:bidi="ar-SA"/>
      </w:rPr>
    </w:lvl>
    <w:lvl w:ilvl="1" w:tplc="EE607006">
      <w:start w:val="1"/>
      <w:numFmt w:val="decimal"/>
      <w:lvlText w:val="%2."/>
      <w:lvlJc w:val="left"/>
      <w:pPr>
        <w:ind w:left="1724" w:hanging="352"/>
      </w:pPr>
      <w:rPr>
        <w:rFonts w:ascii="Arial" w:eastAsia="Carlito" w:hAnsi="Arial" w:cs="Arial" w:hint="default"/>
        <w:spacing w:val="-2"/>
        <w:w w:val="101"/>
        <w:sz w:val="22"/>
        <w:szCs w:val="22"/>
        <w:lang w:val="en-US" w:eastAsia="en-US" w:bidi="ar-SA"/>
      </w:rPr>
    </w:lvl>
    <w:lvl w:ilvl="2" w:tplc="F62A50D8">
      <w:numFmt w:val="bullet"/>
      <w:lvlText w:val="•"/>
      <w:lvlJc w:val="left"/>
      <w:pPr>
        <w:ind w:left="3672" w:hanging="352"/>
      </w:pPr>
      <w:rPr>
        <w:rFonts w:hint="default"/>
        <w:lang w:val="en-US" w:eastAsia="en-US" w:bidi="ar-SA"/>
      </w:rPr>
    </w:lvl>
    <w:lvl w:ilvl="3" w:tplc="0756AABC">
      <w:numFmt w:val="bullet"/>
      <w:lvlText w:val="•"/>
      <w:lvlJc w:val="left"/>
      <w:pPr>
        <w:ind w:left="4649" w:hanging="352"/>
      </w:pPr>
      <w:rPr>
        <w:rFonts w:hint="default"/>
        <w:lang w:val="en-US" w:eastAsia="en-US" w:bidi="ar-SA"/>
      </w:rPr>
    </w:lvl>
    <w:lvl w:ilvl="4" w:tplc="9294B288">
      <w:numFmt w:val="bullet"/>
      <w:lvlText w:val="•"/>
      <w:lvlJc w:val="left"/>
      <w:pPr>
        <w:ind w:left="5625" w:hanging="352"/>
      </w:pPr>
      <w:rPr>
        <w:rFonts w:hint="default"/>
        <w:lang w:val="en-US" w:eastAsia="en-US" w:bidi="ar-SA"/>
      </w:rPr>
    </w:lvl>
    <w:lvl w:ilvl="5" w:tplc="965E2E70">
      <w:numFmt w:val="bullet"/>
      <w:lvlText w:val="•"/>
      <w:lvlJc w:val="left"/>
      <w:pPr>
        <w:ind w:left="6602" w:hanging="352"/>
      </w:pPr>
      <w:rPr>
        <w:rFonts w:hint="default"/>
        <w:lang w:val="en-US" w:eastAsia="en-US" w:bidi="ar-SA"/>
      </w:rPr>
    </w:lvl>
    <w:lvl w:ilvl="6" w:tplc="090448A8">
      <w:numFmt w:val="bullet"/>
      <w:lvlText w:val="•"/>
      <w:lvlJc w:val="left"/>
      <w:pPr>
        <w:ind w:left="7578" w:hanging="352"/>
      </w:pPr>
      <w:rPr>
        <w:rFonts w:hint="default"/>
        <w:lang w:val="en-US" w:eastAsia="en-US" w:bidi="ar-SA"/>
      </w:rPr>
    </w:lvl>
    <w:lvl w:ilvl="7" w:tplc="C388E5E6">
      <w:numFmt w:val="bullet"/>
      <w:lvlText w:val="•"/>
      <w:lvlJc w:val="left"/>
      <w:pPr>
        <w:ind w:left="8554" w:hanging="352"/>
      </w:pPr>
      <w:rPr>
        <w:rFonts w:hint="default"/>
        <w:lang w:val="en-US" w:eastAsia="en-US" w:bidi="ar-SA"/>
      </w:rPr>
    </w:lvl>
    <w:lvl w:ilvl="8" w:tplc="28D4C8D6">
      <w:numFmt w:val="bullet"/>
      <w:lvlText w:val="•"/>
      <w:lvlJc w:val="left"/>
      <w:pPr>
        <w:ind w:left="9531" w:hanging="352"/>
      </w:pPr>
      <w:rPr>
        <w:rFonts w:hint="default"/>
        <w:lang w:val="en-US" w:eastAsia="en-US" w:bidi="ar-SA"/>
      </w:rPr>
    </w:lvl>
  </w:abstractNum>
  <w:abstractNum w:abstractNumId="111" w15:restartNumberingAfterBreak="0">
    <w:nsid w:val="0B4B7E64"/>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2" w15:restartNumberingAfterBreak="0">
    <w:nsid w:val="0B7B2C5D"/>
    <w:multiLevelType w:val="hybridMultilevel"/>
    <w:tmpl w:val="5AF4A89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15:restartNumberingAfterBreak="0">
    <w:nsid w:val="0B94683F"/>
    <w:multiLevelType w:val="multilevel"/>
    <w:tmpl w:val="C06C814A"/>
    <w:lvl w:ilvl="0">
      <w:start w:val="1"/>
      <w:numFmt w:val="decimal"/>
      <w:lvlText w:val="%1."/>
      <w:lvlJc w:val="left"/>
      <w:pPr>
        <w:ind w:left="360" w:hanging="360"/>
      </w:pPr>
      <w:rPr>
        <w:color w:val="000000"/>
      </w:rPr>
    </w:lvl>
    <w:lvl w:ilvl="1">
      <w:start w:val="1"/>
      <w:numFmt w:val="lowerLetter"/>
      <w:lvlText w:val="(%2)"/>
      <w:lvlJc w:val="left"/>
      <w:pPr>
        <w:ind w:left="360" w:hanging="360"/>
      </w:pPr>
      <w:rPr>
        <w:rFonts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0BA30D24"/>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 w15:restartNumberingAfterBreak="0">
    <w:nsid w:val="0BD5144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15:restartNumberingAfterBreak="0">
    <w:nsid w:val="0BDA6AE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0BE91927"/>
    <w:multiLevelType w:val="hybridMultilevel"/>
    <w:tmpl w:val="F1CCD1E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12C4">
      <w:start w:val="2"/>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0BEC1A3E"/>
    <w:multiLevelType w:val="hybridMultilevel"/>
    <w:tmpl w:val="9C0ABB1E"/>
    <w:lvl w:ilvl="0" w:tplc="09DCC200">
      <w:start w:val="1"/>
      <w:numFmt w:val="lowerLetter"/>
      <w:lvlText w:val="(%1)"/>
      <w:lvlJc w:val="left"/>
      <w:pPr>
        <w:ind w:left="720" w:hanging="360"/>
      </w:pPr>
      <w:rPr>
        <w:rFonts w:asciiTheme="minorHAnsi" w:eastAsiaTheme="minorHAnsi" w:hAnsiTheme="minorHAnsi" w:cstheme="minorBidi"/>
      </w:rPr>
    </w:lvl>
    <w:lvl w:ilvl="1" w:tplc="053C43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0BF44B31"/>
    <w:multiLevelType w:val="multilevel"/>
    <w:tmpl w:val="C21EA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15:restartNumberingAfterBreak="0">
    <w:nsid w:val="0C0D12BC"/>
    <w:multiLevelType w:val="singleLevel"/>
    <w:tmpl w:val="6BF2A01A"/>
    <w:name w:val="NumPar"/>
    <w:lvl w:ilvl="0">
      <w:start w:val="1"/>
      <w:numFmt w:val="bullet"/>
      <w:lvlRestart w:val="0"/>
      <w:lvlText w:val="–"/>
      <w:lvlJc w:val="left"/>
      <w:pPr>
        <w:tabs>
          <w:tab w:val="num" w:pos="2551"/>
        </w:tabs>
        <w:ind w:left="2551" w:hanging="567"/>
      </w:pPr>
    </w:lvl>
  </w:abstractNum>
  <w:abstractNum w:abstractNumId="121" w15:restartNumberingAfterBreak="0">
    <w:nsid w:val="0C387677"/>
    <w:multiLevelType w:val="hybridMultilevel"/>
    <w:tmpl w:val="47329C90"/>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0C444B2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 w15:restartNumberingAfterBreak="0">
    <w:nsid w:val="0CB540EF"/>
    <w:multiLevelType w:val="hybridMultilevel"/>
    <w:tmpl w:val="9538F41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0CC75557"/>
    <w:multiLevelType w:val="hybridMultilevel"/>
    <w:tmpl w:val="66183396"/>
    <w:lvl w:ilvl="0" w:tplc="A9B2A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0CD7579E"/>
    <w:multiLevelType w:val="hybridMultilevel"/>
    <w:tmpl w:val="27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0CE67880"/>
    <w:multiLevelType w:val="hybridMultilevel"/>
    <w:tmpl w:val="6D107B24"/>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0D040E14"/>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0D0D6931"/>
    <w:multiLevelType w:val="multilevel"/>
    <w:tmpl w:val="918AEA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9" w15:restartNumberingAfterBreak="0">
    <w:nsid w:val="0D1A490F"/>
    <w:multiLevelType w:val="multilevel"/>
    <w:tmpl w:val="02AE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15:restartNumberingAfterBreak="0">
    <w:nsid w:val="0D4071A1"/>
    <w:multiLevelType w:val="hybridMultilevel"/>
    <w:tmpl w:val="E9BA416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0D5534DD"/>
    <w:multiLevelType w:val="hybridMultilevel"/>
    <w:tmpl w:val="00DAE2AC"/>
    <w:lvl w:ilvl="0" w:tplc="9522C3F4">
      <w:start w:val="1"/>
      <w:numFmt w:val="decimal"/>
      <w:lvlText w:val="%1."/>
      <w:lvlJc w:val="left"/>
      <w:pPr>
        <w:ind w:left="720" w:hanging="360"/>
      </w:pPr>
      <w:rPr>
        <w:rFonts w:hint="default"/>
        <w:b w:val="0"/>
        <w:i w:val="0"/>
        <w:caps w:val="0"/>
        <w:strike w:val="0"/>
        <w:dstrike w:val="0"/>
        <w:vanish w:val="0"/>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0D5A694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0D5D56E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0D622B48"/>
    <w:multiLevelType w:val="hybridMultilevel"/>
    <w:tmpl w:val="453443B2"/>
    <w:lvl w:ilvl="0" w:tplc="473420D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0D64737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0D6E5D98"/>
    <w:multiLevelType w:val="hybridMultilevel"/>
    <w:tmpl w:val="71FE8CCE"/>
    <w:lvl w:ilvl="0" w:tplc="FC1AF3C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F4C0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8C1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BCD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E42F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631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8D9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B66B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ECCC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0D79194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38" w15:restartNumberingAfterBreak="0">
    <w:nsid w:val="0D8E4225"/>
    <w:multiLevelType w:val="hybridMultilevel"/>
    <w:tmpl w:val="6FB291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0D8F57E1"/>
    <w:multiLevelType w:val="multilevel"/>
    <w:tmpl w:val="452AE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0DA06147"/>
    <w:multiLevelType w:val="hybridMultilevel"/>
    <w:tmpl w:val="6466FD2A"/>
    <w:lvl w:ilvl="0" w:tplc="E54AFE24">
      <w:start w:val="1"/>
      <w:numFmt w:val="lowerLetter"/>
      <w:lvlText w:val="(%1)"/>
      <w:lvlJc w:val="left"/>
      <w:pPr>
        <w:ind w:left="360" w:hanging="360"/>
      </w:pPr>
      <w:rPr>
        <w:rFonts w:hint="default"/>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0DA826ED"/>
    <w:multiLevelType w:val="hybridMultilevel"/>
    <w:tmpl w:val="527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0DD550A5"/>
    <w:multiLevelType w:val="hybridMultilevel"/>
    <w:tmpl w:val="44FA7E6E"/>
    <w:styleLink w:val="Style24import"/>
    <w:lvl w:ilvl="0" w:tplc="D66695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B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A317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5C6B8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ECD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1AD57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882E4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C8B48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F891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0DEA0F58"/>
    <w:multiLevelType w:val="hybridMultilevel"/>
    <w:tmpl w:val="E0361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0E2A2118"/>
    <w:multiLevelType w:val="multilevel"/>
    <w:tmpl w:val="7EE44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0E3C567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0E7668D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0E81309E"/>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0E824C2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0E9234A6"/>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0" w15:restartNumberingAfterBreak="0">
    <w:nsid w:val="0E947674"/>
    <w:multiLevelType w:val="hybridMultilevel"/>
    <w:tmpl w:val="0EE0FE02"/>
    <w:lvl w:ilvl="0" w:tplc="0809000F">
      <w:start w:val="1"/>
      <w:numFmt w:val="decimal"/>
      <w:lvlText w:val="%1."/>
      <w:lvlJc w:val="left"/>
      <w:pPr>
        <w:ind w:left="360" w:hanging="360"/>
      </w:pPr>
      <w:rPr>
        <w:rFonts w:hint="default"/>
      </w:rPr>
    </w:lvl>
    <w:lvl w:ilvl="1" w:tplc="1FA454C8">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0EBC02CA"/>
    <w:multiLevelType w:val="hybridMultilevel"/>
    <w:tmpl w:val="54A0D94C"/>
    <w:lvl w:ilvl="0" w:tplc="E078F5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49A8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82E4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C6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B6EA6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6E27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76DA9E">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05B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67BC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0EBD1FDC"/>
    <w:multiLevelType w:val="hybridMultilevel"/>
    <w:tmpl w:val="7D525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0ECA1894"/>
    <w:multiLevelType w:val="hybridMultilevel"/>
    <w:tmpl w:val="8A4AA1B2"/>
    <w:lvl w:ilvl="0" w:tplc="C3FAE77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0EDC420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0EDF45B9"/>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0EE236D5"/>
    <w:multiLevelType w:val="hybridMultilevel"/>
    <w:tmpl w:val="8FC85052"/>
    <w:lvl w:ilvl="0" w:tplc="D1787B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84E6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44F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8A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451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7255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72EB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27C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28B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0EE648A6"/>
    <w:multiLevelType w:val="hybridMultilevel"/>
    <w:tmpl w:val="DE04C032"/>
    <w:lvl w:ilvl="0" w:tplc="B00EBB34">
      <w:start w:val="1"/>
      <w:numFmt w:val="lowerRoman"/>
      <w:lvlText w:val="(%1)"/>
      <w:lvlJc w:val="right"/>
      <w:pPr>
        <w:ind w:left="360" w:hanging="360"/>
      </w:pPr>
      <w:rPr>
        <w:rFonts w:asciiTheme="minorHAnsi" w:eastAsiaTheme="minorHAnsi" w:hAnsiTheme="minorHAnsi" w:cstheme="minorBidi" w:hint="default"/>
        <w:color w:val="auto"/>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8" w15:restartNumberingAfterBreak="0">
    <w:nsid w:val="0EFA487A"/>
    <w:multiLevelType w:val="multilevel"/>
    <w:tmpl w:val="4DA2B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0F770474"/>
    <w:multiLevelType w:val="hybridMultilevel"/>
    <w:tmpl w:val="DFDEDA34"/>
    <w:lvl w:ilvl="0" w:tplc="0BC6E4AA">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0" w15:restartNumberingAfterBreak="0">
    <w:nsid w:val="0FEE3D92"/>
    <w:multiLevelType w:val="multilevel"/>
    <w:tmpl w:val="792877A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0FFB3BB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102331D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1029278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105E1C42"/>
    <w:multiLevelType w:val="hybridMultilevel"/>
    <w:tmpl w:val="9E744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106240C9"/>
    <w:multiLevelType w:val="hybridMultilevel"/>
    <w:tmpl w:val="774E6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107E685A"/>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109271A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109314B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10AB185F"/>
    <w:multiLevelType w:val="hybridMultilevel"/>
    <w:tmpl w:val="48543B68"/>
    <w:lvl w:ilvl="0" w:tplc="6A8839EA">
      <w:start w:val="1"/>
      <w:numFmt w:val="lowerLetter"/>
      <w:lvlText w:val="(%1)"/>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3CE8F8">
      <w:start w:val="1"/>
      <w:numFmt w:val="lowerLetter"/>
      <w:lvlText w:val="%2"/>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EDD14">
      <w:start w:val="1"/>
      <w:numFmt w:val="lowerRoman"/>
      <w:lvlText w:val="%3"/>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42FE0">
      <w:start w:val="1"/>
      <w:numFmt w:val="decimal"/>
      <w:lvlText w:val="%4"/>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4B92">
      <w:start w:val="1"/>
      <w:numFmt w:val="lowerLetter"/>
      <w:lvlText w:val="%5"/>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6D70E">
      <w:start w:val="1"/>
      <w:numFmt w:val="lowerRoman"/>
      <w:lvlText w:val="%6"/>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A3536">
      <w:start w:val="1"/>
      <w:numFmt w:val="decimal"/>
      <w:lvlText w:val="%7"/>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A31D0">
      <w:start w:val="1"/>
      <w:numFmt w:val="lowerLetter"/>
      <w:lvlText w:val="%8"/>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E414">
      <w:start w:val="1"/>
      <w:numFmt w:val="lowerRoman"/>
      <w:lvlText w:val="%9"/>
      <w:lvlJc w:val="left"/>
      <w:pPr>
        <w:ind w:left="6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10B51FD0"/>
    <w:multiLevelType w:val="multilevel"/>
    <w:tmpl w:val="2C1A5CA0"/>
    <w:lvl w:ilvl="0">
      <w:start w:val="1"/>
      <w:numFmt w:val="lowerLetter"/>
      <w:lvlText w:val="(%1)"/>
      <w:lvlJc w:val="left"/>
      <w:pPr>
        <w:ind w:left="1778" w:hanging="360"/>
      </w:pPr>
      <w:rPr>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1" w15:restartNumberingAfterBreak="0">
    <w:nsid w:val="10B657BD"/>
    <w:multiLevelType w:val="multilevel"/>
    <w:tmpl w:val="4926B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11274176"/>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112D19C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74" w15:restartNumberingAfterBreak="0">
    <w:nsid w:val="1138556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117324C5"/>
    <w:multiLevelType w:val="hybridMultilevel"/>
    <w:tmpl w:val="62D85D98"/>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11830A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77" w15:restartNumberingAfterBreak="0">
    <w:nsid w:val="118C4E3E"/>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8" w15:restartNumberingAfterBreak="0">
    <w:nsid w:val="11981AA4"/>
    <w:multiLevelType w:val="hybridMultilevel"/>
    <w:tmpl w:val="6B005296"/>
    <w:lvl w:ilvl="0" w:tplc="04090017">
      <w:start w:val="1"/>
      <w:numFmt w:val="lowerLetter"/>
      <w:lvlText w:val="%1)"/>
      <w:lvlJc w:val="left"/>
      <w:pPr>
        <w:ind w:left="1083" w:hanging="360"/>
      </w:p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79" w15:restartNumberingAfterBreak="0">
    <w:nsid w:val="11E5293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11EE7ED0"/>
    <w:multiLevelType w:val="hybridMultilevel"/>
    <w:tmpl w:val="40A2D89C"/>
    <w:styleLink w:val="Numericallisting1"/>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1" w15:restartNumberingAfterBreak="0">
    <w:nsid w:val="11F400E0"/>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12504D38"/>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15:restartNumberingAfterBreak="0">
    <w:nsid w:val="1263172A"/>
    <w:multiLevelType w:val="multilevel"/>
    <w:tmpl w:val="D99E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128411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5" w15:restartNumberingAfterBreak="0">
    <w:nsid w:val="129933F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15:restartNumberingAfterBreak="0">
    <w:nsid w:val="12CE17C2"/>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12D23404"/>
    <w:multiLevelType w:val="hybridMultilevel"/>
    <w:tmpl w:val="99B06CA4"/>
    <w:lvl w:ilvl="0" w:tplc="5DF638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250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D0D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D3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48F2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C47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D2E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080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3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12F166FD"/>
    <w:multiLevelType w:val="hybridMultilevel"/>
    <w:tmpl w:val="9C3EA518"/>
    <w:lvl w:ilvl="0" w:tplc="2A8A4BC6">
      <w:start w:val="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0B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F4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B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07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A5B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3A63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70A3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0A5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12F44AA5"/>
    <w:multiLevelType w:val="hybridMultilevel"/>
    <w:tmpl w:val="B208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12FD3075"/>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13182F08"/>
    <w:multiLevelType w:val="hybridMultilevel"/>
    <w:tmpl w:val="A81A6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131E135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131F3CE7"/>
    <w:multiLevelType w:val="hybridMultilevel"/>
    <w:tmpl w:val="44DE8BA6"/>
    <w:styleLink w:val="Style21import"/>
    <w:lvl w:ilvl="0" w:tplc="05D2A790">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8D63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4C4A8A">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67C1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B23F66">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40AC2A">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26338">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CED1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07A02">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1336295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134A362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134E5332"/>
    <w:multiLevelType w:val="multilevel"/>
    <w:tmpl w:val="DD2C950A"/>
    <w:lvl w:ilvl="0">
      <w:start w:val="1"/>
      <w:numFmt w:val="lowerRoman"/>
      <w:lvlText w:val="(%1)"/>
      <w:lvlJc w:val="left"/>
      <w:pPr>
        <w:ind w:left="2175" w:hanging="360"/>
      </w:pPr>
    </w:lvl>
    <w:lvl w:ilvl="1">
      <w:start w:val="1"/>
      <w:numFmt w:val="lowerLetter"/>
      <w:lvlText w:val="%2."/>
      <w:lvlJc w:val="left"/>
      <w:pPr>
        <w:ind w:left="2895" w:hanging="360"/>
      </w:pPr>
    </w:lvl>
    <w:lvl w:ilvl="2">
      <w:start w:val="1"/>
      <w:numFmt w:val="lowerRoman"/>
      <w:lvlText w:val="%3."/>
      <w:lvlJc w:val="right"/>
      <w:pPr>
        <w:ind w:left="3615" w:hanging="180"/>
      </w:pPr>
    </w:lvl>
    <w:lvl w:ilvl="3">
      <w:start w:val="1"/>
      <w:numFmt w:val="decimal"/>
      <w:lvlText w:val="%4."/>
      <w:lvlJc w:val="left"/>
      <w:pPr>
        <w:ind w:left="4335" w:hanging="360"/>
      </w:pPr>
    </w:lvl>
    <w:lvl w:ilvl="4">
      <w:start w:val="1"/>
      <w:numFmt w:val="lowerLetter"/>
      <w:lvlText w:val="%5."/>
      <w:lvlJc w:val="left"/>
      <w:pPr>
        <w:ind w:left="5055" w:hanging="360"/>
      </w:pPr>
    </w:lvl>
    <w:lvl w:ilvl="5">
      <w:start w:val="1"/>
      <w:numFmt w:val="lowerRoman"/>
      <w:lvlText w:val="%6."/>
      <w:lvlJc w:val="right"/>
      <w:pPr>
        <w:ind w:left="5775" w:hanging="180"/>
      </w:pPr>
    </w:lvl>
    <w:lvl w:ilvl="6">
      <w:start w:val="1"/>
      <w:numFmt w:val="decimal"/>
      <w:lvlText w:val="%7."/>
      <w:lvlJc w:val="left"/>
      <w:pPr>
        <w:ind w:left="6495" w:hanging="360"/>
      </w:pPr>
    </w:lvl>
    <w:lvl w:ilvl="7">
      <w:start w:val="1"/>
      <w:numFmt w:val="lowerLetter"/>
      <w:lvlText w:val="%8."/>
      <w:lvlJc w:val="left"/>
      <w:pPr>
        <w:ind w:left="7215" w:hanging="360"/>
      </w:pPr>
    </w:lvl>
    <w:lvl w:ilvl="8">
      <w:start w:val="1"/>
      <w:numFmt w:val="lowerRoman"/>
      <w:lvlText w:val="%9."/>
      <w:lvlJc w:val="right"/>
      <w:pPr>
        <w:ind w:left="7935" w:hanging="180"/>
      </w:pPr>
    </w:lvl>
  </w:abstractNum>
  <w:abstractNum w:abstractNumId="197" w15:restartNumberingAfterBreak="0">
    <w:nsid w:val="135A17AD"/>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135F55B2"/>
    <w:multiLevelType w:val="hybridMultilevel"/>
    <w:tmpl w:val="F2707C1E"/>
    <w:lvl w:ilvl="0" w:tplc="F8B6107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60A5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64FC0">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89166">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A2F9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6FC6C">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47F04">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0E56EE">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866C1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136119F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0" w15:restartNumberingAfterBreak="0">
    <w:nsid w:val="1392797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1" w15:restartNumberingAfterBreak="0">
    <w:nsid w:val="139F6D92"/>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13D91626"/>
    <w:multiLevelType w:val="hybridMultilevel"/>
    <w:tmpl w:val="DDB0397C"/>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3" w15:restartNumberingAfterBreak="0">
    <w:nsid w:val="13F856E3"/>
    <w:multiLevelType w:val="hybridMultilevel"/>
    <w:tmpl w:val="A842655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13FC5CA3"/>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15:restartNumberingAfterBreak="0">
    <w:nsid w:val="142F78C3"/>
    <w:multiLevelType w:val="hybridMultilevel"/>
    <w:tmpl w:val="120E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14425FC7"/>
    <w:multiLevelType w:val="hybridMultilevel"/>
    <w:tmpl w:val="6BDE9000"/>
    <w:numStyleLink w:val="Style1import"/>
  </w:abstractNum>
  <w:abstractNum w:abstractNumId="207" w15:restartNumberingAfterBreak="0">
    <w:nsid w:val="1452514C"/>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146513CB"/>
    <w:multiLevelType w:val="hybridMultilevel"/>
    <w:tmpl w:val="E7FEA9C4"/>
    <w:lvl w:ilvl="0" w:tplc="45342C1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4AA735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14B23408"/>
    <w:multiLevelType w:val="multilevel"/>
    <w:tmpl w:val="041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15:restartNumberingAfterBreak="0">
    <w:nsid w:val="14B338ED"/>
    <w:multiLevelType w:val="multilevel"/>
    <w:tmpl w:val="22FC6AE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14DA3289"/>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14EC5BCF"/>
    <w:multiLevelType w:val="hybridMultilevel"/>
    <w:tmpl w:val="F4609144"/>
    <w:lvl w:ilvl="0" w:tplc="146E1910">
      <w:start w:val="1"/>
      <w:numFmt w:val="lowerLetter"/>
      <w:lvlText w:val="(%1)"/>
      <w:lvlJc w:val="left"/>
      <w:pPr>
        <w:ind w:left="360" w:hanging="360"/>
      </w:pPr>
      <w:rPr>
        <w:rFonts w:hint="default"/>
      </w:rPr>
    </w:lvl>
    <w:lvl w:ilvl="1" w:tplc="A22C0FC2">
      <w:start w:val="1"/>
      <w:numFmt w:val="lowerRoman"/>
      <w:lvlText w:val="(%2)"/>
      <w:lvlJc w:val="right"/>
      <w:pPr>
        <w:ind w:left="1080" w:hanging="360"/>
      </w:pPr>
      <w:rPr>
        <w:rFonts w:hint="default"/>
      </w:rPr>
    </w:lvl>
    <w:lvl w:ilvl="2" w:tplc="06483D12">
      <w:start w:val="1"/>
      <w:numFmt w:val="upperLetter"/>
      <w:lvlText w:val="(%3)"/>
      <w:lvlJc w:val="left"/>
      <w:pPr>
        <w:ind w:left="1800" w:hanging="180"/>
      </w:pPr>
      <w:rPr>
        <w:rFonts w:hint="default"/>
      </w:rPr>
    </w:lvl>
    <w:lvl w:ilvl="3" w:tplc="0809000F">
      <w:start w:val="1"/>
      <w:numFmt w:val="decimal"/>
      <w:lvlText w:val="%4."/>
      <w:lvlJc w:val="left"/>
      <w:pPr>
        <w:ind w:left="2520" w:hanging="360"/>
      </w:pPr>
    </w:lvl>
    <w:lvl w:ilvl="4" w:tplc="5E4C19C4">
      <w:start w:val="27"/>
      <w:numFmt w:val="low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153D031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154815D3"/>
    <w:multiLevelType w:val="hybridMultilevel"/>
    <w:tmpl w:val="CCA6A08A"/>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156E5303"/>
    <w:multiLevelType w:val="hybridMultilevel"/>
    <w:tmpl w:val="BE568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15785A53"/>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218" w15:restartNumberingAfterBreak="0">
    <w:nsid w:val="1585417F"/>
    <w:multiLevelType w:val="hybridMultilevel"/>
    <w:tmpl w:val="33E06E8C"/>
    <w:lvl w:ilvl="0" w:tplc="521C947E">
      <w:start w:val="1"/>
      <w:numFmt w:val="lowerRoman"/>
      <w:lvlText w:val="(%1)"/>
      <w:lvlJc w:val="left"/>
      <w:pPr>
        <w:ind w:left="715" w:hanging="360"/>
      </w:pPr>
      <w:rPr>
        <w:rFonts w:asciiTheme="minorHAnsi" w:eastAsiaTheme="minorHAnsi" w:hAnsiTheme="minorHAnsi" w:cstheme="minorBidi"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19" w15:restartNumberingAfterBreak="0">
    <w:nsid w:val="15A506A7"/>
    <w:multiLevelType w:val="multilevel"/>
    <w:tmpl w:val="F4B0996E"/>
    <w:lvl w:ilvl="0">
      <w:start w:val="7"/>
      <w:numFmt w:val="lowerLetter"/>
      <w:lvlText w:val="(%1)"/>
      <w:lvlJc w:val="left"/>
      <w:pPr>
        <w:ind w:left="830" w:hanging="360"/>
      </w:pPr>
      <w:rPr>
        <w:rFonts w:hint="default"/>
        <w:b w:val="0"/>
      </w:rPr>
    </w:lvl>
    <w:lvl w:ilvl="1">
      <w:start w:val="1"/>
      <w:numFmt w:val="lowerLetter"/>
      <w:lvlText w:val="%2."/>
      <w:lvlJc w:val="left"/>
      <w:pPr>
        <w:ind w:left="1550" w:hanging="360"/>
      </w:pPr>
      <w:rPr>
        <w:rFonts w:hint="default"/>
      </w:rPr>
    </w:lvl>
    <w:lvl w:ilvl="2">
      <w:start w:val="1"/>
      <w:numFmt w:val="lowerRoman"/>
      <w:lvlText w:val="%3."/>
      <w:lvlJc w:val="right"/>
      <w:pPr>
        <w:ind w:left="2270" w:hanging="180"/>
      </w:pPr>
      <w:rPr>
        <w:rFonts w:hint="default"/>
      </w:rPr>
    </w:lvl>
    <w:lvl w:ilvl="3">
      <w:start w:val="1"/>
      <w:numFmt w:val="decimal"/>
      <w:lvlText w:val="%4."/>
      <w:lvlJc w:val="left"/>
      <w:pPr>
        <w:ind w:left="2990" w:hanging="360"/>
      </w:pPr>
      <w:rPr>
        <w:rFonts w:hint="default"/>
      </w:rPr>
    </w:lvl>
    <w:lvl w:ilvl="4">
      <w:start w:val="1"/>
      <w:numFmt w:val="lowerLetter"/>
      <w:lvlText w:val="%5."/>
      <w:lvlJc w:val="left"/>
      <w:pPr>
        <w:ind w:left="3710" w:hanging="360"/>
      </w:pPr>
      <w:rPr>
        <w:rFonts w:hint="default"/>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20" w15:restartNumberingAfterBreak="0">
    <w:nsid w:val="15DD6463"/>
    <w:multiLevelType w:val="hybridMultilevel"/>
    <w:tmpl w:val="CAF8087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15EC24C5"/>
    <w:multiLevelType w:val="hybridMultilevel"/>
    <w:tmpl w:val="CAD4B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15EC4437"/>
    <w:multiLevelType w:val="hybridMultilevel"/>
    <w:tmpl w:val="5934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15F630FC"/>
    <w:multiLevelType w:val="hybridMultilevel"/>
    <w:tmpl w:val="F64440D0"/>
    <w:lvl w:ilvl="0" w:tplc="C7708FF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5FD30EA"/>
    <w:multiLevelType w:val="multilevel"/>
    <w:tmpl w:val="9C5C21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60E42C3"/>
    <w:multiLevelType w:val="hybridMultilevel"/>
    <w:tmpl w:val="D79C1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15:restartNumberingAfterBreak="0">
    <w:nsid w:val="160F73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161006C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28" w15:restartNumberingAfterBreak="0">
    <w:nsid w:val="161443E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16363B9C"/>
    <w:multiLevelType w:val="hybridMultilevel"/>
    <w:tmpl w:val="166444AE"/>
    <w:lvl w:ilvl="0" w:tplc="33A49C4E">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2DD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E5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EE3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20D1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C8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7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EA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68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0" w15:restartNumberingAfterBreak="0">
    <w:nsid w:val="163D5CF8"/>
    <w:multiLevelType w:val="hybridMultilevel"/>
    <w:tmpl w:val="B2C47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167B2BED"/>
    <w:multiLevelType w:val="multilevel"/>
    <w:tmpl w:val="AEBC0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2" w15:restartNumberingAfterBreak="0">
    <w:nsid w:val="167D71E0"/>
    <w:multiLevelType w:val="hybridMultilevel"/>
    <w:tmpl w:val="C2DCF062"/>
    <w:lvl w:ilvl="0" w:tplc="6794237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DC7F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2A3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AFE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30F5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CA7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8E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FCC8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4CA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168D5C45"/>
    <w:multiLevelType w:val="multilevel"/>
    <w:tmpl w:val="FB20C6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5" w15:restartNumberingAfterBreak="0">
    <w:nsid w:val="16C12994"/>
    <w:multiLevelType w:val="hybridMultilevel"/>
    <w:tmpl w:val="9DB2570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16EC7F8E"/>
    <w:multiLevelType w:val="hybridMultilevel"/>
    <w:tmpl w:val="44666AEC"/>
    <w:lvl w:ilvl="0" w:tplc="85B4B960">
      <w:start w:val="9"/>
      <w:numFmt w:val="low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7" w15:restartNumberingAfterBreak="0">
    <w:nsid w:val="16F9000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16FE5683"/>
    <w:multiLevelType w:val="multilevel"/>
    <w:tmpl w:val="73529A68"/>
    <w:lvl w:ilvl="0">
      <w:start w:val="1"/>
      <w:numFmt w:val="lowerRoman"/>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39" w15:restartNumberingAfterBreak="0">
    <w:nsid w:val="16FF774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170A13D5"/>
    <w:multiLevelType w:val="hybridMultilevel"/>
    <w:tmpl w:val="3C68E590"/>
    <w:lvl w:ilvl="0" w:tplc="E1F02FF2">
      <w:start w:val="1"/>
      <w:numFmt w:val="decimal"/>
      <w:lvlText w:val="%1."/>
      <w:lvlJc w:val="left"/>
      <w:pPr>
        <w:ind w:left="357" w:hanging="357"/>
      </w:pPr>
      <w:rPr>
        <w:color w:val="auto"/>
        <w:u w:val="none"/>
      </w:rPr>
    </w:lvl>
    <w:lvl w:ilvl="1" w:tplc="7E82D8A6">
      <w:start w:val="1"/>
      <w:numFmt w:val="lowerRoman"/>
      <w:lvlText w:val="(%2)"/>
      <w:lvlJc w:val="left"/>
      <w:pPr>
        <w:ind w:left="1440" w:hanging="360"/>
      </w:pPr>
      <w:rPr>
        <w:rFonts w:ascii="Arial" w:eastAsiaTheme="minorHAnsi" w:hAnsi="Arial" w:cs="Arial"/>
        <w:color w:val="auto"/>
        <w:u w:val="none"/>
      </w:rPr>
    </w:lvl>
    <w:lvl w:ilvl="2" w:tplc="EB22F742">
      <w:start w:val="1"/>
      <w:numFmt w:val="lowerRoman"/>
      <w:lvlText w:val="%3."/>
      <w:lvlJc w:val="right"/>
      <w:pPr>
        <w:ind w:left="2160" w:hanging="360"/>
      </w:pPr>
      <w:rPr>
        <w:u w:val="none"/>
      </w:rPr>
    </w:lvl>
    <w:lvl w:ilvl="3" w:tplc="5B8C8B88">
      <w:start w:val="1"/>
      <w:numFmt w:val="decimal"/>
      <w:lvlText w:val="%4."/>
      <w:lvlJc w:val="left"/>
      <w:pPr>
        <w:ind w:left="2880" w:hanging="360"/>
      </w:pPr>
      <w:rPr>
        <w:u w:val="none"/>
      </w:rPr>
    </w:lvl>
    <w:lvl w:ilvl="4" w:tplc="697E7210">
      <w:start w:val="1"/>
      <w:numFmt w:val="lowerLetter"/>
      <w:lvlText w:val="%5."/>
      <w:lvlJc w:val="left"/>
      <w:pPr>
        <w:ind w:left="3600" w:hanging="360"/>
      </w:pPr>
      <w:rPr>
        <w:u w:val="none"/>
      </w:rPr>
    </w:lvl>
    <w:lvl w:ilvl="5" w:tplc="54187B54">
      <w:start w:val="1"/>
      <w:numFmt w:val="lowerRoman"/>
      <w:lvlText w:val="%6."/>
      <w:lvlJc w:val="right"/>
      <w:pPr>
        <w:ind w:left="4320" w:hanging="360"/>
      </w:pPr>
      <w:rPr>
        <w:u w:val="none"/>
      </w:rPr>
    </w:lvl>
    <w:lvl w:ilvl="6" w:tplc="A52643C2">
      <w:start w:val="1"/>
      <w:numFmt w:val="decimal"/>
      <w:lvlText w:val="%7."/>
      <w:lvlJc w:val="left"/>
      <w:pPr>
        <w:ind w:left="5040" w:hanging="360"/>
      </w:pPr>
      <w:rPr>
        <w:u w:val="none"/>
      </w:rPr>
    </w:lvl>
    <w:lvl w:ilvl="7" w:tplc="C190406E">
      <w:start w:val="1"/>
      <w:numFmt w:val="lowerLetter"/>
      <w:lvlText w:val="%8."/>
      <w:lvlJc w:val="left"/>
      <w:pPr>
        <w:ind w:left="5760" w:hanging="360"/>
      </w:pPr>
      <w:rPr>
        <w:u w:val="none"/>
      </w:rPr>
    </w:lvl>
    <w:lvl w:ilvl="8" w:tplc="378C56DA">
      <w:start w:val="1"/>
      <w:numFmt w:val="lowerRoman"/>
      <w:lvlText w:val="%9."/>
      <w:lvlJc w:val="right"/>
      <w:pPr>
        <w:ind w:left="6480" w:hanging="360"/>
      </w:pPr>
      <w:rPr>
        <w:u w:val="none"/>
      </w:rPr>
    </w:lvl>
  </w:abstractNum>
  <w:abstractNum w:abstractNumId="241" w15:restartNumberingAfterBreak="0">
    <w:nsid w:val="1721714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177B1017"/>
    <w:multiLevelType w:val="hybridMultilevel"/>
    <w:tmpl w:val="89C82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17AF4918"/>
    <w:multiLevelType w:val="multilevel"/>
    <w:tmpl w:val="BCD6F7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4" w15:restartNumberingAfterBreak="0">
    <w:nsid w:val="17C63787"/>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15:restartNumberingAfterBreak="0">
    <w:nsid w:val="17C8166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46" w15:restartNumberingAfterBreak="0">
    <w:nsid w:val="183677A4"/>
    <w:multiLevelType w:val="hybridMultilevel"/>
    <w:tmpl w:val="52E6916E"/>
    <w:lvl w:ilvl="0" w:tplc="0D9EDED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184413C1"/>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18593988"/>
    <w:multiLevelType w:val="hybridMultilevel"/>
    <w:tmpl w:val="C1546DE4"/>
    <w:lvl w:ilvl="0" w:tplc="F87A1662">
      <w:start w:val="1"/>
      <w:numFmt w:val="decimal"/>
      <w:lvlText w:val="%1."/>
      <w:lvlJc w:val="left"/>
      <w:pPr>
        <w:ind w:left="720" w:hanging="360"/>
      </w:pPr>
      <w:rPr>
        <w:i w:val="0"/>
        <w:color w:val="auto"/>
      </w:rPr>
    </w:lvl>
    <w:lvl w:ilvl="1" w:tplc="0D9EDED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15:restartNumberingAfterBreak="0">
    <w:nsid w:val="1868762C"/>
    <w:multiLevelType w:val="hybridMultilevel"/>
    <w:tmpl w:val="6224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1869379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15:restartNumberingAfterBreak="0">
    <w:nsid w:val="1875038E"/>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189305E5"/>
    <w:multiLevelType w:val="multilevel"/>
    <w:tmpl w:val="868AEC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3" w15:restartNumberingAfterBreak="0">
    <w:nsid w:val="18A64A0E"/>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18F35953"/>
    <w:multiLevelType w:val="hybridMultilevel"/>
    <w:tmpl w:val="2C947A68"/>
    <w:lvl w:ilvl="0" w:tplc="BDA84B88">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255" w15:restartNumberingAfterBreak="0">
    <w:nsid w:val="19951CD8"/>
    <w:multiLevelType w:val="hybridMultilevel"/>
    <w:tmpl w:val="4370A0E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19963276"/>
    <w:multiLevelType w:val="hybridMultilevel"/>
    <w:tmpl w:val="0CD6C570"/>
    <w:lvl w:ilvl="0" w:tplc="4D6ECDA0">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19A1778F"/>
    <w:multiLevelType w:val="hybridMultilevel"/>
    <w:tmpl w:val="0EB6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19CB354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9D12C51"/>
    <w:multiLevelType w:val="hybridMultilevel"/>
    <w:tmpl w:val="D8A0180C"/>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19D2464D"/>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19DF44A8"/>
    <w:multiLevelType w:val="singleLevel"/>
    <w:tmpl w:val="FFFFFFFF"/>
    <w:lvl w:ilvl="0">
      <w:numFmt w:val="decimal"/>
      <w:lvlText w:val="*"/>
      <w:lvlJc w:val="left"/>
      <w:rPr>
        <w:rFonts w:cs="Times New Roman"/>
      </w:rPr>
    </w:lvl>
  </w:abstractNum>
  <w:abstractNum w:abstractNumId="262" w15:restartNumberingAfterBreak="0">
    <w:nsid w:val="19E36205"/>
    <w:multiLevelType w:val="hybridMultilevel"/>
    <w:tmpl w:val="1840CC5A"/>
    <w:lvl w:ilvl="0" w:tplc="0809000F">
      <w:start w:val="1"/>
      <w:numFmt w:val="decimal"/>
      <w:lvlText w:val="%1."/>
      <w:lvlJc w:val="left"/>
      <w:pPr>
        <w:ind w:left="720" w:hanging="360"/>
      </w:pPr>
    </w:lvl>
    <w:lvl w:ilvl="1" w:tplc="0F822980">
      <w:start w:val="1"/>
      <w:numFmt w:val="lowerLetter"/>
      <w:lvlText w:val="(%2)"/>
      <w:lvlJc w:val="left"/>
      <w:pPr>
        <w:ind w:left="927" w:hanging="360"/>
      </w:pPr>
      <w:rPr>
        <w:strike w:val="0"/>
        <w:dstrike w:val="0"/>
        <w:u w:val="none"/>
        <w:effect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19E93D89"/>
    <w:multiLevelType w:val="multilevel"/>
    <w:tmpl w:val="1BE0B71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19ED4650"/>
    <w:multiLevelType w:val="multilevel"/>
    <w:tmpl w:val="76D8CF7C"/>
    <w:lvl w:ilvl="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265" w15:restartNumberingAfterBreak="0">
    <w:nsid w:val="1A52023D"/>
    <w:multiLevelType w:val="hybridMultilevel"/>
    <w:tmpl w:val="1744E652"/>
    <w:styleLink w:val="Style9import"/>
    <w:lvl w:ilvl="0" w:tplc="6400C0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6F3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0B67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A4CC2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90C74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0927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28A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E8FD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A91BA">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1A7F3EBB"/>
    <w:multiLevelType w:val="hybridMultilevel"/>
    <w:tmpl w:val="F7B0DDAA"/>
    <w:lvl w:ilvl="0" w:tplc="D2C695AE">
      <w:start w:val="1"/>
      <w:numFmt w:val="decimal"/>
      <w:lvlText w:val="%1."/>
      <w:lvlJc w:val="left"/>
      <w:pPr>
        <w:ind w:left="357" w:hanging="357"/>
      </w:pPr>
      <w:rPr>
        <w:u w:val="none"/>
      </w:rPr>
    </w:lvl>
    <w:lvl w:ilvl="1" w:tplc="1A721148">
      <w:start w:val="1"/>
      <w:numFmt w:val="lowerLetter"/>
      <w:lvlText w:val="(%2)"/>
      <w:lvlJc w:val="left"/>
      <w:pPr>
        <w:ind w:left="1440" w:hanging="360"/>
      </w:pPr>
      <w:rPr>
        <w:rFonts w:hint="default"/>
        <w:u w:val="none"/>
      </w:rPr>
    </w:lvl>
    <w:lvl w:ilvl="2" w:tplc="5BD8DE8C">
      <w:start w:val="1"/>
      <w:numFmt w:val="lowerRoman"/>
      <w:lvlText w:val="%3."/>
      <w:lvlJc w:val="right"/>
      <w:pPr>
        <w:ind w:left="2160" w:hanging="360"/>
      </w:pPr>
      <w:rPr>
        <w:color w:val="auto"/>
        <w:u w:val="none"/>
      </w:rPr>
    </w:lvl>
    <w:lvl w:ilvl="3" w:tplc="5E1E03F4">
      <w:start w:val="1"/>
      <w:numFmt w:val="decimal"/>
      <w:lvlText w:val="%4."/>
      <w:lvlJc w:val="left"/>
      <w:pPr>
        <w:ind w:left="2880" w:hanging="360"/>
      </w:pPr>
      <w:rPr>
        <w:u w:val="none"/>
      </w:rPr>
    </w:lvl>
    <w:lvl w:ilvl="4" w:tplc="E544200E">
      <w:start w:val="1"/>
      <w:numFmt w:val="lowerLetter"/>
      <w:lvlText w:val="%5."/>
      <w:lvlJc w:val="left"/>
      <w:pPr>
        <w:ind w:left="3600" w:hanging="360"/>
      </w:pPr>
      <w:rPr>
        <w:u w:val="none"/>
      </w:rPr>
    </w:lvl>
    <w:lvl w:ilvl="5" w:tplc="3EEC30E8">
      <w:start w:val="1"/>
      <w:numFmt w:val="lowerRoman"/>
      <w:lvlText w:val="%6."/>
      <w:lvlJc w:val="right"/>
      <w:pPr>
        <w:ind w:left="4320" w:hanging="360"/>
      </w:pPr>
      <w:rPr>
        <w:u w:val="none"/>
      </w:rPr>
    </w:lvl>
    <w:lvl w:ilvl="6" w:tplc="974E2A02">
      <w:start w:val="1"/>
      <w:numFmt w:val="decimal"/>
      <w:lvlText w:val="%7."/>
      <w:lvlJc w:val="left"/>
      <w:pPr>
        <w:ind w:left="5040" w:hanging="360"/>
      </w:pPr>
      <w:rPr>
        <w:u w:val="none"/>
      </w:rPr>
    </w:lvl>
    <w:lvl w:ilvl="7" w:tplc="EE0CF438">
      <w:start w:val="1"/>
      <w:numFmt w:val="lowerLetter"/>
      <w:lvlText w:val="%8."/>
      <w:lvlJc w:val="left"/>
      <w:pPr>
        <w:ind w:left="5760" w:hanging="360"/>
      </w:pPr>
      <w:rPr>
        <w:u w:val="none"/>
      </w:rPr>
    </w:lvl>
    <w:lvl w:ilvl="8" w:tplc="8970EEB6">
      <w:start w:val="1"/>
      <w:numFmt w:val="lowerRoman"/>
      <w:lvlText w:val="%9."/>
      <w:lvlJc w:val="right"/>
      <w:pPr>
        <w:ind w:left="6480" w:hanging="360"/>
      </w:pPr>
      <w:rPr>
        <w:u w:val="none"/>
      </w:rPr>
    </w:lvl>
  </w:abstractNum>
  <w:abstractNum w:abstractNumId="267" w15:restartNumberingAfterBreak="0">
    <w:nsid w:val="1AA56E25"/>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15:restartNumberingAfterBreak="0">
    <w:nsid w:val="1ADA4083"/>
    <w:multiLevelType w:val="hybridMultilevel"/>
    <w:tmpl w:val="4C3C32E8"/>
    <w:lvl w:ilvl="0" w:tplc="1A7211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1ADB7EB4"/>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1AE207EB"/>
    <w:multiLevelType w:val="hybridMultilevel"/>
    <w:tmpl w:val="2D5C6E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1B067015"/>
    <w:multiLevelType w:val="multilevel"/>
    <w:tmpl w:val="38CA03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1B0E2F7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1B14105C"/>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1B331C07"/>
    <w:multiLevelType w:val="hybridMultilevel"/>
    <w:tmpl w:val="AE5A61E4"/>
    <w:lvl w:ilvl="0" w:tplc="DB32B7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5" w15:restartNumberingAfterBreak="0">
    <w:nsid w:val="1B3B601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15:restartNumberingAfterBreak="0">
    <w:nsid w:val="1B4016A1"/>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7" w15:restartNumberingAfterBreak="0">
    <w:nsid w:val="1B57098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1B6F3563"/>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15:restartNumberingAfterBreak="0">
    <w:nsid w:val="1B8A25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0" w15:restartNumberingAfterBreak="0">
    <w:nsid w:val="1B9B3224"/>
    <w:multiLevelType w:val="multilevel"/>
    <w:tmpl w:val="AFFA9E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1BBD562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2" w15:restartNumberingAfterBreak="0">
    <w:nsid w:val="1BF118B0"/>
    <w:multiLevelType w:val="multilevel"/>
    <w:tmpl w:val="08090025"/>
    <w:styleLink w:val="111Cambria12"/>
    <w:lvl w:ilvl="0">
      <w:start w:val="1"/>
      <w:numFmt w:val="decimal"/>
      <w:lvlText w:val="%1"/>
      <w:lvlJc w:val="left"/>
      <w:pPr>
        <w:ind w:left="432" w:hanging="432"/>
      </w:pPr>
      <w:rPr>
        <w:rFonts w:asciiTheme="minorHAnsi" w:hAnsiTheme="minorHAnsi"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3" w15:restartNumberingAfterBreak="0">
    <w:nsid w:val="1BF539AD"/>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1C145FCB"/>
    <w:multiLevelType w:val="singleLevel"/>
    <w:tmpl w:val="BEF68DA6"/>
    <w:lvl w:ilvl="0">
      <w:start w:val="1"/>
      <w:numFmt w:val="bullet"/>
      <w:lvlRestart w:val="0"/>
      <w:pStyle w:val="Tiret3"/>
      <w:lvlText w:val="–"/>
      <w:lvlJc w:val="left"/>
      <w:pPr>
        <w:tabs>
          <w:tab w:val="num" w:pos="2551"/>
        </w:tabs>
        <w:ind w:left="2551" w:hanging="567"/>
      </w:pPr>
    </w:lvl>
  </w:abstractNum>
  <w:abstractNum w:abstractNumId="285" w15:restartNumberingAfterBreak="0">
    <w:nsid w:val="1C2745EB"/>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1C565755"/>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287" w15:restartNumberingAfterBreak="0">
    <w:nsid w:val="1C99463C"/>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1C9B2B7D"/>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9" w15:restartNumberingAfterBreak="0">
    <w:nsid w:val="1C9F38D0"/>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0" w15:restartNumberingAfterBreak="0">
    <w:nsid w:val="1CCE30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1" w15:restartNumberingAfterBreak="0">
    <w:nsid w:val="1CDC601D"/>
    <w:multiLevelType w:val="hybridMultilevel"/>
    <w:tmpl w:val="96560FD8"/>
    <w:lvl w:ilvl="0" w:tplc="7FF68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1CF112BA"/>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93" w15:restartNumberingAfterBreak="0">
    <w:nsid w:val="1D405A00"/>
    <w:multiLevelType w:val="multilevel"/>
    <w:tmpl w:val="A9EA0F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1D4A5F9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15:restartNumberingAfterBreak="0">
    <w:nsid w:val="1D4B08AD"/>
    <w:multiLevelType w:val="multilevel"/>
    <w:tmpl w:val="065C4FB4"/>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3420" w:hanging="72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6" w15:restartNumberingAfterBreak="0">
    <w:nsid w:val="1D772662"/>
    <w:multiLevelType w:val="hybridMultilevel"/>
    <w:tmpl w:val="6E4AA4B8"/>
    <w:lvl w:ilvl="0" w:tplc="99EA3578">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9C837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47D4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6F74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EC60">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4FA1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8BCD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70F7B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460B9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1D8C3452"/>
    <w:multiLevelType w:val="hybridMultilevel"/>
    <w:tmpl w:val="562C2E9E"/>
    <w:lvl w:ilvl="0" w:tplc="EC5C1976">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01EB9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8A2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4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435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3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E2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286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0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1D8F40C9"/>
    <w:multiLevelType w:val="hybridMultilevel"/>
    <w:tmpl w:val="20E43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1D910A59"/>
    <w:multiLevelType w:val="hybridMultilevel"/>
    <w:tmpl w:val="E63288B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1DAC7401"/>
    <w:multiLevelType w:val="hybridMultilevel"/>
    <w:tmpl w:val="AD90087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1" w15:restartNumberingAfterBreak="0">
    <w:nsid w:val="1DB86242"/>
    <w:multiLevelType w:val="multilevel"/>
    <w:tmpl w:val="6D8AD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2" w15:restartNumberingAfterBreak="0">
    <w:nsid w:val="1DC71EF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03" w15:restartNumberingAfterBreak="0">
    <w:nsid w:val="1E183E19"/>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15:restartNumberingAfterBreak="0">
    <w:nsid w:val="1E2E1248"/>
    <w:multiLevelType w:val="hybridMultilevel"/>
    <w:tmpl w:val="FBACBE2E"/>
    <w:lvl w:ilvl="0" w:tplc="04090017">
      <w:start w:val="1"/>
      <w:numFmt w:val="lowerLetter"/>
      <w:lvlText w:val="%1)"/>
      <w:lvlJc w:val="left"/>
      <w:pPr>
        <w:ind w:left="644" w:hanging="360"/>
      </w:pPr>
    </w:lvl>
    <w:lvl w:ilvl="1" w:tplc="521C947E">
      <w:start w:val="1"/>
      <w:numFmt w:val="lowerRoman"/>
      <w:lvlText w:val="(%2)"/>
      <w:lvlJc w:val="left"/>
      <w:pPr>
        <w:ind w:left="1364" w:hanging="360"/>
      </w:pPr>
      <w:rPr>
        <w:rFonts w:asciiTheme="minorHAnsi" w:eastAsiaTheme="minorHAnsi" w:hAnsiTheme="minorHAnsi" w:cstheme="minorBidi"/>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15:restartNumberingAfterBreak="0">
    <w:nsid w:val="1E320BE2"/>
    <w:multiLevelType w:val="multilevel"/>
    <w:tmpl w:val="06F42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6" w15:restartNumberingAfterBreak="0">
    <w:nsid w:val="1E4203C3"/>
    <w:multiLevelType w:val="hybridMultilevel"/>
    <w:tmpl w:val="F2707C1E"/>
    <w:lvl w:ilvl="0" w:tplc="5186DA1C">
      <w:numFmt w:val="decimal"/>
      <w:lvlText w:val=""/>
      <w:lvlJc w:val="left"/>
    </w:lvl>
    <w:lvl w:ilvl="1" w:tplc="DECCC830">
      <w:numFmt w:val="decimal"/>
      <w:lvlText w:val=""/>
      <w:lvlJc w:val="left"/>
    </w:lvl>
    <w:lvl w:ilvl="2" w:tplc="668A47FE">
      <w:numFmt w:val="decimal"/>
      <w:lvlText w:val=""/>
      <w:lvlJc w:val="left"/>
    </w:lvl>
    <w:lvl w:ilvl="3" w:tplc="71402D3E">
      <w:numFmt w:val="decimal"/>
      <w:lvlText w:val=""/>
      <w:lvlJc w:val="left"/>
    </w:lvl>
    <w:lvl w:ilvl="4" w:tplc="F33622CA">
      <w:numFmt w:val="decimal"/>
      <w:lvlText w:val=""/>
      <w:lvlJc w:val="left"/>
    </w:lvl>
    <w:lvl w:ilvl="5" w:tplc="FE4EB9F2">
      <w:numFmt w:val="decimal"/>
      <w:lvlText w:val=""/>
      <w:lvlJc w:val="left"/>
    </w:lvl>
    <w:lvl w:ilvl="6" w:tplc="2A102BF4">
      <w:numFmt w:val="decimal"/>
      <w:lvlText w:val=""/>
      <w:lvlJc w:val="left"/>
    </w:lvl>
    <w:lvl w:ilvl="7" w:tplc="86D03812">
      <w:numFmt w:val="decimal"/>
      <w:lvlText w:val=""/>
      <w:lvlJc w:val="left"/>
    </w:lvl>
    <w:lvl w:ilvl="8" w:tplc="58DC53B0">
      <w:numFmt w:val="decimal"/>
      <w:lvlText w:val=""/>
      <w:lvlJc w:val="left"/>
    </w:lvl>
  </w:abstractNum>
  <w:abstractNum w:abstractNumId="307" w15:restartNumberingAfterBreak="0">
    <w:nsid w:val="1E5846B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1E5A0CF9"/>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9" w15:restartNumberingAfterBreak="0">
    <w:nsid w:val="1E7065AB"/>
    <w:multiLevelType w:val="hybridMultilevel"/>
    <w:tmpl w:val="3CBED61A"/>
    <w:lvl w:ilvl="0" w:tplc="21C25A84">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A2B6BA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A9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044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95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2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CD3A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855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C39D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1E7650F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11" w15:restartNumberingAfterBreak="0">
    <w:nsid w:val="1E8A4367"/>
    <w:multiLevelType w:val="hybridMultilevel"/>
    <w:tmpl w:val="BC34ABCC"/>
    <w:lvl w:ilvl="0" w:tplc="805240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2" w15:restartNumberingAfterBreak="0">
    <w:nsid w:val="1E974351"/>
    <w:multiLevelType w:val="multilevel"/>
    <w:tmpl w:val="657234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3" w15:restartNumberingAfterBreak="0">
    <w:nsid w:val="1E9A3341"/>
    <w:multiLevelType w:val="multilevel"/>
    <w:tmpl w:val="21CE489E"/>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14" w15:restartNumberingAfterBreak="0">
    <w:nsid w:val="1EC76BEB"/>
    <w:multiLevelType w:val="hybridMultilevel"/>
    <w:tmpl w:val="BB380720"/>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1EF854D6"/>
    <w:multiLevelType w:val="hybridMultilevel"/>
    <w:tmpl w:val="D9587D5E"/>
    <w:lvl w:ilvl="0" w:tplc="07CC9CD8">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1F02565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15:restartNumberingAfterBreak="0">
    <w:nsid w:val="1F071137"/>
    <w:multiLevelType w:val="hybridMultilevel"/>
    <w:tmpl w:val="3B046FB8"/>
    <w:lvl w:ilvl="0" w:tplc="BDA84B8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8" w15:restartNumberingAfterBreak="0">
    <w:nsid w:val="1F1D4CA4"/>
    <w:multiLevelType w:val="multilevel"/>
    <w:tmpl w:val="E8187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9" w15:restartNumberingAfterBreak="0">
    <w:nsid w:val="1F1F1D2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0" w15:restartNumberingAfterBreak="0">
    <w:nsid w:val="1F2B79D4"/>
    <w:multiLevelType w:val="hybridMultilevel"/>
    <w:tmpl w:val="E8EC4EF8"/>
    <w:lvl w:ilvl="0" w:tplc="5E24E8B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1F39735E"/>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2" w15:restartNumberingAfterBreak="0">
    <w:nsid w:val="1F623883"/>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3" w15:restartNumberingAfterBreak="0">
    <w:nsid w:val="1F6347D3"/>
    <w:multiLevelType w:val="hybridMultilevel"/>
    <w:tmpl w:val="456472B2"/>
    <w:lvl w:ilvl="0" w:tplc="B4E68E36">
      <w:start w:val="1"/>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BC9E1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E3D64">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C6ECC8">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8D438">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EA2AC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DA283E">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462DC">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304DA8">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15:restartNumberingAfterBreak="0">
    <w:nsid w:val="1F7F7F84"/>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15:restartNumberingAfterBreak="0">
    <w:nsid w:val="1F8D124C"/>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6" w15:restartNumberingAfterBreak="0">
    <w:nsid w:val="1F9E1B75"/>
    <w:multiLevelType w:val="hybridMultilevel"/>
    <w:tmpl w:val="EDC8B85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7" w15:restartNumberingAfterBreak="0">
    <w:nsid w:val="1FA95EC1"/>
    <w:multiLevelType w:val="multilevel"/>
    <w:tmpl w:val="B1B4E2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8" w15:restartNumberingAfterBreak="0">
    <w:nsid w:val="1FB646DD"/>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9" w15:restartNumberingAfterBreak="0">
    <w:nsid w:val="1FCA4902"/>
    <w:multiLevelType w:val="hybridMultilevel"/>
    <w:tmpl w:val="94064468"/>
    <w:lvl w:ilvl="0" w:tplc="DDA8376C">
      <w:start w:val="9"/>
      <w:numFmt w:val="lowerLetter"/>
      <w:lvlText w:val="(%1)"/>
      <w:lvlJc w:val="left"/>
      <w:pPr>
        <w:ind w:left="907" w:hanging="3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0" w15:restartNumberingAfterBreak="0">
    <w:nsid w:val="1FCF7B3B"/>
    <w:multiLevelType w:val="hybridMultilevel"/>
    <w:tmpl w:val="949EF56C"/>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1FD43A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2" w15:restartNumberingAfterBreak="0">
    <w:nsid w:val="1FD6050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15:restartNumberingAfterBreak="0">
    <w:nsid w:val="1FE4246F"/>
    <w:multiLevelType w:val="hybridMultilevel"/>
    <w:tmpl w:val="D29641DA"/>
    <w:lvl w:ilvl="0" w:tplc="CE74EB62">
      <w:start w:val="1"/>
      <w:numFmt w:val="lowerLetter"/>
      <w:lvlText w:val="(%1)"/>
      <w:lvlJc w:val="left"/>
      <w:pPr>
        <w:ind w:left="283"/>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52445F3C">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E45C33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DA36ED4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AF68ABC8">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8E06ECC">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FAB48B2C">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9A7CEF82">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FACCFE7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334" w15:restartNumberingAfterBreak="0">
    <w:nsid w:val="1FFF287B"/>
    <w:multiLevelType w:val="hybridMultilevel"/>
    <w:tmpl w:val="83527D8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15:restartNumberingAfterBreak="0">
    <w:nsid w:val="20146219"/>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15:restartNumberingAfterBreak="0">
    <w:nsid w:val="201A3B64"/>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337" w15:restartNumberingAfterBreak="0">
    <w:nsid w:val="202E3E0E"/>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15:restartNumberingAfterBreak="0">
    <w:nsid w:val="203717A7"/>
    <w:multiLevelType w:val="hybridMultilevel"/>
    <w:tmpl w:val="E13C3C4E"/>
    <w:lvl w:ilvl="0" w:tplc="0DB2C07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7EA0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284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2CD1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CC15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120F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A66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AE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878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9" w15:restartNumberingAfterBreak="0">
    <w:nsid w:val="2076055E"/>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0" w15:restartNumberingAfterBreak="0">
    <w:nsid w:val="20A87D7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1" w15:restartNumberingAfterBreak="0">
    <w:nsid w:val="20B27C03"/>
    <w:multiLevelType w:val="hybridMultilevel"/>
    <w:tmpl w:val="67BAC9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20CA1E23"/>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20D9562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21090E32"/>
    <w:multiLevelType w:val="hybridMultilevel"/>
    <w:tmpl w:val="CF28F00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211844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6" w15:restartNumberingAfterBreak="0">
    <w:nsid w:val="21284669"/>
    <w:multiLevelType w:val="hybridMultilevel"/>
    <w:tmpl w:val="DD6E40BC"/>
    <w:lvl w:ilvl="0" w:tplc="45AAE48E">
      <w:numFmt w:val="decimal"/>
      <w:lvlText w:val=""/>
      <w:lvlJc w:val="left"/>
    </w:lvl>
    <w:lvl w:ilvl="1" w:tplc="09DCC200">
      <w:start w:val="1"/>
      <w:numFmt w:val="lowerLetter"/>
      <w:lvlText w:val="(%2)"/>
      <w:lvlJc w:val="left"/>
      <w:rPr>
        <w:rFonts w:asciiTheme="minorHAnsi" w:eastAsiaTheme="minorHAnsi" w:hAnsiTheme="minorHAnsi" w:cstheme="minorBidi"/>
      </w:rPr>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347" w15:restartNumberingAfterBreak="0">
    <w:nsid w:val="213110B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21364329"/>
    <w:multiLevelType w:val="multilevel"/>
    <w:tmpl w:val="6B80ADDE"/>
    <w:lvl w:ilvl="0">
      <w:start w:val="1"/>
      <w:numFmt w:val="decimal"/>
      <w:lvlText w:val="%1."/>
      <w:lvlJc w:val="left"/>
      <w:pPr>
        <w:ind w:left="20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15:restartNumberingAfterBreak="0">
    <w:nsid w:val="21462C2C"/>
    <w:multiLevelType w:val="hybridMultilevel"/>
    <w:tmpl w:val="C6926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219B7F3A"/>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21A9147F"/>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2" w15:restartNumberingAfterBreak="0">
    <w:nsid w:val="21B13C1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21BD78DF"/>
    <w:multiLevelType w:val="hybridMultilevel"/>
    <w:tmpl w:val="B5144F46"/>
    <w:lvl w:ilvl="0" w:tplc="5DF62600">
      <w:start w:val="1"/>
      <w:numFmt w:val="decimal"/>
      <w:pStyle w:val="Bodytext2"/>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21CB2587"/>
    <w:multiLevelType w:val="hybridMultilevel"/>
    <w:tmpl w:val="14264D5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21E4584A"/>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21FC6CF2"/>
    <w:multiLevelType w:val="multilevel"/>
    <w:tmpl w:val="880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222A661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8" w15:restartNumberingAfterBreak="0">
    <w:nsid w:val="22334764"/>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9" w15:restartNumberingAfterBreak="0">
    <w:nsid w:val="224C7340"/>
    <w:multiLevelType w:val="hybridMultilevel"/>
    <w:tmpl w:val="5AE80F72"/>
    <w:lvl w:ilvl="0" w:tplc="EE2A6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E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6EC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EA2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A14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E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8E4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9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B8BF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225D7F38"/>
    <w:multiLevelType w:val="multilevel"/>
    <w:tmpl w:val="9F1A281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1" w15:restartNumberingAfterBreak="0">
    <w:nsid w:val="229B4F81"/>
    <w:multiLevelType w:val="hybridMultilevel"/>
    <w:tmpl w:val="C7324EC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2" w15:restartNumberingAfterBreak="0">
    <w:nsid w:val="22BB081B"/>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22BF413C"/>
    <w:multiLevelType w:val="multilevel"/>
    <w:tmpl w:val="E0221F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4" w15:restartNumberingAfterBreak="0">
    <w:nsid w:val="23007759"/>
    <w:multiLevelType w:val="hybridMultilevel"/>
    <w:tmpl w:val="C5BA221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5" w15:restartNumberingAfterBreak="0">
    <w:nsid w:val="233B389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6" w15:restartNumberingAfterBreak="0">
    <w:nsid w:val="23570A91"/>
    <w:multiLevelType w:val="hybridMultilevel"/>
    <w:tmpl w:val="F5E4C112"/>
    <w:lvl w:ilvl="0" w:tplc="5C22E08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AE6B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49E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660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89E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60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7E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2229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C0E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15:restartNumberingAfterBreak="0">
    <w:nsid w:val="23620CD0"/>
    <w:multiLevelType w:val="hybridMultilevel"/>
    <w:tmpl w:val="8084C9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15:restartNumberingAfterBreak="0">
    <w:nsid w:val="23633CF9"/>
    <w:multiLevelType w:val="hybridMultilevel"/>
    <w:tmpl w:val="72F0D33C"/>
    <w:lvl w:ilvl="0" w:tplc="4DF2A01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15:restartNumberingAfterBreak="0">
    <w:nsid w:val="239414F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23A23D7E"/>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1" w15:restartNumberingAfterBreak="0">
    <w:nsid w:val="23AD532E"/>
    <w:multiLevelType w:val="hybridMultilevel"/>
    <w:tmpl w:val="628E7FD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23AF21E6"/>
    <w:multiLevelType w:val="multilevel"/>
    <w:tmpl w:val="78D650B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15:restartNumberingAfterBreak="0">
    <w:nsid w:val="23B76512"/>
    <w:multiLevelType w:val="hybridMultilevel"/>
    <w:tmpl w:val="FF446B68"/>
    <w:lvl w:ilvl="0" w:tplc="FB04676C">
      <w:start w:val="1"/>
      <w:numFmt w:val="decimal"/>
      <w:lvlText w:val="%1."/>
      <w:lvlJc w:val="left"/>
      <w:pPr>
        <w:ind w:left="562" w:hanging="4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4" w15:restartNumberingAfterBreak="0">
    <w:nsid w:val="23C32336"/>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5" w15:restartNumberingAfterBreak="0">
    <w:nsid w:val="23C5766E"/>
    <w:multiLevelType w:val="hybridMultilevel"/>
    <w:tmpl w:val="C3F6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15:restartNumberingAfterBreak="0">
    <w:nsid w:val="23D2686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15:restartNumberingAfterBreak="0">
    <w:nsid w:val="241629C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8" w15:restartNumberingAfterBreak="0">
    <w:nsid w:val="24284157"/>
    <w:multiLevelType w:val="multilevel"/>
    <w:tmpl w:val="DAB00FF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9" w15:restartNumberingAfterBreak="0">
    <w:nsid w:val="24365349"/>
    <w:multiLevelType w:val="hybridMultilevel"/>
    <w:tmpl w:val="0002BE4A"/>
    <w:lvl w:ilvl="0" w:tplc="B142CC16">
      <w:start w:val="1"/>
      <w:numFmt w:val="lowerLetter"/>
      <w:lvlText w:val="(%1)"/>
      <w:lvlJc w:val="left"/>
      <w:pPr>
        <w:ind w:left="924" w:hanging="924"/>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80" w15:restartNumberingAfterBreak="0">
    <w:nsid w:val="24422919"/>
    <w:multiLevelType w:val="multilevel"/>
    <w:tmpl w:val="B9384570"/>
    <w:lvl w:ilvl="0">
      <w:start w:val="1"/>
      <w:numFmt w:val="decimal"/>
      <w:lvlText w:val="%1."/>
      <w:lvlJc w:val="left"/>
      <w:pPr>
        <w:ind w:left="360" w:hanging="360"/>
      </w:pPr>
      <w:rPr>
        <w:u w:val="no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381" w15:restartNumberingAfterBreak="0">
    <w:nsid w:val="246873FC"/>
    <w:multiLevelType w:val="hybridMultilevel"/>
    <w:tmpl w:val="B692A4FA"/>
    <w:styleLink w:val="Style22import"/>
    <w:lvl w:ilvl="0" w:tplc="ABBCD4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54E4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8C73D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1A5E5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6E6C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2F0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6657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B0DE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F8A6C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15:restartNumberingAfterBreak="0">
    <w:nsid w:val="246E39DC"/>
    <w:multiLevelType w:val="hybridMultilevel"/>
    <w:tmpl w:val="7DD278FE"/>
    <w:lvl w:ilvl="0" w:tplc="34C01E04">
      <w:start w:val="1"/>
      <w:numFmt w:val="decimal"/>
      <w:lvlText w:val="%1."/>
      <w:lvlJc w:val="left"/>
      <w:pPr>
        <w:ind w:left="1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E1787D38">
      <w:start w:val="1"/>
      <w:numFmt w:val="lowerLetter"/>
      <w:lvlText w:val="(%2)"/>
      <w:lvlJc w:val="left"/>
      <w:pPr>
        <w:ind w:left="72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2" w:tplc="D550FC7C">
      <w:start w:val="1"/>
      <w:numFmt w:val="bullet"/>
      <w:lvlText w:val="-"/>
      <w:lvlJc w:val="left"/>
      <w:pPr>
        <w:ind w:left="108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C9F44940">
      <w:start w:val="1"/>
      <w:numFmt w:val="decimal"/>
      <w:lvlText w:val="(%4)"/>
      <w:lvlJc w:val="left"/>
      <w:pPr>
        <w:ind w:left="1702"/>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4" w:tplc="F5BE3E0C">
      <w:start w:val="1"/>
      <w:numFmt w:val="lowerLetter"/>
      <w:lvlText w:val="%5"/>
      <w:lvlJc w:val="left"/>
      <w:pPr>
        <w:ind w:left="221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E0189EE2">
      <w:start w:val="1"/>
      <w:numFmt w:val="lowerRoman"/>
      <w:lvlText w:val="%6"/>
      <w:lvlJc w:val="left"/>
      <w:pPr>
        <w:ind w:left="293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E1F4CEB2">
      <w:start w:val="1"/>
      <w:numFmt w:val="decimal"/>
      <w:lvlText w:val="%7"/>
      <w:lvlJc w:val="left"/>
      <w:pPr>
        <w:ind w:left="365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15827516">
      <w:start w:val="1"/>
      <w:numFmt w:val="lowerLetter"/>
      <w:lvlText w:val="%8"/>
      <w:lvlJc w:val="left"/>
      <w:pPr>
        <w:ind w:left="437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2C90E166">
      <w:start w:val="1"/>
      <w:numFmt w:val="lowerRoman"/>
      <w:lvlText w:val="%9"/>
      <w:lvlJc w:val="left"/>
      <w:pPr>
        <w:ind w:left="509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383" w15:restartNumberingAfterBreak="0">
    <w:nsid w:val="24C42A4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4" w15:restartNumberingAfterBreak="0">
    <w:nsid w:val="24C42E41"/>
    <w:multiLevelType w:val="multilevel"/>
    <w:tmpl w:val="637E4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15:restartNumberingAfterBreak="0">
    <w:nsid w:val="24CA0F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6" w15:restartNumberingAfterBreak="0">
    <w:nsid w:val="24CF4C8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15:restartNumberingAfterBreak="0">
    <w:nsid w:val="24DA063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8" w15:restartNumberingAfterBreak="0">
    <w:nsid w:val="2513085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9" w15:restartNumberingAfterBreak="0">
    <w:nsid w:val="252526A7"/>
    <w:multiLevelType w:val="hybridMultilevel"/>
    <w:tmpl w:val="DC96F5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0" w15:restartNumberingAfterBreak="0">
    <w:nsid w:val="252D71D0"/>
    <w:multiLevelType w:val="multilevel"/>
    <w:tmpl w:val="2C32C9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15:restartNumberingAfterBreak="0">
    <w:nsid w:val="254215BB"/>
    <w:multiLevelType w:val="multilevel"/>
    <w:tmpl w:val="AB9AA59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92" w15:restartNumberingAfterBreak="0">
    <w:nsid w:val="2543417C"/>
    <w:multiLevelType w:val="hybridMultilevel"/>
    <w:tmpl w:val="FFA2B1C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3" w15:restartNumberingAfterBreak="0">
    <w:nsid w:val="25BA0DB4"/>
    <w:multiLevelType w:val="hybridMultilevel"/>
    <w:tmpl w:val="ABC66E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25C114D2"/>
    <w:multiLevelType w:val="hybridMultilevel"/>
    <w:tmpl w:val="9D846E7E"/>
    <w:lvl w:ilvl="0" w:tplc="2D9AF012">
      <w:start w:val="2"/>
      <w:numFmt w:val="lowerRoman"/>
      <w:lvlText w:val="(%1)"/>
      <w:lvlJc w:val="left"/>
      <w:pPr>
        <w:ind w:left="720" w:hanging="72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5" w15:restartNumberingAfterBreak="0">
    <w:nsid w:val="25D21686"/>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96" w15:restartNumberingAfterBreak="0">
    <w:nsid w:val="261C3318"/>
    <w:multiLevelType w:val="hybridMultilevel"/>
    <w:tmpl w:val="79148286"/>
    <w:lvl w:ilvl="0" w:tplc="7BD067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2623541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8" w15:restartNumberingAfterBreak="0">
    <w:nsid w:val="262E6091"/>
    <w:multiLevelType w:val="hybridMultilevel"/>
    <w:tmpl w:val="CBEC9B70"/>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9" w15:restartNumberingAfterBreak="0">
    <w:nsid w:val="262E72F9"/>
    <w:multiLevelType w:val="hybridMultilevel"/>
    <w:tmpl w:val="61C2BD6C"/>
    <w:lvl w:ilvl="0" w:tplc="623E5D9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0" w15:restartNumberingAfterBreak="0">
    <w:nsid w:val="26500FF5"/>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1" w15:restartNumberingAfterBreak="0">
    <w:nsid w:val="26681C5E"/>
    <w:multiLevelType w:val="multilevel"/>
    <w:tmpl w:val="D9D0B5AA"/>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402" w15:restartNumberingAfterBreak="0">
    <w:nsid w:val="268329E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3" w15:restartNumberingAfterBreak="0">
    <w:nsid w:val="26996936"/>
    <w:multiLevelType w:val="hybridMultilevel"/>
    <w:tmpl w:val="223A9338"/>
    <w:lvl w:ilvl="0" w:tplc="B7B66454">
      <w:start w:val="3"/>
      <w:numFmt w:val="decimal"/>
      <w:lvlText w:val="%1."/>
      <w:lvlJc w:val="left"/>
      <w:pPr>
        <w:ind w:left="34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4" w15:restartNumberingAfterBreak="0">
    <w:nsid w:val="26B35CAE"/>
    <w:multiLevelType w:val="hybridMultilevel"/>
    <w:tmpl w:val="CE4849BE"/>
    <w:lvl w:ilvl="0" w:tplc="86D64A6A">
      <w:start w:val="1"/>
      <w:numFmt w:val="decimal"/>
      <w:lvlText w:val="%1."/>
      <w:lvlJc w:val="left"/>
      <w:pPr>
        <w:ind w:left="8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291FC">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8C0E30">
      <w:start w:val="1"/>
      <w:numFmt w:val="lowerRoman"/>
      <w:lvlText w:val="(%3)"/>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60D98">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44BB74">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8F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764D68">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E8E82E">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200A42">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15:restartNumberingAfterBreak="0">
    <w:nsid w:val="27035FD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15:restartNumberingAfterBreak="0">
    <w:nsid w:val="272D2358"/>
    <w:multiLevelType w:val="hybridMultilevel"/>
    <w:tmpl w:val="1D28F450"/>
    <w:lvl w:ilvl="0" w:tplc="C810BAC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7" w15:restartNumberingAfterBreak="0">
    <w:nsid w:val="276C245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15:restartNumberingAfterBreak="0">
    <w:nsid w:val="2774548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9" w15:restartNumberingAfterBreak="0">
    <w:nsid w:val="27824D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10" w15:restartNumberingAfterBreak="0">
    <w:nsid w:val="280743B7"/>
    <w:multiLevelType w:val="hybridMultilevel"/>
    <w:tmpl w:val="17BE549E"/>
    <w:lvl w:ilvl="0" w:tplc="AF2E181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EE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880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68D9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8D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2C16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8C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CC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626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2840524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12" w15:restartNumberingAfterBreak="0">
    <w:nsid w:val="28475D3D"/>
    <w:multiLevelType w:val="hybridMultilevel"/>
    <w:tmpl w:val="3774B9D8"/>
    <w:lvl w:ilvl="0" w:tplc="4A74AF9C">
      <w:start w:val="1"/>
      <w:numFmt w:val="lowerRoman"/>
      <w:lvlText w:val="(%1)"/>
      <w:lvlJc w:val="left"/>
      <w:pPr>
        <w:ind w:left="1656" w:hanging="936"/>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792" w:hanging="360"/>
      </w:pPr>
    </w:lvl>
    <w:lvl w:ilvl="2" w:tplc="0809001B" w:tentative="1">
      <w:start w:val="1"/>
      <w:numFmt w:val="lowerRoman"/>
      <w:lvlText w:val="%3."/>
      <w:lvlJc w:val="right"/>
      <w:pPr>
        <w:ind w:left="3512" w:hanging="180"/>
      </w:pPr>
    </w:lvl>
    <w:lvl w:ilvl="3" w:tplc="0809000F" w:tentative="1">
      <w:start w:val="1"/>
      <w:numFmt w:val="decimal"/>
      <w:lvlText w:val="%4."/>
      <w:lvlJc w:val="left"/>
      <w:pPr>
        <w:ind w:left="4232" w:hanging="360"/>
      </w:pPr>
    </w:lvl>
    <w:lvl w:ilvl="4" w:tplc="08090019" w:tentative="1">
      <w:start w:val="1"/>
      <w:numFmt w:val="lowerLetter"/>
      <w:lvlText w:val="%5."/>
      <w:lvlJc w:val="left"/>
      <w:pPr>
        <w:ind w:left="4952" w:hanging="360"/>
      </w:pPr>
    </w:lvl>
    <w:lvl w:ilvl="5" w:tplc="0809001B" w:tentative="1">
      <w:start w:val="1"/>
      <w:numFmt w:val="lowerRoman"/>
      <w:lvlText w:val="%6."/>
      <w:lvlJc w:val="right"/>
      <w:pPr>
        <w:ind w:left="5672" w:hanging="180"/>
      </w:pPr>
    </w:lvl>
    <w:lvl w:ilvl="6" w:tplc="0809000F" w:tentative="1">
      <w:start w:val="1"/>
      <w:numFmt w:val="decimal"/>
      <w:lvlText w:val="%7."/>
      <w:lvlJc w:val="left"/>
      <w:pPr>
        <w:ind w:left="6392" w:hanging="360"/>
      </w:pPr>
    </w:lvl>
    <w:lvl w:ilvl="7" w:tplc="08090019" w:tentative="1">
      <w:start w:val="1"/>
      <w:numFmt w:val="lowerLetter"/>
      <w:lvlText w:val="%8."/>
      <w:lvlJc w:val="left"/>
      <w:pPr>
        <w:ind w:left="7112" w:hanging="360"/>
      </w:pPr>
    </w:lvl>
    <w:lvl w:ilvl="8" w:tplc="0809001B" w:tentative="1">
      <w:start w:val="1"/>
      <w:numFmt w:val="lowerRoman"/>
      <w:lvlText w:val="%9."/>
      <w:lvlJc w:val="right"/>
      <w:pPr>
        <w:ind w:left="7832" w:hanging="180"/>
      </w:pPr>
    </w:lvl>
  </w:abstractNum>
  <w:abstractNum w:abstractNumId="413" w15:restartNumberingAfterBreak="0">
    <w:nsid w:val="28520C94"/>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4" w15:restartNumberingAfterBreak="0">
    <w:nsid w:val="285F737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5" w15:restartNumberingAfterBreak="0">
    <w:nsid w:val="28947D36"/>
    <w:multiLevelType w:val="hybridMultilevel"/>
    <w:tmpl w:val="6D14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15:restartNumberingAfterBreak="0">
    <w:nsid w:val="28A44D15"/>
    <w:multiLevelType w:val="multilevel"/>
    <w:tmpl w:val="D06EA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15:restartNumberingAfterBreak="0">
    <w:nsid w:val="28B96A78"/>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28DD5563"/>
    <w:multiLevelType w:val="hybridMultilevel"/>
    <w:tmpl w:val="E93C4414"/>
    <w:lvl w:ilvl="0" w:tplc="0316D1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C64C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AC0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A13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B4B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8C2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D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085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165B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9" w15:restartNumberingAfterBreak="0">
    <w:nsid w:val="28E646E8"/>
    <w:multiLevelType w:val="multilevel"/>
    <w:tmpl w:val="FE0CD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0" w15:restartNumberingAfterBreak="0">
    <w:nsid w:val="29000FEC"/>
    <w:multiLevelType w:val="hybridMultilevel"/>
    <w:tmpl w:val="CF28E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290F4FF4"/>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29124E03"/>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3" w15:restartNumberingAfterBreak="0">
    <w:nsid w:val="29184549"/>
    <w:multiLevelType w:val="hybridMultilevel"/>
    <w:tmpl w:val="AA006B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15:restartNumberingAfterBreak="0">
    <w:nsid w:val="294B7003"/>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15:restartNumberingAfterBreak="0">
    <w:nsid w:val="29572A63"/>
    <w:multiLevelType w:val="hybridMultilevel"/>
    <w:tmpl w:val="9C8E8B3A"/>
    <w:lvl w:ilvl="0" w:tplc="1FA454C8">
      <w:start w:val="1"/>
      <w:numFmt w:val="lowerLetter"/>
      <w:lvlText w:val="(%1)"/>
      <w:lvlJc w:val="left"/>
      <w:pPr>
        <w:ind w:left="1075" w:hanging="36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426" w15:restartNumberingAfterBreak="0">
    <w:nsid w:val="296F428D"/>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7" w15:restartNumberingAfterBreak="0">
    <w:nsid w:val="297659C0"/>
    <w:multiLevelType w:val="hybridMultilevel"/>
    <w:tmpl w:val="F5D2284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15:restartNumberingAfterBreak="0">
    <w:nsid w:val="29AC55E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9" w15:restartNumberingAfterBreak="0">
    <w:nsid w:val="29B77CE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30" w15:restartNumberingAfterBreak="0">
    <w:nsid w:val="29CA72D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1" w15:restartNumberingAfterBreak="0">
    <w:nsid w:val="29D80A97"/>
    <w:multiLevelType w:val="hybridMultilevel"/>
    <w:tmpl w:val="E60C03EC"/>
    <w:lvl w:ilvl="0" w:tplc="8BFCAA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2A110F47"/>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3" w15:restartNumberingAfterBreak="0">
    <w:nsid w:val="2A1B1A33"/>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15:restartNumberingAfterBreak="0">
    <w:nsid w:val="2A1F186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35" w15:restartNumberingAfterBreak="0">
    <w:nsid w:val="2A29219B"/>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6" w15:restartNumberingAfterBreak="0">
    <w:nsid w:val="2A2E56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7" w15:restartNumberingAfterBreak="0">
    <w:nsid w:val="2A523E67"/>
    <w:multiLevelType w:val="hybridMultilevel"/>
    <w:tmpl w:val="5402378E"/>
    <w:lvl w:ilvl="0" w:tplc="D39CBD1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68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032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52C1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34F1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0CD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FE8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9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A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15:restartNumberingAfterBreak="0">
    <w:nsid w:val="2A775A7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9" w15:restartNumberingAfterBreak="0">
    <w:nsid w:val="2A8B484C"/>
    <w:multiLevelType w:val="hybridMultilevel"/>
    <w:tmpl w:val="40D69F1A"/>
    <w:lvl w:ilvl="0" w:tplc="350ED0E6">
      <w:start w:val="1"/>
      <w:numFmt w:val="lowerLetter"/>
      <w:lvlText w:val="(%1)"/>
      <w:lvlJc w:val="left"/>
      <w:pPr>
        <w:ind w:left="720" w:hanging="360"/>
      </w:pPr>
      <w:rPr>
        <w:rFonts w:asciiTheme="minorHAnsi" w:eastAsiaTheme="minorHAnsi" w:hAnsiTheme="minorHAnsi" w:cstheme="minorBidi"/>
        <w:strike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0" w15:restartNumberingAfterBreak="0">
    <w:nsid w:val="2A9F5389"/>
    <w:multiLevelType w:val="hybridMultilevel"/>
    <w:tmpl w:val="F622FB1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15:restartNumberingAfterBreak="0">
    <w:nsid w:val="2AE42F91"/>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15:restartNumberingAfterBreak="0">
    <w:nsid w:val="2B337BB5"/>
    <w:multiLevelType w:val="hybridMultilevel"/>
    <w:tmpl w:val="272E9AE2"/>
    <w:lvl w:ilvl="0" w:tplc="0D9EDED0">
      <w:start w:val="1"/>
      <w:numFmt w:val="lowerLetter"/>
      <w:lvlText w:val="(%1)"/>
      <w:lvlJc w:val="left"/>
      <w:pPr>
        <w:ind w:left="760" w:hanging="360"/>
      </w:pPr>
      <w:rPr>
        <w:rFonts w:hint="default"/>
        <w:color w:val="000000"/>
      </w:rPr>
    </w:lvl>
    <w:lvl w:ilvl="1" w:tplc="080C0019" w:tentative="1">
      <w:start w:val="1"/>
      <w:numFmt w:val="lowerLetter"/>
      <w:lvlText w:val="%2."/>
      <w:lvlJc w:val="left"/>
      <w:pPr>
        <w:ind w:left="1480" w:hanging="360"/>
      </w:pPr>
    </w:lvl>
    <w:lvl w:ilvl="2" w:tplc="080C001B" w:tentative="1">
      <w:start w:val="1"/>
      <w:numFmt w:val="lowerRoman"/>
      <w:lvlText w:val="%3."/>
      <w:lvlJc w:val="right"/>
      <w:pPr>
        <w:ind w:left="2200" w:hanging="180"/>
      </w:pPr>
    </w:lvl>
    <w:lvl w:ilvl="3" w:tplc="080C000F" w:tentative="1">
      <w:start w:val="1"/>
      <w:numFmt w:val="decimal"/>
      <w:lvlText w:val="%4."/>
      <w:lvlJc w:val="left"/>
      <w:pPr>
        <w:ind w:left="2920" w:hanging="360"/>
      </w:pPr>
    </w:lvl>
    <w:lvl w:ilvl="4" w:tplc="080C0019" w:tentative="1">
      <w:start w:val="1"/>
      <w:numFmt w:val="lowerLetter"/>
      <w:lvlText w:val="%5."/>
      <w:lvlJc w:val="left"/>
      <w:pPr>
        <w:ind w:left="3640" w:hanging="360"/>
      </w:pPr>
    </w:lvl>
    <w:lvl w:ilvl="5" w:tplc="080C001B" w:tentative="1">
      <w:start w:val="1"/>
      <w:numFmt w:val="lowerRoman"/>
      <w:lvlText w:val="%6."/>
      <w:lvlJc w:val="right"/>
      <w:pPr>
        <w:ind w:left="4360" w:hanging="180"/>
      </w:pPr>
    </w:lvl>
    <w:lvl w:ilvl="6" w:tplc="080C000F" w:tentative="1">
      <w:start w:val="1"/>
      <w:numFmt w:val="decimal"/>
      <w:lvlText w:val="%7."/>
      <w:lvlJc w:val="left"/>
      <w:pPr>
        <w:ind w:left="5080" w:hanging="360"/>
      </w:pPr>
    </w:lvl>
    <w:lvl w:ilvl="7" w:tplc="080C0019" w:tentative="1">
      <w:start w:val="1"/>
      <w:numFmt w:val="lowerLetter"/>
      <w:lvlText w:val="%8."/>
      <w:lvlJc w:val="left"/>
      <w:pPr>
        <w:ind w:left="5800" w:hanging="360"/>
      </w:pPr>
    </w:lvl>
    <w:lvl w:ilvl="8" w:tplc="080C001B" w:tentative="1">
      <w:start w:val="1"/>
      <w:numFmt w:val="lowerRoman"/>
      <w:lvlText w:val="%9."/>
      <w:lvlJc w:val="right"/>
      <w:pPr>
        <w:ind w:left="6520" w:hanging="180"/>
      </w:pPr>
    </w:lvl>
  </w:abstractNum>
  <w:abstractNum w:abstractNumId="443" w15:restartNumberingAfterBreak="0">
    <w:nsid w:val="2B5D5CAA"/>
    <w:multiLevelType w:val="multilevel"/>
    <w:tmpl w:val="0C8EDF7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4" w15:restartNumberingAfterBreak="0">
    <w:nsid w:val="2B633DA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5" w15:restartNumberingAfterBreak="0">
    <w:nsid w:val="2B7D23D7"/>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15:restartNumberingAfterBreak="0">
    <w:nsid w:val="2B7D2566"/>
    <w:multiLevelType w:val="hybridMultilevel"/>
    <w:tmpl w:val="A9F476E2"/>
    <w:lvl w:ilvl="0" w:tplc="65B2DBAE">
      <w:start w:val="1"/>
      <w:numFmt w:val="lowerLetter"/>
      <w:lvlText w:val="(%1)"/>
      <w:lvlJc w:val="left"/>
      <w:pPr>
        <w:ind w:left="360" w:hanging="360"/>
      </w:pPr>
      <w:rPr>
        <w:rFonts w:hint="default"/>
        <w:color w:val="auto"/>
      </w:rPr>
    </w:lvl>
    <w:lvl w:ilvl="1" w:tplc="58308B50">
      <w:start w:val="1"/>
      <w:numFmt w:val="lowerRoman"/>
      <w:lvlText w:val="(%2)"/>
      <w:lvlJc w:val="left"/>
      <w:pPr>
        <w:ind w:left="1440" w:hanging="720"/>
      </w:pPr>
      <w:rPr>
        <w:rFonts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7" w15:restartNumberingAfterBreak="0">
    <w:nsid w:val="2B8F42A9"/>
    <w:multiLevelType w:val="hybridMultilevel"/>
    <w:tmpl w:val="F912C00E"/>
    <w:lvl w:ilvl="0" w:tplc="D14869C0">
      <w:start w:val="1"/>
      <w:numFmt w:val="lowerLetter"/>
      <w:lvlText w:val="(%1)"/>
      <w:lvlJc w:val="left"/>
      <w:pPr>
        <w:ind w:left="720" w:hanging="360"/>
      </w:pPr>
      <w:rPr>
        <w:rFonts w:hint="default"/>
      </w:rPr>
    </w:lvl>
    <w:lvl w:ilvl="1" w:tplc="5D502B9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8" w15:restartNumberingAfterBreak="0">
    <w:nsid w:val="2B9400BB"/>
    <w:multiLevelType w:val="hybridMultilevel"/>
    <w:tmpl w:val="5F94075E"/>
    <w:lvl w:ilvl="0" w:tplc="F2D20D2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7CA5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30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A9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1C41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4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0A7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22F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C20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15:restartNumberingAfterBreak="0">
    <w:nsid w:val="2BB57349"/>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15:restartNumberingAfterBreak="0">
    <w:nsid w:val="2BC26BEA"/>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51" w15:restartNumberingAfterBreak="0">
    <w:nsid w:val="2BE34BB8"/>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2" w15:restartNumberingAfterBreak="0">
    <w:nsid w:val="2BE411D6"/>
    <w:multiLevelType w:val="hybridMultilevel"/>
    <w:tmpl w:val="D1C4D510"/>
    <w:lvl w:ilvl="0" w:tplc="4830CEE8">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84DF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8DD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A483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A07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64E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4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42D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82B6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2BE47FD1"/>
    <w:multiLevelType w:val="multilevel"/>
    <w:tmpl w:val="A99EC6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2C4C1785"/>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15:restartNumberingAfterBreak="0">
    <w:nsid w:val="2C5856A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56" w15:restartNumberingAfterBreak="0">
    <w:nsid w:val="2C6D0C59"/>
    <w:multiLevelType w:val="hybridMultilevel"/>
    <w:tmpl w:val="D234B47C"/>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7" w15:restartNumberingAfterBreak="0">
    <w:nsid w:val="2C6E43CA"/>
    <w:multiLevelType w:val="multilevel"/>
    <w:tmpl w:val="A380F5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8" w15:restartNumberingAfterBreak="0">
    <w:nsid w:val="2C7B2C1F"/>
    <w:multiLevelType w:val="hybridMultilevel"/>
    <w:tmpl w:val="98043B64"/>
    <w:lvl w:ilvl="0" w:tplc="184EB362">
      <w:start w:val="1"/>
      <w:numFmt w:val="decimal"/>
      <w:lvlText w:val="%1."/>
      <w:lvlJc w:val="left"/>
      <w:pPr>
        <w:ind w:left="1080" w:hanging="720"/>
      </w:pPr>
      <w:rPr>
        <w:rFonts w:hint="default"/>
      </w:rPr>
    </w:lvl>
    <w:lvl w:ilvl="1" w:tplc="840A01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2C8054D9"/>
    <w:multiLevelType w:val="hybridMultilevel"/>
    <w:tmpl w:val="C2DCFC1A"/>
    <w:lvl w:ilvl="0" w:tplc="32BA583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68D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8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4A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03E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E4F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6AA4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2AA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5C11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0" w15:restartNumberingAfterBreak="0">
    <w:nsid w:val="2C9225F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15:restartNumberingAfterBreak="0">
    <w:nsid w:val="2CD80C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2CF9085D"/>
    <w:multiLevelType w:val="multilevel"/>
    <w:tmpl w:val="1DA813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15:restartNumberingAfterBreak="0">
    <w:nsid w:val="2D0C6149"/>
    <w:multiLevelType w:val="hybridMultilevel"/>
    <w:tmpl w:val="D534AD2E"/>
    <w:styleLink w:val="Style15import"/>
    <w:lvl w:ilvl="0" w:tplc="4462BBF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A0A99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36CB0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D04A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4D4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EDABE">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54D1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BC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A866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4" w15:restartNumberingAfterBreak="0">
    <w:nsid w:val="2D474A8A"/>
    <w:multiLevelType w:val="hybridMultilevel"/>
    <w:tmpl w:val="A36ABBF4"/>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5" w15:restartNumberingAfterBreak="0">
    <w:nsid w:val="2D5A17FD"/>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66" w15:restartNumberingAfterBreak="0">
    <w:nsid w:val="2DB95D81"/>
    <w:multiLevelType w:val="hybridMultilevel"/>
    <w:tmpl w:val="C988F28E"/>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7" w15:restartNumberingAfterBreak="0">
    <w:nsid w:val="2DBA05E4"/>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8" w15:restartNumberingAfterBreak="0">
    <w:nsid w:val="2DBA78F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9" w15:restartNumberingAfterBreak="0">
    <w:nsid w:val="2DBC3FBB"/>
    <w:multiLevelType w:val="multilevel"/>
    <w:tmpl w:val="378A073A"/>
    <w:lvl w:ilvl="0">
      <w:start w:val="1"/>
      <w:numFmt w:val="lowerLetter"/>
      <w:lvlText w:val="(%1)"/>
      <w:lvlJc w:val="left"/>
      <w:pPr>
        <w:ind w:left="566" w:hanging="359"/>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0" w15:restartNumberingAfterBreak="0">
    <w:nsid w:val="2DCC174C"/>
    <w:multiLevelType w:val="multilevel"/>
    <w:tmpl w:val="C4A68F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1" w15:restartNumberingAfterBreak="0">
    <w:nsid w:val="2DCF200B"/>
    <w:multiLevelType w:val="multilevel"/>
    <w:tmpl w:val="7A26AA1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15:restartNumberingAfterBreak="0">
    <w:nsid w:val="2DD331A4"/>
    <w:multiLevelType w:val="hybridMultilevel"/>
    <w:tmpl w:val="52E0C4CA"/>
    <w:lvl w:ilvl="0" w:tplc="90E2B89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3" w15:restartNumberingAfterBreak="0">
    <w:nsid w:val="2DE556B9"/>
    <w:multiLevelType w:val="multilevel"/>
    <w:tmpl w:val="5FB0455A"/>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74" w15:restartNumberingAfterBreak="0">
    <w:nsid w:val="2E070608"/>
    <w:multiLevelType w:val="hybridMultilevel"/>
    <w:tmpl w:val="0F16FBD8"/>
    <w:styleLink w:val="Style6import"/>
    <w:lvl w:ilvl="0" w:tplc="261087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EE07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E7F7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654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EC7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DCEE3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1C4C9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20EBE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34E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5" w15:restartNumberingAfterBreak="0">
    <w:nsid w:val="2E1A636E"/>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15:restartNumberingAfterBreak="0">
    <w:nsid w:val="2E2E6920"/>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7" w15:restartNumberingAfterBreak="0">
    <w:nsid w:val="2E2F03D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78" w15:restartNumberingAfterBreak="0">
    <w:nsid w:val="2E535F82"/>
    <w:multiLevelType w:val="hybridMultilevel"/>
    <w:tmpl w:val="916EBBA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15:restartNumberingAfterBreak="0">
    <w:nsid w:val="2E76237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15:restartNumberingAfterBreak="0">
    <w:nsid w:val="2E885B5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81" w15:restartNumberingAfterBreak="0">
    <w:nsid w:val="2EBB6BD5"/>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2" w15:restartNumberingAfterBreak="0">
    <w:nsid w:val="2EC2030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15:restartNumberingAfterBreak="0">
    <w:nsid w:val="2EF81DF5"/>
    <w:multiLevelType w:val="hybridMultilevel"/>
    <w:tmpl w:val="F438CFD8"/>
    <w:lvl w:ilvl="0" w:tplc="1872408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A57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23A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0C1B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29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1013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47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EE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2ED1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2F0C11D7"/>
    <w:multiLevelType w:val="hybridMultilevel"/>
    <w:tmpl w:val="149018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5" w15:restartNumberingAfterBreak="0">
    <w:nsid w:val="2F14475A"/>
    <w:multiLevelType w:val="hybridMultilevel"/>
    <w:tmpl w:val="271249A4"/>
    <w:lvl w:ilvl="0" w:tplc="623E5D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15:restartNumberingAfterBreak="0">
    <w:nsid w:val="2F1A263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15:restartNumberingAfterBreak="0">
    <w:nsid w:val="2F1B6DD0"/>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88" w15:restartNumberingAfterBreak="0">
    <w:nsid w:val="2F1F0578"/>
    <w:multiLevelType w:val="hybridMultilevel"/>
    <w:tmpl w:val="E6E8FF6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15:restartNumberingAfterBreak="0">
    <w:nsid w:val="2F422351"/>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2F4230A4"/>
    <w:multiLevelType w:val="multilevel"/>
    <w:tmpl w:val="8236C5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1" w15:restartNumberingAfterBreak="0">
    <w:nsid w:val="2F8B1B1C"/>
    <w:multiLevelType w:val="hybridMultilevel"/>
    <w:tmpl w:val="5CB6426C"/>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15:restartNumberingAfterBreak="0">
    <w:nsid w:val="2F8F3BB2"/>
    <w:multiLevelType w:val="multilevel"/>
    <w:tmpl w:val="387C3918"/>
    <w:lvl w:ilvl="0">
      <w:start w:val="1"/>
      <w:numFmt w:val="decimal"/>
      <w:lvlText w:val="%1."/>
      <w:lvlJc w:val="left"/>
      <w:rPr>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3" w15:restartNumberingAfterBreak="0">
    <w:nsid w:val="2FB90B9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4" w15:restartNumberingAfterBreak="0">
    <w:nsid w:val="2FC2659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5" w15:restartNumberingAfterBreak="0">
    <w:nsid w:val="2FCE2DE4"/>
    <w:multiLevelType w:val="multilevel"/>
    <w:tmpl w:val="973A08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6" w15:restartNumberingAfterBreak="0">
    <w:nsid w:val="2FD4243F"/>
    <w:multiLevelType w:val="hybridMultilevel"/>
    <w:tmpl w:val="7ED8A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15:restartNumberingAfterBreak="0">
    <w:nsid w:val="2FE64276"/>
    <w:multiLevelType w:val="hybridMultilevel"/>
    <w:tmpl w:val="A0DC92A2"/>
    <w:lvl w:ilvl="0" w:tplc="BF12C15C">
      <w:start w:val="1"/>
      <w:numFmt w:val="lowerRoman"/>
      <w:lvlText w:val="(%1)"/>
      <w:lvlJc w:val="left"/>
      <w:pPr>
        <w:ind w:left="578"/>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2E06E75C">
      <w:start w:val="1"/>
      <w:numFmt w:val="lowerLetter"/>
      <w:lvlText w:val="%2"/>
      <w:lvlJc w:val="left"/>
      <w:pPr>
        <w:ind w:left="13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E4E3E24">
      <w:start w:val="1"/>
      <w:numFmt w:val="lowerRoman"/>
      <w:lvlText w:val="%3"/>
      <w:lvlJc w:val="left"/>
      <w:pPr>
        <w:ind w:left="20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5A4A28DE">
      <w:start w:val="1"/>
      <w:numFmt w:val="decimal"/>
      <w:lvlText w:val="%4"/>
      <w:lvlJc w:val="left"/>
      <w:pPr>
        <w:ind w:left="28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17743364">
      <w:start w:val="1"/>
      <w:numFmt w:val="lowerLetter"/>
      <w:lvlText w:val="%5"/>
      <w:lvlJc w:val="left"/>
      <w:pPr>
        <w:ind w:left="353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EBD63356">
      <w:start w:val="1"/>
      <w:numFmt w:val="lowerRoman"/>
      <w:lvlText w:val="%6"/>
      <w:lvlJc w:val="left"/>
      <w:pPr>
        <w:ind w:left="425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C34A974C">
      <w:start w:val="1"/>
      <w:numFmt w:val="decimal"/>
      <w:lvlText w:val="%7"/>
      <w:lvlJc w:val="left"/>
      <w:pPr>
        <w:ind w:left="49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F7AC618">
      <w:start w:val="1"/>
      <w:numFmt w:val="lowerLetter"/>
      <w:lvlText w:val="%8"/>
      <w:lvlJc w:val="left"/>
      <w:pPr>
        <w:ind w:left="56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1270A0D8">
      <w:start w:val="1"/>
      <w:numFmt w:val="lowerRoman"/>
      <w:lvlText w:val="%9"/>
      <w:lvlJc w:val="left"/>
      <w:pPr>
        <w:ind w:left="64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498" w15:restartNumberingAfterBreak="0">
    <w:nsid w:val="30491CD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15:restartNumberingAfterBreak="0">
    <w:nsid w:val="305A317A"/>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0" w15:restartNumberingAfterBreak="0">
    <w:nsid w:val="305B445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1" w15:restartNumberingAfterBreak="0">
    <w:nsid w:val="30AA37BB"/>
    <w:multiLevelType w:val="hybridMultilevel"/>
    <w:tmpl w:val="97F6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30AE5173"/>
    <w:multiLevelType w:val="hybridMultilevel"/>
    <w:tmpl w:val="7AAC81B6"/>
    <w:lvl w:ilvl="0" w:tplc="EC40180A">
      <w:start w:val="1"/>
      <w:numFmt w:val="decimal"/>
      <w:lvlText w:val="%1."/>
      <w:lvlJc w:val="left"/>
      <w:pPr>
        <w:ind w:left="720" w:hanging="360"/>
      </w:pPr>
      <w:rPr>
        <w:rFonts w:ascii="Calibri" w:eastAsia="Calibri" w:hAnsi="Calibri" w:cs="Calibri"/>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3" w15:restartNumberingAfterBreak="0">
    <w:nsid w:val="30DD5B90"/>
    <w:multiLevelType w:val="hybridMultilevel"/>
    <w:tmpl w:val="FCEEE9AE"/>
    <w:lvl w:ilvl="0" w:tplc="684C8C3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65D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0C3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C7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818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826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A0EA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0E0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7C6C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4" w15:restartNumberingAfterBreak="0">
    <w:nsid w:val="3107114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15:restartNumberingAfterBreak="0">
    <w:nsid w:val="310B271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6" w15:restartNumberingAfterBreak="0">
    <w:nsid w:val="310D0F56"/>
    <w:multiLevelType w:val="multilevel"/>
    <w:tmpl w:val="F8427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7" w15:restartNumberingAfterBreak="0">
    <w:nsid w:val="31291CB5"/>
    <w:multiLevelType w:val="multilevel"/>
    <w:tmpl w:val="080CF68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8" w15:restartNumberingAfterBreak="0">
    <w:nsid w:val="3143052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9" w15:restartNumberingAfterBreak="0">
    <w:nsid w:val="316656DF"/>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0" w15:restartNumberingAfterBreak="0">
    <w:nsid w:val="316A6C0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11" w15:restartNumberingAfterBreak="0">
    <w:nsid w:val="31890067"/>
    <w:multiLevelType w:val="hybridMultilevel"/>
    <w:tmpl w:val="C09E1FC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31902307"/>
    <w:multiLevelType w:val="hybridMultilevel"/>
    <w:tmpl w:val="C41E2F5A"/>
    <w:lvl w:ilvl="0" w:tplc="97D66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15:restartNumberingAfterBreak="0">
    <w:nsid w:val="31B650F8"/>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4" w15:restartNumberingAfterBreak="0">
    <w:nsid w:val="31C50C82"/>
    <w:multiLevelType w:val="hybridMultilevel"/>
    <w:tmpl w:val="368AD66E"/>
    <w:lvl w:ilvl="0" w:tplc="CFDE2CC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0D9D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5FB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2549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195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14168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879B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804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488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5" w15:restartNumberingAfterBreak="0">
    <w:nsid w:val="31E71AC9"/>
    <w:multiLevelType w:val="hybridMultilevel"/>
    <w:tmpl w:val="A0CC3FDC"/>
    <w:lvl w:ilvl="0" w:tplc="41887DC8">
      <w:start w:val="1"/>
      <w:numFmt w:val="lowerLetter"/>
      <w:lvlText w:val="(%1)"/>
      <w:lvlJc w:val="left"/>
      <w:pPr>
        <w:ind w:left="360" w:hanging="360"/>
      </w:pPr>
      <w:rPr>
        <w:rFonts w:hint="default"/>
        <w:b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6" w15:restartNumberingAfterBreak="0">
    <w:nsid w:val="320642E7"/>
    <w:multiLevelType w:val="hybridMultilevel"/>
    <w:tmpl w:val="B776BBEA"/>
    <w:lvl w:ilvl="0" w:tplc="77A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320F14CA"/>
    <w:multiLevelType w:val="hybridMultilevel"/>
    <w:tmpl w:val="D71E51F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15:restartNumberingAfterBreak="0">
    <w:nsid w:val="32120C8A"/>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9" w15:restartNumberingAfterBreak="0">
    <w:nsid w:val="321F06D0"/>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15:restartNumberingAfterBreak="0">
    <w:nsid w:val="324E11E4"/>
    <w:multiLevelType w:val="hybridMultilevel"/>
    <w:tmpl w:val="FB546C52"/>
    <w:lvl w:ilvl="0" w:tplc="0D9EDE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1" w15:restartNumberingAfterBreak="0">
    <w:nsid w:val="3274574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2" w15:restartNumberingAfterBreak="0">
    <w:nsid w:val="32A0658D"/>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15:restartNumberingAfterBreak="0">
    <w:nsid w:val="32AA66EE"/>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524" w15:restartNumberingAfterBreak="0">
    <w:nsid w:val="32C73732"/>
    <w:multiLevelType w:val="hybridMultilevel"/>
    <w:tmpl w:val="83F6E6DA"/>
    <w:lvl w:ilvl="0" w:tplc="0809000F">
      <w:start w:val="1"/>
      <w:numFmt w:val="decimal"/>
      <w:lvlText w:val="%1."/>
      <w:lvlJc w:val="left"/>
      <w:pPr>
        <w:tabs>
          <w:tab w:val="num" w:pos="720"/>
        </w:tabs>
        <w:ind w:left="720" w:hanging="360"/>
      </w:pPr>
      <w:rPr>
        <w:rFonts w:hint="default"/>
      </w:rPr>
    </w:lvl>
    <w:lvl w:ilvl="1" w:tplc="DC9E2B0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15:restartNumberingAfterBreak="0">
    <w:nsid w:val="32D97A5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6" w15:restartNumberingAfterBreak="0">
    <w:nsid w:val="32EA09C6"/>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15:restartNumberingAfterBreak="0">
    <w:nsid w:val="32EC3795"/>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15:restartNumberingAfterBreak="0">
    <w:nsid w:val="32FA6B3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9" w15:restartNumberingAfterBreak="0">
    <w:nsid w:val="330621DF"/>
    <w:multiLevelType w:val="hybridMultilevel"/>
    <w:tmpl w:val="361C3DE6"/>
    <w:styleLink w:val="Style19import"/>
    <w:lvl w:ilvl="0" w:tplc="2712676E">
      <w:start w:val="1"/>
      <w:numFmt w:val="lowerLetter"/>
      <w:lvlText w:val="%1)"/>
      <w:lvlJc w:val="left"/>
      <w:pPr>
        <w:tabs>
          <w:tab w:val="left" w:pos="284"/>
        </w:tabs>
        <w:ind w:left="68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203A0">
      <w:start w:val="1"/>
      <w:numFmt w:val="lowerLetter"/>
      <w:lvlText w:val="%2."/>
      <w:lvlJc w:val="left"/>
      <w:pPr>
        <w:tabs>
          <w:tab w:val="left" w:pos="284"/>
        </w:tabs>
        <w:ind w:left="14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2FD2">
      <w:start w:val="1"/>
      <w:numFmt w:val="lowerRoman"/>
      <w:lvlText w:val="%3."/>
      <w:lvlJc w:val="left"/>
      <w:pPr>
        <w:tabs>
          <w:tab w:val="left" w:pos="284"/>
        </w:tabs>
        <w:ind w:left="212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23F74">
      <w:start w:val="1"/>
      <w:numFmt w:val="decimal"/>
      <w:lvlText w:val="%4."/>
      <w:lvlJc w:val="left"/>
      <w:pPr>
        <w:tabs>
          <w:tab w:val="left" w:pos="284"/>
        </w:tabs>
        <w:ind w:left="284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12DEE4">
      <w:start w:val="1"/>
      <w:numFmt w:val="lowerLetter"/>
      <w:lvlText w:val="%5."/>
      <w:lvlJc w:val="left"/>
      <w:pPr>
        <w:tabs>
          <w:tab w:val="left" w:pos="284"/>
        </w:tabs>
        <w:ind w:left="356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6A7E8">
      <w:start w:val="1"/>
      <w:numFmt w:val="lowerRoman"/>
      <w:lvlText w:val="%6."/>
      <w:lvlJc w:val="left"/>
      <w:pPr>
        <w:tabs>
          <w:tab w:val="left" w:pos="284"/>
        </w:tabs>
        <w:ind w:left="428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22E10">
      <w:start w:val="1"/>
      <w:numFmt w:val="decimal"/>
      <w:lvlText w:val="%7."/>
      <w:lvlJc w:val="left"/>
      <w:pPr>
        <w:tabs>
          <w:tab w:val="left" w:pos="284"/>
        </w:tabs>
        <w:ind w:left="50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43F9E">
      <w:start w:val="1"/>
      <w:numFmt w:val="lowerLetter"/>
      <w:lvlText w:val="%8."/>
      <w:lvlJc w:val="left"/>
      <w:pPr>
        <w:tabs>
          <w:tab w:val="left" w:pos="284"/>
        </w:tabs>
        <w:ind w:left="572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850">
      <w:start w:val="1"/>
      <w:numFmt w:val="lowerRoman"/>
      <w:lvlText w:val="%9."/>
      <w:lvlJc w:val="left"/>
      <w:pPr>
        <w:tabs>
          <w:tab w:val="left" w:pos="284"/>
        </w:tabs>
        <w:ind w:left="644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0" w15:restartNumberingAfterBreak="0">
    <w:nsid w:val="330D48B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1" w15:restartNumberingAfterBreak="0">
    <w:nsid w:val="33395B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2" w15:restartNumberingAfterBreak="0">
    <w:nsid w:val="333E20ED"/>
    <w:multiLevelType w:val="hybridMultilevel"/>
    <w:tmpl w:val="BC2C9180"/>
    <w:lvl w:ilvl="0" w:tplc="74D6D88C">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C87A16">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8D202">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A5E4A">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D6F6">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CE41A8">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69086">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D4">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E287E">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3" w15:restartNumberingAfterBreak="0">
    <w:nsid w:val="335A4589"/>
    <w:multiLevelType w:val="multilevel"/>
    <w:tmpl w:val="368E62B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rFonts w:asciiTheme="minorHAnsi" w:eastAsiaTheme="minorHAnsi" w:hAnsiTheme="minorHAnsi" w:cstheme="minorBid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15:restartNumberingAfterBreak="0">
    <w:nsid w:val="337D7017"/>
    <w:multiLevelType w:val="hybridMultilevel"/>
    <w:tmpl w:val="724E9890"/>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15:restartNumberingAfterBreak="0">
    <w:nsid w:val="337F43D0"/>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6" w15:restartNumberingAfterBreak="0">
    <w:nsid w:val="33810995"/>
    <w:multiLevelType w:val="hybridMultilevel"/>
    <w:tmpl w:val="B1045202"/>
    <w:lvl w:ilvl="0" w:tplc="840A01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3396359B"/>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8" w15:restartNumberingAfterBreak="0">
    <w:nsid w:val="33A74F0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39" w15:restartNumberingAfterBreak="0">
    <w:nsid w:val="33BA30AD"/>
    <w:multiLevelType w:val="hybridMultilevel"/>
    <w:tmpl w:val="88A6AEAA"/>
    <w:lvl w:ilvl="0" w:tplc="1A721148">
      <w:start w:val="1"/>
      <w:numFmt w:val="lowerLetter"/>
      <w:lvlText w:val="(%1)"/>
      <w:lvlJc w:val="left"/>
      <w:pPr>
        <w:ind w:left="720" w:hanging="360"/>
      </w:pPr>
      <w:rPr>
        <w:rFonts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0" w15:restartNumberingAfterBreak="0">
    <w:nsid w:val="33C13525"/>
    <w:multiLevelType w:val="hybridMultilevel"/>
    <w:tmpl w:val="87BEE56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15:restartNumberingAfterBreak="0">
    <w:nsid w:val="33E518A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2" w15:restartNumberingAfterBreak="0">
    <w:nsid w:val="33F628C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3" w15:restartNumberingAfterBreak="0">
    <w:nsid w:val="33FF77B5"/>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4" w15:restartNumberingAfterBreak="0">
    <w:nsid w:val="34013F3C"/>
    <w:multiLevelType w:val="hybridMultilevel"/>
    <w:tmpl w:val="5E54170E"/>
    <w:lvl w:ilvl="0" w:tplc="F8405D6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A0E5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4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841D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804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A4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F21E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A9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BB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340435FB"/>
    <w:multiLevelType w:val="hybridMultilevel"/>
    <w:tmpl w:val="1376E80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15:restartNumberingAfterBreak="0">
    <w:nsid w:val="34316C6A"/>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7" w15:restartNumberingAfterBreak="0">
    <w:nsid w:val="34347D4F"/>
    <w:multiLevelType w:val="hybridMultilevel"/>
    <w:tmpl w:val="0938FD72"/>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8" w15:restartNumberingAfterBreak="0">
    <w:nsid w:val="343B793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49" w15:restartNumberingAfterBreak="0">
    <w:nsid w:val="3445788E"/>
    <w:multiLevelType w:val="multilevel"/>
    <w:tmpl w:val="6EF64CA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15:restartNumberingAfterBreak="0">
    <w:nsid w:val="345272E9"/>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1" w15:restartNumberingAfterBreak="0">
    <w:nsid w:val="34694B8A"/>
    <w:multiLevelType w:val="hybridMultilevel"/>
    <w:tmpl w:val="7D9C404A"/>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2" w15:restartNumberingAfterBreak="0">
    <w:nsid w:val="346D0676"/>
    <w:multiLevelType w:val="hybridMultilevel"/>
    <w:tmpl w:val="1AE2D420"/>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3" w15:restartNumberingAfterBreak="0">
    <w:nsid w:val="346E13CE"/>
    <w:multiLevelType w:val="hybridMultilevel"/>
    <w:tmpl w:val="02CA52DE"/>
    <w:lvl w:ilvl="0" w:tplc="68B6A1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B01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AF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22E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EF7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364F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4D3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E9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26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4" w15:restartNumberingAfterBreak="0">
    <w:nsid w:val="3474014E"/>
    <w:multiLevelType w:val="hybridMultilevel"/>
    <w:tmpl w:val="95BA7EA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55" w15:restartNumberingAfterBreak="0">
    <w:nsid w:val="34876D9A"/>
    <w:multiLevelType w:val="hybridMultilevel"/>
    <w:tmpl w:val="E9EE0B14"/>
    <w:lvl w:ilvl="0" w:tplc="43D48C1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0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AC6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BE7B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8DD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E8E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BCFC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E73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6A2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6" w15:restartNumberingAfterBreak="0">
    <w:nsid w:val="34943CB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7" w15:restartNumberingAfterBreak="0">
    <w:nsid w:val="34A5557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8" w15:restartNumberingAfterBreak="0">
    <w:nsid w:val="34AE35FC"/>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9" w15:restartNumberingAfterBreak="0">
    <w:nsid w:val="34B70EA7"/>
    <w:multiLevelType w:val="hybridMultilevel"/>
    <w:tmpl w:val="3020AB2C"/>
    <w:lvl w:ilvl="0" w:tplc="0809000F">
      <w:start w:val="1"/>
      <w:numFmt w:val="decimal"/>
      <w:lvlText w:val="%1."/>
      <w:lvlJc w:val="left"/>
      <w:pPr>
        <w:ind w:left="1440" w:hanging="360"/>
      </w:pPr>
    </w:lvl>
    <w:lvl w:ilvl="1" w:tplc="834A3118">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0" w15:restartNumberingAfterBreak="0">
    <w:nsid w:val="34DC22D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1" w15:restartNumberingAfterBreak="0">
    <w:nsid w:val="34DD489C"/>
    <w:multiLevelType w:val="hybridMultilevel"/>
    <w:tmpl w:val="0052C75E"/>
    <w:lvl w:ilvl="0" w:tplc="85E89E8A">
      <w:start w:val="1"/>
      <w:numFmt w:val="decimal"/>
      <w:lvlText w:val="%1"/>
      <w:lvlJc w:val="left"/>
      <w:pPr>
        <w:ind w:left="36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1" w:tplc="95C2E014">
      <w:start w:val="1"/>
      <w:numFmt w:val="lowerLetter"/>
      <w:lvlText w:val="%2"/>
      <w:lvlJc w:val="left"/>
      <w:pPr>
        <w:ind w:left="785"/>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2" w:tplc="DDF6AA68">
      <w:start w:val="1"/>
      <w:numFmt w:val="lowerLetter"/>
      <w:lvlRestart w:val="0"/>
      <w:lvlText w:val="(%3)"/>
      <w:lvlJc w:val="left"/>
      <w:pPr>
        <w:ind w:left="141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64A802A0">
      <w:start w:val="1"/>
      <w:numFmt w:val="decimal"/>
      <w:lvlText w:val="%4"/>
      <w:lvlJc w:val="left"/>
      <w:pPr>
        <w:ind w:left="19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08DE7660">
      <w:start w:val="1"/>
      <w:numFmt w:val="lowerLetter"/>
      <w:lvlText w:val="%5"/>
      <w:lvlJc w:val="left"/>
      <w:pPr>
        <w:ind w:left="265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A2868C90">
      <w:start w:val="1"/>
      <w:numFmt w:val="lowerRoman"/>
      <w:lvlText w:val="%6"/>
      <w:lvlJc w:val="left"/>
      <w:pPr>
        <w:ind w:left="337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037C1D66">
      <w:start w:val="1"/>
      <w:numFmt w:val="decimal"/>
      <w:lvlText w:val="%7"/>
      <w:lvlJc w:val="left"/>
      <w:pPr>
        <w:ind w:left="409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54B2B8A8">
      <w:start w:val="1"/>
      <w:numFmt w:val="lowerLetter"/>
      <w:lvlText w:val="%8"/>
      <w:lvlJc w:val="left"/>
      <w:pPr>
        <w:ind w:left="481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B0D6B136">
      <w:start w:val="1"/>
      <w:numFmt w:val="lowerRoman"/>
      <w:lvlText w:val="%9"/>
      <w:lvlJc w:val="left"/>
      <w:pPr>
        <w:ind w:left="55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562" w15:restartNumberingAfterBreak="0">
    <w:nsid w:val="351943BF"/>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3" w15:restartNumberingAfterBreak="0">
    <w:nsid w:val="351B1B9D"/>
    <w:multiLevelType w:val="multilevel"/>
    <w:tmpl w:val="0D0266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4" w15:restartNumberingAfterBreak="0">
    <w:nsid w:val="351E7CFE"/>
    <w:multiLevelType w:val="hybridMultilevel"/>
    <w:tmpl w:val="5CAA5948"/>
    <w:lvl w:ilvl="0" w:tplc="95767F1E">
      <w:start w:val="1"/>
      <w:numFmt w:val="decimal"/>
      <w:lvlText w:val="%1."/>
      <w:lvlJc w:val="left"/>
      <w:pPr>
        <w:ind w:left="357" w:hanging="357"/>
      </w:pPr>
      <w:rPr>
        <w:color w:val="auto"/>
        <w:u w:val="none"/>
      </w:rPr>
    </w:lvl>
    <w:lvl w:ilvl="1" w:tplc="8CD8E0BC">
      <w:start w:val="1"/>
      <w:numFmt w:val="lowerRoman"/>
      <w:lvlText w:val="(%2)"/>
      <w:lvlJc w:val="left"/>
      <w:pPr>
        <w:ind w:left="1440" w:hanging="360"/>
      </w:pPr>
      <w:rPr>
        <w:rFonts w:ascii="Arial" w:eastAsiaTheme="minorHAnsi" w:hAnsi="Arial" w:cs="Arial"/>
        <w:color w:val="auto"/>
        <w:u w:val="none"/>
      </w:rPr>
    </w:lvl>
    <w:lvl w:ilvl="2" w:tplc="75DC043A">
      <w:start w:val="1"/>
      <w:numFmt w:val="lowerRoman"/>
      <w:lvlText w:val="%3."/>
      <w:lvlJc w:val="right"/>
      <w:pPr>
        <w:ind w:left="2160" w:hanging="360"/>
      </w:pPr>
      <w:rPr>
        <w:u w:val="none"/>
      </w:rPr>
    </w:lvl>
    <w:lvl w:ilvl="3" w:tplc="A14EA320">
      <w:start w:val="1"/>
      <w:numFmt w:val="decimal"/>
      <w:lvlText w:val="%4."/>
      <w:lvlJc w:val="left"/>
      <w:pPr>
        <w:ind w:left="2880" w:hanging="360"/>
      </w:pPr>
      <w:rPr>
        <w:u w:val="none"/>
      </w:rPr>
    </w:lvl>
    <w:lvl w:ilvl="4" w:tplc="88E8A274">
      <w:start w:val="1"/>
      <w:numFmt w:val="lowerLetter"/>
      <w:lvlText w:val="%5."/>
      <w:lvlJc w:val="left"/>
      <w:pPr>
        <w:ind w:left="3600" w:hanging="360"/>
      </w:pPr>
      <w:rPr>
        <w:u w:val="none"/>
      </w:rPr>
    </w:lvl>
    <w:lvl w:ilvl="5" w:tplc="AE325D74">
      <w:start w:val="1"/>
      <w:numFmt w:val="lowerRoman"/>
      <w:lvlText w:val="%6."/>
      <w:lvlJc w:val="right"/>
      <w:pPr>
        <w:ind w:left="4320" w:hanging="360"/>
      </w:pPr>
      <w:rPr>
        <w:u w:val="none"/>
      </w:rPr>
    </w:lvl>
    <w:lvl w:ilvl="6" w:tplc="ACB295A8">
      <w:start w:val="1"/>
      <w:numFmt w:val="decimal"/>
      <w:lvlText w:val="%7."/>
      <w:lvlJc w:val="left"/>
      <w:pPr>
        <w:ind w:left="5040" w:hanging="360"/>
      </w:pPr>
      <w:rPr>
        <w:u w:val="none"/>
      </w:rPr>
    </w:lvl>
    <w:lvl w:ilvl="7" w:tplc="BB007E20">
      <w:start w:val="1"/>
      <w:numFmt w:val="lowerLetter"/>
      <w:lvlText w:val="%8."/>
      <w:lvlJc w:val="left"/>
      <w:pPr>
        <w:ind w:left="5760" w:hanging="360"/>
      </w:pPr>
      <w:rPr>
        <w:u w:val="none"/>
      </w:rPr>
    </w:lvl>
    <w:lvl w:ilvl="8" w:tplc="FD0C3DAE">
      <w:start w:val="1"/>
      <w:numFmt w:val="lowerRoman"/>
      <w:lvlText w:val="%9."/>
      <w:lvlJc w:val="right"/>
      <w:pPr>
        <w:ind w:left="6480" w:hanging="360"/>
      </w:pPr>
      <w:rPr>
        <w:u w:val="none"/>
      </w:rPr>
    </w:lvl>
  </w:abstractNum>
  <w:abstractNum w:abstractNumId="565" w15:restartNumberingAfterBreak="0">
    <w:nsid w:val="352B7421"/>
    <w:multiLevelType w:val="multilevel"/>
    <w:tmpl w:val="2A5EBD70"/>
    <w:lvl w:ilvl="0">
      <w:start w:val="3"/>
      <w:numFmt w:val="lowerLetter"/>
      <w:lvlText w:val="(%1)"/>
      <w:lvlJc w:val="left"/>
      <w:pPr>
        <w:ind w:left="1335" w:hanging="360"/>
      </w:pPr>
      <w:rPr>
        <w:rFonts w:hint="default"/>
      </w:rPr>
    </w:lvl>
    <w:lvl w:ilvl="1">
      <w:start w:val="1"/>
      <w:numFmt w:val="lowerLetter"/>
      <w:lvlText w:val="%2."/>
      <w:lvlJc w:val="left"/>
      <w:pPr>
        <w:ind w:left="2055" w:hanging="360"/>
      </w:pPr>
      <w:rPr>
        <w:rFonts w:hint="default"/>
      </w:rPr>
    </w:lvl>
    <w:lvl w:ilvl="2">
      <w:start w:val="1"/>
      <w:numFmt w:val="lowerRoman"/>
      <w:lvlText w:val="%3."/>
      <w:lvlJc w:val="right"/>
      <w:pPr>
        <w:ind w:left="2775" w:hanging="180"/>
      </w:pPr>
      <w:rPr>
        <w:rFonts w:hint="default"/>
      </w:rPr>
    </w:lvl>
    <w:lvl w:ilvl="3">
      <w:start w:val="1"/>
      <w:numFmt w:val="decimal"/>
      <w:lvlText w:val="%4."/>
      <w:lvlJc w:val="left"/>
      <w:pPr>
        <w:ind w:left="3495" w:hanging="360"/>
      </w:pPr>
      <w:rPr>
        <w:rFonts w:hint="default"/>
      </w:rPr>
    </w:lvl>
    <w:lvl w:ilvl="4">
      <w:start w:val="1"/>
      <w:numFmt w:val="lowerLetter"/>
      <w:lvlText w:val="%5."/>
      <w:lvlJc w:val="left"/>
      <w:pPr>
        <w:ind w:left="4215" w:hanging="360"/>
      </w:pPr>
      <w:rPr>
        <w:rFonts w:hint="default"/>
      </w:rPr>
    </w:lvl>
    <w:lvl w:ilvl="5">
      <w:start w:val="1"/>
      <w:numFmt w:val="lowerRoman"/>
      <w:lvlText w:val="%6."/>
      <w:lvlJc w:val="right"/>
      <w:pPr>
        <w:ind w:left="4935" w:hanging="180"/>
      </w:pPr>
      <w:rPr>
        <w:rFonts w:hint="default"/>
      </w:rPr>
    </w:lvl>
    <w:lvl w:ilvl="6">
      <w:start w:val="1"/>
      <w:numFmt w:val="decimal"/>
      <w:lvlText w:val="%7."/>
      <w:lvlJc w:val="left"/>
      <w:pPr>
        <w:ind w:left="5655" w:hanging="360"/>
      </w:pPr>
      <w:rPr>
        <w:rFonts w:hint="default"/>
      </w:rPr>
    </w:lvl>
    <w:lvl w:ilvl="7">
      <w:start w:val="1"/>
      <w:numFmt w:val="lowerLetter"/>
      <w:lvlText w:val="%8."/>
      <w:lvlJc w:val="left"/>
      <w:pPr>
        <w:ind w:left="6375" w:hanging="360"/>
      </w:pPr>
      <w:rPr>
        <w:rFonts w:hint="default"/>
      </w:rPr>
    </w:lvl>
    <w:lvl w:ilvl="8">
      <w:start w:val="1"/>
      <w:numFmt w:val="lowerRoman"/>
      <w:lvlText w:val="%9."/>
      <w:lvlJc w:val="right"/>
      <w:pPr>
        <w:ind w:left="7095" w:hanging="180"/>
      </w:pPr>
      <w:rPr>
        <w:rFonts w:hint="default"/>
      </w:rPr>
    </w:lvl>
  </w:abstractNum>
  <w:abstractNum w:abstractNumId="566" w15:restartNumberingAfterBreak="0">
    <w:nsid w:val="352D2A60"/>
    <w:multiLevelType w:val="hybridMultilevel"/>
    <w:tmpl w:val="A01E39F8"/>
    <w:lvl w:ilvl="0" w:tplc="0D68A1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15:restartNumberingAfterBreak="0">
    <w:nsid w:val="35331104"/>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8" w15:restartNumberingAfterBreak="0">
    <w:nsid w:val="354E2063"/>
    <w:multiLevelType w:val="hybridMultilevel"/>
    <w:tmpl w:val="6AE44CA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9" w15:restartNumberingAfterBreak="0">
    <w:nsid w:val="355D7526"/>
    <w:multiLevelType w:val="hybridMultilevel"/>
    <w:tmpl w:val="9F3A1262"/>
    <w:lvl w:ilvl="0" w:tplc="87FC5C1C">
      <w:start w:val="2"/>
      <w:numFmt w:val="lowerRoman"/>
      <w:lvlText w:val="(%1)"/>
      <w:lvlJc w:val="left"/>
      <w:pPr>
        <w:ind w:left="907" w:hanging="340"/>
      </w:pPr>
      <w:rPr>
        <w:rFonts w:asciiTheme="minorHAnsi" w:hAnsiTheme="minorHAnsi" w:cstheme="minorHAnsi" w:hint="default"/>
        <w:b w:val="0"/>
        <w:i w:val="0"/>
        <w:strike w:val="0"/>
        <w:dstrike w:val="0"/>
        <w:color w:val="070607"/>
        <w:sz w:val="22"/>
        <w:szCs w:val="22"/>
        <w:u w:val="none"/>
        <w:vertAlign w:val="baseline"/>
      </w:rPr>
    </w:lvl>
    <w:lvl w:ilvl="1" w:tplc="8F983CAA">
      <w:start w:val="1"/>
      <w:numFmt w:val="lowerLetter"/>
      <w:lvlText w:val="%2."/>
      <w:lvlJc w:val="left"/>
      <w:pPr>
        <w:ind w:left="2160" w:hanging="360"/>
      </w:pPr>
    </w:lvl>
    <w:lvl w:ilvl="2" w:tplc="B25AD670">
      <w:start w:val="1"/>
      <w:numFmt w:val="lowerRoman"/>
      <w:lvlText w:val="%3."/>
      <w:lvlJc w:val="right"/>
      <w:pPr>
        <w:ind w:left="2880" w:hanging="180"/>
      </w:pPr>
    </w:lvl>
    <w:lvl w:ilvl="3" w:tplc="479237F8">
      <w:start w:val="1"/>
      <w:numFmt w:val="decimal"/>
      <w:lvlText w:val="%4."/>
      <w:lvlJc w:val="left"/>
      <w:pPr>
        <w:ind w:left="3600" w:hanging="360"/>
      </w:pPr>
    </w:lvl>
    <w:lvl w:ilvl="4" w:tplc="895867B0">
      <w:start w:val="1"/>
      <w:numFmt w:val="lowerLetter"/>
      <w:lvlText w:val="%5."/>
      <w:lvlJc w:val="left"/>
      <w:pPr>
        <w:ind w:left="4320" w:hanging="360"/>
      </w:pPr>
    </w:lvl>
    <w:lvl w:ilvl="5" w:tplc="2140FB7C">
      <w:start w:val="1"/>
      <w:numFmt w:val="lowerRoman"/>
      <w:lvlText w:val="%6."/>
      <w:lvlJc w:val="right"/>
      <w:pPr>
        <w:ind w:left="5040" w:hanging="180"/>
      </w:pPr>
    </w:lvl>
    <w:lvl w:ilvl="6" w:tplc="75301388">
      <w:start w:val="1"/>
      <w:numFmt w:val="decimal"/>
      <w:lvlText w:val="%7."/>
      <w:lvlJc w:val="left"/>
      <w:pPr>
        <w:ind w:left="5760" w:hanging="360"/>
      </w:pPr>
    </w:lvl>
    <w:lvl w:ilvl="7" w:tplc="D0AABB8E">
      <w:start w:val="1"/>
      <w:numFmt w:val="lowerLetter"/>
      <w:lvlText w:val="%8."/>
      <w:lvlJc w:val="left"/>
      <w:pPr>
        <w:ind w:left="6480" w:hanging="360"/>
      </w:pPr>
    </w:lvl>
    <w:lvl w:ilvl="8" w:tplc="B0D8DC76">
      <w:start w:val="1"/>
      <w:numFmt w:val="lowerRoman"/>
      <w:lvlText w:val="%9."/>
      <w:lvlJc w:val="right"/>
      <w:pPr>
        <w:ind w:left="7200" w:hanging="180"/>
      </w:pPr>
    </w:lvl>
  </w:abstractNum>
  <w:abstractNum w:abstractNumId="570" w15:restartNumberingAfterBreak="0">
    <w:nsid w:val="356D466B"/>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1" w15:restartNumberingAfterBreak="0">
    <w:nsid w:val="35BC28E8"/>
    <w:multiLevelType w:val="hybridMultilevel"/>
    <w:tmpl w:val="2AFA0AF2"/>
    <w:lvl w:ilvl="0" w:tplc="0809001B">
      <w:start w:val="1"/>
      <w:numFmt w:val="lowerRoman"/>
      <w:lvlText w:val="%1."/>
      <w:lvlJc w:val="right"/>
      <w:pPr>
        <w:ind w:left="6418"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7138" w:hanging="360"/>
      </w:pPr>
    </w:lvl>
    <w:lvl w:ilvl="2" w:tplc="0809001B" w:tentative="1">
      <w:start w:val="1"/>
      <w:numFmt w:val="lowerRoman"/>
      <w:lvlText w:val="%3."/>
      <w:lvlJc w:val="right"/>
      <w:pPr>
        <w:ind w:left="7858" w:hanging="180"/>
      </w:pPr>
    </w:lvl>
    <w:lvl w:ilvl="3" w:tplc="0809000F" w:tentative="1">
      <w:start w:val="1"/>
      <w:numFmt w:val="decimal"/>
      <w:lvlText w:val="%4."/>
      <w:lvlJc w:val="left"/>
      <w:pPr>
        <w:ind w:left="8578" w:hanging="360"/>
      </w:pPr>
    </w:lvl>
    <w:lvl w:ilvl="4" w:tplc="08090019" w:tentative="1">
      <w:start w:val="1"/>
      <w:numFmt w:val="lowerLetter"/>
      <w:lvlText w:val="%5."/>
      <w:lvlJc w:val="left"/>
      <w:pPr>
        <w:ind w:left="9298" w:hanging="360"/>
      </w:pPr>
    </w:lvl>
    <w:lvl w:ilvl="5" w:tplc="0809001B" w:tentative="1">
      <w:start w:val="1"/>
      <w:numFmt w:val="lowerRoman"/>
      <w:lvlText w:val="%6."/>
      <w:lvlJc w:val="right"/>
      <w:pPr>
        <w:ind w:left="10018" w:hanging="180"/>
      </w:pPr>
    </w:lvl>
    <w:lvl w:ilvl="6" w:tplc="0809000F" w:tentative="1">
      <w:start w:val="1"/>
      <w:numFmt w:val="decimal"/>
      <w:lvlText w:val="%7."/>
      <w:lvlJc w:val="left"/>
      <w:pPr>
        <w:ind w:left="10738" w:hanging="360"/>
      </w:pPr>
    </w:lvl>
    <w:lvl w:ilvl="7" w:tplc="08090019" w:tentative="1">
      <w:start w:val="1"/>
      <w:numFmt w:val="lowerLetter"/>
      <w:lvlText w:val="%8."/>
      <w:lvlJc w:val="left"/>
      <w:pPr>
        <w:ind w:left="11458" w:hanging="360"/>
      </w:pPr>
    </w:lvl>
    <w:lvl w:ilvl="8" w:tplc="0809001B" w:tentative="1">
      <w:start w:val="1"/>
      <w:numFmt w:val="lowerRoman"/>
      <w:lvlText w:val="%9."/>
      <w:lvlJc w:val="right"/>
      <w:pPr>
        <w:ind w:left="12178" w:hanging="180"/>
      </w:pPr>
    </w:lvl>
  </w:abstractNum>
  <w:abstractNum w:abstractNumId="572" w15:restartNumberingAfterBreak="0">
    <w:nsid w:val="35C90F26"/>
    <w:multiLevelType w:val="multilevel"/>
    <w:tmpl w:val="BAEA58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3" w15:restartNumberingAfterBreak="0">
    <w:nsid w:val="35FA09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74" w15:restartNumberingAfterBreak="0">
    <w:nsid w:val="360217BF"/>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15:restartNumberingAfterBreak="0">
    <w:nsid w:val="36701D6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6" w15:restartNumberingAfterBreak="0">
    <w:nsid w:val="36895789"/>
    <w:multiLevelType w:val="hybridMultilevel"/>
    <w:tmpl w:val="B1F80B66"/>
    <w:styleLink w:val="ImportedStyle1"/>
    <w:lvl w:ilvl="0" w:tplc="81C843BE">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2404D88">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D8E4744">
      <w:start w:val="1"/>
      <w:numFmt w:val="lowerRoman"/>
      <w:lvlText w:val="%3."/>
      <w:lvlJc w:val="left"/>
      <w:pPr>
        <w:ind w:left="172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18647DC">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8F2D108">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EED456">
      <w:start w:val="1"/>
      <w:numFmt w:val="lowerRoman"/>
      <w:lvlText w:val="%6."/>
      <w:lvlJc w:val="left"/>
      <w:pPr>
        <w:ind w:left="388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4F6815C">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F5869C2">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AED11A">
      <w:start w:val="1"/>
      <w:numFmt w:val="lowerRoman"/>
      <w:lvlText w:val="%9."/>
      <w:lvlJc w:val="left"/>
      <w:pPr>
        <w:ind w:left="604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7" w15:restartNumberingAfterBreak="0">
    <w:nsid w:val="368B1F90"/>
    <w:multiLevelType w:val="multilevel"/>
    <w:tmpl w:val="F7E486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8" w15:restartNumberingAfterBreak="0">
    <w:nsid w:val="36936752"/>
    <w:multiLevelType w:val="hybridMultilevel"/>
    <w:tmpl w:val="15A6CEDA"/>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36B046A0"/>
    <w:multiLevelType w:val="hybridMultilevel"/>
    <w:tmpl w:val="35FEDCB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15:restartNumberingAfterBreak="0">
    <w:nsid w:val="36EC37F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1" w15:restartNumberingAfterBreak="0">
    <w:nsid w:val="370273A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82" w15:restartNumberingAfterBreak="0">
    <w:nsid w:val="371D00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3" w15:restartNumberingAfterBreak="0">
    <w:nsid w:val="374F16B6"/>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4" w15:restartNumberingAfterBreak="0">
    <w:nsid w:val="377D742E"/>
    <w:multiLevelType w:val="hybridMultilevel"/>
    <w:tmpl w:val="C2C0EE3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5" w15:restartNumberingAfterBreak="0">
    <w:nsid w:val="37A86CC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15:restartNumberingAfterBreak="0">
    <w:nsid w:val="37B55DC5"/>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7" w15:restartNumberingAfterBreak="0">
    <w:nsid w:val="37B96E01"/>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8" w15:restartNumberingAfterBreak="0">
    <w:nsid w:val="37C70BE7"/>
    <w:multiLevelType w:val="hybridMultilevel"/>
    <w:tmpl w:val="7F708D7A"/>
    <w:lvl w:ilvl="0" w:tplc="840A01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9" w15:restartNumberingAfterBreak="0">
    <w:nsid w:val="382053E7"/>
    <w:multiLevelType w:val="hybridMultilevel"/>
    <w:tmpl w:val="1F6E1438"/>
    <w:lvl w:ilvl="0" w:tplc="13DA0C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9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C2F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685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C02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D46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78A5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28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845B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0" w15:restartNumberingAfterBreak="0">
    <w:nsid w:val="38252E76"/>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15:restartNumberingAfterBreak="0">
    <w:nsid w:val="384A2F3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2" w15:restartNumberingAfterBreak="0">
    <w:nsid w:val="3894330C"/>
    <w:multiLevelType w:val="hybridMultilevel"/>
    <w:tmpl w:val="1298CEE4"/>
    <w:lvl w:ilvl="0" w:tplc="BB76123C">
      <w:start w:val="1"/>
      <w:numFmt w:val="lowerRoman"/>
      <w:lvlText w:val="(%1)"/>
      <w:lvlJc w:val="left"/>
      <w:pPr>
        <w:ind w:left="92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93" w15:restartNumberingAfterBreak="0">
    <w:nsid w:val="38A42534"/>
    <w:multiLevelType w:val="hybridMultilevel"/>
    <w:tmpl w:val="0718890C"/>
    <w:styleLink w:val="1111112"/>
    <w:lvl w:ilvl="0" w:tplc="0D444824">
      <w:start w:val="1"/>
      <w:numFmt w:val="lowerLetter"/>
      <w:lvlText w:val="%1)"/>
      <w:lvlJc w:val="left"/>
      <w:pPr>
        <w:tabs>
          <w:tab w:val="left" w:pos="284"/>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5664">
      <w:start w:val="1"/>
      <w:numFmt w:val="lowerLetter"/>
      <w:lvlText w:val="%2."/>
      <w:lvlJc w:val="left"/>
      <w:pPr>
        <w:tabs>
          <w:tab w:val="left" w:pos="284"/>
        </w:tabs>
        <w:ind w:left="9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80EBE2">
      <w:start w:val="1"/>
      <w:numFmt w:val="lowerRoman"/>
      <w:lvlText w:val="%3."/>
      <w:lvlJc w:val="left"/>
      <w:pPr>
        <w:tabs>
          <w:tab w:val="left" w:pos="284"/>
        </w:tabs>
        <w:ind w:left="17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ADDC6">
      <w:start w:val="1"/>
      <w:numFmt w:val="decimal"/>
      <w:lvlText w:val="%4."/>
      <w:lvlJc w:val="left"/>
      <w:pPr>
        <w:tabs>
          <w:tab w:val="left" w:pos="284"/>
        </w:tabs>
        <w:ind w:left="242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4C988">
      <w:start w:val="1"/>
      <w:numFmt w:val="lowerLetter"/>
      <w:lvlText w:val="%5."/>
      <w:lvlJc w:val="left"/>
      <w:pPr>
        <w:tabs>
          <w:tab w:val="left" w:pos="284"/>
        </w:tabs>
        <w:ind w:left="314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326874">
      <w:start w:val="1"/>
      <w:numFmt w:val="lowerRoman"/>
      <w:lvlText w:val="%6."/>
      <w:lvlJc w:val="left"/>
      <w:pPr>
        <w:tabs>
          <w:tab w:val="left" w:pos="284"/>
        </w:tabs>
        <w:ind w:left="386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48212">
      <w:start w:val="1"/>
      <w:numFmt w:val="decimal"/>
      <w:lvlText w:val="%7."/>
      <w:lvlJc w:val="left"/>
      <w:pPr>
        <w:tabs>
          <w:tab w:val="left" w:pos="284"/>
        </w:tabs>
        <w:ind w:left="45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1830BA">
      <w:start w:val="1"/>
      <w:numFmt w:val="lowerLetter"/>
      <w:lvlText w:val="%8."/>
      <w:lvlJc w:val="left"/>
      <w:pPr>
        <w:tabs>
          <w:tab w:val="left" w:pos="284"/>
        </w:tabs>
        <w:ind w:left="530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AADB2C">
      <w:start w:val="1"/>
      <w:numFmt w:val="lowerRoman"/>
      <w:lvlText w:val="%9."/>
      <w:lvlJc w:val="left"/>
      <w:pPr>
        <w:tabs>
          <w:tab w:val="left" w:pos="284"/>
        </w:tabs>
        <w:ind w:left="602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4" w15:restartNumberingAfterBreak="0">
    <w:nsid w:val="38B2357C"/>
    <w:multiLevelType w:val="hybridMultilevel"/>
    <w:tmpl w:val="414090E8"/>
    <w:lvl w:ilvl="0" w:tplc="4BBE08E4">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5" w15:restartNumberingAfterBreak="0">
    <w:nsid w:val="38D9209A"/>
    <w:multiLevelType w:val="multilevel"/>
    <w:tmpl w:val="E95645F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left"/>
      <w:pPr>
        <w:ind w:left="1800" w:hanging="360"/>
      </w:pPr>
      <w:rPr>
        <w:rFonts w:asciiTheme="minorHAnsi" w:eastAsiaTheme="minorHAnsi" w:hAnsiTheme="minorHAnsi" w:cstheme="minorBidi"/>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596" w15:restartNumberingAfterBreak="0">
    <w:nsid w:val="38E73B5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7" w15:restartNumberingAfterBreak="0">
    <w:nsid w:val="394E228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8" w15:restartNumberingAfterBreak="0">
    <w:nsid w:val="39577266"/>
    <w:multiLevelType w:val="multilevel"/>
    <w:tmpl w:val="E974AA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9" w15:restartNumberingAfterBreak="0">
    <w:nsid w:val="39B17B8F"/>
    <w:multiLevelType w:val="multilevel"/>
    <w:tmpl w:val="01E8856C"/>
    <w:lvl w:ilvl="0">
      <w:start w:val="1"/>
      <w:numFmt w:val="lowerLetter"/>
      <w:lvlText w:val="(%1)"/>
      <w:lvlJc w:val="left"/>
      <w:pPr>
        <w:ind w:left="644"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600" w15:restartNumberingAfterBreak="0">
    <w:nsid w:val="39B465E6"/>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1" w15:restartNumberingAfterBreak="0">
    <w:nsid w:val="39B51B76"/>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2" w15:restartNumberingAfterBreak="0">
    <w:nsid w:val="39D016CE"/>
    <w:multiLevelType w:val="hybridMultilevel"/>
    <w:tmpl w:val="A6CA1C50"/>
    <w:lvl w:ilvl="0" w:tplc="2F8087EA">
      <w:start w:val="1"/>
      <w:numFmt w:val="lowerLetter"/>
      <w:lvlText w:val="(%1)"/>
      <w:lvlJc w:val="left"/>
      <w:pPr>
        <w:ind w:left="1410" w:hanging="70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03" w15:restartNumberingAfterBreak="0">
    <w:nsid w:val="39E262A5"/>
    <w:multiLevelType w:val="hybridMultilevel"/>
    <w:tmpl w:val="B91E2574"/>
    <w:lvl w:ilvl="0" w:tplc="09DCC200">
      <w:start w:val="1"/>
      <w:numFmt w:val="lowerLetter"/>
      <w:lvlText w:val="(%1)"/>
      <w:lvlJc w:val="left"/>
      <w:pPr>
        <w:ind w:left="720" w:hanging="360"/>
      </w:pPr>
      <w:rPr>
        <w:rFonts w:asciiTheme="minorHAnsi" w:eastAsiaTheme="minorHAnsi" w:hAnsiTheme="minorHAnsi" w:cstheme="minorBidi"/>
      </w:rPr>
    </w:lvl>
    <w:lvl w:ilvl="1" w:tplc="5BECEA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4" w15:restartNumberingAfterBreak="0">
    <w:nsid w:val="39F07A63"/>
    <w:multiLevelType w:val="hybridMultilevel"/>
    <w:tmpl w:val="E640DC3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5" w15:restartNumberingAfterBreak="0">
    <w:nsid w:val="39FD6ED9"/>
    <w:multiLevelType w:val="hybridMultilevel"/>
    <w:tmpl w:val="9EF47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6" w15:restartNumberingAfterBreak="0">
    <w:nsid w:val="3A0170F5"/>
    <w:multiLevelType w:val="hybridMultilevel"/>
    <w:tmpl w:val="657498A0"/>
    <w:lvl w:ilvl="0" w:tplc="A6DCDF34">
      <w:start w:val="2"/>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15:restartNumberingAfterBreak="0">
    <w:nsid w:val="3A093D2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8" w15:restartNumberingAfterBreak="0">
    <w:nsid w:val="3A3D7B70"/>
    <w:multiLevelType w:val="hybridMultilevel"/>
    <w:tmpl w:val="974CEB14"/>
    <w:lvl w:ilvl="0" w:tplc="E4E82D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0B4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4C7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C5D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83F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C519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05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1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E42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9" w15:restartNumberingAfterBreak="0">
    <w:nsid w:val="3A69202D"/>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0" w15:restartNumberingAfterBreak="0">
    <w:nsid w:val="3A742138"/>
    <w:multiLevelType w:val="hybridMultilevel"/>
    <w:tmpl w:val="CA20D4E4"/>
    <w:lvl w:ilvl="0" w:tplc="AD28696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4"/>
        <w:szCs w:val="24"/>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11" w15:restartNumberingAfterBreak="0">
    <w:nsid w:val="3A796BB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2" w15:restartNumberingAfterBreak="0">
    <w:nsid w:val="3A907889"/>
    <w:multiLevelType w:val="multilevel"/>
    <w:tmpl w:val="03E47E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3" w15:restartNumberingAfterBreak="0">
    <w:nsid w:val="3A93603D"/>
    <w:multiLevelType w:val="hybridMultilevel"/>
    <w:tmpl w:val="D534A774"/>
    <w:lvl w:ilvl="0" w:tplc="B904824C">
      <w:start w:val="2"/>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49D292B2">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29A597A">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3938A7DA">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EE7E0416">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F96C60D2">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FFAF982">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90D6CCF8">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E96C74C8">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614" w15:restartNumberingAfterBreak="0">
    <w:nsid w:val="3A951D6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5" w15:restartNumberingAfterBreak="0">
    <w:nsid w:val="3A9F1B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6" w15:restartNumberingAfterBreak="0">
    <w:nsid w:val="3AA4526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7" w15:restartNumberingAfterBreak="0">
    <w:nsid w:val="3B026AA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8" w15:restartNumberingAfterBreak="0">
    <w:nsid w:val="3B25493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9" w15:restartNumberingAfterBreak="0">
    <w:nsid w:val="3B26520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15:restartNumberingAfterBreak="0">
    <w:nsid w:val="3B2D6618"/>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1" w15:restartNumberingAfterBreak="0">
    <w:nsid w:val="3B3E07E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22" w15:restartNumberingAfterBreak="0">
    <w:nsid w:val="3BA02440"/>
    <w:multiLevelType w:val="hybridMultilevel"/>
    <w:tmpl w:val="D8E2EC0A"/>
    <w:styleLink w:val="Style27import"/>
    <w:lvl w:ilvl="0" w:tplc="BBA8BEBA">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62D24">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68D8B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54098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74BC34">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E5D6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C22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1CC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5CF0">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3" w15:restartNumberingAfterBreak="0">
    <w:nsid w:val="3BCD60D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4" w15:restartNumberingAfterBreak="0">
    <w:nsid w:val="3BD33EE7"/>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15:restartNumberingAfterBreak="0">
    <w:nsid w:val="3BE8027E"/>
    <w:multiLevelType w:val="hybridMultilevel"/>
    <w:tmpl w:val="93269FBE"/>
    <w:lvl w:ilvl="0" w:tplc="C9B82300">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3004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CAE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A44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863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C6C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C4B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6EA7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A469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6" w15:restartNumberingAfterBreak="0">
    <w:nsid w:val="3BF26BE7"/>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7" w15:restartNumberingAfterBreak="0">
    <w:nsid w:val="3C217A6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8" w15:restartNumberingAfterBreak="0">
    <w:nsid w:val="3C31739A"/>
    <w:multiLevelType w:val="hybridMultilevel"/>
    <w:tmpl w:val="B48C0E72"/>
    <w:lvl w:ilvl="0" w:tplc="5F70C65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29" w15:restartNumberingAfterBreak="0">
    <w:nsid w:val="3C402D07"/>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0" w15:restartNumberingAfterBreak="0">
    <w:nsid w:val="3C555387"/>
    <w:multiLevelType w:val="hybridMultilevel"/>
    <w:tmpl w:val="18C8F584"/>
    <w:lvl w:ilvl="0" w:tplc="68526B8A">
      <w:start w:val="1"/>
      <w:numFmt w:val="lowerRoman"/>
      <w:lvlText w:val="(%1)"/>
      <w:lvlJc w:val="left"/>
      <w:pPr>
        <w:ind w:left="566"/>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A54895C">
      <w:start w:val="1"/>
      <w:numFmt w:val="lowerLetter"/>
      <w:lvlText w:val="%2"/>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E498">
      <w:start w:val="1"/>
      <w:numFmt w:val="lowerRoman"/>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24B42">
      <w:start w:val="1"/>
      <w:numFmt w:val="decimal"/>
      <w:lvlText w:val="%4"/>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6834">
      <w:start w:val="1"/>
      <w:numFmt w:val="lowerLetter"/>
      <w:lvlText w:val="%5"/>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952">
      <w:start w:val="1"/>
      <w:numFmt w:val="lowerRoman"/>
      <w:lvlText w:val="%6"/>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536A">
      <w:start w:val="1"/>
      <w:numFmt w:val="decimal"/>
      <w:lvlText w:val="%7"/>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80B86">
      <w:start w:val="1"/>
      <w:numFmt w:val="lowerLetter"/>
      <w:lvlText w:val="%8"/>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6A78">
      <w:start w:val="1"/>
      <w:numFmt w:val="lowerRoman"/>
      <w:lvlText w:val="%9"/>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15:restartNumberingAfterBreak="0">
    <w:nsid w:val="3C7228C0"/>
    <w:multiLevelType w:val="hybridMultilevel"/>
    <w:tmpl w:val="F7622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2" w15:restartNumberingAfterBreak="0">
    <w:nsid w:val="3C89031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3" w15:restartNumberingAfterBreak="0">
    <w:nsid w:val="3CB07DE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34" w15:restartNumberingAfterBreak="0">
    <w:nsid w:val="3CB416C6"/>
    <w:multiLevelType w:val="hybridMultilevel"/>
    <w:tmpl w:val="D382B57E"/>
    <w:lvl w:ilvl="0" w:tplc="B00EBB34">
      <w:start w:val="1"/>
      <w:numFmt w:val="lowerRoman"/>
      <w:lvlText w:val="(%1)"/>
      <w:lvlJc w:val="right"/>
      <w:pPr>
        <w:ind w:left="927" w:hanging="360"/>
      </w:pPr>
      <w:rPr>
        <w:rFonts w:asciiTheme="minorHAnsi" w:eastAsiaTheme="minorHAnsi" w:hAnsiTheme="minorHAnsi" w:cstheme="minorBidi" w:hint="default"/>
        <w:color w:val="auto"/>
      </w:rPr>
    </w:lvl>
    <w:lvl w:ilvl="1" w:tplc="080C0019">
      <w:start w:val="1"/>
      <w:numFmt w:val="lowerLetter"/>
      <w:lvlText w:val="%2."/>
      <w:lvlJc w:val="left"/>
      <w:pPr>
        <w:ind w:left="1647" w:hanging="360"/>
      </w:pPr>
    </w:lvl>
    <w:lvl w:ilvl="2" w:tplc="080C001B">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35" w15:restartNumberingAfterBreak="0">
    <w:nsid w:val="3CB5347C"/>
    <w:multiLevelType w:val="hybridMultilevel"/>
    <w:tmpl w:val="72C6872C"/>
    <w:lvl w:ilvl="0" w:tplc="58CE5EC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15:restartNumberingAfterBreak="0">
    <w:nsid w:val="3CE4253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7" w15:restartNumberingAfterBreak="0">
    <w:nsid w:val="3CFB36DF"/>
    <w:multiLevelType w:val="hybridMultilevel"/>
    <w:tmpl w:val="64EA012E"/>
    <w:lvl w:ilvl="0" w:tplc="3E025588">
      <w:start w:val="1"/>
      <w:numFmt w:val="decimal"/>
      <w:lvlText w:val="%1."/>
      <w:lvlJc w:val="left"/>
      <w:pPr>
        <w:ind w:left="1724" w:hanging="288"/>
        <w:jc w:val="right"/>
      </w:pPr>
      <w:rPr>
        <w:rFonts w:ascii="Arial" w:eastAsia="Times New Roman" w:hAnsi="Arial" w:cs="Arial" w:hint="default"/>
        <w:color w:val="201F20"/>
        <w:spacing w:val="-18"/>
        <w:w w:val="100"/>
        <w:sz w:val="22"/>
        <w:szCs w:val="22"/>
        <w:lang w:val="en-US" w:eastAsia="en-US" w:bidi="ar-SA"/>
      </w:rPr>
    </w:lvl>
    <w:lvl w:ilvl="1" w:tplc="9B0496C4">
      <w:start w:val="1"/>
      <w:numFmt w:val="lowerLetter"/>
      <w:lvlText w:val="(%2)"/>
      <w:lvlJc w:val="left"/>
      <w:pPr>
        <w:ind w:left="2076" w:hanging="273"/>
      </w:pPr>
      <w:rPr>
        <w:rFonts w:asciiTheme="minorHAnsi" w:eastAsia="Times New Roman" w:hAnsiTheme="minorHAnsi" w:cstheme="minorHAnsi" w:hint="default"/>
        <w:color w:val="201F20"/>
        <w:w w:val="100"/>
        <w:sz w:val="22"/>
        <w:szCs w:val="22"/>
        <w:lang w:val="en-US" w:eastAsia="en-US" w:bidi="ar-SA"/>
      </w:rPr>
    </w:lvl>
    <w:lvl w:ilvl="2" w:tplc="6BE0F236">
      <w:numFmt w:val="bullet"/>
      <w:lvlText w:val="•"/>
      <w:lvlJc w:val="left"/>
      <w:pPr>
        <w:ind w:left="2080" w:hanging="273"/>
      </w:pPr>
      <w:rPr>
        <w:rFonts w:hint="default"/>
        <w:lang w:val="en-US" w:eastAsia="en-US" w:bidi="ar-SA"/>
      </w:rPr>
    </w:lvl>
    <w:lvl w:ilvl="3" w:tplc="C8945CD8">
      <w:numFmt w:val="bullet"/>
      <w:lvlText w:val="•"/>
      <w:lvlJc w:val="left"/>
      <w:pPr>
        <w:ind w:left="3255" w:hanging="273"/>
      </w:pPr>
      <w:rPr>
        <w:rFonts w:hint="default"/>
        <w:lang w:val="en-US" w:eastAsia="en-US" w:bidi="ar-SA"/>
      </w:rPr>
    </w:lvl>
    <w:lvl w:ilvl="4" w:tplc="27D215E0">
      <w:numFmt w:val="bullet"/>
      <w:lvlText w:val="•"/>
      <w:lvlJc w:val="left"/>
      <w:pPr>
        <w:ind w:left="4431" w:hanging="273"/>
      </w:pPr>
      <w:rPr>
        <w:rFonts w:hint="default"/>
        <w:lang w:val="en-US" w:eastAsia="en-US" w:bidi="ar-SA"/>
      </w:rPr>
    </w:lvl>
    <w:lvl w:ilvl="5" w:tplc="8D0C7F4E">
      <w:numFmt w:val="bullet"/>
      <w:lvlText w:val="•"/>
      <w:lvlJc w:val="left"/>
      <w:pPr>
        <w:ind w:left="5606" w:hanging="273"/>
      </w:pPr>
      <w:rPr>
        <w:rFonts w:hint="default"/>
        <w:lang w:val="en-US" w:eastAsia="en-US" w:bidi="ar-SA"/>
      </w:rPr>
    </w:lvl>
    <w:lvl w:ilvl="6" w:tplc="5C1ABE02">
      <w:numFmt w:val="bullet"/>
      <w:lvlText w:val="•"/>
      <w:lvlJc w:val="left"/>
      <w:pPr>
        <w:ind w:left="6782" w:hanging="273"/>
      </w:pPr>
      <w:rPr>
        <w:rFonts w:hint="default"/>
        <w:lang w:val="en-US" w:eastAsia="en-US" w:bidi="ar-SA"/>
      </w:rPr>
    </w:lvl>
    <w:lvl w:ilvl="7" w:tplc="C2D64000">
      <w:numFmt w:val="bullet"/>
      <w:lvlText w:val="•"/>
      <w:lvlJc w:val="left"/>
      <w:pPr>
        <w:ind w:left="7957" w:hanging="273"/>
      </w:pPr>
      <w:rPr>
        <w:rFonts w:hint="default"/>
        <w:lang w:val="en-US" w:eastAsia="en-US" w:bidi="ar-SA"/>
      </w:rPr>
    </w:lvl>
    <w:lvl w:ilvl="8" w:tplc="CD247690">
      <w:numFmt w:val="bullet"/>
      <w:lvlText w:val="•"/>
      <w:lvlJc w:val="left"/>
      <w:pPr>
        <w:ind w:left="9133" w:hanging="273"/>
      </w:pPr>
      <w:rPr>
        <w:rFonts w:hint="default"/>
        <w:lang w:val="en-US" w:eastAsia="en-US" w:bidi="ar-SA"/>
      </w:rPr>
    </w:lvl>
  </w:abstractNum>
  <w:abstractNum w:abstractNumId="638" w15:restartNumberingAfterBreak="0">
    <w:nsid w:val="3CFD69F1"/>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9" w15:restartNumberingAfterBreak="0">
    <w:nsid w:val="3D29128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0" w15:restartNumberingAfterBreak="0">
    <w:nsid w:val="3D2E4E6C"/>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1" w15:restartNumberingAfterBreak="0">
    <w:nsid w:val="3D371BB7"/>
    <w:multiLevelType w:val="hybridMultilevel"/>
    <w:tmpl w:val="C6A40D76"/>
    <w:lvl w:ilvl="0" w:tplc="E2F6BDD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D2FEA0">
      <w:start w:val="1"/>
      <w:numFmt w:val="lowerLetter"/>
      <w:lvlText w:val="(%2)"/>
      <w:lvlJc w:val="left"/>
      <w:pPr>
        <w:ind w:left="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FEC24C">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E104E">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8C40">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50ECF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C2ED2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82DBE">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30CE">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2" w15:restartNumberingAfterBreak="0">
    <w:nsid w:val="3D64726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3" w15:restartNumberingAfterBreak="0">
    <w:nsid w:val="3D6B03C5"/>
    <w:multiLevelType w:val="hybridMultilevel"/>
    <w:tmpl w:val="DFAEB0FC"/>
    <w:lvl w:ilvl="0" w:tplc="CBE23DB0">
      <w:start w:val="1"/>
      <w:numFmt w:val="lowerRoman"/>
      <w:lvlText w:val="(%1)"/>
      <w:lvlJc w:val="left"/>
      <w:pPr>
        <w:ind w:left="1480" w:hanging="720"/>
      </w:pPr>
      <w:rPr>
        <w:rFonts w:hint="default"/>
      </w:r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644" w15:restartNumberingAfterBreak="0">
    <w:nsid w:val="3D7C0E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5" w15:restartNumberingAfterBreak="0">
    <w:nsid w:val="3D867B49"/>
    <w:multiLevelType w:val="multilevel"/>
    <w:tmpl w:val="C302DC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6" w15:restartNumberingAfterBreak="0">
    <w:nsid w:val="3D8E2B77"/>
    <w:multiLevelType w:val="hybridMultilevel"/>
    <w:tmpl w:val="E1C26762"/>
    <w:lvl w:ilvl="0" w:tplc="3DD80046">
      <w:start w:val="1"/>
      <w:numFmt w:val="lowerRoman"/>
      <w:lvlText w:val="(%1)"/>
      <w:lvlJc w:val="left"/>
      <w:pPr>
        <w:ind w:left="1627" w:hanging="453"/>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7" w15:restartNumberingAfterBreak="0">
    <w:nsid w:val="3DA47467"/>
    <w:multiLevelType w:val="multilevel"/>
    <w:tmpl w:val="D138F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8" w15:restartNumberingAfterBreak="0">
    <w:nsid w:val="3DAA59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9" w15:restartNumberingAfterBreak="0">
    <w:nsid w:val="3DB5122E"/>
    <w:multiLevelType w:val="hybridMultilevel"/>
    <w:tmpl w:val="043E1148"/>
    <w:lvl w:ilvl="0" w:tplc="A800A062">
      <w:start w:val="1"/>
      <w:numFmt w:val="decimal"/>
      <w:lvlText w:val="%1."/>
      <w:lvlJc w:val="left"/>
      <w:pPr>
        <w:ind w:left="1724" w:hanging="480"/>
      </w:pPr>
      <w:rPr>
        <w:rFonts w:ascii="Calibri" w:eastAsia="Times New Roman" w:hAnsi="Calibri" w:cs="Calibri" w:hint="default"/>
        <w:color w:val="201F20"/>
        <w:spacing w:val="-18"/>
        <w:w w:val="100"/>
        <w:sz w:val="22"/>
        <w:szCs w:val="22"/>
        <w:lang w:val="en-US" w:eastAsia="en-US" w:bidi="ar-SA"/>
      </w:rPr>
    </w:lvl>
    <w:lvl w:ilvl="1" w:tplc="775A3C5A">
      <w:start w:val="1"/>
      <w:numFmt w:val="decimal"/>
      <w:lvlText w:val="%2."/>
      <w:lvlJc w:val="left"/>
      <w:pPr>
        <w:ind w:left="2076" w:hanging="720"/>
      </w:pPr>
      <w:rPr>
        <w:rFonts w:ascii="Arial" w:eastAsia="Carlito" w:hAnsi="Arial" w:cs="Arial" w:hint="default"/>
        <w:spacing w:val="-2"/>
        <w:w w:val="101"/>
        <w:sz w:val="22"/>
        <w:szCs w:val="22"/>
        <w:lang w:val="en-US" w:eastAsia="en-US" w:bidi="ar-SA"/>
      </w:rPr>
    </w:lvl>
    <w:lvl w:ilvl="2" w:tplc="CF4AED9E">
      <w:start w:val="1"/>
      <w:numFmt w:val="lowerLetter"/>
      <w:lvlText w:val="(%3)"/>
      <w:lvlJc w:val="left"/>
      <w:pPr>
        <w:ind w:left="1708" w:hanging="736"/>
      </w:pPr>
      <w:rPr>
        <w:rFonts w:ascii="Calibri" w:eastAsia="Times New Roman" w:hAnsi="Calibri" w:cs="Calibri" w:hint="default"/>
        <w:color w:val="auto"/>
        <w:spacing w:val="-24"/>
        <w:w w:val="100"/>
        <w:sz w:val="22"/>
        <w:szCs w:val="22"/>
        <w:lang w:val="en-US" w:eastAsia="en-US" w:bidi="ar-SA"/>
      </w:rPr>
    </w:lvl>
    <w:lvl w:ilvl="3" w:tplc="B7666866">
      <w:start w:val="1"/>
      <w:numFmt w:val="lowerRoman"/>
      <w:lvlText w:val="(%4)"/>
      <w:lvlJc w:val="left"/>
      <w:pPr>
        <w:ind w:left="3164" w:hanging="720"/>
      </w:pPr>
      <w:rPr>
        <w:rFonts w:ascii="Arial" w:eastAsia="Carlito" w:hAnsi="Arial" w:cs="Arial" w:hint="default"/>
        <w:spacing w:val="-4"/>
        <w:w w:val="101"/>
        <w:sz w:val="22"/>
        <w:szCs w:val="22"/>
        <w:lang w:val="en-US" w:eastAsia="en-US" w:bidi="ar-SA"/>
      </w:rPr>
    </w:lvl>
    <w:lvl w:ilvl="4" w:tplc="44BC3D70">
      <w:start w:val="1"/>
      <w:numFmt w:val="upperLetter"/>
      <w:lvlText w:val="(%5)"/>
      <w:lvlJc w:val="left"/>
      <w:pPr>
        <w:ind w:left="3532" w:hanging="369"/>
      </w:pPr>
      <w:rPr>
        <w:rFonts w:asciiTheme="minorHAnsi" w:eastAsia="Carlito" w:hAnsiTheme="minorHAnsi" w:cstheme="minorHAnsi" w:hint="default"/>
        <w:spacing w:val="-4"/>
        <w:w w:val="101"/>
        <w:sz w:val="22"/>
        <w:szCs w:val="22"/>
        <w:lang w:val="en-US" w:eastAsia="en-US" w:bidi="ar-SA"/>
      </w:rPr>
    </w:lvl>
    <w:lvl w:ilvl="5" w:tplc="49D02D46">
      <w:numFmt w:val="bullet"/>
      <w:lvlText w:val="•"/>
      <w:lvlJc w:val="left"/>
      <w:pPr>
        <w:ind w:left="4864" w:hanging="369"/>
      </w:pPr>
      <w:rPr>
        <w:rFonts w:hint="default"/>
        <w:lang w:val="en-US" w:eastAsia="en-US" w:bidi="ar-SA"/>
      </w:rPr>
    </w:lvl>
    <w:lvl w:ilvl="6" w:tplc="1A8273B2">
      <w:numFmt w:val="bullet"/>
      <w:lvlText w:val="•"/>
      <w:lvlJc w:val="left"/>
      <w:pPr>
        <w:ind w:left="6188" w:hanging="369"/>
      </w:pPr>
      <w:rPr>
        <w:rFonts w:hint="default"/>
        <w:lang w:val="en-US" w:eastAsia="en-US" w:bidi="ar-SA"/>
      </w:rPr>
    </w:lvl>
    <w:lvl w:ilvl="7" w:tplc="04D0EDB2">
      <w:numFmt w:val="bullet"/>
      <w:lvlText w:val="•"/>
      <w:lvlJc w:val="left"/>
      <w:pPr>
        <w:ind w:left="7512" w:hanging="369"/>
      </w:pPr>
      <w:rPr>
        <w:rFonts w:hint="default"/>
        <w:lang w:val="en-US" w:eastAsia="en-US" w:bidi="ar-SA"/>
      </w:rPr>
    </w:lvl>
    <w:lvl w:ilvl="8" w:tplc="82CA185C">
      <w:numFmt w:val="bullet"/>
      <w:lvlText w:val="•"/>
      <w:lvlJc w:val="left"/>
      <w:pPr>
        <w:ind w:left="8836" w:hanging="369"/>
      </w:pPr>
      <w:rPr>
        <w:rFonts w:hint="default"/>
        <w:lang w:val="en-US" w:eastAsia="en-US" w:bidi="ar-SA"/>
      </w:rPr>
    </w:lvl>
  </w:abstractNum>
  <w:abstractNum w:abstractNumId="650" w15:restartNumberingAfterBreak="0">
    <w:nsid w:val="3DE5302F"/>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1" w15:restartNumberingAfterBreak="0">
    <w:nsid w:val="3DFF18C2"/>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2" w15:restartNumberingAfterBreak="0">
    <w:nsid w:val="3E004BC0"/>
    <w:multiLevelType w:val="multilevel"/>
    <w:tmpl w:val="A376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3" w15:restartNumberingAfterBreak="0">
    <w:nsid w:val="3E0F01BA"/>
    <w:multiLevelType w:val="multilevel"/>
    <w:tmpl w:val="CAA81610"/>
    <w:lvl w:ilvl="0">
      <w:start w:val="1"/>
      <w:numFmt w:val="decimal"/>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4" w15:restartNumberingAfterBreak="0">
    <w:nsid w:val="3E587275"/>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5" w15:restartNumberingAfterBreak="0">
    <w:nsid w:val="3E6604B1"/>
    <w:multiLevelType w:val="hybridMultilevel"/>
    <w:tmpl w:val="3DEAA464"/>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15:restartNumberingAfterBreak="0">
    <w:nsid w:val="3E690EE1"/>
    <w:multiLevelType w:val="hybridMultilevel"/>
    <w:tmpl w:val="6CB4A7E4"/>
    <w:lvl w:ilvl="0" w:tplc="6C627034">
      <w:start w:val="1"/>
      <w:numFmt w:val="decimal"/>
      <w:lvlText w:val="%1."/>
      <w:lvlJc w:val="left"/>
      <w:pPr>
        <w:ind w:left="720" w:hanging="360"/>
      </w:pPr>
      <w:rPr>
        <w:rFonts w:ascii="Calibri" w:eastAsia="Calibri" w:hAnsi="Calibri" w:cs="Calibr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7" w15:restartNumberingAfterBreak="0">
    <w:nsid w:val="3E7553C1"/>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8" w15:restartNumberingAfterBreak="0">
    <w:nsid w:val="3EB44309"/>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9" w15:restartNumberingAfterBreak="0">
    <w:nsid w:val="3EB5543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0" w15:restartNumberingAfterBreak="0">
    <w:nsid w:val="3EC55908"/>
    <w:multiLevelType w:val="hybridMultilevel"/>
    <w:tmpl w:val="7DEA0214"/>
    <w:lvl w:ilvl="0" w:tplc="1292D526">
      <w:start w:val="1"/>
      <w:numFmt w:val="lowerRoman"/>
      <w:lvlText w:val="(%1)"/>
      <w:lvlJc w:val="right"/>
      <w:pPr>
        <w:ind w:left="1080" w:hanging="360"/>
      </w:pPr>
      <w:rPr>
        <w:rFonts w:asciiTheme="majorHAnsi" w:hAnsi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1" w15:restartNumberingAfterBreak="0">
    <w:nsid w:val="3ECA04E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2" w15:restartNumberingAfterBreak="0">
    <w:nsid w:val="3EDF360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63" w15:restartNumberingAfterBreak="0">
    <w:nsid w:val="3EF91F4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4" w15:restartNumberingAfterBreak="0">
    <w:nsid w:val="3F085F96"/>
    <w:multiLevelType w:val="hybridMultilevel"/>
    <w:tmpl w:val="A4F60B34"/>
    <w:lvl w:ilvl="0" w:tplc="28C8FAF4">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850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2F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7A4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8AF2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AA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BE02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465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E18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5" w15:restartNumberingAfterBreak="0">
    <w:nsid w:val="3F11352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6" w15:restartNumberingAfterBreak="0">
    <w:nsid w:val="3F351B1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7" w15:restartNumberingAfterBreak="0">
    <w:nsid w:val="3F527751"/>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8" w15:restartNumberingAfterBreak="0">
    <w:nsid w:val="3F6B26AF"/>
    <w:multiLevelType w:val="multilevel"/>
    <w:tmpl w:val="A386BF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9" w15:restartNumberingAfterBreak="0">
    <w:nsid w:val="3F846A0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70" w15:restartNumberingAfterBreak="0">
    <w:nsid w:val="3FB2463A"/>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1" w15:restartNumberingAfterBreak="0">
    <w:nsid w:val="3FBA0171"/>
    <w:multiLevelType w:val="multilevel"/>
    <w:tmpl w:val="E362AA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2" w15:restartNumberingAfterBreak="0">
    <w:nsid w:val="3FDB75D3"/>
    <w:multiLevelType w:val="hybridMultilevel"/>
    <w:tmpl w:val="55E0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3" w15:restartNumberingAfterBreak="0">
    <w:nsid w:val="40274CDF"/>
    <w:multiLevelType w:val="hybridMultilevel"/>
    <w:tmpl w:val="0D1AE1D2"/>
    <w:lvl w:ilvl="0" w:tplc="0D9EDED0">
      <w:start w:val="1"/>
      <w:numFmt w:val="lowerLetter"/>
      <w:lvlText w:val="(%1)"/>
      <w:lvlJc w:val="left"/>
      <w:pPr>
        <w:ind w:left="720" w:hanging="360"/>
      </w:pPr>
      <w:rPr>
        <w:rFonts w:hint="default"/>
      </w:rPr>
    </w:lvl>
    <w:lvl w:ilvl="1" w:tplc="BDD64A60">
      <w:start w:val="1"/>
      <w:numFmt w:val="lowerLetter"/>
      <w:lvlText w:val="%2."/>
      <w:lvlJc w:val="left"/>
      <w:pPr>
        <w:ind w:left="1440" w:hanging="360"/>
      </w:pPr>
      <w:rPr>
        <w:color w:val="auto"/>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4" w15:restartNumberingAfterBreak="0">
    <w:nsid w:val="408D2571"/>
    <w:multiLevelType w:val="multilevel"/>
    <w:tmpl w:val="18420AFE"/>
    <w:lvl w:ilvl="0">
      <w:start w:val="1"/>
      <w:numFmt w:val="lowerLetter"/>
      <w:lvlText w:val="(%1)"/>
      <w:lvlJc w:val="left"/>
      <w:pPr>
        <w:ind w:left="2977"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977" w:firstLine="0"/>
      </w:pPr>
      <w:rPr>
        <w:rFonts w:hint="default"/>
      </w:rPr>
    </w:lvl>
    <w:lvl w:ilvl="2">
      <w:numFmt w:val="decimal"/>
      <w:lvlText w:val=""/>
      <w:lvlJc w:val="left"/>
      <w:pPr>
        <w:ind w:left="2977" w:firstLine="0"/>
      </w:pPr>
      <w:rPr>
        <w:rFonts w:hint="default"/>
      </w:rPr>
    </w:lvl>
    <w:lvl w:ilvl="3">
      <w:numFmt w:val="decimal"/>
      <w:lvlText w:val=""/>
      <w:lvlJc w:val="left"/>
      <w:pPr>
        <w:ind w:left="2977" w:firstLine="0"/>
      </w:pPr>
      <w:rPr>
        <w:rFonts w:hint="default"/>
      </w:rPr>
    </w:lvl>
    <w:lvl w:ilvl="4">
      <w:numFmt w:val="decimal"/>
      <w:lvlText w:val=""/>
      <w:lvlJc w:val="left"/>
      <w:pPr>
        <w:ind w:left="2977" w:firstLine="0"/>
      </w:pPr>
      <w:rPr>
        <w:rFonts w:hint="default"/>
      </w:rPr>
    </w:lvl>
    <w:lvl w:ilvl="5">
      <w:numFmt w:val="decimal"/>
      <w:lvlText w:val=""/>
      <w:lvlJc w:val="left"/>
      <w:pPr>
        <w:ind w:left="2977" w:firstLine="0"/>
      </w:pPr>
      <w:rPr>
        <w:rFonts w:hint="default"/>
      </w:rPr>
    </w:lvl>
    <w:lvl w:ilvl="6">
      <w:numFmt w:val="decimal"/>
      <w:lvlText w:val=""/>
      <w:lvlJc w:val="left"/>
      <w:pPr>
        <w:ind w:left="2977" w:firstLine="0"/>
      </w:pPr>
      <w:rPr>
        <w:rFonts w:hint="default"/>
      </w:rPr>
    </w:lvl>
    <w:lvl w:ilvl="7">
      <w:numFmt w:val="decimal"/>
      <w:lvlText w:val=""/>
      <w:lvlJc w:val="left"/>
      <w:pPr>
        <w:ind w:left="2977" w:firstLine="0"/>
      </w:pPr>
      <w:rPr>
        <w:rFonts w:hint="default"/>
      </w:rPr>
    </w:lvl>
    <w:lvl w:ilvl="8">
      <w:numFmt w:val="decimal"/>
      <w:lvlText w:val=""/>
      <w:lvlJc w:val="left"/>
      <w:pPr>
        <w:ind w:left="2977" w:firstLine="0"/>
      </w:pPr>
      <w:rPr>
        <w:rFonts w:hint="default"/>
      </w:rPr>
    </w:lvl>
  </w:abstractNum>
  <w:abstractNum w:abstractNumId="675" w15:restartNumberingAfterBreak="0">
    <w:nsid w:val="409E408A"/>
    <w:multiLevelType w:val="hybridMultilevel"/>
    <w:tmpl w:val="F68E6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6" w15:restartNumberingAfterBreak="0">
    <w:nsid w:val="409F685C"/>
    <w:multiLevelType w:val="multilevel"/>
    <w:tmpl w:val="BF2A66C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7" w15:restartNumberingAfterBreak="0">
    <w:nsid w:val="40A716B4"/>
    <w:multiLevelType w:val="hybridMultilevel"/>
    <w:tmpl w:val="770A1644"/>
    <w:lvl w:ilvl="0" w:tplc="87763EBC">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649E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B6F3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683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AE2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B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5EC5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6C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28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8" w15:restartNumberingAfterBreak="0">
    <w:nsid w:val="40B532E5"/>
    <w:multiLevelType w:val="hybridMultilevel"/>
    <w:tmpl w:val="A76E91E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9" w15:restartNumberingAfterBreak="0">
    <w:nsid w:val="40F71875"/>
    <w:multiLevelType w:val="multilevel"/>
    <w:tmpl w:val="F8207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0" w15:restartNumberingAfterBreak="0">
    <w:nsid w:val="410C303B"/>
    <w:multiLevelType w:val="hybridMultilevel"/>
    <w:tmpl w:val="F1D4DF6E"/>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1" w15:restartNumberingAfterBreak="0">
    <w:nsid w:val="41103AEA"/>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15:restartNumberingAfterBreak="0">
    <w:nsid w:val="411F0E00"/>
    <w:multiLevelType w:val="hybridMultilevel"/>
    <w:tmpl w:val="79BED604"/>
    <w:styleLink w:val="Style13import"/>
    <w:lvl w:ilvl="0" w:tplc="E4229BF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CD8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C834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8E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143FE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068C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81D1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1AE1E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2446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3" w15:restartNumberingAfterBreak="0">
    <w:nsid w:val="412E42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4" w15:restartNumberingAfterBreak="0">
    <w:nsid w:val="41730A6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5" w15:restartNumberingAfterBreak="0">
    <w:nsid w:val="418F5C85"/>
    <w:multiLevelType w:val="hybridMultilevel"/>
    <w:tmpl w:val="7BC6C878"/>
    <w:lvl w:ilvl="0" w:tplc="4830ECB4">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6" w15:restartNumberingAfterBreak="0">
    <w:nsid w:val="41907C7E"/>
    <w:multiLevelType w:val="multilevel"/>
    <w:tmpl w:val="99804B92"/>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87" w15:restartNumberingAfterBreak="0">
    <w:nsid w:val="41B2062B"/>
    <w:multiLevelType w:val="hybridMultilevel"/>
    <w:tmpl w:val="EDBE4AB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8" w15:restartNumberingAfterBreak="0">
    <w:nsid w:val="41B57EBC"/>
    <w:multiLevelType w:val="multilevel"/>
    <w:tmpl w:val="7220C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0" w:hanging="3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9" w15:restartNumberingAfterBreak="0">
    <w:nsid w:val="41C0378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690" w15:restartNumberingAfterBreak="0">
    <w:nsid w:val="41E36A1E"/>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1" w15:restartNumberingAfterBreak="0">
    <w:nsid w:val="4245126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2" w15:restartNumberingAfterBreak="0">
    <w:nsid w:val="424810B5"/>
    <w:multiLevelType w:val="multilevel"/>
    <w:tmpl w:val="ACDAAD4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3" w15:restartNumberingAfterBreak="0">
    <w:nsid w:val="4265519E"/>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4" w15:restartNumberingAfterBreak="0">
    <w:nsid w:val="427837F5"/>
    <w:multiLevelType w:val="multilevel"/>
    <w:tmpl w:val="D8D062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5" w15:restartNumberingAfterBreak="0">
    <w:nsid w:val="42B66F42"/>
    <w:multiLevelType w:val="multilevel"/>
    <w:tmpl w:val="13367D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6" w15:restartNumberingAfterBreak="0">
    <w:nsid w:val="42C82B98"/>
    <w:multiLevelType w:val="hybridMultilevel"/>
    <w:tmpl w:val="677C8300"/>
    <w:lvl w:ilvl="0" w:tplc="272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DE78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E3D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902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63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A59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23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0C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7" w15:restartNumberingAfterBreak="0">
    <w:nsid w:val="42CC5B03"/>
    <w:multiLevelType w:val="multilevel"/>
    <w:tmpl w:val="83F26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8" w15:restartNumberingAfterBreak="0">
    <w:nsid w:val="42CE15A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9" w15:restartNumberingAfterBreak="0">
    <w:nsid w:val="42DB00A8"/>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0" w15:restartNumberingAfterBreak="0">
    <w:nsid w:val="42E2090C"/>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1" w15:restartNumberingAfterBreak="0">
    <w:nsid w:val="42E93570"/>
    <w:multiLevelType w:val="multilevel"/>
    <w:tmpl w:val="91CE0E0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2" w15:restartNumberingAfterBreak="0">
    <w:nsid w:val="42F44B58"/>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3" w15:restartNumberingAfterBreak="0">
    <w:nsid w:val="43124977"/>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704" w15:restartNumberingAfterBreak="0">
    <w:nsid w:val="431413C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5" w15:restartNumberingAfterBreak="0">
    <w:nsid w:val="431D6624"/>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6" w15:restartNumberingAfterBreak="0">
    <w:nsid w:val="43240918"/>
    <w:multiLevelType w:val="hybridMultilevel"/>
    <w:tmpl w:val="3A6C9F02"/>
    <w:lvl w:ilvl="0" w:tplc="CA74711E">
      <w:start w:val="1"/>
      <w:numFmt w:val="lowerLetter"/>
      <w:lvlText w:val="(%1)"/>
      <w:lvlJc w:val="left"/>
      <w:pPr>
        <w:ind w:left="1095" w:hanging="360"/>
      </w:pPr>
      <w:rPr>
        <w:rFonts w:hint="default"/>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707" w15:restartNumberingAfterBreak="0">
    <w:nsid w:val="434F7CA5"/>
    <w:multiLevelType w:val="hybridMultilevel"/>
    <w:tmpl w:val="0CB84826"/>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8" w15:restartNumberingAfterBreak="0">
    <w:nsid w:val="43A2615D"/>
    <w:multiLevelType w:val="hybridMultilevel"/>
    <w:tmpl w:val="27FAFF1E"/>
    <w:lvl w:ilvl="0" w:tplc="B826F9E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15:restartNumberingAfterBreak="0">
    <w:nsid w:val="43D5111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0" w15:restartNumberingAfterBreak="0">
    <w:nsid w:val="43F83A49"/>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1" w15:restartNumberingAfterBreak="0">
    <w:nsid w:val="43F97B7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2" w15:restartNumberingAfterBreak="0">
    <w:nsid w:val="443851D9"/>
    <w:multiLevelType w:val="hybridMultilevel"/>
    <w:tmpl w:val="6396C954"/>
    <w:lvl w:ilvl="0" w:tplc="565A0EC2">
      <w:start w:val="1"/>
      <w:numFmt w:val="decimal"/>
      <w:lvlText w:val="(%1)"/>
      <w:lvlJc w:val="left"/>
      <w:pPr>
        <w:ind w:left="56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9340FC8">
      <w:start w:val="1"/>
      <w:numFmt w:val="bullet"/>
      <w:lvlText w:val="–"/>
      <w:lvlJc w:val="left"/>
      <w:pPr>
        <w:ind w:left="113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94470E0">
      <w:start w:val="1"/>
      <w:numFmt w:val="bullet"/>
      <w:lvlText w:val="▪"/>
      <w:lvlJc w:val="left"/>
      <w:pPr>
        <w:ind w:left="16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BD667FA2">
      <w:start w:val="1"/>
      <w:numFmt w:val="bullet"/>
      <w:lvlText w:val="•"/>
      <w:lvlJc w:val="left"/>
      <w:pPr>
        <w:ind w:left="23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D87A7C6C">
      <w:start w:val="1"/>
      <w:numFmt w:val="bullet"/>
      <w:lvlText w:val="o"/>
      <w:lvlJc w:val="left"/>
      <w:pPr>
        <w:ind w:left="308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99668C40">
      <w:start w:val="1"/>
      <w:numFmt w:val="bullet"/>
      <w:lvlText w:val="▪"/>
      <w:lvlJc w:val="left"/>
      <w:pPr>
        <w:ind w:left="380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F69EB48A">
      <w:start w:val="1"/>
      <w:numFmt w:val="bullet"/>
      <w:lvlText w:val="•"/>
      <w:lvlJc w:val="left"/>
      <w:pPr>
        <w:ind w:left="452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C9369080">
      <w:start w:val="1"/>
      <w:numFmt w:val="bullet"/>
      <w:lvlText w:val="o"/>
      <w:lvlJc w:val="left"/>
      <w:pPr>
        <w:ind w:left="52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15C0BA1C">
      <w:start w:val="1"/>
      <w:numFmt w:val="bullet"/>
      <w:lvlText w:val="▪"/>
      <w:lvlJc w:val="left"/>
      <w:pPr>
        <w:ind w:left="59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713" w15:restartNumberingAfterBreak="0">
    <w:nsid w:val="44506DF1"/>
    <w:multiLevelType w:val="hybridMultilevel"/>
    <w:tmpl w:val="20C68EF6"/>
    <w:lvl w:ilvl="0" w:tplc="1E725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2498D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AC6AA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061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8BE9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2EFA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C573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C1F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8D6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4" w15:restartNumberingAfterBreak="0">
    <w:nsid w:val="44541164"/>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5" w15:restartNumberingAfterBreak="0">
    <w:nsid w:val="44942BC6"/>
    <w:multiLevelType w:val="hybridMultilevel"/>
    <w:tmpl w:val="2160E30A"/>
    <w:lvl w:ilvl="0" w:tplc="FEA811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6" w15:restartNumberingAfterBreak="0">
    <w:nsid w:val="449A7BF9"/>
    <w:multiLevelType w:val="hybridMultilevel"/>
    <w:tmpl w:val="C7DA9946"/>
    <w:lvl w:ilvl="0" w:tplc="750236D8">
      <w:start w:val="1"/>
      <w:numFmt w:val="decimal"/>
      <w:lvlText w:val="%1."/>
      <w:lvlJc w:val="left"/>
      <w:pPr>
        <w:ind w:left="360" w:hanging="360"/>
      </w:pPr>
      <w:rPr>
        <w:i w:val="0"/>
      </w:rPr>
    </w:lvl>
    <w:lvl w:ilvl="1" w:tplc="0D9EDED0">
      <w:start w:val="1"/>
      <w:numFmt w:val="lowerLetter"/>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7" w15:restartNumberingAfterBreak="0">
    <w:nsid w:val="44AC4D11"/>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8" w15:restartNumberingAfterBreak="0">
    <w:nsid w:val="44BD4E5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19" w15:restartNumberingAfterBreak="0">
    <w:nsid w:val="450630F3"/>
    <w:multiLevelType w:val="hybridMultilevel"/>
    <w:tmpl w:val="2C483F54"/>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20" w15:restartNumberingAfterBreak="0">
    <w:nsid w:val="45117018"/>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21" w15:restartNumberingAfterBreak="0">
    <w:nsid w:val="45161A6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2" w15:restartNumberingAfterBreak="0">
    <w:nsid w:val="452B410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3" w15:restartNumberingAfterBreak="0">
    <w:nsid w:val="453A79C7"/>
    <w:multiLevelType w:val="hybridMultilevel"/>
    <w:tmpl w:val="DA9653AE"/>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724" w15:restartNumberingAfterBreak="0">
    <w:nsid w:val="453E30C7"/>
    <w:multiLevelType w:val="hybridMultilevel"/>
    <w:tmpl w:val="8272E542"/>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15:restartNumberingAfterBreak="0">
    <w:nsid w:val="45435AC5"/>
    <w:multiLevelType w:val="hybridMultilevel"/>
    <w:tmpl w:val="AC3E5808"/>
    <w:lvl w:ilvl="0" w:tplc="623E5D9A">
      <w:start w:val="1"/>
      <w:numFmt w:val="lowerRoman"/>
      <w:lvlText w:val="(%1)"/>
      <w:lvlJc w:val="righ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6" w15:restartNumberingAfterBreak="0">
    <w:nsid w:val="455A4AC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7" w15:restartNumberingAfterBreak="0">
    <w:nsid w:val="45B74A10"/>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8" w15:restartNumberingAfterBreak="0">
    <w:nsid w:val="45E93050"/>
    <w:multiLevelType w:val="multilevel"/>
    <w:tmpl w:val="3B32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9" w15:restartNumberingAfterBreak="0">
    <w:nsid w:val="46376C33"/>
    <w:multiLevelType w:val="hybridMultilevel"/>
    <w:tmpl w:val="9948E508"/>
    <w:lvl w:ilvl="0" w:tplc="0809000F">
      <w:start w:val="1"/>
      <w:numFmt w:val="decimal"/>
      <w:lvlText w:val="%1."/>
      <w:lvlJc w:val="left"/>
      <w:pPr>
        <w:tabs>
          <w:tab w:val="num" w:pos="720"/>
        </w:tabs>
        <w:ind w:left="720" w:hanging="360"/>
      </w:pPr>
      <w:rPr>
        <w:rFonts w:hint="default"/>
      </w:rPr>
    </w:lvl>
    <w:lvl w:ilvl="1" w:tplc="1F1E2670">
      <w:start w:val="1"/>
      <w:numFmt w:val="lowerLetter"/>
      <w:lvlText w:val="(%2)"/>
      <w:lvlJc w:val="left"/>
      <w:pPr>
        <w:ind w:left="1523" w:hanging="443"/>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0" w15:restartNumberingAfterBreak="0">
    <w:nsid w:val="464040D8"/>
    <w:multiLevelType w:val="hybridMultilevel"/>
    <w:tmpl w:val="A1002AEC"/>
    <w:lvl w:ilvl="0" w:tplc="104A5346">
      <w:start w:val="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CFA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67C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C7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4E79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8D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563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807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2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1" w15:restartNumberingAfterBreak="0">
    <w:nsid w:val="464D40CA"/>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2" w15:restartNumberingAfterBreak="0">
    <w:nsid w:val="467E1F2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33" w15:restartNumberingAfterBreak="0">
    <w:nsid w:val="468D4B9B"/>
    <w:multiLevelType w:val="hybridMultilevel"/>
    <w:tmpl w:val="70365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4" w15:restartNumberingAfterBreak="0">
    <w:nsid w:val="46A737FF"/>
    <w:multiLevelType w:val="hybridMultilevel"/>
    <w:tmpl w:val="C6B2259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5" w15:restartNumberingAfterBreak="0">
    <w:nsid w:val="46D479F6"/>
    <w:multiLevelType w:val="hybridMultilevel"/>
    <w:tmpl w:val="EAC64B54"/>
    <w:lvl w:ilvl="0" w:tplc="0D9EDED0">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36" w15:restartNumberingAfterBreak="0">
    <w:nsid w:val="46DA603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7" w15:restartNumberingAfterBreak="0">
    <w:nsid w:val="46E163F1"/>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738" w15:restartNumberingAfterBreak="0">
    <w:nsid w:val="46E21F22"/>
    <w:multiLevelType w:val="hybridMultilevel"/>
    <w:tmpl w:val="E09C7644"/>
    <w:lvl w:ilvl="0" w:tplc="64104F26">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9" w15:restartNumberingAfterBreak="0">
    <w:nsid w:val="47013E1A"/>
    <w:multiLevelType w:val="multilevel"/>
    <w:tmpl w:val="376466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0" w15:restartNumberingAfterBreak="0">
    <w:nsid w:val="47387B79"/>
    <w:multiLevelType w:val="multilevel"/>
    <w:tmpl w:val="22F8F5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47706499"/>
    <w:multiLevelType w:val="hybridMultilevel"/>
    <w:tmpl w:val="1040D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2" w15:restartNumberingAfterBreak="0">
    <w:nsid w:val="47792BF4"/>
    <w:multiLevelType w:val="multilevel"/>
    <w:tmpl w:val="F30CA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3" w15:restartNumberingAfterBreak="0">
    <w:nsid w:val="478B6828"/>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4" w15:restartNumberingAfterBreak="0">
    <w:nsid w:val="47943C6D"/>
    <w:multiLevelType w:val="multilevel"/>
    <w:tmpl w:val="C0260D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5" w15:restartNumberingAfterBreak="0">
    <w:nsid w:val="47A70A0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6" w15:restartNumberingAfterBreak="0">
    <w:nsid w:val="47E31050"/>
    <w:multiLevelType w:val="hybridMultilevel"/>
    <w:tmpl w:val="EE14083E"/>
    <w:lvl w:ilvl="0" w:tplc="71DEAFD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7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E5B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AAA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C52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D0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9E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603B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2B5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7" w15:restartNumberingAfterBreak="0">
    <w:nsid w:val="480819E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8" w15:restartNumberingAfterBreak="0">
    <w:nsid w:val="48105F8F"/>
    <w:multiLevelType w:val="hybridMultilevel"/>
    <w:tmpl w:val="317810F2"/>
    <w:lvl w:ilvl="0" w:tplc="18B67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9" w15:restartNumberingAfterBreak="0">
    <w:nsid w:val="48214DAB"/>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0" w15:restartNumberingAfterBreak="0">
    <w:nsid w:val="4825046A"/>
    <w:multiLevelType w:val="multilevel"/>
    <w:tmpl w:val="23D87CDA"/>
    <w:lvl w:ilvl="0">
      <w:start w:val="1"/>
      <w:numFmt w:val="lowerRoman"/>
      <w:lvlText w:val="(%1)"/>
      <w:lvlJc w:val="left"/>
      <w:pPr>
        <w:ind w:left="1732" w:hanging="360"/>
      </w:p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751" w15:restartNumberingAfterBreak="0">
    <w:nsid w:val="484710CB"/>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15:restartNumberingAfterBreak="0">
    <w:nsid w:val="484F4D49"/>
    <w:multiLevelType w:val="hybridMultilevel"/>
    <w:tmpl w:val="6AB293B8"/>
    <w:styleLink w:val="Style5import"/>
    <w:lvl w:ilvl="0" w:tplc="772411F8">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0A87AA">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EA3C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498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FEE4B8">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F4E3A8">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C6267C">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DA27F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64F2DE">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3" w15:restartNumberingAfterBreak="0">
    <w:nsid w:val="4856488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4" w15:restartNumberingAfterBreak="0">
    <w:nsid w:val="4872746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15:restartNumberingAfterBreak="0">
    <w:nsid w:val="487F638A"/>
    <w:multiLevelType w:val="hybridMultilevel"/>
    <w:tmpl w:val="6922C49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6" w15:restartNumberingAfterBreak="0">
    <w:nsid w:val="4898230D"/>
    <w:multiLevelType w:val="hybridMultilevel"/>
    <w:tmpl w:val="9468D3B6"/>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7" w15:restartNumberingAfterBreak="0">
    <w:nsid w:val="489C3F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58" w15:restartNumberingAfterBreak="0">
    <w:nsid w:val="48C0381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9" w15:restartNumberingAfterBreak="0">
    <w:nsid w:val="48E0048F"/>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0" w15:restartNumberingAfterBreak="0">
    <w:nsid w:val="48F23AB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1" w15:restartNumberingAfterBreak="0">
    <w:nsid w:val="49062353"/>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62" w15:restartNumberingAfterBreak="0">
    <w:nsid w:val="4931296F"/>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3" w15:restartNumberingAfterBreak="0">
    <w:nsid w:val="493242F8"/>
    <w:multiLevelType w:val="hybridMultilevel"/>
    <w:tmpl w:val="BD4C808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4" w15:restartNumberingAfterBreak="0">
    <w:nsid w:val="494103BF"/>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5" w15:restartNumberingAfterBreak="0">
    <w:nsid w:val="49481EB9"/>
    <w:multiLevelType w:val="hybridMultilevel"/>
    <w:tmpl w:val="BBC4D3B8"/>
    <w:lvl w:ilvl="0" w:tplc="C918295C">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6" w15:restartNumberingAfterBreak="0">
    <w:nsid w:val="4957446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7" w15:restartNumberingAfterBreak="0">
    <w:nsid w:val="495A405D"/>
    <w:multiLevelType w:val="hybridMultilevel"/>
    <w:tmpl w:val="DEACF472"/>
    <w:lvl w:ilvl="0" w:tplc="81668946">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8" w15:restartNumberingAfterBreak="0">
    <w:nsid w:val="496B5328"/>
    <w:multiLevelType w:val="hybridMultilevel"/>
    <w:tmpl w:val="0054EE1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9" w15:restartNumberingAfterBreak="0">
    <w:nsid w:val="49940871"/>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70" w15:restartNumberingAfterBreak="0">
    <w:nsid w:val="499A4C6D"/>
    <w:multiLevelType w:val="hybridMultilevel"/>
    <w:tmpl w:val="4CD016EC"/>
    <w:lvl w:ilvl="0" w:tplc="8B12D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1" w15:restartNumberingAfterBreak="0">
    <w:nsid w:val="499F0D6B"/>
    <w:multiLevelType w:val="hybridMultilevel"/>
    <w:tmpl w:val="CF22D692"/>
    <w:lvl w:ilvl="0" w:tplc="3D881A4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A5D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413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A24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CAC1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5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2FD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ECE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E41F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2" w15:restartNumberingAfterBreak="0">
    <w:nsid w:val="49B72B8C"/>
    <w:multiLevelType w:val="multilevel"/>
    <w:tmpl w:val="F78EB1E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color w:val="FF000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773" w15:restartNumberingAfterBreak="0">
    <w:nsid w:val="49B97B00"/>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4" w15:restartNumberingAfterBreak="0">
    <w:nsid w:val="49C95D40"/>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5" w15:restartNumberingAfterBreak="0">
    <w:nsid w:val="49D70C6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6" w15:restartNumberingAfterBreak="0">
    <w:nsid w:val="49F61C78"/>
    <w:multiLevelType w:val="hybridMultilevel"/>
    <w:tmpl w:val="C02CF5C2"/>
    <w:lvl w:ilvl="0" w:tplc="4470D964">
      <w:start w:val="2"/>
      <w:numFmt w:val="lowerLetter"/>
      <w:lvlText w:val="(%1)"/>
      <w:lvlJc w:val="left"/>
      <w:pPr>
        <w:ind w:left="924" w:hanging="924"/>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777" w15:restartNumberingAfterBreak="0">
    <w:nsid w:val="4A241B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78" w15:restartNumberingAfterBreak="0">
    <w:nsid w:val="4A6954FB"/>
    <w:multiLevelType w:val="multilevel"/>
    <w:tmpl w:val="FCD66462"/>
    <w:lvl w:ilvl="0">
      <w:start w:val="3"/>
      <w:numFmt w:val="decimal"/>
      <w:lvlText w:val="%1."/>
      <w:lvlJc w:val="left"/>
      <w:pPr>
        <w:ind w:left="284"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84" w:firstLine="0"/>
      </w:pPr>
      <w:rPr>
        <w:rFonts w:hint="default"/>
      </w:rPr>
    </w:lvl>
    <w:lvl w:ilvl="2">
      <w:numFmt w:val="decimal"/>
      <w:lvlText w:val=""/>
      <w:lvlJc w:val="left"/>
      <w:pPr>
        <w:ind w:left="284" w:firstLine="0"/>
      </w:pPr>
      <w:rPr>
        <w:rFonts w:hint="default"/>
      </w:rPr>
    </w:lvl>
    <w:lvl w:ilvl="3">
      <w:numFmt w:val="decimal"/>
      <w:lvlText w:val=""/>
      <w:lvlJc w:val="left"/>
      <w:pPr>
        <w:ind w:left="284" w:firstLine="0"/>
      </w:pPr>
      <w:rPr>
        <w:rFonts w:hint="default"/>
      </w:rPr>
    </w:lvl>
    <w:lvl w:ilvl="4">
      <w:numFmt w:val="decimal"/>
      <w:lvlText w:val=""/>
      <w:lvlJc w:val="left"/>
      <w:pPr>
        <w:ind w:left="284" w:firstLine="0"/>
      </w:pPr>
      <w:rPr>
        <w:rFonts w:hint="default"/>
      </w:rPr>
    </w:lvl>
    <w:lvl w:ilvl="5">
      <w:numFmt w:val="decimal"/>
      <w:lvlText w:val=""/>
      <w:lvlJc w:val="left"/>
      <w:pPr>
        <w:ind w:left="284" w:firstLine="0"/>
      </w:pPr>
      <w:rPr>
        <w:rFonts w:hint="default"/>
      </w:rPr>
    </w:lvl>
    <w:lvl w:ilvl="6">
      <w:numFmt w:val="decimal"/>
      <w:lvlText w:val=""/>
      <w:lvlJc w:val="left"/>
      <w:pPr>
        <w:ind w:left="284" w:firstLine="0"/>
      </w:pPr>
      <w:rPr>
        <w:rFonts w:hint="default"/>
      </w:rPr>
    </w:lvl>
    <w:lvl w:ilvl="7">
      <w:numFmt w:val="decimal"/>
      <w:lvlText w:val=""/>
      <w:lvlJc w:val="left"/>
      <w:pPr>
        <w:ind w:left="284" w:firstLine="0"/>
      </w:pPr>
      <w:rPr>
        <w:rFonts w:hint="default"/>
      </w:rPr>
    </w:lvl>
    <w:lvl w:ilvl="8">
      <w:numFmt w:val="decimal"/>
      <w:lvlText w:val=""/>
      <w:lvlJc w:val="left"/>
      <w:pPr>
        <w:ind w:left="284" w:firstLine="0"/>
      </w:pPr>
      <w:rPr>
        <w:rFonts w:hint="default"/>
      </w:rPr>
    </w:lvl>
  </w:abstractNum>
  <w:abstractNum w:abstractNumId="779" w15:restartNumberingAfterBreak="0">
    <w:nsid w:val="4A736CB8"/>
    <w:multiLevelType w:val="hybridMultilevel"/>
    <w:tmpl w:val="3A508CDE"/>
    <w:lvl w:ilvl="0" w:tplc="AE12688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88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C6C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653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A1C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9E74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0274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09B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88E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0" w15:restartNumberingAfterBreak="0">
    <w:nsid w:val="4A8D47C6"/>
    <w:multiLevelType w:val="hybridMultilevel"/>
    <w:tmpl w:val="8CEE0B5E"/>
    <w:styleLink w:val="Style14import"/>
    <w:lvl w:ilvl="0" w:tplc="842CF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50641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40C9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64E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2CB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4FE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1C3D5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E53C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607CD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1" w15:restartNumberingAfterBreak="0">
    <w:nsid w:val="4ABF4B2F"/>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82" w15:restartNumberingAfterBreak="0">
    <w:nsid w:val="4ACA750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83" w15:restartNumberingAfterBreak="0">
    <w:nsid w:val="4ACB1238"/>
    <w:multiLevelType w:val="multilevel"/>
    <w:tmpl w:val="64C41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4" w15:restartNumberingAfterBreak="0">
    <w:nsid w:val="4AFC6F50"/>
    <w:multiLevelType w:val="multilevel"/>
    <w:tmpl w:val="29748B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5" w15:restartNumberingAfterBreak="0">
    <w:nsid w:val="4B0E16A2"/>
    <w:multiLevelType w:val="hybridMultilevel"/>
    <w:tmpl w:val="4A38B0A8"/>
    <w:lvl w:ilvl="0" w:tplc="0D9EDED0">
      <w:start w:val="1"/>
      <w:numFmt w:val="lowerLetter"/>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6" w15:restartNumberingAfterBreak="0">
    <w:nsid w:val="4B0E27EF"/>
    <w:multiLevelType w:val="hybridMultilevel"/>
    <w:tmpl w:val="1C94A8C6"/>
    <w:lvl w:ilvl="0" w:tplc="1EFAABC0">
      <w:start w:val="1"/>
      <w:numFmt w:val="decimal"/>
      <w:lvlText w:val="%1."/>
      <w:lvlJc w:val="left"/>
      <w:pPr>
        <w:ind w:left="283"/>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F3FA5B4E">
      <w:start w:val="1"/>
      <w:numFmt w:val="lowerLetter"/>
      <w:lvlText w:val="%2"/>
      <w:lvlJc w:val="left"/>
      <w:pPr>
        <w:ind w:left="10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2" w:tplc="1902E200">
      <w:start w:val="1"/>
      <w:numFmt w:val="lowerRoman"/>
      <w:lvlText w:val="%3"/>
      <w:lvlJc w:val="left"/>
      <w:pPr>
        <w:ind w:left="18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3" w:tplc="AF0AA8D2">
      <w:start w:val="1"/>
      <w:numFmt w:val="decimal"/>
      <w:lvlText w:val="%4"/>
      <w:lvlJc w:val="left"/>
      <w:pPr>
        <w:ind w:left="25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4" w:tplc="3578AB4A">
      <w:start w:val="1"/>
      <w:numFmt w:val="lowerLetter"/>
      <w:lvlText w:val="%5"/>
      <w:lvlJc w:val="left"/>
      <w:pPr>
        <w:ind w:left="324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B2EE09AA">
      <w:start w:val="1"/>
      <w:numFmt w:val="lowerRoman"/>
      <w:lvlText w:val="%6"/>
      <w:lvlJc w:val="left"/>
      <w:pPr>
        <w:ind w:left="396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10E0ABCA">
      <w:start w:val="1"/>
      <w:numFmt w:val="decimal"/>
      <w:lvlText w:val="%7"/>
      <w:lvlJc w:val="left"/>
      <w:pPr>
        <w:ind w:left="46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DC94D90A">
      <w:start w:val="1"/>
      <w:numFmt w:val="lowerLetter"/>
      <w:lvlText w:val="%8"/>
      <w:lvlJc w:val="left"/>
      <w:pPr>
        <w:ind w:left="54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FC665A34">
      <w:start w:val="1"/>
      <w:numFmt w:val="lowerRoman"/>
      <w:lvlText w:val="%9"/>
      <w:lvlJc w:val="left"/>
      <w:pPr>
        <w:ind w:left="61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787" w15:restartNumberingAfterBreak="0">
    <w:nsid w:val="4B135DA3"/>
    <w:multiLevelType w:val="hybridMultilevel"/>
    <w:tmpl w:val="08D0655E"/>
    <w:styleLink w:val="Style23import"/>
    <w:lvl w:ilvl="0" w:tplc="41105C0C">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6B00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E5BD8">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4B3A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85E6C">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6C8CB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6FCC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CFC9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90E924">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8" w15:restartNumberingAfterBreak="0">
    <w:nsid w:val="4B35763A"/>
    <w:multiLevelType w:val="multilevel"/>
    <w:tmpl w:val="AE0A4A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4B4310B0"/>
    <w:multiLevelType w:val="hybridMultilevel"/>
    <w:tmpl w:val="31ACED94"/>
    <w:lvl w:ilvl="0" w:tplc="F41A176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0" w15:restartNumberingAfterBreak="0">
    <w:nsid w:val="4B54165D"/>
    <w:multiLevelType w:val="multilevel"/>
    <w:tmpl w:val="44D074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1" w15:restartNumberingAfterBreak="0">
    <w:nsid w:val="4B7C1864"/>
    <w:multiLevelType w:val="multilevel"/>
    <w:tmpl w:val="F19451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4BB4701A"/>
    <w:multiLevelType w:val="hybridMultilevel"/>
    <w:tmpl w:val="1B54C658"/>
    <w:lvl w:ilvl="0" w:tplc="591E5CE8">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40F70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3" w15:restartNumberingAfterBreak="0">
    <w:nsid w:val="4BC465E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794" w15:restartNumberingAfterBreak="0">
    <w:nsid w:val="4BFD72F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5" w15:restartNumberingAfterBreak="0">
    <w:nsid w:val="4C103E96"/>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6" w15:restartNumberingAfterBreak="0">
    <w:nsid w:val="4C3C5441"/>
    <w:multiLevelType w:val="hybridMultilevel"/>
    <w:tmpl w:val="B1F80B66"/>
    <w:lvl w:ilvl="0" w:tplc="45AAE48E">
      <w:numFmt w:val="decimal"/>
      <w:lvlText w:val=""/>
      <w:lvlJc w:val="left"/>
    </w:lvl>
    <w:lvl w:ilvl="1" w:tplc="C7A24F1E">
      <w:numFmt w:val="decimal"/>
      <w:lvlText w:val=""/>
      <w:lvlJc w:val="left"/>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797" w15:restartNumberingAfterBreak="0">
    <w:nsid w:val="4C40670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8" w15:restartNumberingAfterBreak="0">
    <w:nsid w:val="4C534F14"/>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9" w15:restartNumberingAfterBreak="0">
    <w:nsid w:val="4C715DBD"/>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800" w15:restartNumberingAfterBreak="0">
    <w:nsid w:val="4C7F79E5"/>
    <w:multiLevelType w:val="hybridMultilevel"/>
    <w:tmpl w:val="2E68BEA8"/>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1" w15:restartNumberingAfterBreak="0">
    <w:nsid w:val="4C8960F4"/>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2" w15:restartNumberingAfterBreak="0">
    <w:nsid w:val="4CA811ED"/>
    <w:multiLevelType w:val="hybridMultilevel"/>
    <w:tmpl w:val="203603A6"/>
    <w:lvl w:ilvl="0" w:tplc="CF323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3" w15:restartNumberingAfterBreak="0">
    <w:nsid w:val="4CBE5426"/>
    <w:multiLevelType w:val="hybridMultilevel"/>
    <w:tmpl w:val="F670E432"/>
    <w:styleLink w:val="Style2import"/>
    <w:lvl w:ilvl="0" w:tplc="CD1EA02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849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A1164">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0F708">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6E01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EC6518">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AC7A2E">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6A926">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8DB4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4" w15:restartNumberingAfterBreak="0">
    <w:nsid w:val="4D0456C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5" w15:restartNumberingAfterBreak="0">
    <w:nsid w:val="4D184761"/>
    <w:multiLevelType w:val="hybridMultilevel"/>
    <w:tmpl w:val="58CE410A"/>
    <w:lvl w:ilvl="0" w:tplc="8DDA8368">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6" w15:restartNumberingAfterBreak="0">
    <w:nsid w:val="4D201A4A"/>
    <w:multiLevelType w:val="multilevel"/>
    <w:tmpl w:val="7336676C"/>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7" w15:restartNumberingAfterBreak="0">
    <w:nsid w:val="4D30752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8" w15:restartNumberingAfterBreak="0">
    <w:nsid w:val="4D446E18"/>
    <w:multiLevelType w:val="multilevel"/>
    <w:tmpl w:val="A406E7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4D7D785E"/>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0" w15:restartNumberingAfterBreak="0">
    <w:nsid w:val="4D8D6772"/>
    <w:multiLevelType w:val="multilevel"/>
    <w:tmpl w:val="00A29926"/>
    <w:lvl w:ilvl="0">
      <w:start w:val="1"/>
      <w:numFmt w:val="lowerLetter"/>
      <w:lvlText w:val="(%1)"/>
      <w:lvlJc w:val="left"/>
      <w:pPr>
        <w:tabs>
          <w:tab w:val="num" w:pos="720"/>
        </w:tabs>
        <w:ind w:left="720" w:hanging="360"/>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1" w15:restartNumberingAfterBreak="0">
    <w:nsid w:val="4DCE2C31"/>
    <w:multiLevelType w:val="hybridMultilevel"/>
    <w:tmpl w:val="9D647D0E"/>
    <w:lvl w:ilvl="0" w:tplc="C5BC7A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F141C36">
      <w:start w:val="1"/>
      <w:numFmt w:val="decimal"/>
      <w:lvlText w:val="%4."/>
      <w:lvlJc w:val="left"/>
      <w:pPr>
        <w:ind w:left="0" w:firstLine="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2" w15:restartNumberingAfterBreak="0">
    <w:nsid w:val="4DCF425D"/>
    <w:multiLevelType w:val="hybridMultilevel"/>
    <w:tmpl w:val="6CE65570"/>
    <w:styleLink w:val="Style7import"/>
    <w:lvl w:ilvl="0" w:tplc="0BA648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8EB78">
      <w:start w:val="1"/>
      <w:numFmt w:val="decimal"/>
      <w:lvlText w:val="%2."/>
      <w:lvlJc w:val="left"/>
      <w:pPr>
        <w:ind w:left="1080" w:hanging="360"/>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4A650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0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663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416C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58B2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22D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EE30A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3" w15:restartNumberingAfterBreak="0">
    <w:nsid w:val="4DDF2A7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14" w15:restartNumberingAfterBreak="0">
    <w:nsid w:val="4E2D5130"/>
    <w:multiLevelType w:val="hybridMultilevel"/>
    <w:tmpl w:val="E4C28EE6"/>
    <w:lvl w:ilvl="0" w:tplc="4BBE08E4">
      <w:start w:val="1"/>
      <w:numFmt w:val="lowerLetter"/>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815" w15:restartNumberingAfterBreak="0">
    <w:nsid w:val="4E2F1E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6" w15:restartNumberingAfterBreak="0">
    <w:nsid w:val="4E682094"/>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7" w15:restartNumberingAfterBreak="0">
    <w:nsid w:val="4E7E05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8" w15:restartNumberingAfterBreak="0">
    <w:nsid w:val="4EB95E44"/>
    <w:multiLevelType w:val="hybridMultilevel"/>
    <w:tmpl w:val="8BD4B4DE"/>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9" w15:restartNumberingAfterBreak="0">
    <w:nsid w:val="4EBD7B38"/>
    <w:multiLevelType w:val="hybridMultilevel"/>
    <w:tmpl w:val="6E6809BC"/>
    <w:lvl w:ilvl="0" w:tplc="65B2DBAE">
      <w:start w:val="1"/>
      <w:numFmt w:val="lowerLetter"/>
      <w:lvlText w:val="(%1)"/>
      <w:lvlJc w:val="left"/>
      <w:pPr>
        <w:ind w:left="502" w:hanging="360"/>
      </w:pPr>
      <w:rPr>
        <w:rFonts w:hint="default"/>
        <w:color w:val="auto"/>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820" w15:restartNumberingAfterBreak="0">
    <w:nsid w:val="4ECC2F20"/>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1" w15:restartNumberingAfterBreak="0">
    <w:nsid w:val="4EE61C18"/>
    <w:multiLevelType w:val="hybridMultilevel"/>
    <w:tmpl w:val="D3F4D22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2" w15:restartNumberingAfterBreak="0">
    <w:nsid w:val="4F0A738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3" w15:restartNumberingAfterBreak="0">
    <w:nsid w:val="4F2503A2"/>
    <w:multiLevelType w:val="hybridMultilevel"/>
    <w:tmpl w:val="9BBCFD88"/>
    <w:lvl w:ilvl="0" w:tplc="4E10242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4" w15:restartNumberingAfterBreak="0">
    <w:nsid w:val="4F40224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25" w15:restartNumberingAfterBreak="0">
    <w:nsid w:val="4F412EC5"/>
    <w:multiLevelType w:val="hybridMultilevel"/>
    <w:tmpl w:val="4228607C"/>
    <w:lvl w:ilvl="0" w:tplc="623E5D9A">
      <w:start w:val="1"/>
      <w:numFmt w:val="lowerRoman"/>
      <w:lvlText w:val="(%1)"/>
      <w:lvlJc w:val="right"/>
      <w:pPr>
        <w:ind w:left="1930" w:hanging="360"/>
      </w:pPr>
      <w:rPr>
        <w:rFonts w:hint="default"/>
      </w:rPr>
    </w:lvl>
    <w:lvl w:ilvl="1" w:tplc="08090019" w:tentative="1">
      <w:start w:val="1"/>
      <w:numFmt w:val="lowerLetter"/>
      <w:lvlText w:val="%2."/>
      <w:lvlJc w:val="left"/>
      <w:pPr>
        <w:ind w:left="2650" w:hanging="360"/>
      </w:pPr>
    </w:lvl>
    <w:lvl w:ilvl="2" w:tplc="0809001B" w:tentative="1">
      <w:start w:val="1"/>
      <w:numFmt w:val="lowerRoman"/>
      <w:lvlText w:val="%3."/>
      <w:lvlJc w:val="right"/>
      <w:pPr>
        <w:ind w:left="3370" w:hanging="180"/>
      </w:pPr>
    </w:lvl>
    <w:lvl w:ilvl="3" w:tplc="0809000F" w:tentative="1">
      <w:start w:val="1"/>
      <w:numFmt w:val="decimal"/>
      <w:lvlText w:val="%4."/>
      <w:lvlJc w:val="left"/>
      <w:pPr>
        <w:ind w:left="4090" w:hanging="360"/>
      </w:pPr>
    </w:lvl>
    <w:lvl w:ilvl="4" w:tplc="08090019" w:tentative="1">
      <w:start w:val="1"/>
      <w:numFmt w:val="lowerLetter"/>
      <w:lvlText w:val="%5."/>
      <w:lvlJc w:val="left"/>
      <w:pPr>
        <w:ind w:left="4810" w:hanging="360"/>
      </w:pPr>
    </w:lvl>
    <w:lvl w:ilvl="5" w:tplc="0809001B" w:tentative="1">
      <w:start w:val="1"/>
      <w:numFmt w:val="lowerRoman"/>
      <w:lvlText w:val="%6."/>
      <w:lvlJc w:val="right"/>
      <w:pPr>
        <w:ind w:left="5530" w:hanging="180"/>
      </w:pPr>
    </w:lvl>
    <w:lvl w:ilvl="6" w:tplc="0809000F" w:tentative="1">
      <w:start w:val="1"/>
      <w:numFmt w:val="decimal"/>
      <w:lvlText w:val="%7."/>
      <w:lvlJc w:val="left"/>
      <w:pPr>
        <w:ind w:left="6250" w:hanging="360"/>
      </w:pPr>
    </w:lvl>
    <w:lvl w:ilvl="7" w:tplc="08090019" w:tentative="1">
      <w:start w:val="1"/>
      <w:numFmt w:val="lowerLetter"/>
      <w:lvlText w:val="%8."/>
      <w:lvlJc w:val="left"/>
      <w:pPr>
        <w:ind w:left="6970" w:hanging="360"/>
      </w:pPr>
    </w:lvl>
    <w:lvl w:ilvl="8" w:tplc="0809001B" w:tentative="1">
      <w:start w:val="1"/>
      <w:numFmt w:val="lowerRoman"/>
      <w:lvlText w:val="%9."/>
      <w:lvlJc w:val="right"/>
      <w:pPr>
        <w:ind w:left="7690" w:hanging="180"/>
      </w:pPr>
    </w:lvl>
  </w:abstractNum>
  <w:abstractNum w:abstractNumId="826" w15:restartNumberingAfterBreak="0">
    <w:nsid w:val="4F414242"/>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7" w15:restartNumberingAfterBreak="0">
    <w:nsid w:val="4F9424F7"/>
    <w:multiLevelType w:val="hybridMultilevel"/>
    <w:tmpl w:val="82A0CFD2"/>
    <w:lvl w:ilvl="0" w:tplc="41466C5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363032">
      <w:start w:val="1"/>
      <w:numFmt w:val="bullet"/>
      <w:lvlText w:val="-"/>
      <w:lvlJc w:val="left"/>
      <w:pPr>
        <w:ind w:left="478"/>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662C109C">
      <w:start w:val="1"/>
      <w:numFmt w:val="bullet"/>
      <w:lvlText w:val="▪"/>
      <w:lvlJc w:val="left"/>
      <w:pPr>
        <w:ind w:left="14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A4E45C6A">
      <w:start w:val="1"/>
      <w:numFmt w:val="bullet"/>
      <w:lvlText w:val="•"/>
      <w:lvlJc w:val="left"/>
      <w:pPr>
        <w:ind w:left="21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C9673E8">
      <w:start w:val="1"/>
      <w:numFmt w:val="bullet"/>
      <w:lvlText w:val="o"/>
      <w:lvlJc w:val="left"/>
      <w:pPr>
        <w:ind w:left="28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E5186D14">
      <w:start w:val="1"/>
      <w:numFmt w:val="bullet"/>
      <w:lvlText w:val="▪"/>
      <w:lvlJc w:val="left"/>
      <w:pPr>
        <w:ind w:left="36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08528F64">
      <w:start w:val="1"/>
      <w:numFmt w:val="bullet"/>
      <w:lvlText w:val="•"/>
      <w:lvlJc w:val="left"/>
      <w:pPr>
        <w:ind w:left="43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754AF8DE">
      <w:start w:val="1"/>
      <w:numFmt w:val="bullet"/>
      <w:lvlText w:val="o"/>
      <w:lvlJc w:val="left"/>
      <w:pPr>
        <w:ind w:left="50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E14EEECC">
      <w:start w:val="1"/>
      <w:numFmt w:val="bullet"/>
      <w:lvlText w:val="▪"/>
      <w:lvlJc w:val="left"/>
      <w:pPr>
        <w:ind w:left="57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828" w15:restartNumberingAfterBreak="0">
    <w:nsid w:val="4FB173B6"/>
    <w:multiLevelType w:val="hybridMultilevel"/>
    <w:tmpl w:val="3BF0B28A"/>
    <w:lvl w:ilvl="0" w:tplc="64E897F0">
      <w:start w:val="1"/>
      <w:numFmt w:val="decimal"/>
      <w:lvlText w:val="%1."/>
      <w:lvlJc w:val="left"/>
      <w:pPr>
        <w:ind w:left="360" w:hanging="360"/>
      </w:pPr>
      <w:rPr>
        <w:color w:val="auto"/>
      </w:rPr>
    </w:lvl>
    <w:lvl w:ilvl="1" w:tplc="0D9EDED0">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29" w15:restartNumberingAfterBreak="0">
    <w:nsid w:val="4FEE1B39"/>
    <w:multiLevelType w:val="hybridMultilevel"/>
    <w:tmpl w:val="5B983C06"/>
    <w:lvl w:ilvl="0" w:tplc="1A72114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0" w15:restartNumberingAfterBreak="0">
    <w:nsid w:val="4FF70524"/>
    <w:multiLevelType w:val="hybridMultilevel"/>
    <w:tmpl w:val="A768D9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1" w15:restartNumberingAfterBreak="0">
    <w:nsid w:val="4FFD5DCA"/>
    <w:multiLevelType w:val="hybridMultilevel"/>
    <w:tmpl w:val="C9962BE8"/>
    <w:lvl w:ilvl="0" w:tplc="4F0C06BA">
      <w:start w:val="1"/>
      <w:numFmt w:val="decimal"/>
      <w:lvlText w:val="%1."/>
      <w:lvlJc w:val="left"/>
      <w:pPr>
        <w:ind w:left="720"/>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1" w:tplc="82F6A7B4">
      <w:start w:val="1"/>
      <w:numFmt w:val="lowerLetter"/>
      <w:lvlText w:val="(%2)"/>
      <w:lvlJc w:val="left"/>
      <w:pPr>
        <w:ind w:left="1077"/>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2" w:tplc="D93EBABA">
      <w:start w:val="1"/>
      <w:numFmt w:val="lowerRoman"/>
      <w:lvlText w:val="%3"/>
      <w:lvlJc w:val="left"/>
      <w:pPr>
        <w:ind w:left="17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3" w:tplc="EF94BE40">
      <w:start w:val="1"/>
      <w:numFmt w:val="decimal"/>
      <w:lvlText w:val="%4"/>
      <w:lvlJc w:val="left"/>
      <w:pPr>
        <w:ind w:left="24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4" w:tplc="46EAF788">
      <w:start w:val="1"/>
      <w:numFmt w:val="lowerLetter"/>
      <w:lvlText w:val="%5"/>
      <w:lvlJc w:val="left"/>
      <w:pPr>
        <w:ind w:left="319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5" w:tplc="D49AB960">
      <w:start w:val="1"/>
      <w:numFmt w:val="lowerRoman"/>
      <w:lvlText w:val="%6"/>
      <w:lvlJc w:val="left"/>
      <w:pPr>
        <w:ind w:left="391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6" w:tplc="281885C4">
      <w:start w:val="1"/>
      <w:numFmt w:val="decimal"/>
      <w:lvlText w:val="%7"/>
      <w:lvlJc w:val="left"/>
      <w:pPr>
        <w:ind w:left="463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7" w:tplc="127A3778">
      <w:start w:val="1"/>
      <w:numFmt w:val="lowerLetter"/>
      <w:lvlText w:val="%8"/>
      <w:lvlJc w:val="left"/>
      <w:pPr>
        <w:ind w:left="53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8" w:tplc="71E289BC">
      <w:start w:val="1"/>
      <w:numFmt w:val="lowerRoman"/>
      <w:lvlText w:val="%9"/>
      <w:lvlJc w:val="left"/>
      <w:pPr>
        <w:ind w:left="60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abstractNum>
  <w:abstractNum w:abstractNumId="832" w15:restartNumberingAfterBreak="0">
    <w:nsid w:val="50145E1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33" w15:restartNumberingAfterBreak="0">
    <w:nsid w:val="501D2EA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4" w15:restartNumberingAfterBreak="0">
    <w:nsid w:val="50273592"/>
    <w:multiLevelType w:val="hybridMultilevel"/>
    <w:tmpl w:val="F76EE132"/>
    <w:lvl w:ilvl="0" w:tplc="89947B5A">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5" w15:restartNumberingAfterBreak="0">
    <w:nsid w:val="502B4206"/>
    <w:multiLevelType w:val="multilevel"/>
    <w:tmpl w:val="49AE3004"/>
    <w:lvl w:ilvl="0">
      <w:start w:val="1"/>
      <w:numFmt w:val="decimal"/>
      <w:lvlText w:val="%1."/>
      <w:lvlJc w:val="left"/>
      <w:pPr>
        <w:ind w:left="1080" w:hanging="360"/>
      </w:pPr>
    </w:lvl>
    <w:lvl w:ilvl="1">
      <w:start w:val="1"/>
      <w:numFmt w:val="upperLetter"/>
      <w:lvlText w:val="%2."/>
      <w:lvlJc w:val="left"/>
      <w:pPr>
        <w:ind w:left="1800" w:hanging="360"/>
      </w:pPr>
      <w:rPr>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6" w15:restartNumberingAfterBreak="0">
    <w:nsid w:val="5042371E"/>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7" w15:restartNumberingAfterBreak="0">
    <w:nsid w:val="504955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8" w15:restartNumberingAfterBreak="0">
    <w:nsid w:val="5072592A"/>
    <w:multiLevelType w:val="hybridMultilevel"/>
    <w:tmpl w:val="2A1E1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9" w15:restartNumberingAfterBreak="0">
    <w:nsid w:val="50A918E6"/>
    <w:multiLevelType w:val="multilevel"/>
    <w:tmpl w:val="BED6C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0" w15:restartNumberingAfterBreak="0">
    <w:nsid w:val="50B62654"/>
    <w:multiLevelType w:val="hybridMultilevel"/>
    <w:tmpl w:val="EE386A12"/>
    <w:lvl w:ilvl="0" w:tplc="483EE22A">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1" w15:restartNumberingAfterBreak="0">
    <w:nsid w:val="50BC02AB"/>
    <w:multiLevelType w:val="hybridMultilevel"/>
    <w:tmpl w:val="2D1A8D52"/>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2" w15:restartNumberingAfterBreak="0">
    <w:nsid w:val="50E06142"/>
    <w:multiLevelType w:val="multilevel"/>
    <w:tmpl w:val="D5F0E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3" w15:restartNumberingAfterBreak="0">
    <w:nsid w:val="50E818A3"/>
    <w:multiLevelType w:val="hybridMultilevel"/>
    <w:tmpl w:val="CA5490AC"/>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4" w15:restartNumberingAfterBreak="0">
    <w:nsid w:val="50E81D7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45" w15:restartNumberingAfterBreak="0">
    <w:nsid w:val="50E825CA"/>
    <w:multiLevelType w:val="hybridMultilevel"/>
    <w:tmpl w:val="EED035D2"/>
    <w:lvl w:ilvl="0" w:tplc="9ED60A78">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6" w15:restartNumberingAfterBreak="0">
    <w:nsid w:val="511F6639"/>
    <w:multiLevelType w:val="multilevel"/>
    <w:tmpl w:val="EC087044"/>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47" w15:restartNumberingAfterBreak="0">
    <w:nsid w:val="513D60C6"/>
    <w:multiLevelType w:val="hybridMultilevel"/>
    <w:tmpl w:val="6E62432C"/>
    <w:lvl w:ilvl="0" w:tplc="79F05B9A">
      <w:start w:val="1"/>
      <w:numFmt w:val="upperLetter"/>
      <w:lvlText w:val="(%1)"/>
      <w:lvlJc w:val="left"/>
      <w:pPr>
        <w:ind w:left="1636" w:hanging="360"/>
      </w:pPr>
      <w:rPr>
        <w:rFonts w:asciiTheme="majorHAnsi" w:eastAsiaTheme="minorHAnsi" w:hAnsiTheme="majorHAnsi" w:cstheme="minorBidi"/>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848" w15:restartNumberingAfterBreak="0">
    <w:nsid w:val="5160204E"/>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9" w15:restartNumberingAfterBreak="0">
    <w:nsid w:val="5193462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0" w15:restartNumberingAfterBreak="0">
    <w:nsid w:val="51AD20E8"/>
    <w:multiLevelType w:val="hybridMultilevel"/>
    <w:tmpl w:val="19E27240"/>
    <w:lvl w:ilvl="0" w:tplc="4F18C4E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1" w15:restartNumberingAfterBreak="0">
    <w:nsid w:val="51B01478"/>
    <w:multiLevelType w:val="hybridMultilevel"/>
    <w:tmpl w:val="D658A74A"/>
    <w:styleLink w:val="Style3import"/>
    <w:lvl w:ilvl="0" w:tplc="5F8864A6">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AA5B0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6903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609C7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CF15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FD2">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E8AC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0C090">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E4E074">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2" w15:restartNumberingAfterBreak="0">
    <w:nsid w:val="51C414CE"/>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3" w15:restartNumberingAfterBreak="0">
    <w:nsid w:val="51DD45B2"/>
    <w:multiLevelType w:val="hybridMultilevel"/>
    <w:tmpl w:val="478C2F02"/>
    <w:lvl w:ilvl="0" w:tplc="A922021A">
      <w:start w:val="1"/>
      <w:numFmt w:val="lowerLetter"/>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4" w15:restartNumberingAfterBreak="0">
    <w:nsid w:val="51EB5E2E"/>
    <w:multiLevelType w:val="hybridMultilevel"/>
    <w:tmpl w:val="AE16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5" w15:restartNumberingAfterBreak="0">
    <w:nsid w:val="51EF1423"/>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6" w15:restartNumberingAfterBreak="0">
    <w:nsid w:val="52171368"/>
    <w:multiLevelType w:val="hybridMultilevel"/>
    <w:tmpl w:val="7514041A"/>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7" w15:restartNumberingAfterBreak="0">
    <w:nsid w:val="52264317"/>
    <w:multiLevelType w:val="hybridMultilevel"/>
    <w:tmpl w:val="2DF0C30A"/>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8" w15:restartNumberingAfterBreak="0">
    <w:nsid w:val="52316854"/>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9" w15:restartNumberingAfterBreak="0">
    <w:nsid w:val="52530B7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0" w15:restartNumberingAfterBreak="0">
    <w:nsid w:val="52694AE2"/>
    <w:multiLevelType w:val="hybridMultilevel"/>
    <w:tmpl w:val="F514A02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1" w15:restartNumberingAfterBreak="0">
    <w:nsid w:val="52846995"/>
    <w:multiLevelType w:val="multilevel"/>
    <w:tmpl w:val="83F23C86"/>
    <w:lvl w:ilvl="0">
      <w:start w:val="1"/>
      <w:numFmt w:val="lowerLetter"/>
      <w:lvlText w:val="(%1)"/>
      <w:lvlJc w:val="left"/>
      <w:pPr>
        <w:ind w:left="1334" w:hanging="360"/>
      </w:pPr>
    </w:lvl>
    <w:lvl w:ilvl="1">
      <w:start w:val="1"/>
      <w:numFmt w:val="decimal"/>
      <w:lvlText w:val="%2."/>
      <w:lvlJc w:val="left"/>
      <w:pPr>
        <w:ind w:left="2054" w:hanging="360"/>
      </w:pPr>
      <w:rPr>
        <w:color w:val="000000"/>
      </w:rPr>
    </w:lvl>
    <w:lvl w:ilvl="2">
      <w:start w:val="1"/>
      <w:numFmt w:val="lowerRoman"/>
      <w:lvlText w:val="%3."/>
      <w:lvlJc w:val="right"/>
      <w:pPr>
        <w:ind w:left="2774" w:hanging="180"/>
      </w:pPr>
    </w:lvl>
    <w:lvl w:ilvl="3">
      <w:start w:val="1"/>
      <w:numFmt w:val="bullet"/>
      <w:lvlText w:val="-"/>
      <w:lvlJc w:val="left"/>
      <w:pPr>
        <w:ind w:left="3494" w:hanging="360"/>
      </w:pPr>
      <w:rPr>
        <w:rFonts w:ascii="Arial" w:eastAsia="Arial" w:hAnsi="Arial" w:cs="Arial"/>
        <w:color w:val="000000"/>
      </w:rPr>
    </w:lvl>
    <w:lvl w:ilvl="4">
      <w:start w:val="1"/>
      <w:numFmt w:val="decimal"/>
      <w:lvlText w:val="(%5)"/>
      <w:lvlJc w:val="left"/>
      <w:pPr>
        <w:ind w:left="4214" w:hanging="360"/>
      </w:pPr>
      <w:rPr>
        <w:color w:val="000000"/>
      </w:rPr>
    </w:lvl>
    <w:lvl w:ilvl="5">
      <w:start w:val="1"/>
      <w:numFmt w:val="lowerRoman"/>
      <w:lvlText w:val="%6."/>
      <w:lvlJc w:val="right"/>
      <w:pPr>
        <w:ind w:left="4934" w:hanging="180"/>
      </w:pPr>
    </w:lvl>
    <w:lvl w:ilvl="6">
      <w:start w:val="1"/>
      <w:numFmt w:val="decimal"/>
      <w:lvlText w:val="%7."/>
      <w:lvlJc w:val="left"/>
      <w:pPr>
        <w:ind w:left="5654" w:hanging="360"/>
      </w:pPr>
    </w:lvl>
    <w:lvl w:ilvl="7">
      <w:start w:val="1"/>
      <w:numFmt w:val="lowerLetter"/>
      <w:lvlText w:val="%8."/>
      <w:lvlJc w:val="left"/>
      <w:pPr>
        <w:ind w:left="6374" w:hanging="360"/>
      </w:pPr>
    </w:lvl>
    <w:lvl w:ilvl="8">
      <w:start w:val="1"/>
      <w:numFmt w:val="lowerRoman"/>
      <w:lvlText w:val="%9."/>
      <w:lvlJc w:val="right"/>
      <w:pPr>
        <w:ind w:left="7094" w:hanging="180"/>
      </w:pPr>
    </w:lvl>
  </w:abstractNum>
  <w:abstractNum w:abstractNumId="862" w15:restartNumberingAfterBreak="0">
    <w:nsid w:val="52931B2E"/>
    <w:multiLevelType w:val="hybridMultilevel"/>
    <w:tmpl w:val="7318FFDA"/>
    <w:lvl w:ilvl="0" w:tplc="590EEC4A">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3" w15:restartNumberingAfterBreak="0">
    <w:nsid w:val="5295654A"/>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4" w15:restartNumberingAfterBreak="0">
    <w:nsid w:val="52972E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65" w15:restartNumberingAfterBreak="0">
    <w:nsid w:val="52AB2E61"/>
    <w:multiLevelType w:val="hybridMultilevel"/>
    <w:tmpl w:val="84F64060"/>
    <w:lvl w:ilvl="0" w:tplc="F1CCC0F6">
      <w:start w:val="1"/>
      <w:numFmt w:val="decimal"/>
      <w:lvlText w:val="%1."/>
      <w:lvlJc w:val="left"/>
      <w:pPr>
        <w:ind w:left="603" w:hanging="356"/>
      </w:pPr>
      <w:rPr>
        <w:rFonts w:asciiTheme="minorHAnsi" w:eastAsia="Arial" w:hAnsiTheme="minorHAnsi" w:cstheme="minorHAnsi" w:hint="default"/>
        <w:spacing w:val="0"/>
        <w:w w:val="100"/>
        <w:sz w:val="22"/>
        <w:szCs w:val="22"/>
      </w:rPr>
    </w:lvl>
    <w:lvl w:ilvl="1" w:tplc="6936B75E">
      <w:start w:val="1"/>
      <w:numFmt w:val="lowerLetter"/>
      <w:lvlText w:val="(%2)"/>
      <w:lvlJc w:val="left"/>
      <w:pPr>
        <w:ind w:left="905" w:hanging="360"/>
      </w:pPr>
      <w:rPr>
        <w:rFonts w:ascii="Arial" w:eastAsia="Arial" w:hAnsi="Arial" w:cs="Arial" w:hint="default"/>
        <w:color w:val="FF0000"/>
        <w:spacing w:val="-2"/>
        <w:w w:val="100"/>
        <w:sz w:val="22"/>
        <w:szCs w:val="22"/>
      </w:rPr>
    </w:lvl>
    <w:lvl w:ilvl="2" w:tplc="49E8C67A">
      <w:numFmt w:val="bullet"/>
      <w:lvlText w:val="•"/>
      <w:lvlJc w:val="left"/>
      <w:pPr>
        <w:ind w:left="1873" w:hanging="360"/>
      </w:pPr>
      <w:rPr>
        <w:rFonts w:hint="default"/>
      </w:rPr>
    </w:lvl>
    <w:lvl w:ilvl="3" w:tplc="C39A7E94">
      <w:numFmt w:val="bullet"/>
      <w:lvlText w:val="•"/>
      <w:lvlJc w:val="left"/>
      <w:pPr>
        <w:ind w:left="2846" w:hanging="360"/>
      </w:pPr>
      <w:rPr>
        <w:rFonts w:hint="default"/>
      </w:rPr>
    </w:lvl>
    <w:lvl w:ilvl="4" w:tplc="93803E56">
      <w:numFmt w:val="bullet"/>
      <w:lvlText w:val="•"/>
      <w:lvlJc w:val="left"/>
      <w:pPr>
        <w:ind w:left="3820" w:hanging="360"/>
      </w:pPr>
      <w:rPr>
        <w:rFonts w:hint="default"/>
      </w:rPr>
    </w:lvl>
    <w:lvl w:ilvl="5" w:tplc="E07A68EC">
      <w:numFmt w:val="bullet"/>
      <w:lvlText w:val="•"/>
      <w:lvlJc w:val="left"/>
      <w:pPr>
        <w:ind w:left="4793" w:hanging="360"/>
      </w:pPr>
      <w:rPr>
        <w:rFonts w:hint="default"/>
      </w:rPr>
    </w:lvl>
    <w:lvl w:ilvl="6" w:tplc="8BB8B862">
      <w:numFmt w:val="bullet"/>
      <w:lvlText w:val="•"/>
      <w:lvlJc w:val="left"/>
      <w:pPr>
        <w:ind w:left="5766" w:hanging="360"/>
      </w:pPr>
      <w:rPr>
        <w:rFonts w:hint="default"/>
      </w:rPr>
    </w:lvl>
    <w:lvl w:ilvl="7" w:tplc="073603A6">
      <w:numFmt w:val="bullet"/>
      <w:lvlText w:val="•"/>
      <w:lvlJc w:val="left"/>
      <w:pPr>
        <w:ind w:left="6740" w:hanging="360"/>
      </w:pPr>
      <w:rPr>
        <w:rFonts w:hint="default"/>
      </w:rPr>
    </w:lvl>
    <w:lvl w:ilvl="8" w:tplc="7AAA6DB0">
      <w:numFmt w:val="bullet"/>
      <w:lvlText w:val="•"/>
      <w:lvlJc w:val="left"/>
      <w:pPr>
        <w:ind w:left="7713" w:hanging="360"/>
      </w:pPr>
      <w:rPr>
        <w:rFonts w:hint="default"/>
      </w:rPr>
    </w:lvl>
  </w:abstractNum>
  <w:abstractNum w:abstractNumId="866" w15:restartNumberingAfterBreak="0">
    <w:nsid w:val="52D50279"/>
    <w:multiLevelType w:val="hybridMultilevel"/>
    <w:tmpl w:val="04AA373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7" w15:restartNumberingAfterBreak="0">
    <w:nsid w:val="52D63406"/>
    <w:multiLevelType w:val="multilevel"/>
    <w:tmpl w:val="057A8D74"/>
    <w:lvl w:ilvl="0">
      <w:start w:val="1"/>
      <w:numFmt w:val="lowerRoman"/>
      <w:lvlText w:val="(%1)"/>
      <w:lvlJc w:val="left"/>
      <w:pPr>
        <w:ind w:left="2563" w:hanging="72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868" w15:restartNumberingAfterBreak="0">
    <w:nsid w:val="53995186"/>
    <w:multiLevelType w:val="multilevel"/>
    <w:tmpl w:val="6C6E4C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69" w15:restartNumberingAfterBreak="0">
    <w:nsid w:val="53CD34B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0" w15:restartNumberingAfterBreak="0">
    <w:nsid w:val="53E25A13"/>
    <w:multiLevelType w:val="hybridMultilevel"/>
    <w:tmpl w:val="9490DE90"/>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53F17D2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72" w15:restartNumberingAfterBreak="0">
    <w:nsid w:val="54004A8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3" w15:restartNumberingAfterBreak="0">
    <w:nsid w:val="54063110"/>
    <w:multiLevelType w:val="hybridMultilevel"/>
    <w:tmpl w:val="9BBCE6B0"/>
    <w:lvl w:ilvl="0" w:tplc="5E626E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4" w15:restartNumberingAfterBreak="0">
    <w:nsid w:val="541E3E7D"/>
    <w:multiLevelType w:val="hybridMultilevel"/>
    <w:tmpl w:val="D8221822"/>
    <w:lvl w:ilvl="0" w:tplc="5CA0EB3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75" w15:restartNumberingAfterBreak="0">
    <w:nsid w:val="5430756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6" w15:restartNumberingAfterBreak="0">
    <w:nsid w:val="54534BB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7" w15:restartNumberingAfterBreak="0">
    <w:nsid w:val="54574BAF"/>
    <w:multiLevelType w:val="hybridMultilevel"/>
    <w:tmpl w:val="05D29D20"/>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878" w15:restartNumberingAfterBreak="0">
    <w:nsid w:val="5484197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9" w15:restartNumberingAfterBreak="0">
    <w:nsid w:val="548839FB"/>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54921E0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1" w15:restartNumberingAfterBreak="0">
    <w:nsid w:val="549A64B3"/>
    <w:multiLevelType w:val="multilevel"/>
    <w:tmpl w:val="D9EE0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2" w15:restartNumberingAfterBreak="0">
    <w:nsid w:val="549D5E5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3" w15:restartNumberingAfterBreak="0">
    <w:nsid w:val="54BB3FE7"/>
    <w:multiLevelType w:val="multilevel"/>
    <w:tmpl w:val="7BB8CE9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54C25933"/>
    <w:multiLevelType w:val="hybridMultilevel"/>
    <w:tmpl w:val="DFAED1C6"/>
    <w:lvl w:ilvl="0" w:tplc="530696FC">
      <w:start w:val="1"/>
      <w:numFmt w:val="decimal"/>
      <w:lvlText w:val="(%1)"/>
      <w:lvlJc w:val="left"/>
      <w:pPr>
        <w:ind w:left="285"/>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C396CC92">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8C0635B4">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CD1C54A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6AE8C33E">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386EA62">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5102C6E">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DF7673AE">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66BCB8E0">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885" w15:restartNumberingAfterBreak="0">
    <w:nsid w:val="54C552D0"/>
    <w:multiLevelType w:val="hybridMultilevel"/>
    <w:tmpl w:val="0B622FB8"/>
    <w:lvl w:ilvl="0" w:tplc="89947B5A">
      <w:start w:val="1"/>
      <w:numFmt w:val="lowerRoman"/>
      <w:lvlText w:val="(%1)"/>
      <w:lvlJc w:val="left"/>
      <w:pPr>
        <w:ind w:left="109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886" w15:restartNumberingAfterBreak="0">
    <w:nsid w:val="54C676D4"/>
    <w:multiLevelType w:val="hybridMultilevel"/>
    <w:tmpl w:val="A7808170"/>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7" w15:restartNumberingAfterBreak="0">
    <w:nsid w:val="54CD0C69"/>
    <w:multiLevelType w:val="multilevel"/>
    <w:tmpl w:val="6E869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8" w15:restartNumberingAfterBreak="0">
    <w:nsid w:val="54D0657B"/>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9" w15:restartNumberingAfterBreak="0">
    <w:nsid w:val="54DB257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0" w15:restartNumberingAfterBreak="0">
    <w:nsid w:val="54DC4C47"/>
    <w:multiLevelType w:val="hybridMultilevel"/>
    <w:tmpl w:val="28E2CE7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1" w15:restartNumberingAfterBreak="0">
    <w:nsid w:val="54F20584"/>
    <w:multiLevelType w:val="hybridMultilevel"/>
    <w:tmpl w:val="D64EE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2" w15:restartNumberingAfterBreak="0">
    <w:nsid w:val="551A15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93" w15:restartNumberingAfterBreak="0">
    <w:nsid w:val="5526624F"/>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4" w15:restartNumberingAfterBreak="0">
    <w:nsid w:val="552B25F7"/>
    <w:multiLevelType w:val="hybridMultilevel"/>
    <w:tmpl w:val="C91253EC"/>
    <w:lvl w:ilvl="0" w:tplc="120236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5" w15:restartNumberingAfterBreak="0">
    <w:nsid w:val="55736109"/>
    <w:multiLevelType w:val="hybridMultilevel"/>
    <w:tmpl w:val="75F6DC6A"/>
    <w:lvl w:ilvl="0" w:tplc="58EE1D9E">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96" w15:restartNumberingAfterBreak="0">
    <w:nsid w:val="55BF4BFB"/>
    <w:multiLevelType w:val="multilevel"/>
    <w:tmpl w:val="21A6318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97" w15:restartNumberingAfterBreak="0">
    <w:nsid w:val="55CB1763"/>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8" w15:restartNumberingAfterBreak="0">
    <w:nsid w:val="55E45F41"/>
    <w:multiLevelType w:val="hybridMultilevel"/>
    <w:tmpl w:val="365CC6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9" w15:restartNumberingAfterBreak="0">
    <w:nsid w:val="55F25B2C"/>
    <w:multiLevelType w:val="hybridMultilevel"/>
    <w:tmpl w:val="EE888CE4"/>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00" w15:restartNumberingAfterBreak="0">
    <w:nsid w:val="55FA0F91"/>
    <w:multiLevelType w:val="hybridMultilevel"/>
    <w:tmpl w:val="DC403D52"/>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1" w15:restartNumberingAfterBreak="0">
    <w:nsid w:val="562171A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2" w15:restartNumberingAfterBreak="0">
    <w:nsid w:val="5634461F"/>
    <w:multiLevelType w:val="multilevel"/>
    <w:tmpl w:val="44000136"/>
    <w:lvl w:ilvl="0">
      <w:start w:val="1"/>
      <w:numFmt w:val="decimal"/>
      <w:lvlText w:val="%1."/>
      <w:lvlJc w:val="left"/>
      <w:pPr>
        <w:tabs>
          <w:tab w:val="num" w:pos="360"/>
        </w:tabs>
        <w:ind w:left="360" w:hanging="360"/>
      </w:pPr>
      <w:rPr>
        <w: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03" w15:restartNumberingAfterBreak="0">
    <w:nsid w:val="56425C15"/>
    <w:multiLevelType w:val="multilevel"/>
    <w:tmpl w:val="C57A7A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4" w15:restartNumberingAfterBreak="0">
    <w:nsid w:val="564B536E"/>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5" w15:restartNumberingAfterBreak="0">
    <w:nsid w:val="564D1036"/>
    <w:multiLevelType w:val="multilevel"/>
    <w:tmpl w:val="4628F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6" w15:restartNumberingAfterBreak="0">
    <w:nsid w:val="5651398C"/>
    <w:multiLevelType w:val="hybridMultilevel"/>
    <w:tmpl w:val="C58C44A2"/>
    <w:styleLink w:val="Style8import"/>
    <w:lvl w:ilvl="0" w:tplc="82E0465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0751E">
      <w:start w:val="1"/>
      <w:numFmt w:val="lowerLetter"/>
      <w:lvlText w:val="%2."/>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27D0C">
      <w:start w:val="1"/>
      <w:numFmt w:val="lowerRoman"/>
      <w:lvlText w:val="%3."/>
      <w:lvlJc w:val="left"/>
      <w:pPr>
        <w:ind w:left="179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480F0">
      <w:start w:val="1"/>
      <w:numFmt w:val="decimal"/>
      <w:lvlText w:val="%4."/>
      <w:lvlJc w:val="left"/>
      <w:pPr>
        <w:ind w:left="25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27B14">
      <w:start w:val="1"/>
      <w:numFmt w:val="lowerLetter"/>
      <w:lvlText w:val="%5."/>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A0EB0">
      <w:start w:val="1"/>
      <w:numFmt w:val="lowerRoman"/>
      <w:lvlText w:val="%6."/>
      <w:lvlJc w:val="left"/>
      <w:pPr>
        <w:ind w:left="395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A7F50">
      <w:start w:val="1"/>
      <w:numFmt w:val="decimal"/>
      <w:lvlText w:val="%7."/>
      <w:lvlJc w:val="left"/>
      <w:pPr>
        <w:ind w:left="46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8C0262">
      <w:start w:val="1"/>
      <w:numFmt w:val="lowerLetter"/>
      <w:lvlText w:val="%8."/>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FC184C">
      <w:start w:val="1"/>
      <w:numFmt w:val="lowerRoman"/>
      <w:lvlText w:val="%9."/>
      <w:lvlJc w:val="left"/>
      <w:pPr>
        <w:ind w:left="611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7" w15:restartNumberingAfterBreak="0">
    <w:nsid w:val="565659A8"/>
    <w:multiLevelType w:val="hybridMultilevel"/>
    <w:tmpl w:val="E9D09032"/>
    <w:lvl w:ilvl="0" w:tplc="753E503E">
      <w:start w:val="1"/>
      <w:numFmt w:val="lowerLetter"/>
      <w:lvlText w:val="(%1)"/>
      <w:lvlJc w:val="left"/>
      <w:pPr>
        <w:ind w:left="360" w:hanging="360"/>
      </w:pPr>
      <w:rPr>
        <w:rFonts w:hint="default"/>
        <w:strike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08" w15:restartNumberingAfterBreak="0">
    <w:nsid w:val="569565E0"/>
    <w:multiLevelType w:val="hybridMultilevel"/>
    <w:tmpl w:val="1F26354E"/>
    <w:lvl w:ilvl="0" w:tplc="78108A2A">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A693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3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CD0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EF0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2FC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EA6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0DE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A6E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9" w15:restartNumberingAfterBreak="0">
    <w:nsid w:val="56A07B3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0" w15:restartNumberingAfterBreak="0">
    <w:nsid w:val="56DD2253"/>
    <w:multiLevelType w:val="hybridMultilevel"/>
    <w:tmpl w:val="03DEADE2"/>
    <w:lvl w:ilvl="0" w:tplc="3C8E8E3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49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410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5E0E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EDE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F236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B093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FCAF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82A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1" w15:restartNumberingAfterBreak="0">
    <w:nsid w:val="56F06C7A"/>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2" w15:restartNumberingAfterBreak="0">
    <w:nsid w:val="56F300F6"/>
    <w:multiLevelType w:val="hybridMultilevel"/>
    <w:tmpl w:val="296ED7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3" w15:restartNumberingAfterBreak="0">
    <w:nsid w:val="571B71D8"/>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15:restartNumberingAfterBreak="0">
    <w:nsid w:val="57313525"/>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915" w15:restartNumberingAfterBreak="0">
    <w:nsid w:val="5747005A"/>
    <w:multiLevelType w:val="hybridMultilevel"/>
    <w:tmpl w:val="650E46D8"/>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6" w15:restartNumberingAfterBreak="0">
    <w:nsid w:val="57622452"/>
    <w:multiLevelType w:val="multilevel"/>
    <w:tmpl w:val="85B870D4"/>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7" w15:restartNumberingAfterBreak="0">
    <w:nsid w:val="576746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18" w15:restartNumberingAfterBreak="0">
    <w:nsid w:val="576F0EE6"/>
    <w:multiLevelType w:val="hybridMultilevel"/>
    <w:tmpl w:val="B55E6B26"/>
    <w:lvl w:ilvl="0" w:tplc="EE666734">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9" w15:restartNumberingAfterBreak="0">
    <w:nsid w:val="57813F0D"/>
    <w:multiLevelType w:val="hybridMultilevel"/>
    <w:tmpl w:val="1012DBAE"/>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0" w15:restartNumberingAfterBreak="0">
    <w:nsid w:val="578307F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1" w15:restartNumberingAfterBreak="0">
    <w:nsid w:val="57884C5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2" w15:restartNumberingAfterBreak="0">
    <w:nsid w:val="57C56F87"/>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923" w15:restartNumberingAfterBreak="0">
    <w:nsid w:val="57CB3DD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4" w15:restartNumberingAfterBreak="0">
    <w:nsid w:val="57E41AA4"/>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15:restartNumberingAfterBreak="0">
    <w:nsid w:val="5820070F"/>
    <w:multiLevelType w:val="hybridMultilevel"/>
    <w:tmpl w:val="365A6E44"/>
    <w:lvl w:ilvl="0" w:tplc="5AAE4A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9E79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722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4EAF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FAA2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84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FA3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EE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F6CA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6" w15:restartNumberingAfterBreak="0">
    <w:nsid w:val="58225CCF"/>
    <w:multiLevelType w:val="hybridMultilevel"/>
    <w:tmpl w:val="F2FC6FA8"/>
    <w:lvl w:ilvl="0" w:tplc="9CF6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7" w15:restartNumberingAfterBreak="0">
    <w:nsid w:val="58516B3F"/>
    <w:multiLevelType w:val="hybridMultilevel"/>
    <w:tmpl w:val="5A6C5D2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15:restartNumberingAfterBreak="0">
    <w:nsid w:val="58766DB1"/>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9" w15:restartNumberingAfterBreak="0">
    <w:nsid w:val="589771D1"/>
    <w:multiLevelType w:val="multilevel"/>
    <w:tmpl w:val="8D0A1FCA"/>
    <w:lvl w:ilvl="0">
      <w:start w:val="1"/>
      <w:numFmt w:val="lowerRoman"/>
      <w:lvlText w:val="(%1)"/>
      <w:lvlJc w:val="right"/>
      <w:pPr>
        <w:ind w:left="1080" w:hanging="360"/>
      </w:pPr>
      <w:rPr>
        <w:rFonts w:asciiTheme="majorHAnsi" w:hAnsiTheme="maj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0" w15:restartNumberingAfterBreak="0">
    <w:nsid w:val="589D44D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1" w15:restartNumberingAfterBreak="0">
    <w:nsid w:val="58B14345"/>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2" w15:restartNumberingAfterBreak="0">
    <w:nsid w:val="58ED4D8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933" w15:restartNumberingAfterBreak="0">
    <w:nsid w:val="590F5C3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4" w15:restartNumberingAfterBreak="0">
    <w:nsid w:val="59206F9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35" w15:restartNumberingAfterBreak="0">
    <w:nsid w:val="595C55E3"/>
    <w:multiLevelType w:val="multilevel"/>
    <w:tmpl w:val="7C4295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6" w15:restartNumberingAfterBreak="0">
    <w:nsid w:val="59636B85"/>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7" w15:restartNumberingAfterBreak="0">
    <w:nsid w:val="59677AFD"/>
    <w:multiLevelType w:val="hybridMultilevel"/>
    <w:tmpl w:val="0A9A1D38"/>
    <w:lvl w:ilvl="0" w:tplc="D28271CA">
      <w:start w:val="1"/>
      <w:numFmt w:val="upp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8" w15:restartNumberingAfterBreak="0">
    <w:nsid w:val="597B1076"/>
    <w:multiLevelType w:val="multilevel"/>
    <w:tmpl w:val="579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9" w15:restartNumberingAfterBreak="0">
    <w:nsid w:val="597D5177"/>
    <w:multiLevelType w:val="multilevel"/>
    <w:tmpl w:val="069E3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0" w15:restartNumberingAfterBreak="0">
    <w:nsid w:val="597F3125"/>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1" w15:restartNumberingAfterBreak="0">
    <w:nsid w:val="59803E2F"/>
    <w:multiLevelType w:val="hybridMultilevel"/>
    <w:tmpl w:val="9F3A160A"/>
    <w:lvl w:ilvl="0" w:tplc="E5207A68">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CC1E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4BB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026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A75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8E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662C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B691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0E77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2" w15:restartNumberingAfterBreak="0">
    <w:nsid w:val="59845E8A"/>
    <w:multiLevelType w:val="multilevel"/>
    <w:tmpl w:val="1E0891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3" w15:restartNumberingAfterBreak="0">
    <w:nsid w:val="598C1273"/>
    <w:multiLevelType w:val="hybridMultilevel"/>
    <w:tmpl w:val="AB9E55DA"/>
    <w:lvl w:ilvl="0" w:tplc="89947B5A">
      <w:start w:val="1"/>
      <w:numFmt w:val="lowerRoman"/>
      <w:lvlText w:val="(%1)"/>
      <w:lvlJc w:val="left"/>
      <w:pPr>
        <w:ind w:left="747"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27" w:hanging="360"/>
      </w:pPr>
    </w:lvl>
    <w:lvl w:ilvl="2" w:tplc="080C001B" w:tentative="1">
      <w:start w:val="1"/>
      <w:numFmt w:val="lowerRoman"/>
      <w:lvlText w:val="%3."/>
      <w:lvlJc w:val="right"/>
      <w:pPr>
        <w:ind w:left="747" w:hanging="180"/>
      </w:pPr>
    </w:lvl>
    <w:lvl w:ilvl="3" w:tplc="080C000F" w:tentative="1">
      <w:start w:val="1"/>
      <w:numFmt w:val="decimal"/>
      <w:lvlText w:val="%4."/>
      <w:lvlJc w:val="left"/>
      <w:pPr>
        <w:ind w:left="1467" w:hanging="360"/>
      </w:pPr>
    </w:lvl>
    <w:lvl w:ilvl="4" w:tplc="080C0019" w:tentative="1">
      <w:start w:val="1"/>
      <w:numFmt w:val="lowerLetter"/>
      <w:lvlText w:val="%5."/>
      <w:lvlJc w:val="left"/>
      <w:pPr>
        <w:ind w:left="2187" w:hanging="360"/>
      </w:pPr>
    </w:lvl>
    <w:lvl w:ilvl="5" w:tplc="080C001B" w:tentative="1">
      <w:start w:val="1"/>
      <w:numFmt w:val="lowerRoman"/>
      <w:lvlText w:val="%6."/>
      <w:lvlJc w:val="right"/>
      <w:pPr>
        <w:ind w:left="2907" w:hanging="180"/>
      </w:pPr>
    </w:lvl>
    <w:lvl w:ilvl="6" w:tplc="080C000F" w:tentative="1">
      <w:start w:val="1"/>
      <w:numFmt w:val="decimal"/>
      <w:lvlText w:val="%7."/>
      <w:lvlJc w:val="left"/>
      <w:pPr>
        <w:ind w:left="3627" w:hanging="360"/>
      </w:pPr>
    </w:lvl>
    <w:lvl w:ilvl="7" w:tplc="080C0019" w:tentative="1">
      <w:start w:val="1"/>
      <w:numFmt w:val="lowerLetter"/>
      <w:lvlText w:val="%8."/>
      <w:lvlJc w:val="left"/>
      <w:pPr>
        <w:ind w:left="4347" w:hanging="360"/>
      </w:pPr>
    </w:lvl>
    <w:lvl w:ilvl="8" w:tplc="080C001B" w:tentative="1">
      <w:start w:val="1"/>
      <w:numFmt w:val="lowerRoman"/>
      <w:lvlText w:val="%9."/>
      <w:lvlJc w:val="right"/>
      <w:pPr>
        <w:ind w:left="5067" w:hanging="180"/>
      </w:pPr>
    </w:lvl>
  </w:abstractNum>
  <w:abstractNum w:abstractNumId="944" w15:restartNumberingAfterBreak="0">
    <w:nsid w:val="599038B5"/>
    <w:multiLevelType w:val="hybridMultilevel"/>
    <w:tmpl w:val="698825D0"/>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5" w15:restartNumberingAfterBreak="0">
    <w:nsid w:val="59B40E2A"/>
    <w:multiLevelType w:val="hybridMultilevel"/>
    <w:tmpl w:val="B280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6" w15:restartNumberingAfterBreak="0">
    <w:nsid w:val="59BD7222"/>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7" w15:restartNumberingAfterBreak="0">
    <w:nsid w:val="59C6573F"/>
    <w:multiLevelType w:val="hybridMultilevel"/>
    <w:tmpl w:val="2C30A052"/>
    <w:lvl w:ilvl="0" w:tplc="0FE661D4">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948" w15:restartNumberingAfterBreak="0">
    <w:nsid w:val="59F67C33"/>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9" w15:restartNumberingAfterBreak="0">
    <w:nsid w:val="5A1651CC"/>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15:restartNumberingAfterBreak="0">
    <w:nsid w:val="5A25012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1" w15:restartNumberingAfterBreak="0">
    <w:nsid w:val="5A2A4FF1"/>
    <w:multiLevelType w:val="hybridMultilevel"/>
    <w:tmpl w:val="968AD88E"/>
    <w:lvl w:ilvl="0" w:tplc="65F4B24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2" w15:restartNumberingAfterBreak="0">
    <w:nsid w:val="5A7F1517"/>
    <w:multiLevelType w:val="hybridMultilevel"/>
    <w:tmpl w:val="6192891A"/>
    <w:lvl w:ilvl="0" w:tplc="66345C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3" w15:restartNumberingAfterBreak="0">
    <w:nsid w:val="5A8A1E3E"/>
    <w:multiLevelType w:val="multilevel"/>
    <w:tmpl w:val="27D8DA1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4" w15:restartNumberingAfterBreak="0">
    <w:nsid w:val="5AA65A30"/>
    <w:multiLevelType w:val="hybridMultilevel"/>
    <w:tmpl w:val="46C8F612"/>
    <w:lvl w:ilvl="0" w:tplc="BBA42DDA">
      <w:start w:val="1"/>
      <w:numFmt w:val="lowerLetter"/>
      <w:lvlText w:val="(%1)"/>
      <w:lvlJc w:val="left"/>
      <w:pPr>
        <w:ind w:left="558" w:hanging="360"/>
      </w:pPr>
      <w:rPr>
        <w:rFonts w:hint="default"/>
        <w:color w:val="auto"/>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955" w15:restartNumberingAfterBreak="0">
    <w:nsid w:val="5AAB0D07"/>
    <w:multiLevelType w:val="hybridMultilevel"/>
    <w:tmpl w:val="486A9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6" w15:restartNumberingAfterBreak="0">
    <w:nsid w:val="5AC616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57" w15:restartNumberingAfterBreak="0">
    <w:nsid w:val="5AD27EF1"/>
    <w:multiLevelType w:val="hybridMultilevel"/>
    <w:tmpl w:val="87D43C30"/>
    <w:lvl w:ilvl="0" w:tplc="4FC00DF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8" w15:restartNumberingAfterBreak="0">
    <w:nsid w:val="5ADB4F7F"/>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59" w15:restartNumberingAfterBreak="0">
    <w:nsid w:val="5AE3063A"/>
    <w:multiLevelType w:val="hybridMultilevel"/>
    <w:tmpl w:val="2E0E33B6"/>
    <w:styleLink w:val="Style20import"/>
    <w:lvl w:ilvl="0" w:tplc="5F582B4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886CA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86981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F4459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66EE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F65DD6">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384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48B36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AEA86">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0" w15:restartNumberingAfterBreak="0">
    <w:nsid w:val="5B075F77"/>
    <w:multiLevelType w:val="hybridMultilevel"/>
    <w:tmpl w:val="603C6C4A"/>
    <w:lvl w:ilvl="0" w:tplc="0D68A176">
      <w:start w:val="1"/>
      <w:numFmt w:val="lowerLetter"/>
      <w:lvlText w:val="(%1)"/>
      <w:lvlJc w:val="left"/>
      <w:pPr>
        <w:ind w:left="720" w:hanging="360"/>
      </w:pPr>
      <w:rPr>
        <w:rFonts w:hint="default"/>
      </w:rPr>
    </w:lvl>
    <w:lvl w:ilvl="1" w:tplc="0D68A176">
      <w:start w:val="1"/>
      <w:numFmt w:val="lowerLetter"/>
      <w:lvlText w:val="(%2)"/>
      <w:lvlJc w:val="left"/>
      <w:pPr>
        <w:ind w:left="928"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1" w15:restartNumberingAfterBreak="0">
    <w:nsid w:val="5B0761CC"/>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15:restartNumberingAfterBreak="0">
    <w:nsid w:val="5B256A1C"/>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3" w15:restartNumberingAfterBreak="0">
    <w:nsid w:val="5B2E2F76"/>
    <w:multiLevelType w:val="hybridMultilevel"/>
    <w:tmpl w:val="E72C0894"/>
    <w:lvl w:ilvl="0" w:tplc="5EF4210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83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B8BA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E5E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96A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BCB4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2A1D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275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8D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4" w15:restartNumberingAfterBreak="0">
    <w:nsid w:val="5B807B60"/>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5" w15:restartNumberingAfterBreak="0">
    <w:nsid w:val="5B910D1F"/>
    <w:multiLevelType w:val="hybridMultilevel"/>
    <w:tmpl w:val="42924AF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6" w15:restartNumberingAfterBreak="0">
    <w:nsid w:val="5B935B84"/>
    <w:multiLevelType w:val="hybridMultilevel"/>
    <w:tmpl w:val="0EF4E752"/>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7" w15:restartNumberingAfterBreak="0">
    <w:nsid w:val="5BC150F5"/>
    <w:multiLevelType w:val="multilevel"/>
    <w:tmpl w:val="0F72E20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8" w15:restartNumberingAfterBreak="0">
    <w:nsid w:val="5BC44A03"/>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69" w15:restartNumberingAfterBreak="0">
    <w:nsid w:val="5C015D8A"/>
    <w:multiLevelType w:val="hybridMultilevel"/>
    <w:tmpl w:val="66309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0" w15:restartNumberingAfterBreak="0">
    <w:nsid w:val="5C12724F"/>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971" w15:restartNumberingAfterBreak="0">
    <w:nsid w:val="5C1735C2"/>
    <w:multiLevelType w:val="hybridMultilevel"/>
    <w:tmpl w:val="346A2DF2"/>
    <w:lvl w:ilvl="0" w:tplc="D6306C4C">
      <w:start w:val="1"/>
      <w:numFmt w:val="lowerLetter"/>
      <w:lvlText w:val="(%1)"/>
      <w:lvlJc w:val="left"/>
      <w:pPr>
        <w:ind w:left="735" w:hanging="37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2" w15:restartNumberingAfterBreak="0">
    <w:nsid w:val="5C1B2EF7"/>
    <w:multiLevelType w:val="multilevel"/>
    <w:tmpl w:val="F2985EC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rPr>
        <w:rFonts w:hint="default"/>
      </w:r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73" w15:restartNumberingAfterBreak="0">
    <w:nsid w:val="5C2306A8"/>
    <w:multiLevelType w:val="hybridMultilevel"/>
    <w:tmpl w:val="5D341A32"/>
    <w:lvl w:ilvl="0" w:tplc="62A61596">
      <w:numFmt w:val="bullet"/>
      <w:lvlText w:val="-"/>
      <w:lvlJc w:val="left"/>
      <w:pPr>
        <w:ind w:left="360" w:hanging="360"/>
      </w:pPr>
      <w:rPr>
        <w:rFonts w:ascii="Calibri" w:eastAsiaTheme="minorEastAsia" w:hAnsi="Calibri" w:cs="Calibri" w:hint="default"/>
      </w:rPr>
    </w:lvl>
    <w:lvl w:ilvl="1" w:tplc="62A61596">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4" w15:restartNumberingAfterBreak="0">
    <w:nsid w:val="5C28261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5" w15:restartNumberingAfterBreak="0">
    <w:nsid w:val="5C2C60D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6" w15:restartNumberingAfterBreak="0">
    <w:nsid w:val="5C365CA0"/>
    <w:multiLevelType w:val="hybridMultilevel"/>
    <w:tmpl w:val="825C97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7" w15:restartNumberingAfterBreak="0">
    <w:nsid w:val="5C6C5651"/>
    <w:multiLevelType w:val="multilevel"/>
    <w:tmpl w:val="72D032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8" w15:restartNumberingAfterBreak="0">
    <w:nsid w:val="5C916C48"/>
    <w:multiLevelType w:val="hybridMultilevel"/>
    <w:tmpl w:val="669836F2"/>
    <w:lvl w:ilvl="0" w:tplc="8708DB3E">
      <w:start w:val="1"/>
      <w:numFmt w:val="lowerRoman"/>
      <w:lvlText w:val="(%1)"/>
      <w:lvlJc w:val="right"/>
      <w:pPr>
        <w:ind w:left="2520" w:hanging="360"/>
      </w:pPr>
      <w:rPr>
        <w:rFonts w:asciiTheme="minorHAnsi" w:eastAsiaTheme="minorHAnsi" w:hAnsiTheme="minorHAnsi" w:cstheme="minorBid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79" w15:restartNumberingAfterBreak="0">
    <w:nsid w:val="5CAA24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0" w15:restartNumberingAfterBreak="0">
    <w:nsid w:val="5CAB64B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1" w15:restartNumberingAfterBreak="0">
    <w:nsid w:val="5CCD73FE"/>
    <w:multiLevelType w:val="hybridMultilevel"/>
    <w:tmpl w:val="205E13D4"/>
    <w:lvl w:ilvl="0" w:tplc="12A6D0A4">
      <w:start w:val="1"/>
      <w:numFmt w:val="lowerRoman"/>
      <w:lvlText w:val="(%1)"/>
      <w:lvlJc w:val="left"/>
      <w:pPr>
        <w:ind w:left="851" w:hanging="851"/>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3158570E">
      <w:start w:val="1"/>
      <w:numFmt w:val="lowerLetter"/>
      <w:lvlText w:val="%2"/>
      <w:lvlJc w:val="left"/>
      <w:pPr>
        <w:ind w:left="14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2D905FD8">
      <w:start w:val="1"/>
      <w:numFmt w:val="lowerRoman"/>
      <w:lvlText w:val="%3"/>
      <w:lvlJc w:val="left"/>
      <w:pPr>
        <w:ind w:left="21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65CEF81C">
      <w:start w:val="1"/>
      <w:numFmt w:val="decimal"/>
      <w:lvlText w:val="%4"/>
      <w:lvlJc w:val="left"/>
      <w:pPr>
        <w:ind w:left="28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0F8231A8">
      <w:start w:val="1"/>
      <w:numFmt w:val="lowerLetter"/>
      <w:lvlText w:val="%5"/>
      <w:lvlJc w:val="left"/>
      <w:pPr>
        <w:ind w:left="357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898400BE">
      <w:start w:val="1"/>
      <w:numFmt w:val="lowerRoman"/>
      <w:lvlText w:val="%6"/>
      <w:lvlJc w:val="left"/>
      <w:pPr>
        <w:ind w:left="429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488268A">
      <w:start w:val="1"/>
      <w:numFmt w:val="decimal"/>
      <w:lvlText w:val="%7"/>
      <w:lvlJc w:val="left"/>
      <w:pPr>
        <w:ind w:left="50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C04150A">
      <w:start w:val="1"/>
      <w:numFmt w:val="lowerLetter"/>
      <w:lvlText w:val="%8"/>
      <w:lvlJc w:val="left"/>
      <w:pPr>
        <w:ind w:left="57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9814E78E">
      <w:start w:val="1"/>
      <w:numFmt w:val="lowerRoman"/>
      <w:lvlText w:val="%9"/>
      <w:lvlJc w:val="left"/>
      <w:pPr>
        <w:ind w:left="64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982" w15:restartNumberingAfterBreak="0">
    <w:nsid w:val="5D153821"/>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3" w15:restartNumberingAfterBreak="0">
    <w:nsid w:val="5D165853"/>
    <w:multiLevelType w:val="hybridMultilevel"/>
    <w:tmpl w:val="670EDE9E"/>
    <w:styleLink w:val="Style10import"/>
    <w:lvl w:ilvl="0" w:tplc="069030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E02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0960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C4B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ABF3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20E0C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7014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38B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4940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4" w15:restartNumberingAfterBreak="0">
    <w:nsid w:val="5D50194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85" w15:restartNumberingAfterBreak="0">
    <w:nsid w:val="5D69508A"/>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86" w15:restartNumberingAfterBreak="0">
    <w:nsid w:val="5DA0184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7" w15:restartNumberingAfterBreak="0">
    <w:nsid w:val="5DB76F4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15:restartNumberingAfterBreak="0">
    <w:nsid w:val="5DCA4881"/>
    <w:multiLevelType w:val="hybridMultilevel"/>
    <w:tmpl w:val="6F823574"/>
    <w:lvl w:ilvl="0" w:tplc="CB9EED0A">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61FA1D0C">
      <w:start w:val="1"/>
      <w:numFmt w:val="lowerRoman"/>
      <w:lvlText w:val="%3."/>
      <w:lvlJc w:val="right"/>
      <w:pPr>
        <w:ind w:left="2160" w:hanging="360"/>
      </w:pPr>
      <w:rPr>
        <w:u w:val="none"/>
      </w:rPr>
    </w:lvl>
    <w:lvl w:ilvl="3" w:tplc="9AF2D3AA">
      <w:start w:val="1"/>
      <w:numFmt w:val="decimal"/>
      <w:lvlText w:val="%4."/>
      <w:lvlJc w:val="left"/>
      <w:pPr>
        <w:ind w:left="2880" w:hanging="360"/>
      </w:pPr>
      <w:rPr>
        <w:u w:val="none"/>
      </w:rPr>
    </w:lvl>
    <w:lvl w:ilvl="4" w:tplc="A24E0464">
      <w:start w:val="1"/>
      <w:numFmt w:val="lowerLetter"/>
      <w:lvlText w:val="%5."/>
      <w:lvlJc w:val="left"/>
      <w:pPr>
        <w:ind w:left="3600" w:hanging="360"/>
      </w:pPr>
      <w:rPr>
        <w:u w:val="none"/>
      </w:rPr>
    </w:lvl>
    <w:lvl w:ilvl="5" w:tplc="CE80ADFC">
      <w:start w:val="1"/>
      <w:numFmt w:val="lowerRoman"/>
      <w:lvlText w:val="%6."/>
      <w:lvlJc w:val="right"/>
      <w:pPr>
        <w:ind w:left="4320" w:hanging="360"/>
      </w:pPr>
      <w:rPr>
        <w:u w:val="none"/>
      </w:rPr>
    </w:lvl>
    <w:lvl w:ilvl="6" w:tplc="46A826EA">
      <w:start w:val="1"/>
      <w:numFmt w:val="decimal"/>
      <w:lvlText w:val="%7."/>
      <w:lvlJc w:val="left"/>
      <w:pPr>
        <w:ind w:left="5040" w:hanging="360"/>
      </w:pPr>
      <w:rPr>
        <w:u w:val="none"/>
      </w:rPr>
    </w:lvl>
    <w:lvl w:ilvl="7" w:tplc="588432E2">
      <w:start w:val="1"/>
      <w:numFmt w:val="lowerLetter"/>
      <w:lvlText w:val="%8."/>
      <w:lvlJc w:val="left"/>
      <w:pPr>
        <w:ind w:left="5760" w:hanging="360"/>
      </w:pPr>
      <w:rPr>
        <w:u w:val="none"/>
      </w:rPr>
    </w:lvl>
    <w:lvl w:ilvl="8" w:tplc="6CC2C518">
      <w:start w:val="1"/>
      <w:numFmt w:val="lowerRoman"/>
      <w:lvlText w:val="%9."/>
      <w:lvlJc w:val="right"/>
      <w:pPr>
        <w:ind w:left="6480" w:hanging="360"/>
      </w:pPr>
      <w:rPr>
        <w:u w:val="none"/>
      </w:rPr>
    </w:lvl>
  </w:abstractNum>
  <w:abstractNum w:abstractNumId="989" w15:restartNumberingAfterBreak="0">
    <w:nsid w:val="5DE73D7B"/>
    <w:multiLevelType w:val="hybridMultilevel"/>
    <w:tmpl w:val="B748BD22"/>
    <w:lvl w:ilvl="0" w:tplc="57F4BFA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169C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6B1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1A9C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CC0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784C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B6FF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987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AA60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0" w15:restartNumberingAfterBreak="0">
    <w:nsid w:val="5DFE131D"/>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1" w15:restartNumberingAfterBreak="0">
    <w:nsid w:val="5DFE2B0D"/>
    <w:multiLevelType w:val="hybridMultilevel"/>
    <w:tmpl w:val="E25EDAF6"/>
    <w:lvl w:ilvl="0" w:tplc="D658AF06">
      <w:start w:val="1"/>
      <w:numFmt w:val="decimal"/>
      <w:lvlText w:val="%1."/>
      <w:lvlJc w:val="left"/>
      <w:pPr>
        <w:ind w:left="357" w:hanging="357"/>
      </w:pPr>
      <w:rPr>
        <w:u w:val="none"/>
      </w:rPr>
    </w:lvl>
    <w:lvl w:ilvl="1" w:tplc="E4A07632">
      <w:start w:val="1"/>
      <w:numFmt w:val="lowerLetter"/>
      <w:lvlText w:val="%2."/>
      <w:lvlJc w:val="left"/>
      <w:pPr>
        <w:ind w:left="1440" w:hanging="360"/>
      </w:pPr>
      <w:rPr>
        <w:u w:val="none"/>
      </w:rPr>
    </w:lvl>
    <w:lvl w:ilvl="2" w:tplc="01BCDEF0">
      <w:start w:val="1"/>
      <w:numFmt w:val="lowerRoman"/>
      <w:lvlText w:val="%3."/>
      <w:lvlJc w:val="right"/>
      <w:pPr>
        <w:ind w:left="2160" w:hanging="360"/>
      </w:pPr>
      <w:rPr>
        <w:u w:val="none"/>
      </w:rPr>
    </w:lvl>
    <w:lvl w:ilvl="3" w:tplc="3EDAB218">
      <w:start w:val="1"/>
      <w:numFmt w:val="decimal"/>
      <w:lvlText w:val="%4."/>
      <w:lvlJc w:val="left"/>
      <w:pPr>
        <w:ind w:left="2880" w:hanging="360"/>
      </w:pPr>
      <w:rPr>
        <w:u w:val="none"/>
      </w:rPr>
    </w:lvl>
    <w:lvl w:ilvl="4" w:tplc="D6901468">
      <w:start w:val="1"/>
      <w:numFmt w:val="lowerLetter"/>
      <w:lvlText w:val="%5."/>
      <w:lvlJc w:val="left"/>
      <w:pPr>
        <w:ind w:left="3600" w:hanging="360"/>
      </w:pPr>
      <w:rPr>
        <w:u w:val="none"/>
      </w:rPr>
    </w:lvl>
    <w:lvl w:ilvl="5" w:tplc="52B09996">
      <w:start w:val="1"/>
      <w:numFmt w:val="lowerRoman"/>
      <w:lvlText w:val="%6."/>
      <w:lvlJc w:val="right"/>
      <w:pPr>
        <w:ind w:left="4320" w:hanging="360"/>
      </w:pPr>
      <w:rPr>
        <w:u w:val="none"/>
      </w:rPr>
    </w:lvl>
    <w:lvl w:ilvl="6" w:tplc="BEFA0572">
      <w:start w:val="1"/>
      <w:numFmt w:val="decimal"/>
      <w:lvlText w:val="%7."/>
      <w:lvlJc w:val="left"/>
      <w:pPr>
        <w:ind w:left="5040" w:hanging="360"/>
      </w:pPr>
      <w:rPr>
        <w:u w:val="none"/>
      </w:rPr>
    </w:lvl>
    <w:lvl w:ilvl="7" w:tplc="66B6CDBE">
      <w:start w:val="1"/>
      <w:numFmt w:val="lowerLetter"/>
      <w:lvlText w:val="%8."/>
      <w:lvlJc w:val="left"/>
      <w:pPr>
        <w:ind w:left="5760" w:hanging="360"/>
      </w:pPr>
      <w:rPr>
        <w:u w:val="none"/>
      </w:rPr>
    </w:lvl>
    <w:lvl w:ilvl="8" w:tplc="79ECF8D8">
      <w:start w:val="1"/>
      <w:numFmt w:val="lowerRoman"/>
      <w:lvlText w:val="%9."/>
      <w:lvlJc w:val="right"/>
      <w:pPr>
        <w:ind w:left="6480" w:hanging="360"/>
      </w:pPr>
      <w:rPr>
        <w:u w:val="none"/>
      </w:rPr>
    </w:lvl>
  </w:abstractNum>
  <w:abstractNum w:abstractNumId="992" w15:restartNumberingAfterBreak="0">
    <w:nsid w:val="5E5949F2"/>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3" w15:restartNumberingAfterBreak="0">
    <w:nsid w:val="5E6D3316"/>
    <w:multiLevelType w:val="hybridMultilevel"/>
    <w:tmpl w:val="C3320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4" w15:restartNumberingAfterBreak="0">
    <w:nsid w:val="5E7319E1"/>
    <w:multiLevelType w:val="hybridMultilevel"/>
    <w:tmpl w:val="2ADC9318"/>
    <w:lvl w:ilvl="0" w:tplc="DA0CA16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5" w15:restartNumberingAfterBreak="0">
    <w:nsid w:val="5E940C3C"/>
    <w:multiLevelType w:val="multilevel"/>
    <w:tmpl w:val="1F94B4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6" w15:restartNumberingAfterBreak="0">
    <w:nsid w:val="5E982875"/>
    <w:multiLevelType w:val="multilevel"/>
    <w:tmpl w:val="23945E60"/>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7" w15:restartNumberingAfterBreak="0">
    <w:nsid w:val="5EA6543B"/>
    <w:multiLevelType w:val="hybridMultilevel"/>
    <w:tmpl w:val="75469A82"/>
    <w:lvl w:ilvl="0" w:tplc="F4A4E01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8" w15:restartNumberingAfterBreak="0">
    <w:nsid w:val="5ECB51E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9" w15:restartNumberingAfterBreak="0">
    <w:nsid w:val="5EDC748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0" w15:restartNumberingAfterBreak="0">
    <w:nsid w:val="5EF361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1" w15:restartNumberingAfterBreak="0">
    <w:nsid w:val="5EFB09DC"/>
    <w:multiLevelType w:val="hybridMultilevel"/>
    <w:tmpl w:val="4F2A7FC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2" w15:restartNumberingAfterBreak="0">
    <w:nsid w:val="5F394D52"/>
    <w:multiLevelType w:val="hybridMultilevel"/>
    <w:tmpl w:val="0302C55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3" w15:restartNumberingAfterBreak="0">
    <w:nsid w:val="5F3A7689"/>
    <w:multiLevelType w:val="hybridMultilevel"/>
    <w:tmpl w:val="D7F097D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04" w15:restartNumberingAfterBreak="0">
    <w:nsid w:val="5F3D756D"/>
    <w:multiLevelType w:val="multilevel"/>
    <w:tmpl w:val="42A2AC2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005" w15:restartNumberingAfterBreak="0">
    <w:nsid w:val="5F49310A"/>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6" w15:restartNumberingAfterBreak="0">
    <w:nsid w:val="5F494FA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7" w15:restartNumberingAfterBreak="0">
    <w:nsid w:val="5F5914A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8" w15:restartNumberingAfterBreak="0">
    <w:nsid w:val="5F62719B"/>
    <w:multiLevelType w:val="hybridMultilevel"/>
    <w:tmpl w:val="12C0D622"/>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09" w15:restartNumberingAfterBreak="0">
    <w:nsid w:val="5F6C0D2A"/>
    <w:multiLevelType w:val="hybridMultilevel"/>
    <w:tmpl w:val="678844F2"/>
    <w:lvl w:ilvl="0" w:tplc="5A920BF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67B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C63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AE3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32A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AB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838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451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7893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0" w15:restartNumberingAfterBreak="0">
    <w:nsid w:val="5F7C5A09"/>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11" w15:restartNumberingAfterBreak="0">
    <w:nsid w:val="5F8C3B69"/>
    <w:multiLevelType w:val="multilevel"/>
    <w:tmpl w:val="9B14DAA8"/>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2" w15:restartNumberingAfterBreak="0">
    <w:nsid w:val="5FA21A46"/>
    <w:multiLevelType w:val="hybridMultilevel"/>
    <w:tmpl w:val="5F06BFB6"/>
    <w:lvl w:ilvl="0" w:tplc="1E5405F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D206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42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EA4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3A55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66A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28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A97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82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3" w15:restartNumberingAfterBreak="0">
    <w:nsid w:val="5FA51AB9"/>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4" w15:restartNumberingAfterBreak="0">
    <w:nsid w:val="5FA6378E"/>
    <w:multiLevelType w:val="hybridMultilevel"/>
    <w:tmpl w:val="3AB6B1AA"/>
    <w:lvl w:ilvl="0" w:tplc="BA143D90">
      <w:start w:val="1"/>
      <w:numFmt w:val="decimal"/>
      <w:lvlText w:val="%1."/>
      <w:lvlJc w:val="left"/>
      <w:pPr>
        <w:ind w:left="1724" w:hanging="704"/>
      </w:pPr>
      <w:rPr>
        <w:rFonts w:ascii="Calibri" w:eastAsia="Times New Roman" w:hAnsi="Calibri" w:cs="Calibri" w:hint="default"/>
        <w:color w:val="201F20"/>
        <w:spacing w:val="-10"/>
        <w:w w:val="100"/>
        <w:sz w:val="22"/>
        <w:szCs w:val="22"/>
        <w:lang w:val="en-US" w:eastAsia="en-US" w:bidi="ar-SA"/>
      </w:rPr>
    </w:lvl>
    <w:lvl w:ilvl="1" w:tplc="66BCBB98">
      <w:start w:val="1"/>
      <w:numFmt w:val="lowerLetter"/>
      <w:lvlText w:val="(%2)"/>
      <w:lvlJc w:val="left"/>
      <w:pPr>
        <w:ind w:left="1996" w:hanging="720"/>
      </w:pPr>
      <w:rPr>
        <w:rFonts w:asciiTheme="minorHAnsi" w:eastAsia="Times New Roman" w:hAnsiTheme="minorHAnsi" w:cstheme="minorHAnsi" w:hint="default"/>
        <w:color w:val="201F20"/>
        <w:spacing w:val="-10"/>
        <w:w w:val="100"/>
        <w:sz w:val="22"/>
        <w:szCs w:val="22"/>
        <w:lang w:val="en-US" w:eastAsia="en-US" w:bidi="ar-SA"/>
      </w:rPr>
    </w:lvl>
    <w:lvl w:ilvl="2" w:tplc="6BEA8876">
      <w:numFmt w:val="bullet"/>
      <w:lvlText w:val="•"/>
      <w:lvlJc w:val="left"/>
      <w:pPr>
        <w:ind w:left="3053" w:hanging="720"/>
      </w:pPr>
      <w:rPr>
        <w:rFonts w:hint="default"/>
        <w:lang w:val="en-US" w:eastAsia="en-US" w:bidi="ar-SA"/>
      </w:rPr>
    </w:lvl>
    <w:lvl w:ilvl="3" w:tplc="97341684">
      <w:numFmt w:val="bullet"/>
      <w:lvlText w:val="•"/>
      <w:lvlJc w:val="left"/>
      <w:pPr>
        <w:ind w:left="4107" w:hanging="720"/>
      </w:pPr>
      <w:rPr>
        <w:rFonts w:hint="default"/>
        <w:lang w:val="en-US" w:eastAsia="en-US" w:bidi="ar-SA"/>
      </w:rPr>
    </w:lvl>
    <w:lvl w:ilvl="4" w:tplc="19E259FC">
      <w:numFmt w:val="bullet"/>
      <w:lvlText w:val="•"/>
      <w:lvlJc w:val="left"/>
      <w:pPr>
        <w:ind w:left="5161" w:hanging="720"/>
      </w:pPr>
      <w:rPr>
        <w:rFonts w:hint="default"/>
        <w:lang w:val="en-US" w:eastAsia="en-US" w:bidi="ar-SA"/>
      </w:rPr>
    </w:lvl>
    <w:lvl w:ilvl="5" w:tplc="94DE7B9E">
      <w:numFmt w:val="bullet"/>
      <w:lvlText w:val="•"/>
      <w:lvlJc w:val="left"/>
      <w:pPr>
        <w:ind w:left="6215" w:hanging="720"/>
      </w:pPr>
      <w:rPr>
        <w:rFonts w:hint="default"/>
        <w:lang w:val="en-US" w:eastAsia="en-US" w:bidi="ar-SA"/>
      </w:rPr>
    </w:lvl>
    <w:lvl w:ilvl="6" w:tplc="DF08CEB6">
      <w:numFmt w:val="bullet"/>
      <w:lvlText w:val="•"/>
      <w:lvlJc w:val="left"/>
      <w:pPr>
        <w:ind w:left="7268" w:hanging="720"/>
      </w:pPr>
      <w:rPr>
        <w:rFonts w:hint="default"/>
        <w:lang w:val="en-US" w:eastAsia="en-US" w:bidi="ar-SA"/>
      </w:rPr>
    </w:lvl>
    <w:lvl w:ilvl="7" w:tplc="B55AE964">
      <w:numFmt w:val="bullet"/>
      <w:lvlText w:val="•"/>
      <w:lvlJc w:val="left"/>
      <w:pPr>
        <w:ind w:left="8322" w:hanging="720"/>
      </w:pPr>
      <w:rPr>
        <w:rFonts w:hint="default"/>
        <w:lang w:val="en-US" w:eastAsia="en-US" w:bidi="ar-SA"/>
      </w:rPr>
    </w:lvl>
    <w:lvl w:ilvl="8" w:tplc="3C26F08E">
      <w:numFmt w:val="bullet"/>
      <w:lvlText w:val="•"/>
      <w:lvlJc w:val="left"/>
      <w:pPr>
        <w:ind w:left="9376" w:hanging="720"/>
      </w:pPr>
      <w:rPr>
        <w:rFonts w:hint="default"/>
        <w:lang w:val="en-US" w:eastAsia="en-US" w:bidi="ar-SA"/>
      </w:rPr>
    </w:lvl>
  </w:abstractNum>
  <w:abstractNum w:abstractNumId="1015" w15:restartNumberingAfterBreak="0">
    <w:nsid w:val="5FD13237"/>
    <w:multiLevelType w:val="hybridMultilevel"/>
    <w:tmpl w:val="2D8CD85C"/>
    <w:lvl w:ilvl="0" w:tplc="DAC69B98">
      <w:start w:val="1"/>
      <w:numFmt w:val="decimal"/>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E2B89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6E06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C67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5CAB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F4E2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45E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C5F8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AA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6" w15:restartNumberingAfterBreak="0">
    <w:nsid w:val="5FDA68DF"/>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7" w15:restartNumberingAfterBreak="0">
    <w:nsid w:val="602B181B"/>
    <w:multiLevelType w:val="hybridMultilevel"/>
    <w:tmpl w:val="C804E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8" w15:restartNumberingAfterBreak="0">
    <w:nsid w:val="603068F7"/>
    <w:multiLevelType w:val="hybridMultilevel"/>
    <w:tmpl w:val="3A52B30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15:restartNumberingAfterBreak="0">
    <w:nsid w:val="603D5EE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0" w15:restartNumberingAfterBreak="0">
    <w:nsid w:val="605E3D4D"/>
    <w:multiLevelType w:val="hybridMultilevel"/>
    <w:tmpl w:val="7228DAF4"/>
    <w:lvl w:ilvl="0" w:tplc="81E46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1" w15:restartNumberingAfterBreak="0">
    <w:nsid w:val="60671F76"/>
    <w:multiLevelType w:val="multilevel"/>
    <w:tmpl w:val="6E9CEB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2" w15:restartNumberingAfterBreak="0">
    <w:nsid w:val="606A1A82"/>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3" w15:restartNumberingAfterBreak="0">
    <w:nsid w:val="607B26FD"/>
    <w:multiLevelType w:val="hybridMultilevel"/>
    <w:tmpl w:val="63C62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4" w15:restartNumberingAfterBreak="0">
    <w:nsid w:val="607F2DFA"/>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25" w15:restartNumberingAfterBreak="0">
    <w:nsid w:val="6085098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6" w15:restartNumberingAfterBreak="0">
    <w:nsid w:val="608521D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7" w15:restartNumberingAfterBreak="0">
    <w:nsid w:val="60AE3600"/>
    <w:multiLevelType w:val="multilevel"/>
    <w:tmpl w:val="92B0DFAA"/>
    <w:lvl w:ilvl="0">
      <w:start w:val="1"/>
      <w:numFmt w:val="lowerRoman"/>
      <w:lvlText w:val="(%1)"/>
      <w:lvlJc w:val="left"/>
      <w:pPr>
        <w:ind w:left="1690" w:hanging="36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1028" w15:restartNumberingAfterBreak="0">
    <w:nsid w:val="60B002C3"/>
    <w:multiLevelType w:val="hybridMultilevel"/>
    <w:tmpl w:val="2BBE77E4"/>
    <w:lvl w:ilvl="0" w:tplc="E5F2F716">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449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654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0AE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780E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4B3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2C1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96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8DB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9" w15:restartNumberingAfterBreak="0">
    <w:nsid w:val="60B544AC"/>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0" w15:restartNumberingAfterBreak="0">
    <w:nsid w:val="60BC5446"/>
    <w:multiLevelType w:val="hybridMultilevel"/>
    <w:tmpl w:val="7CA41C1E"/>
    <w:lvl w:ilvl="0" w:tplc="22A8FB6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1A108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03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AF1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A91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9A82D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090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B6C65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68845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1" w15:restartNumberingAfterBreak="0">
    <w:nsid w:val="60C35464"/>
    <w:multiLevelType w:val="multilevel"/>
    <w:tmpl w:val="9C004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2" w15:restartNumberingAfterBreak="0">
    <w:nsid w:val="60D816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3" w15:restartNumberingAfterBreak="0">
    <w:nsid w:val="60F737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34" w15:restartNumberingAfterBreak="0">
    <w:nsid w:val="61164A75"/>
    <w:multiLevelType w:val="hybridMultilevel"/>
    <w:tmpl w:val="80862D4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5" w15:restartNumberingAfterBreak="0">
    <w:nsid w:val="61361E83"/>
    <w:multiLevelType w:val="hybridMultilevel"/>
    <w:tmpl w:val="A230726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15:restartNumberingAfterBreak="0">
    <w:nsid w:val="613B6650"/>
    <w:multiLevelType w:val="hybridMultilevel"/>
    <w:tmpl w:val="8AC4EB08"/>
    <w:lvl w:ilvl="0" w:tplc="1AE89A64">
      <w:start w:val="1"/>
      <w:numFmt w:val="lowerRoman"/>
      <w:lvlText w:val="(%1)"/>
      <w:lvlJc w:val="left"/>
      <w:pPr>
        <w:ind w:left="1287" w:hanging="72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37" w15:restartNumberingAfterBreak="0">
    <w:nsid w:val="6140306C"/>
    <w:multiLevelType w:val="multilevel"/>
    <w:tmpl w:val="AA483B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8" w15:restartNumberingAfterBreak="0">
    <w:nsid w:val="618C0A0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9" w15:restartNumberingAfterBreak="0">
    <w:nsid w:val="61A004BA"/>
    <w:multiLevelType w:val="multilevel"/>
    <w:tmpl w:val="D25E1A2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0" w15:restartNumberingAfterBreak="0">
    <w:nsid w:val="61B3649F"/>
    <w:multiLevelType w:val="hybridMultilevel"/>
    <w:tmpl w:val="C1FA3C78"/>
    <w:lvl w:ilvl="0" w:tplc="351A7EE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90B98A">
      <w:start w:val="1"/>
      <w:numFmt w:val="lowerRoman"/>
      <w:lvlText w:val="(%2)"/>
      <w:lvlJc w:val="left"/>
      <w:pPr>
        <w:ind w:left="1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D04644">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2DD2C">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90BDE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C1DD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8EB518">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06F6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E668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1" w15:restartNumberingAfterBreak="0">
    <w:nsid w:val="61BC4096"/>
    <w:multiLevelType w:val="hybridMultilevel"/>
    <w:tmpl w:val="D7101AA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2" w15:restartNumberingAfterBreak="0">
    <w:nsid w:val="620E7DFB"/>
    <w:multiLevelType w:val="hybridMultilevel"/>
    <w:tmpl w:val="653ADB6A"/>
    <w:lvl w:ilvl="0" w:tplc="0D9EDED0">
      <w:start w:val="1"/>
      <w:numFmt w:val="lowerLetter"/>
      <w:lvlText w:val="(%1)"/>
      <w:lvlJc w:val="left"/>
      <w:pPr>
        <w:ind w:left="720" w:hanging="360"/>
      </w:pPr>
      <w:rPr>
        <w:rFonts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15:restartNumberingAfterBreak="0">
    <w:nsid w:val="62187B18"/>
    <w:multiLevelType w:val="hybridMultilevel"/>
    <w:tmpl w:val="776C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4" w15:restartNumberingAfterBreak="0">
    <w:nsid w:val="6233796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5" w15:restartNumberingAfterBreak="0">
    <w:nsid w:val="62617321"/>
    <w:multiLevelType w:val="multilevel"/>
    <w:tmpl w:val="06CAF1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6" w15:restartNumberingAfterBreak="0">
    <w:nsid w:val="626460E5"/>
    <w:multiLevelType w:val="hybridMultilevel"/>
    <w:tmpl w:val="CC488CBA"/>
    <w:lvl w:ilvl="0" w:tplc="5EF2C488">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7" w15:restartNumberingAfterBreak="0">
    <w:nsid w:val="626E595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48" w15:restartNumberingAfterBreak="0">
    <w:nsid w:val="62994BE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9" w15:restartNumberingAfterBreak="0">
    <w:nsid w:val="62DB446C"/>
    <w:multiLevelType w:val="hybridMultilevel"/>
    <w:tmpl w:val="29A4C16C"/>
    <w:lvl w:ilvl="0" w:tplc="F51235E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0" w15:restartNumberingAfterBreak="0">
    <w:nsid w:val="62EC51E7"/>
    <w:multiLevelType w:val="multilevel"/>
    <w:tmpl w:val="8B22F85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51" w15:restartNumberingAfterBreak="0">
    <w:nsid w:val="62FE645E"/>
    <w:multiLevelType w:val="multilevel"/>
    <w:tmpl w:val="4A8084D2"/>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2" w15:restartNumberingAfterBreak="0">
    <w:nsid w:val="62FF28BB"/>
    <w:multiLevelType w:val="hybridMultilevel"/>
    <w:tmpl w:val="AD90FD7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3" w15:restartNumberingAfterBreak="0">
    <w:nsid w:val="632437A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4" w15:restartNumberingAfterBreak="0">
    <w:nsid w:val="633F3E74"/>
    <w:multiLevelType w:val="hybridMultilevel"/>
    <w:tmpl w:val="31668FB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5" w15:restartNumberingAfterBreak="0">
    <w:nsid w:val="63476B0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15:restartNumberingAfterBreak="0">
    <w:nsid w:val="635328C1"/>
    <w:multiLevelType w:val="hybridMultilevel"/>
    <w:tmpl w:val="7B724AB4"/>
    <w:lvl w:ilvl="0" w:tplc="6B4E19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DA725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06D7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80CCB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CA371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CEAB4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0C1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F25B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0005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7" w15:restartNumberingAfterBreak="0">
    <w:nsid w:val="63697C66"/>
    <w:multiLevelType w:val="multilevel"/>
    <w:tmpl w:val="651AF6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58" w15:restartNumberingAfterBreak="0">
    <w:nsid w:val="636F52D8"/>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59" w15:restartNumberingAfterBreak="0">
    <w:nsid w:val="63BD13B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60" w15:restartNumberingAfterBreak="0">
    <w:nsid w:val="63C12FEB"/>
    <w:multiLevelType w:val="hybridMultilevel"/>
    <w:tmpl w:val="21700842"/>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1" w15:restartNumberingAfterBreak="0">
    <w:nsid w:val="63E46385"/>
    <w:multiLevelType w:val="multilevel"/>
    <w:tmpl w:val="48240CE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62" w15:restartNumberingAfterBreak="0">
    <w:nsid w:val="63E5244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3" w15:restartNumberingAfterBreak="0">
    <w:nsid w:val="63F86FE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4" w15:restartNumberingAfterBreak="0">
    <w:nsid w:val="640C754E"/>
    <w:multiLevelType w:val="hybridMultilevel"/>
    <w:tmpl w:val="244AB6FC"/>
    <w:lvl w:ilvl="0" w:tplc="18F6F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5" w15:restartNumberingAfterBreak="0">
    <w:nsid w:val="6411261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6" w15:restartNumberingAfterBreak="0">
    <w:nsid w:val="64277C67"/>
    <w:multiLevelType w:val="hybridMultilevel"/>
    <w:tmpl w:val="5B3A5A1A"/>
    <w:lvl w:ilvl="0" w:tplc="FBB2A11C">
      <w:start w:val="1"/>
      <w:numFmt w:val="upperLetter"/>
      <w:lvlText w:val="(%1)"/>
      <w:lvlJc w:val="left"/>
      <w:pPr>
        <w:ind w:left="2160" w:hanging="360"/>
      </w:pPr>
      <w:rPr>
        <w:rFonts w:ascii="Calibri" w:eastAsia="Calibri" w:hAnsi="Calibri" w:cs="Calibri"/>
        <w:color w:val="000000" w:themeColor="text1"/>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067" w15:restartNumberingAfterBreak="0">
    <w:nsid w:val="642E0AE3"/>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8" w15:restartNumberingAfterBreak="0">
    <w:nsid w:val="6474115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9" w15:restartNumberingAfterBreak="0">
    <w:nsid w:val="648C2CA0"/>
    <w:multiLevelType w:val="hybridMultilevel"/>
    <w:tmpl w:val="50FADCC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0" w15:restartNumberingAfterBreak="0">
    <w:nsid w:val="64AC79D5"/>
    <w:multiLevelType w:val="hybridMultilevel"/>
    <w:tmpl w:val="59A8E840"/>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1" w15:restartNumberingAfterBreak="0">
    <w:nsid w:val="64AE3F57"/>
    <w:multiLevelType w:val="multilevel"/>
    <w:tmpl w:val="5F165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2" w15:restartNumberingAfterBreak="0">
    <w:nsid w:val="64E166B8"/>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3" w15:restartNumberingAfterBreak="0">
    <w:nsid w:val="64ED132C"/>
    <w:multiLevelType w:val="hybridMultilevel"/>
    <w:tmpl w:val="DF2A032C"/>
    <w:lvl w:ilvl="0" w:tplc="07C69B38">
      <w:start w:val="1"/>
      <w:numFmt w:val="lowerRoman"/>
      <w:lvlText w:val="(%1)"/>
      <w:lvlJc w:val="left"/>
      <w:pPr>
        <w:ind w:left="626"/>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4FE8D63E">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8B08565C">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8BE8D2CE">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C3D439BE">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BC967146">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F3C8C028">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5734D4F0">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7A14ECAA">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74" w15:restartNumberingAfterBreak="0">
    <w:nsid w:val="64F26A1F"/>
    <w:multiLevelType w:val="hybridMultilevel"/>
    <w:tmpl w:val="C7BC077C"/>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5" w15:restartNumberingAfterBreak="0">
    <w:nsid w:val="65077C09"/>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6" w15:restartNumberingAfterBreak="0">
    <w:nsid w:val="651106C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7" w15:restartNumberingAfterBreak="0">
    <w:nsid w:val="652758B7"/>
    <w:multiLevelType w:val="hybridMultilevel"/>
    <w:tmpl w:val="7E88C4A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8" w15:restartNumberingAfterBreak="0">
    <w:nsid w:val="65357E5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79" w15:restartNumberingAfterBreak="0">
    <w:nsid w:val="653855E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0" w15:restartNumberingAfterBreak="0">
    <w:nsid w:val="653F6CED"/>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1" w15:restartNumberingAfterBreak="0">
    <w:nsid w:val="657167D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15:restartNumberingAfterBreak="0">
    <w:nsid w:val="657346A6"/>
    <w:multiLevelType w:val="hybridMultilevel"/>
    <w:tmpl w:val="3BDE2FFE"/>
    <w:lvl w:ilvl="0" w:tplc="76F65CB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BE71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823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5C3F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2863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C0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A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608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011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3" w15:restartNumberingAfterBreak="0">
    <w:nsid w:val="65CF0FA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4" w15:restartNumberingAfterBreak="0">
    <w:nsid w:val="65E370D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5" w15:restartNumberingAfterBreak="0">
    <w:nsid w:val="6606376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6" w15:restartNumberingAfterBreak="0">
    <w:nsid w:val="660E66C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7" w15:restartNumberingAfterBreak="0">
    <w:nsid w:val="66163363"/>
    <w:multiLevelType w:val="hybridMultilevel"/>
    <w:tmpl w:val="6590A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8" w15:restartNumberingAfterBreak="0">
    <w:nsid w:val="66231AD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15:restartNumberingAfterBreak="0">
    <w:nsid w:val="667604E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0" w15:restartNumberingAfterBreak="0">
    <w:nsid w:val="66767AE9"/>
    <w:multiLevelType w:val="hybridMultilevel"/>
    <w:tmpl w:val="01740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1" w15:restartNumberingAfterBreak="0">
    <w:nsid w:val="667C5DA1"/>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2" w15:restartNumberingAfterBreak="0">
    <w:nsid w:val="66853D67"/>
    <w:multiLevelType w:val="hybridMultilevel"/>
    <w:tmpl w:val="D06EBCAC"/>
    <w:lvl w:ilvl="0" w:tplc="C810BAC0">
      <w:start w:val="1"/>
      <w:numFmt w:val="lowerLetter"/>
      <w:lvlText w:val="(%1)"/>
      <w:lvlJc w:val="left"/>
      <w:pPr>
        <w:ind w:left="720" w:hanging="360"/>
      </w:pPr>
      <w:rPr>
        <w:rFonts w:hint="default"/>
      </w:rPr>
    </w:lvl>
    <w:lvl w:ilvl="1" w:tplc="C810BAC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15:restartNumberingAfterBreak="0">
    <w:nsid w:val="66AB6DA9"/>
    <w:multiLevelType w:val="hybridMultilevel"/>
    <w:tmpl w:val="D2F6DBF0"/>
    <w:lvl w:ilvl="0" w:tplc="A40E5B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15:restartNumberingAfterBreak="0">
    <w:nsid w:val="66B165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95" w15:restartNumberingAfterBreak="0">
    <w:nsid w:val="673D63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96" w15:restartNumberingAfterBreak="0">
    <w:nsid w:val="67417C4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7" w15:restartNumberingAfterBreak="0">
    <w:nsid w:val="674A57A0"/>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8" w15:restartNumberingAfterBreak="0">
    <w:nsid w:val="67502214"/>
    <w:multiLevelType w:val="multilevel"/>
    <w:tmpl w:val="1D70D170"/>
    <w:lvl w:ilvl="0">
      <w:start w:val="1"/>
      <w:numFmt w:val="lowerLetter"/>
      <w:lvlText w:val="(%1)"/>
      <w:lvlJc w:val="left"/>
      <w:pPr>
        <w:ind w:left="763" w:hanging="360"/>
      </w:pPr>
    </w:lvl>
    <w:lvl w:ilvl="1">
      <w:start w:val="1"/>
      <w:numFmt w:val="lowerLetter"/>
      <w:lvlText w:val="%2."/>
      <w:lvlJc w:val="left"/>
      <w:pPr>
        <w:ind w:left="1483" w:hanging="360"/>
      </w:pPr>
    </w:lvl>
    <w:lvl w:ilvl="2">
      <w:start w:val="1"/>
      <w:numFmt w:val="lowerRoman"/>
      <w:lvlText w:val="%3."/>
      <w:lvlJc w:val="right"/>
      <w:pPr>
        <w:ind w:left="2203" w:hanging="180"/>
      </w:pPr>
    </w:lvl>
    <w:lvl w:ilvl="3">
      <w:start w:val="1"/>
      <w:numFmt w:val="decimal"/>
      <w:lvlText w:val="%4."/>
      <w:lvlJc w:val="left"/>
      <w:pPr>
        <w:ind w:left="2923" w:hanging="360"/>
      </w:pPr>
    </w:lvl>
    <w:lvl w:ilvl="4">
      <w:start w:val="1"/>
      <w:numFmt w:val="lowerLetter"/>
      <w:lvlText w:val="%5."/>
      <w:lvlJc w:val="left"/>
      <w:pPr>
        <w:ind w:left="3643" w:hanging="360"/>
      </w:pPr>
    </w:lvl>
    <w:lvl w:ilvl="5">
      <w:start w:val="1"/>
      <w:numFmt w:val="lowerRoman"/>
      <w:lvlText w:val="%6."/>
      <w:lvlJc w:val="right"/>
      <w:pPr>
        <w:ind w:left="4363" w:hanging="180"/>
      </w:pPr>
    </w:lvl>
    <w:lvl w:ilvl="6">
      <w:start w:val="1"/>
      <w:numFmt w:val="decimal"/>
      <w:lvlText w:val="%7."/>
      <w:lvlJc w:val="left"/>
      <w:pPr>
        <w:ind w:left="5083" w:hanging="360"/>
      </w:pPr>
    </w:lvl>
    <w:lvl w:ilvl="7">
      <w:start w:val="1"/>
      <w:numFmt w:val="lowerLetter"/>
      <w:lvlText w:val="%8."/>
      <w:lvlJc w:val="left"/>
      <w:pPr>
        <w:ind w:left="5803" w:hanging="360"/>
      </w:pPr>
    </w:lvl>
    <w:lvl w:ilvl="8">
      <w:start w:val="1"/>
      <w:numFmt w:val="lowerRoman"/>
      <w:lvlText w:val="%9."/>
      <w:lvlJc w:val="right"/>
      <w:pPr>
        <w:ind w:left="6523" w:hanging="180"/>
      </w:pPr>
    </w:lvl>
  </w:abstractNum>
  <w:abstractNum w:abstractNumId="1099" w15:restartNumberingAfterBreak="0">
    <w:nsid w:val="675609D4"/>
    <w:multiLevelType w:val="hybridMultilevel"/>
    <w:tmpl w:val="EA8C806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15:restartNumberingAfterBreak="0">
    <w:nsid w:val="677010F5"/>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1" w15:restartNumberingAfterBreak="0">
    <w:nsid w:val="678761FD"/>
    <w:multiLevelType w:val="hybridMultilevel"/>
    <w:tmpl w:val="5DBC62E4"/>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2" w15:restartNumberingAfterBreak="0">
    <w:nsid w:val="67957B93"/>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3" w15:restartNumberingAfterBreak="0">
    <w:nsid w:val="6797602E"/>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4" w15:restartNumberingAfterBreak="0">
    <w:nsid w:val="67A45DBA"/>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5" w15:restartNumberingAfterBreak="0">
    <w:nsid w:val="67A8561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6" w15:restartNumberingAfterBreak="0">
    <w:nsid w:val="67BA087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7" w15:restartNumberingAfterBreak="0">
    <w:nsid w:val="67C9554E"/>
    <w:multiLevelType w:val="hybridMultilevel"/>
    <w:tmpl w:val="C060D57C"/>
    <w:lvl w:ilvl="0" w:tplc="9D92633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8" w15:restartNumberingAfterBreak="0">
    <w:nsid w:val="67D41044"/>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109" w15:restartNumberingAfterBreak="0">
    <w:nsid w:val="680C502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0" w15:restartNumberingAfterBreak="0">
    <w:nsid w:val="68251021"/>
    <w:multiLevelType w:val="hybridMultilevel"/>
    <w:tmpl w:val="E006CFC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1" w15:restartNumberingAfterBreak="0">
    <w:nsid w:val="682E6C46"/>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2" w15:restartNumberingAfterBreak="0">
    <w:nsid w:val="683A4C1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3" w15:restartNumberingAfterBreak="0">
    <w:nsid w:val="6848630F"/>
    <w:multiLevelType w:val="multilevel"/>
    <w:tmpl w:val="F1643E3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4" w15:restartNumberingAfterBreak="0">
    <w:nsid w:val="68A42E9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15" w15:restartNumberingAfterBreak="0">
    <w:nsid w:val="68A54D3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6" w15:restartNumberingAfterBreak="0">
    <w:nsid w:val="68AB3D76"/>
    <w:multiLevelType w:val="hybridMultilevel"/>
    <w:tmpl w:val="110C4970"/>
    <w:lvl w:ilvl="0" w:tplc="DDCC7CE2">
      <w:start w:val="1"/>
      <w:numFmt w:val="lowerLetter"/>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947B5A">
      <w:start w:val="1"/>
      <w:numFmt w:val="lowerRoman"/>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A44C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741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47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3EAB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68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6D0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6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7" w15:restartNumberingAfterBreak="0">
    <w:nsid w:val="68B076ED"/>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8" w15:restartNumberingAfterBreak="0">
    <w:nsid w:val="68B359DA"/>
    <w:multiLevelType w:val="multilevel"/>
    <w:tmpl w:val="97E6B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9" w15:restartNumberingAfterBreak="0">
    <w:nsid w:val="68C64ED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0" w15:restartNumberingAfterBreak="0">
    <w:nsid w:val="68D8005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1" w15:restartNumberingAfterBreak="0">
    <w:nsid w:val="69165148"/>
    <w:multiLevelType w:val="hybridMultilevel"/>
    <w:tmpl w:val="176CC870"/>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22" w15:restartNumberingAfterBreak="0">
    <w:nsid w:val="69193A6A"/>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3" w15:restartNumberingAfterBreak="0">
    <w:nsid w:val="693F6AEC"/>
    <w:multiLevelType w:val="hybridMultilevel"/>
    <w:tmpl w:val="B33A5094"/>
    <w:lvl w:ilvl="0" w:tplc="D018A9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4" w15:restartNumberingAfterBreak="0">
    <w:nsid w:val="69511D48"/>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5" w15:restartNumberingAfterBreak="0">
    <w:nsid w:val="696C278A"/>
    <w:multiLevelType w:val="singleLevel"/>
    <w:tmpl w:val="443639EC"/>
    <w:lvl w:ilvl="0">
      <w:start w:val="1"/>
      <w:numFmt w:val="bullet"/>
      <w:lvlRestart w:val="0"/>
      <w:pStyle w:val="Tiret0"/>
      <w:lvlText w:val="–"/>
      <w:lvlJc w:val="left"/>
      <w:pPr>
        <w:tabs>
          <w:tab w:val="num" w:pos="850"/>
        </w:tabs>
        <w:ind w:left="850" w:hanging="850"/>
      </w:pPr>
    </w:lvl>
  </w:abstractNum>
  <w:abstractNum w:abstractNumId="1126" w15:restartNumberingAfterBreak="0">
    <w:nsid w:val="696F19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127" w15:restartNumberingAfterBreak="0">
    <w:nsid w:val="69827038"/>
    <w:multiLevelType w:val="hybridMultilevel"/>
    <w:tmpl w:val="F34C6728"/>
    <w:lvl w:ilvl="0" w:tplc="08D2E0A8">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8" w15:restartNumberingAfterBreak="0">
    <w:nsid w:val="699010E0"/>
    <w:multiLevelType w:val="multilevel"/>
    <w:tmpl w:val="1340DABE"/>
    <w:lvl w:ilvl="0">
      <w:start w:val="1"/>
      <w:numFmt w:val="lowerRoman"/>
      <w:lvlText w:val="(%1)"/>
      <w:lvlJc w:val="left"/>
      <w:pPr>
        <w:ind w:left="1332" w:hanging="360"/>
      </w:p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129" w15:restartNumberingAfterBreak="0">
    <w:nsid w:val="69C03719"/>
    <w:multiLevelType w:val="multilevel"/>
    <w:tmpl w:val="EF622B8E"/>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0" w15:restartNumberingAfterBreak="0">
    <w:nsid w:val="69CA37C1"/>
    <w:multiLevelType w:val="multilevel"/>
    <w:tmpl w:val="3752C350"/>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131" w15:restartNumberingAfterBreak="0">
    <w:nsid w:val="69E11B5A"/>
    <w:multiLevelType w:val="multilevel"/>
    <w:tmpl w:val="2336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2" w15:restartNumberingAfterBreak="0">
    <w:nsid w:val="69FC23D4"/>
    <w:multiLevelType w:val="multilevel"/>
    <w:tmpl w:val="4ACE2F34"/>
    <w:lvl w:ilvl="0">
      <w:start w:val="1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133" w15:restartNumberingAfterBreak="0">
    <w:nsid w:val="6A0918B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4" w15:restartNumberingAfterBreak="0">
    <w:nsid w:val="6A0D42A6"/>
    <w:multiLevelType w:val="multilevel"/>
    <w:tmpl w:val="34B8D2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5" w15:restartNumberingAfterBreak="0">
    <w:nsid w:val="6A5470A8"/>
    <w:multiLevelType w:val="hybridMultilevel"/>
    <w:tmpl w:val="3CFAD29C"/>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6" w15:restartNumberingAfterBreak="0">
    <w:nsid w:val="6A7C612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7" w15:restartNumberingAfterBreak="0">
    <w:nsid w:val="6A9D4EA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38" w15:restartNumberingAfterBreak="0">
    <w:nsid w:val="6A9F36D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9" w15:restartNumberingAfterBreak="0">
    <w:nsid w:val="6AAC0643"/>
    <w:multiLevelType w:val="multilevel"/>
    <w:tmpl w:val="BC3002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0" w15:restartNumberingAfterBreak="0">
    <w:nsid w:val="6ABE581C"/>
    <w:multiLevelType w:val="hybridMultilevel"/>
    <w:tmpl w:val="7E9EF53E"/>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1" w15:restartNumberingAfterBreak="0">
    <w:nsid w:val="6AE51FF1"/>
    <w:multiLevelType w:val="hybridMultilevel"/>
    <w:tmpl w:val="3084B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2" w15:restartNumberingAfterBreak="0">
    <w:nsid w:val="6AEC23EA"/>
    <w:multiLevelType w:val="hybridMultilevel"/>
    <w:tmpl w:val="53C4E692"/>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1C8A3A">
      <w:start w:val="1"/>
      <w:numFmt w:val="lowerLetter"/>
      <w:lvlText w:val="(%2)"/>
      <w:lvlJc w:val="left"/>
      <w:pPr>
        <w:ind w:left="851"/>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3" w15:restartNumberingAfterBreak="0">
    <w:nsid w:val="6B002051"/>
    <w:multiLevelType w:val="hybridMultilevel"/>
    <w:tmpl w:val="0D7833B6"/>
    <w:lvl w:ilvl="0" w:tplc="BDA84B88">
      <w:start w:val="1"/>
      <w:numFmt w:val="bullet"/>
      <w:lvlText w:val=""/>
      <w:lvlJc w:val="left"/>
      <w:pPr>
        <w:ind w:left="1077" w:hanging="360"/>
      </w:pPr>
      <w:rPr>
        <w:rFonts w:ascii="Symbol" w:hAnsi="Symbol" w:hint="default"/>
      </w:rPr>
    </w:lvl>
    <w:lvl w:ilvl="1" w:tplc="2A160EC0">
      <w:numFmt w:val="bullet"/>
      <w:lvlText w:val="—"/>
      <w:lvlJc w:val="left"/>
      <w:pPr>
        <w:ind w:left="1797" w:hanging="360"/>
      </w:pPr>
      <w:rPr>
        <w:rFonts w:ascii="Calibri" w:eastAsia="Calibr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44" w15:restartNumberingAfterBreak="0">
    <w:nsid w:val="6B654D5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5" w15:restartNumberingAfterBreak="0">
    <w:nsid w:val="6B6E350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6" w15:restartNumberingAfterBreak="0">
    <w:nsid w:val="6B8233C7"/>
    <w:multiLevelType w:val="hybridMultilevel"/>
    <w:tmpl w:val="51CA34D2"/>
    <w:lvl w:ilvl="0" w:tplc="DD72059C">
      <w:start w:val="1"/>
      <w:numFmt w:val="lowerLetter"/>
      <w:lvlText w:val="(%1)"/>
      <w:lvlJc w:val="left"/>
      <w:pPr>
        <w:ind w:left="293"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D55CE8DE">
      <w:start w:val="1"/>
      <w:numFmt w:val="lowerLetter"/>
      <w:lvlText w:val="%2"/>
      <w:lvlJc w:val="left"/>
      <w:pPr>
        <w:ind w:left="4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4574E108">
      <w:start w:val="1"/>
      <w:numFmt w:val="lowerRoman"/>
      <w:lvlText w:val="%3"/>
      <w:lvlJc w:val="left"/>
      <w:pPr>
        <w:ind w:left="11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A8EAA260">
      <w:start w:val="1"/>
      <w:numFmt w:val="decimal"/>
      <w:lvlText w:val="%4"/>
      <w:lvlJc w:val="left"/>
      <w:pPr>
        <w:ind w:left="18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D98EAAB0">
      <w:start w:val="1"/>
      <w:numFmt w:val="lowerLetter"/>
      <w:lvlText w:val="%5"/>
      <w:lvlJc w:val="left"/>
      <w:pPr>
        <w:ind w:left="259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C67AF402">
      <w:start w:val="1"/>
      <w:numFmt w:val="lowerRoman"/>
      <w:lvlText w:val="%6"/>
      <w:lvlJc w:val="left"/>
      <w:pPr>
        <w:ind w:left="331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A4DC3566">
      <w:start w:val="1"/>
      <w:numFmt w:val="decimal"/>
      <w:lvlText w:val="%7"/>
      <w:lvlJc w:val="left"/>
      <w:pPr>
        <w:ind w:left="40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FA8C8D14">
      <w:start w:val="1"/>
      <w:numFmt w:val="lowerLetter"/>
      <w:lvlText w:val="%8"/>
      <w:lvlJc w:val="left"/>
      <w:pPr>
        <w:ind w:left="47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BE48883A">
      <w:start w:val="1"/>
      <w:numFmt w:val="lowerRoman"/>
      <w:lvlText w:val="%9"/>
      <w:lvlJc w:val="left"/>
      <w:pPr>
        <w:ind w:left="54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147" w15:restartNumberingAfterBreak="0">
    <w:nsid w:val="6BA15722"/>
    <w:multiLevelType w:val="hybridMultilevel"/>
    <w:tmpl w:val="5DA8641A"/>
    <w:lvl w:ilvl="0" w:tplc="B2026D10">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C5968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8CD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51A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E6D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FD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093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CFE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68BF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8" w15:restartNumberingAfterBreak="0">
    <w:nsid w:val="6BB5458A"/>
    <w:multiLevelType w:val="hybridMultilevel"/>
    <w:tmpl w:val="E9F26EB8"/>
    <w:lvl w:ilvl="0" w:tplc="075CD7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46B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E3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FC05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F8D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837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2CB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C0DA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05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9" w15:restartNumberingAfterBreak="0">
    <w:nsid w:val="6BF67A02"/>
    <w:multiLevelType w:val="hybridMultilevel"/>
    <w:tmpl w:val="F39E9C1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0" w15:restartNumberingAfterBreak="0">
    <w:nsid w:val="6C1954F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1" w15:restartNumberingAfterBreak="0">
    <w:nsid w:val="6C427C2B"/>
    <w:multiLevelType w:val="hybridMultilevel"/>
    <w:tmpl w:val="6A9E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2" w15:restartNumberingAfterBreak="0">
    <w:nsid w:val="6C48547A"/>
    <w:multiLevelType w:val="hybridMultilevel"/>
    <w:tmpl w:val="CF627E7C"/>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15:restartNumberingAfterBreak="0">
    <w:nsid w:val="6C565D83"/>
    <w:multiLevelType w:val="multilevel"/>
    <w:tmpl w:val="8FDC5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54" w15:restartNumberingAfterBreak="0">
    <w:nsid w:val="6C803279"/>
    <w:multiLevelType w:val="hybridMultilevel"/>
    <w:tmpl w:val="65B8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5" w15:restartNumberingAfterBreak="0">
    <w:nsid w:val="6C973B79"/>
    <w:multiLevelType w:val="hybridMultilevel"/>
    <w:tmpl w:val="25F23EF0"/>
    <w:lvl w:ilvl="0" w:tplc="6BDEA85C">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15:restartNumberingAfterBreak="0">
    <w:nsid w:val="6CA71154"/>
    <w:multiLevelType w:val="hybridMultilevel"/>
    <w:tmpl w:val="3A32E2D2"/>
    <w:lvl w:ilvl="0" w:tplc="85B4B960">
      <w:start w:val="9"/>
      <w:numFmt w:val="lowerLetter"/>
      <w:lvlText w:val="(%1)"/>
      <w:lvlJc w:val="left"/>
      <w:pPr>
        <w:ind w:left="1080" w:hanging="360"/>
      </w:pPr>
      <w:rPr>
        <w:rFonts w:hint="default"/>
      </w:rPr>
    </w:lvl>
    <w:lvl w:ilvl="1" w:tplc="1DBCF936">
      <w:start w:val="1"/>
      <w:numFmt w:val="upperLetter"/>
      <w:lvlText w:val="(%2)"/>
      <w:lvlJc w:val="left"/>
      <w:pPr>
        <w:ind w:left="1800" w:hanging="360"/>
      </w:pPr>
      <w:rPr>
        <w:rFonts w:asciiTheme="minorHAnsi" w:eastAsiaTheme="minorHAnsi" w:hAnsiTheme="minorHAnsi" w:cstheme="minorHAnsi"/>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57" w15:restartNumberingAfterBreak="0">
    <w:nsid w:val="6CAB38B4"/>
    <w:multiLevelType w:val="hybridMultilevel"/>
    <w:tmpl w:val="FE0A939C"/>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8" w15:restartNumberingAfterBreak="0">
    <w:nsid w:val="6CB8146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9" w15:restartNumberingAfterBreak="0">
    <w:nsid w:val="6CBB209C"/>
    <w:multiLevelType w:val="multilevel"/>
    <w:tmpl w:val="8B76A0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0" w15:restartNumberingAfterBreak="0">
    <w:nsid w:val="6CDC06A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1" w15:restartNumberingAfterBreak="0">
    <w:nsid w:val="6CEB3F62"/>
    <w:multiLevelType w:val="hybridMultilevel"/>
    <w:tmpl w:val="F5B83AE0"/>
    <w:lvl w:ilvl="0" w:tplc="FE9E9454">
      <w:start w:val="1"/>
      <w:numFmt w:val="decimal"/>
      <w:lvlText w:val="%1."/>
      <w:lvlJc w:val="left"/>
      <w:pPr>
        <w:ind w:left="360" w:hanging="360"/>
      </w:pPr>
      <w:rPr>
        <w:u w:val="none"/>
      </w:rPr>
    </w:lvl>
    <w:lvl w:ilvl="1" w:tplc="1A721148">
      <w:start w:val="1"/>
      <w:numFmt w:val="lowerLetter"/>
      <w:lvlText w:val="(%2)"/>
      <w:lvlJc w:val="left"/>
      <w:pPr>
        <w:ind w:left="1440" w:hanging="360"/>
      </w:pPr>
      <w:rPr>
        <w:rFonts w:hint="default"/>
        <w:color w:val="auto"/>
        <w:u w:val="none"/>
      </w:rPr>
    </w:lvl>
    <w:lvl w:ilvl="2" w:tplc="1CE4E0BE">
      <w:start w:val="1"/>
      <w:numFmt w:val="lowerRoman"/>
      <w:lvlText w:val="%3."/>
      <w:lvlJc w:val="right"/>
      <w:pPr>
        <w:ind w:left="2160" w:hanging="360"/>
      </w:pPr>
      <w:rPr>
        <w:u w:val="none"/>
      </w:rPr>
    </w:lvl>
    <w:lvl w:ilvl="3" w:tplc="793A4584">
      <w:start w:val="1"/>
      <w:numFmt w:val="decimal"/>
      <w:lvlText w:val="%4."/>
      <w:lvlJc w:val="left"/>
      <w:pPr>
        <w:ind w:left="2880" w:hanging="360"/>
      </w:pPr>
      <w:rPr>
        <w:u w:val="none"/>
      </w:rPr>
    </w:lvl>
    <w:lvl w:ilvl="4" w:tplc="6F048CAC">
      <w:start w:val="1"/>
      <w:numFmt w:val="lowerLetter"/>
      <w:lvlText w:val="%5."/>
      <w:lvlJc w:val="left"/>
      <w:pPr>
        <w:ind w:left="3600" w:hanging="360"/>
      </w:pPr>
      <w:rPr>
        <w:u w:val="none"/>
      </w:rPr>
    </w:lvl>
    <w:lvl w:ilvl="5" w:tplc="0E4E0C8C">
      <w:start w:val="1"/>
      <w:numFmt w:val="lowerRoman"/>
      <w:lvlText w:val="%6."/>
      <w:lvlJc w:val="right"/>
      <w:pPr>
        <w:ind w:left="4320" w:hanging="360"/>
      </w:pPr>
      <w:rPr>
        <w:u w:val="none"/>
      </w:rPr>
    </w:lvl>
    <w:lvl w:ilvl="6" w:tplc="D46CEFCE">
      <w:start w:val="1"/>
      <w:numFmt w:val="decimal"/>
      <w:lvlText w:val="%7."/>
      <w:lvlJc w:val="left"/>
      <w:pPr>
        <w:ind w:left="5040" w:hanging="360"/>
      </w:pPr>
      <w:rPr>
        <w:u w:val="none"/>
      </w:rPr>
    </w:lvl>
    <w:lvl w:ilvl="7" w:tplc="4A6A4C66">
      <w:start w:val="1"/>
      <w:numFmt w:val="lowerLetter"/>
      <w:lvlText w:val="%8."/>
      <w:lvlJc w:val="left"/>
      <w:pPr>
        <w:ind w:left="5760" w:hanging="360"/>
      </w:pPr>
      <w:rPr>
        <w:u w:val="none"/>
      </w:rPr>
    </w:lvl>
    <w:lvl w:ilvl="8" w:tplc="52F8702E">
      <w:start w:val="1"/>
      <w:numFmt w:val="lowerRoman"/>
      <w:lvlText w:val="%9."/>
      <w:lvlJc w:val="right"/>
      <w:pPr>
        <w:ind w:left="6480" w:hanging="360"/>
      </w:pPr>
      <w:rPr>
        <w:u w:val="none"/>
      </w:rPr>
    </w:lvl>
  </w:abstractNum>
  <w:abstractNum w:abstractNumId="1162" w15:restartNumberingAfterBreak="0">
    <w:nsid w:val="6CF128BA"/>
    <w:multiLevelType w:val="hybridMultilevel"/>
    <w:tmpl w:val="96E2E338"/>
    <w:lvl w:ilvl="0" w:tplc="6B34080E">
      <w:start w:val="1"/>
      <w:numFmt w:val="lowerLetter"/>
      <w:lvlText w:val="(%1)"/>
      <w:lvlJc w:val="left"/>
      <w:pPr>
        <w:ind w:left="1772" w:hanging="560"/>
      </w:pPr>
      <w:rPr>
        <w:rFonts w:asciiTheme="minorHAnsi" w:eastAsia="Carlito" w:hAnsiTheme="minorHAnsi" w:cstheme="minorHAnsi" w:hint="default"/>
        <w:color w:val="auto"/>
        <w:spacing w:val="-4"/>
        <w:w w:val="101"/>
        <w:sz w:val="22"/>
        <w:szCs w:val="22"/>
        <w:lang w:val="en-US" w:eastAsia="en-US" w:bidi="ar-SA"/>
      </w:rPr>
    </w:lvl>
    <w:lvl w:ilvl="1" w:tplc="36CC95AC">
      <w:start w:val="1"/>
      <w:numFmt w:val="lowerRoman"/>
      <w:lvlText w:val="(%2)"/>
      <w:lvlJc w:val="left"/>
      <w:pPr>
        <w:ind w:left="2444" w:hanging="672"/>
      </w:pPr>
      <w:rPr>
        <w:rFonts w:hint="default"/>
        <w:spacing w:val="-4"/>
        <w:w w:val="101"/>
        <w:lang w:val="en-US" w:eastAsia="en-US" w:bidi="ar-SA"/>
      </w:rPr>
    </w:lvl>
    <w:lvl w:ilvl="2" w:tplc="71044164">
      <w:numFmt w:val="bullet"/>
      <w:lvlText w:val="•"/>
      <w:lvlJc w:val="left"/>
      <w:pPr>
        <w:ind w:left="2420" w:hanging="672"/>
      </w:pPr>
      <w:rPr>
        <w:rFonts w:hint="default"/>
        <w:lang w:val="en-US" w:eastAsia="en-US" w:bidi="ar-SA"/>
      </w:rPr>
    </w:lvl>
    <w:lvl w:ilvl="3" w:tplc="212AD2F0">
      <w:numFmt w:val="bullet"/>
      <w:lvlText w:val="•"/>
      <w:lvlJc w:val="left"/>
      <w:pPr>
        <w:ind w:left="2440" w:hanging="672"/>
      </w:pPr>
      <w:rPr>
        <w:rFonts w:hint="default"/>
        <w:lang w:val="en-US" w:eastAsia="en-US" w:bidi="ar-SA"/>
      </w:rPr>
    </w:lvl>
    <w:lvl w:ilvl="4" w:tplc="FB66226E">
      <w:numFmt w:val="bullet"/>
      <w:lvlText w:val="•"/>
      <w:lvlJc w:val="left"/>
      <w:pPr>
        <w:ind w:left="3732" w:hanging="672"/>
      </w:pPr>
      <w:rPr>
        <w:rFonts w:hint="default"/>
        <w:lang w:val="en-US" w:eastAsia="en-US" w:bidi="ar-SA"/>
      </w:rPr>
    </w:lvl>
    <w:lvl w:ilvl="5" w:tplc="35988678">
      <w:numFmt w:val="bullet"/>
      <w:lvlText w:val="•"/>
      <w:lvlJc w:val="left"/>
      <w:pPr>
        <w:ind w:left="5024" w:hanging="672"/>
      </w:pPr>
      <w:rPr>
        <w:rFonts w:hint="default"/>
        <w:lang w:val="en-US" w:eastAsia="en-US" w:bidi="ar-SA"/>
      </w:rPr>
    </w:lvl>
    <w:lvl w:ilvl="6" w:tplc="47285388">
      <w:numFmt w:val="bullet"/>
      <w:lvlText w:val="•"/>
      <w:lvlJc w:val="left"/>
      <w:pPr>
        <w:ind w:left="6316" w:hanging="672"/>
      </w:pPr>
      <w:rPr>
        <w:rFonts w:hint="default"/>
        <w:lang w:val="en-US" w:eastAsia="en-US" w:bidi="ar-SA"/>
      </w:rPr>
    </w:lvl>
    <w:lvl w:ilvl="7" w:tplc="0136E610">
      <w:numFmt w:val="bullet"/>
      <w:lvlText w:val="•"/>
      <w:lvlJc w:val="left"/>
      <w:pPr>
        <w:ind w:left="7608" w:hanging="672"/>
      </w:pPr>
      <w:rPr>
        <w:rFonts w:hint="default"/>
        <w:lang w:val="en-US" w:eastAsia="en-US" w:bidi="ar-SA"/>
      </w:rPr>
    </w:lvl>
    <w:lvl w:ilvl="8" w:tplc="75140D8E">
      <w:numFmt w:val="bullet"/>
      <w:lvlText w:val="•"/>
      <w:lvlJc w:val="left"/>
      <w:pPr>
        <w:ind w:left="8900" w:hanging="672"/>
      </w:pPr>
      <w:rPr>
        <w:rFonts w:hint="default"/>
        <w:lang w:val="en-US" w:eastAsia="en-US" w:bidi="ar-SA"/>
      </w:rPr>
    </w:lvl>
  </w:abstractNum>
  <w:abstractNum w:abstractNumId="1163" w15:restartNumberingAfterBreak="0">
    <w:nsid w:val="6D2877C2"/>
    <w:multiLevelType w:val="hybridMultilevel"/>
    <w:tmpl w:val="5FD00B12"/>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4" w15:restartNumberingAfterBreak="0">
    <w:nsid w:val="6D354612"/>
    <w:multiLevelType w:val="hybridMultilevel"/>
    <w:tmpl w:val="C33A2BFA"/>
    <w:lvl w:ilvl="0" w:tplc="590EEC4A">
      <w:start w:val="1"/>
      <w:numFmt w:val="lowerLetter"/>
      <w:lvlText w:val="(%1)"/>
      <w:lvlJc w:val="left"/>
      <w:pPr>
        <w:ind w:left="1080" w:hanging="72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5" w15:restartNumberingAfterBreak="0">
    <w:nsid w:val="6D356189"/>
    <w:multiLevelType w:val="hybridMultilevel"/>
    <w:tmpl w:val="91725830"/>
    <w:lvl w:ilvl="0" w:tplc="9DAA1320">
      <w:start w:val="1"/>
      <w:numFmt w:val="decimal"/>
      <w:lvlText w:val="%1."/>
      <w:lvlJc w:val="left"/>
      <w:pPr>
        <w:ind w:left="450" w:hanging="45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6" w15:restartNumberingAfterBreak="0">
    <w:nsid w:val="6D4C534C"/>
    <w:multiLevelType w:val="hybridMultilevel"/>
    <w:tmpl w:val="82BAA05A"/>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7" w15:restartNumberingAfterBreak="0">
    <w:nsid w:val="6D5B145B"/>
    <w:multiLevelType w:val="hybridMultilevel"/>
    <w:tmpl w:val="1442A214"/>
    <w:lvl w:ilvl="0" w:tplc="866EBFAA">
      <w:start w:val="1"/>
      <w:numFmt w:val="lowerLetter"/>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1E46D708">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F8DC98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B42A20F8">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0CBE4D32">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07A47826">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DFE0555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893C2D50">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D74CF58A">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168" w15:restartNumberingAfterBreak="0">
    <w:nsid w:val="6D651A7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9" w15:restartNumberingAfterBreak="0">
    <w:nsid w:val="6D6E69DC"/>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70" w15:restartNumberingAfterBreak="0">
    <w:nsid w:val="6D96690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1" w15:restartNumberingAfterBreak="0">
    <w:nsid w:val="6D982013"/>
    <w:multiLevelType w:val="hybridMultilevel"/>
    <w:tmpl w:val="430EE38A"/>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2" w15:restartNumberingAfterBreak="0">
    <w:nsid w:val="6D9F37B2"/>
    <w:multiLevelType w:val="hybridMultilevel"/>
    <w:tmpl w:val="2D489410"/>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C4D25778">
      <w:start w:val="1"/>
      <w:numFmt w:val="lowerRoman"/>
      <w:lvlText w:val="(%3)"/>
      <w:lvlJc w:val="right"/>
      <w:pPr>
        <w:ind w:left="2160" w:hanging="180"/>
      </w:pPr>
      <w:rPr>
        <w:rFonts w:asciiTheme="minorHAnsi" w:eastAsiaTheme="minorHAnsi" w:hAnsiTheme="minorHAnsi" w:cstheme="minorBidi" w:hint="default"/>
        <w:lang w:val="fr-B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3" w15:restartNumberingAfterBreak="0">
    <w:nsid w:val="6DD66704"/>
    <w:multiLevelType w:val="multilevel"/>
    <w:tmpl w:val="A1943B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6DFD48B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5" w15:restartNumberingAfterBreak="0">
    <w:nsid w:val="6E00320B"/>
    <w:multiLevelType w:val="hybridMultilevel"/>
    <w:tmpl w:val="1520F45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6" w15:restartNumberingAfterBreak="0">
    <w:nsid w:val="6E0E5E3A"/>
    <w:multiLevelType w:val="hybridMultilevel"/>
    <w:tmpl w:val="06041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15:restartNumberingAfterBreak="0">
    <w:nsid w:val="6E447656"/>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8" w15:restartNumberingAfterBreak="0">
    <w:nsid w:val="6E4C2571"/>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9" w15:restartNumberingAfterBreak="0">
    <w:nsid w:val="6E5B62A7"/>
    <w:multiLevelType w:val="multilevel"/>
    <w:tmpl w:val="E228A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0" w15:restartNumberingAfterBreak="0">
    <w:nsid w:val="6E614E5E"/>
    <w:multiLevelType w:val="multilevel"/>
    <w:tmpl w:val="82C2D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1" w15:restartNumberingAfterBreak="0">
    <w:nsid w:val="6E6C6FCB"/>
    <w:multiLevelType w:val="hybridMultilevel"/>
    <w:tmpl w:val="27E03126"/>
    <w:lvl w:ilvl="0" w:tplc="00C62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1C43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CC43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D42E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DC4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3B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222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B8BB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98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2" w15:restartNumberingAfterBreak="0">
    <w:nsid w:val="6E7A1C4B"/>
    <w:multiLevelType w:val="hybridMultilevel"/>
    <w:tmpl w:val="EFD461E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3" w15:restartNumberingAfterBreak="0">
    <w:nsid w:val="6E8704BB"/>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4" w15:restartNumberingAfterBreak="0">
    <w:nsid w:val="6E9E7EAB"/>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5" w15:restartNumberingAfterBreak="0">
    <w:nsid w:val="6EA03E42"/>
    <w:multiLevelType w:val="hybridMultilevel"/>
    <w:tmpl w:val="72628384"/>
    <w:lvl w:ilvl="0" w:tplc="649C24A0">
      <w:start w:val="1"/>
      <w:numFmt w:val="decimal"/>
      <w:suff w:val="space"/>
      <w:lvlText w:val="%1."/>
      <w:lvlJc w:val="left"/>
      <w:pPr>
        <w:ind w:left="967"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6" w15:restartNumberingAfterBreak="0">
    <w:nsid w:val="6EB9741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87" w15:restartNumberingAfterBreak="0">
    <w:nsid w:val="6ED3583B"/>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1188" w15:restartNumberingAfterBreak="0">
    <w:nsid w:val="6F3D46F4"/>
    <w:multiLevelType w:val="hybridMultilevel"/>
    <w:tmpl w:val="77D81BDE"/>
    <w:lvl w:ilvl="0" w:tplc="C7FA5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9" w15:restartNumberingAfterBreak="0">
    <w:nsid w:val="6F543EAE"/>
    <w:multiLevelType w:val="hybridMultilevel"/>
    <w:tmpl w:val="462A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0" w15:restartNumberingAfterBreak="0">
    <w:nsid w:val="6F5B50D5"/>
    <w:multiLevelType w:val="hybridMultilevel"/>
    <w:tmpl w:val="857EC58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1" w15:restartNumberingAfterBreak="0">
    <w:nsid w:val="6F63687C"/>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2" w15:restartNumberingAfterBreak="0">
    <w:nsid w:val="6F636A6E"/>
    <w:multiLevelType w:val="hybridMultilevel"/>
    <w:tmpl w:val="B2FE6D34"/>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93" w15:restartNumberingAfterBreak="0">
    <w:nsid w:val="6F7829FB"/>
    <w:multiLevelType w:val="hybridMultilevel"/>
    <w:tmpl w:val="A7781ED6"/>
    <w:lvl w:ilvl="0" w:tplc="628C067C">
      <w:start w:val="1"/>
      <w:numFmt w:val="lowerLetter"/>
      <w:lvlText w:val="(%1)"/>
      <w:lvlJc w:val="left"/>
      <w:pPr>
        <w:ind w:left="1724" w:hanging="368"/>
        <w:jc w:val="right"/>
      </w:pPr>
      <w:rPr>
        <w:rFonts w:asciiTheme="minorHAnsi" w:eastAsia="Times New Roman" w:hAnsiTheme="minorHAnsi" w:cs="Arial" w:hint="default"/>
        <w:color w:val="201F20"/>
        <w:spacing w:val="-24"/>
        <w:w w:val="100"/>
        <w:sz w:val="22"/>
        <w:szCs w:val="22"/>
        <w:lang w:val="en-US" w:eastAsia="en-US" w:bidi="ar-SA"/>
      </w:rPr>
    </w:lvl>
    <w:lvl w:ilvl="1" w:tplc="ADF87A9E">
      <w:numFmt w:val="bullet"/>
      <w:lvlText w:val="•"/>
      <w:lvlJc w:val="left"/>
      <w:pPr>
        <w:ind w:left="2696" w:hanging="368"/>
      </w:pPr>
      <w:rPr>
        <w:rFonts w:hint="default"/>
        <w:lang w:val="en-US" w:eastAsia="en-US" w:bidi="ar-SA"/>
      </w:rPr>
    </w:lvl>
    <w:lvl w:ilvl="2" w:tplc="6150C7CE">
      <w:numFmt w:val="bullet"/>
      <w:lvlText w:val="•"/>
      <w:lvlJc w:val="left"/>
      <w:pPr>
        <w:ind w:left="3672" w:hanging="368"/>
      </w:pPr>
      <w:rPr>
        <w:rFonts w:hint="default"/>
        <w:lang w:val="en-US" w:eastAsia="en-US" w:bidi="ar-SA"/>
      </w:rPr>
    </w:lvl>
    <w:lvl w:ilvl="3" w:tplc="A3CA2ED6">
      <w:numFmt w:val="bullet"/>
      <w:lvlText w:val="•"/>
      <w:lvlJc w:val="left"/>
      <w:pPr>
        <w:ind w:left="4649" w:hanging="368"/>
      </w:pPr>
      <w:rPr>
        <w:rFonts w:hint="default"/>
        <w:lang w:val="en-US" w:eastAsia="en-US" w:bidi="ar-SA"/>
      </w:rPr>
    </w:lvl>
    <w:lvl w:ilvl="4" w:tplc="4482A6F8">
      <w:numFmt w:val="bullet"/>
      <w:lvlText w:val="•"/>
      <w:lvlJc w:val="left"/>
      <w:pPr>
        <w:ind w:left="5625" w:hanging="368"/>
      </w:pPr>
      <w:rPr>
        <w:rFonts w:hint="default"/>
        <w:lang w:val="en-US" w:eastAsia="en-US" w:bidi="ar-SA"/>
      </w:rPr>
    </w:lvl>
    <w:lvl w:ilvl="5" w:tplc="2B84AEC6">
      <w:numFmt w:val="bullet"/>
      <w:lvlText w:val="•"/>
      <w:lvlJc w:val="left"/>
      <w:pPr>
        <w:ind w:left="6602" w:hanging="368"/>
      </w:pPr>
      <w:rPr>
        <w:rFonts w:hint="default"/>
        <w:lang w:val="en-US" w:eastAsia="en-US" w:bidi="ar-SA"/>
      </w:rPr>
    </w:lvl>
    <w:lvl w:ilvl="6" w:tplc="834EAEB4">
      <w:numFmt w:val="bullet"/>
      <w:lvlText w:val="•"/>
      <w:lvlJc w:val="left"/>
      <w:pPr>
        <w:ind w:left="7578" w:hanging="368"/>
      </w:pPr>
      <w:rPr>
        <w:rFonts w:hint="default"/>
        <w:lang w:val="en-US" w:eastAsia="en-US" w:bidi="ar-SA"/>
      </w:rPr>
    </w:lvl>
    <w:lvl w:ilvl="7" w:tplc="D7A0CB40">
      <w:numFmt w:val="bullet"/>
      <w:lvlText w:val="•"/>
      <w:lvlJc w:val="left"/>
      <w:pPr>
        <w:ind w:left="8554" w:hanging="368"/>
      </w:pPr>
      <w:rPr>
        <w:rFonts w:hint="default"/>
        <w:lang w:val="en-US" w:eastAsia="en-US" w:bidi="ar-SA"/>
      </w:rPr>
    </w:lvl>
    <w:lvl w:ilvl="8" w:tplc="DC4E4016">
      <w:numFmt w:val="bullet"/>
      <w:lvlText w:val="•"/>
      <w:lvlJc w:val="left"/>
      <w:pPr>
        <w:ind w:left="9531" w:hanging="368"/>
      </w:pPr>
      <w:rPr>
        <w:rFonts w:hint="default"/>
        <w:lang w:val="en-US" w:eastAsia="en-US" w:bidi="ar-SA"/>
      </w:rPr>
    </w:lvl>
  </w:abstractNum>
  <w:abstractNum w:abstractNumId="1194" w15:restartNumberingAfterBreak="0">
    <w:nsid w:val="6F9E3D6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5" w15:restartNumberingAfterBreak="0">
    <w:nsid w:val="6FCE04F8"/>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6" w15:restartNumberingAfterBreak="0">
    <w:nsid w:val="6FF71BFB"/>
    <w:multiLevelType w:val="hybridMultilevel"/>
    <w:tmpl w:val="5D001F42"/>
    <w:lvl w:ilvl="0" w:tplc="6B3C4A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89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A65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9AC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BE78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986F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B66E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08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7" w15:restartNumberingAfterBreak="0">
    <w:nsid w:val="70263C1B"/>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98" w15:restartNumberingAfterBreak="0">
    <w:nsid w:val="70A5472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9" w15:restartNumberingAfterBreak="0">
    <w:nsid w:val="70CF0775"/>
    <w:multiLevelType w:val="hybridMultilevel"/>
    <w:tmpl w:val="FE4A03A2"/>
    <w:lvl w:ilvl="0" w:tplc="5F164674">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50DEB2F6">
      <w:start w:val="1"/>
      <w:numFmt w:val="lowerRoman"/>
      <w:lvlText w:val="%3."/>
      <w:lvlJc w:val="right"/>
      <w:pPr>
        <w:ind w:left="2160" w:hanging="360"/>
      </w:pPr>
      <w:rPr>
        <w:u w:val="none"/>
      </w:rPr>
    </w:lvl>
    <w:lvl w:ilvl="3" w:tplc="3886B7A0">
      <w:start w:val="1"/>
      <w:numFmt w:val="decimal"/>
      <w:lvlText w:val="%4."/>
      <w:lvlJc w:val="left"/>
      <w:pPr>
        <w:ind w:left="2880" w:hanging="360"/>
      </w:pPr>
      <w:rPr>
        <w:u w:val="none"/>
      </w:rPr>
    </w:lvl>
    <w:lvl w:ilvl="4" w:tplc="0A7C8B06">
      <w:start w:val="1"/>
      <w:numFmt w:val="lowerLetter"/>
      <w:lvlText w:val="%5."/>
      <w:lvlJc w:val="left"/>
      <w:pPr>
        <w:ind w:left="3600" w:hanging="360"/>
      </w:pPr>
      <w:rPr>
        <w:u w:val="none"/>
      </w:rPr>
    </w:lvl>
    <w:lvl w:ilvl="5" w:tplc="DEC6FC20">
      <w:start w:val="1"/>
      <w:numFmt w:val="lowerRoman"/>
      <w:lvlText w:val="%6."/>
      <w:lvlJc w:val="right"/>
      <w:pPr>
        <w:ind w:left="4320" w:hanging="360"/>
      </w:pPr>
      <w:rPr>
        <w:u w:val="none"/>
      </w:rPr>
    </w:lvl>
    <w:lvl w:ilvl="6" w:tplc="1DC68E16">
      <w:start w:val="1"/>
      <w:numFmt w:val="decimal"/>
      <w:lvlText w:val="%7."/>
      <w:lvlJc w:val="left"/>
      <w:pPr>
        <w:ind w:left="5040" w:hanging="360"/>
      </w:pPr>
      <w:rPr>
        <w:u w:val="none"/>
      </w:rPr>
    </w:lvl>
    <w:lvl w:ilvl="7" w:tplc="85404DA2">
      <w:start w:val="1"/>
      <w:numFmt w:val="lowerLetter"/>
      <w:lvlText w:val="%8."/>
      <w:lvlJc w:val="left"/>
      <w:pPr>
        <w:ind w:left="5760" w:hanging="360"/>
      </w:pPr>
      <w:rPr>
        <w:u w:val="none"/>
      </w:rPr>
    </w:lvl>
    <w:lvl w:ilvl="8" w:tplc="A1801434">
      <w:start w:val="1"/>
      <w:numFmt w:val="lowerRoman"/>
      <w:lvlText w:val="%9."/>
      <w:lvlJc w:val="right"/>
      <w:pPr>
        <w:ind w:left="6480" w:hanging="360"/>
      </w:pPr>
      <w:rPr>
        <w:u w:val="none"/>
      </w:rPr>
    </w:lvl>
  </w:abstractNum>
  <w:abstractNum w:abstractNumId="1200" w15:restartNumberingAfterBreak="0">
    <w:nsid w:val="70F825A5"/>
    <w:multiLevelType w:val="multilevel"/>
    <w:tmpl w:val="ED1858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1" w15:restartNumberingAfterBreak="0">
    <w:nsid w:val="710D57E8"/>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2" w15:restartNumberingAfterBreak="0">
    <w:nsid w:val="71180335"/>
    <w:multiLevelType w:val="hybridMultilevel"/>
    <w:tmpl w:val="891ED838"/>
    <w:lvl w:ilvl="0" w:tplc="7F08B7C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3" w15:restartNumberingAfterBreak="0">
    <w:nsid w:val="71284C45"/>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04" w15:restartNumberingAfterBreak="0">
    <w:nsid w:val="713F5EE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05" w15:restartNumberingAfterBreak="0">
    <w:nsid w:val="71440CF9"/>
    <w:multiLevelType w:val="multilevel"/>
    <w:tmpl w:val="D87EDB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6" w15:restartNumberingAfterBreak="0">
    <w:nsid w:val="715468D7"/>
    <w:multiLevelType w:val="hybridMultilevel"/>
    <w:tmpl w:val="C0DA2462"/>
    <w:lvl w:ilvl="0" w:tplc="2A2C3078">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7" w15:restartNumberingAfterBreak="0">
    <w:nsid w:val="715F2627"/>
    <w:multiLevelType w:val="multilevel"/>
    <w:tmpl w:val="55C856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Point"/>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8" w15:restartNumberingAfterBreak="0">
    <w:nsid w:val="7181341F"/>
    <w:multiLevelType w:val="multilevel"/>
    <w:tmpl w:val="94E20A8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9" w15:restartNumberingAfterBreak="0">
    <w:nsid w:val="719477F3"/>
    <w:multiLevelType w:val="multilevel"/>
    <w:tmpl w:val="07AE13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0" w15:restartNumberingAfterBreak="0">
    <w:nsid w:val="71976FAA"/>
    <w:multiLevelType w:val="hybridMultilevel"/>
    <w:tmpl w:val="A2529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1" w15:restartNumberingAfterBreak="0">
    <w:nsid w:val="719C3875"/>
    <w:multiLevelType w:val="multilevel"/>
    <w:tmpl w:val="29702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2" w15:restartNumberingAfterBreak="0">
    <w:nsid w:val="71A76E3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3" w15:restartNumberingAfterBreak="0">
    <w:nsid w:val="71B20D1F"/>
    <w:multiLevelType w:val="hybridMultilevel"/>
    <w:tmpl w:val="8E3E6658"/>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4" w15:restartNumberingAfterBreak="0">
    <w:nsid w:val="71D37BC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5" w15:restartNumberingAfterBreak="0">
    <w:nsid w:val="72074CEF"/>
    <w:multiLevelType w:val="hybridMultilevel"/>
    <w:tmpl w:val="F08CF562"/>
    <w:lvl w:ilvl="0" w:tplc="57408B84">
      <w:start w:val="6"/>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216" w15:restartNumberingAfterBreak="0">
    <w:nsid w:val="7216100F"/>
    <w:multiLevelType w:val="hybridMultilevel"/>
    <w:tmpl w:val="A740BF5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7" w15:restartNumberingAfterBreak="0">
    <w:nsid w:val="72405C8B"/>
    <w:multiLevelType w:val="multilevel"/>
    <w:tmpl w:val="10526D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8" w15:restartNumberingAfterBreak="0">
    <w:nsid w:val="72514BC1"/>
    <w:multiLevelType w:val="multilevel"/>
    <w:tmpl w:val="EAFEC694"/>
    <w:lvl w:ilvl="0">
      <w:start w:val="1"/>
      <w:numFmt w:val="decimal"/>
      <w:lvlText w:val="%1."/>
      <w:lvlJc w:val="left"/>
      <w:pPr>
        <w:ind w:left="360" w:hanging="360"/>
      </w:pPr>
      <w:rPr>
        <w:strike w:val="0"/>
        <w:u w:val="none"/>
      </w:rPr>
    </w:lvl>
    <w:lvl w:ilvl="1">
      <w:start w:val="1"/>
      <w:numFmt w:val="lowerLetter"/>
      <w:lvlText w:val="(%2)"/>
      <w:lvlJc w:val="left"/>
      <w:pPr>
        <w:ind w:left="502" w:hanging="360"/>
      </w:pPr>
      <w:rPr>
        <w:rFonts w:hint="default"/>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19" w15:restartNumberingAfterBreak="0">
    <w:nsid w:val="725335A8"/>
    <w:multiLevelType w:val="hybridMultilevel"/>
    <w:tmpl w:val="1C787476"/>
    <w:lvl w:ilvl="0" w:tplc="6584D3E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0" w15:restartNumberingAfterBreak="0">
    <w:nsid w:val="72655ED7"/>
    <w:multiLevelType w:val="hybridMultilevel"/>
    <w:tmpl w:val="28FA7C08"/>
    <w:lvl w:ilvl="0" w:tplc="CB32CC9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21" w15:restartNumberingAfterBreak="0">
    <w:nsid w:val="72661327"/>
    <w:multiLevelType w:val="hybridMultilevel"/>
    <w:tmpl w:val="0056466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2" w15:restartNumberingAfterBreak="0">
    <w:nsid w:val="72A039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3" w15:restartNumberingAfterBreak="0">
    <w:nsid w:val="72B54F96"/>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4" w15:restartNumberingAfterBreak="0">
    <w:nsid w:val="72EC1BD1"/>
    <w:multiLevelType w:val="hybridMultilevel"/>
    <w:tmpl w:val="CCE86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5" w15:restartNumberingAfterBreak="0">
    <w:nsid w:val="730A06C5"/>
    <w:multiLevelType w:val="hybridMultilevel"/>
    <w:tmpl w:val="478423D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26" w15:restartNumberingAfterBreak="0">
    <w:nsid w:val="733D4CD3"/>
    <w:multiLevelType w:val="multilevel"/>
    <w:tmpl w:val="FEFCAC3E"/>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7" w15:restartNumberingAfterBreak="0">
    <w:nsid w:val="73427287"/>
    <w:multiLevelType w:val="hybridMultilevel"/>
    <w:tmpl w:val="C6FADC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8" w15:restartNumberingAfterBreak="0">
    <w:nsid w:val="73432F4F"/>
    <w:multiLevelType w:val="hybridMultilevel"/>
    <w:tmpl w:val="4814B5E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9" w15:restartNumberingAfterBreak="0">
    <w:nsid w:val="735431E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0" w15:restartNumberingAfterBreak="0">
    <w:nsid w:val="73624F18"/>
    <w:multiLevelType w:val="hybridMultilevel"/>
    <w:tmpl w:val="FF3E9B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1" w15:restartNumberingAfterBreak="0">
    <w:nsid w:val="738745C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232" w15:restartNumberingAfterBreak="0">
    <w:nsid w:val="739912B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3" w15:restartNumberingAfterBreak="0">
    <w:nsid w:val="73A133E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4" w15:restartNumberingAfterBreak="0">
    <w:nsid w:val="73A95853"/>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5" w15:restartNumberingAfterBreak="0">
    <w:nsid w:val="73BB25DC"/>
    <w:multiLevelType w:val="multilevel"/>
    <w:tmpl w:val="603EAC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6" w15:restartNumberingAfterBreak="0">
    <w:nsid w:val="73E84A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7" w15:restartNumberingAfterBreak="0">
    <w:nsid w:val="73FD73E9"/>
    <w:multiLevelType w:val="hybridMultilevel"/>
    <w:tmpl w:val="7A3CF45A"/>
    <w:lvl w:ilvl="0" w:tplc="E1061ED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E2E74">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DA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AC43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0D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CE15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32D24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EEB17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CB49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8" w15:restartNumberingAfterBreak="0">
    <w:nsid w:val="74681D30"/>
    <w:multiLevelType w:val="hybridMultilevel"/>
    <w:tmpl w:val="B9CAF484"/>
    <w:lvl w:ilvl="0" w:tplc="7F08B7C8">
      <w:start w:val="1"/>
      <w:numFmt w:val="lowerLetter"/>
      <w:lvlText w:val="(%1)"/>
      <w:lvlJc w:val="left"/>
      <w:pPr>
        <w:ind w:left="1410" w:hanging="360"/>
      </w:pPr>
      <w:rPr>
        <w:rFonts w:hint="default"/>
        <w:color w:val="00000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39" w15:restartNumberingAfterBreak="0">
    <w:nsid w:val="74693E6D"/>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0" w15:restartNumberingAfterBreak="0">
    <w:nsid w:val="74814717"/>
    <w:multiLevelType w:val="hybridMultilevel"/>
    <w:tmpl w:val="F7E6ECD2"/>
    <w:lvl w:ilvl="0" w:tplc="8400574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1" w15:restartNumberingAfterBreak="0">
    <w:nsid w:val="74D1563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2" w15:restartNumberingAfterBreak="0">
    <w:nsid w:val="750A5B3E"/>
    <w:multiLevelType w:val="hybridMultilevel"/>
    <w:tmpl w:val="2FC88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15:restartNumberingAfterBreak="0">
    <w:nsid w:val="751C71EF"/>
    <w:multiLevelType w:val="hybridMultilevel"/>
    <w:tmpl w:val="F7ECB120"/>
    <w:lvl w:ilvl="0" w:tplc="B330A7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4" w15:restartNumberingAfterBreak="0">
    <w:nsid w:val="7541171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5" w15:restartNumberingAfterBreak="0">
    <w:nsid w:val="75435D8D"/>
    <w:multiLevelType w:val="multilevel"/>
    <w:tmpl w:val="875EBA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6" w15:restartNumberingAfterBreak="0">
    <w:nsid w:val="75CD11B6"/>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47" w15:restartNumberingAfterBreak="0">
    <w:nsid w:val="75D25A4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48" w15:restartNumberingAfterBreak="0">
    <w:nsid w:val="75E40CE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9" w15:restartNumberingAfterBreak="0">
    <w:nsid w:val="75E77AD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15:restartNumberingAfterBreak="0">
    <w:nsid w:val="75EB1A04"/>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1" w15:restartNumberingAfterBreak="0">
    <w:nsid w:val="75EF2FD9"/>
    <w:multiLevelType w:val="hybridMultilevel"/>
    <w:tmpl w:val="8640A6E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2" w15:restartNumberingAfterBreak="0">
    <w:nsid w:val="75FE5B9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3" w15:restartNumberingAfterBreak="0">
    <w:nsid w:val="7643486B"/>
    <w:multiLevelType w:val="hybridMultilevel"/>
    <w:tmpl w:val="A2DC6D8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4" w15:restartNumberingAfterBreak="0">
    <w:nsid w:val="76530EF6"/>
    <w:multiLevelType w:val="hybridMultilevel"/>
    <w:tmpl w:val="47ACFB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15:restartNumberingAfterBreak="0">
    <w:nsid w:val="767C5046"/>
    <w:multiLevelType w:val="hybridMultilevel"/>
    <w:tmpl w:val="8428921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15:restartNumberingAfterBreak="0">
    <w:nsid w:val="76840AD1"/>
    <w:multiLevelType w:val="hybridMultilevel"/>
    <w:tmpl w:val="5300AAC2"/>
    <w:lvl w:ilvl="0" w:tplc="4C6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3AB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C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0A08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457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249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F4C2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FA35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50DC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7" w15:restartNumberingAfterBreak="0">
    <w:nsid w:val="76962AB8"/>
    <w:multiLevelType w:val="hybridMultilevel"/>
    <w:tmpl w:val="247AD818"/>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D28271C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8" w15:restartNumberingAfterBreak="0">
    <w:nsid w:val="76D22683"/>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59" w15:restartNumberingAfterBreak="0">
    <w:nsid w:val="76E618C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0" w15:restartNumberingAfterBreak="0">
    <w:nsid w:val="76FD17A8"/>
    <w:multiLevelType w:val="hybridMultilevel"/>
    <w:tmpl w:val="320E9660"/>
    <w:lvl w:ilvl="0" w:tplc="464E8C68">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AB58DC20">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4314D37A">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7CDEDDEA">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1366B14E">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A25E6134">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64AA5AB8">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9656DAE8">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6FC43060">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261" w15:restartNumberingAfterBreak="0">
    <w:nsid w:val="770B2658"/>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2" w15:restartNumberingAfterBreak="0">
    <w:nsid w:val="771D6E3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3" w15:restartNumberingAfterBreak="0">
    <w:nsid w:val="772B0789"/>
    <w:multiLevelType w:val="hybridMultilevel"/>
    <w:tmpl w:val="9734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4" w15:restartNumberingAfterBreak="0">
    <w:nsid w:val="77525B6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5" w15:restartNumberingAfterBreak="0">
    <w:nsid w:val="7785750E"/>
    <w:multiLevelType w:val="hybridMultilevel"/>
    <w:tmpl w:val="690EAB6C"/>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6" w15:restartNumberingAfterBreak="0">
    <w:nsid w:val="77B70C81"/>
    <w:multiLevelType w:val="multilevel"/>
    <w:tmpl w:val="95F8DE02"/>
    <w:lvl w:ilvl="0">
      <w:start w:val="4"/>
      <w:numFmt w:val="lowerLetter"/>
      <w:lvlText w:val="(%1)"/>
      <w:lvlJc w:val="left"/>
      <w:pPr>
        <w:ind w:left="1187" w:hanging="360"/>
      </w:pPr>
      <w:rPr>
        <w:rFonts w:hint="default"/>
      </w:rPr>
    </w:lvl>
    <w:lvl w:ilvl="1">
      <w:start w:val="1"/>
      <w:numFmt w:val="lowerLetter"/>
      <w:lvlText w:val="%2."/>
      <w:lvlJc w:val="left"/>
      <w:pPr>
        <w:ind w:left="1907" w:hanging="360"/>
      </w:pPr>
      <w:rPr>
        <w:rFonts w:hint="default"/>
      </w:rPr>
    </w:lvl>
    <w:lvl w:ilvl="2">
      <w:start w:val="1"/>
      <w:numFmt w:val="lowerRoman"/>
      <w:lvlText w:val="%3."/>
      <w:lvlJc w:val="right"/>
      <w:pPr>
        <w:ind w:left="2627" w:hanging="180"/>
      </w:pPr>
      <w:rPr>
        <w:rFonts w:hint="default"/>
      </w:rPr>
    </w:lvl>
    <w:lvl w:ilvl="3">
      <w:start w:val="1"/>
      <w:numFmt w:val="decimal"/>
      <w:lvlText w:val="%4."/>
      <w:lvlJc w:val="left"/>
      <w:pPr>
        <w:ind w:left="3347" w:hanging="360"/>
      </w:pPr>
      <w:rPr>
        <w:rFonts w:hint="default"/>
      </w:rPr>
    </w:lvl>
    <w:lvl w:ilvl="4">
      <w:start w:val="1"/>
      <w:numFmt w:val="lowerLetter"/>
      <w:lvlText w:val="%5."/>
      <w:lvlJc w:val="left"/>
      <w:pPr>
        <w:ind w:left="4067" w:hanging="360"/>
      </w:pPr>
      <w:rPr>
        <w:rFonts w:hint="default"/>
      </w:rPr>
    </w:lvl>
    <w:lvl w:ilvl="5">
      <w:start w:val="1"/>
      <w:numFmt w:val="lowerRoman"/>
      <w:lvlText w:val="%6."/>
      <w:lvlJc w:val="right"/>
      <w:pPr>
        <w:ind w:left="4787" w:hanging="180"/>
      </w:pPr>
      <w:rPr>
        <w:rFonts w:hint="default"/>
      </w:rPr>
    </w:lvl>
    <w:lvl w:ilvl="6">
      <w:start w:val="1"/>
      <w:numFmt w:val="decimal"/>
      <w:lvlText w:val="%7."/>
      <w:lvlJc w:val="left"/>
      <w:pPr>
        <w:ind w:left="5507" w:hanging="360"/>
      </w:pPr>
      <w:rPr>
        <w:rFonts w:hint="default"/>
      </w:rPr>
    </w:lvl>
    <w:lvl w:ilvl="7">
      <w:start w:val="1"/>
      <w:numFmt w:val="lowerLetter"/>
      <w:lvlText w:val="%8."/>
      <w:lvlJc w:val="left"/>
      <w:pPr>
        <w:ind w:left="6227" w:hanging="360"/>
      </w:pPr>
      <w:rPr>
        <w:rFonts w:hint="default"/>
      </w:rPr>
    </w:lvl>
    <w:lvl w:ilvl="8">
      <w:start w:val="1"/>
      <w:numFmt w:val="lowerRoman"/>
      <w:lvlText w:val="%9."/>
      <w:lvlJc w:val="right"/>
      <w:pPr>
        <w:ind w:left="6947" w:hanging="180"/>
      </w:pPr>
      <w:rPr>
        <w:rFonts w:hint="default"/>
      </w:rPr>
    </w:lvl>
  </w:abstractNum>
  <w:abstractNum w:abstractNumId="1267" w15:restartNumberingAfterBreak="0">
    <w:nsid w:val="77DF7CAA"/>
    <w:multiLevelType w:val="multilevel"/>
    <w:tmpl w:val="4456002A"/>
    <w:lvl w:ilvl="0">
      <w:start w:val="1"/>
      <w:numFmt w:val="decimal"/>
      <w:lvlText w:val="%1."/>
      <w:lvlJc w:val="left"/>
      <w:pPr>
        <w:ind w:left="504" w:hanging="504"/>
      </w:pPr>
      <w:rPr>
        <w:rFonts w:hint="default"/>
      </w:rPr>
    </w:lvl>
    <w:lvl w:ilvl="1">
      <w:start w:val="1"/>
      <w:numFmt w:val="lowerLetter"/>
      <w:lvlText w:val="(%2)"/>
      <w:lvlJc w:val="left"/>
      <w:pPr>
        <w:ind w:left="1080" w:hanging="720"/>
      </w:pPr>
      <w:rPr>
        <w:rFonts w:hint="default"/>
      </w:rPr>
    </w:lvl>
    <w:lvl w:ilvl="2">
      <w:start w:val="1"/>
      <w:numFmt w:val="upperLetter"/>
      <w:lvlText w:val="%3"/>
      <w:lvlJc w:val="left"/>
      <w:pPr>
        <w:ind w:left="1512" w:hanging="252"/>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68" w15:restartNumberingAfterBreak="0">
    <w:nsid w:val="77EE27CB"/>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9" w15:restartNumberingAfterBreak="0">
    <w:nsid w:val="77F3049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70" w15:restartNumberingAfterBreak="0">
    <w:nsid w:val="77FA1390"/>
    <w:multiLevelType w:val="hybridMultilevel"/>
    <w:tmpl w:val="D390ECBC"/>
    <w:lvl w:ilvl="0" w:tplc="ECE0D97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71" w15:restartNumberingAfterBreak="0">
    <w:nsid w:val="780405BA"/>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2" w15:restartNumberingAfterBreak="0">
    <w:nsid w:val="78274457"/>
    <w:multiLevelType w:val="hybridMultilevel"/>
    <w:tmpl w:val="CC683C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3" w15:restartNumberingAfterBreak="0">
    <w:nsid w:val="786E74A9"/>
    <w:multiLevelType w:val="hybridMultilevel"/>
    <w:tmpl w:val="8772A9DC"/>
    <w:lvl w:ilvl="0" w:tplc="0D9EDED0">
      <w:start w:val="1"/>
      <w:numFmt w:val="lowerLetter"/>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D9EDED0">
      <w:start w:val="1"/>
      <w:numFmt w:val="lowerLetter"/>
      <w:lvlText w:val="(%4)"/>
      <w:lvlJc w:val="left"/>
      <w:pPr>
        <w:ind w:left="3237" w:hanging="360"/>
      </w:pPr>
      <w:rPr>
        <w:rFonts w:hint="default"/>
      </w:r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274" w15:restartNumberingAfterBreak="0">
    <w:nsid w:val="788139B4"/>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5" w15:restartNumberingAfterBreak="0">
    <w:nsid w:val="78C85FF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76" w15:restartNumberingAfterBreak="0">
    <w:nsid w:val="78F22A3D"/>
    <w:multiLevelType w:val="multilevel"/>
    <w:tmpl w:val="2FF2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7" w15:restartNumberingAfterBreak="0">
    <w:nsid w:val="78F77F0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8" w15:restartNumberingAfterBreak="0">
    <w:nsid w:val="79127DB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9" w15:restartNumberingAfterBreak="0">
    <w:nsid w:val="791614DB"/>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0" w15:restartNumberingAfterBreak="0">
    <w:nsid w:val="793130BF"/>
    <w:multiLevelType w:val="multilevel"/>
    <w:tmpl w:val="8E642D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1" w15:restartNumberingAfterBreak="0">
    <w:nsid w:val="794476B4"/>
    <w:multiLevelType w:val="multilevel"/>
    <w:tmpl w:val="45621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2" w15:restartNumberingAfterBreak="0">
    <w:nsid w:val="795348C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3" w15:restartNumberingAfterBreak="0">
    <w:nsid w:val="79575DDA"/>
    <w:multiLevelType w:val="multilevel"/>
    <w:tmpl w:val="9E48C1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284" w15:restartNumberingAfterBreak="0">
    <w:nsid w:val="796E34C7"/>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5" w15:restartNumberingAfterBreak="0">
    <w:nsid w:val="79767750"/>
    <w:multiLevelType w:val="hybridMultilevel"/>
    <w:tmpl w:val="C758F228"/>
    <w:lvl w:ilvl="0" w:tplc="92149F2A">
      <w:start w:val="1"/>
      <w:numFmt w:val="lowerRoman"/>
      <w:lvlText w:val="(%1)"/>
      <w:lvlJc w:val="left"/>
      <w:pPr>
        <w:ind w:left="1069" w:hanging="360"/>
      </w:pPr>
      <w:rPr>
        <w:rFonts w:hint="default"/>
        <w:i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6" w15:restartNumberingAfterBreak="0">
    <w:nsid w:val="79A326BA"/>
    <w:multiLevelType w:val="hybridMultilevel"/>
    <w:tmpl w:val="ACB07458"/>
    <w:lvl w:ilvl="0" w:tplc="89947B5A">
      <w:start w:val="1"/>
      <w:numFmt w:val="lowerRoman"/>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7" w15:restartNumberingAfterBreak="0">
    <w:nsid w:val="79BE4FD2"/>
    <w:multiLevelType w:val="hybridMultilevel"/>
    <w:tmpl w:val="6B7C0A38"/>
    <w:lvl w:ilvl="0" w:tplc="1A72114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8" w15:restartNumberingAfterBreak="0">
    <w:nsid w:val="79C248BB"/>
    <w:multiLevelType w:val="hybridMultilevel"/>
    <w:tmpl w:val="2348D92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9" w15:restartNumberingAfterBreak="0">
    <w:nsid w:val="79C96D36"/>
    <w:multiLevelType w:val="multilevel"/>
    <w:tmpl w:val="BE983CE4"/>
    <w:name w:val="Tiret 4"/>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90" w15:restartNumberingAfterBreak="0">
    <w:nsid w:val="79D8286B"/>
    <w:multiLevelType w:val="hybridMultilevel"/>
    <w:tmpl w:val="8F5C2548"/>
    <w:lvl w:ilvl="0" w:tplc="C1AC70D4">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450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AE83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4BC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E07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DC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06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5452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2A2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1" w15:restartNumberingAfterBreak="0">
    <w:nsid w:val="79E34C67"/>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2" w15:restartNumberingAfterBreak="0">
    <w:nsid w:val="79EF1B2F"/>
    <w:multiLevelType w:val="hybridMultilevel"/>
    <w:tmpl w:val="D34A709E"/>
    <w:lvl w:ilvl="0" w:tplc="C3DECC38">
      <w:start w:val="1"/>
      <w:numFmt w:val="decimal"/>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70887954">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1AC098D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8D825D0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E6725574">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E98D328">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10C04A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1910C074">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ABC4FCB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293" w15:restartNumberingAfterBreak="0">
    <w:nsid w:val="79FE58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4" w15:restartNumberingAfterBreak="0">
    <w:nsid w:val="7A154845"/>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95" w15:restartNumberingAfterBreak="0">
    <w:nsid w:val="7A282EDF"/>
    <w:multiLevelType w:val="hybridMultilevel"/>
    <w:tmpl w:val="329E2DFC"/>
    <w:lvl w:ilvl="0" w:tplc="F78A1942">
      <w:start w:val="1"/>
      <w:numFmt w:val="lowerLetter"/>
      <w:lvlText w:val="(%1)"/>
      <w:lvlJc w:val="left"/>
      <w:pPr>
        <w:ind w:left="1287" w:hanging="360"/>
      </w:pPr>
      <w:rPr>
        <w:rFonts w:hint="default"/>
        <w:color w:val="auto"/>
        <w:sz w:val="22"/>
        <w:szCs w:val="22"/>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96" w15:restartNumberingAfterBreak="0">
    <w:nsid w:val="7A850A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97" w15:restartNumberingAfterBreak="0">
    <w:nsid w:val="7A9F012D"/>
    <w:multiLevelType w:val="hybridMultilevel"/>
    <w:tmpl w:val="B7D2725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8" w15:restartNumberingAfterBreak="0">
    <w:nsid w:val="7AC65BE7"/>
    <w:multiLevelType w:val="hybridMultilevel"/>
    <w:tmpl w:val="D384E59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15:restartNumberingAfterBreak="0">
    <w:nsid w:val="7ACC45AC"/>
    <w:multiLevelType w:val="hybridMultilevel"/>
    <w:tmpl w:val="28A24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7AD93CB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1" w15:restartNumberingAfterBreak="0">
    <w:nsid w:val="7ADF075F"/>
    <w:multiLevelType w:val="hybridMultilevel"/>
    <w:tmpl w:val="09C42074"/>
    <w:lvl w:ilvl="0" w:tplc="805851C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EEB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ED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ECF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481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A55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443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E73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292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2" w15:restartNumberingAfterBreak="0">
    <w:nsid w:val="7AE7402E"/>
    <w:multiLevelType w:val="multilevel"/>
    <w:tmpl w:val="B928BF24"/>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303" w15:restartNumberingAfterBreak="0">
    <w:nsid w:val="7B042E82"/>
    <w:multiLevelType w:val="hybridMultilevel"/>
    <w:tmpl w:val="2A0C8C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4" w15:restartNumberingAfterBreak="0">
    <w:nsid w:val="7B0541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5" w15:restartNumberingAfterBreak="0">
    <w:nsid w:val="7B1A6696"/>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6" w15:restartNumberingAfterBreak="0">
    <w:nsid w:val="7B1C34FF"/>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7" w15:restartNumberingAfterBreak="0">
    <w:nsid w:val="7B3E5591"/>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15:restartNumberingAfterBreak="0">
    <w:nsid w:val="7B6A745D"/>
    <w:multiLevelType w:val="multilevel"/>
    <w:tmpl w:val="D97E4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9" w15:restartNumberingAfterBreak="0">
    <w:nsid w:val="7B6C435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0" w15:restartNumberingAfterBreak="0">
    <w:nsid w:val="7B7335B3"/>
    <w:multiLevelType w:val="multilevel"/>
    <w:tmpl w:val="C6CE67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1" w15:restartNumberingAfterBreak="0">
    <w:nsid w:val="7B8326E8"/>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12" w15:restartNumberingAfterBreak="0">
    <w:nsid w:val="7B8E4718"/>
    <w:multiLevelType w:val="hybridMultilevel"/>
    <w:tmpl w:val="6CA21FDE"/>
    <w:lvl w:ilvl="0" w:tplc="184EB36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3" w15:restartNumberingAfterBreak="0">
    <w:nsid w:val="7B943FA9"/>
    <w:multiLevelType w:val="multilevel"/>
    <w:tmpl w:val="D8480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4" w15:restartNumberingAfterBreak="0">
    <w:nsid w:val="7B9B2E42"/>
    <w:multiLevelType w:val="hybridMultilevel"/>
    <w:tmpl w:val="DF00B2AC"/>
    <w:lvl w:ilvl="0" w:tplc="EB72FEF8">
      <w:start w:val="1"/>
      <w:numFmt w:val="lowerLetter"/>
      <w:lvlText w:val="(%1)"/>
      <w:lvlJc w:val="left"/>
      <w:pPr>
        <w:ind w:left="720" w:hanging="360"/>
      </w:pPr>
      <w:rPr>
        <w:rFonts w:ascii="Calibri" w:eastAsia="Calibri" w:hAnsi="Calibri" w:cs="Calibri"/>
      </w:rPr>
    </w:lvl>
    <w:lvl w:ilvl="1" w:tplc="6E9484BA">
      <w:start w:val="1"/>
      <w:numFmt w:val="lowerLetter"/>
      <w:lvlText w:val="(%2)"/>
      <w:lvlJc w:val="left"/>
      <w:pPr>
        <w:ind w:left="1440" w:hanging="360"/>
      </w:pPr>
      <w:rPr>
        <w:rFonts w:ascii="Calibri" w:eastAsia="Calibri" w:hAnsi="Calibri" w:cs="Calibri"/>
        <w:color w:val="auto"/>
      </w:rPr>
    </w:lvl>
    <w:lvl w:ilvl="2" w:tplc="E7A06530">
      <w:start w:val="1"/>
      <w:numFmt w:val="lowerRoman"/>
      <w:lvlText w:val="%3."/>
      <w:lvlJc w:val="right"/>
      <w:pPr>
        <w:ind w:left="2160" w:hanging="180"/>
      </w:pPr>
    </w:lvl>
    <w:lvl w:ilvl="3" w:tplc="792AE4F6">
      <w:start w:val="1"/>
      <w:numFmt w:val="decimal"/>
      <w:lvlText w:val="%4."/>
      <w:lvlJc w:val="left"/>
      <w:pPr>
        <w:ind w:left="2880" w:hanging="360"/>
      </w:pPr>
    </w:lvl>
    <w:lvl w:ilvl="4" w:tplc="5BAA1B8C">
      <w:start w:val="1"/>
      <w:numFmt w:val="lowerLetter"/>
      <w:lvlText w:val="%5."/>
      <w:lvlJc w:val="left"/>
      <w:pPr>
        <w:ind w:left="3600" w:hanging="360"/>
      </w:pPr>
    </w:lvl>
    <w:lvl w:ilvl="5" w:tplc="507E422C">
      <w:start w:val="1"/>
      <w:numFmt w:val="lowerRoman"/>
      <w:lvlText w:val="%6."/>
      <w:lvlJc w:val="right"/>
      <w:pPr>
        <w:ind w:left="4320" w:hanging="180"/>
      </w:pPr>
    </w:lvl>
    <w:lvl w:ilvl="6" w:tplc="08424C6A">
      <w:start w:val="1"/>
      <w:numFmt w:val="decimal"/>
      <w:lvlText w:val="%7."/>
      <w:lvlJc w:val="left"/>
      <w:pPr>
        <w:ind w:left="5040" w:hanging="360"/>
      </w:pPr>
    </w:lvl>
    <w:lvl w:ilvl="7" w:tplc="ED60377E">
      <w:start w:val="1"/>
      <w:numFmt w:val="lowerLetter"/>
      <w:lvlText w:val="%8."/>
      <w:lvlJc w:val="left"/>
      <w:pPr>
        <w:ind w:left="5760" w:hanging="360"/>
      </w:pPr>
    </w:lvl>
    <w:lvl w:ilvl="8" w:tplc="31BEAEA8">
      <w:start w:val="1"/>
      <w:numFmt w:val="lowerRoman"/>
      <w:lvlText w:val="%9."/>
      <w:lvlJc w:val="right"/>
      <w:pPr>
        <w:ind w:left="6480" w:hanging="180"/>
      </w:pPr>
    </w:lvl>
  </w:abstractNum>
  <w:abstractNum w:abstractNumId="1315" w15:restartNumberingAfterBreak="0">
    <w:nsid w:val="7BA37101"/>
    <w:multiLevelType w:val="hybridMultilevel"/>
    <w:tmpl w:val="C3681236"/>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6" w15:restartNumberingAfterBreak="0">
    <w:nsid w:val="7BB4708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17" w15:restartNumberingAfterBreak="0">
    <w:nsid w:val="7BC04393"/>
    <w:multiLevelType w:val="hybridMultilevel"/>
    <w:tmpl w:val="EFC60B8A"/>
    <w:lvl w:ilvl="0" w:tplc="2C1216E6">
      <w:start w:val="1"/>
      <w:numFmt w:val="decimal"/>
      <w:lvlText w:val="%1."/>
      <w:lvlJc w:val="left"/>
      <w:pPr>
        <w:ind w:left="620" w:hanging="360"/>
      </w:pPr>
      <w:rPr>
        <w:rFonts w:hint="default"/>
      </w:rPr>
    </w:lvl>
    <w:lvl w:ilvl="1" w:tplc="18090019" w:tentative="1">
      <w:start w:val="1"/>
      <w:numFmt w:val="lowerLetter"/>
      <w:lvlText w:val="%2."/>
      <w:lvlJc w:val="left"/>
      <w:pPr>
        <w:ind w:left="1340" w:hanging="360"/>
      </w:pPr>
    </w:lvl>
    <w:lvl w:ilvl="2" w:tplc="1809001B" w:tentative="1">
      <w:start w:val="1"/>
      <w:numFmt w:val="lowerRoman"/>
      <w:lvlText w:val="%3."/>
      <w:lvlJc w:val="right"/>
      <w:pPr>
        <w:ind w:left="2060" w:hanging="180"/>
      </w:pPr>
    </w:lvl>
    <w:lvl w:ilvl="3" w:tplc="1809000F" w:tentative="1">
      <w:start w:val="1"/>
      <w:numFmt w:val="decimal"/>
      <w:lvlText w:val="%4."/>
      <w:lvlJc w:val="left"/>
      <w:pPr>
        <w:ind w:left="2780" w:hanging="360"/>
      </w:pPr>
    </w:lvl>
    <w:lvl w:ilvl="4" w:tplc="18090019" w:tentative="1">
      <w:start w:val="1"/>
      <w:numFmt w:val="lowerLetter"/>
      <w:lvlText w:val="%5."/>
      <w:lvlJc w:val="left"/>
      <w:pPr>
        <w:ind w:left="3500" w:hanging="360"/>
      </w:pPr>
    </w:lvl>
    <w:lvl w:ilvl="5" w:tplc="1809001B" w:tentative="1">
      <w:start w:val="1"/>
      <w:numFmt w:val="lowerRoman"/>
      <w:lvlText w:val="%6."/>
      <w:lvlJc w:val="right"/>
      <w:pPr>
        <w:ind w:left="4220" w:hanging="180"/>
      </w:pPr>
    </w:lvl>
    <w:lvl w:ilvl="6" w:tplc="1809000F" w:tentative="1">
      <w:start w:val="1"/>
      <w:numFmt w:val="decimal"/>
      <w:lvlText w:val="%7."/>
      <w:lvlJc w:val="left"/>
      <w:pPr>
        <w:ind w:left="4940" w:hanging="360"/>
      </w:pPr>
    </w:lvl>
    <w:lvl w:ilvl="7" w:tplc="18090019" w:tentative="1">
      <w:start w:val="1"/>
      <w:numFmt w:val="lowerLetter"/>
      <w:lvlText w:val="%8."/>
      <w:lvlJc w:val="left"/>
      <w:pPr>
        <w:ind w:left="5660" w:hanging="360"/>
      </w:pPr>
    </w:lvl>
    <w:lvl w:ilvl="8" w:tplc="1809001B" w:tentative="1">
      <w:start w:val="1"/>
      <w:numFmt w:val="lowerRoman"/>
      <w:lvlText w:val="%9."/>
      <w:lvlJc w:val="right"/>
      <w:pPr>
        <w:ind w:left="6380" w:hanging="180"/>
      </w:pPr>
    </w:lvl>
  </w:abstractNum>
  <w:abstractNum w:abstractNumId="1318" w15:restartNumberingAfterBreak="0">
    <w:nsid w:val="7BC74E8E"/>
    <w:multiLevelType w:val="hybridMultilevel"/>
    <w:tmpl w:val="E0A6BC82"/>
    <w:lvl w:ilvl="0" w:tplc="B414FE50">
      <w:start w:val="1"/>
      <w:numFmt w:val="lowerLetter"/>
      <w:lvlText w:val="(%1)"/>
      <w:lvlJc w:val="left"/>
      <w:pPr>
        <w:ind w:left="0" w:firstLine="0"/>
      </w:pPr>
      <w:rPr>
        <w:rFonts w:asciiTheme="minorHAnsi"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19" w15:restartNumberingAfterBreak="0">
    <w:nsid w:val="7BCB5F78"/>
    <w:multiLevelType w:val="multilevel"/>
    <w:tmpl w:val="8A38237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0" w15:restartNumberingAfterBreak="0">
    <w:nsid w:val="7BDA35E7"/>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21" w15:restartNumberingAfterBreak="0">
    <w:nsid w:val="7BF0699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2" w15:restartNumberingAfterBreak="0">
    <w:nsid w:val="7BF949D8"/>
    <w:multiLevelType w:val="hybridMultilevel"/>
    <w:tmpl w:val="6AEE9E62"/>
    <w:lvl w:ilvl="0" w:tplc="252669E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3" w15:restartNumberingAfterBreak="0">
    <w:nsid w:val="7C006692"/>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4" w15:restartNumberingAfterBreak="0">
    <w:nsid w:val="7C08200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25" w15:restartNumberingAfterBreak="0">
    <w:nsid w:val="7C0F2977"/>
    <w:multiLevelType w:val="hybridMultilevel"/>
    <w:tmpl w:val="D5AA9972"/>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6" w15:restartNumberingAfterBreak="0">
    <w:nsid w:val="7C522928"/>
    <w:multiLevelType w:val="multilevel"/>
    <w:tmpl w:val="E0CA2760"/>
    <w:lvl w:ilvl="0">
      <w:start w:val="1"/>
      <w:numFmt w:val="lowerLetter"/>
      <w:lvlText w:val="(%1)"/>
      <w:lvlJc w:val="left"/>
      <w:pPr>
        <w:ind w:left="360" w:hanging="360"/>
      </w:pPr>
      <w:rPr>
        <w:rFonts w:hint="default"/>
        <w:color w:val="auto"/>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7" w15:restartNumberingAfterBreak="0">
    <w:nsid w:val="7C535D5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8" w15:restartNumberingAfterBreak="0">
    <w:nsid w:val="7C5E62F2"/>
    <w:multiLevelType w:val="hybridMultilevel"/>
    <w:tmpl w:val="63C4ECEE"/>
    <w:lvl w:ilvl="0" w:tplc="E65031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A92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34B3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54B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6C59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1E99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DE1C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007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EBD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9" w15:restartNumberingAfterBreak="0">
    <w:nsid w:val="7C5F0D8C"/>
    <w:multiLevelType w:val="hybridMultilevel"/>
    <w:tmpl w:val="8B92085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30" w15:restartNumberingAfterBreak="0">
    <w:nsid w:val="7C773633"/>
    <w:multiLevelType w:val="hybridMultilevel"/>
    <w:tmpl w:val="33A48E4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96BC1AE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1" w15:restartNumberingAfterBreak="0">
    <w:nsid w:val="7C830DB7"/>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2" w15:restartNumberingAfterBreak="0">
    <w:nsid w:val="7C8A0D71"/>
    <w:multiLevelType w:val="hybridMultilevel"/>
    <w:tmpl w:val="9E08288E"/>
    <w:lvl w:ilvl="0" w:tplc="1DAEEC6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7A28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3AD2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4B0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AA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DA77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A9A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C1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EE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3" w15:restartNumberingAfterBreak="0">
    <w:nsid w:val="7C9252B3"/>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4" w15:restartNumberingAfterBreak="0">
    <w:nsid w:val="7CA06B65"/>
    <w:multiLevelType w:val="hybridMultilevel"/>
    <w:tmpl w:val="9DDEF924"/>
    <w:lvl w:ilvl="0" w:tplc="69D0B12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335" w15:restartNumberingAfterBreak="0">
    <w:nsid w:val="7CA51ED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6" w15:restartNumberingAfterBreak="0">
    <w:nsid w:val="7CC01E2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7" w15:restartNumberingAfterBreak="0">
    <w:nsid w:val="7CC27C5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8" w15:restartNumberingAfterBreak="0">
    <w:nsid w:val="7D207DA8"/>
    <w:multiLevelType w:val="multilevel"/>
    <w:tmpl w:val="CEC26D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9" w15:restartNumberingAfterBreak="0">
    <w:nsid w:val="7D27109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15:restartNumberingAfterBreak="0">
    <w:nsid w:val="7D28444F"/>
    <w:multiLevelType w:val="hybridMultilevel"/>
    <w:tmpl w:val="DC78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1" w15:restartNumberingAfterBreak="0">
    <w:nsid w:val="7D2967D9"/>
    <w:multiLevelType w:val="hybridMultilevel"/>
    <w:tmpl w:val="77AC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2" w15:restartNumberingAfterBreak="0">
    <w:nsid w:val="7D3F391E"/>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3" w15:restartNumberingAfterBreak="0">
    <w:nsid w:val="7D446736"/>
    <w:multiLevelType w:val="hybridMultilevel"/>
    <w:tmpl w:val="08B0C61C"/>
    <w:lvl w:ilvl="0" w:tplc="623E5D9A">
      <w:start w:val="1"/>
      <w:numFmt w:val="lowerRoman"/>
      <w:lvlText w:val="(%1)"/>
      <w:lvlJc w:val="right"/>
      <w:pPr>
        <w:ind w:left="1571" w:hanging="360"/>
      </w:pPr>
      <w:rPr>
        <w:rFonts w:hint="default"/>
      </w:rPr>
    </w:lvl>
    <w:lvl w:ilvl="1" w:tplc="9E187CF6">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44" w15:restartNumberingAfterBreak="0">
    <w:nsid w:val="7D8F2F1F"/>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45" w15:restartNumberingAfterBreak="0">
    <w:nsid w:val="7DD12022"/>
    <w:multiLevelType w:val="hybridMultilevel"/>
    <w:tmpl w:val="AD90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6" w15:restartNumberingAfterBreak="0">
    <w:nsid w:val="7DEA54B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15:restartNumberingAfterBreak="0">
    <w:nsid w:val="7DF0305E"/>
    <w:multiLevelType w:val="multilevel"/>
    <w:tmpl w:val="6C14C1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8" w15:restartNumberingAfterBreak="0">
    <w:nsid w:val="7E0255C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49" w15:restartNumberingAfterBreak="0">
    <w:nsid w:val="7E0A1EEA"/>
    <w:multiLevelType w:val="hybridMultilevel"/>
    <w:tmpl w:val="47A0503E"/>
    <w:lvl w:ilvl="0" w:tplc="0D68A176">
      <w:start w:val="1"/>
      <w:numFmt w:val="lowerLetter"/>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1350" w15:restartNumberingAfterBreak="0">
    <w:nsid w:val="7E141D2A"/>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1" w15:restartNumberingAfterBreak="0">
    <w:nsid w:val="7E166B41"/>
    <w:multiLevelType w:val="multilevel"/>
    <w:tmpl w:val="C62AD90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2" w15:restartNumberingAfterBreak="0">
    <w:nsid w:val="7E362CCA"/>
    <w:multiLevelType w:val="hybridMultilevel"/>
    <w:tmpl w:val="E7DC8F74"/>
    <w:lvl w:ilvl="0" w:tplc="623E5D9A">
      <w:start w:val="1"/>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53" w15:restartNumberingAfterBreak="0">
    <w:nsid w:val="7E3C2897"/>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4" w15:restartNumberingAfterBreak="0">
    <w:nsid w:val="7E584B52"/>
    <w:multiLevelType w:val="hybridMultilevel"/>
    <w:tmpl w:val="91DC1B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5" w15:restartNumberingAfterBreak="0">
    <w:nsid w:val="7E5F592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6" w15:restartNumberingAfterBreak="0">
    <w:nsid w:val="7E9609A2"/>
    <w:multiLevelType w:val="hybridMultilevel"/>
    <w:tmpl w:val="362ECD3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7" w15:restartNumberingAfterBreak="0">
    <w:nsid w:val="7EAB3571"/>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8" w15:restartNumberingAfterBreak="0">
    <w:nsid w:val="7EBD7F2C"/>
    <w:multiLevelType w:val="hybridMultilevel"/>
    <w:tmpl w:val="003E85CC"/>
    <w:lvl w:ilvl="0" w:tplc="1A721148">
      <w:start w:val="1"/>
      <w:numFmt w:val="lowerLetter"/>
      <w:lvlText w:val="(%1)"/>
      <w:lvlJc w:val="left"/>
      <w:pPr>
        <w:ind w:left="720" w:hanging="360"/>
      </w:pPr>
      <w:rPr>
        <w:rFonts w:hint="default"/>
      </w:r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15:restartNumberingAfterBreak="0">
    <w:nsid w:val="7F0A7444"/>
    <w:multiLevelType w:val="multilevel"/>
    <w:tmpl w:val="321A6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0" w15:restartNumberingAfterBreak="0">
    <w:nsid w:val="7F32058A"/>
    <w:multiLevelType w:val="hybridMultilevel"/>
    <w:tmpl w:val="0D34F9AE"/>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1" w15:restartNumberingAfterBreak="0">
    <w:nsid w:val="7F357A0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2" w15:restartNumberingAfterBreak="0">
    <w:nsid w:val="7F3731D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363" w15:restartNumberingAfterBreak="0">
    <w:nsid w:val="7F4A0561"/>
    <w:multiLevelType w:val="multilevel"/>
    <w:tmpl w:val="6FAA344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4" w15:restartNumberingAfterBreak="0">
    <w:nsid w:val="7F5A6F43"/>
    <w:multiLevelType w:val="multilevel"/>
    <w:tmpl w:val="7DE2D608"/>
    <w:lvl w:ilvl="0">
      <w:start w:val="1"/>
      <w:numFmt w:val="lowerLetter"/>
      <w:lvlText w:val="(%1)"/>
      <w:lvlJc w:val="left"/>
      <w:pPr>
        <w:ind w:left="1244" w:hanging="360"/>
      </w:p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365" w15:restartNumberingAfterBreak="0">
    <w:nsid w:val="7F8C71B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6" w15:restartNumberingAfterBreak="0">
    <w:nsid w:val="7F983B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7" w15:restartNumberingAfterBreak="0">
    <w:nsid w:val="7FA23744"/>
    <w:multiLevelType w:val="hybridMultilevel"/>
    <w:tmpl w:val="B9E29E24"/>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8" w15:restartNumberingAfterBreak="0">
    <w:nsid w:val="7FAC42BA"/>
    <w:multiLevelType w:val="hybridMultilevel"/>
    <w:tmpl w:val="2460F886"/>
    <w:lvl w:ilvl="0" w:tplc="ECA4F384">
      <w:start w:val="1"/>
      <w:numFmt w:val="lowerLetter"/>
      <w:lvlText w:val="(%1)"/>
      <w:lvlJc w:val="left"/>
      <w:pPr>
        <w:ind w:left="360" w:hanging="360"/>
      </w:pPr>
      <w:rPr>
        <w:rFonts w:hint="default"/>
        <w:i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9" w15:restartNumberingAfterBreak="0">
    <w:nsid w:val="7FAC502F"/>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0" w15:restartNumberingAfterBreak="0">
    <w:nsid w:val="7FB06403"/>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7FB64027"/>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15:restartNumberingAfterBreak="0">
    <w:nsid w:val="7FB75A8E"/>
    <w:multiLevelType w:val="hybridMultilevel"/>
    <w:tmpl w:val="9B76700E"/>
    <w:lvl w:ilvl="0" w:tplc="0D9EDED0">
      <w:start w:val="1"/>
      <w:numFmt w:val="lowerLetter"/>
      <w:lvlText w:val="(%1)"/>
      <w:lvlJc w:val="left"/>
      <w:pPr>
        <w:ind w:left="360" w:hanging="360"/>
      </w:pPr>
      <w:rPr>
        <w:rFonts w:hint="default"/>
      </w:rPr>
    </w:lvl>
    <w:lvl w:ilvl="1" w:tplc="805851C4">
      <w:start w:val="1"/>
      <w:numFmt w:val="lowerLetter"/>
      <w:lvlText w:val="(%2)"/>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3" w15:restartNumberingAfterBreak="0">
    <w:nsid w:val="7FC62C1E"/>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1374" w15:restartNumberingAfterBreak="0">
    <w:nsid w:val="7FC92003"/>
    <w:multiLevelType w:val="multilevel"/>
    <w:tmpl w:val="9B522A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5" w15:restartNumberingAfterBreak="0">
    <w:nsid w:val="7FE24AF4"/>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6" w15:restartNumberingAfterBreak="0">
    <w:nsid w:val="7FF36A99"/>
    <w:multiLevelType w:val="hybridMultilevel"/>
    <w:tmpl w:val="91D89220"/>
    <w:lvl w:ilvl="0" w:tplc="5FA2266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77" w15:restartNumberingAfterBreak="0">
    <w:nsid w:val="7FF77A95"/>
    <w:multiLevelType w:val="hybridMultilevel"/>
    <w:tmpl w:val="01DC8D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5"/>
  </w:num>
  <w:num w:numId="2">
    <w:abstractNumId w:val="282"/>
  </w:num>
  <w:num w:numId="3">
    <w:abstractNumId w:val="1277"/>
  </w:num>
  <w:num w:numId="4">
    <w:abstractNumId w:val="1320"/>
  </w:num>
  <w:num w:numId="5">
    <w:abstractNumId w:val="799"/>
  </w:num>
  <w:num w:numId="6">
    <w:abstractNumId w:val="953"/>
  </w:num>
  <w:num w:numId="7">
    <w:abstractNumId w:val="413"/>
  </w:num>
  <w:num w:numId="8">
    <w:abstractNumId w:val="897"/>
  </w:num>
  <w:num w:numId="9">
    <w:abstractNumId w:val="876"/>
  </w:num>
  <w:num w:numId="10">
    <w:abstractNumId w:val="640"/>
  </w:num>
  <w:num w:numId="11">
    <w:abstractNumId w:val="68"/>
  </w:num>
  <w:num w:numId="12">
    <w:abstractNumId w:val="163"/>
  </w:num>
  <w:num w:numId="13">
    <w:abstractNumId w:val="1063"/>
  </w:num>
  <w:num w:numId="14">
    <w:abstractNumId w:val="214"/>
  </w:num>
  <w:num w:numId="15">
    <w:abstractNumId w:val="1089"/>
  </w:num>
  <w:num w:numId="16">
    <w:abstractNumId w:val="247"/>
  </w:num>
  <w:num w:numId="17">
    <w:abstractNumId w:val="82"/>
  </w:num>
  <w:num w:numId="18">
    <w:abstractNumId w:val="774"/>
  </w:num>
  <w:num w:numId="19">
    <w:abstractNumId w:val="1337"/>
  </w:num>
  <w:num w:numId="20">
    <w:abstractNumId w:val="928"/>
  </w:num>
  <w:num w:numId="21">
    <w:abstractNumId w:val="7"/>
  </w:num>
  <w:num w:numId="22">
    <w:abstractNumId w:val="438"/>
  </w:num>
  <w:num w:numId="23">
    <w:abstractNumId w:val="1333"/>
  </w:num>
  <w:num w:numId="24">
    <w:abstractNumId w:val="1170"/>
  </w:num>
  <w:num w:numId="25">
    <w:abstractNumId w:val="388"/>
  </w:num>
  <w:num w:numId="26">
    <w:abstractNumId w:val="363"/>
  </w:num>
  <w:num w:numId="27">
    <w:abstractNumId w:val="468"/>
  </w:num>
  <w:num w:numId="28">
    <w:abstractNumId w:val="921"/>
  </w:num>
  <w:num w:numId="29">
    <w:abstractNumId w:val="59"/>
  </w:num>
  <w:num w:numId="30">
    <w:abstractNumId w:val="365"/>
  </w:num>
  <w:num w:numId="31">
    <w:abstractNumId w:val="435"/>
  </w:num>
  <w:num w:numId="32">
    <w:abstractNumId w:val="769"/>
  </w:num>
  <w:num w:numId="33">
    <w:abstractNumId w:val="1013"/>
  </w:num>
  <w:num w:numId="34">
    <w:abstractNumId w:val="83"/>
  </w:num>
  <w:num w:numId="35">
    <w:abstractNumId w:val="1351"/>
  </w:num>
  <w:num w:numId="36">
    <w:abstractNumId w:val="443"/>
  </w:num>
  <w:num w:numId="37">
    <w:abstractNumId w:val="818"/>
  </w:num>
  <w:num w:numId="38">
    <w:abstractNumId w:val="907"/>
  </w:num>
  <w:num w:numId="39">
    <w:abstractNumId w:val="1306"/>
  </w:num>
  <w:num w:numId="40">
    <w:abstractNumId w:val="685"/>
  </w:num>
  <w:num w:numId="41">
    <w:abstractNumId w:val="421"/>
  </w:num>
  <w:num w:numId="42">
    <w:abstractNumId w:val="1206"/>
  </w:num>
  <w:num w:numId="43">
    <w:abstractNumId w:val="992"/>
  </w:num>
  <w:num w:numId="44">
    <w:abstractNumId w:val="131"/>
  </w:num>
  <w:num w:numId="45">
    <w:abstractNumId w:val="353"/>
  </w:num>
  <w:num w:numId="46">
    <w:abstractNumId w:val="820"/>
  </w:num>
  <w:num w:numId="47">
    <w:abstractNumId w:val="614"/>
  </w:num>
  <w:num w:numId="48">
    <w:abstractNumId w:val="132"/>
  </w:num>
  <w:num w:numId="49">
    <w:abstractNumId w:val="322"/>
  </w:num>
  <w:num w:numId="50">
    <w:abstractNumId w:val="234"/>
  </w:num>
  <w:num w:numId="51">
    <w:abstractNumId w:val="335"/>
  </w:num>
  <w:num w:numId="52">
    <w:abstractNumId w:val="1100"/>
  </w:num>
  <w:num w:numId="53">
    <w:abstractNumId w:val="508"/>
  </w:num>
  <w:num w:numId="54">
    <w:abstractNumId w:val="337"/>
  </w:num>
  <w:num w:numId="55">
    <w:abstractNumId w:val="162"/>
  </w:num>
  <w:num w:numId="56">
    <w:abstractNumId w:val="999"/>
  </w:num>
  <w:num w:numId="57">
    <w:abstractNumId w:val="428"/>
  </w:num>
  <w:num w:numId="58">
    <w:abstractNumId w:val="383"/>
  </w:num>
  <w:num w:numId="59">
    <w:abstractNumId w:val="546"/>
  </w:num>
  <w:num w:numId="60">
    <w:abstractNumId w:val="1250"/>
  </w:num>
  <w:num w:numId="61">
    <w:abstractNumId w:val="72"/>
  </w:num>
  <w:num w:numId="62">
    <w:abstractNumId w:val="293"/>
  </w:num>
  <w:num w:numId="63">
    <w:abstractNumId w:val="1282"/>
  </w:num>
  <w:num w:numId="64">
    <w:abstractNumId w:val="1115"/>
  </w:num>
  <w:num w:numId="65">
    <w:abstractNumId w:val="332"/>
  </w:num>
  <w:num w:numId="66">
    <w:abstractNumId w:val="479"/>
  </w:num>
  <w:num w:numId="67">
    <w:abstractNumId w:val="596"/>
  </w:num>
  <w:num w:numId="68">
    <w:abstractNumId w:val="667"/>
  </w:num>
  <w:num w:numId="69">
    <w:abstractNumId w:val="575"/>
  </w:num>
  <w:num w:numId="70">
    <w:abstractNumId w:val="775"/>
  </w:num>
  <w:num w:numId="71">
    <w:abstractNumId w:val="1319"/>
  </w:num>
  <w:num w:numId="72">
    <w:abstractNumId w:val="1375"/>
  </w:num>
  <w:num w:numId="73">
    <w:abstractNumId w:val="1178"/>
  </w:num>
  <w:num w:numId="74">
    <w:abstractNumId w:val="762"/>
  </w:num>
  <w:num w:numId="75">
    <w:abstractNumId w:val="1038"/>
  </w:num>
  <w:num w:numId="76">
    <w:abstractNumId w:val="736"/>
  </w:num>
  <w:num w:numId="77">
    <w:abstractNumId w:val="1111"/>
  </w:num>
  <w:num w:numId="78">
    <w:abstractNumId w:val="254"/>
  </w:num>
  <w:num w:numId="79">
    <w:abstractNumId w:val="230"/>
  </w:num>
  <w:num w:numId="80">
    <w:abstractNumId w:val="1141"/>
  </w:num>
  <w:num w:numId="81">
    <w:abstractNumId w:val="976"/>
  </w:num>
  <w:num w:numId="82">
    <w:abstractNumId w:val="439"/>
  </w:num>
  <w:num w:numId="83">
    <w:abstractNumId w:val="894"/>
  </w:num>
  <w:num w:numId="84">
    <w:abstractNumId w:val="118"/>
  </w:num>
  <w:num w:numId="85">
    <w:abstractNumId w:val="334"/>
  </w:num>
  <w:num w:numId="86">
    <w:abstractNumId w:val="423"/>
  </w:num>
  <w:num w:numId="87">
    <w:abstractNumId w:val="69"/>
  </w:num>
  <w:num w:numId="88">
    <w:abstractNumId w:val="1001"/>
  </w:num>
  <w:num w:numId="89">
    <w:abstractNumId w:val="584"/>
  </w:num>
  <w:num w:numId="90">
    <w:abstractNumId w:val="203"/>
  </w:num>
  <w:num w:numId="91">
    <w:abstractNumId w:val="191"/>
  </w:num>
  <w:num w:numId="92">
    <w:abstractNumId w:val="578"/>
  </w:num>
  <w:num w:numId="93">
    <w:abstractNumId w:val="965"/>
  </w:num>
  <w:num w:numId="94">
    <w:abstractNumId w:val="733"/>
  </w:num>
  <w:num w:numId="95">
    <w:abstractNumId w:val="1101"/>
  </w:num>
  <w:num w:numId="96">
    <w:abstractNumId w:val="1325"/>
  </w:num>
  <w:num w:numId="97">
    <w:abstractNumId w:val="860"/>
  </w:num>
  <w:num w:numId="98">
    <w:abstractNumId w:val="1297"/>
  </w:num>
  <w:num w:numId="99">
    <w:abstractNumId w:val="579"/>
  </w:num>
  <w:num w:numId="100">
    <w:abstractNumId w:val="734"/>
  </w:num>
  <w:num w:numId="101">
    <w:abstractNumId w:val="1152"/>
  </w:num>
  <w:num w:numId="102">
    <w:abstractNumId w:val="344"/>
  </w:num>
  <w:num w:numId="103">
    <w:abstractNumId w:val="559"/>
  </w:num>
  <w:num w:numId="104">
    <w:abstractNumId w:val="1253"/>
  </w:num>
  <w:num w:numId="105">
    <w:abstractNumId w:val="568"/>
  </w:num>
  <w:num w:numId="106">
    <w:abstractNumId w:val="540"/>
  </w:num>
  <w:num w:numId="107">
    <w:abstractNumId w:val="898"/>
  </w:num>
  <w:num w:numId="108">
    <w:abstractNumId w:val="1110"/>
  </w:num>
  <w:num w:numId="109">
    <w:abstractNumId w:val="220"/>
  </w:num>
  <w:num w:numId="110">
    <w:abstractNumId w:val="393"/>
  </w:num>
  <w:num w:numId="111">
    <w:abstractNumId w:val="1354"/>
  </w:num>
  <w:num w:numId="112">
    <w:abstractNumId w:val="912"/>
  </w:num>
  <w:num w:numId="113">
    <w:abstractNumId w:val="225"/>
  </w:num>
  <w:num w:numId="114">
    <w:abstractNumId w:val="642"/>
  </w:num>
  <w:num w:numId="115">
    <w:abstractNumId w:val="1245"/>
  </w:num>
  <w:num w:numId="116">
    <w:abstractNumId w:val="1092"/>
  </w:num>
  <w:num w:numId="117">
    <w:abstractNumId w:val="23"/>
  </w:num>
  <w:num w:numId="118">
    <w:abstractNumId w:val="1155"/>
  </w:num>
  <w:num w:numId="119">
    <w:abstractNumId w:val="911"/>
  </w:num>
  <w:num w:numId="120">
    <w:abstractNumId w:val="588"/>
  </w:num>
  <w:num w:numId="121">
    <w:abstractNumId w:val="1124"/>
  </w:num>
  <w:num w:numId="122">
    <w:abstractNumId w:val="70"/>
  </w:num>
  <w:num w:numId="123">
    <w:abstractNumId w:val="1039"/>
  </w:num>
  <w:num w:numId="124">
    <w:abstractNumId w:val="195"/>
  </w:num>
  <w:num w:numId="125">
    <w:abstractNumId w:val="515"/>
  </w:num>
  <w:num w:numId="126">
    <w:abstractNumId w:val="111"/>
  </w:num>
  <w:num w:numId="127">
    <w:abstractNumId w:val="550"/>
  </w:num>
  <w:num w:numId="128">
    <w:abstractNumId w:val="1207"/>
  </w:num>
  <w:num w:numId="129">
    <w:abstractNumId w:val="670"/>
  </w:num>
  <w:num w:numId="130">
    <w:abstractNumId w:val="891"/>
  </w:num>
  <w:num w:numId="131">
    <w:abstractNumId w:val="453"/>
  </w:num>
  <w:num w:numId="132">
    <w:abstractNumId w:val="104"/>
  </w:num>
  <w:num w:numId="133">
    <w:abstractNumId w:val="1050"/>
  </w:num>
  <w:num w:numId="134">
    <w:abstractNumId w:val="128"/>
  </w:num>
  <w:num w:numId="135">
    <w:abstractNumId w:val="280"/>
  </w:num>
  <w:num w:numId="136">
    <w:abstractNumId w:val="462"/>
  </w:num>
  <w:num w:numId="137">
    <w:abstractNumId w:val="1131"/>
  </w:num>
  <w:num w:numId="138">
    <w:abstractNumId w:val="372"/>
  </w:num>
  <w:num w:numId="139">
    <w:abstractNumId w:val="29"/>
  </w:num>
  <w:num w:numId="140">
    <w:abstractNumId w:val="1359"/>
  </w:num>
  <w:num w:numId="141">
    <w:abstractNumId w:val="481"/>
  </w:num>
  <w:num w:numId="142">
    <w:abstractNumId w:val="457"/>
  </w:num>
  <w:num w:numId="143">
    <w:abstractNumId w:val="795"/>
  </w:num>
  <w:num w:numId="144">
    <w:abstractNumId w:val="1257"/>
  </w:num>
  <w:num w:numId="145">
    <w:abstractNumId w:val="396"/>
  </w:num>
  <w:num w:numId="146">
    <w:abstractNumId w:val="635"/>
  </w:num>
  <w:num w:numId="147">
    <w:abstractNumId w:val="271"/>
  </w:num>
  <w:num w:numId="148">
    <w:abstractNumId w:val="609"/>
  </w:num>
  <w:num w:numId="149">
    <w:abstractNumId w:val="356"/>
  </w:num>
  <w:num w:numId="150">
    <w:abstractNumId w:val="507"/>
  </w:num>
  <w:num w:numId="151">
    <w:abstractNumId w:val="688"/>
  </w:num>
  <w:num w:numId="152">
    <w:abstractNumId w:val="144"/>
  </w:num>
  <w:num w:numId="153">
    <w:abstractNumId w:val="94"/>
  </w:num>
  <w:num w:numId="154">
    <w:abstractNumId w:val="995"/>
  </w:num>
  <w:num w:numId="155">
    <w:abstractNumId w:val="1072"/>
  </w:num>
  <w:num w:numId="156">
    <w:abstractNumId w:val="731"/>
  </w:num>
  <w:num w:numId="157">
    <w:abstractNumId w:val="378"/>
  </w:num>
  <w:num w:numId="158">
    <w:abstractNumId w:val="863"/>
  </w:num>
  <w:num w:numId="159">
    <w:abstractNumId w:val="1037"/>
  </w:num>
  <w:num w:numId="160">
    <w:abstractNumId w:val="360"/>
  </w:num>
  <w:num w:numId="161">
    <w:abstractNumId w:val="1208"/>
  </w:num>
  <w:num w:numId="162">
    <w:abstractNumId w:val="1179"/>
  </w:num>
  <w:num w:numId="163">
    <w:abstractNumId w:val="938"/>
  </w:num>
  <w:num w:numId="164">
    <w:abstractNumId w:val="728"/>
  </w:num>
  <w:num w:numId="165">
    <w:abstractNumId w:val="935"/>
  </w:num>
  <w:num w:numId="166">
    <w:abstractNumId w:val="535"/>
  </w:num>
  <w:num w:numId="167">
    <w:abstractNumId w:val="6"/>
  </w:num>
  <w:num w:numId="168">
    <w:abstractNumId w:val="491"/>
  </w:num>
  <w:num w:numId="169">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83"/>
  </w:num>
  <w:num w:numId="173">
    <w:abstractNumId w:val="189"/>
  </w:num>
  <w:num w:numId="174">
    <w:abstractNumId w:val="1227"/>
  </w:num>
  <w:num w:numId="175">
    <w:abstractNumId w:val="600"/>
  </w:num>
  <w:num w:numId="176">
    <w:abstractNumId w:val="781"/>
  </w:num>
  <w:num w:numId="177">
    <w:abstractNumId w:val="161"/>
  </w:num>
  <w:num w:numId="178">
    <w:abstractNumId w:val="922"/>
  </w:num>
  <w:num w:numId="179">
    <w:abstractNumId w:val="1350"/>
  </w:num>
  <w:num w:numId="180">
    <w:abstractNumId w:val="406"/>
  </w:num>
  <w:num w:numId="181">
    <w:abstractNumId w:val="84"/>
  </w:num>
  <w:num w:numId="182">
    <w:abstractNumId w:val="958"/>
  </w:num>
  <w:num w:numId="183">
    <w:abstractNumId w:val="743"/>
  </w:num>
  <w:num w:numId="184">
    <w:abstractNumId w:val="127"/>
  </w:num>
  <w:num w:numId="185">
    <w:abstractNumId w:val="666"/>
  </w:num>
  <w:num w:numId="186">
    <w:abstractNumId w:val="1207"/>
  </w:num>
  <w:num w:numId="187">
    <w:abstractNumId w:val="87"/>
  </w:num>
  <w:num w:numId="188">
    <w:abstractNumId w:val="946"/>
  </w:num>
  <w:num w:numId="189">
    <w:abstractNumId w:val="535"/>
    <w:lvlOverride w:ilvl="0">
      <w:startOverride w:val="1"/>
    </w:lvlOverride>
  </w:num>
  <w:num w:numId="190">
    <w:abstractNumId w:val="937"/>
  </w:num>
  <w:num w:numId="191">
    <w:abstractNumId w:val="1093"/>
  </w:num>
  <w:num w:numId="192">
    <w:abstractNumId w:val="321"/>
  </w:num>
  <w:num w:numId="19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66"/>
  </w:num>
  <w:num w:numId="195">
    <w:abstractNumId w:val="19"/>
  </w:num>
  <w:num w:numId="196">
    <w:abstractNumId w:val="1091"/>
  </w:num>
  <w:num w:numId="197">
    <w:abstractNumId w:val="283"/>
  </w:num>
  <w:num w:numId="198">
    <w:abstractNumId w:val="639"/>
  </w:num>
  <w:num w:numId="199">
    <w:abstractNumId w:val="192"/>
  </w:num>
  <w:num w:numId="200">
    <w:abstractNumId w:val="357"/>
  </w:num>
  <w:num w:numId="201">
    <w:abstractNumId w:val="638"/>
  </w:num>
  <w:num w:numId="202">
    <w:abstractNumId w:val="475"/>
  </w:num>
  <w:num w:numId="203">
    <w:abstractNumId w:val="278"/>
  </w:num>
  <w:num w:numId="204">
    <w:abstractNumId w:val="42"/>
  </w:num>
  <w:num w:numId="205">
    <w:abstractNumId w:val="581"/>
  </w:num>
  <w:num w:numId="206">
    <w:abstractNumId w:val="1231"/>
  </w:num>
  <w:num w:numId="207">
    <w:abstractNumId w:val="962"/>
  </w:num>
  <w:num w:numId="208">
    <w:abstractNumId w:val="979"/>
  </w:num>
  <w:num w:numId="209">
    <w:abstractNumId w:val="292"/>
  </w:num>
  <w:num w:numId="210">
    <w:abstractNumId w:val="351"/>
  </w:num>
  <w:num w:numId="211">
    <w:abstractNumId w:val="562"/>
  </w:num>
  <w:num w:numId="212">
    <w:abstractNumId w:val="1362"/>
  </w:num>
  <w:num w:numId="213">
    <w:abstractNumId w:val="1068"/>
  </w:num>
  <w:num w:numId="214">
    <w:abstractNumId w:val="689"/>
  </w:num>
  <w:num w:numId="215">
    <w:abstractNumId w:val="1236"/>
  </w:num>
  <w:num w:numId="216">
    <w:abstractNumId w:val="538"/>
  </w:num>
  <w:num w:numId="217">
    <w:abstractNumId w:val="172"/>
  </w:num>
  <w:num w:numId="218">
    <w:abstractNumId w:val="757"/>
  </w:num>
  <w:num w:numId="219">
    <w:abstractNumId w:val="8"/>
  </w:num>
  <w:num w:numId="220">
    <w:abstractNumId w:val="932"/>
  </w:num>
  <w:num w:numId="221">
    <w:abstractNumId w:val="98"/>
  </w:num>
  <w:num w:numId="222">
    <w:abstractNumId w:val="872"/>
  </w:num>
  <w:num w:numId="223">
    <w:abstractNumId w:val="1095"/>
  </w:num>
  <w:num w:numId="224">
    <w:abstractNumId w:val="720"/>
  </w:num>
  <w:num w:numId="225">
    <w:abstractNumId w:val="1058"/>
  </w:num>
  <w:num w:numId="226">
    <w:abstractNumId w:val="968"/>
  </w:num>
  <w:num w:numId="227">
    <w:abstractNumId w:val="1246"/>
  </w:num>
  <w:num w:numId="228">
    <w:abstractNumId w:val="1203"/>
  </w:num>
  <w:num w:numId="229">
    <w:abstractNumId w:val="985"/>
  </w:num>
  <w:num w:numId="230">
    <w:abstractNumId w:val="1184"/>
  </w:num>
  <w:num w:numId="231">
    <w:abstractNumId w:val="567"/>
  </w:num>
  <w:num w:numId="232">
    <w:abstractNumId w:val="1145"/>
  </w:num>
  <w:num w:numId="233">
    <w:abstractNumId w:val="655"/>
  </w:num>
  <w:num w:numId="234">
    <w:abstractNumId w:val="1187"/>
  </w:num>
  <w:num w:numId="235">
    <w:abstractNumId w:val="811"/>
  </w:num>
  <w:num w:numId="236">
    <w:abstractNumId w:val="840"/>
  </w:num>
  <w:num w:numId="237">
    <w:abstractNumId w:val="88"/>
  </w:num>
  <w:num w:numId="238">
    <w:abstractNumId w:val="1016"/>
  </w:num>
  <w:num w:numId="239">
    <w:abstractNumId w:val="936"/>
  </w:num>
  <w:num w:numId="240">
    <w:abstractNumId w:val="1284"/>
  </w:num>
  <w:num w:numId="241">
    <w:abstractNumId w:val="1145"/>
    <w:lvlOverride w:ilvl="0">
      <w:startOverride w:val="1"/>
    </w:lvlOverride>
  </w:num>
  <w:num w:numId="242">
    <w:abstractNumId w:val="590"/>
  </w:num>
  <w:num w:numId="243">
    <w:abstractNumId w:val="1336"/>
  </w:num>
  <w:num w:numId="244">
    <w:abstractNumId w:val="1366"/>
  </w:num>
  <w:num w:numId="245">
    <w:abstractNumId w:val="267"/>
  </w:num>
  <w:num w:numId="246">
    <w:abstractNumId w:val="1121"/>
  </w:num>
  <w:num w:numId="247">
    <w:abstractNumId w:val="879"/>
  </w:num>
  <w:num w:numId="248">
    <w:abstractNumId w:val="702"/>
  </w:num>
  <w:num w:numId="249">
    <w:abstractNumId w:val="1032"/>
  </w:num>
  <w:num w:numId="250">
    <w:abstractNumId w:val="834"/>
  </w:num>
  <w:num w:numId="251">
    <w:abstractNumId w:val="1307"/>
  </w:num>
  <w:num w:numId="252">
    <w:abstractNumId w:val="933"/>
  </w:num>
  <w:num w:numId="253">
    <w:abstractNumId w:val="558"/>
  </w:num>
  <w:num w:numId="254">
    <w:abstractNumId w:val="836"/>
  </w:num>
  <w:num w:numId="255">
    <w:abstractNumId w:val="1044"/>
  </w:num>
  <w:num w:numId="256">
    <w:abstractNumId w:val="476"/>
  </w:num>
  <w:num w:numId="257">
    <w:abstractNumId w:val="217"/>
  </w:num>
  <w:num w:numId="258">
    <w:abstractNumId w:val="336"/>
  </w:num>
  <w:num w:numId="259">
    <w:abstractNumId w:val="914"/>
  </w:num>
  <w:num w:numId="260">
    <w:abstractNumId w:val="424"/>
  </w:num>
  <w:num w:numId="261">
    <w:abstractNumId w:val="1064"/>
  </w:num>
  <w:num w:numId="262">
    <w:abstractNumId w:val="952"/>
  </w:num>
  <w:num w:numId="263">
    <w:abstractNumId w:val="274"/>
  </w:num>
  <w:num w:numId="264">
    <w:abstractNumId w:val="124"/>
  </w:num>
  <w:num w:numId="265">
    <w:abstractNumId w:val="291"/>
  </w:num>
  <w:num w:numId="266">
    <w:abstractNumId w:val="223"/>
  </w:num>
  <w:num w:numId="267">
    <w:abstractNumId w:val="1020"/>
  </w:num>
  <w:num w:numId="268">
    <w:abstractNumId w:val="926"/>
  </w:num>
  <w:num w:numId="269">
    <w:abstractNumId w:val="873"/>
  </w:num>
  <w:num w:numId="270">
    <w:abstractNumId w:val="512"/>
  </w:num>
  <w:num w:numId="271">
    <w:abstractNumId w:val="802"/>
  </w:num>
  <w:num w:numId="272">
    <w:abstractNumId w:val="708"/>
  </w:num>
  <w:num w:numId="273">
    <w:abstractNumId w:val="850"/>
  </w:num>
  <w:num w:numId="274">
    <w:abstractNumId w:val="90"/>
  </w:num>
  <w:num w:numId="275">
    <w:abstractNumId w:val="978"/>
  </w:num>
  <w:num w:numId="276">
    <w:abstractNumId w:val="678"/>
  </w:num>
  <w:num w:numId="277">
    <w:abstractNumId w:val="651"/>
  </w:num>
  <w:num w:numId="278">
    <w:abstractNumId w:val="1368"/>
  </w:num>
  <w:num w:numId="279">
    <w:abstractNumId w:val="93"/>
  </w:num>
  <w:num w:numId="280">
    <w:abstractNumId w:val="177"/>
  </w:num>
  <w:num w:numId="281">
    <w:abstractNumId w:val="1074"/>
  </w:num>
  <w:num w:numId="282">
    <w:abstractNumId w:val="320"/>
  </w:num>
  <w:num w:numId="283">
    <w:abstractNumId w:val="208"/>
  </w:num>
  <w:num w:numId="284">
    <w:abstractNumId w:val="715"/>
  </w:num>
  <w:num w:numId="285">
    <w:abstractNumId w:val="518"/>
  </w:num>
  <w:num w:numId="286">
    <w:abstractNumId w:val="1142"/>
  </w:num>
  <w:num w:numId="287">
    <w:abstractNumId w:val="404"/>
  </w:num>
  <w:num w:numId="288">
    <w:abstractNumId w:val="229"/>
  </w:num>
  <w:num w:numId="289">
    <w:abstractNumId w:val="323"/>
  </w:num>
  <w:num w:numId="290">
    <w:abstractNumId w:val="925"/>
  </w:num>
  <w:num w:numId="291">
    <w:abstractNumId w:val="641"/>
  </w:num>
  <w:num w:numId="292">
    <w:abstractNumId w:val="136"/>
  </w:num>
  <w:num w:numId="293">
    <w:abstractNumId w:val="1332"/>
  </w:num>
  <w:num w:numId="294">
    <w:abstractNumId w:val="366"/>
  </w:num>
  <w:num w:numId="295">
    <w:abstractNumId w:val="532"/>
  </w:num>
  <w:num w:numId="296">
    <w:abstractNumId w:val="1165"/>
  </w:num>
  <w:num w:numId="297">
    <w:abstractNumId w:val="105"/>
  </w:num>
  <w:num w:numId="298">
    <w:abstractNumId w:val="117"/>
  </w:num>
  <w:num w:numId="299">
    <w:abstractNumId w:val="1172"/>
  </w:num>
  <w:num w:numId="300">
    <w:abstractNumId w:val="792"/>
  </w:num>
  <w:num w:numId="301">
    <w:abstractNumId w:val="877"/>
  </w:num>
  <w:num w:numId="302">
    <w:abstractNumId w:val="126"/>
  </w:num>
  <w:num w:numId="303">
    <w:abstractNumId w:val="943"/>
  </w:num>
  <w:num w:numId="304">
    <w:abstractNumId w:val="723"/>
  </w:num>
  <w:num w:numId="305">
    <w:abstractNumId w:val="767"/>
  </w:num>
  <w:num w:numId="306">
    <w:abstractNumId w:val="403"/>
  </w:num>
  <w:num w:numId="307">
    <w:abstractNumId w:val="592"/>
  </w:num>
  <w:num w:numId="308">
    <w:abstractNumId w:val="324"/>
  </w:num>
  <w:num w:numId="309">
    <w:abstractNumId w:val="608"/>
  </w:num>
  <w:num w:numId="310">
    <w:abstractNumId w:val="169"/>
  </w:num>
  <w:num w:numId="311">
    <w:abstractNumId w:val="746"/>
  </w:num>
  <w:num w:numId="312">
    <w:abstractNumId w:val="448"/>
  </w:num>
  <w:num w:numId="313">
    <w:abstractNumId w:val="696"/>
  </w:num>
  <w:num w:numId="314">
    <w:abstractNumId w:val="713"/>
  </w:num>
  <w:num w:numId="315">
    <w:abstractNumId w:val="151"/>
  </w:num>
  <w:num w:numId="316">
    <w:abstractNumId w:val="514"/>
  </w:num>
  <w:num w:numId="317">
    <w:abstractNumId w:val="1082"/>
  </w:num>
  <w:num w:numId="318">
    <w:abstractNumId w:val="232"/>
  </w:num>
  <w:num w:numId="319">
    <w:abstractNumId w:val="1290"/>
  </w:num>
  <w:num w:numId="320">
    <w:abstractNumId w:val="771"/>
  </w:num>
  <w:num w:numId="321">
    <w:abstractNumId w:val="459"/>
  </w:num>
  <w:num w:numId="322">
    <w:abstractNumId w:val="188"/>
  </w:num>
  <w:num w:numId="323">
    <w:abstractNumId w:val="418"/>
  </w:num>
  <w:num w:numId="324">
    <w:abstractNumId w:val="1040"/>
  </w:num>
  <w:num w:numId="325">
    <w:abstractNumId w:val="437"/>
  </w:num>
  <w:num w:numId="326">
    <w:abstractNumId w:val="908"/>
  </w:num>
  <w:num w:numId="327">
    <w:abstractNumId w:val="1256"/>
  </w:num>
  <w:num w:numId="328">
    <w:abstractNumId w:val="296"/>
  </w:num>
  <w:num w:numId="329">
    <w:abstractNumId w:val="1028"/>
  </w:num>
  <w:num w:numId="330">
    <w:abstractNumId w:val="262"/>
  </w:num>
  <w:num w:numId="331">
    <w:abstractNumId w:val="796"/>
  </w:num>
  <w:num w:numId="332">
    <w:abstractNumId w:val="576"/>
  </w:num>
  <w:num w:numId="333">
    <w:abstractNumId w:val="885"/>
  </w:num>
  <w:num w:numId="334">
    <w:abstractNumId w:val="823"/>
  </w:num>
  <w:num w:numId="335">
    <w:abstractNumId w:val="1175"/>
  </w:num>
  <w:num w:numId="336">
    <w:abstractNumId w:val="1018"/>
  </w:num>
  <w:num w:numId="337">
    <w:abstractNumId w:val="1043"/>
  </w:num>
  <w:num w:numId="338">
    <w:abstractNumId w:val="1034"/>
  </w:num>
  <w:num w:numId="339">
    <w:abstractNumId w:val="672"/>
  </w:num>
  <w:num w:numId="340">
    <w:abstractNumId w:val="123"/>
  </w:num>
  <w:num w:numId="341">
    <w:abstractNumId w:val="20"/>
  </w:num>
  <w:num w:numId="342">
    <w:abstractNumId w:val="299"/>
  </w:num>
  <w:num w:numId="343">
    <w:abstractNumId w:val="242"/>
  </w:num>
  <w:num w:numId="344">
    <w:abstractNumId w:val="1265"/>
  </w:num>
  <w:num w:numId="345">
    <w:abstractNumId w:val="945"/>
  </w:num>
  <w:num w:numId="346">
    <w:abstractNumId w:val="1188"/>
  </w:num>
  <w:num w:numId="347">
    <w:abstractNumId w:val="157"/>
  </w:num>
  <w:num w:numId="348">
    <w:abstractNumId w:val="152"/>
  </w:num>
  <w:num w:numId="349">
    <w:abstractNumId w:val="1042"/>
  </w:num>
  <w:num w:numId="350">
    <w:abstractNumId w:val="100"/>
  </w:num>
  <w:num w:numId="351">
    <w:abstractNumId w:val="768"/>
  </w:num>
  <w:num w:numId="352">
    <w:abstractNumId w:val="785"/>
  </w:num>
  <w:num w:numId="353">
    <w:abstractNumId w:val="1315"/>
  </w:num>
  <w:num w:numId="354">
    <w:abstractNumId w:val="634"/>
  </w:num>
  <w:num w:numId="355">
    <w:abstractNumId w:val="1183"/>
  </w:num>
  <w:num w:numId="356">
    <w:abstractNumId w:val="155"/>
  </w:num>
  <w:num w:numId="357">
    <w:abstractNumId w:val="190"/>
  </w:num>
  <w:num w:numId="358">
    <w:abstractNumId w:val="969"/>
  </w:num>
  <w:num w:numId="359">
    <w:abstractNumId w:val="997"/>
  </w:num>
  <w:num w:numId="360">
    <w:abstractNumId w:val="1154"/>
  </w:num>
  <w:num w:numId="361">
    <w:abstractNumId w:val="1298"/>
  </w:num>
  <w:num w:numId="362">
    <w:abstractNumId w:val="1077"/>
  </w:num>
  <w:num w:numId="363">
    <w:abstractNumId w:val="1176"/>
  </w:num>
  <w:num w:numId="364">
    <w:abstractNumId w:val="838"/>
  </w:num>
  <w:num w:numId="365">
    <w:abstractNumId w:val="164"/>
  </w:num>
  <w:num w:numId="366">
    <w:abstractNumId w:val="121"/>
  </w:num>
  <w:num w:numId="367">
    <w:abstractNumId w:val="900"/>
  </w:num>
  <w:num w:numId="368">
    <w:abstractNumId w:val="1268"/>
  </w:num>
  <w:num w:numId="369">
    <w:abstractNumId w:val="260"/>
  </w:num>
  <w:num w:numId="370">
    <w:abstractNumId w:val="440"/>
  </w:num>
  <w:num w:numId="371">
    <w:abstractNumId w:val="79"/>
  </w:num>
  <w:num w:numId="372">
    <w:abstractNumId w:val="675"/>
  </w:num>
  <w:num w:numId="373">
    <w:abstractNumId w:val="96"/>
  </w:num>
  <w:num w:numId="374">
    <w:abstractNumId w:val="1189"/>
  </w:num>
  <w:num w:numId="375">
    <w:abstractNumId w:val="927"/>
  </w:num>
  <w:num w:numId="376">
    <w:abstractNumId w:val="221"/>
  </w:num>
  <w:num w:numId="377">
    <w:abstractNumId w:val="955"/>
  </w:num>
  <w:num w:numId="378">
    <w:abstractNumId w:val="1052"/>
  </w:num>
  <w:num w:numId="379">
    <w:abstractNumId w:val="482"/>
  </w:num>
  <w:num w:numId="380">
    <w:abstractNumId w:val="690"/>
  </w:num>
  <w:num w:numId="381">
    <w:abstractNumId w:val="1269"/>
  </w:num>
  <w:num w:numId="382">
    <w:abstractNumId w:val="397"/>
  </w:num>
  <w:num w:numId="383">
    <w:abstractNumId w:val="807"/>
  </w:num>
  <w:num w:numId="384">
    <w:abstractNumId w:val="133"/>
  </w:num>
  <w:num w:numId="385">
    <w:abstractNumId w:val="1260"/>
  </w:num>
  <w:num w:numId="386">
    <w:abstractNumId w:val="503"/>
  </w:num>
  <w:num w:numId="387">
    <w:abstractNumId w:val="338"/>
  </w:num>
  <w:num w:numId="388">
    <w:abstractNumId w:val="1097"/>
  </w:num>
  <w:num w:numId="389">
    <w:abstractNumId w:val="555"/>
  </w:num>
  <w:num w:numId="390">
    <w:abstractNumId w:val="1116"/>
  </w:num>
  <w:num w:numId="391">
    <w:abstractNumId w:val="370"/>
  </w:num>
  <w:num w:numId="392">
    <w:abstractNumId w:val="650"/>
  </w:num>
  <w:num w:numId="393">
    <w:abstractNumId w:val="628"/>
  </w:num>
  <w:num w:numId="394">
    <w:abstractNumId w:val="1107"/>
  </w:num>
  <w:num w:numId="395">
    <w:abstractNumId w:val="50"/>
  </w:num>
  <w:num w:numId="396">
    <w:abstractNumId w:val="236"/>
  </w:num>
  <w:num w:numId="397">
    <w:abstractNumId w:val="1066"/>
  </w:num>
  <w:num w:numId="398">
    <w:abstractNumId w:val="1156"/>
  </w:num>
  <w:num w:numId="399">
    <w:abstractNumId w:val="703"/>
  </w:num>
  <w:num w:numId="400">
    <w:abstractNumId w:val="827"/>
  </w:num>
  <w:num w:numId="401">
    <w:abstractNumId w:val="589"/>
  </w:num>
  <w:num w:numId="402">
    <w:abstractNumId w:val="699"/>
  </w:num>
  <w:num w:numId="403">
    <w:abstractNumId w:val="730"/>
  </w:num>
  <w:num w:numId="404">
    <w:abstractNumId w:val="553"/>
  </w:num>
  <w:num w:numId="405">
    <w:abstractNumId w:val="779"/>
  </w:num>
  <w:num w:numId="406">
    <w:abstractNumId w:val="1009"/>
  </w:num>
  <w:num w:numId="407">
    <w:abstractNumId w:val="1328"/>
  </w:num>
  <w:num w:numId="408">
    <w:abstractNumId w:val="359"/>
  </w:num>
  <w:num w:numId="409">
    <w:abstractNumId w:val="156"/>
  </w:num>
  <w:num w:numId="410">
    <w:abstractNumId w:val="134"/>
  </w:num>
  <w:num w:numId="411">
    <w:abstractNumId w:val="1234"/>
  </w:num>
  <w:num w:numId="412">
    <w:abstractNumId w:val="36"/>
  </w:num>
  <w:num w:numId="413">
    <w:abstractNumId w:val="212"/>
  </w:num>
  <w:num w:numId="414">
    <w:abstractNumId w:val="710"/>
  </w:num>
  <w:num w:numId="415">
    <w:abstractNumId w:val="244"/>
  </w:num>
  <w:num w:numId="416">
    <w:abstractNumId w:val="325"/>
  </w:num>
  <w:num w:numId="417">
    <w:abstractNumId w:val="749"/>
  </w:num>
  <w:num w:numId="418">
    <w:abstractNumId w:val="848"/>
  </w:num>
  <w:num w:numId="419">
    <w:abstractNumId w:val="1195"/>
  </w:num>
  <w:num w:numId="420">
    <w:abstractNumId w:val="1108"/>
  </w:num>
  <w:num w:numId="421">
    <w:abstractNumId w:val="286"/>
  </w:num>
  <w:num w:numId="422">
    <w:abstractNumId w:val="657"/>
  </w:num>
  <w:num w:numId="423">
    <w:abstractNumId w:val="800"/>
  </w:num>
  <w:num w:numId="424">
    <w:abstractNumId w:val="1215"/>
  </w:num>
  <w:num w:numId="425">
    <w:abstractNumId w:val="1312"/>
  </w:num>
  <w:num w:numId="426">
    <w:abstractNumId w:val="458"/>
  </w:num>
  <w:num w:numId="427">
    <w:abstractNumId w:val="536"/>
  </w:num>
  <w:num w:numId="428">
    <w:abstractNumId w:val="182"/>
  </w:num>
  <w:num w:numId="429">
    <w:abstractNumId w:val="35"/>
  </w:num>
  <w:num w:numId="430">
    <w:abstractNumId w:val="526"/>
  </w:num>
  <w:num w:numId="431">
    <w:abstractNumId w:val="961"/>
  </w:num>
  <w:num w:numId="432">
    <w:abstractNumId w:val="654"/>
  </w:num>
  <w:num w:numId="433">
    <w:abstractNumId w:val="56"/>
  </w:num>
  <w:num w:numId="434">
    <w:abstractNumId w:val="75"/>
  </w:num>
  <w:num w:numId="435">
    <w:abstractNumId w:val="883"/>
  </w:num>
  <w:num w:numId="436">
    <w:abstractNumId w:val="674"/>
  </w:num>
  <w:num w:numId="437">
    <w:abstractNumId w:val="1134"/>
  </w:num>
  <w:num w:numId="438">
    <w:abstractNumId w:val="46"/>
  </w:num>
  <w:num w:numId="439">
    <w:abstractNumId w:val="224"/>
  </w:num>
  <w:num w:numId="440">
    <w:abstractNumId w:val="778"/>
  </w:num>
  <w:num w:numId="441">
    <w:abstractNumId w:val="692"/>
  </w:num>
  <w:num w:numId="442">
    <w:abstractNumId w:val="808"/>
  </w:num>
  <w:num w:numId="443">
    <w:abstractNumId w:val="996"/>
  </w:num>
  <w:num w:numId="444">
    <w:abstractNumId w:val="791"/>
  </w:num>
  <w:num w:numId="445">
    <w:abstractNumId w:val="233"/>
  </w:num>
  <w:num w:numId="446">
    <w:abstractNumId w:val="1173"/>
  </w:num>
  <w:num w:numId="447">
    <w:abstractNumId w:val="788"/>
  </w:num>
  <w:num w:numId="448">
    <w:abstractNumId w:val="740"/>
  </w:num>
  <w:num w:numId="449">
    <w:abstractNumId w:val="656"/>
  </w:num>
  <w:num w:numId="450">
    <w:abstractNumId w:val="805"/>
  </w:num>
  <w:num w:numId="451">
    <w:abstractNumId w:val="1363"/>
  </w:num>
  <w:num w:numId="452">
    <w:abstractNumId w:val="211"/>
  </w:num>
  <w:num w:numId="453">
    <w:abstractNumId w:val="1220"/>
  </w:num>
  <w:num w:numId="454">
    <w:abstractNumId w:val="502"/>
  </w:num>
  <w:num w:numId="455">
    <w:abstractNumId w:val="442"/>
  </w:num>
  <w:num w:numId="456">
    <w:abstractNumId w:val="1238"/>
  </w:num>
  <w:num w:numId="457">
    <w:abstractNumId w:val="143"/>
  </w:num>
  <w:num w:numId="458">
    <w:abstractNumId w:val="425"/>
  </w:num>
  <w:num w:numId="459">
    <w:abstractNumId w:val="18"/>
  </w:num>
  <w:num w:numId="460">
    <w:abstractNumId w:val="218"/>
  </w:num>
  <w:num w:numId="461">
    <w:abstractNumId w:val="1353"/>
  </w:num>
  <w:num w:numId="462">
    <w:abstractNumId w:val="1051"/>
  </w:num>
  <w:num w:numId="463">
    <w:abstractNumId w:val="1098"/>
  </w:num>
  <w:num w:numId="464">
    <w:abstractNumId w:val="520"/>
  </w:num>
  <w:num w:numId="465">
    <w:abstractNumId w:val="1191"/>
  </w:num>
  <w:num w:numId="466">
    <w:abstractNumId w:val="303"/>
  </w:num>
  <w:num w:numId="467">
    <w:abstractNumId w:val="492"/>
  </w:num>
  <w:num w:numId="468">
    <w:abstractNumId w:val="513"/>
  </w:num>
  <w:num w:numId="469">
    <w:abstractNumId w:val="587"/>
  </w:num>
  <w:num w:numId="470">
    <w:abstractNumId w:val="643"/>
  </w:num>
  <w:num w:numId="471">
    <w:abstractNumId w:val="605"/>
  </w:num>
  <w:num w:numId="472">
    <w:abstractNumId w:val="1202"/>
  </w:num>
  <w:num w:numId="473">
    <w:abstractNumId w:val="542"/>
  </w:num>
  <w:num w:numId="474">
    <w:abstractNumId w:val="71"/>
  </w:num>
  <w:num w:numId="475">
    <w:abstractNumId w:val="658"/>
  </w:num>
  <w:num w:numId="476">
    <w:abstractNumId w:val="426"/>
  </w:num>
  <w:num w:numId="477">
    <w:abstractNumId w:val="1212"/>
  </w:num>
  <w:num w:numId="478">
    <w:abstractNumId w:val="146"/>
  </w:num>
  <w:num w:numId="479">
    <w:abstractNumId w:val="1335"/>
  </w:num>
  <w:num w:numId="480">
    <w:abstractNumId w:val="1365"/>
  </w:num>
  <w:num w:numId="481">
    <w:abstractNumId w:val="269"/>
  </w:num>
  <w:num w:numId="482">
    <w:abstractNumId w:val="41"/>
  </w:num>
  <w:num w:numId="483">
    <w:abstractNumId w:val="445"/>
  </w:num>
  <w:num w:numId="484">
    <w:abstractNumId w:val="273"/>
  </w:num>
  <w:num w:numId="485">
    <w:abstractNumId w:val="330"/>
  </w:num>
  <w:num w:numId="486">
    <w:abstractNumId w:val="1286"/>
  </w:num>
  <w:num w:numId="487">
    <w:abstractNumId w:val="263"/>
  </w:num>
  <w:num w:numId="488">
    <w:abstractNumId w:val="295"/>
  </w:num>
  <w:num w:numId="489">
    <w:abstractNumId w:val="994"/>
  </w:num>
  <w:num w:numId="490">
    <w:abstractNumId w:val="535"/>
    <w:lvlOverride w:ilvl="0">
      <w:startOverride w:val="3"/>
    </w:lvlOverride>
  </w:num>
  <w:num w:numId="491">
    <w:abstractNumId w:val="1322"/>
  </w:num>
  <w:num w:numId="492">
    <w:abstractNumId w:val="246"/>
  </w:num>
  <w:num w:numId="493">
    <w:abstractNumId w:val="770"/>
  </w:num>
  <w:num w:numId="494">
    <w:abstractNumId w:val="865"/>
  </w:num>
  <w:num w:numId="495">
    <w:abstractNumId w:val="1274"/>
  </w:num>
  <w:num w:numId="496">
    <w:abstractNumId w:val="727"/>
  </w:num>
  <w:num w:numId="497">
    <w:abstractNumId w:val="693"/>
  </w:num>
  <w:num w:numId="498">
    <w:abstractNumId w:val="185"/>
  </w:num>
  <w:num w:numId="499">
    <w:abstractNumId w:val="1169"/>
  </w:num>
  <w:num w:numId="500">
    <w:abstractNumId w:val="400"/>
  </w:num>
  <w:num w:numId="501">
    <w:abstractNumId w:val="451"/>
  </w:num>
  <w:num w:numId="502">
    <w:abstractNumId w:val="557"/>
  </w:num>
  <w:num w:numId="503">
    <w:abstractNumId w:val="1271"/>
  </w:num>
  <w:num w:numId="504">
    <w:abstractNumId w:val="206"/>
    <w:lvlOverride w:ilvl="0">
      <w:lvl w:ilvl="0" w:tplc="EE16837C">
        <w:start w:val="1"/>
        <w:numFmt w:val="decimal"/>
        <w:lvlText w:val="%1."/>
        <w:lvlJc w:val="left"/>
        <w:pPr>
          <w:ind w:left="720" w:hanging="720"/>
        </w:pPr>
        <w:rPr>
          <w:rFonts w:asciiTheme="minorHAnsi" w:hAnsiTheme="minorHAnsi" w:cstheme="minorHAnsi" w:hint="default"/>
          <w:caps w:val="0"/>
          <w:smallCaps w:val="0"/>
          <w:strike w:val="0"/>
          <w:dstrike w:val="0"/>
          <w:outline w:val="0"/>
          <w:emboss w:val="0"/>
          <w:imprint w:val="0"/>
          <w:spacing w:val="0"/>
          <w:w w:val="100"/>
          <w:kern w:val="0"/>
          <w:position w:val="0"/>
          <w:sz w:val="22"/>
          <w:szCs w:val="22"/>
          <w:highlight w:val="none"/>
          <w:vertAlign w:val="baseline"/>
        </w:rPr>
      </w:lvl>
    </w:lvlOverride>
  </w:num>
  <w:num w:numId="505">
    <w:abstractNumId w:val="763"/>
  </w:num>
  <w:num w:numId="506">
    <w:abstractNumId w:val="1067"/>
  </w:num>
  <w:num w:numId="507">
    <w:abstractNumId w:val="1036"/>
  </w:num>
  <w:num w:numId="508">
    <w:abstractNumId w:val="874"/>
  </w:num>
  <w:num w:numId="509">
    <w:abstractNumId w:val="13"/>
  </w:num>
  <w:num w:numId="510">
    <w:abstractNumId w:val="1075"/>
  </w:num>
  <w:num w:numId="511">
    <w:abstractNumId w:val="1329"/>
  </w:num>
  <w:num w:numId="512">
    <w:abstractNumId w:val="705"/>
  </w:num>
  <w:num w:numId="513">
    <w:abstractNumId w:val="306"/>
  </w:num>
  <w:num w:numId="514">
    <w:abstractNumId w:val="109"/>
  </w:num>
  <w:num w:numId="515">
    <w:abstractNumId w:val="919"/>
  </w:num>
  <w:num w:numId="516">
    <w:abstractNumId w:val="392"/>
  </w:num>
  <w:num w:numId="517">
    <w:abstractNumId w:val="1024"/>
  </w:num>
  <w:num w:numId="518">
    <w:abstractNumId w:val="328"/>
  </w:num>
  <w:num w:numId="519">
    <w:abstractNumId w:val="198"/>
  </w:num>
  <w:num w:numId="520">
    <w:abstractNumId w:val="1285"/>
  </w:num>
  <w:num w:numId="521">
    <w:abstractNumId w:val="1311"/>
  </w:num>
  <w:num w:numId="522">
    <w:abstractNumId w:val="878"/>
  </w:num>
  <w:num w:numId="523">
    <w:abstractNumId w:val="574"/>
  </w:num>
  <w:num w:numId="524">
    <w:abstractNumId w:val="1241"/>
  </w:num>
  <w:num w:numId="525">
    <w:abstractNumId w:val="285"/>
  </w:num>
  <w:num w:numId="526">
    <w:abstractNumId w:val="725"/>
  </w:num>
  <w:num w:numId="527">
    <w:abstractNumId w:val="1352"/>
  </w:num>
  <w:num w:numId="528">
    <w:abstractNumId w:val="1177"/>
  </w:num>
  <w:num w:numId="529">
    <w:abstractNumId w:val="522"/>
  </w:num>
  <w:num w:numId="530">
    <w:abstractNumId w:val="369"/>
  </w:num>
  <w:num w:numId="531">
    <w:abstractNumId w:val="454"/>
  </w:num>
  <w:num w:numId="532">
    <w:abstractNumId w:val="714"/>
  </w:num>
  <w:num w:numId="533">
    <w:abstractNumId w:val="343"/>
  </w:num>
  <w:num w:numId="534">
    <w:abstractNumId w:val="681"/>
  </w:num>
  <w:num w:numId="535">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0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8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0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8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0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7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29"/>
  </w:num>
  <w:num w:numId="56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580">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9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8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9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8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0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0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0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0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0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8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1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1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9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7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0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9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8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7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0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9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0"/>
  </w:num>
  <w:num w:numId="664">
    <w:abstractNumId w:val="1371"/>
  </w:num>
  <w:num w:numId="665">
    <w:abstractNumId w:val="764"/>
  </w:num>
  <w:num w:numId="666">
    <w:abstractNumId w:val="940"/>
  </w:num>
  <w:num w:numId="667">
    <w:abstractNumId w:val="256"/>
  </w:num>
  <w:num w:numId="668">
    <w:abstractNumId w:val="488"/>
  </w:num>
  <w:num w:numId="669">
    <w:abstractNumId w:val="1228"/>
  </w:num>
  <w:num w:numId="670">
    <w:abstractNumId w:val="1185"/>
  </w:num>
  <w:num w:numId="671">
    <w:abstractNumId w:val="870"/>
  </w:num>
  <w:num w:numId="672">
    <w:abstractNumId w:val="235"/>
  </w:num>
  <w:num w:numId="673">
    <w:abstractNumId w:val="125"/>
  </w:num>
  <w:num w:numId="674">
    <w:abstractNumId w:val="259"/>
  </w:num>
  <w:num w:numId="675">
    <w:abstractNumId w:val="700"/>
  </w:num>
  <w:num w:numId="676">
    <w:abstractNumId w:val="948"/>
  </w:num>
  <w:num w:numId="677">
    <w:abstractNumId w:val="1157"/>
  </w:num>
  <w:num w:numId="678">
    <w:abstractNumId w:val="350"/>
  </w:num>
  <w:num w:numId="679">
    <w:abstractNumId w:val="257"/>
  </w:num>
  <w:num w:numId="680">
    <w:abstractNumId w:val="890"/>
  </w:num>
  <w:num w:numId="681">
    <w:abstractNumId w:val="1263"/>
  </w:num>
  <w:num w:numId="682">
    <w:abstractNumId w:val="1357"/>
  </w:num>
  <w:num w:numId="683">
    <w:abstractNumId w:val="751"/>
  </w:num>
  <w:num w:numId="684">
    <w:abstractNumId w:val="342"/>
  </w:num>
  <w:num w:numId="685">
    <w:abstractNumId w:val="1117"/>
  </w:num>
  <w:num w:numId="686">
    <w:abstractNumId w:val="287"/>
  </w:num>
  <w:num w:numId="687">
    <w:abstractNumId w:val="1323"/>
  </w:num>
  <w:num w:numId="688">
    <w:abstractNumId w:val="866"/>
  </w:num>
  <w:num w:numId="689">
    <w:abstractNumId w:val="1317"/>
  </w:num>
  <w:num w:numId="690">
    <w:abstractNumId w:val="449"/>
  </w:num>
  <w:num w:numId="691">
    <w:abstractNumId w:val="566"/>
  </w:num>
  <w:num w:numId="692">
    <w:abstractNumId w:val="1171"/>
  </w:num>
  <w:num w:numId="693">
    <w:abstractNumId w:val="1349"/>
  </w:num>
  <w:num w:numId="694">
    <w:abstractNumId w:val="547"/>
  </w:num>
  <w:num w:numId="695">
    <w:abstractNumId w:val="1135"/>
  </w:num>
  <w:num w:numId="696">
    <w:abstractNumId w:val="960"/>
  </w:num>
  <w:num w:numId="697">
    <w:abstractNumId w:val="915"/>
  </w:num>
  <w:num w:numId="698">
    <w:abstractNumId w:val="556"/>
  </w:num>
  <w:num w:numId="699">
    <w:abstractNumId w:val="530"/>
  </w:num>
  <w:num w:numId="700">
    <w:abstractNumId w:val="487"/>
  </w:num>
  <w:num w:numId="701">
    <w:abstractNumId w:val="180"/>
  </w:num>
  <w:num w:numId="702">
    <w:abstractNumId w:val="803"/>
  </w:num>
  <w:num w:numId="703">
    <w:abstractNumId w:val="851"/>
  </w:num>
  <w:num w:numId="704">
    <w:abstractNumId w:val="752"/>
  </w:num>
  <w:num w:numId="705">
    <w:abstractNumId w:val="474"/>
  </w:num>
  <w:num w:numId="706">
    <w:abstractNumId w:val="812"/>
  </w:num>
  <w:num w:numId="707">
    <w:abstractNumId w:val="906"/>
  </w:num>
  <w:num w:numId="708">
    <w:abstractNumId w:val="265"/>
  </w:num>
  <w:num w:numId="709">
    <w:abstractNumId w:val="983"/>
  </w:num>
  <w:num w:numId="710">
    <w:abstractNumId w:val="682"/>
  </w:num>
  <w:num w:numId="711">
    <w:abstractNumId w:val="780"/>
  </w:num>
  <w:num w:numId="712">
    <w:abstractNumId w:val="463"/>
  </w:num>
  <w:num w:numId="713">
    <w:abstractNumId w:val="1056"/>
  </w:num>
  <w:num w:numId="714">
    <w:abstractNumId w:val="529"/>
  </w:num>
  <w:num w:numId="715">
    <w:abstractNumId w:val="959"/>
  </w:num>
  <w:num w:numId="716">
    <w:abstractNumId w:val="193"/>
  </w:num>
  <w:num w:numId="717">
    <w:abstractNumId w:val="381"/>
  </w:num>
  <w:num w:numId="718">
    <w:abstractNumId w:val="787"/>
  </w:num>
  <w:num w:numId="719">
    <w:abstractNumId w:val="142"/>
  </w:num>
  <w:num w:numId="720">
    <w:abstractNumId w:val="1030"/>
  </w:num>
  <w:num w:numId="721">
    <w:abstractNumId w:val="622"/>
  </w:num>
  <w:num w:numId="722">
    <w:abstractNumId w:val="1125"/>
  </w:num>
  <w:num w:numId="723">
    <w:abstractNumId w:val="284"/>
  </w:num>
  <w:num w:numId="724">
    <w:abstractNumId w:val="210"/>
  </w:num>
  <w:num w:numId="725">
    <w:abstractNumId w:val="593"/>
  </w:num>
  <w:num w:numId="726">
    <w:abstractNumId w:val="167"/>
  </w:num>
  <w:num w:numId="727">
    <w:abstractNumId w:val="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28">
    <w:abstractNumId w:val="308"/>
  </w:num>
  <w:num w:numId="729">
    <w:abstractNumId w:val="582"/>
  </w:num>
  <w:num w:numId="730">
    <w:abstractNumId w:val="975"/>
  </w:num>
  <w:num w:numId="731">
    <w:abstractNumId w:val="1361"/>
  </w:num>
  <w:num w:numId="732">
    <w:abstractNumId w:val="24"/>
  </w:num>
  <w:num w:numId="733">
    <w:abstractNumId w:val="1109"/>
  </w:num>
  <w:num w:numId="734">
    <w:abstractNumId w:val="1279"/>
  </w:num>
  <w:num w:numId="735">
    <w:abstractNumId w:val="744"/>
  </w:num>
  <w:num w:numId="736">
    <w:abstractNumId w:val="1076"/>
  </w:num>
  <w:num w:numId="737">
    <w:abstractNumId w:val="618"/>
  </w:num>
  <w:num w:numId="738">
    <w:abstractNumId w:val="1136"/>
  </w:num>
  <w:num w:numId="739">
    <w:abstractNumId w:val="859"/>
  </w:num>
  <w:num w:numId="740">
    <w:abstractNumId w:val="279"/>
  </w:num>
  <w:num w:numId="741">
    <w:abstractNumId w:val="181"/>
  </w:num>
  <w:num w:numId="742">
    <w:abstractNumId w:val="909"/>
  </w:num>
  <w:num w:numId="743">
    <w:abstractNumId w:val="950"/>
  </w:num>
  <w:num w:numId="744">
    <w:abstractNumId w:val="601"/>
  </w:num>
  <w:num w:numId="745">
    <w:abstractNumId w:val="1150"/>
  </w:num>
  <w:num w:numId="746">
    <w:abstractNumId w:val="1355"/>
  </w:num>
  <w:num w:numId="747">
    <w:abstractNumId w:val="1007"/>
  </w:num>
  <w:num w:numId="748">
    <w:abstractNumId w:val="1309"/>
  </w:num>
  <w:num w:numId="749">
    <w:abstractNumId w:val="591"/>
  </w:num>
  <w:num w:numId="750">
    <w:abstractNumId w:val="974"/>
  </w:num>
  <w:num w:numId="751">
    <w:abstractNumId w:val="580"/>
  </w:num>
  <w:num w:numId="752">
    <w:abstractNumId w:val="389"/>
  </w:num>
  <w:num w:numId="753">
    <w:abstractNumId w:val="1143"/>
  </w:num>
  <w:num w:numId="754">
    <w:abstractNumId w:val="120"/>
  </w:num>
  <w:num w:numId="755">
    <w:abstractNumId w:val="784"/>
  </w:num>
  <w:num w:numId="756">
    <w:abstractNumId w:val="384"/>
  </w:num>
  <w:num w:numId="757">
    <w:abstractNumId w:val="887"/>
  </w:num>
  <w:num w:numId="758">
    <w:abstractNumId w:val="318"/>
  </w:num>
  <w:num w:numId="759">
    <w:abstractNumId w:val="549"/>
  </w:num>
  <w:num w:numId="760">
    <w:abstractNumId w:val="1153"/>
  </w:num>
  <w:num w:numId="761">
    <w:abstractNumId w:val="160"/>
  </w:num>
  <w:num w:numId="762">
    <w:abstractNumId w:val="1216"/>
  </w:num>
  <w:num w:numId="763">
    <w:abstractNumId w:val="138"/>
  </w:num>
  <w:num w:numId="764">
    <w:abstractNumId w:val="1373"/>
  </w:num>
  <w:num w:numId="765">
    <w:abstractNumId w:val="110"/>
  </w:num>
  <w:num w:numId="766">
    <w:abstractNumId w:val="637"/>
  </w:num>
  <w:num w:numId="767">
    <w:abstractNumId w:val="1193"/>
  </w:num>
  <w:num w:numId="768">
    <w:abstractNumId w:val="1162"/>
  </w:num>
  <w:num w:numId="769">
    <w:abstractNumId w:val="649"/>
  </w:num>
  <w:num w:numId="770">
    <w:abstractNumId w:val="1014"/>
  </w:num>
  <w:num w:numId="771">
    <w:abstractNumId w:val="831"/>
  </w:num>
  <w:num w:numId="772">
    <w:abstractNumId w:val="375"/>
  </w:num>
  <w:num w:numId="773">
    <w:abstractNumId w:val="373"/>
  </w:num>
  <w:num w:numId="774">
    <w:abstractNumId w:val="954"/>
  </w:num>
  <w:num w:numId="775">
    <w:abstractNumId w:val="447"/>
  </w:num>
  <w:num w:numId="776">
    <w:abstractNumId w:val="95"/>
  </w:num>
  <w:num w:numId="777">
    <w:abstractNumId w:val="32"/>
  </w:num>
  <w:num w:numId="778">
    <w:abstractNumId w:val="853"/>
  </w:num>
  <w:num w:numId="779">
    <w:abstractNumId w:val="80"/>
  </w:num>
  <w:num w:numId="780">
    <w:abstractNumId w:val="630"/>
  </w:num>
  <w:num w:numId="781">
    <w:abstractNumId w:val="1147"/>
  </w:num>
  <w:num w:numId="782">
    <w:abstractNumId w:val="309"/>
  </w:num>
  <w:num w:numId="783">
    <w:abstractNumId w:val="297"/>
  </w:num>
  <w:num w:numId="784">
    <w:abstractNumId w:val="571"/>
  </w:num>
  <w:num w:numId="785">
    <w:abstractNumId w:val="394"/>
  </w:num>
  <w:num w:numId="786">
    <w:abstractNumId w:val="1073"/>
  </w:num>
  <w:num w:numId="787">
    <w:abstractNumId w:val="379"/>
  </w:num>
  <w:num w:numId="788">
    <w:abstractNumId w:val="497"/>
  </w:num>
  <w:num w:numId="789">
    <w:abstractNumId w:val="368"/>
  </w:num>
  <w:num w:numId="790">
    <w:abstractNumId w:val="1243"/>
  </w:num>
  <w:num w:numId="791">
    <w:abstractNumId w:val="982"/>
  </w:num>
  <w:num w:numId="792">
    <w:abstractNumId w:val="1127"/>
  </w:num>
  <w:num w:numId="793">
    <w:abstractNumId w:val="85"/>
  </w:num>
  <w:num w:numId="794">
    <w:abstractNumId w:val="205"/>
  </w:num>
  <w:num w:numId="795">
    <w:abstractNumId w:val="1240"/>
  </w:num>
  <w:num w:numId="796">
    <w:abstractNumId w:val="1041"/>
  </w:num>
  <w:num w:numId="797">
    <w:abstractNumId w:val="707"/>
  </w:num>
  <w:num w:numId="798">
    <w:abstractNumId w:val="1330"/>
  </w:num>
  <w:num w:numId="799">
    <w:abstractNumId w:val="931"/>
  </w:num>
  <w:num w:numId="800">
    <w:abstractNumId w:val="1342"/>
  </w:num>
  <w:num w:numId="801">
    <w:abstractNumId w:val="856"/>
  </w:num>
  <w:num w:numId="802">
    <w:abstractNumId w:val="478"/>
  </w:num>
  <w:num w:numId="803">
    <w:abstractNumId w:val="748"/>
  </w:num>
  <w:num w:numId="804">
    <w:abstractNumId w:val="843"/>
  </w:num>
  <w:num w:numId="805">
    <w:abstractNumId w:val="680"/>
  </w:num>
  <w:num w:numId="806">
    <w:abstractNumId w:val="613"/>
  </w:num>
  <w:num w:numId="807">
    <w:abstractNumId w:val="981"/>
  </w:num>
  <w:num w:numId="808">
    <w:abstractNumId w:val="1146"/>
  </w:num>
  <w:num w:numId="809">
    <w:abstractNumId w:val="9"/>
  </w:num>
  <w:num w:numId="810">
    <w:abstractNumId w:val="569"/>
  </w:num>
  <w:num w:numId="811">
    <w:abstractNumId w:val="53"/>
  </w:num>
  <w:num w:numId="812">
    <w:abstractNumId w:val="412"/>
  </w:num>
  <w:num w:numId="813">
    <w:abstractNumId w:val="77"/>
  </w:num>
  <w:num w:numId="814">
    <w:abstractNumId w:val="646"/>
  </w:num>
  <w:num w:numId="815">
    <w:abstractNumId w:val="64"/>
  </w:num>
  <w:num w:numId="816">
    <w:abstractNumId w:val="947"/>
  </w:num>
  <w:num w:numId="817">
    <w:abstractNumId w:val="610"/>
  </w:num>
  <w:num w:numId="818">
    <w:abstractNumId w:val="895"/>
  </w:num>
  <w:num w:numId="819">
    <w:abstractNumId w:val="765"/>
  </w:num>
  <w:num w:numId="820">
    <w:abstractNumId w:val="1219"/>
  </w:num>
  <w:num w:numId="821">
    <w:abstractNumId w:val="329"/>
  </w:num>
  <w:num w:numId="822">
    <w:abstractNumId w:val="1046"/>
  </w:num>
  <w:num w:numId="823">
    <w:abstractNumId w:val="776"/>
  </w:num>
  <w:num w:numId="824">
    <w:abstractNumId w:val="37"/>
  </w:num>
  <w:num w:numId="825">
    <w:abstractNumId w:val="606"/>
  </w:num>
  <w:num w:numId="826">
    <w:abstractNumId w:val="1318"/>
  </w:num>
  <w:num w:numId="827">
    <w:abstractNumId w:val="1314"/>
  </w:num>
  <w:num w:numId="828">
    <w:abstractNumId w:val="1086"/>
  </w:num>
  <w:num w:numId="829">
    <w:abstractNumId w:val="586"/>
  </w:num>
  <w:num w:numId="830">
    <w:abstractNumId w:val="1000"/>
  </w:num>
  <w:num w:numId="831">
    <w:abstractNumId w:val="27"/>
  </w:num>
  <w:num w:numId="832">
    <w:abstractNumId w:val="432"/>
  </w:num>
  <w:num w:numId="833">
    <w:abstractNumId w:val="754"/>
  </w:num>
  <w:num w:numId="834">
    <w:abstractNumId w:val="758"/>
  </w:num>
  <w:num w:numId="835">
    <w:abstractNumId w:val="106"/>
  </w:num>
  <w:num w:numId="836">
    <w:abstractNumId w:val="709"/>
  </w:num>
  <w:num w:numId="837">
    <w:abstractNumId w:val="1267"/>
  </w:num>
  <w:num w:numId="838">
    <w:abstractNumId w:val="973"/>
  </w:num>
  <w:num w:numId="839">
    <w:abstractNumId w:val="862"/>
  </w:num>
  <w:num w:numId="840">
    <w:abstractNumId w:val="1164"/>
  </w:num>
  <w:num w:numId="841">
    <w:abstractNumId w:val="186"/>
  </w:num>
  <w:num w:numId="842">
    <w:abstractNumId w:val="624"/>
  </w:num>
  <w:num w:numId="843">
    <w:abstractNumId w:val="1065"/>
  </w:num>
  <w:num w:numId="844">
    <w:abstractNumId w:val="1346"/>
  </w:num>
  <w:num w:numId="845">
    <w:abstractNumId w:val="619"/>
  </w:num>
  <w:num w:numId="846">
    <w:abstractNumId w:val="272"/>
  </w:num>
  <w:num w:numId="847">
    <w:abstractNumId w:val="545"/>
  </w:num>
  <w:num w:numId="848">
    <w:abstractNumId w:val="825"/>
  </w:num>
  <w:num w:numId="849">
    <w:abstractNumId w:val="31"/>
  </w:num>
  <w:num w:numId="850">
    <w:abstractNumId w:val="597"/>
  </w:num>
  <w:num w:numId="851">
    <w:abstractNumId w:val="986"/>
  </w:num>
  <w:num w:numId="852">
    <w:abstractNumId w:val="10"/>
  </w:num>
  <w:num w:numId="853">
    <w:abstractNumId w:val="405"/>
  </w:num>
  <w:num w:numId="854">
    <w:abstractNumId w:val="1083"/>
  </w:num>
  <w:num w:numId="855">
    <w:abstractNumId w:val="407"/>
  </w:num>
  <w:num w:numId="856">
    <w:abstractNumId w:val="1248"/>
  </w:num>
  <w:num w:numId="857">
    <w:abstractNumId w:val="347"/>
  </w:num>
  <w:num w:numId="858">
    <w:abstractNumId w:val="698"/>
  </w:num>
  <w:num w:numId="859">
    <w:abstractNumId w:val="386"/>
  </w:num>
  <w:num w:numId="860">
    <w:abstractNumId w:val="1133"/>
  </w:num>
  <w:num w:numId="861">
    <w:abstractNumId w:val="534"/>
  </w:num>
  <w:num w:numId="862">
    <w:abstractNumId w:val="49"/>
  </w:num>
  <w:num w:numId="863">
    <w:abstractNumId w:val="399"/>
  </w:num>
  <w:num w:numId="864">
    <w:abstractNumId w:val="724"/>
  </w:num>
  <w:num w:numId="865">
    <w:abstractNumId w:val="554"/>
  </w:num>
  <w:num w:numId="866">
    <w:abstractNumId w:val="1343"/>
  </w:num>
  <w:num w:numId="867">
    <w:abstractNumId w:val="1025"/>
  </w:num>
  <w:num w:numId="868">
    <w:abstractNumId w:val="880"/>
  </w:num>
  <w:num w:numId="869">
    <w:abstractNumId w:val="822"/>
  </w:num>
  <w:num w:numId="870">
    <w:abstractNumId w:val="511"/>
  </w:num>
  <w:num w:numId="871">
    <w:abstractNumId w:val="326"/>
  </w:num>
  <w:num w:numId="872">
    <w:abstractNumId w:val="1360"/>
  </w:num>
  <w:num w:numId="873">
    <w:abstractNumId w:val="1225"/>
  </w:num>
  <w:num w:numId="874">
    <w:abstractNumId w:val="107"/>
  </w:num>
  <w:num w:numId="875">
    <w:abstractNumId w:val="444"/>
  </w:num>
  <w:num w:numId="876">
    <w:abstractNumId w:val="456"/>
  </w:num>
  <w:num w:numId="877">
    <w:abstractNumId w:val="361"/>
  </w:num>
  <w:num w:numId="878">
    <w:abstractNumId w:val="1213"/>
  </w:num>
  <w:num w:numId="879">
    <w:abstractNumId w:val="1339"/>
  </w:num>
  <w:num w:numId="880">
    <w:abstractNumId w:val="427"/>
  </w:num>
  <w:num w:numId="881">
    <w:abstractNumId w:val="604"/>
  </w:num>
  <w:num w:numId="882">
    <w:abstractNumId w:val="717"/>
  </w:num>
  <w:num w:numId="883">
    <w:abstractNumId w:val="1003"/>
  </w:num>
  <w:num w:numId="884">
    <w:abstractNumId w:val="1192"/>
  </w:num>
  <w:num w:numId="885">
    <w:abstractNumId w:val="204"/>
  </w:num>
  <w:num w:numId="886">
    <w:abstractNumId w:val="226"/>
  </w:num>
  <w:num w:numId="887">
    <w:abstractNumId w:val="987"/>
  </w:num>
  <w:num w:numId="888">
    <w:abstractNumId w:val="450"/>
  </w:num>
  <w:num w:numId="889">
    <w:abstractNumId w:val="16"/>
  </w:num>
  <w:num w:numId="890">
    <w:abstractNumId w:val="258"/>
  </w:num>
  <w:num w:numId="891">
    <w:abstractNumId w:val="15"/>
  </w:num>
  <w:num w:numId="892">
    <w:abstractNumId w:val="1327"/>
  </w:num>
  <w:num w:numId="893">
    <w:abstractNumId w:val="194"/>
  </w:num>
  <w:num w:numId="894">
    <w:abstractNumId w:val="875"/>
  </w:num>
  <w:num w:numId="895">
    <w:abstractNumId w:val="738"/>
  </w:num>
  <w:num w:numId="896">
    <w:abstractNumId w:val="461"/>
  </w:num>
  <w:num w:numId="897">
    <w:abstractNumId w:val="112"/>
  </w:num>
  <w:num w:numId="898">
    <w:abstractNumId w:val="1088"/>
  </w:num>
  <w:num w:numId="899">
    <w:abstractNumId w:val="755"/>
  </w:num>
  <w:num w:numId="900">
    <w:abstractNumId w:val="801"/>
  </w:num>
  <w:num w:numId="901">
    <w:abstractNumId w:val="1316"/>
  </w:num>
  <w:num w:numId="902">
    <w:abstractNumId w:val="662"/>
  </w:num>
  <w:num w:numId="903">
    <w:abstractNumId w:val="228"/>
  </w:num>
  <w:num w:numId="904">
    <w:abstractNumId w:val="1252"/>
  </w:num>
  <w:num w:numId="905">
    <w:abstractNumId w:val="115"/>
  </w:num>
  <w:num w:numId="906">
    <w:abstractNumId w:val="782"/>
  </w:num>
  <w:num w:numId="907">
    <w:abstractNumId w:val="319"/>
  </w:num>
  <w:num w:numId="908">
    <w:abstractNumId w:val="923"/>
  </w:num>
  <w:num w:numId="909">
    <w:abstractNumId w:val="498"/>
  </w:num>
  <w:num w:numId="910">
    <w:abstractNumId w:val="352"/>
  </w:num>
  <w:num w:numId="911">
    <w:abstractNumId w:val="382"/>
  </w:num>
  <w:num w:numId="912">
    <w:abstractNumId w:val="786"/>
  </w:num>
  <w:num w:numId="913">
    <w:abstractNumId w:val="1012"/>
  </w:num>
  <w:num w:numId="914">
    <w:abstractNumId w:val="108"/>
  </w:num>
  <w:num w:numId="915">
    <w:abstractNumId w:val="1237"/>
  </w:num>
  <w:num w:numId="916">
    <w:abstractNumId w:val="1015"/>
  </w:num>
  <w:num w:numId="917">
    <w:abstractNumId w:val="1201"/>
  </w:num>
  <w:num w:numId="918">
    <w:abstractNumId w:val="1196"/>
  </w:num>
  <w:num w:numId="919">
    <w:abstractNumId w:val="625"/>
  </w:num>
  <w:num w:numId="920">
    <w:abstractNumId w:val="472"/>
  </w:num>
  <w:num w:numId="921">
    <w:abstractNumId w:val="410"/>
  </w:num>
  <w:num w:numId="922">
    <w:abstractNumId w:val="910"/>
  </w:num>
  <w:num w:numId="923">
    <w:abstractNumId w:val="677"/>
  </w:num>
  <w:num w:numId="924">
    <w:abstractNumId w:val="101"/>
  </w:num>
  <w:num w:numId="925">
    <w:abstractNumId w:val="1301"/>
  </w:num>
  <w:num w:numId="926">
    <w:abstractNumId w:val="452"/>
  </w:num>
  <w:num w:numId="927">
    <w:abstractNumId w:val="941"/>
  </w:num>
  <w:num w:numId="928">
    <w:abstractNumId w:val="544"/>
  </w:num>
  <w:num w:numId="929">
    <w:abstractNumId w:val="1181"/>
  </w:num>
  <w:num w:numId="930">
    <w:abstractNumId w:val="989"/>
  </w:num>
  <w:num w:numId="931">
    <w:abstractNumId w:val="664"/>
  </w:num>
  <w:num w:numId="932">
    <w:abstractNumId w:val="1148"/>
  </w:num>
  <w:num w:numId="933">
    <w:abstractNumId w:val="963"/>
  </w:num>
  <w:num w:numId="934">
    <w:abstractNumId w:val="187"/>
  </w:num>
  <w:num w:numId="935">
    <w:abstractNumId w:val="483"/>
  </w:num>
  <w:num w:numId="936">
    <w:abstractNumId w:val="884"/>
  </w:num>
  <w:num w:numId="937">
    <w:abstractNumId w:val="1167"/>
  </w:num>
  <w:num w:numId="938">
    <w:abstractNumId w:val="712"/>
  </w:num>
  <w:num w:numId="939">
    <w:abstractNumId w:val="561"/>
  </w:num>
  <w:num w:numId="940">
    <w:abstractNumId w:val="1292"/>
  </w:num>
  <w:num w:numId="941">
    <w:abstractNumId w:val="333"/>
  </w:num>
  <w:num w:numId="942">
    <w:abstractNumId w:val="1302"/>
  </w:num>
  <w:num w:numId="943">
    <w:abstractNumId w:val="1122"/>
  </w:num>
  <w:num w:numId="944">
    <w:abstractNumId w:val="816"/>
  </w:num>
  <w:num w:numId="945">
    <w:abstractNumId w:val="150"/>
  </w:num>
  <w:num w:numId="946">
    <w:abstractNumId w:val="516"/>
  </w:num>
  <w:num w:numId="947">
    <w:abstractNumId w:val="420"/>
  </w:num>
  <w:num w:numId="948">
    <w:abstractNumId w:val="298"/>
  </w:num>
  <w:num w:numId="949">
    <w:abstractNumId w:val="67"/>
  </w:num>
  <w:num w:numId="950">
    <w:abstractNumId w:val="737"/>
  </w:num>
  <w:num w:numId="951">
    <w:abstractNumId w:val="261"/>
  </w:num>
  <w:num w:numId="952">
    <w:abstractNumId w:val="967"/>
  </w:num>
  <w:num w:numId="953">
    <w:abstractNumId w:val="362"/>
  </w:num>
  <w:num w:numId="954">
    <w:abstractNumId w:val="355"/>
  </w:num>
  <w:num w:numId="955">
    <w:abstractNumId w:val="1163"/>
  </w:num>
  <w:num w:numId="956">
    <w:abstractNumId w:val="314"/>
  </w:num>
  <w:num w:numId="957">
    <w:abstractNumId w:val="8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8">
    <w:abstractNumId w:val="9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9">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0">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1">
    <w:abstractNumId w:val="1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2">
    <w:abstractNumId w:val="594"/>
    <w:lvlOverride w:ilvl="0">
      <w:startOverride w:val="1"/>
    </w:lvlOverride>
    <w:lvlOverride w:ilvl="1"/>
    <w:lvlOverride w:ilvl="2"/>
    <w:lvlOverride w:ilvl="3"/>
    <w:lvlOverride w:ilvl="4"/>
    <w:lvlOverride w:ilvl="5"/>
    <w:lvlOverride w:ilvl="6"/>
    <w:lvlOverride w:ilvl="7"/>
    <w:lvlOverride w:ilvl="8"/>
  </w:num>
  <w:num w:numId="963">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4">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5">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6">
    <w:abstractNumId w:val="10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1">
    <w:abstractNumId w:val="9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2">
    <w:abstractNumId w:val="10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4">
    <w:abstractNumId w:val="6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1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9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9">
    <w:abstractNumId w:val="9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0">
    <w:abstractNumId w:val="8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1">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2">
    <w:abstractNumId w:val="417"/>
  </w:num>
  <w:num w:numId="983">
    <w:abstractNumId w:val="11"/>
  </w:num>
  <w:num w:numId="984">
    <w:abstractNumId w:val="1008"/>
  </w:num>
  <w:num w:numId="985">
    <w:abstractNumId w:val="45"/>
  </w:num>
  <w:num w:numId="986">
    <w:abstractNumId w:val="486"/>
  </w:num>
  <w:num w:numId="987">
    <w:abstractNumId w:val="773"/>
  </w:num>
  <w:num w:numId="988">
    <w:abstractNumId w:val="869"/>
  </w:num>
  <w:num w:numId="989">
    <w:abstractNumId w:val="1104"/>
  </w:num>
  <w:num w:numId="990">
    <w:abstractNumId w:val="441"/>
  </w:num>
  <w:num w:numId="991">
    <w:abstractNumId w:val="253"/>
  </w:num>
  <w:num w:numId="992">
    <w:abstractNumId w:val="966"/>
  </w:num>
  <w:num w:numId="993">
    <w:abstractNumId w:val="830"/>
  </w:num>
  <w:num w:numId="994">
    <w:abstractNumId w:val="1369"/>
  </w:num>
  <w:num w:numId="995">
    <w:abstractNumId w:val="854"/>
  </w:num>
  <w:num w:numId="996">
    <w:abstractNumId w:val="735"/>
  </w:num>
  <w:num w:numId="997">
    <w:abstractNumId w:val="1140"/>
  </w:num>
  <w:num w:numId="998">
    <w:abstractNumId w:val="1002"/>
  </w:num>
  <w:num w:numId="999">
    <w:abstractNumId w:val="216"/>
  </w:num>
  <w:num w:numId="1000">
    <w:abstractNumId w:val="1377"/>
  </w:num>
  <w:num w:numId="1001">
    <w:abstractNumId w:val="1099"/>
  </w:num>
  <w:num w:numId="1002">
    <w:abstractNumId w:val="51"/>
  </w:num>
  <w:num w:numId="1003">
    <w:abstractNumId w:val="251"/>
  </w:num>
  <w:num w:numId="1004">
    <w:abstractNumId w:val="371"/>
  </w:num>
  <w:num w:numId="1005">
    <w:abstractNumId w:val="277"/>
  </w:num>
  <w:num w:numId="1006">
    <w:abstractNumId w:val="76"/>
  </w:num>
  <w:num w:numId="1007">
    <w:abstractNumId w:val="517"/>
  </w:num>
  <w:num w:numId="1008">
    <w:abstractNumId w:val="756"/>
  </w:num>
  <w:num w:numId="1009">
    <w:abstractNumId w:val="374"/>
  </w:num>
  <w:num w:numId="1010">
    <w:abstractNumId w:val="196"/>
  </w:num>
  <w:num w:numId="1011">
    <w:abstractNumId w:val="565"/>
  </w:num>
  <w:num w:numId="1012">
    <w:abstractNumId w:val="54"/>
  </w:num>
  <w:num w:numId="1013">
    <w:abstractNumId w:val="238"/>
  </w:num>
  <w:num w:numId="1014">
    <w:abstractNumId w:val="65"/>
  </w:num>
  <w:num w:numId="1015">
    <w:abstractNumId w:val="1266"/>
  </w:num>
  <w:num w:numId="1016">
    <w:abstractNumId w:val="750"/>
  </w:num>
  <w:num w:numId="1017">
    <w:abstractNumId w:val="929"/>
  </w:num>
  <w:num w:numId="1018">
    <w:abstractNumId w:val="867"/>
  </w:num>
  <w:num w:numId="1019">
    <w:abstractNumId w:val="219"/>
  </w:num>
  <w:num w:numId="1020">
    <w:abstractNumId w:val="39"/>
  </w:num>
  <w:num w:numId="1021">
    <w:abstractNumId w:val="1027"/>
  </w:num>
  <w:num w:numId="1022">
    <w:abstractNumId w:val="485"/>
  </w:num>
  <w:num w:numId="1023">
    <w:abstractNumId w:val="660"/>
  </w:num>
  <w:num w:numId="1024">
    <w:abstractNumId w:val="847"/>
  </w:num>
  <w:num w:numId="1025">
    <w:abstractNumId w:val="984"/>
  </w:num>
  <w:num w:numId="1026">
    <w:abstractNumId w:val="1304"/>
  </w:num>
  <w:num w:numId="1027">
    <w:abstractNumId w:val="302"/>
  </w:num>
  <w:num w:numId="1028">
    <w:abstractNumId w:val="63"/>
  </w:num>
  <w:num w:numId="1029">
    <w:abstractNumId w:val="1324"/>
  </w:num>
  <w:num w:numId="1030">
    <w:abstractNumId w:val="832"/>
  </w:num>
  <w:num w:numId="1031">
    <w:abstractNumId w:val="934"/>
  </w:num>
  <w:num w:numId="1032">
    <w:abstractNumId w:val="434"/>
  </w:num>
  <w:num w:numId="1033">
    <w:abstractNumId w:val="1010"/>
  </w:num>
  <w:num w:numId="1034">
    <w:abstractNumId w:val="1126"/>
  </w:num>
  <w:num w:numId="1035">
    <w:abstractNumId w:val="173"/>
  </w:num>
  <w:num w:numId="1036">
    <w:abstractNumId w:val="1262"/>
  </w:num>
  <w:num w:numId="1037">
    <w:abstractNumId w:val="826"/>
  </w:num>
  <w:num w:numId="1038">
    <w:abstractNumId w:val="793"/>
  </w:num>
  <w:num w:numId="1039">
    <w:abstractNumId w:val="465"/>
  </w:num>
  <w:num w:numId="1040">
    <w:abstractNumId w:val="395"/>
  </w:num>
  <w:num w:numId="1041">
    <w:abstractNumId w:val="892"/>
  </w:num>
  <w:num w:numId="1042">
    <w:abstractNumId w:val="1348"/>
  </w:num>
  <w:num w:numId="1043">
    <w:abstractNumId w:val="1033"/>
  </w:num>
  <w:num w:numId="1044">
    <w:abstractNumId w:val="411"/>
  </w:num>
  <w:num w:numId="1045">
    <w:abstractNumId w:val="1300"/>
  </w:num>
  <w:num w:numId="1046">
    <w:abstractNumId w:val="1258"/>
  </w:num>
  <w:num w:numId="1047">
    <w:abstractNumId w:val="33"/>
  </w:num>
  <w:num w:numId="1048">
    <w:abstractNumId w:val="621"/>
  </w:num>
  <w:num w:numId="1049">
    <w:abstractNumId w:val="939"/>
  </w:num>
  <w:num w:numId="1050">
    <w:abstractNumId w:val="1209"/>
  </w:num>
  <w:num w:numId="1051">
    <w:abstractNumId w:val="89"/>
  </w:num>
  <w:num w:numId="1052">
    <w:abstractNumId w:val="102"/>
  </w:num>
  <w:num w:numId="1053">
    <w:abstractNumId w:val="390"/>
  </w:num>
  <w:num w:numId="1054">
    <w:abstractNumId w:val="1159"/>
  </w:num>
  <w:num w:numId="1055">
    <w:abstractNumId w:val="548"/>
  </w:num>
  <w:num w:numId="1056">
    <w:abstractNumId w:val="92"/>
  </w:num>
  <w:num w:numId="1057">
    <w:abstractNumId w:val="623"/>
  </w:num>
  <w:num w:numId="1058">
    <w:abstractNumId w:val="409"/>
  </w:num>
  <w:num w:numId="1059">
    <w:abstractNumId w:val="199"/>
  </w:num>
  <w:num w:numId="1060">
    <w:abstractNumId w:val="1247"/>
  </w:num>
  <w:num w:numId="1061">
    <w:abstractNumId w:val="1344"/>
  </w:num>
  <w:num w:numId="1062">
    <w:abstractNumId w:val="1047"/>
  </w:num>
  <w:num w:numId="1063">
    <w:abstractNumId w:val="467"/>
  </w:num>
  <w:num w:numId="1064">
    <w:abstractNumId w:val="60"/>
  </w:num>
  <w:num w:numId="1065">
    <w:abstractNumId w:val="137"/>
  </w:num>
  <w:num w:numId="1066">
    <w:abstractNumId w:val="661"/>
  </w:num>
  <w:num w:numId="1067">
    <w:abstractNumId w:val="402"/>
  </w:num>
  <w:num w:numId="1068">
    <w:abstractNumId w:val="833"/>
  </w:num>
  <w:num w:numId="1069">
    <w:abstractNumId w:val="718"/>
  </w:num>
  <w:num w:numId="1070">
    <w:abstractNumId w:val="669"/>
  </w:num>
  <w:num w:numId="1071">
    <w:abstractNumId w:val="615"/>
  </w:num>
  <w:num w:numId="1072">
    <w:abstractNumId w:val="200"/>
  </w:num>
  <w:num w:numId="1073">
    <w:abstractNumId w:val="176"/>
  </w:num>
  <w:num w:numId="1074">
    <w:abstractNumId w:val="184"/>
  </w:num>
  <w:num w:numId="1075">
    <w:abstractNumId w:val="633"/>
  </w:num>
  <w:num w:numId="1076">
    <w:abstractNumId w:val="122"/>
  </w:num>
  <w:num w:numId="1077">
    <w:abstractNumId w:val="659"/>
  </w:num>
  <w:num w:numId="1078">
    <w:abstractNumId w:val="1186"/>
  </w:num>
  <w:num w:numId="1079">
    <w:abstractNumId w:val="871"/>
  </w:num>
  <w:num w:numId="1080">
    <w:abstractNumId w:val="573"/>
  </w:num>
  <w:num w:numId="1081">
    <w:abstractNumId w:val="824"/>
  </w:num>
  <w:num w:numId="1082">
    <w:abstractNumId w:val="5"/>
  </w:num>
  <w:num w:numId="1083">
    <w:abstractNumId w:val="1137"/>
  </w:num>
  <w:num w:numId="1084">
    <w:abstractNumId w:val="626"/>
  </w:num>
  <w:num w:numId="1085">
    <w:abstractNumId w:val="732"/>
  </w:num>
  <w:num w:numId="1086">
    <w:abstractNumId w:val="290"/>
  </w:num>
  <w:num w:numId="1087">
    <w:abstractNumId w:val="1275"/>
  </w:num>
  <w:num w:numId="1088">
    <w:abstractNumId w:val="1094"/>
  </w:num>
  <w:num w:numId="1089">
    <w:abstractNumId w:val="1059"/>
  </w:num>
  <w:num w:numId="1090">
    <w:abstractNumId w:val="429"/>
  </w:num>
  <w:num w:numId="1091">
    <w:abstractNumId w:val="55"/>
  </w:num>
  <w:num w:numId="1092">
    <w:abstractNumId w:val="1296"/>
  </w:num>
  <w:num w:numId="1093">
    <w:abstractNumId w:val="844"/>
  </w:num>
  <w:num w:numId="1094">
    <w:abstractNumId w:val="777"/>
  </w:num>
  <w:num w:numId="1095">
    <w:abstractNumId w:val="345"/>
  </w:num>
  <w:num w:numId="1096">
    <w:abstractNumId w:val="528"/>
  </w:num>
  <w:num w:numId="1097">
    <w:abstractNumId w:val="245"/>
  </w:num>
  <w:num w:numId="1098">
    <w:abstractNumId w:val="726"/>
  </w:num>
  <w:num w:numId="1099">
    <w:abstractNumId w:val="525"/>
  </w:num>
  <w:num w:numId="1100">
    <w:abstractNumId w:val="455"/>
  </w:num>
  <w:num w:numId="1101">
    <w:abstractNumId w:val="1128"/>
  </w:num>
  <w:num w:numId="1102">
    <w:abstractNumId w:val="310"/>
  </w:num>
  <w:num w:numId="1103">
    <w:abstractNumId w:val="480"/>
  </w:num>
  <w:num w:numId="1104">
    <w:abstractNumId w:val="956"/>
  </w:num>
  <w:num w:numId="1105">
    <w:abstractNumId w:val="837"/>
  </w:num>
  <w:num w:numId="1106">
    <w:abstractNumId w:val="340"/>
  </w:num>
  <w:num w:numId="1107">
    <w:abstractNumId w:val="1204"/>
  </w:num>
  <w:num w:numId="1108">
    <w:abstractNumId w:val="864"/>
  </w:num>
  <w:num w:numId="1109">
    <w:abstractNumId w:val="170"/>
  </w:num>
  <w:num w:numId="1110">
    <w:abstractNumId w:val="806"/>
  </w:num>
  <w:num w:numId="1111">
    <w:abstractNumId w:val="473"/>
  </w:num>
  <w:num w:numId="1112">
    <w:abstractNumId w:val="861"/>
  </w:num>
  <w:num w:numId="1113">
    <w:abstractNumId w:val="813"/>
  </w:num>
  <w:num w:numId="1114">
    <w:abstractNumId w:val="281"/>
  </w:num>
  <w:num w:numId="1115">
    <w:abstractNumId w:val="611"/>
  </w:num>
  <w:num w:numId="1116">
    <w:abstractNumId w:val="227"/>
  </w:num>
  <w:num w:numId="1117">
    <w:abstractNumId w:val="288"/>
  </w:num>
  <w:num w:numId="1118">
    <w:abstractNumId w:val="289"/>
  </w:num>
  <w:num w:numId="1119">
    <w:abstractNumId w:val="917"/>
  </w:num>
  <w:num w:numId="1120">
    <w:abstractNumId w:val="617"/>
  </w:num>
  <w:num w:numId="1121">
    <w:abstractNumId w:val="1078"/>
  </w:num>
  <w:num w:numId="1122">
    <w:abstractNumId w:val="842"/>
  </w:num>
  <w:num w:numId="1123">
    <w:abstractNumId w:val="653"/>
  </w:num>
  <w:num w:numId="1124">
    <w:abstractNumId w:val="1139"/>
  </w:num>
  <w:num w:numId="1125">
    <w:abstractNumId w:val="972"/>
  </w:num>
  <w:num w:numId="1126">
    <w:abstractNumId w:val="701"/>
  </w:num>
  <w:num w:numId="1127">
    <w:abstractNumId w:val="647"/>
  </w:num>
  <w:num w:numId="1128">
    <w:abstractNumId w:val="305"/>
  </w:num>
  <w:num w:numId="1129">
    <w:abstractNumId w:val="391"/>
  </w:num>
  <w:num w:numId="1130">
    <w:abstractNumId w:val="1347"/>
  </w:num>
  <w:num w:numId="1131">
    <w:abstractNumId w:val="506"/>
  </w:num>
  <w:num w:numId="1132">
    <w:abstractNumId w:val="686"/>
  </w:num>
  <w:num w:numId="1133">
    <w:abstractNumId w:val="676"/>
  </w:num>
  <w:num w:numId="1134">
    <w:abstractNumId w:val="231"/>
  </w:num>
  <w:num w:numId="1135">
    <w:abstractNumId w:val="1280"/>
  </w:num>
  <w:num w:numId="1136">
    <w:abstractNumId w:val="1113"/>
  </w:num>
  <w:num w:numId="1137">
    <w:abstractNumId w:val="510"/>
  </w:num>
  <w:num w:numId="1138">
    <w:abstractNumId w:val="1114"/>
  </w:num>
  <w:num w:numId="1139">
    <w:abstractNumId w:val="694"/>
  </w:num>
  <w:num w:numId="1140">
    <w:abstractNumId w:val="243"/>
  </w:num>
  <w:num w:numId="1141">
    <w:abstractNumId w:val="495"/>
  </w:num>
  <w:num w:numId="1142">
    <w:abstractNumId w:val="783"/>
  </w:num>
  <w:num w:numId="1143">
    <w:abstractNumId w:val="835"/>
  </w:num>
  <w:num w:numId="1144">
    <w:abstractNumId w:val="1364"/>
  </w:num>
  <w:num w:numId="1145">
    <w:abstractNumId w:val="1374"/>
  </w:num>
  <w:num w:numId="1146">
    <w:abstractNumId w:val="1276"/>
  </w:num>
  <w:num w:numId="1147">
    <w:abstractNumId w:val="598"/>
  </w:num>
  <w:num w:numId="1148">
    <w:abstractNumId w:val="697"/>
  </w:num>
  <w:num w:numId="1149">
    <w:abstractNumId w:val="470"/>
  </w:num>
  <w:num w:numId="1150">
    <w:abstractNumId w:val="1211"/>
  </w:num>
  <w:num w:numId="1151">
    <w:abstractNumId w:val="1283"/>
  </w:num>
  <w:num w:numId="1152">
    <w:abstractNumId w:val="903"/>
  </w:num>
  <w:num w:numId="1153">
    <w:abstractNumId w:val="490"/>
  </w:num>
  <w:num w:numId="1154">
    <w:abstractNumId w:val="1313"/>
  </w:num>
  <w:num w:numId="1155">
    <w:abstractNumId w:val="1132"/>
  </w:num>
  <w:num w:numId="1156">
    <w:abstractNumId w:val="21"/>
  </w:num>
  <w:num w:numId="1157">
    <w:abstractNumId w:val="327"/>
  </w:num>
  <w:num w:numId="1158">
    <w:abstractNumId w:val="1118"/>
  </w:num>
  <w:num w:numId="1159">
    <w:abstractNumId w:val="742"/>
  </w:num>
  <w:num w:numId="1160">
    <w:abstractNumId w:val="679"/>
  </w:num>
  <w:num w:numId="1161">
    <w:abstractNumId w:val="905"/>
  </w:num>
  <w:num w:numId="1162">
    <w:abstractNumId w:val="97"/>
  </w:num>
  <w:num w:numId="1163">
    <w:abstractNumId w:val="183"/>
  </w:num>
  <w:num w:numId="1164">
    <w:abstractNumId w:val="1310"/>
  </w:num>
  <w:num w:numId="1165">
    <w:abstractNumId w:val="1021"/>
  </w:num>
  <w:num w:numId="1166">
    <w:abstractNumId w:val="1281"/>
  </w:num>
  <w:num w:numId="1167">
    <w:abstractNumId w:val="1217"/>
  </w:num>
  <w:num w:numId="1168">
    <w:abstractNumId w:val="671"/>
  </w:num>
  <w:num w:numId="1169">
    <w:abstractNumId w:val="416"/>
  </w:num>
  <w:num w:numId="1170">
    <w:abstractNumId w:val="1031"/>
  </w:num>
  <w:num w:numId="1171">
    <w:abstractNumId w:val="171"/>
  </w:num>
  <w:num w:numId="1172">
    <w:abstractNumId w:val="612"/>
  </w:num>
  <w:num w:numId="1173">
    <w:abstractNumId w:val="1205"/>
  </w:num>
  <w:num w:numId="1174">
    <w:abstractNumId w:val="695"/>
  </w:num>
  <w:num w:numId="1175">
    <w:abstractNumId w:val="401"/>
  </w:num>
  <w:num w:numId="1176">
    <w:abstractNumId w:val="1071"/>
  </w:num>
  <w:num w:numId="1177">
    <w:abstractNumId w:val="839"/>
  </w:num>
  <w:num w:numId="1178">
    <w:abstractNumId w:val="739"/>
  </w:num>
  <w:num w:numId="1179">
    <w:abstractNumId w:val="599"/>
  </w:num>
  <w:num w:numId="1180">
    <w:abstractNumId w:val="881"/>
  </w:num>
  <w:num w:numId="1181">
    <w:abstractNumId w:val="419"/>
  </w:num>
  <w:num w:numId="1182">
    <w:abstractNumId w:val="1130"/>
  </w:num>
  <w:num w:numId="1183">
    <w:abstractNumId w:val="1338"/>
  </w:num>
  <w:num w:numId="1184">
    <w:abstractNumId w:val="645"/>
  </w:num>
  <w:num w:numId="1185">
    <w:abstractNumId w:val="577"/>
  </w:num>
  <w:num w:numId="1186">
    <w:abstractNumId w:val="1308"/>
  </w:num>
  <w:num w:numId="1187">
    <w:abstractNumId w:val="301"/>
  </w:num>
  <w:num w:numId="1188">
    <w:abstractNumId w:val="942"/>
  </w:num>
  <w:num w:numId="1189">
    <w:abstractNumId w:val="1235"/>
  </w:num>
  <w:num w:numId="1190">
    <w:abstractNumId w:val="896"/>
  </w:num>
  <w:num w:numId="1191">
    <w:abstractNumId w:val="1004"/>
  </w:num>
  <w:num w:numId="1192">
    <w:abstractNumId w:val="668"/>
  </w:num>
  <w:num w:numId="1193">
    <w:abstractNumId w:val="312"/>
  </w:num>
  <w:num w:numId="1194">
    <w:abstractNumId w:val="158"/>
  </w:num>
  <w:num w:numId="1195">
    <w:abstractNumId w:val="846"/>
  </w:num>
  <w:num w:numId="1196">
    <w:abstractNumId w:val="563"/>
  </w:num>
  <w:num w:numId="1197">
    <w:abstractNumId w:val="313"/>
  </w:num>
  <w:num w:numId="1198">
    <w:abstractNumId w:val="129"/>
  </w:num>
  <w:num w:numId="1199">
    <w:abstractNumId w:val="119"/>
  </w:num>
  <w:num w:numId="1200">
    <w:abstractNumId w:val="139"/>
  </w:num>
  <w:num w:numId="1201">
    <w:abstractNumId w:val="652"/>
  </w:num>
  <w:num w:numId="1202">
    <w:abstractNumId w:val="1060"/>
  </w:num>
  <w:num w:numId="1203">
    <w:abstractNumId w:val="348"/>
  </w:num>
  <w:num w:numId="1204">
    <w:abstractNumId w:val="990"/>
  </w:num>
  <w:num w:numId="1205">
    <w:abstractNumId w:val="886"/>
  </w:num>
  <w:num w:numId="1206">
    <w:abstractNumId w:val="103"/>
  </w:num>
  <w:num w:numId="1207">
    <w:abstractNumId w:val="745"/>
  </w:num>
  <w:num w:numId="1208">
    <w:abstractNumId w:val="1081"/>
  </w:num>
  <w:num w:numId="1209">
    <w:abstractNumId w:val="489"/>
  </w:num>
  <w:num w:numId="1210">
    <w:abstractNumId w:val="1138"/>
  </w:num>
  <w:num w:numId="1211">
    <w:abstractNumId w:val="307"/>
  </w:num>
  <w:num w:numId="1212">
    <w:abstractNumId w:val="239"/>
  </w:num>
  <w:num w:numId="1213">
    <w:abstractNumId w:val="1106"/>
  </w:num>
  <w:num w:numId="1214">
    <w:abstractNumId w:val="209"/>
  </w:num>
  <w:num w:numId="1215">
    <w:abstractNumId w:val="616"/>
  </w:num>
  <w:num w:numId="1216">
    <w:abstractNumId w:val="30"/>
  </w:num>
  <w:num w:numId="1217">
    <w:abstractNumId w:val="1249"/>
  </w:num>
  <w:num w:numId="1218">
    <w:abstractNumId w:val="1055"/>
  </w:num>
  <w:num w:numId="1219">
    <w:abstractNumId w:val="570"/>
  </w:num>
  <w:num w:numId="1220">
    <w:abstractNumId w:val="913"/>
  </w:num>
  <w:num w:numId="1221">
    <w:abstractNumId w:val="711"/>
  </w:num>
  <w:num w:numId="1222">
    <w:abstractNumId w:val="1370"/>
  </w:num>
  <w:num w:numId="1223">
    <w:abstractNumId w:val="207"/>
  </w:num>
  <w:num w:numId="1224">
    <w:abstractNumId w:val="1261"/>
  </w:num>
  <w:num w:numId="1225">
    <w:abstractNumId w:val="1291"/>
  </w:num>
  <w:num w:numId="1226">
    <w:abstractNumId w:val="1168"/>
  </w:num>
  <w:num w:numId="1227">
    <w:abstractNumId w:val="949"/>
  </w:num>
  <w:num w:numId="1228">
    <w:abstractNumId w:val="924"/>
  </w:num>
  <w:num w:numId="1229">
    <w:abstractNumId w:val="1103"/>
  </w:num>
  <w:num w:numId="1230">
    <w:abstractNumId w:val="1102"/>
  </w:num>
  <w:num w:numId="1231">
    <w:abstractNumId w:val="34"/>
  </w:num>
  <w:num w:numId="1232">
    <w:abstractNumId w:val="858"/>
  </w:num>
  <w:num w:numId="1233">
    <w:abstractNumId w:val="1005"/>
  </w:num>
  <w:num w:numId="1234">
    <w:abstractNumId w:val="81"/>
  </w:num>
  <w:num w:numId="1235">
    <w:abstractNumId w:val="607"/>
  </w:num>
  <w:num w:numId="1236">
    <w:abstractNumId w:val="17"/>
  </w:num>
  <w:num w:numId="1237">
    <w:abstractNumId w:val="519"/>
  </w:num>
  <w:num w:numId="1238">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1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1087"/>
  </w:num>
  <w:num w:numId="1243">
    <w:abstractNumId w:val="1376"/>
  </w:num>
  <w:num w:numId="1244">
    <w:abstractNumId w:val="602"/>
  </w:num>
  <w:num w:numId="1245">
    <w:abstractNumId w:val="741"/>
  </w:num>
  <w:num w:numId="1246">
    <w:abstractNumId w:val="1334"/>
  </w:num>
  <w:num w:numId="1247">
    <w:abstractNumId w:val="1303"/>
  </w:num>
  <w:num w:numId="1248">
    <w:abstractNumId w:val="2"/>
  </w:num>
  <w:num w:numId="124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159"/>
  </w:num>
  <w:num w:numId="1251">
    <w:abstractNumId w:val="845"/>
  </w:num>
  <w:num w:numId="1252">
    <w:abstractNumId w:val="484"/>
  </w:num>
  <w:num w:numId="1253">
    <w:abstractNumId w:val="888"/>
  </w:num>
  <w:num w:numId="1254">
    <w:abstractNumId w:val="1230"/>
  </w:num>
  <w:num w:numId="1255">
    <w:abstractNumId w:val="270"/>
  </w:num>
  <w:num w:numId="1256">
    <w:abstractNumId w:val="178"/>
  </w:num>
  <w:num w:numId="1257">
    <w:abstractNumId w:val="317"/>
  </w:num>
  <w:num w:numId="1258">
    <w:abstractNumId w:val="57"/>
  </w:num>
  <w:num w:numId="1259">
    <w:abstractNumId w:val="716"/>
  </w:num>
  <w:num w:numId="1260">
    <w:abstractNumId w:val="248"/>
  </w:num>
  <w:num w:numId="1261">
    <w:abstractNumId w:val="1017"/>
  </w:num>
  <w:num w:numId="1262">
    <w:abstractNumId w:val="339"/>
  </w:num>
  <w:num w:numId="1263">
    <w:abstractNumId w:val="761"/>
  </w:num>
  <w:num w:numId="1264">
    <w:abstractNumId w:val="857"/>
  </w:num>
  <w:num w:numId="1265">
    <w:abstractNumId w:val="1251"/>
  </w:num>
  <w:num w:numId="1266">
    <w:abstractNumId w:val="4"/>
  </w:num>
  <w:num w:numId="1267">
    <w:abstractNumId w:val="304"/>
  </w:num>
  <w:num w:numId="1268">
    <w:abstractNumId w:val="899"/>
  </w:num>
  <w:num w:numId="1269">
    <w:abstractNumId w:val="346"/>
  </w:num>
  <w:num w:numId="1270">
    <w:abstractNumId w:val="276"/>
  </w:num>
  <w:num w:numId="1271">
    <w:abstractNumId w:val="868"/>
  </w:num>
  <w:num w:numId="1272">
    <w:abstractNumId w:val="1045"/>
  </w:num>
  <w:num w:numId="1273">
    <w:abstractNumId w:val="790"/>
  </w:num>
  <w:num w:numId="1274">
    <w:abstractNumId w:val="572"/>
  </w:num>
  <w:num w:numId="1275">
    <w:abstractNumId w:val="1061"/>
  </w:num>
  <w:num w:numId="1276">
    <w:abstractNumId w:val="1200"/>
  </w:num>
  <w:num w:numId="1277">
    <w:abstractNumId w:val="252"/>
  </w:num>
  <w:num w:numId="1278">
    <w:abstractNumId w:val="1057"/>
  </w:num>
  <w:num w:numId="1279">
    <w:abstractNumId w:val="73"/>
  </w:num>
  <w:num w:numId="1280">
    <w:abstractNumId w:val="1180"/>
  </w:num>
  <w:num w:numId="1281">
    <w:abstractNumId w:val="86"/>
  </w:num>
  <w:num w:numId="1282">
    <w:abstractNumId w:val="466"/>
  </w:num>
  <w:num w:numId="1283">
    <w:abstractNumId w:val="1069"/>
  </w:num>
  <w:num w:numId="1284">
    <w:abstractNumId w:val="364"/>
  </w:num>
  <w:num w:numId="1285">
    <w:abstractNumId w:val="551"/>
  </w:num>
  <w:num w:numId="1286">
    <w:abstractNumId w:val="1367"/>
  </w:num>
  <w:num w:numId="1287">
    <w:abstractNumId w:val="202"/>
  </w:num>
  <w:num w:numId="1288">
    <w:abstractNumId w:val="719"/>
  </w:num>
  <w:num w:numId="1289">
    <w:abstractNumId w:val="564"/>
  </w:num>
  <w:num w:numId="1290">
    <w:abstractNumId w:val="240"/>
  </w:num>
  <w:num w:numId="1291">
    <w:abstractNumId w:val="1199"/>
  </w:num>
  <w:num w:numId="1292">
    <w:abstractNumId w:val="991"/>
  </w:num>
  <w:num w:numId="1293">
    <w:abstractNumId w:val="266"/>
  </w:num>
  <w:num w:numId="1294">
    <w:abstractNumId w:val="1161"/>
  </w:num>
  <w:num w:numId="1295">
    <w:abstractNumId w:val="988"/>
  </w:num>
  <w:num w:numId="1296">
    <w:abstractNumId w:val="1090"/>
  </w:num>
  <w:num w:numId="1297">
    <w:abstractNumId w:val="1294"/>
  </w:num>
  <w:num w:numId="1298">
    <w:abstractNumId w:val="1166"/>
  </w:num>
  <w:num w:numId="1299">
    <w:abstractNumId w:val="789"/>
  </w:num>
  <w:num w:numId="1300">
    <w:abstractNumId w:val="341"/>
  </w:num>
  <w:num w:numId="1301">
    <w:abstractNumId w:val="631"/>
  </w:num>
  <w:num w:numId="1302">
    <w:abstractNumId w:val="1341"/>
  </w:num>
  <w:num w:numId="1303">
    <w:abstractNumId w:val="1299"/>
  </w:num>
  <w:num w:numId="1304">
    <w:abstractNumId w:val="1151"/>
  </w:num>
  <w:num w:numId="1305">
    <w:abstractNumId w:val="141"/>
  </w:num>
  <w:num w:numId="1306">
    <w:abstractNumId w:val="1023"/>
  </w:num>
  <w:num w:numId="1307">
    <w:abstractNumId w:val="197"/>
  </w:num>
  <w:num w:numId="1308">
    <w:abstractNumId w:val="527"/>
  </w:num>
  <w:num w:numId="1309">
    <w:abstractNumId w:val="1242"/>
  </w:num>
  <w:num w:numId="1310">
    <w:abstractNumId w:val="1123"/>
  </w:num>
  <w:num w:numId="1311">
    <w:abstractNumId w:val="1340"/>
  </w:num>
  <w:num w:numId="1312">
    <w:abstractNumId w:val="26"/>
  </w:num>
  <w:num w:numId="1313">
    <w:abstractNumId w:val="1070"/>
  </w:num>
  <w:num w:numId="1314">
    <w:abstractNumId w:val="687"/>
  </w:num>
  <w:num w:numId="1315">
    <w:abstractNumId w:val="66"/>
  </w:num>
  <w:num w:numId="1316">
    <w:abstractNumId w:val="1272"/>
  </w:num>
  <w:num w:numId="1317">
    <w:abstractNumId w:val="496"/>
  </w:num>
  <w:num w:numId="1318">
    <w:abstractNumId w:val="1288"/>
  </w:num>
  <w:num w:numId="1319">
    <w:abstractNumId w:val="1356"/>
  </w:num>
  <w:num w:numId="1320">
    <w:abstractNumId w:val="354"/>
  </w:num>
  <w:num w:numId="1321">
    <w:abstractNumId w:val="821"/>
  </w:num>
  <w:num w:numId="1322">
    <w:abstractNumId w:val="1054"/>
  </w:num>
  <w:num w:numId="1323">
    <w:abstractNumId w:val="175"/>
  </w:num>
  <w:num w:numId="1324">
    <w:abstractNumId w:val="1221"/>
  </w:num>
  <w:num w:numId="1325">
    <w:abstractNumId w:val="1080"/>
  </w:num>
  <w:num w:numId="1326">
    <w:abstractNumId w:val="1149"/>
  </w:num>
  <w:num w:numId="1327">
    <w:abstractNumId w:val="499"/>
  </w:num>
  <w:num w:numId="1328">
    <w:abstractNumId w:val="829"/>
  </w:num>
  <w:num w:numId="1329">
    <w:abstractNumId w:val="222"/>
  </w:num>
  <w:num w:numId="1330">
    <w:abstractNumId w:val="130"/>
  </w:num>
  <w:num w:numId="1331">
    <w:abstractNumId w:val="1224"/>
  </w:num>
  <w:num w:numId="1332">
    <w:abstractNumId w:val="1254"/>
  </w:num>
  <w:num w:numId="1333">
    <w:abstractNumId w:val="1210"/>
  </w:num>
  <w:num w:numId="1334">
    <w:abstractNumId w:val="349"/>
  </w:num>
  <w:num w:numId="1335">
    <w:abstractNumId w:val="415"/>
  </w:num>
  <w:num w:numId="1336">
    <w:abstractNumId w:val="944"/>
  </w:num>
  <w:num w:numId="1337">
    <w:abstractNumId w:val="1035"/>
  </w:num>
  <w:num w:numId="1338">
    <w:abstractNumId w:val="249"/>
  </w:num>
  <w:num w:numId="1339">
    <w:abstractNumId w:val="501"/>
  </w:num>
  <w:num w:numId="1340">
    <w:abstractNumId w:val="523"/>
  </w:num>
  <w:num w:numId="1341">
    <w:abstractNumId w:val="1345"/>
  </w:num>
  <w:num w:numId="1342">
    <w:abstractNumId w:val="300"/>
  </w:num>
  <w:num w:numId="1343">
    <w:abstractNumId w:val="970"/>
  </w:num>
  <w:num w:numId="1344">
    <w:abstractNumId w:val="165"/>
  </w:num>
  <w:num w:numId="1345">
    <w:abstractNumId w:val="729"/>
  </w:num>
  <w:num w:numId="1346">
    <w:abstractNumId w:val="524"/>
  </w:num>
  <w:num w:numId="1347">
    <w:abstractNumId w:val="1255"/>
  </w:num>
  <w:num w:numId="1348">
    <w:abstractNumId w:val="25"/>
  </w:num>
  <w:num w:numId="1349">
    <w:abstractNumId w:val="268"/>
  </w:num>
  <w:num w:numId="1350">
    <w:abstractNumId w:val="1358"/>
  </w:num>
  <w:num w:numId="1351">
    <w:abstractNumId w:val="367"/>
  </w:num>
  <w:num w:numId="1352">
    <w:abstractNumId w:val="99"/>
  </w:num>
  <w:num w:numId="1353">
    <w:abstractNumId w:val="971"/>
  </w:num>
  <w:num w:numId="1354">
    <w:abstractNumId w:val="1190"/>
  </w:num>
  <w:num w:numId="1355">
    <w:abstractNumId w:val="215"/>
  </w:num>
  <w:num w:numId="1356">
    <w:abstractNumId w:val="1287"/>
  </w:num>
  <w:num w:numId="1357">
    <w:abstractNumId w:val="255"/>
  </w:num>
  <w:num w:numId="1358">
    <w:abstractNumId w:val="539"/>
  </w:num>
  <w:num w:numId="1359">
    <w:abstractNumId w:val="422"/>
  </w:num>
  <w:num w:numId="1360">
    <w:abstractNumId w:val="1182"/>
  </w:num>
  <w:num w:numId="1361">
    <w:abstractNumId w:val="113"/>
  </w:num>
  <w:num w:numId="1362">
    <w:abstractNumId w:val="1326"/>
  </w:num>
  <w:num w:numId="1363">
    <w:abstractNumId w:val="471"/>
  </w:num>
  <w:num w:numId="1364">
    <w:abstractNumId w:val="819"/>
  </w:num>
  <w:num w:numId="1365">
    <w:abstractNumId w:val="140"/>
  </w:num>
  <w:num w:numId="1366">
    <w:abstractNumId w:val="446"/>
  </w:num>
  <w:num w:numId="1367">
    <w:abstractNumId w:val="153"/>
  </w:num>
  <w:num w:numId="13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9">
    <w:abstractNumId w:val="10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0">
    <w:abstractNumId w:val="95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1">
    <w:abstractNumId w:val="1226"/>
  </w:num>
  <w:num w:numId="1372">
    <w:abstractNumId w:val="977"/>
  </w:num>
  <w:num w:numId="1373">
    <w:abstractNumId w:val="114"/>
  </w:num>
  <w:num w:numId="1374">
    <w:abstractNumId w:val="1197"/>
  </w:num>
  <w:num w:numId="1375">
    <w:abstractNumId w:val="828"/>
  </w:num>
  <w:num w:numId="1376">
    <w:abstractNumId w:val="772"/>
  </w:num>
  <w:num w:numId="1377">
    <w:abstractNumId w:val="918"/>
  </w:num>
  <w:num w:numId="1378">
    <w:abstractNumId w:val="469"/>
  </w:num>
  <w:num w:numId="1379">
    <w:abstractNumId w:val="533"/>
  </w:num>
  <w:num w:numId="1380">
    <w:abstractNumId w:val="91"/>
  </w:num>
  <w:num w:numId="1381">
    <w:abstractNumId w:val="38"/>
  </w:num>
  <w:num w:numId="1382">
    <w:abstractNumId w:val="1331"/>
  </w:num>
  <w:num w:numId="1383">
    <w:abstractNumId w:val="673"/>
  </w:num>
  <w:num w:numId="1384">
    <w:abstractNumId w:val="398"/>
  </w:num>
  <w:num w:numId="1385">
    <w:abstractNumId w:val="1273"/>
  </w:num>
  <w:num w:numId="1386">
    <w:abstractNumId w:val="464"/>
  </w:num>
  <w:num w:numId="1387">
    <w:abstractNumId w:val="595"/>
  </w:num>
  <w:num w:numId="1388">
    <w:abstractNumId w:val="14"/>
  </w:num>
  <w:num w:numId="1389">
    <w:abstractNumId w:val="1218"/>
  </w:num>
  <w:num w:numId="1390">
    <w:abstractNumId w:val="841"/>
  </w:num>
  <w:num w:numId="1391">
    <w:abstractNumId w:val="1372"/>
  </w:num>
  <w:num w:numId="1392">
    <w:abstractNumId w:val="380"/>
  </w:num>
  <w:num w:numId="1393">
    <w:abstractNumId w:val="264"/>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fr-CA" w:vendorID="64" w:dllVersion="131078" w:nlCheck="1" w:checkStyle="0"/>
  <w:activeWritingStyle w:appName="MSWord" w:lang="es-CR" w:vendorID="64" w:dllVersion="131078" w:nlCheck="1" w:checkStyle="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okumentam"/>
    <w:docVar w:name="LW_ANNEX_NBR_FIRST" w:val="1"/>
    <w:docVar w:name="LW_ANNEX_NBR_LAST" w:val="1"/>
    <w:docVar w:name="LW_ANNEX_UNIQUE" w:val="0"/>
    <w:docVar w:name="LW_CORRIGENDUM" w:val="COM(2020) 855 final of 25.12.2020 downgraded on 26.12.2020"/>
    <w:docVar w:name="LW_COVERPAGE_EXISTS" w:val="True"/>
    <w:docVar w:name="LW_COVERPAGE_GUID" w:val="B013EB12-01D0-4DDB-8223-D09304F5B409"/>
    <w:docVar w:name="LW_COVERPAGE_TYPE" w:val="1"/>
    <w:docVar w:name="LW_CROSSREFERENCE" w:val="&lt;UNUSED&gt;"/>
    <w:docVar w:name="LW_DocType" w:val="NORMAL"/>
    <w:docVar w:name="LW_EMISSION" w:val="27.12.2020"/>
    <w:docVar w:name="LW_EMISSION_ISODATE" w:val="2020-12-27"/>
    <w:docVar w:name="LW_EMISSION_LOCATION" w:val="BRX"/>
    <w:docVar w:name="LW_EMISSION_PREFIX" w:val="Brisel\u275?, "/>
    <w:docVar w:name="LW_EMISSION_SUFFIX" w:val="."/>
    <w:docVar w:name="LW_ID_DOCTYPE_NONLW" w:val="CP-036"/>
    <w:docVar w:name="LW_LANGUE" w:val="LV"/>
    <w:docVar w:name="LW_LEVEL_OF_SENSITIVITY" w:val="Standard treatment"/>
    <w:docVar w:name="LW_NOM.INST" w:val="EIROPAS KOMISIJA"/>
    <w:docVar w:name="LW_NOM.INST_JOINTDOC" w:val="&lt;EMPTY&gt;"/>
    <w:docVar w:name="LW_OBJETACTEPRINCIPAL.CP" w:val="par to, lai Savien\u299?bas v\u257?rd\u257? parakst\u299?tu Tirdzniec\u299?bas un sadarb\u299?bas nol\u299?gumu starp Eiropas Savien\u299?bu un Eiropas Atomener\u291?ijas kopienu, no vienas puses, un Lielbrit\u257?nijas un Zieme\u316?\u299?rijas Apvienoto Karalisti, no otras puses, un Nol\u299?gumu starp Eiropas Savien\u299?bu un Lielbrit\u257?nijas un Zieme\u316?\u299?rijas Apvienoto Karalisti par dro\u353?\u299?bas proced\u363?r\u257?m klasific\u275?tas inform\u257?cijas apmai\u326?ai un aizsardz\u299?bai, un par \u353?o nol\u299?gumu provizorisku piem\u275?ro\u353?anu"/>
    <w:docVar w:name="LW_PART_NBR" w:val="1"/>
    <w:docVar w:name="LW_PART_NBR_TOTAL" w:val="1"/>
    <w:docVar w:name="LW_REF.INST.NEW" w:val="COM"/>
    <w:docVar w:name="LW_REF.INST.NEW_ADOPTED" w:val="final"/>
    <w:docVar w:name="LW_REF.INST.NEW_TEXT" w:val="(2020) 85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IELIKUMS_x000b_"/>
    <w:docVar w:name="LW_TYPEACTEPRINCIPAL.CP" w:val="Priek\u353?likums Padomes l\u275?mums"/>
  </w:docVars>
  <w:rsids>
    <w:rsidRoot w:val="003E022D"/>
    <w:rsid w:val="003E022D"/>
    <w:rsid w:val="007D1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TableGridLight4">
    <w:name w:val="Table Grid Light4"/>
    <w:basedOn w:val="TableNormal"/>
    <w:uiPriority w:val="40"/>
    <w:pPr>
      <w:spacing w:line="240" w:lineRule="auto"/>
      <w:jc w:val="both"/>
    </w:pPr>
    <w:rPr>
      <w:rFonts w:asciiTheme="minorHAnsi" w:eastAsiaTheme="minorHAnsi" w:hAnsiTheme="minorHAnsi" w:cstheme="minorBidi"/>
      <w:lang w:val="lv-LV"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81294">
      <w:bodyDiv w:val="1"/>
      <w:marLeft w:val="0"/>
      <w:marRight w:val="0"/>
      <w:marTop w:val="0"/>
      <w:marBottom w:val="0"/>
      <w:divBdr>
        <w:top w:val="none" w:sz="0" w:space="0" w:color="auto"/>
        <w:left w:val="none" w:sz="0" w:space="0" w:color="auto"/>
        <w:bottom w:val="none" w:sz="0" w:space="0" w:color="auto"/>
        <w:right w:val="none" w:sz="0" w:space="0" w:color="auto"/>
      </w:divBdr>
    </w:div>
    <w:div w:id="304242937">
      <w:bodyDiv w:val="1"/>
      <w:marLeft w:val="0"/>
      <w:marRight w:val="0"/>
      <w:marTop w:val="0"/>
      <w:marBottom w:val="0"/>
      <w:divBdr>
        <w:top w:val="none" w:sz="0" w:space="0" w:color="auto"/>
        <w:left w:val="none" w:sz="0" w:space="0" w:color="auto"/>
        <w:bottom w:val="none" w:sz="0" w:space="0" w:color="auto"/>
        <w:right w:val="none" w:sz="0" w:space="0" w:color="auto"/>
      </w:divBdr>
    </w:div>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817499944">
      <w:bodyDiv w:val="1"/>
      <w:marLeft w:val="0"/>
      <w:marRight w:val="0"/>
      <w:marTop w:val="0"/>
      <w:marBottom w:val="0"/>
      <w:divBdr>
        <w:top w:val="none" w:sz="0" w:space="0" w:color="auto"/>
        <w:left w:val="none" w:sz="0" w:space="0" w:color="auto"/>
        <w:bottom w:val="none" w:sz="0" w:space="0" w:color="auto"/>
        <w:right w:val="none" w:sz="0" w:space="0" w:color="auto"/>
      </w:divBdr>
    </w:div>
    <w:div w:id="889263213">
      <w:bodyDiv w:val="1"/>
      <w:marLeft w:val="0"/>
      <w:marRight w:val="0"/>
      <w:marTop w:val="0"/>
      <w:marBottom w:val="0"/>
      <w:divBdr>
        <w:top w:val="none" w:sz="0" w:space="0" w:color="auto"/>
        <w:left w:val="none" w:sz="0" w:space="0" w:color="auto"/>
        <w:bottom w:val="none" w:sz="0" w:space="0" w:color="auto"/>
        <w:right w:val="none" w:sz="0" w:space="0" w:color="auto"/>
      </w:divBdr>
    </w:div>
    <w:div w:id="1652367976">
      <w:bodyDiv w:val="1"/>
      <w:marLeft w:val="0"/>
      <w:marRight w:val="0"/>
      <w:marTop w:val="0"/>
      <w:marBottom w:val="0"/>
      <w:divBdr>
        <w:top w:val="none" w:sz="0" w:space="0" w:color="auto"/>
        <w:left w:val="none" w:sz="0" w:space="0" w:color="auto"/>
        <w:bottom w:val="none" w:sz="0" w:space="0" w:color="auto"/>
        <w:right w:val="none" w:sz="0" w:space="0" w:color="auto"/>
      </w:divBdr>
    </w:div>
    <w:div w:id="196943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ur-lex.europa.eu/legal-content/en/TXT/?uri=CELEX:32009R1072" TargetMode="External"/><Relationship Id="rId26" Type="http://schemas.openxmlformats.org/officeDocument/2006/relationships/image" Target="media/image9.png"/><Relationship Id="rId39" Type="http://schemas.openxmlformats.org/officeDocument/2006/relationships/header" Target="header6.xml"/><Relationship Id="rId21" Type="http://schemas.openxmlformats.org/officeDocument/2006/relationships/image" Target="media/image4.jpeg"/><Relationship Id="rId34" Type="http://schemas.openxmlformats.org/officeDocument/2006/relationships/image" Target="media/image17.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footer" Target="footer7.xml"/><Relationship Id="rId55" Type="http://schemas.openxmlformats.org/officeDocument/2006/relationships/header" Target="header11.xml"/><Relationship Id="rId63"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en/TXT/?uri=CELEX:32009R1072"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emf"/><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22.png"/><Relationship Id="rId53" Type="http://schemas.openxmlformats.org/officeDocument/2006/relationships/footer" Target="footer9.xml"/><Relationship Id="rId58" Type="http://schemas.openxmlformats.org/officeDocument/2006/relationships/header" Target="header1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tar.lt/portal/legalAct.html?documentId=c726c1a01cac11eabe008ea93139d588"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eader" Target="header5.xml"/><Relationship Id="rId49" Type="http://schemas.openxmlformats.org/officeDocument/2006/relationships/header" Target="header8.xml"/><Relationship Id="rId57" Type="http://schemas.openxmlformats.org/officeDocument/2006/relationships/footer" Target="footer11.xml"/><Relationship Id="rId61" Type="http://schemas.openxmlformats.org/officeDocument/2006/relationships/header" Target="header14.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eader" Target="header4.xml"/><Relationship Id="rId43" Type="http://schemas.openxmlformats.org/officeDocument/2006/relationships/image" Target="media/image20.png"/><Relationship Id="rId48" Type="http://schemas.openxmlformats.org/officeDocument/2006/relationships/header" Target="header7.xml"/><Relationship Id="rId56" Type="http://schemas.openxmlformats.org/officeDocument/2006/relationships/footer" Target="footer10.xml"/><Relationship Id="rId64" Type="http://schemas.openxmlformats.org/officeDocument/2006/relationships/header" Target="header15.xml"/><Relationship Id="rId8" Type="http://schemas.openxmlformats.org/officeDocument/2006/relationships/image" Target="media/image1.emf"/><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ur-lex.europa.eu/legal-content/en/TXT/?uri=CELEX:32009R1072"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footer" Target="footer5.xml"/><Relationship Id="rId46" Type="http://schemas.openxmlformats.org/officeDocument/2006/relationships/image" Target="media/image23.png"/><Relationship Id="rId59" Type="http://schemas.openxmlformats.org/officeDocument/2006/relationships/footer" Target="footer12.xml"/><Relationship Id="rId67"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18.png"/><Relationship Id="rId54" Type="http://schemas.openxmlformats.org/officeDocument/2006/relationships/header" Target="header10.xml"/><Relationship Id="rId62"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31D67-0D70-409D-81D0-891F43340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345960</Words>
  <Characters>2331774</Characters>
  <Application>Microsoft Office Word</Application>
  <DocSecurity>0</DocSecurity>
  <Lines>45721</Lines>
  <Paragraphs>25502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2020-12-27T18:06:00Z</dcterms:created>
  <dcterms:modified xsi:type="dcterms:W3CDTF">2020-12-27T20:38:00Z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LW 7.0, Build 20190717</vt:lpwstr>
  </property>
  <property fmtid="{D5CDD505-2E9C-101B-9397-08002B2CF9AE}" pid="11" name="Created using">
    <vt:lpwstr>LW 7.0, Build 20190717</vt:lpwstr>
  </property>
</Properties>
</file>